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customXml/itemProps8.xml" ContentType="application/vnd.openxmlformats-officedocument.customXmlProperties+xml"/>
  <Override PartName="/word/footer1.xml" ContentType="application/vnd.openxmlformats-officedocument.wordprocessingml.footer+xml"/>
  <Override PartName="/word/theme/theme1.xml" ContentType="application/vnd.openxmlformats-officedocument.theme+xml"/>
  <Override PartName="/customXml/itemProps6.xml" ContentType="application/vnd.openxmlformats-officedocument.customXmlProperties+xml"/>
  <Override PartName="/customXml/itemProps7.xml" ContentType="application/vnd.openxmlformats-officedocument.customXmlProperties+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6678" w:rsidRDefault="00B16377" w:rsidP="006F32FB">
      <w:pPr>
        <w:spacing w:beforeLines="50" w:afterLines="50"/>
        <w:rPr>
          <w:bCs/>
          <w:szCs w:val="21"/>
        </w:rPr>
      </w:pPr>
      <w:r>
        <w:rPr>
          <w:rFonts w:hint="eastAsia"/>
          <w:bCs/>
          <w:szCs w:val="21"/>
        </w:rPr>
        <w:t>公司代码：</w:t>
      </w:r>
      <w:sdt>
        <w:sdtPr>
          <w:rPr>
            <w:rFonts w:hint="eastAsia"/>
            <w:bCs/>
            <w:szCs w:val="21"/>
          </w:rPr>
          <w:alias w:val="公司代码"/>
          <w:tag w:val="_GBC_704b7b03ea3f4a93b8d4655a09b2ff61"/>
          <w:id w:val="-1015694931"/>
          <w:lock w:val="sdtLocked"/>
          <w:placeholder>
            <w:docPart w:val="GBC22222222222222222222222222222"/>
          </w:placeholder>
        </w:sdtPr>
        <w:sdtContent>
          <w:r>
            <w:rPr>
              <w:rFonts w:hint="eastAsia"/>
              <w:bCs/>
              <w:szCs w:val="21"/>
            </w:rPr>
            <w:t>601006</w:t>
          </w:r>
        </w:sdtContent>
      </w:sdt>
      <w:r>
        <w:rPr>
          <w:rFonts w:hint="eastAsia"/>
          <w:bCs/>
          <w:szCs w:val="21"/>
        </w:rPr>
        <w:t xml:space="preserve">                                           公司简称：</w:t>
      </w:r>
      <w:sdt>
        <w:sdtPr>
          <w:rPr>
            <w:rFonts w:hint="eastAsia"/>
            <w:bCs/>
            <w:szCs w:val="21"/>
          </w:rPr>
          <w:alias w:val="公司简称"/>
          <w:tag w:val="_GBC_0384ae715a1e4b4894a29e4d27f5bef4"/>
          <w:id w:val="-395277951"/>
          <w:lock w:val="sdtLocked"/>
          <w:placeholder>
            <w:docPart w:val="GBC22222222222222222222222222222"/>
          </w:placeholder>
        </w:sdtPr>
        <w:sdtContent>
          <w:r>
            <w:rPr>
              <w:rFonts w:hint="eastAsia"/>
              <w:bCs/>
              <w:szCs w:val="21"/>
            </w:rPr>
            <w:t>大秦铁路</w:t>
          </w:r>
        </w:sdtContent>
      </w:sdt>
    </w:p>
    <w:p w:rsidR="00806678" w:rsidRDefault="00806678"/>
    <w:p w:rsidR="00806678" w:rsidRDefault="00806678"/>
    <w:p w:rsidR="00806678" w:rsidRPr="003A0F3D" w:rsidRDefault="00806678"/>
    <w:p w:rsidR="00806678" w:rsidRDefault="00806678"/>
    <w:p w:rsidR="00806678" w:rsidRDefault="00806678"/>
    <w:p w:rsidR="00806678" w:rsidRDefault="00806678"/>
    <w:p w:rsidR="00806678" w:rsidRDefault="00806678">
      <w:pPr>
        <w:rPr>
          <w:b/>
          <w:bCs/>
          <w:szCs w:val="21"/>
        </w:rPr>
      </w:pPr>
    </w:p>
    <w:p w:rsidR="00806678" w:rsidRDefault="00806678">
      <w:pPr>
        <w:rPr>
          <w:b/>
          <w:bCs/>
          <w:szCs w:val="21"/>
        </w:rPr>
      </w:pPr>
    </w:p>
    <w:sdt>
      <w:sdtPr>
        <w:rPr>
          <w:b/>
          <w:bCs/>
          <w:szCs w:val="21"/>
        </w:rPr>
        <w:alias w:val="模块:股份有限公司"/>
        <w:tag w:val="_SEC_053d5dad2cbb4a7e949bd9642e6c577f"/>
        <w:id w:val="-548918654"/>
        <w:lock w:val="sdtLocked"/>
        <w:placeholder>
          <w:docPart w:val="GBC22222222222222222222222222222"/>
        </w:placeholder>
      </w:sdtPr>
      <w:sdtEndPr>
        <w:rPr>
          <w:rFonts w:ascii="黑体" w:eastAsia="黑体" w:hAnsi="黑体"/>
          <w:color w:val="FF0000"/>
          <w:sz w:val="44"/>
          <w:szCs w:val="44"/>
        </w:rPr>
      </w:sdtEndPr>
      <w:sdtContent>
        <w:p w:rsidR="00806678" w:rsidRDefault="00F80B6C">
          <w:pPr>
            <w:jc w:val="center"/>
            <w:rPr>
              <w:rFonts w:ascii="黑体" w:eastAsia="黑体" w:hAnsi="黑体"/>
              <w:b/>
              <w:bCs/>
              <w:color w:val="FF0000"/>
              <w:sz w:val="44"/>
              <w:szCs w:val="44"/>
            </w:rPr>
          </w:pPr>
          <w:sdt>
            <w:sdtPr>
              <w:rPr>
                <w:rFonts w:ascii="黑体" w:eastAsia="黑体" w:hAnsi="黑体" w:hint="eastAsia"/>
                <w:b/>
                <w:bCs/>
                <w:color w:val="FF0000"/>
                <w:sz w:val="44"/>
                <w:szCs w:val="44"/>
              </w:rPr>
              <w:alias w:val="公司法定中文名称"/>
              <w:tag w:val="_GBC_47adbfeb6fae494fb72f2a2b2c73d969"/>
              <w:id w:val="18971057"/>
              <w:lock w:val="sdtLocked"/>
              <w:placeholder>
                <w:docPart w:val="GBC22222222222222222222222222222"/>
              </w:placeholder>
              <w:dataBinding w:prefixMappings="xmlns:clcid-cgi='clcid-cgi'" w:xpath="/*/clcid-cgi:GongSiFaDingZhongWenMingCheng" w:storeItemID="{89EBAB94-44A0-46A2-B712-30D997D04A6D}"/>
              <w:text/>
            </w:sdtPr>
            <w:sdtContent>
              <w:r w:rsidR="00AD579F">
                <w:rPr>
                  <w:rFonts w:ascii="黑体" w:eastAsia="黑体" w:hAnsi="黑体" w:hint="eastAsia"/>
                  <w:b/>
                  <w:bCs/>
                  <w:color w:val="FF0000"/>
                  <w:sz w:val="44"/>
                  <w:szCs w:val="44"/>
                </w:rPr>
                <w:t>大秦铁路</w:t>
              </w:r>
              <w:r w:rsidR="00B16377">
                <w:rPr>
                  <w:rFonts w:ascii="黑体" w:eastAsia="黑体" w:hAnsi="黑体" w:hint="eastAsia"/>
                  <w:b/>
                  <w:bCs/>
                  <w:color w:val="FF0000"/>
                  <w:sz w:val="44"/>
                  <w:szCs w:val="44"/>
                </w:rPr>
                <w:t>股份有限公司</w:t>
              </w:r>
            </w:sdtContent>
          </w:sdt>
        </w:p>
      </w:sdtContent>
    </w:sdt>
    <w:p w:rsidR="00806678" w:rsidRDefault="00B16377">
      <w:pPr>
        <w:jc w:val="center"/>
        <w:rPr>
          <w:rFonts w:ascii="黑体" w:eastAsia="黑体" w:hAnsi="黑体"/>
          <w:b/>
          <w:bCs/>
          <w:color w:val="FF0000"/>
          <w:sz w:val="44"/>
          <w:szCs w:val="44"/>
        </w:rPr>
      </w:pPr>
      <w:r>
        <w:rPr>
          <w:rFonts w:ascii="黑体" w:eastAsia="黑体" w:hAnsi="黑体"/>
          <w:b/>
          <w:bCs/>
          <w:color w:val="FF0000"/>
          <w:sz w:val="44"/>
          <w:szCs w:val="44"/>
        </w:rPr>
        <w:t>2022</w:t>
      </w:r>
      <w:r>
        <w:rPr>
          <w:rFonts w:ascii="黑体" w:eastAsia="黑体" w:hAnsi="黑体" w:hint="eastAsia"/>
          <w:b/>
          <w:bCs/>
          <w:color w:val="FF0000"/>
          <w:sz w:val="44"/>
          <w:szCs w:val="44"/>
        </w:rPr>
        <w:t>年年度报告</w:t>
      </w:r>
    </w:p>
    <w:p w:rsidR="00806678" w:rsidRDefault="00806678"/>
    <w:p w:rsidR="00806678" w:rsidRDefault="00806678"/>
    <w:p w:rsidR="00806678" w:rsidRDefault="00806678"/>
    <w:p w:rsidR="00806678" w:rsidRDefault="00806678"/>
    <w:p w:rsidR="00806678" w:rsidRDefault="00806678"/>
    <w:p w:rsidR="00806678" w:rsidRDefault="00806678"/>
    <w:p w:rsidR="00806678" w:rsidRDefault="00806678"/>
    <w:p w:rsidR="00806678" w:rsidRDefault="00806678"/>
    <w:p w:rsidR="00806678" w:rsidRDefault="00806678">
      <w:pPr>
        <w:rPr>
          <w:rFonts w:ascii="黑体" w:eastAsia="黑体" w:hAnsi="黑体"/>
          <w:b/>
          <w:bCs/>
          <w:color w:val="FF0000"/>
          <w:sz w:val="44"/>
          <w:szCs w:val="44"/>
        </w:rPr>
        <w:sectPr w:rsidR="00806678" w:rsidSect="005B5D50">
          <w:headerReference w:type="default" r:id="rId15"/>
          <w:footerReference w:type="default" r:id="rId16"/>
          <w:pgSz w:w="11906" w:h="16838"/>
          <w:pgMar w:top="1525" w:right="1276" w:bottom="1440" w:left="1797" w:header="855" w:footer="992" w:gutter="0"/>
          <w:cols w:space="425"/>
          <w:docGrid w:linePitch="312"/>
        </w:sectPr>
      </w:pPr>
    </w:p>
    <w:p w:rsidR="00806678" w:rsidRDefault="00806678"/>
    <w:p w:rsidR="00806678" w:rsidRDefault="00B16377">
      <w:pPr>
        <w:pStyle w:val="af8"/>
        <w:spacing w:after="280" w:afterAutospacing="0"/>
        <w:jc w:val="center"/>
        <w:rPr>
          <w:rFonts w:ascii="黑体" w:eastAsia="黑体"/>
          <w:b/>
          <w:bCs/>
          <w:sz w:val="28"/>
          <w:szCs w:val="28"/>
        </w:rPr>
      </w:pPr>
      <w:bookmarkStart w:id="0" w:name="_Toc387656034"/>
      <w:r>
        <w:rPr>
          <w:rFonts w:ascii="黑体" w:eastAsia="黑体" w:hint="eastAsia"/>
          <w:b/>
          <w:bCs/>
          <w:sz w:val="28"/>
          <w:szCs w:val="28"/>
        </w:rPr>
        <w:t>重要提示</w:t>
      </w:r>
      <w:bookmarkEnd w:id="0"/>
    </w:p>
    <w:sdt>
      <w:sdtPr>
        <w:rPr>
          <w:rFonts w:ascii="宋体" w:hAnsi="宋体" w:cs="宋体" w:hint="eastAsia"/>
          <w:b w:val="0"/>
          <w:bCs w:val="0"/>
          <w:kern w:val="0"/>
          <w:szCs w:val="24"/>
        </w:rPr>
        <w:alias w:val="选项模块:董事会及董事声明"/>
        <w:tag w:val="_SEC_7d2cef92505949c6b5bd6a9bd88e1b07"/>
        <w:id w:val="-1004825670"/>
        <w:lock w:val="sdtLocked"/>
        <w:placeholder>
          <w:docPart w:val="GBC22222222222222222222222222222"/>
        </w:placeholder>
      </w:sdtPr>
      <w:sdtEndPr>
        <w:rPr>
          <w:rFonts w:ascii="Arial" w:hAnsi="Arial" w:cs="Times New Roman" w:hint="default"/>
          <w:b/>
          <w:bCs/>
          <w:kern w:val="2"/>
          <w:szCs w:val="21"/>
        </w:rPr>
      </w:sdtEndPr>
      <w:sdtContent>
        <w:p w:rsidR="00806678" w:rsidRDefault="00F80B6C" w:rsidP="007B7B4A">
          <w:pPr>
            <w:pStyle w:val="2"/>
            <w:numPr>
              <w:ilvl w:val="0"/>
              <w:numId w:val="6"/>
            </w:numPr>
            <w:tabs>
              <w:tab w:val="left" w:pos="434"/>
            </w:tabs>
            <w:spacing w:before="0" w:after="0" w:line="360" w:lineRule="auto"/>
            <w:ind w:left="368" w:hangingChars="175" w:hanging="368"/>
          </w:pPr>
          <w:sdt>
            <w:sdtPr>
              <w:rPr>
                <w:rFonts w:hint="eastAsia"/>
              </w:rPr>
              <w:alias w:val="董事会及董事声明"/>
              <w:tag w:val="_GBC_7a4abe6548364d7e8583e54b6ff64105"/>
              <w:id w:val="4287615"/>
              <w:lock w:val="sdtLocked"/>
              <w:placeholder>
                <w:docPart w:val="GBC22222222222222222222222222222"/>
              </w:placeholder>
            </w:sdtPr>
            <w:sdtContent>
              <w:r w:rsidR="00B16377">
                <w:rPr>
                  <w:rFonts w:ascii="Times New Roman" w:hAnsi="宋体" w:cs="宋体"/>
                  <w:bCs w:val="0"/>
                </w:rPr>
                <w:t>本公司董事会、监事会及董事、监事、高级管理人员保证年度报告内容的真实</w:t>
              </w:r>
              <w:r w:rsidR="00B16377">
                <w:rPr>
                  <w:rFonts w:ascii="Times New Roman" w:hAnsi="宋体" w:cs="宋体" w:hint="eastAsia"/>
                  <w:bCs w:val="0"/>
                </w:rPr>
                <w:t>性</w:t>
              </w:r>
              <w:r w:rsidR="00B16377">
                <w:rPr>
                  <w:rFonts w:ascii="Times New Roman" w:hAnsi="宋体" w:cs="宋体"/>
                  <w:bCs w:val="0"/>
                </w:rPr>
                <w:t>、准确</w:t>
              </w:r>
              <w:r w:rsidR="00B16377">
                <w:rPr>
                  <w:rFonts w:ascii="Times New Roman" w:hAnsi="宋体" w:cs="宋体" w:hint="eastAsia"/>
                  <w:bCs w:val="0"/>
                </w:rPr>
                <w:t>性</w:t>
              </w:r>
              <w:r w:rsidR="00B16377">
                <w:rPr>
                  <w:rFonts w:ascii="Times New Roman" w:hAnsi="宋体" w:cs="宋体"/>
                  <w:bCs w:val="0"/>
                </w:rPr>
                <w:t>、完整</w:t>
              </w:r>
              <w:r w:rsidR="00B16377">
                <w:rPr>
                  <w:rFonts w:ascii="Times New Roman" w:hAnsi="宋体" w:cs="宋体" w:hint="eastAsia"/>
                  <w:bCs w:val="0"/>
                </w:rPr>
                <w:t>性</w:t>
              </w:r>
              <w:r w:rsidR="00B16377">
                <w:rPr>
                  <w:rFonts w:ascii="Times New Roman" w:hAnsi="宋体" w:cs="宋体"/>
                  <w:bCs w:val="0"/>
                </w:rPr>
                <w:t>，不存在虚假记载、误导性陈述或重大遗漏，并承担个别和连带的法律责任。</w:t>
              </w:r>
            </w:sdtContent>
          </w:sdt>
        </w:p>
      </w:sdtContent>
    </w:sdt>
    <w:sdt>
      <w:sdtPr>
        <w:rPr>
          <w:rFonts w:ascii="Calibri" w:hAnsi="Calibri" w:cs="宋体" w:hint="eastAsia"/>
          <w:b w:val="0"/>
          <w:bCs w:val="0"/>
          <w:kern w:val="0"/>
          <w:sz w:val="24"/>
          <w:szCs w:val="22"/>
        </w:rPr>
        <w:alias w:val="选项模块:未出席董事情况"/>
        <w:tag w:val="_SEC_51c9b3d9c2f94082b7b8426bcf632e09"/>
        <w:id w:val="5040116"/>
        <w:placeholder>
          <w:docPart w:val="GBC22222222222222222222222222222"/>
        </w:placeholder>
      </w:sdtPr>
      <w:sdtEndPr>
        <w:rPr>
          <w:rFonts w:ascii="宋体" w:hAnsi="宋体" w:hint="default"/>
          <w:sz w:val="21"/>
          <w:szCs w:val="24"/>
        </w:rPr>
      </w:sdtEndPr>
      <w:sdtContent>
        <w:p w:rsidR="00F654D6" w:rsidRDefault="00F654D6" w:rsidP="00F654D6">
          <w:pPr>
            <w:pStyle w:val="2"/>
            <w:numPr>
              <w:ilvl w:val="0"/>
              <w:numId w:val="6"/>
            </w:numPr>
            <w:tabs>
              <w:tab w:val="num" w:pos="360"/>
              <w:tab w:val="left" w:pos="448"/>
            </w:tabs>
            <w:spacing w:before="0" w:after="0" w:line="360" w:lineRule="auto"/>
            <w:ind w:left="420" w:hangingChars="175"/>
          </w:pPr>
          <w:r>
            <w:rPr>
              <w:rFonts w:hint="eastAsia"/>
            </w:rPr>
            <w:t>未出席董事情况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985"/>
            <w:gridCol w:w="2198"/>
            <w:gridCol w:w="2307"/>
            <w:gridCol w:w="2403"/>
          </w:tblGrid>
          <w:tr w:rsidR="00F654D6" w:rsidTr="003303FB">
            <w:trPr>
              <w:trHeight w:val="293"/>
            </w:trPr>
            <w:sdt>
              <w:sdtPr>
                <w:tag w:val="_PLD_db2023893e244476afd10978209e2b40"/>
                <w:id w:val="553042152"/>
                <w:lock w:val="sdtLocked"/>
              </w:sdtPr>
              <w:sdtContent>
                <w:tc>
                  <w:tcPr>
                    <w:tcW w:w="1116" w:type="pct"/>
                    <w:shd w:val="clear" w:color="auto" w:fill="auto"/>
                    <w:vAlign w:val="center"/>
                  </w:tcPr>
                  <w:p w:rsidR="00F654D6" w:rsidRDefault="00F654D6" w:rsidP="003303FB">
                    <w:pPr>
                      <w:kinsoku w:val="0"/>
                      <w:overflowPunct w:val="0"/>
                      <w:autoSpaceDE w:val="0"/>
                      <w:autoSpaceDN w:val="0"/>
                      <w:adjustRightInd w:val="0"/>
                      <w:snapToGrid w:val="0"/>
                      <w:jc w:val="center"/>
                      <w:rPr>
                        <w:color w:val="000000"/>
                        <w:szCs w:val="21"/>
                      </w:rPr>
                    </w:pPr>
                    <w:r>
                      <w:rPr>
                        <w:rFonts w:hint="eastAsia"/>
                        <w:color w:val="000000"/>
                        <w:szCs w:val="21"/>
                      </w:rPr>
                      <w:t>未出席董事职务</w:t>
                    </w:r>
                  </w:p>
                </w:tc>
              </w:sdtContent>
            </w:sdt>
            <w:sdt>
              <w:sdtPr>
                <w:tag w:val="_PLD_98cbcc4b786a4336925706025a6494f7"/>
                <w:id w:val="-562496692"/>
                <w:lock w:val="sdtLocked"/>
              </w:sdtPr>
              <w:sdtContent>
                <w:tc>
                  <w:tcPr>
                    <w:tcW w:w="1236" w:type="pct"/>
                    <w:shd w:val="clear" w:color="auto" w:fill="auto"/>
                    <w:vAlign w:val="center"/>
                  </w:tcPr>
                  <w:p w:rsidR="00F654D6" w:rsidRDefault="00F654D6" w:rsidP="003303FB">
                    <w:pPr>
                      <w:kinsoku w:val="0"/>
                      <w:overflowPunct w:val="0"/>
                      <w:autoSpaceDE w:val="0"/>
                      <w:autoSpaceDN w:val="0"/>
                      <w:adjustRightInd w:val="0"/>
                      <w:snapToGrid w:val="0"/>
                      <w:jc w:val="center"/>
                      <w:rPr>
                        <w:color w:val="000000"/>
                        <w:szCs w:val="21"/>
                      </w:rPr>
                    </w:pPr>
                    <w:r>
                      <w:rPr>
                        <w:rFonts w:hint="eastAsia"/>
                        <w:color w:val="000000"/>
                        <w:szCs w:val="21"/>
                      </w:rPr>
                      <w:t>未出席董事姓名</w:t>
                    </w:r>
                  </w:p>
                </w:tc>
              </w:sdtContent>
            </w:sdt>
            <w:sdt>
              <w:sdtPr>
                <w:tag w:val="_PLD_d4c249278a024393ad22bea8647ece33"/>
                <w:id w:val="281773430"/>
                <w:lock w:val="sdtLocked"/>
              </w:sdtPr>
              <w:sdtContent>
                <w:tc>
                  <w:tcPr>
                    <w:tcW w:w="1297" w:type="pct"/>
                    <w:shd w:val="clear" w:color="auto" w:fill="auto"/>
                    <w:vAlign w:val="center"/>
                  </w:tcPr>
                  <w:p w:rsidR="00F654D6" w:rsidRDefault="00F654D6" w:rsidP="003303FB">
                    <w:pPr>
                      <w:kinsoku w:val="0"/>
                      <w:overflowPunct w:val="0"/>
                      <w:autoSpaceDE w:val="0"/>
                      <w:autoSpaceDN w:val="0"/>
                      <w:adjustRightInd w:val="0"/>
                      <w:snapToGrid w:val="0"/>
                      <w:jc w:val="center"/>
                      <w:rPr>
                        <w:color w:val="000000"/>
                        <w:szCs w:val="21"/>
                      </w:rPr>
                    </w:pPr>
                    <w:r>
                      <w:rPr>
                        <w:rFonts w:hint="eastAsia"/>
                        <w:color w:val="000000"/>
                        <w:szCs w:val="21"/>
                      </w:rPr>
                      <w:t>未出席</w:t>
                    </w:r>
                    <w:r>
                      <w:rPr>
                        <w:rFonts w:hint="eastAsia"/>
                        <w:szCs w:val="21"/>
                      </w:rPr>
                      <w:t>董事的原因说明</w:t>
                    </w:r>
                  </w:p>
                </w:tc>
              </w:sdtContent>
            </w:sdt>
            <w:sdt>
              <w:sdtPr>
                <w:tag w:val="_PLD_405aefb576d0416c898d9592961aea9c"/>
                <w:id w:val="1582642007"/>
                <w:lock w:val="sdtLocked"/>
              </w:sdtPr>
              <w:sdtContent>
                <w:tc>
                  <w:tcPr>
                    <w:tcW w:w="1352" w:type="pct"/>
                    <w:shd w:val="clear" w:color="auto" w:fill="auto"/>
                    <w:vAlign w:val="center"/>
                  </w:tcPr>
                  <w:p w:rsidR="00F654D6" w:rsidRDefault="00F654D6" w:rsidP="003303FB">
                    <w:pPr>
                      <w:kinsoku w:val="0"/>
                      <w:overflowPunct w:val="0"/>
                      <w:autoSpaceDE w:val="0"/>
                      <w:autoSpaceDN w:val="0"/>
                      <w:adjustRightInd w:val="0"/>
                      <w:snapToGrid w:val="0"/>
                      <w:spacing w:before="40" w:after="40"/>
                      <w:jc w:val="center"/>
                      <w:rPr>
                        <w:szCs w:val="21"/>
                      </w:rPr>
                    </w:pPr>
                    <w:r>
                      <w:rPr>
                        <w:rFonts w:hint="eastAsia"/>
                        <w:szCs w:val="21"/>
                      </w:rPr>
                      <w:t>被委托人姓名</w:t>
                    </w:r>
                  </w:p>
                </w:tc>
              </w:sdtContent>
            </w:sdt>
          </w:tr>
          <w:sdt>
            <w:sdtPr>
              <w:rPr>
                <w:szCs w:val="21"/>
              </w:rPr>
              <w:alias w:val="未出席董事情况"/>
              <w:tag w:val="_TUP_8b0ec9b36da843de9837e0f5cab6dbaa"/>
              <w:id w:val="10263138"/>
              <w:lock w:val="sdtLocked"/>
            </w:sdtPr>
            <w:sdtEndPr>
              <w:rPr>
                <w:color w:val="000000"/>
              </w:rPr>
            </w:sdtEndPr>
            <w:sdtContent>
              <w:tr w:rsidR="00F654D6" w:rsidTr="003303FB">
                <w:trPr>
                  <w:trHeight w:val="293"/>
                </w:trPr>
                <w:sdt>
                  <w:sdtPr>
                    <w:rPr>
                      <w:szCs w:val="21"/>
                    </w:rPr>
                    <w:alias w:val="未出席董事职务"/>
                    <w:tag w:val="_GBC_04203e703d1543efaba6697bf4ad9682"/>
                    <w:id w:val="10263181"/>
                    <w:lock w:val="sdtLocked"/>
                    <w:comboBox>
                      <w:listItem w:displayText="董事" w:value="董事"/>
                      <w:listItem w:displayText="董事长" w:value="董事长"/>
                      <w:listItem w:displayText="独立董事" w:value="独立董事"/>
                    </w:comboBox>
                  </w:sdtPr>
                  <w:sdtContent>
                    <w:tc>
                      <w:tcPr>
                        <w:tcW w:w="1116" w:type="pct"/>
                      </w:tcPr>
                      <w:p w:rsidR="00F654D6" w:rsidRDefault="00F654D6" w:rsidP="00F654D6">
                        <w:pPr>
                          <w:kinsoku w:val="0"/>
                          <w:overflowPunct w:val="0"/>
                          <w:autoSpaceDE w:val="0"/>
                          <w:autoSpaceDN w:val="0"/>
                          <w:adjustRightInd w:val="0"/>
                          <w:snapToGrid w:val="0"/>
                          <w:jc w:val="center"/>
                          <w:rPr>
                            <w:szCs w:val="21"/>
                          </w:rPr>
                        </w:pPr>
                        <w:r>
                          <w:rPr>
                            <w:szCs w:val="21"/>
                          </w:rPr>
                          <w:t>董事</w:t>
                        </w:r>
                      </w:p>
                    </w:tc>
                  </w:sdtContent>
                </w:sdt>
                <w:tc>
                  <w:tcPr>
                    <w:tcW w:w="1236" w:type="pct"/>
                  </w:tcPr>
                  <w:p w:rsidR="00F654D6" w:rsidRDefault="00F654D6" w:rsidP="00F654D6">
                    <w:pPr>
                      <w:kinsoku w:val="0"/>
                      <w:overflowPunct w:val="0"/>
                      <w:autoSpaceDE w:val="0"/>
                      <w:autoSpaceDN w:val="0"/>
                      <w:adjustRightInd w:val="0"/>
                      <w:snapToGrid w:val="0"/>
                      <w:jc w:val="center"/>
                      <w:rPr>
                        <w:szCs w:val="21"/>
                      </w:rPr>
                    </w:pPr>
                    <w:r>
                      <w:rPr>
                        <w:rFonts w:hint="eastAsia"/>
                        <w:szCs w:val="21"/>
                      </w:rPr>
                      <w:t>王道阔</w:t>
                    </w:r>
                  </w:p>
                </w:tc>
                <w:tc>
                  <w:tcPr>
                    <w:tcW w:w="1297" w:type="pct"/>
                  </w:tcPr>
                  <w:p w:rsidR="00F654D6" w:rsidRDefault="00F654D6" w:rsidP="00F654D6">
                    <w:pPr>
                      <w:kinsoku w:val="0"/>
                      <w:overflowPunct w:val="0"/>
                      <w:autoSpaceDE w:val="0"/>
                      <w:autoSpaceDN w:val="0"/>
                      <w:adjustRightInd w:val="0"/>
                      <w:snapToGrid w:val="0"/>
                      <w:jc w:val="center"/>
                      <w:rPr>
                        <w:szCs w:val="21"/>
                      </w:rPr>
                    </w:pPr>
                    <w:r>
                      <w:rPr>
                        <w:rFonts w:hint="eastAsia"/>
                        <w:szCs w:val="21"/>
                      </w:rPr>
                      <w:t>工作原因</w:t>
                    </w:r>
                  </w:p>
                </w:tc>
                <w:tc>
                  <w:tcPr>
                    <w:tcW w:w="1352" w:type="pct"/>
                  </w:tcPr>
                  <w:p w:rsidR="00F654D6" w:rsidRDefault="00F654D6" w:rsidP="00F654D6">
                    <w:pPr>
                      <w:kinsoku w:val="0"/>
                      <w:overflowPunct w:val="0"/>
                      <w:autoSpaceDE w:val="0"/>
                      <w:autoSpaceDN w:val="0"/>
                      <w:adjustRightInd w:val="0"/>
                      <w:snapToGrid w:val="0"/>
                      <w:jc w:val="center"/>
                      <w:rPr>
                        <w:szCs w:val="21"/>
                      </w:rPr>
                    </w:pPr>
                    <w:r>
                      <w:rPr>
                        <w:rFonts w:hint="eastAsia"/>
                        <w:szCs w:val="21"/>
                      </w:rPr>
                      <w:t>韩洪臣</w:t>
                    </w:r>
                  </w:p>
                </w:tc>
              </w:tr>
            </w:sdtContent>
          </w:sdt>
        </w:tbl>
        <w:p w:rsidR="00806678" w:rsidRPr="00F654D6" w:rsidRDefault="00F80B6C" w:rsidP="00F654D6"/>
      </w:sdtContent>
    </w:sdt>
    <w:sdt>
      <w:sdtPr>
        <w:rPr>
          <w:rFonts w:ascii="Calibri" w:hAnsi="Calibri" w:cs="宋体" w:hint="eastAsia"/>
          <w:b w:val="0"/>
          <w:bCs w:val="0"/>
          <w:kern w:val="0"/>
          <w:sz w:val="24"/>
          <w:szCs w:val="24"/>
        </w:rPr>
        <w:alias w:val="选项模块:事务所为本公司出具了标准无保留意见的审计报告。"/>
        <w:tag w:val="_SEC_40fba4905c084fec81ccf5c248050f25"/>
        <w:id w:val="1147872"/>
        <w:lock w:val="sdtLocked"/>
        <w:placeholder>
          <w:docPart w:val="GBC22222222222222222222222222222"/>
        </w:placeholder>
      </w:sdtPr>
      <w:sdtEndPr>
        <w:rPr>
          <w:rFonts w:ascii="Arial" w:hAnsi="Arial" w:cs="Times New Roman" w:hint="default"/>
          <w:b/>
          <w:bCs/>
          <w:kern w:val="2"/>
          <w:sz w:val="21"/>
          <w:szCs w:val="21"/>
        </w:rPr>
      </w:sdtEndPr>
      <w:sdtContent>
        <w:p w:rsidR="00806678" w:rsidRPr="007B7B4A" w:rsidRDefault="00F80B6C" w:rsidP="007B7B4A">
          <w:pPr>
            <w:pStyle w:val="2"/>
            <w:numPr>
              <w:ilvl w:val="0"/>
              <w:numId w:val="6"/>
            </w:numPr>
            <w:tabs>
              <w:tab w:val="left" w:pos="518"/>
            </w:tabs>
            <w:spacing w:before="0" w:after="0" w:line="360" w:lineRule="auto"/>
            <w:ind w:left="420" w:hangingChars="175"/>
            <w:jc w:val="left"/>
            <w:rPr>
              <w:rFonts w:ascii="宋体" w:hAnsi="宋体"/>
            </w:rPr>
          </w:pPr>
          <w:sdt>
            <w:sdtPr>
              <w:rPr>
                <w:rFonts w:ascii="宋体" w:hAnsi="宋体" w:hint="eastAsia"/>
              </w:rPr>
              <w:alias w:val="公司聘请的境内会计师事务所名称"/>
              <w:tag w:val="_GBC_ad504284986e4ab994733d7125ba1c33"/>
              <w:id w:val="1144241"/>
              <w:lock w:val="sdtLocked"/>
              <w:placeholder>
                <w:docPart w:val="GBC22222222222222222222222222222"/>
              </w:placeholder>
            </w:sdtPr>
            <w:sdtContent>
              <w:r w:rsidR="00AD579F" w:rsidRPr="002C1AEC">
                <w:t>毕马威华振会计师事务所（特殊普通合伙）</w:t>
              </w:r>
            </w:sdtContent>
          </w:sdt>
          <w:r w:rsidR="00B16377">
            <w:rPr>
              <w:rFonts w:ascii="宋体" w:hAnsi="宋体" w:hint="eastAsia"/>
            </w:rPr>
            <w:t>为本公司出具了</w:t>
          </w:r>
          <w:sdt>
            <w:sdtPr>
              <w:rPr>
                <w:rFonts w:ascii="宋体" w:hAnsi="宋体" w:hint="eastAsia"/>
              </w:rPr>
              <w:alias w:val="会计师事务所审计意见类型"/>
              <w:tag w:val="_GBC_fc66ac35f9514436909a413223854389"/>
              <w:id w:val="11228056"/>
              <w:lock w:val="sdtContentLocked"/>
              <w:placeholder>
                <w:docPart w:val="GBC22222222222222222222222222222"/>
              </w:placeholder>
            </w:sdtPr>
            <w:sdtContent>
              <w:r w:rsidR="00B16377">
                <w:rPr>
                  <w:rFonts w:ascii="宋体" w:hAnsi="宋体" w:hint="eastAsia"/>
                </w:rPr>
                <w:t>标准无保留意见</w:t>
              </w:r>
            </w:sdtContent>
          </w:sdt>
          <w:r w:rsidR="00B16377">
            <w:rPr>
              <w:rFonts w:ascii="宋体" w:hAnsi="宋体" w:hint="eastAsia"/>
            </w:rPr>
            <w:t>的审计报告。</w:t>
          </w:r>
        </w:p>
      </w:sdtContent>
    </w:sdt>
    <w:sdt>
      <w:sdtPr>
        <w:rPr>
          <w:rFonts w:ascii="宋体" w:hAnsi="宋体" w:cs="宋体" w:hint="eastAsia"/>
          <w:b w:val="0"/>
          <w:bCs w:val="0"/>
          <w:kern w:val="0"/>
          <w:szCs w:val="24"/>
        </w:rPr>
        <w:alias w:val="模块:公司负责人等声明"/>
        <w:tag w:val="_SEC_aa772887f17444efa3f14932a3ab86a1"/>
        <w:id w:val="5039919"/>
        <w:lock w:val="sdtLocked"/>
        <w:placeholder>
          <w:docPart w:val="GBC22222222222222222222222222222"/>
        </w:placeholder>
      </w:sdtPr>
      <w:sdtEndPr>
        <w:rPr>
          <w:rFonts w:ascii="Arial" w:hAnsi="Arial" w:cs="Times New Roman"/>
          <w:b/>
          <w:bCs/>
          <w:kern w:val="2"/>
          <w:szCs w:val="21"/>
        </w:rPr>
      </w:sdtEndPr>
      <w:sdtContent>
        <w:p w:rsidR="00806678" w:rsidRPr="007B7B4A" w:rsidRDefault="00B16377" w:rsidP="007B7B4A">
          <w:pPr>
            <w:pStyle w:val="2"/>
            <w:numPr>
              <w:ilvl w:val="0"/>
              <w:numId w:val="6"/>
            </w:numPr>
            <w:tabs>
              <w:tab w:val="left" w:pos="434"/>
            </w:tabs>
            <w:spacing w:before="0" w:after="0" w:line="360" w:lineRule="auto"/>
            <w:ind w:left="368" w:hangingChars="175" w:hanging="368"/>
            <w:rPr>
              <w:rFonts w:ascii="宋体" w:hAnsi="宋体"/>
            </w:rPr>
          </w:pPr>
          <w:r>
            <w:rPr>
              <w:rFonts w:ascii="宋体" w:hAnsi="宋体" w:hint="eastAsia"/>
            </w:rPr>
            <w:t>公司负责人</w:t>
          </w:r>
          <w:sdt>
            <w:sdtPr>
              <w:rPr>
                <w:rFonts w:ascii="宋体" w:hAnsi="宋体"/>
              </w:rPr>
              <w:alias w:val="公司负责人姓名"/>
              <w:tag w:val="_GBC_ba0728eaa9a342098d20addcde59ed31"/>
              <w:id w:val="10263261"/>
              <w:lock w:val="sdtLocked"/>
              <w:placeholder>
                <w:docPart w:val="GBC22222222222222222222222222222"/>
              </w:placeholder>
              <w:dataBinding w:prefixMappings="xmlns:clcid-mr='clcid-mr'" w:xpath="/*/clcid-mr:GongSiFuZeRenXingMing[not(@periodRef)]" w:storeItemID="{89EBAB94-44A0-46A2-B712-30D997D04A6D}"/>
              <w:text/>
            </w:sdtPr>
            <w:sdtContent>
              <w:r w:rsidR="00413527">
                <w:rPr>
                  <w:rFonts w:ascii="宋体" w:hAnsi="宋体" w:hint="eastAsia"/>
                </w:rPr>
                <w:t xml:space="preserve">戴弘  </w:t>
              </w:r>
            </w:sdtContent>
          </w:sdt>
          <w:r>
            <w:rPr>
              <w:rFonts w:ascii="宋体" w:hAnsi="宋体" w:hint="eastAsia"/>
            </w:rPr>
            <w:t>、</w:t>
          </w:r>
          <w:r w:rsidR="00AD579F">
            <w:rPr>
              <w:rFonts w:ascii="宋体" w:hAnsi="宋体" w:hint="eastAsia"/>
            </w:rPr>
            <w:t>总经理韩洪臣、</w:t>
          </w:r>
          <w:r>
            <w:rPr>
              <w:rFonts w:ascii="宋体" w:hAnsi="宋体" w:hint="eastAsia"/>
            </w:rPr>
            <w:t>主管会计工作负责人</w:t>
          </w:r>
          <w:sdt>
            <w:sdtPr>
              <w:rPr>
                <w:rFonts w:ascii="宋体" w:hAnsi="宋体"/>
              </w:rPr>
              <w:alias w:val="主管会计工作负责人姓名"/>
              <w:tag w:val="_GBC_9ac791ae357946e68402505d2aa6b3b9"/>
              <w:id w:val="10263264"/>
              <w:lock w:val="sdtLocked"/>
              <w:placeholder>
                <w:docPart w:val="GBC22222222222222222222222222222"/>
              </w:placeholder>
              <w:dataBinding w:prefixMappings="xmlns:clcid-mr='clcid-mr'" w:xpath="/*/clcid-mr:ZhuGuanKuaiJiGongZuoFuZeRenXingMing[not(@periodRef)]" w:storeItemID="{89EBAB94-44A0-46A2-B712-30D997D04A6D}"/>
              <w:text/>
            </w:sdtPr>
            <w:sdtContent>
              <w:r w:rsidR="00AD579F">
                <w:rPr>
                  <w:rFonts w:ascii="宋体" w:hAnsi="宋体" w:hint="eastAsia"/>
                </w:rPr>
                <w:t>田惠民</w:t>
              </w:r>
            </w:sdtContent>
          </w:sdt>
          <w:r>
            <w:rPr>
              <w:rFonts w:ascii="宋体" w:hAnsi="宋体" w:hint="eastAsia"/>
            </w:rPr>
            <w:t>及会计机构负责人（会计主管人员）</w:t>
          </w:r>
          <w:sdt>
            <w:sdtPr>
              <w:rPr>
                <w:rFonts w:ascii="宋体" w:hAnsi="宋体"/>
              </w:rPr>
              <w:alias w:val="会计机构负责人姓名"/>
              <w:tag w:val="_GBC_c6edcd184788428d9dc08d896d5d98a9"/>
              <w:id w:val="10263267"/>
              <w:lock w:val="sdtLocked"/>
              <w:placeholder>
                <w:docPart w:val="GBC22222222222222222222222222222"/>
              </w:placeholder>
              <w:dataBinding w:prefixMappings="xmlns:clcid-mr='clcid-mr'" w:xpath="/*/clcid-mr:KuaiJiJiGouFuZeRenXingMing[not(@periodRef)]" w:storeItemID="{89EBAB94-44A0-46A2-B712-30D997D04A6D}"/>
              <w:text/>
            </w:sdtPr>
            <w:sdtContent>
              <w:r w:rsidR="00AD579F">
                <w:rPr>
                  <w:rFonts w:ascii="宋体" w:hAnsi="宋体" w:hint="eastAsia"/>
                </w:rPr>
                <w:t>孙洪涛</w:t>
              </w:r>
            </w:sdtContent>
          </w:sdt>
          <w:r>
            <w:rPr>
              <w:rFonts w:ascii="宋体" w:hAnsi="宋体" w:hint="eastAsia"/>
            </w:rPr>
            <w:t>声明：保证年度报告中财务报告的真实、准确、完整。</w:t>
          </w:r>
        </w:p>
      </w:sdtContent>
    </w:sdt>
    <w:sdt>
      <w:sdtPr>
        <w:rPr>
          <w:rFonts w:ascii="Calibri" w:hAnsi="Calibri" w:cs="宋体"/>
          <w:b w:val="0"/>
          <w:bCs w:val="0"/>
          <w:kern w:val="0"/>
          <w:sz w:val="24"/>
          <w:szCs w:val="24"/>
        </w:rPr>
        <w:alias w:val="模块:经董事会审议的报告期利润分配预案或公积金转增股本预案"/>
        <w:tag w:val="_SEC_a501adcd5b1e409f9a26e2205a1217af"/>
        <w:id w:val="4295422"/>
        <w:lock w:val="sdtLocked"/>
        <w:placeholder>
          <w:docPart w:val="GBC22222222222222222222222222222"/>
        </w:placeholder>
      </w:sdtPr>
      <w:sdtEndPr>
        <w:rPr>
          <w:rFonts w:ascii="宋体" w:hAnsi="宋体" w:hint="eastAsia"/>
          <w:sz w:val="21"/>
          <w:shd w:val="pct15" w:color="auto" w:fill="FFFFFF"/>
        </w:rPr>
      </w:sdtEndPr>
      <w:sdtContent>
        <w:p w:rsidR="00806678" w:rsidRDefault="00B16377">
          <w:pPr>
            <w:pStyle w:val="2"/>
            <w:numPr>
              <w:ilvl w:val="0"/>
              <w:numId w:val="6"/>
            </w:numPr>
            <w:tabs>
              <w:tab w:val="left" w:pos="490"/>
            </w:tabs>
            <w:spacing w:before="0" w:after="0" w:line="360" w:lineRule="auto"/>
            <w:ind w:left="420" w:hangingChars="175"/>
            <w:rPr>
              <w:rFonts w:ascii="宋体" w:hAnsi="宋体"/>
            </w:rPr>
          </w:pPr>
          <w:r>
            <w:rPr>
              <w:rFonts w:ascii="Calibri" w:hAnsi="Calibri" w:cs="宋体" w:hint="eastAsia"/>
              <w:kern w:val="0"/>
            </w:rPr>
            <w:t>董事会决议通过的本报告期利润分配预案或公积金转增股本预案</w:t>
          </w:r>
        </w:p>
        <w:sdt>
          <w:sdtPr>
            <w:rPr>
              <w:rFonts w:hint="eastAsia"/>
              <w:szCs w:val="21"/>
            </w:rPr>
            <w:alias w:val="经董事会审议的报告期利润分配预案或公积金转增股本预案"/>
            <w:tag w:val="_GBC_87fdd30c16df49cc824b47e55e4be6d9"/>
            <w:id w:val="4295418"/>
            <w:lock w:val="sdtLocked"/>
            <w:placeholder>
              <w:docPart w:val="GBC22222222222222222222222222222"/>
            </w:placeholder>
          </w:sdtPr>
          <w:sdtEndPr>
            <w:rPr>
              <w:shd w:val="pct15" w:color="auto" w:fill="FFFFFF"/>
            </w:rPr>
          </w:sdtEndPr>
          <w:sdtContent>
            <w:p w:rsidR="006C12A2" w:rsidRPr="006C12A2" w:rsidRDefault="006C12A2" w:rsidP="006C12A2">
              <w:pPr>
                <w:adjustRightInd w:val="0"/>
                <w:snapToGrid w:val="0"/>
                <w:spacing w:line="360" w:lineRule="auto"/>
                <w:ind w:firstLineChars="225" w:firstLine="473"/>
                <w:rPr>
                  <w:szCs w:val="21"/>
                </w:rPr>
              </w:pPr>
              <w:r w:rsidRPr="006C12A2">
                <w:rPr>
                  <w:rFonts w:hint="eastAsia"/>
                  <w:szCs w:val="21"/>
                </w:rPr>
                <w:t>经</w:t>
              </w:r>
              <w:r w:rsidRPr="006C12A2">
                <w:rPr>
                  <w:szCs w:val="21"/>
                </w:rPr>
                <w:t>毕马威华振会计师事务所</w:t>
              </w:r>
              <w:r w:rsidRPr="006C12A2">
                <w:rPr>
                  <w:rFonts w:hint="eastAsia"/>
                  <w:szCs w:val="21"/>
                </w:rPr>
                <w:t>（特殊普通合伙）审计，母公司2022年度实现净利润</w:t>
              </w:r>
              <w:r w:rsidR="009717E7">
                <w:t>10,906,455,851</w:t>
              </w:r>
              <w:r w:rsidRPr="006C12A2">
                <w:rPr>
                  <w:rFonts w:hint="eastAsia"/>
                  <w:szCs w:val="21"/>
                </w:rPr>
                <w:t>元。按照公司2022年末总股本计算，每股收益为</w:t>
              </w:r>
              <w:r w:rsidR="009717E7">
                <w:rPr>
                  <w:rFonts w:hint="eastAsia"/>
                  <w:szCs w:val="21"/>
                </w:rPr>
                <w:t>0.75</w:t>
              </w:r>
              <w:r w:rsidRPr="006C12A2">
                <w:rPr>
                  <w:rFonts w:hint="eastAsia"/>
                  <w:szCs w:val="21"/>
                </w:rPr>
                <w:t>元。根据《大秦铁路股份有限公司章程》和2019年年度股东大会审议通过的《未来三年（</w:t>
              </w:r>
              <w:r w:rsidRPr="006C12A2">
                <w:rPr>
                  <w:szCs w:val="21"/>
                </w:rPr>
                <w:t>2020年-2022年）股东分红回报规划</w:t>
              </w:r>
              <w:r w:rsidRPr="006C12A2">
                <w:rPr>
                  <w:rFonts w:hint="eastAsia"/>
                  <w:szCs w:val="21"/>
                </w:rPr>
                <w:t>》的规定，董事会向股东大会提交利润分配预案如下：</w:t>
              </w:r>
            </w:p>
            <w:p w:rsidR="006C12A2" w:rsidRPr="006C12A2" w:rsidRDefault="00BB2476" w:rsidP="006C12A2">
              <w:pPr>
                <w:adjustRightInd w:val="0"/>
                <w:snapToGrid w:val="0"/>
                <w:spacing w:line="360" w:lineRule="auto"/>
                <w:ind w:firstLineChars="225" w:firstLine="473"/>
                <w:rPr>
                  <w:szCs w:val="21"/>
                </w:rPr>
              </w:pPr>
              <w:r>
                <w:rPr>
                  <w:rFonts w:hint="eastAsia"/>
                  <w:szCs w:val="21"/>
                </w:rPr>
                <w:t>1.</w:t>
              </w:r>
              <w:r w:rsidR="00ED6A7C">
                <w:rPr>
                  <w:rFonts w:hint="eastAsia"/>
                  <w:szCs w:val="21"/>
                </w:rPr>
                <w:t>本年度母公司</w:t>
              </w:r>
              <w:r w:rsidR="006C12A2" w:rsidRPr="006C12A2">
                <w:rPr>
                  <w:rFonts w:hint="eastAsia"/>
                  <w:szCs w:val="21"/>
                </w:rPr>
                <w:t>提取法定盈余公积金</w:t>
              </w:r>
              <w:r w:rsidR="00ED6A7C">
                <w:rPr>
                  <w:rFonts w:hint="eastAsia"/>
                  <w:szCs w:val="21"/>
                </w:rPr>
                <w:t>1,090,644,564</w:t>
              </w:r>
              <w:r w:rsidR="006C12A2" w:rsidRPr="006C12A2">
                <w:rPr>
                  <w:rFonts w:hint="eastAsia"/>
                  <w:szCs w:val="21"/>
                </w:rPr>
                <w:t>元；</w:t>
              </w:r>
            </w:p>
            <w:p w:rsidR="006C12A2" w:rsidRPr="006C12A2" w:rsidRDefault="00BB2476" w:rsidP="006C12A2">
              <w:pPr>
                <w:adjustRightInd w:val="0"/>
                <w:snapToGrid w:val="0"/>
                <w:spacing w:line="360" w:lineRule="auto"/>
                <w:ind w:firstLineChars="225" w:firstLine="473"/>
                <w:rPr>
                  <w:szCs w:val="21"/>
                </w:rPr>
              </w:pPr>
              <w:r>
                <w:rPr>
                  <w:rFonts w:hint="eastAsia"/>
                  <w:szCs w:val="21"/>
                </w:rPr>
                <w:t>2.</w:t>
              </w:r>
              <w:r w:rsidR="006C12A2" w:rsidRPr="006C12A2">
                <w:rPr>
                  <w:rFonts w:hint="eastAsia"/>
                  <w:szCs w:val="21"/>
                </w:rPr>
                <w:t>以2022年末公司总股本</w:t>
              </w:r>
              <w:r w:rsidR="006C12A2" w:rsidRPr="006C12A2">
                <w:rPr>
                  <w:szCs w:val="21"/>
                </w:rPr>
                <w:t>14,866,945,907</w:t>
              </w:r>
              <w:r w:rsidR="006C12A2" w:rsidRPr="006C12A2">
                <w:rPr>
                  <w:rFonts w:hint="eastAsia"/>
                  <w:szCs w:val="21"/>
                </w:rPr>
                <w:t>股为基数，每股派现金股利0.48元（含税）。共分配现金股利人民币7,136,134,035.36元，当年剩余未分配利润结转到下年度。</w:t>
              </w:r>
            </w:p>
            <w:p w:rsidR="006C12A2" w:rsidRPr="006C12A2" w:rsidRDefault="006C12A2" w:rsidP="006C12A2">
              <w:pPr>
                <w:adjustRightInd w:val="0"/>
                <w:snapToGrid w:val="0"/>
                <w:spacing w:line="360" w:lineRule="auto"/>
                <w:ind w:firstLineChars="225" w:firstLine="473"/>
                <w:rPr>
                  <w:szCs w:val="21"/>
                </w:rPr>
              </w:pPr>
              <w:r w:rsidRPr="006C12A2">
                <w:rPr>
                  <w:rFonts w:hint="eastAsia"/>
                  <w:szCs w:val="21"/>
                </w:rPr>
                <w:t>由于公司公开发行的可转换公司债券已于</w:t>
              </w:r>
              <w:r w:rsidRPr="006C12A2">
                <w:rPr>
                  <w:szCs w:val="21"/>
                </w:rPr>
                <w:t>202</w:t>
              </w:r>
              <w:r w:rsidRPr="006C12A2">
                <w:rPr>
                  <w:rFonts w:hint="eastAsia"/>
                  <w:szCs w:val="21"/>
                </w:rPr>
                <w:t>1年</w:t>
              </w:r>
              <w:r w:rsidRPr="006C12A2">
                <w:rPr>
                  <w:szCs w:val="21"/>
                </w:rPr>
                <w:t>6</w:t>
              </w:r>
              <w:r w:rsidRPr="006C12A2">
                <w:rPr>
                  <w:rFonts w:hint="eastAsia"/>
                  <w:szCs w:val="21"/>
                </w:rPr>
                <w:t>月18日进入转股期，上述利润分配方案披露之日起至实施利润分配股权登记日期间，公司总股本将增加。公司拟维持每股现金分红的金额不变，最终将以利润分配股权登记日的总股本数量为基数，相应调整派发现金股利总额。</w:t>
              </w:r>
            </w:p>
            <w:p w:rsidR="00806678" w:rsidRPr="006C12A2" w:rsidRDefault="006C12A2" w:rsidP="006C12A2">
              <w:pPr>
                <w:adjustRightInd w:val="0"/>
                <w:snapToGrid w:val="0"/>
                <w:spacing w:line="360" w:lineRule="auto"/>
                <w:ind w:firstLineChars="225" w:firstLine="473"/>
                <w:rPr>
                  <w:szCs w:val="21"/>
                </w:rPr>
              </w:pPr>
              <w:r w:rsidRPr="006C12A2">
                <w:rPr>
                  <w:rFonts w:hint="eastAsia"/>
                  <w:szCs w:val="21"/>
                </w:rPr>
                <w:t>本年度公司不进行公积金转增股本。</w:t>
              </w:r>
            </w:p>
          </w:sdtContent>
        </w:sdt>
      </w:sdtContent>
    </w:sdt>
    <w:sdt>
      <w:sdtPr>
        <w:rPr>
          <w:rFonts w:ascii="Calibri" w:hAnsi="Calibri" w:cs="宋体"/>
          <w:b w:val="0"/>
          <w:bCs w:val="0"/>
          <w:kern w:val="0"/>
          <w:sz w:val="24"/>
          <w:szCs w:val="24"/>
        </w:rPr>
        <w:alias w:val="模块:前瞻性陈述的风险声明"/>
        <w:tag w:val="_SEC_cc0a682043544feca8d6178ae3f9b57a"/>
        <w:id w:val="21347806"/>
        <w:lock w:val="sdtLocked"/>
        <w:placeholder>
          <w:docPart w:val="GBC22222222222222222222222222222"/>
        </w:placeholder>
      </w:sdtPr>
      <w:sdtEndPr>
        <w:rPr>
          <w:rFonts w:ascii="宋体" w:hAnsi="宋体" w:hint="eastAsia"/>
          <w:sz w:val="21"/>
          <w:shd w:val="pct15" w:color="auto" w:fill="FFFFFF"/>
        </w:rPr>
      </w:sdtEndPr>
      <w:sdtContent>
        <w:p w:rsidR="00806678" w:rsidRDefault="00B16377">
          <w:pPr>
            <w:pStyle w:val="2"/>
            <w:numPr>
              <w:ilvl w:val="0"/>
              <w:numId w:val="6"/>
            </w:numPr>
            <w:tabs>
              <w:tab w:val="left" w:pos="504"/>
            </w:tabs>
            <w:spacing w:before="0" w:after="0" w:line="360" w:lineRule="auto"/>
            <w:ind w:left="420" w:hangingChars="175"/>
          </w:pPr>
          <w:r>
            <w:t>前瞻性陈述的风险声明</w:t>
          </w:r>
        </w:p>
        <w:sdt>
          <w:sdtPr>
            <w:alias w:val="是否适用：前瞻性陈述的风险声明[双击切换]"/>
            <w:tag w:val="_GBC_5e5553f9f96e47e8b5eded9c0e6a26c0"/>
            <w:id w:val="-121618562"/>
            <w:lock w:val="sdtLocked"/>
            <w:placeholder>
              <w:docPart w:val="GBC22222222222222222222222222222"/>
            </w:placeholder>
          </w:sdtPr>
          <w:sdtContent>
            <w:p w:rsidR="00806678" w:rsidRDefault="00F80B6C">
              <w:r>
                <w:fldChar w:fldCharType="begin"/>
              </w:r>
              <w:r w:rsidR="00AD579F">
                <w:instrText xml:space="preserve">MACROBUTTON  SnrToggleCheckbox √适用 </w:instrText>
              </w:r>
              <w:r>
                <w:fldChar w:fldCharType="end"/>
              </w:r>
              <w:r>
                <w:fldChar w:fldCharType="begin"/>
              </w:r>
              <w:r w:rsidR="00AD579F">
                <w:instrText xml:space="preserve"> MACROBUTTON  SnrToggleCheckbox □不适用 </w:instrText>
              </w:r>
              <w:r>
                <w:fldChar w:fldCharType="end"/>
              </w:r>
            </w:p>
          </w:sdtContent>
        </w:sdt>
        <w:sdt>
          <w:sdtPr>
            <w:rPr>
              <w:rFonts w:hint="eastAsia"/>
              <w:szCs w:val="21"/>
            </w:rPr>
            <w:alias w:val="公司对报告涉及未来计划等前瞻性陈述的声明"/>
            <w:tag w:val="_GBC_1f83625afa8e46e9bb2a951797b077a3"/>
            <w:id w:val="4295423"/>
            <w:lock w:val="sdtLocked"/>
            <w:placeholder>
              <w:docPart w:val="GBC22222222222222222222222222222"/>
            </w:placeholder>
          </w:sdtPr>
          <w:sdtEndPr>
            <w:rPr>
              <w:shd w:val="pct15" w:color="auto" w:fill="FFFFFF"/>
            </w:rPr>
          </w:sdtEndPr>
          <w:sdtContent>
            <w:p w:rsidR="00806678" w:rsidRPr="00AD579F" w:rsidRDefault="00AD579F" w:rsidP="00AD579F">
              <w:pPr>
                <w:kinsoku w:val="0"/>
                <w:overflowPunct w:val="0"/>
                <w:autoSpaceDE w:val="0"/>
                <w:autoSpaceDN w:val="0"/>
                <w:adjustRightInd w:val="0"/>
                <w:snapToGrid w:val="0"/>
                <w:spacing w:line="360" w:lineRule="auto"/>
                <w:ind w:firstLineChars="200" w:firstLine="420"/>
                <w:rPr>
                  <w:szCs w:val="21"/>
                </w:rPr>
              </w:pPr>
              <w:r w:rsidRPr="004B6ABA">
                <w:rPr>
                  <w:rFonts w:hint="eastAsia"/>
                  <w:szCs w:val="21"/>
                </w:rPr>
                <w:t>本</w:t>
              </w:r>
              <w:r w:rsidRPr="004B6ABA">
                <w:rPr>
                  <w:szCs w:val="21"/>
                </w:rPr>
                <w:t>报告所涉及的未来经营计划、发展战略等前瞻性描述不构成公司对投资</w:t>
              </w:r>
              <w:r w:rsidRPr="004B6ABA">
                <w:rPr>
                  <w:rFonts w:hint="eastAsia"/>
                  <w:szCs w:val="21"/>
                </w:rPr>
                <w:t>者的实质承诺，敬请投资者注意投资风险。</w:t>
              </w:r>
            </w:p>
          </w:sdtContent>
        </w:sdt>
      </w:sdtContent>
    </w:sdt>
    <w:sdt>
      <w:sdtPr>
        <w:rPr>
          <w:rFonts w:ascii="Calibri" w:hAnsi="Calibri" w:cs="宋体" w:hint="eastAsia"/>
          <w:b w:val="0"/>
          <w:bCs w:val="0"/>
          <w:kern w:val="0"/>
          <w:sz w:val="24"/>
          <w:szCs w:val="24"/>
          <w:shd w:val="pct15" w:color="auto" w:fill="FFFFFF"/>
        </w:rPr>
        <w:alias w:val="模块:本公司是否存在大股东占用资金情况"/>
        <w:tag w:val="_SEC_dd7ae952183947878c4ccc9b523f2fd5"/>
        <w:id w:val="-871536405"/>
        <w:lock w:val="sdtLocked"/>
        <w:placeholder>
          <w:docPart w:val="GBC22222222222222222222222222222"/>
        </w:placeholder>
      </w:sdtPr>
      <w:sdtEndPr>
        <w:rPr>
          <w:rFonts w:ascii="宋体" w:hAnsi="宋体"/>
          <w:sz w:val="21"/>
          <w:shd w:val="clear" w:color="auto" w:fill="auto"/>
        </w:rPr>
      </w:sdtEndPr>
      <w:sdtContent>
        <w:p w:rsidR="00806678" w:rsidRDefault="00B16377">
          <w:pPr>
            <w:pStyle w:val="2"/>
            <w:numPr>
              <w:ilvl w:val="0"/>
              <w:numId w:val="6"/>
            </w:numPr>
            <w:tabs>
              <w:tab w:val="left" w:pos="434"/>
              <w:tab w:val="left" w:pos="644"/>
            </w:tabs>
            <w:spacing w:before="0" w:after="0" w:line="360" w:lineRule="auto"/>
            <w:ind w:left="420" w:hangingChars="175"/>
          </w:pPr>
          <w:r>
            <w:t>是否存在被控股股东及其</w:t>
          </w:r>
          <w:r>
            <w:rPr>
              <w:rFonts w:hint="eastAsia"/>
            </w:rPr>
            <w:t>他</w:t>
          </w:r>
          <w:r>
            <w:t>关联方非经营性占用资金情况</w:t>
          </w:r>
        </w:p>
        <w:sdt>
          <w:sdtPr>
            <w:rPr>
              <w:rFonts w:ascii="Arial" w:hAnsi="Arial" w:hint="eastAsia"/>
              <w:bCs/>
              <w:szCs w:val="21"/>
            </w:rPr>
            <w:alias w:val="本公司是否存在大股东占用资金情况"/>
            <w:tag w:val="_GBC_a9b8d3170fbb4d50a645223c117f8b30"/>
            <w:id w:val="1054286492"/>
            <w:lock w:val="sdtLocked"/>
            <w:placeholder>
              <w:docPart w:val="GBC22222222222222222222222222222"/>
            </w:placeholder>
            <w:comboBox>
              <w:listItem w:displayText="是" w:value="true"/>
              <w:listItem w:displayText="否" w:value="false"/>
            </w:comboBox>
          </w:sdtPr>
          <w:sdtContent>
            <w:p w:rsidR="00806678" w:rsidRDefault="00FA0330">
              <w:pPr>
                <w:kinsoku w:val="0"/>
                <w:overflowPunct w:val="0"/>
                <w:autoSpaceDE w:val="0"/>
                <w:autoSpaceDN w:val="0"/>
                <w:adjustRightInd w:val="0"/>
                <w:snapToGrid w:val="0"/>
                <w:spacing w:line="360" w:lineRule="exact"/>
                <w:rPr>
                  <w:rFonts w:ascii="Arial" w:hAnsi="Arial"/>
                  <w:bCs/>
                  <w:szCs w:val="21"/>
                </w:rPr>
              </w:pPr>
              <w:r>
                <w:rPr>
                  <w:rFonts w:ascii="Arial" w:hAnsi="Arial" w:hint="eastAsia"/>
                  <w:bCs/>
                  <w:szCs w:val="21"/>
                </w:rPr>
                <w:t>否</w:t>
              </w:r>
            </w:p>
          </w:sdtContent>
        </w:sdt>
      </w:sdtContent>
    </w:sdt>
    <w:sdt>
      <w:sdtPr>
        <w:rPr>
          <w:rFonts w:ascii="Calibri" w:hAnsi="Calibri" w:cs="宋体"/>
          <w:b w:val="0"/>
          <w:bCs w:val="0"/>
          <w:kern w:val="0"/>
          <w:sz w:val="24"/>
          <w:szCs w:val="24"/>
        </w:rPr>
        <w:alias w:val="模块:本公司是否存在违反规定决策程序对外提供担保的情况"/>
        <w:tag w:val="_SEC_05a034f558514905b67eb7706c31865e"/>
        <w:id w:val="4295434"/>
        <w:lock w:val="sdtLocked"/>
        <w:placeholder>
          <w:docPart w:val="GBC22222222222222222222222222222"/>
        </w:placeholder>
      </w:sdtPr>
      <w:sdtEndPr>
        <w:rPr>
          <w:rFonts w:ascii="宋体" w:hAnsi="宋体" w:hint="eastAsia"/>
          <w:sz w:val="21"/>
        </w:rPr>
      </w:sdtEndPr>
      <w:sdtContent>
        <w:p w:rsidR="00806678" w:rsidRDefault="00B16377">
          <w:pPr>
            <w:pStyle w:val="2"/>
            <w:numPr>
              <w:ilvl w:val="0"/>
              <w:numId w:val="6"/>
            </w:numPr>
            <w:tabs>
              <w:tab w:val="left" w:pos="644"/>
            </w:tabs>
            <w:spacing w:before="0" w:after="0" w:line="360" w:lineRule="auto"/>
            <w:ind w:left="420" w:hangingChars="175"/>
          </w:pPr>
          <w:r>
            <w:t>是否存在违反规定决策程序对外提供担保的情况</w:t>
          </w:r>
        </w:p>
        <w:sdt>
          <w:sdtPr>
            <w:rPr>
              <w:rFonts w:hint="eastAsia"/>
              <w:szCs w:val="21"/>
            </w:rPr>
            <w:alias w:val="本公司是否存在违反规定决策程序对外提供担保的情况"/>
            <w:tag w:val="_GBC_aef7ac6bbdf043bc8051c4f9fb55e5ea"/>
            <w:id w:val="4295430"/>
            <w:lock w:val="sdtLocked"/>
            <w:placeholder>
              <w:docPart w:val="GBC22222222222222222222222222222"/>
            </w:placeholder>
            <w:comboBox>
              <w:listItem w:displayText="是" w:value="true"/>
              <w:listItem w:displayText="否" w:value="false"/>
            </w:comboBox>
          </w:sdtPr>
          <w:sdtContent>
            <w:p w:rsidR="00806678" w:rsidRPr="007B7B4A" w:rsidRDefault="00FA0330">
              <w:pPr>
                <w:rPr>
                  <w:szCs w:val="21"/>
                </w:rPr>
              </w:pPr>
              <w:r>
                <w:rPr>
                  <w:rFonts w:hint="eastAsia"/>
                  <w:szCs w:val="21"/>
                </w:rPr>
                <w:t>否</w:t>
              </w:r>
            </w:p>
          </w:sdtContent>
        </w:sdt>
      </w:sdtContent>
    </w:sdt>
    <w:bookmarkStart w:id="1" w:name="_Hlk61881950" w:displacedByCustomXml="next"/>
    <w:sdt>
      <w:sdtPr>
        <w:rPr>
          <w:rFonts w:ascii="Calibri" w:hAnsi="Calibri" w:cs="宋体"/>
          <w:b w:val="0"/>
          <w:bCs w:val="0"/>
          <w:kern w:val="0"/>
          <w:szCs w:val="24"/>
        </w:rPr>
        <w:alias w:val="模块:是否存在半数以上董事无法保证公司所披露年度报告的真实性、准确..."/>
        <w:tag w:val="_SEC_48356da23f6a4bf99307cdd80c7327ad"/>
        <w:id w:val="-1518383521"/>
        <w:lock w:val="sdtLocked"/>
        <w:placeholder>
          <w:docPart w:val="GBC22222222222222222222222222222"/>
        </w:placeholder>
      </w:sdtPr>
      <w:sdtEndPr>
        <w:rPr>
          <w:rFonts w:ascii="宋体" w:hAnsi="宋体" w:hint="eastAsia"/>
        </w:rPr>
      </w:sdtEndPr>
      <w:sdtContent>
        <w:p w:rsidR="00806678" w:rsidRDefault="00B16377">
          <w:pPr>
            <w:pStyle w:val="2"/>
            <w:numPr>
              <w:ilvl w:val="0"/>
              <w:numId w:val="6"/>
            </w:numPr>
            <w:tabs>
              <w:tab w:val="left" w:pos="644"/>
            </w:tabs>
            <w:spacing w:before="0" w:after="0" w:line="360" w:lineRule="auto"/>
            <w:ind w:left="368" w:hangingChars="175" w:hanging="368"/>
            <w:rPr>
              <w:rFonts w:ascii="Calibri" w:hAnsi="Calibri" w:cs="宋体"/>
              <w:kern w:val="0"/>
            </w:rPr>
          </w:pPr>
          <w:r>
            <w:rPr>
              <w:rFonts w:ascii="Calibri" w:hAnsi="Calibri" w:cs="宋体"/>
              <w:kern w:val="0"/>
            </w:rPr>
            <w:t>是否存在半数</w:t>
          </w:r>
          <w:r>
            <w:rPr>
              <w:rFonts w:ascii="Calibri" w:hAnsi="Calibri" w:cs="宋体" w:hint="eastAsia"/>
              <w:kern w:val="0"/>
            </w:rPr>
            <w:t>以上</w:t>
          </w:r>
          <w:r>
            <w:rPr>
              <w:rFonts w:ascii="Calibri" w:hAnsi="Calibri" w:cs="宋体"/>
              <w:kern w:val="0"/>
            </w:rPr>
            <w:t>董事无法保证公司所披露年度报告的真实性、准确性和完整性</w:t>
          </w:r>
          <w:bookmarkEnd w:id="1"/>
        </w:p>
        <w:sdt>
          <w:sdtPr>
            <w:rPr>
              <w:rFonts w:hint="eastAsia"/>
            </w:rPr>
            <w:alias w:val="是否存在半数以上董事无法保证公司所披露年度报告的真实性、准确性和完整性"/>
            <w:tag w:val="_GBC_abc43c78fabf487d8ee599f7fe1628a3"/>
            <w:id w:val="-1756052650"/>
            <w:lock w:val="sdtLocked"/>
            <w:placeholder>
              <w:docPart w:val="GBC22222222222222222222222222222"/>
            </w:placeholder>
            <w:comboBox>
              <w:listItem w:displayText="是" w:value="是"/>
              <w:listItem w:displayText="否" w:value="否"/>
            </w:comboBox>
          </w:sdtPr>
          <w:sdtContent>
            <w:p w:rsidR="00806678" w:rsidRDefault="00FA0330" w:rsidP="00FA0330">
              <w:pPr>
                <w:rPr>
                  <w:szCs w:val="21"/>
                </w:rPr>
              </w:pPr>
              <w:r>
                <w:rPr>
                  <w:rFonts w:hint="eastAsia"/>
                </w:rPr>
                <w:t>否</w:t>
              </w:r>
            </w:p>
          </w:sdtContent>
        </w:sdt>
      </w:sdtContent>
    </w:sdt>
    <w:sdt>
      <w:sdtPr>
        <w:rPr>
          <w:rFonts w:ascii="宋体" w:hAnsi="宋体" w:cs="宋体"/>
          <w:b w:val="0"/>
          <w:bCs w:val="0"/>
          <w:kern w:val="0"/>
          <w:szCs w:val="24"/>
        </w:rPr>
        <w:alias w:val="模块:重大风险提示"/>
        <w:tag w:val="_SEC_9889b4a81d8e4a009c1c90b6eaff4bed"/>
        <w:id w:val="11228095"/>
        <w:lock w:val="sdtLocked"/>
        <w:placeholder>
          <w:docPart w:val="GBC22222222222222222222222222222"/>
        </w:placeholder>
      </w:sdtPr>
      <w:sdtContent>
        <w:p w:rsidR="00806678" w:rsidRDefault="00B16377">
          <w:pPr>
            <w:pStyle w:val="2"/>
            <w:numPr>
              <w:ilvl w:val="0"/>
              <w:numId w:val="6"/>
            </w:numPr>
            <w:tabs>
              <w:tab w:val="left" w:pos="644"/>
            </w:tabs>
            <w:spacing w:before="0" w:after="0" w:line="360" w:lineRule="auto"/>
            <w:ind w:left="368" w:hangingChars="175" w:hanging="368"/>
          </w:pPr>
          <w:r>
            <w:rPr>
              <w:rFonts w:hint="eastAsia"/>
            </w:rPr>
            <w:t>重大风险提示</w:t>
          </w:r>
        </w:p>
        <w:sdt>
          <w:sdtPr>
            <w:alias w:val="重大风险提示"/>
            <w:tag w:val="_GBC_43a6b8847e0241f1af5326af848c7cec"/>
            <w:id w:val="8340739"/>
            <w:lock w:val="sdtLocked"/>
            <w:placeholder>
              <w:docPart w:val="GBC22222222222222222222222222222"/>
            </w:placeholder>
          </w:sdtPr>
          <w:sdtContent>
            <w:p w:rsidR="00806678" w:rsidRPr="00FA0330" w:rsidRDefault="00FA0330" w:rsidP="00FA0330">
              <w:pPr>
                <w:spacing w:line="360" w:lineRule="auto"/>
                <w:ind w:firstLineChars="200" w:firstLine="420"/>
                <w:rPr>
                  <w:szCs w:val="21"/>
                </w:rPr>
              </w:pPr>
              <w:r w:rsidRPr="004B6ABA">
                <w:rPr>
                  <w:rFonts w:hint="eastAsia"/>
                  <w:szCs w:val="21"/>
                </w:rPr>
                <w:t>公司已在本年度报告中详</w:t>
              </w:r>
              <w:r>
                <w:rPr>
                  <w:rFonts w:hint="eastAsia"/>
                  <w:szCs w:val="21"/>
                </w:rPr>
                <w:t>细描述了可能存在的相关风险，具体内容和应对措施详见本年度报告第三</w:t>
              </w:r>
              <w:r w:rsidRPr="004B6ABA">
                <w:rPr>
                  <w:rFonts w:hint="eastAsia"/>
                  <w:szCs w:val="21"/>
                </w:rPr>
                <w:t>节</w:t>
              </w:r>
              <w:r>
                <w:rPr>
                  <w:rFonts w:hint="eastAsia"/>
                  <w:szCs w:val="21"/>
                </w:rPr>
                <w:t>管理层</w:t>
              </w:r>
              <w:r w:rsidRPr="004B6ABA">
                <w:rPr>
                  <w:rFonts w:hint="eastAsia"/>
                  <w:szCs w:val="21"/>
                </w:rPr>
                <w:t>讨论与分析中“可能面对的风险”部分。</w:t>
              </w:r>
            </w:p>
          </w:sdtContent>
        </w:sdt>
      </w:sdtContent>
    </w:sdt>
    <w:sdt>
      <w:sdtPr>
        <w:rPr>
          <w:rFonts w:ascii="宋体" w:hAnsi="宋体" w:cs="宋体"/>
          <w:b w:val="0"/>
          <w:bCs w:val="0"/>
          <w:kern w:val="0"/>
          <w:szCs w:val="24"/>
        </w:rPr>
        <w:alias w:val="模块:重要提示的其他情况说明"/>
        <w:tag w:val="_SEC_e9484471c6da4ac39a115f2e22fdac24"/>
        <w:id w:val="833425077"/>
        <w:lock w:val="sdtLocked"/>
        <w:placeholder>
          <w:docPart w:val="GBC22222222222222222222222222222"/>
        </w:placeholder>
      </w:sdtPr>
      <w:sdtContent>
        <w:p w:rsidR="00806678" w:rsidRDefault="00B16377">
          <w:pPr>
            <w:pStyle w:val="2"/>
            <w:numPr>
              <w:ilvl w:val="0"/>
              <w:numId w:val="6"/>
            </w:numPr>
            <w:tabs>
              <w:tab w:val="left" w:pos="588"/>
              <w:tab w:val="left" w:pos="644"/>
              <w:tab w:val="left" w:pos="672"/>
            </w:tabs>
            <w:spacing w:before="0" w:after="0" w:line="360" w:lineRule="auto"/>
            <w:ind w:left="368" w:hangingChars="175" w:hanging="368"/>
          </w:pPr>
          <w:r>
            <w:rPr>
              <w:rFonts w:hint="eastAsia"/>
            </w:rPr>
            <w:t>其他</w:t>
          </w:r>
        </w:p>
        <w:sdt>
          <w:sdtPr>
            <w:alias w:val="是否适用：其他重要提示[双击切换]"/>
            <w:tag w:val="_GBC_0eafa210a73340628544c13dacbc7643"/>
            <w:id w:val="-2046666943"/>
            <w:lock w:val="sdtLocked"/>
            <w:placeholder>
              <w:docPart w:val="GBC22222222222222222222222222222"/>
            </w:placeholder>
          </w:sdtPr>
          <w:sdtContent>
            <w:p w:rsidR="00806678" w:rsidRDefault="00F80B6C" w:rsidP="00FA0330">
              <w:pPr>
                <w:rPr>
                  <w:szCs w:val="21"/>
                </w:rPr>
              </w:pPr>
              <w:r>
                <w:fldChar w:fldCharType="begin"/>
              </w:r>
              <w:r w:rsidR="00FA0330">
                <w:instrText xml:space="preserve">MACROBUTTON  SnrToggleCheckbox □适用 </w:instrText>
              </w:r>
              <w:r>
                <w:fldChar w:fldCharType="end"/>
              </w:r>
              <w:r>
                <w:fldChar w:fldCharType="begin"/>
              </w:r>
              <w:r w:rsidR="00FA0330">
                <w:instrText xml:space="preserve"> MACROBUTTON  SnrToggleCheckbox √不适用 </w:instrText>
              </w:r>
              <w:r>
                <w:fldChar w:fldCharType="end"/>
              </w:r>
            </w:p>
          </w:sdtContent>
        </w:sdt>
        <w:p w:rsidR="00806678" w:rsidRDefault="00F80B6C">
          <w:pPr>
            <w:rPr>
              <w:szCs w:val="21"/>
            </w:rPr>
          </w:pPr>
        </w:p>
      </w:sdtContent>
    </w:sdt>
    <w:p w:rsidR="00806678" w:rsidRDefault="00B16377">
      <w:pPr>
        <w:rPr>
          <w:szCs w:val="21"/>
        </w:rPr>
      </w:pPr>
      <w:r>
        <w:rPr>
          <w:szCs w:val="21"/>
        </w:rPr>
        <w:br w:type="page"/>
      </w:r>
    </w:p>
    <w:p w:rsidR="00806678" w:rsidRDefault="00B16377">
      <w:pPr>
        <w:spacing w:line="480" w:lineRule="auto"/>
        <w:jc w:val="center"/>
        <w:rPr>
          <w:b/>
          <w:sz w:val="28"/>
          <w:szCs w:val="28"/>
        </w:rPr>
      </w:pPr>
      <w:r>
        <w:rPr>
          <w:rFonts w:hint="eastAsia"/>
          <w:b/>
          <w:sz w:val="28"/>
          <w:szCs w:val="28"/>
        </w:rPr>
        <w:lastRenderedPageBreak/>
        <w:t>目录</w:t>
      </w:r>
    </w:p>
    <w:p w:rsidR="00806678" w:rsidRDefault="00F80B6C">
      <w:pPr>
        <w:pStyle w:val="11"/>
        <w:rPr>
          <w:rFonts w:asciiTheme="minorHAnsi" w:eastAsiaTheme="minorEastAsia" w:hAnsiTheme="minorHAnsi" w:cstheme="minorBidi"/>
          <w:b/>
          <w:bCs/>
          <w:noProof/>
          <w:szCs w:val="22"/>
        </w:rPr>
      </w:pPr>
      <w:r w:rsidRPr="00F80B6C">
        <w:rPr>
          <w:b/>
          <w:bCs/>
        </w:rPr>
        <w:fldChar w:fldCharType="begin"/>
      </w:r>
      <w:r w:rsidR="00B16377">
        <w:rPr>
          <w:b/>
          <w:bCs/>
        </w:rPr>
        <w:instrText xml:space="preserve"> TOC \o "1-1" \h \z \u </w:instrText>
      </w:r>
      <w:r w:rsidRPr="00F80B6C">
        <w:rPr>
          <w:b/>
          <w:bCs/>
        </w:rPr>
        <w:fldChar w:fldCharType="separate"/>
      </w:r>
      <w:hyperlink w:anchor="_Toc89790248" w:history="1">
        <w:r w:rsidR="00B16377">
          <w:rPr>
            <w:rStyle w:val="a3"/>
            <w:b/>
            <w:bCs/>
            <w:noProof/>
          </w:rPr>
          <w:t>第一节</w:t>
        </w:r>
        <w:r w:rsidR="00B16377">
          <w:rPr>
            <w:rFonts w:asciiTheme="minorHAnsi" w:eastAsiaTheme="minorEastAsia" w:hAnsiTheme="minorHAnsi" w:cstheme="minorBidi"/>
            <w:b/>
            <w:bCs/>
            <w:noProof/>
            <w:szCs w:val="22"/>
          </w:rPr>
          <w:tab/>
        </w:r>
        <w:r w:rsidR="00B16377">
          <w:rPr>
            <w:rStyle w:val="a3"/>
            <w:b/>
            <w:bCs/>
            <w:noProof/>
          </w:rPr>
          <w:t>释义</w:t>
        </w:r>
        <w:r w:rsidR="00B16377">
          <w:rPr>
            <w:b/>
            <w:bCs/>
            <w:noProof/>
            <w:webHidden/>
          </w:rPr>
          <w:tab/>
        </w:r>
        <w:r>
          <w:rPr>
            <w:b/>
            <w:bCs/>
            <w:noProof/>
            <w:webHidden/>
          </w:rPr>
          <w:fldChar w:fldCharType="begin"/>
        </w:r>
        <w:r w:rsidR="00B16377">
          <w:rPr>
            <w:b/>
            <w:bCs/>
            <w:noProof/>
            <w:webHidden/>
          </w:rPr>
          <w:instrText xml:space="preserve"> PAGEREF _Toc89790248 \h </w:instrText>
        </w:r>
        <w:r>
          <w:rPr>
            <w:b/>
            <w:bCs/>
            <w:noProof/>
            <w:webHidden/>
          </w:rPr>
        </w:r>
        <w:r>
          <w:rPr>
            <w:b/>
            <w:bCs/>
            <w:noProof/>
            <w:webHidden/>
          </w:rPr>
          <w:fldChar w:fldCharType="separate"/>
        </w:r>
        <w:r w:rsidR="006C53C7">
          <w:rPr>
            <w:b/>
            <w:bCs/>
            <w:noProof/>
            <w:webHidden/>
          </w:rPr>
          <w:t>4</w:t>
        </w:r>
        <w:r>
          <w:rPr>
            <w:b/>
            <w:bCs/>
            <w:noProof/>
            <w:webHidden/>
          </w:rPr>
          <w:fldChar w:fldCharType="end"/>
        </w:r>
      </w:hyperlink>
    </w:p>
    <w:p w:rsidR="00806678" w:rsidRDefault="00F80B6C">
      <w:pPr>
        <w:pStyle w:val="11"/>
        <w:rPr>
          <w:rFonts w:asciiTheme="minorHAnsi" w:eastAsiaTheme="minorEastAsia" w:hAnsiTheme="minorHAnsi" w:cstheme="minorBidi"/>
          <w:b/>
          <w:bCs/>
          <w:noProof/>
          <w:szCs w:val="22"/>
        </w:rPr>
      </w:pPr>
      <w:hyperlink w:anchor="_Toc89790249" w:history="1">
        <w:r w:rsidR="00B16377">
          <w:rPr>
            <w:rStyle w:val="a3"/>
            <w:b/>
            <w:bCs/>
            <w:noProof/>
          </w:rPr>
          <w:t>第二节</w:t>
        </w:r>
        <w:r w:rsidR="00B16377">
          <w:rPr>
            <w:rFonts w:asciiTheme="minorHAnsi" w:eastAsiaTheme="minorEastAsia" w:hAnsiTheme="minorHAnsi" w:cstheme="minorBidi"/>
            <w:b/>
            <w:bCs/>
            <w:noProof/>
            <w:szCs w:val="22"/>
          </w:rPr>
          <w:tab/>
        </w:r>
        <w:r w:rsidR="00B16377">
          <w:rPr>
            <w:rStyle w:val="a3"/>
            <w:b/>
            <w:bCs/>
            <w:noProof/>
          </w:rPr>
          <w:t>公司简介和主要财务指标</w:t>
        </w:r>
        <w:r w:rsidR="00B16377">
          <w:rPr>
            <w:b/>
            <w:bCs/>
            <w:noProof/>
            <w:webHidden/>
          </w:rPr>
          <w:tab/>
        </w:r>
        <w:r>
          <w:rPr>
            <w:b/>
            <w:bCs/>
            <w:noProof/>
            <w:webHidden/>
          </w:rPr>
          <w:fldChar w:fldCharType="begin"/>
        </w:r>
        <w:r w:rsidR="00B16377">
          <w:rPr>
            <w:b/>
            <w:bCs/>
            <w:noProof/>
            <w:webHidden/>
          </w:rPr>
          <w:instrText xml:space="preserve"> PAGEREF _Toc89790249 \h </w:instrText>
        </w:r>
        <w:r>
          <w:rPr>
            <w:b/>
            <w:bCs/>
            <w:noProof/>
            <w:webHidden/>
          </w:rPr>
        </w:r>
        <w:r>
          <w:rPr>
            <w:b/>
            <w:bCs/>
            <w:noProof/>
            <w:webHidden/>
          </w:rPr>
          <w:fldChar w:fldCharType="separate"/>
        </w:r>
        <w:r w:rsidR="006C53C7">
          <w:rPr>
            <w:b/>
            <w:bCs/>
            <w:noProof/>
            <w:webHidden/>
          </w:rPr>
          <w:t>5</w:t>
        </w:r>
        <w:r>
          <w:rPr>
            <w:b/>
            <w:bCs/>
            <w:noProof/>
            <w:webHidden/>
          </w:rPr>
          <w:fldChar w:fldCharType="end"/>
        </w:r>
      </w:hyperlink>
    </w:p>
    <w:p w:rsidR="00806678" w:rsidRDefault="00F80B6C">
      <w:pPr>
        <w:pStyle w:val="11"/>
        <w:rPr>
          <w:rFonts w:asciiTheme="minorHAnsi" w:eastAsiaTheme="minorEastAsia" w:hAnsiTheme="minorHAnsi" w:cstheme="minorBidi"/>
          <w:b/>
          <w:bCs/>
          <w:noProof/>
          <w:szCs w:val="22"/>
        </w:rPr>
      </w:pPr>
      <w:hyperlink w:anchor="_Toc89790250" w:history="1">
        <w:r w:rsidR="00B16377">
          <w:rPr>
            <w:rStyle w:val="a3"/>
            <w:b/>
            <w:bCs/>
            <w:noProof/>
          </w:rPr>
          <w:t>第三节</w:t>
        </w:r>
        <w:r w:rsidR="00B16377">
          <w:rPr>
            <w:rFonts w:asciiTheme="minorHAnsi" w:eastAsiaTheme="minorEastAsia" w:hAnsiTheme="minorHAnsi" w:cstheme="minorBidi"/>
            <w:b/>
            <w:bCs/>
            <w:noProof/>
            <w:szCs w:val="22"/>
          </w:rPr>
          <w:tab/>
        </w:r>
        <w:r w:rsidR="00B16377">
          <w:rPr>
            <w:rStyle w:val="a3"/>
            <w:b/>
            <w:bCs/>
            <w:noProof/>
          </w:rPr>
          <w:t>管理层讨论与分析</w:t>
        </w:r>
        <w:r w:rsidR="00B16377">
          <w:rPr>
            <w:b/>
            <w:bCs/>
            <w:noProof/>
            <w:webHidden/>
          </w:rPr>
          <w:tab/>
        </w:r>
        <w:r>
          <w:rPr>
            <w:b/>
            <w:bCs/>
            <w:noProof/>
            <w:webHidden/>
          </w:rPr>
          <w:fldChar w:fldCharType="begin"/>
        </w:r>
        <w:r w:rsidR="00B16377">
          <w:rPr>
            <w:b/>
            <w:bCs/>
            <w:noProof/>
            <w:webHidden/>
          </w:rPr>
          <w:instrText xml:space="preserve"> PAGEREF _Toc89790250 \h </w:instrText>
        </w:r>
        <w:r>
          <w:rPr>
            <w:b/>
            <w:bCs/>
            <w:noProof/>
            <w:webHidden/>
          </w:rPr>
        </w:r>
        <w:r>
          <w:rPr>
            <w:b/>
            <w:bCs/>
            <w:noProof/>
            <w:webHidden/>
          </w:rPr>
          <w:fldChar w:fldCharType="separate"/>
        </w:r>
        <w:r w:rsidR="006C53C7">
          <w:rPr>
            <w:b/>
            <w:bCs/>
            <w:noProof/>
            <w:webHidden/>
          </w:rPr>
          <w:t>8</w:t>
        </w:r>
        <w:r>
          <w:rPr>
            <w:b/>
            <w:bCs/>
            <w:noProof/>
            <w:webHidden/>
          </w:rPr>
          <w:fldChar w:fldCharType="end"/>
        </w:r>
      </w:hyperlink>
    </w:p>
    <w:p w:rsidR="00806678" w:rsidRDefault="00F80B6C">
      <w:pPr>
        <w:pStyle w:val="11"/>
        <w:rPr>
          <w:rFonts w:asciiTheme="minorHAnsi" w:eastAsiaTheme="minorEastAsia" w:hAnsiTheme="minorHAnsi" w:cstheme="minorBidi"/>
          <w:b/>
          <w:bCs/>
          <w:noProof/>
          <w:szCs w:val="22"/>
        </w:rPr>
      </w:pPr>
      <w:hyperlink w:anchor="_Toc89790251" w:history="1">
        <w:r w:rsidR="00B16377">
          <w:rPr>
            <w:rStyle w:val="a3"/>
            <w:b/>
            <w:bCs/>
            <w:noProof/>
          </w:rPr>
          <w:t>第四节</w:t>
        </w:r>
        <w:r w:rsidR="00B16377">
          <w:rPr>
            <w:rFonts w:asciiTheme="minorHAnsi" w:eastAsiaTheme="minorEastAsia" w:hAnsiTheme="minorHAnsi" w:cstheme="minorBidi"/>
            <w:b/>
            <w:bCs/>
            <w:noProof/>
            <w:szCs w:val="22"/>
          </w:rPr>
          <w:tab/>
        </w:r>
        <w:r w:rsidR="00B16377">
          <w:rPr>
            <w:rStyle w:val="a3"/>
            <w:b/>
            <w:bCs/>
            <w:noProof/>
          </w:rPr>
          <w:t>公司治理</w:t>
        </w:r>
        <w:r w:rsidR="00B16377">
          <w:rPr>
            <w:b/>
            <w:bCs/>
            <w:noProof/>
            <w:webHidden/>
          </w:rPr>
          <w:tab/>
        </w:r>
        <w:r>
          <w:rPr>
            <w:b/>
            <w:bCs/>
            <w:noProof/>
            <w:webHidden/>
          </w:rPr>
          <w:fldChar w:fldCharType="begin"/>
        </w:r>
        <w:r w:rsidR="00B16377">
          <w:rPr>
            <w:b/>
            <w:bCs/>
            <w:noProof/>
            <w:webHidden/>
          </w:rPr>
          <w:instrText xml:space="preserve"> PAGEREF _Toc89790251 \h </w:instrText>
        </w:r>
        <w:r>
          <w:rPr>
            <w:b/>
            <w:bCs/>
            <w:noProof/>
            <w:webHidden/>
          </w:rPr>
        </w:r>
        <w:r>
          <w:rPr>
            <w:b/>
            <w:bCs/>
            <w:noProof/>
            <w:webHidden/>
          </w:rPr>
          <w:fldChar w:fldCharType="separate"/>
        </w:r>
        <w:r w:rsidR="006C53C7">
          <w:rPr>
            <w:b/>
            <w:bCs/>
            <w:noProof/>
            <w:webHidden/>
          </w:rPr>
          <w:t>24</w:t>
        </w:r>
        <w:r>
          <w:rPr>
            <w:b/>
            <w:bCs/>
            <w:noProof/>
            <w:webHidden/>
          </w:rPr>
          <w:fldChar w:fldCharType="end"/>
        </w:r>
      </w:hyperlink>
    </w:p>
    <w:p w:rsidR="00806678" w:rsidRDefault="00F80B6C">
      <w:pPr>
        <w:pStyle w:val="11"/>
        <w:rPr>
          <w:rFonts w:asciiTheme="minorHAnsi" w:eastAsiaTheme="minorEastAsia" w:hAnsiTheme="minorHAnsi" w:cstheme="minorBidi"/>
          <w:b/>
          <w:bCs/>
          <w:noProof/>
          <w:szCs w:val="22"/>
        </w:rPr>
      </w:pPr>
      <w:hyperlink w:anchor="_Toc89790252" w:history="1">
        <w:r w:rsidR="00B16377">
          <w:rPr>
            <w:rStyle w:val="a3"/>
            <w:b/>
            <w:bCs/>
            <w:noProof/>
          </w:rPr>
          <w:t>第五节</w:t>
        </w:r>
        <w:r w:rsidR="00B16377">
          <w:rPr>
            <w:rFonts w:asciiTheme="minorHAnsi" w:eastAsiaTheme="minorEastAsia" w:hAnsiTheme="minorHAnsi" w:cstheme="minorBidi"/>
            <w:b/>
            <w:bCs/>
            <w:noProof/>
            <w:szCs w:val="22"/>
          </w:rPr>
          <w:tab/>
        </w:r>
        <w:r w:rsidR="00B16377">
          <w:rPr>
            <w:rStyle w:val="a3"/>
            <w:b/>
            <w:bCs/>
            <w:noProof/>
          </w:rPr>
          <w:t>环境与社会责任</w:t>
        </w:r>
        <w:r w:rsidR="00B16377">
          <w:rPr>
            <w:b/>
            <w:bCs/>
            <w:noProof/>
            <w:webHidden/>
          </w:rPr>
          <w:tab/>
        </w:r>
        <w:r>
          <w:rPr>
            <w:b/>
            <w:bCs/>
            <w:noProof/>
            <w:webHidden/>
          </w:rPr>
          <w:fldChar w:fldCharType="begin"/>
        </w:r>
        <w:r w:rsidR="00B16377">
          <w:rPr>
            <w:b/>
            <w:bCs/>
            <w:noProof/>
            <w:webHidden/>
          </w:rPr>
          <w:instrText xml:space="preserve"> PAGEREF _Toc89790252 \h </w:instrText>
        </w:r>
        <w:r>
          <w:rPr>
            <w:b/>
            <w:bCs/>
            <w:noProof/>
            <w:webHidden/>
          </w:rPr>
        </w:r>
        <w:r>
          <w:rPr>
            <w:b/>
            <w:bCs/>
            <w:noProof/>
            <w:webHidden/>
          </w:rPr>
          <w:fldChar w:fldCharType="separate"/>
        </w:r>
        <w:r w:rsidR="006C53C7">
          <w:rPr>
            <w:b/>
            <w:bCs/>
            <w:noProof/>
            <w:webHidden/>
          </w:rPr>
          <w:t>38</w:t>
        </w:r>
        <w:r>
          <w:rPr>
            <w:b/>
            <w:bCs/>
            <w:noProof/>
            <w:webHidden/>
          </w:rPr>
          <w:fldChar w:fldCharType="end"/>
        </w:r>
      </w:hyperlink>
    </w:p>
    <w:p w:rsidR="00806678" w:rsidRDefault="00F80B6C">
      <w:pPr>
        <w:pStyle w:val="11"/>
        <w:rPr>
          <w:rFonts w:asciiTheme="minorHAnsi" w:eastAsiaTheme="minorEastAsia" w:hAnsiTheme="minorHAnsi" w:cstheme="minorBidi"/>
          <w:b/>
          <w:bCs/>
          <w:noProof/>
          <w:szCs w:val="22"/>
        </w:rPr>
      </w:pPr>
      <w:hyperlink w:anchor="_Toc89790253" w:history="1">
        <w:r w:rsidR="00B16377">
          <w:rPr>
            <w:rStyle w:val="a3"/>
            <w:b/>
            <w:bCs/>
            <w:noProof/>
          </w:rPr>
          <w:t>第六节</w:t>
        </w:r>
        <w:r w:rsidR="00B16377">
          <w:rPr>
            <w:rFonts w:asciiTheme="minorHAnsi" w:eastAsiaTheme="minorEastAsia" w:hAnsiTheme="minorHAnsi" w:cstheme="minorBidi"/>
            <w:b/>
            <w:bCs/>
            <w:noProof/>
            <w:szCs w:val="22"/>
          </w:rPr>
          <w:tab/>
        </w:r>
        <w:r w:rsidR="00B16377">
          <w:rPr>
            <w:rStyle w:val="a3"/>
            <w:b/>
            <w:bCs/>
            <w:noProof/>
          </w:rPr>
          <w:t>重要事项</w:t>
        </w:r>
        <w:r w:rsidR="00B16377">
          <w:rPr>
            <w:b/>
            <w:bCs/>
            <w:noProof/>
            <w:webHidden/>
          </w:rPr>
          <w:tab/>
        </w:r>
        <w:r>
          <w:rPr>
            <w:b/>
            <w:bCs/>
            <w:noProof/>
            <w:webHidden/>
          </w:rPr>
          <w:fldChar w:fldCharType="begin"/>
        </w:r>
        <w:r w:rsidR="00B16377">
          <w:rPr>
            <w:b/>
            <w:bCs/>
            <w:noProof/>
            <w:webHidden/>
          </w:rPr>
          <w:instrText xml:space="preserve"> PAGEREF _Toc89790253 \h </w:instrText>
        </w:r>
        <w:r>
          <w:rPr>
            <w:b/>
            <w:bCs/>
            <w:noProof/>
            <w:webHidden/>
          </w:rPr>
        </w:r>
        <w:r>
          <w:rPr>
            <w:b/>
            <w:bCs/>
            <w:noProof/>
            <w:webHidden/>
          </w:rPr>
          <w:fldChar w:fldCharType="separate"/>
        </w:r>
        <w:r w:rsidR="006C53C7">
          <w:rPr>
            <w:b/>
            <w:bCs/>
            <w:noProof/>
            <w:webHidden/>
          </w:rPr>
          <w:t>41</w:t>
        </w:r>
        <w:r>
          <w:rPr>
            <w:b/>
            <w:bCs/>
            <w:noProof/>
            <w:webHidden/>
          </w:rPr>
          <w:fldChar w:fldCharType="end"/>
        </w:r>
      </w:hyperlink>
    </w:p>
    <w:p w:rsidR="00806678" w:rsidRDefault="00F80B6C">
      <w:pPr>
        <w:pStyle w:val="11"/>
        <w:rPr>
          <w:rFonts w:asciiTheme="minorHAnsi" w:eastAsiaTheme="minorEastAsia" w:hAnsiTheme="minorHAnsi" w:cstheme="minorBidi"/>
          <w:b/>
          <w:bCs/>
          <w:noProof/>
          <w:szCs w:val="22"/>
        </w:rPr>
      </w:pPr>
      <w:hyperlink w:anchor="_Toc89790254" w:history="1">
        <w:r w:rsidR="00B16377">
          <w:rPr>
            <w:rStyle w:val="a3"/>
            <w:b/>
            <w:bCs/>
            <w:noProof/>
          </w:rPr>
          <w:t>第七节</w:t>
        </w:r>
        <w:r w:rsidR="00B16377">
          <w:rPr>
            <w:rFonts w:asciiTheme="minorHAnsi" w:eastAsiaTheme="minorEastAsia" w:hAnsiTheme="minorHAnsi" w:cstheme="minorBidi"/>
            <w:b/>
            <w:bCs/>
            <w:noProof/>
            <w:szCs w:val="22"/>
          </w:rPr>
          <w:tab/>
        </w:r>
        <w:r w:rsidR="00B16377">
          <w:rPr>
            <w:rStyle w:val="a3"/>
            <w:b/>
            <w:bCs/>
            <w:noProof/>
          </w:rPr>
          <w:t>股份变动及股东情况</w:t>
        </w:r>
        <w:r w:rsidR="00B16377">
          <w:rPr>
            <w:b/>
            <w:bCs/>
            <w:noProof/>
            <w:webHidden/>
          </w:rPr>
          <w:tab/>
        </w:r>
        <w:r>
          <w:rPr>
            <w:b/>
            <w:bCs/>
            <w:noProof/>
            <w:webHidden/>
          </w:rPr>
          <w:fldChar w:fldCharType="begin"/>
        </w:r>
        <w:r w:rsidR="00B16377">
          <w:rPr>
            <w:b/>
            <w:bCs/>
            <w:noProof/>
            <w:webHidden/>
          </w:rPr>
          <w:instrText xml:space="preserve"> PAGEREF _Toc89790254 \h </w:instrText>
        </w:r>
        <w:r>
          <w:rPr>
            <w:b/>
            <w:bCs/>
            <w:noProof/>
            <w:webHidden/>
          </w:rPr>
        </w:r>
        <w:r>
          <w:rPr>
            <w:b/>
            <w:bCs/>
            <w:noProof/>
            <w:webHidden/>
          </w:rPr>
          <w:fldChar w:fldCharType="separate"/>
        </w:r>
        <w:r w:rsidR="006C53C7">
          <w:rPr>
            <w:b/>
            <w:bCs/>
            <w:noProof/>
            <w:webHidden/>
          </w:rPr>
          <w:t>47</w:t>
        </w:r>
        <w:r>
          <w:rPr>
            <w:b/>
            <w:bCs/>
            <w:noProof/>
            <w:webHidden/>
          </w:rPr>
          <w:fldChar w:fldCharType="end"/>
        </w:r>
      </w:hyperlink>
    </w:p>
    <w:p w:rsidR="00806678" w:rsidRDefault="00F80B6C">
      <w:pPr>
        <w:pStyle w:val="11"/>
        <w:rPr>
          <w:rFonts w:asciiTheme="minorHAnsi" w:eastAsiaTheme="minorEastAsia" w:hAnsiTheme="minorHAnsi" w:cstheme="minorBidi"/>
          <w:b/>
          <w:bCs/>
          <w:noProof/>
          <w:szCs w:val="22"/>
        </w:rPr>
      </w:pPr>
      <w:hyperlink w:anchor="_Toc89790255" w:history="1">
        <w:r w:rsidR="00B16377">
          <w:rPr>
            <w:rStyle w:val="a3"/>
            <w:b/>
            <w:bCs/>
            <w:noProof/>
          </w:rPr>
          <w:t>第八节</w:t>
        </w:r>
        <w:r w:rsidR="00B16377">
          <w:rPr>
            <w:rFonts w:asciiTheme="minorHAnsi" w:eastAsiaTheme="minorEastAsia" w:hAnsiTheme="minorHAnsi" w:cstheme="minorBidi"/>
            <w:b/>
            <w:bCs/>
            <w:noProof/>
            <w:szCs w:val="22"/>
          </w:rPr>
          <w:tab/>
        </w:r>
        <w:r w:rsidR="00B16377">
          <w:rPr>
            <w:rStyle w:val="a3"/>
            <w:b/>
            <w:bCs/>
            <w:noProof/>
          </w:rPr>
          <w:t>优先股相关情况</w:t>
        </w:r>
        <w:r w:rsidR="00B16377">
          <w:rPr>
            <w:b/>
            <w:bCs/>
            <w:noProof/>
            <w:webHidden/>
          </w:rPr>
          <w:tab/>
        </w:r>
        <w:r>
          <w:rPr>
            <w:b/>
            <w:bCs/>
            <w:noProof/>
            <w:webHidden/>
          </w:rPr>
          <w:fldChar w:fldCharType="begin"/>
        </w:r>
        <w:r w:rsidR="00B16377">
          <w:rPr>
            <w:b/>
            <w:bCs/>
            <w:noProof/>
            <w:webHidden/>
          </w:rPr>
          <w:instrText xml:space="preserve"> PAGEREF _Toc89790255 \h </w:instrText>
        </w:r>
        <w:r>
          <w:rPr>
            <w:b/>
            <w:bCs/>
            <w:noProof/>
            <w:webHidden/>
          </w:rPr>
        </w:r>
        <w:r>
          <w:rPr>
            <w:b/>
            <w:bCs/>
            <w:noProof/>
            <w:webHidden/>
          </w:rPr>
          <w:fldChar w:fldCharType="separate"/>
        </w:r>
        <w:r w:rsidR="006C53C7">
          <w:rPr>
            <w:b/>
            <w:bCs/>
            <w:noProof/>
            <w:webHidden/>
          </w:rPr>
          <w:t>52</w:t>
        </w:r>
        <w:r>
          <w:rPr>
            <w:b/>
            <w:bCs/>
            <w:noProof/>
            <w:webHidden/>
          </w:rPr>
          <w:fldChar w:fldCharType="end"/>
        </w:r>
      </w:hyperlink>
    </w:p>
    <w:p w:rsidR="00806678" w:rsidRDefault="00F80B6C">
      <w:pPr>
        <w:pStyle w:val="11"/>
        <w:rPr>
          <w:rFonts w:asciiTheme="minorHAnsi" w:eastAsiaTheme="minorEastAsia" w:hAnsiTheme="minorHAnsi" w:cstheme="minorBidi"/>
          <w:b/>
          <w:bCs/>
          <w:noProof/>
          <w:szCs w:val="22"/>
        </w:rPr>
      </w:pPr>
      <w:hyperlink w:anchor="_Toc89790256" w:history="1">
        <w:r w:rsidR="00B16377">
          <w:rPr>
            <w:rStyle w:val="a3"/>
            <w:b/>
            <w:bCs/>
            <w:noProof/>
          </w:rPr>
          <w:t>第九节</w:t>
        </w:r>
        <w:r w:rsidR="00B16377">
          <w:rPr>
            <w:rFonts w:asciiTheme="minorHAnsi" w:eastAsiaTheme="minorEastAsia" w:hAnsiTheme="minorHAnsi" w:cstheme="minorBidi"/>
            <w:b/>
            <w:bCs/>
            <w:noProof/>
            <w:szCs w:val="22"/>
          </w:rPr>
          <w:tab/>
        </w:r>
        <w:r w:rsidR="00B16377">
          <w:rPr>
            <w:rStyle w:val="a3"/>
            <w:b/>
            <w:bCs/>
            <w:noProof/>
          </w:rPr>
          <w:t>债券相关情况</w:t>
        </w:r>
        <w:r w:rsidR="00B16377">
          <w:rPr>
            <w:b/>
            <w:bCs/>
            <w:noProof/>
            <w:webHidden/>
          </w:rPr>
          <w:tab/>
        </w:r>
        <w:r>
          <w:rPr>
            <w:b/>
            <w:bCs/>
            <w:noProof/>
            <w:webHidden/>
          </w:rPr>
          <w:fldChar w:fldCharType="begin"/>
        </w:r>
        <w:r w:rsidR="00B16377">
          <w:rPr>
            <w:b/>
            <w:bCs/>
            <w:noProof/>
            <w:webHidden/>
          </w:rPr>
          <w:instrText xml:space="preserve"> PAGEREF _Toc89790256 \h </w:instrText>
        </w:r>
        <w:r>
          <w:rPr>
            <w:b/>
            <w:bCs/>
            <w:noProof/>
            <w:webHidden/>
          </w:rPr>
        </w:r>
        <w:r>
          <w:rPr>
            <w:b/>
            <w:bCs/>
            <w:noProof/>
            <w:webHidden/>
          </w:rPr>
          <w:fldChar w:fldCharType="separate"/>
        </w:r>
        <w:r w:rsidR="006C53C7">
          <w:rPr>
            <w:b/>
            <w:bCs/>
            <w:noProof/>
            <w:webHidden/>
          </w:rPr>
          <w:t>53</w:t>
        </w:r>
        <w:r>
          <w:rPr>
            <w:b/>
            <w:bCs/>
            <w:noProof/>
            <w:webHidden/>
          </w:rPr>
          <w:fldChar w:fldCharType="end"/>
        </w:r>
      </w:hyperlink>
    </w:p>
    <w:p w:rsidR="00806678" w:rsidRDefault="00F80B6C">
      <w:pPr>
        <w:pStyle w:val="11"/>
        <w:rPr>
          <w:rStyle w:val="a3"/>
          <w:b/>
          <w:bCs/>
          <w:noProof/>
        </w:rPr>
      </w:pPr>
      <w:hyperlink w:anchor="_Toc89790257" w:history="1">
        <w:r w:rsidR="00B16377">
          <w:rPr>
            <w:rStyle w:val="a3"/>
            <w:rFonts w:ascii="宋体" w:hAnsi="宋体"/>
            <w:b/>
            <w:bCs/>
            <w:noProof/>
          </w:rPr>
          <w:t>第十节</w:t>
        </w:r>
        <w:r w:rsidR="00B16377">
          <w:rPr>
            <w:rFonts w:asciiTheme="minorHAnsi" w:eastAsiaTheme="minorEastAsia" w:hAnsiTheme="minorHAnsi" w:cstheme="minorBidi"/>
            <w:b/>
            <w:bCs/>
            <w:noProof/>
            <w:szCs w:val="22"/>
          </w:rPr>
          <w:tab/>
        </w:r>
        <w:r w:rsidR="00B16377">
          <w:rPr>
            <w:rStyle w:val="a3"/>
            <w:rFonts w:ascii="宋体" w:hAnsi="宋体"/>
            <w:b/>
            <w:bCs/>
            <w:noProof/>
          </w:rPr>
          <w:t>财务报告</w:t>
        </w:r>
        <w:r w:rsidR="00B16377">
          <w:rPr>
            <w:b/>
            <w:bCs/>
            <w:noProof/>
            <w:webHidden/>
          </w:rPr>
          <w:tab/>
        </w:r>
        <w:r>
          <w:rPr>
            <w:b/>
            <w:bCs/>
            <w:noProof/>
            <w:webHidden/>
          </w:rPr>
          <w:fldChar w:fldCharType="begin"/>
        </w:r>
        <w:r w:rsidR="00B16377">
          <w:rPr>
            <w:b/>
            <w:bCs/>
            <w:noProof/>
            <w:webHidden/>
          </w:rPr>
          <w:instrText xml:space="preserve"> PAGEREF _Toc89790257 \h </w:instrText>
        </w:r>
        <w:r>
          <w:rPr>
            <w:b/>
            <w:bCs/>
            <w:noProof/>
            <w:webHidden/>
          </w:rPr>
        </w:r>
        <w:r>
          <w:rPr>
            <w:b/>
            <w:bCs/>
            <w:noProof/>
            <w:webHidden/>
          </w:rPr>
          <w:fldChar w:fldCharType="separate"/>
        </w:r>
        <w:r w:rsidR="006C53C7">
          <w:rPr>
            <w:b/>
            <w:bCs/>
            <w:noProof/>
            <w:webHidden/>
          </w:rPr>
          <w:t>55</w:t>
        </w:r>
        <w:r>
          <w:rPr>
            <w:b/>
            <w:bCs/>
            <w:noProof/>
            <w:webHidden/>
          </w:rPr>
          <w:fldChar w:fldCharType="end"/>
        </w:r>
      </w:hyperlink>
    </w:p>
    <w:p w:rsidR="00806678" w:rsidRDefault="00806678">
      <w:pPr>
        <w:rPr>
          <w:noProof/>
        </w:rPr>
      </w:pPr>
    </w:p>
    <w:p w:rsidR="00806678" w:rsidRDefault="00F80B6C">
      <w:r>
        <w:rPr>
          <w:b/>
          <w:bCs/>
        </w:rPr>
        <w:fldChar w:fldCharType="end"/>
      </w:r>
      <w:bookmarkStart w:id="2" w:name="_Toc407111354"/>
      <w:bookmarkStart w:id="3" w:name="_Toc436392761"/>
      <w:bookmarkStart w:id="4" w:name="_Toc437440708"/>
      <w:bookmarkStart w:id="5" w:name="_Toc89790248"/>
    </w:p>
    <w:bookmarkStart w:id="6" w:name="_Hlk90888086" w:displacedByCustomXml="next"/>
    <w:bookmarkStart w:id="7" w:name="_Hlk90893687" w:displacedByCustomXml="next"/>
    <w:bookmarkStart w:id="8" w:name="_Hlk90891770" w:displacedByCustomXml="next"/>
    <w:sdt>
      <w:sdtPr>
        <w:rPr>
          <w:b/>
          <w:bCs/>
          <w:sz w:val="24"/>
        </w:rPr>
        <w:alias w:val="模块:备查文件目录"/>
        <w:tag w:val="_SEC_e649d09f3b7f42b7b4f14c158bb328aa"/>
        <w:id w:val="1669828383"/>
        <w:lock w:val="sdtLocked"/>
        <w:placeholder>
          <w:docPart w:val="GBC22222222222222222222222222222"/>
        </w:placeholder>
      </w:sdtPr>
      <w:sdtEndPr>
        <w:rPr>
          <w:b w:val="0"/>
          <w:bCs w:val="0"/>
          <w:sz w:val="21"/>
        </w:rPr>
      </w:sdtEndPr>
      <w:sdtContent>
        <w:p w:rsidR="00806678" w:rsidRDefault="00806678">
          <w:pPr>
            <w:spacing w:line="360" w:lineRule="exact"/>
            <w:ind w:right="5"/>
            <w:rPr>
              <w:b/>
              <w:bCs/>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294"/>
            <w:gridCol w:w="6599"/>
          </w:tblGrid>
          <w:sdt>
            <w:sdtPr>
              <w:alias w:val="备查文件情况"/>
              <w:tag w:val="_TUP_bb3c6eba15bb4f89aaabf5b28bea5766"/>
              <w:id w:val="15898005"/>
              <w:lock w:val="sdtLocked"/>
            </w:sdtPr>
            <w:sdtContent>
              <w:tr w:rsidR="00806678" w:rsidTr="001E2B27">
                <w:trPr>
                  <w:cantSplit/>
                </w:trPr>
                <w:tc>
                  <w:tcPr>
                    <w:tcW w:w="1290" w:type="pct"/>
                    <w:vMerge w:val="restart"/>
                    <w:tcBorders>
                      <w:top w:val="single" w:sz="4" w:space="0" w:color="auto"/>
                      <w:left w:val="single" w:sz="4" w:space="0" w:color="auto"/>
                      <w:bottom w:val="single" w:sz="4" w:space="0" w:color="auto"/>
                      <w:right w:val="single" w:sz="4" w:space="0" w:color="auto"/>
                    </w:tcBorders>
                    <w:vAlign w:val="center"/>
                  </w:tcPr>
                  <w:sdt>
                    <w:sdtPr>
                      <w:tag w:val="_PLD_a77548a64feb4f70a4cecbb587219734"/>
                      <w:id w:val="-732239932"/>
                      <w:lock w:val="sdtLocked"/>
                    </w:sdtPr>
                    <w:sdtContent>
                      <w:p w:rsidR="00806678" w:rsidRDefault="00B16377">
                        <w:pPr>
                          <w:autoSpaceDE w:val="0"/>
                          <w:autoSpaceDN w:val="0"/>
                          <w:adjustRightInd w:val="0"/>
                          <w:jc w:val="center"/>
                        </w:pPr>
                        <w:r>
                          <w:t>备查文件目录</w:t>
                        </w:r>
                      </w:p>
                    </w:sdtContent>
                  </w:sdt>
                </w:tc>
                <w:sdt>
                  <w:sdtPr>
                    <w:alias w:val="备查文件目录"/>
                    <w:tag w:val="_GBC_0c6e892b0eee4faaa5b2883811d0eed4"/>
                    <w:id w:val="-1460569316"/>
                    <w:lock w:val="sdtLocked"/>
                  </w:sdtPr>
                  <w:sdtContent>
                    <w:tc>
                      <w:tcPr>
                        <w:tcW w:w="3710" w:type="pct"/>
                        <w:tcBorders>
                          <w:top w:val="single" w:sz="4" w:space="0" w:color="auto"/>
                          <w:left w:val="single" w:sz="4" w:space="0" w:color="auto"/>
                          <w:bottom w:val="single" w:sz="4" w:space="0" w:color="auto"/>
                          <w:right w:val="single" w:sz="4" w:space="0" w:color="auto"/>
                        </w:tcBorders>
                      </w:tcPr>
                      <w:p w:rsidR="00806678" w:rsidRDefault="00DE144F">
                        <w:pPr>
                          <w:autoSpaceDE w:val="0"/>
                          <w:autoSpaceDN w:val="0"/>
                          <w:adjustRightInd w:val="0"/>
                        </w:pPr>
                        <w:r w:rsidRPr="00DE144F">
                          <w:rPr>
                            <w:rFonts w:hint="eastAsia"/>
                          </w:rPr>
                          <w:t>载有公司法定代表人、总经理、主管会计工作负责人、会计机构负责人（会计主管人员）签名并盖章的财务报表。</w:t>
                        </w:r>
                      </w:p>
                    </w:tc>
                  </w:sdtContent>
                </w:sdt>
              </w:tr>
            </w:sdtContent>
          </w:sdt>
          <w:tr w:rsidR="00806678" w:rsidTr="001E2B27">
            <w:trPr>
              <w:cantSplit/>
            </w:trPr>
            <w:tc>
              <w:tcPr>
                <w:tcW w:w="1290" w:type="pct"/>
                <w:vMerge/>
                <w:tcBorders>
                  <w:top w:val="single" w:sz="4" w:space="0" w:color="auto"/>
                  <w:left w:val="single" w:sz="4" w:space="0" w:color="auto"/>
                  <w:bottom w:val="single" w:sz="4" w:space="0" w:color="auto"/>
                  <w:right w:val="single" w:sz="4" w:space="0" w:color="auto"/>
                </w:tcBorders>
                <w:vAlign w:val="center"/>
              </w:tcPr>
              <w:p w:rsidR="00806678" w:rsidRDefault="00806678"/>
            </w:tc>
            <w:sdt>
              <w:sdtPr>
                <w:alias w:val="备查文件目录"/>
                <w:tag w:val="_GBC_0c6e892b0eee4faaa5b2883811d0eed4"/>
                <w:id w:val="33111322"/>
                <w:lock w:val="sdtLocked"/>
              </w:sdtPr>
              <w:sdtContent>
                <w:tc>
                  <w:tcPr>
                    <w:tcW w:w="3710" w:type="pct"/>
                    <w:tcBorders>
                      <w:top w:val="single" w:sz="4" w:space="0" w:color="auto"/>
                      <w:left w:val="single" w:sz="4" w:space="0" w:color="auto"/>
                      <w:bottom w:val="single" w:sz="4" w:space="0" w:color="auto"/>
                      <w:right w:val="single" w:sz="4" w:space="0" w:color="auto"/>
                    </w:tcBorders>
                  </w:tcPr>
                  <w:p w:rsidR="00806678" w:rsidRDefault="00DE144F">
                    <w:pPr>
                      <w:autoSpaceDE w:val="0"/>
                      <w:autoSpaceDN w:val="0"/>
                      <w:adjustRightInd w:val="0"/>
                    </w:pPr>
                    <w:r w:rsidRPr="00DE144F">
                      <w:rPr>
                        <w:rFonts w:hint="eastAsia"/>
                      </w:rPr>
                      <w:t>载有会计师事务所盖章、注册会计师签名并盖章的审计报告原件。</w:t>
                    </w:r>
                  </w:p>
                </w:tc>
              </w:sdtContent>
            </w:sdt>
          </w:tr>
          <w:tr w:rsidR="00806678" w:rsidTr="001E2B27">
            <w:trPr>
              <w:cantSplit/>
            </w:trPr>
            <w:tc>
              <w:tcPr>
                <w:tcW w:w="1290" w:type="pct"/>
                <w:vMerge/>
                <w:tcBorders>
                  <w:top w:val="single" w:sz="4" w:space="0" w:color="auto"/>
                  <w:left w:val="single" w:sz="4" w:space="0" w:color="auto"/>
                  <w:bottom w:val="single" w:sz="4" w:space="0" w:color="auto"/>
                  <w:right w:val="single" w:sz="4" w:space="0" w:color="auto"/>
                </w:tcBorders>
                <w:vAlign w:val="center"/>
              </w:tcPr>
              <w:p w:rsidR="00806678" w:rsidRDefault="00806678"/>
            </w:tc>
            <w:sdt>
              <w:sdtPr>
                <w:alias w:val="备查文件目录"/>
                <w:tag w:val="_GBC_0c6e892b0eee4faaa5b2883811d0eed4"/>
                <w:id w:val="33111323"/>
                <w:lock w:val="sdtLocked"/>
              </w:sdtPr>
              <w:sdtContent>
                <w:tc>
                  <w:tcPr>
                    <w:tcW w:w="3710" w:type="pct"/>
                    <w:tcBorders>
                      <w:top w:val="single" w:sz="4" w:space="0" w:color="auto"/>
                      <w:left w:val="single" w:sz="4" w:space="0" w:color="auto"/>
                      <w:bottom w:val="single" w:sz="4" w:space="0" w:color="auto"/>
                      <w:right w:val="single" w:sz="4" w:space="0" w:color="auto"/>
                    </w:tcBorders>
                  </w:tcPr>
                  <w:p w:rsidR="00806678" w:rsidRDefault="00DE144F">
                    <w:pPr>
                      <w:autoSpaceDE w:val="0"/>
                      <w:autoSpaceDN w:val="0"/>
                      <w:adjustRightInd w:val="0"/>
                    </w:pPr>
                    <w:r w:rsidRPr="00DE144F">
                      <w:rPr>
                        <w:rFonts w:hint="eastAsia"/>
                      </w:rPr>
                      <w:t>报告期内在上海证券交易所网站上公开披露的公告文本。</w:t>
                    </w:r>
                  </w:p>
                </w:tc>
              </w:sdtContent>
            </w:sdt>
          </w:tr>
        </w:tbl>
        <w:p w:rsidR="00806678" w:rsidRDefault="00F80B6C">
          <w:pPr>
            <w:spacing w:line="360" w:lineRule="exact"/>
            <w:jc w:val="right"/>
          </w:pPr>
        </w:p>
      </w:sdtContent>
    </w:sdt>
    <w:bookmarkEnd w:id="6" w:displacedByCustomXml="prev"/>
    <w:bookmarkEnd w:id="7"/>
    <w:p w:rsidR="00806678" w:rsidRDefault="00806678"/>
    <w:p w:rsidR="00806678" w:rsidRDefault="00806678"/>
    <w:bookmarkEnd w:id="8"/>
    <w:p w:rsidR="00806678" w:rsidRDefault="00806678">
      <w:pPr>
        <w:sectPr w:rsidR="00806678" w:rsidSect="00526E3D">
          <w:pgSz w:w="11906" w:h="16838"/>
          <w:pgMar w:top="1440" w:right="1797" w:bottom="1525" w:left="1276" w:header="855" w:footer="992" w:gutter="0"/>
          <w:cols w:space="425"/>
          <w:docGrid w:linePitch="312"/>
        </w:sectPr>
      </w:pPr>
    </w:p>
    <w:p w:rsidR="00806678" w:rsidRDefault="00B16377">
      <w:pPr>
        <w:pStyle w:val="10"/>
        <w:numPr>
          <w:ilvl w:val="0"/>
          <w:numId w:val="3"/>
        </w:numPr>
      </w:pPr>
      <w:r>
        <w:rPr>
          <w:rFonts w:hint="eastAsia"/>
        </w:rPr>
        <w:lastRenderedPageBreak/>
        <w:t>释义</w:t>
      </w:r>
      <w:bookmarkEnd w:id="2"/>
      <w:bookmarkEnd w:id="3"/>
      <w:bookmarkEnd w:id="4"/>
      <w:bookmarkEnd w:id="5"/>
    </w:p>
    <w:sdt>
      <w:sdtPr>
        <w:rPr>
          <w:rFonts w:ascii="Calibri" w:hAnsi="Calibri" w:cs="宋体"/>
          <w:b w:val="0"/>
          <w:bCs w:val="0"/>
          <w:kern w:val="0"/>
          <w:sz w:val="24"/>
          <w:szCs w:val="22"/>
        </w:rPr>
        <w:alias w:val="模块:释义"/>
        <w:tag w:val="_SEC_e0ada4191e1e474fa6a3f5096e480871"/>
        <w:id w:val="4295450"/>
        <w:lock w:val="sdtLocked"/>
        <w:placeholder>
          <w:docPart w:val="GBC22222222222222222222222222222"/>
        </w:placeholder>
      </w:sdtPr>
      <w:sdtEndPr>
        <w:rPr>
          <w:rFonts w:ascii="宋体" w:hAnsi="宋体"/>
          <w:sz w:val="21"/>
          <w:szCs w:val="24"/>
        </w:rPr>
      </w:sdtEndPr>
      <w:sdtContent>
        <w:p w:rsidR="00806678" w:rsidRDefault="00B16377" w:rsidP="00FF17C7">
          <w:pPr>
            <w:pStyle w:val="2"/>
            <w:numPr>
              <w:ilvl w:val="0"/>
              <w:numId w:val="20"/>
            </w:numPr>
            <w:tabs>
              <w:tab w:val="left" w:pos="588"/>
            </w:tabs>
            <w:ind w:hangingChars="175"/>
          </w:pPr>
          <w:r>
            <w:t>释义</w:t>
          </w:r>
        </w:p>
        <w:p w:rsidR="00806678" w:rsidRDefault="00B16377">
          <w:pPr>
            <w:rPr>
              <w:szCs w:val="21"/>
            </w:rPr>
          </w:pPr>
          <w:r>
            <w:rPr>
              <w:szCs w:val="21"/>
            </w:rPr>
            <w:t>在本报告书中，除非文义另有所指，下列词语具有如下含义：</w:t>
          </w:r>
        </w:p>
        <w:tbl>
          <w:tblPr>
            <w:tblStyle w:val="a6"/>
            <w:tblW w:w="0" w:type="auto"/>
            <w:tblLook w:val="04A0"/>
          </w:tblPr>
          <w:tblGrid>
            <w:gridCol w:w="3016"/>
            <w:gridCol w:w="778"/>
            <w:gridCol w:w="5254"/>
          </w:tblGrid>
          <w:tr w:rsidR="009276D0" w:rsidTr="00326B19">
            <w:sdt>
              <w:sdtPr>
                <w:tag w:val="_PLD_bf37a984a1d34209a94aac58652eb6b9"/>
                <w:id w:val="716299"/>
                <w:lock w:val="sdtLocked"/>
              </w:sdtPr>
              <w:sdtContent>
                <w:tc>
                  <w:tcPr>
                    <w:tcW w:w="9048" w:type="dxa"/>
                    <w:gridSpan w:val="3"/>
                  </w:tcPr>
                  <w:p w:rsidR="009276D0" w:rsidRDefault="009276D0" w:rsidP="00326B19">
                    <w:pPr>
                      <w:rPr>
                        <w:szCs w:val="21"/>
                      </w:rPr>
                    </w:pPr>
                    <w:r>
                      <w:rPr>
                        <w:szCs w:val="21"/>
                      </w:rPr>
                      <w:t>常用词语释义</w:t>
                    </w:r>
                  </w:p>
                </w:tc>
              </w:sdtContent>
            </w:sdt>
          </w:tr>
          <w:sdt>
            <w:sdtPr>
              <w:rPr>
                <w:rFonts w:ascii="Calibri" w:eastAsiaTheme="minorEastAsia" w:hAnsi="Calibri" w:cstheme="minorBidi" w:hint="eastAsia"/>
                <w:kern w:val="2"/>
                <w:szCs w:val="21"/>
              </w:rPr>
              <w:alias w:val="释义"/>
              <w:tag w:val="_TUP_44bf5f5b8d4e40a1afa2f3a4be6551b6"/>
              <w:id w:val="716301"/>
              <w:lock w:val="sdtLocked"/>
            </w:sdtPr>
            <w:sdtContent>
              <w:tr w:rsidR="009276D0" w:rsidTr="00326B19">
                <w:tc>
                  <w:tcPr>
                    <w:tcW w:w="3016" w:type="dxa"/>
                  </w:tcPr>
                  <w:p w:rsidR="009276D0" w:rsidRDefault="009276D0" w:rsidP="00326B19">
                    <w:pPr>
                      <w:rPr>
                        <w:szCs w:val="21"/>
                      </w:rPr>
                    </w:pPr>
                    <w:r>
                      <w:t>证监会</w:t>
                    </w:r>
                  </w:p>
                </w:tc>
                <w:tc>
                  <w:tcPr>
                    <w:tcW w:w="778" w:type="dxa"/>
                  </w:tcPr>
                  <w:p w:rsidR="009276D0" w:rsidRDefault="009276D0" w:rsidP="00326B19">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716300"/>
                    <w:lock w:val="sdtLocked"/>
                  </w:sdtPr>
                  <w:sdtContent>
                    <w:tc>
                      <w:tcPr>
                        <w:tcW w:w="5254" w:type="dxa"/>
                      </w:tcPr>
                      <w:p w:rsidR="009276D0" w:rsidRDefault="009276D0" w:rsidP="00326B19">
                        <w:pPr>
                          <w:rPr>
                            <w:szCs w:val="21"/>
                          </w:rPr>
                        </w:pPr>
                        <w:r>
                          <w:rPr>
                            <w:rFonts w:hint="eastAsia"/>
                            <w:szCs w:val="21"/>
                          </w:rPr>
                          <w:t>中国证券监督管理委员会</w:t>
                        </w:r>
                      </w:p>
                    </w:tc>
                  </w:sdtContent>
                </w:sdt>
              </w:tr>
            </w:sdtContent>
          </w:sdt>
          <w:sdt>
            <w:sdtPr>
              <w:rPr>
                <w:rFonts w:ascii="Calibri" w:eastAsiaTheme="minorEastAsia" w:hAnsi="Calibri" w:cstheme="minorBidi" w:hint="eastAsia"/>
                <w:kern w:val="2"/>
                <w:szCs w:val="21"/>
              </w:rPr>
              <w:alias w:val="释义"/>
              <w:tag w:val="_TUP_44bf5f5b8d4e40a1afa2f3a4be6551b6"/>
              <w:id w:val="716303"/>
              <w:lock w:val="sdtLocked"/>
            </w:sdtPr>
            <w:sdtContent>
              <w:tr w:rsidR="009276D0" w:rsidTr="00326B19">
                <w:tc>
                  <w:tcPr>
                    <w:tcW w:w="3016" w:type="dxa"/>
                  </w:tcPr>
                  <w:p w:rsidR="009276D0" w:rsidRDefault="009276D0" w:rsidP="00326B19">
                    <w:pPr>
                      <w:rPr>
                        <w:szCs w:val="21"/>
                      </w:rPr>
                    </w:pPr>
                    <w:r>
                      <w:t>上交所</w:t>
                    </w:r>
                  </w:p>
                </w:tc>
                <w:tc>
                  <w:tcPr>
                    <w:tcW w:w="778" w:type="dxa"/>
                  </w:tcPr>
                  <w:p w:rsidR="009276D0" w:rsidRDefault="009276D0" w:rsidP="00326B19">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716302"/>
                    <w:lock w:val="sdtLocked"/>
                  </w:sdtPr>
                  <w:sdtContent>
                    <w:tc>
                      <w:tcPr>
                        <w:tcW w:w="5254" w:type="dxa"/>
                      </w:tcPr>
                      <w:p w:rsidR="009276D0" w:rsidRDefault="009276D0" w:rsidP="00326B19">
                        <w:pPr>
                          <w:rPr>
                            <w:szCs w:val="21"/>
                          </w:rPr>
                        </w:pPr>
                        <w:r>
                          <w:rPr>
                            <w:rFonts w:hint="eastAsia"/>
                            <w:szCs w:val="21"/>
                          </w:rPr>
                          <w:t>上海证券交易所</w:t>
                        </w:r>
                      </w:p>
                    </w:tc>
                  </w:sdtContent>
                </w:sdt>
              </w:tr>
            </w:sdtContent>
          </w:sdt>
          <w:sdt>
            <w:sdtPr>
              <w:rPr>
                <w:rFonts w:ascii="Calibri" w:eastAsiaTheme="minorEastAsia" w:hAnsi="Calibri" w:cstheme="minorBidi" w:hint="eastAsia"/>
                <w:kern w:val="2"/>
                <w:szCs w:val="21"/>
              </w:rPr>
              <w:alias w:val="释义"/>
              <w:tag w:val="_TUP_44bf5f5b8d4e40a1afa2f3a4be6551b6"/>
              <w:id w:val="716305"/>
              <w:lock w:val="sdtLocked"/>
            </w:sdtPr>
            <w:sdtContent>
              <w:tr w:rsidR="009276D0" w:rsidTr="00326B19">
                <w:tc>
                  <w:tcPr>
                    <w:tcW w:w="3016" w:type="dxa"/>
                  </w:tcPr>
                  <w:p w:rsidR="009276D0" w:rsidRDefault="009276D0" w:rsidP="00326B19">
                    <w:pPr>
                      <w:rPr>
                        <w:szCs w:val="21"/>
                      </w:rPr>
                    </w:pPr>
                    <w:r>
                      <w:t>公司、本公司、大秦铁路</w:t>
                    </w:r>
                  </w:p>
                </w:tc>
                <w:tc>
                  <w:tcPr>
                    <w:tcW w:w="778" w:type="dxa"/>
                  </w:tcPr>
                  <w:p w:rsidR="009276D0" w:rsidRDefault="009276D0" w:rsidP="00326B19">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716304"/>
                    <w:lock w:val="sdtLocked"/>
                  </w:sdtPr>
                  <w:sdtContent>
                    <w:tc>
                      <w:tcPr>
                        <w:tcW w:w="5254" w:type="dxa"/>
                      </w:tcPr>
                      <w:p w:rsidR="009276D0" w:rsidRDefault="009276D0" w:rsidP="00326B19">
                        <w:pPr>
                          <w:rPr>
                            <w:szCs w:val="21"/>
                          </w:rPr>
                        </w:pPr>
                        <w:r>
                          <w:rPr>
                            <w:rFonts w:hint="eastAsia"/>
                            <w:szCs w:val="21"/>
                          </w:rPr>
                          <w:t>大秦铁路股份有限公司</w:t>
                        </w:r>
                      </w:p>
                    </w:tc>
                  </w:sdtContent>
                </w:sdt>
              </w:tr>
            </w:sdtContent>
          </w:sdt>
          <w:sdt>
            <w:sdtPr>
              <w:rPr>
                <w:rFonts w:ascii="Calibri" w:eastAsiaTheme="minorEastAsia" w:hAnsi="Calibri" w:cstheme="minorBidi" w:hint="eastAsia"/>
                <w:kern w:val="2"/>
                <w:szCs w:val="21"/>
              </w:rPr>
              <w:alias w:val="释义"/>
              <w:tag w:val="_TUP_44bf5f5b8d4e40a1afa2f3a4be6551b6"/>
              <w:id w:val="716307"/>
              <w:lock w:val="sdtLocked"/>
            </w:sdtPr>
            <w:sdtContent>
              <w:tr w:rsidR="009276D0" w:rsidTr="00326B19">
                <w:tc>
                  <w:tcPr>
                    <w:tcW w:w="3016" w:type="dxa"/>
                  </w:tcPr>
                  <w:p w:rsidR="009276D0" w:rsidRDefault="009276D0" w:rsidP="00326B19">
                    <w:pPr>
                      <w:rPr>
                        <w:szCs w:val="21"/>
                      </w:rPr>
                    </w:pPr>
                    <w:r>
                      <w:t>报告期</w:t>
                    </w:r>
                  </w:p>
                </w:tc>
                <w:tc>
                  <w:tcPr>
                    <w:tcW w:w="778" w:type="dxa"/>
                  </w:tcPr>
                  <w:p w:rsidR="009276D0" w:rsidRDefault="009276D0" w:rsidP="00326B19">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716306"/>
                    <w:lock w:val="sdtLocked"/>
                  </w:sdtPr>
                  <w:sdtContent>
                    <w:tc>
                      <w:tcPr>
                        <w:tcW w:w="5254" w:type="dxa"/>
                      </w:tcPr>
                      <w:p w:rsidR="009276D0" w:rsidRDefault="009276D0" w:rsidP="00326B19">
                        <w:pPr>
                          <w:rPr>
                            <w:szCs w:val="21"/>
                          </w:rPr>
                        </w:pPr>
                        <w:r>
                          <w:rPr>
                            <w:rFonts w:hint="eastAsia"/>
                            <w:szCs w:val="21"/>
                          </w:rPr>
                          <w:t>2022年度</w:t>
                        </w:r>
                      </w:p>
                    </w:tc>
                  </w:sdtContent>
                </w:sdt>
              </w:tr>
            </w:sdtContent>
          </w:sdt>
          <w:sdt>
            <w:sdtPr>
              <w:rPr>
                <w:rFonts w:ascii="Calibri" w:eastAsiaTheme="minorEastAsia" w:hAnsi="Calibri" w:cstheme="minorBidi" w:hint="eastAsia"/>
                <w:kern w:val="2"/>
                <w:szCs w:val="21"/>
              </w:rPr>
              <w:alias w:val="释义"/>
              <w:tag w:val="_TUP_44bf5f5b8d4e40a1afa2f3a4be6551b6"/>
              <w:id w:val="716309"/>
              <w:lock w:val="sdtLocked"/>
            </w:sdtPr>
            <w:sdtContent>
              <w:tr w:rsidR="009276D0" w:rsidTr="00326B19">
                <w:tc>
                  <w:tcPr>
                    <w:tcW w:w="3016" w:type="dxa"/>
                  </w:tcPr>
                  <w:p w:rsidR="009276D0" w:rsidRDefault="009276D0" w:rsidP="00326B19">
                    <w:pPr>
                      <w:rPr>
                        <w:szCs w:val="21"/>
                      </w:rPr>
                    </w:pPr>
                    <w:r>
                      <w:rPr>
                        <w:rFonts w:hint="eastAsia"/>
                      </w:rPr>
                      <w:t>国家铁路</w:t>
                    </w:r>
                    <w:r>
                      <w:t>集团</w:t>
                    </w:r>
                  </w:p>
                </w:tc>
                <w:tc>
                  <w:tcPr>
                    <w:tcW w:w="778" w:type="dxa"/>
                  </w:tcPr>
                  <w:p w:rsidR="009276D0" w:rsidRDefault="009276D0" w:rsidP="00326B19">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716308"/>
                    <w:lock w:val="sdtLocked"/>
                  </w:sdtPr>
                  <w:sdtContent>
                    <w:tc>
                      <w:tcPr>
                        <w:tcW w:w="5254" w:type="dxa"/>
                      </w:tcPr>
                      <w:p w:rsidR="009276D0" w:rsidRDefault="009276D0" w:rsidP="00326B19">
                        <w:pPr>
                          <w:rPr>
                            <w:szCs w:val="21"/>
                          </w:rPr>
                        </w:pPr>
                        <w:r>
                          <w:rPr>
                            <w:rFonts w:hint="eastAsia"/>
                            <w:szCs w:val="21"/>
                          </w:rPr>
                          <w:t>中国国家铁路集团有限公司</w:t>
                        </w:r>
                      </w:p>
                    </w:tc>
                  </w:sdtContent>
                </w:sdt>
              </w:tr>
            </w:sdtContent>
          </w:sdt>
          <w:sdt>
            <w:sdtPr>
              <w:rPr>
                <w:rFonts w:ascii="Calibri" w:eastAsiaTheme="minorEastAsia" w:hAnsi="Calibri" w:cstheme="minorBidi" w:hint="eastAsia"/>
                <w:kern w:val="2"/>
                <w:szCs w:val="21"/>
              </w:rPr>
              <w:alias w:val="释义"/>
              <w:tag w:val="_TUP_44bf5f5b8d4e40a1afa2f3a4be6551b6"/>
              <w:id w:val="716311"/>
              <w:lock w:val="sdtLocked"/>
            </w:sdtPr>
            <w:sdtContent>
              <w:tr w:rsidR="009276D0" w:rsidTr="00326B19">
                <w:tc>
                  <w:tcPr>
                    <w:tcW w:w="3016" w:type="dxa"/>
                  </w:tcPr>
                  <w:p w:rsidR="009276D0" w:rsidRDefault="009276D0" w:rsidP="00326B19">
                    <w:pPr>
                      <w:rPr>
                        <w:szCs w:val="21"/>
                      </w:rPr>
                    </w:pPr>
                    <w:r>
                      <w:t>太原局集团公司</w:t>
                    </w:r>
                  </w:p>
                </w:tc>
                <w:tc>
                  <w:tcPr>
                    <w:tcW w:w="778" w:type="dxa"/>
                  </w:tcPr>
                  <w:p w:rsidR="009276D0" w:rsidRDefault="009276D0" w:rsidP="00326B19">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716310"/>
                    <w:lock w:val="sdtLocked"/>
                  </w:sdtPr>
                  <w:sdtContent>
                    <w:tc>
                      <w:tcPr>
                        <w:tcW w:w="5254" w:type="dxa"/>
                      </w:tcPr>
                      <w:p w:rsidR="009276D0" w:rsidRDefault="009276D0" w:rsidP="00326B19">
                        <w:pPr>
                          <w:rPr>
                            <w:szCs w:val="21"/>
                          </w:rPr>
                        </w:pPr>
                        <w:r>
                          <w:rPr>
                            <w:rFonts w:hint="eastAsia"/>
                            <w:szCs w:val="21"/>
                          </w:rPr>
                          <w:t>中国铁路太原局集团有限公司</w:t>
                        </w:r>
                      </w:p>
                    </w:tc>
                  </w:sdtContent>
                </w:sdt>
              </w:tr>
            </w:sdtContent>
          </w:sdt>
          <w:sdt>
            <w:sdtPr>
              <w:rPr>
                <w:rFonts w:ascii="Calibri" w:eastAsiaTheme="minorEastAsia" w:hAnsi="Calibri" w:cstheme="minorBidi" w:hint="eastAsia"/>
                <w:kern w:val="2"/>
                <w:szCs w:val="21"/>
              </w:rPr>
              <w:alias w:val="释义"/>
              <w:tag w:val="_TUP_44bf5f5b8d4e40a1afa2f3a4be6551b6"/>
              <w:id w:val="716313"/>
              <w:lock w:val="sdtLocked"/>
            </w:sdtPr>
            <w:sdtContent>
              <w:tr w:rsidR="009276D0" w:rsidTr="00326B19">
                <w:tc>
                  <w:tcPr>
                    <w:tcW w:w="3016" w:type="dxa"/>
                  </w:tcPr>
                  <w:p w:rsidR="009276D0" w:rsidRDefault="009276D0" w:rsidP="00326B19">
                    <w:pPr>
                      <w:rPr>
                        <w:szCs w:val="21"/>
                      </w:rPr>
                    </w:pPr>
                    <w:r>
                      <w:t>大秦经贸</w:t>
                    </w:r>
                  </w:p>
                </w:tc>
                <w:tc>
                  <w:tcPr>
                    <w:tcW w:w="778" w:type="dxa"/>
                  </w:tcPr>
                  <w:p w:rsidR="009276D0" w:rsidRDefault="009276D0" w:rsidP="00326B19">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716312"/>
                    <w:lock w:val="sdtLocked"/>
                  </w:sdtPr>
                  <w:sdtContent>
                    <w:tc>
                      <w:tcPr>
                        <w:tcW w:w="5254" w:type="dxa"/>
                      </w:tcPr>
                      <w:p w:rsidR="009276D0" w:rsidRDefault="009276D0" w:rsidP="00326B19">
                        <w:pPr>
                          <w:rPr>
                            <w:szCs w:val="21"/>
                          </w:rPr>
                        </w:pPr>
                        <w:r>
                          <w:rPr>
                            <w:rFonts w:hint="eastAsia"/>
                            <w:szCs w:val="21"/>
                          </w:rPr>
                          <w:t>大秦铁路经贸发展有限公司</w:t>
                        </w:r>
                      </w:p>
                    </w:tc>
                  </w:sdtContent>
                </w:sdt>
              </w:tr>
            </w:sdtContent>
          </w:sdt>
          <w:sdt>
            <w:sdtPr>
              <w:rPr>
                <w:rFonts w:ascii="Calibri" w:eastAsiaTheme="minorEastAsia" w:hAnsi="Calibri" w:cstheme="minorBidi" w:hint="eastAsia"/>
                <w:kern w:val="2"/>
                <w:szCs w:val="21"/>
              </w:rPr>
              <w:alias w:val="释义"/>
              <w:tag w:val="_TUP_44bf5f5b8d4e40a1afa2f3a4be6551b6"/>
              <w:id w:val="716315"/>
              <w:lock w:val="sdtLocked"/>
            </w:sdtPr>
            <w:sdtContent>
              <w:tr w:rsidR="009276D0" w:rsidTr="00326B19">
                <w:tc>
                  <w:tcPr>
                    <w:tcW w:w="3016" w:type="dxa"/>
                  </w:tcPr>
                  <w:p w:rsidR="009276D0" w:rsidRDefault="009276D0" w:rsidP="00326B19">
                    <w:pPr>
                      <w:rPr>
                        <w:szCs w:val="21"/>
                      </w:rPr>
                    </w:pPr>
                    <w:r>
                      <w:t>侯禹公司</w:t>
                    </w:r>
                  </w:p>
                </w:tc>
                <w:tc>
                  <w:tcPr>
                    <w:tcW w:w="778" w:type="dxa"/>
                  </w:tcPr>
                  <w:p w:rsidR="009276D0" w:rsidRDefault="009276D0" w:rsidP="00326B19">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716314"/>
                    <w:lock w:val="sdtLocked"/>
                  </w:sdtPr>
                  <w:sdtContent>
                    <w:tc>
                      <w:tcPr>
                        <w:tcW w:w="5254" w:type="dxa"/>
                      </w:tcPr>
                      <w:p w:rsidR="009276D0" w:rsidRDefault="009276D0" w:rsidP="00326B19">
                        <w:pPr>
                          <w:rPr>
                            <w:szCs w:val="21"/>
                          </w:rPr>
                        </w:pPr>
                        <w:r>
                          <w:rPr>
                            <w:rFonts w:hint="eastAsia"/>
                            <w:szCs w:val="21"/>
                          </w:rPr>
                          <w:t>山西侯禹铁路有限责任公司</w:t>
                        </w:r>
                      </w:p>
                    </w:tc>
                  </w:sdtContent>
                </w:sdt>
              </w:tr>
            </w:sdtContent>
          </w:sdt>
          <w:sdt>
            <w:sdtPr>
              <w:rPr>
                <w:rFonts w:ascii="Calibri" w:eastAsiaTheme="minorEastAsia" w:hAnsi="Calibri" w:cstheme="minorBidi" w:hint="eastAsia"/>
                <w:kern w:val="2"/>
                <w:szCs w:val="21"/>
              </w:rPr>
              <w:alias w:val="释义"/>
              <w:tag w:val="_TUP_44bf5f5b8d4e40a1afa2f3a4be6551b6"/>
              <w:id w:val="716317"/>
              <w:lock w:val="sdtLocked"/>
            </w:sdtPr>
            <w:sdtContent>
              <w:tr w:rsidR="009276D0" w:rsidTr="00326B19">
                <w:tc>
                  <w:tcPr>
                    <w:tcW w:w="3016" w:type="dxa"/>
                  </w:tcPr>
                  <w:p w:rsidR="009276D0" w:rsidRDefault="009276D0" w:rsidP="00326B19">
                    <w:pPr>
                      <w:rPr>
                        <w:szCs w:val="21"/>
                      </w:rPr>
                    </w:pPr>
                    <w:r>
                      <w:t>太兴公司</w:t>
                    </w:r>
                  </w:p>
                </w:tc>
                <w:tc>
                  <w:tcPr>
                    <w:tcW w:w="778" w:type="dxa"/>
                  </w:tcPr>
                  <w:p w:rsidR="009276D0" w:rsidRDefault="009276D0" w:rsidP="00326B19">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716316"/>
                    <w:lock w:val="sdtLocked"/>
                  </w:sdtPr>
                  <w:sdtContent>
                    <w:tc>
                      <w:tcPr>
                        <w:tcW w:w="5254" w:type="dxa"/>
                      </w:tcPr>
                      <w:p w:rsidR="009276D0" w:rsidRDefault="009276D0" w:rsidP="00326B19">
                        <w:pPr>
                          <w:rPr>
                            <w:szCs w:val="21"/>
                          </w:rPr>
                        </w:pPr>
                        <w:r>
                          <w:rPr>
                            <w:rFonts w:hint="eastAsia"/>
                            <w:szCs w:val="21"/>
                          </w:rPr>
                          <w:t>山西太兴铁路有限责任公司</w:t>
                        </w:r>
                      </w:p>
                    </w:tc>
                  </w:sdtContent>
                </w:sdt>
              </w:tr>
            </w:sdtContent>
          </w:sdt>
          <w:sdt>
            <w:sdtPr>
              <w:rPr>
                <w:rFonts w:ascii="Calibri" w:eastAsiaTheme="minorEastAsia" w:hAnsi="Calibri" w:cstheme="minorBidi" w:hint="eastAsia"/>
                <w:kern w:val="2"/>
                <w:szCs w:val="21"/>
              </w:rPr>
              <w:alias w:val="释义"/>
              <w:tag w:val="_TUP_44bf5f5b8d4e40a1afa2f3a4be6551b6"/>
              <w:id w:val="716319"/>
              <w:lock w:val="sdtLocked"/>
            </w:sdtPr>
            <w:sdtContent>
              <w:tr w:rsidR="009276D0" w:rsidTr="00326B19">
                <w:tc>
                  <w:tcPr>
                    <w:tcW w:w="3016" w:type="dxa"/>
                  </w:tcPr>
                  <w:p w:rsidR="009276D0" w:rsidRDefault="009276D0" w:rsidP="00326B19">
                    <w:pPr>
                      <w:rPr>
                        <w:szCs w:val="21"/>
                      </w:rPr>
                    </w:pPr>
                    <w:r>
                      <w:t>中鼎物流</w:t>
                    </w:r>
                  </w:p>
                </w:tc>
                <w:tc>
                  <w:tcPr>
                    <w:tcW w:w="778" w:type="dxa"/>
                  </w:tcPr>
                  <w:p w:rsidR="009276D0" w:rsidRDefault="009276D0" w:rsidP="00326B19">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716318"/>
                    <w:lock w:val="sdtLocked"/>
                  </w:sdtPr>
                  <w:sdtContent>
                    <w:tc>
                      <w:tcPr>
                        <w:tcW w:w="5254" w:type="dxa"/>
                      </w:tcPr>
                      <w:p w:rsidR="009276D0" w:rsidRDefault="009276D0" w:rsidP="00326B19">
                        <w:pPr>
                          <w:rPr>
                            <w:szCs w:val="21"/>
                          </w:rPr>
                        </w:pPr>
                        <w:r>
                          <w:rPr>
                            <w:rFonts w:hint="eastAsia"/>
                            <w:szCs w:val="21"/>
                          </w:rPr>
                          <w:t>山西中鼎物流集团有限公司</w:t>
                        </w:r>
                      </w:p>
                    </w:tc>
                  </w:sdtContent>
                </w:sdt>
              </w:tr>
            </w:sdtContent>
          </w:sdt>
          <w:sdt>
            <w:sdtPr>
              <w:rPr>
                <w:rFonts w:ascii="Calibri" w:eastAsiaTheme="minorEastAsia" w:hAnsi="Calibri" w:cstheme="minorBidi" w:hint="eastAsia"/>
                <w:kern w:val="2"/>
                <w:szCs w:val="21"/>
              </w:rPr>
              <w:alias w:val="释义"/>
              <w:tag w:val="_TUP_44bf5f5b8d4e40a1afa2f3a4be6551b6"/>
              <w:id w:val="716321"/>
              <w:lock w:val="sdtLocked"/>
            </w:sdtPr>
            <w:sdtContent>
              <w:tr w:rsidR="009276D0" w:rsidTr="00326B19">
                <w:tc>
                  <w:tcPr>
                    <w:tcW w:w="3016" w:type="dxa"/>
                  </w:tcPr>
                  <w:p w:rsidR="009276D0" w:rsidRDefault="009276D0" w:rsidP="00326B19">
                    <w:pPr>
                      <w:rPr>
                        <w:szCs w:val="21"/>
                      </w:rPr>
                    </w:pPr>
                    <w:r>
                      <w:t>唐港公司</w:t>
                    </w:r>
                  </w:p>
                </w:tc>
                <w:tc>
                  <w:tcPr>
                    <w:tcW w:w="778" w:type="dxa"/>
                  </w:tcPr>
                  <w:p w:rsidR="009276D0" w:rsidRDefault="009276D0" w:rsidP="00326B19">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716320"/>
                    <w:lock w:val="sdtLocked"/>
                  </w:sdtPr>
                  <w:sdtContent>
                    <w:tc>
                      <w:tcPr>
                        <w:tcW w:w="5254" w:type="dxa"/>
                      </w:tcPr>
                      <w:p w:rsidR="009276D0" w:rsidRDefault="009276D0" w:rsidP="00326B19">
                        <w:pPr>
                          <w:rPr>
                            <w:szCs w:val="21"/>
                          </w:rPr>
                        </w:pPr>
                        <w:r>
                          <w:rPr>
                            <w:rFonts w:hint="eastAsia"/>
                            <w:szCs w:val="21"/>
                          </w:rPr>
                          <w:t>唐港铁路有限责任公司</w:t>
                        </w:r>
                      </w:p>
                    </w:tc>
                  </w:sdtContent>
                </w:sdt>
              </w:tr>
            </w:sdtContent>
          </w:sdt>
          <w:sdt>
            <w:sdtPr>
              <w:rPr>
                <w:rFonts w:ascii="Calibri" w:eastAsiaTheme="minorEastAsia" w:hAnsi="Calibri" w:cstheme="minorBidi" w:hint="eastAsia"/>
                <w:kern w:val="2"/>
                <w:szCs w:val="21"/>
              </w:rPr>
              <w:alias w:val="释义"/>
              <w:tag w:val="_TUP_44bf5f5b8d4e40a1afa2f3a4be6551b6"/>
              <w:id w:val="716323"/>
              <w:lock w:val="sdtLocked"/>
            </w:sdtPr>
            <w:sdtContent>
              <w:tr w:rsidR="009276D0" w:rsidTr="00326B19">
                <w:tc>
                  <w:tcPr>
                    <w:tcW w:w="3016" w:type="dxa"/>
                  </w:tcPr>
                  <w:p w:rsidR="009276D0" w:rsidRDefault="009276D0" w:rsidP="00326B19">
                    <w:pPr>
                      <w:rPr>
                        <w:szCs w:val="21"/>
                      </w:rPr>
                    </w:pPr>
                    <w:r>
                      <w:t>西南环铁路公司</w:t>
                    </w:r>
                  </w:p>
                </w:tc>
                <w:tc>
                  <w:tcPr>
                    <w:tcW w:w="778" w:type="dxa"/>
                  </w:tcPr>
                  <w:p w:rsidR="009276D0" w:rsidRDefault="009276D0" w:rsidP="00326B19">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716322"/>
                    <w:lock w:val="sdtLocked"/>
                  </w:sdtPr>
                  <w:sdtContent>
                    <w:tc>
                      <w:tcPr>
                        <w:tcW w:w="5254" w:type="dxa"/>
                      </w:tcPr>
                      <w:p w:rsidR="009276D0" w:rsidRDefault="009276D0" w:rsidP="00326B19">
                        <w:pPr>
                          <w:rPr>
                            <w:szCs w:val="21"/>
                          </w:rPr>
                        </w:pPr>
                        <w:r>
                          <w:rPr>
                            <w:rFonts w:hint="eastAsia"/>
                            <w:szCs w:val="21"/>
                          </w:rPr>
                          <w:t>太原铁路枢纽西南环线有限责任公司</w:t>
                        </w:r>
                      </w:p>
                    </w:tc>
                  </w:sdtContent>
                </w:sdt>
              </w:tr>
            </w:sdtContent>
          </w:sdt>
          <w:sdt>
            <w:sdtPr>
              <w:rPr>
                <w:rFonts w:ascii="Calibri" w:eastAsiaTheme="minorEastAsia" w:hAnsi="Calibri" w:cstheme="minorBidi" w:hint="eastAsia"/>
                <w:kern w:val="2"/>
                <w:szCs w:val="21"/>
              </w:rPr>
              <w:alias w:val="释义"/>
              <w:tag w:val="_TUP_44bf5f5b8d4e40a1afa2f3a4be6551b6"/>
              <w:id w:val="716325"/>
              <w:lock w:val="sdtLocked"/>
            </w:sdtPr>
            <w:sdtContent>
              <w:tr w:rsidR="009276D0" w:rsidTr="00326B19">
                <w:tc>
                  <w:tcPr>
                    <w:tcW w:w="3016" w:type="dxa"/>
                  </w:tcPr>
                  <w:p w:rsidR="009276D0" w:rsidRDefault="009276D0" w:rsidP="00326B19">
                    <w:pPr>
                      <w:rPr>
                        <w:szCs w:val="21"/>
                      </w:rPr>
                    </w:pPr>
                    <w:r>
                      <w:t>朔黄公司</w:t>
                    </w:r>
                  </w:p>
                </w:tc>
                <w:tc>
                  <w:tcPr>
                    <w:tcW w:w="778" w:type="dxa"/>
                  </w:tcPr>
                  <w:p w:rsidR="009276D0" w:rsidRDefault="009276D0" w:rsidP="00326B19">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716324"/>
                    <w:lock w:val="sdtLocked"/>
                  </w:sdtPr>
                  <w:sdtContent>
                    <w:tc>
                      <w:tcPr>
                        <w:tcW w:w="5254" w:type="dxa"/>
                      </w:tcPr>
                      <w:p w:rsidR="009276D0" w:rsidRDefault="009276D0" w:rsidP="00326B19">
                        <w:pPr>
                          <w:rPr>
                            <w:szCs w:val="21"/>
                          </w:rPr>
                        </w:pPr>
                        <w:r>
                          <w:rPr>
                            <w:rFonts w:hint="eastAsia"/>
                            <w:szCs w:val="21"/>
                          </w:rPr>
                          <w:t>国能朔黄铁路发展有限责任公司</w:t>
                        </w:r>
                      </w:p>
                    </w:tc>
                  </w:sdtContent>
                </w:sdt>
              </w:tr>
            </w:sdtContent>
          </w:sdt>
          <w:sdt>
            <w:sdtPr>
              <w:rPr>
                <w:rFonts w:ascii="Calibri" w:eastAsiaTheme="minorEastAsia" w:hAnsi="Calibri" w:cstheme="minorBidi" w:hint="eastAsia"/>
                <w:kern w:val="2"/>
                <w:szCs w:val="21"/>
              </w:rPr>
              <w:alias w:val="释义"/>
              <w:tag w:val="_TUP_44bf5f5b8d4e40a1afa2f3a4be6551b6"/>
              <w:id w:val="716327"/>
              <w:lock w:val="sdtLocked"/>
            </w:sdtPr>
            <w:sdtContent>
              <w:tr w:rsidR="009276D0" w:rsidTr="00326B19">
                <w:tc>
                  <w:tcPr>
                    <w:tcW w:w="3016" w:type="dxa"/>
                  </w:tcPr>
                  <w:p w:rsidR="009276D0" w:rsidRDefault="009276D0" w:rsidP="00326B19">
                    <w:pPr>
                      <w:rPr>
                        <w:szCs w:val="21"/>
                      </w:rPr>
                    </w:pPr>
                    <w:r>
                      <w:t>浩吉铁路</w:t>
                    </w:r>
                  </w:p>
                </w:tc>
                <w:tc>
                  <w:tcPr>
                    <w:tcW w:w="778" w:type="dxa"/>
                  </w:tcPr>
                  <w:p w:rsidR="009276D0" w:rsidRDefault="009276D0" w:rsidP="00326B19">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716326"/>
                    <w:lock w:val="sdtLocked"/>
                  </w:sdtPr>
                  <w:sdtContent>
                    <w:tc>
                      <w:tcPr>
                        <w:tcW w:w="5254" w:type="dxa"/>
                      </w:tcPr>
                      <w:p w:rsidR="009276D0" w:rsidRDefault="009276D0" w:rsidP="00326B19">
                        <w:pPr>
                          <w:rPr>
                            <w:szCs w:val="21"/>
                          </w:rPr>
                        </w:pPr>
                        <w:r>
                          <w:rPr>
                            <w:rFonts w:hint="eastAsia"/>
                            <w:szCs w:val="21"/>
                          </w:rPr>
                          <w:t>浩吉铁路股份有限公司</w:t>
                        </w:r>
                      </w:p>
                    </w:tc>
                  </w:sdtContent>
                </w:sdt>
              </w:tr>
            </w:sdtContent>
          </w:sdt>
          <w:sdt>
            <w:sdtPr>
              <w:rPr>
                <w:rFonts w:ascii="Calibri" w:eastAsiaTheme="minorEastAsia" w:hAnsi="Calibri" w:cstheme="minorBidi" w:hint="eastAsia"/>
                <w:kern w:val="2"/>
                <w:szCs w:val="21"/>
              </w:rPr>
              <w:alias w:val="释义"/>
              <w:tag w:val="_TUP_44bf5f5b8d4e40a1afa2f3a4be6551b6"/>
              <w:id w:val="716329"/>
              <w:lock w:val="sdtLocked"/>
            </w:sdtPr>
            <w:sdtContent>
              <w:tr w:rsidR="009276D0" w:rsidTr="00326B19">
                <w:tc>
                  <w:tcPr>
                    <w:tcW w:w="3016" w:type="dxa"/>
                  </w:tcPr>
                  <w:p w:rsidR="009276D0" w:rsidRDefault="009276D0" w:rsidP="00326B19">
                    <w:pPr>
                      <w:rPr>
                        <w:szCs w:val="21"/>
                      </w:rPr>
                    </w:pPr>
                    <w:r>
                      <w:t>秦港股份</w:t>
                    </w:r>
                  </w:p>
                </w:tc>
                <w:tc>
                  <w:tcPr>
                    <w:tcW w:w="778" w:type="dxa"/>
                  </w:tcPr>
                  <w:p w:rsidR="009276D0" w:rsidRDefault="009276D0" w:rsidP="00326B19">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716328"/>
                    <w:lock w:val="sdtLocked"/>
                  </w:sdtPr>
                  <w:sdtContent>
                    <w:tc>
                      <w:tcPr>
                        <w:tcW w:w="5254" w:type="dxa"/>
                      </w:tcPr>
                      <w:p w:rsidR="009276D0" w:rsidRDefault="009276D0" w:rsidP="00326B19">
                        <w:pPr>
                          <w:rPr>
                            <w:szCs w:val="21"/>
                          </w:rPr>
                        </w:pPr>
                        <w:r>
                          <w:rPr>
                            <w:rFonts w:hint="eastAsia"/>
                            <w:szCs w:val="21"/>
                          </w:rPr>
                          <w:t>秦皇岛港股份有限公司</w:t>
                        </w:r>
                      </w:p>
                    </w:tc>
                  </w:sdtContent>
                </w:sdt>
              </w:tr>
            </w:sdtContent>
          </w:sdt>
          <w:sdt>
            <w:sdtPr>
              <w:rPr>
                <w:rFonts w:ascii="Calibri" w:eastAsiaTheme="minorEastAsia" w:hAnsi="Calibri" w:cstheme="minorBidi" w:hint="eastAsia"/>
                <w:kern w:val="2"/>
                <w:szCs w:val="21"/>
              </w:rPr>
              <w:alias w:val="释义"/>
              <w:tag w:val="_TUP_44bf5f5b8d4e40a1afa2f3a4be6551b6"/>
              <w:id w:val="716331"/>
              <w:lock w:val="sdtLocked"/>
            </w:sdtPr>
            <w:sdtContent>
              <w:tr w:rsidR="009276D0" w:rsidTr="00326B19">
                <w:tc>
                  <w:tcPr>
                    <w:tcW w:w="3016" w:type="dxa"/>
                  </w:tcPr>
                  <w:p w:rsidR="009276D0" w:rsidRDefault="009276D0" w:rsidP="00326B19">
                    <w:pPr>
                      <w:rPr>
                        <w:szCs w:val="21"/>
                      </w:rPr>
                    </w:pPr>
                    <w:r>
                      <w:t>Locotrol</w:t>
                    </w:r>
                  </w:p>
                </w:tc>
                <w:tc>
                  <w:tcPr>
                    <w:tcW w:w="778" w:type="dxa"/>
                  </w:tcPr>
                  <w:p w:rsidR="009276D0" w:rsidRDefault="009276D0" w:rsidP="00326B19">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716330"/>
                    <w:lock w:val="sdtLocked"/>
                  </w:sdtPr>
                  <w:sdtContent>
                    <w:tc>
                      <w:tcPr>
                        <w:tcW w:w="5254" w:type="dxa"/>
                      </w:tcPr>
                      <w:p w:rsidR="009276D0" w:rsidRDefault="009276D0" w:rsidP="00326B19">
                        <w:pPr>
                          <w:rPr>
                            <w:szCs w:val="21"/>
                          </w:rPr>
                        </w:pPr>
                        <w:r>
                          <w:rPr>
                            <w:rFonts w:hint="eastAsia"/>
                            <w:szCs w:val="21"/>
                          </w:rPr>
                          <w:t>机车无线同步控制技术</w:t>
                        </w:r>
                      </w:p>
                    </w:tc>
                  </w:sdtContent>
                </w:sdt>
              </w:tr>
            </w:sdtContent>
          </w:sdt>
          <w:sdt>
            <w:sdtPr>
              <w:rPr>
                <w:rFonts w:ascii="Calibri" w:eastAsiaTheme="minorEastAsia" w:hAnsi="Calibri" w:cstheme="minorBidi" w:hint="eastAsia"/>
                <w:kern w:val="2"/>
                <w:szCs w:val="21"/>
              </w:rPr>
              <w:alias w:val="释义"/>
              <w:tag w:val="_TUP_44bf5f5b8d4e40a1afa2f3a4be6551b6"/>
              <w:id w:val="716333"/>
              <w:lock w:val="sdtLocked"/>
            </w:sdtPr>
            <w:sdtContent>
              <w:tr w:rsidR="009276D0" w:rsidTr="00326B19">
                <w:tc>
                  <w:tcPr>
                    <w:tcW w:w="3016" w:type="dxa"/>
                  </w:tcPr>
                  <w:p w:rsidR="009276D0" w:rsidRDefault="009276D0" w:rsidP="00326B19">
                    <w:pPr>
                      <w:rPr>
                        <w:szCs w:val="21"/>
                      </w:rPr>
                    </w:pPr>
                    <w:r w:rsidRPr="00F43FEA">
                      <w:rPr>
                        <w:rFonts w:ascii="Calibri" w:eastAsiaTheme="minorEastAsia" w:hAnsi="Calibri" w:cstheme="minorBidi" w:hint="eastAsia"/>
                        <w:kern w:val="2"/>
                        <w:szCs w:val="21"/>
                      </w:rPr>
                      <w:t>六个现代化体系</w:t>
                    </w:r>
                  </w:p>
                </w:tc>
                <w:tc>
                  <w:tcPr>
                    <w:tcW w:w="778" w:type="dxa"/>
                  </w:tcPr>
                  <w:p w:rsidR="009276D0" w:rsidRDefault="009276D0" w:rsidP="00326B19">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716332"/>
                    <w:lock w:val="sdtLocked"/>
                  </w:sdtPr>
                  <w:sdtContent>
                    <w:tc>
                      <w:tcPr>
                        <w:tcW w:w="5254" w:type="dxa"/>
                      </w:tcPr>
                      <w:p w:rsidR="009276D0" w:rsidRDefault="009276D0" w:rsidP="00326B19">
                        <w:pPr>
                          <w:rPr>
                            <w:szCs w:val="21"/>
                          </w:rPr>
                        </w:pPr>
                        <w:r w:rsidRPr="00F43FEA">
                          <w:rPr>
                            <w:rFonts w:hint="eastAsia"/>
                            <w:szCs w:val="21"/>
                          </w:rPr>
                          <w:t>现代化铁路基础设施体系、现代化铁路运输服务体系、现代化铁路科技创新体系、现代</w:t>
                        </w:r>
                        <w:r>
                          <w:rPr>
                            <w:rFonts w:hint="eastAsia"/>
                            <w:szCs w:val="21"/>
                          </w:rPr>
                          <w:t>化铁路安全保障体系、现代化铁路经营管理体系、现代化铁路治理体系</w:t>
                        </w:r>
                      </w:p>
                    </w:tc>
                  </w:sdtContent>
                </w:sdt>
              </w:tr>
            </w:sdtContent>
          </w:sdt>
          <w:sdt>
            <w:sdtPr>
              <w:rPr>
                <w:rFonts w:ascii="Calibri" w:eastAsiaTheme="minorEastAsia" w:hAnsi="Calibri" w:cstheme="minorBidi" w:hint="eastAsia"/>
                <w:kern w:val="2"/>
                <w:szCs w:val="21"/>
              </w:rPr>
              <w:alias w:val="释义"/>
              <w:tag w:val="_TUP_44bf5f5b8d4e40a1afa2f3a4be6551b6"/>
              <w:id w:val="716335"/>
              <w:lock w:val="sdtLocked"/>
            </w:sdtPr>
            <w:sdtContent>
              <w:tr w:rsidR="009276D0" w:rsidTr="00326B19">
                <w:tc>
                  <w:tcPr>
                    <w:tcW w:w="3016" w:type="dxa"/>
                  </w:tcPr>
                  <w:p w:rsidR="009276D0" w:rsidRDefault="009276D0" w:rsidP="00326B19">
                    <w:pPr>
                      <w:rPr>
                        <w:szCs w:val="21"/>
                      </w:rPr>
                    </w:pPr>
                    <w:r w:rsidRPr="009276D0">
                      <w:rPr>
                        <w:rFonts w:ascii="Calibri" w:eastAsiaTheme="minorEastAsia" w:hAnsi="Calibri" w:cstheme="minorBidi" w:hint="eastAsia"/>
                        <w:kern w:val="2"/>
                        <w:szCs w:val="21"/>
                      </w:rPr>
                      <w:t>两高一远</w:t>
                    </w:r>
                  </w:p>
                </w:tc>
                <w:tc>
                  <w:tcPr>
                    <w:tcW w:w="778" w:type="dxa"/>
                  </w:tcPr>
                  <w:p w:rsidR="009276D0" w:rsidRDefault="009276D0" w:rsidP="00326B19">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716334"/>
                    <w:lock w:val="sdtLocked"/>
                  </w:sdtPr>
                  <w:sdtContent>
                    <w:tc>
                      <w:tcPr>
                        <w:tcW w:w="5254" w:type="dxa"/>
                      </w:tcPr>
                      <w:p w:rsidR="009276D0" w:rsidRDefault="009276D0" w:rsidP="00326B19">
                        <w:pPr>
                          <w:rPr>
                            <w:szCs w:val="21"/>
                          </w:rPr>
                        </w:pPr>
                        <w:r w:rsidRPr="009276D0">
                          <w:rPr>
                            <w:rFonts w:hint="eastAsia"/>
                            <w:szCs w:val="21"/>
                          </w:rPr>
                          <w:t>高附加值、高运价、远距离</w:t>
                        </w:r>
                      </w:p>
                    </w:tc>
                  </w:sdtContent>
                </w:sdt>
              </w:tr>
            </w:sdtContent>
          </w:sdt>
        </w:tbl>
        <w:p w:rsidR="009276D0" w:rsidRDefault="009276D0"/>
        <w:p w:rsidR="00806678" w:rsidRDefault="00F80B6C"/>
      </w:sdtContent>
    </w:sdt>
    <w:p w:rsidR="00806678" w:rsidRDefault="00B16377">
      <w:pPr>
        <w:pStyle w:val="10"/>
        <w:numPr>
          <w:ilvl w:val="0"/>
          <w:numId w:val="3"/>
        </w:numPr>
        <w:rPr>
          <w:color w:val="FF0000"/>
          <w:u w:val="single"/>
        </w:rPr>
      </w:pPr>
      <w:bookmarkStart w:id="9" w:name="_Toc407111355"/>
      <w:bookmarkStart w:id="10" w:name="_Toc436392762"/>
      <w:bookmarkStart w:id="11" w:name="_Toc437440709"/>
      <w:bookmarkStart w:id="12" w:name="_Toc89790249"/>
      <w:r>
        <w:rPr>
          <w:rFonts w:hint="eastAsia"/>
        </w:rPr>
        <w:t>公司简介</w:t>
      </w:r>
      <w:bookmarkEnd w:id="9"/>
      <w:bookmarkEnd w:id="10"/>
      <w:r>
        <w:rPr>
          <w:rFonts w:hint="eastAsia"/>
        </w:rPr>
        <w:t>和主要财务指标</w:t>
      </w:r>
      <w:bookmarkEnd w:id="11"/>
      <w:bookmarkEnd w:id="12"/>
    </w:p>
    <w:bookmarkStart w:id="13" w:name="_Toc342565881" w:displacedByCustomXml="next"/>
    <w:bookmarkStart w:id="14" w:name="_Toc342051041" w:displacedByCustomXml="next"/>
    <w:sdt>
      <w:sdtPr>
        <w:rPr>
          <w:rFonts w:ascii="Calibri" w:hAnsi="Calibri" w:cs="宋体" w:hint="eastAsia"/>
          <w:b w:val="0"/>
          <w:bCs w:val="0"/>
          <w:kern w:val="0"/>
          <w:sz w:val="24"/>
          <w:szCs w:val="22"/>
        </w:rPr>
        <w:alias w:val="模块:公司信息"/>
        <w:tag w:val="_SEC_21d2355d13dd4c3a8618d612216e1d43"/>
        <w:id w:val="4295530"/>
        <w:lock w:val="sdtLocked"/>
        <w:placeholder>
          <w:docPart w:val="GBC22222222222222222222222222222"/>
        </w:placeholder>
      </w:sdtPr>
      <w:sdtEndPr>
        <w:rPr>
          <w:rFonts w:ascii="宋体" w:hAnsi="宋体" w:hint="default"/>
          <w:sz w:val="21"/>
          <w:szCs w:val="24"/>
        </w:rPr>
      </w:sdtEndPr>
      <w:sdtContent>
        <w:p w:rsidR="00806678" w:rsidRDefault="00B16377">
          <w:pPr>
            <w:pStyle w:val="2"/>
            <w:numPr>
              <w:ilvl w:val="1"/>
              <w:numId w:val="4"/>
            </w:numPr>
            <w:ind w:left="566" w:hangingChars="236" w:hanging="566"/>
            <w:rPr>
              <w:color w:val="FF0000"/>
              <w:u w:val="single"/>
            </w:rPr>
          </w:pPr>
          <w:r>
            <w:rPr>
              <w:rFonts w:hint="eastAsia"/>
            </w:rPr>
            <w:t>公司信息</w:t>
          </w:r>
          <w:bookmarkEnd w:id="14"/>
          <w:bookmarkEnd w:id="13"/>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3858"/>
            <w:gridCol w:w="5035"/>
          </w:tblGrid>
          <w:tr w:rsidR="00806678" w:rsidTr="00187B4D">
            <w:trPr>
              <w:trHeight w:val="293"/>
            </w:trPr>
            <w:sdt>
              <w:sdtPr>
                <w:tag w:val="_PLD_76a4e08611bc46959c5497248a51b877"/>
                <w:id w:val="-422191989"/>
                <w:lock w:val="sdtLocked"/>
              </w:sdtPr>
              <w:sdtContent>
                <w:tc>
                  <w:tcPr>
                    <w:tcW w:w="2169" w:type="pct"/>
                    <w:tcBorders>
                      <w:top w:val="single" w:sz="4" w:space="0" w:color="auto"/>
                      <w:bottom w:val="single" w:sz="4" w:space="0" w:color="auto"/>
                      <w:right w:val="single" w:sz="4" w:space="0" w:color="auto"/>
                    </w:tcBorders>
                    <w:shd w:val="clear" w:color="auto" w:fill="auto"/>
                  </w:tcPr>
                  <w:p w:rsidR="00806678" w:rsidRDefault="00B16377">
                    <w:pPr>
                      <w:kinsoku w:val="0"/>
                      <w:overflowPunct w:val="0"/>
                      <w:autoSpaceDE w:val="0"/>
                      <w:autoSpaceDN w:val="0"/>
                      <w:adjustRightInd w:val="0"/>
                      <w:snapToGrid w:val="0"/>
                      <w:rPr>
                        <w:szCs w:val="21"/>
                      </w:rPr>
                    </w:pPr>
                    <w:r>
                      <w:rPr>
                        <w:rFonts w:hint="eastAsia"/>
                        <w:szCs w:val="21"/>
                      </w:rPr>
                      <w:t>公司的中文名称</w:t>
                    </w:r>
                  </w:p>
                </w:tc>
              </w:sdtContent>
            </w:sdt>
            <w:sdt>
              <w:sdtPr>
                <w:rPr>
                  <w:rFonts w:hint="eastAsia"/>
                  <w:szCs w:val="21"/>
                </w:rPr>
                <w:alias w:val="公司法定中文名称"/>
                <w:tag w:val="_GBC_7adfc39908d049d2970c391497a360e4"/>
                <w:id w:val="10263278"/>
                <w:lock w:val="sdtLocked"/>
                <w:dataBinding w:prefixMappings="xmlns:clcid-cgi='clcid-cgi'" w:xpath="/*/clcid-cgi:GongSiFaDingZhongWenMingCheng[not(@periodRef)]" w:storeItemID="{89EBAB94-44A0-46A2-B712-30D997D04A6D}"/>
                <w:text/>
              </w:sdtPr>
              <w:sdtContent>
                <w:tc>
                  <w:tcPr>
                    <w:tcW w:w="2831" w:type="pct"/>
                    <w:tcBorders>
                      <w:top w:val="single" w:sz="4" w:space="0" w:color="auto"/>
                      <w:left w:val="single" w:sz="4" w:space="0" w:color="auto"/>
                      <w:bottom w:val="single" w:sz="4" w:space="0" w:color="auto"/>
                    </w:tcBorders>
                  </w:tcPr>
                  <w:p w:rsidR="00806678" w:rsidRDefault="00AD579F">
                    <w:pPr>
                      <w:kinsoku w:val="0"/>
                      <w:overflowPunct w:val="0"/>
                      <w:autoSpaceDE w:val="0"/>
                      <w:autoSpaceDN w:val="0"/>
                      <w:adjustRightInd w:val="0"/>
                      <w:snapToGrid w:val="0"/>
                      <w:rPr>
                        <w:color w:val="FFC000"/>
                        <w:szCs w:val="21"/>
                      </w:rPr>
                    </w:pPr>
                    <w:r>
                      <w:rPr>
                        <w:rFonts w:hint="eastAsia"/>
                        <w:szCs w:val="21"/>
                      </w:rPr>
                      <w:t>大秦铁路股份有限公司</w:t>
                    </w:r>
                  </w:p>
                </w:tc>
              </w:sdtContent>
            </w:sdt>
          </w:tr>
          <w:tr w:rsidR="00806678" w:rsidTr="00187B4D">
            <w:trPr>
              <w:trHeight w:val="293"/>
            </w:trPr>
            <w:sdt>
              <w:sdtPr>
                <w:tag w:val="_PLD_3d8e18738ed5412e8760c2285c087dc8"/>
                <w:id w:val="1003395146"/>
                <w:lock w:val="sdtLocked"/>
              </w:sdtPr>
              <w:sdtContent>
                <w:tc>
                  <w:tcPr>
                    <w:tcW w:w="2169" w:type="pct"/>
                    <w:tcBorders>
                      <w:top w:val="single" w:sz="4" w:space="0" w:color="auto"/>
                      <w:bottom w:val="single" w:sz="4" w:space="0" w:color="auto"/>
                      <w:right w:val="single" w:sz="4" w:space="0" w:color="auto"/>
                    </w:tcBorders>
                    <w:shd w:val="clear" w:color="auto" w:fill="auto"/>
                  </w:tcPr>
                  <w:p w:rsidR="00806678" w:rsidRDefault="00B16377">
                    <w:pPr>
                      <w:kinsoku w:val="0"/>
                      <w:overflowPunct w:val="0"/>
                      <w:autoSpaceDE w:val="0"/>
                      <w:autoSpaceDN w:val="0"/>
                      <w:adjustRightInd w:val="0"/>
                      <w:snapToGrid w:val="0"/>
                      <w:rPr>
                        <w:szCs w:val="21"/>
                      </w:rPr>
                    </w:pPr>
                    <w:r>
                      <w:rPr>
                        <w:rFonts w:hint="eastAsia"/>
                        <w:szCs w:val="21"/>
                      </w:rPr>
                      <w:t>公司的中文简称</w:t>
                    </w:r>
                  </w:p>
                </w:tc>
              </w:sdtContent>
            </w:sdt>
            <w:tc>
              <w:tcPr>
                <w:tcW w:w="2831" w:type="pct"/>
                <w:tcBorders>
                  <w:top w:val="single" w:sz="4" w:space="0" w:color="auto"/>
                  <w:left w:val="single" w:sz="4" w:space="0" w:color="auto"/>
                  <w:bottom w:val="single" w:sz="4" w:space="0" w:color="auto"/>
                </w:tcBorders>
              </w:tcPr>
              <w:p w:rsidR="00806678" w:rsidRDefault="003078B9">
                <w:pPr>
                  <w:kinsoku w:val="0"/>
                  <w:overflowPunct w:val="0"/>
                  <w:autoSpaceDE w:val="0"/>
                  <w:autoSpaceDN w:val="0"/>
                  <w:adjustRightInd w:val="0"/>
                  <w:snapToGrid w:val="0"/>
                  <w:rPr>
                    <w:szCs w:val="21"/>
                  </w:rPr>
                </w:pPr>
                <w:r>
                  <w:rPr>
                    <w:rFonts w:hint="eastAsia"/>
                    <w:szCs w:val="21"/>
                  </w:rPr>
                  <w:t>大秦铁路</w:t>
                </w:r>
              </w:p>
            </w:tc>
          </w:tr>
          <w:tr w:rsidR="00806678" w:rsidTr="00187B4D">
            <w:trPr>
              <w:trHeight w:val="293"/>
            </w:trPr>
            <w:sdt>
              <w:sdtPr>
                <w:tag w:val="_PLD_6ad5cbeacfc64a4d994ad6b8da3d46ce"/>
                <w:id w:val="-1194002472"/>
                <w:lock w:val="sdtLocked"/>
              </w:sdtPr>
              <w:sdtContent>
                <w:tc>
                  <w:tcPr>
                    <w:tcW w:w="2169" w:type="pct"/>
                    <w:tcBorders>
                      <w:top w:val="single" w:sz="4" w:space="0" w:color="auto"/>
                      <w:bottom w:val="single" w:sz="4" w:space="0" w:color="auto"/>
                      <w:right w:val="single" w:sz="4" w:space="0" w:color="auto"/>
                    </w:tcBorders>
                    <w:shd w:val="clear" w:color="auto" w:fill="auto"/>
                  </w:tcPr>
                  <w:p w:rsidR="00806678" w:rsidRDefault="00B16377">
                    <w:pPr>
                      <w:kinsoku w:val="0"/>
                      <w:overflowPunct w:val="0"/>
                      <w:autoSpaceDE w:val="0"/>
                      <w:autoSpaceDN w:val="0"/>
                      <w:adjustRightInd w:val="0"/>
                      <w:snapToGrid w:val="0"/>
                      <w:rPr>
                        <w:szCs w:val="21"/>
                      </w:rPr>
                    </w:pPr>
                    <w:r>
                      <w:rPr>
                        <w:szCs w:val="21"/>
                      </w:rPr>
                      <w:t>公司的外文名称</w:t>
                    </w:r>
                  </w:p>
                </w:tc>
              </w:sdtContent>
            </w:sdt>
            <w:tc>
              <w:tcPr>
                <w:tcW w:w="2831" w:type="pct"/>
                <w:tcBorders>
                  <w:top w:val="single" w:sz="4" w:space="0" w:color="auto"/>
                  <w:left w:val="single" w:sz="4" w:space="0" w:color="auto"/>
                  <w:bottom w:val="single" w:sz="4" w:space="0" w:color="auto"/>
                </w:tcBorders>
              </w:tcPr>
              <w:p w:rsidR="00806678" w:rsidRDefault="003078B9">
                <w:pPr>
                  <w:kinsoku w:val="0"/>
                  <w:overflowPunct w:val="0"/>
                  <w:autoSpaceDE w:val="0"/>
                  <w:autoSpaceDN w:val="0"/>
                  <w:adjustRightInd w:val="0"/>
                  <w:snapToGrid w:val="0"/>
                  <w:rPr>
                    <w:szCs w:val="21"/>
                  </w:rPr>
                </w:pPr>
                <w:r w:rsidRPr="003078B9">
                  <w:rPr>
                    <w:szCs w:val="21"/>
                  </w:rPr>
                  <w:t>Daqin Railway Co.,Ltd.</w:t>
                </w:r>
              </w:p>
            </w:tc>
          </w:tr>
          <w:tr w:rsidR="00806678" w:rsidTr="00187B4D">
            <w:trPr>
              <w:trHeight w:val="293"/>
            </w:trPr>
            <w:sdt>
              <w:sdtPr>
                <w:tag w:val="_PLD_72725d33fa5348b5b56757232178bc55"/>
                <w:id w:val="-1728602976"/>
                <w:lock w:val="sdtLocked"/>
              </w:sdtPr>
              <w:sdtContent>
                <w:tc>
                  <w:tcPr>
                    <w:tcW w:w="2169" w:type="pct"/>
                    <w:tcBorders>
                      <w:top w:val="single" w:sz="4" w:space="0" w:color="auto"/>
                      <w:bottom w:val="single" w:sz="4" w:space="0" w:color="auto"/>
                      <w:right w:val="single" w:sz="4" w:space="0" w:color="auto"/>
                    </w:tcBorders>
                    <w:shd w:val="clear" w:color="auto" w:fill="auto"/>
                  </w:tcPr>
                  <w:p w:rsidR="00806678" w:rsidRDefault="00B16377">
                    <w:pPr>
                      <w:kinsoku w:val="0"/>
                      <w:overflowPunct w:val="0"/>
                      <w:autoSpaceDE w:val="0"/>
                      <w:autoSpaceDN w:val="0"/>
                      <w:adjustRightInd w:val="0"/>
                      <w:snapToGrid w:val="0"/>
                      <w:rPr>
                        <w:szCs w:val="21"/>
                      </w:rPr>
                    </w:pPr>
                    <w:r>
                      <w:rPr>
                        <w:szCs w:val="21"/>
                      </w:rPr>
                      <w:t>公司的外文名称缩写</w:t>
                    </w:r>
                  </w:p>
                </w:tc>
              </w:sdtContent>
            </w:sdt>
            <w:tc>
              <w:tcPr>
                <w:tcW w:w="2831" w:type="pct"/>
                <w:tcBorders>
                  <w:top w:val="single" w:sz="4" w:space="0" w:color="auto"/>
                  <w:left w:val="single" w:sz="4" w:space="0" w:color="auto"/>
                  <w:bottom w:val="single" w:sz="4" w:space="0" w:color="auto"/>
                </w:tcBorders>
              </w:tcPr>
              <w:p w:rsidR="00806678" w:rsidRDefault="003078B9">
                <w:pPr>
                  <w:kinsoku w:val="0"/>
                  <w:overflowPunct w:val="0"/>
                  <w:autoSpaceDE w:val="0"/>
                  <w:autoSpaceDN w:val="0"/>
                  <w:adjustRightInd w:val="0"/>
                  <w:snapToGrid w:val="0"/>
                  <w:rPr>
                    <w:szCs w:val="21"/>
                  </w:rPr>
                </w:pPr>
                <w:r w:rsidRPr="003078B9">
                  <w:rPr>
                    <w:szCs w:val="21"/>
                  </w:rPr>
                  <w:t>Daqin Railway</w:t>
                </w:r>
              </w:p>
            </w:tc>
          </w:tr>
          <w:tr w:rsidR="00806678" w:rsidTr="00187B4D">
            <w:trPr>
              <w:trHeight w:val="293"/>
            </w:trPr>
            <w:sdt>
              <w:sdtPr>
                <w:tag w:val="_PLD_7f7b4aabdee04e669a63fcdcfe41ffe0"/>
                <w:id w:val="-69660358"/>
                <w:lock w:val="sdtLocked"/>
              </w:sdtPr>
              <w:sdtContent>
                <w:tc>
                  <w:tcPr>
                    <w:tcW w:w="2169" w:type="pct"/>
                    <w:tcBorders>
                      <w:top w:val="single" w:sz="4" w:space="0" w:color="auto"/>
                      <w:bottom w:val="single" w:sz="4" w:space="0" w:color="auto"/>
                      <w:right w:val="single" w:sz="4" w:space="0" w:color="auto"/>
                    </w:tcBorders>
                    <w:shd w:val="clear" w:color="auto" w:fill="auto"/>
                  </w:tcPr>
                  <w:p w:rsidR="00806678" w:rsidRDefault="00B16377">
                    <w:pPr>
                      <w:kinsoku w:val="0"/>
                      <w:overflowPunct w:val="0"/>
                      <w:autoSpaceDE w:val="0"/>
                      <w:autoSpaceDN w:val="0"/>
                      <w:adjustRightInd w:val="0"/>
                      <w:snapToGrid w:val="0"/>
                      <w:rPr>
                        <w:szCs w:val="21"/>
                      </w:rPr>
                    </w:pPr>
                    <w:r>
                      <w:rPr>
                        <w:szCs w:val="21"/>
                      </w:rPr>
                      <w:t>公司的法定代表人</w:t>
                    </w:r>
                  </w:p>
                </w:tc>
              </w:sdtContent>
            </w:sdt>
            <w:sdt>
              <w:sdtPr>
                <w:rPr>
                  <w:rFonts w:hint="eastAsia"/>
                  <w:szCs w:val="21"/>
                </w:rPr>
                <w:alias w:val="公司法定代表人"/>
                <w:tag w:val="_GBC_769fe82e3b744e0889d7c811ffa80455"/>
                <w:id w:val="4295522"/>
                <w:lock w:val="sdtLocked"/>
                <w:dataBinding w:prefixMappings="xmlns:clcid-cgi='clcid-cgi'" w:xpath="/*/clcid-cgi:GongSiFaDingDaiBiaoRen[not(@periodRef)]" w:storeItemID="{89EBAB94-44A0-46A2-B712-30D997D04A6D}"/>
                <w:text/>
              </w:sdtPr>
              <w:sdtContent>
                <w:tc>
                  <w:tcPr>
                    <w:tcW w:w="2831" w:type="pct"/>
                    <w:tcBorders>
                      <w:top w:val="single" w:sz="4" w:space="0" w:color="auto"/>
                      <w:left w:val="single" w:sz="4" w:space="0" w:color="auto"/>
                      <w:bottom w:val="single" w:sz="4" w:space="0" w:color="auto"/>
                    </w:tcBorders>
                  </w:tcPr>
                  <w:p w:rsidR="00806678" w:rsidRDefault="003078B9" w:rsidP="003078B9">
                    <w:pPr>
                      <w:kinsoku w:val="0"/>
                      <w:overflowPunct w:val="0"/>
                      <w:autoSpaceDE w:val="0"/>
                      <w:autoSpaceDN w:val="0"/>
                      <w:adjustRightInd w:val="0"/>
                      <w:snapToGrid w:val="0"/>
                      <w:rPr>
                        <w:szCs w:val="21"/>
                      </w:rPr>
                    </w:pPr>
                    <w:r>
                      <w:rPr>
                        <w:rFonts w:hint="eastAsia"/>
                        <w:szCs w:val="21"/>
                      </w:rPr>
                      <w:t>戴弘</w:t>
                    </w:r>
                  </w:p>
                </w:tc>
              </w:sdtContent>
            </w:sdt>
          </w:tr>
        </w:tbl>
        <w:p w:rsidR="00806678" w:rsidRDefault="00F80B6C"/>
      </w:sdtContent>
    </w:sdt>
    <w:bookmarkStart w:id="15" w:name="_Toc342565882" w:displacedByCustomXml="next"/>
    <w:bookmarkStart w:id="16" w:name="_Toc342051042" w:displacedByCustomXml="next"/>
    <w:sdt>
      <w:sdtPr>
        <w:rPr>
          <w:rFonts w:ascii="Calibri" w:hAnsi="Calibri" w:cs="宋体" w:hint="eastAsia"/>
          <w:b w:val="0"/>
          <w:bCs w:val="0"/>
          <w:kern w:val="0"/>
          <w:sz w:val="24"/>
          <w:szCs w:val="22"/>
        </w:rPr>
        <w:alias w:val="模块:联系人和联系方式"/>
        <w:tag w:val="_SEC_c723c6b18eac4f1fa6cc19fd1ec13bac"/>
        <w:id w:val="26932533"/>
        <w:lock w:val="sdtLocked"/>
        <w:placeholder>
          <w:docPart w:val="GBC22222222222222222222222222222"/>
        </w:placeholder>
      </w:sdtPr>
      <w:sdtEndPr>
        <w:rPr>
          <w:rFonts w:ascii="宋体" w:hAnsi="宋体" w:hint="default"/>
          <w:sz w:val="21"/>
          <w:szCs w:val="24"/>
        </w:rPr>
      </w:sdtEndPr>
      <w:sdtContent>
        <w:p w:rsidR="00806678" w:rsidRDefault="00B16377">
          <w:pPr>
            <w:pStyle w:val="2"/>
            <w:numPr>
              <w:ilvl w:val="1"/>
              <w:numId w:val="4"/>
            </w:numPr>
            <w:ind w:left="566" w:hangingChars="236" w:hanging="566"/>
          </w:pPr>
          <w:r>
            <w:rPr>
              <w:rFonts w:hint="eastAsia"/>
            </w:rPr>
            <w:t>联系人和联系方式</w:t>
          </w:r>
          <w:bookmarkEnd w:id="16"/>
          <w:bookmarkEnd w:id="15"/>
        </w:p>
        <w:tbl>
          <w:tblPr>
            <w:tblW w:w="5000" w:type="pct"/>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tblPr>
          <w:tblGrid>
            <w:gridCol w:w="2424"/>
            <w:gridCol w:w="3504"/>
            <w:gridCol w:w="2965"/>
          </w:tblGrid>
          <w:tr w:rsidR="00806678" w:rsidTr="00036CE0">
            <w:tc>
              <w:tcPr>
                <w:tcW w:w="1363" w:type="pct"/>
                <w:tcBorders>
                  <w:top w:val="single" w:sz="4" w:space="0" w:color="auto"/>
                  <w:bottom w:val="single" w:sz="4" w:space="0" w:color="auto"/>
                  <w:right w:val="single" w:sz="4" w:space="0" w:color="auto"/>
                </w:tcBorders>
                <w:shd w:val="clear" w:color="auto" w:fill="auto"/>
              </w:tcPr>
              <w:p w:rsidR="00806678" w:rsidRDefault="00806678">
                <w:pPr>
                  <w:kinsoku w:val="0"/>
                  <w:overflowPunct w:val="0"/>
                  <w:autoSpaceDE w:val="0"/>
                  <w:autoSpaceDN w:val="0"/>
                  <w:adjustRightInd w:val="0"/>
                  <w:snapToGrid w:val="0"/>
                  <w:rPr>
                    <w:szCs w:val="21"/>
                  </w:rPr>
                </w:pPr>
              </w:p>
            </w:tc>
            <w:tc>
              <w:tcPr>
                <w:tcW w:w="1970" w:type="pct"/>
                <w:tcBorders>
                  <w:top w:val="single" w:sz="4" w:space="0" w:color="auto"/>
                  <w:left w:val="single" w:sz="4" w:space="0" w:color="auto"/>
                  <w:bottom w:val="single" w:sz="4" w:space="0" w:color="auto"/>
                  <w:right w:val="single" w:sz="4" w:space="0" w:color="auto"/>
                </w:tcBorders>
                <w:shd w:val="clear" w:color="auto" w:fill="auto"/>
              </w:tcPr>
              <w:p w:rsidR="00806678" w:rsidRDefault="00F80B6C">
                <w:pPr>
                  <w:pStyle w:val="a8"/>
                  <w:kinsoku w:val="0"/>
                  <w:overflowPunct w:val="0"/>
                  <w:autoSpaceDE w:val="0"/>
                  <w:autoSpaceDN w:val="0"/>
                  <w:adjustRightInd w:val="0"/>
                  <w:snapToGrid w:val="0"/>
                  <w:jc w:val="center"/>
                  <w:rPr>
                    <w:rFonts w:ascii="宋体" w:hAnsi="宋体"/>
                    <w:color w:val="008000"/>
                  </w:rPr>
                </w:pPr>
                <w:sdt>
                  <w:sdtPr>
                    <w:tag w:val="_PLD_e3b56ea4d9044947a48312d084d6e0c4"/>
                    <w:id w:val="515901135"/>
                    <w:lock w:val="sdtLocked"/>
                  </w:sdtPr>
                  <w:sdtContent>
                    <w:r w:rsidR="00B16377">
                      <w:rPr>
                        <w:rFonts w:ascii="宋体" w:hAnsi="宋体" w:cs="宋体" w:hint="eastAsia"/>
                      </w:rPr>
                      <w:t>董事会秘书</w:t>
                    </w:r>
                  </w:sdtContent>
                </w:sdt>
              </w:p>
            </w:tc>
            <w:sdt>
              <w:sdtPr>
                <w:tag w:val="_PLD_3c890d5ebae5433cbd8a04f8846a0d9c"/>
                <w:id w:val="2131972807"/>
                <w:lock w:val="sdtLocked"/>
              </w:sdtPr>
              <w:sdtContent>
                <w:tc>
                  <w:tcPr>
                    <w:tcW w:w="1667" w:type="pct"/>
                    <w:tcBorders>
                      <w:top w:val="single" w:sz="4" w:space="0" w:color="auto"/>
                      <w:left w:val="single" w:sz="4" w:space="0" w:color="auto"/>
                      <w:bottom w:val="single" w:sz="4" w:space="0" w:color="auto"/>
                    </w:tcBorders>
                    <w:shd w:val="clear" w:color="auto" w:fill="auto"/>
                  </w:tcPr>
                  <w:p w:rsidR="00806678" w:rsidRDefault="00B16377">
                    <w:pPr>
                      <w:pStyle w:val="a8"/>
                      <w:kinsoku w:val="0"/>
                      <w:overflowPunct w:val="0"/>
                      <w:autoSpaceDE w:val="0"/>
                      <w:autoSpaceDN w:val="0"/>
                      <w:adjustRightInd w:val="0"/>
                      <w:snapToGrid w:val="0"/>
                      <w:jc w:val="center"/>
                      <w:rPr>
                        <w:rFonts w:ascii="宋体" w:hAnsi="宋体" w:cs="宋体"/>
                      </w:rPr>
                    </w:pPr>
                    <w:r>
                      <w:rPr>
                        <w:rFonts w:ascii="宋体" w:hAnsi="宋体" w:cs="宋体" w:hint="eastAsia"/>
                      </w:rPr>
                      <w:t>证券事务代表</w:t>
                    </w:r>
                  </w:p>
                </w:tc>
              </w:sdtContent>
            </w:sdt>
          </w:tr>
          <w:tr w:rsidR="0077565D" w:rsidTr="0020440C">
            <w:sdt>
              <w:sdtPr>
                <w:tag w:val="_PLD_b3cf3cc2950f4dda9f834cfc035f4162"/>
                <w:id w:val="-409013813"/>
                <w:lock w:val="sdtLocked"/>
              </w:sdtPr>
              <w:sdtContent>
                <w:tc>
                  <w:tcPr>
                    <w:tcW w:w="1363" w:type="pct"/>
                    <w:tcBorders>
                      <w:top w:val="single" w:sz="4" w:space="0" w:color="auto"/>
                      <w:bottom w:val="single" w:sz="4" w:space="0" w:color="auto"/>
                      <w:right w:val="single" w:sz="4" w:space="0" w:color="auto"/>
                    </w:tcBorders>
                    <w:shd w:val="clear" w:color="auto" w:fill="auto"/>
                  </w:tcPr>
                  <w:p w:rsidR="0077565D" w:rsidRDefault="0077565D">
                    <w:pPr>
                      <w:kinsoku w:val="0"/>
                      <w:overflowPunct w:val="0"/>
                      <w:autoSpaceDE w:val="0"/>
                      <w:autoSpaceDN w:val="0"/>
                      <w:adjustRightInd w:val="0"/>
                      <w:snapToGrid w:val="0"/>
                      <w:rPr>
                        <w:szCs w:val="21"/>
                      </w:rPr>
                    </w:pPr>
                    <w:r>
                      <w:rPr>
                        <w:rFonts w:hint="eastAsia"/>
                        <w:szCs w:val="21"/>
                      </w:rPr>
                      <w:t>姓名</w:t>
                    </w:r>
                  </w:p>
                </w:tc>
              </w:sdtContent>
            </w:sdt>
            <w:tc>
              <w:tcPr>
                <w:tcW w:w="1970" w:type="pct"/>
                <w:tcBorders>
                  <w:top w:val="single" w:sz="4" w:space="0" w:color="auto"/>
                  <w:left w:val="single" w:sz="4" w:space="0" w:color="auto"/>
                  <w:bottom w:val="single" w:sz="4" w:space="0" w:color="auto"/>
                  <w:right w:val="single" w:sz="4" w:space="0" w:color="auto"/>
                </w:tcBorders>
                <w:vAlign w:val="center"/>
              </w:tcPr>
              <w:p w:rsidR="0077565D" w:rsidRDefault="0077565D">
                <w:pPr>
                  <w:rPr>
                    <w:sz w:val="24"/>
                  </w:rPr>
                </w:pPr>
                <w:r>
                  <w:t>张利荣</w:t>
                </w:r>
              </w:p>
            </w:tc>
            <w:tc>
              <w:tcPr>
                <w:tcW w:w="1667" w:type="pct"/>
                <w:tcBorders>
                  <w:top w:val="single" w:sz="4" w:space="0" w:color="auto"/>
                  <w:left w:val="single" w:sz="4" w:space="0" w:color="auto"/>
                  <w:bottom w:val="single" w:sz="4" w:space="0" w:color="auto"/>
                </w:tcBorders>
                <w:vAlign w:val="center"/>
              </w:tcPr>
              <w:p w:rsidR="0077565D" w:rsidRDefault="0077565D">
                <w:pPr>
                  <w:rPr>
                    <w:sz w:val="24"/>
                  </w:rPr>
                </w:pPr>
                <w:r>
                  <w:t>丁一</w:t>
                </w:r>
              </w:p>
            </w:tc>
          </w:tr>
          <w:tr w:rsidR="0077565D" w:rsidTr="0020440C">
            <w:sdt>
              <w:sdtPr>
                <w:tag w:val="_PLD_96f7c5d10740423ea389d22caaba3d57"/>
                <w:id w:val="1625966572"/>
                <w:lock w:val="sdtLocked"/>
              </w:sdtPr>
              <w:sdtContent>
                <w:tc>
                  <w:tcPr>
                    <w:tcW w:w="1363" w:type="pct"/>
                    <w:tcBorders>
                      <w:top w:val="single" w:sz="4" w:space="0" w:color="auto"/>
                      <w:bottom w:val="single" w:sz="4" w:space="0" w:color="auto"/>
                      <w:right w:val="single" w:sz="4" w:space="0" w:color="auto"/>
                    </w:tcBorders>
                    <w:shd w:val="clear" w:color="auto" w:fill="auto"/>
                  </w:tcPr>
                  <w:p w:rsidR="0077565D" w:rsidRDefault="0077565D">
                    <w:pPr>
                      <w:kinsoku w:val="0"/>
                      <w:overflowPunct w:val="0"/>
                      <w:autoSpaceDE w:val="0"/>
                      <w:autoSpaceDN w:val="0"/>
                      <w:adjustRightInd w:val="0"/>
                      <w:snapToGrid w:val="0"/>
                      <w:rPr>
                        <w:szCs w:val="21"/>
                      </w:rPr>
                    </w:pPr>
                    <w:r>
                      <w:rPr>
                        <w:rFonts w:hint="eastAsia"/>
                        <w:szCs w:val="21"/>
                      </w:rPr>
                      <w:t>联系地址</w:t>
                    </w:r>
                  </w:p>
                </w:tc>
              </w:sdtContent>
            </w:sdt>
            <w:tc>
              <w:tcPr>
                <w:tcW w:w="1970" w:type="pct"/>
                <w:tcBorders>
                  <w:top w:val="single" w:sz="4" w:space="0" w:color="auto"/>
                  <w:left w:val="single" w:sz="4" w:space="0" w:color="auto"/>
                  <w:bottom w:val="single" w:sz="4" w:space="0" w:color="auto"/>
                  <w:right w:val="single" w:sz="4" w:space="0" w:color="auto"/>
                </w:tcBorders>
                <w:vAlign w:val="center"/>
              </w:tcPr>
              <w:p w:rsidR="0077565D" w:rsidRDefault="0077565D">
                <w:pPr>
                  <w:rPr>
                    <w:sz w:val="24"/>
                  </w:rPr>
                </w:pPr>
                <w:r>
                  <w:t>山西省太原市建设北路202号</w:t>
                </w:r>
              </w:p>
            </w:tc>
            <w:tc>
              <w:tcPr>
                <w:tcW w:w="1667" w:type="pct"/>
                <w:tcBorders>
                  <w:top w:val="single" w:sz="4" w:space="0" w:color="auto"/>
                  <w:left w:val="single" w:sz="4" w:space="0" w:color="auto"/>
                  <w:bottom w:val="single" w:sz="4" w:space="0" w:color="auto"/>
                </w:tcBorders>
                <w:vAlign w:val="center"/>
              </w:tcPr>
              <w:p w:rsidR="0077565D" w:rsidRDefault="0077565D">
                <w:pPr>
                  <w:rPr>
                    <w:sz w:val="24"/>
                  </w:rPr>
                </w:pPr>
                <w:r>
                  <w:t>山西省太原市建设北路202号</w:t>
                </w:r>
              </w:p>
            </w:tc>
          </w:tr>
          <w:tr w:rsidR="0077565D" w:rsidTr="0020440C">
            <w:sdt>
              <w:sdtPr>
                <w:tag w:val="_PLD_d4e86ed7770a42129d9e099023bce649"/>
                <w:id w:val="-1952229869"/>
                <w:lock w:val="sdtLocked"/>
              </w:sdtPr>
              <w:sdtContent>
                <w:tc>
                  <w:tcPr>
                    <w:tcW w:w="1363" w:type="pct"/>
                    <w:tcBorders>
                      <w:top w:val="single" w:sz="4" w:space="0" w:color="auto"/>
                      <w:bottom w:val="single" w:sz="4" w:space="0" w:color="auto"/>
                      <w:right w:val="single" w:sz="4" w:space="0" w:color="auto"/>
                    </w:tcBorders>
                    <w:shd w:val="clear" w:color="auto" w:fill="auto"/>
                  </w:tcPr>
                  <w:p w:rsidR="0077565D" w:rsidRDefault="0077565D">
                    <w:pPr>
                      <w:kinsoku w:val="0"/>
                      <w:overflowPunct w:val="0"/>
                      <w:autoSpaceDE w:val="0"/>
                      <w:autoSpaceDN w:val="0"/>
                      <w:adjustRightInd w:val="0"/>
                      <w:snapToGrid w:val="0"/>
                      <w:rPr>
                        <w:szCs w:val="21"/>
                      </w:rPr>
                    </w:pPr>
                    <w:r>
                      <w:rPr>
                        <w:szCs w:val="21"/>
                      </w:rPr>
                      <w:t>电话</w:t>
                    </w:r>
                  </w:p>
                </w:tc>
              </w:sdtContent>
            </w:sdt>
            <w:tc>
              <w:tcPr>
                <w:tcW w:w="1970" w:type="pct"/>
                <w:tcBorders>
                  <w:top w:val="single" w:sz="4" w:space="0" w:color="auto"/>
                  <w:left w:val="single" w:sz="4" w:space="0" w:color="auto"/>
                  <w:bottom w:val="single" w:sz="4" w:space="0" w:color="auto"/>
                  <w:right w:val="single" w:sz="4" w:space="0" w:color="auto"/>
                </w:tcBorders>
                <w:vAlign w:val="center"/>
              </w:tcPr>
              <w:p w:rsidR="0077565D" w:rsidRDefault="0077565D">
                <w:pPr>
                  <w:rPr>
                    <w:sz w:val="24"/>
                  </w:rPr>
                </w:pPr>
                <w:r>
                  <w:t>0351-2620620</w:t>
                </w:r>
              </w:p>
            </w:tc>
            <w:tc>
              <w:tcPr>
                <w:tcW w:w="1667" w:type="pct"/>
                <w:tcBorders>
                  <w:top w:val="single" w:sz="4" w:space="0" w:color="auto"/>
                  <w:left w:val="single" w:sz="4" w:space="0" w:color="auto"/>
                  <w:bottom w:val="single" w:sz="4" w:space="0" w:color="auto"/>
                </w:tcBorders>
                <w:vAlign w:val="center"/>
              </w:tcPr>
              <w:p w:rsidR="0077565D" w:rsidRDefault="0077565D">
                <w:pPr>
                  <w:rPr>
                    <w:sz w:val="24"/>
                  </w:rPr>
                </w:pPr>
                <w:r>
                  <w:t>0351-2620620</w:t>
                </w:r>
              </w:p>
            </w:tc>
          </w:tr>
          <w:tr w:rsidR="0077565D" w:rsidTr="0020440C">
            <w:sdt>
              <w:sdtPr>
                <w:tag w:val="_PLD_ac000fe0146046e69c0678d412246e74"/>
                <w:id w:val="2068528485"/>
                <w:lock w:val="sdtLocked"/>
              </w:sdtPr>
              <w:sdtContent>
                <w:tc>
                  <w:tcPr>
                    <w:tcW w:w="1363" w:type="pct"/>
                    <w:tcBorders>
                      <w:top w:val="single" w:sz="4" w:space="0" w:color="auto"/>
                      <w:bottom w:val="single" w:sz="4" w:space="0" w:color="auto"/>
                      <w:right w:val="single" w:sz="4" w:space="0" w:color="auto"/>
                    </w:tcBorders>
                    <w:shd w:val="clear" w:color="auto" w:fill="auto"/>
                  </w:tcPr>
                  <w:p w:rsidR="0077565D" w:rsidRDefault="0077565D">
                    <w:pPr>
                      <w:kinsoku w:val="0"/>
                      <w:overflowPunct w:val="0"/>
                      <w:autoSpaceDE w:val="0"/>
                      <w:autoSpaceDN w:val="0"/>
                      <w:adjustRightInd w:val="0"/>
                      <w:snapToGrid w:val="0"/>
                      <w:rPr>
                        <w:szCs w:val="21"/>
                      </w:rPr>
                    </w:pPr>
                    <w:r>
                      <w:rPr>
                        <w:szCs w:val="21"/>
                      </w:rPr>
                      <w:t>传真</w:t>
                    </w:r>
                  </w:p>
                </w:tc>
              </w:sdtContent>
            </w:sdt>
            <w:tc>
              <w:tcPr>
                <w:tcW w:w="1970" w:type="pct"/>
                <w:tcBorders>
                  <w:top w:val="single" w:sz="4" w:space="0" w:color="auto"/>
                  <w:left w:val="single" w:sz="4" w:space="0" w:color="auto"/>
                  <w:bottom w:val="single" w:sz="4" w:space="0" w:color="auto"/>
                  <w:right w:val="single" w:sz="4" w:space="0" w:color="auto"/>
                </w:tcBorders>
                <w:vAlign w:val="center"/>
              </w:tcPr>
              <w:p w:rsidR="0077565D" w:rsidRDefault="0077565D">
                <w:pPr>
                  <w:rPr>
                    <w:sz w:val="24"/>
                  </w:rPr>
                </w:pPr>
                <w:r>
                  <w:t>0351-2620604</w:t>
                </w:r>
              </w:p>
            </w:tc>
            <w:tc>
              <w:tcPr>
                <w:tcW w:w="1667" w:type="pct"/>
                <w:tcBorders>
                  <w:top w:val="single" w:sz="4" w:space="0" w:color="auto"/>
                  <w:left w:val="single" w:sz="4" w:space="0" w:color="auto"/>
                  <w:bottom w:val="single" w:sz="4" w:space="0" w:color="auto"/>
                </w:tcBorders>
                <w:vAlign w:val="center"/>
              </w:tcPr>
              <w:p w:rsidR="0077565D" w:rsidRDefault="0077565D">
                <w:pPr>
                  <w:rPr>
                    <w:sz w:val="24"/>
                  </w:rPr>
                </w:pPr>
                <w:r>
                  <w:t>0351-2620604</w:t>
                </w:r>
              </w:p>
            </w:tc>
          </w:tr>
          <w:tr w:rsidR="0077565D" w:rsidTr="0020440C">
            <w:sdt>
              <w:sdtPr>
                <w:tag w:val="_PLD_2043b13d40b44118ab0841c72e6e7478"/>
                <w:id w:val="-1335917881"/>
                <w:lock w:val="sdtLocked"/>
              </w:sdtPr>
              <w:sdtContent>
                <w:tc>
                  <w:tcPr>
                    <w:tcW w:w="1363" w:type="pct"/>
                    <w:tcBorders>
                      <w:top w:val="single" w:sz="4" w:space="0" w:color="auto"/>
                      <w:bottom w:val="single" w:sz="4" w:space="0" w:color="auto"/>
                      <w:right w:val="single" w:sz="4" w:space="0" w:color="auto"/>
                    </w:tcBorders>
                    <w:shd w:val="clear" w:color="auto" w:fill="auto"/>
                  </w:tcPr>
                  <w:p w:rsidR="0077565D" w:rsidRDefault="0077565D">
                    <w:pPr>
                      <w:kinsoku w:val="0"/>
                      <w:overflowPunct w:val="0"/>
                      <w:autoSpaceDE w:val="0"/>
                      <w:autoSpaceDN w:val="0"/>
                      <w:adjustRightInd w:val="0"/>
                      <w:snapToGrid w:val="0"/>
                      <w:rPr>
                        <w:szCs w:val="21"/>
                      </w:rPr>
                    </w:pPr>
                    <w:r>
                      <w:rPr>
                        <w:szCs w:val="21"/>
                      </w:rPr>
                      <w:t>电子信箱</w:t>
                    </w:r>
                  </w:p>
                </w:tc>
              </w:sdtContent>
            </w:sdt>
            <w:tc>
              <w:tcPr>
                <w:tcW w:w="1970" w:type="pct"/>
                <w:tcBorders>
                  <w:top w:val="single" w:sz="4" w:space="0" w:color="auto"/>
                  <w:left w:val="single" w:sz="4" w:space="0" w:color="auto"/>
                  <w:bottom w:val="single" w:sz="4" w:space="0" w:color="auto"/>
                  <w:right w:val="single" w:sz="4" w:space="0" w:color="auto"/>
                </w:tcBorders>
                <w:vAlign w:val="center"/>
              </w:tcPr>
              <w:p w:rsidR="0077565D" w:rsidRDefault="0077565D">
                <w:pPr>
                  <w:rPr>
                    <w:sz w:val="24"/>
                  </w:rPr>
                </w:pPr>
                <w:r>
                  <w:t>dqtl@daqintielu.com</w:t>
                </w:r>
              </w:p>
            </w:tc>
            <w:tc>
              <w:tcPr>
                <w:tcW w:w="1667" w:type="pct"/>
                <w:tcBorders>
                  <w:top w:val="single" w:sz="4" w:space="0" w:color="auto"/>
                  <w:left w:val="single" w:sz="4" w:space="0" w:color="auto"/>
                  <w:bottom w:val="single" w:sz="4" w:space="0" w:color="auto"/>
                </w:tcBorders>
                <w:vAlign w:val="center"/>
              </w:tcPr>
              <w:p w:rsidR="0077565D" w:rsidRDefault="0077565D">
                <w:pPr>
                  <w:rPr>
                    <w:sz w:val="24"/>
                  </w:rPr>
                </w:pPr>
                <w:r>
                  <w:t>dqtl@daqintielu.com</w:t>
                </w:r>
              </w:p>
            </w:tc>
          </w:tr>
        </w:tbl>
        <w:p w:rsidR="00806678" w:rsidRDefault="00F80B6C"/>
      </w:sdtContent>
    </w:sdt>
    <w:sdt>
      <w:sdtPr>
        <w:rPr>
          <w:rFonts w:ascii="宋体" w:hAnsi="宋体" w:cs="宋体"/>
          <w:b w:val="0"/>
          <w:bCs w:val="0"/>
          <w:kern w:val="0"/>
          <w:szCs w:val="24"/>
        </w:rPr>
        <w:alias w:val="模块:基本情况变更简介"/>
        <w:tag w:val="_SEC_956d025c8a1d451390392ecb3e2602be"/>
        <w:id w:val="748622743"/>
        <w:lock w:val="sdtLocked"/>
        <w:placeholder>
          <w:docPart w:val="GBC22222222222222222222222222222"/>
        </w:placeholder>
      </w:sdtPr>
      <w:sdtContent>
        <w:p w:rsidR="00806678" w:rsidRDefault="00B16377">
          <w:pPr>
            <w:pStyle w:val="2"/>
            <w:numPr>
              <w:ilvl w:val="1"/>
              <w:numId w:val="4"/>
            </w:numPr>
            <w:ind w:left="496" w:hangingChars="236" w:hanging="496"/>
            <w:rPr>
              <w:rFonts w:ascii="宋体" w:hAnsi="宋体"/>
            </w:rPr>
          </w:pPr>
          <w:r>
            <w:t>基本情况</w:t>
          </w:r>
          <w:r>
            <w:rPr>
              <w:rFonts w:hint="eastAsia"/>
            </w:rPr>
            <w:t>简介</w:t>
          </w:r>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3858"/>
            <w:gridCol w:w="5035"/>
          </w:tblGrid>
          <w:tr w:rsidR="00806678" w:rsidTr="00187B4D">
            <w:trPr>
              <w:trHeight w:val="293"/>
            </w:trPr>
            <w:sdt>
              <w:sdtPr>
                <w:tag w:val="_PLD_65800154c9f246eeaabfb6d49f89b105"/>
                <w:id w:val="1603303009"/>
                <w:lock w:val="sdtLocked"/>
              </w:sdtPr>
              <w:sdtContent>
                <w:tc>
                  <w:tcPr>
                    <w:tcW w:w="2169" w:type="pct"/>
                    <w:tcBorders>
                      <w:top w:val="single" w:sz="4" w:space="0" w:color="auto"/>
                      <w:bottom w:val="single" w:sz="4" w:space="0" w:color="auto"/>
                      <w:right w:val="single" w:sz="4" w:space="0" w:color="auto"/>
                    </w:tcBorders>
                    <w:shd w:val="clear" w:color="auto" w:fill="auto"/>
                  </w:tcPr>
                  <w:p w:rsidR="00806678" w:rsidRDefault="00B16377">
                    <w:pPr>
                      <w:kinsoku w:val="0"/>
                      <w:overflowPunct w:val="0"/>
                      <w:autoSpaceDE w:val="0"/>
                      <w:autoSpaceDN w:val="0"/>
                      <w:adjustRightInd w:val="0"/>
                      <w:snapToGrid w:val="0"/>
                      <w:rPr>
                        <w:szCs w:val="21"/>
                      </w:rPr>
                    </w:pPr>
                    <w:r>
                      <w:rPr>
                        <w:szCs w:val="21"/>
                      </w:rPr>
                      <w:t>公司注册地址</w:t>
                    </w:r>
                  </w:p>
                </w:tc>
              </w:sdtContent>
            </w:sdt>
            <w:sdt>
              <w:sdtPr>
                <w:rPr>
                  <w:szCs w:val="21"/>
                </w:rPr>
                <w:alias w:val="公司注册地址"/>
                <w:tag w:val="_GBC_89833c4f8593417f8d5751e5d0001721"/>
                <w:id w:val="4295693"/>
                <w:lock w:val="sdtLocked"/>
              </w:sdtPr>
              <w:sdtContent>
                <w:tc>
                  <w:tcPr>
                    <w:tcW w:w="2831" w:type="pct"/>
                    <w:tcBorders>
                      <w:top w:val="single" w:sz="4" w:space="0" w:color="auto"/>
                      <w:left w:val="single" w:sz="4" w:space="0" w:color="auto"/>
                      <w:bottom w:val="single" w:sz="4" w:space="0" w:color="auto"/>
                    </w:tcBorders>
                  </w:tcPr>
                  <w:p w:rsidR="00806678" w:rsidRDefault="0077565D">
                    <w:pPr>
                      <w:kinsoku w:val="0"/>
                      <w:overflowPunct w:val="0"/>
                      <w:autoSpaceDE w:val="0"/>
                      <w:autoSpaceDN w:val="0"/>
                      <w:adjustRightInd w:val="0"/>
                      <w:snapToGrid w:val="0"/>
                      <w:rPr>
                        <w:szCs w:val="21"/>
                      </w:rPr>
                    </w:pPr>
                    <w:r w:rsidRPr="0077565D">
                      <w:rPr>
                        <w:rFonts w:hint="eastAsia"/>
                        <w:szCs w:val="21"/>
                      </w:rPr>
                      <w:t>山西省大同市站北街</w:t>
                    </w:r>
                    <w:r w:rsidRPr="0077565D">
                      <w:rPr>
                        <w:szCs w:val="21"/>
                      </w:rPr>
                      <w:t>14号</w:t>
                    </w:r>
                  </w:p>
                </w:tc>
              </w:sdtContent>
            </w:sdt>
          </w:tr>
          <w:tr w:rsidR="00806678" w:rsidTr="00187B4D">
            <w:trPr>
              <w:trHeight w:val="293"/>
            </w:trPr>
            <w:sdt>
              <w:sdtPr>
                <w:rPr>
                  <w:rFonts w:hint="eastAsia"/>
                </w:rPr>
                <w:tag w:val="_PLD_ac2707d2ebd340138473eb9d4270baf7"/>
                <w:id w:val="-968362704"/>
                <w:lock w:val="sdtLocked"/>
              </w:sdtPr>
              <w:sdtContent>
                <w:tc>
                  <w:tcPr>
                    <w:tcW w:w="2169" w:type="pct"/>
                    <w:tcBorders>
                      <w:top w:val="single" w:sz="4" w:space="0" w:color="auto"/>
                      <w:bottom w:val="single" w:sz="4" w:space="0" w:color="auto"/>
                      <w:right w:val="single" w:sz="4" w:space="0" w:color="auto"/>
                    </w:tcBorders>
                    <w:shd w:val="clear" w:color="auto" w:fill="auto"/>
                  </w:tcPr>
                  <w:p w:rsidR="00806678" w:rsidRDefault="00B16377">
                    <w:pPr>
                      <w:kinsoku w:val="0"/>
                      <w:overflowPunct w:val="0"/>
                      <w:autoSpaceDE w:val="0"/>
                      <w:autoSpaceDN w:val="0"/>
                      <w:adjustRightInd w:val="0"/>
                      <w:snapToGrid w:val="0"/>
                    </w:pPr>
                    <w:r>
                      <w:rPr>
                        <w:rFonts w:hint="eastAsia"/>
                      </w:rPr>
                      <w:t>公司注册地址的历史变更情况</w:t>
                    </w:r>
                  </w:p>
                </w:tc>
              </w:sdtContent>
            </w:sdt>
            <w:tc>
              <w:tcPr>
                <w:tcW w:w="2831" w:type="pct"/>
                <w:tcBorders>
                  <w:top w:val="single" w:sz="4" w:space="0" w:color="auto"/>
                  <w:left w:val="single" w:sz="4" w:space="0" w:color="auto"/>
                  <w:bottom w:val="single" w:sz="4" w:space="0" w:color="auto"/>
                </w:tcBorders>
              </w:tcPr>
              <w:p w:rsidR="00806678" w:rsidRDefault="0077565D">
                <w:pPr>
                  <w:kinsoku w:val="0"/>
                  <w:overflowPunct w:val="0"/>
                  <w:autoSpaceDE w:val="0"/>
                  <w:autoSpaceDN w:val="0"/>
                  <w:adjustRightInd w:val="0"/>
                  <w:snapToGrid w:val="0"/>
                  <w:rPr>
                    <w:szCs w:val="21"/>
                  </w:rPr>
                </w:pPr>
                <w:r>
                  <w:rPr>
                    <w:rFonts w:hint="eastAsia"/>
                    <w:szCs w:val="21"/>
                  </w:rPr>
                  <w:t>无变更</w:t>
                </w:r>
              </w:p>
            </w:tc>
          </w:tr>
          <w:tr w:rsidR="00806678" w:rsidTr="00187B4D">
            <w:trPr>
              <w:trHeight w:val="293"/>
            </w:trPr>
            <w:sdt>
              <w:sdtPr>
                <w:tag w:val="_PLD_c5cbfe8381724c20914d7847d169547b"/>
                <w:id w:val="998543758"/>
                <w:lock w:val="sdtLocked"/>
              </w:sdtPr>
              <w:sdtContent>
                <w:tc>
                  <w:tcPr>
                    <w:tcW w:w="2169" w:type="pct"/>
                    <w:tcBorders>
                      <w:top w:val="single" w:sz="4" w:space="0" w:color="auto"/>
                      <w:bottom w:val="single" w:sz="4" w:space="0" w:color="auto"/>
                      <w:right w:val="single" w:sz="4" w:space="0" w:color="auto"/>
                    </w:tcBorders>
                    <w:shd w:val="clear" w:color="auto" w:fill="auto"/>
                  </w:tcPr>
                  <w:p w:rsidR="00806678" w:rsidRDefault="00B16377">
                    <w:pPr>
                      <w:kinsoku w:val="0"/>
                      <w:overflowPunct w:val="0"/>
                      <w:autoSpaceDE w:val="0"/>
                      <w:autoSpaceDN w:val="0"/>
                      <w:adjustRightInd w:val="0"/>
                      <w:snapToGrid w:val="0"/>
                      <w:rPr>
                        <w:szCs w:val="21"/>
                      </w:rPr>
                    </w:pPr>
                    <w:r>
                      <w:rPr>
                        <w:szCs w:val="21"/>
                      </w:rPr>
                      <w:t>公司办公地址</w:t>
                    </w:r>
                  </w:p>
                </w:tc>
              </w:sdtContent>
            </w:sdt>
            <w:tc>
              <w:tcPr>
                <w:tcW w:w="2831" w:type="pct"/>
                <w:tcBorders>
                  <w:top w:val="single" w:sz="4" w:space="0" w:color="auto"/>
                  <w:left w:val="single" w:sz="4" w:space="0" w:color="auto"/>
                  <w:bottom w:val="single" w:sz="4" w:space="0" w:color="auto"/>
                </w:tcBorders>
              </w:tcPr>
              <w:p w:rsidR="0077565D" w:rsidRDefault="0077565D" w:rsidP="0077565D">
                <w:pPr>
                  <w:kinsoku w:val="0"/>
                  <w:overflowPunct w:val="0"/>
                  <w:autoSpaceDE w:val="0"/>
                  <w:autoSpaceDN w:val="0"/>
                  <w:adjustRightInd w:val="0"/>
                  <w:snapToGrid w:val="0"/>
                </w:pPr>
                <w:r>
                  <w:t>山西省太原市建设北路202号</w:t>
                </w:r>
              </w:p>
              <w:p w:rsidR="00806678" w:rsidRDefault="0077565D" w:rsidP="0077565D">
                <w:pPr>
                  <w:kinsoku w:val="0"/>
                  <w:overflowPunct w:val="0"/>
                  <w:autoSpaceDE w:val="0"/>
                  <w:autoSpaceDN w:val="0"/>
                  <w:adjustRightInd w:val="0"/>
                  <w:snapToGrid w:val="0"/>
                  <w:rPr>
                    <w:szCs w:val="21"/>
                  </w:rPr>
                </w:pPr>
                <w:r>
                  <w:t>山西省大同市站北街14号</w:t>
                </w:r>
              </w:p>
            </w:tc>
          </w:tr>
          <w:tr w:rsidR="00806678" w:rsidTr="00187B4D">
            <w:trPr>
              <w:trHeight w:val="293"/>
            </w:trPr>
            <w:sdt>
              <w:sdtPr>
                <w:tag w:val="_PLD_c0f9f2f044124800b7edc314d8f4bf39"/>
                <w:id w:val="1184789987"/>
                <w:lock w:val="sdtLocked"/>
              </w:sdtPr>
              <w:sdtContent>
                <w:tc>
                  <w:tcPr>
                    <w:tcW w:w="2169" w:type="pct"/>
                    <w:tcBorders>
                      <w:top w:val="single" w:sz="4" w:space="0" w:color="auto"/>
                      <w:bottom w:val="single" w:sz="4" w:space="0" w:color="auto"/>
                      <w:right w:val="single" w:sz="4" w:space="0" w:color="auto"/>
                    </w:tcBorders>
                    <w:shd w:val="clear" w:color="auto" w:fill="auto"/>
                  </w:tcPr>
                  <w:p w:rsidR="00806678" w:rsidRDefault="00B16377">
                    <w:pPr>
                      <w:kinsoku w:val="0"/>
                      <w:overflowPunct w:val="0"/>
                      <w:autoSpaceDE w:val="0"/>
                      <w:autoSpaceDN w:val="0"/>
                      <w:adjustRightInd w:val="0"/>
                      <w:snapToGrid w:val="0"/>
                      <w:rPr>
                        <w:szCs w:val="21"/>
                      </w:rPr>
                    </w:pPr>
                    <w:r>
                      <w:rPr>
                        <w:szCs w:val="21"/>
                      </w:rPr>
                      <w:t>公司办公地址的邮政编码</w:t>
                    </w:r>
                  </w:p>
                </w:tc>
              </w:sdtContent>
            </w:sdt>
            <w:tc>
              <w:tcPr>
                <w:tcW w:w="2831" w:type="pct"/>
                <w:tcBorders>
                  <w:top w:val="single" w:sz="4" w:space="0" w:color="auto"/>
                  <w:left w:val="single" w:sz="4" w:space="0" w:color="auto"/>
                  <w:bottom w:val="single" w:sz="4" w:space="0" w:color="auto"/>
                </w:tcBorders>
              </w:tcPr>
              <w:p w:rsidR="0077565D" w:rsidRDefault="0077565D" w:rsidP="0077565D">
                <w:pPr>
                  <w:kinsoku w:val="0"/>
                  <w:overflowPunct w:val="0"/>
                  <w:autoSpaceDE w:val="0"/>
                  <w:autoSpaceDN w:val="0"/>
                  <w:adjustRightInd w:val="0"/>
                  <w:snapToGrid w:val="0"/>
                </w:pPr>
                <w:r>
                  <w:t>030013（太原）</w:t>
                </w:r>
              </w:p>
              <w:p w:rsidR="00806678" w:rsidRDefault="0077565D" w:rsidP="0077565D">
                <w:pPr>
                  <w:kinsoku w:val="0"/>
                  <w:overflowPunct w:val="0"/>
                  <w:autoSpaceDE w:val="0"/>
                  <w:autoSpaceDN w:val="0"/>
                  <w:adjustRightInd w:val="0"/>
                  <w:snapToGrid w:val="0"/>
                  <w:rPr>
                    <w:szCs w:val="21"/>
                  </w:rPr>
                </w:pPr>
                <w:r>
                  <w:t>037005（大同）</w:t>
                </w:r>
              </w:p>
            </w:tc>
          </w:tr>
          <w:tr w:rsidR="00806678" w:rsidTr="00187B4D">
            <w:trPr>
              <w:trHeight w:val="293"/>
            </w:trPr>
            <w:sdt>
              <w:sdtPr>
                <w:tag w:val="_PLD_33c5fab8bd79464e94b1e64f18ac73f7"/>
                <w:id w:val="-683435988"/>
                <w:lock w:val="sdtLocked"/>
              </w:sdtPr>
              <w:sdtContent>
                <w:tc>
                  <w:tcPr>
                    <w:tcW w:w="2169" w:type="pct"/>
                    <w:tcBorders>
                      <w:top w:val="single" w:sz="4" w:space="0" w:color="auto"/>
                      <w:bottom w:val="single" w:sz="4" w:space="0" w:color="auto"/>
                      <w:right w:val="single" w:sz="4" w:space="0" w:color="auto"/>
                    </w:tcBorders>
                    <w:shd w:val="clear" w:color="auto" w:fill="auto"/>
                  </w:tcPr>
                  <w:p w:rsidR="00806678" w:rsidRDefault="00B16377">
                    <w:pPr>
                      <w:kinsoku w:val="0"/>
                      <w:overflowPunct w:val="0"/>
                      <w:autoSpaceDE w:val="0"/>
                      <w:autoSpaceDN w:val="0"/>
                      <w:adjustRightInd w:val="0"/>
                      <w:snapToGrid w:val="0"/>
                      <w:rPr>
                        <w:szCs w:val="21"/>
                      </w:rPr>
                    </w:pPr>
                    <w:r>
                      <w:rPr>
                        <w:szCs w:val="21"/>
                      </w:rPr>
                      <w:t>公司网址</w:t>
                    </w:r>
                  </w:p>
                </w:tc>
              </w:sdtContent>
            </w:sdt>
            <w:tc>
              <w:tcPr>
                <w:tcW w:w="2831" w:type="pct"/>
                <w:tcBorders>
                  <w:top w:val="single" w:sz="4" w:space="0" w:color="auto"/>
                  <w:left w:val="single" w:sz="4" w:space="0" w:color="auto"/>
                  <w:bottom w:val="single" w:sz="4" w:space="0" w:color="auto"/>
                </w:tcBorders>
              </w:tcPr>
              <w:p w:rsidR="00806678" w:rsidRDefault="0077565D">
                <w:pPr>
                  <w:kinsoku w:val="0"/>
                  <w:overflowPunct w:val="0"/>
                  <w:autoSpaceDE w:val="0"/>
                  <w:autoSpaceDN w:val="0"/>
                  <w:adjustRightInd w:val="0"/>
                  <w:snapToGrid w:val="0"/>
                  <w:rPr>
                    <w:szCs w:val="21"/>
                  </w:rPr>
                </w:pPr>
                <w:r w:rsidRPr="0077565D">
                  <w:rPr>
                    <w:szCs w:val="21"/>
                  </w:rPr>
                  <w:t>http://www.daqintielu.com</w:t>
                </w:r>
              </w:p>
            </w:tc>
          </w:tr>
          <w:tr w:rsidR="00806678" w:rsidTr="00187B4D">
            <w:trPr>
              <w:trHeight w:val="293"/>
            </w:trPr>
            <w:sdt>
              <w:sdtPr>
                <w:tag w:val="_PLD_ea428593a2c548b2b1d58ce3789bf356"/>
                <w:id w:val="543957449"/>
                <w:lock w:val="sdtLocked"/>
              </w:sdtPr>
              <w:sdtContent>
                <w:tc>
                  <w:tcPr>
                    <w:tcW w:w="2169" w:type="pct"/>
                    <w:tcBorders>
                      <w:top w:val="single" w:sz="4" w:space="0" w:color="auto"/>
                      <w:bottom w:val="single" w:sz="4" w:space="0" w:color="auto"/>
                      <w:right w:val="single" w:sz="4" w:space="0" w:color="auto"/>
                    </w:tcBorders>
                    <w:shd w:val="clear" w:color="auto" w:fill="auto"/>
                  </w:tcPr>
                  <w:p w:rsidR="00806678" w:rsidRDefault="00B16377">
                    <w:pPr>
                      <w:kinsoku w:val="0"/>
                      <w:overflowPunct w:val="0"/>
                      <w:autoSpaceDE w:val="0"/>
                      <w:autoSpaceDN w:val="0"/>
                      <w:adjustRightInd w:val="0"/>
                      <w:snapToGrid w:val="0"/>
                      <w:rPr>
                        <w:szCs w:val="21"/>
                      </w:rPr>
                    </w:pPr>
                    <w:r>
                      <w:rPr>
                        <w:szCs w:val="21"/>
                      </w:rPr>
                      <w:t>电子信箱</w:t>
                    </w:r>
                  </w:p>
                </w:tc>
              </w:sdtContent>
            </w:sdt>
            <w:tc>
              <w:tcPr>
                <w:tcW w:w="2831" w:type="pct"/>
                <w:tcBorders>
                  <w:top w:val="single" w:sz="4" w:space="0" w:color="auto"/>
                  <w:left w:val="single" w:sz="4" w:space="0" w:color="auto"/>
                  <w:bottom w:val="single" w:sz="4" w:space="0" w:color="auto"/>
                </w:tcBorders>
              </w:tcPr>
              <w:p w:rsidR="00806678" w:rsidRDefault="0077565D">
                <w:pPr>
                  <w:kinsoku w:val="0"/>
                  <w:overflowPunct w:val="0"/>
                  <w:autoSpaceDE w:val="0"/>
                  <w:autoSpaceDN w:val="0"/>
                  <w:adjustRightInd w:val="0"/>
                  <w:snapToGrid w:val="0"/>
                  <w:rPr>
                    <w:szCs w:val="21"/>
                  </w:rPr>
                </w:pPr>
                <w:r w:rsidRPr="0077565D">
                  <w:rPr>
                    <w:szCs w:val="21"/>
                  </w:rPr>
                  <w:t>dqtl@daqintielu.com</w:t>
                </w:r>
              </w:p>
            </w:tc>
          </w:tr>
        </w:tbl>
        <w:p w:rsidR="00806678" w:rsidRDefault="00F80B6C"/>
      </w:sdtContent>
    </w:sdt>
    <w:sdt>
      <w:sdtPr>
        <w:rPr>
          <w:rFonts w:ascii="宋体" w:hAnsi="宋体" w:cs="宋体"/>
          <w:b w:val="0"/>
          <w:bCs w:val="0"/>
          <w:kern w:val="0"/>
          <w:szCs w:val="24"/>
        </w:rPr>
        <w:alias w:val="模块:信息披露及备置地点变更情况简介"/>
        <w:tag w:val="_SEC_0df805cd09bf439989b9eac11c342a74"/>
        <w:id w:val="538785636"/>
        <w:lock w:val="sdtLocked"/>
        <w:placeholder>
          <w:docPart w:val="GBC22222222222222222222222222222"/>
        </w:placeholder>
      </w:sdtPr>
      <w:sdtContent>
        <w:p w:rsidR="00806678" w:rsidRDefault="00B16377">
          <w:pPr>
            <w:pStyle w:val="2"/>
            <w:numPr>
              <w:ilvl w:val="1"/>
              <w:numId w:val="4"/>
            </w:numPr>
            <w:ind w:left="496" w:hangingChars="236" w:hanging="496"/>
            <w:rPr>
              <w:rFonts w:ascii="宋体" w:hAnsi="宋体"/>
            </w:rPr>
          </w:pPr>
          <w:r>
            <w:t>信息披露及备置地点</w:t>
          </w:r>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4141"/>
            <w:gridCol w:w="4752"/>
          </w:tblGrid>
          <w:tr w:rsidR="00806678" w:rsidTr="001A6136">
            <w:trPr>
              <w:trHeight w:val="293"/>
            </w:trPr>
            <w:sdt>
              <w:sdtPr>
                <w:tag w:val="_PLD_bbba55a3ebda46da946a09caf15c63b6"/>
                <w:id w:val="1561436347"/>
                <w:lock w:val="sdtLocked"/>
              </w:sdtPr>
              <w:sdtContent>
                <w:tc>
                  <w:tcPr>
                    <w:tcW w:w="2328" w:type="pct"/>
                    <w:tcBorders>
                      <w:top w:val="single" w:sz="4" w:space="0" w:color="auto"/>
                      <w:bottom w:val="single" w:sz="4" w:space="0" w:color="auto"/>
                      <w:right w:val="single" w:sz="4" w:space="0" w:color="auto"/>
                    </w:tcBorders>
                    <w:shd w:val="clear" w:color="auto" w:fill="auto"/>
                  </w:tcPr>
                  <w:p w:rsidR="00806678" w:rsidRDefault="00B16377">
                    <w:pPr>
                      <w:kinsoku w:val="0"/>
                      <w:overflowPunct w:val="0"/>
                      <w:autoSpaceDE w:val="0"/>
                      <w:autoSpaceDN w:val="0"/>
                      <w:adjustRightInd w:val="0"/>
                      <w:snapToGrid w:val="0"/>
                      <w:rPr>
                        <w:szCs w:val="21"/>
                      </w:rPr>
                    </w:pPr>
                    <w:r>
                      <w:rPr>
                        <w:szCs w:val="21"/>
                      </w:rPr>
                      <w:t>公司</w:t>
                    </w:r>
                    <w:r>
                      <w:rPr>
                        <w:rFonts w:hint="eastAsia"/>
                        <w:szCs w:val="21"/>
                      </w:rPr>
                      <w:t>披露年度报告的媒体</w:t>
                    </w:r>
                    <w:r>
                      <w:rPr>
                        <w:szCs w:val="21"/>
                      </w:rPr>
                      <w:t>名称</w:t>
                    </w:r>
                    <w:r>
                      <w:rPr>
                        <w:rFonts w:hint="eastAsia"/>
                        <w:szCs w:val="21"/>
                      </w:rPr>
                      <w:t>及网址</w:t>
                    </w:r>
                  </w:p>
                </w:tc>
              </w:sdtContent>
            </w:sdt>
            <w:sdt>
              <w:sdtPr>
                <w:rPr>
                  <w:szCs w:val="21"/>
                </w:rPr>
                <w:alias w:val="公司选定的信息披露报纸名称"/>
                <w:tag w:val="_GBC_001b00e5e370415c93177612f89840ec"/>
                <w:id w:val="4295828"/>
                <w:lock w:val="sdtLocked"/>
              </w:sdtPr>
              <w:sdtContent>
                <w:tc>
                  <w:tcPr>
                    <w:tcW w:w="2672" w:type="pct"/>
                    <w:tcBorders>
                      <w:top w:val="single" w:sz="4" w:space="0" w:color="auto"/>
                      <w:left w:val="single" w:sz="4" w:space="0" w:color="auto"/>
                      <w:bottom w:val="single" w:sz="4" w:space="0" w:color="auto"/>
                    </w:tcBorders>
                  </w:tcPr>
                  <w:p w:rsidR="0077565D" w:rsidRDefault="0077565D" w:rsidP="0077565D">
                    <w:pPr>
                      <w:kinsoku w:val="0"/>
                      <w:overflowPunct w:val="0"/>
                      <w:autoSpaceDE w:val="0"/>
                      <w:autoSpaceDN w:val="0"/>
                      <w:adjustRightInd w:val="0"/>
                      <w:snapToGrid w:val="0"/>
                      <w:rPr>
                        <w:szCs w:val="21"/>
                      </w:rPr>
                    </w:pPr>
                    <w:r>
                      <w:rPr>
                        <w:szCs w:val="21"/>
                      </w:rPr>
                      <w:t>《上海证券报》</w:t>
                    </w:r>
                    <w:r>
                      <w:t>（https://www.cnstock.com/）</w:t>
                    </w:r>
                  </w:p>
                  <w:p w:rsidR="00806678" w:rsidRDefault="0077565D" w:rsidP="0077565D">
                    <w:pPr>
                      <w:kinsoku w:val="0"/>
                      <w:overflowPunct w:val="0"/>
                      <w:autoSpaceDE w:val="0"/>
                      <w:autoSpaceDN w:val="0"/>
                      <w:adjustRightInd w:val="0"/>
                      <w:snapToGrid w:val="0"/>
                      <w:rPr>
                        <w:szCs w:val="21"/>
                      </w:rPr>
                    </w:pPr>
                    <w:r>
                      <w:rPr>
                        <w:szCs w:val="21"/>
                      </w:rPr>
                      <w:t>《中国证券报》</w:t>
                    </w:r>
                    <w:r>
                      <w:t>（https://www.cs.com.cn/）</w:t>
                    </w:r>
                  </w:p>
                </w:tc>
              </w:sdtContent>
            </w:sdt>
          </w:tr>
          <w:tr w:rsidR="00806678" w:rsidTr="001A6136">
            <w:trPr>
              <w:trHeight w:val="293"/>
            </w:trPr>
            <w:sdt>
              <w:sdtPr>
                <w:tag w:val="_PLD_31f320acb6ad4f508259e25ef7cbc0f5"/>
                <w:id w:val="-1771689330"/>
                <w:lock w:val="sdtLocked"/>
              </w:sdtPr>
              <w:sdtContent>
                <w:tc>
                  <w:tcPr>
                    <w:tcW w:w="2328" w:type="pct"/>
                    <w:tcBorders>
                      <w:top w:val="single" w:sz="4" w:space="0" w:color="auto"/>
                      <w:bottom w:val="single" w:sz="4" w:space="0" w:color="auto"/>
                      <w:right w:val="single" w:sz="4" w:space="0" w:color="auto"/>
                    </w:tcBorders>
                    <w:shd w:val="clear" w:color="auto" w:fill="auto"/>
                  </w:tcPr>
                  <w:p w:rsidR="00806678" w:rsidRDefault="00B16377">
                    <w:pPr>
                      <w:kinsoku w:val="0"/>
                      <w:overflowPunct w:val="0"/>
                      <w:autoSpaceDE w:val="0"/>
                      <w:autoSpaceDN w:val="0"/>
                      <w:adjustRightInd w:val="0"/>
                      <w:snapToGrid w:val="0"/>
                      <w:rPr>
                        <w:szCs w:val="21"/>
                      </w:rPr>
                    </w:pPr>
                    <w:r>
                      <w:rPr>
                        <w:rFonts w:hint="eastAsia"/>
                        <w:szCs w:val="21"/>
                      </w:rPr>
                      <w:t>公司披露年度报告的证券交易所</w:t>
                    </w:r>
                    <w:r>
                      <w:rPr>
                        <w:szCs w:val="21"/>
                      </w:rPr>
                      <w:t>网址</w:t>
                    </w:r>
                  </w:p>
                </w:tc>
              </w:sdtContent>
            </w:sdt>
            <w:tc>
              <w:tcPr>
                <w:tcW w:w="2672" w:type="pct"/>
                <w:tcBorders>
                  <w:top w:val="single" w:sz="4" w:space="0" w:color="auto"/>
                  <w:left w:val="single" w:sz="4" w:space="0" w:color="auto"/>
                  <w:bottom w:val="single" w:sz="4" w:space="0" w:color="auto"/>
                </w:tcBorders>
              </w:tcPr>
              <w:p w:rsidR="00806678" w:rsidRDefault="0077565D">
                <w:pPr>
                  <w:kinsoku w:val="0"/>
                  <w:overflowPunct w:val="0"/>
                  <w:autoSpaceDE w:val="0"/>
                  <w:autoSpaceDN w:val="0"/>
                  <w:adjustRightInd w:val="0"/>
                  <w:snapToGrid w:val="0"/>
                  <w:rPr>
                    <w:szCs w:val="21"/>
                  </w:rPr>
                </w:pPr>
                <w:r w:rsidRPr="0077565D">
                  <w:rPr>
                    <w:szCs w:val="21"/>
                  </w:rPr>
                  <w:t>www.sse.com.cn</w:t>
                </w:r>
              </w:p>
            </w:tc>
          </w:tr>
          <w:tr w:rsidR="00806678" w:rsidTr="001A6136">
            <w:trPr>
              <w:trHeight w:val="293"/>
            </w:trPr>
            <w:sdt>
              <w:sdtPr>
                <w:tag w:val="_PLD_50e24717ca4f4b96aa76957c34f09561"/>
                <w:id w:val="-379331950"/>
                <w:lock w:val="sdtLocked"/>
              </w:sdtPr>
              <w:sdtContent>
                <w:tc>
                  <w:tcPr>
                    <w:tcW w:w="2328" w:type="pct"/>
                    <w:tcBorders>
                      <w:top w:val="single" w:sz="4" w:space="0" w:color="auto"/>
                      <w:bottom w:val="single" w:sz="4" w:space="0" w:color="auto"/>
                      <w:right w:val="single" w:sz="4" w:space="0" w:color="auto"/>
                    </w:tcBorders>
                    <w:shd w:val="clear" w:color="auto" w:fill="auto"/>
                  </w:tcPr>
                  <w:p w:rsidR="00806678" w:rsidRDefault="00B16377">
                    <w:pPr>
                      <w:kinsoku w:val="0"/>
                      <w:overflowPunct w:val="0"/>
                      <w:autoSpaceDE w:val="0"/>
                      <w:autoSpaceDN w:val="0"/>
                      <w:adjustRightInd w:val="0"/>
                      <w:snapToGrid w:val="0"/>
                      <w:rPr>
                        <w:szCs w:val="21"/>
                      </w:rPr>
                    </w:pPr>
                    <w:r>
                      <w:rPr>
                        <w:szCs w:val="21"/>
                      </w:rPr>
                      <w:t>公司年度报告备置地点</w:t>
                    </w:r>
                  </w:p>
                </w:tc>
              </w:sdtContent>
            </w:sdt>
            <w:tc>
              <w:tcPr>
                <w:tcW w:w="2672" w:type="pct"/>
                <w:tcBorders>
                  <w:top w:val="single" w:sz="4" w:space="0" w:color="auto"/>
                  <w:left w:val="single" w:sz="4" w:space="0" w:color="auto"/>
                  <w:bottom w:val="single" w:sz="4" w:space="0" w:color="auto"/>
                </w:tcBorders>
              </w:tcPr>
              <w:p w:rsidR="00806678" w:rsidRDefault="0077565D">
                <w:pPr>
                  <w:kinsoku w:val="0"/>
                  <w:overflowPunct w:val="0"/>
                  <w:autoSpaceDE w:val="0"/>
                  <w:autoSpaceDN w:val="0"/>
                  <w:adjustRightInd w:val="0"/>
                  <w:snapToGrid w:val="0"/>
                  <w:rPr>
                    <w:szCs w:val="21"/>
                  </w:rPr>
                </w:pPr>
                <w:r w:rsidRPr="0077565D">
                  <w:rPr>
                    <w:rFonts w:hint="eastAsia"/>
                    <w:szCs w:val="21"/>
                  </w:rPr>
                  <w:t>公司董事会办公室</w:t>
                </w:r>
              </w:p>
            </w:tc>
          </w:tr>
        </w:tbl>
        <w:p w:rsidR="00806678" w:rsidRDefault="00F80B6C"/>
      </w:sdtContent>
    </w:sdt>
    <w:bookmarkStart w:id="17" w:name="_Toc342565885" w:displacedByCustomXml="next"/>
    <w:bookmarkStart w:id="18" w:name="_Toc342051045" w:displacedByCustomXml="next"/>
    <w:sdt>
      <w:sdtPr>
        <w:rPr>
          <w:rFonts w:ascii="Calibri" w:hAnsi="Calibri" w:cs="宋体" w:hint="eastAsia"/>
          <w:b w:val="0"/>
          <w:bCs w:val="0"/>
          <w:kern w:val="0"/>
          <w:sz w:val="24"/>
          <w:szCs w:val="22"/>
        </w:rPr>
        <w:alias w:val="模块:公司股票简况"/>
        <w:tag w:val="_SEC_58c4b7a4d9a845aea87791adfb6845e7"/>
        <w:id w:val="26932534"/>
        <w:lock w:val="sdtLocked"/>
        <w:placeholder>
          <w:docPart w:val="GBC22222222222222222222222222222"/>
        </w:placeholder>
      </w:sdtPr>
      <w:sdtEndPr>
        <w:rPr>
          <w:rFonts w:ascii="宋体" w:hAnsi="宋体"/>
          <w:color w:val="0070C0"/>
          <w:sz w:val="21"/>
          <w:szCs w:val="24"/>
        </w:rPr>
      </w:sdtEndPr>
      <w:sdtContent>
        <w:p w:rsidR="00806678" w:rsidRDefault="00B16377">
          <w:pPr>
            <w:pStyle w:val="2"/>
            <w:numPr>
              <w:ilvl w:val="1"/>
              <w:numId w:val="4"/>
            </w:numPr>
            <w:ind w:left="566" w:hangingChars="236" w:hanging="566"/>
          </w:pPr>
          <w:r>
            <w:rPr>
              <w:rFonts w:hint="eastAsia"/>
            </w:rPr>
            <w:t>公司股票简况</w:t>
          </w:r>
          <w:bookmarkEnd w:id="18"/>
          <w:bookmarkEnd w:id="17"/>
        </w:p>
        <w:tbl>
          <w:tblPr>
            <w:tblW w:w="5000" w:type="pct"/>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tblPr>
          <w:tblGrid>
            <w:gridCol w:w="1778"/>
            <w:gridCol w:w="1778"/>
            <w:gridCol w:w="1779"/>
            <w:gridCol w:w="1779"/>
            <w:gridCol w:w="1779"/>
          </w:tblGrid>
          <w:tr w:rsidR="00806678" w:rsidTr="00187B4D">
            <w:trPr>
              <w:trHeight w:val="293"/>
            </w:trPr>
            <w:sdt>
              <w:sdtPr>
                <w:tag w:val="_PLD_71e874b79d5946dfbee802d1ebcf10a8"/>
                <w:id w:val="1779524285"/>
                <w:lock w:val="sdtLocked"/>
              </w:sdtPr>
              <w:sdtContent>
                <w:tc>
                  <w:tcPr>
                    <w:tcW w:w="5000" w:type="pct"/>
                    <w:gridSpan w:val="5"/>
                    <w:tcBorders>
                      <w:top w:val="single" w:sz="4" w:space="0" w:color="auto"/>
                      <w:bottom w:val="single" w:sz="4" w:space="0" w:color="auto"/>
                    </w:tcBorders>
                    <w:shd w:val="clear" w:color="auto" w:fill="auto"/>
                  </w:tcPr>
                  <w:p w:rsidR="00806678" w:rsidRDefault="00B16377">
                    <w:pPr>
                      <w:kinsoku w:val="0"/>
                      <w:overflowPunct w:val="0"/>
                      <w:autoSpaceDE w:val="0"/>
                      <w:autoSpaceDN w:val="0"/>
                      <w:adjustRightInd w:val="0"/>
                      <w:snapToGrid w:val="0"/>
                      <w:jc w:val="center"/>
                      <w:rPr>
                        <w:szCs w:val="21"/>
                      </w:rPr>
                    </w:pPr>
                    <w:r>
                      <w:rPr>
                        <w:rFonts w:hint="eastAsia"/>
                        <w:szCs w:val="21"/>
                      </w:rPr>
                      <w:t>公司股票简况</w:t>
                    </w:r>
                  </w:p>
                </w:tc>
              </w:sdtContent>
            </w:sdt>
          </w:tr>
          <w:tr w:rsidR="00806678" w:rsidTr="00187B4D">
            <w:trPr>
              <w:trHeight w:val="293"/>
            </w:trPr>
            <w:sdt>
              <w:sdtPr>
                <w:tag w:val="_PLD_8c7d8e96d5f4491aa9e7c3c601503603"/>
                <w:id w:val="867191105"/>
                <w:lock w:val="sdtLocked"/>
              </w:sdtPr>
              <w:sdtContent>
                <w:tc>
                  <w:tcPr>
                    <w:tcW w:w="1000" w:type="pct"/>
                    <w:tcBorders>
                      <w:top w:val="single" w:sz="4" w:space="0" w:color="auto"/>
                      <w:bottom w:val="single" w:sz="4" w:space="0" w:color="auto"/>
                      <w:right w:val="single" w:sz="4" w:space="0" w:color="auto"/>
                    </w:tcBorders>
                    <w:shd w:val="clear" w:color="auto" w:fill="auto"/>
                  </w:tcPr>
                  <w:p w:rsidR="00806678" w:rsidRDefault="00B16377">
                    <w:pPr>
                      <w:kinsoku w:val="0"/>
                      <w:overflowPunct w:val="0"/>
                      <w:autoSpaceDE w:val="0"/>
                      <w:autoSpaceDN w:val="0"/>
                      <w:adjustRightInd w:val="0"/>
                      <w:snapToGrid w:val="0"/>
                      <w:jc w:val="center"/>
                      <w:rPr>
                        <w:szCs w:val="21"/>
                      </w:rPr>
                    </w:pPr>
                    <w:r>
                      <w:rPr>
                        <w:rFonts w:hint="eastAsia"/>
                        <w:szCs w:val="21"/>
                      </w:rPr>
                      <w:t>股票种类</w:t>
                    </w:r>
                  </w:p>
                </w:tc>
              </w:sdtContent>
            </w:sdt>
            <w:sdt>
              <w:sdtPr>
                <w:tag w:val="_PLD_b56a72f5279041b38925f5228f2089f6"/>
                <w:id w:val="-1787880534"/>
                <w:lock w:val="sdtLocked"/>
              </w:sdtPr>
              <w:sdtContent>
                <w:tc>
                  <w:tcPr>
                    <w:tcW w:w="1000" w:type="pct"/>
                    <w:tcBorders>
                      <w:top w:val="single" w:sz="4" w:space="0" w:color="auto"/>
                      <w:left w:val="single" w:sz="4" w:space="0" w:color="auto"/>
                      <w:bottom w:val="single" w:sz="4" w:space="0" w:color="auto"/>
                      <w:right w:val="single" w:sz="4" w:space="0" w:color="auto"/>
                    </w:tcBorders>
                    <w:shd w:val="clear" w:color="auto" w:fill="auto"/>
                  </w:tcPr>
                  <w:p w:rsidR="00806678" w:rsidRDefault="00B16377">
                    <w:pPr>
                      <w:kinsoku w:val="0"/>
                      <w:overflowPunct w:val="0"/>
                      <w:autoSpaceDE w:val="0"/>
                      <w:autoSpaceDN w:val="0"/>
                      <w:adjustRightInd w:val="0"/>
                      <w:snapToGrid w:val="0"/>
                      <w:jc w:val="center"/>
                      <w:rPr>
                        <w:szCs w:val="21"/>
                      </w:rPr>
                    </w:pPr>
                    <w:r>
                      <w:rPr>
                        <w:rFonts w:hint="eastAsia"/>
                        <w:szCs w:val="21"/>
                      </w:rPr>
                      <w:t>股票上市交易所</w:t>
                    </w:r>
                  </w:p>
                </w:tc>
              </w:sdtContent>
            </w:sdt>
            <w:sdt>
              <w:sdtPr>
                <w:tag w:val="_PLD_6dd4e584e21c4367b3dfe6f7f5c64696"/>
                <w:id w:val="-1576042202"/>
                <w:lock w:val="sdtLocked"/>
              </w:sdtPr>
              <w:sdtContent>
                <w:tc>
                  <w:tcPr>
                    <w:tcW w:w="1000" w:type="pct"/>
                    <w:tcBorders>
                      <w:top w:val="single" w:sz="4" w:space="0" w:color="auto"/>
                      <w:left w:val="single" w:sz="4" w:space="0" w:color="auto"/>
                      <w:bottom w:val="single" w:sz="4" w:space="0" w:color="auto"/>
                      <w:right w:val="single" w:sz="4" w:space="0" w:color="auto"/>
                    </w:tcBorders>
                    <w:shd w:val="clear" w:color="auto" w:fill="auto"/>
                  </w:tcPr>
                  <w:p w:rsidR="00806678" w:rsidRDefault="00B16377">
                    <w:pPr>
                      <w:kinsoku w:val="0"/>
                      <w:overflowPunct w:val="0"/>
                      <w:autoSpaceDE w:val="0"/>
                      <w:autoSpaceDN w:val="0"/>
                      <w:adjustRightInd w:val="0"/>
                      <w:snapToGrid w:val="0"/>
                      <w:jc w:val="center"/>
                      <w:rPr>
                        <w:szCs w:val="21"/>
                      </w:rPr>
                    </w:pPr>
                    <w:r>
                      <w:rPr>
                        <w:rFonts w:hint="eastAsia"/>
                        <w:szCs w:val="21"/>
                      </w:rPr>
                      <w:t>股票简称</w:t>
                    </w:r>
                  </w:p>
                </w:tc>
              </w:sdtContent>
            </w:sdt>
            <w:sdt>
              <w:sdtPr>
                <w:tag w:val="_PLD_e6f819a9bdc4409c94aa103da8c19dc3"/>
                <w:id w:val="-154538653"/>
                <w:lock w:val="sdtLocked"/>
              </w:sdtPr>
              <w:sdtContent>
                <w:tc>
                  <w:tcPr>
                    <w:tcW w:w="1000" w:type="pct"/>
                    <w:tcBorders>
                      <w:top w:val="single" w:sz="4" w:space="0" w:color="auto"/>
                      <w:left w:val="single" w:sz="4" w:space="0" w:color="auto"/>
                      <w:bottom w:val="single" w:sz="4" w:space="0" w:color="auto"/>
                      <w:right w:val="single" w:sz="4" w:space="0" w:color="auto"/>
                    </w:tcBorders>
                    <w:shd w:val="clear" w:color="auto" w:fill="auto"/>
                  </w:tcPr>
                  <w:p w:rsidR="00806678" w:rsidRDefault="00B16377">
                    <w:pPr>
                      <w:kinsoku w:val="0"/>
                      <w:overflowPunct w:val="0"/>
                      <w:autoSpaceDE w:val="0"/>
                      <w:autoSpaceDN w:val="0"/>
                      <w:adjustRightInd w:val="0"/>
                      <w:snapToGrid w:val="0"/>
                      <w:jc w:val="center"/>
                      <w:rPr>
                        <w:szCs w:val="21"/>
                      </w:rPr>
                    </w:pPr>
                    <w:r>
                      <w:rPr>
                        <w:rFonts w:hint="eastAsia"/>
                        <w:szCs w:val="21"/>
                      </w:rPr>
                      <w:t>股票代码</w:t>
                    </w:r>
                  </w:p>
                </w:tc>
              </w:sdtContent>
            </w:sdt>
            <w:sdt>
              <w:sdtPr>
                <w:tag w:val="_PLD_ca5cfb3ed3b74ffa856f651b379dc207"/>
                <w:id w:val="1342735954"/>
                <w:lock w:val="sdtLocked"/>
              </w:sdtPr>
              <w:sdtContent>
                <w:tc>
                  <w:tcPr>
                    <w:tcW w:w="1000" w:type="pct"/>
                    <w:tcBorders>
                      <w:top w:val="single" w:sz="4" w:space="0" w:color="auto"/>
                      <w:left w:val="single" w:sz="4" w:space="0" w:color="auto"/>
                      <w:bottom w:val="single" w:sz="4" w:space="0" w:color="auto"/>
                    </w:tcBorders>
                    <w:shd w:val="clear" w:color="auto" w:fill="auto"/>
                  </w:tcPr>
                  <w:p w:rsidR="00806678" w:rsidRDefault="00B16377">
                    <w:pPr>
                      <w:kinsoku w:val="0"/>
                      <w:overflowPunct w:val="0"/>
                      <w:autoSpaceDE w:val="0"/>
                      <w:autoSpaceDN w:val="0"/>
                      <w:adjustRightInd w:val="0"/>
                      <w:snapToGrid w:val="0"/>
                      <w:jc w:val="center"/>
                      <w:rPr>
                        <w:szCs w:val="21"/>
                      </w:rPr>
                    </w:pPr>
                    <w:r>
                      <w:rPr>
                        <w:rFonts w:hint="eastAsia"/>
                        <w:szCs w:val="21"/>
                      </w:rPr>
                      <w:t>变更前股票简称</w:t>
                    </w:r>
                  </w:p>
                </w:tc>
              </w:sdtContent>
            </w:sdt>
          </w:tr>
          <w:sdt>
            <w:sdtPr>
              <w:rPr>
                <w:rFonts w:hint="eastAsia"/>
                <w:szCs w:val="21"/>
              </w:rPr>
              <w:alias w:val="公司其他股票简况"/>
              <w:tag w:val="_TUP_e5d457081246497986b9ceb7d695398e"/>
              <w:id w:val="6292244"/>
              <w:lock w:val="sdtLocked"/>
            </w:sdtPr>
            <w:sdtContent>
              <w:tr w:rsidR="00806678" w:rsidTr="00187B4D">
                <w:trPr>
                  <w:trHeight w:val="293"/>
                </w:trPr>
                <w:tc>
                  <w:tcPr>
                    <w:tcW w:w="1000" w:type="pct"/>
                    <w:tcBorders>
                      <w:top w:val="single" w:sz="4" w:space="0" w:color="auto"/>
                      <w:bottom w:val="single" w:sz="4" w:space="0" w:color="auto"/>
                      <w:right w:val="single" w:sz="4" w:space="0" w:color="auto"/>
                    </w:tcBorders>
                    <w:shd w:val="clear" w:color="auto" w:fill="auto"/>
                  </w:tcPr>
                  <w:p w:rsidR="00806678" w:rsidRDefault="004B1CD3" w:rsidP="00CF4E7B">
                    <w:pPr>
                      <w:kinsoku w:val="0"/>
                      <w:overflowPunct w:val="0"/>
                      <w:autoSpaceDE w:val="0"/>
                      <w:autoSpaceDN w:val="0"/>
                      <w:adjustRightInd w:val="0"/>
                      <w:snapToGrid w:val="0"/>
                      <w:jc w:val="center"/>
                      <w:rPr>
                        <w:szCs w:val="21"/>
                      </w:rPr>
                    </w:pPr>
                    <w:r w:rsidRPr="004B1CD3">
                      <w:rPr>
                        <w:szCs w:val="21"/>
                      </w:rPr>
                      <w:t>A股</w:t>
                    </w: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806678" w:rsidRDefault="004B1CD3" w:rsidP="00CF4E7B">
                    <w:pPr>
                      <w:kinsoku w:val="0"/>
                      <w:overflowPunct w:val="0"/>
                      <w:autoSpaceDE w:val="0"/>
                      <w:autoSpaceDN w:val="0"/>
                      <w:adjustRightInd w:val="0"/>
                      <w:snapToGrid w:val="0"/>
                      <w:jc w:val="center"/>
                      <w:rPr>
                        <w:szCs w:val="21"/>
                      </w:rPr>
                    </w:pPr>
                    <w:r w:rsidRPr="004B1CD3">
                      <w:rPr>
                        <w:rFonts w:hint="eastAsia"/>
                        <w:szCs w:val="21"/>
                      </w:rPr>
                      <w:t>上海证券交易所</w:t>
                    </w: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806678" w:rsidRDefault="004B1CD3" w:rsidP="00CF4E7B">
                    <w:pPr>
                      <w:kinsoku w:val="0"/>
                      <w:overflowPunct w:val="0"/>
                      <w:autoSpaceDE w:val="0"/>
                      <w:autoSpaceDN w:val="0"/>
                      <w:adjustRightInd w:val="0"/>
                      <w:snapToGrid w:val="0"/>
                      <w:jc w:val="center"/>
                      <w:rPr>
                        <w:szCs w:val="21"/>
                      </w:rPr>
                    </w:pPr>
                    <w:r>
                      <w:rPr>
                        <w:rFonts w:hint="eastAsia"/>
                        <w:szCs w:val="21"/>
                      </w:rPr>
                      <w:t>大秦铁路</w:t>
                    </w: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806678" w:rsidRDefault="004B1CD3" w:rsidP="00CF4E7B">
                    <w:pPr>
                      <w:kinsoku w:val="0"/>
                      <w:overflowPunct w:val="0"/>
                      <w:autoSpaceDE w:val="0"/>
                      <w:autoSpaceDN w:val="0"/>
                      <w:adjustRightInd w:val="0"/>
                      <w:snapToGrid w:val="0"/>
                      <w:jc w:val="center"/>
                      <w:rPr>
                        <w:szCs w:val="21"/>
                      </w:rPr>
                    </w:pPr>
                    <w:r>
                      <w:rPr>
                        <w:rFonts w:hint="eastAsia"/>
                        <w:szCs w:val="21"/>
                      </w:rPr>
                      <w:t>601006</w:t>
                    </w:r>
                  </w:p>
                </w:tc>
                <w:tc>
                  <w:tcPr>
                    <w:tcW w:w="1000" w:type="pct"/>
                    <w:tcBorders>
                      <w:top w:val="single" w:sz="4" w:space="0" w:color="auto"/>
                      <w:left w:val="single" w:sz="4" w:space="0" w:color="auto"/>
                      <w:bottom w:val="single" w:sz="4" w:space="0" w:color="auto"/>
                    </w:tcBorders>
                    <w:shd w:val="clear" w:color="auto" w:fill="auto"/>
                  </w:tcPr>
                  <w:p w:rsidR="00806678" w:rsidRDefault="004B1CD3" w:rsidP="00CF4E7B">
                    <w:pPr>
                      <w:kinsoku w:val="0"/>
                      <w:overflowPunct w:val="0"/>
                      <w:autoSpaceDE w:val="0"/>
                      <w:autoSpaceDN w:val="0"/>
                      <w:adjustRightInd w:val="0"/>
                      <w:snapToGrid w:val="0"/>
                      <w:jc w:val="center"/>
                      <w:rPr>
                        <w:szCs w:val="21"/>
                      </w:rPr>
                    </w:pPr>
                    <w:r>
                      <w:rPr>
                        <w:rFonts w:hint="eastAsia"/>
                        <w:szCs w:val="21"/>
                      </w:rPr>
                      <w:t>无变更</w:t>
                    </w:r>
                  </w:p>
                </w:tc>
              </w:tr>
            </w:sdtContent>
          </w:sdt>
        </w:tbl>
        <w:p w:rsidR="00806678" w:rsidRDefault="00F80B6C">
          <w:pPr>
            <w:rPr>
              <w:color w:val="0070C0"/>
            </w:rPr>
          </w:pPr>
        </w:p>
      </w:sdtContent>
    </w:sdt>
    <w:sdt>
      <w:sdtPr>
        <w:rPr>
          <w:rFonts w:ascii="宋体" w:hAnsi="宋体" w:cs="宋体"/>
          <w:b w:val="0"/>
          <w:bCs w:val="0"/>
          <w:kern w:val="0"/>
          <w:szCs w:val="24"/>
        </w:rPr>
        <w:alias w:val="模块:其他有关资料"/>
        <w:tag w:val="_SEC_003e0cedcbeb43af9103dfb4bc32cd9f"/>
        <w:id w:val="11228232"/>
        <w:lock w:val="sdtLocked"/>
        <w:placeholder>
          <w:docPart w:val="GBC22222222222222222222222222222"/>
        </w:placeholder>
      </w:sdtPr>
      <w:sdtContent>
        <w:p w:rsidR="00806678" w:rsidRDefault="00B16377">
          <w:pPr>
            <w:pStyle w:val="2"/>
            <w:numPr>
              <w:ilvl w:val="1"/>
              <w:numId w:val="4"/>
            </w:numPr>
            <w:ind w:left="496" w:hangingChars="236" w:hanging="496"/>
          </w:pPr>
          <w:r>
            <w:t>其他</w:t>
          </w:r>
          <w:r>
            <w:rPr>
              <w:rFonts w:hint="eastAsia"/>
            </w:rPr>
            <w:t>相</w:t>
          </w:r>
          <w:r>
            <w:t>关资料</w:t>
          </w:r>
        </w:p>
        <w:tbl>
          <w:tblPr>
            <w:tblStyle w:val="a6"/>
            <w:tblW w:w="5000" w:type="pct"/>
            <w:tblLook w:val="04A0"/>
          </w:tblPr>
          <w:tblGrid>
            <w:gridCol w:w="2993"/>
            <w:gridCol w:w="1794"/>
            <w:gridCol w:w="4262"/>
          </w:tblGrid>
          <w:tr w:rsidR="005E5B6A" w:rsidTr="005E5E05">
            <w:trPr>
              <w:trHeight w:val="132"/>
            </w:trPr>
            <w:sdt>
              <w:sdtPr>
                <w:tag w:val="_PLD_e6bf57c678134e2ab9f21f313ee3de3c"/>
                <w:id w:val="12844757"/>
                <w:lock w:val="sdtLocked"/>
              </w:sdtPr>
              <w:sdtContent>
                <w:tc>
                  <w:tcPr>
                    <w:tcW w:w="1654" w:type="pct"/>
                    <w:vMerge w:val="restart"/>
                    <w:vAlign w:val="center"/>
                  </w:tcPr>
                  <w:p w:rsidR="005E5B6A" w:rsidRDefault="005E5B6A" w:rsidP="005E5E05">
                    <w:pPr>
                      <w:rPr>
                        <w:szCs w:val="21"/>
                      </w:rPr>
                    </w:pPr>
                    <w:r>
                      <w:rPr>
                        <w:rFonts w:hint="eastAsia"/>
                        <w:szCs w:val="21"/>
                      </w:rPr>
                      <w:t>公司聘请的会计师事务所（境内 财务报告审计）</w:t>
                    </w:r>
                  </w:p>
                </w:tc>
              </w:sdtContent>
            </w:sdt>
            <w:sdt>
              <w:sdtPr>
                <w:tag w:val="_PLD_8ca47cc04c324c599365d04f46dbfb0f"/>
                <w:id w:val="12844758"/>
                <w:lock w:val="sdtLocked"/>
              </w:sdtPr>
              <w:sdtContent>
                <w:tc>
                  <w:tcPr>
                    <w:tcW w:w="991" w:type="pct"/>
                  </w:tcPr>
                  <w:p w:rsidR="005E5B6A" w:rsidRDefault="005E5B6A" w:rsidP="005E5E05">
                    <w:pPr>
                      <w:rPr>
                        <w:szCs w:val="21"/>
                      </w:rPr>
                    </w:pPr>
                    <w:r>
                      <w:rPr>
                        <w:rFonts w:hint="eastAsia"/>
                        <w:szCs w:val="21"/>
                      </w:rPr>
                      <w:t>名称</w:t>
                    </w:r>
                  </w:p>
                </w:tc>
              </w:sdtContent>
            </w:sdt>
            <w:sdt>
              <w:sdtPr>
                <w:rPr>
                  <w:rFonts w:hint="eastAsia"/>
                  <w:szCs w:val="21"/>
                </w:rPr>
                <w:alias w:val="公司聘请的境内会计师事务所明细-名称"/>
                <w:tag w:val="_GBC_5e101497eaf44ba79cb610647f4aa3d5"/>
                <w:id w:val="12844759"/>
                <w:lock w:val="sdtLocked"/>
              </w:sdtPr>
              <w:sdtContent>
                <w:tc>
                  <w:tcPr>
                    <w:tcW w:w="2355" w:type="pct"/>
                  </w:tcPr>
                  <w:p w:rsidR="005E5B6A" w:rsidRDefault="005E5B6A" w:rsidP="005E5E05">
                    <w:pPr>
                      <w:rPr>
                        <w:szCs w:val="21"/>
                      </w:rPr>
                    </w:pPr>
                    <w:r w:rsidRPr="00BE301B">
                      <w:rPr>
                        <w:rFonts w:hint="eastAsia"/>
                        <w:szCs w:val="21"/>
                      </w:rPr>
                      <w:t>毕马威华振会计师事务所（特殊普通合伙）</w:t>
                    </w:r>
                  </w:p>
                </w:tc>
              </w:sdtContent>
            </w:sdt>
          </w:tr>
          <w:tr w:rsidR="005E5B6A" w:rsidTr="005E5E05">
            <w:trPr>
              <w:trHeight w:val="90"/>
            </w:trPr>
            <w:tc>
              <w:tcPr>
                <w:tcW w:w="1654" w:type="pct"/>
                <w:vMerge/>
                <w:vAlign w:val="center"/>
              </w:tcPr>
              <w:p w:rsidR="005E5B6A" w:rsidRDefault="005E5B6A" w:rsidP="005E5E05">
                <w:pPr>
                  <w:rPr>
                    <w:szCs w:val="21"/>
                  </w:rPr>
                </w:pPr>
              </w:p>
            </w:tc>
            <w:sdt>
              <w:sdtPr>
                <w:tag w:val="_PLD_d81c8b501e6d407989da734d8b7bd34b"/>
                <w:id w:val="12844760"/>
                <w:lock w:val="sdtLocked"/>
              </w:sdtPr>
              <w:sdtContent>
                <w:tc>
                  <w:tcPr>
                    <w:tcW w:w="991" w:type="pct"/>
                  </w:tcPr>
                  <w:p w:rsidR="005E5B6A" w:rsidRDefault="005E5B6A" w:rsidP="005E5E05">
                    <w:pPr>
                      <w:rPr>
                        <w:szCs w:val="21"/>
                      </w:rPr>
                    </w:pPr>
                    <w:r>
                      <w:rPr>
                        <w:rFonts w:hint="eastAsia"/>
                        <w:szCs w:val="21"/>
                      </w:rPr>
                      <w:t>办公地址</w:t>
                    </w:r>
                  </w:p>
                </w:tc>
              </w:sdtContent>
            </w:sdt>
            <w:tc>
              <w:tcPr>
                <w:tcW w:w="2355" w:type="pct"/>
              </w:tcPr>
              <w:p w:rsidR="005E5B6A" w:rsidRDefault="005E5B6A" w:rsidP="005E5E05">
                <w:pPr>
                  <w:rPr>
                    <w:szCs w:val="21"/>
                  </w:rPr>
                </w:pPr>
                <w:r w:rsidRPr="00BE301B">
                  <w:rPr>
                    <w:rFonts w:hint="eastAsia"/>
                    <w:szCs w:val="21"/>
                  </w:rPr>
                  <w:t>北京市东城区东长安街</w:t>
                </w:r>
                <w:r w:rsidRPr="00BE301B">
                  <w:rPr>
                    <w:szCs w:val="21"/>
                  </w:rPr>
                  <w:t>1号东方广场毕马威大楼9层</w:t>
                </w:r>
              </w:p>
            </w:tc>
          </w:tr>
          <w:tr w:rsidR="005E5B6A" w:rsidTr="005E5E05">
            <w:trPr>
              <w:trHeight w:val="210"/>
            </w:trPr>
            <w:tc>
              <w:tcPr>
                <w:tcW w:w="1654" w:type="pct"/>
                <w:vMerge/>
                <w:vAlign w:val="center"/>
              </w:tcPr>
              <w:p w:rsidR="005E5B6A" w:rsidRDefault="005E5B6A" w:rsidP="005E5E05">
                <w:pPr>
                  <w:rPr>
                    <w:szCs w:val="21"/>
                  </w:rPr>
                </w:pPr>
              </w:p>
            </w:tc>
            <w:sdt>
              <w:sdtPr>
                <w:tag w:val="_PLD_0d7c31c02260419e806193f66b086dd8"/>
                <w:id w:val="12844761"/>
                <w:lock w:val="sdtLocked"/>
              </w:sdtPr>
              <w:sdtContent>
                <w:tc>
                  <w:tcPr>
                    <w:tcW w:w="991" w:type="pct"/>
                  </w:tcPr>
                  <w:p w:rsidR="005E5B6A" w:rsidRDefault="005E5B6A" w:rsidP="005E5E05">
                    <w:pPr>
                      <w:rPr>
                        <w:szCs w:val="21"/>
                      </w:rPr>
                    </w:pPr>
                    <w:r>
                      <w:rPr>
                        <w:rFonts w:hint="eastAsia"/>
                        <w:szCs w:val="21"/>
                      </w:rPr>
                      <w:t>签字会计师姓名</w:t>
                    </w:r>
                  </w:p>
                </w:tc>
              </w:sdtContent>
            </w:sdt>
            <w:tc>
              <w:tcPr>
                <w:tcW w:w="2355" w:type="pct"/>
              </w:tcPr>
              <w:p w:rsidR="005E5B6A" w:rsidRDefault="005E5B6A" w:rsidP="005E5E05">
                <w:pPr>
                  <w:rPr>
                    <w:szCs w:val="21"/>
                  </w:rPr>
                </w:pPr>
                <w:r>
                  <w:rPr>
                    <w:rFonts w:hint="eastAsia"/>
                    <w:szCs w:val="21"/>
                  </w:rPr>
                  <w:t>张杨</w:t>
                </w:r>
                <w:r w:rsidRPr="00BE301B">
                  <w:rPr>
                    <w:szCs w:val="21"/>
                  </w:rPr>
                  <w:t xml:space="preserve"> 曹璐</w:t>
                </w:r>
              </w:p>
            </w:tc>
          </w:tr>
          <w:tr w:rsidR="005E5B6A" w:rsidTr="005E5E05">
            <w:trPr>
              <w:trHeight w:val="132"/>
            </w:trPr>
            <w:sdt>
              <w:sdtPr>
                <w:tag w:val="_PLD_e6bf57c678134e2ab9f21f313ee3de3c"/>
                <w:id w:val="12844762"/>
                <w:lock w:val="sdtLocked"/>
              </w:sdtPr>
              <w:sdtContent>
                <w:tc>
                  <w:tcPr>
                    <w:tcW w:w="1654" w:type="pct"/>
                    <w:vMerge w:val="restart"/>
                    <w:vAlign w:val="center"/>
                  </w:tcPr>
                  <w:p w:rsidR="005E5B6A" w:rsidRDefault="005E5B6A" w:rsidP="005E5E05">
                    <w:pPr>
                      <w:rPr>
                        <w:szCs w:val="21"/>
                      </w:rPr>
                    </w:pPr>
                    <w:r>
                      <w:rPr>
                        <w:rFonts w:hint="eastAsia"/>
                        <w:szCs w:val="21"/>
                      </w:rPr>
                      <w:t>公司聘请的会计师事务所（境内 内部控制审计）</w:t>
                    </w:r>
                  </w:p>
                </w:tc>
              </w:sdtContent>
            </w:sdt>
            <w:sdt>
              <w:sdtPr>
                <w:tag w:val="_PLD_8ca47cc04c324c599365d04f46dbfb0f"/>
                <w:id w:val="12844763"/>
                <w:lock w:val="sdtLocked"/>
              </w:sdtPr>
              <w:sdtContent>
                <w:tc>
                  <w:tcPr>
                    <w:tcW w:w="991" w:type="pct"/>
                  </w:tcPr>
                  <w:p w:rsidR="005E5B6A" w:rsidRDefault="005E5B6A" w:rsidP="005E5E05">
                    <w:pPr>
                      <w:rPr>
                        <w:szCs w:val="21"/>
                      </w:rPr>
                    </w:pPr>
                    <w:r>
                      <w:rPr>
                        <w:rFonts w:hint="eastAsia"/>
                        <w:szCs w:val="21"/>
                      </w:rPr>
                      <w:t>名称</w:t>
                    </w:r>
                  </w:p>
                </w:tc>
              </w:sdtContent>
            </w:sdt>
            <w:sdt>
              <w:sdtPr>
                <w:rPr>
                  <w:rFonts w:hint="eastAsia"/>
                  <w:szCs w:val="21"/>
                </w:rPr>
                <w:alias w:val="公司聘请的境内会计师事务所明细-名称"/>
                <w:tag w:val="_GBC_5e101497eaf44ba79cb610647f4aa3d5"/>
                <w:id w:val="12844764"/>
                <w:lock w:val="sdtLocked"/>
              </w:sdtPr>
              <w:sdtContent>
                <w:tc>
                  <w:tcPr>
                    <w:tcW w:w="2355" w:type="pct"/>
                  </w:tcPr>
                  <w:p w:rsidR="005E5B6A" w:rsidRDefault="005E5B6A" w:rsidP="005E5E05">
                    <w:pPr>
                      <w:rPr>
                        <w:szCs w:val="21"/>
                      </w:rPr>
                    </w:pPr>
                    <w:r w:rsidRPr="00BE301B">
                      <w:rPr>
                        <w:rFonts w:hint="eastAsia"/>
                        <w:szCs w:val="21"/>
                      </w:rPr>
                      <w:t>普华永道中天会计师事务所（特殊普通合伙）</w:t>
                    </w:r>
                  </w:p>
                </w:tc>
              </w:sdtContent>
            </w:sdt>
          </w:tr>
          <w:tr w:rsidR="005E5B6A" w:rsidTr="005E5E05">
            <w:trPr>
              <w:trHeight w:val="90"/>
            </w:trPr>
            <w:tc>
              <w:tcPr>
                <w:tcW w:w="1654" w:type="pct"/>
                <w:vMerge/>
                <w:vAlign w:val="center"/>
              </w:tcPr>
              <w:p w:rsidR="005E5B6A" w:rsidRDefault="005E5B6A" w:rsidP="005E5E05">
                <w:pPr>
                  <w:rPr>
                    <w:szCs w:val="21"/>
                  </w:rPr>
                </w:pPr>
              </w:p>
            </w:tc>
            <w:sdt>
              <w:sdtPr>
                <w:tag w:val="_PLD_d81c8b501e6d407989da734d8b7bd34b"/>
                <w:id w:val="12844765"/>
                <w:lock w:val="sdtLocked"/>
              </w:sdtPr>
              <w:sdtContent>
                <w:tc>
                  <w:tcPr>
                    <w:tcW w:w="991" w:type="pct"/>
                  </w:tcPr>
                  <w:p w:rsidR="005E5B6A" w:rsidRDefault="005E5B6A" w:rsidP="005E5E05">
                    <w:pPr>
                      <w:rPr>
                        <w:szCs w:val="21"/>
                      </w:rPr>
                    </w:pPr>
                    <w:r>
                      <w:rPr>
                        <w:rFonts w:hint="eastAsia"/>
                        <w:szCs w:val="21"/>
                      </w:rPr>
                      <w:t>办公地址</w:t>
                    </w:r>
                  </w:p>
                </w:tc>
              </w:sdtContent>
            </w:sdt>
            <w:tc>
              <w:tcPr>
                <w:tcW w:w="2355" w:type="pct"/>
              </w:tcPr>
              <w:p w:rsidR="005E5B6A" w:rsidRDefault="005E5B6A" w:rsidP="005E5E05">
                <w:pPr>
                  <w:rPr>
                    <w:szCs w:val="21"/>
                  </w:rPr>
                </w:pPr>
                <w:r>
                  <w:t>上海市湖滨路202号普华永道中心11楼</w:t>
                </w:r>
              </w:p>
            </w:tc>
          </w:tr>
          <w:tr w:rsidR="005E5B6A" w:rsidTr="005E5E05">
            <w:trPr>
              <w:trHeight w:val="210"/>
            </w:trPr>
            <w:tc>
              <w:tcPr>
                <w:tcW w:w="1654" w:type="pct"/>
                <w:vMerge/>
                <w:vAlign w:val="center"/>
              </w:tcPr>
              <w:p w:rsidR="005E5B6A" w:rsidRDefault="005E5B6A" w:rsidP="005E5E05">
                <w:pPr>
                  <w:rPr>
                    <w:szCs w:val="21"/>
                  </w:rPr>
                </w:pPr>
              </w:p>
            </w:tc>
            <w:sdt>
              <w:sdtPr>
                <w:tag w:val="_PLD_0d7c31c02260419e806193f66b086dd8"/>
                <w:id w:val="12844766"/>
                <w:lock w:val="sdtLocked"/>
              </w:sdtPr>
              <w:sdtContent>
                <w:tc>
                  <w:tcPr>
                    <w:tcW w:w="991" w:type="pct"/>
                  </w:tcPr>
                  <w:p w:rsidR="005E5B6A" w:rsidRDefault="005E5B6A" w:rsidP="005E5E05">
                    <w:pPr>
                      <w:rPr>
                        <w:szCs w:val="21"/>
                      </w:rPr>
                    </w:pPr>
                    <w:r>
                      <w:rPr>
                        <w:rFonts w:hint="eastAsia"/>
                        <w:szCs w:val="21"/>
                      </w:rPr>
                      <w:t>签字会计师姓名</w:t>
                    </w:r>
                  </w:p>
                </w:tc>
              </w:sdtContent>
            </w:sdt>
            <w:tc>
              <w:tcPr>
                <w:tcW w:w="2355" w:type="pct"/>
              </w:tcPr>
              <w:p w:rsidR="005E5B6A" w:rsidRDefault="005E5B6A" w:rsidP="005E5E05">
                <w:pPr>
                  <w:rPr>
                    <w:szCs w:val="21"/>
                  </w:rPr>
                </w:pPr>
                <w:r>
                  <w:t>罗占恩 周丽芳</w:t>
                </w:r>
              </w:p>
            </w:tc>
          </w:tr>
          <w:tr w:rsidR="005E5B6A" w:rsidTr="005E5E05">
            <w:trPr>
              <w:trHeight w:val="240"/>
            </w:trPr>
            <w:sdt>
              <w:sdtPr>
                <w:tag w:val="_PLD_117629327a374eb3aaf290e37287fd9d"/>
                <w:id w:val="12844771"/>
                <w:lock w:val="sdtLocked"/>
              </w:sdtPr>
              <w:sdtContent>
                <w:tc>
                  <w:tcPr>
                    <w:tcW w:w="1654" w:type="pct"/>
                    <w:vMerge w:val="restart"/>
                    <w:vAlign w:val="center"/>
                  </w:tcPr>
                  <w:p w:rsidR="005E5B6A" w:rsidRDefault="005E5B6A" w:rsidP="005E5E05">
                    <w:pPr>
                      <w:rPr>
                        <w:szCs w:val="21"/>
                      </w:rPr>
                    </w:pPr>
                    <w:r>
                      <w:rPr>
                        <w:rFonts w:hint="eastAsia"/>
                        <w:szCs w:val="21"/>
                      </w:rPr>
                      <w:t>报告期内履行持续督导职责的保荐机构</w:t>
                    </w:r>
                  </w:p>
                </w:tc>
              </w:sdtContent>
            </w:sdt>
            <w:sdt>
              <w:sdtPr>
                <w:tag w:val="_PLD_03930b06d3874a0ab23547d6ee1fd4ed"/>
                <w:id w:val="12844772"/>
                <w:lock w:val="sdtLocked"/>
              </w:sdtPr>
              <w:sdtContent>
                <w:tc>
                  <w:tcPr>
                    <w:tcW w:w="991" w:type="pct"/>
                  </w:tcPr>
                  <w:p w:rsidR="005E5B6A" w:rsidRDefault="005E5B6A" w:rsidP="005E5E05">
                    <w:pPr>
                      <w:rPr>
                        <w:szCs w:val="21"/>
                      </w:rPr>
                    </w:pPr>
                    <w:r>
                      <w:rPr>
                        <w:rFonts w:hint="eastAsia"/>
                        <w:szCs w:val="21"/>
                      </w:rPr>
                      <w:t>名称</w:t>
                    </w:r>
                  </w:p>
                </w:tc>
              </w:sdtContent>
            </w:sdt>
            <w:tc>
              <w:tcPr>
                <w:tcW w:w="2355" w:type="pct"/>
                <w:vAlign w:val="center"/>
              </w:tcPr>
              <w:p w:rsidR="005E5B6A" w:rsidRDefault="005E5B6A" w:rsidP="005E5E05">
                <w:pPr>
                  <w:rPr>
                    <w:sz w:val="24"/>
                  </w:rPr>
                </w:pPr>
                <w:r>
                  <w:t>国泰君安证券股份有限公司</w:t>
                </w:r>
              </w:p>
            </w:tc>
          </w:tr>
          <w:tr w:rsidR="005E5B6A" w:rsidTr="005E5E05">
            <w:trPr>
              <w:trHeight w:val="180"/>
            </w:trPr>
            <w:tc>
              <w:tcPr>
                <w:tcW w:w="1654" w:type="pct"/>
                <w:vMerge/>
                <w:vAlign w:val="center"/>
              </w:tcPr>
              <w:p w:rsidR="005E5B6A" w:rsidRDefault="005E5B6A" w:rsidP="005E5E05">
                <w:pPr>
                  <w:rPr>
                    <w:szCs w:val="21"/>
                  </w:rPr>
                </w:pPr>
              </w:p>
            </w:tc>
            <w:sdt>
              <w:sdtPr>
                <w:tag w:val="_PLD_58628b6510d343abaa231ec4a53d580b"/>
                <w:id w:val="12844773"/>
                <w:lock w:val="sdtLocked"/>
              </w:sdtPr>
              <w:sdtContent>
                <w:tc>
                  <w:tcPr>
                    <w:tcW w:w="991" w:type="pct"/>
                  </w:tcPr>
                  <w:p w:rsidR="005E5B6A" w:rsidRDefault="005E5B6A" w:rsidP="005E5E05">
                    <w:pPr>
                      <w:rPr>
                        <w:szCs w:val="21"/>
                      </w:rPr>
                    </w:pPr>
                    <w:r>
                      <w:rPr>
                        <w:rFonts w:hint="eastAsia"/>
                        <w:szCs w:val="21"/>
                      </w:rPr>
                      <w:t>办公地址</w:t>
                    </w:r>
                  </w:p>
                </w:tc>
              </w:sdtContent>
            </w:sdt>
            <w:tc>
              <w:tcPr>
                <w:tcW w:w="2355" w:type="pct"/>
                <w:vAlign w:val="center"/>
              </w:tcPr>
              <w:p w:rsidR="005E5B6A" w:rsidRDefault="005E5B6A" w:rsidP="005E5E05">
                <w:pPr>
                  <w:rPr>
                    <w:sz w:val="24"/>
                  </w:rPr>
                </w:pPr>
                <w:r>
                  <w:t>北京市西城区金融大街甲9号金融街中心16层</w:t>
                </w:r>
              </w:p>
            </w:tc>
          </w:tr>
          <w:tr w:rsidR="005E5B6A" w:rsidTr="005E5E05">
            <w:trPr>
              <w:trHeight w:val="165"/>
            </w:trPr>
            <w:tc>
              <w:tcPr>
                <w:tcW w:w="1654" w:type="pct"/>
                <w:vMerge/>
                <w:vAlign w:val="center"/>
              </w:tcPr>
              <w:p w:rsidR="005E5B6A" w:rsidRDefault="005E5B6A" w:rsidP="005E5E05">
                <w:pPr>
                  <w:rPr>
                    <w:szCs w:val="21"/>
                  </w:rPr>
                </w:pPr>
              </w:p>
            </w:tc>
            <w:sdt>
              <w:sdtPr>
                <w:tag w:val="_PLD_925a7f0d1c0b4d93a84716fba5973d33"/>
                <w:id w:val="12844774"/>
                <w:lock w:val="sdtLocked"/>
              </w:sdtPr>
              <w:sdtContent>
                <w:tc>
                  <w:tcPr>
                    <w:tcW w:w="991" w:type="pct"/>
                  </w:tcPr>
                  <w:p w:rsidR="005E5B6A" w:rsidRDefault="005E5B6A" w:rsidP="005E5E05">
                    <w:pPr>
                      <w:rPr>
                        <w:szCs w:val="21"/>
                      </w:rPr>
                    </w:pPr>
                    <w:r>
                      <w:rPr>
                        <w:rFonts w:hint="eastAsia"/>
                        <w:szCs w:val="21"/>
                      </w:rPr>
                      <w:t>签字的保荐代表人姓名</w:t>
                    </w:r>
                  </w:p>
                </w:tc>
              </w:sdtContent>
            </w:sdt>
            <w:tc>
              <w:tcPr>
                <w:tcW w:w="2355" w:type="pct"/>
                <w:vAlign w:val="center"/>
              </w:tcPr>
              <w:p w:rsidR="005E5B6A" w:rsidRDefault="005E5B6A" w:rsidP="005E5E05">
                <w:pPr>
                  <w:rPr>
                    <w:sz w:val="24"/>
                  </w:rPr>
                </w:pPr>
                <w:r>
                  <w:t>唐伟  赵鑫</w:t>
                </w:r>
              </w:p>
            </w:tc>
          </w:tr>
          <w:tr w:rsidR="005E5B6A" w:rsidTr="005E5E05">
            <w:trPr>
              <w:trHeight w:val="135"/>
            </w:trPr>
            <w:tc>
              <w:tcPr>
                <w:tcW w:w="1654" w:type="pct"/>
                <w:vMerge/>
                <w:vAlign w:val="center"/>
              </w:tcPr>
              <w:p w:rsidR="005E5B6A" w:rsidRDefault="005E5B6A" w:rsidP="005E5E05">
                <w:pPr>
                  <w:rPr>
                    <w:szCs w:val="21"/>
                  </w:rPr>
                </w:pPr>
              </w:p>
            </w:tc>
            <w:sdt>
              <w:sdtPr>
                <w:tag w:val="_PLD_33ee55046990416286a131e45b55bbb7"/>
                <w:id w:val="12844775"/>
                <w:lock w:val="sdtLocked"/>
              </w:sdtPr>
              <w:sdtContent>
                <w:tc>
                  <w:tcPr>
                    <w:tcW w:w="991" w:type="pct"/>
                  </w:tcPr>
                  <w:p w:rsidR="005E5B6A" w:rsidRDefault="005E5B6A" w:rsidP="005E5E05">
                    <w:pPr>
                      <w:rPr>
                        <w:szCs w:val="21"/>
                      </w:rPr>
                    </w:pPr>
                    <w:r>
                      <w:rPr>
                        <w:rFonts w:hint="eastAsia"/>
                        <w:szCs w:val="21"/>
                      </w:rPr>
                      <w:t>持续督导的期间</w:t>
                    </w:r>
                  </w:p>
                </w:tc>
              </w:sdtContent>
            </w:sdt>
            <w:tc>
              <w:tcPr>
                <w:tcW w:w="2355" w:type="pct"/>
                <w:vAlign w:val="center"/>
              </w:tcPr>
              <w:p w:rsidR="005E5B6A" w:rsidRDefault="005E5B6A" w:rsidP="005E5E05">
                <w:pPr>
                  <w:rPr>
                    <w:sz w:val="24"/>
                  </w:rPr>
                </w:pPr>
                <w:r>
                  <w:t>2021年1月15日至2022年12月31日</w:t>
                </w:r>
              </w:p>
            </w:tc>
          </w:tr>
        </w:tbl>
        <w:p w:rsidR="00806678" w:rsidRDefault="00F80B6C"/>
      </w:sdtContent>
    </w:sdt>
    <w:p w:rsidR="00806678" w:rsidRDefault="00B16377">
      <w:pPr>
        <w:pStyle w:val="2"/>
        <w:numPr>
          <w:ilvl w:val="1"/>
          <w:numId w:val="4"/>
        </w:numPr>
        <w:ind w:left="498" w:hangingChars="236" w:hanging="498"/>
      </w:pPr>
      <w:bookmarkStart w:id="19" w:name="_Toc342056397"/>
      <w:bookmarkStart w:id="20" w:name="_Toc342565889"/>
      <w:r>
        <w:rPr>
          <w:rFonts w:hint="eastAsia"/>
        </w:rPr>
        <w:t>近三年主要会计数据和财务指标</w:t>
      </w:r>
      <w:bookmarkEnd w:id="19"/>
      <w:bookmarkEnd w:id="20"/>
    </w:p>
    <w:p w:rsidR="00806678" w:rsidRDefault="00B16377">
      <w:pPr>
        <w:pStyle w:val="3"/>
        <w:numPr>
          <w:ilvl w:val="1"/>
          <w:numId w:val="2"/>
        </w:numPr>
      </w:pPr>
      <w:r>
        <w:rPr>
          <w:rFonts w:hint="eastAsia"/>
        </w:rPr>
        <w:t>主要会计数据</w:t>
      </w:r>
    </w:p>
    <w:p w:rsidR="00806678" w:rsidRDefault="00B16377">
      <w:pPr>
        <w:jc w:val="right"/>
        <w:rPr>
          <w:szCs w:val="21"/>
        </w:rPr>
      </w:pPr>
      <w:r>
        <w:rPr>
          <w:rFonts w:hint="eastAsia"/>
          <w:szCs w:val="21"/>
        </w:rPr>
        <w:t>单位：</w:t>
      </w:r>
      <w:sdt>
        <w:sdtPr>
          <w:rPr>
            <w:rFonts w:hint="eastAsia"/>
            <w:szCs w:val="21"/>
          </w:rPr>
          <w:alias w:val="单位：报告期末公司前三年主要会计数据和财务指标"/>
          <w:tag w:val="_GBC_831bf622af014dd988d7abf34a230ded"/>
          <w:id w:val="2941121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报告期末公司前三年主要会计数据和财务指标"/>
          <w:tag w:val="_GBC_966177366f0d4256ae6aac54dd779761"/>
          <w:id w:val="2941238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sdt>
      <w:sdtPr>
        <w:rPr>
          <w:rFonts w:hint="eastAsia"/>
          <w:szCs w:val="21"/>
        </w:rPr>
        <w:alias w:val="选项模块:主要会计数据(无追溯)"/>
        <w:tag w:val="_SEC_054de9a865fc43068e5affd816d52d7b"/>
        <w:id w:val="204428019"/>
        <w:lock w:val="sdtLocked"/>
        <w:placeholder>
          <w:docPart w:val="GBC22222222222222222222222222222"/>
        </w:placeholder>
      </w:sdtPr>
      <w:sdtEndPr>
        <w:rPr>
          <w:rFonts w:hint="default"/>
          <w:szCs w:val="24"/>
        </w:rPr>
      </w:sdtEndPr>
      <w:sdtContent>
        <w:tbl>
          <w:tblPr>
            <w:tblStyle w:val="a6"/>
            <w:tblW w:w="5146" w:type="pct"/>
            <w:jc w:val="center"/>
            <w:tblLook w:val="0000"/>
          </w:tblPr>
          <w:tblGrid>
            <w:gridCol w:w="3015"/>
            <w:gridCol w:w="1791"/>
            <w:gridCol w:w="1792"/>
            <w:gridCol w:w="924"/>
            <w:gridCol w:w="1791"/>
          </w:tblGrid>
          <w:tr w:rsidR="00806678" w:rsidTr="0057729D">
            <w:trPr>
              <w:trHeight w:val="596"/>
              <w:jc w:val="center"/>
            </w:trPr>
            <w:sdt>
              <w:sdtPr>
                <w:rPr>
                  <w:rFonts w:hint="eastAsia"/>
                  <w:szCs w:val="21"/>
                </w:rPr>
                <w:tag w:val="_PLD_11b4c598f0e64f3480d144156bedd8c8"/>
                <w:id w:val="-1487624641"/>
                <w:lock w:val="sdtLocked"/>
              </w:sdtPr>
              <w:sdtEndPr>
                <w:rPr>
                  <w:rFonts w:hint="default"/>
                  <w:szCs w:val="24"/>
                </w:rPr>
              </w:sdtEndPr>
              <w:sdtContent>
                <w:tc>
                  <w:tcPr>
                    <w:tcW w:w="1619" w:type="pct"/>
                    <w:vAlign w:val="center"/>
                  </w:tcPr>
                  <w:p w:rsidR="00806678" w:rsidRDefault="00B16377">
                    <w:pPr>
                      <w:kinsoku w:val="0"/>
                      <w:overflowPunct w:val="0"/>
                      <w:autoSpaceDE w:val="0"/>
                      <w:autoSpaceDN w:val="0"/>
                      <w:adjustRightInd w:val="0"/>
                      <w:snapToGrid w:val="0"/>
                      <w:jc w:val="center"/>
                      <w:rPr>
                        <w:szCs w:val="21"/>
                      </w:rPr>
                    </w:pPr>
                    <w:r>
                      <w:rPr>
                        <w:rFonts w:hint="eastAsia"/>
                        <w:szCs w:val="21"/>
                      </w:rPr>
                      <w:t>主要会计数据</w:t>
                    </w:r>
                  </w:p>
                </w:tc>
              </w:sdtContent>
            </w:sdt>
            <w:sdt>
              <w:sdtPr>
                <w:tag w:val="_PLD_b13b04da4c2a41028c11512814762a3d"/>
                <w:id w:val="680091837"/>
                <w:lock w:val="sdtLocked"/>
              </w:sdtPr>
              <w:sdtContent>
                <w:tc>
                  <w:tcPr>
                    <w:tcW w:w="962" w:type="pct"/>
                    <w:vAlign w:val="center"/>
                  </w:tcPr>
                  <w:p w:rsidR="00806678" w:rsidRDefault="00B16377">
                    <w:pPr>
                      <w:kinsoku w:val="0"/>
                      <w:overflowPunct w:val="0"/>
                      <w:autoSpaceDE w:val="0"/>
                      <w:autoSpaceDN w:val="0"/>
                      <w:adjustRightInd w:val="0"/>
                      <w:snapToGrid w:val="0"/>
                      <w:jc w:val="center"/>
                      <w:rPr>
                        <w:szCs w:val="21"/>
                      </w:rPr>
                    </w:pPr>
                    <w:r>
                      <w:rPr>
                        <w:rFonts w:hint="eastAsia"/>
                        <w:szCs w:val="21"/>
                      </w:rPr>
                      <w:t>202</w:t>
                    </w:r>
                    <w:r>
                      <w:rPr>
                        <w:szCs w:val="21"/>
                      </w:rPr>
                      <w:t>2</w:t>
                    </w:r>
                    <w:r>
                      <w:rPr>
                        <w:rFonts w:hint="eastAsia"/>
                        <w:szCs w:val="21"/>
                      </w:rPr>
                      <w:t>年</w:t>
                    </w:r>
                  </w:p>
                </w:tc>
              </w:sdtContent>
            </w:sdt>
            <w:sdt>
              <w:sdtPr>
                <w:tag w:val="_PLD_0269ed04fa784ad3a61b37ff6ea4e755"/>
                <w:id w:val="-1872757253"/>
                <w:lock w:val="sdtLocked"/>
              </w:sdtPr>
              <w:sdtContent>
                <w:tc>
                  <w:tcPr>
                    <w:tcW w:w="962" w:type="pct"/>
                    <w:vAlign w:val="center"/>
                  </w:tcPr>
                  <w:p w:rsidR="00806678" w:rsidRDefault="00B16377">
                    <w:pPr>
                      <w:kinsoku w:val="0"/>
                      <w:overflowPunct w:val="0"/>
                      <w:autoSpaceDE w:val="0"/>
                      <w:autoSpaceDN w:val="0"/>
                      <w:adjustRightInd w:val="0"/>
                      <w:snapToGrid w:val="0"/>
                      <w:jc w:val="center"/>
                      <w:rPr>
                        <w:szCs w:val="21"/>
                      </w:rPr>
                    </w:pPr>
                    <w:r>
                      <w:rPr>
                        <w:rFonts w:hint="eastAsia"/>
                        <w:szCs w:val="21"/>
                      </w:rPr>
                      <w:t>202</w:t>
                    </w:r>
                    <w:r>
                      <w:rPr>
                        <w:szCs w:val="21"/>
                      </w:rPr>
                      <w:t>1</w:t>
                    </w:r>
                    <w:r>
                      <w:rPr>
                        <w:rFonts w:hint="eastAsia"/>
                        <w:szCs w:val="21"/>
                      </w:rPr>
                      <w:t>年</w:t>
                    </w:r>
                  </w:p>
                </w:tc>
              </w:sdtContent>
            </w:sdt>
            <w:sdt>
              <w:sdtPr>
                <w:tag w:val="_PLD_04887d69202349c58f450c785cfaef93"/>
                <w:id w:val="158197960"/>
                <w:lock w:val="sdtLocked"/>
              </w:sdtPr>
              <w:sdtContent>
                <w:tc>
                  <w:tcPr>
                    <w:tcW w:w="496" w:type="pct"/>
                    <w:vAlign w:val="center"/>
                  </w:tcPr>
                  <w:p w:rsidR="00806678" w:rsidRDefault="00B16377">
                    <w:pPr>
                      <w:kinsoku w:val="0"/>
                      <w:overflowPunct w:val="0"/>
                      <w:autoSpaceDE w:val="0"/>
                      <w:autoSpaceDN w:val="0"/>
                      <w:adjustRightInd w:val="0"/>
                      <w:snapToGrid w:val="0"/>
                      <w:jc w:val="center"/>
                      <w:rPr>
                        <w:szCs w:val="21"/>
                      </w:rPr>
                    </w:pPr>
                    <w:r>
                      <w:rPr>
                        <w:rFonts w:hint="eastAsia"/>
                        <w:szCs w:val="21"/>
                      </w:rPr>
                      <w:t>本期比上年同期增减</w:t>
                    </w:r>
                    <w:r>
                      <w:rPr>
                        <w:szCs w:val="21"/>
                      </w:rPr>
                      <w:t>(%)</w:t>
                    </w:r>
                  </w:p>
                </w:tc>
              </w:sdtContent>
            </w:sdt>
            <w:sdt>
              <w:sdtPr>
                <w:tag w:val="_PLD_cf8d3caaf1bc4b2eb15a4b6e1b823368"/>
                <w:id w:val="-1698611656"/>
                <w:lock w:val="sdtLocked"/>
              </w:sdtPr>
              <w:sdtContent>
                <w:tc>
                  <w:tcPr>
                    <w:tcW w:w="962" w:type="pct"/>
                    <w:vAlign w:val="center"/>
                  </w:tcPr>
                  <w:p w:rsidR="00806678" w:rsidRDefault="00B16377">
                    <w:pPr>
                      <w:kinsoku w:val="0"/>
                      <w:overflowPunct w:val="0"/>
                      <w:autoSpaceDE w:val="0"/>
                      <w:autoSpaceDN w:val="0"/>
                      <w:adjustRightInd w:val="0"/>
                      <w:snapToGrid w:val="0"/>
                      <w:jc w:val="center"/>
                      <w:rPr>
                        <w:szCs w:val="21"/>
                      </w:rPr>
                    </w:pPr>
                    <w:r>
                      <w:rPr>
                        <w:rFonts w:hint="eastAsia"/>
                        <w:szCs w:val="21"/>
                      </w:rPr>
                      <w:t>202</w:t>
                    </w:r>
                    <w:r>
                      <w:rPr>
                        <w:szCs w:val="21"/>
                      </w:rPr>
                      <w:t>0</w:t>
                    </w:r>
                    <w:r>
                      <w:rPr>
                        <w:rFonts w:hint="eastAsia"/>
                        <w:szCs w:val="21"/>
                      </w:rPr>
                      <w:t>年</w:t>
                    </w:r>
                  </w:p>
                </w:tc>
              </w:sdtContent>
            </w:sdt>
          </w:tr>
          <w:tr w:rsidR="00161CE4" w:rsidTr="0057729D">
            <w:trPr>
              <w:trHeight w:val="285"/>
              <w:jc w:val="center"/>
            </w:trPr>
            <w:sdt>
              <w:sdtPr>
                <w:tag w:val="_PLD_e6322632b3594caeab1c5a7755e81efc"/>
                <w:id w:val="1052509339"/>
                <w:lock w:val="sdtLocked"/>
              </w:sdtPr>
              <w:sdtContent>
                <w:tc>
                  <w:tcPr>
                    <w:tcW w:w="1619" w:type="pct"/>
                  </w:tcPr>
                  <w:p w:rsidR="00161CE4" w:rsidRDefault="00161CE4">
                    <w:pPr>
                      <w:kinsoku w:val="0"/>
                      <w:overflowPunct w:val="0"/>
                      <w:autoSpaceDE w:val="0"/>
                      <w:autoSpaceDN w:val="0"/>
                      <w:adjustRightInd w:val="0"/>
                      <w:snapToGrid w:val="0"/>
                      <w:rPr>
                        <w:szCs w:val="21"/>
                      </w:rPr>
                    </w:pPr>
                    <w:r>
                      <w:rPr>
                        <w:rFonts w:hint="eastAsia"/>
                        <w:szCs w:val="21"/>
                      </w:rPr>
                      <w:t>营业收入</w:t>
                    </w:r>
                  </w:p>
                </w:tc>
              </w:sdtContent>
            </w:sdt>
            <w:tc>
              <w:tcPr>
                <w:tcW w:w="962" w:type="pct"/>
                <w:vAlign w:val="center"/>
              </w:tcPr>
              <w:p w:rsidR="00161CE4" w:rsidRDefault="00161CE4">
                <w:pPr>
                  <w:rPr>
                    <w:sz w:val="24"/>
                  </w:rPr>
                </w:pPr>
                <w:r>
                  <w:t>75,757,671,668</w:t>
                </w:r>
              </w:p>
            </w:tc>
            <w:tc>
              <w:tcPr>
                <w:tcW w:w="962" w:type="pct"/>
                <w:vAlign w:val="center"/>
              </w:tcPr>
              <w:p w:rsidR="00161CE4" w:rsidRDefault="00161CE4">
                <w:pPr>
                  <w:rPr>
                    <w:sz w:val="24"/>
                  </w:rPr>
                </w:pPr>
                <w:r>
                  <w:t>78,682,047,234</w:t>
                </w:r>
              </w:p>
            </w:tc>
            <w:tc>
              <w:tcPr>
                <w:tcW w:w="496" w:type="pct"/>
                <w:vAlign w:val="center"/>
              </w:tcPr>
              <w:p w:rsidR="00161CE4" w:rsidRDefault="00161CE4" w:rsidP="0082008B">
                <w:pPr>
                  <w:ind w:right="-13"/>
                  <w:jc w:val="right"/>
                  <w:rPr>
                    <w:sz w:val="24"/>
                  </w:rPr>
                </w:pPr>
                <w:r>
                  <w:t>-3.72</w:t>
                </w:r>
              </w:p>
            </w:tc>
            <w:tc>
              <w:tcPr>
                <w:tcW w:w="962" w:type="pct"/>
                <w:vAlign w:val="center"/>
              </w:tcPr>
              <w:p w:rsidR="00161CE4" w:rsidRDefault="00161CE4">
                <w:pPr>
                  <w:rPr>
                    <w:sz w:val="24"/>
                  </w:rPr>
                </w:pPr>
                <w:r>
                  <w:t>72,662,689,733</w:t>
                </w:r>
              </w:p>
            </w:tc>
          </w:tr>
          <w:tr w:rsidR="00161CE4" w:rsidTr="0057729D">
            <w:trPr>
              <w:trHeight w:val="285"/>
              <w:jc w:val="center"/>
            </w:trPr>
            <w:sdt>
              <w:sdtPr>
                <w:tag w:val="_PLD_17d11c2d9b33405b9045eb7589e09eec"/>
                <w:id w:val="-244732321"/>
                <w:lock w:val="sdtLocked"/>
              </w:sdtPr>
              <w:sdtContent>
                <w:tc>
                  <w:tcPr>
                    <w:tcW w:w="1619" w:type="pct"/>
                  </w:tcPr>
                  <w:p w:rsidR="00161CE4" w:rsidRDefault="00161CE4">
                    <w:pPr>
                      <w:kinsoku w:val="0"/>
                      <w:overflowPunct w:val="0"/>
                      <w:autoSpaceDE w:val="0"/>
                      <w:autoSpaceDN w:val="0"/>
                      <w:adjustRightInd w:val="0"/>
                      <w:snapToGrid w:val="0"/>
                      <w:rPr>
                        <w:szCs w:val="21"/>
                      </w:rPr>
                    </w:pPr>
                    <w:r>
                      <w:rPr>
                        <w:rFonts w:hint="eastAsia"/>
                        <w:szCs w:val="21"/>
                      </w:rPr>
                      <w:t>归属于上市公司股东的净利润</w:t>
                    </w:r>
                  </w:p>
                </w:tc>
              </w:sdtContent>
            </w:sdt>
            <w:tc>
              <w:tcPr>
                <w:tcW w:w="962" w:type="pct"/>
                <w:vAlign w:val="center"/>
              </w:tcPr>
              <w:p w:rsidR="00161CE4" w:rsidRDefault="00161CE4">
                <w:pPr>
                  <w:rPr>
                    <w:sz w:val="24"/>
                  </w:rPr>
                </w:pPr>
                <w:r>
                  <w:t>11,196,257,454</w:t>
                </w:r>
              </w:p>
            </w:tc>
            <w:tc>
              <w:tcPr>
                <w:tcW w:w="962" w:type="pct"/>
                <w:vAlign w:val="center"/>
              </w:tcPr>
              <w:p w:rsidR="00161CE4" w:rsidRDefault="00161CE4">
                <w:pPr>
                  <w:rPr>
                    <w:sz w:val="24"/>
                  </w:rPr>
                </w:pPr>
                <w:r>
                  <w:t>12,181,309,677</w:t>
                </w:r>
              </w:p>
            </w:tc>
            <w:tc>
              <w:tcPr>
                <w:tcW w:w="496" w:type="pct"/>
                <w:vAlign w:val="center"/>
              </w:tcPr>
              <w:p w:rsidR="00161CE4" w:rsidRDefault="00161CE4" w:rsidP="0082008B">
                <w:pPr>
                  <w:ind w:right="-13"/>
                  <w:jc w:val="right"/>
                  <w:rPr>
                    <w:sz w:val="24"/>
                  </w:rPr>
                </w:pPr>
                <w:r>
                  <w:t>-8.09</w:t>
                </w:r>
              </w:p>
            </w:tc>
            <w:tc>
              <w:tcPr>
                <w:tcW w:w="962" w:type="pct"/>
                <w:vAlign w:val="center"/>
              </w:tcPr>
              <w:p w:rsidR="00161CE4" w:rsidRDefault="00161CE4">
                <w:pPr>
                  <w:rPr>
                    <w:sz w:val="24"/>
                  </w:rPr>
                </w:pPr>
                <w:r>
                  <w:t>10,766,194,242</w:t>
                </w:r>
              </w:p>
            </w:tc>
          </w:tr>
          <w:tr w:rsidR="00161CE4" w:rsidTr="0057729D">
            <w:trPr>
              <w:trHeight w:val="285"/>
              <w:jc w:val="center"/>
            </w:trPr>
            <w:sdt>
              <w:sdtPr>
                <w:tag w:val="_PLD_2edc3c137a564aba88618b0231d4f232"/>
                <w:id w:val="-666165443"/>
                <w:lock w:val="sdtLocked"/>
              </w:sdtPr>
              <w:sdtContent>
                <w:tc>
                  <w:tcPr>
                    <w:tcW w:w="1619" w:type="pct"/>
                  </w:tcPr>
                  <w:p w:rsidR="00161CE4" w:rsidRDefault="00161CE4">
                    <w:pPr>
                      <w:kinsoku w:val="0"/>
                      <w:overflowPunct w:val="0"/>
                      <w:autoSpaceDE w:val="0"/>
                      <w:autoSpaceDN w:val="0"/>
                      <w:adjustRightInd w:val="0"/>
                      <w:snapToGrid w:val="0"/>
                      <w:rPr>
                        <w:szCs w:val="21"/>
                      </w:rPr>
                    </w:pPr>
                    <w:r>
                      <w:rPr>
                        <w:rFonts w:hint="eastAsia"/>
                        <w:szCs w:val="21"/>
                      </w:rPr>
                      <w:t>归属于上市公司股东的扣除非经常性损益的净利润</w:t>
                    </w:r>
                  </w:p>
                </w:tc>
              </w:sdtContent>
            </w:sdt>
            <w:tc>
              <w:tcPr>
                <w:tcW w:w="962" w:type="pct"/>
                <w:vAlign w:val="center"/>
              </w:tcPr>
              <w:p w:rsidR="00161CE4" w:rsidRDefault="00161CE4">
                <w:pPr>
                  <w:rPr>
                    <w:sz w:val="24"/>
                  </w:rPr>
                </w:pPr>
                <w:r>
                  <w:t>11,130,685,273</w:t>
                </w:r>
              </w:p>
            </w:tc>
            <w:tc>
              <w:tcPr>
                <w:tcW w:w="962" w:type="pct"/>
                <w:vAlign w:val="center"/>
              </w:tcPr>
              <w:p w:rsidR="00161CE4" w:rsidRDefault="00161CE4">
                <w:pPr>
                  <w:rPr>
                    <w:sz w:val="24"/>
                  </w:rPr>
                </w:pPr>
                <w:r>
                  <w:t>12,207,407,755</w:t>
                </w:r>
              </w:p>
            </w:tc>
            <w:tc>
              <w:tcPr>
                <w:tcW w:w="496" w:type="pct"/>
                <w:vAlign w:val="center"/>
              </w:tcPr>
              <w:p w:rsidR="00161CE4" w:rsidRDefault="00161CE4" w:rsidP="0082008B">
                <w:pPr>
                  <w:ind w:right="-13"/>
                  <w:jc w:val="right"/>
                  <w:rPr>
                    <w:sz w:val="24"/>
                  </w:rPr>
                </w:pPr>
                <w:r>
                  <w:t>-8.82</w:t>
                </w:r>
              </w:p>
            </w:tc>
            <w:tc>
              <w:tcPr>
                <w:tcW w:w="962" w:type="pct"/>
                <w:vAlign w:val="center"/>
              </w:tcPr>
              <w:p w:rsidR="00161CE4" w:rsidRDefault="00161CE4">
                <w:pPr>
                  <w:rPr>
                    <w:sz w:val="24"/>
                  </w:rPr>
                </w:pPr>
                <w:r>
                  <w:t>10,858,563,201</w:t>
                </w:r>
              </w:p>
            </w:tc>
          </w:tr>
          <w:tr w:rsidR="00161CE4" w:rsidTr="0057729D">
            <w:trPr>
              <w:trHeight w:val="285"/>
              <w:jc w:val="center"/>
            </w:trPr>
            <w:sdt>
              <w:sdtPr>
                <w:tag w:val="_PLD_e26583adfa0643ac904634eeb576245b"/>
                <w:id w:val="-1404067132"/>
                <w:lock w:val="sdtLocked"/>
              </w:sdtPr>
              <w:sdtContent>
                <w:tc>
                  <w:tcPr>
                    <w:tcW w:w="1619" w:type="pct"/>
                  </w:tcPr>
                  <w:p w:rsidR="00161CE4" w:rsidRDefault="00161CE4">
                    <w:pPr>
                      <w:kinsoku w:val="0"/>
                      <w:overflowPunct w:val="0"/>
                      <w:autoSpaceDE w:val="0"/>
                      <w:autoSpaceDN w:val="0"/>
                      <w:adjustRightInd w:val="0"/>
                      <w:snapToGrid w:val="0"/>
                      <w:rPr>
                        <w:szCs w:val="21"/>
                        <w:highlight w:val="magenta"/>
                      </w:rPr>
                    </w:pPr>
                    <w:r>
                      <w:rPr>
                        <w:rFonts w:hint="eastAsia"/>
                        <w:szCs w:val="21"/>
                      </w:rPr>
                      <w:t>经营活动产生的现金流量净额</w:t>
                    </w:r>
                  </w:p>
                </w:tc>
              </w:sdtContent>
            </w:sdt>
            <w:tc>
              <w:tcPr>
                <w:tcW w:w="962" w:type="pct"/>
                <w:vAlign w:val="center"/>
              </w:tcPr>
              <w:p w:rsidR="00161CE4" w:rsidRDefault="00161CE4">
                <w:pPr>
                  <w:rPr>
                    <w:sz w:val="24"/>
                  </w:rPr>
                </w:pPr>
                <w:r>
                  <w:t>16,102,106,613</w:t>
                </w:r>
              </w:p>
            </w:tc>
            <w:tc>
              <w:tcPr>
                <w:tcW w:w="962" w:type="pct"/>
                <w:vAlign w:val="center"/>
              </w:tcPr>
              <w:p w:rsidR="00161CE4" w:rsidRDefault="00161CE4">
                <w:pPr>
                  <w:rPr>
                    <w:sz w:val="24"/>
                  </w:rPr>
                </w:pPr>
                <w:r>
                  <w:t>18,898,446,858</w:t>
                </w:r>
              </w:p>
            </w:tc>
            <w:tc>
              <w:tcPr>
                <w:tcW w:w="496" w:type="pct"/>
                <w:vAlign w:val="center"/>
              </w:tcPr>
              <w:p w:rsidR="00161CE4" w:rsidRDefault="00161CE4" w:rsidP="0082008B">
                <w:pPr>
                  <w:ind w:right="-13"/>
                  <w:jc w:val="right"/>
                  <w:rPr>
                    <w:sz w:val="24"/>
                  </w:rPr>
                </w:pPr>
                <w:r>
                  <w:t>-14.80</w:t>
                </w:r>
              </w:p>
            </w:tc>
            <w:tc>
              <w:tcPr>
                <w:tcW w:w="962" w:type="pct"/>
                <w:vAlign w:val="center"/>
              </w:tcPr>
              <w:p w:rsidR="00161CE4" w:rsidRDefault="00161CE4">
                <w:pPr>
                  <w:rPr>
                    <w:sz w:val="24"/>
                  </w:rPr>
                </w:pPr>
                <w:r>
                  <w:t>12,700,221,126</w:t>
                </w:r>
              </w:p>
            </w:tc>
          </w:tr>
          <w:tr w:rsidR="00161CE4" w:rsidTr="0057729D">
            <w:trPr>
              <w:trHeight w:val="533"/>
              <w:jc w:val="center"/>
            </w:trPr>
            <w:tc>
              <w:tcPr>
                <w:tcW w:w="1619" w:type="pct"/>
              </w:tcPr>
              <w:p w:rsidR="00161CE4" w:rsidRDefault="00161CE4">
                <w:pPr>
                  <w:kinsoku w:val="0"/>
                  <w:overflowPunct w:val="0"/>
                  <w:autoSpaceDE w:val="0"/>
                  <w:autoSpaceDN w:val="0"/>
                  <w:adjustRightInd w:val="0"/>
                  <w:snapToGrid w:val="0"/>
                  <w:rPr>
                    <w:szCs w:val="21"/>
                  </w:rPr>
                </w:pPr>
              </w:p>
            </w:tc>
            <w:sdt>
              <w:sdtPr>
                <w:tag w:val="_PLD_8b9fbdc9e2634c6292801d605b122b71"/>
                <w:id w:val="-1768914263"/>
                <w:lock w:val="sdtLocked"/>
              </w:sdtPr>
              <w:sdtContent>
                <w:tc>
                  <w:tcPr>
                    <w:tcW w:w="962" w:type="pct"/>
                    <w:vAlign w:val="center"/>
                  </w:tcPr>
                  <w:p w:rsidR="00161CE4" w:rsidRDefault="00161CE4">
                    <w:pPr>
                      <w:kinsoku w:val="0"/>
                      <w:overflowPunct w:val="0"/>
                      <w:autoSpaceDE w:val="0"/>
                      <w:autoSpaceDN w:val="0"/>
                      <w:adjustRightInd w:val="0"/>
                      <w:snapToGrid w:val="0"/>
                      <w:jc w:val="center"/>
                      <w:rPr>
                        <w:szCs w:val="21"/>
                      </w:rPr>
                    </w:pPr>
                    <w:r>
                      <w:rPr>
                        <w:rFonts w:hint="eastAsia"/>
                        <w:szCs w:val="21"/>
                      </w:rPr>
                      <w:t>2022年</w:t>
                    </w:r>
                    <w:r>
                      <w:rPr>
                        <w:szCs w:val="21"/>
                      </w:rPr>
                      <w:t>末</w:t>
                    </w:r>
                  </w:p>
                </w:tc>
              </w:sdtContent>
            </w:sdt>
            <w:sdt>
              <w:sdtPr>
                <w:tag w:val="_PLD_81e66f862753453685ceebbc3f216adb"/>
                <w:id w:val="-144965486"/>
                <w:lock w:val="sdtLocked"/>
              </w:sdtPr>
              <w:sdtContent>
                <w:tc>
                  <w:tcPr>
                    <w:tcW w:w="962" w:type="pct"/>
                    <w:vAlign w:val="center"/>
                  </w:tcPr>
                  <w:p w:rsidR="00161CE4" w:rsidRDefault="00161CE4">
                    <w:pPr>
                      <w:kinsoku w:val="0"/>
                      <w:overflowPunct w:val="0"/>
                      <w:autoSpaceDE w:val="0"/>
                      <w:autoSpaceDN w:val="0"/>
                      <w:adjustRightInd w:val="0"/>
                      <w:snapToGrid w:val="0"/>
                      <w:jc w:val="center"/>
                      <w:rPr>
                        <w:szCs w:val="21"/>
                      </w:rPr>
                    </w:pPr>
                    <w:r>
                      <w:rPr>
                        <w:rFonts w:hint="eastAsia"/>
                        <w:szCs w:val="21"/>
                      </w:rPr>
                      <w:t>2021年</w:t>
                    </w:r>
                    <w:r>
                      <w:rPr>
                        <w:szCs w:val="21"/>
                      </w:rPr>
                      <w:t>末</w:t>
                    </w:r>
                  </w:p>
                </w:tc>
              </w:sdtContent>
            </w:sdt>
            <w:sdt>
              <w:sdtPr>
                <w:tag w:val="_PLD_eccdaa2d1ee940be88fdba6d8a4ef55d"/>
                <w:id w:val="732199952"/>
                <w:lock w:val="sdtLocked"/>
              </w:sdtPr>
              <w:sdtContent>
                <w:tc>
                  <w:tcPr>
                    <w:tcW w:w="496" w:type="pct"/>
                    <w:vAlign w:val="center"/>
                  </w:tcPr>
                  <w:p w:rsidR="00161CE4" w:rsidRDefault="00161CE4">
                    <w:pPr>
                      <w:kinsoku w:val="0"/>
                      <w:overflowPunct w:val="0"/>
                      <w:autoSpaceDE w:val="0"/>
                      <w:autoSpaceDN w:val="0"/>
                      <w:adjustRightInd w:val="0"/>
                      <w:snapToGrid w:val="0"/>
                      <w:jc w:val="center"/>
                      <w:rPr>
                        <w:szCs w:val="21"/>
                      </w:rPr>
                    </w:pPr>
                    <w:r>
                      <w:rPr>
                        <w:szCs w:val="21"/>
                      </w:rPr>
                      <w:t>本期末比上年同期末增减（</w:t>
                    </w:r>
                    <w:r>
                      <w:rPr>
                        <w:rFonts w:hint="eastAsia"/>
                        <w:szCs w:val="21"/>
                      </w:rPr>
                      <w:t>%</w:t>
                    </w:r>
                    <w:r>
                      <w:rPr>
                        <w:szCs w:val="21"/>
                      </w:rPr>
                      <w:t>）</w:t>
                    </w:r>
                  </w:p>
                </w:tc>
              </w:sdtContent>
            </w:sdt>
            <w:sdt>
              <w:sdtPr>
                <w:tag w:val="_PLD_3af4b93afaec4509befbcf4b19db9883"/>
                <w:id w:val="-621772301"/>
                <w:lock w:val="sdtLocked"/>
              </w:sdtPr>
              <w:sdtContent>
                <w:tc>
                  <w:tcPr>
                    <w:tcW w:w="962" w:type="pct"/>
                    <w:vAlign w:val="center"/>
                  </w:tcPr>
                  <w:p w:rsidR="00161CE4" w:rsidRDefault="00161CE4">
                    <w:pPr>
                      <w:kinsoku w:val="0"/>
                      <w:overflowPunct w:val="0"/>
                      <w:autoSpaceDE w:val="0"/>
                      <w:autoSpaceDN w:val="0"/>
                      <w:adjustRightInd w:val="0"/>
                      <w:snapToGrid w:val="0"/>
                      <w:jc w:val="center"/>
                      <w:rPr>
                        <w:szCs w:val="21"/>
                      </w:rPr>
                    </w:pPr>
                    <w:r>
                      <w:rPr>
                        <w:rFonts w:hint="eastAsia"/>
                        <w:szCs w:val="21"/>
                      </w:rPr>
                      <w:t>2020年末</w:t>
                    </w:r>
                  </w:p>
                </w:tc>
              </w:sdtContent>
            </w:sdt>
          </w:tr>
          <w:tr w:rsidR="00161CE4" w:rsidTr="0057729D">
            <w:trPr>
              <w:trHeight w:val="285"/>
              <w:jc w:val="center"/>
            </w:trPr>
            <w:sdt>
              <w:sdtPr>
                <w:tag w:val="_PLD_1257117f05a44030bdc03ae8e5b21a70"/>
                <w:id w:val="-1690677703"/>
                <w:lock w:val="sdtLocked"/>
              </w:sdtPr>
              <w:sdtContent>
                <w:tc>
                  <w:tcPr>
                    <w:tcW w:w="1619" w:type="pct"/>
                  </w:tcPr>
                  <w:p w:rsidR="00161CE4" w:rsidRDefault="00161CE4">
                    <w:pPr>
                      <w:kinsoku w:val="0"/>
                      <w:overflowPunct w:val="0"/>
                      <w:autoSpaceDE w:val="0"/>
                      <w:autoSpaceDN w:val="0"/>
                      <w:adjustRightInd w:val="0"/>
                      <w:snapToGrid w:val="0"/>
                      <w:rPr>
                        <w:szCs w:val="21"/>
                      </w:rPr>
                    </w:pPr>
                    <w:r>
                      <w:rPr>
                        <w:rFonts w:hint="eastAsia"/>
                        <w:szCs w:val="21"/>
                      </w:rPr>
                      <w:t>归属于上市公司股东的净资产</w:t>
                    </w:r>
                  </w:p>
                </w:tc>
              </w:sdtContent>
            </w:sdt>
            <w:tc>
              <w:tcPr>
                <w:tcW w:w="962" w:type="pct"/>
                <w:vAlign w:val="center"/>
              </w:tcPr>
              <w:p w:rsidR="00161CE4" w:rsidRDefault="00161CE4">
                <w:pPr>
                  <w:rPr>
                    <w:sz w:val="24"/>
                  </w:rPr>
                </w:pPr>
                <w:r>
                  <w:t>128,283,607,588</w:t>
                </w:r>
              </w:p>
            </w:tc>
            <w:tc>
              <w:tcPr>
                <w:tcW w:w="962" w:type="pct"/>
                <w:vAlign w:val="center"/>
              </w:tcPr>
              <w:p w:rsidR="00161CE4" w:rsidRDefault="00161CE4">
                <w:pPr>
                  <w:rPr>
                    <w:sz w:val="24"/>
                  </w:rPr>
                </w:pPr>
                <w:r>
                  <w:t>124,401,196,229</w:t>
                </w:r>
              </w:p>
            </w:tc>
            <w:tc>
              <w:tcPr>
                <w:tcW w:w="496" w:type="pct"/>
                <w:vAlign w:val="center"/>
              </w:tcPr>
              <w:p w:rsidR="00161CE4" w:rsidRDefault="00161CE4" w:rsidP="007B3E42">
                <w:pPr>
                  <w:jc w:val="right"/>
                  <w:rPr>
                    <w:sz w:val="24"/>
                  </w:rPr>
                </w:pPr>
                <w:r>
                  <w:t>3.12</w:t>
                </w:r>
              </w:p>
            </w:tc>
            <w:tc>
              <w:tcPr>
                <w:tcW w:w="962" w:type="pct"/>
                <w:vAlign w:val="center"/>
              </w:tcPr>
              <w:p w:rsidR="00161CE4" w:rsidRDefault="00161CE4">
                <w:pPr>
                  <w:rPr>
                    <w:sz w:val="24"/>
                  </w:rPr>
                </w:pPr>
                <w:r>
                  <w:t>124,210,285,062</w:t>
                </w:r>
              </w:p>
            </w:tc>
          </w:tr>
          <w:tr w:rsidR="00161CE4" w:rsidTr="0057729D">
            <w:trPr>
              <w:trHeight w:val="285"/>
              <w:jc w:val="center"/>
            </w:trPr>
            <w:sdt>
              <w:sdtPr>
                <w:tag w:val="_PLD_2d1128ab6991472fb0ba6892584a4be8"/>
                <w:id w:val="584420852"/>
                <w:lock w:val="sdtLocked"/>
              </w:sdtPr>
              <w:sdtContent>
                <w:tc>
                  <w:tcPr>
                    <w:tcW w:w="1619" w:type="pct"/>
                  </w:tcPr>
                  <w:p w:rsidR="00161CE4" w:rsidRDefault="00161CE4">
                    <w:pPr>
                      <w:kinsoku w:val="0"/>
                      <w:overflowPunct w:val="0"/>
                      <w:autoSpaceDE w:val="0"/>
                      <w:autoSpaceDN w:val="0"/>
                      <w:adjustRightInd w:val="0"/>
                      <w:snapToGrid w:val="0"/>
                      <w:rPr>
                        <w:szCs w:val="21"/>
                      </w:rPr>
                    </w:pPr>
                    <w:r>
                      <w:rPr>
                        <w:rFonts w:hint="eastAsia"/>
                        <w:szCs w:val="21"/>
                      </w:rPr>
                      <w:t>总资产</w:t>
                    </w:r>
                  </w:p>
                </w:tc>
              </w:sdtContent>
            </w:sdt>
            <w:tc>
              <w:tcPr>
                <w:tcW w:w="962" w:type="pct"/>
                <w:vAlign w:val="center"/>
              </w:tcPr>
              <w:p w:rsidR="00161CE4" w:rsidRDefault="00161CE4">
                <w:pPr>
                  <w:rPr>
                    <w:sz w:val="24"/>
                  </w:rPr>
                </w:pPr>
                <w:r>
                  <w:t>202,297,024,457</w:t>
                </w:r>
              </w:p>
            </w:tc>
            <w:tc>
              <w:tcPr>
                <w:tcW w:w="962" w:type="pct"/>
                <w:vAlign w:val="center"/>
              </w:tcPr>
              <w:p w:rsidR="00161CE4" w:rsidRDefault="00161CE4">
                <w:pPr>
                  <w:rPr>
                    <w:sz w:val="24"/>
                  </w:rPr>
                </w:pPr>
                <w:r>
                  <w:t>198,546,296,872</w:t>
                </w:r>
              </w:p>
            </w:tc>
            <w:tc>
              <w:tcPr>
                <w:tcW w:w="496" w:type="pct"/>
                <w:vAlign w:val="center"/>
              </w:tcPr>
              <w:p w:rsidR="00161CE4" w:rsidRDefault="00161CE4" w:rsidP="007B3E42">
                <w:pPr>
                  <w:jc w:val="right"/>
                  <w:rPr>
                    <w:sz w:val="24"/>
                  </w:rPr>
                </w:pPr>
                <w:r>
                  <w:t>1.89</w:t>
                </w:r>
              </w:p>
            </w:tc>
            <w:tc>
              <w:tcPr>
                <w:tcW w:w="962" w:type="pct"/>
                <w:vAlign w:val="center"/>
              </w:tcPr>
              <w:p w:rsidR="00161CE4" w:rsidRDefault="00161CE4">
                <w:pPr>
                  <w:rPr>
                    <w:sz w:val="24"/>
                  </w:rPr>
                </w:pPr>
                <w:r>
                  <w:t>191,142,383,888</w:t>
                </w:r>
              </w:p>
            </w:tc>
          </w:tr>
        </w:tbl>
        <w:p w:rsidR="00806678" w:rsidRPr="00BE5233" w:rsidRDefault="00F80B6C" w:rsidP="00BE5233"/>
      </w:sdtContent>
    </w:sdt>
    <w:p w:rsidR="00806678" w:rsidRDefault="00B16377">
      <w:pPr>
        <w:pStyle w:val="3"/>
        <w:numPr>
          <w:ilvl w:val="1"/>
          <w:numId w:val="2"/>
        </w:numPr>
        <w:rPr>
          <w:rFonts w:ascii="宋体" w:hAnsi="宋体"/>
          <w:szCs w:val="21"/>
        </w:rPr>
      </w:pPr>
      <w:r>
        <w:t>主要财务指标</w:t>
      </w:r>
    </w:p>
    <w:sdt>
      <w:sdtPr>
        <w:rPr>
          <w:szCs w:val="21"/>
        </w:rPr>
        <w:alias w:val="选项模块:主要财务指标(无追溯)"/>
        <w:tag w:val="_SEC_ca679c431b23410b8002c2ae2c543dab"/>
        <w:id w:val="204428189"/>
        <w:lock w:val="sdtLocked"/>
        <w:placeholder>
          <w:docPart w:val="GBC22222222222222222222222222222"/>
        </w:placeholder>
      </w:sdtPr>
      <w:sdtEndPr>
        <w:rPr>
          <w:szCs w:val="24"/>
        </w:rPr>
      </w:sdtEndPr>
      <w:sdtContent>
        <w:tbl>
          <w:tblPr>
            <w:tblStyle w:val="a6"/>
            <w:tblW w:w="5000" w:type="pct"/>
            <w:tblLook w:val="04A0"/>
          </w:tblPr>
          <w:tblGrid>
            <w:gridCol w:w="3652"/>
            <w:gridCol w:w="1133"/>
            <w:gridCol w:w="1135"/>
            <w:gridCol w:w="1985"/>
            <w:gridCol w:w="1144"/>
          </w:tblGrid>
          <w:tr w:rsidR="00806678" w:rsidTr="00384248">
            <w:sdt>
              <w:sdtPr>
                <w:rPr>
                  <w:szCs w:val="21"/>
                </w:rPr>
                <w:tag w:val="_PLD_a5c59cd3e5544374a4bd7ceda5f62092"/>
                <w:id w:val="1456667847"/>
                <w:lock w:val="sdtLocked"/>
              </w:sdtPr>
              <w:sdtEndPr>
                <w:rPr>
                  <w:szCs w:val="24"/>
                </w:rPr>
              </w:sdtEndPr>
              <w:sdtContent>
                <w:tc>
                  <w:tcPr>
                    <w:tcW w:w="2018" w:type="pct"/>
                    <w:vAlign w:val="center"/>
                  </w:tcPr>
                  <w:p w:rsidR="00806678" w:rsidRDefault="00B16377">
                    <w:pPr>
                      <w:kinsoku w:val="0"/>
                      <w:overflowPunct w:val="0"/>
                      <w:autoSpaceDE w:val="0"/>
                      <w:autoSpaceDN w:val="0"/>
                      <w:adjustRightInd w:val="0"/>
                      <w:snapToGrid w:val="0"/>
                      <w:jc w:val="center"/>
                      <w:rPr>
                        <w:szCs w:val="21"/>
                      </w:rPr>
                    </w:pPr>
                    <w:r>
                      <w:rPr>
                        <w:szCs w:val="21"/>
                      </w:rPr>
                      <w:t>主要财务指标</w:t>
                    </w:r>
                  </w:p>
                </w:tc>
              </w:sdtContent>
            </w:sdt>
            <w:sdt>
              <w:sdtPr>
                <w:tag w:val="_PLD_1a1e4f34f77949538a9c656b241499b6"/>
                <w:id w:val="-980845196"/>
                <w:lock w:val="sdtLocked"/>
              </w:sdtPr>
              <w:sdtContent>
                <w:tc>
                  <w:tcPr>
                    <w:tcW w:w="626" w:type="pct"/>
                    <w:vAlign w:val="center"/>
                  </w:tcPr>
                  <w:p w:rsidR="00806678" w:rsidRDefault="00B16377">
                    <w:pPr>
                      <w:kinsoku w:val="0"/>
                      <w:overflowPunct w:val="0"/>
                      <w:autoSpaceDE w:val="0"/>
                      <w:autoSpaceDN w:val="0"/>
                      <w:adjustRightInd w:val="0"/>
                      <w:snapToGrid w:val="0"/>
                      <w:jc w:val="center"/>
                      <w:rPr>
                        <w:szCs w:val="21"/>
                      </w:rPr>
                    </w:pPr>
                    <w:r>
                      <w:rPr>
                        <w:rFonts w:hint="eastAsia"/>
                        <w:szCs w:val="21"/>
                      </w:rPr>
                      <w:t>2022年</w:t>
                    </w:r>
                  </w:p>
                </w:tc>
              </w:sdtContent>
            </w:sdt>
            <w:sdt>
              <w:sdtPr>
                <w:tag w:val="_PLD_9310148e9c2c4e968f8a8cf7147fc9a7"/>
                <w:id w:val="734824076"/>
                <w:lock w:val="sdtLocked"/>
              </w:sdtPr>
              <w:sdtContent>
                <w:tc>
                  <w:tcPr>
                    <w:tcW w:w="627" w:type="pct"/>
                    <w:vAlign w:val="center"/>
                  </w:tcPr>
                  <w:p w:rsidR="00806678" w:rsidRDefault="00B16377">
                    <w:pPr>
                      <w:kinsoku w:val="0"/>
                      <w:overflowPunct w:val="0"/>
                      <w:autoSpaceDE w:val="0"/>
                      <w:autoSpaceDN w:val="0"/>
                      <w:adjustRightInd w:val="0"/>
                      <w:snapToGrid w:val="0"/>
                      <w:jc w:val="center"/>
                      <w:rPr>
                        <w:szCs w:val="21"/>
                      </w:rPr>
                    </w:pPr>
                    <w:r>
                      <w:rPr>
                        <w:rFonts w:hint="eastAsia"/>
                        <w:szCs w:val="21"/>
                      </w:rPr>
                      <w:t>2021年</w:t>
                    </w:r>
                  </w:p>
                </w:tc>
              </w:sdtContent>
            </w:sdt>
            <w:sdt>
              <w:sdtPr>
                <w:tag w:val="_PLD_5901f5518cb6434888ae838febb8af68"/>
                <w:id w:val="136157871"/>
                <w:lock w:val="sdtLocked"/>
              </w:sdtPr>
              <w:sdtContent>
                <w:tc>
                  <w:tcPr>
                    <w:tcW w:w="1097" w:type="pct"/>
                    <w:vAlign w:val="center"/>
                  </w:tcPr>
                  <w:p w:rsidR="00806678" w:rsidRDefault="00B16377">
                    <w:pPr>
                      <w:kinsoku w:val="0"/>
                      <w:overflowPunct w:val="0"/>
                      <w:autoSpaceDE w:val="0"/>
                      <w:autoSpaceDN w:val="0"/>
                      <w:adjustRightInd w:val="0"/>
                      <w:snapToGrid w:val="0"/>
                      <w:jc w:val="center"/>
                      <w:rPr>
                        <w:szCs w:val="21"/>
                      </w:rPr>
                    </w:pPr>
                    <w:r>
                      <w:rPr>
                        <w:szCs w:val="21"/>
                      </w:rPr>
                      <w:t>本期比上年同期增减(%)</w:t>
                    </w:r>
                  </w:p>
                </w:tc>
              </w:sdtContent>
            </w:sdt>
            <w:sdt>
              <w:sdtPr>
                <w:tag w:val="_PLD_437266ed462e4dd1873b86621495169c"/>
                <w:id w:val="-2017061781"/>
                <w:lock w:val="sdtLocked"/>
              </w:sdtPr>
              <w:sdtContent>
                <w:tc>
                  <w:tcPr>
                    <w:tcW w:w="632" w:type="pct"/>
                    <w:vAlign w:val="center"/>
                  </w:tcPr>
                  <w:p w:rsidR="00806678" w:rsidRDefault="00B16377">
                    <w:pPr>
                      <w:kinsoku w:val="0"/>
                      <w:overflowPunct w:val="0"/>
                      <w:autoSpaceDE w:val="0"/>
                      <w:autoSpaceDN w:val="0"/>
                      <w:adjustRightInd w:val="0"/>
                      <w:snapToGrid w:val="0"/>
                      <w:jc w:val="center"/>
                      <w:rPr>
                        <w:szCs w:val="21"/>
                      </w:rPr>
                    </w:pPr>
                    <w:r>
                      <w:rPr>
                        <w:rFonts w:hint="eastAsia"/>
                        <w:szCs w:val="21"/>
                      </w:rPr>
                      <w:t>2020年</w:t>
                    </w:r>
                  </w:p>
                </w:tc>
              </w:sdtContent>
            </w:sdt>
          </w:tr>
          <w:tr w:rsidR="00384248" w:rsidTr="00384248">
            <w:sdt>
              <w:sdtPr>
                <w:tag w:val="_PLD_d2029c032d9941d88b63fd2cb7b877be"/>
                <w:id w:val="-1408215084"/>
                <w:lock w:val="sdtLocked"/>
              </w:sdtPr>
              <w:sdtContent>
                <w:tc>
                  <w:tcPr>
                    <w:tcW w:w="2018" w:type="pct"/>
                  </w:tcPr>
                  <w:p w:rsidR="00384248" w:rsidRDefault="00384248">
                    <w:pPr>
                      <w:kinsoku w:val="0"/>
                      <w:overflowPunct w:val="0"/>
                      <w:autoSpaceDE w:val="0"/>
                      <w:autoSpaceDN w:val="0"/>
                      <w:adjustRightInd w:val="0"/>
                      <w:snapToGrid w:val="0"/>
                      <w:rPr>
                        <w:szCs w:val="21"/>
                      </w:rPr>
                    </w:pPr>
                    <w:r>
                      <w:rPr>
                        <w:szCs w:val="21"/>
                      </w:rPr>
                      <w:t>基本每股收益（元／股）</w:t>
                    </w:r>
                  </w:p>
                </w:tc>
              </w:sdtContent>
            </w:sdt>
            <w:tc>
              <w:tcPr>
                <w:tcW w:w="626" w:type="pct"/>
                <w:vAlign w:val="center"/>
              </w:tcPr>
              <w:p w:rsidR="00384248" w:rsidRDefault="00384248" w:rsidP="00384248">
                <w:pPr>
                  <w:jc w:val="center"/>
                  <w:rPr>
                    <w:sz w:val="24"/>
                  </w:rPr>
                </w:pPr>
                <w:r>
                  <w:t>0.75</w:t>
                </w:r>
              </w:p>
            </w:tc>
            <w:tc>
              <w:tcPr>
                <w:tcW w:w="627" w:type="pct"/>
                <w:vAlign w:val="center"/>
              </w:tcPr>
              <w:p w:rsidR="00384248" w:rsidRDefault="00384248" w:rsidP="00384248">
                <w:pPr>
                  <w:jc w:val="center"/>
                  <w:rPr>
                    <w:sz w:val="24"/>
                  </w:rPr>
                </w:pPr>
                <w:r>
                  <w:t>0.82</w:t>
                </w:r>
              </w:p>
            </w:tc>
            <w:tc>
              <w:tcPr>
                <w:tcW w:w="1097" w:type="pct"/>
                <w:vAlign w:val="center"/>
              </w:tcPr>
              <w:p w:rsidR="00384248" w:rsidRDefault="00384248" w:rsidP="00384248">
                <w:pPr>
                  <w:jc w:val="center"/>
                  <w:rPr>
                    <w:sz w:val="24"/>
                  </w:rPr>
                </w:pPr>
                <w:r>
                  <w:t>-8.54</w:t>
                </w:r>
              </w:p>
            </w:tc>
            <w:tc>
              <w:tcPr>
                <w:tcW w:w="632" w:type="pct"/>
                <w:vAlign w:val="center"/>
              </w:tcPr>
              <w:p w:rsidR="00384248" w:rsidRDefault="00384248" w:rsidP="007B3E42">
                <w:pPr>
                  <w:jc w:val="right"/>
                  <w:rPr>
                    <w:sz w:val="24"/>
                  </w:rPr>
                </w:pPr>
                <w:r>
                  <w:t>0.72</w:t>
                </w:r>
              </w:p>
            </w:tc>
          </w:tr>
          <w:tr w:rsidR="00384248" w:rsidTr="00384248">
            <w:sdt>
              <w:sdtPr>
                <w:tag w:val="_PLD_806ab82e1b1a468183667d9f85129f9f"/>
                <w:id w:val="-1547676547"/>
                <w:lock w:val="sdtLocked"/>
              </w:sdtPr>
              <w:sdtContent>
                <w:tc>
                  <w:tcPr>
                    <w:tcW w:w="2018" w:type="pct"/>
                  </w:tcPr>
                  <w:p w:rsidR="00384248" w:rsidRDefault="00384248">
                    <w:pPr>
                      <w:kinsoku w:val="0"/>
                      <w:overflowPunct w:val="0"/>
                      <w:autoSpaceDE w:val="0"/>
                      <w:autoSpaceDN w:val="0"/>
                      <w:adjustRightInd w:val="0"/>
                      <w:snapToGrid w:val="0"/>
                      <w:rPr>
                        <w:szCs w:val="21"/>
                      </w:rPr>
                    </w:pPr>
                    <w:r>
                      <w:rPr>
                        <w:szCs w:val="21"/>
                      </w:rPr>
                      <w:t>稀释每股收益（元／股）</w:t>
                    </w:r>
                  </w:p>
                </w:tc>
              </w:sdtContent>
            </w:sdt>
            <w:tc>
              <w:tcPr>
                <w:tcW w:w="626" w:type="pct"/>
                <w:vAlign w:val="center"/>
              </w:tcPr>
              <w:p w:rsidR="00384248" w:rsidRDefault="00384248" w:rsidP="00384248">
                <w:pPr>
                  <w:jc w:val="center"/>
                  <w:rPr>
                    <w:sz w:val="24"/>
                  </w:rPr>
                </w:pPr>
                <w:r>
                  <w:t>0.61</w:t>
                </w:r>
              </w:p>
            </w:tc>
            <w:tc>
              <w:tcPr>
                <w:tcW w:w="627" w:type="pct"/>
                <w:vAlign w:val="center"/>
              </w:tcPr>
              <w:p w:rsidR="00384248" w:rsidRDefault="00384248" w:rsidP="00384248">
                <w:pPr>
                  <w:jc w:val="center"/>
                  <w:rPr>
                    <w:sz w:val="24"/>
                  </w:rPr>
                </w:pPr>
                <w:r>
                  <w:t>0.69</w:t>
                </w:r>
              </w:p>
            </w:tc>
            <w:tc>
              <w:tcPr>
                <w:tcW w:w="1097" w:type="pct"/>
                <w:vAlign w:val="center"/>
              </w:tcPr>
              <w:p w:rsidR="00384248" w:rsidRDefault="00384248" w:rsidP="00384248">
                <w:pPr>
                  <w:jc w:val="center"/>
                  <w:rPr>
                    <w:sz w:val="24"/>
                  </w:rPr>
                </w:pPr>
                <w:r>
                  <w:t>-11.59</w:t>
                </w:r>
              </w:p>
            </w:tc>
            <w:tc>
              <w:tcPr>
                <w:tcW w:w="632" w:type="pct"/>
                <w:vAlign w:val="center"/>
              </w:tcPr>
              <w:p w:rsidR="00384248" w:rsidRDefault="00384248" w:rsidP="007B3E42">
                <w:pPr>
                  <w:jc w:val="right"/>
                  <w:rPr>
                    <w:sz w:val="24"/>
                  </w:rPr>
                </w:pPr>
                <w:r>
                  <w:t>0.72</w:t>
                </w:r>
              </w:p>
            </w:tc>
          </w:tr>
          <w:tr w:rsidR="00384248" w:rsidTr="00384248">
            <w:sdt>
              <w:sdtPr>
                <w:tag w:val="_PLD_a7a69c7a48d54fb690056285f916f579"/>
                <w:id w:val="-1526319804"/>
                <w:lock w:val="sdtLocked"/>
              </w:sdtPr>
              <w:sdtContent>
                <w:tc>
                  <w:tcPr>
                    <w:tcW w:w="2018" w:type="pct"/>
                  </w:tcPr>
                  <w:p w:rsidR="00384248" w:rsidRDefault="00384248">
                    <w:pPr>
                      <w:kinsoku w:val="0"/>
                      <w:overflowPunct w:val="0"/>
                      <w:autoSpaceDE w:val="0"/>
                      <w:autoSpaceDN w:val="0"/>
                      <w:adjustRightInd w:val="0"/>
                      <w:snapToGrid w:val="0"/>
                      <w:rPr>
                        <w:szCs w:val="21"/>
                      </w:rPr>
                    </w:pPr>
                    <w:r>
                      <w:rPr>
                        <w:szCs w:val="21"/>
                      </w:rPr>
                      <w:t>扣除非经常性损益后的基本每股收益（元／股）</w:t>
                    </w:r>
                  </w:p>
                </w:tc>
              </w:sdtContent>
            </w:sdt>
            <w:tc>
              <w:tcPr>
                <w:tcW w:w="626" w:type="pct"/>
                <w:vAlign w:val="center"/>
              </w:tcPr>
              <w:p w:rsidR="00384248" w:rsidRDefault="00384248" w:rsidP="00384248">
                <w:pPr>
                  <w:jc w:val="center"/>
                  <w:rPr>
                    <w:sz w:val="24"/>
                  </w:rPr>
                </w:pPr>
                <w:r w:rsidRPr="00044ECC">
                  <w:t>0.7</w:t>
                </w:r>
                <w:r w:rsidR="00044ECC" w:rsidRPr="00044ECC">
                  <w:t>5</w:t>
                </w:r>
              </w:p>
            </w:tc>
            <w:tc>
              <w:tcPr>
                <w:tcW w:w="627" w:type="pct"/>
                <w:vAlign w:val="center"/>
              </w:tcPr>
              <w:p w:rsidR="00384248" w:rsidRDefault="00384248" w:rsidP="00384248">
                <w:pPr>
                  <w:jc w:val="center"/>
                  <w:rPr>
                    <w:sz w:val="24"/>
                  </w:rPr>
                </w:pPr>
                <w:r>
                  <w:t>0.82</w:t>
                </w:r>
              </w:p>
            </w:tc>
            <w:tc>
              <w:tcPr>
                <w:tcW w:w="1097" w:type="pct"/>
                <w:vAlign w:val="center"/>
              </w:tcPr>
              <w:p w:rsidR="00384248" w:rsidRDefault="00384248" w:rsidP="00384248">
                <w:pPr>
                  <w:jc w:val="center"/>
                  <w:rPr>
                    <w:sz w:val="24"/>
                  </w:rPr>
                </w:pPr>
                <w:r w:rsidRPr="00044ECC">
                  <w:t>-</w:t>
                </w:r>
                <w:r w:rsidR="00044ECC" w:rsidRPr="00044ECC">
                  <w:t>8.54</w:t>
                </w:r>
              </w:p>
            </w:tc>
            <w:tc>
              <w:tcPr>
                <w:tcW w:w="632" w:type="pct"/>
                <w:vAlign w:val="center"/>
              </w:tcPr>
              <w:p w:rsidR="00384248" w:rsidRDefault="00384248" w:rsidP="007B3E42">
                <w:pPr>
                  <w:jc w:val="right"/>
                  <w:rPr>
                    <w:sz w:val="24"/>
                  </w:rPr>
                </w:pPr>
                <w:r>
                  <w:t>0.73</w:t>
                </w:r>
              </w:p>
            </w:tc>
          </w:tr>
          <w:tr w:rsidR="00384248" w:rsidTr="00384248">
            <w:sdt>
              <w:sdtPr>
                <w:tag w:val="_PLD_83b5ea80f39c406c95219d8487076098"/>
                <w:id w:val="-903220638"/>
                <w:lock w:val="sdtLocked"/>
              </w:sdtPr>
              <w:sdtContent>
                <w:tc>
                  <w:tcPr>
                    <w:tcW w:w="2018" w:type="pct"/>
                  </w:tcPr>
                  <w:p w:rsidR="00384248" w:rsidRDefault="00384248">
                    <w:pPr>
                      <w:kinsoku w:val="0"/>
                      <w:overflowPunct w:val="0"/>
                      <w:autoSpaceDE w:val="0"/>
                      <w:autoSpaceDN w:val="0"/>
                      <w:adjustRightInd w:val="0"/>
                      <w:snapToGrid w:val="0"/>
                      <w:rPr>
                        <w:szCs w:val="21"/>
                      </w:rPr>
                    </w:pPr>
                    <w:r>
                      <w:rPr>
                        <w:szCs w:val="21"/>
                      </w:rPr>
                      <w:t>加权平均净资产收益率（%）</w:t>
                    </w:r>
                  </w:p>
                </w:tc>
              </w:sdtContent>
            </w:sdt>
            <w:tc>
              <w:tcPr>
                <w:tcW w:w="626" w:type="pct"/>
                <w:vAlign w:val="center"/>
              </w:tcPr>
              <w:p w:rsidR="00384248" w:rsidRDefault="00384248" w:rsidP="00384248">
                <w:pPr>
                  <w:jc w:val="center"/>
                  <w:rPr>
                    <w:color w:val="000000"/>
                    <w:szCs w:val="21"/>
                  </w:rPr>
                </w:pPr>
                <w:r>
                  <w:rPr>
                    <w:rFonts w:hint="eastAsia"/>
                    <w:color w:val="000000"/>
                    <w:szCs w:val="21"/>
                  </w:rPr>
                  <w:t>8.90</w:t>
                </w:r>
              </w:p>
            </w:tc>
            <w:tc>
              <w:tcPr>
                <w:tcW w:w="627" w:type="pct"/>
                <w:vAlign w:val="center"/>
              </w:tcPr>
              <w:p w:rsidR="00384248" w:rsidRDefault="00384248" w:rsidP="00384248">
                <w:pPr>
                  <w:jc w:val="center"/>
                  <w:rPr>
                    <w:color w:val="000000"/>
                    <w:szCs w:val="21"/>
                  </w:rPr>
                </w:pPr>
                <w:r>
                  <w:rPr>
                    <w:rFonts w:hint="eastAsia"/>
                    <w:color w:val="000000"/>
                    <w:szCs w:val="21"/>
                  </w:rPr>
                  <w:t>9.94</w:t>
                </w:r>
              </w:p>
            </w:tc>
            <w:tc>
              <w:tcPr>
                <w:tcW w:w="1097" w:type="pct"/>
              </w:tcPr>
              <w:p w:rsidR="00384248" w:rsidRDefault="00384248">
                <w:pPr>
                  <w:kinsoku w:val="0"/>
                  <w:overflowPunct w:val="0"/>
                  <w:autoSpaceDE w:val="0"/>
                  <w:autoSpaceDN w:val="0"/>
                  <w:adjustRightInd w:val="0"/>
                  <w:snapToGrid w:val="0"/>
                  <w:jc w:val="right"/>
                  <w:rPr>
                    <w:szCs w:val="21"/>
                  </w:rPr>
                </w:pPr>
                <w:r>
                  <w:rPr>
                    <w:rFonts w:hint="eastAsia"/>
                    <w:szCs w:val="21"/>
                  </w:rPr>
                  <w:t>减少</w:t>
                </w:r>
                <w:r>
                  <w:rPr>
                    <w:szCs w:val="21"/>
                  </w:rPr>
                  <w:t>1.04个百分点</w:t>
                </w:r>
              </w:p>
            </w:tc>
            <w:tc>
              <w:tcPr>
                <w:tcW w:w="632" w:type="pct"/>
              </w:tcPr>
              <w:p w:rsidR="00384248" w:rsidRDefault="00384248" w:rsidP="007B3E42">
                <w:pPr>
                  <w:kinsoku w:val="0"/>
                  <w:overflowPunct w:val="0"/>
                  <w:autoSpaceDE w:val="0"/>
                  <w:autoSpaceDN w:val="0"/>
                  <w:adjustRightInd w:val="0"/>
                  <w:snapToGrid w:val="0"/>
                  <w:jc w:val="right"/>
                  <w:rPr>
                    <w:szCs w:val="21"/>
                  </w:rPr>
                </w:pPr>
                <w:r>
                  <w:rPr>
                    <w:rFonts w:hint="eastAsia"/>
                    <w:szCs w:val="21"/>
                  </w:rPr>
                  <w:t>9.08</w:t>
                </w:r>
              </w:p>
            </w:tc>
          </w:tr>
          <w:tr w:rsidR="00384248" w:rsidTr="00384248">
            <w:sdt>
              <w:sdtPr>
                <w:tag w:val="_PLD_a1253a26569144748535d650731774ce"/>
                <w:id w:val="441419298"/>
                <w:lock w:val="sdtLocked"/>
              </w:sdtPr>
              <w:sdtContent>
                <w:tc>
                  <w:tcPr>
                    <w:tcW w:w="2018" w:type="pct"/>
                  </w:tcPr>
                  <w:p w:rsidR="00384248" w:rsidRDefault="00384248">
                    <w:pPr>
                      <w:kinsoku w:val="0"/>
                      <w:overflowPunct w:val="0"/>
                      <w:autoSpaceDE w:val="0"/>
                      <w:autoSpaceDN w:val="0"/>
                      <w:adjustRightInd w:val="0"/>
                      <w:snapToGrid w:val="0"/>
                      <w:rPr>
                        <w:szCs w:val="21"/>
                      </w:rPr>
                    </w:pPr>
                    <w:r>
                      <w:rPr>
                        <w:szCs w:val="21"/>
                      </w:rPr>
                      <w:t>扣除非经常性损益后的加权平均净资产收益率（%）</w:t>
                    </w:r>
                  </w:p>
                </w:tc>
              </w:sdtContent>
            </w:sdt>
            <w:tc>
              <w:tcPr>
                <w:tcW w:w="626" w:type="pct"/>
                <w:vAlign w:val="center"/>
              </w:tcPr>
              <w:p w:rsidR="00384248" w:rsidRDefault="00384248" w:rsidP="00384248">
                <w:pPr>
                  <w:jc w:val="center"/>
                  <w:rPr>
                    <w:sz w:val="24"/>
                  </w:rPr>
                </w:pPr>
                <w:r>
                  <w:t>8.85</w:t>
                </w:r>
              </w:p>
            </w:tc>
            <w:tc>
              <w:tcPr>
                <w:tcW w:w="627" w:type="pct"/>
                <w:vAlign w:val="center"/>
              </w:tcPr>
              <w:p w:rsidR="00384248" w:rsidRDefault="00384248" w:rsidP="00384248">
                <w:pPr>
                  <w:jc w:val="center"/>
                  <w:rPr>
                    <w:sz w:val="24"/>
                  </w:rPr>
                </w:pPr>
                <w:r>
                  <w:t>9.96</w:t>
                </w:r>
              </w:p>
            </w:tc>
            <w:tc>
              <w:tcPr>
                <w:tcW w:w="1097" w:type="pct"/>
              </w:tcPr>
              <w:p w:rsidR="00384248" w:rsidRDefault="00384248">
                <w:pPr>
                  <w:kinsoku w:val="0"/>
                  <w:overflowPunct w:val="0"/>
                  <w:autoSpaceDE w:val="0"/>
                  <w:autoSpaceDN w:val="0"/>
                  <w:adjustRightInd w:val="0"/>
                  <w:snapToGrid w:val="0"/>
                  <w:jc w:val="right"/>
                  <w:rPr>
                    <w:szCs w:val="21"/>
                  </w:rPr>
                </w:pPr>
                <w:r>
                  <w:rPr>
                    <w:rFonts w:hint="eastAsia"/>
                    <w:szCs w:val="21"/>
                  </w:rPr>
                  <w:t>减少</w:t>
                </w:r>
                <w:r>
                  <w:rPr>
                    <w:szCs w:val="21"/>
                  </w:rPr>
                  <w:t>1.11个百分点</w:t>
                </w:r>
              </w:p>
            </w:tc>
            <w:tc>
              <w:tcPr>
                <w:tcW w:w="632" w:type="pct"/>
              </w:tcPr>
              <w:p w:rsidR="00384248" w:rsidRDefault="00384248" w:rsidP="007B3E42">
                <w:pPr>
                  <w:kinsoku w:val="0"/>
                  <w:overflowPunct w:val="0"/>
                  <w:autoSpaceDE w:val="0"/>
                  <w:autoSpaceDN w:val="0"/>
                  <w:adjustRightInd w:val="0"/>
                  <w:snapToGrid w:val="0"/>
                  <w:jc w:val="right"/>
                  <w:rPr>
                    <w:szCs w:val="21"/>
                  </w:rPr>
                </w:pPr>
                <w:r>
                  <w:rPr>
                    <w:rFonts w:hint="eastAsia"/>
                    <w:szCs w:val="21"/>
                  </w:rPr>
                  <w:t>9.15</w:t>
                </w:r>
              </w:p>
            </w:tc>
          </w:tr>
        </w:tbl>
        <w:p w:rsidR="00806678" w:rsidRPr="009134A1" w:rsidRDefault="00F80B6C" w:rsidP="009134A1"/>
      </w:sdtContent>
    </w:sdt>
    <w:sdt>
      <w:sdtPr>
        <w:alias w:val="模块:公司主要会计数据和财务指标的说明"/>
        <w:tag w:val="_SEC_e0c1d174841549508433e1bc7cb4c9d5"/>
        <w:id w:val="29937432"/>
        <w:lock w:val="sdtLocked"/>
        <w:placeholder>
          <w:docPart w:val="GBC22222222222222222222222222222"/>
        </w:placeholder>
      </w:sdtPr>
      <w:sdtContent>
        <w:p w:rsidR="00806678" w:rsidRDefault="00B16377">
          <w:pPr>
            <w:rPr>
              <w:szCs w:val="21"/>
            </w:rPr>
          </w:pPr>
          <w:r>
            <w:rPr>
              <w:rFonts w:hint="eastAsia"/>
              <w:szCs w:val="21"/>
            </w:rPr>
            <w:t>报告期末公司前三年主要会计数据和财务指标的说明</w:t>
          </w:r>
        </w:p>
        <w:sdt>
          <w:sdtPr>
            <w:rPr>
              <w:szCs w:val="21"/>
            </w:rPr>
            <w:alias w:val="是否适用：报告期末公司前三年主要会计数据和财务指标的说明[双击切换]"/>
            <w:tag w:val="_GBC_d855ab48af34454bb263a03266267a43"/>
            <w:id w:val="-1787967000"/>
            <w:lock w:val="sdtLocked"/>
            <w:placeholder>
              <w:docPart w:val="GBC22222222222222222222222222222"/>
            </w:placeholder>
          </w:sdtPr>
          <w:sdtContent>
            <w:p w:rsidR="00806678" w:rsidRDefault="00F80B6C" w:rsidP="007451B2">
              <w:r>
                <w:rPr>
                  <w:szCs w:val="21"/>
                </w:rPr>
                <w:fldChar w:fldCharType="begin"/>
              </w:r>
              <w:r w:rsidR="007451B2">
                <w:rPr>
                  <w:szCs w:val="21"/>
                </w:rPr>
                <w:instrText xml:space="preserve">MACROBUTTON  SnrToggleCheckbox □适用 </w:instrText>
              </w:r>
              <w:r>
                <w:rPr>
                  <w:szCs w:val="21"/>
                </w:rPr>
                <w:fldChar w:fldCharType="end"/>
              </w:r>
              <w:r>
                <w:rPr>
                  <w:szCs w:val="21"/>
                </w:rPr>
                <w:fldChar w:fldCharType="begin"/>
              </w:r>
              <w:r w:rsidR="007451B2">
                <w:rPr>
                  <w:szCs w:val="21"/>
                </w:rPr>
                <w:instrText xml:space="preserve"> MACROBUTTON  SnrToggleCheckbox √不适用 </w:instrText>
              </w:r>
              <w:r>
                <w:rPr>
                  <w:szCs w:val="21"/>
                </w:rPr>
                <w:fldChar w:fldCharType="end"/>
              </w:r>
            </w:p>
          </w:sdtContent>
        </w:sdt>
      </w:sdtContent>
    </w:sdt>
    <w:p w:rsidR="00806678" w:rsidRDefault="00B16377">
      <w:pPr>
        <w:pStyle w:val="2"/>
        <w:numPr>
          <w:ilvl w:val="1"/>
          <w:numId w:val="4"/>
        </w:numPr>
        <w:ind w:left="498" w:hangingChars="236" w:hanging="498"/>
      </w:pPr>
      <w:r>
        <w:rPr>
          <w:rFonts w:hint="eastAsia"/>
        </w:rPr>
        <w:t>境内外会计准则下会计数据差异</w:t>
      </w:r>
    </w:p>
    <w:sdt>
      <w:sdtPr>
        <w:rPr>
          <w:rFonts w:ascii="宋体" w:hAnsi="宋体" w:cs="宋体" w:hint="eastAsia"/>
          <w:b w:val="0"/>
          <w:bCs w:val="0"/>
          <w:kern w:val="0"/>
          <w:szCs w:val="21"/>
        </w:rPr>
        <w:alias w:val="模块:同时按照国际会计准则与按中国会计准则披露的差异"/>
        <w:tag w:val="_SEC_cd4f769de8434e6fa625c3e1e3edf9f8"/>
        <w:id w:val="-1729528852"/>
        <w:lock w:val="sdtLocked"/>
        <w:placeholder>
          <w:docPart w:val="GBC22222222222222222222222222222"/>
        </w:placeholder>
      </w:sdtPr>
      <w:sdtEndPr>
        <w:rPr>
          <w:szCs w:val="24"/>
        </w:rPr>
      </w:sdtEndPr>
      <w:sdtContent>
        <w:p w:rsidR="00806678" w:rsidRDefault="00B16377">
          <w:pPr>
            <w:pStyle w:val="3"/>
            <w:numPr>
              <w:ilvl w:val="0"/>
              <w:numId w:val="7"/>
            </w:numPr>
            <w:rPr>
              <w:szCs w:val="21"/>
            </w:rPr>
          </w:pPr>
          <w:r>
            <w:rPr>
              <w:rFonts w:hint="eastAsia"/>
              <w:szCs w:val="21"/>
            </w:rPr>
            <w:t>同时按照国际会计准则与按中国会计准则披露的财务报告中净利润和归属于上市公司股东的净资产差异情况</w:t>
          </w:r>
        </w:p>
        <w:sdt>
          <w:sdtPr>
            <w:rPr>
              <w:szCs w:val="21"/>
            </w:rPr>
            <w:alias w:val="是否适用：同时按照国际会计准则与按中国会计准则披露的财务报告中净利润和净资产差异情况[双击切换]"/>
            <w:tag w:val="_GBC_bb9cf96a724c468d909aca01e1066e6b"/>
            <w:id w:val="-480389758"/>
            <w:lock w:val="sdtLocked"/>
            <w:placeholder>
              <w:docPart w:val="GBC22222222222222222222222222222"/>
            </w:placeholder>
          </w:sdtPr>
          <w:sdtContent>
            <w:p w:rsidR="00806678" w:rsidRDefault="00F80B6C" w:rsidP="00CB47B3">
              <w:r>
                <w:rPr>
                  <w:szCs w:val="21"/>
                </w:rPr>
                <w:fldChar w:fldCharType="begin"/>
              </w:r>
              <w:r w:rsidR="00CB47B3">
                <w:rPr>
                  <w:szCs w:val="21"/>
                </w:rPr>
                <w:instrText xml:space="preserve">MACROBUTTON  SnrToggleCheckbox □适用 </w:instrText>
              </w:r>
              <w:r>
                <w:rPr>
                  <w:szCs w:val="21"/>
                </w:rPr>
                <w:fldChar w:fldCharType="end"/>
              </w:r>
              <w:r>
                <w:rPr>
                  <w:szCs w:val="21"/>
                </w:rPr>
                <w:fldChar w:fldCharType="begin"/>
              </w:r>
              <w:r w:rsidR="00CB47B3">
                <w:rPr>
                  <w:szCs w:val="21"/>
                </w:rPr>
                <w:instrText xml:space="preserve"> MACROBUTTON  SnrToggleCheckbox √不适用 </w:instrText>
              </w:r>
              <w:r>
                <w:rPr>
                  <w:szCs w:val="21"/>
                </w:rPr>
                <w:fldChar w:fldCharType="end"/>
              </w:r>
            </w:p>
          </w:sdtContent>
        </w:sdt>
      </w:sdtContent>
    </w:sdt>
    <w:sdt>
      <w:sdtPr>
        <w:rPr>
          <w:rFonts w:ascii="宋体" w:hAnsi="宋体" w:cs="宋体"/>
          <w:b w:val="0"/>
          <w:bCs w:val="0"/>
          <w:kern w:val="0"/>
          <w:szCs w:val="21"/>
        </w:rPr>
        <w:alias w:val="模块:同时按照境外会计准则与按中国会计准则披露的差异"/>
        <w:tag w:val="_SEC_443550478d2c4f8ca34d8b799ef01903"/>
        <w:id w:val="-1676956996"/>
        <w:lock w:val="sdtLocked"/>
        <w:placeholder>
          <w:docPart w:val="GBC22222222222222222222222222222"/>
        </w:placeholder>
      </w:sdtPr>
      <w:sdtEndPr>
        <w:rPr>
          <w:rFonts w:hint="eastAsia"/>
          <w:szCs w:val="24"/>
        </w:rPr>
      </w:sdtEndPr>
      <w:sdtContent>
        <w:p w:rsidR="00806678" w:rsidRDefault="00B16377">
          <w:pPr>
            <w:pStyle w:val="3"/>
            <w:numPr>
              <w:ilvl w:val="0"/>
              <w:numId w:val="7"/>
            </w:numPr>
            <w:ind w:left="368" w:hangingChars="175" w:hanging="368"/>
            <w:rPr>
              <w:szCs w:val="21"/>
            </w:rPr>
          </w:pPr>
          <w:r>
            <w:rPr>
              <w:szCs w:val="21"/>
            </w:rPr>
            <w:t>同时按照境外会计准则与按中国会计准则披露的财务报告中净利润和</w:t>
          </w:r>
          <w:r>
            <w:rPr>
              <w:rFonts w:hint="eastAsia"/>
              <w:szCs w:val="21"/>
            </w:rPr>
            <w:t>归</w:t>
          </w:r>
          <w:r>
            <w:rPr>
              <w:szCs w:val="21"/>
            </w:rPr>
            <w:t>属于上市公司股东的净资产差异情况</w:t>
          </w:r>
        </w:p>
        <w:sdt>
          <w:sdtPr>
            <w:alias w:val="是否适用：同时按照境外会计准则与按中国会计准则披露的财务报告中净利润和净资产差异情况[双击切换]"/>
            <w:tag w:val="_GBC_a97367c44d2842a1bfb53d78727711bb"/>
            <w:id w:val="439804736"/>
            <w:lock w:val="sdtLocked"/>
            <w:placeholder>
              <w:docPart w:val="GBC22222222222222222222222222222"/>
            </w:placeholder>
          </w:sdtPr>
          <w:sdtEndPr>
            <w:rPr>
              <w:szCs w:val="21"/>
            </w:rPr>
          </w:sdtEndPr>
          <w:sdtContent>
            <w:p w:rsidR="00806678" w:rsidRDefault="00F80B6C" w:rsidP="00CB47B3">
              <w:r>
                <w:rPr>
                  <w:szCs w:val="21"/>
                </w:rPr>
                <w:fldChar w:fldCharType="begin"/>
              </w:r>
              <w:r w:rsidR="00CB47B3">
                <w:rPr>
                  <w:szCs w:val="21"/>
                </w:rPr>
                <w:instrText xml:space="preserve">MACROBUTTON  SnrToggleCheckbox □适用 </w:instrText>
              </w:r>
              <w:r>
                <w:rPr>
                  <w:szCs w:val="21"/>
                </w:rPr>
                <w:fldChar w:fldCharType="end"/>
              </w:r>
              <w:r>
                <w:rPr>
                  <w:szCs w:val="21"/>
                </w:rPr>
                <w:fldChar w:fldCharType="begin"/>
              </w:r>
              <w:r w:rsidR="00CB47B3">
                <w:rPr>
                  <w:szCs w:val="21"/>
                </w:rPr>
                <w:instrText xml:space="preserve"> MACROBUTTON  SnrToggleCheckbox √不适用 </w:instrText>
              </w:r>
              <w:r>
                <w:rPr>
                  <w:szCs w:val="21"/>
                </w:rPr>
                <w:fldChar w:fldCharType="end"/>
              </w:r>
            </w:p>
          </w:sdtContent>
        </w:sdt>
      </w:sdtContent>
    </w:sdt>
    <w:sdt>
      <w:sdtPr>
        <w:rPr>
          <w:rFonts w:ascii="宋体" w:hAnsi="宋体" w:cs="宋体"/>
          <w:b w:val="0"/>
          <w:bCs w:val="0"/>
          <w:kern w:val="0"/>
          <w:sz w:val="24"/>
          <w:szCs w:val="22"/>
        </w:rPr>
        <w:alias w:val="模块:境内外会计准则差异的说明"/>
        <w:tag w:val="_SEC_b22be8396e6f44ec8ff113069c448aa0"/>
        <w:id w:val="9918104"/>
        <w:lock w:val="sdtLocked"/>
        <w:placeholder>
          <w:docPart w:val="GBC22222222222222222222222222222"/>
        </w:placeholder>
      </w:sdtPr>
      <w:sdtEndPr>
        <w:rPr>
          <w:sz w:val="21"/>
          <w:szCs w:val="24"/>
        </w:rPr>
      </w:sdtEndPr>
      <w:sdtContent>
        <w:p w:rsidR="00806678" w:rsidRDefault="00B16377">
          <w:pPr>
            <w:pStyle w:val="3"/>
            <w:numPr>
              <w:ilvl w:val="0"/>
              <w:numId w:val="7"/>
            </w:numPr>
            <w:ind w:hangingChars="175"/>
          </w:pPr>
          <w:r>
            <w:t>境内外会计准则差异的说明：</w:t>
          </w:r>
        </w:p>
        <w:sdt>
          <w:sdtPr>
            <w:alias w:val="是否适用：境内外会计准则差异的说明[双击切换]"/>
            <w:tag w:val="_GBC_fb9a5edc484f49ab948423fc0bade519"/>
            <w:id w:val="683328340"/>
            <w:lock w:val="sdtLocked"/>
            <w:placeholder>
              <w:docPart w:val="GBC22222222222222222222222222222"/>
            </w:placeholder>
          </w:sdtPr>
          <w:sdtContent>
            <w:p w:rsidR="00806678" w:rsidRDefault="00F80B6C">
              <w:r>
                <w:fldChar w:fldCharType="begin"/>
              </w:r>
              <w:r w:rsidR="00CB47B3">
                <w:instrText xml:space="preserve">MACROBUTTON  SnrToggleCheckbox □适用 </w:instrText>
              </w:r>
              <w:r>
                <w:fldChar w:fldCharType="end"/>
              </w:r>
              <w:r>
                <w:fldChar w:fldCharType="begin"/>
              </w:r>
              <w:r w:rsidR="00CB47B3">
                <w:instrText xml:space="preserve"> MACROBUTTON  SnrToggleCheckbox √不适用 </w:instrText>
              </w:r>
              <w:r>
                <w:fldChar w:fldCharType="end"/>
              </w:r>
            </w:p>
          </w:sdtContent>
        </w:sdt>
      </w:sdtContent>
    </w:sdt>
    <w:p w:rsidR="00806678" w:rsidRDefault="00B16377">
      <w:pPr>
        <w:pStyle w:val="2"/>
        <w:numPr>
          <w:ilvl w:val="1"/>
          <w:numId w:val="4"/>
        </w:numPr>
        <w:ind w:left="498" w:hangingChars="236" w:hanging="498"/>
      </w:pPr>
      <w:r>
        <w:rPr>
          <w:rFonts w:hint="eastAsia"/>
        </w:rPr>
        <w:t>2022</w:t>
      </w:r>
      <w:r>
        <w:rPr>
          <w:rFonts w:hint="eastAsia"/>
        </w:rPr>
        <w:t>年分季度主要财务数据</w:t>
      </w:r>
    </w:p>
    <w:sdt>
      <w:sdtPr>
        <w:rPr>
          <w:rFonts w:hint="eastAsia"/>
          <w:b/>
          <w:bCs/>
        </w:rPr>
        <w:alias w:val="模块:分季度主要财务数据"/>
        <w:tag w:val="_SEC_8cfd3688781f4629a476386b97fa2f75"/>
        <w:id w:val="25717744"/>
        <w:lock w:val="sdtLocked"/>
        <w:placeholder>
          <w:docPart w:val="GBC22222222222222222222222222222"/>
        </w:placeholder>
      </w:sdtPr>
      <w:sdtEndPr>
        <w:rPr>
          <w:b w:val="0"/>
          <w:bCs w:val="0"/>
        </w:rPr>
      </w:sdtEndPr>
      <w:sdtContent>
        <w:p w:rsidR="00806678" w:rsidRDefault="00B16377">
          <w:pPr>
            <w:jc w:val="right"/>
            <w:rPr>
              <w:szCs w:val="21"/>
            </w:rPr>
          </w:pPr>
          <w:r>
            <w:rPr>
              <w:rFonts w:hint="eastAsia"/>
              <w:szCs w:val="21"/>
            </w:rPr>
            <w:t>单位：</w:t>
          </w:r>
          <w:sdt>
            <w:sdtPr>
              <w:rPr>
                <w:rFonts w:hint="eastAsia"/>
                <w:szCs w:val="21"/>
              </w:rPr>
              <w:alias w:val="单位：分季度主要财务数据"/>
              <w:tag w:val="_GBC_c7bf8a69799342519e2da375e77f8d89"/>
              <w:id w:val="3237852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分季度主要财务数据"/>
              <w:tag w:val="_GBC_e825fbcd15674ffd86165e4ed7dcbbaf"/>
              <w:id w:val="3237854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05"/>
            <w:gridCol w:w="1814"/>
            <w:gridCol w:w="1701"/>
            <w:gridCol w:w="1701"/>
            <w:gridCol w:w="1701"/>
          </w:tblGrid>
          <w:tr w:rsidR="00806678" w:rsidTr="00B13A66">
            <w:tc>
              <w:tcPr>
                <w:tcW w:w="2405" w:type="dxa"/>
                <w:vAlign w:val="center"/>
              </w:tcPr>
              <w:p w:rsidR="00806678" w:rsidRDefault="00806678">
                <w:pPr>
                  <w:widowControl w:val="0"/>
                  <w:jc w:val="center"/>
                </w:pPr>
              </w:p>
            </w:tc>
            <w:sdt>
              <w:sdtPr>
                <w:tag w:val="_PLD_2d7ae3b1c4bd43a98e284f10d0bdc51f"/>
                <w:id w:val="-1167089378"/>
                <w:lock w:val="sdtLocked"/>
              </w:sdtPr>
              <w:sdtContent>
                <w:tc>
                  <w:tcPr>
                    <w:tcW w:w="1814" w:type="dxa"/>
                    <w:vAlign w:val="center"/>
                  </w:tcPr>
                  <w:p w:rsidR="00806678" w:rsidRDefault="00B16377">
                    <w:pPr>
                      <w:widowControl w:val="0"/>
                      <w:jc w:val="center"/>
                    </w:pPr>
                    <w:r>
                      <w:rPr>
                        <w:rFonts w:hint="eastAsia"/>
                      </w:rPr>
                      <w:t>第一季度</w:t>
                    </w:r>
                  </w:p>
                  <w:p w:rsidR="00806678" w:rsidRDefault="00B16377">
                    <w:pPr>
                      <w:widowControl w:val="0"/>
                      <w:jc w:val="center"/>
                    </w:pPr>
                    <w:r>
                      <w:rPr>
                        <w:rFonts w:hint="eastAsia"/>
                      </w:rPr>
                      <w:t>（1-3月份）</w:t>
                    </w:r>
                  </w:p>
                </w:tc>
              </w:sdtContent>
            </w:sdt>
            <w:sdt>
              <w:sdtPr>
                <w:tag w:val="_PLD_07258d0e3e7e4393960c3400b24cda70"/>
                <w:id w:val="1524132882"/>
                <w:lock w:val="sdtLocked"/>
              </w:sdtPr>
              <w:sdtContent>
                <w:tc>
                  <w:tcPr>
                    <w:tcW w:w="1701" w:type="dxa"/>
                    <w:vAlign w:val="center"/>
                  </w:tcPr>
                  <w:p w:rsidR="00806678" w:rsidRDefault="00B16377">
                    <w:pPr>
                      <w:widowControl w:val="0"/>
                      <w:jc w:val="center"/>
                    </w:pPr>
                    <w:r>
                      <w:rPr>
                        <w:rFonts w:hint="eastAsia"/>
                      </w:rPr>
                      <w:t>第二季度</w:t>
                    </w:r>
                  </w:p>
                  <w:p w:rsidR="00806678" w:rsidRDefault="00B16377">
                    <w:pPr>
                      <w:widowControl w:val="0"/>
                      <w:jc w:val="center"/>
                    </w:pPr>
                    <w:r>
                      <w:rPr>
                        <w:rFonts w:hint="eastAsia"/>
                      </w:rPr>
                      <w:t>（4-6月份）</w:t>
                    </w:r>
                  </w:p>
                </w:tc>
              </w:sdtContent>
            </w:sdt>
            <w:sdt>
              <w:sdtPr>
                <w:tag w:val="_PLD_f34790307d174eceaa953001c5186096"/>
                <w:id w:val="1278598124"/>
                <w:lock w:val="sdtLocked"/>
              </w:sdtPr>
              <w:sdtContent>
                <w:tc>
                  <w:tcPr>
                    <w:tcW w:w="1701" w:type="dxa"/>
                    <w:vAlign w:val="center"/>
                  </w:tcPr>
                  <w:p w:rsidR="00806678" w:rsidRDefault="00B16377">
                    <w:pPr>
                      <w:widowControl w:val="0"/>
                      <w:jc w:val="center"/>
                    </w:pPr>
                    <w:r>
                      <w:rPr>
                        <w:rFonts w:hint="eastAsia"/>
                      </w:rPr>
                      <w:t>第三季度</w:t>
                    </w:r>
                  </w:p>
                  <w:p w:rsidR="00806678" w:rsidRDefault="00B16377">
                    <w:pPr>
                      <w:widowControl w:val="0"/>
                      <w:jc w:val="center"/>
                    </w:pPr>
                    <w:r>
                      <w:rPr>
                        <w:rFonts w:hint="eastAsia"/>
                      </w:rPr>
                      <w:t>（7-9月份）</w:t>
                    </w:r>
                  </w:p>
                </w:tc>
              </w:sdtContent>
            </w:sdt>
            <w:sdt>
              <w:sdtPr>
                <w:tag w:val="_PLD_18cc80c8863d4859a79676f49ef83412"/>
                <w:id w:val="1558669669"/>
                <w:lock w:val="sdtLocked"/>
              </w:sdtPr>
              <w:sdtContent>
                <w:tc>
                  <w:tcPr>
                    <w:tcW w:w="1701" w:type="dxa"/>
                    <w:vAlign w:val="center"/>
                  </w:tcPr>
                  <w:p w:rsidR="00806678" w:rsidRDefault="00B16377">
                    <w:pPr>
                      <w:widowControl w:val="0"/>
                      <w:jc w:val="center"/>
                    </w:pPr>
                    <w:r>
                      <w:rPr>
                        <w:rFonts w:hint="eastAsia"/>
                      </w:rPr>
                      <w:t>第四季度</w:t>
                    </w:r>
                  </w:p>
                  <w:p w:rsidR="00806678" w:rsidRDefault="00B16377">
                    <w:pPr>
                      <w:widowControl w:val="0"/>
                      <w:jc w:val="center"/>
                    </w:pPr>
                    <w:r>
                      <w:rPr>
                        <w:rFonts w:hint="eastAsia"/>
                      </w:rPr>
                      <w:t>（10-12月份）</w:t>
                    </w:r>
                  </w:p>
                </w:tc>
              </w:sdtContent>
            </w:sdt>
          </w:tr>
          <w:tr w:rsidR="00B13A66" w:rsidTr="00B13A66">
            <w:sdt>
              <w:sdtPr>
                <w:tag w:val="_PLD_c9672bff3419446c83a97f99d65a2e0b"/>
                <w:id w:val="-1576739463"/>
                <w:lock w:val="sdtLocked"/>
              </w:sdtPr>
              <w:sdtContent>
                <w:tc>
                  <w:tcPr>
                    <w:tcW w:w="2405" w:type="dxa"/>
                  </w:tcPr>
                  <w:p w:rsidR="00B13A66" w:rsidRDefault="00B13A66">
                    <w:pPr>
                      <w:widowControl w:val="0"/>
                      <w:jc w:val="both"/>
                    </w:pPr>
                    <w:r>
                      <w:rPr>
                        <w:rFonts w:hint="eastAsia"/>
                        <w:szCs w:val="21"/>
                      </w:rPr>
                      <w:t>营业收入</w:t>
                    </w:r>
                  </w:p>
                </w:tc>
              </w:sdtContent>
            </w:sdt>
            <w:tc>
              <w:tcPr>
                <w:tcW w:w="1814" w:type="dxa"/>
                <w:vAlign w:val="center"/>
              </w:tcPr>
              <w:p w:rsidR="00B13A66" w:rsidRDefault="00B13A66">
                <w:pPr>
                  <w:widowControl w:val="0"/>
                  <w:jc w:val="right"/>
                </w:pPr>
                <w:r>
                  <w:t>18,258,535,966</w:t>
                </w:r>
              </w:p>
            </w:tc>
            <w:tc>
              <w:tcPr>
                <w:tcW w:w="1701" w:type="dxa"/>
                <w:vAlign w:val="center"/>
              </w:tcPr>
              <w:p w:rsidR="00B13A66" w:rsidRDefault="00B13A66">
                <w:pPr>
                  <w:widowControl w:val="0"/>
                  <w:jc w:val="right"/>
                </w:pPr>
                <w:r>
                  <w:t>20,672,965,477</w:t>
                </w:r>
              </w:p>
            </w:tc>
            <w:tc>
              <w:tcPr>
                <w:tcW w:w="1701" w:type="dxa"/>
                <w:vAlign w:val="center"/>
              </w:tcPr>
              <w:p w:rsidR="00B13A66" w:rsidRDefault="00B13A66">
                <w:pPr>
                  <w:widowControl w:val="0"/>
                  <w:jc w:val="right"/>
                </w:pPr>
                <w:r>
                  <w:t>19,832,072,315</w:t>
                </w:r>
              </w:p>
            </w:tc>
            <w:tc>
              <w:tcPr>
                <w:tcW w:w="1701" w:type="dxa"/>
                <w:vAlign w:val="center"/>
              </w:tcPr>
              <w:p w:rsidR="00B13A66" w:rsidRPr="00B13A66" w:rsidRDefault="00B13A66">
                <w:pPr>
                  <w:jc w:val="right"/>
                  <w:rPr>
                    <w:rFonts w:asciiTheme="minorEastAsia" w:eastAsiaTheme="minorEastAsia" w:hAnsiTheme="minorEastAsia" w:cs="Arial"/>
                    <w:color w:val="000000"/>
                    <w:szCs w:val="21"/>
                  </w:rPr>
                </w:pPr>
                <w:r w:rsidRPr="00B13A66">
                  <w:rPr>
                    <w:rFonts w:asciiTheme="minorEastAsia" w:eastAsiaTheme="minorEastAsia" w:hAnsiTheme="minorEastAsia" w:cs="Arial"/>
                    <w:color w:val="000000"/>
                    <w:szCs w:val="21"/>
                  </w:rPr>
                  <w:t>16,994,097,910</w:t>
                </w:r>
              </w:p>
            </w:tc>
          </w:tr>
          <w:tr w:rsidR="00B13A66" w:rsidTr="00B13A66">
            <w:sdt>
              <w:sdtPr>
                <w:tag w:val="_PLD_c7fcc70769004239abd5440602d3b505"/>
                <w:id w:val="-637031270"/>
                <w:lock w:val="sdtLocked"/>
              </w:sdtPr>
              <w:sdtContent>
                <w:tc>
                  <w:tcPr>
                    <w:tcW w:w="2405" w:type="dxa"/>
                  </w:tcPr>
                  <w:p w:rsidR="00B13A66" w:rsidRDefault="00B13A66">
                    <w:pPr>
                      <w:widowControl w:val="0"/>
                      <w:jc w:val="both"/>
                    </w:pPr>
                    <w:r>
                      <w:rPr>
                        <w:rFonts w:hint="eastAsia"/>
                        <w:szCs w:val="21"/>
                      </w:rPr>
                      <w:t>归属于上市公司股东的净利润</w:t>
                    </w:r>
                  </w:p>
                </w:tc>
              </w:sdtContent>
            </w:sdt>
            <w:tc>
              <w:tcPr>
                <w:tcW w:w="1814" w:type="dxa"/>
                <w:vAlign w:val="center"/>
              </w:tcPr>
              <w:p w:rsidR="00B13A66" w:rsidRDefault="00B13A66">
                <w:pPr>
                  <w:widowControl w:val="0"/>
                  <w:jc w:val="right"/>
                </w:pPr>
                <w:r>
                  <w:t>2,966,919,003</w:t>
                </w:r>
              </w:p>
            </w:tc>
            <w:tc>
              <w:tcPr>
                <w:tcW w:w="1701" w:type="dxa"/>
                <w:vAlign w:val="center"/>
              </w:tcPr>
              <w:p w:rsidR="00B13A66" w:rsidRDefault="00B13A66">
                <w:pPr>
                  <w:widowControl w:val="0"/>
                  <w:jc w:val="right"/>
                </w:pPr>
                <w:r>
                  <w:t>4,348,875,588</w:t>
                </w:r>
              </w:p>
            </w:tc>
            <w:tc>
              <w:tcPr>
                <w:tcW w:w="1701" w:type="dxa"/>
                <w:vAlign w:val="center"/>
              </w:tcPr>
              <w:p w:rsidR="00B13A66" w:rsidRDefault="00B13A66">
                <w:pPr>
                  <w:widowControl w:val="0"/>
                  <w:jc w:val="right"/>
                </w:pPr>
                <w:r>
                  <w:t>3,494,662,154</w:t>
                </w:r>
              </w:p>
            </w:tc>
            <w:tc>
              <w:tcPr>
                <w:tcW w:w="1701" w:type="dxa"/>
                <w:vAlign w:val="center"/>
              </w:tcPr>
              <w:p w:rsidR="00B13A66" w:rsidRPr="00B13A66" w:rsidRDefault="00B13A66">
                <w:pPr>
                  <w:jc w:val="right"/>
                  <w:rPr>
                    <w:rFonts w:asciiTheme="minorEastAsia" w:eastAsiaTheme="minorEastAsia" w:hAnsiTheme="minorEastAsia" w:cs="Arial"/>
                    <w:color w:val="000000"/>
                    <w:szCs w:val="21"/>
                  </w:rPr>
                </w:pPr>
                <w:r w:rsidRPr="00B13A66">
                  <w:rPr>
                    <w:rFonts w:asciiTheme="minorEastAsia" w:eastAsiaTheme="minorEastAsia" w:hAnsiTheme="minorEastAsia" w:cs="Arial"/>
                    <w:color w:val="000000"/>
                    <w:szCs w:val="21"/>
                  </w:rPr>
                  <w:t>385,800,709</w:t>
                </w:r>
              </w:p>
            </w:tc>
          </w:tr>
          <w:tr w:rsidR="00B13A66" w:rsidTr="00B13A66">
            <w:sdt>
              <w:sdtPr>
                <w:tag w:val="_PLD_cc4437a1c75a41d994bd913b3c6d8e6d"/>
                <w:id w:val="-301463790"/>
                <w:lock w:val="sdtLocked"/>
              </w:sdtPr>
              <w:sdtContent>
                <w:tc>
                  <w:tcPr>
                    <w:tcW w:w="2405" w:type="dxa"/>
                  </w:tcPr>
                  <w:p w:rsidR="00B13A66" w:rsidRDefault="00B13A66">
                    <w:pPr>
                      <w:widowControl w:val="0"/>
                      <w:jc w:val="both"/>
                    </w:pPr>
                    <w:r>
                      <w:rPr>
                        <w:rFonts w:hint="eastAsia"/>
                        <w:szCs w:val="21"/>
                      </w:rPr>
                      <w:t>归属于上市公司股东的扣除非经常性损益后的净利润</w:t>
                    </w:r>
                  </w:p>
                </w:tc>
              </w:sdtContent>
            </w:sdt>
            <w:tc>
              <w:tcPr>
                <w:tcW w:w="1814" w:type="dxa"/>
                <w:vAlign w:val="center"/>
              </w:tcPr>
              <w:p w:rsidR="00B13A66" w:rsidRDefault="00B13A66">
                <w:pPr>
                  <w:widowControl w:val="0"/>
                  <w:jc w:val="right"/>
                </w:pPr>
                <w:r>
                  <w:t>2,970,020,802</w:t>
                </w:r>
              </w:p>
            </w:tc>
            <w:tc>
              <w:tcPr>
                <w:tcW w:w="1701" w:type="dxa"/>
                <w:vAlign w:val="center"/>
              </w:tcPr>
              <w:p w:rsidR="00B13A66" w:rsidRDefault="00B13A66">
                <w:pPr>
                  <w:widowControl w:val="0"/>
                  <w:jc w:val="right"/>
                </w:pPr>
                <w:r>
                  <w:t>4,311,664,115</w:t>
                </w:r>
              </w:p>
            </w:tc>
            <w:tc>
              <w:tcPr>
                <w:tcW w:w="1701" w:type="dxa"/>
                <w:vAlign w:val="center"/>
              </w:tcPr>
              <w:p w:rsidR="00B13A66" w:rsidRDefault="00B13A66">
                <w:pPr>
                  <w:widowControl w:val="0"/>
                  <w:jc w:val="right"/>
                </w:pPr>
                <w:r>
                  <w:t>3,431,694,688</w:t>
                </w:r>
              </w:p>
            </w:tc>
            <w:tc>
              <w:tcPr>
                <w:tcW w:w="1701" w:type="dxa"/>
                <w:vAlign w:val="center"/>
              </w:tcPr>
              <w:p w:rsidR="00B13A66" w:rsidRPr="00B13A66" w:rsidRDefault="00B13A66">
                <w:pPr>
                  <w:jc w:val="right"/>
                  <w:rPr>
                    <w:rFonts w:asciiTheme="minorEastAsia" w:eastAsiaTheme="minorEastAsia" w:hAnsiTheme="minorEastAsia" w:cs="Arial"/>
                    <w:color w:val="000000"/>
                    <w:szCs w:val="21"/>
                  </w:rPr>
                </w:pPr>
                <w:r w:rsidRPr="00B13A66">
                  <w:rPr>
                    <w:rFonts w:asciiTheme="minorEastAsia" w:eastAsiaTheme="minorEastAsia" w:hAnsiTheme="minorEastAsia" w:cs="Arial"/>
                    <w:color w:val="000000"/>
                    <w:szCs w:val="21"/>
                  </w:rPr>
                  <w:t>417,305,668</w:t>
                </w:r>
              </w:p>
            </w:tc>
          </w:tr>
          <w:tr w:rsidR="00B13A66" w:rsidTr="00B13A66">
            <w:sdt>
              <w:sdtPr>
                <w:tag w:val="_PLD_1a66e199f32a4408bc762faa192c5ead"/>
                <w:id w:val="-1946066543"/>
                <w:lock w:val="sdtLocked"/>
              </w:sdtPr>
              <w:sdtContent>
                <w:tc>
                  <w:tcPr>
                    <w:tcW w:w="2405" w:type="dxa"/>
                  </w:tcPr>
                  <w:p w:rsidR="00B13A66" w:rsidRDefault="00B13A66">
                    <w:pPr>
                      <w:widowControl w:val="0"/>
                      <w:jc w:val="both"/>
                    </w:pPr>
                    <w:r>
                      <w:rPr>
                        <w:rFonts w:hint="eastAsia"/>
                        <w:szCs w:val="21"/>
                      </w:rPr>
                      <w:t>经营活动产生的现金流量净额</w:t>
                    </w:r>
                  </w:p>
                </w:tc>
              </w:sdtContent>
            </w:sdt>
            <w:tc>
              <w:tcPr>
                <w:tcW w:w="1814" w:type="dxa"/>
                <w:vAlign w:val="center"/>
              </w:tcPr>
              <w:p w:rsidR="00B13A66" w:rsidRDefault="00B13A66">
                <w:pPr>
                  <w:widowControl w:val="0"/>
                  <w:jc w:val="right"/>
                </w:pPr>
                <w:r>
                  <w:t>1,100,274,952</w:t>
                </w:r>
              </w:p>
            </w:tc>
            <w:tc>
              <w:tcPr>
                <w:tcW w:w="1701" w:type="dxa"/>
                <w:vAlign w:val="center"/>
              </w:tcPr>
              <w:p w:rsidR="00B13A66" w:rsidRDefault="00B13A66">
                <w:pPr>
                  <w:widowControl w:val="0"/>
                  <w:jc w:val="right"/>
                </w:pPr>
                <w:r>
                  <w:t>5,352,496,461</w:t>
                </w:r>
              </w:p>
            </w:tc>
            <w:tc>
              <w:tcPr>
                <w:tcW w:w="1701" w:type="dxa"/>
                <w:vAlign w:val="center"/>
              </w:tcPr>
              <w:p w:rsidR="00B13A66" w:rsidRDefault="00B13A66">
                <w:pPr>
                  <w:widowControl w:val="0"/>
                  <w:jc w:val="right"/>
                </w:pPr>
                <w:r>
                  <w:t>8,866,742,076</w:t>
                </w:r>
              </w:p>
            </w:tc>
            <w:tc>
              <w:tcPr>
                <w:tcW w:w="1701" w:type="dxa"/>
                <w:vAlign w:val="center"/>
              </w:tcPr>
              <w:p w:rsidR="00B13A66" w:rsidRPr="00B13A66" w:rsidRDefault="00B13A66">
                <w:pPr>
                  <w:jc w:val="right"/>
                  <w:rPr>
                    <w:rFonts w:asciiTheme="minorEastAsia" w:eastAsiaTheme="minorEastAsia" w:hAnsiTheme="minorEastAsia" w:cs="Arial"/>
                    <w:color w:val="000000"/>
                    <w:szCs w:val="21"/>
                  </w:rPr>
                </w:pPr>
                <w:r w:rsidRPr="00B13A66">
                  <w:rPr>
                    <w:rFonts w:asciiTheme="minorEastAsia" w:eastAsiaTheme="minorEastAsia" w:hAnsiTheme="minorEastAsia" w:cs="Arial"/>
                    <w:color w:val="000000"/>
                    <w:szCs w:val="21"/>
                  </w:rPr>
                  <w:t>782,593,124</w:t>
                </w:r>
              </w:p>
            </w:tc>
          </w:tr>
        </w:tbl>
        <w:p w:rsidR="00806678" w:rsidRDefault="00806678"/>
        <w:p w:rsidR="00806678" w:rsidRDefault="00B16377">
          <w:pPr>
            <w:rPr>
              <w:rFonts w:ascii="Calibri" w:hAnsi="Calibri" w:cs="Times New Roman"/>
              <w:bCs/>
              <w:kern w:val="2"/>
              <w:szCs w:val="32"/>
            </w:rPr>
          </w:pPr>
          <w:r>
            <w:rPr>
              <w:rFonts w:ascii="Calibri" w:hAnsi="Calibri" w:cs="Times New Roman" w:hint="eastAsia"/>
              <w:bCs/>
              <w:kern w:val="2"/>
              <w:szCs w:val="32"/>
            </w:rPr>
            <w:t>季度数据与已披露定期报告数据差异说明</w:t>
          </w:r>
        </w:p>
        <w:sdt>
          <w:sdtPr>
            <w:rPr>
              <w:szCs w:val="21"/>
            </w:rPr>
            <w:alias w:val="是否适用：季度数据与已披露定期报告数据差异说明[双击切换]"/>
            <w:tag w:val="_GBC_90abe51569fb4ccda7eaf6149fe8f3a9"/>
            <w:id w:val="8547531"/>
            <w:lock w:val="sdtLocked"/>
            <w:placeholder>
              <w:docPart w:val="GBC22222222222222222222222222222"/>
            </w:placeholder>
          </w:sdtPr>
          <w:sdtContent>
            <w:p w:rsidR="00601D47" w:rsidRDefault="00F80B6C" w:rsidP="00601D47">
              <w:pPr>
                <w:rPr>
                  <w:szCs w:val="21"/>
                </w:rPr>
              </w:pPr>
              <w:r>
                <w:rPr>
                  <w:szCs w:val="21"/>
                </w:rPr>
                <w:fldChar w:fldCharType="begin"/>
              </w:r>
              <w:r w:rsidR="00601D47">
                <w:rPr>
                  <w:szCs w:val="21"/>
                </w:rPr>
                <w:instrText xml:space="preserve"> MACROBUTTON  SnrToggleCheckbox □适用  </w:instrText>
              </w:r>
              <w:r>
                <w:rPr>
                  <w:szCs w:val="21"/>
                </w:rPr>
                <w:fldChar w:fldCharType="end"/>
              </w:r>
              <w:r>
                <w:rPr>
                  <w:szCs w:val="21"/>
                </w:rPr>
                <w:fldChar w:fldCharType="begin"/>
              </w:r>
              <w:r w:rsidR="00601D47">
                <w:rPr>
                  <w:szCs w:val="21"/>
                </w:rPr>
                <w:instrText xml:space="preserve"> MACROBUTTON  SnrToggleCheckbox √不适用 </w:instrText>
              </w:r>
              <w:r>
                <w:rPr>
                  <w:szCs w:val="21"/>
                </w:rPr>
                <w:fldChar w:fldCharType="end"/>
              </w:r>
            </w:p>
          </w:sdtContent>
        </w:sdt>
        <w:p w:rsidR="00806678" w:rsidRPr="001E67D8" w:rsidRDefault="00601D47">
          <w:pPr>
            <w:rPr>
              <w:szCs w:val="21"/>
            </w:rPr>
          </w:pPr>
          <w:r>
            <w:rPr>
              <w:rFonts w:hint="eastAsia"/>
              <w:szCs w:val="21"/>
            </w:rPr>
            <w:t>注：2022年第四季度</w:t>
          </w:r>
          <w:r w:rsidR="00782F3E">
            <w:rPr>
              <w:rFonts w:hint="eastAsia"/>
              <w:szCs w:val="21"/>
            </w:rPr>
            <w:t>营业收入、归属于上市公司股东的净利润</w:t>
          </w:r>
          <w:r w:rsidR="001822A6">
            <w:rPr>
              <w:rFonts w:hint="eastAsia"/>
              <w:szCs w:val="21"/>
            </w:rPr>
            <w:t>环比减少的主要原因是</w:t>
          </w:r>
          <w:r w:rsidR="00244DE4">
            <w:rPr>
              <w:rFonts w:hint="eastAsia"/>
              <w:szCs w:val="21"/>
            </w:rPr>
            <w:t>：</w:t>
          </w:r>
          <w:r w:rsidR="00782F3E" w:rsidRPr="00782F3E">
            <w:rPr>
              <w:rFonts w:hint="eastAsia"/>
              <w:szCs w:val="21"/>
            </w:rPr>
            <w:t>第四季度</w:t>
          </w:r>
          <w:r w:rsidR="00244DE4">
            <w:rPr>
              <w:rFonts w:cs="楷体_GB2312" w:hint="eastAsia"/>
              <w:color w:val="000000"/>
              <w:szCs w:val="21"/>
            </w:rPr>
            <w:t>大秦线运输秩序受疫情</w:t>
          </w:r>
          <w:r w:rsidR="00782F3E" w:rsidRPr="00782F3E">
            <w:rPr>
              <w:rFonts w:cs="楷体_GB2312" w:hint="eastAsia"/>
              <w:color w:val="000000"/>
              <w:szCs w:val="21"/>
            </w:rPr>
            <w:t>影响，</w:t>
          </w:r>
          <w:r w:rsidR="001822A6">
            <w:rPr>
              <w:rFonts w:hint="eastAsia"/>
              <w:szCs w:val="21"/>
            </w:rPr>
            <w:t>运量</w:t>
          </w:r>
          <w:r w:rsidR="00F03E08">
            <w:rPr>
              <w:rFonts w:hint="eastAsia"/>
              <w:szCs w:val="21"/>
            </w:rPr>
            <w:t>大幅下降。</w:t>
          </w:r>
        </w:p>
      </w:sdtContent>
    </w:sdt>
    <w:sdt>
      <w:sdtPr>
        <w:rPr>
          <w:rFonts w:ascii="宋体" w:hAnsi="宋体" w:cs="宋体" w:hint="eastAsia"/>
          <w:b w:val="0"/>
          <w:bCs w:val="0"/>
          <w:kern w:val="0"/>
          <w:szCs w:val="24"/>
        </w:rPr>
        <w:alias w:val="模块:非经常性损益项目和金额"/>
        <w:tag w:val="_SEC_c9ec505011044df3b703919ed91a432c"/>
        <w:id w:val="25718118"/>
        <w:lock w:val="sdtLocked"/>
        <w:placeholder>
          <w:docPart w:val="GBC22222222222222222222222222222"/>
        </w:placeholder>
      </w:sdtPr>
      <w:sdtContent>
        <w:p w:rsidR="00806678" w:rsidRDefault="00B16377">
          <w:pPr>
            <w:pStyle w:val="2"/>
            <w:numPr>
              <w:ilvl w:val="1"/>
              <w:numId w:val="4"/>
            </w:numPr>
            <w:ind w:left="496" w:hangingChars="236" w:hanging="496"/>
          </w:pPr>
          <w:r>
            <w:rPr>
              <w:rFonts w:hint="eastAsia"/>
            </w:rPr>
            <w:t>非经常性损益项目和金额</w:t>
          </w:r>
        </w:p>
        <w:sdt>
          <w:sdtPr>
            <w:rPr>
              <w:szCs w:val="21"/>
            </w:rPr>
            <w:alias w:val="是否适用：扣除非经常性损益项目和金额[双击切换]"/>
            <w:tag w:val="_GBC_64650d7f1d454b42ae227046b21a998c"/>
            <w:id w:val="-1352873089"/>
            <w:lock w:val="sdtLocked"/>
            <w:placeholder>
              <w:docPart w:val="GBC22222222222222222222222222222"/>
            </w:placeholder>
          </w:sdtPr>
          <w:sdtContent>
            <w:p w:rsidR="00806678" w:rsidRDefault="00F80B6C">
              <w:pPr>
                <w:rPr>
                  <w:szCs w:val="21"/>
                </w:rPr>
              </w:pPr>
              <w:r>
                <w:rPr>
                  <w:szCs w:val="21"/>
                </w:rPr>
                <w:fldChar w:fldCharType="begin"/>
              </w:r>
              <w:r w:rsidR="006144EF">
                <w:rPr>
                  <w:szCs w:val="21"/>
                </w:rPr>
                <w:instrText xml:space="preserve">MACROBUTTON  SnrToggleCheckbox √适用 </w:instrText>
              </w:r>
              <w:r>
                <w:rPr>
                  <w:szCs w:val="21"/>
                </w:rPr>
                <w:fldChar w:fldCharType="end"/>
              </w:r>
              <w:r>
                <w:rPr>
                  <w:szCs w:val="21"/>
                </w:rPr>
                <w:fldChar w:fldCharType="begin"/>
              </w:r>
              <w:r w:rsidR="006144EF">
                <w:rPr>
                  <w:szCs w:val="21"/>
                </w:rPr>
                <w:instrText xml:space="preserve"> MACROBUTTON  SnrToggleCheckbox □不适用 </w:instrText>
              </w:r>
              <w:r>
                <w:rPr>
                  <w:szCs w:val="21"/>
                </w:rPr>
                <w:fldChar w:fldCharType="end"/>
              </w:r>
            </w:p>
          </w:sdtContent>
        </w:sdt>
        <w:p w:rsidR="00806678" w:rsidRDefault="00B16377">
          <w:pPr>
            <w:jc w:val="right"/>
            <w:rPr>
              <w:szCs w:val="21"/>
            </w:rPr>
          </w:pPr>
          <w:r>
            <w:rPr>
              <w:rFonts w:hint="eastAsia"/>
              <w:szCs w:val="21"/>
            </w:rPr>
            <w:t>单位:</w:t>
          </w:r>
          <w:sdt>
            <w:sdtPr>
              <w:rPr>
                <w:rFonts w:hint="eastAsia"/>
                <w:szCs w:val="21"/>
              </w:rPr>
              <w:alias w:val="单位：扣除非经常性损益项目和金额"/>
              <w:tag w:val="_GBC_4bca0a0f469f4d239b07e448ced324aa"/>
              <w:id w:val="1191357"/>
              <w:lock w:val="sdtLocked"/>
              <w:placeholder>
                <w:docPart w:val="GBC22222222222222222222222222222"/>
              </w:placeholder>
              <w:dataBinding w:prefixMappings="xmlns:clcid-ci-ar='clcid-ci-ar'" w:xpath="/*/clcid-ci-ar:DanWeiKouChuFeiJingChangXingSunYiXiangMuHeJinE[not(@periodRef)]" w:storeItemID="{89EBAB94-44A0-46A2-B712-30D997D04A6D}"/>
              <w:comboBox w:lastValue="1">
                <w:listItem w:displayText="元" w:value="1"/>
                <w:listItem w:displayText="千元" w:value="1000"/>
                <w:listItem w:displayText="万元" w:value="10000"/>
                <w:listItem w:displayText="百万元" w:value="1000000"/>
                <w:listItem w:displayText="亿元" w:value="100000000"/>
              </w:comboBox>
            </w:sdtPr>
            <w:sdtContent>
              <w:r w:rsidR="006F32FB">
                <w:rPr>
                  <w:rFonts w:hint="eastAsia"/>
                  <w:szCs w:val="21"/>
                </w:rPr>
                <w:t>元</w:t>
              </w:r>
            </w:sdtContent>
          </w:sdt>
          <w:r>
            <w:rPr>
              <w:rFonts w:hint="eastAsia"/>
              <w:szCs w:val="21"/>
            </w:rPr>
            <w:t xml:space="preserve">  币种:</w:t>
          </w:r>
          <w:sdt>
            <w:sdtPr>
              <w:rPr>
                <w:rFonts w:hint="eastAsia"/>
                <w:szCs w:val="21"/>
              </w:rPr>
              <w:alias w:val="币种：扣除非经常性损益项目和金额"/>
              <w:tag w:val="_GBC_0d4dd12e591b4afca598165c7bca4ce4"/>
              <w:id w:val="1191360"/>
              <w:lock w:val="sdtLocked"/>
              <w:placeholder>
                <w:docPart w:val="GBC22222222222222222222222222222"/>
              </w:placeholder>
              <w:dataBinding w:prefixMappings="xmlns:clcid-ci-ar='clcid-ci-ar'" w:xpath="/*/clcid-ci-ar:BiZhongKouChuFeiJingChangXingSunYiXiangMuHeJinE[not(@periodRef)]" w:storeItemID="{89EBAB94-44A0-46A2-B712-30D997D04A6D}"/>
              <w:comboBox w:lastValue="CNY">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6F32FB">
                <w:rPr>
                  <w:rFonts w:hint="eastAsia"/>
                  <w:szCs w:val="21"/>
                </w:rPr>
                <w:t>人民币</w:t>
              </w:r>
            </w:sdtContent>
          </w:sdt>
        </w:p>
        <w:tbl>
          <w:tblPr>
            <w:tblStyle w:val="a6"/>
            <w:tblW w:w="5000" w:type="pct"/>
            <w:tblLook w:val="04A0"/>
          </w:tblPr>
          <w:tblGrid>
            <w:gridCol w:w="3478"/>
            <w:gridCol w:w="1371"/>
            <w:gridCol w:w="1353"/>
            <w:gridCol w:w="1371"/>
            <w:gridCol w:w="1476"/>
          </w:tblGrid>
          <w:tr w:rsidR="006144EF" w:rsidTr="00601D47">
            <w:sdt>
              <w:sdtPr>
                <w:tag w:val="_PLD_f751403d0cb44994b9ad2600a703fbf6"/>
                <w:id w:val="26389350"/>
                <w:lock w:val="sdtLocked"/>
              </w:sdtPr>
              <w:sdtContent>
                <w:tc>
                  <w:tcPr>
                    <w:tcW w:w="1944" w:type="pct"/>
                    <w:vAlign w:val="center"/>
                  </w:tcPr>
                  <w:p w:rsidR="006144EF" w:rsidRDefault="006144EF" w:rsidP="00601D47">
                    <w:pPr>
                      <w:pStyle w:val="a9"/>
                      <w:ind w:firstLineChars="0" w:firstLine="0"/>
                      <w:jc w:val="center"/>
                      <w:rPr>
                        <w:rFonts w:ascii="宋体" w:hAnsi="宋体"/>
                        <w:szCs w:val="21"/>
                      </w:rPr>
                    </w:pPr>
                    <w:r>
                      <w:rPr>
                        <w:rFonts w:ascii="宋体" w:hAnsi="宋体" w:hint="eastAsia"/>
                        <w:szCs w:val="21"/>
                      </w:rPr>
                      <w:t>非经常性损益项目</w:t>
                    </w:r>
                  </w:p>
                </w:tc>
              </w:sdtContent>
            </w:sdt>
            <w:sdt>
              <w:sdtPr>
                <w:tag w:val="_PLD_c3a99d8df6764a7a9d1c26a6d1cd3b99"/>
                <w:id w:val="26389351"/>
                <w:lock w:val="sdtLocked"/>
              </w:sdtPr>
              <w:sdtContent>
                <w:tc>
                  <w:tcPr>
                    <w:tcW w:w="758" w:type="pct"/>
                    <w:vAlign w:val="center"/>
                  </w:tcPr>
                  <w:p w:rsidR="006144EF" w:rsidRDefault="006144EF" w:rsidP="00601D47">
                    <w:pPr>
                      <w:pStyle w:val="a9"/>
                      <w:ind w:firstLineChars="0" w:firstLine="0"/>
                      <w:jc w:val="center"/>
                      <w:rPr>
                        <w:rFonts w:ascii="宋体" w:hAnsi="宋体"/>
                        <w:szCs w:val="21"/>
                      </w:rPr>
                    </w:pPr>
                    <w:r>
                      <w:rPr>
                        <w:rFonts w:ascii="宋体" w:hAnsi="宋体" w:hint="eastAsia"/>
                        <w:szCs w:val="21"/>
                      </w:rPr>
                      <w:t>2022年金额</w:t>
                    </w:r>
                  </w:p>
                </w:tc>
              </w:sdtContent>
            </w:sdt>
            <w:sdt>
              <w:sdtPr>
                <w:tag w:val="_PLD_b6d0ea39876b409699dafa605943bc7c"/>
                <w:id w:val="26389352"/>
                <w:lock w:val="sdtLocked"/>
              </w:sdtPr>
              <w:sdtContent>
                <w:tc>
                  <w:tcPr>
                    <w:tcW w:w="784" w:type="pct"/>
                    <w:vAlign w:val="center"/>
                  </w:tcPr>
                  <w:p w:rsidR="006144EF" w:rsidRDefault="006144EF" w:rsidP="00601D47">
                    <w:pPr>
                      <w:pStyle w:val="a9"/>
                      <w:ind w:firstLineChars="0" w:firstLine="0"/>
                      <w:jc w:val="center"/>
                      <w:rPr>
                        <w:rFonts w:ascii="宋体" w:hAnsi="宋体"/>
                        <w:szCs w:val="21"/>
                      </w:rPr>
                    </w:pPr>
                    <w:r>
                      <w:rPr>
                        <w:rFonts w:ascii="宋体" w:hAnsi="宋体" w:hint="eastAsia"/>
                        <w:szCs w:val="21"/>
                      </w:rPr>
                      <w:t>附注（如适用）</w:t>
                    </w:r>
                  </w:p>
                </w:tc>
              </w:sdtContent>
            </w:sdt>
            <w:sdt>
              <w:sdtPr>
                <w:tag w:val="_PLD_7f6c15b2c5304b7f94e7c3ad607e51bc"/>
                <w:id w:val="26389353"/>
                <w:lock w:val="sdtLocked"/>
              </w:sdtPr>
              <w:sdtContent>
                <w:tc>
                  <w:tcPr>
                    <w:tcW w:w="758" w:type="pct"/>
                    <w:vAlign w:val="center"/>
                  </w:tcPr>
                  <w:p w:rsidR="006144EF" w:rsidRDefault="006144EF" w:rsidP="00601D47">
                    <w:pPr>
                      <w:pStyle w:val="a9"/>
                      <w:ind w:firstLineChars="0" w:firstLine="0"/>
                      <w:jc w:val="center"/>
                      <w:rPr>
                        <w:rFonts w:ascii="宋体" w:hAnsi="宋体"/>
                        <w:szCs w:val="21"/>
                      </w:rPr>
                    </w:pPr>
                    <w:r>
                      <w:rPr>
                        <w:rFonts w:ascii="宋体" w:hAnsi="宋体" w:hint="eastAsia"/>
                        <w:szCs w:val="21"/>
                      </w:rPr>
                      <w:t>2021年金额</w:t>
                    </w:r>
                  </w:p>
                </w:tc>
              </w:sdtContent>
            </w:sdt>
            <w:sdt>
              <w:sdtPr>
                <w:tag w:val="_PLD_cc74238bb31a489cace6976e47d30974"/>
                <w:id w:val="26389354"/>
                <w:lock w:val="sdtLocked"/>
              </w:sdtPr>
              <w:sdtContent>
                <w:tc>
                  <w:tcPr>
                    <w:tcW w:w="758" w:type="pct"/>
                    <w:vAlign w:val="center"/>
                  </w:tcPr>
                  <w:p w:rsidR="006144EF" w:rsidRDefault="006144EF" w:rsidP="00601D47">
                    <w:pPr>
                      <w:pStyle w:val="a9"/>
                      <w:ind w:firstLineChars="0" w:firstLine="0"/>
                      <w:jc w:val="center"/>
                      <w:rPr>
                        <w:rFonts w:ascii="宋体" w:hAnsi="宋体"/>
                        <w:szCs w:val="21"/>
                      </w:rPr>
                    </w:pPr>
                    <w:r>
                      <w:rPr>
                        <w:rFonts w:ascii="宋体" w:hAnsi="宋体" w:hint="eastAsia"/>
                        <w:szCs w:val="21"/>
                      </w:rPr>
                      <w:t>2020年金额</w:t>
                    </w:r>
                  </w:p>
                </w:tc>
              </w:sdtContent>
            </w:sdt>
          </w:tr>
          <w:tr w:rsidR="006144EF" w:rsidTr="00601D47">
            <w:sdt>
              <w:sdtPr>
                <w:tag w:val="_PLD_844d8cfc8dc0403cae8741ce206231d7"/>
                <w:id w:val="26389355"/>
                <w:lock w:val="sdtLocked"/>
              </w:sdtPr>
              <w:sdtContent>
                <w:tc>
                  <w:tcPr>
                    <w:tcW w:w="1944" w:type="pct"/>
                  </w:tcPr>
                  <w:p w:rsidR="006144EF" w:rsidRDefault="006144EF" w:rsidP="00601D47">
                    <w:pPr>
                      <w:pStyle w:val="a9"/>
                      <w:ind w:firstLineChars="0" w:firstLine="0"/>
                      <w:jc w:val="left"/>
                      <w:rPr>
                        <w:szCs w:val="21"/>
                      </w:rPr>
                    </w:pPr>
                    <w:r>
                      <w:rPr>
                        <w:szCs w:val="21"/>
                      </w:rPr>
                      <w:t>非流动资产处置损益</w:t>
                    </w:r>
                  </w:p>
                </w:tc>
              </w:sdtContent>
            </w:sdt>
            <w:sdt>
              <w:sdtPr>
                <w:rPr>
                  <w:szCs w:val="21"/>
                </w:rPr>
                <w:alias w:val="非流动性资产处置损益，包括已计提资产减值准备的冲销部分（非经常性损益项目）"/>
                <w:tag w:val="_GBC_debe6cce7ac944bbacffe3e7f5ed0bb6"/>
                <w:id w:val="26389356"/>
                <w:lock w:val="sdtLocked"/>
                <w:dataBinding w:prefixMappings="xmlns:clcid-pte='clcid-pte'" w:xpath="/*/clcid-pte:FeiLiuDongXingZiChanChuZhiSunYiBaoKuoYiJiTiZiChanJianZhiZhunBeiDeChongXiaoBuFenFeiJingChangXingSunYiXiangMu[not(@periodRef)]" w:storeItemID="{89EBAB94-44A0-46A2-B712-30D997D04A6D}"/>
                <w:text/>
              </w:sdtPr>
              <w:sdtContent>
                <w:tc>
                  <w:tcPr>
                    <w:tcW w:w="758" w:type="pct"/>
                    <w:vAlign w:val="center"/>
                  </w:tcPr>
                  <w:p w:rsidR="006144EF" w:rsidRDefault="006144EF" w:rsidP="00601D47">
                    <w:pPr>
                      <w:jc w:val="right"/>
                      <w:rPr>
                        <w:szCs w:val="21"/>
                      </w:rPr>
                    </w:pPr>
                    <w:r>
                      <w:rPr>
                        <w:szCs w:val="21"/>
                      </w:rPr>
                      <w:t>-20,596,427</w:t>
                    </w:r>
                  </w:p>
                </w:tc>
              </w:sdtContent>
            </w:sdt>
            <w:sdt>
              <w:sdtPr>
                <w:rPr>
                  <w:szCs w:val="21"/>
                </w:rPr>
                <w:alias w:val="非流动性资产处置损益，包括已计提资产减值准备的冲销部分的说明（非经常性损益项目）"/>
                <w:tag w:val="_GBC_cd8a7b3f2bbc4b59b588f24b6e3813ad"/>
                <w:id w:val="26389357"/>
                <w:lock w:val="sdtLocked"/>
                <w:dataBinding w:prefixMappings="xmlns:clcid-pte='clcid-pte'" w:xpath="/*/clcid-pte:FeiLiuDongXingZiChanChuZhiSunYiBaoKuoYiJiTiZiChanJianZhiZhunBeiDeChongXiaoBuFenFeiJingChangXingSunYiXiangMuShuoMing[not(@periodRef)]" w:storeItemID="{89EBAB94-44A0-46A2-B712-30D997D04A6D}"/>
                <w:text/>
              </w:sdtPr>
              <w:sdtContent>
                <w:tc>
                  <w:tcPr>
                    <w:tcW w:w="784" w:type="pct"/>
                    <w:vAlign w:val="center"/>
                  </w:tcPr>
                  <w:p w:rsidR="006144EF" w:rsidRDefault="006144EF" w:rsidP="00601D47">
                    <w:pPr>
                      <w:rPr>
                        <w:szCs w:val="21"/>
                      </w:rPr>
                    </w:pPr>
                    <w:r>
                      <w:rPr>
                        <w:rFonts w:hint="eastAsia"/>
                        <w:szCs w:val="21"/>
                      </w:rPr>
                      <w:t xml:space="preserve">　</w:t>
                    </w:r>
                  </w:p>
                </w:tc>
              </w:sdtContent>
            </w:sdt>
            <w:tc>
              <w:tcPr>
                <w:tcW w:w="758" w:type="pct"/>
                <w:vAlign w:val="center"/>
              </w:tcPr>
              <w:p w:rsidR="006144EF" w:rsidRDefault="006144EF" w:rsidP="00601D47">
                <w:pPr>
                  <w:jc w:val="right"/>
                  <w:rPr>
                    <w:szCs w:val="21"/>
                  </w:rPr>
                </w:pPr>
                <w:r>
                  <w:t>-33,526,778</w:t>
                </w:r>
              </w:p>
            </w:tc>
            <w:tc>
              <w:tcPr>
                <w:tcW w:w="758" w:type="pct"/>
                <w:vAlign w:val="center"/>
              </w:tcPr>
              <w:p w:rsidR="006144EF" w:rsidRDefault="006144EF" w:rsidP="00601D47">
                <w:pPr>
                  <w:jc w:val="right"/>
                  <w:rPr>
                    <w:szCs w:val="21"/>
                  </w:rPr>
                </w:pPr>
                <w:r>
                  <w:t>27,295,555</w:t>
                </w:r>
              </w:p>
            </w:tc>
          </w:tr>
          <w:tr w:rsidR="006144EF" w:rsidTr="00601D47">
            <w:sdt>
              <w:sdtPr>
                <w:tag w:val="_PLD_3a31f0c17a06427898ec246148becf2e"/>
                <w:id w:val="26389361"/>
                <w:lock w:val="sdtLocked"/>
              </w:sdtPr>
              <w:sdtContent>
                <w:tc>
                  <w:tcPr>
                    <w:tcW w:w="1944" w:type="pct"/>
                  </w:tcPr>
                  <w:p w:rsidR="006144EF" w:rsidRDefault="006144EF" w:rsidP="00601D47">
                    <w:pPr>
                      <w:pStyle w:val="a9"/>
                      <w:ind w:firstLineChars="0" w:firstLine="0"/>
                      <w:jc w:val="left"/>
                      <w:rPr>
                        <w:szCs w:val="21"/>
                      </w:rPr>
                    </w:pPr>
                    <w:r>
                      <w:rPr>
                        <w:szCs w:val="21"/>
                      </w:rPr>
                      <w:t>计入当期损益的政府补助，但与公司正常经营业务密切相关，符合国家政策规定、按照一定标准定额或定量持续享受的政府补助除外</w:t>
                    </w:r>
                  </w:p>
                </w:tc>
              </w:sdtContent>
            </w:sdt>
            <w:sdt>
              <w:sdtPr>
                <w:rPr>
                  <w:szCs w:val="21"/>
                </w:rPr>
                <w:alias w:val="计入当期损益的政府补助，但与公司正常经营业务密切相关，符合国家政策规定、按照一定标准定额或定量持续享受的政府补助除外（非经常性损"/>
                <w:tag w:val="_GBC_64d7a5b8c906488daff056242b76207a"/>
                <w:id w:val="26389362"/>
                <w:lock w:val="sdtLocked"/>
                <w:dataBinding w:prefixMappings="xmlns:clcid-pte='clcid-pte'" w:xpath="/*/clcid-pte:FeiJingChangXingSunYiZhongGeZhongXingShiDeZhengFuBuTie[not(@periodRef)]" w:storeItemID="{89EBAB94-44A0-46A2-B712-30D997D04A6D}"/>
                <w:text/>
              </w:sdtPr>
              <w:sdtContent>
                <w:tc>
                  <w:tcPr>
                    <w:tcW w:w="758" w:type="pct"/>
                    <w:vAlign w:val="center"/>
                  </w:tcPr>
                  <w:p w:rsidR="006144EF" w:rsidRDefault="006144EF" w:rsidP="00601D47">
                    <w:pPr>
                      <w:jc w:val="right"/>
                      <w:rPr>
                        <w:szCs w:val="21"/>
                      </w:rPr>
                    </w:pPr>
                    <w:r>
                      <w:rPr>
                        <w:szCs w:val="21"/>
                      </w:rPr>
                      <w:t>188,372,378</w:t>
                    </w:r>
                  </w:p>
                </w:tc>
              </w:sdtContent>
            </w:sdt>
            <w:sdt>
              <w:sdtPr>
                <w:rPr>
                  <w:szCs w:val="21"/>
                </w:rPr>
                <w:alias w:val="计入当期损益的政府补助，但与公司正常经营业务密切相关，符合国家政策规定、按照一定标准定额或定量持续享受的政府补助除外的说明（非经"/>
                <w:tag w:val="_GBC_649768473bc54b6dae5982bc6739afbc"/>
                <w:id w:val="26389363"/>
                <w:lock w:val="sdtLocked"/>
                <w:dataBinding w:prefixMappings="xmlns:clcid-pte='clcid-pte'" w:xpath="/*/clcid-pte:FeiJingChangXingSunYiZhongGeZhongXingShiDeZhengFuBuTieShuoMing[not(@periodRef)]" w:storeItemID="{89EBAB94-44A0-46A2-B712-30D997D04A6D}"/>
                <w:text/>
              </w:sdtPr>
              <w:sdtContent>
                <w:tc>
                  <w:tcPr>
                    <w:tcW w:w="784" w:type="pct"/>
                    <w:vAlign w:val="center"/>
                  </w:tcPr>
                  <w:p w:rsidR="006144EF" w:rsidRDefault="006144EF" w:rsidP="00601D47">
                    <w:pPr>
                      <w:rPr>
                        <w:szCs w:val="21"/>
                      </w:rPr>
                    </w:pPr>
                    <w:r>
                      <w:rPr>
                        <w:rFonts w:hint="eastAsia"/>
                        <w:szCs w:val="21"/>
                      </w:rPr>
                      <w:t xml:space="preserve">　</w:t>
                    </w:r>
                  </w:p>
                </w:tc>
              </w:sdtContent>
            </w:sdt>
            <w:tc>
              <w:tcPr>
                <w:tcW w:w="758" w:type="pct"/>
                <w:vAlign w:val="center"/>
              </w:tcPr>
              <w:p w:rsidR="006144EF" w:rsidRDefault="006144EF" w:rsidP="00601D47">
                <w:pPr>
                  <w:jc w:val="right"/>
                  <w:rPr>
                    <w:szCs w:val="21"/>
                  </w:rPr>
                </w:pPr>
                <w:r>
                  <w:t>82,603,637</w:t>
                </w:r>
              </w:p>
            </w:tc>
            <w:tc>
              <w:tcPr>
                <w:tcW w:w="758" w:type="pct"/>
                <w:vAlign w:val="center"/>
              </w:tcPr>
              <w:p w:rsidR="006144EF" w:rsidRPr="00A80884" w:rsidRDefault="006144EF" w:rsidP="00A80884">
                <w:pPr>
                  <w:jc w:val="right"/>
                </w:pPr>
                <w:r>
                  <w:t>125,</w:t>
                </w:r>
                <w:r w:rsidR="00A80884">
                  <w:rPr>
                    <w:rFonts w:hint="eastAsia"/>
                  </w:rPr>
                  <w:t>804</w:t>
                </w:r>
                <w:r>
                  <w:t>,784</w:t>
                </w:r>
              </w:p>
            </w:tc>
          </w:tr>
          <w:tr w:rsidR="006144EF" w:rsidTr="00601D47">
            <w:sdt>
              <w:sdtPr>
                <w:tag w:val="_PLD_963eacd156f348688a85a48cabff7807"/>
                <w:id w:val="26389388"/>
                <w:lock w:val="sdtLocked"/>
              </w:sdtPr>
              <w:sdtContent>
                <w:tc>
                  <w:tcPr>
                    <w:tcW w:w="1944" w:type="pct"/>
                  </w:tcPr>
                  <w:p w:rsidR="006144EF" w:rsidRDefault="006144EF" w:rsidP="00601D47">
                    <w:pPr>
                      <w:pStyle w:val="a9"/>
                      <w:ind w:firstLineChars="0" w:firstLine="0"/>
                      <w:jc w:val="left"/>
                      <w:rPr>
                        <w:szCs w:val="21"/>
                      </w:rPr>
                    </w:pPr>
                    <w:r>
                      <w:rPr>
                        <w:szCs w:val="21"/>
                      </w:rPr>
                      <w:t>同一控制下企业合并产生的子公司期初至合并日的当期净损益</w:t>
                    </w:r>
                  </w:p>
                </w:tc>
              </w:sdtContent>
            </w:sdt>
            <w:sdt>
              <w:sdtPr>
                <w:rPr>
                  <w:szCs w:val="21"/>
                </w:rPr>
                <w:alias w:val="同一控制下企业合并产生的子公司期初至合并日的当期净损益（非经常性损益项目）"/>
                <w:tag w:val="_GBC_f12a9ff39ba74938b375e450b22f2e96"/>
                <w:id w:val="26389389"/>
                <w:lock w:val="sdtLocked"/>
                <w:showingPlcHdr/>
                <w:dataBinding w:prefixMappings="xmlns:clcid-pte='clcid-pte'" w:xpath="/*/clcid-pte:TongYiKongZhiXiaQiYeHeBingChanShengDeZiGongSiQiChuZhiHeBingRiDeDangQiJingSunYi[not(@periodRef)]" w:storeItemID="{89EBAB94-44A0-46A2-B712-30D997D04A6D}"/>
                <w:text/>
              </w:sdtPr>
              <w:sdtContent>
                <w:tc>
                  <w:tcPr>
                    <w:tcW w:w="758" w:type="pct"/>
                    <w:vAlign w:val="center"/>
                  </w:tcPr>
                  <w:p w:rsidR="006144EF" w:rsidRDefault="006144EF" w:rsidP="00601D47">
                    <w:pPr>
                      <w:jc w:val="right"/>
                      <w:rPr>
                        <w:szCs w:val="21"/>
                      </w:rPr>
                    </w:pPr>
                    <w:r>
                      <w:rPr>
                        <w:rFonts w:hint="eastAsia"/>
                        <w:szCs w:val="21"/>
                      </w:rPr>
                      <w:t xml:space="preserve">　</w:t>
                    </w:r>
                  </w:p>
                </w:tc>
              </w:sdtContent>
            </w:sdt>
            <w:sdt>
              <w:sdtPr>
                <w:rPr>
                  <w:szCs w:val="21"/>
                </w:rPr>
                <w:alias w:val="同一控制下企业合并产生的子公司期初至合并日的当期净损益的说明（非经常性损益项目）"/>
                <w:tag w:val="_GBC_4a14bffeec944c53ba7b0dc36b9cfe0e"/>
                <w:id w:val="26389390"/>
                <w:lock w:val="sdtLocked"/>
                <w:showingPlcHdr/>
                <w:dataBinding w:prefixMappings="xmlns:clcid-pte='clcid-pte'" w:xpath="/*/clcid-pte:TongYiKongZhiXiaQiYeHeBingChanShengDeZiGongSiQiChuZhiHeBingRiDeDangQiJingSunYiShuoMing[not(@periodRef)]" w:storeItemID="{89EBAB94-44A0-46A2-B712-30D997D04A6D}"/>
                <w:text/>
              </w:sdtPr>
              <w:sdtContent>
                <w:tc>
                  <w:tcPr>
                    <w:tcW w:w="784" w:type="pct"/>
                    <w:vAlign w:val="center"/>
                  </w:tcPr>
                  <w:p w:rsidR="006144EF" w:rsidRDefault="006144EF" w:rsidP="00601D47">
                    <w:pPr>
                      <w:rPr>
                        <w:szCs w:val="21"/>
                      </w:rPr>
                    </w:pPr>
                    <w:r>
                      <w:rPr>
                        <w:rFonts w:hint="eastAsia"/>
                        <w:szCs w:val="21"/>
                      </w:rPr>
                      <w:t xml:space="preserve">　</w:t>
                    </w:r>
                  </w:p>
                </w:tc>
              </w:sdtContent>
            </w:sdt>
            <w:tc>
              <w:tcPr>
                <w:tcW w:w="758" w:type="pct"/>
                <w:vAlign w:val="center"/>
              </w:tcPr>
              <w:p w:rsidR="006144EF" w:rsidRDefault="006144EF" w:rsidP="00601D47">
                <w:pPr>
                  <w:rPr>
                    <w:sz w:val="24"/>
                  </w:rPr>
                </w:pPr>
                <w:r>
                  <w:t>-12,261,487</w:t>
                </w:r>
              </w:p>
            </w:tc>
            <w:tc>
              <w:tcPr>
                <w:tcW w:w="758" w:type="pct"/>
                <w:vAlign w:val="center"/>
              </w:tcPr>
              <w:p w:rsidR="006144EF" w:rsidRDefault="006144EF" w:rsidP="00A80884">
                <w:pPr>
                  <w:jc w:val="right"/>
                  <w:rPr>
                    <w:sz w:val="24"/>
                  </w:rPr>
                </w:pPr>
                <w:r>
                  <w:t>-164,740,025</w:t>
                </w:r>
              </w:p>
            </w:tc>
          </w:tr>
          <w:tr w:rsidR="006144EF" w:rsidTr="00601D47">
            <w:sdt>
              <w:sdtPr>
                <w:tag w:val="_PLD_e6be33fdedf14f828b768e63f66776a7"/>
                <w:id w:val="26389412"/>
                <w:lock w:val="sdtLocked"/>
              </w:sdtPr>
              <w:sdtContent>
                <w:tc>
                  <w:tcPr>
                    <w:tcW w:w="1944" w:type="pct"/>
                  </w:tcPr>
                  <w:p w:rsidR="006144EF" w:rsidRDefault="006144EF" w:rsidP="00601D47">
                    <w:pPr>
                      <w:pStyle w:val="a9"/>
                      <w:ind w:firstLineChars="0" w:firstLine="0"/>
                      <w:jc w:val="left"/>
                      <w:rPr>
                        <w:szCs w:val="21"/>
                      </w:rPr>
                    </w:pPr>
                    <w:r>
                      <w:rPr>
                        <w:szCs w:val="21"/>
                      </w:rPr>
                      <w:t>除上述各项之外的其他营业外收入和支出</w:t>
                    </w:r>
                  </w:p>
                </w:tc>
              </w:sdtContent>
            </w:sdt>
            <w:sdt>
              <w:sdtPr>
                <w:rPr>
                  <w:szCs w:val="21"/>
                </w:rPr>
                <w:alias w:val="除上述各项之外的其他营业外收入和支出（非经常性损益项目）"/>
                <w:tag w:val="_GBC_a773965a05794857b243336e0cfaa234"/>
                <w:id w:val="26389413"/>
                <w:lock w:val="sdtLocked"/>
                <w:dataBinding w:prefixMappings="xmlns:clcid-pte='clcid-pte'" w:xpath="/*/clcid-pte:ChuShangShuGeXiangZhiWaiDeQiTaYingYeWaiShouZhiJingE[not(@periodRef)]" w:storeItemID="{89EBAB94-44A0-46A2-B712-30D997D04A6D}"/>
                <w:text/>
              </w:sdtPr>
              <w:sdtContent>
                <w:tc>
                  <w:tcPr>
                    <w:tcW w:w="758" w:type="pct"/>
                    <w:vAlign w:val="center"/>
                  </w:tcPr>
                  <w:p w:rsidR="006144EF" w:rsidRDefault="006144EF" w:rsidP="00601D47">
                    <w:pPr>
                      <w:jc w:val="right"/>
                      <w:rPr>
                        <w:szCs w:val="21"/>
                      </w:rPr>
                    </w:pPr>
                    <w:r>
                      <w:rPr>
                        <w:szCs w:val="21"/>
                      </w:rPr>
                      <w:t>-79,788,830</w:t>
                    </w:r>
                  </w:p>
                </w:tc>
              </w:sdtContent>
            </w:sdt>
            <w:sdt>
              <w:sdtPr>
                <w:rPr>
                  <w:szCs w:val="21"/>
                </w:rPr>
                <w:alias w:val="除上述各项之外的其他营业外收入和支出的说明（非经常性损益项目）"/>
                <w:tag w:val="_GBC_ac5f6194a5db40ea8e92409805b59f35"/>
                <w:id w:val="26389414"/>
                <w:lock w:val="sdtLocked"/>
                <w:dataBinding w:prefixMappings="xmlns:clcid-pte='clcid-pte'" w:xpath="/*/clcid-pte:ChuShangShuGeXiangZhiWaiDeQiTaYingYeWaiShouZhiJingEShuoMing[not(@periodRef)]" w:storeItemID="{89EBAB94-44A0-46A2-B712-30D997D04A6D}"/>
                <w:text/>
              </w:sdtPr>
              <w:sdtContent>
                <w:tc>
                  <w:tcPr>
                    <w:tcW w:w="784" w:type="pct"/>
                    <w:vAlign w:val="center"/>
                  </w:tcPr>
                  <w:p w:rsidR="006144EF" w:rsidRDefault="006144EF" w:rsidP="00601D47">
                    <w:pPr>
                      <w:rPr>
                        <w:szCs w:val="21"/>
                      </w:rPr>
                    </w:pPr>
                    <w:r>
                      <w:rPr>
                        <w:rFonts w:hint="eastAsia"/>
                        <w:szCs w:val="21"/>
                      </w:rPr>
                      <w:t xml:space="preserve">　</w:t>
                    </w:r>
                  </w:p>
                </w:tc>
              </w:sdtContent>
            </w:sdt>
            <w:tc>
              <w:tcPr>
                <w:tcW w:w="758" w:type="pct"/>
                <w:vAlign w:val="center"/>
              </w:tcPr>
              <w:p w:rsidR="006144EF" w:rsidRDefault="006144EF" w:rsidP="00601D47">
                <w:pPr>
                  <w:jc w:val="right"/>
                  <w:rPr>
                    <w:szCs w:val="21"/>
                  </w:rPr>
                </w:pPr>
                <w:r>
                  <w:t>-71,210,499</w:t>
                </w:r>
              </w:p>
            </w:tc>
            <w:tc>
              <w:tcPr>
                <w:tcW w:w="758" w:type="pct"/>
                <w:vAlign w:val="center"/>
              </w:tcPr>
              <w:p w:rsidR="006144EF" w:rsidRDefault="006144EF" w:rsidP="00601D47">
                <w:pPr>
                  <w:jc w:val="right"/>
                  <w:rPr>
                    <w:szCs w:val="21"/>
                  </w:rPr>
                </w:pPr>
                <w:r>
                  <w:t>-117,203,881</w:t>
                </w:r>
              </w:p>
            </w:tc>
          </w:tr>
          <w:tr w:rsidR="006144EF" w:rsidTr="00601D47">
            <w:sdt>
              <w:sdtPr>
                <w:tag w:val="_PLD_f36791cf59a8480abcd9c8ff79bd2231"/>
                <w:id w:val="26389418"/>
                <w:lock w:val="sdtLocked"/>
              </w:sdtPr>
              <w:sdtContent>
                <w:tc>
                  <w:tcPr>
                    <w:tcW w:w="1944" w:type="pct"/>
                  </w:tcPr>
                  <w:p w:rsidR="006144EF" w:rsidRDefault="006144EF" w:rsidP="00601D47">
                    <w:pPr>
                      <w:pStyle w:val="a9"/>
                      <w:ind w:firstLineChars="0" w:firstLine="0"/>
                      <w:jc w:val="left"/>
                      <w:rPr>
                        <w:szCs w:val="21"/>
                      </w:rPr>
                    </w:pPr>
                    <w:r>
                      <w:rPr>
                        <w:rFonts w:hint="eastAsia"/>
                      </w:rPr>
                      <w:t>减：</w:t>
                    </w:r>
                    <w:r>
                      <w:rPr>
                        <w:szCs w:val="21"/>
                      </w:rPr>
                      <w:t>所得税影响额</w:t>
                    </w:r>
                  </w:p>
                </w:tc>
              </w:sdtContent>
            </w:sdt>
            <w:sdt>
              <w:sdtPr>
                <w:rPr>
                  <w:szCs w:val="21"/>
                </w:rPr>
                <w:alias w:val="非经常性损益_对所得税的影响"/>
                <w:tag w:val="_GBC_e14f120878e34174ad3744d5e7db4eea"/>
                <w:id w:val="26389419"/>
                <w:lock w:val="sdtLocked"/>
                <w:dataBinding w:prefixMappings="xmlns:clcid-pte='clcid-pte'" w:xpath="/*/clcid-pte:FeiJingChangXingSunYiDeKouChuXiangMuDuiSuoDeShuiDeYingXiang[not(@periodRef)]" w:storeItemID="{89EBAB94-44A0-46A2-B712-30D997D04A6D}"/>
                <w:text/>
              </w:sdtPr>
              <w:sdtContent>
                <w:tc>
                  <w:tcPr>
                    <w:tcW w:w="758" w:type="pct"/>
                    <w:vAlign w:val="center"/>
                  </w:tcPr>
                  <w:p w:rsidR="006144EF" w:rsidRDefault="006144EF" w:rsidP="00601D47">
                    <w:pPr>
                      <w:jc w:val="right"/>
                      <w:rPr>
                        <w:szCs w:val="21"/>
                      </w:rPr>
                    </w:pPr>
                    <w:r>
                      <w:rPr>
                        <w:szCs w:val="21"/>
                      </w:rPr>
                      <w:t>22,542,683</w:t>
                    </w:r>
                  </w:p>
                </w:tc>
              </w:sdtContent>
            </w:sdt>
            <w:sdt>
              <w:sdtPr>
                <w:rPr>
                  <w:szCs w:val="21"/>
                </w:rPr>
                <w:alias w:val="所得税影响额的说明（非经常性损益项目）"/>
                <w:tag w:val="_GBC_fd22684ee3ac4dbea3da29cb32093302"/>
                <w:id w:val="26389420"/>
                <w:lock w:val="sdtLocked"/>
                <w:dataBinding w:prefixMappings="xmlns:clcid-pte='clcid-pte'" w:xpath="/*/clcid-pte:FeiJingChangXingSunYiDeKouChuXiangMuDuiSuoDeShuiDeYingXiangShuoMing[not(@periodRef)]" w:storeItemID="{89EBAB94-44A0-46A2-B712-30D997D04A6D}"/>
                <w:text/>
              </w:sdtPr>
              <w:sdtContent>
                <w:tc>
                  <w:tcPr>
                    <w:tcW w:w="784" w:type="pct"/>
                    <w:vAlign w:val="center"/>
                  </w:tcPr>
                  <w:p w:rsidR="006144EF" w:rsidRDefault="006144EF" w:rsidP="00601D47">
                    <w:pPr>
                      <w:rPr>
                        <w:szCs w:val="21"/>
                      </w:rPr>
                    </w:pPr>
                    <w:r>
                      <w:rPr>
                        <w:rFonts w:hint="eastAsia"/>
                        <w:szCs w:val="21"/>
                      </w:rPr>
                      <w:t xml:space="preserve">　</w:t>
                    </w:r>
                  </w:p>
                </w:tc>
              </w:sdtContent>
            </w:sdt>
            <w:tc>
              <w:tcPr>
                <w:tcW w:w="758" w:type="pct"/>
                <w:vAlign w:val="center"/>
              </w:tcPr>
              <w:p w:rsidR="006144EF" w:rsidRDefault="006144EF" w:rsidP="00601D47">
                <w:pPr>
                  <w:jc w:val="right"/>
                  <w:rPr>
                    <w:szCs w:val="21"/>
                  </w:rPr>
                </w:pPr>
                <w:r>
                  <w:t>-6,023,695</w:t>
                </w:r>
              </w:p>
            </w:tc>
            <w:tc>
              <w:tcPr>
                <w:tcW w:w="758" w:type="pct"/>
                <w:vAlign w:val="center"/>
              </w:tcPr>
              <w:p w:rsidR="006144EF" w:rsidRDefault="006144EF" w:rsidP="00601D47">
                <w:pPr>
                  <w:jc w:val="right"/>
                  <w:rPr>
                    <w:szCs w:val="21"/>
                  </w:rPr>
                </w:pPr>
                <w:r>
                  <w:t>11,420,276</w:t>
                </w:r>
              </w:p>
            </w:tc>
          </w:tr>
          <w:tr w:rsidR="006144EF" w:rsidTr="00601D47">
            <w:sdt>
              <w:sdtPr>
                <w:tag w:val="_PLD_0149f9eb956c4e448b13c00025046984"/>
                <w:id w:val="26389421"/>
                <w:lock w:val="sdtLocked"/>
              </w:sdtPr>
              <w:sdtContent>
                <w:tc>
                  <w:tcPr>
                    <w:tcW w:w="1944" w:type="pct"/>
                  </w:tcPr>
                  <w:p w:rsidR="006144EF" w:rsidRDefault="006144EF" w:rsidP="00601D47">
                    <w:pPr>
                      <w:pStyle w:val="a9"/>
                      <w:jc w:val="left"/>
                      <w:rPr>
                        <w:szCs w:val="21"/>
                      </w:rPr>
                    </w:pPr>
                    <w:r>
                      <w:rPr>
                        <w:szCs w:val="21"/>
                      </w:rPr>
                      <w:t>少数股东权益影响额</w:t>
                    </w:r>
                    <w:r>
                      <w:rPr>
                        <w:rFonts w:hint="eastAsia"/>
                        <w:szCs w:val="21"/>
                      </w:rPr>
                      <w:t>（税后）</w:t>
                    </w:r>
                  </w:p>
                </w:tc>
              </w:sdtContent>
            </w:sdt>
            <w:sdt>
              <w:sdtPr>
                <w:rPr>
                  <w:szCs w:val="21"/>
                </w:rPr>
                <w:alias w:val="少数股东权益影响额（非经常性损益项目）"/>
                <w:tag w:val="_GBC_8a33ddc327de4910a42517cecea4257d"/>
                <w:id w:val="26389422"/>
                <w:lock w:val="sdtLocked"/>
                <w:dataBinding w:prefixMappings="xmlns:clcid-pte='clcid-pte'" w:xpath="/*/clcid-pte:FeiJingChangXingSunYiXiangMuZhongShaoShuGuDongQuanYiYingXiangE[not(@periodRef)]" w:storeItemID="{89EBAB94-44A0-46A2-B712-30D997D04A6D}"/>
                <w:text/>
              </w:sdtPr>
              <w:sdtContent>
                <w:tc>
                  <w:tcPr>
                    <w:tcW w:w="758" w:type="pct"/>
                    <w:vAlign w:val="center"/>
                  </w:tcPr>
                  <w:p w:rsidR="006144EF" w:rsidRDefault="00053743" w:rsidP="00601D47">
                    <w:pPr>
                      <w:jc w:val="right"/>
                      <w:rPr>
                        <w:szCs w:val="21"/>
                      </w:rPr>
                    </w:pPr>
                    <w:r>
                      <w:rPr>
                        <w:szCs w:val="21"/>
                      </w:rPr>
                      <w:t>-</w:t>
                    </w:r>
                    <w:r w:rsidR="007D20BF">
                      <w:rPr>
                        <w:szCs w:val="21"/>
                      </w:rPr>
                      <w:t>127,743</w:t>
                    </w:r>
                  </w:p>
                </w:tc>
              </w:sdtContent>
            </w:sdt>
            <w:sdt>
              <w:sdtPr>
                <w:rPr>
                  <w:szCs w:val="21"/>
                </w:rPr>
                <w:alias w:val="少数股东权益影响额的说明（非经常性损益项目）"/>
                <w:tag w:val="_GBC_f99579c660ec489493ceb1b242ea1220"/>
                <w:id w:val="26389423"/>
                <w:lock w:val="sdtLocked"/>
                <w:dataBinding w:prefixMappings="xmlns:clcid-pte='clcid-pte'" w:xpath="/*/clcid-pte:FeiJingChangXingSunYiXiangMuZhongShaoShuGuDongQuanYiYingXiangEShuoMing[not(@periodRef)]" w:storeItemID="{89EBAB94-44A0-46A2-B712-30D997D04A6D}"/>
                <w:text/>
              </w:sdtPr>
              <w:sdtContent>
                <w:tc>
                  <w:tcPr>
                    <w:tcW w:w="784" w:type="pct"/>
                    <w:vAlign w:val="center"/>
                  </w:tcPr>
                  <w:p w:rsidR="006144EF" w:rsidRDefault="006144EF" w:rsidP="00601D47">
                    <w:pPr>
                      <w:rPr>
                        <w:szCs w:val="21"/>
                      </w:rPr>
                    </w:pPr>
                    <w:r>
                      <w:rPr>
                        <w:rFonts w:hint="eastAsia"/>
                        <w:szCs w:val="21"/>
                      </w:rPr>
                      <w:t xml:space="preserve">　</w:t>
                    </w:r>
                  </w:p>
                </w:tc>
              </w:sdtContent>
            </w:sdt>
            <w:tc>
              <w:tcPr>
                <w:tcW w:w="758" w:type="pct"/>
                <w:vAlign w:val="center"/>
              </w:tcPr>
              <w:p w:rsidR="006144EF" w:rsidRDefault="006144EF" w:rsidP="00601D47">
                <w:pPr>
                  <w:jc w:val="right"/>
                  <w:rPr>
                    <w:szCs w:val="21"/>
                  </w:rPr>
                </w:pPr>
                <w:r>
                  <w:t>-2,273,354</w:t>
                </w:r>
              </w:p>
            </w:tc>
            <w:tc>
              <w:tcPr>
                <w:tcW w:w="758" w:type="pct"/>
                <w:vAlign w:val="center"/>
              </w:tcPr>
              <w:p w:rsidR="006144EF" w:rsidRDefault="006144EF" w:rsidP="00601D47">
                <w:pPr>
                  <w:jc w:val="right"/>
                  <w:rPr>
                    <w:szCs w:val="21"/>
                  </w:rPr>
                </w:pPr>
                <w:r>
                  <w:t>-47,894,884</w:t>
                </w:r>
              </w:p>
            </w:tc>
          </w:tr>
          <w:tr w:rsidR="006144EF" w:rsidTr="00601D47">
            <w:sdt>
              <w:sdtPr>
                <w:tag w:val="_PLD_cdd9c8f04b3e40cfa4a4a82686706b76"/>
                <w:id w:val="26389424"/>
                <w:lock w:val="sdtLocked"/>
              </w:sdtPr>
              <w:sdtContent>
                <w:tc>
                  <w:tcPr>
                    <w:tcW w:w="1944" w:type="pct"/>
                    <w:vAlign w:val="center"/>
                  </w:tcPr>
                  <w:p w:rsidR="006144EF" w:rsidRDefault="006144EF" w:rsidP="00601D47">
                    <w:pPr>
                      <w:pStyle w:val="a9"/>
                      <w:ind w:firstLineChars="0" w:firstLine="0"/>
                      <w:jc w:val="center"/>
                      <w:rPr>
                        <w:szCs w:val="21"/>
                      </w:rPr>
                    </w:pPr>
                    <w:r>
                      <w:rPr>
                        <w:szCs w:val="21"/>
                      </w:rPr>
                      <w:t>合计</w:t>
                    </w:r>
                  </w:p>
                </w:tc>
              </w:sdtContent>
            </w:sdt>
            <w:sdt>
              <w:sdtPr>
                <w:rPr>
                  <w:szCs w:val="21"/>
                </w:rPr>
                <w:alias w:val="扣除的非经常性损益合计"/>
                <w:tag w:val="_GBC_27f939c97c8647838fab8288ea8c5220"/>
                <w:id w:val="26389425"/>
                <w:lock w:val="sdtLocked"/>
                <w:dataBinding w:prefixMappings="xmlns:clcid-pte='clcid-pte'" w:xpath="/*/clcid-pte:KouChuDeFeiJingChangXingSunYiHeJi[not(@periodRef)]" w:storeItemID="{89EBAB94-44A0-46A2-B712-30D997D04A6D}"/>
                <w:text/>
              </w:sdtPr>
              <w:sdtContent>
                <w:tc>
                  <w:tcPr>
                    <w:tcW w:w="758" w:type="pct"/>
                    <w:vAlign w:val="center"/>
                  </w:tcPr>
                  <w:p w:rsidR="006144EF" w:rsidRDefault="006144EF" w:rsidP="00601D47">
                    <w:pPr>
                      <w:jc w:val="right"/>
                      <w:rPr>
                        <w:szCs w:val="21"/>
                      </w:rPr>
                    </w:pPr>
                    <w:r>
                      <w:rPr>
                        <w:szCs w:val="21"/>
                      </w:rPr>
                      <w:t>65,572,181</w:t>
                    </w:r>
                  </w:p>
                </w:tc>
              </w:sdtContent>
            </w:sdt>
            <w:sdt>
              <w:sdtPr>
                <w:rPr>
                  <w:szCs w:val="21"/>
                </w:rPr>
                <w:alias w:val="扣除的非经常性损益合计说明"/>
                <w:tag w:val="_GBC_7d667fbe166547a9b35986a48bb69a40"/>
                <w:id w:val="26389426"/>
                <w:lock w:val="sdtLocked"/>
                <w:dataBinding w:prefixMappings="xmlns:clcid-pte='clcid-pte'" w:xpath="/*/clcid-pte:KouChuDeFeiJingChangXingSunYiHeJiShuoMing[not(@periodRef)]" w:storeItemID="{89EBAB94-44A0-46A2-B712-30D997D04A6D}"/>
                <w:text/>
              </w:sdtPr>
              <w:sdtContent>
                <w:tc>
                  <w:tcPr>
                    <w:tcW w:w="784" w:type="pct"/>
                    <w:vAlign w:val="center"/>
                  </w:tcPr>
                  <w:p w:rsidR="006144EF" w:rsidRDefault="006144EF" w:rsidP="00601D47">
                    <w:pPr>
                      <w:rPr>
                        <w:szCs w:val="21"/>
                      </w:rPr>
                    </w:pPr>
                    <w:r>
                      <w:rPr>
                        <w:rFonts w:hint="eastAsia"/>
                        <w:szCs w:val="21"/>
                      </w:rPr>
                      <w:t xml:space="preserve">　</w:t>
                    </w:r>
                  </w:p>
                </w:tc>
              </w:sdtContent>
            </w:sdt>
            <w:tc>
              <w:tcPr>
                <w:tcW w:w="758" w:type="pct"/>
                <w:vAlign w:val="center"/>
              </w:tcPr>
              <w:p w:rsidR="006144EF" w:rsidRDefault="006144EF" w:rsidP="00601D47">
                <w:pPr>
                  <w:jc w:val="right"/>
                  <w:rPr>
                    <w:szCs w:val="21"/>
                  </w:rPr>
                </w:pPr>
                <w:r>
                  <w:t>-26,098,078</w:t>
                </w:r>
              </w:p>
            </w:tc>
            <w:tc>
              <w:tcPr>
                <w:tcW w:w="758" w:type="pct"/>
                <w:vAlign w:val="center"/>
              </w:tcPr>
              <w:p w:rsidR="006144EF" w:rsidRDefault="006144EF" w:rsidP="00601D47">
                <w:pPr>
                  <w:jc w:val="right"/>
                  <w:rPr>
                    <w:szCs w:val="21"/>
                  </w:rPr>
                </w:pPr>
                <w:r>
                  <w:t>-92,368,959</w:t>
                </w:r>
              </w:p>
            </w:tc>
          </w:tr>
        </w:tbl>
        <w:p w:rsidR="00806678" w:rsidRDefault="00F80B6C"/>
      </w:sdtContent>
    </w:sdt>
    <w:bookmarkStart w:id="21" w:name="_Hlk41379873" w:displacedByCustomXml="next"/>
    <w:bookmarkStart w:id="22" w:name="_Hlk89096484" w:displacedByCustomXml="next"/>
    <w:sdt>
      <w:sdtPr>
        <w:rPr>
          <w:rFonts w:hAnsi="宋体" w:cs="宋体"/>
          <w:kern w:val="0"/>
          <w:szCs w:val="21"/>
        </w:rPr>
        <w:alias w:val="模块:将《公开发行证券的公司信息披露解释性公告第1号——非经常性损..."/>
        <w:tag w:val="_SEC_0910543556014fc1abc2864ad29c9f55"/>
        <w:id w:val="1274676920"/>
        <w:lock w:val="sdtLocked"/>
        <w:placeholder>
          <w:docPart w:val="GBC22222222222222222222222222222"/>
        </w:placeholder>
      </w:sdtPr>
      <w:sdtEndPr>
        <w:rPr>
          <w:szCs w:val="24"/>
        </w:rPr>
      </w:sdtEndPr>
      <w:sdtContent>
        <w:p w:rsidR="00806678" w:rsidRDefault="00B16377">
          <w:pPr>
            <w:pStyle w:val="ad"/>
            <w:adjustRightInd w:val="0"/>
            <w:snapToGrid w:val="0"/>
            <w:spacing w:line="200" w:lineRule="atLeast"/>
            <w:rPr>
              <w:rFonts w:hAnsi="宋体"/>
              <w:kern w:val="0"/>
              <w:szCs w:val="21"/>
            </w:rPr>
          </w:pPr>
          <w:r>
            <w:rPr>
              <w:rFonts w:hAnsi="宋体" w:cs="宋体" w:hint="eastAsia"/>
              <w:kern w:val="0"/>
              <w:szCs w:val="21"/>
            </w:rPr>
            <w:t>对公司根据《公开发行证券的公司信息披露解释性公告第</w:t>
          </w:r>
          <w:r>
            <w:rPr>
              <w:rFonts w:hAnsi="宋体" w:cs="宋体"/>
              <w:kern w:val="0"/>
              <w:szCs w:val="21"/>
            </w:rPr>
            <w:t>1号——非经常性损益》定义界定的非经常性损益项目，以及把《公开发行证券的公司信息披露解释性公告第1号——非经常性损益》中列举的非经常性损益项目界定为经常性损益的项目，应说明原因。</w:t>
          </w:r>
        </w:p>
        <w:sdt>
          <w:sdtPr>
            <w:alias w:val="是否适用：将非经常性损益项目界定为经常性损益项目[双击切换]"/>
            <w:tag w:val="_GBC_a4930715ddcb47d484e7fbd516fb3ac1"/>
            <w:id w:val="-1396112927"/>
            <w:lock w:val="sdtLocked"/>
            <w:placeholder>
              <w:docPart w:val="GBC22222222222222222222222222222"/>
            </w:placeholder>
          </w:sdtPr>
          <w:sdtContent>
            <w:p w:rsidR="005C6545" w:rsidRDefault="00F80B6C" w:rsidP="00B46929">
              <w:r>
                <w:fldChar w:fldCharType="begin"/>
              </w:r>
              <w:r w:rsidR="00B46929">
                <w:instrText xml:space="preserve"> MACROBUTTON  SnrToggleCheckbox □适用 </w:instrText>
              </w:r>
              <w:r>
                <w:fldChar w:fldCharType="end"/>
              </w:r>
              <w:r>
                <w:fldChar w:fldCharType="begin"/>
              </w:r>
              <w:r w:rsidR="00B46929">
                <w:instrText xml:space="preserve"> MACROBUTTON  SnrToggleCheckbox √不适用 </w:instrText>
              </w:r>
              <w:r>
                <w:fldChar w:fldCharType="end"/>
              </w:r>
            </w:p>
            <w:p w:rsidR="00806678" w:rsidRDefault="00F80B6C" w:rsidP="00B46929"/>
          </w:sdtContent>
        </w:sdt>
      </w:sdtContent>
    </w:sdt>
    <w:bookmarkEnd w:id="21" w:displacedByCustomXml="prev"/>
    <w:bookmarkEnd w:id="22" w:displacedByCustomXml="prev"/>
    <w:sdt>
      <w:sdtPr>
        <w:rPr>
          <w:rFonts w:ascii="宋体" w:hAnsi="宋体" w:cs="宋体" w:hint="eastAsia"/>
          <w:b w:val="0"/>
          <w:bCs w:val="0"/>
          <w:kern w:val="0"/>
          <w:szCs w:val="24"/>
        </w:rPr>
        <w:alias w:val="模块:采用公允价值计量的项目"/>
        <w:tag w:val="_SEC_4b13c06b07154e45b14204b22dd943ad"/>
        <w:id w:val="25718662"/>
        <w:lock w:val="sdtLocked"/>
        <w:placeholder>
          <w:docPart w:val="GBC22222222222222222222222222222"/>
        </w:placeholder>
      </w:sdtPr>
      <w:sdtContent>
        <w:p w:rsidR="00806678" w:rsidRDefault="00B16377">
          <w:pPr>
            <w:pStyle w:val="2"/>
            <w:numPr>
              <w:ilvl w:val="1"/>
              <w:numId w:val="4"/>
            </w:numPr>
            <w:ind w:left="496" w:hangingChars="236" w:hanging="496"/>
          </w:pPr>
          <w:r>
            <w:rPr>
              <w:rFonts w:hint="eastAsia"/>
            </w:rPr>
            <w:t>采用公允价值计量的项目</w:t>
          </w:r>
        </w:p>
        <w:sdt>
          <w:sdtPr>
            <w:alias w:val="是否适用：采用公允价值计量的项目[双击切换]"/>
            <w:tag w:val="_GBC_e89d76d7486246e0ac1d3db15e4df008"/>
            <w:id w:val="-24175043"/>
            <w:lock w:val="sdtLocked"/>
            <w:placeholder>
              <w:docPart w:val="GBC22222222222222222222222222222"/>
            </w:placeholder>
          </w:sdtPr>
          <w:sdtContent>
            <w:p w:rsidR="00806678" w:rsidRDefault="00F80B6C">
              <w:r>
                <w:fldChar w:fldCharType="begin"/>
              </w:r>
              <w:r w:rsidR="008E2169">
                <w:instrText xml:space="preserve">MACROBUTTON  SnrToggleCheckbox √适用 </w:instrText>
              </w:r>
              <w:r>
                <w:fldChar w:fldCharType="end"/>
              </w:r>
              <w:r>
                <w:fldChar w:fldCharType="begin"/>
              </w:r>
              <w:r w:rsidR="008E2169">
                <w:instrText xml:space="preserve"> MACROBUTTON  SnrToggleCheckbox □不适用 </w:instrText>
              </w:r>
              <w:r>
                <w:fldChar w:fldCharType="end"/>
              </w:r>
            </w:p>
          </w:sdtContent>
        </w:sdt>
        <w:p w:rsidR="00806678" w:rsidRDefault="00B16377">
          <w:pPr>
            <w:wordWrap w:val="0"/>
            <w:jc w:val="right"/>
            <w:rPr>
              <w:rFonts w:asciiTheme="minorEastAsia" w:eastAsiaTheme="minorEastAsia" w:hAnsiTheme="minorEastAsia"/>
              <w:szCs w:val="21"/>
            </w:rPr>
          </w:pPr>
          <w:r>
            <w:rPr>
              <w:rFonts w:asciiTheme="minorEastAsia" w:eastAsiaTheme="minorEastAsia" w:hAnsiTheme="minorEastAsia" w:hint="eastAsia"/>
              <w:szCs w:val="21"/>
            </w:rPr>
            <w:t>单位：</w:t>
          </w:r>
          <w:sdt>
            <w:sdtPr>
              <w:rPr>
                <w:rFonts w:asciiTheme="minorEastAsia" w:eastAsiaTheme="minorEastAsia" w:hAnsiTheme="minorEastAsia" w:hint="eastAsia"/>
                <w:szCs w:val="21"/>
              </w:rPr>
              <w:alias w:val="单位：采用公允价值计量的项目"/>
              <w:tag w:val="_GBC_3db790decc6f48c79df9bb825ea34c80"/>
              <w:id w:val="-117949833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Theme="minorEastAsia" w:eastAsiaTheme="minorEastAsia" w:hAnsiTheme="minorEastAsia" w:hint="eastAsia"/>
                  <w:szCs w:val="21"/>
                </w:rPr>
                <w:t>元</w:t>
              </w:r>
            </w:sdtContent>
          </w:sdt>
          <w:r>
            <w:rPr>
              <w:rFonts w:asciiTheme="minorEastAsia" w:eastAsiaTheme="minorEastAsia" w:hAnsiTheme="minorEastAsia" w:hint="eastAsia"/>
              <w:szCs w:val="21"/>
            </w:rPr>
            <w:t xml:space="preserve">  币种：</w:t>
          </w:r>
          <w:sdt>
            <w:sdtPr>
              <w:rPr>
                <w:rFonts w:asciiTheme="minorEastAsia" w:eastAsiaTheme="minorEastAsia" w:hAnsiTheme="minorEastAsia" w:hint="eastAsia"/>
                <w:szCs w:val="21"/>
              </w:rPr>
              <w:alias w:val="币种：采用公允价值计量的项目"/>
              <w:tag w:val="_GBC_6f16a5f9084343f1b7cf46e770d31080"/>
              <w:id w:val="-176051347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Theme="minorEastAsia" w:eastAsiaTheme="minorEastAsia" w:hAnsiTheme="minorEastAsia" w:hint="eastAsia"/>
                  <w:szCs w:val="21"/>
                </w:rPr>
                <w:t>人民币</w:t>
              </w:r>
            </w:sdtContent>
          </w:sdt>
        </w:p>
        <w:tbl>
          <w:tblPr>
            <w:tblStyle w:val="a6"/>
            <w:tblW w:w="0" w:type="auto"/>
            <w:tblLook w:val="04A0"/>
          </w:tblPr>
          <w:tblGrid>
            <w:gridCol w:w="1951"/>
            <w:gridCol w:w="1699"/>
            <w:gridCol w:w="1708"/>
            <w:gridCol w:w="1693"/>
            <w:gridCol w:w="1997"/>
          </w:tblGrid>
          <w:tr w:rsidR="008E2169" w:rsidTr="00601D47">
            <w:trPr>
              <w:trHeight w:val="165"/>
            </w:trPr>
            <w:sdt>
              <w:sdtPr>
                <w:tag w:val="_PLD_7afb41bb6f11412490d2cf97e6a8af4a"/>
                <w:id w:val="26389582"/>
                <w:lock w:val="sdtLocked"/>
              </w:sdtPr>
              <w:sdtContent>
                <w:tc>
                  <w:tcPr>
                    <w:tcW w:w="1951" w:type="dxa"/>
                    <w:vAlign w:val="center"/>
                  </w:tcPr>
                  <w:p w:rsidR="008E2169" w:rsidRDefault="008E2169" w:rsidP="00601D47">
                    <w:pPr>
                      <w:jc w:val="center"/>
                      <w:rPr>
                        <w:rFonts w:asciiTheme="minorEastAsia" w:eastAsiaTheme="minorEastAsia" w:hAnsiTheme="minorEastAsia"/>
                        <w:szCs w:val="21"/>
                      </w:rPr>
                    </w:pPr>
                    <w:r>
                      <w:rPr>
                        <w:rFonts w:asciiTheme="minorEastAsia" w:eastAsiaTheme="minorEastAsia" w:hAnsiTheme="minorEastAsia" w:hint="eastAsia"/>
                        <w:szCs w:val="21"/>
                      </w:rPr>
                      <w:t>项目名称</w:t>
                    </w:r>
                  </w:p>
                </w:tc>
              </w:sdtContent>
            </w:sdt>
            <w:sdt>
              <w:sdtPr>
                <w:tag w:val="_PLD_da0df6228e264965b54ebbf01610457e"/>
                <w:id w:val="26389583"/>
                <w:lock w:val="sdtLocked"/>
              </w:sdtPr>
              <w:sdtContent>
                <w:tc>
                  <w:tcPr>
                    <w:tcW w:w="1699" w:type="dxa"/>
                    <w:vAlign w:val="center"/>
                  </w:tcPr>
                  <w:p w:rsidR="008E2169" w:rsidRDefault="008E2169" w:rsidP="00601D47">
                    <w:pPr>
                      <w:jc w:val="center"/>
                      <w:rPr>
                        <w:rFonts w:asciiTheme="minorEastAsia" w:eastAsiaTheme="minorEastAsia" w:hAnsiTheme="minorEastAsia"/>
                        <w:szCs w:val="21"/>
                      </w:rPr>
                    </w:pPr>
                    <w:r>
                      <w:rPr>
                        <w:rFonts w:asciiTheme="minorEastAsia" w:eastAsiaTheme="minorEastAsia" w:hAnsiTheme="minorEastAsia" w:hint="eastAsia"/>
                        <w:szCs w:val="21"/>
                      </w:rPr>
                      <w:t>期初余额</w:t>
                    </w:r>
                  </w:p>
                </w:tc>
              </w:sdtContent>
            </w:sdt>
            <w:sdt>
              <w:sdtPr>
                <w:tag w:val="_PLD_32f24a9a3da24799945b9be672e1778c"/>
                <w:id w:val="26389584"/>
                <w:lock w:val="sdtLocked"/>
              </w:sdtPr>
              <w:sdtContent>
                <w:tc>
                  <w:tcPr>
                    <w:tcW w:w="1708" w:type="dxa"/>
                    <w:vAlign w:val="center"/>
                  </w:tcPr>
                  <w:p w:rsidR="008E2169" w:rsidRDefault="008E2169" w:rsidP="00601D47">
                    <w:pPr>
                      <w:jc w:val="center"/>
                      <w:rPr>
                        <w:rFonts w:asciiTheme="minorEastAsia" w:eastAsiaTheme="minorEastAsia" w:hAnsiTheme="minorEastAsia"/>
                        <w:szCs w:val="21"/>
                      </w:rPr>
                    </w:pPr>
                    <w:r>
                      <w:rPr>
                        <w:rFonts w:asciiTheme="minorEastAsia" w:eastAsiaTheme="minorEastAsia" w:hAnsiTheme="minorEastAsia" w:hint="eastAsia"/>
                        <w:szCs w:val="21"/>
                      </w:rPr>
                      <w:t>期末余额</w:t>
                    </w:r>
                  </w:p>
                </w:tc>
              </w:sdtContent>
            </w:sdt>
            <w:sdt>
              <w:sdtPr>
                <w:tag w:val="_PLD_e96c7ea54e9845adafdee1a3e4d1777a"/>
                <w:id w:val="26389585"/>
                <w:lock w:val="sdtLocked"/>
              </w:sdtPr>
              <w:sdtContent>
                <w:tc>
                  <w:tcPr>
                    <w:tcW w:w="1693" w:type="dxa"/>
                    <w:vAlign w:val="center"/>
                  </w:tcPr>
                  <w:p w:rsidR="008E2169" w:rsidRDefault="008E2169" w:rsidP="00601D47">
                    <w:pPr>
                      <w:jc w:val="center"/>
                      <w:rPr>
                        <w:rFonts w:asciiTheme="minorEastAsia" w:eastAsiaTheme="minorEastAsia" w:hAnsiTheme="minorEastAsia"/>
                        <w:szCs w:val="21"/>
                      </w:rPr>
                    </w:pPr>
                    <w:r>
                      <w:rPr>
                        <w:rFonts w:asciiTheme="minorEastAsia" w:eastAsiaTheme="minorEastAsia" w:hAnsiTheme="minorEastAsia" w:hint="eastAsia"/>
                        <w:szCs w:val="21"/>
                      </w:rPr>
                      <w:t>当期变动</w:t>
                    </w:r>
                  </w:p>
                </w:tc>
              </w:sdtContent>
            </w:sdt>
            <w:sdt>
              <w:sdtPr>
                <w:tag w:val="_PLD_1472a884c9f543dba7a82865e73f1536"/>
                <w:id w:val="26389586"/>
                <w:lock w:val="sdtLocked"/>
              </w:sdtPr>
              <w:sdtContent>
                <w:tc>
                  <w:tcPr>
                    <w:tcW w:w="1997" w:type="dxa"/>
                    <w:vAlign w:val="center"/>
                  </w:tcPr>
                  <w:p w:rsidR="008E2169" w:rsidRDefault="008E2169" w:rsidP="00601D47">
                    <w:pPr>
                      <w:jc w:val="center"/>
                      <w:rPr>
                        <w:rFonts w:asciiTheme="minorEastAsia" w:eastAsiaTheme="minorEastAsia" w:hAnsiTheme="minorEastAsia"/>
                        <w:szCs w:val="21"/>
                      </w:rPr>
                    </w:pPr>
                    <w:r>
                      <w:rPr>
                        <w:rFonts w:asciiTheme="minorEastAsia" w:eastAsiaTheme="minorEastAsia" w:hAnsiTheme="minorEastAsia" w:hint="eastAsia"/>
                        <w:szCs w:val="21"/>
                      </w:rPr>
                      <w:t>对当期利润的影响金额</w:t>
                    </w:r>
                  </w:p>
                </w:tc>
              </w:sdtContent>
            </w:sdt>
          </w:tr>
          <w:sdt>
            <w:sdtPr>
              <w:rPr>
                <w:rFonts w:asciiTheme="minorEastAsia" w:eastAsiaTheme="minorEastAsia" w:hAnsiTheme="minorEastAsia" w:cstheme="minorBidi" w:hint="eastAsia"/>
                <w:kern w:val="2"/>
                <w:szCs w:val="21"/>
              </w:rPr>
              <w:alias w:val="采用公允价值计量的项目情况明细"/>
              <w:tag w:val="_TUP_99268db9eb064c0d97aa8abe10bf05f1"/>
              <w:id w:val="26389587"/>
              <w:lock w:val="sdtLocked"/>
            </w:sdtPr>
            <w:sdtContent>
              <w:tr w:rsidR="008E2169" w:rsidTr="00601D47">
                <w:trPr>
                  <w:trHeight w:val="180"/>
                </w:trPr>
                <w:tc>
                  <w:tcPr>
                    <w:tcW w:w="1951" w:type="dxa"/>
                  </w:tcPr>
                  <w:p w:rsidR="008E2169" w:rsidRDefault="008E2169" w:rsidP="00601D47">
                    <w:pPr>
                      <w:rPr>
                        <w:rFonts w:asciiTheme="minorEastAsia" w:eastAsiaTheme="minorEastAsia" w:hAnsiTheme="minorEastAsia"/>
                        <w:szCs w:val="21"/>
                      </w:rPr>
                    </w:pPr>
                    <w:r>
                      <w:t>其他权益工具投资</w:t>
                    </w:r>
                  </w:p>
                </w:tc>
                <w:tc>
                  <w:tcPr>
                    <w:tcW w:w="1699" w:type="dxa"/>
                  </w:tcPr>
                  <w:p w:rsidR="008E2169" w:rsidRDefault="008E2169" w:rsidP="00601D47">
                    <w:pPr>
                      <w:jc w:val="right"/>
                      <w:rPr>
                        <w:rFonts w:asciiTheme="minorEastAsia" w:eastAsiaTheme="minorEastAsia" w:hAnsiTheme="minorEastAsia"/>
                        <w:szCs w:val="21"/>
                      </w:rPr>
                    </w:pPr>
                    <w:r>
                      <w:t>118,845,000</w:t>
                    </w:r>
                  </w:p>
                </w:tc>
                <w:tc>
                  <w:tcPr>
                    <w:tcW w:w="1708" w:type="dxa"/>
                  </w:tcPr>
                  <w:p w:rsidR="008E2169" w:rsidRDefault="008E2169" w:rsidP="00601D47">
                    <w:pPr>
                      <w:jc w:val="right"/>
                      <w:rPr>
                        <w:rFonts w:asciiTheme="minorEastAsia" w:eastAsiaTheme="minorEastAsia" w:hAnsiTheme="minorEastAsia"/>
                        <w:szCs w:val="21"/>
                      </w:rPr>
                    </w:pPr>
                    <w:r>
                      <w:t>117,562,500</w:t>
                    </w:r>
                  </w:p>
                </w:tc>
                <w:tc>
                  <w:tcPr>
                    <w:tcW w:w="1693" w:type="dxa"/>
                  </w:tcPr>
                  <w:p w:rsidR="008E2169" w:rsidRDefault="008E2169" w:rsidP="00601D47">
                    <w:pPr>
                      <w:jc w:val="right"/>
                      <w:rPr>
                        <w:rFonts w:asciiTheme="minorEastAsia" w:eastAsiaTheme="minorEastAsia" w:hAnsiTheme="minorEastAsia"/>
                        <w:szCs w:val="21"/>
                      </w:rPr>
                    </w:pPr>
                    <w:r>
                      <w:rPr>
                        <w:rFonts w:hint="eastAsia"/>
                      </w:rPr>
                      <w:t>-</w:t>
                    </w:r>
                    <w:r>
                      <w:t>1,282,500</w:t>
                    </w:r>
                  </w:p>
                </w:tc>
                <w:tc>
                  <w:tcPr>
                    <w:tcW w:w="1997" w:type="dxa"/>
                  </w:tcPr>
                  <w:p w:rsidR="008E2169" w:rsidRDefault="007C4B2A" w:rsidP="00601D47">
                    <w:pPr>
                      <w:jc w:val="right"/>
                      <w:rPr>
                        <w:rFonts w:asciiTheme="minorEastAsia" w:eastAsiaTheme="minorEastAsia" w:hAnsiTheme="minorEastAsia"/>
                        <w:szCs w:val="21"/>
                      </w:rPr>
                    </w:pPr>
                    <w:r>
                      <w:rPr>
                        <w:rFonts w:asciiTheme="minorEastAsia" w:eastAsiaTheme="minorEastAsia" w:hAnsiTheme="minorEastAsia" w:hint="eastAsia"/>
                        <w:szCs w:val="21"/>
                      </w:rPr>
                      <w:t>0</w:t>
                    </w:r>
                  </w:p>
                </w:tc>
              </w:tr>
            </w:sdtContent>
          </w:sdt>
          <w:sdt>
            <w:sdtPr>
              <w:rPr>
                <w:rFonts w:asciiTheme="minorEastAsia" w:eastAsiaTheme="minorEastAsia" w:hAnsiTheme="minorEastAsia" w:cstheme="minorBidi" w:hint="eastAsia"/>
                <w:kern w:val="2"/>
                <w:szCs w:val="21"/>
              </w:rPr>
              <w:alias w:val="采用公允价值计量的项目情况明细"/>
              <w:tag w:val="_TUP_99268db9eb064c0d97aa8abe10bf05f1"/>
              <w:id w:val="26389588"/>
              <w:lock w:val="sdtLocked"/>
            </w:sdtPr>
            <w:sdtContent>
              <w:tr w:rsidR="008E2169" w:rsidTr="00601D47">
                <w:trPr>
                  <w:trHeight w:val="180"/>
                </w:trPr>
                <w:tc>
                  <w:tcPr>
                    <w:tcW w:w="1951" w:type="dxa"/>
                  </w:tcPr>
                  <w:p w:rsidR="008E2169" w:rsidRDefault="008E2169" w:rsidP="00601D47">
                    <w:pPr>
                      <w:rPr>
                        <w:rFonts w:asciiTheme="minorEastAsia" w:eastAsiaTheme="minorEastAsia" w:hAnsiTheme="minorEastAsia"/>
                        <w:szCs w:val="21"/>
                      </w:rPr>
                    </w:pPr>
                    <w:r>
                      <w:t>应收款项融资</w:t>
                    </w:r>
                  </w:p>
                </w:tc>
                <w:tc>
                  <w:tcPr>
                    <w:tcW w:w="1699" w:type="dxa"/>
                  </w:tcPr>
                  <w:p w:rsidR="008E2169" w:rsidRDefault="008E2169" w:rsidP="00601D47">
                    <w:pPr>
                      <w:jc w:val="right"/>
                      <w:rPr>
                        <w:rFonts w:asciiTheme="minorEastAsia" w:eastAsiaTheme="minorEastAsia" w:hAnsiTheme="minorEastAsia"/>
                        <w:szCs w:val="21"/>
                      </w:rPr>
                    </w:pPr>
                    <w:r>
                      <w:t>454,271,185</w:t>
                    </w:r>
                  </w:p>
                </w:tc>
                <w:tc>
                  <w:tcPr>
                    <w:tcW w:w="1708" w:type="dxa"/>
                  </w:tcPr>
                  <w:p w:rsidR="008E2169" w:rsidRDefault="008E2169" w:rsidP="00601D47">
                    <w:pPr>
                      <w:jc w:val="right"/>
                      <w:rPr>
                        <w:rFonts w:asciiTheme="minorEastAsia" w:eastAsiaTheme="minorEastAsia" w:hAnsiTheme="minorEastAsia"/>
                        <w:szCs w:val="21"/>
                      </w:rPr>
                    </w:pPr>
                    <w:r>
                      <w:t>374,668,679</w:t>
                    </w:r>
                  </w:p>
                </w:tc>
                <w:tc>
                  <w:tcPr>
                    <w:tcW w:w="1693" w:type="dxa"/>
                  </w:tcPr>
                  <w:p w:rsidR="008E2169" w:rsidRDefault="008E2169" w:rsidP="00601D47">
                    <w:pPr>
                      <w:jc w:val="right"/>
                      <w:rPr>
                        <w:rFonts w:asciiTheme="minorEastAsia" w:eastAsiaTheme="minorEastAsia" w:hAnsiTheme="minorEastAsia"/>
                        <w:szCs w:val="21"/>
                      </w:rPr>
                    </w:pPr>
                    <w:r>
                      <w:rPr>
                        <w:rFonts w:hint="eastAsia"/>
                      </w:rPr>
                      <w:t>-</w:t>
                    </w:r>
                    <w:r>
                      <w:t>79,602,506</w:t>
                    </w:r>
                  </w:p>
                </w:tc>
                <w:tc>
                  <w:tcPr>
                    <w:tcW w:w="1997" w:type="dxa"/>
                  </w:tcPr>
                  <w:p w:rsidR="008E2169" w:rsidRDefault="007C4B2A" w:rsidP="00601D47">
                    <w:pPr>
                      <w:jc w:val="right"/>
                      <w:rPr>
                        <w:rFonts w:asciiTheme="minorEastAsia" w:eastAsiaTheme="minorEastAsia" w:hAnsiTheme="minorEastAsia"/>
                        <w:szCs w:val="21"/>
                      </w:rPr>
                    </w:pPr>
                    <w:r>
                      <w:rPr>
                        <w:rFonts w:asciiTheme="minorEastAsia" w:eastAsiaTheme="minorEastAsia" w:hAnsiTheme="minorEastAsia" w:hint="eastAsia"/>
                        <w:szCs w:val="21"/>
                      </w:rPr>
                      <w:t>0</w:t>
                    </w:r>
                  </w:p>
                </w:tc>
              </w:tr>
            </w:sdtContent>
          </w:sdt>
          <w:tr w:rsidR="008E2169" w:rsidTr="00601D47">
            <w:trPr>
              <w:trHeight w:val="117"/>
            </w:trPr>
            <w:sdt>
              <w:sdtPr>
                <w:tag w:val="_PLD_a4d05bd3d4b34885acfe6e5bc6d34fc1"/>
                <w:id w:val="26389589"/>
                <w:lock w:val="sdtLocked"/>
              </w:sdtPr>
              <w:sdtContent>
                <w:tc>
                  <w:tcPr>
                    <w:tcW w:w="1951" w:type="dxa"/>
                    <w:tcBorders>
                      <w:bottom w:val="single" w:sz="4" w:space="0" w:color="auto"/>
                    </w:tcBorders>
                    <w:vAlign w:val="center"/>
                  </w:tcPr>
                  <w:p w:rsidR="008E2169" w:rsidRDefault="008E2169" w:rsidP="00601D47">
                    <w:pPr>
                      <w:jc w:val="center"/>
                      <w:rPr>
                        <w:rFonts w:asciiTheme="minorEastAsia" w:eastAsiaTheme="minorEastAsia" w:hAnsiTheme="minorEastAsia"/>
                        <w:szCs w:val="21"/>
                      </w:rPr>
                    </w:pPr>
                    <w:r>
                      <w:rPr>
                        <w:rFonts w:asciiTheme="minorEastAsia" w:eastAsiaTheme="minorEastAsia" w:hAnsiTheme="minorEastAsia" w:hint="eastAsia"/>
                        <w:szCs w:val="21"/>
                      </w:rPr>
                      <w:t>合计</w:t>
                    </w:r>
                  </w:p>
                </w:tc>
              </w:sdtContent>
            </w:sdt>
            <w:tc>
              <w:tcPr>
                <w:tcW w:w="1699" w:type="dxa"/>
                <w:vAlign w:val="center"/>
              </w:tcPr>
              <w:p w:rsidR="008E2169" w:rsidRDefault="008E2169" w:rsidP="008E2169">
                <w:pPr>
                  <w:jc w:val="right"/>
                  <w:rPr>
                    <w:sz w:val="24"/>
                  </w:rPr>
                </w:pPr>
                <w:r>
                  <w:t>573,116,185</w:t>
                </w:r>
              </w:p>
            </w:tc>
            <w:tc>
              <w:tcPr>
                <w:tcW w:w="1708" w:type="dxa"/>
                <w:vAlign w:val="center"/>
              </w:tcPr>
              <w:p w:rsidR="008E2169" w:rsidRDefault="008E2169" w:rsidP="008E2169">
                <w:pPr>
                  <w:jc w:val="right"/>
                  <w:rPr>
                    <w:sz w:val="24"/>
                  </w:rPr>
                </w:pPr>
                <w:r>
                  <w:t>492,231,179</w:t>
                </w:r>
              </w:p>
            </w:tc>
            <w:tc>
              <w:tcPr>
                <w:tcW w:w="1693" w:type="dxa"/>
                <w:vAlign w:val="center"/>
              </w:tcPr>
              <w:p w:rsidR="008E2169" w:rsidRDefault="008E2169" w:rsidP="008E2169">
                <w:pPr>
                  <w:jc w:val="right"/>
                  <w:rPr>
                    <w:sz w:val="24"/>
                  </w:rPr>
                </w:pPr>
                <w:r>
                  <w:rPr>
                    <w:rFonts w:hint="eastAsia"/>
                  </w:rPr>
                  <w:t>-</w:t>
                </w:r>
                <w:r>
                  <w:t>80,885,006</w:t>
                </w:r>
              </w:p>
            </w:tc>
            <w:tc>
              <w:tcPr>
                <w:tcW w:w="1997" w:type="dxa"/>
              </w:tcPr>
              <w:p w:rsidR="008E2169" w:rsidRDefault="007C4B2A" w:rsidP="00601D47">
                <w:pPr>
                  <w:jc w:val="right"/>
                  <w:rPr>
                    <w:rFonts w:asciiTheme="minorEastAsia" w:eastAsiaTheme="minorEastAsia" w:hAnsiTheme="minorEastAsia"/>
                    <w:szCs w:val="21"/>
                  </w:rPr>
                </w:pPr>
                <w:r>
                  <w:rPr>
                    <w:rFonts w:asciiTheme="minorEastAsia" w:eastAsiaTheme="minorEastAsia" w:hAnsiTheme="minorEastAsia" w:hint="eastAsia"/>
                    <w:szCs w:val="21"/>
                  </w:rPr>
                  <w:t>0</w:t>
                </w:r>
              </w:p>
            </w:tc>
          </w:tr>
        </w:tbl>
        <w:p w:rsidR="00806678" w:rsidRDefault="00F80B6C"/>
      </w:sdtContent>
    </w:sdt>
    <w:sdt>
      <w:sdtPr>
        <w:rPr>
          <w:rFonts w:ascii="宋体" w:hAnsi="宋体" w:cs="宋体" w:hint="eastAsia"/>
          <w:b w:val="0"/>
          <w:bCs w:val="0"/>
          <w:kern w:val="0"/>
          <w:szCs w:val="24"/>
        </w:rPr>
        <w:alias w:val="模块:其他财务和业务数据"/>
        <w:tag w:val="_SEC_2b90c267769d4c769805494ec1d46591"/>
        <w:id w:val="25718680"/>
        <w:lock w:val="sdtLocked"/>
        <w:placeholder>
          <w:docPart w:val="GBC22222222222222222222222222222"/>
        </w:placeholder>
      </w:sdtPr>
      <w:sdtContent>
        <w:p w:rsidR="00806678" w:rsidRDefault="00B16377">
          <w:pPr>
            <w:pStyle w:val="2"/>
            <w:numPr>
              <w:ilvl w:val="1"/>
              <w:numId w:val="4"/>
            </w:numPr>
            <w:ind w:left="496" w:hangingChars="236" w:hanging="496"/>
          </w:pPr>
          <w:r>
            <w:rPr>
              <w:rFonts w:hint="eastAsia"/>
            </w:rPr>
            <w:t>其他</w:t>
          </w:r>
        </w:p>
        <w:sdt>
          <w:sdtPr>
            <w:alias w:val="是否适用：公司简介和主要财务指标其他说明[双击切换]"/>
            <w:tag w:val="_GBC_ac20c9ad49eb470dba71a763f930572f"/>
            <w:id w:val="2134907193"/>
            <w:lock w:val="sdtLocked"/>
            <w:placeholder>
              <w:docPart w:val="GBC22222222222222222222222222222"/>
            </w:placeholder>
          </w:sdtPr>
          <w:sdtContent>
            <w:p w:rsidR="00806678" w:rsidRDefault="00F80B6C" w:rsidP="00F84099">
              <w:r>
                <w:fldChar w:fldCharType="begin"/>
              </w:r>
              <w:r w:rsidR="00F84099">
                <w:instrText xml:space="preserve">MACROBUTTON  SnrToggleCheckbox □适用 </w:instrText>
              </w:r>
              <w:r>
                <w:fldChar w:fldCharType="end"/>
              </w:r>
              <w:r>
                <w:fldChar w:fldCharType="begin"/>
              </w:r>
              <w:r w:rsidR="00F84099">
                <w:instrText xml:space="preserve"> MACROBUTTON  SnrToggleCheckbox √不适用 </w:instrText>
              </w:r>
              <w:r>
                <w:fldChar w:fldCharType="end"/>
              </w:r>
            </w:p>
          </w:sdtContent>
        </w:sdt>
      </w:sdtContent>
    </w:sdt>
    <w:p w:rsidR="00806678" w:rsidRDefault="00B16377">
      <w:pPr>
        <w:pStyle w:val="10"/>
        <w:numPr>
          <w:ilvl w:val="0"/>
          <w:numId w:val="3"/>
        </w:numPr>
        <w:ind w:left="498" w:hangingChars="177" w:hanging="498"/>
      </w:pPr>
      <w:bookmarkStart w:id="23" w:name="_Toc89790250"/>
      <w:r>
        <w:rPr>
          <w:rFonts w:hint="eastAsia"/>
        </w:rPr>
        <w:t>管理层讨论与分析</w:t>
      </w:r>
      <w:bookmarkEnd w:id="23"/>
    </w:p>
    <w:p w:rsidR="00806678" w:rsidRDefault="00806678"/>
    <w:sdt>
      <w:sdtPr>
        <w:rPr>
          <w:rFonts w:ascii="宋体" w:hAnsi="宋体" w:cs="宋体" w:hint="eastAsia"/>
          <w:b w:val="0"/>
          <w:bCs w:val="0"/>
          <w:kern w:val="0"/>
          <w:szCs w:val="24"/>
        </w:rPr>
        <w:alias w:val="模块:管理层讨论与分析"/>
        <w:tag w:val="_SEC_465bd2646eb04eab8e1c01ba688faf29"/>
        <w:id w:val="38652916"/>
        <w:lock w:val="sdtLocked"/>
        <w:placeholder>
          <w:docPart w:val="GBC22222222222222222222222222222"/>
        </w:placeholder>
      </w:sdtPr>
      <w:sdtEndPr>
        <w:rPr>
          <w:rFonts w:asciiTheme="minorEastAsia" w:eastAsiaTheme="minorEastAsia" w:hAnsiTheme="minorEastAsia"/>
        </w:rPr>
      </w:sdtEndPr>
      <w:sdtContent>
        <w:p w:rsidR="00806678" w:rsidRDefault="00B16377">
          <w:pPr>
            <w:pStyle w:val="2"/>
            <w:numPr>
              <w:ilvl w:val="0"/>
              <w:numId w:val="16"/>
            </w:numPr>
            <w:ind w:left="368" w:hangingChars="175" w:hanging="368"/>
          </w:pPr>
          <w:r>
            <w:rPr>
              <w:rFonts w:hint="eastAsia"/>
            </w:rPr>
            <w:t>经营情况</w:t>
          </w:r>
          <w:r>
            <w:t>讨论与分析</w:t>
          </w:r>
        </w:p>
        <w:sdt>
          <w:sdtPr>
            <w:rPr>
              <w:rFonts w:asciiTheme="minorEastAsia" w:eastAsiaTheme="minorEastAsia" w:hAnsiTheme="minorEastAsia" w:hint="eastAsia"/>
            </w:rPr>
            <w:alias w:val="管理层讨论与分析"/>
            <w:tag w:val="_GBC_75862f3cb18e486fb20eb44dbcc462a9"/>
            <w:id w:val="38652917"/>
            <w:lock w:val="sdtLocked"/>
            <w:placeholder>
              <w:docPart w:val="GBC22222222222222222222222222222"/>
            </w:placeholder>
          </w:sdtPr>
          <w:sdtContent>
            <w:p w:rsidR="000A2F39" w:rsidRDefault="000A2F39" w:rsidP="000A2F39">
              <w:pPr>
                <w:spacing w:line="360" w:lineRule="auto"/>
                <w:ind w:firstLineChars="200" w:firstLine="420"/>
                <w:rPr>
                  <w:szCs w:val="21"/>
                </w:rPr>
              </w:pPr>
              <w:r>
                <w:rPr>
                  <w:rFonts w:hint="eastAsia"/>
                  <w:szCs w:val="21"/>
                </w:rPr>
                <w:t>公司是以煤炭运输为主的综合性铁路运输企业，2022年煤炭发送量占公司货物发送总量的83.2%，煤炭市场供需状况与公司业务经营相关度较高。报告期内，国内火电发电量较上年增长1.4%，加之煤炭进口量总体缩减9.2%，拉动国内煤炭需求稳中有升，煤炭消费总量增长4.3%。煤炭消费量占能源消费总量的</w:t>
              </w:r>
              <w:r>
                <w:rPr>
                  <w:szCs w:val="21"/>
                </w:rPr>
                <w:t>56.2%</w:t>
              </w:r>
              <w:r>
                <w:rPr>
                  <w:rFonts w:hint="eastAsia"/>
                  <w:szCs w:val="21"/>
                </w:rPr>
                <w:t>，比上年上升</w:t>
              </w:r>
              <w:r>
                <w:rPr>
                  <w:szCs w:val="21"/>
                </w:rPr>
                <w:t>0.3</w:t>
              </w:r>
              <w:r>
                <w:rPr>
                  <w:rFonts w:hint="eastAsia"/>
                  <w:szCs w:val="21"/>
                </w:rPr>
                <w:t>个百分点；国家稳产保供政策下，国内煤炭新增产能较好释放，全年原煤产量45.6亿吨，增长10.5%。其中，晋陕蒙三省区原煤产量合计32.3亿吨，增长2.9亿吨，占全国煤炭总产量的比重为71.7%，较上年提升0.8个百分点，煤炭生产集中度进一步提升。</w:t>
              </w:r>
            </w:p>
            <w:p w:rsidR="000A2F39" w:rsidRDefault="000A2F39" w:rsidP="000A2F39">
              <w:pPr>
                <w:rPr>
                  <w:szCs w:val="21"/>
                </w:rPr>
              </w:pPr>
            </w:p>
            <w:p w:rsidR="000A2F39" w:rsidRDefault="000A2F39" w:rsidP="000A2F39">
              <w:pPr>
                <w:spacing w:line="360" w:lineRule="auto"/>
                <w:rPr>
                  <w:sz w:val="24"/>
                </w:rPr>
              </w:pPr>
              <w:r>
                <w:rPr>
                  <w:rFonts w:hint="eastAsia"/>
                </w:rPr>
                <w:t xml:space="preserve">       </w:t>
              </w:r>
              <w:r>
                <w:rPr>
                  <w:szCs w:val="21"/>
                </w:rPr>
                <w:t>图</w:t>
              </w:r>
              <w:r>
                <w:rPr>
                  <w:rFonts w:hint="eastAsia"/>
                  <w:szCs w:val="21"/>
                </w:rPr>
                <w:t>1</w:t>
              </w:r>
              <w:r>
                <w:rPr>
                  <w:szCs w:val="21"/>
                </w:rPr>
                <w:t xml:space="preserve"> </w:t>
              </w:r>
              <w:r>
                <w:rPr>
                  <w:rFonts w:hint="eastAsia"/>
                  <w:szCs w:val="21"/>
                </w:rPr>
                <w:t>国内原煤产量</w:t>
              </w:r>
              <w:r>
                <w:rPr>
                  <w:szCs w:val="21"/>
                </w:rPr>
                <w:t xml:space="preserve">               </w:t>
              </w:r>
              <w:r>
                <w:rPr>
                  <w:rFonts w:hint="eastAsia"/>
                  <w:szCs w:val="21"/>
                </w:rPr>
                <w:t xml:space="preserve">            </w:t>
              </w:r>
              <w:r>
                <w:rPr>
                  <w:szCs w:val="21"/>
                </w:rPr>
                <w:t>图</w:t>
              </w:r>
              <w:r>
                <w:rPr>
                  <w:rFonts w:hint="eastAsia"/>
                  <w:szCs w:val="21"/>
                </w:rPr>
                <w:t>2</w:t>
              </w:r>
              <w:r>
                <w:rPr>
                  <w:szCs w:val="21"/>
                </w:rPr>
                <w:t xml:space="preserve"> </w:t>
              </w:r>
              <w:r>
                <w:rPr>
                  <w:rFonts w:hint="eastAsia"/>
                  <w:szCs w:val="21"/>
                </w:rPr>
                <w:t>环渤海动力煤价格指数走势</w:t>
              </w:r>
            </w:p>
            <w:p w:rsidR="000A2F39" w:rsidRDefault="000C7FA3" w:rsidP="006F32FB">
              <w:pPr>
                <w:spacing w:afterLines="150" w:line="360" w:lineRule="auto"/>
                <w:jc w:val="center"/>
                <w:rPr>
                  <w:sz w:val="24"/>
                </w:rPr>
              </w:pPr>
              <w:r>
                <w:rPr>
                  <w:noProof/>
                </w:rPr>
                <w:drawing>
                  <wp:anchor distT="0" distB="0" distL="114300" distR="114300" simplePos="0" relativeHeight="251660288" behindDoc="0" locked="0" layoutInCell="1" allowOverlap="1">
                    <wp:simplePos x="0" y="0"/>
                    <wp:positionH relativeFrom="column">
                      <wp:posOffset>2782570</wp:posOffset>
                    </wp:positionH>
                    <wp:positionV relativeFrom="paragraph">
                      <wp:posOffset>31750</wp:posOffset>
                    </wp:positionV>
                    <wp:extent cx="2983230" cy="2095500"/>
                    <wp:effectExtent l="19050" t="0" r="7620" b="0"/>
                    <wp:wrapNone/>
                    <wp:docPr id="1" name="图片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8"/>
                            <pic:cNvPicPr>
                              <a:picLocks noChangeArrowheads="1"/>
                            </pic:cNvPicPr>
                          </pic:nvPicPr>
                          <pic:blipFill>
                            <a:blip r:embed="rId17" cstate="print"/>
                            <a:srcRect/>
                            <a:stretch>
                              <a:fillRect/>
                            </a:stretch>
                          </pic:blipFill>
                          <pic:spPr bwMode="auto">
                            <a:xfrm>
                              <a:off x="0" y="0"/>
                              <a:ext cx="2983230" cy="2095500"/>
                            </a:xfrm>
                            <a:prstGeom prst="rect">
                              <a:avLst/>
                            </a:prstGeom>
                            <a:noFill/>
                            <a:ln w="9525">
                              <a:noFill/>
                              <a:miter lim="800000"/>
                              <a:headEnd/>
                              <a:tailEnd/>
                            </a:ln>
                            <a:effectLst/>
                          </pic:spPr>
                        </pic:pic>
                      </a:graphicData>
                    </a:graphic>
                  </wp:anchor>
                </w:drawing>
              </w:r>
              <w:r>
                <w:rPr>
                  <w:noProof/>
                </w:rPr>
                <w:drawing>
                  <wp:anchor distT="0" distB="0" distL="114300" distR="114300" simplePos="0" relativeHeight="251661312" behindDoc="0" locked="0" layoutInCell="1" allowOverlap="1">
                    <wp:simplePos x="0" y="0"/>
                    <wp:positionH relativeFrom="column">
                      <wp:posOffset>-518795</wp:posOffset>
                    </wp:positionH>
                    <wp:positionV relativeFrom="paragraph">
                      <wp:posOffset>100330</wp:posOffset>
                    </wp:positionV>
                    <wp:extent cx="3075940" cy="1920240"/>
                    <wp:effectExtent l="19050" t="0" r="0" b="0"/>
                    <wp:wrapNone/>
                    <wp:docPr id="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pic:cNvPicPr>
                              <a:picLocks noChangeAspect="1" noChangeArrowheads="1"/>
                            </pic:cNvPicPr>
                          </pic:nvPicPr>
                          <pic:blipFill>
                            <a:blip r:embed="rId18" cstate="print"/>
                            <a:srcRect/>
                            <a:stretch>
                              <a:fillRect/>
                            </a:stretch>
                          </pic:blipFill>
                          <pic:spPr bwMode="auto">
                            <a:xfrm>
                              <a:off x="0" y="0"/>
                              <a:ext cx="3075940" cy="1920240"/>
                            </a:xfrm>
                            <a:prstGeom prst="rect">
                              <a:avLst/>
                            </a:prstGeom>
                            <a:noFill/>
                            <a:ln w="9525">
                              <a:noFill/>
                              <a:miter lim="800000"/>
                              <a:headEnd/>
                              <a:tailEnd/>
                            </a:ln>
                            <a:effectLst/>
                          </pic:spPr>
                        </pic:pic>
                      </a:graphicData>
                    </a:graphic>
                  </wp:anchor>
                </w:drawing>
              </w:r>
            </w:p>
            <w:p w:rsidR="000A2F39" w:rsidRDefault="000A2F39" w:rsidP="006F32FB">
              <w:pPr>
                <w:spacing w:afterLines="150" w:line="360" w:lineRule="auto"/>
                <w:jc w:val="center"/>
                <w:rPr>
                  <w:sz w:val="24"/>
                </w:rPr>
              </w:pPr>
            </w:p>
            <w:p w:rsidR="000A2F39" w:rsidRDefault="000A2F39" w:rsidP="006F32FB">
              <w:pPr>
                <w:spacing w:beforeLines="150" w:afterLines="50"/>
                <w:ind w:firstLineChars="300" w:firstLine="630"/>
                <w:rPr>
                  <w:szCs w:val="21"/>
                </w:rPr>
              </w:pPr>
              <w:r>
                <w:rPr>
                  <w:rFonts w:hint="eastAsia"/>
                  <w:szCs w:val="21"/>
                </w:rPr>
                <w:t xml:space="preserve">                               </w:t>
              </w:r>
            </w:p>
            <w:p w:rsidR="000A2F39" w:rsidRDefault="000A2F39" w:rsidP="006F32FB">
              <w:pPr>
                <w:spacing w:beforeLines="150" w:afterLines="50"/>
                <w:rPr>
                  <w:szCs w:val="21"/>
                </w:rPr>
              </w:pPr>
            </w:p>
            <w:p w:rsidR="000A2F39" w:rsidRDefault="000A2F39" w:rsidP="000A2F39">
              <w:pPr>
                <w:ind w:firstLineChars="100" w:firstLine="210"/>
                <w:rPr>
                  <w:szCs w:val="21"/>
                </w:rPr>
              </w:pPr>
            </w:p>
            <w:p w:rsidR="000A2F39" w:rsidRDefault="000A2F39" w:rsidP="000A2F39">
              <w:pPr>
                <w:ind w:firstLineChars="100" w:firstLine="210"/>
                <w:rPr>
                  <w:szCs w:val="21"/>
                </w:rPr>
              </w:pPr>
              <w:r>
                <w:rPr>
                  <w:rFonts w:hint="eastAsia"/>
                  <w:szCs w:val="21"/>
                </w:rPr>
                <w:t xml:space="preserve"> （数据来源：国家统计局）                            （数据来源：秦皇岛煤炭网）</w:t>
              </w:r>
            </w:p>
            <w:p w:rsidR="000A2F39" w:rsidRDefault="000A2F39" w:rsidP="000A2F39">
              <w:pPr>
                <w:ind w:firstLineChars="100" w:firstLine="210"/>
                <w:rPr>
                  <w:szCs w:val="21"/>
                </w:rPr>
              </w:pPr>
            </w:p>
            <w:p w:rsidR="000A2F39" w:rsidRDefault="000A2F39" w:rsidP="006F32FB">
              <w:pPr>
                <w:spacing w:afterLines="50" w:line="360" w:lineRule="auto"/>
                <w:ind w:firstLineChars="200" w:firstLine="420"/>
                <w:rPr>
                  <w:szCs w:val="21"/>
                </w:rPr>
              </w:pPr>
            </w:p>
            <w:p w:rsidR="000A2F39" w:rsidRDefault="000A2F39" w:rsidP="006F32FB">
              <w:pPr>
                <w:spacing w:afterLines="50" w:line="360" w:lineRule="auto"/>
                <w:ind w:firstLineChars="200" w:firstLine="420"/>
                <w:rPr>
                  <w:color w:val="000000"/>
                  <w:lang w:bidi="en-US"/>
                </w:rPr>
              </w:pPr>
              <w:r>
                <w:rPr>
                  <w:rFonts w:hint="eastAsia"/>
                  <w:szCs w:val="21"/>
                </w:rPr>
                <w:t>2022年，公司高效统筹疫情防控和客货运输，深入开展“守底线、补缺陷、除隐患、防风险”安全专项整治行动，运输安全保持总体稳定。大力开展节支降耗，严格落实全面预算管理，着力提升经营质效。报告期内，公司认真落实国家保通保畅工作部署，深入开展“电煤保供”专项行动，全力保障国计民生重点物资运输，为稳住经济大盘、保持国民经济平稳运行做出积极</w:t>
              </w:r>
              <w:r>
                <w:rPr>
                  <w:rFonts w:hint="eastAsia"/>
                  <w:color w:val="000000"/>
                  <w:lang w:bidi="en-US"/>
                </w:rPr>
                <w:t>贡献。</w:t>
              </w: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2818"/>
                <w:gridCol w:w="2007"/>
                <w:gridCol w:w="2007"/>
                <w:gridCol w:w="2009"/>
              </w:tblGrid>
              <w:tr w:rsidR="000A2F39" w:rsidTr="000A2F39">
                <w:trPr>
                  <w:trHeight w:val="325"/>
                  <w:jc w:val="center"/>
                </w:trPr>
                <w:tc>
                  <w:tcPr>
                    <w:tcW w:w="1593" w:type="pct"/>
                    <w:vAlign w:val="center"/>
                  </w:tcPr>
                  <w:p w:rsidR="000A2F39" w:rsidRDefault="000A2F39" w:rsidP="000A2F39">
                    <w:pPr>
                      <w:jc w:val="right"/>
                      <w:rPr>
                        <w:b/>
                        <w:bCs/>
                        <w:szCs w:val="21"/>
                      </w:rPr>
                    </w:pPr>
                  </w:p>
                </w:tc>
                <w:tc>
                  <w:tcPr>
                    <w:tcW w:w="1135" w:type="pct"/>
                    <w:vAlign w:val="center"/>
                  </w:tcPr>
                  <w:p w:rsidR="000A2F39" w:rsidRDefault="000A2F39" w:rsidP="000A2F39">
                    <w:pPr>
                      <w:jc w:val="center"/>
                      <w:rPr>
                        <w:b/>
                        <w:bCs/>
                        <w:szCs w:val="21"/>
                      </w:rPr>
                    </w:pPr>
                    <w:r>
                      <w:rPr>
                        <w:b/>
                        <w:bCs/>
                        <w:szCs w:val="21"/>
                      </w:rPr>
                      <w:t>20</w:t>
                    </w:r>
                    <w:r>
                      <w:rPr>
                        <w:rFonts w:hint="eastAsia"/>
                        <w:b/>
                        <w:bCs/>
                        <w:szCs w:val="21"/>
                      </w:rPr>
                      <w:t>22</w:t>
                    </w:r>
                    <w:r>
                      <w:rPr>
                        <w:b/>
                        <w:bCs/>
                        <w:szCs w:val="21"/>
                      </w:rPr>
                      <w:t>年</w:t>
                    </w:r>
                  </w:p>
                </w:tc>
                <w:tc>
                  <w:tcPr>
                    <w:tcW w:w="1135" w:type="pct"/>
                    <w:vAlign w:val="center"/>
                  </w:tcPr>
                  <w:p w:rsidR="000A2F39" w:rsidRDefault="000A2F39" w:rsidP="000A2F39">
                    <w:pPr>
                      <w:jc w:val="center"/>
                      <w:rPr>
                        <w:b/>
                        <w:bCs/>
                        <w:szCs w:val="21"/>
                      </w:rPr>
                    </w:pPr>
                    <w:r>
                      <w:rPr>
                        <w:b/>
                        <w:bCs/>
                        <w:szCs w:val="21"/>
                      </w:rPr>
                      <w:t>20</w:t>
                    </w:r>
                    <w:r>
                      <w:rPr>
                        <w:rFonts w:hint="eastAsia"/>
                        <w:b/>
                        <w:bCs/>
                        <w:szCs w:val="21"/>
                      </w:rPr>
                      <w:t>21</w:t>
                    </w:r>
                    <w:r>
                      <w:rPr>
                        <w:b/>
                        <w:bCs/>
                        <w:szCs w:val="21"/>
                      </w:rPr>
                      <w:t>年</w:t>
                    </w:r>
                  </w:p>
                </w:tc>
                <w:tc>
                  <w:tcPr>
                    <w:tcW w:w="1136" w:type="pct"/>
                    <w:vAlign w:val="center"/>
                  </w:tcPr>
                  <w:p w:rsidR="000A2F39" w:rsidRDefault="000A2F39" w:rsidP="000A2F39">
                    <w:pPr>
                      <w:jc w:val="center"/>
                      <w:rPr>
                        <w:b/>
                        <w:bCs/>
                        <w:szCs w:val="21"/>
                      </w:rPr>
                    </w:pPr>
                    <w:r>
                      <w:rPr>
                        <w:rFonts w:hint="eastAsia"/>
                        <w:b/>
                        <w:bCs/>
                        <w:szCs w:val="21"/>
                      </w:rPr>
                      <w:t>变动比例（%）</w:t>
                    </w:r>
                  </w:p>
                </w:tc>
              </w:tr>
              <w:tr w:rsidR="000A2F39" w:rsidTr="000A2F39">
                <w:trPr>
                  <w:trHeight w:val="325"/>
                  <w:jc w:val="center"/>
                </w:trPr>
                <w:tc>
                  <w:tcPr>
                    <w:tcW w:w="1593" w:type="pct"/>
                    <w:vAlign w:val="center"/>
                  </w:tcPr>
                  <w:p w:rsidR="000A2F39" w:rsidRDefault="000A2F39" w:rsidP="000A2F39">
                    <w:pPr>
                      <w:keepNext/>
                      <w:rPr>
                        <w:szCs w:val="21"/>
                      </w:rPr>
                    </w:pPr>
                    <w:r>
                      <w:rPr>
                        <w:szCs w:val="21"/>
                      </w:rPr>
                      <w:t>旅客发送量（万人）</w:t>
                    </w:r>
                  </w:p>
                </w:tc>
                <w:tc>
                  <w:tcPr>
                    <w:tcW w:w="1135" w:type="pct"/>
                    <w:vAlign w:val="center"/>
                  </w:tcPr>
                  <w:p w:rsidR="000A2F39" w:rsidRDefault="000A2F39" w:rsidP="000A2F39">
                    <w:pPr>
                      <w:ind w:rightChars="100" w:right="210"/>
                      <w:jc w:val="right"/>
                      <w:rPr>
                        <w:szCs w:val="21"/>
                      </w:rPr>
                    </w:pPr>
                    <w:r>
                      <w:rPr>
                        <w:rFonts w:hint="eastAsia"/>
                        <w:szCs w:val="21"/>
                      </w:rPr>
                      <w:t>2,026</w:t>
                    </w:r>
                  </w:p>
                </w:tc>
                <w:tc>
                  <w:tcPr>
                    <w:tcW w:w="1888" w:type="dxa"/>
                    <w:vAlign w:val="center"/>
                  </w:tcPr>
                  <w:p w:rsidR="000A2F39" w:rsidRDefault="000A2F39" w:rsidP="000A2F39">
                    <w:pPr>
                      <w:ind w:rightChars="100" w:right="210"/>
                      <w:jc w:val="right"/>
                      <w:rPr>
                        <w:szCs w:val="21"/>
                      </w:rPr>
                    </w:pPr>
                    <w:r>
                      <w:rPr>
                        <w:rFonts w:hint="eastAsia"/>
                        <w:szCs w:val="21"/>
                      </w:rPr>
                      <w:t>3</w:t>
                    </w:r>
                    <w:r>
                      <w:rPr>
                        <w:szCs w:val="21"/>
                      </w:rPr>
                      <w:t>,</w:t>
                    </w:r>
                    <w:r>
                      <w:rPr>
                        <w:rFonts w:hint="eastAsia"/>
                        <w:szCs w:val="21"/>
                      </w:rPr>
                      <w:t>631</w:t>
                    </w:r>
                  </w:p>
                </w:tc>
                <w:tc>
                  <w:tcPr>
                    <w:tcW w:w="1889" w:type="dxa"/>
                    <w:vAlign w:val="bottom"/>
                  </w:tcPr>
                  <w:p w:rsidR="000A2F39" w:rsidRDefault="000A2F39" w:rsidP="000A2F39">
                    <w:pPr>
                      <w:ind w:rightChars="100" w:right="210"/>
                      <w:jc w:val="right"/>
                      <w:rPr>
                        <w:szCs w:val="21"/>
                      </w:rPr>
                    </w:pPr>
                    <w:r>
                      <w:rPr>
                        <w:rFonts w:hint="eastAsia"/>
                        <w:szCs w:val="21"/>
                      </w:rPr>
                      <w:t>-44.2%</w:t>
                    </w:r>
                  </w:p>
                </w:tc>
              </w:tr>
              <w:tr w:rsidR="000A2F39" w:rsidTr="000A2F39">
                <w:trPr>
                  <w:trHeight w:val="325"/>
                  <w:jc w:val="center"/>
                </w:trPr>
                <w:tc>
                  <w:tcPr>
                    <w:tcW w:w="1593" w:type="pct"/>
                    <w:vAlign w:val="center"/>
                  </w:tcPr>
                  <w:p w:rsidR="000A2F39" w:rsidRDefault="000A2F39" w:rsidP="000A2F39">
                    <w:pPr>
                      <w:keepNext/>
                      <w:rPr>
                        <w:szCs w:val="21"/>
                      </w:rPr>
                    </w:pPr>
                    <w:r>
                      <w:rPr>
                        <w:szCs w:val="21"/>
                      </w:rPr>
                      <w:t>货物发送量</w:t>
                    </w:r>
                    <w:r>
                      <w:rPr>
                        <w:rFonts w:hint="eastAsia"/>
                        <w:szCs w:val="21"/>
                      </w:rPr>
                      <w:t>（万吨）</w:t>
                    </w:r>
                  </w:p>
                </w:tc>
                <w:tc>
                  <w:tcPr>
                    <w:tcW w:w="1135" w:type="pct"/>
                    <w:vAlign w:val="center"/>
                  </w:tcPr>
                  <w:p w:rsidR="000A2F39" w:rsidRDefault="000A2F39" w:rsidP="000A2F39">
                    <w:pPr>
                      <w:ind w:rightChars="100" w:right="210"/>
                      <w:jc w:val="right"/>
                      <w:rPr>
                        <w:szCs w:val="21"/>
                      </w:rPr>
                    </w:pPr>
                    <w:r>
                      <w:rPr>
                        <w:rFonts w:hint="eastAsia"/>
                        <w:szCs w:val="21"/>
                      </w:rPr>
                      <w:t>67,671</w:t>
                    </w:r>
                  </w:p>
                </w:tc>
                <w:tc>
                  <w:tcPr>
                    <w:tcW w:w="1888" w:type="dxa"/>
                    <w:vAlign w:val="center"/>
                  </w:tcPr>
                  <w:p w:rsidR="000A2F39" w:rsidRDefault="000A2F39" w:rsidP="000A2F39">
                    <w:pPr>
                      <w:ind w:rightChars="100" w:right="210"/>
                      <w:jc w:val="right"/>
                      <w:rPr>
                        <w:szCs w:val="21"/>
                      </w:rPr>
                    </w:pPr>
                    <w:r>
                      <w:rPr>
                        <w:rFonts w:hint="eastAsia"/>
                        <w:szCs w:val="21"/>
                      </w:rPr>
                      <w:t>69,185</w:t>
                    </w:r>
                  </w:p>
                </w:tc>
                <w:tc>
                  <w:tcPr>
                    <w:tcW w:w="1889" w:type="dxa"/>
                    <w:vAlign w:val="bottom"/>
                  </w:tcPr>
                  <w:p w:rsidR="000A2F39" w:rsidRDefault="000A2F39" w:rsidP="000A2F39">
                    <w:pPr>
                      <w:ind w:rightChars="100" w:right="210"/>
                      <w:jc w:val="right"/>
                      <w:rPr>
                        <w:szCs w:val="21"/>
                      </w:rPr>
                    </w:pPr>
                    <w:r>
                      <w:rPr>
                        <w:rFonts w:hint="eastAsia"/>
                        <w:szCs w:val="21"/>
                      </w:rPr>
                      <w:t>-2.2%</w:t>
                    </w:r>
                  </w:p>
                </w:tc>
              </w:tr>
              <w:tr w:rsidR="000A2F39" w:rsidTr="000A2F39">
                <w:trPr>
                  <w:trHeight w:val="325"/>
                  <w:jc w:val="center"/>
                </w:trPr>
                <w:tc>
                  <w:tcPr>
                    <w:tcW w:w="1593" w:type="pct"/>
                    <w:vAlign w:val="center"/>
                  </w:tcPr>
                  <w:p w:rsidR="000A2F39" w:rsidRDefault="000A2F39" w:rsidP="000A2F39">
                    <w:pPr>
                      <w:keepNext/>
                      <w:ind w:firstLineChars="200" w:firstLine="420"/>
                      <w:rPr>
                        <w:szCs w:val="21"/>
                      </w:rPr>
                    </w:pPr>
                    <w:r>
                      <w:rPr>
                        <w:szCs w:val="21"/>
                      </w:rPr>
                      <w:t>其中：煤炭</w:t>
                    </w:r>
                    <w:r>
                      <w:rPr>
                        <w:rFonts w:hint="eastAsia"/>
                        <w:szCs w:val="21"/>
                      </w:rPr>
                      <w:t>（万吨）</w:t>
                    </w:r>
                  </w:p>
                </w:tc>
                <w:tc>
                  <w:tcPr>
                    <w:tcW w:w="1135" w:type="pct"/>
                    <w:vAlign w:val="center"/>
                  </w:tcPr>
                  <w:p w:rsidR="000A2F39" w:rsidRDefault="000A2F39" w:rsidP="000A2F39">
                    <w:pPr>
                      <w:ind w:rightChars="100" w:right="210"/>
                      <w:jc w:val="right"/>
                      <w:rPr>
                        <w:szCs w:val="21"/>
                      </w:rPr>
                    </w:pPr>
                    <w:r>
                      <w:rPr>
                        <w:rFonts w:hint="eastAsia"/>
                        <w:szCs w:val="21"/>
                      </w:rPr>
                      <w:t>56,323</w:t>
                    </w:r>
                  </w:p>
                </w:tc>
                <w:tc>
                  <w:tcPr>
                    <w:tcW w:w="1888" w:type="dxa"/>
                    <w:vAlign w:val="center"/>
                  </w:tcPr>
                  <w:p w:rsidR="000A2F39" w:rsidRDefault="000A2F39" w:rsidP="000A2F39">
                    <w:pPr>
                      <w:ind w:rightChars="100" w:right="210"/>
                      <w:jc w:val="right"/>
                      <w:rPr>
                        <w:szCs w:val="21"/>
                      </w:rPr>
                    </w:pPr>
                    <w:r>
                      <w:rPr>
                        <w:rFonts w:hint="eastAsia"/>
                        <w:szCs w:val="21"/>
                      </w:rPr>
                      <w:t>58,160</w:t>
                    </w:r>
                  </w:p>
                </w:tc>
                <w:tc>
                  <w:tcPr>
                    <w:tcW w:w="1889" w:type="dxa"/>
                    <w:vAlign w:val="bottom"/>
                  </w:tcPr>
                  <w:p w:rsidR="000A2F39" w:rsidRDefault="000A2F39" w:rsidP="000A2F39">
                    <w:pPr>
                      <w:ind w:rightChars="100" w:right="210"/>
                      <w:jc w:val="right"/>
                      <w:rPr>
                        <w:szCs w:val="21"/>
                      </w:rPr>
                    </w:pPr>
                    <w:r>
                      <w:rPr>
                        <w:rFonts w:hint="eastAsia"/>
                        <w:szCs w:val="21"/>
                      </w:rPr>
                      <w:t>-3.2%</w:t>
                    </w:r>
                  </w:p>
                </w:tc>
              </w:tr>
              <w:tr w:rsidR="000A2F39" w:rsidTr="000A2F39">
                <w:trPr>
                  <w:trHeight w:val="325"/>
                  <w:jc w:val="center"/>
                </w:trPr>
                <w:tc>
                  <w:tcPr>
                    <w:tcW w:w="1593" w:type="pct"/>
                    <w:vAlign w:val="center"/>
                  </w:tcPr>
                  <w:p w:rsidR="000A2F39" w:rsidRDefault="000A2F39" w:rsidP="000A2F39">
                    <w:pPr>
                      <w:keepNext/>
                      <w:rPr>
                        <w:szCs w:val="21"/>
                      </w:rPr>
                    </w:pPr>
                    <w:r>
                      <w:rPr>
                        <w:szCs w:val="21"/>
                      </w:rPr>
                      <w:t>货物到达量</w:t>
                    </w:r>
                    <w:r>
                      <w:rPr>
                        <w:rFonts w:hint="eastAsia"/>
                        <w:szCs w:val="21"/>
                      </w:rPr>
                      <w:t>（万吨）</w:t>
                    </w:r>
                  </w:p>
                </w:tc>
                <w:tc>
                  <w:tcPr>
                    <w:tcW w:w="1135" w:type="pct"/>
                    <w:vAlign w:val="center"/>
                  </w:tcPr>
                  <w:p w:rsidR="000A2F39" w:rsidRDefault="000A2F39" w:rsidP="000A2F39">
                    <w:pPr>
                      <w:ind w:rightChars="100" w:right="210"/>
                      <w:jc w:val="right"/>
                      <w:rPr>
                        <w:szCs w:val="21"/>
                      </w:rPr>
                    </w:pPr>
                    <w:r>
                      <w:rPr>
                        <w:rFonts w:hint="eastAsia"/>
                        <w:szCs w:val="21"/>
                      </w:rPr>
                      <w:t>61,774</w:t>
                    </w:r>
                  </w:p>
                </w:tc>
                <w:tc>
                  <w:tcPr>
                    <w:tcW w:w="1888" w:type="dxa"/>
                    <w:vAlign w:val="center"/>
                  </w:tcPr>
                  <w:p w:rsidR="000A2F39" w:rsidRDefault="000A2F39" w:rsidP="000A2F39">
                    <w:pPr>
                      <w:ind w:rightChars="100" w:right="210"/>
                      <w:jc w:val="right"/>
                      <w:rPr>
                        <w:szCs w:val="21"/>
                      </w:rPr>
                    </w:pPr>
                    <w:r>
                      <w:rPr>
                        <w:rFonts w:hint="eastAsia"/>
                        <w:szCs w:val="21"/>
                      </w:rPr>
                      <w:t>61,206</w:t>
                    </w:r>
                  </w:p>
                </w:tc>
                <w:tc>
                  <w:tcPr>
                    <w:tcW w:w="1889" w:type="dxa"/>
                    <w:vAlign w:val="bottom"/>
                  </w:tcPr>
                  <w:p w:rsidR="000A2F39" w:rsidRDefault="000A2F39" w:rsidP="000A2F39">
                    <w:pPr>
                      <w:ind w:rightChars="100" w:right="210"/>
                      <w:jc w:val="right"/>
                      <w:rPr>
                        <w:szCs w:val="21"/>
                      </w:rPr>
                    </w:pPr>
                    <w:r>
                      <w:rPr>
                        <w:rFonts w:hint="eastAsia"/>
                        <w:szCs w:val="21"/>
                      </w:rPr>
                      <w:t>0.9%</w:t>
                    </w:r>
                  </w:p>
                </w:tc>
              </w:tr>
              <w:tr w:rsidR="000A2F39" w:rsidTr="000A2F39">
                <w:trPr>
                  <w:trHeight w:val="325"/>
                  <w:jc w:val="center"/>
                </w:trPr>
                <w:tc>
                  <w:tcPr>
                    <w:tcW w:w="1593" w:type="pct"/>
                    <w:vAlign w:val="center"/>
                  </w:tcPr>
                  <w:p w:rsidR="000A2F39" w:rsidRDefault="000A2F39" w:rsidP="000A2F39">
                    <w:pPr>
                      <w:keepNext/>
                      <w:ind w:firstLineChars="200" w:firstLine="420"/>
                      <w:rPr>
                        <w:szCs w:val="21"/>
                      </w:rPr>
                    </w:pPr>
                    <w:r>
                      <w:rPr>
                        <w:szCs w:val="21"/>
                      </w:rPr>
                      <w:t>其中：煤炭</w:t>
                    </w:r>
                    <w:r>
                      <w:rPr>
                        <w:rFonts w:hint="eastAsia"/>
                        <w:szCs w:val="21"/>
                      </w:rPr>
                      <w:t>（万吨）</w:t>
                    </w:r>
                  </w:p>
                </w:tc>
                <w:tc>
                  <w:tcPr>
                    <w:tcW w:w="1135" w:type="pct"/>
                    <w:vAlign w:val="center"/>
                  </w:tcPr>
                  <w:p w:rsidR="000A2F39" w:rsidRDefault="000A2F39" w:rsidP="000A2F39">
                    <w:pPr>
                      <w:ind w:rightChars="100" w:right="210"/>
                      <w:jc w:val="right"/>
                      <w:rPr>
                        <w:szCs w:val="21"/>
                      </w:rPr>
                    </w:pPr>
                    <w:r>
                      <w:rPr>
                        <w:rFonts w:hint="eastAsia"/>
                        <w:szCs w:val="21"/>
                      </w:rPr>
                      <w:t>52,800</w:t>
                    </w:r>
                  </w:p>
                </w:tc>
                <w:tc>
                  <w:tcPr>
                    <w:tcW w:w="1888" w:type="dxa"/>
                    <w:vAlign w:val="center"/>
                  </w:tcPr>
                  <w:p w:rsidR="000A2F39" w:rsidRDefault="000A2F39" w:rsidP="000A2F39">
                    <w:pPr>
                      <w:ind w:rightChars="100" w:right="210"/>
                      <w:jc w:val="right"/>
                      <w:rPr>
                        <w:szCs w:val="21"/>
                      </w:rPr>
                    </w:pPr>
                    <w:r>
                      <w:rPr>
                        <w:rFonts w:hint="eastAsia"/>
                        <w:szCs w:val="21"/>
                      </w:rPr>
                      <w:t>53,334</w:t>
                    </w:r>
                  </w:p>
                </w:tc>
                <w:tc>
                  <w:tcPr>
                    <w:tcW w:w="1889" w:type="dxa"/>
                    <w:vAlign w:val="bottom"/>
                  </w:tcPr>
                  <w:p w:rsidR="000A2F39" w:rsidRDefault="000A2F39" w:rsidP="000A2F39">
                    <w:pPr>
                      <w:ind w:rightChars="100" w:right="210"/>
                      <w:jc w:val="right"/>
                      <w:rPr>
                        <w:szCs w:val="21"/>
                      </w:rPr>
                    </w:pPr>
                    <w:r>
                      <w:rPr>
                        <w:rFonts w:hint="eastAsia"/>
                        <w:szCs w:val="21"/>
                      </w:rPr>
                      <w:t>-1.0%</w:t>
                    </w:r>
                  </w:p>
                </w:tc>
              </w:tr>
              <w:tr w:rsidR="000A2F39" w:rsidTr="000A2F39">
                <w:trPr>
                  <w:trHeight w:val="325"/>
                  <w:jc w:val="center"/>
                </w:trPr>
                <w:tc>
                  <w:tcPr>
                    <w:tcW w:w="1593" w:type="pct"/>
                    <w:vAlign w:val="center"/>
                  </w:tcPr>
                  <w:p w:rsidR="000A2F39" w:rsidRDefault="000A2F39" w:rsidP="000A2F39">
                    <w:pPr>
                      <w:keepNext/>
                      <w:rPr>
                        <w:szCs w:val="21"/>
                      </w:rPr>
                    </w:pPr>
                    <w:r>
                      <w:rPr>
                        <w:szCs w:val="21"/>
                      </w:rPr>
                      <w:t>换算周转量（亿吨公里）</w:t>
                    </w:r>
                  </w:p>
                </w:tc>
                <w:tc>
                  <w:tcPr>
                    <w:tcW w:w="1135" w:type="pct"/>
                    <w:vAlign w:val="center"/>
                  </w:tcPr>
                  <w:p w:rsidR="000A2F39" w:rsidRDefault="000A2F39" w:rsidP="000A2F39">
                    <w:pPr>
                      <w:ind w:rightChars="100" w:right="210"/>
                      <w:jc w:val="right"/>
                      <w:rPr>
                        <w:szCs w:val="21"/>
                      </w:rPr>
                    </w:pPr>
                    <w:r>
                      <w:rPr>
                        <w:rFonts w:hint="eastAsia"/>
                        <w:szCs w:val="21"/>
                      </w:rPr>
                      <w:t>3,802</w:t>
                    </w:r>
                  </w:p>
                </w:tc>
                <w:tc>
                  <w:tcPr>
                    <w:tcW w:w="1888" w:type="dxa"/>
                    <w:vAlign w:val="center"/>
                  </w:tcPr>
                  <w:p w:rsidR="000A2F39" w:rsidRDefault="000A2F39" w:rsidP="000A2F39">
                    <w:pPr>
                      <w:ind w:rightChars="100" w:right="210"/>
                      <w:jc w:val="right"/>
                      <w:rPr>
                        <w:szCs w:val="21"/>
                      </w:rPr>
                    </w:pPr>
                    <w:r>
                      <w:rPr>
                        <w:rFonts w:hint="eastAsia"/>
                        <w:szCs w:val="21"/>
                      </w:rPr>
                      <w:t>3,951</w:t>
                    </w:r>
                  </w:p>
                </w:tc>
                <w:tc>
                  <w:tcPr>
                    <w:tcW w:w="1889" w:type="dxa"/>
                    <w:vAlign w:val="bottom"/>
                  </w:tcPr>
                  <w:p w:rsidR="000A2F39" w:rsidRDefault="000A2F39" w:rsidP="000A2F39">
                    <w:pPr>
                      <w:ind w:rightChars="100" w:right="210"/>
                      <w:jc w:val="right"/>
                      <w:rPr>
                        <w:szCs w:val="21"/>
                      </w:rPr>
                    </w:pPr>
                    <w:r>
                      <w:rPr>
                        <w:rFonts w:hint="eastAsia"/>
                        <w:szCs w:val="21"/>
                      </w:rPr>
                      <w:t>-3.8%</w:t>
                    </w:r>
                  </w:p>
                </w:tc>
              </w:tr>
              <w:tr w:rsidR="000A2F39" w:rsidTr="000A2F39">
                <w:trPr>
                  <w:trHeight w:val="325"/>
                  <w:jc w:val="center"/>
                </w:trPr>
                <w:tc>
                  <w:tcPr>
                    <w:tcW w:w="1593" w:type="pct"/>
                    <w:vAlign w:val="center"/>
                  </w:tcPr>
                  <w:p w:rsidR="000A2F39" w:rsidRDefault="000A2F39" w:rsidP="000A2F39">
                    <w:pPr>
                      <w:keepNext/>
                      <w:ind w:firstLineChars="200" w:firstLine="420"/>
                      <w:rPr>
                        <w:szCs w:val="21"/>
                      </w:rPr>
                    </w:pPr>
                    <w:r>
                      <w:rPr>
                        <w:szCs w:val="21"/>
                      </w:rPr>
                      <w:t>其中：旅客（亿人公里）</w:t>
                    </w:r>
                  </w:p>
                </w:tc>
                <w:tc>
                  <w:tcPr>
                    <w:tcW w:w="1135" w:type="pct"/>
                    <w:vAlign w:val="center"/>
                  </w:tcPr>
                  <w:p w:rsidR="000A2F39" w:rsidRDefault="000A2F39" w:rsidP="000A2F39">
                    <w:pPr>
                      <w:ind w:rightChars="100" w:right="210"/>
                      <w:jc w:val="right"/>
                      <w:rPr>
                        <w:szCs w:val="21"/>
                      </w:rPr>
                    </w:pPr>
                    <w:r>
                      <w:rPr>
                        <w:rFonts w:hint="eastAsia"/>
                        <w:szCs w:val="21"/>
                      </w:rPr>
                      <w:t>15</w:t>
                    </w:r>
                  </w:p>
                </w:tc>
                <w:tc>
                  <w:tcPr>
                    <w:tcW w:w="1888" w:type="dxa"/>
                    <w:vAlign w:val="center"/>
                  </w:tcPr>
                  <w:p w:rsidR="000A2F39" w:rsidRDefault="000A2F39" w:rsidP="000A2F39">
                    <w:pPr>
                      <w:ind w:rightChars="100" w:right="210"/>
                      <w:jc w:val="right"/>
                      <w:rPr>
                        <w:szCs w:val="21"/>
                      </w:rPr>
                    </w:pPr>
                    <w:r>
                      <w:rPr>
                        <w:rFonts w:hint="eastAsia"/>
                        <w:szCs w:val="21"/>
                      </w:rPr>
                      <w:t>30</w:t>
                    </w:r>
                  </w:p>
                </w:tc>
                <w:tc>
                  <w:tcPr>
                    <w:tcW w:w="1889" w:type="dxa"/>
                    <w:vAlign w:val="bottom"/>
                  </w:tcPr>
                  <w:p w:rsidR="000A2F39" w:rsidRDefault="000A2F39" w:rsidP="000A2F39">
                    <w:pPr>
                      <w:ind w:rightChars="100" w:right="210"/>
                      <w:jc w:val="right"/>
                      <w:rPr>
                        <w:szCs w:val="21"/>
                      </w:rPr>
                    </w:pPr>
                    <w:r>
                      <w:rPr>
                        <w:rFonts w:hint="eastAsia"/>
                        <w:szCs w:val="21"/>
                      </w:rPr>
                      <w:t>-50.0%</w:t>
                    </w:r>
                  </w:p>
                </w:tc>
              </w:tr>
              <w:tr w:rsidR="000A2F39" w:rsidTr="000A2F39">
                <w:trPr>
                  <w:trHeight w:val="325"/>
                  <w:jc w:val="center"/>
                </w:trPr>
                <w:tc>
                  <w:tcPr>
                    <w:tcW w:w="1593" w:type="pct"/>
                    <w:vAlign w:val="center"/>
                  </w:tcPr>
                  <w:p w:rsidR="000A2F39" w:rsidRDefault="000A2F39" w:rsidP="000A2F39">
                    <w:pPr>
                      <w:keepNext/>
                      <w:ind w:firstLineChars="200" w:firstLine="420"/>
                      <w:rPr>
                        <w:szCs w:val="21"/>
                      </w:rPr>
                    </w:pPr>
                    <w:r>
                      <w:rPr>
                        <w:szCs w:val="21"/>
                      </w:rPr>
                      <w:t xml:space="preserve">      货物（亿吨公里）</w:t>
                    </w:r>
                  </w:p>
                </w:tc>
                <w:tc>
                  <w:tcPr>
                    <w:tcW w:w="1135" w:type="pct"/>
                    <w:vAlign w:val="center"/>
                  </w:tcPr>
                  <w:p w:rsidR="000A2F39" w:rsidRDefault="000A2F39" w:rsidP="000A2F39">
                    <w:pPr>
                      <w:ind w:rightChars="100" w:right="210"/>
                      <w:jc w:val="right"/>
                      <w:rPr>
                        <w:szCs w:val="21"/>
                      </w:rPr>
                    </w:pPr>
                    <w:r>
                      <w:rPr>
                        <w:rFonts w:hint="eastAsia"/>
                        <w:szCs w:val="21"/>
                      </w:rPr>
                      <w:t>3,887</w:t>
                    </w:r>
                  </w:p>
                </w:tc>
                <w:tc>
                  <w:tcPr>
                    <w:tcW w:w="1888" w:type="dxa"/>
                    <w:vAlign w:val="center"/>
                  </w:tcPr>
                  <w:p w:rsidR="000A2F39" w:rsidRDefault="000A2F39" w:rsidP="000A2F39">
                    <w:pPr>
                      <w:ind w:rightChars="100" w:right="210"/>
                      <w:jc w:val="right"/>
                      <w:rPr>
                        <w:szCs w:val="21"/>
                      </w:rPr>
                    </w:pPr>
                    <w:r>
                      <w:rPr>
                        <w:rFonts w:hint="eastAsia"/>
                        <w:szCs w:val="21"/>
                      </w:rPr>
                      <w:t>3,921</w:t>
                    </w:r>
                  </w:p>
                </w:tc>
                <w:tc>
                  <w:tcPr>
                    <w:tcW w:w="1889" w:type="dxa"/>
                    <w:vAlign w:val="bottom"/>
                  </w:tcPr>
                  <w:p w:rsidR="000A2F39" w:rsidRDefault="000A2F39" w:rsidP="000A2F39">
                    <w:pPr>
                      <w:ind w:rightChars="100" w:right="210"/>
                      <w:jc w:val="right"/>
                      <w:rPr>
                        <w:szCs w:val="21"/>
                      </w:rPr>
                    </w:pPr>
                    <w:r>
                      <w:rPr>
                        <w:rFonts w:hint="eastAsia"/>
                        <w:szCs w:val="21"/>
                      </w:rPr>
                      <w:t>-0.9%</w:t>
                    </w:r>
                  </w:p>
                </w:tc>
              </w:tr>
            </w:tbl>
            <w:p w:rsidR="00806678" w:rsidRDefault="00F80B6C">
              <w:pPr>
                <w:rPr>
                  <w:rFonts w:asciiTheme="minorEastAsia" w:eastAsiaTheme="minorEastAsia" w:hAnsiTheme="minorEastAsia"/>
                </w:rPr>
              </w:pPr>
            </w:p>
          </w:sdtContent>
        </w:sdt>
      </w:sdtContent>
    </w:sdt>
    <w:sdt>
      <w:sdtPr>
        <w:rPr>
          <w:rFonts w:ascii="宋体" w:hAnsi="宋体" w:cs="宋体"/>
          <w:b w:val="0"/>
          <w:bCs w:val="0"/>
          <w:kern w:val="0"/>
          <w:szCs w:val="24"/>
        </w:rPr>
        <w:alias w:val="模块:报告期内公司所处行业情况"/>
        <w:tag w:val="_SEC_9c97aafe2aaf4296a625865b403a487b"/>
        <w:id w:val="-1630311457"/>
        <w:lock w:val="sdtLocked"/>
        <w:placeholder>
          <w:docPart w:val="GBC22222222222222222222222222222"/>
        </w:placeholder>
      </w:sdtPr>
      <w:sdtEndPr>
        <w:rPr>
          <w:rFonts w:hint="eastAsia"/>
        </w:rPr>
      </w:sdtEndPr>
      <w:sdtContent>
        <w:p w:rsidR="00806678" w:rsidRDefault="00B16377">
          <w:pPr>
            <w:pStyle w:val="2"/>
            <w:numPr>
              <w:ilvl w:val="0"/>
              <w:numId w:val="16"/>
            </w:numPr>
            <w:ind w:left="368" w:hangingChars="175" w:hanging="368"/>
          </w:pPr>
          <w:r>
            <w:t>报告期内公司所处行业情况</w:t>
          </w:r>
        </w:p>
        <w:sdt>
          <w:sdtPr>
            <w:rPr>
              <w:rFonts w:hint="eastAsia"/>
            </w:rPr>
            <w:alias w:val="报告期内公司所处行业情况 "/>
            <w:tag w:val="_GBC_62343dd2540e4e58bef438888246bd32"/>
            <w:id w:val="383057728"/>
            <w:lock w:val="sdtLocked"/>
            <w:placeholder>
              <w:docPart w:val="GBC22222222222222222222222222222"/>
            </w:placeholder>
          </w:sdtPr>
          <w:sdtContent>
            <w:p w:rsidR="0079515F" w:rsidRDefault="0079515F" w:rsidP="0079515F">
              <w:pPr>
                <w:spacing w:line="360" w:lineRule="auto"/>
                <w:ind w:firstLineChars="200" w:firstLine="420"/>
                <w:rPr>
                  <w:lang w:bidi="en-US"/>
                </w:rPr>
              </w:pPr>
              <w:r>
                <w:rPr>
                  <w:color w:val="000000"/>
                  <w:lang w:bidi="en-US"/>
                </w:rPr>
                <w:t>铁路是国家战略性、先导性、关键性重大基础设施，是国民经济大动脉、重大民生工程和综合交通运输体系骨干，在经济社会发展中的地位和作用至关</w:t>
              </w:r>
              <w:r>
                <w:rPr>
                  <w:lang w:bidi="en-US"/>
                </w:rPr>
                <w:t>重要</w:t>
              </w:r>
              <w:r>
                <w:rPr>
                  <w:rFonts w:hint="eastAsia"/>
                  <w:lang w:bidi="en-US"/>
                </w:rPr>
                <w:t>，</w:t>
              </w:r>
              <w:r>
                <w:rPr>
                  <w:lang w:bidi="en-US"/>
                </w:rPr>
                <w:t>在服务和支撑中国式现代化建设中肩负着重要使命和重大责任。铁路行业具有国民经济基础的国家属性和社会公共事业的社会属性，其周期性与经济发展和社会需求</w:t>
              </w:r>
              <w:r>
                <w:rPr>
                  <w:rFonts w:hint="eastAsia"/>
                  <w:lang w:bidi="en-US"/>
                </w:rPr>
                <w:t>基本</w:t>
              </w:r>
              <w:r>
                <w:rPr>
                  <w:lang w:bidi="en-US"/>
                </w:rPr>
                <w:t>一致。</w:t>
              </w:r>
            </w:p>
            <w:p w:rsidR="0079515F" w:rsidRDefault="0079515F" w:rsidP="0079515F">
              <w:pPr>
                <w:spacing w:line="360" w:lineRule="auto"/>
                <w:ind w:firstLineChars="200" w:firstLine="420"/>
              </w:pPr>
              <w:r>
                <w:rPr>
                  <w:rFonts w:hint="eastAsia"/>
                  <w:szCs w:val="21"/>
                </w:rPr>
                <w:t>2022年，全国铁路完成固定资产投资7,109亿元，投产新线4,100公里，其中高铁2,082公里，圆满完成年度铁路建设任务。截至</w:t>
              </w:r>
              <w:r>
                <w:rPr>
                  <w:rFonts w:hint="eastAsia"/>
                </w:rPr>
                <w:t>2022年末，全国铁路营业里程达到15.5万公里，其中高铁4.2万公里，稳居世界第一。全国铁路路网密度为161.1公里/万平方公里；复线率61.9%；电气化率75.6%。2022年，全国铁路旅客发送量16.7亿人，占全国营业性客运量55.9亿人次的29.9%。全国铁路旅客周转量6,577.5亿人公里，占全国旅客总周转量的比重为50.9%。全国铁路完成货</w:t>
              </w:r>
              <w:r>
                <w:rPr>
                  <w:rFonts w:hint="eastAsia"/>
                </w:rPr>
                <w:lastRenderedPageBreak/>
                <w:t>物发送量49.8亿吨，占全国营业性货运量506亿吨的9.8%。全国铁路货物周转量3.6万亿吨公里，占全国货物总周转量的比重为15.9%。</w:t>
              </w:r>
            </w:p>
            <w:p w:rsidR="0079515F" w:rsidRDefault="0079515F" w:rsidP="0079515F">
              <w:pPr>
                <w:spacing w:line="360" w:lineRule="auto"/>
                <w:ind w:firstLineChars="200" w:firstLine="420"/>
              </w:pPr>
              <w:r>
                <w:rPr>
                  <w:rFonts w:hint="eastAsia"/>
                </w:rPr>
                <w:t>从行业发展看，我国国土面积大，区域经济发展、资源分布和工业布局不均衡，长运距、大运量的大宗货物运输以及大规模的中长途旅客运输在一定时期内主要依靠铁路。同时，铁路具有大运量、低成本、占地少、绿色环保等特点，大力发展铁路运输符合我国国情和产业导向，铁路行业中长期还将是国家调整运输结构、降低社会物流成本、打赢蓝天保卫战的先导产业。新时代十年，全国铁路固定资产投资累计完成7.7万亿元，营业里程较十年前增长58.2%，高铁营业里程增长3.7倍，较好发挥了铁路投资对扩内需、稳增长、调结构、保就业的重要拉动作用。此外，中国铁路“走出去”的步伐不断加快，中老铁路黄金通道作用凸显，雅万高铁成功试验运行，国际班列开行数量强劲增长，铁路在服务共建“一带一路”高质量发展中发挥了重要战略通道作用。</w:t>
              </w:r>
            </w:p>
            <w:p w:rsidR="0079515F" w:rsidRDefault="0079515F" w:rsidP="0079515F">
              <w:pPr>
                <w:spacing w:line="360" w:lineRule="auto"/>
                <w:ind w:firstLineChars="200" w:firstLine="420"/>
              </w:pPr>
              <w:r>
                <w:rPr>
                  <w:rFonts w:hint="eastAsia"/>
                </w:rPr>
                <w:t>国家铁路集团发布的《新时代交通强国铁路先行规划纲要》中提出，“到2035年，全国铁路网计划达到20万公里左右，其中高铁7万公里左右。铁路基础设施规模质量、技术装备和科技创新能力、服务品质和产品供给水平达到世界领先，铁路运输安全水平、经营管理水平、现代治理能力位居世界前列”。国家铁路集团工作会议提出，未来五年乃至今后一个时期，国家铁路的中心任务是：推动铁路高质量发展，率先实现铁路现代化，勇当服务和支撑中国式现代化建设的“火车头”。到2025年，完成铁路“十四五”发展规划目标，基本建成“六个现代化体系”；到2035年，率先建成现代化铁路强国，全面服务和保障社会主义现代化强国建设，为全面推进中华民族伟大复兴提供强有力支撑。未来一段时期内，铁路行业整体将继续处于良好的发展机遇期。</w:t>
              </w:r>
            </w:p>
            <w:p w:rsidR="0079515F" w:rsidRDefault="0079515F" w:rsidP="0079515F"/>
            <w:p w:rsidR="0079515F" w:rsidRDefault="0079515F" w:rsidP="0079515F">
              <w:pPr>
                <w:rPr>
                  <w:szCs w:val="21"/>
                </w:rPr>
              </w:pPr>
              <w:r>
                <w:rPr>
                  <w:rFonts w:hint="eastAsia"/>
                  <w:szCs w:val="21"/>
                </w:rPr>
                <w:t xml:space="preserve">   图3 公司在全国铁路货运市场占有率          图4 公司在全国铁路煤运市场占有率</w:t>
              </w:r>
            </w:p>
            <w:p w:rsidR="0079515F" w:rsidRDefault="0079515F" w:rsidP="0079515F">
              <w:r>
                <w:rPr>
                  <w:noProof/>
                </w:rPr>
                <w:drawing>
                  <wp:anchor distT="0" distB="0" distL="114300" distR="114300" simplePos="0" relativeHeight="251663360" behindDoc="0" locked="0" layoutInCell="1" allowOverlap="1">
                    <wp:simplePos x="0" y="0"/>
                    <wp:positionH relativeFrom="column">
                      <wp:posOffset>3149600</wp:posOffset>
                    </wp:positionH>
                    <wp:positionV relativeFrom="paragraph">
                      <wp:posOffset>61595</wp:posOffset>
                    </wp:positionV>
                    <wp:extent cx="1979930" cy="1981200"/>
                    <wp:effectExtent l="19050" t="0" r="1270" b="0"/>
                    <wp:wrapNone/>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19" cstate="print"/>
                            <a:srcRect/>
                            <a:stretch>
                              <a:fillRect/>
                            </a:stretch>
                          </pic:blipFill>
                          <pic:spPr bwMode="auto">
                            <a:xfrm>
                              <a:off x="0" y="0"/>
                              <a:ext cx="1979930" cy="1981200"/>
                            </a:xfrm>
                            <a:prstGeom prst="rect">
                              <a:avLst/>
                            </a:prstGeom>
                            <a:noFill/>
                            <a:ln w="9525">
                              <a:noFill/>
                              <a:miter lim="800000"/>
                              <a:headEnd/>
                              <a:tailEnd/>
                            </a:ln>
                            <a:effectLst/>
                          </pic:spPr>
                        </pic:pic>
                      </a:graphicData>
                    </a:graphic>
                  </wp:anchor>
                </w:drawing>
              </w:r>
              <w:r>
                <w:rPr>
                  <w:rFonts w:hint="eastAsia"/>
                </w:rPr>
                <w:t xml:space="preserve">      </w:t>
              </w:r>
              <w:r>
                <w:rPr>
                  <w:noProof/>
                </w:rPr>
                <w:drawing>
                  <wp:inline distT="0" distB="0" distL="0" distR="0">
                    <wp:extent cx="1981200" cy="2026920"/>
                    <wp:effectExtent l="19050" t="0" r="0" b="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0" cstate="print"/>
                            <a:srcRect t="1393"/>
                            <a:stretch>
                              <a:fillRect/>
                            </a:stretch>
                          </pic:blipFill>
                          <pic:spPr bwMode="auto">
                            <a:xfrm>
                              <a:off x="0" y="0"/>
                              <a:ext cx="1981200" cy="2026920"/>
                            </a:xfrm>
                            <a:prstGeom prst="rect">
                              <a:avLst/>
                            </a:prstGeom>
                            <a:noFill/>
                            <a:ln w="9525">
                              <a:noFill/>
                              <a:miter lim="800000"/>
                              <a:headEnd/>
                              <a:tailEnd/>
                            </a:ln>
                          </pic:spPr>
                        </pic:pic>
                      </a:graphicData>
                    </a:graphic>
                  </wp:inline>
                </w:drawing>
              </w:r>
              <w:r>
                <w:rPr>
                  <w:rFonts w:hint="eastAsia"/>
                  <w:szCs w:val="21"/>
                </w:rPr>
                <w:t xml:space="preserve">        </w:t>
              </w:r>
              <w:r>
                <w:rPr>
                  <w:rFonts w:hint="eastAsia"/>
                </w:rPr>
                <w:t xml:space="preserve">        </w:t>
              </w:r>
            </w:p>
            <w:p w:rsidR="0079515F" w:rsidRDefault="0079515F" w:rsidP="0079515F">
              <w:pPr>
                <w:ind w:firstLineChars="300" w:firstLine="630"/>
                <w:rPr>
                  <w:szCs w:val="21"/>
                </w:rPr>
              </w:pPr>
              <w:r>
                <w:rPr>
                  <w:rFonts w:hint="eastAsia"/>
                </w:rPr>
                <w:t xml:space="preserve">  </w:t>
              </w:r>
              <w:r>
                <w:rPr>
                  <w:rFonts w:hint="eastAsia"/>
                  <w:szCs w:val="21"/>
                </w:rPr>
                <w:t>（数据来源：国家铁路局）                   （数据来源：国家铁路局）</w:t>
              </w:r>
            </w:p>
            <w:p w:rsidR="0079515F" w:rsidRDefault="0079515F" w:rsidP="0079515F">
              <w:pPr>
                <w:rPr>
                  <w:szCs w:val="21"/>
                </w:rPr>
              </w:pPr>
            </w:p>
            <w:p w:rsidR="00806678" w:rsidRPr="0079515F" w:rsidRDefault="0079515F" w:rsidP="0079515F">
              <w:pPr>
                <w:spacing w:line="360" w:lineRule="auto"/>
                <w:ind w:firstLineChars="200" w:firstLine="420"/>
                <w:rPr>
                  <w:szCs w:val="21"/>
                </w:rPr>
              </w:pPr>
              <w:r>
                <w:rPr>
                  <w:rFonts w:hint="eastAsia"/>
                  <w:szCs w:val="21"/>
                </w:rPr>
                <w:t>2022年，公司货物发送量完成6.8亿吨，占</w:t>
              </w:r>
              <w:r>
                <w:rPr>
                  <w:rFonts w:hint="eastAsia"/>
                </w:rPr>
                <w:t>全国铁路货运总发送量49.8亿吨的13.7%；占国家铁路货物发送量39亿吨的17.4%；公司完成煤炭发送量5.6亿吨，占全国铁路煤炭发送量26.8亿吨的21.0%。</w:t>
              </w:r>
              <w:r>
                <w:rPr>
                  <w:rFonts w:hint="eastAsia"/>
                  <w:szCs w:val="21"/>
                </w:rPr>
                <w:t>公司货物发送量、煤炭发送量继续在全国铁路货运市场中占有重要地位。</w:t>
              </w:r>
            </w:p>
          </w:sdtContent>
        </w:sdt>
      </w:sdtContent>
    </w:sdt>
    <w:sdt>
      <w:sdtPr>
        <w:rPr>
          <w:rFonts w:ascii="宋体" w:hAnsi="宋体" w:cs="宋体"/>
          <w:b w:val="0"/>
          <w:bCs w:val="0"/>
          <w:kern w:val="0"/>
          <w:szCs w:val="24"/>
        </w:rPr>
        <w:alias w:val="模块:报告期内公司从事的业务情况"/>
        <w:tag w:val="_SEC_1493ba27835e4c2bb84b6f78dd948a7b"/>
        <w:id w:val="217094660"/>
        <w:lock w:val="sdtLocked"/>
        <w:placeholder>
          <w:docPart w:val="GBC22222222222222222222222222222"/>
        </w:placeholder>
      </w:sdtPr>
      <w:sdtEndPr>
        <w:rPr>
          <w:rFonts w:hint="eastAsia"/>
        </w:rPr>
      </w:sdtEndPr>
      <w:sdtContent>
        <w:p w:rsidR="00806678" w:rsidRDefault="00B16377">
          <w:pPr>
            <w:pStyle w:val="2"/>
            <w:numPr>
              <w:ilvl w:val="0"/>
              <w:numId w:val="16"/>
            </w:numPr>
            <w:ind w:left="368" w:hangingChars="175" w:hanging="368"/>
          </w:pPr>
          <w:r>
            <w:t>报告期内公司从事的业务情况</w:t>
          </w:r>
        </w:p>
        <w:sdt>
          <w:sdtPr>
            <w:alias w:val="报告期内公司从事的业务情况 "/>
            <w:tag w:val="_GBC_5c2ed6623d994f569eb07915af842807"/>
            <w:id w:val="1385450410"/>
            <w:lock w:val="sdtLocked"/>
            <w:placeholder>
              <w:docPart w:val="GBC22222222222222222222222222222"/>
            </w:placeholder>
          </w:sdtPr>
          <w:sdtContent>
            <w:p w:rsidR="0079515F" w:rsidRDefault="0079515F" w:rsidP="0079515F">
              <w:pPr>
                <w:spacing w:line="360" w:lineRule="auto"/>
                <w:ind w:firstLineChars="200" w:firstLine="420"/>
                <w:rPr>
                  <w:szCs w:val="21"/>
                </w:rPr>
              </w:pPr>
              <w:r>
                <w:rPr>
                  <w:rFonts w:cs="Arial" w:hint="eastAsia"/>
                  <w:szCs w:val="20"/>
                </w:rPr>
                <w:t>公司主要经营铁路客、货运输业务</w:t>
              </w:r>
              <w:r>
                <w:rPr>
                  <w:rFonts w:hint="eastAsia"/>
                  <w:szCs w:val="21"/>
                </w:rPr>
                <w:t>，同时向国内其他铁路运输企业提供服务。</w:t>
              </w:r>
            </w:p>
            <w:p w:rsidR="0079515F" w:rsidRDefault="0079515F" w:rsidP="0079515F">
              <w:pPr>
                <w:widowControl w:val="0"/>
                <w:numPr>
                  <w:ilvl w:val="0"/>
                  <w:numId w:val="137"/>
                </w:numPr>
                <w:spacing w:line="360" w:lineRule="auto"/>
                <w:ind w:firstLineChars="200" w:firstLine="422"/>
                <w:jc w:val="both"/>
                <w:rPr>
                  <w:rFonts w:cs="Arial"/>
                  <w:b/>
                  <w:bCs/>
                  <w:szCs w:val="20"/>
                </w:rPr>
              </w:pPr>
              <w:r>
                <w:rPr>
                  <w:rFonts w:cs="Arial" w:hint="eastAsia"/>
                  <w:b/>
                  <w:bCs/>
                  <w:szCs w:val="20"/>
                </w:rPr>
                <w:lastRenderedPageBreak/>
                <w:t>货运业务</w:t>
              </w:r>
            </w:p>
            <w:p w:rsidR="0079515F" w:rsidRDefault="0079515F" w:rsidP="0079515F">
              <w:pPr>
                <w:spacing w:line="360" w:lineRule="auto"/>
                <w:ind w:firstLineChars="200" w:firstLine="420"/>
              </w:pPr>
              <w:r>
                <w:rPr>
                  <w:rFonts w:cs="Arial" w:hint="eastAsia"/>
                  <w:szCs w:val="20"/>
                </w:rPr>
                <w:t>货运业务是公司业务收入的主要来源，</w:t>
              </w:r>
              <w:r>
                <w:rPr>
                  <w:rFonts w:hint="eastAsia"/>
                </w:rPr>
                <w:t>2022年货运收入占公司主营业务收入的81.95%。公司运输的货品以动力煤为主，主要承担晋、蒙、陕等省区的煤炭外运任务。运输的其他货品还包括焦炭、钢铁、矿石等大宗货物，以及集装箱、零散批量货物。</w:t>
              </w:r>
            </w:p>
            <w:p w:rsidR="0079515F" w:rsidRDefault="0079515F" w:rsidP="0079515F">
              <w:pPr>
                <w:spacing w:line="360" w:lineRule="auto"/>
                <w:ind w:firstLineChars="200" w:firstLine="420"/>
                <w:rPr>
                  <w:szCs w:val="21"/>
                </w:rPr>
              </w:pPr>
              <w:r>
                <w:rPr>
                  <w:rFonts w:hint="eastAsia"/>
                  <w:szCs w:val="21"/>
                </w:rPr>
                <w:t>2022年，公司积极把握主要货源地增产保供、高煤价驱动企业积极发运、“迎峰度夏”需求旺盛等有利契机，高效统筹安全与运输，</w:t>
              </w:r>
              <w:r w:rsidR="00B7721E">
                <w:rPr>
                  <w:rFonts w:hint="eastAsia"/>
                  <w:szCs w:val="21"/>
                </w:rPr>
                <w:t>大力</w:t>
              </w:r>
              <w:r>
                <w:rPr>
                  <w:rFonts w:hint="eastAsia"/>
                  <w:szCs w:val="21"/>
                </w:rPr>
                <w:t>实施“以货补客”，深入开展货运增量大会战攻坚战，通过开展大客户走访座谈，强化营销攻坚，紧盯中长协合同兑现，加强适箱货源组织等举措，抓实源头货源保障。同时，优化装车结构，压缩开车辅时，精细化调整车流机班，实现分界口大出大入，进一步提升路网整体效率。科学铺画重载列车开行计划，合理安排2万吨、1.5万吨、单元万吨等列车开行结构，全方位提升大秦线集疏运质量，充分释放通道能力，取得良好成效。2022年前三季度，公司完成货物发送量5.30亿吨，同比增长4.5%；大秦线完成货物运输量3.19亿吨，同比增长2.8%。第四季度，公司积极应对疫情影响和冲击，科学调整乘务模式，动态优化运输组织，大秦线运输秩序较快恢复。公司努力冲刺年度任务目标，但由于铁路运力具有不可储存性的特点，大秦线运量、公司货物发送量等指标未达预期。</w:t>
              </w:r>
            </w:p>
            <w:p w:rsidR="0079515F" w:rsidRDefault="0079515F" w:rsidP="0079515F">
              <w:pPr>
                <w:spacing w:line="360" w:lineRule="auto"/>
                <w:ind w:firstLineChars="200" w:firstLine="420"/>
              </w:pPr>
              <w:r>
                <w:rPr>
                  <w:rFonts w:hint="eastAsia"/>
                  <w:szCs w:val="21"/>
                </w:rPr>
                <w:t>2022年，公司完成货物发送量67,671万吨，同比下降2.2%；完成换算周转量3,802亿吨公里，同比下降3.8%。日均装车28,380车，日均卸车23,074车，货车周转时间2.50天，静载重71.8吨。大秦线完成运量3.97 亿吨，同比减少5.8%。日均开行重车75.4列。其中，2万吨53.3列，1.5万吨5.4列，单元万吨6.4列，组合万吨8.2列。侯月线完成货物运输量10,359万吨，同比增长4.6%。</w:t>
              </w:r>
            </w:p>
            <w:p w:rsidR="0079515F" w:rsidRDefault="0079515F" w:rsidP="0079515F">
              <w:pPr>
                <w:widowControl w:val="0"/>
                <w:numPr>
                  <w:ilvl w:val="0"/>
                  <w:numId w:val="137"/>
                </w:numPr>
                <w:spacing w:line="360" w:lineRule="auto"/>
                <w:ind w:firstLineChars="200" w:firstLine="422"/>
                <w:jc w:val="both"/>
                <w:rPr>
                  <w:b/>
                  <w:bCs/>
                  <w:szCs w:val="21"/>
                </w:rPr>
              </w:pPr>
              <w:r>
                <w:rPr>
                  <w:rFonts w:hint="eastAsia"/>
                  <w:b/>
                  <w:bCs/>
                  <w:szCs w:val="21"/>
                </w:rPr>
                <w:t>客运业务</w:t>
              </w:r>
            </w:p>
            <w:p w:rsidR="0079515F" w:rsidRDefault="0079515F" w:rsidP="0079515F">
              <w:pPr>
                <w:spacing w:line="360" w:lineRule="auto"/>
                <w:ind w:firstLineChars="200" w:firstLine="420"/>
                <w:rPr>
                  <w:szCs w:val="21"/>
                </w:rPr>
              </w:pPr>
              <w:r>
                <w:rPr>
                  <w:rFonts w:hint="eastAsia"/>
                  <w:szCs w:val="21"/>
                </w:rPr>
                <w:t>客运业务是公司重要的业务组成部分，公司担当开行多列以太原、大同等地为始发终到的旅客列车，通达全国大部分省市区，2022年客运收入占公司主营业务收入的5.49%。</w:t>
              </w:r>
            </w:p>
            <w:p w:rsidR="0079515F" w:rsidRDefault="0079515F" w:rsidP="0079515F">
              <w:pPr>
                <w:spacing w:line="360" w:lineRule="auto"/>
                <w:ind w:firstLineChars="200" w:firstLine="420"/>
                <w:rPr>
                  <w:szCs w:val="21"/>
                </w:rPr>
              </w:pPr>
              <w:r>
                <w:rPr>
                  <w:rFonts w:hint="eastAsia"/>
                  <w:szCs w:val="21"/>
                </w:rPr>
                <w:t>报告期内，公司严格落实疫情防控要求，精细实施“一日一图”，合理匹配运力和需求。充分把握调图契机，按照“适需安排、精准匹配、梯次投放”的思路对旅客列车开行结构、车流径路进行优化调整，路网扩能惠及更多地区，山西省11个地市实现动车全覆盖，列车等级和运行质量得到提升。发挥客运服务品牌优势，推广新型票制、商务座提质等服务，推出30余项便民利民措施，不断提升购票、候车、乘车体验，让广大旅客体验更美好。2022年公司发运旅客2,026万人。</w:t>
              </w:r>
            </w:p>
            <w:p w:rsidR="0079515F" w:rsidRDefault="0079515F" w:rsidP="0079515F">
              <w:pPr>
                <w:widowControl w:val="0"/>
                <w:numPr>
                  <w:ilvl w:val="0"/>
                  <w:numId w:val="137"/>
                </w:numPr>
                <w:spacing w:line="360" w:lineRule="auto"/>
                <w:ind w:firstLineChars="200" w:firstLine="422"/>
                <w:jc w:val="both"/>
                <w:rPr>
                  <w:b/>
                  <w:bCs/>
                  <w:szCs w:val="21"/>
                </w:rPr>
              </w:pPr>
              <w:r>
                <w:rPr>
                  <w:rFonts w:hint="eastAsia"/>
                  <w:b/>
                  <w:bCs/>
                  <w:szCs w:val="21"/>
                </w:rPr>
                <w:t>其他业务</w:t>
              </w:r>
            </w:p>
            <w:p w:rsidR="0079515F" w:rsidRDefault="0079515F" w:rsidP="0079515F">
              <w:pPr>
                <w:spacing w:line="360" w:lineRule="auto"/>
                <w:ind w:firstLineChars="200" w:firstLine="420"/>
                <w:rPr>
                  <w:szCs w:val="21"/>
                </w:rPr>
              </w:pPr>
              <w:r>
                <w:rPr>
                  <w:rFonts w:hint="eastAsia"/>
                  <w:szCs w:val="21"/>
                </w:rPr>
                <w:t>公司</w:t>
              </w:r>
              <w:r>
                <w:rPr>
                  <w:rFonts w:hint="eastAsia"/>
                  <w:lang w:bidi="en-US"/>
                </w:rPr>
                <w:t>同时</w:t>
              </w:r>
              <w:r>
                <w:rPr>
                  <w:rFonts w:hint="eastAsia"/>
                  <w:szCs w:val="21"/>
                </w:rPr>
                <w:t>向国内其他铁路运输企业提供服务，主要包括机车牵引、货车使用、线路使用、货车修理等，并为大西高铁、晋豫鲁铁路等提供委托运输管理服务。</w:t>
              </w:r>
            </w:p>
            <w:p w:rsidR="00806678" w:rsidRPr="0079515F" w:rsidRDefault="0079515F" w:rsidP="0079515F">
              <w:pPr>
                <w:spacing w:line="360" w:lineRule="auto"/>
                <w:ind w:firstLineChars="200" w:firstLine="420"/>
                <w:rPr>
                  <w:szCs w:val="21"/>
                </w:rPr>
              </w:pPr>
              <w:r>
                <w:rPr>
                  <w:rFonts w:hint="eastAsia"/>
                  <w:szCs w:val="21"/>
                </w:rPr>
                <w:t>报告期内，公司主营业务未发生变化。</w:t>
              </w:r>
            </w:p>
          </w:sdtContent>
        </w:sdt>
      </w:sdtContent>
    </w:sdt>
    <w:sdt>
      <w:sdtPr>
        <w:rPr>
          <w:rFonts w:ascii="宋体" w:hAnsi="宋体" w:cs="宋体" w:hint="eastAsia"/>
          <w:b w:val="0"/>
          <w:bCs w:val="0"/>
          <w:kern w:val="0"/>
          <w:szCs w:val="24"/>
        </w:rPr>
        <w:alias w:val="模块:报告期内核心竞争力分析"/>
        <w:tag w:val="_SEC_d733579ca1be4b6280b2cf34d2da3454"/>
        <w:id w:val="34633369"/>
        <w:lock w:val="sdtLocked"/>
        <w:placeholder>
          <w:docPart w:val="GBC22222222222222222222222222222"/>
        </w:placeholder>
      </w:sdtPr>
      <w:sdtContent>
        <w:p w:rsidR="00806678" w:rsidRDefault="00B16377">
          <w:pPr>
            <w:pStyle w:val="2"/>
            <w:numPr>
              <w:ilvl w:val="0"/>
              <w:numId w:val="16"/>
            </w:numPr>
            <w:ind w:left="368" w:hangingChars="175" w:hanging="368"/>
          </w:pPr>
          <w:r>
            <w:rPr>
              <w:rFonts w:hint="eastAsia"/>
            </w:rPr>
            <w:t>报告期内核心竞争力分析</w:t>
          </w:r>
        </w:p>
        <w:sdt>
          <w:sdtPr>
            <w:alias w:val="是否适用：报告期内核心竞争力分析[双击切换]"/>
            <w:tag w:val="_GBC_a03591f0f7444c9b8f5c55d6f75c3136"/>
            <w:id w:val="-849476653"/>
            <w:lock w:val="sdtLocked"/>
            <w:placeholder>
              <w:docPart w:val="GBC22222222222222222222222222222"/>
            </w:placeholder>
          </w:sdtPr>
          <w:sdtContent>
            <w:p w:rsidR="00806678" w:rsidRDefault="00F80B6C">
              <w:r>
                <w:fldChar w:fldCharType="begin"/>
              </w:r>
              <w:r w:rsidR="00864323">
                <w:instrText xml:space="preserve">MACROBUTTON  SnrToggleCheckbox √适用 </w:instrText>
              </w:r>
              <w:r>
                <w:fldChar w:fldCharType="end"/>
              </w:r>
              <w:r>
                <w:fldChar w:fldCharType="begin"/>
              </w:r>
              <w:r w:rsidR="00864323">
                <w:instrText xml:space="preserve"> MACROBUTTON  SnrToggleCheckbox □不适用 </w:instrText>
              </w:r>
              <w:r>
                <w:fldChar w:fldCharType="end"/>
              </w:r>
            </w:p>
          </w:sdtContent>
        </w:sdt>
        <w:sdt>
          <w:sdtPr>
            <w:rPr>
              <w:rFonts w:hint="eastAsia"/>
            </w:rPr>
            <w:alias w:val="报告期内核心竞争力分析"/>
            <w:tag w:val="_GBC_956a57b53cd74344a32f2309bcc5f344"/>
            <w:id w:val="196634771"/>
            <w:lock w:val="sdtLocked"/>
            <w:placeholder>
              <w:docPart w:val="GBC22222222222222222222222222222"/>
            </w:placeholder>
          </w:sdtPr>
          <w:sdtContent>
            <w:p w:rsidR="00864323" w:rsidRDefault="00864323" w:rsidP="00864323">
              <w:pPr>
                <w:spacing w:line="360" w:lineRule="auto"/>
                <w:rPr>
                  <w:szCs w:val="21"/>
                </w:rPr>
              </w:pPr>
              <w:r>
                <w:rPr>
                  <w:rFonts w:hint="eastAsia"/>
                  <w:b/>
                  <w:bCs/>
                  <w:szCs w:val="21"/>
                </w:rPr>
                <w:t>1. 战略地位：</w:t>
              </w:r>
              <w:r>
                <w:rPr>
                  <w:rFonts w:hint="eastAsia"/>
                  <w:szCs w:val="21"/>
                </w:rPr>
                <w:t>公司路网纵贯三晋南北，横跨晋冀津京两省两市，拥有的铁路干线衔接了我国北方地区最重要的煤炭供应区域和中转枢纽，在路网中</w:t>
              </w:r>
              <w:r>
                <w:rPr>
                  <w:szCs w:val="21"/>
                </w:rPr>
                <w:t>处于</w:t>
              </w:r>
              <w:r>
                <w:rPr>
                  <w:rFonts w:hint="eastAsia"/>
                  <w:szCs w:val="21"/>
                </w:rPr>
                <w:t>“</w:t>
              </w:r>
              <w:r>
                <w:rPr>
                  <w:szCs w:val="21"/>
                </w:rPr>
                <w:t>承东启西</w:t>
              </w:r>
              <w:r>
                <w:rPr>
                  <w:rFonts w:hint="eastAsia"/>
                  <w:szCs w:val="21"/>
                </w:rPr>
                <w:t>”</w:t>
              </w:r>
              <w:r>
                <w:rPr>
                  <w:szCs w:val="21"/>
                </w:rPr>
                <w:t>的战略位置</w:t>
              </w:r>
              <w:r>
                <w:rPr>
                  <w:rFonts w:hint="eastAsia"/>
                  <w:szCs w:val="21"/>
                </w:rPr>
                <w:t>，在国家煤炭运输大格局中处于重要地位。</w:t>
              </w:r>
            </w:p>
            <w:p w:rsidR="00864323" w:rsidRDefault="00864323" w:rsidP="00864323">
              <w:pPr>
                <w:widowControl w:val="0"/>
                <w:numPr>
                  <w:ilvl w:val="0"/>
                  <w:numId w:val="138"/>
                </w:numPr>
                <w:spacing w:line="360" w:lineRule="auto"/>
                <w:jc w:val="both"/>
                <w:rPr>
                  <w:szCs w:val="21"/>
                </w:rPr>
              </w:pPr>
              <w:r>
                <w:rPr>
                  <w:rFonts w:hint="eastAsia"/>
                  <w:b/>
                  <w:bCs/>
                  <w:szCs w:val="21"/>
                </w:rPr>
                <w:t>货源和客户：</w:t>
              </w:r>
              <w:r>
                <w:rPr>
                  <w:rFonts w:hint="eastAsia"/>
                  <w:szCs w:val="21"/>
                </w:rPr>
                <w:t>公司</w:t>
              </w:r>
              <w:r>
                <w:rPr>
                  <w:szCs w:val="21"/>
                </w:rPr>
                <w:t>主要货源地</w:t>
              </w:r>
              <w:r>
                <w:rPr>
                  <w:rFonts w:hint="eastAsia"/>
                  <w:szCs w:val="21"/>
                </w:rPr>
                <w:t>山西省、内蒙古自治区、陕西省</w:t>
              </w:r>
              <w:r>
                <w:rPr>
                  <w:szCs w:val="21"/>
                </w:rPr>
                <w:t>煤炭资源丰富，</w:t>
              </w:r>
              <w:r>
                <w:rPr>
                  <w:rFonts w:hint="eastAsia"/>
                  <w:szCs w:val="21"/>
                </w:rPr>
                <w:t>是我国最重要的煤炭产销区域。根据国家能源发展战略布局，国内煤炭生产重心有序向中西部地区转移，公司主要货源地煤炭资源集中度持续提升，供应保障更加有力。</w:t>
              </w:r>
              <w:r>
                <w:rPr>
                  <w:szCs w:val="21"/>
                </w:rPr>
                <w:t>公司的主要客户</w:t>
              </w:r>
              <w:r>
                <w:rPr>
                  <w:rFonts w:hint="eastAsia"/>
                  <w:szCs w:val="21"/>
                </w:rPr>
                <w:t>多</w:t>
              </w:r>
              <w:r>
                <w:rPr>
                  <w:szCs w:val="21"/>
                </w:rPr>
                <w:t>为大型煤炭</w:t>
              </w:r>
              <w:r>
                <w:rPr>
                  <w:rFonts w:hint="eastAsia"/>
                  <w:szCs w:val="21"/>
                </w:rPr>
                <w:t>产销</w:t>
              </w:r>
              <w:r>
                <w:rPr>
                  <w:szCs w:val="21"/>
                </w:rPr>
                <w:t>企业，</w:t>
              </w:r>
              <w:r>
                <w:rPr>
                  <w:rFonts w:hint="eastAsia"/>
                  <w:szCs w:val="21"/>
                </w:rPr>
                <w:t>有较强的</w:t>
              </w:r>
              <w:r>
                <w:rPr>
                  <w:szCs w:val="21"/>
                </w:rPr>
                <w:t>生产能力</w:t>
              </w:r>
              <w:r>
                <w:rPr>
                  <w:rFonts w:hint="eastAsia"/>
                  <w:szCs w:val="21"/>
                </w:rPr>
                <w:t>和</w:t>
              </w:r>
              <w:r>
                <w:rPr>
                  <w:szCs w:val="21"/>
                </w:rPr>
                <w:t>外运需求，与公司保持着长期、稳定的合作关系。</w:t>
              </w:r>
            </w:p>
            <w:p w:rsidR="00864323" w:rsidRDefault="00864323" w:rsidP="00864323">
              <w:pPr>
                <w:widowControl w:val="0"/>
                <w:numPr>
                  <w:ilvl w:val="0"/>
                  <w:numId w:val="138"/>
                </w:numPr>
                <w:spacing w:line="360" w:lineRule="auto"/>
                <w:jc w:val="both"/>
                <w:rPr>
                  <w:szCs w:val="21"/>
                </w:rPr>
              </w:pPr>
              <w:r>
                <w:rPr>
                  <w:rFonts w:hint="eastAsia"/>
                  <w:b/>
                  <w:bCs/>
                  <w:szCs w:val="21"/>
                </w:rPr>
                <w:t>技术体系：</w:t>
              </w:r>
              <w:r>
                <w:rPr>
                  <w:rFonts w:hint="eastAsia"/>
                  <w:szCs w:val="21"/>
                </w:rPr>
                <w:t>公司拥有成熟、先进、可靠的铁路煤炭重载运输技术体系。</w:t>
              </w:r>
              <w:r>
                <w:rPr>
                  <w:szCs w:val="21"/>
                </w:rPr>
                <w:t>所辖大秦线是具有世界先进水平、</w:t>
              </w:r>
              <w:r>
                <w:rPr>
                  <w:rFonts w:hint="eastAsia"/>
                  <w:szCs w:val="21"/>
                </w:rPr>
                <w:t>年运量</w:t>
              </w:r>
              <w:r>
                <w:rPr>
                  <w:szCs w:val="21"/>
                </w:rPr>
                <w:t>最大的现代化专业煤炭运输线路</w:t>
              </w:r>
              <w:r>
                <w:rPr>
                  <w:rFonts w:hint="eastAsia"/>
                  <w:szCs w:val="21"/>
                </w:rPr>
                <w:t>，应用</w:t>
              </w:r>
              <w:r>
                <w:rPr>
                  <w:szCs w:val="21"/>
                </w:rPr>
                <w:t>Locotrol</w:t>
              </w:r>
              <w:r>
                <w:rPr>
                  <w:rFonts w:hint="eastAsia"/>
                  <w:szCs w:val="21"/>
                </w:rPr>
                <w:t>等</w:t>
              </w:r>
              <w:r>
                <w:rPr>
                  <w:szCs w:val="21"/>
                </w:rPr>
                <w:t>重载技术，配置了性能先进的机车</w:t>
              </w:r>
              <w:r>
                <w:rPr>
                  <w:rFonts w:hint="eastAsia"/>
                  <w:szCs w:val="21"/>
                </w:rPr>
                <w:t>、</w:t>
              </w:r>
              <w:r>
                <w:rPr>
                  <w:szCs w:val="21"/>
                </w:rPr>
                <w:t>车辆等设备</w:t>
              </w:r>
              <w:r>
                <w:rPr>
                  <w:rFonts w:hint="eastAsia"/>
                  <w:szCs w:val="21"/>
                </w:rPr>
                <w:t>，实现2万吨重载列车常态化开行，完成了3万吨重载列车运行试验</w:t>
              </w:r>
              <w:r>
                <w:rPr>
                  <w:szCs w:val="21"/>
                </w:rPr>
                <w:t>。</w:t>
              </w:r>
              <w:r>
                <w:rPr>
                  <w:rFonts w:hint="eastAsia"/>
                  <w:szCs w:val="21"/>
                </w:rPr>
                <w:t>公司依托北同蒲、宁岢线等万吨、2万吨装车点和</w:t>
              </w:r>
              <w:r>
                <w:rPr>
                  <w:szCs w:val="21"/>
                </w:rPr>
                <w:t>秦皇岛</w:t>
              </w:r>
              <w:r>
                <w:rPr>
                  <w:rFonts w:hint="eastAsia"/>
                  <w:szCs w:val="21"/>
                </w:rPr>
                <w:t>、</w:t>
              </w:r>
              <w:r>
                <w:rPr>
                  <w:szCs w:val="21"/>
                </w:rPr>
                <w:t>曹妃甸等煤炭接卸港口，</w:t>
              </w:r>
              <w:r>
                <w:rPr>
                  <w:rFonts w:hint="eastAsia"/>
                  <w:szCs w:val="21"/>
                </w:rPr>
                <w:t>组织大规模自动化装卸和重载直达运输，形成了</w:t>
              </w:r>
              <w:r>
                <w:rPr>
                  <w:szCs w:val="21"/>
                </w:rPr>
                <w:t>完整、先进、高效的煤炭重载集疏运系统。</w:t>
              </w:r>
            </w:p>
            <w:p w:rsidR="00864323" w:rsidRDefault="00864323" w:rsidP="00864323">
              <w:pPr>
                <w:widowControl w:val="0"/>
                <w:numPr>
                  <w:ilvl w:val="0"/>
                  <w:numId w:val="138"/>
                </w:numPr>
                <w:spacing w:line="360" w:lineRule="auto"/>
                <w:jc w:val="both"/>
                <w:rPr>
                  <w:szCs w:val="21"/>
                </w:rPr>
              </w:pPr>
              <w:r>
                <w:rPr>
                  <w:rFonts w:hint="eastAsia"/>
                  <w:b/>
                  <w:bCs/>
                  <w:szCs w:val="21"/>
                </w:rPr>
                <w:t>技术队伍：</w:t>
              </w:r>
              <w:r>
                <w:rPr>
                  <w:szCs w:val="21"/>
                </w:rPr>
                <w:t>公司长期经营铁路运输业务，建立了一整套安全、高效的运输组织管理机制和调度指挥系统，拥有一支技术过硬、经验丰富、精干高效的铁路运输管理和专业技术队伍。</w:t>
              </w:r>
            </w:p>
            <w:p w:rsidR="00806678" w:rsidRPr="00864323" w:rsidRDefault="00864323" w:rsidP="00864323">
              <w:pPr>
                <w:widowControl w:val="0"/>
                <w:numPr>
                  <w:ilvl w:val="0"/>
                  <w:numId w:val="138"/>
                </w:numPr>
                <w:spacing w:line="360" w:lineRule="auto"/>
                <w:jc w:val="both"/>
                <w:rPr>
                  <w:szCs w:val="21"/>
                </w:rPr>
              </w:pPr>
              <w:r>
                <w:rPr>
                  <w:rFonts w:hint="eastAsia"/>
                  <w:b/>
                  <w:bCs/>
                  <w:szCs w:val="21"/>
                </w:rPr>
                <w:t>盈利能力：</w:t>
              </w:r>
              <w:r>
                <w:rPr>
                  <w:rFonts w:hint="eastAsia"/>
                  <w:szCs w:val="21"/>
                </w:rPr>
                <w:t>公司保持较高的利润率水平，经营活动产生的现金流较为充沛。</w:t>
              </w:r>
            </w:p>
          </w:sdtContent>
        </w:sdt>
      </w:sdtContent>
    </w:sdt>
    <w:sdt>
      <w:sdtPr>
        <w:rPr>
          <w:rFonts w:ascii="宋体" w:hAnsi="宋体" w:cs="宋体" w:hint="eastAsia"/>
          <w:b w:val="0"/>
          <w:bCs w:val="0"/>
          <w:kern w:val="0"/>
          <w:szCs w:val="24"/>
        </w:rPr>
        <w:alias w:val="模块:报告期内主要经营情况"/>
        <w:tag w:val="_SEC_5be0fbeb3cd14e7ea98377b294efcb92"/>
        <w:id w:val="38652924"/>
        <w:lock w:val="sdtLocked"/>
        <w:placeholder>
          <w:docPart w:val="GBC22222222222222222222222222222"/>
        </w:placeholder>
      </w:sdtPr>
      <w:sdtContent>
        <w:p w:rsidR="00806678" w:rsidRDefault="00B16377">
          <w:pPr>
            <w:pStyle w:val="2"/>
            <w:numPr>
              <w:ilvl w:val="0"/>
              <w:numId w:val="16"/>
            </w:numPr>
            <w:ind w:left="368" w:hangingChars="175" w:hanging="368"/>
          </w:pPr>
          <w:r>
            <w:rPr>
              <w:rFonts w:hint="eastAsia"/>
            </w:rPr>
            <w:t>报告期内主要经营情况</w:t>
          </w:r>
        </w:p>
        <w:sdt>
          <w:sdtPr>
            <w:rPr>
              <w:rFonts w:hint="eastAsia"/>
            </w:rPr>
            <w:alias w:val="报告期内主要经营情况"/>
            <w:tag w:val="_GBC_655a1c6ffd2a454085e53e5538e3b2ef"/>
            <w:id w:val="38652925"/>
            <w:lock w:val="sdtLocked"/>
            <w:placeholder>
              <w:docPart w:val="GBC22222222222222222222222222222"/>
            </w:placeholder>
          </w:sdtPr>
          <w:sdtContent>
            <w:p w:rsidR="00A73B51" w:rsidRDefault="00A73B51" w:rsidP="00A73B51">
              <w:pPr>
                <w:spacing w:line="360" w:lineRule="auto"/>
                <w:ind w:firstLineChars="200" w:firstLine="420"/>
                <w:rPr>
                  <w:szCs w:val="21"/>
                </w:rPr>
              </w:pPr>
              <w:r>
                <w:rPr>
                  <w:rFonts w:hint="eastAsia"/>
                  <w:szCs w:val="21"/>
                </w:rPr>
                <w:t>报告期内，公司客、货运量同比有所下降，营业收入相应有所下滑。成本控制方面，公司聚焦运输经营目标，严格以收定支、收支弹挂</w:t>
              </w:r>
              <w:r w:rsidR="00B7721E">
                <w:rPr>
                  <w:rFonts w:hint="eastAsia"/>
                  <w:szCs w:val="21"/>
                </w:rPr>
                <w:t>，多措并举降低各类成本支出：一是与运量相关的设备维修、材料及客运</w:t>
              </w:r>
              <w:r>
                <w:rPr>
                  <w:rFonts w:hint="eastAsia"/>
                  <w:szCs w:val="21"/>
                </w:rPr>
                <w:t>服务</w:t>
              </w:r>
              <w:r w:rsidR="00B7721E">
                <w:rPr>
                  <w:rFonts w:hint="eastAsia"/>
                  <w:szCs w:val="21"/>
                </w:rPr>
                <w:t>费</w:t>
              </w:r>
              <w:r>
                <w:rPr>
                  <w:rFonts w:hint="eastAsia"/>
                  <w:szCs w:val="21"/>
                </w:rPr>
                <w:t>等支出减少。二是推进完成2</w:t>
              </w:r>
              <w:r w:rsidR="009B5713">
                <w:rPr>
                  <w:rFonts w:hint="eastAsia"/>
                  <w:szCs w:val="21"/>
                </w:rPr>
                <w:t>批次节支降耗清单，大力压减业务外包</w:t>
              </w:r>
              <w:r>
                <w:rPr>
                  <w:rFonts w:hint="eastAsia"/>
                  <w:szCs w:val="21"/>
                </w:rPr>
                <w:t>。三是推进劳动组织改革，在节约岗位和压缩用工总量上取得良好成效</w:t>
              </w:r>
              <w:r w:rsidR="003330CD">
                <w:rPr>
                  <w:rFonts w:hint="eastAsia"/>
                  <w:szCs w:val="21"/>
                </w:rPr>
                <w:t>。四是加强物资管理，</w:t>
              </w:r>
              <w:r>
                <w:rPr>
                  <w:rFonts w:hint="eastAsia"/>
                  <w:szCs w:val="21"/>
                </w:rPr>
                <w:t>库存周转率等指标有所提升。</w:t>
              </w:r>
            </w:p>
            <w:p w:rsidR="00806678" w:rsidRPr="00A73B51" w:rsidRDefault="00A73B51" w:rsidP="00A73B51">
              <w:pPr>
                <w:spacing w:line="360" w:lineRule="auto"/>
                <w:ind w:firstLineChars="200" w:firstLine="420"/>
                <w:rPr>
                  <w:szCs w:val="21"/>
                </w:rPr>
              </w:pPr>
              <w:r>
                <w:rPr>
                  <w:rFonts w:hint="eastAsia"/>
                  <w:szCs w:val="21"/>
                </w:rPr>
                <w:t>2022年，公司实现营业收入</w:t>
              </w:r>
              <w:r>
                <w:rPr>
                  <w:rFonts w:hint="eastAsia"/>
                  <w:color w:val="000000"/>
                </w:rPr>
                <w:t>75,757,671,668</w:t>
              </w:r>
              <w:r>
                <w:rPr>
                  <w:rFonts w:hint="eastAsia"/>
                  <w:szCs w:val="21"/>
                </w:rPr>
                <w:t>元，同比下降3.72%。营业成本</w:t>
              </w:r>
              <w:r>
                <w:rPr>
                  <w:rFonts w:hint="eastAsia"/>
                  <w:color w:val="000000"/>
                </w:rPr>
                <w:t>60,635,227,652</w:t>
              </w:r>
              <w:r>
                <w:rPr>
                  <w:rFonts w:hint="eastAsia"/>
                  <w:szCs w:val="21"/>
                </w:rPr>
                <w:t>元，同比下降1.42%；实现净利润12,852,917,905元，同比下降6.68%。</w:t>
              </w:r>
            </w:p>
          </w:sdtContent>
        </w:sdt>
      </w:sdtContent>
    </w:sdt>
    <w:p w:rsidR="00806678" w:rsidRDefault="00B16377">
      <w:pPr>
        <w:pStyle w:val="3"/>
        <w:numPr>
          <w:ilvl w:val="0"/>
          <w:numId w:val="8"/>
        </w:numPr>
        <w:ind w:left="369" w:hangingChars="175" w:hanging="369"/>
        <w:rPr>
          <w:szCs w:val="21"/>
        </w:rPr>
      </w:pPr>
      <w:bookmarkStart w:id="24" w:name="_Toc342559738"/>
      <w:bookmarkStart w:id="25" w:name="_Toc342565895"/>
      <w:r>
        <w:rPr>
          <w:rFonts w:hint="eastAsia"/>
          <w:szCs w:val="21"/>
        </w:rPr>
        <w:t>主营业务分析</w:t>
      </w:r>
      <w:bookmarkEnd w:id="24"/>
      <w:bookmarkEnd w:id="25"/>
    </w:p>
    <w:p w:rsidR="00806678" w:rsidRDefault="00B16377" w:rsidP="00FF17C7">
      <w:pPr>
        <w:pStyle w:val="4"/>
        <w:numPr>
          <w:ilvl w:val="0"/>
          <w:numId w:val="64"/>
        </w:numPr>
      </w:pPr>
      <w:r>
        <w:t>利润表及现金流量表相关科目变动分析表</w:t>
      </w:r>
    </w:p>
    <w:bookmarkStart w:id="26" w:name="_Hlk10208083" w:displacedByCustomXml="next"/>
    <w:bookmarkStart w:id="27" w:name="_Hlk89098131" w:displacedByCustomXml="next"/>
    <w:sdt>
      <w:sdtPr>
        <w:rPr>
          <w:rFonts w:ascii="宋体" w:hAnsi="宋体" w:hint="eastAsia"/>
        </w:rPr>
        <w:alias w:val="模块:财务报表相关科目变动分析表"/>
        <w:tag w:val="_SEC_91e850b02ecf462096f16fee26b10620"/>
        <w:id w:val="1715534"/>
        <w:lock w:val="sdtLocked"/>
        <w:placeholder>
          <w:docPart w:val="GBC22222222222222222222222222222"/>
        </w:placeholder>
      </w:sdtPr>
      <w:sdtContent>
        <w:p w:rsidR="00806678" w:rsidRDefault="00B16377">
          <w:pPr>
            <w:pStyle w:val="a9"/>
            <w:ind w:left="360" w:firstLineChars="0" w:firstLine="0"/>
            <w:jc w:val="right"/>
            <w:rPr>
              <w:rFonts w:ascii="宋体" w:hAnsi="宋体"/>
            </w:rPr>
          </w:pPr>
          <w:r>
            <w:rPr>
              <w:rFonts w:ascii="宋体" w:hAnsi="宋体" w:hint="eastAsia"/>
              <w:szCs w:val="21"/>
            </w:rPr>
            <w:t>单位</w:t>
          </w:r>
          <w:r>
            <w:rPr>
              <w:rFonts w:ascii="宋体" w:hAnsi="宋体"/>
              <w:szCs w:val="21"/>
            </w:rPr>
            <w:t>：</w:t>
          </w:r>
          <w:sdt>
            <w:sdtPr>
              <w:rPr>
                <w:rFonts w:ascii="宋体" w:hAnsi="宋体"/>
                <w:szCs w:val="21"/>
              </w:rPr>
              <w:alias w:val="单位：利润表及现金流量表相关科目变动分析表"/>
              <w:tag w:val="_GBC_a5fffb3a862348719225255f65c5850b"/>
              <w:id w:val="173521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szCs w:val="21"/>
                </w:rPr>
                <w:t>元</w:t>
              </w:r>
            </w:sdtContent>
          </w:sdt>
          <w:r>
            <w:rPr>
              <w:rFonts w:ascii="宋体" w:hAnsi="宋体" w:hint="eastAsia"/>
              <w:szCs w:val="21"/>
            </w:rPr>
            <w:t xml:space="preserve">  币种</w:t>
          </w:r>
          <w:r>
            <w:rPr>
              <w:rFonts w:ascii="宋体" w:hAnsi="宋体"/>
              <w:szCs w:val="21"/>
            </w:rPr>
            <w:t>：</w:t>
          </w:r>
          <w:sdt>
            <w:sdtPr>
              <w:rPr>
                <w:rFonts w:ascii="宋体" w:hAnsi="宋体"/>
                <w:szCs w:val="21"/>
              </w:rPr>
              <w:alias w:val="币种：利润表及现金流量表相关科目变动分析表"/>
              <w:tag w:val="_GBC_4dcf9e4b2ba546cd926a1de5fc18f92f"/>
              <w:id w:val="174313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szCs w:val="21"/>
                </w:rPr>
                <w:t>人民币</w:t>
              </w:r>
            </w:sdtContent>
          </w:sdt>
        </w:p>
        <w:tbl>
          <w:tblPr>
            <w:tblStyle w:val="a6"/>
            <w:tblW w:w="4994" w:type="pct"/>
            <w:tblLook w:val="04A0"/>
          </w:tblPr>
          <w:tblGrid>
            <w:gridCol w:w="3085"/>
            <w:gridCol w:w="2126"/>
            <w:gridCol w:w="1985"/>
            <w:gridCol w:w="1842"/>
          </w:tblGrid>
          <w:tr w:rsidR="00806678" w:rsidTr="001E2B27">
            <w:bookmarkStart w:id="28" w:name="_Hlk10208057" w:displacedByCustomXml="next"/>
            <w:sdt>
              <w:sdtPr>
                <w:rPr>
                  <w:rFonts w:ascii="宋体" w:hAnsi="宋体"/>
                </w:rPr>
                <w:tag w:val="_PLD_e184eafc8be3478d9fc8a544274385f7"/>
                <w:id w:val="345675307"/>
                <w:lock w:val="sdtLocked"/>
              </w:sdtPr>
              <w:sdtContent>
                <w:tc>
                  <w:tcPr>
                    <w:tcW w:w="1707" w:type="pct"/>
                  </w:tcPr>
                  <w:p w:rsidR="00806678" w:rsidRDefault="00B16377">
                    <w:pPr>
                      <w:pStyle w:val="a9"/>
                      <w:ind w:firstLineChars="0" w:firstLine="0"/>
                      <w:rPr>
                        <w:rFonts w:ascii="宋体" w:hAnsi="宋体"/>
                        <w:szCs w:val="21"/>
                      </w:rPr>
                    </w:pPr>
                    <w:r>
                      <w:rPr>
                        <w:rFonts w:ascii="宋体" w:hAnsi="宋体" w:hint="eastAsia"/>
                        <w:szCs w:val="21"/>
                      </w:rPr>
                      <w:t>科目</w:t>
                    </w:r>
                  </w:p>
                </w:tc>
              </w:sdtContent>
            </w:sdt>
            <w:sdt>
              <w:sdtPr>
                <w:rPr>
                  <w:rFonts w:ascii="宋体" w:hAnsi="宋体"/>
                </w:rPr>
                <w:tag w:val="_PLD_c49cd176da60479fbcfeedd35cc9f509"/>
                <w:id w:val="1550496132"/>
                <w:lock w:val="sdtLocked"/>
              </w:sdtPr>
              <w:sdtContent>
                <w:tc>
                  <w:tcPr>
                    <w:tcW w:w="1176" w:type="pct"/>
                    <w:vAlign w:val="center"/>
                  </w:tcPr>
                  <w:p w:rsidR="00806678" w:rsidRDefault="00B16377">
                    <w:pPr>
                      <w:pStyle w:val="a9"/>
                      <w:ind w:firstLineChars="0" w:firstLine="0"/>
                      <w:jc w:val="center"/>
                      <w:rPr>
                        <w:rFonts w:ascii="宋体" w:hAnsi="宋体"/>
                        <w:szCs w:val="21"/>
                      </w:rPr>
                    </w:pPr>
                    <w:r>
                      <w:rPr>
                        <w:rFonts w:ascii="宋体" w:hAnsi="宋体" w:hint="eastAsia"/>
                        <w:szCs w:val="21"/>
                      </w:rPr>
                      <w:t>本期数</w:t>
                    </w:r>
                  </w:p>
                </w:tc>
              </w:sdtContent>
            </w:sdt>
            <w:sdt>
              <w:sdtPr>
                <w:rPr>
                  <w:rFonts w:ascii="宋体" w:hAnsi="宋体"/>
                </w:rPr>
                <w:tag w:val="_PLD_0b6df7534554463db9f304bbe9b6a71e"/>
                <w:id w:val="-2041512294"/>
                <w:lock w:val="sdtLocked"/>
              </w:sdtPr>
              <w:sdtContent>
                <w:tc>
                  <w:tcPr>
                    <w:tcW w:w="1098" w:type="pct"/>
                    <w:vAlign w:val="center"/>
                  </w:tcPr>
                  <w:p w:rsidR="00806678" w:rsidRDefault="00B16377">
                    <w:pPr>
                      <w:pStyle w:val="a9"/>
                      <w:ind w:firstLineChars="0" w:firstLine="0"/>
                      <w:jc w:val="center"/>
                      <w:rPr>
                        <w:rFonts w:ascii="宋体" w:hAnsi="宋体"/>
                        <w:szCs w:val="21"/>
                      </w:rPr>
                    </w:pPr>
                    <w:r>
                      <w:rPr>
                        <w:rFonts w:ascii="宋体" w:hAnsi="宋体" w:hint="eastAsia"/>
                        <w:szCs w:val="21"/>
                      </w:rPr>
                      <w:t>上年同期数</w:t>
                    </w:r>
                  </w:p>
                </w:tc>
              </w:sdtContent>
            </w:sdt>
            <w:sdt>
              <w:sdtPr>
                <w:rPr>
                  <w:rFonts w:ascii="宋体" w:hAnsi="宋体"/>
                </w:rPr>
                <w:tag w:val="_PLD_a903eeff1728490ba821c9389249303c"/>
                <w:id w:val="-1201016099"/>
                <w:lock w:val="sdtLocked"/>
              </w:sdtPr>
              <w:sdtContent>
                <w:tc>
                  <w:tcPr>
                    <w:tcW w:w="1019" w:type="pct"/>
                    <w:vAlign w:val="center"/>
                  </w:tcPr>
                  <w:p w:rsidR="00806678" w:rsidRDefault="00B16377">
                    <w:pPr>
                      <w:pStyle w:val="a9"/>
                      <w:ind w:firstLineChars="0" w:firstLine="0"/>
                      <w:jc w:val="center"/>
                      <w:rPr>
                        <w:rFonts w:ascii="宋体" w:hAnsi="宋体"/>
                        <w:szCs w:val="21"/>
                      </w:rPr>
                    </w:pPr>
                    <w:r>
                      <w:rPr>
                        <w:rFonts w:ascii="宋体" w:hAnsi="宋体" w:hint="eastAsia"/>
                        <w:szCs w:val="21"/>
                      </w:rPr>
                      <w:t>变动比例（%）</w:t>
                    </w:r>
                  </w:p>
                </w:tc>
              </w:sdtContent>
            </w:sdt>
          </w:tr>
          <w:tr w:rsidR="00D2096F" w:rsidTr="008163BB">
            <w:tc>
              <w:tcPr>
                <w:tcW w:w="1707" w:type="pct"/>
              </w:tcPr>
              <w:p w:rsidR="00D2096F" w:rsidRDefault="00D2096F">
                <w:pPr>
                  <w:pStyle w:val="a9"/>
                  <w:ind w:firstLineChars="0" w:firstLine="0"/>
                  <w:rPr>
                    <w:rFonts w:ascii="宋体" w:hAnsi="宋体"/>
                    <w:szCs w:val="21"/>
                  </w:rPr>
                </w:pPr>
                <w:r>
                  <w:rPr>
                    <w:rFonts w:ascii="宋体" w:hAnsi="宋体" w:hint="eastAsia"/>
                    <w:szCs w:val="21"/>
                  </w:rPr>
                  <w:t>营业收入</w:t>
                </w:r>
              </w:p>
            </w:tc>
            <w:tc>
              <w:tcPr>
                <w:tcW w:w="1176" w:type="pct"/>
                <w:vAlign w:val="center"/>
              </w:tcPr>
              <w:p w:rsidR="00D2096F" w:rsidRDefault="00D2096F" w:rsidP="00D2096F">
                <w:pPr>
                  <w:jc w:val="right"/>
                  <w:rPr>
                    <w:sz w:val="24"/>
                  </w:rPr>
                </w:pPr>
                <w:r>
                  <w:t>75,757,671,668</w:t>
                </w:r>
              </w:p>
            </w:tc>
            <w:tc>
              <w:tcPr>
                <w:tcW w:w="1098" w:type="pct"/>
                <w:vAlign w:val="center"/>
              </w:tcPr>
              <w:p w:rsidR="00D2096F" w:rsidRDefault="00D2096F" w:rsidP="00D2096F">
                <w:pPr>
                  <w:jc w:val="right"/>
                  <w:rPr>
                    <w:sz w:val="24"/>
                  </w:rPr>
                </w:pPr>
                <w:r>
                  <w:t>78,682,047,234</w:t>
                </w:r>
              </w:p>
            </w:tc>
            <w:tc>
              <w:tcPr>
                <w:tcW w:w="1019" w:type="pct"/>
                <w:vAlign w:val="center"/>
              </w:tcPr>
              <w:p w:rsidR="00D2096F" w:rsidRDefault="00D2096F" w:rsidP="00D2096F">
                <w:pPr>
                  <w:jc w:val="right"/>
                  <w:rPr>
                    <w:sz w:val="24"/>
                  </w:rPr>
                </w:pPr>
                <w:r>
                  <w:t>-3.72</w:t>
                </w:r>
              </w:p>
            </w:tc>
          </w:tr>
          <w:tr w:rsidR="00D2096F" w:rsidTr="008163BB">
            <w:tc>
              <w:tcPr>
                <w:tcW w:w="1707" w:type="pct"/>
              </w:tcPr>
              <w:p w:rsidR="00D2096F" w:rsidRDefault="00D2096F">
                <w:pPr>
                  <w:pStyle w:val="a9"/>
                  <w:ind w:firstLineChars="0" w:firstLine="0"/>
                  <w:rPr>
                    <w:rFonts w:ascii="宋体" w:hAnsi="宋体"/>
                    <w:szCs w:val="21"/>
                  </w:rPr>
                </w:pPr>
                <w:r>
                  <w:rPr>
                    <w:rFonts w:ascii="宋体" w:hAnsi="宋体"/>
                    <w:szCs w:val="21"/>
                  </w:rPr>
                  <w:t>营业成本</w:t>
                </w:r>
              </w:p>
            </w:tc>
            <w:tc>
              <w:tcPr>
                <w:tcW w:w="1176" w:type="pct"/>
                <w:vAlign w:val="center"/>
              </w:tcPr>
              <w:p w:rsidR="00D2096F" w:rsidRDefault="00D2096F" w:rsidP="00D2096F">
                <w:pPr>
                  <w:jc w:val="right"/>
                  <w:rPr>
                    <w:sz w:val="24"/>
                  </w:rPr>
                </w:pPr>
                <w:r>
                  <w:t>60,635,227,652</w:t>
                </w:r>
              </w:p>
            </w:tc>
            <w:tc>
              <w:tcPr>
                <w:tcW w:w="1098" w:type="pct"/>
                <w:vAlign w:val="center"/>
              </w:tcPr>
              <w:p w:rsidR="00D2096F" w:rsidRDefault="00D2096F" w:rsidP="00D2096F">
                <w:pPr>
                  <w:jc w:val="right"/>
                  <w:rPr>
                    <w:sz w:val="24"/>
                  </w:rPr>
                </w:pPr>
                <w:r>
                  <w:t>61,508,590,683</w:t>
                </w:r>
              </w:p>
            </w:tc>
            <w:tc>
              <w:tcPr>
                <w:tcW w:w="1019" w:type="pct"/>
                <w:vAlign w:val="center"/>
              </w:tcPr>
              <w:p w:rsidR="00D2096F" w:rsidRDefault="00D2096F" w:rsidP="00D2096F">
                <w:pPr>
                  <w:jc w:val="right"/>
                  <w:rPr>
                    <w:sz w:val="24"/>
                  </w:rPr>
                </w:pPr>
                <w:r>
                  <w:t>-1.42</w:t>
                </w:r>
              </w:p>
            </w:tc>
          </w:tr>
          <w:tr w:rsidR="00D2096F" w:rsidTr="008163BB">
            <w:tc>
              <w:tcPr>
                <w:tcW w:w="1707" w:type="pct"/>
              </w:tcPr>
              <w:p w:rsidR="00D2096F" w:rsidRDefault="00D2096F">
                <w:pPr>
                  <w:pStyle w:val="a9"/>
                  <w:ind w:firstLineChars="0" w:firstLine="0"/>
                  <w:rPr>
                    <w:rFonts w:ascii="宋体" w:hAnsi="宋体"/>
                    <w:szCs w:val="21"/>
                  </w:rPr>
                </w:pPr>
                <w:r>
                  <w:rPr>
                    <w:rFonts w:ascii="宋体" w:hAnsi="宋体"/>
                    <w:szCs w:val="21"/>
                  </w:rPr>
                  <w:t>销售费用</w:t>
                </w:r>
              </w:p>
            </w:tc>
            <w:tc>
              <w:tcPr>
                <w:tcW w:w="1176" w:type="pct"/>
                <w:vAlign w:val="center"/>
              </w:tcPr>
              <w:p w:rsidR="00D2096F" w:rsidRDefault="00D2096F" w:rsidP="00D2096F">
                <w:pPr>
                  <w:jc w:val="right"/>
                  <w:rPr>
                    <w:sz w:val="24"/>
                  </w:rPr>
                </w:pPr>
                <w:r>
                  <w:t>226,530,969</w:t>
                </w:r>
              </w:p>
            </w:tc>
            <w:tc>
              <w:tcPr>
                <w:tcW w:w="1098" w:type="pct"/>
                <w:vAlign w:val="center"/>
              </w:tcPr>
              <w:p w:rsidR="00D2096F" w:rsidRDefault="00D2096F" w:rsidP="00D2096F">
                <w:pPr>
                  <w:jc w:val="right"/>
                  <w:rPr>
                    <w:sz w:val="24"/>
                  </w:rPr>
                </w:pPr>
                <w:r>
                  <w:t>223,968,870</w:t>
                </w:r>
              </w:p>
            </w:tc>
            <w:tc>
              <w:tcPr>
                <w:tcW w:w="1019" w:type="pct"/>
                <w:vAlign w:val="center"/>
              </w:tcPr>
              <w:p w:rsidR="00D2096F" w:rsidRDefault="00D2096F" w:rsidP="00D2096F">
                <w:pPr>
                  <w:jc w:val="right"/>
                  <w:rPr>
                    <w:sz w:val="24"/>
                  </w:rPr>
                </w:pPr>
                <w:r>
                  <w:t>1.14</w:t>
                </w:r>
              </w:p>
            </w:tc>
          </w:tr>
          <w:tr w:rsidR="00D2096F" w:rsidTr="008163BB">
            <w:tc>
              <w:tcPr>
                <w:tcW w:w="1707" w:type="pct"/>
              </w:tcPr>
              <w:p w:rsidR="00D2096F" w:rsidRDefault="00D2096F">
                <w:pPr>
                  <w:pStyle w:val="a9"/>
                  <w:ind w:firstLineChars="0" w:firstLine="0"/>
                  <w:rPr>
                    <w:rFonts w:ascii="宋体" w:hAnsi="宋体"/>
                    <w:szCs w:val="21"/>
                  </w:rPr>
                </w:pPr>
                <w:r>
                  <w:rPr>
                    <w:rFonts w:ascii="宋体" w:hAnsi="宋体"/>
                    <w:szCs w:val="21"/>
                  </w:rPr>
                  <w:t>管理费用</w:t>
                </w:r>
              </w:p>
            </w:tc>
            <w:tc>
              <w:tcPr>
                <w:tcW w:w="1176" w:type="pct"/>
                <w:vAlign w:val="center"/>
              </w:tcPr>
              <w:p w:rsidR="00D2096F" w:rsidRDefault="00D2096F" w:rsidP="00D2096F">
                <w:pPr>
                  <w:jc w:val="right"/>
                  <w:rPr>
                    <w:sz w:val="24"/>
                  </w:rPr>
                </w:pPr>
                <w:r>
                  <w:t>825,738,635</w:t>
                </w:r>
              </w:p>
            </w:tc>
            <w:tc>
              <w:tcPr>
                <w:tcW w:w="1098" w:type="pct"/>
                <w:vAlign w:val="center"/>
              </w:tcPr>
              <w:p w:rsidR="00D2096F" w:rsidRDefault="00D2096F" w:rsidP="00D2096F">
                <w:pPr>
                  <w:jc w:val="right"/>
                  <w:rPr>
                    <w:sz w:val="24"/>
                  </w:rPr>
                </w:pPr>
                <w:r>
                  <w:t>777,489,264</w:t>
                </w:r>
              </w:p>
            </w:tc>
            <w:tc>
              <w:tcPr>
                <w:tcW w:w="1019" w:type="pct"/>
                <w:vAlign w:val="center"/>
              </w:tcPr>
              <w:p w:rsidR="00D2096F" w:rsidRDefault="00D2096F" w:rsidP="00D2096F">
                <w:pPr>
                  <w:jc w:val="right"/>
                  <w:rPr>
                    <w:sz w:val="24"/>
                  </w:rPr>
                </w:pPr>
                <w:r>
                  <w:t>6.21</w:t>
                </w:r>
              </w:p>
            </w:tc>
          </w:tr>
          <w:tr w:rsidR="00D2096F" w:rsidTr="008163BB">
            <w:tc>
              <w:tcPr>
                <w:tcW w:w="1707" w:type="pct"/>
              </w:tcPr>
              <w:p w:rsidR="00D2096F" w:rsidRDefault="00D2096F">
                <w:pPr>
                  <w:pStyle w:val="a9"/>
                  <w:ind w:firstLineChars="0" w:firstLine="0"/>
                  <w:rPr>
                    <w:rFonts w:ascii="宋体" w:hAnsi="宋体"/>
                    <w:szCs w:val="21"/>
                  </w:rPr>
                </w:pPr>
                <w:r>
                  <w:rPr>
                    <w:rFonts w:ascii="宋体" w:hAnsi="宋体"/>
                    <w:szCs w:val="21"/>
                  </w:rPr>
                  <w:t>财务费用</w:t>
                </w:r>
              </w:p>
            </w:tc>
            <w:tc>
              <w:tcPr>
                <w:tcW w:w="1176" w:type="pct"/>
                <w:vAlign w:val="center"/>
              </w:tcPr>
              <w:p w:rsidR="00D2096F" w:rsidRDefault="00D2096F" w:rsidP="00D2096F">
                <w:pPr>
                  <w:jc w:val="right"/>
                  <w:rPr>
                    <w:sz w:val="24"/>
                  </w:rPr>
                </w:pPr>
                <w:r>
                  <w:t>154,529,809</w:t>
                </w:r>
              </w:p>
            </w:tc>
            <w:tc>
              <w:tcPr>
                <w:tcW w:w="1098" w:type="pct"/>
                <w:vAlign w:val="center"/>
              </w:tcPr>
              <w:p w:rsidR="00D2096F" w:rsidRDefault="00D2096F" w:rsidP="00D2096F">
                <w:pPr>
                  <w:jc w:val="right"/>
                  <w:rPr>
                    <w:sz w:val="24"/>
                  </w:rPr>
                </w:pPr>
                <w:r>
                  <w:t>338,451,918</w:t>
                </w:r>
              </w:p>
            </w:tc>
            <w:tc>
              <w:tcPr>
                <w:tcW w:w="1019" w:type="pct"/>
                <w:vAlign w:val="center"/>
              </w:tcPr>
              <w:p w:rsidR="00D2096F" w:rsidRDefault="00D2096F" w:rsidP="00D2096F">
                <w:pPr>
                  <w:jc w:val="right"/>
                  <w:rPr>
                    <w:sz w:val="24"/>
                  </w:rPr>
                </w:pPr>
                <w:r>
                  <w:t>-54.34</w:t>
                </w:r>
              </w:p>
            </w:tc>
          </w:tr>
          <w:tr w:rsidR="00D2096F" w:rsidTr="008163BB">
            <w:tc>
              <w:tcPr>
                <w:tcW w:w="1707" w:type="pct"/>
              </w:tcPr>
              <w:p w:rsidR="00D2096F" w:rsidRDefault="00D2096F">
                <w:pPr>
                  <w:pStyle w:val="a9"/>
                  <w:ind w:firstLineChars="0" w:firstLine="0"/>
                  <w:rPr>
                    <w:rFonts w:ascii="宋体" w:hAnsi="宋体"/>
                    <w:szCs w:val="21"/>
                  </w:rPr>
                </w:pPr>
                <w:r>
                  <w:rPr>
                    <w:rFonts w:ascii="宋体" w:hAnsi="宋体"/>
                    <w:szCs w:val="21"/>
                  </w:rPr>
                  <w:t>经营活动产生的现金流量净额</w:t>
                </w:r>
              </w:p>
            </w:tc>
            <w:tc>
              <w:tcPr>
                <w:tcW w:w="1176" w:type="pct"/>
                <w:vAlign w:val="center"/>
              </w:tcPr>
              <w:p w:rsidR="00D2096F" w:rsidRDefault="00D2096F" w:rsidP="00D2096F">
                <w:pPr>
                  <w:jc w:val="right"/>
                  <w:rPr>
                    <w:sz w:val="24"/>
                  </w:rPr>
                </w:pPr>
                <w:r>
                  <w:t>16,102,106,613</w:t>
                </w:r>
              </w:p>
            </w:tc>
            <w:tc>
              <w:tcPr>
                <w:tcW w:w="1098" w:type="pct"/>
                <w:vAlign w:val="center"/>
              </w:tcPr>
              <w:p w:rsidR="00D2096F" w:rsidRDefault="00D2096F" w:rsidP="00D2096F">
                <w:pPr>
                  <w:jc w:val="right"/>
                  <w:rPr>
                    <w:sz w:val="24"/>
                  </w:rPr>
                </w:pPr>
                <w:r>
                  <w:t>18,898,446,858</w:t>
                </w:r>
              </w:p>
            </w:tc>
            <w:tc>
              <w:tcPr>
                <w:tcW w:w="1019" w:type="pct"/>
                <w:vAlign w:val="center"/>
              </w:tcPr>
              <w:p w:rsidR="00D2096F" w:rsidRDefault="00D2096F" w:rsidP="00D2096F">
                <w:pPr>
                  <w:jc w:val="right"/>
                  <w:rPr>
                    <w:sz w:val="24"/>
                  </w:rPr>
                </w:pPr>
                <w:r>
                  <w:t>-14.8</w:t>
                </w:r>
              </w:p>
            </w:tc>
          </w:tr>
          <w:tr w:rsidR="00D2096F" w:rsidTr="008163BB">
            <w:tc>
              <w:tcPr>
                <w:tcW w:w="1707" w:type="pct"/>
              </w:tcPr>
              <w:p w:rsidR="00D2096F" w:rsidRDefault="00D2096F">
                <w:pPr>
                  <w:pStyle w:val="a9"/>
                  <w:ind w:firstLineChars="0" w:firstLine="0"/>
                  <w:rPr>
                    <w:rFonts w:ascii="宋体" w:hAnsi="宋体"/>
                    <w:szCs w:val="21"/>
                  </w:rPr>
                </w:pPr>
                <w:r>
                  <w:rPr>
                    <w:rFonts w:ascii="宋体" w:hAnsi="宋体"/>
                    <w:szCs w:val="21"/>
                  </w:rPr>
                  <w:t>投资活动产生的现金流量净额</w:t>
                </w:r>
              </w:p>
            </w:tc>
            <w:tc>
              <w:tcPr>
                <w:tcW w:w="1176" w:type="pct"/>
                <w:vAlign w:val="center"/>
              </w:tcPr>
              <w:p w:rsidR="00D2096F" w:rsidRDefault="00D2096F" w:rsidP="00D2096F">
                <w:pPr>
                  <w:jc w:val="right"/>
                  <w:rPr>
                    <w:sz w:val="24"/>
                  </w:rPr>
                </w:pPr>
                <w:r>
                  <w:t>-2,878,095,853</w:t>
                </w:r>
              </w:p>
            </w:tc>
            <w:tc>
              <w:tcPr>
                <w:tcW w:w="1098" w:type="pct"/>
                <w:vAlign w:val="center"/>
              </w:tcPr>
              <w:p w:rsidR="00D2096F" w:rsidRDefault="00D2096F" w:rsidP="00D2096F">
                <w:pPr>
                  <w:jc w:val="right"/>
                  <w:rPr>
                    <w:sz w:val="24"/>
                  </w:rPr>
                </w:pPr>
                <w:r>
                  <w:t>-3,333,110,951</w:t>
                </w:r>
              </w:p>
            </w:tc>
            <w:tc>
              <w:tcPr>
                <w:tcW w:w="1019" w:type="pct"/>
                <w:vAlign w:val="center"/>
              </w:tcPr>
              <w:p w:rsidR="00D2096F" w:rsidRDefault="00D2096F" w:rsidP="00D2096F">
                <w:pPr>
                  <w:jc w:val="right"/>
                  <w:rPr>
                    <w:sz w:val="24"/>
                  </w:rPr>
                </w:pPr>
                <w:r>
                  <w:t>-13.65</w:t>
                </w:r>
              </w:p>
            </w:tc>
          </w:tr>
          <w:tr w:rsidR="00D2096F" w:rsidTr="008163BB">
            <w:tc>
              <w:tcPr>
                <w:tcW w:w="1707" w:type="pct"/>
              </w:tcPr>
              <w:p w:rsidR="00D2096F" w:rsidRDefault="00D2096F">
                <w:pPr>
                  <w:pStyle w:val="a9"/>
                  <w:ind w:firstLineChars="0" w:firstLine="0"/>
                  <w:rPr>
                    <w:rFonts w:ascii="宋体" w:hAnsi="宋体"/>
                    <w:szCs w:val="21"/>
                  </w:rPr>
                </w:pPr>
                <w:r>
                  <w:rPr>
                    <w:rFonts w:ascii="宋体" w:hAnsi="宋体"/>
                    <w:szCs w:val="21"/>
                  </w:rPr>
                  <w:t>筹资活动产生的现金流量净额</w:t>
                </w:r>
              </w:p>
            </w:tc>
            <w:tc>
              <w:tcPr>
                <w:tcW w:w="1176" w:type="pct"/>
                <w:vAlign w:val="center"/>
              </w:tcPr>
              <w:p w:rsidR="00D2096F" w:rsidRDefault="00D2096F" w:rsidP="00D2096F">
                <w:pPr>
                  <w:jc w:val="right"/>
                  <w:rPr>
                    <w:sz w:val="24"/>
                  </w:rPr>
                </w:pPr>
                <w:r>
                  <w:t>-10,036,806,456</w:t>
                </w:r>
              </w:p>
            </w:tc>
            <w:tc>
              <w:tcPr>
                <w:tcW w:w="1098" w:type="pct"/>
                <w:vAlign w:val="center"/>
              </w:tcPr>
              <w:p w:rsidR="00D2096F" w:rsidRDefault="00D2096F" w:rsidP="00D2096F">
                <w:pPr>
                  <w:jc w:val="right"/>
                  <w:rPr>
                    <w:sz w:val="24"/>
                  </w:rPr>
                </w:pPr>
                <w:r>
                  <w:t>-8,236,418,775</w:t>
                </w:r>
              </w:p>
            </w:tc>
            <w:tc>
              <w:tcPr>
                <w:tcW w:w="1019" w:type="pct"/>
                <w:vAlign w:val="center"/>
              </w:tcPr>
              <w:p w:rsidR="00D2096F" w:rsidRDefault="00D2096F" w:rsidP="00D2096F">
                <w:pPr>
                  <w:jc w:val="right"/>
                  <w:rPr>
                    <w:sz w:val="24"/>
                  </w:rPr>
                </w:pPr>
                <w:r>
                  <w:t>21.86</w:t>
                </w:r>
              </w:p>
            </w:tc>
          </w:tr>
        </w:tbl>
        <w:bookmarkEnd w:id="28"/>
        <w:p w:rsidR="00806678" w:rsidRDefault="00B16377">
          <w:pPr>
            <w:pStyle w:val="a9"/>
            <w:ind w:firstLineChars="0" w:firstLine="0"/>
            <w:jc w:val="left"/>
            <w:rPr>
              <w:rFonts w:ascii="宋体" w:hAnsi="宋体"/>
            </w:rPr>
          </w:pPr>
          <w:r>
            <w:rPr>
              <w:rFonts w:ascii="宋体" w:hAnsi="宋体" w:hint="eastAsia"/>
            </w:rPr>
            <w:t>营业收入变动原因说明：</w:t>
          </w:r>
          <w:sdt>
            <w:sdtPr>
              <w:rPr>
                <w:rFonts w:ascii="宋体" w:hAnsi="宋体"/>
                <w:szCs w:val="21"/>
              </w:rPr>
              <w:alias w:val="营业收入变动原因说明"/>
              <w:tag w:val="_GBC_02f544181db247728469e929886776a1"/>
              <w:id w:val="1724187"/>
              <w:lock w:val="sdtLocked"/>
              <w:placeholder>
                <w:docPart w:val="GBC22222222222222222222222222222"/>
              </w:placeholder>
            </w:sdtPr>
            <w:sdtContent>
              <w:r w:rsidR="00D2096F">
                <w:rPr>
                  <w:rFonts w:hint="eastAsia"/>
                </w:rPr>
                <w:t>客货发送量减少</w:t>
              </w:r>
            </w:sdtContent>
          </w:sdt>
        </w:p>
        <w:p w:rsidR="00806678" w:rsidRDefault="00B16377">
          <w:pPr>
            <w:pStyle w:val="a9"/>
            <w:ind w:firstLineChars="0" w:firstLine="0"/>
            <w:jc w:val="left"/>
            <w:rPr>
              <w:rFonts w:ascii="宋体" w:hAnsi="宋体"/>
            </w:rPr>
          </w:pPr>
          <w:r>
            <w:rPr>
              <w:rFonts w:ascii="宋体" w:hAnsi="宋体" w:hint="eastAsia"/>
            </w:rPr>
            <w:t>营业成本变动原因说明：</w:t>
          </w:r>
          <w:sdt>
            <w:sdtPr>
              <w:rPr>
                <w:rFonts w:ascii="宋体" w:hAnsi="宋体" w:hint="eastAsia"/>
              </w:rPr>
              <w:alias w:val="营业成本变动原因说明"/>
              <w:tag w:val="_GBC_cc56ae4655044c7092acfc9c59da077d"/>
              <w:id w:val="1724948"/>
              <w:lock w:val="sdtLocked"/>
              <w:placeholder>
                <w:docPart w:val="GBC22222222222222222222222222222"/>
              </w:placeholder>
            </w:sdtPr>
            <w:sdtContent>
              <w:r w:rsidR="00D2096F">
                <w:rPr>
                  <w:rFonts w:hint="eastAsia"/>
                  <w:szCs w:val="21"/>
                </w:rPr>
                <w:t>与运量相关的设备维修、材料及运输服务等支出减少</w:t>
              </w:r>
            </w:sdtContent>
          </w:sdt>
        </w:p>
        <w:p w:rsidR="00806678" w:rsidRDefault="00B16377">
          <w:pPr>
            <w:pStyle w:val="a9"/>
            <w:ind w:firstLineChars="0" w:firstLine="0"/>
            <w:jc w:val="left"/>
            <w:rPr>
              <w:rFonts w:ascii="宋体" w:hAnsi="宋体"/>
            </w:rPr>
          </w:pPr>
          <w:r>
            <w:rPr>
              <w:rFonts w:ascii="宋体" w:hAnsi="宋体" w:hint="eastAsia"/>
            </w:rPr>
            <w:t>销售费用变动原因说明：</w:t>
          </w:r>
          <w:sdt>
            <w:sdtPr>
              <w:rPr>
                <w:rFonts w:ascii="宋体" w:hAnsi="宋体" w:hint="eastAsia"/>
              </w:rPr>
              <w:alias w:val="销售费用变动原因说明"/>
              <w:tag w:val="_GBC_c5a5f680c2ee494fb0392b5c43f82ada"/>
              <w:id w:val="1725630"/>
              <w:lock w:val="sdtLocked"/>
              <w:placeholder>
                <w:docPart w:val="GBC22222222222222222222222222222"/>
              </w:placeholder>
            </w:sdtPr>
            <w:sdtContent>
              <w:r w:rsidR="00D2096F">
                <w:rPr>
                  <w:rFonts w:hint="eastAsia"/>
                </w:rPr>
                <w:t>销售人员费用等增加</w:t>
              </w:r>
            </w:sdtContent>
          </w:sdt>
        </w:p>
        <w:p w:rsidR="00806678" w:rsidRDefault="00B16377">
          <w:pPr>
            <w:pStyle w:val="a9"/>
            <w:ind w:firstLineChars="0" w:firstLine="0"/>
            <w:jc w:val="left"/>
            <w:rPr>
              <w:rFonts w:ascii="宋体" w:hAnsi="宋体"/>
            </w:rPr>
          </w:pPr>
          <w:r>
            <w:rPr>
              <w:rFonts w:ascii="宋体" w:hAnsi="宋体" w:hint="eastAsia"/>
            </w:rPr>
            <w:lastRenderedPageBreak/>
            <w:t>管理费用变动原因说明：</w:t>
          </w:r>
          <w:sdt>
            <w:sdtPr>
              <w:rPr>
                <w:rFonts w:ascii="宋体" w:hAnsi="宋体" w:hint="eastAsia"/>
              </w:rPr>
              <w:alias w:val="管理费用变动原因说明"/>
              <w:tag w:val="_GBC_706b1fc7f80c45629d6554f783797e4f"/>
              <w:id w:val="1726367"/>
              <w:lock w:val="sdtLocked"/>
              <w:placeholder>
                <w:docPart w:val="GBC22222222222222222222222222222"/>
              </w:placeholder>
            </w:sdtPr>
            <w:sdtContent>
              <w:r w:rsidR="00D2096F">
                <w:rPr>
                  <w:rFonts w:ascii="宋体" w:hAnsi="宋体" w:hint="eastAsia"/>
                </w:rPr>
                <w:t>管</w:t>
              </w:r>
              <w:r w:rsidR="00D2096F">
                <w:rPr>
                  <w:rFonts w:hint="eastAsia"/>
                </w:rPr>
                <w:t>理人员费用等增加</w:t>
              </w:r>
            </w:sdtContent>
          </w:sdt>
        </w:p>
        <w:p w:rsidR="00806678" w:rsidRDefault="00B16377">
          <w:pPr>
            <w:pStyle w:val="a9"/>
            <w:ind w:firstLineChars="0" w:firstLine="0"/>
            <w:jc w:val="left"/>
            <w:rPr>
              <w:rFonts w:ascii="宋体" w:hAnsi="宋体"/>
            </w:rPr>
          </w:pPr>
          <w:r>
            <w:rPr>
              <w:rFonts w:ascii="宋体" w:hAnsi="宋体" w:hint="eastAsia"/>
            </w:rPr>
            <w:t>财务费用变动原因说明：</w:t>
          </w:r>
          <w:sdt>
            <w:sdtPr>
              <w:rPr>
                <w:rFonts w:ascii="宋体" w:hAnsi="宋体" w:hint="eastAsia"/>
              </w:rPr>
              <w:alias w:val="财务费用变动原因说明"/>
              <w:tag w:val="_GBC_ae0e447440184dbb94565c35b97d07a6"/>
              <w:id w:val="1727089"/>
              <w:lock w:val="sdtLocked"/>
              <w:placeholder>
                <w:docPart w:val="GBC22222222222222222222222222222"/>
              </w:placeholder>
            </w:sdtPr>
            <w:sdtContent>
              <w:r w:rsidR="00D2096F">
                <w:rPr>
                  <w:rFonts w:hint="eastAsia"/>
                </w:rPr>
                <w:t>本</w:t>
              </w:r>
              <w:r w:rsidR="00336847">
                <w:rPr>
                  <w:rFonts w:hint="eastAsia"/>
                </w:rPr>
                <w:t>年</w:t>
              </w:r>
              <w:r w:rsidR="00D2096F">
                <w:rPr>
                  <w:rFonts w:hint="eastAsia"/>
                </w:rPr>
                <w:t>利息支出减少</w:t>
              </w:r>
            </w:sdtContent>
          </w:sdt>
        </w:p>
        <w:p w:rsidR="00806678" w:rsidRDefault="00B16377">
          <w:pPr>
            <w:pStyle w:val="a9"/>
            <w:ind w:firstLineChars="0" w:firstLine="0"/>
            <w:jc w:val="left"/>
            <w:rPr>
              <w:rFonts w:ascii="宋体" w:hAnsi="宋体"/>
            </w:rPr>
          </w:pPr>
          <w:r>
            <w:rPr>
              <w:rFonts w:ascii="宋体" w:hAnsi="宋体"/>
              <w:szCs w:val="21"/>
            </w:rPr>
            <w:t>经营活动产生的现金流量净额</w:t>
          </w:r>
          <w:r>
            <w:rPr>
              <w:rFonts w:ascii="宋体" w:hAnsi="宋体" w:hint="eastAsia"/>
              <w:szCs w:val="21"/>
            </w:rPr>
            <w:t>变动原因说明：</w:t>
          </w:r>
          <w:sdt>
            <w:sdtPr>
              <w:rPr>
                <w:rFonts w:ascii="宋体" w:hAnsi="宋体" w:hint="eastAsia"/>
                <w:szCs w:val="21"/>
              </w:rPr>
              <w:alias w:val="经营活动产生的现金流量净额变动原因说明"/>
              <w:tag w:val="_GBC_5968661d4f024738ae5c039168b68a45"/>
              <w:id w:val="1727794"/>
              <w:lock w:val="sdtLocked"/>
              <w:placeholder>
                <w:docPart w:val="GBC22222222222222222222222222222"/>
              </w:placeholder>
            </w:sdtPr>
            <w:sdtContent>
              <w:r w:rsidR="00D2096F">
                <w:rPr>
                  <w:rFonts w:hint="eastAsia"/>
                </w:rPr>
                <w:t>本年收到的运输收入减少</w:t>
              </w:r>
            </w:sdtContent>
          </w:sdt>
        </w:p>
        <w:p w:rsidR="00806678" w:rsidRDefault="00B16377">
          <w:pPr>
            <w:pStyle w:val="a9"/>
            <w:ind w:firstLineChars="0" w:firstLine="0"/>
            <w:jc w:val="left"/>
            <w:rPr>
              <w:rFonts w:ascii="宋体" w:hAnsi="宋体"/>
            </w:rPr>
          </w:pPr>
          <w:r>
            <w:rPr>
              <w:rFonts w:ascii="宋体" w:hAnsi="宋体"/>
              <w:szCs w:val="21"/>
            </w:rPr>
            <w:t>投资活动产生的现金流量净额</w:t>
          </w:r>
          <w:r>
            <w:rPr>
              <w:rFonts w:ascii="宋体" w:hAnsi="宋体" w:hint="eastAsia"/>
              <w:szCs w:val="21"/>
            </w:rPr>
            <w:t>变动原因说明：</w:t>
          </w:r>
          <w:sdt>
            <w:sdtPr>
              <w:rPr>
                <w:rFonts w:ascii="宋体" w:hAnsi="宋体" w:hint="eastAsia"/>
                <w:szCs w:val="21"/>
              </w:rPr>
              <w:alias w:val="投资活动产生的现金流量净额变动原因说明"/>
              <w:tag w:val="_GBC_08880b3f89054510a8ebc03403516e54"/>
              <w:id w:val="1728062"/>
              <w:lock w:val="sdtLocked"/>
              <w:placeholder>
                <w:docPart w:val="GBC22222222222222222222222222222"/>
              </w:placeholder>
            </w:sdtPr>
            <w:sdtContent>
              <w:r w:rsidR="00D2096F">
                <w:rPr>
                  <w:rFonts w:hint="eastAsia"/>
                </w:rPr>
                <w:t>上年支付西南环铁路公司股权收购款</w:t>
              </w:r>
            </w:sdtContent>
          </w:sdt>
        </w:p>
        <w:p w:rsidR="00806678" w:rsidRPr="000B6E84" w:rsidRDefault="00B16377" w:rsidP="000B6E84">
          <w:pPr>
            <w:pStyle w:val="a9"/>
            <w:ind w:firstLineChars="0" w:firstLine="0"/>
            <w:jc w:val="left"/>
            <w:rPr>
              <w:rFonts w:ascii="宋体" w:hAnsi="宋体"/>
            </w:rPr>
          </w:pPr>
          <w:r>
            <w:rPr>
              <w:rFonts w:ascii="宋体" w:hAnsi="宋体"/>
              <w:szCs w:val="21"/>
            </w:rPr>
            <w:t>筹资活动产生的现金流量净额</w:t>
          </w:r>
          <w:r>
            <w:rPr>
              <w:rFonts w:ascii="宋体" w:hAnsi="宋体" w:hint="eastAsia"/>
              <w:szCs w:val="21"/>
            </w:rPr>
            <w:t>变动原因说明：</w:t>
          </w:r>
          <w:sdt>
            <w:sdtPr>
              <w:rPr>
                <w:rFonts w:ascii="宋体" w:hAnsi="宋体" w:hint="eastAsia"/>
                <w:szCs w:val="21"/>
              </w:rPr>
              <w:alias w:val="筹资活动产生的现金流量净额变动原因说明"/>
              <w:tag w:val="_GBC_69e60bcce703432885fa32dfc7a0a266"/>
              <w:id w:val="1728337"/>
              <w:lock w:val="sdtLocked"/>
              <w:placeholder>
                <w:docPart w:val="GBC22222222222222222222222222222"/>
              </w:placeholder>
            </w:sdtPr>
            <w:sdtContent>
              <w:r w:rsidR="00D2096F">
                <w:rPr>
                  <w:rFonts w:hint="eastAsia"/>
                </w:rPr>
                <w:t>本年子公司偿还借款</w:t>
              </w:r>
            </w:sdtContent>
          </w:sdt>
        </w:p>
      </w:sdtContent>
    </w:sdt>
    <w:bookmarkEnd w:id="26" w:displacedByCustomXml="prev"/>
    <w:bookmarkEnd w:id="27" w:displacedByCustomXml="prev"/>
    <w:bookmarkStart w:id="29" w:name="_Hlk89098827" w:displacedByCustomXml="next"/>
    <w:sdt>
      <w:sdtPr>
        <w:alias w:val="模块:公司利润构成或利润来源发生重大变动的详细说明"/>
        <w:tag w:val="_SEC_593b4c4eb33a4edb9c451b51de8804e0"/>
        <w:id w:val="9920708"/>
        <w:lock w:val="sdtLocked"/>
        <w:placeholder>
          <w:docPart w:val="GBC22222222222222222222222222222"/>
        </w:placeholder>
      </w:sdtPr>
      <w:sdtEndPr>
        <w:rPr>
          <w:rFonts w:hint="eastAsia"/>
        </w:rPr>
      </w:sdtEndPr>
      <w:sdtContent>
        <w:p w:rsidR="00806678" w:rsidRDefault="00B16377">
          <w:r>
            <w:rPr>
              <w:rFonts w:hint="eastAsia"/>
            </w:rPr>
            <w:t>本期</w:t>
          </w:r>
          <w:r>
            <w:t>公司</w:t>
          </w:r>
          <w:r>
            <w:rPr>
              <w:rFonts w:hint="eastAsia"/>
            </w:rPr>
            <w:t>业务类型、</w:t>
          </w:r>
          <w:r>
            <w:t>利润构成或利润来源发生重大变动的详细说明</w:t>
          </w:r>
        </w:p>
        <w:sdt>
          <w:sdtPr>
            <w:alias w:val="是否适用：公司利润构成或利润来源发生重大变动的详细说明[双击切换]"/>
            <w:tag w:val="_GBC_f76226f4a75345f0b64ffa67d16a3159"/>
            <w:id w:val="2058890949"/>
            <w:lock w:val="sdtLocked"/>
            <w:placeholder>
              <w:docPart w:val="GBC22222222222222222222222222222"/>
            </w:placeholder>
          </w:sdtPr>
          <w:sdtContent>
            <w:p w:rsidR="00806678" w:rsidRDefault="00F80B6C">
              <w:r>
                <w:fldChar w:fldCharType="begin"/>
              </w:r>
              <w:r w:rsidR="00D2096F">
                <w:instrText xml:space="preserve"> MACROBUTTON  SnrToggleCheckbox □适用 </w:instrText>
              </w:r>
              <w:r>
                <w:fldChar w:fldCharType="end"/>
              </w:r>
              <w:r>
                <w:fldChar w:fldCharType="begin"/>
              </w:r>
              <w:r w:rsidR="00D2096F">
                <w:instrText xml:space="preserve"> MACROBUTTON  SnrToggleCheckbox √不适用 </w:instrText>
              </w:r>
              <w:r>
                <w:fldChar w:fldCharType="end"/>
              </w:r>
            </w:p>
          </w:sdtContent>
        </w:sdt>
      </w:sdtContent>
    </w:sdt>
    <w:bookmarkEnd w:id="29" w:displacedByCustomXml="prev"/>
    <w:sdt>
      <w:sdtPr>
        <w:rPr>
          <w:rFonts w:ascii="宋体" w:eastAsia="宋体" w:hAnsi="宋体" w:cs="宋体" w:hint="eastAsia"/>
          <w:b w:val="0"/>
          <w:bCs w:val="0"/>
          <w:kern w:val="0"/>
          <w:szCs w:val="24"/>
        </w:rPr>
        <w:alias w:val="模块:收入和成本分析"/>
        <w:tag w:val="_SEC_eabe373ea4a44068936322286f1ec6fe"/>
        <w:id w:val="38653127"/>
        <w:lock w:val="sdtLocked"/>
        <w:placeholder>
          <w:docPart w:val="GBC22222222222222222222222222222"/>
        </w:placeholder>
      </w:sdtPr>
      <w:sdtContent>
        <w:p w:rsidR="00806678" w:rsidRDefault="00B16377" w:rsidP="00FF17C7">
          <w:pPr>
            <w:pStyle w:val="4"/>
            <w:numPr>
              <w:ilvl w:val="0"/>
              <w:numId w:val="64"/>
            </w:numPr>
          </w:pPr>
          <w:r>
            <w:rPr>
              <w:rFonts w:hint="eastAsia"/>
            </w:rPr>
            <w:t>收入和成本分析</w:t>
          </w:r>
        </w:p>
        <w:sdt>
          <w:sdtPr>
            <w:alias w:val="是否适用：收入和成本分析[双击切换]"/>
            <w:tag w:val="_GBC_c1a771ff956341da84dd26322335800f"/>
            <w:id w:val="-989098466"/>
            <w:lock w:val="sdtLocked"/>
            <w:placeholder>
              <w:docPart w:val="GBC22222222222222222222222222222"/>
            </w:placeholder>
          </w:sdtPr>
          <w:sdtContent>
            <w:p w:rsidR="00806678" w:rsidRDefault="00F80B6C">
              <w:r>
                <w:fldChar w:fldCharType="begin"/>
              </w:r>
              <w:r w:rsidR="00D2096F">
                <w:instrText xml:space="preserve">MACROBUTTON  SnrToggleCheckbox √适用 </w:instrText>
              </w:r>
              <w:r>
                <w:fldChar w:fldCharType="end"/>
              </w:r>
              <w:r>
                <w:fldChar w:fldCharType="begin"/>
              </w:r>
              <w:r w:rsidR="00D2096F">
                <w:instrText xml:space="preserve"> MACROBUTTON  SnrToggleCheckbox □不适用 </w:instrText>
              </w:r>
              <w:r>
                <w:fldChar w:fldCharType="end"/>
              </w:r>
            </w:p>
          </w:sdtContent>
        </w:sdt>
        <w:sdt>
          <w:sdtPr>
            <w:rPr>
              <w:rFonts w:hint="eastAsia"/>
            </w:rPr>
            <w:alias w:val="收入和成本分析情况说明"/>
            <w:tag w:val="_GBC_131edb1aaeab4cb388abf65651cf901e"/>
            <w:id w:val="38653125"/>
            <w:lock w:val="sdtLocked"/>
            <w:placeholder>
              <w:docPart w:val="GBC22222222222222222222222222222"/>
            </w:placeholder>
          </w:sdtPr>
          <w:sdtContent>
            <w:p w:rsidR="00806678" w:rsidRDefault="000709B4">
              <w:pPr>
                <w:tabs>
                  <w:tab w:val="left" w:pos="851"/>
                </w:tabs>
              </w:pPr>
              <w:r>
                <w:rPr>
                  <w:rFonts w:hint="eastAsia"/>
                </w:rPr>
                <w:t>内容详见下表</w:t>
              </w:r>
            </w:p>
          </w:sdtContent>
        </w:sdt>
        <w:p w:rsidR="00806678" w:rsidRDefault="00F80B6C">
          <w:pPr>
            <w:tabs>
              <w:tab w:val="left" w:pos="851"/>
            </w:tabs>
          </w:pPr>
        </w:p>
      </w:sdtContent>
    </w:sdt>
    <w:bookmarkStart w:id="30" w:name="_Hlk89876312" w:displacedByCustomXml="next"/>
    <w:sdt>
      <w:sdtPr>
        <w:rPr>
          <w:rFonts w:ascii="宋体" w:hAnsi="宋体" w:cs="宋体" w:hint="eastAsia"/>
          <w:b w:val="0"/>
          <w:bCs w:val="0"/>
          <w:kern w:val="0"/>
          <w:szCs w:val="24"/>
        </w:rPr>
        <w:alias w:val="模块:主营业务分行业、分产品、分地区、分销售模式情况"/>
        <w:tag w:val="_SEC_aa7718c852e84d458e04e912c587a7da"/>
        <w:id w:val="38653128"/>
        <w:lock w:val="sdtLocked"/>
        <w:placeholder>
          <w:docPart w:val="GBC22222222222222222222222222222"/>
        </w:placeholder>
      </w:sdtPr>
      <w:sdtContent>
        <w:bookmarkStart w:id="31" w:name="_Toc340829716" w:displacedByCustomXml="prev"/>
        <w:bookmarkStart w:id="32" w:name="_Toc342559756" w:displacedByCustomXml="prev"/>
        <w:bookmarkStart w:id="33" w:name="_Toc342565904" w:displacedByCustomXml="prev"/>
        <w:p w:rsidR="00806678" w:rsidRDefault="00B16377" w:rsidP="00FF17C7">
          <w:pPr>
            <w:pStyle w:val="5"/>
            <w:numPr>
              <w:ilvl w:val="0"/>
              <w:numId w:val="65"/>
            </w:numPr>
            <w:tabs>
              <w:tab w:val="left" w:pos="567"/>
            </w:tabs>
            <w:ind w:left="0" w:firstLine="0"/>
          </w:pPr>
          <w:r>
            <w:t>主营业务</w:t>
          </w:r>
          <w:r>
            <w:rPr>
              <w:rFonts w:hint="eastAsia"/>
            </w:rPr>
            <w:t>分</w:t>
          </w:r>
          <w:r>
            <w:t>行业</w:t>
          </w:r>
          <w:r>
            <w:rPr>
              <w:rFonts w:hint="eastAsia"/>
            </w:rPr>
            <w:t>、分</w:t>
          </w:r>
          <w:r>
            <w:t>产品</w:t>
          </w:r>
          <w:r>
            <w:rPr>
              <w:rFonts w:hint="eastAsia"/>
            </w:rPr>
            <w:t>、分地区、分销售模式情况</w:t>
          </w:r>
          <w:bookmarkEnd w:id="33"/>
          <w:bookmarkEnd w:id="32"/>
          <w:bookmarkEnd w:id="31"/>
        </w:p>
        <w:p w:rsidR="00806678" w:rsidRDefault="00B16377">
          <w:pPr>
            <w:jc w:val="right"/>
            <w:rPr>
              <w:szCs w:val="21"/>
            </w:rPr>
          </w:pPr>
          <w:r>
            <w:rPr>
              <w:rFonts w:hint="eastAsia"/>
              <w:szCs w:val="21"/>
            </w:rPr>
            <w:t>单位</w:t>
          </w:r>
          <w:r>
            <w:rPr>
              <w:szCs w:val="21"/>
            </w:rPr>
            <w:t>:</w:t>
          </w:r>
          <w:sdt>
            <w:sdtPr>
              <w:rPr>
                <w:szCs w:val="21"/>
              </w:rPr>
              <w:alias w:val="单位：主营业务分行业、分产品情况表"/>
              <w:tag w:val="_GBC_f77c8e6b92b44adf9014b95a44af704b"/>
              <w:id w:val="315318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szCs w:val="21"/>
                </w:rPr>
                <w:t>元</w:t>
              </w:r>
            </w:sdtContent>
          </w:sdt>
          <w:r>
            <w:rPr>
              <w:rFonts w:hint="eastAsia"/>
              <w:szCs w:val="21"/>
            </w:rPr>
            <w:t xml:space="preserve">  币种</w:t>
          </w:r>
          <w:r>
            <w:rPr>
              <w:szCs w:val="21"/>
            </w:rPr>
            <w:t>:</w:t>
          </w:r>
          <w:sdt>
            <w:sdtPr>
              <w:rPr>
                <w:szCs w:val="21"/>
              </w:rPr>
              <w:alias w:val="币种：主营业务分行业、分产品情况表"/>
              <w:tag w:val="_GBC_3341f58078504155bf0c18cadb3b7f9d"/>
              <w:id w:val="315318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szCs w:val="21"/>
                </w:rPr>
                <w:t>人民币</w:t>
              </w:r>
            </w:sdtContent>
          </w:sdt>
        </w:p>
        <w:tbl>
          <w:tblPr>
            <w:tblStyle w:val="a6"/>
            <w:tblW w:w="5480" w:type="pct"/>
            <w:tblInd w:w="-312" w:type="dxa"/>
            <w:tblLook w:val="0000"/>
          </w:tblPr>
          <w:tblGrid>
            <w:gridCol w:w="1301"/>
            <w:gridCol w:w="1831"/>
            <w:gridCol w:w="1686"/>
            <w:gridCol w:w="986"/>
            <w:gridCol w:w="1289"/>
            <w:gridCol w:w="1137"/>
            <w:gridCol w:w="1688"/>
          </w:tblGrid>
          <w:tr w:rsidR="000709B4" w:rsidTr="00E915ED">
            <w:sdt>
              <w:sdtPr>
                <w:tag w:val="_PLD_b5033a4d190942bd99650d59a8d741f9"/>
                <w:id w:val="712873"/>
                <w:lock w:val="sdtLocked"/>
              </w:sdtPr>
              <w:sdtContent>
                <w:tc>
                  <w:tcPr>
                    <w:tcW w:w="5000" w:type="pct"/>
                    <w:gridSpan w:val="7"/>
                    <w:vAlign w:val="center"/>
                  </w:tcPr>
                  <w:p w:rsidR="000709B4" w:rsidRDefault="000709B4" w:rsidP="008163BB">
                    <w:pPr>
                      <w:jc w:val="center"/>
                      <w:rPr>
                        <w:szCs w:val="21"/>
                      </w:rPr>
                    </w:pPr>
                    <w:r>
                      <w:rPr>
                        <w:rFonts w:hint="eastAsia"/>
                        <w:szCs w:val="21"/>
                      </w:rPr>
                      <w:t>主营业务分行业情况</w:t>
                    </w:r>
                  </w:p>
                </w:tc>
              </w:sdtContent>
            </w:sdt>
          </w:tr>
          <w:tr w:rsidR="000709B4" w:rsidTr="00E915ED">
            <w:sdt>
              <w:sdtPr>
                <w:tag w:val="_PLD_ab888f46a9d64f09b94dccfab854ad45"/>
                <w:id w:val="712874"/>
                <w:lock w:val="sdtLocked"/>
              </w:sdtPr>
              <w:sdtContent>
                <w:tc>
                  <w:tcPr>
                    <w:tcW w:w="656" w:type="pct"/>
                    <w:vAlign w:val="center"/>
                  </w:tcPr>
                  <w:p w:rsidR="000709B4" w:rsidRDefault="000709B4" w:rsidP="008163BB">
                    <w:pPr>
                      <w:jc w:val="center"/>
                      <w:rPr>
                        <w:szCs w:val="21"/>
                      </w:rPr>
                    </w:pPr>
                    <w:r>
                      <w:rPr>
                        <w:szCs w:val="21"/>
                      </w:rPr>
                      <w:t>分行业</w:t>
                    </w:r>
                  </w:p>
                </w:tc>
              </w:sdtContent>
            </w:sdt>
            <w:sdt>
              <w:sdtPr>
                <w:tag w:val="_PLD_7fe8bd490c23482eac6c726b40c3125c"/>
                <w:id w:val="712875"/>
                <w:lock w:val="sdtLocked"/>
              </w:sdtPr>
              <w:sdtContent>
                <w:tc>
                  <w:tcPr>
                    <w:tcW w:w="923" w:type="pct"/>
                    <w:vAlign w:val="center"/>
                  </w:tcPr>
                  <w:p w:rsidR="000709B4" w:rsidRDefault="000709B4" w:rsidP="008163BB">
                    <w:pPr>
                      <w:jc w:val="center"/>
                      <w:rPr>
                        <w:szCs w:val="21"/>
                      </w:rPr>
                    </w:pPr>
                    <w:r>
                      <w:rPr>
                        <w:szCs w:val="21"/>
                      </w:rPr>
                      <w:t>营业收入</w:t>
                    </w:r>
                  </w:p>
                </w:tc>
              </w:sdtContent>
            </w:sdt>
            <w:sdt>
              <w:sdtPr>
                <w:tag w:val="_PLD_43ea5bcd646542838f56af8b6a2863cb"/>
                <w:id w:val="712876"/>
                <w:lock w:val="sdtLocked"/>
              </w:sdtPr>
              <w:sdtContent>
                <w:tc>
                  <w:tcPr>
                    <w:tcW w:w="850" w:type="pct"/>
                    <w:vAlign w:val="center"/>
                  </w:tcPr>
                  <w:p w:rsidR="000709B4" w:rsidRDefault="000709B4" w:rsidP="008163BB">
                    <w:pPr>
                      <w:jc w:val="center"/>
                      <w:rPr>
                        <w:szCs w:val="21"/>
                      </w:rPr>
                    </w:pPr>
                    <w:r>
                      <w:rPr>
                        <w:szCs w:val="21"/>
                      </w:rPr>
                      <w:t>营业成本</w:t>
                    </w:r>
                  </w:p>
                </w:tc>
              </w:sdtContent>
            </w:sdt>
            <w:sdt>
              <w:sdtPr>
                <w:tag w:val="_PLD_2beea8e29ca14ce68ca930225f6b78ba"/>
                <w:id w:val="712877"/>
                <w:lock w:val="sdtLocked"/>
              </w:sdtPr>
              <w:sdtContent>
                <w:tc>
                  <w:tcPr>
                    <w:tcW w:w="497" w:type="pct"/>
                    <w:vAlign w:val="center"/>
                  </w:tcPr>
                  <w:p w:rsidR="000709B4" w:rsidRDefault="000709B4" w:rsidP="008163BB">
                    <w:pPr>
                      <w:jc w:val="center"/>
                      <w:rPr>
                        <w:szCs w:val="21"/>
                      </w:rPr>
                    </w:pPr>
                    <w:r>
                      <w:rPr>
                        <w:rFonts w:hint="eastAsia"/>
                        <w:szCs w:val="21"/>
                      </w:rPr>
                      <w:t>毛利率</w:t>
                    </w:r>
                    <w:r>
                      <w:rPr>
                        <w:szCs w:val="21"/>
                      </w:rPr>
                      <w:t>（</w:t>
                    </w:r>
                    <w:r>
                      <w:rPr>
                        <w:rFonts w:hint="eastAsia"/>
                        <w:szCs w:val="21"/>
                      </w:rPr>
                      <w:t>%</w:t>
                    </w:r>
                    <w:r>
                      <w:rPr>
                        <w:szCs w:val="21"/>
                      </w:rPr>
                      <w:t>）</w:t>
                    </w:r>
                  </w:p>
                </w:tc>
              </w:sdtContent>
            </w:sdt>
            <w:sdt>
              <w:sdtPr>
                <w:tag w:val="_PLD_f9dadced328346f0b76bc97b709dc071"/>
                <w:id w:val="712878"/>
                <w:lock w:val="sdtLocked"/>
              </w:sdtPr>
              <w:sdtContent>
                <w:tc>
                  <w:tcPr>
                    <w:tcW w:w="650" w:type="pct"/>
                    <w:vAlign w:val="center"/>
                  </w:tcPr>
                  <w:p w:rsidR="000709B4" w:rsidRDefault="000709B4" w:rsidP="008163BB">
                    <w:pPr>
                      <w:jc w:val="center"/>
                      <w:rPr>
                        <w:szCs w:val="21"/>
                      </w:rPr>
                    </w:pPr>
                    <w:r>
                      <w:rPr>
                        <w:szCs w:val="21"/>
                      </w:rPr>
                      <w:t>营业收入比上年增减（</w:t>
                    </w:r>
                    <w:r>
                      <w:rPr>
                        <w:rFonts w:hint="eastAsia"/>
                        <w:szCs w:val="21"/>
                      </w:rPr>
                      <w:t>%</w:t>
                    </w:r>
                    <w:r>
                      <w:rPr>
                        <w:szCs w:val="21"/>
                      </w:rPr>
                      <w:t>）</w:t>
                    </w:r>
                  </w:p>
                </w:tc>
              </w:sdtContent>
            </w:sdt>
            <w:sdt>
              <w:sdtPr>
                <w:tag w:val="_PLD_c02171812b4a4964854b289e6b6282d1"/>
                <w:id w:val="712879"/>
                <w:lock w:val="sdtLocked"/>
              </w:sdtPr>
              <w:sdtContent>
                <w:tc>
                  <w:tcPr>
                    <w:tcW w:w="573" w:type="pct"/>
                    <w:vAlign w:val="center"/>
                  </w:tcPr>
                  <w:p w:rsidR="000709B4" w:rsidRDefault="000709B4" w:rsidP="008163BB">
                    <w:pPr>
                      <w:jc w:val="center"/>
                      <w:rPr>
                        <w:szCs w:val="21"/>
                      </w:rPr>
                    </w:pPr>
                    <w:r>
                      <w:rPr>
                        <w:szCs w:val="21"/>
                      </w:rPr>
                      <w:t>营业成本比上年增减（</w:t>
                    </w:r>
                    <w:r>
                      <w:rPr>
                        <w:rFonts w:hint="eastAsia"/>
                        <w:szCs w:val="21"/>
                      </w:rPr>
                      <w:t>%</w:t>
                    </w:r>
                    <w:r>
                      <w:rPr>
                        <w:szCs w:val="21"/>
                      </w:rPr>
                      <w:t>）</w:t>
                    </w:r>
                  </w:p>
                </w:tc>
              </w:sdtContent>
            </w:sdt>
            <w:sdt>
              <w:sdtPr>
                <w:tag w:val="_PLD_6ec6853f40254c1e8badc94bd41729ab"/>
                <w:id w:val="712880"/>
                <w:lock w:val="sdtLocked"/>
              </w:sdtPr>
              <w:sdtContent>
                <w:tc>
                  <w:tcPr>
                    <w:tcW w:w="851" w:type="pct"/>
                    <w:vAlign w:val="center"/>
                  </w:tcPr>
                  <w:p w:rsidR="000709B4" w:rsidRDefault="000709B4" w:rsidP="008163BB">
                    <w:pPr>
                      <w:jc w:val="center"/>
                      <w:rPr>
                        <w:szCs w:val="21"/>
                      </w:rPr>
                    </w:pPr>
                    <w:r>
                      <w:rPr>
                        <w:rFonts w:hint="eastAsia"/>
                        <w:szCs w:val="21"/>
                      </w:rPr>
                      <w:t>毛利率</w:t>
                    </w:r>
                    <w:r>
                      <w:rPr>
                        <w:szCs w:val="21"/>
                      </w:rPr>
                      <w:t>比上年增减（</w:t>
                    </w:r>
                    <w:r>
                      <w:rPr>
                        <w:rFonts w:hint="eastAsia"/>
                        <w:szCs w:val="21"/>
                      </w:rPr>
                      <w:t>%</w:t>
                    </w:r>
                    <w:r>
                      <w:rPr>
                        <w:szCs w:val="21"/>
                      </w:rPr>
                      <w:t>）</w:t>
                    </w:r>
                  </w:p>
                </w:tc>
              </w:sdtContent>
            </w:sdt>
          </w:tr>
          <w:sdt>
            <w:sdtPr>
              <w:rPr>
                <w:rFonts w:ascii="宋体" w:eastAsiaTheme="minorEastAsia" w:hAnsi="宋体" w:cs="宋体"/>
                <w:kern w:val="0"/>
                <w:szCs w:val="21"/>
              </w:rPr>
              <w:alias w:val="董事会报告出具的分行业主营业务"/>
              <w:tag w:val="_TUP_fab3da88965048348763b19310ce503d"/>
              <w:id w:val="712881"/>
              <w:lock w:val="sdtLocked"/>
            </w:sdtPr>
            <w:sdtEndPr>
              <w:rPr>
                <w:color w:val="008000"/>
              </w:rPr>
            </w:sdtEndPr>
            <w:sdtContent>
              <w:tr w:rsidR="000709B4" w:rsidTr="00E915ED">
                <w:tc>
                  <w:tcPr>
                    <w:tcW w:w="656" w:type="pct"/>
                  </w:tcPr>
                  <w:p w:rsidR="000709B4" w:rsidRDefault="000709B4" w:rsidP="008163BB">
                    <w:pPr>
                      <w:pStyle w:val="a9"/>
                      <w:ind w:firstLineChars="0" w:firstLine="0"/>
                      <w:jc w:val="left"/>
                      <w:rPr>
                        <w:rFonts w:ascii="宋体" w:hAnsi="宋体" w:cs="宋体"/>
                        <w:szCs w:val="21"/>
                      </w:rPr>
                    </w:pPr>
                    <w:r>
                      <w:t>铁路运输</w:t>
                    </w:r>
                  </w:p>
                </w:tc>
                <w:tc>
                  <w:tcPr>
                    <w:tcW w:w="923" w:type="pct"/>
                  </w:tcPr>
                  <w:p w:rsidR="000709B4" w:rsidRDefault="000709B4" w:rsidP="008163BB">
                    <w:pPr>
                      <w:jc w:val="right"/>
                      <w:rPr>
                        <w:szCs w:val="21"/>
                      </w:rPr>
                    </w:pPr>
                    <w:r>
                      <w:t>74,132,643,737</w:t>
                    </w:r>
                  </w:p>
                </w:tc>
                <w:tc>
                  <w:tcPr>
                    <w:tcW w:w="850" w:type="pct"/>
                  </w:tcPr>
                  <w:p w:rsidR="000709B4" w:rsidRDefault="000709B4" w:rsidP="008163BB">
                    <w:pPr>
                      <w:jc w:val="right"/>
                      <w:rPr>
                        <w:szCs w:val="21"/>
                      </w:rPr>
                    </w:pPr>
                    <w:r>
                      <w:t>59,419,342,469</w:t>
                    </w:r>
                  </w:p>
                </w:tc>
                <w:tc>
                  <w:tcPr>
                    <w:tcW w:w="497" w:type="pct"/>
                  </w:tcPr>
                  <w:p w:rsidR="000709B4" w:rsidRDefault="000709B4" w:rsidP="008163BB">
                    <w:pPr>
                      <w:jc w:val="right"/>
                      <w:rPr>
                        <w:szCs w:val="21"/>
                      </w:rPr>
                    </w:pPr>
                    <w:r>
                      <w:t>19.85</w:t>
                    </w:r>
                  </w:p>
                </w:tc>
                <w:tc>
                  <w:tcPr>
                    <w:tcW w:w="650" w:type="pct"/>
                  </w:tcPr>
                  <w:p w:rsidR="000709B4" w:rsidRDefault="000709B4" w:rsidP="008163BB">
                    <w:pPr>
                      <w:jc w:val="right"/>
                      <w:rPr>
                        <w:szCs w:val="21"/>
                      </w:rPr>
                    </w:pPr>
                    <w:r>
                      <w:t>-3.81</w:t>
                    </w:r>
                  </w:p>
                </w:tc>
                <w:tc>
                  <w:tcPr>
                    <w:tcW w:w="573" w:type="pct"/>
                  </w:tcPr>
                  <w:p w:rsidR="000709B4" w:rsidRDefault="000709B4" w:rsidP="008163BB">
                    <w:pPr>
                      <w:jc w:val="right"/>
                      <w:rPr>
                        <w:szCs w:val="21"/>
                      </w:rPr>
                    </w:pPr>
                    <w:r>
                      <w:t>-1.32</w:t>
                    </w:r>
                  </w:p>
                </w:tc>
                <w:tc>
                  <w:tcPr>
                    <w:tcW w:w="851" w:type="pct"/>
                  </w:tcPr>
                  <w:p w:rsidR="000709B4" w:rsidRDefault="00510FCE" w:rsidP="008163BB">
                    <w:pPr>
                      <w:jc w:val="right"/>
                      <w:rPr>
                        <w:szCs w:val="21"/>
                      </w:rPr>
                    </w:pPr>
                    <w:r>
                      <w:rPr>
                        <w:szCs w:val="21"/>
                      </w:rPr>
                      <w:t>减少2.0</w:t>
                    </w:r>
                    <w:r w:rsidR="00336847">
                      <w:rPr>
                        <w:szCs w:val="21"/>
                      </w:rPr>
                      <w:t>1</w:t>
                    </w:r>
                    <w:r>
                      <w:rPr>
                        <w:szCs w:val="21"/>
                      </w:rPr>
                      <w:t>个百分点</w:t>
                    </w:r>
                  </w:p>
                </w:tc>
              </w:tr>
            </w:sdtContent>
          </w:sdt>
          <w:tr w:rsidR="000709B4" w:rsidTr="00E915ED">
            <w:sdt>
              <w:sdtPr>
                <w:tag w:val="_PLD_49258193d94b4f5fa47e482cd615784f"/>
                <w:id w:val="712882"/>
                <w:lock w:val="sdtLocked"/>
              </w:sdtPr>
              <w:sdtContent>
                <w:tc>
                  <w:tcPr>
                    <w:tcW w:w="5000" w:type="pct"/>
                    <w:gridSpan w:val="7"/>
                    <w:vAlign w:val="center"/>
                  </w:tcPr>
                  <w:p w:rsidR="000709B4" w:rsidRDefault="000709B4" w:rsidP="008163BB">
                    <w:pPr>
                      <w:jc w:val="center"/>
                      <w:rPr>
                        <w:szCs w:val="21"/>
                      </w:rPr>
                    </w:pPr>
                    <w:r>
                      <w:rPr>
                        <w:rFonts w:hint="eastAsia"/>
                        <w:szCs w:val="21"/>
                      </w:rPr>
                      <w:t>主营业务分产品情况</w:t>
                    </w:r>
                  </w:p>
                </w:tc>
              </w:sdtContent>
            </w:sdt>
          </w:tr>
          <w:tr w:rsidR="000709B4" w:rsidTr="00E915ED">
            <w:sdt>
              <w:sdtPr>
                <w:tag w:val="_PLD_1d72749a5d4248359cb1b92e381ef722"/>
                <w:id w:val="712883"/>
                <w:lock w:val="sdtLocked"/>
              </w:sdtPr>
              <w:sdtContent>
                <w:tc>
                  <w:tcPr>
                    <w:tcW w:w="656" w:type="pct"/>
                    <w:vAlign w:val="center"/>
                  </w:tcPr>
                  <w:p w:rsidR="000709B4" w:rsidRDefault="000709B4" w:rsidP="008163BB">
                    <w:pPr>
                      <w:pStyle w:val="a9"/>
                      <w:ind w:firstLineChars="0" w:firstLine="0"/>
                      <w:jc w:val="center"/>
                      <w:rPr>
                        <w:szCs w:val="21"/>
                      </w:rPr>
                    </w:pPr>
                    <w:r>
                      <w:rPr>
                        <w:rFonts w:hint="eastAsia"/>
                        <w:szCs w:val="21"/>
                      </w:rPr>
                      <w:t>分产品</w:t>
                    </w:r>
                  </w:p>
                </w:tc>
              </w:sdtContent>
            </w:sdt>
            <w:sdt>
              <w:sdtPr>
                <w:tag w:val="_PLD_5e318ae25ee540258ffd6821c201e0af"/>
                <w:id w:val="712884"/>
                <w:lock w:val="sdtLocked"/>
              </w:sdtPr>
              <w:sdtContent>
                <w:tc>
                  <w:tcPr>
                    <w:tcW w:w="923" w:type="pct"/>
                    <w:vAlign w:val="center"/>
                  </w:tcPr>
                  <w:p w:rsidR="000709B4" w:rsidRDefault="000709B4" w:rsidP="008163BB">
                    <w:pPr>
                      <w:jc w:val="center"/>
                      <w:rPr>
                        <w:szCs w:val="21"/>
                      </w:rPr>
                    </w:pPr>
                    <w:r>
                      <w:rPr>
                        <w:rFonts w:hint="eastAsia"/>
                        <w:szCs w:val="21"/>
                      </w:rPr>
                      <w:t>营业收入</w:t>
                    </w:r>
                  </w:p>
                </w:tc>
              </w:sdtContent>
            </w:sdt>
            <w:sdt>
              <w:sdtPr>
                <w:tag w:val="_PLD_d7023b8e0b18494eaae569b7bcd4781f"/>
                <w:id w:val="712885"/>
                <w:lock w:val="sdtLocked"/>
              </w:sdtPr>
              <w:sdtContent>
                <w:tc>
                  <w:tcPr>
                    <w:tcW w:w="850" w:type="pct"/>
                    <w:vAlign w:val="center"/>
                  </w:tcPr>
                  <w:p w:rsidR="000709B4" w:rsidRDefault="000709B4" w:rsidP="008163BB">
                    <w:pPr>
                      <w:jc w:val="center"/>
                      <w:rPr>
                        <w:szCs w:val="21"/>
                      </w:rPr>
                    </w:pPr>
                    <w:r>
                      <w:rPr>
                        <w:rFonts w:hint="eastAsia"/>
                        <w:szCs w:val="21"/>
                      </w:rPr>
                      <w:t>营业成本</w:t>
                    </w:r>
                  </w:p>
                </w:tc>
              </w:sdtContent>
            </w:sdt>
            <w:sdt>
              <w:sdtPr>
                <w:tag w:val="_PLD_c7e7c31f672744488b53ec34a4e0abde"/>
                <w:id w:val="712886"/>
                <w:lock w:val="sdtLocked"/>
              </w:sdtPr>
              <w:sdtContent>
                <w:tc>
                  <w:tcPr>
                    <w:tcW w:w="497" w:type="pct"/>
                    <w:vAlign w:val="center"/>
                  </w:tcPr>
                  <w:p w:rsidR="000709B4" w:rsidRDefault="000709B4" w:rsidP="008163BB">
                    <w:pPr>
                      <w:jc w:val="center"/>
                      <w:rPr>
                        <w:szCs w:val="21"/>
                      </w:rPr>
                    </w:pPr>
                    <w:r>
                      <w:rPr>
                        <w:rFonts w:hint="eastAsia"/>
                        <w:szCs w:val="21"/>
                      </w:rPr>
                      <w:t>毛利率（%）</w:t>
                    </w:r>
                  </w:p>
                </w:tc>
              </w:sdtContent>
            </w:sdt>
            <w:sdt>
              <w:sdtPr>
                <w:tag w:val="_PLD_0ca65e94b76d4933977b3fe13864caf2"/>
                <w:id w:val="712887"/>
                <w:lock w:val="sdtLocked"/>
              </w:sdtPr>
              <w:sdtContent>
                <w:tc>
                  <w:tcPr>
                    <w:tcW w:w="650" w:type="pct"/>
                    <w:vAlign w:val="center"/>
                  </w:tcPr>
                  <w:p w:rsidR="000709B4" w:rsidRDefault="000709B4" w:rsidP="008163BB">
                    <w:pPr>
                      <w:jc w:val="center"/>
                      <w:rPr>
                        <w:szCs w:val="21"/>
                      </w:rPr>
                    </w:pPr>
                    <w:r>
                      <w:rPr>
                        <w:rFonts w:hint="eastAsia"/>
                        <w:szCs w:val="21"/>
                      </w:rPr>
                      <w:t>营业收入比上年增减（%）</w:t>
                    </w:r>
                  </w:p>
                </w:tc>
              </w:sdtContent>
            </w:sdt>
            <w:sdt>
              <w:sdtPr>
                <w:tag w:val="_PLD_0fcddf8af1ce40e3bbe0b8e78c8c2496"/>
                <w:id w:val="712888"/>
                <w:lock w:val="sdtLocked"/>
              </w:sdtPr>
              <w:sdtContent>
                <w:tc>
                  <w:tcPr>
                    <w:tcW w:w="573" w:type="pct"/>
                    <w:vAlign w:val="center"/>
                  </w:tcPr>
                  <w:p w:rsidR="000709B4" w:rsidRDefault="000709B4" w:rsidP="008163BB">
                    <w:pPr>
                      <w:jc w:val="center"/>
                      <w:rPr>
                        <w:szCs w:val="21"/>
                      </w:rPr>
                    </w:pPr>
                    <w:r>
                      <w:rPr>
                        <w:rFonts w:hint="eastAsia"/>
                        <w:szCs w:val="21"/>
                      </w:rPr>
                      <w:t>营业成本比上年增减（%）</w:t>
                    </w:r>
                  </w:p>
                </w:tc>
              </w:sdtContent>
            </w:sdt>
            <w:sdt>
              <w:sdtPr>
                <w:tag w:val="_PLD_fd695ef26ff948df8cd16c66ef5ffea9"/>
                <w:id w:val="712889"/>
                <w:lock w:val="sdtLocked"/>
              </w:sdtPr>
              <w:sdtContent>
                <w:tc>
                  <w:tcPr>
                    <w:tcW w:w="851" w:type="pct"/>
                    <w:vAlign w:val="center"/>
                  </w:tcPr>
                  <w:p w:rsidR="000709B4" w:rsidRDefault="000709B4" w:rsidP="008163BB">
                    <w:pPr>
                      <w:jc w:val="center"/>
                      <w:rPr>
                        <w:szCs w:val="21"/>
                      </w:rPr>
                    </w:pPr>
                    <w:r>
                      <w:rPr>
                        <w:rFonts w:hint="eastAsia"/>
                        <w:szCs w:val="21"/>
                      </w:rPr>
                      <w:t>毛利率</w:t>
                    </w:r>
                    <w:r>
                      <w:rPr>
                        <w:szCs w:val="21"/>
                      </w:rPr>
                      <w:t>比上年增减（</w:t>
                    </w:r>
                    <w:r>
                      <w:rPr>
                        <w:rFonts w:hint="eastAsia"/>
                        <w:szCs w:val="21"/>
                      </w:rPr>
                      <w:t>%</w:t>
                    </w:r>
                    <w:r>
                      <w:rPr>
                        <w:szCs w:val="21"/>
                      </w:rPr>
                      <w:t>）</w:t>
                    </w:r>
                  </w:p>
                </w:tc>
              </w:sdtContent>
            </w:sdt>
          </w:tr>
          <w:sdt>
            <w:sdtPr>
              <w:rPr>
                <w:rFonts w:ascii="宋体" w:eastAsiaTheme="minorEastAsia" w:hAnsi="宋体" w:cs="宋体"/>
                <w:kern w:val="0"/>
                <w:szCs w:val="21"/>
              </w:rPr>
              <w:alias w:val="董事会报告出具的分产品主营业务"/>
              <w:tag w:val="_TUP_f3827583cc4c4df6a57620f0c5061461"/>
              <w:id w:val="712890"/>
              <w:lock w:val="sdtLocked"/>
            </w:sdtPr>
            <w:sdtContent>
              <w:tr w:rsidR="000709B4" w:rsidTr="00E915ED">
                <w:tc>
                  <w:tcPr>
                    <w:tcW w:w="656" w:type="pct"/>
                  </w:tcPr>
                  <w:p w:rsidR="000709B4" w:rsidRDefault="000709B4" w:rsidP="008163BB">
                    <w:pPr>
                      <w:pStyle w:val="a9"/>
                      <w:ind w:firstLineChars="0" w:firstLine="0"/>
                      <w:jc w:val="left"/>
                      <w:rPr>
                        <w:rFonts w:ascii="宋体" w:hAnsi="宋体" w:cs="宋体"/>
                        <w:szCs w:val="21"/>
                      </w:rPr>
                    </w:pPr>
                    <w:r>
                      <w:t>货运业务</w:t>
                    </w:r>
                  </w:p>
                </w:tc>
                <w:tc>
                  <w:tcPr>
                    <w:tcW w:w="923" w:type="pct"/>
                  </w:tcPr>
                  <w:p w:rsidR="000709B4" w:rsidRDefault="00EB513B" w:rsidP="008163BB">
                    <w:pPr>
                      <w:jc w:val="right"/>
                      <w:rPr>
                        <w:szCs w:val="21"/>
                      </w:rPr>
                    </w:pPr>
                    <w:r w:rsidRPr="00EB513B">
                      <w:t>60,750,188,947</w:t>
                    </w:r>
                  </w:p>
                </w:tc>
                <w:tc>
                  <w:tcPr>
                    <w:tcW w:w="850" w:type="pct"/>
                  </w:tcPr>
                  <w:p w:rsidR="000709B4" w:rsidRDefault="000709B4" w:rsidP="008163BB">
                    <w:pPr>
                      <w:jc w:val="right"/>
                      <w:rPr>
                        <w:szCs w:val="21"/>
                      </w:rPr>
                    </w:pPr>
                  </w:p>
                </w:tc>
                <w:tc>
                  <w:tcPr>
                    <w:tcW w:w="497" w:type="pct"/>
                  </w:tcPr>
                  <w:p w:rsidR="000709B4" w:rsidRDefault="000709B4" w:rsidP="008163BB">
                    <w:pPr>
                      <w:jc w:val="right"/>
                      <w:rPr>
                        <w:szCs w:val="21"/>
                      </w:rPr>
                    </w:pPr>
                  </w:p>
                </w:tc>
                <w:tc>
                  <w:tcPr>
                    <w:tcW w:w="650" w:type="pct"/>
                  </w:tcPr>
                  <w:p w:rsidR="000709B4" w:rsidRDefault="000709B4" w:rsidP="008163BB">
                    <w:pPr>
                      <w:jc w:val="right"/>
                      <w:rPr>
                        <w:szCs w:val="21"/>
                      </w:rPr>
                    </w:pPr>
                    <w:r>
                      <w:t>-2.60</w:t>
                    </w:r>
                  </w:p>
                </w:tc>
                <w:tc>
                  <w:tcPr>
                    <w:tcW w:w="573" w:type="pct"/>
                  </w:tcPr>
                  <w:p w:rsidR="000709B4" w:rsidRDefault="000709B4" w:rsidP="008163BB">
                    <w:pPr>
                      <w:jc w:val="right"/>
                      <w:rPr>
                        <w:szCs w:val="21"/>
                      </w:rPr>
                    </w:pPr>
                  </w:p>
                </w:tc>
                <w:tc>
                  <w:tcPr>
                    <w:tcW w:w="851" w:type="pct"/>
                  </w:tcPr>
                  <w:p w:rsidR="000709B4" w:rsidRDefault="000709B4" w:rsidP="008163BB">
                    <w:pPr>
                      <w:jc w:val="right"/>
                      <w:rPr>
                        <w:szCs w:val="21"/>
                      </w:rPr>
                    </w:pPr>
                  </w:p>
                </w:tc>
              </w:tr>
            </w:sdtContent>
          </w:sdt>
          <w:sdt>
            <w:sdtPr>
              <w:rPr>
                <w:rFonts w:ascii="宋体" w:eastAsiaTheme="minorEastAsia" w:hAnsi="宋体" w:cs="宋体"/>
                <w:kern w:val="0"/>
                <w:szCs w:val="21"/>
              </w:rPr>
              <w:alias w:val="董事会报告出具的分产品主营业务"/>
              <w:tag w:val="_TUP_f3827583cc4c4df6a57620f0c5061461"/>
              <w:id w:val="712891"/>
              <w:lock w:val="sdtLocked"/>
            </w:sdtPr>
            <w:sdtContent>
              <w:tr w:rsidR="000709B4" w:rsidTr="00E915ED">
                <w:tc>
                  <w:tcPr>
                    <w:tcW w:w="656" w:type="pct"/>
                  </w:tcPr>
                  <w:p w:rsidR="000709B4" w:rsidRDefault="000709B4" w:rsidP="008163BB">
                    <w:pPr>
                      <w:pStyle w:val="a9"/>
                      <w:ind w:firstLineChars="0" w:firstLine="0"/>
                      <w:jc w:val="left"/>
                      <w:rPr>
                        <w:rFonts w:ascii="宋体" w:eastAsiaTheme="minorEastAsia" w:hAnsi="宋体" w:cs="宋体"/>
                        <w:szCs w:val="21"/>
                      </w:rPr>
                    </w:pPr>
                    <w:r>
                      <w:t>客运业务</w:t>
                    </w:r>
                  </w:p>
                </w:tc>
                <w:tc>
                  <w:tcPr>
                    <w:tcW w:w="923" w:type="pct"/>
                  </w:tcPr>
                  <w:p w:rsidR="000709B4" w:rsidRDefault="000709B4" w:rsidP="008163BB">
                    <w:pPr>
                      <w:jc w:val="right"/>
                      <w:rPr>
                        <w:szCs w:val="21"/>
                      </w:rPr>
                    </w:pPr>
                    <w:r>
                      <w:t>4,073,097,510</w:t>
                    </w:r>
                  </w:p>
                </w:tc>
                <w:tc>
                  <w:tcPr>
                    <w:tcW w:w="850" w:type="pct"/>
                  </w:tcPr>
                  <w:p w:rsidR="000709B4" w:rsidRDefault="000709B4" w:rsidP="008163BB">
                    <w:pPr>
                      <w:jc w:val="right"/>
                      <w:rPr>
                        <w:szCs w:val="21"/>
                      </w:rPr>
                    </w:pPr>
                  </w:p>
                </w:tc>
                <w:tc>
                  <w:tcPr>
                    <w:tcW w:w="497" w:type="pct"/>
                  </w:tcPr>
                  <w:p w:rsidR="000709B4" w:rsidRDefault="000709B4" w:rsidP="008163BB">
                    <w:pPr>
                      <w:jc w:val="right"/>
                      <w:rPr>
                        <w:szCs w:val="21"/>
                      </w:rPr>
                    </w:pPr>
                  </w:p>
                </w:tc>
                <w:tc>
                  <w:tcPr>
                    <w:tcW w:w="650" w:type="pct"/>
                  </w:tcPr>
                  <w:p w:rsidR="000709B4" w:rsidRDefault="000709B4" w:rsidP="008163BB">
                    <w:pPr>
                      <w:jc w:val="right"/>
                      <w:rPr>
                        <w:szCs w:val="21"/>
                      </w:rPr>
                    </w:pPr>
                    <w:r>
                      <w:t>-34.15</w:t>
                    </w:r>
                  </w:p>
                </w:tc>
                <w:tc>
                  <w:tcPr>
                    <w:tcW w:w="573" w:type="pct"/>
                  </w:tcPr>
                  <w:p w:rsidR="000709B4" w:rsidRDefault="000709B4" w:rsidP="008163BB">
                    <w:pPr>
                      <w:jc w:val="right"/>
                      <w:rPr>
                        <w:szCs w:val="21"/>
                      </w:rPr>
                    </w:pPr>
                  </w:p>
                </w:tc>
                <w:tc>
                  <w:tcPr>
                    <w:tcW w:w="851" w:type="pct"/>
                  </w:tcPr>
                  <w:p w:rsidR="000709B4" w:rsidRDefault="000709B4" w:rsidP="008163BB">
                    <w:pPr>
                      <w:jc w:val="right"/>
                      <w:rPr>
                        <w:rFonts w:eastAsiaTheme="minorEastAsia"/>
                        <w:kern w:val="2"/>
                        <w:szCs w:val="21"/>
                      </w:rPr>
                    </w:pPr>
                  </w:p>
                </w:tc>
              </w:tr>
            </w:sdtContent>
          </w:sdt>
          <w:sdt>
            <w:sdtPr>
              <w:rPr>
                <w:rFonts w:ascii="宋体" w:eastAsiaTheme="minorEastAsia" w:hAnsi="宋体" w:cs="宋体"/>
                <w:kern w:val="0"/>
                <w:szCs w:val="21"/>
              </w:rPr>
              <w:alias w:val="董事会报告出具的分产品主营业务"/>
              <w:tag w:val="_TUP_f3827583cc4c4df6a57620f0c5061461"/>
              <w:id w:val="712892"/>
              <w:lock w:val="sdtLocked"/>
            </w:sdtPr>
            <w:sdtContent>
              <w:tr w:rsidR="000709B4" w:rsidTr="00E915ED">
                <w:tc>
                  <w:tcPr>
                    <w:tcW w:w="656" w:type="pct"/>
                  </w:tcPr>
                  <w:p w:rsidR="000709B4" w:rsidRDefault="000709B4" w:rsidP="008163BB">
                    <w:pPr>
                      <w:pStyle w:val="a9"/>
                      <w:ind w:firstLineChars="0" w:firstLine="0"/>
                      <w:jc w:val="left"/>
                      <w:rPr>
                        <w:rFonts w:ascii="宋体" w:hAnsi="宋体" w:cs="宋体"/>
                        <w:szCs w:val="21"/>
                      </w:rPr>
                    </w:pPr>
                    <w:r>
                      <w:t>其他业务</w:t>
                    </w:r>
                  </w:p>
                </w:tc>
                <w:tc>
                  <w:tcPr>
                    <w:tcW w:w="923" w:type="pct"/>
                  </w:tcPr>
                  <w:p w:rsidR="000709B4" w:rsidRPr="00EB513B" w:rsidRDefault="00EB513B" w:rsidP="00EB513B">
                    <w:pPr>
                      <w:jc w:val="right"/>
                    </w:pPr>
                    <w:r w:rsidRPr="00EB513B">
                      <w:t>9,309,357,280</w:t>
                    </w:r>
                  </w:p>
                </w:tc>
                <w:tc>
                  <w:tcPr>
                    <w:tcW w:w="850" w:type="pct"/>
                  </w:tcPr>
                  <w:p w:rsidR="000709B4" w:rsidRDefault="000709B4" w:rsidP="008163BB">
                    <w:pPr>
                      <w:jc w:val="right"/>
                      <w:rPr>
                        <w:szCs w:val="21"/>
                      </w:rPr>
                    </w:pPr>
                  </w:p>
                </w:tc>
                <w:tc>
                  <w:tcPr>
                    <w:tcW w:w="497" w:type="pct"/>
                  </w:tcPr>
                  <w:p w:rsidR="000709B4" w:rsidRDefault="000709B4" w:rsidP="008163BB">
                    <w:pPr>
                      <w:jc w:val="right"/>
                      <w:rPr>
                        <w:szCs w:val="21"/>
                      </w:rPr>
                    </w:pPr>
                  </w:p>
                </w:tc>
                <w:tc>
                  <w:tcPr>
                    <w:tcW w:w="650" w:type="pct"/>
                  </w:tcPr>
                  <w:p w:rsidR="000709B4" w:rsidRDefault="000709B4" w:rsidP="008163BB">
                    <w:pPr>
                      <w:jc w:val="right"/>
                      <w:rPr>
                        <w:szCs w:val="21"/>
                      </w:rPr>
                    </w:pPr>
                    <w:r>
                      <w:t>9.4</w:t>
                    </w:r>
                    <w:r w:rsidR="001B1EF8">
                      <w:t>3</w:t>
                    </w:r>
                  </w:p>
                </w:tc>
                <w:tc>
                  <w:tcPr>
                    <w:tcW w:w="573" w:type="pct"/>
                  </w:tcPr>
                  <w:p w:rsidR="000709B4" w:rsidRDefault="000709B4" w:rsidP="008163BB">
                    <w:pPr>
                      <w:jc w:val="right"/>
                      <w:rPr>
                        <w:szCs w:val="21"/>
                      </w:rPr>
                    </w:pPr>
                  </w:p>
                </w:tc>
                <w:tc>
                  <w:tcPr>
                    <w:tcW w:w="851" w:type="pct"/>
                  </w:tcPr>
                  <w:p w:rsidR="000709B4" w:rsidRDefault="000709B4" w:rsidP="008163BB">
                    <w:pPr>
                      <w:jc w:val="right"/>
                      <w:rPr>
                        <w:szCs w:val="21"/>
                      </w:rPr>
                    </w:pPr>
                  </w:p>
                </w:tc>
              </w:tr>
            </w:sdtContent>
          </w:sdt>
          <w:sdt>
            <w:sdtPr>
              <w:rPr>
                <w:rFonts w:ascii="宋体" w:eastAsiaTheme="minorEastAsia" w:hAnsi="宋体" w:cs="宋体"/>
                <w:kern w:val="0"/>
                <w:szCs w:val="21"/>
              </w:rPr>
              <w:alias w:val="董事会报告出具的分产品主营业务"/>
              <w:tag w:val="_TUP_f3827583cc4c4df6a57620f0c5061461"/>
              <w:id w:val="712893"/>
              <w:lock w:val="sdtLocked"/>
            </w:sdtPr>
            <w:sdtContent>
              <w:tr w:rsidR="000709B4" w:rsidTr="00E915ED">
                <w:trPr>
                  <w:trHeight w:val="273"/>
                </w:trPr>
                <w:tc>
                  <w:tcPr>
                    <w:tcW w:w="656" w:type="pct"/>
                  </w:tcPr>
                  <w:p w:rsidR="000709B4" w:rsidRDefault="000709B4" w:rsidP="00336847">
                    <w:pPr>
                      <w:pStyle w:val="a9"/>
                      <w:ind w:firstLineChars="0" w:firstLine="0"/>
                      <w:jc w:val="center"/>
                      <w:rPr>
                        <w:rFonts w:ascii="宋体" w:eastAsiaTheme="minorEastAsia" w:hAnsi="宋体" w:cs="宋体"/>
                        <w:szCs w:val="21"/>
                      </w:rPr>
                    </w:pPr>
                    <w:r>
                      <w:t>合计</w:t>
                    </w:r>
                  </w:p>
                </w:tc>
                <w:tc>
                  <w:tcPr>
                    <w:tcW w:w="923" w:type="pct"/>
                  </w:tcPr>
                  <w:p w:rsidR="000709B4" w:rsidRDefault="000709B4" w:rsidP="008163BB">
                    <w:pPr>
                      <w:jc w:val="right"/>
                    </w:pPr>
                    <w:r>
                      <w:t>74,132,643,737</w:t>
                    </w:r>
                  </w:p>
                </w:tc>
                <w:tc>
                  <w:tcPr>
                    <w:tcW w:w="850" w:type="pct"/>
                  </w:tcPr>
                  <w:p w:rsidR="000709B4" w:rsidRDefault="000709B4" w:rsidP="008163BB">
                    <w:pPr>
                      <w:jc w:val="right"/>
                    </w:pPr>
                    <w:r>
                      <w:t>59,419,342,469</w:t>
                    </w:r>
                  </w:p>
                </w:tc>
                <w:tc>
                  <w:tcPr>
                    <w:tcW w:w="497" w:type="pct"/>
                  </w:tcPr>
                  <w:p w:rsidR="000709B4" w:rsidRDefault="000709B4" w:rsidP="008163BB">
                    <w:pPr>
                      <w:jc w:val="right"/>
                    </w:pPr>
                    <w:r>
                      <w:t>19.85</w:t>
                    </w:r>
                  </w:p>
                </w:tc>
                <w:tc>
                  <w:tcPr>
                    <w:tcW w:w="650" w:type="pct"/>
                  </w:tcPr>
                  <w:p w:rsidR="000709B4" w:rsidRDefault="000709B4" w:rsidP="008163BB">
                    <w:pPr>
                      <w:jc w:val="right"/>
                    </w:pPr>
                    <w:r>
                      <w:t>-3.81</w:t>
                    </w:r>
                  </w:p>
                </w:tc>
                <w:tc>
                  <w:tcPr>
                    <w:tcW w:w="573" w:type="pct"/>
                  </w:tcPr>
                  <w:p w:rsidR="000709B4" w:rsidRDefault="000709B4" w:rsidP="008163BB">
                    <w:pPr>
                      <w:jc w:val="right"/>
                    </w:pPr>
                    <w:r>
                      <w:t>-1.32</w:t>
                    </w:r>
                  </w:p>
                </w:tc>
                <w:tc>
                  <w:tcPr>
                    <w:tcW w:w="851" w:type="pct"/>
                  </w:tcPr>
                  <w:p w:rsidR="000709B4" w:rsidRDefault="00902B41" w:rsidP="008163BB">
                    <w:pPr>
                      <w:jc w:val="right"/>
                      <w:rPr>
                        <w:rFonts w:eastAsiaTheme="minorEastAsia"/>
                        <w:kern w:val="2"/>
                        <w:szCs w:val="21"/>
                      </w:rPr>
                    </w:pPr>
                    <w:r>
                      <w:rPr>
                        <w:rFonts w:eastAsiaTheme="minorEastAsia"/>
                        <w:kern w:val="2"/>
                        <w:szCs w:val="21"/>
                      </w:rPr>
                      <w:t>减少2.01个百分点</w:t>
                    </w:r>
                  </w:p>
                </w:tc>
              </w:tr>
            </w:sdtContent>
          </w:sdt>
        </w:tbl>
        <w:p w:rsidR="00806678" w:rsidRDefault="00B16377">
          <w:pPr>
            <w:rPr>
              <w:szCs w:val="21"/>
            </w:rPr>
          </w:pPr>
          <w:r>
            <w:rPr>
              <w:szCs w:val="21"/>
            </w:rPr>
            <w:t>主营业务分行业</w:t>
          </w:r>
          <w:r>
            <w:rPr>
              <w:rFonts w:hint="eastAsia"/>
              <w:szCs w:val="21"/>
            </w:rPr>
            <w:t>、</w:t>
          </w:r>
          <w:r>
            <w:rPr>
              <w:szCs w:val="21"/>
            </w:rPr>
            <w:t>分产品、分地区</w:t>
          </w:r>
          <w:r>
            <w:rPr>
              <w:rFonts w:hint="eastAsia"/>
              <w:szCs w:val="21"/>
            </w:rPr>
            <w:t>、分销售模式</w:t>
          </w:r>
          <w:r>
            <w:rPr>
              <w:szCs w:val="21"/>
            </w:rPr>
            <w:t>情况的说明</w:t>
          </w:r>
        </w:p>
        <w:sdt>
          <w:sdtPr>
            <w:rPr>
              <w:rFonts w:hint="eastAsia"/>
              <w:szCs w:val="21"/>
            </w:rPr>
            <w:alias w:val="主营业务分行业和分产品情况的说明"/>
            <w:tag w:val="_GBC_81b87428f4384bf2959419c3aea2dad2"/>
            <w:id w:val="9921110"/>
            <w:lock w:val="sdtLocked"/>
            <w:placeholder>
              <w:docPart w:val="GBC22222222222222222222222222222"/>
            </w:placeholder>
          </w:sdtPr>
          <w:sdtContent>
            <w:p w:rsidR="00806678" w:rsidRPr="00816485" w:rsidRDefault="000709B4">
              <w:pPr>
                <w:rPr>
                  <w:szCs w:val="21"/>
                </w:rPr>
              </w:pPr>
              <w:r>
                <w:rPr>
                  <w:rFonts w:hint="eastAsia"/>
                  <w:szCs w:val="21"/>
                </w:rPr>
                <w:t>不适用</w:t>
              </w:r>
            </w:p>
          </w:sdtContent>
        </w:sdt>
      </w:sdtContent>
    </w:sdt>
    <w:bookmarkEnd w:id="30" w:displacedByCustomXml="prev"/>
    <w:sdt>
      <w:sdtPr>
        <w:rPr>
          <w:rFonts w:ascii="宋体" w:hAnsi="宋体" w:cs="宋体" w:hint="eastAsia"/>
          <w:b w:val="0"/>
          <w:bCs w:val="0"/>
          <w:kern w:val="0"/>
          <w:szCs w:val="24"/>
        </w:rPr>
        <w:alias w:val="模块:产销量情况分析表"/>
        <w:tag w:val="_SEC_b85e1cad33344c94a1ecc713f9b7acbc"/>
        <w:id w:val="7853387"/>
        <w:lock w:val="sdtLocked"/>
        <w:placeholder>
          <w:docPart w:val="GBC22222222222222222222222222222"/>
        </w:placeholder>
      </w:sdtPr>
      <w:sdtContent>
        <w:p w:rsidR="00806678" w:rsidRDefault="00B16377" w:rsidP="00FF17C7">
          <w:pPr>
            <w:pStyle w:val="5"/>
            <w:numPr>
              <w:ilvl w:val="0"/>
              <w:numId w:val="65"/>
            </w:numPr>
            <w:tabs>
              <w:tab w:val="left" w:pos="567"/>
            </w:tabs>
            <w:ind w:left="0" w:firstLine="0"/>
            <w:rPr>
              <w:szCs w:val="21"/>
            </w:rPr>
          </w:pPr>
          <w:r>
            <w:rPr>
              <w:rFonts w:hint="eastAsia"/>
            </w:rPr>
            <w:t>产销量情况</w:t>
          </w:r>
          <w:r>
            <w:rPr>
              <w:szCs w:val="21"/>
            </w:rPr>
            <w:t>分析表</w:t>
          </w:r>
        </w:p>
        <w:sdt>
          <w:sdtPr>
            <w:alias w:val="是否适用：产销量情况分析表[双击切换]"/>
            <w:tag w:val="_GBC_6ff51c492b3040799712ea51f78bdcc0"/>
            <w:id w:val="1635138303"/>
            <w:lock w:val="sdtLocked"/>
            <w:placeholder>
              <w:docPart w:val="GBC22222222222222222222222222222"/>
            </w:placeholder>
          </w:sdtPr>
          <w:sdtContent>
            <w:p w:rsidR="00806678" w:rsidRDefault="00F80B6C">
              <w:r>
                <w:fldChar w:fldCharType="begin"/>
              </w:r>
              <w:r w:rsidR="00726CD9">
                <w:instrText xml:space="preserve">MACROBUTTON  SnrToggleCheckbox □适用 </w:instrText>
              </w:r>
              <w:r>
                <w:fldChar w:fldCharType="end"/>
              </w:r>
              <w:r>
                <w:fldChar w:fldCharType="begin"/>
              </w:r>
              <w:r w:rsidR="00726CD9">
                <w:instrText xml:space="preserve"> MACROBUTTON  SnrToggleCheckbox √不适用 </w:instrText>
              </w:r>
              <w:r>
                <w:fldChar w:fldCharType="end"/>
              </w:r>
            </w:p>
          </w:sdtContent>
        </w:sdt>
      </w:sdtContent>
    </w:sdt>
    <w:p w:rsidR="00806678" w:rsidRDefault="00B16377" w:rsidP="00FF17C7">
      <w:pPr>
        <w:pStyle w:val="5"/>
        <w:numPr>
          <w:ilvl w:val="0"/>
          <w:numId w:val="65"/>
        </w:numPr>
        <w:tabs>
          <w:tab w:val="left" w:pos="567"/>
        </w:tabs>
        <w:ind w:left="0" w:firstLine="0"/>
      </w:pPr>
      <w:bookmarkStart w:id="34" w:name="_Hlk89876471"/>
      <w:r>
        <w:rPr>
          <w:rFonts w:hint="eastAsia"/>
        </w:rPr>
        <w:t>重大采购合同、重大销售合同的履行情况</w:t>
      </w:r>
    </w:p>
    <w:sdt>
      <w:sdtPr>
        <w:rPr>
          <w:rFonts w:hint="eastAsia"/>
        </w:rPr>
        <w:alias w:val="是否适用：重大采购合同、重大销售合同的履行情况 [双击切换]"/>
        <w:tag w:val="_GBC_7db64bb10282470b9d1599cd986236d4"/>
        <w:id w:val="-1222666546"/>
        <w:lock w:val="sdtLocked"/>
        <w:placeholder>
          <w:docPart w:val="GBC22222222222222222222222222222"/>
        </w:placeholder>
      </w:sdtPr>
      <w:sdtContent>
        <w:p w:rsidR="00806678" w:rsidRDefault="00F80B6C">
          <w:r>
            <w:fldChar w:fldCharType="begin"/>
          </w:r>
          <w:r w:rsidR="00726CD9">
            <w:instrText xml:space="preserve"> MACROBUTTON  SnrToggleCheckbox □适用 </w:instrText>
          </w:r>
          <w:r>
            <w:fldChar w:fldCharType="end"/>
          </w:r>
          <w:r>
            <w:fldChar w:fldCharType="begin"/>
          </w:r>
          <w:r w:rsidR="00726CD9">
            <w:instrText xml:space="preserve"> MACROBUTTON  SnrToggleCheckbox √不适用 </w:instrText>
          </w:r>
          <w:r>
            <w:fldChar w:fldCharType="end"/>
          </w:r>
        </w:p>
      </w:sdtContent>
    </w:sdt>
    <w:bookmarkEnd w:id="34" w:displacedByCustomXml="next"/>
    <w:sdt>
      <w:sdtPr>
        <w:rPr>
          <w:rFonts w:ascii="宋体" w:hAnsi="宋体" w:cs="宋体"/>
          <w:b w:val="0"/>
          <w:bCs w:val="0"/>
          <w:kern w:val="0"/>
          <w:szCs w:val="21"/>
        </w:rPr>
        <w:alias w:val="模块:成本分析表"/>
        <w:tag w:val="_SEC_de51976cba8242c1b32c1f5dc956546c"/>
        <w:id w:val="272958382"/>
        <w:lock w:val="sdtLocked"/>
        <w:placeholder>
          <w:docPart w:val="GBC22222222222222222222222222222"/>
        </w:placeholder>
      </w:sdtPr>
      <w:sdtContent>
        <w:p w:rsidR="00806678" w:rsidRDefault="00B16377" w:rsidP="00FF17C7">
          <w:pPr>
            <w:pStyle w:val="5"/>
            <w:numPr>
              <w:ilvl w:val="0"/>
              <w:numId w:val="65"/>
            </w:numPr>
            <w:tabs>
              <w:tab w:val="left" w:pos="567"/>
            </w:tabs>
            <w:ind w:left="0" w:firstLine="0"/>
            <w:rPr>
              <w:szCs w:val="21"/>
            </w:rPr>
          </w:pPr>
          <w:r>
            <w:rPr>
              <w:szCs w:val="21"/>
            </w:rPr>
            <w:t>成本分析表</w:t>
          </w:r>
        </w:p>
        <w:p w:rsidR="00806678" w:rsidRDefault="00B16377">
          <w:pPr>
            <w:pStyle w:val="a9"/>
            <w:ind w:firstLineChars="0" w:firstLine="0"/>
            <w:jc w:val="right"/>
            <w:rPr>
              <w:szCs w:val="21"/>
            </w:rPr>
          </w:pPr>
          <w:r>
            <w:rPr>
              <w:rFonts w:hint="eastAsia"/>
              <w:szCs w:val="21"/>
            </w:rPr>
            <w:t>单位：</w:t>
          </w:r>
          <w:sdt>
            <w:sdtPr>
              <w:rPr>
                <w:rFonts w:hint="eastAsia"/>
                <w:szCs w:val="21"/>
              </w:rPr>
              <w:alias w:val="单位：成本分析表"/>
              <w:tag w:val="_GBC_b04622a3125b4989a822b6e63bf483c3"/>
              <w:id w:val="210484427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p>
        <w:tbl>
          <w:tblPr>
            <w:tblStyle w:val="a6"/>
            <w:tblW w:w="5483" w:type="pct"/>
            <w:tblInd w:w="-318" w:type="dxa"/>
            <w:tblLook w:val="04A0"/>
          </w:tblPr>
          <w:tblGrid>
            <w:gridCol w:w="427"/>
            <w:gridCol w:w="1981"/>
            <w:gridCol w:w="1699"/>
            <w:gridCol w:w="974"/>
            <w:gridCol w:w="1699"/>
            <w:gridCol w:w="909"/>
            <w:gridCol w:w="879"/>
            <w:gridCol w:w="1355"/>
          </w:tblGrid>
          <w:tr w:rsidR="003E1F75" w:rsidTr="003E1F75">
            <w:trPr>
              <w:trHeight w:val="195"/>
            </w:trPr>
            <w:sdt>
              <w:sdtPr>
                <w:tag w:val="_PLD_23eca1a24a6a46819aede5056d21b4e0"/>
                <w:id w:val="713817"/>
                <w:lock w:val="sdtLocked"/>
              </w:sdtPr>
              <w:sdtContent>
                <w:tc>
                  <w:tcPr>
                    <w:tcW w:w="5000" w:type="pct"/>
                    <w:gridSpan w:val="8"/>
                    <w:vAlign w:val="center"/>
                  </w:tcPr>
                  <w:p w:rsidR="003E1F75" w:rsidRDefault="003E1F75" w:rsidP="008163BB">
                    <w:pPr>
                      <w:jc w:val="center"/>
                      <w:rPr>
                        <w:szCs w:val="21"/>
                      </w:rPr>
                    </w:pPr>
                    <w:r>
                      <w:rPr>
                        <w:szCs w:val="21"/>
                      </w:rPr>
                      <w:t>分行业情况</w:t>
                    </w:r>
                  </w:p>
                </w:tc>
              </w:sdtContent>
            </w:sdt>
          </w:tr>
          <w:tr w:rsidR="003E1F75" w:rsidTr="003E1F75">
            <w:trPr>
              <w:trHeight w:val="135"/>
            </w:trPr>
            <w:sdt>
              <w:sdtPr>
                <w:tag w:val="_PLD_6ed773a4437a4fe9b33abca9c4813940"/>
                <w:id w:val="713818"/>
                <w:lock w:val="sdtLocked"/>
              </w:sdtPr>
              <w:sdtContent>
                <w:tc>
                  <w:tcPr>
                    <w:tcW w:w="215" w:type="pct"/>
                    <w:vAlign w:val="center"/>
                  </w:tcPr>
                  <w:p w:rsidR="003E1F75" w:rsidRDefault="003E1F75" w:rsidP="008163BB">
                    <w:pPr>
                      <w:jc w:val="center"/>
                      <w:rPr>
                        <w:szCs w:val="21"/>
                      </w:rPr>
                    </w:pPr>
                    <w:r>
                      <w:rPr>
                        <w:szCs w:val="21"/>
                      </w:rPr>
                      <w:t>分行业</w:t>
                    </w:r>
                  </w:p>
                </w:tc>
              </w:sdtContent>
            </w:sdt>
            <w:sdt>
              <w:sdtPr>
                <w:tag w:val="_PLD_11eb33bcb20d4489a1b9fff2216d0a84"/>
                <w:id w:val="713819"/>
                <w:lock w:val="sdtLocked"/>
              </w:sdtPr>
              <w:sdtContent>
                <w:tc>
                  <w:tcPr>
                    <w:tcW w:w="998" w:type="pct"/>
                    <w:vAlign w:val="center"/>
                  </w:tcPr>
                  <w:p w:rsidR="003E1F75" w:rsidRDefault="003E1F75" w:rsidP="008163BB">
                    <w:pPr>
                      <w:jc w:val="center"/>
                      <w:rPr>
                        <w:szCs w:val="21"/>
                      </w:rPr>
                    </w:pPr>
                    <w:r>
                      <w:rPr>
                        <w:szCs w:val="21"/>
                      </w:rPr>
                      <w:t>成本构成项目</w:t>
                    </w:r>
                  </w:p>
                </w:tc>
              </w:sdtContent>
            </w:sdt>
            <w:sdt>
              <w:sdtPr>
                <w:tag w:val="_PLD_25c03477e66a432199f6493c38aaca71"/>
                <w:id w:val="713820"/>
                <w:lock w:val="sdtLocked"/>
              </w:sdtPr>
              <w:sdtContent>
                <w:tc>
                  <w:tcPr>
                    <w:tcW w:w="856" w:type="pct"/>
                    <w:vAlign w:val="center"/>
                  </w:tcPr>
                  <w:p w:rsidR="003E1F75" w:rsidRDefault="003E1F75" w:rsidP="008163BB">
                    <w:pPr>
                      <w:jc w:val="center"/>
                      <w:rPr>
                        <w:szCs w:val="21"/>
                      </w:rPr>
                    </w:pPr>
                    <w:r>
                      <w:rPr>
                        <w:szCs w:val="21"/>
                      </w:rPr>
                      <w:t>本期金额</w:t>
                    </w:r>
                  </w:p>
                </w:tc>
              </w:sdtContent>
            </w:sdt>
            <w:sdt>
              <w:sdtPr>
                <w:tag w:val="_PLD_29b86b13ed1449cfb64b8547d9ed08a7"/>
                <w:id w:val="713821"/>
                <w:lock w:val="sdtLocked"/>
              </w:sdtPr>
              <w:sdtContent>
                <w:tc>
                  <w:tcPr>
                    <w:tcW w:w="491" w:type="pct"/>
                    <w:vAlign w:val="center"/>
                  </w:tcPr>
                  <w:p w:rsidR="003E1F75" w:rsidRDefault="003E1F75" w:rsidP="008163BB">
                    <w:pPr>
                      <w:jc w:val="center"/>
                      <w:rPr>
                        <w:szCs w:val="21"/>
                      </w:rPr>
                    </w:pPr>
                    <w:r>
                      <w:rPr>
                        <w:szCs w:val="21"/>
                      </w:rPr>
                      <w:t>本期占总成本比例(</w:t>
                    </w:r>
                    <w:r>
                      <w:rPr>
                        <w:rFonts w:hint="eastAsia"/>
                        <w:szCs w:val="21"/>
                      </w:rPr>
                      <w:t>%</w:t>
                    </w:r>
                    <w:r>
                      <w:rPr>
                        <w:szCs w:val="21"/>
                      </w:rPr>
                      <w:t>)</w:t>
                    </w:r>
                  </w:p>
                </w:tc>
              </w:sdtContent>
            </w:sdt>
            <w:sdt>
              <w:sdtPr>
                <w:tag w:val="_PLD_5ff02c2ae2d941d5bb2ed5b1e6bfa8e6"/>
                <w:id w:val="713822"/>
                <w:lock w:val="sdtLocked"/>
              </w:sdtPr>
              <w:sdtContent>
                <w:tc>
                  <w:tcPr>
                    <w:tcW w:w="856" w:type="pct"/>
                    <w:vAlign w:val="center"/>
                  </w:tcPr>
                  <w:p w:rsidR="003E1F75" w:rsidRDefault="003E1F75" w:rsidP="008163BB">
                    <w:pPr>
                      <w:jc w:val="center"/>
                      <w:rPr>
                        <w:szCs w:val="21"/>
                      </w:rPr>
                    </w:pPr>
                    <w:r>
                      <w:rPr>
                        <w:szCs w:val="21"/>
                      </w:rPr>
                      <w:t>上年同期金额</w:t>
                    </w:r>
                  </w:p>
                </w:tc>
              </w:sdtContent>
            </w:sdt>
            <w:sdt>
              <w:sdtPr>
                <w:tag w:val="_PLD_517f7979a01748fba12b11d5561fdcdd"/>
                <w:id w:val="713823"/>
                <w:lock w:val="sdtLocked"/>
              </w:sdtPr>
              <w:sdtContent>
                <w:tc>
                  <w:tcPr>
                    <w:tcW w:w="458" w:type="pct"/>
                    <w:vAlign w:val="center"/>
                  </w:tcPr>
                  <w:p w:rsidR="003E1F75" w:rsidRDefault="003E1F75" w:rsidP="008163BB">
                    <w:pPr>
                      <w:jc w:val="center"/>
                      <w:rPr>
                        <w:szCs w:val="21"/>
                      </w:rPr>
                    </w:pPr>
                    <w:r>
                      <w:rPr>
                        <w:szCs w:val="21"/>
                      </w:rPr>
                      <w:t>上年同期占总成本比例(</w:t>
                    </w:r>
                    <w:r>
                      <w:rPr>
                        <w:rFonts w:hint="eastAsia"/>
                        <w:szCs w:val="21"/>
                      </w:rPr>
                      <w:t>%</w:t>
                    </w:r>
                    <w:r>
                      <w:rPr>
                        <w:szCs w:val="21"/>
                      </w:rPr>
                      <w:t>)</w:t>
                    </w:r>
                  </w:p>
                </w:tc>
              </w:sdtContent>
            </w:sdt>
            <w:sdt>
              <w:sdtPr>
                <w:tag w:val="_PLD_51133d067ddc4eeda00133d4c26d206f"/>
                <w:id w:val="713824"/>
                <w:lock w:val="sdtLocked"/>
              </w:sdtPr>
              <w:sdtContent>
                <w:tc>
                  <w:tcPr>
                    <w:tcW w:w="443" w:type="pct"/>
                    <w:vAlign w:val="center"/>
                  </w:tcPr>
                  <w:p w:rsidR="003E1F75" w:rsidRDefault="003E1F75" w:rsidP="008163BB">
                    <w:pPr>
                      <w:jc w:val="center"/>
                      <w:rPr>
                        <w:szCs w:val="21"/>
                      </w:rPr>
                    </w:pPr>
                    <w:r>
                      <w:rPr>
                        <w:szCs w:val="21"/>
                      </w:rPr>
                      <w:t>本期金额较上年同期变动比例(</w:t>
                    </w:r>
                    <w:r>
                      <w:rPr>
                        <w:rFonts w:hint="eastAsia"/>
                        <w:szCs w:val="21"/>
                      </w:rPr>
                      <w:t>%</w:t>
                    </w:r>
                    <w:r>
                      <w:rPr>
                        <w:szCs w:val="21"/>
                      </w:rPr>
                      <w:t>)</w:t>
                    </w:r>
                  </w:p>
                </w:tc>
              </w:sdtContent>
            </w:sdt>
            <w:sdt>
              <w:sdtPr>
                <w:tag w:val="_PLD_88c2b4dabd62472381be05c0702377e2"/>
                <w:id w:val="713825"/>
                <w:lock w:val="sdtLocked"/>
              </w:sdtPr>
              <w:sdtContent>
                <w:tc>
                  <w:tcPr>
                    <w:tcW w:w="684" w:type="pct"/>
                    <w:vAlign w:val="center"/>
                  </w:tcPr>
                  <w:p w:rsidR="003E1F75" w:rsidRDefault="003E1F75" w:rsidP="008163BB">
                    <w:pPr>
                      <w:jc w:val="center"/>
                      <w:rPr>
                        <w:szCs w:val="21"/>
                      </w:rPr>
                    </w:pPr>
                    <w:r>
                      <w:rPr>
                        <w:szCs w:val="21"/>
                      </w:rPr>
                      <w:t>情况</w:t>
                    </w:r>
                  </w:p>
                  <w:p w:rsidR="003E1F75" w:rsidRDefault="003E1F75" w:rsidP="008163BB">
                    <w:pPr>
                      <w:jc w:val="center"/>
                      <w:rPr>
                        <w:szCs w:val="21"/>
                      </w:rPr>
                    </w:pPr>
                    <w:r>
                      <w:rPr>
                        <w:szCs w:val="21"/>
                      </w:rPr>
                      <w:t>说明</w:t>
                    </w:r>
                  </w:p>
                </w:tc>
              </w:sdtContent>
            </w:sdt>
          </w:tr>
          <w:sdt>
            <w:sdtPr>
              <w:rPr>
                <w:rFonts w:ascii="Calibri" w:eastAsiaTheme="minorEastAsia" w:hAnsi="Calibri" w:cstheme="minorBidi"/>
                <w:kern w:val="2"/>
                <w:szCs w:val="21"/>
              </w:rPr>
              <w:alias w:val="分行业成本分析"/>
              <w:tag w:val="_TUP_fb9e3026efbd4a2c91fdedd10a926f41"/>
              <w:id w:val="713826"/>
              <w:lock w:val="sdtLocked"/>
            </w:sdtPr>
            <w:sdtContent>
              <w:tr w:rsidR="003E1F75" w:rsidTr="003E1F75">
                <w:trPr>
                  <w:trHeight w:val="165"/>
                </w:trPr>
                <w:tc>
                  <w:tcPr>
                    <w:tcW w:w="215" w:type="pct"/>
                  </w:tcPr>
                  <w:p w:rsidR="003E1F75" w:rsidRDefault="003E1F75" w:rsidP="008163BB">
                    <w:pPr>
                      <w:jc w:val="left"/>
                      <w:rPr>
                        <w:rFonts w:ascii="Calibri" w:hAnsi="Calibri"/>
                        <w:szCs w:val="21"/>
                      </w:rPr>
                    </w:pPr>
                  </w:p>
                </w:tc>
                <w:tc>
                  <w:tcPr>
                    <w:tcW w:w="998" w:type="pct"/>
                    <w:vAlign w:val="center"/>
                  </w:tcPr>
                  <w:p w:rsidR="003E1F75" w:rsidRPr="00510FCE" w:rsidRDefault="003E1F75">
                    <w:pPr>
                      <w:rPr>
                        <w:bCs/>
                        <w:sz w:val="24"/>
                      </w:rPr>
                    </w:pPr>
                    <w:r w:rsidRPr="00510FCE">
                      <w:rPr>
                        <w:bCs/>
                      </w:rPr>
                      <w:t>主营业务成本</w:t>
                    </w:r>
                  </w:p>
                </w:tc>
                <w:tc>
                  <w:tcPr>
                    <w:tcW w:w="856" w:type="pct"/>
                    <w:vAlign w:val="center"/>
                  </w:tcPr>
                  <w:p w:rsidR="003E1F75" w:rsidRPr="00510FCE" w:rsidRDefault="003E1F75" w:rsidP="007B3E42">
                    <w:pPr>
                      <w:jc w:val="right"/>
                      <w:rPr>
                        <w:bCs/>
                        <w:sz w:val="24"/>
                      </w:rPr>
                    </w:pPr>
                    <w:r w:rsidRPr="00510FCE">
                      <w:rPr>
                        <w:bCs/>
                      </w:rPr>
                      <w:t>59,419,342,469</w:t>
                    </w:r>
                  </w:p>
                </w:tc>
                <w:tc>
                  <w:tcPr>
                    <w:tcW w:w="491" w:type="pct"/>
                    <w:vAlign w:val="center"/>
                  </w:tcPr>
                  <w:p w:rsidR="003E1F75" w:rsidRPr="00510FCE" w:rsidRDefault="003E1F75" w:rsidP="007B3E42">
                    <w:pPr>
                      <w:jc w:val="right"/>
                      <w:rPr>
                        <w:bCs/>
                        <w:sz w:val="24"/>
                      </w:rPr>
                    </w:pPr>
                    <w:r w:rsidRPr="00510FCE">
                      <w:rPr>
                        <w:bCs/>
                      </w:rPr>
                      <w:t>97.99</w:t>
                    </w:r>
                  </w:p>
                </w:tc>
                <w:tc>
                  <w:tcPr>
                    <w:tcW w:w="856" w:type="pct"/>
                    <w:vAlign w:val="center"/>
                  </w:tcPr>
                  <w:p w:rsidR="003E1F75" w:rsidRPr="00510FCE" w:rsidRDefault="003E1F75" w:rsidP="007B3E42">
                    <w:pPr>
                      <w:jc w:val="right"/>
                      <w:rPr>
                        <w:bCs/>
                        <w:sz w:val="24"/>
                      </w:rPr>
                    </w:pPr>
                    <w:r w:rsidRPr="00510FCE">
                      <w:rPr>
                        <w:bCs/>
                      </w:rPr>
                      <w:t>60,216,051,035</w:t>
                    </w:r>
                  </w:p>
                </w:tc>
                <w:tc>
                  <w:tcPr>
                    <w:tcW w:w="458" w:type="pct"/>
                    <w:vAlign w:val="center"/>
                  </w:tcPr>
                  <w:p w:rsidR="003E1F75" w:rsidRPr="00510FCE" w:rsidRDefault="003E1F75" w:rsidP="007B3E42">
                    <w:pPr>
                      <w:jc w:val="right"/>
                      <w:rPr>
                        <w:bCs/>
                        <w:sz w:val="24"/>
                      </w:rPr>
                    </w:pPr>
                    <w:r w:rsidRPr="00510FCE">
                      <w:rPr>
                        <w:bCs/>
                      </w:rPr>
                      <w:t>97.90</w:t>
                    </w:r>
                  </w:p>
                </w:tc>
                <w:tc>
                  <w:tcPr>
                    <w:tcW w:w="443" w:type="pct"/>
                    <w:vAlign w:val="center"/>
                  </w:tcPr>
                  <w:p w:rsidR="003E1F75" w:rsidRPr="00510FCE" w:rsidRDefault="003E1F75" w:rsidP="007B3E42">
                    <w:pPr>
                      <w:jc w:val="right"/>
                      <w:rPr>
                        <w:bCs/>
                        <w:sz w:val="24"/>
                      </w:rPr>
                    </w:pPr>
                    <w:r w:rsidRPr="00510FCE">
                      <w:rPr>
                        <w:bCs/>
                      </w:rPr>
                      <w:t>-1.32</w:t>
                    </w:r>
                  </w:p>
                </w:tc>
                <w:tc>
                  <w:tcPr>
                    <w:tcW w:w="684" w:type="pct"/>
                  </w:tcPr>
                  <w:p w:rsidR="003E1F75" w:rsidRDefault="003E1F75" w:rsidP="008163BB">
                    <w:pPr>
                      <w:jc w:val="left"/>
                      <w:rPr>
                        <w:szCs w:val="21"/>
                      </w:rPr>
                    </w:pPr>
                  </w:p>
                </w:tc>
              </w:tr>
            </w:sdtContent>
          </w:sdt>
          <w:sdt>
            <w:sdtPr>
              <w:rPr>
                <w:rFonts w:ascii="Calibri" w:eastAsiaTheme="minorEastAsia" w:hAnsi="Calibri" w:cstheme="minorBidi"/>
                <w:kern w:val="2"/>
                <w:szCs w:val="21"/>
              </w:rPr>
              <w:alias w:val="分行业成本分析"/>
              <w:tag w:val="_TUP_fb9e3026efbd4a2c91fdedd10a926f41"/>
              <w:id w:val="713827"/>
              <w:lock w:val="sdtLocked"/>
            </w:sdtPr>
            <w:sdtContent>
              <w:tr w:rsidR="003E1F75" w:rsidTr="003E1F75">
                <w:trPr>
                  <w:trHeight w:val="165"/>
                </w:trPr>
                <w:tc>
                  <w:tcPr>
                    <w:tcW w:w="215" w:type="pct"/>
                  </w:tcPr>
                  <w:p w:rsidR="003E1F75" w:rsidRDefault="003E1F75" w:rsidP="008163BB">
                    <w:pPr>
                      <w:jc w:val="left"/>
                      <w:rPr>
                        <w:rFonts w:ascii="Calibri" w:hAnsi="Calibri"/>
                        <w:szCs w:val="21"/>
                      </w:rPr>
                    </w:pPr>
                  </w:p>
                </w:tc>
                <w:tc>
                  <w:tcPr>
                    <w:tcW w:w="998" w:type="pct"/>
                    <w:vAlign w:val="center"/>
                  </w:tcPr>
                  <w:p w:rsidR="003E1F75" w:rsidRDefault="003E1F75">
                    <w:pPr>
                      <w:rPr>
                        <w:sz w:val="24"/>
                      </w:rPr>
                    </w:pPr>
                    <w:r>
                      <w:t>人员费用</w:t>
                    </w:r>
                  </w:p>
                </w:tc>
                <w:tc>
                  <w:tcPr>
                    <w:tcW w:w="856" w:type="pct"/>
                    <w:vAlign w:val="center"/>
                  </w:tcPr>
                  <w:p w:rsidR="003E1F75" w:rsidRDefault="003E1F75" w:rsidP="007B3E42">
                    <w:pPr>
                      <w:jc w:val="right"/>
                      <w:rPr>
                        <w:sz w:val="24"/>
                      </w:rPr>
                    </w:pPr>
                    <w:r>
                      <w:t>20,974,365,337</w:t>
                    </w:r>
                  </w:p>
                </w:tc>
                <w:tc>
                  <w:tcPr>
                    <w:tcW w:w="491" w:type="pct"/>
                    <w:vAlign w:val="center"/>
                  </w:tcPr>
                  <w:p w:rsidR="003E1F75" w:rsidRDefault="003E1F75" w:rsidP="007B3E42">
                    <w:pPr>
                      <w:jc w:val="right"/>
                      <w:rPr>
                        <w:sz w:val="24"/>
                      </w:rPr>
                    </w:pPr>
                    <w:r>
                      <w:t>34.59</w:t>
                    </w:r>
                  </w:p>
                </w:tc>
                <w:tc>
                  <w:tcPr>
                    <w:tcW w:w="856" w:type="pct"/>
                    <w:vAlign w:val="center"/>
                  </w:tcPr>
                  <w:p w:rsidR="003E1F75" w:rsidRDefault="003E1F75" w:rsidP="007B3E42">
                    <w:pPr>
                      <w:jc w:val="right"/>
                      <w:rPr>
                        <w:sz w:val="24"/>
                      </w:rPr>
                    </w:pPr>
                    <w:r>
                      <w:t>20,292,517,511</w:t>
                    </w:r>
                  </w:p>
                </w:tc>
                <w:tc>
                  <w:tcPr>
                    <w:tcW w:w="458" w:type="pct"/>
                    <w:vAlign w:val="center"/>
                  </w:tcPr>
                  <w:p w:rsidR="003E1F75" w:rsidRDefault="003E1F75" w:rsidP="007B3E42">
                    <w:pPr>
                      <w:jc w:val="right"/>
                      <w:rPr>
                        <w:sz w:val="24"/>
                      </w:rPr>
                    </w:pPr>
                    <w:r>
                      <w:t>32.99</w:t>
                    </w:r>
                  </w:p>
                </w:tc>
                <w:tc>
                  <w:tcPr>
                    <w:tcW w:w="443" w:type="pct"/>
                    <w:vAlign w:val="center"/>
                  </w:tcPr>
                  <w:p w:rsidR="003E1F75" w:rsidRDefault="003E1F75" w:rsidP="007B3E42">
                    <w:pPr>
                      <w:jc w:val="right"/>
                      <w:rPr>
                        <w:sz w:val="24"/>
                      </w:rPr>
                    </w:pPr>
                    <w:r>
                      <w:t>3.36</w:t>
                    </w:r>
                  </w:p>
                </w:tc>
                <w:tc>
                  <w:tcPr>
                    <w:tcW w:w="684" w:type="pct"/>
                  </w:tcPr>
                  <w:p w:rsidR="003E1F75" w:rsidRDefault="003E1F75" w:rsidP="008163BB">
                    <w:pPr>
                      <w:jc w:val="left"/>
                      <w:rPr>
                        <w:szCs w:val="21"/>
                      </w:rPr>
                    </w:pPr>
                  </w:p>
                </w:tc>
              </w:tr>
            </w:sdtContent>
          </w:sdt>
          <w:sdt>
            <w:sdtPr>
              <w:rPr>
                <w:rFonts w:ascii="Calibri" w:eastAsiaTheme="minorEastAsia" w:hAnsi="Calibri" w:cstheme="minorBidi"/>
                <w:kern w:val="2"/>
                <w:szCs w:val="21"/>
              </w:rPr>
              <w:alias w:val="分行业成本分析"/>
              <w:tag w:val="_TUP_fb9e3026efbd4a2c91fdedd10a926f41"/>
              <w:id w:val="713828"/>
              <w:lock w:val="sdtLocked"/>
            </w:sdtPr>
            <w:sdtContent>
              <w:tr w:rsidR="003E1F75" w:rsidTr="003E1F75">
                <w:trPr>
                  <w:trHeight w:val="165"/>
                </w:trPr>
                <w:tc>
                  <w:tcPr>
                    <w:tcW w:w="215" w:type="pct"/>
                  </w:tcPr>
                  <w:p w:rsidR="003E1F75" w:rsidRDefault="003E1F75" w:rsidP="008163BB">
                    <w:pPr>
                      <w:jc w:val="left"/>
                      <w:rPr>
                        <w:rFonts w:ascii="Calibri" w:hAnsi="Calibri"/>
                        <w:szCs w:val="21"/>
                      </w:rPr>
                    </w:pPr>
                  </w:p>
                </w:tc>
                <w:tc>
                  <w:tcPr>
                    <w:tcW w:w="998" w:type="pct"/>
                    <w:vAlign w:val="center"/>
                  </w:tcPr>
                  <w:p w:rsidR="003E1F75" w:rsidRDefault="003E1F75">
                    <w:pPr>
                      <w:rPr>
                        <w:sz w:val="24"/>
                      </w:rPr>
                    </w:pPr>
                    <w:r>
                      <w:t>折旧</w:t>
                    </w:r>
                  </w:p>
                </w:tc>
                <w:tc>
                  <w:tcPr>
                    <w:tcW w:w="856" w:type="pct"/>
                    <w:vAlign w:val="center"/>
                  </w:tcPr>
                  <w:p w:rsidR="003E1F75" w:rsidRDefault="003E1F75" w:rsidP="007B3E42">
                    <w:pPr>
                      <w:jc w:val="right"/>
                      <w:rPr>
                        <w:sz w:val="24"/>
                      </w:rPr>
                    </w:pPr>
                    <w:r>
                      <w:t>5,064,907,947</w:t>
                    </w:r>
                  </w:p>
                </w:tc>
                <w:tc>
                  <w:tcPr>
                    <w:tcW w:w="491" w:type="pct"/>
                    <w:vAlign w:val="center"/>
                  </w:tcPr>
                  <w:p w:rsidR="003E1F75" w:rsidRDefault="003E1F75" w:rsidP="007B3E42">
                    <w:pPr>
                      <w:jc w:val="right"/>
                      <w:rPr>
                        <w:sz w:val="24"/>
                      </w:rPr>
                    </w:pPr>
                    <w:r>
                      <w:t>8.35</w:t>
                    </w:r>
                  </w:p>
                </w:tc>
                <w:tc>
                  <w:tcPr>
                    <w:tcW w:w="856" w:type="pct"/>
                    <w:vAlign w:val="center"/>
                  </w:tcPr>
                  <w:p w:rsidR="003E1F75" w:rsidRDefault="003E1F75" w:rsidP="007B3E42">
                    <w:pPr>
                      <w:jc w:val="right"/>
                      <w:rPr>
                        <w:sz w:val="24"/>
                      </w:rPr>
                    </w:pPr>
                    <w:r>
                      <w:t>4,843,496,134</w:t>
                    </w:r>
                  </w:p>
                </w:tc>
                <w:tc>
                  <w:tcPr>
                    <w:tcW w:w="458" w:type="pct"/>
                    <w:vAlign w:val="center"/>
                  </w:tcPr>
                  <w:p w:rsidR="003E1F75" w:rsidRDefault="003E1F75" w:rsidP="007B3E42">
                    <w:pPr>
                      <w:jc w:val="right"/>
                      <w:rPr>
                        <w:sz w:val="24"/>
                      </w:rPr>
                    </w:pPr>
                    <w:r>
                      <w:t>7.87</w:t>
                    </w:r>
                  </w:p>
                </w:tc>
                <w:tc>
                  <w:tcPr>
                    <w:tcW w:w="443" w:type="pct"/>
                    <w:vAlign w:val="center"/>
                  </w:tcPr>
                  <w:p w:rsidR="003E1F75" w:rsidRDefault="003E1F75" w:rsidP="007B3E42">
                    <w:pPr>
                      <w:jc w:val="right"/>
                      <w:rPr>
                        <w:sz w:val="24"/>
                      </w:rPr>
                    </w:pPr>
                    <w:r>
                      <w:t>4.57</w:t>
                    </w:r>
                  </w:p>
                </w:tc>
                <w:tc>
                  <w:tcPr>
                    <w:tcW w:w="684" w:type="pct"/>
                  </w:tcPr>
                  <w:p w:rsidR="003E1F75" w:rsidRDefault="003E1F75" w:rsidP="008163BB">
                    <w:pPr>
                      <w:jc w:val="left"/>
                      <w:rPr>
                        <w:szCs w:val="21"/>
                      </w:rPr>
                    </w:pPr>
                  </w:p>
                </w:tc>
              </w:tr>
            </w:sdtContent>
          </w:sdt>
          <w:sdt>
            <w:sdtPr>
              <w:rPr>
                <w:rFonts w:ascii="Calibri" w:eastAsiaTheme="minorEastAsia" w:hAnsi="Calibri" w:cstheme="minorBidi"/>
                <w:kern w:val="2"/>
                <w:szCs w:val="21"/>
              </w:rPr>
              <w:alias w:val="分行业成本分析"/>
              <w:tag w:val="_TUP_fb9e3026efbd4a2c91fdedd10a926f41"/>
              <w:id w:val="713829"/>
              <w:lock w:val="sdtLocked"/>
            </w:sdtPr>
            <w:sdtContent>
              <w:tr w:rsidR="003E1F75" w:rsidTr="003E1F75">
                <w:trPr>
                  <w:trHeight w:val="165"/>
                </w:trPr>
                <w:tc>
                  <w:tcPr>
                    <w:tcW w:w="215" w:type="pct"/>
                  </w:tcPr>
                  <w:p w:rsidR="003E1F75" w:rsidRDefault="003E1F75" w:rsidP="008163BB">
                    <w:pPr>
                      <w:jc w:val="left"/>
                      <w:rPr>
                        <w:rFonts w:ascii="Calibri" w:hAnsi="Calibri"/>
                        <w:szCs w:val="21"/>
                      </w:rPr>
                    </w:pPr>
                  </w:p>
                </w:tc>
                <w:tc>
                  <w:tcPr>
                    <w:tcW w:w="998" w:type="pct"/>
                    <w:vAlign w:val="center"/>
                  </w:tcPr>
                  <w:p w:rsidR="003E1F75" w:rsidRDefault="003E1F75">
                    <w:pPr>
                      <w:rPr>
                        <w:sz w:val="24"/>
                      </w:rPr>
                    </w:pPr>
                    <w:r>
                      <w:t>货车使用费</w:t>
                    </w:r>
                  </w:p>
                </w:tc>
                <w:tc>
                  <w:tcPr>
                    <w:tcW w:w="856" w:type="pct"/>
                    <w:vAlign w:val="center"/>
                  </w:tcPr>
                  <w:p w:rsidR="003E1F75" w:rsidRDefault="003E1F75" w:rsidP="007B3E42">
                    <w:pPr>
                      <w:jc w:val="right"/>
                      <w:rPr>
                        <w:sz w:val="24"/>
                      </w:rPr>
                    </w:pPr>
                    <w:r>
                      <w:t>3,363,897,819</w:t>
                    </w:r>
                  </w:p>
                </w:tc>
                <w:tc>
                  <w:tcPr>
                    <w:tcW w:w="491" w:type="pct"/>
                    <w:vAlign w:val="center"/>
                  </w:tcPr>
                  <w:p w:rsidR="003E1F75" w:rsidRDefault="003E1F75" w:rsidP="007B3E42">
                    <w:pPr>
                      <w:jc w:val="right"/>
                      <w:rPr>
                        <w:sz w:val="24"/>
                      </w:rPr>
                    </w:pPr>
                    <w:r>
                      <w:t>5.55</w:t>
                    </w:r>
                  </w:p>
                </w:tc>
                <w:tc>
                  <w:tcPr>
                    <w:tcW w:w="856" w:type="pct"/>
                    <w:vAlign w:val="center"/>
                  </w:tcPr>
                  <w:p w:rsidR="003E1F75" w:rsidRDefault="003E1F75" w:rsidP="007B3E42">
                    <w:pPr>
                      <w:jc w:val="right"/>
                      <w:rPr>
                        <w:sz w:val="24"/>
                      </w:rPr>
                    </w:pPr>
                    <w:r>
                      <w:t>3,165,350,252</w:t>
                    </w:r>
                  </w:p>
                </w:tc>
                <w:tc>
                  <w:tcPr>
                    <w:tcW w:w="458" w:type="pct"/>
                    <w:vAlign w:val="center"/>
                  </w:tcPr>
                  <w:p w:rsidR="003E1F75" w:rsidRDefault="003E1F75" w:rsidP="007B3E42">
                    <w:pPr>
                      <w:jc w:val="right"/>
                      <w:rPr>
                        <w:sz w:val="24"/>
                      </w:rPr>
                    </w:pPr>
                    <w:r>
                      <w:t>5.15</w:t>
                    </w:r>
                  </w:p>
                </w:tc>
                <w:tc>
                  <w:tcPr>
                    <w:tcW w:w="443" w:type="pct"/>
                    <w:vAlign w:val="center"/>
                  </w:tcPr>
                  <w:p w:rsidR="003E1F75" w:rsidRDefault="003E1F75" w:rsidP="007B3E42">
                    <w:pPr>
                      <w:jc w:val="right"/>
                      <w:rPr>
                        <w:sz w:val="24"/>
                      </w:rPr>
                    </w:pPr>
                    <w:r>
                      <w:t>6.27</w:t>
                    </w:r>
                  </w:p>
                </w:tc>
                <w:tc>
                  <w:tcPr>
                    <w:tcW w:w="684" w:type="pct"/>
                  </w:tcPr>
                  <w:p w:rsidR="003E1F75" w:rsidRDefault="003E1F75" w:rsidP="008163BB">
                    <w:pPr>
                      <w:jc w:val="left"/>
                      <w:rPr>
                        <w:szCs w:val="21"/>
                      </w:rPr>
                    </w:pPr>
                  </w:p>
                </w:tc>
              </w:tr>
            </w:sdtContent>
          </w:sdt>
          <w:sdt>
            <w:sdtPr>
              <w:rPr>
                <w:rFonts w:ascii="Calibri" w:eastAsiaTheme="minorEastAsia" w:hAnsi="Calibri" w:cstheme="minorBidi"/>
                <w:kern w:val="2"/>
                <w:szCs w:val="21"/>
              </w:rPr>
              <w:alias w:val="分行业成本分析"/>
              <w:tag w:val="_TUP_fb9e3026efbd4a2c91fdedd10a926f41"/>
              <w:id w:val="713830"/>
              <w:lock w:val="sdtLocked"/>
            </w:sdtPr>
            <w:sdtContent>
              <w:tr w:rsidR="003E1F75" w:rsidTr="003E1F75">
                <w:trPr>
                  <w:trHeight w:val="165"/>
                </w:trPr>
                <w:tc>
                  <w:tcPr>
                    <w:tcW w:w="215" w:type="pct"/>
                  </w:tcPr>
                  <w:p w:rsidR="003E1F75" w:rsidRDefault="003E1F75" w:rsidP="008163BB">
                    <w:pPr>
                      <w:jc w:val="left"/>
                      <w:rPr>
                        <w:rFonts w:ascii="Calibri" w:hAnsi="Calibri"/>
                        <w:szCs w:val="21"/>
                      </w:rPr>
                    </w:pPr>
                  </w:p>
                </w:tc>
                <w:tc>
                  <w:tcPr>
                    <w:tcW w:w="998" w:type="pct"/>
                    <w:vAlign w:val="center"/>
                  </w:tcPr>
                  <w:p w:rsidR="003E1F75" w:rsidRDefault="003E1F75">
                    <w:pPr>
                      <w:rPr>
                        <w:sz w:val="24"/>
                      </w:rPr>
                    </w:pPr>
                    <w:r>
                      <w:t>客运服务费</w:t>
                    </w:r>
                  </w:p>
                </w:tc>
                <w:tc>
                  <w:tcPr>
                    <w:tcW w:w="856" w:type="pct"/>
                    <w:vAlign w:val="center"/>
                  </w:tcPr>
                  <w:p w:rsidR="003E1F75" w:rsidRDefault="003E1F75" w:rsidP="007B3E42">
                    <w:pPr>
                      <w:jc w:val="right"/>
                      <w:rPr>
                        <w:sz w:val="24"/>
                      </w:rPr>
                    </w:pPr>
                    <w:r>
                      <w:t>3,653,545,215</w:t>
                    </w:r>
                  </w:p>
                </w:tc>
                <w:tc>
                  <w:tcPr>
                    <w:tcW w:w="491" w:type="pct"/>
                    <w:vAlign w:val="center"/>
                  </w:tcPr>
                  <w:p w:rsidR="003E1F75" w:rsidRDefault="003E1F75" w:rsidP="007B3E42">
                    <w:pPr>
                      <w:jc w:val="right"/>
                      <w:rPr>
                        <w:sz w:val="24"/>
                      </w:rPr>
                    </w:pPr>
                    <w:r>
                      <w:t>6.03</w:t>
                    </w:r>
                  </w:p>
                </w:tc>
                <w:tc>
                  <w:tcPr>
                    <w:tcW w:w="856" w:type="pct"/>
                    <w:vAlign w:val="center"/>
                  </w:tcPr>
                  <w:p w:rsidR="003E1F75" w:rsidRDefault="003E1F75" w:rsidP="007B3E42">
                    <w:pPr>
                      <w:jc w:val="right"/>
                      <w:rPr>
                        <w:sz w:val="24"/>
                      </w:rPr>
                    </w:pPr>
                    <w:r>
                      <w:t>4,933,407,832</w:t>
                    </w:r>
                  </w:p>
                </w:tc>
                <w:tc>
                  <w:tcPr>
                    <w:tcW w:w="458" w:type="pct"/>
                    <w:vAlign w:val="center"/>
                  </w:tcPr>
                  <w:p w:rsidR="003E1F75" w:rsidRDefault="003E1F75" w:rsidP="007B3E42">
                    <w:pPr>
                      <w:jc w:val="right"/>
                      <w:rPr>
                        <w:sz w:val="24"/>
                      </w:rPr>
                    </w:pPr>
                    <w:r>
                      <w:t>8.02</w:t>
                    </w:r>
                  </w:p>
                </w:tc>
                <w:tc>
                  <w:tcPr>
                    <w:tcW w:w="443" w:type="pct"/>
                    <w:vAlign w:val="center"/>
                  </w:tcPr>
                  <w:p w:rsidR="003E1F75" w:rsidRDefault="003E1F75" w:rsidP="007B3E42">
                    <w:pPr>
                      <w:jc w:val="right"/>
                      <w:rPr>
                        <w:sz w:val="24"/>
                      </w:rPr>
                    </w:pPr>
                    <w:r>
                      <w:t>-25.94</w:t>
                    </w:r>
                  </w:p>
                </w:tc>
                <w:tc>
                  <w:tcPr>
                    <w:tcW w:w="684" w:type="pct"/>
                  </w:tcPr>
                  <w:p w:rsidR="003E1F75" w:rsidRDefault="003E1F75" w:rsidP="008163BB">
                    <w:pPr>
                      <w:jc w:val="left"/>
                      <w:rPr>
                        <w:szCs w:val="21"/>
                      </w:rPr>
                    </w:pPr>
                  </w:p>
                </w:tc>
              </w:tr>
            </w:sdtContent>
          </w:sdt>
          <w:sdt>
            <w:sdtPr>
              <w:rPr>
                <w:rFonts w:ascii="Calibri" w:eastAsiaTheme="minorEastAsia" w:hAnsi="Calibri" w:cstheme="minorBidi"/>
                <w:kern w:val="2"/>
                <w:szCs w:val="21"/>
              </w:rPr>
              <w:alias w:val="分行业成本分析"/>
              <w:tag w:val="_TUP_fb9e3026efbd4a2c91fdedd10a926f41"/>
              <w:id w:val="713831"/>
              <w:lock w:val="sdtLocked"/>
            </w:sdtPr>
            <w:sdtContent>
              <w:tr w:rsidR="003E1F75" w:rsidTr="003E1F75">
                <w:trPr>
                  <w:trHeight w:val="165"/>
                </w:trPr>
                <w:tc>
                  <w:tcPr>
                    <w:tcW w:w="215" w:type="pct"/>
                  </w:tcPr>
                  <w:p w:rsidR="003E1F75" w:rsidRDefault="003E1F75" w:rsidP="008163BB">
                    <w:pPr>
                      <w:jc w:val="left"/>
                      <w:rPr>
                        <w:rFonts w:ascii="Calibri" w:hAnsi="Calibri"/>
                        <w:szCs w:val="21"/>
                      </w:rPr>
                    </w:pPr>
                  </w:p>
                </w:tc>
                <w:tc>
                  <w:tcPr>
                    <w:tcW w:w="998" w:type="pct"/>
                    <w:vAlign w:val="center"/>
                  </w:tcPr>
                  <w:p w:rsidR="003E1F75" w:rsidRDefault="003E1F75">
                    <w:pPr>
                      <w:rPr>
                        <w:sz w:val="24"/>
                      </w:rPr>
                    </w:pPr>
                    <w:r>
                      <w:t>电力及燃料</w:t>
                    </w:r>
                  </w:p>
                </w:tc>
                <w:tc>
                  <w:tcPr>
                    <w:tcW w:w="856" w:type="pct"/>
                    <w:vAlign w:val="center"/>
                  </w:tcPr>
                  <w:p w:rsidR="003E1F75" w:rsidRDefault="003E1F75" w:rsidP="007B3E42">
                    <w:pPr>
                      <w:jc w:val="right"/>
                      <w:rPr>
                        <w:sz w:val="24"/>
                      </w:rPr>
                    </w:pPr>
                    <w:r>
                      <w:t>3,246,122,133</w:t>
                    </w:r>
                  </w:p>
                </w:tc>
                <w:tc>
                  <w:tcPr>
                    <w:tcW w:w="491" w:type="pct"/>
                    <w:vAlign w:val="center"/>
                  </w:tcPr>
                  <w:p w:rsidR="003E1F75" w:rsidRDefault="003E1F75" w:rsidP="007B3E42">
                    <w:pPr>
                      <w:jc w:val="right"/>
                      <w:rPr>
                        <w:sz w:val="24"/>
                      </w:rPr>
                    </w:pPr>
                    <w:r>
                      <w:t>5.35</w:t>
                    </w:r>
                  </w:p>
                </w:tc>
                <w:tc>
                  <w:tcPr>
                    <w:tcW w:w="856" w:type="pct"/>
                    <w:vAlign w:val="center"/>
                  </w:tcPr>
                  <w:p w:rsidR="003E1F75" w:rsidRDefault="003E1F75" w:rsidP="007B3E42">
                    <w:pPr>
                      <w:jc w:val="right"/>
                      <w:rPr>
                        <w:sz w:val="24"/>
                      </w:rPr>
                    </w:pPr>
                    <w:r>
                      <w:t>2,908,562,773</w:t>
                    </w:r>
                  </w:p>
                </w:tc>
                <w:tc>
                  <w:tcPr>
                    <w:tcW w:w="458" w:type="pct"/>
                    <w:vAlign w:val="center"/>
                  </w:tcPr>
                  <w:p w:rsidR="003E1F75" w:rsidRDefault="003E1F75" w:rsidP="007B3E42">
                    <w:pPr>
                      <w:jc w:val="right"/>
                      <w:rPr>
                        <w:sz w:val="24"/>
                      </w:rPr>
                    </w:pPr>
                    <w:r>
                      <w:t>4.73</w:t>
                    </w:r>
                  </w:p>
                </w:tc>
                <w:tc>
                  <w:tcPr>
                    <w:tcW w:w="443" w:type="pct"/>
                    <w:vAlign w:val="center"/>
                  </w:tcPr>
                  <w:p w:rsidR="003E1F75" w:rsidRDefault="003E1F75" w:rsidP="007B3E42">
                    <w:pPr>
                      <w:jc w:val="right"/>
                      <w:rPr>
                        <w:sz w:val="24"/>
                      </w:rPr>
                    </w:pPr>
                    <w:r>
                      <w:t>11.61</w:t>
                    </w:r>
                  </w:p>
                </w:tc>
                <w:tc>
                  <w:tcPr>
                    <w:tcW w:w="684" w:type="pct"/>
                  </w:tcPr>
                  <w:p w:rsidR="003E1F75" w:rsidRDefault="003E1F75" w:rsidP="008163BB">
                    <w:pPr>
                      <w:jc w:val="left"/>
                      <w:rPr>
                        <w:szCs w:val="21"/>
                      </w:rPr>
                    </w:pPr>
                  </w:p>
                </w:tc>
              </w:tr>
            </w:sdtContent>
          </w:sdt>
          <w:sdt>
            <w:sdtPr>
              <w:rPr>
                <w:rFonts w:ascii="Calibri" w:eastAsiaTheme="minorEastAsia" w:hAnsi="Calibri" w:cstheme="minorBidi"/>
                <w:kern w:val="2"/>
                <w:szCs w:val="21"/>
              </w:rPr>
              <w:alias w:val="分行业成本分析"/>
              <w:tag w:val="_TUP_fb9e3026efbd4a2c91fdedd10a926f41"/>
              <w:id w:val="713832"/>
              <w:lock w:val="sdtLocked"/>
            </w:sdtPr>
            <w:sdtContent>
              <w:tr w:rsidR="003E1F75" w:rsidTr="003E1F75">
                <w:trPr>
                  <w:trHeight w:val="165"/>
                </w:trPr>
                <w:tc>
                  <w:tcPr>
                    <w:tcW w:w="215" w:type="pct"/>
                  </w:tcPr>
                  <w:p w:rsidR="003E1F75" w:rsidRDefault="003E1F75" w:rsidP="008163BB">
                    <w:pPr>
                      <w:jc w:val="left"/>
                      <w:rPr>
                        <w:rFonts w:ascii="Calibri" w:hAnsi="Calibri"/>
                        <w:szCs w:val="21"/>
                      </w:rPr>
                    </w:pPr>
                  </w:p>
                </w:tc>
                <w:tc>
                  <w:tcPr>
                    <w:tcW w:w="998" w:type="pct"/>
                    <w:vAlign w:val="center"/>
                  </w:tcPr>
                  <w:p w:rsidR="003E1F75" w:rsidRDefault="003E1F75">
                    <w:pPr>
                      <w:rPr>
                        <w:sz w:val="24"/>
                      </w:rPr>
                    </w:pPr>
                    <w:r>
                      <w:t>货运服务费</w:t>
                    </w:r>
                  </w:p>
                </w:tc>
                <w:tc>
                  <w:tcPr>
                    <w:tcW w:w="856" w:type="pct"/>
                    <w:vAlign w:val="center"/>
                  </w:tcPr>
                  <w:p w:rsidR="003E1F75" w:rsidRDefault="003E1F75" w:rsidP="007B3E42">
                    <w:pPr>
                      <w:jc w:val="right"/>
                      <w:rPr>
                        <w:sz w:val="24"/>
                      </w:rPr>
                    </w:pPr>
                    <w:r>
                      <w:t>17,227,151,726</w:t>
                    </w:r>
                  </w:p>
                </w:tc>
                <w:tc>
                  <w:tcPr>
                    <w:tcW w:w="491" w:type="pct"/>
                    <w:vAlign w:val="center"/>
                  </w:tcPr>
                  <w:p w:rsidR="003E1F75" w:rsidRDefault="003E1F75" w:rsidP="007B3E42">
                    <w:pPr>
                      <w:jc w:val="right"/>
                      <w:rPr>
                        <w:sz w:val="24"/>
                      </w:rPr>
                    </w:pPr>
                    <w:r>
                      <w:t>28.41</w:t>
                    </w:r>
                  </w:p>
                </w:tc>
                <w:tc>
                  <w:tcPr>
                    <w:tcW w:w="856" w:type="pct"/>
                    <w:vAlign w:val="center"/>
                  </w:tcPr>
                  <w:p w:rsidR="003E1F75" w:rsidRDefault="003E1F75" w:rsidP="007B3E42">
                    <w:pPr>
                      <w:jc w:val="right"/>
                      <w:rPr>
                        <w:sz w:val="24"/>
                      </w:rPr>
                    </w:pPr>
                    <w:r>
                      <w:t>17,226,754,967</w:t>
                    </w:r>
                  </w:p>
                </w:tc>
                <w:tc>
                  <w:tcPr>
                    <w:tcW w:w="458" w:type="pct"/>
                    <w:vAlign w:val="center"/>
                  </w:tcPr>
                  <w:p w:rsidR="003E1F75" w:rsidRDefault="003E1F75" w:rsidP="007B3E42">
                    <w:pPr>
                      <w:jc w:val="right"/>
                      <w:rPr>
                        <w:sz w:val="24"/>
                      </w:rPr>
                    </w:pPr>
                    <w:r>
                      <w:t>28.01</w:t>
                    </w:r>
                  </w:p>
                </w:tc>
                <w:tc>
                  <w:tcPr>
                    <w:tcW w:w="443" w:type="pct"/>
                    <w:vAlign w:val="center"/>
                  </w:tcPr>
                  <w:p w:rsidR="003E1F75" w:rsidRDefault="003E1F75" w:rsidP="007B3E42">
                    <w:pPr>
                      <w:jc w:val="right"/>
                      <w:rPr>
                        <w:sz w:val="24"/>
                      </w:rPr>
                    </w:pPr>
                    <w:r>
                      <w:t>0.00</w:t>
                    </w:r>
                  </w:p>
                </w:tc>
                <w:tc>
                  <w:tcPr>
                    <w:tcW w:w="684" w:type="pct"/>
                  </w:tcPr>
                  <w:p w:rsidR="003E1F75" w:rsidRDefault="003E1F75" w:rsidP="008163BB">
                    <w:pPr>
                      <w:jc w:val="left"/>
                      <w:rPr>
                        <w:szCs w:val="21"/>
                      </w:rPr>
                    </w:pPr>
                  </w:p>
                </w:tc>
              </w:tr>
            </w:sdtContent>
          </w:sdt>
          <w:sdt>
            <w:sdtPr>
              <w:rPr>
                <w:rFonts w:ascii="Calibri" w:eastAsiaTheme="minorEastAsia" w:hAnsi="Calibri" w:cstheme="minorBidi"/>
                <w:kern w:val="2"/>
                <w:szCs w:val="21"/>
              </w:rPr>
              <w:alias w:val="分行业成本分析"/>
              <w:tag w:val="_TUP_fb9e3026efbd4a2c91fdedd10a926f41"/>
              <w:id w:val="713833"/>
              <w:lock w:val="sdtLocked"/>
            </w:sdtPr>
            <w:sdtContent>
              <w:tr w:rsidR="003E1F75" w:rsidTr="003E1F75">
                <w:trPr>
                  <w:trHeight w:val="165"/>
                </w:trPr>
                <w:tc>
                  <w:tcPr>
                    <w:tcW w:w="215" w:type="pct"/>
                  </w:tcPr>
                  <w:p w:rsidR="003E1F75" w:rsidRDefault="003E1F75" w:rsidP="008163BB">
                    <w:pPr>
                      <w:jc w:val="left"/>
                      <w:rPr>
                        <w:rFonts w:ascii="Calibri" w:hAnsi="Calibri"/>
                        <w:szCs w:val="21"/>
                      </w:rPr>
                    </w:pPr>
                  </w:p>
                </w:tc>
                <w:tc>
                  <w:tcPr>
                    <w:tcW w:w="998" w:type="pct"/>
                    <w:vAlign w:val="center"/>
                  </w:tcPr>
                  <w:p w:rsidR="003E1F75" w:rsidRDefault="003E1F75">
                    <w:pPr>
                      <w:rPr>
                        <w:sz w:val="24"/>
                      </w:rPr>
                    </w:pPr>
                    <w:r>
                      <w:t>材料</w:t>
                    </w:r>
                  </w:p>
                </w:tc>
                <w:tc>
                  <w:tcPr>
                    <w:tcW w:w="856" w:type="pct"/>
                    <w:vAlign w:val="center"/>
                  </w:tcPr>
                  <w:p w:rsidR="003E1F75" w:rsidRDefault="003E1F75" w:rsidP="007B3E42">
                    <w:pPr>
                      <w:jc w:val="right"/>
                      <w:rPr>
                        <w:sz w:val="24"/>
                      </w:rPr>
                    </w:pPr>
                    <w:r>
                      <w:t>1,209,514,871</w:t>
                    </w:r>
                  </w:p>
                </w:tc>
                <w:tc>
                  <w:tcPr>
                    <w:tcW w:w="491" w:type="pct"/>
                    <w:vAlign w:val="center"/>
                  </w:tcPr>
                  <w:p w:rsidR="003E1F75" w:rsidRDefault="003E1F75" w:rsidP="007B3E42">
                    <w:pPr>
                      <w:jc w:val="right"/>
                      <w:rPr>
                        <w:sz w:val="24"/>
                      </w:rPr>
                    </w:pPr>
                    <w:r>
                      <w:t>1.99</w:t>
                    </w:r>
                  </w:p>
                </w:tc>
                <w:tc>
                  <w:tcPr>
                    <w:tcW w:w="856" w:type="pct"/>
                    <w:vAlign w:val="center"/>
                  </w:tcPr>
                  <w:p w:rsidR="003E1F75" w:rsidRDefault="003E1F75" w:rsidP="007B3E42">
                    <w:pPr>
                      <w:jc w:val="right"/>
                      <w:rPr>
                        <w:sz w:val="24"/>
                      </w:rPr>
                    </w:pPr>
                    <w:r>
                      <w:t>1,376,587,694</w:t>
                    </w:r>
                  </w:p>
                </w:tc>
                <w:tc>
                  <w:tcPr>
                    <w:tcW w:w="458" w:type="pct"/>
                    <w:vAlign w:val="center"/>
                  </w:tcPr>
                  <w:p w:rsidR="003E1F75" w:rsidRDefault="003E1F75" w:rsidP="007B3E42">
                    <w:pPr>
                      <w:jc w:val="right"/>
                      <w:rPr>
                        <w:sz w:val="24"/>
                      </w:rPr>
                    </w:pPr>
                    <w:r>
                      <w:t>2.24</w:t>
                    </w:r>
                  </w:p>
                </w:tc>
                <w:tc>
                  <w:tcPr>
                    <w:tcW w:w="443" w:type="pct"/>
                    <w:vAlign w:val="center"/>
                  </w:tcPr>
                  <w:p w:rsidR="003E1F75" w:rsidRDefault="003E1F75" w:rsidP="007B3E42">
                    <w:pPr>
                      <w:jc w:val="right"/>
                      <w:rPr>
                        <w:sz w:val="24"/>
                      </w:rPr>
                    </w:pPr>
                    <w:r>
                      <w:t>-12.14</w:t>
                    </w:r>
                  </w:p>
                </w:tc>
                <w:tc>
                  <w:tcPr>
                    <w:tcW w:w="684" w:type="pct"/>
                  </w:tcPr>
                  <w:p w:rsidR="003E1F75" w:rsidRDefault="003E1F75" w:rsidP="008163BB">
                    <w:pPr>
                      <w:jc w:val="left"/>
                      <w:rPr>
                        <w:szCs w:val="21"/>
                      </w:rPr>
                    </w:pPr>
                  </w:p>
                </w:tc>
              </w:tr>
            </w:sdtContent>
          </w:sdt>
          <w:sdt>
            <w:sdtPr>
              <w:rPr>
                <w:rFonts w:ascii="Calibri" w:eastAsiaTheme="minorEastAsia" w:hAnsi="Calibri" w:cstheme="minorBidi"/>
                <w:kern w:val="2"/>
                <w:szCs w:val="21"/>
              </w:rPr>
              <w:alias w:val="分行业成本分析"/>
              <w:tag w:val="_TUP_fb9e3026efbd4a2c91fdedd10a926f41"/>
              <w:id w:val="713834"/>
              <w:lock w:val="sdtLocked"/>
            </w:sdtPr>
            <w:sdtEndPr>
              <w:rPr>
                <w:sz w:val="18"/>
                <w:szCs w:val="18"/>
              </w:rPr>
            </w:sdtEndPr>
            <w:sdtContent>
              <w:tr w:rsidR="003E1F75" w:rsidTr="003E1F75">
                <w:trPr>
                  <w:trHeight w:val="165"/>
                </w:trPr>
                <w:tc>
                  <w:tcPr>
                    <w:tcW w:w="215" w:type="pct"/>
                  </w:tcPr>
                  <w:p w:rsidR="003E1F75" w:rsidRDefault="003E1F75" w:rsidP="008163BB">
                    <w:pPr>
                      <w:jc w:val="left"/>
                      <w:rPr>
                        <w:rFonts w:ascii="Calibri" w:hAnsi="Calibri"/>
                        <w:szCs w:val="21"/>
                      </w:rPr>
                    </w:pPr>
                  </w:p>
                </w:tc>
                <w:tc>
                  <w:tcPr>
                    <w:tcW w:w="998" w:type="pct"/>
                    <w:vAlign w:val="center"/>
                  </w:tcPr>
                  <w:p w:rsidR="003E1F75" w:rsidRDefault="003E1F75">
                    <w:pPr>
                      <w:rPr>
                        <w:sz w:val="24"/>
                      </w:rPr>
                    </w:pPr>
                    <w:r>
                      <w:t>大修支出</w:t>
                    </w:r>
                  </w:p>
                </w:tc>
                <w:tc>
                  <w:tcPr>
                    <w:tcW w:w="856" w:type="pct"/>
                    <w:vAlign w:val="center"/>
                  </w:tcPr>
                  <w:p w:rsidR="003E1F75" w:rsidRDefault="003E1F75" w:rsidP="007B3E42">
                    <w:pPr>
                      <w:jc w:val="right"/>
                      <w:rPr>
                        <w:sz w:val="24"/>
                      </w:rPr>
                    </w:pPr>
                    <w:r>
                      <w:t>336,985,733</w:t>
                    </w:r>
                  </w:p>
                </w:tc>
                <w:tc>
                  <w:tcPr>
                    <w:tcW w:w="491" w:type="pct"/>
                    <w:vAlign w:val="center"/>
                  </w:tcPr>
                  <w:p w:rsidR="003E1F75" w:rsidRDefault="003E1F75" w:rsidP="007B3E42">
                    <w:pPr>
                      <w:jc w:val="right"/>
                      <w:rPr>
                        <w:sz w:val="24"/>
                      </w:rPr>
                    </w:pPr>
                    <w:r>
                      <w:t>0.56</w:t>
                    </w:r>
                  </w:p>
                </w:tc>
                <w:tc>
                  <w:tcPr>
                    <w:tcW w:w="856" w:type="pct"/>
                    <w:vAlign w:val="center"/>
                  </w:tcPr>
                  <w:p w:rsidR="003E1F75" w:rsidRDefault="003E1F75" w:rsidP="007B3E42">
                    <w:pPr>
                      <w:jc w:val="right"/>
                      <w:rPr>
                        <w:sz w:val="24"/>
                      </w:rPr>
                    </w:pPr>
                    <w:r>
                      <w:t>229,324,571</w:t>
                    </w:r>
                  </w:p>
                </w:tc>
                <w:tc>
                  <w:tcPr>
                    <w:tcW w:w="458" w:type="pct"/>
                    <w:vAlign w:val="center"/>
                  </w:tcPr>
                  <w:p w:rsidR="003E1F75" w:rsidRDefault="003E1F75" w:rsidP="007B3E42">
                    <w:pPr>
                      <w:jc w:val="right"/>
                      <w:rPr>
                        <w:sz w:val="24"/>
                      </w:rPr>
                    </w:pPr>
                    <w:r>
                      <w:t>0.37</w:t>
                    </w:r>
                  </w:p>
                </w:tc>
                <w:tc>
                  <w:tcPr>
                    <w:tcW w:w="443" w:type="pct"/>
                    <w:vAlign w:val="center"/>
                  </w:tcPr>
                  <w:p w:rsidR="003E1F75" w:rsidRDefault="003E1F75" w:rsidP="007B3E42">
                    <w:pPr>
                      <w:jc w:val="right"/>
                      <w:rPr>
                        <w:sz w:val="24"/>
                      </w:rPr>
                    </w:pPr>
                    <w:r>
                      <w:t>46.95</w:t>
                    </w:r>
                  </w:p>
                </w:tc>
                <w:tc>
                  <w:tcPr>
                    <w:tcW w:w="684" w:type="pct"/>
                  </w:tcPr>
                  <w:p w:rsidR="003E1F75" w:rsidRPr="00C71468" w:rsidRDefault="003E1F75" w:rsidP="008163BB">
                    <w:pPr>
                      <w:jc w:val="left"/>
                      <w:rPr>
                        <w:sz w:val="18"/>
                        <w:szCs w:val="18"/>
                      </w:rPr>
                    </w:pPr>
                    <w:r w:rsidRPr="00C71468">
                      <w:rPr>
                        <w:rFonts w:hint="eastAsia"/>
                        <w:sz w:val="18"/>
                        <w:szCs w:val="18"/>
                      </w:rPr>
                      <w:t>本期大修工作量增加</w:t>
                    </w:r>
                  </w:p>
                </w:tc>
              </w:tr>
            </w:sdtContent>
          </w:sdt>
          <w:sdt>
            <w:sdtPr>
              <w:rPr>
                <w:rFonts w:ascii="Calibri" w:eastAsiaTheme="minorEastAsia" w:hAnsi="Calibri" w:cstheme="minorBidi"/>
                <w:kern w:val="2"/>
                <w:szCs w:val="21"/>
              </w:rPr>
              <w:alias w:val="分行业成本分析"/>
              <w:tag w:val="_TUP_fb9e3026efbd4a2c91fdedd10a926f41"/>
              <w:id w:val="713835"/>
              <w:lock w:val="sdtLocked"/>
            </w:sdtPr>
            <w:sdtEndPr>
              <w:rPr>
                <w:sz w:val="18"/>
                <w:szCs w:val="18"/>
              </w:rPr>
            </w:sdtEndPr>
            <w:sdtContent>
              <w:tr w:rsidR="003E1F75" w:rsidTr="003E1F75">
                <w:trPr>
                  <w:trHeight w:val="165"/>
                </w:trPr>
                <w:tc>
                  <w:tcPr>
                    <w:tcW w:w="215" w:type="pct"/>
                  </w:tcPr>
                  <w:p w:rsidR="003E1F75" w:rsidRDefault="003E1F75" w:rsidP="008163BB">
                    <w:pPr>
                      <w:jc w:val="left"/>
                      <w:rPr>
                        <w:rFonts w:ascii="Calibri" w:hAnsi="Calibri"/>
                        <w:szCs w:val="21"/>
                      </w:rPr>
                    </w:pPr>
                  </w:p>
                </w:tc>
                <w:tc>
                  <w:tcPr>
                    <w:tcW w:w="998" w:type="pct"/>
                    <w:vAlign w:val="center"/>
                  </w:tcPr>
                  <w:p w:rsidR="003E1F75" w:rsidRDefault="003E1F75">
                    <w:pPr>
                      <w:rPr>
                        <w:sz w:val="24"/>
                      </w:rPr>
                    </w:pPr>
                    <w:r>
                      <w:t>机客车租赁费</w:t>
                    </w:r>
                  </w:p>
                </w:tc>
                <w:tc>
                  <w:tcPr>
                    <w:tcW w:w="856" w:type="pct"/>
                    <w:vAlign w:val="center"/>
                  </w:tcPr>
                  <w:p w:rsidR="003E1F75" w:rsidRDefault="003E1F75" w:rsidP="007B3E42">
                    <w:pPr>
                      <w:jc w:val="right"/>
                      <w:rPr>
                        <w:sz w:val="24"/>
                      </w:rPr>
                    </w:pPr>
                    <w:r>
                      <w:t>913,001,297</w:t>
                    </w:r>
                  </w:p>
                </w:tc>
                <w:tc>
                  <w:tcPr>
                    <w:tcW w:w="491" w:type="pct"/>
                    <w:vAlign w:val="center"/>
                  </w:tcPr>
                  <w:p w:rsidR="003E1F75" w:rsidRDefault="003E1F75" w:rsidP="007B3E42">
                    <w:pPr>
                      <w:jc w:val="right"/>
                      <w:rPr>
                        <w:sz w:val="24"/>
                      </w:rPr>
                    </w:pPr>
                    <w:r>
                      <w:t>1.51</w:t>
                    </w:r>
                  </w:p>
                </w:tc>
                <w:tc>
                  <w:tcPr>
                    <w:tcW w:w="856" w:type="pct"/>
                    <w:vAlign w:val="center"/>
                  </w:tcPr>
                  <w:p w:rsidR="003E1F75" w:rsidRDefault="003E1F75" w:rsidP="007B3E42">
                    <w:pPr>
                      <w:jc w:val="right"/>
                      <w:rPr>
                        <w:sz w:val="24"/>
                      </w:rPr>
                    </w:pPr>
                    <w:r>
                      <w:t>1,131,163,635</w:t>
                    </w:r>
                  </w:p>
                </w:tc>
                <w:tc>
                  <w:tcPr>
                    <w:tcW w:w="458" w:type="pct"/>
                    <w:vAlign w:val="center"/>
                  </w:tcPr>
                  <w:p w:rsidR="003E1F75" w:rsidRDefault="003E1F75" w:rsidP="007B3E42">
                    <w:pPr>
                      <w:jc w:val="right"/>
                      <w:rPr>
                        <w:sz w:val="24"/>
                      </w:rPr>
                    </w:pPr>
                    <w:r>
                      <w:t>1.84</w:t>
                    </w:r>
                  </w:p>
                </w:tc>
                <w:tc>
                  <w:tcPr>
                    <w:tcW w:w="443" w:type="pct"/>
                    <w:vAlign w:val="center"/>
                  </w:tcPr>
                  <w:p w:rsidR="003E1F75" w:rsidRDefault="003E1F75" w:rsidP="007B3E42">
                    <w:pPr>
                      <w:jc w:val="right"/>
                      <w:rPr>
                        <w:sz w:val="24"/>
                      </w:rPr>
                    </w:pPr>
                    <w:r>
                      <w:t>-19.29</w:t>
                    </w:r>
                  </w:p>
                </w:tc>
                <w:tc>
                  <w:tcPr>
                    <w:tcW w:w="684" w:type="pct"/>
                  </w:tcPr>
                  <w:p w:rsidR="003E1F75" w:rsidRPr="00C71468" w:rsidRDefault="003E1F75" w:rsidP="008163BB">
                    <w:pPr>
                      <w:jc w:val="left"/>
                      <w:rPr>
                        <w:sz w:val="18"/>
                        <w:szCs w:val="18"/>
                      </w:rPr>
                    </w:pPr>
                  </w:p>
                </w:tc>
              </w:tr>
            </w:sdtContent>
          </w:sdt>
          <w:sdt>
            <w:sdtPr>
              <w:rPr>
                <w:rFonts w:ascii="Calibri" w:eastAsiaTheme="minorEastAsia" w:hAnsi="Calibri" w:cstheme="minorBidi"/>
                <w:kern w:val="2"/>
                <w:szCs w:val="21"/>
              </w:rPr>
              <w:alias w:val="分行业成本分析"/>
              <w:tag w:val="_TUP_fb9e3026efbd4a2c91fdedd10a926f41"/>
              <w:id w:val="713836"/>
              <w:lock w:val="sdtLocked"/>
            </w:sdtPr>
            <w:sdtEndPr>
              <w:rPr>
                <w:sz w:val="18"/>
                <w:szCs w:val="18"/>
              </w:rPr>
            </w:sdtEndPr>
            <w:sdtContent>
              <w:tr w:rsidR="003E1F75" w:rsidTr="003E1F75">
                <w:trPr>
                  <w:trHeight w:val="165"/>
                </w:trPr>
                <w:tc>
                  <w:tcPr>
                    <w:tcW w:w="215" w:type="pct"/>
                  </w:tcPr>
                  <w:p w:rsidR="003E1F75" w:rsidRDefault="003E1F75" w:rsidP="008163BB">
                    <w:pPr>
                      <w:jc w:val="left"/>
                      <w:rPr>
                        <w:rFonts w:ascii="Calibri" w:hAnsi="Calibri"/>
                        <w:szCs w:val="21"/>
                      </w:rPr>
                    </w:pPr>
                  </w:p>
                </w:tc>
                <w:tc>
                  <w:tcPr>
                    <w:tcW w:w="998" w:type="pct"/>
                    <w:vAlign w:val="center"/>
                  </w:tcPr>
                  <w:p w:rsidR="003E1F75" w:rsidRDefault="003E1F75">
                    <w:pPr>
                      <w:rPr>
                        <w:sz w:val="24"/>
                      </w:rPr>
                    </w:pPr>
                    <w:r>
                      <w:t>土地房屋租赁费</w:t>
                    </w:r>
                  </w:p>
                </w:tc>
                <w:tc>
                  <w:tcPr>
                    <w:tcW w:w="856" w:type="pct"/>
                    <w:vAlign w:val="center"/>
                  </w:tcPr>
                  <w:p w:rsidR="003E1F75" w:rsidRDefault="003E1F75" w:rsidP="007B3E42">
                    <w:pPr>
                      <w:jc w:val="right"/>
                      <w:rPr>
                        <w:sz w:val="24"/>
                      </w:rPr>
                    </w:pPr>
                    <w:r>
                      <w:t>704,797,615</w:t>
                    </w:r>
                  </w:p>
                </w:tc>
                <w:tc>
                  <w:tcPr>
                    <w:tcW w:w="491" w:type="pct"/>
                    <w:vAlign w:val="center"/>
                  </w:tcPr>
                  <w:p w:rsidR="003E1F75" w:rsidRDefault="003E1F75" w:rsidP="007B3E42">
                    <w:pPr>
                      <w:jc w:val="right"/>
                      <w:rPr>
                        <w:sz w:val="24"/>
                      </w:rPr>
                    </w:pPr>
                    <w:r>
                      <w:t>1.16</w:t>
                    </w:r>
                  </w:p>
                </w:tc>
                <w:tc>
                  <w:tcPr>
                    <w:tcW w:w="856" w:type="pct"/>
                    <w:vAlign w:val="center"/>
                  </w:tcPr>
                  <w:p w:rsidR="003E1F75" w:rsidRDefault="003E1F75" w:rsidP="007B3E42">
                    <w:pPr>
                      <w:jc w:val="right"/>
                      <w:rPr>
                        <w:sz w:val="24"/>
                      </w:rPr>
                    </w:pPr>
                    <w:r>
                      <w:t>731,098,308</w:t>
                    </w:r>
                  </w:p>
                </w:tc>
                <w:tc>
                  <w:tcPr>
                    <w:tcW w:w="458" w:type="pct"/>
                    <w:vAlign w:val="center"/>
                  </w:tcPr>
                  <w:p w:rsidR="003E1F75" w:rsidRDefault="003E1F75" w:rsidP="007B3E42">
                    <w:pPr>
                      <w:jc w:val="right"/>
                      <w:rPr>
                        <w:sz w:val="24"/>
                      </w:rPr>
                    </w:pPr>
                    <w:r>
                      <w:t>1.19</w:t>
                    </w:r>
                  </w:p>
                </w:tc>
                <w:tc>
                  <w:tcPr>
                    <w:tcW w:w="443" w:type="pct"/>
                    <w:vAlign w:val="center"/>
                  </w:tcPr>
                  <w:p w:rsidR="003E1F75" w:rsidRDefault="003E1F75" w:rsidP="007B3E42">
                    <w:pPr>
                      <w:jc w:val="right"/>
                      <w:rPr>
                        <w:sz w:val="24"/>
                      </w:rPr>
                    </w:pPr>
                    <w:r>
                      <w:t>-3.60</w:t>
                    </w:r>
                  </w:p>
                </w:tc>
                <w:tc>
                  <w:tcPr>
                    <w:tcW w:w="684" w:type="pct"/>
                  </w:tcPr>
                  <w:p w:rsidR="003E1F75" w:rsidRPr="00C71468" w:rsidRDefault="003E1F75" w:rsidP="008163BB">
                    <w:pPr>
                      <w:jc w:val="left"/>
                      <w:rPr>
                        <w:sz w:val="18"/>
                        <w:szCs w:val="18"/>
                      </w:rPr>
                    </w:pPr>
                  </w:p>
                </w:tc>
              </w:tr>
            </w:sdtContent>
          </w:sdt>
          <w:sdt>
            <w:sdtPr>
              <w:rPr>
                <w:rFonts w:ascii="Calibri" w:eastAsiaTheme="minorEastAsia" w:hAnsi="Calibri" w:cstheme="minorBidi"/>
                <w:kern w:val="2"/>
                <w:szCs w:val="21"/>
              </w:rPr>
              <w:alias w:val="分行业成本分析"/>
              <w:tag w:val="_TUP_fb9e3026efbd4a2c91fdedd10a926f41"/>
              <w:id w:val="713837"/>
              <w:lock w:val="sdtLocked"/>
            </w:sdtPr>
            <w:sdtEndPr>
              <w:rPr>
                <w:sz w:val="18"/>
                <w:szCs w:val="18"/>
              </w:rPr>
            </w:sdtEndPr>
            <w:sdtContent>
              <w:tr w:rsidR="003E1F75" w:rsidTr="003E1F75">
                <w:trPr>
                  <w:trHeight w:val="165"/>
                </w:trPr>
                <w:tc>
                  <w:tcPr>
                    <w:tcW w:w="215" w:type="pct"/>
                  </w:tcPr>
                  <w:p w:rsidR="003E1F75" w:rsidRDefault="003E1F75" w:rsidP="008163BB">
                    <w:pPr>
                      <w:jc w:val="left"/>
                      <w:rPr>
                        <w:rFonts w:ascii="Calibri" w:hAnsi="Calibri"/>
                        <w:szCs w:val="21"/>
                      </w:rPr>
                    </w:pPr>
                  </w:p>
                </w:tc>
                <w:tc>
                  <w:tcPr>
                    <w:tcW w:w="998" w:type="pct"/>
                    <w:vAlign w:val="center"/>
                  </w:tcPr>
                  <w:p w:rsidR="003E1F75" w:rsidRDefault="003E1F75">
                    <w:pPr>
                      <w:rPr>
                        <w:sz w:val="24"/>
                      </w:rPr>
                    </w:pPr>
                    <w:r>
                      <w:t>供热、供暖费及房屋维修费</w:t>
                    </w:r>
                  </w:p>
                </w:tc>
                <w:tc>
                  <w:tcPr>
                    <w:tcW w:w="856" w:type="pct"/>
                    <w:vAlign w:val="center"/>
                  </w:tcPr>
                  <w:p w:rsidR="003E1F75" w:rsidRDefault="003E1F75" w:rsidP="007B3E42">
                    <w:pPr>
                      <w:jc w:val="right"/>
                      <w:rPr>
                        <w:sz w:val="24"/>
                      </w:rPr>
                    </w:pPr>
                    <w:r>
                      <w:t>280,217,574</w:t>
                    </w:r>
                  </w:p>
                </w:tc>
                <w:tc>
                  <w:tcPr>
                    <w:tcW w:w="491" w:type="pct"/>
                    <w:vAlign w:val="center"/>
                  </w:tcPr>
                  <w:p w:rsidR="003E1F75" w:rsidRDefault="003E1F75" w:rsidP="007B3E42">
                    <w:pPr>
                      <w:jc w:val="right"/>
                      <w:rPr>
                        <w:sz w:val="24"/>
                      </w:rPr>
                    </w:pPr>
                    <w:r>
                      <w:t>0.46</w:t>
                    </w:r>
                  </w:p>
                </w:tc>
                <w:tc>
                  <w:tcPr>
                    <w:tcW w:w="856" w:type="pct"/>
                    <w:vAlign w:val="center"/>
                  </w:tcPr>
                  <w:p w:rsidR="003E1F75" w:rsidRDefault="003E1F75" w:rsidP="007B3E42">
                    <w:pPr>
                      <w:jc w:val="right"/>
                      <w:rPr>
                        <w:sz w:val="24"/>
                      </w:rPr>
                    </w:pPr>
                    <w:r>
                      <w:t>264,888,475</w:t>
                    </w:r>
                  </w:p>
                </w:tc>
                <w:tc>
                  <w:tcPr>
                    <w:tcW w:w="458" w:type="pct"/>
                    <w:vAlign w:val="center"/>
                  </w:tcPr>
                  <w:p w:rsidR="003E1F75" w:rsidRDefault="003E1F75" w:rsidP="007B3E42">
                    <w:pPr>
                      <w:jc w:val="right"/>
                      <w:rPr>
                        <w:sz w:val="24"/>
                      </w:rPr>
                    </w:pPr>
                    <w:r>
                      <w:t>0.43</w:t>
                    </w:r>
                  </w:p>
                </w:tc>
                <w:tc>
                  <w:tcPr>
                    <w:tcW w:w="443" w:type="pct"/>
                    <w:vAlign w:val="center"/>
                  </w:tcPr>
                  <w:p w:rsidR="003E1F75" w:rsidRDefault="003E1F75" w:rsidP="007B3E42">
                    <w:pPr>
                      <w:jc w:val="right"/>
                      <w:rPr>
                        <w:sz w:val="24"/>
                      </w:rPr>
                    </w:pPr>
                    <w:r>
                      <w:t>5.79</w:t>
                    </w:r>
                  </w:p>
                </w:tc>
                <w:tc>
                  <w:tcPr>
                    <w:tcW w:w="684" w:type="pct"/>
                  </w:tcPr>
                  <w:p w:rsidR="003E1F75" w:rsidRPr="00C71468" w:rsidRDefault="003E1F75" w:rsidP="008163BB">
                    <w:pPr>
                      <w:jc w:val="left"/>
                      <w:rPr>
                        <w:sz w:val="18"/>
                        <w:szCs w:val="18"/>
                      </w:rPr>
                    </w:pPr>
                  </w:p>
                </w:tc>
              </w:tr>
            </w:sdtContent>
          </w:sdt>
          <w:sdt>
            <w:sdtPr>
              <w:rPr>
                <w:rFonts w:ascii="Calibri" w:eastAsiaTheme="minorEastAsia" w:hAnsi="Calibri" w:cstheme="minorBidi"/>
                <w:kern w:val="2"/>
                <w:szCs w:val="21"/>
              </w:rPr>
              <w:alias w:val="分行业成本分析"/>
              <w:tag w:val="_TUP_fb9e3026efbd4a2c91fdedd10a926f41"/>
              <w:id w:val="713838"/>
              <w:lock w:val="sdtLocked"/>
            </w:sdtPr>
            <w:sdtEndPr>
              <w:rPr>
                <w:sz w:val="18"/>
                <w:szCs w:val="18"/>
              </w:rPr>
            </w:sdtEndPr>
            <w:sdtContent>
              <w:tr w:rsidR="003E1F75" w:rsidTr="003E1F75">
                <w:trPr>
                  <w:trHeight w:val="165"/>
                </w:trPr>
                <w:tc>
                  <w:tcPr>
                    <w:tcW w:w="215" w:type="pct"/>
                  </w:tcPr>
                  <w:p w:rsidR="003E1F75" w:rsidRDefault="003E1F75" w:rsidP="008163BB">
                    <w:pPr>
                      <w:jc w:val="left"/>
                      <w:rPr>
                        <w:rFonts w:ascii="Calibri" w:hAnsi="Calibri"/>
                        <w:szCs w:val="21"/>
                      </w:rPr>
                    </w:pPr>
                  </w:p>
                </w:tc>
                <w:tc>
                  <w:tcPr>
                    <w:tcW w:w="998" w:type="pct"/>
                    <w:vAlign w:val="center"/>
                  </w:tcPr>
                  <w:p w:rsidR="003E1F75" w:rsidRDefault="003E1F75">
                    <w:pPr>
                      <w:rPr>
                        <w:sz w:val="24"/>
                      </w:rPr>
                    </w:pPr>
                    <w:r>
                      <w:t>和谐机车检修费</w:t>
                    </w:r>
                  </w:p>
                </w:tc>
                <w:tc>
                  <w:tcPr>
                    <w:tcW w:w="856" w:type="pct"/>
                    <w:vAlign w:val="center"/>
                  </w:tcPr>
                  <w:p w:rsidR="003E1F75" w:rsidRDefault="003E1F75" w:rsidP="007B3E42">
                    <w:pPr>
                      <w:jc w:val="right"/>
                      <w:rPr>
                        <w:sz w:val="24"/>
                      </w:rPr>
                    </w:pPr>
                    <w:r>
                      <w:t>265,136,115</w:t>
                    </w:r>
                  </w:p>
                </w:tc>
                <w:tc>
                  <w:tcPr>
                    <w:tcW w:w="491" w:type="pct"/>
                    <w:vAlign w:val="center"/>
                  </w:tcPr>
                  <w:p w:rsidR="003E1F75" w:rsidRDefault="003E1F75" w:rsidP="007B3E42">
                    <w:pPr>
                      <w:jc w:val="right"/>
                      <w:rPr>
                        <w:sz w:val="24"/>
                      </w:rPr>
                    </w:pPr>
                    <w:r>
                      <w:t>0.44</w:t>
                    </w:r>
                  </w:p>
                </w:tc>
                <w:tc>
                  <w:tcPr>
                    <w:tcW w:w="856" w:type="pct"/>
                    <w:vAlign w:val="center"/>
                  </w:tcPr>
                  <w:p w:rsidR="003E1F75" w:rsidRDefault="003E1F75" w:rsidP="007B3E42">
                    <w:pPr>
                      <w:jc w:val="right"/>
                      <w:rPr>
                        <w:sz w:val="24"/>
                      </w:rPr>
                    </w:pPr>
                    <w:r>
                      <w:t>539,847,099</w:t>
                    </w:r>
                  </w:p>
                </w:tc>
                <w:tc>
                  <w:tcPr>
                    <w:tcW w:w="458" w:type="pct"/>
                    <w:vAlign w:val="center"/>
                  </w:tcPr>
                  <w:p w:rsidR="003E1F75" w:rsidRDefault="003E1F75" w:rsidP="007B3E42">
                    <w:pPr>
                      <w:jc w:val="right"/>
                      <w:rPr>
                        <w:sz w:val="24"/>
                      </w:rPr>
                    </w:pPr>
                    <w:r>
                      <w:t>0.88</w:t>
                    </w:r>
                  </w:p>
                </w:tc>
                <w:tc>
                  <w:tcPr>
                    <w:tcW w:w="443" w:type="pct"/>
                    <w:vAlign w:val="center"/>
                  </w:tcPr>
                  <w:p w:rsidR="003E1F75" w:rsidRDefault="003E1F75" w:rsidP="007B3E42">
                    <w:pPr>
                      <w:jc w:val="right"/>
                      <w:rPr>
                        <w:sz w:val="24"/>
                      </w:rPr>
                    </w:pPr>
                    <w:r>
                      <w:t>-50.89</w:t>
                    </w:r>
                  </w:p>
                </w:tc>
                <w:tc>
                  <w:tcPr>
                    <w:tcW w:w="684" w:type="pct"/>
                  </w:tcPr>
                  <w:p w:rsidR="003E1F75" w:rsidRPr="00C71468" w:rsidRDefault="003E1F75" w:rsidP="008163BB">
                    <w:pPr>
                      <w:jc w:val="left"/>
                      <w:rPr>
                        <w:sz w:val="18"/>
                        <w:szCs w:val="18"/>
                      </w:rPr>
                    </w:pPr>
                    <w:r w:rsidRPr="00C71468">
                      <w:rPr>
                        <w:rFonts w:hint="eastAsia"/>
                        <w:sz w:val="18"/>
                        <w:szCs w:val="18"/>
                      </w:rPr>
                      <w:t>配属的和谐机车</w:t>
                    </w:r>
                    <w:r w:rsidR="007B5581">
                      <w:rPr>
                        <w:rFonts w:hint="eastAsia"/>
                        <w:sz w:val="18"/>
                        <w:szCs w:val="18"/>
                      </w:rPr>
                      <w:t>本期</w:t>
                    </w:r>
                    <w:r w:rsidRPr="00C71468">
                      <w:rPr>
                        <w:rFonts w:hint="eastAsia"/>
                        <w:sz w:val="18"/>
                        <w:szCs w:val="18"/>
                      </w:rPr>
                      <w:t>维修量减少</w:t>
                    </w:r>
                  </w:p>
                </w:tc>
              </w:tr>
            </w:sdtContent>
          </w:sdt>
          <w:sdt>
            <w:sdtPr>
              <w:rPr>
                <w:rFonts w:ascii="Calibri" w:eastAsiaTheme="minorEastAsia" w:hAnsi="Calibri" w:cstheme="minorBidi"/>
                <w:kern w:val="2"/>
                <w:szCs w:val="21"/>
              </w:rPr>
              <w:alias w:val="分行业成本分析"/>
              <w:tag w:val="_TUP_fb9e3026efbd4a2c91fdedd10a926f41"/>
              <w:id w:val="713839"/>
              <w:lock w:val="sdtLocked"/>
            </w:sdtPr>
            <w:sdtContent>
              <w:tr w:rsidR="003E1F75" w:rsidTr="003E1F75">
                <w:trPr>
                  <w:trHeight w:val="165"/>
                </w:trPr>
                <w:tc>
                  <w:tcPr>
                    <w:tcW w:w="215" w:type="pct"/>
                  </w:tcPr>
                  <w:p w:rsidR="003E1F75" w:rsidRDefault="003E1F75" w:rsidP="008163BB">
                    <w:pPr>
                      <w:jc w:val="left"/>
                      <w:rPr>
                        <w:rFonts w:ascii="Calibri" w:hAnsi="Calibri"/>
                        <w:szCs w:val="21"/>
                      </w:rPr>
                    </w:pPr>
                  </w:p>
                </w:tc>
                <w:tc>
                  <w:tcPr>
                    <w:tcW w:w="998" w:type="pct"/>
                    <w:vAlign w:val="center"/>
                  </w:tcPr>
                  <w:p w:rsidR="003E1F75" w:rsidRPr="00902B41" w:rsidRDefault="003E1F75">
                    <w:pPr>
                      <w:rPr>
                        <w:sz w:val="24"/>
                      </w:rPr>
                    </w:pPr>
                    <w:r w:rsidRPr="00902B41">
                      <w:t>其他</w:t>
                    </w:r>
                  </w:p>
                </w:tc>
                <w:tc>
                  <w:tcPr>
                    <w:tcW w:w="856" w:type="pct"/>
                    <w:vAlign w:val="center"/>
                  </w:tcPr>
                  <w:p w:rsidR="003E1F75" w:rsidRPr="00902B41" w:rsidRDefault="003E1F75" w:rsidP="007B3E42">
                    <w:pPr>
                      <w:jc w:val="right"/>
                      <w:rPr>
                        <w:sz w:val="24"/>
                      </w:rPr>
                    </w:pPr>
                    <w:r w:rsidRPr="00902B41">
                      <w:t>2,179,699,087</w:t>
                    </w:r>
                  </w:p>
                </w:tc>
                <w:tc>
                  <w:tcPr>
                    <w:tcW w:w="491" w:type="pct"/>
                    <w:vAlign w:val="center"/>
                  </w:tcPr>
                  <w:p w:rsidR="003E1F75" w:rsidRPr="00902B41" w:rsidRDefault="003E1F75" w:rsidP="007B3E42">
                    <w:pPr>
                      <w:jc w:val="right"/>
                      <w:rPr>
                        <w:sz w:val="24"/>
                      </w:rPr>
                    </w:pPr>
                    <w:r w:rsidRPr="00902B41">
                      <w:t>3.59</w:t>
                    </w:r>
                  </w:p>
                </w:tc>
                <w:tc>
                  <w:tcPr>
                    <w:tcW w:w="856" w:type="pct"/>
                    <w:vAlign w:val="center"/>
                  </w:tcPr>
                  <w:p w:rsidR="003E1F75" w:rsidRPr="00902B41" w:rsidRDefault="003E1F75" w:rsidP="007B3E42">
                    <w:pPr>
                      <w:jc w:val="right"/>
                      <w:rPr>
                        <w:sz w:val="24"/>
                      </w:rPr>
                    </w:pPr>
                    <w:r w:rsidRPr="00902B41">
                      <w:t>2,573,051,784</w:t>
                    </w:r>
                  </w:p>
                </w:tc>
                <w:tc>
                  <w:tcPr>
                    <w:tcW w:w="458" w:type="pct"/>
                    <w:vAlign w:val="center"/>
                  </w:tcPr>
                  <w:p w:rsidR="003E1F75" w:rsidRPr="00902B41" w:rsidRDefault="003E1F75" w:rsidP="007B3E42">
                    <w:pPr>
                      <w:jc w:val="right"/>
                      <w:rPr>
                        <w:sz w:val="24"/>
                      </w:rPr>
                    </w:pPr>
                    <w:r w:rsidRPr="00902B41">
                      <w:t>4.18</w:t>
                    </w:r>
                  </w:p>
                </w:tc>
                <w:tc>
                  <w:tcPr>
                    <w:tcW w:w="443" w:type="pct"/>
                    <w:vAlign w:val="center"/>
                  </w:tcPr>
                  <w:p w:rsidR="003E1F75" w:rsidRPr="00902B41" w:rsidRDefault="003E1F75" w:rsidP="007B3E42">
                    <w:pPr>
                      <w:jc w:val="right"/>
                      <w:rPr>
                        <w:sz w:val="24"/>
                      </w:rPr>
                    </w:pPr>
                    <w:r w:rsidRPr="00902B41">
                      <w:t>-15.29</w:t>
                    </w:r>
                  </w:p>
                </w:tc>
                <w:tc>
                  <w:tcPr>
                    <w:tcW w:w="684" w:type="pct"/>
                  </w:tcPr>
                  <w:p w:rsidR="003E1F75" w:rsidRDefault="003E1F75" w:rsidP="008163BB">
                    <w:pPr>
                      <w:jc w:val="left"/>
                      <w:rPr>
                        <w:szCs w:val="21"/>
                      </w:rPr>
                    </w:pPr>
                  </w:p>
                </w:tc>
              </w:tr>
            </w:sdtContent>
          </w:sdt>
          <w:sdt>
            <w:sdtPr>
              <w:rPr>
                <w:rFonts w:ascii="Calibri" w:eastAsiaTheme="minorEastAsia" w:hAnsi="Calibri" w:cstheme="minorBidi"/>
                <w:kern w:val="2"/>
                <w:szCs w:val="21"/>
              </w:rPr>
              <w:alias w:val="分行业成本分析"/>
              <w:tag w:val="_TUP_fb9e3026efbd4a2c91fdedd10a926f41"/>
              <w:id w:val="713840"/>
              <w:lock w:val="sdtLocked"/>
            </w:sdtPr>
            <w:sdtContent>
              <w:tr w:rsidR="003E1F75" w:rsidTr="003E1F75">
                <w:trPr>
                  <w:trHeight w:val="165"/>
                </w:trPr>
                <w:tc>
                  <w:tcPr>
                    <w:tcW w:w="215" w:type="pct"/>
                  </w:tcPr>
                  <w:p w:rsidR="003E1F75" w:rsidRDefault="003E1F75" w:rsidP="008163BB">
                    <w:pPr>
                      <w:jc w:val="left"/>
                      <w:rPr>
                        <w:rFonts w:ascii="Calibri" w:hAnsi="Calibri"/>
                        <w:szCs w:val="21"/>
                      </w:rPr>
                    </w:pPr>
                  </w:p>
                </w:tc>
                <w:tc>
                  <w:tcPr>
                    <w:tcW w:w="998" w:type="pct"/>
                    <w:vAlign w:val="center"/>
                  </w:tcPr>
                  <w:p w:rsidR="003E1F75" w:rsidRPr="00902B41" w:rsidRDefault="003E1F75">
                    <w:pPr>
                      <w:rPr>
                        <w:sz w:val="24"/>
                      </w:rPr>
                    </w:pPr>
                    <w:r w:rsidRPr="00902B41">
                      <w:t>其他业务成本</w:t>
                    </w:r>
                  </w:p>
                </w:tc>
                <w:tc>
                  <w:tcPr>
                    <w:tcW w:w="856" w:type="pct"/>
                    <w:vAlign w:val="center"/>
                  </w:tcPr>
                  <w:p w:rsidR="003E1F75" w:rsidRPr="00902B41" w:rsidRDefault="003E1F75" w:rsidP="007B3E42">
                    <w:pPr>
                      <w:jc w:val="right"/>
                      <w:rPr>
                        <w:sz w:val="24"/>
                      </w:rPr>
                    </w:pPr>
                    <w:r w:rsidRPr="00902B41">
                      <w:t>1,215,885,183</w:t>
                    </w:r>
                  </w:p>
                </w:tc>
                <w:tc>
                  <w:tcPr>
                    <w:tcW w:w="491" w:type="pct"/>
                    <w:vAlign w:val="center"/>
                  </w:tcPr>
                  <w:p w:rsidR="003E1F75" w:rsidRPr="00902B41" w:rsidRDefault="003E1F75" w:rsidP="007B3E42">
                    <w:pPr>
                      <w:jc w:val="right"/>
                      <w:rPr>
                        <w:sz w:val="24"/>
                      </w:rPr>
                    </w:pPr>
                    <w:r w:rsidRPr="00902B41">
                      <w:t>2.01</w:t>
                    </w:r>
                  </w:p>
                </w:tc>
                <w:tc>
                  <w:tcPr>
                    <w:tcW w:w="856" w:type="pct"/>
                    <w:vAlign w:val="center"/>
                  </w:tcPr>
                  <w:p w:rsidR="003E1F75" w:rsidRPr="00902B41" w:rsidRDefault="003E1F75" w:rsidP="007B3E42">
                    <w:pPr>
                      <w:jc w:val="right"/>
                      <w:rPr>
                        <w:sz w:val="24"/>
                      </w:rPr>
                    </w:pPr>
                    <w:r w:rsidRPr="00902B41">
                      <w:t>1,292,539,648</w:t>
                    </w:r>
                  </w:p>
                </w:tc>
                <w:tc>
                  <w:tcPr>
                    <w:tcW w:w="458" w:type="pct"/>
                    <w:vAlign w:val="center"/>
                  </w:tcPr>
                  <w:p w:rsidR="003E1F75" w:rsidRPr="00902B41" w:rsidRDefault="003E1F75" w:rsidP="007B3E42">
                    <w:pPr>
                      <w:jc w:val="right"/>
                      <w:rPr>
                        <w:sz w:val="24"/>
                      </w:rPr>
                    </w:pPr>
                    <w:r w:rsidRPr="00902B41">
                      <w:t>2.10</w:t>
                    </w:r>
                  </w:p>
                </w:tc>
                <w:tc>
                  <w:tcPr>
                    <w:tcW w:w="443" w:type="pct"/>
                    <w:vAlign w:val="center"/>
                  </w:tcPr>
                  <w:p w:rsidR="003E1F75" w:rsidRPr="00902B41" w:rsidRDefault="003E1F75" w:rsidP="007B3E42">
                    <w:pPr>
                      <w:jc w:val="right"/>
                      <w:rPr>
                        <w:sz w:val="24"/>
                      </w:rPr>
                    </w:pPr>
                    <w:r w:rsidRPr="00902B41">
                      <w:t>-5.93</w:t>
                    </w:r>
                  </w:p>
                </w:tc>
                <w:tc>
                  <w:tcPr>
                    <w:tcW w:w="684" w:type="pct"/>
                  </w:tcPr>
                  <w:p w:rsidR="003E1F75" w:rsidRDefault="003E1F75" w:rsidP="008163BB">
                    <w:pPr>
                      <w:jc w:val="left"/>
                      <w:rPr>
                        <w:szCs w:val="21"/>
                      </w:rPr>
                    </w:pPr>
                  </w:p>
                </w:tc>
              </w:tr>
            </w:sdtContent>
          </w:sdt>
          <w:sdt>
            <w:sdtPr>
              <w:rPr>
                <w:rFonts w:ascii="Calibri" w:eastAsiaTheme="minorEastAsia" w:hAnsi="Calibri" w:cstheme="minorBidi"/>
                <w:kern w:val="2"/>
                <w:szCs w:val="21"/>
              </w:rPr>
              <w:alias w:val="分行业成本分析"/>
              <w:tag w:val="_TUP_fb9e3026efbd4a2c91fdedd10a926f41"/>
              <w:id w:val="713841"/>
              <w:lock w:val="sdtLocked"/>
            </w:sdtPr>
            <w:sdtContent>
              <w:tr w:rsidR="003E1F75" w:rsidTr="003E1F75">
                <w:trPr>
                  <w:trHeight w:val="165"/>
                </w:trPr>
                <w:tc>
                  <w:tcPr>
                    <w:tcW w:w="215" w:type="pct"/>
                  </w:tcPr>
                  <w:p w:rsidR="003E1F75" w:rsidRDefault="003E1F75" w:rsidP="008163BB">
                    <w:pPr>
                      <w:jc w:val="left"/>
                      <w:rPr>
                        <w:rFonts w:ascii="Calibri" w:hAnsi="Calibri"/>
                        <w:szCs w:val="21"/>
                      </w:rPr>
                    </w:pPr>
                  </w:p>
                </w:tc>
                <w:tc>
                  <w:tcPr>
                    <w:tcW w:w="998" w:type="pct"/>
                    <w:vAlign w:val="center"/>
                  </w:tcPr>
                  <w:p w:rsidR="003E1F75" w:rsidRPr="00902B41" w:rsidRDefault="003E1F75">
                    <w:pPr>
                      <w:rPr>
                        <w:sz w:val="24"/>
                      </w:rPr>
                    </w:pPr>
                    <w:r w:rsidRPr="00902B41">
                      <w:t>材料物品销售</w:t>
                    </w:r>
                  </w:p>
                </w:tc>
                <w:tc>
                  <w:tcPr>
                    <w:tcW w:w="856" w:type="pct"/>
                    <w:vAlign w:val="center"/>
                  </w:tcPr>
                  <w:p w:rsidR="003E1F75" w:rsidRPr="00902B41" w:rsidRDefault="003E1F75" w:rsidP="007B3E42">
                    <w:pPr>
                      <w:jc w:val="right"/>
                      <w:rPr>
                        <w:sz w:val="24"/>
                      </w:rPr>
                    </w:pPr>
                    <w:r w:rsidRPr="00902B41">
                      <w:t>401,169,752</w:t>
                    </w:r>
                  </w:p>
                </w:tc>
                <w:tc>
                  <w:tcPr>
                    <w:tcW w:w="491" w:type="pct"/>
                    <w:vAlign w:val="center"/>
                  </w:tcPr>
                  <w:p w:rsidR="003E1F75" w:rsidRPr="00902B41" w:rsidRDefault="003E1F75" w:rsidP="007B3E42">
                    <w:pPr>
                      <w:jc w:val="right"/>
                      <w:rPr>
                        <w:sz w:val="24"/>
                      </w:rPr>
                    </w:pPr>
                    <w:r w:rsidRPr="00902B41">
                      <w:t>0.66</w:t>
                    </w:r>
                  </w:p>
                </w:tc>
                <w:tc>
                  <w:tcPr>
                    <w:tcW w:w="856" w:type="pct"/>
                    <w:vAlign w:val="center"/>
                  </w:tcPr>
                  <w:p w:rsidR="003E1F75" w:rsidRPr="00902B41" w:rsidRDefault="003E1F75" w:rsidP="007B3E42">
                    <w:pPr>
                      <w:jc w:val="right"/>
                      <w:rPr>
                        <w:sz w:val="24"/>
                      </w:rPr>
                    </w:pPr>
                    <w:r w:rsidRPr="00902B41">
                      <w:t>418,610,368</w:t>
                    </w:r>
                  </w:p>
                </w:tc>
                <w:tc>
                  <w:tcPr>
                    <w:tcW w:w="458" w:type="pct"/>
                    <w:vAlign w:val="center"/>
                  </w:tcPr>
                  <w:p w:rsidR="003E1F75" w:rsidRPr="00902B41" w:rsidRDefault="003E1F75" w:rsidP="007B3E42">
                    <w:pPr>
                      <w:jc w:val="right"/>
                      <w:rPr>
                        <w:sz w:val="24"/>
                      </w:rPr>
                    </w:pPr>
                    <w:r w:rsidRPr="00902B41">
                      <w:t>0.6</w:t>
                    </w:r>
                    <w:r w:rsidR="00F016AB" w:rsidRPr="00902B41">
                      <w:t>8</w:t>
                    </w:r>
                  </w:p>
                </w:tc>
                <w:tc>
                  <w:tcPr>
                    <w:tcW w:w="443" w:type="pct"/>
                    <w:vAlign w:val="center"/>
                  </w:tcPr>
                  <w:p w:rsidR="003E1F75" w:rsidRPr="00902B41" w:rsidRDefault="003E1F75" w:rsidP="007B3E42">
                    <w:pPr>
                      <w:jc w:val="right"/>
                      <w:rPr>
                        <w:sz w:val="24"/>
                      </w:rPr>
                    </w:pPr>
                    <w:r w:rsidRPr="00902B41">
                      <w:t>-4.17</w:t>
                    </w:r>
                  </w:p>
                </w:tc>
                <w:tc>
                  <w:tcPr>
                    <w:tcW w:w="684" w:type="pct"/>
                  </w:tcPr>
                  <w:p w:rsidR="003E1F75" w:rsidRDefault="003E1F75" w:rsidP="008163BB">
                    <w:pPr>
                      <w:jc w:val="left"/>
                      <w:rPr>
                        <w:szCs w:val="21"/>
                      </w:rPr>
                    </w:pPr>
                  </w:p>
                </w:tc>
              </w:tr>
            </w:sdtContent>
          </w:sdt>
          <w:sdt>
            <w:sdtPr>
              <w:rPr>
                <w:rFonts w:ascii="Calibri" w:eastAsiaTheme="minorEastAsia" w:hAnsi="Calibri" w:cstheme="minorBidi"/>
                <w:kern w:val="2"/>
                <w:szCs w:val="21"/>
              </w:rPr>
              <w:alias w:val="分行业成本分析"/>
              <w:tag w:val="_TUP_fb9e3026efbd4a2c91fdedd10a926f41"/>
              <w:id w:val="713842"/>
              <w:lock w:val="sdtLocked"/>
            </w:sdtPr>
            <w:sdtContent>
              <w:tr w:rsidR="003E1F75" w:rsidTr="003E1F75">
                <w:trPr>
                  <w:trHeight w:val="165"/>
                </w:trPr>
                <w:tc>
                  <w:tcPr>
                    <w:tcW w:w="215" w:type="pct"/>
                  </w:tcPr>
                  <w:p w:rsidR="003E1F75" w:rsidRDefault="003E1F75" w:rsidP="008163BB">
                    <w:pPr>
                      <w:jc w:val="left"/>
                      <w:rPr>
                        <w:rFonts w:ascii="Calibri" w:hAnsi="Calibri"/>
                        <w:szCs w:val="21"/>
                      </w:rPr>
                    </w:pPr>
                  </w:p>
                </w:tc>
                <w:tc>
                  <w:tcPr>
                    <w:tcW w:w="998" w:type="pct"/>
                    <w:vAlign w:val="center"/>
                  </w:tcPr>
                  <w:p w:rsidR="003E1F75" w:rsidRPr="00902B41" w:rsidRDefault="003E1F75">
                    <w:pPr>
                      <w:rPr>
                        <w:sz w:val="24"/>
                      </w:rPr>
                    </w:pPr>
                    <w:r w:rsidRPr="00902B41">
                      <w:t>维修</w:t>
                    </w:r>
                  </w:p>
                </w:tc>
                <w:tc>
                  <w:tcPr>
                    <w:tcW w:w="856" w:type="pct"/>
                    <w:vAlign w:val="center"/>
                  </w:tcPr>
                  <w:p w:rsidR="003E1F75" w:rsidRPr="00902B41" w:rsidRDefault="003E1F75" w:rsidP="007B3E42">
                    <w:pPr>
                      <w:jc w:val="right"/>
                      <w:rPr>
                        <w:sz w:val="24"/>
                      </w:rPr>
                    </w:pPr>
                    <w:r w:rsidRPr="00902B41">
                      <w:t>352,540,821</w:t>
                    </w:r>
                  </w:p>
                </w:tc>
                <w:tc>
                  <w:tcPr>
                    <w:tcW w:w="491" w:type="pct"/>
                    <w:vAlign w:val="center"/>
                  </w:tcPr>
                  <w:p w:rsidR="003E1F75" w:rsidRPr="00902B41" w:rsidRDefault="003E1F75" w:rsidP="007B3E42">
                    <w:pPr>
                      <w:jc w:val="right"/>
                      <w:rPr>
                        <w:sz w:val="24"/>
                      </w:rPr>
                    </w:pPr>
                    <w:r w:rsidRPr="00902B41">
                      <w:t>0.58</w:t>
                    </w:r>
                  </w:p>
                </w:tc>
                <w:tc>
                  <w:tcPr>
                    <w:tcW w:w="856" w:type="pct"/>
                    <w:vAlign w:val="center"/>
                  </w:tcPr>
                  <w:p w:rsidR="003E1F75" w:rsidRPr="00902B41" w:rsidRDefault="003E1F75" w:rsidP="007B3E42">
                    <w:pPr>
                      <w:jc w:val="right"/>
                      <w:rPr>
                        <w:sz w:val="24"/>
                      </w:rPr>
                    </w:pPr>
                    <w:r w:rsidRPr="00902B41">
                      <w:t>377,196,054</w:t>
                    </w:r>
                  </w:p>
                </w:tc>
                <w:tc>
                  <w:tcPr>
                    <w:tcW w:w="458" w:type="pct"/>
                    <w:vAlign w:val="center"/>
                  </w:tcPr>
                  <w:p w:rsidR="003E1F75" w:rsidRPr="00902B41" w:rsidRDefault="003E1F75" w:rsidP="007B3E42">
                    <w:pPr>
                      <w:jc w:val="right"/>
                      <w:rPr>
                        <w:sz w:val="24"/>
                      </w:rPr>
                    </w:pPr>
                    <w:r w:rsidRPr="00902B41">
                      <w:t>0.61</w:t>
                    </w:r>
                  </w:p>
                </w:tc>
                <w:tc>
                  <w:tcPr>
                    <w:tcW w:w="443" w:type="pct"/>
                    <w:vAlign w:val="center"/>
                  </w:tcPr>
                  <w:p w:rsidR="003E1F75" w:rsidRPr="00902B41" w:rsidRDefault="003E1F75" w:rsidP="007B3E42">
                    <w:pPr>
                      <w:jc w:val="right"/>
                      <w:rPr>
                        <w:sz w:val="24"/>
                      </w:rPr>
                    </w:pPr>
                    <w:r w:rsidRPr="00902B41">
                      <w:t>-6.54</w:t>
                    </w:r>
                  </w:p>
                </w:tc>
                <w:tc>
                  <w:tcPr>
                    <w:tcW w:w="684" w:type="pct"/>
                  </w:tcPr>
                  <w:p w:rsidR="003E1F75" w:rsidRDefault="003E1F75" w:rsidP="008163BB">
                    <w:pPr>
                      <w:jc w:val="left"/>
                      <w:rPr>
                        <w:szCs w:val="21"/>
                      </w:rPr>
                    </w:pPr>
                  </w:p>
                </w:tc>
              </w:tr>
            </w:sdtContent>
          </w:sdt>
          <w:sdt>
            <w:sdtPr>
              <w:rPr>
                <w:rFonts w:ascii="Calibri" w:eastAsiaTheme="minorEastAsia" w:hAnsi="Calibri" w:cstheme="minorBidi"/>
                <w:kern w:val="2"/>
                <w:szCs w:val="21"/>
              </w:rPr>
              <w:alias w:val="分行业成本分析"/>
              <w:tag w:val="_TUP_fb9e3026efbd4a2c91fdedd10a926f41"/>
              <w:id w:val="713843"/>
              <w:lock w:val="sdtLocked"/>
            </w:sdtPr>
            <w:sdtContent>
              <w:tr w:rsidR="003E1F75" w:rsidTr="003E1F75">
                <w:trPr>
                  <w:trHeight w:val="165"/>
                </w:trPr>
                <w:tc>
                  <w:tcPr>
                    <w:tcW w:w="215" w:type="pct"/>
                  </w:tcPr>
                  <w:p w:rsidR="003E1F75" w:rsidRDefault="003E1F75" w:rsidP="008163BB">
                    <w:pPr>
                      <w:jc w:val="left"/>
                      <w:rPr>
                        <w:rFonts w:ascii="Calibri" w:hAnsi="Calibri"/>
                        <w:szCs w:val="21"/>
                      </w:rPr>
                    </w:pPr>
                  </w:p>
                </w:tc>
                <w:tc>
                  <w:tcPr>
                    <w:tcW w:w="998" w:type="pct"/>
                    <w:vAlign w:val="center"/>
                  </w:tcPr>
                  <w:p w:rsidR="003E1F75" w:rsidRDefault="003E1F75">
                    <w:pPr>
                      <w:rPr>
                        <w:sz w:val="24"/>
                      </w:rPr>
                    </w:pPr>
                    <w:r>
                      <w:t>劳务</w:t>
                    </w:r>
                  </w:p>
                </w:tc>
                <w:tc>
                  <w:tcPr>
                    <w:tcW w:w="856" w:type="pct"/>
                    <w:vAlign w:val="center"/>
                  </w:tcPr>
                  <w:p w:rsidR="003E1F75" w:rsidRDefault="003E1F75" w:rsidP="007B3E42">
                    <w:pPr>
                      <w:jc w:val="right"/>
                      <w:rPr>
                        <w:sz w:val="24"/>
                      </w:rPr>
                    </w:pPr>
                    <w:r>
                      <w:t>165,141,823</w:t>
                    </w:r>
                  </w:p>
                </w:tc>
                <w:tc>
                  <w:tcPr>
                    <w:tcW w:w="491" w:type="pct"/>
                    <w:vAlign w:val="center"/>
                  </w:tcPr>
                  <w:p w:rsidR="003E1F75" w:rsidRDefault="003E1F75" w:rsidP="007B3E42">
                    <w:pPr>
                      <w:jc w:val="right"/>
                      <w:rPr>
                        <w:sz w:val="24"/>
                      </w:rPr>
                    </w:pPr>
                    <w:r>
                      <w:t>0.27</w:t>
                    </w:r>
                  </w:p>
                </w:tc>
                <w:tc>
                  <w:tcPr>
                    <w:tcW w:w="856" w:type="pct"/>
                    <w:vAlign w:val="center"/>
                  </w:tcPr>
                  <w:p w:rsidR="003E1F75" w:rsidRDefault="003E1F75" w:rsidP="007B3E42">
                    <w:pPr>
                      <w:jc w:val="right"/>
                      <w:rPr>
                        <w:sz w:val="24"/>
                      </w:rPr>
                    </w:pPr>
                    <w:r>
                      <w:t>186,374,594</w:t>
                    </w:r>
                  </w:p>
                </w:tc>
                <w:tc>
                  <w:tcPr>
                    <w:tcW w:w="458" w:type="pct"/>
                    <w:vAlign w:val="center"/>
                  </w:tcPr>
                  <w:p w:rsidR="003E1F75" w:rsidRDefault="003E1F75" w:rsidP="007B3E42">
                    <w:pPr>
                      <w:jc w:val="right"/>
                      <w:rPr>
                        <w:sz w:val="24"/>
                      </w:rPr>
                    </w:pPr>
                    <w:r>
                      <w:t>0.30</w:t>
                    </w:r>
                  </w:p>
                </w:tc>
                <w:tc>
                  <w:tcPr>
                    <w:tcW w:w="443" w:type="pct"/>
                    <w:vAlign w:val="center"/>
                  </w:tcPr>
                  <w:p w:rsidR="003E1F75" w:rsidRDefault="003E1F75" w:rsidP="007B3E42">
                    <w:pPr>
                      <w:jc w:val="right"/>
                      <w:rPr>
                        <w:sz w:val="24"/>
                      </w:rPr>
                    </w:pPr>
                    <w:r>
                      <w:t>-11.39</w:t>
                    </w:r>
                  </w:p>
                </w:tc>
                <w:tc>
                  <w:tcPr>
                    <w:tcW w:w="684" w:type="pct"/>
                  </w:tcPr>
                  <w:p w:rsidR="003E1F75" w:rsidRDefault="003E1F75" w:rsidP="008163BB">
                    <w:pPr>
                      <w:jc w:val="left"/>
                      <w:rPr>
                        <w:szCs w:val="21"/>
                      </w:rPr>
                    </w:pPr>
                  </w:p>
                </w:tc>
              </w:tr>
            </w:sdtContent>
          </w:sdt>
          <w:sdt>
            <w:sdtPr>
              <w:rPr>
                <w:rFonts w:ascii="Calibri" w:eastAsiaTheme="minorEastAsia" w:hAnsi="Calibri" w:cstheme="minorBidi"/>
                <w:kern w:val="2"/>
                <w:szCs w:val="21"/>
              </w:rPr>
              <w:alias w:val="分行业成本分析"/>
              <w:tag w:val="_TUP_fb9e3026efbd4a2c91fdedd10a926f41"/>
              <w:id w:val="713844"/>
              <w:lock w:val="sdtLocked"/>
            </w:sdtPr>
            <w:sdtContent>
              <w:tr w:rsidR="003E1F75" w:rsidTr="003E1F75">
                <w:trPr>
                  <w:trHeight w:val="165"/>
                </w:trPr>
                <w:tc>
                  <w:tcPr>
                    <w:tcW w:w="215" w:type="pct"/>
                  </w:tcPr>
                  <w:p w:rsidR="003E1F75" w:rsidRDefault="003E1F75" w:rsidP="008163BB">
                    <w:pPr>
                      <w:jc w:val="left"/>
                      <w:rPr>
                        <w:rFonts w:ascii="Calibri" w:hAnsi="Calibri"/>
                        <w:szCs w:val="21"/>
                      </w:rPr>
                    </w:pPr>
                  </w:p>
                </w:tc>
                <w:tc>
                  <w:tcPr>
                    <w:tcW w:w="998" w:type="pct"/>
                    <w:vAlign w:val="center"/>
                  </w:tcPr>
                  <w:p w:rsidR="003E1F75" w:rsidRDefault="003E1F75">
                    <w:pPr>
                      <w:rPr>
                        <w:sz w:val="24"/>
                      </w:rPr>
                    </w:pPr>
                    <w:r>
                      <w:t>其他</w:t>
                    </w:r>
                  </w:p>
                </w:tc>
                <w:tc>
                  <w:tcPr>
                    <w:tcW w:w="856" w:type="pct"/>
                    <w:vAlign w:val="center"/>
                  </w:tcPr>
                  <w:p w:rsidR="003E1F75" w:rsidRDefault="003E1F75" w:rsidP="007B3E42">
                    <w:pPr>
                      <w:jc w:val="right"/>
                      <w:rPr>
                        <w:sz w:val="24"/>
                      </w:rPr>
                    </w:pPr>
                    <w:r>
                      <w:t>297,032,787</w:t>
                    </w:r>
                  </w:p>
                </w:tc>
                <w:tc>
                  <w:tcPr>
                    <w:tcW w:w="491" w:type="pct"/>
                    <w:vAlign w:val="center"/>
                  </w:tcPr>
                  <w:p w:rsidR="003E1F75" w:rsidRDefault="003E1F75" w:rsidP="007B3E42">
                    <w:pPr>
                      <w:jc w:val="right"/>
                      <w:rPr>
                        <w:sz w:val="24"/>
                      </w:rPr>
                    </w:pPr>
                    <w:r>
                      <w:t>0.49</w:t>
                    </w:r>
                  </w:p>
                </w:tc>
                <w:tc>
                  <w:tcPr>
                    <w:tcW w:w="856" w:type="pct"/>
                    <w:vAlign w:val="center"/>
                  </w:tcPr>
                  <w:p w:rsidR="003E1F75" w:rsidRDefault="003E1F75" w:rsidP="007B3E42">
                    <w:pPr>
                      <w:jc w:val="right"/>
                      <w:rPr>
                        <w:sz w:val="24"/>
                      </w:rPr>
                    </w:pPr>
                    <w:r>
                      <w:t>310,358,632</w:t>
                    </w:r>
                  </w:p>
                </w:tc>
                <w:tc>
                  <w:tcPr>
                    <w:tcW w:w="458" w:type="pct"/>
                    <w:vAlign w:val="center"/>
                  </w:tcPr>
                  <w:p w:rsidR="003E1F75" w:rsidRDefault="003E1F75" w:rsidP="007B3E42">
                    <w:pPr>
                      <w:jc w:val="right"/>
                      <w:rPr>
                        <w:sz w:val="24"/>
                      </w:rPr>
                    </w:pPr>
                    <w:r>
                      <w:t>0.50</w:t>
                    </w:r>
                  </w:p>
                </w:tc>
                <w:tc>
                  <w:tcPr>
                    <w:tcW w:w="443" w:type="pct"/>
                    <w:vAlign w:val="center"/>
                  </w:tcPr>
                  <w:p w:rsidR="003E1F75" w:rsidRDefault="003E1F75" w:rsidP="007B3E42">
                    <w:pPr>
                      <w:jc w:val="right"/>
                      <w:rPr>
                        <w:sz w:val="24"/>
                      </w:rPr>
                    </w:pPr>
                    <w:r>
                      <w:t>-4.29</w:t>
                    </w:r>
                  </w:p>
                </w:tc>
                <w:tc>
                  <w:tcPr>
                    <w:tcW w:w="684" w:type="pct"/>
                  </w:tcPr>
                  <w:p w:rsidR="003E1F75" w:rsidRDefault="003E1F75" w:rsidP="008163BB">
                    <w:pPr>
                      <w:jc w:val="left"/>
                      <w:rPr>
                        <w:szCs w:val="21"/>
                      </w:rPr>
                    </w:pPr>
                  </w:p>
                </w:tc>
              </w:tr>
            </w:sdtContent>
          </w:sdt>
          <w:sdt>
            <w:sdtPr>
              <w:rPr>
                <w:rFonts w:ascii="Calibri" w:eastAsiaTheme="minorEastAsia" w:hAnsi="Calibri" w:cstheme="minorBidi"/>
                <w:kern w:val="2"/>
                <w:szCs w:val="21"/>
              </w:rPr>
              <w:alias w:val="分行业成本分析"/>
              <w:tag w:val="_TUP_fb9e3026efbd4a2c91fdedd10a926f41"/>
              <w:id w:val="713845"/>
              <w:lock w:val="sdtLocked"/>
            </w:sdtPr>
            <w:sdtContent>
              <w:tr w:rsidR="003E1F75" w:rsidTr="003E1F75">
                <w:trPr>
                  <w:trHeight w:val="165"/>
                </w:trPr>
                <w:tc>
                  <w:tcPr>
                    <w:tcW w:w="215" w:type="pct"/>
                  </w:tcPr>
                  <w:p w:rsidR="003E1F75" w:rsidRDefault="003E1F75" w:rsidP="008163BB">
                    <w:pPr>
                      <w:jc w:val="left"/>
                      <w:rPr>
                        <w:rFonts w:ascii="Calibri" w:hAnsi="Calibri"/>
                        <w:szCs w:val="21"/>
                      </w:rPr>
                    </w:pPr>
                  </w:p>
                </w:tc>
                <w:tc>
                  <w:tcPr>
                    <w:tcW w:w="998" w:type="pct"/>
                    <w:vAlign w:val="center"/>
                  </w:tcPr>
                  <w:p w:rsidR="003E1F75" w:rsidRPr="003E1F75" w:rsidRDefault="003E1F75">
                    <w:pPr>
                      <w:rPr>
                        <w:b/>
                        <w:sz w:val="24"/>
                      </w:rPr>
                    </w:pPr>
                    <w:r w:rsidRPr="003E1F75">
                      <w:rPr>
                        <w:b/>
                      </w:rPr>
                      <w:t>合  计</w:t>
                    </w:r>
                  </w:p>
                </w:tc>
                <w:tc>
                  <w:tcPr>
                    <w:tcW w:w="856" w:type="pct"/>
                    <w:vAlign w:val="center"/>
                  </w:tcPr>
                  <w:p w:rsidR="003E1F75" w:rsidRPr="003E1F75" w:rsidRDefault="003E1F75" w:rsidP="007B3E42">
                    <w:pPr>
                      <w:jc w:val="right"/>
                      <w:rPr>
                        <w:b/>
                        <w:sz w:val="24"/>
                      </w:rPr>
                    </w:pPr>
                    <w:r w:rsidRPr="003E1F75">
                      <w:rPr>
                        <w:b/>
                      </w:rPr>
                      <w:t>60,635,227,652</w:t>
                    </w:r>
                  </w:p>
                </w:tc>
                <w:tc>
                  <w:tcPr>
                    <w:tcW w:w="491" w:type="pct"/>
                    <w:vAlign w:val="center"/>
                  </w:tcPr>
                  <w:p w:rsidR="003E1F75" w:rsidRPr="003E1F75" w:rsidRDefault="003E1F75" w:rsidP="007B3E42">
                    <w:pPr>
                      <w:jc w:val="right"/>
                      <w:rPr>
                        <w:b/>
                        <w:sz w:val="24"/>
                      </w:rPr>
                    </w:pPr>
                    <w:r w:rsidRPr="003E1F75">
                      <w:rPr>
                        <w:b/>
                      </w:rPr>
                      <w:t>100.00</w:t>
                    </w:r>
                  </w:p>
                </w:tc>
                <w:tc>
                  <w:tcPr>
                    <w:tcW w:w="856" w:type="pct"/>
                    <w:vAlign w:val="center"/>
                  </w:tcPr>
                  <w:p w:rsidR="003E1F75" w:rsidRPr="003E1F75" w:rsidRDefault="003E1F75" w:rsidP="007B3E42">
                    <w:pPr>
                      <w:jc w:val="right"/>
                      <w:rPr>
                        <w:b/>
                        <w:sz w:val="24"/>
                      </w:rPr>
                    </w:pPr>
                    <w:r w:rsidRPr="003E1F75">
                      <w:rPr>
                        <w:b/>
                      </w:rPr>
                      <w:t>61,508,590,683</w:t>
                    </w:r>
                  </w:p>
                </w:tc>
                <w:tc>
                  <w:tcPr>
                    <w:tcW w:w="458" w:type="pct"/>
                    <w:vAlign w:val="center"/>
                  </w:tcPr>
                  <w:p w:rsidR="003E1F75" w:rsidRPr="003E1F75" w:rsidRDefault="003E1F75" w:rsidP="007B3E42">
                    <w:pPr>
                      <w:jc w:val="right"/>
                      <w:rPr>
                        <w:b/>
                        <w:sz w:val="24"/>
                      </w:rPr>
                    </w:pPr>
                    <w:r w:rsidRPr="003E1F75">
                      <w:rPr>
                        <w:b/>
                      </w:rPr>
                      <w:t>100.00</w:t>
                    </w:r>
                  </w:p>
                </w:tc>
                <w:tc>
                  <w:tcPr>
                    <w:tcW w:w="443" w:type="pct"/>
                    <w:vAlign w:val="center"/>
                  </w:tcPr>
                  <w:p w:rsidR="003E1F75" w:rsidRPr="003E1F75" w:rsidRDefault="003E1F75" w:rsidP="007B3E42">
                    <w:pPr>
                      <w:jc w:val="right"/>
                      <w:rPr>
                        <w:b/>
                        <w:sz w:val="24"/>
                      </w:rPr>
                    </w:pPr>
                    <w:r w:rsidRPr="003E1F75">
                      <w:rPr>
                        <w:b/>
                      </w:rPr>
                      <w:t>-1.42</w:t>
                    </w:r>
                  </w:p>
                </w:tc>
                <w:tc>
                  <w:tcPr>
                    <w:tcW w:w="684" w:type="pct"/>
                  </w:tcPr>
                  <w:p w:rsidR="003E1F75" w:rsidRDefault="003E1F75" w:rsidP="008163BB">
                    <w:pPr>
                      <w:jc w:val="left"/>
                      <w:rPr>
                        <w:szCs w:val="21"/>
                      </w:rPr>
                    </w:pPr>
                  </w:p>
                </w:tc>
              </w:tr>
            </w:sdtContent>
          </w:sdt>
        </w:tbl>
        <w:p w:rsidR="003E1F75" w:rsidRDefault="003E1F75"/>
        <w:p w:rsidR="00806678" w:rsidRDefault="00B16377">
          <w:pPr>
            <w:rPr>
              <w:szCs w:val="21"/>
            </w:rPr>
          </w:pPr>
          <w:r>
            <w:rPr>
              <w:rFonts w:hint="eastAsia"/>
              <w:szCs w:val="21"/>
            </w:rPr>
            <w:t>成本分析其他情况说明</w:t>
          </w:r>
        </w:p>
        <w:sdt>
          <w:sdtPr>
            <w:rPr>
              <w:rFonts w:hint="eastAsia"/>
              <w:szCs w:val="21"/>
            </w:rPr>
            <w:alias w:val="成本分析其他情况"/>
            <w:tag w:val="_GBC_93fdd34ed0d546d3bf448336c6187b3a"/>
            <w:id w:val="17433185"/>
            <w:lock w:val="sdtLocked"/>
            <w:placeholder>
              <w:docPart w:val="GBC22222222222222222222222222222"/>
            </w:placeholder>
          </w:sdtPr>
          <w:sdtContent>
            <w:p w:rsidR="00806678" w:rsidRDefault="003E1F75">
              <w:pPr>
                <w:rPr>
                  <w:szCs w:val="21"/>
                </w:rPr>
              </w:pPr>
              <w:r>
                <w:rPr>
                  <w:rFonts w:hint="eastAsia"/>
                  <w:szCs w:val="21"/>
                </w:rPr>
                <w:t>无</w:t>
              </w:r>
            </w:p>
          </w:sdtContent>
        </w:sdt>
      </w:sdtContent>
    </w:sdt>
    <w:bookmarkStart w:id="35" w:name="_Hlk89876513" w:displacedByCustomXml="next"/>
    <w:sdt>
      <w:sdtPr>
        <w:rPr>
          <w:rFonts w:ascii="宋体" w:hAnsi="宋体" w:cs="宋体"/>
          <w:b w:val="0"/>
          <w:bCs w:val="0"/>
          <w:kern w:val="0"/>
          <w:szCs w:val="21"/>
        </w:rPr>
        <w:alias w:val="模块:报告期主要子公司股权变动导致合并范围变化 "/>
        <w:tag w:val="_SEC_7994c9389a294bdbaecc407b4132887e"/>
        <w:id w:val="844286051"/>
        <w:lock w:val="sdtLocked"/>
        <w:placeholder>
          <w:docPart w:val="GBC22222222222222222222222222222"/>
        </w:placeholder>
      </w:sdtPr>
      <w:sdtEndPr>
        <w:rPr>
          <w:szCs w:val="24"/>
        </w:rPr>
      </w:sdtEndPr>
      <w:sdtContent>
        <w:p w:rsidR="00806678" w:rsidRDefault="00B16377" w:rsidP="00FF17C7">
          <w:pPr>
            <w:pStyle w:val="5"/>
            <w:numPr>
              <w:ilvl w:val="0"/>
              <w:numId w:val="65"/>
            </w:numPr>
            <w:tabs>
              <w:tab w:val="left" w:pos="567"/>
            </w:tabs>
            <w:ind w:left="0" w:firstLine="0"/>
            <w:rPr>
              <w:szCs w:val="21"/>
            </w:rPr>
          </w:pPr>
          <w:r>
            <w:rPr>
              <w:szCs w:val="21"/>
            </w:rPr>
            <w:t>报告期</w:t>
          </w:r>
          <w:r>
            <w:t>主要子公司股权变动导致合并范围变化</w:t>
          </w:r>
        </w:p>
        <w:sdt>
          <w:sdtPr>
            <w:alias w:val="是否适用：报告期主要子公司股权变动导致合并范围变化 [双击切换]"/>
            <w:tag w:val="_GBC_f684be8377fd464e8fc7d9a0e6df7b78"/>
            <w:id w:val="-663555916"/>
            <w:lock w:val="sdtLocked"/>
            <w:placeholder>
              <w:docPart w:val="GBC22222222222222222222222222222"/>
            </w:placeholder>
          </w:sdtPr>
          <w:sdtContent>
            <w:p w:rsidR="00806678" w:rsidRPr="003E1F75" w:rsidRDefault="00F80B6C">
              <w:pPr>
                <w:rPr>
                  <w:color w:val="333399"/>
                </w:rPr>
              </w:pPr>
              <w:r>
                <w:fldChar w:fldCharType="begin"/>
              </w:r>
              <w:r w:rsidR="003E1F75">
                <w:instrText xml:space="preserve"> MACROBUTTON  SnrToggleCheckbox □适用 </w:instrText>
              </w:r>
              <w:r>
                <w:fldChar w:fldCharType="end"/>
              </w:r>
              <w:r>
                <w:fldChar w:fldCharType="begin"/>
              </w:r>
              <w:r w:rsidR="003E1F75">
                <w:instrText xml:space="preserve"> MACROBUTTON  SnrToggleCheckbox √不适用 </w:instrText>
              </w:r>
              <w:r>
                <w:fldChar w:fldCharType="end"/>
              </w:r>
            </w:p>
          </w:sdtContent>
        </w:sdt>
      </w:sdtContent>
    </w:sdt>
    <w:sdt>
      <w:sdtPr>
        <w:rPr>
          <w:rFonts w:ascii="宋体" w:hAnsi="宋体" w:cs="宋体"/>
          <w:b w:val="0"/>
          <w:bCs w:val="0"/>
          <w:kern w:val="0"/>
          <w:szCs w:val="21"/>
        </w:rPr>
        <w:alias w:val="模块:公司报告期内业务、产品或服务发生重大变化或调整有关情况"/>
        <w:tag w:val="_SEC_d6cb17445afd40d08283b8668ce1d236"/>
        <w:id w:val="1318690137"/>
        <w:lock w:val="sdtLocked"/>
        <w:placeholder>
          <w:docPart w:val="GBC22222222222222222222222222222"/>
        </w:placeholder>
      </w:sdtPr>
      <w:sdtContent>
        <w:p w:rsidR="00806678" w:rsidRDefault="00B16377" w:rsidP="00FF17C7">
          <w:pPr>
            <w:pStyle w:val="5"/>
            <w:numPr>
              <w:ilvl w:val="0"/>
              <w:numId w:val="65"/>
            </w:numPr>
            <w:tabs>
              <w:tab w:val="left" w:pos="567"/>
            </w:tabs>
            <w:ind w:left="0" w:firstLine="0"/>
            <w:rPr>
              <w:szCs w:val="21"/>
            </w:rPr>
          </w:pPr>
          <w:r>
            <w:rPr>
              <w:szCs w:val="21"/>
            </w:rPr>
            <w:t>公司报告期内业务、产品或服务发生重大变化或调整有关情况</w:t>
          </w:r>
        </w:p>
        <w:sdt>
          <w:sdtPr>
            <w:alias w:val="是否适用：公司报告期内业务、产品或服务发生重大变化或调整有关情况  [双击切换]"/>
            <w:tag w:val="_GBC_f5a966f2eb244fd68a4bc2176691f92b"/>
            <w:id w:val="-999580768"/>
            <w:lock w:val="sdtLocked"/>
            <w:placeholder>
              <w:docPart w:val="GBC22222222222222222222222222222"/>
            </w:placeholder>
          </w:sdtPr>
          <w:sdtContent>
            <w:p w:rsidR="00806678" w:rsidRPr="003E1F75" w:rsidRDefault="00F80B6C">
              <w:pPr>
                <w:rPr>
                  <w:color w:val="333399"/>
                </w:rPr>
              </w:pPr>
              <w:r>
                <w:fldChar w:fldCharType="begin"/>
              </w:r>
              <w:r w:rsidR="003E1F75">
                <w:instrText xml:space="preserve"> MACROBUTTON  SnrToggleCheckbox □适用 </w:instrText>
              </w:r>
              <w:r>
                <w:fldChar w:fldCharType="end"/>
              </w:r>
              <w:r>
                <w:fldChar w:fldCharType="begin"/>
              </w:r>
              <w:r w:rsidR="003E1F75">
                <w:instrText xml:space="preserve"> MACROBUTTON  SnrToggleCheckbox √不适用 </w:instrText>
              </w:r>
              <w:r>
                <w:fldChar w:fldCharType="end"/>
              </w:r>
            </w:p>
          </w:sdtContent>
        </w:sdt>
      </w:sdtContent>
    </w:sdt>
    <w:bookmarkEnd w:id="35"/>
    <w:p w:rsidR="00806678" w:rsidRDefault="00B16377" w:rsidP="00FF17C7">
      <w:pPr>
        <w:pStyle w:val="5"/>
        <w:numPr>
          <w:ilvl w:val="0"/>
          <w:numId w:val="65"/>
        </w:numPr>
        <w:tabs>
          <w:tab w:val="left" w:pos="567"/>
        </w:tabs>
        <w:ind w:left="0" w:firstLine="0"/>
        <w:rPr>
          <w:szCs w:val="21"/>
        </w:rPr>
      </w:pPr>
      <w:r>
        <w:rPr>
          <w:szCs w:val="21"/>
        </w:rPr>
        <w:t>主要销售客户及主要供应商情况</w:t>
      </w:r>
    </w:p>
    <w:p w:rsidR="00806678" w:rsidRDefault="00B16377">
      <w:pPr>
        <w:autoSpaceDE w:val="0"/>
        <w:autoSpaceDN w:val="0"/>
        <w:adjustRightInd w:val="0"/>
        <w:rPr>
          <w:b/>
          <w:szCs w:val="22"/>
          <w:lang w:val="zh-CN"/>
        </w:rPr>
      </w:pPr>
      <w:r>
        <w:rPr>
          <w:rFonts w:hint="eastAsia"/>
          <w:b/>
          <w:szCs w:val="21"/>
        </w:rPr>
        <w:t>A.</w:t>
      </w:r>
      <w:r>
        <w:rPr>
          <w:rFonts w:hint="eastAsia"/>
          <w:b/>
          <w:lang w:val="zh-CN"/>
        </w:rPr>
        <w:t>公司主要销售客户情况</w:t>
      </w:r>
    </w:p>
    <w:sdt>
      <w:sdtPr>
        <w:rPr>
          <w:szCs w:val="21"/>
        </w:rPr>
        <w:alias w:val="是否适用：主要销售客户情况[双击切换]"/>
        <w:tag w:val="_GBC_a2403594b48a40da9560c8bc71e01f56"/>
        <w:id w:val="-846482950"/>
        <w:lock w:val="sdtContentLocked"/>
        <w:placeholder>
          <w:docPart w:val="GBC22222222222222222222222222222"/>
        </w:placeholder>
      </w:sdtPr>
      <w:sdtContent>
        <w:p w:rsidR="00806678" w:rsidRDefault="00F80B6C">
          <w:pPr>
            <w:rPr>
              <w:szCs w:val="21"/>
            </w:rPr>
          </w:pPr>
          <w:r>
            <w:rPr>
              <w:szCs w:val="21"/>
            </w:rPr>
            <w:fldChar w:fldCharType="begin"/>
          </w:r>
          <w:r w:rsidR="008D5FE8">
            <w:rPr>
              <w:szCs w:val="21"/>
            </w:rPr>
            <w:instrText xml:space="preserve"> MACROBUTTON  SnrToggleCheckbox √适用 </w:instrText>
          </w:r>
          <w:r>
            <w:rPr>
              <w:szCs w:val="21"/>
            </w:rPr>
            <w:fldChar w:fldCharType="end"/>
          </w:r>
          <w:r>
            <w:rPr>
              <w:szCs w:val="21"/>
            </w:rPr>
            <w:fldChar w:fldCharType="begin"/>
          </w:r>
          <w:r w:rsidR="008D5FE8">
            <w:rPr>
              <w:szCs w:val="21"/>
            </w:rPr>
            <w:instrText xml:space="preserve"> MACROBUTTON  SnrToggleCheckbox □不适用 </w:instrText>
          </w:r>
          <w:r>
            <w:rPr>
              <w:szCs w:val="21"/>
            </w:rPr>
            <w:fldChar w:fldCharType="end"/>
          </w:r>
        </w:p>
      </w:sdtContent>
    </w:sdt>
    <w:sdt>
      <w:sdtPr>
        <w:rPr>
          <w:rFonts w:hint="eastAsia"/>
          <w:b/>
          <w:szCs w:val="21"/>
        </w:rPr>
        <w:alias w:val="模块:公司主要销售客户情况前五名客户销售额"/>
        <w:tag w:val="_SEC_1e36f4c903d34dcaa490079809a25d63"/>
        <w:id w:val="1815683115"/>
        <w:lock w:val="sdtLocked"/>
        <w:placeholder>
          <w:docPart w:val="GBC22222222222222222222222222222"/>
        </w:placeholder>
      </w:sdtPr>
      <w:sdtEndPr>
        <w:rPr>
          <w:rFonts w:hint="default"/>
          <w:b w:val="0"/>
        </w:rPr>
      </w:sdtEndPr>
      <w:sdtContent>
        <w:p w:rsidR="00806678" w:rsidRPr="00BF1F19" w:rsidRDefault="00B16377">
          <w:r>
            <w:rPr>
              <w:rFonts w:hint="eastAsia"/>
              <w:szCs w:val="21"/>
            </w:rPr>
            <w:t>前五名客户销售额</w:t>
          </w:r>
          <w:sdt>
            <w:sdtPr>
              <w:rPr>
                <w:rFonts w:hint="eastAsia"/>
                <w:szCs w:val="21"/>
              </w:rPr>
              <w:alias w:val="前五名客户销售额"/>
              <w:tag w:val="_GBC_e497000fdfbc4e548555b7f8ddf9780c"/>
              <w:id w:val="2118247274"/>
              <w:lock w:val="sdtLocked"/>
              <w:placeholder>
                <w:docPart w:val="GBC22222222222222222222222222222"/>
              </w:placeholder>
            </w:sdtPr>
            <w:sdtContent>
              <w:r w:rsidR="008D5FE8">
                <w:rPr>
                  <w:rFonts w:hint="eastAsia"/>
                </w:rPr>
                <w:t>2,669,642</w:t>
              </w:r>
            </w:sdtContent>
          </w:sdt>
          <w:sdt>
            <w:sdtPr>
              <w:rPr>
                <w:rFonts w:hint="eastAsia"/>
                <w:szCs w:val="21"/>
              </w:rPr>
              <w:alias w:val="单位：前五名客户销售额"/>
              <w:tag w:val="_GBC_4bd6620b209a4bae8dc3404e8b89ea35"/>
              <w:id w:val="-55531416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万元</w:t>
              </w:r>
            </w:sdtContent>
          </w:sdt>
          <w:r>
            <w:rPr>
              <w:szCs w:val="21"/>
            </w:rPr>
            <w:t>，占年度销售总额</w:t>
          </w:r>
          <w:sdt>
            <w:sdtPr>
              <w:rPr>
                <w:szCs w:val="21"/>
              </w:rPr>
              <w:alias w:val="前五名客户销售额占年度销售总额比例"/>
              <w:tag w:val="_GBC_68b3c8b493d04b6c9db16e7e475d7b35"/>
              <w:id w:val="-413087961"/>
              <w:lock w:val="sdtLocked"/>
              <w:placeholder>
                <w:docPart w:val="GBC22222222222222222222222222222"/>
              </w:placeholder>
            </w:sdtPr>
            <w:sdtContent>
              <w:r w:rsidR="008D5FE8">
                <w:rPr>
                  <w:rFonts w:hint="eastAsia"/>
                  <w:szCs w:val="21"/>
                </w:rPr>
                <w:t>35.24</w:t>
              </w:r>
            </w:sdtContent>
          </w:sdt>
          <w:r>
            <w:rPr>
              <w:szCs w:val="21"/>
            </w:rPr>
            <w:t>%；其中前五名客户销售额中关联方销售额</w:t>
          </w:r>
          <w:sdt>
            <w:sdtPr>
              <w:rPr>
                <w:szCs w:val="21"/>
              </w:rPr>
              <w:alias w:val="前五名客户销售额中关联方销售额"/>
              <w:tag w:val="_GBC_bfa0971257a44f65996f01cfb0497b07"/>
              <w:id w:val="874040382"/>
              <w:lock w:val="sdtLocked"/>
              <w:placeholder>
                <w:docPart w:val="GBC22222222222222222222222222222"/>
              </w:placeholder>
            </w:sdtPr>
            <w:sdtContent>
              <w:r w:rsidR="008D5FE8">
                <w:rPr>
                  <w:rFonts w:hint="eastAsia"/>
                </w:rPr>
                <w:t>954,</w:t>
              </w:r>
              <w:r w:rsidR="004B3704">
                <w:t>530</w:t>
              </w:r>
            </w:sdtContent>
          </w:sdt>
          <w:sdt>
            <w:sdtPr>
              <w:rPr>
                <w:szCs w:val="21"/>
              </w:rPr>
              <w:alias w:val="单位：前五名客户销售额中关联方销售额"/>
              <w:tag w:val="_GBC_f3c03afc93a5429f9fa45fc25f9018ab"/>
              <w:id w:val="-66902618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szCs w:val="21"/>
                </w:rPr>
                <w:t>万元</w:t>
              </w:r>
            </w:sdtContent>
          </w:sdt>
          <w:r>
            <w:rPr>
              <w:szCs w:val="21"/>
            </w:rPr>
            <w:t>，占年度销售总额</w:t>
          </w:r>
          <w:sdt>
            <w:sdtPr>
              <w:rPr>
                <w:szCs w:val="21"/>
              </w:rPr>
              <w:alias w:val="前五名客户销售额中关联方销售额占年度销售总额比例"/>
              <w:tag w:val="_GBC_a84a9f2fd5cd467fa7226eab846a8fd4"/>
              <w:id w:val="412128867"/>
              <w:lock w:val="sdtLocked"/>
              <w:placeholder>
                <w:docPart w:val="GBC22222222222222222222222222222"/>
              </w:placeholder>
            </w:sdtPr>
            <w:sdtContent>
              <w:r w:rsidR="008D5FE8">
                <w:rPr>
                  <w:rFonts w:hint="eastAsia"/>
                  <w:szCs w:val="21"/>
                </w:rPr>
                <w:t>12.60</w:t>
              </w:r>
            </w:sdtContent>
          </w:sdt>
          <w:r>
            <w:rPr>
              <w:szCs w:val="21"/>
            </w:rPr>
            <w:t xml:space="preserve"> %。</w:t>
          </w:r>
          <w:r w:rsidR="00BF1F19">
            <w:t>前五名客户分别为：</w:t>
          </w:r>
          <w:r w:rsidR="00BF1F19">
            <w:rPr>
              <w:rFonts w:hint="eastAsia"/>
            </w:rPr>
            <w:t>中国国家铁路集团有限公司及其下属单位、中国神华能源股份有限公司、中煤平朔集团有限公司、山西焦煤集团有限责任公司、晋能控股煤业集团有限公司</w:t>
          </w:r>
          <w:r w:rsidR="00BF1F19">
            <w:t>。</w:t>
          </w:r>
        </w:p>
      </w:sdtContent>
    </w:sdt>
    <w:sdt>
      <w:sdtPr>
        <w:rPr>
          <w:rFonts w:hint="eastAsia"/>
        </w:rPr>
        <w:alias w:val="模块:报告期内向单个客户的销售比例超过总额的50%、前5名客户中存..."/>
        <w:tag w:val="_SEC_95ad638a4b6f4b4790b1d0f3690a45cd"/>
        <w:id w:val="1968246515"/>
        <w:lock w:val="sdtLocked"/>
        <w:placeholder>
          <w:docPart w:val="GBC22222222222222222222222222222"/>
        </w:placeholder>
      </w:sdtPr>
      <w:sdtEndPr>
        <w:rPr>
          <w:rFonts w:hint="default"/>
          <w:szCs w:val="21"/>
        </w:rPr>
      </w:sdtEndPr>
      <w:sdtContent>
        <w:p w:rsidR="00806678" w:rsidRDefault="00B16377">
          <w:r>
            <w:rPr>
              <w:rFonts w:hint="eastAsia"/>
            </w:rPr>
            <w:t>报告期内向单个客户的销售比例超过总额的</w:t>
          </w:r>
          <w:r>
            <w:t>50%、前</w:t>
          </w:r>
          <w:r>
            <w:rPr>
              <w:rFonts w:hint="eastAsia"/>
            </w:rPr>
            <w:t>5</w:t>
          </w:r>
          <w:r>
            <w:t>名客户中存在新增客户的或严重依赖于少数客户的情形</w:t>
          </w:r>
        </w:p>
        <w:sdt>
          <w:sdtPr>
            <w:alias w:val="是否适用：前5名销售客户中存在新增客户的或严重依赖于少数客户的情形表[双击切换]"/>
            <w:tag w:val="_GBC_9335bc17e9fb4b00a212f4c3a2cf1884"/>
            <w:id w:val="-1497874237"/>
            <w:lock w:val="sdtLocked"/>
            <w:placeholder>
              <w:docPart w:val="GBC22222222222222222222222222222"/>
            </w:placeholder>
          </w:sdtPr>
          <w:sdtContent>
            <w:p w:rsidR="00806678" w:rsidRDefault="00F80B6C" w:rsidP="008D5FE8">
              <w:pPr>
                <w:rPr>
                  <w:szCs w:val="21"/>
                </w:rPr>
              </w:pPr>
              <w:r>
                <w:fldChar w:fldCharType="begin"/>
              </w:r>
              <w:r w:rsidR="008D5FE8">
                <w:instrText xml:space="preserve"> MACROBUTTON  SnrToggleCheckbox □适用 </w:instrText>
              </w:r>
              <w:r>
                <w:fldChar w:fldCharType="end"/>
              </w:r>
              <w:r>
                <w:fldChar w:fldCharType="begin"/>
              </w:r>
              <w:r w:rsidR="008D5FE8">
                <w:instrText xml:space="preserve"> MACROBUTTON  SnrToggleCheckbox √不适用 </w:instrText>
              </w:r>
              <w:r>
                <w:fldChar w:fldCharType="end"/>
              </w:r>
            </w:p>
          </w:sdtContent>
        </w:sdt>
      </w:sdtContent>
    </w:sdt>
    <w:p w:rsidR="00806678" w:rsidRDefault="00B16377">
      <w:pPr>
        <w:rPr>
          <w:szCs w:val="21"/>
        </w:rPr>
      </w:pPr>
      <w:r>
        <w:rPr>
          <w:rFonts w:hint="eastAsia"/>
          <w:b/>
          <w:szCs w:val="21"/>
        </w:rPr>
        <w:t>B.</w:t>
      </w:r>
      <w:r>
        <w:rPr>
          <w:rFonts w:hint="eastAsia"/>
          <w:b/>
          <w:lang w:val="zh-CN"/>
        </w:rPr>
        <w:t>公司主要供应商情况</w:t>
      </w:r>
    </w:p>
    <w:sdt>
      <w:sdtPr>
        <w:rPr>
          <w:szCs w:val="21"/>
        </w:rPr>
        <w:alias w:val="是否适用：主要供应商情况[双击切换]"/>
        <w:tag w:val="_GBC_fea16361481c4fe3babe7fcb670d973f"/>
        <w:id w:val="403187349"/>
        <w:lock w:val="sdtContentLocked"/>
        <w:placeholder>
          <w:docPart w:val="GBC22222222222222222222222222222"/>
        </w:placeholder>
      </w:sdtPr>
      <w:sdtContent>
        <w:p w:rsidR="00806678" w:rsidRDefault="00F80B6C">
          <w:pPr>
            <w:rPr>
              <w:szCs w:val="21"/>
            </w:rPr>
          </w:pPr>
          <w:r>
            <w:rPr>
              <w:szCs w:val="21"/>
            </w:rPr>
            <w:fldChar w:fldCharType="begin"/>
          </w:r>
          <w:r w:rsidR="00B953D1">
            <w:rPr>
              <w:szCs w:val="21"/>
            </w:rPr>
            <w:instrText xml:space="preserve"> MACROBUTTON  SnrToggleCheckbox √适用 </w:instrText>
          </w:r>
          <w:r>
            <w:rPr>
              <w:szCs w:val="21"/>
            </w:rPr>
            <w:fldChar w:fldCharType="end"/>
          </w:r>
          <w:r>
            <w:rPr>
              <w:szCs w:val="21"/>
            </w:rPr>
            <w:fldChar w:fldCharType="begin"/>
          </w:r>
          <w:r w:rsidR="00B953D1">
            <w:rPr>
              <w:szCs w:val="21"/>
            </w:rPr>
            <w:instrText xml:space="preserve"> MACROBUTTON  SnrToggleCheckbox □不适用 </w:instrText>
          </w:r>
          <w:r>
            <w:rPr>
              <w:szCs w:val="21"/>
            </w:rPr>
            <w:fldChar w:fldCharType="end"/>
          </w:r>
        </w:p>
      </w:sdtContent>
    </w:sdt>
    <w:sdt>
      <w:sdtPr>
        <w:rPr>
          <w:rFonts w:hint="eastAsia"/>
          <w:b/>
          <w:szCs w:val="21"/>
        </w:rPr>
        <w:alias w:val="模块:公司主要供应商情况前五名供应商采购额"/>
        <w:tag w:val="_SEC_3a7906474e0b449b832049e5ab89fb92"/>
        <w:id w:val="-1590694470"/>
        <w:lock w:val="sdtLocked"/>
        <w:placeholder>
          <w:docPart w:val="GBC22222222222222222222222222222"/>
        </w:placeholder>
      </w:sdtPr>
      <w:sdtEndPr>
        <w:rPr>
          <w:rFonts w:hint="default"/>
          <w:b w:val="0"/>
        </w:rPr>
      </w:sdtEndPr>
      <w:sdtContent>
        <w:p w:rsidR="00806678" w:rsidRDefault="00B16377">
          <w:r>
            <w:rPr>
              <w:rFonts w:hint="eastAsia"/>
              <w:szCs w:val="21"/>
            </w:rPr>
            <w:t>前五名供应商采购额</w:t>
          </w:r>
          <w:sdt>
            <w:sdtPr>
              <w:rPr>
                <w:rFonts w:hint="eastAsia"/>
                <w:szCs w:val="21"/>
              </w:rPr>
              <w:alias w:val="前五名供应商采购额"/>
              <w:tag w:val="_GBC_4552254972a04ec6983b359a0f18d4bf"/>
              <w:id w:val="-332997464"/>
              <w:lock w:val="sdtLocked"/>
              <w:placeholder>
                <w:docPart w:val="GBC22222222222222222222222222222"/>
              </w:placeholder>
            </w:sdtPr>
            <w:sdtContent>
              <w:r w:rsidR="00933D9F">
                <w:rPr>
                  <w:szCs w:val="21"/>
                </w:rPr>
                <w:t>3,2</w:t>
              </w:r>
              <w:r w:rsidR="00B17937">
                <w:rPr>
                  <w:szCs w:val="21"/>
                </w:rPr>
                <w:t>37</w:t>
              </w:r>
              <w:r w:rsidR="00933D9F">
                <w:rPr>
                  <w:szCs w:val="21"/>
                </w:rPr>
                <w:t>,</w:t>
              </w:r>
              <w:r w:rsidR="00B17937">
                <w:rPr>
                  <w:szCs w:val="21"/>
                </w:rPr>
                <w:t>390</w:t>
              </w:r>
            </w:sdtContent>
          </w:sdt>
          <w:sdt>
            <w:sdtPr>
              <w:rPr>
                <w:rFonts w:hint="eastAsia"/>
                <w:szCs w:val="21"/>
              </w:rPr>
              <w:alias w:val="单位：前五名供应商采购额"/>
              <w:tag w:val="_GBC_418fcbdb1c1a4643afb7cce014bdeca2"/>
              <w:id w:val="16521967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万元</w:t>
              </w:r>
            </w:sdtContent>
          </w:sdt>
          <w:r>
            <w:rPr>
              <w:szCs w:val="21"/>
            </w:rPr>
            <w:t>，占年度采购总额</w:t>
          </w:r>
          <w:sdt>
            <w:sdtPr>
              <w:rPr>
                <w:szCs w:val="21"/>
              </w:rPr>
              <w:alias w:val="前五名供应商采购额占年度采购总额比例"/>
              <w:tag w:val="_GBC_f32c49f691154cc4b6ba587f4a582958"/>
              <w:id w:val="-921719189"/>
              <w:lock w:val="sdtLocked"/>
              <w:placeholder>
                <w:docPart w:val="GBC22222222222222222222222222222"/>
              </w:placeholder>
            </w:sdtPr>
            <w:sdtContent>
              <w:r w:rsidR="000E7158">
                <w:rPr>
                  <w:szCs w:val="21"/>
                </w:rPr>
                <w:t>67</w:t>
              </w:r>
              <w:r w:rsidR="00B17937">
                <w:rPr>
                  <w:szCs w:val="21"/>
                </w:rPr>
                <w:t>.</w:t>
              </w:r>
              <w:r w:rsidR="000E7158">
                <w:rPr>
                  <w:szCs w:val="21"/>
                </w:rPr>
                <w:t>13</w:t>
              </w:r>
            </w:sdtContent>
          </w:sdt>
          <w:r>
            <w:rPr>
              <w:szCs w:val="21"/>
            </w:rPr>
            <w:t>%；其中前五名供应商采购额中关联方采购额</w:t>
          </w:r>
          <w:sdt>
            <w:sdtPr>
              <w:rPr>
                <w:szCs w:val="21"/>
              </w:rPr>
              <w:alias w:val="前五名供应商采购额中关联方采购额"/>
              <w:tag w:val="_GBC_b4791060802442e186017fdd5f31805a"/>
              <w:id w:val="1722945362"/>
              <w:lock w:val="sdtLocked"/>
              <w:placeholder>
                <w:docPart w:val="GBC22222222222222222222222222222"/>
              </w:placeholder>
            </w:sdtPr>
            <w:sdtContent>
              <w:r w:rsidR="00933D9F">
                <w:rPr>
                  <w:szCs w:val="21"/>
                </w:rPr>
                <w:t>2,681,822</w:t>
              </w:r>
            </w:sdtContent>
          </w:sdt>
          <w:sdt>
            <w:sdtPr>
              <w:rPr>
                <w:szCs w:val="21"/>
              </w:rPr>
              <w:alias w:val="单位：前五名供应商采购额中关联方采购额"/>
              <w:tag w:val="_GBC_bac6c3f63a9a4b0db685f5ee8e883818"/>
              <w:id w:val="-79437458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szCs w:val="21"/>
                </w:rPr>
                <w:t>万元</w:t>
              </w:r>
            </w:sdtContent>
          </w:sdt>
          <w:r>
            <w:rPr>
              <w:szCs w:val="21"/>
            </w:rPr>
            <w:t>，占年度采购总额</w:t>
          </w:r>
          <w:sdt>
            <w:sdtPr>
              <w:rPr>
                <w:szCs w:val="21"/>
              </w:rPr>
              <w:alias w:val="前五名供应商采购额中关联方采购额占年度采购总额比例"/>
              <w:tag w:val="_GBC_41b2f0a67a5743e1a4ccf8f427eec0a3"/>
              <w:id w:val="603621799"/>
              <w:lock w:val="sdtLocked"/>
              <w:placeholder>
                <w:docPart w:val="GBC22222222222222222222222222222"/>
              </w:placeholder>
            </w:sdtPr>
            <w:sdtContent>
              <w:r w:rsidR="000E7158">
                <w:rPr>
                  <w:szCs w:val="21"/>
                </w:rPr>
                <w:t>55</w:t>
              </w:r>
              <w:r w:rsidR="00933D9F">
                <w:rPr>
                  <w:rFonts w:hint="eastAsia"/>
                  <w:szCs w:val="21"/>
                </w:rPr>
                <w:t>.</w:t>
              </w:r>
              <w:r w:rsidR="000E7158">
                <w:rPr>
                  <w:szCs w:val="21"/>
                </w:rPr>
                <w:t>61</w:t>
              </w:r>
            </w:sdtContent>
          </w:sdt>
          <w:r>
            <w:rPr>
              <w:rFonts w:hint="eastAsia"/>
            </w:rPr>
            <w:t>%。</w:t>
          </w:r>
        </w:p>
        <w:p w:rsidR="00806678" w:rsidRDefault="00F80B6C">
          <w:pPr>
            <w:rPr>
              <w:szCs w:val="21"/>
            </w:rPr>
          </w:pPr>
        </w:p>
      </w:sdtContent>
    </w:sdt>
    <w:sdt>
      <w:sdtPr>
        <w:alias w:val="模块:报告期内向单个供应商的采购比例超过总额的50%、前5名供应商..."/>
        <w:tag w:val="_SEC_3d1177daffc24273aa09c51395106f77"/>
        <w:id w:val="782463873"/>
        <w:lock w:val="sdtLocked"/>
        <w:placeholder>
          <w:docPart w:val="GBC22222222222222222222222222222"/>
        </w:placeholder>
      </w:sdtPr>
      <w:sdtEndPr>
        <w:rPr>
          <w:szCs w:val="21"/>
        </w:rPr>
      </w:sdtEndPr>
      <w:sdtContent>
        <w:p w:rsidR="00806678" w:rsidRDefault="00B16377">
          <w:r>
            <w:t>报告期内向单个供应商的采购比例超过总额的50%、前5名供应商中存在新增供应商的或严重依赖于少数供应商的情形</w:t>
          </w:r>
        </w:p>
        <w:sdt>
          <w:sdtPr>
            <w:alias w:val="是否适用：前5名供应商中存在新增供应商的或严重依赖于少数供应商的情形表[双击切换]"/>
            <w:tag w:val="_GBC_1e4a3af63f0f41888dc455d8c1a979a8"/>
            <w:id w:val="128676449"/>
            <w:lock w:val="sdtLocked"/>
            <w:placeholder>
              <w:docPart w:val="GBC22222222222222222222222222222"/>
            </w:placeholder>
          </w:sdtPr>
          <w:sdtContent>
            <w:p w:rsidR="00933D9F" w:rsidRDefault="00F80B6C" w:rsidP="00843431">
              <w:r>
                <w:fldChar w:fldCharType="begin"/>
              </w:r>
              <w:r w:rsidR="00933D9F">
                <w:instrText xml:space="preserve"> MACROBUTTON  SnrToggleCheckbox √适用 </w:instrText>
              </w:r>
              <w:r>
                <w:fldChar w:fldCharType="end"/>
              </w:r>
              <w:r>
                <w:fldChar w:fldCharType="begin"/>
              </w:r>
              <w:r w:rsidR="00933D9F">
                <w:instrText xml:space="preserve"> MACROBUTTON  SnrToggleCheckbox □不适用 </w:instrText>
              </w:r>
              <w:r>
                <w:fldChar w:fldCharType="end"/>
              </w:r>
            </w:p>
          </w:sdtContent>
        </w:sdt>
        <w:p w:rsidR="00933D9F" w:rsidRDefault="00933D9F" w:rsidP="004B4952">
          <w:pPr>
            <w:jc w:val="right"/>
            <w:rPr>
              <w:szCs w:val="21"/>
            </w:rPr>
          </w:pPr>
          <w:r>
            <w:rPr>
              <w:rFonts w:hint="eastAsia"/>
              <w:szCs w:val="21"/>
            </w:rPr>
            <w:t>单位</w:t>
          </w:r>
          <w:r>
            <w:rPr>
              <w:szCs w:val="21"/>
            </w:rPr>
            <w:t>:</w:t>
          </w:r>
          <w:sdt>
            <w:sdtPr>
              <w:rPr>
                <w:szCs w:val="21"/>
              </w:rPr>
              <w:alias w:val="单位：前5名供应商中存在新增供应商的或严重依赖于少数供应商的情形表"/>
              <w:tag w:val="_GBC_036521f9552a4945b789f303a5ebc076"/>
              <w:id w:val="1658271913"/>
              <w:lock w:val="sdtLocked"/>
              <w:comboBox>
                <w:listItem w:displayText="元" w:value="元"/>
                <w:listItem w:displayText="千元" w:value="千元"/>
                <w:listItem w:displayText="万元" w:value="万元"/>
                <w:listItem w:displayText="百万元" w:value="百万元"/>
                <w:listItem w:displayText="亿元" w:value="亿元"/>
              </w:comboBox>
            </w:sdtPr>
            <w:sdtContent>
              <w:r>
                <w:rPr>
                  <w:szCs w:val="21"/>
                </w:rPr>
                <w:t>万元</w:t>
              </w:r>
            </w:sdtContent>
          </w:sdt>
          <w:r>
            <w:rPr>
              <w:rFonts w:hint="eastAsia"/>
              <w:szCs w:val="21"/>
            </w:rPr>
            <w:t xml:space="preserve">  币种</w:t>
          </w:r>
          <w:r>
            <w:rPr>
              <w:szCs w:val="21"/>
            </w:rPr>
            <w:t>:</w:t>
          </w:r>
          <w:sdt>
            <w:sdtPr>
              <w:rPr>
                <w:szCs w:val="21"/>
              </w:rPr>
              <w:alias w:val="币种：前5名供应商中存在新增供应商的或严重依赖于少数供应商的情形表"/>
              <w:tag w:val="_GBC_4f8542d2517f47e5bd8480fca623c3f2"/>
              <w:id w:val="612795976"/>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2744"/>
            <w:gridCol w:w="2744"/>
            <w:gridCol w:w="2744"/>
          </w:tblGrid>
          <w:tr w:rsidR="00933D9F" w:rsidTr="004B4952">
            <w:trPr>
              <w:trHeight w:val="135"/>
            </w:trPr>
            <w:sdt>
              <w:sdtPr>
                <w:rPr>
                  <w:rFonts w:hint="eastAsia"/>
                </w:rPr>
                <w:tag w:val="_PLD_5c6412ba92ae46a6868a5ff54cd0de79"/>
                <w:id w:val="-1075660414"/>
                <w:lock w:val="sdtLocked"/>
              </w:sdtPr>
              <w:sdtContent>
                <w:tc>
                  <w:tcPr>
                    <w:tcW w:w="451" w:type="pct"/>
                  </w:tcPr>
                  <w:p w:rsidR="00933D9F" w:rsidRDefault="00933D9F" w:rsidP="004B4952">
                    <w:pPr>
                      <w:jc w:val="center"/>
                    </w:pPr>
                    <w:r>
                      <w:rPr>
                        <w:rFonts w:hint="eastAsia"/>
                      </w:rPr>
                      <w:t>序号</w:t>
                    </w:r>
                  </w:p>
                </w:tc>
              </w:sdtContent>
            </w:sdt>
            <w:sdt>
              <w:sdtPr>
                <w:rPr>
                  <w:rFonts w:hint="eastAsia"/>
                </w:rPr>
                <w:tag w:val="_PLD_1c99637d118847169ab972d16260e563"/>
                <w:id w:val="1698732261"/>
                <w:lock w:val="sdtLocked"/>
              </w:sdtPr>
              <w:sdtContent>
                <w:tc>
                  <w:tcPr>
                    <w:tcW w:w="1516" w:type="pct"/>
                    <w:shd w:val="clear" w:color="auto" w:fill="auto"/>
                    <w:vAlign w:val="center"/>
                  </w:tcPr>
                  <w:p w:rsidR="00933D9F" w:rsidRDefault="00933D9F" w:rsidP="004B4952">
                    <w:pPr>
                      <w:jc w:val="center"/>
                      <w:rPr>
                        <w:szCs w:val="21"/>
                      </w:rPr>
                    </w:pPr>
                    <w:r>
                      <w:rPr>
                        <w:rFonts w:hint="eastAsia"/>
                      </w:rPr>
                      <w:t>供应商名称</w:t>
                    </w:r>
                  </w:p>
                </w:tc>
              </w:sdtContent>
            </w:sdt>
            <w:sdt>
              <w:sdtPr>
                <w:rPr>
                  <w:rFonts w:hint="eastAsia"/>
                </w:rPr>
                <w:tag w:val="_PLD_7fe1f236ee9346c5b56beeb2fbb521c1"/>
                <w:id w:val="-1654989016"/>
                <w:lock w:val="sdtLocked"/>
              </w:sdtPr>
              <w:sdtContent>
                <w:tc>
                  <w:tcPr>
                    <w:tcW w:w="1516" w:type="pct"/>
                    <w:shd w:val="clear" w:color="auto" w:fill="auto"/>
                    <w:vAlign w:val="center"/>
                  </w:tcPr>
                  <w:p w:rsidR="00933D9F" w:rsidRDefault="00933D9F" w:rsidP="004B4952">
                    <w:pPr>
                      <w:jc w:val="center"/>
                      <w:rPr>
                        <w:szCs w:val="21"/>
                      </w:rPr>
                    </w:pPr>
                    <w:r>
                      <w:rPr>
                        <w:rFonts w:hint="eastAsia"/>
                      </w:rPr>
                      <w:t>采购额</w:t>
                    </w:r>
                  </w:p>
                </w:tc>
              </w:sdtContent>
            </w:sdt>
            <w:sdt>
              <w:sdtPr>
                <w:rPr>
                  <w:rFonts w:hint="eastAsia"/>
                </w:rPr>
                <w:tag w:val="_PLD_ae3cc0eaaaf54f8c9c9a2424008b3d80"/>
                <w:id w:val="-1109969491"/>
                <w:lock w:val="sdtLocked"/>
              </w:sdtPr>
              <w:sdtContent>
                <w:tc>
                  <w:tcPr>
                    <w:tcW w:w="1516" w:type="pct"/>
                  </w:tcPr>
                  <w:p w:rsidR="00933D9F" w:rsidRDefault="00933D9F" w:rsidP="004B4952">
                    <w:pPr>
                      <w:jc w:val="center"/>
                    </w:pPr>
                    <w:r>
                      <w:rPr>
                        <w:rFonts w:hint="eastAsia"/>
                      </w:rPr>
                      <w:t>占年度采购总额比例（%）</w:t>
                    </w:r>
                  </w:p>
                </w:tc>
              </w:sdtContent>
            </w:sdt>
          </w:tr>
          <w:sdt>
            <w:sdtPr>
              <w:rPr>
                <w:rStyle w:val="5Char2"/>
                <w:rFonts w:hint="eastAsia"/>
                <w:b w:val="0"/>
                <w:szCs w:val="21"/>
              </w:rPr>
              <w:alias w:val="前5名供应商中存在新增供应商的或严重依赖于少数供应商的情形表明细"/>
              <w:tag w:val="_TUP_f7ede681f93a4bf8be00942afc1aa2cd"/>
              <w:id w:val="-627699851"/>
              <w:lock w:val="sdtLocked"/>
            </w:sdtPr>
            <w:sdtEndPr>
              <w:rPr>
                <w:rStyle w:val="5Char2"/>
                <w:rFonts w:hint="default"/>
              </w:rPr>
            </w:sdtEndPr>
            <w:sdtContent>
              <w:tr w:rsidR="00933D9F" w:rsidTr="004B4952">
                <w:trPr>
                  <w:trHeight w:val="147"/>
                </w:trPr>
                <w:tc>
                  <w:tcPr>
                    <w:tcW w:w="451" w:type="pct"/>
                  </w:tcPr>
                  <w:sdt>
                    <w:sdtPr>
                      <w:rPr>
                        <w:rStyle w:val="5Char2"/>
                        <w:rFonts w:hint="eastAsia"/>
                        <w:b w:val="0"/>
                        <w:szCs w:val="21"/>
                      </w:rPr>
                      <w:tag w:val="_PLD_855251ac9cbe4112968c2db6112ae308"/>
                      <w:id w:val="774822047"/>
                      <w:lock w:val="sdtLocked"/>
                    </w:sdtPr>
                    <w:sdtContent>
                      <w:p w:rsidR="00933D9F" w:rsidRDefault="00933D9F" w:rsidP="004B4952">
                        <w:pPr>
                          <w:jc w:val="center"/>
                          <w:rPr>
                            <w:rStyle w:val="5Char2"/>
                            <w:b w:val="0"/>
                            <w:szCs w:val="21"/>
                          </w:rPr>
                        </w:pPr>
                        <w:r>
                          <w:rPr>
                            <w:rStyle w:val="5Char2"/>
                            <w:rFonts w:hint="eastAsia"/>
                            <w:b w:val="0"/>
                            <w:szCs w:val="21"/>
                          </w:rPr>
                          <w:t>1</w:t>
                        </w:r>
                      </w:p>
                    </w:sdtContent>
                  </w:sdt>
                </w:tc>
                <w:tc>
                  <w:tcPr>
                    <w:tcW w:w="1516" w:type="pct"/>
                    <w:shd w:val="clear" w:color="auto" w:fill="auto"/>
                  </w:tcPr>
                  <w:p w:rsidR="00933D9F" w:rsidRPr="00933D9F" w:rsidRDefault="00933D9F" w:rsidP="004B4952">
                    <w:pPr>
                      <w:rPr>
                        <w:rStyle w:val="5Char2"/>
                        <w:b w:val="0"/>
                        <w:szCs w:val="21"/>
                      </w:rPr>
                    </w:pPr>
                    <w:r w:rsidRPr="00933D9F">
                      <w:rPr>
                        <w:rStyle w:val="5Char2"/>
                        <w:rFonts w:hint="eastAsia"/>
                        <w:b w:val="0"/>
                        <w:szCs w:val="21"/>
                      </w:rPr>
                      <w:t>国家铁路集团及其下属单位</w:t>
                    </w:r>
                  </w:p>
                </w:tc>
                <w:tc>
                  <w:tcPr>
                    <w:tcW w:w="1516" w:type="pct"/>
                    <w:shd w:val="clear" w:color="auto" w:fill="auto"/>
                  </w:tcPr>
                  <w:p w:rsidR="00933D9F" w:rsidRDefault="00933D9F" w:rsidP="004B4952">
                    <w:pPr>
                      <w:jc w:val="right"/>
                      <w:rPr>
                        <w:rStyle w:val="5Char2"/>
                        <w:b w:val="0"/>
                        <w:szCs w:val="21"/>
                      </w:rPr>
                    </w:pPr>
                    <w:r>
                      <w:rPr>
                        <w:rStyle w:val="5Char2"/>
                        <w:b w:val="0"/>
                        <w:szCs w:val="21"/>
                      </w:rPr>
                      <w:t>2,681,822</w:t>
                    </w:r>
                  </w:p>
                </w:tc>
                <w:tc>
                  <w:tcPr>
                    <w:tcW w:w="1516" w:type="pct"/>
                  </w:tcPr>
                  <w:p w:rsidR="00933D9F" w:rsidRPr="00702B03" w:rsidRDefault="00702B03" w:rsidP="004B4952">
                    <w:pPr>
                      <w:jc w:val="right"/>
                      <w:rPr>
                        <w:rStyle w:val="5Char2"/>
                        <w:b w:val="0"/>
                        <w:szCs w:val="21"/>
                      </w:rPr>
                    </w:pPr>
                    <w:r w:rsidRPr="00702B03">
                      <w:rPr>
                        <w:rStyle w:val="5Char2"/>
                        <w:b w:val="0"/>
                        <w:szCs w:val="21"/>
                      </w:rPr>
                      <w:t>5</w:t>
                    </w:r>
                    <w:r w:rsidRPr="00702B03">
                      <w:rPr>
                        <w:rStyle w:val="5Char2"/>
                        <w:b w:val="0"/>
                      </w:rPr>
                      <w:t>5.61</w:t>
                    </w:r>
                  </w:p>
                </w:tc>
              </w:tr>
            </w:sdtContent>
          </w:sdt>
        </w:tbl>
        <w:p w:rsidR="00806678" w:rsidRDefault="00F80B6C" w:rsidP="00843431">
          <w:pPr>
            <w:rPr>
              <w:szCs w:val="21"/>
            </w:rPr>
          </w:pPr>
        </w:p>
      </w:sdtContent>
    </w:sdt>
    <w:p w:rsidR="00806678" w:rsidRDefault="00B16377">
      <w:pPr>
        <w:rPr>
          <w:szCs w:val="21"/>
        </w:rPr>
      </w:pPr>
      <w:r>
        <w:rPr>
          <w:rFonts w:hint="eastAsia"/>
          <w:szCs w:val="21"/>
        </w:rPr>
        <w:t>其他说明</w:t>
      </w:r>
    </w:p>
    <w:sdt>
      <w:sdtPr>
        <w:rPr>
          <w:szCs w:val="21"/>
        </w:rPr>
        <w:alias w:val="主要销售客户及主要供应商情况其他说明"/>
        <w:tag w:val="_GBC_671f841429ed4c5aaa013b86ad58b88f"/>
        <w:id w:val="-1408299362"/>
        <w:lock w:val="sdtLocked"/>
        <w:placeholder>
          <w:docPart w:val="GBC22222222222222222222222222222"/>
        </w:placeholder>
      </w:sdtPr>
      <w:sdtContent>
        <w:p w:rsidR="00806678" w:rsidRDefault="00D43633">
          <w:pPr>
            <w:rPr>
              <w:szCs w:val="21"/>
            </w:rPr>
          </w:pPr>
          <w:r>
            <w:rPr>
              <w:rFonts w:hint="eastAsia"/>
              <w:szCs w:val="21"/>
            </w:rPr>
            <w:t>无</w:t>
          </w:r>
        </w:p>
      </w:sdtContent>
    </w:sdt>
    <w:sdt>
      <w:sdtPr>
        <w:rPr>
          <w:rFonts w:ascii="宋体" w:eastAsia="宋体" w:hAnsi="宋体" w:cs="宋体"/>
          <w:b w:val="0"/>
          <w:bCs w:val="0"/>
          <w:kern w:val="0"/>
          <w:szCs w:val="24"/>
        </w:rPr>
        <w:alias w:val="模块:费用"/>
        <w:tag w:val="_SEC_775a3421cf05469a8bf0b92a3e954a9d"/>
        <w:id w:val="1197450"/>
        <w:lock w:val="sdtLocked"/>
        <w:placeholder>
          <w:docPart w:val="GBC22222222222222222222222222222"/>
        </w:placeholder>
      </w:sdtPr>
      <w:sdtEndPr>
        <w:rPr>
          <w:szCs w:val="21"/>
        </w:rPr>
      </w:sdtEndPr>
      <w:sdtContent>
        <w:p w:rsidR="00806678" w:rsidRDefault="00B16377" w:rsidP="00FF17C7">
          <w:pPr>
            <w:pStyle w:val="4"/>
            <w:numPr>
              <w:ilvl w:val="0"/>
              <w:numId w:val="64"/>
            </w:numPr>
          </w:pPr>
          <w:r>
            <w:rPr>
              <w:rFonts w:hint="eastAsia"/>
            </w:rPr>
            <w:t>费用</w:t>
          </w:r>
        </w:p>
        <w:sdt>
          <w:sdtPr>
            <w:alias w:val="是否适用：费用[双击切换]"/>
            <w:tag w:val="_GBC_fa9cd5e43a8f426c8b793a737190d8db"/>
            <w:id w:val="-104810559"/>
            <w:lock w:val="sdtLocked"/>
            <w:placeholder>
              <w:docPart w:val="GBC22222222222222222222222222222"/>
            </w:placeholder>
          </w:sdtPr>
          <w:sdtContent>
            <w:p w:rsidR="00806678" w:rsidRDefault="00F80B6C">
              <w:r>
                <w:fldChar w:fldCharType="begin"/>
              </w:r>
              <w:r w:rsidR="00D43633">
                <w:instrText xml:space="preserve">MACROBUTTON  SnrToggleCheckbox √适用 </w:instrText>
              </w:r>
              <w:r>
                <w:fldChar w:fldCharType="end"/>
              </w:r>
              <w:r>
                <w:fldChar w:fldCharType="begin"/>
              </w:r>
              <w:r w:rsidR="00D43633">
                <w:instrText xml:space="preserve"> MACROBUTTON  SnrToggleCheckbox □不适用 </w:instrText>
              </w:r>
              <w:r>
                <w:fldChar w:fldCharType="end"/>
              </w:r>
            </w:p>
          </w:sdtContent>
        </w:sdt>
        <w:sdt>
          <w:sdtPr>
            <w:rPr>
              <w:rFonts w:hint="eastAsia"/>
              <w:szCs w:val="21"/>
            </w:rPr>
            <w:alias w:val="费用情况说明"/>
            <w:tag w:val="_GBC_02a46af1e8d349d8b753768e17da35a1"/>
            <w:id w:val="1197451"/>
            <w:lock w:val="sdtLocked"/>
            <w:placeholder>
              <w:docPart w:val="GBC22222222222222222222222222222"/>
            </w:placeholder>
          </w:sdtPr>
          <w:sdtContent>
            <w:p w:rsidR="00D43633" w:rsidRDefault="00D43633">
              <w:pPr>
                <w:rPr>
                  <w:szCs w:val="21"/>
                </w:rPr>
              </w:pP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08"/>
                <w:gridCol w:w="1529"/>
                <w:gridCol w:w="1534"/>
                <w:gridCol w:w="986"/>
                <w:gridCol w:w="3088"/>
              </w:tblGrid>
              <w:tr w:rsidR="00D43633" w:rsidTr="008163BB">
                <w:trPr>
                  <w:trHeight w:val="136"/>
                  <w:jc w:val="center"/>
                </w:trPr>
                <w:tc>
                  <w:tcPr>
                    <w:tcW w:w="1055" w:type="pct"/>
                    <w:vAlign w:val="center"/>
                  </w:tcPr>
                  <w:p w:rsidR="00D43633" w:rsidRDefault="00D43633" w:rsidP="008163BB">
                    <w:pPr>
                      <w:jc w:val="center"/>
                      <w:rPr>
                        <w:szCs w:val="21"/>
                      </w:rPr>
                    </w:pPr>
                    <w:r>
                      <w:rPr>
                        <w:szCs w:val="21"/>
                      </w:rPr>
                      <w:t>项目</w:t>
                    </w:r>
                  </w:p>
                </w:tc>
                <w:tc>
                  <w:tcPr>
                    <w:tcW w:w="845" w:type="pct"/>
                    <w:vAlign w:val="center"/>
                  </w:tcPr>
                  <w:p w:rsidR="00D43633" w:rsidRDefault="00D43633" w:rsidP="008163BB">
                    <w:pPr>
                      <w:jc w:val="center"/>
                      <w:rPr>
                        <w:szCs w:val="21"/>
                      </w:rPr>
                    </w:pPr>
                    <w:r>
                      <w:rPr>
                        <w:rFonts w:hint="eastAsia"/>
                        <w:szCs w:val="21"/>
                      </w:rPr>
                      <w:t>2022年</w:t>
                    </w:r>
                  </w:p>
                </w:tc>
                <w:tc>
                  <w:tcPr>
                    <w:tcW w:w="848" w:type="pct"/>
                    <w:vAlign w:val="center"/>
                  </w:tcPr>
                  <w:p w:rsidR="00D43633" w:rsidRDefault="00D43633" w:rsidP="008163BB">
                    <w:pPr>
                      <w:jc w:val="center"/>
                      <w:rPr>
                        <w:szCs w:val="21"/>
                      </w:rPr>
                    </w:pPr>
                    <w:r>
                      <w:rPr>
                        <w:rFonts w:hint="eastAsia"/>
                        <w:szCs w:val="21"/>
                      </w:rPr>
                      <w:t>2021年</w:t>
                    </w:r>
                  </w:p>
                </w:tc>
                <w:tc>
                  <w:tcPr>
                    <w:tcW w:w="545" w:type="pct"/>
                    <w:vAlign w:val="center"/>
                  </w:tcPr>
                  <w:p w:rsidR="00D43633" w:rsidRDefault="00D43633" w:rsidP="008163BB">
                    <w:pPr>
                      <w:jc w:val="center"/>
                      <w:rPr>
                        <w:szCs w:val="21"/>
                      </w:rPr>
                    </w:pPr>
                    <w:r>
                      <w:rPr>
                        <w:rFonts w:hint="eastAsia"/>
                        <w:szCs w:val="21"/>
                      </w:rPr>
                      <w:t>变动</w:t>
                    </w:r>
                  </w:p>
                  <w:p w:rsidR="00D43633" w:rsidRDefault="00D43633" w:rsidP="008163BB">
                    <w:pPr>
                      <w:jc w:val="center"/>
                      <w:rPr>
                        <w:szCs w:val="21"/>
                      </w:rPr>
                    </w:pPr>
                    <w:r>
                      <w:rPr>
                        <w:rFonts w:hint="eastAsia"/>
                        <w:szCs w:val="21"/>
                      </w:rPr>
                      <w:t>幅度</w:t>
                    </w:r>
                  </w:p>
                </w:tc>
                <w:tc>
                  <w:tcPr>
                    <w:tcW w:w="1708" w:type="pct"/>
                    <w:vAlign w:val="center"/>
                  </w:tcPr>
                  <w:p w:rsidR="00D43633" w:rsidRDefault="00D43633" w:rsidP="008163BB">
                    <w:pPr>
                      <w:jc w:val="center"/>
                      <w:rPr>
                        <w:szCs w:val="21"/>
                      </w:rPr>
                    </w:pPr>
                    <w:r>
                      <w:rPr>
                        <w:rFonts w:hint="eastAsia"/>
                        <w:szCs w:val="21"/>
                      </w:rPr>
                      <w:t>情况说明</w:t>
                    </w:r>
                  </w:p>
                </w:tc>
              </w:tr>
              <w:tr w:rsidR="00D43633" w:rsidTr="008163BB">
                <w:trPr>
                  <w:trHeight w:val="370"/>
                  <w:jc w:val="center"/>
                </w:trPr>
                <w:tc>
                  <w:tcPr>
                    <w:tcW w:w="1055" w:type="pct"/>
                    <w:vAlign w:val="center"/>
                  </w:tcPr>
                  <w:p w:rsidR="00D43633" w:rsidRDefault="00D43633" w:rsidP="008163BB">
                    <w:pPr>
                      <w:jc w:val="center"/>
                      <w:rPr>
                        <w:szCs w:val="21"/>
                      </w:rPr>
                    </w:pPr>
                    <w:r>
                      <w:rPr>
                        <w:rFonts w:hint="eastAsia"/>
                        <w:szCs w:val="21"/>
                      </w:rPr>
                      <w:t>销售费用</w:t>
                    </w:r>
                  </w:p>
                </w:tc>
                <w:tc>
                  <w:tcPr>
                    <w:tcW w:w="1440" w:type="dxa"/>
                    <w:vAlign w:val="center"/>
                  </w:tcPr>
                  <w:p w:rsidR="00D43633" w:rsidRDefault="00D43633" w:rsidP="007E0EC6">
                    <w:pPr>
                      <w:jc w:val="right"/>
                      <w:textAlignment w:val="center"/>
                      <w:rPr>
                        <w:szCs w:val="21"/>
                      </w:rPr>
                    </w:pPr>
                    <w:r>
                      <w:rPr>
                        <w:rFonts w:eastAsia="微软雅黑"/>
                        <w:color w:val="000000"/>
                        <w:szCs w:val="21"/>
                      </w:rPr>
                      <w:t xml:space="preserve"> 226,530,969 </w:t>
                    </w:r>
                  </w:p>
                </w:tc>
                <w:tc>
                  <w:tcPr>
                    <w:tcW w:w="1445" w:type="dxa"/>
                    <w:vAlign w:val="center"/>
                  </w:tcPr>
                  <w:p w:rsidR="00D43633" w:rsidRDefault="00D43633" w:rsidP="007E0EC6">
                    <w:pPr>
                      <w:jc w:val="right"/>
                      <w:textAlignment w:val="center"/>
                      <w:rPr>
                        <w:szCs w:val="21"/>
                      </w:rPr>
                    </w:pPr>
                    <w:r>
                      <w:rPr>
                        <w:rFonts w:eastAsia="微软雅黑"/>
                        <w:color w:val="000000"/>
                        <w:szCs w:val="21"/>
                      </w:rPr>
                      <w:t xml:space="preserve"> 223,968,870 </w:t>
                    </w:r>
                  </w:p>
                </w:tc>
                <w:tc>
                  <w:tcPr>
                    <w:tcW w:w="929" w:type="dxa"/>
                    <w:vAlign w:val="center"/>
                  </w:tcPr>
                  <w:p w:rsidR="00D43633" w:rsidRDefault="00D43633" w:rsidP="007E0EC6">
                    <w:pPr>
                      <w:jc w:val="right"/>
                      <w:textAlignment w:val="center"/>
                      <w:rPr>
                        <w:szCs w:val="21"/>
                      </w:rPr>
                    </w:pPr>
                    <w:r>
                      <w:rPr>
                        <w:rFonts w:eastAsia="微软雅黑"/>
                        <w:color w:val="000000"/>
                        <w:szCs w:val="21"/>
                      </w:rPr>
                      <w:t>1.14%</w:t>
                    </w:r>
                  </w:p>
                </w:tc>
                <w:tc>
                  <w:tcPr>
                    <w:tcW w:w="2908" w:type="dxa"/>
                    <w:vAlign w:val="center"/>
                  </w:tcPr>
                  <w:p w:rsidR="00D43633" w:rsidRDefault="004505E4" w:rsidP="008163BB">
                    <w:pPr>
                      <w:rPr>
                        <w:szCs w:val="21"/>
                      </w:rPr>
                    </w:pPr>
                    <w:r>
                      <w:rPr>
                        <w:rFonts w:hint="eastAsia"/>
                        <w:szCs w:val="21"/>
                      </w:rPr>
                      <w:t>主要由于</w:t>
                    </w:r>
                    <w:r w:rsidR="00D43633">
                      <w:rPr>
                        <w:szCs w:val="21"/>
                      </w:rPr>
                      <w:t>销售人员费用等增加</w:t>
                    </w:r>
                  </w:p>
                </w:tc>
              </w:tr>
              <w:tr w:rsidR="00D43633" w:rsidTr="008163BB">
                <w:trPr>
                  <w:trHeight w:val="370"/>
                  <w:jc w:val="center"/>
                </w:trPr>
                <w:tc>
                  <w:tcPr>
                    <w:tcW w:w="1055" w:type="pct"/>
                    <w:vAlign w:val="center"/>
                  </w:tcPr>
                  <w:p w:rsidR="00D43633" w:rsidRDefault="00D43633" w:rsidP="008163BB">
                    <w:pPr>
                      <w:jc w:val="center"/>
                    </w:pPr>
                    <w:r>
                      <w:rPr>
                        <w:rFonts w:hint="eastAsia"/>
                      </w:rPr>
                      <w:t>管理费用</w:t>
                    </w:r>
                  </w:p>
                </w:tc>
                <w:tc>
                  <w:tcPr>
                    <w:tcW w:w="1440" w:type="dxa"/>
                    <w:vAlign w:val="center"/>
                  </w:tcPr>
                  <w:p w:rsidR="00D43633" w:rsidRDefault="00D43633" w:rsidP="007E0EC6">
                    <w:pPr>
                      <w:jc w:val="right"/>
                      <w:textAlignment w:val="center"/>
                      <w:rPr>
                        <w:szCs w:val="21"/>
                      </w:rPr>
                    </w:pPr>
                    <w:r>
                      <w:rPr>
                        <w:rFonts w:eastAsia="微软雅黑"/>
                        <w:color w:val="000000"/>
                        <w:szCs w:val="21"/>
                      </w:rPr>
                      <w:t xml:space="preserve"> 825,738,635 </w:t>
                    </w:r>
                  </w:p>
                </w:tc>
                <w:tc>
                  <w:tcPr>
                    <w:tcW w:w="1445" w:type="dxa"/>
                    <w:vAlign w:val="center"/>
                  </w:tcPr>
                  <w:p w:rsidR="00D43633" w:rsidRDefault="00D43633" w:rsidP="007E0EC6">
                    <w:pPr>
                      <w:jc w:val="right"/>
                      <w:textAlignment w:val="center"/>
                      <w:rPr>
                        <w:szCs w:val="21"/>
                      </w:rPr>
                    </w:pPr>
                    <w:r>
                      <w:rPr>
                        <w:rFonts w:eastAsia="微软雅黑"/>
                        <w:color w:val="000000"/>
                        <w:szCs w:val="21"/>
                      </w:rPr>
                      <w:t xml:space="preserve"> 777,489,264 </w:t>
                    </w:r>
                  </w:p>
                </w:tc>
                <w:tc>
                  <w:tcPr>
                    <w:tcW w:w="929" w:type="dxa"/>
                    <w:vAlign w:val="center"/>
                  </w:tcPr>
                  <w:p w:rsidR="00D43633" w:rsidRDefault="00D43633" w:rsidP="007E0EC6">
                    <w:pPr>
                      <w:jc w:val="right"/>
                      <w:textAlignment w:val="center"/>
                      <w:rPr>
                        <w:szCs w:val="21"/>
                      </w:rPr>
                    </w:pPr>
                    <w:r>
                      <w:rPr>
                        <w:rFonts w:eastAsia="微软雅黑"/>
                        <w:color w:val="000000"/>
                        <w:szCs w:val="21"/>
                      </w:rPr>
                      <w:t>6.21%</w:t>
                    </w:r>
                  </w:p>
                </w:tc>
                <w:tc>
                  <w:tcPr>
                    <w:tcW w:w="2908" w:type="dxa"/>
                    <w:vAlign w:val="center"/>
                  </w:tcPr>
                  <w:p w:rsidR="00D43633" w:rsidRDefault="004505E4" w:rsidP="008163BB">
                    <w:pPr>
                      <w:rPr>
                        <w:szCs w:val="21"/>
                      </w:rPr>
                    </w:pPr>
                    <w:r>
                      <w:rPr>
                        <w:rFonts w:hint="eastAsia"/>
                        <w:szCs w:val="21"/>
                      </w:rPr>
                      <w:t>主要由于</w:t>
                    </w:r>
                    <w:r w:rsidR="00D43633">
                      <w:rPr>
                        <w:szCs w:val="21"/>
                      </w:rPr>
                      <w:t>管理人员费用等增加</w:t>
                    </w:r>
                  </w:p>
                </w:tc>
              </w:tr>
              <w:tr w:rsidR="00D43633" w:rsidTr="008163BB">
                <w:trPr>
                  <w:trHeight w:val="370"/>
                  <w:jc w:val="center"/>
                </w:trPr>
                <w:tc>
                  <w:tcPr>
                    <w:tcW w:w="1055" w:type="pct"/>
                    <w:vAlign w:val="center"/>
                  </w:tcPr>
                  <w:p w:rsidR="00D43633" w:rsidRDefault="00D43633" w:rsidP="008163BB">
                    <w:pPr>
                      <w:jc w:val="center"/>
                    </w:pPr>
                    <w:r>
                      <w:rPr>
                        <w:rFonts w:hint="eastAsia"/>
                      </w:rPr>
                      <w:t>财务费用</w:t>
                    </w:r>
                  </w:p>
                </w:tc>
                <w:tc>
                  <w:tcPr>
                    <w:tcW w:w="1440" w:type="dxa"/>
                    <w:vAlign w:val="center"/>
                  </w:tcPr>
                  <w:p w:rsidR="00D43633" w:rsidRDefault="00D43633" w:rsidP="007E0EC6">
                    <w:pPr>
                      <w:jc w:val="right"/>
                      <w:textAlignment w:val="center"/>
                      <w:rPr>
                        <w:szCs w:val="21"/>
                      </w:rPr>
                    </w:pPr>
                    <w:r>
                      <w:rPr>
                        <w:rFonts w:eastAsia="微软雅黑"/>
                        <w:color w:val="000000"/>
                        <w:szCs w:val="21"/>
                      </w:rPr>
                      <w:t xml:space="preserve"> 154,529,809 </w:t>
                    </w:r>
                  </w:p>
                </w:tc>
                <w:tc>
                  <w:tcPr>
                    <w:tcW w:w="1445" w:type="dxa"/>
                    <w:vAlign w:val="center"/>
                  </w:tcPr>
                  <w:p w:rsidR="00D43633" w:rsidRDefault="00D43633" w:rsidP="007E0EC6">
                    <w:pPr>
                      <w:jc w:val="right"/>
                      <w:textAlignment w:val="center"/>
                      <w:rPr>
                        <w:szCs w:val="21"/>
                      </w:rPr>
                    </w:pPr>
                    <w:r>
                      <w:rPr>
                        <w:rFonts w:eastAsia="微软雅黑"/>
                        <w:color w:val="000000"/>
                        <w:szCs w:val="21"/>
                      </w:rPr>
                      <w:t xml:space="preserve"> 338,451,918 </w:t>
                    </w:r>
                  </w:p>
                </w:tc>
                <w:tc>
                  <w:tcPr>
                    <w:tcW w:w="929" w:type="dxa"/>
                    <w:vAlign w:val="center"/>
                  </w:tcPr>
                  <w:p w:rsidR="00D43633" w:rsidRDefault="00D43633" w:rsidP="007E0EC6">
                    <w:pPr>
                      <w:jc w:val="right"/>
                      <w:textAlignment w:val="center"/>
                      <w:rPr>
                        <w:szCs w:val="21"/>
                      </w:rPr>
                    </w:pPr>
                    <w:r>
                      <w:rPr>
                        <w:rFonts w:eastAsia="微软雅黑"/>
                        <w:color w:val="000000"/>
                        <w:szCs w:val="21"/>
                      </w:rPr>
                      <w:t>-54.34%</w:t>
                    </w:r>
                  </w:p>
                </w:tc>
                <w:tc>
                  <w:tcPr>
                    <w:tcW w:w="2908" w:type="dxa"/>
                    <w:vAlign w:val="center"/>
                  </w:tcPr>
                  <w:p w:rsidR="00D43633" w:rsidRDefault="004505E4" w:rsidP="008163BB">
                    <w:pPr>
                      <w:rPr>
                        <w:szCs w:val="21"/>
                      </w:rPr>
                    </w:pPr>
                    <w:r>
                      <w:rPr>
                        <w:rFonts w:hint="eastAsia"/>
                        <w:szCs w:val="21"/>
                      </w:rPr>
                      <w:t>主要由于</w:t>
                    </w:r>
                    <w:r w:rsidR="005E5E79">
                      <w:rPr>
                        <w:rFonts w:hint="eastAsia"/>
                        <w:szCs w:val="21"/>
                      </w:rPr>
                      <w:t>本年</w:t>
                    </w:r>
                    <w:r w:rsidR="00D43633">
                      <w:rPr>
                        <w:szCs w:val="21"/>
                      </w:rPr>
                      <w:t>利息支出减少</w:t>
                    </w:r>
                  </w:p>
                </w:tc>
              </w:tr>
            </w:tbl>
            <w:p w:rsidR="00806678" w:rsidRDefault="00F80B6C">
              <w:pPr>
                <w:rPr>
                  <w:szCs w:val="21"/>
                </w:rPr>
              </w:pPr>
            </w:p>
          </w:sdtContent>
        </w:sdt>
      </w:sdtContent>
    </w:sdt>
    <w:sdt>
      <w:sdtPr>
        <w:rPr>
          <w:rStyle w:val="5Char3"/>
          <w:rFonts w:ascii="宋体" w:eastAsia="宋体" w:hAnsi="宋体" w:cs="宋体"/>
          <w:b/>
          <w:bCs/>
          <w:szCs w:val="21"/>
        </w:rPr>
        <w:alias w:val="模块:研发投入情况表"/>
        <w:tag w:val="_SEC_7d98484d3b0a438487e1af19f740dceb"/>
        <w:id w:val="1197503"/>
        <w:lock w:val="sdtLocked"/>
        <w:placeholder>
          <w:docPart w:val="GBC22222222222222222222222222222"/>
        </w:placeholder>
      </w:sdtPr>
      <w:sdtEndPr>
        <w:rPr>
          <w:rStyle w:val="a0"/>
          <w:rFonts w:hint="eastAsia"/>
          <w:b w:val="0"/>
          <w:bCs w:val="0"/>
          <w:kern w:val="0"/>
          <w:szCs w:val="24"/>
        </w:rPr>
      </w:sdtEndPr>
      <w:sdtContent>
        <w:p w:rsidR="00806678" w:rsidRDefault="00B16377" w:rsidP="00FF17C7">
          <w:pPr>
            <w:pStyle w:val="4"/>
            <w:numPr>
              <w:ilvl w:val="0"/>
              <w:numId w:val="64"/>
            </w:numPr>
            <w:rPr>
              <w:rStyle w:val="5Char3"/>
              <w:b/>
              <w:bCs/>
            </w:rPr>
          </w:pPr>
          <w:r>
            <w:rPr>
              <w:rFonts w:hint="eastAsia"/>
            </w:rPr>
            <w:t>研发投入</w:t>
          </w:r>
        </w:p>
        <w:p w:rsidR="00806678" w:rsidRDefault="00B16377" w:rsidP="00FF17C7">
          <w:pPr>
            <w:pStyle w:val="a9"/>
            <w:numPr>
              <w:ilvl w:val="0"/>
              <w:numId w:val="123"/>
            </w:numPr>
            <w:spacing w:before="60" w:after="60"/>
            <w:ind w:firstLineChars="0"/>
            <w:rPr>
              <w:rStyle w:val="5Char3"/>
              <w:szCs w:val="21"/>
            </w:rPr>
          </w:pPr>
          <w:r>
            <w:rPr>
              <w:rStyle w:val="5Char3"/>
              <w:szCs w:val="21"/>
            </w:rPr>
            <w:t>研发</w:t>
          </w:r>
          <w:r>
            <w:rPr>
              <w:rStyle w:val="5Char3"/>
              <w:rFonts w:hint="eastAsia"/>
              <w:szCs w:val="21"/>
            </w:rPr>
            <w:t>投入</w:t>
          </w:r>
          <w:r>
            <w:rPr>
              <w:rStyle w:val="5Char3"/>
              <w:szCs w:val="21"/>
            </w:rPr>
            <w:t>情况表</w:t>
          </w:r>
        </w:p>
        <w:sdt>
          <w:sdtPr>
            <w:rPr>
              <w:rStyle w:val="5Char3"/>
              <w:rFonts w:hint="eastAsia"/>
              <w:b w:val="0"/>
              <w:szCs w:val="21"/>
            </w:rPr>
            <w:alias w:val="是否适用：研发投入情况表[双击切换]"/>
            <w:tag w:val="_GBC_b745f9cad6de412690fcb0f363f3eadb"/>
            <w:id w:val="1824308759"/>
            <w:lock w:val="sdtLocked"/>
            <w:placeholder>
              <w:docPart w:val="GBC22222222222222222222222222222"/>
            </w:placeholder>
          </w:sdtPr>
          <w:sdtContent>
            <w:p w:rsidR="00806678" w:rsidRDefault="00F80B6C">
              <w:pPr>
                <w:rPr>
                  <w:rStyle w:val="5Char3"/>
                  <w:b w:val="0"/>
                  <w:szCs w:val="21"/>
                </w:rPr>
              </w:pPr>
              <w:r>
                <w:rPr>
                  <w:rStyle w:val="5Char3"/>
                  <w:b w:val="0"/>
                  <w:szCs w:val="21"/>
                </w:rPr>
                <w:fldChar w:fldCharType="begin"/>
              </w:r>
              <w:r w:rsidR="00287865">
                <w:rPr>
                  <w:rStyle w:val="5Char3"/>
                  <w:b w:val="0"/>
                  <w:szCs w:val="21"/>
                </w:rPr>
                <w:instrText xml:space="preserve"> MACROBUTTON  SnrToggleCheckbox √适用  </w:instrText>
              </w:r>
              <w:r>
                <w:rPr>
                  <w:rStyle w:val="5Char3"/>
                  <w:b w:val="0"/>
                  <w:szCs w:val="21"/>
                </w:rPr>
                <w:fldChar w:fldCharType="end"/>
              </w:r>
              <w:r>
                <w:rPr>
                  <w:rStyle w:val="5Char3"/>
                  <w:b w:val="0"/>
                  <w:szCs w:val="21"/>
                </w:rPr>
                <w:fldChar w:fldCharType="begin"/>
              </w:r>
              <w:r w:rsidR="00287865">
                <w:rPr>
                  <w:rStyle w:val="5Char3"/>
                  <w:b w:val="0"/>
                  <w:szCs w:val="21"/>
                </w:rPr>
                <w:instrText xml:space="preserve"> MACROBUTTON  SnrToggleCheckbox □不适用 </w:instrText>
              </w:r>
              <w:r>
                <w:rPr>
                  <w:rStyle w:val="5Char3"/>
                  <w:b w:val="0"/>
                  <w:szCs w:val="21"/>
                </w:rPr>
                <w:fldChar w:fldCharType="end"/>
              </w:r>
            </w:p>
          </w:sdtContent>
        </w:sdt>
        <w:p w:rsidR="00806678" w:rsidRDefault="00B16377">
          <w:pPr>
            <w:jc w:val="right"/>
            <w:rPr>
              <w:rStyle w:val="5Char3"/>
              <w:b w:val="0"/>
              <w:szCs w:val="21"/>
            </w:rPr>
          </w:pPr>
          <w:r>
            <w:rPr>
              <w:rFonts w:hint="eastAsia"/>
              <w:szCs w:val="21"/>
            </w:rPr>
            <w:t>单位：</w:t>
          </w:r>
          <w:sdt>
            <w:sdtPr>
              <w:rPr>
                <w:rFonts w:hint="eastAsia"/>
                <w:szCs w:val="21"/>
              </w:rPr>
              <w:alias w:val="单位：研发支出"/>
              <w:tag w:val="_GBC_74cd81424a3c41dd9b3b9f335eae8c21"/>
              <w:id w:val="4280270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p>
        <w:tbl>
          <w:tblPr>
            <w:tblStyle w:val="a6"/>
            <w:tblW w:w="5000" w:type="pct"/>
            <w:tblLook w:val="04A0"/>
          </w:tblPr>
          <w:tblGrid>
            <w:gridCol w:w="3795"/>
            <w:gridCol w:w="5254"/>
          </w:tblGrid>
          <w:tr w:rsidR="00806678" w:rsidTr="00187B4D">
            <w:trPr>
              <w:trHeight w:val="135"/>
            </w:trPr>
            <w:sdt>
              <w:sdtPr>
                <w:tag w:val="_PLD_34e4faf6ae244cfbac1fd41757cfe96b"/>
                <w:id w:val="1397156082"/>
                <w:lock w:val="sdtLocked"/>
              </w:sdtPr>
              <w:sdtContent>
                <w:tc>
                  <w:tcPr>
                    <w:tcW w:w="2097" w:type="pct"/>
                  </w:tcPr>
                  <w:p w:rsidR="00806678" w:rsidRDefault="00B16377">
                    <w:pPr>
                      <w:rPr>
                        <w:rStyle w:val="5Char3"/>
                        <w:b w:val="0"/>
                        <w:bCs w:val="0"/>
                        <w:szCs w:val="21"/>
                      </w:rPr>
                    </w:pPr>
                    <w:r>
                      <w:rPr>
                        <w:szCs w:val="21"/>
                      </w:rPr>
                      <w:t>本期费用化研发</w:t>
                    </w:r>
                    <w:r>
                      <w:rPr>
                        <w:rFonts w:hint="eastAsia"/>
                        <w:szCs w:val="21"/>
                      </w:rPr>
                      <w:t>投入</w:t>
                    </w:r>
                  </w:p>
                </w:tc>
              </w:sdtContent>
            </w:sdt>
            <w:sdt>
              <w:sdtPr>
                <w:rPr>
                  <w:rStyle w:val="5Char3"/>
                  <w:rFonts w:hint="eastAsia"/>
                  <w:b w:val="0"/>
                  <w:szCs w:val="21"/>
                </w:rPr>
                <w:alias w:val="费用化研发投入"/>
                <w:tag w:val="_GBC_4fb175bc5990483bb41db359eecfdbdb"/>
                <w:id w:val="1207987153"/>
                <w:lock w:val="sdtLocked"/>
              </w:sdtPr>
              <w:sdtContent>
                <w:tc>
                  <w:tcPr>
                    <w:tcW w:w="2903" w:type="pct"/>
                  </w:tcPr>
                  <w:p w:rsidR="00806678" w:rsidRDefault="00287865">
                    <w:pPr>
                      <w:jc w:val="right"/>
                      <w:rPr>
                        <w:rStyle w:val="5Char3"/>
                        <w:b w:val="0"/>
                        <w:szCs w:val="21"/>
                      </w:rPr>
                    </w:pPr>
                    <w:r w:rsidRPr="00287865">
                      <w:rPr>
                        <w:rStyle w:val="5Char3"/>
                        <w:b w:val="0"/>
                        <w:szCs w:val="21"/>
                      </w:rPr>
                      <w:t>17,202,144</w:t>
                    </w:r>
                  </w:p>
                </w:tc>
              </w:sdtContent>
            </w:sdt>
          </w:tr>
          <w:tr w:rsidR="00806678" w:rsidTr="00187B4D">
            <w:trPr>
              <w:trHeight w:val="147"/>
            </w:trPr>
            <w:sdt>
              <w:sdtPr>
                <w:tag w:val="_PLD_20c161beca374b52aa10a0ce52fc5c8f"/>
                <w:id w:val="-425496369"/>
                <w:lock w:val="sdtLocked"/>
              </w:sdtPr>
              <w:sdtContent>
                <w:tc>
                  <w:tcPr>
                    <w:tcW w:w="2097" w:type="pct"/>
                  </w:tcPr>
                  <w:p w:rsidR="00806678" w:rsidRDefault="00B16377">
                    <w:pPr>
                      <w:rPr>
                        <w:rStyle w:val="5Char3"/>
                        <w:szCs w:val="21"/>
                      </w:rPr>
                    </w:pPr>
                    <w:r>
                      <w:rPr>
                        <w:szCs w:val="21"/>
                      </w:rPr>
                      <w:t>本期资本化研发</w:t>
                    </w:r>
                    <w:r>
                      <w:rPr>
                        <w:rFonts w:hint="eastAsia"/>
                        <w:szCs w:val="21"/>
                      </w:rPr>
                      <w:t>投入</w:t>
                    </w:r>
                  </w:p>
                </w:tc>
              </w:sdtContent>
            </w:sdt>
            <w:tc>
              <w:tcPr>
                <w:tcW w:w="2903" w:type="pct"/>
              </w:tcPr>
              <w:p w:rsidR="00806678" w:rsidRDefault="00287865">
                <w:pPr>
                  <w:jc w:val="right"/>
                  <w:rPr>
                    <w:rStyle w:val="5Char3"/>
                    <w:b w:val="0"/>
                    <w:szCs w:val="21"/>
                  </w:rPr>
                </w:pPr>
                <w:r>
                  <w:rPr>
                    <w:rStyle w:val="5Char3"/>
                    <w:rFonts w:hint="eastAsia"/>
                    <w:b w:val="0"/>
                    <w:szCs w:val="21"/>
                  </w:rPr>
                  <w:t>0</w:t>
                </w:r>
              </w:p>
            </w:tc>
          </w:tr>
          <w:tr w:rsidR="00806678" w:rsidTr="00187B4D">
            <w:trPr>
              <w:trHeight w:val="102"/>
            </w:trPr>
            <w:sdt>
              <w:sdtPr>
                <w:rPr>
                  <w:b/>
                  <w:bCs/>
                  <w:kern w:val="2"/>
                  <w:szCs w:val="28"/>
                </w:rPr>
                <w:tag w:val="_PLD_21956088f1024a23941f7c544fb04a97"/>
                <w:id w:val="562071148"/>
                <w:lock w:val="sdtLocked"/>
              </w:sdtPr>
              <w:sdtEndPr>
                <w:rPr>
                  <w:b w:val="0"/>
                  <w:bCs w:val="0"/>
                  <w:kern w:val="0"/>
                  <w:szCs w:val="24"/>
                </w:rPr>
              </w:sdtEndPr>
              <w:sdtContent>
                <w:tc>
                  <w:tcPr>
                    <w:tcW w:w="2097" w:type="pct"/>
                  </w:tcPr>
                  <w:p w:rsidR="00806678" w:rsidRDefault="00B16377">
                    <w:pPr>
                      <w:rPr>
                        <w:rStyle w:val="5Char3"/>
                        <w:szCs w:val="21"/>
                      </w:rPr>
                    </w:pPr>
                    <w:r>
                      <w:rPr>
                        <w:szCs w:val="21"/>
                      </w:rPr>
                      <w:t>研发</w:t>
                    </w:r>
                    <w:r>
                      <w:rPr>
                        <w:rFonts w:hint="eastAsia"/>
                        <w:szCs w:val="21"/>
                      </w:rPr>
                      <w:t>投入</w:t>
                    </w:r>
                    <w:r>
                      <w:rPr>
                        <w:szCs w:val="21"/>
                      </w:rPr>
                      <w:t>合计</w:t>
                    </w:r>
                  </w:p>
                </w:tc>
              </w:sdtContent>
            </w:sdt>
            <w:tc>
              <w:tcPr>
                <w:tcW w:w="2903" w:type="pct"/>
              </w:tcPr>
              <w:p w:rsidR="00806678" w:rsidRDefault="00287865">
                <w:pPr>
                  <w:jc w:val="right"/>
                  <w:rPr>
                    <w:rStyle w:val="5Char3"/>
                    <w:b w:val="0"/>
                    <w:szCs w:val="21"/>
                  </w:rPr>
                </w:pPr>
                <w:r w:rsidRPr="00287865">
                  <w:rPr>
                    <w:rStyle w:val="5Char3"/>
                    <w:b w:val="0"/>
                    <w:szCs w:val="21"/>
                  </w:rPr>
                  <w:t>17,202,144</w:t>
                </w:r>
              </w:p>
            </w:tc>
          </w:tr>
          <w:tr w:rsidR="00806678" w:rsidTr="00187B4D">
            <w:trPr>
              <w:trHeight w:val="135"/>
            </w:trPr>
            <w:sdt>
              <w:sdtPr>
                <w:rPr>
                  <w:b/>
                  <w:bCs/>
                  <w:kern w:val="2"/>
                  <w:szCs w:val="28"/>
                </w:rPr>
                <w:tag w:val="_PLD_ab1307558a044f3da8f8f6293608de34"/>
                <w:id w:val="893392567"/>
                <w:lock w:val="sdtLocked"/>
              </w:sdtPr>
              <w:sdtEndPr>
                <w:rPr>
                  <w:b w:val="0"/>
                  <w:bCs w:val="0"/>
                  <w:kern w:val="0"/>
                  <w:szCs w:val="24"/>
                </w:rPr>
              </w:sdtEndPr>
              <w:sdtContent>
                <w:tc>
                  <w:tcPr>
                    <w:tcW w:w="2097" w:type="pct"/>
                  </w:tcPr>
                  <w:p w:rsidR="00806678" w:rsidRDefault="00B16377">
                    <w:pPr>
                      <w:rPr>
                        <w:rStyle w:val="5Char3"/>
                        <w:szCs w:val="21"/>
                      </w:rPr>
                    </w:pPr>
                    <w:r>
                      <w:rPr>
                        <w:szCs w:val="21"/>
                      </w:rPr>
                      <w:t>研发</w:t>
                    </w:r>
                    <w:r>
                      <w:rPr>
                        <w:rFonts w:hint="eastAsia"/>
                        <w:szCs w:val="21"/>
                      </w:rPr>
                      <w:t>投入</w:t>
                    </w:r>
                    <w:r>
                      <w:rPr>
                        <w:szCs w:val="21"/>
                      </w:rPr>
                      <w:t>总额占营业收入比例（%）</w:t>
                    </w:r>
                  </w:p>
                </w:tc>
              </w:sdtContent>
            </w:sdt>
            <w:tc>
              <w:tcPr>
                <w:tcW w:w="2903" w:type="pct"/>
              </w:tcPr>
              <w:p w:rsidR="00806678" w:rsidRDefault="00287865">
                <w:pPr>
                  <w:jc w:val="right"/>
                  <w:rPr>
                    <w:rStyle w:val="5Char3"/>
                    <w:b w:val="0"/>
                    <w:szCs w:val="21"/>
                  </w:rPr>
                </w:pPr>
                <w:r>
                  <w:rPr>
                    <w:rStyle w:val="5Char3"/>
                    <w:rFonts w:hint="eastAsia"/>
                    <w:b w:val="0"/>
                    <w:szCs w:val="21"/>
                  </w:rPr>
                  <w:t>0.02</w:t>
                </w:r>
              </w:p>
            </w:tc>
          </w:tr>
          <w:tr w:rsidR="00806678" w:rsidTr="00187B4D">
            <w:trPr>
              <w:trHeight w:val="135"/>
            </w:trPr>
            <w:sdt>
              <w:sdtPr>
                <w:rPr>
                  <w:b/>
                  <w:bCs/>
                  <w:kern w:val="2"/>
                  <w:szCs w:val="28"/>
                </w:rPr>
                <w:tag w:val="_PLD_0d2db39633024627a1ba32892a5b2e60"/>
                <w:id w:val="576026579"/>
                <w:lock w:val="sdtLocked"/>
              </w:sdtPr>
              <w:sdtEndPr>
                <w:rPr>
                  <w:b w:val="0"/>
                  <w:bCs w:val="0"/>
                  <w:kern w:val="0"/>
                  <w:szCs w:val="24"/>
                </w:rPr>
              </w:sdtEndPr>
              <w:sdtContent>
                <w:tc>
                  <w:tcPr>
                    <w:tcW w:w="2097" w:type="pct"/>
                  </w:tcPr>
                  <w:p w:rsidR="00806678" w:rsidRDefault="00B16377">
                    <w:pPr>
                      <w:rPr>
                        <w:szCs w:val="21"/>
                      </w:rPr>
                    </w:pPr>
                    <w:r>
                      <w:rPr>
                        <w:rFonts w:hint="eastAsia"/>
                        <w:szCs w:val="21"/>
                      </w:rPr>
                      <w:t>研发投入资本化的比重</w:t>
                    </w:r>
                    <w:r>
                      <w:rPr>
                        <w:szCs w:val="21"/>
                      </w:rPr>
                      <w:t>（%）</w:t>
                    </w:r>
                  </w:p>
                </w:tc>
              </w:sdtContent>
            </w:sdt>
            <w:tc>
              <w:tcPr>
                <w:tcW w:w="2903" w:type="pct"/>
              </w:tcPr>
              <w:p w:rsidR="00806678" w:rsidRDefault="00287865">
                <w:pPr>
                  <w:jc w:val="right"/>
                  <w:rPr>
                    <w:bCs/>
                    <w:szCs w:val="21"/>
                  </w:rPr>
                </w:pPr>
                <w:r>
                  <w:rPr>
                    <w:rFonts w:hint="eastAsia"/>
                    <w:bCs/>
                    <w:szCs w:val="21"/>
                  </w:rPr>
                  <w:t>0</w:t>
                </w:r>
              </w:p>
            </w:tc>
          </w:tr>
        </w:tbl>
        <w:p w:rsidR="00806678" w:rsidRDefault="00F80B6C"/>
      </w:sdtContent>
    </w:sdt>
    <w:bookmarkStart w:id="36" w:name="_Hlk89876622" w:displacedByCustomXml="next"/>
    <w:sdt>
      <w:sdtPr>
        <w:rPr>
          <w:rStyle w:val="5Char3"/>
          <w:rFonts w:ascii="宋体" w:hAnsi="宋体" w:cs="宋体" w:hint="eastAsia"/>
          <w:szCs w:val="21"/>
        </w:rPr>
        <w:alias w:val="模块:研发人员情况表"/>
        <w:tag w:val="_SEC_0e96295bcf0243fa915a42a64988d5d2"/>
        <w:id w:val="1963455360"/>
        <w:lock w:val="sdtLocked"/>
        <w:placeholder>
          <w:docPart w:val="GBC22222222222222222222222222222"/>
        </w:placeholder>
      </w:sdtPr>
      <w:sdtEndPr>
        <w:rPr>
          <w:rStyle w:val="a0"/>
          <w:rFonts w:hint="default"/>
          <w:b w:val="0"/>
          <w:bCs w:val="0"/>
          <w:kern w:val="0"/>
          <w:szCs w:val="24"/>
        </w:rPr>
      </w:sdtEndPr>
      <w:sdtContent>
        <w:p w:rsidR="00806678" w:rsidRDefault="00B16377" w:rsidP="00FF17C7">
          <w:pPr>
            <w:pStyle w:val="a9"/>
            <w:numPr>
              <w:ilvl w:val="0"/>
              <w:numId w:val="123"/>
            </w:numPr>
            <w:spacing w:before="60" w:after="60"/>
            <w:ind w:firstLineChars="0"/>
            <w:rPr>
              <w:rStyle w:val="5Char3"/>
              <w:szCs w:val="21"/>
            </w:rPr>
          </w:pPr>
          <w:r>
            <w:rPr>
              <w:rStyle w:val="5Char3"/>
              <w:rFonts w:hint="eastAsia"/>
              <w:szCs w:val="21"/>
            </w:rPr>
            <w:t>研发人员情况表</w:t>
          </w:r>
        </w:p>
        <w:sdt>
          <w:sdtPr>
            <w:rPr>
              <w:rFonts w:hint="eastAsia"/>
              <w:b/>
              <w:bCs/>
              <w:kern w:val="2"/>
              <w:szCs w:val="28"/>
            </w:rPr>
            <w:alias w:val="是否适用：研发人员情况[双击切换]"/>
            <w:tag w:val="_GBC_ef3f376f125b4e219be789ed3078c140"/>
            <w:id w:val="-1003664948"/>
            <w:lock w:val="sdtLocked"/>
            <w:placeholder>
              <w:docPart w:val="GBC22222222222222222222222222222"/>
            </w:placeholder>
          </w:sdtPr>
          <w:sdtContent>
            <w:p w:rsidR="00806678" w:rsidRDefault="00F80B6C" w:rsidP="00287865">
              <w:r>
                <w:fldChar w:fldCharType="begin"/>
              </w:r>
              <w:r w:rsidR="00287865">
                <w:instrText xml:space="preserve"> MACROBUTTON  SnrToggleCheckbox □适用 </w:instrText>
              </w:r>
              <w:r>
                <w:fldChar w:fldCharType="end"/>
              </w:r>
              <w:r>
                <w:fldChar w:fldCharType="begin"/>
              </w:r>
              <w:r w:rsidR="00287865">
                <w:instrText xml:space="preserve"> MACROBUTTON  SnrToggleCheckbox √不适用 </w:instrText>
              </w:r>
              <w:r>
                <w:fldChar w:fldCharType="end"/>
              </w:r>
            </w:p>
          </w:sdtContent>
        </w:sdt>
      </w:sdtContent>
    </w:sdt>
    <w:bookmarkEnd w:id="36" w:displacedByCustomXml="prev"/>
    <w:sdt>
      <w:sdtPr>
        <w:rPr>
          <w:rStyle w:val="5Char3"/>
          <w:rFonts w:ascii="宋体" w:hAnsi="宋体" w:cs="宋体"/>
          <w:szCs w:val="21"/>
        </w:rPr>
        <w:alias w:val="模块:情况说明"/>
        <w:tag w:val="_SEC_0004b40963e14f23a54c541fda51ba2e"/>
        <w:id w:val="1197903"/>
        <w:lock w:val="sdtLocked"/>
        <w:placeholder>
          <w:docPart w:val="GBC22222222222222222222222222222"/>
        </w:placeholder>
      </w:sdtPr>
      <w:sdtEndPr>
        <w:rPr>
          <w:rStyle w:val="5Char3"/>
          <w:rFonts w:hint="eastAsia"/>
          <w:b w:val="0"/>
        </w:rPr>
      </w:sdtEndPr>
      <w:sdtContent>
        <w:p w:rsidR="00806678" w:rsidRDefault="00B16377" w:rsidP="00FF17C7">
          <w:pPr>
            <w:pStyle w:val="a9"/>
            <w:numPr>
              <w:ilvl w:val="0"/>
              <w:numId w:val="123"/>
            </w:numPr>
            <w:spacing w:before="60" w:after="60"/>
            <w:ind w:firstLineChars="0"/>
            <w:rPr>
              <w:rStyle w:val="5Char3"/>
              <w:szCs w:val="21"/>
            </w:rPr>
          </w:pPr>
          <w:r>
            <w:rPr>
              <w:rStyle w:val="5Char3"/>
              <w:szCs w:val="21"/>
            </w:rPr>
            <w:t>情况说明</w:t>
          </w:r>
        </w:p>
        <w:sdt>
          <w:sdtPr>
            <w:rPr>
              <w:rStyle w:val="5Char3"/>
              <w:b w:val="0"/>
              <w:szCs w:val="21"/>
            </w:rPr>
            <w:alias w:val="是否适用：研发支出情况说明[双击切换]"/>
            <w:tag w:val="_GBC_b983f5c63407411d82434ca6547deae8"/>
            <w:id w:val="-1749567730"/>
            <w:lock w:val="sdtLocked"/>
            <w:placeholder>
              <w:docPart w:val="GBC22222222222222222222222222222"/>
            </w:placeholder>
          </w:sdtPr>
          <w:sdtContent>
            <w:p w:rsidR="00806678" w:rsidRDefault="00F80B6C" w:rsidP="00287865">
              <w:pPr>
                <w:spacing w:before="60" w:after="60"/>
                <w:rPr>
                  <w:rStyle w:val="5Char3"/>
                  <w:szCs w:val="21"/>
                </w:rPr>
              </w:pPr>
              <w:r>
                <w:rPr>
                  <w:rStyle w:val="5Char3"/>
                  <w:b w:val="0"/>
                  <w:szCs w:val="21"/>
                </w:rPr>
                <w:fldChar w:fldCharType="begin"/>
              </w:r>
              <w:r w:rsidR="00287865">
                <w:rPr>
                  <w:rStyle w:val="5Char3"/>
                  <w:b w:val="0"/>
                  <w:szCs w:val="21"/>
                </w:rPr>
                <w:instrText xml:space="preserve">MACROBUTTON  SnrToggleCheckbox □适用 </w:instrText>
              </w:r>
              <w:r>
                <w:rPr>
                  <w:rStyle w:val="5Char3"/>
                  <w:b w:val="0"/>
                  <w:szCs w:val="21"/>
                </w:rPr>
                <w:fldChar w:fldCharType="end"/>
              </w:r>
              <w:r>
                <w:rPr>
                  <w:rStyle w:val="5Char3"/>
                  <w:b w:val="0"/>
                  <w:szCs w:val="21"/>
                </w:rPr>
                <w:fldChar w:fldCharType="begin"/>
              </w:r>
              <w:r w:rsidR="00287865">
                <w:rPr>
                  <w:rStyle w:val="5Char3"/>
                  <w:b w:val="0"/>
                  <w:szCs w:val="21"/>
                </w:rPr>
                <w:instrText xml:space="preserve"> MACROBUTTON  SnrToggleCheckbox √不适用 </w:instrText>
              </w:r>
              <w:r>
                <w:rPr>
                  <w:rStyle w:val="5Char3"/>
                  <w:b w:val="0"/>
                  <w:szCs w:val="21"/>
                </w:rPr>
                <w:fldChar w:fldCharType="end"/>
              </w:r>
            </w:p>
          </w:sdtContent>
        </w:sdt>
      </w:sdtContent>
    </w:sdt>
    <w:bookmarkStart w:id="37" w:name="_Hlk89876701" w:displacedByCustomXml="next"/>
    <w:sdt>
      <w:sdtPr>
        <w:rPr>
          <w:rStyle w:val="5Char3"/>
          <w:rFonts w:ascii="宋体" w:hAnsi="宋体" w:cs="宋体" w:hint="eastAsia"/>
          <w:szCs w:val="21"/>
        </w:rPr>
        <w:alias w:val="模块:研发人员构成发生重大变化的原因及对公司未来发展的影响"/>
        <w:tag w:val="_SEC_1b0ac7c10221440292ebe3dc985f0f13"/>
        <w:id w:val="1580781645"/>
        <w:lock w:val="sdtLocked"/>
        <w:placeholder>
          <w:docPart w:val="GBC22222222222222222222222222222"/>
        </w:placeholder>
      </w:sdtPr>
      <w:sdtEndPr>
        <w:rPr>
          <w:rStyle w:val="a0"/>
          <w:rFonts w:hint="default"/>
          <w:b w:val="0"/>
          <w:bCs w:val="0"/>
          <w:kern w:val="0"/>
        </w:rPr>
      </w:sdtEndPr>
      <w:sdtContent>
        <w:p w:rsidR="00806678" w:rsidRDefault="00B16377" w:rsidP="00FF17C7">
          <w:pPr>
            <w:pStyle w:val="a9"/>
            <w:numPr>
              <w:ilvl w:val="0"/>
              <w:numId w:val="123"/>
            </w:numPr>
            <w:spacing w:before="60" w:after="60"/>
            <w:ind w:firstLineChars="0"/>
            <w:rPr>
              <w:rStyle w:val="5Char3"/>
              <w:szCs w:val="21"/>
            </w:rPr>
          </w:pPr>
          <w:r>
            <w:rPr>
              <w:rStyle w:val="5Char3"/>
              <w:rFonts w:hint="eastAsia"/>
              <w:szCs w:val="21"/>
            </w:rPr>
            <w:t>研发人员构成发生重大变化的原因及对公司未来发展的影响</w:t>
          </w:r>
        </w:p>
        <w:sdt>
          <w:sdtPr>
            <w:rPr>
              <w:rStyle w:val="5Char2"/>
              <w:b w:val="0"/>
              <w:szCs w:val="21"/>
            </w:rPr>
            <w:alias w:val="是否适用：研发人员构成发生重大变化的原因及对公司未来发展的影响 [双击切换]"/>
            <w:tag w:val="_GBC_03b44883afff4742a08c198d082c26b3"/>
            <w:id w:val="-1152055078"/>
            <w:lock w:val="sdtLocked"/>
            <w:placeholder>
              <w:docPart w:val="GBC22222222222222222222222222222"/>
            </w:placeholder>
          </w:sdtPr>
          <w:sdtContent>
            <w:p w:rsidR="00806678" w:rsidRPr="00287865" w:rsidRDefault="00F80B6C" w:rsidP="00287865">
              <w:pPr>
                <w:spacing w:before="60" w:after="60"/>
                <w:rPr>
                  <w:b/>
                  <w:bCs/>
                  <w:kern w:val="2"/>
                  <w:szCs w:val="21"/>
                </w:rPr>
              </w:pPr>
              <w:r>
                <w:rPr>
                  <w:rStyle w:val="5Char2"/>
                  <w:b w:val="0"/>
                  <w:szCs w:val="21"/>
                </w:rPr>
                <w:fldChar w:fldCharType="begin"/>
              </w:r>
              <w:r w:rsidR="00287865">
                <w:rPr>
                  <w:rStyle w:val="5Char2"/>
                  <w:b w:val="0"/>
                  <w:szCs w:val="21"/>
                </w:rPr>
                <w:instrText xml:space="preserve"> MACROBUTTON  SnrToggleCheckbox □适用 </w:instrText>
              </w:r>
              <w:r>
                <w:rPr>
                  <w:rStyle w:val="5Char2"/>
                  <w:b w:val="0"/>
                  <w:szCs w:val="21"/>
                </w:rPr>
                <w:fldChar w:fldCharType="end"/>
              </w:r>
              <w:r>
                <w:rPr>
                  <w:rStyle w:val="5Char2"/>
                  <w:b w:val="0"/>
                  <w:szCs w:val="21"/>
                </w:rPr>
                <w:fldChar w:fldCharType="begin"/>
              </w:r>
              <w:r w:rsidR="00287865">
                <w:rPr>
                  <w:rStyle w:val="5Char2"/>
                  <w:b w:val="0"/>
                  <w:szCs w:val="21"/>
                </w:rPr>
                <w:instrText xml:space="preserve"> MACROBUTTON  SnrToggleCheckbox √不适用 </w:instrText>
              </w:r>
              <w:r>
                <w:rPr>
                  <w:rStyle w:val="5Char2"/>
                  <w:b w:val="0"/>
                  <w:szCs w:val="21"/>
                </w:rPr>
                <w:fldChar w:fldCharType="end"/>
              </w:r>
            </w:p>
          </w:sdtContent>
        </w:sdt>
      </w:sdtContent>
    </w:sdt>
    <w:bookmarkEnd w:id="37" w:displacedByCustomXml="prev"/>
    <w:sdt>
      <w:sdtPr>
        <w:rPr>
          <w:rFonts w:ascii="宋体" w:eastAsia="宋体" w:hAnsi="宋体" w:cs="宋体" w:hint="eastAsia"/>
          <w:b w:val="0"/>
          <w:bCs w:val="0"/>
          <w:kern w:val="0"/>
          <w:szCs w:val="24"/>
        </w:rPr>
        <w:alias w:val="模块:现金流"/>
        <w:tag w:val="_SEC_686d1eb4c39f48b6b19ee846f1749d81"/>
        <w:id w:val="1197932"/>
        <w:lock w:val="sdtLocked"/>
        <w:placeholder>
          <w:docPart w:val="GBC22222222222222222222222222222"/>
        </w:placeholder>
      </w:sdtPr>
      <w:sdtEndPr>
        <w:rPr>
          <w:rFonts w:hint="default"/>
          <w:szCs w:val="21"/>
        </w:rPr>
      </w:sdtEndPr>
      <w:sdtContent>
        <w:p w:rsidR="00806678" w:rsidRDefault="00B16377" w:rsidP="00FF17C7">
          <w:pPr>
            <w:pStyle w:val="4"/>
            <w:numPr>
              <w:ilvl w:val="0"/>
              <w:numId w:val="64"/>
            </w:numPr>
          </w:pPr>
          <w:r>
            <w:rPr>
              <w:rFonts w:hint="eastAsia"/>
            </w:rPr>
            <w:t>现金流</w:t>
          </w:r>
        </w:p>
        <w:sdt>
          <w:sdtPr>
            <w:alias w:val="是否适用：现金流[双击切换]"/>
            <w:tag w:val="_GBC_3340f2fc4f854cc1882e18412cf992f6"/>
            <w:id w:val="2075619130"/>
            <w:lock w:val="sdtLocked"/>
            <w:placeholder>
              <w:docPart w:val="GBC22222222222222222222222222222"/>
            </w:placeholder>
          </w:sdtPr>
          <w:sdtContent>
            <w:p w:rsidR="00806678" w:rsidRDefault="00F80B6C">
              <w:r>
                <w:fldChar w:fldCharType="begin"/>
              </w:r>
              <w:r w:rsidR="00D509D9">
                <w:instrText xml:space="preserve">MACROBUTTON  SnrToggleCheckbox √适用 </w:instrText>
              </w:r>
              <w:r>
                <w:fldChar w:fldCharType="end"/>
              </w:r>
              <w:r>
                <w:fldChar w:fldCharType="begin"/>
              </w:r>
              <w:r w:rsidR="00D509D9">
                <w:instrText xml:space="preserve"> MACROBUTTON  SnrToggleCheckbox □不适用 </w:instrText>
              </w:r>
              <w:r>
                <w:fldChar w:fldCharType="end"/>
              </w:r>
            </w:p>
          </w:sdtContent>
        </w:sdt>
        <w:sdt>
          <w:sdtPr>
            <w:rPr>
              <w:rFonts w:hint="eastAsia"/>
              <w:szCs w:val="21"/>
            </w:rPr>
            <w:alias w:val="现金流的影响分析"/>
            <w:tag w:val="_GBC_586311c345aa4f48bab3f8f8d5347f93"/>
            <w:id w:val="1197934"/>
            <w:lock w:val="sdtLocked"/>
            <w:placeholder>
              <w:docPart w:val="GBC22222222222222222222222222222"/>
            </w:placeholder>
          </w:sdtPr>
          <w:sdtContent>
            <w:p w:rsidR="00D509D9" w:rsidRDefault="00D509D9">
              <w:pPr>
                <w:rPr>
                  <w:szCs w:val="21"/>
                </w:rPr>
              </w:pP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23"/>
                <w:gridCol w:w="1792"/>
                <w:gridCol w:w="1812"/>
                <w:gridCol w:w="1186"/>
                <w:gridCol w:w="2232"/>
              </w:tblGrid>
              <w:tr w:rsidR="00D509D9" w:rsidTr="008163BB">
                <w:trPr>
                  <w:trHeight w:val="404"/>
                  <w:jc w:val="center"/>
                </w:trPr>
                <w:tc>
                  <w:tcPr>
                    <w:tcW w:w="1118" w:type="pct"/>
                    <w:vAlign w:val="center"/>
                  </w:tcPr>
                  <w:p w:rsidR="00D509D9" w:rsidRDefault="00D509D9" w:rsidP="008163BB">
                    <w:pPr>
                      <w:jc w:val="center"/>
                      <w:rPr>
                        <w:szCs w:val="21"/>
                      </w:rPr>
                    </w:pPr>
                    <w:r>
                      <w:rPr>
                        <w:szCs w:val="21"/>
                      </w:rPr>
                      <w:t>项目</w:t>
                    </w:r>
                  </w:p>
                </w:tc>
                <w:tc>
                  <w:tcPr>
                    <w:tcW w:w="990" w:type="pct"/>
                    <w:vAlign w:val="center"/>
                  </w:tcPr>
                  <w:p w:rsidR="00D509D9" w:rsidRDefault="00D509D9" w:rsidP="008163BB">
                    <w:pPr>
                      <w:jc w:val="center"/>
                      <w:rPr>
                        <w:szCs w:val="21"/>
                      </w:rPr>
                    </w:pPr>
                    <w:r>
                      <w:rPr>
                        <w:rFonts w:hint="eastAsia"/>
                        <w:szCs w:val="21"/>
                      </w:rPr>
                      <w:t>2022年</w:t>
                    </w:r>
                  </w:p>
                </w:tc>
                <w:tc>
                  <w:tcPr>
                    <w:tcW w:w="1001" w:type="pct"/>
                    <w:vAlign w:val="center"/>
                  </w:tcPr>
                  <w:p w:rsidR="00D509D9" w:rsidRDefault="00D509D9" w:rsidP="008163BB">
                    <w:pPr>
                      <w:jc w:val="center"/>
                      <w:rPr>
                        <w:szCs w:val="21"/>
                      </w:rPr>
                    </w:pPr>
                    <w:r>
                      <w:rPr>
                        <w:rFonts w:hint="eastAsia"/>
                        <w:szCs w:val="21"/>
                      </w:rPr>
                      <w:t>2021年</w:t>
                    </w:r>
                  </w:p>
                </w:tc>
                <w:tc>
                  <w:tcPr>
                    <w:tcW w:w="655" w:type="pct"/>
                    <w:vAlign w:val="center"/>
                  </w:tcPr>
                  <w:p w:rsidR="00D509D9" w:rsidRDefault="00D509D9" w:rsidP="008163BB">
                    <w:pPr>
                      <w:jc w:val="center"/>
                      <w:rPr>
                        <w:szCs w:val="21"/>
                      </w:rPr>
                    </w:pPr>
                    <w:r>
                      <w:rPr>
                        <w:rFonts w:hint="eastAsia"/>
                        <w:szCs w:val="21"/>
                      </w:rPr>
                      <w:t>变动幅度</w:t>
                    </w:r>
                  </w:p>
                </w:tc>
                <w:tc>
                  <w:tcPr>
                    <w:tcW w:w="1234" w:type="pct"/>
                    <w:vAlign w:val="center"/>
                  </w:tcPr>
                  <w:p w:rsidR="00D509D9" w:rsidRDefault="00D509D9" w:rsidP="008163BB">
                    <w:pPr>
                      <w:jc w:val="center"/>
                      <w:rPr>
                        <w:szCs w:val="21"/>
                      </w:rPr>
                    </w:pPr>
                    <w:r>
                      <w:rPr>
                        <w:rFonts w:hint="eastAsia"/>
                        <w:szCs w:val="21"/>
                      </w:rPr>
                      <w:t>情况说明</w:t>
                    </w:r>
                  </w:p>
                </w:tc>
              </w:tr>
              <w:tr w:rsidR="00D509D9" w:rsidTr="008163BB">
                <w:trPr>
                  <w:trHeight w:val="165"/>
                  <w:jc w:val="center"/>
                </w:trPr>
                <w:tc>
                  <w:tcPr>
                    <w:tcW w:w="1118" w:type="pct"/>
                    <w:vAlign w:val="center"/>
                  </w:tcPr>
                  <w:p w:rsidR="00D509D9" w:rsidRDefault="00D509D9" w:rsidP="008163BB">
                    <w:r>
                      <w:t>经营活动产生的现金流量净额</w:t>
                    </w:r>
                  </w:p>
                </w:tc>
                <w:tc>
                  <w:tcPr>
                    <w:tcW w:w="990" w:type="pct"/>
                    <w:vAlign w:val="center"/>
                  </w:tcPr>
                  <w:p w:rsidR="00D509D9" w:rsidRDefault="00D509D9" w:rsidP="008163BB">
                    <w:pPr>
                      <w:jc w:val="right"/>
                      <w:textAlignment w:val="center"/>
                    </w:pPr>
                    <w:r>
                      <w:rPr>
                        <w:color w:val="000000"/>
                        <w:szCs w:val="21"/>
                      </w:rPr>
                      <w:t>16,102,106,613</w:t>
                    </w:r>
                  </w:p>
                </w:tc>
                <w:tc>
                  <w:tcPr>
                    <w:tcW w:w="1001" w:type="pct"/>
                    <w:vAlign w:val="center"/>
                  </w:tcPr>
                  <w:p w:rsidR="00D509D9" w:rsidRDefault="00D509D9" w:rsidP="008163BB">
                    <w:pPr>
                      <w:jc w:val="right"/>
                      <w:textAlignment w:val="center"/>
                    </w:pPr>
                    <w:r>
                      <w:rPr>
                        <w:color w:val="000000"/>
                        <w:szCs w:val="21"/>
                      </w:rPr>
                      <w:t>18,898,446,858</w:t>
                    </w:r>
                  </w:p>
                </w:tc>
                <w:tc>
                  <w:tcPr>
                    <w:tcW w:w="655" w:type="pct"/>
                    <w:vAlign w:val="center"/>
                  </w:tcPr>
                  <w:p w:rsidR="00D509D9" w:rsidRDefault="00D509D9" w:rsidP="008163BB">
                    <w:pPr>
                      <w:jc w:val="right"/>
                      <w:textAlignment w:val="center"/>
                    </w:pPr>
                    <w:r>
                      <w:rPr>
                        <w:color w:val="000000"/>
                        <w:szCs w:val="21"/>
                      </w:rPr>
                      <w:t>-14.8</w:t>
                    </w:r>
                    <w:r w:rsidR="005406EC">
                      <w:rPr>
                        <w:rFonts w:hint="eastAsia"/>
                        <w:color w:val="000000"/>
                        <w:szCs w:val="21"/>
                      </w:rPr>
                      <w:t>%</w:t>
                    </w:r>
                  </w:p>
                </w:tc>
                <w:tc>
                  <w:tcPr>
                    <w:tcW w:w="1234" w:type="pct"/>
                    <w:vAlign w:val="center"/>
                  </w:tcPr>
                  <w:p w:rsidR="00D509D9" w:rsidRDefault="004A2D6E" w:rsidP="008163BB">
                    <w:pPr>
                      <w:textAlignment w:val="center"/>
                      <w:rPr>
                        <w:szCs w:val="21"/>
                      </w:rPr>
                    </w:pPr>
                    <w:r>
                      <w:rPr>
                        <w:rFonts w:hint="eastAsia"/>
                        <w:color w:val="000000"/>
                        <w:szCs w:val="21"/>
                      </w:rPr>
                      <w:t>主要是由于</w:t>
                    </w:r>
                    <w:r w:rsidR="00D509D9">
                      <w:rPr>
                        <w:color w:val="000000"/>
                        <w:szCs w:val="21"/>
                      </w:rPr>
                      <w:t>本年收到的运输</w:t>
                    </w:r>
                    <w:r w:rsidR="00D509D9">
                      <w:rPr>
                        <w:rFonts w:hint="eastAsia"/>
                        <w:color w:val="000000"/>
                        <w:szCs w:val="21"/>
                      </w:rPr>
                      <w:t>收入</w:t>
                    </w:r>
                    <w:r w:rsidR="00D509D9">
                      <w:rPr>
                        <w:color w:val="000000"/>
                        <w:szCs w:val="21"/>
                      </w:rPr>
                      <w:t>减少</w:t>
                    </w:r>
                  </w:p>
                </w:tc>
              </w:tr>
              <w:tr w:rsidR="00D509D9" w:rsidTr="008163BB">
                <w:trPr>
                  <w:trHeight w:val="165"/>
                  <w:jc w:val="center"/>
                </w:trPr>
                <w:tc>
                  <w:tcPr>
                    <w:tcW w:w="1118" w:type="pct"/>
                    <w:vAlign w:val="center"/>
                  </w:tcPr>
                  <w:p w:rsidR="00D509D9" w:rsidRDefault="00D509D9" w:rsidP="008163BB">
                    <w:r>
                      <w:t>投资活动</w:t>
                    </w:r>
                    <w:r>
                      <w:rPr>
                        <w:rFonts w:hint="eastAsia"/>
                      </w:rPr>
                      <w:t>使用</w:t>
                    </w:r>
                    <w:r>
                      <w:t>的现金流量净额</w:t>
                    </w:r>
                  </w:p>
                </w:tc>
                <w:tc>
                  <w:tcPr>
                    <w:tcW w:w="990" w:type="pct"/>
                    <w:vAlign w:val="center"/>
                  </w:tcPr>
                  <w:p w:rsidR="00D509D9" w:rsidRDefault="00D509D9" w:rsidP="008163BB">
                    <w:pPr>
                      <w:jc w:val="right"/>
                      <w:textAlignment w:val="center"/>
                    </w:pPr>
                    <w:r>
                      <w:rPr>
                        <w:color w:val="000000"/>
                        <w:szCs w:val="21"/>
                      </w:rPr>
                      <w:t>-2,878,095,853</w:t>
                    </w:r>
                  </w:p>
                </w:tc>
                <w:tc>
                  <w:tcPr>
                    <w:tcW w:w="1001" w:type="pct"/>
                    <w:vAlign w:val="center"/>
                  </w:tcPr>
                  <w:p w:rsidR="00D509D9" w:rsidRDefault="00D509D9" w:rsidP="008163BB">
                    <w:pPr>
                      <w:jc w:val="right"/>
                      <w:textAlignment w:val="center"/>
                    </w:pPr>
                    <w:r>
                      <w:rPr>
                        <w:color w:val="000000"/>
                        <w:szCs w:val="21"/>
                      </w:rPr>
                      <w:t>-3,333,110,951</w:t>
                    </w:r>
                  </w:p>
                </w:tc>
                <w:tc>
                  <w:tcPr>
                    <w:tcW w:w="655" w:type="pct"/>
                    <w:vAlign w:val="center"/>
                  </w:tcPr>
                  <w:p w:rsidR="00D509D9" w:rsidRDefault="00D509D9" w:rsidP="008163BB">
                    <w:pPr>
                      <w:jc w:val="right"/>
                      <w:textAlignment w:val="center"/>
                    </w:pPr>
                    <w:r>
                      <w:rPr>
                        <w:color w:val="000000"/>
                        <w:szCs w:val="21"/>
                      </w:rPr>
                      <w:t>-13.65</w:t>
                    </w:r>
                    <w:r w:rsidR="005406EC">
                      <w:rPr>
                        <w:rFonts w:hint="eastAsia"/>
                        <w:color w:val="000000"/>
                        <w:szCs w:val="21"/>
                      </w:rPr>
                      <w:t>%</w:t>
                    </w:r>
                  </w:p>
                </w:tc>
                <w:tc>
                  <w:tcPr>
                    <w:tcW w:w="1234" w:type="pct"/>
                    <w:vAlign w:val="center"/>
                  </w:tcPr>
                  <w:p w:rsidR="00D509D9" w:rsidRDefault="004A2D6E" w:rsidP="008163BB">
                    <w:pPr>
                      <w:textAlignment w:val="center"/>
                      <w:rPr>
                        <w:szCs w:val="21"/>
                      </w:rPr>
                    </w:pPr>
                    <w:r>
                      <w:rPr>
                        <w:rFonts w:hint="eastAsia"/>
                        <w:color w:val="000000"/>
                        <w:szCs w:val="21"/>
                      </w:rPr>
                      <w:t>主要由于</w:t>
                    </w:r>
                    <w:r w:rsidR="00D509D9">
                      <w:rPr>
                        <w:color w:val="000000"/>
                        <w:szCs w:val="21"/>
                      </w:rPr>
                      <w:t>上年支付西南环铁路公司股权收购款</w:t>
                    </w:r>
                  </w:p>
                </w:tc>
              </w:tr>
              <w:tr w:rsidR="00D509D9" w:rsidTr="008163BB">
                <w:trPr>
                  <w:trHeight w:val="165"/>
                  <w:jc w:val="center"/>
                </w:trPr>
                <w:tc>
                  <w:tcPr>
                    <w:tcW w:w="1118" w:type="pct"/>
                    <w:vAlign w:val="center"/>
                  </w:tcPr>
                  <w:p w:rsidR="00D509D9" w:rsidRDefault="00D509D9" w:rsidP="008163BB">
                    <w:r>
                      <w:t>筹资活动</w:t>
                    </w:r>
                    <w:r>
                      <w:rPr>
                        <w:rFonts w:hint="eastAsia"/>
                      </w:rPr>
                      <w:t>使用</w:t>
                    </w:r>
                    <w:r>
                      <w:t>的现金流量净额</w:t>
                    </w:r>
                  </w:p>
                </w:tc>
                <w:tc>
                  <w:tcPr>
                    <w:tcW w:w="990" w:type="pct"/>
                    <w:vAlign w:val="center"/>
                  </w:tcPr>
                  <w:p w:rsidR="00D509D9" w:rsidRDefault="00D509D9" w:rsidP="008163BB">
                    <w:pPr>
                      <w:jc w:val="right"/>
                      <w:textAlignment w:val="center"/>
                    </w:pPr>
                    <w:r>
                      <w:rPr>
                        <w:color w:val="000000"/>
                        <w:szCs w:val="21"/>
                      </w:rPr>
                      <w:t>-10,036,806,456</w:t>
                    </w:r>
                  </w:p>
                </w:tc>
                <w:tc>
                  <w:tcPr>
                    <w:tcW w:w="1001" w:type="pct"/>
                    <w:vAlign w:val="center"/>
                  </w:tcPr>
                  <w:p w:rsidR="00D509D9" w:rsidRDefault="00D509D9" w:rsidP="008163BB">
                    <w:pPr>
                      <w:jc w:val="right"/>
                      <w:textAlignment w:val="center"/>
                    </w:pPr>
                    <w:r>
                      <w:rPr>
                        <w:color w:val="000000"/>
                        <w:szCs w:val="21"/>
                      </w:rPr>
                      <w:t>-8,236,418,775</w:t>
                    </w:r>
                  </w:p>
                </w:tc>
                <w:tc>
                  <w:tcPr>
                    <w:tcW w:w="655" w:type="pct"/>
                    <w:vAlign w:val="center"/>
                  </w:tcPr>
                  <w:p w:rsidR="00D509D9" w:rsidRDefault="00D509D9" w:rsidP="008163BB">
                    <w:pPr>
                      <w:jc w:val="right"/>
                      <w:textAlignment w:val="center"/>
                    </w:pPr>
                    <w:r>
                      <w:rPr>
                        <w:color w:val="000000"/>
                        <w:szCs w:val="21"/>
                      </w:rPr>
                      <w:t>21.86</w:t>
                    </w:r>
                    <w:r w:rsidR="005406EC">
                      <w:rPr>
                        <w:rFonts w:hint="eastAsia"/>
                        <w:color w:val="000000"/>
                        <w:szCs w:val="21"/>
                      </w:rPr>
                      <w:t>%</w:t>
                    </w:r>
                  </w:p>
                </w:tc>
                <w:tc>
                  <w:tcPr>
                    <w:tcW w:w="1234" w:type="pct"/>
                    <w:vAlign w:val="center"/>
                  </w:tcPr>
                  <w:p w:rsidR="00D509D9" w:rsidRDefault="004A2D6E" w:rsidP="008163BB">
                    <w:pPr>
                      <w:textAlignment w:val="center"/>
                      <w:rPr>
                        <w:szCs w:val="21"/>
                      </w:rPr>
                    </w:pPr>
                    <w:r>
                      <w:rPr>
                        <w:rFonts w:hint="eastAsia"/>
                        <w:color w:val="000000"/>
                        <w:szCs w:val="21"/>
                      </w:rPr>
                      <w:t>主要由于</w:t>
                    </w:r>
                    <w:r w:rsidR="00D509D9">
                      <w:rPr>
                        <w:color w:val="000000"/>
                        <w:szCs w:val="21"/>
                      </w:rPr>
                      <w:t>本年子公司偿还借款</w:t>
                    </w:r>
                  </w:p>
                </w:tc>
              </w:tr>
            </w:tbl>
            <w:p w:rsidR="00806678" w:rsidRDefault="00F80B6C">
              <w:pPr>
                <w:rPr>
                  <w:szCs w:val="21"/>
                </w:rPr>
              </w:pPr>
            </w:p>
          </w:sdtContent>
        </w:sdt>
      </w:sdtContent>
    </w:sdt>
    <w:sdt>
      <w:sdtPr>
        <w:rPr>
          <w:rFonts w:ascii="宋体" w:hAnsi="宋体" w:cs="宋体" w:hint="eastAsia"/>
          <w:b w:val="0"/>
          <w:bCs w:val="0"/>
          <w:kern w:val="0"/>
          <w:szCs w:val="21"/>
        </w:rPr>
        <w:alias w:val="模块:非主营业务导致利润重大变化的说明"/>
        <w:tag w:val="_SEC_b0e1a8f55b6e4b79a965887836132040"/>
        <w:id w:val="1197976"/>
        <w:lock w:val="sdtLocked"/>
        <w:placeholder>
          <w:docPart w:val="GBC22222222222222222222222222222"/>
        </w:placeholder>
      </w:sdtPr>
      <w:sdtContent>
        <w:p w:rsidR="00806678" w:rsidRDefault="00B16377">
          <w:pPr>
            <w:pStyle w:val="3"/>
            <w:numPr>
              <w:ilvl w:val="0"/>
              <w:numId w:val="8"/>
            </w:numPr>
            <w:ind w:left="368" w:hangingChars="175" w:hanging="368"/>
            <w:rPr>
              <w:szCs w:val="21"/>
            </w:rPr>
          </w:pPr>
          <w:r>
            <w:rPr>
              <w:rFonts w:hint="eastAsia"/>
              <w:szCs w:val="21"/>
            </w:rPr>
            <w:t>非主营业务导致利润重大变化的说明</w:t>
          </w:r>
        </w:p>
        <w:sdt>
          <w:sdtPr>
            <w:rPr>
              <w:szCs w:val="21"/>
            </w:rPr>
            <w:alias w:val="是否适用：非主营业务来源分析[双击切换]"/>
            <w:tag w:val="_GBC_e76b46ce658b44e591e71db49febe73d"/>
            <w:id w:val="8546687"/>
            <w:lock w:val="sdtLocked"/>
            <w:placeholder>
              <w:docPart w:val="GBC22222222222222222222222222222"/>
            </w:placeholder>
          </w:sdtPr>
          <w:sdtContent>
            <w:p w:rsidR="00806678" w:rsidRDefault="00F80B6C">
              <w:pPr>
                <w:rPr>
                  <w:szCs w:val="21"/>
                </w:rPr>
              </w:pPr>
              <w:r>
                <w:rPr>
                  <w:szCs w:val="21"/>
                </w:rPr>
                <w:fldChar w:fldCharType="begin"/>
              </w:r>
              <w:r w:rsidR="00DF6086">
                <w:rPr>
                  <w:szCs w:val="21"/>
                </w:rPr>
                <w:instrText xml:space="preserve">MACROBUTTON  SnrToggleCheckbox □适用 </w:instrText>
              </w:r>
              <w:r>
                <w:rPr>
                  <w:szCs w:val="21"/>
                </w:rPr>
                <w:fldChar w:fldCharType="end"/>
              </w:r>
              <w:r>
                <w:rPr>
                  <w:szCs w:val="21"/>
                </w:rPr>
                <w:fldChar w:fldCharType="begin"/>
              </w:r>
              <w:r w:rsidR="00DF6086">
                <w:rPr>
                  <w:szCs w:val="21"/>
                </w:rPr>
                <w:instrText xml:space="preserve"> MACROBUTTON  SnrToggleCheckbox √不适用 </w:instrText>
              </w:r>
              <w:r>
                <w:rPr>
                  <w:szCs w:val="21"/>
                </w:rPr>
                <w:fldChar w:fldCharType="end"/>
              </w:r>
            </w:p>
          </w:sdtContent>
        </w:sdt>
      </w:sdtContent>
    </w:sdt>
    <w:p w:rsidR="00806678" w:rsidRDefault="00B16377">
      <w:pPr>
        <w:pStyle w:val="3"/>
        <w:numPr>
          <w:ilvl w:val="0"/>
          <w:numId w:val="8"/>
        </w:numPr>
        <w:rPr>
          <w:szCs w:val="21"/>
        </w:rPr>
      </w:pPr>
      <w:r>
        <w:rPr>
          <w:szCs w:val="21"/>
        </w:rPr>
        <w:t>资产、负债情况分析</w:t>
      </w:r>
    </w:p>
    <w:p w:rsidR="00806678" w:rsidRDefault="00F80B6C">
      <w:sdt>
        <w:sdtPr>
          <w:rPr>
            <w:rFonts w:hint="eastAsia"/>
          </w:rPr>
          <w:alias w:val="是否适用：资产、负债情况分析[双击切换]"/>
          <w:tag w:val="_GBC_73f72b786f764d01bef1bb70d2d6e5c6"/>
          <w:id w:val="354551589"/>
          <w:lock w:val="sdtContentLocked"/>
          <w:placeholder>
            <w:docPart w:val="GBC22222222222222222222222222222"/>
          </w:placeholder>
        </w:sdtPr>
        <w:sdtContent>
          <w:r>
            <w:fldChar w:fldCharType="begin"/>
          </w:r>
          <w:r w:rsidR="00DF6086">
            <w:instrText xml:space="preserve"> MACROBUTTON  SnrToggleCheckbox √适用  </w:instrText>
          </w:r>
          <w:r>
            <w:fldChar w:fldCharType="end"/>
          </w:r>
          <w:r>
            <w:fldChar w:fldCharType="begin"/>
          </w:r>
          <w:r w:rsidR="00DF6086">
            <w:instrText xml:space="preserve"> MACROBUTTON  SnrToggleCheckbox □不适用 </w:instrText>
          </w:r>
          <w:r>
            <w:fldChar w:fldCharType="end"/>
          </w:r>
        </w:sdtContent>
      </w:sdt>
    </w:p>
    <w:sdt>
      <w:sdtPr>
        <w:rPr>
          <w:rFonts w:ascii="宋体" w:eastAsia="宋体" w:hAnsi="宋体" w:cs="宋体"/>
          <w:b w:val="0"/>
          <w:bCs w:val="0"/>
          <w:kern w:val="0"/>
          <w:szCs w:val="21"/>
        </w:rPr>
        <w:alias w:val="模块:资产及负债状况"/>
        <w:tag w:val="_SEC_4a3163af8aaf45ec8cbbe30e595b76d7"/>
        <w:id w:val="1198006"/>
        <w:lock w:val="sdtLocked"/>
        <w:placeholder>
          <w:docPart w:val="GBC22222222222222222222222222222"/>
        </w:placeholder>
      </w:sdtPr>
      <w:sdtContent>
        <w:p w:rsidR="00806678" w:rsidRDefault="00B16377" w:rsidP="00FF17C7">
          <w:pPr>
            <w:pStyle w:val="4"/>
            <w:numPr>
              <w:ilvl w:val="0"/>
              <w:numId w:val="66"/>
            </w:numPr>
          </w:pPr>
          <w:r>
            <w:t>资产</w:t>
          </w:r>
          <w:r>
            <w:rPr>
              <w:rFonts w:hint="eastAsia"/>
            </w:rPr>
            <w:t>及</w:t>
          </w:r>
          <w:r>
            <w:t>负债</w:t>
          </w:r>
          <w:r>
            <w:rPr>
              <w:rFonts w:hint="eastAsia"/>
              <w:szCs w:val="21"/>
            </w:rPr>
            <w:t>状</w:t>
          </w:r>
          <w:r>
            <w:rPr>
              <w:szCs w:val="21"/>
            </w:rPr>
            <w:t>况</w:t>
          </w:r>
        </w:p>
        <w:p w:rsidR="00806678" w:rsidRDefault="00B16377">
          <w:pPr>
            <w:jc w:val="right"/>
            <w:rPr>
              <w:szCs w:val="21"/>
            </w:rPr>
          </w:pPr>
          <w:r>
            <w:rPr>
              <w:rFonts w:hint="eastAsia"/>
              <w:szCs w:val="21"/>
            </w:rPr>
            <w:t>单位：</w:t>
          </w:r>
          <w:sdt>
            <w:sdtPr>
              <w:rPr>
                <w:rFonts w:hint="eastAsia"/>
                <w:szCs w:val="21"/>
              </w:rPr>
              <w:alias w:val="单位：资产负债状况分析"/>
              <w:tag w:val="_GBC_f016c1cffd884dd784e4fb134fd0d4df"/>
              <w:id w:val="-85626821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p>
        <w:tbl>
          <w:tblPr>
            <w:tblStyle w:val="a6"/>
            <w:tblW w:w="5561" w:type="pct"/>
            <w:tblInd w:w="-459" w:type="dxa"/>
            <w:tblLook w:val="04A0"/>
          </w:tblPr>
          <w:tblGrid>
            <w:gridCol w:w="1802"/>
            <w:gridCol w:w="1580"/>
            <w:gridCol w:w="1369"/>
            <w:gridCol w:w="1580"/>
            <w:gridCol w:w="1173"/>
            <w:gridCol w:w="1131"/>
            <w:gridCol w:w="1429"/>
          </w:tblGrid>
          <w:tr w:rsidR="007E0EC6" w:rsidTr="008C0116">
            <w:trPr>
              <w:trHeight w:val="180"/>
            </w:trPr>
            <w:sdt>
              <w:sdtPr>
                <w:tag w:val="_PLD_8f1f37d9a09f4bf3a8f4c407297e58ed"/>
                <w:id w:val="323546342"/>
                <w:lock w:val="sdtLocked"/>
              </w:sdtPr>
              <w:sdtContent>
                <w:tc>
                  <w:tcPr>
                    <w:tcW w:w="895" w:type="pct"/>
                    <w:vAlign w:val="center"/>
                  </w:tcPr>
                  <w:p w:rsidR="007E0EC6" w:rsidRDefault="007E0EC6" w:rsidP="008C0116">
                    <w:pPr>
                      <w:jc w:val="center"/>
                      <w:rPr>
                        <w:rStyle w:val="5Char1"/>
                      </w:rPr>
                    </w:pPr>
                    <w:r>
                      <w:rPr>
                        <w:szCs w:val="21"/>
                      </w:rPr>
                      <w:t>项目名称</w:t>
                    </w:r>
                  </w:p>
                </w:tc>
              </w:sdtContent>
            </w:sdt>
            <w:sdt>
              <w:sdtPr>
                <w:tag w:val="_PLD_a4c00a3d0d0a42e28bc6a14dd6d26320"/>
                <w:id w:val="-1643338957"/>
                <w:lock w:val="sdtLocked"/>
              </w:sdtPr>
              <w:sdtContent>
                <w:tc>
                  <w:tcPr>
                    <w:tcW w:w="785" w:type="pct"/>
                    <w:vAlign w:val="center"/>
                  </w:tcPr>
                  <w:p w:rsidR="007E0EC6" w:rsidRDefault="007E0EC6" w:rsidP="008C0116">
                    <w:pPr>
                      <w:jc w:val="center"/>
                      <w:rPr>
                        <w:rStyle w:val="5Char1"/>
                      </w:rPr>
                    </w:pPr>
                    <w:r>
                      <w:rPr>
                        <w:szCs w:val="21"/>
                      </w:rPr>
                      <w:t>本期期末数</w:t>
                    </w:r>
                  </w:p>
                </w:tc>
              </w:sdtContent>
            </w:sdt>
            <w:sdt>
              <w:sdtPr>
                <w:tag w:val="_PLD_17de20223ad64b528b824744807b0036"/>
                <w:id w:val="800965930"/>
                <w:lock w:val="sdtLocked"/>
              </w:sdtPr>
              <w:sdtContent>
                <w:tc>
                  <w:tcPr>
                    <w:tcW w:w="680" w:type="pct"/>
                    <w:vAlign w:val="center"/>
                  </w:tcPr>
                  <w:p w:rsidR="007E0EC6" w:rsidRDefault="007E0EC6" w:rsidP="008C0116">
                    <w:pPr>
                      <w:jc w:val="center"/>
                      <w:rPr>
                        <w:rStyle w:val="5Char1"/>
                      </w:rPr>
                    </w:pPr>
                    <w:r>
                      <w:rPr>
                        <w:szCs w:val="21"/>
                      </w:rPr>
                      <w:t>本期期末数</w:t>
                    </w:r>
                    <w:r>
                      <w:rPr>
                        <w:szCs w:val="21"/>
                      </w:rPr>
                      <w:lastRenderedPageBreak/>
                      <w:t>占总资产的比例（%）</w:t>
                    </w:r>
                  </w:p>
                </w:tc>
              </w:sdtContent>
            </w:sdt>
            <w:sdt>
              <w:sdtPr>
                <w:tag w:val="_PLD_d1b9e9483c3a41358f877758b5adb0fb"/>
                <w:id w:val="1364098164"/>
                <w:lock w:val="sdtLocked"/>
              </w:sdtPr>
              <w:sdtContent>
                <w:tc>
                  <w:tcPr>
                    <w:tcW w:w="785" w:type="pct"/>
                    <w:vAlign w:val="center"/>
                  </w:tcPr>
                  <w:p w:rsidR="007E0EC6" w:rsidRDefault="007E0EC6" w:rsidP="008C0116">
                    <w:pPr>
                      <w:jc w:val="center"/>
                      <w:rPr>
                        <w:rStyle w:val="5Char1"/>
                      </w:rPr>
                    </w:pPr>
                    <w:r>
                      <w:rPr>
                        <w:szCs w:val="21"/>
                      </w:rPr>
                      <w:t>上期期末数</w:t>
                    </w:r>
                  </w:p>
                </w:tc>
              </w:sdtContent>
            </w:sdt>
            <w:sdt>
              <w:sdtPr>
                <w:tag w:val="_PLD_3a8a8577e1a84f26856a900f7202f9a8"/>
                <w:id w:val="-611590622"/>
                <w:lock w:val="sdtLocked"/>
              </w:sdtPr>
              <w:sdtContent>
                <w:tc>
                  <w:tcPr>
                    <w:tcW w:w="583" w:type="pct"/>
                    <w:vAlign w:val="center"/>
                  </w:tcPr>
                  <w:p w:rsidR="007E0EC6" w:rsidRDefault="007E0EC6" w:rsidP="008C0116">
                    <w:pPr>
                      <w:jc w:val="center"/>
                      <w:rPr>
                        <w:rStyle w:val="5Char1"/>
                      </w:rPr>
                    </w:pPr>
                    <w:r>
                      <w:rPr>
                        <w:szCs w:val="21"/>
                      </w:rPr>
                      <w:t>上期期末</w:t>
                    </w:r>
                    <w:r>
                      <w:rPr>
                        <w:szCs w:val="21"/>
                      </w:rPr>
                      <w:lastRenderedPageBreak/>
                      <w:t>数占总资产的比例（%）</w:t>
                    </w:r>
                  </w:p>
                </w:tc>
              </w:sdtContent>
            </w:sdt>
            <w:sdt>
              <w:sdtPr>
                <w:tag w:val="_PLD_8af1894621b84d44aec1deba51e3a7da"/>
                <w:id w:val="756488218"/>
                <w:lock w:val="sdtLocked"/>
              </w:sdtPr>
              <w:sdtContent>
                <w:tc>
                  <w:tcPr>
                    <w:tcW w:w="562" w:type="pct"/>
                    <w:vAlign w:val="center"/>
                  </w:tcPr>
                  <w:p w:rsidR="007E0EC6" w:rsidRDefault="007E0EC6" w:rsidP="008C0116">
                    <w:pPr>
                      <w:jc w:val="center"/>
                      <w:rPr>
                        <w:rStyle w:val="5Char1"/>
                      </w:rPr>
                    </w:pPr>
                    <w:r>
                      <w:rPr>
                        <w:szCs w:val="21"/>
                      </w:rPr>
                      <w:t>本期期末</w:t>
                    </w:r>
                    <w:r>
                      <w:rPr>
                        <w:szCs w:val="21"/>
                      </w:rPr>
                      <w:lastRenderedPageBreak/>
                      <w:t>金额较上期期末变动比例（%）</w:t>
                    </w:r>
                  </w:p>
                </w:tc>
              </w:sdtContent>
            </w:sdt>
            <w:sdt>
              <w:sdtPr>
                <w:tag w:val="_PLD_495436d1d45e4a9391194459a895631e"/>
                <w:id w:val="-423115024"/>
                <w:lock w:val="sdtLocked"/>
              </w:sdtPr>
              <w:sdtContent>
                <w:tc>
                  <w:tcPr>
                    <w:tcW w:w="710" w:type="pct"/>
                    <w:vAlign w:val="center"/>
                  </w:tcPr>
                  <w:p w:rsidR="007E0EC6" w:rsidRDefault="007E0EC6" w:rsidP="008C0116">
                    <w:pPr>
                      <w:jc w:val="center"/>
                      <w:rPr>
                        <w:rStyle w:val="5Char1"/>
                      </w:rPr>
                    </w:pPr>
                    <w:r>
                      <w:rPr>
                        <w:szCs w:val="21"/>
                      </w:rPr>
                      <w:t>情况说明</w:t>
                    </w:r>
                  </w:p>
                </w:tc>
              </w:sdtContent>
            </w:sdt>
          </w:tr>
          <w:sdt>
            <w:sdtPr>
              <w:rPr>
                <w:rStyle w:val="5Char1"/>
                <w:rFonts w:asciiTheme="minorHAnsi" w:eastAsiaTheme="minorEastAsia" w:hAnsiTheme="minorHAnsi" w:cstheme="minorBidi" w:hint="eastAsia"/>
                <w:b w:val="0"/>
                <w:sz w:val="18"/>
                <w:szCs w:val="18"/>
              </w:rPr>
              <w:alias w:val="资产负债状况分析"/>
              <w:tag w:val="_TUP_815ebab5da7a4ba88d97b27a17b235f3"/>
              <w:id w:val="1562603634"/>
              <w:lock w:val="sdtLocked"/>
            </w:sdtPr>
            <w:sdtContent>
              <w:tr w:rsidR="007E0EC6" w:rsidTr="008C0116">
                <w:trPr>
                  <w:trHeight w:val="135"/>
                </w:trPr>
                <w:tc>
                  <w:tcPr>
                    <w:tcW w:w="895" w:type="pct"/>
                    <w:vAlign w:val="center"/>
                  </w:tcPr>
                  <w:p w:rsidR="007E0EC6" w:rsidRPr="007E0EC6" w:rsidRDefault="007E0EC6" w:rsidP="008C0116">
                    <w:pPr>
                      <w:rPr>
                        <w:rStyle w:val="5Char1"/>
                        <w:b w:val="0"/>
                        <w:sz w:val="18"/>
                        <w:szCs w:val="18"/>
                      </w:rPr>
                    </w:pPr>
                    <w:r w:rsidRPr="007E0EC6">
                      <w:rPr>
                        <w:sz w:val="18"/>
                        <w:szCs w:val="18"/>
                      </w:rPr>
                      <w:t>预付账款</w:t>
                    </w:r>
                  </w:p>
                </w:tc>
                <w:tc>
                  <w:tcPr>
                    <w:tcW w:w="785" w:type="pct"/>
                    <w:vAlign w:val="center"/>
                  </w:tcPr>
                  <w:p w:rsidR="007E0EC6" w:rsidRPr="007E0EC6" w:rsidRDefault="007E0EC6" w:rsidP="008C0116">
                    <w:pPr>
                      <w:jc w:val="right"/>
                      <w:rPr>
                        <w:rStyle w:val="5Char1"/>
                        <w:b w:val="0"/>
                        <w:sz w:val="18"/>
                        <w:szCs w:val="18"/>
                      </w:rPr>
                    </w:pPr>
                    <w:r w:rsidRPr="007E0EC6">
                      <w:rPr>
                        <w:sz w:val="18"/>
                        <w:szCs w:val="18"/>
                      </w:rPr>
                      <w:t>323,249,853</w:t>
                    </w:r>
                  </w:p>
                </w:tc>
                <w:tc>
                  <w:tcPr>
                    <w:tcW w:w="680" w:type="pct"/>
                    <w:vAlign w:val="center"/>
                  </w:tcPr>
                  <w:p w:rsidR="007E0EC6" w:rsidRPr="007E0EC6" w:rsidRDefault="007E0EC6" w:rsidP="008C0116">
                    <w:pPr>
                      <w:jc w:val="right"/>
                      <w:rPr>
                        <w:rStyle w:val="5Char1"/>
                        <w:b w:val="0"/>
                        <w:sz w:val="18"/>
                        <w:szCs w:val="18"/>
                      </w:rPr>
                    </w:pPr>
                    <w:r w:rsidRPr="007E0EC6">
                      <w:rPr>
                        <w:sz w:val="18"/>
                        <w:szCs w:val="18"/>
                      </w:rPr>
                      <w:t>0.16</w:t>
                    </w:r>
                  </w:p>
                </w:tc>
                <w:tc>
                  <w:tcPr>
                    <w:tcW w:w="785" w:type="pct"/>
                    <w:vAlign w:val="center"/>
                  </w:tcPr>
                  <w:p w:rsidR="007E0EC6" w:rsidRPr="007E0EC6" w:rsidRDefault="007E0EC6" w:rsidP="008C0116">
                    <w:pPr>
                      <w:jc w:val="right"/>
                      <w:rPr>
                        <w:rStyle w:val="5Char1"/>
                        <w:b w:val="0"/>
                        <w:sz w:val="18"/>
                        <w:szCs w:val="18"/>
                      </w:rPr>
                    </w:pPr>
                    <w:r w:rsidRPr="007E0EC6">
                      <w:rPr>
                        <w:sz w:val="18"/>
                        <w:szCs w:val="18"/>
                      </w:rPr>
                      <w:t>170,685,250</w:t>
                    </w:r>
                  </w:p>
                </w:tc>
                <w:tc>
                  <w:tcPr>
                    <w:tcW w:w="583" w:type="pct"/>
                    <w:vAlign w:val="center"/>
                  </w:tcPr>
                  <w:p w:rsidR="007E0EC6" w:rsidRPr="007E0EC6" w:rsidRDefault="007E0EC6" w:rsidP="008C0116">
                    <w:pPr>
                      <w:jc w:val="right"/>
                      <w:rPr>
                        <w:rStyle w:val="5Char1"/>
                        <w:b w:val="0"/>
                        <w:sz w:val="18"/>
                        <w:szCs w:val="18"/>
                      </w:rPr>
                    </w:pPr>
                    <w:r w:rsidRPr="007E0EC6">
                      <w:rPr>
                        <w:sz w:val="18"/>
                        <w:szCs w:val="18"/>
                      </w:rPr>
                      <w:t>0.09</w:t>
                    </w:r>
                  </w:p>
                </w:tc>
                <w:tc>
                  <w:tcPr>
                    <w:tcW w:w="562" w:type="pct"/>
                    <w:vAlign w:val="center"/>
                  </w:tcPr>
                  <w:p w:rsidR="007E0EC6" w:rsidRPr="007E0EC6" w:rsidRDefault="007E0EC6" w:rsidP="008C0116">
                    <w:pPr>
                      <w:jc w:val="right"/>
                      <w:rPr>
                        <w:rStyle w:val="5Char1"/>
                        <w:b w:val="0"/>
                        <w:sz w:val="18"/>
                        <w:szCs w:val="18"/>
                      </w:rPr>
                    </w:pPr>
                    <w:r w:rsidRPr="007E0EC6">
                      <w:rPr>
                        <w:sz w:val="18"/>
                        <w:szCs w:val="18"/>
                      </w:rPr>
                      <w:t>89.38</w:t>
                    </w:r>
                  </w:p>
                </w:tc>
                <w:tc>
                  <w:tcPr>
                    <w:tcW w:w="710" w:type="pct"/>
                  </w:tcPr>
                  <w:p w:rsidR="007E0EC6" w:rsidRPr="007E0EC6" w:rsidRDefault="007E0EC6" w:rsidP="008C0116">
                    <w:pPr>
                      <w:rPr>
                        <w:rStyle w:val="5Char1"/>
                        <w:b w:val="0"/>
                        <w:sz w:val="18"/>
                        <w:szCs w:val="18"/>
                      </w:rPr>
                    </w:pPr>
                    <w:r w:rsidRPr="007E0EC6">
                      <w:rPr>
                        <w:sz w:val="18"/>
                        <w:szCs w:val="18"/>
                      </w:rPr>
                      <w:t>主要由于本年预付轨料款等增加</w:t>
                    </w:r>
                  </w:p>
                </w:tc>
              </w:tr>
            </w:sdtContent>
          </w:sdt>
          <w:sdt>
            <w:sdtPr>
              <w:rPr>
                <w:rStyle w:val="5Char1"/>
                <w:rFonts w:asciiTheme="minorHAnsi" w:eastAsiaTheme="minorEastAsia" w:hAnsiTheme="minorHAnsi" w:cstheme="minorBidi" w:hint="eastAsia"/>
                <w:b w:val="0"/>
                <w:sz w:val="18"/>
                <w:szCs w:val="18"/>
              </w:rPr>
              <w:alias w:val="资产负债状况分析"/>
              <w:tag w:val="_TUP_815ebab5da7a4ba88d97b27a17b235f3"/>
              <w:id w:val="468480483"/>
              <w:lock w:val="sdtLocked"/>
            </w:sdtPr>
            <w:sdtContent>
              <w:tr w:rsidR="007E0EC6" w:rsidTr="008C0116">
                <w:trPr>
                  <w:trHeight w:val="135"/>
                </w:trPr>
                <w:tc>
                  <w:tcPr>
                    <w:tcW w:w="895" w:type="pct"/>
                    <w:vAlign w:val="center"/>
                  </w:tcPr>
                  <w:p w:rsidR="007E0EC6" w:rsidRPr="007E0EC6" w:rsidRDefault="007E0EC6" w:rsidP="008C0116">
                    <w:pPr>
                      <w:rPr>
                        <w:rStyle w:val="5Char1"/>
                        <w:b w:val="0"/>
                        <w:sz w:val="18"/>
                        <w:szCs w:val="18"/>
                      </w:rPr>
                    </w:pPr>
                    <w:r w:rsidRPr="007E0EC6">
                      <w:rPr>
                        <w:sz w:val="18"/>
                        <w:szCs w:val="18"/>
                      </w:rPr>
                      <w:t>其他应收款</w:t>
                    </w:r>
                  </w:p>
                </w:tc>
                <w:tc>
                  <w:tcPr>
                    <w:tcW w:w="785" w:type="pct"/>
                    <w:vAlign w:val="center"/>
                  </w:tcPr>
                  <w:p w:rsidR="007E0EC6" w:rsidRPr="007E0EC6" w:rsidRDefault="007E0EC6" w:rsidP="008C0116">
                    <w:pPr>
                      <w:jc w:val="right"/>
                      <w:rPr>
                        <w:rStyle w:val="5Char1"/>
                        <w:b w:val="0"/>
                        <w:sz w:val="18"/>
                        <w:szCs w:val="18"/>
                      </w:rPr>
                    </w:pPr>
                    <w:r w:rsidRPr="007E0EC6">
                      <w:rPr>
                        <w:sz w:val="18"/>
                        <w:szCs w:val="18"/>
                      </w:rPr>
                      <w:t>4,159,340,449</w:t>
                    </w:r>
                  </w:p>
                </w:tc>
                <w:tc>
                  <w:tcPr>
                    <w:tcW w:w="680" w:type="pct"/>
                    <w:vAlign w:val="center"/>
                  </w:tcPr>
                  <w:p w:rsidR="007E0EC6" w:rsidRPr="007E0EC6" w:rsidRDefault="007E0EC6" w:rsidP="008C0116">
                    <w:pPr>
                      <w:jc w:val="right"/>
                      <w:rPr>
                        <w:rStyle w:val="5Char1"/>
                        <w:b w:val="0"/>
                        <w:sz w:val="18"/>
                        <w:szCs w:val="18"/>
                      </w:rPr>
                    </w:pPr>
                    <w:r w:rsidRPr="007E0EC6">
                      <w:rPr>
                        <w:sz w:val="18"/>
                        <w:szCs w:val="18"/>
                      </w:rPr>
                      <w:t>2.06</w:t>
                    </w:r>
                  </w:p>
                </w:tc>
                <w:tc>
                  <w:tcPr>
                    <w:tcW w:w="785" w:type="pct"/>
                    <w:vAlign w:val="center"/>
                  </w:tcPr>
                  <w:p w:rsidR="007E0EC6" w:rsidRPr="007E0EC6" w:rsidRDefault="007E0EC6" w:rsidP="008C0116">
                    <w:pPr>
                      <w:jc w:val="right"/>
                      <w:rPr>
                        <w:rStyle w:val="5Char1"/>
                        <w:b w:val="0"/>
                        <w:sz w:val="18"/>
                        <w:szCs w:val="18"/>
                      </w:rPr>
                    </w:pPr>
                    <w:r w:rsidRPr="007E0EC6">
                      <w:rPr>
                        <w:sz w:val="18"/>
                        <w:szCs w:val="18"/>
                      </w:rPr>
                      <w:t>3,162,653,687</w:t>
                    </w:r>
                  </w:p>
                </w:tc>
                <w:tc>
                  <w:tcPr>
                    <w:tcW w:w="583" w:type="pct"/>
                    <w:vAlign w:val="center"/>
                  </w:tcPr>
                  <w:p w:rsidR="007E0EC6" w:rsidRPr="007E0EC6" w:rsidRDefault="007E0EC6" w:rsidP="008C0116">
                    <w:pPr>
                      <w:jc w:val="right"/>
                      <w:rPr>
                        <w:rStyle w:val="5Char1"/>
                        <w:b w:val="0"/>
                        <w:sz w:val="18"/>
                        <w:szCs w:val="18"/>
                      </w:rPr>
                    </w:pPr>
                    <w:r w:rsidRPr="007E0EC6">
                      <w:rPr>
                        <w:sz w:val="18"/>
                        <w:szCs w:val="18"/>
                      </w:rPr>
                      <w:t>1.59</w:t>
                    </w:r>
                  </w:p>
                </w:tc>
                <w:tc>
                  <w:tcPr>
                    <w:tcW w:w="562" w:type="pct"/>
                    <w:vAlign w:val="center"/>
                  </w:tcPr>
                  <w:p w:rsidR="007E0EC6" w:rsidRPr="007E0EC6" w:rsidRDefault="007E0EC6" w:rsidP="008C0116">
                    <w:pPr>
                      <w:jc w:val="right"/>
                      <w:rPr>
                        <w:rStyle w:val="5Char1"/>
                        <w:b w:val="0"/>
                        <w:sz w:val="18"/>
                        <w:szCs w:val="18"/>
                      </w:rPr>
                    </w:pPr>
                    <w:r w:rsidRPr="007E0EC6">
                      <w:rPr>
                        <w:sz w:val="18"/>
                        <w:szCs w:val="18"/>
                      </w:rPr>
                      <w:t>31.51</w:t>
                    </w:r>
                  </w:p>
                </w:tc>
                <w:tc>
                  <w:tcPr>
                    <w:tcW w:w="710" w:type="pct"/>
                  </w:tcPr>
                  <w:p w:rsidR="007E0EC6" w:rsidRPr="007E0EC6" w:rsidRDefault="007E0EC6" w:rsidP="008C0116">
                    <w:pPr>
                      <w:rPr>
                        <w:rStyle w:val="5Char1"/>
                        <w:b w:val="0"/>
                        <w:sz w:val="18"/>
                        <w:szCs w:val="18"/>
                      </w:rPr>
                    </w:pPr>
                    <w:r w:rsidRPr="007E0EC6">
                      <w:rPr>
                        <w:sz w:val="18"/>
                        <w:szCs w:val="18"/>
                      </w:rPr>
                      <w:t>主要由于本年应收股利增加</w:t>
                    </w:r>
                  </w:p>
                </w:tc>
              </w:tr>
            </w:sdtContent>
          </w:sdt>
          <w:sdt>
            <w:sdtPr>
              <w:rPr>
                <w:rStyle w:val="5Char1"/>
                <w:rFonts w:asciiTheme="minorHAnsi" w:eastAsiaTheme="minorEastAsia" w:hAnsiTheme="minorHAnsi" w:cstheme="minorBidi" w:hint="eastAsia"/>
                <w:b w:val="0"/>
                <w:sz w:val="18"/>
                <w:szCs w:val="18"/>
              </w:rPr>
              <w:alias w:val="资产负债状况分析"/>
              <w:tag w:val="_TUP_815ebab5da7a4ba88d97b27a17b235f3"/>
              <w:id w:val="1967391004"/>
              <w:lock w:val="sdtLocked"/>
            </w:sdtPr>
            <w:sdtContent>
              <w:tr w:rsidR="007E0EC6" w:rsidTr="008C0116">
                <w:trPr>
                  <w:trHeight w:val="135"/>
                </w:trPr>
                <w:tc>
                  <w:tcPr>
                    <w:tcW w:w="895" w:type="pct"/>
                    <w:vAlign w:val="center"/>
                  </w:tcPr>
                  <w:p w:rsidR="007E0EC6" w:rsidRPr="007E0EC6" w:rsidRDefault="007E0EC6" w:rsidP="008C0116">
                    <w:pPr>
                      <w:rPr>
                        <w:rStyle w:val="5Char1"/>
                        <w:b w:val="0"/>
                        <w:sz w:val="18"/>
                        <w:szCs w:val="18"/>
                      </w:rPr>
                    </w:pPr>
                    <w:r w:rsidRPr="007E0EC6">
                      <w:rPr>
                        <w:sz w:val="18"/>
                        <w:szCs w:val="18"/>
                      </w:rPr>
                      <w:t>在建工程</w:t>
                    </w:r>
                  </w:p>
                </w:tc>
                <w:tc>
                  <w:tcPr>
                    <w:tcW w:w="785" w:type="pct"/>
                    <w:vAlign w:val="center"/>
                  </w:tcPr>
                  <w:p w:rsidR="007E0EC6" w:rsidRPr="007E0EC6" w:rsidRDefault="007E0EC6" w:rsidP="008C0116">
                    <w:pPr>
                      <w:jc w:val="right"/>
                      <w:rPr>
                        <w:rStyle w:val="5Char1"/>
                        <w:b w:val="0"/>
                        <w:sz w:val="18"/>
                        <w:szCs w:val="18"/>
                      </w:rPr>
                    </w:pPr>
                    <w:r w:rsidRPr="007E0EC6">
                      <w:rPr>
                        <w:sz w:val="18"/>
                        <w:szCs w:val="18"/>
                      </w:rPr>
                      <w:t>1,425,294,588</w:t>
                    </w:r>
                  </w:p>
                </w:tc>
                <w:tc>
                  <w:tcPr>
                    <w:tcW w:w="680" w:type="pct"/>
                    <w:vAlign w:val="center"/>
                  </w:tcPr>
                  <w:p w:rsidR="007E0EC6" w:rsidRPr="007E0EC6" w:rsidRDefault="007E0EC6" w:rsidP="008C0116">
                    <w:pPr>
                      <w:jc w:val="right"/>
                      <w:rPr>
                        <w:rStyle w:val="5Char1"/>
                        <w:b w:val="0"/>
                        <w:sz w:val="18"/>
                        <w:szCs w:val="18"/>
                      </w:rPr>
                    </w:pPr>
                    <w:r w:rsidRPr="007E0EC6">
                      <w:rPr>
                        <w:sz w:val="18"/>
                        <w:szCs w:val="18"/>
                      </w:rPr>
                      <w:t>0.70</w:t>
                    </w:r>
                  </w:p>
                </w:tc>
                <w:tc>
                  <w:tcPr>
                    <w:tcW w:w="785" w:type="pct"/>
                    <w:vAlign w:val="center"/>
                  </w:tcPr>
                  <w:p w:rsidR="007E0EC6" w:rsidRPr="007E0EC6" w:rsidRDefault="007E0EC6" w:rsidP="008C0116">
                    <w:pPr>
                      <w:jc w:val="right"/>
                      <w:rPr>
                        <w:rStyle w:val="5Char1"/>
                        <w:b w:val="0"/>
                        <w:sz w:val="18"/>
                        <w:szCs w:val="18"/>
                      </w:rPr>
                    </w:pPr>
                    <w:r w:rsidRPr="007E0EC6">
                      <w:rPr>
                        <w:sz w:val="18"/>
                        <w:szCs w:val="18"/>
                      </w:rPr>
                      <w:t>740,335,416</w:t>
                    </w:r>
                  </w:p>
                </w:tc>
                <w:tc>
                  <w:tcPr>
                    <w:tcW w:w="583" w:type="pct"/>
                    <w:vAlign w:val="center"/>
                  </w:tcPr>
                  <w:p w:rsidR="007E0EC6" w:rsidRPr="007E0EC6" w:rsidRDefault="007E0EC6" w:rsidP="008C0116">
                    <w:pPr>
                      <w:jc w:val="right"/>
                      <w:rPr>
                        <w:rStyle w:val="5Char1"/>
                        <w:b w:val="0"/>
                        <w:sz w:val="18"/>
                        <w:szCs w:val="18"/>
                      </w:rPr>
                    </w:pPr>
                    <w:r w:rsidRPr="007E0EC6">
                      <w:rPr>
                        <w:sz w:val="18"/>
                        <w:szCs w:val="18"/>
                      </w:rPr>
                      <w:t>0.37</w:t>
                    </w:r>
                  </w:p>
                </w:tc>
                <w:tc>
                  <w:tcPr>
                    <w:tcW w:w="562" w:type="pct"/>
                    <w:vAlign w:val="center"/>
                  </w:tcPr>
                  <w:p w:rsidR="007E0EC6" w:rsidRPr="007E0EC6" w:rsidRDefault="007E0EC6" w:rsidP="008C0116">
                    <w:pPr>
                      <w:jc w:val="right"/>
                      <w:rPr>
                        <w:rStyle w:val="5Char1"/>
                        <w:b w:val="0"/>
                        <w:sz w:val="18"/>
                        <w:szCs w:val="18"/>
                      </w:rPr>
                    </w:pPr>
                    <w:r w:rsidRPr="007E0EC6">
                      <w:rPr>
                        <w:sz w:val="18"/>
                        <w:szCs w:val="18"/>
                      </w:rPr>
                      <w:t>92.52</w:t>
                    </w:r>
                  </w:p>
                </w:tc>
                <w:tc>
                  <w:tcPr>
                    <w:tcW w:w="710" w:type="pct"/>
                  </w:tcPr>
                  <w:p w:rsidR="007E0EC6" w:rsidRPr="007E0EC6" w:rsidRDefault="007E0EC6" w:rsidP="008C0116">
                    <w:pPr>
                      <w:rPr>
                        <w:rStyle w:val="5Char1"/>
                        <w:b w:val="0"/>
                        <w:sz w:val="18"/>
                        <w:szCs w:val="18"/>
                      </w:rPr>
                    </w:pPr>
                    <w:r w:rsidRPr="007E0EC6">
                      <w:rPr>
                        <w:sz w:val="18"/>
                        <w:szCs w:val="18"/>
                      </w:rPr>
                      <w:t>主要由于本年在建工程增加</w:t>
                    </w:r>
                  </w:p>
                </w:tc>
              </w:tr>
            </w:sdtContent>
          </w:sdt>
          <w:sdt>
            <w:sdtPr>
              <w:rPr>
                <w:rStyle w:val="5Char1"/>
                <w:rFonts w:asciiTheme="minorHAnsi" w:eastAsiaTheme="minorEastAsia" w:hAnsiTheme="minorHAnsi" w:cstheme="minorBidi" w:hint="eastAsia"/>
                <w:b w:val="0"/>
                <w:sz w:val="18"/>
                <w:szCs w:val="18"/>
              </w:rPr>
              <w:alias w:val="资产负债状况分析"/>
              <w:tag w:val="_TUP_815ebab5da7a4ba88d97b27a17b235f3"/>
              <w:id w:val="-555392991"/>
              <w:lock w:val="sdtLocked"/>
            </w:sdtPr>
            <w:sdtEndPr>
              <w:rPr>
                <w:rStyle w:val="a0"/>
                <w:rFonts w:ascii="宋体" w:eastAsia="宋体" w:hAnsi="宋体" w:cs="宋体" w:hint="default"/>
                <w:bCs w:val="0"/>
                <w:kern w:val="0"/>
              </w:rPr>
            </w:sdtEndPr>
            <w:sdtContent>
              <w:tr w:rsidR="007E0EC6" w:rsidTr="008C0116">
                <w:trPr>
                  <w:trHeight w:val="135"/>
                </w:trPr>
                <w:tc>
                  <w:tcPr>
                    <w:tcW w:w="895" w:type="pct"/>
                    <w:vAlign w:val="center"/>
                  </w:tcPr>
                  <w:p w:rsidR="007E0EC6" w:rsidRPr="007E0EC6" w:rsidRDefault="007E0EC6" w:rsidP="008C0116">
                    <w:pPr>
                      <w:rPr>
                        <w:rStyle w:val="5Char1"/>
                        <w:rFonts w:asciiTheme="minorHAnsi" w:eastAsiaTheme="minorEastAsia" w:hAnsiTheme="minorHAnsi" w:cstheme="minorBidi"/>
                        <w:b w:val="0"/>
                        <w:sz w:val="18"/>
                        <w:szCs w:val="18"/>
                      </w:rPr>
                    </w:pPr>
                    <w:r w:rsidRPr="007E0EC6">
                      <w:rPr>
                        <w:sz w:val="18"/>
                        <w:szCs w:val="18"/>
                      </w:rPr>
                      <w:t>长期待摊费用</w:t>
                    </w:r>
                  </w:p>
                </w:tc>
                <w:tc>
                  <w:tcPr>
                    <w:tcW w:w="785" w:type="pct"/>
                    <w:vAlign w:val="center"/>
                  </w:tcPr>
                  <w:p w:rsidR="007E0EC6" w:rsidRPr="007E0EC6" w:rsidRDefault="007E0EC6" w:rsidP="008C0116">
                    <w:pPr>
                      <w:jc w:val="right"/>
                      <w:rPr>
                        <w:sz w:val="18"/>
                        <w:szCs w:val="18"/>
                      </w:rPr>
                    </w:pPr>
                    <w:r w:rsidRPr="007E0EC6">
                      <w:rPr>
                        <w:sz w:val="18"/>
                        <w:szCs w:val="18"/>
                      </w:rPr>
                      <w:t>233,409,565</w:t>
                    </w:r>
                  </w:p>
                </w:tc>
                <w:tc>
                  <w:tcPr>
                    <w:tcW w:w="680" w:type="pct"/>
                    <w:vAlign w:val="center"/>
                  </w:tcPr>
                  <w:p w:rsidR="007E0EC6" w:rsidRPr="007E0EC6" w:rsidRDefault="007E0EC6" w:rsidP="008C0116">
                    <w:pPr>
                      <w:jc w:val="right"/>
                      <w:rPr>
                        <w:sz w:val="18"/>
                        <w:szCs w:val="18"/>
                      </w:rPr>
                    </w:pPr>
                    <w:r w:rsidRPr="007E0EC6">
                      <w:rPr>
                        <w:sz w:val="18"/>
                        <w:szCs w:val="18"/>
                      </w:rPr>
                      <w:t>0.12</w:t>
                    </w:r>
                  </w:p>
                </w:tc>
                <w:tc>
                  <w:tcPr>
                    <w:tcW w:w="785" w:type="pct"/>
                    <w:vAlign w:val="center"/>
                  </w:tcPr>
                  <w:p w:rsidR="007E0EC6" w:rsidRPr="007E0EC6" w:rsidRDefault="007E0EC6" w:rsidP="008C0116">
                    <w:pPr>
                      <w:jc w:val="right"/>
                      <w:rPr>
                        <w:sz w:val="18"/>
                        <w:szCs w:val="18"/>
                      </w:rPr>
                    </w:pPr>
                    <w:r w:rsidRPr="007E0EC6">
                      <w:rPr>
                        <w:sz w:val="18"/>
                        <w:szCs w:val="18"/>
                      </w:rPr>
                      <w:t>139,054,681</w:t>
                    </w:r>
                  </w:p>
                </w:tc>
                <w:tc>
                  <w:tcPr>
                    <w:tcW w:w="583" w:type="pct"/>
                    <w:vAlign w:val="center"/>
                  </w:tcPr>
                  <w:p w:rsidR="007E0EC6" w:rsidRPr="007E0EC6" w:rsidRDefault="007E0EC6" w:rsidP="008C0116">
                    <w:pPr>
                      <w:jc w:val="right"/>
                      <w:rPr>
                        <w:sz w:val="18"/>
                        <w:szCs w:val="18"/>
                      </w:rPr>
                    </w:pPr>
                    <w:r w:rsidRPr="007E0EC6">
                      <w:rPr>
                        <w:sz w:val="18"/>
                        <w:szCs w:val="18"/>
                      </w:rPr>
                      <w:t>0.07</w:t>
                    </w:r>
                  </w:p>
                </w:tc>
                <w:tc>
                  <w:tcPr>
                    <w:tcW w:w="562" w:type="pct"/>
                    <w:vAlign w:val="center"/>
                  </w:tcPr>
                  <w:p w:rsidR="007E0EC6" w:rsidRPr="007E0EC6" w:rsidRDefault="007E0EC6" w:rsidP="008C0116">
                    <w:pPr>
                      <w:jc w:val="right"/>
                      <w:rPr>
                        <w:sz w:val="18"/>
                        <w:szCs w:val="18"/>
                      </w:rPr>
                    </w:pPr>
                    <w:r w:rsidRPr="007E0EC6">
                      <w:rPr>
                        <w:sz w:val="18"/>
                        <w:szCs w:val="18"/>
                      </w:rPr>
                      <w:t>67.85</w:t>
                    </w:r>
                  </w:p>
                </w:tc>
                <w:tc>
                  <w:tcPr>
                    <w:tcW w:w="710" w:type="pct"/>
                  </w:tcPr>
                  <w:p w:rsidR="007E0EC6" w:rsidRPr="007E0EC6" w:rsidRDefault="007E0EC6" w:rsidP="008C0116">
                    <w:pPr>
                      <w:rPr>
                        <w:sz w:val="18"/>
                        <w:szCs w:val="18"/>
                      </w:rPr>
                    </w:pPr>
                    <w:r w:rsidRPr="007E0EC6">
                      <w:rPr>
                        <w:sz w:val="18"/>
                        <w:szCs w:val="18"/>
                      </w:rPr>
                      <w:t>主要由于本年租赁改良支出增加</w:t>
                    </w:r>
                  </w:p>
                </w:tc>
              </w:tr>
            </w:sdtContent>
          </w:sdt>
          <w:sdt>
            <w:sdtPr>
              <w:rPr>
                <w:rStyle w:val="5Char1"/>
                <w:rFonts w:asciiTheme="minorHAnsi" w:eastAsiaTheme="minorEastAsia" w:hAnsiTheme="minorHAnsi" w:cstheme="minorBidi" w:hint="eastAsia"/>
                <w:b w:val="0"/>
                <w:sz w:val="18"/>
                <w:szCs w:val="18"/>
              </w:rPr>
              <w:alias w:val="资产负债状况分析"/>
              <w:tag w:val="_TUP_815ebab5da7a4ba88d97b27a17b235f3"/>
              <w:id w:val="544571351"/>
              <w:lock w:val="sdtLocked"/>
            </w:sdtPr>
            <w:sdtContent>
              <w:tr w:rsidR="007E0EC6" w:rsidTr="008C0116">
                <w:trPr>
                  <w:trHeight w:val="135"/>
                </w:trPr>
                <w:tc>
                  <w:tcPr>
                    <w:tcW w:w="895" w:type="pct"/>
                    <w:vAlign w:val="center"/>
                  </w:tcPr>
                  <w:p w:rsidR="007E0EC6" w:rsidRPr="007E0EC6" w:rsidRDefault="007E0EC6" w:rsidP="008C0116">
                    <w:pPr>
                      <w:rPr>
                        <w:rStyle w:val="5Char1"/>
                        <w:b w:val="0"/>
                        <w:sz w:val="18"/>
                        <w:szCs w:val="18"/>
                      </w:rPr>
                    </w:pPr>
                    <w:r w:rsidRPr="007E0EC6">
                      <w:rPr>
                        <w:sz w:val="18"/>
                        <w:szCs w:val="18"/>
                      </w:rPr>
                      <w:t>其他非流动资产</w:t>
                    </w:r>
                  </w:p>
                </w:tc>
                <w:tc>
                  <w:tcPr>
                    <w:tcW w:w="785" w:type="pct"/>
                    <w:vAlign w:val="center"/>
                  </w:tcPr>
                  <w:p w:rsidR="007E0EC6" w:rsidRPr="007E0EC6" w:rsidRDefault="007E0EC6" w:rsidP="008C0116">
                    <w:pPr>
                      <w:jc w:val="right"/>
                      <w:rPr>
                        <w:rStyle w:val="5Char1"/>
                        <w:b w:val="0"/>
                        <w:sz w:val="18"/>
                        <w:szCs w:val="18"/>
                      </w:rPr>
                    </w:pPr>
                    <w:r w:rsidRPr="007E0EC6">
                      <w:rPr>
                        <w:sz w:val="18"/>
                        <w:szCs w:val="18"/>
                      </w:rPr>
                      <w:t>52,354,225</w:t>
                    </w:r>
                  </w:p>
                </w:tc>
                <w:tc>
                  <w:tcPr>
                    <w:tcW w:w="680" w:type="pct"/>
                    <w:vAlign w:val="center"/>
                  </w:tcPr>
                  <w:p w:rsidR="007E0EC6" w:rsidRPr="007E0EC6" w:rsidRDefault="007E0EC6" w:rsidP="008C0116">
                    <w:pPr>
                      <w:jc w:val="right"/>
                      <w:rPr>
                        <w:rStyle w:val="5Char1"/>
                        <w:b w:val="0"/>
                        <w:sz w:val="18"/>
                        <w:szCs w:val="18"/>
                      </w:rPr>
                    </w:pPr>
                    <w:r w:rsidRPr="007E0EC6">
                      <w:rPr>
                        <w:sz w:val="18"/>
                        <w:szCs w:val="18"/>
                      </w:rPr>
                      <w:t>0.03</w:t>
                    </w:r>
                  </w:p>
                </w:tc>
                <w:tc>
                  <w:tcPr>
                    <w:tcW w:w="785" w:type="pct"/>
                    <w:vAlign w:val="center"/>
                  </w:tcPr>
                  <w:p w:rsidR="007E0EC6" w:rsidRPr="007E0EC6" w:rsidRDefault="007E0EC6" w:rsidP="008C0116">
                    <w:pPr>
                      <w:jc w:val="right"/>
                      <w:rPr>
                        <w:rStyle w:val="5Char1"/>
                        <w:b w:val="0"/>
                        <w:sz w:val="18"/>
                        <w:szCs w:val="18"/>
                      </w:rPr>
                    </w:pPr>
                    <w:r w:rsidRPr="007E0EC6">
                      <w:rPr>
                        <w:sz w:val="18"/>
                        <w:szCs w:val="18"/>
                      </w:rPr>
                      <w:t>131,966,967</w:t>
                    </w:r>
                  </w:p>
                </w:tc>
                <w:tc>
                  <w:tcPr>
                    <w:tcW w:w="583" w:type="pct"/>
                    <w:vAlign w:val="center"/>
                  </w:tcPr>
                  <w:p w:rsidR="007E0EC6" w:rsidRPr="007E0EC6" w:rsidRDefault="007E0EC6" w:rsidP="008C0116">
                    <w:pPr>
                      <w:jc w:val="right"/>
                      <w:rPr>
                        <w:rStyle w:val="5Char1"/>
                        <w:b w:val="0"/>
                        <w:sz w:val="18"/>
                        <w:szCs w:val="18"/>
                      </w:rPr>
                    </w:pPr>
                    <w:r w:rsidRPr="007E0EC6">
                      <w:rPr>
                        <w:sz w:val="18"/>
                        <w:szCs w:val="18"/>
                      </w:rPr>
                      <w:t>0.07</w:t>
                    </w:r>
                  </w:p>
                </w:tc>
                <w:tc>
                  <w:tcPr>
                    <w:tcW w:w="562" w:type="pct"/>
                    <w:vAlign w:val="center"/>
                  </w:tcPr>
                  <w:p w:rsidR="007E0EC6" w:rsidRPr="007E0EC6" w:rsidRDefault="007E0EC6" w:rsidP="008C0116">
                    <w:pPr>
                      <w:jc w:val="right"/>
                      <w:rPr>
                        <w:rStyle w:val="5Char1"/>
                        <w:b w:val="0"/>
                        <w:sz w:val="18"/>
                        <w:szCs w:val="18"/>
                      </w:rPr>
                    </w:pPr>
                    <w:r w:rsidRPr="007E0EC6">
                      <w:rPr>
                        <w:sz w:val="18"/>
                        <w:szCs w:val="18"/>
                      </w:rPr>
                      <w:t>-60.33</w:t>
                    </w:r>
                  </w:p>
                </w:tc>
                <w:tc>
                  <w:tcPr>
                    <w:tcW w:w="710" w:type="pct"/>
                  </w:tcPr>
                  <w:p w:rsidR="007E0EC6" w:rsidRPr="007E0EC6" w:rsidRDefault="007E0EC6" w:rsidP="008C0116">
                    <w:pPr>
                      <w:rPr>
                        <w:rStyle w:val="5Char1"/>
                        <w:b w:val="0"/>
                        <w:sz w:val="18"/>
                        <w:szCs w:val="18"/>
                      </w:rPr>
                    </w:pPr>
                    <w:r w:rsidRPr="007E0EC6">
                      <w:rPr>
                        <w:sz w:val="18"/>
                        <w:szCs w:val="18"/>
                      </w:rPr>
                      <w:t>主要由于本年子公司收回政府回购工程款</w:t>
                    </w:r>
                  </w:p>
                </w:tc>
              </w:tr>
            </w:sdtContent>
          </w:sdt>
          <w:sdt>
            <w:sdtPr>
              <w:rPr>
                <w:rStyle w:val="5Char1"/>
                <w:rFonts w:asciiTheme="minorHAnsi" w:eastAsiaTheme="minorEastAsia" w:hAnsiTheme="minorHAnsi" w:cstheme="minorBidi" w:hint="eastAsia"/>
                <w:b w:val="0"/>
                <w:sz w:val="18"/>
                <w:szCs w:val="18"/>
              </w:rPr>
              <w:alias w:val="资产负债状况分析"/>
              <w:tag w:val="_TUP_815ebab5da7a4ba88d97b27a17b235f3"/>
              <w:id w:val="-196780583"/>
              <w:lock w:val="sdtLocked"/>
            </w:sdtPr>
            <w:sdtContent>
              <w:tr w:rsidR="007E0EC6" w:rsidTr="008C0116">
                <w:trPr>
                  <w:trHeight w:val="135"/>
                </w:trPr>
                <w:tc>
                  <w:tcPr>
                    <w:tcW w:w="895" w:type="pct"/>
                    <w:vAlign w:val="center"/>
                  </w:tcPr>
                  <w:p w:rsidR="007E0EC6" w:rsidRPr="007E0EC6" w:rsidRDefault="007E0EC6" w:rsidP="008C0116">
                    <w:pPr>
                      <w:rPr>
                        <w:rStyle w:val="5Char1"/>
                        <w:b w:val="0"/>
                        <w:sz w:val="18"/>
                        <w:szCs w:val="18"/>
                      </w:rPr>
                    </w:pPr>
                    <w:r w:rsidRPr="007E0EC6">
                      <w:rPr>
                        <w:sz w:val="18"/>
                        <w:szCs w:val="18"/>
                      </w:rPr>
                      <w:t>短期借款</w:t>
                    </w:r>
                  </w:p>
                </w:tc>
                <w:tc>
                  <w:tcPr>
                    <w:tcW w:w="785" w:type="pct"/>
                    <w:vAlign w:val="center"/>
                  </w:tcPr>
                  <w:p w:rsidR="007E0EC6" w:rsidRPr="007E0EC6" w:rsidRDefault="007E0EC6" w:rsidP="008C0116">
                    <w:pPr>
                      <w:jc w:val="right"/>
                      <w:rPr>
                        <w:rStyle w:val="5Char1"/>
                        <w:b w:val="0"/>
                        <w:sz w:val="18"/>
                        <w:szCs w:val="18"/>
                      </w:rPr>
                    </w:pPr>
                    <w:r w:rsidRPr="007E0EC6">
                      <w:rPr>
                        <w:sz w:val="18"/>
                        <w:szCs w:val="18"/>
                      </w:rPr>
                      <w:t>223,517,167</w:t>
                    </w:r>
                  </w:p>
                </w:tc>
                <w:tc>
                  <w:tcPr>
                    <w:tcW w:w="680" w:type="pct"/>
                    <w:vAlign w:val="center"/>
                  </w:tcPr>
                  <w:p w:rsidR="007E0EC6" w:rsidRPr="007E0EC6" w:rsidRDefault="007E0EC6" w:rsidP="008C0116">
                    <w:pPr>
                      <w:jc w:val="right"/>
                      <w:rPr>
                        <w:rStyle w:val="5Char1"/>
                        <w:b w:val="0"/>
                        <w:sz w:val="18"/>
                        <w:szCs w:val="18"/>
                      </w:rPr>
                    </w:pPr>
                    <w:r w:rsidRPr="007E0EC6">
                      <w:rPr>
                        <w:sz w:val="18"/>
                        <w:szCs w:val="18"/>
                      </w:rPr>
                      <w:t>0.11</w:t>
                    </w:r>
                  </w:p>
                </w:tc>
                <w:tc>
                  <w:tcPr>
                    <w:tcW w:w="785" w:type="pct"/>
                    <w:vAlign w:val="center"/>
                  </w:tcPr>
                  <w:p w:rsidR="007E0EC6" w:rsidRPr="007E0EC6" w:rsidRDefault="007E0EC6" w:rsidP="008C0116">
                    <w:pPr>
                      <w:jc w:val="right"/>
                      <w:rPr>
                        <w:rStyle w:val="5Char1"/>
                        <w:b w:val="0"/>
                        <w:sz w:val="18"/>
                        <w:szCs w:val="18"/>
                      </w:rPr>
                    </w:pPr>
                    <w:r w:rsidRPr="007E0EC6">
                      <w:rPr>
                        <w:sz w:val="18"/>
                        <w:szCs w:val="18"/>
                      </w:rPr>
                      <w:t>922,017,625</w:t>
                    </w:r>
                  </w:p>
                </w:tc>
                <w:tc>
                  <w:tcPr>
                    <w:tcW w:w="583" w:type="pct"/>
                    <w:vAlign w:val="center"/>
                  </w:tcPr>
                  <w:p w:rsidR="007E0EC6" w:rsidRPr="007E0EC6" w:rsidRDefault="007E0EC6" w:rsidP="008C0116">
                    <w:pPr>
                      <w:jc w:val="right"/>
                      <w:rPr>
                        <w:rStyle w:val="5Char1"/>
                        <w:b w:val="0"/>
                        <w:sz w:val="18"/>
                        <w:szCs w:val="18"/>
                      </w:rPr>
                    </w:pPr>
                    <w:r w:rsidRPr="007E0EC6">
                      <w:rPr>
                        <w:sz w:val="18"/>
                        <w:szCs w:val="18"/>
                      </w:rPr>
                      <w:t>0.46</w:t>
                    </w:r>
                  </w:p>
                </w:tc>
                <w:tc>
                  <w:tcPr>
                    <w:tcW w:w="562" w:type="pct"/>
                    <w:vAlign w:val="center"/>
                  </w:tcPr>
                  <w:p w:rsidR="007E0EC6" w:rsidRPr="007E0EC6" w:rsidRDefault="007E0EC6" w:rsidP="008C0116">
                    <w:pPr>
                      <w:jc w:val="right"/>
                      <w:rPr>
                        <w:rStyle w:val="5Char1"/>
                        <w:b w:val="0"/>
                        <w:sz w:val="18"/>
                        <w:szCs w:val="18"/>
                      </w:rPr>
                    </w:pPr>
                    <w:r w:rsidRPr="007E0EC6">
                      <w:rPr>
                        <w:sz w:val="18"/>
                        <w:szCs w:val="18"/>
                      </w:rPr>
                      <w:t>-75.76</w:t>
                    </w:r>
                  </w:p>
                </w:tc>
                <w:tc>
                  <w:tcPr>
                    <w:tcW w:w="710" w:type="pct"/>
                  </w:tcPr>
                  <w:p w:rsidR="007E0EC6" w:rsidRPr="007E0EC6" w:rsidRDefault="007E0EC6" w:rsidP="008C0116">
                    <w:pPr>
                      <w:rPr>
                        <w:rStyle w:val="5Char1"/>
                        <w:b w:val="0"/>
                        <w:sz w:val="18"/>
                        <w:szCs w:val="18"/>
                      </w:rPr>
                    </w:pPr>
                    <w:r w:rsidRPr="007E0EC6">
                      <w:rPr>
                        <w:sz w:val="18"/>
                        <w:szCs w:val="18"/>
                      </w:rPr>
                      <w:t>主要由于本年子公司偿还短期借款</w:t>
                    </w:r>
                  </w:p>
                </w:tc>
              </w:tr>
            </w:sdtContent>
          </w:sdt>
          <w:sdt>
            <w:sdtPr>
              <w:rPr>
                <w:rStyle w:val="5Char1"/>
                <w:rFonts w:asciiTheme="minorHAnsi" w:eastAsiaTheme="minorEastAsia" w:hAnsiTheme="minorHAnsi" w:cstheme="minorBidi" w:hint="eastAsia"/>
                <w:b w:val="0"/>
                <w:sz w:val="18"/>
                <w:szCs w:val="18"/>
              </w:rPr>
              <w:alias w:val="资产负债状况分析"/>
              <w:tag w:val="_TUP_815ebab5da7a4ba88d97b27a17b235f3"/>
              <w:id w:val="-1467342408"/>
              <w:lock w:val="sdtLocked"/>
            </w:sdtPr>
            <w:sdtContent>
              <w:tr w:rsidR="007E0EC6" w:rsidTr="008C0116">
                <w:trPr>
                  <w:trHeight w:val="135"/>
                </w:trPr>
                <w:tc>
                  <w:tcPr>
                    <w:tcW w:w="895" w:type="pct"/>
                    <w:vAlign w:val="center"/>
                  </w:tcPr>
                  <w:p w:rsidR="007E0EC6" w:rsidRPr="007E0EC6" w:rsidRDefault="007E0EC6" w:rsidP="008C0116">
                    <w:pPr>
                      <w:rPr>
                        <w:rStyle w:val="5Char1"/>
                        <w:b w:val="0"/>
                        <w:sz w:val="18"/>
                        <w:szCs w:val="18"/>
                      </w:rPr>
                    </w:pPr>
                    <w:r w:rsidRPr="007E0EC6">
                      <w:rPr>
                        <w:sz w:val="18"/>
                        <w:szCs w:val="18"/>
                      </w:rPr>
                      <w:t>应付票据</w:t>
                    </w:r>
                  </w:p>
                </w:tc>
                <w:tc>
                  <w:tcPr>
                    <w:tcW w:w="785" w:type="pct"/>
                    <w:vAlign w:val="center"/>
                  </w:tcPr>
                  <w:p w:rsidR="007E0EC6" w:rsidRPr="007E0EC6" w:rsidRDefault="007E0EC6" w:rsidP="008C0116">
                    <w:pPr>
                      <w:jc w:val="right"/>
                      <w:rPr>
                        <w:rStyle w:val="5Char1"/>
                        <w:b w:val="0"/>
                        <w:sz w:val="18"/>
                        <w:szCs w:val="18"/>
                      </w:rPr>
                    </w:pPr>
                    <w:r w:rsidRPr="007E0EC6">
                      <w:rPr>
                        <w:sz w:val="18"/>
                        <w:szCs w:val="18"/>
                      </w:rPr>
                      <w:t>1,436,875,670</w:t>
                    </w:r>
                  </w:p>
                </w:tc>
                <w:tc>
                  <w:tcPr>
                    <w:tcW w:w="680" w:type="pct"/>
                    <w:vAlign w:val="center"/>
                  </w:tcPr>
                  <w:p w:rsidR="007E0EC6" w:rsidRPr="007E0EC6" w:rsidRDefault="007E0EC6" w:rsidP="008C0116">
                    <w:pPr>
                      <w:jc w:val="right"/>
                      <w:rPr>
                        <w:rStyle w:val="5Char1"/>
                        <w:b w:val="0"/>
                        <w:sz w:val="18"/>
                        <w:szCs w:val="18"/>
                      </w:rPr>
                    </w:pPr>
                    <w:r w:rsidRPr="007E0EC6">
                      <w:rPr>
                        <w:sz w:val="18"/>
                        <w:szCs w:val="18"/>
                      </w:rPr>
                      <w:t>0.71</w:t>
                    </w:r>
                  </w:p>
                </w:tc>
                <w:tc>
                  <w:tcPr>
                    <w:tcW w:w="785" w:type="pct"/>
                    <w:vAlign w:val="center"/>
                  </w:tcPr>
                  <w:p w:rsidR="007E0EC6" w:rsidRPr="007E0EC6" w:rsidRDefault="007E0EC6" w:rsidP="008C0116">
                    <w:pPr>
                      <w:jc w:val="right"/>
                      <w:rPr>
                        <w:rStyle w:val="5Char1"/>
                        <w:b w:val="0"/>
                        <w:sz w:val="18"/>
                        <w:szCs w:val="18"/>
                      </w:rPr>
                    </w:pPr>
                    <w:r w:rsidRPr="007E0EC6">
                      <w:rPr>
                        <w:sz w:val="18"/>
                        <w:szCs w:val="18"/>
                      </w:rPr>
                      <w:t>2,671,602,889</w:t>
                    </w:r>
                  </w:p>
                </w:tc>
                <w:tc>
                  <w:tcPr>
                    <w:tcW w:w="583" w:type="pct"/>
                    <w:vAlign w:val="center"/>
                  </w:tcPr>
                  <w:p w:rsidR="007E0EC6" w:rsidRPr="007E0EC6" w:rsidRDefault="007E0EC6" w:rsidP="008C0116">
                    <w:pPr>
                      <w:jc w:val="right"/>
                      <w:rPr>
                        <w:rStyle w:val="5Char1"/>
                        <w:b w:val="0"/>
                        <w:sz w:val="18"/>
                        <w:szCs w:val="18"/>
                      </w:rPr>
                    </w:pPr>
                    <w:r w:rsidRPr="007E0EC6">
                      <w:rPr>
                        <w:sz w:val="18"/>
                        <w:szCs w:val="18"/>
                      </w:rPr>
                      <w:t>1.35</w:t>
                    </w:r>
                  </w:p>
                </w:tc>
                <w:tc>
                  <w:tcPr>
                    <w:tcW w:w="562" w:type="pct"/>
                    <w:vAlign w:val="center"/>
                  </w:tcPr>
                  <w:p w:rsidR="007E0EC6" w:rsidRPr="007E0EC6" w:rsidRDefault="007E0EC6" w:rsidP="008C0116">
                    <w:pPr>
                      <w:jc w:val="right"/>
                      <w:rPr>
                        <w:rStyle w:val="5Char1"/>
                        <w:b w:val="0"/>
                        <w:sz w:val="18"/>
                        <w:szCs w:val="18"/>
                      </w:rPr>
                    </w:pPr>
                    <w:r w:rsidRPr="007E0EC6">
                      <w:rPr>
                        <w:sz w:val="18"/>
                        <w:szCs w:val="18"/>
                      </w:rPr>
                      <w:t>-46.22</w:t>
                    </w:r>
                  </w:p>
                </w:tc>
                <w:tc>
                  <w:tcPr>
                    <w:tcW w:w="710" w:type="pct"/>
                  </w:tcPr>
                  <w:p w:rsidR="007E0EC6" w:rsidRPr="007E0EC6" w:rsidRDefault="007E0EC6" w:rsidP="008C0116">
                    <w:pPr>
                      <w:rPr>
                        <w:rStyle w:val="5Char1"/>
                        <w:b w:val="0"/>
                        <w:sz w:val="18"/>
                        <w:szCs w:val="18"/>
                      </w:rPr>
                    </w:pPr>
                    <w:r w:rsidRPr="007E0EC6">
                      <w:rPr>
                        <w:sz w:val="18"/>
                        <w:szCs w:val="18"/>
                      </w:rPr>
                      <w:t>主要由于本年到期承兑相关票据</w:t>
                    </w:r>
                  </w:p>
                </w:tc>
              </w:tr>
            </w:sdtContent>
          </w:sdt>
          <w:sdt>
            <w:sdtPr>
              <w:rPr>
                <w:rStyle w:val="5Char1"/>
                <w:rFonts w:asciiTheme="minorHAnsi" w:eastAsiaTheme="minorEastAsia" w:hAnsiTheme="minorHAnsi" w:cstheme="minorBidi" w:hint="eastAsia"/>
                <w:b w:val="0"/>
                <w:sz w:val="18"/>
                <w:szCs w:val="18"/>
              </w:rPr>
              <w:alias w:val="资产负债状况分析"/>
              <w:tag w:val="_TUP_815ebab5da7a4ba88d97b27a17b235f3"/>
              <w:id w:val="-641115580"/>
              <w:lock w:val="sdtLocked"/>
            </w:sdtPr>
            <w:sdtContent>
              <w:tr w:rsidR="007E0EC6" w:rsidTr="008C0116">
                <w:trPr>
                  <w:trHeight w:val="135"/>
                </w:trPr>
                <w:tc>
                  <w:tcPr>
                    <w:tcW w:w="895" w:type="pct"/>
                    <w:vAlign w:val="center"/>
                  </w:tcPr>
                  <w:p w:rsidR="007E0EC6" w:rsidRPr="007E0EC6" w:rsidRDefault="007E0EC6" w:rsidP="008C0116">
                    <w:pPr>
                      <w:rPr>
                        <w:rStyle w:val="5Char1"/>
                        <w:b w:val="0"/>
                        <w:sz w:val="18"/>
                        <w:szCs w:val="18"/>
                      </w:rPr>
                    </w:pPr>
                    <w:r w:rsidRPr="007E0EC6">
                      <w:rPr>
                        <w:sz w:val="18"/>
                        <w:szCs w:val="18"/>
                      </w:rPr>
                      <w:t>应付账款</w:t>
                    </w:r>
                  </w:p>
                </w:tc>
                <w:tc>
                  <w:tcPr>
                    <w:tcW w:w="785" w:type="pct"/>
                    <w:vAlign w:val="center"/>
                  </w:tcPr>
                  <w:p w:rsidR="007E0EC6" w:rsidRPr="007E0EC6" w:rsidRDefault="007E0EC6" w:rsidP="008C0116">
                    <w:pPr>
                      <w:jc w:val="right"/>
                      <w:rPr>
                        <w:rStyle w:val="5Char1"/>
                        <w:b w:val="0"/>
                        <w:sz w:val="18"/>
                        <w:szCs w:val="18"/>
                      </w:rPr>
                    </w:pPr>
                    <w:r w:rsidRPr="007E0EC6">
                      <w:rPr>
                        <w:sz w:val="18"/>
                        <w:szCs w:val="18"/>
                      </w:rPr>
                      <w:t>4,497,869,874</w:t>
                    </w:r>
                  </w:p>
                </w:tc>
                <w:tc>
                  <w:tcPr>
                    <w:tcW w:w="680" w:type="pct"/>
                    <w:vAlign w:val="center"/>
                  </w:tcPr>
                  <w:p w:rsidR="007E0EC6" w:rsidRPr="007E0EC6" w:rsidRDefault="007E0EC6" w:rsidP="008C0116">
                    <w:pPr>
                      <w:jc w:val="right"/>
                      <w:rPr>
                        <w:rStyle w:val="5Char1"/>
                        <w:b w:val="0"/>
                        <w:sz w:val="18"/>
                        <w:szCs w:val="18"/>
                      </w:rPr>
                    </w:pPr>
                    <w:r w:rsidRPr="007E0EC6">
                      <w:rPr>
                        <w:sz w:val="18"/>
                        <w:szCs w:val="18"/>
                      </w:rPr>
                      <w:t>2.22</w:t>
                    </w:r>
                  </w:p>
                </w:tc>
                <w:tc>
                  <w:tcPr>
                    <w:tcW w:w="785" w:type="pct"/>
                    <w:vAlign w:val="center"/>
                  </w:tcPr>
                  <w:p w:rsidR="007E0EC6" w:rsidRPr="007E0EC6" w:rsidRDefault="007E0EC6" w:rsidP="008C0116">
                    <w:pPr>
                      <w:jc w:val="right"/>
                      <w:rPr>
                        <w:rStyle w:val="5Char1"/>
                        <w:b w:val="0"/>
                        <w:sz w:val="18"/>
                        <w:szCs w:val="18"/>
                      </w:rPr>
                    </w:pPr>
                    <w:r w:rsidRPr="007E0EC6">
                      <w:rPr>
                        <w:sz w:val="18"/>
                        <w:szCs w:val="18"/>
                      </w:rPr>
                      <w:t>3,260,448,885</w:t>
                    </w:r>
                  </w:p>
                </w:tc>
                <w:tc>
                  <w:tcPr>
                    <w:tcW w:w="583" w:type="pct"/>
                    <w:vAlign w:val="center"/>
                  </w:tcPr>
                  <w:p w:rsidR="007E0EC6" w:rsidRPr="007E0EC6" w:rsidRDefault="007E0EC6" w:rsidP="008C0116">
                    <w:pPr>
                      <w:jc w:val="right"/>
                      <w:rPr>
                        <w:rStyle w:val="5Char1"/>
                        <w:b w:val="0"/>
                        <w:sz w:val="18"/>
                        <w:szCs w:val="18"/>
                      </w:rPr>
                    </w:pPr>
                    <w:r w:rsidRPr="007E0EC6">
                      <w:rPr>
                        <w:sz w:val="18"/>
                        <w:szCs w:val="18"/>
                      </w:rPr>
                      <w:t>1.64</w:t>
                    </w:r>
                  </w:p>
                </w:tc>
                <w:tc>
                  <w:tcPr>
                    <w:tcW w:w="562" w:type="pct"/>
                    <w:vAlign w:val="center"/>
                  </w:tcPr>
                  <w:p w:rsidR="007E0EC6" w:rsidRPr="007E0EC6" w:rsidRDefault="007E0EC6" w:rsidP="008C0116">
                    <w:pPr>
                      <w:jc w:val="right"/>
                      <w:rPr>
                        <w:rStyle w:val="5Char1"/>
                        <w:b w:val="0"/>
                        <w:sz w:val="18"/>
                        <w:szCs w:val="18"/>
                      </w:rPr>
                    </w:pPr>
                    <w:r w:rsidRPr="007E0EC6">
                      <w:rPr>
                        <w:sz w:val="18"/>
                        <w:szCs w:val="18"/>
                      </w:rPr>
                      <w:t>37.95</w:t>
                    </w:r>
                  </w:p>
                </w:tc>
                <w:tc>
                  <w:tcPr>
                    <w:tcW w:w="710" w:type="pct"/>
                  </w:tcPr>
                  <w:p w:rsidR="007E0EC6" w:rsidRPr="007E0EC6" w:rsidRDefault="007E0EC6" w:rsidP="008C0116">
                    <w:pPr>
                      <w:rPr>
                        <w:rStyle w:val="5Char1"/>
                        <w:b w:val="0"/>
                        <w:sz w:val="18"/>
                        <w:szCs w:val="18"/>
                      </w:rPr>
                    </w:pPr>
                    <w:r w:rsidRPr="007E0EC6">
                      <w:rPr>
                        <w:sz w:val="18"/>
                        <w:szCs w:val="18"/>
                      </w:rPr>
                      <w:t>主要由于尚未支付的材料及租赁费等增加</w:t>
                    </w:r>
                  </w:p>
                </w:tc>
              </w:tr>
            </w:sdtContent>
          </w:sdt>
          <w:sdt>
            <w:sdtPr>
              <w:rPr>
                <w:rStyle w:val="5Char1"/>
                <w:rFonts w:asciiTheme="minorHAnsi" w:eastAsiaTheme="minorEastAsia" w:hAnsiTheme="minorHAnsi" w:cstheme="minorBidi" w:hint="eastAsia"/>
                <w:b w:val="0"/>
                <w:sz w:val="18"/>
                <w:szCs w:val="18"/>
              </w:rPr>
              <w:alias w:val="资产负债状况分析"/>
              <w:tag w:val="_TUP_815ebab5da7a4ba88d97b27a17b235f3"/>
              <w:id w:val="1207305053"/>
              <w:lock w:val="sdtLocked"/>
            </w:sdtPr>
            <w:sdtContent>
              <w:tr w:rsidR="007E0EC6" w:rsidTr="008C0116">
                <w:trPr>
                  <w:trHeight w:val="135"/>
                </w:trPr>
                <w:tc>
                  <w:tcPr>
                    <w:tcW w:w="895" w:type="pct"/>
                    <w:vAlign w:val="center"/>
                  </w:tcPr>
                  <w:p w:rsidR="007E0EC6" w:rsidRPr="007E0EC6" w:rsidRDefault="007E0EC6" w:rsidP="008C0116">
                    <w:pPr>
                      <w:rPr>
                        <w:rStyle w:val="5Char1"/>
                        <w:b w:val="0"/>
                        <w:sz w:val="18"/>
                        <w:szCs w:val="18"/>
                      </w:rPr>
                    </w:pPr>
                    <w:r w:rsidRPr="007E0EC6">
                      <w:rPr>
                        <w:sz w:val="18"/>
                        <w:szCs w:val="18"/>
                      </w:rPr>
                      <w:t>预收账款</w:t>
                    </w:r>
                  </w:p>
                </w:tc>
                <w:tc>
                  <w:tcPr>
                    <w:tcW w:w="785" w:type="pct"/>
                    <w:vAlign w:val="center"/>
                  </w:tcPr>
                  <w:p w:rsidR="007E0EC6" w:rsidRPr="007E0EC6" w:rsidRDefault="007E0EC6" w:rsidP="008C0116">
                    <w:pPr>
                      <w:jc w:val="right"/>
                      <w:rPr>
                        <w:rStyle w:val="5Char1"/>
                        <w:b w:val="0"/>
                        <w:sz w:val="18"/>
                        <w:szCs w:val="18"/>
                      </w:rPr>
                    </w:pPr>
                    <w:r w:rsidRPr="007E0EC6">
                      <w:rPr>
                        <w:sz w:val="18"/>
                        <w:szCs w:val="18"/>
                      </w:rPr>
                      <w:t>9,802,580</w:t>
                    </w:r>
                  </w:p>
                </w:tc>
                <w:tc>
                  <w:tcPr>
                    <w:tcW w:w="680" w:type="pct"/>
                    <w:vAlign w:val="center"/>
                  </w:tcPr>
                  <w:p w:rsidR="007E0EC6" w:rsidRPr="007E0EC6" w:rsidRDefault="007E0EC6" w:rsidP="008C0116">
                    <w:pPr>
                      <w:jc w:val="right"/>
                      <w:rPr>
                        <w:rStyle w:val="5Char1"/>
                        <w:b w:val="0"/>
                        <w:sz w:val="18"/>
                        <w:szCs w:val="18"/>
                      </w:rPr>
                    </w:pPr>
                    <w:r w:rsidRPr="007E0EC6">
                      <w:rPr>
                        <w:sz w:val="18"/>
                        <w:szCs w:val="18"/>
                      </w:rPr>
                      <w:t>0.00</w:t>
                    </w:r>
                  </w:p>
                </w:tc>
                <w:tc>
                  <w:tcPr>
                    <w:tcW w:w="785" w:type="pct"/>
                    <w:vAlign w:val="center"/>
                  </w:tcPr>
                  <w:p w:rsidR="007E0EC6" w:rsidRPr="007E0EC6" w:rsidRDefault="007E0EC6" w:rsidP="008C0116">
                    <w:pPr>
                      <w:jc w:val="right"/>
                      <w:rPr>
                        <w:rStyle w:val="5Char1"/>
                        <w:b w:val="0"/>
                        <w:sz w:val="18"/>
                        <w:szCs w:val="18"/>
                      </w:rPr>
                    </w:pPr>
                    <w:r w:rsidRPr="007E0EC6">
                      <w:rPr>
                        <w:sz w:val="18"/>
                        <w:szCs w:val="18"/>
                      </w:rPr>
                      <w:t>6,840,252</w:t>
                    </w:r>
                  </w:p>
                </w:tc>
                <w:tc>
                  <w:tcPr>
                    <w:tcW w:w="583" w:type="pct"/>
                    <w:vAlign w:val="center"/>
                  </w:tcPr>
                  <w:p w:rsidR="007E0EC6" w:rsidRPr="007E0EC6" w:rsidRDefault="007E0EC6" w:rsidP="008C0116">
                    <w:pPr>
                      <w:jc w:val="right"/>
                      <w:rPr>
                        <w:rStyle w:val="5Char1"/>
                        <w:b w:val="0"/>
                        <w:sz w:val="18"/>
                        <w:szCs w:val="18"/>
                      </w:rPr>
                    </w:pPr>
                    <w:r w:rsidRPr="007E0EC6">
                      <w:rPr>
                        <w:sz w:val="18"/>
                        <w:szCs w:val="18"/>
                      </w:rPr>
                      <w:t>0.00</w:t>
                    </w:r>
                  </w:p>
                </w:tc>
                <w:tc>
                  <w:tcPr>
                    <w:tcW w:w="562" w:type="pct"/>
                    <w:vAlign w:val="center"/>
                  </w:tcPr>
                  <w:p w:rsidR="007E0EC6" w:rsidRPr="007E0EC6" w:rsidRDefault="007E0EC6" w:rsidP="008C0116">
                    <w:pPr>
                      <w:jc w:val="right"/>
                      <w:rPr>
                        <w:rStyle w:val="5Char1"/>
                        <w:b w:val="0"/>
                        <w:sz w:val="18"/>
                        <w:szCs w:val="18"/>
                      </w:rPr>
                    </w:pPr>
                    <w:r w:rsidRPr="007E0EC6">
                      <w:rPr>
                        <w:sz w:val="18"/>
                        <w:szCs w:val="18"/>
                      </w:rPr>
                      <w:t>43.31</w:t>
                    </w:r>
                  </w:p>
                </w:tc>
                <w:tc>
                  <w:tcPr>
                    <w:tcW w:w="710" w:type="pct"/>
                  </w:tcPr>
                  <w:p w:rsidR="007E0EC6" w:rsidRPr="007E0EC6" w:rsidRDefault="007E0EC6" w:rsidP="008C0116">
                    <w:pPr>
                      <w:rPr>
                        <w:rStyle w:val="5Char1"/>
                        <w:b w:val="0"/>
                        <w:sz w:val="18"/>
                        <w:szCs w:val="18"/>
                      </w:rPr>
                    </w:pPr>
                    <w:r w:rsidRPr="007E0EC6">
                      <w:rPr>
                        <w:sz w:val="18"/>
                        <w:szCs w:val="18"/>
                      </w:rPr>
                      <w:t>主要由于本年子公司预收租赁费增加</w:t>
                    </w:r>
                  </w:p>
                </w:tc>
              </w:tr>
            </w:sdtContent>
          </w:sdt>
          <w:sdt>
            <w:sdtPr>
              <w:rPr>
                <w:rStyle w:val="5Char1"/>
                <w:rFonts w:asciiTheme="minorHAnsi" w:eastAsiaTheme="minorEastAsia" w:hAnsiTheme="minorHAnsi" w:cstheme="minorBidi" w:hint="eastAsia"/>
                <w:b w:val="0"/>
                <w:sz w:val="18"/>
                <w:szCs w:val="18"/>
              </w:rPr>
              <w:alias w:val="资产负债状况分析"/>
              <w:tag w:val="_TUP_815ebab5da7a4ba88d97b27a17b235f3"/>
              <w:id w:val="1246996654"/>
              <w:lock w:val="sdtLocked"/>
            </w:sdtPr>
            <w:sdtContent>
              <w:tr w:rsidR="007E0EC6" w:rsidTr="008C0116">
                <w:trPr>
                  <w:trHeight w:val="135"/>
                </w:trPr>
                <w:tc>
                  <w:tcPr>
                    <w:tcW w:w="895" w:type="pct"/>
                    <w:vAlign w:val="center"/>
                  </w:tcPr>
                  <w:p w:rsidR="007E0EC6" w:rsidRPr="007E0EC6" w:rsidRDefault="007E0EC6" w:rsidP="008C0116">
                    <w:pPr>
                      <w:rPr>
                        <w:rStyle w:val="5Char1"/>
                        <w:b w:val="0"/>
                        <w:sz w:val="18"/>
                        <w:szCs w:val="18"/>
                      </w:rPr>
                    </w:pPr>
                    <w:r w:rsidRPr="007E0EC6">
                      <w:rPr>
                        <w:sz w:val="18"/>
                        <w:szCs w:val="18"/>
                      </w:rPr>
                      <w:t>应付职工薪酬</w:t>
                    </w:r>
                  </w:p>
                </w:tc>
                <w:tc>
                  <w:tcPr>
                    <w:tcW w:w="785" w:type="pct"/>
                    <w:vAlign w:val="center"/>
                  </w:tcPr>
                  <w:p w:rsidR="007E0EC6" w:rsidRPr="007E0EC6" w:rsidRDefault="007E0EC6" w:rsidP="008C0116">
                    <w:pPr>
                      <w:jc w:val="right"/>
                      <w:rPr>
                        <w:rStyle w:val="5Char1"/>
                        <w:b w:val="0"/>
                        <w:sz w:val="18"/>
                        <w:szCs w:val="18"/>
                      </w:rPr>
                    </w:pPr>
                    <w:r w:rsidRPr="007E0EC6">
                      <w:rPr>
                        <w:sz w:val="18"/>
                        <w:szCs w:val="18"/>
                      </w:rPr>
                      <w:t>2,772,373,744</w:t>
                    </w:r>
                  </w:p>
                </w:tc>
                <w:tc>
                  <w:tcPr>
                    <w:tcW w:w="680" w:type="pct"/>
                    <w:vAlign w:val="center"/>
                  </w:tcPr>
                  <w:p w:rsidR="007E0EC6" w:rsidRPr="007E0EC6" w:rsidRDefault="007E0EC6" w:rsidP="008C0116">
                    <w:pPr>
                      <w:jc w:val="right"/>
                      <w:rPr>
                        <w:rStyle w:val="5Char1"/>
                        <w:b w:val="0"/>
                        <w:sz w:val="18"/>
                        <w:szCs w:val="18"/>
                      </w:rPr>
                    </w:pPr>
                    <w:r w:rsidRPr="007E0EC6">
                      <w:rPr>
                        <w:sz w:val="18"/>
                        <w:szCs w:val="18"/>
                      </w:rPr>
                      <w:t>1.37</w:t>
                    </w:r>
                  </w:p>
                </w:tc>
                <w:tc>
                  <w:tcPr>
                    <w:tcW w:w="785" w:type="pct"/>
                    <w:vAlign w:val="center"/>
                  </w:tcPr>
                  <w:p w:rsidR="007E0EC6" w:rsidRPr="007E0EC6" w:rsidRDefault="007E0EC6" w:rsidP="008C0116">
                    <w:pPr>
                      <w:jc w:val="right"/>
                      <w:rPr>
                        <w:rStyle w:val="5Char1"/>
                        <w:b w:val="0"/>
                        <w:sz w:val="18"/>
                        <w:szCs w:val="18"/>
                      </w:rPr>
                    </w:pPr>
                    <w:r w:rsidRPr="007E0EC6">
                      <w:rPr>
                        <w:sz w:val="18"/>
                        <w:szCs w:val="18"/>
                      </w:rPr>
                      <w:t>1,171,197,920</w:t>
                    </w:r>
                  </w:p>
                </w:tc>
                <w:tc>
                  <w:tcPr>
                    <w:tcW w:w="583" w:type="pct"/>
                    <w:vAlign w:val="center"/>
                  </w:tcPr>
                  <w:p w:rsidR="007E0EC6" w:rsidRPr="007E0EC6" w:rsidRDefault="007E0EC6" w:rsidP="008C0116">
                    <w:pPr>
                      <w:jc w:val="right"/>
                      <w:rPr>
                        <w:rStyle w:val="5Char1"/>
                        <w:b w:val="0"/>
                        <w:sz w:val="18"/>
                        <w:szCs w:val="18"/>
                      </w:rPr>
                    </w:pPr>
                    <w:r w:rsidRPr="007E0EC6">
                      <w:rPr>
                        <w:sz w:val="18"/>
                        <w:szCs w:val="18"/>
                      </w:rPr>
                      <w:t>0.59</w:t>
                    </w:r>
                  </w:p>
                </w:tc>
                <w:tc>
                  <w:tcPr>
                    <w:tcW w:w="562" w:type="pct"/>
                    <w:vAlign w:val="center"/>
                  </w:tcPr>
                  <w:p w:rsidR="007E0EC6" w:rsidRPr="007E0EC6" w:rsidRDefault="007E0EC6" w:rsidP="008C0116">
                    <w:pPr>
                      <w:jc w:val="right"/>
                      <w:rPr>
                        <w:rStyle w:val="5Char1"/>
                        <w:b w:val="0"/>
                        <w:sz w:val="18"/>
                        <w:szCs w:val="18"/>
                      </w:rPr>
                    </w:pPr>
                    <w:r w:rsidRPr="007E0EC6">
                      <w:rPr>
                        <w:sz w:val="18"/>
                        <w:szCs w:val="18"/>
                      </w:rPr>
                      <w:t>136.71</w:t>
                    </w:r>
                  </w:p>
                </w:tc>
                <w:tc>
                  <w:tcPr>
                    <w:tcW w:w="710" w:type="pct"/>
                  </w:tcPr>
                  <w:p w:rsidR="007E0EC6" w:rsidRPr="007E0EC6" w:rsidRDefault="007E0EC6" w:rsidP="008C0116">
                    <w:pPr>
                      <w:rPr>
                        <w:rStyle w:val="5Char1"/>
                        <w:b w:val="0"/>
                        <w:sz w:val="18"/>
                        <w:szCs w:val="18"/>
                      </w:rPr>
                    </w:pPr>
                    <w:r w:rsidRPr="007E0EC6">
                      <w:rPr>
                        <w:sz w:val="18"/>
                        <w:szCs w:val="18"/>
                      </w:rPr>
                      <w:t>主要由于尚未支付的社会保险资金等增加</w:t>
                    </w:r>
                  </w:p>
                </w:tc>
              </w:tr>
            </w:sdtContent>
          </w:sdt>
          <w:sdt>
            <w:sdtPr>
              <w:rPr>
                <w:rStyle w:val="5Char1"/>
                <w:rFonts w:asciiTheme="minorHAnsi" w:eastAsiaTheme="minorEastAsia" w:hAnsiTheme="minorHAnsi" w:cstheme="minorBidi" w:hint="eastAsia"/>
                <w:b w:val="0"/>
                <w:sz w:val="18"/>
                <w:szCs w:val="18"/>
              </w:rPr>
              <w:alias w:val="资产负债状况分析"/>
              <w:tag w:val="_TUP_815ebab5da7a4ba88d97b27a17b235f3"/>
              <w:id w:val="1906650009"/>
              <w:lock w:val="sdtLocked"/>
            </w:sdtPr>
            <w:sdtContent>
              <w:tr w:rsidR="007E0EC6" w:rsidTr="008C0116">
                <w:trPr>
                  <w:trHeight w:val="135"/>
                </w:trPr>
                <w:tc>
                  <w:tcPr>
                    <w:tcW w:w="895" w:type="pct"/>
                    <w:vAlign w:val="center"/>
                  </w:tcPr>
                  <w:p w:rsidR="007E0EC6" w:rsidRPr="007E0EC6" w:rsidRDefault="007E0EC6" w:rsidP="008C0116">
                    <w:pPr>
                      <w:rPr>
                        <w:rStyle w:val="5Char1"/>
                        <w:b w:val="0"/>
                        <w:sz w:val="18"/>
                        <w:szCs w:val="18"/>
                      </w:rPr>
                    </w:pPr>
                    <w:r w:rsidRPr="007E0EC6">
                      <w:rPr>
                        <w:sz w:val="18"/>
                        <w:szCs w:val="18"/>
                      </w:rPr>
                      <w:t>应交税费</w:t>
                    </w:r>
                  </w:p>
                </w:tc>
                <w:tc>
                  <w:tcPr>
                    <w:tcW w:w="785" w:type="pct"/>
                    <w:vAlign w:val="center"/>
                  </w:tcPr>
                  <w:p w:rsidR="007E0EC6" w:rsidRPr="007E0EC6" w:rsidRDefault="007E0EC6" w:rsidP="008C0116">
                    <w:pPr>
                      <w:jc w:val="right"/>
                      <w:rPr>
                        <w:rStyle w:val="5Char1"/>
                        <w:b w:val="0"/>
                        <w:sz w:val="18"/>
                        <w:szCs w:val="18"/>
                      </w:rPr>
                    </w:pPr>
                    <w:r w:rsidRPr="007E0EC6">
                      <w:rPr>
                        <w:sz w:val="18"/>
                        <w:szCs w:val="18"/>
                      </w:rPr>
                      <w:t>533,153,284</w:t>
                    </w:r>
                  </w:p>
                </w:tc>
                <w:tc>
                  <w:tcPr>
                    <w:tcW w:w="680" w:type="pct"/>
                    <w:vAlign w:val="center"/>
                  </w:tcPr>
                  <w:p w:rsidR="007E0EC6" w:rsidRPr="007E0EC6" w:rsidRDefault="007E0EC6" w:rsidP="008C0116">
                    <w:pPr>
                      <w:jc w:val="right"/>
                      <w:rPr>
                        <w:rStyle w:val="5Char1"/>
                        <w:b w:val="0"/>
                        <w:sz w:val="18"/>
                        <w:szCs w:val="18"/>
                      </w:rPr>
                    </w:pPr>
                    <w:r w:rsidRPr="007E0EC6">
                      <w:rPr>
                        <w:sz w:val="18"/>
                        <w:szCs w:val="18"/>
                      </w:rPr>
                      <w:t>0.26</w:t>
                    </w:r>
                  </w:p>
                </w:tc>
                <w:tc>
                  <w:tcPr>
                    <w:tcW w:w="785" w:type="pct"/>
                    <w:vAlign w:val="center"/>
                  </w:tcPr>
                  <w:p w:rsidR="007E0EC6" w:rsidRPr="007E0EC6" w:rsidRDefault="007E0EC6" w:rsidP="008C0116">
                    <w:pPr>
                      <w:jc w:val="right"/>
                      <w:rPr>
                        <w:rStyle w:val="5Char1"/>
                        <w:b w:val="0"/>
                        <w:sz w:val="18"/>
                        <w:szCs w:val="18"/>
                      </w:rPr>
                    </w:pPr>
                    <w:r w:rsidRPr="007E0EC6">
                      <w:rPr>
                        <w:sz w:val="18"/>
                        <w:szCs w:val="18"/>
                      </w:rPr>
                      <w:t>2,093,755,188</w:t>
                    </w:r>
                  </w:p>
                </w:tc>
                <w:tc>
                  <w:tcPr>
                    <w:tcW w:w="583" w:type="pct"/>
                    <w:vAlign w:val="center"/>
                  </w:tcPr>
                  <w:p w:rsidR="007E0EC6" w:rsidRPr="007E0EC6" w:rsidRDefault="007E0EC6" w:rsidP="008C0116">
                    <w:pPr>
                      <w:jc w:val="right"/>
                      <w:rPr>
                        <w:rStyle w:val="5Char1"/>
                        <w:b w:val="0"/>
                        <w:sz w:val="18"/>
                        <w:szCs w:val="18"/>
                      </w:rPr>
                    </w:pPr>
                    <w:r w:rsidRPr="007E0EC6">
                      <w:rPr>
                        <w:sz w:val="18"/>
                        <w:szCs w:val="18"/>
                      </w:rPr>
                      <w:t>1.05</w:t>
                    </w:r>
                  </w:p>
                </w:tc>
                <w:tc>
                  <w:tcPr>
                    <w:tcW w:w="562" w:type="pct"/>
                    <w:vAlign w:val="center"/>
                  </w:tcPr>
                  <w:p w:rsidR="007E0EC6" w:rsidRPr="007E0EC6" w:rsidRDefault="007E0EC6" w:rsidP="008C0116">
                    <w:pPr>
                      <w:jc w:val="right"/>
                      <w:rPr>
                        <w:rStyle w:val="5Char1"/>
                        <w:b w:val="0"/>
                        <w:sz w:val="18"/>
                        <w:szCs w:val="18"/>
                      </w:rPr>
                    </w:pPr>
                    <w:r w:rsidRPr="007E0EC6">
                      <w:rPr>
                        <w:sz w:val="18"/>
                        <w:szCs w:val="18"/>
                      </w:rPr>
                      <w:t>-74.54</w:t>
                    </w:r>
                  </w:p>
                </w:tc>
                <w:tc>
                  <w:tcPr>
                    <w:tcW w:w="710" w:type="pct"/>
                  </w:tcPr>
                  <w:p w:rsidR="007E0EC6" w:rsidRPr="007E0EC6" w:rsidRDefault="007E0EC6" w:rsidP="008C0116">
                    <w:pPr>
                      <w:rPr>
                        <w:rStyle w:val="5Char1"/>
                        <w:b w:val="0"/>
                        <w:sz w:val="18"/>
                        <w:szCs w:val="18"/>
                      </w:rPr>
                    </w:pPr>
                    <w:r w:rsidRPr="007E0EC6">
                      <w:rPr>
                        <w:sz w:val="18"/>
                        <w:szCs w:val="18"/>
                      </w:rPr>
                      <w:t>主要由于本年支付企业所得税等</w:t>
                    </w:r>
                  </w:p>
                </w:tc>
              </w:tr>
            </w:sdtContent>
          </w:sdt>
        </w:tbl>
        <w:p w:rsidR="00DF6086" w:rsidRDefault="00DF6086"/>
        <w:p w:rsidR="00806678" w:rsidRDefault="00B16377">
          <w:pPr>
            <w:rPr>
              <w:szCs w:val="21"/>
            </w:rPr>
          </w:pPr>
          <w:r>
            <w:rPr>
              <w:rFonts w:hint="eastAsia"/>
              <w:szCs w:val="21"/>
            </w:rPr>
            <w:t>其他说明</w:t>
          </w:r>
        </w:p>
        <w:sdt>
          <w:sdtPr>
            <w:rPr>
              <w:rFonts w:hint="eastAsia"/>
              <w:szCs w:val="21"/>
            </w:rPr>
            <w:alias w:val="资产及负债状况的其他说明"/>
            <w:tag w:val="_GBC_3aee54264edd4bb08807d2335eb33f43"/>
            <w:id w:val="8546757"/>
            <w:lock w:val="sdtLocked"/>
            <w:placeholder>
              <w:docPart w:val="GBC22222222222222222222222222222"/>
            </w:placeholder>
          </w:sdtPr>
          <w:sdtContent>
            <w:p w:rsidR="00806678" w:rsidRDefault="00DF6086">
              <w:pPr>
                <w:rPr>
                  <w:szCs w:val="21"/>
                </w:rPr>
              </w:pPr>
              <w:r>
                <w:rPr>
                  <w:rFonts w:hint="eastAsia"/>
                  <w:szCs w:val="21"/>
                </w:rPr>
                <w:t>无</w:t>
              </w:r>
            </w:p>
          </w:sdtContent>
        </w:sdt>
      </w:sdtContent>
    </w:sdt>
    <w:p w:rsidR="00806678" w:rsidRDefault="00B16377" w:rsidP="00FF17C7">
      <w:pPr>
        <w:pStyle w:val="4"/>
        <w:numPr>
          <w:ilvl w:val="0"/>
          <w:numId w:val="66"/>
        </w:numPr>
        <w:rPr>
          <w:rFonts w:ascii="宋体" w:eastAsia="宋体" w:hAnsi="宋体" w:cs="宋体"/>
          <w:kern w:val="0"/>
          <w:szCs w:val="21"/>
        </w:rPr>
      </w:pPr>
      <w:bookmarkStart w:id="38" w:name="_Hlk89877438"/>
      <w:r>
        <w:rPr>
          <w:rFonts w:ascii="宋体" w:eastAsia="宋体" w:hAnsi="宋体" w:cs="宋体" w:hint="eastAsia"/>
          <w:kern w:val="0"/>
          <w:szCs w:val="21"/>
        </w:rPr>
        <w:t>境外资产情况</w:t>
      </w:r>
    </w:p>
    <w:sdt>
      <w:sdtPr>
        <w:rPr>
          <w:rFonts w:hint="eastAsia"/>
          <w:szCs w:val="21"/>
        </w:rPr>
        <w:alias w:val="是否适用：境外资产情况 [双击切换]"/>
        <w:tag w:val="_GBC_7c019689b55740839a263ecc68721e10"/>
        <w:id w:val="-1370597767"/>
        <w:lock w:val="sdtLocked"/>
        <w:placeholder>
          <w:docPart w:val="GBC22222222222222222222222222222"/>
        </w:placeholder>
      </w:sdtPr>
      <w:sdtContent>
        <w:p w:rsidR="00806678" w:rsidRDefault="00F80B6C">
          <w:pPr>
            <w:rPr>
              <w:szCs w:val="21"/>
            </w:rPr>
          </w:pPr>
          <w:r>
            <w:rPr>
              <w:szCs w:val="21"/>
            </w:rPr>
            <w:fldChar w:fldCharType="begin"/>
          </w:r>
          <w:r w:rsidR="00DF6086">
            <w:rPr>
              <w:szCs w:val="21"/>
            </w:rPr>
            <w:instrText xml:space="preserve"> MACROBUTTON  SnrToggleCheckbox □适用 </w:instrText>
          </w:r>
          <w:r>
            <w:rPr>
              <w:szCs w:val="21"/>
            </w:rPr>
            <w:fldChar w:fldCharType="end"/>
          </w:r>
          <w:r>
            <w:rPr>
              <w:szCs w:val="21"/>
            </w:rPr>
            <w:fldChar w:fldCharType="begin"/>
          </w:r>
          <w:r w:rsidR="00DF6086">
            <w:rPr>
              <w:szCs w:val="21"/>
            </w:rPr>
            <w:instrText xml:space="preserve"> MACROBUTTON  SnrToggleCheckbox √不适用 </w:instrText>
          </w:r>
          <w:r>
            <w:rPr>
              <w:szCs w:val="21"/>
            </w:rPr>
            <w:fldChar w:fldCharType="end"/>
          </w:r>
        </w:p>
      </w:sdtContent>
    </w:sdt>
    <w:bookmarkEnd w:id="38" w:displacedByCustomXml="next"/>
    <w:sdt>
      <w:sdtPr>
        <w:rPr>
          <w:rFonts w:ascii="宋体" w:eastAsia="宋体" w:hAnsi="宋体" w:cs="宋体"/>
          <w:b w:val="0"/>
          <w:bCs w:val="0"/>
          <w:kern w:val="0"/>
          <w:szCs w:val="24"/>
        </w:rPr>
        <w:alias w:val="模块:截至报告期末主要资产受限情况"/>
        <w:tag w:val="_SEC_cd146e80d2e14aa4aac1142579c4c36a"/>
        <w:id w:val="-1670325265"/>
        <w:lock w:val="sdtLocked"/>
        <w:placeholder>
          <w:docPart w:val="GBC22222222222222222222222222222"/>
        </w:placeholder>
      </w:sdtPr>
      <w:sdtEndPr>
        <w:rPr>
          <w:rFonts w:hint="eastAsia"/>
          <w:szCs w:val="21"/>
        </w:rPr>
      </w:sdtEndPr>
      <w:sdtContent>
        <w:p w:rsidR="00806678" w:rsidRDefault="00B16377" w:rsidP="00FF17C7">
          <w:pPr>
            <w:pStyle w:val="4"/>
            <w:numPr>
              <w:ilvl w:val="0"/>
              <w:numId w:val="66"/>
            </w:numPr>
          </w:pPr>
          <w:r>
            <w:t>截至报告期末主要资产受限情</w:t>
          </w:r>
          <w:r>
            <w:rPr>
              <w:rFonts w:hint="eastAsia"/>
            </w:rPr>
            <w:t>况</w:t>
          </w:r>
        </w:p>
        <w:sdt>
          <w:sdtPr>
            <w:rPr>
              <w:rFonts w:hint="eastAsia"/>
              <w:szCs w:val="21"/>
            </w:rPr>
            <w:alias w:val="是否适用：主要资产受限情况[双击切换]"/>
            <w:tag w:val="_GBC_01311ee451194f52a953344cf249b1b9"/>
            <w:id w:val="981427455"/>
            <w:lock w:val="sdtLocked"/>
            <w:placeholder>
              <w:docPart w:val="GBC22222222222222222222222222222"/>
            </w:placeholder>
          </w:sdtPr>
          <w:sdtContent>
            <w:p w:rsidR="00806678" w:rsidRDefault="00F80B6C">
              <w:pPr>
                <w:rPr>
                  <w:szCs w:val="21"/>
                </w:rPr>
              </w:pPr>
              <w:r>
                <w:rPr>
                  <w:szCs w:val="21"/>
                </w:rPr>
                <w:fldChar w:fldCharType="begin"/>
              </w:r>
              <w:r w:rsidR="00DF6086">
                <w:rPr>
                  <w:szCs w:val="21"/>
                </w:rPr>
                <w:instrText xml:space="preserve"> MACROBUTTON  SnrToggleCheckbox □适用  </w:instrText>
              </w:r>
              <w:r>
                <w:rPr>
                  <w:szCs w:val="21"/>
                </w:rPr>
                <w:fldChar w:fldCharType="end"/>
              </w:r>
              <w:r>
                <w:rPr>
                  <w:szCs w:val="21"/>
                </w:rPr>
                <w:fldChar w:fldCharType="begin"/>
              </w:r>
              <w:r w:rsidR="00DF6086">
                <w:rPr>
                  <w:szCs w:val="21"/>
                </w:rPr>
                <w:instrText xml:space="preserve"> MACROBUTTON  SnrToggleCheckbox √不适用 </w:instrText>
              </w:r>
              <w:r>
                <w:rPr>
                  <w:szCs w:val="21"/>
                </w:rPr>
                <w:fldChar w:fldCharType="end"/>
              </w:r>
            </w:p>
          </w:sdtContent>
        </w:sdt>
      </w:sdtContent>
    </w:sdt>
    <w:sdt>
      <w:sdtPr>
        <w:rPr>
          <w:rFonts w:ascii="宋体" w:eastAsia="宋体" w:hAnsi="宋体" w:cs="宋体"/>
          <w:b w:val="0"/>
          <w:bCs w:val="0"/>
          <w:kern w:val="0"/>
          <w:szCs w:val="24"/>
        </w:rPr>
        <w:alias w:val="模块:其他说明"/>
        <w:tag w:val="_SEC_0a5a7a92c0314a60b3f3d11562efe5d4"/>
        <w:id w:val="1335116369"/>
        <w:lock w:val="sdtLocked"/>
        <w:placeholder>
          <w:docPart w:val="GBC22222222222222222222222222222"/>
        </w:placeholder>
      </w:sdtPr>
      <w:sdtEndPr>
        <w:rPr>
          <w:rFonts w:hint="eastAsia"/>
          <w:szCs w:val="21"/>
        </w:rPr>
      </w:sdtEndPr>
      <w:sdtContent>
        <w:p w:rsidR="00806678" w:rsidRDefault="00B16377" w:rsidP="00FF17C7">
          <w:pPr>
            <w:pStyle w:val="4"/>
            <w:numPr>
              <w:ilvl w:val="0"/>
              <w:numId w:val="66"/>
            </w:numPr>
          </w:pPr>
          <w:r>
            <w:t>其他说明</w:t>
          </w:r>
        </w:p>
        <w:sdt>
          <w:sdtPr>
            <w:rPr>
              <w:rFonts w:hint="eastAsia"/>
              <w:szCs w:val="21"/>
            </w:rPr>
            <w:alias w:val="是否适用：资产及负债状况的其他说明[双击切换]"/>
            <w:tag w:val="_GBC_364e24c8cf1a4469ba88a4ae16e0417f"/>
            <w:id w:val="45730434"/>
            <w:lock w:val="sdtLocked"/>
            <w:placeholder>
              <w:docPart w:val="GBC22222222222222222222222222222"/>
            </w:placeholder>
          </w:sdtPr>
          <w:sdtContent>
            <w:p w:rsidR="00806678" w:rsidRDefault="00F80B6C">
              <w:pPr>
                <w:rPr>
                  <w:szCs w:val="21"/>
                </w:rPr>
              </w:pPr>
              <w:r>
                <w:rPr>
                  <w:szCs w:val="21"/>
                </w:rPr>
                <w:fldChar w:fldCharType="begin"/>
              </w:r>
              <w:r w:rsidR="00DF6086">
                <w:rPr>
                  <w:szCs w:val="21"/>
                </w:rPr>
                <w:instrText xml:space="preserve"> MACROBUTTON  SnrToggleCheckbox □适用  </w:instrText>
              </w:r>
              <w:r>
                <w:rPr>
                  <w:szCs w:val="21"/>
                </w:rPr>
                <w:fldChar w:fldCharType="end"/>
              </w:r>
              <w:r>
                <w:rPr>
                  <w:szCs w:val="21"/>
                </w:rPr>
                <w:fldChar w:fldCharType="begin"/>
              </w:r>
              <w:r w:rsidR="00DF6086">
                <w:rPr>
                  <w:szCs w:val="21"/>
                </w:rPr>
                <w:instrText xml:space="preserve"> MACROBUTTON  SnrToggleCheckbox √不适用 </w:instrText>
              </w:r>
              <w:r>
                <w:rPr>
                  <w:szCs w:val="21"/>
                </w:rPr>
                <w:fldChar w:fldCharType="end"/>
              </w:r>
            </w:p>
          </w:sdtContent>
        </w:sdt>
      </w:sdtContent>
    </w:sdt>
    <w:sdt>
      <w:sdtPr>
        <w:rPr>
          <w:rFonts w:ascii="宋体" w:hAnsi="宋体" w:cs="宋体" w:hint="eastAsia"/>
          <w:b w:val="0"/>
          <w:bCs w:val="0"/>
          <w:kern w:val="0"/>
          <w:szCs w:val="21"/>
        </w:rPr>
        <w:alias w:val="模块:行业经营性信息分析"/>
        <w:tag w:val="_SEC_5860c602a88b4fa29c583d556917cd48"/>
        <w:id w:val="1198081"/>
        <w:lock w:val="sdtLocked"/>
        <w:placeholder>
          <w:docPart w:val="GBC22222222222222222222222222222"/>
        </w:placeholder>
      </w:sdtPr>
      <w:sdtContent>
        <w:p w:rsidR="00806678" w:rsidRDefault="00B16377">
          <w:pPr>
            <w:pStyle w:val="3"/>
            <w:numPr>
              <w:ilvl w:val="0"/>
              <w:numId w:val="8"/>
            </w:numPr>
            <w:rPr>
              <w:szCs w:val="21"/>
            </w:rPr>
          </w:pPr>
          <w:r>
            <w:rPr>
              <w:rFonts w:hint="eastAsia"/>
              <w:szCs w:val="21"/>
            </w:rPr>
            <w:t>行业经营性信息分析</w:t>
          </w:r>
        </w:p>
        <w:sdt>
          <w:sdtPr>
            <w:rPr>
              <w:rFonts w:hint="eastAsia"/>
              <w:szCs w:val="21"/>
            </w:rPr>
            <w:alias w:val="是否适用：行业经营性信息分析[双击切换]"/>
            <w:tag w:val="_GBC_8a02ac4934eb426ab273323b8694d88c"/>
            <w:id w:val="-1957632086"/>
            <w:lock w:val="sdtLocked"/>
            <w:placeholder>
              <w:docPart w:val="GBC22222222222222222222222222222"/>
            </w:placeholder>
          </w:sdtPr>
          <w:sdtContent>
            <w:p w:rsidR="00806678" w:rsidRDefault="00F80B6C">
              <w:pPr>
                <w:rPr>
                  <w:szCs w:val="21"/>
                </w:rPr>
              </w:pPr>
              <w:r>
                <w:rPr>
                  <w:szCs w:val="21"/>
                </w:rPr>
                <w:fldChar w:fldCharType="begin"/>
              </w:r>
              <w:r w:rsidR="00DF6086">
                <w:rPr>
                  <w:szCs w:val="21"/>
                </w:rPr>
                <w:instrText xml:space="preserve"> MACROBUTTON  SnrToggleCheckbox √适用  </w:instrText>
              </w:r>
              <w:r>
                <w:rPr>
                  <w:szCs w:val="21"/>
                </w:rPr>
                <w:fldChar w:fldCharType="end"/>
              </w:r>
              <w:r>
                <w:rPr>
                  <w:szCs w:val="21"/>
                </w:rPr>
                <w:fldChar w:fldCharType="begin"/>
              </w:r>
              <w:r w:rsidR="00DF6086">
                <w:rPr>
                  <w:szCs w:val="21"/>
                </w:rPr>
                <w:instrText xml:space="preserve"> MACROBUTTON  SnrToggleCheckbox □不适用 </w:instrText>
              </w:r>
              <w:r>
                <w:rPr>
                  <w:szCs w:val="21"/>
                </w:rPr>
                <w:fldChar w:fldCharType="end"/>
              </w:r>
            </w:p>
          </w:sdtContent>
        </w:sdt>
        <w:sdt>
          <w:sdtPr>
            <w:rPr>
              <w:rFonts w:hint="eastAsia"/>
              <w:szCs w:val="21"/>
            </w:rPr>
            <w:alias w:val="行业经营性信息分析"/>
            <w:tag w:val="_GBC_e16bc1aa6d5e4cdd94278d9bb9b9d44b"/>
            <w:id w:val="1198082"/>
            <w:lock w:val="sdtLocked"/>
            <w:placeholder>
              <w:docPart w:val="GBC22222222222222222222222222222"/>
            </w:placeholder>
          </w:sdtPr>
          <w:sdtContent>
            <w:p w:rsidR="00806678" w:rsidRDefault="00DF6086" w:rsidP="00DF6086">
              <w:pPr>
                <w:spacing w:line="360" w:lineRule="auto"/>
                <w:ind w:firstLineChars="200" w:firstLine="420"/>
                <w:rPr>
                  <w:szCs w:val="21"/>
                </w:rPr>
                <w:sectPr w:rsidR="00806678" w:rsidSect="00526E3D">
                  <w:pgSz w:w="11906" w:h="16838"/>
                  <w:pgMar w:top="1440" w:right="1797" w:bottom="1525" w:left="1276" w:header="855" w:footer="992" w:gutter="0"/>
                  <w:cols w:space="425"/>
                  <w:docGrid w:linePitch="312"/>
                </w:sectPr>
              </w:pPr>
              <w:r>
                <w:rPr>
                  <w:rFonts w:hint="eastAsia"/>
                  <w:szCs w:val="21"/>
                </w:rPr>
                <w:t>2022年，国家铁路完成旅客发送量16.1亿人次，货物发送量39亿吨，同比增长4.7%。其中，电煤14.9亿吨、同比增长13%。</w:t>
              </w:r>
            </w:p>
          </w:sdtContent>
        </w:sdt>
      </w:sdtContent>
    </w:sdt>
    <w:p w:rsidR="00806678" w:rsidRDefault="00806678">
      <w:pPr>
        <w:pStyle w:val="af7"/>
      </w:pPr>
    </w:p>
    <w:p w:rsidR="00806678" w:rsidRDefault="00B16377">
      <w:pPr>
        <w:pStyle w:val="3"/>
        <w:numPr>
          <w:ilvl w:val="0"/>
          <w:numId w:val="8"/>
        </w:numPr>
        <w:rPr>
          <w:szCs w:val="21"/>
        </w:rPr>
      </w:pPr>
      <w:r>
        <w:rPr>
          <w:rFonts w:hint="eastAsia"/>
          <w:szCs w:val="21"/>
        </w:rPr>
        <w:t>投资状况分析</w:t>
      </w:r>
    </w:p>
    <w:p w:rsidR="00806678" w:rsidRDefault="00B16377">
      <w:pPr>
        <w:pStyle w:val="4"/>
      </w:pPr>
      <w:r>
        <w:t>对外股权投资总体分析</w:t>
      </w:r>
    </w:p>
    <w:bookmarkStart w:id="39" w:name="_Hlk533666971" w:displacedByCustomXml="next"/>
    <w:bookmarkEnd w:id="39" w:displacedByCustomXml="next"/>
    <w:bookmarkStart w:id="40" w:name="_Hlk533435360" w:displacedByCustomXml="next"/>
    <w:bookmarkEnd w:id="40" w:displacedByCustomXml="next"/>
    <w:bookmarkStart w:id="41" w:name="_Hlk533435130" w:displacedByCustomXml="next"/>
    <w:bookmarkEnd w:id="41" w:displacedByCustomXml="next"/>
    <w:bookmarkStart w:id="42" w:name="_Hlk533433706" w:displacedByCustomXml="next"/>
    <w:bookmarkEnd w:id="42" w:displacedByCustomXml="next"/>
    <w:sdt>
      <w:sdtPr>
        <w:rPr>
          <w:szCs w:val="21"/>
        </w:rPr>
        <w:alias w:val="模块:对外股权投资总体分析"/>
        <w:tag w:val="_SEC_4b4a052df79741968a7e11e5835fce59"/>
        <w:id w:val="1750602"/>
        <w:lock w:val="sdtLocked"/>
        <w:placeholder>
          <w:docPart w:val="GBC22222222222222222222222222222"/>
        </w:placeholder>
      </w:sdtPr>
      <w:sdtEndPr>
        <w:rPr>
          <w:rFonts w:asciiTheme="minorEastAsia" w:eastAsiaTheme="minorEastAsia" w:hAnsiTheme="minorEastAsia" w:hint="eastAsia"/>
        </w:rPr>
      </w:sdtEndPr>
      <w:sdtContent>
        <w:sdt>
          <w:sdtPr>
            <w:rPr>
              <w:szCs w:val="21"/>
            </w:rPr>
            <w:alias w:val="是否适用：对外股权投资总体分析[双击切换]"/>
            <w:tag w:val="_GBC_cfb706fadf2c47bbbaf1bf90c054ccaf"/>
            <w:id w:val="1850670323"/>
            <w:lock w:val="sdtLocked"/>
            <w:placeholder>
              <w:docPart w:val="GBC22222222222222222222222222222"/>
            </w:placeholder>
          </w:sdtPr>
          <w:sdtContent>
            <w:p w:rsidR="00806678" w:rsidRDefault="00F80B6C">
              <w:pPr>
                <w:rPr>
                  <w:szCs w:val="21"/>
                </w:rPr>
              </w:pPr>
              <w:r>
                <w:rPr>
                  <w:szCs w:val="21"/>
                </w:rPr>
                <w:fldChar w:fldCharType="begin"/>
              </w:r>
              <w:r w:rsidR="00F117DB">
                <w:rPr>
                  <w:szCs w:val="21"/>
                </w:rPr>
                <w:instrText xml:space="preserve">MACROBUTTON  SnrToggleCheckbox √适用 </w:instrText>
              </w:r>
              <w:r>
                <w:rPr>
                  <w:szCs w:val="21"/>
                </w:rPr>
                <w:fldChar w:fldCharType="end"/>
              </w:r>
              <w:r>
                <w:rPr>
                  <w:szCs w:val="21"/>
                </w:rPr>
                <w:fldChar w:fldCharType="begin"/>
              </w:r>
              <w:r w:rsidR="00F117DB">
                <w:rPr>
                  <w:szCs w:val="21"/>
                </w:rPr>
                <w:instrText xml:space="preserve"> MACROBUTTON  SnrToggleCheckbox □不适用 </w:instrText>
              </w:r>
              <w:r>
                <w:rPr>
                  <w:szCs w:val="21"/>
                </w:rPr>
                <w:fldChar w:fldCharType="end"/>
              </w:r>
            </w:p>
          </w:sdtContent>
        </w:sdt>
        <w:sdt>
          <w:sdtPr>
            <w:rPr>
              <w:szCs w:val="21"/>
            </w:rPr>
            <w:alias w:val="对外股权投资总体分析"/>
            <w:tag w:val="_GBC_fe6d59343f314ea694416d2e9d0fcf01"/>
            <w:id w:val="1750596"/>
            <w:lock w:val="sdtLocked"/>
            <w:placeholder>
              <w:docPart w:val="GBC22222222222222222222222222222"/>
            </w:placeholder>
          </w:sdtPr>
          <w:sdtContent>
            <w:p w:rsidR="00F117DB" w:rsidRDefault="00F117DB" w:rsidP="00F117DB">
              <w:pPr>
                <w:spacing w:line="360" w:lineRule="auto"/>
                <w:ind w:firstLineChars="200" w:firstLine="420"/>
                <w:rPr>
                  <w:szCs w:val="21"/>
                </w:rPr>
              </w:pPr>
              <w:r>
                <w:rPr>
                  <w:rFonts w:hint="eastAsia"/>
                  <w:szCs w:val="21"/>
                </w:rPr>
                <w:t>报告期内，公司未进行股票、权证、可转换债券等证券投资。</w:t>
              </w:r>
            </w:p>
            <w:p w:rsidR="00F117DB" w:rsidRDefault="00F117DB" w:rsidP="00F117DB">
              <w:pPr>
                <w:spacing w:line="360" w:lineRule="auto"/>
                <w:ind w:firstLineChars="200" w:firstLine="420"/>
                <w:rPr>
                  <w:szCs w:val="21"/>
                </w:rPr>
              </w:pPr>
              <w:r>
                <w:rPr>
                  <w:rFonts w:hint="eastAsia"/>
                  <w:szCs w:val="21"/>
                </w:rPr>
                <w:t>报告期内，公司持有A+H上市公司——秦港股份（股票代码：03369.HK、601326.SH）0.77%的股份，未持有非上市金融企业股权。其中，秦港股份于2013年12月首次公开发行境外上市外资股（H股）并在香港联合交易所有限公司主板上市，于2017年8月首次公开发行A股并在上海证券交易所主板上市。</w:t>
              </w:r>
            </w:p>
            <w:p w:rsidR="00806678" w:rsidRPr="00F117DB" w:rsidRDefault="00F117DB" w:rsidP="00F117DB">
              <w:pPr>
                <w:spacing w:line="360" w:lineRule="auto"/>
                <w:ind w:firstLineChars="200" w:firstLine="420"/>
                <w:rPr>
                  <w:szCs w:val="21"/>
                </w:rPr>
              </w:pPr>
              <w:r>
                <w:rPr>
                  <w:rFonts w:hint="eastAsia"/>
                  <w:szCs w:val="21"/>
                </w:rPr>
                <w:t>有关报告期内公司对外股权投资详细情况，已载于财务报表附注七（17）、附注九。</w:t>
              </w:r>
            </w:p>
          </w:sdtContent>
        </w:sdt>
      </w:sdtContent>
    </w:sdt>
    <w:sdt>
      <w:sdtPr>
        <w:rPr>
          <w:rFonts w:ascii="宋体" w:hAnsi="宋体" w:cs="宋体" w:hint="eastAsia"/>
          <w:b w:val="0"/>
          <w:bCs w:val="0"/>
          <w:kern w:val="0"/>
          <w:szCs w:val="21"/>
        </w:rPr>
        <w:alias w:val="模块:重大的股权投资"/>
        <w:tag w:val="_SEC_e305a089659a4e8f8dd9498c36674ab7"/>
        <w:id w:val="1198116"/>
        <w:lock w:val="sdtLocked"/>
        <w:placeholder>
          <w:docPart w:val="GBC22222222222222222222222222222"/>
        </w:placeholder>
      </w:sdtPr>
      <w:sdtEndPr>
        <w:rPr>
          <w:szCs w:val="24"/>
        </w:rPr>
      </w:sdtEndPr>
      <w:sdtContent>
        <w:p w:rsidR="00806678" w:rsidRDefault="00B16377" w:rsidP="00FF17C7">
          <w:pPr>
            <w:pStyle w:val="5"/>
            <w:numPr>
              <w:ilvl w:val="0"/>
              <w:numId w:val="132"/>
            </w:numPr>
            <w:rPr>
              <w:szCs w:val="21"/>
            </w:rPr>
          </w:pPr>
          <w:r>
            <w:rPr>
              <w:rFonts w:hint="eastAsia"/>
              <w:szCs w:val="21"/>
            </w:rPr>
            <w:t>重大的股权投资</w:t>
          </w:r>
        </w:p>
        <w:sdt>
          <w:sdtPr>
            <w:rPr>
              <w:rFonts w:hint="eastAsia"/>
            </w:rPr>
            <w:alias w:val="是否适用：重大的股权投资[双击切换]"/>
            <w:tag w:val="_GBC_b20506918d854c13b13a3b89dd84c7d3"/>
            <w:id w:val="-2086751297"/>
            <w:lock w:val="sdtLocked"/>
            <w:placeholder>
              <w:docPart w:val="GBC22222222222222222222222222222"/>
            </w:placeholder>
          </w:sdtPr>
          <w:sdtContent>
            <w:p w:rsidR="00806678" w:rsidRDefault="00F80B6C" w:rsidP="00682D21">
              <w:r>
                <w:fldChar w:fldCharType="begin"/>
              </w:r>
              <w:r w:rsidR="00682D21">
                <w:instrText xml:space="preserve"> MACROBUTTON  SnrToggleCheckbox □适用  </w:instrText>
              </w:r>
              <w:r>
                <w:fldChar w:fldCharType="end"/>
              </w:r>
              <w:r>
                <w:fldChar w:fldCharType="begin"/>
              </w:r>
              <w:r w:rsidR="00682D21">
                <w:instrText xml:space="preserve"> MACROBUTTON  SnrToggleCheckbox √不适用 </w:instrText>
              </w:r>
              <w:r>
                <w:fldChar w:fldCharType="end"/>
              </w:r>
            </w:p>
          </w:sdtContent>
        </w:sdt>
      </w:sdtContent>
    </w:sdt>
    <w:sdt>
      <w:sdtPr>
        <w:rPr>
          <w:rFonts w:ascii="宋体" w:hAnsi="宋体" w:cs="宋体" w:hint="eastAsia"/>
          <w:b w:val="0"/>
          <w:bCs w:val="0"/>
          <w:kern w:val="0"/>
          <w:szCs w:val="21"/>
        </w:rPr>
        <w:alias w:val="模块:重大的非股权投资"/>
        <w:tag w:val="_SEC_a184487ede57408c81910695beb0ed38"/>
        <w:id w:val="1198118"/>
        <w:lock w:val="sdtLocked"/>
        <w:placeholder>
          <w:docPart w:val="GBC22222222222222222222222222222"/>
        </w:placeholder>
      </w:sdtPr>
      <w:sdtEndPr>
        <w:rPr>
          <w:szCs w:val="24"/>
        </w:rPr>
      </w:sdtEndPr>
      <w:sdtContent>
        <w:p w:rsidR="00806678" w:rsidRDefault="00B16377" w:rsidP="00FF17C7">
          <w:pPr>
            <w:pStyle w:val="5"/>
            <w:numPr>
              <w:ilvl w:val="0"/>
              <w:numId w:val="132"/>
            </w:numPr>
            <w:rPr>
              <w:rFonts w:ascii="宋体" w:hAnsi="宋体" w:cs="宋体"/>
              <w:kern w:val="0"/>
              <w:szCs w:val="21"/>
            </w:rPr>
          </w:pPr>
          <w:r>
            <w:rPr>
              <w:rFonts w:ascii="宋体" w:hAnsi="宋体" w:cs="宋体" w:hint="eastAsia"/>
              <w:kern w:val="0"/>
              <w:szCs w:val="21"/>
            </w:rPr>
            <w:t>重大的非股权投资</w:t>
          </w:r>
        </w:p>
        <w:sdt>
          <w:sdtPr>
            <w:rPr>
              <w:rFonts w:hint="eastAsia"/>
            </w:rPr>
            <w:alias w:val="是否适用：重大的非股权投资[双击切换]"/>
            <w:tag w:val="_GBC_fbd46075a5b9414d9e28cd2404e5d47c"/>
            <w:id w:val="1452435253"/>
            <w:lock w:val="sdtLocked"/>
            <w:placeholder>
              <w:docPart w:val="GBC22222222222222222222222222222"/>
            </w:placeholder>
          </w:sdtPr>
          <w:sdtContent>
            <w:p w:rsidR="00806678" w:rsidRDefault="00F80B6C">
              <w:r>
                <w:fldChar w:fldCharType="begin"/>
              </w:r>
              <w:r w:rsidR="000801CC">
                <w:instrText xml:space="preserve"> MACROBUTTON  SnrToggleCheckbox √适用  </w:instrText>
              </w:r>
              <w:r>
                <w:fldChar w:fldCharType="end"/>
              </w:r>
              <w:r>
                <w:fldChar w:fldCharType="begin"/>
              </w:r>
              <w:r w:rsidR="000801CC">
                <w:instrText xml:space="preserve"> MACROBUTTON  SnrToggleCheckbox □不适用 </w:instrText>
              </w:r>
              <w:r>
                <w:fldChar w:fldCharType="end"/>
              </w:r>
            </w:p>
          </w:sdtContent>
        </w:sdt>
        <w:sdt>
          <w:sdtPr>
            <w:rPr>
              <w:rFonts w:hint="eastAsia"/>
            </w:rPr>
            <w:alias w:val="重大的非股权投资情况"/>
            <w:tag w:val="_GBC_2651ef7cc4f4470bbde49f05abd8e4df"/>
            <w:id w:val="1198119"/>
            <w:lock w:val="sdtLocked"/>
            <w:placeholder>
              <w:docPart w:val="GBC22222222222222222222222222222"/>
            </w:placeholder>
          </w:sdtPr>
          <w:sdtContent>
            <w:p w:rsidR="00682D21" w:rsidRDefault="00682D21" w:rsidP="00682D21">
              <w:pPr>
                <w:spacing w:line="360" w:lineRule="auto"/>
                <w:ind w:firstLineChars="200" w:firstLine="420"/>
                <w:rPr>
                  <w:szCs w:val="21"/>
                </w:rPr>
              </w:pPr>
              <w:r>
                <w:rPr>
                  <w:rFonts w:hint="eastAsia"/>
                  <w:szCs w:val="21"/>
                </w:rPr>
                <w:t>公司于2020年4月27日召开的五届十七次董事会、于2020年5月26日召开的2019年年度股东大会，审议通过了《关于公司公开发行可转换公司债券方案的议案》《关于公司公开发行可转换公司债券募集资金用于收购中国铁路太原局集团有限公司国有授权经营土地使用权涉及关联交易暨签署附生效条件的&lt;国有授权经营土地使用权转让协议&gt;的议案》等议案。决定公开发行不超过320亿元（含320亿元）可转换公司债券，募集资金部分用于收购太原局集团国有授权经营土地使用权。</w:t>
              </w:r>
            </w:p>
            <w:p w:rsidR="00682D21" w:rsidRDefault="00682D21" w:rsidP="00682D21">
              <w:pPr>
                <w:spacing w:line="360" w:lineRule="auto"/>
                <w:ind w:firstLineChars="200" w:firstLine="420"/>
                <w:rPr>
                  <w:szCs w:val="21"/>
                </w:rPr>
              </w:pPr>
              <w:r>
                <w:rPr>
                  <w:rFonts w:hint="eastAsia"/>
                  <w:szCs w:val="21"/>
                </w:rPr>
                <w:t>2020年4月27日，公司与太原局集团签署附生效条件的《国有授权经营土地使用权转让协议》，对交易方式与交易价格、土地使用权变更登记、税费负担、过渡期间安排、协议生效条件等事项进行了约定。2020年12月18日，公司完成A股可转换公司债券发行工作，募集资金320亿元。</w:t>
              </w:r>
            </w:p>
            <w:p w:rsidR="00682D21" w:rsidRDefault="00682D21" w:rsidP="00682D21">
              <w:pPr>
                <w:spacing w:line="360" w:lineRule="auto"/>
                <w:ind w:firstLineChars="200" w:firstLine="420"/>
                <w:rPr>
                  <w:szCs w:val="21"/>
                </w:rPr>
              </w:pPr>
              <w:r>
                <w:rPr>
                  <w:rFonts w:hint="eastAsia"/>
                  <w:szCs w:val="21"/>
                </w:rPr>
                <w:t>本次转让土地位于山西、河北两省，面积较大、数量较多，土地价款及相关费用等的核算工作较为复杂。此外，转让涉及土地分证合证、规划调整等情况，相关工作流程涉及多个部门和环节，沟通协调过程较长，土地交割价款尚未最终确认。截至2022年12月31日，收购中国铁路太原局集团有限公司国有授权经营土地使用权项目尚未完成交割手续。公司已指定专人，持续、积极推动相关工作的完成。</w:t>
              </w:r>
            </w:p>
            <w:p w:rsidR="006B0301" w:rsidRDefault="00682D21" w:rsidP="00682D21">
              <w:pPr>
                <w:spacing w:line="360" w:lineRule="auto"/>
                <w:ind w:firstLineChars="200" w:firstLine="420"/>
                <w:rPr>
                  <w:szCs w:val="21"/>
                </w:rPr>
                <w:sectPr w:rsidR="006B0301" w:rsidSect="006B0301">
                  <w:pgSz w:w="11906" w:h="16838"/>
                  <w:pgMar w:top="1525" w:right="1276" w:bottom="1440" w:left="1797" w:header="855" w:footer="992" w:gutter="0"/>
                  <w:cols w:space="425"/>
                  <w:docGrid w:linePitch="312"/>
                </w:sectPr>
              </w:pPr>
              <w:r>
                <w:rPr>
                  <w:rFonts w:hint="eastAsia"/>
                  <w:szCs w:val="21"/>
                </w:rPr>
                <w:t>收购国有授权经营土地使用权有利于增强公司资产的完整性，满足《不动产登记条例》等相关要求，实现房地产权匹配。同时，为进一步挖掘土地资源开发潜力，实现资产保值增值奠定基础。</w:t>
              </w:r>
            </w:p>
            <w:p w:rsidR="00806678" w:rsidRPr="00682D21" w:rsidRDefault="00F80B6C" w:rsidP="00682D21">
              <w:pPr>
                <w:spacing w:line="360" w:lineRule="auto"/>
                <w:ind w:firstLineChars="200" w:firstLine="420"/>
                <w:rPr>
                  <w:szCs w:val="21"/>
                </w:rPr>
              </w:pPr>
            </w:p>
          </w:sdtContent>
        </w:sdt>
      </w:sdtContent>
    </w:sdt>
    <w:bookmarkStart w:id="43" w:name="_Hlk40532846" w:displacedByCustomXml="next"/>
    <w:sdt>
      <w:sdtPr>
        <w:rPr>
          <w:rFonts w:ascii="宋体" w:hAnsi="宋体" w:cs="宋体" w:hint="eastAsia"/>
          <w:b w:val="0"/>
          <w:bCs w:val="0"/>
          <w:kern w:val="0"/>
          <w:szCs w:val="21"/>
        </w:rPr>
        <w:alias w:val="模块:以公允价值计量的金融资产"/>
        <w:tag w:val="_SEC_b68803fb05c54f76bddc131e89240164"/>
        <w:id w:val="1198120"/>
        <w:lock w:val="sdtLocked"/>
        <w:placeholder>
          <w:docPart w:val="GBC22222222222222222222222222222"/>
        </w:placeholder>
      </w:sdtPr>
      <w:sdtContent>
        <w:p w:rsidR="00806678" w:rsidRDefault="00B16377" w:rsidP="00FF17C7">
          <w:pPr>
            <w:pStyle w:val="5"/>
            <w:numPr>
              <w:ilvl w:val="0"/>
              <w:numId w:val="132"/>
            </w:numPr>
            <w:rPr>
              <w:rFonts w:ascii="宋体" w:hAnsi="宋体" w:cs="宋体"/>
              <w:kern w:val="0"/>
              <w:szCs w:val="21"/>
            </w:rPr>
          </w:pPr>
          <w:r>
            <w:rPr>
              <w:rFonts w:ascii="宋体" w:hAnsi="宋体" w:cs="宋体" w:hint="eastAsia"/>
              <w:kern w:val="0"/>
              <w:szCs w:val="21"/>
            </w:rPr>
            <w:t>以公允价值计量的金融资产</w:t>
          </w:r>
        </w:p>
        <w:sdt>
          <w:sdtPr>
            <w:rPr>
              <w:rFonts w:hint="eastAsia"/>
              <w:szCs w:val="21"/>
            </w:rPr>
            <w:alias w:val="是否适用：以公允价值计量的金融资产[双击切换]"/>
            <w:tag w:val="_GBC_27fa42d1c8fd489d9e8648bed00ddd53"/>
            <w:id w:val="-1724440115"/>
            <w:lock w:val="sdtLocked"/>
            <w:placeholder>
              <w:docPart w:val="GBC22222222222222222222222222222"/>
            </w:placeholder>
          </w:sdtPr>
          <w:sdtContent>
            <w:p w:rsidR="00806678" w:rsidRDefault="00F80B6C">
              <w:pPr>
                <w:rPr>
                  <w:szCs w:val="21"/>
                </w:rPr>
              </w:pPr>
              <w:r>
                <w:rPr>
                  <w:szCs w:val="21"/>
                </w:rPr>
                <w:fldChar w:fldCharType="begin"/>
              </w:r>
              <w:r w:rsidR="00EA468D">
                <w:rPr>
                  <w:szCs w:val="21"/>
                </w:rPr>
                <w:instrText xml:space="preserve"> MACROBUTTON  SnrToggleCheckbox √适用  </w:instrText>
              </w:r>
              <w:r>
                <w:rPr>
                  <w:szCs w:val="21"/>
                </w:rPr>
                <w:fldChar w:fldCharType="end"/>
              </w:r>
              <w:r>
                <w:rPr>
                  <w:szCs w:val="21"/>
                </w:rPr>
                <w:fldChar w:fldCharType="begin"/>
              </w:r>
              <w:r w:rsidR="00EA468D">
                <w:rPr>
                  <w:szCs w:val="21"/>
                </w:rPr>
                <w:instrText xml:space="preserve"> MACROBUTTON  SnrToggleCheckbox □不适用 </w:instrText>
              </w:r>
              <w:r>
                <w:rPr>
                  <w:szCs w:val="21"/>
                </w:rPr>
                <w:fldChar w:fldCharType="end"/>
              </w:r>
            </w:p>
          </w:sdtContent>
        </w:sdt>
        <w:p w:rsidR="00806678" w:rsidRDefault="00B16377">
          <w:pPr>
            <w:pStyle w:val="14"/>
            <w:wordWrap w:val="0"/>
            <w:ind w:left="360" w:firstLineChars="0" w:firstLine="0"/>
            <w:jc w:val="right"/>
          </w:pPr>
          <w:r>
            <w:rPr>
              <w:rFonts w:hint="eastAsia"/>
            </w:rPr>
            <w:t>单位：</w:t>
          </w:r>
          <w:sdt>
            <w:sdtPr>
              <w:rPr>
                <w:rFonts w:hint="eastAsia"/>
              </w:rPr>
              <w:alias w:val="单位：以公允价值计量的金融资产"/>
              <w:tag w:val="_GBC_b2e3ce23c85c488ab3fa1ba1294ef546"/>
              <w:id w:val="402726128"/>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EA468D">
                <w:rPr>
                  <w:rFonts w:hint="eastAsia"/>
                </w:rPr>
                <w:t>万元</w:t>
              </w:r>
            </w:sdtContent>
          </w:sdt>
          <w:r>
            <w:rPr>
              <w:rFonts w:hint="eastAsia"/>
            </w:rPr>
            <w:t xml:space="preserve">  </w:t>
          </w:r>
          <w:r>
            <w:rPr>
              <w:rFonts w:hint="eastAsia"/>
            </w:rPr>
            <w:t>币种：</w:t>
          </w:r>
          <w:sdt>
            <w:sdtPr>
              <w:rPr>
                <w:rFonts w:hint="eastAsia"/>
              </w:rPr>
              <w:alias w:val="币种：以公允价值计量的金融资产"/>
              <w:tag w:val="_GBC_77ed3303d22c48dc98ae781142db662c"/>
              <w:id w:val="-96458183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9"/>
            <w:gridCol w:w="1302"/>
            <w:gridCol w:w="1555"/>
            <w:gridCol w:w="1821"/>
            <w:gridCol w:w="1740"/>
            <w:gridCol w:w="1680"/>
            <w:gridCol w:w="1609"/>
            <w:gridCol w:w="1120"/>
            <w:gridCol w:w="1364"/>
          </w:tblGrid>
          <w:tr w:rsidR="00806678" w:rsidTr="00532B01">
            <w:sdt>
              <w:sdtPr>
                <w:rPr>
                  <w:rFonts w:cs="Times New Roman" w:hint="eastAsia"/>
                  <w:kern w:val="2"/>
                  <w:szCs w:val="22"/>
                </w:rPr>
                <w:tag w:val="_PLD_0c54b9fd583d4e649fc12d33a6f94086"/>
                <w:id w:val="1281839887"/>
                <w:lock w:val="sdtLocked"/>
              </w:sdtPr>
              <w:sdtContent>
                <w:tc>
                  <w:tcPr>
                    <w:tcW w:w="1809" w:type="dxa"/>
                    <w:shd w:val="clear" w:color="auto" w:fill="auto"/>
                    <w:vAlign w:val="center"/>
                  </w:tcPr>
                  <w:p w:rsidR="00806678" w:rsidRDefault="00B16377">
                    <w:pPr>
                      <w:widowControl w:val="0"/>
                      <w:jc w:val="center"/>
                    </w:pPr>
                    <w:r>
                      <w:rPr>
                        <w:rFonts w:cs="Times New Roman" w:hint="eastAsia"/>
                        <w:kern w:val="2"/>
                        <w:szCs w:val="22"/>
                      </w:rPr>
                      <w:t>资产类别</w:t>
                    </w:r>
                  </w:p>
                </w:tc>
              </w:sdtContent>
            </w:sdt>
            <w:sdt>
              <w:sdtPr>
                <w:rPr>
                  <w:rFonts w:hint="eastAsia"/>
                </w:rPr>
                <w:tag w:val="_PLD_4b84ad0ddc154021b1b8d9a6bffa6c39"/>
                <w:id w:val="-1578972373"/>
                <w:lock w:val="sdtLocked"/>
              </w:sdtPr>
              <w:sdtContent>
                <w:tc>
                  <w:tcPr>
                    <w:tcW w:w="1302" w:type="dxa"/>
                    <w:shd w:val="clear" w:color="auto" w:fill="auto"/>
                    <w:vAlign w:val="center"/>
                  </w:tcPr>
                  <w:p w:rsidR="00806678" w:rsidRDefault="00B16377">
                    <w:pPr>
                      <w:widowControl w:val="0"/>
                      <w:jc w:val="center"/>
                    </w:pPr>
                    <w:r>
                      <w:rPr>
                        <w:rFonts w:hint="eastAsia"/>
                      </w:rPr>
                      <w:t>期初数</w:t>
                    </w:r>
                  </w:p>
                </w:tc>
              </w:sdtContent>
            </w:sdt>
            <w:sdt>
              <w:sdtPr>
                <w:rPr>
                  <w:rFonts w:hint="eastAsia"/>
                </w:rPr>
                <w:tag w:val="_PLD_fa8919b699f843d2b03f2004a27810b6"/>
                <w:id w:val="-663397107"/>
                <w:lock w:val="sdtLocked"/>
              </w:sdtPr>
              <w:sdtContent>
                <w:tc>
                  <w:tcPr>
                    <w:tcW w:w="1555" w:type="dxa"/>
                    <w:shd w:val="clear" w:color="auto" w:fill="auto"/>
                    <w:vAlign w:val="center"/>
                  </w:tcPr>
                  <w:p w:rsidR="00806678" w:rsidRDefault="00B16377">
                    <w:pPr>
                      <w:widowControl w:val="0"/>
                      <w:jc w:val="center"/>
                      <w:rPr>
                        <w:b/>
                      </w:rPr>
                    </w:pPr>
                    <w:r>
                      <w:rPr>
                        <w:rFonts w:hint="eastAsia"/>
                      </w:rPr>
                      <w:t>本期公允价值变动损益</w:t>
                    </w:r>
                  </w:p>
                </w:tc>
              </w:sdtContent>
            </w:sdt>
            <w:sdt>
              <w:sdtPr>
                <w:rPr>
                  <w:rFonts w:hint="eastAsia"/>
                </w:rPr>
                <w:tag w:val="_PLD_81fc9fd2b35c49e2bfd3b55b8724ae1d"/>
                <w:id w:val="1114093502"/>
                <w:lock w:val="sdtLocked"/>
              </w:sdtPr>
              <w:sdtContent>
                <w:tc>
                  <w:tcPr>
                    <w:tcW w:w="1821" w:type="dxa"/>
                    <w:shd w:val="clear" w:color="auto" w:fill="auto"/>
                    <w:vAlign w:val="center"/>
                  </w:tcPr>
                  <w:p w:rsidR="00806678" w:rsidRDefault="00B16377">
                    <w:pPr>
                      <w:widowControl w:val="0"/>
                      <w:jc w:val="center"/>
                    </w:pPr>
                    <w:r>
                      <w:rPr>
                        <w:rFonts w:hint="eastAsia"/>
                      </w:rPr>
                      <w:t>计入权益的累计公允价值变动</w:t>
                    </w:r>
                  </w:p>
                </w:tc>
              </w:sdtContent>
            </w:sdt>
            <w:sdt>
              <w:sdtPr>
                <w:rPr>
                  <w:rFonts w:hint="eastAsia"/>
                </w:rPr>
                <w:tag w:val="_PLD_d6f12030ef654b5cad4265cc31977836"/>
                <w:id w:val="-496493761"/>
                <w:lock w:val="sdtLocked"/>
              </w:sdtPr>
              <w:sdtContent>
                <w:tc>
                  <w:tcPr>
                    <w:tcW w:w="1740" w:type="dxa"/>
                    <w:shd w:val="clear" w:color="auto" w:fill="auto"/>
                    <w:vAlign w:val="center"/>
                  </w:tcPr>
                  <w:p w:rsidR="00806678" w:rsidRDefault="00B16377">
                    <w:pPr>
                      <w:widowControl w:val="0"/>
                      <w:jc w:val="center"/>
                    </w:pPr>
                    <w:r>
                      <w:rPr>
                        <w:rFonts w:hint="eastAsia"/>
                      </w:rPr>
                      <w:t>本期计提的减值</w:t>
                    </w:r>
                  </w:p>
                </w:tc>
              </w:sdtContent>
            </w:sdt>
            <w:sdt>
              <w:sdtPr>
                <w:rPr>
                  <w:rFonts w:hint="eastAsia"/>
                </w:rPr>
                <w:tag w:val="_PLD_8693ec76f7f14d898c4b16665659ded9"/>
                <w:id w:val="-1931350536"/>
                <w:lock w:val="sdtLocked"/>
              </w:sdtPr>
              <w:sdtContent>
                <w:tc>
                  <w:tcPr>
                    <w:tcW w:w="1680" w:type="dxa"/>
                    <w:shd w:val="clear" w:color="auto" w:fill="auto"/>
                    <w:vAlign w:val="center"/>
                  </w:tcPr>
                  <w:p w:rsidR="00806678" w:rsidRDefault="00B16377">
                    <w:pPr>
                      <w:widowControl w:val="0"/>
                      <w:jc w:val="center"/>
                    </w:pPr>
                    <w:r>
                      <w:rPr>
                        <w:rFonts w:hint="eastAsia"/>
                      </w:rPr>
                      <w:t>本期购买金额</w:t>
                    </w:r>
                  </w:p>
                </w:tc>
              </w:sdtContent>
            </w:sdt>
            <w:sdt>
              <w:sdtPr>
                <w:rPr>
                  <w:rFonts w:hint="eastAsia"/>
                </w:rPr>
                <w:tag w:val="_PLD_ba0671fda1cb4d8c8d3c1e5b16cc6e5a"/>
                <w:id w:val="-343862902"/>
                <w:lock w:val="sdtLocked"/>
              </w:sdtPr>
              <w:sdtContent>
                <w:tc>
                  <w:tcPr>
                    <w:tcW w:w="1609" w:type="dxa"/>
                    <w:shd w:val="clear" w:color="auto" w:fill="auto"/>
                    <w:vAlign w:val="center"/>
                  </w:tcPr>
                  <w:p w:rsidR="00806678" w:rsidRDefault="00B16377">
                    <w:pPr>
                      <w:widowControl w:val="0"/>
                      <w:jc w:val="center"/>
                    </w:pPr>
                    <w:r>
                      <w:rPr>
                        <w:rFonts w:hint="eastAsia"/>
                      </w:rPr>
                      <w:t>本期出售/赎回金额</w:t>
                    </w:r>
                  </w:p>
                </w:tc>
              </w:sdtContent>
            </w:sdt>
            <w:sdt>
              <w:sdtPr>
                <w:rPr>
                  <w:rFonts w:hint="eastAsia"/>
                </w:rPr>
                <w:tag w:val="_PLD_50b7e7d4561f48f190f80d486d12a170"/>
                <w:id w:val="2059284227"/>
                <w:lock w:val="sdtLocked"/>
              </w:sdtPr>
              <w:sdtContent>
                <w:tc>
                  <w:tcPr>
                    <w:tcW w:w="1120" w:type="dxa"/>
                    <w:shd w:val="clear" w:color="auto" w:fill="auto"/>
                    <w:vAlign w:val="center"/>
                  </w:tcPr>
                  <w:p w:rsidR="00806678" w:rsidRDefault="00B16377">
                    <w:pPr>
                      <w:widowControl w:val="0"/>
                      <w:jc w:val="center"/>
                    </w:pPr>
                    <w:r>
                      <w:rPr>
                        <w:rFonts w:hint="eastAsia"/>
                      </w:rPr>
                      <w:t>其他变动</w:t>
                    </w:r>
                  </w:p>
                </w:tc>
              </w:sdtContent>
            </w:sdt>
            <w:sdt>
              <w:sdtPr>
                <w:rPr>
                  <w:rFonts w:hint="eastAsia"/>
                </w:rPr>
                <w:tag w:val="_PLD_816d427a273240d9af67db4a5feee586"/>
                <w:id w:val="-375316089"/>
                <w:lock w:val="sdtLocked"/>
              </w:sdtPr>
              <w:sdtContent>
                <w:tc>
                  <w:tcPr>
                    <w:tcW w:w="1364" w:type="dxa"/>
                    <w:shd w:val="clear" w:color="auto" w:fill="auto"/>
                    <w:vAlign w:val="center"/>
                  </w:tcPr>
                  <w:p w:rsidR="00806678" w:rsidRDefault="00B16377">
                    <w:pPr>
                      <w:widowControl w:val="0"/>
                      <w:jc w:val="center"/>
                    </w:pPr>
                    <w:r>
                      <w:rPr>
                        <w:rFonts w:hint="eastAsia"/>
                      </w:rPr>
                      <w:t>期末数</w:t>
                    </w:r>
                  </w:p>
                </w:tc>
              </w:sdtContent>
            </w:sdt>
          </w:tr>
          <w:sdt>
            <w:sdtPr>
              <w:alias w:val="以公允价值计量的金融资产情况明细"/>
              <w:tag w:val="_TUP_6b109b7fdfcd4b978c999b3232f48073"/>
              <w:id w:val="862871"/>
              <w:lock w:val="sdtLocked"/>
            </w:sdtPr>
            <w:sdtContent>
              <w:tr w:rsidR="00FC7D54" w:rsidTr="00FC7D54">
                <w:sdt>
                  <w:sdtPr>
                    <w:alias w:val="以公允价值计量的金融资产情况明细_资产类别"/>
                    <w:tag w:val="_GBC_cc72d7a8c8f74a64a251dbd2114ca4fe"/>
                    <w:id w:val="1641382733"/>
                    <w:lock w:val="sdtLocked"/>
                    <w:comboBox>
                      <w:listItem w:displayText="股票" w:value="股票"/>
                      <w:listItem w:displayText="债券" w:value="债券"/>
                      <w:listItem w:displayText="信托产品" w:value="信托产品"/>
                      <w:listItem w:displayText="私募基金" w:value="私募基金"/>
                      <w:listItem w:displayText="期货" w:value="期货"/>
                      <w:listItem w:displayText="衍生工具" w:value="衍生工具"/>
                      <w:listItem w:displayText="其他" w:value="其他"/>
                    </w:comboBox>
                  </w:sdtPr>
                  <w:sdtEndPr>
                    <w:rPr>
                      <w:rFonts w:hint="eastAsia"/>
                    </w:rPr>
                  </w:sdtEndPr>
                  <w:sdtContent>
                    <w:tc>
                      <w:tcPr>
                        <w:tcW w:w="1809" w:type="dxa"/>
                        <w:shd w:val="clear" w:color="auto" w:fill="auto"/>
                      </w:tcPr>
                      <w:p w:rsidR="00FC7D54" w:rsidRDefault="00FC7D54" w:rsidP="00FC7D54">
                        <w:pPr>
                          <w:widowControl w:val="0"/>
                          <w:jc w:val="both"/>
                        </w:pPr>
                        <w:r>
                          <w:rPr>
                            <w:rFonts w:hint="eastAsia"/>
                          </w:rPr>
                          <w:t>所持秦港股份内资股股份</w:t>
                        </w:r>
                      </w:p>
                    </w:tc>
                  </w:sdtContent>
                </w:sdt>
                <w:tc>
                  <w:tcPr>
                    <w:tcW w:w="1302" w:type="dxa"/>
                    <w:shd w:val="clear" w:color="auto" w:fill="auto"/>
                  </w:tcPr>
                  <w:p w:rsidR="00FC7D54" w:rsidRDefault="00FC7D54" w:rsidP="00FC7D54">
                    <w:pPr>
                      <w:widowControl w:val="0"/>
                      <w:jc w:val="right"/>
                    </w:pPr>
                    <w:r>
                      <w:t>11,885</w:t>
                    </w:r>
                  </w:p>
                </w:tc>
                <w:tc>
                  <w:tcPr>
                    <w:tcW w:w="1555" w:type="dxa"/>
                    <w:shd w:val="clear" w:color="auto" w:fill="auto"/>
                  </w:tcPr>
                  <w:p w:rsidR="00FC7D54" w:rsidRDefault="00FC7D54" w:rsidP="00FC7D54">
                    <w:pPr>
                      <w:widowControl w:val="0"/>
                      <w:jc w:val="right"/>
                    </w:pPr>
                    <w:r>
                      <w:t>0</w:t>
                    </w:r>
                  </w:p>
                </w:tc>
                <w:tc>
                  <w:tcPr>
                    <w:tcW w:w="1821" w:type="dxa"/>
                    <w:shd w:val="clear" w:color="auto" w:fill="auto"/>
                  </w:tcPr>
                  <w:p w:rsidR="00FC7D54" w:rsidRDefault="00FC7D54" w:rsidP="00FC7D54">
                    <w:pPr>
                      <w:widowControl w:val="0"/>
                      <w:jc w:val="right"/>
                    </w:pPr>
                    <w:r>
                      <w:t>-129</w:t>
                    </w:r>
                  </w:p>
                </w:tc>
                <w:tc>
                  <w:tcPr>
                    <w:tcW w:w="1740" w:type="dxa"/>
                    <w:shd w:val="clear" w:color="auto" w:fill="auto"/>
                  </w:tcPr>
                  <w:p w:rsidR="00FC7D54" w:rsidRDefault="00FC7D54" w:rsidP="00FC7D54">
                    <w:pPr>
                      <w:widowControl w:val="0"/>
                      <w:jc w:val="right"/>
                    </w:pPr>
                    <w:r>
                      <w:rPr>
                        <w:rFonts w:hint="eastAsia"/>
                      </w:rPr>
                      <w:t>0</w:t>
                    </w:r>
                  </w:p>
                </w:tc>
                <w:tc>
                  <w:tcPr>
                    <w:tcW w:w="1680" w:type="dxa"/>
                    <w:shd w:val="clear" w:color="auto" w:fill="auto"/>
                  </w:tcPr>
                  <w:p w:rsidR="00FC7D54" w:rsidRDefault="00FC7D54" w:rsidP="00FC7D54">
                    <w:pPr>
                      <w:widowControl w:val="0"/>
                      <w:jc w:val="right"/>
                    </w:pPr>
                    <w:r>
                      <w:rPr>
                        <w:rFonts w:hint="eastAsia"/>
                      </w:rPr>
                      <w:t>0</w:t>
                    </w:r>
                  </w:p>
                </w:tc>
                <w:tc>
                  <w:tcPr>
                    <w:tcW w:w="1609" w:type="dxa"/>
                    <w:shd w:val="clear" w:color="auto" w:fill="auto"/>
                  </w:tcPr>
                  <w:p w:rsidR="00FC7D54" w:rsidRDefault="00FC7D54" w:rsidP="00FC7D54">
                    <w:pPr>
                      <w:widowControl w:val="0"/>
                      <w:jc w:val="right"/>
                    </w:pPr>
                    <w:r>
                      <w:rPr>
                        <w:rFonts w:hint="eastAsia"/>
                      </w:rPr>
                      <w:t>0</w:t>
                    </w:r>
                  </w:p>
                </w:tc>
                <w:tc>
                  <w:tcPr>
                    <w:tcW w:w="1120" w:type="dxa"/>
                    <w:shd w:val="clear" w:color="auto" w:fill="auto"/>
                  </w:tcPr>
                  <w:p w:rsidR="00FC7D54" w:rsidRDefault="00FC7D54" w:rsidP="00FC7D54">
                    <w:pPr>
                      <w:widowControl w:val="0"/>
                      <w:jc w:val="right"/>
                    </w:pPr>
                    <w:r>
                      <w:t>0</w:t>
                    </w:r>
                  </w:p>
                </w:tc>
                <w:tc>
                  <w:tcPr>
                    <w:tcW w:w="1364" w:type="dxa"/>
                    <w:shd w:val="clear" w:color="auto" w:fill="auto"/>
                  </w:tcPr>
                  <w:p w:rsidR="00FC7D54" w:rsidRDefault="00FC7D54" w:rsidP="00FC7D54">
                    <w:pPr>
                      <w:widowControl w:val="0"/>
                      <w:jc w:val="right"/>
                    </w:pPr>
                    <w:r>
                      <w:t>11,756</w:t>
                    </w:r>
                  </w:p>
                </w:tc>
              </w:tr>
            </w:sdtContent>
          </w:sdt>
          <w:tr w:rsidR="00FC7D54" w:rsidTr="00FC7D54">
            <w:tc>
              <w:tcPr>
                <w:tcW w:w="1809" w:type="dxa"/>
                <w:shd w:val="clear" w:color="auto" w:fill="auto"/>
              </w:tcPr>
              <w:sdt>
                <w:sdtPr>
                  <w:tag w:val="_PLD_9763685e417f4caab19a3981d49680d7"/>
                  <w:id w:val="1694042327"/>
                  <w:lock w:val="sdtLocked"/>
                </w:sdtPr>
                <w:sdtContent>
                  <w:p w:rsidR="00FC7D54" w:rsidRDefault="00FC7D54" w:rsidP="00FC7D54">
                    <w:pPr>
                      <w:widowControl w:val="0"/>
                      <w:jc w:val="center"/>
                    </w:pPr>
                    <w:r>
                      <w:t>合计</w:t>
                    </w:r>
                  </w:p>
                </w:sdtContent>
              </w:sdt>
            </w:tc>
            <w:tc>
              <w:tcPr>
                <w:tcW w:w="1302" w:type="dxa"/>
                <w:shd w:val="clear" w:color="auto" w:fill="auto"/>
                <w:vAlign w:val="center"/>
              </w:tcPr>
              <w:p w:rsidR="00FC7D54" w:rsidRDefault="00FC7D54" w:rsidP="00FC7D54">
                <w:pPr>
                  <w:jc w:val="right"/>
                  <w:rPr>
                    <w:sz w:val="24"/>
                  </w:rPr>
                </w:pPr>
                <w:r>
                  <w:t>11,885</w:t>
                </w:r>
              </w:p>
            </w:tc>
            <w:tc>
              <w:tcPr>
                <w:tcW w:w="1555" w:type="dxa"/>
                <w:shd w:val="clear" w:color="auto" w:fill="auto"/>
              </w:tcPr>
              <w:p w:rsidR="00FC7D54" w:rsidRDefault="00FC7D54" w:rsidP="00FC7D54">
                <w:pPr>
                  <w:jc w:val="right"/>
                  <w:rPr>
                    <w:sz w:val="24"/>
                  </w:rPr>
                </w:pPr>
                <w:r>
                  <w:t>0</w:t>
                </w:r>
              </w:p>
            </w:tc>
            <w:tc>
              <w:tcPr>
                <w:tcW w:w="1821" w:type="dxa"/>
                <w:shd w:val="clear" w:color="auto" w:fill="auto"/>
              </w:tcPr>
              <w:p w:rsidR="00FC7D54" w:rsidRDefault="00FC7D54" w:rsidP="00FC7D54">
                <w:pPr>
                  <w:jc w:val="right"/>
                  <w:rPr>
                    <w:sz w:val="24"/>
                  </w:rPr>
                </w:pPr>
                <w:r>
                  <w:t>-129</w:t>
                </w:r>
              </w:p>
            </w:tc>
            <w:tc>
              <w:tcPr>
                <w:tcW w:w="1740" w:type="dxa"/>
                <w:shd w:val="clear" w:color="auto" w:fill="auto"/>
              </w:tcPr>
              <w:p w:rsidR="00FC7D54" w:rsidRDefault="00FC7D54" w:rsidP="00FC7D54">
                <w:pPr>
                  <w:jc w:val="right"/>
                  <w:rPr>
                    <w:sz w:val="24"/>
                  </w:rPr>
                </w:pPr>
                <w:r>
                  <w:t>0</w:t>
                </w:r>
              </w:p>
            </w:tc>
            <w:tc>
              <w:tcPr>
                <w:tcW w:w="1680" w:type="dxa"/>
                <w:shd w:val="clear" w:color="auto" w:fill="auto"/>
                <w:vAlign w:val="center"/>
              </w:tcPr>
              <w:p w:rsidR="00FC7D54" w:rsidRDefault="00FC7D54" w:rsidP="00FC7D54">
                <w:pPr>
                  <w:jc w:val="right"/>
                  <w:rPr>
                    <w:sz w:val="24"/>
                  </w:rPr>
                </w:pPr>
                <w:r>
                  <w:t>0</w:t>
                </w:r>
              </w:p>
            </w:tc>
            <w:tc>
              <w:tcPr>
                <w:tcW w:w="1609" w:type="dxa"/>
                <w:shd w:val="clear" w:color="auto" w:fill="auto"/>
                <w:vAlign w:val="center"/>
              </w:tcPr>
              <w:p w:rsidR="00FC7D54" w:rsidRDefault="00FC7D54" w:rsidP="00FC7D54">
                <w:pPr>
                  <w:jc w:val="right"/>
                  <w:rPr>
                    <w:sz w:val="24"/>
                  </w:rPr>
                </w:pPr>
                <w:r>
                  <w:t>0</w:t>
                </w:r>
              </w:p>
            </w:tc>
            <w:tc>
              <w:tcPr>
                <w:tcW w:w="1120" w:type="dxa"/>
                <w:shd w:val="clear" w:color="auto" w:fill="auto"/>
                <w:vAlign w:val="center"/>
              </w:tcPr>
              <w:p w:rsidR="00FC7D54" w:rsidRDefault="00FC7D54" w:rsidP="00FC7D54">
                <w:pPr>
                  <w:jc w:val="right"/>
                  <w:rPr>
                    <w:sz w:val="24"/>
                  </w:rPr>
                </w:pPr>
                <w:r>
                  <w:t>0</w:t>
                </w:r>
              </w:p>
            </w:tc>
            <w:tc>
              <w:tcPr>
                <w:tcW w:w="1364" w:type="dxa"/>
                <w:shd w:val="clear" w:color="auto" w:fill="auto"/>
                <w:vAlign w:val="center"/>
              </w:tcPr>
              <w:p w:rsidR="00FC7D54" w:rsidRDefault="00FC7D54" w:rsidP="00FC7D54">
                <w:pPr>
                  <w:jc w:val="right"/>
                  <w:rPr>
                    <w:sz w:val="24"/>
                  </w:rPr>
                </w:pPr>
                <w:r>
                  <w:t>11,756</w:t>
                </w:r>
              </w:p>
            </w:tc>
          </w:tr>
        </w:tbl>
        <w:p w:rsidR="00806678" w:rsidRDefault="00F80B6C">
          <w:pPr>
            <w:rPr>
              <w:szCs w:val="21"/>
            </w:rPr>
          </w:pPr>
        </w:p>
      </w:sdtContent>
    </w:sdt>
    <w:bookmarkEnd w:id="43" w:displacedByCustomXml="prev"/>
    <w:sdt>
      <w:sdtPr>
        <w:rPr>
          <w:rFonts w:hint="eastAsia"/>
          <w:szCs w:val="21"/>
        </w:rPr>
        <w:alias w:val="模块:证券投资情况"/>
        <w:tag w:val="_SEC_7730c21f3733460bb4873a4a893936ab"/>
        <w:id w:val="1842730946"/>
        <w:lock w:val="sdtLocked"/>
        <w:placeholder>
          <w:docPart w:val="GBC22222222222222222222222222222"/>
        </w:placeholder>
      </w:sdtPr>
      <w:sdtEndPr>
        <w:rPr>
          <w:rFonts w:hint="default"/>
        </w:rPr>
      </w:sdtEndPr>
      <w:sdtContent>
        <w:p w:rsidR="00806678" w:rsidRDefault="00B16377">
          <w:pPr>
            <w:rPr>
              <w:szCs w:val="21"/>
            </w:rPr>
          </w:pPr>
          <w:r>
            <w:rPr>
              <w:rFonts w:hint="eastAsia"/>
              <w:szCs w:val="21"/>
            </w:rPr>
            <w:t>证券投资情况</w:t>
          </w:r>
        </w:p>
        <w:sdt>
          <w:sdtPr>
            <w:rPr>
              <w:szCs w:val="21"/>
            </w:rPr>
            <w:alias w:val="是否适用：证券投资情况[双击切换]"/>
            <w:tag w:val="_GBC_7d04680e71454924aa49897089c6ec88"/>
            <w:id w:val="-1834835011"/>
            <w:lock w:val="sdtLocked"/>
            <w:placeholder>
              <w:docPart w:val="GBC22222222222222222222222222222"/>
            </w:placeholder>
          </w:sdtPr>
          <w:sdtContent>
            <w:p w:rsidR="00806678" w:rsidRDefault="00F80B6C">
              <w:pPr>
                <w:rPr>
                  <w:szCs w:val="21"/>
                </w:rPr>
              </w:pPr>
              <w:r>
                <w:rPr>
                  <w:szCs w:val="21"/>
                </w:rPr>
                <w:fldChar w:fldCharType="begin"/>
              </w:r>
              <w:r w:rsidR="00124550">
                <w:rPr>
                  <w:szCs w:val="21"/>
                </w:rPr>
                <w:instrText xml:space="preserve"> MACROBUTTON  SnrToggleCheckbox √适用 </w:instrText>
              </w:r>
              <w:r>
                <w:rPr>
                  <w:szCs w:val="21"/>
                </w:rPr>
                <w:fldChar w:fldCharType="end"/>
              </w:r>
              <w:r>
                <w:rPr>
                  <w:szCs w:val="21"/>
                </w:rPr>
                <w:fldChar w:fldCharType="begin"/>
              </w:r>
              <w:r w:rsidR="00124550">
                <w:rPr>
                  <w:szCs w:val="21"/>
                </w:rPr>
                <w:instrText xml:space="preserve"> MACROBUTTON  SnrToggleCheckbox □不适用 </w:instrText>
              </w:r>
              <w:r>
                <w:rPr>
                  <w:szCs w:val="21"/>
                </w:rPr>
                <w:fldChar w:fldCharType="end"/>
              </w:r>
            </w:p>
          </w:sdtContent>
        </w:sdt>
        <w:p w:rsidR="00806678" w:rsidRDefault="00B16377">
          <w:pPr>
            <w:pStyle w:val="14"/>
            <w:wordWrap w:val="0"/>
            <w:ind w:left="360" w:firstLineChars="0" w:firstLine="0"/>
            <w:jc w:val="right"/>
          </w:pPr>
          <w:r>
            <w:rPr>
              <w:rFonts w:hint="eastAsia"/>
            </w:rPr>
            <w:t>单位：</w:t>
          </w:r>
          <w:sdt>
            <w:sdtPr>
              <w:rPr>
                <w:rFonts w:hint="eastAsia"/>
              </w:rPr>
              <w:alias w:val="单位：证券投资情况"/>
              <w:tag w:val="_GBC_9030571ec97a42438b5264832c2a5326"/>
              <w:id w:val="-997809576"/>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C62A38">
                <w:rPr>
                  <w:rFonts w:hint="eastAsia"/>
                </w:rPr>
                <w:t>万元</w:t>
              </w:r>
            </w:sdtContent>
          </w:sdt>
          <w:r>
            <w:rPr>
              <w:rFonts w:hint="eastAsia"/>
            </w:rPr>
            <w:t xml:space="preserve">  </w:t>
          </w:r>
          <w:r>
            <w:rPr>
              <w:rFonts w:hint="eastAsia"/>
            </w:rPr>
            <w:t>币种：</w:t>
          </w:r>
          <w:sdt>
            <w:sdtPr>
              <w:rPr>
                <w:rFonts w:hint="eastAsia"/>
              </w:rPr>
              <w:alias w:val="币种：证券投资情况"/>
              <w:tag w:val="_GBC_21a6e145782e410295a95d0cfa95a807"/>
              <w:id w:val="122071043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81"/>
            <w:gridCol w:w="1085"/>
            <w:gridCol w:w="1085"/>
            <w:gridCol w:w="1085"/>
            <w:gridCol w:w="1085"/>
            <w:gridCol w:w="1085"/>
            <w:gridCol w:w="1082"/>
            <w:gridCol w:w="1310"/>
            <w:gridCol w:w="862"/>
            <w:gridCol w:w="1085"/>
            <w:gridCol w:w="1085"/>
            <w:gridCol w:w="1085"/>
            <w:gridCol w:w="1074"/>
          </w:tblGrid>
          <w:tr w:rsidR="00806678" w:rsidTr="00E73BA8">
            <w:bookmarkStart w:id="44" w:name="_Hlk40533881" w:displacedByCustomXml="next"/>
            <w:sdt>
              <w:sdtPr>
                <w:rPr>
                  <w:rFonts w:hint="eastAsia"/>
                  <w:szCs w:val="21"/>
                </w:rPr>
                <w:tag w:val="_PLD_a2aca594a908499a93ab70468f6a23b7"/>
                <w:id w:val="-1041369803"/>
                <w:lock w:val="sdtLocked"/>
              </w:sdtPr>
              <w:sdtContent>
                <w:tc>
                  <w:tcPr>
                    <w:tcW w:w="384" w:type="pct"/>
                    <w:shd w:val="clear" w:color="auto" w:fill="auto"/>
                    <w:vAlign w:val="center"/>
                  </w:tcPr>
                  <w:p w:rsidR="00806678" w:rsidRDefault="00B16377">
                    <w:pPr>
                      <w:widowControl w:val="0"/>
                      <w:jc w:val="center"/>
                      <w:rPr>
                        <w:szCs w:val="21"/>
                      </w:rPr>
                    </w:pPr>
                    <w:r>
                      <w:rPr>
                        <w:rFonts w:hint="eastAsia"/>
                        <w:szCs w:val="21"/>
                      </w:rPr>
                      <w:t>证券品种</w:t>
                    </w:r>
                  </w:p>
                </w:tc>
              </w:sdtContent>
            </w:sdt>
            <w:sdt>
              <w:sdtPr>
                <w:rPr>
                  <w:rFonts w:hint="eastAsia"/>
                  <w:szCs w:val="21"/>
                </w:rPr>
                <w:tag w:val="_PLD_2a8a447db28f48a89b3e24843ac8c0b0"/>
                <w:id w:val="-1570881729"/>
                <w:lock w:val="sdtLocked"/>
              </w:sdtPr>
              <w:sdtContent>
                <w:tc>
                  <w:tcPr>
                    <w:tcW w:w="385" w:type="pct"/>
                    <w:shd w:val="clear" w:color="auto" w:fill="auto"/>
                    <w:vAlign w:val="center"/>
                  </w:tcPr>
                  <w:p w:rsidR="00806678" w:rsidRDefault="00B16377">
                    <w:pPr>
                      <w:widowControl w:val="0"/>
                      <w:jc w:val="center"/>
                      <w:rPr>
                        <w:szCs w:val="21"/>
                      </w:rPr>
                    </w:pPr>
                    <w:r>
                      <w:rPr>
                        <w:rFonts w:hint="eastAsia"/>
                        <w:szCs w:val="21"/>
                      </w:rPr>
                      <w:t>证券代码</w:t>
                    </w:r>
                  </w:p>
                </w:tc>
              </w:sdtContent>
            </w:sdt>
            <w:sdt>
              <w:sdtPr>
                <w:rPr>
                  <w:rFonts w:hint="eastAsia"/>
                  <w:szCs w:val="21"/>
                </w:rPr>
                <w:tag w:val="_PLD_b4b2dd48041247c08674576b86c9470b"/>
                <w:id w:val="-238786604"/>
                <w:lock w:val="sdtLocked"/>
              </w:sdtPr>
              <w:sdtContent>
                <w:tc>
                  <w:tcPr>
                    <w:tcW w:w="385" w:type="pct"/>
                    <w:shd w:val="clear" w:color="auto" w:fill="auto"/>
                    <w:vAlign w:val="center"/>
                  </w:tcPr>
                  <w:p w:rsidR="00806678" w:rsidRDefault="00B16377">
                    <w:pPr>
                      <w:widowControl w:val="0"/>
                      <w:tabs>
                        <w:tab w:val="left" w:pos="60"/>
                      </w:tabs>
                      <w:jc w:val="center"/>
                      <w:rPr>
                        <w:szCs w:val="21"/>
                      </w:rPr>
                    </w:pPr>
                    <w:r>
                      <w:rPr>
                        <w:rFonts w:hint="eastAsia"/>
                        <w:szCs w:val="21"/>
                      </w:rPr>
                      <w:t>证券简称</w:t>
                    </w:r>
                  </w:p>
                </w:tc>
              </w:sdtContent>
            </w:sdt>
            <w:sdt>
              <w:sdtPr>
                <w:rPr>
                  <w:rFonts w:hint="eastAsia"/>
                  <w:szCs w:val="21"/>
                </w:rPr>
                <w:tag w:val="_PLD_3c80e02ab5694d799cfd3d5d2ac9c797"/>
                <w:id w:val="-485397265"/>
                <w:lock w:val="sdtLocked"/>
              </w:sdtPr>
              <w:sdtContent>
                <w:tc>
                  <w:tcPr>
                    <w:tcW w:w="385" w:type="pct"/>
                    <w:shd w:val="clear" w:color="auto" w:fill="auto"/>
                    <w:vAlign w:val="center"/>
                  </w:tcPr>
                  <w:p w:rsidR="00806678" w:rsidRDefault="00B16377">
                    <w:pPr>
                      <w:widowControl w:val="0"/>
                      <w:jc w:val="center"/>
                      <w:rPr>
                        <w:szCs w:val="21"/>
                      </w:rPr>
                    </w:pPr>
                    <w:r>
                      <w:rPr>
                        <w:rFonts w:hint="eastAsia"/>
                        <w:szCs w:val="21"/>
                      </w:rPr>
                      <w:t>最初投资成本</w:t>
                    </w:r>
                  </w:p>
                </w:tc>
              </w:sdtContent>
            </w:sdt>
            <w:sdt>
              <w:sdtPr>
                <w:rPr>
                  <w:rFonts w:hint="eastAsia"/>
                  <w:szCs w:val="21"/>
                </w:rPr>
                <w:tag w:val="_PLD_873ecdbb8a3343d6b6fcaa48e4cf64dc"/>
                <w:id w:val="1767115507"/>
                <w:lock w:val="sdtLocked"/>
              </w:sdtPr>
              <w:sdtContent>
                <w:tc>
                  <w:tcPr>
                    <w:tcW w:w="385" w:type="pct"/>
                    <w:shd w:val="clear" w:color="auto" w:fill="auto"/>
                    <w:vAlign w:val="center"/>
                  </w:tcPr>
                  <w:p w:rsidR="00806678" w:rsidRDefault="00B16377">
                    <w:pPr>
                      <w:widowControl w:val="0"/>
                      <w:jc w:val="center"/>
                      <w:rPr>
                        <w:szCs w:val="21"/>
                      </w:rPr>
                    </w:pPr>
                    <w:r>
                      <w:rPr>
                        <w:rFonts w:hint="eastAsia"/>
                        <w:szCs w:val="21"/>
                      </w:rPr>
                      <w:t>资金来源</w:t>
                    </w:r>
                  </w:p>
                </w:tc>
              </w:sdtContent>
            </w:sdt>
            <w:sdt>
              <w:sdtPr>
                <w:rPr>
                  <w:rFonts w:hint="eastAsia"/>
                  <w:szCs w:val="21"/>
                </w:rPr>
                <w:tag w:val="_PLD_b0de4dcfc59f4ead974d9d61a70ccc80"/>
                <w:id w:val="143701470"/>
                <w:lock w:val="sdtLocked"/>
              </w:sdtPr>
              <w:sdtContent>
                <w:tc>
                  <w:tcPr>
                    <w:tcW w:w="385" w:type="pct"/>
                    <w:shd w:val="clear" w:color="auto" w:fill="auto"/>
                    <w:vAlign w:val="center"/>
                  </w:tcPr>
                  <w:p w:rsidR="00806678" w:rsidRDefault="00B16377">
                    <w:pPr>
                      <w:widowControl w:val="0"/>
                      <w:jc w:val="center"/>
                      <w:rPr>
                        <w:szCs w:val="21"/>
                      </w:rPr>
                    </w:pPr>
                    <w:r>
                      <w:rPr>
                        <w:rFonts w:hint="eastAsia"/>
                        <w:szCs w:val="21"/>
                      </w:rPr>
                      <w:t>期初账面价值</w:t>
                    </w:r>
                  </w:p>
                </w:tc>
              </w:sdtContent>
            </w:sdt>
            <w:sdt>
              <w:sdtPr>
                <w:rPr>
                  <w:rFonts w:hint="eastAsia"/>
                  <w:szCs w:val="21"/>
                </w:rPr>
                <w:tag w:val="_PLD_ca5b1b460dec4af98a137b84d77794ce"/>
                <w:id w:val="893620684"/>
                <w:lock w:val="sdtLocked"/>
              </w:sdtPr>
              <w:sdtContent>
                <w:tc>
                  <w:tcPr>
                    <w:tcW w:w="384" w:type="pct"/>
                    <w:shd w:val="clear" w:color="auto" w:fill="auto"/>
                    <w:vAlign w:val="center"/>
                  </w:tcPr>
                  <w:p w:rsidR="00806678" w:rsidRDefault="00B16377">
                    <w:pPr>
                      <w:widowControl w:val="0"/>
                      <w:jc w:val="center"/>
                      <w:rPr>
                        <w:szCs w:val="21"/>
                      </w:rPr>
                    </w:pPr>
                    <w:r>
                      <w:rPr>
                        <w:rFonts w:hint="eastAsia"/>
                        <w:szCs w:val="21"/>
                      </w:rPr>
                      <w:t>本期公允价值变动损益</w:t>
                    </w:r>
                  </w:p>
                </w:tc>
              </w:sdtContent>
            </w:sdt>
            <w:sdt>
              <w:sdtPr>
                <w:rPr>
                  <w:rFonts w:hint="eastAsia"/>
                  <w:szCs w:val="21"/>
                </w:rPr>
                <w:tag w:val="_PLD_cf51b58b5b4641d797351424d3c1ceeb"/>
                <w:id w:val="2105454822"/>
                <w:lock w:val="sdtLocked"/>
              </w:sdtPr>
              <w:sdtContent>
                <w:tc>
                  <w:tcPr>
                    <w:tcW w:w="465" w:type="pct"/>
                    <w:shd w:val="clear" w:color="auto" w:fill="auto"/>
                    <w:vAlign w:val="center"/>
                  </w:tcPr>
                  <w:p w:rsidR="00806678" w:rsidRDefault="00B16377">
                    <w:pPr>
                      <w:widowControl w:val="0"/>
                      <w:jc w:val="center"/>
                      <w:rPr>
                        <w:szCs w:val="21"/>
                      </w:rPr>
                    </w:pPr>
                    <w:r>
                      <w:rPr>
                        <w:rFonts w:hint="eastAsia"/>
                        <w:szCs w:val="21"/>
                      </w:rPr>
                      <w:t>计入权益的累计公允价值变动</w:t>
                    </w:r>
                  </w:p>
                </w:tc>
              </w:sdtContent>
            </w:sdt>
            <w:sdt>
              <w:sdtPr>
                <w:rPr>
                  <w:rFonts w:hint="eastAsia"/>
                  <w:szCs w:val="21"/>
                </w:rPr>
                <w:tag w:val="_PLD_fa8acb6152da45658a6e5987a179057d"/>
                <w:id w:val="276603969"/>
                <w:lock w:val="sdtLocked"/>
              </w:sdtPr>
              <w:sdtContent>
                <w:tc>
                  <w:tcPr>
                    <w:tcW w:w="306" w:type="pct"/>
                    <w:shd w:val="clear" w:color="auto" w:fill="auto"/>
                    <w:vAlign w:val="center"/>
                  </w:tcPr>
                  <w:p w:rsidR="00806678" w:rsidRDefault="00B16377">
                    <w:pPr>
                      <w:widowControl w:val="0"/>
                      <w:jc w:val="center"/>
                      <w:rPr>
                        <w:szCs w:val="21"/>
                      </w:rPr>
                    </w:pPr>
                    <w:r>
                      <w:rPr>
                        <w:rFonts w:hint="eastAsia"/>
                        <w:szCs w:val="21"/>
                      </w:rPr>
                      <w:t>本期购买金额</w:t>
                    </w:r>
                  </w:p>
                </w:tc>
              </w:sdtContent>
            </w:sdt>
            <w:sdt>
              <w:sdtPr>
                <w:rPr>
                  <w:rFonts w:hint="eastAsia"/>
                  <w:szCs w:val="21"/>
                </w:rPr>
                <w:tag w:val="_PLD_6e2790d24c5846da999681b434e6731d"/>
                <w:id w:val="1310674920"/>
                <w:lock w:val="sdtLocked"/>
              </w:sdtPr>
              <w:sdtContent>
                <w:tc>
                  <w:tcPr>
                    <w:tcW w:w="385" w:type="pct"/>
                    <w:shd w:val="clear" w:color="auto" w:fill="auto"/>
                    <w:vAlign w:val="center"/>
                  </w:tcPr>
                  <w:p w:rsidR="00806678" w:rsidRDefault="00B16377">
                    <w:pPr>
                      <w:widowControl w:val="0"/>
                      <w:jc w:val="center"/>
                      <w:rPr>
                        <w:szCs w:val="21"/>
                      </w:rPr>
                    </w:pPr>
                    <w:r>
                      <w:rPr>
                        <w:rFonts w:hint="eastAsia"/>
                        <w:szCs w:val="21"/>
                      </w:rPr>
                      <w:t>本期出售金额</w:t>
                    </w:r>
                  </w:p>
                </w:tc>
              </w:sdtContent>
            </w:sdt>
            <w:sdt>
              <w:sdtPr>
                <w:rPr>
                  <w:rFonts w:hint="eastAsia"/>
                  <w:szCs w:val="21"/>
                </w:rPr>
                <w:tag w:val="_PLD_b053cb2d8ab44a05be4e28df1b11bd04"/>
                <w:id w:val="704380991"/>
                <w:lock w:val="sdtLocked"/>
              </w:sdtPr>
              <w:sdtContent>
                <w:tc>
                  <w:tcPr>
                    <w:tcW w:w="385" w:type="pct"/>
                    <w:shd w:val="clear" w:color="auto" w:fill="auto"/>
                    <w:vAlign w:val="center"/>
                  </w:tcPr>
                  <w:p w:rsidR="00806678" w:rsidRDefault="00B16377">
                    <w:pPr>
                      <w:widowControl w:val="0"/>
                      <w:jc w:val="center"/>
                      <w:rPr>
                        <w:szCs w:val="21"/>
                      </w:rPr>
                    </w:pPr>
                    <w:r>
                      <w:rPr>
                        <w:rFonts w:hint="eastAsia"/>
                        <w:szCs w:val="21"/>
                      </w:rPr>
                      <w:t>本期投资损益</w:t>
                    </w:r>
                  </w:p>
                </w:tc>
              </w:sdtContent>
            </w:sdt>
            <w:sdt>
              <w:sdtPr>
                <w:rPr>
                  <w:rFonts w:hint="eastAsia"/>
                  <w:szCs w:val="21"/>
                </w:rPr>
                <w:tag w:val="_PLD_dc3183c5ec5e48d491b77e65bd093780"/>
                <w:id w:val="-975291476"/>
                <w:lock w:val="sdtLocked"/>
              </w:sdtPr>
              <w:sdtContent>
                <w:tc>
                  <w:tcPr>
                    <w:tcW w:w="385" w:type="pct"/>
                    <w:shd w:val="clear" w:color="auto" w:fill="auto"/>
                    <w:vAlign w:val="center"/>
                  </w:tcPr>
                  <w:p w:rsidR="00806678" w:rsidRDefault="00B16377">
                    <w:pPr>
                      <w:widowControl w:val="0"/>
                      <w:jc w:val="center"/>
                      <w:rPr>
                        <w:szCs w:val="21"/>
                      </w:rPr>
                    </w:pPr>
                    <w:r>
                      <w:rPr>
                        <w:rFonts w:hint="eastAsia"/>
                        <w:szCs w:val="21"/>
                      </w:rPr>
                      <w:t>期末账面价值</w:t>
                    </w:r>
                  </w:p>
                </w:tc>
              </w:sdtContent>
            </w:sdt>
            <w:sdt>
              <w:sdtPr>
                <w:rPr>
                  <w:rFonts w:hint="eastAsia"/>
                  <w:szCs w:val="21"/>
                </w:rPr>
                <w:tag w:val="_PLD_953da3c8a977443ba41ba5b33c46abac"/>
                <w:id w:val="668297202"/>
                <w:lock w:val="sdtLocked"/>
              </w:sdtPr>
              <w:sdtContent>
                <w:tc>
                  <w:tcPr>
                    <w:tcW w:w="381" w:type="pct"/>
                    <w:shd w:val="clear" w:color="auto" w:fill="auto"/>
                    <w:vAlign w:val="center"/>
                  </w:tcPr>
                  <w:p w:rsidR="00806678" w:rsidRDefault="00B16377">
                    <w:pPr>
                      <w:widowControl w:val="0"/>
                      <w:jc w:val="center"/>
                      <w:rPr>
                        <w:szCs w:val="21"/>
                      </w:rPr>
                    </w:pPr>
                    <w:r>
                      <w:rPr>
                        <w:rFonts w:hint="eastAsia"/>
                        <w:szCs w:val="21"/>
                      </w:rPr>
                      <w:t>会计核算科目</w:t>
                    </w:r>
                  </w:p>
                </w:tc>
              </w:sdtContent>
            </w:sdt>
          </w:tr>
          <w:sdt>
            <w:sdtPr>
              <w:rPr>
                <w:szCs w:val="21"/>
              </w:rPr>
              <w:alias w:val="上市公司证券投资情况明细"/>
              <w:tag w:val="_TUP_6ccf6a31400f4236bf190406c6669c13"/>
              <w:id w:val="1126046018"/>
              <w:lock w:val="sdtLocked"/>
            </w:sdtPr>
            <w:sdtEndPr>
              <w:rPr>
                <w:rFonts w:hint="eastAsia"/>
              </w:rPr>
            </w:sdtEndPr>
            <w:sdtContent>
              <w:tr w:rsidR="00E73BA8" w:rsidTr="00E73BA8">
                <w:sdt>
                  <w:sdtPr>
                    <w:rPr>
                      <w:szCs w:val="21"/>
                    </w:rPr>
                    <w:alias w:val="上市公司证券投资情况明细－证券品种"/>
                    <w:tag w:val="_GBC_5869f90e2f4241cba6edaadfa74944d0"/>
                    <w:id w:val="-1540429597"/>
                    <w:lock w:val="sdtLocked"/>
                    <w:comboBox>
                      <w:listItem w:displayText="股票" w:value="股票"/>
                      <w:listItem w:displayText="债券" w:value="债券"/>
                      <w:listItem w:displayText="可转债" w:value="可转债"/>
                      <w:listItem w:displayText="基金" w:value="基金"/>
                      <w:listItem w:displayText="信托产品" w:value="信托产品"/>
                      <w:listItem w:displayText="其他" w:value="其他"/>
                    </w:comboBox>
                  </w:sdtPr>
                  <w:sdtContent>
                    <w:tc>
                      <w:tcPr>
                        <w:tcW w:w="384" w:type="pct"/>
                        <w:shd w:val="clear" w:color="auto" w:fill="auto"/>
                        <w:vAlign w:val="center"/>
                      </w:tcPr>
                      <w:p w:rsidR="00E73BA8" w:rsidRDefault="00E73BA8" w:rsidP="00E73BA8">
                        <w:pPr>
                          <w:widowControl w:val="0"/>
                          <w:jc w:val="center"/>
                          <w:rPr>
                            <w:szCs w:val="21"/>
                          </w:rPr>
                        </w:pPr>
                        <w:r>
                          <w:rPr>
                            <w:szCs w:val="21"/>
                          </w:rPr>
                          <w:t>股票</w:t>
                        </w:r>
                      </w:p>
                    </w:tc>
                  </w:sdtContent>
                </w:sdt>
                <w:tc>
                  <w:tcPr>
                    <w:tcW w:w="385" w:type="pct"/>
                    <w:shd w:val="clear" w:color="auto" w:fill="auto"/>
                    <w:vAlign w:val="center"/>
                  </w:tcPr>
                  <w:p w:rsidR="00E73BA8" w:rsidRDefault="00E73BA8" w:rsidP="00E73BA8">
                    <w:pPr>
                      <w:widowControl w:val="0"/>
                      <w:jc w:val="center"/>
                      <w:rPr>
                        <w:szCs w:val="21"/>
                      </w:rPr>
                    </w:pPr>
                    <w:r>
                      <w:rPr>
                        <w:rFonts w:hint="eastAsia"/>
                        <w:szCs w:val="21"/>
                      </w:rPr>
                      <w:t>601326</w:t>
                    </w:r>
                  </w:p>
                </w:tc>
                <w:tc>
                  <w:tcPr>
                    <w:tcW w:w="385" w:type="pct"/>
                    <w:shd w:val="clear" w:color="auto" w:fill="auto"/>
                    <w:vAlign w:val="center"/>
                  </w:tcPr>
                  <w:p w:rsidR="00E73BA8" w:rsidRDefault="00E73BA8" w:rsidP="00E73BA8">
                    <w:pPr>
                      <w:widowControl w:val="0"/>
                      <w:jc w:val="right"/>
                      <w:rPr>
                        <w:szCs w:val="21"/>
                      </w:rPr>
                    </w:pPr>
                    <w:r>
                      <w:rPr>
                        <w:rFonts w:hint="eastAsia"/>
                        <w:szCs w:val="21"/>
                      </w:rPr>
                      <w:t>秦港股份</w:t>
                    </w:r>
                  </w:p>
                </w:tc>
                <w:tc>
                  <w:tcPr>
                    <w:tcW w:w="385" w:type="pct"/>
                    <w:shd w:val="clear" w:color="auto" w:fill="auto"/>
                    <w:vAlign w:val="center"/>
                  </w:tcPr>
                  <w:p w:rsidR="00E73BA8" w:rsidRDefault="00E73BA8" w:rsidP="00E73BA8">
                    <w:pPr>
                      <w:widowControl w:val="0"/>
                      <w:jc w:val="right"/>
                      <w:rPr>
                        <w:szCs w:val="21"/>
                      </w:rPr>
                    </w:pPr>
                    <w:r w:rsidRPr="00C62A38">
                      <w:rPr>
                        <w:szCs w:val="21"/>
                      </w:rPr>
                      <w:t>6,516</w:t>
                    </w:r>
                  </w:p>
                </w:tc>
                <w:tc>
                  <w:tcPr>
                    <w:tcW w:w="385" w:type="pct"/>
                    <w:shd w:val="clear" w:color="auto" w:fill="auto"/>
                    <w:vAlign w:val="center"/>
                  </w:tcPr>
                  <w:p w:rsidR="00E73BA8" w:rsidRDefault="00E73BA8" w:rsidP="00E73BA8">
                    <w:pPr>
                      <w:widowControl w:val="0"/>
                      <w:jc w:val="right"/>
                      <w:rPr>
                        <w:szCs w:val="21"/>
                      </w:rPr>
                    </w:pPr>
                    <w:r w:rsidRPr="00C62A38">
                      <w:rPr>
                        <w:rFonts w:hint="eastAsia"/>
                        <w:szCs w:val="21"/>
                      </w:rPr>
                      <w:t>自有资金</w:t>
                    </w:r>
                  </w:p>
                </w:tc>
                <w:tc>
                  <w:tcPr>
                    <w:tcW w:w="385" w:type="pct"/>
                    <w:shd w:val="clear" w:color="auto" w:fill="auto"/>
                    <w:vAlign w:val="center"/>
                  </w:tcPr>
                  <w:p w:rsidR="00E73BA8" w:rsidRDefault="00E73BA8" w:rsidP="00E73BA8">
                    <w:pPr>
                      <w:widowControl w:val="0"/>
                      <w:jc w:val="right"/>
                      <w:rPr>
                        <w:szCs w:val="21"/>
                      </w:rPr>
                    </w:pPr>
                    <w:r>
                      <w:rPr>
                        <w:szCs w:val="21"/>
                      </w:rPr>
                      <w:t>11,885</w:t>
                    </w:r>
                  </w:p>
                </w:tc>
                <w:tc>
                  <w:tcPr>
                    <w:tcW w:w="384" w:type="pct"/>
                    <w:shd w:val="clear" w:color="auto" w:fill="auto"/>
                    <w:vAlign w:val="center"/>
                  </w:tcPr>
                  <w:p w:rsidR="00E73BA8" w:rsidRDefault="00E73BA8" w:rsidP="00E73BA8">
                    <w:pPr>
                      <w:widowControl w:val="0"/>
                      <w:jc w:val="right"/>
                      <w:rPr>
                        <w:szCs w:val="21"/>
                      </w:rPr>
                    </w:pPr>
                    <w:r>
                      <w:rPr>
                        <w:szCs w:val="21"/>
                      </w:rPr>
                      <w:t>0</w:t>
                    </w:r>
                  </w:p>
                </w:tc>
                <w:tc>
                  <w:tcPr>
                    <w:tcW w:w="465" w:type="pct"/>
                    <w:shd w:val="clear" w:color="auto" w:fill="auto"/>
                    <w:vAlign w:val="center"/>
                  </w:tcPr>
                  <w:p w:rsidR="00E73BA8" w:rsidRDefault="00E73BA8" w:rsidP="00E73BA8">
                    <w:pPr>
                      <w:widowControl w:val="0"/>
                      <w:jc w:val="right"/>
                      <w:rPr>
                        <w:szCs w:val="21"/>
                      </w:rPr>
                    </w:pPr>
                    <w:r>
                      <w:t>-129</w:t>
                    </w:r>
                  </w:p>
                </w:tc>
                <w:tc>
                  <w:tcPr>
                    <w:tcW w:w="306" w:type="pct"/>
                    <w:shd w:val="clear" w:color="auto" w:fill="auto"/>
                    <w:vAlign w:val="center"/>
                  </w:tcPr>
                  <w:p w:rsidR="00E73BA8" w:rsidRDefault="00E73BA8" w:rsidP="00E73BA8">
                    <w:pPr>
                      <w:widowControl w:val="0"/>
                      <w:jc w:val="right"/>
                      <w:rPr>
                        <w:szCs w:val="21"/>
                      </w:rPr>
                    </w:pPr>
                    <w:r>
                      <w:rPr>
                        <w:rFonts w:hint="eastAsia"/>
                        <w:szCs w:val="21"/>
                      </w:rPr>
                      <w:t>0</w:t>
                    </w:r>
                  </w:p>
                </w:tc>
                <w:tc>
                  <w:tcPr>
                    <w:tcW w:w="385" w:type="pct"/>
                    <w:shd w:val="clear" w:color="auto" w:fill="auto"/>
                    <w:vAlign w:val="center"/>
                  </w:tcPr>
                  <w:p w:rsidR="00E73BA8" w:rsidRDefault="00E73BA8" w:rsidP="00E73BA8">
                    <w:pPr>
                      <w:widowControl w:val="0"/>
                      <w:jc w:val="right"/>
                      <w:rPr>
                        <w:szCs w:val="21"/>
                      </w:rPr>
                    </w:pPr>
                    <w:r>
                      <w:rPr>
                        <w:rFonts w:hint="eastAsia"/>
                        <w:szCs w:val="21"/>
                      </w:rPr>
                      <w:t>0</w:t>
                    </w:r>
                  </w:p>
                </w:tc>
                <w:tc>
                  <w:tcPr>
                    <w:tcW w:w="385" w:type="pct"/>
                    <w:shd w:val="clear" w:color="auto" w:fill="auto"/>
                    <w:vAlign w:val="center"/>
                  </w:tcPr>
                  <w:p w:rsidR="00E73BA8" w:rsidRDefault="00E73BA8" w:rsidP="00E73BA8">
                    <w:pPr>
                      <w:widowControl w:val="0"/>
                      <w:jc w:val="right"/>
                      <w:rPr>
                        <w:szCs w:val="21"/>
                      </w:rPr>
                    </w:pPr>
                    <w:r w:rsidRPr="00C62A38">
                      <w:rPr>
                        <w:szCs w:val="21"/>
                      </w:rPr>
                      <w:t>239</w:t>
                    </w:r>
                  </w:p>
                </w:tc>
                <w:tc>
                  <w:tcPr>
                    <w:tcW w:w="385" w:type="pct"/>
                    <w:shd w:val="clear" w:color="auto" w:fill="auto"/>
                    <w:vAlign w:val="center"/>
                  </w:tcPr>
                  <w:p w:rsidR="00E73BA8" w:rsidRDefault="00E73BA8" w:rsidP="00E73BA8">
                    <w:pPr>
                      <w:widowControl w:val="0"/>
                      <w:jc w:val="right"/>
                      <w:rPr>
                        <w:szCs w:val="21"/>
                      </w:rPr>
                    </w:pPr>
                    <w:r>
                      <w:rPr>
                        <w:szCs w:val="21"/>
                      </w:rPr>
                      <w:t>11,756</w:t>
                    </w:r>
                  </w:p>
                </w:tc>
                <w:sdt>
                  <w:sdtPr>
                    <w:rPr>
                      <w:szCs w:val="21"/>
                    </w:rPr>
                    <w:alias w:val="上市公司证券投资情况明细－会计核算科目"/>
                    <w:tag w:val="_GBC_76b2a58bd6904ac98cdb4e48af86b25a"/>
                    <w:id w:val="-599802172"/>
                    <w:lock w:val="sdtLocked"/>
                    <w:comboBox>
                      <w:listItem w:displayText="债权投资" w:value="债权投资"/>
                      <w:listItem w:displayText="交易性金融资产" w:value="交易性金融资产"/>
                      <w:listItem w:displayText="其他债权投资" w:value="其他债权投资"/>
                      <w:listItem w:displayText="其他权益工具投资" w:value="其他权益工具投资"/>
                      <w:listItem w:displayText="其他非流动金融资产" w:value="其他非流动金融资产"/>
                      <w:listItem w:displayText="其他" w:value="其他"/>
                    </w:comboBox>
                  </w:sdtPr>
                  <w:sdtContent>
                    <w:tc>
                      <w:tcPr>
                        <w:tcW w:w="381" w:type="pct"/>
                        <w:shd w:val="clear" w:color="auto" w:fill="auto"/>
                      </w:tcPr>
                      <w:p w:rsidR="00E73BA8" w:rsidRDefault="00E73BA8" w:rsidP="00E73BA8">
                        <w:pPr>
                          <w:widowControl w:val="0"/>
                          <w:rPr>
                            <w:szCs w:val="21"/>
                          </w:rPr>
                        </w:pPr>
                        <w:r>
                          <w:rPr>
                            <w:szCs w:val="21"/>
                          </w:rPr>
                          <w:t>其他权益工具投资</w:t>
                        </w:r>
                      </w:p>
                    </w:tc>
                  </w:sdtContent>
                </w:sdt>
              </w:tr>
            </w:sdtContent>
          </w:sdt>
          <w:tr w:rsidR="00E73BA8" w:rsidTr="00E73BA8">
            <w:tc>
              <w:tcPr>
                <w:tcW w:w="384" w:type="pct"/>
                <w:shd w:val="clear" w:color="auto" w:fill="auto"/>
              </w:tcPr>
              <w:sdt>
                <w:sdtPr>
                  <w:rPr>
                    <w:szCs w:val="21"/>
                  </w:rPr>
                  <w:tag w:val="_PLD_b3b6280d207c4a469e9b3808a2e5c9e5"/>
                  <w:id w:val="1394770744"/>
                  <w:lock w:val="sdtLocked"/>
                </w:sdtPr>
                <w:sdtContent>
                  <w:p w:rsidR="00E73BA8" w:rsidRDefault="00E73BA8" w:rsidP="00E73BA8">
                    <w:pPr>
                      <w:widowControl w:val="0"/>
                      <w:jc w:val="both"/>
                      <w:rPr>
                        <w:szCs w:val="21"/>
                      </w:rPr>
                    </w:pPr>
                    <w:r>
                      <w:rPr>
                        <w:szCs w:val="21"/>
                      </w:rPr>
                      <w:t>合计</w:t>
                    </w:r>
                  </w:p>
                </w:sdtContent>
              </w:sdt>
            </w:tc>
            <w:tc>
              <w:tcPr>
                <w:tcW w:w="385" w:type="pct"/>
                <w:shd w:val="clear" w:color="auto" w:fill="auto"/>
              </w:tcPr>
              <w:p w:rsidR="00E73BA8" w:rsidRDefault="00E73BA8" w:rsidP="00E73BA8">
                <w:pPr>
                  <w:widowControl w:val="0"/>
                  <w:jc w:val="center"/>
                  <w:rPr>
                    <w:szCs w:val="21"/>
                  </w:rPr>
                </w:pPr>
                <w:r>
                  <w:rPr>
                    <w:rFonts w:hint="eastAsia"/>
                    <w:szCs w:val="21"/>
                  </w:rPr>
                  <w:t>/</w:t>
                </w:r>
              </w:p>
            </w:tc>
            <w:tc>
              <w:tcPr>
                <w:tcW w:w="385" w:type="pct"/>
                <w:shd w:val="clear" w:color="auto" w:fill="auto"/>
              </w:tcPr>
              <w:p w:rsidR="00E73BA8" w:rsidRDefault="00E73BA8" w:rsidP="00E73BA8">
                <w:pPr>
                  <w:widowControl w:val="0"/>
                  <w:jc w:val="center"/>
                  <w:rPr>
                    <w:szCs w:val="21"/>
                  </w:rPr>
                </w:pPr>
                <w:r>
                  <w:rPr>
                    <w:rFonts w:hint="eastAsia"/>
                    <w:szCs w:val="21"/>
                  </w:rPr>
                  <w:t>/</w:t>
                </w:r>
              </w:p>
            </w:tc>
            <w:tc>
              <w:tcPr>
                <w:tcW w:w="385" w:type="pct"/>
                <w:shd w:val="clear" w:color="auto" w:fill="auto"/>
              </w:tcPr>
              <w:p w:rsidR="00E73BA8" w:rsidRDefault="00E73BA8" w:rsidP="00E73BA8">
                <w:pPr>
                  <w:widowControl w:val="0"/>
                  <w:jc w:val="right"/>
                  <w:rPr>
                    <w:szCs w:val="21"/>
                  </w:rPr>
                </w:pPr>
                <w:r w:rsidRPr="00AE32CD">
                  <w:rPr>
                    <w:szCs w:val="21"/>
                  </w:rPr>
                  <w:t>6,516</w:t>
                </w:r>
              </w:p>
            </w:tc>
            <w:tc>
              <w:tcPr>
                <w:tcW w:w="385" w:type="pct"/>
                <w:shd w:val="clear" w:color="auto" w:fill="auto"/>
              </w:tcPr>
              <w:p w:rsidR="00E73BA8" w:rsidRDefault="00E73BA8" w:rsidP="00E73BA8">
                <w:pPr>
                  <w:widowControl w:val="0"/>
                  <w:jc w:val="center"/>
                  <w:rPr>
                    <w:szCs w:val="21"/>
                  </w:rPr>
                </w:pPr>
                <w:r>
                  <w:rPr>
                    <w:rFonts w:hint="eastAsia"/>
                    <w:szCs w:val="21"/>
                  </w:rPr>
                  <w:t>/</w:t>
                </w:r>
              </w:p>
            </w:tc>
            <w:tc>
              <w:tcPr>
                <w:tcW w:w="385" w:type="pct"/>
                <w:shd w:val="clear" w:color="auto" w:fill="auto"/>
                <w:vAlign w:val="center"/>
              </w:tcPr>
              <w:p w:rsidR="00E73BA8" w:rsidRDefault="00E73BA8" w:rsidP="00E73BA8">
                <w:pPr>
                  <w:jc w:val="right"/>
                  <w:rPr>
                    <w:sz w:val="24"/>
                  </w:rPr>
                </w:pPr>
                <w:r>
                  <w:t>11,885</w:t>
                </w:r>
              </w:p>
            </w:tc>
            <w:tc>
              <w:tcPr>
                <w:tcW w:w="384" w:type="pct"/>
                <w:shd w:val="clear" w:color="auto" w:fill="auto"/>
                <w:vAlign w:val="center"/>
              </w:tcPr>
              <w:p w:rsidR="00E73BA8" w:rsidRDefault="00E73BA8" w:rsidP="00E73BA8">
                <w:pPr>
                  <w:jc w:val="right"/>
                  <w:rPr>
                    <w:sz w:val="24"/>
                  </w:rPr>
                </w:pPr>
                <w:r>
                  <w:t>0</w:t>
                </w:r>
              </w:p>
            </w:tc>
            <w:tc>
              <w:tcPr>
                <w:tcW w:w="465" w:type="pct"/>
                <w:shd w:val="clear" w:color="auto" w:fill="auto"/>
                <w:vAlign w:val="center"/>
              </w:tcPr>
              <w:p w:rsidR="00E73BA8" w:rsidRDefault="00E73BA8" w:rsidP="00E73BA8">
                <w:pPr>
                  <w:jc w:val="right"/>
                  <w:rPr>
                    <w:sz w:val="24"/>
                  </w:rPr>
                </w:pPr>
                <w:r>
                  <w:t>-129</w:t>
                </w:r>
              </w:p>
            </w:tc>
            <w:tc>
              <w:tcPr>
                <w:tcW w:w="306" w:type="pct"/>
                <w:shd w:val="clear" w:color="auto" w:fill="auto"/>
                <w:vAlign w:val="center"/>
              </w:tcPr>
              <w:p w:rsidR="00E73BA8" w:rsidRDefault="00E73BA8" w:rsidP="00E73BA8">
                <w:pPr>
                  <w:jc w:val="right"/>
                  <w:rPr>
                    <w:sz w:val="24"/>
                  </w:rPr>
                </w:pPr>
                <w:r>
                  <w:t>0</w:t>
                </w:r>
              </w:p>
            </w:tc>
            <w:tc>
              <w:tcPr>
                <w:tcW w:w="385" w:type="pct"/>
                <w:shd w:val="clear" w:color="auto" w:fill="auto"/>
                <w:vAlign w:val="center"/>
              </w:tcPr>
              <w:p w:rsidR="00E73BA8" w:rsidRDefault="00E73BA8" w:rsidP="00E73BA8">
                <w:pPr>
                  <w:jc w:val="right"/>
                  <w:rPr>
                    <w:sz w:val="24"/>
                  </w:rPr>
                </w:pPr>
                <w:r>
                  <w:t>0</w:t>
                </w:r>
              </w:p>
            </w:tc>
            <w:tc>
              <w:tcPr>
                <w:tcW w:w="385" w:type="pct"/>
                <w:shd w:val="clear" w:color="auto" w:fill="auto"/>
                <w:vAlign w:val="center"/>
              </w:tcPr>
              <w:p w:rsidR="00E73BA8" w:rsidRDefault="00E73BA8" w:rsidP="00E73BA8">
                <w:pPr>
                  <w:jc w:val="right"/>
                  <w:rPr>
                    <w:sz w:val="24"/>
                  </w:rPr>
                </w:pPr>
                <w:r>
                  <w:t>239</w:t>
                </w:r>
              </w:p>
            </w:tc>
            <w:tc>
              <w:tcPr>
                <w:tcW w:w="385" w:type="pct"/>
                <w:shd w:val="clear" w:color="auto" w:fill="auto"/>
                <w:vAlign w:val="center"/>
              </w:tcPr>
              <w:p w:rsidR="00E73BA8" w:rsidRDefault="00E73BA8" w:rsidP="00E73BA8">
                <w:pPr>
                  <w:jc w:val="right"/>
                  <w:rPr>
                    <w:sz w:val="24"/>
                  </w:rPr>
                </w:pPr>
                <w:r>
                  <w:t>11,756</w:t>
                </w:r>
              </w:p>
            </w:tc>
            <w:tc>
              <w:tcPr>
                <w:tcW w:w="381" w:type="pct"/>
                <w:shd w:val="clear" w:color="auto" w:fill="auto"/>
              </w:tcPr>
              <w:sdt>
                <w:sdtPr>
                  <w:rPr>
                    <w:rFonts w:hint="eastAsia"/>
                    <w:szCs w:val="21"/>
                  </w:rPr>
                  <w:tag w:val="_PLD_f36832f129354bbd963271970f7b0155"/>
                  <w:id w:val="-1974360560"/>
                  <w:lock w:val="sdtLocked"/>
                </w:sdtPr>
                <w:sdtContent>
                  <w:p w:rsidR="00E73BA8" w:rsidRDefault="00E73BA8" w:rsidP="00E73BA8">
                    <w:pPr>
                      <w:widowControl w:val="0"/>
                      <w:jc w:val="center"/>
                      <w:rPr>
                        <w:szCs w:val="21"/>
                      </w:rPr>
                    </w:pPr>
                    <w:r>
                      <w:rPr>
                        <w:rFonts w:hint="eastAsia"/>
                        <w:szCs w:val="21"/>
                      </w:rPr>
                      <w:t>/</w:t>
                    </w:r>
                  </w:p>
                </w:sdtContent>
              </w:sdt>
            </w:tc>
          </w:tr>
        </w:tbl>
        <w:p w:rsidR="00806678" w:rsidRDefault="00F80B6C">
          <w:pPr>
            <w:rPr>
              <w:szCs w:val="21"/>
            </w:rPr>
          </w:pPr>
        </w:p>
        <w:bookmarkEnd w:id="44" w:displacedByCustomXml="next"/>
      </w:sdtContent>
    </w:sdt>
    <w:bookmarkStart w:id="45" w:name="_Hlk40534809" w:displacedByCustomXml="next"/>
    <w:sdt>
      <w:sdtPr>
        <w:rPr>
          <w:rFonts w:hint="eastAsia"/>
          <w:szCs w:val="21"/>
        </w:rPr>
        <w:alias w:val="模块:私募基金投资情况"/>
        <w:tag w:val="_SEC_64dd9801d0e944c69cd7c1c8a6b07bf5"/>
        <w:id w:val="-698239222"/>
        <w:lock w:val="sdtLocked"/>
        <w:placeholder>
          <w:docPart w:val="GBC22222222222222222222222222222"/>
        </w:placeholder>
      </w:sdtPr>
      <w:sdtContent>
        <w:p w:rsidR="00806678" w:rsidRDefault="00B16377">
          <w:pPr>
            <w:rPr>
              <w:szCs w:val="21"/>
            </w:rPr>
          </w:pPr>
          <w:r>
            <w:rPr>
              <w:rFonts w:hint="eastAsia"/>
              <w:szCs w:val="21"/>
            </w:rPr>
            <w:t>私募基金投资情况</w:t>
          </w:r>
        </w:p>
        <w:sdt>
          <w:sdtPr>
            <w:rPr>
              <w:szCs w:val="21"/>
            </w:rPr>
            <w:alias w:val="是否适用：私募基金投资情况[双击切换]"/>
            <w:tag w:val="_GBC_6e916a873a4e4af3a90d6fc81d187ac8"/>
            <w:id w:val="1342512344"/>
            <w:lock w:val="sdtLocked"/>
            <w:placeholder>
              <w:docPart w:val="GBC22222222222222222222222222222"/>
            </w:placeholder>
          </w:sdtPr>
          <w:sdtContent>
            <w:p w:rsidR="00806678" w:rsidRDefault="00F80B6C">
              <w:pPr>
                <w:rPr>
                  <w:szCs w:val="21"/>
                </w:rPr>
              </w:pPr>
              <w:r>
                <w:rPr>
                  <w:szCs w:val="21"/>
                </w:rPr>
                <w:fldChar w:fldCharType="begin"/>
              </w:r>
              <w:r w:rsidR="00C62A38">
                <w:rPr>
                  <w:szCs w:val="21"/>
                </w:rPr>
                <w:instrText xml:space="preserve"> MACROBUTTON  SnrToggleCheckbox □适用 </w:instrText>
              </w:r>
              <w:r>
                <w:rPr>
                  <w:szCs w:val="21"/>
                </w:rPr>
                <w:fldChar w:fldCharType="end"/>
              </w:r>
              <w:r>
                <w:rPr>
                  <w:szCs w:val="21"/>
                </w:rPr>
                <w:fldChar w:fldCharType="begin"/>
              </w:r>
              <w:r w:rsidR="00C62A38">
                <w:rPr>
                  <w:szCs w:val="21"/>
                </w:rPr>
                <w:instrText xml:space="preserve"> MACROBUTTON  SnrToggleCheckbox √不适用 </w:instrText>
              </w:r>
              <w:r>
                <w:rPr>
                  <w:szCs w:val="21"/>
                </w:rPr>
                <w:fldChar w:fldCharType="end"/>
              </w:r>
            </w:p>
          </w:sdtContent>
        </w:sdt>
      </w:sdtContent>
    </w:sdt>
    <w:bookmarkEnd w:id="45" w:displacedByCustomXml="prev"/>
    <w:sdt>
      <w:sdtPr>
        <w:rPr>
          <w:rFonts w:hint="eastAsia"/>
          <w:szCs w:val="21"/>
        </w:rPr>
        <w:alias w:val="模块:衍生品投资情况"/>
        <w:tag w:val="_SEC_9ab8ff36fad9467587489c64665d4ba5"/>
        <w:id w:val="1812212194"/>
        <w:lock w:val="sdtLocked"/>
        <w:placeholder>
          <w:docPart w:val="GBC22222222222222222222222222222"/>
        </w:placeholder>
      </w:sdtPr>
      <w:sdtEndPr>
        <w:rPr>
          <w:rFonts w:hint="default"/>
        </w:rPr>
      </w:sdtEndPr>
      <w:sdtContent>
        <w:p w:rsidR="00806678" w:rsidRDefault="00B16377">
          <w:pPr>
            <w:rPr>
              <w:szCs w:val="21"/>
            </w:rPr>
          </w:pPr>
          <w:r>
            <w:rPr>
              <w:rFonts w:hint="eastAsia"/>
              <w:szCs w:val="21"/>
            </w:rPr>
            <w:t>衍生品投资情况</w:t>
          </w:r>
        </w:p>
        <w:sdt>
          <w:sdtPr>
            <w:rPr>
              <w:rFonts w:hint="eastAsia"/>
              <w:szCs w:val="21"/>
            </w:rPr>
            <w:alias w:val="是否适用：衍生品投资情况  [双击切换]"/>
            <w:tag w:val="_GBC_0155f13d04cb48bc8f6a2a16edfe26b3"/>
            <w:id w:val="-1516292302"/>
            <w:lock w:val="sdtLocked"/>
            <w:placeholder>
              <w:docPart w:val="GBC22222222222222222222222222222"/>
            </w:placeholder>
          </w:sdtPr>
          <w:sdtContent>
            <w:p w:rsidR="00806678" w:rsidRDefault="00F80B6C" w:rsidP="00C62A38">
              <w:pPr>
                <w:rPr>
                  <w:szCs w:val="21"/>
                </w:rPr>
              </w:pPr>
              <w:r>
                <w:rPr>
                  <w:szCs w:val="21"/>
                </w:rPr>
                <w:fldChar w:fldCharType="begin"/>
              </w:r>
              <w:r w:rsidR="00C62A38">
                <w:rPr>
                  <w:szCs w:val="21"/>
                </w:rPr>
                <w:instrText xml:space="preserve"> MACROBUTTON  SnrToggleCheckbox □适用 </w:instrText>
              </w:r>
              <w:r>
                <w:rPr>
                  <w:szCs w:val="21"/>
                </w:rPr>
                <w:fldChar w:fldCharType="end"/>
              </w:r>
              <w:r>
                <w:rPr>
                  <w:szCs w:val="21"/>
                </w:rPr>
                <w:fldChar w:fldCharType="begin"/>
              </w:r>
              <w:r w:rsidR="00C62A38">
                <w:rPr>
                  <w:szCs w:val="21"/>
                </w:rPr>
                <w:instrText xml:space="preserve"> MACROBUTTON  SnrToggleCheckbox √不适用 </w:instrText>
              </w:r>
              <w:r>
                <w:rPr>
                  <w:szCs w:val="21"/>
                </w:rPr>
                <w:fldChar w:fldCharType="end"/>
              </w:r>
            </w:p>
          </w:sdtContent>
        </w:sdt>
        <w:p w:rsidR="00806678" w:rsidRDefault="00806678">
          <w:pPr>
            <w:rPr>
              <w:szCs w:val="21"/>
            </w:rPr>
          </w:pPr>
        </w:p>
        <w:p w:rsidR="00806678" w:rsidRDefault="00F80B6C">
          <w:pPr>
            <w:rPr>
              <w:szCs w:val="21"/>
            </w:rPr>
            <w:sectPr w:rsidR="00806678" w:rsidSect="001E2B27">
              <w:pgSz w:w="16838" w:h="11906" w:orient="landscape"/>
              <w:pgMar w:top="1797" w:right="1525" w:bottom="1276" w:left="1440" w:header="855" w:footer="992" w:gutter="0"/>
              <w:cols w:space="425"/>
              <w:docGrid w:linePitch="312"/>
            </w:sectPr>
          </w:pPr>
        </w:p>
      </w:sdtContent>
    </w:sdt>
    <w:bookmarkStart w:id="46" w:name="_Hlk94111679" w:displacedByCustomXml="next"/>
    <w:sdt>
      <w:sdtPr>
        <w:rPr>
          <w:rFonts w:ascii="宋体" w:hAnsi="宋体" w:cs="宋体" w:hint="eastAsia"/>
          <w:b w:val="0"/>
          <w:bCs w:val="0"/>
          <w:kern w:val="0"/>
          <w:szCs w:val="21"/>
        </w:rPr>
        <w:alias w:val="模块:报告期内重大资产重组整合的具体进展情况"/>
        <w:tag w:val="_SEC_334c83ee3ed34abe9f07a2b14baa41a3"/>
        <w:id w:val="1326700392"/>
        <w:lock w:val="sdtLocked"/>
        <w:placeholder>
          <w:docPart w:val="GBC22222222222222222222222222222"/>
        </w:placeholder>
      </w:sdtPr>
      <w:sdtEndPr>
        <w:rPr>
          <w:rFonts w:hint="default"/>
          <w:szCs w:val="24"/>
        </w:rPr>
      </w:sdtEndPr>
      <w:sdtContent>
        <w:p w:rsidR="00806678" w:rsidRDefault="00B16377" w:rsidP="00FF17C7">
          <w:pPr>
            <w:pStyle w:val="5"/>
            <w:numPr>
              <w:ilvl w:val="0"/>
              <w:numId w:val="132"/>
            </w:numPr>
            <w:tabs>
              <w:tab w:val="num" w:pos="360"/>
            </w:tabs>
            <w:ind w:left="0" w:firstLine="0"/>
            <w:rPr>
              <w:rFonts w:ascii="宋体" w:hAnsi="宋体" w:cs="宋体"/>
              <w:kern w:val="0"/>
              <w:szCs w:val="21"/>
            </w:rPr>
          </w:pPr>
          <w:r>
            <w:rPr>
              <w:rFonts w:ascii="宋体" w:hAnsi="宋体" w:cs="宋体" w:hint="eastAsia"/>
              <w:kern w:val="0"/>
              <w:szCs w:val="21"/>
            </w:rPr>
            <w:t>报告期内重大资产重组整合的具体进展情况</w:t>
          </w:r>
        </w:p>
        <w:sdt>
          <w:sdtPr>
            <w:alias w:val="是否适用：报告期内重大资产重组整合的具体进展情况[双击切换]"/>
            <w:tag w:val="_GBC_c52695d1957b4fa89b0b7326da1f5a10"/>
            <w:id w:val="-412709283"/>
            <w:lock w:val="sdtLocked"/>
            <w:placeholder>
              <w:docPart w:val="GBC22222222222222222222222222222"/>
            </w:placeholder>
          </w:sdtPr>
          <w:sdtContent>
            <w:p w:rsidR="00806678" w:rsidRDefault="00F80B6C">
              <w:r>
                <w:fldChar w:fldCharType="begin"/>
              </w:r>
              <w:r w:rsidR="009752D5">
                <w:instrText xml:space="preserve"> MACROBUTTON  SnrToggleCheckbox □适用 </w:instrText>
              </w:r>
              <w:r>
                <w:fldChar w:fldCharType="end"/>
              </w:r>
              <w:r>
                <w:fldChar w:fldCharType="begin"/>
              </w:r>
              <w:r w:rsidR="009752D5">
                <w:instrText xml:space="preserve"> MACROBUTTON  SnrToggleCheckbox √不适用 </w:instrText>
              </w:r>
              <w:r>
                <w:fldChar w:fldCharType="end"/>
              </w:r>
            </w:p>
          </w:sdtContent>
        </w:sdt>
      </w:sdtContent>
    </w:sdt>
    <w:bookmarkEnd w:id="46" w:displacedByCustomXml="next"/>
    <w:sdt>
      <w:sdtPr>
        <w:rPr>
          <w:rFonts w:ascii="宋体" w:hAnsi="宋体" w:cs="宋体" w:hint="eastAsia"/>
          <w:b w:val="0"/>
          <w:bCs w:val="0"/>
          <w:kern w:val="0"/>
          <w:szCs w:val="21"/>
        </w:rPr>
        <w:alias w:val="模块:重大资产和股权出售"/>
        <w:tag w:val="_SEC_2dc2a25f5b0947db8d19ad5178673ac9"/>
        <w:id w:val="1198122"/>
        <w:lock w:val="sdtLocked"/>
        <w:placeholder>
          <w:docPart w:val="GBC22222222222222222222222222222"/>
        </w:placeholder>
      </w:sdtPr>
      <w:sdtContent>
        <w:p w:rsidR="00806678" w:rsidRDefault="00B16377">
          <w:pPr>
            <w:pStyle w:val="3"/>
            <w:numPr>
              <w:ilvl w:val="0"/>
              <w:numId w:val="8"/>
            </w:numPr>
            <w:rPr>
              <w:szCs w:val="21"/>
            </w:rPr>
          </w:pPr>
          <w:r>
            <w:rPr>
              <w:rFonts w:hint="eastAsia"/>
              <w:szCs w:val="21"/>
            </w:rPr>
            <w:t>重大资产和股权出售</w:t>
          </w:r>
        </w:p>
        <w:sdt>
          <w:sdtPr>
            <w:rPr>
              <w:rFonts w:hint="eastAsia"/>
              <w:szCs w:val="21"/>
            </w:rPr>
            <w:alias w:val="是否适用：重大资产和股权出售[双击切换]"/>
            <w:tag w:val="_GBC_949dc5a581604be69ba935fceadc4b1d"/>
            <w:id w:val="1393313159"/>
            <w:lock w:val="sdtLocked"/>
            <w:placeholder>
              <w:docPart w:val="GBC22222222222222222222222222222"/>
            </w:placeholder>
          </w:sdtPr>
          <w:sdtContent>
            <w:p w:rsidR="00806678" w:rsidRDefault="00F80B6C">
              <w:pPr>
                <w:rPr>
                  <w:szCs w:val="21"/>
                </w:rPr>
              </w:pPr>
              <w:r>
                <w:rPr>
                  <w:szCs w:val="21"/>
                </w:rPr>
                <w:fldChar w:fldCharType="begin"/>
              </w:r>
              <w:r w:rsidR="009752D5">
                <w:rPr>
                  <w:szCs w:val="21"/>
                </w:rPr>
                <w:instrText xml:space="preserve"> MACROBUTTON  SnrToggleCheckbox □适用  </w:instrText>
              </w:r>
              <w:r>
                <w:rPr>
                  <w:szCs w:val="21"/>
                </w:rPr>
                <w:fldChar w:fldCharType="end"/>
              </w:r>
              <w:r>
                <w:rPr>
                  <w:szCs w:val="21"/>
                </w:rPr>
                <w:fldChar w:fldCharType="begin"/>
              </w:r>
              <w:r w:rsidR="009752D5">
                <w:rPr>
                  <w:szCs w:val="21"/>
                </w:rPr>
                <w:instrText xml:space="preserve"> MACROBUTTON  SnrToggleCheckbox √不适用 </w:instrText>
              </w:r>
              <w:r>
                <w:rPr>
                  <w:szCs w:val="21"/>
                </w:rPr>
                <w:fldChar w:fldCharType="end"/>
              </w:r>
            </w:p>
          </w:sdtContent>
        </w:sdt>
      </w:sdtContent>
    </w:sdt>
    <w:sdt>
      <w:sdtPr>
        <w:rPr>
          <w:rFonts w:ascii="宋体" w:hAnsi="宋体" w:cs="宋体"/>
          <w:b w:val="0"/>
          <w:bCs w:val="0"/>
          <w:kern w:val="0"/>
          <w:sz w:val="24"/>
          <w:szCs w:val="21"/>
        </w:rPr>
        <w:alias w:val="模块:主要子公司、参股公司分析"/>
        <w:tag w:val="_SEC_f2f24fd9b9b742fda50064b5b8b90edf"/>
        <w:id w:val="1755451"/>
        <w:lock w:val="sdtLocked"/>
        <w:placeholder>
          <w:docPart w:val="GBC22222222222222222222222222222"/>
        </w:placeholder>
      </w:sdtPr>
      <w:sdtEndPr>
        <w:rPr>
          <w:rFonts w:hint="eastAsia"/>
          <w:sz w:val="21"/>
        </w:rPr>
      </w:sdtEndPr>
      <w:sdtContent>
        <w:p w:rsidR="00806678" w:rsidRDefault="00B16377">
          <w:pPr>
            <w:pStyle w:val="3"/>
            <w:numPr>
              <w:ilvl w:val="0"/>
              <w:numId w:val="8"/>
            </w:numPr>
          </w:pPr>
          <w:r>
            <w:rPr>
              <w:rFonts w:hint="eastAsia"/>
              <w:szCs w:val="21"/>
            </w:rPr>
            <w:t>主要控股参股公司分析</w:t>
          </w:r>
        </w:p>
        <w:sdt>
          <w:sdtPr>
            <w:rPr>
              <w:rFonts w:hint="eastAsia"/>
              <w:szCs w:val="21"/>
            </w:rPr>
            <w:alias w:val="是否适用：主要控股参股公司分析[双击切换]"/>
            <w:tag w:val="_GBC_aec86f2481734c53a2a2b022c83d4449"/>
            <w:id w:val="1368340696"/>
            <w:lock w:val="sdtLocked"/>
            <w:placeholder>
              <w:docPart w:val="GBC22222222222222222222222222222"/>
            </w:placeholder>
          </w:sdtPr>
          <w:sdtContent>
            <w:p w:rsidR="00806678" w:rsidRDefault="00F80B6C">
              <w:pPr>
                <w:rPr>
                  <w:szCs w:val="21"/>
                </w:rPr>
              </w:pPr>
              <w:r>
                <w:rPr>
                  <w:szCs w:val="21"/>
                </w:rPr>
                <w:fldChar w:fldCharType="begin"/>
              </w:r>
              <w:r w:rsidR="009752D5">
                <w:rPr>
                  <w:szCs w:val="21"/>
                </w:rPr>
                <w:instrText xml:space="preserve"> MACROBUTTON  SnrToggleCheckbox √适用  </w:instrText>
              </w:r>
              <w:r>
                <w:rPr>
                  <w:szCs w:val="21"/>
                </w:rPr>
                <w:fldChar w:fldCharType="end"/>
              </w:r>
              <w:r>
                <w:rPr>
                  <w:szCs w:val="21"/>
                </w:rPr>
                <w:fldChar w:fldCharType="begin"/>
              </w:r>
              <w:r w:rsidR="009752D5">
                <w:rPr>
                  <w:szCs w:val="21"/>
                </w:rPr>
                <w:instrText xml:space="preserve"> MACROBUTTON  SnrToggleCheckbox □不适用 </w:instrText>
              </w:r>
              <w:r>
                <w:rPr>
                  <w:szCs w:val="21"/>
                </w:rPr>
                <w:fldChar w:fldCharType="end"/>
              </w:r>
            </w:p>
          </w:sdtContent>
        </w:sdt>
        <w:sdt>
          <w:sdtPr>
            <w:rPr>
              <w:rFonts w:hint="eastAsia"/>
              <w:szCs w:val="21"/>
            </w:rPr>
            <w:alias w:val="主要子公司、参股公司分析"/>
            <w:tag w:val="_GBC_7bf13fe6d2e94f23a67acf0193f14a86"/>
            <w:id w:val="1755447"/>
            <w:lock w:val="sdtLocked"/>
            <w:placeholder>
              <w:docPart w:val="GBC22222222222222222222222222222"/>
            </w:placeholder>
          </w:sdtPr>
          <w:sdtContent>
            <w:p w:rsidR="009752D5" w:rsidRDefault="009752D5" w:rsidP="009752D5">
              <w:pPr>
                <w:widowControl w:val="0"/>
                <w:numPr>
                  <w:ilvl w:val="0"/>
                  <w:numId w:val="140"/>
                </w:numPr>
                <w:ind w:left="425" w:hanging="425"/>
                <w:jc w:val="both"/>
                <w:rPr>
                  <w:b/>
                  <w:bCs/>
                  <w:szCs w:val="21"/>
                </w:rPr>
              </w:pPr>
              <w:r>
                <w:rPr>
                  <w:rFonts w:hint="eastAsia"/>
                  <w:b/>
                  <w:bCs/>
                  <w:szCs w:val="21"/>
                </w:rPr>
                <w:t>主要控股公司情况</w:t>
              </w:r>
            </w:p>
            <w:p w:rsidR="009752D5" w:rsidRDefault="009752D5" w:rsidP="009752D5">
              <w:pPr>
                <w:jc w:val="right"/>
                <w:rPr>
                  <w:szCs w:val="21"/>
                </w:rPr>
              </w:pPr>
              <w:r>
                <w:rPr>
                  <w:rFonts w:hint="eastAsia"/>
                  <w:szCs w:val="21"/>
                </w:rPr>
                <w:t>单位：元</w:t>
              </w:r>
            </w:p>
            <w:tbl>
              <w:tblPr>
                <w:tblW w:w="50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803"/>
                <w:gridCol w:w="545"/>
                <w:gridCol w:w="1780"/>
                <w:gridCol w:w="846"/>
                <w:gridCol w:w="681"/>
                <w:gridCol w:w="1410"/>
                <w:gridCol w:w="1410"/>
                <w:gridCol w:w="1373"/>
              </w:tblGrid>
              <w:tr w:rsidR="009752D5" w:rsidTr="008C651E">
                <w:trPr>
                  <w:tblHeader/>
                  <w:jc w:val="center"/>
                </w:trPr>
                <w:tc>
                  <w:tcPr>
                    <w:tcW w:w="453" w:type="pct"/>
                    <w:tcBorders>
                      <w:top w:val="single" w:sz="4" w:space="0" w:color="auto"/>
                      <w:left w:val="single" w:sz="4" w:space="0" w:color="auto"/>
                      <w:bottom w:val="single" w:sz="4" w:space="0" w:color="auto"/>
                      <w:right w:val="single" w:sz="4" w:space="0" w:color="auto"/>
                    </w:tcBorders>
                    <w:vAlign w:val="center"/>
                  </w:tcPr>
                  <w:p w:rsidR="009752D5" w:rsidRDefault="009752D5" w:rsidP="00326B19">
                    <w:pPr>
                      <w:jc w:val="center"/>
                      <w:rPr>
                        <w:b/>
                        <w:szCs w:val="21"/>
                      </w:rPr>
                    </w:pPr>
                    <w:r>
                      <w:rPr>
                        <w:rFonts w:hint="eastAsia"/>
                        <w:b/>
                        <w:szCs w:val="21"/>
                      </w:rPr>
                      <w:t>公司</w:t>
                    </w:r>
                  </w:p>
                  <w:p w:rsidR="009752D5" w:rsidRDefault="009752D5" w:rsidP="00326B19">
                    <w:pPr>
                      <w:jc w:val="center"/>
                      <w:rPr>
                        <w:b/>
                        <w:szCs w:val="21"/>
                      </w:rPr>
                    </w:pPr>
                    <w:r>
                      <w:rPr>
                        <w:rFonts w:hint="eastAsia"/>
                        <w:b/>
                        <w:szCs w:val="21"/>
                      </w:rPr>
                      <w:t>名称</w:t>
                    </w:r>
                  </w:p>
                </w:tc>
                <w:tc>
                  <w:tcPr>
                    <w:tcW w:w="308" w:type="pct"/>
                    <w:tcBorders>
                      <w:top w:val="single" w:sz="4" w:space="0" w:color="auto"/>
                      <w:left w:val="single" w:sz="4" w:space="0" w:color="auto"/>
                      <w:bottom w:val="single" w:sz="4" w:space="0" w:color="auto"/>
                      <w:right w:val="single" w:sz="4" w:space="0" w:color="auto"/>
                    </w:tcBorders>
                    <w:vAlign w:val="center"/>
                  </w:tcPr>
                  <w:p w:rsidR="009752D5" w:rsidRDefault="009752D5" w:rsidP="00326B19">
                    <w:pPr>
                      <w:jc w:val="center"/>
                      <w:rPr>
                        <w:b/>
                        <w:szCs w:val="21"/>
                      </w:rPr>
                    </w:pPr>
                    <w:r>
                      <w:rPr>
                        <w:rFonts w:hint="eastAsia"/>
                        <w:b/>
                        <w:szCs w:val="21"/>
                      </w:rPr>
                      <w:t>所处</w:t>
                    </w:r>
                  </w:p>
                  <w:p w:rsidR="009752D5" w:rsidRDefault="009752D5" w:rsidP="00326B19">
                    <w:pPr>
                      <w:jc w:val="center"/>
                      <w:rPr>
                        <w:b/>
                        <w:szCs w:val="21"/>
                      </w:rPr>
                    </w:pPr>
                    <w:r>
                      <w:rPr>
                        <w:rFonts w:hint="eastAsia"/>
                        <w:b/>
                        <w:szCs w:val="21"/>
                      </w:rPr>
                      <w:t>行业</w:t>
                    </w:r>
                  </w:p>
                </w:tc>
                <w:tc>
                  <w:tcPr>
                    <w:tcW w:w="1006" w:type="pct"/>
                    <w:tcBorders>
                      <w:top w:val="single" w:sz="4" w:space="0" w:color="auto"/>
                      <w:left w:val="single" w:sz="4" w:space="0" w:color="auto"/>
                      <w:bottom w:val="single" w:sz="4" w:space="0" w:color="auto"/>
                      <w:right w:val="single" w:sz="4" w:space="0" w:color="auto"/>
                    </w:tcBorders>
                    <w:vAlign w:val="center"/>
                  </w:tcPr>
                  <w:p w:rsidR="009752D5" w:rsidRDefault="009752D5" w:rsidP="00326B19">
                    <w:pPr>
                      <w:jc w:val="center"/>
                      <w:rPr>
                        <w:b/>
                        <w:szCs w:val="21"/>
                      </w:rPr>
                    </w:pPr>
                    <w:r>
                      <w:rPr>
                        <w:rFonts w:hint="eastAsia"/>
                        <w:b/>
                        <w:szCs w:val="21"/>
                      </w:rPr>
                      <w:t>主要产品</w:t>
                    </w:r>
                  </w:p>
                  <w:p w:rsidR="009752D5" w:rsidRDefault="009752D5" w:rsidP="00326B19">
                    <w:pPr>
                      <w:jc w:val="center"/>
                      <w:rPr>
                        <w:b/>
                        <w:szCs w:val="21"/>
                      </w:rPr>
                    </w:pPr>
                    <w:r>
                      <w:rPr>
                        <w:rFonts w:hint="eastAsia"/>
                        <w:b/>
                        <w:szCs w:val="21"/>
                      </w:rPr>
                      <w:t>或服务</w:t>
                    </w:r>
                  </w:p>
                </w:tc>
                <w:tc>
                  <w:tcPr>
                    <w:tcW w:w="478" w:type="pct"/>
                    <w:tcBorders>
                      <w:top w:val="single" w:sz="4" w:space="0" w:color="auto"/>
                      <w:left w:val="single" w:sz="4" w:space="0" w:color="auto"/>
                      <w:bottom w:val="single" w:sz="4" w:space="0" w:color="auto"/>
                      <w:right w:val="single" w:sz="4" w:space="0" w:color="auto"/>
                    </w:tcBorders>
                    <w:vAlign w:val="center"/>
                  </w:tcPr>
                  <w:p w:rsidR="009752D5" w:rsidRDefault="009752D5" w:rsidP="00326B19">
                    <w:pPr>
                      <w:jc w:val="center"/>
                      <w:rPr>
                        <w:rStyle w:val="52"/>
                        <w:spacing w:val="-11"/>
                        <w:szCs w:val="21"/>
                      </w:rPr>
                    </w:pPr>
                    <w:r>
                      <w:rPr>
                        <w:rStyle w:val="52"/>
                        <w:rFonts w:hint="eastAsia"/>
                        <w:spacing w:val="-11"/>
                        <w:szCs w:val="21"/>
                      </w:rPr>
                      <w:t>注册</w:t>
                    </w:r>
                  </w:p>
                  <w:p w:rsidR="009752D5" w:rsidRDefault="009752D5" w:rsidP="00326B19">
                    <w:pPr>
                      <w:jc w:val="center"/>
                      <w:rPr>
                        <w:rStyle w:val="52"/>
                        <w:spacing w:val="-11"/>
                        <w:szCs w:val="21"/>
                      </w:rPr>
                    </w:pPr>
                    <w:r>
                      <w:rPr>
                        <w:rStyle w:val="52"/>
                        <w:rFonts w:hint="eastAsia"/>
                        <w:spacing w:val="-11"/>
                        <w:szCs w:val="21"/>
                      </w:rPr>
                      <w:t>资本</w:t>
                    </w:r>
                  </w:p>
                  <w:p w:rsidR="009752D5" w:rsidRDefault="009752D5" w:rsidP="00326B19">
                    <w:pPr>
                      <w:jc w:val="center"/>
                      <w:rPr>
                        <w:b/>
                        <w:szCs w:val="21"/>
                      </w:rPr>
                    </w:pPr>
                    <w:r>
                      <w:rPr>
                        <w:rStyle w:val="52"/>
                        <w:rFonts w:hint="eastAsia"/>
                        <w:spacing w:val="-11"/>
                        <w:szCs w:val="21"/>
                      </w:rPr>
                      <w:t>（万元）</w:t>
                    </w:r>
                  </w:p>
                </w:tc>
                <w:tc>
                  <w:tcPr>
                    <w:tcW w:w="385" w:type="pct"/>
                    <w:tcBorders>
                      <w:top w:val="single" w:sz="4" w:space="0" w:color="auto"/>
                      <w:left w:val="single" w:sz="4" w:space="0" w:color="auto"/>
                      <w:bottom w:val="single" w:sz="4" w:space="0" w:color="auto"/>
                      <w:right w:val="single" w:sz="4" w:space="0" w:color="auto"/>
                    </w:tcBorders>
                    <w:vAlign w:val="center"/>
                  </w:tcPr>
                  <w:p w:rsidR="009752D5" w:rsidRDefault="009752D5" w:rsidP="00326B19">
                    <w:pPr>
                      <w:jc w:val="center"/>
                      <w:rPr>
                        <w:b/>
                        <w:szCs w:val="21"/>
                      </w:rPr>
                    </w:pPr>
                    <w:r>
                      <w:rPr>
                        <w:rFonts w:hint="eastAsia"/>
                        <w:b/>
                        <w:szCs w:val="21"/>
                      </w:rPr>
                      <w:t>权益</w:t>
                    </w:r>
                  </w:p>
                  <w:p w:rsidR="009752D5" w:rsidRDefault="009752D5" w:rsidP="00326B19">
                    <w:pPr>
                      <w:jc w:val="center"/>
                      <w:rPr>
                        <w:b/>
                        <w:szCs w:val="21"/>
                      </w:rPr>
                    </w:pPr>
                    <w:r>
                      <w:rPr>
                        <w:rFonts w:hint="eastAsia"/>
                        <w:b/>
                        <w:szCs w:val="21"/>
                      </w:rPr>
                      <w:t>比例</w:t>
                    </w:r>
                  </w:p>
                  <w:p w:rsidR="009752D5" w:rsidRDefault="009752D5" w:rsidP="00326B19">
                    <w:pPr>
                      <w:jc w:val="center"/>
                      <w:rPr>
                        <w:b/>
                        <w:szCs w:val="21"/>
                      </w:rPr>
                    </w:pPr>
                    <w:r>
                      <w:rPr>
                        <w:rFonts w:hint="eastAsia"/>
                        <w:b/>
                        <w:szCs w:val="21"/>
                      </w:rPr>
                      <w:t>（</w:t>
                    </w:r>
                    <w:r>
                      <w:rPr>
                        <w:b/>
                        <w:szCs w:val="21"/>
                      </w:rPr>
                      <w:t>%</w:t>
                    </w:r>
                    <w:r>
                      <w:rPr>
                        <w:rFonts w:hint="eastAsia"/>
                        <w:b/>
                        <w:szCs w:val="21"/>
                      </w:rPr>
                      <w:t>）</w:t>
                    </w:r>
                  </w:p>
                </w:tc>
                <w:tc>
                  <w:tcPr>
                    <w:tcW w:w="797" w:type="pct"/>
                    <w:tcBorders>
                      <w:top w:val="single" w:sz="4" w:space="0" w:color="auto"/>
                      <w:left w:val="single" w:sz="4" w:space="0" w:color="auto"/>
                      <w:bottom w:val="single" w:sz="4" w:space="0" w:color="auto"/>
                      <w:right w:val="single" w:sz="4" w:space="0" w:color="auto"/>
                    </w:tcBorders>
                    <w:vAlign w:val="center"/>
                  </w:tcPr>
                  <w:p w:rsidR="009752D5" w:rsidRDefault="009752D5" w:rsidP="00326B19">
                    <w:pPr>
                      <w:jc w:val="center"/>
                      <w:rPr>
                        <w:b/>
                        <w:szCs w:val="21"/>
                      </w:rPr>
                    </w:pPr>
                    <w:r>
                      <w:rPr>
                        <w:rFonts w:hint="eastAsia"/>
                        <w:b/>
                        <w:szCs w:val="21"/>
                      </w:rPr>
                      <w:t>总资产</w:t>
                    </w:r>
                  </w:p>
                  <w:p w:rsidR="009752D5" w:rsidRDefault="009752D5" w:rsidP="00326B19">
                    <w:pPr>
                      <w:jc w:val="center"/>
                      <w:rPr>
                        <w:b/>
                        <w:szCs w:val="21"/>
                      </w:rPr>
                    </w:pPr>
                    <w:r>
                      <w:rPr>
                        <w:rFonts w:hint="eastAsia"/>
                        <w:b/>
                        <w:szCs w:val="21"/>
                      </w:rPr>
                      <w:t>（元）</w:t>
                    </w:r>
                  </w:p>
                </w:tc>
                <w:tc>
                  <w:tcPr>
                    <w:tcW w:w="797" w:type="pct"/>
                    <w:tcBorders>
                      <w:top w:val="single" w:sz="4" w:space="0" w:color="auto"/>
                      <w:left w:val="single" w:sz="4" w:space="0" w:color="auto"/>
                      <w:bottom w:val="single" w:sz="4" w:space="0" w:color="auto"/>
                      <w:right w:val="single" w:sz="4" w:space="0" w:color="auto"/>
                    </w:tcBorders>
                    <w:vAlign w:val="center"/>
                  </w:tcPr>
                  <w:p w:rsidR="009752D5" w:rsidRDefault="009752D5" w:rsidP="00326B19">
                    <w:pPr>
                      <w:jc w:val="center"/>
                      <w:rPr>
                        <w:b/>
                        <w:szCs w:val="21"/>
                      </w:rPr>
                    </w:pPr>
                    <w:r>
                      <w:rPr>
                        <w:rFonts w:hint="eastAsia"/>
                        <w:b/>
                        <w:szCs w:val="21"/>
                      </w:rPr>
                      <w:t>净资产</w:t>
                    </w:r>
                  </w:p>
                  <w:p w:rsidR="009752D5" w:rsidRDefault="009752D5" w:rsidP="00326B19">
                    <w:pPr>
                      <w:jc w:val="center"/>
                      <w:rPr>
                        <w:b/>
                        <w:szCs w:val="21"/>
                      </w:rPr>
                    </w:pPr>
                    <w:r>
                      <w:rPr>
                        <w:rFonts w:hint="eastAsia"/>
                        <w:b/>
                        <w:szCs w:val="21"/>
                      </w:rPr>
                      <w:t>（元）</w:t>
                    </w:r>
                  </w:p>
                </w:tc>
                <w:tc>
                  <w:tcPr>
                    <w:tcW w:w="776" w:type="pct"/>
                    <w:tcBorders>
                      <w:top w:val="single" w:sz="4" w:space="0" w:color="auto"/>
                      <w:left w:val="single" w:sz="4" w:space="0" w:color="auto"/>
                      <w:bottom w:val="single" w:sz="4" w:space="0" w:color="auto"/>
                      <w:right w:val="single" w:sz="4" w:space="0" w:color="auto"/>
                    </w:tcBorders>
                    <w:vAlign w:val="center"/>
                  </w:tcPr>
                  <w:p w:rsidR="009752D5" w:rsidRDefault="009752D5" w:rsidP="00326B19">
                    <w:pPr>
                      <w:jc w:val="center"/>
                      <w:rPr>
                        <w:b/>
                        <w:szCs w:val="21"/>
                      </w:rPr>
                    </w:pPr>
                    <w:r>
                      <w:rPr>
                        <w:rFonts w:hint="eastAsia"/>
                        <w:b/>
                        <w:szCs w:val="21"/>
                      </w:rPr>
                      <w:t>净利润</w:t>
                    </w:r>
                  </w:p>
                  <w:p w:rsidR="009752D5" w:rsidRDefault="009752D5" w:rsidP="00326B19">
                    <w:pPr>
                      <w:jc w:val="center"/>
                      <w:rPr>
                        <w:b/>
                        <w:szCs w:val="21"/>
                      </w:rPr>
                    </w:pPr>
                    <w:r>
                      <w:rPr>
                        <w:rFonts w:hint="eastAsia"/>
                        <w:b/>
                        <w:szCs w:val="21"/>
                      </w:rPr>
                      <w:t>（元）</w:t>
                    </w:r>
                  </w:p>
                </w:tc>
              </w:tr>
              <w:tr w:rsidR="009752D5" w:rsidTr="008C651E">
                <w:trPr>
                  <w:tblHeader/>
                  <w:jc w:val="center"/>
                </w:trPr>
                <w:tc>
                  <w:tcPr>
                    <w:tcW w:w="453" w:type="pct"/>
                    <w:tcBorders>
                      <w:top w:val="single" w:sz="4" w:space="0" w:color="auto"/>
                      <w:left w:val="single" w:sz="4" w:space="0" w:color="auto"/>
                      <w:bottom w:val="single" w:sz="4" w:space="0" w:color="auto"/>
                      <w:right w:val="single" w:sz="4" w:space="0" w:color="auto"/>
                    </w:tcBorders>
                    <w:vAlign w:val="center"/>
                  </w:tcPr>
                  <w:p w:rsidR="009752D5" w:rsidRDefault="009752D5" w:rsidP="00326B19">
                    <w:pPr>
                      <w:jc w:val="center"/>
                      <w:rPr>
                        <w:rStyle w:val="52"/>
                        <w:b w:val="0"/>
                        <w:bCs w:val="0"/>
                        <w:spacing w:val="-11"/>
                        <w:szCs w:val="21"/>
                      </w:rPr>
                    </w:pPr>
                    <w:r>
                      <w:rPr>
                        <w:rStyle w:val="52"/>
                        <w:rFonts w:hint="eastAsia"/>
                        <w:b w:val="0"/>
                        <w:bCs w:val="0"/>
                        <w:spacing w:val="-11"/>
                        <w:szCs w:val="21"/>
                      </w:rPr>
                      <w:t>大秦</w:t>
                    </w:r>
                  </w:p>
                  <w:p w:rsidR="009752D5" w:rsidRDefault="009752D5" w:rsidP="00326B19">
                    <w:pPr>
                      <w:jc w:val="center"/>
                      <w:rPr>
                        <w:rStyle w:val="52"/>
                        <w:b w:val="0"/>
                        <w:bCs w:val="0"/>
                        <w:szCs w:val="21"/>
                      </w:rPr>
                    </w:pPr>
                    <w:r>
                      <w:rPr>
                        <w:rStyle w:val="52"/>
                        <w:rFonts w:hint="eastAsia"/>
                        <w:b w:val="0"/>
                        <w:bCs w:val="0"/>
                        <w:spacing w:val="-11"/>
                        <w:szCs w:val="21"/>
                      </w:rPr>
                      <w:t>经贸</w:t>
                    </w:r>
                  </w:p>
                </w:tc>
                <w:tc>
                  <w:tcPr>
                    <w:tcW w:w="308" w:type="pct"/>
                    <w:tcBorders>
                      <w:top w:val="single" w:sz="4" w:space="0" w:color="auto"/>
                      <w:left w:val="single" w:sz="4" w:space="0" w:color="auto"/>
                      <w:bottom w:val="single" w:sz="4" w:space="0" w:color="auto"/>
                      <w:right w:val="single" w:sz="4" w:space="0" w:color="auto"/>
                    </w:tcBorders>
                    <w:vAlign w:val="center"/>
                  </w:tcPr>
                  <w:p w:rsidR="009752D5" w:rsidRDefault="009752D5" w:rsidP="00326B19">
                    <w:pPr>
                      <w:jc w:val="center"/>
                      <w:rPr>
                        <w:szCs w:val="21"/>
                      </w:rPr>
                    </w:pPr>
                    <w:r>
                      <w:rPr>
                        <w:rFonts w:hint="eastAsia"/>
                        <w:szCs w:val="21"/>
                      </w:rPr>
                      <w:t>铁路</w:t>
                    </w:r>
                  </w:p>
                  <w:p w:rsidR="009752D5" w:rsidRDefault="009752D5" w:rsidP="00326B19">
                    <w:pPr>
                      <w:jc w:val="center"/>
                      <w:rPr>
                        <w:szCs w:val="21"/>
                      </w:rPr>
                    </w:pPr>
                    <w:r>
                      <w:rPr>
                        <w:rFonts w:hint="eastAsia"/>
                        <w:szCs w:val="21"/>
                      </w:rPr>
                      <w:t>辅助</w:t>
                    </w:r>
                  </w:p>
                </w:tc>
                <w:tc>
                  <w:tcPr>
                    <w:tcW w:w="1006" w:type="pct"/>
                    <w:tcBorders>
                      <w:top w:val="single" w:sz="4" w:space="0" w:color="auto"/>
                      <w:left w:val="single" w:sz="4" w:space="0" w:color="auto"/>
                      <w:bottom w:val="single" w:sz="4" w:space="0" w:color="auto"/>
                      <w:right w:val="single" w:sz="4" w:space="0" w:color="auto"/>
                    </w:tcBorders>
                    <w:vAlign w:val="center"/>
                  </w:tcPr>
                  <w:p w:rsidR="009752D5" w:rsidRDefault="009752D5" w:rsidP="00326B19">
                    <w:pPr>
                      <w:rPr>
                        <w:rStyle w:val="52"/>
                        <w:b w:val="0"/>
                        <w:bCs w:val="0"/>
                        <w:spacing w:val="-11"/>
                        <w:szCs w:val="21"/>
                      </w:rPr>
                    </w:pPr>
                    <w:r>
                      <w:rPr>
                        <w:rStyle w:val="52"/>
                        <w:rFonts w:hint="eastAsia"/>
                        <w:b w:val="0"/>
                        <w:bCs w:val="0"/>
                        <w:spacing w:val="-11"/>
                        <w:szCs w:val="21"/>
                      </w:rPr>
                      <w:t>铁路运输设备设施及配件的制造、安装、维修、租赁、销售等</w:t>
                    </w:r>
                  </w:p>
                </w:tc>
                <w:tc>
                  <w:tcPr>
                    <w:tcW w:w="478" w:type="pct"/>
                    <w:tcBorders>
                      <w:top w:val="single" w:sz="4" w:space="0" w:color="auto"/>
                      <w:left w:val="single" w:sz="4" w:space="0" w:color="auto"/>
                      <w:bottom w:val="single" w:sz="4" w:space="0" w:color="auto"/>
                      <w:right w:val="single" w:sz="4" w:space="0" w:color="auto"/>
                    </w:tcBorders>
                    <w:vAlign w:val="center"/>
                  </w:tcPr>
                  <w:p w:rsidR="009752D5" w:rsidRDefault="009752D5" w:rsidP="00326B19">
                    <w:pPr>
                      <w:jc w:val="right"/>
                      <w:textAlignment w:val="center"/>
                      <w:rPr>
                        <w:color w:val="000000"/>
                        <w:szCs w:val="21"/>
                      </w:rPr>
                    </w:pPr>
                    <w:r>
                      <w:rPr>
                        <w:rFonts w:eastAsia="微软雅黑"/>
                        <w:color w:val="000000"/>
                        <w:sz w:val="20"/>
                        <w:szCs w:val="20"/>
                      </w:rPr>
                      <w:t xml:space="preserve"> 13,000 </w:t>
                    </w:r>
                  </w:p>
                </w:tc>
                <w:tc>
                  <w:tcPr>
                    <w:tcW w:w="385" w:type="pct"/>
                    <w:tcBorders>
                      <w:top w:val="single" w:sz="4" w:space="0" w:color="auto"/>
                      <w:left w:val="single" w:sz="4" w:space="0" w:color="auto"/>
                      <w:bottom w:val="single" w:sz="4" w:space="0" w:color="auto"/>
                      <w:right w:val="single" w:sz="4" w:space="0" w:color="auto"/>
                    </w:tcBorders>
                    <w:vAlign w:val="center"/>
                  </w:tcPr>
                  <w:p w:rsidR="009752D5" w:rsidRDefault="009752D5" w:rsidP="00326B19">
                    <w:pPr>
                      <w:jc w:val="right"/>
                      <w:textAlignment w:val="center"/>
                      <w:rPr>
                        <w:color w:val="000000"/>
                        <w:szCs w:val="21"/>
                      </w:rPr>
                    </w:pPr>
                    <w:r>
                      <w:rPr>
                        <w:rFonts w:eastAsia="微软雅黑"/>
                        <w:color w:val="000000"/>
                        <w:sz w:val="20"/>
                        <w:szCs w:val="20"/>
                      </w:rPr>
                      <w:t xml:space="preserve">100.00 </w:t>
                    </w:r>
                  </w:p>
                </w:tc>
                <w:tc>
                  <w:tcPr>
                    <w:tcW w:w="797" w:type="pct"/>
                    <w:tcBorders>
                      <w:top w:val="single" w:sz="4" w:space="0" w:color="auto"/>
                      <w:left w:val="single" w:sz="4" w:space="0" w:color="auto"/>
                      <w:bottom w:val="single" w:sz="4" w:space="0" w:color="auto"/>
                      <w:right w:val="single" w:sz="4" w:space="0" w:color="auto"/>
                    </w:tcBorders>
                    <w:vAlign w:val="center"/>
                  </w:tcPr>
                  <w:p w:rsidR="009752D5" w:rsidRDefault="009752D5" w:rsidP="00326B19">
                    <w:pPr>
                      <w:jc w:val="right"/>
                      <w:textAlignment w:val="center"/>
                      <w:rPr>
                        <w:color w:val="000000"/>
                        <w:szCs w:val="21"/>
                      </w:rPr>
                    </w:pPr>
                    <w:r>
                      <w:rPr>
                        <w:rFonts w:eastAsia="微软雅黑"/>
                        <w:color w:val="000000"/>
                        <w:sz w:val="20"/>
                        <w:szCs w:val="20"/>
                      </w:rPr>
                      <w:t>238,943,290</w:t>
                    </w:r>
                  </w:p>
                </w:tc>
                <w:tc>
                  <w:tcPr>
                    <w:tcW w:w="797" w:type="pct"/>
                    <w:tcBorders>
                      <w:top w:val="single" w:sz="4" w:space="0" w:color="auto"/>
                      <w:left w:val="single" w:sz="4" w:space="0" w:color="auto"/>
                      <w:bottom w:val="single" w:sz="4" w:space="0" w:color="auto"/>
                      <w:right w:val="single" w:sz="4" w:space="0" w:color="auto"/>
                    </w:tcBorders>
                    <w:vAlign w:val="center"/>
                  </w:tcPr>
                  <w:p w:rsidR="009752D5" w:rsidRDefault="009752D5" w:rsidP="00326B19">
                    <w:pPr>
                      <w:jc w:val="right"/>
                      <w:textAlignment w:val="center"/>
                      <w:rPr>
                        <w:color w:val="000000"/>
                        <w:szCs w:val="21"/>
                      </w:rPr>
                    </w:pPr>
                    <w:r>
                      <w:rPr>
                        <w:rFonts w:eastAsia="微软雅黑"/>
                        <w:color w:val="000000"/>
                        <w:sz w:val="20"/>
                        <w:szCs w:val="20"/>
                      </w:rPr>
                      <w:t>213,042,156</w:t>
                    </w:r>
                  </w:p>
                </w:tc>
                <w:tc>
                  <w:tcPr>
                    <w:tcW w:w="776" w:type="pct"/>
                    <w:tcBorders>
                      <w:top w:val="single" w:sz="4" w:space="0" w:color="auto"/>
                      <w:left w:val="single" w:sz="4" w:space="0" w:color="auto"/>
                      <w:bottom w:val="single" w:sz="4" w:space="0" w:color="auto"/>
                      <w:right w:val="single" w:sz="4" w:space="0" w:color="auto"/>
                    </w:tcBorders>
                    <w:vAlign w:val="center"/>
                  </w:tcPr>
                  <w:p w:rsidR="009752D5" w:rsidRDefault="009752D5" w:rsidP="00326B19">
                    <w:pPr>
                      <w:jc w:val="right"/>
                      <w:textAlignment w:val="center"/>
                      <w:rPr>
                        <w:color w:val="000000"/>
                        <w:szCs w:val="21"/>
                      </w:rPr>
                    </w:pPr>
                    <w:r>
                      <w:rPr>
                        <w:rFonts w:eastAsia="微软雅黑"/>
                        <w:color w:val="000000"/>
                        <w:sz w:val="20"/>
                        <w:szCs w:val="20"/>
                      </w:rPr>
                      <w:t>4,920,994</w:t>
                    </w:r>
                  </w:p>
                </w:tc>
              </w:tr>
              <w:tr w:rsidR="009752D5" w:rsidTr="008C651E">
                <w:trPr>
                  <w:tblHeader/>
                  <w:jc w:val="center"/>
                </w:trPr>
                <w:tc>
                  <w:tcPr>
                    <w:tcW w:w="453" w:type="pct"/>
                    <w:tcBorders>
                      <w:top w:val="single" w:sz="4" w:space="0" w:color="auto"/>
                      <w:left w:val="single" w:sz="4" w:space="0" w:color="auto"/>
                      <w:bottom w:val="single" w:sz="4" w:space="0" w:color="auto"/>
                      <w:right w:val="single" w:sz="4" w:space="0" w:color="auto"/>
                    </w:tcBorders>
                    <w:vAlign w:val="center"/>
                  </w:tcPr>
                  <w:p w:rsidR="009752D5" w:rsidRDefault="009752D5" w:rsidP="00326B19">
                    <w:pPr>
                      <w:jc w:val="center"/>
                      <w:rPr>
                        <w:rStyle w:val="52"/>
                        <w:b w:val="0"/>
                        <w:bCs w:val="0"/>
                        <w:spacing w:val="-11"/>
                        <w:szCs w:val="21"/>
                      </w:rPr>
                    </w:pPr>
                    <w:r>
                      <w:rPr>
                        <w:rStyle w:val="52"/>
                        <w:rFonts w:hint="eastAsia"/>
                        <w:b w:val="0"/>
                        <w:bCs w:val="0"/>
                        <w:spacing w:val="-11"/>
                        <w:szCs w:val="21"/>
                      </w:rPr>
                      <w:t>侯禹</w:t>
                    </w:r>
                  </w:p>
                  <w:p w:rsidR="009752D5" w:rsidRDefault="009752D5" w:rsidP="00326B19">
                    <w:pPr>
                      <w:jc w:val="center"/>
                      <w:rPr>
                        <w:rStyle w:val="52"/>
                        <w:b w:val="0"/>
                        <w:bCs w:val="0"/>
                        <w:spacing w:val="-11"/>
                        <w:szCs w:val="21"/>
                      </w:rPr>
                    </w:pPr>
                    <w:r>
                      <w:rPr>
                        <w:rStyle w:val="52"/>
                        <w:rFonts w:hint="eastAsia"/>
                        <w:b w:val="0"/>
                        <w:bCs w:val="0"/>
                        <w:spacing w:val="-11"/>
                        <w:szCs w:val="21"/>
                      </w:rPr>
                      <w:t>公司</w:t>
                    </w:r>
                  </w:p>
                </w:tc>
                <w:tc>
                  <w:tcPr>
                    <w:tcW w:w="308" w:type="pct"/>
                    <w:tcBorders>
                      <w:top w:val="single" w:sz="4" w:space="0" w:color="auto"/>
                      <w:left w:val="single" w:sz="4" w:space="0" w:color="auto"/>
                      <w:bottom w:val="single" w:sz="4" w:space="0" w:color="auto"/>
                      <w:right w:val="single" w:sz="4" w:space="0" w:color="auto"/>
                    </w:tcBorders>
                    <w:vAlign w:val="center"/>
                  </w:tcPr>
                  <w:p w:rsidR="009752D5" w:rsidRDefault="009752D5" w:rsidP="00326B19">
                    <w:pPr>
                      <w:jc w:val="center"/>
                      <w:rPr>
                        <w:szCs w:val="21"/>
                      </w:rPr>
                    </w:pPr>
                    <w:r>
                      <w:rPr>
                        <w:rFonts w:hint="eastAsia"/>
                        <w:szCs w:val="21"/>
                      </w:rPr>
                      <w:t>铁路</w:t>
                    </w:r>
                  </w:p>
                  <w:p w:rsidR="009752D5" w:rsidRDefault="009752D5" w:rsidP="00326B19">
                    <w:pPr>
                      <w:jc w:val="center"/>
                      <w:rPr>
                        <w:szCs w:val="21"/>
                      </w:rPr>
                    </w:pPr>
                    <w:r>
                      <w:rPr>
                        <w:rFonts w:hint="eastAsia"/>
                        <w:szCs w:val="21"/>
                      </w:rPr>
                      <w:t>运输</w:t>
                    </w:r>
                  </w:p>
                </w:tc>
                <w:tc>
                  <w:tcPr>
                    <w:tcW w:w="1006" w:type="pct"/>
                    <w:tcBorders>
                      <w:top w:val="single" w:sz="4" w:space="0" w:color="auto"/>
                      <w:left w:val="single" w:sz="4" w:space="0" w:color="auto"/>
                      <w:bottom w:val="single" w:sz="4" w:space="0" w:color="auto"/>
                      <w:right w:val="single" w:sz="4" w:space="0" w:color="auto"/>
                    </w:tcBorders>
                    <w:vAlign w:val="center"/>
                  </w:tcPr>
                  <w:p w:rsidR="009752D5" w:rsidRDefault="009752D5" w:rsidP="00326B19">
                    <w:pPr>
                      <w:rPr>
                        <w:rStyle w:val="52"/>
                        <w:b w:val="0"/>
                        <w:bCs w:val="0"/>
                        <w:spacing w:val="-11"/>
                        <w:szCs w:val="21"/>
                      </w:rPr>
                    </w:pPr>
                    <w:r>
                      <w:rPr>
                        <w:rStyle w:val="52"/>
                        <w:rFonts w:hint="eastAsia"/>
                        <w:b w:val="0"/>
                        <w:bCs w:val="0"/>
                        <w:spacing w:val="-11"/>
                        <w:szCs w:val="21"/>
                      </w:rPr>
                      <w:t>铁路客货运输服务、铁路货运装卸仓储等</w:t>
                    </w:r>
                  </w:p>
                </w:tc>
                <w:tc>
                  <w:tcPr>
                    <w:tcW w:w="478" w:type="pct"/>
                    <w:tcBorders>
                      <w:top w:val="single" w:sz="4" w:space="0" w:color="auto"/>
                      <w:left w:val="single" w:sz="4" w:space="0" w:color="auto"/>
                      <w:bottom w:val="single" w:sz="4" w:space="0" w:color="auto"/>
                      <w:right w:val="single" w:sz="4" w:space="0" w:color="auto"/>
                    </w:tcBorders>
                    <w:vAlign w:val="center"/>
                  </w:tcPr>
                  <w:p w:rsidR="009752D5" w:rsidRDefault="009752D5" w:rsidP="00326B19">
                    <w:pPr>
                      <w:jc w:val="right"/>
                      <w:textAlignment w:val="center"/>
                      <w:rPr>
                        <w:color w:val="000000"/>
                        <w:szCs w:val="21"/>
                      </w:rPr>
                    </w:pPr>
                    <w:r>
                      <w:rPr>
                        <w:rFonts w:eastAsia="微软雅黑"/>
                        <w:color w:val="000000"/>
                        <w:sz w:val="20"/>
                        <w:szCs w:val="20"/>
                      </w:rPr>
                      <w:t xml:space="preserve">200,000 </w:t>
                    </w:r>
                  </w:p>
                </w:tc>
                <w:tc>
                  <w:tcPr>
                    <w:tcW w:w="385" w:type="pct"/>
                    <w:tcBorders>
                      <w:top w:val="single" w:sz="4" w:space="0" w:color="auto"/>
                      <w:left w:val="single" w:sz="4" w:space="0" w:color="auto"/>
                      <w:bottom w:val="single" w:sz="4" w:space="0" w:color="auto"/>
                      <w:right w:val="single" w:sz="4" w:space="0" w:color="auto"/>
                    </w:tcBorders>
                    <w:vAlign w:val="center"/>
                  </w:tcPr>
                  <w:p w:rsidR="009752D5" w:rsidRDefault="009752D5" w:rsidP="00326B19">
                    <w:pPr>
                      <w:jc w:val="right"/>
                      <w:textAlignment w:val="center"/>
                      <w:rPr>
                        <w:color w:val="000000"/>
                        <w:szCs w:val="21"/>
                      </w:rPr>
                    </w:pPr>
                    <w:r>
                      <w:rPr>
                        <w:rFonts w:eastAsia="微软雅黑"/>
                        <w:color w:val="000000"/>
                        <w:sz w:val="20"/>
                        <w:szCs w:val="20"/>
                      </w:rPr>
                      <w:t xml:space="preserve"> 92.50 </w:t>
                    </w:r>
                  </w:p>
                </w:tc>
                <w:tc>
                  <w:tcPr>
                    <w:tcW w:w="797" w:type="pct"/>
                    <w:tcBorders>
                      <w:top w:val="single" w:sz="4" w:space="0" w:color="auto"/>
                      <w:left w:val="single" w:sz="4" w:space="0" w:color="auto"/>
                      <w:bottom w:val="single" w:sz="4" w:space="0" w:color="auto"/>
                      <w:right w:val="single" w:sz="4" w:space="0" w:color="auto"/>
                    </w:tcBorders>
                    <w:vAlign w:val="center"/>
                  </w:tcPr>
                  <w:p w:rsidR="009752D5" w:rsidRDefault="009752D5" w:rsidP="00326B19">
                    <w:pPr>
                      <w:jc w:val="right"/>
                      <w:textAlignment w:val="center"/>
                      <w:rPr>
                        <w:color w:val="000000"/>
                        <w:szCs w:val="21"/>
                      </w:rPr>
                    </w:pPr>
                    <w:r>
                      <w:rPr>
                        <w:rFonts w:eastAsia="微软雅黑"/>
                        <w:color w:val="000000"/>
                        <w:sz w:val="20"/>
                        <w:szCs w:val="20"/>
                      </w:rPr>
                      <w:t>3,074,148,843</w:t>
                    </w:r>
                  </w:p>
                </w:tc>
                <w:tc>
                  <w:tcPr>
                    <w:tcW w:w="797" w:type="pct"/>
                    <w:tcBorders>
                      <w:top w:val="single" w:sz="4" w:space="0" w:color="auto"/>
                      <w:left w:val="single" w:sz="4" w:space="0" w:color="auto"/>
                      <w:bottom w:val="single" w:sz="4" w:space="0" w:color="auto"/>
                      <w:right w:val="single" w:sz="4" w:space="0" w:color="auto"/>
                    </w:tcBorders>
                    <w:vAlign w:val="center"/>
                  </w:tcPr>
                  <w:p w:rsidR="009752D5" w:rsidRDefault="009752D5" w:rsidP="00326B19">
                    <w:pPr>
                      <w:jc w:val="right"/>
                      <w:textAlignment w:val="center"/>
                      <w:rPr>
                        <w:color w:val="000000"/>
                        <w:szCs w:val="21"/>
                      </w:rPr>
                    </w:pPr>
                    <w:r>
                      <w:rPr>
                        <w:rFonts w:eastAsia="微软雅黑"/>
                        <w:color w:val="000000"/>
                        <w:sz w:val="20"/>
                        <w:szCs w:val="20"/>
                      </w:rPr>
                      <w:t>2,543,625,958</w:t>
                    </w:r>
                  </w:p>
                </w:tc>
                <w:tc>
                  <w:tcPr>
                    <w:tcW w:w="776" w:type="pct"/>
                    <w:tcBorders>
                      <w:top w:val="single" w:sz="4" w:space="0" w:color="auto"/>
                      <w:left w:val="single" w:sz="4" w:space="0" w:color="auto"/>
                      <w:bottom w:val="single" w:sz="4" w:space="0" w:color="auto"/>
                      <w:right w:val="single" w:sz="4" w:space="0" w:color="auto"/>
                    </w:tcBorders>
                    <w:vAlign w:val="center"/>
                  </w:tcPr>
                  <w:p w:rsidR="009752D5" w:rsidRDefault="009752D5" w:rsidP="00326B19">
                    <w:pPr>
                      <w:jc w:val="right"/>
                      <w:textAlignment w:val="center"/>
                      <w:rPr>
                        <w:color w:val="000000"/>
                        <w:szCs w:val="21"/>
                      </w:rPr>
                    </w:pPr>
                    <w:r>
                      <w:rPr>
                        <w:rFonts w:eastAsia="微软雅黑"/>
                        <w:color w:val="000000"/>
                        <w:sz w:val="20"/>
                        <w:szCs w:val="20"/>
                      </w:rPr>
                      <w:t>224,880,167</w:t>
                    </w:r>
                  </w:p>
                </w:tc>
              </w:tr>
              <w:tr w:rsidR="009752D5" w:rsidTr="008C651E">
                <w:trPr>
                  <w:tblHeader/>
                  <w:jc w:val="center"/>
                </w:trPr>
                <w:tc>
                  <w:tcPr>
                    <w:tcW w:w="453" w:type="pct"/>
                    <w:tcBorders>
                      <w:top w:val="single" w:sz="4" w:space="0" w:color="auto"/>
                      <w:left w:val="single" w:sz="4" w:space="0" w:color="auto"/>
                      <w:bottom w:val="single" w:sz="4" w:space="0" w:color="auto"/>
                      <w:right w:val="single" w:sz="4" w:space="0" w:color="auto"/>
                    </w:tcBorders>
                    <w:vAlign w:val="center"/>
                  </w:tcPr>
                  <w:p w:rsidR="009752D5" w:rsidRDefault="009752D5" w:rsidP="00326B19">
                    <w:pPr>
                      <w:jc w:val="center"/>
                      <w:rPr>
                        <w:rStyle w:val="52"/>
                        <w:b w:val="0"/>
                        <w:bCs w:val="0"/>
                        <w:spacing w:val="-11"/>
                        <w:szCs w:val="21"/>
                      </w:rPr>
                    </w:pPr>
                    <w:r>
                      <w:rPr>
                        <w:rStyle w:val="52"/>
                        <w:rFonts w:hint="eastAsia"/>
                        <w:b w:val="0"/>
                        <w:bCs w:val="0"/>
                        <w:spacing w:val="-11"/>
                        <w:szCs w:val="21"/>
                      </w:rPr>
                      <w:t>中鼎</w:t>
                    </w:r>
                  </w:p>
                  <w:p w:rsidR="009752D5" w:rsidRDefault="009752D5" w:rsidP="00326B19">
                    <w:pPr>
                      <w:jc w:val="center"/>
                      <w:rPr>
                        <w:rStyle w:val="52"/>
                        <w:b w:val="0"/>
                        <w:bCs w:val="0"/>
                        <w:spacing w:val="-11"/>
                        <w:szCs w:val="21"/>
                      </w:rPr>
                    </w:pPr>
                    <w:r>
                      <w:rPr>
                        <w:rStyle w:val="52"/>
                        <w:rFonts w:hint="eastAsia"/>
                        <w:b w:val="0"/>
                        <w:bCs w:val="0"/>
                        <w:spacing w:val="-11"/>
                        <w:szCs w:val="21"/>
                      </w:rPr>
                      <w:t>物流</w:t>
                    </w:r>
                  </w:p>
                </w:tc>
                <w:tc>
                  <w:tcPr>
                    <w:tcW w:w="308" w:type="pct"/>
                    <w:tcBorders>
                      <w:top w:val="single" w:sz="4" w:space="0" w:color="auto"/>
                      <w:left w:val="single" w:sz="4" w:space="0" w:color="auto"/>
                      <w:bottom w:val="single" w:sz="4" w:space="0" w:color="auto"/>
                      <w:right w:val="single" w:sz="4" w:space="0" w:color="auto"/>
                    </w:tcBorders>
                    <w:vAlign w:val="center"/>
                  </w:tcPr>
                  <w:p w:rsidR="009752D5" w:rsidRDefault="009752D5" w:rsidP="00326B19">
                    <w:pPr>
                      <w:jc w:val="center"/>
                      <w:rPr>
                        <w:szCs w:val="21"/>
                      </w:rPr>
                    </w:pPr>
                    <w:r>
                      <w:rPr>
                        <w:rFonts w:hint="eastAsia"/>
                        <w:szCs w:val="21"/>
                      </w:rPr>
                      <w:t>铁路</w:t>
                    </w:r>
                  </w:p>
                  <w:p w:rsidR="009752D5" w:rsidRDefault="009752D5" w:rsidP="00326B19">
                    <w:pPr>
                      <w:jc w:val="center"/>
                      <w:rPr>
                        <w:szCs w:val="21"/>
                      </w:rPr>
                    </w:pPr>
                    <w:r>
                      <w:rPr>
                        <w:rFonts w:hint="eastAsia"/>
                        <w:szCs w:val="21"/>
                      </w:rPr>
                      <w:t>物流</w:t>
                    </w:r>
                  </w:p>
                </w:tc>
                <w:tc>
                  <w:tcPr>
                    <w:tcW w:w="1006" w:type="pct"/>
                    <w:tcBorders>
                      <w:top w:val="single" w:sz="4" w:space="0" w:color="auto"/>
                      <w:left w:val="single" w:sz="4" w:space="0" w:color="auto"/>
                      <w:bottom w:val="single" w:sz="4" w:space="0" w:color="auto"/>
                      <w:right w:val="single" w:sz="4" w:space="0" w:color="auto"/>
                    </w:tcBorders>
                    <w:vAlign w:val="center"/>
                  </w:tcPr>
                  <w:p w:rsidR="009752D5" w:rsidRDefault="009752D5" w:rsidP="00326B19">
                    <w:pPr>
                      <w:rPr>
                        <w:rStyle w:val="52"/>
                        <w:b w:val="0"/>
                        <w:bCs w:val="0"/>
                        <w:spacing w:val="-11"/>
                        <w:szCs w:val="21"/>
                      </w:rPr>
                    </w:pPr>
                    <w:r>
                      <w:rPr>
                        <w:rStyle w:val="52"/>
                        <w:rFonts w:hint="eastAsia"/>
                        <w:b w:val="0"/>
                        <w:bCs w:val="0"/>
                        <w:spacing w:val="-11"/>
                        <w:szCs w:val="21"/>
                      </w:rPr>
                      <w:t>铁路货物装卸、仓储搬运；物流配送等</w:t>
                    </w:r>
                  </w:p>
                </w:tc>
                <w:tc>
                  <w:tcPr>
                    <w:tcW w:w="478" w:type="pct"/>
                    <w:tcBorders>
                      <w:top w:val="single" w:sz="4" w:space="0" w:color="auto"/>
                      <w:left w:val="single" w:sz="4" w:space="0" w:color="auto"/>
                      <w:bottom w:val="single" w:sz="4" w:space="0" w:color="auto"/>
                      <w:right w:val="single" w:sz="4" w:space="0" w:color="auto"/>
                    </w:tcBorders>
                    <w:vAlign w:val="center"/>
                  </w:tcPr>
                  <w:p w:rsidR="009752D5" w:rsidRDefault="009752D5" w:rsidP="00326B19">
                    <w:pPr>
                      <w:jc w:val="right"/>
                      <w:textAlignment w:val="center"/>
                      <w:rPr>
                        <w:color w:val="000000"/>
                        <w:szCs w:val="21"/>
                      </w:rPr>
                    </w:pPr>
                    <w:r>
                      <w:rPr>
                        <w:rFonts w:eastAsia="微软雅黑"/>
                        <w:color w:val="000000"/>
                        <w:sz w:val="20"/>
                        <w:szCs w:val="20"/>
                      </w:rPr>
                      <w:t xml:space="preserve">209,250 </w:t>
                    </w:r>
                  </w:p>
                </w:tc>
                <w:tc>
                  <w:tcPr>
                    <w:tcW w:w="385" w:type="pct"/>
                    <w:tcBorders>
                      <w:top w:val="single" w:sz="4" w:space="0" w:color="auto"/>
                      <w:left w:val="single" w:sz="4" w:space="0" w:color="auto"/>
                      <w:bottom w:val="single" w:sz="4" w:space="0" w:color="auto"/>
                      <w:right w:val="single" w:sz="4" w:space="0" w:color="auto"/>
                    </w:tcBorders>
                    <w:vAlign w:val="center"/>
                  </w:tcPr>
                  <w:p w:rsidR="009752D5" w:rsidRDefault="009752D5" w:rsidP="00326B19">
                    <w:pPr>
                      <w:jc w:val="right"/>
                      <w:textAlignment w:val="center"/>
                      <w:rPr>
                        <w:color w:val="000000"/>
                        <w:szCs w:val="21"/>
                      </w:rPr>
                    </w:pPr>
                    <w:r>
                      <w:rPr>
                        <w:rFonts w:eastAsia="微软雅黑"/>
                        <w:color w:val="000000"/>
                        <w:sz w:val="20"/>
                        <w:szCs w:val="20"/>
                      </w:rPr>
                      <w:t xml:space="preserve"> 83.64 </w:t>
                    </w:r>
                  </w:p>
                </w:tc>
                <w:tc>
                  <w:tcPr>
                    <w:tcW w:w="797" w:type="pct"/>
                    <w:tcBorders>
                      <w:top w:val="single" w:sz="4" w:space="0" w:color="auto"/>
                      <w:left w:val="single" w:sz="4" w:space="0" w:color="auto"/>
                      <w:bottom w:val="single" w:sz="4" w:space="0" w:color="auto"/>
                      <w:right w:val="single" w:sz="4" w:space="0" w:color="auto"/>
                    </w:tcBorders>
                    <w:vAlign w:val="center"/>
                  </w:tcPr>
                  <w:p w:rsidR="009752D5" w:rsidRDefault="009752D5" w:rsidP="00326B19">
                    <w:pPr>
                      <w:jc w:val="right"/>
                      <w:textAlignment w:val="center"/>
                      <w:rPr>
                        <w:color w:val="000000"/>
                        <w:szCs w:val="21"/>
                      </w:rPr>
                    </w:pPr>
                    <w:r>
                      <w:rPr>
                        <w:rFonts w:eastAsia="微软雅黑"/>
                        <w:color w:val="000000"/>
                        <w:sz w:val="20"/>
                        <w:szCs w:val="20"/>
                      </w:rPr>
                      <w:t>3,226,425,941</w:t>
                    </w:r>
                  </w:p>
                </w:tc>
                <w:tc>
                  <w:tcPr>
                    <w:tcW w:w="797" w:type="pct"/>
                    <w:tcBorders>
                      <w:top w:val="single" w:sz="4" w:space="0" w:color="auto"/>
                      <w:left w:val="single" w:sz="4" w:space="0" w:color="auto"/>
                      <w:bottom w:val="single" w:sz="4" w:space="0" w:color="auto"/>
                      <w:right w:val="single" w:sz="4" w:space="0" w:color="auto"/>
                    </w:tcBorders>
                    <w:vAlign w:val="center"/>
                  </w:tcPr>
                  <w:p w:rsidR="009752D5" w:rsidRDefault="009752D5" w:rsidP="00326B19">
                    <w:pPr>
                      <w:jc w:val="right"/>
                      <w:textAlignment w:val="center"/>
                      <w:rPr>
                        <w:color w:val="000000"/>
                        <w:szCs w:val="21"/>
                      </w:rPr>
                    </w:pPr>
                    <w:r>
                      <w:rPr>
                        <w:rFonts w:eastAsia="微软雅黑"/>
                        <w:color w:val="000000"/>
                        <w:sz w:val="20"/>
                        <w:szCs w:val="20"/>
                      </w:rPr>
                      <w:t>1,142,715,883</w:t>
                    </w:r>
                  </w:p>
                </w:tc>
                <w:tc>
                  <w:tcPr>
                    <w:tcW w:w="776" w:type="pct"/>
                    <w:tcBorders>
                      <w:top w:val="single" w:sz="4" w:space="0" w:color="auto"/>
                      <w:left w:val="single" w:sz="4" w:space="0" w:color="auto"/>
                      <w:bottom w:val="single" w:sz="4" w:space="0" w:color="auto"/>
                      <w:right w:val="single" w:sz="4" w:space="0" w:color="auto"/>
                    </w:tcBorders>
                    <w:vAlign w:val="center"/>
                  </w:tcPr>
                  <w:p w:rsidR="009752D5" w:rsidRDefault="009752D5" w:rsidP="00326B19">
                    <w:pPr>
                      <w:jc w:val="right"/>
                      <w:textAlignment w:val="center"/>
                      <w:rPr>
                        <w:color w:val="000000"/>
                        <w:szCs w:val="21"/>
                      </w:rPr>
                    </w:pPr>
                    <w:r>
                      <w:rPr>
                        <w:rFonts w:eastAsia="微软雅黑"/>
                        <w:color w:val="000000"/>
                        <w:sz w:val="20"/>
                        <w:szCs w:val="20"/>
                      </w:rPr>
                      <w:t>-165,775,505</w:t>
                    </w:r>
                  </w:p>
                </w:tc>
              </w:tr>
              <w:tr w:rsidR="009752D5" w:rsidTr="008C651E">
                <w:trPr>
                  <w:tblHeader/>
                  <w:jc w:val="center"/>
                </w:trPr>
                <w:tc>
                  <w:tcPr>
                    <w:tcW w:w="453" w:type="pct"/>
                    <w:tcBorders>
                      <w:top w:val="single" w:sz="4" w:space="0" w:color="auto"/>
                      <w:left w:val="single" w:sz="4" w:space="0" w:color="auto"/>
                      <w:bottom w:val="single" w:sz="4" w:space="0" w:color="auto"/>
                      <w:right w:val="single" w:sz="4" w:space="0" w:color="auto"/>
                    </w:tcBorders>
                    <w:vAlign w:val="center"/>
                  </w:tcPr>
                  <w:p w:rsidR="009752D5" w:rsidRDefault="009752D5" w:rsidP="00326B19">
                    <w:pPr>
                      <w:jc w:val="center"/>
                      <w:rPr>
                        <w:rStyle w:val="52"/>
                        <w:b w:val="0"/>
                        <w:bCs w:val="0"/>
                        <w:spacing w:val="-11"/>
                        <w:szCs w:val="21"/>
                      </w:rPr>
                    </w:pPr>
                    <w:r>
                      <w:rPr>
                        <w:rStyle w:val="52"/>
                        <w:rFonts w:hint="eastAsia"/>
                        <w:b w:val="0"/>
                        <w:bCs w:val="0"/>
                        <w:spacing w:val="-11"/>
                        <w:szCs w:val="21"/>
                      </w:rPr>
                      <w:t>太兴</w:t>
                    </w:r>
                  </w:p>
                  <w:p w:rsidR="009752D5" w:rsidRDefault="009752D5" w:rsidP="00326B19">
                    <w:pPr>
                      <w:jc w:val="center"/>
                      <w:rPr>
                        <w:rStyle w:val="52"/>
                        <w:b w:val="0"/>
                        <w:bCs w:val="0"/>
                        <w:spacing w:val="-11"/>
                        <w:szCs w:val="21"/>
                      </w:rPr>
                    </w:pPr>
                    <w:r>
                      <w:rPr>
                        <w:rStyle w:val="52"/>
                        <w:rFonts w:hint="eastAsia"/>
                        <w:b w:val="0"/>
                        <w:bCs w:val="0"/>
                        <w:spacing w:val="-11"/>
                        <w:szCs w:val="21"/>
                      </w:rPr>
                      <w:t>公司</w:t>
                    </w:r>
                  </w:p>
                </w:tc>
                <w:tc>
                  <w:tcPr>
                    <w:tcW w:w="308" w:type="pct"/>
                    <w:tcBorders>
                      <w:top w:val="single" w:sz="4" w:space="0" w:color="auto"/>
                      <w:left w:val="single" w:sz="4" w:space="0" w:color="auto"/>
                      <w:bottom w:val="single" w:sz="4" w:space="0" w:color="auto"/>
                      <w:right w:val="single" w:sz="4" w:space="0" w:color="auto"/>
                    </w:tcBorders>
                    <w:vAlign w:val="center"/>
                  </w:tcPr>
                  <w:p w:rsidR="009752D5" w:rsidRDefault="009752D5" w:rsidP="00326B19">
                    <w:pPr>
                      <w:jc w:val="center"/>
                      <w:rPr>
                        <w:szCs w:val="21"/>
                      </w:rPr>
                    </w:pPr>
                    <w:r>
                      <w:rPr>
                        <w:rFonts w:hint="eastAsia"/>
                        <w:szCs w:val="21"/>
                      </w:rPr>
                      <w:t>铁路</w:t>
                    </w:r>
                  </w:p>
                  <w:p w:rsidR="009752D5" w:rsidRDefault="009752D5" w:rsidP="00326B19">
                    <w:pPr>
                      <w:jc w:val="center"/>
                      <w:rPr>
                        <w:szCs w:val="21"/>
                      </w:rPr>
                    </w:pPr>
                    <w:r>
                      <w:rPr>
                        <w:rFonts w:hint="eastAsia"/>
                        <w:szCs w:val="21"/>
                      </w:rPr>
                      <w:t>运输</w:t>
                    </w:r>
                  </w:p>
                </w:tc>
                <w:tc>
                  <w:tcPr>
                    <w:tcW w:w="1006" w:type="pct"/>
                    <w:tcBorders>
                      <w:top w:val="single" w:sz="4" w:space="0" w:color="auto"/>
                      <w:left w:val="single" w:sz="4" w:space="0" w:color="auto"/>
                      <w:bottom w:val="single" w:sz="4" w:space="0" w:color="auto"/>
                      <w:right w:val="single" w:sz="4" w:space="0" w:color="auto"/>
                    </w:tcBorders>
                    <w:vAlign w:val="center"/>
                  </w:tcPr>
                  <w:p w:rsidR="009752D5" w:rsidRDefault="009752D5" w:rsidP="00326B19">
                    <w:pPr>
                      <w:rPr>
                        <w:rStyle w:val="52"/>
                        <w:b w:val="0"/>
                        <w:bCs w:val="0"/>
                        <w:spacing w:val="-11"/>
                        <w:szCs w:val="21"/>
                      </w:rPr>
                    </w:pPr>
                    <w:r>
                      <w:rPr>
                        <w:rStyle w:val="52"/>
                        <w:rFonts w:hint="eastAsia"/>
                        <w:b w:val="0"/>
                        <w:bCs w:val="0"/>
                        <w:spacing w:val="-11"/>
                        <w:szCs w:val="21"/>
                      </w:rPr>
                      <w:t>铁路客货运输服务、铁路货运装卸仓储等</w:t>
                    </w:r>
                  </w:p>
                </w:tc>
                <w:tc>
                  <w:tcPr>
                    <w:tcW w:w="478" w:type="pct"/>
                    <w:tcBorders>
                      <w:top w:val="single" w:sz="4" w:space="0" w:color="auto"/>
                      <w:left w:val="single" w:sz="4" w:space="0" w:color="auto"/>
                      <w:bottom w:val="single" w:sz="4" w:space="0" w:color="auto"/>
                      <w:right w:val="single" w:sz="4" w:space="0" w:color="auto"/>
                    </w:tcBorders>
                    <w:vAlign w:val="center"/>
                  </w:tcPr>
                  <w:p w:rsidR="009752D5" w:rsidRDefault="009752D5" w:rsidP="00326B19">
                    <w:pPr>
                      <w:jc w:val="right"/>
                      <w:textAlignment w:val="center"/>
                      <w:rPr>
                        <w:color w:val="000000"/>
                        <w:szCs w:val="21"/>
                      </w:rPr>
                    </w:pPr>
                    <w:r>
                      <w:rPr>
                        <w:rFonts w:eastAsia="微软雅黑"/>
                        <w:color w:val="000000"/>
                        <w:sz w:val="20"/>
                        <w:szCs w:val="20"/>
                      </w:rPr>
                      <w:t xml:space="preserve">504,265 </w:t>
                    </w:r>
                  </w:p>
                </w:tc>
                <w:tc>
                  <w:tcPr>
                    <w:tcW w:w="385" w:type="pct"/>
                    <w:tcBorders>
                      <w:top w:val="single" w:sz="4" w:space="0" w:color="auto"/>
                      <w:left w:val="single" w:sz="4" w:space="0" w:color="auto"/>
                      <w:bottom w:val="single" w:sz="4" w:space="0" w:color="auto"/>
                      <w:right w:val="single" w:sz="4" w:space="0" w:color="auto"/>
                    </w:tcBorders>
                    <w:vAlign w:val="center"/>
                  </w:tcPr>
                  <w:p w:rsidR="009752D5" w:rsidRDefault="009752D5" w:rsidP="00326B19">
                    <w:pPr>
                      <w:jc w:val="right"/>
                      <w:textAlignment w:val="center"/>
                      <w:rPr>
                        <w:color w:val="000000"/>
                        <w:szCs w:val="21"/>
                      </w:rPr>
                    </w:pPr>
                    <w:r>
                      <w:rPr>
                        <w:rFonts w:eastAsia="微软雅黑"/>
                        <w:color w:val="000000"/>
                        <w:sz w:val="20"/>
                        <w:szCs w:val="20"/>
                      </w:rPr>
                      <w:t xml:space="preserve"> 74.44 </w:t>
                    </w:r>
                  </w:p>
                </w:tc>
                <w:tc>
                  <w:tcPr>
                    <w:tcW w:w="797" w:type="pct"/>
                    <w:tcBorders>
                      <w:top w:val="single" w:sz="4" w:space="0" w:color="auto"/>
                      <w:left w:val="single" w:sz="4" w:space="0" w:color="auto"/>
                      <w:bottom w:val="single" w:sz="4" w:space="0" w:color="auto"/>
                      <w:right w:val="single" w:sz="4" w:space="0" w:color="auto"/>
                    </w:tcBorders>
                    <w:vAlign w:val="center"/>
                  </w:tcPr>
                  <w:p w:rsidR="009752D5" w:rsidRPr="008C119A" w:rsidRDefault="009752D5" w:rsidP="00326B19">
                    <w:pPr>
                      <w:jc w:val="right"/>
                      <w:textAlignment w:val="center"/>
                      <w:rPr>
                        <w:color w:val="000000"/>
                        <w:szCs w:val="21"/>
                      </w:rPr>
                    </w:pPr>
                    <w:r w:rsidRPr="008C119A">
                      <w:rPr>
                        <w:rFonts w:eastAsia="微软雅黑"/>
                        <w:color w:val="000000"/>
                        <w:sz w:val="20"/>
                        <w:szCs w:val="20"/>
                      </w:rPr>
                      <w:t>8,844,932,95</w:t>
                    </w:r>
                    <w:r w:rsidR="008C119A" w:rsidRPr="008C119A">
                      <w:rPr>
                        <w:rFonts w:eastAsia="微软雅黑"/>
                        <w:color w:val="000000"/>
                        <w:sz w:val="20"/>
                        <w:szCs w:val="20"/>
                      </w:rPr>
                      <w:t>9</w:t>
                    </w:r>
                  </w:p>
                </w:tc>
                <w:tc>
                  <w:tcPr>
                    <w:tcW w:w="797" w:type="pct"/>
                    <w:tcBorders>
                      <w:top w:val="single" w:sz="4" w:space="0" w:color="auto"/>
                      <w:left w:val="single" w:sz="4" w:space="0" w:color="auto"/>
                      <w:bottom w:val="single" w:sz="4" w:space="0" w:color="auto"/>
                      <w:right w:val="single" w:sz="4" w:space="0" w:color="auto"/>
                    </w:tcBorders>
                    <w:vAlign w:val="center"/>
                  </w:tcPr>
                  <w:p w:rsidR="009752D5" w:rsidRPr="008C119A" w:rsidRDefault="009752D5" w:rsidP="00326B19">
                    <w:pPr>
                      <w:jc w:val="right"/>
                      <w:textAlignment w:val="center"/>
                      <w:rPr>
                        <w:color w:val="000000"/>
                        <w:szCs w:val="21"/>
                      </w:rPr>
                    </w:pPr>
                    <w:r w:rsidRPr="008C119A">
                      <w:rPr>
                        <w:rFonts w:eastAsia="微软雅黑"/>
                        <w:color w:val="000000"/>
                        <w:sz w:val="20"/>
                        <w:szCs w:val="20"/>
                      </w:rPr>
                      <w:t>3,655,998,21</w:t>
                    </w:r>
                    <w:r w:rsidR="007B54D0">
                      <w:rPr>
                        <w:rFonts w:eastAsia="微软雅黑"/>
                        <w:color w:val="000000"/>
                        <w:sz w:val="20"/>
                        <w:szCs w:val="20"/>
                      </w:rPr>
                      <w:t>4</w:t>
                    </w:r>
                  </w:p>
                </w:tc>
                <w:tc>
                  <w:tcPr>
                    <w:tcW w:w="776" w:type="pct"/>
                    <w:tcBorders>
                      <w:top w:val="single" w:sz="4" w:space="0" w:color="auto"/>
                      <w:left w:val="single" w:sz="4" w:space="0" w:color="auto"/>
                      <w:bottom w:val="single" w:sz="4" w:space="0" w:color="auto"/>
                      <w:right w:val="single" w:sz="4" w:space="0" w:color="auto"/>
                    </w:tcBorders>
                    <w:vAlign w:val="center"/>
                  </w:tcPr>
                  <w:p w:rsidR="009752D5" w:rsidRPr="00735CBD" w:rsidRDefault="009752D5" w:rsidP="00326B19">
                    <w:pPr>
                      <w:jc w:val="right"/>
                      <w:textAlignment w:val="center"/>
                      <w:rPr>
                        <w:color w:val="000000"/>
                        <w:szCs w:val="21"/>
                        <w:highlight w:val="yellow"/>
                      </w:rPr>
                    </w:pPr>
                    <w:r w:rsidRPr="008C119A">
                      <w:rPr>
                        <w:rFonts w:eastAsia="微软雅黑"/>
                        <w:color w:val="000000"/>
                        <w:sz w:val="20"/>
                        <w:szCs w:val="20"/>
                      </w:rPr>
                      <w:t>62,826,620</w:t>
                    </w:r>
                  </w:p>
                </w:tc>
              </w:tr>
              <w:tr w:rsidR="009752D5" w:rsidTr="008C651E">
                <w:trPr>
                  <w:tblHeader/>
                  <w:jc w:val="center"/>
                </w:trPr>
                <w:tc>
                  <w:tcPr>
                    <w:tcW w:w="453" w:type="pct"/>
                    <w:tcBorders>
                      <w:top w:val="single" w:sz="4" w:space="0" w:color="auto"/>
                      <w:left w:val="single" w:sz="4" w:space="0" w:color="auto"/>
                      <w:bottom w:val="single" w:sz="4" w:space="0" w:color="auto"/>
                      <w:right w:val="single" w:sz="4" w:space="0" w:color="auto"/>
                    </w:tcBorders>
                    <w:vAlign w:val="center"/>
                  </w:tcPr>
                  <w:p w:rsidR="009752D5" w:rsidRDefault="009752D5" w:rsidP="00326B19">
                    <w:pPr>
                      <w:jc w:val="center"/>
                      <w:rPr>
                        <w:rStyle w:val="52"/>
                        <w:b w:val="0"/>
                        <w:bCs w:val="0"/>
                        <w:spacing w:val="-11"/>
                        <w:szCs w:val="21"/>
                      </w:rPr>
                    </w:pPr>
                    <w:r>
                      <w:rPr>
                        <w:rStyle w:val="52"/>
                        <w:rFonts w:hint="eastAsia"/>
                        <w:b w:val="0"/>
                        <w:bCs w:val="0"/>
                        <w:spacing w:val="-11"/>
                        <w:szCs w:val="21"/>
                      </w:rPr>
                      <w:t>西南环铁路</w:t>
                    </w:r>
                  </w:p>
                </w:tc>
                <w:tc>
                  <w:tcPr>
                    <w:tcW w:w="308" w:type="pct"/>
                    <w:tcBorders>
                      <w:top w:val="single" w:sz="4" w:space="0" w:color="auto"/>
                      <w:left w:val="single" w:sz="4" w:space="0" w:color="auto"/>
                      <w:bottom w:val="single" w:sz="4" w:space="0" w:color="auto"/>
                      <w:right w:val="single" w:sz="4" w:space="0" w:color="auto"/>
                    </w:tcBorders>
                    <w:vAlign w:val="center"/>
                  </w:tcPr>
                  <w:p w:rsidR="009752D5" w:rsidRDefault="009752D5" w:rsidP="00326B19">
                    <w:pPr>
                      <w:jc w:val="center"/>
                      <w:rPr>
                        <w:szCs w:val="21"/>
                      </w:rPr>
                    </w:pPr>
                    <w:r>
                      <w:rPr>
                        <w:rFonts w:hint="eastAsia"/>
                        <w:szCs w:val="21"/>
                      </w:rPr>
                      <w:t>铁路</w:t>
                    </w:r>
                  </w:p>
                  <w:p w:rsidR="009752D5" w:rsidRDefault="009752D5" w:rsidP="00326B19">
                    <w:pPr>
                      <w:jc w:val="center"/>
                      <w:rPr>
                        <w:szCs w:val="21"/>
                      </w:rPr>
                    </w:pPr>
                    <w:r>
                      <w:rPr>
                        <w:rFonts w:hint="eastAsia"/>
                        <w:szCs w:val="21"/>
                      </w:rPr>
                      <w:t>运输</w:t>
                    </w:r>
                  </w:p>
                </w:tc>
                <w:tc>
                  <w:tcPr>
                    <w:tcW w:w="1006" w:type="pct"/>
                    <w:tcBorders>
                      <w:top w:val="single" w:sz="4" w:space="0" w:color="auto"/>
                      <w:left w:val="single" w:sz="4" w:space="0" w:color="auto"/>
                      <w:bottom w:val="single" w:sz="4" w:space="0" w:color="auto"/>
                      <w:right w:val="single" w:sz="4" w:space="0" w:color="auto"/>
                    </w:tcBorders>
                    <w:vAlign w:val="center"/>
                  </w:tcPr>
                  <w:p w:rsidR="009752D5" w:rsidRDefault="00A37EBD" w:rsidP="00326B19">
                    <w:pPr>
                      <w:rPr>
                        <w:rStyle w:val="52"/>
                        <w:b w:val="0"/>
                        <w:bCs w:val="0"/>
                        <w:spacing w:val="-11"/>
                        <w:szCs w:val="21"/>
                      </w:rPr>
                    </w:pPr>
                    <w:r w:rsidRPr="00A37EBD">
                      <w:rPr>
                        <w:rStyle w:val="52"/>
                        <w:rFonts w:hint="eastAsia"/>
                        <w:b w:val="0"/>
                        <w:bCs w:val="0"/>
                        <w:spacing w:val="-11"/>
                        <w:szCs w:val="21"/>
                      </w:rPr>
                      <w:t>铁路运输及铁路相关</w:t>
                    </w:r>
                    <w:r w:rsidRPr="00A37EBD">
                      <w:rPr>
                        <w:rStyle w:val="52"/>
                        <w:b w:val="0"/>
                        <w:bCs w:val="0"/>
                        <w:spacing w:val="-11"/>
                        <w:szCs w:val="21"/>
                      </w:rPr>
                      <w:t>服务</w:t>
                    </w:r>
                  </w:p>
                </w:tc>
                <w:tc>
                  <w:tcPr>
                    <w:tcW w:w="478" w:type="pct"/>
                    <w:tcBorders>
                      <w:top w:val="single" w:sz="4" w:space="0" w:color="auto"/>
                      <w:left w:val="single" w:sz="4" w:space="0" w:color="auto"/>
                      <w:bottom w:val="single" w:sz="4" w:space="0" w:color="auto"/>
                      <w:right w:val="single" w:sz="4" w:space="0" w:color="auto"/>
                    </w:tcBorders>
                    <w:vAlign w:val="center"/>
                  </w:tcPr>
                  <w:p w:rsidR="009752D5" w:rsidRDefault="009752D5" w:rsidP="00326B19">
                    <w:pPr>
                      <w:jc w:val="center"/>
                      <w:textAlignment w:val="center"/>
                      <w:rPr>
                        <w:color w:val="000000"/>
                        <w:szCs w:val="21"/>
                      </w:rPr>
                    </w:pPr>
                    <w:r>
                      <w:rPr>
                        <w:rFonts w:eastAsia="微软雅黑"/>
                        <w:color w:val="000000"/>
                        <w:sz w:val="20"/>
                        <w:szCs w:val="20"/>
                      </w:rPr>
                      <w:t xml:space="preserve"> </w:t>
                    </w:r>
                    <w:r w:rsidR="008C651E">
                      <w:rPr>
                        <w:rFonts w:eastAsia="微软雅黑"/>
                        <w:color w:val="000000"/>
                        <w:sz w:val="20"/>
                        <w:szCs w:val="20"/>
                      </w:rPr>
                      <w:t>1</w:t>
                    </w:r>
                    <w:r>
                      <w:rPr>
                        <w:rFonts w:eastAsia="微软雅黑"/>
                        <w:color w:val="000000"/>
                        <w:sz w:val="20"/>
                        <w:szCs w:val="20"/>
                      </w:rPr>
                      <w:t xml:space="preserve">32,783 </w:t>
                    </w:r>
                  </w:p>
                </w:tc>
                <w:tc>
                  <w:tcPr>
                    <w:tcW w:w="385" w:type="pct"/>
                    <w:tcBorders>
                      <w:top w:val="single" w:sz="4" w:space="0" w:color="auto"/>
                      <w:left w:val="single" w:sz="4" w:space="0" w:color="auto"/>
                      <w:bottom w:val="single" w:sz="4" w:space="0" w:color="auto"/>
                      <w:right w:val="single" w:sz="4" w:space="0" w:color="auto"/>
                    </w:tcBorders>
                    <w:vAlign w:val="center"/>
                  </w:tcPr>
                  <w:p w:rsidR="009752D5" w:rsidRDefault="009752D5" w:rsidP="00326B19">
                    <w:pPr>
                      <w:jc w:val="center"/>
                      <w:textAlignment w:val="center"/>
                      <w:rPr>
                        <w:color w:val="000000"/>
                        <w:szCs w:val="21"/>
                      </w:rPr>
                    </w:pPr>
                    <w:r>
                      <w:rPr>
                        <w:rFonts w:eastAsia="微软雅黑"/>
                        <w:color w:val="000000"/>
                        <w:sz w:val="20"/>
                        <w:szCs w:val="20"/>
                      </w:rPr>
                      <w:t xml:space="preserve"> 78.55 </w:t>
                    </w:r>
                  </w:p>
                </w:tc>
                <w:tc>
                  <w:tcPr>
                    <w:tcW w:w="797" w:type="pct"/>
                    <w:tcBorders>
                      <w:top w:val="single" w:sz="4" w:space="0" w:color="auto"/>
                      <w:left w:val="single" w:sz="4" w:space="0" w:color="auto"/>
                      <w:bottom w:val="single" w:sz="4" w:space="0" w:color="auto"/>
                      <w:right w:val="single" w:sz="4" w:space="0" w:color="auto"/>
                    </w:tcBorders>
                    <w:vAlign w:val="center"/>
                  </w:tcPr>
                  <w:p w:rsidR="009752D5" w:rsidRDefault="009752D5" w:rsidP="00326B19">
                    <w:pPr>
                      <w:jc w:val="right"/>
                      <w:textAlignment w:val="center"/>
                      <w:rPr>
                        <w:color w:val="000000"/>
                        <w:szCs w:val="21"/>
                      </w:rPr>
                    </w:pPr>
                    <w:r>
                      <w:rPr>
                        <w:rFonts w:eastAsia="微软雅黑"/>
                        <w:color w:val="000000"/>
                        <w:sz w:val="20"/>
                        <w:szCs w:val="20"/>
                      </w:rPr>
                      <w:t>8,499,728,183</w:t>
                    </w:r>
                  </w:p>
                </w:tc>
                <w:tc>
                  <w:tcPr>
                    <w:tcW w:w="797" w:type="pct"/>
                    <w:tcBorders>
                      <w:top w:val="single" w:sz="4" w:space="0" w:color="auto"/>
                      <w:left w:val="single" w:sz="4" w:space="0" w:color="auto"/>
                      <w:bottom w:val="single" w:sz="4" w:space="0" w:color="auto"/>
                      <w:right w:val="single" w:sz="4" w:space="0" w:color="auto"/>
                    </w:tcBorders>
                    <w:vAlign w:val="center"/>
                  </w:tcPr>
                  <w:p w:rsidR="009752D5" w:rsidRDefault="009752D5" w:rsidP="00326B19">
                    <w:pPr>
                      <w:jc w:val="right"/>
                      <w:textAlignment w:val="center"/>
                      <w:rPr>
                        <w:color w:val="000000"/>
                        <w:szCs w:val="21"/>
                      </w:rPr>
                    </w:pPr>
                    <w:r>
                      <w:rPr>
                        <w:rFonts w:eastAsia="微软雅黑"/>
                        <w:color w:val="000000"/>
                        <w:sz w:val="20"/>
                        <w:szCs w:val="20"/>
                      </w:rPr>
                      <w:t>4,006,023,401</w:t>
                    </w:r>
                  </w:p>
                </w:tc>
                <w:tc>
                  <w:tcPr>
                    <w:tcW w:w="776" w:type="pct"/>
                    <w:tcBorders>
                      <w:top w:val="single" w:sz="4" w:space="0" w:color="auto"/>
                      <w:left w:val="single" w:sz="4" w:space="0" w:color="auto"/>
                      <w:bottom w:val="single" w:sz="4" w:space="0" w:color="auto"/>
                      <w:right w:val="single" w:sz="4" w:space="0" w:color="auto"/>
                    </w:tcBorders>
                    <w:vAlign w:val="center"/>
                  </w:tcPr>
                  <w:p w:rsidR="009752D5" w:rsidRDefault="009752D5" w:rsidP="00326B19">
                    <w:pPr>
                      <w:jc w:val="right"/>
                      <w:textAlignment w:val="center"/>
                      <w:rPr>
                        <w:color w:val="000000"/>
                        <w:szCs w:val="21"/>
                      </w:rPr>
                    </w:pPr>
                    <w:r>
                      <w:rPr>
                        <w:rFonts w:eastAsia="微软雅黑"/>
                        <w:color w:val="000000"/>
                        <w:sz w:val="20"/>
                        <w:szCs w:val="20"/>
                      </w:rPr>
                      <w:t>-128,617,115</w:t>
                    </w:r>
                  </w:p>
                </w:tc>
              </w:tr>
              <w:tr w:rsidR="009752D5" w:rsidTr="008C651E">
                <w:trPr>
                  <w:tblHeader/>
                  <w:jc w:val="center"/>
                </w:trPr>
                <w:tc>
                  <w:tcPr>
                    <w:tcW w:w="453" w:type="pct"/>
                    <w:tcBorders>
                      <w:top w:val="single" w:sz="4" w:space="0" w:color="auto"/>
                      <w:left w:val="single" w:sz="4" w:space="0" w:color="auto"/>
                      <w:bottom w:val="single" w:sz="4" w:space="0" w:color="auto"/>
                      <w:right w:val="single" w:sz="4" w:space="0" w:color="auto"/>
                    </w:tcBorders>
                    <w:vAlign w:val="center"/>
                  </w:tcPr>
                  <w:p w:rsidR="009752D5" w:rsidRDefault="009752D5" w:rsidP="00326B19">
                    <w:pPr>
                      <w:jc w:val="center"/>
                      <w:rPr>
                        <w:rStyle w:val="52"/>
                        <w:b w:val="0"/>
                        <w:bCs w:val="0"/>
                        <w:spacing w:val="-11"/>
                        <w:szCs w:val="21"/>
                      </w:rPr>
                    </w:pPr>
                    <w:r>
                      <w:rPr>
                        <w:rStyle w:val="52"/>
                        <w:rFonts w:hint="eastAsia"/>
                        <w:b w:val="0"/>
                        <w:bCs w:val="0"/>
                        <w:spacing w:val="-11"/>
                        <w:szCs w:val="21"/>
                      </w:rPr>
                      <w:t>唐港</w:t>
                    </w:r>
                  </w:p>
                  <w:p w:rsidR="009752D5" w:rsidRDefault="009752D5" w:rsidP="00326B19">
                    <w:pPr>
                      <w:jc w:val="center"/>
                      <w:rPr>
                        <w:rStyle w:val="52"/>
                        <w:b w:val="0"/>
                        <w:bCs w:val="0"/>
                        <w:spacing w:val="-11"/>
                        <w:szCs w:val="21"/>
                      </w:rPr>
                    </w:pPr>
                    <w:r>
                      <w:rPr>
                        <w:rStyle w:val="52"/>
                        <w:rFonts w:hint="eastAsia"/>
                        <w:b w:val="0"/>
                        <w:bCs w:val="0"/>
                        <w:spacing w:val="-11"/>
                        <w:szCs w:val="21"/>
                      </w:rPr>
                      <w:t>公司</w:t>
                    </w:r>
                  </w:p>
                </w:tc>
                <w:tc>
                  <w:tcPr>
                    <w:tcW w:w="308" w:type="pct"/>
                    <w:tcBorders>
                      <w:top w:val="single" w:sz="4" w:space="0" w:color="auto"/>
                      <w:left w:val="single" w:sz="4" w:space="0" w:color="auto"/>
                      <w:bottom w:val="single" w:sz="4" w:space="0" w:color="auto"/>
                      <w:right w:val="single" w:sz="4" w:space="0" w:color="auto"/>
                    </w:tcBorders>
                    <w:vAlign w:val="center"/>
                  </w:tcPr>
                  <w:p w:rsidR="009752D5" w:rsidRDefault="009752D5" w:rsidP="00326B19">
                    <w:pPr>
                      <w:jc w:val="center"/>
                      <w:rPr>
                        <w:szCs w:val="21"/>
                      </w:rPr>
                    </w:pPr>
                    <w:r>
                      <w:rPr>
                        <w:rFonts w:hint="eastAsia"/>
                        <w:szCs w:val="21"/>
                      </w:rPr>
                      <w:t>铁路</w:t>
                    </w:r>
                  </w:p>
                  <w:p w:rsidR="009752D5" w:rsidRDefault="009752D5" w:rsidP="00326B19">
                    <w:pPr>
                      <w:jc w:val="center"/>
                      <w:rPr>
                        <w:szCs w:val="21"/>
                      </w:rPr>
                    </w:pPr>
                    <w:r>
                      <w:rPr>
                        <w:rFonts w:hint="eastAsia"/>
                        <w:szCs w:val="21"/>
                      </w:rPr>
                      <w:t>运输</w:t>
                    </w:r>
                  </w:p>
                </w:tc>
                <w:tc>
                  <w:tcPr>
                    <w:tcW w:w="1006" w:type="pct"/>
                    <w:tcBorders>
                      <w:top w:val="single" w:sz="4" w:space="0" w:color="auto"/>
                      <w:left w:val="single" w:sz="4" w:space="0" w:color="auto"/>
                      <w:bottom w:val="single" w:sz="4" w:space="0" w:color="auto"/>
                      <w:right w:val="single" w:sz="4" w:space="0" w:color="auto"/>
                    </w:tcBorders>
                    <w:vAlign w:val="center"/>
                  </w:tcPr>
                  <w:p w:rsidR="009752D5" w:rsidRDefault="009752D5" w:rsidP="00326B19">
                    <w:pPr>
                      <w:rPr>
                        <w:rStyle w:val="52"/>
                        <w:b w:val="0"/>
                        <w:bCs w:val="0"/>
                        <w:spacing w:val="-11"/>
                        <w:szCs w:val="21"/>
                      </w:rPr>
                    </w:pPr>
                    <w:r>
                      <w:rPr>
                        <w:rStyle w:val="52"/>
                        <w:rFonts w:hint="eastAsia"/>
                        <w:b w:val="0"/>
                        <w:bCs w:val="0"/>
                        <w:spacing w:val="-11"/>
                        <w:szCs w:val="21"/>
                      </w:rPr>
                      <w:t>铁路运输及铁路运输服务等</w:t>
                    </w:r>
                  </w:p>
                </w:tc>
                <w:tc>
                  <w:tcPr>
                    <w:tcW w:w="478" w:type="pct"/>
                    <w:tcBorders>
                      <w:top w:val="single" w:sz="4" w:space="0" w:color="auto"/>
                      <w:left w:val="single" w:sz="4" w:space="0" w:color="auto"/>
                      <w:bottom w:val="single" w:sz="4" w:space="0" w:color="auto"/>
                      <w:right w:val="single" w:sz="4" w:space="0" w:color="auto"/>
                    </w:tcBorders>
                    <w:vAlign w:val="center"/>
                  </w:tcPr>
                  <w:p w:rsidR="009752D5" w:rsidRDefault="009752D5" w:rsidP="00326B19">
                    <w:pPr>
                      <w:jc w:val="right"/>
                      <w:textAlignment w:val="center"/>
                      <w:rPr>
                        <w:color w:val="000000"/>
                        <w:szCs w:val="21"/>
                      </w:rPr>
                    </w:pPr>
                    <w:r>
                      <w:rPr>
                        <w:rFonts w:eastAsia="微软雅黑"/>
                        <w:color w:val="000000"/>
                        <w:sz w:val="20"/>
                        <w:szCs w:val="20"/>
                      </w:rPr>
                      <w:t xml:space="preserve">234,226 </w:t>
                    </w:r>
                  </w:p>
                </w:tc>
                <w:tc>
                  <w:tcPr>
                    <w:tcW w:w="385" w:type="pct"/>
                    <w:tcBorders>
                      <w:top w:val="single" w:sz="4" w:space="0" w:color="auto"/>
                      <w:left w:val="single" w:sz="4" w:space="0" w:color="auto"/>
                      <w:bottom w:val="single" w:sz="4" w:space="0" w:color="auto"/>
                      <w:right w:val="single" w:sz="4" w:space="0" w:color="auto"/>
                    </w:tcBorders>
                    <w:vAlign w:val="center"/>
                  </w:tcPr>
                  <w:p w:rsidR="009752D5" w:rsidRDefault="009752D5" w:rsidP="00326B19">
                    <w:pPr>
                      <w:jc w:val="right"/>
                      <w:textAlignment w:val="center"/>
                      <w:rPr>
                        <w:color w:val="000000"/>
                        <w:szCs w:val="21"/>
                      </w:rPr>
                    </w:pPr>
                    <w:r>
                      <w:rPr>
                        <w:rFonts w:eastAsia="微软雅黑"/>
                        <w:color w:val="000000"/>
                        <w:sz w:val="20"/>
                        <w:szCs w:val="20"/>
                      </w:rPr>
                      <w:t xml:space="preserve"> 19.73 </w:t>
                    </w:r>
                  </w:p>
                </w:tc>
                <w:tc>
                  <w:tcPr>
                    <w:tcW w:w="797" w:type="pct"/>
                    <w:tcBorders>
                      <w:top w:val="single" w:sz="4" w:space="0" w:color="auto"/>
                      <w:left w:val="single" w:sz="4" w:space="0" w:color="auto"/>
                      <w:bottom w:val="single" w:sz="4" w:space="0" w:color="auto"/>
                      <w:right w:val="single" w:sz="4" w:space="0" w:color="auto"/>
                    </w:tcBorders>
                    <w:vAlign w:val="center"/>
                  </w:tcPr>
                  <w:p w:rsidR="009752D5" w:rsidRDefault="009752D5" w:rsidP="00326B19">
                    <w:pPr>
                      <w:jc w:val="right"/>
                      <w:textAlignment w:val="center"/>
                      <w:rPr>
                        <w:color w:val="000000"/>
                        <w:szCs w:val="21"/>
                      </w:rPr>
                    </w:pPr>
                    <w:r>
                      <w:rPr>
                        <w:rFonts w:eastAsia="微软雅黑"/>
                        <w:color w:val="000000"/>
                        <w:sz w:val="20"/>
                        <w:szCs w:val="20"/>
                      </w:rPr>
                      <w:t>13,584,295,566</w:t>
                    </w:r>
                  </w:p>
                </w:tc>
                <w:tc>
                  <w:tcPr>
                    <w:tcW w:w="797" w:type="pct"/>
                    <w:tcBorders>
                      <w:top w:val="single" w:sz="4" w:space="0" w:color="auto"/>
                      <w:left w:val="single" w:sz="4" w:space="0" w:color="auto"/>
                      <w:bottom w:val="single" w:sz="4" w:space="0" w:color="auto"/>
                      <w:right w:val="single" w:sz="4" w:space="0" w:color="auto"/>
                    </w:tcBorders>
                    <w:vAlign w:val="center"/>
                  </w:tcPr>
                  <w:p w:rsidR="009752D5" w:rsidRDefault="009752D5" w:rsidP="00326B19">
                    <w:pPr>
                      <w:jc w:val="right"/>
                      <w:textAlignment w:val="center"/>
                      <w:rPr>
                        <w:color w:val="000000"/>
                        <w:szCs w:val="21"/>
                      </w:rPr>
                    </w:pPr>
                    <w:r>
                      <w:rPr>
                        <w:rFonts w:eastAsia="微软雅黑"/>
                        <w:color w:val="000000"/>
                        <w:sz w:val="20"/>
                        <w:szCs w:val="20"/>
                      </w:rPr>
                      <w:t>12,046,576,637</w:t>
                    </w:r>
                  </w:p>
                </w:tc>
                <w:tc>
                  <w:tcPr>
                    <w:tcW w:w="776" w:type="pct"/>
                    <w:tcBorders>
                      <w:top w:val="single" w:sz="4" w:space="0" w:color="auto"/>
                      <w:left w:val="single" w:sz="4" w:space="0" w:color="auto"/>
                      <w:bottom w:val="single" w:sz="4" w:space="0" w:color="auto"/>
                      <w:right w:val="single" w:sz="4" w:space="0" w:color="auto"/>
                    </w:tcBorders>
                    <w:vAlign w:val="center"/>
                  </w:tcPr>
                  <w:p w:rsidR="009752D5" w:rsidRDefault="009752D5" w:rsidP="00326B19">
                    <w:pPr>
                      <w:jc w:val="right"/>
                      <w:textAlignment w:val="center"/>
                      <w:rPr>
                        <w:color w:val="000000"/>
                        <w:szCs w:val="21"/>
                      </w:rPr>
                    </w:pPr>
                    <w:r>
                      <w:rPr>
                        <w:rFonts w:eastAsia="微软雅黑"/>
                        <w:color w:val="000000"/>
                        <w:sz w:val="20"/>
                        <w:szCs w:val="20"/>
                      </w:rPr>
                      <w:t>2,087,076,992</w:t>
                    </w:r>
                  </w:p>
                </w:tc>
              </w:tr>
            </w:tbl>
            <w:p w:rsidR="009752D5" w:rsidRDefault="009752D5" w:rsidP="009752D5">
              <w:pPr>
                <w:rPr>
                  <w:szCs w:val="21"/>
                </w:rPr>
              </w:pPr>
            </w:p>
            <w:p w:rsidR="009752D5" w:rsidRDefault="00BB38EA" w:rsidP="00BB38EA">
              <w:pPr>
                <w:widowControl w:val="0"/>
                <w:jc w:val="both"/>
                <w:rPr>
                  <w:b/>
                  <w:bCs/>
                  <w:szCs w:val="21"/>
                </w:rPr>
              </w:pPr>
              <w:r>
                <w:rPr>
                  <w:rFonts w:hint="eastAsia"/>
                  <w:b/>
                  <w:bCs/>
                  <w:szCs w:val="21"/>
                </w:rPr>
                <w:t>2.</w:t>
              </w:r>
              <w:r w:rsidR="009752D5">
                <w:rPr>
                  <w:rFonts w:hint="eastAsia"/>
                  <w:b/>
                  <w:bCs/>
                  <w:szCs w:val="21"/>
                </w:rPr>
                <w:t>主要参股公司情况</w:t>
              </w:r>
            </w:p>
            <w:p w:rsidR="009752D5" w:rsidRDefault="009752D5" w:rsidP="009752D5">
              <w:pPr>
                <w:jc w:val="right"/>
                <w:rPr>
                  <w:szCs w:val="21"/>
                </w:rPr>
              </w:pPr>
              <w:r>
                <w:rPr>
                  <w:rFonts w:hint="eastAsia"/>
                  <w:szCs w:val="21"/>
                </w:rPr>
                <w:t>单位：万元</w:t>
              </w:r>
            </w:p>
            <w:tbl>
              <w:tblPr>
                <w:tblW w:w="50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1681"/>
                <w:gridCol w:w="4315"/>
                <w:gridCol w:w="1427"/>
                <w:gridCol w:w="1427"/>
              </w:tblGrid>
              <w:tr w:rsidR="009752D5" w:rsidTr="00326B19">
                <w:trPr>
                  <w:trHeight w:val="142"/>
                  <w:tblHeader/>
                  <w:jc w:val="center"/>
                </w:trPr>
                <w:tc>
                  <w:tcPr>
                    <w:tcW w:w="949" w:type="pct"/>
                    <w:tcBorders>
                      <w:top w:val="single" w:sz="4" w:space="0" w:color="auto"/>
                      <w:left w:val="single" w:sz="4" w:space="0" w:color="auto"/>
                      <w:bottom w:val="single" w:sz="4" w:space="0" w:color="auto"/>
                      <w:right w:val="single" w:sz="4" w:space="0" w:color="auto"/>
                    </w:tcBorders>
                    <w:vAlign w:val="center"/>
                  </w:tcPr>
                  <w:p w:rsidR="009752D5" w:rsidRDefault="009752D5" w:rsidP="00326B19">
                    <w:pPr>
                      <w:jc w:val="center"/>
                      <w:rPr>
                        <w:b/>
                        <w:szCs w:val="21"/>
                      </w:rPr>
                    </w:pPr>
                    <w:r>
                      <w:rPr>
                        <w:rFonts w:hint="eastAsia"/>
                        <w:b/>
                        <w:szCs w:val="21"/>
                      </w:rPr>
                      <w:t>公司名称</w:t>
                    </w:r>
                  </w:p>
                </w:tc>
                <w:tc>
                  <w:tcPr>
                    <w:tcW w:w="2437" w:type="pct"/>
                    <w:tcBorders>
                      <w:top w:val="single" w:sz="4" w:space="0" w:color="auto"/>
                      <w:left w:val="single" w:sz="4" w:space="0" w:color="auto"/>
                      <w:bottom w:val="single" w:sz="4" w:space="0" w:color="auto"/>
                      <w:right w:val="single" w:sz="4" w:space="0" w:color="auto"/>
                    </w:tcBorders>
                    <w:vAlign w:val="center"/>
                  </w:tcPr>
                  <w:p w:rsidR="009752D5" w:rsidRDefault="009752D5" w:rsidP="00326B19">
                    <w:pPr>
                      <w:jc w:val="center"/>
                      <w:rPr>
                        <w:b/>
                        <w:szCs w:val="21"/>
                      </w:rPr>
                    </w:pPr>
                    <w:r>
                      <w:rPr>
                        <w:rFonts w:hint="eastAsia"/>
                        <w:b/>
                        <w:szCs w:val="21"/>
                      </w:rPr>
                      <w:t>主要产品或服务</w:t>
                    </w:r>
                  </w:p>
                </w:tc>
                <w:tc>
                  <w:tcPr>
                    <w:tcW w:w="806" w:type="pct"/>
                    <w:tcBorders>
                      <w:top w:val="single" w:sz="4" w:space="0" w:color="auto"/>
                      <w:left w:val="single" w:sz="4" w:space="0" w:color="auto"/>
                      <w:bottom w:val="single" w:sz="4" w:space="0" w:color="auto"/>
                      <w:right w:val="single" w:sz="4" w:space="0" w:color="auto"/>
                    </w:tcBorders>
                    <w:vAlign w:val="center"/>
                  </w:tcPr>
                  <w:p w:rsidR="009752D5" w:rsidRDefault="009752D5" w:rsidP="006F32FB">
                    <w:pPr>
                      <w:spacing w:beforeLines="50" w:afterLines="50"/>
                      <w:jc w:val="center"/>
                      <w:rPr>
                        <w:b/>
                        <w:szCs w:val="21"/>
                      </w:rPr>
                    </w:pPr>
                    <w:r>
                      <w:rPr>
                        <w:rFonts w:hint="eastAsia"/>
                        <w:b/>
                        <w:szCs w:val="21"/>
                      </w:rPr>
                      <w:t>注册资本</w:t>
                    </w:r>
                  </w:p>
                </w:tc>
                <w:tc>
                  <w:tcPr>
                    <w:tcW w:w="806" w:type="pct"/>
                    <w:tcBorders>
                      <w:top w:val="single" w:sz="4" w:space="0" w:color="auto"/>
                      <w:left w:val="single" w:sz="4" w:space="0" w:color="auto"/>
                      <w:bottom w:val="single" w:sz="4" w:space="0" w:color="auto"/>
                    </w:tcBorders>
                    <w:vAlign w:val="center"/>
                  </w:tcPr>
                  <w:p w:rsidR="009752D5" w:rsidRDefault="009752D5" w:rsidP="00326B19">
                    <w:pPr>
                      <w:jc w:val="center"/>
                      <w:rPr>
                        <w:b/>
                        <w:szCs w:val="21"/>
                      </w:rPr>
                    </w:pPr>
                    <w:r>
                      <w:rPr>
                        <w:rFonts w:hint="eastAsia"/>
                        <w:b/>
                        <w:szCs w:val="21"/>
                      </w:rPr>
                      <w:t>权益比例</w:t>
                    </w:r>
                  </w:p>
                </w:tc>
              </w:tr>
              <w:tr w:rsidR="009752D5" w:rsidTr="00326B19">
                <w:trPr>
                  <w:tblHeader/>
                  <w:jc w:val="center"/>
                </w:trPr>
                <w:tc>
                  <w:tcPr>
                    <w:tcW w:w="949" w:type="pct"/>
                    <w:tcBorders>
                      <w:top w:val="single" w:sz="4" w:space="0" w:color="auto"/>
                      <w:left w:val="single" w:sz="4" w:space="0" w:color="auto"/>
                      <w:bottom w:val="single" w:sz="4" w:space="0" w:color="auto"/>
                      <w:right w:val="single" w:sz="4" w:space="0" w:color="auto"/>
                    </w:tcBorders>
                    <w:vAlign w:val="center"/>
                  </w:tcPr>
                  <w:p w:rsidR="009752D5" w:rsidRDefault="009752D5" w:rsidP="00326B19">
                    <w:pPr>
                      <w:jc w:val="center"/>
                      <w:rPr>
                        <w:szCs w:val="21"/>
                      </w:rPr>
                    </w:pPr>
                    <w:r>
                      <w:rPr>
                        <w:rFonts w:hint="eastAsia"/>
                        <w:szCs w:val="21"/>
                      </w:rPr>
                      <w:t>朔黄公司</w:t>
                    </w:r>
                  </w:p>
                </w:tc>
                <w:tc>
                  <w:tcPr>
                    <w:tcW w:w="2437" w:type="pct"/>
                    <w:tcBorders>
                      <w:top w:val="single" w:sz="4" w:space="0" w:color="auto"/>
                      <w:left w:val="single" w:sz="4" w:space="0" w:color="auto"/>
                      <w:bottom w:val="single" w:sz="4" w:space="0" w:color="auto"/>
                      <w:right w:val="single" w:sz="4" w:space="0" w:color="auto"/>
                    </w:tcBorders>
                    <w:vAlign w:val="center"/>
                  </w:tcPr>
                  <w:p w:rsidR="009752D5" w:rsidRDefault="009752D5" w:rsidP="00326B19">
                    <w:pPr>
                      <w:ind w:leftChars="30" w:left="63" w:rightChars="30" w:right="63"/>
                      <w:rPr>
                        <w:szCs w:val="21"/>
                      </w:rPr>
                    </w:pPr>
                    <w:r>
                      <w:rPr>
                        <w:rFonts w:hint="eastAsia"/>
                        <w:szCs w:val="21"/>
                      </w:rPr>
                      <w:t>煤炭经营及铁路运输</w:t>
                    </w:r>
                  </w:p>
                </w:tc>
                <w:tc>
                  <w:tcPr>
                    <w:tcW w:w="806" w:type="pct"/>
                    <w:tcBorders>
                      <w:top w:val="single" w:sz="4" w:space="0" w:color="auto"/>
                      <w:left w:val="single" w:sz="4" w:space="0" w:color="auto"/>
                      <w:bottom w:val="single" w:sz="4" w:space="0" w:color="auto"/>
                      <w:right w:val="single" w:sz="4" w:space="0" w:color="auto"/>
                    </w:tcBorders>
                    <w:vAlign w:val="center"/>
                  </w:tcPr>
                  <w:p w:rsidR="009752D5" w:rsidRDefault="009752D5" w:rsidP="00326B19">
                    <w:pPr>
                      <w:ind w:rightChars="50" w:right="105"/>
                      <w:jc w:val="right"/>
                      <w:rPr>
                        <w:szCs w:val="21"/>
                      </w:rPr>
                    </w:pPr>
                    <w:r>
                      <w:rPr>
                        <w:szCs w:val="21"/>
                      </w:rPr>
                      <w:t>1,523,115</w:t>
                    </w:r>
                  </w:p>
                </w:tc>
                <w:tc>
                  <w:tcPr>
                    <w:tcW w:w="806" w:type="pct"/>
                    <w:tcBorders>
                      <w:top w:val="single" w:sz="4" w:space="0" w:color="auto"/>
                      <w:left w:val="single" w:sz="4" w:space="0" w:color="auto"/>
                      <w:bottom w:val="single" w:sz="4" w:space="0" w:color="auto"/>
                    </w:tcBorders>
                    <w:vAlign w:val="center"/>
                  </w:tcPr>
                  <w:p w:rsidR="009752D5" w:rsidRDefault="009752D5" w:rsidP="00326B19">
                    <w:pPr>
                      <w:ind w:rightChars="50" w:right="105"/>
                      <w:jc w:val="right"/>
                      <w:rPr>
                        <w:szCs w:val="21"/>
                      </w:rPr>
                    </w:pPr>
                    <w:r>
                      <w:rPr>
                        <w:szCs w:val="21"/>
                      </w:rPr>
                      <w:t>41.16%</w:t>
                    </w:r>
                  </w:p>
                </w:tc>
              </w:tr>
              <w:tr w:rsidR="009752D5" w:rsidTr="00326B19">
                <w:trPr>
                  <w:tblHeader/>
                  <w:jc w:val="center"/>
                </w:trPr>
                <w:tc>
                  <w:tcPr>
                    <w:tcW w:w="949" w:type="pct"/>
                    <w:tcBorders>
                      <w:top w:val="single" w:sz="4" w:space="0" w:color="auto"/>
                      <w:left w:val="single" w:sz="4" w:space="0" w:color="auto"/>
                      <w:bottom w:val="single" w:sz="4" w:space="0" w:color="auto"/>
                      <w:right w:val="single" w:sz="4" w:space="0" w:color="auto"/>
                    </w:tcBorders>
                    <w:vAlign w:val="center"/>
                  </w:tcPr>
                  <w:p w:rsidR="009752D5" w:rsidRDefault="009752D5" w:rsidP="00326B19">
                    <w:pPr>
                      <w:jc w:val="center"/>
                      <w:rPr>
                        <w:szCs w:val="21"/>
                      </w:rPr>
                    </w:pPr>
                    <w:r>
                      <w:rPr>
                        <w:rFonts w:hint="eastAsia"/>
                        <w:szCs w:val="21"/>
                      </w:rPr>
                      <w:t>浩吉铁路</w:t>
                    </w:r>
                  </w:p>
                </w:tc>
                <w:tc>
                  <w:tcPr>
                    <w:tcW w:w="2437" w:type="pct"/>
                    <w:tcBorders>
                      <w:top w:val="single" w:sz="4" w:space="0" w:color="auto"/>
                      <w:left w:val="single" w:sz="4" w:space="0" w:color="auto"/>
                      <w:bottom w:val="single" w:sz="4" w:space="0" w:color="auto"/>
                      <w:right w:val="single" w:sz="4" w:space="0" w:color="auto"/>
                    </w:tcBorders>
                    <w:vAlign w:val="center"/>
                  </w:tcPr>
                  <w:p w:rsidR="009752D5" w:rsidRDefault="009752D5" w:rsidP="00326B19">
                    <w:pPr>
                      <w:ind w:leftChars="30" w:left="63" w:rightChars="30" w:right="63"/>
                      <w:rPr>
                        <w:szCs w:val="21"/>
                      </w:rPr>
                    </w:pPr>
                    <w:r>
                      <w:rPr>
                        <w:rFonts w:hint="eastAsia"/>
                        <w:szCs w:val="21"/>
                      </w:rPr>
                      <w:t>铁路货物运输等</w:t>
                    </w:r>
                  </w:p>
                </w:tc>
                <w:tc>
                  <w:tcPr>
                    <w:tcW w:w="806" w:type="pct"/>
                    <w:tcBorders>
                      <w:top w:val="single" w:sz="4" w:space="0" w:color="auto"/>
                      <w:left w:val="single" w:sz="4" w:space="0" w:color="auto"/>
                      <w:bottom w:val="single" w:sz="4" w:space="0" w:color="auto"/>
                      <w:right w:val="single" w:sz="4" w:space="0" w:color="auto"/>
                    </w:tcBorders>
                    <w:vAlign w:val="center"/>
                  </w:tcPr>
                  <w:p w:rsidR="009752D5" w:rsidRDefault="009752D5" w:rsidP="00326B19">
                    <w:pPr>
                      <w:ind w:rightChars="50" w:right="105"/>
                      <w:jc w:val="right"/>
                      <w:rPr>
                        <w:szCs w:val="21"/>
                      </w:rPr>
                    </w:pPr>
                    <w:r>
                      <w:rPr>
                        <w:rFonts w:hint="eastAsia"/>
                        <w:szCs w:val="21"/>
                      </w:rPr>
                      <w:t>5,985,000</w:t>
                    </w:r>
                  </w:p>
                </w:tc>
                <w:tc>
                  <w:tcPr>
                    <w:tcW w:w="806" w:type="pct"/>
                    <w:tcBorders>
                      <w:top w:val="single" w:sz="4" w:space="0" w:color="auto"/>
                      <w:left w:val="single" w:sz="4" w:space="0" w:color="auto"/>
                      <w:bottom w:val="single" w:sz="4" w:space="0" w:color="auto"/>
                    </w:tcBorders>
                    <w:vAlign w:val="center"/>
                  </w:tcPr>
                  <w:p w:rsidR="009752D5" w:rsidRDefault="009752D5" w:rsidP="00326B19">
                    <w:pPr>
                      <w:ind w:rightChars="50" w:right="105"/>
                      <w:jc w:val="right"/>
                      <w:rPr>
                        <w:szCs w:val="21"/>
                      </w:rPr>
                    </w:pPr>
                    <w:r>
                      <w:rPr>
                        <w:rFonts w:hint="eastAsia"/>
                        <w:szCs w:val="21"/>
                      </w:rPr>
                      <w:t>10</w:t>
                    </w:r>
                    <w:r w:rsidR="005E5E79">
                      <w:rPr>
                        <w:rFonts w:hint="eastAsia"/>
                        <w:szCs w:val="21"/>
                      </w:rPr>
                      <w:t>.0</w:t>
                    </w:r>
                    <w:r w:rsidR="005E5E79">
                      <w:rPr>
                        <w:szCs w:val="21"/>
                      </w:rPr>
                      <w:t>0</w:t>
                    </w:r>
                    <w:r>
                      <w:rPr>
                        <w:rFonts w:hint="eastAsia"/>
                        <w:szCs w:val="21"/>
                      </w:rPr>
                      <w:t>%</w:t>
                    </w:r>
                  </w:p>
                </w:tc>
              </w:tr>
              <w:tr w:rsidR="009752D5" w:rsidTr="00326B19">
                <w:trPr>
                  <w:tblHeader/>
                  <w:jc w:val="center"/>
                </w:trPr>
                <w:tc>
                  <w:tcPr>
                    <w:tcW w:w="949" w:type="pct"/>
                    <w:tcBorders>
                      <w:top w:val="single" w:sz="4" w:space="0" w:color="auto"/>
                      <w:left w:val="single" w:sz="4" w:space="0" w:color="auto"/>
                      <w:bottom w:val="single" w:sz="4" w:space="0" w:color="auto"/>
                      <w:right w:val="single" w:sz="4" w:space="0" w:color="auto"/>
                    </w:tcBorders>
                    <w:vAlign w:val="center"/>
                  </w:tcPr>
                  <w:p w:rsidR="009752D5" w:rsidRDefault="009752D5" w:rsidP="00326B19">
                    <w:pPr>
                      <w:jc w:val="center"/>
                      <w:rPr>
                        <w:szCs w:val="21"/>
                      </w:rPr>
                    </w:pPr>
                    <w:r>
                      <w:rPr>
                        <w:rFonts w:hint="eastAsia"/>
                        <w:szCs w:val="21"/>
                      </w:rPr>
                      <w:t>秦港股份</w:t>
                    </w:r>
                  </w:p>
                </w:tc>
                <w:tc>
                  <w:tcPr>
                    <w:tcW w:w="2437" w:type="pct"/>
                    <w:tcBorders>
                      <w:top w:val="single" w:sz="4" w:space="0" w:color="auto"/>
                      <w:left w:val="single" w:sz="4" w:space="0" w:color="auto"/>
                      <w:bottom w:val="single" w:sz="4" w:space="0" w:color="auto"/>
                      <w:right w:val="single" w:sz="4" w:space="0" w:color="auto"/>
                    </w:tcBorders>
                    <w:vAlign w:val="center"/>
                  </w:tcPr>
                  <w:p w:rsidR="009752D5" w:rsidRDefault="009752D5" w:rsidP="00326B19">
                    <w:pPr>
                      <w:ind w:leftChars="30" w:left="63" w:rightChars="30" w:right="63"/>
                      <w:rPr>
                        <w:szCs w:val="21"/>
                      </w:rPr>
                    </w:pPr>
                    <w:r>
                      <w:rPr>
                        <w:rFonts w:hint="eastAsia"/>
                        <w:szCs w:val="21"/>
                      </w:rPr>
                      <w:t>港口装卸、仓储、运输和计量服务等</w:t>
                    </w:r>
                  </w:p>
                </w:tc>
                <w:tc>
                  <w:tcPr>
                    <w:tcW w:w="806" w:type="pct"/>
                    <w:tcBorders>
                      <w:top w:val="single" w:sz="4" w:space="0" w:color="auto"/>
                      <w:left w:val="single" w:sz="4" w:space="0" w:color="auto"/>
                      <w:bottom w:val="single" w:sz="4" w:space="0" w:color="auto"/>
                      <w:right w:val="single" w:sz="4" w:space="0" w:color="auto"/>
                    </w:tcBorders>
                    <w:vAlign w:val="center"/>
                  </w:tcPr>
                  <w:p w:rsidR="009752D5" w:rsidRDefault="009752D5" w:rsidP="00326B19">
                    <w:pPr>
                      <w:ind w:rightChars="50" w:right="105"/>
                      <w:jc w:val="right"/>
                      <w:rPr>
                        <w:szCs w:val="21"/>
                      </w:rPr>
                    </w:pPr>
                    <w:r>
                      <w:rPr>
                        <w:szCs w:val="21"/>
                      </w:rPr>
                      <w:t>558,741</w:t>
                    </w:r>
                  </w:p>
                </w:tc>
                <w:tc>
                  <w:tcPr>
                    <w:tcW w:w="806" w:type="pct"/>
                    <w:tcBorders>
                      <w:top w:val="single" w:sz="4" w:space="0" w:color="auto"/>
                      <w:left w:val="single" w:sz="4" w:space="0" w:color="auto"/>
                      <w:bottom w:val="single" w:sz="4" w:space="0" w:color="auto"/>
                    </w:tcBorders>
                    <w:vAlign w:val="center"/>
                  </w:tcPr>
                  <w:p w:rsidR="009752D5" w:rsidRDefault="009752D5" w:rsidP="00326B19">
                    <w:pPr>
                      <w:ind w:rightChars="50" w:right="105"/>
                      <w:jc w:val="right"/>
                      <w:rPr>
                        <w:szCs w:val="21"/>
                      </w:rPr>
                    </w:pPr>
                    <w:r>
                      <w:rPr>
                        <w:szCs w:val="21"/>
                      </w:rPr>
                      <w:t>0.77%</w:t>
                    </w:r>
                  </w:p>
                </w:tc>
              </w:tr>
            </w:tbl>
            <w:p w:rsidR="009752D5" w:rsidRDefault="009752D5" w:rsidP="009752D5">
              <w:pPr>
                <w:rPr>
                  <w:szCs w:val="21"/>
                </w:rPr>
              </w:pPr>
            </w:p>
            <w:p w:rsidR="00806678" w:rsidRDefault="005E5E79">
              <w:pPr>
                <w:rPr>
                  <w:szCs w:val="21"/>
                </w:rPr>
              </w:pPr>
              <w:r>
                <w:rPr>
                  <w:rFonts w:hint="eastAsia"/>
                  <w:szCs w:val="21"/>
                </w:rPr>
                <w:t>本年</w:t>
              </w:r>
              <w:r w:rsidR="009752D5" w:rsidRPr="008C119A">
                <w:rPr>
                  <w:szCs w:val="21"/>
                </w:rPr>
                <w:t>朔黄公司实现营业收入</w:t>
              </w:r>
              <w:r w:rsidR="008C119A" w:rsidRPr="008C119A">
                <w:rPr>
                  <w:szCs w:val="21"/>
                </w:rPr>
                <w:t>21,662,865,183</w:t>
              </w:r>
              <w:r w:rsidR="009752D5" w:rsidRPr="008C119A">
                <w:rPr>
                  <w:szCs w:val="21"/>
                </w:rPr>
                <w:t>元，归属于母公司净利润</w:t>
              </w:r>
              <w:r w:rsidR="008C119A" w:rsidRPr="008C119A">
                <w:rPr>
                  <w:szCs w:val="21"/>
                </w:rPr>
                <w:t>6,511,213,581</w:t>
              </w:r>
              <w:r w:rsidR="009752D5" w:rsidRPr="008C119A">
                <w:rPr>
                  <w:szCs w:val="21"/>
                </w:rPr>
                <w:t>元，</w:t>
              </w:r>
              <w:r w:rsidR="009752D5">
                <w:rPr>
                  <w:szCs w:val="21"/>
                </w:rPr>
                <w:t>公司收到朔黄公司现金股利</w:t>
              </w:r>
              <w:r w:rsidR="009752D5">
                <w:rPr>
                  <w:rFonts w:hint="eastAsia"/>
                  <w:szCs w:val="21"/>
                </w:rPr>
                <w:t>2,871,943,54</w:t>
              </w:r>
              <w:r w:rsidR="00B64F2B">
                <w:rPr>
                  <w:szCs w:val="21"/>
                </w:rPr>
                <w:t>6</w:t>
              </w:r>
              <w:r w:rsidR="009752D5">
                <w:rPr>
                  <w:szCs w:val="21"/>
                </w:rPr>
                <w:t>元。本</w:t>
              </w:r>
              <w:r>
                <w:rPr>
                  <w:rFonts w:hint="eastAsia"/>
                  <w:szCs w:val="21"/>
                </w:rPr>
                <w:t>年</w:t>
              </w:r>
              <w:r w:rsidR="009752D5">
                <w:rPr>
                  <w:szCs w:val="21"/>
                </w:rPr>
                <w:t>公司收到秦港股份现金股利</w:t>
              </w:r>
              <w:r w:rsidR="009752D5">
                <w:rPr>
                  <w:rFonts w:hint="eastAsia"/>
                  <w:szCs w:val="21"/>
                </w:rPr>
                <w:t>2,394,000</w:t>
              </w:r>
              <w:r w:rsidR="009752D5">
                <w:rPr>
                  <w:szCs w:val="21"/>
                </w:rPr>
                <w:t>元</w:t>
              </w:r>
              <w:r w:rsidR="009752D5">
                <w:rPr>
                  <w:rFonts w:hint="eastAsia"/>
                  <w:szCs w:val="21"/>
                </w:rPr>
                <w:t>。</w:t>
              </w:r>
            </w:p>
          </w:sdtContent>
        </w:sdt>
      </w:sdtContent>
    </w:sdt>
    <w:sdt>
      <w:sdtPr>
        <w:rPr>
          <w:rFonts w:ascii="宋体" w:hAnsi="宋体" w:cs="宋体"/>
          <w:b w:val="0"/>
          <w:bCs w:val="0"/>
          <w:kern w:val="0"/>
          <w:szCs w:val="21"/>
        </w:rPr>
        <w:alias w:val="模块:公司控制的结构化主体情况"/>
        <w:tag w:val="_SEC_9484614c8eb4420fbc64d1a31f33de49"/>
        <w:id w:val="8547565"/>
        <w:lock w:val="sdtLocked"/>
        <w:placeholder>
          <w:docPart w:val="GBC22222222222222222222222222222"/>
        </w:placeholder>
      </w:sdtPr>
      <w:sdtEndPr>
        <w:rPr>
          <w:rFonts w:hint="eastAsia"/>
        </w:rPr>
      </w:sdtEndPr>
      <w:sdtContent>
        <w:p w:rsidR="00806678" w:rsidRDefault="00B16377">
          <w:pPr>
            <w:pStyle w:val="3"/>
            <w:numPr>
              <w:ilvl w:val="0"/>
              <w:numId w:val="8"/>
            </w:numPr>
            <w:ind w:hangingChars="200"/>
            <w:rPr>
              <w:szCs w:val="21"/>
            </w:rPr>
          </w:pPr>
          <w:r>
            <w:rPr>
              <w:szCs w:val="21"/>
            </w:rPr>
            <w:t>公司控制的</w:t>
          </w:r>
          <w:r>
            <w:rPr>
              <w:rFonts w:hint="eastAsia"/>
              <w:szCs w:val="21"/>
            </w:rPr>
            <w:t>结构化</w:t>
          </w:r>
          <w:r>
            <w:rPr>
              <w:szCs w:val="21"/>
            </w:rPr>
            <w:t>主体情况</w:t>
          </w:r>
        </w:p>
        <w:sdt>
          <w:sdtPr>
            <w:rPr>
              <w:rFonts w:hint="eastAsia"/>
              <w:szCs w:val="21"/>
            </w:rPr>
            <w:alias w:val="是否适用：公司控制的结构化主体情况[双击切换]"/>
            <w:tag w:val="_GBC_844e5a5ece8c488e933f7fbfd0650339"/>
            <w:id w:val="-851186203"/>
            <w:lock w:val="sdtLocked"/>
            <w:placeholder>
              <w:docPart w:val="GBC22222222222222222222222222222"/>
            </w:placeholder>
          </w:sdtPr>
          <w:sdtContent>
            <w:p w:rsidR="00806678" w:rsidRDefault="00F80B6C">
              <w:pPr>
                <w:rPr>
                  <w:szCs w:val="21"/>
                </w:rPr>
              </w:pPr>
              <w:r>
                <w:rPr>
                  <w:szCs w:val="21"/>
                </w:rPr>
                <w:fldChar w:fldCharType="begin"/>
              </w:r>
              <w:r w:rsidR="009752D5">
                <w:rPr>
                  <w:szCs w:val="21"/>
                </w:rPr>
                <w:instrText xml:space="preserve"> MACROBUTTON  SnrToggleCheckbox □适用  </w:instrText>
              </w:r>
              <w:r>
                <w:rPr>
                  <w:szCs w:val="21"/>
                </w:rPr>
                <w:fldChar w:fldCharType="end"/>
              </w:r>
              <w:r>
                <w:rPr>
                  <w:szCs w:val="21"/>
                </w:rPr>
                <w:fldChar w:fldCharType="begin"/>
              </w:r>
              <w:r w:rsidR="009752D5">
                <w:rPr>
                  <w:szCs w:val="21"/>
                </w:rPr>
                <w:instrText xml:space="preserve"> MACROBUTTON  SnrToggleCheckbox √不适用 </w:instrText>
              </w:r>
              <w:r>
                <w:rPr>
                  <w:szCs w:val="21"/>
                </w:rPr>
                <w:fldChar w:fldCharType="end"/>
              </w:r>
            </w:p>
          </w:sdtContent>
        </w:sdt>
      </w:sdtContent>
    </w:sdt>
    <w:p w:rsidR="00806678" w:rsidRDefault="00B16377">
      <w:pPr>
        <w:pStyle w:val="2"/>
        <w:numPr>
          <w:ilvl w:val="0"/>
          <w:numId w:val="16"/>
        </w:numPr>
        <w:ind w:left="422" w:hangingChars="200" w:hanging="422"/>
      </w:pPr>
      <w:r>
        <w:rPr>
          <w:rFonts w:hint="eastAsia"/>
        </w:rPr>
        <w:t>公司</w:t>
      </w:r>
      <w:r>
        <w:t>关于公司未来发展的讨论与分析</w:t>
      </w:r>
    </w:p>
    <w:sdt>
      <w:sdtPr>
        <w:rPr>
          <w:rFonts w:ascii="宋体" w:hAnsi="宋体" w:cs="宋体"/>
          <w:b w:val="0"/>
          <w:bCs w:val="0"/>
          <w:kern w:val="0"/>
          <w:szCs w:val="21"/>
        </w:rPr>
        <w:alias w:val="模块:行业格局和趋势"/>
        <w:tag w:val="_SEC_976db14dc0c94659822643e3f19cce9e"/>
        <w:id w:val="1198249"/>
        <w:lock w:val="sdtLocked"/>
        <w:placeholder>
          <w:docPart w:val="GBC22222222222222222222222222222"/>
        </w:placeholder>
      </w:sdtPr>
      <w:sdtEndPr>
        <w:rPr>
          <w:rFonts w:hint="eastAsia"/>
        </w:rPr>
      </w:sdtEndPr>
      <w:sdtContent>
        <w:p w:rsidR="00806678" w:rsidRDefault="00B16377" w:rsidP="00FF17C7">
          <w:pPr>
            <w:pStyle w:val="3"/>
            <w:numPr>
              <w:ilvl w:val="3"/>
              <w:numId w:val="28"/>
            </w:numPr>
            <w:ind w:left="420" w:hangingChars="200"/>
            <w:rPr>
              <w:szCs w:val="21"/>
            </w:rPr>
          </w:pPr>
          <w:r>
            <w:rPr>
              <w:szCs w:val="21"/>
            </w:rPr>
            <w:t>行业格局和趋势</w:t>
          </w:r>
        </w:p>
        <w:sdt>
          <w:sdtPr>
            <w:rPr>
              <w:rFonts w:hint="eastAsia"/>
              <w:szCs w:val="21"/>
            </w:rPr>
            <w:alias w:val="是否适用：行业格局和趋势[双击切换]"/>
            <w:tag w:val="_GBC_da53e2a4423f4116b5d03ba76b630af9"/>
            <w:id w:val="-147522307"/>
            <w:lock w:val="sdtLocked"/>
            <w:placeholder>
              <w:docPart w:val="GBC22222222222222222222222222222"/>
            </w:placeholder>
          </w:sdtPr>
          <w:sdtContent>
            <w:p w:rsidR="00806678" w:rsidRDefault="00F80B6C">
              <w:pPr>
                <w:rPr>
                  <w:szCs w:val="21"/>
                </w:rPr>
              </w:pPr>
              <w:r>
                <w:rPr>
                  <w:szCs w:val="21"/>
                </w:rPr>
                <w:fldChar w:fldCharType="begin"/>
              </w:r>
              <w:r w:rsidR="00BE07E9">
                <w:rPr>
                  <w:szCs w:val="21"/>
                </w:rPr>
                <w:instrText xml:space="preserve"> MACROBUTTON  SnrToggleCheckbox √适用  </w:instrText>
              </w:r>
              <w:r>
                <w:rPr>
                  <w:szCs w:val="21"/>
                </w:rPr>
                <w:fldChar w:fldCharType="end"/>
              </w:r>
              <w:r>
                <w:rPr>
                  <w:szCs w:val="21"/>
                </w:rPr>
                <w:fldChar w:fldCharType="begin"/>
              </w:r>
              <w:r w:rsidR="00BE07E9">
                <w:rPr>
                  <w:szCs w:val="21"/>
                </w:rPr>
                <w:instrText xml:space="preserve"> MACROBUTTON  SnrToggleCheckbox □不适用 </w:instrText>
              </w:r>
              <w:r>
                <w:rPr>
                  <w:szCs w:val="21"/>
                </w:rPr>
                <w:fldChar w:fldCharType="end"/>
              </w:r>
            </w:p>
          </w:sdtContent>
        </w:sdt>
        <w:sdt>
          <w:sdtPr>
            <w:rPr>
              <w:rFonts w:hint="eastAsia"/>
              <w:szCs w:val="21"/>
            </w:rPr>
            <w:alias w:val="行业竞争格局和发展趋势"/>
            <w:tag w:val="_GBC_c38788dc300c4c4592543c5db64e9308"/>
            <w:id w:val="-1936435364"/>
            <w:lock w:val="sdtLocked"/>
            <w:placeholder>
              <w:docPart w:val="GBC22222222222222222222222222222"/>
            </w:placeholder>
          </w:sdtPr>
          <w:sdtContent>
            <w:p w:rsidR="00BE07E9" w:rsidRDefault="00BE07E9" w:rsidP="00BE07E9">
              <w:pPr>
                <w:spacing w:line="360" w:lineRule="auto"/>
                <w:ind w:firstLineChars="200" w:firstLine="420"/>
                <w:rPr>
                  <w:szCs w:val="21"/>
                </w:rPr>
              </w:pPr>
              <w:r>
                <w:rPr>
                  <w:rFonts w:hint="eastAsia"/>
                  <w:szCs w:val="21"/>
                </w:rPr>
                <w:t>从行业发展看，中央经济工作会议指出，我国经济韧性强、潜力大、活力足，2023年国民经济运行有望整体向好回升。随着国家拉动消费、扩大投资等相关政策的</w:t>
              </w:r>
              <w:r w:rsidR="00B37610">
                <w:rPr>
                  <w:rFonts w:hint="eastAsia"/>
                  <w:szCs w:val="21"/>
                </w:rPr>
                <w:t>实施推进，在能源物流需求持续释放的驱动下，铁路货运需求将相应</w:t>
              </w:r>
              <w:r>
                <w:rPr>
                  <w:rFonts w:hint="eastAsia"/>
                  <w:szCs w:val="21"/>
                </w:rPr>
                <w:t>提升。2023年3月，交通运输部发布的《推进铁水联运高质量发展行动方案（2023—2025年）》提出</w:t>
              </w:r>
              <w:r w:rsidR="004A78AD">
                <w:rPr>
                  <w:rFonts w:hint="eastAsia"/>
                  <w:szCs w:val="21"/>
                </w:rPr>
                <w:t>，</w:t>
              </w:r>
              <w:r>
                <w:rPr>
                  <w:rFonts w:hint="eastAsia"/>
                  <w:szCs w:val="21"/>
                </w:rPr>
                <w:t>“到2025年，长江干线主要港口铁路进港全覆盖，沿海主要港口铁路进港率达到90％左右，全国主要港口集装箱铁水联运量达到1400万标</w:t>
              </w:r>
              <w:r>
                <w:rPr>
                  <w:rFonts w:hint="eastAsia"/>
                  <w:szCs w:val="21"/>
                </w:rPr>
                <w:lastRenderedPageBreak/>
                <w:t>箱，年均增长率超过15％”；此前</w:t>
              </w:r>
              <w:r w:rsidRPr="00BE07E9">
                <w:rPr>
                  <w:rFonts w:hint="eastAsia"/>
                </w:rPr>
                <w:t>《“十四五”现代综合交通运输体系发展规划》中提出</w:t>
              </w:r>
              <w:r>
                <w:rPr>
                  <w:rFonts w:hint="eastAsia"/>
                  <w:szCs w:val="21"/>
                </w:rPr>
                <w:t>“深入推进运输结构调整，逐步构建以铁路、船舶为主的中长途货运系统，推动大宗货物和中长途货物运输‘公转铁’”，多项政策支持下，铁路货运在国家综合交通运输体系中的竞争力和市场份额有望进一步提升。此外，随着高铁网持续加密，“客货分线”效能显现，全国1、2、3天铁路快货物流圈加快建设，铁路既有线运输能力也将持续释放，加之集装箱、高铁快运、中欧班列等业务有序配套发展，铁路货运适应型运输、保障型运输的作用也将进一步得到发挥。</w:t>
              </w:r>
            </w:p>
            <w:p w:rsidR="00BE07E9" w:rsidRDefault="00BE07E9" w:rsidP="00BE07E9">
              <w:pPr>
                <w:spacing w:line="360" w:lineRule="auto"/>
                <w:ind w:firstLineChars="200" w:firstLine="420"/>
                <w:rPr>
                  <w:szCs w:val="21"/>
                </w:rPr>
              </w:pPr>
              <w:r>
                <w:rPr>
                  <w:rFonts w:hint="eastAsia"/>
                  <w:szCs w:val="21"/>
                </w:rPr>
                <w:t>客运方面，2023年开年以来居民出行意愿加速恢复，春运铁路单日客流高峰恢复至2019年98%；长期来看，国家持续加强战略骨干通道建设，加快贯通高铁主通道，着力提升城际和市域（郊）铁路网络化水平，建设完善智慧化、高效率的全程服务体系和多样化、高品质的产品供给体系。预计到“十四五”末，全国铁路营业里程将达到16.5万公里，其中高铁（含部分城际）5万公里左右。铁路网覆盖99.5%的20万人口以上城市，高铁网覆盖98%的50万人口以上城市。在经济增长、消费升级、出行便利性和时效性提升、客运服务质量升级等多重有利因素带动下，铁路客运量有望持续恢复和稳定增长。</w:t>
              </w:r>
            </w:p>
            <w:p w:rsidR="00BE07E9" w:rsidRDefault="00BE07E9" w:rsidP="00BE07E9">
              <w:pPr>
                <w:spacing w:line="360" w:lineRule="auto"/>
                <w:ind w:firstLineChars="200" w:firstLine="420"/>
                <w:rPr>
                  <w:szCs w:val="21"/>
                </w:rPr>
              </w:pPr>
              <w:r>
                <w:rPr>
                  <w:rFonts w:hint="eastAsia"/>
                  <w:szCs w:val="21"/>
                </w:rPr>
                <w:t>国家铁路集团立足铁路作为国家战略性、先导性、关键性重大基础设施的特性，勇当服务和支撑中国式现代化建设“火车头”。中心任务设定为，到2025年，完成“十四五”发展规划目标，基本建成“现代化铁路基础设施体系、现代化铁路运输服务体系、现代化铁路科技创新体系、现代化铁路安全保障体系、现代化铁路经营管理体系、现代化铁路治理体系”等“六个现代化体系”，推动铁路高质量发展。由此可见，国家铁路建设和</w:t>
              </w:r>
              <w:r w:rsidR="007957DE">
                <w:rPr>
                  <w:rFonts w:hint="eastAsia"/>
                  <w:szCs w:val="21"/>
                </w:rPr>
                <w:t>发展仍处于重要战略机遇期。</w:t>
              </w:r>
            </w:p>
            <w:p w:rsidR="00BE07E9" w:rsidRDefault="00BE07E9" w:rsidP="00BE07E9">
              <w:pPr>
                <w:spacing w:line="360" w:lineRule="auto"/>
                <w:ind w:firstLineChars="200" w:firstLine="420"/>
                <w:rPr>
                  <w:szCs w:val="21"/>
                </w:rPr>
              </w:pPr>
              <w:r>
                <w:rPr>
                  <w:rFonts w:hint="eastAsia"/>
                  <w:szCs w:val="21"/>
                </w:rPr>
                <w:t>从行业竞争看，“十四五”期间，国家将推进铁路行业竞争性环节市场化改革，推动具备条件的地方自主建设运营城际铁路、市域（郊）铁路，并完善铁路货运价格市场化灵活调整机制，可能引发一定程度的行业内良性竞争。此外，在我国发展综合交通运输体系背景下，多式联运加速发展，铁路行业与其他交通方式间的衔接、合作相应更加紧密。但另一方面，随着高铁开行范围和密度不断增加，以及铁路货运结构向全品类、全过程现代物流拓展，铁路与公路、航空、水运等交通运输方式在细分领域和细分市场间的竞争也将有所升级。</w:t>
              </w:r>
            </w:p>
            <w:p w:rsidR="00BE07E9" w:rsidRDefault="00BE07E9" w:rsidP="00BE07E9">
              <w:pPr>
                <w:spacing w:line="360" w:lineRule="auto"/>
                <w:ind w:firstLineChars="200" w:firstLine="420"/>
                <w:rPr>
                  <w:szCs w:val="21"/>
                </w:rPr>
              </w:pPr>
              <w:r>
                <w:rPr>
                  <w:rFonts w:hint="eastAsia"/>
                  <w:szCs w:val="21"/>
                </w:rPr>
                <w:t>从煤炭行业看，国家层面多次强调，要立足富煤贫油少气的基本国情，在降碳的同时确保能源安全，夯实国内能源生产基础，保障煤炭供应安全。据煤炭“十四五”规划，煤炭在我国能源体系中的主体作用和压舱石作用不会改变。当前和今后一段较长时期内，我国仍处于工业化、城镇化快速发展阶段，能源消费总量预计还将增加，综合考虑能源结构、地缘政治及极端天气等因素，煤炭在我国能源安全稳定供应中的兜底保障作用依然无以替代。</w:t>
              </w:r>
            </w:p>
            <w:p w:rsidR="00BE07E9" w:rsidRDefault="00BE07E9" w:rsidP="00BE07E9">
              <w:pPr>
                <w:spacing w:line="360" w:lineRule="auto"/>
                <w:ind w:firstLineChars="200" w:firstLine="420"/>
                <w:rPr>
                  <w:szCs w:val="21"/>
                </w:rPr>
              </w:pPr>
              <w:r>
                <w:rPr>
                  <w:rFonts w:hint="eastAsia"/>
                  <w:szCs w:val="21"/>
                </w:rPr>
                <w:t>需求端看，</w:t>
              </w:r>
              <w:r>
                <w:rPr>
                  <w:szCs w:val="21"/>
                </w:rPr>
                <w:t>宏观经济</w:t>
              </w:r>
              <w:r>
                <w:rPr>
                  <w:rFonts w:hint="eastAsia"/>
                  <w:szCs w:val="21"/>
                </w:rPr>
                <w:t>与</w:t>
              </w:r>
              <w:r>
                <w:rPr>
                  <w:szCs w:val="21"/>
                </w:rPr>
                <w:t>电力消费需求</w:t>
              </w:r>
              <w:r>
                <w:rPr>
                  <w:rFonts w:hint="eastAsia"/>
                  <w:szCs w:val="21"/>
                </w:rPr>
                <w:t>正相关</w:t>
              </w:r>
              <w:r>
                <w:rPr>
                  <w:szCs w:val="21"/>
                </w:rPr>
                <w:t>。</w:t>
              </w:r>
              <w:r>
                <w:rPr>
                  <w:rFonts w:hint="eastAsia"/>
                  <w:szCs w:val="21"/>
                </w:rPr>
                <w:t>新的一年，国民经济运行势头稳固向好，政府工作报告提出了GDP增长5%的目标。中国电力企业联合会</w:t>
              </w:r>
              <w:r>
                <w:rPr>
                  <w:szCs w:val="21"/>
                </w:rPr>
                <w:t>预计</w:t>
              </w:r>
              <w:r>
                <w:rPr>
                  <w:rFonts w:hint="eastAsia"/>
                  <w:szCs w:val="21"/>
                </w:rPr>
                <w:t>，在</w:t>
              </w:r>
              <w:r>
                <w:rPr>
                  <w:szCs w:val="21"/>
                </w:rPr>
                <w:t>正常气候情况下，2023年全社会用电量</w:t>
              </w:r>
              <w:r>
                <w:rPr>
                  <w:rFonts w:hint="eastAsia"/>
                  <w:szCs w:val="21"/>
                </w:rPr>
                <w:t>约为</w:t>
              </w:r>
              <w:r>
                <w:rPr>
                  <w:szCs w:val="21"/>
                </w:rPr>
                <w:t>9.15万亿千瓦时，</w:t>
              </w:r>
              <w:r>
                <w:rPr>
                  <w:rFonts w:hint="eastAsia"/>
                  <w:szCs w:val="21"/>
                </w:rPr>
                <w:t>较</w:t>
              </w:r>
              <w:r>
                <w:rPr>
                  <w:szCs w:val="21"/>
                </w:rPr>
                <w:t>2022年增长6%左右。当前，我国能源结构调整持续推进，风电和光伏发电</w:t>
              </w:r>
              <w:r>
                <w:rPr>
                  <w:rFonts w:hint="eastAsia"/>
                  <w:szCs w:val="21"/>
                </w:rPr>
                <w:t>虽</w:t>
              </w:r>
              <w:r>
                <w:rPr>
                  <w:szCs w:val="21"/>
                </w:rPr>
                <w:t>处于高增长阶段，但绝对增量有限</w:t>
              </w:r>
              <w:r>
                <w:rPr>
                  <w:rFonts w:hint="eastAsia"/>
                  <w:szCs w:val="21"/>
                </w:rPr>
                <w:t>。</w:t>
              </w:r>
              <w:r>
                <w:rPr>
                  <w:szCs w:val="21"/>
                </w:rPr>
                <w:t>火电发电量连续多年保持上升。基于确保电力能源供应安全、统筹能源安全和绿色低碳转型的综合考量，煤电仍是</w:t>
              </w:r>
              <w:r>
                <w:rPr>
                  <w:rFonts w:hint="eastAsia"/>
                  <w:szCs w:val="21"/>
                </w:rPr>
                <w:t>当前</w:t>
              </w:r>
              <w:r>
                <w:rPr>
                  <w:szCs w:val="21"/>
                </w:rPr>
                <w:t>我国电力</w:t>
              </w:r>
              <w:r>
                <w:rPr>
                  <w:rFonts w:hint="eastAsia"/>
                  <w:szCs w:val="21"/>
                </w:rPr>
                <w:t>的</w:t>
              </w:r>
              <w:r>
                <w:rPr>
                  <w:szCs w:val="21"/>
                </w:rPr>
                <w:t>供应主体，</w:t>
              </w:r>
              <w:r>
                <w:rPr>
                  <w:szCs w:val="21"/>
                </w:rPr>
                <w:lastRenderedPageBreak/>
                <w:t>其增长将带动动力煤消费需求的</w:t>
              </w:r>
              <w:r>
                <w:rPr>
                  <w:rFonts w:hint="eastAsia"/>
                  <w:szCs w:val="21"/>
                </w:rPr>
                <w:t>增加</w:t>
              </w:r>
              <w:r>
                <w:rPr>
                  <w:szCs w:val="21"/>
                </w:rPr>
                <w:t>。</w:t>
              </w:r>
              <w:r>
                <w:rPr>
                  <w:rFonts w:hint="eastAsia"/>
                  <w:szCs w:val="21"/>
                </w:rPr>
                <w:t>同时，</w:t>
              </w:r>
              <w:r>
                <w:rPr>
                  <w:szCs w:val="21"/>
                </w:rPr>
                <w:t>2023年，</w:t>
              </w:r>
              <w:r>
                <w:rPr>
                  <w:rFonts w:hint="eastAsia"/>
                  <w:szCs w:val="21"/>
                </w:rPr>
                <w:t>国家强化重要基础设施建设，</w:t>
              </w:r>
              <w:r>
                <w:rPr>
                  <w:szCs w:val="21"/>
                </w:rPr>
                <w:t>钢铁、水泥等行业</w:t>
              </w:r>
              <w:r>
                <w:rPr>
                  <w:rFonts w:hint="eastAsia"/>
                  <w:szCs w:val="21"/>
                </w:rPr>
                <w:t>产品</w:t>
              </w:r>
              <w:r>
                <w:rPr>
                  <w:szCs w:val="21"/>
                </w:rPr>
                <w:t>需求</w:t>
              </w:r>
              <w:r>
                <w:rPr>
                  <w:rFonts w:hint="eastAsia"/>
                  <w:szCs w:val="21"/>
                </w:rPr>
                <w:t>有望迎来</w:t>
              </w:r>
              <w:r>
                <w:rPr>
                  <w:szCs w:val="21"/>
                </w:rPr>
                <w:t>复苏，进而拉动煤炭消费。</w:t>
              </w:r>
              <w:r>
                <w:rPr>
                  <w:rFonts w:hint="eastAsia"/>
                  <w:szCs w:val="21"/>
                </w:rPr>
                <w:t>随着国内煤炭产量增加，长协煤采购力度加大，中长期合同履约监管继续加强，2023年煤炭市场整体预期稳定向好。但绿色转型、新能源替代等，可能对煤炭需求增速产生一定影响。</w:t>
              </w:r>
            </w:p>
            <w:p w:rsidR="00BE07E9" w:rsidRDefault="00BE07E9" w:rsidP="00BE07E9">
              <w:pPr>
                <w:spacing w:line="360" w:lineRule="auto"/>
                <w:ind w:firstLineChars="200" w:firstLine="420"/>
                <w:rPr>
                  <w:szCs w:val="21"/>
                </w:rPr>
              </w:pPr>
              <w:r>
                <w:rPr>
                  <w:rFonts w:hint="eastAsia"/>
                  <w:szCs w:val="21"/>
                </w:rPr>
                <w:t>公司层面看，当前公司在核心竞争、经营质量、发展潜力等方面具有比较优势。一是国内煤炭供需地域错位下的长期运输需求较为稳定，且煤炭生产重心加快向“三西”地区集中，公司区位优势更加凸显。根据年初发布的全国煤炭产量目标，山西、内蒙古及陕西2023年预计增产1.05亿吨，其中山西增产0.65亿吨。稳定的煤炭供应，以及长协煤的固本保障，将为公司稳定基础大宗货源，进一步利用运能提供良好支撑。二是国家“调整运输结构”的目标任务仍在延续推进。根据交通运输部《综合运输服务“十四五”发展规划》提出的“建设晋陕蒙煤炭主产区运输结构调整示范区，大力推进区域内货运铁路和铁路专用线建设，到2025年，山西、陕西、内蒙古（呼包鄂地区）大宗货物年货运量150万吨以上且有出省运输需求的煤炭矿区和煤炭物流园区铁路专用线接入比例大幅</w:t>
              </w:r>
              <w:r>
                <w:rPr>
                  <w:rFonts w:hint="eastAsia"/>
                  <w:spacing w:val="-6"/>
                  <w:szCs w:val="21"/>
                </w:rPr>
                <w:t>提升，出省（区）运距500公里以上的煤炭和焦炭铁路运输比例力争达到80%左</w:t>
              </w:r>
              <w:r>
                <w:rPr>
                  <w:rFonts w:hint="eastAsia"/>
                  <w:szCs w:val="21"/>
                </w:rPr>
                <w:t>右”目标，公司经营地域内“公转铁”仍有较大空间。同时，山西省强力推进能源领域“五个一体化”建设，聚焦交通、能源、新基建领域，谋划了一批打基础、利长远的项目，为提升管内路网联动效能提供了有力支撑。三</w:t>
              </w:r>
              <w:r w:rsidR="009031AB">
                <w:rPr>
                  <w:rFonts w:hint="eastAsia"/>
                  <w:szCs w:val="21"/>
                </w:rPr>
                <w:t>是随着路网规划、车流径路等</w:t>
              </w:r>
              <w:r>
                <w:rPr>
                  <w:rFonts w:hint="eastAsia"/>
                  <w:szCs w:val="21"/>
                </w:rPr>
                <w:t>不断完善，区域煤炭运输格局逐步</w:t>
              </w:r>
              <w:r w:rsidR="00E806A3">
                <w:rPr>
                  <w:rFonts w:hint="eastAsia"/>
                  <w:szCs w:val="21"/>
                </w:rPr>
                <w:t>趋于</w:t>
              </w:r>
              <w:r w:rsidR="002F796A">
                <w:rPr>
                  <w:rFonts w:hint="eastAsia"/>
                  <w:szCs w:val="21"/>
                </w:rPr>
                <w:t>稳定</w:t>
              </w:r>
              <w:r>
                <w:rPr>
                  <w:rFonts w:hint="eastAsia"/>
                  <w:szCs w:val="21"/>
                </w:rPr>
                <w:t>，公司参股的浩吉铁路进入盈利期。</w:t>
              </w:r>
              <w:r w:rsidR="00E806A3">
                <w:rPr>
                  <w:rFonts w:hint="eastAsia"/>
                  <w:szCs w:val="21"/>
                </w:rPr>
                <w:t>此外，公司积极推进疏港运输、增白扩箱、铁水联运等，拓展增量创收空间。四是铁路客运量持续</w:t>
              </w:r>
              <w:r>
                <w:rPr>
                  <w:rFonts w:hint="eastAsia"/>
                  <w:szCs w:val="21"/>
                </w:rPr>
                <w:t>恢复，区域经济活力不断增强，叠加“山西全域旅游铁路行”等利好政策推进，公司客运业务也将迎来快速修复。</w:t>
              </w:r>
            </w:p>
            <w:p w:rsidR="00BE07E9" w:rsidRDefault="00BE07E9" w:rsidP="00BE07E9">
              <w:pPr>
                <w:spacing w:line="360" w:lineRule="auto"/>
                <w:ind w:firstLineChars="200" w:firstLine="420"/>
                <w:rPr>
                  <w:szCs w:val="21"/>
                </w:rPr>
              </w:pPr>
              <w:r>
                <w:rPr>
                  <w:rFonts w:hint="eastAsia"/>
                  <w:szCs w:val="21"/>
                </w:rPr>
                <w:t>机遇与挑战并存。安全保障方面，公司整体安全治理能力、保障体系还需进一步提升，尤其是对重载安全规律的研究需要更加深入。运输组织方面，运输生产与设备维修需要更好地统筹协调、科学安排，运输组织整体效能还需要进一步提升。经营管理方面，大秦线运量已进入平稳</w:t>
              </w:r>
              <w:r w:rsidR="00E806A3">
                <w:rPr>
                  <w:rFonts w:hint="eastAsia"/>
                  <w:szCs w:val="21"/>
                </w:rPr>
                <w:t>运行期，依靠规模增量实现效益增长的模式受到挑战</w:t>
              </w:r>
              <w:r>
                <w:rPr>
                  <w:rFonts w:hint="eastAsia"/>
                  <w:szCs w:val="21"/>
                </w:rPr>
                <w:t>。同时，安全投入持续加大，能源价格波动，人工等刚性成本支出逐年增加等，需要公司直面挑战，多措并举，综合施策。</w:t>
              </w:r>
            </w:p>
            <w:p w:rsidR="00806678" w:rsidRDefault="00BE07E9" w:rsidP="00BE07E9">
              <w:pPr>
                <w:spacing w:line="360" w:lineRule="auto"/>
                <w:ind w:firstLineChars="200" w:firstLine="420"/>
                <w:rPr>
                  <w:szCs w:val="21"/>
                </w:rPr>
              </w:pPr>
              <w:r>
                <w:rPr>
                  <w:rFonts w:hint="eastAsia"/>
                  <w:color w:val="000000"/>
                  <w:szCs w:val="21"/>
                </w:rPr>
                <w:t>2023年，公司将紧密围绕经营目标，把握宏观形势、政策导向、企业发展等有利因素，深挖运营潜力，强化成本控制，争取更好的经营结果</w:t>
              </w:r>
              <w:r>
                <w:rPr>
                  <w:rFonts w:hint="eastAsia"/>
                  <w:szCs w:val="21"/>
                </w:rPr>
                <w:t>。</w:t>
              </w:r>
            </w:p>
          </w:sdtContent>
        </w:sdt>
      </w:sdtContent>
    </w:sdt>
    <w:sdt>
      <w:sdtPr>
        <w:rPr>
          <w:rFonts w:ascii="宋体" w:hAnsi="宋体" w:cs="宋体"/>
          <w:b w:val="0"/>
          <w:bCs w:val="0"/>
          <w:kern w:val="0"/>
          <w:szCs w:val="21"/>
        </w:rPr>
        <w:alias w:val="模块:公司发展战略"/>
        <w:tag w:val="_SEC_ddbac632a621498c889e331b6e21fcc6"/>
        <w:id w:val="1198253"/>
        <w:lock w:val="sdtLocked"/>
        <w:placeholder>
          <w:docPart w:val="GBC22222222222222222222222222222"/>
        </w:placeholder>
      </w:sdtPr>
      <w:sdtEndPr>
        <w:rPr>
          <w:rFonts w:hint="eastAsia"/>
        </w:rPr>
      </w:sdtEndPr>
      <w:sdtContent>
        <w:p w:rsidR="00806678" w:rsidRDefault="00B16377" w:rsidP="00FF17C7">
          <w:pPr>
            <w:pStyle w:val="3"/>
            <w:numPr>
              <w:ilvl w:val="3"/>
              <w:numId w:val="28"/>
            </w:numPr>
            <w:ind w:left="420" w:hangingChars="200"/>
            <w:rPr>
              <w:szCs w:val="21"/>
            </w:rPr>
          </w:pPr>
          <w:r>
            <w:rPr>
              <w:szCs w:val="21"/>
            </w:rPr>
            <w:t>公司发展战略</w:t>
          </w:r>
        </w:p>
        <w:sdt>
          <w:sdtPr>
            <w:rPr>
              <w:rFonts w:hint="eastAsia"/>
              <w:szCs w:val="21"/>
            </w:rPr>
            <w:alias w:val="是否适用：公司发展战略[双击切换]"/>
            <w:tag w:val="_GBC_5cdf4718a6044c1fbf76e22df729f9b7"/>
            <w:id w:val="2063978655"/>
            <w:lock w:val="sdtLocked"/>
            <w:placeholder>
              <w:docPart w:val="GBC22222222222222222222222222222"/>
            </w:placeholder>
          </w:sdtPr>
          <w:sdtContent>
            <w:p w:rsidR="00806678" w:rsidRDefault="00F80B6C">
              <w:pPr>
                <w:rPr>
                  <w:szCs w:val="21"/>
                </w:rPr>
              </w:pPr>
              <w:r>
                <w:rPr>
                  <w:szCs w:val="21"/>
                </w:rPr>
                <w:fldChar w:fldCharType="begin"/>
              </w:r>
              <w:r w:rsidR="003C118B">
                <w:rPr>
                  <w:szCs w:val="21"/>
                </w:rPr>
                <w:instrText xml:space="preserve"> MACROBUTTON  SnrToggleCheckbox √适用  </w:instrText>
              </w:r>
              <w:r>
                <w:rPr>
                  <w:szCs w:val="21"/>
                </w:rPr>
                <w:fldChar w:fldCharType="end"/>
              </w:r>
              <w:r>
                <w:rPr>
                  <w:szCs w:val="21"/>
                </w:rPr>
                <w:fldChar w:fldCharType="begin"/>
              </w:r>
              <w:r w:rsidR="003C118B">
                <w:rPr>
                  <w:szCs w:val="21"/>
                </w:rPr>
                <w:instrText xml:space="preserve"> MACROBUTTON  SnrToggleCheckbox □不适用 </w:instrText>
              </w:r>
              <w:r>
                <w:rPr>
                  <w:szCs w:val="21"/>
                </w:rPr>
                <w:fldChar w:fldCharType="end"/>
              </w:r>
            </w:p>
          </w:sdtContent>
        </w:sdt>
        <w:sdt>
          <w:sdtPr>
            <w:rPr>
              <w:rFonts w:hint="eastAsia"/>
              <w:szCs w:val="21"/>
            </w:rPr>
            <w:alias w:val="公司发展战略"/>
            <w:tag w:val="_GBC_afe9ed534944441fae5223f90c2521f1"/>
            <w:id w:val="1307888602"/>
            <w:lock w:val="sdtLocked"/>
            <w:placeholder>
              <w:docPart w:val="GBC22222222222222222222222222222"/>
            </w:placeholder>
          </w:sdtPr>
          <w:sdtContent>
            <w:p w:rsidR="00806678" w:rsidRDefault="003C118B" w:rsidP="003C118B">
              <w:pPr>
                <w:spacing w:line="360" w:lineRule="auto"/>
                <w:ind w:left="-11" w:firstLineChars="200" w:firstLine="420"/>
                <w:rPr>
                  <w:szCs w:val="21"/>
                </w:rPr>
              </w:pPr>
              <w:r>
                <w:rPr>
                  <w:rFonts w:hint="eastAsia"/>
                  <w:color w:val="000000"/>
                  <w:szCs w:val="32"/>
                </w:rPr>
                <w:t>统筹发展和安全，</w:t>
              </w:r>
              <w:r>
                <w:rPr>
                  <w:rFonts w:hint="eastAsia"/>
                  <w:szCs w:val="21"/>
                </w:rPr>
                <w:t>深入推进</w:t>
              </w:r>
              <w:r w:rsidR="00A228EF">
                <w:rPr>
                  <w:rFonts w:hint="eastAsia"/>
                  <w:color w:val="000000"/>
                  <w:szCs w:val="21"/>
                </w:rPr>
                <w:t>党建引领、</w:t>
              </w:r>
              <w:r>
                <w:rPr>
                  <w:rFonts w:hint="eastAsia"/>
                  <w:color w:val="000000"/>
                  <w:szCs w:val="21"/>
                </w:rPr>
                <w:t>安全强</w:t>
              </w:r>
              <w:r w:rsidR="00A228EF">
                <w:rPr>
                  <w:rFonts w:hint="eastAsia"/>
                  <w:color w:val="000000"/>
                  <w:szCs w:val="21"/>
                </w:rPr>
                <w:t>基、经营提质、补网强链、重载示范、改革驱动、文化聚力、民生福祉</w:t>
              </w:r>
              <w:r>
                <w:rPr>
                  <w:rFonts w:hint="eastAsia"/>
                  <w:color w:val="000000"/>
                  <w:szCs w:val="21"/>
                </w:rPr>
                <w:t>等“八项工程”，不断提升经营和治理水平，提升可持续发展能力和整体实力，成为专业优势明显、质量品牌突出、核心竞争力强的国铁控股上市公司，在勇当服务和</w:t>
              </w:r>
              <w:r>
                <w:rPr>
                  <w:rFonts w:hint="eastAsia"/>
                  <w:color w:val="000000"/>
                  <w:szCs w:val="32"/>
                </w:rPr>
                <w:t>支撑中国式现代化建设的“火车头”新征程中，奋力谱写大秦铁路高质量发展的新篇章。</w:t>
              </w:r>
            </w:p>
          </w:sdtContent>
        </w:sdt>
      </w:sdtContent>
    </w:sdt>
    <w:sdt>
      <w:sdtPr>
        <w:rPr>
          <w:rFonts w:ascii="宋体" w:hAnsi="宋体" w:cs="宋体"/>
          <w:b w:val="0"/>
          <w:bCs w:val="0"/>
          <w:kern w:val="0"/>
          <w:szCs w:val="21"/>
        </w:rPr>
        <w:alias w:val="模块:经营计划"/>
        <w:tag w:val="_SEC_e5dfae5745e046e6a8ba223752a1dccc"/>
        <w:id w:val="1198257"/>
        <w:lock w:val="sdtLocked"/>
        <w:placeholder>
          <w:docPart w:val="GBC22222222222222222222222222222"/>
        </w:placeholder>
      </w:sdtPr>
      <w:sdtEndPr>
        <w:rPr>
          <w:rFonts w:hint="eastAsia"/>
        </w:rPr>
      </w:sdtEndPr>
      <w:sdtContent>
        <w:p w:rsidR="00806678" w:rsidRDefault="00B16377" w:rsidP="00FF17C7">
          <w:pPr>
            <w:pStyle w:val="3"/>
            <w:numPr>
              <w:ilvl w:val="3"/>
              <w:numId w:val="28"/>
            </w:numPr>
            <w:ind w:left="420" w:hangingChars="200"/>
            <w:rPr>
              <w:szCs w:val="21"/>
            </w:rPr>
          </w:pPr>
          <w:r>
            <w:rPr>
              <w:szCs w:val="21"/>
            </w:rPr>
            <w:t>经营计划</w:t>
          </w:r>
        </w:p>
        <w:sdt>
          <w:sdtPr>
            <w:rPr>
              <w:rFonts w:hint="eastAsia"/>
              <w:szCs w:val="21"/>
            </w:rPr>
            <w:alias w:val="是否适用：经营计划[双击切换]"/>
            <w:tag w:val="_GBC_871dbf3fc5a0422cadcc3452003278de"/>
            <w:id w:val="201067941"/>
            <w:lock w:val="sdtLocked"/>
            <w:placeholder>
              <w:docPart w:val="GBC22222222222222222222222222222"/>
            </w:placeholder>
          </w:sdtPr>
          <w:sdtContent>
            <w:p w:rsidR="00806678" w:rsidRDefault="00F80B6C">
              <w:pPr>
                <w:rPr>
                  <w:szCs w:val="21"/>
                </w:rPr>
              </w:pPr>
              <w:r>
                <w:rPr>
                  <w:szCs w:val="21"/>
                </w:rPr>
                <w:fldChar w:fldCharType="begin"/>
              </w:r>
              <w:r w:rsidR="005D23FA">
                <w:rPr>
                  <w:szCs w:val="21"/>
                </w:rPr>
                <w:instrText xml:space="preserve"> MACROBUTTON  SnrToggleCheckbox √适用  </w:instrText>
              </w:r>
              <w:r>
                <w:rPr>
                  <w:szCs w:val="21"/>
                </w:rPr>
                <w:fldChar w:fldCharType="end"/>
              </w:r>
              <w:r>
                <w:rPr>
                  <w:szCs w:val="21"/>
                </w:rPr>
                <w:fldChar w:fldCharType="begin"/>
              </w:r>
              <w:r w:rsidR="005D23FA">
                <w:rPr>
                  <w:szCs w:val="21"/>
                </w:rPr>
                <w:instrText xml:space="preserve"> MACROBUTTON  SnrToggleCheckbox □不适用 </w:instrText>
              </w:r>
              <w:r>
                <w:rPr>
                  <w:szCs w:val="21"/>
                </w:rPr>
                <w:fldChar w:fldCharType="end"/>
              </w:r>
            </w:p>
          </w:sdtContent>
        </w:sdt>
        <w:sdt>
          <w:sdtPr>
            <w:rPr>
              <w:rFonts w:hint="eastAsia"/>
              <w:szCs w:val="21"/>
            </w:rPr>
            <w:alias w:val="公司经营计划"/>
            <w:tag w:val="_GBC_3f9bf7d7a36444cab37005d22ebc798c"/>
            <w:id w:val="982503802"/>
            <w:lock w:val="sdtLocked"/>
            <w:placeholder>
              <w:docPart w:val="GBC22222222222222222222222222222"/>
            </w:placeholder>
          </w:sdtPr>
          <w:sdtContent>
            <w:p w:rsidR="005D23FA" w:rsidRDefault="005D23FA" w:rsidP="005D23FA">
              <w:pPr>
                <w:widowControl w:val="0"/>
                <w:numPr>
                  <w:ilvl w:val="0"/>
                  <w:numId w:val="141"/>
                </w:numPr>
                <w:jc w:val="both"/>
                <w:rPr>
                  <w:b/>
                  <w:bCs/>
                  <w:szCs w:val="21"/>
                </w:rPr>
              </w:pPr>
              <w:r>
                <w:rPr>
                  <w:rFonts w:hint="eastAsia"/>
                  <w:b/>
                  <w:bCs/>
                  <w:szCs w:val="21"/>
                </w:rPr>
                <w:t>前期披露的发展战略和经营计划在报告期内的进展</w:t>
              </w:r>
            </w:p>
            <w:p w:rsidR="005D23FA" w:rsidRDefault="005D23FA" w:rsidP="005D23FA">
              <w:pPr>
                <w:rPr>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514"/>
                <w:gridCol w:w="1844"/>
                <w:gridCol w:w="1844"/>
                <w:gridCol w:w="1846"/>
              </w:tblGrid>
              <w:tr w:rsidR="005D23FA" w:rsidTr="00326B19">
                <w:trPr>
                  <w:trHeight w:val="180"/>
                </w:trPr>
                <w:tc>
                  <w:tcPr>
                    <w:tcW w:w="3514" w:type="dxa"/>
                    <w:vMerge w:val="restart"/>
                    <w:vAlign w:val="center"/>
                  </w:tcPr>
                  <w:p w:rsidR="005D23FA" w:rsidRDefault="005D23FA" w:rsidP="00326B19">
                    <w:pPr>
                      <w:jc w:val="center"/>
                      <w:rPr>
                        <w:rStyle w:val="52"/>
                        <w:szCs w:val="21"/>
                      </w:rPr>
                    </w:pPr>
                    <w:r>
                      <w:rPr>
                        <w:rStyle w:val="52"/>
                        <w:rFonts w:hint="eastAsia"/>
                        <w:szCs w:val="21"/>
                      </w:rPr>
                      <w:t>项目</w:t>
                    </w:r>
                  </w:p>
                </w:tc>
                <w:tc>
                  <w:tcPr>
                    <w:tcW w:w="3688" w:type="dxa"/>
                    <w:gridSpan w:val="2"/>
                    <w:vAlign w:val="center"/>
                  </w:tcPr>
                  <w:p w:rsidR="005D23FA" w:rsidRDefault="005D23FA" w:rsidP="00326B19">
                    <w:pPr>
                      <w:jc w:val="center"/>
                      <w:rPr>
                        <w:rStyle w:val="52"/>
                        <w:szCs w:val="21"/>
                      </w:rPr>
                    </w:pPr>
                    <w:r>
                      <w:rPr>
                        <w:rStyle w:val="52"/>
                        <w:rFonts w:hint="eastAsia"/>
                        <w:szCs w:val="21"/>
                      </w:rPr>
                      <w:t>经营计划</w:t>
                    </w:r>
                  </w:p>
                </w:tc>
                <w:tc>
                  <w:tcPr>
                    <w:tcW w:w="1846" w:type="dxa"/>
                    <w:vMerge w:val="restart"/>
                    <w:vAlign w:val="center"/>
                  </w:tcPr>
                  <w:p w:rsidR="005D23FA" w:rsidRDefault="005D23FA" w:rsidP="00326B19">
                    <w:pPr>
                      <w:jc w:val="center"/>
                      <w:rPr>
                        <w:rStyle w:val="52"/>
                        <w:szCs w:val="21"/>
                      </w:rPr>
                    </w:pPr>
                    <w:r>
                      <w:rPr>
                        <w:rStyle w:val="52"/>
                        <w:rFonts w:hint="eastAsia"/>
                        <w:szCs w:val="21"/>
                      </w:rPr>
                      <w:t>差异幅度</w:t>
                    </w:r>
                  </w:p>
                </w:tc>
              </w:tr>
              <w:tr w:rsidR="005D23FA" w:rsidTr="00326B19">
                <w:trPr>
                  <w:trHeight w:val="180"/>
                </w:trPr>
                <w:tc>
                  <w:tcPr>
                    <w:tcW w:w="3514" w:type="dxa"/>
                    <w:vMerge/>
                    <w:vAlign w:val="center"/>
                  </w:tcPr>
                  <w:p w:rsidR="005D23FA" w:rsidRDefault="005D23FA" w:rsidP="00326B19">
                    <w:pPr>
                      <w:jc w:val="center"/>
                      <w:rPr>
                        <w:rStyle w:val="52"/>
                        <w:b w:val="0"/>
                        <w:bCs w:val="0"/>
                        <w:szCs w:val="21"/>
                      </w:rPr>
                    </w:pPr>
                  </w:p>
                </w:tc>
                <w:tc>
                  <w:tcPr>
                    <w:tcW w:w="1844" w:type="dxa"/>
                    <w:vAlign w:val="center"/>
                  </w:tcPr>
                  <w:p w:rsidR="005D23FA" w:rsidRDefault="005D23FA" w:rsidP="00326B19">
                    <w:pPr>
                      <w:jc w:val="center"/>
                      <w:rPr>
                        <w:rStyle w:val="52"/>
                        <w:szCs w:val="21"/>
                      </w:rPr>
                    </w:pPr>
                    <w:r>
                      <w:rPr>
                        <w:rStyle w:val="52"/>
                        <w:rFonts w:hint="eastAsia"/>
                        <w:szCs w:val="21"/>
                      </w:rPr>
                      <w:t>预计数</w:t>
                    </w:r>
                  </w:p>
                </w:tc>
                <w:tc>
                  <w:tcPr>
                    <w:tcW w:w="1844" w:type="dxa"/>
                    <w:vAlign w:val="center"/>
                  </w:tcPr>
                  <w:p w:rsidR="005D23FA" w:rsidRDefault="005D23FA" w:rsidP="00326B19">
                    <w:pPr>
                      <w:tabs>
                        <w:tab w:val="left" w:pos="397"/>
                        <w:tab w:val="center" w:pos="874"/>
                      </w:tabs>
                      <w:rPr>
                        <w:rStyle w:val="52"/>
                        <w:szCs w:val="21"/>
                      </w:rPr>
                    </w:pPr>
                    <w:r>
                      <w:rPr>
                        <w:rStyle w:val="52"/>
                        <w:rFonts w:hint="eastAsia"/>
                        <w:szCs w:val="21"/>
                      </w:rPr>
                      <w:tab/>
                    </w:r>
                    <w:r>
                      <w:rPr>
                        <w:rStyle w:val="52"/>
                        <w:rFonts w:hint="eastAsia"/>
                        <w:szCs w:val="21"/>
                      </w:rPr>
                      <w:tab/>
                    </w:r>
                    <w:r>
                      <w:rPr>
                        <w:rStyle w:val="52"/>
                        <w:rFonts w:hint="eastAsia"/>
                        <w:szCs w:val="21"/>
                      </w:rPr>
                      <w:t>完成数</w:t>
                    </w:r>
                  </w:p>
                </w:tc>
                <w:tc>
                  <w:tcPr>
                    <w:tcW w:w="1846" w:type="dxa"/>
                    <w:vMerge/>
                    <w:vAlign w:val="bottom"/>
                  </w:tcPr>
                  <w:p w:rsidR="005D23FA" w:rsidRDefault="005D23FA" w:rsidP="00326B19">
                    <w:pPr>
                      <w:jc w:val="center"/>
                      <w:textAlignment w:val="bottom"/>
                      <w:rPr>
                        <w:rStyle w:val="52"/>
                        <w:b w:val="0"/>
                        <w:bCs w:val="0"/>
                        <w:szCs w:val="21"/>
                      </w:rPr>
                    </w:pPr>
                  </w:p>
                </w:tc>
              </w:tr>
              <w:tr w:rsidR="005D23FA" w:rsidTr="00326B19">
                <w:trPr>
                  <w:trHeight w:val="180"/>
                </w:trPr>
                <w:tc>
                  <w:tcPr>
                    <w:tcW w:w="3514" w:type="dxa"/>
                    <w:vAlign w:val="center"/>
                  </w:tcPr>
                  <w:p w:rsidR="005D23FA" w:rsidRDefault="005D23FA" w:rsidP="00326B19">
                    <w:pPr>
                      <w:rPr>
                        <w:rStyle w:val="52"/>
                        <w:b w:val="0"/>
                        <w:bCs w:val="0"/>
                        <w:szCs w:val="21"/>
                      </w:rPr>
                    </w:pPr>
                    <w:r>
                      <w:rPr>
                        <w:rStyle w:val="52"/>
                        <w:rFonts w:hint="eastAsia"/>
                        <w:b w:val="0"/>
                        <w:bCs w:val="0"/>
                        <w:szCs w:val="21"/>
                      </w:rPr>
                      <w:t>旅客发送量（万人）</w:t>
                    </w:r>
                  </w:p>
                </w:tc>
                <w:tc>
                  <w:tcPr>
                    <w:tcW w:w="1844" w:type="dxa"/>
                    <w:vAlign w:val="center"/>
                  </w:tcPr>
                  <w:p w:rsidR="005D23FA" w:rsidRPr="00FB2B26" w:rsidRDefault="005D23FA" w:rsidP="00326B19">
                    <w:pPr>
                      <w:jc w:val="right"/>
                      <w:rPr>
                        <w:rStyle w:val="5Char"/>
                        <w:b w:val="0"/>
                        <w:bCs w:val="0"/>
                      </w:rPr>
                    </w:pPr>
                    <w:r w:rsidRPr="00FB2B26">
                      <w:rPr>
                        <w:rStyle w:val="5Char"/>
                        <w:rFonts w:hint="eastAsia"/>
                        <w:b w:val="0"/>
                        <w:bCs w:val="0"/>
                      </w:rPr>
                      <w:t>3,800</w:t>
                    </w:r>
                  </w:p>
                </w:tc>
                <w:tc>
                  <w:tcPr>
                    <w:tcW w:w="1844" w:type="dxa"/>
                    <w:vAlign w:val="center"/>
                  </w:tcPr>
                  <w:p w:rsidR="005D23FA" w:rsidRDefault="005D23FA" w:rsidP="00326B19">
                    <w:pPr>
                      <w:jc w:val="right"/>
                      <w:rPr>
                        <w:rStyle w:val="5Char"/>
                        <w:b w:val="0"/>
                        <w:bCs w:val="0"/>
                      </w:rPr>
                    </w:pPr>
                    <w:r>
                      <w:rPr>
                        <w:rStyle w:val="5Char"/>
                        <w:rFonts w:hint="eastAsia"/>
                        <w:b w:val="0"/>
                        <w:bCs w:val="0"/>
                      </w:rPr>
                      <w:t>2,026</w:t>
                    </w:r>
                  </w:p>
                </w:tc>
                <w:tc>
                  <w:tcPr>
                    <w:tcW w:w="1846" w:type="dxa"/>
                    <w:vAlign w:val="center"/>
                  </w:tcPr>
                  <w:p w:rsidR="005D23FA" w:rsidRDefault="005D23FA" w:rsidP="00326B19">
                    <w:pPr>
                      <w:jc w:val="right"/>
                      <w:rPr>
                        <w:rStyle w:val="5Char"/>
                        <w:b w:val="0"/>
                        <w:bCs w:val="0"/>
                      </w:rPr>
                    </w:pPr>
                    <w:r>
                      <w:rPr>
                        <w:rStyle w:val="5Char"/>
                        <w:rFonts w:hint="eastAsia"/>
                        <w:b w:val="0"/>
                        <w:bCs w:val="0"/>
                      </w:rPr>
                      <w:t>-46.7%</w:t>
                    </w:r>
                  </w:p>
                </w:tc>
              </w:tr>
              <w:tr w:rsidR="005D23FA" w:rsidTr="00326B19">
                <w:trPr>
                  <w:trHeight w:val="180"/>
                </w:trPr>
                <w:tc>
                  <w:tcPr>
                    <w:tcW w:w="3514" w:type="dxa"/>
                    <w:vAlign w:val="center"/>
                  </w:tcPr>
                  <w:p w:rsidR="005D23FA" w:rsidRDefault="005D23FA" w:rsidP="00326B19">
                    <w:pPr>
                      <w:rPr>
                        <w:rStyle w:val="52"/>
                        <w:b w:val="0"/>
                        <w:bCs w:val="0"/>
                        <w:szCs w:val="21"/>
                      </w:rPr>
                    </w:pPr>
                    <w:r>
                      <w:rPr>
                        <w:rStyle w:val="52"/>
                        <w:rFonts w:hint="eastAsia"/>
                        <w:b w:val="0"/>
                        <w:bCs w:val="0"/>
                        <w:szCs w:val="21"/>
                      </w:rPr>
                      <w:t>换算周转量（亿吨公里）</w:t>
                    </w:r>
                  </w:p>
                </w:tc>
                <w:tc>
                  <w:tcPr>
                    <w:tcW w:w="1844" w:type="dxa"/>
                    <w:vAlign w:val="center"/>
                  </w:tcPr>
                  <w:p w:rsidR="005D23FA" w:rsidRPr="00FB2B26" w:rsidRDefault="005D23FA" w:rsidP="00326B19">
                    <w:pPr>
                      <w:jc w:val="right"/>
                      <w:rPr>
                        <w:rStyle w:val="5Char"/>
                        <w:b w:val="0"/>
                        <w:bCs w:val="0"/>
                      </w:rPr>
                    </w:pPr>
                    <w:r w:rsidRPr="00FB2B26">
                      <w:rPr>
                        <w:rStyle w:val="5Char"/>
                        <w:rFonts w:hint="eastAsia"/>
                        <w:b w:val="0"/>
                        <w:bCs w:val="0"/>
                      </w:rPr>
                      <w:t>3,980</w:t>
                    </w:r>
                  </w:p>
                </w:tc>
                <w:tc>
                  <w:tcPr>
                    <w:tcW w:w="1844" w:type="dxa"/>
                    <w:vAlign w:val="center"/>
                  </w:tcPr>
                  <w:p w:rsidR="005D23FA" w:rsidRDefault="005D23FA" w:rsidP="00326B19">
                    <w:pPr>
                      <w:jc w:val="right"/>
                      <w:rPr>
                        <w:rStyle w:val="5Char"/>
                        <w:b w:val="0"/>
                        <w:bCs w:val="0"/>
                      </w:rPr>
                    </w:pPr>
                    <w:r>
                      <w:rPr>
                        <w:rStyle w:val="5Char"/>
                        <w:rFonts w:hint="eastAsia"/>
                        <w:b w:val="0"/>
                        <w:bCs w:val="0"/>
                      </w:rPr>
                      <w:t>3,802</w:t>
                    </w:r>
                  </w:p>
                </w:tc>
                <w:tc>
                  <w:tcPr>
                    <w:tcW w:w="1846" w:type="dxa"/>
                    <w:vAlign w:val="center"/>
                  </w:tcPr>
                  <w:p w:rsidR="005D23FA" w:rsidRDefault="005D23FA" w:rsidP="00326B19">
                    <w:pPr>
                      <w:jc w:val="right"/>
                      <w:rPr>
                        <w:rStyle w:val="5Char"/>
                        <w:b w:val="0"/>
                        <w:bCs w:val="0"/>
                      </w:rPr>
                    </w:pPr>
                    <w:r>
                      <w:rPr>
                        <w:rStyle w:val="5Char"/>
                        <w:rFonts w:hint="eastAsia"/>
                        <w:b w:val="0"/>
                        <w:bCs w:val="0"/>
                      </w:rPr>
                      <w:t>-4.5%</w:t>
                    </w:r>
                  </w:p>
                </w:tc>
              </w:tr>
              <w:tr w:rsidR="005D23FA" w:rsidTr="00326B19">
                <w:trPr>
                  <w:trHeight w:val="180"/>
                </w:trPr>
                <w:tc>
                  <w:tcPr>
                    <w:tcW w:w="3514" w:type="dxa"/>
                    <w:vAlign w:val="center"/>
                  </w:tcPr>
                  <w:p w:rsidR="005D23FA" w:rsidRDefault="005D23FA" w:rsidP="00326B19">
                    <w:pPr>
                      <w:rPr>
                        <w:rStyle w:val="52"/>
                        <w:b w:val="0"/>
                        <w:bCs w:val="0"/>
                        <w:szCs w:val="21"/>
                      </w:rPr>
                    </w:pPr>
                    <w:r>
                      <w:rPr>
                        <w:rStyle w:val="52"/>
                        <w:rFonts w:hint="eastAsia"/>
                        <w:b w:val="0"/>
                        <w:bCs w:val="0"/>
                        <w:szCs w:val="21"/>
                      </w:rPr>
                      <w:t>货物发送量（亿吨）</w:t>
                    </w:r>
                  </w:p>
                </w:tc>
                <w:tc>
                  <w:tcPr>
                    <w:tcW w:w="1844" w:type="dxa"/>
                    <w:vAlign w:val="center"/>
                  </w:tcPr>
                  <w:p w:rsidR="005D23FA" w:rsidRPr="00FB2B26" w:rsidRDefault="005D23FA" w:rsidP="00326B19">
                    <w:pPr>
                      <w:jc w:val="right"/>
                      <w:rPr>
                        <w:rStyle w:val="5Char"/>
                        <w:b w:val="0"/>
                        <w:bCs w:val="0"/>
                      </w:rPr>
                    </w:pPr>
                    <w:r w:rsidRPr="00FB2B26">
                      <w:rPr>
                        <w:rStyle w:val="5Char"/>
                        <w:rFonts w:hint="eastAsia"/>
                        <w:b w:val="0"/>
                        <w:bCs w:val="0"/>
                      </w:rPr>
                      <w:t>7</w:t>
                    </w:r>
                  </w:p>
                </w:tc>
                <w:tc>
                  <w:tcPr>
                    <w:tcW w:w="1844" w:type="dxa"/>
                    <w:vAlign w:val="center"/>
                  </w:tcPr>
                  <w:p w:rsidR="005D23FA" w:rsidRDefault="005D23FA" w:rsidP="00326B19">
                    <w:pPr>
                      <w:jc w:val="right"/>
                      <w:rPr>
                        <w:rStyle w:val="5Char"/>
                        <w:b w:val="0"/>
                        <w:bCs w:val="0"/>
                      </w:rPr>
                    </w:pPr>
                    <w:r>
                      <w:rPr>
                        <w:rStyle w:val="5Char"/>
                        <w:rFonts w:hint="eastAsia"/>
                        <w:b w:val="0"/>
                        <w:bCs w:val="0"/>
                      </w:rPr>
                      <w:t>6.8</w:t>
                    </w:r>
                  </w:p>
                </w:tc>
                <w:tc>
                  <w:tcPr>
                    <w:tcW w:w="1846" w:type="dxa"/>
                    <w:vAlign w:val="center"/>
                  </w:tcPr>
                  <w:p w:rsidR="005D23FA" w:rsidRDefault="005D23FA" w:rsidP="00326B19">
                    <w:pPr>
                      <w:jc w:val="right"/>
                      <w:rPr>
                        <w:rStyle w:val="5Char"/>
                        <w:b w:val="0"/>
                        <w:bCs w:val="0"/>
                      </w:rPr>
                    </w:pPr>
                    <w:r>
                      <w:rPr>
                        <w:rStyle w:val="5Char"/>
                        <w:rFonts w:hint="eastAsia"/>
                        <w:b w:val="0"/>
                        <w:bCs w:val="0"/>
                      </w:rPr>
                      <w:t>-2.9%</w:t>
                    </w:r>
                  </w:p>
                </w:tc>
              </w:tr>
              <w:tr w:rsidR="005D23FA" w:rsidTr="00326B19">
                <w:trPr>
                  <w:trHeight w:val="180"/>
                </w:trPr>
                <w:tc>
                  <w:tcPr>
                    <w:tcW w:w="3514" w:type="dxa"/>
                    <w:vAlign w:val="center"/>
                  </w:tcPr>
                  <w:p w:rsidR="005D23FA" w:rsidRDefault="005D23FA" w:rsidP="00326B19">
                    <w:pPr>
                      <w:rPr>
                        <w:rStyle w:val="52"/>
                        <w:b w:val="0"/>
                        <w:bCs w:val="0"/>
                        <w:szCs w:val="21"/>
                      </w:rPr>
                    </w:pPr>
                    <w:r>
                      <w:rPr>
                        <w:rStyle w:val="52"/>
                        <w:rFonts w:hint="eastAsia"/>
                        <w:b w:val="0"/>
                        <w:bCs w:val="0"/>
                        <w:szCs w:val="21"/>
                      </w:rPr>
                      <w:t>大秦线货物运输量（亿吨）</w:t>
                    </w:r>
                  </w:p>
                </w:tc>
                <w:tc>
                  <w:tcPr>
                    <w:tcW w:w="1844" w:type="dxa"/>
                    <w:vAlign w:val="center"/>
                  </w:tcPr>
                  <w:p w:rsidR="005D23FA" w:rsidRPr="00FB2B26" w:rsidRDefault="005D23FA" w:rsidP="00326B19">
                    <w:pPr>
                      <w:jc w:val="right"/>
                      <w:rPr>
                        <w:rStyle w:val="5Char"/>
                        <w:b w:val="0"/>
                        <w:bCs w:val="0"/>
                      </w:rPr>
                    </w:pPr>
                    <w:r w:rsidRPr="00FB2B26">
                      <w:rPr>
                        <w:rStyle w:val="5Char"/>
                        <w:rFonts w:hint="eastAsia"/>
                        <w:b w:val="0"/>
                        <w:bCs w:val="0"/>
                      </w:rPr>
                      <w:t>4.3</w:t>
                    </w:r>
                  </w:p>
                </w:tc>
                <w:tc>
                  <w:tcPr>
                    <w:tcW w:w="1844" w:type="dxa"/>
                    <w:vAlign w:val="center"/>
                  </w:tcPr>
                  <w:p w:rsidR="005D23FA" w:rsidRDefault="005D23FA" w:rsidP="00326B19">
                    <w:pPr>
                      <w:jc w:val="right"/>
                      <w:rPr>
                        <w:rStyle w:val="5Char"/>
                        <w:b w:val="0"/>
                        <w:bCs w:val="0"/>
                      </w:rPr>
                    </w:pPr>
                    <w:r>
                      <w:rPr>
                        <w:rStyle w:val="5Char"/>
                        <w:rFonts w:hint="eastAsia"/>
                        <w:b w:val="0"/>
                        <w:bCs w:val="0"/>
                      </w:rPr>
                      <w:t>4.0</w:t>
                    </w:r>
                  </w:p>
                </w:tc>
                <w:tc>
                  <w:tcPr>
                    <w:tcW w:w="1846" w:type="dxa"/>
                    <w:vAlign w:val="center"/>
                  </w:tcPr>
                  <w:p w:rsidR="005D23FA" w:rsidRDefault="005D23FA" w:rsidP="00326B19">
                    <w:pPr>
                      <w:jc w:val="right"/>
                      <w:rPr>
                        <w:rStyle w:val="5Char"/>
                        <w:b w:val="0"/>
                        <w:bCs w:val="0"/>
                      </w:rPr>
                    </w:pPr>
                    <w:r>
                      <w:rPr>
                        <w:rStyle w:val="5Char"/>
                        <w:rFonts w:hint="eastAsia"/>
                        <w:b w:val="0"/>
                        <w:bCs w:val="0"/>
                      </w:rPr>
                      <w:t>-9.3%</w:t>
                    </w:r>
                  </w:p>
                </w:tc>
              </w:tr>
              <w:tr w:rsidR="005D23FA" w:rsidTr="00326B19">
                <w:trPr>
                  <w:trHeight w:val="180"/>
                </w:trPr>
                <w:tc>
                  <w:tcPr>
                    <w:tcW w:w="3514" w:type="dxa"/>
                    <w:vAlign w:val="center"/>
                  </w:tcPr>
                  <w:p w:rsidR="005D23FA" w:rsidRDefault="005D23FA" w:rsidP="00326B19">
                    <w:pPr>
                      <w:rPr>
                        <w:rStyle w:val="52"/>
                        <w:b w:val="0"/>
                        <w:bCs w:val="0"/>
                        <w:szCs w:val="21"/>
                      </w:rPr>
                    </w:pPr>
                    <w:r>
                      <w:rPr>
                        <w:rStyle w:val="52"/>
                        <w:rFonts w:hint="eastAsia"/>
                        <w:b w:val="0"/>
                        <w:bCs w:val="0"/>
                        <w:szCs w:val="21"/>
                      </w:rPr>
                      <w:t>营业收入（亿元）</w:t>
                    </w:r>
                  </w:p>
                </w:tc>
                <w:tc>
                  <w:tcPr>
                    <w:tcW w:w="1844" w:type="dxa"/>
                    <w:vAlign w:val="center"/>
                  </w:tcPr>
                  <w:p w:rsidR="005D23FA" w:rsidRPr="00FB2B26" w:rsidRDefault="005D23FA" w:rsidP="00326B19">
                    <w:pPr>
                      <w:jc w:val="right"/>
                      <w:rPr>
                        <w:rStyle w:val="5Char"/>
                        <w:b w:val="0"/>
                        <w:bCs w:val="0"/>
                      </w:rPr>
                    </w:pPr>
                    <w:r w:rsidRPr="00FB2B26">
                      <w:rPr>
                        <w:rStyle w:val="5Char"/>
                        <w:rFonts w:hint="eastAsia"/>
                        <w:b w:val="0"/>
                        <w:bCs w:val="0"/>
                      </w:rPr>
                      <w:t>795</w:t>
                    </w:r>
                  </w:p>
                </w:tc>
                <w:tc>
                  <w:tcPr>
                    <w:tcW w:w="1844" w:type="dxa"/>
                    <w:vAlign w:val="center"/>
                  </w:tcPr>
                  <w:p w:rsidR="005D23FA" w:rsidRDefault="005D23FA" w:rsidP="00326B19">
                    <w:pPr>
                      <w:jc w:val="right"/>
                      <w:rPr>
                        <w:rStyle w:val="5Char"/>
                        <w:b w:val="0"/>
                        <w:bCs w:val="0"/>
                      </w:rPr>
                    </w:pPr>
                    <w:r>
                      <w:rPr>
                        <w:rStyle w:val="5Char"/>
                        <w:rFonts w:hint="eastAsia"/>
                        <w:b w:val="0"/>
                        <w:bCs w:val="0"/>
                      </w:rPr>
                      <w:t>758</w:t>
                    </w:r>
                  </w:p>
                </w:tc>
                <w:tc>
                  <w:tcPr>
                    <w:tcW w:w="1846" w:type="dxa"/>
                    <w:vAlign w:val="center"/>
                  </w:tcPr>
                  <w:p w:rsidR="005D23FA" w:rsidRDefault="005D23FA" w:rsidP="00326B19">
                    <w:pPr>
                      <w:jc w:val="right"/>
                      <w:rPr>
                        <w:rStyle w:val="5Char"/>
                        <w:b w:val="0"/>
                        <w:bCs w:val="0"/>
                      </w:rPr>
                    </w:pPr>
                    <w:r>
                      <w:rPr>
                        <w:rStyle w:val="5Char"/>
                        <w:rFonts w:hint="eastAsia"/>
                        <w:b w:val="0"/>
                        <w:bCs w:val="0"/>
                      </w:rPr>
                      <w:t>-4.7%</w:t>
                    </w:r>
                  </w:p>
                </w:tc>
              </w:tr>
            </w:tbl>
            <w:p w:rsidR="005D23FA" w:rsidRDefault="005D23FA" w:rsidP="005D23FA">
              <w:pPr>
                <w:rPr>
                  <w:b/>
                  <w:bCs/>
                  <w:szCs w:val="21"/>
                </w:rPr>
              </w:pPr>
            </w:p>
            <w:p w:rsidR="005D23FA" w:rsidRDefault="005D23FA" w:rsidP="005D23FA">
              <w:pPr>
                <w:widowControl w:val="0"/>
                <w:numPr>
                  <w:ilvl w:val="0"/>
                  <w:numId w:val="141"/>
                </w:numPr>
                <w:spacing w:line="360" w:lineRule="auto"/>
                <w:jc w:val="both"/>
                <w:rPr>
                  <w:szCs w:val="21"/>
                </w:rPr>
              </w:pPr>
              <w:r>
                <w:rPr>
                  <w:rFonts w:hint="eastAsia"/>
                  <w:b/>
                  <w:bCs/>
                  <w:szCs w:val="21"/>
                </w:rPr>
                <w:t>经营目标：</w:t>
              </w:r>
              <w:r>
                <w:rPr>
                  <w:rFonts w:hint="eastAsia"/>
                  <w:szCs w:val="21"/>
                </w:rPr>
                <w:t>2023年预计旅客发送量</w:t>
              </w:r>
              <w:r w:rsidR="003C1D4C">
                <w:rPr>
                  <w:rFonts w:hint="eastAsia"/>
                  <w:szCs w:val="21"/>
                </w:rPr>
                <w:t>5,</w:t>
              </w:r>
              <w:r w:rsidR="00B26271">
                <w:rPr>
                  <w:szCs w:val="21"/>
                </w:rPr>
                <w:t>6</w:t>
              </w:r>
              <w:r>
                <w:rPr>
                  <w:rFonts w:hint="eastAsia"/>
                  <w:szCs w:val="21"/>
                </w:rPr>
                <w:t>00万人；货物发送量</w:t>
              </w:r>
              <w:r w:rsidR="003C1D4C">
                <w:rPr>
                  <w:rFonts w:hint="eastAsia"/>
                  <w:szCs w:val="21"/>
                </w:rPr>
                <w:t>6.8</w:t>
              </w:r>
              <w:r>
                <w:rPr>
                  <w:rFonts w:hint="eastAsia"/>
                  <w:szCs w:val="21"/>
                </w:rPr>
                <w:t>亿吨；换算周转量3,900亿吨公里。其中，大秦线货物运输量4.2亿吨。2023年营业收入预算为</w:t>
              </w:r>
              <w:r w:rsidR="003C1D4C">
                <w:rPr>
                  <w:rFonts w:hint="eastAsia"/>
                  <w:szCs w:val="21"/>
                </w:rPr>
                <w:t>78</w:t>
              </w:r>
              <w:r>
                <w:rPr>
                  <w:rFonts w:hint="eastAsia"/>
                  <w:szCs w:val="21"/>
                </w:rPr>
                <w:t>5亿元。</w:t>
              </w:r>
            </w:p>
            <w:p w:rsidR="005D23FA" w:rsidRDefault="005D23FA" w:rsidP="005D23FA">
              <w:pPr>
                <w:spacing w:line="360" w:lineRule="auto"/>
                <w:rPr>
                  <w:szCs w:val="21"/>
                </w:rPr>
              </w:pPr>
              <w:r>
                <w:rPr>
                  <w:rFonts w:hint="eastAsia"/>
                  <w:szCs w:val="21"/>
                </w:rPr>
                <w:t>2023年经营目标是公司董事会基于所属行业以及公司的发展现状及趋势所做出的判断，不构成对2023年度经营业绩的承诺，请广大投资者理性投资，注意风险。</w:t>
              </w:r>
            </w:p>
            <w:p w:rsidR="005D23FA" w:rsidRDefault="005D23FA" w:rsidP="005D23FA">
              <w:pPr>
                <w:widowControl w:val="0"/>
                <w:numPr>
                  <w:ilvl w:val="0"/>
                  <w:numId w:val="141"/>
                </w:numPr>
                <w:spacing w:line="360" w:lineRule="auto"/>
                <w:jc w:val="both"/>
                <w:rPr>
                  <w:szCs w:val="21"/>
                </w:rPr>
              </w:pPr>
              <w:r>
                <w:rPr>
                  <w:rFonts w:hint="eastAsia"/>
                  <w:b/>
                  <w:bCs/>
                  <w:szCs w:val="21"/>
                </w:rPr>
                <w:t>拟采取的策略和行动：</w:t>
              </w:r>
            </w:p>
            <w:p w:rsidR="005D23FA" w:rsidRDefault="00F80B6C" w:rsidP="005D23FA">
              <w:pPr>
                <w:adjustRightInd w:val="0"/>
                <w:snapToGrid w:val="0"/>
                <w:spacing w:line="360" w:lineRule="auto"/>
                <w:rPr>
                  <w:color w:val="000000"/>
                  <w:szCs w:val="21"/>
                </w:rPr>
              </w:pPr>
              <w:r>
                <w:rPr>
                  <w:rFonts w:hint="eastAsia"/>
                  <w:b/>
                  <w:bCs/>
                  <w:color w:val="000000"/>
                  <w:szCs w:val="21"/>
                </w:rPr>
                <w:fldChar w:fldCharType="begin"/>
              </w:r>
              <w:r w:rsidR="005D23FA">
                <w:rPr>
                  <w:rFonts w:hint="eastAsia"/>
                  <w:b/>
                  <w:bCs/>
                  <w:color w:val="000000"/>
                  <w:szCs w:val="21"/>
                </w:rPr>
                <w:instrText xml:space="preserve"> = 1 \* GB2 \* MERGEFORMAT </w:instrText>
              </w:r>
              <w:r>
                <w:rPr>
                  <w:rFonts w:hint="eastAsia"/>
                  <w:b/>
                  <w:bCs/>
                  <w:color w:val="000000"/>
                  <w:szCs w:val="21"/>
                </w:rPr>
                <w:fldChar w:fldCharType="separate"/>
              </w:r>
              <w:r w:rsidR="005D23FA">
                <w:rPr>
                  <w:rFonts w:hint="eastAsia"/>
                  <w:b/>
                  <w:bCs/>
                  <w:color w:val="000000"/>
                  <w:szCs w:val="21"/>
                </w:rPr>
                <w:t>⑴</w:t>
              </w:r>
              <w:r>
                <w:rPr>
                  <w:rFonts w:hint="eastAsia"/>
                  <w:b/>
                  <w:bCs/>
                  <w:color w:val="000000"/>
                  <w:szCs w:val="21"/>
                </w:rPr>
                <w:fldChar w:fldCharType="end"/>
              </w:r>
              <w:r w:rsidR="005D23FA">
                <w:rPr>
                  <w:rFonts w:hint="eastAsia"/>
                  <w:b/>
                  <w:bCs/>
                  <w:color w:val="000000"/>
                  <w:szCs w:val="21"/>
                </w:rPr>
                <w:t xml:space="preserve"> 安全强基方面：树牢总体国家安全观和大安全观，坚持“安全第一”不动摇。</w:t>
              </w:r>
              <w:r w:rsidR="005D23FA">
                <w:rPr>
                  <w:rFonts w:hint="eastAsia"/>
                  <w:b/>
                  <w:color w:val="000000"/>
                  <w:szCs w:val="21"/>
                </w:rPr>
                <w:t>一是</w:t>
              </w:r>
              <w:r w:rsidR="005D23FA">
                <w:rPr>
                  <w:rFonts w:hint="eastAsia"/>
                  <w:color w:val="000000"/>
                  <w:szCs w:val="21"/>
                </w:rPr>
                <w:t>深入学习贯彻习近平总书记对铁路工作的重要指示批示精神，对标对表习近平总书记关于安全生产的重要论述，定期回头检视，巩固落实效果，提高安全工作系统性、整体性、协同性，构建完善全员性、全方位、全覆盖的安全生产责任体系。</w:t>
              </w:r>
              <w:r w:rsidR="005D23FA">
                <w:rPr>
                  <w:rFonts w:hint="eastAsia"/>
                  <w:b/>
                  <w:bCs/>
                  <w:color w:val="000000"/>
                  <w:szCs w:val="21"/>
                </w:rPr>
                <w:t>二是</w:t>
              </w:r>
              <w:r w:rsidR="005D23FA">
                <w:rPr>
                  <w:rFonts w:hint="eastAsia"/>
                  <w:color w:val="000000"/>
                  <w:szCs w:val="21"/>
                </w:rPr>
                <w:t>确保高铁和旅客列车安全万无一失。严格落实客车安全控制措施，严格客车作业关键环节控制，确保风险管控到位。强化客运机车车辆运用检修质量管理，加快检测监测体系建设，实施客车径路设备补强，守牢动客车安全底线。</w:t>
              </w:r>
              <w:r w:rsidR="005D23FA">
                <w:rPr>
                  <w:rFonts w:hint="eastAsia"/>
                  <w:b/>
                  <w:bCs/>
                  <w:color w:val="000000"/>
                  <w:szCs w:val="21"/>
                </w:rPr>
                <w:t>三是</w:t>
              </w:r>
              <w:r w:rsidR="005D23FA">
                <w:rPr>
                  <w:rFonts w:hint="eastAsia"/>
                  <w:color w:val="000000"/>
                  <w:szCs w:val="21"/>
                </w:rPr>
                <w:t>全面夯实安全基础。深化铁路安全基础建设和安全治理体系建设，完善安全管理制度办法。推进干线大修周期改造，提升设备安全可靠性。健全应急预案体系，加大机车乘务员等主要工种培养，强化人员素质基础。</w:t>
              </w:r>
              <w:r w:rsidR="005D23FA">
                <w:rPr>
                  <w:rFonts w:hint="eastAsia"/>
                  <w:b/>
                  <w:bCs/>
                  <w:color w:val="000000"/>
                  <w:szCs w:val="21"/>
                </w:rPr>
                <w:t>四是</w:t>
              </w:r>
              <w:r w:rsidR="005D23FA">
                <w:rPr>
                  <w:rFonts w:hint="eastAsia"/>
                  <w:color w:val="000000"/>
                  <w:szCs w:val="21"/>
                </w:rPr>
                <w:t>强化专业安全管控。严格落实“守底线、抓重点、控关键、防风险”工作策略，分专业健全完善专业管理实施细则，完善双重预防机制，制定完善人防、物防、技防综合性防范措施，常态化开展专业对规对标和专业管理评价。强化专业管理，各专业部门、各级干部切实行使好、担负起“管安全、管生产、管技术、管规章、管设备、管队伍”的职责。</w:t>
              </w:r>
              <w:r w:rsidR="005D23FA">
                <w:rPr>
                  <w:rFonts w:hint="eastAsia"/>
                  <w:b/>
                  <w:bCs/>
                  <w:color w:val="000000"/>
                  <w:szCs w:val="21"/>
                </w:rPr>
                <w:t>五是</w:t>
              </w:r>
              <w:r w:rsidR="005D23FA">
                <w:rPr>
                  <w:rFonts w:hint="eastAsia"/>
                  <w:color w:val="000000"/>
                  <w:szCs w:val="21"/>
                </w:rPr>
                <w:t>从严卡控安全关键。严控施工安全关键，提升防洪安全管控能力，持续净化铁路外部环境。完善现场作业自控、互控、他控制度，加强对关键岗位、关键作业、关键环节的可视化、量值化管控，进一步统筹加强劳动安全、道路交通安全、消防安全、反恐护路巡防安全等重点，维护安全稳定大局。</w:t>
              </w:r>
            </w:p>
            <w:p w:rsidR="005D23FA" w:rsidRDefault="00F80B6C" w:rsidP="005D23FA">
              <w:pPr>
                <w:adjustRightInd w:val="0"/>
                <w:snapToGrid w:val="0"/>
                <w:spacing w:line="360" w:lineRule="auto"/>
                <w:rPr>
                  <w:color w:val="000000"/>
                  <w:szCs w:val="21"/>
                </w:rPr>
              </w:pPr>
              <w:r>
                <w:rPr>
                  <w:rFonts w:hint="eastAsia"/>
                  <w:b/>
                  <w:bCs/>
                  <w:color w:val="000000"/>
                  <w:szCs w:val="21"/>
                </w:rPr>
                <w:fldChar w:fldCharType="begin"/>
              </w:r>
              <w:r w:rsidR="005D23FA">
                <w:rPr>
                  <w:rFonts w:hint="eastAsia"/>
                  <w:b/>
                  <w:bCs/>
                  <w:color w:val="000000"/>
                  <w:szCs w:val="21"/>
                </w:rPr>
                <w:instrText xml:space="preserve"> = 2 \* GB2 \* MERGEFORMAT </w:instrText>
              </w:r>
              <w:r>
                <w:rPr>
                  <w:rFonts w:hint="eastAsia"/>
                  <w:b/>
                  <w:bCs/>
                  <w:color w:val="000000"/>
                  <w:szCs w:val="21"/>
                </w:rPr>
                <w:fldChar w:fldCharType="separate"/>
              </w:r>
              <w:r w:rsidR="005D23FA">
                <w:rPr>
                  <w:rFonts w:hint="eastAsia"/>
                  <w:b/>
                  <w:bCs/>
                  <w:color w:val="000000"/>
                  <w:szCs w:val="21"/>
                </w:rPr>
                <w:t>⑵</w:t>
              </w:r>
              <w:r>
                <w:rPr>
                  <w:rFonts w:hint="eastAsia"/>
                  <w:b/>
                  <w:bCs/>
                  <w:color w:val="000000"/>
                  <w:szCs w:val="21"/>
                </w:rPr>
                <w:fldChar w:fldCharType="end"/>
              </w:r>
              <w:r w:rsidR="005D23FA">
                <w:rPr>
                  <w:rFonts w:hint="eastAsia"/>
                  <w:b/>
                  <w:bCs/>
                  <w:color w:val="000000"/>
                  <w:szCs w:val="21"/>
                </w:rPr>
                <w:t xml:space="preserve"> 业务发展方面：扎实推进经营提质，实现质的有效提升和量的合理增长。一是</w:t>
              </w:r>
              <w:r w:rsidR="005D23FA">
                <w:rPr>
                  <w:rFonts w:hint="eastAsia"/>
                  <w:color w:val="000000"/>
                  <w:szCs w:val="21"/>
                </w:rPr>
                <w:t>做强做大货运。巩固“四化”营销机制，扩大协议运量，提高大宗运输比重，稳住运量基本盘；一企一策的推动“公转铁”上量，加大淡季营销力度，挖掘增量潜力。紧盯货运主通道，发挥大秦线“压舱石”作用，用好侯月、石太等“支撑点”，打通集运瓶颈，努力增运上量。大力发展集装化运输和多式联运，开发海铁联运项目，加大中欧中亚班列开行组织，构建以铁路运输为骨干的多式联运体系。推进货运受理服务改革，推行货运管控平台，持续改善货运服务体验。统筹抓好关系国计民生的重点物资运输，应保尽保、应运尽运。</w:t>
              </w:r>
              <w:r w:rsidR="005D23FA">
                <w:rPr>
                  <w:rFonts w:hint="eastAsia"/>
                  <w:b/>
                  <w:bCs/>
                  <w:color w:val="000000"/>
                  <w:szCs w:val="21"/>
                </w:rPr>
                <w:t>二是</w:t>
              </w:r>
              <w:r w:rsidR="005D23FA">
                <w:rPr>
                  <w:rFonts w:hint="eastAsia"/>
                  <w:color w:val="000000"/>
                  <w:szCs w:val="21"/>
                </w:rPr>
                <w:t>做优做精客运。统筹市场变化，合理调整客车开行框架，优化交路方案，拓展城际列车“公交化”开行。深化普速站车整治，保障普惠基本服务。</w:t>
              </w:r>
              <w:r w:rsidR="005D23FA">
                <w:rPr>
                  <w:rFonts w:hint="eastAsia"/>
                  <w:color w:val="000000"/>
                  <w:szCs w:val="21"/>
                </w:rPr>
                <w:lastRenderedPageBreak/>
                <w:t>大力实施电子补票、“铁路畅行”扫码等个性化、智能化、数字化服务举措，持续改善旅客出行体验。开好公益性“慢火车”，服务乡村振兴战略。</w:t>
              </w:r>
              <w:r w:rsidR="005D23FA">
                <w:rPr>
                  <w:rFonts w:hint="eastAsia"/>
                  <w:b/>
                  <w:bCs/>
                  <w:color w:val="000000"/>
                  <w:szCs w:val="21"/>
                </w:rPr>
                <w:t>三是</w:t>
              </w:r>
              <w:r w:rsidR="005D23FA">
                <w:rPr>
                  <w:rFonts w:hint="eastAsia"/>
                  <w:color w:val="000000"/>
                  <w:szCs w:val="21"/>
                </w:rPr>
                <w:t>挖潜增能提效。进一步优化运输生产模式，延伸机车交路，加大跨枢纽直通列车组织。加快推进运输信息系统建设，健全完善效率监测分析系统，建强专业分析团队；进一步加大差异化考核力度，调动挖潜提效积极性。</w:t>
              </w:r>
            </w:p>
            <w:p w:rsidR="005D23FA" w:rsidRDefault="00F80B6C" w:rsidP="005D23FA">
              <w:pPr>
                <w:adjustRightInd w:val="0"/>
                <w:snapToGrid w:val="0"/>
                <w:spacing w:line="360" w:lineRule="auto"/>
                <w:rPr>
                  <w:color w:val="000000"/>
                  <w:szCs w:val="21"/>
                </w:rPr>
              </w:pPr>
              <w:r>
                <w:rPr>
                  <w:rFonts w:hint="eastAsia"/>
                  <w:b/>
                  <w:bCs/>
                  <w:color w:val="000000"/>
                  <w:szCs w:val="21"/>
                </w:rPr>
                <w:fldChar w:fldCharType="begin"/>
              </w:r>
              <w:r w:rsidR="005D23FA">
                <w:rPr>
                  <w:rFonts w:hint="eastAsia"/>
                  <w:b/>
                  <w:bCs/>
                  <w:color w:val="000000"/>
                  <w:szCs w:val="21"/>
                </w:rPr>
                <w:instrText xml:space="preserve"> = 3 \* GB2 \* MERGEFORMAT </w:instrText>
              </w:r>
              <w:r>
                <w:rPr>
                  <w:rFonts w:hint="eastAsia"/>
                  <w:b/>
                  <w:bCs/>
                  <w:color w:val="000000"/>
                  <w:szCs w:val="21"/>
                </w:rPr>
                <w:fldChar w:fldCharType="separate"/>
              </w:r>
              <w:r w:rsidR="005D23FA">
                <w:rPr>
                  <w:rFonts w:hint="eastAsia"/>
                  <w:b/>
                  <w:bCs/>
                  <w:color w:val="000000"/>
                  <w:szCs w:val="21"/>
                </w:rPr>
                <w:t>⑶</w:t>
              </w:r>
              <w:r>
                <w:rPr>
                  <w:rFonts w:hint="eastAsia"/>
                  <w:b/>
                  <w:bCs/>
                  <w:color w:val="000000"/>
                  <w:szCs w:val="21"/>
                </w:rPr>
                <w:fldChar w:fldCharType="end"/>
              </w:r>
              <w:r w:rsidR="005D23FA">
                <w:rPr>
                  <w:rFonts w:hint="eastAsia"/>
                  <w:b/>
                  <w:bCs/>
                  <w:color w:val="000000"/>
                  <w:szCs w:val="21"/>
                </w:rPr>
                <w:t xml:space="preserve"> 经营管理方面：以精细化管理为主线，持续提升经营质效。</w:t>
              </w:r>
              <w:r w:rsidR="005D23FA" w:rsidRPr="00761193">
                <w:rPr>
                  <w:rFonts w:hint="eastAsia"/>
                  <w:b/>
                  <w:color w:val="000000"/>
                  <w:szCs w:val="21"/>
                </w:rPr>
                <w:t>一是</w:t>
              </w:r>
              <w:r w:rsidR="005D23FA">
                <w:rPr>
                  <w:rFonts w:hint="eastAsia"/>
                  <w:color w:val="000000"/>
                  <w:szCs w:val="21"/>
                </w:rPr>
                <w:t>坚持以收定量、以量保收，进一步优化量收结构，完善运价项目管理和综合评价体系，优先组织“两高一远”货物运输，提高货收率。建立客车开行质效评估机制，监测客票预售情况，进行一车一分析、一站一核算，形成灵活高效的运输市场反应和运力调配体系，提升列车开行效益。</w:t>
              </w:r>
              <w:r w:rsidR="005D23FA">
                <w:rPr>
                  <w:rFonts w:hint="eastAsia"/>
                  <w:b/>
                  <w:bCs/>
                  <w:color w:val="000000"/>
                  <w:szCs w:val="21"/>
                </w:rPr>
                <w:t>二是</w:t>
              </w:r>
              <w:r w:rsidR="005D23FA">
                <w:rPr>
                  <w:rFonts w:hint="eastAsia"/>
                  <w:color w:val="000000"/>
                  <w:szCs w:val="21"/>
                </w:rPr>
                <w:t>继续坚持以全面预算为牵引，开展预算绩效管理，预算执行监控由事后分析向事中控制、事前预警转变。深化业财融合，实行全方位、全流程、全员化管理。推进预算管理标准化、信息化及基础信息库建设，为各预算主体掌握实情、实施监控、优化决策提供支持。</w:t>
              </w:r>
              <w:r w:rsidR="005D23FA">
                <w:rPr>
                  <w:rFonts w:hint="eastAsia"/>
                  <w:b/>
                  <w:bCs/>
                  <w:color w:val="000000"/>
                  <w:szCs w:val="21"/>
                </w:rPr>
                <w:t>三是</w:t>
              </w:r>
              <w:r w:rsidR="005D23FA">
                <w:rPr>
                  <w:rFonts w:hint="eastAsia"/>
                  <w:color w:val="000000"/>
                  <w:szCs w:val="21"/>
                </w:rPr>
                <w:t>持续开展节支创效，持续压缩非生产性支出，严格支出定额控制，进一步提升成本管理效能；坚持集约统筹采购，加强报废物资处置管理，提高物资利用效率和收益。进一步丰富资金创效方式和渠道，提升资产效益。</w:t>
              </w:r>
              <w:r w:rsidR="005D23FA">
                <w:rPr>
                  <w:rFonts w:hint="eastAsia"/>
                  <w:b/>
                  <w:bCs/>
                  <w:color w:val="000000"/>
                  <w:szCs w:val="21"/>
                </w:rPr>
                <w:t>四是</w:t>
              </w:r>
              <w:r w:rsidR="005D23FA">
                <w:rPr>
                  <w:rFonts w:hint="eastAsia"/>
                  <w:color w:val="000000"/>
                  <w:szCs w:val="21"/>
                </w:rPr>
                <w:t>优化生产力布局调整和劳动组织改革，实施设备系统修程修制改革，科学合理延长设备检修周期，优化作业方式，推行运输设备全生命周期健康管理；探索试行状态修故障修，从源头压减工作量和劳动投入。</w:t>
              </w:r>
            </w:p>
            <w:p w:rsidR="005D23FA" w:rsidRDefault="00F80B6C" w:rsidP="005D23FA">
              <w:pPr>
                <w:spacing w:line="360" w:lineRule="auto"/>
                <w:rPr>
                  <w:szCs w:val="21"/>
                </w:rPr>
              </w:pPr>
              <w:r>
                <w:rPr>
                  <w:rFonts w:hint="eastAsia"/>
                  <w:b/>
                  <w:bCs/>
                  <w:szCs w:val="21"/>
                </w:rPr>
                <w:fldChar w:fldCharType="begin"/>
              </w:r>
              <w:r w:rsidR="005D23FA">
                <w:rPr>
                  <w:rFonts w:hint="eastAsia"/>
                  <w:b/>
                  <w:bCs/>
                  <w:szCs w:val="21"/>
                </w:rPr>
                <w:instrText xml:space="preserve"> = 4 \* GB2 \* MERGEFORMAT </w:instrText>
              </w:r>
              <w:r>
                <w:rPr>
                  <w:rFonts w:hint="eastAsia"/>
                  <w:b/>
                  <w:bCs/>
                  <w:szCs w:val="21"/>
                </w:rPr>
                <w:fldChar w:fldCharType="separate"/>
              </w:r>
              <w:r w:rsidR="005D23FA">
                <w:rPr>
                  <w:rFonts w:hint="eastAsia"/>
                  <w:b/>
                  <w:bCs/>
                  <w:szCs w:val="21"/>
                </w:rPr>
                <w:t>⑷</w:t>
              </w:r>
              <w:r>
                <w:rPr>
                  <w:rFonts w:hint="eastAsia"/>
                  <w:b/>
                  <w:bCs/>
                  <w:szCs w:val="21"/>
                </w:rPr>
                <w:fldChar w:fldCharType="end"/>
              </w:r>
              <w:r w:rsidR="005D23FA">
                <w:rPr>
                  <w:rFonts w:hint="eastAsia"/>
                  <w:b/>
                  <w:bCs/>
                  <w:szCs w:val="21"/>
                </w:rPr>
                <w:t>公司治理方面：认真落实《推动提高上市公司质量三年行动方案（2022-2025）》，全面提升公司治理效能。</w:t>
              </w:r>
              <w:r w:rsidR="005D23FA">
                <w:rPr>
                  <w:rFonts w:hint="eastAsia"/>
                  <w:b/>
                  <w:bCs/>
                  <w:color w:val="000000"/>
                  <w:szCs w:val="21"/>
                </w:rPr>
                <w:t>一是</w:t>
              </w:r>
              <w:r w:rsidR="005D23FA">
                <w:rPr>
                  <w:rFonts w:hint="eastAsia"/>
                  <w:color w:val="000000"/>
                  <w:szCs w:val="21"/>
                </w:rPr>
                <w:t>优化公司治理。全面贯彻“两个一以贯之”，推动加强党的领导与完善公司治理深度融合，更好地发挥党委在把方向、管大局、保落实方面的领导作用。建强支撑体系，强化独立董事监督效能，不断提升董事会科学决策水平。及时对照修订、完善优化公司各项治理文件，形成制度管理优势。促进各类主体有效参与公司治理，充分保障中小股东参与决策管理的权利。</w:t>
              </w:r>
              <w:r w:rsidR="005D23FA">
                <w:rPr>
                  <w:rFonts w:hint="eastAsia"/>
                  <w:b/>
                  <w:bCs/>
                  <w:color w:val="000000"/>
                  <w:szCs w:val="21"/>
                </w:rPr>
                <w:t>二是</w:t>
              </w:r>
              <w:r w:rsidR="005D23FA">
                <w:rPr>
                  <w:rFonts w:hint="eastAsia"/>
                  <w:color w:val="000000"/>
                  <w:szCs w:val="21"/>
                </w:rPr>
                <w:t>提高公司信息披露质量。坚持“公开、公平、公正”的信披原则，以投资者需求为导向，认真、严谨的做好信息披露工作，做到简明清晰、通俗易懂，进一步丰富信息披露的呈现方式和传播途径。三</w:t>
              </w:r>
              <w:r w:rsidR="005D23FA">
                <w:rPr>
                  <w:rFonts w:hint="eastAsia"/>
                  <w:b/>
                  <w:bCs/>
                  <w:color w:val="000000"/>
                  <w:szCs w:val="21"/>
                </w:rPr>
                <w:t>是</w:t>
              </w:r>
              <w:r w:rsidR="005D23FA">
                <w:rPr>
                  <w:rFonts w:hint="eastAsia"/>
                  <w:color w:val="000000"/>
                  <w:szCs w:val="21"/>
                </w:rPr>
                <w:t>做好投资者服务。坚持“用心沟通”理念，丰富与投资者沟通方法渠道，优化业绩说明会召开质量，增进投资者了解和认同。</w:t>
              </w:r>
              <w:r w:rsidR="00775651">
                <w:rPr>
                  <w:rFonts w:hint="eastAsia"/>
                  <w:b/>
                  <w:bCs/>
                  <w:color w:val="000000"/>
                  <w:szCs w:val="21"/>
                </w:rPr>
                <w:t>四</w:t>
              </w:r>
              <w:r w:rsidR="005D23FA">
                <w:rPr>
                  <w:rFonts w:hint="eastAsia"/>
                  <w:b/>
                  <w:bCs/>
                  <w:color w:val="000000"/>
                  <w:szCs w:val="21"/>
                </w:rPr>
                <w:t>是</w:t>
              </w:r>
              <w:r w:rsidR="005D23FA">
                <w:rPr>
                  <w:rFonts w:hint="eastAsia"/>
                  <w:color w:val="000000"/>
                  <w:szCs w:val="21"/>
                </w:rPr>
                <w:t>保持现金分红政策的长期性、连续性和稳定性，给予投资者合理投资回报，</w:t>
              </w:r>
              <w:r w:rsidR="005D23FA">
                <w:rPr>
                  <w:rFonts w:hint="eastAsia"/>
                  <w:szCs w:val="21"/>
                </w:rPr>
                <w:t>增强获得感，与股东共享发展成果。</w:t>
              </w:r>
            </w:p>
            <w:p w:rsidR="00806678" w:rsidRPr="005D23FA" w:rsidRDefault="005D23FA" w:rsidP="005D23FA">
              <w:pPr>
                <w:widowControl w:val="0"/>
                <w:numPr>
                  <w:ilvl w:val="0"/>
                  <w:numId w:val="141"/>
                </w:numPr>
                <w:spacing w:line="360" w:lineRule="auto"/>
                <w:jc w:val="both"/>
                <w:rPr>
                  <w:szCs w:val="21"/>
                </w:rPr>
              </w:pPr>
              <w:r>
                <w:rPr>
                  <w:rFonts w:hint="eastAsia"/>
                  <w:b/>
                  <w:bCs/>
                  <w:szCs w:val="21"/>
                </w:rPr>
                <w:t>因维持当前业务并完成在建投资项目公司所需的资金需求：</w:t>
              </w:r>
              <w:r>
                <w:rPr>
                  <w:rFonts w:hint="eastAsia"/>
                  <w:szCs w:val="21"/>
                </w:rPr>
                <w:t>2023年，公司除日常性经营支出外，计划安排资本性支出约</w:t>
              </w:r>
              <w:r w:rsidR="00C57519">
                <w:rPr>
                  <w:rFonts w:hint="eastAsia"/>
                  <w:szCs w:val="21"/>
                </w:rPr>
                <w:t>54</w:t>
              </w:r>
              <w:r>
                <w:rPr>
                  <w:rFonts w:hint="eastAsia"/>
                  <w:szCs w:val="21"/>
                </w:rPr>
                <w:t>亿元。公司整体盈利能力较强且现金流较为充裕，融资手段较为丰富，能够满足维持当前业务并完成在建项目所需的资金需求。</w:t>
              </w:r>
            </w:p>
          </w:sdtContent>
        </w:sdt>
      </w:sdtContent>
    </w:sdt>
    <w:sdt>
      <w:sdtPr>
        <w:rPr>
          <w:rFonts w:ascii="宋体" w:hAnsi="宋体" w:cs="宋体"/>
          <w:b w:val="0"/>
          <w:bCs w:val="0"/>
          <w:kern w:val="0"/>
          <w:szCs w:val="21"/>
        </w:rPr>
        <w:alias w:val="模块:可能面对的风险"/>
        <w:tag w:val="_SEC_22da638766f04cb497f13857cff3dfee"/>
        <w:id w:val="1198268"/>
        <w:lock w:val="sdtLocked"/>
        <w:placeholder>
          <w:docPart w:val="GBC22222222222222222222222222222"/>
        </w:placeholder>
      </w:sdtPr>
      <w:sdtEndPr>
        <w:rPr>
          <w:rFonts w:hint="eastAsia"/>
        </w:rPr>
      </w:sdtEndPr>
      <w:sdtContent>
        <w:p w:rsidR="00806678" w:rsidRDefault="00B16377" w:rsidP="00FF17C7">
          <w:pPr>
            <w:pStyle w:val="3"/>
            <w:numPr>
              <w:ilvl w:val="3"/>
              <w:numId w:val="28"/>
            </w:numPr>
            <w:ind w:left="420" w:hangingChars="200"/>
            <w:rPr>
              <w:szCs w:val="21"/>
            </w:rPr>
          </w:pPr>
          <w:r>
            <w:rPr>
              <w:szCs w:val="21"/>
            </w:rPr>
            <w:t>可能面对的风险</w:t>
          </w:r>
        </w:p>
        <w:sdt>
          <w:sdtPr>
            <w:rPr>
              <w:rFonts w:hint="eastAsia"/>
              <w:szCs w:val="21"/>
            </w:rPr>
            <w:alias w:val="是否适用：可能面对的风险[双击切换]"/>
            <w:tag w:val="_GBC_1b74f2e1039c4fe9acc819e860071020"/>
            <w:id w:val="-489329723"/>
            <w:lock w:val="sdtLocked"/>
            <w:placeholder>
              <w:docPart w:val="GBC22222222222222222222222222222"/>
            </w:placeholder>
          </w:sdtPr>
          <w:sdtContent>
            <w:p w:rsidR="00806678" w:rsidRDefault="00F80B6C">
              <w:pPr>
                <w:rPr>
                  <w:szCs w:val="21"/>
                </w:rPr>
              </w:pPr>
              <w:r>
                <w:rPr>
                  <w:szCs w:val="21"/>
                </w:rPr>
                <w:fldChar w:fldCharType="begin"/>
              </w:r>
              <w:r w:rsidR="005D23FA">
                <w:rPr>
                  <w:szCs w:val="21"/>
                </w:rPr>
                <w:instrText xml:space="preserve"> MACROBUTTON  SnrToggleCheckbox √适用  </w:instrText>
              </w:r>
              <w:r>
                <w:rPr>
                  <w:szCs w:val="21"/>
                </w:rPr>
                <w:fldChar w:fldCharType="end"/>
              </w:r>
              <w:r>
                <w:rPr>
                  <w:szCs w:val="21"/>
                </w:rPr>
                <w:fldChar w:fldCharType="begin"/>
              </w:r>
              <w:r w:rsidR="005D23FA">
                <w:rPr>
                  <w:szCs w:val="21"/>
                </w:rPr>
                <w:instrText xml:space="preserve"> MACROBUTTON  SnrToggleCheckbox □不适用 </w:instrText>
              </w:r>
              <w:r>
                <w:rPr>
                  <w:szCs w:val="21"/>
                </w:rPr>
                <w:fldChar w:fldCharType="end"/>
              </w:r>
            </w:p>
          </w:sdtContent>
        </w:sdt>
        <w:sdt>
          <w:sdtPr>
            <w:rPr>
              <w:rFonts w:hint="eastAsia"/>
              <w:szCs w:val="21"/>
            </w:rPr>
            <w:alias w:val="公司可能面对的风险"/>
            <w:tag w:val="_GBC_c62723d12603412ba692148cd4961de5"/>
            <w:id w:val="-1135023402"/>
            <w:lock w:val="sdtLocked"/>
            <w:placeholder>
              <w:docPart w:val="GBC22222222222222222222222222222"/>
            </w:placeholder>
          </w:sdtPr>
          <w:sdtContent>
            <w:p w:rsidR="005D23FA" w:rsidRDefault="005D23FA" w:rsidP="005D23FA">
              <w:pPr>
                <w:widowControl w:val="0"/>
                <w:numPr>
                  <w:ilvl w:val="0"/>
                  <w:numId w:val="142"/>
                </w:numPr>
                <w:spacing w:line="360" w:lineRule="auto"/>
                <w:jc w:val="both"/>
                <w:rPr>
                  <w:szCs w:val="21"/>
                </w:rPr>
              </w:pPr>
              <w:r>
                <w:rPr>
                  <w:rFonts w:hint="eastAsia"/>
                  <w:b/>
                  <w:bCs/>
                  <w:szCs w:val="21"/>
                </w:rPr>
                <w:t>对</w:t>
              </w:r>
              <w:r>
                <w:rPr>
                  <w:rFonts w:hint="eastAsia"/>
                  <w:b/>
                  <w:bCs/>
                  <w:spacing w:val="-1"/>
                  <w:szCs w:val="21"/>
                </w:rPr>
                <w:t>主要客户依赖的</w:t>
              </w:r>
              <w:r>
                <w:rPr>
                  <w:b/>
                  <w:bCs/>
                  <w:spacing w:val="-1"/>
                  <w:szCs w:val="21"/>
                </w:rPr>
                <w:t>风险</w:t>
              </w:r>
              <w:r>
                <w:rPr>
                  <w:rFonts w:hint="eastAsia"/>
                  <w:b/>
                  <w:bCs/>
                  <w:spacing w:val="-1"/>
                  <w:szCs w:val="21"/>
                </w:rPr>
                <w:t>：</w:t>
              </w:r>
              <w:r>
                <w:rPr>
                  <w:rFonts w:hint="eastAsia"/>
                  <w:spacing w:val="-1"/>
                  <w:szCs w:val="21"/>
                </w:rPr>
                <w:t>报告期内，</w:t>
              </w:r>
              <w:r>
                <w:rPr>
                  <w:spacing w:val="-1"/>
                  <w:szCs w:val="21"/>
                </w:rPr>
                <w:t>来自前五大客户的</w:t>
              </w:r>
              <w:r>
                <w:rPr>
                  <w:rFonts w:hint="eastAsia"/>
                  <w:spacing w:val="-1"/>
                  <w:szCs w:val="21"/>
                </w:rPr>
                <w:t>销售额合计占公司全年销售总额的</w:t>
              </w:r>
              <w:r>
                <w:rPr>
                  <w:rFonts w:hint="eastAsia"/>
                  <w:szCs w:val="21"/>
                </w:rPr>
                <w:t>35.24%</w:t>
              </w:r>
              <w:r>
                <w:rPr>
                  <w:szCs w:val="21"/>
                </w:rPr>
                <w:t>。如果这些主要客户的产量下降，或对铁路煤炭运输的需求下降，公司的业务经营将可能受到不利影响。</w:t>
              </w:r>
            </w:p>
            <w:p w:rsidR="005D23FA" w:rsidRDefault="005D23FA" w:rsidP="005D23FA">
              <w:pPr>
                <w:widowControl w:val="0"/>
                <w:numPr>
                  <w:ilvl w:val="0"/>
                  <w:numId w:val="142"/>
                </w:numPr>
                <w:spacing w:line="360" w:lineRule="auto"/>
                <w:jc w:val="both"/>
                <w:rPr>
                  <w:szCs w:val="21"/>
                </w:rPr>
              </w:pPr>
              <w:r>
                <w:rPr>
                  <w:rFonts w:hint="eastAsia"/>
                  <w:b/>
                  <w:bCs/>
                  <w:szCs w:val="21"/>
                </w:rPr>
                <w:t>业务经营风险：</w:t>
              </w:r>
              <w:r>
                <w:rPr>
                  <w:rFonts w:hint="eastAsia"/>
                  <w:szCs w:val="21"/>
                </w:rPr>
                <w:t>资源类大宗货物是目前公司业务收入的主要来源，</w:t>
              </w:r>
              <w:r>
                <w:rPr>
                  <w:szCs w:val="21"/>
                </w:rPr>
                <w:t>资源类大宗货物的市场供需</w:t>
              </w:r>
              <w:r>
                <w:rPr>
                  <w:szCs w:val="21"/>
                </w:rPr>
                <w:lastRenderedPageBreak/>
                <w:t>受宏观经济</w:t>
              </w:r>
              <w:r>
                <w:rPr>
                  <w:rFonts w:hint="eastAsia"/>
                  <w:szCs w:val="21"/>
                </w:rPr>
                <w:t>走势</w:t>
              </w:r>
              <w:r>
                <w:rPr>
                  <w:szCs w:val="21"/>
                </w:rPr>
                <w:t>、能源结构调整优化、环保政策变化等因素影响较大，</w:t>
              </w:r>
              <w:r>
                <w:rPr>
                  <w:rFonts w:hint="eastAsia"/>
                  <w:szCs w:val="21"/>
                </w:rPr>
                <w:t>可能</w:t>
              </w:r>
              <w:r>
                <w:rPr>
                  <w:szCs w:val="21"/>
                </w:rPr>
                <w:t>对</w:t>
              </w:r>
              <w:r>
                <w:rPr>
                  <w:rFonts w:hint="eastAsia"/>
                  <w:szCs w:val="21"/>
                </w:rPr>
                <w:t>公司</w:t>
              </w:r>
              <w:r>
                <w:rPr>
                  <w:szCs w:val="21"/>
                </w:rPr>
                <w:t>运输业务产生影响。</w:t>
              </w:r>
            </w:p>
            <w:p w:rsidR="005D23FA" w:rsidRDefault="005D23FA" w:rsidP="005D23FA">
              <w:pPr>
                <w:widowControl w:val="0"/>
                <w:numPr>
                  <w:ilvl w:val="0"/>
                  <w:numId w:val="142"/>
                </w:numPr>
                <w:spacing w:line="360" w:lineRule="auto"/>
                <w:jc w:val="both"/>
                <w:rPr>
                  <w:szCs w:val="21"/>
                </w:rPr>
              </w:pPr>
              <w:r>
                <w:rPr>
                  <w:rFonts w:hint="eastAsia"/>
                  <w:b/>
                  <w:bCs/>
                  <w:szCs w:val="21"/>
                </w:rPr>
                <w:t>运价调整的风险：</w:t>
              </w:r>
              <w:r>
                <w:rPr>
                  <w:rFonts w:hint="eastAsia"/>
                  <w:szCs w:val="21"/>
                </w:rPr>
                <w:t>运输价格是影响公司营业收入的重要因素之一。若铁路运价政策、清算方式等发生调整，将给公司经营带来一定影响。</w:t>
              </w:r>
            </w:p>
            <w:p w:rsidR="005D23FA" w:rsidRDefault="005D23FA" w:rsidP="005D23FA">
              <w:pPr>
                <w:widowControl w:val="0"/>
                <w:numPr>
                  <w:ilvl w:val="0"/>
                  <w:numId w:val="142"/>
                </w:numPr>
                <w:spacing w:line="360" w:lineRule="auto"/>
                <w:jc w:val="both"/>
                <w:rPr>
                  <w:szCs w:val="21"/>
                </w:rPr>
              </w:pPr>
              <w:r>
                <w:rPr>
                  <w:rFonts w:hint="eastAsia"/>
                  <w:b/>
                  <w:bCs/>
                  <w:szCs w:val="21"/>
                </w:rPr>
                <w:t>其他铁路线路竞争的风险：</w:t>
              </w:r>
              <w:r>
                <w:rPr>
                  <w:rFonts w:hint="eastAsia"/>
                  <w:szCs w:val="21"/>
                </w:rPr>
                <w:t>随着相近地域铁路煤运通道运输能力逐步提升，或未来路网规划新的煤运通道，将对公司运输经营产生一定影响。</w:t>
              </w:r>
            </w:p>
            <w:p w:rsidR="005D23FA" w:rsidRDefault="005D23FA" w:rsidP="005D23FA">
              <w:pPr>
                <w:widowControl w:val="0"/>
                <w:numPr>
                  <w:ilvl w:val="0"/>
                  <w:numId w:val="142"/>
                </w:numPr>
                <w:spacing w:line="360" w:lineRule="auto"/>
                <w:jc w:val="both"/>
                <w:rPr>
                  <w:szCs w:val="21"/>
                </w:rPr>
              </w:pPr>
              <w:r>
                <w:rPr>
                  <w:b/>
                  <w:bCs/>
                  <w:szCs w:val="21"/>
                </w:rPr>
                <w:t>铁路运输事故</w:t>
              </w:r>
              <w:r>
                <w:rPr>
                  <w:rFonts w:hint="eastAsia"/>
                  <w:b/>
                  <w:bCs/>
                  <w:szCs w:val="21"/>
                </w:rPr>
                <w:t>的</w:t>
              </w:r>
              <w:r>
                <w:rPr>
                  <w:b/>
                  <w:bCs/>
                  <w:szCs w:val="21"/>
                </w:rPr>
                <w:t>风险：</w:t>
              </w:r>
              <w:r>
                <w:rPr>
                  <w:szCs w:val="21"/>
                </w:rPr>
                <w:t>铁路运输具有全天候、运量大、全网联动等特点</w:t>
              </w:r>
              <w:r>
                <w:rPr>
                  <w:rFonts w:hint="eastAsia"/>
                  <w:szCs w:val="21"/>
                </w:rPr>
                <w:t>，</w:t>
              </w:r>
              <w:r>
                <w:rPr>
                  <w:szCs w:val="21"/>
                </w:rPr>
                <w:t>在经营过程中</w:t>
              </w:r>
              <w:r>
                <w:rPr>
                  <w:rFonts w:hint="eastAsia"/>
                  <w:szCs w:val="21"/>
                </w:rPr>
                <w:t>存在</w:t>
              </w:r>
              <w:r>
                <w:rPr>
                  <w:szCs w:val="21"/>
                </w:rPr>
                <w:t>发生列车相撞、出轨、颠覆、人身伤亡、货物破损、线路损坏等事故的风险。倘若重大运输事故导致公司财产遭受损失，或导致公司运输业务中断，或导致公司须对其他方受到的损害承担责任，公司的业务经营和财务状况将可能受到不利影响。</w:t>
              </w:r>
            </w:p>
            <w:p w:rsidR="00806678" w:rsidRPr="005D23FA" w:rsidRDefault="005D23FA" w:rsidP="005D23FA">
              <w:pPr>
                <w:widowControl w:val="0"/>
                <w:numPr>
                  <w:ilvl w:val="0"/>
                  <w:numId w:val="142"/>
                </w:numPr>
                <w:spacing w:line="360" w:lineRule="auto"/>
                <w:jc w:val="both"/>
                <w:rPr>
                  <w:szCs w:val="21"/>
                </w:rPr>
              </w:pPr>
              <w:r>
                <w:rPr>
                  <w:b/>
                  <w:bCs/>
                  <w:szCs w:val="21"/>
                </w:rPr>
                <w:t>自然灾害</w:t>
              </w:r>
              <w:r>
                <w:rPr>
                  <w:rFonts w:hint="eastAsia"/>
                  <w:b/>
                  <w:bCs/>
                  <w:szCs w:val="21"/>
                </w:rPr>
                <w:t>的</w:t>
              </w:r>
              <w:r>
                <w:rPr>
                  <w:b/>
                  <w:bCs/>
                  <w:szCs w:val="21"/>
                </w:rPr>
                <w:t>风险：</w:t>
              </w:r>
              <w:r>
                <w:rPr>
                  <w:szCs w:val="21"/>
                </w:rPr>
                <w:t>公司运营和建设过程中，铁路设施可能遭受诸如地震、洪水、恶劣气候等自然灾害的</w:t>
              </w:r>
              <w:r>
                <w:rPr>
                  <w:rFonts w:hint="eastAsia"/>
                  <w:szCs w:val="21"/>
                </w:rPr>
                <w:t>严重</w:t>
              </w:r>
              <w:r>
                <w:rPr>
                  <w:szCs w:val="21"/>
                </w:rPr>
                <w:t>影响，可能造成铁路运输</w:t>
              </w:r>
              <w:r>
                <w:rPr>
                  <w:rFonts w:hint="eastAsia"/>
                  <w:szCs w:val="21"/>
                </w:rPr>
                <w:t>大面积</w:t>
              </w:r>
              <w:r>
                <w:rPr>
                  <w:szCs w:val="21"/>
                </w:rPr>
                <w:t>中断，如果发生上述情况，将对公司的业务经营产生不利影响。</w:t>
              </w:r>
            </w:p>
          </w:sdtContent>
        </w:sdt>
      </w:sdtContent>
    </w:sdt>
    <w:sdt>
      <w:sdtPr>
        <w:rPr>
          <w:rFonts w:ascii="宋体" w:hAnsi="宋体" w:cs="宋体"/>
          <w:b w:val="0"/>
          <w:bCs w:val="0"/>
          <w:kern w:val="0"/>
          <w:szCs w:val="21"/>
        </w:rPr>
        <w:alias w:val="模块:其他"/>
        <w:tag w:val="_SEC_449f92267bc945658d04ffaf693010b1"/>
        <w:id w:val="1198272"/>
        <w:lock w:val="sdtLocked"/>
        <w:placeholder>
          <w:docPart w:val="GBC22222222222222222222222222222"/>
        </w:placeholder>
      </w:sdtPr>
      <w:sdtEndPr>
        <w:rPr>
          <w:rFonts w:hint="eastAsia"/>
        </w:rPr>
      </w:sdtEndPr>
      <w:sdtContent>
        <w:p w:rsidR="00806678" w:rsidRDefault="00B16377" w:rsidP="00FF17C7">
          <w:pPr>
            <w:pStyle w:val="3"/>
            <w:numPr>
              <w:ilvl w:val="3"/>
              <w:numId w:val="28"/>
            </w:numPr>
            <w:ind w:left="420" w:hangingChars="200"/>
            <w:rPr>
              <w:szCs w:val="21"/>
            </w:rPr>
          </w:pPr>
          <w:r>
            <w:rPr>
              <w:szCs w:val="21"/>
            </w:rPr>
            <w:t>其他</w:t>
          </w:r>
        </w:p>
        <w:sdt>
          <w:sdtPr>
            <w:rPr>
              <w:rFonts w:hint="eastAsia"/>
              <w:szCs w:val="21"/>
            </w:rPr>
            <w:alias w:val="是否适用：公司其他未来发展的讨论和分析[双击切换]"/>
            <w:tag w:val="_GBC_aad5c59ba9344d37bc5cc7a8eba5f048"/>
            <w:id w:val="1959062499"/>
            <w:lock w:val="sdtLocked"/>
            <w:placeholder>
              <w:docPart w:val="GBC22222222222222222222222222222"/>
            </w:placeholder>
          </w:sdtPr>
          <w:sdtContent>
            <w:p w:rsidR="00806678" w:rsidRDefault="00F80B6C">
              <w:pPr>
                <w:rPr>
                  <w:szCs w:val="21"/>
                </w:rPr>
              </w:pPr>
              <w:r>
                <w:rPr>
                  <w:szCs w:val="21"/>
                </w:rPr>
                <w:fldChar w:fldCharType="begin"/>
              </w:r>
              <w:r w:rsidR="005D23FA">
                <w:rPr>
                  <w:szCs w:val="21"/>
                </w:rPr>
                <w:instrText xml:space="preserve"> MACROBUTTON  SnrToggleCheckbox □适用  </w:instrText>
              </w:r>
              <w:r>
                <w:rPr>
                  <w:szCs w:val="21"/>
                </w:rPr>
                <w:fldChar w:fldCharType="end"/>
              </w:r>
              <w:r>
                <w:rPr>
                  <w:szCs w:val="21"/>
                </w:rPr>
                <w:fldChar w:fldCharType="begin"/>
              </w:r>
              <w:r w:rsidR="005D23FA">
                <w:rPr>
                  <w:szCs w:val="21"/>
                </w:rPr>
                <w:instrText xml:space="preserve"> MACROBUTTON  SnrToggleCheckbox √不适用 </w:instrText>
              </w:r>
              <w:r>
                <w:rPr>
                  <w:szCs w:val="21"/>
                </w:rPr>
                <w:fldChar w:fldCharType="end"/>
              </w:r>
            </w:p>
          </w:sdtContent>
        </w:sdt>
      </w:sdtContent>
    </w:sdt>
    <w:sdt>
      <w:sdtPr>
        <w:rPr>
          <w:rFonts w:ascii="Cambria" w:hAnsi="Cambria" w:cs="宋体" w:hint="eastAsia"/>
          <w:b w:val="0"/>
          <w:bCs w:val="0"/>
          <w:kern w:val="0"/>
          <w:szCs w:val="24"/>
        </w:rPr>
        <w:alias w:val="模块:公司因不适用准则规定国家秘密、商业秘密等或特殊原因，未按准则披露的情况和原因说明"/>
        <w:tag w:val="_SEC_14765587b8824a0d969811c87d3f8cd6"/>
        <w:id w:val="8546762"/>
        <w:lock w:val="sdtLocked"/>
        <w:placeholder>
          <w:docPart w:val="GBC22222222222222222222222222222"/>
        </w:placeholder>
      </w:sdtPr>
      <w:sdtEndPr>
        <w:rPr>
          <w:rFonts w:ascii="宋体" w:hAnsi="宋体"/>
        </w:rPr>
      </w:sdtEndPr>
      <w:sdtContent>
        <w:p w:rsidR="00806678" w:rsidRDefault="00B16377">
          <w:pPr>
            <w:pStyle w:val="2"/>
            <w:numPr>
              <w:ilvl w:val="0"/>
              <w:numId w:val="16"/>
            </w:numPr>
            <w:rPr>
              <w:rFonts w:ascii="Cambria" w:hAnsi="Cambria"/>
            </w:rPr>
          </w:pPr>
          <w:r>
            <w:rPr>
              <w:rFonts w:ascii="Cambria" w:hAnsi="Cambria" w:hint="eastAsia"/>
            </w:rPr>
            <w:t>公司因不适用准则规定或国家秘密、商业秘密等特殊原因，未按准则披露的情况和原因说明</w:t>
          </w:r>
        </w:p>
        <w:sdt>
          <w:sdtPr>
            <w:rPr>
              <w:rFonts w:hint="eastAsia"/>
            </w:rPr>
            <w:alias w:val="是否适用：公司因不适用准则规定或国家秘密、商业秘密等特殊原因，未按准则披露的情况和原因说明[双击切换]"/>
            <w:tag w:val="_GBC_6605deed04a2449fa3161699caf92e3e"/>
            <w:id w:val="-1894028386"/>
            <w:lock w:val="sdtLocked"/>
            <w:placeholder>
              <w:docPart w:val="GBC22222222222222222222222222222"/>
            </w:placeholder>
          </w:sdtPr>
          <w:sdtContent>
            <w:p w:rsidR="00806678" w:rsidRDefault="00F80B6C" w:rsidP="005D23FA">
              <w:r>
                <w:fldChar w:fldCharType="begin"/>
              </w:r>
              <w:r w:rsidR="005D23FA">
                <w:instrText xml:space="preserve"> MACROBUTTON  SnrToggleCheckbox □适用  </w:instrText>
              </w:r>
              <w:r>
                <w:fldChar w:fldCharType="end"/>
              </w:r>
              <w:r>
                <w:fldChar w:fldCharType="begin"/>
              </w:r>
              <w:r w:rsidR="005D23FA">
                <w:instrText xml:space="preserve"> MACROBUTTON  SnrToggleCheckbox √不适用 </w:instrText>
              </w:r>
              <w:r>
                <w:fldChar w:fldCharType="end"/>
              </w:r>
            </w:p>
          </w:sdtContent>
        </w:sdt>
      </w:sdtContent>
    </w:sdt>
    <w:p w:rsidR="00806678" w:rsidRDefault="00806678">
      <w:pPr>
        <w:rPr>
          <w:szCs w:val="21"/>
        </w:rPr>
      </w:pPr>
    </w:p>
    <w:p w:rsidR="00806678" w:rsidRDefault="00B16377">
      <w:pPr>
        <w:pStyle w:val="10"/>
        <w:numPr>
          <w:ilvl w:val="0"/>
          <w:numId w:val="3"/>
        </w:numPr>
        <w:spacing w:before="0" w:after="0"/>
        <w:rPr>
          <w:bCs w:val="0"/>
        </w:rPr>
      </w:pPr>
      <w:bookmarkStart w:id="47" w:name="_Toc409437610"/>
      <w:bookmarkStart w:id="48" w:name="_Toc437440716"/>
      <w:bookmarkStart w:id="49" w:name="_Toc89790251"/>
      <w:r>
        <w:rPr>
          <w:bCs w:val="0"/>
        </w:rPr>
        <w:t>公司治理</w:t>
      </w:r>
      <w:bookmarkEnd w:id="47"/>
      <w:bookmarkEnd w:id="48"/>
      <w:bookmarkEnd w:id="49"/>
    </w:p>
    <w:sdt>
      <w:sdtPr>
        <w:rPr>
          <w:rFonts w:ascii="宋体" w:hAnsi="宋体" w:cs="宋体"/>
          <w:b w:val="0"/>
          <w:bCs w:val="0"/>
          <w:kern w:val="0"/>
          <w:szCs w:val="24"/>
        </w:rPr>
        <w:alias w:val="模块:公司治理相关情况说明"/>
        <w:tag w:val="_SEC_0164dfaf2ef04d3a93f24cb4cdc06581"/>
        <w:id w:val="3160337"/>
        <w:lock w:val="sdtLocked"/>
        <w:placeholder>
          <w:docPart w:val="GBC22222222222222222222222222222"/>
        </w:placeholder>
      </w:sdtPr>
      <w:sdtContent>
        <w:p w:rsidR="00806678" w:rsidRDefault="00B16377" w:rsidP="00FF17C7">
          <w:pPr>
            <w:pStyle w:val="2"/>
            <w:numPr>
              <w:ilvl w:val="0"/>
              <w:numId w:val="35"/>
            </w:numPr>
          </w:pPr>
          <w:r>
            <w:t>公司治理相关情况说明</w:t>
          </w:r>
        </w:p>
        <w:sdt>
          <w:sdtPr>
            <w:rPr>
              <w:rFonts w:hint="eastAsia"/>
              <w:szCs w:val="21"/>
            </w:rPr>
            <w:alias w:val="是否适用：公司治理相关情况说明[双击切换]"/>
            <w:tag w:val="_GBC_fcded3e74c5842408b5da723b3a757fa"/>
            <w:id w:val="102316382"/>
            <w:lock w:val="sdtLocked"/>
            <w:placeholder>
              <w:docPart w:val="GBC22222222222222222222222222222"/>
            </w:placeholder>
          </w:sdtPr>
          <w:sdtContent>
            <w:p w:rsidR="00806678" w:rsidRDefault="00F80B6C">
              <w:pPr>
                <w:rPr>
                  <w:szCs w:val="21"/>
                </w:rPr>
              </w:pPr>
              <w:r>
                <w:rPr>
                  <w:szCs w:val="21"/>
                </w:rPr>
                <w:fldChar w:fldCharType="begin"/>
              </w:r>
              <w:r w:rsidR="003511E5">
                <w:rPr>
                  <w:szCs w:val="21"/>
                </w:rPr>
                <w:instrText xml:space="preserve"> MACROBUTTON  SnrToggleCheckbox √适用  </w:instrText>
              </w:r>
              <w:r>
                <w:rPr>
                  <w:szCs w:val="21"/>
                </w:rPr>
                <w:fldChar w:fldCharType="end"/>
              </w:r>
              <w:r>
                <w:rPr>
                  <w:szCs w:val="21"/>
                </w:rPr>
                <w:fldChar w:fldCharType="begin"/>
              </w:r>
              <w:r w:rsidR="003511E5">
                <w:rPr>
                  <w:szCs w:val="21"/>
                </w:rPr>
                <w:instrText xml:space="preserve"> MACROBUTTON  SnrToggleCheckbox □不适用 </w:instrText>
              </w:r>
              <w:r>
                <w:rPr>
                  <w:szCs w:val="21"/>
                </w:rPr>
                <w:fldChar w:fldCharType="end"/>
              </w:r>
            </w:p>
          </w:sdtContent>
        </w:sdt>
        <w:sdt>
          <w:sdtPr>
            <w:rPr>
              <w:szCs w:val="21"/>
            </w:rPr>
            <w:alias w:val="公司治理相关情况说明"/>
            <w:tag w:val="_GBC_b4d29a30dc2b4ea6b942196a3b52c2d0"/>
            <w:id w:val="890305443"/>
            <w:lock w:val="sdtLocked"/>
            <w:placeholder>
              <w:docPart w:val="GBC22222222222222222222222222222"/>
            </w:placeholder>
          </w:sdtPr>
          <w:sdtContent>
            <w:p w:rsidR="003511E5" w:rsidRDefault="003511E5" w:rsidP="003511E5">
              <w:pPr>
                <w:spacing w:line="360" w:lineRule="auto"/>
                <w:ind w:firstLineChars="200" w:firstLine="420"/>
                <w:rPr>
                  <w:szCs w:val="21"/>
                </w:rPr>
              </w:pPr>
              <w:r>
                <w:rPr>
                  <w:rFonts w:hint="eastAsia"/>
                  <w:szCs w:val="21"/>
                </w:rPr>
                <w:t>按照《中华人民共和国公司法》《中华人民共和国证券法》《上市公司治理准则》等相关法律法规的要求，公司建立了由股东大会、董事会、监事会和管理层组成的公司治理架构，形成了权力机构、决策机构、监督机构和经营层之间权责明确、运作规范的相互协调</w:t>
              </w:r>
              <w:r w:rsidR="003B2F22">
                <w:rPr>
                  <w:rFonts w:hint="eastAsia"/>
                  <w:szCs w:val="21"/>
                </w:rPr>
                <w:t>和相互制衡机制。公司股东、实际控制人、董监高人员依法依规行使权利</w:t>
              </w:r>
              <w:r>
                <w:rPr>
                  <w:rFonts w:hint="eastAsia"/>
                  <w:szCs w:val="21"/>
                </w:rPr>
                <w:t>，履行义务，维护上市公司利益。公司治理健全、有效、透明，内部和外部监督相互制衡，股东和利益相关者的合法权益得到有效保障，公司整体价值进一步提升。公司在股东与股东大会、董事与董事会、监事与监事会、控股股东及其关联方与上市公司、机构投资者及其他相关机构、利益相关者、环境保护与社会责任、信息披露与透明度等主要治理方面均符合监管部门有关文件的要求。</w:t>
              </w:r>
            </w:p>
            <w:p w:rsidR="003E13DF" w:rsidRPr="001931DF" w:rsidRDefault="003511E5" w:rsidP="003E13DF">
              <w:pPr>
                <w:spacing w:line="360" w:lineRule="auto"/>
                <w:ind w:firstLineChars="200" w:firstLine="420"/>
                <w:rPr>
                  <w:szCs w:val="21"/>
                </w:rPr>
              </w:pPr>
              <w:r>
                <w:rPr>
                  <w:rFonts w:hint="eastAsia"/>
                  <w:szCs w:val="21"/>
                </w:rPr>
                <w:t>报告期内，</w:t>
              </w:r>
              <w:r w:rsidR="006E0030" w:rsidRPr="001931DF">
                <w:rPr>
                  <w:rFonts w:hint="eastAsia"/>
                  <w:szCs w:val="21"/>
                </w:rPr>
                <w:t>为</w:t>
              </w:r>
              <w:r w:rsidR="003E13DF" w:rsidRPr="001931DF">
                <w:rPr>
                  <w:rFonts w:hint="eastAsia"/>
                  <w:szCs w:val="21"/>
                </w:rPr>
                <w:t>进一步完善公司治理，提高股东大会和董事会科学决策水平，</w:t>
              </w:r>
              <w:r w:rsidR="004F56D0">
                <w:rPr>
                  <w:rFonts w:hint="eastAsia"/>
                  <w:szCs w:val="21"/>
                </w:rPr>
                <w:t>强化公司规范化运作水平，切实保护广大股东的利益，</w:t>
              </w:r>
              <w:r w:rsidR="00647B29">
                <w:rPr>
                  <w:rFonts w:hint="eastAsia"/>
                  <w:szCs w:val="21"/>
                </w:rPr>
                <w:t>根据《中华人民共和国证券法》，</w:t>
              </w:r>
              <w:r w:rsidR="006E0030" w:rsidRPr="001931DF">
                <w:rPr>
                  <w:rFonts w:hint="eastAsia"/>
                  <w:szCs w:val="21"/>
                </w:rPr>
                <w:t>中国证监会</w:t>
              </w:r>
              <w:bookmarkStart w:id="50" w:name="_Hlk100852152"/>
              <w:r w:rsidR="006E0030" w:rsidRPr="001931DF">
                <w:rPr>
                  <w:rFonts w:hint="eastAsia"/>
                  <w:szCs w:val="21"/>
                </w:rPr>
                <w:t>《上市公司章程指引（2022年修订）》</w:t>
              </w:r>
              <w:bookmarkEnd w:id="50"/>
              <w:r w:rsidR="003E13DF" w:rsidRPr="001931DF">
                <w:rPr>
                  <w:rFonts w:hint="eastAsia"/>
                  <w:szCs w:val="21"/>
                </w:rPr>
                <w:t>《上市公司股东大会规则（2022年修订）》</w:t>
              </w:r>
              <w:r w:rsidR="00293356" w:rsidRPr="003D70F6">
                <w:rPr>
                  <w:rFonts w:hint="eastAsia"/>
                  <w:szCs w:val="21"/>
                </w:rPr>
                <w:t>《上市公司独立董事规则》</w:t>
              </w:r>
              <w:r w:rsidR="006E0030" w:rsidRPr="001931DF">
                <w:rPr>
                  <w:szCs w:val="21"/>
                </w:rPr>
                <w:t>等</w:t>
              </w:r>
              <w:r w:rsidR="006E0030" w:rsidRPr="001931DF">
                <w:rPr>
                  <w:rFonts w:hint="eastAsia"/>
                  <w:szCs w:val="21"/>
                </w:rPr>
                <w:t>法律</w:t>
              </w:r>
              <w:r w:rsidR="006E0030" w:rsidRPr="001931DF">
                <w:rPr>
                  <w:szCs w:val="21"/>
                </w:rPr>
                <w:t>法规</w:t>
              </w:r>
              <w:r w:rsidR="00EC439A">
                <w:rPr>
                  <w:rFonts w:hint="eastAsia"/>
                  <w:szCs w:val="21"/>
                </w:rPr>
                <w:t>要求</w:t>
              </w:r>
              <w:r w:rsidR="003D70F6">
                <w:rPr>
                  <w:rFonts w:hint="eastAsia"/>
                  <w:szCs w:val="21"/>
                </w:rPr>
                <w:t>，对照</w:t>
              </w:r>
              <w:r w:rsidR="003D70F6" w:rsidRPr="00647B29">
                <w:rPr>
                  <w:rFonts w:hint="eastAsia"/>
                  <w:szCs w:val="21"/>
                </w:rPr>
                <w:t>《中国证监会上市公司监管指引第</w:t>
              </w:r>
              <w:r w:rsidR="003D70F6" w:rsidRPr="00647B29">
                <w:rPr>
                  <w:szCs w:val="21"/>
                </w:rPr>
                <w:t xml:space="preserve"> 2 号</w:t>
              </w:r>
              <w:r w:rsidR="003D70F6" w:rsidRPr="00647B29">
                <w:rPr>
                  <w:rFonts w:hint="eastAsia"/>
                  <w:szCs w:val="21"/>
                </w:rPr>
                <w:t>、第8号</w:t>
              </w:r>
              <w:r w:rsidR="00647B29">
                <w:rPr>
                  <w:rFonts w:hint="eastAsia"/>
                  <w:szCs w:val="21"/>
                </w:rPr>
                <w:t>》</w:t>
              </w:r>
              <w:r w:rsidR="003D70F6" w:rsidRPr="00647B29">
                <w:rPr>
                  <w:rFonts w:hint="eastAsia"/>
                  <w:szCs w:val="21"/>
                </w:rPr>
                <w:t>，</w:t>
              </w:r>
              <w:r w:rsidR="003D70F6">
                <w:rPr>
                  <w:rFonts w:hint="eastAsia"/>
                  <w:szCs w:val="21"/>
                </w:rPr>
                <w:t>《</w:t>
              </w:r>
              <w:r w:rsidR="00647B29" w:rsidRPr="003D70F6">
                <w:rPr>
                  <w:rFonts w:hint="eastAsia"/>
                  <w:szCs w:val="21"/>
                </w:rPr>
                <w:t>上海证券交易所</w:t>
              </w:r>
              <w:r w:rsidR="003D70F6">
                <w:rPr>
                  <w:rFonts w:hint="eastAsia"/>
                  <w:szCs w:val="21"/>
                </w:rPr>
                <w:t>股票上市规则》</w:t>
              </w:r>
              <w:r w:rsidR="00660424" w:rsidRPr="003D70F6">
                <w:rPr>
                  <w:rFonts w:hint="eastAsia"/>
                  <w:szCs w:val="21"/>
                </w:rPr>
                <w:t>《</w:t>
              </w:r>
              <w:r w:rsidR="00647B29" w:rsidRPr="003D70F6">
                <w:rPr>
                  <w:rFonts w:hint="eastAsia"/>
                  <w:szCs w:val="21"/>
                </w:rPr>
                <w:t>上海证券交易所</w:t>
              </w:r>
              <w:r w:rsidR="00660424" w:rsidRPr="003D70F6">
                <w:rPr>
                  <w:rFonts w:hint="eastAsia"/>
                  <w:szCs w:val="21"/>
                </w:rPr>
                <w:t>上市公司自律监管指引</w:t>
              </w:r>
              <w:r w:rsidR="003D70F6">
                <w:rPr>
                  <w:rFonts w:hint="eastAsia"/>
                  <w:szCs w:val="21"/>
                </w:rPr>
                <w:t>第1号、第8号</w:t>
              </w:r>
              <w:r w:rsidR="00660424" w:rsidRPr="003D70F6">
                <w:rPr>
                  <w:szCs w:val="21"/>
                </w:rPr>
                <w:t>》</w:t>
              </w:r>
              <w:r w:rsidR="00647B29">
                <w:rPr>
                  <w:rFonts w:hint="eastAsia"/>
                  <w:szCs w:val="21"/>
                </w:rPr>
                <w:t>等</w:t>
              </w:r>
              <w:r w:rsidR="00660424">
                <w:rPr>
                  <w:rFonts w:hint="eastAsia"/>
                  <w:szCs w:val="21"/>
                </w:rPr>
                <w:t>规则</w:t>
              </w:r>
              <w:r w:rsidR="006E0030" w:rsidRPr="001931DF">
                <w:rPr>
                  <w:rFonts w:hint="eastAsia"/>
                  <w:szCs w:val="21"/>
                </w:rPr>
                <w:t>，</w:t>
              </w:r>
              <w:r w:rsidR="00660424">
                <w:rPr>
                  <w:rFonts w:hint="eastAsia"/>
                  <w:szCs w:val="21"/>
                </w:rPr>
                <w:t>先后</w:t>
              </w:r>
              <w:r w:rsidR="006E0030" w:rsidRPr="001931DF">
                <w:rPr>
                  <w:szCs w:val="21"/>
                </w:rPr>
                <w:t>对《公司</w:t>
              </w:r>
              <w:r w:rsidR="006E0030" w:rsidRPr="001931DF">
                <w:rPr>
                  <w:szCs w:val="21"/>
                </w:rPr>
                <w:lastRenderedPageBreak/>
                <w:t>章程》</w:t>
              </w:r>
              <w:r w:rsidR="003E13DF" w:rsidRPr="001931DF">
                <w:rPr>
                  <w:szCs w:val="21"/>
                </w:rPr>
                <w:t>《公司</w:t>
              </w:r>
              <w:r w:rsidR="003E13DF" w:rsidRPr="001931DF">
                <w:rPr>
                  <w:rFonts w:hint="eastAsia"/>
                  <w:szCs w:val="21"/>
                </w:rPr>
                <w:t>股东大会议事规则</w:t>
              </w:r>
              <w:r w:rsidR="003E13DF" w:rsidRPr="001931DF">
                <w:rPr>
                  <w:szCs w:val="21"/>
                </w:rPr>
                <w:t>》《公司</w:t>
              </w:r>
              <w:r w:rsidR="003E13DF" w:rsidRPr="001931DF">
                <w:rPr>
                  <w:rFonts w:hint="eastAsia"/>
                  <w:szCs w:val="21"/>
                </w:rPr>
                <w:t>董事会议事规则</w:t>
              </w:r>
              <w:r w:rsidR="003E13DF" w:rsidRPr="001931DF">
                <w:rPr>
                  <w:szCs w:val="21"/>
                </w:rPr>
                <w:t>》</w:t>
              </w:r>
              <w:r w:rsidR="00660424">
                <w:rPr>
                  <w:rFonts w:hint="eastAsia"/>
                  <w:szCs w:val="21"/>
                </w:rPr>
                <w:t>等12项治理文件</w:t>
              </w:r>
              <w:r w:rsidR="003E13DF" w:rsidRPr="001931DF">
                <w:rPr>
                  <w:szCs w:val="21"/>
                </w:rPr>
                <w:t>进行</w:t>
              </w:r>
              <w:r w:rsidR="00647B29">
                <w:rPr>
                  <w:rFonts w:hint="eastAsia"/>
                  <w:szCs w:val="21"/>
                </w:rPr>
                <w:t>全面</w:t>
              </w:r>
              <w:r w:rsidR="00660424">
                <w:rPr>
                  <w:rFonts w:hint="eastAsia"/>
                  <w:szCs w:val="21"/>
                </w:rPr>
                <w:t>修订</w:t>
              </w:r>
              <w:r w:rsidR="003E13DF" w:rsidRPr="001931DF">
                <w:rPr>
                  <w:rFonts w:hint="eastAsia"/>
                  <w:szCs w:val="21"/>
                </w:rPr>
                <w:t>，</w:t>
              </w:r>
              <w:r w:rsidR="00660424">
                <w:rPr>
                  <w:rFonts w:hint="eastAsia"/>
                  <w:szCs w:val="21"/>
                </w:rPr>
                <w:t>履行了相应的审议程序，具体如下：</w:t>
              </w:r>
            </w:p>
            <w:p w:rsidR="00050DFE" w:rsidRPr="00050DFE" w:rsidRDefault="00830FE0" w:rsidP="00050DFE">
              <w:pPr>
                <w:spacing w:line="360" w:lineRule="auto"/>
                <w:ind w:firstLineChars="200" w:firstLine="420"/>
                <w:rPr>
                  <w:szCs w:val="21"/>
                </w:rPr>
              </w:pPr>
              <w:r>
                <w:rPr>
                  <w:rFonts w:hint="eastAsia"/>
                  <w:szCs w:val="21"/>
                </w:rPr>
                <w:t>修订并</w:t>
              </w:r>
              <w:r w:rsidR="00660424">
                <w:rPr>
                  <w:rFonts w:hint="eastAsia"/>
                  <w:szCs w:val="21"/>
                </w:rPr>
                <w:t>经公司六届十一次董事会和2021年年度股东大会审议通过的治理文件：</w:t>
              </w:r>
            </w:p>
            <w:p w:rsidR="00660424" w:rsidRPr="00660424" w:rsidRDefault="00660424" w:rsidP="00660424">
              <w:pPr>
                <w:spacing w:line="360" w:lineRule="auto"/>
                <w:ind w:firstLineChars="200" w:firstLine="420"/>
                <w:rPr>
                  <w:szCs w:val="21"/>
                </w:rPr>
              </w:pPr>
              <w:r w:rsidRPr="00660424">
                <w:rPr>
                  <w:rFonts w:hint="eastAsia"/>
                  <w:szCs w:val="21"/>
                </w:rPr>
                <w:t>1.《大秦铁路股份有限公司章程》</w:t>
              </w:r>
              <w:r w:rsidR="00AA4E19">
                <w:rPr>
                  <w:rFonts w:hint="eastAsia"/>
                  <w:szCs w:val="21"/>
                </w:rPr>
                <w:t>；</w:t>
              </w:r>
            </w:p>
            <w:p w:rsidR="00660424" w:rsidRDefault="00660424" w:rsidP="00660424">
              <w:pPr>
                <w:spacing w:line="360" w:lineRule="auto"/>
                <w:ind w:firstLineChars="200" w:firstLine="420"/>
                <w:rPr>
                  <w:szCs w:val="21"/>
                </w:rPr>
              </w:pPr>
              <w:r w:rsidRPr="00660424">
                <w:rPr>
                  <w:rFonts w:hint="eastAsia"/>
                  <w:szCs w:val="21"/>
                </w:rPr>
                <w:t>2.《大秦铁路股份有限公司股东大会议事规则》</w:t>
              </w:r>
              <w:r w:rsidR="00AA4E19">
                <w:rPr>
                  <w:rFonts w:hint="eastAsia"/>
                  <w:szCs w:val="21"/>
                </w:rPr>
                <w:t>；</w:t>
              </w:r>
            </w:p>
            <w:p w:rsidR="00660424" w:rsidRDefault="00660424" w:rsidP="00660424">
              <w:pPr>
                <w:spacing w:line="360" w:lineRule="auto"/>
                <w:ind w:firstLineChars="200" w:firstLine="420"/>
                <w:rPr>
                  <w:szCs w:val="21"/>
                </w:rPr>
              </w:pPr>
              <w:r w:rsidRPr="00660424">
                <w:rPr>
                  <w:rFonts w:hint="eastAsia"/>
                  <w:szCs w:val="21"/>
                </w:rPr>
                <w:t>3.《大秦铁路股份有限公司董事会议事规则》</w:t>
              </w:r>
              <w:r w:rsidR="00AA4E19">
                <w:rPr>
                  <w:rFonts w:hint="eastAsia"/>
                  <w:szCs w:val="21"/>
                </w:rPr>
                <w:t>；</w:t>
              </w:r>
            </w:p>
            <w:p w:rsidR="00660424" w:rsidRDefault="00660424" w:rsidP="00660424">
              <w:pPr>
                <w:spacing w:line="360" w:lineRule="auto"/>
                <w:ind w:firstLineChars="200" w:firstLine="420"/>
                <w:rPr>
                  <w:szCs w:val="21"/>
                </w:rPr>
              </w:pPr>
              <w:r w:rsidRPr="00660424">
                <w:rPr>
                  <w:rFonts w:hint="eastAsia"/>
                  <w:szCs w:val="21"/>
                </w:rPr>
                <w:t>4.《大秦铁路股份有限公司独立董事工作规则》</w:t>
              </w:r>
              <w:r w:rsidR="00AA4E19">
                <w:rPr>
                  <w:rFonts w:hint="eastAsia"/>
                  <w:szCs w:val="21"/>
                </w:rPr>
                <w:t>；</w:t>
              </w:r>
            </w:p>
            <w:p w:rsidR="00660424" w:rsidRDefault="00660424" w:rsidP="00660424">
              <w:pPr>
                <w:spacing w:line="360" w:lineRule="auto"/>
                <w:ind w:firstLineChars="200" w:firstLine="420"/>
                <w:rPr>
                  <w:szCs w:val="21"/>
                </w:rPr>
              </w:pPr>
              <w:r w:rsidRPr="00660424">
                <w:rPr>
                  <w:rFonts w:hint="eastAsia"/>
                  <w:szCs w:val="21"/>
                </w:rPr>
                <w:t>5.《大秦铁路股份有限公司关联交易决策规则》</w:t>
              </w:r>
              <w:r w:rsidR="00AA4E19">
                <w:rPr>
                  <w:rFonts w:hint="eastAsia"/>
                  <w:szCs w:val="21"/>
                </w:rPr>
                <w:t>；</w:t>
              </w:r>
            </w:p>
            <w:p w:rsidR="00660424" w:rsidRPr="00660424" w:rsidRDefault="00660424" w:rsidP="00660424">
              <w:pPr>
                <w:spacing w:line="360" w:lineRule="auto"/>
                <w:ind w:firstLineChars="200" w:firstLine="420"/>
                <w:rPr>
                  <w:szCs w:val="21"/>
                </w:rPr>
              </w:pPr>
              <w:r w:rsidRPr="00660424">
                <w:rPr>
                  <w:rFonts w:hint="eastAsia"/>
                  <w:szCs w:val="21"/>
                </w:rPr>
                <w:t>6.《大秦铁路股份有限公司融资、借款及担保管理办法》</w:t>
              </w:r>
              <w:r w:rsidR="00AA4E19">
                <w:rPr>
                  <w:rFonts w:hint="eastAsia"/>
                  <w:szCs w:val="21"/>
                </w:rPr>
                <w:t>。</w:t>
              </w:r>
            </w:p>
            <w:p w:rsidR="00660424" w:rsidRPr="00050DFE" w:rsidRDefault="00830FE0" w:rsidP="00660424">
              <w:pPr>
                <w:spacing w:line="360" w:lineRule="auto"/>
                <w:ind w:firstLineChars="200" w:firstLine="420"/>
                <w:rPr>
                  <w:szCs w:val="21"/>
                </w:rPr>
              </w:pPr>
              <w:r>
                <w:rPr>
                  <w:rFonts w:hint="eastAsia"/>
                  <w:szCs w:val="21"/>
                </w:rPr>
                <w:t>修订并</w:t>
              </w:r>
              <w:r w:rsidR="00660424">
                <w:rPr>
                  <w:rFonts w:hint="eastAsia"/>
                  <w:szCs w:val="21"/>
                </w:rPr>
                <w:t>经公司六届十次、十一次、十三次董事会审议通过的治理文件：</w:t>
              </w:r>
            </w:p>
            <w:p w:rsidR="00660424" w:rsidRPr="00AA4E19" w:rsidRDefault="00660424" w:rsidP="00AA4E19">
              <w:pPr>
                <w:spacing w:line="360" w:lineRule="auto"/>
                <w:ind w:firstLineChars="200" w:firstLine="420"/>
                <w:rPr>
                  <w:bCs/>
                  <w:szCs w:val="21"/>
                </w:rPr>
              </w:pPr>
              <w:r w:rsidRPr="00AA4E19">
                <w:rPr>
                  <w:rFonts w:hint="eastAsia"/>
                  <w:bCs/>
                  <w:szCs w:val="21"/>
                </w:rPr>
                <w:t>1.《大秦铁路股份有限公司董事、监事和高级管理人员所持本公司股份及其变动管理办法》</w:t>
              </w:r>
              <w:r w:rsidR="00AA4E19">
                <w:rPr>
                  <w:rFonts w:hint="eastAsia"/>
                  <w:bCs/>
                  <w:szCs w:val="21"/>
                </w:rPr>
                <w:t>；</w:t>
              </w:r>
            </w:p>
            <w:p w:rsidR="00660424" w:rsidRPr="00AA4E19" w:rsidRDefault="00660424" w:rsidP="00AA4E19">
              <w:pPr>
                <w:spacing w:line="360" w:lineRule="auto"/>
                <w:ind w:firstLineChars="200" w:firstLine="420"/>
                <w:rPr>
                  <w:spacing w:val="-4"/>
                  <w:szCs w:val="21"/>
                </w:rPr>
              </w:pPr>
              <w:r w:rsidRPr="00AA4E19">
                <w:rPr>
                  <w:rFonts w:hint="eastAsia"/>
                  <w:bCs/>
                  <w:szCs w:val="21"/>
                </w:rPr>
                <w:t>2.</w:t>
              </w:r>
              <w:r w:rsidRPr="00AA4E19">
                <w:rPr>
                  <w:rFonts w:hint="eastAsia"/>
                  <w:spacing w:val="-4"/>
                  <w:szCs w:val="21"/>
                </w:rPr>
                <w:t>《大秦铁路股份有限公司总经理工作细则》</w:t>
              </w:r>
              <w:r w:rsidR="00AA4E19">
                <w:rPr>
                  <w:rFonts w:hint="eastAsia"/>
                  <w:spacing w:val="-4"/>
                  <w:szCs w:val="21"/>
                </w:rPr>
                <w:t>；</w:t>
              </w:r>
            </w:p>
            <w:p w:rsidR="00AA4E19" w:rsidRPr="00AA4E19" w:rsidRDefault="00AA4E19" w:rsidP="00AA4E19">
              <w:pPr>
                <w:spacing w:line="360" w:lineRule="auto"/>
                <w:ind w:firstLineChars="200" w:firstLine="404"/>
                <w:rPr>
                  <w:spacing w:val="-4"/>
                  <w:szCs w:val="21"/>
                </w:rPr>
              </w:pPr>
              <w:r w:rsidRPr="00AA4E19">
                <w:rPr>
                  <w:rFonts w:hint="eastAsia"/>
                  <w:spacing w:val="-4"/>
                  <w:szCs w:val="21"/>
                </w:rPr>
                <w:t>3.</w:t>
              </w:r>
              <w:r w:rsidR="00660424" w:rsidRPr="00AA4E19">
                <w:rPr>
                  <w:rFonts w:hint="eastAsia"/>
                  <w:spacing w:val="-4"/>
                  <w:szCs w:val="21"/>
                </w:rPr>
                <w:t>《大秦铁路股份有限公司募集资金管理办法》</w:t>
              </w:r>
              <w:r>
                <w:rPr>
                  <w:rFonts w:hint="eastAsia"/>
                  <w:spacing w:val="-4"/>
                  <w:szCs w:val="21"/>
                </w:rPr>
                <w:t>；</w:t>
              </w:r>
            </w:p>
            <w:p w:rsidR="00AA4E19" w:rsidRPr="00AA4E19" w:rsidRDefault="00AA4E19" w:rsidP="00AA4E19">
              <w:pPr>
                <w:spacing w:line="360" w:lineRule="auto"/>
                <w:ind w:firstLineChars="200" w:firstLine="404"/>
                <w:rPr>
                  <w:spacing w:val="-4"/>
                  <w:szCs w:val="21"/>
                </w:rPr>
              </w:pPr>
              <w:r w:rsidRPr="00AA4E19">
                <w:rPr>
                  <w:rFonts w:hint="eastAsia"/>
                  <w:spacing w:val="-4"/>
                  <w:szCs w:val="21"/>
                </w:rPr>
                <w:t>4.《</w:t>
              </w:r>
              <w:r w:rsidRPr="00AA4E19">
                <w:rPr>
                  <w:rFonts w:hint="eastAsia"/>
                  <w:szCs w:val="21"/>
                </w:rPr>
                <w:t>大秦铁路股份有限公司董事会审计委员会工作规则</w:t>
              </w:r>
              <w:r w:rsidRPr="00AA4E19">
                <w:rPr>
                  <w:rFonts w:hint="eastAsia"/>
                  <w:spacing w:val="-4"/>
                  <w:szCs w:val="21"/>
                </w:rPr>
                <w:t>》</w:t>
              </w:r>
              <w:r>
                <w:rPr>
                  <w:rFonts w:hint="eastAsia"/>
                  <w:spacing w:val="-4"/>
                  <w:szCs w:val="21"/>
                </w:rPr>
                <w:t>；</w:t>
              </w:r>
            </w:p>
            <w:p w:rsidR="00AA4E19" w:rsidRPr="00AA4E19" w:rsidRDefault="00AA4E19" w:rsidP="00AA4E19">
              <w:pPr>
                <w:spacing w:line="360" w:lineRule="auto"/>
                <w:ind w:firstLineChars="200" w:firstLine="404"/>
                <w:rPr>
                  <w:spacing w:val="-4"/>
                  <w:szCs w:val="21"/>
                </w:rPr>
              </w:pPr>
              <w:r w:rsidRPr="00AA4E19">
                <w:rPr>
                  <w:rFonts w:hint="eastAsia"/>
                  <w:spacing w:val="-4"/>
                  <w:szCs w:val="21"/>
                </w:rPr>
                <w:t>5.《</w:t>
              </w:r>
              <w:r w:rsidRPr="00AA4E19">
                <w:rPr>
                  <w:rFonts w:hint="eastAsia"/>
                  <w:szCs w:val="21"/>
                </w:rPr>
                <w:t>大秦铁路股份有限公司规范与关联方资金往来管理制度</w:t>
              </w:r>
              <w:r w:rsidRPr="00AA4E19">
                <w:rPr>
                  <w:rFonts w:hint="eastAsia"/>
                  <w:spacing w:val="-4"/>
                  <w:szCs w:val="21"/>
                </w:rPr>
                <w:t>》</w:t>
              </w:r>
              <w:r>
                <w:rPr>
                  <w:rFonts w:hint="eastAsia"/>
                  <w:spacing w:val="-4"/>
                  <w:szCs w:val="21"/>
                </w:rPr>
                <w:t>；</w:t>
              </w:r>
            </w:p>
            <w:p w:rsidR="00806678" w:rsidRPr="00DC0F7B" w:rsidRDefault="00AA4E19" w:rsidP="00DC0F7B">
              <w:pPr>
                <w:spacing w:line="360" w:lineRule="auto"/>
                <w:ind w:firstLineChars="200" w:firstLine="412"/>
                <w:rPr>
                  <w:color w:val="000000"/>
                  <w:szCs w:val="21"/>
                </w:rPr>
              </w:pPr>
              <w:r>
                <w:rPr>
                  <w:rFonts w:hint="eastAsia"/>
                  <w:spacing w:val="-2"/>
                  <w:szCs w:val="21"/>
                </w:rPr>
                <w:t>6.</w:t>
              </w:r>
              <w:r w:rsidRPr="00AA4E19">
                <w:rPr>
                  <w:rFonts w:hint="eastAsia"/>
                  <w:spacing w:val="-2"/>
                  <w:szCs w:val="21"/>
                </w:rPr>
                <w:t>《大秦铁路股份有限公司投资者关系管理办法》</w:t>
              </w:r>
              <w:r>
                <w:rPr>
                  <w:rFonts w:hint="eastAsia"/>
                  <w:spacing w:val="-2"/>
                  <w:szCs w:val="21"/>
                </w:rPr>
                <w:t>。</w:t>
              </w:r>
            </w:p>
          </w:sdtContent>
        </w:sdt>
        <w:p w:rsidR="00806678" w:rsidRDefault="00B16377">
          <w:pPr>
            <w:rPr>
              <w:szCs w:val="21"/>
            </w:rPr>
          </w:pPr>
          <w:r>
            <w:rPr>
              <w:szCs w:val="21"/>
            </w:rPr>
            <w:t>公司治理</w:t>
          </w:r>
          <w:r>
            <w:rPr>
              <w:rFonts w:hint="eastAsia"/>
              <w:szCs w:val="21"/>
            </w:rPr>
            <w:t>与法律、行政法规和中国证监会关于上市公司治理的规定</w:t>
          </w:r>
          <w:r>
            <w:rPr>
              <w:szCs w:val="21"/>
            </w:rPr>
            <w:t>是否存在</w:t>
          </w:r>
          <w:r>
            <w:rPr>
              <w:rFonts w:hint="eastAsia"/>
              <w:szCs w:val="21"/>
            </w:rPr>
            <w:t>重大</w:t>
          </w:r>
          <w:r>
            <w:rPr>
              <w:szCs w:val="21"/>
            </w:rPr>
            <w:t>差异；如有</w:t>
          </w:r>
          <w:r>
            <w:rPr>
              <w:rFonts w:hint="eastAsia"/>
              <w:szCs w:val="21"/>
            </w:rPr>
            <w:t>重大</w:t>
          </w:r>
          <w:r>
            <w:rPr>
              <w:szCs w:val="21"/>
            </w:rPr>
            <w:t>差异，应当说明原因</w:t>
          </w:r>
        </w:p>
        <w:sdt>
          <w:sdtPr>
            <w:rPr>
              <w:szCs w:val="21"/>
            </w:rPr>
            <w:alias w:val="是否适用：公司治理与中国证监会相关规定的要求是否存在重大差异[双击切换]"/>
            <w:tag w:val="_GBC_19571e68abe346ceb8159aac5aa1b941"/>
            <w:id w:val="771205422"/>
            <w:lock w:val="sdtLocked"/>
            <w:placeholder>
              <w:docPart w:val="GBC22222222222222222222222222222"/>
            </w:placeholder>
          </w:sdtPr>
          <w:sdtContent>
            <w:p w:rsidR="00806678" w:rsidRPr="003511E5" w:rsidRDefault="00F80B6C">
              <w:pPr>
                <w:rPr>
                  <w:szCs w:val="21"/>
                </w:rPr>
              </w:pPr>
              <w:r>
                <w:rPr>
                  <w:szCs w:val="21"/>
                </w:rPr>
                <w:fldChar w:fldCharType="begin"/>
              </w:r>
              <w:r w:rsidR="003511E5">
                <w:rPr>
                  <w:szCs w:val="21"/>
                </w:rPr>
                <w:instrText xml:space="preserve">MACROBUTTON  SnrToggleCheckbox □适用 </w:instrText>
              </w:r>
              <w:r>
                <w:rPr>
                  <w:szCs w:val="21"/>
                </w:rPr>
                <w:fldChar w:fldCharType="end"/>
              </w:r>
              <w:r>
                <w:rPr>
                  <w:szCs w:val="21"/>
                </w:rPr>
                <w:fldChar w:fldCharType="begin"/>
              </w:r>
              <w:r w:rsidR="003511E5">
                <w:rPr>
                  <w:szCs w:val="21"/>
                </w:rPr>
                <w:instrText xml:space="preserve"> MACROBUTTON  SnrToggleCheckbox √不适用 </w:instrText>
              </w:r>
              <w:r>
                <w:rPr>
                  <w:szCs w:val="21"/>
                </w:rPr>
                <w:fldChar w:fldCharType="end"/>
              </w:r>
            </w:p>
          </w:sdtContent>
        </w:sdt>
      </w:sdtContent>
    </w:sdt>
    <w:sdt>
      <w:sdtPr>
        <w:rPr>
          <w:rFonts w:ascii="宋体" w:hAnsi="宋体" w:cs="宋体" w:hint="eastAsia"/>
          <w:b w:val="0"/>
          <w:bCs w:val="0"/>
          <w:kern w:val="0"/>
          <w:szCs w:val="24"/>
        </w:rPr>
        <w:alias w:val="模块:公司就其与控股股东在业务、人员、资产、机构、财务等方面存在的..."/>
        <w:tag w:val="_SEC_688f9e7a19b8440896b6ff6f165a1948"/>
        <w:id w:val="3160689"/>
        <w:lock w:val="sdtLocked"/>
        <w:placeholder>
          <w:docPart w:val="GBC22222222222222222222222222222"/>
        </w:placeholder>
      </w:sdtPr>
      <w:sdtContent>
        <w:p w:rsidR="00806678" w:rsidRDefault="00B16377" w:rsidP="00FF17C7">
          <w:pPr>
            <w:pStyle w:val="2"/>
            <w:numPr>
              <w:ilvl w:val="0"/>
              <w:numId w:val="35"/>
            </w:numPr>
            <w:ind w:left="450" w:hanging="450"/>
          </w:pPr>
          <w:r>
            <w:rPr>
              <w:rFonts w:hint="eastAsia"/>
            </w:rPr>
            <w:t>公司</w:t>
          </w:r>
          <w:r>
            <w:t>控股股东、实际控制人</w:t>
          </w:r>
          <w:r>
            <w:rPr>
              <w:rFonts w:hint="eastAsia"/>
            </w:rPr>
            <w:t>在保证公司</w:t>
          </w:r>
          <w:r>
            <w:t>资产、人员、财务、机构、业务等方面独立性的具体措施，以及</w:t>
          </w:r>
          <w:r>
            <w:rPr>
              <w:rFonts w:hint="eastAsia"/>
            </w:rPr>
            <w:t>影响公司独立性而采取的解决方案、工作进度及后续工作计划</w:t>
          </w:r>
        </w:p>
        <w:sdt>
          <w:sdtPr>
            <w:rPr>
              <w:rFonts w:hint="eastAsia"/>
              <w:szCs w:val="21"/>
            </w:rPr>
            <w:alias w:val="是否适用：公司就其与控股股东在业务、人员、资产、机构、财务等方面存在的不能保证独立性、不能保持自主经营能力的情况说明[双击切换]"/>
            <w:tag w:val="_GBC_50c3f410fb5f41fcb5dafe7e6ee9876f"/>
            <w:id w:val="900876134"/>
            <w:lock w:val="sdtLocked"/>
            <w:placeholder>
              <w:docPart w:val="GBC22222222222222222222222222222"/>
            </w:placeholder>
          </w:sdtPr>
          <w:sdtContent>
            <w:p w:rsidR="00806678" w:rsidRDefault="00F80B6C">
              <w:pPr>
                <w:rPr>
                  <w:szCs w:val="21"/>
                </w:rPr>
              </w:pPr>
              <w:r>
                <w:rPr>
                  <w:szCs w:val="21"/>
                </w:rPr>
                <w:fldChar w:fldCharType="begin"/>
              </w:r>
              <w:r w:rsidR="00CC0F51">
                <w:rPr>
                  <w:szCs w:val="21"/>
                </w:rPr>
                <w:instrText xml:space="preserve"> MACROBUTTON  SnrToggleCheckbox □适用  </w:instrText>
              </w:r>
              <w:r>
                <w:rPr>
                  <w:szCs w:val="21"/>
                </w:rPr>
                <w:fldChar w:fldCharType="end"/>
              </w:r>
              <w:r>
                <w:rPr>
                  <w:szCs w:val="21"/>
                </w:rPr>
                <w:fldChar w:fldCharType="begin"/>
              </w:r>
              <w:r w:rsidR="00CC0F51">
                <w:rPr>
                  <w:szCs w:val="21"/>
                </w:rPr>
                <w:instrText xml:space="preserve"> MACROBUTTON  SnrToggleCheckbox √不适用 </w:instrText>
              </w:r>
              <w:r>
                <w:rPr>
                  <w:szCs w:val="21"/>
                </w:rPr>
                <w:fldChar w:fldCharType="end"/>
              </w:r>
            </w:p>
          </w:sdtContent>
        </w:sdt>
        <w:p w:rsidR="00806678" w:rsidRDefault="00B16377">
          <w:pPr>
            <w:rPr>
              <w:szCs w:val="21"/>
            </w:rPr>
          </w:pPr>
          <w:r>
            <w:t>控</w:t>
          </w:r>
          <w:r>
            <w:rPr>
              <w:rFonts w:hint="eastAsia"/>
            </w:rPr>
            <w:t>股股东、实际控制人及其控制的其他单位从事与公司相同或者相近业务的情况，以及同业竞争或者同业竞争情况发生较大变化对公司的影响、已采取的解决措施、解决进展以及后续解决计划</w:t>
          </w:r>
        </w:p>
        <w:sdt>
          <w:sdtPr>
            <w:rPr>
              <w:rFonts w:hint="eastAsia"/>
              <w:szCs w:val="21"/>
            </w:rPr>
            <w:alias w:val="是否适用：存在同业竞争的，公司相应的解决措施、工作进度及后续工作计划[双击切换]"/>
            <w:tag w:val="_GBC_1883b6583caa4429822c73ae5e75f9f4"/>
            <w:id w:val="1668669789"/>
            <w:lock w:val="sdtLocked"/>
            <w:placeholder>
              <w:docPart w:val="GBC22222222222222222222222222222"/>
            </w:placeholder>
          </w:sdtPr>
          <w:sdtContent>
            <w:p w:rsidR="00806678" w:rsidRPr="00192A69" w:rsidRDefault="00F80B6C">
              <w:r>
                <w:rPr>
                  <w:szCs w:val="21"/>
                </w:rPr>
                <w:fldChar w:fldCharType="begin"/>
              </w:r>
              <w:r w:rsidR="00CC0F51">
                <w:rPr>
                  <w:szCs w:val="21"/>
                </w:rPr>
                <w:instrText xml:space="preserve"> MACROBUTTON  SnrToggleCheckbox □适用  </w:instrText>
              </w:r>
              <w:r>
                <w:rPr>
                  <w:szCs w:val="21"/>
                </w:rPr>
                <w:fldChar w:fldCharType="end"/>
              </w:r>
              <w:r>
                <w:rPr>
                  <w:szCs w:val="21"/>
                </w:rPr>
                <w:fldChar w:fldCharType="begin"/>
              </w:r>
              <w:r w:rsidR="00CC0F51">
                <w:rPr>
                  <w:szCs w:val="21"/>
                </w:rPr>
                <w:instrText xml:space="preserve"> MACROBUTTON  SnrToggleCheckbox √不适用 </w:instrText>
              </w:r>
              <w:r>
                <w:rPr>
                  <w:szCs w:val="21"/>
                </w:rPr>
                <w:fldChar w:fldCharType="end"/>
              </w:r>
            </w:p>
          </w:sdtContent>
        </w:sdt>
      </w:sdtContent>
    </w:sdt>
    <w:sdt>
      <w:sdtPr>
        <w:rPr>
          <w:rFonts w:ascii="宋体" w:hAnsi="宋体" w:cs="宋体"/>
          <w:b w:val="0"/>
          <w:bCs w:val="0"/>
          <w:kern w:val="0"/>
          <w:szCs w:val="24"/>
        </w:rPr>
        <w:alias w:val="模块:股东大会情况简介"/>
        <w:tag w:val="_SEC_af05829cba9b45f78c11b18af8edc52f"/>
        <w:id w:val="847295920"/>
        <w:lock w:val="sdtLocked"/>
        <w:placeholder>
          <w:docPart w:val="GBC22222222222222222222222222222"/>
        </w:placeholder>
      </w:sdtPr>
      <w:sdtContent>
        <w:p w:rsidR="00806678" w:rsidRDefault="00B16377" w:rsidP="00FF17C7">
          <w:pPr>
            <w:pStyle w:val="2"/>
            <w:numPr>
              <w:ilvl w:val="0"/>
              <w:numId w:val="35"/>
            </w:numPr>
          </w:pPr>
          <w:r>
            <w:t>股东大会情况简介</w:t>
          </w:r>
        </w:p>
        <w:tbl>
          <w:tblPr>
            <w:tblStyle w:val="a6"/>
            <w:tblW w:w="5000" w:type="pct"/>
            <w:tblLook w:val="04A0"/>
          </w:tblPr>
          <w:tblGrid>
            <w:gridCol w:w="1822"/>
            <w:gridCol w:w="1267"/>
            <w:gridCol w:w="2123"/>
            <w:gridCol w:w="1417"/>
            <w:gridCol w:w="2420"/>
          </w:tblGrid>
          <w:tr w:rsidR="00806678" w:rsidTr="00CC0F51">
            <w:trPr>
              <w:trHeight w:val="165"/>
            </w:trPr>
            <w:sdt>
              <w:sdtPr>
                <w:tag w:val="_PLD_ca305564151a412a8452996542c336c8"/>
                <w:id w:val="-1691371357"/>
                <w:lock w:val="sdtLocked"/>
              </w:sdtPr>
              <w:sdtContent>
                <w:tc>
                  <w:tcPr>
                    <w:tcW w:w="1007" w:type="pct"/>
                    <w:vAlign w:val="center"/>
                  </w:tcPr>
                  <w:p w:rsidR="00806678" w:rsidRDefault="00B16377">
                    <w:pPr>
                      <w:jc w:val="center"/>
                      <w:rPr>
                        <w:szCs w:val="21"/>
                      </w:rPr>
                    </w:pPr>
                    <w:r>
                      <w:rPr>
                        <w:szCs w:val="21"/>
                      </w:rPr>
                      <w:t>会议届次</w:t>
                    </w:r>
                  </w:p>
                </w:tc>
              </w:sdtContent>
            </w:sdt>
            <w:sdt>
              <w:sdtPr>
                <w:tag w:val="_PLD_339c8451b8064684a85c81b08813156b"/>
                <w:id w:val="-1602020389"/>
                <w:lock w:val="sdtLocked"/>
              </w:sdtPr>
              <w:sdtContent>
                <w:tc>
                  <w:tcPr>
                    <w:tcW w:w="700" w:type="pct"/>
                    <w:vAlign w:val="center"/>
                  </w:tcPr>
                  <w:p w:rsidR="00806678" w:rsidRDefault="00B16377">
                    <w:pPr>
                      <w:jc w:val="center"/>
                      <w:rPr>
                        <w:szCs w:val="21"/>
                      </w:rPr>
                    </w:pPr>
                    <w:r>
                      <w:rPr>
                        <w:szCs w:val="21"/>
                      </w:rPr>
                      <w:t>召开日期</w:t>
                    </w:r>
                  </w:p>
                </w:tc>
              </w:sdtContent>
            </w:sdt>
            <w:sdt>
              <w:sdtPr>
                <w:tag w:val="_PLD_7b97e84dc8f648a0b4bd3bbd757797d1"/>
                <w:id w:val="-583375240"/>
                <w:lock w:val="sdtLocked"/>
              </w:sdtPr>
              <w:sdtContent>
                <w:tc>
                  <w:tcPr>
                    <w:tcW w:w="1173" w:type="pct"/>
                    <w:vAlign w:val="center"/>
                  </w:tcPr>
                  <w:p w:rsidR="00806678" w:rsidRDefault="00B16377">
                    <w:pPr>
                      <w:jc w:val="center"/>
                      <w:rPr>
                        <w:szCs w:val="21"/>
                      </w:rPr>
                    </w:pPr>
                    <w:r>
                      <w:rPr>
                        <w:szCs w:val="21"/>
                      </w:rPr>
                      <w:t>决议刊登的指定网站的查询索引</w:t>
                    </w:r>
                  </w:p>
                </w:tc>
              </w:sdtContent>
            </w:sdt>
            <w:sdt>
              <w:sdtPr>
                <w:tag w:val="_PLD_e175ad3c6edc4dc8a87f046a04fe2d07"/>
                <w:id w:val="1959754781"/>
                <w:lock w:val="sdtLocked"/>
              </w:sdtPr>
              <w:sdtContent>
                <w:tc>
                  <w:tcPr>
                    <w:tcW w:w="783" w:type="pct"/>
                    <w:vAlign w:val="center"/>
                  </w:tcPr>
                  <w:p w:rsidR="00806678" w:rsidRDefault="00B16377">
                    <w:pPr>
                      <w:jc w:val="center"/>
                      <w:rPr>
                        <w:szCs w:val="21"/>
                      </w:rPr>
                    </w:pPr>
                    <w:r>
                      <w:rPr>
                        <w:szCs w:val="21"/>
                      </w:rPr>
                      <w:t>决议刊登的披露日期</w:t>
                    </w:r>
                  </w:p>
                </w:tc>
              </w:sdtContent>
            </w:sdt>
            <w:sdt>
              <w:sdtPr>
                <w:rPr>
                  <w:rFonts w:hint="eastAsia"/>
                </w:rPr>
                <w:tag w:val="_PLD_23fd9aa41f9444b4a6b91c96589bb344"/>
                <w:id w:val="1003710623"/>
                <w:lock w:val="sdtLocked"/>
              </w:sdtPr>
              <w:sdtContent>
                <w:tc>
                  <w:tcPr>
                    <w:tcW w:w="1337" w:type="pct"/>
                    <w:vAlign w:val="center"/>
                  </w:tcPr>
                  <w:p w:rsidR="00806678" w:rsidRDefault="00B16377">
                    <w:pPr>
                      <w:jc w:val="center"/>
                    </w:pPr>
                    <w:r>
                      <w:rPr>
                        <w:rFonts w:hint="eastAsia"/>
                      </w:rPr>
                      <w:t>会议决议</w:t>
                    </w:r>
                  </w:p>
                </w:tc>
              </w:sdtContent>
            </w:sdt>
          </w:tr>
          <w:sdt>
            <w:sdtPr>
              <w:rPr>
                <w:rFonts w:asciiTheme="minorHAnsi" w:eastAsiaTheme="minorEastAsia" w:hAnsiTheme="minorHAnsi" w:cstheme="minorBidi" w:hint="eastAsia"/>
                <w:kern w:val="2"/>
                <w:szCs w:val="21"/>
              </w:rPr>
              <w:alias w:val="股东大会情况"/>
              <w:tag w:val="_TUP_f464ecce01e34e8aacd508c84a88313d"/>
              <w:id w:val="310684343"/>
              <w:lock w:val="sdtLocked"/>
            </w:sdtPr>
            <w:sdtContent>
              <w:tr w:rsidR="00806678" w:rsidTr="00CC0F51">
                <w:trPr>
                  <w:trHeight w:val="195"/>
                </w:trPr>
                <w:tc>
                  <w:tcPr>
                    <w:tcW w:w="1007" w:type="pct"/>
                  </w:tcPr>
                  <w:p w:rsidR="00806678" w:rsidRDefault="00CC0F51">
                    <w:pPr>
                      <w:rPr>
                        <w:szCs w:val="21"/>
                      </w:rPr>
                    </w:pPr>
                    <w:r>
                      <w:rPr>
                        <w:rFonts w:asciiTheme="minorHAnsi" w:eastAsiaTheme="minorEastAsia" w:hAnsiTheme="minorHAnsi" w:cstheme="minorBidi" w:hint="eastAsia"/>
                        <w:kern w:val="2"/>
                        <w:szCs w:val="21"/>
                      </w:rPr>
                      <w:t>2021</w:t>
                    </w:r>
                    <w:r>
                      <w:rPr>
                        <w:rFonts w:asciiTheme="minorHAnsi" w:eastAsiaTheme="minorEastAsia" w:hAnsiTheme="minorHAnsi" w:cstheme="minorBidi" w:hint="eastAsia"/>
                        <w:kern w:val="2"/>
                        <w:szCs w:val="21"/>
                      </w:rPr>
                      <w:t>年年度股东大会</w:t>
                    </w:r>
                  </w:p>
                </w:tc>
                <w:tc>
                  <w:tcPr>
                    <w:tcW w:w="700" w:type="pct"/>
                  </w:tcPr>
                  <w:p w:rsidR="00806678" w:rsidRDefault="00CC0F51">
                    <w:pPr>
                      <w:rPr>
                        <w:szCs w:val="21"/>
                      </w:rPr>
                    </w:pPr>
                    <w:r>
                      <w:rPr>
                        <w:szCs w:val="21"/>
                      </w:rPr>
                      <w:t>202</w:t>
                    </w:r>
                    <w:r>
                      <w:rPr>
                        <w:rFonts w:hint="eastAsia"/>
                        <w:szCs w:val="21"/>
                      </w:rPr>
                      <w:t>2</w:t>
                    </w:r>
                    <w:r w:rsidRPr="00CC0F51">
                      <w:rPr>
                        <w:szCs w:val="21"/>
                      </w:rPr>
                      <w:t>-05-25</w:t>
                    </w:r>
                  </w:p>
                </w:tc>
                <w:tc>
                  <w:tcPr>
                    <w:tcW w:w="1173" w:type="pct"/>
                  </w:tcPr>
                  <w:p w:rsidR="00806678" w:rsidRDefault="00CC0F51">
                    <w:pPr>
                      <w:rPr>
                        <w:szCs w:val="21"/>
                      </w:rPr>
                    </w:pPr>
                    <w:r w:rsidRPr="00CC0F51">
                      <w:rPr>
                        <w:rFonts w:hint="eastAsia"/>
                        <w:szCs w:val="21"/>
                      </w:rPr>
                      <w:t>上海证券交易所（</w:t>
                    </w:r>
                    <w:r w:rsidRPr="00CC0F51">
                      <w:rPr>
                        <w:szCs w:val="21"/>
                      </w:rPr>
                      <w:t>www.sse.com.cn）</w:t>
                    </w:r>
                  </w:p>
                </w:tc>
                <w:tc>
                  <w:tcPr>
                    <w:tcW w:w="783" w:type="pct"/>
                  </w:tcPr>
                  <w:p w:rsidR="00806678" w:rsidRDefault="00CC0F51">
                    <w:pPr>
                      <w:rPr>
                        <w:szCs w:val="21"/>
                      </w:rPr>
                    </w:pPr>
                    <w:r w:rsidRPr="00CC0F51">
                      <w:rPr>
                        <w:szCs w:val="21"/>
                      </w:rPr>
                      <w:t>2022-05-26</w:t>
                    </w:r>
                  </w:p>
                </w:tc>
                <w:tc>
                  <w:tcPr>
                    <w:tcW w:w="1337" w:type="pct"/>
                  </w:tcPr>
                  <w:p w:rsidR="00806678" w:rsidRDefault="00CC0F51">
                    <w:pPr>
                      <w:rPr>
                        <w:szCs w:val="21"/>
                      </w:rPr>
                    </w:pPr>
                    <w:r w:rsidRPr="00CC0F51">
                      <w:rPr>
                        <w:rFonts w:hint="eastAsia"/>
                        <w:szCs w:val="21"/>
                      </w:rPr>
                      <w:t>会议审议通过《</w:t>
                    </w:r>
                    <w:r>
                      <w:rPr>
                        <w:szCs w:val="21"/>
                      </w:rPr>
                      <w:t>202</w:t>
                    </w:r>
                    <w:r>
                      <w:rPr>
                        <w:rFonts w:hint="eastAsia"/>
                        <w:szCs w:val="21"/>
                      </w:rPr>
                      <w:t>1</w:t>
                    </w:r>
                    <w:r w:rsidRPr="00CC0F51">
                      <w:rPr>
                        <w:szCs w:val="21"/>
                      </w:rPr>
                      <w:t>年度董事会工作报告》《</w:t>
                    </w:r>
                    <w:r>
                      <w:rPr>
                        <w:szCs w:val="21"/>
                      </w:rPr>
                      <w:t>202</w:t>
                    </w:r>
                    <w:r>
                      <w:rPr>
                        <w:rFonts w:hint="eastAsia"/>
                        <w:szCs w:val="21"/>
                      </w:rPr>
                      <w:t>1</w:t>
                    </w:r>
                    <w:r w:rsidRPr="00CC0F51">
                      <w:rPr>
                        <w:szCs w:val="21"/>
                      </w:rPr>
                      <w:t>年度监事会工作报告》等十</w:t>
                    </w:r>
                    <w:r>
                      <w:rPr>
                        <w:rFonts w:hint="eastAsia"/>
                        <w:szCs w:val="21"/>
                      </w:rPr>
                      <w:t>四</w:t>
                    </w:r>
                    <w:r w:rsidR="004F56D0">
                      <w:rPr>
                        <w:szCs w:val="21"/>
                      </w:rPr>
                      <w:t>项议案</w:t>
                    </w:r>
                    <w:r w:rsidR="004F56D0">
                      <w:rPr>
                        <w:rFonts w:hint="eastAsia"/>
                        <w:szCs w:val="21"/>
                      </w:rPr>
                      <w:t>。</w:t>
                    </w:r>
                    <w:r w:rsidRPr="00CC0F51">
                      <w:rPr>
                        <w:szCs w:val="21"/>
                      </w:rPr>
                      <w:t>具体内容详见公司于</w:t>
                    </w:r>
                    <w:r>
                      <w:rPr>
                        <w:szCs w:val="21"/>
                      </w:rPr>
                      <w:t>202</w:t>
                    </w:r>
                    <w:r>
                      <w:rPr>
                        <w:rFonts w:hint="eastAsia"/>
                        <w:szCs w:val="21"/>
                      </w:rPr>
                      <w:t>2</w:t>
                    </w:r>
                    <w:r w:rsidRPr="00CC0F51">
                      <w:rPr>
                        <w:szCs w:val="21"/>
                      </w:rPr>
                      <w:t>年5月26日在上海证券交易所网站披露的《大秦铁路</w:t>
                    </w:r>
                    <w:r>
                      <w:rPr>
                        <w:szCs w:val="21"/>
                      </w:rPr>
                      <w:t>202</w:t>
                    </w:r>
                    <w:r>
                      <w:rPr>
                        <w:rFonts w:hint="eastAsia"/>
                        <w:szCs w:val="21"/>
                      </w:rPr>
                      <w:t>1</w:t>
                    </w:r>
                    <w:r w:rsidRPr="00CC0F51">
                      <w:rPr>
                        <w:szCs w:val="21"/>
                      </w:rPr>
                      <w:t>年年度股东大会决议公告》。</w:t>
                    </w:r>
                  </w:p>
                </w:tc>
              </w:tr>
            </w:sdtContent>
          </w:sdt>
          <w:sdt>
            <w:sdtPr>
              <w:rPr>
                <w:rFonts w:asciiTheme="minorHAnsi" w:eastAsiaTheme="minorEastAsia" w:hAnsiTheme="minorHAnsi" w:cstheme="minorBidi" w:hint="eastAsia"/>
                <w:kern w:val="2"/>
                <w:szCs w:val="21"/>
              </w:rPr>
              <w:alias w:val="股东大会情况"/>
              <w:tag w:val="_TUP_f464ecce01e34e8aacd508c84a88313d"/>
              <w:id w:val="33111371"/>
              <w:lock w:val="sdtLocked"/>
            </w:sdtPr>
            <w:sdtContent>
              <w:tr w:rsidR="00806678" w:rsidTr="00CC0F51">
                <w:trPr>
                  <w:trHeight w:val="195"/>
                </w:trPr>
                <w:tc>
                  <w:tcPr>
                    <w:tcW w:w="1007" w:type="pct"/>
                  </w:tcPr>
                  <w:p w:rsidR="00806678" w:rsidRDefault="00CC0F51">
                    <w:pPr>
                      <w:rPr>
                        <w:szCs w:val="21"/>
                      </w:rPr>
                    </w:pPr>
                    <w:r>
                      <w:rPr>
                        <w:rFonts w:asciiTheme="minorHAnsi" w:eastAsiaTheme="minorEastAsia" w:hAnsiTheme="minorHAnsi" w:cstheme="minorBidi" w:hint="eastAsia"/>
                        <w:kern w:val="2"/>
                        <w:szCs w:val="21"/>
                      </w:rPr>
                      <w:t>2022</w:t>
                    </w:r>
                    <w:r>
                      <w:rPr>
                        <w:rFonts w:asciiTheme="minorHAnsi" w:eastAsiaTheme="minorEastAsia" w:hAnsiTheme="minorHAnsi" w:cstheme="minorBidi" w:hint="eastAsia"/>
                        <w:kern w:val="2"/>
                        <w:szCs w:val="21"/>
                      </w:rPr>
                      <w:t>年第一次临时股东大会</w:t>
                    </w:r>
                  </w:p>
                </w:tc>
                <w:tc>
                  <w:tcPr>
                    <w:tcW w:w="700" w:type="pct"/>
                  </w:tcPr>
                  <w:p w:rsidR="00806678" w:rsidRDefault="00CC0F51">
                    <w:pPr>
                      <w:rPr>
                        <w:szCs w:val="21"/>
                      </w:rPr>
                    </w:pPr>
                    <w:r>
                      <w:rPr>
                        <w:rFonts w:hint="eastAsia"/>
                        <w:szCs w:val="21"/>
                      </w:rPr>
                      <w:t>2022-12-28</w:t>
                    </w:r>
                  </w:p>
                </w:tc>
                <w:tc>
                  <w:tcPr>
                    <w:tcW w:w="1173" w:type="pct"/>
                  </w:tcPr>
                  <w:p w:rsidR="00806678" w:rsidRDefault="00CC0F51">
                    <w:pPr>
                      <w:rPr>
                        <w:szCs w:val="21"/>
                      </w:rPr>
                    </w:pPr>
                    <w:r w:rsidRPr="00CC0F51">
                      <w:rPr>
                        <w:rFonts w:hint="eastAsia"/>
                        <w:szCs w:val="21"/>
                      </w:rPr>
                      <w:t>上海证券交易所（</w:t>
                    </w:r>
                    <w:r w:rsidRPr="00CC0F51">
                      <w:rPr>
                        <w:szCs w:val="21"/>
                      </w:rPr>
                      <w:t>www.sse.com.cn）</w:t>
                    </w:r>
                  </w:p>
                </w:tc>
                <w:tc>
                  <w:tcPr>
                    <w:tcW w:w="783" w:type="pct"/>
                  </w:tcPr>
                  <w:p w:rsidR="00806678" w:rsidRDefault="00CC0F51">
                    <w:pPr>
                      <w:rPr>
                        <w:szCs w:val="21"/>
                      </w:rPr>
                    </w:pPr>
                    <w:r>
                      <w:rPr>
                        <w:rFonts w:hint="eastAsia"/>
                        <w:szCs w:val="21"/>
                      </w:rPr>
                      <w:t>2022-12-29</w:t>
                    </w:r>
                  </w:p>
                </w:tc>
                <w:tc>
                  <w:tcPr>
                    <w:tcW w:w="1337" w:type="pct"/>
                  </w:tcPr>
                  <w:p w:rsidR="00806678" w:rsidRDefault="00CC0F51">
                    <w:pPr>
                      <w:rPr>
                        <w:szCs w:val="21"/>
                      </w:rPr>
                    </w:pPr>
                    <w:r w:rsidRPr="00CC0F51">
                      <w:rPr>
                        <w:rFonts w:hint="eastAsia"/>
                        <w:szCs w:val="21"/>
                      </w:rPr>
                      <w:t>会议审议通过《</w:t>
                    </w:r>
                    <w:r>
                      <w:t>关于与中国国家铁路集团有限公司继续签署</w:t>
                    </w:r>
                    <w:r>
                      <w:rPr>
                        <w:rFonts w:hint="eastAsia"/>
                      </w:rPr>
                      <w:t>&lt;</w:t>
                    </w:r>
                    <w:r>
                      <w:t>综合服务框架协议</w:t>
                    </w:r>
                    <w:r>
                      <w:rPr>
                        <w:rFonts w:hint="eastAsia"/>
                      </w:rPr>
                      <w:t>&gt;</w:t>
                    </w:r>
                    <w:r w:rsidR="004F56D0">
                      <w:rPr>
                        <w:rFonts w:hint="eastAsia"/>
                        <w:szCs w:val="21"/>
                      </w:rPr>
                      <w:t>》一项议</w:t>
                    </w:r>
                    <w:r w:rsidR="004F56D0">
                      <w:rPr>
                        <w:rFonts w:hint="eastAsia"/>
                        <w:szCs w:val="21"/>
                      </w:rPr>
                      <w:lastRenderedPageBreak/>
                      <w:t>案。</w:t>
                    </w:r>
                    <w:r w:rsidRPr="00CC0F51">
                      <w:rPr>
                        <w:rFonts w:hint="eastAsia"/>
                        <w:szCs w:val="21"/>
                      </w:rPr>
                      <w:t>具体内容详见公司于</w:t>
                    </w:r>
                    <w:r>
                      <w:rPr>
                        <w:szCs w:val="21"/>
                      </w:rPr>
                      <w:t>202</w:t>
                    </w:r>
                    <w:r>
                      <w:rPr>
                        <w:rFonts w:hint="eastAsia"/>
                        <w:szCs w:val="21"/>
                      </w:rPr>
                      <w:t>2</w:t>
                    </w:r>
                    <w:r w:rsidRPr="00CC0F51">
                      <w:rPr>
                        <w:szCs w:val="21"/>
                      </w:rPr>
                      <w:t>年12月</w:t>
                    </w:r>
                    <w:r>
                      <w:rPr>
                        <w:szCs w:val="21"/>
                      </w:rPr>
                      <w:t>2</w:t>
                    </w:r>
                    <w:r>
                      <w:rPr>
                        <w:rFonts w:hint="eastAsia"/>
                        <w:szCs w:val="21"/>
                      </w:rPr>
                      <w:t>9</w:t>
                    </w:r>
                    <w:r w:rsidRPr="00CC0F51">
                      <w:rPr>
                        <w:szCs w:val="21"/>
                      </w:rPr>
                      <w:t>日在上海证券交易所网站披露的《大秦铁路</w:t>
                    </w:r>
                    <w:r>
                      <w:rPr>
                        <w:szCs w:val="21"/>
                      </w:rPr>
                      <w:t>202</w:t>
                    </w:r>
                    <w:r>
                      <w:rPr>
                        <w:rFonts w:hint="eastAsia"/>
                        <w:szCs w:val="21"/>
                      </w:rPr>
                      <w:t>2</w:t>
                    </w:r>
                    <w:r w:rsidRPr="00CC0F51">
                      <w:rPr>
                        <w:szCs w:val="21"/>
                      </w:rPr>
                      <w:t>年第一次临时股东大会决议公告》。</w:t>
                    </w:r>
                  </w:p>
                </w:tc>
              </w:tr>
            </w:sdtContent>
          </w:sdt>
        </w:tbl>
        <w:p w:rsidR="00806678" w:rsidRDefault="00F80B6C"/>
      </w:sdtContent>
    </w:sdt>
    <w:bookmarkStart w:id="51" w:name="_Hlk41294309" w:displacedByCustomXml="next"/>
    <w:bookmarkStart w:id="52" w:name="_Hlk89178901" w:displacedByCustomXml="next"/>
    <w:sdt>
      <w:sdtPr>
        <w:rPr>
          <w:rFonts w:hint="eastAsia"/>
          <w:b/>
        </w:rPr>
        <w:alias w:val="模块:表决权恢复的优先股股东请求召开临时股东大会 "/>
        <w:tag w:val="_SEC_003224e3799f4defba565ac26b82f20e"/>
        <w:id w:val="658665352"/>
        <w:lock w:val="sdtLocked"/>
        <w:placeholder>
          <w:docPart w:val="GBC22222222222222222222222222222"/>
        </w:placeholder>
      </w:sdtPr>
      <w:sdtEndPr>
        <w:rPr>
          <w:b w:val="0"/>
          <w:color w:val="333399"/>
        </w:rPr>
      </w:sdtEndPr>
      <w:sdtContent>
        <w:p w:rsidR="00806678" w:rsidRDefault="00B16377">
          <w:pPr>
            <w:rPr>
              <w:bCs/>
            </w:rPr>
          </w:pPr>
          <w:r>
            <w:rPr>
              <w:rFonts w:hint="eastAsia"/>
              <w:bCs/>
            </w:rPr>
            <w:t>表决权恢复的优先股股东请求召开临时股东大会</w:t>
          </w:r>
        </w:p>
        <w:sdt>
          <w:sdtPr>
            <w:alias w:val="是否适用：表决权恢复的优先股股东请求召开临时股东大会[双击切换]"/>
            <w:tag w:val="_GBC_daa6d818841c4c078ecf082b84efd616"/>
            <w:id w:val="-477378716"/>
            <w:lock w:val="sdtLocked"/>
            <w:placeholder>
              <w:docPart w:val="GBC22222222222222222222222222222"/>
            </w:placeholder>
          </w:sdtPr>
          <w:sdtContent>
            <w:p w:rsidR="00806678" w:rsidRPr="00DE3E02" w:rsidRDefault="00F80B6C">
              <w:pPr>
                <w:rPr>
                  <w:color w:val="333399"/>
                </w:rPr>
              </w:pPr>
              <w:r>
                <w:fldChar w:fldCharType="begin"/>
              </w:r>
              <w:r w:rsidR="001F5C76">
                <w:instrText xml:space="preserve"> MACROBUTTON  SnrToggleCheckbox □适用 </w:instrText>
              </w:r>
              <w:r>
                <w:fldChar w:fldCharType="end"/>
              </w:r>
              <w:r>
                <w:fldChar w:fldCharType="begin"/>
              </w:r>
              <w:r w:rsidR="001F5C76">
                <w:instrText xml:space="preserve"> MACROBUTTON  SnrToggleCheckbox √不适用 </w:instrText>
              </w:r>
              <w:r>
                <w:fldChar w:fldCharType="end"/>
              </w:r>
            </w:p>
          </w:sdtContent>
        </w:sdt>
      </w:sdtContent>
    </w:sdt>
    <w:bookmarkEnd w:id="51" w:displacedByCustomXml="prev"/>
    <w:bookmarkEnd w:id="52" w:displacedByCustomXml="prev"/>
    <w:sdt>
      <w:sdtPr>
        <w:rPr>
          <w:szCs w:val="21"/>
        </w:rPr>
        <w:alias w:val="模块:股东大会情况说明"/>
        <w:tag w:val="_SEC_7cd092daeff04a9f9d7112f4a233db29"/>
        <w:id w:val="1289393485"/>
        <w:lock w:val="sdtLocked"/>
        <w:placeholder>
          <w:docPart w:val="GBC22222222222222222222222222222"/>
        </w:placeholder>
      </w:sdtPr>
      <w:sdtContent>
        <w:p w:rsidR="00806678" w:rsidRDefault="00B16377">
          <w:pPr>
            <w:rPr>
              <w:szCs w:val="21"/>
            </w:rPr>
          </w:pPr>
          <w:r>
            <w:rPr>
              <w:szCs w:val="21"/>
            </w:rPr>
            <w:t>股东大会情况说明</w:t>
          </w:r>
        </w:p>
        <w:sdt>
          <w:sdtPr>
            <w:rPr>
              <w:szCs w:val="21"/>
            </w:rPr>
            <w:alias w:val="是否适用：股东大会情况说明[双击切换]"/>
            <w:tag w:val="_GBC_417d33555ab14709b5640c8830ff5a67"/>
            <w:id w:val="-407759697"/>
            <w:lock w:val="sdtLocked"/>
            <w:placeholder>
              <w:docPart w:val="GBC22222222222222222222222222222"/>
            </w:placeholder>
          </w:sdtPr>
          <w:sdtContent>
            <w:p w:rsidR="00806678" w:rsidRDefault="00F80B6C">
              <w:pPr>
                <w:rPr>
                  <w:szCs w:val="21"/>
                </w:rPr>
              </w:pPr>
              <w:r>
                <w:rPr>
                  <w:szCs w:val="21"/>
                </w:rPr>
                <w:fldChar w:fldCharType="begin"/>
              </w:r>
              <w:r w:rsidR="001F5C76">
                <w:rPr>
                  <w:szCs w:val="21"/>
                </w:rPr>
                <w:instrText xml:space="preserve">MACROBUTTON  SnrToggleCheckbox √适用 </w:instrText>
              </w:r>
              <w:r>
                <w:rPr>
                  <w:szCs w:val="21"/>
                </w:rPr>
                <w:fldChar w:fldCharType="end"/>
              </w:r>
              <w:r>
                <w:rPr>
                  <w:szCs w:val="21"/>
                </w:rPr>
                <w:fldChar w:fldCharType="begin"/>
              </w:r>
              <w:r w:rsidR="001F5C76">
                <w:rPr>
                  <w:szCs w:val="21"/>
                </w:rPr>
                <w:instrText xml:space="preserve"> MACROBUTTON  SnrToggleCheckbox □不适用 </w:instrText>
              </w:r>
              <w:r>
                <w:rPr>
                  <w:szCs w:val="21"/>
                </w:rPr>
                <w:fldChar w:fldCharType="end"/>
              </w:r>
            </w:p>
          </w:sdtContent>
        </w:sdt>
        <w:sdt>
          <w:sdtPr>
            <w:rPr>
              <w:rFonts w:hint="eastAsia"/>
              <w:szCs w:val="21"/>
            </w:rPr>
            <w:alias w:val="年度股东大会情况的说明"/>
            <w:tag w:val="_GBC_680c3694649c41fc9a5e12da9632e15e"/>
            <w:id w:val="78262157"/>
            <w:lock w:val="sdtLocked"/>
            <w:placeholder>
              <w:docPart w:val="GBC22222222222222222222222222222"/>
            </w:placeholder>
          </w:sdtPr>
          <w:sdtContent>
            <w:p w:rsidR="001F5C76" w:rsidRPr="00520AC5" w:rsidRDefault="001F5C76" w:rsidP="00520AC5">
              <w:pPr>
                <w:spacing w:line="360" w:lineRule="auto"/>
                <w:ind w:firstLineChars="200" w:firstLine="420"/>
                <w:rPr>
                  <w:rFonts w:asciiTheme="minorEastAsia" w:eastAsiaTheme="minorEastAsia" w:hAnsiTheme="minorEastAsia"/>
                  <w:szCs w:val="21"/>
                </w:rPr>
              </w:pPr>
              <w:r w:rsidRPr="00520AC5">
                <w:rPr>
                  <w:rFonts w:hint="eastAsia"/>
                  <w:szCs w:val="21"/>
                </w:rPr>
                <w:t>大秦铁路股份有限公司2021年年度股东大会于</w:t>
              </w:r>
              <w:r w:rsidRPr="00520AC5">
                <w:rPr>
                  <w:szCs w:val="21"/>
                </w:rPr>
                <w:t>20</w:t>
              </w:r>
              <w:r w:rsidRPr="00520AC5">
                <w:rPr>
                  <w:rFonts w:hint="eastAsia"/>
                  <w:szCs w:val="21"/>
                </w:rPr>
                <w:t>22年5月25日在山西省太原市建设北路小东门街口196号太铁广场召开，出席本次大会的股东及股东代表共76名，代表的股份总额为</w:t>
              </w:r>
              <w:r w:rsidRPr="00520AC5">
                <w:rPr>
                  <w:rFonts w:cs="新宋体"/>
                  <w:szCs w:val="21"/>
                </w:rPr>
                <w:t>10,169,267,810</w:t>
              </w:r>
              <w:r w:rsidRPr="00520AC5">
                <w:rPr>
                  <w:rFonts w:hint="eastAsia"/>
                  <w:szCs w:val="21"/>
                </w:rPr>
                <w:t>股，占总股本的</w:t>
              </w:r>
              <w:r w:rsidRPr="00520AC5">
                <w:rPr>
                  <w:rFonts w:cs="新宋体"/>
                  <w:szCs w:val="21"/>
                </w:rPr>
                <w:t>68.4019</w:t>
              </w:r>
              <w:r w:rsidRPr="00520AC5">
                <w:rPr>
                  <w:rFonts w:hint="eastAsia"/>
                  <w:szCs w:val="21"/>
                </w:rPr>
                <w:t>％</w:t>
              </w:r>
              <w:r w:rsidR="00265C78">
                <w:rPr>
                  <w:rFonts w:asciiTheme="minorEastAsia" w:eastAsiaTheme="minorEastAsia" w:hAnsiTheme="minorEastAsia" w:hint="eastAsia"/>
                  <w:szCs w:val="21"/>
                </w:rPr>
                <w:t>。</w:t>
              </w:r>
              <w:r w:rsidRPr="00520AC5">
                <w:rPr>
                  <w:rFonts w:asciiTheme="minorEastAsia" w:eastAsiaTheme="minorEastAsia" w:hAnsiTheme="minorEastAsia" w:hint="eastAsia"/>
                  <w:szCs w:val="21"/>
                </w:rPr>
                <w:t>大会审议通过以下议案：</w:t>
              </w:r>
            </w:p>
            <w:p w:rsidR="001F5C76" w:rsidRPr="00520AC5" w:rsidRDefault="001F5C76" w:rsidP="00520AC5">
              <w:pPr>
                <w:adjustRightInd w:val="0"/>
                <w:snapToGrid w:val="0"/>
                <w:spacing w:line="360" w:lineRule="auto"/>
                <w:ind w:firstLineChars="200" w:firstLine="422"/>
                <w:rPr>
                  <w:rFonts w:asciiTheme="minorEastAsia" w:eastAsiaTheme="minorEastAsia" w:hAnsiTheme="minorEastAsia"/>
                  <w:b/>
                  <w:szCs w:val="21"/>
                </w:rPr>
              </w:pPr>
              <w:r w:rsidRPr="00520AC5">
                <w:rPr>
                  <w:rFonts w:asciiTheme="minorEastAsia" w:eastAsiaTheme="minorEastAsia" w:hAnsiTheme="minorEastAsia" w:hint="eastAsia"/>
                  <w:b/>
                  <w:szCs w:val="21"/>
                </w:rPr>
                <w:t>非累计投票议案：</w:t>
              </w:r>
            </w:p>
            <w:p w:rsidR="001F5C76" w:rsidRPr="00520AC5" w:rsidRDefault="001F5C76" w:rsidP="00520AC5">
              <w:pPr>
                <w:spacing w:line="360" w:lineRule="auto"/>
                <w:ind w:firstLine="482"/>
                <w:rPr>
                  <w:rFonts w:asciiTheme="minorEastAsia" w:eastAsiaTheme="minorEastAsia" w:hAnsiTheme="minorEastAsia"/>
                  <w:szCs w:val="21"/>
                </w:rPr>
              </w:pPr>
              <w:r w:rsidRPr="00520AC5">
                <w:rPr>
                  <w:rFonts w:asciiTheme="minorEastAsia" w:eastAsiaTheme="minorEastAsia" w:hAnsiTheme="minorEastAsia" w:hint="eastAsia"/>
                  <w:szCs w:val="21"/>
                </w:rPr>
                <w:t>1.关于《大秦铁路股份有限公司</w:t>
              </w:r>
              <w:r w:rsidRPr="00520AC5">
                <w:rPr>
                  <w:rFonts w:asciiTheme="minorEastAsia" w:eastAsiaTheme="minorEastAsia" w:hAnsiTheme="minorEastAsia"/>
                  <w:szCs w:val="21"/>
                </w:rPr>
                <w:t>20</w:t>
              </w:r>
              <w:r w:rsidRPr="00520AC5">
                <w:rPr>
                  <w:rFonts w:asciiTheme="minorEastAsia" w:eastAsiaTheme="minorEastAsia" w:hAnsiTheme="minorEastAsia" w:hint="eastAsia"/>
                  <w:szCs w:val="21"/>
                </w:rPr>
                <w:t>21年度董事会工作报告》的议案；</w:t>
              </w:r>
            </w:p>
            <w:p w:rsidR="001F5C76" w:rsidRPr="00520AC5" w:rsidRDefault="001F5C76" w:rsidP="00520AC5">
              <w:pPr>
                <w:spacing w:line="360" w:lineRule="auto"/>
                <w:ind w:firstLine="482"/>
                <w:rPr>
                  <w:rFonts w:asciiTheme="minorEastAsia" w:eastAsiaTheme="minorEastAsia" w:hAnsiTheme="minorEastAsia"/>
                  <w:szCs w:val="21"/>
                </w:rPr>
              </w:pPr>
              <w:r w:rsidRPr="00520AC5">
                <w:rPr>
                  <w:rFonts w:asciiTheme="minorEastAsia" w:eastAsiaTheme="minorEastAsia" w:hAnsiTheme="minorEastAsia" w:hint="eastAsia"/>
                  <w:szCs w:val="21"/>
                </w:rPr>
                <w:t>2.关于《大秦铁路股份有限公司</w:t>
              </w:r>
              <w:r w:rsidRPr="00520AC5">
                <w:rPr>
                  <w:rFonts w:asciiTheme="minorEastAsia" w:eastAsiaTheme="minorEastAsia" w:hAnsiTheme="minorEastAsia"/>
                  <w:szCs w:val="21"/>
                </w:rPr>
                <w:t>20</w:t>
              </w:r>
              <w:r w:rsidRPr="00520AC5">
                <w:rPr>
                  <w:rFonts w:asciiTheme="minorEastAsia" w:eastAsiaTheme="minorEastAsia" w:hAnsiTheme="minorEastAsia" w:hint="eastAsia"/>
                  <w:szCs w:val="21"/>
                </w:rPr>
                <w:t>21年度监事会工作报告》的议案；</w:t>
              </w:r>
            </w:p>
            <w:p w:rsidR="001F5C76" w:rsidRPr="00520AC5" w:rsidRDefault="001F5C76" w:rsidP="00520AC5">
              <w:pPr>
                <w:spacing w:line="360" w:lineRule="auto"/>
                <w:ind w:firstLine="482"/>
                <w:rPr>
                  <w:rFonts w:asciiTheme="minorEastAsia" w:eastAsiaTheme="minorEastAsia" w:hAnsiTheme="minorEastAsia"/>
                  <w:szCs w:val="21"/>
                </w:rPr>
              </w:pPr>
              <w:r w:rsidRPr="00520AC5">
                <w:rPr>
                  <w:rFonts w:asciiTheme="minorEastAsia" w:eastAsiaTheme="minorEastAsia" w:hAnsiTheme="minorEastAsia" w:hint="eastAsia"/>
                  <w:szCs w:val="21"/>
                </w:rPr>
                <w:t>3.关于《大秦铁路股份有限公司</w:t>
              </w:r>
              <w:r w:rsidRPr="00520AC5">
                <w:rPr>
                  <w:rFonts w:asciiTheme="minorEastAsia" w:eastAsiaTheme="minorEastAsia" w:hAnsiTheme="minorEastAsia"/>
                  <w:szCs w:val="21"/>
                </w:rPr>
                <w:t>20</w:t>
              </w:r>
              <w:r w:rsidRPr="00520AC5">
                <w:rPr>
                  <w:rFonts w:asciiTheme="minorEastAsia" w:eastAsiaTheme="minorEastAsia" w:hAnsiTheme="minorEastAsia" w:hint="eastAsia"/>
                  <w:szCs w:val="21"/>
                </w:rPr>
                <w:t>21年度财务决算及2022年度预算报告》的议案；</w:t>
              </w:r>
            </w:p>
            <w:p w:rsidR="001F5C76" w:rsidRPr="00520AC5" w:rsidRDefault="001F5C76" w:rsidP="00520AC5">
              <w:pPr>
                <w:spacing w:line="360" w:lineRule="auto"/>
                <w:ind w:firstLine="482"/>
                <w:rPr>
                  <w:rFonts w:asciiTheme="minorEastAsia" w:eastAsiaTheme="minorEastAsia" w:hAnsiTheme="minorEastAsia"/>
                  <w:szCs w:val="21"/>
                </w:rPr>
              </w:pPr>
              <w:r w:rsidRPr="00520AC5">
                <w:rPr>
                  <w:rFonts w:asciiTheme="minorEastAsia" w:eastAsiaTheme="minorEastAsia" w:hAnsiTheme="minorEastAsia" w:hint="eastAsia"/>
                  <w:szCs w:val="21"/>
                </w:rPr>
                <w:t>4.关于大秦铁路股份有限公司</w:t>
              </w:r>
              <w:r w:rsidRPr="00520AC5">
                <w:rPr>
                  <w:rFonts w:asciiTheme="minorEastAsia" w:eastAsiaTheme="minorEastAsia" w:hAnsiTheme="minorEastAsia"/>
                  <w:szCs w:val="21"/>
                </w:rPr>
                <w:t>20</w:t>
              </w:r>
              <w:r w:rsidRPr="00520AC5">
                <w:rPr>
                  <w:rFonts w:asciiTheme="minorEastAsia" w:eastAsiaTheme="minorEastAsia" w:hAnsiTheme="minorEastAsia" w:hint="eastAsia"/>
                  <w:szCs w:val="21"/>
                </w:rPr>
                <w:t>21年度利润分配方案的议案；</w:t>
              </w:r>
            </w:p>
            <w:p w:rsidR="001F5C76" w:rsidRPr="00520AC5" w:rsidRDefault="001F5C76" w:rsidP="00520AC5">
              <w:pPr>
                <w:spacing w:line="360" w:lineRule="auto"/>
                <w:ind w:firstLine="482"/>
                <w:rPr>
                  <w:rFonts w:asciiTheme="minorEastAsia" w:eastAsiaTheme="minorEastAsia" w:hAnsiTheme="minorEastAsia"/>
                  <w:szCs w:val="21"/>
                </w:rPr>
              </w:pPr>
              <w:r w:rsidRPr="00520AC5">
                <w:rPr>
                  <w:rFonts w:asciiTheme="minorEastAsia" w:eastAsiaTheme="minorEastAsia" w:hAnsiTheme="minorEastAsia" w:hint="eastAsia"/>
                  <w:szCs w:val="21"/>
                </w:rPr>
                <w:t>5.关于大秦铁路股份有限公司</w:t>
              </w:r>
              <w:r w:rsidRPr="00520AC5">
                <w:rPr>
                  <w:rFonts w:asciiTheme="minorEastAsia" w:eastAsiaTheme="minorEastAsia" w:hAnsiTheme="minorEastAsia"/>
                  <w:szCs w:val="21"/>
                </w:rPr>
                <w:t>20</w:t>
              </w:r>
              <w:r w:rsidRPr="00520AC5">
                <w:rPr>
                  <w:rFonts w:asciiTheme="minorEastAsia" w:eastAsiaTheme="minorEastAsia" w:hAnsiTheme="minorEastAsia" w:hint="eastAsia"/>
                  <w:szCs w:val="21"/>
                </w:rPr>
                <w:t>21年年度报告及摘要的议案；</w:t>
              </w:r>
            </w:p>
            <w:p w:rsidR="001F5C76" w:rsidRPr="00520AC5" w:rsidRDefault="001F5C76" w:rsidP="00520AC5">
              <w:pPr>
                <w:spacing w:line="360" w:lineRule="auto"/>
                <w:ind w:firstLine="482"/>
                <w:rPr>
                  <w:rFonts w:asciiTheme="minorEastAsia" w:eastAsiaTheme="minorEastAsia" w:hAnsiTheme="minorEastAsia"/>
                  <w:szCs w:val="21"/>
                </w:rPr>
              </w:pPr>
              <w:r w:rsidRPr="00520AC5">
                <w:rPr>
                  <w:rFonts w:asciiTheme="minorEastAsia" w:eastAsiaTheme="minorEastAsia" w:hAnsiTheme="minorEastAsia" w:hint="eastAsia"/>
                  <w:szCs w:val="21"/>
                </w:rPr>
                <w:t>6.关于修订《大秦铁路股份有限公司章程》的议案</w:t>
              </w:r>
              <w:r w:rsidR="00C94E5E">
                <w:rPr>
                  <w:rFonts w:asciiTheme="minorEastAsia" w:eastAsiaTheme="minorEastAsia" w:hAnsiTheme="minorEastAsia" w:hint="eastAsia"/>
                  <w:szCs w:val="21"/>
                </w:rPr>
                <w:t>；</w:t>
              </w:r>
            </w:p>
            <w:p w:rsidR="001F5C76" w:rsidRPr="00520AC5" w:rsidRDefault="001F5C76" w:rsidP="00520AC5">
              <w:pPr>
                <w:spacing w:line="360" w:lineRule="auto"/>
                <w:ind w:firstLine="482"/>
                <w:rPr>
                  <w:rFonts w:asciiTheme="minorEastAsia" w:eastAsiaTheme="minorEastAsia" w:hAnsiTheme="minorEastAsia"/>
                  <w:szCs w:val="21"/>
                </w:rPr>
              </w:pPr>
              <w:r w:rsidRPr="00520AC5">
                <w:rPr>
                  <w:rFonts w:asciiTheme="minorEastAsia" w:eastAsiaTheme="minorEastAsia" w:hAnsiTheme="minorEastAsia" w:hint="eastAsia"/>
                  <w:szCs w:val="21"/>
                </w:rPr>
                <w:t>7.关于修订《大秦铁路股份有限公司股东大会议事规则》的议案</w:t>
              </w:r>
              <w:r w:rsidR="00C94E5E">
                <w:rPr>
                  <w:rFonts w:asciiTheme="minorEastAsia" w:eastAsiaTheme="minorEastAsia" w:hAnsiTheme="minorEastAsia" w:hint="eastAsia"/>
                  <w:szCs w:val="21"/>
                </w:rPr>
                <w:t>；</w:t>
              </w:r>
            </w:p>
            <w:p w:rsidR="001F5C76" w:rsidRPr="00520AC5" w:rsidRDefault="001F5C76" w:rsidP="00520AC5">
              <w:pPr>
                <w:spacing w:line="360" w:lineRule="auto"/>
                <w:ind w:firstLine="482"/>
                <w:rPr>
                  <w:rFonts w:asciiTheme="minorEastAsia" w:eastAsiaTheme="minorEastAsia" w:hAnsiTheme="minorEastAsia"/>
                  <w:szCs w:val="21"/>
                </w:rPr>
              </w:pPr>
              <w:r w:rsidRPr="00520AC5">
                <w:rPr>
                  <w:rFonts w:asciiTheme="minorEastAsia" w:eastAsiaTheme="minorEastAsia" w:hAnsiTheme="minorEastAsia" w:hint="eastAsia"/>
                  <w:szCs w:val="21"/>
                </w:rPr>
                <w:t>8.关于修订《大秦铁路股份有限公司董事会议事规则》的议案</w:t>
              </w:r>
              <w:r w:rsidR="00C94E5E">
                <w:rPr>
                  <w:rFonts w:asciiTheme="minorEastAsia" w:eastAsiaTheme="minorEastAsia" w:hAnsiTheme="minorEastAsia" w:hint="eastAsia"/>
                  <w:szCs w:val="21"/>
                </w:rPr>
                <w:t>；</w:t>
              </w:r>
            </w:p>
            <w:p w:rsidR="001F5C76" w:rsidRPr="00520AC5" w:rsidRDefault="001F5C76" w:rsidP="00520AC5">
              <w:pPr>
                <w:spacing w:line="360" w:lineRule="auto"/>
                <w:ind w:firstLine="482"/>
                <w:rPr>
                  <w:rFonts w:asciiTheme="minorEastAsia" w:eastAsiaTheme="minorEastAsia" w:hAnsiTheme="minorEastAsia"/>
                  <w:szCs w:val="21"/>
                </w:rPr>
              </w:pPr>
              <w:r w:rsidRPr="00520AC5">
                <w:rPr>
                  <w:rFonts w:asciiTheme="minorEastAsia" w:eastAsiaTheme="minorEastAsia" w:hAnsiTheme="minorEastAsia" w:hint="eastAsia"/>
                  <w:szCs w:val="21"/>
                </w:rPr>
                <w:t>9.关于修订《大秦铁路股份有限公司独立董事工作规则》的议案</w:t>
              </w:r>
              <w:r w:rsidR="00C94E5E">
                <w:rPr>
                  <w:rFonts w:asciiTheme="minorEastAsia" w:eastAsiaTheme="minorEastAsia" w:hAnsiTheme="minorEastAsia" w:hint="eastAsia"/>
                  <w:szCs w:val="21"/>
                </w:rPr>
                <w:t>；</w:t>
              </w:r>
            </w:p>
            <w:p w:rsidR="001F5C76" w:rsidRPr="00520AC5" w:rsidRDefault="001F5C76" w:rsidP="00520AC5">
              <w:pPr>
                <w:spacing w:line="360" w:lineRule="auto"/>
                <w:ind w:firstLine="482"/>
                <w:rPr>
                  <w:rFonts w:asciiTheme="minorEastAsia" w:eastAsiaTheme="minorEastAsia" w:hAnsiTheme="minorEastAsia"/>
                  <w:szCs w:val="21"/>
                </w:rPr>
              </w:pPr>
              <w:r w:rsidRPr="00520AC5">
                <w:rPr>
                  <w:rFonts w:asciiTheme="minorEastAsia" w:eastAsiaTheme="minorEastAsia" w:hAnsiTheme="minorEastAsia" w:hint="eastAsia"/>
                  <w:szCs w:val="21"/>
                </w:rPr>
                <w:t>10.关于修订《大秦铁路股份有限公司关联交易决策规则》的议案</w:t>
              </w:r>
              <w:r w:rsidR="00C94E5E">
                <w:rPr>
                  <w:rFonts w:asciiTheme="minorEastAsia" w:eastAsiaTheme="minorEastAsia" w:hAnsiTheme="minorEastAsia" w:hint="eastAsia"/>
                  <w:szCs w:val="21"/>
                </w:rPr>
                <w:t>；</w:t>
              </w:r>
            </w:p>
            <w:p w:rsidR="001F5C76" w:rsidRPr="00520AC5" w:rsidRDefault="001F5C76" w:rsidP="00520AC5">
              <w:pPr>
                <w:spacing w:line="360" w:lineRule="auto"/>
                <w:ind w:firstLine="482"/>
                <w:rPr>
                  <w:rFonts w:asciiTheme="minorEastAsia" w:eastAsiaTheme="minorEastAsia" w:hAnsiTheme="minorEastAsia"/>
                  <w:spacing w:val="-4"/>
                  <w:szCs w:val="21"/>
                </w:rPr>
              </w:pPr>
              <w:r w:rsidRPr="00520AC5">
                <w:rPr>
                  <w:rFonts w:asciiTheme="minorEastAsia" w:eastAsiaTheme="minorEastAsia" w:hAnsiTheme="minorEastAsia" w:hint="eastAsia"/>
                  <w:spacing w:val="-4"/>
                  <w:szCs w:val="21"/>
                </w:rPr>
                <w:t>11.关于修订《大秦铁路股份有限公司融资、借款及担保管理办法》的议案</w:t>
              </w:r>
              <w:r w:rsidR="00C94E5E">
                <w:rPr>
                  <w:rFonts w:asciiTheme="minorEastAsia" w:eastAsiaTheme="minorEastAsia" w:hAnsiTheme="minorEastAsia" w:hint="eastAsia"/>
                  <w:spacing w:val="-4"/>
                  <w:szCs w:val="21"/>
                </w:rPr>
                <w:t>；</w:t>
              </w:r>
            </w:p>
            <w:p w:rsidR="001F5C76" w:rsidRPr="00520AC5" w:rsidRDefault="001F5C76" w:rsidP="00520AC5">
              <w:pPr>
                <w:spacing w:line="360" w:lineRule="auto"/>
                <w:ind w:firstLine="482"/>
                <w:rPr>
                  <w:rFonts w:asciiTheme="minorEastAsia" w:eastAsiaTheme="minorEastAsia" w:hAnsiTheme="minorEastAsia"/>
                  <w:szCs w:val="21"/>
                </w:rPr>
              </w:pPr>
              <w:r w:rsidRPr="00520AC5">
                <w:rPr>
                  <w:rFonts w:asciiTheme="minorEastAsia" w:eastAsiaTheme="minorEastAsia" w:hAnsiTheme="minorEastAsia" w:hint="eastAsia"/>
                  <w:szCs w:val="21"/>
                </w:rPr>
                <w:t>12.关于续聘年度财务报告审计机构的议案；</w:t>
              </w:r>
            </w:p>
            <w:p w:rsidR="001F5C76" w:rsidRPr="00520AC5" w:rsidRDefault="001F5C76" w:rsidP="00520AC5">
              <w:pPr>
                <w:spacing w:line="360" w:lineRule="auto"/>
                <w:ind w:firstLine="482"/>
                <w:rPr>
                  <w:rFonts w:asciiTheme="minorEastAsia" w:eastAsiaTheme="minorEastAsia" w:hAnsiTheme="minorEastAsia"/>
                  <w:szCs w:val="21"/>
                </w:rPr>
              </w:pPr>
              <w:r w:rsidRPr="00520AC5">
                <w:rPr>
                  <w:rFonts w:asciiTheme="minorEastAsia" w:eastAsiaTheme="minorEastAsia" w:hAnsiTheme="minorEastAsia" w:hint="eastAsia"/>
                  <w:szCs w:val="21"/>
                </w:rPr>
                <w:t>13.关于续聘年度内部控制审计机构的议案。</w:t>
              </w:r>
            </w:p>
            <w:p w:rsidR="001F5C76" w:rsidRPr="00520AC5" w:rsidRDefault="001F5C76" w:rsidP="00520AC5">
              <w:pPr>
                <w:spacing w:line="360" w:lineRule="auto"/>
                <w:ind w:firstLineChars="200" w:firstLine="422"/>
                <w:rPr>
                  <w:rFonts w:asciiTheme="minorEastAsia" w:eastAsiaTheme="minorEastAsia" w:hAnsiTheme="minorEastAsia"/>
                  <w:b/>
                  <w:color w:val="000000"/>
                  <w:szCs w:val="21"/>
                </w:rPr>
              </w:pPr>
              <w:r w:rsidRPr="00520AC5">
                <w:rPr>
                  <w:rFonts w:asciiTheme="minorEastAsia" w:eastAsiaTheme="minorEastAsia" w:hAnsiTheme="minorEastAsia" w:hint="eastAsia"/>
                  <w:b/>
                  <w:color w:val="000000"/>
                  <w:szCs w:val="21"/>
                </w:rPr>
                <w:t>累积投票议案：</w:t>
              </w:r>
            </w:p>
            <w:p w:rsidR="001F5C76" w:rsidRPr="00520AC5" w:rsidRDefault="001F5C76" w:rsidP="00520AC5">
              <w:pPr>
                <w:adjustRightInd w:val="0"/>
                <w:snapToGrid w:val="0"/>
                <w:spacing w:line="360" w:lineRule="auto"/>
                <w:ind w:firstLine="482"/>
                <w:rPr>
                  <w:rFonts w:asciiTheme="minorEastAsia" w:eastAsiaTheme="minorEastAsia" w:hAnsiTheme="minorEastAsia"/>
                  <w:bCs/>
                  <w:szCs w:val="21"/>
                </w:rPr>
              </w:pPr>
              <w:r w:rsidRPr="00520AC5">
                <w:rPr>
                  <w:rFonts w:asciiTheme="minorEastAsia" w:eastAsiaTheme="minorEastAsia" w:hAnsiTheme="minorEastAsia" w:hint="eastAsia"/>
                  <w:szCs w:val="21"/>
                </w:rPr>
                <w:t>14.</w:t>
              </w:r>
              <w:r w:rsidRPr="00520AC5">
                <w:rPr>
                  <w:rFonts w:asciiTheme="minorEastAsia" w:eastAsiaTheme="minorEastAsia" w:hAnsiTheme="minorEastAsia" w:hint="eastAsia"/>
                  <w:bCs/>
                  <w:szCs w:val="21"/>
                </w:rPr>
                <w:t>关于选举公司第六届董事会独立董事的议案。</w:t>
              </w:r>
            </w:p>
            <w:p w:rsidR="00520AC5" w:rsidRPr="00520AC5" w:rsidRDefault="00520AC5" w:rsidP="00520AC5">
              <w:pPr>
                <w:spacing w:line="360" w:lineRule="auto"/>
                <w:ind w:firstLineChars="200" w:firstLine="420"/>
                <w:rPr>
                  <w:rFonts w:asciiTheme="minorEastAsia" w:eastAsiaTheme="minorEastAsia" w:hAnsiTheme="minorEastAsia"/>
                  <w:color w:val="000000"/>
                  <w:szCs w:val="21"/>
                </w:rPr>
              </w:pPr>
              <w:r w:rsidRPr="00520AC5">
                <w:rPr>
                  <w:rFonts w:asciiTheme="minorEastAsia" w:eastAsiaTheme="minorEastAsia" w:hAnsiTheme="minorEastAsia" w:hint="eastAsia"/>
                  <w:color w:val="000000"/>
                  <w:szCs w:val="21"/>
                </w:rPr>
                <w:t>此外，大会还听取了《</w:t>
              </w:r>
              <w:r w:rsidRPr="00520AC5">
                <w:rPr>
                  <w:rFonts w:asciiTheme="minorEastAsia" w:eastAsiaTheme="minorEastAsia" w:hAnsiTheme="minorEastAsia" w:hint="eastAsia"/>
                  <w:szCs w:val="21"/>
                </w:rPr>
                <w:t>大秦铁路股份有限公司2021年度独立董事述职报告</w:t>
              </w:r>
              <w:r w:rsidRPr="00520AC5">
                <w:rPr>
                  <w:rFonts w:asciiTheme="minorEastAsia" w:eastAsiaTheme="minorEastAsia" w:hAnsiTheme="minorEastAsia" w:hint="eastAsia"/>
                  <w:color w:val="000000"/>
                  <w:szCs w:val="21"/>
                </w:rPr>
                <w:t>》。</w:t>
              </w:r>
            </w:p>
            <w:p w:rsidR="00F63689" w:rsidRPr="00F63689" w:rsidRDefault="00F63689" w:rsidP="00F63689">
              <w:pPr>
                <w:spacing w:line="360" w:lineRule="auto"/>
                <w:ind w:firstLineChars="200" w:firstLine="420"/>
                <w:rPr>
                  <w:rFonts w:asciiTheme="minorEastAsia" w:eastAsiaTheme="minorEastAsia" w:hAnsiTheme="minorEastAsia"/>
                  <w:szCs w:val="21"/>
                </w:rPr>
              </w:pPr>
              <w:r w:rsidRPr="00F63689">
                <w:rPr>
                  <w:rFonts w:hint="eastAsia"/>
                  <w:szCs w:val="21"/>
                </w:rPr>
                <w:t>大秦铁路股份有限公司2022年第一次临时股东大会于</w:t>
              </w:r>
              <w:r w:rsidRPr="00F63689">
                <w:rPr>
                  <w:szCs w:val="21"/>
                </w:rPr>
                <w:t>20</w:t>
              </w:r>
              <w:r w:rsidRPr="00F63689">
                <w:rPr>
                  <w:rFonts w:hint="eastAsia"/>
                  <w:szCs w:val="21"/>
                </w:rPr>
                <w:t>22年12月28日在山西省太原市建设北路202号公司一楼会议室召开，出席本次大会的股东及股东代表共74名，代表的股份总额为</w:t>
              </w:r>
              <w:r w:rsidRPr="00F63689">
                <w:rPr>
                  <w:szCs w:val="21"/>
                </w:rPr>
                <w:t>881,478,816</w:t>
              </w:r>
              <w:r w:rsidRPr="00F63689">
                <w:rPr>
                  <w:rFonts w:hint="eastAsia"/>
                  <w:szCs w:val="21"/>
                </w:rPr>
                <w:t>股，占总股本的</w:t>
              </w:r>
              <w:r w:rsidRPr="00F63689">
                <w:rPr>
                  <w:szCs w:val="21"/>
                </w:rPr>
                <w:t>5.9291</w:t>
              </w:r>
              <w:r w:rsidR="002A572D">
                <w:rPr>
                  <w:rFonts w:hint="eastAsia"/>
                  <w:szCs w:val="21"/>
                </w:rPr>
                <w:t>％。</w:t>
              </w:r>
              <w:r w:rsidRPr="00F63689">
                <w:rPr>
                  <w:rFonts w:asciiTheme="minorEastAsia" w:eastAsiaTheme="minorEastAsia" w:hAnsiTheme="minorEastAsia" w:hint="eastAsia"/>
                  <w:szCs w:val="21"/>
                </w:rPr>
                <w:t>大会审议通过以下议案：</w:t>
              </w:r>
            </w:p>
            <w:p w:rsidR="00806678" w:rsidRPr="00A87817" w:rsidRDefault="00F63689" w:rsidP="006F32FB">
              <w:pPr>
                <w:widowControl w:val="0"/>
                <w:spacing w:afterLines="50" w:line="360" w:lineRule="auto"/>
                <w:ind w:left="482"/>
                <w:jc w:val="both"/>
                <w:rPr>
                  <w:rFonts w:asciiTheme="minorEastAsia" w:eastAsiaTheme="minorEastAsia" w:hAnsiTheme="minorEastAsia"/>
                  <w:szCs w:val="21"/>
                </w:rPr>
                <w:sectPr w:rsidR="00806678" w:rsidRPr="00A87817" w:rsidSect="007D5CB5">
                  <w:pgSz w:w="11906" w:h="16838"/>
                  <w:pgMar w:top="1525" w:right="1276" w:bottom="1440" w:left="1797" w:header="855" w:footer="992" w:gutter="0"/>
                  <w:cols w:space="425"/>
                  <w:docGrid w:linePitch="312"/>
                </w:sectPr>
              </w:pPr>
              <w:r w:rsidRPr="00F63689">
                <w:rPr>
                  <w:rFonts w:asciiTheme="minorEastAsia" w:eastAsiaTheme="minorEastAsia" w:hAnsiTheme="minorEastAsia" w:hint="eastAsia"/>
                  <w:szCs w:val="21"/>
                </w:rPr>
                <w:t>1.</w:t>
              </w:r>
              <w:r w:rsidRPr="00F63689">
                <w:rPr>
                  <w:rFonts w:hint="eastAsia"/>
                  <w:szCs w:val="21"/>
                </w:rPr>
                <w:t>关于与中国国家铁路集团有限公司继续签署《综合服务框架协议》的议案。</w:t>
              </w:r>
            </w:p>
          </w:sdtContent>
        </w:sdt>
      </w:sdtContent>
    </w:sdt>
    <w:p w:rsidR="00806678" w:rsidRDefault="00B16377" w:rsidP="00FF17C7">
      <w:pPr>
        <w:pStyle w:val="2"/>
        <w:numPr>
          <w:ilvl w:val="0"/>
          <w:numId w:val="35"/>
        </w:numPr>
        <w:ind w:left="450" w:hanging="450"/>
      </w:pPr>
      <w:r>
        <w:lastRenderedPageBreak/>
        <w:t>董事、监事和高级管理人员的情况</w:t>
      </w:r>
    </w:p>
    <w:p w:rsidR="00806678" w:rsidRDefault="00B16377" w:rsidP="00FF17C7">
      <w:pPr>
        <w:pStyle w:val="3"/>
        <w:numPr>
          <w:ilvl w:val="0"/>
          <w:numId w:val="124"/>
        </w:numPr>
        <w:ind w:left="0" w:firstLine="0"/>
      </w:pPr>
      <w:r>
        <w:rPr>
          <w:rFonts w:hint="eastAsia"/>
        </w:rPr>
        <w:t xml:space="preserve"> </w:t>
      </w:r>
      <w:r>
        <w:t>现任及报告期内离任董事</w:t>
      </w:r>
      <w:r>
        <w:rPr>
          <w:rFonts w:hint="eastAsia"/>
        </w:rPr>
        <w:t>、监事和</w:t>
      </w:r>
      <w:r>
        <w:t>高级管理人员持股变动及报酬情况</w:t>
      </w:r>
    </w:p>
    <w:bookmarkStart w:id="53" w:name="_Hlk89179934" w:displacedByCustomXml="next"/>
    <w:sdt>
      <w:sdtPr>
        <w:rPr>
          <w:b/>
          <w:bCs/>
          <w:sz w:val="24"/>
          <w:szCs w:val="21"/>
        </w:rPr>
        <w:alias w:val="模块:现任及报告期内离任董事、监事和高级管理人员持股变动及报酬情况"/>
        <w:tag w:val="_SEC_4509c61a676b4e7992f75f7d5016736a"/>
        <w:id w:val="1153181243"/>
        <w:lock w:val="sdtLocked"/>
        <w:placeholder>
          <w:docPart w:val="GBC22222222222222222222222222222"/>
        </w:placeholder>
      </w:sdtPr>
      <w:sdtEndPr>
        <w:rPr>
          <w:b w:val="0"/>
          <w:bCs w:val="0"/>
          <w:sz w:val="21"/>
        </w:rPr>
      </w:sdtEndPr>
      <w:sdtContent>
        <w:sdt>
          <w:sdtPr>
            <w:alias w:val="是否适用：董事、监事和高级管理人员持股变动[双击切换]"/>
            <w:tag w:val="_GBC_336639f5f1254c87a3d81a366e432afd"/>
            <w:id w:val="-441532481"/>
            <w:lock w:val="sdtLocked"/>
            <w:placeholder>
              <w:docPart w:val="GBC22222222222222222222222222222"/>
            </w:placeholder>
          </w:sdtPr>
          <w:sdtContent>
            <w:p w:rsidR="00806678" w:rsidRDefault="00F80B6C">
              <w:r>
                <w:fldChar w:fldCharType="begin"/>
              </w:r>
              <w:r w:rsidR="00B64248">
                <w:instrText xml:space="preserve">MACROBUTTON  SnrToggleCheckbox √适用 </w:instrText>
              </w:r>
              <w:r>
                <w:fldChar w:fldCharType="end"/>
              </w:r>
              <w:r>
                <w:fldChar w:fldCharType="begin"/>
              </w:r>
              <w:r w:rsidR="00B64248">
                <w:instrText xml:space="preserve"> MACROBUTTON  SnrToggleCheckbox □不适用 </w:instrText>
              </w:r>
              <w:r>
                <w:fldChar w:fldCharType="end"/>
              </w:r>
            </w:p>
          </w:sdtContent>
        </w:sdt>
        <w:p w:rsidR="00806678" w:rsidRDefault="00B16377">
          <w:pPr>
            <w:jc w:val="right"/>
            <w:rPr>
              <w:szCs w:val="21"/>
            </w:rPr>
          </w:pPr>
          <w:r>
            <w:rPr>
              <w:rFonts w:hint="eastAsia"/>
              <w:szCs w:val="21"/>
            </w:rPr>
            <w:t>单位：</w:t>
          </w:r>
          <w:sdt>
            <w:sdtPr>
              <w:rPr>
                <w:rFonts w:hint="eastAsia"/>
                <w:szCs w:val="21"/>
              </w:rPr>
              <w:alias w:val="单位：董事、监事、高级管理人员基本情况"/>
              <w:tag w:val="_GBC_3851936d51d842bf9f2c82131d0787cc"/>
              <w:id w:val="1875658786"/>
              <w:lock w:val="sdtLocked"/>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Content>
              <w:r>
                <w:rPr>
                  <w:rFonts w:hint="eastAsia"/>
                  <w:szCs w:val="21"/>
                </w:rPr>
                <w:t>股</w:t>
              </w:r>
            </w:sdtContent>
          </w:sdt>
        </w:p>
        <w:tbl>
          <w:tblPr>
            <w:tblStyle w:val="a6"/>
            <w:tblW w:w="14096" w:type="dxa"/>
            <w:tblLook w:val="04A0"/>
          </w:tblPr>
          <w:tblGrid>
            <w:gridCol w:w="959"/>
            <w:gridCol w:w="1701"/>
            <w:gridCol w:w="709"/>
            <w:gridCol w:w="552"/>
            <w:gridCol w:w="1266"/>
            <w:gridCol w:w="1266"/>
            <w:gridCol w:w="1143"/>
            <w:gridCol w:w="1130"/>
            <w:gridCol w:w="1351"/>
            <w:gridCol w:w="1171"/>
            <w:gridCol w:w="1408"/>
            <w:gridCol w:w="1440"/>
          </w:tblGrid>
          <w:tr w:rsidR="0076353F" w:rsidTr="005E5E05">
            <w:trPr>
              <w:trHeight w:val="968"/>
            </w:trPr>
            <w:sdt>
              <w:sdtPr>
                <w:tag w:val="_PLD_3e935958e5b542f38f53ca8a2618690d"/>
                <w:id w:val="349395"/>
                <w:lock w:val="sdtLocked"/>
              </w:sdtPr>
              <w:sdtContent>
                <w:tc>
                  <w:tcPr>
                    <w:tcW w:w="959" w:type="dxa"/>
                    <w:vAlign w:val="center"/>
                  </w:tcPr>
                  <w:p w:rsidR="0076353F" w:rsidRDefault="0076353F" w:rsidP="005E5E05">
                    <w:pPr>
                      <w:jc w:val="center"/>
                      <w:rPr>
                        <w:szCs w:val="21"/>
                      </w:rPr>
                    </w:pPr>
                    <w:r>
                      <w:rPr>
                        <w:szCs w:val="21"/>
                      </w:rPr>
                      <w:t>姓名</w:t>
                    </w:r>
                  </w:p>
                </w:tc>
              </w:sdtContent>
            </w:sdt>
            <w:sdt>
              <w:sdtPr>
                <w:tag w:val="_PLD_5ecaa59058dd4312acb6ebb4d88eb6c8"/>
                <w:id w:val="349396"/>
                <w:lock w:val="sdtLocked"/>
              </w:sdtPr>
              <w:sdtContent>
                <w:tc>
                  <w:tcPr>
                    <w:tcW w:w="1701" w:type="dxa"/>
                    <w:vAlign w:val="center"/>
                  </w:tcPr>
                  <w:p w:rsidR="0076353F" w:rsidRDefault="0076353F" w:rsidP="005E5E05">
                    <w:pPr>
                      <w:jc w:val="center"/>
                      <w:rPr>
                        <w:szCs w:val="21"/>
                      </w:rPr>
                    </w:pPr>
                    <w:r>
                      <w:rPr>
                        <w:szCs w:val="21"/>
                      </w:rPr>
                      <w:t>职务(注)</w:t>
                    </w:r>
                  </w:p>
                </w:tc>
              </w:sdtContent>
            </w:sdt>
            <w:sdt>
              <w:sdtPr>
                <w:tag w:val="_PLD_f907f9c5cdf94b2ba9e217c0aaaf2c60"/>
                <w:id w:val="349397"/>
                <w:lock w:val="sdtLocked"/>
              </w:sdtPr>
              <w:sdtContent>
                <w:tc>
                  <w:tcPr>
                    <w:tcW w:w="709" w:type="dxa"/>
                    <w:vAlign w:val="center"/>
                  </w:tcPr>
                  <w:p w:rsidR="0076353F" w:rsidRDefault="0076353F" w:rsidP="005E5E05">
                    <w:pPr>
                      <w:jc w:val="center"/>
                      <w:rPr>
                        <w:szCs w:val="21"/>
                      </w:rPr>
                    </w:pPr>
                    <w:r>
                      <w:rPr>
                        <w:szCs w:val="21"/>
                      </w:rPr>
                      <w:t>性别</w:t>
                    </w:r>
                  </w:p>
                </w:tc>
              </w:sdtContent>
            </w:sdt>
            <w:sdt>
              <w:sdtPr>
                <w:tag w:val="_PLD_9b2689bca35f4a3ebc7adf135b295bd6"/>
                <w:id w:val="349398"/>
                <w:lock w:val="sdtLocked"/>
              </w:sdtPr>
              <w:sdtContent>
                <w:tc>
                  <w:tcPr>
                    <w:tcW w:w="552" w:type="dxa"/>
                    <w:vAlign w:val="center"/>
                  </w:tcPr>
                  <w:p w:rsidR="0076353F" w:rsidRDefault="0076353F" w:rsidP="005E5E05">
                    <w:pPr>
                      <w:jc w:val="center"/>
                      <w:rPr>
                        <w:szCs w:val="21"/>
                      </w:rPr>
                    </w:pPr>
                    <w:r>
                      <w:rPr>
                        <w:szCs w:val="21"/>
                      </w:rPr>
                      <w:t>年龄</w:t>
                    </w:r>
                  </w:p>
                </w:tc>
              </w:sdtContent>
            </w:sdt>
            <w:sdt>
              <w:sdtPr>
                <w:tag w:val="_PLD_3844eb481c79444fba199a9d3c3b8bf7"/>
                <w:id w:val="349399"/>
                <w:lock w:val="sdtLocked"/>
              </w:sdtPr>
              <w:sdtContent>
                <w:tc>
                  <w:tcPr>
                    <w:tcW w:w="1266" w:type="dxa"/>
                    <w:vAlign w:val="center"/>
                  </w:tcPr>
                  <w:p w:rsidR="0076353F" w:rsidRDefault="0076353F" w:rsidP="005E5E05">
                    <w:pPr>
                      <w:jc w:val="center"/>
                      <w:rPr>
                        <w:szCs w:val="21"/>
                      </w:rPr>
                    </w:pPr>
                    <w:r>
                      <w:rPr>
                        <w:szCs w:val="21"/>
                      </w:rPr>
                      <w:t>任期起始日期</w:t>
                    </w:r>
                  </w:p>
                </w:tc>
              </w:sdtContent>
            </w:sdt>
            <w:sdt>
              <w:sdtPr>
                <w:tag w:val="_PLD_94806df607544b4b97b389da94daaf66"/>
                <w:id w:val="349400"/>
                <w:lock w:val="sdtLocked"/>
              </w:sdtPr>
              <w:sdtContent>
                <w:tc>
                  <w:tcPr>
                    <w:tcW w:w="1266" w:type="dxa"/>
                    <w:vAlign w:val="center"/>
                  </w:tcPr>
                  <w:p w:rsidR="0076353F" w:rsidRDefault="0076353F" w:rsidP="005E5E05">
                    <w:pPr>
                      <w:jc w:val="center"/>
                      <w:rPr>
                        <w:szCs w:val="21"/>
                      </w:rPr>
                    </w:pPr>
                    <w:r>
                      <w:rPr>
                        <w:szCs w:val="21"/>
                      </w:rPr>
                      <w:t>任期终止日期</w:t>
                    </w:r>
                  </w:p>
                </w:tc>
              </w:sdtContent>
            </w:sdt>
            <w:sdt>
              <w:sdtPr>
                <w:tag w:val="_PLD_5e35d588fd7f4cb3af49fcbd9e313ac2"/>
                <w:id w:val="349401"/>
                <w:lock w:val="sdtLocked"/>
              </w:sdtPr>
              <w:sdtContent>
                <w:tc>
                  <w:tcPr>
                    <w:tcW w:w="1143" w:type="dxa"/>
                    <w:vAlign w:val="center"/>
                  </w:tcPr>
                  <w:p w:rsidR="0076353F" w:rsidRDefault="0076353F" w:rsidP="005E5E05">
                    <w:pPr>
                      <w:jc w:val="center"/>
                      <w:rPr>
                        <w:szCs w:val="21"/>
                      </w:rPr>
                    </w:pPr>
                    <w:r>
                      <w:rPr>
                        <w:szCs w:val="21"/>
                      </w:rPr>
                      <w:t>年初持股数</w:t>
                    </w:r>
                  </w:p>
                </w:tc>
              </w:sdtContent>
            </w:sdt>
            <w:sdt>
              <w:sdtPr>
                <w:tag w:val="_PLD_af0cabd7e3f44b95b26464bc652333c2"/>
                <w:id w:val="349402"/>
                <w:lock w:val="sdtLocked"/>
              </w:sdtPr>
              <w:sdtContent>
                <w:tc>
                  <w:tcPr>
                    <w:tcW w:w="1130" w:type="dxa"/>
                    <w:vAlign w:val="center"/>
                  </w:tcPr>
                  <w:p w:rsidR="0076353F" w:rsidRDefault="0076353F" w:rsidP="005E5E05">
                    <w:pPr>
                      <w:jc w:val="center"/>
                      <w:rPr>
                        <w:szCs w:val="21"/>
                      </w:rPr>
                    </w:pPr>
                    <w:r>
                      <w:rPr>
                        <w:szCs w:val="21"/>
                      </w:rPr>
                      <w:t>年末持股数</w:t>
                    </w:r>
                  </w:p>
                </w:tc>
              </w:sdtContent>
            </w:sdt>
            <w:sdt>
              <w:sdtPr>
                <w:tag w:val="_PLD_0b9453da77b34ba68718efe69463399a"/>
                <w:id w:val="349403"/>
                <w:lock w:val="sdtLocked"/>
              </w:sdtPr>
              <w:sdtContent>
                <w:tc>
                  <w:tcPr>
                    <w:tcW w:w="1351" w:type="dxa"/>
                    <w:vAlign w:val="center"/>
                  </w:tcPr>
                  <w:p w:rsidR="0076353F" w:rsidRDefault="0076353F" w:rsidP="005E5E05">
                    <w:pPr>
                      <w:jc w:val="center"/>
                      <w:rPr>
                        <w:szCs w:val="21"/>
                      </w:rPr>
                    </w:pPr>
                    <w:r>
                      <w:rPr>
                        <w:szCs w:val="21"/>
                      </w:rPr>
                      <w:t>年度内股份增减变动量</w:t>
                    </w:r>
                  </w:p>
                </w:tc>
              </w:sdtContent>
            </w:sdt>
            <w:sdt>
              <w:sdtPr>
                <w:tag w:val="_PLD_32c045d1529e42b7999b1f0c6b6e43a6"/>
                <w:id w:val="349404"/>
                <w:lock w:val="sdtLocked"/>
              </w:sdtPr>
              <w:sdtContent>
                <w:tc>
                  <w:tcPr>
                    <w:tcW w:w="1171" w:type="dxa"/>
                    <w:vAlign w:val="center"/>
                  </w:tcPr>
                  <w:p w:rsidR="0076353F" w:rsidRDefault="0076353F" w:rsidP="005E5E05">
                    <w:pPr>
                      <w:jc w:val="center"/>
                      <w:rPr>
                        <w:szCs w:val="21"/>
                      </w:rPr>
                    </w:pPr>
                    <w:r>
                      <w:rPr>
                        <w:szCs w:val="21"/>
                      </w:rPr>
                      <w:t>增减变动原因</w:t>
                    </w:r>
                  </w:p>
                </w:tc>
              </w:sdtContent>
            </w:sdt>
            <w:sdt>
              <w:sdtPr>
                <w:tag w:val="_PLD_09536647069c4489b48834060518f161"/>
                <w:id w:val="349406"/>
                <w:lock w:val="sdtLocked"/>
              </w:sdtPr>
              <w:sdtContent>
                <w:tc>
                  <w:tcPr>
                    <w:tcW w:w="1408" w:type="dxa"/>
                  </w:tcPr>
                  <w:p w:rsidR="0076353F" w:rsidRDefault="0076353F" w:rsidP="005E5E05">
                    <w:pPr>
                      <w:jc w:val="center"/>
                      <w:rPr>
                        <w:szCs w:val="21"/>
                      </w:rPr>
                    </w:pPr>
                    <w:r>
                      <w:rPr>
                        <w:szCs w:val="21"/>
                      </w:rPr>
                      <w:t>报告期内从公司</w:t>
                    </w:r>
                    <w:r>
                      <w:rPr>
                        <w:rFonts w:hint="eastAsia"/>
                        <w:szCs w:val="21"/>
                      </w:rPr>
                      <w:t>获得</w:t>
                    </w:r>
                    <w:r>
                      <w:rPr>
                        <w:szCs w:val="21"/>
                      </w:rPr>
                      <w:t>的</w:t>
                    </w:r>
                    <w:r>
                      <w:rPr>
                        <w:rFonts w:hint="eastAsia"/>
                        <w:szCs w:val="21"/>
                      </w:rPr>
                      <w:t>税前</w:t>
                    </w:r>
                    <w:r>
                      <w:rPr>
                        <w:szCs w:val="21"/>
                      </w:rPr>
                      <w:t>报酬总额（</w:t>
                    </w:r>
                    <w:sdt>
                      <w:sdtPr>
                        <w:rPr>
                          <w:szCs w:val="21"/>
                        </w:rPr>
                        <w:alias w:val="单位：报告期内从公司获得的税前报酬总额"/>
                        <w:tag w:val="_GBC_c9d92b58218143f3affe68ae40871394"/>
                        <w:id w:val="349405"/>
                        <w:lock w:val="sdtLocked"/>
                        <w:comboBox>
                          <w:listItem w:displayText="元" w:value="元"/>
                          <w:listItem w:displayText="千元" w:value="千元"/>
                          <w:listItem w:displayText="万元" w:value="万元"/>
                          <w:listItem w:displayText="百万元" w:value="百万元"/>
                          <w:listItem w:displayText="亿元" w:value="亿元"/>
                        </w:comboBox>
                      </w:sdtPr>
                      <w:sdtContent>
                        <w:r>
                          <w:rPr>
                            <w:szCs w:val="21"/>
                          </w:rPr>
                          <w:t>万元</w:t>
                        </w:r>
                      </w:sdtContent>
                    </w:sdt>
                    <w:r>
                      <w:rPr>
                        <w:szCs w:val="21"/>
                      </w:rPr>
                      <w:t>）</w:t>
                    </w:r>
                  </w:p>
                </w:tc>
              </w:sdtContent>
            </w:sdt>
            <w:sdt>
              <w:sdtPr>
                <w:tag w:val="_PLD_67216ec8c81445dcb8db4f1a03416887"/>
                <w:id w:val="349407"/>
                <w:lock w:val="sdtLocked"/>
              </w:sdtPr>
              <w:sdtContent>
                <w:tc>
                  <w:tcPr>
                    <w:tcW w:w="1440" w:type="dxa"/>
                  </w:tcPr>
                  <w:p w:rsidR="0076353F" w:rsidRDefault="0076353F" w:rsidP="005E5E05">
                    <w:pPr>
                      <w:jc w:val="center"/>
                      <w:rPr>
                        <w:szCs w:val="21"/>
                      </w:rPr>
                    </w:pPr>
                    <w:r>
                      <w:rPr>
                        <w:rFonts w:hint="eastAsia"/>
                        <w:szCs w:val="21"/>
                      </w:rPr>
                      <w:t>是否在公司关联方获取报酬</w:t>
                    </w:r>
                  </w:p>
                </w:tc>
              </w:sdtContent>
            </w:sdt>
          </w:tr>
          <w:tr w:rsidR="0076353F" w:rsidTr="005E5E05">
            <w:trPr>
              <w:trHeight w:val="132"/>
            </w:trPr>
            <w:tc>
              <w:tcPr>
                <w:tcW w:w="959" w:type="dxa"/>
              </w:tcPr>
              <w:p w:rsidR="0076353F" w:rsidRDefault="0076353F" w:rsidP="005E5E05">
                <w:pPr>
                  <w:rPr>
                    <w:szCs w:val="21"/>
                  </w:rPr>
                </w:pPr>
                <w:r>
                  <w:rPr>
                    <w:rFonts w:hint="eastAsia"/>
                    <w:szCs w:val="21"/>
                  </w:rPr>
                  <w:t>戴弘</w:t>
                </w:r>
              </w:p>
            </w:tc>
            <w:tc>
              <w:tcPr>
                <w:tcW w:w="1701" w:type="dxa"/>
              </w:tcPr>
              <w:p w:rsidR="0076353F" w:rsidRDefault="0076353F" w:rsidP="005E5E05">
                <w:pPr>
                  <w:rPr>
                    <w:szCs w:val="21"/>
                  </w:rPr>
                </w:pPr>
                <w:r>
                  <w:rPr>
                    <w:rFonts w:hint="eastAsia"/>
                  </w:rPr>
                  <w:t>董事长</w:t>
                </w:r>
              </w:p>
            </w:tc>
            <w:tc>
              <w:tcPr>
                <w:tcW w:w="709" w:type="dxa"/>
              </w:tcPr>
              <w:p w:rsidR="0076353F" w:rsidRDefault="0076353F" w:rsidP="005E5E05">
                <w:pPr>
                  <w:rPr>
                    <w:szCs w:val="21"/>
                  </w:rPr>
                </w:pPr>
                <w:r>
                  <w:rPr>
                    <w:rFonts w:hint="eastAsia"/>
                    <w:szCs w:val="21"/>
                  </w:rPr>
                  <w:t>男</w:t>
                </w:r>
              </w:p>
            </w:tc>
            <w:tc>
              <w:tcPr>
                <w:tcW w:w="552" w:type="dxa"/>
              </w:tcPr>
              <w:p w:rsidR="0076353F" w:rsidRDefault="0076353F" w:rsidP="005E5E05">
                <w:pPr>
                  <w:rPr>
                    <w:szCs w:val="21"/>
                  </w:rPr>
                </w:pPr>
                <w:r>
                  <w:rPr>
                    <w:rFonts w:hint="eastAsia"/>
                    <w:szCs w:val="21"/>
                  </w:rPr>
                  <w:t>56</w:t>
                </w:r>
              </w:p>
            </w:tc>
            <w:tc>
              <w:tcPr>
                <w:tcW w:w="1266" w:type="dxa"/>
              </w:tcPr>
              <w:p w:rsidR="0076353F" w:rsidRDefault="0076353F" w:rsidP="005E5E05">
                <w:pPr>
                  <w:rPr>
                    <w:szCs w:val="21"/>
                  </w:rPr>
                </w:pPr>
                <w:r>
                  <w:rPr>
                    <w:szCs w:val="21"/>
                  </w:rPr>
                  <w:t>202</w:t>
                </w:r>
                <w:r>
                  <w:rPr>
                    <w:rFonts w:hint="eastAsia"/>
                    <w:szCs w:val="21"/>
                  </w:rPr>
                  <w:t>3</w:t>
                </w:r>
                <w:r w:rsidRPr="009C739E">
                  <w:rPr>
                    <w:szCs w:val="21"/>
                  </w:rPr>
                  <w:t>-</w:t>
                </w:r>
                <w:r>
                  <w:rPr>
                    <w:rFonts w:hint="eastAsia"/>
                    <w:szCs w:val="21"/>
                  </w:rPr>
                  <w:t>02</w:t>
                </w:r>
                <w:r w:rsidRPr="009C739E">
                  <w:rPr>
                    <w:szCs w:val="21"/>
                  </w:rPr>
                  <w:t>-</w:t>
                </w:r>
                <w:r>
                  <w:rPr>
                    <w:rFonts w:hint="eastAsia"/>
                    <w:szCs w:val="21"/>
                  </w:rPr>
                  <w:t>09</w:t>
                </w:r>
              </w:p>
            </w:tc>
            <w:tc>
              <w:tcPr>
                <w:tcW w:w="1266" w:type="dxa"/>
              </w:tcPr>
              <w:p w:rsidR="0076353F" w:rsidRDefault="0076353F" w:rsidP="005E5E05">
                <w:pPr>
                  <w:rPr>
                    <w:szCs w:val="21"/>
                  </w:rPr>
                </w:pPr>
                <w:r>
                  <w:rPr>
                    <w:rFonts w:hint="eastAsia"/>
                    <w:szCs w:val="21"/>
                  </w:rPr>
                  <w:t>2023-05-19</w:t>
                </w:r>
              </w:p>
            </w:tc>
            <w:tc>
              <w:tcPr>
                <w:tcW w:w="1143" w:type="dxa"/>
              </w:tcPr>
              <w:p w:rsidR="0076353F" w:rsidRDefault="0076353F" w:rsidP="005E5E05">
                <w:pPr>
                  <w:jc w:val="right"/>
                  <w:rPr>
                    <w:szCs w:val="21"/>
                  </w:rPr>
                </w:pPr>
                <w:r>
                  <w:rPr>
                    <w:rFonts w:hint="eastAsia"/>
                    <w:szCs w:val="21"/>
                  </w:rPr>
                  <w:t>0</w:t>
                </w:r>
              </w:p>
            </w:tc>
            <w:tc>
              <w:tcPr>
                <w:tcW w:w="1130" w:type="dxa"/>
              </w:tcPr>
              <w:p w:rsidR="0076353F" w:rsidRDefault="0076353F" w:rsidP="005E5E05">
                <w:pPr>
                  <w:jc w:val="right"/>
                  <w:rPr>
                    <w:szCs w:val="21"/>
                  </w:rPr>
                </w:pPr>
                <w:r>
                  <w:rPr>
                    <w:rFonts w:hint="eastAsia"/>
                    <w:szCs w:val="21"/>
                  </w:rPr>
                  <w:t>0</w:t>
                </w:r>
              </w:p>
            </w:tc>
            <w:tc>
              <w:tcPr>
                <w:tcW w:w="1351" w:type="dxa"/>
              </w:tcPr>
              <w:p w:rsidR="0076353F" w:rsidRDefault="0076353F" w:rsidP="005E5E05">
                <w:pPr>
                  <w:jc w:val="right"/>
                  <w:rPr>
                    <w:szCs w:val="21"/>
                  </w:rPr>
                </w:pPr>
                <w:r>
                  <w:rPr>
                    <w:rFonts w:hint="eastAsia"/>
                    <w:szCs w:val="21"/>
                  </w:rPr>
                  <w:t>0</w:t>
                </w:r>
              </w:p>
            </w:tc>
            <w:tc>
              <w:tcPr>
                <w:tcW w:w="1171" w:type="dxa"/>
              </w:tcPr>
              <w:p w:rsidR="0076353F" w:rsidRDefault="0076353F" w:rsidP="005E5E05">
                <w:pPr>
                  <w:rPr>
                    <w:szCs w:val="21"/>
                  </w:rPr>
                </w:pPr>
              </w:p>
            </w:tc>
            <w:tc>
              <w:tcPr>
                <w:tcW w:w="1408" w:type="dxa"/>
              </w:tcPr>
              <w:p w:rsidR="0076353F" w:rsidRDefault="0076353F" w:rsidP="005E5E05">
                <w:pPr>
                  <w:jc w:val="right"/>
                  <w:rPr>
                    <w:szCs w:val="21"/>
                  </w:rPr>
                </w:pPr>
                <w:r>
                  <w:rPr>
                    <w:rFonts w:hint="eastAsia"/>
                    <w:szCs w:val="21"/>
                  </w:rPr>
                  <w:t>0</w:t>
                </w:r>
              </w:p>
            </w:tc>
            <w:sdt>
              <w:sdtPr>
                <w:rPr>
                  <w:szCs w:val="21"/>
                </w:rPr>
                <w:alias w:val="董事、监事、高级管理人员是否在公司关联方获取报酬"/>
                <w:tag w:val="_GBC_1fc30a06011d4603820ff653031666f0"/>
                <w:id w:val="349408"/>
                <w:lock w:val="sdtLocked"/>
                <w:comboBox>
                  <w:listItem w:displayText="是" w:value="true"/>
                  <w:listItem w:displayText="否" w:value="false"/>
                </w:comboBox>
              </w:sdtPr>
              <w:sdtContent>
                <w:tc>
                  <w:tcPr>
                    <w:tcW w:w="1440" w:type="dxa"/>
                  </w:tcPr>
                  <w:p w:rsidR="0076353F" w:rsidRDefault="0076353F" w:rsidP="005E5E05">
                    <w:pPr>
                      <w:jc w:val="left"/>
                      <w:rPr>
                        <w:szCs w:val="21"/>
                      </w:rPr>
                    </w:pPr>
                    <w:r>
                      <w:rPr>
                        <w:szCs w:val="21"/>
                      </w:rPr>
                      <w:t>是</w:t>
                    </w:r>
                  </w:p>
                </w:tc>
              </w:sdtContent>
            </w:sdt>
          </w:tr>
          <w:tr w:rsidR="0076353F" w:rsidTr="005E5E05">
            <w:trPr>
              <w:trHeight w:val="132"/>
            </w:trPr>
            <w:tc>
              <w:tcPr>
                <w:tcW w:w="959" w:type="dxa"/>
              </w:tcPr>
              <w:p w:rsidR="0076353F" w:rsidRDefault="0076353F" w:rsidP="005E5E05">
                <w:pPr>
                  <w:rPr>
                    <w:szCs w:val="21"/>
                  </w:rPr>
                </w:pPr>
                <w:r>
                  <w:t>王道阔</w:t>
                </w:r>
              </w:p>
            </w:tc>
            <w:tc>
              <w:tcPr>
                <w:tcW w:w="1701" w:type="dxa"/>
              </w:tcPr>
              <w:p w:rsidR="0076353F" w:rsidRDefault="0076353F" w:rsidP="005E5E05">
                <w:pPr>
                  <w:rPr>
                    <w:szCs w:val="21"/>
                  </w:rPr>
                </w:pPr>
                <w:r>
                  <w:t>副董事长</w:t>
                </w:r>
              </w:p>
            </w:tc>
            <w:tc>
              <w:tcPr>
                <w:tcW w:w="709" w:type="dxa"/>
              </w:tcPr>
              <w:p w:rsidR="0076353F" w:rsidRDefault="0076353F" w:rsidP="005E5E05">
                <w:pPr>
                  <w:rPr>
                    <w:szCs w:val="21"/>
                  </w:rPr>
                </w:pPr>
                <w:r>
                  <w:t>男</w:t>
                </w:r>
              </w:p>
            </w:tc>
            <w:tc>
              <w:tcPr>
                <w:tcW w:w="552" w:type="dxa"/>
              </w:tcPr>
              <w:p w:rsidR="0076353F" w:rsidRDefault="0076353F" w:rsidP="005E5E05">
                <w:pPr>
                  <w:rPr>
                    <w:szCs w:val="21"/>
                  </w:rPr>
                </w:pPr>
                <w:r>
                  <w:t>4</w:t>
                </w:r>
                <w:r>
                  <w:rPr>
                    <w:rFonts w:hint="eastAsia"/>
                  </w:rPr>
                  <w:t>7</w:t>
                </w:r>
              </w:p>
            </w:tc>
            <w:tc>
              <w:tcPr>
                <w:tcW w:w="1266" w:type="dxa"/>
              </w:tcPr>
              <w:p w:rsidR="0076353F" w:rsidRDefault="0076353F" w:rsidP="005E5E05">
                <w:pPr>
                  <w:rPr>
                    <w:szCs w:val="21"/>
                  </w:rPr>
                </w:pPr>
                <w:r>
                  <w:t>2021-05-25</w:t>
                </w:r>
              </w:p>
            </w:tc>
            <w:tc>
              <w:tcPr>
                <w:tcW w:w="1266" w:type="dxa"/>
              </w:tcPr>
              <w:p w:rsidR="0076353F" w:rsidRDefault="0076353F" w:rsidP="005E5E05">
                <w:pPr>
                  <w:rPr>
                    <w:szCs w:val="21"/>
                  </w:rPr>
                </w:pPr>
                <w:r>
                  <w:t>2023-05-19</w:t>
                </w:r>
              </w:p>
            </w:tc>
            <w:tc>
              <w:tcPr>
                <w:tcW w:w="1143" w:type="dxa"/>
              </w:tcPr>
              <w:p w:rsidR="0076353F" w:rsidRDefault="0076353F" w:rsidP="005E5E05">
                <w:pPr>
                  <w:jc w:val="right"/>
                  <w:rPr>
                    <w:szCs w:val="21"/>
                  </w:rPr>
                </w:pPr>
                <w:r>
                  <w:t>0</w:t>
                </w:r>
              </w:p>
            </w:tc>
            <w:tc>
              <w:tcPr>
                <w:tcW w:w="1130" w:type="dxa"/>
              </w:tcPr>
              <w:p w:rsidR="0076353F" w:rsidRDefault="0076353F" w:rsidP="005E5E05">
                <w:pPr>
                  <w:jc w:val="right"/>
                  <w:rPr>
                    <w:szCs w:val="21"/>
                  </w:rPr>
                </w:pPr>
                <w:r>
                  <w:t>0</w:t>
                </w:r>
              </w:p>
            </w:tc>
            <w:tc>
              <w:tcPr>
                <w:tcW w:w="1351" w:type="dxa"/>
              </w:tcPr>
              <w:p w:rsidR="0076353F" w:rsidRDefault="0076353F" w:rsidP="005E5E05">
                <w:pPr>
                  <w:jc w:val="right"/>
                  <w:rPr>
                    <w:szCs w:val="21"/>
                  </w:rPr>
                </w:pPr>
                <w:r>
                  <w:t>0</w:t>
                </w:r>
              </w:p>
            </w:tc>
            <w:tc>
              <w:tcPr>
                <w:tcW w:w="1171" w:type="dxa"/>
              </w:tcPr>
              <w:p w:rsidR="0076353F" w:rsidRDefault="0076353F" w:rsidP="005E5E05">
                <w:pPr>
                  <w:rPr>
                    <w:szCs w:val="21"/>
                  </w:rPr>
                </w:pPr>
              </w:p>
            </w:tc>
            <w:tc>
              <w:tcPr>
                <w:tcW w:w="1408" w:type="dxa"/>
              </w:tcPr>
              <w:p w:rsidR="0076353F" w:rsidRDefault="0076353F" w:rsidP="005E5E05">
                <w:pPr>
                  <w:jc w:val="right"/>
                  <w:rPr>
                    <w:szCs w:val="21"/>
                  </w:rPr>
                </w:pPr>
                <w:r>
                  <w:rPr>
                    <w:rFonts w:hint="eastAsia"/>
                    <w:szCs w:val="21"/>
                  </w:rPr>
                  <w:t>0</w:t>
                </w:r>
              </w:p>
            </w:tc>
            <w:sdt>
              <w:sdtPr>
                <w:rPr>
                  <w:szCs w:val="21"/>
                </w:rPr>
                <w:alias w:val="董事、监事、高级管理人员是否在公司关联方获取报酬"/>
                <w:tag w:val="_GBC_1fc30a06011d4603820ff653031666f0"/>
                <w:id w:val="349409"/>
                <w:lock w:val="sdtLocked"/>
                <w:comboBox>
                  <w:listItem w:displayText="是" w:value="true"/>
                  <w:listItem w:displayText="否" w:value="false"/>
                </w:comboBox>
              </w:sdtPr>
              <w:sdtContent>
                <w:tc>
                  <w:tcPr>
                    <w:tcW w:w="1440" w:type="dxa"/>
                  </w:tcPr>
                  <w:p w:rsidR="0076353F" w:rsidRDefault="0076353F" w:rsidP="005E5E05">
                    <w:pPr>
                      <w:jc w:val="left"/>
                      <w:rPr>
                        <w:szCs w:val="21"/>
                      </w:rPr>
                    </w:pPr>
                    <w:r>
                      <w:rPr>
                        <w:szCs w:val="21"/>
                      </w:rPr>
                      <w:t>是</w:t>
                    </w:r>
                  </w:p>
                </w:tc>
              </w:sdtContent>
            </w:sdt>
          </w:tr>
          <w:tr w:rsidR="0076353F" w:rsidTr="001B51EC">
            <w:trPr>
              <w:trHeight w:val="132"/>
            </w:trPr>
            <w:tc>
              <w:tcPr>
                <w:tcW w:w="959" w:type="dxa"/>
                <w:vMerge w:val="restart"/>
                <w:vAlign w:val="center"/>
              </w:tcPr>
              <w:p w:rsidR="0076353F" w:rsidRDefault="0076353F" w:rsidP="005E5E05">
                <w:pPr>
                  <w:rPr>
                    <w:szCs w:val="21"/>
                  </w:rPr>
                </w:pPr>
                <w:r>
                  <w:t>韩洪臣</w:t>
                </w:r>
              </w:p>
            </w:tc>
            <w:tc>
              <w:tcPr>
                <w:tcW w:w="1701" w:type="dxa"/>
              </w:tcPr>
              <w:p w:rsidR="0076353F" w:rsidRDefault="0076353F" w:rsidP="005E5E05">
                <w:pPr>
                  <w:rPr>
                    <w:szCs w:val="21"/>
                  </w:rPr>
                </w:pPr>
                <w:r>
                  <w:t>董事</w:t>
                </w:r>
              </w:p>
            </w:tc>
            <w:tc>
              <w:tcPr>
                <w:tcW w:w="709" w:type="dxa"/>
                <w:vMerge w:val="restart"/>
                <w:vAlign w:val="center"/>
              </w:tcPr>
              <w:p w:rsidR="0076353F" w:rsidRDefault="0076353F" w:rsidP="005E5E05">
                <w:pPr>
                  <w:rPr>
                    <w:szCs w:val="21"/>
                  </w:rPr>
                </w:pPr>
                <w:r>
                  <w:t>男</w:t>
                </w:r>
              </w:p>
            </w:tc>
            <w:tc>
              <w:tcPr>
                <w:tcW w:w="552" w:type="dxa"/>
                <w:vMerge w:val="restart"/>
                <w:vAlign w:val="center"/>
              </w:tcPr>
              <w:p w:rsidR="0076353F" w:rsidRPr="0058254E" w:rsidRDefault="0076353F" w:rsidP="005E5E05">
                <w:r>
                  <w:t>57</w:t>
                </w:r>
              </w:p>
            </w:tc>
            <w:tc>
              <w:tcPr>
                <w:tcW w:w="1266" w:type="dxa"/>
              </w:tcPr>
              <w:p w:rsidR="0076353F" w:rsidRDefault="0076353F" w:rsidP="005E5E05">
                <w:pPr>
                  <w:rPr>
                    <w:szCs w:val="21"/>
                  </w:rPr>
                </w:pPr>
                <w:r>
                  <w:t>2020-05-20</w:t>
                </w:r>
              </w:p>
            </w:tc>
            <w:tc>
              <w:tcPr>
                <w:tcW w:w="1266" w:type="dxa"/>
              </w:tcPr>
              <w:p w:rsidR="0076353F" w:rsidRDefault="0076353F" w:rsidP="005E5E05">
                <w:pPr>
                  <w:rPr>
                    <w:szCs w:val="21"/>
                  </w:rPr>
                </w:pPr>
                <w:r>
                  <w:t>2023-05-19</w:t>
                </w:r>
              </w:p>
            </w:tc>
            <w:tc>
              <w:tcPr>
                <w:tcW w:w="1143" w:type="dxa"/>
                <w:vMerge w:val="restart"/>
                <w:vAlign w:val="center"/>
              </w:tcPr>
              <w:p w:rsidR="0076353F" w:rsidRDefault="0076353F" w:rsidP="005E5E05">
                <w:pPr>
                  <w:jc w:val="right"/>
                  <w:rPr>
                    <w:szCs w:val="21"/>
                  </w:rPr>
                </w:pPr>
                <w:r>
                  <w:t>0</w:t>
                </w:r>
              </w:p>
            </w:tc>
            <w:tc>
              <w:tcPr>
                <w:tcW w:w="1130" w:type="dxa"/>
                <w:vMerge w:val="restart"/>
                <w:vAlign w:val="center"/>
              </w:tcPr>
              <w:p w:rsidR="0076353F" w:rsidRPr="0058254E" w:rsidRDefault="0076353F" w:rsidP="005E5E05">
                <w:pPr>
                  <w:jc w:val="right"/>
                </w:pPr>
                <w:r>
                  <w:t>0</w:t>
                </w:r>
              </w:p>
            </w:tc>
            <w:tc>
              <w:tcPr>
                <w:tcW w:w="1351" w:type="dxa"/>
                <w:vMerge w:val="restart"/>
                <w:vAlign w:val="center"/>
              </w:tcPr>
              <w:p w:rsidR="0076353F" w:rsidRPr="0058254E" w:rsidRDefault="0076353F" w:rsidP="005E5E05">
                <w:pPr>
                  <w:jc w:val="right"/>
                </w:pPr>
                <w:r>
                  <w:t>0</w:t>
                </w:r>
              </w:p>
            </w:tc>
            <w:tc>
              <w:tcPr>
                <w:tcW w:w="1171" w:type="dxa"/>
                <w:vMerge w:val="restart"/>
              </w:tcPr>
              <w:p w:rsidR="0076353F" w:rsidRDefault="0076353F" w:rsidP="005E5E05">
                <w:pPr>
                  <w:rPr>
                    <w:szCs w:val="21"/>
                  </w:rPr>
                </w:pPr>
              </w:p>
            </w:tc>
            <w:tc>
              <w:tcPr>
                <w:tcW w:w="1408" w:type="dxa"/>
                <w:vMerge w:val="restart"/>
                <w:vAlign w:val="center"/>
              </w:tcPr>
              <w:p w:rsidR="0076353F" w:rsidRDefault="001B51EC" w:rsidP="001B51EC">
                <w:pPr>
                  <w:jc w:val="right"/>
                  <w:rPr>
                    <w:szCs w:val="21"/>
                  </w:rPr>
                </w:pPr>
                <w:r>
                  <w:rPr>
                    <w:rFonts w:hint="eastAsia"/>
                    <w:szCs w:val="21"/>
                  </w:rPr>
                  <w:t>51.31</w:t>
                </w:r>
              </w:p>
            </w:tc>
            <w:tc>
              <w:tcPr>
                <w:tcW w:w="1440" w:type="dxa"/>
                <w:vMerge w:val="restart"/>
                <w:vAlign w:val="center"/>
              </w:tcPr>
              <w:sdt>
                <w:sdtPr>
                  <w:rPr>
                    <w:szCs w:val="21"/>
                  </w:rPr>
                  <w:alias w:val="董事、监事、高级管理人员是否在公司关联方获取报酬"/>
                  <w:tag w:val="_GBC_1fc30a06011d4603820ff653031666f0"/>
                  <w:id w:val="349410"/>
                  <w:lock w:val="sdtLocked"/>
                  <w:comboBox>
                    <w:listItem w:displayText="是" w:value="true"/>
                    <w:listItem w:displayText="否" w:value="false"/>
                  </w:comboBox>
                </w:sdtPr>
                <w:sdtContent>
                  <w:p w:rsidR="0076353F" w:rsidRDefault="0076353F" w:rsidP="005E5E05">
                    <w:pPr>
                      <w:rPr>
                        <w:szCs w:val="21"/>
                      </w:rPr>
                    </w:pPr>
                    <w:r>
                      <w:rPr>
                        <w:szCs w:val="21"/>
                      </w:rPr>
                      <w:t>否</w:t>
                    </w:r>
                  </w:p>
                </w:sdtContent>
              </w:sdt>
            </w:tc>
          </w:tr>
          <w:tr w:rsidR="0076353F" w:rsidTr="005E5E05">
            <w:trPr>
              <w:trHeight w:val="132"/>
            </w:trPr>
            <w:tc>
              <w:tcPr>
                <w:tcW w:w="959" w:type="dxa"/>
                <w:vMerge/>
              </w:tcPr>
              <w:p w:rsidR="0076353F" w:rsidRDefault="0076353F" w:rsidP="005E5E05">
                <w:pPr>
                  <w:rPr>
                    <w:szCs w:val="21"/>
                  </w:rPr>
                </w:pPr>
              </w:p>
            </w:tc>
            <w:tc>
              <w:tcPr>
                <w:tcW w:w="1701" w:type="dxa"/>
              </w:tcPr>
              <w:p w:rsidR="0076353F" w:rsidRDefault="0076353F" w:rsidP="005E5E05">
                <w:pPr>
                  <w:rPr>
                    <w:szCs w:val="21"/>
                  </w:rPr>
                </w:pPr>
                <w:r>
                  <w:rPr>
                    <w:rFonts w:hint="eastAsia"/>
                    <w:szCs w:val="21"/>
                  </w:rPr>
                  <w:t>总经理</w:t>
                </w:r>
              </w:p>
            </w:tc>
            <w:tc>
              <w:tcPr>
                <w:tcW w:w="709" w:type="dxa"/>
                <w:vMerge/>
              </w:tcPr>
              <w:p w:rsidR="0076353F" w:rsidRDefault="0076353F" w:rsidP="005E5E05">
                <w:pPr>
                  <w:rPr>
                    <w:szCs w:val="21"/>
                  </w:rPr>
                </w:pPr>
              </w:p>
            </w:tc>
            <w:tc>
              <w:tcPr>
                <w:tcW w:w="552" w:type="dxa"/>
                <w:vMerge/>
              </w:tcPr>
              <w:p w:rsidR="0076353F" w:rsidRDefault="0076353F" w:rsidP="005E5E05">
                <w:pPr>
                  <w:rPr>
                    <w:szCs w:val="21"/>
                  </w:rPr>
                </w:pPr>
              </w:p>
            </w:tc>
            <w:tc>
              <w:tcPr>
                <w:tcW w:w="1266" w:type="dxa"/>
              </w:tcPr>
              <w:p w:rsidR="0076353F" w:rsidRDefault="0076353F" w:rsidP="005E5E05">
                <w:pPr>
                  <w:rPr>
                    <w:szCs w:val="21"/>
                  </w:rPr>
                </w:pPr>
                <w:r w:rsidRPr="004361F1">
                  <w:rPr>
                    <w:szCs w:val="21"/>
                  </w:rPr>
                  <w:t>2020-04-27</w:t>
                </w:r>
              </w:p>
            </w:tc>
            <w:tc>
              <w:tcPr>
                <w:tcW w:w="1266" w:type="dxa"/>
              </w:tcPr>
              <w:p w:rsidR="0076353F" w:rsidRDefault="0076353F" w:rsidP="005E5E05">
                <w:pPr>
                  <w:rPr>
                    <w:szCs w:val="21"/>
                  </w:rPr>
                </w:pPr>
              </w:p>
            </w:tc>
            <w:tc>
              <w:tcPr>
                <w:tcW w:w="1143" w:type="dxa"/>
                <w:vMerge/>
              </w:tcPr>
              <w:p w:rsidR="0076353F" w:rsidRDefault="0076353F" w:rsidP="005E5E05">
                <w:pPr>
                  <w:jc w:val="right"/>
                  <w:rPr>
                    <w:szCs w:val="21"/>
                  </w:rPr>
                </w:pPr>
              </w:p>
            </w:tc>
            <w:tc>
              <w:tcPr>
                <w:tcW w:w="1130" w:type="dxa"/>
                <w:vMerge/>
              </w:tcPr>
              <w:p w:rsidR="0076353F" w:rsidRDefault="0076353F" w:rsidP="005E5E05">
                <w:pPr>
                  <w:jc w:val="right"/>
                  <w:rPr>
                    <w:szCs w:val="21"/>
                  </w:rPr>
                </w:pPr>
              </w:p>
            </w:tc>
            <w:tc>
              <w:tcPr>
                <w:tcW w:w="1351" w:type="dxa"/>
                <w:vMerge/>
              </w:tcPr>
              <w:p w:rsidR="0076353F" w:rsidRDefault="0076353F" w:rsidP="005E5E05">
                <w:pPr>
                  <w:jc w:val="right"/>
                  <w:rPr>
                    <w:szCs w:val="21"/>
                  </w:rPr>
                </w:pPr>
              </w:p>
            </w:tc>
            <w:tc>
              <w:tcPr>
                <w:tcW w:w="1171" w:type="dxa"/>
                <w:vMerge/>
              </w:tcPr>
              <w:p w:rsidR="0076353F" w:rsidRDefault="0076353F" w:rsidP="005E5E05">
                <w:pPr>
                  <w:rPr>
                    <w:szCs w:val="21"/>
                  </w:rPr>
                </w:pPr>
              </w:p>
            </w:tc>
            <w:tc>
              <w:tcPr>
                <w:tcW w:w="1408" w:type="dxa"/>
                <w:vMerge/>
              </w:tcPr>
              <w:p w:rsidR="0076353F" w:rsidRDefault="0076353F" w:rsidP="005E5E05">
                <w:pPr>
                  <w:jc w:val="right"/>
                  <w:rPr>
                    <w:szCs w:val="21"/>
                  </w:rPr>
                </w:pPr>
              </w:p>
            </w:tc>
            <w:tc>
              <w:tcPr>
                <w:tcW w:w="1440" w:type="dxa"/>
                <w:vMerge/>
              </w:tcPr>
              <w:p w:rsidR="0076353F" w:rsidRDefault="0076353F" w:rsidP="005E5E05">
                <w:pPr>
                  <w:jc w:val="left"/>
                  <w:rPr>
                    <w:szCs w:val="21"/>
                  </w:rPr>
                </w:pPr>
              </w:p>
            </w:tc>
          </w:tr>
          <w:tr w:rsidR="0076353F" w:rsidTr="005E5E05">
            <w:trPr>
              <w:trHeight w:val="132"/>
            </w:trPr>
            <w:tc>
              <w:tcPr>
                <w:tcW w:w="959" w:type="dxa"/>
              </w:tcPr>
              <w:p w:rsidR="0076353F" w:rsidRDefault="0076353F" w:rsidP="005E5E05">
                <w:pPr>
                  <w:rPr>
                    <w:szCs w:val="21"/>
                  </w:rPr>
                </w:pPr>
                <w:r>
                  <w:t>齐志勇</w:t>
                </w:r>
              </w:p>
            </w:tc>
            <w:tc>
              <w:tcPr>
                <w:tcW w:w="1701" w:type="dxa"/>
              </w:tcPr>
              <w:p w:rsidR="0076353F" w:rsidRDefault="0076353F" w:rsidP="005E5E05">
                <w:pPr>
                  <w:rPr>
                    <w:szCs w:val="21"/>
                  </w:rPr>
                </w:pPr>
                <w:r>
                  <w:t>职工代表董事</w:t>
                </w:r>
              </w:p>
            </w:tc>
            <w:tc>
              <w:tcPr>
                <w:tcW w:w="709" w:type="dxa"/>
              </w:tcPr>
              <w:p w:rsidR="0076353F" w:rsidRDefault="0076353F" w:rsidP="005E5E05">
                <w:pPr>
                  <w:rPr>
                    <w:szCs w:val="21"/>
                  </w:rPr>
                </w:pPr>
                <w:r>
                  <w:t>男</w:t>
                </w:r>
              </w:p>
            </w:tc>
            <w:tc>
              <w:tcPr>
                <w:tcW w:w="552" w:type="dxa"/>
              </w:tcPr>
              <w:p w:rsidR="0076353F" w:rsidRDefault="0076353F" w:rsidP="005E5E05">
                <w:pPr>
                  <w:rPr>
                    <w:szCs w:val="21"/>
                  </w:rPr>
                </w:pPr>
                <w:r>
                  <w:t>5</w:t>
                </w:r>
                <w:r>
                  <w:rPr>
                    <w:rFonts w:hint="eastAsia"/>
                  </w:rPr>
                  <w:t>7</w:t>
                </w:r>
              </w:p>
            </w:tc>
            <w:tc>
              <w:tcPr>
                <w:tcW w:w="1266" w:type="dxa"/>
              </w:tcPr>
              <w:p w:rsidR="0076353F" w:rsidRDefault="0076353F" w:rsidP="005E5E05">
                <w:pPr>
                  <w:rPr>
                    <w:szCs w:val="21"/>
                  </w:rPr>
                </w:pPr>
                <w:r>
                  <w:t>2020-05-13</w:t>
                </w:r>
              </w:p>
            </w:tc>
            <w:tc>
              <w:tcPr>
                <w:tcW w:w="1266" w:type="dxa"/>
              </w:tcPr>
              <w:p w:rsidR="0076353F" w:rsidRDefault="0076353F" w:rsidP="005E5E05">
                <w:pPr>
                  <w:rPr>
                    <w:szCs w:val="21"/>
                  </w:rPr>
                </w:pPr>
                <w:r>
                  <w:t>2023-05-12</w:t>
                </w:r>
              </w:p>
            </w:tc>
            <w:tc>
              <w:tcPr>
                <w:tcW w:w="1143" w:type="dxa"/>
              </w:tcPr>
              <w:p w:rsidR="0076353F" w:rsidRDefault="0076353F" w:rsidP="005E5E05">
                <w:pPr>
                  <w:jc w:val="right"/>
                  <w:rPr>
                    <w:szCs w:val="21"/>
                  </w:rPr>
                </w:pPr>
                <w:r>
                  <w:t>0</w:t>
                </w:r>
              </w:p>
            </w:tc>
            <w:tc>
              <w:tcPr>
                <w:tcW w:w="1130" w:type="dxa"/>
              </w:tcPr>
              <w:p w:rsidR="0076353F" w:rsidRDefault="0076353F" w:rsidP="005E5E05">
                <w:pPr>
                  <w:jc w:val="right"/>
                  <w:rPr>
                    <w:szCs w:val="21"/>
                  </w:rPr>
                </w:pPr>
                <w:r>
                  <w:t>0</w:t>
                </w:r>
              </w:p>
            </w:tc>
            <w:tc>
              <w:tcPr>
                <w:tcW w:w="1351" w:type="dxa"/>
              </w:tcPr>
              <w:p w:rsidR="0076353F" w:rsidRDefault="0076353F" w:rsidP="005E5E05">
                <w:pPr>
                  <w:jc w:val="right"/>
                  <w:rPr>
                    <w:szCs w:val="21"/>
                  </w:rPr>
                </w:pPr>
                <w:r>
                  <w:t>0</w:t>
                </w:r>
              </w:p>
            </w:tc>
            <w:tc>
              <w:tcPr>
                <w:tcW w:w="1171" w:type="dxa"/>
              </w:tcPr>
              <w:p w:rsidR="0076353F" w:rsidRDefault="0076353F" w:rsidP="005E5E05">
                <w:pPr>
                  <w:rPr>
                    <w:szCs w:val="21"/>
                  </w:rPr>
                </w:pPr>
              </w:p>
            </w:tc>
            <w:tc>
              <w:tcPr>
                <w:tcW w:w="1408" w:type="dxa"/>
              </w:tcPr>
              <w:p w:rsidR="0076353F" w:rsidRDefault="001B51EC" w:rsidP="005E5E05">
                <w:pPr>
                  <w:jc w:val="right"/>
                  <w:rPr>
                    <w:szCs w:val="21"/>
                  </w:rPr>
                </w:pPr>
                <w:r>
                  <w:rPr>
                    <w:rFonts w:hint="eastAsia"/>
                    <w:szCs w:val="21"/>
                  </w:rPr>
                  <w:t>42.06</w:t>
                </w:r>
              </w:p>
            </w:tc>
            <w:sdt>
              <w:sdtPr>
                <w:rPr>
                  <w:szCs w:val="21"/>
                </w:rPr>
                <w:alias w:val="董事、监事、高级管理人员是否在公司关联方获取报酬"/>
                <w:tag w:val="_GBC_1fc30a06011d4603820ff653031666f0"/>
                <w:id w:val="349411"/>
                <w:lock w:val="sdtLocked"/>
                <w:comboBox>
                  <w:listItem w:displayText="是" w:value="true"/>
                  <w:listItem w:displayText="否" w:value="false"/>
                </w:comboBox>
              </w:sdtPr>
              <w:sdtContent>
                <w:tc>
                  <w:tcPr>
                    <w:tcW w:w="1440" w:type="dxa"/>
                  </w:tcPr>
                  <w:p w:rsidR="0076353F" w:rsidRDefault="0076353F" w:rsidP="005E5E05">
                    <w:pPr>
                      <w:jc w:val="left"/>
                      <w:rPr>
                        <w:szCs w:val="21"/>
                      </w:rPr>
                    </w:pPr>
                    <w:r>
                      <w:rPr>
                        <w:szCs w:val="21"/>
                      </w:rPr>
                      <w:t>否</w:t>
                    </w:r>
                  </w:p>
                </w:tc>
              </w:sdtContent>
            </w:sdt>
          </w:tr>
          <w:tr w:rsidR="0076353F" w:rsidTr="001B51EC">
            <w:trPr>
              <w:trHeight w:val="132"/>
            </w:trPr>
            <w:tc>
              <w:tcPr>
                <w:tcW w:w="959" w:type="dxa"/>
                <w:vMerge w:val="restart"/>
                <w:vAlign w:val="center"/>
              </w:tcPr>
              <w:p w:rsidR="0076353F" w:rsidRPr="002A5D02" w:rsidRDefault="0076353F" w:rsidP="005E5E05">
                <w:r>
                  <w:rPr>
                    <w:rFonts w:hint="eastAsia"/>
                  </w:rPr>
                  <w:t>田惠民</w:t>
                </w:r>
              </w:p>
            </w:tc>
            <w:tc>
              <w:tcPr>
                <w:tcW w:w="1701" w:type="dxa"/>
              </w:tcPr>
              <w:p w:rsidR="0076353F" w:rsidRDefault="0076353F" w:rsidP="005E5E05">
                <w:pPr>
                  <w:rPr>
                    <w:szCs w:val="21"/>
                  </w:rPr>
                </w:pPr>
                <w:r>
                  <w:t>董事</w:t>
                </w:r>
              </w:p>
            </w:tc>
            <w:tc>
              <w:tcPr>
                <w:tcW w:w="709" w:type="dxa"/>
                <w:vMerge w:val="restart"/>
                <w:vAlign w:val="center"/>
              </w:tcPr>
              <w:p w:rsidR="0076353F" w:rsidRPr="002A5D02" w:rsidRDefault="0076353F" w:rsidP="005E5E05">
                <w:r>
                  <w:rPr>
                    <w:rFonts w:hint="eastAsia"/>
                  </w:rPr>
                  <w:t>男</w:t>
                </w:r>
              </w:p>
            </w:tc>
            <w:tc>
              <w:tcPr>
                <w:tcW w:w="552" w:type="dxa"/>
                <w:vMerge w:val="restart"/>
                <w:vAlign w:val="center"/>
              </w:tcPr>
              <w:p w:rsidR="0076353F" w:rsidRPr="002A5D02" w:rsidRDefault="0076353F" w:rsidP="005E5E05">
                <w:r>
                  <w:t>59</w:t>
                </w:r>
              </w:p>
            </w:tc>
            <w:tc>
              <w:tcPr>
                <w:tcW w:w="1266" w:type="dxa"/>
              </w:tcPr>
              <w:p w:rsidR="0076353F" w:rsidRDefault="0076353F" w:rsidP="005E5E05">
                <w:pPr>
                  <w:rPr>
                    <w:szCs w:val="21"/>
                  </w:rPr>
                </w:pPr>
                <w:r>
                  <w:t>2020-05-20</w:t>
                </w:r>
              </w:p>
            </w:tc>
            <w:tc>
              <w:tcPr>
                <w:tcW w:w="1266" w:type="dxa"/>
              </w:tcPr>
              <w:p w:rsidR="0076353F" w:rsidRDefault="0076353F" w:rsidP="005E5E05">
                <w:pPr>
                  <w:rPr>
                    <w:szCs w:val="21"/>
                  </w:rPr>
                </w:pPr>
                <w:r>
                  <w:t>2023-05-19</w:t>
                </w:r>
              </w:p>
            </w:tc>
            <w:tc>
              <w:tcPr>
                <w:tcW w:w="1143" w:type="dxa"/>
                <w:vMerge w:val="restart"/>
                <w:vAlign w:val="center"/>
              </w:tcPr>
              <w:p w:rsidR="0076353F" w:rsidRPr="002A5D02" w:rsidRDefault="0076353F" w:rsidP="005E5E05">
                <w:pPr>
                  <w:jc w:val="right"/>
                </w:pPr>
                <w:r>
                  <w:t>0</w:t>
                </w:r>
              </w:p>
            </w:tc>
            <w:tc>
              <w:tcPr>
                <w:tcW w:w="1130" w:type="dxa"/>
                <w:vMerge w:val="restart"/>
                <w:vAlign w:val="center"/>
              </w:tcPr>
              <w:p w:rsidR="0076353F" w:rsidRPr="002A5D02" w:rsidRDefault="0076353F" w:rsidP="005E5E05">
                <w:pPr>
                  <w:jc w:val="right"/>
                </w:pPr>
                <w:r>
                  <w:t>0</w:t>
                </w:r>
              </w:p>
            </w:tc>
            <w:tc>
              <w:tcPr>
                <w:tcW w:w="1351" w:type="dxa"/>
                <w:vMerge w:val="restart"/>
                <w:vAlign w:val="center"/>
              </w:tcPr>
              <w:p w:rsidR="0076353F" w:rsidRPr="002A5D02" w:rsidRDefault="0076353F" w:rsidP="005E5E05">
                <w:pPr>
                  <w:jc w:val="right"/>
                </w:pPr>
                <w:r>
                  <w:t>0</w:t>
                </w:r>
              </w:p>
            </w:tc>
            <w:tc>
              <w:tcPr>
                <w:tcW w:w="1171" w:type="dxa"/>
                <w:vMerge w:val="restart"/>
              </w:tcPr>
              <w:p w:rsidR="0076353F" w:rsidRDefault="0076353F" w:rsidP="005E5E05">
                <w:pPr>
                  <w:rPr>
                    <w:szCs w:val="21"/>
                  </w:rPr>
                </w:pPr>
              </w:p>
            </w:tc>
            <w:tc>
              <w:tcPr>
                <w:tcW w:w="1408" w:type="dxa"/>
                <w:vMerge w:val="restart"/>
                <w:vAlign w:val="center"/>
              </w:tcPr>
              <w:p w:rsidR="0076353F" w:rsidRDefault="001B51EC" w:rsidP="001B51EC">
                <w:pPr>
                  <w:jc w:val="right"/>
                  <w:rPr>
                    <w:szCs w:val="21"/>
                  </w:rPr>
                </w:pPr>
                <w:r>
                  <w:rPr>
                    <w:rFonts w:hint="eastAsia"/>
                    <w:szCs w:val="21"/>
                  </w:rPr>
                  <w:t>41.98</w:t>
                </w:r>
              </w:p>
            </w:tc>
            <w:tc>
              <w:tcPr>
                <w:tcW w:w="1440" w:type="dxa"/>
                <w:vMerge w:val="restart"/>
                <w:vAlign w:val="center"/>
              </w:tcPr>
              <w:sdt>
                <w:sdtPr>
                  <w:rPr>
                    <w:szCs w:val="21"/>
                  </w:rPr>
                  <w:alias w:val="董事、监事、高级管理人员是否在公司关联方获取报酬"/>
                  <w:tag w:val="_GBC_1fc30a06011d4603820ff653031666f0"/>
                  <w:id w:val="349412"/>
                  <w:lock w:val="sdtLocked"/>
                  <w:comboBox>
                    <w:listItem w:displayText="是" w:value="true"/>
                    <w:listItem w:displayText="否" w:value="false"/>
                  </w:comboBox>
                </w:sdtPr>
                <w:sdtContent>
                  <w:p w:rsidR="0076353F" w:rsidRDefault="0076353F" w:rsidP="005E5E05">
                    <w:pPr>
                      <w:rPr>
                        <w:szCs w:val="21"/>
                      </w:rPr>
                    </w:pPr>
                    <w:r>
                      <w:rPr>
                        <w:szCs w:val="21"/>
                      </w:rPr>
                      <w:t>否</w:t>
                    </w:r>
                  </w:p>
                </w:sdtContent>
              </w:sdt>
            </w:tc>
          </w:tr>
          <w:tr w:rsidR="0076353F" w:rsidTr="001B51EC">
            <w:trPr>
              <w:trHeight w:val="132"/>
            </w:trPr>
            <w:tc>
              <w:tcPr>
                <w:tcW w:w="959" w:type="dxa"/>
                <w:vMerge/>
              </w:tcPr>
              <w:p w:rsidR="0076353F" w:rsidRDefault="0076353F" w:rsidP="005E5E05">
                <w:pPr>
                  <w:rPr>
                    <w:szCs w:val="21"/>
                  </w:rPr>
                </w:pPr>
              </w:p>
            </w:tc>
            <w:tc>
              <w:tcPr>
                <w:tcW w:w="1701" w:type="dxa"/>
              </w:tcPr>
              <w:p w:rsidR="0076353F" w:rsidRDefault="0076353F" w:rsidP="005E5E05">
                <w:pPr>
                  <w:rPr>
                    <w:szCs w:val="21"/>
                  </w:rPr>
                </w:pPr>
                <w:r>
                  <w:rPr>
                    <w:rFonts w:hint="eastAsia"/>
                    <w:szCs w:val="21"/>
                  </w:rPr>
                  <w:t>总会计师</w:t>
                </w:r>
              </w:p>
            </w:tc>
            <w:tc>
              <w:tcPr>
                <w:tcW w:w="709" w:type="dxa"/>
                <w:vMerge/>
              </w:tcPr>
              <w:p w:rsidR="0076353F" w:rsidRDefault="0076353F" w:rsidP="005E5E05">
                <w:pPr>
                  <w:rPr>
                    <w:szCs w:val="21"/>
                  </w:rPr>
                </w:pPr>
              </w:p>
            </w:tc>
            <w:tc>
              <w:tcPr>
                <w:tcW w:w="552" w:type="dxa"/>
                <w:vMerge/>
              </w:tcPr>
              <w:p w:rsidR="0076353F" w:rsidRDefault="0076353F" w:rsidP="005E5E05">
                <w:pPr>
                  <w:rPr>
                    <w:szCs w:val="21"/>
                  </w:rPr>
                </w:pPr>
              </w:p>
            </w:tc>
            <w:tc>
              <w:tcPr>
                <w:tcW w:w="1266" w:type="dxa"/>
              </w:tcPr>
              <w:p w:rsidR="0076353F" w:rsidRDefault="0076353F" w:rsidP="005E5E05">
                <w:pPr>
                  <w:rPr>
                    <w:szCs w:val="21"/>
                  </w:rPr>
                </w:pPr>
                <w:r w:rsidRPr="005D3EE5">
                  <w:rPr>
                    <w:szCs w:val="21"/>
                  </w:rPr>
                  <w:t>2015-04-27</w:t>
                </w:r>
              </w:p>
            </w:tc>
            <w:tc>
              <w:tcPr>
                <w:tcW w:w="1266" w:type="dxa"/>
              </w:tcPr>
              <w:p w:rsidR="0076353F" w:rsidRDefault="0076353F" w:rsidP="005E5E05">
                <w:pPr>
                  <w:rPr>
                    <w:szCs w:val="21"/>
                  </w:rPr>
                </w:pPr>
              </w:p>
            </w:tc>
            <w:tc>
              <w:tcPr>
                <w:tcW w:w="1143" w:type="dxa"/>
                <w:vMerge/>
              </w:tcPr>
              <w:p w:rsidR="0076353F" w:rsidRDefault="0076353F" w:rsidP="005E5E05">
                <w:pPr>
                  <w:jc w:val="right"/>
                  <w:rPr>
                    <w:szCs w:val="21"/>
                  </w:rPr>
                </w:pPr>
              </w:p>
            </w:tc>
            <w:tc>
              <w:tcPr>
                <w:tcW w:w="1130" w:type="dxa"/>
                <w:vMerge/>
              </w:tcPr>
              <w:p w:rsidR="0076353F" w:rsidRDefault="0076353F" w:rsidP="005E5E05">
                <w:pPr>
                  <w:jc w:val="right"/>
                  <w:rPr>
                    <w:szCs w:val="21"/>
                  </w:rPr>
                </w:pPr>
              </w:p>
            </w:tc>
            <w:tc>
              <w:tcPr>
                <w:tcW w:w="1351" w:type="dxa"/>
                <w:vMerge/>
              </w:tcPr>
              <w:p w:rsidR="0076353F" w:rsidRDefault="0076353F" w:rsidP="005E5E05">
                <w:pPr>
                  <w:jc w:val="right"/>
                  <w:rPr>
                    <w:szCs w:val="21"/>
                  </w:rPr>
                </w:pPr>
              </w:p>
            </w:tc>
            <w:tc>
              <w:tcPr>
                <w:tcW w:w="1171" w:type="dxa"/>
                <w:vMerge/>
              </w:tcPr>
              <w:p w:rsidR="0076353F" w:rsidRDefault="0076353F" w:rsidP="005E5E05">
                <w:pPr>
                  <w:rPr>
                    <w:szCs w:val="21"/>
                  </w:rPr>
                </w:pPr>
              </w:p>
            </w:tc>
            <w:tc>
              <w:tcPr>
                <w:tcW w:w="1408" w:type="dxa"/>
                <w:vMerge/>
                <w:vAlign w:val="center"/>
              </w:tcPr>
              <w:p w:rsidR="0076353F" w:rsidRDefault="0076353F" w:rsidP="001B51EC">
                <w:pPr>
                  <w:jc w:val="right"/>
                  <w:rPr>
                    <w:szCs w:val="21"/>
                  </w:rPr>
                </w:pPr>
              </w:p>
            </w:tc>
            <w:tc>
              <w:tcPr>
                <w:tcW w:w="1440" w:type="dxa"/>
                <w:vMerge/>
              </w:tcPr>
              <w:p w:rsidR="0076353F" w:rsidRDefault="0076353F" w:rsidP="005E5E05">
                <w:pPr>
                  <w:jc w:val="left"/>
                  <w:rPr>
                    <w:szCs w:val="21"/>
                  </w:rPr>
                </w:pPr>
              </w:p>
            </w:tc>
          </w:tr>
          <w:tr w:rsidR="0076353F" w:rsidTr="001B51EC">
            <w:trPr>
              <w:trHeight w:val="132"/>
            </w:trPr>
            <w:tc>
              <w:tcPr>
                <w:tcW w:w="959" w:type="dxa"/>
                <w:vMerge w:val="restart"/>
                <w:vAlign w:val="center"/>
              </w:tcPr>
              <w:p w:rsidR="0076353F" w:rsidRPr="002A5D02" w:rsidRDefault="0076353F" w:rsidP="005E5E05">
                <w:r>
                  <w:rPr>
                    <w:rFonts w:hint="eastAsia"/>
                  </w:rPr>
                  <w:t>张利荣</w:t>
                </w:r>
              </w:p>
            </w:tc>
            <w:tc>
              <w:tcPr>
                <w:tcW w:w="1701" w:type="dxa"/>
              </w:tcPr>
              <w:p w:rsidR="0076353F" w:rsidRDefault="0076353F" w:rsidP="005E5E05">
                <w:pPr>
                  <w:rPr>
                    <w:szCs w:val="21"/>
                  </w:rPr>
                </w:pPr>
                <w:r>
                  <w:t>董事</w:t>
                </w:r>
              </w:p>
            </w:tc>
            <w:tc>
              <w:tcPr>
                <w:tcW w:w="709" w:type="dxa"/>
                <w:vMerge w:val="restart"/>
                <w:vAlign w:val="center"/>
              </w:tcPr>
              <w:p w:rsidR="0076353F" w:rsidRPr="002A5D02" w:rsidRDefault="0076353F" w:rsidP="005E5E05">
                <w:r>
                  <w:rPr>
                    <w:rFonts w:hint="eastAsia"/>
                  </w:rPr>
                  <w:t>女</w:t>
                </w:r>
              </w:p>
            </w:tc>
            <w:tc>
              <w:tcPr>
                <w:tcW w:w="552" w:type="dxa"/>
                <w:vMerge w:val="restart"/>
                <w:vAlign w:val="center"/>
              </w:tcPr>
              <w:p w:rsidR="0076353F" w:rsidRPr="002A5D02" w:rsidRDefault="0076353F" w:rsidP="005E5E05">
                <w:r>
                  <w:t>50</w:t>
                </w:r>
              </w:p>
            </w:tc>
            <w:tc>
              <w:tcPr>
                <w:tcW w:w="1266" w:type="dxa"/>
              </w:tcPr>
              <w:p w:rsidR="0076353F" w:rsidRDefault="0076353F" w:rsidP="005E5E05">
                <w:pPr>
                  <w:rPr>
                    <w:szCs w:val="21"/>
                  </w:rPr>
                </w:pPr>
                <w:r>
                  <w:t>2020-05-20</w:t>
                </w:r>
              </w:p>
            </w:tc>
            <w:tc>
              <w:tcPr>
                <w:tcW w:w="1266" w:type="dxa"/>
              </w:tcPr>
              <w:p w:rsidR="0076353F" w:rsidRDefault="0076353F" w:rsidP="005E5E05">
                <w:pPr>
                  <w:rPr>
                    <w:szCs w:val="21"/>
                  </w:rPr>
                </w:pPr>
                <w:r>
                  <w:t>2023-05-19</w:t>
                </w:r>
              </w:p>
            </w:tc>
            <w:tc>
              <w:tcPr>
                <w:tcW w:w="1143" w:type="dxa"/>
                <w:vMerge w:val="restart"/>
                <w:vAlign w:val="center"/>
              </w:tcPr>
              <w:p w:rsidR="0076353F" w:rsidRPr="002A5D02" w:rsidRDefault="0076353F" w:rsidP="005E5E05">
                <w:pPr>
                  <w:jc w:val="right"/>
                </w:pPr>
                <w:r>
                  <w:t>0</w:t>
                </w:r>
              </w:p>
            </w:tc>
            <w:tc>
              <w:tcPr>
                <w:tcW w:w="1130" w:type="dxa"/>
                <w:vMerge w:val="restart"/>
                <w:vAlign w:val="center"/>
              </w:tcPr>
              <w:p w:rsidR="0076353F" w:rsidRPr="002A5D02" w:rsidRDefault="0076353F" w:rsidP="005E5E05">
                <w:pPr>
                  <w:jc w:val="right"/>
                </w:pPr>
                <w:r>
                  <w:t>0</w:t>
                </w:r>
              </w:p>
            </w:tc>
            <w:tc>
              <w:tcPr>
                <w:tcW w:w="1351" w:type="dxa"/>
                <w:vMerge w:val="restart"/>
                <w:vAlign w:val="center"/>
              </w:tcPr>
              <w:p w:rsidR="0076353F" w:rsidRPr="002A5D02" w:rsidRDefault="0076353F" w:rsidP="005E5E05">
                <w:pPr>
                  <w:jc w:val="right"/>
                </w:pPr>
                <w:r>
                  <w:t>0</w:t>
                </w:r>
              </w:p>
            </w:tc>
            <w:tc>
              <w:tcPr>
                <w:tcW w:w="1171" w:type="dxa"/>
                <w:vMerge w:val="restart"/>
              </w:tcPr>
              <w:p w:rsidR="0076353F" w:rsidRDefault="0076353F" w:rsidP="005E5E05">
                <w:pPr>
                  <w:rPr>
                    <w:szCs w:val="21"/>
                  </w:rPr>
                </w:pPr>
              </w:p>
            </w:tc>
            <w:tc>
              <w:tcPr>
                <w:tcW w:w="1408" w:type="dxa"/>
                <w:vMerge w:val="restart"/>
                <w:vAlign w:val="center"/>
              </w:tcPr>
              <w:p w:rsidR="0076353F" w:rsidRDefault="001B51EC" w:rsidP="001B51EC">
                <w:pPr>
                  <w:jc w:val="right"/>
                  <w:rPr>
                    <w:szCs w:val="21"/>
                  </w:rPr>
                </w:pPr>
                <w:r>
                  <w:rPr>
                    <w:rFonts w:hint="eastAsia"/>
                    <w:szCs w:val="21"/>
                  </w:rPr>
                  <w:t>41.98</w:t>
                </w:r>
              </w:p>
            </w:tc>
            <w:tc>
              <w:tcPr>
                <w:tcW w:w="1440" w:type="dxa"/>
                <w:vMerge w:val="restart"/>
                <w:vAlign w:val="center"/>
              </w:tcPr>
              <w:sdt>
                <w:sdtPr>
                  <w:rPr>
                    <w:szCs w:val="21"/>
                  </w:rPr>
                  <w:alias w:val="董事、监事、高级管理人员是否在公司关联方获取报酬"/>
                  <w:tag w:val="_GBC_1fc30a06011d4603820ff653031666f0"/>
                  <w:id w:val="349413"/>
                  <w:lock w:val="sdtLocked"/>
                  <w:comboBox>
                    <w:listItem w:displayText="是" w:value="true"/>
                    <w:listItem w:displayText="否" w:value="false"/>
                  </w:comboBox>
                </w:sdtPr>
                <w:sdtContent>
                  <w:p w:rsidR="0076353F" w:rsidRDefault="0076353F" w:rsidP="005E5E05">
                    <w:pPr>
                      <w:rPr>
                        <w:szCs w:val="21"/>
                      </w:rPr>
                    </w:pPr>
                    <w:r>
                      <w:rPr>
                        <w:szCs w:val="21"/>
                      </w:rPr>
                      <w:t>否</w:t>
                    </w:r>
                  </w:p>
                </w:sdtContent>
              </w:sdt>
            </w:tc>
          </w:tr>
          <w:tr w:rsidR="0076353F" w:rsidTr="005E5E05">
            <w:trPr>
              <w:trHeight w:val="132"/>
            </w:trPr>
            <w:tc>
              <w:tcPr>
                <w:tcW w:w="959" w:type="dxa"/>
                <w:vMerge/>
              </w:tcPr>
              <w:p w:rsidR="0076353F" w:rsidRDefault="0076353F" w:rsidP="005E5E05">
                <w:pPr>
                  <w:rPr>
                    <w:szCs w:val="21"/>
                  </w:rPr>
                </w:pPr>
              </w:p>
            </w:tc>
            <w:tc>
              <w:tcPr>
                <w:tcW w:w="1701" w:type="dxa"/>
                <w:vAlign w:val="center"/>
              </w:tcPr>
              <w:p w:rsidR="0076353F" w:rsidRDefault="0076353F" w:rsidP="005E5E05">
                <w:pPr>
                  <w:rPr>
                    <w:sz w:val="24"/>
                  </w:rPr>
                </w:pPr>
                <w:r>
                  <w:t>副总经理</w:t>
                </w:r>
              </w:p>
            </w:tc>
            <w:tc>
              <w:tcPr>
                <w:tcW w:w="709" w:type="dxa"/>
                <w:vMerge/>
              </w:tcPr>
              <w:p w:rsidR="0076353F" w:rsidRDefault="0076353F" w:rsidP="005E5E05">
                <w:pPr>
                  <w:rPr>
                    <w:szCs w:val="21"/>
                  </w:rPr>
                </w:pPr>
              </w:p>
            </w:tc>
            <w:tc>
              <w:tcPr>
                <w:tcW w:w="552" w:type="dxa"/>
                <w:vMerge/>
              </w:tcPr>
              <w:p w:rsidR="0076353F" w:rsidRDefault="0076353F" w:rsidP="005E5E05">
                <w:pPr>
                  <w:rPr>
                    <w:szCs w:val="21"/>
                  </w:rPr>
                </w:pPr>
              </w:p>
            </w:tc>
            <w:tc>
              <w:tcPr>
                <w:tcW w:w="1266" w:type="dxa"/>
                <w:vAlign w:val="center"/>
              </w:tcPr>
              <w:p w:rsidR="0076353F" w:rsidRDefault="0076353F" w:rsidP="005E5E05">
                <w:pPr>
                  <w:rPr>
                    <w:sz w:val="24"/>
                  </w:rPr>
                </w:pPr>
                <w:r>
                  <w:t>2019-04-23</w:t>
                </w:r>
              </w:p>
            </w:tc>
            <w:tc>
              <w:tcPr>
                <w:tcW w:w="1266" w:type="dxa"/>
              </w:tcPr>
              <w:p w:rsidR="0076353F" w:rsidRDefault="0076353F" w:rsidP="005E5E05">
                <w:pPr>
                  <w:rPr>
                    <w:szCs w:val="21"/>
                  </w:rPr>
                </w:pPr>
              </w:p>
            </w:tc>
            <w:tc>
              <w:tcPr>
                <w:tcW w:w="1143" w:type="dxa"/>
                <w:vMerge/>
              </w:tcPr>
              <w:p w:rsidR="0076353F" w:rsidRDefault="0076353F" w:rsidP="005E5E05">
                <w:pPr>
                  <w:jc w:val="right"/>
                  <w:rPr>
                    <w:szCs w:val="21"/>
                  </w:rPr>
                </w:pPr>
              </w:p>
            </w:tc>
            <w:tc>
              <w:tcPr>
                <w:tcW w:w="1130" w:type="dxa"/>
                <w:vMerge/>
              </w:tcPr>
              <w:p w:rsidR="0076353F" w:rsidRDefault="0076353F" w:rsidP="005E5E05">
                <w:pPr>
                  <w:jc w:val="right"/>
                  <w:rPr>
                    <w:szCs w:val="21"/>
                  </w:rPr>
                </w:pPr>
              </w:p>
            </w:tc>
            <w:tc>
              <w:tcPr>
                <w:tcW w:w="1351" w:type="dxa"/>
                <w:vMerge/>
              </w:tcPr>
              <w:p w:rsidR="0076353F" w:rsidRDefault="0076353F" w:rsidP="005E5E05">
                <w:pPr>
                  <w:jc w:val="right"/>
                  <w:rPr>
                    <w:szCs w:val="21"/>
                  </w:rPr>
                </w:pPr>
              </w:p>
            </w:tc>
            <w:tc>
              <w:tcPr>
                <w:tcW w:w="1171" w:type="dxa"/>
                <w:vMerge/>
              </w:tcPr>
              <w:p w:rsidR="0076353F" w:rsidRDefault="0076353F" w:rsidP="005E5E05">
                <w:pPr>
                  <w:rPr>
                    <w:szCs w:val="21"/>
                  </w:rPr>
                </w:pPr>
              </w:p>
            </w:tc>
            <w:tc>
              <w:tcPr>
                <w:tcW w:w="1408" w:type="dxa"/>
                <w:vMerge/>
              </w:tcPr>
              <w:p w:rsidR="0076353F" w:rsidRDefault="0076353F" w:rsidP="005E5E05">
                <w:pPr>
                  <w:jc w:val="right"/>
                  <w:rPr>
                    <w:szCs w:val="21"/>
                  </w:rPr>
                </w:pPr>
              </w:p>
            </w:tc>
            <w:tc>
              <w:tcPr>
                <w:tcW w:w="1440" w:type="dxa"/>
                <w:vMerge/>
              </w:tcPr>
              <w:p w:rsidR="0076353F" w:rsidRDefault="0076353F" w:rsidP="005E5E05">
                <w:pPr>
                  <w:jc w:val="left"/>
                  <w:rPr>
                    <w:szCs w:val="21"/>
                  </w:rPr>
                </w:pPr>
              </w:p>
            </w:tc>
          </w:tr>
          <w:tr w:rsidR="0076353F" w:rsidTr="005E5E05">
            <w:trPr>
              <w:trHeight w:val="132"/>
            </w:trPr>
            <w:tc>
              <w:tcPr>
                <w:tcW w:w="959" w:type="dxa"/>
                <w:vMerge/>
              </w:tcPr>
              <w:p w:rsidR="0076353F" w:rsidRDefault="0076353F" w:rsidP="005E5E05">
                <w:pPr>
                  <w:rPr>
                    <w:szCs w:val="21"/>
                  </w:rPr>
                </w:pPr>
              </w:p>
            </w:tc>
            <w:tc>
              <w:tcPr>
                <w:tcW w:w="1701" w:type="dxa"/>
                <w:vAlign w:val="center"/>
              </w:tcPr>
              <w:p w:rsidR="0076353F" w:rsidRDefault="0076353F" w:rsidP="005E5E05">
                <w:pPr>
                  <w:rPr>
                    <w:sz w:val="24"/>
                  </w:rPr>
                </w:pPr>
                <w:r>
                  <w:t>董事会秘书</w:t>
                </w:r>
              </w:p>
            </w:tc>
            <w:tc>
              <w:tcPr>
                <w:tcW w:w="709" w:type="dxa"/>
                <w:vMerge/>
              </w:tcPr>
              <w:p w:rsidR="0076353F" w:rsidRDefault="0076353F" w:rsidP="005E5E05">
                <w:pPr>
                  <w:rPr>
                    <w:szCs w:val="21"/>
                  </w:rPr>
                </w:pPr>
              </w:p>
            </w:tc>
            <w:tc>
              <w:tcPr>
                <w:tcW w:w="552" w:type="dxa"/>
                <w:vMerge/>
              </w:tcPr>
              <w:p w:rsidR="0076353F" w:rsidRDefault="0076353F" w:rsidP="005E5E05">
                <w:pPr>
                  <w:rPr>
                    <w:szCs w:val="21"/>
                  </w:rPr>
                </w:pPr>
              </w:p>
            </w:tc>
            <w:tc>
              <w:tcPr>
                <w:tcW w:w="1266" w:type="dxa"/>
                <w:vAlign w:val="center"/>
              </w:tcPr>
              <w:p w:rsidR="0076353F" w:rsidRDefault="0076353F" w:rsidP="005E5E05">
                <w:pPr>
                  <w:rPr>
                    <w:sz w:val="24"/>
                  </w:rPr>
                </w:pPr>
                <w:r>
                  <w:t>2019-04-23</w:t>
                </w:r>
              </w:p>
            </w:tc>
            <w:tc>
              <w:tcPr>
                <w:tcW w:w="1266" w:type="dxa"/>
              </w:tcPr>
              <w:p w:rsidR="0076353F" w:rsidRDefault="0076353F" w:rsidP="005E5E05">
                <w:pPr>
                  <w:rPr>
                    <w:szCs w:val="21"/>
                  </w:rPr>
                </w:pPr>
              </w:p>
            </w:tc>
            <w:tc>
              <w:tcPr>
                <w:tcW w:w="1143" w:type="dxa"/>
                <w:vMerge/>
              </w:tcPr>
              <w:p w:rsidR="0076353F" w:rsidRDefault="0076353F" w:rsidP="005E5E05">
                <w:pPr>
                  <w:jc w:val="right"/>
                  <w:rPr>
                    <w:szCs w:val="21"/>
                  </w:rPr>
                </w:pPr>
              </w:p>
            </w:tc>
            <w:tc>
              <w:tcPr>
                <w:tcW w:w="1130" w:type="dxa"/>
                <w:vMerge/>
              </w:tcPr>
              <w:p w:rsidR="0076353F" w:rsidRDefault="0076353F" w:rsidP="005E5E05">
                <w:pPr>
                  <w:jc w:val="right"/>
                  <w:rPr>
                    <w:szCs w:val="21"/>
                  </w:rPr>
                </w:pPr>
              </w:p>
            </w:tc>
            <w:tc>
              <w:tcPr>
                <w:tcW w:w="1351" w:type="dxa"/>
                <w:vMerge/>
              </w:tcPr>
              <w:p w:rsidR="0076353F" w:rsidRDefault="0076353F" w:rsidP="005E5E05">
                <w:pPr>
                  <w:jc w:val="right"/>
                  <w:rPr>
                    <w:szCs w:val="21"/>
                  </w:rPr>
                </w:pPr>
              </w:p>
            </w:tc>
            <w:tc>
              <w:tcPr>
                <w:tcW w:w="1171" w:type="dxa"/>
                <w:vMerge/>
              </w:tcPr>
              <w:p w:rsidR="0076353F" w:rsidRDefault="0076353F" w:rsidP="005E5E05">
                <w:pPr>
                  <w:rPr>
                    <w:szCs w:val="21"/>
                  </w:rPr>
                </w:pPr>
              </w:p>
            </w:tc>
            <w:tc>
              <w:tcPr>
                <w:tcW w:w="1408" w:type="dxa"/>
                <w:vMerge/>
              </w:tcPr>
              <w:p w:rsidR="0076353F" w:rsidRDefault="0076353F" w:rsidP="005E5E05">
                <w:pPr>
                  <w:jc w:val="right"/>
                  <w:rPr>
                    <w:szCs w:val="21"/>
                  </w:rPr>
                </w:pPr>
              </w:p>
            </w:tc>
            <w:tc>
              <w:tcPr>
                <w:tcW w:w="1440" w:type="dxa"/>
                <w:vMerge/>
              </w:tcPr>
              <w:p w:rsidR="0076353F" w:rsidRDefault="0076353F" w:rsidP="005E5E05">
                <w:pPr>
                  <w:jc w:val="left"/>
                  <w:rPr>
                    <w:szCs w:val="21"/>
                  </w:rPr>
                </w:pPr>
              </w:p>
            </w:tc>
          </w:tr>
          <w:tr w:rsidR="0076353F" w:rsidTr="005E5E05">
            <w:trPr>
              <w:trHeight w:val="132"/>
            </w:trPr>
            <w:tc>
              <w:tcPr>
                <w:tcW w:w="959" w:type="dxa"/>
              </w:tcPr>
              <w:p w:rsidR="0076353F" w:rsidRDefault="0076353F" w:rsidP="005E5E05">
                <w:pPr>
                  <w:rPr>
                    <w:szCs w:val="21"/>
                  </w:rPr>
                </w:pPr>
                <w:r>
                  <w:t>杨文胜</w:t>
                </w:r>
              </w:p>
            </w:tc>
            <w:tc>
              <w:tcPr>
                <w:tcW w:w="1701" w:type="dxa"/>
              </w:tcPr>
              <w:p w:rsidR="0076353F" w:rsidRDefault="0076353F" w:rsidP="005E5E05">
                <w:pPr>
                  <w:rPr>
                    <w:szCs w:val="21"/>
                  </w:rPr>
                </w:pPr>
                <w:r>
                  <w:t>董事</w:t>
                </w:r>
              </w:p>
            </w:tc>
            <w:tc>
              <w:tcPr>
                <w:tcW w:w="709" w:type="dxa"/>
              </w:tcPr>
              <w:p w:rsidR="0076353F" w:rsidRDefault="0076353F" w:rsidP="005E5E05">
                <w:pPr>
                  <w:rPr>
                    <w:szCs w:val="21"/>
                  </w:rPr>
                </w:pPr>
                <w:r>
                  <w:t>男</w:t>
                </w:r>
              </w:p>
            </w:tc>
            <w:tc>
              <w:tcPr>
                <w:tcW w:w="552" w:type="dxa"/>
              </w:tcPr>
              <w:p w:rsidR="0076353F" w:rsidRDefault="0076353F" w:rsidP="005E5E05">
                <w:pPr>
                  <w:rPr>
                    <w:szCs w:val="21"/>
                  </w:rPr>
                </w:pPr>
                <w:r>
                  <w:t>5</w:t>
                </w:r>
                <w:r>
                  <w:rPr>
                    <w:rFonts w:hint="eastAsia"/>
                  </w:rPr>
                  <w:t>3</w:t>
                </w:r>
              </w:p>
            </w:tc>
            <w:tc>
              <w:tcPr>
                <w:tcW w:w="1266" w:type="dxa"/>
              </w:tcPr>
              <w:p w:rsidR="0076353F" w:rsidRDefault="0076353F" w:rsidP="005E5E05">
                <w:pPr>
                  <w:rPr>
                    <w:szCs w:val="21"/>
                  </w:rPr>
                </w:pPr>
                <w:r>
                  <w:t>2020-05-20</w:t>
                </w:r>
              </w:p>
            </w:tc>
            <w:tc>
              <w:tcPr>
                <w:tcW w:w="1266" w:type="dxa"/>
              </w:tcPr>
              <w:p w:rsidR="0076353F" w:rsidRDefault="0076353F" w:rsidP="005E5E05">
                <w:pPr>
                  <w:rPr>
                    <w:szCs w:val="21"/>
                  </w:rPr>
                </w:pPr>
                <w:r>
                  <w:t>2023-05-19</w:t>
                </w:r>
              </w:p>
            </w:tc>
            <w:tc>
              <w:tcPr>
                <w:tcW w:w="1143" w:type="dxa"/>
              </w:tcPr>
              <w:p w:rsidR="0076353F" w:rsidRDefault="0076353F" w:rsidP="005E5E05">
                <w:pPr>
                  <w:jc w:val="right"/>
                  <w:rPr>
                    <w:szCs w:val="21"/>
                  </w:rPr>
                </w:pPr>
                <w:r>
                  <w:t>0</w:t>
                </w:r>
              </w:p>
            </w:tc>
            <w:tc>
              <w:tcPr>
                <w:tcW w:w="1130" w:type="dxa"/>
              </w:tcPr>
              <w:p w:rsidR="0076353F" w:rsidRDefault="0076353F" w:rsidP="005E5E05">
                <w:pPr>
                  <w:jc w:val="right"/>
                  <w:rPr>
                    <w:szCs w:val="21"/>
                  </w:rPr>
                </w:pPr>
                <w:r>
                  <w:t>0</w:t>
                </w:r>
              </w:p>
            </w:tc>
            <w:tc>
              <w:tcPr>
                <w:tcW w:w="1351" w:type="dxa"/>
              </w:tcPr>
              <w:p w:rsidR="0076353F" w:rsidRDefault="0076353F" w:rsidP="005E5E05">
                <w:pPr>
                  <w:jc w:val="right"/>
                  <w:rPr>
                    <w:szCs w:val="21"/>
                  </w:rPr>
                </w:pPr>
                <w:r>
                  <w:t>0</w:t>
                </w:r>
              </w:p>
            </w:tc>
            <w:tc>
              <w:tcPr>
                <w:tcW w:w="1171" w:type="dxa"/>
              </w:tcPr>
              <w:p w:rsidR="0076353F" w:rsidRDefault="0076353F" w:rsidP="005E5E05">
                <w:pPr>
                  <w:rPr>
                    <w:szCs w:val="21"/>
                  </w:rPr>
                </w:pPr>
                <w:r>
                  <w:t> </w:t>
                </w:r>
              </w:p>
            </w:tc>
            <w:tc>
              <w:tcPr>
                <w:tcW w:w="1408" w:type="dxa"/>
              </w:tcPr>
              <w:p w:rsidR="0076353F" w:rsidRDefault="0076353F" w:rsidP="005E5E05">
                <w:pPr>
                  <w:jc w:val="right"/>
                  <w:rPr>
                    <w:szCs w:val="21"/>
                  </w:rPr>
                </w:pPr>
                <w:r>
                  <w:t>0</w:t>
                </w:r>
              </w:p>
            </w:tc>
            <w:sdt>
              <w:sdtPr>
                <w:rPr>
                  <w:szCs w:val="21"/>
                </w:rPr>
                <w:alias w:val="董事、监事、高级管理人员是否在公司关联方获取报酬"/>
                <w:tag w:val="_GBC_1fc30a06011d4603820ff653031666f0"/>
                <w:id w:val="349414"/>
                <w:lock w:val="sdtLocked"/>
                <w:comboBox>
                  <w:listItem w:displayText="是" w:value="true"/>
                  <w:listItem w:displayText="否" w:value="false"/>
                </w:comboBox>
              </w:sdtPr>
              <w:sdtContent>
                <w:tc>
                  <w:tcPr>
                    <w:tcW w:w="1440" w:type="dxa"/>
                  </w:tcPr>
                  <w:p w:rsidR="0076353F" w:rsidRDefault="0076353F" w:rsidP="005E5E05">
                    <w:pPr>
                      <w:jc w:val="left"/>
                      <w:rPr>
                        <w:szCs w:val="21"/>
                      </w:rPr>
                    </w:pPr>
                    <w:r>
                      <w:rPr>
                        <w:szCs w:val="21"/>
                      </w:rPr>
                      <w:t>否</w:t>
                    </w:r>
                  </w:p>
                </w:tc>
              </w:sdtContent>
            </w:sdt>
          </w:tr>
          <w:tr w:rsidR="0076353F" w:rsidTr="005E5E05">
            <w:trPr>
              <w:trHeight w:val="132"/>
            </w:trPr>
            <w:tc>
              <w:tcPr>
                <w:tcW w:w="959" w:type="dxa"/>
              </w:tcPr>
              <w:p w:rsidR="0076353F" w:rsidRDefault="0076353F" w:rsidP="005E5E05">
                <w:pPr>
                  <w:rPr>
                    <w:szCs w:val="21"/>
                  </w:rPr>
                </w:pPr>
                <w:r>
                  <w:t>陈磊</w:t>
                </w:r>
              </w:p>
            </w:tc>
            <w:tc>
              <w:tcPr>
                <w:tcW w:w="1701" w:type="dxa"/>
              </w:tcPr>
              <w:p w:rsidR="0076353F" w:rsidRDefault="0076353F" w:rsidP="005E5E05">
                <w:pPr>
                  <w:rPr>
                    <w:szCs w:val="21"/>
                  </w:rPr>
                </w:pPr>
                <w:r>
                  <w:t>独立董事</w:t>
                </w:r>
              </w:p>
            </w:tc>
            <w:tc>
              <w:tcPr>
                <w:tcW w:w="709" w:type="dxa"/>
              </w:tcPr>
              <w:p w:rsidR="0076353F" w:rsidRDefault="0076353F" w:rsidP="005E5E05">
                <w:pPr>
                  <w:rPr>
                    <w:szCs w:val="21"/>
                  </w:rPr>
                </w:pPr>
                <w:r>
                  <w:t>男</w:t>
                </w:r>
              </w:p>
            </w:tc>
            <w:tc>
              <w:tcPr>
                <w:tcW w:w="552" w:type="dxa"/>
              </w:tcPr>
              <w:p w:rsidR="0076353F" w:rsidRDefault="0076353F" w:rsidP="005E5E05">
                <w:pPr>
                  <w:rPr>
                    <w:szCs w:val="21"/>
                  </w:rPr>
                </w:pPr>
                <w:r>
                  <w:rPr>
                    <w:rFonts w:hint="eastAsia"/>
                  </w:rPr>
                  <w:t>50</w:t>
                </w:r>
              </w:p>
            </w:tc>
            <w:tc>
              <w:tcPr>
                <w:tcW w:w="1266" w:type="dxa"/>
              </w:tcPr>
              <w:p w:rsidR="0076353F" w:rsidRDefault="0076353F" w:rsidP="005E5E05">
                <w:pPr>
                  <w:rPr>
                    <w:szCs w:val="21"/>
                  </w:rPr>
                </w:pPr>
                <w:r>
                  <w:t>2020-05-20</w:t>
                </w:r>
              </w:p>
            </w:tc>
            <w:tc>
              <w:tcPr>
                <w:tcW w:w="1266" w:type="dxa"/>
              </w:tcPr>
              <w:p w:rsidR="0076353F" w:rsidRDefault="0076353F" w:rsidP="005E5E05">
                <w:pPr>
                  <w:rPr>
                    <w:szCs w:val="21"/>
                  </w:rPr>
                </w:pPr>
                <w:r>
                  <w:t>2023-05-19</w:t>
                </w:r>
              </w:p>
            </w:tc>
            <w:tc>
              <w:tcPr>
                <w:tcW w:w="1143" w:type="dxa"/>
              </w:tcPr>
              <w:p w:rsidR="0076353F" w:rsidRDefault="0076353F" w:rsidP="005E5E05">
                <w:pPr>
                  <w:jc w:val="right"/>
                  <w:rPr>
                    <w:szCs w:val="21"/>
                  </w:rPr>
                </w:pPr>
                <w:r>
                  <w:t>0</w:t>
                </w:r>
              </w:p>
            </w:tc>
            <w:tc>
              <w:tcPr>
                <w:tcW w:w="1130" w:type="dxa"/>
              </w:tcPr>
              <w:p w:rsidR="0076353F" w:rsidRDefault="0076353F" w:rsidP="005E5E05">
                <w:pPr>
                  <w:jc w:val="right"/>
                  <w:rPr>
                    <w:szCs w:val="21"/>
                  </w:rPr>
                </w:pPr>
                <w:r>
                  <w:t>0</w:t>
                </w:r>
              </w:p>
            </w:tc>
            <w:tc>
              <w:tcPr>
                <w:tcW w:w="1351" w:type="dxa"/>
              </w:tcPr>
              <w:p w:rsidR="0076353F" w:rsidRDefault="0076353F" w:rsidP="005E5E05">
                <w:pPr>
                  <w:jc w:val="right"/>
                  <w:rPr>
                    <w:szCs w:val="21"/>
                  </w:rPr>
                </w:pPr>
                <w:r>
                  <w:t>0</w:t>
                </w:r>
              </w:p>
            </w:tc>
            <w:tc>
              <w:tcPr>
                <w:tcW w:w="1171" w:type="dxa"/>
              </w:tcPr>
              <w:p w:rsidR="0076353F" w:rsidRDefault="0076353F" w:rsidP="005E5E05">
                <w:pPr>
                  <w:rPr>
                    <w:szCs w:val="21"/>
                  </w:rPr>
                </w:pPr>
                <w:r>
                  <w:t> </w:t>
                </w:r>
              </w:p>
            </w:tc>
            <w:tc>
              <w:tcPr>
                <w:tcW w:w="1408" w:type="dxa"/>
              </w:tcPr>
              <w:p w:rsidR="0076353F" w:rsidRDefault="0076353F" w:rsidP="005E5E05">
                <w:pPr>
                  <w:jc w:val="right"/>
                  <w:rPr>
                    <w:szCs w:val="21"/>
                  </w:rPr>
                </w:pPr>
                <w:r>
                  <w:t>10.00</w:t>
                </w:r>
              </w:p>
            </w:tc>
            <w:sdt>
              <w:sdtPr>
                <w:rPr>
                  <w:szCs w:val="21"/>
                </w:rPr>
                <w:alias w:val="董事、监事、高级管理人员是否在公司关联方获取报酬"/>
                <w:tag w:val="_GBC_1fc30a06011d4603820ff653031666f0"/>
                <w:id w:val="349415"/>
                <w:lock w:val="sdtLocked"/>
                <w:comboBox>
                  <w:listItem w:displayText="是" w:value="true"/>
                  <w:listItem w:displayText="否" w:value="false"/>
                </w:comboBox>
              </w:sdtPr>
              <w:sdtContent>
                <w:tc>
                  <w:tcPr>
                    <w:tcW w:w="1440" w:type="dxa"/>
                  </w:tcPr>
                  <w:p w:rsidR="0076353F" w:rsidRDefault="0076353F" w:rsidP="005E5E05">
                    <w:pPr>
                      <w:jc w:val="left"/>
                      <w:rPr>
                        <w:szCs w:val="21"/>
                      </w:rPr>
                    </w:pPr>
                    <w:r>
                      <w:rPr>
                        <w:szCs w:val="21"/>
                      </w:rPr>
                      <w:t>否</w:t>
                    </w:r>
                  </w:p>
                </w:tc>
              </w:sdtContent>
            </w:sdt>
          </w:tr>
          <w:tr w:rsidR="0076353F" w:rsidTr="005E5E05">
            <w:trPr>
              <w:trHeight w:val="132"/>
            </w:trPr>
            <w:tc>
              <w:tcPr>
                <w:tcW w:w="959" w:type="dxa"/>
              </w:tcPr>
              <w:p w:rsidR="0076353F" w:rsidRDefault="0076353F" w:rsidP="005E5E05">
                <w:pPr>
                  <w:rPr>
                    <w:szCs w:val="21"/>
                  </w:rPr>
                </w:pPr>
                <w:r>
                  <w:t>郝生跃</w:t>
                </w:r>
              </w:p>
            </w:tc>
            <w:tc>
              <w:tcPr>
                <w:tcW w:w="1701" w:type="dxa"/>
              </w:tcPr>
              <w:p w:rsidR="0076353F" w:rsidRDefault="0076353F" w:rsidP="005E5E05">
                <w:pPr>
                  <w:rPr>
                    <w:szCs w:val="21"/>
                  </w:rPr>
                </w:pPr>
                <w:r>
                  <w:t>独立董事</w:t>
                </w:r>
              </w:p>
            </w:tc>
            <w:tc>
              <w:tcPr>
                <w:tcW w:w="709" w:type="dxa"/>
              </w:tcPr>
              <w:p w:rsidR="0076353F" w:rsidRDefault="0076353F" w:rsidP="005E5E05">
                <w:pPr>
                  <w:rPr>
                    <w:szCs w:val="21"/>
                  </w:rPr>
                </w:pPr>
                <w:r>
                  <w:t>男</w:t>
                </w:r>
              </w:p>
            </w:tc>
            <w:tc>
              <w:tcPr>
                <w:tcW w:w="552" w:type="dxa"/>
              </w:tcPr>
              <w:p w:rsidR="0076353F" w:rsidRDefault="0076353F" w:rsidP="005E5E05">
                <w:pPr>
                  <w:rPr>
                    <w:szCs w:val="21"/>
                  </w:rPr>
                </w:pPr>
                <w:r>
                  <w:t>5</w:t>
                </w:r>
                <w:r>
                  <w:rPr>
                    <w:rFonts w:hint="eastAsia"/>
                  </w:rPr>
                  <w:t>5</w:t>
                </w:r>
              </w:p>
            </w:tc>
            <w:tc>
              <w:tcPr>
                <w:tcW w:w="1266" w:type="dxa"/>
              </w:tcPr>
              <w:p w:rsidR="0076353F" w:rsidRDefault="0076353F" w:rsidP="005E5E05">
                <w:pPr>
                  <w:rPr>
                    <w:szCs w:val="21"/>
                  </w:rPr>
                </w:pPr>
                <w:r>
                  <w:t>2021-05-25</w:t>
                </w:r>
              </w:p>
            </w:tc>
            <w:tc>
              <w:tcPr>
                <w:tcW w:w="1266" w:type="dxa"/>
              </w:tcPr>
              <w:p w:rsidR="0076353F" w:rsidRDefault="0076353F" w:rsidP="005E5E05">
                <w:pPr>
                  <w:rPr>
                    <w:szCs w:val="21"/>
                  </w:rPr>
                </w:pPr>
                <w:r>
                  <w:t>2023-05-19</w:t>
                </w:r>
              </w:p>
            </w:tc>
            <w:tc>
              <w:tcPr>
                <w:tcW w:w="1143" w:type="dxa"/>
              </w:tcPr>
              <w:p w:rsidR="0076353F" w:rsidRDefault="0076353F" w:rsidP="005E5E05">
                <w:pPr>
                  <w:jc w:val="right"/>
                  <w:rPr>
                    <w:szCs w:val="21"/>
                  </w:rPr>
                </w:pPr>
                <w:r>
                  <w:t>0</w:t>
                </w:r>
              </w:p>
            </w:tc>
            <w:tc>
              <w:tcPr>
                <w:tcW w:w="1130" w:type="dxa"/>
              </w:tcPr>
              <w:p w:rsidR="0076353F" w:rsidRDefault="0076353F" w:rsidP="005E5E05">
                <w:pPr>
                  <w:jc w:val="right"/>
                  <w:rPr>
                    <w:szCs w:val="21"/>
                  </w:rPr>
                </w:pPr>
                <w:r>
                  <w:t>0</w:t>
                </w:r>
              </w:p>
            </w:tc>
            <w:tc>
              <w:tcPr>
                <w:tcW w:w="1351" w:type="dxa"/>
              </w:tcPr>
              <w:p w:rsidR="0076353F" w:rsidRDefault="0076353F" w:rsidP="005E5E05">
                <w:pPr>
                  <w:jc w:val="right"/>
                  <w:rPr>
                    <w:szCs w:val="21"/>
                  </w:rPr>
                </w:pPr>
                <w:r>
                  <w:t>0</w:t>
                </w:r>
              </w:p>
            </w:tc>
            <w:tc>
              <w:tcPr>
                <w:tcW w:w="1171" w:type="dxa"/>
              </w:tcPr>
              <w:p w:rsidR="0076353F" w:rsidRDefault="0076353F" w:rsidP="005E5E05">
                <w:pPr>
                  <w:rPr>
                    <w:szCs w:val="21"/>
                  </w:rPr>
                </w:pPr>
                <w:r>
                  <w:t> </w:t>
                </w:r>
              </w:p>
            </w:tc>
            <w:tc>
              <w:tcPr>
                <w:tcW w:w="1408" w:type="dxa"/>
              </w:tcPr>
              <w:p w:rsidR="0076353F" w:rsidRDefault="0076353F" w:rsidP="005E5E05">
                <w:pPr>
                  <w:jc w:val="right"/>
                  <w:rPr>
                    <w:szCs w:val="21"/>
                  </w:rPr>
                </w:pPr>
                <w:r w:rsidRPr="00B17903">
                  <w:t>10.00</w:t>
                </w:r>
              </w:p>
            </w:tc>
            <w:sdt>
              <w:sdtPr>
                <w:rPr>
                  <w:szCs w:val="21"/>
                </w:rPr>
                <w:alias w:val="董事、监事、高级管理人员是否在公司关联方获取报酬"/>
                <w:tag w:val="_GBC_1fc30a06011d4603820ff653031666f0"/>
                <w:id w:val="349416"/>
                <w:lock w:val="sdtLocked"/>
                <w:comboBox>
                  <w:listItem w:displayText="是" w:value="true"/>
                  <w:listItem w:displayText="否" w:value="false"/>
                </w:comboBox>
              </w:sdtPr>
              <w:sdtContent>
                <w:tc>
                  <w:tcPr>
                    <w:tcW w:w="1440" w:type="dxa"/>
                  </w:tcPr>
                  <w:p w:rsidR="0076353F" w:rsidRDefault="0076353F" w:rsidP="005E5E05">
                    <w:pPr>
                      <w:jc w:val="left"/>
                      <w:rPr>
                        <w:szCs w:val="21"/>
                      </w:rPr>
                    </w:pPr>
                    <w:r>
                      <w:rPr>
                        <w:szCs w:val="21"/>
                      </w:rPr>
                      <w:t>否</w:t>
                    </w:r>
                  </w:p>
                </w:tc>
              </w:sdtContent>
            </w:sdt>
          </w:tr>
          <w:tr w:rsidR="0076353F" w:rsidTr="005E5E05">
            <w:trPr>
              <w:trHeight w:val="132"/>
            </w:trPr>
            <w:tc>
              <w:tcPr>
                <w:tcW w:w="959" w:type="dxa"/>
              </w:tcPr>
              <w:p w:rsidR="0076353F" w:rsidRDefault="0076353F" w:rsidP="005E5E05">
                <w:pPr>
                  <w:rPr>
                    <w:szCs w:val="21"/>
                  </w:rPr>
                </w:pPr>
                <w:r>
                  <w:rPr>
                    <w:rFonts w:hint="eastAsia"/>
                    <w:szCs w:val="21"/>
                  </w:rPr>
                  <w:t>许光建</w:t>
                </w:r>
              </w:p>
            </w:tc>
            <w:tc>
              <w:tcPr>
                <w:tcW w:w="1701" w:type="dxa"/>
              </w:tcPr>
              <w:p w:rsidR="0076353F" w:rsidRDefault="0076353F" w:rsidP="005E5E05">
                <w:pPr>
                  <w:rPr>
                    <w:szCs w:val="21"/>
                  </w:rPr>
                </w:pPr>
                <w:r w:rsidRPr="00A52802">
                  <w:rPr>
                    <w:rFonts w:hint="eastAsia"/>
                    <w:szCs w:val="21"/>
                  </w:rPr>
                  <w:t>独立董事</w:t>
                </w:r>
              </w:p>
            </w:tc>
            <w:tc>
              <w:tcPr>
                <w:tcW w:w="709" w:type="dxa"/>
              </w:tcPr>
              <w:p w:rsidR="0076353F" w:rsidRDefault="0076353F" w:rsidP="005E5E05">
                <w:pPr>
                  <w:rPr>
                    <w:szCs w:val="21"/>
                  </w:rPr>
                </w:pPr>
                <w:r>
                  <w:rPr>
                    <w:rFonts w:hint="eastAsia"/>
                    <w:szCs w:val="21"/>
                  </w:rPr>
                  <w:t>男</w:t>
                </w:r>
              </w:p>
            </w:tc>
            <w:tc>
              <w:tcPr>
                <w:tcW w:w="552" w:type="dxa"/>
              </w:tcPr>
              <w:p w:rsidR="0076353F" w:rsidRDefault="0076353F" w:rsidP="005E5E05">
                <w:pPr>
                  <w:rPr>
                    <w:szCs w:val="21"/>
                  </w:rPr>
                </w:pPr>
                <w:r>
                  <w:rPr>
                    <w:rFonts w:hint="eastAsia"/>
                    <w:szCs w:val="21"/>
                  </w:rPr>
                  <w:t>64</w:t>
                </w:r>
              </w:p>
            </w:tc>
            <w:tc>
              <w:tcPr>
                <w:tcW w:w="1266" w:type="dxa"/>
              </w:tcPr>
              <w:p w:rsidR="0076353F" w:rsidRDefault="0076353F" w:rsidP="005E5E05">
                <w:pPr>
                  <w:rPr>
                    <w:szCs w:val="21"/>
                  </w:rPr>
                </w:pPr>
                <w:r>
                  <w:rPr>
                    <w:rFonts w:hint="eastAsia"/>
                    <w:szCs w:val="21"/>
                  </w:rPr>
                  <w:t>2022-05-25</w:t>
                </w:r>
              </w:p>
            </w:tc>
            <w:tc>
              <w:tcPr>
                <w:tcW w:w="1266" w:type="dxa"/>
              </w:tcPr>
              <w:p w:rsidR="0076353F" w:rsidRDefault="0076353F" w:rsidP="005E5E05">
                <w:pPr>
                  <w:rPr>
                    <w:szCs w:val="21"/>
                  </w:rPr>
                </w:pPr>
                <w:r w:rsidRPr="00684EDC">
                  <w:rPr>
                    <w:szCs w:val="21"/>
                  </w:rPr>
                  <w:t>2023-05-19</w:t>
                </w:r>
              </w:p>
            </w:tc>
            <w:tc>
              <w:tcPr>
                <w:tcW w:w="1143" w:type="dxa"/>
                <w:vAlign w:val="center"/>
              </w:tcPr>
              <w:p w:rsidR="0076353F" w:rsidRDefault="0076353F" w:rsidP="005E5E05">
                <w:pPr>
                  <w:jc w:val="right"/>
                  <w:rPr>
                    <w:sz w:val="24"/>
                  </w:rPr>
                </w:pPr>
                <w:r>
                  <w:t>0</w:t>
                </w:r>
              </w:p>
            </w:tc>
            <w:tc>
              <w:tcPr>
                <w:tcW w:w="1130" w:type="dxa"/>
                <w:vAlign w:val="center"/>
              </w:tcPr>
              <w:p w:rsidR="0076353F" w:rsidRDefault="0076353F" w:rsidP="005E5E05">
                <w:pPr>
                  <w:jc w:val="right"/>
                  <w:rPr>
                    <w:sz w:val="24"/>
                  </w:rPr>
                </w:pPr>
                <w:r>
                  <w:t>0</w:t>
                </w:r>
              </w:p>
            </w:tc>
            <w:tc>
              <w:tcPr>
                <w:tcW w:w="1351" w:type="dxa"/>
                <w:vAlign w:val="center"/>
              </w:tcPr>
              <w:p w:rsidR="0076353F" w:rsidRDefault="0076353F" w:rsidP="005E5E05">
                <w:pPr>
                  <w:jc w:val="right"/>
                  <w:rPr>
                    <w:sz w:val="24"/>
                  </w:rPr>
                </w:pPr>
                <w:r>
                  <w:t>0</w:t>
                </w:r>
              </w:p>
            </w:tc>
            <w:tc>
              <w:tcPr>
                <w:tcW w:w="1171" w:type="dxa"/>
              </w:tcPr>
              <w:p w:rsidR="0076353F" w:rsidRDefault="0076353F" w:rsidP="005E5E05">
                <w:pPr>
                  <w:rPr>
                    <w:szCs w:val="21"/>
                  </w:rPr>
                </w:pPr>
              </w:p>
            </w:tc>
            <w:tc>
              <w:tcPr>
                <w:tcW w:w="1408" w:type="dxa"/>
              </w:tcPr>
              <w:p w:rsidR="0076353F" w:rsidRDefault="00612B6F" w:rsidP="005E5E05">
                <w:pPr>
                  <w:jc w:val="right"/>
                  <w:rPr>
                    <w:szCs w:val="21"/>
                  </w:rPr>
                </w:pPr>
                <w:r>
                  <w:rPr>
                    <w:rFonts w:hint="eastAsia"/>
                    <w:szCs w:val="21"/>
                  </w:rPr>
                  <w:t>5.99</w:t>
                </w:r>
              </w:p>
            </w:tc>
            <w:sdt>
              <w:sdtPr>
                <w:rPr>
                  <w:szCs w:val="21"/>
                </w:rPr>
                <w:alias w:val="董事、监事、高级管理人员是否在公司关联方获取报酬"/>
                <w:tag w:val="_GBC_1fc30a06011d4603820ff653031666f0"/>
                <w:id w:val="349417"/>
                <w:lock w:val="sdtLocked"/>
                <w:comboBox>
                  <w:listItem w:displayText="是" w:value="true"/>
                  <w:listItem w:displayText="否" w:value="false"/>
                </w:comboBox>
              </w:sdtPr>
              <w:sdtContent>
                <w:tc>
                  <w:tcPr>
                    <w:tcW w:w="1440" w:type="dxa"/>
                  </w:tcPr>
                  <w:p w:rsidR="0076353F" w:rsidRDefault="0076353F" w:rsidP="005E5E05">
                    <w:pPr>
                      <w:jc w:val="left"/>
                      <w:rPr>
                        <w:szCs w:val="21"/>
                      </w:rPr>
                    </w:pPr>
                    <w:r>
                      <w:rPr>
                        <w:szCs w:val="21"/>
                      </w:rPr>
                      <w:t>否</w:t>
                    </w:r>
                  </w:p>
                </w:tc>
              </w:sdtContent>
            </w:sdt>
          </w:tr>
          <w:tr w:rsidR="0076353F" w:rsidTr="005E5E05">
            <w:trPr>
              <w:trHeight w:val="132"/>
            </w:trPr>
            <w:tc>
              <w:tcPr>
                <w:tcW w:w="959" w:type="dxa"/>
              </w:tcPr>
              <w:p w:rsidR="0076353F" w:rsidRDefault="0076353F" w:rsidP="005E5E05">
                <w:pPr>
                  <w:rPr>
                    <w:szCs w:val="21"/>
                  </w:rPr>
                </w:pPr>
                <w:r>
                  <w:rPr>
                    <w:rFonts w:hint="eastAsia"/>
                    <w:szCs w:val="21"/>
                  </w:rPr>
                  <w:t>樊燕萍</w:t>
                </w:r>
              </w:p>
            </w:tc>
            <w:tc>
              <w:tcPr>
                <w:tcW w:w="1701" w:type="dxa"/>
              </w:tcPr>
              <w:p w:rsidR="0076353F" w:rsidRDefault="0076353F" w:rsidP="005E5E05">
                <w:pPr>
                  <w:rPr>
                    <w:szCs w:val="21"/>
                  </w:rPr>
                </w:pPr>
                <w:r w:rsidRPr="00A52802">
                  <w:rPr>
                    <w:rFonts w:hint="eastAsia"/>
                    <w:szCs w:val="21"/>
                  </w:rPr>
                  <w:t>独立董事</w:t>
                </w:r>
              </w:p>
            </w:tc>
            <w:tc>
              <w:tcPr>
                <w:tcW w:w="709" w:type="dxa"/>
              </w:tcPr>
              <w:p w:rsidR="0076353F" w:rsidRDefault="0076353F" w:rsidP="005E5E05">
                <w:pPr>
                  <w:rPr>
                    <w:szCs w:val="21"/>
                  </w:rPr>
                </w:pPr>
                <w:r>
                  <w:rPr>
                    <w:rFonts w:hint="eastAsia"/>
                    <w:szCs w:val="21"/>
                  </w:rPr>
                  <w:t>女</w:t>
                </w:r>
              </w:p>
            </w:tc>
            <w:tc>
              <w:tcPr>
                <w:tcW w:w="552" w:type="dxa"/>
              </w:tcPr>
              <w:p w:rsidR="0076353F" w:rsidRDefault="0076353F" w:rsidP="005E5E05">
                <w:pPr>
                  <w:rPr>
                    <w:szCs w:val="21"/>
                  </w:rPr>
                </w:pPr>
                <w:r>
                  <w:rPr>
                    <w:rFonts w:hint="eastAsia"/>
                    <w:szCs w:val="21"/>
                  </w:rPr>
                  <w:t>51</w:t>
                </w:r>
              </w:p>
            </w:tc>
            <w:tc>
              <w:tcPr>
                <w:tcW w:w="1266" w:type="dxa"/>
                <w:vAlign w:val="center"/>
              </w:tcPr>
              <w:p w:rsidR="0076353F" w:rsidRDefault="0076353F" w:rsidP="005E5E05">
                <w:pPr>
                  <w:rPr>
                    <w:sz w:val="24"/>
                  </w:rPr>
                </w:pPr>
                <w:r>
                  <w:t>2022-05-25</w:t>
                </w:r>
              </w:p>
            </w:tc>
            <w:tc>
              <w:tcPr>
                <w:tcW w:w="1266" w:type="dxa"/>
                <w:vAlign w:val="center"/>
              </w:tcPr>
              <w:p w:rsidR="0076353F" w:rsidRDefault="0076353F" w:rsidP="005E5E05">
                <w:pPr>
                  <w:rPr>
                    <w:sz w:val="24"/>
                  </w:rPr>
                </w:pPr>
                <w:r>
                  <w:t>2023-05-19</w:t>
                </w:r>
              </w:p>
            </w:tc>
            <w:tc>
              <w:tcPr>
                <w:tcW w:w="1143" w:type="dxa"/>
                <w:vAlign w:val="center"/>
              </w:tcPr>
              <w:p w:rsidR="0076353F" w:rsidRDefault="0076353F" w:rsidP="005E5E05">
                <w:pPr>
                  <w:jc w:val="right"/>
                  <w:rPr>
                    <w:sz w:val="24"/>
                  </w:rPr>
                </w:pPr>
                <w:r>
                  <w:t>0</w:t>
                </w:r>
              </w:p>
            </w:tc>
            <w:tc>
              <w:tcPr>
                <w:tcW w:w="1130" w:type="dxa"/>
                <w:vAlign w:val="center"/>
              </w:tcPr>
              <w:p w:rsidR="0076353F" w:rsidRDefault="0076353F" w:rsidP="005E5E05">
                <w:pPr>
                  <w:jc w:val="right"/>
                  <w:rPr>
                    <w:sz w:val="24"/>
                  </w:rPr>
                </w:pPr>
                <w:r>
                  <w:t>0</w:t>
                </w:r>
              </w:p>
            </w:tc>
            <w:tc>
              <w:tcPr>
                <w:tcW w:w="1351" w:type="dxa"/>
                <w:vAlign w:val="center"/>
              </w:tcPr>
              <w:p w:rsidR="0076353F" w:rsidRDefault="0076353F" w:rsidP="005E5E05">
                <w:pPr>
                  <w:jc w:val="right"/>
                  <w:rPr>
                    <w:sz w:val="24"/>
                  </w:rPr>
                </w:pPr>
                <w:r>
                  <w:t>0</w:t>
                </w:r>
              </w:p>
            </w:tc>
            <w:tc>
              <w:tcPr>
                <w:tcW w:w="1171" w:type="dxa"/>
              </w:tcPr>
              <w:p w:rsidR="0076353F" w:rsidRDefault="0076353F" w:rsidP="005E5E05">
                <w:pPr>
                  <w:rPr>
                    <w:szCs w:val="21"/>
                  </w:rPr>
                </w:pPr>
              </w:p>
            </w:tc>
            <w:tc>
              <w:tcPr>
                <w:tcW w:w="1408" w:type="dxa"/>
              </w:tcPr>
              <w:p w:rsidR="0076353F" w:rsidRDefault="00612B6F" w:rsidP="005E5E05">
                <w:pPr>
                  <w:jc w:val="right"/>
                  <w:rPr>
                    <w:szCs w:val="21"/>
                  </w:rPr>
                </w:pPr>
                <w:r>
                  <w:rPr>
                    <w:rFonts w:hint="eastAsia"/>
                    <w:szCs w:val="21"/>
                  </w:rPr>
                  <w:t>5.99</w:t>
                </w:r>
              </w:p>
            </w:tc>
            <w:sdt>
              <w:sdtPr>
                <w:rPr>
                  <w:szCs w:val="21"/>
                </w:rPr>
                <w:alias w:val="董事、监事、高级管理人员是否在公司关联方获取报酬"/>
                <w:tag w:val="_GBC_1fc30a06011d4603820ff653031666f0"/>
                <w:id w:val="349418"/>
                <w:lock w:val="sdtLocked"/>
                <w:comboBox>
                  <w:listItem w:displayText="是" w:value="true"/>
                  <w:listItem w:displayText="否" w:value="false"/>
                </w:comboBox>
              </w:sdtPr>
              <w:sdtContent>
                <w:tc>
                  <w:tcPr>
                    <w:tcW w:w="1440" w:type="dxa"/>
                  </w:tcPr>
                  <w:p w:rsidR="0076353F" w:rsidRDefault="0076353F" w:rsidP="005E5E05">
                    <w:pPr>
                      <w:jc w:val="left"/>
                      <w:rPr>
                        <w:szCs w:val="21"/>
                      </w:rPr>
                    </w:pPr>
                    <w:r>
                      <w:rPr>
                        <w:szCs w:val="21"/>
                      </w:rPr>
                      <w:t>否</w:t>
                    </w:r>
                  </w:p>
                </w:tc>
              </w:sdtContent>
            </w:sdt>
          </w:tr>
          <w:tr w:rsidR="0076353F" w:rsidTr="005E5E05">
            <w:trPr>
              <w:trHeight w:val="132"/>
            </w:trPr>
            <w:tc>
              <w:tcPr>
                <w:tcW w:w="959" w:type="dxa"/>
              </w:tcPr>
              <w:p w:rsidR="0076353F" w:rsidRDefault="0076353F" w:rsidP="005E5E05">
                <w:pPr>
                  <w:rPr>
                    <w:szCs w:val="21"/>
                  </w:rPr>
                </w:pPr>
                <w:r>
                  <w:t>于峰</w:t>
                </w:r>
              </w:p>
            </w:tc>
            <w:tc>
              <w:tcPr>
                <w:tcW w:w="1701" w:type="dxa"/>
              </w:tcPr>
              <w:p w:rsidR="0076353F" w:rsidRDefault="0076353F" w:rsidP="005E5E05">
                <w:pPr>
                  <w:rPr>
                    <w:szCs w:val="21"/>
                  </w:rPr>
                </w:pPr>
                <w:r>
                  <w:t>监事会主席</w:t>
                </w:r>
              </w:p>
            </w:tc>
            <w:tc>
              <w:tcPr>
                <w:tcW w:w="709" w:type="dxa"/>
              </w:tcPr>
              <w:p w:rsidR="0076353F" w:rsidRDefault="0076353F" w:rsidP="005E5E05">
                <w:pPr>
                  <w:rPr>
                    <w:szCs w:val="21"/>
                  </w:rPr>
                </w:pPr>
                <w:r>
                  <w:t>男</w:t>
                </w:r>
              </w:p>
            </w:tc>
            <w:tc>
              <w:tcPr>
                <w:tcW w:w="552" w:type="dxa"/>
              </w:tcPr>
              <w:p w:rsidR="0076353F" w:rsidRDefault="0076353F" w:rsidP="005E5E05">
                <w:pPr>
                  <w:rPr>
                    <w:szCs w:val="21"/>
                  </w:rPr>
                </w:pPr>
                <w:r>
                  <w:t>4</w:t>
                </w:r>
                <w:r>
                  <w:rPr>
                    <w:rFonts w:hint="eastAsia"/>
                  </w:rPr>
                  <w:t>7</w:t>
                </w:r>
              </w:p>
            </w:tc>
            <w:tc>
              <w:tcPr>
                <w:tcW w:w="1266" w:type="dxa"/>
              </w:tcPr>
              <w:p w:rsidR="0076353F" w:rsidRDefault="0076353F" w:rsidP="005E5E05">
                <w:pPr>
                  <w:rPr>
                    <w:szCs w:val="21"/>
                  </w:rPr>
                </w:pPr>
                <w:r>
                  <w:t>2021-05-25</w:t>
                </w:r>
              </w:p>
            </w:tc>
            <w:tc>
              <w:tcPr>
                <w:tcW w:w="1266" w:type="dxa"/>
              </w:tcPr>
              <w:p w:rsidR="0076353F" w:rsidRDefault="0076353F" w:rsidP="005E5E05">
                <w:pPr>
                  <w:rPr>
                    <w:szCs w:val="21"/>
                  </w:rPr>
                </w:pPr>
                <w:r>
                  <w:t>2023-05-19</w:t>
                </w:r>
              </w:p>
            </w:tc>
            <w:tc>
              <w:tcPr>
                <w:tcW w:w="1143" w:type="dxa"/>
              </w:tcPr>
              <w:p w:rsidR="0076353F" w:rsidRDefault="0076353F" w:rsidP="005E5E05">
                <w:pPr>
                  <w:jc w:val="right"/>
                  <w:rPr>
                    <w:szCs w:val="21"/>
                  </w:rPr>
                </w:pPr>
                <w:r>
                  <w:t>0</w:t>
                </w:r>
              </w:p>
            </w:tc>
            <w:tc>
              <w:tcPr>
                <w:tcW w:w="1130" w:type="dxa"/>
              </w:tcPr>
              <w:p w:rsidR="0076353F" w:rsidRDefault="0076353F" w:rsidP="005E5E05">
                <w:pPr>
                  <w:jc w:val="right"/>
                  <w:rPr>
                    <w:szCs w:val="21"/>
                  </w:rPr>
                </w:pPr>
                <w:r>
                  <w:t>0</w:t>
                </w:r>
              </w:p>
            </w:tc>
            <w:tc>
              <w:tcPr>
                <w:tcW w:w="1351" w:type="dxa"/>
              </w:tcPr>
              <w:p w:rsidR="0076353F" w:rsidRDefault="0076353F" w:rsidP="005E5E05">
                <w:pPr>
                  <w:jc w:val="right"/>
                  <w:rPr>
                    <w:szCs w:val="21"/>
                  </w:rPr>
                </w:pPr>
                <w:r>
                  <w:t>0</w:t>
                </w:r>
              </w:p>
            </w:tc>
            <w:tc>
              <w:tcPr>
                <w:tcW w:w="1171" w:type="dxa"/>
              </w:tcPr>
              <w:p w:rsidR="0076353F" w:rsidRDefault="0076353F" w:rsidP="005E5E05">
                <w:pPr>
                  <w:rPr>
                    <w:szCs w:val="21"/>
                  </w:rPr>
                </w:pPr>
                <w:r>
                  <w:t> </w:t>
                </w:r>
              </w:p>
            </w:tc>
            <w:tc>
              <w:tcPr>
                <w:tcW w:w="1408" w:type="dxa"/>
              </w:tcPr>
              <w:p w:rsidR="0076353F" w:rsidRDefault="008522A6" w:rsidP="005E5E05">
                <w:pPr>
                  <w:jc w:val="right"/>
                  <w:rPr>
                    <w:szCs w:val="21"/>
                  </w:rPr>
                </w:pPr>
                <w:r>
                  <w:rPr>
                    <w:rFonts w:hint="eastAsia"/>
                    <w:szCs w:val="21"/>
                  </w:rPr>
                  <w:t>0</w:t>
                </w:r>
              </w:p>
            </w:tc>
            <w:sdt>
              <w:sdtPr>
                <w:rPr>
                  <w:szCs w:val="21"/>
                </w:rPr>
                <w:alias w:val="董事、监事、高级管理人员是否在公司关联方获取报酬"/>
                <w:tag w:val="_GBC_1fc30a06011d4603820ff653031666f0"/>
                <w:id w:val="349419"/>
                <w:lock w:val="sdtLocked"/>
                <w:comboBox>
                  <w:listItem w:displayText="是" w:value="true"/>
                  <w:listItem w:displayText="否" w:value="false"/>
                </w:comboBox>
              </w:sdtPr>
              <w:sdtContent>
                <w:tc>
                  <w:tcPr>
                    <w:tcW w:w="1440" w:type="dxa"/>
                  </w:tcPr>
                  <w:p w:rsidR="0076353F" w:rsidRDefault="0076353F" w:rsidP="005E5E05">
                    <w:pPr>
                      <w:jc w:val="left"/>
                      <w:rPr>
                        <w:szCs w:val="21"/>
                      </w:rPr>
                    </w:pPr>
                    <w:r>
                      <w:rPr>
                        <w:szCs w:val="21"/>
                      </w:rPr>
                      <w:t>是</w:t>
                    </w:r>
                  </w:p>
                </w:tc>
              </w:sdtContent>
            </w:sdt>
          </w:tr>
          <w:tr w:rsidR="0076353F" w:rsidTr="005E5E05">
            <w:trPr>
              <w:trHeight w:val="132"/>
            </w:trPr>
            <w:tc>
              <w:tcPr>
                <w:tcW w:w="959" w:type="dxa"/>
              </w:tcPr>
              <w:p w:rsidR="0076353F" w:rsidRDefault="0076353F" w:rsidP="005E5E05">
                <w:pPr>
                  <w:rPr>
                    <w:szCs w:val="21"/>
                  </w:rPr>
                </w:pPr>
                <w:r>
                  <w:t>张永青</w:t>
                </w:r>
              </w:p>
            </w:tc>
            <w:tc>
              <w:tcPr>
                <w:tcW w:w="1701" w:type="dxa"/>
              </w:tcPr>
              <w:p w:rsidR="0076353F" w:rsidRDefault="0076353F" w:rsidP="005E5E05">
                <w:pPr>
                  <w:rPr>
                    <w:szCs w:val="21"/>
                  </w:rPr>
                </w:pPr>
                <w:r>
                  <w:t>监事</w:t>
                </w:r>
              </w:p>
            </w:tc>
            <w:tc>
              <w:tcPr>
                <w:tcW w:w="709" w:type="dxa"/>
              </w:tcPr>
              <w:p w:rsidR="0076353F" w:rsidRDefault="0076353F" w:rsidP="005E5E05">
                <w:pPr>
                  <w:rPr>
                    <w:szCs w:val="21"/>
                  </w:rPr>
                </w:pPr>
                <w:r>
                  <w:t>男</w:t>
                </w:r>
              </w:p>
            </w:tc>
            <w:tc>
              <w:tcPr>
                <w:tcW w:w="552" w:type="dxa"/>
              </w:tcPr>
              <w:p w:rsidR="0076353F" w:rsidRDefault="0076353F" w:rsidP="005E5E05">
                <w:pPr>
                  <w:rPr>
                    <w:szCs w:val="21"/>
                  </w:rPr>
                </w:pPr>
                <w:r>
                  <w:t>5</w:t>
                </w:r>
                <w:r>
                  <w:rPr>
                    <w:rFonts w:hint="eastAsia"/>
                  </w:rPr>
                  <w:t>7</w:t>
                </w:r>
              </w:p>
            </w:tc>
            <w:tc>
              <w:tcPr>
                <w:tcW w:w="1266" w:type="dxa"/>
              </w:tcPr>
              <w:p w:rsidR="0076353F" w:rsidRDefault="0076353F" w:rsidP="005E5E05">
                <w:pPr>
                  <w:rPr>
                    <w:szCs w:val="21"/>
                  </w:rPr>
                </w:pPr>
                <w:r>
                  <w:t>2020-05-20</w:t>
                </w:r>
              </w:p>
            </w:tc>
            <w:tc>
              <w:tcPr>
                <w:tcW w:w="1266" w:type="dxa"/>
              </w:tcPr>
              <w:p w:rsidR="0076353F" w:rsidRDefault="0076353F" w:rsidP="005E5E05">
                <w:pPr>
                  <w:rPr>
                    <w:szCs w:val="21"/>
                  </w:rPr>
                </w:pPr>
                <w:r>
                  <w:t>2023-05-19</w:t>
                </w:r>
              </w:p>
            </w:tc>
            <w:tc>
              <w:tcPr>
                <w:tcW w:w="1143" w:type="dxa"/>
              </w:tcPr>
              <w:p w:rsidR="0076353F" w:rsidRDefault="0076353F" w:rsidP="005E5E05">
                <w:pPr>
                  <w:jc w:val="right"/>
                  <w:rPr>
                    <w:szCs w:val="21"/>
                  </w:rPr>
                </w:pPr>
                <w:r>
                  <w:t>0</w:t>
                </w:r>
              </w:p>
            </w:tc>
            <w:tc>
              <w:tcPr>
                <w:tcW w:w="1130" w:type="dxa"/>
              </w:tcPr>
              <w:p w:rsidR="0076353F" w:rsidRDefault="0076353F" w:rsidP="005E5E05">
                <w:pPr>
                  <w:jc w:val="right"/>
                  <w:rPr>
                    <w:szCs w:val="21"/>
                  </w:rPr>
                </w:pPr>
                <w:r>
                  <w:t>0</w:t>
                </w:r>
              </w:p>
            </w:tc>
            <w:tc>
              <w:tcPr>
                <w:tcW w:w="1351" w:type="dxa"/>
              </w:tcPr>
              <w:p w:rsidR="0076353F" w:rsidRDefault="0076353F" w:rsidP="005E5E05">
                <w:pPr>
                  <w:jc w:val="right"/>
                  <w:rPr>
                    <w:szCs w:val="21"/>
                  </w:rPr>
                </w:pPr>
                <w:r>
                  <w:t>0</w:t>
                </w:r>
              </w:p>
            </w:tc>
            <w:tc>
              <w:tcPr>
                <w:tcW w:w="1171" w:type="dxa"/>
              </w:tcPr>
              <w:p w:rsidR="0076353F" w:rsidRDefault="0076353F" w:rsidP="005E5E05">
                <w:pPr>
                  <w:rPr>
                    <w:szCs w:val="21"/>
                  </w:rPr>
                </w:pPr>
                <w:r>
                  <w:t> </w:t>
                </w:r>
              </w:p>
            </w:tc>
            <w:tc>
              <w:tcPr>
                <w:tcW w:w="1408" w:type="dxa"/>
              </w:tcPr>
              <w:p w:rsidR="0076353F" w:rsidRDefault="008522A6" w:rsidP="005E5E05">
                <w:pPr>
                  <w:jc w:val="right"/>
                  <w:rPr>
                    <w:szCs w:val="21"/>
                  </w:rPr>
                </w:pPr>
                <w:r>
                  <w:rPr>
                    <w:rFonts w:hint="eastAsia"/>
                    <w:szCs w:val="21"/>
                  </w:rPr>
                  <w:t>0</w:t>
                </w:r>
              </w:p>
            </w:tc>
            <w:sdt>
              <w:sdtPr>
                <w:rPr>
                  <w:szCs w:val="21"/>
                </w:rPr>
                <w:alias w:val="董事、监事、高级管理人员是否在公司关联方获取报酬"/>
                <w:tag w:val="_GBC_1fc30a06011d4603820ff653031666f0"/>
                <w:id w:val="349420"/>
                <w:lock w:val="sdtLocked"/>
                <w:comboBox>
                  <w:listItem w:displayText="是" w:value="true"/>
                  <w:listItem w:displayText="否" w:value="false"/>
                </w:comboBox>
              </w:sdtPr>
              <w:sdtContent>
                <w:tc>
                  <w:tcPr>
                    <w:tcW w:w="1440" w:type="dxa"/>
                  </w:tcPr>
                  <w:p w:rsidR="0076353F" w:rsidRDefault="0076353F" w:rsidP="005E5E05">
                    <w:pPr>
                      <w:jc w:val="left"/>
                      <w:rPr>
                        <w:szCs w:val="21"/>
                      </w:rPr>
                    </w:pPr>
                    <w:r>
                      <w:rPr>
                        <w:szCs w:val="21"/>
                      </w:rPr>
                      <w:t>是</w:t>
                    </w:r>
                  </w:p>
                </w:tc>
              </w:sdtContent>
            </w:sdt>
          </w:tr>
          <w:tr w:rsidR="0076353F" w:rsidTr="005E5E05">
            <w:trPr>
              <w:trHeight w:val="132"/>
            </w:trPr>
            <w:tc>
              <w:tcPr>
                <w:tcW w:w="959" w:type="dxa"/>
              </w:tcPr>
              <w:p w:rsidR="0076353F" w:rsidRDefault="0076353F" w:rsidP="005E5E05">
                <w:pPr>
                  <w:rPr>
                    <w:szCs w:val="21"/>
                  </w:rPr>
                </w:pPr>
                <w:r>
                  <w:t>杨杰</w:t>
                </w:r>
              </w:p>
            </w:tc>
            <w:tc>
              <w:tcPr>
                <w:tcW w:w="1701" w:type="dxa"/>
              </w:tcPr>
              <w:p w:rsidR="0076353F" w:rsidRDefault="0076353F" w:rsidP="005E5E05">
                <w:pPr>
                  <w:rPr>
                    <w:szCs w:val="21"/>
                  </w:rPr>
                </w:pPr>
                <w:r>
                  <w:t>监事</w:t>
                </w:r>
              </w:p>
            </w:tc>
            <w:tc>
              <w:tcPr>
                <w:tcW w:w="709" w:type="dxa"/>
              </w:tcPr>
              <w:p w:rsidR="0076353F" w:rsidRDefault="0076353F" w:rsidP="005E5E05">
                <w:pPr>
                  <w:rPr>
                    <w:szCs w:val="21"/>
                  </w:rPr>
                </w:pPr>
                <w:r>
                  <w:t>男</w:t>
                </w:r>
              </w:p>
            </w:tc>
            <w:tc>
              <w:tcPr>
                <w:tcW w:w="552" w:type="dxa"/>
              </w:tcPr>
              <w:p w:rsidR="0076353F" w:rsidRDefault="0076353F" w:rsidP="005E5E05">
                <w:pPr>
                  <w:rPr>
                    <w:szCs w:val="21"/>
                  </w:rPr>
                </w:pPr>
                <w:r>
                  <w:t>5</w:t>
                </w:r>
                <w:r>
                  <w:rPr>
                    <w:rFonts w:hint="eastAsia"/>
                  </w:rPr>
                  <w:t>2</w:t>
                </w:r>
              </w:p>
            </w:tc>
            <w:tc>
              <w:tcPr>
                <w:tcW w:w="1266" w:type="dxa"/>
              </w:tcPr>
              <w:p w:rsidR="0076353F" w:rsidRDefault="0076353F" w:rsidP="005E5E05">
                <w:pPr>
                  <w:rPr>
                    <w:szCs w:val="21"/>
                  </w:rPr>
                </w:pPr>
                <w:r>
                  <w:t>2020-05-20</w:t>
                </w:r>
              </w:p>
            </w:tc>
            <w:tc>
              <w:tcPr>
                <w:tcW w:w="1266" w:type="dxa"/>
              </w:tcPr>
              <w:p w:rsidR="0076353F" w:rsidRDefault="0076353F" w:rsidP="005E5E05">
                <w:pPr>
                  <w:rPr>
                    <w:szCs w:val="21"/>
                  </w:rPr>
                </w:pPr>
                <w:r>
                  <w:t>2023-05-19</w:t>
                </w:r>
              </w:p>
            </w:tc>
            <w:tc>
              <w:tcPr>
                <w:tcW w:w="1143" w:type="dxa"/>
              </w:tcPr>
              <w:p w:rsidR="0076353F" w:rsidRDefault="0076353F" w:rsidP="005E5E05">
                <w:pPr>
                  <w:jc w:val="right"/>
                  <w:rPr>
                    <w:szCs w:val="21"/>
                  </w:rPr>
                </w:pPr>
                <w:r>
                  <w:t>0</w:t>
                </w:r>
              </w:p>
            </w:tc>
            <w:tc>
              <w:tcPr>
                <w:tcW w:w="1130" w:type="dxa"/>
              </w:tcPr>
              <w:p w:rsidR="0076353F" w:rsidRDefault="0076353F" w:rsidP="005E5E05">
                <w:pPr>
                  <w:jc w:val="right"/>
                  <w:rPr>
                    <w:szCs w:val="21"/>
                  </w:rPr>
                </w:pPr>
                <w:r>
                  <w:t>0</w:t>
                </w:r>
              </w:p>
            </w:tc>
            <w:tc>
              <w:tcPr>
                <w:tcW w:w="1351" w:type="dxa"/>
              </w:tcPr>
              <w:p w:rsidR="0076353F" w:rsidRDefault="0076353F" w:rsidP="005E5E05">
                <w:pPr>
                  <w:jc w:val="right"/>
                  <w:rPr>
                    <w:szCs w:val="21"/>
                  </w:rPr>
                </w:pPr>
                <w:r>
                  <w:t>0</w:t>
                </w:r>
              </w:p>
            </w:tc>
            <w:tc>
              <w:tcPr>
                <w:tcW w:w="1171" w:type="dxa"/>
              </w:tcPr>
              <w:p w:rsidR="0076353F" w:rsidRDefault="0076353F" w:rsidP="005E5E05">
                <w:pPr>
                  <w:rPr>
                    <w:szCs w:val="21"/>
                  </w:rPr>
                </w:pPr>
                <w:r>
                  <w:t> </w:t>
                </w:r>
              </w:p>
            </w:tc>
            <w:tc>
              <w:tcPr>
                <w:tcW w:w="1408" w:type="dxa"/>
              </w:tcPr>
              <w:p w:rsidR="0076353F" w:rsidRDefault="008522A6" w:rsidP="005E5E05">
                <w:pPr>
                  <w:jc w:val="right"/>
                  <w:rPr>
                    <w:szCs w:val="21"/>
                  </w:rPr>
                </w:pPr>
                <w:r>
                  <w:rPr>
                    <w:rFonts w:hint="eastAsia"/>
                    <w:szCs w:val="21"/>
                  </w:rPr>
                  <w:t>0</w:t>
                </w:r>
              </w:p>
            </w:tc>
            <w:sdt>
              <w:sdtPr>
                <w:rPr>
                  <w:szCs w:val="21"/>
                </w:rPr>
                <w:alias w:val="董事、监事、高级管理人员是否在公司关联方获取报酬"/>
                <w:tag w:val="_GBC_1fc30a06011d4603820ff653031666f0"/>
                <w:id w:val="349421"/>
                <w:lock w:val="sdtLocked"/>
                <w:comboBox>
                  <w:listItem w:displayText="是" w:value="true"/>
                  <w:listItem w:displayText="否" w:value="false"/>
                </w:comboBox>
              </w:sdtPr>
              <w:sdtContent>
                <w:tc>
                  <w:tcPr>
                    <w:tcW w:w="1440" w:type="dxa"/>
                  </w:tcPr>
                  <w:p w:rsidR="0076353F" w:rsidRDefault="0076353F" w:rsidP="005E5E05">
                    <w:pPr>
                      <w:jc w:val="left"/>
                      <w:rPr>
                        <w:szCs w:val="21"/>
                      </w:rPr>
                    </w:pPr>
                    <w:r>
                      <w:rPr>
                        <w:szCs w:val="21"/>
                      </w:rPr>
                      <w:t>是</w:t>
                    </w:r>
                  </w:p>
                </w:tc>
              </w:sdtContent>
            </w:sdt>
          </w:tr>
          <w:tr w:rsidR="0076353F" w:rsidTr="005E5E05">
            <w:trPr>
              <w:trHeight w:val="132"/>
            </w:trPr>
            <w:tc>
              <w:tcPr>
                <w:tcW w:w="959" w:type="dxa"/>
              </w:tcPr>
              <w:p w:rsidR="0076353F" w:rsidRDefault="0076353F" w:rsidP="005E5E05">
                <w:pPr>
                  <w:rPr>
                    <w:szCs w:val="21"/>
                  </w:rPr>
                </w:pPr>
                <w:r>
                  <w:t>谷天野</w:t>
                </w:r>
              </w:p>
            </w:tc>
            <w:tc>
              <w:tcPr>
                <w:tcW w:w="1701" w:type="dxa"/>
              </w:tcPr>
              <w:p w:rsidR="0076353F" w:rsidRDefault="0076353F" w:rsidP="005E5E05">
                <w:pPr>
                  <w:rPr>
                    <w:szCs w:val="21"/>
                  </w:rPr>
                </w:pPr>
                <w:r>
                  <w:t>监事</w:t>
                </w:r>
              </w:p>
            </w:tc>
            <w:tc>
              <w:tcPr>
                <w:tcW w:w="709" w:type="dxa"/>
              </w:tcPr>
              <w:p w:rsidR="0076353F" w:rsidRDefault="0076353F" w:rsidP="005E5E05">
                <w:pPr>
                  <w:rPr>
                    <w:szCs w:val="21"/>
                  </w:rPr>
                </w:pPr>
                <w:r>
                  <w:t>男</w:t>
                </w:r>
              </w:p>
            </w:tc>
            <w:tc>
              <w:tcPr>
                <w:tcW w:w="552" w:type="dxa"/>
              </w:tcPr>
              <w:p w:rsidR="0076353F" w:rsidRDefault="0076353F" w:rsidP="005E5E05">
                <w:pPr>
                  <w:rPr>
                    <w:szCs w:val="21"/>
                  </w:rPr>
                </w:pPr>
                <w:r>
                  <w:t>5</w:t>
                </w:r>
                <w:r>
                  <w:rPr>
                    <w:rFonts w:hint="eastAsia"/>
                  </w:rPr>
                  <w:t>4</w:t>
                </w:r>
              </w:p>
            </w:tc>
            <w:tc>
              <w:tcPr>
                <w:tcW w:w="1266" w:type="dxa"/>
              </w:tcPr>
              <w:p w:rsidR="0076353F" w:rsidRDefault="0076353F" w:rsidP="005E5E05">
                <w:pPr>
                  <w:rPr>
                    <w:szCs w:val="21"/>
                  </w:rPr>
                </w:pPr>
                <w:r>
                  <w:t>2020-05-20</w:t>
                </w:r>
              </w:p>
            </w:tc>
            <w:tc>
              <w:tcPr>
                <w:tcW w:w="1266" w:type="dxa"/>
              </w:tcPr>
              <w:p w:rsidR="0076353F" w:rsidRDefault="0076353F" w:rsidP="005E5E05">
                <w:pPr>
                  <w:rPr>
                    <w:szCs w:val="21"/>
                  </w:rPr>
                </w:pPr>
                <w:r>
                  <w:t>2023-05-19</w:t>
                </w:r>
              </w:p>
            </w:tc>
            <w:tc>
              <w:tcPr>
                <w:tcW w:w="1143" w:type="dxa"/>
              </w:tcPr>
              <w:p w:rsidR="0076353F" w:rsidRDefault="0076353F" w:rsidP="005E5E05">
                <w:pPr>
                  <w:jc w:val="right"/>
                  <w:rPr>
                    <w:szCs w:val="21"/>
                  </w:rPr>
                </w:pPr>
                <w:r>
                  <w:t>0</w:t>
                </w:r>
              </w:p>
            </w:tc>
            <w:tc>
              <w:tcPr>
                <w:tcW w:w="1130" w:type="dxa"/>
              </w:tcPr>
              <w:p w:rsidR="0076353F" w:rsidRDefault="0076353F" w:rsidP="005E5E05">
                <w:pPr>
                  <w:jc w:val="right"/>
                  <w:rPr>
                    <w:szCs w:val="21"/>
                  </w:rPr>
                </w:pPr>
                <w:r>
                  <w:t>0</w:t>
                </w:r>
              </w:p>
            </w:tc>
            <w:tc>
              <w:tcPr>
                <w:tcW w:w="1351" w:type="dxa"/>
              </w:tcPr>
              <w:p w:rsidR="0076353F" w:rsidRDefault="0076353F" w:rsidP="005E5E05">
                <w:pPr>
                  <w:jc w:val="right"/>
                  <w:rPr>
                    <w:szCs w:val="21"/>
                  </w:rPr>
                </w:pPr>
                <w:r>
                  <w:t>0</w:t>
                </w:r>
              </w:p>
            </w:tc>
            <w:tc>
              <w:tcPr>
                <w:tcW w:w="1171" w:type="dxa"/>
              </w:tcPr>
              <w:p w:rsidR="0076353F" w:rsidRDefault="0076353F" w:rsidP="005E5E05">
                <w:pPr>
                  <w:rPr>
                    <w:szCs w:val="21"/>
                  </w:rPr>
                </w:pPr>
                <w:r>
                  <w:t> </w:t>
                </w:r>
              </w:p>
            </w:tc>
            <w:tc>
              <w:tcPr>
                <w:tcW w:w="1408" w:type="dxa"/>
              </w:tcPr>
              <w:p w:rsidR="0076353F" w:rsidRDefault="008522A6" w:rsidP="005E5E05">
                <w:pPr>
                  <w:jc w:val="right"/>
                  <w:rPr>
                    <w:szCs w:val="21"/>
                  </w:rPr>
                </w:pPr>
                <w:r>
                  <w:rPr>
                    <w:rFonts w:hint="eastAsia"/>
                    <w:szCs w:val="21"/>
                  </w:rPr>
                  <w:t>0</w:t>
                </w:r>
              </w:p>
            </w:tc>
            <w:sdt>
              <w:sdtPr>
                <w:rPr>
                  <w:szCs w:val="21"/>
                </w:rPr>
                <w:alias w:val="董事、监事、高级管理人员是否在公司关联方获取报酬"/>
                <w:tag w:val="_GBC_1fc30a06011d4603820ff653031666f0"/>
                <w:id w:val="349422"/>
                <w:lock w:val="sdtLocked"/>
                <w:comboBox>
                  <w:listItem w:displayText="是" w:value="true"/>
                  <w:listItem w:displayText="否" w:value="false"/>
                </w:comboBox>
              </w:sdtPr>
              <w:sdtContent>
                <w:tc>
                  <w:tcPr>
                    <w:tcW w:w="1440" w:type="dxa"/>
                  </w:tcPr>
                  <w:p w:rsidR="0076353F" w:rsidRDefault="0076353F" w:rsidP="005E5E05">
                    <w:pPr>
                      <w:jc w:val="left"/>
                      <w:rPr>
                        <w:szCs w:val="21"/>
                      </w:rPr>
                    </w:pPr>
                    <w:r>
                      <w:rPr>
                        <w:szCs w:val="21"/>
                      </w:rPr>
                      <w:t>否</w:t>
                    </w:r>
                  </w:p>
                </w:tc>
              </w:sdtContent>
            </w:sdt>
          </w:tr>
          <w:tr w:rsidR="0076353F" w:rsidTr="005E5E05">
            <w:trPr>
              <w:trHeight w:val="132"/>
            </w:trPr>
            <w:tc>
              <w:tcPr>
                <w:tcW w:w="959" w:type="dxa"/>
              </w:tcPr>
              <w:p w:rsidR="0076353F" w:rsidRDefault="0076353F" w:rsidP="005E5E05">
                <w:pPr>
                  <w:rPr>
                    <w:szCs w:val="21"/>
                  </w:rPr>
                </w:pPr>
                <w:r>
                  <w:t>吕建军</w:t>
                </w:r>
              </w:p>
            </w:tc>
            <w:tc>
              <w:tcPr>
                <w:tcW w:w="1701" w:type="dxa"/>
              </w:tcPr>
              <w:p w:rsidR="0076353F" w:rsidRDefault="0076353F" w:rsidP="005E5E05">
                <w:pPr>
                  <w:rPr>
                    <w:szCs w:val="21"/>
                  </w:rPr>
                </w:pPr>
                <w:r>
                  <w:t>职工代表监事</w:t>
                </w:r>
              </w:p>
            </w:tc>
            <w:tc>
              <w:tcPr>
                <w:tcW w:w="709" w:type="dxa"/>
              </w:tcPr>
              <w:p w:rsidR="0076353F" w:rsidRDefault="0076353F" w:rsidP="005E5E05">
                <w:pPr>
                  <w:rPr>
                    <w:szCs w:val="21"/>
                  </w:rPr>
                </w:pPr>
                <w:r>
                  <w:t>男</w:t>
                </w:r>
              </w:p>
            </w:tc>
            <w:tc>
              <w:tcPr>
                <w:tcW w:w="552" w:type="dxa"/>
              </w:tcPr>
              <w:p w:rsidR="0076353F" w:rsidRDefault="0076353F" w:rsidP="005E5E05">
                <w:pPr>
                  <w:rPr>
                    <w:szCs w:val="21"/>
                  </w:rPr>
                </w:pPr>
                <w:r>
                  <w:t>5</w:t>
                </w:r>
                <w:r>
                  <w:rPr>
                    <w:rFonts w:hint="eastAsia"/>
                  </w:rPr>
                  <w:t>8</w:t>
                </w:r>
              </w:p>
            </w:tc>
            <w:tc>
              <w:tcPr>
                <w:tcW w:w="1266" w:type="dxa"/>
              </w:tcPr>
              <w:p w:rsidR="0076353F" w:rsidRDefault="0076353F" w:rsidP="005E5E05">
                <w:pPr>
                  <w:rPr>
                    <w:szCs w:val="21"/>
                  </w:rPr>
                </w:pPr>
                <w:r>
                  <w:t>2020-05-13</w:t>
                </w:r>
              </w:p>
            </w:tc>
            <w:tc>
              <w:tcPr>
                <w:tcW w:w="1266" w:type="dxa"/>
              </w:tcPr>
              <w:p w:rsidR="0076353F" w:rsidRDefault="0076353F" w:rsidP="005E5E05">
                <w:pPr>
                  <w:rPr>
                    <w:szCs w:val="21"/>
                  </w:rPr>
                </w:pPr>
                <w:r>
                  <w:t>2023-05-12</w:t>
                </w:r>
              </w:p>
            </w:tc>
            <w:tc>
              <w:tcPr>
                <w:tcW w:w="1143" w:type="dxa"/>
              </w:tcPr>
              <w:p w:rsidR="0076353F" w:rsidRDefault="0076353F" w:rsidP="005E5E05">
                <w:pPr>
                  <w:jc w:val="right"/>
                  <w:rPr>
                    <w:szCs w:val="21"/>
                  </w:rPr>
                </w:pPr>
                <w:r>
                  <w:t>0</w:t>
                </w:r>
              </w:p>
            </w:tc>
            <w:tc>
              <w:tcPr>
                <w:tcW w:w="1130" w:type="dxa"/>
              </w:tcPr>
              <w:p w:rsidR="0076353F" w:rsidRDefault="0076353F" w:rsidP="005E5E05">
                <w:pPr>
                  <w:jc w:val="right"/>
                  <w:rPr>
                    <w:szCs w:val="21"/>
                  </w:rPr>
                </w:pPr>
                <w:r>
                  <w:t>0</w:t>
                </w:r>
              </w:p>
            </w:tc>
            <w:tc>
              <w:tcPr>
                <w:tcW w:w="1351" w:type="dxa"/>
              </w:tcPr>
              <w:p w:rsidR="0076353F" w:rsidRDefault="0076353F" w:rsidP="005E5E05">
                <w:pPr>
                  <w:jc w:val="right"/>
                  <w:rPr>
                    <w:szCs w:val="21"/>
                  </w:rPr>
                </w:pPr>
                <w:r>
                  <w:t>0</w:t>
                </w:r>
              </w:p>
            </w:tc>
            <w:tc>
              <w:tcPr>
                <w:tcW w:w="1171" w:type="dxa"/>
              </w:tcPr>
              <w:p w:rsidR="0076353F" w:rsidRDefault="0076353F" w:rsidP="005E5E05">
                <w:pPr>
                  <w:rPr>
                    <w:szCs w:val="21"/>
                  </w:rPr>
                </w:pPr>
                <w:r>
                  <w:t> </w:t>
                </w:r>
              </w:p>
            </w:tc>
            <w:tc>
              <w:tcPr>
                <w:tcW w:w="1408" w:type="dxa"/>
              </w:tcPr>
              <w:p w:rsidR="0076353F" w:rsidRDefault="00612B6F" w:rsidP="005E5E05">
                <w:pPr>
                  <w:jc w:val="right"/>
                  <w:rPr>
                    <w:szCs w:val="21"/>
                  </w:rPr>
                </w:pPr>
                <w:r>
                  <w:rPr>
                    <w:rFonts w:hint="eastAsia"/>
                    <w:szCs w:val="21"/>
                  </w:rPr>
                  <w:t>43.85</w:t>
                </w:r>
              </w:p>
            </w:tc>
            <w:sdt>
              <w:sdtPr>
                <w:rPr>
                  <w:szCs w:val="21"/>
                </w:rPr>
                <w:alias w:val="董事、监事、高级管理人员是否在公司关联方获取报酬"/>
                <w:tag w:val="_GBC_1fc30a06011d4603820ff653031666f0"/>
                <w:id w:val="349423"/>
                <w:lock w:val="sdtLocked"/>
                <w:comboBox>
                  <w:listItem w:displayText="是" w:value="true"/>
                  <w:listItem w:displayText="否" w:value="false"/>
                </w:comboBox>
              </w:sdtPr>
              <w:sdtContent>
                <w:tc>
                  <w:tcPr>
                    <w:tcW w:w="1440" w:type="dxa"/>
                  </w:tcPr>
                  <w:p w:rsidR="0076353F" w:rsidRDefault="0076353F" w:rsidP="005E5E05">
                    <w:pPr>
                      <w:jc w:val="left"/>
                      <w:rPr>
                        <w:szCs w:val="21"/>
                      </w:rPr>
                    </w:pPr>
                    <w:r>
                      <w:rPr>
                        <w:szCs w:val="21"/>
                      </w:rPr>
                      <w:t>否</w:t>
                    </w:r>
                  </w:p>
                </w:tc>
              </w:sdtContent>
            </w:sdt>
          </w:tr>
          <w:tr w:rsidR="0076353F" w:rsidTr="005E5E05">
            <w:trPr>
              <w:trHeight w:val="132"/>
            </w:trPr>
            <w:tc>
              <w:tcPr>
                <w:tcW w:w="959" w:type="dxa"/>
              </w:tcPr>
              <w:p w:rsidR="0076353F" w:rsidRDefault="0076353F" w:rsidP="005E5E05">
                <w:pPr>
                  <w:rPr>
                    <w:szCs w:val="21"/>
                  </w:rPr>
                </w:pPr>
                <w:r>
                  <w:t>李林军</w:t>
                </w:r>
              </w:p>
            </w:tc>
            <w:tc>
              <w:tcPr>
                <w:tcW w:w="1701" w:type="dxa"/>
              </w:tcPr>
              <w:p w:rsidR="0076353F" w:rsidRDefault="0076353F" w:rsidP="005E5E05">
                <w:pPr>
                  <w:rPr>
                    <w:szCs w:val="21"/>
                  </w:rPr>
                </w:pPr>
                <w:r>
                  <w:t>职工代表监事</w:t>
                </w:r>
              </w:p>
            </w:tc>
            <w:tc>
              <w:tcPr>
                <w:tcW w:w="709" w:type="dxa"/>
              </w:tcPr>
              <w:p w:rsidR="0076353F" w:rsidRDefault="0076353F" w:rsidP="005E5E05">
                <w:pPr>
                  <w:rPr>
                    <w:szCs w:val="21"/>
                  </w:rPr>
                </w:pPr>
                <w:r>
                  <w:t>男</w:t>
                </w:r>
              </w:p>
            </w:tc>
            <w:tc>
              <w:tcPr>
                <w:tcW w:w="552" w:type="dxa"/>
              </w:tcPr>
              <w:p w:rsidR="0076353F" w:rsidRDefault="0076353F" w:rsidP="005E5E05">
                <w:pPr>
                  <w:rPr>
                    <w:szCs w:val="21"/>
                  </w:rPr>
                </w:pPr>
                <w:r>
                  <w:t>5</w:t>
                </w:r>
                <w:r>
                  <w:rPr>
                    <w:rFonts w:hint="eastAsia"/>
                  </w:rPr>
                  <w:t>1</w:t>
                </w:r>
              </w:p>
            </w:tc>
            <w:tc>
              <w:tcPr>
                <w:tcW w:w="1266" w:type="dxa"/>
              </w:tcPr>
              <w:p w:rsidR="0076353F" w:rsidRDefault="0076353F" w:rsidP="005E5E05">
                <w:pPr>
                  <w:rPr>
                    <w:szCs w:val="21"/>
                  </w:rPr>
                </w:pPr>
                <w:r>
                  <w:t>2020-05-13</w:t>
                </w:r>
              </w:p>
            </w:tc>
            <w:tc>
              <w:tcPr>
                <w:tcW w:w="1266" w:type="dxa"/>
              </w:tcPr>
              <w:p w:rsidR="0076353F" w:rsidRDefault="0076353F" w:rsidP="005E5E05">
                <w:pPr>
                  <w:rPr>
                    <w:szCs w:val="21"/>
                  </w:rPr>
                </w:pPr>
                <w:r>
                  <w:t>2023-05-12</w:t>
                </w:r>
              </w:p>
            </w:tc>
            <w:tc>
              <w:tcPr>
                <w:tcW w:w="1143" w:type="dxa"/>
              </w:tcPr>
              <w:p w:rsidR="0076353F" w:rsidRDefault="0076353F" w:rsidP="005E5E05">
                <w:pPr>
                  <w:jc w:val="right"/>
                  <w:rPr>
                    <w:szCs w:val="21"/>
                  </w:rPr>
                </w:pPr>
                <w:r>
                  <w:t>0</w:t>
                </w:r>
              </w:p>
            </w:tc>
            <w:tc>
              <w:tcPr>
                <w:tcW w:w="1130" w:type="dxa"/>
              </w:tcPr>
              <w:p w:rsidR="0076353F" w:rsidRDefault="0076353F" w:rsidP="005E5E05">
                <w:pPr>
                  <w:jc w:val="right"/>
                  <w:rPr>
                    <w:szCs w:val="21"/>
                  </w:rPr>
                </w:pPr>
                <w:r>
                  <w:t>0</w:t>
                </w:r>
              </w:p>
            </w:tc>
            <w:tc>
              <w:tcPr>
                <w:tcW w:w="1351" w:type="dxa"/>
              </w:tcPr>
              <w:p w:rsidR="0076353F" w:rsidRDefault="0076353F" w:rsidP="005E5E05">
                <w:pPr>
                  <w:jc w:val="right"/>
                  <w:rPr>
                    <w:szCs w:val="21"/>
                  </w:rPr>
                </w:pPr>
                <w:r>
                  <w:t>0</w:t>
                </w:r>
              </w:p>
            </w:tc>
            <w:tc>
              <w:tcPr>
                <w:tcW w:w="1171" w:type="dxa"/>
              </w:tcPr>
              <w:p w:rsidR="0076353F" w:rsidRDefault="0076353F" w:rsidP="005E5E05">
                <w:pPr>
                  <w:rPr>
                    <w:szCs w:val="21"/>
                  </w:rPr>
                </w:pPr>
                <w:r>
                  <w:t> </w:t>
                </w:r>
              </w:p>
            </w:tc>
            <w:tc>
              <w:tcPr>
                <w:tcW w:w="1408" w:type="dxa"/>
              </w:tcPr>
              <w:p w:rsidR="0076353F" w:rsidRDefault="00612B6F" w:rsidP="005E5E05">
                <w:pPr>
                  <w:jc w:val="right"/>
                  <w:rPr>
                    <w:szCs w:val="21"/>
                  </w:rPr>
                </w:pPr>
                <w:r>
                  <w:rPr>
                    <w:rFonts w:hint="eastAsia"/>
                    <w:szCs w:val="21"/>
                  </w:rPr>
                  <w:t>32.61</w:t>
                </w:r>
              </w:p>
            </w:tc>
            <w:sdt>
              <w:sdtPr>
                <w:rPr>
                  <w:szCs w:val="21"/>
                </w:rPr>
                <w:alias w:val="董事、监事、高级管理人员是否在公司关联方获取报酬"/>
                <w:tag w:val="_GBC_1fc30a06011d4603820ff653031666f0"/>
                <w:id w:val="349424"/>
                <w:lock w:val="sdtLocked"/>
                <w:comboBox>
                  <w:listItem w:displayText="是" w:value="true"/>
                  <w:listItem w:displayText="否" w:value="false"/>
                </w:comboBox>
              </w:sdtPr>
              <w:sdtContent>
                <w:tc>
                  <w:tcPr>
                    <w:tcW w:w="1440" w:type="dxa"/>
                  </w:tcPr>
                  <w:p w:rsidR="0076353F" w:rsidRDefault="0076353F" w:rsidP="005E5E05">
                    <w:pPr>
                      <w:jc w:val="left"/>
                      <w:rPr>
                        <w:szCs w:val="21"/>
                      </w:rPr>
                    </w:pPr>
                    <w:r>
                      <w:rPr>
                        <w:szCs w:val="21"/>
                      </w:rPr>
                      <w:t>否</w:t>
                    </w:r>
                  </w:p>
                </w:tc>
              </w:sdtContent>
            </w:sdt>
          </w:tr>
          <w:tr w:rsidR="0076353F" w:rsidTr="005E5E05">
            <w:trPr>
              <w:trHeight w:val="132"/>
            </w:trPr>
            <w:tc>
              <w:tcPr>
                <w:tcW w:w="959" w:type="dxa"/>
              </w:tcPr>
              <w:p w:rsidR="0076353F" w:rsidRDefault="0076353F" w:rsidP="005E5E05">
                <w:pPr>
                  <w:rPr>
                    <w:szCs w:val="21"/>
                  </w:rPr>
                </w:pPr>
                <w:r>
                  <w:t>宋建中</w:t>
                </w:r>
              </w:p>
            </w:tc>
            <w:tc>
              <w:tcPr>
                <w:tcW w:w="1701" w:type="dxa"/>
              </w:tcPr>
              <w:p w:rsidR="0076353F" w:rsidRDefault="0076353F" w:rsidP="005E5E05">
                <w:pPr>
                  <w:rPr>
                    <w:szCs w:val="21"/>
                  </w:rPr>
                </w:pPr>
                <w:r>
                  <w:t>职工代表监事</w:t>
                </w:r>
              </w:p>
            </w:tc>
            <w:tc>
              <w:tcPr>
                <w:tcW w:w="709" w:type="dxa"/>
              </w:tcPr>
              <w:p w:rsidR="0076353F" w:rsidRDefault="0076353F" w:rsidP="005E5E05">
                <w:pPr>
                  <w:rPr>
                    <w:szCs w:val="21"/>
                  </w:rPr>
                </w:pPr>
                <w:r>
                  <w:t>男</w:t>
                </w:r>
              </w:p>
            </w:tc>
            <w:tc>
              <w:tcPr>
                <w:tcW w:w="552" w:type="dxa"/>
              </w:tcPr>
              <w:p w:rsidR="0076353F" w:rsidRDefault="0076353F" w:rsidP="005E5E05">
                <w:pPr>
                  <w:rPr>
                    <w:szCs w:val="21"/>
                  </w:rPr>
                </w:pPr>
                <w:r>
                  <w:t>5</w:t>
                </w:r>
                <w:r>
                  <w:rPr>
                    <w:rFonts w:hint="eastAsia"/>
                  </w:rPr>
                  <w:t>9</w:t>
                </w:r>
              </w:p>
            </w:tc>
            <w:tc>
              <w:tcPr>
                <w:tcW w:w="1266" w:type="dxa"/>
              </w:tcPr>
              <w:p w:rsidR="0076353F" w:rsidRDefault="0076353F" w:rsidP="005E5E05">
                <w:pPr>
                  <w:rPr>
                    <w:szCs w:val="21"/>
                  </w:rPr>
                </w:pPr>
                <w:r>
                  <w:t>2020-05-13</w:t>
                </w:r>
              </w:p>
            </w:tc>
            <w:tc>
              <w:tcPr>
                <w:tcW w:w="1266" w:type="dxa"/>
              </w:tcPr>
              <w:p w:rsidR="0076353F" w:rsidRDefault="0076353F" w:rsidP="005E5E05">
                <w:pPr>
                  <w:rPr>
                    <w:szCs w:val="21"/>
                  </w:rPr>
                </w:pPr>
                <w:r>
                  <w:t>2023-05-12</w:t>
                </w:r>
              </w:p>
            </w:tc>
            <w:tc>
              <w:tcPr>
                <w:tcW w:w="1143" w:type="dxa"/>
              </w:tcPr>
              <w:p w:rsidR="0076353F" w:rsidRDefault="0076353F" w:rsidP="005E5E05">
                <w:pPr>
                  <w:jc w:val="right"/>
                  <w:rPr>
                    <w:szCs w:val="21"/>
                  </w:rPr>
                </w:pPr>
                <w:r>
                  <w:t>0</w:t>
                </w:r>
              </w:p>
            </w:tc>
            <w:tc>
              <w:tcPr>
                <w:tcW w:w="1130" w:type="dxa"/>
              </w:tcPr>
              <w:p w:rsidR="0076353F" w:rsidRDefault="0076353F" w:rsidP="005E5E05">
                <w:pPr>
                  <w:jc w:val="right"/>
                  <w:rPr>
                    <w:szCs w:val="21"/>
                  </w:rPr>
                </w:pPr>
                <w:r>
                  <w:t>0</w:t>
                </w:r>
              </w:p>
            </w:tc>
            <w:tc>
              <w:tcPr>
                <w:tcW w:w="1351" w:type="dxa"/>
              </w:tcPr>
              <w:p w:rsidR="0076353F" w:rsidRDefault="0076353F" w:rsidP="005E5E05">
                <w:pPr>
                  <w:jc w:val="right"/>
                  <w:rPr>
                    <w:szCs w:val="21"/>
                  </w:rPr>
                </w:pPr>
                <w:r>
                  <w:t>0</w:t>
                </w:r>
              </w:p>
            </w:tc>
            <w:tc>
              <w:tcPr>
                <w:tcW w:w="1171" w:type="dxa"/>
              </w:tcPr>
              <w:p w:rsidR="0076353F" w:rsidRDefault="0076353F" w:rsidP="005E5E05">
                <w:pPr>
                  <w:rPr>
                    <w:szCs w:val="21"/>
                  </w:rPr>
                </w:pPr>
                <w:r>
                  <w:t> </w:t>
                </w:r>
              </w:p>
            </w:tc>
            <w:tc>
              <w:tcPr>
                <w:tcW w:w="1408" w:type="dxa"/>
              </w:tcPr>
              <w:p w:rsidR="0076353F" w:rsidRDefault="00612B6F" w:rsidP="005E5E05">
                <w:pPr>
                  <w:jc w:val="right"/>
                  <w:rPr>
                    <w:szCs w:val="21"/>
                  </w:rPr>
                </w:pPr>
                <w:r>
                  <w:rPr>
                    <w:rFonts w:hint="eastAsia"/>
                    <w:szCs w:val="21"/>
                  </w:rPr>
                  <w:t>30.48</w:t>
                </w:r>
              </w:p>
            </w:tc>
            <w:sdt>
              <w:sdtPr>
                <w:rPr>
                  <w:szCs w:val="21"/>
                </w:rPr>
                <w:alias w:val="董事、监事、高级管理人员是否在公司关联方获取报酬"/>
                <w:tag w:val="_GBC_1fc30a06011d4603820ff653031666f0"/>
                <w:id w:val="349425"/>
                <w:lock w:val="sdtLocked"/>
                <w:comboBox>
                  <w:listItem w:displayText="是" w:value="true"/>
                  <w:listItem w:displayText="否" w:value="false"/>
                </w:comboBox>
              </w:sdtPr>
              <w:sdtContent>
                <w:tc>
                  <w:tcPr>
                    <w:tcW w:w="1440" w:type="dxa"/>
                  </w:tcPr>
                  <w:p w:rsidR="0076353F" w:rsidRDefault="0076353F" w:rsidP="005E5E05">
                    <w:pPr>
                      <w:jc w:val="left"/>
                      <w:rPr>
                        <w:szCs w:val="21"/>
                      </w:rPr>
                    </w:pPr>
                    <w:r>
                      <w:rPr>
                        <w:szCs w:val="21"/>
                      </w:rPr>
                      <w:t>否</w:t>
                    </w:r>
                  </w:p>
                </w:tc>
              </w:sdtContent>
            </w:sdt>
          </w:tr>
          <w:tr w:rsidR="0076353F" w:rsidTr="005E5E05">
            <w:trPr>
              <w:trHeight w:val="132"/>
            </w:trPr>
            <w:tc>
              <w:tcPr>
                <w:tcW w:w="959" w:type="dxa"/>
              </w:tcPr>
              <w:p w:rsidR="0076353F" w:rsidRDefault="0076353F" w:rsidP="005E5E05">
                <w:pPr>
                  <w:rPr>
                    <w:szCs w:val="21"/>
                  </w:rPr>
                </w:pPr>
                <w:r>
                  <w:lastRenderedPageBreak/>
                  <w:t>常巍</w:t>
                </w:r>
              </w:p>
            </w:tc>
            <w:tc>
              <w:tcPr>
                <w:tcW w:w="1701" w:type="dxa"/>
              </w:tcPr>
              <w:p w:rsidR="0076353F" w:rsidRDefault="0076353F" w:rsidP="005E5E05">
                <w:pPr>
                  <w:rPr>
                    <w:szCs w:val="21"/>
                  </w:rPr>
                </w:pPr>
                <w:r>
                  <w:t>副总经理</w:t>
                </w:r>
              </w:p>
            </w:tc>
            <w:tc>
              <w:tcPr>
                <w:tcW w:w="709" w:type="dxa"/>
              </w:tcPr>
              <w:p w:rsidR="0076353F" w:rsidRDefault="0076353F" w:rsidP="005E5E05">
                <w:pPr>
                  <w:rPr>
                    <w:szCs w:val="21"/>
                  </w:rPr>
                </w:pPr>
                <w:r>
                  <w:t>男</w:t>
                </w:r>
              </w:p>
            </w:tc>
            <w:tc>
              <w:tcPr>
                <w:tcW w:w="552" w:type="dxa"/>
              </w:tcPr>
              <w:p w:rsidR="0076353F" w:rsidRDefault="0076353F" w:rsidP="005E5E05">
                <w:pPr>
                  <w:rPr>
                    <w:szCs w:val="21"/>
                  </w:rPr>
                </w:pPr>
                <w:r>
                  <w:rPr>
                    <w:rFonts w:hint="eastAsia"/>
                  </w:rPr>
                  <w:t>40</w:t>
                </w:r>
              </w:p>
            </w:tc>
            <w:tc>
              <w:tcPr>
                <w:tcW w:w="1266" w:type="dxa"/>
              </w:tcPr>
              <w:p w:rsidR="0076353F" w:rsidRDefault="0076353F" w:rsidP="005E5E05">
                <w:pPr>
                  <w:rPr>
                    <w:szCs w:val="21"/>
                  </w:rPr>
                </w:pPr>
                <w:r>
                  <w:t>2014-04-24</w:t>
                </w:r>
              </w:p>
            </w:tc>
            <w:tc>
              <w:tcPr>
                <w:tcW w:w="1266" w:type="dxa"/>
              </w:tcPr>
              <w:p w:rsidR="0076353F" w:rsidRDefault="0076353F" w:rsidP="005E5E05">
                <w:pPr>
                  <w:rPr>
                    <w:szCs w:val="21"/>
                  </w:rPr>
                </w:pPr>
                <w:r>
                  <w:t> </w:t>
                </w:r>
              </w:p>
            </w:tc>
            <w:tc>
              <w:tcPr>
                <w:tcW w:w="1143" w:type="dxa"/>
              </w:tcPr>
              <w:p w:rsidR="0076353F" w:rsidRDefault="0076353F" w:rsidP="005E5E05">
                <w:pPr>
                  <w:jc w:val="right"/>
                  <w:rPr>
                    <w:szCs w:val="21"/>
                  </w:rPr>
                </w:pPr>
                <w:r>
                  <w:t>0</w:t>
                </w:r>
              </w:p>
            </w:tc>
            <w:tc>
              <w:tcPr>
                <w:tcW w:w="1130" w:type="dxa"/>
              </w:tcPr>
              <w:p w:rsidR="0076353F" w:rsidRDefault="0076353F" w:rsidP="005E5E05">
                <w:pPr>
                  <w:jc w:val="right"/>
                  <w:rPr>
                    <w:szCs w:val="21"/>
                  </w:rPr>
                </w:pPr>
                <w:r>
                  <w:t>0</w:t>
                </w:r>
              </w:p>
            </w:tc>
            <w:tc>
              <w:tcPr>
                <w:tcW w:w="1351" w:type="dxa"/>
              </w:tcPr>
              <w:p w:rsidR="0076353F" w:rsidRDefault="0076353F" w:rsidP="005E5E05">
                <w:pPr>
                  <w:jc w:val="right"/>
                  <w:rPr>
                    <w:szCs w:val="21"/>
                  </w:rPr>
                </w:pPr>
                <w:r>
                  <w:t>0</w:t>
                </w:r>
              </w:p>
            </w:tc>
            <w:tc>
              <w:tcPr>
                <w:tcW w:w="1171" w:type="dxa"/>
              </w:tcPr>
              <w:p w:rsidR="0076353F" w:rsidRDefault="0076353F" w:rsidP="005E5E05">
                <w:pPr>
                  <w:rPr>
                    <w:szCs w:val="21"/>
                  </w:rPr>
                </w:pPr>
                <w:r>
                  <w:t> </w:t>
                </w:r>
              </w:p>
            </w:tc>
            <w:tc>
              <w:tcPr>
                <w:tcW w:w="1408" w:type="dxa"/>
              </w:tcPr>
              <w:p w:rsidR="0076353F" w:rsidRDefault="007B4327" w:rsidP="005E5E05">
                <w:pPr>
                  <w:jc w:val="right"/>
                  <w:rPr>
                    <w:szCs w:val="21"/>
                  </w:rPr>
                </w:pPr>
                <w:r>
                  <w:rPr>
                    <w:rFonts w:hint="eastAsia"/>
                    <w:szCs w:val="21"/>
                  </w:rPr>
                  <w:t>41.98</w:t>
                </w:r>
              </w:p>
            </w:tc>
            <w:sdt>
              <w:sdtPr>
                <w:rPr>
                  <w:szCs w:val="21"/>
                </w:rPr>
                <w:alias w:val="董事、监事、高级管理人员是否在公司关联方获取报酬"/>
                <w:tag w:val="_GBC_1fc30a06011d4603820ff653031666f0"/>
                <w:id w:val="349426"/>
                <w:lock w:val="sdtLocked"/>
                <w:comboBox>
                  <w:listItem w:displayText="是" w:value="true"/>
                  <w:listItem w:displayText="否" w:value="false"/>
                </w:comboBox>
              </w:sdtPr>
              <w:sdtContent>
                <w:tc>
                  <w:tcPr>
                    <w:tcW w:w="1440" w:type="dxa"/>
                  </w:tcPr>
                  <w:p w:rsidR="0076353F" w:rsidRDefault="0076353F" w:rsidP="005E5E05">
                    <w:pPr>
                      <w:jc w:val="left"/>
                      <w:rPr>
                        <w:szCs w:val="21"/>
                      </w:rPr>
                    </w:pPr>
                    <w:r>
                      <w:rPr>
                        <w:szCs w:val="21"/>
                      </w:rPr>
                      <w:t>否</w:t>
                    </w:r>
                  </w:p>
                </w:tc>
              </w:sdtContent>
            </w:sdt>
          </w:tr>
          <w:tr w:rsidR="0076353F" w:rsidTr="005E5E05">
            <w:trPr>
              <w:trHeight w:val="132"/>
            </w:trPr>
            <w:tc>
              <w:tcPr>
                <w:tcW w:w="959" w:type="dxa"/>
              </w:tcPr>
              <w:p w:rsidR="0076353F" w:rsidRDefault="0076353F" w:rsidP="005E5E05">
                <w:pPr>
                  <w:rPr>
                    <w:szCs w:val="21"/>
                  </w:rPr>
                </w:pPr>
                <w:r>
                  <w:t>朱士强</w:t>
                </w:r>
              </w:p>
            </w:tc>
            <w:tc>
              <w:tcPr>
                <w:tcW w:w="1701" w:type="dxa"/>
              </w:tcPr>
              <w:p w:rsidR="0076353F" w:rsidRDefault="0076353F" w:rsidP="005E5E05">
                <w:pPr>
                  <w:rPr>
                    <w:szCs w:val="21"/>
                  </w:rPr>
                </w:pPr>
                <w:r>
                  <w:t>副总经理</w:t>
                </w:r>
              </w:p>
            </w:tc>
            <w:tc>
              <w:tcPr>
                <w:tcW w:w="709" w:type="dxa"/>
              </w:tcPr>
              <w:p w:rsidR="0076353F" w:rsidRDefault="0076353F" w:rsidP="005E5E05">
                <w:pPr>
                  <w:rPr>
                    <w:szCs w:val="21"/>
                  </w:rPr>
                </w:pPr>
                <w:r>
                  <w:t>男</w:t>
                </w:r>
              </w:p>
            </w:tc>
            <w:tc>
              <w:tcPr>
                <w:tcW w:w="552" w:type="dxa"/>
              </w:tcPr>
              <w:p w:rsidR="0076353F" w:rsidRDefault="0076353F" w:rsidP="005E5E05">
                <w:pPr>
                  <w:rPr>
                    <w:szCs w:val="21"/>
                  </w:rPr>
                </w:pPr>
                <w:r>
                  <w:t>4</w:t>
                </w:r>
                <w:r>
                  <w:rPr>
                    <w:rFonts w:hint="eastAsia"/>
                  </w:rPr>
                  <w:t>7</w:t>
                </w:r>
              </w:p>
            </w:tc>
            <w:tc>
              <w:tcPr>
                <w:tcW w:w="1266" w:type="dxa"/>
              </w:tcPr>
              <w:p w:rsidR="0076353F" w:rsidRDefault="0076353F" w:rsidP="005E5E05">
                <w:pPr>
                  <w:rPr>
                    <w:szCs w:val="21"/>
                  </w:rPr>
                </w:pPr>
                <w:r>
                  <w:t>2019-08-27</w:t>
                </w:r>
              </w:p>
            </w:tc>
            <w:tc>
              <w:tcPr>
                <w:tcW w:w="1266" w:type="dxa"/>
              </w:tcPr>
              <w:p w:rsidR="0076353F" w:rsidRDefault="0076353F" w:rsidP="005E5E05">
                <w:pPr>
                  <w:rPr>
                    <w:szCs w:val="21"/>
                  </w:rPr>
                </w:pPr>
                <w:r>
                  <w:t> </w:t>
                </w:r>
              </w:p>
            </w:tc>
            <w:tc>
              <w:tcPr>
                <w:tcW w:w="1143" w:type="dxa"/>
              </w:tcPr>
              <w:p w:rsidR="0076353F" w:rsidRDefault="0076353F" w:rsidP="005E5E05">
                <w:pPr>
                  <w:jc w:val="right"/>
                  <w:rPr>
                    <w:szCs w:val="21"/>
                  </w:rPr>
                </w:pPr>
                <w:r>
                  <w:t>0</w:t>
                </w:r>
              </w:p>
            </w:tc>
            <w:tc>
              <w:tcPr>
                <w:tcW w:w="1130" w:type="dxa"/>
              </w:tcPr>
              <w:p w:rsidR="0076353F" w:rsidRDefault="0076353F" w:rsidP="005E5E05">
                <w:pPr>
                  <w:jc w:val="right"/>
                  <w:rPr>
                    <w:szCs w:val="21"/>
                  </w:rPr>
                </w:pPr>
                <w:r>
                  <w:t>0</w:t>
                </w:r>
              </w:p>
            </w:tc>
            <w:tc>
              <w:tcPr>
                <w:tcW w:w="1351" w:type="dxa"/>
              </w:tcPr>
              <w:p w:rsidR="0076353F" w:rsidRDefault="0076353F" w:rsidP="005E5E05">
                <w:pPr>
                  <w:jc w:val="right"/>
                  <w:rPr>
                    <w:szCs w:val="21"/>
                  </w:rPr>
                </w:pPr>
                <w:r>
                  <w:t>0</w:t>
                </w:r>
              </w:p>
            </w:tc>
            <w:tc>
              <w:tcPr>
                <w:tcW w:w="1171" w:type="dxa"/>
              </w:tcPr>
              <w:p w:rsidR="0076353F" w:rsidRDefault="0076353F" w:rsidP="005E5E05">
                <w:pPr>
                  <w:rPr>
                    <w:szCs w:val="21"/>
                  </w:rPr>
                </w:pPr>
                <w:r>
                  <w:t> </w:t>
                </w:r>
              </w:p>
            </w:tc>
            <w:tc>
              <w:tcPr>
                <w:tcW w:w="1408" w:type="dxa"/>
              </w:tcPr>
              <w:p w:rsidR="0076353F" w:rsidRDefault="007B4327" w:rsidP="005E5E05">
                <w:pPr>
                  <w:jc w:val="right"/>
                  <w:rPr>
                    <w:szCs w:val="21"/>
                  </w:rPr>
                </w:pPr>
                <w:r>
                  <w:rPr>
                    <w:rFonts w:hint="eastAsia"/>
                    <w:szCs w:val="21"/>
                  </w:rPr>
                  <w:t>41.98</w:t>
                </w:r>
              </w:p>
            </w:tc>
            <w:sdt>
              <w:sdtPr>
                <w:rPr>
                  <w:szCs w:val="21"/>
                </w:rPr>
                <w:alias w:val="董事、监事、高级管理人员是否在公司关联方获取报酬"/>
                <w:tag w:val="_GBC_1fc30a06011d4603820ff653031666f0"/>
                <w:id w:val="349427"/>
                <w:lock w:val="sdtLocked"/>
                <w:comboBox>
                  <w:listItem w:displayText="是" w:value="true"/>
                  <w:listItem w:displayText="否" w:value="false"/>
                </w:comboBox>
              </w:sdtPr>
              <w:sdtContent>
                <w:tc>
                  <w:tcPr>
                    <w:tcW w:w="1440" w:type="dxa"/>
                  </w:tcPr>
                  <w:p w:rsidR="0076353F" w:rsidRDefault="0076353F" w:rsidP="005E5E05">
                    <w:pPr>
                      <w:jc w:val="left"/>
                      <w:rPr>
                        <w:szCs w:val="21"/>
                      </w:rPr>
                    </w:pPr>
                    <w:r>
                      <w:rPr>
                        <w:szCs w:val="21"/>
                      </w:rPr>
                      <w:t>否</w:t>
                    </w:r>
                  </w:p>
                </w:tc>
              </w:sdtContent>
            </w:sdt>
          </w:tr>
          <w:tr w:rsidR="0076353F" w:rsidTr="005E5E05">
            <w:trPr>
              <w:trHeight w:val="132"/>
            </w:trPr>
            <w:tc>
              <w:tcPr>
                <w:tcW w:w="959" w:type="dxa"/>
              </w:tcPr>
              <w:p w:rsidR="0076353F" w:rsidRDefault="0076353F" w:rsidP="005E5E05">
                <w:pPr>
                  <w:rPr>
                    <w:szCs w:val="21"/>
                  </w:rPr>
                </w:pPr>
                <w:r>
                  <w:rPr>
                    <w:rFonts w:hint="eastAsia"/>
                    <w:szCs w:val="21"/>
                  </w:rPr>
                  <w:t>包楚雄</w:t>
                </w:r>
              </w:p>
            </w:tc>
            <w:tc>
              <w:tcPr>
                <w:tcW w:w="1701" w:type="dxa"/>
              </w:tcPr>
              <w:p w:rsidR="0076353F" w:rsidRDefault="0076353F" w:rsidP="005E5E05">
                <w:pPr>
                  <w:rPr>
                    <w:szCs w:val="21"/>
                  </w:rPr>
                </w:pPr>
                <w:r>
                  <w:rPr>
                    <w:rFonts w:hint="eastAsia"/>
                    <w:szCs w:val="21"/>
                  </w:rPr>
                  <w:t>董事长（离任）</w:t>
                </w:r>
              </w:p>
            </w:tc>
            <w:tc>
              <w:tcPr>
                <w:tcW w:w="709" w:type="dxa"/>
              </w:tcPr>
              <w:p w:rsidR="0076353F" w:rsidRDefault="0076353F" w:rsidP="005E5E05">
                <w:pPr>
                  <w:rPr>
                    <w:szCs w:val="21"/>
                  </w:rPr>
                </w:pPr>
                <w:r>
                  <w:rPr>
                    <w:rFonts w:hint="eastAsia"/>
                    <w:szCs w:val="21"/>
                  </w:rPr>
                  <w:t>男</w:t>
                </w:r>
              </w:p>
            </w:tc>
            <w:tc>
              <w:tcPr>
                <w:tcW w:w="552" w:type="dxa"/>
                <w:vAlign w:val="center"/>
              </w:tcPr>
              <w:p w:rsidR="0076353F" w:rsidRDefault="0076353F" w:rsidP="005E5E05">
                <w:pPr>
                  <w:rPr>
                    <w:sz w:val="24"/>
                  </w:rPr>
                </w:pPr>
                <w:r>
                  <w:t>5</w:t>
                </w:r>
                <w:r>
                  <w:rPr>
                    <w:rFonts w:hint="eastAsia"/>
                  </w:rPr>
                  <w:t>8</w:t>
                </w:r>
              </w:p>
            </w:tc>
            <w:tc>
              <w:tcPr>
                <w:tcW w:w="1266" w:type="dxa"/>
                <w:vAlign w:val="center"/>
              </w:tcPr>
              <w:p w:rsidR="0076353F" w:rsidRDefault="0076353F" w:rsidP="005E5E05">
                <w:pPr>
                  <w:rPr>
                    <w:sz w:val="24"/>
                  </w:rPr>
                </w:pPr>
                <w:r>
                  <w:t>2021-12-21</w:t>
                </w:r>
              </w:p>
            </w:tc>
            <w:tc>
              <w:tcPr>
                <w:tcW w:w="1266" w:type="dxa"/>
                <w:vAlign w:val="center"/>
              </w:tcPr>
              <w:p w:rsidR="0076353F" w:rsidRDefault="0076353F" w:rsidP="005E5E05">
                <w:pPr>
                  <w:rPr>
                    <w:sz w:val="24"/>
                  </w:rPr>
                </w:pPr>
                <w:r>
                  <w:t>202</w:t>
                </w:r>
                <w:r>
                  <w:rPr>
                    <w:rFonts w:hint="eastAsia"/>
                  </w:rPr>
                  <w:t>2</w:t>
                </w:r>
                <w:r>
                  <w:t>-</w:t>
                </w:r>
                <w:r>
                  <w:rPr>
                    <w:rFonts w:hint="eastAsia"/>
                  </w:rPr>
                  <w:t>11</w:t>
                </w:r>
                <w:r>
                  <w:t>-</w:t>
                </w:r>
                <w:r>
                  <w:rPr>
                    <w:rFonts w:hint="eastAsia"/>
                  </w:rPr>
                  <w:t>29</w:t>
                </w:r>
              </w:p>
            </w:tc>
            <w:tc>
              <w:tcPr>
                <w:tcW w:w="1143" w:type="dxa"/>
                <w:vAlign w:val="center"/>
              </w:tcPr>
              <w:p w:rsidR="0076353F" w:rsidRDefault="0076353F" w:rsidP="005E5E05">
                <w:pPr>
                  <w:jc w:val="right"/>
                  <w:rPr>
                    <w:sz w:val="24"/>
                  </w:rPr>
                </w:pPr>
                <w:r>
                  <w:t>0</w:t>
                </w:r>
              </w:p>
            </w:tc>
            <w:tc>
              <w:tcPr>
                <w:tcW w:w="1130" w:type="dxa"/>
                <w:vAlign w:val="center"/>
              </w:tcPr>
              <w:p w:rsidR="0076353F" w:rsidRDefault="0076353F" w:rsidP="005E5E05">
                <w:pPr>
                  <w:jc w:val="right"/>
                  <w:rPr>
                    <w:sz w:val="24"/>
                  </w:rPr>
                </w:pPr>
                <w:r>
                  <w:t>0</w:t>
                </w:r>
              </w:p>
            </w:tc>
            <w:tc>
              <w:tcPr>
                <w:tcW w:w="1351" w:type="dxa"/>
                <w:vAlign w:val="center"/>
              </w:tcPr>
              <w:p w:rsidR="0076353F" w:rsidRDefault="0076353F" w:rsidP="005E5E05">
                <w:pPr>
                  <w:jc w:val="right"/>
                  <w:rPr>
                    <w:sz w:val="24"/>
                  </w:rPr>
                </w:pPr>
                <w:r>
                  <w:t>0</w:t>
                </w:r>
              </w:p>
            </w:tc>
            <w:tc>
              <w:tcPr>
                <w:tcW w:w="1171" w:type="dxa"/>
              </w:tcPr>
              <w:p w:rsidR="0076353F" w:rsidRDefault="0076353F" w:rsidP="005E5E05">
                <w:pPr>
                  <w:rPr>
                    <w:szCs w:val="21"/>
                  </w:rPr>
                </w:pPr>
              </w:p>
            </w:tc>
            <w:tc>
              <w:tcPr>
                <w:tcW w:w="1408" w:type="dxa"/>
              </w:tcPr>
              <w:p w:rsidR="0076353F" w:rsidRDefault="0076353F" w:rsidP="005E5E05">
                <w:pPr>
                  <w:jc w:val="right"/>
                  <w:rPr>
                    <w:szCs w:val="21"/>
                  </w:rPr>
                </w:pPr>
                <w:r>
                  <w:rPr>
                    <w:rFonts w:hint="eastAsia"/>
                    <w:szCs w:val="21"/>
                  </w:rPr>
                  <w:t>0</w:t>
                </w:r>
              </w:p>
            </w:tc>
            <w:sdt>
              <w:sdtPr>
                <w:rPr>
                  <w:szCs w:val="21"/>
                </w:rPr>
                <w:alias w:val="董事、监事、高级管理人员是否在公司关联方获取报酬"/>
                <w:tag w:val="_GBC_1fc30a06011d4603820ff653031666f0"/>
                <w:id w:val="349428"/>
                <w:lock w:val="sdtLocked"/>
                <w:comboBox>
                  <w:listItem w:displayText="是" w:value="true"/>
                  <w:listItem w:displayText="否" w:value="false"/>
                </w:comboBox>
              </w:sdtPr>
              <w:sdtContent>
                <w:tc>
                  <w:tcPr>
                    <w:tcW w:w="1440" w:type="dxa"/>
                  </w:tcPr>
                  <w:p w:rsidR="0076353F" w:rsidRDefault="0076353F" w:rsidP="005E5E05">
                    <w:pPr>
                      <w:jc w:val="left"/>
                      <w:rPr>
                        <w:szCs w:val="21"/>
                      </w:rPr>
                    </w:pPr>
                    <w:r>
                      <w:rPr>
                        <w:szCs w:val="21"/>
                      </w:rPr>
                      <w:t>是</w:t>
                    </w:r>
                  </w:p>
                </w:tc>
              </w:sdtContent>
            </w:sdt>
          </w:tr>
          <w:tr w:rsidR="0076353F" w:rsidTr="005E5E05">
            <w:trPr>
              <w:trHeight w:val="132"/>
            </w:trPr>
            <w:tc>
              <w:tcPr>
                <w:tcW w:w="959" w:type="dxa"/>
              </w:tcPr>
              <w:p w:rsidR="0076353F" w:rsidRDefault="0076353F" w:rsidP="005E5E05">
                <w:pPr>
                  <w:rPr>
                    <w:szCs w:val="21"/>
                  </w:rPr>
                </w:pPr>
                <w:r>
                  <w:t>杨万东</w:t>
                </w:r>
              </w:p>
            </w:tc>
            <w:tc>
              <w:tcPr>
                <w:tcW w:w="1701" w:type="dxa"/>
              </w:tcPr>
              <w:p w:rsidR="0076353F" w:rsidRDefault="0076353F" w:rsidP="005E5E05">
                <w:pPr>
                  <w:rPr>
                    <w:szCs w:val="21"/>
                  </w:rPr>
                </w:pPr>
                <w:r>
                  <w:t>独立董事</w:t>
                </w:r>
                <w:r w:rsidRPr="0076353F">
                  <w:rPr>
                    <w:rFonts w:hint="eastAsia"/>
                  </w:rPr>
                  <w:t>（离任）</w:t>
                </w:r>
              </w:p>
            </w:tc>
            <w:tc>
              <w:tcPr>
                <w:tcW w:w="709" w:type="dxa"/>
              </w:tcPr>
              <w:p w:rsidR="0076353F" w:rsidRDefault="0076353F" w:rsidP="005E5E05">
                <w:pPr>
                  <w:rPr>
                    <w:szCs w:val="21"/>
                  </w:rPr>
                </w:pPr>
                <w:r>
                  <w:t>男</w:t>
                </w:r>
              </w:p>
            </w:tc>
            <w:tc>
              <w:tcPr>
                <w:tcW w:w="552" w:type="dxa"/>
              </w:tcPr>
              <w:p w:rsidR="0076353F" w:rsidRDefault="0076353F" w:rsidP="005E5E05">
                <w:pPr>
                  <w:rPr>
                    <w:szCs w:val="21"/>
                  </w:rPr>
                </w:pPr>
                <w:r>
                  <w:rPr>
                    <w:rFonts w:hint="eastAsia"/>
                  </w:rPr>
                  <w:t>60</w:t>
                </w:r>
              </w:p>
            </w:tc>
            <w:tc>
              <w:tcPr>
                <w:tcW w:w="1266" w:type="dxa"/>
              </w:tcPr>
              <w:p w:rsidR="0076353F" w:rsidRDefault="0076353F" w:rsidP="005E5E05">
                <w:pPr>
                  <w:rPr>
                    <w:szCs w:val="21"/>
                  </w:rPr>
                </w:pPr>
                <w:r>
                  <w:t>2020-05-20</w:t>
                </w:r>
              </w:p>
            </w:tc>
            <w:tc>
              <w:tcPr>
                <w:tcW w:w="1266" w:type="dxa"/>
              </w:tcPr>
              <w:p w:rsidR="0076353F" w:rsidRDefault="00E312FC" w:rsidP="00E312FC">
                <w:pPr>
                  <w:rPr>
                    <w:szCs w:val="21"/>
                  </w:rPr>
                </w:pPr>
                <w:r>
                  <w:t>202</w:t>
                </w:r>
                <w:r>
                  <w:rPr>
                    <w:rFonts w:hint="eastAsia"/>
                  </w:rPr>
                  <w:t>2</w:t>
                </w:r>
                <w:r>
                  <w:t>-0</w:t>
                </w:r>
                <w:r>
                  <w:rPr>
                    <w:rFonts w:hint="eastAsia"/>
                  </w:rPr>
                  <w:t>3</w:t>
                </w:r>
                <w:r w:rsidR="0076353F">
                  <w:t>-</w:t>
                </w:r>
                <w:r>
                  <w:rPr>
                    <w:rFonts w:hint="eastAsia"/>
                  </w:rPr>
                  <w:t>29</w:t>
                </w:r>
              </w:p>
            </w:tc>
            <w:tc>
              <w:tcPr>
                <w:tcW w:w="1143" w:type="dxa"/>
              </w:tcPr>
              <w:p w:rsidR="0076353F" w:rsidRDefault="0076353F" w:rsidP="005E5E05">
                <w:pPr>
                  <w:jc w:val="right"/>
                  <w:rPr>
                    <w:szCs w:val="21"/>
                  </w:rPr>
                </w:pPr>
                <w:r>
                  <w:t>0</w:t>
                </w:r>
              </w:p>
            </w:tc>
            <w:tc>
              <w:tcPr>
                <w:tcW w:w="1130" w:type="dxa"/>
              </w:tcPr>
              <w:p w:rsidR="0076353F" w:rsidRDefault="0076353F" w:rsidP="005E5E05">
                <w:pPr>
                  <w:jc w:val="right"/>
                  <w:rPr>
                    <w:szCs w:val="21"/>
                  </w:rPr>
                </w:pPr>
                <w:r>
                  <w:t>0</w:t>
                </w:r>
              </w:p>
            </w:tc>
            <w:tc>
              <w:tcPr>
                <w:tcW w:w="1351" w:type="dxa"/>
              </w:tcPr>
              <w:p w:rsidR="0076353F" w:rsidRDefault="0076353F" w:rsidP="005E5E05">
                <w:pPr>
                  <w:jc w:val="right"/>
                  <w:rPr>
                    <w:szCs w:val="21"/>
                  </w:rPr>
                </w:pPr>
                <w:r>
                  <w:t>0</w:t>
                </w:r>
              </w:p>
            </w:tc>
            <w:tc>
              <w:tcPr>
                <w:tcW w:w="1171" w:type="dxa"/>
              </w:tcPr>
              <w:p w:rsidR="0076353F" w:rsidRDefault="0076353F" w:rsidP="005E5E05">
                <w:pPr>
                  <w:rPr>
                    <w:szCs w:val="21"/>
                  </w:rPr>
                </w:pPr>
              </w:p>
            </w:tc>
            <w:tc>
              <w:tcPr>
                <w:tcW w:w="1408" w:type="dxa"/>
              </w:tcPr>
              <w:p w:rsidR="0076353F" w:rsidRDefault="007B4327" w:rsidP="005E5E05">
                <w:pPr>
                  <w:jc w:val="right"/>
                  <w:rPr>
                    <w:szCs w:val="21"/>
                  </w:rPr>
                </w:pPr>
                <w:r>
                  <w:rPr>
                    <w:rFonts w:hint="eastAsia"/>
                    <w:szCs w:val="21"/>
                  </w:rPr>
                  <w:t>4.01</w:t>
                </w:r>
              </w:p>
            </w:tc>
            <w:sdt>
              <w:sdtPr>
                <w:rPr>
                  <w:szCs w:val="21"/>
                </w:rPr>
                <w:alias w:val="董事、监事、高级管理人员是否在公司关联方获取报酬"/>
                <w:tag w:val="_GBC_1fc30a06011d4603820ff653031666f0"/>
                <w:id w:val="349429"/>
                <w:lock w:val="sdtLocked"/>
                <w:comboBox>
                  <w:listItem w:displayText="是" w:value="true"/>
                  <w:listItem w:displayText="否" w:value="false"/>
                </w:comboBox>
              </w:sdtPr>
              <w:sdtContent>
                <w:tc>
                  <w:tcPr>
                    <w:tcW w:w="1440" w:type="dxa"/>
                  </w:tcPr>
                  <w:p w:rsidR="0076353F" w:rsidRDefault="00CF4241" w:rsidP="005E5E05">
                    <w:pPr>
                      <w:jc w:val="left"/>
                      <w:rPr>
                        <w:szCs w:val="21"/>
                      </w:rPr>
                    </w:pPr>
                    <w:r>
                      <w:rPr>
                        <w:szCs w:val="21"/>
                      </w:rPr>
                      <w:t>否</w:t>
                    </w:r>
                  </w:p>
                </w:tc>
              </w:sdtContent>
            </w:sdt>
          </w:tr>
          <w:tr w:rsidR="0076353F" w:rsidTr="005E5E05">
            <w:trPr>
              <w:trHeight w:val="132"/>
            </w:trPr>
            <w:tc>
              <w:tcPr>
                <w:tcW w:w="959" w:type="dxa"/>
              </w:tcPr>
              <w:p w:rsidR="0076353F" w:rsidRDefault="0076353F" w:rsidP="005E5E05">
                <w:pPr>
                  <w:rPr>
                    <w:szCs w:val="21"/>
                  </w:rPr>
                </w:pPr>
                <w:r>
                  <w:t>昝志宏</w:t>
                </w:r>
              </w:p>
            </w:tc>
            <w:tc>
              <w:tcPr>
                <w:tcW w:w="1701" w:type="dxa"/>
              </w:tcPr>
              <w:p w:rsidR="0076353F" w:rsidRDefault="0076353F" w:rsidP="005E5E05">
                <w:pPr>
                  <w:rPr>
                    <w:szCs w:val="21"/>
                  </w:rPr>
                </w:pPr>
                <w:r>
                  <w:t>独立董事</w:t>
                </w:r>
                <w:r w:rsidRPr="0076353F">
                  <w:rPr>
                    <w:rFonts w:hint="eastAsia"/>
                  </w:rPr>
                  <w:t>（离任）</w:t>
                </w:r>
              </w:p>
            </w:tc>
            <w:tc>
              <w:tcPr>
                <w:tcW w:w="709" w:type="dxa"/>
              </w:tcPr>
              <w:p w:rsidR="0076353F" w:rsidRDefault="0076353F" w:rsidP="005E5E05">
                <w:pPr>
                  <w:rPr>
                    <w:szCs w:val="21"/>
                  </w:rPr>
                </w:pPr>
                <w:r>
                  <w:t>男</w:t>
                </w:r>
              </w:p>
            </w:tc>
            <w:tc>
              <w:tcPr>
                <w:tcW w:w="552" w:type="dxa"/>
              </w:tcPr>
              <w:p w:rsidR="0076353F" w:rsidRDefault="0076353F" w:rsidP="005E5E05">
                <w:pPr>
                  <w:rPr>
                    <w:szCs w:val="21"/>
                  </w:rPr>
                </w:pPr>
                <w:r>
                  <w:rPr>
                    <w:rFonts w:hint="eastAsia"/>
                  </w:rPr>
                  <w:t>60</w:t>
                </w:r>
              </w:p>
            </w:tc>
            <w:tc>
              <w:tcPr>
                <w:tcW w:w="1266" w:type="dxa"/>
              </w:tcPr>
              <w:p w:rsidR="0076353F" w:rsidRDefault="0076353F" w:rsidP="005E5E05">
                <w:pPr>
                  <w:rPr>
                    <w:szCs w:val="21"/>
                  </w:rPr>
                </w:pPr>
                <w:r>
                  <w:t>2020-05-20</w:t>
                </w:r>
              </w:p>
            </w:tc>
            <w:tc>
              <w:tcPr>
                <w:tcW w:w="1266" w:type="dxa"/>
              </w:tcPr>
              <w:p w:rsidR="0076353F" w:rsidRDefault="00E312FC" w:rsidP="00E312FC">
                <w:pPr>
                  <w:rPr>
                    <w:szCs w:val="21"/>
                  </w:rPr>
                </w:pPr>
                <w:r>
                  <w:t>202</w:t>
                </w:r>
                <w:r>
                  <w:rPr>
                    <w:rFonts w:hint="eastAsia"/>
                  </w:rPr>
                  <w:t>2</w:t>
                </w:r>
                <w:r>
                  <w:t>-0</w:t>
                </w:r>
                <w:r>
                  <w:rPr>
                    <w:rFonts w:hint="eastAsia"/>
                  </w:rPr>
                  <w:t>3</w:t>
                </w:r>
                <w:r w:rsidR="0076353F">
                  <w:t>-</w:t>
                </w:r>
                <w:r>
                  <w:rPr>
                    <w:rFonts w:hint="eastAsia"/>
                  </w:rPr>
                  <w:t>29</w:t>
                </w:r>
              </w:p>
            </w:tc>
            <w:tc>
              <w:tcPr>
                <w:tcW w:w="1143" w:type="dxa"/>
              </w:tcPr>
              <w:p w:rsidR="0076353F" w:rsidRDefault="0076353F" w:rsidP="005E5E05">
                <w:pPr>
                  <w:jc w:val="right"/>
                  <w:rPr>
                    <w:szCs w:val="21"/>
                  </w:rPr>
                </w:pPr>
                <w:r>
                  <w:t>0</w:t>
                </w:r>
              </w:p>
            </w:tc>
            <w:tc>
              <w:tcPr>
                <w:tcW w:w="1130" w:type="dxa"/>
              </w:tcPr>
              <w:p w:rsidR="0076353F" w:rsidRDefault="0076353F" w:rsidP="005E5E05">
                <w:pPr>
                  <w:jc w:val="right"/>
                  <w:rPr>
                    <w:szCs w:val="21"/>
                  </w:rPr>
                </w:pPr>
                <w:r>
                  <w:t>0</w:t>
                </w:r>
              </w:p>
            </w:tc>
            <w:tc>
              <w:tcPr>
                <w:tcW w:w="1351" w:type="dxa"/>
              </w:tcPr>
              <w:p w:rsidR="0076353F" w:rsidRDefault="0076353F" w:rsidP="005E5E05">
                <w:pPr>
                  <w:jc w:val="right"/>
                  <w:rPr>
                    <w:szCs w:val="21"/>
                  </w:rPr>
                </w:pPr>
                <w:r>
                  <w:t>0</w:t>
                </w:r>
              </w:p>
            </w:tc>
            <w:tc>
              <w:tcPr>
                <w:tcW w:w="1171" w:type="dxa"/>
              </w:tcPr>
              <w:p w:rsidR="0076353F" w:rsidRDefault="0076353F" w:rsidP="005E5E05">
                <w:pPr>
                  <w:rPr>
                    <w:szCs w:val="21"/>
                  </w:rPr>
                </w:pPr>
              </w:p>
            </w:tc>
            <w:tc>
              <w:tcPr>
                <w:tcW w:w="1408" w:type="dxa"/>
              </w:tcPr>
              <w:p w:rsidR="0076353F" w:rsidRDefault="007B4327" w:rsidP="005E5E05">
                <w:pPr>
                  <w:jc w:val="right"/>
                  <w:rPr>
                    <w:szCs w:val="21"/>
                  </w:rPr>
                </w:pPr>
                <w:r>
                  <w:rPr>
                    <w:rFonts w:hint="eastAsia"/>
                    <w:szCs w:val="21"/>
                  </w:rPr>
                  <w:t>4.01</w:t>
                </w:r>
              </w:p>
            </w:tc>
            <w:sdt>
              <w:sdtPr>
                <w:rPr>
                  <w:szCs w:val="21"/>
                </w:rPr>
                <w:alias w:val="董事、监事、高级管理人员是否在公司关联方获取报酬"/>
                <w:tag w:val="_GBC_1fc30a06011d4603820ff653031666f0"/>
                <w:id w:val="349430"/>
                <w:lock w:val="sdtLocked"/>
                <w:comboBox>
                  <w:listItem w:displayText="是" w:value="true"/>
                  <w:listItem w:displayText="否" w:value="false"/>
                </w:comboBox>
              </w:sdtPr>
              <w:sdtContent>
                <w:tc>
                  <w:tcPr>
                    <w:tcW w:w="1440" w:type="dxa"/>
                  </w:tcPr>
                  <w:p w:rsidR="0076353F" w:rsidRDefault="00CF4241" w:rsidP="005E5E05">
                    <w:pPr>
                      <w:jc w:val="left"/>
                      <w:rPr>
                        <w:szCs w:val="21"/>
                      </w:rPr>
                    </w:pPr>
                    <w:r>
                      <w:rPr>
                        <w:szCs w:val="21"/>
                      </w:rPr>
                      <w:t>否</w:t>
                    </w:r>
                  </w:p>
                </w:tc>
              </w:sdtContent>
            </w:sdt>
          </w:tr>
          <w:tr w:rsidR="0076353F" w:rsidTr="005E5E05">
            <w:trPr>
              <w:trHeight w:val="165"/>
            </w:trPr>
            <w:tc>
              <w:tcPr>
                <w:tcW w:w="959" w:type="dxa"/>
                <w:tcBorders>
                  <w:bottom w:val="single" w:sz="4" w:space="0" w:color="auto"/>
                </w:tcBorders>
                <w:vAlign w:val="center"/>
              </w:tcPr>
              <w:p w:rsidR="0076353F" w:rsidRDefault="0076353F" w:rsidP="005E5E05">
                <w:pPr>
                  <w:jc w:val="center"/>
                  <w:rPr>
                    <w:szCs w:val="21"/>
                  </w:rPr>
                </w:pPr>
                <w:r>
                  <w:rPr>
                    <w:rFonts w:hint="eastAsia"/>
                    <w:szCs w:val="21"/>
                  </w:rPr>
                  <w:t>合计</w:t>
                </w:r>
              </w:p>
            </w:tc>
            <w:tc>
              <w:tcPr>
                <w:tcW w:w="1701" w:type="dxa"/>
                <w:tcBorders>
                  <w:bottom w:val="single" w:sz="4" w:space="0" w:color="auto"/>
                </w:tcBorders>
              </w:tcPr>
              <w:p w:rsidR="0076353F" w:rsidRDefault="0076353F" w:rsidP="005E5E05">
                <w:pPr>
                  <w:jc w:val="center"/>
                  <w:rPr>
                    <w:szCs w:val="21"/>
                  </w:rPr>
                </w:pPr>
                <w:r>
                  <w:rPr>
                    <w:rFonts w:hint="eastAsia"/>
                    <w:szCs w:val="21"/>
                  </w:rPr>
                  <w:t>/</w:t>
                </w:r>
              </w:p>
            </w:tc>
            <w:tc>
              <w:tcPr>
                <w:tcW w:w="709" w:type="dxa"/>
                <w:tcBorders>
                  <w:bottom w:val="single" w:sz="4" w:space="0" w:color="auto"/>
                </w:tcBorders>
              </w:tcPr>
              <w:p w:rsidR="0076353F" w:rsidRDefault="0076353F" w:rsidP="005E5E05">
                <w:pPr>
                  <w:jc w:val="center"/>
                  <w:rPr>
                    <w:szCs w:val="21"/>
                  </w:rPr>
                </w:pPr>
                <w:r>
                  <w:rPr>
                    <w:rFonts w:hint="eastAsia"/>
                    <w:szCs w:val="21"/>
                  </w:rPr>
                  <w:t>/</w:t>
                </w:r>
              </w:p>
            </w:tc>
            <w:tc>
              <w:tcPr>
                <w:tcW w:w="552" w:type="dxa"/>
                <w:tcBorders>
                  <w:bottom w:val="single" w:sz="4" w:space="0" w:color="auto"/>
                </w:tcBorders>
              </w:tcPr>
              <w:p w:rsidR="0076353F" w:rsidRDefault="0076353F" w:rsidP="005E5E05">
                <w:pPr>
                  <w:jc w:val="center"/>
                  <w:rPr>
                    <w:szCs w:val="21"/>
                  </w:rPr>
                </w:pPr>
                <w:r>
                  <w:rPr>
                    <w:rFonts w:hint="eastAsia"/>
                    <w:szCs w:val="21"/>
                  </w:rPr>
                  <w:t>/</w:t>
                </w:r>
              </w:p>
            </w:tc>
            <w:tc>
              <w:tcPr>
                <w:tcW w:w="1266" w:type="dxa"/>
                <w:tcBorders>
                  <w:bottom w:val="single" w:sz="4" w:space="0" w:color="auto"/>
                </w:tcBorders>
              </w:tcPr>
              <w:p w:rsidR="0076353F" w:rsidRDefault="0076353F" w:rsidP="005E5E05">
                <w:pPr>
                  <w:jc w:val="center"/>
                  <w:rPr>
                    <w:szCs w:val="21"/>
                  </w:rPr>
                </w:pPr>
                <w:r>
                  <w:rPr>
                    <w:rFonts w:hint="eastAsia"/>
                    <w:szCs w:val="21"/>
                  </w:rPr>
                  <w:t>/</w:t>
                </w:r>
              </w:p>
            </w:tc>
            <w:tc>
              <w:tcPr>
                <w:tcW w:w="1266" w:type="dxa"/>
                <w:tcBorders>
                  <w:bottom w:val="single" w:sz="4" w:space="0" w:color="auto"/>
                </w:tcBorders>
              </w:tcPr>
              <w:p w:rsidR="0076353F" w:rsidRDefault="0076353F" w:rsidP="005E5E05">
                <w:pPr>
                  <w:jc w:val="center"/>
                  <w:rPr>
                    <w:szCs w:val="21"/>
                  </w:rPr>
                </w:pPr>
                <w:r>
                  <w:rPr>
                    <w:rFonts w:hint="eastAsia"/>
                    <w:szCs w:val="21"/>
                  </w:rPr>
                  <w:t>/</w:t>
                </w:r>
              </w:p>
            </w:tc>
            <w:tc>
              <w:tcPr>
                <w:tcW w:w="1143" w:type="dxa"/>
                <w:tcBorders>
                  <w:bottom w:val="single" w:sz="4" w:space="0" w:color="auto"/>
                </w:tcBorders>
              </w:tcPr>
              <w:p w:rsidR="0076353F" w:rsidRDefault="00D8585E" w:rsidP="005E5E05">
                <w:pPr>
                  <w:jc w:val="right"/>
                  <w:rPr>
                    <w:szCs w:val="21"/>
                  </w:rPr>
                </w:pPr>
                <w:r>
                  <w:rPr>
                    <w:rFonts w:hint="eastAsia"/>
                    <w:szCs w:val="21"/>
                  </w:rPr>
                  <w:t>0</w:t>
                </w:r>
              </w:p>
            </w:tc>
            <w:tc>
              <w:tcPr>
                <w:tcW w:w="1130" w:type="dxa"/>
                <w:tcBorders>
                  <w:bottom w:val="single" w:sz="4" w:space="0" w:color="auto"/>
                </w:tcBorders>
              </w:tcPr>
              <w:p w:rsidR="0076353F" w:rsidRDefault="00D8585E" w:rsidP="005E5E05">
                <w:pPr>
                  <w:jc w:val="right"/>
                  <w:rPr>
                    <w:szCs w:val="21"/>
                  </w:rPr>
                </w:pPr>
                <w:r>
                  <w:rPr>
                    <w:rFonts w:hint="eastAsia"/>
                    <w:szCs w:val="21"/>
                  </w:rPr>
                  <w:t>0</w:t>
                </w:r>
              </w:p>
            </w:tc>
            <w:tc>
              <w:tcPr>
                <w:tcW w:w="1351" w:type="dxa"/>
                <w:tcBorders>
                  <w:bottom w:val="single" w:sz="4" w:space="0" w:color="auto"/>
                </w:tcBorders>
              </w:tcPr>
              <w:p w:rsidR="0076353F" w:rsidRDefault="00D8585E" w:rsidP="005E5E05">
                <w:pPr>
                  <w:jc w:val="right"/>
                  <w:rPr>
                    <w:szCs w:val="21"/>
                  </w:rPr>
                </w:pPr>
                <w:r>
                  <w:rPr>
                    <w:rFonts w:hint="eastAsia"/>
                    <w:szCs w:val="21"/>
                  </w:rPr>
                  <w:t>0</w:t>
                </w:r>
              </w:p>
            </w:tc>
            <w:tc>
              <w:tcPr>
                <w:tcW w:w="1171" w:type="dxa"/>
                <w:tcBorders>
                  <w:bottom w:val="single" w:sz="4" w:space="0" w:color="auto"/>
                </w:tcBorders>
              </w:tcPr>
              <w:p w:rsidR="0076353F" w:rsidRDefault="0076353F" w:rsidP="005E5E05">
                <w:pPr>
                  <w:jc w:val="center"/>
                  <w:rPr>
                    <w:szCs w:val="21"/>
                  </w:rPr>
                </w:pPr>
                <w:r>
                  <w:rPr>
                    <w:rFonts w:hint="eastAsia"/>
                    <w:szCs w:val="21"/>
                  </w:rPr>
                  <w:t>/</w:t>
                </w:r>
              </w:p>
            </w:tc>
            <w:tc>
              <w:tcPr>
                <w:tcW w:w="1408" w:type="dxa"/>
                <w:tcBorders>
                  <w:bottom w:val="single" w:sz="4" w:space="0" w:color="auto"/>
                </w:tcBorders>
              </w:tcPr>
              <w:p w:rsidR="0076353F" w:rsidRDefault="007B4327" w:rsidP="005E5E05">
                <w:pPr>
                  <w:jc w:val="right"/>
                  <w:rPr>
                    <w:szCs w:val="21"/>
                  </w:rPr>
                </w:pPr>
                <w:r>
                  <w:rPr>
                    <w:rFonts w:hint="eastAsia"/>
                    <w:szCs w:val="21"/>
                  </w:rPr>
                  <w:t>408.23</w:t>
                </w:r>
              </w:p>
            </w:tc>
            <w:tc>
              <w:tcPr>
                <w:tcW w:w="1440" w:type="dxa"/>
                <w:tcBorders>
                  <w:bottom w:val="single" w:sz="4" w:space="0" w:color="auto"/>
                </w:tcBorders>
              </w:tcPr>
              <w:p w:rsidR="0076353F" w:rsidRDefault="0076353F" w:rsidP="005E5E05">
                <w:pPr>
                  <w:jc w:val="center"/>
                  <w:rPr>
                    <w:szCs w:val="21"/>
                  </w:rPr>
                </w:pPr>
                <w:r>
                  <w:rPr>
                    <w:rFonts w:hint="eastAsia"/>
                    <w:szCs w:val="21"/>
                  </w:rPr>
                  <w:t>/</w:t>
                </w:r>
              </w:p>
            </w:tc>
          </w:tr>
        </w:tbl>
        <w:p w:rsidR="0076353F" w:rsidRDefault="0076353F"/>
        <w:p w:rsidR="00806678" w:rsidRDefault="00806678">
          <w:pPr>
            <w:rPr>
              <w:szCs w:val="21"/>
            </w:rPr>
          </w:pPr>
        </w:p>
        <w:tbl>
          <w:tblPr>
            <w:tblStyle w:val="a6"/>
            <w:tblW w:w="0" w:type="auto"/>
            <w:tblLook w:val="04A0"/>
          </w:tblPr>
          <w:tblGrid>
            <w:gridCol w:w="1384"/>
            <w:gridCol w:w="12705"/>
          </w:tblGrid>
          <w:tr w:rsidR="0035275B" w:rsidTr="00FA292C">
            <w:sdt>
              <w:sdtPr>
                <w:tag w:val="_PLD_1525b90cb0c248978acb54a7f361f6a2"/>
                <w:id w:val="352846"/>
                <w:lock w:val="sdtLocked"/>
              </w:sdtPr>
              <w:sdtContent>
                <w:tc>
                  <w:tcPr>
                    <w:tcW w:w="1384" w:type="dxa"/>
                    <w:vAlign w:val="center"/>
                  </w:tcPr>
                  <w:p w:rsidR="0035275B" w:rsidRDefault="0035275B" w:rsidP="00FA292C">
                    <w:pPr>
                      <w:jc w:val="center"/>
                      <w:rPr>
                        <w:szCs w:val="21"/>
                      </w:rPr>
                    </w:pPr>
                    <w:r>
                      <w:rPr>
                        <w:rFonts w:hint="eastAsia"/>
                        <w:szCs w:val="21"/>
                      </w:rPr>
                      <w:t>姓名</w:t>
                    </w:r>
                  </w:p>
                </w:tc>
              </w:sdtContent>
            </w:sdt>
            <w:sdt>
              <w:sdtPr>
                <w:tag w:val="_PLD_61b466aae87d4dac813a38c2c8e6a492"/>
                <w:id w:val="352847"/>
                <w:lock w:val="sdtLocked"/>
              </w:sdtPr>
              <w:sdtContent>
                <w:tc>
                  <w:tcPr>
                    <w:tcW w:w="12705" w:type="dxa"/>
                    <w:vAlign w:val="center"/>
                  </w:tcPr>
                  <w:p w:rsidR="0035275B" w:rsidRDefault="0035275B" w:rsidP="00FA292C">
                    <w:pPr>
                      <w:jc w:val="center"/>
                      <w:rPr>
                        <w:szCs w:val="21"/>
                      </w:rPr>
                    </w:pPr>
                    <w:r>
                      <w:rPr>
                        <w:szCs w:val="21"/>
                      </w:rPr>
                      <w:t>主要工作经历</w:t>
                    </w:r>
                  </w:p>
                </w:tc>
              </w:sdtContent>
            </w:sdt>
          </w:tr>
          <w:tr w:rsidR="0035275B" w:rsidTr="00FA292C">
            <w:tc>
              <w:tcPr>
                <w:tcW w:w="1384" w:type="dxa"/>
              </w:tcPr>
              <w:p w:rsidR="0035275B" w:rsidRPr="007B2FC1" w:rsidRDefault="0035275B" w:rsidP="00FA292C">
                <w:r w:rsidRPr="007B2FC1">
                  <w:rPr>
                    <w:rFonts w:hint="eastAsia"/>
                  </w:rPr>
                  <w:t>戴弘</w:t>
                </w:r>
              </w:p>
            </w:tc>
            <w:tc>
              <w:tcPr>
                <w:tcW w:w="12705" w:type="dxa"/>
              </w:tcPr>
              <w:p w:rsidR="0035275B" w:rsidRPr="007B2FC1" w:rsidRDefault="0035275B" w:rsidP="00E73C72">
                <w:pPr>
                  <w:adjustRightInd w:val="0"/>
                  <w:snapToGrid w:val="0"/>
                </w:pPr>
                <w:r w:rsidRPr="007B2FC1">
                  <w:rPr>
                    <w:rFonts w:hint="eastAsia"/>
                  </w:rPr>
                  <w:t>1966年2月出生，</w:t>
                </w:r>
                <w:r>
                  <w:rPr>
                    <w:rFonts w:hint="eastAsia"/>
                  </w:rPr>
                  <w:t>男，中国国籍，</w:t>
                </w:r>
                <w:r w:rsidRPr="007B2FC1">
                  <w:rPr>
                    <w:rFonts w:hint="eastAsia"/>
                  </w:rPr>
                  <w:t>高级工程师</w:t>
                </w:r>
                <w:r>
                  <w:rPr>
                    <w:rFonts w:hint="eastAsia"/>
                  </w:rPr>
                  <w:t>，本公司董事、董事长</w:t>
                </w:r>
                <w:r w:rsidRPr="007B2FC1">
                  <w:rPr>
                    <w:rFonts w:hint="eastAsia"/>
                  </w:rPr>
                  <w:t>。</w:t>
                </w:r>
                <w:r w:rsidR="00E73C72">
                  <w:rPr>
                    <w:rFonts w:hint="eastAsia"/>
                  </w:rPr>
                  <w:t>现</w:t>
                </w:r>
                <w:r w:rsidR="00E73C72" w:rsidRPr="00E73C72">
                  <w:rPr>
                    <w:rFonts w:hint="eastAsia"/>
                  </w:rPr>
                  <w:t>任中国铁路太原局集团有限公司党委书记、董事长，兼大西铁路客运专线有限责任公司董事长。</w:t>
                </w:r>
                <w:r w:rsidRPr="007B2FC1">
                  <w:rPr>
                    <w:rFonts w:hint="eastAsia"/>
                  </w:rPr>
                  <w:t>历任郑州铁路局副局长；中国铁路郑州局集团有限公司董事、副总经理；中国铁路呼和浩特局集团有限公司副董事长、董事、总经理，党委书记、董事长兼呼张铁路客运专线有限责任公司董事长</w:t>
                </w:r>
                <w:r w:rsidR="00E73C72">
                  <w:rPr>
                    <w:rFonts w:hint="eastAsia"/>
                  </w:rPr>
                  <w:t>。</w:t>
                </w:r>
              </w:p>
            </w:tc>
          </w:tr>
          <w:tr w:rsidR="0035275B" w:rsidTr="00FA292C">
            <w:tc>
              <w:tcPr>
                <w:tcW w:w="1384" w:type="dxa"/>
              </w:tcPr>
              <w:p w:rsidR="0035275B" w:rsidRDefault="0035275B" w:rsidP="00FA292C">
                <w:pPr>
                  <w:rPr>
                    <w:szCs w:val="21"/>
                  </w:rPr>
                </w:pPr>
                <w:r>
                  <w:t>王道阔</w:t>
                </w:r>
              </w:p>
            </w:tc>
            <w:tc>
              <w:tcPr>
                <w:tcW w:w="12705" w:type="dxa"/>
              </w:tcPr>
              <w:p w:rsidR="0035275B" w:rsidRDefault="0035275B" w:rsidP="008C6876">
                <w:pPr>
                  <w:rPr>
                    <w:szCs w:val="21"/>
                  </w:rPr>
                </w:pPr>
                <w:r>
                  <w:t>1975年7月出生，男，中国国籍，大学本科学历，管理学硕士学位，正高级会计师，本公司董事、副董事长。</w:t>
                </w:r>
                <w:r w:rsidR="008C6876">
                  <w:rPr>
                    <w:rFonts w:hint="eastAsia"/>
                  </w:rPr>
                  <w:t>现</w:t>
                </w:r>
                <w:r w:rsidR="008C6876" w:rsidRPr="008C6876">
                  <w:rPr>
                    <w:rFonts w:hint="eastAsia"/>
                  </w:rPr>
                  <w:t>任中国铁路太原局集团有限公司党委委员、总会计师，</w:t>
                </w:r>
                <w:r w:rsidR="008C6876">
                  <w:rPr>
                    <w:rFonts w:hint="eastAsia"/>
                  </w:rPr>
                  <w:t>兼国能朔黄铁路发展有限责任公司副董事长</w:t>
                </w:r>
                <w:r w:rsidR="008C6876" w:rsidRPr="008C6876">
                  <w:rPr>
                    <w:rFonts w:hint="eastAsia"/>
                  </w:rPr>
                  <w:t>。</w:t>
                </w:r>
                <w:r w:rsidR="008C6876">
                  <w:t>历任沈阳铁路局沈阳机务段财务室主任、财务科科长</w:t>
                </w:r>
                <w:r w:rsidR="008C6876">
                  <w:rPr>
                    <w:rFonts w:hint="eastAsia"/>
                  </w:rPr>
                  <w:t>；</w:t>
                </w:r>
                <w:r>
                  <w:t>沈阳铁路局财务处全面预算管理科科长、</w:t>
                </w:r>
                <w:r w:rsidR="008C6876">
                  <w:t>财务处副处长、财务处处长</w:t>
                </w:r>
                <w:r w:rsidR="008C6876">
                  <w:rPr>
                    <w:rFonts w:hint="eastAsia"/>
                  </w:rPr>
                  <w:t>；</w:t>
                </w:r>
                <w:r>
                  <w:t>中国铁路沈阳局集团有限公司财务处处长兼局资金结算所主任、局税务管理办公室主任，财务部（收入部）主任兼资金结算所（财务集中核算管理所）主任、税务管理办公室主任。</w:t>
                </w:r>
              </w:p>
            </w:tc>
          </w:tr>
          <w:tr w:rsidR="0035275B" w:rsidTr="00FA292C">
            <w:tc>
              <w:tcPr>
                <w:tcW w:w="1384" w:type="dxa"/>
              </w:tcPr>
              <w:p w:rsidR="0035275B" w:rsidRDefault="0035275B" w:rsidP="00FA292C">
                <w:pPr>
                  <w:rPr>
                    <w:szCs w:val="21"/>
                  </w:rPr>
                </w:pPr>
                <w:r>
                  <w:t>韩洪臣</w:t>
                </w:r>
              </w:p>
            </w:tc>
            <w:tc>
              <w:tcPr>
                <w:tcW w:w="12705" w:type="dxa"/>
              </w:tcPr>
              <w:p w:rsidR="0035275B" w:rsidRDefault="0035275B" w:rsidP="00FA292C">
                <w:pPr>
                  <w:rPr>
                    <w:szCs w:val="21"/>
                  </w:rPr>
                </w:pPr>
                <w:r>
                  <w:t>1965年4月出生，男，中国国籍，大学本科学历，工商管理硕士学位，正高级工程师，本公司董事、</w:t>
                </w:r>
                <w:r w:rsidR="002071D1">
                  <w:rPr>
                    <w:rFonts w:hint="eastAsia"/>
                  </w:rPr>
                  <w:t>党委书记、</w:t>
                </w:r>
                <w:r>
                  <w:t>总经理。历任北京</w:t>
                </w:r>
                <w:r w:rsidR="002071D1">
                  <w:t>铁路局太原铁路分局太原西站副站长、原平站站长、原平车务段副段长</w:t>
                </w:r>
                <w:r w:rsidR="002071D1">
                  <w:rPr>
                    <w:rFonts w:hint="eastAsia"/>
                  </w:rPr>
                  <w:t>；</w:t>
                </w:r>
                <w:r>
                  <w:t>太原铁路局运城车务段段长、原平车务段段长、</w:t>
                </w:r>
                <w:r w:rsidR="002071D1">
                  <w:t>太原站站长</w:t>
                </w:r>
                <w:r w:rsidR="002071D1">
                  <w:rPr>
                    <w:rFonts w:hint="eastAsia"/>
                  </w:rPr>
                  <w:t>；</w:t>
                </w:r>
                <w:r w:rsidR="002071D1">
                  <w:t>太原铁路局客运处处长</w:t>
                </w:r>
                <w:r w:rsidR="002071D1">
                  <w:rPr>
                    <w:rFonts w:hint="eastAsia"/>
                  </w:rPr>
                  <w:t>；</w:t>
                </w:r>
                <w:r>
                  <w:t>中国铁路太原局集团有限公司客运处处长、客运部主任。</w:t>
                </w:r>
              </w:p>
            </w:tc>
          </w:tr>
          <w:tr w:rsidR="0035275B" w:rsidTr="00FA292C">
            <w:tc>
              <w:tcPr>
                <w:tcW w:w="1384" w:type="dxa"/>
              </w:tcPr>
              <w:p w:rsidR="0035275B" w:rsidRDefault="0035275B" w:rsidP="00FA292C">
                <w:pPr>
                  <w:rPr>
                    <w:szCs w:val="21"/>
                  </w:rPr>
                </w:pPr>
                <w:r>
                  <w:t>齐志勇</w:t>
                </w:r>
              </w:p>
            </w:tc>
            <w:tc>
              <w:tcPr>
                <w:tcW w:w="12705" w:type="dxa"/>
              </w:tcPr>
              <w:p w:rsidR="0035275B" w:rsidRDefault="0035275B" w:rsidP="006B27BD">
                <w:pPr>
                  <w:rPr>
                    <w:szCs w:val="21"/>
                  </w:rPr>
                </w:pPr>
                <w:r>
                  <w:t>1965年5月出生，男，中国国籍，大学本科学历，高级政工师，本公司职工代表董事</w:t>
                </w:r>
                <w:r w:rsidR="006B27BD">
                  <w:rPr>
                    <w:rFonts w:hint="eastAsia"/>
                  </w:rPr>
                  <w:t>、</w:t>
                </w:r>
                <w:r w:rsidR="006B27BD" w:rsidRPr="006B27BD">
                  <w:rPr>
                    <w:rFonts w:hint="eastAsia"/>
                  </w:rPr>
                  <w:t>党委副书记、纪委书记、工会主席</w:t>
                </w:r>
                <w:r>
                  <w:t>。历任太原铁</w:t>
                </w:r>
                <w:r w:rsidR="006B27BD">
                  <w:t>路局纪委案件审理室监察员，公司原平车务段党委副书记、纪委书记</w:t>
                </w:r>
                <w:r>
                  <w:t>。</w:t>
                </w:r>
              </w:p>
            </w:tc>
          </w:tr>
          <w:tr w:rsidR="0035275B" w:rsidTr="00FA292C">
            <w:tc>
              <w:tcPr>
                <w:tcW w:w="1384" w:type="dxa"/>
              </w:tcPr>
              <w:p w:rsidR="0035275B" w:rsidRDefault="0035275B" w:rsidP="00FA292C">
                <w:pPr>
                  <w:rPr>
                    <w:szCs w:val="21"/>
                  </w:rPr>
                </w:pPr>
                <w:r>
                  <w:t>田惠民</w:t>
                </w:r>
              </w:p>
            </w:tc>
            <w:tc>
              <w:tcPr>
                <w:tcW w:w="12705" w:type="dxa"/>
              </w:tcPr>
              <w:p w:rsidR="0035275B" w:rsidRDefault="0035275B" w:rsidP="00FA292C">
                <w:pPr>
                  <w:rPr>
                    <w:szCs w:val="21"/>
                  </w:rPr>
                </w:pPr>
                <w:r>
                  <w:t>1963年10月出生，男，中国国籍，大学本科学历，高级会计师，本公司董事、</w:t>
                </w:r>
                <w:r w:rsidR="00BA73BB">
                  <w:rPr>
                    <w:rFonts w:hint="eastAsia"/>
                  </w:rPr>
                  <w:t>党委委员、</w:t>
                </w:r>
                <w:r>
                  <w:t>总会计师</w:t>
                </w:r>
                <w:r w:rsidR="00BA73BB">
                  <w:rPr>
                    <w:rFonts w:hint="eastAsia"/>
                  </w:rPr>
                  <w:t>，</w:t>
                </w:r>
                <w:r w:rsidR="00BA73BB" w:rsidRPr="00BA73BB">
                  <w:rPr>
                    <w:rFonts w:hint="eastAsia"/>
                  </w:rPr>
                  <w:t>兼国能朔黄铁路发展有限责任公司监事会主席。</w:t>
                </w:r>
                <w:r w:rsidR="00BA73BB">
                  <w:t>历任大同铁路分局财务分处副分处长，公司计划财务部副部长、部长</w:t>
                </w:r>
                <w:r>
                  <w:t>。</w:t>
                </w:r>
              </w:p>
            </w:tc>
          </w:tr>
          <w:tr w:rsidR="0035275B" w:rsidTr="00FA292C">
            <w:tc>
              <w:tcPr>
                <w:tcW w:w="1384" w:type="dxa"/>
              </w:tcPr>
              <w:p w:rsidR="0035275B" w:rsidRDefault="0035275B" w:rsidP="00FA292C">
                <w:pPr>
                  <w:rPr>
                    <w:szCs w:val="21"/>
                  </w:rPr>
                </w:pPr>
                <w:r>
                  <w:t>张利荣</w:t>
                </w:r>
              </w:p>
            </w:tc>
            <w:tc>
              <w:tcPr>
                <w:tcW w:w="12705" w:type="dxa"/>
              </w:tcPr>
              <w:p w:rsidR="0035275B" w:rsidRDefault="0035275B" w:rsidP="00FA292C">
                <w:pPr>
                  <w:rPr>
                    <w:szCs w:val="21"/>
                  </w:rPr>
                </w:pPr>
                <w:r>
                  <w:t>1972年11月出生，女，中国国籍，大学本科学历，高级经济师，本公司董事、</w:t>
                </w:r>
                <w:r w:rsidR="006439E0">
                  <w:rPr>
                    <w:rFonts w:hint="eastAsia"/>
                  </w:rPr>
                  <w:t>党委委员、</w:t>
                </w:r>
                <w:r>
                  <w:t>副总经理兼董事会秘书。历任公司总经理工作</w:t>
                </w:r>
                <w:r w:rsidR="006439E0">
                  <w:t>部副部长、董事会证券事务代表、董事会办公室主任兼证券事务代表</w:t>
                </w:r>
                <w:r>
                  <w:t>。</w:t>
                </w:r>
              </w:p>
            </w:tc>
          </w:tr>
          <w:tr w:rsidR="0035275B" w:rsidTr="00FA292C">
            <w:tc>
              <w:tcPr>
                <w:tcW w:w="1384" w:type="dxa"/>
              </w:tcPr>
              <w:p w:rsidR="0035275B" w:rsidRDefault="0035275B" w:rsidP="00FA292C">
                <w:pPr>
                  <w:rPr>
                    <w:szCs w:val="21"/>
                  </w:rPr>
                </w:pPr>
                <w:r>
                  <w:t>杨文胜</w:t>
                </w:r>
              </w:p>
            </w:tc>
            <w:tc>
              <w:tcPr>
                <w:tcW w:w="12705" w:type="dxa"/>
              </w:tcPr>
              <w:p w:rsidR="0035275B" w:rsidRDefault="0035275B" w:rsidP="004401EA">
                <w:pPr>
                  <w:rPr>
                    <w:szCs w:val="21"/>
                  </w:rPr>
                </w:pPr>
                <w:r>
                  <w:t>1969年2月出生，男，中国国籍，大学学历，</w:t>
                </w:r>
                <w:r w:rsidR="00DC158B">
                  <w:rPr>
                    <w:rFonts w:hint="eastAsia"/>
                  </w:rPr>
                  <w:t>正高级工程师、</w:t>
                </w:r>
                <w:r>
                  <w:t>高级经济师，本公司董事。</w:t>
                </w:r>
                <w:r w:rsidR="004401EA">
                  <w:rPr>
                    <w:rFonts w:hint="eastAsia"/>
                  </w:rPr>
                  <w:t>现</w:t>
                </w:r>
                <w:r w:rsidR="004401EA" w:rsidRPr="004401EA">
                  <w:rPr>
                    <w:rFonts w:hint="eastAsia"/>
                  </w:rPr>
                  <w:t>任河北港口集团有限公司党委常委、副总经理</w:t>
                </w:r>
                <w:r w:rsidR="004401EA">
                  <w:rPr>
                    <w:rFonts w:hint="eastAsia"/>
                  </w:rPr>
                  <w:t>。</w:t>
                </w:r>
                <w:r w:rsidR="004401EA">
                  <w:t>历任秦皇岛港务集团有限公司生产业务部副部长、秦仁海运公司总经理</w:t>
                </w:r>
                <w:r w:rsidR="004401EA">
                  <w:rPr>
                    <w:rFonts w:hint="eastAsia"/>
                  </w:rPr>
                  <w:t>；</w:t>
                </w:r>
                <w:r w:rsidR="004401EA">
                  <w:t>秦皇岛港股份有限公司第二港务分公司经理、生产业务部部长</w:t>
                </w:r>
                <w:r w:rsidR="004401EA">
                  <w:rPr>
                    <w:rFonts w:hint="eastAsia"/>
                  </w:rPr>
                  <w:t>；</w:t>
                </w:r>
                <w:r w:rsidR="004401EA">
                  <w:t>秦皇岛港股份有限公司副总经理</w:t>
                </w:r>
                <w:r w:rsidR="004401EA">
                  <w:rPr>
                    <w:rFonts w:hint="eastAsia"/>
                  </w:rPr>
                  <w:t>，</w:t>
                </w:r>
                <w:r>
                  <w:t>董事、总经理、党委副书记</w:t>
                </w:r>
                <w:r w:rsidR="004401EA">
                  <w:rPr>
                    <w:rFonts w:hint="eastAsia"/>
                  </w:rPr>
                  <w:t>，</w:t>
                </w:r>
                <w:r w:rsidR="004401EA">
                  <w:t>董事、总裁、党委副书记</w:t>
                </w:r>
                <w:r w:rsidR="004401EA">
                  <w:rPr>
                    <w:rFonts w:hint="eastAsia"/>
                  </w:rPr>
                  <w:t>；</w:t>
                </w:r>
                <w:r>
                  <w:t>河北港口集团有限公司党委常委、董事</w:t>
                </w:r>
                <w:r w:rsidR="00540969">
                  <w:rPr>
                    <w:rFonts w:hint="eastAsia"/>
                  </w:rPr>
                  <w:t>、副总经理</w:t>
                </w:r>
                <w:r w:rsidR="00DC158B">
                  <w:rPr>
                    <w:rFonts w:hint="eastAsia"/>
                  </w:rPr>
                  <w:t>，</w:t>
                </w:r>
                <w:r w:rsidR="00DC158B" w:rsidRPr="00DC158B">
                  <w:rPr>
                    <w:rFonts w:hint="eastAsia"/>
                  </w:rPr>
                  <w:t>秦皇岛港股份有限公司董事、总裁、党委副书记。</w:t>
                </w:r>
              </w:p>
            </w:tc>
          </w:tr>
          <w:tr w:rsidR="0035275B" w:rsidTr="00FA292C">
            <w:tc>
              <w:tcPr>
                <w:tcW w:w="1384" w:type="dxa"/>
              </w:tcPr>
              <w:p w:rsidR="0035275B" w:rsidRDefault="0035275B" w:rsidP="00FA292C">
                <w:pPr>
                  <w:rPr>
                    <w:szCs w:val="21"/>
                  </w:rPr>
                </w:pPr>
                <w:r>
                  <w:t>陈磊</w:t>
                </w:r>
              </w:p>
            </w:tc>
            <w:tc>
              <w:tcPr>
                <w:tcW w:w="12705" w:type="dxa"/>
              </w:tcPr>
              <w:p w:rsidR="0035275B" w:rsidRDefault="0035275B" w:rsidP="00FA292C">
                <w:pPr>
                  <w:rPr>
                    <w:szCs w:val="21"/>
                  </w:rPr>
                </w:pPr>
                <w:r>
                  <w:t>1972年10月出生，男，中国国籍，博士研究生学历，本公司独立董事。2004年起先后在美国佐治亚州立大学罗宾逊商学院、北京大学光华管理学院任教。历任北京大学会计系副教授、博士生导师。</w:t>
                </w:r>
              </w:p>
            </w:tc>
          </w:tr>
          <w:tr w:rsidR="0035275B" w:rsidTr="00FA292C">
            <w:tc>
              <w:tcPr>
                <w:tcW w:w="1384" w:type="dxa"/>
              </w:tcPr>
              <w:p w:rsidR="0035275B" w:rsidRDefault="0035275B" w:rsidP="00FA292C">
                <w:pPr>
                  <w:rPr>
                    <w:szCs w:val="21"/>
                  </w:rPr>
                </w:pPr>
                <w:r>
                  <w:lastRenderedPageBreak/>
                  <w:t>郝生跃</w:t>
                </w:r>
              </w:p>
            </w:tc>
            <w:tc>
              <w:tcPr>
                <w:tcW w:w="12705" w:type="dxa"/>
              </w:tcPr>
              <w:p w:rsidR="0035275B" w:rsidRDefault="0035275B" w:rsidP="00FA292C">
                <w:pPr>
                  <w:rPr>
                    <w:szCs w:val="21"/>
                  </w:rPr>
                </w:pPr>
                <w:r>
                  <w:t>1967年12月出生，男，中国国籍，博士研究生学历，本公司独立董事。1995年6月至2016年7月，历任中国路桥集团海外部投标报价处副处长，北京交通大学经管学院副教授、教授、副院长，研究生院副院长。2016年7月至今任北京交通大学经管学院教授、博士生导师。</w:t>
                </w:r>
              </w:p>
            </w:tc>
          </w:tr>
          <w:tr w:rsidR="0035275B" w:rsidTr="00FA292C">
            <w:tc>
              <w:tcPr>
                <w:tcW w:w="1384" w:type="dxa"/>
              </w:tcPr>
              <w:p w:rsidR="0035275B" w:rsidRDefault="0035275B" w:rsidP="00FA292C">
                <w:pPr>
                  <w:rPr>
                    <w:szCs w:val="21"/>
                  </w:rPr>
                </w:pPr>
                <w:r w:rsidRPr="00403057">
                  <w:rPr>
                    <w:rFonts w:hint="eastAsia"/>
                    <w:szCs w:val="21"/>
                  </w:rPr>
                  <w:t>许光建</w:t>
                </w:r>
              </w:p>
            </w:tc>
            <w:tc>
              <w:tcPr>
                <w:tcW w:w="12705" w:type="dxa"/>
              </w:tcPr>
              <w:p w:rsidR="0035275B" w:rsidRPr="00403057" w:rsidRDefault="0035275B" w:rsidP="00FA292C">
                <w:r w:rsidRPr="00403057">
                  <w:rPr>
                    <w:rFonts w:hint="eastAsia"/>
                  </w:rPr>
                  <w:t>1958年11月出生，男，中国国籍，</w:t>
                </w:r>
                <w:r w:rsidRPr="00403057">
                  <w:t>博士研究生学历，本公司独立董事。19</w:t>
                </w:r>
                <w:r w:rsidRPr="00403057">
                  <w:rPr>
                    <w:rFonts w:hint="eastAsia"/>
                  </w:rPr>
                  <w:t>84年12月至</w:t>
                </w:r>
                <w:r w:rsidRPr="00403057">
                  <w:t>20</w:t>
                </w:r>
                <w:r w:rsidRPr="00403057">
                  <w:rPr>
                    <w:rFonts w:hint="eastAsia"/>
                  </w:rPr>
                  <w:t>01年6月任中国人民大学国民经济管理系任教，先后担任副教授、教授、系主任；</w:t>
                </w:r>
                <w:r w:rsidRPr="00403057">
                  <w:t>20</w:t>
                </w:r>
                <w:r w:rsidRPr="00403057">
                  <w:rPr>
                    <w:rFonts w:hint="eastAsia"/>
                  </w:rPr>
                  <w:t>01年6月至2019年4月任中国人民大学公共管理学院任教，先后担任副院长、常务副院长；2019年5月至今，中国人民大学公共管理学院公共财政与公共政策研究所教授、博士生导师。</w:t>
                </w:r>
              </w:p>
            </w:tc>
          </w:tr>
          <w:tr w:rsidR="0035275B" w:rsidTr="00FA292C">
            <w:tc>
              <w:tcPr>
                <w:tcW w:w="1384" w:type="dxa"/>
              </w:tcPr>
              <w:p w:rsidR="0035275B" w:rsidRDefault="0035275B" w:rsidP="00FA292C">
                <w:pPr>
                  <w:rPr>
                    <w:szCs w:val="21"/>
                  </w:rPr>
                </w:pPr>
                <w:r w:rsidRPr="00403057">
                  <w:rPr>
                    <w:rFonts w:hint="eastAsia"/>
                    <w:szCs w:val="21"/>
                  </w:rPr>
                  <w:t>樊燕萍</w:t>
                </w:r>
              </w:p>
            </w:tc>
            <w:tc>
              <w:tcPr>
                <w:tcW w:w="12705" w:type="dxa"/>
              </w:tcPr>
              <w:p w:rsidR="0035275B" w:rsidRDefault="0035275B" w:rsidP="00806D32">
                <w:pPr>
                  <w:rPr>
                    <w:szCs w:val="21"/>
                  </w:rPr>
                </w:pPr>
                <w:r w:rsidRPr="00403057">
                  <w:rPr>
                    <w:szCs w:val="21"/>
                  </w:rPr>
                  <w:t>1971年2</w:t>
                </w:r>
                <w:r>
                  <w:rPr>
                    <w:szCs w:val="21"/>
                  </w:rPr>
                  <w:t>月出生，女，中国国籍，博士研究生学历，本公司独立董事</w:t>
                </w:r>
                <w:r w:rsidRPr="00403057">
                  <w:rPr>
                    <w:szCs w:val="21"/>
                  </w:rPr>
                  <w:t>。山西财经大学会计学院教授、硕士生导师</w:t>
                </w:r>
                <w:r w:rsidR="00806D32">
                  <w:rPr>
                    <w:rFonts w:hint="eastAsia"/>
                    <w:szCs w:val="21"/>
                  </w:rPr>
                  <w:t>，</w:t>
                </w:r>
                <w:r w:rsidRPr="00403057">
                  <w:rPr>
                    <w:szCs w:val="21"/>
                  </w:rPr>
                  <w:t>智能管理会计研究院</w:t>
                </w:r>
                <w:r>
                  <w:rPr>
                    <w:rFonts w:hint="eastAsia"/>
                    <w:szCs w:val="21"/>
                  </w:rPr>
                  <w:t>学术</w:t>
                </w:r>
                <w:r w:rsidRPr="00403057">
                  <w:rPr>
                    <w:szCs w:val="21"/>
                  </w:rPr>
                  <w:t>院长</w:t>
                </w:r>
                <w:r w:rsidR="00806D32">
                  <w:rPr>
                    <w:rFonts w:hint="eastAsia"/>
                    <w:szCs w:val="21"/>
                  </w:rPr>
                  <w:t>，校学术委员会委员。山西省审计学会副会长，山西省会计学会资源与环境会计专业委员会主任委员，太原市会计学会理事。</w:t>
                </w:r>
              </w:p>
            </w:tc>
          </w:tr>
          <w:tr w:rsidR="0035275B" w:rsidTr="00FA292C">
            <w:tc>
              <w:tcPr>
                <w:tcW w:w="1384" w:type="dxa"/>
              </w:tcPr>
              <w:p w:rsidR="0035275B" w:rsidRDefault="0035275B" w:rsidP="00FA292C">
                <w:pPr>
                  <w:rPr>
                    <w:szCs w:val="21"/>
                  </w:rPr>
                </w:pPr>
                <w:r>
                  <w:t>于峰</w:t>
                </w:r>
              </w:p>
            </w:tc>
            <w:tc>
              <w:tcPr>
                <w:tcW w:w="12705" w:type="dxa"/>
              </w:tcPr>
              <w:p w:rsidR="0035275B" w:rsidRDefault="0035275B" w:rsidP="00720DC6">
                <w:pPr>
                  <w:rPr>
                    <w:szCs w:val="21"/>
                  </w:rPr>
                </w:pPr>
                <w:r>
                  <w:t>1975年8</w:t>
                </w:r>
                <w:r w:rsidR="00720DC6">
                  <w:t>月出生，男，中国国籍，大学</w:t>
                </w:r>
                <w:r w:rsidR="00720DC6">
                  <w:rPr>
                    <w:rFonts w:hint="eastAsia"/>
                  </w:rPr>
                  <w:t>本科学历</w:t>
                </w:r>
                <w:r>
                  <w:t>，代理正高级审计师，本公司监事会主席。</w:t>
                </w:r>
                <w:r w:rsidR="00720DC6">
                  <w:rPr>
                    <w:rFonts w:hint="eastAsia"/>
                  </w:rPr>
                  <w:t>现</w:t>
                </w:r>
                <w:r w:rsidR="00720DC6" w:rsidRPr="00720DC6">
                  <w:rPr>
                    <w:rFonts w:hint="eastAsia"/>
                  </w:rPr>
                  <w:t>任中国铁路太原局集团有限公司审计部主任</w:t>
                </w:r>
                <w:r w:rsidR="00720DC6">
                  <w:rPr>
                    <w:rFonts w:hint="eastAsia"/>
                  </w:rPr>
                  <w:t>兼监事办公室主任</w:t>
                </w:r>
                <w:r w:rsidR="00720DC6" w:rsidRPr="00720DC6">
                  <w:rPr>
                    <w:rFonts w:hint="eastAsia"/>
                  </w:rPr>
                  <w:t>。</w:t>
                </w:r>
                <w:r>
                  <w:t>历任太原铁路局财务处产</w:t>
                </w:r>
                <w:r w:rsidR="003E7B02">
                  <w:t>权科科长、会计科科长，晋豫鲁铁路通道股份有限公司计划财务部部长</w:t>
                </w:r>
                <w:r w:rsidR="003E7B02">
                  <w:rPr>
                    <w:rFonts w:hint="eastAsia"/>
                  </w:rPr>
                  <w:t>，</w:t>
                </w:r>
                <w:r>
                  <w:t>中国铁路太原局集团有限公司财务部（收入部）副主任</w:t>
                </w:r>
                <w:r w:rsidR="003E7B02">
                  <w:rPr>
                    <w:rFonts w:hint="eastAsia"/>
                  </w:rPr>
                  <w:t>。</w:t>
                </w:r>
              </w:p>
            </w:tc>
          </w:tr>
          <w:tr w:rsidR="0035275B" w:rsidTr="00FA292C">
            <w:tc>
              <w:tcPr>
                <w:tcW w:w="1384" w:type="dxa"/>
              </w:tcPr>
              <w:p w:rsidR="0035275B" w:rsidRDefault="0035275B" w:rsidP="00FA292C">
                <w:pPr>
                  <w:rPr>
                    <w:szCs w:val="21"/>
                  </w:rPr>
                </w:pPr>
                <w:r>
                  <w:t>张永青</w:t>
                </w:r>
              </w:p>
            </w:tc>
            <w:tc>
              <w:tcPr>
                <w:tcW w:w="12705" w:type="dxa"/>
              </w:tcPr>
              <w:p w:rsidR="0035275B" w:rsidRDefault="0035275B" w:rsidP="00D7605C">
                <w:pPr>
                  <w:rPr>
                    <w:szCs w:val="21"/>
                  </w:rPr>
                </w:pPr>
                <w:r>
                  <w:t>1965年8月出生，男，中国国籍，大学学历，</w:t>
                </w:r>
                <w:r w:rsidR="00EE76E3">
                  <w:rPr>
                    <w:rFonts w:hint="eastAsia"/>
                  </w:rPr>
                  <w:t>高级</w:t>
                </w:r>
                <w:r w:rsidR="00D7605C">
                  <w:rPr>
                    <w:rFonts w:hint="eastAsia"/>
                  </w:rPr>
                  <w:t>政工师</w:t>
                </w:r>
                <w:r>
                  <w:t>，本公司监事。</w:t>
                </w:r>
                <w:r w:rsidR="00EE76E3">
                  <w:rPr>
                    <w:rFonts w:hint="eastAsia"/>
                  </w:rPr>
                  <w:t>现</w:t>
                </w:r>
                <w:r w:rsidR="00EE76E3" w:rsidRPr="00EE76E3">
                  <w:rPr>
                    <w:rFonts w:hint="eastAsia"/>
                  </w:rPr>
                  <w:t>任中国铁路太原局集团有限公司纪委副书记</w:t>
                </w:r>
                <w:r w:rsidR="00EE76E3">
                  <w:rPr>
                    <w:rFonts w:hint="eastAsia"/>
                  </w:rPr>
                  <w:t>。</w:t>
                </w:r>
                <w:r>
                  <w:t>历任太原铁路局忻州车务段段长、原平车务段段长、侯马车务段段长，太原铁路局多经处处长、经营开发处处长，</w:t>
                </w:r>
                <w:r w:rsidR="00EE76E3" w:rsidRPr="00EE76E3">
                  <w:rPr>
                    <w:rFonts w:hint="eastAsia"/>
                  </w:rPr>
                  <w:t>中国铁路太原局集团有限公司</w:t>
                </w:r>
                <w:r w:rsidR="00EE76E3">
                  <w:t>纪委副书记、监察处处长</w:t>
                </w:r>
                <w:r>
                  <w:t>。</w:t>
                </w:r>
              </w:p>
            </w:tc>
          </w:tr>
          <w:tr w:rsidR="0035275B" w:rsidTr="00FA292C">
            <w:tc>
              <w:tcPr>
                <w:tcW w:w="1384" w:type="dxa"/>
              </w:tcPr>
              <w:p w:rsidR="0035275B" w:rsidRDefault="0035275B" w:rsidP="00FA292C">
                <w:pPr>
                  <w:rPr>
                    <w:szCs w:val="21"/>
                  </w:rPr>
                </w:pPr>
                <w:r>
                  <w:t>杨 杰</w:t>
                </w:r>
              </w:p>
            </w:tc>
            <w:tc>
              <w:tcPr>
                <w:tcW w:w="12705" w:type="dxa"/>
              </w:tcPr>
              <w:p w:rsidR="0035275B" w:rsidRDefault="0035275B" w:rsidP="00DE0CDD">
                <w:pPr>
                  <w:rPr>
                    <w:szCs w:val="21"/>
                  </w:rPr>
                </w:pPr>
                <w:r>
                  <w:t>1970年6月出生，男，中国国籍，研究生学历，</w:t>
                </w:r>
                <w:r w:rsidR="00DE0CDD">
                  <w:rPr>
                    <w:rFonts w:hint="eastAsia"/>
                  </w:rPr>
                  <w:t>高级</w:t>
                </w:r>
                <w:r>
                  <w:t>政工师，本公司监事。</w:t>
                </w:r>
                <w:r w:rsidR="00DE0CDD">
                  <w:rPr>
                    <w:rFonts w:hint="eastAsia"/>
                  </w:rPr>
                  <w:t>现</w:t>
                </w:r>
                <w:r w:rsidR="00DE0CDD" w:rsidRPr="00DE0CDD">
                  <w:rPr>
                    <w:rFonts w:hint="eastAsia"/>
                  </w:rPr>
                  <w:t>任中国铁路太原局集团有限公司工会组织部部长。</w:t>
                </w:r>
                <w:r>
                  <w:t>历任本公司党委工作部组织工作室科员，党校函授部副主任；</w:t>
                </w:r>
                <w:r w:rsidR="00DE0CDD">
                  <w:t>太原铁路局工会生产文体部、组织民管部指导员</w:t>
                </w:r>
                <w:r w:rsidR="00DE0CDD">
                  <w:rPr>
                    <w:rFonts w:hint="eastAsia"/>
                  </w:rPr>
                  <w:t>；</w:t>
                </w:r>
                <w:r>
                  <w:t>太原铁路局工会组织民管部、组织部副部长；太原铁路局工会组织部部长</w:t>
                </w:r>
                <w:r w:rsidR="00DE0CDD">
                  <w:rPr>
                    <w:rFonts w:hint="eastAsia"/>
                  </w:rPr>
                  <w:t>。</w:t>
                </w:r>
              </w:p>
            </w:tc>
          </w:tr>
          <w:tr w:rsidR="0035275B" w:rsidTr="00FA292C">
            <w:tc>
              <w:tcPr>
                <w:tcW w:w="1384" w:type="dxa"/>
              </w:tcPr>
              <w:p w:rsidR="0035275B" w:rsidRDefault="0035275B" w:rsidP="00FA292C">
                <w:pPr>
                  <w:rPr>
                    <w:szCs w:val="21"/>
                  </w:rPr>
                </w:pPr>
                <w:r>
                  <w:t>谷天野</w:t>
                </w:r>
              </w:p>
            </w:tc>
            <w:tc>
              <w:tcPr>
                <w:tcW w:w="12705" w:type="dxa"/>
              </w:tcPr>
              <w:p w:rsidR="0035275B" w:rsidRDefault="0035275B" w:rsidP="00341619">
                <w:pPr>
                  <w:rPr>
                    <w:szCs w:val="21"/>
                  </w:rPr>
                </w:pPr>
                <w:r>
                  <w:t>1968年5月出生，男，中国国籍，博士研究生学历，本公司监事。</w:t>
                </w:r>
                <w:r w:rsidR="00341619">
                  <w:rPr>
                    <w:rFonts w:hint="eastAsia"/>
                  </w:rPr>
                  <w:t>现</w:t>
                </w:r>
                <w:r w:rsidR="00341619" w:rsidRPr="00341619">
                  <w:rPr>
                    <w:rFonts w:hint="eastAsia"/>
                  </w:rPr>
                  <w:t>任晋能控股煤业集团大同煤炭经营有限公司党委书记、总经理。</w:t>
                </w:r>
                <w:r w:rsidR="00341619">
                  <w:rPr>
                    <w:rFonts w:hint="eastAsia"/>
                  </w:rPr>
                  <w:t>历</w:t>
                </w:r>
                <w:r>
                  <w:t>任大同矿务局煤气厂净</w:t>
                </w:r>
                <w:r w:rsidR="00341619">
                  <w:t>化车间副主任、主任，黎明实业公司焦化厂厂长，活性炭公司副经理</w:t>
                </w:r>
                <w:r w:rsidR="00341619">
                  <w:rPr>
                    <w:rFonts w:hint="eastAsia"/>
                  </w:rPr>
                  <w:t>；</w:t>
                </w:r>
                <w:r w:rsidR="00341619">
                  <w:t>同煤集团煤炭运销公司副经理；</w:t>
                </w:r>
                <w:r>
                  <w:t>同煤</w:t>
                </w:r>
                <w:r w:rsidR="00341619">
                  <w:t>集团煤炭运销总公司副总经理、常务副总经理，煤炭经营公司总经理；</w:t>
                </w:r>
                <w:r>
                  <w:t>同煤集团煤炭运销总公司党委书记、总经理，煤炭经营公司执行董事。</w:t>
                </w:r>
              </w:p>
            </w:tc>
          </w:tr>
          <w:tr w:rsidR="0035275B" w:rsidTr="00FA292C">
            <w:tc>
              <w:tcPr>
                <w:tcW w:w="1384" w:type="dxa"/>
              </w:tcPr>
              <w:p w:rsidR="0035275B" w:rsidRDefault="0035275B" w:rsidP="00FA292C">
                <w:pPr>
                  <w:rPr>
                    <w:szCs w:val="21"/>
                  </w:rPr>
                </w:pPr>
                <w:r>
                  <w:t>吕建军</w:t>
                </w:r>
              </w:p>
            </w:tc>
            <w:tc>
              <w:tcPr>
                <w:tcW w:w="12705" w:type="dxa"/>
              </w:tcPr>
              <w:p w:rsidR="0035275B" w:rsidRDefault="0035275B" w:rsidP="00C84835">
                <w:pPr>
                  <w:rPr>
                    <w:szCs w:val="21"/>
                  </w:rPr>
                </w:pPr>
                <w:r>
                  <w:t>1964年8月出生，男，中国国籍，大学本科学历，高级政工师，本公司职工代表监事。</w:t>
                </w:r>
                <w:r w:rsidR="00C84835">
                  <w:rPr>
                    <w:rFonts w:hint="eastAsia"/>
                  </w:rPr>
                  <w:t>现</w:t>
                </w:r>
                <w:r w:rsidR="00C84835" w:rsidRPr="00C84835">
                  <w:rPr>
                    <w:rFonts w:hint="eastAsia"/>
                  </w:rPr>
                  <w:t>任公司大同工务段党委书记、副段长。</w:t>
                </w:r>
                <w:r>
                  <w:t>历任大同铁路分局大同工务段团委书记、领工区支部书记、党委副书记，公司大同工务段党委副书记、纪委书记，太原铁路局纪委执法监察室主任，公司朔州工务段党委书记、副段长。</w:t>
                </w:r>
              </w:p>
            </w:tc>
          </w:tr>
          <w:tr w:rsidR="0035275B" w:rsidTr="00FA292C">
            <w:tc>
              <w:tcPr>
                <w:tcW w:w="1384" w:type="dxa"/>
              </w:tcPr>
              <w:p w:rsidR="0035275B" w:rsidRDefault="0035275B" w:rsidP="00FA292C">
                <w:pPr>
                  <w:rPr>
                    <w:szCs w:val="21"/>
                  </w:rPr>
                </w:pPr>
                <w:r>
                  <w:t>李林军</w:t>
                </w:r>
              </w:p>
            </w:tc>
            <w:tc>
              <w:tcPr>
                <w:tcW w:w="12705" w:type="dxa"/>
              </w:tcPr>
              <w:p w:rsidR="0035275B" w:rsidRDefault="0035275B" w:rsidP="00E64180">
                <w:pPr>
                  <w:rPr>
                    <w:szCs w:val="21"/>
                  </w:rPr>
                </w:pPr>
                <w:r>
                  <w:t>1971年11月出生，男，中国国籍，大学本科学历，高级政工师，本公司职工代表监事。</w:t>
                </w:r>
                <w:r w:rsidR="00E64180">
                  <w:rPr>
                    <w:rFonts w:hint="eastAsia"/>
                  </w:rPr>
                  <w:t>现</w:t>
                </w:r>
                <w:r w:rsidR="00E64180" w:rsidRPr="00E64180">
                  <w:rPr>
                    <w:rFonts w:hint="eastAsia"/>
                  </w:rPr>
                  <w:t>任公司太原站</w:t>
                </w:r>
                <w:r w:rsidR="00E64180">
                  <w:rPr>
                    <w:rFonts w:hint="eastAsia"/>
                  </w:rPr>
                  <w:t>党委委员、</w:t>
                </w:r>
                <w:r w:rsidR="00E64180" w:rsidRPr="00E64180">
                  <w:rPr>
                    <w:rFonts w:hint="eastAsia"/>
                  </w:rPr>
                  <w:t>工会主席、副站长。</w:t>
                </w:r>
                <w:r>
                  <w:t>历任太原铁路局人事处综合干部科科长，领导干部科科长，山西太铁联合物流公司工会主席。</w:t>
                </w:r>
              </w:p>
            </w:tc>
          </w:tr>
          <w:tr w:rsidR="0035275B" w:rsidTr="00FA292C">
            <w:tc>
              <w:tcPr>
                <w:tcW w:w="1384" w:type="dxa"/>
              </w:tcPr>
              <w:p w:rsidR="0035275B" w:rsidRDefault="0035275B" w:rsidP="00FA292C">
                <w:pPr>
                  <w:rPr>
                    <w:szCs w:val="21"/>
                  </w:rPr>
                </w:pPr>
                <w:r>
                  <w:t>宋建中</w:t>
                </w:r>
              </w:p>
            </w:tc>
            <w:tc>
              <w:tcPr>
                <w:tcW w:w="12705" w:type="dxa"/>
              </w:tcPr>
              <w:p w:rsidR="0035275B" w:rsidRDefault="0035275B" w:rsidP="008B69C4">
                <w:pPr>
                  <w:rPr>
                    <w:szCs w:val="21"/>
                  </w:rPr>
                </w:pPr>
                <w:r>
                  <w:t>1963年12月出生，男，中国国籍，大学专科学历，本公司职工代表监事。</w:t>
                </w:r>
                <w:r w:rsidR="008B69C4">
                  <w:rPr>
                    <w:rFonts w:hint="eastAsia"/>
                  </w:rPr>
                  <w:t>现</w:t>
                </w:r>
                <w:r w:rsidR="008B69C4" w:rsidRPr="008B69C4">
                  <w:rPr>
                    <w:rFonts w:hint="eastAsia"/>
                  </w:rPr>
                  <w:t>任公司审计办公室主任。</w:t>
                </w:r>
                <w:r>
                  <w:t>历任太原铁路分局审计分处审计监察、副主任科员、主任科员，太原铁路局审计处主任科员、审计科科长。</w:t>
                </w:r>
              </w:p>
            </w:tc>
          </w:tr>
          <w:tr w:rsidR="0035275B" w:rsidTr="00FA292C">
            <w:tc>
              <w:tcPr>
                <w:tcW w:w="1384" w:type="dxa"/>
              </w:tcPr>
              <w:p w:rsidR="0035275B" w:rsidRDefault="0035275B" w:rsidP="00FA292C">
                <w:pPr>
                  <w:rPr>
                    <w:szCs w:val="21"/>
                  </w:rPr>
                </w:pPr>
                <w:r>
                  <w:t>常巍</w:t>
                </w:r>
              </w:p>
            </w:tc>
            <w:tc>
              <w:tcPr>
                <w:tcW w:w="12705" w:type="dxa"/>
              </w:tcPr>
              <w:p w:rsidR="0035275B" w:rsidRDefault="0035275B" w:rsidP="00FA292C">
                <w:pPr>
                  <w:rPr>
                    <w:szCs w:val="21"/>
                  </w:rPr>
                </w:pPr>
                <w:r>
                  <w:t>1982年6月出生，男，中国国籍，大学本科学历，高级工程师，本公司</w:t>
                </w:r>
                <w:r w:rsidR="007A2CB2">
                  <w:rPr>
                    <w:rFonts w:hint="eastAsia"/>
                  </w:rPr>
                  <w:t>党委委员、</w:t>
                </w:r>
                <w:r>
                  <w:t>副总经理。</w:t>
                </w:r>
              </w:p>
            </w:tc>
          </w:tr>
          <w:tr w:rsidR="0035275B" w:rsidTr="00FA292C">
            <w:tc>
              <w:tcPr>
                <w:tcW w:w="1384" w:type="dxa"/>
              </w:tcPr>
              <w:p w:rsidR="0035275B" w:rsidRDefault="0035275B" w:rsidP="00FA292C">
                <w:pPr>
                  <w:rPr>
                    <w:szCs w:val="21"/>
                  </w:rPr>
                </w:pPr>
                <w:r>
                  <w:t>朱士强</w:t>
                </w:r>
              </w:p>
            </w:tc>
            <w:tc>
              <w:tcPr>
                <w:tcW w:w="12705" w:type="dxa"/>
              </w:tcPr>
              <w:p w:rsidR="0035275B" w:rsidRDefault="0035275B" w:rsidP="00FA292C">
                <w:pPr>
                  <w:rPr>
                    <w:szCs w:val="21"/>
                  </w:rPr>
                </w:pPr>
                <w:r>
                  <w:t>1975年1月出生，男，中国国籍，大学本科学历，正高级经济师，本公司</w:t>
                </w:r>
                <w:r w:rsidR="00A5768A">
                  <w:rPr>
                    <w:rFonts w:hint="eastAsia"/>
                  </w:rPr>
                  <w:t>党委委员、</w:t>
                </w:r>
                <w:r>
                  <w:t>副总经理。历任</w:t>
                </w:r>
                <w:r w:rsidR="002A27EE">
                  <w:t>公司总经理工作部副部长、计划财务部副部长、基础装备部部长</w:t>
                </w:r>
                <w:r>
                  <w:t>。</w:t>
                </w:r>
              </w:p>
            </w:tc>
          </w:tr>
        </w:tbl>
        <w:p w:rsidR="0035275B" w:rsidRDefault="0035275B"/>
        <w:p w:rsidR="00806678" w:rsidRDefault="00B16377">
          <w:pPr>
            <w:rPr>
              <w:szCs w:val="21"/>
            </w:rPr>
          </w:pPr>
          <w:r>
            <w:rPr>
              <w:szCs w:val="21"/>
            </w:rPr>
            <w:lastRenderedPageBreak/>
            <w:t>其它情况说明</w:t>
          </w:r>
        </w:p>
        <w:sdt>
          <w:sdtPr>
            <w:rPr>
              <w:szCs w:val="21"/>
            </w:rPr>
            <w:alias w:val="是否适用：董事、监事 和高级管理人员持股变动及报酬情况其他情况说明[双击切换]"/>
            <w:tag w:val="_GBC_9b04f21816b544bc9606e29c2556c9ba"/>
            <w:id w:val="-1843153532"/>
            <w:lock w:val="sdtLocked"/>
            <w:placeholder>
              <w:docPart w:val="GBC22222222222222222222222222222"/>
            </w:placeholder>
          </w:sdtPr>
          <w:sdtContent>
            <w:p w:rsidR="00806678" w:rsidRDefault="00F80B6C">
              <w:pPr>
                <w:rPr>
                  <w:szCs w:val="21"/>
                </w:rPr>
              </w:pPr>
              <w:r>
                <w:rPr>
                  <w:szCs w:val="21"/>
                </w:rPr>
                <w:fldChar w:fldCharType="begin"/>
              </w:r>
              <w:r w:rsidR="0052099A">
                <w:rPr>
                  <w:szCs w:val="21"/>
                </w:rPr>
                <w:instrText xml:space="preserve">MACROBUTTON  SnrToggleCheckbox √适用 </w:instrText>
              </w:r>
              <w:r>
                <w:rPr>
                  <w:szCs w:val="21"/>
                </w:rPr>
                <w:fldChar w:fldCharType="end"/>
              </w:r>
              <w:r>
                <w:rPr>
                  <w:szCs w:val="21"/>
                </w:rPr>
                <w:fldChar w:fldCharType="begin"/>
              </w:r>
              <w:r w:rsidR="0052099A">
                <w:rPr>
                  <w:szCs w:val="21"/>
                </w:rPr>
                <w:instrText xml:space="preserve"> MACROBUTTON  SnrToggleCheckbox □不适用 </w:instrText>
              </w:r>
              <w:r>
                <w:rPr>
                  <w:szCs w:val="21"/>
                </w:rPr>
                <w:fldChar w:fldCharType="end"/>
              </w:r>
            </w:p>
          </w:sdtContent>
        </w:sdt>
        <w:sdt>
          <w:sdtPr>
            <w:rPr>
              <w:szCs w:val="21"/>
            </w:rPr>
            <w:alias w:val="董事、监事和高级管理人员持股变动及报酬其他情况说明"/>
            <w:tag w:val="_GBC_557fdbc21d794629ab786dcecc519b1c"/>
            <w:id w:val="-397436876"/>
            <w:lock w:val="sdtLocked"/>
            <w:placeholder>
              <w:docPart w:val="GBC22222222222222222222222222222"/>
            </w:placeholder>
          </w:sdtPr>
          <w:sdtContent>
            <w:p w:rsidR="006B1DF9" w:rsidRDefault="006B1DF9" w:rsidP="006B1DF9">
              <w:pPr>
                <w:ind w:firstLineChars="200" w:firstLine="420"/>
                <w:rPr>
                  <w:szCs w:val="21"/>
                </w:rPr>
              </w:pPr>
              <w:r>
                <w:rPr>
                  <w:szCs w:val="21"/>
                </w:rPr>
                <w:t>20</w:t>
              </w:r>
              <w:r>
                <w:rPr>
                  <w:rFonts w:hint="eastAsia"/>
                  <w:szCs w:val="21"/>
                </w:rPr>
                <w:t>23</w:t>
              </w:r>
              <w:r w:rsidRPr="006831C5">
                <w:rPr>
                  <w:szCs w:val="21"/>
                </w:rPr>
                <w:t>年</w:t>
              </w:r>
              <w:r>
                <w:rPr>
                  <w:rFonts w:hint="eastAsia"/>
                  <w:szCs w:val="21"/>
                </w:rPr>
                <w:t>2</w:t>
              </w:r>
              <w:r w:rsidRPr="006831C5">
                <w:rPr>
                  <w:szCs w:val="21"/>
                </w:rPr>
                <w:t>月</w:t>
              </w:r>
              <w:r>
                <w:rPr>
                  <w:rFonts w:hint="eastAsia"/>
                  <w:szCs w:val="21"/>
                </w:rPr>
                <w:t>9</w:t>
              </w:r>
              <w:r w:rsidRPr="006831C5">
                <w:rPr>
                  <w:szCs w:val="21"/>
                </w:rPr>
                <w:t>日召开的公司</w:t>
              </w:r>
              <w:r>
                <w:rPr>
                  <w:szCs w:val="21"/>
                </w:rPr>
                <w:t>20</w:t>
              </w:r>
              <w:r>
                <w:rPr>
                  <w:rFonts w:hint="eastAsia"/>
                  <w:szCs w:val="21"/>
                </w:rPr>
                <w:t>23</w:t>
              </w:r>
              <w:r w:rsidRPr="006831C5">
                <w:rPr>
                  <w:szCs w:val="21"/>
                </w:rPr>
                <w:t>年</w:t>
              </w:r>
              <w:r>
                <w:rPr>
                  <w:rFonts w:hint="eastAsia"/>
                  <w:szCs w:val="21"/>
                </w:rPr>
                <w:t>第一次临时</w:t>
              </w:r>
              <w:r w:rsidRPr="006831C5">
                <w:rPr>
                  <w:szCs w:val="21"/>
                </w:rPr>
                <w:t>股东大会审议通过</w:t>
              </w:r>
              <w:r>
                <w:rPr>
                  <w:rFonts w:hint="eastAsia"/>
                  <w:szCs w:val="21"/>
                </w:rPr>
                <w:t>了</w:t>
              </w:r>
              <w:r w:rsidRPr="006831C5">
                <w:rPr>
                  <w:szCs w:val="21"/>
                </w:rPr>
                <w:t>《</w:t>
              </w:r>
              <w:r w:rsidRPr="005F7D9E">
                <w:rPr>
                  <w:rFonts w:hint="eastAsia"/>
                  <w:szCs w:val="21"/>
                </w:rPr>
                <w:t>关于选举戴弘先生为公司第六届董事会董事的议案</w:t>
              </w:r>
              <w:r w:rsidRPr="006831C5">
                <w:rPr>
                  <w:szCs w:val="21"/>
                </w:rPr>
                <w:t>》。</w:t>
              </w:r>
              <w:r>
                <w:rPr>
                  <w:rFonts w:hint="eastAsia"/>
                  <w:szCs w:val="21"/>
                </w:rPr>
                <w:t>会议</w:t>
              </w:r>
              <w:r w:rsidRPr="006831C5">
                <w:rPr>
                  <w:szCs w:val="21"/>
                </w:rPr>
                <w:t>选举</w:t>
              </w:r>
              <w:r>
                <w:rPr>
                  <w:rFonts w:hint="eastAsia"/>
                  <w:szCs w:val="21"/>
                </w:rPr>
                <w:t>戴弘先生</w:t>
              </w:r>
              <w:r>
                <w:rPr>
                  <w:szCs w:val="21"/>
                </w:rPr>
                <w:t>为公司第</w:t>
              </w:r>
              <w:r>
                <w:rPr>
                  <w:rFonts w:hint="eastAsia"/>
                  <w:szCs w:val="21"/>
                </w:rPr>
                <w:t>六</w:t>
              </w:r>
              <w:r>
                <w:rPr>
                  <w:szCs w:val="21"/>
                </w:rPr>
                <w:t>届董事会董事</w:t>
              </w:r>
              <w:r w:rsidR="008E4252">
                <w:rPr>
                  <w:rFonts w:hint="eastAsia"/>
                  <w:szCs w:val="21"/>
                </w:rPr>
                <w:t>。</w:t>
              </w:r>
              <w:r>
                <w:rPr>
                  <w:rFonts w:hint="eastAsia"/>
                  <w:szCs w:val="21"/>
                </w:rPr>
                <w:t>六届十七次董事会选举戴弘先生为公司第六届董事会董事长。</w:t>
              </w:r>
            </w:p>
            <w:p w:rsidR="00806678" w:rsidRDefault="00734CF1" w:rsidP="006B1DF9">
              <w:pPr>
                <w:ind w:firstLineChars="200" w:firstLine="420"/>
                <w:rPr>
                  <w:szCs w:val="21"/>
                </w:rPr>
              </w:pPr>
              <w:r>
                <w:rPr>
                  <w:szCs w:val="21"/>
                </w:rPr>
                <w:t>20</w:t>
              </w:r>
              <w:r>
                <w:rPr>
                  <w:rFonts w:hint="eastAsia"/>
                  <w:szCs w:val="21"/>
                </w:rPr>
                <w:t>22</w:t>
              </w:r>
              <w:r w:rsidRPr="006831C5">
                <w:rPr>
                  <w:szCs w:val="21"/>
                </w:rPr>
                <w:t>年5月</w:t>
              </w:r>
              <w:r>
                <w:rPr>
                  <w:rFonts w:hint="eastAsia"/>
                  <w:szCs w:val="21"/>
                </w:rPr>
                <w:t>25</w:t>
              </w:r>
              <w:r w:rsidRPr="006831C5">
                <w:rPr>
                  <w:szCs w:val="21"/>
                </w:rPr>
                <w:t>日召开的公司</w:t>
              </w:r>
              <w:r>
                <w:rPr>
                  <w:szCs w:val="21"/>
                </w:rPr>
                <w:t>20</w:t>
              </w:r>
              <w:r>
                <w:rPr>
                  <w:rFonts w:hint="eastAsia"/>
                  <w:szCs w:val="21"/>
                </w:rPr>
                <w:t>21</w:t>
              </w:r>
              <w:r w:rsidRPr="006831C5">
                <w:rPr>
                  <w:szCs w:val="21"/>
                </w:rPr>
                <w:t>年年度股东大会审议通过</w:t>
              </w:r>
              <w:r>
                <w:rPr>
                  <w:rFonts w:hint="eastAsia"/>
                  <w:szCs w:val="21"/>
                </w:rPr>
                <w:t>了</w:t>
              </w:r>
              <w:r w:rsidRPr="006831C5">
                <w:rPr>
                  <w:szCs w:val="21"/>
                </w:rPr>
                <w:t>《</w:t>
              </w:r>
              <w:r w:rsidRPr="00734CF1">
                <w:rPr>
                  <w:rFonts w:hint="eastAsia"/>
                  <w:szCs w:val="21"/>
                </w:rPr>
                <w:t>关于选举公司第六届董事会独立董事的议案</w:t>
              </w:r>
              <w:r w:rsidRPr="006831C5">
                <w:rPr>
                  <w:szCs w:val="21"/>
                </w:rPr>
                <w:t>》。</w:t>
              </w:r>
              <w:r>
                <w:rPr>
                  <w:rFonts w:hint="eastAsia"/>
                  <w:szCs w:val="21"/>
                </w:rPr>
                <w:t>会议</w:t>
              </w:r>
              <w:r w:rsidRPr="006831C5">
                <w:rPr>
                  <w:szCs w:val="21"/>
                </w:rPr>
                <w:t>选举</w:t>
              </w:r>
              <w:r w:rsidRPr="00734CF1">
                <w:rPr>
                  <w:rFonts w:hint="eastAsia"/>
                  <w:szCs w:val="21"/>
                </w:rPr>
                <w:t>许光建先生、樊燕萍女士</w:t>
              </w:r>
              <w:r>
                <w:rPr>
                  <w:szCs w:val="21"/>
                </w:rPr>
                <w:t>为公司第</w:t>
              </w:r>
              <w:r>
                <w:rPr>
                  <w:rFonts w:hint="eastAsia"/>
                  <w:szCs w:val="21"/>
                </w:rPr>
                <w:t>六</w:t>
              </w:r>
              <w:r>
                <w:rPr>
                  <w:szCs w:val="21"/>
                </w:rPr>
                <w:t>届董事会</w:t>
              </w:r>
              <w:r>
                <w:rPr>
                  <w:rFonts w:hint="eastAsia"/>
                  <w:szCs w:val="21"/>
                </w:rPr>
                <w:t>独立</w:t>
              </w:r>
              <w:r>
                <w:rPr>
                  <w:szCs w:val="21"/>
                </w:rPr>
                <w:t>董事</w:t>
              </w:r>
              <w:r>
                <w:rPr>
                  <w:rFonts w:hint="eastAsia"/>
                  <w:szCs w:val="21"/>
                </w:rPr>
                <w:t>。</w:t>
              </w:r>
            </w:p>
          </w:sdtContent>
        </w:sdt>
      </w:sdtContent>
    </w:sdt>
    <w:bookmarkEnd w:id="53"/>
    <w:p w:rsidR="00806678" w:rsidRDefault="00806678">
      <w:pPr>
        <w:rPr>
          <w:szCs w:val="21"/>
        </w:rPr>
      </w:pPr>
    </w:p>
    <w:p w:rsidR="00806678" w:rsidRDefault="00806678">
      <w:pPr>
        <w:rPr>
          <w:szCs w:val="21"/>
        </w:rPr>
        <w:sectPr w:rsidR="00806678" w:rsidSect="00712D26">
          <w:pgSz w:w="16838" w:h="11906" w:orient="landscape"/>
          <w:pgMar w:top="1797" w:right="1525" w:bottom="1276" w:left="1440" w:header="855" w:footer="992" w:gutter="0"/>
          <w:cols w:space="425"/>
          <w:docGrid w:linePitch="312"/>
        </w:sectPr>
      </w:pPr>
    </w:p>
    <w:p w:rsidR="00806678" w:rsidRDefault="00B16377" w:rsidP="00FF17C7">
      <w:pPr>
        <w:pStyle w:val="3"/>
        <w:numPr>
          <w:ilvl w:val="0"/>
          <w:numId w:val="124"/>
        </w:numPr>
        <w:ind w:left="0" w:firstLine="0"/>
      </w:pPr>
      <w:r>
        <w:rPr>
          <w:rFonts w:hint="eastAsia"/>
        </w:rPr>
        <w:lastRenderedPageBreak/>
        <w:t>现任及报告期内离任董事、监事和高级管理人员的任职情况</w:t>
      </w:r>
    </w:p>
    <w:sdt>
      <w:sdtPr>
        <w:rPr>
          <w:rFonts w:ascii="宋体" w:hAnsi="宋体" w:cs="宋体"/>
          <w:b/>
          <w:bCs/>
          <w:kern w:val="0"/>
          <w:szCs w:val="24"/>
        </w:rPr>
        <w:alias w:val="模块:在股东单位任职情况"/>
        <w:tag w:val="_SEC_71174076095e4b3299192300e2845511"/>
        <w:id w:val="3160001"/>
        <w:lock w:val="sdtLocked"/>
        <w:placeholder>
          <w:docPart w:val="GBC22222222222222222222222222222"/>
        </w:placeholder>
      </w:sdtPr>
      <w:sdtEndPr>
        <w:rPr>
          <w:b w:val="0"/>
          <w:bCs w:val="0"/>
          <w:szCs w:val="21"/>
        </w:rPr>
      </w:sdtEndPr>
      <w:sdtContent>
        <w:p w:rsidR="00806678" w:rsidRDefault="00B16377" w:rsidP="00FF17C7">
          <w:pPr>
            <w:pStyle w:val="a9"/>
            <w:numPr>
              <w:ilvl w:val="0"/>
              <w:numId w:val="130"/>
            </w:numPr>
            <w:ind w:firstLineChars="0"/>
            <w:rPr>
              <w:b/>
              <w:bCs/>
            </w:rPr>
          </w:pPr>
          <w:r>
            <w:rPr>
              <w:b/>
              <w:bCs/>
            </w:rPr>
            <w:t>在股东单位任职情况</w:t>
          </w:r>
        </w:p>
        <w:sdt>
          <w:sdtPr>
            <w:rPr>
              <w:szCs w:val="21"/>
            </w:rPr>
            <w:alias w:val="是否适用：在股东单位任职情况[双击切换]"/>
            <w:tag w:val="_GBC_c450b54d9ea443cf85cc614c8528526b"/>
            <w:id w:val="-1991233746"/>
            <w:lock w:val="sdtLocked"/>
            <w:placeholder>
              <w:docPart w:val="GBC22222222222222222222222222222"/>
            </w:placeholder>
          </w:sdtPr>
          <w:sdtContent>
            <w:p w:rsidR="00806678" w:rsidRDefault="00F80B6C">
              <w:pPr>
                <w:rPr>
                  <w:szCs w:val="21"/>
                </w:rPr>
              </w:pPr>
              <w:r>
                <w:rPr>
                  <w:szCs w:val="21"/>
                </w:rPr>
                <w:fldChar w:fldCharType="begin"/>
              </w:r>
              <w:r w:rsidR="00A86BFC">
                <w:rPr>
                  <w:szCs w:val="21"/>
                </w:rPr>
                <w:instrText xml:space="preserve">MACROBUTTON  SnrToggleCheckbox √适用 </w:instrText>
              </w:r>
              <w:r>
                <w:rPr>
                  <w:szCs w:val="21"/>
                </w:rPr>
                <w:fldChar w:fldCharType="end"/>
              </w:r>
              <w:r>
                <w:rPr>
                  <w:szCs w:val="21"/>
                </w:rPr>
                <w:fldChar w:fldCharType="begin"/>
              </w:r>
              <w:r w:rsidR="00A86BFC">
                <w:rPr>
                  <w:szCs w:val="21"/>
                </w:rPr>
                <w:instrText xml:space="preserve"> MACROBUTTON  SnrToggleCheckbox □不适用 </w:instrText>
              </w:r>
              <w:r>
                <w:rPr>
                  <w:szCs w:val="21"/>
                </w:rPr>
                <w:fldChar w:fldCharType="end"/>
              </w:r>
            </w:p>
          </w:sdtContent>
        </w:sdt>
        <w:tbl>
          <w:tblPr>
            <w:tblStyle w:val="a6"/>
            <w:tblW w:w="0" w:type="auto"/>
            <w:tblLook w:val="04A0"/>
          </w:tblPr>
          <w:tblGrid>
            <w:gridCol w:w="959"/>
            <w:gridCol w:w="3153"/>
            <w:gridCol w:w="2233"/>
            <w:gridCol w:w="1560"/>
            <w:gridCol w:w="1144"/>
          </w:tblGrid>
          <w:tr w:rsidR="00A86BFC" w:rsidTr="00A86BFC">
            <w:trPr>
              <w:trHeight w:val="105"/>
            </w:trPr>
            <w:sdt>
              <w:sdtPr>
                <w:tag w:val="_PLD_11f45a37b8cb4cfd8d25787f0979b6e9"/>
                <w:id w:val="353840"/>
                <w:lock w:val="sdtLocked"/>
              </w:sdtPr>
              <w:sdtContent>
                <w:tc>
                  <w:tcPr>
                    <w:tcW w:w="959" w:type="dxa"/>
                    <w:vAlign w:val="center"/>
                  </w:tcPr>
                  <w:p w:rsidR="00A86BFC" w:rsidRDefault="00A86BFC" w:rsidP="00FA292C">
                    <w:pPr>
                      <w:jc w:val="center"/>
                      <w:rPr>
                        <w:szCs w:val="21"/>
                      </w:rPr>
                    </w:pPr>
                    <w:r>
                      <w:rPr>
                        <w:szCs w:val="21"/>
                      </w:rPr>
                      <w:t>任职人员姓名</w:t>
                    </w:r>
                  </w:p>
                </w:tc>
              </w:sdtContent>
            </w:sdt>
            <w:sdt>
              <w:sdtPr>
                <w:tag w:val="_PLD_174ff645994f420ea5626aa7d6f5ddb5"/>
                <w:id w:val="353841"/>
                <w:lock w:val="sdtLocked"/>
              </w:sdtPr>
              <w:sdtContent>
                <w:tc>
                  <w:tcPr>
                    <w:tcW w:w="3153" w:type="dxa"/>
                    <w:vAlign w:val="center"/>
                  </w:tcPr>
                  <w:p w:rsidR="00A86BFC" w:rsidRDefault="00A86BFC" w:rsidP="00FA292C">
                    <w:pPr>
                      <w:jc w:val="center"/>
                      <w:rPr>
                        <w:szCs w:val="21"/>
                      </w:rPr>
                    </w:pPr>
                    <w:r>
                      <w:rPr>
                        <w:szCs w:val="21"/>
                      </w:rPr>
                      <w:t>股东单位名称</w:t>
                    </w:r>
                  </w:p>
                </w:tc>
              </w:sdtContent>
            </w:sdt>
            <w:sdt>
              <w:sdtPr>
                <w:tag w:val="_PLD_c5b9ccac06314dc19400d1f75f51ed76"/>
                <w:id w:val="353842"/>
                <w:lock w:val="sdtLocked"/>
              </w:sdtPr>
              <w:sdtContent>
                <w:tc>
                  <w:tcPr>
                    <w:tcW w:w="2233" w:type="dxa"/>
                    <w:vAlign w:val="center"/>
                  </w:tcPr>
                  <w:p w:rsidR="00A86BFC" w:rsidRDefault="00A86BFC" w:rsidP="00FA292C">
                    <w:pPr>
                      <w:jc w:val="center"/>
                      <w:rPr>
                        <w:szCs w:val="21"/>
                      </w:rPr>
                    </w:pPr>
                    <w:r>
                      <w:rPr>
                        <w:szCs w:val="21"/>
                      </w:rPr>
                      <w:t>在股东单位担任的职务</w:t>
                    </w:r>
                  </w:p>
                </w:tc>
              </w:sdtContent>
            </w:sdt>
            <w:sdt>
              <w:sdtPr>
                <w:tag w:val="_PLD_6d359bac7e194427adef03e3d072f875"/>
                <w:id w:val="353843"/>
                <w:lock w:val="sdtLocked"/>
              </w:sdtPr>
              <w:sdtContent>
                <w:tc>
                  <w:tcPr>
                    <w:tcW w:w="1560" w:type="dxa"/>
                    <w:vAlign w:val="center"/>
                  </w:tcPr>
                  <w:p w:rsidR="00A86BFC" w:rsidRDefault="00A86BFC" w:rsidP="00FA292C">
                    <w:pPr>
                      <w:jc w:val="center"/>
                      <w:rPr>
                        <w:szCs w:val="21"/>
                      </w:rPr>
                    </w:pPr>
                    <w:r>
                      <w:rPr>
                        <w:szCs w:val="21"/>
                      </w:rPr>
                      <w:t>任期起始日期</w:t>
                    </w:r>
                  </w:p>
                </w:tc>
              </w:sdtContent>
            </w:sdt>
            <w:sdt>
              <w:sdtPr>
                <w:tag w:val="_PLD_ba28085d64d240089bfcbff8c64cf230"/>
                <w:id w:val="353844"/>
                <w:lock w:val="sdtLocked"/>
              </w:sdtPr>
              <w:sdtContent>
                <w:tc>
                  <w:tcPr>
                    <w:tcW w:w="1144" w:type="dxa"/>
                    <w:vAlign w:val="center"/>
                  </w:tcPr>
                  <w:p w:rsidR="00A86BFC" w:rsidRDefault="00A86BFC" w:rsidP="00FA292C">
                    <w:pPr>
                      <w:jc w:val="center"/>
                      <w:rPr>
                        <w:szCs w:val="21"/>
                      </w:rPr>
                    </w:pPr>
                    <w:r>
                      <w:rPr>
                        <w:szCs w:val="21"/>
                      </w:rPr>
                      <w:t>任期终止日期</w:t>
                    </w:r>
                  </w:p>
                </w:tc>
              </w:sdtContent>
            </w:sdt>
          </w:tr>
          <w:sdt>
            <w:sdtPr>
              <w:rPr>
                <w:rFonts w:asciiTheme="minorHAnsi" w:eastAsiaTheme="minorEastAsia" w:hAnsiTheme="minorHAnsi" w:cstheme="minorBidi" w:hint="eastAsia"/>
                <w:kern w:val="2"/>
                <w:szCs w:val="21"/>
              </w:rPr>
              <w:alias w:val="董事、监事、高级管理人员在股东单位任职情况"/>
              <w:tag w:val="_TUP_6fadbebda8f14f00acfb087a1f629834"/>
              <w:id w:val="353845"/>
              <w:lock w:val="sdtLocked"/>
            </w:sdtPr>
            <w:sdtContent>
              <w:tr w:rsidR="00A86BFC" w:rsidTr="00A86BFC">
                <w:trPr>
                  <w:trHeight w:val="147"/>
                </w:trPr>
                <w:tc>
                  <w:tcPr>
                    <w:tcW w:w="959" w:type="dxa"/>
                  </w:tcPr>
                  <w:p w:rsidR="00A86BFC" w:rsidRDefault="00A86BFC" w:rsidP="00FA292C">
                    <w:pPr>
                      <w:rPr>
                        <w:szCs w:val="21"/>
                      </w:rPr>
                    </w:pPr>
                    <w:r w:rsidRPr="00A86BFC">
                      <w:rPr>
                        <w:rFonts w:asciiTheme="minorHAnsi" w:eastAsiaTheme="minorEastAsia" w:hAnsiTheme="minorHAnsi" w:cstheme="minorBidi" w:hint="eastAsia"/>
                        <w:kern w:val="2"/>
                        <w:szCs w:val="21"/>
                      </w:rPr>
                      <w:t>戴弘</w:t>
                    </w:r>
                  </w:p>
                </w:tc>
                <w:tc>
                  <w:tcPr>
                    <w:tcW w:w="3153" w:type="dxa"/>
                    <w:vAlign w:val="center"/>
                  </w:tcPr>
                  <w:p w:rsidR="00A86BFC" w:rsidRDefault="00A86BFC" w:rsidP="00FA292C">
                    <w:pPr>
                      <w:rPr>
                        <w:sz w:val="24"/>
                      </w:rPr>
                    </w:pPr>
                    <w:r>
                      <w:t>中国铁路太原局集团有限公司</w:t>
                    </w:r>
                  </w:p>
                </w:tc>
                <w:tc>
                  <w:tcPr>
                    <w:tcW w:w="2233" w:type="dxa"/>
                    <w:vAlign w:val="center"/>
                  </w:tcPr>
                  <w:p w:rsidR="00A86BFC" w:rsidRDefault="00A86BFC" w:rsidP="00FA292C">
                    <w:pPr>
                      <w:rPr>
                        <w:sz w:val="24"/>
                      </w:rPr>
                    </w:pPr>
                    <w:r>
                      <w:t>党委书记、董事长</w:t>
                    </w:r>
                  </w:p>
                </w:tc>
                <w:tc>
                  <w:tcPr>
                    <w:tcW w:w="1560" w:type="dxa"/>
                  </w:tcPr>
                  <w:p w:rsidR="00A86BFC" w:rsidRDefault="00A86BFC" w:rsidP="00FA292C">
                    <w:pPr>
                      <w:rPr>
                        <w:szCs w:val="21"/>
                      </w:rPr>
                    </w:pPr>
                    <w:r>
                      <w:rPr>
                        <w:szCs w:val="21"/>
                      </w:rPr>
                      <w:t>202</w:t>
                    </w:r>
                    <w:r>
                      <w:rPr>
                        <w:rFonts w:hint="eastAsia"/>
                        <w:szCs w:val="21"/>
                      </w:rPr>
                      <w:t>2</w:t>
                    </w:r>
                    <w:r w:rsidRPr="00A86BFC">
                      <w:rPr>
                        <w:szCs w:val="21"/>
                      </w:rPr>
                      <w:t>年</w:t>
                    </w:r>
                    <w:r>
                      <w:rPr>
                        <w:rFonts w:hint="eastAsia"/>
                        <w:szCs w:val="21"/>
                      </w:rPr>
                      <w:t>11</w:t>
                    </w:r>
                    <w:r w:rsidRPr="00A86BFC">
                      <w:rPr>
                        <w:szCs w:val="21"/>
                      </w:rPr>
                      <w:t>月</w:t>
                    </w:r>
                  </w:p>
                </w:tc>
                <w:tc>
                  <w:tcPr>
                    <w:tcW w:w="1144" w:type="dxa"/>
                  </w:tcPr>
                  <w:p w:rsidR="00A86BFC" w:rsidRDefault="00A86BFC" w:rsidP="00FA292C">
                    <w:pPr>
                      <w:rPr>
                        <w:szCs w:val="21"/>
                      </w:rPr>
                    </w:pPr>
                  </w:p>
                </w:tc>
              </w:tr>
            </w:sdtContent>
          </w:sdt>
          <w:sdt>
            <w:sdtPr>
              <w:rPr>
                <w:rFonts w:asciiTheme="minorHAnsi" w:eastAsiaTheme="minorEastAsia" w:hAnsiTheme="minorHAnsi" w:cstheme="minorBidi" w:hint="eastAsia"/>
                <w:kern w:val="2"/>
                <w:szCs w:val="21"/>
              </w:rPr>
              <w:alias w:val="董事、监事、高级管理人员在股东单位任职情况"/>
              <w:tag w:val="_TUP_6fadbebda8f14f00acfb087a1f629834"/>
              <w:id w:val="353846"/>
              <w:lock w:val="sdtLocked"/>
            </w:sdtPr>
            <w:sdtContent>
              <w:tr w:rsidR="00A86BFC" w:rsidTr="00A86BFC">
                <w:trPr>
                  <w:trHeight w:val="147"/>
                </w:trPr>
                <w:tc>
                  <w:tcPr>
                    <w:tcW w:w="959" w:type="dxa"/>
                  </w:tcPr>
                  <w:p w:rsidR="00A86BFC" w:rsidRDefault="00A86BFC" w:rsidP="00FA292C">
                    <w:pPr>
                      <w:rPr>
                        <w:szCs w:val="21"/>
                      </w:rPr>
                    </w:pPr>
                    <w:r>
                      <w:t>王道阔</w:t>
                    </w:r>
                  </w:p>
                </w:tc>
                <w:tc>
                  <w:tcPr>
                    <w:tcW w:w="3153" w:type="dxa"/>
                  </w:tcPr>
                  <w:p w:rsidR="00A86BFC" w:rsidRDefault="00A86BFC" w:rsidP="00FA292C">
                    <w:pPr>
                      <w:rPr>
                        <w:szCs w:val="21"/>
                      </w:rPr>
                    </w:pPr>
                    <w:r>
                      <w:t>中国铁路太原局集团有限公司</w:t>
                    </w:r>
                  </w:p>
                </w:tc>
                <w:tc>
                  <w:tcPr>
                    <w:tcW w:w="2233" w:type="dxa"/>
                  </w:tcPr>
                  <w:p w:rsidR="00A86BFC" w:rsidRDefault="00B26161" w:rsidP="00FA292C">
                    <w:pPr>
                      <w:rPr>
                        <w:szCs w:val="21"/>
                      </w:rPr>
                    </w:pPr>
                    <w:r>
                      <w:rPr>
                        <w:rFonts w:hint="eastAsia"/>
                      </w:rPr>
                      <w:t>党委委员、</w:t>
                    </w:r>
                    <w:r w:rsidR="00A86BFC">
                      <w:t>总会计师</w:t>
                    </w:r>
                  </w:p>
                </w:tc>
                <w:tc>
                  <w:tcPr>
                    <w:tcW w:w="1560" w:type="dxa"/>
                  </w:tcPr>
                  <w:p w:rsidR="00A86BFC" w:rsidRDefault="00A86BFC" w:rsidP="00FA292C">
                    <w:pPr>
                      <w:rPr>
                        <w:szCs w:val="21"/>
                      </w:rPr>
                    </w:pPr>
                    <w:r>
                      <w:t>2021年4月</w:t>
                    </w:r>
                  </w:p>
                </w:tc>
                <w:tc>
                  <w:tcPr>
                    <w:tcW w:w="1144" w:type="dxa"/>
                  </w:tcPr>
                  <w:p w:rsidR="00A86BFC" w:rsidRDefault="00A86BFC" w:rsidP="00FA292C">
                    <w:pPr>
                      <w:rPr>
                        <w:szCs w:val="21"/>
                      </w:rPr>
                    </w:pPr>
                  </w:p>
                </w:tc>
              </w:tr>
            </w:sdtContent>
          </w:sdt>
          <w:sdt>
            <w:sdtPr>
              <w:rPr>
                <w:rFonts w:asciiTheme="minorHAnsi" w:eastAsiaTheme="minorEastAsia" w:hAnsiTheme="minorHAnsi" w:cstheme="minorBidi" w:hint="eastAsia"/>
                <w:kern w:val="2"/>
                <w:szCs w:val="21"/>
              </w:rPr>
              <w:alias w:val="董事、监事、高级管理人员在股东单位任职情况"/>
              <w:tag w:val="_TUP_6fadbebda8f14f00acfb087a1f629834"/>
              <w:id w:val="353847"/>
              <w:lock w:val="sdtLocked"/>
            </w:sdtPr>
            <w:sdtContent>
              <w:tr w:rsidR="00A86BFC" w:rsidTr="00A86BFC">
                <w:trPr>
                  <w:trHeight w:val="147"/>
                </w:trPr>
                <w:tc>
                  <w:tcPr>
                    <w:tcW w:w="959" w:type="dxa"/>
                  </w:tcPr>
                  <w:p w:rsidR="00A86BFC" w:rsidRDefault="00A86BFC" w:rsidP="00FA292C">
                    <w:pPr>
                      <w:rPr>
                        <w:szCs w:val="21"/>
                      </w:rPr>
                    </w:pPr>
                    <w:r>
                      <w:t>杨文胜</w:t>
                    </w:r>
                  </w:p>
                </w:tc>
                <w:tc>
                  <w:tcPr>
                    <w:tcW w:w="3153" w:type="dxa"/>
                  </w:tcPr>
                  <w:p w:rsidR="00A86BFC" w:rsidRDefault="00A86BFC" w:rsidP="00FA292C">
                    <w:pPr>
                      <w:rPr>
                        <w:szCs w:val="21"/>
                      </w:rPr>
                    </w:pPr>
                    <w:r>
                      <w:t>河北港口集团有限公司</w:t>
                    </w:r>
                  </w:p>
                </w:tc>
                <w:tc>
                  <w:tcPr>
                    <w:tcW w:w="2233" w:type="dxa"/>
                  </w:tcPr>
                  <w:p w:rsidR="00A86BFC" w:rsidRDefault="00A86BFC" w:rsidP="00FA292C">
                    <w:pPr>
                      <w:rPr>
                        <w:szCs w:val="21"/>
                      </w:rPr>
                    </w:pPr>
                    <w:r>
                      <w:t>党委常委、</w:t>
                    </w:r>
                    <w:r w:rsidR="008B5087">
                      <w:rPr>
                        <w:rFonts w:hint="eastAsia"/>
                      </w:rPr>
                      <w:t>副总经理</w:t>
                    </w:r>
                  </w:p>
                </w:tc>
                <w:tc>
                  <w:tcPr>
                    <w:tcW w:w="1560" w:type="dxa"/>
                  </w:tcPr>
                  <w:p w:rsidR="00A86BFC" w:rsidRDefault="008B5087" w:rsidP="00FA292C">
                    <w:pPr>
                      <w:rPr>
                        <w:szCs w:val="21"/>
                      </w:rPr>
                    </w:pPr>
                    <w:r>
                      <w:t>202</w:t>
                    </w:r>
                    <w:r>
                      <w:rPr>
                        <w:rFonts w:hint="eastAsia"/>
                      </w:rPr>
                      <w:t>3</w:t>
                    </w:r>
                    <w:r w:rsidR="00A86BFC">
                      <w:t>年</w:t>
                    </w:r>
                    <w:r>
                      <w:rPr>
                        <w:rFonts w:hint="eastAsia"/>
                      </w:rPr>
                      <w:t>1</w:t>
                    </w:r>
                    <w:r w:rsidR="00A86BFC">
                      <w:t>月</w:t>
                    </w:r>
                  </w:p>
                </w:tc>
                <w:tc>
                  <w:tcPr>
                    <w:tcW w:w="1144" w:type="dxa"/>
                  </w:tcPr>
                  <w:p w:rsidR="00A86BFC" w:rsidRDefault="00A86BFC" w:rsidP="00FA292C">
                    <w:pPr>
                      <w:rPr>
                        <w:szCs w:val="21"/>
                      </w:rPr>
                    </w:pPr>
                  </w:p>
                </w:tc>
              </w:tr>
            </w:sdtContent>
          </w:sdt>
          <w:sdt>
            <w:sdtPr>
              <w:rPr>
                <w:rFonts w:asciiTheme="minorHAnsi" w:eastAsiaTheme="minorEastAsia" w:hAnsiTheme="minorHAnsi" w:cstheme="minorBidi" w:hint="eastAsia"/>
                <w:kern w:val="2"/>
                <w:szCs w:val="21"/>
              </w:rPr>
              <w:alias w:val="董事、监事、高级管理人员在股东单位任职情况"/>
              <w:tag w:val="_TUP_6fadbebda8f14f00acfb087a1f629834"/>
              <w:id w:val="353848"/>
              <w:lock w:val="sdtLocked"/>
            </w:sdtPr>
            <w:sdtContent>
              <w:tr w:rsidR="00A86BFC" w:rsidTr="00A86BFC">
                <w:trPr>
                  <w:trHeight w:val="147"/>
                </w:trPr>
                <w:tc>
                  <w:tcPr>
                    <w:tcW w:w="959" w:type="dxa"/>
                  </w:tcPr>
                  <w:p w:rsidR="00A86BFC" w:rsidRDefault="00A86BFC" w:rsidP="00FA292C">
                    <w:pPr>
                      <w:rPr>
                        <w:szCs w:val="21"/>
                      </w:rPr>
                    </w:pPr>
                    <w:r>
                      <w:t>于峰</w:t>
                    </w:r>
                  </w:p>
                </w:tc>
                <w:tc>
                  <w:tcPr>
                    <w:tcW w:w="3153" w:type="dxa"/>
                  </w:tcPr>
                  <w:p w:rsidR="00A86BFC" w:rsidRDefault="00A86BFC" w:rsidP="00FA292C">
                    <w:pPr>
                      <w:rPr>
                        <w:szCs w:val="21"/>
                      </w:rPr>
                    </w:pPr>
                    <w:r>
                      <w:t>中国铁路太原局集团有限公司</w:t>
                    </w:r>
                  </w:p>
                </w:tc>
                <w:tc>
                  <w:tcPr>
                    <w:tcW w:w="2233" w:type="dxa"/>
                  </w:tcPr>
                  <w:p w:rsidR="00A86BFC" w:rsidRDefault="00A86BFC" w:rsidP="00FA292C">
                    <w:pPr>
                      <w:rPr>
                        <w:szCs w:val="21"/>
                      </w:rPr>
                    </w:pPr>
                    <w:r>
                      <w:t>审计部主任</w:t>
                    </w:r>
                    <w:r w:rsidR="00190694" w:rsidRPr="00190694">
                      <w:rPr>
                        <w:rFonts w:hint="eastAsia"/>
                      </w:rPr>
                      <w:t>兼监事办公室主任</w:t>
                    </w:r>
                  </w:p>
                </w:tc>
                <w:tc>
                  <w:tcPr>
                    <w:tcW w:w="1560" w:type="dxa"/>
                  </w:tcPr>
                  <w:p w:rsidR="00A86BFC" w:rsidRDefault="00A86BFC" w:rsidP="00FA292C">
                    <w:pPr>
                      <w:rPr>
                        <w:szCs w:val="21"/>
                      </w:rPr>
                    </w:pPr>
                    <w:r>
                      <w:t>2021年3月</w:t>
                    </w:r>
                  </w:p>
                </w:tc>
                <w:tc>
                  <w:tcPr>
                    <w:tcW w:w="1144" w:type="dxa"/>
                  </w:tcPr>
                  <w:p w:rsidR="00A86BFC" w:rsidRDefault="00A86BFC" w:rsidP="00FA292C">
                    <w:pPr>
                      <w:rPr>
                        <w:szCs w:val="21"/>
                      </w:rPr>
                    </w:pPr>
                  </w:p>
                </w:tc>
              </w:tr>
            </w:sdtContent>
          </w:sdt>
          <w:sdt>
            <w:sdtPr>
              <w:rPr>
                <w:rFonts w:asciiTheme="minorHAnsi" w:eastAsiaTheme="minorEastAsia" w:hAnsiTheme="minorHAnsi" w:cstheme="minorBidi" w:hint="eastAsia"/>
                <w:kern w:val="2"/>
                <w:szCs w:val="21"/>
              </w:rPr>
              <w:alias w:val="董事、监事、高级管理人员在股东单位任职情况"/>
              <w:tag w:val="_TUP_6fadbebda8f14f00acfb087a1f629834"/>
              <w:id w:val="353849"/>
              <w:lock w:val="sdtLocked"/>
            </w:sdtPr>
            <w:sdtContent>
              <w:tr w:rsidR="00A86BFC" w:rsidTr="00A86BFC">
                <w:trPr>
                  <w:trHeight w:val="147"/>
                </w:trPr>
                <w:tc>
                  <w:tcPr>
                    <w:tcW w:w="959" w:type="dxa"/>
                  </w:tcPr>
                  <w:p w:rsidR="00A86BFC" w:rsidRDefault="00A86BFC" w:rsidP="00FA292C">
                    <w:pPr>
                      <w:rPr>
                        <w:szCs w:val="21"/>
                      </w:rPr>
                    </w:pPr>
                    <w:r>
                      <w:t>张永青</w:t>
                    </w:r>
                  </w:p>
                </w:tc>
                <w:tc>
                  <w:tcPr>
                    <w:tcW w:w="3153" w:type="dxa"/>
                  </w:tcPr>
                  <w:p w:rsidR="00A86BFC" w:rsidRDefault="00A86BFC" w:rsidP="00FA292C">
                    <w:pPr>
                      <w:rPr>
                        <w:szCs w:val="21"/>
                      </w:rPr>
                    </w:pPr>
                    <w:r>
                      <w:t>中国铁路太原局集团有限公司</w:t>
                    </w:r>
                  </w:p>
                </w:tc>
                <w:tc>
                  <w:tcPr>
                    <w:tcW w:w="2233" w:type="dxa"/>
                  </w:tcPr>
                  <w:p w:rsidR="00A86BFC" w:rsidRDefault="00A86BFC" w:rsidP="00FA292C">
                    <w:pPr>
                      <w:rPr>
                        <w:szCs w:val="21"/>
                      </w:rPr>
                    </w:pPr>
                    <w:r>
                      <w:t>纪委副书记</w:t>
                    </w:r>
                  </w:p>
                </w:tc>
                <w:tc>
                  <w:tcPr>
                    <w:tcW w:w="1560" w:type="dxa"/>
                  </w:tcPr>
                  <w:p w:rsidR="00A86BFC" w:rsidRDefault="00A86BFC" w:rsidP="00FA292C">
                    <w:pPr>
                      <w:rPr>
                        <w:szCs w:val="21"/>
                      </w:rPr>
                    </w:pPr>
                    <w:r>
                      <w:t>2017年</w:t>
                    </w:r>
                    <w:r w:rsidR="00B7160F">
                      <w:rPr>
                        <w:rFonts w:hint="eastAsia"/>
                      </w:rPr>
                      <w:t>7</w:t>
                    </w:r>
                    <w:r>
                      <w:t>月</w:t>
                    </w:r>
                  </w:p>
                </w:tc>
                <w:tc>
                  <w:tcPr>
                    <w:tcW w:w="1144" w:type="dxa"/>
                  </w:tcPr>
                  <w:p w:rsidR="00A86BFC" w:rsidRDefault="00A86BFC" w:rsidP="00FA292C">
                    <w:pPr>
                      <w:rPr>
                        <w:szCs w:val="21"/>
                      </w:rPr>
                    </w:pPr>
                  </w:p>
                </w:tc>
              </w:tr>
            </w:sdtContent>
          </w:sdt>
          <w:sdt>
            <w:sdtPr>
              <w:rPr>
                <w:rFonts w:asciiTheme="minorHAnsi" w:eastAsiaTheme="minorEastAsia" w:hAnsiTheme="minorHAnsi" w:cstheme="minorBidi" w:hint="eastAsia"/>
                <w:kern w:val="2"/>
                <w:szCs w:val="21"/>
              </w:rPr>
              <w:alias w:val="董事、监事、高级管理人员在股东单位任职情况"/>
              <w:tag w:val="_TUP_6fadbebda8f14f00acfb087a1f629834"/>
              <w:id w:val="353850"/>
              <w:lock w:val="sdtLocked"/>
            </w:sdtPr>
            <w:sdtContent>
              <w:tr w:rsidR="00A86BFC" w:rsidTr="00A86BFC">
                <w:trPr>
                  <w:trHeight w:val="147"/>
                </w:trPr>
                <w:tc>
                  <w:tcPr>
                    <w:tcW w:w="959" w:type="dxa"/>
                  </w:tcPr>
                  <w:p w:rsidR="00A86BFC" w:rsidRDefault="00A86BFC" w:rsidP="00FA292C">
                    <w:pPr>
                      <w:rPr>
                        <w:szCs w:val="21"/>
                      </w:rPr>
                    </w:pPr>
                    <w:r>
                      <w:t>杨杰</w:t>
                    </w:r>
                  </w:p>
                </w:tc>
                <w:tc>
                  <w:tcPr>
                    <w:tcW w:w="3153" w:type="dxa"/>
                  </w:tcPr>
                  <w:p w:rsidR="00A86BFC" w:rsidRDefault="00A86BFC" w:rsidP="00FA292C">
                    <w:pPr>
                      <w:rPr>
                        <w:szCs w:val="21"/>
                      </w:rPr>
                    </w:pPr>
                    <w:r>
                      <w:t>中国铁路太原局集团有限公司</w:t>
                    </w:r>
                  </w:p>
                </w:tc>
                <w:tc>
                  <w:tcPr>
                    <w:tcW w:w="2233" w:type="dxa"/>
                  </w:tcPr>
                  <w:p w:rsidR="00A86BFC" w:rsidRDefault="00A86BFC" w:rsidP="00FA292C">
                    <w:pPr>
                      <w:rPr>
                        <w:szCs w:val="21"/>
                      </w:rPr>
                    </w:pPr>
                    <w:r>
                      <w:t>工会组织部部长</w:t>
                    </w:r>
                  </w:p>
                </w:tc>
                <w:tc>
                  <w:tcPr>
                    <w:tcW w:w="1560" w:type="dxa"/>
                  </w:tcPr>
                  <w:p w:rsidR="00A86BFC" w:rsidRDefault="00B7160F" w:rsidP="00FA292C">
                    <w:pPr>
                      <w:rPr>
                        <w:szCs w:val="21"/>
                      </w:rPr>
                    </w:pPr>
                    <w:r>
                      <w:t>201</w:t>
                    </w:r>
                    <w:r>
                      <w:rPr>
                        <w:rFonts w:hint="eastAsia"/>
                      </w:rPr>
                      <w:t>4</w:t>
                    </w:r>
                    <w:r w:rsidR="00A86BFC">
                      <w:t>年</w:t>
                    </w:r>
                    <w:r>
                      <w:rPr>
                        <w:rFonts w:hint="eastAsia"/>
                      </w:rPr>
                      <w:t>7</w:t>
                    </w:r>
                    <w:r w:rsidR="00A86BFC">
                      <w:t>月</w:t>
                    </w:r>
                  </w:p>
                </w:tc>
                <w:tc>
                  <w:tcPr>
                    <w:tcW w:w="1144" w:type="dxa"/>
                  </w:tcPr>
                  <w:p w:rsidR="00A86BFC" w:rsidRDefault="00A86BFC" w:rsidP="00FA292C">
                    <w:pPr>
                      <w:rPr>
                        <w:szCs w:val="21"/>
                      </w:rPr>
                    </w:pPr>
                  </w:p>
                </w:tc>
              </w:tr>
            </w:sdtContent>
          </w:sdt>
          <w:sdt>
            <w:sdtPr>
              <w:rPr>
                <w:rFonts w:asciiTheme="minorHAnsi" w:eastAsiaTheme="minorEastAsia" w:hAnsiTheme="minorHAnsi" w:cstheme="minorBidi" w:hint="eastAsia"/>
                <w:kern w:val="2"/>
                <w:szCs w:val="21"/>
              </w:rPr>
              <w:alias w:val="董事、监事、高级管理人员在股东单位任职情况"/>
              <w:tag w:val="_TUP_6fadbebda8f14f00acfb087a1f629834"/>
              <w:id w:val="353851"/>
              <w:lock w:val="sdtLocked"/>
            </w:sdtPr>
            <w:sdtContent>
              <w:tr w:rsidR="00A86BFC" w:rsidTr="00A86BFC">
                <w:trPr>
                  <w:trHeight w:val="147"/>
                </w:trPr>
                <w:tc>
                  <w:tcPr>
                    <w:tcW w:w="959" w:type="dxa"/>
                  </w:tcPr>
                  <w:p w:rsidR="00A86BFC" w:rsidRDefault="00A86BFC" w:rsidP="00FA292C">
                    <w:pPr>
                      <w:rPr>
                        <w:szCs w:val="21"/>
                      </w:rPr>
                    </w:pPr>
                    <w:r>
                      <w:t>谷天野</w:t>
                    </w:r>
                  </w:p>
                </w:tc>
                <w:tc>
                  <w:tcPr>
                    <w:tcW w:w="3153" w:type="dxa"/>
                  </w:tcPr>
                  <w:p w:rsidR="00A86BFC" w:rsidRDefault="00A86BFC" w:rsidP="00FA292C">
                    <w:pPr>
                      <w:rPr>
                        <w:szCs w:val="21"/>
                      </w:rPr>
                    </w:pPr>
                    <w:r>
                      <w:t>晋能控股煤业集团有限公司</w:t>
                    </w:r>
                  </w:p>
                </w:tc>
                <w:tc>
                  <w:tcPr>
                    <w:tcW w:w="2233" w:type="dxa"/>
                  </w:tcPr>
                  <w:p w:rsidR="00A86BFC" w:rsidRDefault="00A86BFC" w:rsidP="00FA292C">
                    <w:pPr>
                      <w:rPr>
                        <w:szCs w:val="21"/>
                      </w:rPr>
                    </w:pPr>
                    <w:r>
                      <w:t>大同煤炭经营有限公司党委书记、总经理</w:t>
                    </w:r>
                  </w:p>
                </w:tc>
                <w:tc>
                  <w:tcPr>
                    <w:tcW w:w="1560" w:type="dxa"/>
                  </w:tcPr>
                  <w:p w:rsidR="00A86BFC" w:rsidRDefault="00A86BFC" w:rsidP="00FA292C">
                    <w:pPr>
                      <w:rPr>
                        <w:szCs w:val="21"/>
                      </w:rPr>
                    </w:pPr>
                    <w:r>
                      <w:t>2018年12月</w:t>
                    </w:r>
                  </w:p>
                </w:tc>
                <w:tc>
                  <w:tcPr>
                    <w:tcW w:w="1144" w:type="dxa"/>
                  </w:tcPr>
                  <w:p w:rsidR="00A86BFC" w:rsidRDefault="00A86BFC" w:rsidP="00FA292C">
                    <w:pPr>
                      <w:rPr>
                        <w:szCs w:val="21"/>
                      </w:rPr>
                    </w:pPr>
                  </w:p>
                </w:tc>
              </w:tr>
            </w:sdtContent>
          </w:sdt>
          <w:tr w:rsidR="00A86BFC" w:rsidTr="00FA292C">
            <w:trPr>
              <w:trHeight w:val="150"/>
            </w:trPr>
            <w:sdt>
              <w:sdtPr>
                <w:tag w:val="_PLD_6e127d6c1c09490d96af47be507aa181"/>
                <w:id w:val="353857"/>
                <w:lock w:val="sdtLocked"/>
              </w:sdtPr>
              <w:sdtContent>
                <w:tc>
                  <w:tcPr>
                    <w:tcW w:w="959" w:type="dxa"/>
                  </w:tcPr>
                  <w:p w:rsidR="00A86BFC" w:rsidRDefault="00A86BFC" w:rsidP="00FA292C">
                    <w:pPr>
                      <w:rPr>
                        <w:szCs w:val="21"/>
                      </w:rPr>
                    </w:pPr>
                    <w:r>
                      <w:rPr>
                        <w:szCs w:val="21"/>
                      </w:rPr>
                      <w:t>在股东单位任职情况的说明</w:t>
                    </w:r>
                  </w:p>
                </w:tc>
              </w:sdtContent>
            </w:sdt>
            <w:tc>
              <w:tcPr>
                <w:tcW w:w="8090" w:type="dxa"/>
                <w:gridSpan w:val="4"/>
              </w:tcPr>
              <w:p w:rsidR="00A86BFC" w:rsidRDefault="007C5AD1" w:rsidP="00FA292C">
                <w:pPr>
                  <w:rPr>
                    <w:szCs w:val="21"/>
                  </w:rPr>
                </w:pPr>
                <w:r>
                  <w:rPr>
                    <w:rFonts w:hint="eastAsia"/>
                    <w:szCs w:val="21"/>
                  </w:rPr>
                  <w:t>无</w:t>
                </w:r>
              </w:p>
            </w:tc>
          </w:tr>
        </w:tbl>
        <w:p w:rsidR="00806678" w:rsidRDefault="00F80B6C">
          <w:pPr>
            <w:rPr>
              <w:szCs w:val="21"/>
            </w:rPr>
          </w:pPr>
        </w:p>
      </w:sdtContent>
    </w:sdt>
    <w:sdt>
      <w:sdtPr>
        <w:rPr>
          <w:rFonts w:ascii="宋体" w:hAnsi="宋体" w:cs="宋体"/>
          <w:b/>
          <w:bCs/>
          <w:kern w:val="0"/>
          <w:szCs w:val="24"/>
        </w:rPr>
        <w:alias w:val="模块:在其他单位任职情况"/>
        <w:tag w:val="_SEC_5561131e80ff45818592dc8d1f605cb5"/>
        <w:id w:val="3160043"/>
        <w:lock w:val="sdtLocked"/>
        <w:placeholder>
          <w:docPart w:val="GBC22222222222222222222222222222"/>
        </w:placeholder>
      </w:sdtPr>
      <w:sdtEndPr>
        <w:rPr>
          <w:b w:val="0"/>
          <w:bCs w:val="0"/>
          <w:szCs w:val="21"/>
        </w:rPr>
      </w:sdtEndPr>
      <w:sdtContent>
        <w:p w:rsidR="00806678" w:rsidRDefault="00B16377" w:rsidP="00FF17C7">
          <w:pPr>
            <w:pStyle w:val="a9"/>
            <w:numPr>
              <w:ilvl w:val="0"/>
              <w:numId w:val="130"/>
            </w:numPr>
            <w:ind w:firstLineChars="0"/>
            <w:rPr>
              <w:b/>
              <w:bCs/>
            </w:rPr>
          </w:pPr>
          <w:r>
            <w:rPr>
              <w:b/>
              <w:bCs/>
            </w:rPr>
            <w:t>在其他单位任职情况</w:t>
          </w:r>
        </w:p>
        <w:sdt>
          <w:sdtPr>
            <w:rPr>
              <w:szCs w:val="21"/>
            </w:rPr>
            <w:alias w:val="是否适用：在其他单位任职情况[双击切换]"/>
            <w:tag w:val="_GBC_31c17de709bb42fdb7ba137e843fe054"/>
            <w:id w:val="-2034187814"/>
            <w:lock w:val="sdtLocked"/>
            <w:placeholder>
              <w:docPart w:val="GBC22222222222222222222222222222"/>
            </w:placeholder>
          </w:sdtPr>
          <w:sdtContent>
            <w:p w:rsidR="00806678" w:rsidRDefault="00F80B6C">
              <w:pPr>
                <w:rPr>
                  <w:szCs w:val="21"/>
                </w:rPr>
              </w:pPr>
              <w:r>
                <w:rPr>
                  <w:szCs w:val="21"/>
                </w:rPr>
                <w:fldChar w:fldCharType="begin"/>
              </w:r>
              <w:r w:rsidR="00EA4CBE">
                <w:rPr>
                  <w:szCs w:val="21"/>
                </w:rPr>
                <w:instrText xml:space="preserve">MACROBUTTON  SnrToggleCheckbox √适用 </w:instrText>
              </w:r>
              <w:r>
                <w:rPr>
                  <w:szCs w:val="21"/>
                </w:rPr>
                <w:fldChar w:fldCharType="end"/>
              </w:r>
              <w:r>
                <w:rPr>
                  <w:szCs w:val="21"/>
                </w:rPr>
                <w:fldChar w:fldCharType="begin"/>
              </w:r>
              <w:r w:rsidR="00EA4CBE">
                <w:rPr>
                  <w:szCs w:val="21"/>
                </w:rPr>
                <w:instrText xml:space="preserve"> MACROBUTTON  SnrToggleCheckbox □不适用 </w:instrText>
              </w:r>
              <w:r>
                <w:rPr>
                  <w:szCs w:val="21"/>
                </w:rPr>
                <w:fldChar w:fldCharType="end"/>
              </w:r>
            </w:p>
          </w:sdtContent>
        </w:sdt>
        <w:tbl>
          <w:tblPr>
            <w:tblStyle w:val="a6"/>
            <w:tblW w:w="0" w:type="auto"/>
            <w:tblLook w:val="04A0"/>
          </w:tblPr>
          <w:tblGrid>
            <w:gridCol w:w="959"/>
            <w:gridCol w:w="3685"/>
            <w:gridCol w:w="1560"/>
            <w:gridCol w:w="1417"/>
            <w:gridCol w:w="1428"/>
          </w:tblGrid>
          <w:tr w:rsidR="00AC3C8B" w:rsidTr="000B799A">
            <w:trPr>
              <w:trHeight w:val="120"/>
            </w:trPr>
            <w:sdt>
              <w:sdtPr>
                <w:tag w:val="_PLD_84cb4ce7fc4643b1be607267619a4b88"/>
                <w:id w:val="3681839"/>
                <w:lock w:val="sdtLocked"/>
              </w:sdtPr>
              <w:sdtContent>
                <w:tc>
                  <w:tcPr>
                    <w:tcW w:w="959" w:type="dxa"/>
                    <w:vAlign w:val="center"/>
                  </w:tcPr>
                  <w:p w:rsidR="00AC3C8B" w:rsidRDefault="00AC3C8B" w:rsidP="00601D47">
                    <w:pPr>
                      <w:jc w:val="center"/>
                      <w:rPr>
                        <w:szCs w:val="21"/>
                      </w:rPr>
                    </w:pPr>
                    <w:r>
                      <w:rPr>
                        <w:szCs w:val="21"/>
                      </w:rPr>
                      <w:t>任职人员姓名</w:t>
                    </w:r>
                  </w:p>
                </w:tc>
              </w:sdtContent>
            </w:sdt>
            <w:sdt>
              <w:sdtPr>
                <w:tag w:val="_PLD_9c5aac001d5a4c2eb3cc0bf1e1f66afe"/>
                <w:id w:val="3681840"/>
                <w:lock w:val="sdtLocked"/>
              </w:sdtPr>
              <w:sdtContent>
                <w:tc>
                  <w:tcPr>
                    <w:tcW w:w="3685" w:type="dxa"/>
                    <w:vAlign w:val="center"/>
                  </w:tcPr>
                  <w:p w:rsidR="00AC3C8B" w:rsidRDefault="00AC3C8B" w:rsidP="00601D47">
                    <w:pPr>
                      <w:jc w:val="center"/>
                      <w:rPr>
                        <w:szCs w:val="21"/>
                      </w:rPr>
                    </w:pPr>
                    <w:r>
                      <w:rPr>
                        <w:szCs w:val="21"/>
                      </w:rPr>
                      <w:t>其他单位名称</w:t>
                    </w:r>
                  </w:p>
                </w:tc>
              </w:sdtContent>
            </w:sdt>
            <w:sdt>
              <w:sdtPr>
                <w:tag w:val="_PLD_a3a2822cc76542afbd1a58b94268af1d"/>
                <w:id w:val="3681841"/>
                <w:lock w:val="sdtLocked"/>
              </w:sdtPr>
              <w:sdtContent>
                <w:tc>
                  <w:tcPr>
                    <w:tcW w:w="1560" w:type="dxa"/>
                    <w:vAlign w:val="center"/>
                  </w:tcPr>
                  <w:p w:rsidR="00AC3C8B" w:rsidRDefault="00AC3C8B" w:rsidP="00601D47">
                    <w:pPr>
                      <w:jc w:val="center"/>
                      <w:rPr>
                        <w:szCs w:val="21"/>
                      </w:rPr>
                    </w:pPr>
                    <w:r>
                      <w:rPr>
                        <w:szCs w:val="21"/>
                      </w:rPr>
                      <w:t>在其他单位担任的职务</w:t>
                    </w:r>
                  </w:p>
                </w:tc>
              </w:sdtContent>
            </w:sdt>
            <w:sdt>
              <w:sdtPr>
                <w:tag w:val="_PLD_1afbd86b2e47420ca2c5a75f01567f2a"/>
                <w:id w:val="3681842"/>
                <w:lock w:val="sdtLocked"/>
              </w:sdtPr>
              <w:sdtContent>
                <w:tc>
                  <w:tcPr>
                    <w:tcW w:w="1417" w:type="dxa"/>
                    <w:vAlign w:val="center"/>
                  </w:tcPr>
                  <w:p w:rsidR="00AC3C8B" w:rsidRDefault="00AC3C8B" w:rsidP="00601D47">
                    <w:pPr>
                      <w:jc w:val="center"/>
                      <w:rPr>
                        <w:szCs w:val="21"/>
                      </w:rPr>
                    </w:pPr>
                    <w:r>
                      <w:rPr>
                        <w:szCs w:val="21"/>
                      </w:rPr>
                      <w:t>任期起始日期</w:t>
                    </w:r>
                  </w:p>
                </w:tc>
              </w:sdtContent>
            </w:sdt>
            <w:sdt>
              <w:sdtPr>
                <w:tag w:val="_PLD_677dde6ffbf24692a6c508831a24eef8"/>
                <w:id w:val="3681843"/>
                <w:lock w:val="sdtLocked"/>
              </w:sdtPr>
              <w:sdtContent>
                <w:tc>
                  <w:tcPr>
                    <w:tcW w:w="1428" w:type="dxa"/>
                    <w:vAlign w:val="center"/>
                  </w:tcPr>
                  <w:p w:rsidR="00AC3C8B" w:rsidRDefault="00AC3C8B" w:rsidP="00601D47">
                    <w:pPr>
                      <w:jc w:val="center"/>
                      <w:rPr>
                        <w:szCs w:val="21"/>
                      </w:rPr>
                    </w:pPr>
                    <w:r>
                      <w:rPr>
                        <w:szCs w:val="21"/>
                      </w:rPr>
                      <w:t>任期终止日期</w:t>
                    </w:r>
                  </w:p>
                </w:tc>
              </w:sdtContent>
            </w:sdt>
          </w:tr>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3147447"/>
              <w:lock w:val="sdtLocked"/>
            </w:sdtPr>
            <w:sdtContent>
              <w:tr w:rsidR="002377F7" w:rsidTr="000B799A">
                <w:trPr>
                  <w:trHeight w:val="147"/>
                </w:trPr>
                <w:tc>
                  <w:tcPr>
                    <w:tcW w:w="959" w:type="dxa"/>
                  </w:tcPr>
                  <w:p w:rsidR="002377F7" w:rsidRDefault="002377F7" w:rsidP="00601D47">
                    <w:pPr>
                      <w:rPr>
                        <w:rFonts w:asciiTheme="minorHAnsi" w:eastAsiaTheme="minorEastAsia" w:hAnsiTheme="minorHAnsi" w:cstheme="minorBidi"/>
                        <w:kern w:val="2"/>
                        <w:szCs w:val="21"/>
                      </w:rPr>
                    </w:pPr>
                    <w:r>
                      <w:rPr>
                        <w:rFonts w:asciiTheme="minorHAnsi" w:eastAsiaTheme="minorEastAsia" w:hAnsiTheme="minorHAnsi" w:cstheme="minorBidi" w:hint="eastAsia"/>
                        <w:kern w:val="2"/>
                        <w:szCs w:val="21"/>
                      </w:rPr>
                      <w:t>戴弘</w:t>
                    </w:r>
                  </w:p>
                </w:tc>
                <w:tc>
                  <w:tcPr>
                    <w:tcW w:w="3685" w:type="dxa"/>
                  </w:tcPr>
                  <w:p w:rsidR="002377F7" w:rsidRDefault="002377F7" w:rsidP="00601D47">
                    <w:r w:rsidRPr="002377F7">
                      <w:rPr>
                        <w:rFonts w:hint="eastAsia"/>
                      </w:rPr>
                      <w:t>大西铁路客运专线有限责任公司</w:t>
                    </w:r>
                  </w:p>
                </w:tc>
                <w:tc>
                  <w:tcPr>
                    <w:tcW w:w="1560" w:type="dxa"/>
                  </w:tcPr>
                  <w:p w:rsidR="002377F7" w:rsidRDefault="002377F7" w:rsidP="00601D47">
                    <w:r>
                      <w:rPr>
                        <w:rFonts w:hint="eastAsia"/>
                      </w:rPr>
                      <w:t>董事长</w:t>
                    </w:r>
                  </w:p>
                </w:tc>
                <w:tc>
                  <w:tcPr>
                    <w:tcW w:w="1417" w:type="dxa"/>
                  </w:tcPr>
                  <w:p w:rsidR="002377F7" w:rsidRDefault="002377F7" w:rsidP="00601D47">
                    <w:r>
                      <w:rPr>
                        <w:rFonts w:hint="eastAsia"/>
                      </w:rPr>
                      <w:t>2022年11月</w:t>
                    </w:r>
                  </w:p>
                </w:tc>
                <w:tc>
                  <w:tcPr>
                    <w:tcW w:w="1428" w:type="dxa"/>
                  </w:tcPr>
                  <w:p w:rsidR="002377F7" w:rsidRDefault="002377F7" w:rsidP="00601D47">
                    <w:pPr>
                      <w:rPr>
                        <w:rFonts w:asciiTheme="minorHAnsi" w:eastAsiaTheme="minorEastAsia" w:hAnsiTheme="minorHAnsi" w:cstheme="minorBidi"/>
                        <w:kern w:val="2"/>
                        <w:szCs w:val="21"/>
                      </w:rPr>
                    </w:pP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3681845"/>
              <w:lock w:val="sdtLocked"/>
            </w:sdtPr>
            <w:sdtContent>
              <w:tr w:rsidR="00AC3C8B" w:rsidTr="000B799A">
                <w:trPr>
                  <w:trHeight w:val="147"/>
                </w:trPr>
                <w:tc>
                  <w:tcPr>
                    <w:tcW w:w="959" w:type="dxa"/>
                  </w:tcPr>
                  <w:p w:rsidR="00AC3C8B" w:rsidRDefault="00AC3C8B" w:rsidP="00601D47">
                    <w:pPr>
                      <w:rPr>
                        <w:szCs w:val="21"/>
                      </w:rPr>
                    </w:pPr>
                    <w:r>
                      <w:t>王道阔</w:t>
                    </w:r>
                  </w:p>
                </w:tc>
                <w:tc>
                  <w:tcPr>
                    <w:tcW w:w="3685" w:type="dxa"/>
                  </w:tcPr>
                  <w:p w:rsidR="00AC3C8B" w:rsidRDefault="00E62263" w:rsidP="00601D47">
                    <w:pPr>
                      <w:rPr>
                        <w:szCs w:val="21"/>
                      </w:rPr>
                    </w:pPr>
                    <w:r>
                      <w:rPr>
                        <w:rFonts w:hint="eastAsia"/>
                      </w:rPr>
                      <w:t>国能</w:t>
                    </w:r>
                    <w:r w:rsidR="00AC3C8B">
                      <w:t>朔黄铁路发展有限责任公司</w:t>
                    </w:r>
                  </w:p>
                </w:tc>
                <w:tc>
                  <w:tcPr>
                    <w:tcW w:w="1560" w:type="dxa"/>
                  </w:tcPr>
                  <w:p w:rsidR="00AC3C8B" w:rsidRDefault="00AC3C8B" w:rsidP="00601D47">
                    <w:pPr>
                      <w:rPr>
                        <w:szCs w:val="21"/>
                      </w:rPr>
                    </w:pPr>
                    <w:r>
                      <w:t>副董事长</w:t>
                    </w:r>
                  </w:p>
                </w:tc>
                <w:tc>
                  <w:tcPr>
                    <w:tcW w:w="1417" w:type="dxa"/>
                  </w:tcPr>
                  <w:p w:rsidR="00AC3C8B" w:rsidRDefault="00AC3C8B" w:rsidP="00601D47">
                    <w:pPr>
                      <w:rPr>
                        <w:szCs w:val="21"/>
                      </w:rPr>
                    </w:pPr>
                    <w:r>
                      <w:t>2021年5月</w:t>
                    </w:r>
                  </w:p>
                </w:tc>
                <w:tc>
                  <w:tcPr>
                    <w:tcW w:w="1428" w:type="dxa"/>
                  </w:tcPr>
                  <w:p w:rsidR="00AC3C8B" w:rsidRDefault="00AC3C8B" w:rsidP="00601D47">
                    <w:pPr>
                      <w:rPr>
                        <w:szCs w:val="21"/>
                      </w:rPr>
                    </w:pP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3681846"/>
              <w:lock w:val="sdtLocked"/>
            </w:sdtPr>
            <w:sdtContent>
              <w:tr w:rsidR="00AC3C8B" w:rsidTr="000B799A">
                <w:trPr>
                  <w:trHeight w:val="147"/>
                </w:trPr>
                <w:tc>
                  <w:tcPr>
                    <w:tcW w:w="959" w:type="dxa"/>
                  </w:tcPr>
                  <w:p w:rsidR="00AC3C8B" w:rsidRDefault="00AC3C8B" w:rsidP="00601D47">
                    <w:pPr>
                      <w:rPr>
                        <w:szCs w:val="21"/>
                      </w:rPr>
                    </w:pPr>
                    <w:r>
                      <w:t>韩洪臣</w:t>
                    </w:r>
                  </w:p>
                </w:tc>
                <w:tc>
                  <w:tcPr>
                    <w:tcW w:w="3685" w:type="dxa"/>
                  </w:tcPr>
                  <w:p w:rsidR="00AC3C8B" w:rsidRDefault="00AC3C8B" w:rsidP="00601D47">
                    <w:pPr>
                      <w:rPr>
                        <w:szCs w:val="21"/>
                      </w:rPr>
                    </w:pPr>
                    <w:r>
                      <w:t>山西上市公司协会</w:t>
                    </w:r>
                  </w:p>
                </w:tc>
                <w:tc>
                  <w:tcPr>
                    <w:tcW w:w="1560" w:type="dxa"/>
                  </w:tcPr>
                  <w:p w:rsidR="00AC3C8B" w:rsidRDefault="00AC3C8B" w:rsidP="00601D47">
                    <w:pPr>
                      <w:rPr>
                        <w:szCs w:val="21"/>
                      </w:rPr>
                    </w:pPr>
                    <w:r>
                      <w:t>会长</w:t>
                    </w:r>
                  </w:p>
                </w:tc>
                <w:tc>
                  <w:tcPr>
                    <w:tcW w:w="1417" w:type="dxa"/>
                  </w:tcPr>
                  <w:p w:rsidR="00AC3C8B" w:rsidRDefault="00AC3C8B" w:rsidP="00601D47">
                    <w:pPr>
                      <w:rPr>
                        <w:szCs w:val="21"/>
                      </w:rPr>
                    </w:pPr>
                    <w:r>
                      <w:t>2020年11月</w:t>
                    </w:r>
                  </w:p>
                </w:tc>
                <w:tc>
                  <w:tcPr>
                    <w:tcW w:w="1428" w:type="dxa"/>
                  </w:tcPr>
                  <w:p w:rsidR="00AC3C8B" w:rsidRDefault="00AC3C8B" w:rsidP="00601D47">
                    <w:pPr>
                      <w:rPr>
                        <w:szCs w:val="21"/>
                      </w:rPr>
                    </w:pP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3681847"/>
              <w:lock w:val="sdtLocked"/>
            </w:sdtPr>
            <w:sdtContent>
              <w:tr w:rsidR="00AC3C8B" w:rsidTr="000B799A">
                <w:trPr>
                  <w:trHeight w:val="147"/>
                </w:trPr>
                <w:tc>
                  <w:tcPr>
                    <w:tcW w:w="959" w:type="dxa"/>
                  </w:tcPr>
                  <w:p w:rsidR="00AC3C8B" w:rsidRDefault="00AC3C8B" w:rsidP="00601D47">
                    <w:pPr>
                      <w:rPr>
                        <w:szCs w:val="21"/>
                      </w:rPr>
                    </w:pPr>
                    <w:r>
                      <w:t>田惠民</w:t>
                    </w:r>
                  </w:p>
                </w:tc>
                <w:tc>
                  <w:tcPr>
                    <w:tcW w:w="3685" w:type="dxa"/>
                  </w:tcPr>
                  <w:p w:rsidR="00AC3C8B" w:rsidRDefault="00AC3C8B" w:rsidP="00601D47">
                    <w:pPr>
                      <w:rPr>
                        <w:szCs w:val="21"/>
                      </w:rPr>
                    </w:pPr>
                    <w:r>
                      <w:t>朔黄铁路发展有限责任公司</w:t>
                    </w:r>
                  </w:p>
                </w:tc>
                <w:tc>
                  <w:tcPr>
                    <w:tcW w:w="1560" w:type="dxa"/>
                  </w:tcPr>
                  <w:p w:rsidR="00AC3C8B" w:rsidRDefault="00AC3C8B" w:rsidP="00601D47">
                    <w:pPr>
                      <w:rPr>
                        <w:szCs w:val="21"/>
                      </w:rPr>
                    </w:pPr>
                    <w:r>
                      <w:t>监事会主席</w:t>
                    </w:r>
                  </w:p>
                </w:tc>
                <w:tc>
                  <w:tcPr>
                    <w:tcW w:w="1417" w:type="dxa"/>
                  </w:tcPr>
                  <w:p w:rsidR="00AC3C8B" w:rsidRDefault="00AC3C8B" w:rsidP="00601D47">
                    <w:pPr>
                      <w:rPr>
                        <w:szCs w:val="21"/>
                      </w:rPr>
                    </w:pPr>
                    <w:r>
                      <w:t>2016年5月</w:t>
                    </w:r>
                  </w:p>
                </w:tc>
                <w:tc>
                  <w:tcPr>
                    <w:tcW w:w="1428" w:type="dxa"/>
                  </w:tcPr>
                  <w:p w:rsidR="00AC3C8B" w:rsidRDefault="00AC3C8B" w:rsidP="00601D47">
                    <w:pPr>
                      <w:rPr>
                        <w:szCs w:val="21"/>
                      </w:rPr>
                    </w:pP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3681848"/>
              <w:lock w:val="sdtLocked"/>
            </w:sdtPr>
            <w:sdtContent>
              <w:tr w:rsidR="00AC3C8B" w:rsidTr="000B799A">
                <w:trPr>
                  <w:trHeight w:val="147"/>
                </w:trPr>
                <w:tc>
                  <w:tcPr>
                    <w:tcW w:w="959" w:type="dxa"/>
                  </w:tcPr>
                  <w:p w:rsidR="00AC3C8B" w:rsidRDefault="00AC3C8B" w:rsidP="00601D47">
                    <w:pPr>
                      <w:rPr>
                        <w:szCs w:val="21"/>
                      </w:rPr>
                    </w:pPr>
                    <w:r>
                      <w:t>杨文胜</w:t>
                    </w:r>
                  </w:p>
                </w:tc>
                <w:tc>
                  <w:tcPr>
                    <w:tcW w:w="3685" w:type="dxa"/>
                  </w:tcPr>
                  <w:p w:rsidR="00AC3C8B" w:rsidRDefault="00AC3C8B" w:rsidP="00601D47">
                    <w:pPr>
                      <w:rPr>
                        <w:szCs w:val="21"/>
                      </w:rPr>
                    </w:pPr>
                    <w:r>
                      <w:t>全国煤炭交易中心有限公司</w:t>
                    </w:r>
                  </w:p>
                </w:tc>
                <w:tc>
                  <w:tcPr>
                    <w:tcW w:w="1560" w:type="dxa"/>
                  </w:tcPr>
                  <w:p w:rsidR="00AC3C8B" w:rsidRDefault="00AC3C8B" w:rsidP="00601D47">
                    <w:pPr>
                      <w:rPr>
                        <w:szCs w:val="21"/>
                      </w:rPr>
                    </w:pPr>
                    <w:r>
                      <w:t>董事</w:t>
                    </w:r>
                  </w:p>
                </w:tc>
                <w:tc>
                  <w:tcPr>
                    <w:tcW w:w="1417" w:type="dxa"/>
                  </w:tcPr>
                  <w:p w:rsidR="00AC3C8B" w:rsidRDefault="00AC3C8B" w:rsidP="00601D47">
                    <w:pPr>
                      <w:rPr>
                        <w:szCs w:val="21"/>
                      </w:rPr>
                    </w:pPr>
                    <w:r>
                      <w:t>2019年6月</w:t>
                    </w:r>
                  </w:p>
                </w:tc>
                <w:tc>
                  <w:tcPr>
                    <w:tcW w:w="1428" w:type="dxa"/>
                  </w:tcPr>
                  <w:p w:rsidR="00AC3C8B" w:rsidRDefault="00AC3C8B" w:rsidP="00601D47">
                    <w:pPr>
                      <w:rPr>
                        <w:szCs w:val="21"/>
                      </w:rPr>
                    </w:pPr>
                    <w:r>
                      <w:t> </w:t>
                    </w: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3681849"/>
              <w:lock w:val="sdtLocked"/>
            </w:sdtPr>
            <w:sdtContent>
              <w:tr w:rsidR="00AC3C8B" w:rsidTr="000B799A">
                <w:trPr>
                  <w:trHeight w:val="147"/>
                </w:trPr>
                <w:tc>
                  <w:tcPr>
                    <w:tcW w:w="959" w:type="dxa"/>
                  </w:tcPr>
                  <w:p w:rsidR="00AC3C8B" w:rsidRDefault="00AC3C8B" w:rsidP="00601D47">
                    <w:pPr>
                      <w:rPr>
                        <w:szCs w:val="21"/>
                      </w:rPr>
                    </w:pPr>
                    <w:r>
                      <w:t>杨文胜</w:t>
                    </w:r>
                  </w:p>
                </w:tc>
                <w:tc>
                  <w:tcPr>
                    <w:tcW w:w="3685" w:type="dxa"/>
                  </w:tcPr>
                  <w:p w:rsidR="00AC3C8B" w:rsidRDefault="00AC3C8B" w:rsidP="00601D47">
                    <w:pPr>
                      <w:rPr>
                        <w:szCs w:val="21"/>
                      </w:rPr>
                    </w:pPr>
                    <w:r>
                      <w:t>晋能控股山西煤业股份有限公司</w:t>
                    </w:r>
                  </w:p>
                </w:tc>
                <w:tc>
                  <w:tcPr>
                    <w:tcW w:w="1560" w:type="dxa"/>
                  </w:tcPr>
                  <w:p w:rsidR="00AC3C8B" w:rsidRDefault="00AC3C8B" w:rsidP="00601D47">
                    <w:pPr>
                      <w:rPr>
                        <w:szCs w:val="21"/>
                      </w:rPr>
                    </w:pPr>
                    <w:r>
                      <w:t>董事</w:t>
                    </w:r>
                  </w:p>
                </w:tc>
                <w:tc>
                  <w:tcPr>
                    <w:tcW w:w="1417" w:type="dxa"/>
                  </w:tcPr>
                  <w:p w:rsidR="00AC3C8B" w:rsidRDefault="00AC3C8B" w:rsidP="00601D47">
                    <w:pPr>
                      <w:rPr>
                        <w:szCs w:val="21"/>
                      </w:rPr>
                    </w:pPr>
                    <w:r>
                      <w:t>2020年5月</w:t>
                    </w:r>
                  </w:p>
                </w:tc>
                <w:tc>
                  <w:tcPr>
                    <w:tcW w:w="1428" w:type="dxa"/>
                  </w:tcPr>
                  <w:p w:rsidR="00AC3C8B" w:rsidRDefault="00AC3C8B" w:rsidP="00601D47">
                    <w:pPr>
                      <w:rPr>
                        <w:szCs w:val="21"/>
                      </w:rPr>
                    </w:pPr>
                    <w:r>
                      <w:t>2023年5月</w:t>
                    </w: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3681853"/>
              <w:lock w:val="sdtLocked"/>
            </w:sdtPr>
            <w:sdtContent>
              <w:tr w:rsidR="00AC3C8B" w:rsidTr="000B799A">
                <w:trPr>
                  <w:trHeight w:val="147"/>
                </w:trPr>
                <w:tc>
                  <w:tcPr>
                    <w:tcW w:w="959" w:type="dxa"/>
                  </w:tcPr>
                  <w:p w:rsidR="00AC3C8B" w:rsidRDefault="00AC3C8B" w:rsidP="00601D47">
                    <w:pPr>
                      <w:rPr>
                        <w:szCs w:val="21"/>
                      </w:rPr>
                    </w:pPr>
                    <w:r>
                      <w:t>陈磊</w:t>
                    </w:r>
                  </w:p>
                </w:tc>
                <w:tc>
                  <w:tcPr>
                    <w:tcW w:w="3685" w:type="dxa"/>
                  </w:tcPr>
                  <w:p w:rsidR="00AC3C8B" w:rsidRDefault="00AC3C8B" w:rsidP="00601D47">
                    <w:pPr>
                      <w:rPr>
                        <w:szCs w:val="21"/>
                      </w:rPr>
                    </w:pPr>
                    <w:r>
                      <w:t>北京大学</w:t>
                    </w:r>
                  </w:p>
                </w:tc>
                <w:tc>
                  <w:tcPr>
                    <w:tcW w:w="1560" w:type="dxa"/>
                  </w:tcPr>
                  <w:p w:rsidR="00AC3C8B" w:rsidRDefault="00AC3C8B" w:rsidP="00601D47">
                    <w:pPr>
                      <w:rPr>
                        <w:szCs w:val="21"/>
                      </w:rPr>
                    </w:pPr>
                    <w:r>
                      <w:t>副教授</w:t>
                    </w:r>
                  </w:p>
                </w:tc>
                <w:tc>
                  <w:tcPr>
                    <w:tcW w:w="1417" w:type="dxa"/>
                  </w:tcPr>
                  <w:p w:rsidR="00AC3C8B" w:rsidRDefault="00AC3C8B" w:rsidP="00601D47">
                    <w:pPr>
                      <w:rPr>
                        <w:szCs w:val="21"/>
                      </w:rPr>
                    </w:pPr>
                    <w:r>
                      <w:t>2013年8月</w:t>
                    </w:r>
                  </w:p>
                </w:tc>
                <w:tc>
                  <w:tcPr>
                    <w:tcW w:w="1428" w:type="dxa"/>
                  </w:tcPr>
                  <w:p w:rsidR="00AC3C8B" w:rsidRDefault="00AC3C8B" w:rsidP="00601D47">
                    <w:pPr>
                      <w:rPr>
                        <w:szCs w:val="21"/>
                      </w:rPr>
                    </w:pPr>
                    <w:r>
                      <w:t> </w:t>
                    </w: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3681854"/>
              <w:lock w:val="sdtLocked"/>
            </w:sdtPr>
            <w:sdtContent>
              <w:tr w:rsidR="00AC3C8B" w:rsidTr="000B799A">
                <w:trPr>
                  <w:trHeight w:val="147"/>
                </w:trPr>
                <w:tc>
                  <w:tcPr>
                    <w:tcW w:w="959" w:type="dxa"/>
                  </w:tcPr>
                  <w:p w:rsidR="00AC3C8B" w:rsidRDefault="00AC3C8B" w:rsidP="00601D47">
                    <w:pPr>
                      <w:rPr>
                        <w:szCs w:val="21"/>
                      </w:rPr>
                    </w:pPr>
                    <w:r>
                      <w:t>陈磊</w:t>
                    </w:r>
                  </w:p>
                </w:tc>
                <w:tc>
                  <w:tcPr>
                    <w:tcW w:w="3685" w:type="dxa"/>
                  </w:tcPr>
                  <w:p w:rsidR="00AC3C8B" w:rsidRDefault="00AC3C8B" w:rsidP="00601D47">
                    <w:pPr>
                      <w:rPr>
                        <w:szCs w:val="21"/>
                      </w:rPr>
                    </w:pPr>
                    <w:r>
                      <w:t>东易日盛家居装饰集团股份有限公司</w:t>
                    </w:r>
                  </w:p>
                </w:tc>
                <w:tc>
                  <w:tcPr>
                    <w:tcW w:w="1560" w:type="dxa"/>
                  </w:tcPr>
                  <w:p w:rsidR="00AC3C8B" w:rsidRDefault="00AC3C8B" w:rsidP="00601D47">
                    <w:pPr>
                      <w:rPr>
                        <w:szCs w:val="21"/>
                      </w:rPr>
                    </w:pPr>
                    <w:r>
                      <w:t>独立董事</w:t>
                    </w:r>
                  </w:p>
                </w:tc>
                <w:tc>
                  <w:tcPr>
                    <w:tcW w:w="1417" w:type="dxa"/>
                  </w:tcPr>
                  <w:p w:rsidR="00AC3C8B" w:rsidRDefault="00AC3C8B" w:rsidP="00601D47">
                    <w:pPr>
                      <w:rPr>
                        <w:szCs w:val="21"/>
                      </w:rPr>
                    </w:pPr>
                    <w:r>
                      <w:t>2020年8月</w:t>
                    </w:r>
                  </w:p>
                </w:tc>
                <w:tc>
                  <w:tcPr>
                    <w:tcW w:w="1428" w:type="dxa"/>
                  </w:tcPr>
                  <w:p w:rsidR="00AC3C8B" w:rsidRDefault="00AC3C8B" w:rsidP="00601D47">
                    <w:pPr>
                      <w:rPr>
                        <w:szCs w:val="21"/>
                      </w:rPr>
                    </w:pPr>
                    <w:r>
                      <w:t>2023年7月</w:t>
                    </w: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3681855"/>
              <w:lock w:val="sdtLocked"/>
            </w:sdtPr>
            <w:sdtContent>
              <w:tr w:rsidR="00AC3C8B" w:rsidTr="000B799A">
                <w:trPr>
                  <w:trHeight w:val="147"/>
                </w:trPr>
                <w:tc>
                  <w:tcPr>
                    <w:tcW w:w="959" w:type="dxa"/>
                  </w:tcPr>
                  <w:p w:rsidR="00AC3C8B" w:rsidRDefault="00AC3C8B" w:rsidP="00601D47">
                    <w:pPr>
                      <w:rPr>
                        <w:szCs w:val="21"/>
                      </w:rPr>
                    </w:pPr>
                    <w:r>
                      <w:t>郝生跃</w:t>
                    </w:r>
                  </w:p>
                </w:tc>
                <w:tc>
                  <w:tcPr>
                    <w:tcW w:w="3685" w:type="dxa"/>
                  </w:tcPr>
                  <w:p w:rsidR="00AC3C8B" w:rsidRDefault="00AC3C8B" w:rsidP="00601D47">
                    <w:pPr>
                      <w:rPr>
                        <w:szCs w:val="21"/>
                      </w:rPr>
                    </w:pPr>
                    <w:r>
                      <w:t>北京交通大学</w:t>
                    </w:r>
                  </w:p>
                </w:tc>
                <w:tc>
                  <w:tcPr>
                    <w:tcW w:w="1560" w:type="dxa"/>
                  </w:tcPr>
                  <w:p w:rsidR="00AC3C8B" w:rsidRDefault="00AC3C8B" w:rsidP="00601D47">
                    <w:pPr>
                      <w:rPr>
                        <w:szCs w:val="21"/>
                      </w:rPr>
                    </w:pPr>
                    <w:r>
                      <w:t>教授</w:t>
                    </w:r>
                  </w:p>
                </w:tc>
                <w:tc>
                  <w:tcPr>
                    <w:tcW w:w="1417" w:type="dxa"/>
                  </w:tcPr>
                  <w:p w:rsidR="00AC3C8B" w:rsidRDefault="00AC3C8B" w:rsidP="00601D47">
                    <w:pPr>
                      <w:rPr>
                        <w:szCs w:val="21"/>
                      </w:rPr>
                    </w:pPr>
                    <w:r>
                      <w:t>2001年7月</w:t>
                    </w:r>
                  </w:p>
                </w:tc>
                <w:tc>
                  <w:tcPr>
                    <w:tcW w:w="1428" w:type="dxa"/>
                  </w:tcPr>
                  <w:p w:rsidR="00AC3C8B" w:rsidRDefault="00AC3C8B" w:rsidP="00601D47">
                    <w:pPr>
                      <w:rPr>
                        <w:szCs w:val="21"/>
                      </w:rPr>
                    </w:pPr>
                    <w:r>
                      <w:t> </w:t>
                    </w: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3681856"/>
              <w:lock w:val="sdtLocked"/>
            </w:sdtPr>
            <w:sdtContent>
              <w:tr w:rsidR="00AC3C8B" w:rsidTr="000B799A">
                <w:trPr>
                  <w:trHeight w:val="147"/>
                </w:trPr>
                <w:tc>
                  <w:tcPr>
                    <w:tcW w:w="959" w:type="dxa"/>
                  </w:tcPr>
                  <w:p w:rsidR="00AC3C8B" w:rsidRDefault="00AC3C8B" w:rsidP="00601D47">
                    <w:pPr>
                      <w:rPr>
                        <w:szCs w:val="21"/>
                      </w:rPr>
                    </w:pPr>
                    <w:r>
                      <w:t>郝生跃</w:t>
                    </w:r>
                  </w:p>
                </w:tc>
                <w:tc>
                  <w:tcPr>
                    <w:tcW w:w="3685" w:type="dxa"/>
                  </w:tcPr>
                  <w:p w:rsidR="00AC3C8B" w:rsidRDefault="00AC3C8B" w:rsidP="00601D47">
                    <w:pPr>
                      <w:rPr>
                        <w:szCs w:val="21"/>
                      </w:rPr>
                    </w:pPr>
                    <w:r>
                      <w:t>江苏省铁路集团有限公司</w:t>
                    </w:r>
                  </w:p>
                </w:tc>
                <w:tc>
                  <w:tcPr>
                    <w:tcW w:w="1560" w:type="dxa"/>
                  </w:tcPr>
                  <w:p w:rsidR="00AC3C8B" w:rsidRDefault="00AC3C8B" w:rsidP="00601D47">
                    <w:pPr>
                      <w:rPr>
                        <w:szCs w:val="21"/>
                      </w:rPr>
                    </w:pPr>
                    <w:r>
                      <w:t>外部董事</w:t>
                    </w:r>
                  </w:p>
                </w:tc>
                <w:tc>
                  <w:tcPr>
                    <w:tcW w:w="1417" w:type="dxa"/>
                  </w:tcPr>
                  <w:p w:rsidR="00AC3C8B" w:rsidRDefault="00AC3C8B" w:rsidP="00601D47">
                    <w:pPr>
                      <w:rPr>
                        <w:szCs w:val="21"/>
                      </w:rPr>
                    </w:pPr>
                    <w:r>
                      <w:t>2018年6月</w:t>
                    </w:r>
                  </w:p>
                </w:tc>
                <w:tc>
                  <w:tcPr>
                    <w:tcW w:w="1428" w:type="dxa"/>
                  </w:tcPr>
                  <w:p w:rsidR="00AC3C8B" w:rsidRDefault="00AC3C8B" w:rsidP="00601D47">
                    <w:pPr>
                      <w:rPr>
                        <w:szCs w:val="21"/>
                      </w:rPr>
                    </w:pPr>
                    <w:r>
                      <w:t> </w:t>
                    </w: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3681857"/>
              <w:lock w:val="sdtLocked"/>
            </w:sdtPr>
            <w:sdtContent>
              <w:tr w:rsidR="00AC3C8B" w:rsidTr="000B799A">
                <w:trPr>
                  <w:trHeight w:val="147"/>
                </w:trPr>
                <w:tc>
                  <w:tcPr>
                    <w:tcW w:w="959" w:type="dxa"/>
                  </w:tcPr>
                  <w:p w:rsidR="00AC3C8B" w:rsidRDefault="00AC3C8B" w:rsidP="00601D47">
                    <w:pPr>
                      <w:rPr>
                        <w:szCs w:val="21"/>
                      </w:rPr>
                    </w:pPr>
                    <w:r>
                      <w:t>郝生跃</w:t>
                    </w:r>
                  </w:p>
                </w:tc>
                <w:tc>
                  <w:tcPr>
                    <w:tcW w:w="3685" w:type="dxa"/>
                  </w:tcPr>
                  <w:p w:rsidR="00AC3C8B" w:rsidRDefault="00AC3C8B" w:rsidP="00601D47">
                    <w:pPr>
                      <w:rPr>
                        <w:szCs w:val="21"/>
                      </w:rPr>
                    </w:pPr>
                    <w:r>
                      <w:t>中化明达控股集团有限公司 </w:t>
                    </w:r>
                  </w:p>
                </w:tc>
                <w:tc>
                  <w:tcPr>
                    <w:tcW w:w="1560" w:type="dxa"/>
                  </w:tcPr>
                  <w:p w:rsidR="00AC3C8B" w:rsidRDefault="00AC3C8B" w:rsidP="00601D47">
                    <w:pPr>
                      <w:rPr>
                        <w:szCs w:val="21"/>
                      </w:rPr>
                    </w:pPr>
                    <w:r>
                      <w:rPr>
                        <w:rFonts w:hint="eastAsia"/>
                      </w:rPr>
                      <w:t>外</w:t>
                    </w:r>
                    <w:r>
                      <w:t>部董事  </w:t>
                    </w:r>
                  </w:p>
                </w:tc>
                <w:tc>
                  <w:tcPr>
                    <w:tcW w:w="1417" w:type="dxa"/>
                  </w:tcPr>
                  <w:p w:rsidR="00AC3C8B" w:rsidRDefault="00AC3C8B" w:rsidP="00601D47">
                    <w:pPr>
                      <w:rPr>
                        <w:szCs w:val="21"/>
                      </w:rPr>
                    </w:pPr>
                    <w:r>
                      <w:t>2020年1月</w:t>
                    </w:r>
                  </w:p>
                </w:tc>
                <w:tc>
                  <w:tcPr>
                    <w:tcW w:w="1428" w:type="dxa"/>
                  </w:tcPr>
                  <w:p w:rsidR="00AC3C8B" w:rsidRDefault="00AC3C8B" w:rsidP="00601D47">
                    <w:pPr>
                      <w:rPr>
                        <w:szCs w:val="21"/>
                      </w:rPr>
                    </w:pP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3681858"/>
              <w:lock w:val="sdtLocked"/>
            </w:sdtPr>
            <w:sdtContent>
              <w:tr w:rsidR="00AC3C8B" w:rsidTr="000B799A">
                <w:trPr>
                  <w:trHeight w:val="147"/>
                </w:trPr>
                <w:tc>
                  <w:tcPr>
                    <w:tcW w:w="959" w:type="dxa"/>
                  </w:tcPr>
                  <w:p w:rsidR="00AC3C8B" w:rsidRDefault="00AC3C8B" w:rsidP="00601D47">
                    <w:pPr>
                      <w:rPr>
                        <w:rFonts w:asciiTheme="minorHAnsi" w:eastAsiaTheme="minorEastAsia" w:hAnsiTheme="minorHAnsi" w:cstheme="minorBidi"/>
                        <w:kern w:val="2"/>
                        <w:szCs w:val="21"/>
                      </w:rPr>
                    </w:pPr>
                    <w:r>
                      <w:t>郝生跃</w:t>
                    </w:r>
                  </w:p>
                </w:tc>
                <w:tc>
                  <w:tcPr>
                    <w:tcW w:w="3685" w:type="dxa"/>
                  </w:tcPr>
                  <w:p w:rsidR="00AC3C8B" w:rsidRDefault="00AC3C8B" w:rsidP="00601D47">
                    <w:pPr>
                      <w:rPr>
                        <w:szCs w:val="21"/>
                      </w:rPr>
                    </w:pPr>
                    <w:r>
                      <w:t>北京城建集团有限责任公司</w:t>
                    </w:r>
                  </w:p>
                </w:tc>
                <w:tc>
                  <w:tcPr>
                    <w:tcW w:w="1560" w:type="dxa"/>
                  </w:tcPr>
                  <w:p w:rsidR="00AC3C8B" w:rsidRDefault="00AC3C8B" w:rsidP="00601D47">
                    <w:pPr>
                      <w:rPr>
                        <w:szCs w:val="21"/>
                      </w:rPr>
                    </w:pPr>
                    <w:r>
                      <w:t>外部董事</w:t>
                    </w:r>
                  </w:p>
                </w:tc>
                <w:tc>
                  <w:tcPr>
                    <w:tcW w:w="1417" w:type="dxa"/>
                  </w:tcPr>
                  <w:p w:rsidR="00AC3C8B" w:rsidRDefault="00AC3C8B" w:rsidP="00601D47">
                    <w:pPr>
                      <w:rPr>
                        <w:szCs w:val="21"/>
                      </w:rPr>
                    </w:pPr>
                    <w:r>
                      <w:t>2019年1月</w:t>
                    </w:r>
                  </w:p>
                </w:tc>
                <w:tc>
                  <w:tcPr>
                    <w:tcW w:w="1428" w:type="dxa"/>
                  </w:tcPr>
                  <w:p w:rsidR="00AC3C8B" w:rsidRDefault="00AC3C8B" w:rsidP="00601D47">
                    <w:pPr>
                      <w:rPr>
                        <w:rFonts w:asciiTheme="minorHAnsi" w:eastAsiaTheme="minorEastAsia" w:hAnsiTheme="minorHAnsi" w:cstheme="minorBidi"/>
                        <w:kern w:val="2"/>
                        <w:szCs w:val="21"/>
                      </w:rPr>
                    </w:pP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3681859"/>
              <w:lock w:val="sdtLocked"/>
            </w:sdtPr>
            <w:sdtContent>
              <w:tr w:rsidR="00AC3C8B" w:rsidTr="000B799A">
                <w:trPr>
                  <w:trHeight w:val="147"/>
                </w:trPr>
                <w:tc>
                  <w:tcPr>
                    <w:tcW w:w="959" w:type="dxa"/>
                  </w:tcPr>
                  <w:p w:rsidR="00AC3C8B" w:rsidRDefault="00AC3C8B" w:rsidP="00601D47">
                    <w:pPr>
                      <w:rPr>
                        <w:rFonts w:asciiTheme="minorHAnsi" w:eastAsiaTheme="minorEastAsia" w:hAnsiTheme="minorHAnsi" w:cstheme="minorBidi"/>
                        <w:kern w:val="2"/>
                        <w:szCs w:val="21"/>
                      </w:rPr>
                    </w:pPr>
                    <w:r w:rsidRPr="00EA2085">
                      <w:rPr>
                        <w:rFonts w:asciiTheme="minorHAnsi" w:eastAsiaTheme="minorEastAsia" w:hAnsiTheme="minorHAnsi" w:cstheme="minorBidi" w:hint="eastAsia"/>
                        <w:kern w:val="2"/>
                        <w:szCs w:val="21"/>
                      </w:rPr>
                      <w:t>郝生跃</w:t>
                    </w:r>
                  </w:p>
                </w:tc>
                <w:tc>
                  <w:tcPr>
                    <w:tcW w:w="3685" w:type="dxa"/>
                  </w:tcPr>
                  <w:p w:rsidR="00AC3C8B" w:rsidRDefault="00AC3C8B" w:rsidP="00601D47">
                    <w:pPr>
                      <w:rPr>
                        <w:szCs w:val="21"/>
                      </w:rPr>
                    </w:pPr>
                    <w:r>
                      <w:rPr>
                        <w:rFonts w:hint="eastAsia"/>
                        <w:szCs w:val="21"/>
                      </w:rPr>
                      <w:t>河北高速公路集团有限公司</w:t>
                    </w:r>
                  </w:p>
                </w:tc>
                <w:tc>
                  <w:tcPr>
                    <w:tcW w:w="1560" w:type="dxa"/>
                  </w:tcPr>
                  <w:p w:rsidR="00AC3C8B" w:rsidRDefault="00AC3C8B" w:rsidP="00601D47">
                    <w:pPr>
                      <w:rPr>
                        <w:szCs w:val="21"/>
                      </w:rPr>
                    </w:pPr>
                    <w:r>
                      <w:rPr>
                        <w:rFonts w:hint="eastAsia"/>
                        <w:szCs w:val="21"/>
                      </w:rPr>
                      <w:t>外部董事</w:t>
                    </w:r>
                  </w:p>
                </w:tc>
                <w:tc>
                  <w:tcPr>
                    <w:tcW w:w="1417" w:type="dxa"/>
                  </w:tcPr>
                  <w:p w:rsidR="00AC3C8B" w:rsidRDefault="00AC3C8B" w:rsidP="00601D47">
                    <w:pPr>
                      <w:rPr>
                        <w:szCs w:val="21"/>
                      </w:rPr>
                    </w:pPr>
                    <w:r>
                      <w:rPr>
                        <w:rFonts w:hint="eastAsia"/>
                        <w:szCs w:val="21"/>
                      </w:rPr>
                      <w:t>2022年9月</w:t>
                    </w:r>
                  </w:p>
                </w:tc>
                <w:tc>
                  <w:tcPr>
                    <w:tcW w:w="1428" w:type="dxa"/>
                  </w:tcPr>
                  <w:p w:rsidR="00AC3C8B" w:rsidRDefault="00AC3C8B" w:rsidP="00601D47">
                    <w:pPr>
                      <w:rPr>
                        <w:rFonts w:asciiTheme="minorHAnsi" w:eastAsiaTheme="minorEastAsia" w:hAnsiTheme="minorHAnsi" w:cstheme="minorBidi"/>
                        <w:kern w:val="2"/>
                        <w:szCs w:val="21"/>
                      </w:rPr>
                    </w:pP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3681860"/>
              <w:lock w:val="sdtLocked"/>
            </w:sdtPr>
            <w:sdtContent>
              <w:tr w:rsidR="00AC3C8B" w:rsidTr="000B799A">
                <w:trPr>
                  <w:trHeight w:val="147"/>
                </w:trPr>
                <w:tc>
                  <w:tcPr>
                    <w:tcW w:w="959" w:type="dxa"/>
                  </w:tcPr>
                  <w:p w:rsidR="00AC3C8B" w:rsidRDefault="00AC3C8B" w:rsidP="00601D47">
                    <w:pPr>
                      <w:rPr>
                        <w:rFonts w:asciiTheme="minorHAnsi" w:eastAsiaTheme="minorEastAsia" w:hAnsiTheme="minorHAnsi" w:cstheme="minorBidi"/>
                        <w:kern w:val="2"/>
                        <w:szCs w:val="21"/>
                      </w:rPr>
                    </w:pPr>
                    <w:r>
                      <w:rPr>
                        <w:rFonts w:asciiTheme="minorHAnsi" w:eastAsiaTheme="minorEastAsia" w:hAnsiTheme="minorHAnsi" w:cstheme="minorBidi" w:hint="eastAsia"/>
                        <w:kern w:val="2"/>
                        <w:szCs w:val="21"/>
                      </w:rPr>
                      <w:t>许光建</w:t>
                    </w:r>
                  </w:p>
                </w:tc>
                <w:tc>
                  <w:tcPr>
                    <w:tcW w:w="3685" w:type="dxa"/>
                  </w:tcPr>
                  <w:p w:rsidR="00AC3C8B" w:rsidRDefault="00AC3C8B" w:rsidP="00601D47">
                    <w:pPr>
                      <w:rPr>
                        <w:szCs w:val="21"/>
                      </w:rPr>
                    </w:pPr>
                    <w:r w:rsidRPr="004961B4">
                      <w:rPr>
                        <w:rFonts w:hint="eastAsia"/>
                        <w:szCs w:val="21"/>
                      </w:rPr>
                      <w:t>中国人民大学</w:t>
                    </w:r>
                  </w:p>
                </w:tc>
                <w:tc>
                  <w:tcPr>
                    <w:tcW w:w="1560" w:type="dxa"/>
                  </w:tcPr>
                  <w:p w:rsidR="00AC3C8B" w:rsidRDefault="00AC3C8B" w:rsidP="00601D47">
                    <w:pPr>
                      <w:rPr>
                        <w:szCs w:val="21"/>
                      </w:rPr>
                    </w:pPr>
                    <w:r>
                      <w:rPr>
                        <w:rFonts w:hint="eastAsia"/>
                        <w:szCs w:val="21"/>
                      </w:rPr>
                      <w:t>教授</w:t>
                    </w:r>
                  </w:p>
                </w:tc>
                <w:tc>
                  <w:tcPr>
                    <w:tcW w:w="1417" w:type="dxa"/>
                  </w:tcPr>
                  <w:p w:rsidR="00AC3C8B" w:rsidRDefault="00AC3C8B" w:rsidP="00601D47">
                    <w:pPr>
                      <w:rPr>
                        <w:szCs w:val="21"/>
                      </w:rPr>
                    </w:pPr>
                    <w:r>
                      <w:rPr>
                        <w:rFonts w:hint="eastAsia"/>
                        <w:szCs w:val="21"/>
                      </w:rPr>
                      <w:t>1997年6月</w:t>
                    </w:r>
                  </w:p>
                </w:tc>
                <w:tc>
                  <w:tcPr>
                    <w:tcW w:w="1428" w:type="dxa"/>
                  </w:tcPr>
                  <w:p w:rsidR="00AC3C8B" w:rsidRDefault="00AC3C8B" w:rsidP="00601D47">
                    <w:pPr>
                      <w:rPr>
                        <w:rFonts w:asciiTheme="minorHAnsi" w:eastAsiaTheme="minorEastAsia" w:hAnsiTheme="minorHAnsi" w:cstheme="minorBidi"/>
                        <w:kern w:val="2"/>
                        <w:szCs w:val="21"/>
                      </w:rPr>
                    </w:pP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3681861"/>
              <w:lock w:val="sdtLocked"/>
            </w:sdtPr>
            <w:sdtEndPr>
              <w:rPr>
                <w:rFonts w:asciiTheme="minorEastAsia" w:hAnsiTheme="minorEastAsia"/>
              </w:rPr>
            </w:sdtEndPr>
            <w:sdtContent>
              <w:tr w:rsidR="00AC3C8B" w:rsidTr="000B799A">
                <w:trPr>
                  <w:trHeight w:val="147"/>
                </w:trPr>
                <w:tc>
                  <w:tcPr>
                    <w:tcW w:w="959" w:type="dxa"/>
                  </w:tcPr>
                  <w:p w:rsidR="00AC3C8B" w:rsidRDefault="00AC3C8B" w:rsidP="00601D47">
                    <w:pPr>
                      <w:rPr>
                        <w:rFonts w:asciiTheme="minorHAnsi" w:eastAsiaTheme="minorEastAsia" w:hAnsiTheme="minorHAnsi" w:cstheme="minorBidi"/>
                        <w:kern w:val="2"/>
                        <w:szCs w:val="21"/>
                      </w:rPr>
                    </w:pPr>
                    <w:r>
                      <w:rPr>
                        <w:rFonts w:asciiTheme="minorHAnsi" w:eastAsiaTheme="minorEastAsia" w:hAnsiTheme="minorHAnsi" w:cstheme="minorBidi" w:hint="eastAsia"/>
                        <w:kern w:val="2"/>
                        <w:szCs w:val="21"/>
                      </w:rPr>
                      <w:t>樊燕萍</w:t>
                    </w:r>
                  </w:p>
                </w:tc>
                <w:tc>
                  <w:tcPr>
                    <w:tcW w:w="3685" w:type="dxa"/>
                  </w:tcPr>
                  <w:p w:rsidR="00AC3C8B" w:rsidRDefault="00AC3C8B" w:rsidP="00601D47">
                    <w:pPr>
                      <w:rPr>
                        <w:szCs w:val="21"/>
                      </w:rPr>
                    </w:pPr>
                    <w:r>
                      <w:rPr>
                        <w:rFonts w:hint="eastAsia"/>
                        <w:szCs w:val="21"/>
                      </w:rPr>
                      <w:t>山西省国新能源股份有限公司</w:t>
                    </w:r>
                  </w:p>
                </w:tc>
                <w:tc>
                  <w:tcPr>
                    <w:tcW w:w="1560" w:type="dxa"/>
                  </w:tcPr>
                  <w:p w:rsidR="00AC3C8B" w:rsidRDefault="00AC3C8B" w:rsidP="00601D47">
                    <w:pPr>
                      <w:rPr>
                        <w:szCs w:val="21"/>
                      </w:rPr>
                    </w:pPr>
                    <w:r>
                      <w:rPr>
                        <w:rFonts w:hint="eastAsia"/>
                        <w:szCs w:val="21"/>
                      </w:rPr>
                      <w:t>独立董事</w:t>
                    </w:r>
                  </w:p>
                </w:tc>
                <w:tc>
                  <w:tcPr>
                    <w:tcW w:w="1417" w:type="dxa"/>
                  </w:tcPr>
                  <w:p w:rsidR="00AC3C8B" w:rsidRDefault="00AC3C8B" w:rsidP="00601D47">
                    <w:pPr>
                      <w:rPr>
                        <w:szCs w:val="21"/>
                      </w:rPr>
                    </w:pPr>
                    <w:r>
                      <w:rPr>
                        <w:rFonts w:hint="eastAsia"/>
                        <w:szCs w:val="21"/>
                      </w:rPr>
                      <w:t>2022年5月</w:t>
                    </w:r>
                  </w:p>
                </w:tc>
                <w:tc>
                  <w:tcPr>
                    <w:tcW w:w="1428" w:type="dxa"/>
                  </w:tcPr>
                  <w:p w:rsidR="00AC3C8B" w:rsidRPr="00CA372F" w:rsidRDefault="00AC3C8B" w:rsidP="00601D47">
                    <w:pPr>
                      <w:rPr>
                        <w:rFonts w:asciiTheme="minorEastAsia" w:eastAsiaTheme="minorEastAsia" w:hAnsiTheme="minorEastAsia" w:cstheme="minorBidi"/>
                        <w:kern w:val="2"/>
                        <w:szCs w:val="21"/>
                      </w:rPr>
                    </w:pPr>
                    <w:r w:rsidRPr="00CA372F">
                      <w:rPr>
                        <w:rFonts w:asciiTheme="minorEastAsia" w:eastAsiaTheme="minorEastAsia" w:hAnsiTheme="minorEastAsia" w:cstheme="minorBidi" w:hint="eastAsia"/>
                        <w:kern w:val="2"/>
                        <w:szCs w:val="21"/>
                      </w:rPr>
                      <w:t>2025年5月</w:t>
                    </w: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3681862"/>
              <w:lock w:val="sdtLocked"/>
            </w:sdtPr>
            <w:sdtEndPr>
              <w:rPr>
                <w:rFonts w:asciiTheme="minorEastAsia" w:hAnsiTheme="minorEastAsia"/>
              </w:rPr>
            </w:sdtEndPr>
            <w:sdtContent>
              <w:tr w:rsidR="00AC3C8B" w:rsidTr="000B799A">
                <w:trPr>
                  <w:trHeight w:val="147"/>
                </w:trPr>
                <w:tc>
                  <w:tcPr>
                    <w:tcW w:w="959" w:type="dxa"/>
                  </w:tcPr>
                  <w:p w:rsidR="00AC3C8B" w:rsidRDefault="00AC3C8B" w:rsidP="00601D47">
                    <w:pPr>
                      <w:rPr>
                        <w:rFonts w:asciiTheme="minorHAnsi" w:eastAsiaTheme="minorEastAsia" w:hAnsiTheme="minorHAnsi" w:cstheme="minorBidi"/>
                        <w:kern w:val="2"/>
                        <w:szCs w:val="21"/>
                      </w:rPr>
                    </w:pPr>
                    <w:r w:rsidRPr="00817AB3">
                      <w:rPr>
                        <w:rFonts w:asciiTheme="minorHAnsi" w:eastAsiaTheme="minorEastAsia" w:hAnsiTheme="minorHAnsi" w:cstheme="minorBidi" w:hint="eastAsia"/>
                        <w:kern w:val="2"/>
                        <w:szCs w:val="21"/>
                      </w:rPr>
                      <w:t>樊燕萍</w:t>
                    </w:r>
                  </w:p>
                </w:tc>
                <w:tc>
                  <w:tcPr>
                    <w:tcW w:w="3685" w:type="dxa"/>
                  </w:tcPr>
                  <w:p w:rsidR="00AC3C8B" w:rsidRDefault="00AC3C8B" w:rsidP="00601D47">
                    <w:pPr>
                      <w:rPr>
                        <w:szCs w:val="21"/>
                      </w:rPr>
                    </w:pPr>
                    <w:r>
                      <w:rPr>
                        <w:rFonts w:hint="eastAsia"/>
                        <w:szCs w:val="21"/>
                      </w:rPr>
                      <w:t>深圳华控赛格股份有限公司</w:t>
                    </w:r>
                  </w:p>
                </w:tc>
                <w:tc>
                  <w:tcPr>
                    <w:tcW w:w="1560" w:type="dxa"/>
                  </w:tcPr>
                  <w:p w:rsidR="00AC3C8B" w:rsidRDefault="00AC3C8B" w:rsidP="00601D47">
                    <w:pPr>
                      <w:rPr>
                        <w:szCs w:val="21"/>
                      </w:rPr>
                    </w:pPr>
                    <w:r>
                      <w:rPr>
                        <w:rFonts w:hint="eastAsia"/>
                        <w:szCs w:val="21"/>
                      </w:rPr>
                      <w:t>独立董事</w:t>
                    </w:r>
                  </w:p>
                </w:tc>
                <w:tc>
                  <w:tcPr>
                    <w:tcW w:w="1417" w:type="dxa"/>
                  </w:tcPr>
                  <w:p w:rsidR="00AC3C8B" w:rsidRDefault="00AC3C8B" w:rsidP="00601D47">
                    <w:pPr>
                      <w:rPr>
                        <w:szCs w:val="21"/>
                      </w:rPr>
                    </w:pPr>
                    <w:r>
                      <w:rPr>
                        <w:rFonts w:hint="eastAsia"/>
                        <w:szCs w:val="21"/>
                      </w:rPr>
                      <w:t>2020年7月</w:t>
                    </w:r>
                  </w:p>
                </w:tc>
                <w:tc>
                  <w:tcPr>
                    <w:tcW w:w="1428" w:type="dxa"/>
                  </w:tcPr>
                  <w:p w:rsidR="00AC3C8B" w:rsidRPr="00CA372F" w:rsidRDefault="00AC3C8B" w:rsidP="00601D47">
                    <w:pPr>
                      <w:rPr>
                        <w:rFonts w:asciiTheme="minorEastAsia" w:eastAsiaTheme="minorEastAsia" w:hAnsiTheme="minorEastAsia" w:cstheme="minorBidi"/>
                        <w:kern w:val="2"/>
                        <w:szCs w:val="21"/>
                      </w:rPr>
                    </w:pPr>
                    <w:r w:rsidRPr="00CA372F">
                      <w:rPr>
                        <w:rFonts w:asciiTheme="minorEastAsia" w:eastAsiaTheme="minorEastAsia" w:hAnsiTheme="minorEastAsia" w:cstheme="minorBidi" w:hint="eastAsia"/>
                        <w:kern w:val="2"/>
                        <w:szCs w:val="21"/>
                      </w:rPr>
                      <w:t>2023年7月</w:t>
                    </w: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3681863"/>
              <w:lock w:val="sdtLocked"/>
            </w:sdtPr>
            <w:sdtEndPr>
              <w:rPr>
                <w:rFonts w:asciiTheme="minorEastAsia" w:hAnsiTheme="minorEastAsia"/>
              </w:rPr>
            </w:sdtEndPr>
            <w:sdtContent>
              <w:tr w:rsidR="00AC3C8B" w:rsidTr="000B799A">
                <w:trPr>
                  <w:trHeight w:val="147"/>
                </w:trPr>
                <w:tc>
                  <w:tcPr>
                    <w:tcW w:w="959" w:type="dxa"/>
                  </w:tcPr>
                  <w:p w:rsidR="00AC3C8B" w:rsidRDefault="00AC3C8B" w:rsidP="00601D47">
                    <w:pPr>
                      <w:rPr>
                        <w:rFonts w:asciiTheme="minorHAnsi" w:eastAsiaTheme="minorEastAsia" w:hAnsiTheme="minorHAnsi" w:cstheme="minorBidi"/>
                        <w:kern w:val="2"/>
                        <w:szCs w:val="21"/>
                      </w:rPr>
                    </w:pPr>
                    <w:r w:rsidRPr="00817AB3">
                      <w:rPr>
                        <w:rFonts w:asciiTheme="minorHAnsi" w:eastAsiaTheme="minorEastAsia" w:hAnsiTheme="minorHAnsi" w:cstheme="minorBidi" w:hint="eastAsia"/>
                        <w:kern w:val="2"/>
                        <w:szCs w:val="21"/>
                      </w:rPr>
                      <w:t>樊燕萍</w:t>
                    </w:r>
                  </w:p>
                </w:tc>
                <w:tc>
                  <w:tcPr>
                    <w:tcW w:w="3685" w:type="dxa"/>
                  </w:tcPr>
                  <w:p w:rsidR="00AC3C8B" w:rsidRDefault="00AC3C8B" w:rsidP="00601D47">
                    <w:pPr>
                      <w:rPr>
                        <w:szCs w:val="21"/>
                      </w:rPr>
                    </w:pPr>
                    <w:r>
                      <w:rPr>
                        <w:rFonts w:hint="eastAsia"/>
                        <w:szCs w:val="21"/>
                      </w:rPr>
                      <w:t>山西杏花村汾酒厂股份有限公司</w:t>
                    </w:r>
                  </w:p>
                </w:tc>
                <w:tc>
                  <w:tcPr>
                    <w:tcW w:w="1560" w:type="dxa"/>
                  </w:tcPr>
                  <w:p w:rsidR="00AC3C8B" w:rsidRDefault="00AC3C8B" w:rsidP="00601D47">
                    <w:pPr>
                      <w:rPr>
                        <w:szCs w:val="21"/>
                      </w:rPr>
                    </w:pPr>
                    <w:r>
                      <w:rPr>
                        <w:rFonts w:hint="eastAsia"/>
                        <w:szCs w:val="21"/>
                      </w:rPr>
                      <w:t>独立董事</w:t>
                    </w:r>
                  </w:p>
                </w:tc>
                <w:tc>
                  <w:tcPr>
                    <w:tcW w:w="1417" w:type="dxa"/>
                  </w:tcPr>
                  <w:p w:rsidR="00AC3C8B" w:rsidRDefault="00AC3C8B" w:rsidP="00601D47">
                    <w:pPr>
                      <w:rPr>
                        <w:szCs w:val="21"/>
                      </w:rPr>
                    </w:pPr>
                    <w:r>
                      <w:rPr>
                        <w:rFonts w:hint="eastAsia"/>
                        <w:szCs w:val="21"/>
                      </w:rPr>
                      <w:t>2022年6月</w:t>
                    </w:r>
                  </w:p>
                </w:tc>
                <w:tc>
                  <w:tcPr>
                    <w:tcW w:w="1428" w:type="dxa"/>
                  </w:tcPr>
                  <w:p w:rsidR="00AC3C8B" w:rsidRPr="00CA372F" w:rsidRDefault="00AC3C8B" w:rsidP="00601D47">
                    <w:pPr>
                      <w:rPr>
                        <w:rFonts w:asciiTheme="minorEastAsia" w:eastAsiaTheme="minorEastAsia" w:hAnsiTheme="minorEastAsia" w:cstheme="minorBidi"/>
                        <w:kern w:val="2"/>
                        <w:szCs w:val="21"/>
                      </w:rPr>
                    </w:pPr>
                    <w:r w:rsidRPr="00CA372F">
                      <w:rPr>
                        <w:rFonts w:asciiTheme="minorEastAsia" w:eastAsiaTheme="minorEastAsia" w:hAnsiTheme="minorEastAsia" w:cstheme="minorBidi" w:hint="eastAsia"/>
                        <w:kern w:val="2"/>
                        <w:szCs w:val="21"/>
                      </w:rPr>
                      <w:t>2025年6月</w:t>
                    </w: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3681864"/>
              <w:lock w:val="sdtLocked"/>
            </w:sdtPr>
            <w:sdtEndPr>
              <w:rPr>
                <w:rFonts w:asciiTheme="minorEastAsia" w:hAnsiTheme="minorEastAsia"/>
              </w:rPr>
            </w:sdtEndPr>
            <w:sdtContent>
              <w:tr w:rsidR="00AC3C8B" w:rsidTr="000B799A">
                <w:trPr>
                  <w:trHeight w:val="147"/>
                </w:trPr>
                <w:tc>
                  <w:tcPr>
                    <w:tcW w:w="959" w:type="dxa"/>
                  </w:tcPr>
                  <w:p w:rsidR="00AC3C8B" w:rsidRDefault="00AC3C8B" w:rsidP="00601D47">
                    <w:pPr>
                      <w:rPr>
                        <w:rFonts w:asciiTheme="minorHAnsi" w:eastAsiaTheme="minorEastAsia" w:hAnsiTheme="minorHAnsi" w:cstheme="minorBidi"/>
                        <w:kern w:val="2"/>
                        <w:szCs w:val="21"/>
                      </w:rPr>
                    </w:pPr>
                    <w:r w:rsidRPr="00817AB3">
                      <w:rPr>
                        <w:rFonts w:asciiTheme="minorHAnsi" w:eastAsiaTheme="minorEastAsia" w:hAnsiTheme="minorHAnsi" w:cstheme="minorBidi" w:hint="eastAsia"/>
                        <w:kern w:val="2"/>
                        <w:szCs w:val="21"/>
                      </w:rPr>
                      <w:t>樊燕萍</w:t>
                    </w:r>
                  </w:p>
                </w:tc>
                <w:tc>
                  <w:tcPr>
                    <w:tcW w:w="3685" w:type="dxa"/>
                  </w:tcPr>
                  <w:p w:rsidR="00AC3C8B" w:rsidRDefault="00AC3C8B" w:rsidP="00601D47">
                    <w:pPr>
                      <w:rPr>
                        <w:szCs w:val="21"/>
                      </w:rPr>
                    </w:pPr>
                    <w:r>
                      <w:rPr>
                        <w:rFonts w:hint="eastAsia"/>
                        <w:szCs w:val="21"/>
                      </w:rPr>
                      <w:t>晋能控股山西电力股份有限公司</w:t>
                    </w:r>
                  </w:p>
                </w:tc>
                <w:tc>
                  <w:tcPr>
                    <w:tcW w:w="1560" w:type="dxa"/>
                  </w:tcPr>
                  <w:p w:rsidR="00AC3C8B" w:rsidRDefault="00AC3C8B" w:rsidP="00601D47">
                    <w:pPr>
                      <w:rPr>
                        <w:szCs w:val="21"/>
                      </w:rPr>
                    </w:pPr>
                    <w:r>
                      <w:rPr>
                        <w:rFonts w:hint="eastAsia"/>
                        <w:szCs w:val="21"/>
                      </w:rPr>
                      <w:t>独立董事</w:t>
                    </w:r>
                  </w:p>
                </w:tc>
                <w:tc>
                  <w:tcPr>
                    <w:tcW w:w="1417" w:type="dxa"/>
                  </w:tcPr>
                  <w:p w:rsidR="00AC3C8B" w:rsidRDefault="00AC3C8B" w:rsidP="00601D47">
                    <w:pPr>
                      <w:rPr>
                        <w:szCs w:val="21"/>
                      </w:rPr>
                    </w:pPr>
                    <w:r>
                      <w:rPr>
                        <w:rFonts w:hint="eastAsia"/>
                        <w:szCs w:val="21"/>
                      </w:rPr>
                      <w:t>2023年2月</w:t>
                    </w:r>
                  </w:p>
                </w:tc>
                <w:tc>
                  <w:tcPr>
                    <w:tcW w:w="1428" w:type="dxa"/>
                  </w:tcPr>
                  <w:p w:rsidR="00AC3C8B" w:rsidRPr="00CA372F" w:rsidRDefault="00AC3C8B" w:rsidP="00601D47">
                    <w:pPr>
                      <w:rPr>
                        <w:rFonts w:asciiTheme="minorEastAsia" w:eastAsiaTheme="minorEastAsia" w:hAnsiTheme="minorEastAsia" w:cstheme="minorBidi"/>
                        <w:kern w:val="2"/>
                        <w:szCs w:val="21"/>
                      </w:rPr>
                    </w:pPr>
                    <w:r w:rsidRPr="00CA372F">
                      <w:rPr>
                        <w:rFonts w:asciiTheme="minorEastAsia" w:eastAsiaTheme="minorEastAsia" w:hAnsiTheme="minorEastAsia" w:cstheme="minorBidi" w:hint="eastAsia"/>
                        <w:kern w:val="2"/>
                        <w:szCs w:val="21"/>
                      </w:rPr>
                      <w:t>2025年2月</w:t>
                    </w: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3681865"/>
              <w:lock w:val="sdtLocked"/>
            </w:sdtPr>
            <w:sdtContent>
              <w:tr w:rsidR="00AC3C8B" w:rsidTr="000B799A">
                <w:trPr>
                  <w:trHeight w:val="147"/>
                </w:trPr>
                <w:tc>
                  <w:tcPr>
                    <w:tcW w:w="959" w:type="dxa"/>
                  </w:tcPr>
                  <w:p w:rsidR="00AC3C8B" w:rsidRDefault="00AC3C8B" w:rsidP="00601D47">
                    <w:pPr>
                      <w:rPr>
                        <w:szCs w:val="21"/>
                      </w:rPr>
                    </w:pPr>
                    <w:r>
                      <w:t>于峰</w:t>
                    </w:r>
                  </w:p>
                </w:tc>
                <w:tc>
                  <w:tcPr>
                    <w:tcW w:w="3685" w:type="dxa"/>
                  </w:tcPr>
                  <w:p w:rsidR="00AC3C8B" w:rsidRDefault="00AC3C8B" w:rsidP="00601D47">
                    <w:pPr>
                      <w:rPr>
                        <w:szCs w:val="21"/>
                      </w:rPr>
                    </w:pPr>
                    <w:r>
                      <w:t>晋豫鲁铁路通道股份有限公司</w:t>
                    </w:r>
                  </w:p>
                </w:tc>
                <w:tc>
                  <w:tcPr>
                    <w:tcW w:w="1560" w:type="dxa"/>
                  </w:tcPr>
                  <w:p w:rsidR="00AC3C8B" w:rsidRDefault="00AC3C8B" w:rsidP="00601D47">
                    <w:pPr>
                      <w:rPr>
                        <w:szCs w:val="21"/>
                      </w:rPr>
                    </w:pPr>
                    <w:r>
                      <w:t>监事</w:t>
                    </w:r>
                  </w:p>
                </w:tc>
                <w:tc>
                  <w:tcPr>
                    <w:tcW w:w="1417" w:type="dxa"/>
                  </w:tcPr>
                  <w:p w:rsidR="00AC3C8B" w:rsidRDefault="00AC3C8B" w:rsidP="00601D47">
                    <w:pPr>
                      <w:rPr>
                        <w:szCs w:val="21"/>
                      </w:rPr>
                    </w:pPr>
                    <w:r>
                      <w:t>2021年3月</w:t>
                    </w:r>
                  </w:p>
                </w:tc>
                <w:tc>
                  <w:tcPr>
                    <w:tcW w:w="1428" w:type="dxa"/>
                  </w:tcPr>
                  <w:p w:rsidR="00AC3C8B" w:rsidRDefault="00AC3C8B" w:rsidP="00601D47">
                    <w:pPr>
                      <w:rPr>
                        <w:szCs w:val="21"/>
                      </w:rPr>
                    </w:pP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3681866"/>
              <w:lock w:val="sdtLocked"/>
            </w:sdtPr>
            <w:sdtContent>
              <w:tr w:rsidR="00AC3C8B" w:rsidTr="000B799A">
                <w:trPr>
                  <w:trHeight w:val="147"/>
                </w:trPr>
                <w:tc>
                  <w:tcPr>
                    <w:tcW w:w="959" w:type="dxa"/>
                  </w:tcPr>
                  <w:p w:rsidR="00AC3C8B" w:rsidRDefault="00AC3C8B" w:rsidP="00601D47">
                    <w:pPr>
                      <w:rPr>
                        <w:szCs w:val="21"/>
                      </w:rPr>
                    </w:pPr>
                    <w:r>
                      <w:t>于峰</w:t>
                    </w:r>
                  </w:p>
                </w:tc>
                <w:tc>
                  <w:tcPr>
                    <w:tcW w:w="3685" w:type="dxa"/>
                  </w:tcPr>
                  <w:p w:rsidR="00AC3C8B" w:rsidRDefault="00AC3C8B" w:rsidP="00601D47">
                    <w:pPr>
                      <w:rPr>
                        <w:szCs w:val="21"/>
                      </w:rPr>
                    </w:pPr>
                    <w:r>
                      <w:t>吕临铁路有限责任公司</w:t>
                    </w:r>
                  </w:p>
                </w:tc>
                <w:tc>
                  <w:tcPr>
                    <w:tcW w:w="1560" w:type="dxa"/>
                  </w:tcPr>
                  <w:p w:rsidR="00AC3C8B" w:rsidRDefault="00AC3C8B" w:rsidP="00601D47">
                    <w:pPr>
                      <w:rPr>
                        <w:szCs w:val="21"/>
                      </w:rPr>
                    </w:pPr>
                    <w:r>
                      <w:t>监事</w:t>
                    </w:r>
                  </w:p>
                </w:tc>
                <w:tc>
                  <w:tcPr>
                    <w:tcW w:w="1417" w:type="dxa"/>
                  </w:tcPr>
                  <w:p w:rsidR="00AC3C8B" w:rsidRDefault="00AC3C8B" w:rsidP="00601D47">
                    <w:pPr>
                      <w:rPr>
                        <w:szCs w:val="21"/>
                      </w:rPr>
                    </w:pPr>
                    <w:r>
                      <w:t>2021年3月</w:t>
                    </w:r>
                  </w:p>
                </w:tc>
                <w:tc>
                  <w:tcPr>
                    <w:tcW w:w="1428" w:type="dxa"/>
                  </w:tcPr>
                  <w:p w:rsidR="00AC3C8B" w:rsidRDefault="00AC3C8B" w:rsidP="00601D47">
                    <w:pPr>
                      <w:rPr>
                        <w:szCs w:val="21"/>
                      </w:rPr>
                    </w:pP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3681867"/>
              <w:lock w:val="sdtLocked"/>
            </w:sdtPr>
            <w:sdtContent>
              <w:tr w:rsidR="00AC3C8B" w:rsidTr="000B799A">
                <w:trPr>
                  <w:trHeight w:val="147"/>
                </w:trPr>
                <w:tc>
                  <w:tcPr>
                    <w:tcW w:w="959" w:type="dxa"/>
                  </w:tcPr>
                  <w:p w:rsidR="00AC3C8B" w:rsidRDefault="00AC3C8B" w:rsidP="00601D47">
                    <w:pPr>
                      <w:rPr>
                        <w:szCs w:val="21"/>
                      </w:rPr>
                    </w:pPr>
                    <w:r>
                      <w:t>于峰</w:t>
                    </w:r>
                  </w:p>
                </w:tc>
                <w:tc>
                  <w:tcPr>
                    <w:tcW w:w="3685" w:type="dxa"/>
                  </w:tcPr>
                  <w:p w:rsidR="00AC3C8B" w:rsidRDefault="00AC3C8B" w:rsidP="00601D47">
                    <w:pPr>
                      <w:rPr>
                        <w:szCs w:val="21"/>
                      </w:rPr>
                    </w:pPr>
                    <w:r>
                      <w:t>山西集大原高速铁路有限责任公司</w:t>
                    </w:r>
                  </w:p>
                </w:tc>
                <w:tc>
                  <w:tcPr>
                    <w:tcW w:w="1560" w:type="dxa"/>
                  </w:tcPr>
                  <w:p w:rsidR="00AC3C8B" w:rsidRDefault="00AC3C8B" w:rsidP="00601D47">
                    <w:pPr>
                      <w:rPr>
                        <w:szCs w:val="21"/>
                      </w:rPr>
                    </w:pPr>
                    <w:r>
                      <w:t>监事</w:t>
                    </w:r>
                  </w:p>
                </w:tc>
                <w:tc>
                  <w:tcPr>
                    <w:tcW w:w="1417" w:type="dxa"/>
                  </w:tcPr>
                  <w:p w:rsidR="00AC3C8B" w:rsidRDefault="00AC3C8B" w:rsidP="00601D47">
                    <w:pPr>
                      <w:rPr>
                        <w:szCs w:val="21"/>
                      </w:rPr>
                    </w:pPr>
                    <w:r>
                      <w:t>2021年8月</w:t>
                    </w:r>
                  </w:p>
                </w:tc>
                <w:tc>
                  <w:tcPr>
                    <w:tcW w:w="1428" w:type="dxa"/>
                  </w:tcPr>
                  <w:p w:rsidR="00AC3C8B" w:rsidRDefault="00AC3C8B" w:rsidP="00601D47">
                    <w:pPr>
                      <w:rPr>
                        <w:szCs w:val="21"/>
                      </w:rPr>
                    </w:pPr>
                  </w:p>
                </w:tc>
              </w:tr>
            </w:sdtContent>
          </w:sdt>
          <w:tr w:rsidR="00AC3C8B" w:rsidTr="00601D47">
            <w:trPr>
              <w:trHeight w:val="150"/>
            </w:trPr>
            <w:sdt>
              <w:sdtPr>
                <w:tag w:val="_PLD_e128a4d638134f30bcc8e77e343261be"/>
                <w:id w:val="3681868"/>
                <w:lock w:val="sdtLocked"/>
              </w:sdtPr>
              <w:sdtContent>
                <w:tc>
                  <w:tcPr>
                    <w:tcW w:w="959" w:type="dxa"/>
                  </w:tcPr>
                  <w:p w:rsidR="00AC3C8B" w:rsidRDefault="00AC3C8B" w:rsidP="00601D47">
                    <w:pPr>
                      <w:rPr>
                        <w:szCs w:val="21"/>
                      </w:rPr>
                    </w:pPr>
                    <w:r>
                      <w:rPr>
                        <w:rFonts w:hint="eastAsia"/>
                        <w:szCs w:val="21"/>
                      </w:rPr>
                      <w:t>在其他单位任职情况的说明</w:t>
                    </w:r>
                  </w:p>
                </w:tc>
              </w:sdtContent>
            </w:sdt>
            <w:tc>
              <w:tcPr>
                <w:tcW w:w="8090" w:type="dxa"/>
                <w:gridSpan w:val="4"/>
              </w:tcPr>
              <w:p w:rsidR="00AC3C8B" w:rsidRDefault="00AC3C8B" w:rsidP="00601D47">
                <w:pPr>
                  <w:rPr>
                    <w:szCs w:val="21"/>
                  </w:rPr>
                </w:pPr>
                <w:r>
                  <w:rPr>
                    <w:rFonts w:hint="eastAsia"/>
                    <w:szCs w:val="21"/>
                  </w:rPr>
                  <w:t>无</w:t>
                </w:r>
              </w:p>
            </w:tc>
          </w:tr>
        </w:tbl>
        <w:p w:rsidR="00806678" w:rsidRDefault="00F80B6C">
          <w:pPr>
            <w:rPr>
              <w:szCs w:val="21"/>
            </w:rPr>
          </w:pPr>
        </w:p>
      </w:sdtContent>
    </w:sdt>
    <w:sdt>
      <w:sdtPr>
        <w:rPr>
          <w:rFonts w:ascii="宋体" w:hAnsi="宋体" w:cs="宋体"/>
          <w:b w:val="0"/>
          <w:bCs w:val="0"/>
          <w:kern w:val="0"/>
          <w:szCs w:val="24"/>
        </w:rPr>
        <w:alias w:val="模块:董事、监事、高级管理人员报酬情况"/>
        <w:tag w:val="_SEC_d6c0d4e5fc754556abc8ba20fd435248"/>
        <w:id w:val="3160081"/>
        <w:lock w:val="sdtLocked"/>
        <w:placeholder>
          <w:docPart w:val="GBC22222222222222222222222222222"/>
        </w:placeholder>
      </w:sdtPr>
      <w:sdtContent>
        <w:p w:rsidR="00806678" w:rsidRDefault="00B16377" w:rsidP="00FF17C7">
          <w:pPr>
            <w:pStyle w:val="3"/>
            <w:numPr>
              <w:ilvl w:val="0"/>
              <w:numId w:val="124"/>
            </w:numPr>
            <w:ind w:left="0" w:firstLine="0"/>
          </w:pPr>
          <w:r>
            <w:t>董事、监事、高级管理人员报酬情况</w:t>
          </w:r>
        </w:p>
        <w:sdt>
          <w:sdtPr>
            <w:alias w:val="是否适用：董事、监事、高级管理人员报酬情况[双击切换]"/>
            <w:tag w:val="_GBC_670a12b9c1e34498888f2aafd9509848"/>
            <w:id w:val="719798364"/>
            <w:lock w:val="sdtLocked"/>
            <w:placeholder>
              <w:docPart w:val="GBC22222222222222222222222222222"/>
            </w:placeholder>
          </w:sdtPr>
          <w:sdtContent>
            <w:p w:rsidR="00806678" w:rsidRDefault="00F80B6C">
              <w:r>
                <w:fldChar w:fldCharType="begin"/>
              </w:r>
              <w:r w:rsidR="006C0FEF">
                <w:instrText xml:space="preserve">MACROBUTTON  SnrToggleCheckbox √适用 </w:instrText>
              </w:r>
              <w:r>
                <w:fldChar w:fldCharType="end"/>
              </w:r>
              <w:r>
                <w:fldChar w:fldCharType="begin"/>
              </w:r>
              <w:r w:rsidR="006C0FEF">
                <w:instrText xml:space="preserve"> MACROBUTTON  SnrToggleCheckbox □不适用 </w:instrText>
              </w:r>
              <w:r>
                <w:fldChar w:fldCharType="end"/>
              </w:r>
            </w:p>
          </w:sdtContent>
        </w:sdt>
        <w:tbl>
          <w:tblPr>
            <w:tblStyle w:val="a6"/>
            <w:tblW w:w="0" w:type="auto"/>
            <w:tblLook w:val="04A0"/>
          </w:tblPr>
          <w:tblGrid>
            <w:gridCol w:w="2872"/>
            <w:gridCol w:w="6177"/>
          </w:tblGrid>
          <w:tr w:rsidR="00806678" w:rsidTr="001E2B27">
            <w:trPr>
              <w:trHeight w:val="120"/>
            </w:trPr>
            <w:sdt>
              <w:sdtPr>
                <w:tag w:val="_PLD_9e63d19b4bb64b9f8ebbe91d33a629c4"/>
                <w:id w:val="1648391837"/>
                <w:lock w:val="sdtLocked"/>
              </w:sdtPr>
              <w:sdtContent>
                <w:tc>
                  <w:tcPr>
                    <w:tcW w:w="4361" w:type="dxa"/>
                  </w:tcPr>
                  <w:p w:rsidR="00806678" w:rsidRDefault="00B16377">
                    <w:pPr>
                      <w:rPr>
                        <w:szCs w:val="21"/>
                      </w:rPr>
                    </w:pPr>
                    <w:r>
                      <w:rPr>
                        <w:szCs w:val="21"/>
                      </w:rPr>
                      <w:t>董事、监事、高级管理人员报酬的决策程序</w:t>
                    </w:r>
                  </w:p>
                </w:tc>
              </w:sdtContent>
            </w:sdt>
            <w:sdt>
              <w:sdtPr>
                <w:rPr>
                  <w:rFonts w:hint="eastAsia"/>
                  <w:szCs w:val="21"/>
                </w:rPr>
                <w:alias w:val="董事、监事、高级管理人员报酬的决策程序"/>
                <w:tag w:val="_GBC_bf64cad6b5d7435388a8e69e2c05dea2"/>
                <w:id w:val="-1781248552"/>
                <w:lock w:val="sdtLocked"/>
              </w:sdtPr>
              <w:sdtContent>
                <w:tc>
                  <w:tcPr>
                    <w:tcW w:w="9728" w:type="dxa"/>
                  </w:tcPr>
                  <w:p w:rsidR="00806678" w:rsidRDefault="006C0FEF">
                    <w:pPr>
                      <w:rPr>
                        <w:szCs w:val="21"/>
                      </w:rPr>
                    </w:pPr>
                    <w:r w:rsidRPr="006C0FEF">
                      <w:rPr>
                        <w:rFonts w:hint="eastAsia"/>
                        <w:szCs w:val="21"/>
                      </w:rPr>
                      <w:t>根据《公司章程》等相关文件规定，董事、监事的薪酬及津贴制度由董事会拟定，并提交股东大会审议确定；高级管理人员的薪酬制度由董事会审议确定。</w:t>
                    </w:r>
                  </w:p>
                </w:tc>
              </w:sdtContent>
            </w:sdt>
          </w:tr>
          <w:tr w:rsidR="00806678" w:rsidTr="001E2B27">
            <w:trPr>
              <w:trHeight w:val="165"/>
            </w:trPr>
            <w:sdt>
              <w:sdtPr>
                <w:tag w:val="_PLD_a1d35038246146c0a95c36f146481091"/>
                <w:id w:val="-1032638785"/>
                <w:lock w:val="sdtLocked"/>
              </w:sdtPr>
              <w:sdtContent>
                <w:tc>
                  <w:tcPr>
                    <w:tcW w:w="4361" w:type="dxa"/>
                  </w:tcPr>
                  <w:p w:rsidR="00806678" w:rsidRDefault="00B16377">
                    <w:pPr>
                      <w:rPr>
                        <w:szCs w:val="21"/>
                      </w:rPr>
                    </w:pPr>
                    <w:r>
                      <w:rPr>
                        <w:szCs w:val="21"/>
                      </w:rPr>
                      <w:t>董事、监事、高级管理人员报酬确定依据</w:t>
                    </w:r>
                  </w:p>
                </w:tc>
              </w:sdtContent>
            </w:sdt>
            <w:tc>
              <w:tcPr>
                <w:tcW w:w="9728" w:type="dxa"/>
              </w:tcPr>
              <w:p w:rsidR="00806678" w:rsidRDefault="006C0FEF">
                <w:pPr>
                  <w:rPr>
                    <w:szCs w:val="21"/>
                  </w:rPr>
                </w:pPr>
                <w:r w:rsidRPr="006C0FEF">
                  <w:rPr>
                    <w:rFonts w:hint="eastAsia"/>
                    <w:szCs w:val="21"/>
                  </w:rPr>
                  <w:t>（</w:t>
                </w:r>
                <w:r w:rsidRPr="006C0FEF">
                  <w:rPr>
                    <w:szCs w:val="21"/>
                  </w:rPr>
                  <w:t>1）根据公司第一届董事会第一次会议决议：总经理年薪不超过公司年度职工平均工资的12倍，副总经理、财务负责人、董事会秘书等高级管理人员年薪不超过公司年度职工平均工资的10倍。（2）根据2008年5月29日召开的2007年年度股东大会决议：独立董事津贴由原每年人民币5万元调整为每年人民币10万元（税前）。</w:t>
                </w:r>
              </w:p>
            </w:tc>
          </w:tr>
          <w:tr w:rsidR="00806678" w:rsidTr="001E2B27">
            <w:trPr>
              <w:trHeight w:val="165"/>
            </w:trPr>
            <w:sdt>
              <w:sdtPr>
                <w:tag w:val="_PLD_3ba8e874dcd84394a94e693e06b2269b"/>
                <w:id w:val="-1439669419"/>
                <w:lock w:val="sdtLocked"/>
              </w:sdtPr>
              <w:sdtContent>
                <w:tc>
                  <w:tcPr>
                    <w:tcW w:w="4361" w:type="dxa"/>
                  </w:tcPr>
                  <w:p w:rsidR="00806678" w:rsidRDefault="00B16377">
                    <w:pPr>
                      <w:rPr>
                        <w:szCs w:val="21"/>
                      </w:rPr>
                    </w:pPr>
                    <w:r>
                      <w:rPr>
                        <w:szCs w:val="21"/>
                      </w:rPr>
                      <w:t>董事、监事和高级管理人员报酬的</w:t>
                    </w:r>
                    <w:r>
                      <w:rPr>
                        <w:rFonts w:hint="eastAsia"/>
                        <w:szCs w:val="21"/>
                      </w:rPr>
                      <w:t>实际支付</w:t>
                    </w:r>
                    <w:r>
                      <w:rPr>
                        <w:szCs w:val="21"/>
                      </w:rPr>
                      <w:t>情况</w:t>
                    </w:r>
                  </w:p>
                </w:tc>
              </w:sdtContent>
            </w:sdt>
            <w:tc>
              <w:tcPr>
                <w:tcW w:w="9728" w:type="dxa"/>
              </w:tcPr>
              <w:p w:rsidR="00806678" w:rsidRDefault="006C0FEF">
                <w:pPr>
                  <w:rPr>
                    <w:szCs w:val="21"/>
                  </w:rPr>
                </w:pPr>
                <w:r w:rsidRPr="006C0FEF">
                  <w:rPr>
                    <w:rFonts w:hint="eastAsia"/>
                    <w:szCs w:val="21"/>
                  </w:rPr>
                  <w:t>公司董事、监事和高级管理人员按照披露薪酬实际支付。</w:t>
                </w:r>
              </w:p>
            </w:tc>
          </w:tr>
          <w:tr w:rsidR="00806678" w:rsidTr="001E2B27">
            <w:trPr>
              <w:trHeight w:val="135"/>
            </w:trPr>
            <w:tc>
              <w:tcPr>
                <w:tcW w:w="4361" w:type="dxa"/>
              </w:tcPr>
              <w:sdt>
                <w:sdtPr>
                  <w:rPr>
                    <w:szCs w:val="21"/>
                  </w:rPr>
                  <w:tag w:val="_PLD_3506ff73678e423b9d58c6066ded1f49"/>
                  <w:id w:val="-562329495"/>
                  <w:lock w:val="sdtLocked"/>
                </w:sdtPr>
                <w:sdtContent>
                  <w:p w:rsidR="00806678" w:rsidRDefault="00B16377">
                    <w:pPr>
                      <w:rPr>
                        <w:szCs w:val="21"/>
                      </w:rPr>
                    </w:pPr>
                    <w:r>
                      <w:rPr>
                        <w:szCs w:val="21"/>
                      </w:rPr>
                      <w:t>报告期末全体董事、监事和高级管理人员实际获得的报酬合计</w:t>
                    </w:r>
                  </w:p>
                </w:sdtContent>
              </w:sdt>
            </w:tc>
            <w:tc>
              <w:tcPr>
                <w:tcW w:w="9728" w:type="dxa"/>
              </w:tcPr>
              <w:p w:rsidR="00806678" w:rsidRDefault="00BA4B7C">
                <w:pPr>
                  <w:rPr>
                    <w:szCs w:val="21"/>
                  </w:rPr>
                </w:pPr>
                <w:r w:rsidRPr="00BA4B7C">
                  <w:rPr>
                    <w:szCs w:val="21"/>
                  </w:rPr>
                  <w:t>408.23</w:t>
                </w:r>
                <w:r>
                  <w:rPr>
                    <w:rFonts w:hint="eastAsia"/>
                    <w:szCs w:val="21"/>
                  </w:rPr>
                  <w:t>万元</w:t>
                </w:r>
              </w:p>
            </w:tc>
          </w:tr>
        </w:tbl>
        <w:p w:rsidR="00806678" w:rsidRDefault="00F80B6C"/>
      </w:sdtContent>
    </w:sdt>
    <w:p w:rsidR="00806678" w:rsidRDefault="00B16377" w:rsidP="00FF17C7">
      <w:pPr>
        <w:pStyle w:val="3"/>
        <w:numPr>
          <w:ilvl w:val="0"/>
          <w:numId w:val="124"/>
        </w:numPr>
        <w:ind w:left="0" w:firstLine="0"/>
      </w:pPr>
      <w:r>
        <w:t>公司董事、监事、高级管理人员变动情况</w:t>
      </w:r>
    </w:p>
    <w:sdt>
      <w:sdtPr>
        <w:rPr>
          <w:b/>
          <w:bCs/>
          <w:sz w:val="24"/>
        </w:rPr>
        <w:alias w:val="模块:公司董事、监事、高级管理人员变动情况"/>
        <w:tag w:val="_SEC_f15939bc34a34b809f1af6823e6f7771"/>
        <w:id w:val="1913576887"/>
        <w:lock w:val="sdtLocked"/>
        <w:placeholder>
          <w:docPart w:val="GBC22222222222222222222222222222"/>
        </w:placeholder>
      </w:sdtPr>
      <w:sdtEndPr>
        <w:rPr>
          <w:b w:val="0"/>
          <w:bCs w:val="0"/>
          <w:sz w:val="21"/>
        </w:rPr>
      </w:sdtEndPr>
      <w:sdtContent>
        <w:sdt>
          <w:sdtPr>
            <w:alias w:val="是否适用：公司董事、监事、高级管理人员变动情况[双击切换]"/>
            <w:tag w:val="_GBC_a00df019796e4666a1adff20d55baa46"/>
            <w:id w:val="-576600098"/>
            <w:lock w:val="sdtLocked"/>
            <w:placeholder>
              <w:docPart w:val="GBC22222222222222222222222222222"/>
            </w:placeholder>
          </w:sdtPr>
          <w:sdtContent>
            <w:p w:rsidR="00806678" w:rsidRDefault="00F80B6C">
              <w:r>
                <w:fldChar w:fldCharType="begin"/>
              </w:r>
              <w:r w:rsidR="006C0FEF">
                <w:instrText xml:space="preserve">MACROBUTTON  SnrToggleCheckbox √适用 </w:instrText>
              </w:r>
              <w:r>
                <w:fldChar w:fldCharType="end"/>
              </w:r>
              <w:r>
                <w:fldChar w:fldCharType="begin"/>
              </w:r>
              <w:r w:rsidR="006C0FEF">
                <w:instrText xml:space="preserve"> MACROBUTTON  SnrToggleCheckbox □不适用 </w:instrText>
              </w:r>
              <w:r>
                <w:fldChar w:fldCharType="end"/>
              </w:r>
            </w:p>
          </w:sdtContent>
        </w:sdt>
        <w:tbl>
          <w:tblPr>
            <w:tblStyle w:val="a6"/>
            <w:tblW w:w="0" w:type="auto"/>
            <w:tblLook w:val="04A0"/>
          </w:tblPr>
          <w:tblGrid>
            <w:gridCol w:w="2262"/>
            <w:gridCol w:w="2262"/>
            <w:gridCol w:w="2262"/>
            <w:gridCol w:w="2263"/>
          </w:tblGrid>
          <w:tr w:rsidR="00806678" w:rsidTr="001E2B27">
            <w:trPr>
              <w:trHeight w:val="210"/>
            </w:trPr>
            <w:sdt>
              <w:sdtPr>
                <w:tag w:val="_PLD_10c0965136c84bf6abfceaef8557ae99"/>
                <w:id w:val="1578940674"/>
                <w:lock w:val="sdtLocked"/>
              </w:sdtPr>
              <w:sdtContent>
                <w:tc>
                  <w:tcPr>
                    <w:tcW w:w="3522" w:type="dxa"/>
                    <w:vAlign w:val="center"/>
                  </w:tcPr>
                  <w:p w:rsidR="00806678" w:rsidRDefault="00B16377">
                    <w:pPr>
                      <w:jc w:val="center"/>
                      <w:rPr>
                        <w:szCs w:val="21"/>
                      </w:rPr>
                    </w:pPr>
                    <w:r>
                      <w:rPr>
                        <w:szCs w:val="21"/>
                      </w:rPr>
                      <w:t>姓名</w:t>
                    </w:r>
                  </w:p>
                </w:tc>
              </w:sdtContent>
            </w:sdt>
            <w:sdt>
              <w:sdtPr>
                <w:tag w:val="_PLD_b53cc0c0661e4cffa4f7fa4f6423187d"/>
                <w:id w:val="-709112664"/>
                <w:lock w:val="sdtLocked"/>
              </w:sdtPr>
              <w:sdtContent>
                <w:tc>
                  <w:tcPr>
                    <w:tcW w:w="3522" w:type="dxa"/>
                    <w:vAlign w:val="center"/>
                  </w:tcPr>
                  <w:p w:rsidR="00806678" w:rsidRDefault="00B16377">
                    <w:pPr>
                      <w:jc w:val="center"/>
                      <w:rPr>
                        <w:szCs w:val="21"/>
                      </w:rPr>
                    </w:pPr>
                    <w:r>
                      <w:rPr>
                        <w:szCs w:val="21"/>
                      </w:rPr>
                      <w:t>担任的职务</w:t>
                    </w:r>
                  </w:p>
                </w:tc>
              </w:sdtContent>
            </w:sdt>
            <w:sdt>
              <w:sdtPr>
                <w:tag w:val="_PLD_012859f523ec430da1dfc6a86c6dde35"/>
                <w:id w:val="-1139420450"/>
                <w:lock w:val="sdtLocked"/>
              </w:sdtPr>
              <w:sdtContent>
                <w:tc>
                  <w:tcPr>
                    <w:tcW w:w="3522" w:type="dxa"/>
                    <w:vAlign w:val="center"/>
                  </w:tcPr>
                  <w:p w:rsidR="00806678" w:rsidRDefault="00B16377">
                    <w:pPr>
                      <w:jc w:val="center"/>
                      <w:rPr>
                        <w:szCs w:val="21"/>
                      </w:rPr>
                    </w:pPr>
                    <w:r>
                      <w:rPr>
                        <w:szCs w:val="21"/>
                      </w:rPr>
                      <w:t>变动情形</w:t>
                    </w:r>
                  </w:p>
                </w:tc>
              </w:sdtContent>
            </w:sdt>
            <w:sdt>
              <w:sdtPr>
                <w:tag w:val="_PLD_bf76757c55de435a9638407bd56b5199"/>
                <w:id w:val="-299004232"/>
                <w:lock w:val="sdtLocked"/>
              </w:sdtPr>
              <w:sdtContent>
                <w:tc>
                  <w:tcPr>
                    <w:tcW w:w="3523" w:type="dxa"/>
                    <w:vAlign w:val="center"/>
                  </w:tcPr>
                  <w:p w:rsidR="00806678" w:rsidRDefault="00B16377">
                    <w:pPr>
                      <w:jc w:val="center"/>
                      <w:rPr>
                        <w:szCs w:val="21"/>
                      </w:rPr>
                    </w:pPr>
                    <w:r>
                      <w:rPr>
                        <w:szCs w:val="21"/>
                      </w:rPr>
                      <w:t>变动原因</w:t>
                    </w:r>
                  </w:p>
                </w:tc>
              </w:sdtContent>
            </w:sdt>
          </w:tr>
          <w:sdt>
            <w:sdtPr>
              <w:rPr>
                <w:szCs w:val="21"/>
              </w:rPr>
              <w:alias w:val="在报告期内公司董事、监事、高级管理人员变动情况"/>
              <w:tag w:val="_TUP_a555fc40054b4d6a94d6a1901fa38c91"/>
              <w:id w:val="1265272034"/>
              <w:lock w:val="sdtLocked"/>
            </w:sdtPr>
            <w:sdtContent>
              <w:tr w:rsidR="00806678" w:rsidTr="001E2B27">
                <w:trPr>
                  <w:trHeight w:val="105"/>
                </w:trPr>
                <w:tc>
                  <w:tcPr>
                    <w:tcW w:w="3522" w:type="dxa"/>
                  </w:tcPr>
                  <w:p w:rsidR="00806678" w:rsidRDefault="00CF6FAB">
                    <w:pPr>
                      <w:rPr>
                        <w:szCs w:val="21"/>
                      </w:rPr>
                    </w:pPr>
                    <w:r>
                      <w:rPr>
                        <w:rFonts w:hint="eastAsia"/>
                        <w:szCs w:val="21"/>
                      </w:rPr>
                      <w:t>戴弘</w:t>
                    </w:r>
                  </w:p>
                </w:tc>
                <w:tc>
                  <w:tcPr>
                    <w:tcW w:w="3522" w:type="dxa"/>
                  </w:tcPr>
                  <w:p w:rsidR="00806678" w:rsidRDefault="00CF6FAB">
                    <w:pPr>
                      <w:rPr>
                        <w:szCs w:val="21"/>
                      </w:rPr>
                    </w:pPr>
                    <w:r>
                      <w:rPr>
                        <w:rFonts w:hint="eastAsia"/>
                        <w:szCs w:val="21"/>
                      </w:rPr>
                      <w:t>董事长</w:t>
                    </w:r>
                  </w:p>
                </w:tc>
                <w:sdt>
                  <w:sdtPr>
                    <w:rPr>
                      <w:szCs w:val="21"/>
                    </w:rPr>
                    <w:alias w:val="公司董事、监事、高级管理人员的变动情形"/>
                    <w:tag w:val="_GBC_258f9ad482344d5fbc1587e6faf0ed7b"/>
                    <w:id w:val="-1675569104"/>
                    <w:lock w:val="sdtLocked"/>
                    <w:comboBox>
                      <w:listItem w:displayText="选举" w:value="选举"/>
                      <w:listItem w:displayText="离任" w:value="离任"/>
                      <w:listItem w:displayText="聘任" w:value="聘任"/>
                      <w:listItem w:displayText="解聘" w:value="解聘"/>
                    </w:comboBox>
                  </w:sdtPr>
                  <w:sdtContent>
                    <w:tc>
                      <w:tcPr>
                        <w:tcW w:w="3522" w:type="dxa"/>
                      </w:tcPr>
                      <w:p w:rsidR="00806678" w:rsidRDefault="00CF6FAB">
                        <w:pPr>
                          <w:rPr>
                            <w:szCs w:val="21"/>
                          </w:rPr>
                        </w:pPr>
                        <w:r>
                          <w:rPr>
                            <w:szCs w:val="21"/>
                          </w:rPr>
                          <w:t>选举</w:t>
                        </w:r>
                      </w:p>
                    </w:tc>
                  </w:sdtContent>
                </w:sdt>
                <w:tc>
                  <w:tcPr>
                    <w:tcW w:w="3523" w:type="dxa"/>
                  </w:tcPr>
                  <w:p w:rsidR="00806678" w:rsidRDefault="00BF2B37">
                    <w:pPr>
                      <w:rPr>
                        <w:szCs w:val="21"/>
                      </w:rPr>
                    </w:pPr>
                    <w:r w:rsidRPr="00BF2B37">
                      <w:rPr>
                        <w:rFonts w:hint="eastAsia"/>
                        <w:szCs w:val="21"/>
                      </w:rPr>
                      <w:t>工作原因</w:t>
                    </w:r>
                  </w:p>
                </w:tc>
              </w:tr>
            </w:sdtContent>
          </w:sdt>
          <w:sdt>
            <w:sdtPr>
              <w:rPr>
                <w:szCs w:val="21"/>
              </w:rPr>
              <w:alias w:val="在报告期内公司董事、监事、高级管理人员变动情况"/>
              <w:tag w:val="_TUP_a555fc40054b4d6a94d6a1901fa38c91"/>
              <w:id w:val="354314"/>
              <w:lock w:val="sdtLocked"/>
            </w:sdtPr>
            <w:sdtContent>
              <w:tr w:rsidR="00CF6FAB" w:rsidTr="001E2B27">
                <w:trPr>
                  <w:trHeight w:val="105"/>
                </w:trPr>
                <w:tc>
                  <w:tcPr>
                    <w:tcW w:w="3522" w:type="dxa"/>
                  </w:tcPr>
                  <w:p w:rsidR="00CF6FAB" w:rsidRDefault="00BF2B37">
                    <w:pPr>
                      <w:rPr>
                        <w:szCs w:val="21"/>
                      </w:rPr>
                    </w:pPr>
                    <w:r>
                      <w:rPr>
                        <w:rFonts w:hint="eastAsia"/>
                        <w:szCs w:val="21"/>
                      </w:rPr>
                      <w:t>许光建</w:t>
                    </w:r>
                  </w:p>
                </w:tc>
                <w:tc>
                  <w:tcPr>
                    <w:tcW w:w="3522" w:type="dxa"/>
                  </w:tcPr>
                  <w:p w:rsidR="00CF6FAB" w:rsidRDefault="00BF2B37">
                    <w:pPr>
                      <w:rPr>
                        <w:szCs w:val="21"/>
                      </w:rPr>
                    </w:pPr>
                    <w:r>
                      <w:rPr>
                        <w:rFonts w:hint="eastAsia"/>
                        <w:szCs w:val="21"/>
                      </w:rPr>
                      <w:t>独立董事</w:t>
                    </w:r>
                  </w:p>
                </w:tc>
                <w:sdt>
                  <w:sdtPr>
                    <w:rPr>
                      <w:szCs w:val="21"/>
                    </w:rPr>
                    <w:alias w:val="公司董事、监事、高级管理人员的变动情形"/>
                    <w:tag w:val="_GBC_258f9ad482344d5fbc1587e6faf0ed7b"/>
                    <w:id w:val="354315"/>
                    <w:lock w:val="sdtLocked"/>
                    <w:comboBox>
                      <w:listItem w:displayText="选举" w:value="选举"/>
                      <w:listItem w:displayText="离任" w:value="离任"/>
                      <w:listItem w:displayText="聘任" w:value="聘任"/>
                      <w:listItem w:displayText="解聘" w:value="解聘"/>
                    </w:comboBox>
                  </w:sdtPr>
                  <w:sdtContent>
                    <w:tc>
                      <w:tcPr>
                        <w:tcW w:w="3522" w:type="dxa"/>
                      </w:tcPr>
                      <w:p w:rsidR="00CF6FAB" w:rsidRDefault="00BF2B37">
                        <w:pPr>
                          <w:rPr>
                            <w:szCs w:val="21"/>
                          </w:rPr>
                        </w:pPr>
                        <w:r>
                          <w:rPr>
                            <w:szCs w:val="21"/>
                          </w:rPr>
                          <w:t>选举</w:t>
                        </w:r>
                      </w:p>
                    </w:tc>
                  </w:sdtContent>
                </w:sdt>
                <w:tc>
                  <w:tcPr>
                    <w:tcW w:w="3523" w:type="dxa"/>
                  </w:tcPr>
                  <w:p w:rsidR="00CF6FAB" w:rsidRDefault="00BF2B37">
                    <w:pPr>
                      <w:rPr>
                        <w:szCs w:val="21"/>
                      </w:rPr>
                    </w:pPr>
                    <w:r w:rsidRPr="00BF2B37">
                      <w:rPr>
                        <w:rFonts w:hint="eastAsia"/>
                        <w:szCs w:val="21"/>
                      </w:rPr>
                      <w:t>独董补选</w:t>
                    </w:r>
                  </w:p>
                </w:tc>
              </w:tr>
            </w:sdtContent>
          </w:sdt>
          <w:sdt>
            <w:sdtPr>
              <w:rPr>
                <w:szCs w:val="21"/>
              </w:rPr>
              <w:alias w:val="在报告期内公司董事、监事、高级管理人员变动情况"/>
              <w:tag w:val="_TUP_a555fc40054b4d6a94d6a1901fa38c91"/>
              <w:id w:val="354274"/>
              <w:lock w:val="sdtLocked"/>
            </w:sdtPr>
            <w:sdtContent>
              <w:tr w:rsidR="00CF6FAB" w:rsidTr="001E2B27">
                <w:trPr>
                  <w:trHeight w:val="105"/>
                </w:trPr>
                <w:tc>
                  <w:tcPr>
                    <w:tcW w:w="3522" w:type="dxa"/>
                  </w:tcPr>
                  <w:p w:rsidR="00CF6FAB" w:rsidRDefault="00BF2B37">
                    <w:pPr>
                      <w:rPr>
                        <w:szCs w:val="21"/>
                      </w:rPr>
                    </w:pPr>
                    <w:r>
                      <w:rPr>
                        <w:rFonts w:hint="eastAsia"/>
                        <w:szCs w:val="21"/>
                      </w:rPr>
                      <w:t>樊燕萍</w:t>
                    </w:r>
                  </w:p>
                </w:tc>
                <w:tc>
                  <w:tcPr>
                    <w:tcW w:w="3522" w:type="dxa"/>
                  </w:tcPr>
                  <w:p w:rsidR="00CF6FAB" w:rsidRDefault="00BF2B37">
                    <w:pPr>
                      <w:rPr>
                        <w:szCs w:val="21"/>
                      </w:rPr>
                    </w:pPr>
                    <w:r>
                      <w:rPr>
                        <w:rFonts w:hint="eastAsia"/>
                        <w:szCs w:val="21"/>
                      </w:rPr>
                      <w:t>独立董事</w:t>
                    </w:r>
                  </w:p>
                </w:tc>
                <w:sdt>
                  <w:sdtPr>
                    <w:rPr>
                      <w:szCs w:val="21"/>
                    </w:rPr>
                    <w:alias w:val="公司董事、监事、高级管理人员的变动情形"/>
                    <w:tag w:val="_GBC_258f9ad482344d5fbc1587e6faf0ed7b"/>
                    <w:id w:val="354275"/>
                    <w:lock w:val="sdtLocked"/>
                    <w:comboBox>
                      <w:listItem w:displayText="选举" w:value="选举"/>
                      <w:listItem w:displayText="离任" w:value="离任"/>
                      <w:listItem w:displayText="聘任" w:value="聘任"/>
                      <w:listItem w:displayText="解聘" w:value="解聘"/>
                    </w:comboBox>
                  </w:sdtPr>
                  <w:sdtContent>
                    <w:tc>
                      <w:tcPr>
                        <w:tcW w:w="3522" w:type="dxa"/>
                      </w:tcPr>
                      <w:p w:rsidR="00CF6FAB" w:rsidRDefault="00BF2B37">
                        <w:pPr>
                          <w:rPr>
                            <w:szCs w:val="21"/>
                          </w:rPr>
                        </w:pPr>
                        <w:r>
                          <w:rPr>
                            <w:szCs w:val="21"/>
                          </w:rPr>
                          <w:t>选举</w:t>
                        </w:r>
                      </w:p>
                    </w:tc>
                  </w:sdtContent>
                </w:sdt>
                <w:tc>
                  <w:tcPr>
                    <w:tcW w:w="3523" w:type="dxa"/>
                  </w:tcPr>
                  <w:p w:rsidR="00CF6FAB" w:rsidRDefault="00BF2B37">
                    <w:pPr>
                      <w:rPr>
                        <w:szCs w:val="21"/>
                      </w:rPr>
                    </w:pPr>
                    <w:r w:rsidRPr="00BF2B37">
                      <w:rPr>
                        <w:rFonts w:hint="eastAsia"/>
                        <w:szCs w:val="21"/>
                      </w:rPr>
                      <w:t>独董补选</w:t>
                    </w:r>
                  </w:p>
                </w:tc>
              </w:tr>
            </w:sdtContent>
          </w:sdt>
          <w:sdt>
            <w:sdtPr>
              <w:rPr>
                <w:szCs w:val="21"/>
              </w:rPr>
              <w:alias w:val="在报告期内公司董事、监事、高级管理人员变动情况"/>
              <w:tag w:val="_TUP_a555fc40054b4d6a94d6a1901fa38c91"/>
              <w:id w:val="354238"/>
              <w:lock w:val="sdtLocked"/>
            </w:sdtPr>
            <w:sdtContent>
              <w:tr w:rsidR="00CF6FAB" w:rsidTr="001E2B27">
                <w:trPr>
                  <w:trHeight w:val="105"/>
                </w:trPr>
                <w:tc>
                  <w:tcPr>
                    <w:tcW w:w="3522" w:type="dxa"/>
                  </w:tcPr>
                  <w:p w:rsidR="00CF6FAB" w:rsidRDefault="00BF2B37">
                    <w:pPr>
                      <w:rPr>
                        <w:szCs w:val="21"/>
                      </w:rPr>
                    </w:pPr>
                    <w:r>
                      <w:rPr>
                        <w:rFonts w:hint="eastAsia"/>
                        <w:szCs w:val="21"/>
                      </w:rPr>
                      <w:t>包楚雄</w:t>
                    </w:r>
                  </w:p>
                </w:tc>
                <w:tc>
                  <w:tcPr>
                    <w:tcW w:w="3522" w:type="dxa"/>
                  </w:tcPr>
                  <w:p w:rsidR="00CF6FAB" w:rsidRDefault="00BF2B37">
                    <w:pPr>
                      <w:rPr>
                        <w:szCs w:val="21"/>
                      </w:rPr>
                    </w:pPr>
                    <w:r>
                      <w:rPr>
                        <w:rFonts w:hint="eastAsia"/>
                        <w:szCs w:val="21"/>
                      </w:rPr>
                      <w:t>前任董事长</w:t>
                    </w:r>
                  </w:p>
                </w:tc>
                <w:sdt>
                  <w:sdtPr>
                    <w:rPr>
                      <w:szCs w:val="21"/>
                    </w:rPr>
                    <w:alias w:val="公司董事、监事、高级管理人员的变动情形"/>
                    <w:tag w:val="_GBC_258f9ad482344d5fbc1587e6faf0ed7b"/>
                    <w:id w:val="354239"/>
                    <w:lock w:val="sdtLocked"/>
                    <w:comboBox>
                      <w:listItem w:displayText="选举" w:value="选举"/>
                      <w:listItem w:displayText="离任" w:value="离任"/>
                      <w:listItem w:displayText="聘任" w:value="聘任"/>
                      <w:listItem w:displayText="解聘" w:value="解聘"/>
                    </w:comboBox>
                  </w:sdtPr>
                  <w:sdtContent>
                    <w:tc>
                      <w:tcPr>
                        <w:tcW w:w="3522" w:type="dxa"/>
                      </w:tcPr>
                      <w:p w:rsidR="00CF6FAB" w:rsidRDefault="00BF2B37">
                        <w:pPr>
                          <w:rPr>
                            <w:szCs w:val="21"/>
                          </w:rPr>
                        </w:pPr>
                        <w:r>
                          <w:rPr>
                            <w:szCs w:val="21"/>
                          </w:rPr>
                          <w:t>离任</w:t>
                        </w:r>
                      </w:p>
                    </w:tc>
                  </w:sdtContent>
                </w:sdt>
                <w:tc>
                  <w:tcPr>
                    <w:tcW w:w="3523" w:type="dxa"/>
                  </w:tcPr>
                  <w:p w:rsidR="00CF6FAB" w:rsidRDefault="00BF2B37">
                    <w:pPr>
                      <w:rPr>
                        <w:szCs w:val="21"/>
                      </w:rPr>
                    </w:pPr>
                    <w:r>
                      <w:rPr>
                        <w:rFonts w:hint="eastAsia"/>
                        <w:szCs w:val="21"/>
                      </w:rPr>
                      <w:t>工作原因</w:t>
                    </w:r>
                  </w:p>
                </w:tc>
              </w:tr>
            </w:sdtContent>
          </w:sdt>
          <w:sdt>
            <w:sdtPr>
              <w:rPr>
                <w:szCs w:val="21"/>
              </w:rPr>
              <w:alias w:val="在报告期内公司董事、监事、高级管理人员变动情况"/>
              <w:tag w:val="_TUP_a555fc40054b4d6a94d6a1901fa38c91"/>
              <w:id w:val="354206"/>
              <w:lock w:val="sdtLocked"/>
            </w:sdtPr>
            <w:sdtContent>
              <w:tr w:rsidR="00CF6FAB" w:rsidTr="001E2B27">
                <w:trPr>
                  <w:trHeight w:val="105"/>
                </w:trPr>
                <w:tc>
                  <w:tcPr>
                    <w:tcW w:w="3522" w:type="dxa"/>
                  </w:tcPr>
                  <w:p w:rsidR="00CF6FAB" w:rsidRDefault="00BF2B37">
                    <w:pPr>
                      <w:rPr>
                        <w:szCs w:val="21"/>
                      </w:rPr>
                    </w:pPr>
                    <w:r>
                      <w:rPr>
                        <w:rFonts w:hint="eastAsia"/>
                        <w:szCs w:val="21"/>
                      </w:rPr>
                      <w:t>杨万东</w:t>
                    </w:r>
                  </w:p>
                </w:tc>
                <w:tc>
                  <w:tcPr>
                    <w:tcW w:w="3522" w:type="dxa"/>
                  </w:tcPr>
                  <w:p w:rsidR="00CF6FAB" w:rsidRDefault="00BF2B37">
                    <w:pPr>
                      <w:rPr>
                        <w:szCs w:val="21"/>
                      </w:rPr>
                    </w:pPr>
                    <w:r>
                      <w:rPr>
                        <w:rFonts w:hint="eastAsia"/>
                        <w:szCs w:val="21"/>
                      </w:rPr>
                      <w:t>前任独立董事</w:t>
                    </w:r>
                  </w:p>
                </w:tc>
                <w:sdt>
                  <w:sdtPr>
                    <w:rPr>
                      <w:szCs w:val="21"/>
                    </w:rPr>
                    <w:alias w:val="公司董事、监事、高级管理人员的变动情形"/>
                    <w:tag w:val="_GBC_258f9ad482344d5fbc1587e6faf0ed7b"/>
                    <w:id w:val="354207"/>
                    <w:lock w:val="sdtLocked"/>
                    <w:comboBox>
                      <w:listItem w:displayText="选举" w:value="选举"/>
                      <w:listItem w:displayText="离任" w:value="离任"/>
                      <w:listItem w:displayText="聘任" w:value="聘任"/>
                      <w:listItem w:displayText="解聘" w:value="解聘"/>
                    </w:comboBox>
                  </w:sdtPr>
                  <w:sdtContent>
                    <w:tc>
                      <w:tcPr>
                        <w:tcW w:w="3522" w:type="dxa"/>
                      </w:tcPr>
                      <w:p w:rsidR="00CF6FAB" w:rsidRDefault="00BF2B37">
                        <w:pPr>
                          <w:rPr>
                            <w:szCs w:val="21"/>
                          </w:rPr>
                        </w:pPr>
                        <w:r>
                          <w:rPr>
                            <w:szCs w:val="21"/>
                          </w:rPr>
                          <w:t>离任</w:t>
                        </w:r>
                      </w:p>
                    </w:tc>
                  </w:sdtContent>
                </w:sdt>
                <w:tc>
                  <w:tcPr>
                    <w:tcW w:w="3523" w:type="dxa"/>
                  </w:tcPr>
                  <w:p w:rsidR="00CF6FAB" w:rsidRDefault="00BF2B37">
                    <w:pPr>
                      <w:rPr>
                        <w:szCs w:val="21"/>
                      </w:rPr>
                    </w:pPr>
                    <w:r>
                      <w:rPr>
                        <w:rFonts w:hint="eastAsia"/>
                        <w:szCs w:val="21"/>
                      </w:rPr>
                      <w:t>任期届满</w:t>
                    </w:r>
                  </w:p>
                </w:tc>
              </w:tr>
            </w:sdtContent>
          </w:sdt>
          <w:sdt>
            <w:sdtPr>
              <w:rPr>
                <w:szCs w:val="21"/>
              </w:rPr>
              <w:alias w:val="在报告期内公司董事、监事、高级管理人员变动情况"/>
              <w:tag w:val="_TUP_a555fc40054b4d6a94d6a1901fa38c91"/>
              <w:id w:val="354178"/>
              <w:lock w:val="sdtLocked"/>
            </w:sdtPr>
            <w:sdtContent>
              <w:tr w:rsidR="00CF6FAB" w:rsidTr="001E2B27">
                <w:trPr>
                  <w:trHeight w:val="105"/>
                </w:trPr>
                <w:tc>
                  <w:tcPr>
                    <w:tcW w:w="3522" w:type="dxa"/>
                  </w:tcPr>
                  <w:p w:rsidR="00CF6FAB" w:rsidRDefault="00BF2B37">
                    <w:pPr>
                      <w:rPr>
                        <w:szCs w:val="21"/>
                      </w:rPr>
                    </w:pPr>
                    <w:r>
                      <w:rPr>
                        <w:rFonts w:hint="eastAsia"/>
                        <w:szCs w:val="21"/>
                      </w:rPr>
                      <w:t>昝志宏</w:t>
                    </w:r>
                  </w:p>
                </w:tc>
                <w:tc>
                  <w:tcPr>
                    <w:tcW w:w="3522" w:type="dxa"/>
                  </w:tcPr>
                  <w:p w:rsidR="00CF6FAB" w:rsidRDefault="00BF2B37">
                    <w:pPr>
                      <w:rPr>
                        <w:szCs w:val="21"/>
                      </w:rPr>
                    </w:pPr>
                    <w:r>
                      <w:rPr>
                        <w:rFonts w:hint="eastAsia"/>
                        <w:szCs w:val="21"/>
                      </w:rPr>
                      <w:t>前任独立董事</w:t>
                    </w:r>
                  </w:p>
                </w:tc>
                <w:sdt>
                  <w:sdtPr>
                    <w:rPr>
                      <w:szCs w:val="21"/>
                    </w:rPr>
                    <w:alias w:val="公司董事、监事、高级管理人员的变动情形"/>
                    <w:tag w:val="_GBC_258f9ad482344d5fbc1587e6faf0ed7b"/>
                    <w:id w:val="354179"/>
                    <w:lock w:val="sdtLocked"/>
                    <w:comboBox>
                      <w:listItem w:displayText="选举" w:value="选举"/>
                      <w:listItem w:displayText="离任" w:value="离任"/>
                      <w:listItem w:displayText="聘任" w:value="聘任"/>
                      <w:listItem w:displayText="解聘" w:value="解聘"/>
                    </w:comboBox>
                  </w:sdtPr>
                  <w:sdtContent>
                    <w:tc>
                      <w:tcPr>
                        <w:tcW w:w="3522" w:type="dxa"/>
                      </w:tcPr>
                      <w:p w:rsidR="00CF6FAB" w:rsidRDefault="00BF2B37">
                        <w:pPr>
                          <w:rPr>
                            <w:szCs w:val="21"/>
                          </w:rPr>
                        </w:pPr>
                        <w:r>
                          <w:rPr>
                            <w:szCs w:val="21"/>
                          </w:rPr>
                          <w:t>离任</w:t>
                        </w:r>
                      </w:p>
                    </w:tc>
                  </w:sdtContent>
                </w:sdt>
                <w:tc>
                  <w:tcPr>
                    <w:tcW w:w="3523" w:type="dxa"/>
                  </w:tcPr>
                  <w:p w:rsidR="00CF6FAB" w:rsidRDefault="00BF2B37">
                    <w:pPr>
                      <w:rPr>
                        <w:szCs w:val="21"/>
                      </w:rPr>
                    </w:pPr>
                    <w:r>
                      <w:rPr>
                        <w:rFonts w:hint="eastAsia"/>
                        <w:szCs w:val="21"/>
                      </w:rPr>
                      <w:t>任期届满</w:t>
                    </w:r>
                  </w:p>
                </w:tc>
              </w:tr>
            </w:sdtContent>
          </w:sdt>
        </w:tbl>
        <w:p w:rsidR="00806678" w:rsidRDefault="00F80B6C"/>
      </w:sdtContent>
    </w:sdt>
    <w:sdt>
      <w:sdtPr>
        <w:rPr>
          <w:rFonts w:ascii="宋体" w:hAnsi="宋体" w:cs="宋体" w:hint="eastAsia"/>
          <w:b w:val="0"/>
          <w:bCs w:val="0"/>
          <w:kern w:val="0"/>
          <w:szCs w:val="24"/>
        </w:rPr>
        <w:alias w:val="模块:近三年受证券监管机构处罚的情况说明"/>
        <w:tag w:val="_SEC_875293df28e7452fbf15edc09d4ebaa5"/>
        <w:id w:val="16402655"/>
        <w:lock w:val="sdtLocked"/>
        <w:placeholder>
          <w:docPart w:val="GBC22222222222222222222222222222"/>
        </w:placeholder>
      </w:sdtPr>
      <w:sdtContent>
        <w:p w:rsidR="00806678" w:rsidRDefault="00B16377" w:rsidP="00FF17C7">
          <w:pPr>
            <w:pStyle w:val="3"/>
            <w:numPr>
              <w:ilvl w:val="0"/>
              <w:numId w:val="124"/>
            </w:numPr>
            <w:ind w:left="0" w:firstLine="0"/>
          </w:pPr>
          <w:r>
            <w:rPr>
              <w:rFonts w:hint="eastAsia"/>
            </w:rPr>
            <w:t>近三年受证券监管机构处罚的情况说明</w:t>
          </w:r>
        </w:p>
        <w:sdt>
          <w:sdtPr>
            <w:rPr>
              <w:szCs w:val="21"/>
            </w:rPr>
            <w:alias w:val="是否适用：近三年受证券监管机构处罚的情况说明[双击切换]"/>
            <w:tag w:val="_GBC_7955674a80d94ddc9e00915de353286e"/>
            <w:id w:val="16402658"/>
            <w:lock w:val="sdtLocked"/>
            <w:placeholder>
              <w:docPart w:val="GBC22222222222222222222222222222"/>
            </w:placeholder>
          </w:sdtPr>
          <w:sdtContent>
            <w:p w:rsidR="00806678" w:rsidRDefault="00F80B6C">
              <w:r>
                <w:rPr>
                  <w:szCs w:val="21"/>
                </w:rPr>
                <w:fldChar w:fldCharType="begin"/>
              </w:r>
              <w:r w:rsidR="004A0CFD">
                <w:rPr>
                  <w:szCs w:val="21"/>
                </w:rPr>
                <w:instrText xml:space="preserve">MACROBUTTON  SnrToggleCheckbox □适用 </w:instrText>
              </w:r>
              <w:r>
                <w:rPr>
                  <w:szCs w:val="21"/>
                </w:rPr>
                <w:fldChar w:fldCharType="end"/>
              </w:r>
              <w:r>
                <w:rPr>
                  <w:szCs w:val="21"/>
                </w:rPr>
                <w:fldChar w:fldCharType="begin"/>
              </w:r>
              <w:r w:rsidR="004A0CFD">
                <w:rPr>
                  <w:szCs w:val="21"/>
                </w:rPr>
                <w:instrText xml:space="preserve"> MACROBUTTON  SnrToggleCheckbox √不适用 </w:instrText>
              </w:r>
              <w:r>
                <w:rPr>
                  <w:szCs w:val="21"/>
                </w:rPr>
                <w:fldChar w:fldCharType="end"/>
              </w:r>
            </w:p>
          </w:sdtContent>
        </w:sdt>
      </w:sdtContent>
    </w:sdt>
    <w:bookmarkStart w:id="54" w:name="_Hlk89182759" w:displacedByCustomXml="next"/>
    <w:sdt>
      <w:sdtPr>
        <w:rPr>
          <w:rFonts w:ascii="宋体" w:hAnsi="宋体" w:cs="宋体" w:hint="eastAsia"/>
          <w:b w:val="0"/>
          <w:bCs w:val="0"/>
          <w:kern w:val="0"/>
          <w:sz w:val="24"/>
          <w:szCs w:val="22"/>
        </w:rPr>
        <w:alias w:val="模块:董事、监事、高级管理人员情况其他说明"/>
        <w:tag w:val="_SEC_7c52a48d2cd64b13b7d6772842750ace"/>
        <w:id w:val="-475757977"/>
        <w:lock w:val="sdtLocked"/>
        <w:placeholder>
          <w:docPart w:val="GBC22222222222222222222222222222"/>
        </w:placeholder>
      </w:sdtPr>
      <w:sdtEndPr>
        <w:rPr>
          <w:rFonts w:hint="default"/>
          <w:sz w:val="21"/>
          <w:szCs w:val="21"/>
        </w:rPr>
      </w:sdtEndPr>
      <w:sdtContent>
        <w:p w:rsidR="00806678" w:rsidRDefault="00B16377" w:rsidP="00FF17C7">
          <w:pPr>
            <w:pStyle w:val="3"/>
            <w:numPr>
              <w:ilvl w:val="0"/>
              <w:numId w:val="124"/>
            </w:numPr>
            <w:ind w:left="0" w:firstLine="0"/>
          </w:pPr>
          <w:r>
            <w:rPr>
              <w:rFonts w:hint="eastAsia"/>
            </w:rPr>
            <w:t>其他</w:t>
          </w:r>
        </w:p>
        <w:sdt>
          <w:sdtPr>
            <w:rPr>
              <w:rFonts w:hint="eastAsia"/>
              <w:bCs/>
              <w:szCs w:val="21"/>
            </w:rPr>
            <w:alias w:val="是否适用：其他董事、监事、高级管理人员情况说明[双击切换]"/>
            <w:tag w:val="_GBC_6698e1cba7354d29b0fcdbb38e7287d6"/>
            <w:id w:val="-60790206"/>
            <w:lock w:val="sdtLocked"/>
            <w:placeholder>
              <w:docPart w:val="GBC22222222222222222222222222222"/>
            </w:placeholder>
          </w:sdtPr>
          <w:sdtContent>
            <w:p w:rsidR="00806678" w:rsidRDefault="00F80B6C" w:rsidP="004A0CFD">
              <w:pPr>
                <w:rPr>
                  <w:szCs w:val="21"/>
                </w:rPr>
              </w:pPr>
              <w:r>
                <w:rPr>
                  <w:bCs/>
                  <w:szCs w:val="21"/>
                </w:rPr>
                <w:fldChar w:fldCharType="begin"/>
              </w:r>
              <w:r w:rsidR="004A0CFD">
                <w:rPr>
                  <w:bCs/>
                  <w:szCs w:val="21"/>
                </w:rPr>
                <w:instrText xml:space="preserve"> MACROBUTTON  SnrToggleCheckbox □适用  </w:instrText>
              </w:r>
              <w:r>
                <w:rPr>
                  <w:bCs/>
                  <w:szCs w:val="21"/>
                </w:rPr>
                <w:fldChar w:fldCharType="end"/>
              </w:r>
              <w:r>
                <w:rPr>
                  <w:bCs/>
                  <w:szCs w:val="21"/>
                </w:rPr>
                <w:fldChar w:fldCharType="begin"/>
              </w:r>
              <w:r w:rsidR="004A0CFD">
                <w:rPr>
                  <w:bCs/>
                  <w:szCs w:val="21"/>
                </w:rPr>
                <w:instrText xml:space="preserve"> MACROBUTTON  SnrToggleCheckbox √不适用 </w:instrText>
              </w:r>
              <w:r>
                <w:rPr>
                  <w:bCs/>
                  <w:szCs w:val="21"/>
                </w:rPr>
                <w:fldChar w:fldCharType="end"/>
              </w:r>
            </w:p>
          </w:sdtContent>
        </w:sdt>
      </w:sdtContent>
    </w:sdt>
    <w:bookmarkEnd w:id="54" w:displacedByCustomXml="next"/>
    <w:bookmarkStart w:id="55" w:name="_Hlk89182953" w:displacedByCustomXml="next"/>
    <w:sdt>
      <w:sdtPr>
        <w:rPr>
          <w:rFonts w:ascii="宋体" w:hAnsi="宋体" w:cs="宋体"/>
          <w:b w:val="0"/>
          <w:bCs w:val="0"/>
          <w:kern w:val="0"/>
          <w:szCs w:val="24"/>
        </w:rPr>
        <w:alias w:val="模块:报告期内召开的董事会有关情况"/>
        <w:tag w:val="_SEC_f26a891bf12b4933b3f1bfbbb495b260"/>
        <w:id w:val="-1535027702"/>
        <w:lock w:val="sdtLocked"/>
        <w:placeholder>
          <w:docPart w:val="GBC22222222222222222222222222222"/>
        </w:placeholder>
      </w:sdtPr>
      <w:sdtEndPr>
        <w:rPr>
          <w:rFonts w:hint="eastAsia"/>
        </w:rPr>
      </w:sdtEndPr>
      <w:sdtContent>
        <w:p w:rsidR="00806678" w:rsidRDefault="00B16377" w:rsidP="00FF17C7">
          <w:pPr>
            <w:pStyle w:val="2"/>
            <w:numPr>
              <w:ilvl w:val="0"/>
              <w:numId w:val="35"/>
            </w:numPr>
            <w:ind w:left="450" w:hanging="450"/>
          </w:pPr>
          <w:r>
            <w:t>报告期内召开的董事会有关情况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70"/>
            <w:gridCol w:w="1357"/>
            <w:gridCol w:w="5822"/>
          </w:tblGrid>
          <w:tr w:rsidR="00806678" w:rsidTr="001E2B27">
            <w:trPr>
              <w:trHeight w:val="165"/>
            </w:trPr>
            <w:sdt>
              <w:sdtPr>
                <w:rPr>
                  <w:szCs w:val="21"/>
                </w:rPr>
                <w:tag w:val="_PLD_419815d8d7794e1c9b7ce587c2f61ac6"/>
                <w:id w:val="-1707324137"/>
                <w:lock w:val="sdtLocked"/>
              </w:sdtPr>
              <w:sdtContent>
                <w:tc>
                  <w:tcPr>
                    <w:tcW w:w="1033" w:type="pct"/>
                    <w:vAlign w:val="center"/>
                  </w:tcPr>
                  <w:p w:rsidR="00806678" w:rsidRDefault="00B16377">
                    <w:pPr>
                      <w:widowControl w:val="0"/>
                      <w:jc w:val="center"/>
                      <w:rPr>
                        <w:szCs w:val="21"/>
                      </w:rPr>
                    </w:pPr>
                    <w:r>
                      <w:rPr>
                        <w:szCs w:val="21"/>
                      </w:rPr>
                      <w:t>会议届次</w:t>
                    </w:r>
                  </w:p>
                </w:tc>
              </w:sdtContent>
            </w:sdt>
            <w:sdt>
              <w:sdtPr>
                <w:rPr>
                  <w:szCs w:val="21"/>
                </w:rPr>
                <w:tag w:val="_PLD_ab185594a631433a8b0a8263eb8e554f"/>
                <w:id w:val="880133078"/>
                <w:lock w:val="sdtLocked"/>
              </w:sdtPr>
              <w:sdtContent>
                <w:tc>
                  <w:tcPr>
                    <w:tcW w:w="750" w:type="pct"/>
                    <w:vAlign w:val="center"/>
                  </w:tcPr>
                  <w:p w:rsidR="00806678" w:rsidRDefault="00B16377">
                    <w:pPr>
                      <w:widowControl w:val="0"/>
                      <w:jc w:val="center"/>
                      <w:rPr>
                        <w:szCs w:val="21"/>
                      </w:rPr>
                    </w:pPr>
                    <w:r>
                      <w:rPr>
                        <w:szCs w:val="21"/>
                      </w:rPr>
                      <w:t>召开日期</w:t>
                    </w:r>
                  </w:p>
                </w:tc>
              </w:sdtContent>
            </w:sdt>
            <w:sdt>
              <w:sdtPr>
                <w:rPr>
                  <w:rFonts w:hint="eastAsia"/>
                  <w:szCs w:val="21"/>
                </w:rPr>
                <w:tag w:val="_PLD_12539db1b22e4f4592d7456feb9f22a6"/>
                <w:id w:val="1127824711"/>
                <w:lock w:val="sdtLocked"/>
              </w:sdtPr>
              <w:sdtContent>
                <w:tc>
                  <w:tcPr>
                    <w:tcW w:w="3217" w:type="pct"/>
                    <w:vAlign w:val="center"/>
                  </w:tcPr>
                  <w:p w:rsidR="00806678" w:rsidRDefault="00B16377">
                    <w:pPr>
                      <w:widowControl w:val="0"/>
                      <w:jc w:val="center"/>
                      <w:rPr>
                        <w:szCs w:val="21"/>
                      </w:rPr>
                    </w:pPr>
                    <w:r>
                      <w:rPr>
                        <w:rFonts w:hint="eastAsia"/>
                        <w:szCs w:val="21"/>
                      </w:rPr>
                      <w:t>会议决议</w:t>
                    </w:r>
                  </w:p>
                </w:tc>
              </w:sdtContent>
            </w:sdt>
          </w:tr>
          <w:sdt>
            <w:sdtPr>
              <w:rPr>
                <w:szCs w:val="21"/>
              </w:rPr>
              <w:alias w:val="报告期内召开的董事会有关情况明细"/>
              <w:tag w:val="_TUP_d2300a8afd5d45bcb80715a90b1a6cbc"/>
              <w:id w:val="-28030089"/>
              <w:lock w:val="sdtLocked"/>
            </w:sdtPr>
            <w:sdtContent>
              <w:tr w:rsidR="00806678" w:rsidTr="001E2B27">
                <w:trPr>
                  <w:trHeight w:val="195"/>
                </w:trPr>
                <w:tc>
                  <w:tcPr>
                    <w:tcW w:w="1033" w:type="pct"/>
                  </w:tcPr>
                  <w:p w:rsidR="00806678" w:rsidRDefault="005D04D9">
                    <w:pPr>
                      <w:widowControl w:val="0"/>
                      <w:jc w:val="both"/>
                      <w:rPr>
                        <w:szCs w:val="21"/>
                      </w:rPr>
                    </w:pPr>
                    <w:r>
                      <w:rPr>
                        <w:rFonts w:hint="eastAsia"/>
                        <w:szCs w:val="21"/>
                      </w:rPr>
                      <w:t>第六届董事会第十</w:t>
                    </w:r>
                    <w:r w:rsidRPr="005D04D9">
                      <w:rPr>
                        <w:rFonts w:hint="eastAsia"/>
                        <w:szCs w:val="21"/>
                      </w:rPr>
                      <w:t>次会议</w:t>
                    </w:r>
                  </w:p>
                </w:tc>
                <w:tc>
                  <w:tcPr>
                    <w:tcW w:w="750" w:type="pct"/>
                  </w:tcPr>
                  <w:p w:rsidR="00806678" w:rsidRDefault="00431FFB">
                    <w:pPr>
                      <w:widowControl w:val="0"/>
                      <w:jc w:val="both"/>
                      <w:rPr>
                        <w:szCs w:val="21"/>
                      </w:rPr>
                    </w:pPr>
                    <w:r>
                      <w:rPr>
                        <w:rFonts w:hint="eastAsia"/>
                        <w:szCs w:val="21"/>
                      </w:rPr>
                      <w:t>2022-03-22</w:t>
                    </w:r>
                  </w:p>
                </w:tc>
                <w:tc>
                  <w:tcPr>
                    <w:tcW w:w="3217" w:type="pct"/>
                  </w:tcPr>
                  <w:p w:rsidR="00806678" w:rsidRPr="00523F6E" w:rsidRDefault="00523F6E" w:rsidP="00523F6E">
                    <w:pPr>
                      <w:adjustRightInd w:val="0"/>
                      <w:snapToGrid w:val="0"/>
                      <w:rPr>
                        <w:b/>
                        <w:sz w:val="24"/>
                      </w:rPr>
                    </w:pPr>
                    <w:r w:rsidRPr="00523F6E">
                      <w:rPr>
                        <w:rFonts w:hint="eastAsia"/>
                        <w:szCs w:val="21"/>
                      </w:rPr>
                      <w:t>审议通过优化调整公司内部管理机构</w:t>
                    </w:r>
                    <w:r w:rsidRPr="00523F6E">
                      <w:rPr>
                        <w:szCs w:val="21"/>
                      </w:rPr>
                      <w:t>、</w:t>
                    </w:r>
                    <w:r w:rsidRPr="00523F6E">
                      <w:rPr>
                        <w:rFonts w:hint="eastAsia"/>
                        <w:szCs w:val="21"/>
                      </w:rPr>
                      <w:t>修订《大秦铁路股份</w:t>
                    </w:r>
                    <w:r>
                      <w:rPr>
                        <w:rFonts w:hint="eastAsia"/>
                        <w:szCs w:val="21"/>
                      </w:rPr>
                      <w:t>有限公司董事、监事和高级管理人员所持本公司股份及其变动管理办法等</w:t>
                    </w:r>
                    <w:r w:rsidRPr="00523F6E">
                      <w:rPr>
                        <w:szCs w:val="21"/>
                      </w:rPr>
                      <w:t>2项议案。</w:t>
                    </w:r>
                  </w:p>
                </w:tc>
              </w:tr>
            </w:sdtContent>
          </w:sdt>
          <w:sdt>
            <w:sdtPr>
              <w:rPr>
                <w:szCs w:val="21"/>
              </w:rPr>
              <w:alias w:val="报告期内召开的董事会有关情况明细"/>
              <w:tag w:val="_TUP_d2300a8afd5d45bcb80715a90b1a6cbc"/>
              <w:id w:val="354505"/>
              <w:lock w:val="sdtLocked"/>
            </w:sdtPr>
            <w:sdtContent>
              <w:tr w:rsidR="005D04D9" w:rsidTr="001E2B27">
                <w:trPr>
                  <w:trHeight w:val="195"/>
                </w:trPr>
                <w:tc>
                  <w:tcPr>
                    <w:tcW w:w="1033" w:type="pct"/>
                  </w:tcPr>
                  <w:p w:rsidR="005D04D9" w:rsidRDefault="005D04D9">
                    <w:pPr>
                      <w:widowControl w:val="0"/>
                      <w:jc w:val="both"/>
                      <w:rPr>
                        <w:szCs w:val="21"/>
                      </w:rPr>
                    </w:pPr>
                    <w:r>
                      <w:rPr>
                        <w:rFonts w:hint="eastAsia"/>
                        <w:szCs w:val="21"/>
                      </w:rPr>
                      <w:t>第六届董事会第十一</w:t>
                    </w:r>
                    <w:r w:rsidRPr="005D04D9">
                      <w:rPr>
                        <w:rFonts w:hint="eastAsia"/>
                        <w:szCs w:val="21"/>
                      </w:rPr>
                      <w:t>次会议</w:t>
                    </w:r>
                  </w:p>
                </w:tc>
                <w:tc>
                  <w:tcPr>
                    <w:tcW w:w="750" w:type="pct"/>
                  </w:tcPr>
                  <w:p w:rsidR="005D04D9" w:rsidRDefault="00431FFB">
                    <w:pPr>
                      <w:widowControl w:val="0"/>
                      <w:jc w:val="both"/>
                      <w:rPr>
                        <w:szCs w:val="21"/>
                      </w:rPr>
                    </w:pPr>
                    <w:r>
                      <w:rPr>
                        <w:rFonts w:hint="eastAsia"/>
                        <w:szCs w:val="21"/>
                      </w:rPr>
                      <w:t>2022-04-26</w:t>
                    </w:r>
                  </w:p>
                </w:tc>
                <w:tc>
                  <w:tcPr>
                    <w:tcW w:w="3217" w:type="pct"/>
                  </w:tcPr>
                  <w:p w:rsidR="005D04D9" w:rsidRDefault="00431FFB">
                    <w:pPr>
                      <w:widowControl w:val="0"/>
                      <w:jc w:val="both"/>
                      <w:rPr>
                        <w:szCs w:val="21"/>
                      </w:rPr>
                    </w:pPr>
                    <w:r>
                      <w:rPr>
                        <w:rFonts w:hint="eastAsia"/>
                        <w:szCs w:val="21"/>
                      </w:rPr>
                      <w:t>审议通过</w:t>
                    </w:r>
                    <w:r>
                      <w:rPr>
                        <w:szCs w:val="21"/>
                      </w:rPr>
                      <w:t>202</w:t>
                    </w:r>
                    <w:r>
                      <w:rPr>
                        <w:rFonts w:hint="eastAsia"/>
                        <w:szCs w:val="21"/>
                      </w:rPr>
                      <w:t>1</w:t>
                    </w:r>
                    <w:r w:rsidRPr="00431FFB">
                      <w:rPr>
                        <w:szCs w:val="21"/>
                      </w:rPr>
                      <w:t>年度董事会工作报告、</w:t>
                    </w:r>
                    <w:r>
                      <w:rPr>
                        <w:szCs w:val="21"/>
                      </w:rPr>
                      <w:t>202</w:t>
                    </w:r>
                    <w:r>
                      <w:rPr>
                        <w:rFonts w:hint="eastAsia"/>
                        <w:szCs w:val="21"/>
                      </w:rPr>
                      <w:t>1</w:t>
                    </w:r>
                    <w:r w:rsidRPr="00431FFB">
                      <w:rPr>
                        <w:szCs w:val="21"/>
                      </w:rPr>
                      <w:t>年年报、</w:t>
                    </w:r>
                    <w:r>
                      <w:rPr>
                        <w:szCs w:val="21"/>
                      </w:rPr>
                      <w:t>202</w:t>
                    </w:r>
                    <w:r>
                      <w:rPr>
                        <w:rFonts w:hint="eastAsia"/>
                        <w:szCs w:val="21"/>
                      </w:rPr>
                      <w:t>2</w:t>
                    </w:r>
                    <w:r w:rsidRPr="00431FFB">
                      <w:rPr>
                        <w:szCs w:val="21"/>
                      </w:rPr>
                      <w:t>年一季报、召开年度股东大会等</w:t>
                    </w:r>
                    <w:r>
                      <w:rPr>
                        <w:szCs w:val="21"/>
                      </w:rPr>
                      <w:t>2</w:t>
                    </w:r>
                    <w:r>
                      <w:rPr>
                        <w:rFonts w:hint="eastAsia"/>
                        <w:szCs w:val="21"/>
                      </w:rPr>
                      <w:t>8</w:t>
                    </w:r>
                    <w:r w:rsidRPr="00431FFB">
                      <w:rPr>
                        <w:szCs w:val="21"/>
                      </w:rPr>
                      <w:t>项议案。</w:t>
                    </w:r>
                  </w:p>
                </w:tc>
              </w:tr>
            </w:sdtContent>
          </w:sdt>
          <w:sdt>
            <w:sdtPr>
              <w:rPr>
                <w:szCs w:val="21"/>
              </w:rPr>
              <w:alias w:val="报告期内召开的董事会有关情况明细"/>
              <w:tag w:val="_TUP_d2300a8afd5d45bcb80715a90b1a6cbc"/>
              <w:id w:val="354487"/>
              <w:lock w:val="sdtLocked"/>
            </w:sdtPr>
            <w:sdtContent>
              <w:tr w:rsidR="005D04D9" w:rsidTr="001E2B27">
                <w:trPr>
                  <w:trHeight w:val="195"/>
                </w:trPr>
                <w:tc>
                  <w:tcPr>
                    <w:tcW w:w="1033" w:type="pct"/>
                  </w:tcPr>
                  <w:p w:rsidR="005D04D9" w:rsidRDefault="005D04D9">
                    <w:pPr>
                      <w:widowControl w:val="0"/>
                      <w:jc w:val="both"/>
                      <w:rPr>
                        <w:szCs w:val="21"/>
                      </w:rPr>
                    </w:pPr>
                    <w:r>
                      <w:rPr>
                        <w:rFonts w:hint="eastAsia"/>
                        <w:szCs w:val="21"/>
                      </w:rPr>
                      <w:t>第六届董事会第十二</w:t>
                    </w:r>
                    <w:r w:rsidRPr="005D04D9">
                      <w:rPr>
                        <w:rFonts w:hint="eastAsia"/>
                        <w:szCs w:val="21"/>
                      </w:rPr>
                      <w:t>次会议</w:t>
                    </w:r>
                  </w:p>
                </w:tc>
                <w:tc>
                  <w:tcPr>
                    <w:tcW w:w="750" w:type="pct"/>
                  </w:tcPr>
                  <w:p w:rsidR="005D04D9" w:rsidRDefault="001F76F1">
                    <w:pPr>
                      <w:widowControl w:val="0"/>
                      <w:jc w:val="both"/>
                      <w:rPr>
                        <w:szCs w:val="21"/>
                      </w:rPr>
                    </w:pPr>
                    <w:r>
                      <w:rPr>
                        <w:rFonts w:hint="eastAsia"/>
                        <w:szCs w:val="21"/>
                      </w:rPr>
                      <w:t>2022-05-25</w:t>
                    </w:r>
                  </w:p>
                </w:tc>
                <w:tc>
                  <w:tcPr>
                    <w:tcW w:w="3217" w:type="pct"/>
                  </w:tcPr>
                  <w:p w:rsidR="005D04D9" w:rsidRDefault="001F76F1">
                    <w:pPr>
                      <w:widowControl w:val="0"/>
                      <w:jc w:val="both"/>
                      <w:rPr>
                        <w:szCs w:val="21"/>
                      </w:rPr>
                    </w:pPr>
                    <w:r>
                      <w:rPr>
                        <w:rFonts w:hint="eastAsia"/>
                        <w:szCs w:val="21"/>
                      </w:rPr>
                      <w:t>审议通过</w:t>
                    </w:r>
                    <w:r w:rsidRPr="001F76F1">
                      <w:rPr>
                        <w:rFonts w:hint="eastAsia"/>
                        <w:szCs w:val="21"/>
                      </w:rPr>
                      <w:t>调整董事会审计委员会委员及主任、调整董事会薪酬与考核委员会委员及主任等3项议案。</w:t>
                    </w:r>
                  </w:p>
                </w:tc>
              </w:tr>
            </w:sdtContent>
          </w:sdt>
          <w:sdt>
            <w:sdtPr>
              <w:rPr>
                <w:szCs w:val="21"/>
              </w:rPr>
              <w:alias w:val="报告期内召开的董事会有关情况明细"/>
              <w:tag w:val="_TUP_d2300a8afd5d45bcb80715a90b1a6cbc"/>
              <w:id w:val="354471"/>
              <w:lock w:val="sdtLocked"/>
            </w:sdtPr>
            <w:sdtContent>
              <w:tr w:rsidR="005D04D9" w:rsidTr="001E2B27">
                <w:trPr>
                  <w:trHeight w:val="195"/>
                </w:trPr>
                <w:tc>
                  <w:tcPr>
                    <w:tcW w:w="1033" w:type="pct"/>
                  </w:tcPr>
                  <w:p w:rsidR="005D04D9" w:rsidRDefault="005D04D9">
                    <w:pPr>
                      <w:widowControl w:val="0"/>
                      <w:jc w:val="both"/>
                      <w:rPr>
                        <w:szCs w:val="21"/>
                      </w:rPr>
                    </w:pPr>
                    <w:r>
                      <w:rPr>
                        <w:rFonts w:hint="eastAsia"/>
                        <w:szCs w:val="21"/>
                      </w:rPr>
                      <w:t>第六届董事会第十三</w:t>
                    </w:r>
                    <w:r w:rsidRPr="005D04D9">
                      <w:rPr>
                        <w:rFonts w:hint="eastAsia"/>
                        <w:szCs w:val="21"/>
                      </w:rPr>
                      <w:t>次会议</w:t>
                    </w:r>
                  </w:p>
                </w:tc>
                <w:tc>
                  <w:tcPr>
                    <w:tcW w:w="750" w:type="pct"/>
                  </w:tcPr>
                  <w:p w:rsidR="005D04D9" w:rsidRDefault="001F76F1">
                    <w:pPr>
                      <w:widowControl w:val="0"/>
                      <w:jc w:val="both"/>
                      <w:rPr>
                        <w:szCs w:val="21"/>
                      </w:rPr>
                    </w:pPr>
                    <w:r>
                      <w:rPr>
                        <w:rFonts w:hint="eastAsia"/>
                        <w:szCs w:val="21"/>
                      </w:rPr>
                      <w:t>2022-08-29</w:t>
                    </w:r>
                  </w:p>
                </w:tc>
                <w:tc>
                  <w:tcPr>
                    <w:tcW w:w="3217" w:type="pct"/>
                  </w:tcPr>
                  <w:p w:rsidR="005D04D9" w:rsidRDefault="001F76F1">
                    <w:pPr>
                      <w:widowControl w:val="0"/>
                      <w:jc w:val="both"/>
                      <w:rPr>
                        <w:szCs w:val="21"/>
                      </w:rPr>
                    </w:pPr>
                    <w:r w:rsidRPr="001F76F1">
                      <w:rPr>
                        <w:rFonts w:hint="eastAsia"/>
                        <w:szCs w:val="21"/>
                      </w:rPr>
                      <w:t>审议通过</w:t>
                    </w:r>
                    <w:r>
                      <w:rPr>
                        <w:rFonts w:hint="eastAsia"/>
                        <w:szCs w:val="21"/>
                      </w:rPr>
                      <w:t>2022年半年度报告、募集资金存放与使用专项报告等4项议案。</w:t>
                    </w:r>
                  </w:p>
                </w:tc>
              </w:tr>
            </w:sdtContent>
          </w:sdt>
          <w:sdt>
            <w:sdtPr>
              <w:rPr>
                <w:szCs w:val="21"/>
              </w:rPr>
              <w:alias w:val="报告期内召开的董事会有关情况明细"/>
              <w:tag w:val="_TUP_d2300a8afd5d45bcb80715a90b1a6cbc"/>
              <w:id w:val="354457"/>
              <w:lock w:val="sdtLocked"/>
            </w:sdtPr>
            <w:sdtContent>
              <w:tr w:rsidR="005D04D9" w:rsidTr="001E2B27">
                <w:trPr>
                  <w:trHeight w:val="195"/>
                </w:trPr>
                <w:tc>
                  <w:tcPr>
                    <w:tcW w:w="1033" w:type="pct"/>
                  </w:tcPr>
                  <w:p w:rsidR="005D04D9" w:rsidRDefault="005D04D9">
                    <w:pPr>
                      <w:widowControl w:val="0"/>
                      <w:jc w:val="both"/>
                      <w:rPr>
                        <w:szCs w:val="21"/>
                      </w:rPr>
                    </w:pPr>
                    <w:r>
                      <w:rPr>
                        <w:rFonts w:hint="eastAsia"/>
                        <w:szCs w:val="21"/>
                      </w:rPr>
                      <w:t>第六届董事会第十四</w:t>
                    </w:r>
                    <w:r w:rsidRPr="005D04D9">
                      <w:rPr>
                        <w:rFonts w:hint="eastAsia"/>
                        <w:szCs w:val="21"/>
                      </w:rPr>
                      <w:t>次会议</w:t>
                    </w:r>
                  </w:p>
                </w:tc>
                <w:tc>
                  <w:tcPr>
                    <w:tcW w:w="750" w:type="pct"/>
                  </w:tcPr>
                  <w:p w:rsidR="005D04D9" w:rsidRDefault="00794559">
                    <w:pPr>
                      <w:widowControl w:val="0"/>
                      <w:jc w:val="both"/>
                      <w:rPr>
                        <w:szCs w:val="21"/>
                      </w:rPr>
                    </w:pPr>
                    <w:r>
                      <w:rPr>
                        <w:rFonts w:hint="eastAsia"/>
                        <w:szCs w:val="21"/>
                      </w:rPr>
                      <w:t>2022-10-27</w:t>
                    </w:r>
                  </w:p>
                </w:tc>
                <w:tc>
                  <w:tcPr>
                    <w:tcW w:w="3217" w:type="pct"/>
                  </w:tcPr>
                  <w:p w:rsidR="005D04D9" w:rsidRDefault="00794559">
                    <w:pPr>
                      <w:widowControl w:val="0"/>
                      <w:jc w:val="both"/>
                      <w:rPr>
                        <w:szCs w:val="21"/>
                      </w:rPr>
                    </w:pPr>
                    <w:r>
                      <w:rPr>
                        <w:rFonts w:hint="eastAsia"/>
                        <w:szCs w:val="21"/>
                      </w:rPr>
                      <w:t>审议通过2022年第三季度报告1项议案。</w:t>
                    </w:r>
                  </w:p>
                </w:tc>
              </w:tr>
            </w:sdtContent>
          </w:sdt>
          <w:sdt>
            <w:sdtPr>
              <w:rPr>
                <w:szCs w:val="21"/>
              </w:rPr>
              <w:alias w:val="报告期内召开的董事会有关情况明细"/>
              <w:tag w:val="_TUP_d2300a8afd5d45bcb80715a90b1a6cbc"/>
              <w:id w:val="33111377"/>
              <w:lock w:val="sdtLocked"/>
            </w:sdtPr>
            <w:sdtContent>
              <w:tr w:rsidR="00806678" w:rsidTr="001E2B27">
                <w:trPr>
                  <w:trHeight w:val="195"/>
                </w:trPr>
                <w:tc>
                  <w:tcPr>
                    <w:tcW w:w="1033" w:type="pct"/>
                  </w:tcPr>
                  <w:p w:rsidR="00806678" w:rsidRDefault="005D04D9">
                    <w:pPr>
                      <w:widowControl w:val="0"/>
                      <w:jc w:val="both"/>
                      <w:rPr>
                        <w:szCs w:val="21"/>
                      </w:rPr>
                    </w:pPr>
                    <w:r w:rsidRPr="005D04D9">
                      <w:rPr>
                        <w:rFonts w:hint="eastAsia"/>
                        <w:szCs w:val="21"/>
                      </w:rPr>
                      <w:t>第六届董事会第</w:t>
                    </w:r>
                    <w:r>
                      <w:rPr>
                        <w:rFonts w:hint="eastAsia"/>
                        <w:szCs w:val="21"/>
                      </w:rPr>
                      <w:t>十五</w:t>
                    </w:r>
                    <w:r w:rsidRPr="005D04D9">
                      <w:rPr>
                        <w:rFonts w:hint="eastAsia"/>
                        <w:szCs w:val="21"/>
                      </w:rPr>
                      <w:t>次会议</w:t>
                    </w:r>
                  </w:p>
                </w:tc>
                <w:tc>
                  <w:tcPr>
                    <w:tcW w:w="750" w:type="pct"/>
                  </w:tcPr>
                  <w:p w:rsidR="00806678" w:rsidRDefault="005D38BD">
                    <w:pPr>
                      <w:widowControl w:val="0"/>
                      <w:jc w:val="both"/>
                      <w:rPr>
                        <w:szCs w:val="21"/>
                      </w:rPr>
                    </w:pPr>
                    <w:r>
                      <w:rPr>
                        <w:rFonts w:hint="eastAsia"/>
                        <w:szCs w:val="21"/>
                      </w:rPr>
                      <w:t>2022-12-08</w:t>
                    </w:r>
                  </w:p>
                </w:tc>
                <w:tc>
                  <w:tcPr>
                    <w:tcW w:w="3217" w:type="pct"/>
                  </w:tcPr>
                  <w:p w:rsidR="00806678" w:rsidRDefault="005D38BD">
                    <w:pPr>
                      <w:widowControl w:val="0"/>
                      <w:jc w:val="both"/>
                      <w:rPr>
                        <w:szCs w:val="21"/>
                      </w:rPr>
                    </w:pPr>
                    <w:r>
                      <w:rPr>
                        <w:rFonts w:hint="eastAsia"/>
                        <w:szCs w:val="21"/>
                      </w:rPr>
                      <w:t>审议通过</w:t>
                    </w:r>
                    <w:r w:rsidRPr="005D38BD">
                      <w:rPr>
                        <w:rFonts w:hint="eastAsia"/>
                        <w:szCs w:val="21"/>
                      </w:rPr>
                      <w:t>与中国国家铁路集团有限公司继续签署《综合服务框架协议》</w:t>
                    </w:r>
                    <w:r>
                      <w:rPr>
                        <w:rFonts w:hint="eastAsia"/>
                        <w:szCs w:val="21"/>
                      </w:rPr>
                      <w:t>、召开</w:t>
                    </w:r>
                    <w:r w:rsidR="0075230E">
                      <w:rPr>
                        <w:rFonts w:hint="eastAsia"/>
                        <w:szCs w:val="21"/>
                      </w:rPr>
                      <w:t>2022年第一次临时</w:t>
                    </w:r>
                    <w:r>
                      <w:rPr>
                        <w:rFonts w:hint="eastAsia"/>
                        <w:szCs w:val="21"/>
                      </w:rPr>
                      <w:t>股东大会2项议案。</w:t>
                    </w:r>
                  </w:p>
                </w:tc>
              </w:tr>
            </w:sdtContent>
          </w:sdt>
        </w:tbl>
        <w:p w:rsidR="00806678" w:rsidRDefault="00F80B6C">
          <w:pPr>
            <w:rPr>
              <w:szCs w:val="21"/>
            </w:rPr>
          </w:pPr>
        </w:p>
      </w:sdtContent>
    </w:sdt>
    <w:bookmarkEnd w:id="55" w:displacedByCustomXml="prev"/>
    <w:p w:rsidR="00806678" w:rsidRDefault="00B16377" w:rsidP="00FF17C7">
      <w:pPr>
        <w:pStyle w:val="2"/>
        <w:numPr>
          <w:ilvl w:val="0"/>
          <w:numId w:val="35"/>
        </w:numPr>
      </w:pPr>
      <w:r>
        <w:lastRenderedPageBreak/>
        <w:t>董事履行职责情况</w:t>
      </w:r>
    </w:p>
    <w:sdt>
      <w:sdtPr>
        <w:rPr>
          <w:rFonts w:ascii="宋体" w:hAnsi="宋体" w:cs="宋体"/>
          <w:b w:val="0"/>
          <w:bCs w:val="0"/>
          <w:kern w:val="0"/>
          <w:szCs w:val="24"/>
        </w:rPr>
        <w:alias w:val="模块:董事参加董事会和股东大会的情况"/>
        <w:tag w:val="_SEC_46b12eef184243bf8374eb01a77e4d07"/>
        <w:id w:val="3160444"/>
        <w:lock w:val="sdtLocked"/>
        <w:placeholder>
          <w:docPart w:val="GBC22222222222222222222222222222"/>
        </w:placeholder>
      </w:sdtPr>
      <w:sdtEndPr>
        <w:rPr>
          <w:szCs w:val="21"/>
        </w:rPr>
      </w:sdtEndPr>
      <w:sdtContent>
        <w:p w:rsidR="00806678" w:rsidRDefault="00B16377" w:rsidP="00FF17C7">
          <w:pPr>
            <w:pStyle w:val="3"/>
            <w:numPr>
              <w:ilvl w:val="0"/>
              <w:numId w:val="36"/>
            </w:numPr>
          </w:pPr>
          <w:r>
            <w:t>董事参加董事会和股东大会的情况</w:t>
          </w:r>
        </w:p>
        <w:tbl>
          <w:tblPr>
            <w:tblStyle w:val="a6"/>
            <w:tblW w:w="5000" w:type="pct"/>
            <w:tblLook w:val="04A0"/>
          </w:tblPr>
          <w:tblGrid>
            <w:gridCol w:w="980"/>
            <w:gridCol w:w="846"/>
            <w:gridCol w:w="1100"/>
            <w:gridCol w:w="852"/>
            <w:gridCol w:w="968"/>
            <w:gridCol w:w="905"/>
            <w:gridCol w:w="845"/>
            <w:gridCol w:w="1292"/>
            <w:gridCol w:w="1261"/>
          </w:tblGrid>
          <w:tr w:rsidR="00FA292C" w:rsidTr="00FA292C">
            <w:trPr>
              <w:trHeight w:val="561"/>
            </w:trPr>
            <w:sdt>
              <w:sdtPr>
                <w:tag w:val="_PLD_fdf987702b2e46a4aaa1e3f20787a76c"/>
                <w:id w:val="354598"/>
                <w:lock w:val="sdtLocked"/>
              </w:sdtPr>
              <w:sdtContent>
                <w:tc>
                  <w:tcPr>
                    <w:tcW w:w="541" w:type="pct"/>
                    <w:vMerge w:val="restart"/>
                    <w:vAlign w:val="center"/>
                  </w:tcPr>
                  <w:p w:rsidR="00FA292C" w:rsidRDefault="00FA292C" w:rsidP="00FA292C">
                    <w:pPr>
                      <w:jc w:val="center"/>
                      <w:rPr>
                        <w:szCs w:val="21"/>
                      </w:rPr>
                    </w:pPr>
                    <w:r>
                      <w:rPr>
                        <w:rFonts w:hint="eastAsia"/>
                        <w:szCs w:val="21"/>
                      </w:rPr>
                      <w:t>董事</w:t>
                    </w:r>
                  </w:p>
                  <w:p w:rsidR="00FA292C" w:rsidRDefault="00FA292C" w:rsidP="00FA292C">
                    <w:pPr>
                      <w:jc w:val="center"/>
                      <w:rPr>
                        <w:szCs w:val="21"/>
                      </w:rPr>
                    </w:pPr>
                    <w:r>
                      <w:rPr>
                        <w:rFonts w:hint="eastAsia"/>
                        <w:szCs w:val="21"/>
                      </w:rPr>
                      <w:t>姓名</w:t>
                    </w:r>
                  </w:p>
                </w:tc>
              </w:sdtContent>
            </w:sdt>
            <w:sdt>
              <w:sdtPr>
                <w:tag w:val="_PLD_8c944f740a3a4784938038ab19e3a6ed"/>
                <w:id w:val="354599"/>
                <w:lock w:val="sdtLocked"/>
              </w:sdtPr>
              <w:sdtContent>
                <w:tc>
                  <w:tcPr>
                    <w:tcW w:w="467" w:type="pct"/>
                    <w:vMerge w:val="restart"/>
                    <w:vAlign w:val="center"/>
                  </w:tcPr>
                  <w:p w:rsidR="00FA292C" w:rsidRDefault="00FA292C" w:rsidP="00FA292C">
                    <w:pPr>
                      <w:jc w:val="center"/>
                      <w:rPr>
                        <w:szCs w:val="21"/>
                      </w:rPr>
                    </w:pPr>
                    <w:r>
                      <w:rPr>
                        <w:szCs w:val="21"/>
                      </w:rPr>
                      <w:t>是否独立董事</w:t>
                    </w:r>
                  </w:p>
                </w:tc>
              </w:sdtContent>
            </w:sdt>
            <w:sdt>
              <w:sdtPr>
                <w:tag w:val="_PLD_41002b55426142459adadb76d790d586"/>
                <w:id w:val="354600"/>
                <w:lock w:val="sdtLocked"/>
              </w:sdtPr>
              <w:sdtContent>
                <w:tc>
                  <w:tcPr>
                    <w:tcW w:w="3294" w:type="pct"/>
                    <w:gridSpan w:val="6"/>
                    <w:vAlign w:val="center"/>
                  </w:tcPr>
                  <w:p w:rsidR="00FA292C" w:rsidRDefault="00FA292C" w:rsidP="00FA292C">
                    <w:pPr>
                      <w:jc w:val="center"/>
                      <w:rPr>
                        <w:szCs w:val="21"/>
                      </w:rPr>
                    </w:pPr>
                    <w:r>
                      <w:rPr>
                        <w:szCs w:val="21"/>
                      </w:rPr>
                      <w:t>参加董事会情况</w:t>
                    </w:r>
                  </w:p>
                </w:tc>
              </w:sdtContent>
            </w:sdt>
            <w:sdt>
              <w:sdtPr>
                <w:tag w:val="_PLD_a86ab0ba65874193bf46821cd6a13f4f"/>
                <w:id w:val="354601"/>
                <w:lock w:val="sdtLocked"/>
              </w:sdtPr>
              <w:sdtContent>
                <w:tc>
                  <w:tcPr>
                    <w:tcW w:w="697" w:type="pct"/>
                    <w:vAlign w:val="center"/>
                  </w:tcPr>
                  <w:p w:rsidR="00FA292C" w:rsidRDefault="00FA292C" w:rsidP="00FA292C">
                    <w:pPr>
                      <w:jc w:val="center"/>
                      <w:rPr>
                        <w:szCs w:val="21"/>
                      </w:rPr>
                    </w:pPr>
                    <w:r>
                      <w:rPr>
                        <w:szCs w:val="21"/>
                      </w:rPr>
                      <w:t>参加股东大会情况</w:t>
                    </w:r>
                  </w:p>
                </w:tc>
              </w:sdtContent>
            </w:sdt>
          </w:tr>
          <w:tr w:rsidR="00FA292C" w:rsidTr="004E4E4F">
            <w:trPr>
              <w:trHeight w:val="120"/>
            </w:trPr>
            <w:tc>
              <w:tcPr>
                <w:tcW w:w="541" w:type="pct"/>
                <w:vMerge/>
              </w:tcPr>
              <w:p w:rsidR="00FA292C" w:rsidRDefault="00FA292C" w:rsidP="00FA292C">
                <w:pPr>
                  <w:jc w:val="center"/>
                  <w:rPr>
                    <w:szCs w:val="21"/>
                  </w:rPr>
                </w:pPr>
              </w:p>
            </w:tc>
            <w:tc>
              <w:tcPr>
                <w:tcW w:w="467" w:type="pct"/>
                <w:vMerge/>
              </w:tcPr>
              <w:p w:rsidR="00FA292C" w:rsidRDefault="00FA292C" w:rsidP="00FA292C">
                <w:pPr>
                  <w:jc w:val="center"/>
                  <w:rPr>
                    <w:szCs w:val="21"/>
                  </w:rPr>
                </w:pPr>
              </w:p>
            </w:tc>
            <w:sdt>
              <w:sdtPr>
                <w:tag w:val="_PLD_1be3bc3a3d894e22b017b70a7c691233"/>
                <w:id w:val="354602"/>
                <w:lock w:val="sdtLocked"/>
              </w:sdtPr>
              <w:sdtContent>
                <w:tc>
                  <w:tcPr>
                    <w:tcW w:w="608" w:type="pct"/>
                    <w:vAlign w:val="center"/>
                  </w:tcPr>
                  <w:p w:rsidR="00FA292C" w:rsidRDefault="00FA292C" w:rsidP="00FA292C">
                    <w:pPr>
                      <w:jc w:val="center"/>
                      <w:rPr>
                        <w:szCs w:val="21"/>
                      </w:rPr>
                    </w:pPr>
                    <w:r>
                      <w:rPr>
                        <w:szCs w:val="21"/>
                      </w:rPr>
                      <w:t>本年应参加董事会次数</w:t>
                    </w:r>
                  </w:p>
                </w:tc>
              </w:sdtContent>
            </w:sdt>
            <w:sdt>
              <w:sdtPr>
                <w:tag w:val="_PLD_3e45fc9802f241cb8e17735983417e9b"/>
                <w:id w:val="354603"/>
                <w:lock w:val="sdtLocked"/>
              </w:sdtPr>
              <w:sdtContent>
                <w:tc>
                  <w:tcPr>
                    <w:tcW w:w="471" w:type="pct"/>
                    <w:vAlign w:val="center"/>
                  </w:tcPr>
                  <w:p w:rsidR="00FA292C" w:rsidRDefault="00FA292C" w:rsidP="00FA292C">
                    <w:pPr>
                      <w:jc w:val="center"/>
                      <w:rPr>
                        <w:szCs w:val="21"/>
                      </w:rPr>
                    </w:pPr>
                    <w:r>
                      <w:rPr>
                        <w:szCs w:val="21"/>
                      </w:rPr>
                      <w:t>亲自出席次数</w:t>
                    </w:r>
                  </w:p>
                </w:tc>
              </w:sdtContent>
            </w:sdt>
            <w:sdt>
              <w:sdtPr>
                <w:tag w:val="_PLD_5b2f1e699fe34def868fe8b765d768ba"/>
                <w:id w:val="354604"/>
                <w:lock w:val="sdtLocked"/>
              </w:sdtPr>
              <w:sdtContent>
                <w:tc>
                  <w:tcPr>
                    <w:tcW w:w="535" w:type="pct"/>
                    <w:vAlign w:val="center"/>
                  </w:tcPr>
                  <w:p w:rsidR="00FA292C" w:rsidRDefault="00FA292C" w:rsidP="00FA292C">
                    <w:pPr>
                      <w:jc w:val="center"/>
                      <w:rPr>
                        <w:szCs w:val="21"/>
                      </w:rPr>
                    </w:pPr>
                    <w:r>
                      <w:rPr>
                        <w:szCs w:val="21"/>
                      </w:rPr>
                      <w:t>以通讯方式参加次数</w:t>
                    </w:r>
                  </w:p>
                </w:tc>
              </w:sdtContent>
            </w:sdt>
            <w:sdt>
              <w:sdtPr>
                <w:tag w:val="_PLD_981a0cb863d94703a5482c1ca67d4cb5"/>
                <w:id w:val="354605"/>
                <w:lock w:val="sdtLocked"/>
              </w:sdtPr>
              <w:sdtContent>
                <w:tc>
                  <w:tcPr>
                    <w:tcW w:w="500" w:type="pct"/>
                    <w:vAlign w:val="center"/>
                  </w:tcPr>
                  <w:p w:rsidR="00FA292C" w:rsidRDefault="00FA292C" w:rsidP="00FA292C">
                    <w:pPr>
                      <w:jc w:val="center"/>
                      <w:rPr>
                        <w:szCs w:val="21"/>
                      </w:rPr>
                    </w:pPr>
                    <w:r>
                      <w:rPr>
                        <w:szCs w:val="21"/>
                      </w:rPr>
                      <w:t>委托出席次数</w:t>
                    </w:r>
                  </w:p>
                </w:tc>
              </w:sdtContent>
            </w:sdt>
            <w:sdt>
              <w:sdtPr>
                <w:tag w:val="_PLD_e955143b8973461bb11aa6e64e6bb542"/>
                <w:id w:val="354606"/>
                <w:lock w:val="sdtLocked"/>
              </w:sdtPr>
              <w:sdtContent>
                <w:tc>
                  <w:tcPr>
                    <w:tcW w:w="467" w:type="pct"/>
                    <w:vAlign w:val="center"/>
                  </w:tcPr>
                  <w:p w:rsidR="00FA292C" w:rsidRDefault="00FA292C" w:rsidP="00FA292C">
                    <w:pPr>
                      <w:jc w:val="center"/>
                      <w:rPr>
                        <w:szCs w:val="21"/>
                      </w:rPr>
                    </w:pPr>
                    <w:r>
                      <w:rPr>
                        <w:szCs w:val="21"/>
                      </w:rPr>
                      <w:t>缺席</w:t>
                    </w:r>
                  </w:p>
                  <w:p w:rsidR="00FA292C" w:rsidRDefault="00FA292C" w:rsidP="00FA292C">
                    <w:pPr>
                      <w:jc w:val="center"/>
                      <w:rPr>
                        <w:szCs w:val="21"/>
                      </w:rPr>
                    </w:pPr>
                    <w:r>
                      <w:rPr>
                        <w:szCs w:val="21"/>
                      </w:rPr>
                      <w:t>次数</w:t>
                    </w:r>
                  </w:p>
                </w:tc>
              </w:sdtContent>
            </w:sdt>
            <w:sdt>
              <w:sdtPr>
                <w:tag w:val="_PLD_c94de7a455d94af5b8ffe4cc736c4b46"/>
                <w:id w:val="354607"/>
                <w:lock w:val="sdtLocked"/>
              </w:sdtPr>
              <w:sdtContent>
                <w:tc>
                  <w:tcPr>
                    <w:tcW w:w="714" w:type="pct"/>
                    <w:vAlign w:val="center"/>
                  </w:tcPr>
                  <w:p w:rsidR="00FA292C" w:rsidRDefault="00FA292C" w:rsidP="00FA292C">
                    <w:pPr>
                      <w:jc w:val="center"/>
                      <w:rPr>
                        <w:szCs w:val="21"/>
                      </w:rPr>
                    </w:pPr>
                    <w:r>
                      <w:rPr>
                        <w:szCs w:val="21"/>
                      </w:rPr>
                      <w:t>是否连续两次未亲自参加会议</w:t>
                    </w:r>
                  </w:p>
                </w:tc>
              </w:sdtContent>
            </w:sdt>
            <w:sdt>
              <w:sdtPr>
                <w:tag w:val="_PLD_7f17c2a5ff9540709fafff9460b0756d"/>
                <w:id w:val="354608"/>
                <w:lock w:val="sdtLocked"/>
              </w:sdtPr>
              <w:sdtContent>
                <w:tc>
                  <w:tcPr>
                    <w:tcW w:w="697" w:type="pct"/>
                    <w:vAlign w:val="center"/>
                  </w:tcPr>
                  <w:p w:rsidR="00FA292C" w:rsidRDefault="00FA292C" w:rsidP="00FA292C">
                    <w:pPr>
                      <w:jc w:val="center"/>
                      <w:rPr>
                        <w:b/>
                        <w:szCs w:val="21"/>
                      </w:rPr>
                    </w:pPr>
                    <w:r>
                      <w:rPr>
                        <w:szCs w:val="21"/>
                      </w:rPr>
                      <w:t>出席股东大会的次数</w:t>
                    </w:r>
                  </w:p>
                </w:tc>
              </w:sdtContent>
            </w:sdt>
          </w:tr>
          <w:sdt>
            <w:sdtPr>
              <w:rPr>
                <w:rFonts w:asciiTheme="minorHAnsi" w:eastAsiaTheme="minorEastAsia" w:hAnsiTheme="minorHAnsi" w:cstheme="minorBidi" w:hint="eastAsia"/>
                <w:kern w:val="2"/>
                <w:szCs w:val="21"/>
              </w:rPr>
              <w:alias w:val="董事参加董事会的出席情况明细"/>
              <w:tag w:val="_TUP_21f02a2c29cc41bba590120cf14b9bc6"/>
              <w:id w:val="354614"/>
              <w:lock w:val="sdtLocked"/>
            </w:sdtPr>
            <w:sdtContent>
              <w:tr w:rsidR="00FA292C" w:rsidTr="004E4E4F">
                <w:trPr>
                  <w:trHeight w:val="77"/>
                </w:trPr>
                <w:tc>
                  <w:tcPr>
                    <w:tcW w:w="541" w:type="pct"/>
                  </w:tcPr>
                  <w:p w:rsidR="00FA292C" w:rsidRDefault="004E4E4F" w:rsidP="00FA292C">
                    <w:pPr>
                      <w:rPr>
                        <w:szCs w:val="21"/>
                      </w:rPr>
                    </w:pPr>
                    <w:r>
                      <w:rPr>
                        <w:rFonts w:asciiTheme="minorHAnsi" w:eastAsiaTheme="minorEastAsia" w:hAnsiTheme="minorHAnsi" w:cstheme="minorBidi" w:hint="eastAsia"/>
                        <w:kern w:val="2"/>
                        <w:szCs w:val="21"/>
                      </w:rPr>
                      <w:t>王道阔</w:t>
                    </w:r>
                  </w:p>
                </w:tc>
                <w:sdt>
                  <w:sdtPr>
                    <w:rPr>
                      <w:rFonts w:hint="eastAsia"/>
                      <w:szCs w:val="21"/>
                    </w:rPr>
                    <w:alias w:val="董事参加董事会的出席情况明细-是否独立董事"/>
                    <w:tag w:val="_GBC_8f65cf2d483747a58ee92c8a36ee6375"/>
                    <w:id w:val="354612"/>
                    <w:lock w:val="sdtLocked"/>
                    <w:comboBox>
                      <w:listItem w:displayText="是" w:value="true"/>
                      <w:listItem w:displayText="否" w:value="false"/>
                    </w:comboBox>
                  </w:sdtPr>
                  <w:sdtContent>
                    <w:tc>
                      <w:tcPr>
                        <w:tcW w:w="467" w:type="pct"/>
                      </w:tcPr>
                      <w:p w:rsidR="00FA292C" w:rsidRDefault="008E35C5" w:rsidP="00FA292C">
                        <w:pPr>
                          <w:rPr>
                            <w:szCs w:val="21"/>
                          </w:rPr>
                        </w:pPr>
                        <w:r>
                          <w:rPr>
                            <w:rFonts w:hint="eastAsia"/>
                            <w:szCs w:val="21"/>
                          </w:rPr>
                          <w:t>否</w:t>
                        </w:r>
                      </w:p>
                    </w:tc>
                  </w:sdtContent>
                </w:sdt>
                <w:tc>
                  <w:tcPr>
                    <w:tcW w:w="608" w:type="pct"/>
                  </w:tcPr>
                  <w:p w:rsidR="00FA292C" w:rsidRDefault="00404D9D" w:rsidP="00FA292C">
                    <w:pPr>
                      <w:jc w:val="right"/>
                      <w:rPr>
                        <w:szCs w:val="21"/>
                      </w:rPr>
                    </w:pPr>
                    <w:r>
                      <w:rPr>
                        <w:rFonts w:hint="eastAsia"/>
                        <w:szCs w:val="21"/>
                      </w:rPr>
                      <w:t>6</w:t>
                    </w:r>
                  </w:p>
                </w:tc>
                <w:tc>
                  <w:tcPr>
                    <w:tcW w:w="471" w:type="pct"/>
                  </w:tcPr>
                  <w:p w:rsidR="00FA292C" w:rsidRDefault="00A35184" w:rsidP="00FA292C">
                    <w:pPr>
                      <w:jc w:val="right"/>
                      <w:rPr>
                        <w:szCs w:val="21"/>
                      </w:rPr>
                    </w:pPr>
                    <w:r>
                      <w:rPr>
                        <w:rFonts w:hint="eastAsia"/>
                        <w:szCs w:val="21"/>
                      </w:rPr>
                      <w:t>6</w:t>
                    </w:r>
                  </w:p>
                </w:tc>
                <w:tc>
                  <w:tcPr>
                    <w:tcW w:w="535" w:type="pct"/>
                  </w:tcPr>
                  <w:p w:rsidR="00FA292C" w:rsidRDefault="00A35184" w:rsidP="00FA292C">
                    <w:pPr>
                      <w:jc w:val="right"/>
                      <w:rPr>
                        <w:szCs w:val="21"/>
                      </w:rPr>
                    </w:pPr>
                    <w:r>
                      <w:rPr>
                        <w:rFonts w:hint="eastAsia"/>
                        <w:szCs w:val="21"/>
                      </w:rPr>
                      <w:t>4</w:t>
                    </w:r>
                  </w:p>
                </w:tc>
                <w:tc>
                  <w:tcPr>
                    <w:tcW w:w="500" w:type="pct"/>
                  </w:tcPr>
                  <w:p w:rsidR="00FA292C" w:rsidRDefault="00A35184" w:rsidP="00FA292C">
                    <w:pPr>
                      <w:jc w:val="right"/>
                      <w:rPr>
                        <w:szCs w:val="21"/>
                      </w:rPr>
                    </w:pPr>
                    <w:r>
                      <w:rPr>
                        <w:rFonts w:hint="eastAsia"/>
                        <w:szCs w:val="21"/>
                      </w:rPr>
                      <w:t>0</w:t>
                    </w:r>
                  </w:p>
                </w:tc>
                <w:tc>
                  <w:tcPr>
                    <w:tcW w:w="467" w:type="pct"/>
                  </w:tcPr>
                  <w:p w:rsidR="00FA292C" w:rsidRDefault="00A35184" w:rsidP="00FA292C">
                    <w:pPr>
                      <w:jc w:val="right"/>
                      <w:rPr>
                        <w:szCs w:val="21"/>
                      </w:rPr>
                    </w:pPr>
                    <w:r>
                      <w:rPr>
                        <w:rFonts w:hint="eastAsia"/>
                        <w:szCs w:val="21"/>
                      </w:rPr>
                      <w:t>0</w:t>
                    </w:r>
                  </w:p>
                </w:tc>
                <w:sdt>
                  <w:sdtPr>
                    <w:rPr>
                      <w:rFonts w:hint="eastAsia"/>
                      <w:szCs w:val="21"/>
                    </w:rPr>
                    <w:alias w:val="董事参加董事会的出席情况明细-是否连续两次未亲自参加会议"/>
                    <w:tag w:val="_GBC_4748dc7c4f9b495f9d97d5c22a5e08e6"/>
                    <w:id w:val="354613"/>
                    <w:lock w:val="sdtLocked"/>
                    <w:comboBox>
                      <w:listItem w:displayText="是" w:value="true"/>
                      <w:listItem w:displayText="否" w:value="false"/>
                    </w:comboBox>
                  </w:sdtPr>
                  <w:sdtContent>
                    <w:tc>
                      <w:tcPr>
                        <w:tcW w:w="714" w:type="pct"/>
                      </w:tcPr>
                      <w:p w:rsidR="00FA292C" w:rsidRDefault="00A35184" w:rsidP="00FA292C">
                        <w:pPr>
                          <w:rPr>
                            <w:szCs w:val="21"/>
                          </w:rPr>
                        </w:pPr>
                        <w:r>
                          <w:rPr>
                            <w:rFonts w:hint="eastAsia"/>
                            <w:szCs w:val="21"/>
                          </w:rPr>
                          <w:t>否</w:t>
                        </w:r>
                      </w:p>
                    </w:tc>
                  </w:sdtContent>
                </w:sdt>
                <w:tc>
                  <w:tcPr>
                    <w:tcW w:w="697" w:type="pct"/>
                  </w:tcPr>
                  <w:p w:rsidR="00FA292C" w:rsidRDefault="00250287" w:rsidP="00FA292C">
                    <w:pPr>
                      <w:jc w:val="right"/>
                      <w:rPr>
                        <w:szCs w:val="21"/>
                      </w:rPr>
                    </w:pPr>
                    <w:r>
                      <w:rPr>
                        <w:rFonts w:hint="eastAsia"/>
                        <w:szCs w:val="21"/>
                      </w:rPr>
                      <w:t>2</w:t>
                    </w:r>
                  </w:p>
                </w:tc>
              </w:tr>
            </w:sdtContent>
          </w:sdt>
          <w:sdt>
            <w:sdtPr>
              <w:rPr>
                <w:rFonts w:asciiTheme="minorHAnsi" w:eastAsiaTheme="minorEastAsia" w:hAnsiTheme="minorHAnsi" w:cstheme="minorBidi" w:hint="eastAsia"/>
                <w:kern w:val="2"/>
                <w:szCs w:val="21"/>
              </w:rPr>
              <w:alias w:val="董事参加董事会的出席情况明细"/>
              <w:tag w:val="_TUP_21f02a2c29cc41bba590120cf14b9bc6"/>
              <w:id w:val="354617"/>
              <w:lock w:val="sdtLocked"/>
            </w:sdtPr>
            <w:sdtContent>
              <w:tr w:rsidR="00FA292C" w:rsidTr="004E4E4F">
                <w:trPr>
                  <w:trHeight w:val="77"/>
                </w:trPr>
                <w:tc>
                  <w:tcPr>
                    <w:tcW w:w="541" w:type="pct"/>
                  </w:tcPr>
                  <w:p w:rsidR="00FA292C" w:rsidRDefault="004E4E4F" w:rsidP="00FA292C">
                    <w:pPr>
                      <w:rPr>
                        <w:szCs w:val="21"/>
                      </w:rPr>
                    </w:pPr>
                    <w:r>
                      <w:rPr>
                        <w:rFonts w:asciiTheme="minorHAnsi" w:eastAsiaTheme="minorEastAsia" w:hAnsiTheme="minorHAnsi" w:cstheme="minorBidi" w:hint="eastAsia"/>
                        <w:kern w:val="2"/>
                        <w:szCs w:val="21"/>
                      </w:rPr>
                      <w:t>韩洪臣</w:t>
                    </w:r>
                  </w:p>
                </w:tc>
                <w:sdt>
                  <w:sdtPr>
                    <w:rPr>
                      <w:rFonts w:hint="eastAsia"/>
                      <w:szCs w:val="21"/>
                    </w:rPr>
                    <w:alias w:val="董事参加董事会的出席情况明细-是否独立董事"/>
                    <w:tag w:val="_GBC_8f65cf2d483747a58ee92c8a36ee6375"/>
                    <w:id w:val="354615"/>
                    <w:lock w:val="sdtLocked"/>
                    <w:comboBox>
                      <w:listItem w:displayText="是" w:value="true"/>
                      <w:listItem w:displayText="否" w:value="false"/>
                    </w:comboBox>
                  </w:sdtPr>
                  <w:sdtContent>
                    <w:tc>
                      <w:tcPr>
                        <w:tcW w:w="467" w:type="pct"/>
                      </w:tcPr>
                      <w:p w:rsidR="00FA292C" w:rsidRDefault="008E35C5" w:rsidP="00FA292C">
                        <w:pPr>
                          <w:rPr>
                            <w:szCs w:val="21"/>
                          </w:rPr>
                        </w:pPr>
                        <w:r>
                          <w:rPr>
                            <w:rFonts w:hint="eastAsia"/>
                            <w:szCs w:val="21"/>
                          </w:rPr>
                          <w:t>否</w:t>
                        </w:r>
                      </w:p>
                    </w:tc>
                  </w:sdtContent>
                </w:sdt>
                <w:tc>
                  <w:tcPr>
                    <w:tcW w:w="608" w:type="pct"/>
                  </w:tcPr>
                  <w:p w:rsidR="00FA292C" w:rsidRDefault="00A35184" w:rsidP="00FA292C">
                    <w:pPr>
                      <w:jc w:val="right"/>
                      <w:rPr>
                        <w:szCs w:val="21"/>
                      </w:rPr>
                    </w:pPr>
                    <w:r>
                      <w:rPr>
                        <w:rFonts w:hint="eastAsia"/>
                        <w:szCs w:val="21"/>
                      </w:rPr>
                      <w:t>6</w:t>
                    </w:r>
                  </w:p>
                </w:tc>
                <w:tc>
                  <w:tcPr>
                    <w:tcW w:w="471" w:type="pct"/>
                  </w:tcPr>
                  <w:p w:rsidR="00FA292C" w:rsidRDefault="00A35184" w:rsidP="00FA292C">
                    <w:pPr>
                      <w:jc w:val="right"/>
                      <w:rPr>
                        <w:szCs w:val="21"/>
                      </w:rPr>
                    </w:pPr>
                    <w:r>
                      <w:rPr>
                        <w:rFonts w:hint="eastAsia"/>
                        <w:szCs w:val="21"/>
                      </w:rPr>
                      <w:t>6</w:t>
                    </w:r>
                  </w:p>
                </w:tc>
                <w:tc>
                  <w:tcPr>
                    <w:tcW w:w="535" w:type="pct"/>
                  </w:tcPr>
                  <w:p w:rsidR="00FA292C" w:rsidRDefault="00A35184" w:rsidP="00FA292C">
                    <w:pPr>
                      <w:jc w:val="right"/>
                      <w:rPr>
                        <w:szCs w:val="21"/>
                      </w:rPr>
                    </w:pPr>
                    <w:r>
                      <w:rPr>
                        <w:rFonts w:hint="eastAsia"/>
                        <w:szCs w:val="21"/>
                      </w:rPr>
                      <w:t>4</w:t>
                    </w:r>
                  </w:p>
                </w:tc>
                <w:tc>
                  <w:tcPr>
                    <w:tcW w:w="500" w:type="pct"/>
                  </w:tcPr>
                  <w:p w:rsidR="00FA292C" w:rsidRDefault="00A35184" w:rsidP="00FA292C">
                    <w:pPr>
                      <w:jc w:val="right"/>
                      <w:rPr>
                        <w:szCs w:val="21"/>
                      </w:rPr>
                    </w:pPr>
                    <w:r>
                      <w:rPr>
                        <w:rFonts w:hint="eastAsia"/>
                        <w:szCs w:val="21"/>
                      </w:rPr>
                      <w:t>0</w:t>
                    </w:r>
                  </w:p>
                </w:tc>
                <w:tc>
                  <w:tcPr>
                    <w:tcW w:w="467" w:type="pct"/>
                  </w:tcPr>
                  <w:p w:rsidR="00FA292C" w:rsidRDefault="00A35184" w:rsidP="00FA292C">
                    <w:pPr>
                      <w:jc w:val="right"/>
                      <w:rPr>
                        <w:szCs w:val="21"/>
                      </w:rPr>
                    </w:pPr>
                    <w:r>
                      <w:rPr>
                        <w:rFonts w:hint="eastAsia"/>
                        <w:szCs w:val="21"/>
                      </w:rPr>
                      <w:t>0</w:t>
                    </w:r>
                  </w:p>
                </w:tc>
                <w:sdt>
                  <w:sdtPr>
                    <w:rPr>
                      <w:rFonts w:hint="eastAsia"/>
                      <w:szCs w:val="21"/>
                    </w:rPr>
                    <w:alias w:val="董事参加董事会的出席情况明细-是否连续两次未亲自参加会议"/>
                    <w:tag w:val="_GBC_4748dc7c4f9b495f9d97d5c22a5e08e6"/>
                    <w:id w:val="354616"/>
                    <w:lock w:val="sdtLocked"/>
                    <w:comboBox>
                      <w:listItem w:displayText="是" w:value="true"/>
                      <w:listItem w:displayText="否" w:value="false"/>
                    </w:comboBox>
                  </w:sdtPr>
                  <w:sdtContent>
                    <w:tc>
                      <w:tcPr>
                        <w:tcW w:w="714" w:type="pct"/>
                      </w:tcPr>
                      <w:p w:rsidR="00FA292C" w:rsidRDefault="00A35184" w:rsidP="00FA292C">
                        <w:pPr>
                          <w:rPr>
                            <w:szCs w:val="21"/>
                          </w:rPr>
                        </w:pPr>
                        <w:r>
                          <w:rPr>
                            <w:rFonts w:hint="eastAsia"/>
                            <w:szCs w:val="21"/>
                          </w:rPr>
                          <w:t>否</w:t>
                        </w:r>
                      </w:p>
                    </w:tc>
                  </w:sdtContent>
                </w:sdt>
                <w:tc>
                  <w:tcPr>
                    <w:tcW w:w="697" w:type="pct"/>
                  </w:tcPr>
                  <w:p w:rsidR="00FA292C" w:rsidRDefault="00250287" w:rsidP="00FA292C">
                    <w:pPr>
                      <w:jc w:val="right"/>
                      <w:rPr>
                        <w:szCs w:val="21"/>
                      </w:rPr>
                    </w:pPr>
                    <w:r>
                      <w:rPr>
                        <w:rFonts w:hint="eastAsia"/>
                        <w:szCs w:val="21"/>
                      </w:rPr>
                      <w:t>2</w:t>
                    </w:r>
                  </w:p>
                </w:tc>
              </w:tr>
            </w:sdtContent>
          </w:sdt>
          <w:sdt>
            <w:sdtPr>
              <w:rPr>
                <w:rFonts w:asciiTheme="minorHAnsi" w:eastAsiaTheme="minorEastAsia" w:hAnsiTheme="minorHAnsi" w:cstheme="minorBidi" w:hint="eastAsia"/>
                <w:kern w:val="2"/>
                <w:szCs w:val="21"/>
              </w:rPr>
              <w:alias w:val="董事参加董事会的出席情况明细"/>
              <w:tag w:val="_TUP_21f02a2c29cc41bba590120cf14b9bc6"/>
              <w:id w:val="354620"/>
              <w:lock w:val="sdtLocked"/>
            </w:sdtPr>
            <w:sdtContent>
              <w:tr w:rsidR="00FA292C" w:rsidTr="004E4E4F">
                <w:trPr>
                  <w:trHeight w:val="77"/>
                </w:trPr>
                <w:tc>
                  <w:tcPr>
                    <w:tcW w:w="541" w:type="pct"/>
                  </w:tcPr>
                  <w:p w:rsidR="00FA292C" w:rsidRDefault="004E4E4F" w:rsidP="00FA292C">
                    <w:pPr>
                      <w:rPr>
                        <w:szCs w:val="21"/>
                      </w:rPr>
                    </w:pPr>
                    <w:r>
                      <w:rPr>
                        <w:rFonts w:asciiTheme="minorHAnsi" w:eastAsiaTheme="minorEastAsia" w:hAnsiTheme="minorHAnsi" w:cstheme="minorBidi" w:hint="eastAsia"/>
                        <w:kern w:val="2"/>
                        <w:szCs w:val="21"/>
                      </w:rPr>
                      <w:t>齐志勇</w:t>
                    </w:r>
                  </w:p>
                </w:tc>
                <w:sdt>
                  <w:sdtPr>
                    <w:rPr>
                      <w:rFonts w:hint="eastAsia"/>
                      <w:szCs w:val="21"/>
                    </w:rPr>
                    <w:alias w:val="董事参加董事会的出席情况明细-是否独立董事"/>
                    <w:tag w:val="_GBC_8f65cf2d483747a58ee92c8a36ee6375"/>
                    <w:id w:val="354618"/>
                    <w:lock w:val="sdtLocked"/>
                    <w:comboBox>
                      <w:listItem w:displayText="是" w:value="true"/>
                      <w:listItem w:displayText="否" w:value="false"/>
                    </w:comboBox>
                  </w:sdtPr>
                  <w:sdtContent>
                    <w:tc>
                      <w:tcPr>
                        <w:tcW w:w="467" w:type="pct"/>
                      </w:tcPr>
                      <w:p w:rsidR="00FA292C" w:rsidRDefault="008E35C5" w:rsidP="00FA292C">
                        <w:pPr>
                          <w:rPr>
                            <w:szCs w:val="21"/>
                          </w:rPr>
                        </w:pPr>
                        <w:r>
                          <w:rPr>
                            <w:rFonts w:hint="eastAsia"/>
                            <w:szCs w:val="21"/>
                          </w:rPr>
                          <w:t>否</w:t>
                        </w:r>
                      </w:p>
                    </w:tc>
                  </w:sdtContent>
                </w:sdt>
                <w:tc>
                  <w:tcPr>
                    <w:tcW w:w="608" w:type="pct"/>
                  </w:tcPr>
                  <w:p w:rsidR="00FA292C" w:rsidRDefault="00A35184" w:rsidP="00FA292C">
                    <w:pPr>
                      <w:jc w:val="right"/>
                      <w:rPr>
                        <w:szCs w:val="21"/>
                      </w:rPr>
                    </w:pPr>
                    <w:r>
                      <w:rPr>
                        <w:rFonts w:hint="eastAsia"/>
                        <w:szCs w:val="21"/>
                      </w:rPr>
                      <w:t>6</w:t>
                    </w:r>
                  </w:p>
                </w:tc>
                <w:tc>
                  <w:tcPr>
                    <w:tcW w:w="471" w:type="pct"/>
                  </w:tcPr>
                  <w:p w:rsidR="00FA292C" w:rsidRDefault="00A35184" w:rsidP="00FA292C">
                    <w:pPr>
                      <w:jc w:val="right"/>
                      <w:rPr>
                        <w:szCs w:val="21"/>
                      </w:rPr>
                    </w:pPr>
                    <w:r>
                      <w:rPr>
                        <w:rFonts w:hint="eastAsia"/>
                        <w:szCs w:val="21"/>
                      </w:rPr>
                      <w:t>6</w:t>
                    </w:r>
                  </w:p>
                </w:tc>
                <w:tc>
                  <w:tcPr>
                    <w:tcW w:w="535" w:type="pct"/>
                  </w:tcPr>
                  <w:p w:rsidR="00FA292C" w:rsidRDefault="00A35184" w:rsidP="00FA292C">
                    <w:pPr>
                      <w:jc w:val="right"/>
                      <w:rPr>
                        <w:szCs w:val="21"/>
                      </w:rPr>
                    </w:pPr>
                    <w:r>
                      <w:rPr>
                        <w:rFonts w:hint="eastAsia"/>
                        <w:szCs w:val="21"/>
                      </w:rPr>
                      <w:t>4</w:t>
                    </w:r>
                  </w:p>
                </w:tc>
                <w:tc>
                  <w:tcPr>
                    <w:tcW w:w="500" w:type="pct"/>
                  </w:tcPr>
                  <w:p w:rsidR="00FA292C" w:rsidRDefault="00A35184" w:rsidP="00FA292C">
                    <w:pPr>
                      <w:jc w:val="right"/>
                      <w:rPr>
                        <w:szCs w:val="21"/>
                      </w:rPr>
                    </w:pPr>
                    <w:r>
                      <w:rPr>
                        <w:rFonts w:hint="eastAsia"/>
                        <w:szCs w:val="21"/>
                      </w:rPr>
                      <w:t>0</w:t>
                    </w:r>
                  </w:p>
                </w:tc>
                <w:tc>
                  <w:tcPr>
                    <w:tcW w:w="467" w:type="pct"/>
                  </w:tcPr>
                  <w:p w:rsidR="00FA292C" w:rsidRDefault="00A35184" w:rsidP="00FA292C">
                    <w:pPr>
                      <w:jc w:val="right"/>
                      <w:rPr>
                        <w:szCs w:val="21"/>
                      </w:rPr>
                    </w:pPr>
                    <w:r>
                      <w:rPr>
                        <w:rFonts w:hint="eastAsia"/>
                        <w:szCs w:val="21"/>
                      </w:rPr>
                      <w:t>0</w:t>
                    </w:r>
                  </w:p>
                </w:tc>
                <w:sdt>
                  <w:sdtPr>
                    <w:rPr>
                      <w:rFonts w:hint="eastAsia"/>
                      <w:szCs w:val="21"/>
                    </w:rPr>
                    <w:alias w:val="董事参加董事会的出席情况明细-是否连续两次未亲自参加会议"/>
                    <w:tag w:val="_GBC_4748dc7c4f9b495f9d97d5c22a5e08e6"/>
                    <w:id w:val="354619"/>
                    <w:lock w:val="sdtLocked"/>
                    <w:comboBox>
                      <w:listItem w:displayText="是" w:value="true"/>
                      <w:listItem w:displayText="否" w:value="false"/>
                    </w:comboBox>
                  </w:sdtPr>
                  <w:sdtContent>
                    <w:tc>
                      <w:tcPr>
                        <w:tcW w:w="714" w:type="pct"/>
                      </w:tcPr>
                      <w:p w:rsidR="00FA292C" w:rsidRDefault="00A35184" w:rsidP="00FA292C">
                        <w:pPr>
                          <w:rPr>
                            <w:szCs w:val="21"/>
                          </w:rPr>
                        </w:pPr>
                        <w:r>
                          <w:rPr>
                            <w:rFonts w:hint="eastAsia"/>
                            <w:szCs w:val="21"/>
                          </w:rPr>
                          <w:t>否</w:t>
                        </w:r>
                      </w:p>
                    </w:tc>
                  </w:sdtContent>
                </w:sdt>
                <w:tc>
                  <w:tcPr>
                    <w:tcW w:w="697" w:type="pct"/>
                  </w:tcPr>
                  <w:p w:rsidR="00FA292C" w:rsidRDefault="00250287" w:rsidP="00FA292C">
                    <w:pPr>
                      <w:jc w:val="right"/>
                      <w:rPr>
                        <w:szCs w:val="21"/>
                      </w:rPr>
                    </w:pPr>
                    <w:r>
                      <w:rPr>
                        <w:rFonts w:hint="eastAsia"/>
                        <w:szCs w:val="21"/>
                      </w:rPr>
                      <w:t>2</w:t>
                    </w:r>
                  </w:p>
                </w:tc>
              </w:tr>
            </w:sdtContent>
          </w:sdt>
          <w:sdt>
            <w:sdtPr>
              <w:rPr>
                <w:rFonts w:asciiTheme="minorHAnsi" w:eastAsiaTheme="minorEastAsia" w:hAnsiTheme="minorHAnsi" w:cstheme="minorBidi" w:hint="eastAsia"/>
                <w:kern w:val="2"/>
                <w:szCs w:val="21"/>
              </w:rPr>
              <w:alias w:val="董事参加董事会的出席情况明细"/>
              <w:tag w:val="_TUP_21f02a2c29cc41bba590120cf14b9bc6"/>
              <w:id w:val="354623"/>
              <w:lock w:val="sdtLocked"/>
            </w:sdtPr>
            <w:sdtContent>
              <w:tr w:rsidR="00FA292C" w:rsidTr="004E4E4F">
                <w:trPr>
                  <w:trHeight w:val="77"/>
                </w:trPr>
                <w:tc>
                  <w:tcPr>
                    <w:tcW w:w="541" w:type="pct"/>
                  </w:tcPr>
                  <w:p w:rsidR="00FA292C" w:rsidRDefault="004E4E4F" w:rsidP="00FA292C">
                    <w:pPr>
                      <w:rPr>
                        <w:szCs w:val="21"/>
                      </w:rPr>
                    </w:pPr>
                    <w:r>
                      <w:rPr>
                        <w:rFonts w:asciiTheme="minorHAnsi" w:eastAsiaTheme="minorEastAsia" w:hAnsiTheme="minorHAnsi" w:cstheme="minorBidi" w:hint="eastAsia"/>
                        <w:kern w:val="2"/>
                        <w:szCs w:val="21"/>
                      </w:rPr>
                      <w:t>田惠民</w:t>
                    </w:r>
                  </w:p>
                </w:tc>
                <w:sdt>
                  <w:sdtPr>
                    <w:rPr>
                      <w:rFonts w:hint="eastAsia"/>
                      <w:szCs w:val="21"/>
                    </w:rPr>
                    <w:alias w:val="董事参加董事会的出席情况明细-是否独立董事"/>
                    <w:tag w:val="_GBC_8f65cf2d483747a58ee92c8a36ee6375"/>
                    <w:id w:val="354621"/>
                    <w:lock w:val="sdtLocked"/>
                    <w:comboBox>
                      <w:listItem w:displayText="是" w:value="true"/>
                      <w:listItem w:displayText="否" w:value="false"/>
                    </w:comboBox>
                  </w:sdtPr>
                  <w:sdtContent>
                    <w:tc>
                      <w:tcPr>
                        <w:tcW w:w="467" w:type="pct"/>
                      </w:tcPr>
                      <w:p w:rsidR="00FA292C" w:rsidRDefault="008E35C5" w:rsidP="00FA292C">
                        <w:pPr>
                          <w:rPr>
                            <w:szCs w:val="21"/>
                          </w:rPr>
                        </w:pPr>
                        <w:r>
                          <w:rPr>
                            <w:rFonts w:hint="eastAsia"/>
                            <w:szCs w:val="21"/>
                          </w:rPr>
                          <w:t>否</w:t>
                        </w:r>
                      </w:p>
                    </w:tc>
                  </w:sdtContent>
                </w:sdt>
                <w:tc>
                  <w:tcPr>
                    <w:tcW w:w="608" w:type="pct"/>
                  </w:tcPr>
                  <w:p w:rsidR="00FA292C" w:rsidRDefault="00A35184" w:rsidP="00FA292C">
                    <w:pPr>
                      <w:jc w:val="right"/>
                      <w:rPr>
                        <w:szCs w:val="21"/>
                      </w:rPr>
                    </w:pPr>
                    <w:r>
                      <w:rPr>
                        <w:rFonts w:hint="eastAsia"/>
                        <w:szCs w:val="21"/>
                      </w:rPr>
                      <w:t>6</w:t>
                    </w:r>
                  </w:p>
                </w:tc>
                <w:tc>
                  <w:tcPr>
                    <w:tcW w:w="471" w:type="pct"/>
                  </w:tcPr>
                  <w:p w:rsidR="00FA292C" w:rsidRDefault="00A35184" w:rsidP="00FA292C">
                    <w:pPr>
                      <w:jc w:val="right"/>
                      <w:rPr>
                        <w:szCs w:val="21"/>
                      </w:rPr>
                    </w:pPr>
                    <w:r>
                      <w:rPr>
                        <w:rFonts w:hint="eastAsia"/>
                        <w:szCs w:val="21"/>
                      </w:rPr>
                      <w:t>6</w:t>
                    </w:r>
                  </w:p>
                </w:tc>
                <w:tc>
                  <w:tcPr>
                    <w:tcW w:w="535" w:type="pct"/>
                  </w:tcPr>
                  <w:p w:rsidR="00FA292C" w:rsidRDefault="00A35184" w:rsidP="00FA292C">
                    <w:pPr>
                      <w:jc w:val="right"/>
                      <w:rPr>
                        <w:szCs w:val="21"/>
                      </w:rPr>
                    </w:pPr>
                    <w:r>
                      <w:rPr>
                        <w:rFonts w:hint="eastAsia"/>
                        <w:szCs w:val="21"/>
                      </w:rPr>
                      <w:t>4</w:t>
                    </w:r>
                  </w:p>
                </w:tc>
                <w:tc>
                  <w:tcPr>
                    <w:tcW w:w="500" w:type="pct"/>
                  </w:tcPr>
                  <w:p w:rsidR="00FA292C" w:rsidRDefault="00A35184" w:rsidP="00FA292C">
                    <w:pPr>
                      <w:jc w:val="right"/>
                      <w:rPr>
                        <w:szCs w:val="21"/>
                      </w:rPr>
                    </w:pPr>
                    <w:r>
                      <w:rPr>
                        <w:rFonts w:hint="eastAsia"/>
                        <w:szCs w:val="21"/>
                      </w:rPr>
                      <w:t>0</w:t>
                    </w:r>
                  </w:p>
                </w:tc>
                <w:tc>
                  <w:tcPr>
                    <w:tcW w:w="467" w:type="pct"/>
                  </w:tcPr>
                  <w:p w:rsidR="00FA292C" w:rsidRDefault="00A35184" w:rsidP="00FA292C">
                    <w:pPr>
                      <w:jc w:val="right"/>
                      <w:rPr>
                        <w:szCs w:val="21"/>
                      </w:rPr>
                    </w:pPr>
                    <w:r>
                      <w:rPr>
                        <w:rFonts w:hint="eastAsia"/>
                        <w:szCs w:val="21"/>
                      </w:rPr>
                      <w:t>0</w:t>
                    </w:r>
                  </w:p>
                </w:tc>
                <w:sdt>
                  <w:sdtPr>
                    <w:rPr>
                      <w:rFonts w:hint="eastAsia"/>
                      <w:szCs w:val="21"/>
                    </w:rPr>
                    <w:alias w:val="董事参加董事会的出席情况明细-是否连续两次未亲自参加会议"/>
                    <w:tag w:val="_GBC_4748dc7c4f9b495f9d97d5c22a5e08e6"/>
                    <w:id w:val="354622"/>
                    <w:lock w:val="sdtLocked"/>
                    <w:comboBox>
                      <w:listItem w:displayText="是" w:value="true"/>
                      <w:listItem w:displayText="否" w:value="false"/>
                    </w:comboBox>
                  </w:sdtPr>
                  <w:sdtContent>
                    <w:tc>
                      <w:tcPr>
                        <w:tcW w:w="714" w:type="pct"/>
                      </w:tcPr>
                      <w:p w:rsidR="00FA292C" w:rsidRDefault="00A35184" w:rsidP="00FA292C">
                        <w:pPr>
                          <w:rPr>
                            <w:szCs w:val="21"/>
                          </w:rPr>
                        </w:pPr>
                        <w:r>
                          <w:rPr>
                            <w:rFonts w:hint="eastAsia"/>
                            <w:szCs w:val="21"/>
                          </w:rPr>
                          <w:t>否</w:t>
                        </w:r>
                      </w:p>
                    </w:tc>
                  </w:sdtContent>
                </w:sdt>
                <w:tc>
                  <w:tcPr>
                    <w:tcW w:w="697" w:type="pct"/>
                  </w:tcPr>
                  <w:p w:rsidR="00FA292C" w:rsidRDefault="00250287" w:rsidP="00FA292C">
                    <w:pPr>
                      <w:jc w:val="right"/>
                      <w:rPr>
                        <w:szCs w:val="21"/>
                      </w:rPr>
                    </w:pPr>
                    <w:r>
                      <w:rPr>
                        <w:rFonts w:hint="eastAsia"/>
                        <w:szCs w:val="21"/>
                      </w:rPr>
                      <w:t>2</w:t>
                    </w:r>
                  </w:p>
                </w:tc>
              </w:tr>
            </w:sdtContent>
          </w:sdt>
          <w:sdt>
            <w:sdtPr>
              <w:rPr>
                <w:rFonts w:asciiTheme="minorHAnsi" w:eastAsiaTheme="minorEastAsia" w:hAnsiTheme="minorHAnsi" w:cstheme="minorBidi" w:hint="eastAsia"/>
                <w:kern w:val="2"/>
                <w:szCs w:val="21"/>
              </w:rPr>
              <w:alias w:val="董事参加董事会的出席情况明细"/>
              <w:tag w:val="_TUP_21f02a2c29cc41bba590120cf14b9bc6"/>
              <w:id w:val="354626"/>
              <w:lock w:val="sdtLocked"/>
            </w:sdtPr>
            <w:sdtContent>
              <w:tr w:rsidR="00FA292C" w:rsidTr="004E4E4F">
                <w:trPr>
                  <w:trHeight w:val="77"/>
                </w:trPr>
                <w:tc>
                  <w:tcPr>
                    <w:tcW w:w="541" w:type="pct"/>
                  </w:tcPr>
                  <w:p w:rsidR="00FA292C" w:rsidRDefault="004E4E4F" w:rsidP="00FA292C">
                    <w:pPr>
                      <w:rPr>
                        <w:szCs w:val="21"/>
                      </w:rPr>
                    </w:pPr>
                    <w:r>
                      <w:rPr>
                        <w:rFonts w:asciiTheme="minorHAnsi" w:eastAsiaTheme="minorEastAsia" w:hAnsiTheme="minorHAnsi" w:cstheme="minorBidi" w:hint="eastAsia"/>
                        <w:kern w:val="2"/>
                        <w:szCs w:val="21"/>
                      </w:rPr>
                      <w:t>张利荣</w:t>
                    </w:r>
                  </w:p>
                </w:tc>
                <w:sdt>
                  <w:sdtPr>
                    <w:rPr>
                      <w:rFonts w:hint="eastAsia"/>
                      <w:szCs w:val="21"/>
                    </w:rPr>
                    <w:alias w:val="董事参加董事会的出席情况明细-是否独立董事"/>
                    <w:tag w:val="_GBC_8f65cf2d483747a58ee92c8a36ee6375"/>
                    <w:id w:val="354624"/>
                    <w:lock w:val="sdtLocked"/>
                    <w:comboBox>
                      <w:listItem w:displayText="是" w:value="true"/>
                      <w:listItem w:displayText="否" w:value="false"/>
                    </w:comboBox>
                  </w:sdtPr>
                  <w:sdtContent>
                    <w:tc>
                      <w:tcPr>
                        <w:tcW w:w="467" w:type="pct"/>
                      </w:tcPr>
                      <w:p w:rsidR="00FA292C" w:rsidRDefault="008E35C5" w:rsidP="00FA292C">
                        <w:pPr>
                          <w:rPr>
                            <w:szCs w:val="21"/>
                          </w:rPr>
                        </w:pPr>
                        <w:r>
                          <w:rPr>
                            <w:rFonts w:hint="eastAsia"/>
                            <w:szCs w:val="21"/>
                          </w:rPr>
                          <w:t>否</w:t>
                        </w:r>
                      </w:p>
                    </w:tc>
                  </w:sdtContent>
                </w:sdt>
                <w:tc>
                  <w:tcPr>
                    <w:tcW w:w="608" w:type="pct"/>
                  </w:tcPr>
                  <w:p w:rsidR="00FA292C" w:rsidRDefault="00A35184" w:rsidP="00FA292C">
                    <w:pPr>
                      <w:jc w:val="right"/>
                      <w:rPr>
                        <w:szCs w:val="21"/>
                      </w:rPr>
                    </w:pPr>
                    <w:r>
                      <w:rPr>
                        <w:rFonts w:hint="eastAsia"/>
                        <w:szCs w:val="21"/>
                      </w:rPr>
                      <w:t>6</w:t>
                    </w:r>
                  </w:p>
                </w:tc>
                <w:tc>
                  <w:tcPr>
                    <w:tcW w:w="471" w:type="pct"/>
                  </w:tcPr>
                  <w:p w:rsidR="00FA292C" w:rsidRDefault="00A35184" w:rsidP="00FA292C">
                    <w:pPr>
                      <w:jc w:val="right"/>
                      <w:rPr>
                        <w:szCs w:val="21"/>
                      </w:rPr>
                    </w:pPr>
                    <w:r>
                      <w:rPr>
                        <w:rFonts w:hint="eastAsia"/>
                        <w:szCs w:val="21"/>
                      </w:rPr>
                      <w:t>6</w:t>
                    </w:r>
                  </w:p>
                </w:tc>
                <w:tc>
                  <w:tcPr>
                    <w:tcW w:w="535" w:type="pct"/>
                  </w:tcPr>
                  <w:p w:rsidR="00FA292C" w:rsidRDefault="00A35184" w:rsidP="00FA292C">
                    <w:pPr>
                      <w:jc w:val="right"/>
                      <w:rPr>
                        <w:szCs w:val="21"/>
                      </w:rPr>
                    </w:pPr>
                    <w:r>
                      <w:rPr>
                        <w:rFonts w:hint="eastAsia"/>
                        <w:szCs w:val="21"/>
                      </w:rPr>
                      <w:t>4</w:t>
                    </w:r>
                  </w:p>
                </w:tc>
                <w:tc>
                  <w:tcPr>
                    <w:tcW w:w="500" w:type="pct"/>
                  </w:tcPr>
                  <w:p w:rsidR="00FA292C" w:rsidRDefault="00A35184" w:rsidP="00FA292C">
                    <w:pPr>
                      <w:jc w:val="right"/>
                      <w:rPr>
                        <w:szCs w:val="21"/>
                      </w:rPr>
                    </w:pPr>
                    <w:r>
                      <w:rPr>
                        <w:rFonts w:hint="eastAsia"/>
                        <w:szCs w:val="21"/>
                      </w:rPr>
                      <w:t>0</w:t>
                    </w:r>
                  </w:p>
                </w:tc>
                <w:tc>
                  <w:tcPr>
                    <w:tcW w:w="467" w:type="pct"/>
                  </w:tcPr>
                  <w:p w:rsidR="00FA292C" w:rsidRDefault="00A35184" w:rsidP="00FA292C">
                    <w:pPr>
                      <w:jc w:val="right"/>
                      <w:rPr>
                        <w:szCs w:val="21"/>
                      </w:rPr>
                    </w:pPr>
                    <w:r>
                      <w:rPr>
                        <w:rFonts w:hint="eastAsia"/>
                        <w:szCs w:val="21"/>
                      </w:rPr>
                      <w:t>0</w:t>
                    </w:r>
                  </w:p>
                </w:tc>
                <w:sdt>
                  <w:sdtPr>
                    <w:rPr>
                      <w:rFonts w:hint="eastAsia"/>
                      <w:szCs w:val="21"/>
                    </w:rPr>
                    <w:alias w:val="董事参加董事会的出席情况明细-是否连续两次未亲自参加会议"/>
                    <w:tag w:val="_GBC_4748dc7c4f9b495f9d97d5c22a5e08e6"/>
                    <w:id w:val="354625"/>
                    <w:lock w:val="sdtLocked"/>
                    <w:comboBox>
                      <w:listItem w:displayText="是" w:value="true"/>
                      <w:listItem w:displayText="否" w:value="false"/>
                    </w:comboBox>
                  </w:sdtPr>
                  <w:sdtContent>
                    <w:tc>
                      <w:tcPr>
                        <w:tcW w:w="714" w:type="pct"/>
                      </w:tcPr>
                      <w:p w:rsidR="00FA292C" w:rsidRDefault="00A35184" w:rsidP="00FA292C">
                        <w:pPr>
                          <w:rPr>
                            <w:szCs w:val="21"/>
                          </w:rPr>
                        </w:pPr>
                        <w:r>
                          <w:rPr>
                            <w:rFonts w:hint="eastAsia"/>
                            <w:szCs w:val="21"/>
                          </w:rPr>
                          <w:t>否</w:t>
                        </w:r>
                      </w:p>
                    </w:tc>
                  </w:sdtContent>
                </w:sdt>
                <w:tc>
                  <w:tcPr>
                    <w:tcW w:w="697" w:type="pct"/>
                  </w:tcPr>
                  <w:p w:rsidR="00FA292C" w:rsidRDefault="00250287" w:rsidP="00FA292C">
                    <w:pPr>
                      <w:jc w:val="right"/>
                      <w:rPr>
                        <w:szCs w:val="21"/>
                      </w:rPr>
                    </w:pPr>
                    <w:r>
                      <w:rPr>
                        <w:rFonts w:hint="eastAsia"/>
                        <w:szCs w:val="21"/>
                      </w:rPr>
                      <w:t>2</w:t>
                    </w:r>
                  </w:p>
                </w:tc>
              </w:tr>
            </w:sdtContent>
          </w:sdt>
          <w:sdt>
            <w:sdtPr>
              <w:rPr>
                <w:rFonts w:asciiTheme="minorHAnsi" w:eastAsiaTheme="minorEastAsia" w:hAnsiTheme="minorHAnsi" w:cstheme="minorBidi" w:hint="eastAsia"/>
                <w:kern w:val="2"/>
                <w:szCs w:val="21"/>
              </w:rPr>
              <w:alias w:val="董事参加董事会的出席情况明细"/>
              <w:tag w:val="_TUP_21f02a2c29cc41bba590120cf14b9bc6"/>
              <w:id w:val="354629"/>
              <w:lock w:val="sdtLocked"/>
            </w:sdtPr>
            <w:sdtContent>
              <w:tr w:rsidR="00FA292C" w:rsidTr="004E4E4F">
                <w:trPr>
                  <w:trHeight w:val="77"/>
                </w:trPr>
                <w:tc>
                  <w:tcPr>
                    <w:tcW w:w="541" w:type="pct"/>
                  </w:tcPr>
                  <w:p w:rsidR="00FA292C" w:rsidRDefault="004E4E4F" w:rsidP="00FA292C">
                    <w:pPr>
                      <w:rPr>
                        <w:szCs w:val="21"/>
                      </w:rPr>
                    </w:pPr>
                    <w:r>
                      <w:rPr>
                        <w:rFonts w:asciiTheme="minorHAnsi" w:eastAsiaTheme="minorEastAsia" w:hAnsiTheme="minorHAnsi" w:cstheme="minorBidi" w:hint="eastAsia"/>
                        <w:kern w:val="2"/>
                        <w:szCs w:val="21"/>
                      </w:rPr>
                      <w:t>杨文胜</w:t>
                    </w:r>
                  </w:p>
                </w:tc>
                <w:sdt>
                  <w:sdtPr>
                    <w:rPr>
                      <w:rFonts w:hint="eastAsia"/>
                      <w:szCs w:val="21"/>
                    </w:rPr>
                    <w:alias w:val="董事参加董事会的出席情况明细-是否独立董事"/>
                    <w:tag w:val="_GBC_8f65cf2d483747a58ee92c8a36ee6375"/>
                    <w:id w:val="354627"/>
                    <w:lock w:val="sdtLocked"/>
                    <w:comboBox>
                      <w:listItem w:displayText="是" w:value="true"/>
                      <w:listItem w:displayText="否" w:value="false"/>
                    </w:comboBox>
                  </w:sdtPr>
                  <w:sdtContent>
                    <w:tc>
                      <w:tcPr>
                        <w:tcW w:w="467" w:type="pct"/>
                      </w:tcPr>
                      <w:p w:rsidR="00FA292C" w:rsidRDefault="008E35C5" w:rsidP="00FA292C">
                        <w:pPr>
                          <w:rPr>
                            <w:szCs w:val="21"/>
                          </w:rPr>
                        </w:pPr>
                        <w:r>
                          <w:rPr>
                            <w:rFonts w:hint="eastAsia"/>
                            <w:szCs w:val="21"/>
                          </w:rPr>
                          <w:t>否</w:t>
                        </w:r>
                      </w:p>
                    </w:tc>
                  </w:sdtContent>
                </w:sdt>
                <w:tc>
                  <w:tcPr>
                    <w:tcW w:w="608" w:type="pct"/>
                  </w:tcPr>
                  <w:p w:rsidR="00FA292C" w:rsidRDefault="005C53E4" w:rsidP="00FA292C">
                    <w:pPr>
                      <w:jc w:val="right"/>
                      <w:rPr>
                        <w:szCs w:val="21"/>
                      </w:rPr>
                    </w:pPr>
                    <w:r>
                      <w:rPr>
                        <w:rFonts w:hint="eastAsia"/>
                        <w:szCs w:val="21"/>
                      </w:rPr>
                      <w:t>6</w:t>
                    </w:r>
                  </w:p>
                </w:tc>
                <w:tc>
                  <w:tcPr>
                    <w:tcW w:w="471" w:type="pct"/>
                  </w:tcPr>
                  <w:p w:rsidR="00FA292C" w:rsidRDefault="005C53E4" w:rsidP="00FA292C">
                    <w:pPr>
                      <w:jc w:val="right"/>
                      <w:rPr>
                        <w:szCs w:val="21"/>
                      </w:rPr>
                    </w:pPr>
                    <w:r>
                      <w:rPr>
                        <w:rFonts w:hint="eastAsia"/>
                        <w:szCs w:val="21"/>
                      </w:rPr>
                      <w:t>6</w:t>
                    </w:r>
                  </w:p>
                </w:tc>
                <w:tc>
                  <w:tcPr>
                    <w:tcW w:w="535" w:type="pct"/>
                  </w:tcPr>
                  <w:p w:rsidR="00FA292C" w:rsidRDefault="005C53E4" w:rsidP="00FA292C">
                    <w:pPr>
                      <w:jc w:val="right"/>
                      <w:rPr>
                        <w:szCs w:val="21"/>
                      </w:rPr>
                    </w:pPr>
                    <w:r>
                      <w:rPr>
                        <w:rFonts w:hint="eastAsia"/>
                        <w:szCs w:val="21"/>
                      </w:rPr>
                      <w:t>6</w:t>
                    </w:r>
                  </w:p>
                </w:tc>
                <w:tc>
                  <w:tcPr>
                    <w:tcW w:w="500" w:type="pct"/>
                  </w:tcPr>
                  <w:p w:rsidR="00FA292C" w:rsidRDefault="005C53E4" w:rsidP="00FA292C">
                    <w:pPr>
                      <w:jc w:val="right"/>
                      <w:rPr>
                        <w:szCs w:val="21"/>
                      </w:rPr>
                    </w:pPr>
                    <w:r>
                      <w:rPr>
                        <w:rFonts w:hint="eastAsia"/>
                        <w:szCs w:val="21"/>
                      </w:rPr>
                      <w:t>0</w:t>
                    </w:r>
                  </w:p>
                </w:tc>
                <w:tc>
                  <w:tcPr>
                    <w:tcW w:w="467" w:type="pct"/>
                  </w:tcPr>
                  <w:p w:rsidR="00FA292C" w:rsidRDefault="005C53E4" w:rsidP="00FA292C">
                    <w:pPr>
                      <w:jc w:val="right"/>
                      <w:rPr>
                        <w:szCs w:val="21"/>
                      </w:rPr>
                    </w:pPr>
                    <w:r>
                      <w:rPr>
                        <w:rFonts w:hint="eastAsia"/>
                        <w:szCs w:val="21"/>
                      </w:rPr>
                      <w:t>0</w:t>
                    </w:r>
                  </w:p>
                </w:tc>
                <w:sdt>
                  <w:sdtPr>
                    <w:rPr>
                      <w:rFonts w:hint="eastAsia"/>
                      <w:szCs w:val="21"/>
                    </w:rPr>
                    <w:alias w:val="董事参加董事会的出席情况明细-是否连续两次未亲自参加会议"/>
                    <w:tag w:val="_GBC_4748dc7c4f9b495f9d97d5c22a5e08e6"/>
                    <w:id w:val="354628"/>
                    <w:lock w:val="sdtLocked"/>
                    <w:comboBox>
                      <w:listItem w:displayText="是" w:value="true"/>
                      <w:listItem w:displayText="否" w:value="false"/>
                    </w:comboBox>
                  </w:sdtPr>
                  <w:sdtContent>
                    <w:tc>
                      <w:tcPr>
                        <w:tcW w:w="714" w:type="pct"/>
                      </w:tcPr>
                      <w:p w:rsidR="00FA292C" w:rsidRDefault="005C53E4" w:rsidP="00FA292C">
                        <w:pPr>
                          <w:rPr>
                            <w:szCs w:val="21"/>
                          </w:rPr>
                        </w:pPr>
                        <w:r>
                          <w:rPr>
                            <w:rFonts w:hint="eastAsia"/>
                            <w:szCs w:val="21"/>
                          </w:rPr>
                          <w:t>否</w:t>
                        </w:r>
                      </w:p>
                    </w:tc>
                  </w:sdtContent>
                </w:sdt>
                <w:tc>
                  <w:tcPr>
                    <w:tcW w:w="697" w:type="pct"/>
                  </w:tcPr>
                  <w:p w:rsidR="00FA292C" w:rsidRDefault="00250287" w:rsidP="00FA292C">
                    <w:pPr>
                      <w:jc w:val="right"/>
                      <w:rPr>
                        <w:szCs w:val="21"/>
                      </w:rPr>
                    </w:pPr>
                    <w:r>
                      <w:rPr>
                        <w:rFonts w:hint="eastAsia"/>
                        <w:szCs w:val="21"/>
                      </w:rPr>
                      <w:t>2</w:t>
                    </w:r>
                  </w:p>
                </w:tc>
              </w:tr>
            </w:sdtContent>
          </w:sdt>
          <w:sdt>
            <w:sdtPr>
              <w:rPr>
                <w:rFonts w:asciiTheme="minorHAnsi" w:eastAsiaTheme="minorEastAsia" w:hAnsiTheme="minorHAnsi" w:cstheme="minorBidi" w:hint="eastAsia"/>
                <w:kern w:val="2"/>
                <w:szCs w:val="21"/>
              </w:rPr>
              <w:alias w:val="董事参加董事会的出席情况明细"/>
              <w:tag w:val="_TUP_21f02a2c29cc41bba590120cf14b9bc6"/>
              <w:id w:val="354632"/>
              <w:lock w:val="sdtLocked"/>
            </w:sdtPr>
            <w:sdtContent>
              <w:tr w:rsidR="00FA292C" w:rsidTr="004E4E4F">
                <w:trPr>
                  <w:trHeight w:val="77"/>
                </w:trPr>
                <w:tc>
                  <w:tcPr>
                    <w:tcW w:w="541" w:type="pct"/>
                  </w:tcPr>
                  <w:p w:rsidR="00FA292C" w:rsidRDefault="004E4E4F" w:rsidP="00FA292C">
                    <w:pPr>
                      <w:rPr>
                        <w:szCs w:val="21"/>
                      </w:rPr>
                    </w:pPr>
                    <w:r>
                      <w:rPr>
                        <w:rFonts w:asciiTheme="minorHAnsi" w:eastAsiaTheme="minorEastAsia" w:hAnsiTheme="minorHAnsi" w:cstheme="minorBidi" w:hint="eastAsia"/>
                        <w:kern w:val="2"/>
                        <w:szCs w:val="21"/>
                      </w:rPr>
                      <w:t>陈磊</w:t>
                    </w:r>
                  </w:p>
                </w:tc>
                <w:sdt>
                  <w:sdtPr>
                    <w:rPr>
                      <w:rFonts w:hint="eastAsia"/>
                      <w:szCs w:val="21"/>
                    </w:rPr>
                    <w:alias w:val="董事参加董事会的出席情况明细-是否独立董事"/>
                    <w:tag w:val="_GBC_8f65cf2d483747a58ee92c8a36ee6375"/>
                    <w:id w:val="354630"/>
                    <w:lock w:val="sdtLocked"/>
                    <w:comboBox>
                      <w:listItem w:displayText="是" w:value="true"/>
                      <w:listItem w:displayText="否" w:value="false"/>
                    </w:comboBox>
                  </w:sdtPr>
                  <w:sdtContent>
                    <w:tc>
                      <w:tcPr>
                        <w:tcW w:w="467" w:type="pct"/>
                      </w:tcPr>
                      <w:p w:rsidR="00FA292C" w:rsidRDefault="008E35C5" w:rsidP="00FA292C">
                        <w:pPr>
                          <w:rPr>
                            <w:szCs w:val="21"/>
                          </w:rPr>
                        </w:pPr>
                        <w:r>
                          <w:rPr>
                            <w:rFonts w:hint="eastAsia"/>
                            <w:szCs w:val="21"/>
                          </w:rPr>
                          <w:t>是</w:t>
                        </w:r>
                      </w:p>
                    </w:tc>
                  </w:sdtContent>
                </w:sdt>
                <w:tc>
                  <w:tcPr>
                    <w:tcW w:w="608" w:type="pct"/>
                  </w:tcPr>
                  <w:p w:rsidR="00FA292C" w:rsidRDefault="005C53E4" w:rsidP="00FA292C">
                    <w:pPr>
                      <w:jc w:val="right"/>
                      <w:rPr>
                        <w:szCs w:val="21"/>
                      </w:rPr>
                    </w:pPr>
                    <w:r>
                      <w:rPr>
                        <w:rFonts w:hint="eastAsia"/>
                        <w:szCs w:val="21"/>
                      </w:rPr>
                      <w:t>6</w:t>
                    </w:r>
                  </w:p>
                </w:tc>
                <w:tc>
                  <w:tcPr>
                    <w:tcW w:w="471" w:type="pct"/>
                  </w:tcPr>
                  <w:p w:rsidR="00FA292C" w:rsidRDefault="005C53E4" w:rsidP="00FA292C">
                    <w:pPr>
                      <w:jc w:val="right"/>
                      <w:rPr>
                        <w:szCs w:val="21"/>
                      </w:rPr>
                    </w:pPr>
                    <w:r>
                      <w:rPr>
                        <w:rFonts w:hint="eastAsia"/>
                        <w:szCs w:val="21"/>
                      </w:rPr>
                      <w:t>6</w:t>
                    </w:r>
                  </w:p>
                </w:tc>
                <w:tc>
                  <w:tcPr>
                    <w:tcW w:w="535" w:type="pct"/>
                  </w:tcPr>
                  <w:p w:rsidR="00FA292C" w:rsidRDefault="005C53E4" w:rsidP="00FA292C">
                    <w:pPr>
                      <w:jc w:val="right"/>
                      <w:rPr>
                        <w:szCs w:val="21"/>
                      </w:rPr>
                    </w:pPr>
                    <w:r>
                      <w:rPr>
                        <w:rFonts w:hint="eastAsia"/>
                        <w:szCs w:val="21"/>
                      </w:rPr>
                      <w:t>6</w:t>
                    </w:r>
                  </w:p>
                </w:tc>
                <w:tc>
                  <w:tcPr>
                    <w:tcW w:w="500" w:type="pct"/>
                  </w:tcPr>
                  <w:p w:rsidR="00FA292C" w:rsidRDefault="005C53E4" w:rsidP="00FA292C">
                    <w:pPr>
                      <w:jc w:val="right"/>
                      <w:rPr>
                        <w:szCs w:val="21"/>
                      </w:rPr>
                    </w:pPr>
                    <w:r>
                      <w:rPr>
                        <w:rFonts w:hint="eastAsia"/>
                        <w:szCs w:val="21"/>
                      </w:rPr>
                      <w:t>0</w:t>
                    </w:r>
                  </w:p>
                </w:tc>
                <w:tc>
                  <w:tcPr>
                    <w:tcW w:w="467" w:type="pct"/>
                  </w:tcPr>
                  <w:p w:rsidR="00FA292C" w:rsidRDefault="005C53E4" w:rsidP="00FA292C">
                    <w:pPr>
                      <w:jc w:val="right"/>
                      <w:rPr>
                        <w:szCs w:val="21"/>
                      </w:rPr>
                    </w:pPr>
                    <w:r>
                      <w:rPr>
                        <w:rFonts w:hint="eastAsia"/>
                        <w:szCs w:val="21"/>
                      </w:rPr>
                      <w:t>0</w:t>
                    </w:r>
                  </w:p>
                </w:tc>
                <w:sdt>
                  <w:sdtPr>
                    <w:rPr>
                      <w:rFonts w:hint="eastAsia"/>
                      <w:szCs w:val="21"/>
                    </w:rPr>
                    <w:alias w:val="董事参加董事会的出席情况明细-是否连续两次未亲自参加会议"/>
                    <w:tag w:val="_GBC_4748dc7c4f9b495f9d97d5c22a5e08e6"/>
                    <w:id w:val="354631"/>
                    <w:lock w:val="sdtLocked"/>
                    <w:comboBox>
                      <w:listItem w:displayText="是" w:value="true"/>
                      <w:listItem w:displayText="否" w:value="false"/>
                    </w:comboBox>
                  </w:sdtPr>
                  <w:sdtContent>
                    <w:tc>
                      <w:tcPr>
                        <w:tcW w:w="714" w:type="pct"/>
                      </w:tcPr>
                      <w:p w:rsidR="00FA292C" w:rsidRDefault="005C53E4" w:rsidP="00FA292C">
                        <w:pPr>
                          <w:rPr>
                            <w:szCs w:val="21"/>
                          </w:rPr>
                        </w:pPr>
                        <w:r>
                          <w:rPr>
                            <w:rFonts w:hint="eastAsia"/>
                            <w:szCs w:val="21"/>
                          </w:rPr>
                          <w:t>否</w:t>
                        </w:r>
                      </w:p>
                    </w:tc>
                  </w:sdtContent>
                </w:sdt>
                <w:tc>
                  <w:tcPr>
                    <w:tcW w:w="697" w:type="pct"/>
                  </w:tcPr>
                  <w:p w:rsidR="00FA292C" w:rsidRDefault="00250287" w:rsidP="00FA292C">
                    <w:pPr>
                      <w:jc w:val="right"/>
                      <w:rPr>
                        <w:szCs w:val="21"/>
                      </w:rPr>
                    </w:pPr>
                    <w:r>
                      <w:rPr>
                        <w:rFonts w:hint="eastAsia"/>
                        <w:szCs w:val="21"/>
                      </w:rPr>
                      <w:t>2</w:t>
                    </w:r>
                  </w:p>
                </w:tc>
              </w:tr>
            </w:sdtContent>
          </w:sdt>
          <w:sdt>
            <w:sdtPr>
              <w:rPr>
                <w:rFonts w:asciiTheme="minorHAnsi" w:eastAsiaTheme="minorEastAsia" w:hAnsiTheme="minorHAnsi" w:cstheme="minorBidi" w:hint="eastAsia"/>
                <w:kern w:val="2"/>
                <w:szCs w:val="21"/>
              </w:rPr>
              <w:alias w:val="董事参加董事会的出席情况明细"/>
              <w:tag w:val="_TUP_21f02a2c29cc41bba590120cf14b9bc6"/>
              <w:id w:val="354635"/>
              <w:lock w:val="sdtLocked"/>
            </w:sdtPr>
            <w:sdtContent>
              <w:tr w:rsidR="00FA292C" w:rsidTr="004E4E4F">
                <w:trPr>
                  <w:trHeight w:val="77"/>
                </w:trPr>
                <w:tc>
                  <w:tcPr>
                    <w:tcW w:w="541" w:type="pct"/>
                  </w:tcPr>
                  <w:p w:rsidR="00FA292C" w:rsidRDefault="004E4E4F" w:rsidP="00FA292C">
                    <w:pPr>
                      <w:rPr>
                        <w:szCs w:val="21"/>
                      </w:rPr>
                    </w:pPr>
                    <w:r>
                      <w:rPr>
                        <w:rFonts w:asciiTheme="minorHAnsi" w:eastAsiaTheme="minorEastAsia" w:hAnsiTheme="minorHAnsi" w:cstheme="minorBidi" w:hint="eastAsia"/>
                        <w:kern w:val="2"/>
                        <w:szCs w:val="21"/>
                      </w:rPr>
                      <w:t>郝生跃</w:t>
                    </w:r>
                  </w:p>
                </w:tc>
                <w:sdt>
                  <w:sdtPr>
                    <w:rPr>
                      <w:rFonts w:hint="eastAsia"/>
                      <w:szCs w:val="21"/>
                    </w:rPr>
                    <w:alias w:val="董事参加董事会的出席情况明细-是否独立董事"/>
                    <w:tag w:val="_GBC_8f65cf2d483747a58ee92c8a36ee6375"/>
                    <w:id w:val="354633"/>
                    <w:lock w:val="sdtLocked"/>
                    <w:comboBox>
                      <w:listItem w:displayText="是" w:value="true"/>
                      <w:listItem w:displayText="否" w:value="false"/>
                    </w:comboBox>
                  </w:sdtPr>
                  <w:sdtContent>
                    <w:tc>
                      <w:tcPr>
                        <w:tcW w:w="467" w:type="pct"/>
                      </w:tcPr>
                      <w:p w:rsidR="00FA292C" w:rsidRDefault="008E35C5" w:rsidP="00FA292C">
                        <w:pPr>
                          <w:rPr>
                            <w:szCs w:val="21"/>
                          </w:rPr>
                        </w:pPr>
                        <w:r>
                          <w:rPr>
                            <w:rFonts w:hint="eastAsia"/>
                            <w:szCs w:val="21"/>
                          </w:rPr>
                          <w:t>是</w:t>
                        </w:r>
                      </w:p>
                    </w:tc>
                  </w:sdtContent>
                </w:sdt>
                <w:tc>
                  <w:tcPr>
                    <w:tcW w:w="608" w:type="pct"/>
                  </w:tcPr>
                  <w:p w:rsidR="00FA292C" w:rsidRDefault="005C53E4" w:rsidP="00FA292C">
                    <w:pPr>
                      <w:jc w:val="right"/>
                      <w:rPr>
                        <w:szCs w:val="21"/>
                      </w:rPr>
                    </w:pPr>
                    <w:r>
                      <w:rPr>
                        <w:rFonts w:hint="eastAsia"/>
                        <w:szCs w:val="21"/>
                      </w:rPr>
                      <w:t>6</w:t>
                    </w:r>
                  </w:p>
                </w:tc>
                <w:tc>
                  <w:tcPr>
                    <w:tcW w:w="471" w:type="pct"/>
                  </w:tcPr>
                  <w:p w:rsidR="00FA292C" w:rsidRDefault="005C53E4" w:rsidP="00FA292C">
                    <w:pPr>
                      <w:jc w:val="right"/>
                      <w:rPr>
                        <w:szCs w:val="21"/>
                      </w:rPr>
                    </w:pPr>
                    <w:r>
                      <w:rPr>
                        <w:rFonts w:hint="eastAsia"/>
                        <w:szCs w:val="21"/>
                      </w:rPr>
                      <w:t>6</w:t>
                    </w:r>
                  </w:p>
                </w:tc>
                <w:tc>
                  <w:tcPr>
                    <w:tcW w:w="535" w:type="pct"/>
                  </w:tcPr>
                  <w:p w:rsidR="00FA292C" w:rsidRDefault="005C53E4" w:rsidP="00FA292C">
                    <w:pPr>
                      <w:jc w:val="right"/>
                      <w:rPr>
                        <w:szCs w:val="21"/>
                      </w:rPr>
                    </w:pPr>
                    <w:r>
                      <w:rPr>
                        <w:rFonts w:hint="eastAsia"/>
                        <w:szCs w:val="21"/>
                      </w:rPr>
                      <w:t>6</w:t>
                    </w:r>
                  </w:p>
                </w:tc>
                <w:tc>
                  <w:tcPr>
                    <w:tcW w:w="500" w:type="pct"/>
                  </w:tcPr>
                  <w:p w:rsidR="00FA292C" w:rsidRDefault="005C53E4" w:rsidP="00FA292C">
                    <w:pPr>
                      <w:jc w:val="right"/>
                      <w:rPr>
                        <w:szCs w:val="21"/>
                      </w:rPr>
                    </w:pPr>
                    <w:r>
                      <w:rPr>
                        <w:rFonts w:hint="eastAsia"/>
                        <w:szCs w:val="21"/>
                      </w:rPr>
                      <w:t>0</w:t>
                    </w:r>
                  </w:p>
                </w:tc>
                <w:tc>
                  <w:tcPr>
                    <w:tcW w:w="467" w:type="pct"/>
                  </w:tcPr>
                  <w:p w:rsidR="00FA292C" w:rsidRDefault="005C53E4" w:rsidP="00FA292C">
                    <w:pPr>
                      <w:jc w:val="right"/>
                      <w:rPr>
                        <w:szCs w:val="21"/>
                      </w:rPr>
                    </w:pPr>
                    <w:r>
                      <w:rPr>
                        <w:rFonts w:hint="eastAsia"/>
                        <w:szCs w:val="21"/>
                      </w:rPr>
                      <w:t>0</w:t>
                    </w:r>
                  </w:p>
                </w:tc>
                <w:sdt>
                  <w:sdtPr>
                    <w:rPr>
                      <w:rFonts w:hint="eastAsia"/>
                      <w:szCs w:val="21"/>
                    </w:rPr>
                    <w:alias w:val="董事参加董事会的出席情况明细-是否连续两次未亲自参加会议"/>
                    <w:tag w:val="_GBC_4748dc7c4f9b495f9d97d5c22a5e08e6"/>
                    <w:id w:val="354634"/>
                    <w:lock w:val="sdtLocked"/>
                    <w:comboBox>
                      <w:listItem w:displayText="是" w:value="true"/>
                      <w:listItem w:displayText="否" w:value="false"/>
                    </w:comboBox>
                  </w:sdtPr>
                  <w:sdtContent>
                    <w:tc>
                      <w:tcPr>
                        <w:tcW w:w="714" w:type="pct"/>
                      </w:tcPr>
                      <w:p w:rsidR="00FA292C" w:rsidRDefault="005C53E4" w:rsidP="00FA292C">
                        <w:pPr>
                          <w:rPr>
                            <w:szCs w:val="21"/>
                          </w:rPr>
                        </w:pPr>
                        <w:r>
                          <w:rPr>
                            <w:rFonts w:hint="eastAsia"/>
                            <w:szCs w:val="21"/>
                          </w:rPr>
                          <w:t>否</w:t>
                        </w:r>
                      </w:p>
                    </w:tc>
                  </w:sdtContent>
                </w:sdt>
                <w:tc>
                  <w:tcPr>
                    <w:tcW w:w="697" w:type="pct"/>
                  </w:tcPr>
                  <w:p w:rsidR="00FA292C" w:rsidRDefault="00250287" w:rsidP="00FA292C">
                    <w:pPr>
                      <w:jc w:val="right"/>
                      <w:rPr>
                        <w:szCs w:val="21"/>
                      </w:rPr>
                    </w:pPr>
                    <w:r>
                      <w:rPr>
                        <w:rFonts w:hint="eastAsia"/>
                        <w:szCs w:val="21"/>
                      </w:rPr>
                      <w:t>2</w:t>
                    </w:r>
                  </w:p>
                </w:tc>
              </w:tr>
            </w:sdtContent>
          </w:sdt>
          <w:sdt>
            <w:sdtPr>
              <w:rPr>
                <w:rFonts w:asciiTheme="minorHAnsi" w:eastAsiaTheme="minorEastAsia" w:hAnsiTheme="minorHAnsi" w:cstheme="minorBidi" w:hint="eastAsia"/>
                <w:kern w:val="2"/>
                <w:szCs w:val="21"/>
              </w:rPr>
              <w:alias w:val="董事参加董事会的出席情况明细"/>
              <w:tag w:val="_TUP_21f02a2c29cc41bba590120cf14b9bc6"/>
              <w:id w:val="354638"/>
              <w:lock w:val="sdtLocked"/>
            </w:sdtPr>
            <w:sdtContent>
              <w:tr w:rsidR="00FA292C" w:rsidTr="004E4E4F">
                <w:trPr>
                  <w:trHeight w:val="77"/>
                </w:trPr>
                <w:tc>
                  <w:tcPr>
                    <w:tcW w:w="541" w:type="pct"/>
                  </w:tcPr>
                  <w:p w:rsidR="00FA292C" w:rsidRDefault="004E4E4F" w:rsidP="00FA292C">
                    <w:pPr>
                      <w:rPr>
                        <w:szCs w:val="21"/>
                      </w:rPr>
                    </w:pPr>
                    <w:r>
                      <w:rPr>
                        <w:rFonts w:asciiTheme="minorHAnsi" w:eastAsiaTheme="minorEastAsia" w:hAnsiTheme="minorHAnsi" w:cstheme="minorBidi" w:hint="eastAsia"/>
                        <w:kern w:val="2"/>
                        <w:szCs w:val="21"/>
                      </w:rPr>
                      <w:t>许光建</w:t>
                    </w:r>
                  </w:p>
                </w:tc>
                <w:sdt>
                  <w:sdtPr>
                    <w:rPr>
                      <w:rFonts w:hint="eastAsia"/>
                      <w:szCs w:val="21"/>
                    </w:rPr>
                    <w:alias w:val="董事参加董事会的出席情况明细-是否独立董事"/>
                    <w:tag w:val="_GBC_8f65cf2d483747a58ee92c8a36ee6375"/>
                    <w:id w:val="354636"/>
                    <w:lock w:val="sdtLocked"/>
                    <w:comboBox>
                      <w:listItem w:displayText="是" w:value="true"/>
                      <w:listItem w:displayText="否" w:value="false"/>
                    </w:comboBox>
                  </w:sdtPr>
                  <w:sdtContent>
                    <w:tc>
                      <w:tcPr>
                        <w:tcW w:w="467" w:type="pct"/>
                      </w:tcPr>
                      <w:p w:rsidR="00FA292C" w:rsidRDefault="008E35C5" w:rsidP="00FA292C">
                        <w:pPr>
                          <w:rPr>
                            <w:szCs w:val="21"/>
                          </w:rPr>
                        </w:pPr>
                        <w:r>
                          <w:rPr>
                            <w:rFonts w:hint="eastAsia"/>
                            <w:szCs w:val="21"/>
                          </w:rPr>
                          <w:t>是</w:t>
                        </w:r>
                      </w:p>
                    </w:tc>
                  </w:sdtContent>
                </w:sdt>
                <w:tc>
                  <w:tcPr>
                    <w:tcW w:w="608" w:type="pct"/>
                  </w:tcPr>
                  <w:p w:rsidR="00FA292C" w:rsidRDefault="005C53E4" w:rsidP="00FA292C">
                    <w:pPr>
                      <w:jc w:val="right"/>
                      <w:rPr>
                        <w:szCs w:val="21"/>
                      </w:rPr>
                    </w:pPr>
                    <w:r>
                      <w:rPr>
                        <w:rFonts w:hint="eastAsia"/>
                        <w:szCs w:val="21"/>
                      </w:rPr>
                      <w:t>4</w:t>
                    </w:r>
                  </w:p>
                </w:tc>
                <w:tc>
                  <w:tcPr>
                    <w:tcW w:w="471" w:type="pct"/>
                  </w:tcPr>
                  <w:p w:rsidR="00FA292C" w:rsidRDefault="005C53E4" w:rsidP="00FA292C">
                    <w:pPr>
                      <w:jc w:val="right"/>
                      <w:rPr>
                        <w:szCs w:val="21"/>
                      </w:rPr>
                    </w:pPr>
                    <w:r>
                      <w:rPr>
                        <w:rFonts w:hint="eastAsia"/>
                        <w:szCs w:val="21"/>
                      </w:rPr>
                      <w:t>4</w:t>
                    </w:r>
                  </w:p>
                </w:tc>
                <w:tc>
                  <w:tcPr>
                    <w:tcW w:w="535" w:type="pct"/>
                  </w:tcPr>
                  <w:p w:rsidR="00FA292C" w:rsidRDefault="005C53E4" w:rsidP="00FA292C">
                    <w:pPr>
                      <w:jc w:val="right"/>
                      <w:rPr>
                        <w:szCs w:val="21"/>
                      </w:rPr>
                    </w:pPr>
                    <w:r>
                      <w:rPr>
                        <w:rFonts w:hint="eastAsia"/>
                        <w:szCs w:val="21"/>
                      </w:rPr>
                      <w:t>4</w:t>
                    </w:r>
                  </w:p>
                </w:tc>
                <w:tc>
                  <w:tcPr>
                    <w:tcW w:w="500" w:type="pct"/>
                  </w:tcPr>
                  <w:p w:rsidR="00FA292C" w:rsidRDefault="005C53E4" w:rsidP="00FA292C">
                    <w:pPr>
                      <w:jc w:val="right"/>
                      <w:rPr>
                        <w:szCs w:val="21"/>
                      </w:rPr>
                    </w:pPr>
                    <w:r>
                      <w:rPr>
                        <w:rFonts w:hint="eastAsia"/>
                        <w:szCs w:val="21"/>
                      </w:rPr>
                      <w:t>0</w:t>
                    </w:r>
                  </w:p>
                </w:tc>
                <w:tc>
                  <w:tcPr>
                    <w:tcW w:w="467" w:type="pct"/>
                  </w:tcPr>
                  <w:p w:rsidR="00FA292C" w:rsidRDefault="005C53E4" w:rsidP="00FA292C">
                    <w:pPr>
                      <w:jc w:val="right"/>
                      <w:rPr>
                        <w:szCs w:val="21"/>
                      </w:rPr>
                    </w:pPr>
                    <w:r>
                      <w:rPr>
                        <w:rFonts w:hint="eastAsia"/>
                        <w:szCs w:val="21"/>
                      </w:rPr>
                      <w:t>0</w:t>
                    </w:r>
                  </w:p>
                </w:tc>
                <w:sdt>
                  <w:sdtPr>
                    <w:rPr>
                      <w:rFonts w:hint="eastAsia"/>
                      <w:szCs w:val="21"/>
                    </w:rPr>
                    <w:alias w:val="董事参加董事会的出席情况明细-是否连续两次未亲自参加会议"/>
                    <w:tag w:val="_GBC_4748dc7c4f9b495f9d97d5c22a5e08e6"/>
                    <w:id w:val="354637"/>
                    <w:lock w:val="sdtLocked"/>
                    <w:comboBox>
                      <w:listItem w:displayText="是" w:value="true"/>
                      <w:listItem w:displayText="否" w:value="false"/>
                    </w:comboBox>
                  </w:sdtPr>
                  <w:sdtContent>
                    <w:tc>
                      <w:tcPr>
                        <w:tcW w:w="714" w:type="pct"/>
                      </w:tcPr>
                      <w:p w:rsidR="00FA292C" w:rsidRDefault="005C53E4" w:rsidP="00FA292C">
                        <w:pPr>
                          <w:rPr>
                            <w:szCs w:val="21"/>
                          </w:rPr>
                        </w:pPr>
                        <w:r>
                          <w:rPr>
                            <w:rFonts w:hint="eastAsia"/>
                            <w:szCs w:val="21"/>
                          </w:rPr>
                          <w:t>否</w:t>
                        </w:r>
                      </w:p>
                    </w:tc>
                  </w:sdtContent>
                </w:sdt>
                <w:tc>
                  <w:tcPr>
                    <w:tcW w:w="697" w:type="pct"/>
                  </w:tcPr>
                  <w:p w:rsidR="00FA292C" w:rsidRDefault="00250287" w:rsidP="00FA292C">
                    <w:pPr>
                      <w:jc w:val="right"/>
                      <w:rPr>
                        <w:szCs w:val="21"/>
                      </w:rPr>
                    </w:pPr>
                    <w:r>
                      <w:rPr>
                        <w:rFonts w:hint="eastAsia"/>
                        <w:szCs w:val="21"/>
                      </w:rPr>
                      <w:t>1</w:t>
                    </w:r>
                  </w:p>
                </w:tc>
              </w:tr>
            </w:sdtContent>
          </w:sdt>
          <w:sdt>
            <w:sdtPr>
              <w:rPr>
                <w:rFonts w:asciiTheme="minorHAnsi" w:eastAsiaTheme="minorEastAsia" w:hAnsiTheme="minorHAnsi" w:cstheme="minorBidi" w:hint="eastAsia"/>
                <w:kern w:val="2"/>
                <w:szCs w:val="21"/>
              </w:rPr>
              <w:alias w:val="董事参加董事会的出席情况明细"/>
              <w:tag w:val="_TUP_21f02a2c29cc41bba590120cf14b9bc6"/>
              <w:id w:val="354641"/>
              <w:lock w:val="sdtLocked"/>
            </w:sdtPr>
            <w:sdtContent>
              <w:tr w:rsidR="00FA292C" w:rsidTr="004E4E4F">
                <w:trPr>
                  <w:trHeight w:val="77"/>
                </w:trPr>
                <w:tc>
                  <w:tcPr>
                    <w:tcW w:w="541" w:type="pct"/>
                  </w:tcPr>
                  <w:p w:rsidR="00FA292C" w:rsidRDefault="004E4E4F" w:rsidP="00FA292C">
                    <w:pPr>
                      <w:rPr>
                        <w:szCs w:val="21"/>
                      </w:rPr>
                    </w:pPr>
                    <w:r>
                      <w:rPr>
                        <w:rFonts w:asciiTheme="minorHAnsi" w:eastAsiaTheme="minorEastAsia" w:hAnsiTheme="minorHAnsi" w:cstheme="minorBidi" w:hint="eastAsia"/>
                        <w:kern w:val="2"/>
                        <w:szCs w:val="21"/>
                      </w:rPr>
                      <w:t>樊燕萍</w:t>
                    </w:r>
                  </w:p>
                </w:tc>
                <w:sdt>
                  <w:sdtPr>
                    <w:rPr>
                      <w:rFonts w:hint="eastAsia"/>
                      <w:szCs w:val="21"/>
                    </w:rPr>
                    <w:alias w:val="董事参加董事会的出席情况明细-是否独立董事"/>
                    <w:tag w:val="_GBC_8f65cf2d483747a58ee92c8a36ee6375"/>
                    <w:id w:val="354639"/>
                    <w:lock w:val="sdtLocked"/>
                    <w:comboBox>
                      <w:listItem w:displayText="是" w:value="true"/>
                      <w:listItem w:displayText="否" w:value="false"/>
                    </w:comboBox>
                  </w:sdtPr>
                  <w:sdtContent>
                    <w:tc>
                      <w:tcPr>
                        <w:tcW w:w="467" w:type="pct"/>
                      </w:tcPr>
                      <w:p w:rsidR="00FA292C" w:rsidRDefault="008E35C5" w:rsidP="00FA292C">
                        <w:pPr>
                          <w:rPr>
                            <w:szCs w:val="21"/>
                          </w:rPr>
                        </w:pPr>
                        <w:r>
                          <w:rPr>
                            <w:rFonts w:hint="eastAsia"/>
                            <w:szCs w:val="21"/>
                          </w:rPr>
                          <w:t>是</w:t>
                        </w:r>
                      </w:p>
                    </w:tc>
                  </w:sdtContent>
                </w:sdt>
                <w:tc>
                  <w:tcPr>
                    <w:tcW w:w="608" w:type="pct"/>
                  </w:tcPr>
                  <w:p w:rsidR="00FA292C" w:rsidRDefault="005C53E4" w:rsidP="00FA292C">
                    <w:pPr>
                      <w:jc w:val="right"/>
                      <w:rPr>
                        <w:szCs w:val="21"/>
                      </w:rPr>
                    </w:pPr>
                    <w:r>
                      <w:rPr>
                        <w:rFonts w:hint="eastAsia"/>
                        <w:szCs w:val="21"/>
                      </w:rPr>
                      <w:t>4</w:t>
                    </w:r>
                  </w:p>
                </w:tc>
                <w:tc>
                  <w:tcPr>
                    <w:tcW w:w="471" w:type="pct"/>
                  </w:tcPr>
                  <w:p w:rsidR="00FA292C" w:rsidRDefault="005C53E4" w:rsidP="00FA292C">
                    <w:pPr>
                      <w:jc w:val="right"/>
                      <w:rPr>
                        <w:szCs w:val="21"/>
                      </w:rPr>
                    </w:pPr>
                    <w:r>
                      <w:rPr>
                        <w:rFonts w:hint="eastAsia"/>
                        <w:szCs w:val="21"/>
                      </w:rPr>
                      <w:t>4</w:t>
                    </w:r>
                  </w:p>
                </w:tc>
                <w:tc>
                  <w:tcPr>
                    <w:tcW w:w="535" w:type="pct"/>
                  </w:tcPr>
                  <w:p w:rsidR="00FA292C" w:rsidRDefault="005C53E4" w:rsidP="00FA292C">
                    <w:pPr>
                      <w:jc w:val="right"/>
                      <w:rPr>
                        <w:szCs w:val="21"/>
                      </w:rPr>
                    </w:pPr>
                    <w:r>
                      <w:rPr>
                        <w:rFonts w:hint="eastAsia"/>
                        <w:szCs w:val="21"/>
                      </w:rPr>
                      <w:t>3</w:t>
                    </w:r>
                  </w:p>
                </w:tc>
                <w:tc>
                  <w:tcPr>
                    <w:tcW w:w="500" w:type="pct"/>
                  </w:tcPr>
                  <w:p w:rsidR="00FA292C" w:rsidRDefault="005C53E4" w:rsidP="00FA292C">
                    <w:pPr>
                      <w:jc w:val="right"/>
                      <w:rPr>
                        <w:szCs w:val="21"/>
                      </w:rPr>
                    </w:pPr>
                    <w:r>
                      <w:rPr>
                        <w:rFonts w:hint="eastAsia"/>
                        <w:szCs w:val="21"/>
                      </w:rPr>
                      <w:t>0</w:t>
                    </w:r>
                  </w:p>
                </w:tc>
                <w:tc>
                  <w:tcPr>
                    <w:tcW w:w="467" w:type="pct"/>
                  </w:tcPr>
                  <w:p w:rsidR="00FA292C" w:rsidRDefault="005C53E4" w:rsidP="00FA292C">
                    <w:pPr>
                      <w:jc w:val="right"/>
                      <w:rPr>
                        <w:szCs w:val="21"/>
                      </w:rPr>
                    </w:pPr>
                    <w:r>
                      <w:rPr>
                        <w:rFonts w:hint="eastAsia"/>
                        <w:szCs w:val="21"/>
                      </w:rPr>
                      <w:t>0</w:t>
                    </w:r>
                  </w:p>
                </w:tc>
                <w:sdt>
                  <w:sdtPr>
                    <w:rPr>
                      <w:rFonts w:hint="eastAsia"/>
                      <w:szCs w:val="21"/>
                    </w:rPr>
                    <w:alias w:val="董事参加董事会的出席情况明细-是否连续两次未亲自参加会议"/>
                    <w:tag w:val="_GBC_4748dc7c4f9b495f9d97d5c22a5e08e6"/>
                    <w:id w:val="354640"/>
                    <w:lock w:val="sdtLocked"/>
                    <w:comboBox>
                      <w:listItem w:displayText="是" w:value="true"/>
                      <w:listItem w:displayText="否" w:value="false"/>
                    </w:comboBox>
                  </w:sdtPr>
                  <w:sdtContent>
                    <w:tc>
                      <w:tcPr>
                        <w:tcW w:w="714" w:type="pct"/>
                      </w:tcPr>
                      <w:p w:rsidR="00FA292C" w:rsidRDefault="005C53E4" w:rsidP="00FA292C">
                        <w:pPr>
                          <w:rPr>
                            <w:szCs w:val="21"/>
                          </w:rPr>
                        </w:pPr>
                        <w:r>
                          <w:rPr>
                            <w:rFonts w:hint="eastAsia"/>
                            <w:szCs w:val="21"/>
                          </w:rPr>
                          <w:t>否</w:t>
                        </w:r>
                      </w:p>
                    </w:tc>
                  </w:sdtContent>
                </w:sdt>
                <w:tc>
                  <w:tcPr>
                    <w:tcW w:w="697" w:type="pct"/>
                  </w:tcPr>
                  <w:p w:rsidR="00FA292C" w:rsidRDefault="00250287" w:rsidP="00FA292C">
                    <w:pPr>
                      <w:jc w:val="right"/>
                      <w:rPr>
                        <w:szCs w:val="21"/>
                      </w:rPr>
                    </w:pPr>
                    <w:r>
                      <w:rPr>
                        <w:rFonts w:hint="eastAsia"/>
                        <w:szCs w:val="21"/>
                      </w:rPr>
                      <w:t>1</w:t>
                    </w:r>
                  </w:p>
                </w:tc>
              </w:tr>
            </w:sdtContent>
          </w:sdt>
          <w:sdt>
            <w:sdtPr>
              <w:rPr>
                <w:rFonts w:asciiTheme="minorHAnsi" w:eastAsiaTheme="minorEastAsia" w:hAnsiTheme="minorHAnsi" w:cstheme="minorBidi" w:hint="eastAsia"/>
                <w:kern w:val="2"/>
                <w:szCs w:val="21"/>
              </w:rPr>
              <w:alias w:val="董事参加董事会的出席情况明细"/>
              <w:tag w:val="_TUP_21f02a2c29cc41bba590120cf14b9bc6"/>
              <w:id w:val="354902"/>
              <w:lock w:val="sdtLocked"/>
            </w:sdtPr>
            <w:sdtContent>
              <w:tr w:rsidR="004E4E4F" w:rsidTr="004E4E4F">
                <w:trPr>
                  <w:trHeight w:val="77"/>
                </w:trPr>
                <w:tc>
                  <w:tcPr>
                    <w:tcW w:w="541" w:type="pct"/>
                  </w:tcPr>
                  <w:p w:rsidR="004E4E4F" w:rsidRDefault="004E4E4F" w:rsidP="00FA292C">
                    <w:pPr>
                      <w:rPr>
                        <w:rFonts w:asciiTheme="minorHAnsi" w:eastAsiaTheme="minorEastAsia" w:hAnsiTheme="minorHAnsi" w:cstheme="minorBidi"/>
                        <w:kern w:val="2"/>
                        <w:szCs w:val="21"/>
                      </w:rPr>
                    </w:pPr>
                    <w:r>
                      <w:rPr>
                        <w:rFonts w:asciiTheme="minorHAnsi" w:eastAsiaTheme="minorEastAsia" w:hAnsiTheme="minorHAnsi" w:cstheme="minorBidi" w:hint="eastAsia"/>
                        <w:kern w:val="2"/>
                        <w:szCs w:val="21"/>
                      </w:rPr>
                      <w:t>包楚雄</w:t>
                    </w:r>
                  </w:p>
                </w:tc>
                <w:sdt>
                  <w:sdtPr>
                    <w:rPr>
                      <w:rFonts w:hint="eastAsia"/>
                      <w:szCs w:val="21"/>
                    </w:rPr>
                    <w:alias w:val="董事参加董事会的出席情况明细-是否独立董事"/>
                    <w:tag w:val="_GBC_8f65cf2d483747a58ee92c8a36ee6375"/>
                    <w:id w:val="354903"/>
                    <w:lock w:val="sdtLocked"/>
                    <w:comboBox>
                      <w:listItem w:displayText="是" w:value="true"/>
                      <w:listItem w:displayText="否" w:value="false"/>
                    </w:comboBox>
                  </w:sdtPr>
                  <w:sdtContent>
                    <w:tc>
                      <w:tcPr>
                        <w:tcW w:w="467" w:type="pct"/>
                      </w:tcPr>
                      <w:p w:rsidR="004E4E4F" w:rsidRDefault="008E35C5" w:rsidP="00FA292C">
                        <w:pPr>
                          <w:rPr>
                            <w:szCs w:val="21"/>
                          </w:rPr>
                        </w:pPr>
                        <w:r>
                          <w:rPr>
                            <w:rFonts w:hint="eastAsia"/>
                            <w:szCs w:val="21"/>
                          </w:rPr>
                          <w:t>否</w:t>
                        </w:r>
                      </w:p>
                    </w:tc>
                  </w:sdtContent>
                </w:sdt>
                <w:tc>
                  <w:tcPr>
                    <w:tcW w:w="608" w:type="pct"/>
                  </w:tcPr>
                  <w:p w:rsidR="004E4E4F" w:rsidRDefault="005C53E4" w:rsidP="00FA292C">
                    <w:pPr>
                      <w:jc w:val="right"/>
                      <w:rPr>
                        <w:szCs w:val="21"/>
                      </w:rPr>
                    </w:pPr>
                    <w:r>
                      <w:rPr>
                        <w:rFonts w:hint="eastAsia"/>
                        <w:szCs w:val="21"/>
                      </w:rPr>
                      <w:t>5</w:t>
                    </w:r>
                  </w:p>
                </w:tc>
                <w:tc>
                  <w:tcPr>
                    <w:tcW w:w="471" w:type="pct"/>
                  </w:tcPr>
                  <w:p w:rsidR="004E4E4F" w:rsidRDefault="005C53E4" w:rsidP="00FA292C">
                    <w:pPr>
                      <w:jc w:val="right"/>
                      <w:rPr>
                        <w:szCs w:val="21"/>
                      </w:rPr>
                    </w:pPr>
                    <w:r>
                      <w:rPr>
                        <w:rFonts w:hint="eastAsia"/>
                        <w:szCs w:val="21"/>
                      </w:rPr>
                      <w:t>5</w:t>
                    </w:r>
                  </w:p>
                </w:tc>
                <w:tc>
                  <w:tcPr>
                    <w:tcW w:w="535" w:type="pct"/>
                  </w:tcPr>
                  <w:p w:rsidR="004E4E4F" w:rsidRDefault="005C53E4" w:rsidP="00FA292C">
                    <w:pPr>
                      <w:jc w:val="right"/>
                      <w:rPr>
                        <w:szCs w:val="21"/>
                      </w:rPr>
                    </w:pPr>
                    <w:r>
                      <w:rPr>
                        <w:rFonts w:hint="eastAsia"/>
                        <w:szCs w:val="21"/>
                      </w:rPr>
                      <w:t>3</w:t>
                    </w:r>
                  </w:p>
                </w:tc>
                <w:tc>
                  <w:tcPr>
                    <w:tcW w:w="500" w:type="pct"/>
                  </w:tcPr>
                  <w:p w:rsidR="004E4E4F" w:rsidRDefault="005C53E4" w:rsidP="00FA292C">
                    <w:pPr>
                      <w:jc w:val="right"/>
                      <w:rPr>
                        <w:szCs w:val="21"/>
                      </w:rPr>
                    </w:pPr>
                    <w:r>
                      <w:rPr>
                        <w:rFonts w:hint="eastAsia"/>
                        <w:szCs w:val="21"/>
                      </w:rPr>
                      <w:t>0</w:t>
                    </w:r>
                  </w:p>
                </w:tc>
                <w:tc>
                  <w:tcPr>
                    <w:tcW w:w="467" w:type="pct"/>
                  </w:tcPr>
                  <w:p w:rsidR="004E4E4F" w:rsidRDefault="005C53E4" w:rsidP="00FA292C">
                    <w:pPr>
                      <w:jc w:val="right"/>
                      <w:rPr>
                        <w:szCs w:val="21"/>
                      </w:rPr>
                    </w:pPr>
                    <w:r>
                      <w:rPr>
                        <w:rFonts w:hint="eastAsia"/>
                        <w:szCs w:val="21"/>
                      </w:rPr>
                      <w:t>0</w:t>
                    </w:r>
                  </w:p>
                </w:tc>
                <w:sdt>
                  <w:sdtPr>
                    <w:rPr>
                      <w:rFonts w:hint="eastAsia"/>
                      <w:szCs w:val="21"/>
                    </w:rPr>
                    <w:alias w:val="董事参加董事会的出席情况明细-是否连续两次未亲自参加会议"/>
                    <w:tag w:val="_GBC_4748dc7c4f9b495f9d97d5c22a5e08e6"/>
                    <w:id w:val="354908"/>
                    <w:lock w:val="sdtLocked"/>
                    <w:comboBox>
                      <w:listItem w:displayText="是" w:value="true"/>
                      <w:listItem w:displayText="否" w:value="false"/>
                    </w:comboBox>
                  </w:sdtPr>
                  <w:sdtContent>
                    <w:tc>
                      <w:tcPr>
                        <w:tcW w:w="714" w:type="pct"/>
                      </w:tcPr>
                      <w:p w:rsidR="004E4E4F" w:rsidRDefault="005C53E4" w:rsidP="00FA292C">
                        <w:pPr>
                          <w:rPr>
                            <w:szCs w:val="21"/>
                          </w:rPr>
                        </w:pPr>
                        <w:r>
                          <w:rPr>
                            <w:rFonts w:hint="eastAsia"/>
                            <w:szCs w:val="21"/>
                          </w:rPr>
                          <w:t>否</w:t>
                        </w:r>
                      </w:p>
                    </w:tc>
                  </w:sdtContent>
                </w:sdt>
                <w:tc>
                  <w:tcPr>
                    <w:tcW w:w="697" w:type="pct"/>
                  </w:tcPr>
                  <w:p w:rsidR="004E4E4F" w:rsidRDefault="00250287" w:rsidP="00FA292C">
                    <w:pPr>
                      <w:jc w:val="right"/>
                      <w:rPr>
                        <w:rFonts w:asciiTheme="minorHAnsi" w:eastAsiaTheme="minorEastAsia" w:hAnsiTheme="minorHAnsi" w:cstheme="minorBidi"/>
                        <w:kern w:val="2"/>
                        <w:szCs w:val="21"/>
                      </w:rPr>
                    </w:pPr>
                    <w:r>
                      <w:rPr>
                        <w:rFonts w:asciiTheme="minorHAnsi" w:eastAsiaTheme="minorEastAsia" w:hAnsiTheme="minorHAnsi" w:cstheme="minorBidi" w:hint="eastAsia"/>
                        <w:kern w:val="2"/>
                        <w:szCs w:val="21"/>
                      </w:rPr>
                      <w:t>1</w:t>
                    </w:r>
                  </w:p>
                </w:tc>
              </w:tr>
            </w:sdtContent>
          </w:sdt>
          <w:sdt>
            <w:sdtPr>
              <w:rPr>
                <w:rFonts w:asciiTheme="minorHAnsi" w:eastAsiaTheme="minorEastAsia" w:hAnsiTheme="minorHAnsi" w:cstheme="minorBidi" w:hint="eastAsia"/>
                <w:kern w:val="2"/>
                <w:szCs w:val="21"/>
              </w:rPr>
              <w:alias w:val="董事参加董事会的出席情况明细"/>
              <w:tag w:val="_TUP_21f02a2c29cc41bba590120cf14b9bc6"/>
              <w:id w:val="354792"/>
              <w:lock w:val="sdtLocked"/>
            </w:sdtPr>
            <w:sdtContent>
              <w:tr w:rsidR="004E4E4F" w:rsidTr="004E4E4F">
                <w:trPr>
                  <w:trHeight w:val="77"/>
                </w:trPr>
                <w:tc>
                  <w:tcPr>
                    <w:tcW w:w="541" w:type="pct"/>
                  </w:tcPr>
                  <w:p w:rsidR="004E4E4F" w:rsidRDefault="004E4E4F" w:rsidP="00FA292C">
                    <w:pPr>
                      <w:rPr>
                        <w:rFonts w:asciiTheme="minorHAnsi" w:eastAsiaTheme="minorEastAsia" w:hAnsiTheme="minorHAnsi" w:cstheme="minorBidi"/>
                        <w:kern w:val="2"/>
                        <w:szCs w:val="21"/>
                      </w:rPr>
                    </w:pPr>
                    <w:r>
                      <w:rPr>
                        <w:rFonts w:asciiTheme="minorHAnsi" w:eastAsiaTheme="minorEastAsia" w:hAnsiTheme="minorHAnsi" w:cstheme="minorBidi" w:hint="eastAsia"/>
                        <w:kern w:val="2"/>
                        <w:szCs w:val="21"/>
                      </w:rPr>
                      <w:t>杨万东</w:t>
                    </w:r>
                  </w:p>
                </w:tc>
                <w:sdt>
                  <w:sdtPr>
                    <w:rPr>
                      <w:rFonts w:hint="eastAsia"/>
                      <w:szCs w:val="21"/>
                    </w:rPr>
                    <w:alias w:val="董事参加董事会的出席情况明细-是否独立董事"/>
                    <w:tag w:val="_GBC_8f65cf2d483747a58ee92c8a36ee6375"/>
                    <w:id w:val="354793"/>
                    <w:lock w:val="sdtLocked"/>
                    <w:comboBox>
                      <w:listItem w:displayText="是" w:value="true"/>
                      <w:listItem w:displayText="否" w:value="false"/>
                    </w:comboBox>
                  </w:sdtPr>
                  <w:sdtContent>
                    <w:tc>
                      <w:tcPr>
                        <w:tcW w:w="467" w:type="pct"/>
                      </w:tcPr>
                      <w:p w:rsidR="004E4E4F" w:rsidRDefault="008E35C5" w:rsidP="00FA292C">
                        <w:pPr>
                          <w:rPr>
                            <w:szCs w:val="21"/>
                          </w:rPr>
                        </w:pPr>
                        <w:r>
                          <w:rPr>
                            <w:rFonts w:hint="eastAsia"/>
                            <w:szCs w:val="21"/>
                          </w:rPr>
                          <w:t>是</w:t>
                        </w:r>
                      </w:p>
                    </w:tc>
                  </w:sdtContent>
                </w:sdt>
                <w:tc>
                  <w:tcPr>
                    <w:tcW w:w="608" w:type="pct"/>
                  </w:tcPr>
                  <w:p w:rsidR="004E4E4F" w:rsidRDefault="002D301D" w:rsidP="00FA292C">
                    <w:pPr>
                      <w:jc w:val="right"/>
                      <w:rPr>
                        <w:szCs w:val="21"/>
                      </w:rPr>
                    </w:pPr>
                    <w:r>
                      <w:rPr>
                        <w:rFonts w:hint="eastAsia"/>
                        <w:szCs w:val="21"/>
                      </w:rPr>
                      <w:t>2</w:t>
                    </w:r>
                  </w:p>
                </w:tc>
                <w:tc>
                  <w:tcPr>
                    <w:tcW w:w="471" w:type="pct"/>
                  </w:tcPr>
                  <w:p w:rsidR="004E4E4F" w:rsidRDefault="002D301D" w:rsidP="00FA292C">
                    <w:pPr>
                      <w:jc w:val="right"/>
                      <w:rPr>
                        <w:szCs w:val="21"/>
                      </w:rPr>
                    </w:pPr>
                    <w:r>
                      <w:rPr>
                        <w:rFonts w:hint="eastAsia"/>
                        <w:szCs w:val="21"/>
                      </w:rPr>
                      <w:t>2</w:t>
                    </w:r>
                  </w:p>
                </w:tc>
                <w:tc>
                  <w:tcPr>
                    <w:tcW w:w="535" w:type="pct"/>
                  </w:tcPr>
                  <w:p w:rsidR="004E4E4F" w:rsidRDefault="00171955" w:rsidP="00FA292C">
                    <w:pPr>
                      <w:jc w:val="right"/>
                      <w:rPr>
                        <w:szCs w:val="21"/>
                      </w:rPr>
                    </w:pPr>
                    <w:r>
                      <w:rPr>
                        <w:rFonts w:hint="eastAsia"/>
                        <w:szCs w:val="21"/>
                      </w:rPr>
                      <w:t>2</w:t>
                    </w:r>
                  </w:p>
                </w:tc>
                <w:tc>
                  <w:tcPr>
                    <w:tcW w:w="500" w:type="pct"/>
                  </w:tcPr>
                  <w:p w:rsidR="004E4E4F" w:rsidRDefault="00171955" w:rsidP="00FA292C">
                    <w:pPr>
                      <w:jc w:val="right"/>
                      <w:rPr>
                        <w:szCs w:val="21"/>
                      </w:rPr>
                    </w:pPr>
                    <w:r>
                      <w:rPr>
                        <w:rFonts w:hint="eastAsia"/>
                        <w:szCs w:val="21"/>
                      </w:rPr>
                      <w:t>0</w:t>
                    </w:r>
                  </w:p>
                </w:tc>
                <w:tc>
                  <w:tcPr>
                    <w:tcW w:w="467" w:type="pct"/>
                  </w:tcPr>
                  <w:p w:rsidR="004E4E4F" w:rsidRDefault="00171955" w:rsidP="00FA292C">
                    <w:pPr>
                      <w:jc w:val="right"/>
                      <w:rPr>
                        <w:szCs w:val="21"/>
                      </w:rPr>
                    </w:pPr>
                    <w:r>
                      <w:rPr>
                        <w:rFonts w:hint="eastAsia"/>
                        <w:szCs w:val="21"/>
                      </w:rPr>
                      <w:t>0</w:t>
                    </w:r>
                  </w:p>
                </w:tc>
                <w:sdt>
                  <w:sdtPr>
                    <w:rPr>
                      <w:rFonts w:hint="eastAsia"/>
                      <w:szCs w:val="21"/>
                    </w:rPr>
                    <w:alias w:val="董事参加董事会的出席情况明细-是否连续两次未亲自参加会议"/>
                    <w:tag w:val="_GBC_4748dc7c4f9b495f9d97d5c22a5e08e6"/>
                    <w:id w:val="354798"/>
                    <w:lock w:val="sdtLocked"/>
                    <w:comboBox>
                      <w:listItem w:displayText="是" w:value="true"/>
                      <w:listItem w:displayText="否" w:value="false"/>
                    </w:comboBox>
                  </w:sdtPr>
                  <w:sdtContent>
                    <w:tc>
                      <w:tcPr>
                        <w:tcW w:w="714" w:type="pct"/>
                      </w:tcPr>
                      <w:p w:rsidR="004E4E4F" w:rsidRDefault="00171955" w:rsidP="00FA292C">
                        <w:pPr>
                          <w:rPr>
                            <w:szCs w:val="21"/>
                          </w:rPr>
                        </w:pPr>
                        <w:r>
                          <w:rPr>
                            <w:rFonts w:hint="eastAsia"/>
                            <w:szCs w:val="21"/>
                          </w:rPr>
                          <w:t>否</w:t>
                        </w:r>
                      </w:p>
                    </w:tc>
                  </w:sdtContent>
                </w:sdt>
                <w:tc>
                  <w:tcPr>
                    <w:tcW w:w="697" w:type="pct"/>
                  </w:tcPr>
                  <w:p w:rsidR="004E4E4F" w:rsidRDefault="00250287" w:rsidP="00FA292C">
                    <w:pPr>
                      <w:jc w:val="right"/>
                      <w:rPr>
                        <w:rFonts w:asciiTheme="minorHAnsi" w:eastAsiaTheme="minorEastAsia" w:hAnsiTheme="minorHAnsi" w:cstheme="minorBidi"/>
                        <w:kern w:val="2"/>
                        <w:szCs w:val="21"/>
                      </w:rPr>
                    </w:pPr>
                    <w:r>
                      <w:rPr>
                        <w:rFonts w:asciiTheme="minorHAnsi" w:eastAsiaTheme="minorEastAsia" w:hAnsiTheme="minorHAnsi" w:cstheme="minorBidi" w:hint="eastAsia"/>
                        <w:kern w:val="2"/>
                        <w:szCs w:val="21"/>
                      </w:rPr>
                      <w:t>1</w:t>
                    </w:r>
                  </w:p>
                </w:tc>
              </w:tr>
            </w:sdtContent>
          </w:sdt>
          <w:sdt>
            <w:sdtPr>
              <w:rPr>
                <w:rFonts w:asciiTheme="minorHAnsi" w:eastAsiaTheme="minorEastAsia" w:hAnsiTheme="minorHAnsi" w:cstheme="minorBidi" w:hint="eastAsia"/>
                <w:kern w:val="2"/>
                <w:szCs w:val="21"/>
              </w:rPr>
              <w:alias w:val="董事参加董事会的出席情况明细"/>
              <w:tag w:val="_TUP_21f02a2c29cc41bba590120cf14b9bc6"/>
              <w:id w:val="355246"/>
              <w:lock w:val="sdtLocked"/>
            </w:sdtPr>
            <w:sdtContent>
              <w:tr w:rsidR="004E4E4F" w:rsidTr="004E4E4F">
                <w:trPr>
                  <w:trHeight w:val="77"/>
                </w:trPr>
                <w:tc>
                  <w:tcPr>
                    <w:tcW w:w="541" w:type="pct"/>
                  </w:tcPr>
                  <w:p w:rsidR="004E4E4F" w:rsidRDefault="004E4E4F" w:rsidP="00FA292C">
                    <w:pPr>
                      <w:rPr>
                        <w:rFonts w:asciiTheme="minorHAnsi" w:eastAsiaTheme="minorEastAsia" w:hAnsiTheme="minorHAnsi" w:cstheme="minorBidi"/>
                        <w:kern w:val="2"/>
                        <w:szCs w:val="21"/>
                      </w:rPr>
                    </w:pPr>
                    <w:r>
                      <w:rPr>
                        <w:rFonts w:asciiTheme="minorHAnsi" w:eastAsiaTheme="minorEastAsia" w:hAnsiTheme="minorHAnsi" w:cstheme="minorBidi" w:hint="eastAsia"/>
                        <w:kern w:val="2"/>
                        <w:szCs w:val="21"/>
                      </w:rPr>
                      <w:t>昝志宏</w:t>
                    </w:r>
                  </w:p>
                </w:tc>
                <w:sdt>
                  <w:sdtPr>
                    <w:rPr>
                      <w:rFonts w:hint="eastAsia"/>
                      <w:szCs w:val="21"/>
                    </w:rPr>
                    <w:alias w:val="董事参加董事会的出席情况明细-是否独立董事"/>
                    <w:tag w:val="_GBC_8f65cf2d483747a58ee92c8a36ee6375"/>
                    <w:id w:val="355247"/>
                    <w:lock w:val="sdtLocked"/>
                    <w:comboBox>
                      <w:listItem w:displayText="是" w:value="true"/>
                      <w:listItem w:displayText="否" w:value="false"/>
                    </w:comboBox>
                  </w:sdtPr>
                  <w:sdtContent>
                    <w:tc>
                      <w:tcPr>
                        <w:tcW w:w="467" w:type="pct"/>
                      </w:tcPr>
                      <w:p w:rsidR="004E4E4F" w:rsidRDefault="008E35C5" w:rsidP="00FA292C">
                        <w:pPr>
                          <w:rPr>
                            <w:szCs w:val="21"/>
                          </w:rPr>
                        </w:pPr>
                        <w:r>
                          <w:rPr>
                            <w:rFonts w:hint="eastAsia"/>
                            <w:szCs w:val="21"/>
                          </w:rPr>
                          <w:t>是</w:t>
                        </w:r>
                      </w:p>
                    </w:tc>
                  </w:sdtContent>
                </w:sdt>
                <w:tc>
                  <w:tcPr>
                    <w:tcW w:w="608" w:type="pct"/>
                  </w:tcPr>
                  <w:p w:rsidR="004E4E4F" w:rsidRDefault="002D301D" w:rsidP="00FA292C">
                    <w:pPr>
                      <w:jc w:val="right"/>
                      <w:rPr>
                        <w:szCs w:val="21"/>
                      </w:rPr>
                    </w:pPr>
                    <w:r>
                      <w:rPr>
                        <w:rFonts w:hint="eastAsia"/>
                        <w:szCs w:val="21"/>
                      </w:rPr>
                      <w:t>2</w:t>
                    </w:r>
                  </w:p>
                </w:tc>
                <w:tc>
                  <w:tcPr>
                    <w:tcW w:w="471" w:type="pct"/>
                  </w:tcPr>
                  <w:p w:rsidR="004E4E4F" w:rsidRDefault="002D301D" w:rsidP="00FA292C">
                    <w:pPr>
                      <w:jc w:val="right"/>
                      <w:rPr>
                        <w:szCs w:val="21"/>
                      </w:rPr>
                    </w:pPr>
                    <w:r>
                      <w:rPr>
                        <w:rFonts w:hint="eastAsia"/>
                        <w:szCs w:val="21"/>
                      </w:rPr>
                      <w:t>2</w:t>
                    </w:r>
                  </w:p>
                </w:tc>
                <w:tc>
                  <w:tcPr>
                    <w:tcW w:w="535" w:type="pct"/>
                  </w:tcPr>
                  <w:p w:rsidR="004E4E4F" w:rsidRDefault="00171955" w:rsidP="00FA292C">
                    <w:pPr>
                      <w:jc w:val="right"/>
                      <w:rPr>
                        <w:szCs w:val="21"/>
                      </w:rPr>
                    </w:pPr>
                    <w:r>
                      <w:rPr>
                        <w:rFonts w:hint="eastAsia"/>
                        <w:szCs w:val="21"/>
                      </w:rPr>
                      <w:t>1</w:t>
                    </w:r>
                  </w:p>
                </w:tc>
                <w:tc>
                  <w:tcPr>
                    <w:tcW w:w="500" w:type="pct"/>
                  </w:tcPr>
                  <w:p w:rsidR="004E4E4F" w:rsidRDefault="00171955" w:rsidP="00FA292C">
                    <w:pPr>
                      <w:jc w:val="right"/>
                      <w:rPr>
                        <w:szCs w:val="21"/>
                      </w:rPr>
                    </w:pPr>
                    <w:r>
                      <w:rPr>
                        <w:rFonts w:hint="eastAsia"/>
                        <w:szCs w:val="21"/>
                      </w:rPr>
                      <w:t>0</w:t>
                    </w:r>
                  </w:p>
                </w:tc>
                <w:tc>
                  <w:tcPr>
                    <w:tcW w:w="467" w:type="pct"/>
                  </w:tcPr>
                  <w:p w:rsidR="004E4E4F" w:rsidRDefault="00171955" w:rsidP="00FA292C">
                    <w:pPr>
                      <w:jc w:val="right"/>
                      <w:rPr>
                        <w:szCs w:val="21"/>
                      </w:rPr>
                    </w:pPr>
                    <w:r>
                      <w:rPr>
                        <w:rFonts w:hint="eastAsia"/>
                        <w:szCs w:val="21"/>
                      </w:rPr>
                      <w:t>0</w:t>
                    </w:r>
                  </w:p>
                </w:tc>
                <w:sdt>
                  <w:sdtPr>
                    <w:rPr>
                      <w:rFonts w:hint="eastAsia"/>
                      <w:szCs w:val="21"/>
                    </w:rPr>
                    <w:alias w:val="董事参加董事会的出席情况明细-是否连续两次未亲自参加会议"/>
                    <w:tag w:val="_GBC_4748dc7c4f9b495f9d97d5c22a5e08e6"/>
                    <w:id w:val="355252"/>
                    <w:lock w:val="sdtLocked"/>
                    <w:comboBox>
                      <w:listItem w:displayText="是" w:value="true"/>
                      <w:listItem w:displayText="否" w:value="false"/>
                    </w:comboBox>
                  </w:sdtPr>
                  <w:sdtContent>
                    <w:tc>
                      <w:tcPr>
                        <w:tcW w:w="714" w:type="pct"/>
                      </w:tcPr>
                      <w:p w:rsidR="004E4E4F" w:rsidRDefault="00171955" w:rsidP="00FA292C">
                        <w:pPr>
                          <w:rPr>
                            <w:szCs w:val="21"/>
                          </w:rPr>
                        </w:pPr>
                        <w:r>
                          <w:rPr>
                            <w:rFonts w:hint="eastAsia"/>
                            <w:szCs w:val="21"/>
                          </w:rPr>
                          <w:t>否</w:t>
                        </w:r>
                      </w:p>
                    </w:tc>
                  </w:sdtContent>
                </w:sdt>
                <w:tc>
                  <w:tcPr>
                    <w:tcW w:w="697" w:type="pct"/>
                  </w:tcPr>
                  <w:p w:rsidR="004E4E4F" w:rsidRDefault="00250287" w:rsidP="00FA292C">
                    <w:pPr>
                      <w:jc w:val="right"/>
                      <w:rPr>
                        <w:rFonts w:asciiTheme="minorHAnsi" w:eastAsiaTheme="minorEastAsia" w:hAnsiTheme="minorHAnsi" w:cstheme="minorBidi"/>
                        <w:kern w:val="2"/>
                        <w:szCs w:val="21"/>
                      </w:rPr>
                    </w:pPr>
                    <w:r>
                      <w:rPr>
                        <w:rFonts w:asciiTheme="minorHAnsi" w:eastAsiaTheme="minorEastAsia" w:hAnsiTheme="minorHAnsi" w:cstheme="minorBidi" w:hint="eastAsia"/>
                        <w:kern w:val="2"/>
                        <w:szCs w:val="21"/>
                      </w:rPr>
                      <w:t>1</w:t>
                    </w:r>
                  </w:p>
                </w:tc>
              </w:tr>
            </w:sdtContent>
          </w:sdt>
        </w:tbl>
        <w:p w:rsidR="00FA292C" w:rsidRDefault="00FA292C"/>
        <w:p w:rsidR="00806678" w:rsidRDefault="00B16377">
          <w:pPr>
            <w:rPr>
              <w:szCs w:val="21"/>
            </w:rPr>
          </w:pPr>
          <w:r>
            <w:rPr>
              <w:szCs w:val="21"/>
            </w:rPr>
            <w:t>连续两次未亲自出席董事会会议的说明</w:t>
          </w:r>
        </w:p>
        <w:sdt>
          <w:sdtPr>
            <w:rPr>
              <w:szCs w:val="21"/>
            </w:rPr>
            <w:alias w:val="是否适用：连续两次未亲自出席董事会会议的说明[双击切换]"/>
            <w:tag w:val="_GBC_866534c9760844d1a6f6fa69c39ae52d"/>
            <w:id w:val="1145784693"/>
            <w:lock w:val="sdtLocked"/>
            <w:placeholder>
              <w:docPart w:val="GBC22222222222222222222222222222"/>
            </w:placeholder>
          </w:sdtPr>
          <w:sdtContent>
            <w:p w:rsidR="00806678" w:rsidRDefault="00F80B6C">
              <w:pPr>
                <w:rPr>
                  <w:szCs w:val="21"/>
                </w:rPr>
              </w:pPr>
              <w:r>
                <w:rPr>
                  <w:szCs w:val="21"/>
                </w:rPr>
                <w:fldChar w:fldCharType="begin"/>
              </w:r>
              <w:r w:rsidR="004E4E4F">
                <w:rPr>
                  <w:szCs w:val="21"/>
                </w:rPr>
                <w:instrText xml:space="preserve">MACROBUTTON  SnrToggleCheckbox □适用 </w:instrText>
              </w:r>
              <w:r>
                <w:rPr>
                  <w:szCs w:val="21"/>
                </w:rPr>
                <w:fldChar w:fldCharType="end"/>
              </w:r>
              <w:r>
                <w:rPr>
                  <w:szCs w:val="21"/>
                </w:rPr>
                <w:fldChar w:fldCharType="begin"/>
              </w:r>
              <w:r w:rsidR="004E4E4F">
                <w:rPr>
                  <w:szCs w:val="21"/>
                </w:rPr>
                <w:instrText xml:space="preserve"> MACROBUTTON  SnrToggleCheckbox √不适用 </w:instrText>
              </w:r>
              <w:r>
                <w:rPr>
                  <w:szCs w:val="21"/>
                </w:rPr>
                <w:fldChar w:fldCharType="end"/>
              </w:r>
            </w:p>
          </w:sdtContent>
        </w:sdt>
      </w:sdtContent>
    </w:sdt>
    <w:sdt>
      <w:sdtPr>
        <w:rPr>
          <w:szCs w:val="21"/>
        </w:rPr>
        <w:alias w:val="模块:召开董事会会议次数"/>
        <w:tag w:val="_SEC_2e2eb2c5022048f7a720555ef5553771"/>
        <w:id w:val="3160599"/>
        <w:lock w:val="sdtLocked"/>
        <w:placeholder>
          <w:docPart w:val="GBC22222222222222222222222222222"/>
        </w:placeholder>
      </w:sdtPr>
      <w:sdtEndPr>
        <w:rPr>
          <w:szCs w:val="24"/>
        </w:rPr>
      </w:sdtEndPr>
      <w:sdtContent>
        <w:tbl>
          <w:tblPr>
            <w:tblStyle w:val="a6"/>
            <w:tblW w:w="0" w:type="auto"/>
            <w:tblLook w:val="04A0"/>
          </w:tblPr>
          <w:tblGrid>
            <w:gridCol w:w="4524"/>
            <w:gridCol w:w="4525"/>
          </w:tblGrid>
          <w:tr w:rsidR="00806678" w:rsidTr="001E2B27">
            <w:sdt>
              <w:sdtPr>
                <w:rPr>
                  <w:szCs w:val="21"/>
                </w:rPr>
                <w:tag w:val="_PLD_0fc68bf164f04edda97a907df4cc747d"/>
                <w:id w:val="463468430"/>
                <w:lock w:val="sdtLocked"/>
              </w:sdtPr>
              <w:sdtEndPr>
                <w:rPr>
                  <w:szCs w:val="24"/>
                </w:rPr>
              </w:sdtEndPr>
              <w:sdtContent>
                <w:tc>
                  <w:tcPr>
                    <w:tcW w:w="4524" w:type="dxa"/>
                  </w:tcPr>
                  <w:p w:rsidR="00806678" w:rsidRDefault="00B16377">
                    <w:pPr>
                      <w:rPr>
                        <w:szCs w:val="21"/>
                      </w:rPr>
                    </w:pPr>
                    <w:r>
                      <w:rPr>
                        <w:szCs w:val="21"/>
                      </w:rPr>
                      <w:t>年内召开董事会会议次数</w:t>
                    </w:r>
                  </w:p>
                </w:tc>
              </w:sdtContent>
            </w:sdt>
            <w:sdt>
              <w:sdtPr>
                <w:rPr>
                  <w:rFonts w:hint="eastAsia"/>
                  <w:szCs w:val="21"/>
                </w:rPr>
                <w:alias w:val="报告期内召开董事会会议次数"/>
                <w:tag w:val="_GBC_cabd294ab90e40d0afb59e61df002667"/>
                <w:id w:val="-2080899546"/>
                <w:lock w:val="sdtLocked"/>
              </w:sdtPr>
              <w:sdtContent>
                <w:tc>
                  <w:tcPr>
                    <w:tcW w:w="4525" w:type="dxa"/>
                  </w:tcPr>
                  <w:p w:rsidR="00806678" w:rsidRDefault="004E4E4F" w:rsidP="004E4E4F">
                    <w:pPr>
                      <w:rPr>
                        <w:szCs w:val="21"/>
                      </w:rPr>
                    </w:pPr>
                    <w:r>
                      <w:rPr>
                        <w:rFonts w:hint="eastAsia"/>
                        <w:szCs w:val="21"/>
                      </w:rPr>
                      <w:t>6</w:t>
                    </w:r>
                  </w:p>
                </w:tc>
              </w:sdtContent>
            </w:sdt>
          </w:tr>
          <w:tr w:rsidR="00806678" w:rsidTr="001E2B27">
            <w:sdt>
              <w:sdtPr>
                <w:tag w:val="_PLD_4b8c260bccff4db1858924291237c1f5"/>
                <w:id w:val="1782994462"/>
                <w:lock w:val="sdtLocked"/>
              </w:sdtPr>
              <w:sdtContent>
                <w:tc>
                  <w:tcPr>
                    <w:tcW w:w="4524" w:type="dxa"/>
                  </w:tcPr>
                  <w:p w:rsidR="00806678" w:rsidRDefault="00B16377">
                    <w:pPr>
                      <w:rPr>
                        <w:szCs w:val="21"/>
                      </w:rPr>
                    </w:pPr>
                    <w:r>
                      <w:rPr>
                        <w:szCs w:val="21"/>
                      </w:rPr>
                      <w:t>其中：现场会议次数</w:t>
                    </w:r>
                  </w:p>
                </w:tc>
              </w:sdtContent>
            </w:sdt>
            <w:tc>
              <w:tcPr>
                <w:tcW w:w="4525" w:type="dxa"/>
              </w:tcPr>
              <w:p w:rsidR="00806678" w:rsidRDefault="003709AB">
                <w:pPr>
                  <w:rPr>
                    <w:szCs w:val="21"/>
                  </w:rPr>
                </w:pPr>
                <w:r>
                  <w:rPr>
                    <w:rFonts w:hint="eastAsia"/>
                    <w:szCs w:val="21"/>
                  </w:rPr>
                  <w:t>0</w:t>
                </w:r>
              </w:p>
            </w:tc>
          </w:tr>
          <w:tr w:rsidR="00806678" w:rsidTr="001E2B27">
            <w:sdt>
              <w:sdtPr>
                <w:tag w:val="_PLD_ef23f45437624d3eb28d9b3b0c444b8c"/>
                <w:id w:val="570315041"/>
                <w:lock w:val="sdtLocked"/>
              </w:sdtPr>
              <w:sdtContent>
                <w:tc>
                  <w:tcPr>
                    <w:tcW w:w="4524" w:type="dxa"/>
                  </w:tcPr>
                  <w:p w:rsidR="00806678" w:rsidRDefault="00B16377">
                    <w:pPr>
                      <w:rPr>
                        <w:szCs w:val="21"/>
                      </w:rPr>
                    </w:pPr>
                    <w:r>
                      <w:rPr>
                        <w:szCs w:val="21"/>
                      </w:rPr>
                      <w:t>通讯方式召开会议次数</w:t>
                    </w:r>
                  </w:p>
                </w:tc>
              </w:sdtContent>
            </w:sdt>
            <w:tc>
              <w:tcPr>
                <w:tcW w:w="4525" w:type="dxa"/>
              </w:tcPr>
              <w:p w:rsidR="00806678" w:rsidRDefault="003709AB">
                <w:pPr>
                  <w:rPr>
                    <w:szCs w:val="21"/>
                  </w:rPr>
                </w:pPr>
                <w:r>
                  <w:rPr>
                    <w:rFonts w:hint="eastAsia"/>
                    <w:szCs w:val="21"/>
                  </w:rPr>
                  <w:t>4</w:t>
                </w:r>
              </w:p>
            </w:tc>
          </w:tr>
          <w:tr w:rsidR="00806678" w:rsidTr="001E2B27">
            <w:sdt>
              <w:sdtPr>
                <w:tag w:val="_PLD_362bf2274fd043da9e03bf0d73a8e1bd"/>
                <w:id w:val="-1386104067"/>
                <w:lock w:val="sdtLocked"/>
              </w:sdtPr>
              <w:sdtContent>
                <w:tc>
                  <w:tcPr>
                    <w:tcW w:w="4524" w:type="dxa"/>
                  </w:tcPr>
                  <w:p w:rsidR="00806678" w:rsidRDefault="00B16377">
                    <w:pPr>
                      <w:rPr>
                        <w:szCs w:val="21"/>
                      </w:rPr>
                    </w:pPr>
                    <w:r>
                      <w:rPr>
                        <w:szCs w:val="21"/>
                      </w:rPr>
                      <w:t>现场结合通讯方式召开会议次数</w:t>
                    </w:r>
                  </w:p>
                </w:tc>
              </w:sdtContent>
            </w:sdt>
            <w:tc>
              <w:tcPr>
                <w:tcW w:w="4525" w:type="dxa"/>
              </w:tcPr>
              <w:p w:rsidR="00806678" w:rsidRDefault="003709AB">
                <w:pPr>
                  <w:rPr>
                    <w:szCs w:val="21"/>
                  </w:rPr>
                </w:pPr>
                <w:r>
                  <w:rPr>
                    <w:rFonts w:hint="eastAsia"/>
                    <w:szCs w:val="21"/>
                  </w:rPr>
                  <w:t>2</w:t>
                </w:r>
              </w:p>
            </w:tc>
          </w:tr>
        </w:tbl>
        <w:p w:rsidR="00806678" w:rsidRDefault="00F80B6C"/>
      </w:sdtContent>
    </w:sdt>
    <w:sdt>
      <w:sdtPr>
        <w:rPr>
          <w:rFonts w:ascii="宋体" w:hAnsi="宋体" w:cs="宋体"/>
          <w:b w:val="0"/>
          <w:bCs w:val="0"/>
          <w:kern w:val="0"/>
          <w:szCs w:val="21"/>
        </w:rPr>
        <w:alias w:val="模块:独立董事对公司有关事项提出异议的情况"/>
        <w:tag w:val="_SEC_b081c22d491d456ea3f9900a0a6757d2"/>
        <w:id w:val="3160607"/>
        <w:lock w:val="sdtLocked"/>
        <w:placeholder>
          <w:docPart w:val="GBC22222222222222222222222222222"/>
        </w:placeholder>
      </w:sdtPr>
      <w:sdtContent>
        <w:p w:rsidR="00806678" w:rsidRDefault="00B16377" w:rsidP="00FF17C7">
          <w:pPr>
            <w:pStyle w:val="3"/>
            <w:numPr>
              <w:ilvl w:val="0"/>
              <w:numId w:val="36"/>
            </w:numPr>
            <w:rPr>
              <w:szCs w:val="21"/>
            </w:rPr>
          </w:pPr>
          <w:r>
            <w:rPr>
              <w:szCs w:val="21"/>
            </w:rPr>
            <w:t>董事对公司有关事项提出异议的情况</w:t>
          </w:r>
        </w:p>
        <w:sdt>
          <w:sdtPr>
            <w:alias w:val="是否适用：独立董事对公司有关事项提出异议的情况[双击切换]"/>
            <w:tag w:val="_GBC_1369df39a53747ff843be7f892cb0cbd"/>
            <w:id w:val="-1828500518"/>
            <w:lock w:val="sdtLocked"/>
            <w:placeholder>
              <w:docPart w:val="GBC22222222222222222222222222222"/>
            </w:placeholder>
          </w:sdtPr>
          <w:sdtContent>
            <w:p w:rsidR="00806678" w:rsidRPr="00F86F4A" w:rsidRDefault="00F80B6C">
              <w:r>
                <w:fldChar w:fldCharType="begin"/>
              </w:r>
              <w:r w:rsidR="00F86F4A">
                <w:instrText xml:space="preserve">MACROBUTTON  SnrToggleCheckbox □适用 </w:instrText>
              </w:r>
              <w:r>
                <w:fldChar w:fldCharType="end"/>
              </w:r>
              <w:r>
                <w:fldChar w:fldCharType="begin"/>
              </w:r>
              <w:r w:rsidR="00F86F4A">
                <w:instrText xml:space="preserve"> MACROBUTTON  SnrToggleCheckbox √不适用 </w:instrText>
              </w:r>
              <w:r>
                <w:fldChar w:fldCharType="end"/>
              </w:r>
            </w:p>
          </w:sdtContent>
        </w:sdt>
      </w:sdtContent>
    </w:sdt>
    <w:sdt>
      <w:sdtPr>
        <w:rPr>
          <w:rFonts w:ascii="宋体" w:hAnsi="宋体" w:cs="宋体"/>
          <w:b w:val="0"/>
          <w:bCs w:val="0"/>
          <w:kern w:val="0"/>
          <w:szCs w:val="21"/>
        </w:rPr>
        <w:alias w:val="模块:其他"/>
        <w:tag w:val="_SEC_bbf6d8e9e0c34286a1bb4f1de8b79fa7"/>
        <w:id w:val="3160644"/>
        <w:lock w:val="sdtLocked"/>
        <w:placeholder>
          <w:docPart w:val="GBC22222222222222222222222222222"/>
        </w:placeholder>
      </w:sdtPr>
      <w:sdtContent>
        <w:p w:rsidR="00806678" w:rsidRDefault="00B16377" w:rsidP="00FF17C7">
          <w:pPr>
            <w:pStyle w:val="3"/>
            <w:numPr>
              <w:ilvl w:val="0"/>
              <w:numId w:val="36"/>
            </w:numPr>
            <w:rPr>
              <w:szCs w:val="21"/>
            </w:rPr>
          </w:pPr>
          <w:r>
            <w:rPr>
              <w:szCs w:val="21"/>
            </w:rPr>
            <w:t>其他</w:t>
          </w:r>
        </w:p>
        <w:sdt>
          <w:sdtPr>
            <w:rPr>
              <w:rFonts w:hint="eastAsia"/>
              <w:szCs w:val="21"/>
            </w:rPr>
            <w:alias w:val="是否适用：其他董事履行职责情况说明[双击切换]"/>
            <w:tag w:val="_GBC_ba1a70dda14046559f72c5b524ca1125"/>
            <w:id w:val="-1715332740"/>
            <w:lock w:val="sdtLocked"/>
            <w:placeholder>
              <w:docPart w:val="GBC22222222222222222222222222222"/>
            </w:placeholder>
          </w:sdtPr>
          <w:sdtContent>
            <w:p w:rsidR="00806678" w:rsidRDefault="00F80B6C">
              <w:pPr>
                <w:rPr>
                  <w:szCs w:val="21"/>
                </w:rPr>
              </w:pPr>
              <w:r>
                <w:rPr>
                  <w:szCs w:val="21"/>
                </w:rPr>
                <w:fldChar w:fldCharType="begin"/>
              </w:r>
              <w:r w:rsidR="00F86F4A">
                <w:rPr>
                  <w:szCs w:val="21"/>
                </w:rPr>
                <w:instrText xml:space="preserve"> MACROBUTTON  SnrToggleCheckbox □适用  </w:instrText>
              </w:r>
              <w:r>
                <w:rPr>
                  <w:szCs w:val="21"/>
                </w:rPr>
                <w:fldChar w:fldCharType="end"/>
              </w:r>
              <w:r>
                <w:rPr>
                  <w:szCs w:val="21"/>
                </w:rPr>
                <w:fldChar w:fldCharType="begin"/>
              </w:r>
              <w:r w:rsidR="00F86F4A">
                <w:rPr>
                  <w:szCs w:val="21"/>
                </w:rPr>
                <w:instrText xml:space="preserve"> MACROBUTTON  SnrToggleCheckbox √不适用 </w:instrText>
              </w:r>
              <w:r>
                <w:rPr>
                  <w:szCs w:val="21"/>
                </w:rPr>
                <w:fldChar w:fldCharType="end"/>
              </w:r>
            </w:p>
          </w:sdtContent>
        </w:sdt>
      </w:sdtContent>
    </w:sdt>
    <w:p w:rsidR="00806678" w:rsidRDefault="00B16377" w:rsidP="00FF17C7">
      <w:pPr>
        <w:pStyle w:val="2"/>
        <w:numPr>
          <w:ilvl w:val="0"/>
          <w:numId w:val="35"/>
        </w:numPr>
        <w:ind w:left="450" w:hanging="450"/>
      </w:pPr>
      <w:r>
        <w:rPr>
          <w:rFonts w:hint="eastAsia"/>
        </w:rPr>
        <w:t>董事会下设专门委员会情况</w:t>
      </w:r>
    </w:p>
    <w:sdt>
      <w:sdtPr>
        <w:rPr>
          <w:rFonts w:hint="eastAsia"/>
          <w:szCs w:val="21"/>
        </w:rPr>
        <w:alias w:val="是否适用：董事会下设专门委员会情况[双击切换]"/>
        <w:tag w:val="_GBC_88389a2d52e44644a2332ba32500fe69"/>
        <w:id w:val="-1618129326"/>
        <w:lock w:val="sdtContentLocked"/>
        <w:placeholder>
          <w:docPart w:val="GBC22222222222222222222222222222"/>
        </w:placeholder>
      </w:sdtPr>
      <w:sdtContent>
        <w:p w:rsidR="00806678" w:rsidRDefault="00F80B6C">
          <w:pPr>
            <w:rPr>
              <w:szCs w:val="21"/>
            </w:rPr>
          </w:pPr>
          <w:r>
            <w:rPr>
              <w:szCs w:val="21"/>
            </w:rPr>
            <w:fldChar w:fldCharType="begin"/>
          </w:r>
          <w:r w:rsidR="00F86F4A">
            <w:rPr>
              <w:szCs w:val="21"/>
            </w:rPr>
            <w:instrText xml:space="preserve"> MACROBUTTON  SnrToggleCheckbox √适用 </w:instrText>
          </w:r>
          <w:r>
            <w:rPr>
              <w:szCs w:val="21"/>
            </w:rPr>
            <w:fldChar w:fldCharType="end"/>
          </w:r>
          <w:r>
            <w:rPr>
              <w:szCs w:val="21"/>
            </w:rPr>
            <w:fldChar w:fldCharType="begin"/>
          </w:r>
          <w:r w:rsidR="00F86F4A">
            <w:rPr>
              <w:szCs w:val="21"/>
            </w:rPr>
            <w:instrText xml:space="preserve"> MACROBUTTON  SnrToggleCheckbox □不适用 </w:instrText>
          </w:r>
          <w:r>
            <w:rPr>
              <w:szCs w:val="21"/>
            </w:rPr>
            <w:fldChar w:fldCharType="end"/>
          </w:r>
        </w:p>
      </w:sdtContent>
    </w:sdt>
    <w:sdt>
      <w:sdtPr>
        <w:rPr>
          <w:rFonts w:ascii="宋体" w:hAnsi="宋体" w:cs="宋体" w:hint="eastAsia"/>
          <w:b/>
          <w:bCs/>
          <w:kern w:val="0"/>
          <w:szCs w:val="24"/>
        </w:rPr>
        <w:alias w:val="模块:董事会下设专门委员会成员情况"/>
        <w:tag w:val="_SEC_63280ca6bc7d4a03bf45626bc1c8022c"/>
        <w:id w:val="528688886"/>
        <w:lock w:val="sdtLocked"/>
        <w:placeholder>
          <w:docPart w:val="GBC22222222222222222222222222222"/>
        </w:placeholder>
      </w:sdtPr>
      <w:sdtEndPr>
        <w:rPr>
          <w:b w:val="0"/>
          <w:bCs w:val="0"/>
          <w:szCs w:val="21"/>
        </w:rPr>
      </w:sdtEndPr>
      <w:sdtContent>
        <w:p w:rsidR="00806678" w:rsidRDefault="00B16377" w:rsidP="00FF17C7">
          <w:pPr>
            <w:pStyle w:val="a9"/>
            <w:numPr>
              <w:ilvl w:val="0"/>
              <w:numId w:val="131"/>
            </w:numPr>
            <w:ind w:firstLineChars="0"/>
            <w:rPr>
              <w:b/>
              <w:bCs/>
            </w:rPr>
          </w:pPr>
          <w:r>
            <w:rPr>
              <w:rFonts w:hint="eastAsia"/>
              <w:b/>
              <w:bCs/>
            </w:rPr>
            <w:t>董事会下设专门委员会成员情况</w:t>
          </w:r>
        </w:p>
        <w:tbl>
          <w:tblPr>
            <w:tblW w:w="9051" w:type="dxa"/>
            <w:jc w:val="center"/>
            <w:tblLook w:val="04A0"/>
          </w:tblPr>
          <w:tblGrid>
            <w:gridCol w:w="2586"/>
            <w:gridCol w:w="6465"/>
          </w:tblGrid>
          <w:tr w:rsidR="00806678" w:rsidTr="001E2B27">
            <w:trPr>
              <w:trHeight w:val="270"/>
              <w:jc w:val="center"/>
            </w:trPr>
            <w:sdt>
              <w:sdtPr>
                <w:rPr>
                  <w:rFonts w:hint="eastAsia"/>
                  <w:color w:val="000000"/>
                  <w:sz w:val="22"/>
                </w:rPr>
                <w:tag w:val="_PLD_d469fc77cfdc44b0b043e0b1ab52e604"/>
                <w:id w:val="-771097566"/>
                <w:lock w:val="sdtLocked"/>
              </w:sdtPr>
              <w:sdtContent>
                <w:tc>
                  <w:tcPr>
                    <w:tcW w:w="2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6678" w:rsidRDefault="00B16377">
                    <w:pPr>
                      <w:jc w:val="center"/>
                      <w:rPr>
                        <w:color w:val="000000"/>
                        <w:sz w:val="22"/>
                      </w:rPr>
                    </w:pPr>
                    <w:r>
                      <w:rPr>
                        <w:rFonts w:hint="eastAsia"/>
                        <w:color w:val="000000"/>
                        <w:sz w:val="22"/>
                      </w:rPr>
                      <w:t>专门委员会类别</w:t>
                    </w:r>
                  </w:p>
                </w:tc>
              </w:sdtContent>
            </w:sdt>
            <w:sdt>
              <w:sdtPr>
                <w:rPr>
                  <w:rFonts w:hint="eastAsia"/>
                  <w:color w:val="000000"/>
                  <w:sz w:val="22"/>
                </w:rPr>
                <w:tag w:val="_PLD_32d037161ea94d0eb907c4e766b75044"/>
                <w:id w:val="202832077"/>
                <w:lock w:val="sdtLocked"/>
              </w:sdtPr>
              <w:sdtContent>
                <w:tc>
                  <w:tcPr>
                    <w:tcW w:w="6465" w:type="dxa"/>
                    <w:tcBorders>
                      <w:top w:val="single" w:sz="4" w:space="0" w:color="auto"/>
                      <w:left w:val="nil"/>
                      <w:bottom w:val="single" w:sz="4" w:space="0" w:color="auto"/>
                      <w:right w:val="single" w:sz="4" w:space="0" w:color="auto"/>
                    </w:tcBorders>
                    <w:shd w:val="clear" w:color="auto" w:fill="auto"/>
                    <w:noWrap/>
                    <w:vAlign w:val="center"/>
                    <w:hideMark/>
                  </w:tcPr>
                  <w:p w:rsidR="00806678" w:rsidRDefault="00B16377">
                    <w:pPr>
                      <w:jc w:val="center"/>
                      <w:rPr>
                        <w:color w:val="000000"/>
                        <w:sz w:val="22"/>
                      </w:rPr>
                    </w:pPr>
                    <w:r>
                      <w:rPr>
                        <w:rFonts w:hint="eastAsia"/>
                        <w:color w:val="000000"/>
                        <w:sz w:val="22"/>
                      </w:rPr>
                      <w:t>成员姓名</w:t>
                    </w:r>
                  </w:p>
                </w:tc>
              </w:sdtContent>
            </w:sdt>
          </w:tr>
          <w:tr w:rsidR="00806678" w:rsidTr="001E2B27">
            <w:trPr>
              <w:trHeight w:val="270"/>
              <w:jc w:val="center"/>
            </w:trPr>
            <w:sdt>
              <w:sdtPr>
                <w:rPr>
                  <w:rFonts w:hint="eastAsia"/>
                  <w:color w:val="000000"/>
                  <w:sz w:val="22"/>
                </w:rPr>
                <w:tag w:val="_PLD_4f651a236a71471681339e395abe2d3e"/>
                <w:id w:val="-1647122788"/>
                <w:lock w:val="sdtLocked"/>
              </w:sdtPr>
              <w:sdtContent>
                <w:tc>
                  <w:tcPr>
                    <w:tcW w:w="2586" w:type="dxa"/>
                    <w:tcBorders>
                      <w:top w:val="nil"/>
                      <w:left w:val="single" w:sz="4" w:space="0" w:color="auto"/>
                      <w:bottom w:val="single" w:sz="4" w:space="0" w:color="auto"/>
                      <w:right w:val="single" w:sz="4" w:space="0" w:color="auto"/>
                    </w:tcBorders>
                    <w:shd w:val="clear" w:color="auto" w:fill="auto"/>
                    <w:noWrap/>
                    <w:vAlign w:val="center"/>
                    <w:hideMark/>
                  </w:tcPr>
                  <w:p w:rsidR="00806678" w:rsidRDefault="00B16377">
                    <w:pPr>
                      <w:rPr>
                        <w:color w:val="000000"/>
                        <w:sz w:val="22"/>
                      </w:rPr>
                    </w:pPr>
                    <w:r>
                      <w:rPr>
                        <w:rFonts w:hint="eastAsia"/>
                        <w:color w:val="000000"/>
                        <w:sz w:val="22"/>
                      </w:rPr>
                      <w:t>审计委员会</w:t>
                    </w:r>
                  </w:p>
                </w:tc>
              </w:sdtContent>
            </w:sdt>
            <w:tc>
              <w:tcPr>
                <w:tcW w:w="6465" w:type="dxa"/>
                <w:tcBorders>
                  <w:top w:val="nil"/>
                  <w:left w:val="nil"/>
                  <w:bottom w:val="single" w:sz="4" w:space="0" w:color="auto"/>
                  <w:right w:val="single" w:sz="4" w:space="0" w:color="auto"/>
                </w:tcBorders>
                <w:shd w:val="clear" w:color="auto" w:fill="auto"/>
                <w:noWrap/>
                <w:vAlign w:val="center"/>
                <w:hideMark/>
              </w:tcPr>
              <w:p w:rsidR="00806678" w:rsidRPr="00263ABB" w:rsidRDefault="00613F25">
                <w:pPr>
                  <w:rPr>
                    <w:szCs w:val="21"/>
                  </w:rPr>
                </w:pPr>
                <w:r w:rsidRPr="00263ABB">
                  <w:rPr>
                    <w:rFonts w:ascii="Times New Roman" w:hint="eastAsia"/>
                    <w:szCs w:val="21"/>
                  </w:rPr>
                  <w:t>樊燕萍、陈磊、张利荣</w:t>
                </w:r>
              </w:p>
            </w:tc>
          </w:tr>
          <w:tr w:rsidR="00806678" w:rsidTr="001E2B27">
            <w:trPr>
              <w:trHeight w:val="270"/>
              <w:jc w:val="center"/>
            </w:trPr>
            <w:sdt>
              <w:sdtPr>
                <w:rPr>
                  <w:rFonts w:hint="eastAsia"/>
                  <w:color w:val="000000"/>
                  <w:sz w:val="22"/>
                </w:rPr>
                <w:tag w:val="_PLD_d58b9a2a2437447ba19ee3dd26c72f97"/>
                <w:id w:val="-1183201875"/>
                <w:lock w:val="sdtLocked"/>
              </w:sdtPr>
              <w:sdtContent>
                <w:tc>
                  <w:tcPr>
                    <w:tcW w:w="2586" w:type="dxa"/>
                    <w:tcBorders>
                      <w:top w:val="nil"/>
                      <w:left w:val="single" w:sz="4" w:space="0" w:color="auto"/>
                      <w:bottom w:val="single" w:sz="4" w:space="0" w:color="auto"/>
                      <w:right w:val="single" w:sz="4" w:space="0" w:color="auto"/>
                    </w:tcBorders>
                    <w:shd w:val="clear" w:color="auto" w:fill="auto"/>
                    <w:noWrap/>
                    <w:vAlign w:val="center"/>
                    <w:hideMark/>
                  </w:tcPr>
                  <w:p w:rsidR="00806678" w:rsidRDefault="00B16377">
                    <w:pPr>
                      <w:rPr>
                        <w:color w:val="000000"/>
                        <w:sz w:val="22"/>
                      </w:rPr>
                    </w:pPr>
                    <w:r>
                      <w:rPr>
                        <w:rFonts w:hint="eastAsia"/>
                        <w:color w:val="000000"/>
                        <w:sz w:val="22"/>
                      </w:rPr>
                      <w:t>提名委员会</w:t>
                    </w:r>
                  </w:p>
                </w:tc>
              </w:sdtContent>
            </w:sdt>
            <w:tc>
              <w:tcPr>
                <w:tcW w:w="6465" w:type="dxa"/>
                <w:tcBorders>
                  <w:top w:val="nil"/>
                  <w:left w:val="nil"/>
                  <w:bottom w:val="single" w:sz="4" w:space="0" w:color="auto"/>
                  <w:right w:val="single" w:sz="4" w:space="0" w:color="auto"/>
                </w:tcBorders>
                <w:shd w:val="clear" w:color="auto" w:fill="auto"/>
                <w:noWrap/>
                <w:vAlign w:val="center"/>
                <w:hideMark/>
              </w:tcPr>
              <w:p w:rsidR="00806678" w:rsidRPr="00263ABB" w:rsidRDefault="00263ABB">
                <w:pPr>
                  <w:rPr>
                    <w:szCs w:val="21"/>
                  </w:rPr>
                </w:pPr>
                <w:r w:rsidRPr="00263ABB">
                  <w:rPr>
                    <w:rFonts w:ascii="Times New Roman" w:hint="eastAsia"/>
                    <w:szCs w:val="21"/>
                  </w:rPr>
                  <w:t>郝生跃、王道阔、许光建</w:t>
                </w:r>
              </w:p>
            </w:tc>
          </w:tr>
          <w:tr w:rsidR="00806678" w:rsidTr="001E2B27">
            <w:trPr>
              <w:trHeight w:val="270"/>
              <w:jc w:val="center"/>
            </w:trPr>
            <w:sdt>
              <w:sdtPr>
                <w:rPr>
                  <w:rFonts w:hint="eastAsia"/>
                  <w:color w:val="000000"/>
                  <w:sz w:val="22"/>
                </w:rPr>
                <w:tag w:val="_PLD_19c89dae0d414340a6a6a86aa2beba6d"/>
                <w:id w:val="687336257"/>
                <w:lock w:val="sdtLocked"/>
              </w:sdtPr>
              <w:sdtContent>
                <w:tc>
                  <w:tcPr>
                    <w:tcW w:w="2586" w:type="dxa"/>
                    <w:tcBorders>
                      <w:top w:val="nil"/>
                      <w:left w:val="single" w:sz="4" w:space="0" w:color="auto"/>
                      <w:bottom w:val="single" w:sz="4" w:space="0" w:color="auto"/>
                      <w:right w:val="single" w:sz="4" w:space="0" w:color="auto"/>
                    </w:tcBorders>
                    <w:shd w:val="clear" w:color="auto" w:fill="auto"/>
                    <w:noWrap/>
                    <w:vAlign w:val="center"/>
                    <w:hideMark/>
                  </w:tcPr>
                  <w:p w:rsidR="00806678" w:rsidRDefault="00B16377">
                    <w:pPr>
                      <w:rPr>
                        <w:color w:val="000000"/>
                        <w:sz w:val="22"/>
                      </w:rPr>
                    </w:pPr>
                    <w:r>
                      <w:rPr>
                        <w:rFonts w:hint="eastAsia"/>
                        <w:color w:val="000000"/>
                        <w:sz w:val="22"/>
                      </w:rPr>
                      <w:t>薪酬与考核委员会</w:t>
                    </w:r>
                  </w:p>
                </w:tc>
              </w:sdtContent>
            </w:sdt>
            <w:tc>
              <w:tcPr>
                <w:tcW w:w="6465" w:type="dxa"/>
                <w:tcBorders>
                  <w:top w:val="nil"/>
                  <w:left w:val="nil"/>
                  <w:bottom w:val="single" w:sz="4" w:space="0" w:color="auto"/>
                  <w:right w:val="single" w:sz="4" w:space="0" w:color="auto"/>
                </w:tcBorders>
                <w:shd w:val="clear" w:color="auto" w:fill="auto"/>
                <w:noWrap/>
                <w:vAlign w:val="center"/>
                <w:hideMark/>
              </w:tcPr>
              <w:p w:rsidR="00806678" w:rsidRPr="00263ABB" w:rsidRDefault="00263ABB">
                <w:pPr>
                  <w:rPr>
                    <w:szCs w:val="21"/>
                  </w:rPr>
                </w:pPr>
                <w:r w:rsidRPr="00263ABB">
                  <w:rPr>
                    <w:rFonts w:ascii="Times New Roman" w:hint="eastAsia"/>
                    <w:szCs w:val="21"/>
                  </w:rPr>
                  <w:t>许光建、樊燕萍、齐志勇</w:t>
                </w:r>
              </w:p>
            </w:tc>
          </w:tr>
          <w:tr w:rsidR="00806678" w:rsidTr="001E2B27">
            <w:trPr>
              <w:trHeight w:val="270"/>
              <w:jc w:val="center"/>
            </w:trPr>
            <w:sdt>
              <w:sdtPr>
                <w:rPr>
                  <w:rFonts w:hint="eastAsia"/>
                  <w:color w:val="000000"/>
                  <w:sz w:val="22"/>
                </w:rPr>
                <w:tag w:val="_PLD_12c5e418d6c54148af62a22bed7a134c"/>
                <w:id w:val="678242332"/>
                <w:lock w:val="sdtLocked"/>
              </w:sdtPr>
              <w:sdtContent>
                <w:tc>
                  <w:tcPr>
                    <w:tcW w:w="2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6678" w:rsidRDefault="00B16377">
                    <w:pPr>
                      <w:rPr>
                        <w:color w:val="000000"/>
                        <w:sz w:val="22"/>
                      </w:rPr>
                    </w:pPr>
                    <w:r>
                      <w:rPr>
                        <w:rFonts w:hint="eastAsia"/>
                        <w:color w:val="000000"/>
                        <w:sz w:val="22"/>
                      </w:rPr>
                      <w:t>战略委员会</w:t>
                    </w:r>
                  </w:p>
                </w:tc>
              </w:sdtContent>
            </w:sdt>
            <w:tc>
              <w:tcPr>
                <w:tcW w:w="6465" w:type="dxa"/>
                <w:tcBorders>
                  <w:top w:val="single" w:sz="4" w:space="0" w:color="auto"/>
                  <w:left w:val="nil"/>
                  <w:bottom w:val="single" w:sz="4" w:space="0" w:color="auto"/>
                  <w:right w:val="single" w:sz="4" w:space="0" w:color="auto"/>
                </w:tcBorders>
                <w:shd w:val="clear" w:color="auto" w:fill="auto"/>
                <w:noWrap/>
                <w:vAlign w:val="center"/>
                <w:hideMark/>
              </w:tcPr>
              <w:p w:rsidR="00806678" w:rsidRDefault="00263ABB">
                <w:pPr>
                  <w:rPr>
                    <w:sz w:val="22"/>
                  </w:rPr>
                </w:pPr>
                <w:r>
                  <w:rPr>
                    <w:rFonts w:hint="eastAsia"/>
                    <w:sz w:val="22"/>
                  </w:rPr>
                  <w:t>戴弘</w:t>
                </w:r>
                <w:r w:rsidRPr="00263ABB">
                  <w:rPr>
                    <w:rFonts w:hint="eastAsia"/>
                    <w:sz w:val="22"/>
                  </w:rPr>
                  <w:t>、王道阔、韩洪臣、杨文胜、郝生跃</w:t>
                </w:r>
              </w:p>
            </w:tc>
          </w:tr>
        </w:tbl>
        <w:p w:rsidR="00806678" w:rsidRDefault="00F80B6C">
          <w:pPr>
            <w:rPr>
              <w:szCs w:val="21"/>
            </w:rPr>
          </w:pPr>
        </w:p>
      </w:sdtContent>
    </w:sdt>
    <w:sdt>
      <w:sdtPr>
        <w:rPr>
          <w:rFonts w:ascii="宋体" w:hAnsi="宋体" w:cs="宋体" w:hint="eastAsia"/>
          <w:b/>
          <w:bCs/>
          <w:kern w:val="0"/>
          <w:szCs w:val="24"/>
        </w:rPr>
        <w:alias w:val="模块:专门委员会召开会议情况"/>
        <w:tag w:val="_SEC_1e3a9c0a15ba40d1bda51574352f1bf7"/>
        <w:id w:val="-1213182592"/>
        <w:lock w:val="sdtLocked"/>
        <w:placeholder>
          <w:docPart w:val="GBC22222222222222222222222222222"/>
        </w:placeholder>
      </w:sdtPr>
      <w:sdtEndPr>
        <w:rPr>
          <w:b w:val="0"/>
          <w:bCs w:val="0"/>
        </w:rPr>
      </w:sdtEndPr>
      <w:sdtContent>
        <w:p w:rsidR="00806678" w:rsidRDefault="00B16377" w:rsidP="00FF17C7">
          <w:pPr>
            <w:pStyle w:val="a9"/>
            <w:numPr>
              <w:ilvl w:val="0"/>
              <w:numId w:val="131"/>
            </w:numPr>
            <w:ind w:firstLineChars="0"/>
            <w:rPr>
              <w:b/>
              <w:bCs/>
            </w:rPr>
          </w:pPr>
          <w:r>
            <w:rPr>
              <w:rFonts w:hint="eastAsia"/>
              <w:b/>
              <w:bCs/>
            </w:rPr>
            <w:t>报告期内</w:t>
          </w:r>
          <w:sdt>
            <w:sdtPr>
              <w:rPr>
                <w:rFonts w:hint="eastAsia"/>
                <w:b/>
                <w:bCs/>
              </w:rPr>
              <w:alias w:val="召开会议的专门委员会类别"/>
              <w:tag w:val="_GBC_adf76ecbe3584f07b573642215a867bd"/>
              <w:id w:val="355386276"/>
              <w:lock w:val="sdtLocked"/>
              <w:placeholder>
                <w:docPart w:val="GBC22222222222222222222222222222"/>
              </w:placeholder>
            </w:sdtPr>
            <w:sdtContent>
              <w:r w:rsidR="003B71CE">
                <w:rPr>
                  <w:rFonts w:hint="eastAsia"/>
                  <w:b/>
                  <w:bCs/>
                </w:rPr>
                <w:t>审计</w:t>
              </w:r>
            </w:sdtContent>
          </w:sdt>
          <w:r>
            <w:rPr>
              <w:rFonts w:hint="eastAsia"/>
              <w:b/>
              <w:bCs/>
            </w:rPr>
            <w:t>委员会召开</w:t>
          </w:r>
          <w:sdt>
            <w:sdtPr>
              <w:rPr>
                <w:rFonts w:hint="eastAsia"/>
                <w:b/>
                <w:bCs/>
              </w:rPr>
              <w:alias w:val="报告期内召开专门委员会会议次数"/>
              <w:tag w:val="_GBC_7bf2cd7c3a6a4685ac9c89ee396352a0"/>
              <w:id w:val="-2020994170"/>
              <w:lock w:val="sdtLocked"/>
              <w:placeholder>
                <w:docPart w:val="GBC22222222222222222222222222222"/>
              </w:placeholder>
            </w:sdtPr>
            <w:sdtContent>
              <w:r w:rsidR="00046485">
                <w:rPr>
                  <w:rFonts w:hint="eastAsia"/>
                  <w:b/>
                  <w:bCs/>
                </w:rPr>
                <w:t>5</w:t>
              </w:r>
            </w:sdtContent>
          </w:sdt>
          <w:r>
            <w:rPr>
              <w:rFonts w:hint="eastAsia"/>
              <w:b/>
              <w:bCs/>
            </w:rPr>
            <w:t>次会议</w:t>
          </w: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67"/>
            <w:gridCol w:w="4369"/>
            <w:gridCol w:w="2126"/>
            <w:gridCol w:w="1276"/>
          </w:tblGrid>
          <w:tr w:rsidR="00806678" w:rsidTr="00EB12EC">
            <w:sdt>
              <w:sdtPr>
                <w:rPr>
                  <w:rFonts w:hint="eastAsia"/>
                  <w:szCs w:val="21"/>
                </w:rPr>
                <w:tag w:val="_PLD_81aefc289fbf48b1865138608d8bd14f"/>
                <w:id w:val="-222372695"/>
                <w:lock w:val="sdtLocked"/>
              </w:sdtPr>
              <w:sdtContent>
                <w:tc>
                  <w:tcPr>
                    <w:tcW w:w="701" w:type="pct"/>
                    <w:shd w:val="clear" w:color="auto" w:fill="auto"/>
                    <w:vAlign w:val="center"/>
                  </w:tcPr>
                  <w:p w:rsidR="00806678" w:rsidRDefault="00B16377">
                    <w:pPr>
                      <w:widowControl w:val="0"/>
                      <w:jc w:val="center"/>
                      <w:rPr>
                        <w:szCs w:val="21"/>
                      </w:rPr>
                    </w:pPr>
                    <w:r>
                      <w:rPr>
                        <w:rFonts w:hint="eastAsia"/>
                        <w:szCs w:val="21"/>
                      </w:rPr>
                      <w:t>召开日期</w:t>
                    </w:r>
                  </w:p>
                </w:tc>
              </w:sdtContent>
            </w:sdt>
            <w:sdt>
              <w:sdtPr>
                <w:rPr>
                  <w:rFonts w:hint="eastAsia"/>
                  <w:szCs w:val="21"/>
                </w:rPr>
                <w:tag w:val="_PLD_9d24b601ec70414eb969daf6b393edc8"/>
                <w:id w:val="-372302272"/>
                <w:lock w:val="sdtLocked"/>
              </w:sdtPr>
              <w:sdtContent>
                <w:tc>
                  <w:tcPr>
                    <w:tcW w:w="2417" w:type="pct"/>
                    <w:shd w:val="clear" w:color="auto" w:fill="auto"/>
                    <w:vAlign w:val="center"/>
                  </w:tcPr>
                  <w:p w:rsidR="00806678" w:rsidRDefault="00B16377">
                    <w:pPr>
                      <w:widowControl w:val="0"/>
                      <w:jc w:val="center"/>
                      <w:rPr>
                        <w:szCs w:val="21"/>
                      </w:rPr>
                    </w:pPr>
                    <w:r>
                      <w:rPr>
                        <w:rFonts w:hint="eastAsia"/>
                        <w:szCs w:val="21"/>
                      </w:rPr>
                      <w:t>会议内容</w:t>
                    </w:r>
                  </w:p>
                </w:tc>
              </w:sdtContent>
            </w:sdt>
            <w:sdt>
              <w:sdtPr>
                <w:rPr>
                  <w:rFonts w:hint="eastAsia"/>
                  <w:szCs w:val="21"/>
                </w:rPr>
                <w:tag w:val="_PLD_6ea19dadc3684e98a6d98faaf035a9d9"/>
                <w:id w:val="1088048662"/>
                <w:lock w:val="sdtLocked"/>
              </w:sdtPr>
              <w:sdtContent>
                <w:tc>
                  <w:tcPr>
                    <w:tcW w:w="1176" w:type="pct"/>
                    <w:shd w:val="clear" w:color="auto" w:fill="auto"/>
                    <w:vAlign w:val="center"/>
                  </w:tcPr>
                  <w:p w:rsidR="00806678" w:rsidRDefault="00B16377">
                    <w:pPr>
                      <w:widowControl w:val="0"/>
                      <w:jc w:val="center"/>
                      <w:rPr>
                        <w:szCs w:val="21"/>
                      </w:rPr>
                    </w:pPr>
                    <w:r>
                      <w:rPr>
                        <w:rFonts w:hint="eastAsia"/>
                        <w:szCs w:val="21"/>
                      </w:rPr>
                      <w:t>重要意见和建议</w:t>
                    </w:r>
                  </w:p>
                </w:tc>
              </w:sdtContent>
            </w:sdt>
            <w:sdt>
              <w:sdtPr>
                <w:rPr>
                  <w:rFonts w:hint="eastAsia"/>
                  <w:szCs w:val="21"/>
                </w:rPr>
                <w:tag w:val="_PLD_ef03d3ffb00740008011022cb6a96805"/>
                <w:id w:val="-1806238854"/>
                <w:lock w:val="sdtLocked"/>
              </w:sdtPr>
              <w:sdtContent>
                <w:tc>
                  <w:tcPr>
                    <w:tcW w:w="706" w:type="pct"/>
                    <w:shd w:val="clear" w:color="auto" w:fill="auto"/>
                    <w:vAlign w:val="center"/>
                  </w:tcPr>
                  <w:p w:rsidR="00806678" w:rsidRDefault="00B16377">
                    <w:pPr>
                      <w:widowControl w:val="0"/>
                      <w:jc w:val="center"/>
                      <w:rPr>
                        <w:szCs w:val="21"/>
                      </w:rPr>
                    </w:pPr>
                    <w:r>
                      <w:rPr>
                        <w:rFonts w:hint="eastAsia"/>
                        <w:szCs w:val="21"/>
                      </w:rPr>
                      <w:t>其他履行职责情况</w:t>
                    </w:r>
                  </w:p>
                </w:tc>
              </w:sdtContent>
            </w:sdt>
          </w:tr>
          <w:sdt>
            <w:sdtPr>
              <w:rPr>
                <w:szCs w:val="21"/>
              </w:rPr>
              <w:alias w:val="董事会下设专门委员会情况明细"/>
              <w:tag w:val="_TUP_ba8ed794bebb4cad9c2e7f1db76b0a19"/>
              <w:id w:val="33111384"/>
              <w:lock w:val="sdtLocked"/>
            </w:sdtPr>
            <w:sdtContent>
              <w:tr w:rsidR="00806678" w:rsidTr="00EB12EC">
                <w:tc>
                  <w:tcPr>
                    <w:tcW w:w="701" w:type="pct"/>
                    <w:shd w:val="clear" w:color="auto" w:fill="auto"/>
                  </w:tcPr>
                  <w:p w:rsidR="00806678" w:rsidRDefault="00387938">
                    <w:pPr>
                      <w:widowControl w:val="0"/>
                      <w:jc w:val="both"/>
                      <w:rPr>
                        <w:szCs w:val="21"/>
                      </w:rPr>
                    </w:pPr>
                    <w:r>
                      <w:rPr>
                        <w:rFonts w:hint="eastAsia"/>
                        <w:szCs w:val="21"/>
                      </w:rPr>
                      <w:t>2022-04-12</w:t>
                    </w:r>
                  </w:p>
                </w:tc>
                <w:tc>
                  <w:tcPr>
                    <w:tcW w:w="2417" w:type="pct"/>
                    <w:shd w:val="clear" w:color="auto" w:fill="auto"/>
                  </w:tcPr>
                  <w:p w:rsidR="00806678" w:rsidRDefault="00387938" w:rsidP="00387938">
                    <w:pPr>
                      <w:widowControl w:val="0"/>
                      <w:jc w:val="both"/>
                      <w:rPr>
                        <w:szCs w:val="21"/>
                      </w:rPr>
                    </w:pPr>
                    <w:r w:rsidRPr="00387938">
                      <w:rPr>
                        <w:rFonts w:hint="eastAsia"/>
                        <w:szCs w:val="21"/>
                      </w:rPr>
                      <w:t>对</w:t>
                    </w:r>
                    <w:r>
                      <w:rPr>
                        <w:rFonts w:hint="eastAsia"/>
                        <w:szCs w:val="21"/>
                      </w:rPr>
                      <w:t>关联交易</w:t>
                    </w:r>
                    <w:r w:rsidRPr="00387938">
                      <w:rPr>
                        <w:rFonts w:hint="eastAsia"/>
                        <w:szCs w:val="21"/>
                      </w:rPr>
                      <w:t>、续聘审计机构、利润分配</w:t>
                    </w:r>
                    <w:r w:rsidR="008F555E">
                      <w:rPr>
                        <w:rFonts w:hint="eastAsia"/>
                        <w:szCs w:val="21"/>
                      </w:rPr>
                      <w:t>、</w:t>
                    </w:r>
                    <w:r w:rsidR="008F555E" w:rsidRPr="008F555E">
                      <w:rPr>
                        <w:rFonts w:hint="eastAsia"/>
                        <w:szCs w:val="21"/>
                      </w:rPr>
                      <w:t>募集资金管理和使用</w:t>
                    </w:r>
                    <w:r w:rsidRPr="00387938">
                      <w:rPr>
                        <w:rFonts w:hint="eastAsia"/>
                        <w:szCs w:val="21"/>
                      </w:rPr>
                      <w:t>等事项进行审议。</w:t>
                    </w:r>
                  </w:p>
                </w:tc>
                <w:tc>
                  <w:tcPr>
                    <w:tcW w:w="1176" w:type="pct"/>
                    <w:shd w:val="clear" w:color="auto" w:fill="auto"/>
                  </w:tcPr>
                  <w:p w:rsidR="00806678" w:rsidRDefault="00387938">
                    <w:pPr>
                      <w:widowControl w:val="0"/>
                      <w:jc w:val="both"/>
                      <w:rPr>
                        <w:szCs w:val="21"/>
                      </w:rPr>
                    </w:pPr>
                    <w:r w:rsidRPr="00387938">
                      <w:rPr>
                        <w:rFonts w:hint="eastAsia"/>
                        <w:szCs w:val="21"/>
                      </w:rPr>
                      <w:t>同意将相关事项提交董事会审议。</w:t>
                    </w:r>
                  </w:p>
                </w:tc>
                <w:tc>
                  <w:tcPr>
                    <w:tcW w:w="706" w:type="pct"/>
                    <w:shd w:val="clear" w:color="auto" w:fill="auto"/>
                  </w:tcPr>
                  <w:p w:rsidR="00806678" w:rsidRDefault="00806678">
                    <w:pPr>
                      <w:widowControl w:val="0"/>
                      <w:jc w:val="both"/>
                      <w:rPr>
                        <w:szCs w:val="21"/>
                      </w:rPr>
                    </w:pPr>
                  </w:p>
                </w:tc>
              </w:tr>
            </w:sdtContent>
          </w:sdt>
          <w:sdt>
            <w:sdtPr>
              <w:rPr>
                <w:szCs w:val="21"/>
              </w:rPr>
              <w:alias w:val="董事会下设专门委员会情况明细"/>
              <w:tag w:val="_TUP_ba8ed794bebb4cad9c2e7f1db76b0a19"/>
              <w:id w:val="3681572"/>
              <w:lock w:val="sdtLocked"/>
            </w:sdtPr>
            <w:sdtContent>
              <w:tr w:rsidR="00387938" w:rsidTr="00EB12EC">
                <w:tc>
                  <w:tcPr>
                    <w:tcW w:w="701" w:type="pct"/>
                    <w:shd w:val="clear" w:color="auto" w:fill="auto"/>
                  </w:tcPr>
                  <w:p w:rsidR="00387938" w:rsidRDefault="00387938">
                    <w:pPr>
                      <w:widowControl w:val="0"/>
                      <w:jc w:val="both"/>
                      <w:rPr>
                        <w:szCs w:val="21"/>
                      </w:rPr>
                    </w:pPr>
                    <w:r>
                      <w:rPr>
                        <w:rFonts w:hint="eastAsia"/>
                        <w:szCs w:val="21"/>
                      </w:rPr>
                      <w:t>2022-08-16</w:t>
                    </w:r>
                  </w:p>
                </w:tc>
                <w:tc>
                  <w:tcPr>
                    <w:tcW w:w="2417" w:type="pct"/>
                    <w:shd w:val="clear" w:color="auto" w:fill="auto"/>
                  </w:tcPr>
                  <w:p w:rsidR="00387938" w:rsidRDefault="00387938">
                    <w:pPr>
                      <w:widowControl w:val="0"/>
                      <w:jc w:val="both"/>
                      <w:rPr>
                        <w:szCs w:val="21"/>
                      </w:rPr>
                    </w:pPr>
                    <w:r w:rsidRPr="00387938">
                      <w:rPr>
                        <w:rFonts w:hint="eastAsia"/>
                        <w:szCs w:val="21"/>
                      </w:rPr>
                      <w:t>上半年关联交易执行、</w:t>
                    </w:r>
                    <w:r w:rsidR="008F555E" w:rsidRPr="008F555E">
                      <w:rPr>
                        <w:rFonts w:hint="eastAsia"/>
                        <w:szCs w:val="21"/>
                      </w:rPr>
                      <w:t>募集资金管理和使用</w:t>
                    </w:r>
                    <w:r w:rsidR="008F555E">
                      <w:rPr>
                        <w:rFonts w:hint="eastAsia"/>
                        <w:szCs w:val="21"/>
                      </w:rPr>
                      <w:t>、</w:t>
                    </w:r>
                    <w:r w:rsidRPr="00387938">
                      <w:rPr>
                        <w:rFonts w:hint="eastAsia"/>
                        <w:szCs w:val="21"/>
                      </w:rPr>
                      <w:lastRenderedPageBreak/>
                      <w:t>内审内控工作情况等。</w:t>
                    </w:r>
                  </w:p>
                </w:tc>
                <w:tc>
                  <w:tcPr>
                    <w:tcW w:w="1176" w:type="pct"/>
                    <w:shd w:val="clear" w:color="auto" w:fill="auto"/>
                  </w:tcPr>
                  <w:p w:rsidR="00387938" w:rsidRDefault="00387938">
                    <w:pPr>
                      <w:widowControl w:val="0"/>
                      <w:jc w:val="both"/>
                      <w:rPr>
                        <w:szCs w:val="21"/>
                      </w:rPr>
                    </w:pPr>
                    <w:r w:rsidRPr="00387938">
                      <w:rPr>
                        <w:rFonts w:hint="eastAsia"/>
                        <w:szCs w:val="21"/>
                      </w:rPr>
                      <w:lastRenderedPageBreak/>
                      <w:t>同意相关事项。</w:t>
                    </w:r>
                  </w:p>
                </w:tc>
                <w:tc>
                  <w:tcPr>
                    <w:tcW w:w="706" w:type="pct"/>
                    <w:shd w:val="clear" w:color="auto" w:fill="auto"/>
                  </w:tcPr>
                  <w:p w:rsidR="00387938" w:rsidRDefault="00387938">
                    <w:pPr>
                      <w:widowControl w:val="0"/>
                      <w:jc w:val="both"/>
                      <w:rPr>
                        <w:szCs w:val="21"/>
                      </w:rPr>
                    </w:pPr>
                  </w:p>
                </w:tc>
              </w:tr>
            </w:sdtContent>
          </w:sdt>
          <w:sdt>
            <w:sdtPr>
              <w:rPr>
                <w:szCs w:val="21"/>
              </w:rPr>
              <w:alias w:val="董事会下设专门委员会情况明细"/>
              <w:tag w:val="_TUP_ba8ed794bebb4cad9c2e7f1db76b0a19"/>
              <w:id w:val="3681550"/>
              <w:lock w:val="sdtLocked"/>
            </w:sdtPr>
            <w:sdtContent>
              <w:tr w:rsidR="00387938" w:rsidTr="00EB12EC">
                <w:tc>
                  <w:tcPr>
                    <w:tcW w:w="701" w:type="pct"/>
                    <w:shd w:val="clear" w:color="auto" w:fill="auto"/>
                  </w:tcPr>
                  <w:p w:rsidR="00387938" w:rsidRDefault="00387938">
                    <w:pPr>
                      <w:widowControl w:val="0"/>
                      <w:jc w:val="both"/>
                      <w:rPr>
                        <w:szCs w:val="21"/>
                      </w:rPr>
                    </w:pPr>
                    <w:r>
                      <w:rPr>
                        <w:rFonts w:hint="eastAsia"/>
                        <w:szCs w:val="21"/>
                      </w:rPr>
                      <w:t>2022-10-12</w:t>
                    </w:r>
                  </w:p>
                </w:tc>
                <w:tc>
                  <w:tcPr>
                    <w:tcW w:w="2417" w:type="pct"/>
                    <w:shd w:val="clear" w:color="auto" w:fill="auto"/>
                  </w:tcPr>
                  <w:p w:rsidR="00387938" w:rsidRDefault="00387938">
                    <w:pPr>
                      <w:widowControl w:val="0"/>
                      <w:jc w:val="both"/>
                      <w:rPr>
                        <w:szCs w:val="21"/>
                      </w:rPr>
                    </w:pPr>
                    <w:r>
                      <w:rPr>
                        <w:rFonts w:hint="eastAsia"/>
                        <w:szCs w:val="21"/>
                      </w:rPr>
                      <w:t>前三季度经营情况、内审计划执行情况</w:t>
                    </w:r>
                    <w:r w:rsidR="00C844C0">
                      <w:rPr>
                        <w:rFonts w:hint="eastAsia"/>
                        <w:szCs w:val="21"/>
                      </w:rPr>
                      <w:t>.</w:t>
                    </w:r>
                  </w:p>
                </w:tc>
                <w:tc>
                  <w:tcPr>
                    <w:tcW w:w="1176" w:type="pct"/>
                    <w:shd w:val="clear" w:color="auto" w:fill="auto"/>
                  </w:tcPr>
                  <w:p w:rsidR="00387938" w:rsidRDefault="00387938">
                    <w:pPr>
                      <w:widowControl w:val="0"/>
                      <w:jc w:val="both"/>
                      <w:rPr>
                        <w:szCs w:val="21"/>
                      </w:rPr>
                    </w:pPr>
                    <w:r w:rsidRPr="00387938">
                      <w:rPr>
                        <w:rFonts w:hint="eastAsia"/>
                        <w:szCs w:val="21"/>
                      </w:rPr>
                      <w:t>同意相关事项。</w:t>
                    </w:r>
                  </w:p>
                </w:tc>
                <w:tc>
                  <w:tcPr>
                    <w:tcW w:w="706" w:type="pct"/>
                    <w:shd w:val="clear" w:color="auto" w:fill="auto"/>
                  </w:tcPr>
                  <w:p w:rsidR="00387938" w:rsidRDefault="00387938">
                    <w:pPr>
                      <w:widowControl w:val="0"/>
                      <w:jc w:val="both"/>
                      <w:rPr>
                        <w:szCs w:val="21"/>
                      </w:rPr>
                    </w:pPr>
                  </w:p>
                </w:tc>
              </w:tr>
            </w:sdtContent>
          </w:sdt>
          <w:sdt>
            <w:sdtPr>
              <w:rPr>
                <w:szCs w:val="21"/>
              </w:rPr>
              <w:alias w:val="董事会下设专门委员会情况明细"/>
              <w:tag w:val="_TUP_ba8ed794bebb4cad9c2e7f1db76b0a19"/>
              <w:id w:val="3681530"/>
              <w:lock w:val="sdtLocked"/>
            </w:sdtPr>
            <w:sdtContent>
              <w:tr w:rsidR="00387938" w:rsidTr="00EB12EC">
                <w:tc>
                  <w:tcPr>
                    <w:tcW w:w="701" w:type="pct"/>
                    <w:shd w:val="clear" w:color="auto" w:fill="auto"/>
                  </w:tcPr>
                  <w:p w:rsidR="00387938" w:rsidRDefault="00387938">
                    <w:pPr>
                      <w:widowControl w:val="0"/>
                      <w:jc w:val="both"/>
                      <w:rPr>
                        <w:szCs w:val="21"/>
                      </w:rPr>
                    </w:pPr>
                    <w:r>
                      <w:rPr>
                        <w:rFonts w:hint="eastAsia"/>
                        <w:szCs w:val="21"/>
                      </w:rPr>
                      <w:t>2022-11-30</w:t>
                    </w:r>
                  </w:p>
                </w:tc>
                <w:tc>
                  <w:tcPr>
                    <w:tcW w:w="2417" w:type="pct"/>
                    <w:shd w:val="clear" w:color="auto" w:fill="auto"/>
                  </w:tcPr>
                  <w:p w:rsidR="00387938" w:rsidRDefault="00387938">
                    <w:pPr>
                      <w:widowControl w:val="0"/>
                      <w:jc w:val="both"/>
                      <w:rPr>
                        <w:szCs w:val="21"/>
                      </w:rPr>
                    </w:pPr>
                    <w:r>
                      <w:rPr>
                        <w:rFonts w:hint="eastAsia"/>
                        <w:szCs w:val="21"/>
                      </w:rPr>
                      <w:t>审议</w:t>
                    </w:r>
                    <w:r w:rsidR="00C844C0">
                      <w:rPr>
                        <w:rFonts w:hint="eastAsia"/>
                        <w:szCs w:val="21"/>
                      </w:rPr>
                      <w:t>与国</w:t>
                    </w:r>
                    <w:r w:rsidR="00BC363A">
                      <w:rPr>
                        <w:rFonts w:hint="eastAsia"/>
                        <w:szCs w:val="21"/>
                      </w:rPr>
                      <w:t>家</w:t>
                    </w:r>
                    <w:r w:rsidR="00C844C0">
                      <w:rPr>
                        <w:rFonts w:hint="eastAsia"/>
                        <w:szCs w:val="21"/>
                      </w:rPr>
                      <w:t>铁</w:t>
                    </w:r>
                    <w:r w:rsidR="00BC363A">
                      <w:rPr>
                        <w:rFonts w:hint="eastAsia"/>
                        <w:szCs w:val="21"/>
                      </w:rPr>
                      <w:t>路</w:t>
                    </w:r>
                    <w:r w:rsidR="00C844C0">
                      <w:rPr>
                        <w:rFonts w:hint="eastAsia"/>
                        <w:szCs w:val="21"/>
                      </w:rPr>
                      <w:t>集团继续签署《综合服务框架协议》</w:t>
                    </w:r>
                    <w:r w:rsidRPr="00387938">
                      <w:rPr>
                        <w:rFonts w:hint="eastAsia"/>
                        <w:szCs w:val="21"/>
                      </w:rPr>
                      <w:t>关联交易事项</w:t>
                    </w:r>
                    <w:r w:rsidR="00C844C0">
                      <w:rPr>
                        <w:rFonts w:hint="eastAsia"/>
                        <w:szCs w:val="21"/>
                      </w:rPr>
                      <w:t>。</w:t>
                    </w:r>
                  </w:p>
                </w:tc>
                <w:tc>
                  <w:tcPr>
                    <w:tcW w:w="1176" w:type="pct"/>
                    <w:shd w:val="clear" w:color="auto" w:fill="auto"/>
                  </w:tcPr>
                  <w:p w:rsidR="00387938" w:rsidRDefault="00387938">
                    <w:pPr>
                      <w:widowControl w:val="0"/>
                      <w:jc w:val="both"/>
                      <w:rPr>
                        <w:szCs w:val="21"/>
                      </w:rPr>
                    </w:pPr>
                    <w:r w:rsidRPr="00387938">
                      <w:rPr>
                        <w:rFonts w:hint="eastAsia"/>
                        <w:szCs w:val="21"/>
                      </w:rPr>
                      <w:t>同意将相关事项提交董事会审议。</w:t>
                    </w:r>
                  </w:p>
                </w:tc>
                <w:tc>
                  <w:tcPr>
                    <w:tcW w:w="706" w:type="pct"/>
                    <w:shd w:val="clear" w:color="auto" w:fill="auto"/>
                  </w:tcPr>
                  <w:p w:rsidR="00387938" w:rsidRDefault="00387938">
                    <w:pPr>
                      <w:widowControl w:val="0"/>
                      <w:jc w:val="both"/>
                      <w:rPr>
                        <w:szCs w:val="21"/>
                      </w:rPr>
                    </w:pPr>
                  </w:p>
                </w:tc>
              </w:tr>
            </w:sdtContent>
          </w:sdt>
          <w:sdt>
            <w:sdtPr>
              <w:rPr>
                <w:szCs w:val="21"/>
              </w:rPr>
              <w:alias w:val="董事会下设专门委员会情况明细"/>
              <w:tag w:val="_TUP_ba8ed794bebb4cad9c2e7f1db76b0a19"/>
              <w:id w:val="3681675"/>
              <w:lock w:val="sdtLocked"/>
            </w:sdtPr>
            <w:sdtContent>
              <w:tr w:rsidR="00387938" w:rsidTr="00EB12EC">
                <w:tc>
                  <w:tcPr>
                    <w:tcW w:w="701" w:type="pct"/>
                    <w:shd w:val="clear" w:color="auto" w:fill="auto"/>
                  </w:tcPr>
                  <w:p w:rsidR="00387938" w:rsidRDefault="00387938">
                    <w:pPr>
                      <w:widowControl w:val="0"/>
                      <w:jc w:val="both"/>
                      <w:rPr>
                        <w:szCs w:val="21"/>
                      </w:rPr>
                    </w:pPr>
                    <w:r>
                      <w:rPr>
                        <w:rFonts w:hint="eastAsia"/>
                        <w:szCs w:val="21"/>
                      </w:rPr>
                      <w:t>2022-12-20</w:t>
                    </w:r>
                  </w:p>
                </w:tc>
                <w:tc>
                  <w:tcPr>
                    <w:tcW w:w="2417" w:type="pct"/>
                    <w:shd w:val="clear" w:color="auto" w:fill="auto"/>
                  </w:tcPr>
                  <w:p w:rsidR="00387938" w:rsidRDefault="00782C03">
                    <w:pPr>
                      <w:widowControl w:val="0"/>
                      <w:jc w:val="both"/>
                      <w:rPr>
                        <w:szCs w:val="21"/>
                      </w:rPr>
                    </w:pPr>
                    <w:r>
                      <w:rPr>
                        <w:szCs w:val="21"/>
                      </w:rPr>
                      <w:t>202</w:t>
                    </w:r>
                    <w:r>
                      <w:rPr>
                        <w:rFonts w:hint="eastAsia"/>
                        <w:szCs w:val="21"/>
                      </w:rPr>
                      <w:t>2</w:t>
                    </w:r>
                    <w:r w:rsidR="00BC363A">
                      <w:rPr>
                        <w:szCs w:val="21"/>
                      </w:rPr>
                      <w:t>年年报审计工作计划</w:t>
                    </w:r>
                    <w:r w:rsidR="00BC363A">
                      <w:rPr>
                        <w:rFonts w:hint="eastAsia"/>
                        <w:szCs w:val="21"/>
                      </w:rPr>
                      <w:t>、</w:t>
                    </w:r>
                    <w:r w:rsidR="00387938" w:rsidRPr="00387938">
                      <w:rPr>
                        <w:szCs w:val="21"/>
                      </w:rPr>
                      <w:t>关联交易预计完成情况及内审内控工作情况</w:t>
                    </w:r>
                    <w:r w:rsidR="00BC363A">
                      <w:rPr>
                        <w:rFonts w:hint="eastAsia"/>
                        <w:szCs w:val="21"/>
                      </w:rPr>
                      <w:t>等</w:t>
                    </w:r>
                    <w:r w:rsidR="00387938" w:rsidRPr="00387938">
                      <w:rPr>
                        <w:szCs w:val="21"/>
                      </w:rPr>
                      <w:t>。</w:t>
                    </w:r>
                  </w:p>
                </w:tc>
                <w:tc>
                  <w:tcPr>
                    <w:tcW w:w="1176" w:type="pct"/>
                    <w:shd w:val="clear" w:color="auto" w:fill="auto"/>
                  </w:tcPr>
                  <w:p w:rsidR="00387938" w:rsidRPr="00387938" w:rsidRDefault="00387938">
                    <w:pPr>
                      <w:widowControl w:val="0"/>
                      <w:jc w:val="both"/>
                      <w:rPr>
                        <w:szCs w:val="21"/>
                      </w:rPr>
                    </w:pPr>
                    <w:r w:rsidRPr="00387938">
                      <w:rPr>
                        <w:rFonts w:hint="eastAsia"/>
                        <w:szCs w:val="21"/>
                      </w:rPr>
                      <w:t>同意相关事项。</w:t>
                    </w:r>
                  </w:p>
                </w:tc>
                <w:tc>
                  <w:tcPr>
                    <w:tcW w:w="706" w:type="pct"/>
                    <w:shd w:val="clear" w:color="auto" w:fill="auto"/>
                  </w:tcPr>
                  <w:p w:rsidR="00387938" w:rsidRDefault="00387938">
                    <w:pPr>
                      <w:widowControl w:val="0"/>
                      <w:jc w:val="both"/>
                      <w:rPr>
                        <w:szCs w:val="21"/>
                      </w:rPr>
                    </w:pPr>
                  </w:p>
                </w:tc>
              </w:tr>
            </w:sdtContent>
          </w:sdt>
        </w:tbl>
        <w:p w:rsidR="003B71CE" w:rsidRDefault="00F80B6C"/>
      </w:sdtContent>
    </w:sdt>
    <w:sdt>
      <w:sdtPr>
        <w:rPr>
          <w:rFonts w:ascii="宋体" w:hAnsi="宋体" w:cs="宋体"/>
          <w:kern w:val="0"/>
          <w:szCs w:val="24"/>
        </w:rPr>
        <w:alias w:val="模块:专门委员会召开会议情况"/>
        <w:tag w:val="_SEC_1e3a9c0a15ba40d1bda51574352f1bf7"/>
        <w:id w:val="355971"/>
        <w:lock w:val="sdtLocked"/>
      </w:sdtPr>
      <w:sdtContent>
        <w:p w:rsidR="003B71CE" w:rsidRDefault="003B71CE" w:rsidP="00FF17C7">
          <w:pPr>
            <w:pStyle w:val="a9"/>
            <w:numPr>
              <w:ilvl w:val="0"/>
              <w:numId w:val="131"/>
            </w:numPr>
            <w:ind w:firstLineChars="0"/>
            <w:rPr>
              <w:b/>
              <w:bCs/>
            </w:rPr>
          </w:pPr>
          <w:r>
            <w:rPr>
              <w:rFonts w:hint="eastAsia"/>
              <w:b/>
              <w:bCs/>
            </w:rPr>
            <w:t>报告期内</w:t>
          </w:r>
          <w:sdt>
            <w:sdtPr>
              <w:rPr>
                <w:rFonts w:hint="eastAsia"/>
                <w:b/>
                <w:bCs/>
              </w:rPr>
              <w:alias w:val="召开会议的专门委员会类别"/>
              <w:tag w:val="_GBC_adf76ecbe3584f07b573642215a867bd"/>
              <w:id w:val="355974"/>
              <w:lock w:val="sdtLocked"/>
            </w:sdtPr>
            <w:sdtContent>
              <w:r>
                <w:rPr>
                  <w:rFonts w:hint="eastAsia"/>
                  <w:b/>
                  <w:bCs/>
                </w:rPr>
                <w:t>提名</w:t>
              </w:r>
            </w:sdtContent>
          </w:sdt>
          <w:r>
            <w:rPr>
              <w:rFonts w:hint="eastAsia"/>
              <w:b/>
              <w:bCs/>
            </w:rPr>
            <w:t>委员会召开</w:t>
          </w:r>
          <w:sdt>
            <w:sdtPr>
              <w:rPr>
                <w:rFonts w:hint="eastAsia"/>
                <w:b/>
                <w:bCs/>
              </w:rPr>
              <w:alias w:val="报告期内召开专门委员会会议次数"/>
              <w:tag w:val="_GBC_7bf2cd7c3a6a4685ac9c89ee396352a0"/>
              <w:id w:val="355975"/>
              <w:lock w:val="sdtLocked"/>
            </w:sdtPr>
            <w:sdtContent>
              <w:r w:rsidR="00F3597B">
                <w:rPr>
                  <w:rFonts w:hint="eastAsia"/>
                  <w:b/>
                  <w:bCs/>
                </w:rPr>
                <w:t>1</w:t>
              </w:r>
            </w:sdtContent>
          </w:sdt>
          <w:r>
            <w:rPr>
              <w:rFonts w:hint="eastAsia"/>
              <w:b/>
              <w:bCs/>
            </w:rPr>
            <w:t>次会议</w:t>
          </w: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66"/>
            <w:gridCol w:w="2385"/>
            <w:gridCol w:w="3402"/>
            <w:gridCol w:w="1985"/>
          </w:tblGrid>
          <w:tr w:rsidR="003B71CE" w:rsidTr="00021047">
            <w:sdt>
              <w:sdtPr>
                <w:rPr>
                  <w:rFonts w:hint="eastAsia"/>
                  <w:szCs w:val="21"/>
                </w:rPr>
                <w:tag w:val="_PLD_81aefc289fbf48b1865138608d8bd14f"/>
                <w:id w:val="355976"/>
                <w:lock w:val="sdtLocked"/>
              </w:sdtPr>
              <w:sdtContent>
                <w:tc>
                  <w:tcPr>
                    <w:tcW w:w="700" w:type="pct"/>
                    <w:shd w:val="clear" w:color="auto" w:fill="auto"/>
                    <w:vAlign w:val="center"/>
                  </w:tcPr>
                  <w:p w:rsidR="003B71CE" w:rsidRDefault="003B71CE">
                    <w:pPr>
                      <w:widowControl w:val="0"/>
                      <w:jc w:val="center"/>
                      <w:rPr>
                        <w:szCs w:val="21"/>
                      </w:rPr>
                    </w:pPr>
                    <w:r>
                      <w:rPr>
                        <w:rFonts w:hint="eastAsia"/>
                        <w:szCs w:val="21"/>
                      </w:rPr>
                      <w:t>召开日期</w:t>
                    </w:r>
                  </w:p>
                </w:tc>
              </w:sdtContent>
            </w:sdt>
            <w:sdt>
              <w:sdtPr>
                <w:rPr>
                  <w:rFonts w:hint="eastAsia"/>
                  <w:szCs w:val="21"/>
                </w:rPr>
                <w:tag w:val="_PLD_9d24b601ec70414eb969daf6b393edc8"/>
                <w:id w:val="355977"/>
                <w:lock w:val="sdtLocked"/>
              </w:sdtPr>
              <w:sdtContent>
                <w:tc>
                  <w:tcPr>
                    <w:tcW w:w="1320" w:type="pct"/>
                    <w:shd w:val="clear" w:color="auto" w:fill="auto"/>
                    <w:vAlign w:val="center"/>
                  </w:tcPr>
                  <w:p w:rsidR="003B71CE" w:rsidRDefault="003B71CE">
                    <w:pPr>
                      <w:widowControl w:val="0"/>
                      <w:jc w:val="center"/>
                      <w:rPr>
                        <w:szCs w:val="21"/>
                      </w:rPr>
                    </w:pPr>
                    <w:r>
                      <w:rPr>
                        <w:rFonts w:hint="eastAsia"/>
                        <w:szCs w:val="21"/>
                      </w:rPr>
                      <w:t>会议内容</w:t>
                    </w:r>
                  </w:p>
                </w:tc>
              </w:sdtContent>
            </w:sdt>
            <w:sdt>
              <w:sdtPr>
                <w:rPr>
                  <w:rFonts w:hint="eastAsia"/>
                  <w:szCs w:val="21"/>
                </w:rPr>
                <w:tag w:val="_PLD_6ea19dadc3684e98a6d98faaf035a9d9"/>
                <w:id w:val="355978"/>
                <w:lock w:val="sdtLocked"/>
              </w:sdtPr>
              <w:sdtContent>
                <w:tc>
                  <w:tcPr>
                    <w:tcW w:w="1882" w:type="pct"/>
                    <w:shd w:val="clear" w:color="auto" w:fill="auto"/>
                    <w:vAlign w:val="center"/>
                  </w:tcPr>
                  <w:p w:rsidR="003B71CE" w:rsidRDefault="003B71CE">
                    <w:pPr>
                      <w:widowControl w:val="0"/>
                      <w:jc w:val="center"/>
                      <w:rPr>
                        <w:szCs w:val="21"/>
                      </w:rPr>
                    </w:pPr>
                    <w:r>
                      <w:rPr>
                        <w:rFonts w:hint="eastAsia"/>
                        <w:szCs w:val="21"/>
                      </w:rPr>
                      <w:t>重要意见和建议</w:t>
                    </w:r>
                  </w:p>
                </w:tc>
              </w:sdtContent>
            </w:sdt>
            <w:sdt>
              <w:sdtPr>
                <w:rPr>
                  <w:rFonts w:hint="eastAsia"/>
                  <w:szCs w:val="21"/>
                </w:rPr>
                <w:tag w:val="_PLD_ef03d3ffb00740008011022cb6a96805"/>
                <w:id w:val="355979"/>
                <w:lock w:val="sdtLocked"/>
              </w:sdtPr>
              <w:sdtContent>
                <w:tc>
                  <w:tcPr>
                    <w:tcW w:w="1098" w:type="pct"/>
                    <w:shd w:val="clear" w:color="auto" w:fill="auto"/>
                    <w:vAlign w:val="center"/>
                  </w:tcPr>
                  <w:p w:rsidR="003B71CE" w:rsidRDefault="003B71CE">
                    <w:pPr>
                      <w:widowControl w:val="0"/>
                      <w:jc w:val="center"/>
                      <w:rPr>
                        <w:szCs w:val="21"/>
                      </w:rPr>
                    </w:pPr>
                    <w:r>
                      <w:rPr>
                        <w:rFonts w:hint="eastAsia"/>
                        <w:szCs w:val="21"/>
                      </w:rPr>
                      <w:t>其他履行职责情况</w:t>
                    </w:r>
                  </w:p>
                </w:tc>
              </w:sdtContent>
            </w:sdt>
          </w:tr>
          <w:sdt>
            <w:sdtPr>
              <w:rPr>
                <w:szCs w:val="21"/>
              </w:rPr>
              <w:alias w:val="董事会下设专门委员会情况明细"/>
              <w:tag w:val="_TUP_ba8ed794bebb4cad9c2e7f1db76b0a19"/>
              <w:id w:val="355980"/>
              <w:lock w:val="sdtLocked"/>
            </w:sdtPr>
            <w:sdtContent>
              <w:tr w:rsidR="003B71CE" w:rsidTr="00021047">
                <w:tc>
                  <w:tcPr>
                    <w:tcW w:w="700" w:type="pct"/>
                    <w:shd w:val="clear" w:color="auto" w:fill="auto"/>
                  </w:tcPr>
                  <w:p w:rsidR="003B71CE" w:rsidRDefault="00721974">
                    <w:pPr>
                      <w:widowControl w:val="0"/>
                      <w:jc w:val="both"/>
                      <w:rPr>
                        <w:szCs w:val="21"/>
                      </w:rPr>
                    </w:pPr>
                    <w:r>
                      <w:rPr>
                        <w:rFonts w:hint="eastAsia"/>
                        <w:szCs w:val="21"/>
                      </w:rPr>
                      <w:t>2022-04-12</w:t>
                    </w:r>
                  </w:p>
                </w:tc>
                <w:tc>
                  <w:tcPr>
                    <w:tcW w:w="1320" w:type="pct"/>
                    <w:shd w:val="clear" w:color="auto" w:fill="auto"/>
                  </w:tcPr>
                  <w:p w:rsidR="003B71CE" w:rsidRDefault="00721974">
                    <w:pPr>
                      <w:widowControl w:val="0"/>
                      <w:jc w:val="both"/>
                      <w:rPr>
                        <w:szCs w:val="21"/>
                      </w:rPr>
                    </w:pPr>
                    <w:r w:rsidRPr="00721974">
                      <w:rPr>
                        <w:rFonts w:hint="eastAsia"/>
                        <w:szCs w:val="21"/>
                      </w:rPr>
                      <w:t>提名公司第六届董事会独立董事候选人</w:t>
                    </w:r>
                  </w:p>
                </w:tc>
                <w:tc>
                  <w:tcPr>
                    <w:tcW w:w="1882" w:type="pct"/>
                    <w:shd w:val="clear" w:color="auto" w:fill="auto"/>
                  </w:tcPr>
                  <w:p w:rsidR="003B71CE" w:rsidRDefault="00721974">
                    <w:pPr>
                      <w:widowControl w:val="0"/>
                      <w:jc w:val="both"/>
                      <w:rPr>
                        <w:szCs w:val="21"/>
                      </w:rPr>
                    </w:pPr>
                    <w:r w:rsidRPr="00721974">
                      <w:rPr>
                        <w:rFonts w:hint="eastAsia"/>
                        <w:szCs w:val="21"/>
                      </w:rPr>
                      <w:t>同意人选并同意提交董事会审议。</w:t>
                    </w:r>
                  </w:p>
                </w:tc>
                <w:tc>
                  <w:tcPr>
                    <w:tcW w:w="1098" w:type="pct"/>
                    <w:shd w:val="clear" w:color="auto" w:fill="auto"/>
                  </w:tcPr>
                  <w:p w:rsidR="003B71CE" w:rsidRDefault="003B71CE">
                    <w:pPr>
                      <w:widowControl w:val="0"/>
                      <w:jc w:val="both"/>
                      <w:rPr>
                        <w:szCs w:val="21"/>
                      </w:rPr>
                    </w:pPr>
                  </w:p>
                </w:tc>
              </w:tr>
            </w:sdtContent>
          </w:sdt>
        </w:tbl>
        <w:p w:rsidR="003B71CE" w:rsidRDefault="00F80B6C" w:rsidP="003B71CE"/>
      </w:sdtContent>
    </w:sdt>
    <w:sdt>
      <w:sdtPr>
        <w:rPr>
          <w:rFonts w:ascii="宋体" w:hAnsi="宋体" w:cs="宋体"/>
          <w:kern w:val="0"/>
          <w:szCs w:val="24"/>
        </w:rPr>
        <w:alias w:val="模块:专门委员会召开会议情况"/>
        <w:tag w:val="_SEC_1e3a9c0a15ba40d1bda51574352f1bf7"/>
        <w:id w:val="355982"/>
        <w:lock w:val="sdtLocked"/>
      </w:sdtPr>
      <w:sdtContent>
        <w:p w:rsidR="003B71CE" w:rsidRDefault="003B71CE" w:rsidP="00FF17C7">
          <w:pPr>
            <w:pStyle w:val="a9"/>
            <w:numPr>
              <w:ilvl w:val="0"/>
              <w:numId w:val="131"/>
            </w:numPr>
            <w:ind w:firstLineChars="0"/>
            <w:rPr>
              <w:b/>
              <w:bCs/>
            </w:rPr>
          </w:pPr>
          <w:r>
            <w:rPr>
              <w:rFonts w:hint="eastAsia"/>
              <w:b/>
              <w:bCs/>
            </w:rPr>
            <w:t>报告期内</w:t>
          </w:r>
          <w:sdt>
            <w:sdtPr>
              <w:rPr>
                <w:rFonts w:hint="eastAsia"/>
                <w:b/>
                <w:bCs/>
              </w:rPr>
              <w:alias w:val="召开会议的专门委员会类别"/>
              <w:tag w:val="_GBC_adf76ecbe3584f07b573642215a867bd"/>
              <w:id w:val="355985"/>
              <w:lock w:val="sdtLocked"/>
            </w:sdtPr>
            <w:sdtContent>
              <w:r>
                <w:rPr>
                  <w:rFonts w:hint="eastAsia"/>
                  <w:b/>
                  <w:bCs/>
                </w:rPr>
                <w:t>与考核</w:t>
              </w:r>
            </w:sdtContent>
          </w:sdt>
          <w:r>
            <w:rPr>
              <w:rFonts w:hint="eastAsia"/>
              <w:b/>
              <w:bCs/>
            </w:rPr>
            <w:t>委员会召开</w:t>
          </w:r>
          <w:sdt>
            <w:sdtPr>
              <w:rPr>
                <w:rFonts w:hint="eastAsia"/>
                <w:b/>
                <w:bCs/>
              </w:rPr>
              <w:alias w:val="报告期内召开专门委员会会议次数"/>
              <w:tag w:val="_GBC_7bf2cd7c3a6a4685ac9c89ee396352a0"/>
              <w:id w:val="355986"/>
              <w:lock w:val="sdtLocked"/>
            </w:sdtPr>
            <w:sdtContent>
              <w:r w:rsidR="0016516F">
                <w:rPr>
                  <w:rFonts w:hint="eastAsia"/>
                  <w:b/>
                  <w:bCs/>
                </w:rPr>
                <w:t>1</w:t>
              </w:r>
            </w:sdtContent>
          </w:sdt>
          <w:r>
            <w:rPr>
              <w:rFonts w:hint="eastAsia"/>
              <w:b/>
              <w:bCs/>
            </w:rPr>
            <w:t>次会议</w:t>
          </w: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66"/>
            <w:gridCol w:w="3236"/>
            <w:gridCol w:w="2551"/>
            <w:gridCol w:w="1985"/>
          </w:tblGrid>
          <w:tr w:rsidR="003B71CE" w:rsidTr="001F28AF">
            <w:sdt>
              <w:sdtPr>
                <w:rPr>
                  <w:rFonts w:hint="eastAsia"/>
                  <w:szCs w:val="21"/>
                </w:rPr>
                <w:tag w:val="_PLD_81aefc289fbf48b1865138608d8bd14f"/>
                <w:id w:val="355987"/>
                <w:lock w:val="sdtLocked"/>
              </w:sdtPr>
              <w:sdtContent>
                <w:tc>
                  <w:tcPr>
                    <w:tcW w:w="700" w:type="pct"/>
                    <w:shd w:val="clear" w:color="auto" w:fill="auto"/>
                    <w:vAlign w:val="center"/>
                  </w:tcPr>
                  <w:p w:rsidR="003B71CE" w:rsidRDefault="003B71CE">
                    <w:pPr>
                      <w:widowControl w:val="0"/>
                      <w:jc w:val="center"/>
                      <w:rPr>
                        <w:szCs w:val="21"/>
                      </w:rPr>
                    </w:pPr>
                    <w:r>
                      <w:rPr>
                        <w:rFonts w:hint="eastAsia"/>
                        <w:szCs w:val="21"/>
                      </w:rPr>
                      <w:t>召开日期</w:t>
                    </w:r>
                  </w:p>
                </w:tc>
              </w:sdtContent>
            </w:sdt>
            <w:sdt>
              <w:sdtPr>
                <w:rPr>
                  <w:rFonts w:hint="eastAsia"/>
                  <w:szCs w:val="21"/>
                </w:rPr>
                <w:tag w:val="_PLD_9d24b601ec70414eb969daf6b393edc8"/>
                <w:id w:val="355988"/>
                <w:lock w:val="sdtLocked"/>
              </w:sdtPr>
              <w:sdtContent>
                <w:tc>
                  <w:tcPr>
                    <w:tcW w:w="1791" w:type="pct"/>
                    <w:shd w:val="clear" w:color="auto" w:fill="auto"/>
                    <w:vAlign w:val="center"/>
                  </w:tcPr>
                  <w:p w:rsidR="003B71CE" w:rsidRDefault="003B71CE">
                    <w:pPr>
                      <w:widowControl w:val="0"/>
                      <w:jc w:val="center"/>
                      <w:rPr>
                        <w:szCs w:val="21"/>
                      </w:rPr>
                    </w:pPr>
                    <w:r>
                      <w:rPr>
                        <w:rFonts w:hint="eastAsia"/>
                        <w:szCs w:val="21"/>
                      </w:rPr>
                      <w:t>会议内容</w:t>
                    </w:r>
                  </w:p>
                </w:tc>
              </w:sdtContent>
            </w:sdt>
            <w:sdt>
              <w:sdtPr>
                <w:rPr>
                  <w:rFonts w:hint="eastAsia"/>
                  <w:szCs w:val="21"/>
                </w:rPr>
                <w:tag w:val="_PLD_6ea19dadc3684e98a6d98faaf035a9d9"/>
                <w:id w:val="355989"/>
                <w:lock w:val="sdtLocked"/>
              </w:sdtPr>
              <w:sdtContent>
                <w:tc>
                  <w:tcPr>
                    <w:tcW w:w="1411" w:type="pct"/>
                    <w:shd w:val="clear" w:color="auto" w:fill="auto"/>
                    <w:vAlign w:val="center"/>
                  </w:tcPr>
                  <w:p w:rsidR="003B71CE" w:rsidRDefault="003B71CE">
                    <w:pPr>
                      <w:widowControl w:val="0"/>
                      <w:jc w:val="center"/>
                      <w:rPr>
                        <w:szCs w:val="21"/>
                      </w:rPr>
                    </w:pPr>
                    <w:r>
                      <w:rPr>
                        <w:rFonts w:hint="eastAsia"/>
                        <w:szCs w:val="21"/>
                      </w:rPr>
                      <w:t>重要意见和建议</w:t>
                    </w:r>
                  </w:p>
                </w:tc>
              </w:sdtContent>
            </w:sdt>
            <w:sdt>
              <w:sdtPr>
                <w:rPr>
                  <w:rFonts w:hint="eastAsia"/>
                  <w:szCs w:val="21"/>
                </w:rPr>
                <w:tag w:val="_PLD_ef03d3ffb00740008011022cb6a96805"/>
                <w:id w:val="355990"/>
                <w:lock w:val="sdtLocked"/>
              </w:sdtPr>
              <w:sdtContent>
                <w:tc>
                  <w:tcPr>
                    <w:tcW w:w="1098" w:type="pct"/>
                    <w:shd w:val="clear" w:color="auto" w:fill="auto"/>
                    <w:vAlign w:val="center"/>
                  </w:tcPr>
                  <w:p w:rsidR="003B71CE" w:rsidRDefault="003B71CE">
                    <w:pPr>
                      <w:widowControl w:val="0"/>
                      <w:jc w:val="center"/>
                      <w:rPr>
                        <w:szCs w:val="21"/>
                      </w:rPr>
                    </w:pPr>
                    <w:r>
                      <w:rPr>
                        <w:rFonts w:hint="eastAsia"/>
                        <w:szCs w:val="21"/>
                      </w:rPr>
                      <w:t>其他履行职责情况</w:t>
                    </w:r>
                  </w:p>
                </w:tc>
              </w:sdtContent>
            </w:sdt>
          </w:tr>
          <w:sdt>
            <w:sdtPr>
              <w:rPr>
                <w:szCs w:val="21"/>
              </w:rPr>
              <w:alias w:val="董事会下设专门委员会情况明细"/>
              <w:tag w:val="_TUP_ba8ed794bebb4cad9c2e7f1db76b0a19"/>
              <w:id w:val="355991"/>
              <w:lock w:val="sdtLocked"/>
            </w:sdtPr>
            <w:sdtContent>
              <w:tr w:rsidR="003B71CE" w:rsidTr="001F28AF">
                <w:tc>
                  <w:tcPr>
                    <w:tcW w:w="700" w:type="pct"/>
                    <w:shd w:val="clear" w:color="auto" w:fill="auto"/>
                  </w:tcPr>
                  <w:p w:rsidR="003B71CE" w:rsidRDefault="0016516F">
                    <w:pPr>
                      <w:widowControl w:val="0"/>
                      <w:jc w:val="both"/>
                      <w:rPr>
                        <w:szCs w:val="21"/>
                      </w:rPr>
                    </w:pPr>
                    <w:r>
                      <w:rPr>
                        <w:rFonts w:hint="eastAsia"/>
                        <w:szCs w:val="21"/>
                      </w:rPr>
                      <w:t>2022-04-12</w:t>
                    </w:r>
                  </w:p>
                </w:tc>
                <w:tc>
                  <w:tcPr>
                    <w:tcW w:w="1791" w:type="pct"/>
                    <w:shd w:val="clear" w:color="auto" w:fill="auto"/>
                  </w:tcPr>
                  <w:p w:rsidR="003B71CE" w:rsidRDefault="00E556FC">
                    <w:pPr>
                      <w:widowControl w:val="0"/>
                      <w:jc w:val="both"/>
                      <w:rPr>
                        <w:szCs w:val="21"/>
                      </w:rPr>
                    </w:pPr>
                    <w:r>
                      <w:rPr>
                        <w:rFonts w:hint="eastAsia"/>
                        <w:szCs w:val="21"/>
                      </w:rPr>
                      <w:t>审查</w:t>
                    </w:r>
                    <w:r w:rsidR="0016516F" w:rsidRPr="0016516F">
                      <w:rPr>
                        <w:rFonts w:hint="eastAsia"/>
                        <w:szCs w:val="21"/>
                      </w:rPr>
                      <w:t>公司董事、高管</w:t>
                    </w:r>
                    <w:r>
                      <w:rPr>
                        <w:rFonts w:hint="eastAsia"/>
                        <w:szCs w:val="21"/>
                      </w:rPr>
                      <w:t>绩效考核及</w:t>
                    </w:r>
                    <w:r w:rsidR="00721974" w:rsidRPr="00721974">
                      <w:rPr>
                        <w:rFonts w:hint="eastAsia"/>
                        <w:szCs w:val="21"/>
                      </w:rPr>
                      <w:t>薪酬分配方案</w:t>
                    </w:r>
                  </w:p>
                </w:tc>
                <w:tc>
                  <w:tcPr>
                    <w:tcW w:w="1411" w:type="pct"/>
                    <w:shd w:val="clear" w:color="auto" w:fill="auto"/>
                  </w:tcPr>
                  <w:p w:rsidR="003B71CE" w:rsidRDefault="00721974">
                    <w:pPr>
                      <w:widowControl w:val="0"/>
                      <w:jc w:val="both"/>
                      <w:rPr>
                        <w:szCs w:val="21"/>
                      </w:rPr>
                    </w:pPr>
                    <w:r w:rsidRPr="00721974">
                      <w:rPr>
                        <w:rFonts w:hint="eastAsia"/>
                        <w:szCs w:val="21"/>
                      </w:rPr>
                      <w:t>同意该事项。</w:t>
                    </w:r>
                  </w:p>
                </w:tc>
                <w:tc>
                  <w:tcPr>
                    <w:tcW w:w="1098" w:type="pct"/>
                    <w:shd w:val="clear" w:color="auto" w:fill="auto"/>
                  </w:tcPr>
                  <w:p w:rsidR="003B71CE" w:rsidRDefault="003B71CE">
                    <w:pPr>
                      <w:widowControl w:val="0"/>
                      <w:jc w:val="both"/>
                      <w:rPr>
                        <w:szCs w:val="21"/>
                      </w:rPr>
                    </w:pPr>
                  </w:p>
                </w:tc>
              </w:tr>
            </w:sdtContent>
          </w:sdt>
        </w:tbl>
        <w:p w:rsidR="003B71CE" w:rsidRDefault="00F80B6C" w:rsidP="003B71CE"/>
      </w:sdtContent>
    </w:sdt>
    <w:sdt>
      <w:sdtPr>
        <w:rPr>
          <w:rFonts w:ascii="宋体" w:hAnsi="宋体" w:cs="宋体" w:hint="eastAsia"/>
          <w:b/>
          <w:bCs/>
          <w:kern w:val="0"/>
          <w:szCs w:val="24"/>
        </w:rPr>
        <w:alias w:val="模块:存在异议事项的具体情况"/>
        <w:tag w:val="_SEC_400f0a7634114d80939ab87276db7db7"/>
        <w:id w:val="3160663"/>
        <w:lock w:val="sdtLocked"/>
        <w:placeholder>
          <w:docPart w:val="GBC22222222222222222222222222222"/>
        </w:placeholder>
      </w:sdtPr>
      <w:sdtEndPr>
        <w:rPr>
          <w:rFonts w:hint="default"/>
          <w:b w:val="0"/>
          <w:bCs w:val="0"/>
        </w:rPr>
      </w:sdtEndPr>
      <w:sdtContent>
        <w:p w:rsidR="00806678" w:rsidRDefault="00B16377" w:rsidP="00FF17C7">
          <w:pPr>
            <w:pStyle w:val="a9"/>
            <w:numPr>
              <w:ilvl w:val="0"/>
              <w:numId w:val="131"/>
            </w:numPr>
            <w:ind w:firstLineChars="0"/>
            <w:rPr>
              <w:b/>
              <w:bCs/>
            </w:rPr>
          </w:pPr>
          <w:r>
            <w:rPr>
              <w:rFonts w:hint="eastAsia"/>
              <w:b/>
              <w:bCs/>
            </w:rPr>
            <w:t>存在异议事项的具体情况</w:t>
          </w:r>
        </w:p>
        <w:sdt>
          <w:sdtPr>
            <w:rPr>
              <w:rFonts w:hint="eastAsia"/>
              <w:szCs w:val="21"/>
            </w:rPr>
            <w:alias w:val="是否适用：董事会下设专门委员会在报告期内履行职责时所提出的重要意见和建议[双击切换]"/>
            <w:tag w:val="_GBC_f61de8443c9e4bc6b27047ea31f34f46"/>
            <w:id w:val="1928080694"/>
            <w:lock w:val="sdtLocked"/>
            <w:placeholder>
              <w:docPart w:val="GBC22222222222222222222222222222"/>
            </w:placeholder>
          </w:sdtPr>
          <w:sdtContent>
            <w:p w:rsidR="00806678" w:rsidRDefault="00F80B6C">
              <w:pPr>
                <w:rPr>
                  <w:szCs w:val="21"/>
                </w:rPr>
              </w:pPr>
              <w:r>
                <w:rPr>
                  <w:szCs w:val="21"/>
                </w:rPr>
                <w:fldChar w:fldCharType="begin"/>
              </w:r>
              <w:r w:rsidR="003B71CE">
                <w:rPr>
                  <w:szCs w:val="21"/>
                </w:rPr>
                <w:instrText xml:space="preserve"> MACROBUTTON  SnrToggleCheckbox □适用  </w:instrText>
              </w:r>
              <w:r>
                <w:rPr>
                  <w:szCs w:val="21"/>
                </w:rPr>
                <w:fldChar w:fldCharType="end"/>
              </w:r>
              <w:r>
                <w:rPr>
                  <w:szCs w:val="21"/>
                </w:rPr>
                <w:fldChar w:fldCharType="begin"/>
              </w:r>
              <w:r w:rsidR="003B71CE">
                <w:rPr>
                  <w:szCs w:val="21"/>
                </w:rPr>
                <w:instrText xml:space="preserve"> MACROBUTTON  SnrToggleCheckbox √不适用 </w:instrText>
              </w:r>
              <w:r>
                <w:rPr>
                  <w:szCs w:val="21"/>
                </w:rPr>
                <w:fldChar w:fldCharType="end"/>
              </w:r>
            </w:p>
          </w:sdtContent>
        </w:sdt>
      </w:sdtContent>
    </w:sdt>
    <w:sdt>
      <w:sdtPr>
        <w:rPr>
          <w:rFonts w:ascii="宋体" w:hAnsi="宋体" w:cs="宋体"/>
          <w:b w:val="0"/>
          <w:bCs w:val="0"/>
          <w:kern w:val="0"/>
          <w:szCs w:val="24"/>
        </w:rPr>
        <w:alias w:val="模块:监事会发现公司存在风险的说明"/>
        <w:tag w:val="_SEC_4dbac71000bd4ea4b0d0f802befda046"/>
        <w:id w:val="-1210565270"/>
        <w:lock w:val="sdtLocked"/>
        <w:placeholder>
          <w:docPart w:val="GBC22222222222222222222222222222"/>
        </w:placeholder>
      </w:sdtPr>
      <w:sdtContent>
        <w:p w:rsidR="00806678" w:rsidRDefault="00B16377" w:rsidP="00FF17C7">
          <w:pPr>
            <w:pStyle w:val="2"/>
            <w:numPr>
              <w:ilvl w:val="0"/>
              <w:numId w:val="35"/>
            </w:numPr>
          </w:pPr>
          <w:r>
            <w:t>监事会发现公司存在风险的说明</w:t>
          </w:r>
        </w:p>
        <w:sdt>
          <w:sdtPr>
            <w:alias w:val="是否适用：监事会发现公司存在风险的说明[双击切换]"/>
            <w:tag w:val="_GBC_987bc6e795084351a58e9d0bca47f246"/>
            <w:id w:val="-1686274651"/>
            <w:lock w:val="sdtLocked"/>
            <w:placeholder>
              <w:docPart w:val="GBC22222222222222222222222222222"/>
            </w:placeholder>
          </w:sdtPr>
          <w:sdtContent>
            <w:p w:rsidR="003B71CE" w:rsidRDefault="00F80B6C">
              <w:r>
                <w:fldChar w:fldCharType="begin"/>
              </w:r>
              <w:r w:rsidR="003B71CE">
                <w:instrText xml:space="preserve">MACROBUTTON  SnrToggleCheckbox □适用 </w:instrText>
              </w:r>
              <w:r>
                <w:fldChar w:fldCharType="end"/>
              </w:r>
              <w:r>
                <w:fldChar w:fldCharType="begin"/>
              </w:r>
              <w:r w:rsidR="003B71CE">
                <w:instrText xml:space="preserve"> MACROBUTTON  SnrToggleCheckbox √不适用 </w:instrText>
              </w:r>
              <w:r>
                <w:fldChar w:fldCharType="end"/>
              </w:r>
            </w:p>
          </w:sdtContent>
        </w:sdt>
      </w:sdtContent>
    </w:sdt>
    <w:sdt>
      <w:sdtPr>
        <w:alias w:val="监事会发现公司存在风险的说明"/>
        <w:tag w:val="_SEC_56ba2affeae548928a98e92c92a4f6b3"/>
        <w:id w:val="355970"/>
      </w:sdtPr>
      <w:sdtContent>
        <w:p w:rsidR="003B71CE" w:rsidRPr="005B697A" w:rsidRDefault="003B71CE" w:rsidP="00085AC7">
          <w:pPr>
            <w:rPr>
              <w:szCs w:val="21"/>
            </w:rPr>
          </w:pPr>
          <w:r>
            <w:rPr>
              <w:rFonts w:hint="eastAsia"/>
            </w:rPr>
            <w:t>监事会对报告期内的监督事项无异议。</w:t>
          </w:r>
        </w:p>
      </w:sdtContent>
    </w:sdt>
    <w:p w:rsidR="00806678" w:rsidRDefault="00B16377" w:rsidP="00FF17C7">
      <w:pPr>
        <w:pStyle w:val="2"/>
        <w:numPr>
          <w:ilvl w:val="0"/>
          <w:numId w:val="35"/>
        </w:numPr>
        <w:rPr>
          <w:rFonts w:ascii="宋体" w:hAnsi="宋体" w:cs="宋体"/>
          <w:kern w:val="0"/>
          <w:szCs w:val="24"/>
        </w:rPr>
      </w:pPr>
      <w:r>
        <w:rPr>
          <w:rFonts w:ascii="宋体" w:hAnsi="宋体" w:cs="宋体" w:hint="eastAsia"/>
          <w:kern w:val="0"/>
          <w:szCs w:val="24"/>
        </w:rPr>
        <w:t>报告期末</w:t>
      </w:r>
      <w:r>
        <w:rPr>
          <w:rFonts w:ascii="宋体" w:hAnsi="宋体" w:cs="宋体"/>
          <w:kern w:val="0"/>
          <w:szCs w:val="24"/>
        </w:rPr>
        <w:t>母公司和主要子公司的员工情况</w:t>
      </w:r>
    </w:p>
    <w:bookmarkStart w:id="56" w:name="_Hlk89184114" w:displacedByCustomXml="next"/>
    <w:sdt>
      <w:sdtPr>
        <w:rPr>
          <w:rFonts w:ascii="宋体" w:hAnsi="宋体" w:cs="宋体"/>
          <w:b w:val="0"/>
          <w:bCs w:val="0"/>
          <w:kern w:val="0"/>
          <w:szCs w:val="21"/>
        </w:rPr>
        <w:alias w:val="模块:员工情况"/>
        <w:tag w:val="_SEC_5d36f6c19ead44619fb5fc47e8c54f50"/>
        <w:id w:val="-1736780032"/>
        <w:lock w:val="sdtLocked"/>
        <w:placeholder>
          <w:docPart w:val="GBC22222222222222222222222222222"/>
        </w:placeholder>
      </w:sdtPr>
      <w:sdtContent>
        <w:p w:rsidR="00806678" w:rsidRDefault="00B16377" w:rsidP="00FF17C7">
          <w:pPr>
            <w:pStyle w:val="3"/>
            <w:numPr>
              <w:ilvl w:val="0"/>
              <w:numId w:val="34"/>
            </w:numPr>
            <w:rPr>
              <w:szCs w:val="21"/>
            </w:rPr>
          </w:pPr>
          <w:r>
            <w:rPr>
              <w:szCs w:val="21"/>
            </w:rPr>
            <w:t>员工情况</w:t>
          </w:r>
        </w:p>
        <w:tbl>
          <w:tblPr>
            <w:tblStyle w:val="a6"/>
            <w:tblW w:w="5000" w:type="pct"/>
            <w:tblLook w:val="04A0"/>
          </w:tblPr>
          <w:tblGrid>
            <w:gridCol w:w="4524"/>
            <w:gridCol w:w="4525"/>
          </w:tblGrid>
          <w:tr w:rsidR="00587A53" w:rsidTr="003B6CD9">
            <w:trPr>
              <w:trHeight w:val="120"/>
            </w:trPr>
            <w:sdt>
              <w:sdtPr>
                <w:tag w:val="_PLD_cff5d8823807446facbb16ac3f50949e"/>
                <w:id w:val="3147218"/>
                <w:lock w:val="sdtLocked"/>
              </w:sdtPr>
              <w:sdtContent>
                <w:tc>
                  <w:tcPr>
                    <w:tcW w:w="2500" w:type="pct"/>
                  </w:tcPr>
                  <w:p w:rsidR="00587A53" w:rsidRDefault="00587A53" w:rsidP="003B6CD9">
                    <w:pPr>
                      <w:rPr>
                        <w:szCs w:val="21"/>
                      </w:rPr>
                    </w:pPr>
                    <w:r>
                      <w:rPr>
                        <w:szCs w:val="21"/>
                      </w:rPr>
                      <w:t>母公司在职员工的数量</w:t>
                    </w:r>
                  </w:p>
                </w:tc>
              </w:sdtContent>
            </w:sdt>
            <w:sdt>
              <w:sdtPr>
                <w:rPr>
                  <w:szCs w:val="21"/>
                </w:rPr>
                <w:alias w:val="母公司在职员工的数量"/>
                <w:tag w:val="_GBC_abd1eca65c1c4a43937ae4fdd8599b5b"/>
                <w:id w:val="3147219"/>
                <w:lock w:val="sdtLocked"/>
              </w:sdtPr>
              <w:sdtContent>
                <w:tc>
                  <w:tcPr>
                    <w:tcW w:w="2500" w:type="pct"/>
                  </w:tcPr>
                  <w:p w:rsidR="00587A53" w:rsidRDefault="00587A53" w:rsidP="003B6CD9">
                    <w:pPr>
                      <w:jc w:val="right"/>
                      <w:rPr>
                        <w:szCs w:val="21"/>
                      </w:rPr>
                    </w:pPr>
                    <w:r>
                      <w:rPr>
                        <w:szCs w:val="21"/>
                      </w:rPr>
                      <w:t>91,785</w:t>
                    </w:r>
                  </w:p>
                </w:tc>
              </w:sdtContent>
            </w:sdt>
          </w:tr>
          <w:tr w:rsidR="00587A53" w:rsidTr="003B6CD9">
            <w:trPr>
              <w:trHeight w:val="195"/>
            </w:trPr>
            <w:sdt>
              <w:sdtPr>
                <w:tag w:val="_PLD_baf79165dc7c42d6a1bbbf8f4d550ac0"/>
                <w:id w:val="3147220"/>
                <w:lock w:val="sdtLocked"/>
              </w:sdtPr>
              <w:sdtContent>
                <w:tc>
                  <w:tcPr>
                    <w:tcW w:w="2500" w:type="pct"/>
                  </w:tcPr>
                  <w:p w:rsidR="00587A53" w:rsidRDefault="00587A53" w:rsidP="003B6CD9">
                    <w:pPr>
                      <w:rPr>
                        <w:szCs w:val="21"/>
                      </w:rPr>
                    </w:pPr>
                    <w:r>
                      <w:rPr>
                        <w:szCs w:val="21"/>
                      </w:rPr>
                      <w:t>主要子公司在职员工的数量</w:t>
                    </w:r>
                  </w:p>
                </w:tc>
              </w:sdtContent>
            </w:sdt>
            <w:tc>
              <w:tcPr>
                <w:tcW w:w="2500" w:type="pct"/>
              </w:tcPr>
              <w:p w:rsidR="00587A53" w:rsidRDefault="00587A53" w:rsidP="003B6CD9">
                <w:pPr>
                  <w:jc w:val="right"/>
                  <w:rPr>
                    <w:szCs w:val="21"/>
                  </w:rPr>
                </w:pPr>
                <w:r>
                  <w:t>674</w:t>
                </w:r>
              </w:p>
            </w:tc>
          </w:tr>
          <w:tr w:rsidR="00587A53" w:rsidTr="003B6CD9">
            <w:trPr>
              <w:trHeight w:val="116"/>
            </w:trPr>
            <w:sdt>
              <w:sdtPr>
                <w:tag w:val="_PLD_0c801028e0c34a608ece543a5b7f6c06"/>
                <w:id w:val="3147221"/>
                <w:lock w:val="sdtLocked"/>
              </w:sdtPr>
              <w:sdtContent>
                <w:tc>
                  <w:tcPr>
                    <w:tcW w:w="2500" w:type="pct"/>
                  </w:tcPr>
                  <w:p w:rsidR="00587A53" w:rsidRDefault="00587A53" w:rsidP="003B6CD9">
                    <w:pPr>
                      <w:rPr>
                        <w:szCs w:val="21"/>
                      </w:rPr>
                    </w:pPr>
                    <w:r>
                      <w:rPr>
                        <w:szCs w:val="21"/>
                      </w:rPr>
                      <w:t>在职员工的数量合计</w:t>
                    </w:r>
                  </w:p>
                </w:tc>
              </w:sdtContent>
            </w:sdt>
            <w:tc>
              <w:tcPr>
                <w:tcW w:w="2500" w:type="pct"/>
              </w:tcPr>
              <w:p w:rsidR="00587A53" w:rsidRDefault="00587A53" w:rsidP="003B6CD9">
                <w:pPr>
                  <w:jc w:val="right"/>
                  <w:rPr>
                    <w:szCs w:val="21"/>
                  </w:rPr>
                </w:pPr>
                <w:r>
                  <w:t>92,459</w:t>
                </w:r>
              </w:p>
            </w:tc>
          </w:tr>
          <w:tr w:rsidR="00587A53" w:rsidTr="003B6CD9">
            <w:trPr>
              <w:trHeight w:val="180"/>
            </w:trPr>
            <w:sdt>
              <w:sdtPr>
                <w:tag w:val="_PLD_96091286c8814973a5e516d058b61b70"/>
                <w:id w:val="3147222"/>
                <w:lock w:val="sdtLocked"/>
              </w:sdtPr>
              <w:sdtContent>
                <w:tc>
                  <w:tcPr>
                    <w:tcW w:w="2500" w:type="pct"/>
                  </w:tcPr>
                  <w:p w:rsidR="00587A53" w:rsidRDefault="00587A53" w:rsidP="003B6CD9">
                    <w:pPr>
                      <w:rPr>
                        <w:szCs w:val="21"/>
                      </w:rPr>
                    </w:pPr>
                    <w:r>
                      <w:rPr>
                        <w:szCs w:val="21"/>
                      </w:rPr>
                      <w:t>母公司及主要子公司需承担费用的离退休职工人数</w:t>
                    </w:r>
                  </w:p>
                </w:tc>
              </w:sdtContent>
            </w:sdt>
            <w:tc>
              <w:tcPr>
                <w:tcW w:w="2500" w:type="pct"/>
              </w:tcPr>
              <w:p w:rsidR="00587A53" w:rsidRDefault="00587A53" w:rsidP="003B6CD9">
                <w:pPr>
                  <w:jc w:val="right"/>
                  <w:rPr>
                    <w:szCs w:val="21"/>
                  </w:rPr>
                </w:pPr>
                <w:r>
                  <w:t>53,622</w:t>
                </w:r>
              </w:p>
            </w:tc>
          </w:tr>
          <w:tr w:rsidR="00587A53" w:rsidTr="003B6CD9">
            <w:trPr>
              <w:trHeight w:val="101"/>
            </w:trPr>
            <w:sdt>
              <w:sdtPr>
                <w:tag w:val="_PLD_f37d0297c6bb44dea272632ad4d910e4"/>
                <w:id w:val="3147223"/>
                <w:lock w:val="sdtLocked"/>
              </w:sdtPr>
              <w:sdtContent>
                <w:tc>
                  <w:tcPr>
                    <w:tcW w:w="5000" w:type="pct"/>
                    <w:gridSpan w:val="2"/>
                    <w:vAlign w:val="center"/>
                  </w:tcPr>
                  <w:p w:rsidR="00587A53" w:rsidRDefault="00587A53" w:rsidP="003B6CD9">
                    <w:pPr>
                      <w:jc w:val="center"/>
                      <w:rPr>
                        <w:szCs w:val="21"/>
                      </w:rPr>
                    </w:pPr>
                    <w:r>
                      <w:rPr>
                        <w:szCs w:val="21"/>
                      </w:rPr>
                      <w:t>专业构成</w:t>
                    </w:r>
                  </w:p>
                </w:tc>
              </w:sdtContent>
            </w:sdt>
          </w:tr>
          <w:tr w:rsidR="00587A53" w:rsidTr="003B6CD9">
            <w:trPr>
              <w:trHeight w:val="150"/>
            </w:trPr>
            <w:sdt>
              <w:sdtPr>
                <w:tag w:val="_PLD_90bef974c0c14508b11a7e84e6f364c5"/>
                <w:id w:val="3147224"/>
                <w:lock w:val="sdtLocked"/>
              </w:sdtPr>
              <w:sdtContent>
                <w:tc>
                  <w:tcPr>
                    <w:tcW w:w="2500" w:type="pct"/>
                  </w:tcPr>
                  <w:p w:rsidR="00587A53" w:rsidRDefault="00587A53" w:rsidP="003B6CD9">
                    <w:pPr>
                      <w:jc w:val="center"/>
                      <w:rPr>
                        <w:szCs w:val="21"/>
                      </w:rPr>
                    </w:pPr>
                    <w:r>
                      <w:rPr>
                        <w:szCs w:val="21"/>
                      </w:rPr>
                      <w:t>专业构成类别</w:t>
                    </w:r>
                  </w:p>
                </w:tc>
              </w:sdtContent>
            </w:sdt>
            <w:sdt>
              <w:sdtPr>
                <w:tag w:val="_PLD_a5f175a6b2a94ee7a70936fbe5cbc8da"/>
                <w:id w:val="3147225"/>
                <w:lock w:val="sdtLocked"/>
              </w:sdtPr>
              <w:sdtContent>
                <w:tc>
                  <w:tcPr>
                    <w:tcW w:w="2500" w:type="pct"/>
                  </w:tcPr>
                  <w:p w:rsidR="00587A53" w:rsidRDefault="00587A53" w:rsidP="003B6CD9">
                    <w:pPr>
                      <w:jc w:val="center"/>
                      <w:rPr>
                        <w:szCs w:val="21"/>
                      </w:rPr>
                    </w:pPr>
                    <w:r>
                      <w:rPr>
                        <w:szCs w:val="21"/>
                      </w:rPr>
                      <w:t>专业构成人数</w:t>
                    </w:r>
                  </w:p>
                </w:tc>
              </w:sdtContent>
            </w:sdt>
          </w:tr>
          <w:tr w:rsidR="00587A53" w:rsidTr="003B6CD9">
            <w:trPr>
              <w:trHeight w:val="150"/>
            </w:trPr>
            <w:sdt>
              <w:sdtPr>
                <w:tag w:val="_PLD_1211e61ed13f4419aa3a033e242010e1"/>
                <w:id w:val="3147226"/>
                <w:lock w:val="sdtLocked"/>
              </w:sdtPr>
              <w:sdtContent>
                <w:tc>
                  <w:tcPr>
                    <w:tcW w:w="2500" w:type="pct"/>
                  </w:tcPr>
                  <w:p w:rsidR="00587A53" w:rsidRDefault="00587A53" w:rsidP="003B6CD9">
                    <w:pPr>
                      <w:jc w:val="center"/>
                      <w:rPr>
                        <w:szCs w:val="21"/>
                      </w:rPr>
                    </w:pPr>
                    <w:r>
                      <w:rPr>
                        <w:szCs w:val="21"/>
                      </w:rPr>
                      <w:t>生产人员</w:t>
                    </w:r>
                  </w:p>
                </w:tc>
              </w:sdtContent>
            </w:sdt>
            <w:tc>
              <w:tcPr>
                <w:tcW w:w="2500" w:type="pct"/>
                <w:vAlign w:val="center"/>
              </w:tcPr>
              <w:p w:rsidR="00587A53" w:rsidRDefault="00587A53" w:rsidP="003B6CD9">
                <w:pPr>
                  <w:jc w:val="right"/>
                  <w:rPr>
                    <w:sz w:val="24"/>
                  </w:rPr>
                </w:pPr>
                <w:r>
                  <w:t>80,301</w:t>
                </w:r>
              </w:p>
            </w:tc>
          </w:tr>
          <w:tr w:rsidR="00587A53" w:rsidTr="003B6CD9">
            <w:trPr>
              <w:trHeight w:val="150"/>
            </w:trPr>
            <w:sdt>
              <w:sdtPr>
                <w:tag w:val="_PLD_c5901b0003b4463e975376710b547c94"/>
                <w:id w:val="3147227"/>
                <w:lock w:val="sdtLocked"/>
              </w:sdtPr>
              <w:sdtContent>
                <w:tc>
                  <w:tcPr>
                    <w:tcW w:w="2500" w:type="pct"/>
                  </w:tcPr>
                  <w:p w:rsidR="00587A53" w:rsidRDefault="00587A53" w:rsidP="003B6CD9">
                    <w:pPr>
                      <w:jc w:val="center"/>
                      <w:rPr>
                        <w:szCs w:val="21"/>
                      </w:rPr>
                    </w:pPr>
                    <w:r>
                      <w:rPr>
                        <w:szCs w:val="21"/>
                      </w:rPr>
                      <w:t>销售人员</w:t>
                    </w:r>
                  </w:p>
                </w:tc>
              </w:sdtContent>
            </w:sdt>
            <w:tc>
              <w:tcPr>
                <w:tcW w:w="2500" w:type="pct"/>
                <w:vAlign w:val="center"/>
              </w:tcPr>
              <w:p w:rsidR="00587A53" w:rsidRDefault="00587A53" w:rsidP="003B6CD9">
                <w:pPr>
                  <w:jc w:val="right"/>
                  <w:rPr>
                    <w:sz w:val="24"/>
                  </w:rPr>
                </w:pPr>
                <w:r>
                  <w:t>926</w:t>
                </w:r>
              </w:p>
            </w:tc>
          </w:tr>
          <w:tr w:rsidR="00587A53" w:rsidTr="003B6CD9">
            <w:trPr>
              <w:trHeight w:val="101"/>
            </w:trPr>
            <w:tc>
              <w:tcPr>
                <w:tcW w:w="2500" w:type="pct"/>
              </w:tcPr>
              <w:p w:rsidR="00587A53" w:rsidRDefault="00F80B6C" w:rsidP="003B6CD9">
                <w:pPr>
                  <w:jc w:val="center"/>
                  <w:rPr>
                    <w:szCs w:val="21"/>
                  </w:rPr>
                </w:pPr>
                <w:sdt>
                  <w:sdtPr>
                    <w:tag w:val="_PLD_1372bdc81c204039a05faeb9d394c7b5"/>
                    <w:id w:val="3147228"/>
                    <w:lock w:val="sdtLocked"/>
                  </w:sdtPr>
                  <w:sdtContent>
                    <w:r w:rsidR="00587A53">
                      <w:rPr>
                        <w:szCs w:val="21"/>
                      </w:rPr>
                      <w:t>技术人员</w:t>
                    </w:r>
                  </w:sdtContent>
                </w:sdt>
              </w:p>
            </w:tc>
            <w:tc>
              <w:tcPr>
                <w:tcW w:w="2500" w:type="pct"/>
                <w:vAlign w:val="center"/>
              </w:tcPr>
              <w:p w:rsidR="00587A53" w:rsidRDefault="00587A53" w:rsidP="003B6CD9">
                <w:pPr>
                  <w:jc w:val="right"/>
                  <w:rPr>
                    <w:sz w:val="24"/>
                  </w:rPr>
                </w:pPr>
                <w:r>
                  <w:t>7,427</w:t>
                </w:r>
              </w:p>
            </w:tc>
          </w:tr>
          <w:tr w:rsidR="00587A53" w:rsidTr="003B6CD9">
            <w:trPr>
              <w:trHeight w:val="116"/>
            </w:trPr>
            <w:sdt>
              <w:sdtPr>
                <w:tag w:val="_PLD_73ca450ca9d44f779a00982e68093c1a"/>
                <w:id w:val="3147229"/>
                <w:lock w:val="sdtLocked"/>
              </w:sdtPr>
              <w:sdtContent>
                <w:tc>
                  <w:tcPr>
                    <w:tcW w:w="2500" w:type="pct"/>
                  </w:tcPr>
                  <w:p w:rsidR="00587A53" w:rsidRDefault="00587A53" w:rsidP="003B6CD9">
                    <w:pPr>
                      <w:jc w:val="center"/>
                      <w:rPr>
                        <w:szCs w:val="21"/>
                      </w:rPr>
                    </w:pPr>
                    <w:r>
                      <w:rPr>
                        <w:szCs w:val="21"/>
                      </w:rPr>
                      <w:t>财务人员</w:t>
                    </w:r>
                  </w:p>
                </w:tc>
              </w:sdtContent>
            </w:sdt>
            <w:tc>
              <w:tcPr>
                <w:tcW w:w="2500" w:type="pct"/>
                <w:vAlign w:val="center"/>
              </w:tcPr>
              <w:p w:rsidR="00587A53" w:rsidRDefault="00587A53" w:rsidP="003B6CD9">
                <w:pPr>
                  <w:jc w:val="right"/>
                  <w:rPr>
                    <w:sz w:val="24"/>
                  </w:rPr>
                </w:pPr>
                <w:r>
                  <w:t>430</w:t>
                </w:r>
              </w:p>
            </w:tc>
          </w:tr>
          <w:tr w:rsidR="00587A53" w:rsidTr="003B6CD9">
            <w:trPr>
              <w:trHeight w:val="165"/>
            </w:trPr>
            <w:sdt>
              <w:sdtPr>
                <w:tag w:val="_PLD_170f6f06c6094bbea195f7ab0feae660"/>
                <w:id w:val="3147230"/>
                <w:lock w:val="sdtLocked"/>
              </w:sdtPr>
              <w:sdtContent>
                <w:tc>
                  <w:tcPr>
                    <w:tcW w:w="2500" w:type="pct"/>
                  </w:tcPr>
                  <w:p w:rsidR="00587A53" w:rsidRDefault="00587A53" w:rsidP="003B6CD9">
                    <w:pPr>
                      <w:jc w:val="center"/>
                      <w:rPr>
                        <w:szCs w:val="21"/>
                      </w:rPr>
                    </w:pPr>
                    <w:r>
                      <w:rPr>
                        <w:szCs w:val="21"/>
                      </w:rPr>
                      <w:t>行政人员</w:t>
                    </w:r>
                  </w:p>
                </w:tc>
              </w:sdtContent>
            </w:sdt>
            <w:tc>
              <w:tcPr>
                <w:tcW w:w="2500" w:type="pct"/>
                <w:vAlign w:val="center"/>
              </w:tcPr>
              <w:p w:rsidR="00587A53" w:rsidRDefault="00587A53" w:rsidP="003B6CD9">
                <w:pPr>
                  <w:jc w:val="right"/>
                  <w:rPr>
                    <w:sz w:val="24"/>
                  </w:rPr>
                </w:pPr>
                <w:r>
                  <w:t>3,375</w:t>
                </w:r>
              </w:p>
            </w:tc>
          </w:tr>
          <w:tr w:rsidR="00587A53" w:rsidTr="003B6CD9">
            <w:trPr>
              <w:trHeight w:val="146"/>
            </w:trPr>
            <w:sdt>
              <w:sdtPr>
                <w:tag w:val="_PLD_444fab2edd394a27a2ae4e60e00a7b1c"/>
                <w:id w:val="3147231"/>
                <w:lock w:val="sdtLocked"/>
              </w:sdtPr>
              <w:sdtContent>
                <w:tc>
                  <w:tcPr>
                    <w:tcW w:w="2500" w:type="pct"/>
                    <w:vAlign w:val="center"/>
                  </w:tcPr>
                  <w:p w:rsidR="00587A53" w:rsidRDefault="00587A53" w:rsidP="003B6CD9">
                    <w:pPr>
                      <w:jc w:val="center"/>
                      <w:rPr>
                        <w:szCs w:val="21"/>
                      </w:rPr>
                    </w:pPr>
                    <w:r>
                      <w:rPr>
                        <w:szCs w:val="21"/>
                      </w:rPr>
                      <w:t>合计</w:t>
                    </w:r>
                  </w:p>
                </w:tc>
              </w:sdtContent>
            </w:sdt>
            <w:tc>
              <w:tcPr>
                <w:tcW w:w="2500" w:type="pct"/>
              </w:tcPr>
              <w:p w:rsidR="00587A53" w:rsidRDefault="00587A53" w:rsidP="003B6CD9">
                <w:pPr>
                  <w:jc w:val="right"/>
                  <w:rPr>
                    <w:szCs w:val="21"/>
                  </w:rPr>
                </w:pPr>
                <w:r w:rsidRPr="00587A53">
                  <w:rPr>
                    <w:szCs w:val="21"/>
                  </w:rPr>
                  <w:t>92,459</w:t>
                </w:r>
              </w:p>
            </w:tc>
          </w:tr>
          <w:tr w:rsidR="00587A53" w:rsidTr="003B6CD9">
            <w:trPr>
              <w:trHeight w:val="101"/>
            </w:trPr>
            <w:sdt>
              <w:sdtPr>
                <w:tag w:val="_PLD_ea58f2d9c900463a8694fdc78940295e"/>
                <w:id w:val="3147232"/>
                <w:lock w:val="sdtLocked"/>
              </w:sdtPr>
              <w:sdtContent>
                <w:tc>
                  <w:tcPr>
                    <w:tcW w:w="5000" w:type="pct"/>
                    <w:gridSpan w:val="2"/>
                    <w:vAlign w:val="center"/>
                  </w:tcPr>
                  <w:p w:rsidR="00587A53" w:rsidRDefault="00587A53" w:rsidP="003B6CD9">
                    <w:pPr>
                      <w:jc w:val="center"/>
                      <w:rPr>
                        <w:szCs w:val="21"/>
                      </w:rPr>
                    </w:pPr>
                    <w:r>
                      <w:rPr>
                        <w:szCs w:val="21"/>
                      </w:rPr>
                      <w:t>教育程度</w:t>
                    </w:r>
                  </w:p>
                </w:tc>
              </w:sdtContent>
            </w:sdt>
          </w:tr>
          <w:tr w:rsidR="00587A53" w:rsidTr="003B6CD9">
            <w:trPr>
              <w:trHeight w:val="116"/>
            </w:trPr>
            <w:sdt>
              <w:sdtPr>
                <w:tag w:val="_PLD_92fefeded22c454881177d08c5c97d97"/>
                <w:id w:val="3147233"/>
                <w:lock w:val="sdtLocked"/>
              </w:sdtPr>
              <w:sdtContent>
                <w:tc>
                  <w:tcPr>
                    <w:tcW w:w="2500" w:type="pct"/>
                  </w:tcPr>
                  <w:p w:rsidR="00587A53" w:rsidRDefault="00587A53" w:rsidP="003B6CD9">
                    <w:pPr>
                      <w:jc w:val="center"/>
                      <w:rPr>
                        <w:szCs w:val="21"/>
                      </w:rPr>
                    </w:pPr>
                    <w:r>
                      <w:rPr>
                        <w:szCs w:val="21"/>
                      </w:rPr>
                      <w:t>教育程度类别</w:t>
                    </w:r>
                  </w:p>
                </w:tc>
              </w:sdtContent>
            </w:sdt>
            <w:sdt>
              <w:sdtPr>
                <w:tag w:val="_PLD_2a8ff2c52daa4348bedf7a0e6951a5c6"/>
                <w:id w:val="3147234"/>
                <w:lock w:val="sdtLocked"/>
              </w:sdtPr>
              <w:sdtContent>
                <w:tc>
                  <w:tcPr>
                    <w:tcW w:w="2500" w:type="pct"/>
                  </w:tcPr>
                  <w:p w:rsidR="00587A53" w:rsidRDefault="00587A53" w:rsidP="003B6CD9">
                    <w:pPr>
                      <w:jc w:val="center"/>
                      <w:rPr>
                        <w:szCs w:val="21"/>
                      </w:rPr>
                    </w:pPr>
                    <w:r>
                      <w:rPr>
                        <w:szCs w:val="21"/>
                      </w:rPr>
                      <w:t>数量（人）</w:t>
                    </w:r>
                  </w:p>
                </w:tc>
              </w:sdtContent>
            </w:sdt>
          </w:tr>
          <w:sdt>
            <w:sdtPr>
              <w:rPr>
                <w:rFonts w:asciiTheme="minorHAnsi" w:eastAsiaTheme="minorEastAsia" w:hAnsiTheme="minorHAnsi" w:cstheme="minorBidi"/>
                <w:kern w:val="2"/>
                <w:szCs w:val="21"/>
              </w:rPr>
              <w:alias w:val="教育程度情况"/>
              <w:tag w:val="_TUP_d33fb3128ec34d1f9cad1b906c578434"/>
              <w:id w:val="3147235"/>
              <w:lock w:val="sdtLocked"/>
            </w:sdtPr>
            <w:sdtContent>
              <w:tr w:rsidR="00587A53" w:rsidTr="003B6CD9">
                <w:trPr>
                  <w:trHeight w:val="131"/>
                </w:trPr>
                <w:tc>
                  <w:tcPr>
                    <w:tcW w:w="2500" w:type="pct"/>
                  </w:tcPr>
                  <w:p w:rsidR="00587A53" w:rsidRDefault="00587A53" w:rsidP="003B6CD9">
                    <w:pPr>
                      <w:jc w:val="center"/>
                      <w:rPr>
                        <w:szCs w:val="21"/>
                      </w:rPr>
                    </w:pPr>
                    <w:r>
                      <w:t>本科及以上</w:t>
                    </w:r>
                  </w:p>
                </w:tc>
                <w:tc>
                  <w:tcPr>
                    <w:tcW w:w="2500" w:type="pct"/>
                  </w:tcPr>
                  <w:p w:rsidR="00587A53" w:rsidRDefault="00587A53" w:rsidP="003B6CD9">
                    <w:pPr>
                      <w:jc w:val="right"/>
                      <w:rPr>
                        <w:szCs w:val="21"/>
                      </w:rPr>
                    </w:pPr>
                    <w:r>
                      <w:t>14,799</w:t>
                    </w:r>
                  </w:p>
                </w:tc>
              </w:tr>
            </w:sdtContent>
          </w:sdt>
          <w:sdt>
            <w:sdtPr>
              <w:rPr>
                <w:rFonts w:asciiTheme="minorHAnsi" w:eastAsiaTheme="minorEastAsia" w:hAnsiTheme="minorHAnsi" w:cstheme="minorBidi"/>
                <w:kern w:val="2"/>
                <w:szCs w:val="21"/>
              </w:rPr>
              <w:alias w:val="教育程度情况"/>
              <w:tag w:val="_TUP_d33fb3128ec34d1f9cad1b906c578434"/>
              <w:id w:val="3147236"/>
              <w:lock w:val="sdtLocked"/>
            </w:sdtPr>
            <w:sdtContent>
              <w:tr w:rsidR="00587A53" w:rsidTr="003B6CD9">
                <w:trPr>
                  <w:trHeight w:val="131"/>
                </w:trPr>
                <w:tc>
                  <w:tcPr>
                    <w:tcW w:w="2500" w:type="pct"/>
                  </w:tcPr>
                  <w:p w:rsidR="00587A53" w:rsidRDefault="00587A53" w:rsidP="003B6CD9">
                    <w:pPr>
                      <w:jc w:val="center"/>
                      <w:rPr>
                        <w:rFonts w:asciiTheme="minorHAnsi" w:eastAsiaTheme="minorEastAsia" w:hAnsiTheme="minorHAnsi" w:cstheme="minorBidi"/>
                        <w:kern w:val="2"/>
                        <w:szCs w:val="21"/>
                      </w:rPr>
                    </w:pPr>
                    <w:r>
                      <w:t>专科</w:t>
                    </w:r>
                  </w:p>
                </w:tc>
                <w:tc>
                  <w:tcPr>
                    <w:tcW w:w="2500" w:type="pct"/>
                  </w:tcPr>
                  <w:p w:rsidR="00587A53" w:rsidRDefault="00587A53" w:rsidP="003B6CD9">
                    <w:pPr>
                      <w:jc w:val="right"/>
                      <w:rPr>
                        <w:rFonts w:asciiTheme="minorHAnsi" w:eastAsiaTheme="minorEastAsia" w:hAnsiTheme="minorHAnsi" w:cstheme="minorBidi"/>
                        <w:kern w:val="2"/>
                        <w:szCs w:val="21"/>
                      </w:rPr>
                    </w:pPr>
                    <w:r>
                      <w:t>32,363</w:t>
                    </w:r>
                  </w:p>
                </w:tc>
              </w:tr>
            </w:sdtContent>
          </w:sdt>
          <w:sdt>
            <w:sdtPr>
              <w:rPr>
                <w:rFonts w:asciiTheme="minorHAnsi" w:eastAsiaTheme="minorEastAsia" w:hAnsiTheme="minorHAnsi" w:cstheme="minorBidi"/>
                <w:kern w:val="2"/>
                <w:szCs w:val="21"/>
              </w:rPr>
              <w:alias w:val="教育程度情况"/>
              <w:tag w:val="_TUP_d33fb3128ec34d1f9cad1b906c578434"/>
              <w:id w:val="3147237"/>
              <w:lock w:val="sdtLocked"/>
            </w:sdtPr>
            <w:sdtContent>
              <w:tr w:rsidR="00587A53" w:rsidTr="003B6CD9">
                <w:trPr>
                  <w:trHeight w:val="131"/>
                </w:trPr>
                <w:tc>
                  <w:tcPr>
                    <w:tcW w:w="2500" w:type="pct"/>
                  </w:tcPr>
                  <w:p w:rsidR="00587A53" w:rsidRDefault="00587A53" w:rsidP="003B6CD9">
                    <w:pPr>
                      <w:jc w:val="center"/>
                      <w:rPr>
                        <w:rFonts w:asciiTheme="minorHAnsi" w:eastAsiaTheme="minorEastAsia" w:hAnsiTheme="minorHAnsi" w:cstheme="minorBidi"/>
                        <w:kern w:val="2"/>
                        <w:szCs w:val="21"/>
                      </w:rPr>
                    </w:pPr>
                    <w:r>
                      <w:t>中专及以下</w:t>
                    </w:r>
                  </w:p>
                </w:tc>
                <w:tc>
                  <w:tcPr>
                    <w:tcW w:w="2500" w:type="pct"/>
                  </w:tcPr>
                  <w:p w:rsidR="00587A53" w:rsidRDefault="00587A53" w:rsidP="003B6CD9">
                    <w:pPr>
                      <w:jc w:val="right"/>
                      <w:rPr>
                        <w:rFonts w:asciiTheme="minorHAnsi" w:eastAsiaTheme="minorEastAsia" w:hAnsiTheme="minorHAnsi" w:cstheme="minorBidi"/>
                        <w:kern w:val="2"/>
                        <w:szCs w:val="21"/>
                      </w:rPr>
                    </w:pPr>
                    <w:r>
                      <w:t>45,297</w:t>
                    </w:r>
                  </w:p>
                </w:tc>
              </w:tr>
            </w:sdtContent>
          </w:sdt>
          <w:tr w:rsidR="00587A53" w:rsidTr="003B6CD9">
            <w:trPr>
              <w:trHeight w:val="165"/>
            </w:trPr>
            <w:sdt>
              <w:sdtPr>
                <w:tag w:val="_PLD_a4cb3dc76cbd4d74a5016891eb342b45"/>
                <w:id w:val="3147239"/>
                <w:lock w:val="sdtLocked"/>
              </w:sdtPr>
              <w:sdtContent>
                <w:tc>
                  <w:tcPr>
                    <w:tcW w:w="2500" w:type="pct"/>
                    <w:tcBorders>
                      <w:bottom w:val="single" w:sz="4" w:space="0" w:color="auto"/>
                    </w:tcBorders>
                    <w:vAlign w:val="center"/>
                  </w:tcPr>
                  <w:p w:rsidR="00587A53" w:rsidRDefault="00587A53" w:rsidP="003B6CD9">
                    <w:pPr>
                      <w:jc w:val="center"/>
                      <w:rPr>
                        <w:szCs w:val="21"/>
                      </w:rPr>
                    </w:pPr>
                    <w:r>
                      <w:rPr>
                        <w:szCs w:val="21"/>
                      </w:rPr>
                      <w:t>合计</w:t>
                    </w:r>
                  </w:p>
                </w:tc>
              </w:sdtContent>
            </w:sdt>
            <w:tc>
              <w:tcPr>
                <w:tcW w:w="2500" w:type="pct"/>
                <w:tcBorders>
                  <w:bottom w:val="single" w:sz="4" w:space="0" w:color="auto"/>
                </w:tcBorders>
              </w:tcPr>
              <w:p w:rsidR="00587A53" w:rsidRDefault="00587A53" w:rsidP="003B6CD9">
                <w:pPr>
                  <w:jc w:val="right"/>
                  <w:rPr>
                    <w:szCs w:val="21"/>
                  </w:rPr>
                </w:pPr>
                <w:r w:rsidRPr="00587A53">
                  <w:rPr>
                    <w:szCs w:val="21"/>
                  </w:rPr>
                  <w:t>92,459</w:t>
                </w:r>
              </w:p>
            </w:tc>
          </w:tr>
        </w:tbl>
        <w:p w:rsidR="00806678" w:rsidRDefault="00F80B6C">
          <w:pPr>
            <w:rPr>
              <w:szCs w:val="21"/>
            </w:rPr>
          </w:pPr>
        </w:p>
      </w:sdtContent>
    </w:sdt>
    <w:bookmarkEnd w:id="56" w:displacedByCustomXml="next"/>
    <w:sdt>
      <w:sdtPr>
        <w:rPr>
          <w:rFonts w:ascii="宋体" w:hAnsi="宋体" w:cs="宋体"/>
          <w:b w:val="0"/>
          <w:bCs w:val="0"/>
          <w:kern w:val="0"/>
          <w:szCs w:val="24"/>
        </w:rPr>
        <w:alias w:val="模块:薪酬政策"/>
        <w:tag w:val="_SEC_fc732f9b506646da9d52a592974e5004"/>
        <w:id w:val="3160258"/>
        <w:lock w:val="sdtLocked"/>
        <w:placeholder>
          <w:docPart w:val="GBC22222222222222222222222222222"/>
        </w:placeholder>
      </w:sdtPr>
      <w:sdtEndPr>
        <w:rPr>
          <w:rFonts w:ascii="Calibri" w:hAnsi="Calibri" w:cs="Times New Roman" w:hint="eastAsia"/>
          <w:kern w:val="2"/>
          <w:szCs w:val="21"/>
        </w:rPr>
      </w:sdtEndPr>
      <w:sdtContent>
        <w:p w:rsidR="00806678" w:rsidRDefault="00B16377" w:rsidP="00FF17C7">
          <w:pPr>
            <w:pStyle w:val="3"/>
            <w:numPr>
              <w:ilvl w:val="0"/>
              <w:numId w:val="34"/>
            </w:numPr>
            <w:rPr>
              <w:szCs w:val="21"/>
            </w:rPr>
          </w:pPr>
          <w:r>
            <w:t>薪</w:t>
          </w:r>
          <w:r>
            <w:rPr>
              <w:szCs w:val="21"/>
            </w:rPr>
            <w:t>酬政策</w:t>
          </w:r>
        </w:p>
        <w:sdt>
          <w:sdtPr>
            <w:rPr>
              <w:rFonts w:hint="eastAsia"/>
              <w:szCs w:val="21"/>
            </w:rPr>
            <w:alias w:val="是否适用：薪酬政策[双击切换]"/>
            <w:tag w:val="_GBC_13404877597d44c38f554884f31b3123"/>
            <w:id w:val="1184934105"/>
            <w:lock w:val="sdtLocked"/>
            <w:placeholder>
              <w:docPart w:val="GBC22222222222222222222222222222"/>
            </w:placeholder>
          </w:sdtPr>
          <w:sdtContent>
            <w:p w:rsidR="00806678" w:rsidRDefault="00F80B6C">
              <w:pPr>
                <w:rPr>
                  <w:szCs w:val="21"/>
                </w:rPr>
              </w:pPr>
              <w:r>
                <w:rPr>
                  <w:szCs w:val="21"/>
                </w:rPr>
                <w:fldChar w:fldCharType="begin"/>
              </w:r>
              <w:r w:rsidR="00B54858">
                <w:rPr>
                  <w:szCs w:val="21"/>
                </w:rPr>
                <w:instrText xml:space="preserve"> MACROBUTTON  SnrToggleCheckbox √适用  </w:instrText>
              </w:r>
              <w:r>
                <w:rPr>
                  <w:szCs w:val="21"/>
                </w:rPr>
                <w:fldChar w:fldCharType="end"/>
              </w:r>
              <w:r>
                <w:rPr>
                  <w:szCs w:val="21"/>
                </w:rPr>
                <w:fldChar w:fldCharType="begin"/>
              </w:r>
              <w:r w:rsidR="00B54858">
                <w:rPr>
                  <w:szCs w:val="21"/>
                </w:rPr>
                <w:instrText xml:space="preserve"> MACROBUTTON  SnrToggleCheckbox □不适用 </w:instrText>
              </w:r>
              <w:r>
                <w:rPr>
                  <w:szCs w:val="21"/>
                </w:rPr>
                <w:fldChar w:fldCharType="end"/>
              </w:r>
            </w:p>
          </w:sdtContent>
        </w:sdt>
        <w:sdt>
          <w:sdtPr>
            <w:rPr>
              <w:rFonts w:hint="eastAsia"/>
              <w:szCs w:val="21"/>
            </w:rPr>
            <w:alias w:val="员工薪酬政策"/>
            <w:tag w:val="_GBC_c66914a8847a42b2b50437dbe93cdad1"/>
            <w:id w:val="1385673858"/>
            <w:lock w:val="sdtLocked"/>
            <w:placeholder>
              <w:docPart w:val="GBC22222222222222222222222222222"/>
            </w:placeholder>
          </w:sdtPr>
          <w:sdtContent>
            <w:p w:rsidR="00806678" w:rsidRPr="00C76452" w:rsidRDefault="00B54858" w:rsidP="00C76452">
              <w:pPr>
                <w:pStyle w:val="a9"/>
                <w:spacing w:line="360" w:lineRule="auto"/>
                <w:rPr>
                  <w:rFonts w:ascii="仿宋" w:eastAsia="仿宋" w:hAnsi="仿宋"/>
                  <w:sz w:val="32"/>
                  <w:szCs w:val="32"/>
                </w:rPr>
              </w:pPr>
              <w:r w:rsidRPr="00B54858">
                <w:rPr>
                  <w:rFonts w:asciiTheme="minorEastAsia" w:eastAsiaTheme="minorEastAsia" w:hAnsiTheme="minorEastAsia" w:hint="eastAsia"/>
                  <w:szCs w:val="21"/>
                </w:rPr>
                <w:t>报告期内，公司继续坚持薪酬总额与经济效益相适应、薪酬水平与行业薪酬水平相适应的原</w:t>
              </w:r>
              <w:r w:rsidRPr="00B54858">
                <w:rPr>
                  <w:rFonts w:asciiTheme="minorEastAsia" w:eastAsiaTheme="minorEastAsia" w:hAnsiTheme="minorEastAsia" w:hint="eastAsia"/>
                  <w:szCs w:val="21"/>
                </w:rPr>
                <w:lastRenderedPageBreak/>
                <w:t>则，控制薪酬总额合理增长。实行与安全业绩、盈亏目标、劳动</w:t>
              </w:r>
              <w:r w:rsidRPr="00B54858">
                <w:rPr>
                  <w:rFonts w:asciiTheme="minorEastAsia" w:eastAsiaTheme="minorEastAsia" w:hAnsiTheme="minorEastAsia"/>
                  <w:szCs w:val="21"/>
                </w:rPr>
                <w:t>效</w:t>
              </w:r>
              <w:r w:rsidRPr="00B54858">
                <w:rPr>
                  <w:rFonts w:asciiTheme="minorEastAsia" w:eastAsiaTheme="minorEastAsia" w:hAnsiTheme="minorEastAsia" w:hint="eastAsia"/>
                  <w:szCs w:val="21"/>
                </w:rPr>
                <w:t>率联动</w:t>
              </w:r>
              <w:r w:rsidRPr="00B54858">
                <w:rPr>
                  <w:rFonts w:asciiTheme="minorEastAsia" w:eastAsiaTheme="minorEastAsia" w:hAnsiTheme="minorEastAsia"/>
                  <w:szCs w:val="21"/>
                </w:rPr>
                <w:t>考核的</w:t>
              </w:r>
              <w:r w:rsidRPr="00B54858">
                <w:rPr>
                  <w:rFonts w:asciiTheme="minorEastAsia" w:eastAsiaTheme="minorEastAsia" w:hAnsiTheme="minorEastAsia" w:hint="eastAsia"/>
                  <w:szCs w:val="21"/>
                </w:rPr>
                <w:t>基层</w:t>
              </w:r>
              <w:r w:rsidRPr="00B54858">
                <w:rPr>
                  <w:rFonts w:asciiTheme="minorEastAsia" w:eastAsiaTheme="minorEastAsia" w:hAnsiTheme="minorEastAsia"/>
                  <w:szCs w:val="21"/>
                </w:rPr>
                <w:t>单位薪酬总额</w:t>
              </w:r>
              <w:r w:rsidRPr="00B54858">
                <w:rPr>
                  <w:rFonts w:asciiTheme="minorEastAsia" w:eastAsiaTheme="minorEastAsia" w:hAnsiTheme="minorEastAsia" w:hint="eastAsia"/>
                  <w:szCs w:val="21"/>
                </w:rPr>
                <w:t>决定机制。坚持战略导向、效率公平原则，坚持业绩导向、多劳多得原则，坚持向生产一</w:t>
              </w:r>
              <w:r w:rsidRPr="00B54858">
                <w:rPr>
                  <w:rFonts w:asciiTheme="minorEastAsia" w:eastAsiaTheme="minorEastAsia" w:hAnsiTheme="minorEastAsia"/>
                  <w:szCs w:val="21"/>
                </w:rPr>
                <w:t>线、关键岗位倾斜</w:t>
              </w:r>
              <w:r w:rsidRPr="00B54858">
                <w:rPr>
                  <w:rFonts w:asciiTheme="minorEastAsia" w:eastAsiaTheme="minorEastAsia" w:hAnsiTheme="minorEastAsia" w:hint="eastAsia"/>
                  <w:szCs w:val="21"/>
                </w:rPr>
                <w:t>原则</w:t>
              </w:r>
              <w:r w:rsidRPr="00B54858">
                <w:rPr>
                  <w:rFonts w:asciiTheme="minorEastAsia" w:eastAsiaTheme="minorEastAsia" w:hAnsiTheme="minorEastAsia"/>
                  <w:szCs w:val="21"/>
                </w:rPr>
                <w:t>，</w:t>
              </w:r>
              <w:r w:rsidRPr="00B54858">
                <w:rPr>
                  <w:rFonts w:asciiTheme="minorEastAsia" w:eastAsiaTheme="minorEastAsia" w:hAnsiTheme="minorEastAsia" w:hint="eastAsia"/>
                  <w:szCs w:val="21"/>
                </w:rPr>
                <w:t>逐步</w:t>
              </w:r>
              <w:r w:rsidRPr="00B54858">
                <w:rPr>
                  <w:rFonts w:asciiTheme="minorEastAsia" w:eastAsiaTheme="minorEastAsia" w:hAnsiTheme="minorEastAsia"/>
                  <w:szCs w:val="21"/>
                </w:rPr>
                <w:t>构建以岗位价值为基础、以业绩贡献为依据的薪酬分配体系，</w:t>
              </w:r>
              <w:r w:rsidRPr="00B54858">
                <w:rPr>
                  <w:rFonts w:asciiTheme="minorEastAsia" w:eastAsiaTheme="minorEastAsia" w:hAnsiTheme="minorEastAsia" w:hint="eastAsia"/>
                  <w:szCs w:val="21"/>
                </w:rPr>
                <w:t>建立</w:t>
              </w:r>
              <w:r w:rsidRPr="00B54858">
                <w:rPr>
                  <w:rFonts w:asciiTheme="minorEastAsia" w:eastAsiaTheme="minorEastAsia" w:hAnsiTheme="minorEastAsia"/>
                  <w:szCs w:val="21"/>
                </w:rPr>
                <w:t>完善</w:t>
              </w:r>
              <w:r w:rsidRPr="00B54858">
                <w:rPr>
                  <w:rFonts w:asciiTheme="minorEastAsia" w:eastAsiaTheme="minorEastAsia" w:hAnsiTheme="minorEastAsia" w:hint="eastAsia"/>
                  <w:szCs w:val="21"/>
                </w:rPr>
                <w:t>以岗位责任制考核为</w:t>
              </w:r>
              <w:r w:rsidRPr="00B54858">
                <w:rPr>
                  <w:rFonts w:asciiTheme="minorEastAsia" w:eastAsiaTheme="minorEastAsia" w:hAnsiTheme="minorEastAsia"/>
                  <w:szCs w:val="21"/>
                </w:rPr>
                <w:t>主</w:t>
              </w:r>
              <w:r w:rsidRPr="00B54858">
                <w:rPr>
                  <w:rFonts w:asciiTheme="minorEastAsia" w:eastAsiaTheme="minorEastAsia" w:hAnsiTheme="minorEastAsia" w:hint="eastAsia"/>
                  <w:szCs w:val="21"/>
                </w:rPr>
                <w:t>、计件工资分配为</w:t>
              </w:r>
              <w:r w:rsidRPr="00B54858">
                <w:rPr>
                  <w:rFonts w:asciiTheme="minorEastAsia" w:eastAsiaTheme="minorEastAsia" w:hAnsiTheme="minorEastAsia"/>
                  <w:szCs w:val="21"/>
                </w:rPr>
                <w:t>主</w:t>
              </w:r>
              <w:r w:rsidRPr="00B54858">
                <w:rPr>
                  <w:rFonts w:asciiTheme="minorEastAsia" w:eastAsiaTheme="minorEastAsia" w:hAnsiTheme="minorEastAsia" w:hint="eastAsia"/>
                  <w:szCs w:val="21"/>
                </w:rPr>
                <w:t>的绩效考核制度。通过强化收入分配正向激励作用，持续激发员工内在工作动力。</w:t>
              </w:r>
            </w:p>
          </w:sdtContent>
        </w:sdt>
      </w:sdtContent>
    </w:sdt>
    <w:sdt>
      <w:sdtPr>
        <w:rPr>
          <w:rFonts w:ascii="宋体" w:hAnsi="宋体" w:cs="宋体"/>
          <w:b w:val="0"/>
          <w:bCs w:val="0"/>
          <w:kern w:val="0"/>
          <w:szCs w:val="21"/>
        </w:rPr>
        <w:alias w:val="模块:培训计划"/>
        <w:tag w:val="_SEC_e8ed83989c604c839daf59b1ac5b558c"/>
        <w:id w:val="3160276"/>
        <w:lock w:val="sdtLocked"/>
        <w:placeholder>
          <w:docPart w:val="GBC22222222222222222222222222222"/>
        </w:placeholder>
      </w:sdtPr>
      <w:sdtEndPr>
        <w:rPr>
          <w:rFonts w:hint="eastAsia"/>
        </w:rPr>
      </w:sdtEndPr>
      <w:sdtContent>
        <w:p w:rsidR="00806678" w:rsidRDefault="00B16377" w:rsidP="00FF17C7">
          <w:pPr>
            <w:pStyle w:val="3"/>
            <w:numPr>
              <w:ilvl w:val="0"/>
              <w:numId w:val="34"/>
            </w:numPr>
            <w:rPr>
              <w:szCs w:val="21"/>
            </w:rPr>
          </w:pPr>
          <w:r>
            <w:rPr>
              <w:szCs w:val="21"/>
            </w:rPr>
            <w:t>培训计划</w:t>
          </w:r>
        </w:p>
        <w:sdt>
          <w:sdtPr>
            <w:rPr>
              <w:rFonts w:hint="eastAsia"/>
              <w:szCs w:val="21"/>
            </w:rPr>
            <w:alias w:val="是否适用：培训计划[双击切换]"/>
            <w:tag w:val="_GBC_123cfa2c006d4970ae10b316c2c1f95a"/>
            <w:id w:val="1616484733"/>
            <w:lock w:val="sdtLocked"/>
            <w:placeholder>
              <w:docPart w:val="GBC22222222222222222222222222222"/>
            </w:placeholder>
          </w:sdtPr>
          <w:sdtContent>
            <w:p w:rsidR="00806678" w:rsidRDefault="00F80B6C">
              <w:pPr>
                <w:rPr>
                  <w:szCs w:val="21"/>
                </w:rPr>
              </w:pPr>
              <w:r>
                <w:rPr>
                  <w:szCs w:val="21"/>
                </w:rPr>
                <w:fldChar w:fldCharType="begin"/>
              </w:r>
              <w:r w:rsidR="00B005C4">
                <w:rPr>
                  <w:szCs w:val="21"/>
                </w:rPr>
                <w:instrText xml:space="preserve"> MACROBUTTON  SnrToggleCheckbox √适用  </w:instrText>
              </w:r>
              <w:r>
                <w:rPr>
                  <w:szCs w:val="21"/>
                </w:rPr>
                <w:fldChar w:fldCharType="end"/>
              </w:r>
              <w:r>
                <w:rPr>
                  <w:szCs w:val="21"/>
                </w:rPr>
                <w:fldChar w:fldCharType="begin"/>
              </w:r>
              <w:r w:rsidR="00B005C4">
                <w:rPr>
                  <w:szCs w:val="21"/>
                </w:rPr>
                <w:instrText xml:space="preserve"> MACROBUTTON  SnrToggleCheckbox □不适用 </w:instrText>
              </w:r>
              <w:r>
                <w:rPr>
                  <w:szCs w:val="21"/>
                </w:rPr>
                <w:fldChar w:fldCharType="end"/>
              </w:r>
            </w:p>
          </w:sdtContent>
        </w:sdt>
        <w:sdt>
          <w:sdtPr>
            <w:rPr>
              <w:rFonts w:hint="eastAsia"/>
              <w:szCs w:val="21"/>
            </w:rPr>
            <w:alias w:val="员工培训计划"/>
            <w:tag w:val="_GBC_266f6e1d93824387ae96645a471738b7"/>
            <w:id w:val="1118022889"/>
            <w:lock w:val="sdtLocked"/>
            <w:placeholder>
              <w:docPart w:val="GBC22222222222222222222222222222"/>
            </w:placeholder>
          </w:sdtPr>
          <w:sdtContent>
            <w:p w:rsidR="00B005C4" w:rsidRPr="00790651" w:rsidRDefault="00B005C4" w:rsidP="00B005C4">
              <w:pPr>
                <w:widowControl w:val="0"/>
                <w:spacing w:line="360" w:lineRule="auto"/>
                <w:ind w:firstLineChars="200" w:firstLine="420"/>
                <w:jc w:val="both"/>
                <w:rPr>
                  <w:rFonts w:asciiTheme="minorEastAsia" w:eastAsiaTheme="minorEastAsia" w:hAnsiTheme="minorEastAsia"/>
                  <w:szCs w:val="21"/>
                </w:rPr>
              </w:pPr>
              <w:r w:rsidRPr="00790651">
                <w:rPr>
                  <w:rFonts w:asciiTheme="minorEastAsia" w:eastAsiaTheme="minorEastAsia" w:hAnsiTheme="minorEastAsia" w:hint="eastAsia"/>
                  <w:szCs w:val="21"/>
                </w:rPr>
                <w:t>在管理和专业技术人员培训方面，一</w:t>
              </w:r>
              <w:r w:rsidRPr="00790651">
                <w:rPr>
                  <w:rFonts w:asciiTheme="minorEastAsia" w:eastAsiaTheme="minorEastAsia" w:hAnsiTheme="minorEastAsia"/>
                  <w:szCs w:val="21"/>
                </w:rPr>
                <w:t>是</w:t>
              </w:r>
              <w:r w:rsidRPr="00790651">
                <w:rPr>
                  <w:rFonts w:asciiTheme="minorEastAsia" w:eastAsiaTheme="minorEastAsia" w:hAnsiTheme="minorEastAsia" w:hint="eastAsia"/>
                  <w:szCs w:val="21"/>
                </w:rPr>
                <w:t>坚持</w:t>
              </w:r>
              <w:r w:rsidRPr="00790651">
                <w:rPr>
                  <w:rFonts w:asciiTheme="minorEastAsia" w:eastAsiaTheme="minorEastAsia" w:hAnsiTheme="minorEastAsia"/>
                  <w:szCs w:val="21"/>
                </w:rPr>
                <w:t>质量导向，</w:t>
              </w:r>
              <w:r w:rsidRPr="00790651">
                <w:rPr>
                  <w:rFonts w:asciiTheme="minorEastAsia" w:eastAsiaTheme="minorEastAsia" w:hAnsiTheme="minorEastAsia" w:hint="eastAsia"/>
                  <w:szCs w:val="21"/>
                </w:rPr>
                <w:t>将</w:t>
              </w:r>
              <w:r w:rsidRPr="00790651">
                <w:rPr>
                  <w:rFonts w:asciiTheme="minorEastAsia" w:eastAsiaTheme="minorEastAsia" w:hAnsiTheme="minorEastAsia"/>
                  <w:szCs w:val="21"/>
                </w:rPr>
                <w:t>党的十九届</w:t>
              </w:r>
              <w:r w:rsidRPr="00790651">
                <w:rPr>
                  <w:rFonts w:asciiTheme="minorEastAsia" w:eastAsiaTheme="minorEastAsia" w:hAnsiTheme="minorEastAsia" w:hint="eastAsia"/>
                  <w:szCs w:val="21"/>
                </w:rPr>
                <w:t>六</w:t>
              </w:r>
              <w:r w:rsidRPr="00790651">
                <w:rPr>
                  <w:rFonts w:asciiTheme="minorEastAsia" w:eastAsiaTheme="minorEastAsia" w:hAnsiTheme="minorEastAsia"/>
                  <w:szCs w:val="21"/>
                </w:rPr>
                <w:t>中全会精神</w:t>
              </w:r>
              <w:r w:rsidRPr="00790651">
                <w:rPr>
                  <w:rFonts w:asciiTheme="minorEastAsia" w:eastAsiaTheme="minorEastAsia" w:hAnsiTheme="minorEastAsia" w:hint="eastAsia"/>
                  <w:szCs w:val="21"/>
                </w:rPr>
                <w:t>教育培训</w:t>
              </w:r>
              <w:r w:rsidRPr="00790651">
                <w:rPr>
                  <w:rFonts w:asciiTheme="minorEastAsia" w:eastAsiaTheme="minorEastAsia" w:hAnsiTheme="minorEastAsia"/>
                  <w:szCs w:val="21"/>
                </w:rPr>
                <w:t>作为重大</w:t>
              </w:r>
              <w:r w:rsidRPr="00790651">
                <w:rPr>
                  <w:rFonts w:asciiTheme="minorEastAsia" w:eastAsiaTheme="minorEastAsia" w:hAnsiTheme="minorEastAsia" w:hint="eastAsia"/>
                  <w:szCs w:val="21"/>
                </w:rPr>
                <w:t>政治</w:t>
              </w:r>
              <w:r w:rsidRPr="00790651">
                <w:rPr>
                  <w:rFonts w:asciiTheme="minorEastAsia" w:eastAsiaTheme="minorEastAsia" w:hAnsiTheme="minorEastAsia"/>
                  <w:szCs w:val="21"/>
                </w:rPr>
                <w:t>任务</w:t>
              </w:r>
              <w:r w:rsidRPr="00790651">
                <w:rPr>
                  <w:rFonts w:asciiTheme="minorEastAsia" w:eastAsiaTheme="minorEastAsia" w:hAnsiTheme="minorEastAsia" w:hint="eastAsia"/>
                  <w:szCs w:val="21"/>
                </w:rPr>
                <w:t>，</w:t>
              </w:r>
              <w:r w:rsidRPr="00790651">
                <w:rPr>
                  <w:rFonts w:asciiTheme="minorEastAsia" w:eastAsiaTheme="minorEastAsia" w:hAnsiTheme="minorEastAsia"/>
                  <w:szCs w:val="21"/>
                </w:rPr>
                <w:t>利用铁道党校网络资源开展领导人员</w:t>
              </w:r>
              <w:r w:rsidRPr="00790651">
                <w:rPr>
                  <w:rFonts w:asciiTheme="minorEastAsia" w:eastAsiaTheme="minorEastAsia" w:hAnsiTheme="minorEastAsia" w:hint="eastAsia"/>
                  <w:szCs w:val="21"/>
                </w:rPr>
                <w:t>专题</w:t>
              </w:r>
              <w:r w:rsidRPr="00790651">
                <w:rPr>
                  <w:rFonts w:asciiTheme="minorEastAsia" w:eastAsiaTheme="minorEastAsia" w:hAnsiTheme="minorEastAsia"/>
                  <w:szCs w:val="21"/>
                </w:rPr>
                <w:t>培训</w:t>
              </w:r>
              <w:r w:rsidRPr="00790651">
                <w:rPr>
                  <w:rFonts w:asciiTheme="minorEastAsia" w:eastAsiaTheme="minorEastAsia" w:hAnsiTheme="minorEastAsia" w:hint="eastAsia"/>
                  <w:szCs w:val="21"/>
                </w:rPr>
                <w:t>；聚焦</w:t>
              </w:r>
              <w:r w:rsidRPr="00790651">
                <w:rPr>
                  <w:rFonts w:asciiTheme="minorEastAsia" w:eastAsiaTheme="minorEastAsia" w:hAnsiTheme="minorEastAsia"/>
                  <w:szCs w:val="21"/>
                </w:rPr>
                <w:t>岗位</w:t>
              </w:r>
              <w:r w:rsidRPr="00790651">
                <w:rPr>
                  <w:rFonts w:asciiTheme="minorEastAsia" w:eastAsiaTheme="minorEastAsia" w:hAnsiTheme="minorEastAsia" w:hint="eastAsia"/>
                  <w:szCs w:val="21"/>
                </w:rPr>
                <w:t>履职</w:t>
              </w:r>
              <w:r w:rsidRPr="00790651">
                <w:rPr>
                  <w:rFonts w:asciiTheme="minorEastAsia" w:eastAsiaTheme="minorEastAsia" w:hAnsiTheme="minorEastAsia"/>
                  <w:szCs w:val="21"/>
                </w:rPr>
                <w:t>能力提升，</w:t>
              </w:r>
              <w:r w:rsidRPr="00790651">
                <w:rPr>
                  <w:rFonts w:asciiTheme="minorEastAsia" w:eastAsiaTheme="minorEastAsia" w:hAnsiTheme="minorEastAsia" w:hint="eastAsia"/>
                  <w:szCs w:val="21"/>
                </w:rPr>
                <w:t>开展</w:t>
              </w:r>
              <w:r w:rsidRPr="00790651">
                <w:rPr>
                  <w:rFonts w:asciiTheme="minorEastAsia" w:eastAsiaTheme="minorEastAsia" w:hAnsiTheme="minorEastAsia"/>
                  <w:szCs w:val="21"/>
                </w:rPr>
                <w:t>专兼职党支部书记培训。</w:t>
              </w:r>
              <w:r w:rsidRPr="00790651">
                <w:rPr>
                  <w:rFonts w:asciiTheme="minorEastAsia" w:eastAsiaTheme="minorEastAsia" w:hAnsiTheme="minorEastAsia" w:hint="eastAsia"/>
                  <w:szCs w:val="21"/>
                </w:rPr>
                <w:t>二</w:t>
              </w:r>
              <w:r w:rsidRPr="00790651">
                <w:rPr>
                  <w:rFonts w:asciiTheme="minorEastAsia" w:eastAsiaTheme="minorEastAsia" w:hAnsiTheme="minorEastAsia"/>
                  <w:szCs w:val="21"/>
                </w:rPr>
                <w:t>是</w:t>
              </w:r>
              <w:r w:rsidRPr="00790651">
                <w:rPr>
                  <w:rFonts w:asciiTheme="minorEastAsia" w:eastAsiaTheme="minorEastAsia" w:hAnsiTheme="minorEastAsia" w:hint="eastAsia"/>
                  <w:szCs w:val="21"/>
                </w:rPr>
                <w:t>坚持需求</w:t>
              </w:r>
              <w:r w:rsidRPr="00790651">
                <w:rPr>
                  <w:rFonts w:asciiTheme="minorEastAsia" w:eastAsiaTheme="minorEastAsia" w:hAnsiTheme="minorEastAsia"/>
                  <w:szCs w:val="21"/>
                </w:rPr>
                <w:t>导向，深化青年管理和专业技术人员理想信</w:t>
              </w:r>
              <w:r w:rsidRPr="00790651">
                <w:rPr>
                  <w:rFonts w:asciiTheme="minorEastAsia" w:eastAsiaTheme="minorEastAsia" w:hAnsiTheme="minorEastAsia" w:hint="eastAsia"/>
                  <w:szCs w:val="21"/>
                </w:rPr>
                <w:t>念</w:t>
              </w:r>
              <w:r w:rsidRPr="00790651">
                <w:rPr>
                  <w:rFonts w:asciiTheme="minorEastAsia" w:eastAsiaTheme="minorEastAsia" w:hAnsiTheme="minorEastAsia"/>
                  <w:szCs w:val="21"/>
                </w:rPr>
                <w:t>宗旨</w:t>
              </w:r>
              <w:r w:rsidRPr="00790651">
                <w:rPr>
                  <w:rFonts w:asciiTheme="minorEastAsia" w:eastAsiaTheme="minorEastAsia" w:hAnsiTheme="minorEastAsia" w:hint="eastAsia"/>
                  <w:szCs w:val="21"/>
                </w:rPr>
                <w:t>教育</w:t>
              </w:r>
              <w:r w:rsidRPr="00790651">
                <w:rPr>
                  <w:rFonts w:asciiTheme="minorEastAsia" w:eastAsiaTheme="minorEastAsia" w:hAnsiTheme="minorEastAsia"/>
                  <w:szCs w:val="21"/>
                </w:rPr>
                <w:t>，</w:t>
              </w:r>
              <w:r w:rsidRPr="00790651">
                <w:rPr>
                  <w:rFonts w:asciiTheme="minorEastAsia" w:eastAsiaTheme="minorEastAsia" w:hAnsiTheme="minorEastAsia" w:hint="eastAsia"/>
                  <w:szCs w:val="21"/>
                </w:rPr>
                <w:t>实施</w:t>
              </w:r>
              <w:r w:rsidRPr="00790651">
                <w:rPr>
                  <w:rFonts w:asciiTheme="minorEastAsia" w:eastAsiaTheme="minorEastAsia" w:hAnsiTheme="minorEastAsia"/>
                  <w:szCs w:val="21"/>
                </w:rPr>
                <w:t>“</w:t>
              </w:r>
              <w:r w:rsidRPr="00790651">
                <w:rPr>
                  <w:rFonts w:asciiTheme="minorEastAsia" w:eastAsiaTheme="minorEastAsia" w:hAnsiTheme="minorEastAsia" w:hint="eastAsia"/>
                  <w:szCs w:val="21"/>
                </w:rPr>
                <w:t>青年</w:t>
              </w:r>
              <w:r w:rsidRPr="00790651">
                <w:rPr>
                  <w:rFonts w:asciiTheme="minorEastAsia" w:eastAsiaTheme="minorEastAsia" w:hAnsiTheme="minorEastAsia"/>
                  <w:szCs w:val="21"/>
                </w:rPr>
                <w:t>马克思主义者培养工程”，做优做强“</w:t>
              </w:r>
              <w:r w:rsidRPr="00790651">
                <w:rPr>
                  <w:rFonts w:asciiTheme="minorEastAsia" w:eastAsiaTheme="minorEastAsia" w:hAnsiTheme="minorEastAsia" w:hint="eastAsia"/>
                  <w:szCs w:val="21"/>
                </w:rPr>
                <w:t>青</w:t>
              </w:r>
              <w:r w:rsidRPr="00790651">
                <w:rPr>
                  <w:rFonts w:asciiTheme="minorEastAsia" w:eastAsiaTheme="minorEastAsia" w:hAnsiTheme="minorEastAsia"/>
                  <w:szCs w:val="21"/>
                </w:rPr>
                <w:t>”</w:t>
              </w:r>
              <w:r w:rsidRPr="00790651">
                <w:rPr>
                  <w:rFonts w:asciiTheme="minorEastAsia" w:eastAsiaTheme="minorEastAsia" w:hAnsiTheme="minorEastAsia" w:hint="eastAsia"/>
                  <w:szCs w:val="21"/>
                </w:rPr>
                <w:t>字</w:t>
              </w:r>
              <w:r w:rsidRPr="00790651">
                <w:rPr>
                  <w:rFonts w:asciiTheme="minorEastAsia" w:eastAsiaTheme="minorEastAsia" w:hAnsiTheme="minorEastAsia"/>
                  <w:szCs w:val="21"/>
                </w:rPr>
                <w:t>号培训项目。</w:t>
              </w:r>
              <w:r w:rsidRPr="00790651">
                <w:rPr>
                  <w:rFonts w:asciiTheme="minorEastAsia" w:eastAsiaTheme="minorEastAsia" w:hAnsiTheme="minorEastAsia" w:hint="eastAsia"/>
                  <w:szCs w:val="21"/>
                </w:rPr>
                <w:t>三是坚持服务</w:t>
              </w:r>
              <w:r w:rsidRPr="00790651">
                <w:rPr>
                  <w:rFonts w:asciiTheme="minorEastAsia" w:eastAsiaTheme="minorEastAsia" w:hAnsiTheme="minorEastAsia"/>
                  <w:szCs w:val="21"/>
                </w:rPr>
                <w:t>导向，</w:t>
              </w:r>
              <w:r w:rsidRPr="00790651">
                <w:rPr>
                  <w:rFonts w:asciiTheme="minorEastAsia" w:eastAsiaTheme="minorEastAsia" w:hAnsiTheme="minorEastAsia" w:hint="eastAsia"/>
                  <w:szCs w:val="21"/>
                </w:rPr>
                <w:t>推进</w:t>
              </w:r>
              <w:r w:rsidRPr="00790651">
                <w:rPr>
                  <w:rFonts w:asciiTheme="minorEastAsia" w:eastAsiaTheme="minorEastAsia" w:hAnsiTheme="minorEastAsia"/>
                  <w:szCs w:val="21"/>
                </w:rPr>
                <w:t>人才强企战略，实施高</w:t>
              </w:r>
              <w:r w:rsidRPr="00790651">
                <w:rPr>
                  <w:rFonts w:asciiTheme="minorEastAsia" w:eastAsiaTheme="minorEastAsia" w:hAnsiTheme="minorEastAsia" w:hint="eastAsia"/>
                  <w:szCs w:val="21"/>
                </w:rPr>
                <w:t>层次</w:t>
              </w:r>
              <w:r w:rsidRPr="00790651">
                <w:rPr>
                  <w:rFonts w:asciiTheme="minorEastAsia" w:eastAsiaTheme="minorEastAsia" w:hAnsiTheme="minorEastAsia"/>
                  <w:szCs w:val="21"/>
                </w:rPr>
                <w:t>人才</w:t>
              </w:r>
              <w:r w:rsidRPr="00790651">
                <w:rPr>
                  <w:rFonts w:asciiTheme="minorEastAsia" w:eastAsiaTheme="minorEastAsia" w:hAnsiTheme="minorEastAsia" w:hint="eastAsia"/>
                  <w:szCs w:val="21"/>
                </w:rPr>
                <w:t>靶</w:t>
              </w:r>
              <w:r w:rsidRPr="00790651">
                <w:rPr>
                  <w:rFonts w:asciiTheme="minorEastAsia" w:eastAsiaTheme="minorEastAsia" w:hAnsiTheme="minorEastAsia"/>
                  <w:szCs w:val="21"/>
                </w:rPr>
                <w:t>向</w:t>
              </w:r>
              <w:r w:rsidRPr="00790651">
                <w:rPr>
                  <w:rFonts w:asciiTheme="minorEastAsia" w:eastAsiaTheme="minorEastAsia" w:hAnsiTheme="minorEastAsia" w:hint="eastAsia"/>
                  <w:szCs w:val="21"/>
                </w:rPr>
                <w:t>培养</w:t>
              </w:r>
              <w:r w:rsidRPr="00790651">
                <w:rPr>
                  <w:rFonts w:asciiTheme="minorEastAsia" w:eastAsiaTheme="minorEastAsia" w:hAnsiTheme="minorEastAsia"/>
                  <w:szCs w:val="21"/>
                </w:rPr>
                <w:t>，</w:t>
              </w:r>
              <w:r w:rsidRPr="00790651">
                <w:rPr>
                  <w:rFonts w:asciiTheme="minorEastAsia" w:eastAsiaTheme="minorEastAsia" w:hAnsiTheme="minorEastAsia" w:hint="eastAsia"/>
                  <w:szCs w:val="21"/>
                </w:rPr>
                <w:t>开展安全</w:t>
              </w:r>
              <w:r w:rsidRPr="00790651">
                <w:rPr>
                  <w:rFonts w:asciiTheme="minorEastAsia" w:eastAsiaTheme="minorEastAsia" w:hAnsiTheme="minorEastAsia"/>
                  <w:szCs w:val="21"/>
                </w:rPr>
                <w:t>管理、</w:t>
              </w:r>
              <w:r w:rsidRPr="00790651">
                <w:rPr>
                  <w:rFonts w:asciiTheme="minorEastAsia" w:eastAsiaTheme="minorEastAsia" w:hAnsiTheme="minorEastAsia" w:hint="eastAsia"/>
                  <w:szCs w:val="21"/>
                </w:rPr>
                <w:t>重载</w:t>
              </w:r>
              <w:r w:rsidRPr="00790651">
                <w:rPr>
                  <w:rFonts w:asciiTheme="minorEastAsia" w:eastAsiaTheme="minorEastAsia" w:hAnsiTheme="minorEastAsia"/>
                  <w:szCs w:val="21"/>
                </w:rPr>
                <w:t>装备技术、运输组织业务、自主创新</w:t>
              </w:r>
              <w:r w:rsidRPr="00790651">
                <w:rPr>
                  <w:rFonts w:asciiTheme="minorEastAsia" w:eastAsiaTheme="minorEastAsia" w:hAnsiTheme="minorEastAsia" w:hint="eastAsia"/>
                  <w:szCs w:val="21"/>
                </w:rPr>
                <w:t>等领域</w:t>
              </w:r>
              <w:r w:rsidRPr="00790651">
                <w:rPr>
                  <w:rFonts w:asciiTheme="minorEastAsia" w:eastAsiaTheme="minorEastAsia" w:hAnsiTheme="minorEastAsia"/>
                  <w:szCs w:val="21"/>
                </w:rPr>
                <w:t>素能提升培训</w:t>
              </w:r>
              <w:r w:rsidRPr="00790651">
                <w:rPr>
                  <w:rFonts w:asciiTheme="minorEastAsia" w:eastAsiaTheme="minorEastAsia" w:hAnsiTheme="minorEastAsia" w:hint="eastAsia"/>
                  <w:szCs w:val="21"/>
                </w:rPr>
                <w:t>；以</w:t>
              </w:r>
              <w:r w:rsidRPr="00790651">
                <w:rPr>
                  <w:rFonts w:asciiTheme="minorEastAsia" w:eastAsiaTheme="minorEastAsia" w:hAnsiTheme="minorEastAsia"/>
                  <w:szCs w:val="21"/>
                </w:rPr>
                <w:t>提升</w:t>
              </w:r>
              <w:r w:rsidRPr="00790651">
                <w:rPr>
                  <w:rFonts w:asciiTheme="minorEastAsia" w:eastAsiaTheme="minorEastAsia" w:hAnsiTheme="minorEastAsia" w:hint="eastAsia"/>
                  <w:szCs w:val="21"/>
                </w:rPr>
                <w:t>企业</w:t>
              </w:r>
              <w:r w:rsidRPr="00790651">
                <w:rPr>
                  <w:rFonts w:asciiTheme="minorEastAsia" w:eastAsiaTheme="minorEastAsia" w:hAnsiTheme="minorEastAsia"/>
                  <w:szCs w:val="21"/>
                </w:rPr>
                <w:t>法治化市场化集约化经营水平</w:t>
              </w:r>
              <w:r w:rsidRPr="00790651">
                <w:rPr>
                  <w:rFonts w:asciiTheme="minorEastAsia" w:eastAsiaTheme="minorEastAsia" w:hAnsiTheme="minorEastAsia" w:hint="eastAsia"/>
                  <w:szCs w:val="21"/>
                </w:rPr>
                <w:t>为</w:t>
              </w:r>
              <w:r w:rsidRPr="00790651">
                <w:rPr>
                  <w:rFonts w:asciiTheme="minorEastAsia" w:eastAsiaTheme="minorEastAsia" w:hAnsiTheme="minorEastAsia"/>
                  <w:szCs w:val="21"/>
                </w:rPr>
                <w:t>目标，开展</w:t>
              </w:r>
              <w:r w:rsidRPr="00790651">
                <w:rPr>
                  <w:rFonts w:asciiTheme="minorEastAsia" w:eastAsiaTheme="minorEastAsia" w:hAnsiTheme="minorEastAsia" w:hint="eastAsia"/>
                  <w:szCs w:val="21"/>
                </w:rPr>
                <w:t>信访</w:t>
              </w:r>
              <w:r w:rsidRPr="00790651">
                <w:rPr>
                  <w:rFonts w:asciiTheme="minorEastAsia" w:eastAsiaTheme="minorEastAsia" w:hAnsiTheme="minorEastAsia"/>
                  <w:szCs w:val="21"/>
                </w:rPr>
                <w:t>业务、法律</w:t>
              </w:r>
              <w:r w:rsidRPr="00790651">
                <w:rPr>
                  <w:rFonts w:asciiTheme="minorEastAsia" w:eastAsiaTheme="minorEastAsia" w:hAnsiTheme="minorEastAsia" w:hint="eastAsia"/>
                  <w:szCs w:val="21"/>
                </w:rPr>
                <w:t>事务、</w:t>
              </w:r>
              <w:r w:rsidRPr="00790651">
                <w:rPr>
                  <w:rFonts w:asciiTheme="minorEastAsia" w:eastAsiaTheme="minorEastAsia" w:hAnsiTheme="minorEastAsia"/>
                  <w:szCs w:val="21"/>
                </w:rPr>
                <w:t>劳资管理</w:t>
              </w:r>
              <w:r w:rsidRPr="00790651">
                <w:rPr>
                  <w:rFonts w:asciiTheme="minorEastAsia" w:eastAsiaTheme="minorEastAsia" w:hAnsiTheme="minorEastAsia" w:hint="eastAsia"/>
                  <w:szCs w:val="21"/>
                </w:rPr>
                <w:t>、</w:t>
              </w:r>
              <w:r w:rsidRPr="00790651">
                <w:rPr>
                  <w:rFonts w:asciiTheme="minorEastAsia" w:eastAsiaTheme="minorEastAsia" w:hAnsiTheme="minorEastAsia"/>
                  <w:szCs w:val="21"/>
                </w:rPr>
                <w:t>财务管理、市场营销等专业培训</w:t>
              </w:r>
              <w:r w:rsidRPr="00790651">
                <w:rPr>
                  <w:rFonts w:asciiTheme="minorEastAsia" w:eastAsiaTheme="minorEastAsia" w:hAnsiTheme="minorEastAsia" w:hint="eastAsia"/>
                  <w:szCs w:val="21"/>
                </w:rPr>
                <w:t>；围绕</w:t>
              </w:r>
              <w:r w:rsidRPr="00790651">
                <w:rPr>
                  <w:rFonts w:asciiTheme="minorEastAsia" w:eastAsiaTheme="minorEastAsia" w:hAnsiTheme="minorEastAsia"/>
                  <w:szCs w:val="21"/>
                </w:rPr>
                <w:t>年</w:t>
              </w:r>
              <w:r w:rsidRPr="00790651">
                <w:rPr>
                  <w:rFonts w:asciiTheme="minorEastAsia" w:eastAsiaTheme="minorEastAsia" w:hAnsiTheme="minorEastAsia" w:hint="eastAsia"/>
                  <w:szCs w:val="21"/>
                </w:rPr>
                <w:t>度</w:t>
              </w:r>
              <w:r w:rsidRPr="00790651">
                <w:rPr>
                  <w:rFonts w:asciiTheme="minorEastAsia" w:eastAsiaTheme="minorEastAsia" w:hAnsiTheme="minorEastAsia"/>
                  <w:szCs w:val="21"/>
                </w:rPr>
                <w:t>重点任务，</w:t>
              </w:r>
              <w:r w:rsidRPr="00790651">
                <w:rPr>
                  <w:rFonts w:asciiTheme="minorEastAsia" w:eastAsiaTheme="minorEastAsia" w:hAnsiTheme="minorEastAsia" w:hint="eastAsia"/>
                  <w:szCs w:val="21"/>
                </w:rPr>
                <w:t>针对</w:t>
              </w:r>
              <w:r w:rsidRPr="00790651">
                <w:rPr>
                  <w:rFonts w:asciiTheme="minorEastAsia" w:eastAsiaTheme="minorEastAsia" w:hAnsiTheme="minorEastAsia"/>
                  <w:szCs w:val="21"/>
                </w:rPr>
                <w:t>性</w:t>
              </w:r>
              <w:r w:rsidRPr="00790651">
                <w:rPr>
                  <w:rFonts w:asciiTheme="minorEastAsia" w:eastAsiaTheme="minorEastAsia" w:hAnsiTheme="minorEastAsia" w:hint="eastAsia"/>
                  <w:szCs w:val="21"/>
                </w:rPr>
                <w:t>开展</w:t>
              </w:r>
              <w:r w:rsidRPr="00790651">
                <w:rPr>
                  <w:rFonts w:asciiTheme="minorEastAsia" w:eastAsiaTheme="minorEastAsia" w:hAnsiTheme="minorEastAsia"/>
                  <w:szCs w:val="21"/>
                </w:rPr>
                <w:t>任职资格及岗位适应性培训。</w:t>
              </w:r>
              <w:r w:rsidRPr="00790651">
                <w:rPr>
                  <w:rFonts w:asciiTheme="minorEastAsia" w:eastAsiaTheme="minorEastAsia" w:hAnsiTheme="minorEastAsia" w:hint="eastAsia"/>
                  <w:szCs w:val="21"/>
                </w:rPr>
                <w:t>全年统筹</w:t>
              </w:r>
              <w:r w:rsidRPr="00790651">
                <w:rPr>
                  <w:rFonts w:asciiTheme="minorEastAsia" w:eastAsiaTheme="minorEastAsia" w:hAnsiTheme="minorEastAsia"/>
                  <w:szCs w:val="21"/>
                </w:rPr>
                <w:t>线上线下培训资源，</w:t>
              </w:r>
              <w:r w:rsidRPr="00790651">
                <w:rPr>
                  <w:rFonts w:asciiTheme="minorEastAsia" w:eastAsiaTheme="minorEastAsia" w:hAnsiTheme="minorEastAsia" w:hint="eastAsia"/>
                  <w:szCs w:val="21"/>
                </w:rPr>
                <w:t>共完成各</w:t>
              </w:r>
              <w:r w:rsidRPr="00790651">
                <w:rPr>
                  <w:rFonts w:asciiTheme="minorEastAsia" w:eastAsiaTheme="minorEastAsia" w:hAnsiTheme="minorEastAsia"/>
                  <w:szCs w:val="21"/>
                </w:rPr>
                <w:t>类培训2.0</w:t>
              </w:r>
              <w:r w:rsidRPr="00790651">
                <w:rPr>
                  <w:rFonts w:asciiTheme="minorEastAsia" w:eastAsiaTheme="minorEastAsia" w:hAnsiTheme="minorEastAsia" w:hint="eastAsia"/>
                  <w:szCs w:val="21"/>
                </w:rPr>
                <w:t>万</w:t>
              </w:r>
              <w:r w:rsidRPr="00790651">
                <w:rPr>
                  <w:rFonts w:asciiTheme="minorEastAsia" w:eastAsiaTheme="minorEastAsia" w:hAnsiTheme="minorEastAsia"/>
                  <w:szCs w:val="21"/>
                </w:rPr>
                <w:t>人</w:t>
              </w:r>
              <w:r w:rsidRPr="00790651">
                <w:rPr>
                  <w:rFonts w:asciiTheme="minorEastAsia" w:eastAsiaTheme="minorEastAsia" w:hAnsiTheme="minorEastAsia" w:hint="eastAsia"/>
                  <w:szCs w:val="21"/>
                </w:rPr>
                <w:t>次</w:t>
              </w:r>
              <w:r w:rsidRPr="00790651">
                <w:rPr>
                  <w:rFonts w:asciiTheme="minorEastAsia" w:eastAsiaTheme="minorEastAsia" w:hAnsiTheme="minorEastAsia"/>
                  <w:szCs w:val="21"/>
                </w:rPr>
                <w:t>。</w:t>
              </w:r>
            </w:p>
            <w:p w:rsidR="00806678" w:rsidRPr="00B005C4" w:rsidRDefault="00B005C4" w:rsidP="00B005C4">
              <w:pPr>
                <w:widowControl w:val="0"/>
                <w:spacing w:line="360" w:lineRule="auto"/>
                <w:ind w:firstLineChars="200" w:firstLine="420"/>
                <w:jc w:val="both"/>
                <w:rPr>
                  <w:rFonts w:asciiTheme="minorEastAsia" w:eastAsiaTheme="minorEastAsia" w:hAnsiTheme="minorEastAsia"/>
                  <w:szCs w:val="21"/>
                </w:rPr>
              </w:pPr>
              <w:r w:rsidRPr="00790651">
                <w:rPr>
                  <w:rFonts w:asciiTheme="minorEastAsia" w:eastAsiaTheme="minorEastAsia" w:hAnsiTheme="minorEastAsia" w:hint="eastAsia"/>
                  <w:szCs w:val="21"/>
                </w:rPr>
                <w:t>在操作技能人员培训方面，一</w:t>
              </w:r>
              <w:r w:rsidRPr="00790651">
                <w:rPr>
                  <w:rFonts w:asciiTheme="minorEastAsia" w:eastAsiaTheme="minorEastAsia" w:hAnsiTheme="minorEastAsia"/>
                  <w:szCs w:val="21"/>
                </w:rPr>
                <w:t>是</w:t>
              </w:r>
              <w:r w:rsidRPr="00790651">
                <w:rPr>
                  <w:rFonts w:asciiTheme="minorEastAsia" w:eastAsiaTheme="minorEastAsia" w:hAnsiTheme="minorEastAsia" w:hint="eastAsia"/>
                  <w:szCs w:val="21"/>
                </w:rPr>
                <w:t>扎实</w:t>
              </w:r>
              <w:r w:rsidRPr="00790651">
                <w:rPr>
                  <w:rFonts w:asciiTheme="minorEastAsia" w:eastAsiaTheme="minorEastAsia" w:hAnsiTheme="minorEastAsia"/>
                  <w:szCs w:val="21"/>
                </w:rPr>
                <w:t>开展新职人员资格性培训</w:t>
              </w:r>
              <w:r w:rsidRPr="00790651">
                <w:rPr>
                  <w:rFonts w:asciiTheme="minorEastAsia" w:eastAsiaTheme="minorEastAsia" w:hAnsiTheme="minorEastAsia" w:hint="eastAsia"/>
                  <w:szCs w:val="21"/>
                </w:rPr>
                <w:t>，以培养</w:t>
              </w:r>
              <w:r w:rsidRPr="00790651">
                <w:rPr>
                  <w:rFonts w:asciiTheme="minorEastAsia" w:eastAsiaTheme="minorEastAsia" w:hAnsiTheme="minorEastAsia"/>
                  <w:szCs w:val="21"/>
                </w:rPr>
                <w:t>良好工作习惯和职业素养为目标，</w:t>
              </w:r>
              <w:r w:rsidRPr="00790651">
                <w:rPr>
                  <w:rFonts w:asciiTheme="minorEastAsia" w:eastAsiaTheme="minorEastAsia" w:hAnsiTheme="minorEastAsia" w:hint="eastAsia"/>
                  <w:szCs w:val="21"/>
                </w:rPr>
                <w:t>打造</w:t>
              </w:r>
              <w:r w:rsidRPr="00790651">
                <w:rPr>
                  <w:rFonts w:asciiTheme="minorEastAsia" w:eastAsiaTheme="minorEastAsia" w:hAnsiTheme="minorEastAsia"/>
                  <w:szCs w:val="21"/>
                </w:rPr>
                <w:t>“大秦精神</w:t>
              </w:r>
              <w:r w:rsidRPr="00790651">
                <w:rPr>
                  <w:rFonts w:asciiTheme="minorEastAsia" w:eastAsiaTheme="minorEastAsia" w:hAnsiTheme="minorEastAsia" w:hint="eastAsia"/>
                  <w:szCs w:val="21"/>
                </w:rPr>
                <w:t>课</w:t>
              </w:r>
              <w:r w:rsidRPr="00790651">
                <w:rPr>
                  <w:rFonts w:asciiTheme="minorEastAsia" w:eastAsiaTheme="minorEastAsia" w:hAnsiTheme="minorEastAsia"/>
                  <w:szCs w:val="21"/>
                </w:rPr>
                <w:t>”“青工入路教育第一课”“站段安全首课”等特色课程，</w:t>
              </w:r>
              <w:r w:rsidRPr="00790651">
                <w:rPr>
                  <w:rFonts w:asciiTheme="minorEastAsia" w:eastAsiaTheme="minorEastAsia" w:hAnsiTheme="minorEastAsia" w:hint="eastAsia"/>
                  <w:szCs w:val="21"/>
                </w:rPr>
                <w:t>实施</w:t>
              </w:r>
              <w:r w:rsidRPr="00790651">
                <w:rPr>
                  <w:rFonts w:asciiTheme="minorEastAsia" w:eastAsiaTheme="minorEastAsia" w:hAnsiTheme="minorEastAsia"/>
                  <w:szCs w:val="21"/>
                </w:rPr>
                <w:t>安全、理论、实作全流程“过关式”培训</w:t>
              </w:r>
              <w:r w:rsidRPr="00790651">
                <w:rPr>
                  <w:rFonts w:asciiTheme="minorEastAsia" w:eastAsiaTheme="minorEastAsia" w:hAnsiTheme="minorEastAsia" w:hint="eastAsia"/>
                  <w:szCs w:val="21"/>
                </w:rPr>
                <w:t>。</w:t>
              </w:r>
              <w:r w:rsidRPr="00790651">
                <w:rPr>
                  <w:rFonts w:asciiTheme="minorEastAsia" w:eastAsiaTheme="minorEastAsia" w:hAnsiTheme="minorEastAsia"/>
                  <w:szCs w:val="21"/>
                </w:rPr>
                <w:t>二</w:t>
              </w:r>
              <w:r w:rsidRPr="00790651">
                <w:rPr>
                  <w:rFonts w:asciiTheme="minorEastAsia" w:eastAsiaTheme="minorEastAsia" w:hAnsiTheme="minorEastAsia" w:hint="eastAsia"/>
                  <w:szCs w:val="21"/>
                </w:rPr>
                <w:t>是着力</w:t>
              </w:r>
              <w:r w:rsidRPr="00790651">
                <w:rPr>
                  <w:rFonts w:asciiTheme="minorEastAsia" w:eastAsiaTheme="minorEastAsia" w:hAnsiTheme="minorEastAsia"/>
                  <w:szCs w:val="21"/>
                </w:rPr>
                <w:t>抓实适应性培训，</w:t>
              </w:r>
              <w:r w:rsidRPr="00790651">
                <w:rPr>
                  <w:rFonts w:asciiTheme="minorEastAsia" w:eastAsiaTheme="minorEastAsia" w:hAnsiTheme="minorEastAsia" w:hint="eastAsia"/>
                  <w:szCs w:val="21"/>
                </w:rPr>
                <w:t>在</w:t>
              </w:r>
              <w:r w:rsidRPr="00790651">
                <w:rPr>
                  <w:rFonts w:asciiTheme="minorEastAsia" w:eastAsiaTheme="minorEastAsia" w:hAnsiTheme="minorEastAsia"/>
                  <w:szCs w:val="21"/>
                </w:rPr>
                <w:t>培养生产一线合格班组长方面，以提升综合素质为主</w:t>
              </w:r>
              <w:r w:rsidRPr="00790651">
                <w:rPr>
                  <w:rFonts w:asciiTheme="minorEastAsia" w:eastAsiaTheme="minorEastAsia" w:hAnsiTheme="minorEastAsia" w:hint="eastAsia"/>
                  <w:szCs w:val="21"/>
                </w:rPr>
                <w:t>题，</w:t>
              </w:r>
              <w:r w:rsidRPr="00790651">
                <w:rPr>
                  <w:rFonts w:asciiTheme="minorEastAsia" w:eastAsiaTheme="minorEastAsia" w:hAnsiTheme="minorEastAsia"/>
                  <w:szCs w:val="21"/>
                </w:rPr>
                <w:t>引入</w:t>
              </w:r>
              <w:r w:rsidRPr="00790651">
                <w:rPr>
                  <w:rFonts w:asciiTheme="minorEastAsia" w:eastAsiaTheme="minorEastAsia" w:hAnsiTheme="minorEastAsia" w:hint="eastAsia"/>
                  <w:szCs w:val="21"/>
                </w:rPr>
                <w:t>班组</w:t>
              </w:r>
              <w:r w:rsidRPr="00790651">
                <w:rPr>
                  <w:rFonts w:asciiTheme="minorEastAsia" w:eastAsiaTheme="minorEastAsia" w:hAnsiTheme="minorEastAsia"/>
                  <w:szCs w:val="21"/>
                </w:rPr>
                <w:t>管理、岗位荣誉、心理辅导等特色课程</w:t>
              </w:r>
              <w:r w:rsidRPr="00790651">
                <w:rPr>
                  <w:rFonts w:asciiTheme="minorEastAsia" w:eastAsiaTheme="minorEastAsia" w:hAnsiTheme="minorEastAsia" w:hint="eastAsia"/>
                  <w:szCs w:val="21"/>
                </w:rPr>
                <w:t>；在</w:t>
              </w:r>
              <w:r w:rsidRPr="00790651">
                <w:rPr>
                  <w:rFonts w:asciiTheme="minorEastAsia" w:eastAsiaTheme="minorEastAsia" w:hAnsiTheme="minorEastAsia"/>
                  <w:szCs w:val="21"/>
                </w:rPr>
                <w:t>培养业务骨干方面，</w:t>
              </w:r>
              <w:r w:rsidRPr="00790651">
                <w:rPr>
                  <w:rFonts w:asciiTheme="minorEastAsia" w:eastAsiaTheme="minorEastAsia" w:hAnsiTheme="minorEastAsia" w:hint="eastAsia"/>
                  <w:szCs w:val="21"/>
                </w:rPr>
                <w:t>聘请</w:t>
              </w:r>
              <w:r w:rsidRPr="00790651">
                <w:rPr>
                  <w:rFonts w:asciiTheme="minorEastAsia" w:eastAsiaTheme="minorEastAsia" w:hAnsiTheme="minorEastAsia"/>
                  <w:szCs w:val="21"/>
                </w:rPr>
                <w:t>业务主管、技能大师、技术专</w:t>
              </w:r>
              <w:r w:rsidRPr="00790651">
                <w:rPr>
                  <w:rFonts w:asciiTheme="minorEastAsia" w:eastAsiaTheme="minorEastAsia" w:hAnsiTheme="minorEastAsia" w:hint="eastAsia"/>
                  <w:szCs w:val="21"/>
                </w:rPr>
                <w:t>家，</w:t>
              </w:r>
              <w:r w:rsidRPr="00790651">
                <w:rPr>
                  <w:rFonts w:asciiTheme="minorEastAsia" w:eastAsiaTheme="minorEastAsia" w:hAnsiTheme="minorEastAsia"/>
                  <w:szCs w:val="21"/>
                </w:rPr>
                <w:t>重点讲授设备原理、故障识别、应急</w:t>
              </w:r>
              <w:r w:rsidRPr="00790651">
                <w:rPr>
                  <w:rFonts w:asciiTheme="minorEastAsia" w:eastAsiaTheme="minorEastAsia" w:hAnsiTheme="minorEastAsia" w:hint="eastAsia"/>
                  <w:szCs w:val="21"/>
                </w:rPr>
                <w:t>处置</w:t>
              </w:r>
              <w:r w:rsidRPr="00790651">
                <w:rPr>
                  <w:rFonts w:asciiTheme="minorEastAsia" w:eastAsiaTheme="minorEastAsia" w:hAnsiTheme="minorEastAsia"/>
                  <w:szCs w:val="21"/>
                </w:rPr>
                <w:t>等内容</w:t>
              </w:r>
              <w:r w:rsidRPr="00790651">
                <w:rPr>
                  <w:rFonts w:asciiTheme="minorEastAsia" w:eastAsiaTheme="minorEastAsia" w:hAnsiTheme="minorEastAsia" w:hint="eastAsia"/>
                  <w:szCs w:val="21"/>
                </w:rPr>
                <w:t>，</w:t>
              </w:r>
              <w:r w:rsidRPr="00790651">
                <w:rPr>
                  <w:rFonts w:asciiTheme="minorEastAsia" w:eastAsiaTheme="minorEastAsia" w:hAnsiTheme="minorEastAsia"/>
                  <w:szCs w:val="21"/>
                </w:rPr>
                <w:t>并开展</w:t>
              </w:r>
              <w:r w:rsidRPr="00790651">
                <w:rPr>
                  <w:rFonts w:asciiTheme="minorEastAsia" w:eastAsiaTheme="minorEastAsia" w:hAnsiTheme="minorEastAsia" w:hint="eastAsia"/>
                  <w:szCs w:val="21"/>
                </w:rPr>
                <w:t>“</w:t>
              </w:r>
              <w:r w:rsidRPr="00790651">
                <w:rPr>
                  <w:rFonts w:asciiTheme="minorEastAsia" w:eastAsiaTheme="minorEastAsia" w:hAnsiTheme="minorEastAsia"/>
                  <w:szCs w:val="21"/>
                </w:rPr>
                <w:t>名师带</w:t>
              </w:r>
              <w:r w:rsidRPr="00790651">
                <w:rPr>
                  <w:rFonts w:asciiTheme="minorEastAsia" w:eastAsiaTheme="minorEastAsia" w:hAnsiTheme="minorEastAsia" w:hint="eastAsia"/>
                  <w:szCs w:val="21"/>
                </w:rPr>
                <w:t>徒</w:t>
              </w:r>
              <w:r w:rsidRPr="00790651">
                <w:rPr>
                  <w:rFonts w:asciiTheme="minorEastAsia" w:eastAsiaTheme="minorEastAsia" w:hAnsiTheme="minorEastAsia"/>
                  <w:szCs w:val="21"/>
                </w:rPr>
                <w:t>”活动；</w:t>
              </w:r>
              <w:r w:rsidRPr="00790651">
                <w:rPr>
                  <w:rFonts w:asciiTheme="minorEastAsia" w:eastAsiaTheme="minorEastAsia" w:hAnsiTheme="minorEastAsia" w:hint="eastAsia"/>
                  <w:szCs w:val="21"/>
                </w:rPr>
                <w:t>在</w:t>
              </w:r>
              <w:r w:rsidRPr="00790651">
                <w:rPr>
                  <w:rFonts w:asciiTheme="minorEastAsia" w:eastAsiaTheme="minorEastAsia" w:hAnsiTheme="minorEastAsia"/>
                  <w:szCs w:val="21"/>
                </w:rPr>
                <w:t>主要行车工种技能巩固提升方面，分级组织、分类实施</w:t>
              </w:r>
              <w:r w:rsidRPr="00790651">
                <w:rPr>
                  <w:rFonts w:asciiTheme="minorEastAsia" w:eastAsiaTheme="minorEastAsia" w:hAnsiTheme="minorEastAsia" w:hint="eastAsia"/>
                  <w:szCs w:val="21"/>
                </w:rPr>
                <w:t>常态</w:t>
              </w:r>
              <w:r w:rsidRPr="00790651">
                <w:rPr>
                  <w:rFonts w:asciiTheme="minorEastAsia" w:eastAsiaTheme="minorEastAsia" w:hAnsiTheme="minorEastAsia"/>
                  <w:szCs w:val="21"/>
                </w:rPr>
                <w:t>化轮训</w:t>
              </w:r>
              <w:r w:rsidRPr="00790651">
                <w:rPr>
                  <w:rFonts w:asciiTheme="minorEastAsia" w:eastAsiaTheme="minorEastAsia" w:hAnsiTheme="minorEastAsia" w:hint="eastAsia"/>
                  <w:szCs w:val="21"/>
                </w:rPr>
                <w:t>。三</w:t>
              </w:r>
              <w:r w:rsidRPr="00790651">
                <w:rPr>
                  <w:rFonts w:asciiTheme="minorEastAsia" w:eastAsiaTheme="minorEastAsia" w:hAnsiTheme="minorEastAsia"/>
                  <w:szCs w:val="21"/>
                </w:rPr>
                <w:t>是通过</w:t>
              </w:r>
              <w:r w:rsidRPr="00790651">
                <w:rPr>
                  <w:rFonts w:asciiTheme="minorEastAsia" w:eastAsiaTheme="minorEastAsia" w:hAnsiTheme="minorEastAsia" w:hint="eastAsia"/>
                  <w:szCs w:val="21"/>
                </w:rPr>
                <w:t>开展全</w:t>
              </w:r>
              <w:r w:rsidRPr="00790651">
                <w:rPr>
                  <w:rFonts w:asciiTheme="minorEastAsia" w:eastAsiaTheme="minorEastAsia" w:hAnsiTheme="minorEastAsia"/>
                  <w:szCs w:val="21"/>
                </w:rPr>
                <w:t>员、全工种职业技能竞赛</w:t>
              </w:r>
              <w:r w:rsidRPr="00790651">
                <w:rPr>
                  <w:rFonts w:asciiTheme="minorEastAsia" w:eastAsiaTheme="minorEastAsia" w:hAnsiTheme="minorEastAsia" w:hint="eastAsia"/>
                  <w:szCs w:val="21"/>
                </w:rPr>
                <w:t>，</w:t>
              </w:r>
              <w:r w:rsidRPr="00790651">
                <w:rPr>
                  <w:rFonts w:asciiTheme="minorEastAsia" w:eastAsiaTheme="minorEastAsia" w:hAnsiTheme="minorEastAsia"/>
                  <w:szCs w:val="21"/>
                </w:rPr>
                <w:t>持续激发</w:t>
              </w:r>
              <w:r w:rsidRPr="00790651">
                <w:rPr>
                  <w:rFonts w:asciiTheme="minorEastAsia" w:eastAsiaTheme="minorEastAsia" w:hAnsiTheme="minorEastAsia" w:hint="eastAsia"/>
                  <w:szCs w:val="21"/>
                </w:rPr>
                <w:t>员</w:t>
              </w:r>
              <w:r w:rsidRPr="00790651">
                <w:rPr>
                  <w:rFonts w:asciiTheme="minorEastAsia" w:eastAsiaTheme="minorEastAsia" w:hAnsiTheme="minorEastAsia"/>
                  <w:szCs w:val="21"/>
                </w:rPr>
                <w:t>工</w:t>
              </w:r>
              <w:r w:rsidRPr="00790651">
                <w:rPr>
                  <w:rFonts w:asciiTheme="minorEastAsia" w:eastAsiaTheme="minorEastAsia" w:hAnsiTheme="minorEastAsia" w:hint="eastAsia"/>
                  <w:szCs w:val="21"/>
                </w:rPr>
                <w:t>学</w:t>
              </w:r>
              <w:r w:rsidRPr="00790651">
                <w:rPr>
                  <w:rFonts w:asciiTheme="minorEastAsia" w:eastAsiaTheme="minorEastAsia" w:hAnsiTheme="minorEastAsia"/>
                  <w:szCs w:val="21"/>
                </w:rPr>
                <w:t>业务、提技能的热情。</w:t>
              </w:r>
              <w:r w:rsidRPr="00790651">
                <w:rPr>
                  <w:rFonts w:asciiTheme="minorEastAsia" w:eastAsiaTheme="minorEastAsia" w:hAnsiTheme="minorEastAsia" w:hint="eastAsia"/>
                  <w:szCs w:val="21"/>
                </w:rPr>
                <w:t>全</w:t>
              </w:r>
              <w:r w:rsidRPr="00790651">
                <w:rPr>
                  <w:rFonts w:asciiTheme="minorEastAsia" w:eastAsiaTheme="minorEastAsia" w:hAnsiTheme="minorEastAsia"/>
                  <w:szCs w:val="21"/>
                </w:rPr>
                <w:t>年</w:t>
              </w:r>
              <w:r w:rsidRPr="00790651">
                <w:rPr>
                  <w:rFonts w:asciiTheme="minorEastAsia" w:eastAsiaTheme="minorEastAsia" w:hAnsiTheme="minorEastAsia" w:hint="eastAsia"/>
                  <w:szCs w:val="21"/>
                </w:rPr>
                <w:t>共完成</w:t>
              </w:r>
              <w:r w:rsidRPr="00790651">
                <w:rPr>
                  <w:rFonts w:asciiTheme="minorEastAsia" w:eastAsiaTheme="minorEastAsia" w:hAnsiTheme="minorEastAsia"/>
                  <w:szCs w:val="21"/>
                </w:rPr>
                <w:t>资格性、适应性培训2</w:t>
              </w:r>
              <w:r w:rsidRPr="00790651">
                <w:rPr>
                  <w:rFonts w:asciiTheme="minorEastAsia" w:eastAsiaTheme="minorEastAsia" w:hAnsiTheme="minorEastAsia" w:hint="eastAsia"/>
                  <w:szCs w:val="21"/>
                </w:rPr>
                <w:t>.</w:t>
              </w:r>
              <w:r w:rsidRPr="00790651">
                <w:rPr>
                  <w:rFonts w:asciiTheme="minorEastAsia" w:eastAsiaTheme="minorEastAsia" w:hAnsiTheme="minorEastAsia"/>
                  <w:szCs w:val="21"/>
                </w:rPr>
                <w:t>9</w:t>
              </w:r>
              <w:r w:rsidRPr="00790651">
                <w:rPr>
                  <w:rFonts w:asciiTheme="minorEastAsia" w:eastAsiaTheme="minorEastAsia" w:hAnsiTheme="minorEastAsia" w:hint="eastAsia"/>
                  <w:szCs w:val="21"/>
                </w:rPr>
                <w:t>万人</w:t>
              </w:r>
              <w:r w:rsidRPr="00790651">
                <w:rPr>
                  <w:rFonts w:asciiTheme="minorEastAsia" w:eastAsiaTheme="minorEastAsia" w:hAnsiTheme="minorEastAsia"/>
                  <w:szCs w:val="21"/>
                </w:rPr>
                <w:t>次。</w:t>
              </w:r>
            </w:p>
          </w:sdtContent>
        </w:sdt>
      </w:sdtContent>
    </w:sdt>
    <w:sdt>
      <w:sdtPr>
        <w:rPr>
          <w:rFonts w:ascii="宋体" w:hAnsi="宋体" w:cs="宋体"/>
          <w:b w:val="0"/>
          <w:bCs w:val="0"/>
          <w:kern w:val="0"/>
          <w:szCs w:val="21"/>
        </w:rPr>
        <w:alias w:val="模块:劳务外包情况"/>
        <w:tag w:val="_SEC_0b378851dc554a559cac93a43f7b5a2c"/>
        <w:id w:val="3160299"/>
        <w:lock w:val="sdtLocked"/>
        <w:placeholder>
          <w:docPart w:val="GBC22222222222222222222222222222"/>
        </w:placeholder>
      </w:sdtPr>
      <w:sdtContent>
        <w:p w:rsidR="00806678" w:rsidRDefault="00B16377" w:rsidP="00FF17C7">
          <w:pPr>
            <w:pStyle w:val="3"/>
            <w:numPr>
              <w:ilvl w:val="0"/>
              <w:numId w:val="34"/>
            </w:numPr>
            <w:rPr>
              <w:szCs w:val="21"/>
            </w:rPr>
          </w:pPr>
          <w:r>
            <w:rPr>
              <w:szCs w:val="21"/>
            </w:rPr>
            <w:t>劳务外包情况</w:t>
          </w:r>
        </w:p>
        <w:sdt>
          <w:sdtPr>
            <w:alias w:val="是否适用：劳务外包情况[双击切换]"/>
            <w:tag w:val="_GBC_0682caf48f0d4ff9b0e5259fc3a31660"/>
            <w:id w:val="1271747802"/>
            <w:lock w:val="sdtLocked"/>
            <w:placeholder>
              <w:docPart w:val="GBC22222222222222222222222222222"/>
            </w:placeholder>
          </w:sdtPr>
          <w:sdtContent>
            <w:p w:rsidR="00806678" w:rsidRDefault="00F80B6C" w:rsidP="00BA4B7C">
              <w:pPr>
                <w:rPr>
                  <w:szCs w:val="21"/>
                </w:rPr>
              </w:pPr>
              <w:r>
                <w:fldChar w:fldCharType="begin"/>
              </w:r>
              <w:r w:rsidR="00BA4B7C">
                <w:instrText xml:space="preserve">MACROBUTTON  SnrToggleCheckbox □适用 </w:instrText>
              </w:r>
              <w:r>
                <w:fldChar w:fldCharType="end"/>
              </w:r>
              <w:r>
                <w:fldChar w:fldCharType="begin"/>
              </w:r>
              <w:r w:rsidR="00BA4B7C">
                <w:instrText xml:space="preserve"> MACROBUTTON  SnrToggleCheckbox √不适用 </w:instrText>
              </w:r>
              <w:r>
                <w:fldChar w:fldCharType="end"/>
              </w:r>
            </w:p>
          </w:sdtContent>
        </w:sdt>
      </w:sdtContent>
    </w:sdt>
    <w:p w:rsidR="00806678" w:rsidRDefault="00B16377" w:rsidP="00FF17C7">
      <w:pPr>
        <w:pStyle w:val="2"/>
        <w:numPr>
          <w:ilvl w:val="0"/>
          <w:numId w:val="35"/>
        </w:numPr>
        <w:ind w:left="450" w:hanging="450"/>
      </w:pPr>
      <w:r>
        <w:t>利润分配或资本公积金转增预案</w:t>
      </w:r>
    </w:p>
    <w:sdt>
      <w:sdtPr>
        <w:rPr>
          <w:rFonts w:ascii="宋体" w:hAnsi="宋体" w:cs="宋体" w:hint="eastAsia"/>
          <w:b w:val="0"/>
          <w:bCs w:val="0"/>
          <w:kern w:val="0"/>
          <w:szCs w:val="24"/>
        </w:rPr>
        <w:alias w:val="模块:现金分红政策的制定、执行或调整情况"/>
        <w:tag w:val="_SEC_56f603efa27346f7af316ef98db0d157"/>
        <w:id w:val="4638820"/>
        <w:lock w:val="sdtLocked"/>
        <w:placeholder>
          <w:docPart w:val="GBC22222222222222222222222222222"/>
        </w:placeholder>
      </w:sdtPr>
      <w:sdtEndPr>
        <w:rPr>
          <w:rFonts w:hint="default"/>
        </w:rPr>
      </w:sdtEndPr>
      <w:sdtContent>
        <w:p w:rsidR="00806678" w:rsidRDefault="00B16377" w:rsidP="00FF17C7">
          <w:pPr>
            <w:pStyle w:val="3"/>
            <w:numPr>
              <w:ilvl w:val="0"/>
              <w:numId w:val="62"/>
            </w:numPr>
          </w:pPr>
          <w:r>
            <w:rPr>
              <w:rFonts w:hint="eastAsia"/>
            </w:rPr>
            <w:t>现金分红政策的制定、执行或调整情况</w:t>
          </w:r>
        </w:p>
        <w:sdt>
          <w:sdtPr>
            <w:rPr>
              <w:rFonts w:hint="eastAsia"/>
            </w:rPr>
            <w:alias w:val="是否适用：现金分红政策的制定、执行或调整情况[双击切换]"/>
            <w:tag w:val="_GBC_44e2e78b73644e40b44c85d34ce008ea"/>
            <w:id w:val="1270658724"/>
            <w:lock w:val="sdtLocked"/>
            <w:placeholder>
              <w:docPart w:val="GBC22222222222222222222222222222"/>
            </w:placeholder>
          </w:sdtPr>
          <w:sdtContent>
            <w:p w:rsidR="00806678" w:rsidRDefault="00F80B6C">
              <w:r>
                <w:fldChar w:fldCharType="begin"/>
              </w:r>
              <w:r w:rsidR="00C843D4">
                <w:instrText xml:space="preserve"> MACROBUTTON  SnrToggleCheckbox √适用  </w:instrText>
              </w:r>
              <w:r>
                <w:fldChar w:fldCharType="end"/>
              </w:r>
              <w:r>
                <w:fldChar w:fldCharType="begin"/>
              </w:r>
              <w:r w:rsidR="00C843D4">
                <w:instrText xml:space="preserve"> MACROBUTTON  SnrToggleCheckbox □不适用 </w:instrText>
              </w:r>
              <w:r>
                <w:fldChar w:fldCharType="end"/>
              </w:r>
            </w:p>
          </w:sdtContent>
        </w:sdt>
        <w:sdt>
          <w:sdtPr>
            <w:alias w:val="现金分红政策的执行情况"/>
            <w:tag w:val="_GBC_0ba57968760941749cc2f420644f2599"/>
            <w:id w:val="1587959825"/>
            <w:lock w:val="sdtLocked"/>
            <w:placeholder>
              <w:docPart w:val="GBC22222222222222222222222222222"/>
            </w:placeholder>
          </w:sdtPr>
          <w:sdtContent>
            <w:p w:rsidR="00C843D4" w:rsidRPr="00B00243" w:rsidRDefault="00C843D4" w:rsidP="006F32FB">
              <w:pPr>
                <w:spacing w:afterLines="50" w:line="360" w:lineRule="auto"/>
                <w:ind w:firstLineChars="200" w:firstLine="420"/>
                <w:rPr>
                  <w:color w:val="000000"/>
                  <w:szCs w:val="21"/>
                </w:rPr>
              </w:pPr>
              <w:r w:rsidRPr="00B00243">
                <w:rPr>
                  <w:rFonts w:hint="eastAsia"/>
                  <w:color w:val="000000"/>
                  <w:szCs w:val="21"/>
                </w:rPr>
                <w:t>2013年，根据中国证监会《关于进一步落实上市公司现金分红有关事项的通知》</w:t>
              </w:r>
              <w:r w:rsidRPr="00B00243">
                <w:rPr>
                  <w:rFonts w:hint="eastAsia"/>
                  <w:szCs w:val="21"/>
                </w:rPr>
                <w:t>、上海证券交易所《上市公司现金分红指引》和山西证监局《关于进一步落实上市公司现金分红有关事项的通知》（晋证监函〔</w:t>
              </w:r>
              <w:r w:rsidRPr="00B00243">
                <w:rPr>
                  <w:szCs w:val="21"/>
                </w:rPr>
                <w:t>2012</w:t>
              </w:r>
              <w:r w:rsidRPr="00B00243">
                <w:rPr>
                  <w:rFonts w:hint="eastAsia"/>
                  <w:szCs w:val="21"/>
                </w:rPr>
                <w:t>〕</w:t>
              </w:r>
              <w:r w:rsidRPr="00B00243">
                <w:rPr>
                  <w:szCs w:val="21"/>
                </w:rPr>
                <w:t>127</w:t>
              </w:r>
              <w:r w:rsidRPr="00B00243">
                <w:rPr>
                  <w:rFonts w:hint="eastAsia"/>
                  <w:szCs w:val="21"/>
                </w:rPr>
                <w:t>号）等相关</w:t>
              </w:r>
              <w:r w:rsidRPr="00B00243">
                <w:rPr>
                  <w:rFonts w:hint="eastAsia"/>
                  <w:color w:val="000000"/>
                  <w:szCs w:val="21"/>
                </w:rPr>
                <w:t>要求，公司重新修订了《公司章程》，明确了利润分配原则、利润分配的形式和间隔期间、现金利润分配的条件与比例以及利润分配政策调整的条件和程序等条款。其中，核心条款“现金利润分配的条件与比例”修订为：“</w:t>
              </w:r>
              <w:r w:rsidRPr="00B00243">
                <w:rPr>
                  <w:rFonts w:hint="eastAsia"/>
                  <w:szCs w:val="21"/>
                </w:rPr>
                <w:t>在公司实现盈利且无重大投资计划或现金支出计划等事项年度，公司每年以现金形式分配的利润不少于当年实现的可供分配利润的</w:t>
              </w:r>
              <w:r w:rsidRPr="00B00243">
                <w:rPr>
                  <w:szCs w:val="21"/>
                </w:rPr>
                <w:t>30%</w:t>
              </w:r>
              <w:r w:rsidRPr="00B00243">
                <w:rPr>
                  <w:rFonts w:hint="eastAsia"/>
                  <w:color w:val="000000"/>
                  <w:szCs w:val="21"/>
                </w:rPr>
                <w:t>”。本次章程修订经公司三届九次董事会和2012年年度股东大会审议通过。</w:t>
              </w:r>
            </w:p>
            <w:p w:rsidR="00C843D4" w:rsidRDefault="00C843D4" w:rsidP="006F32FB">
              <w:pPr>
                <w:spacing w:afterLines="50" w:line="360" w:lineRule="auto"/>
                <w:ind w:firstLineChars="200" w:firstLine="420"/>
                <w:rPr>
                  <w:color w:val="000000"/>
                  <w:szCs w:val="21"/>
                </w:rPr>
              </w:pPr>
              <w:r>
                <w:rPr>
                  <w:rFonts w:hint="eastAsia"/>
                  <w:color w:val="000000"/>
                  <w:szCs w:val="21"/>
                </w:rPr>
                <w:lastRenderedPageBreak/>
                <w:t>公司制定的现金分红政策、分红标准和比例明确、清晰，相关</w:t>
              </w:r>
              <w:r w:rsidRPr="00B00243">
                <w:rPr>
                  <w:rFonts w:hint="eastAsia"/>
                  <w:color w:val="000000"/>
                  <w:szCs w:val="21"/>
                </w:rPr>
                <w:t>决策程序和机制完备，</w:t>
              </w:r>
              <w:r>
                <w:rPr>
                  <w:rFonts w:hint="eastAsia"/>
                  <w:color w:val="000000"/>
                  <w:szCs w:val="21"/>
                </w:rPr>
                <w:t>独立董事</w:t>
              </w:r>
              <w:r w:rsidRPr="00B00243">
                <w:rPr>
                  <w:rFonts w:hint="eastAsia"/>
                  <w:color w:val="000000"/>
                  <w:szCs w:val="21"/>
                </w:rPr>
                <w:t>发表了意见，中小股东的合法权益得到充分维护。</w:t>
              </w:r>
            </w:p>
            <w:p w:rsidR="00C843D4" w:rsidRPr="00653691" w:rsidRDefault="00C843D4" w:rsidP="006F32FB">
              <w:pPr>
                <w:spacing w:afterLines="50" w:line="360" w:lineRule="auto"/>
                <w:ind w:firstLineChars="200" w:firstLine="420"/>
                <w:rPr>
                  <w:color w:val="000000"/>
                  <w:szCs w:val="21"/>
                </w:rPr>
              </w:pPr>
              <w:r w:rsidRPr="00941C4F">
                <w:rPr>
                  <w:rFonts w:hint="eastAsia"/>
                  <w:color w:val="000000"/>
                  <w:szCs w:val="21"/>
                </w:rPr>
                <w:t>公司连续多年实施稳定的现金分红，积极回报投资者，以实际行动回馈股东，使股东分享企业的经营成果。</w:t>
              </w:r>
              <w:r w:rsidRPr="00B00243">
                <w:rPr>
                  <w:rFonts w:hint="eastAsia"/>
                  <w:color w:val="000000"/>
                  <w:szCs w:val="21"/>
                </w:rPr>
                <w:t>报告期内，公司实施了</w:t>
              </w:r>
              <w:r>
                <w:rPr>
                  <w:rFonts w:hint="eastAsia"/>
                  <w:color w:val="000000"/>
                  <w:szCs w:val="21"/>
                </w:rPr>
                <w:t>2021</w:t>
              </w:r>
              <w:r w:rsidRPr="00B00243">
                <w:rPr>
                  <w:rFonts w:hint="eastAsia"/>
                  <w:color w:val="000000"/>
                  <w:szCs w:val="21"/>
                </w:rPr>
                <w:t>年度利润分配工作。内容详见</w:t>
              </w:r>
              <w:r>
                <w:rPr>
                  <w:rFonts w:hint="eastAsia"/>
                  <w:color w:val="000000"/>
                  <w:szCs w:val="21"/>
                </w:rPr>
                <w:t>2022</w:t>
              </w:r>
              <w:r w:rsidRPr="00B00243">
                <w:rPr>
                  <w:rFonts w:hint="eastAsia"/>
                  <w:color w:val="000000"/>
                  <w:szCs w:val="21"/>
                </w:rPr>
                <w:t>年</w:t>
              </w:r>
              <w:r>
                <w:rPr>
                  <w:rFonts w:hint="eastAsia"/>
                  <w:color w:val="000000"/>
                  <w:szCs w:val="21"/>
                </w:rPr>
                <w:t>6</w:t>
              </w:r>
              <w:r w:rsidRPr="00B00243">
                <w:rPr>
                  <w:rFonts w:hint="eastAsia"/>
                  <w:color w:val="000000"/>
                  <w:szCs w:val="21"/>
                </w:rPr>
                <w:t>月</w:t>
              </w:r>
              <w:r>
                <w:rPr>
                  <w:rFonts w:hint="eastAsia"/>
                  <w:color w:val="000000"/>
                  <w:szCs w:val="21"/>
                </w:rPr>
                <w:t>30</w:t>
              </w:r>
              <w:r w:rsidRPr="00B00243">
                <w:rPr>
                  <w:rFonts w:hint="eastAsia"/>
                  <w:color w:val="000000"/>
                  <w:szCs w:val="21"/>
                </w:rPr>
                <w:t>日登载于上海证券交易所网站及相关媒体的《大秦铁路股份有限公司</w:t>
              </w:r>
              <w:r w:rsidR="00DF347F">
                <w:rPr>
                  <w:rFonts w:hint="eastAsia"/>
                  <w:color w:val="000000"/>
                  <w:szCs w:val="21"/>
                </w:rPr>
                <w:t>2021</w:t>
              </w:r>
              <w:r>
                <w:rPr>
                  <w:rFonts w:hint="eastAsia"/>
                  <w:color w:val="000000"/>
                  <w:szCs w:val="21"/>
                </w:rPr>
                <w:t>年</w:t>
              </w:r>
              <w:r w:rsidRPr="00B00243">
                <w:rPr>
                  <w:rFonts w:hint="eastAsia"/>
                  <w:color w:val="000000"/>
                  <w:szCs w:val="21"/>
                </w:rPr>
                <w:t>年度</w:t>
              </w:r>
              <w:r>
                <w:rPr>
                  <w:rFonts w:hint="eastAsia"/>
                  <w:color w:val="000000"/>
                  <w:szCs w:val="21"/>
                </w:rPr>
                <w:t>权益分派</w:t>
              </w:r>
              <w:r w:rsidRPr="00B00243">
                <w:rPr>
                  <w:rFonts w:hint="eastAsia"/>
                  <w:color w:val="000000"/>
                  <w:szCs w:val="21"/>
                </w:rPr>
                <w:t>实施公告》</w:t>
              </w:r>
              <w:r>
                <w:rPr>
                  <w:rFonts w:hint="eastAsia"/>
                  <w:color w:val="000000"/>
                  <w:szCs w:val="21"/>
                </w:rPr>
                <w:t>。</w:t>
              </w:r>
            </w:p>
            <w:p w:rsidR="00806678" w:rsidRPr="00FE6DB3" w:rsidRDefault="00C843D4" w:rsidP="006F32FB">
              <w:pPr>
                <w:spacing w:beforeLines="50" w:afterLines="50" w:line="360" w:lineRule="auto"/>
                <w:ind w:firstLineChars="200" w:firstLine="420"/>
                <w:rPr>
                  <w:color w:val="000000"/>
                  <w:sz w:val="24"/>
                  <w:szCs w:val="21"/>
                </w:rPr>
              </w:pPr>
              <w:r w:rsidRPr="00937017">
                <w:rPr>
                  <w:rFonts w:hint="eastAsia"/>
                  <w:color w:val="000000"/>
                  <w:szCs w:val="21"/>
                </w:rPr>
                <w:t>为积极回报投资者，引导投资者树立长期投资和理性投资理念，</w:t>
              </w:r>
              <w:r w:rsidRPr="00937017">
                <w:rPr>
                  <w:color w:val="000000"/>
                  <w:szCs w:val="21"/>
                </w:rPr>
                <w:t>公司</w:t>
              </w:r>
              <w:r>
                <w:rPr>
                  <w:rFonts w:hint="eastAsia"/>
                  <w:color w:val="000000"/>
                  <w:szCs w:val="21"/>
                </w:rPr>
                <w:t>于2020年4月制定</w:t>
              </w:r>
              <w:r w:rsidRPr="00937017">
                <w:rPr>
                  <w:color w:val="000000"/>
                  <w:szCs w:val="21"/>
                </w:rPr>
                <w:t>了</w:t>
              </w:r>
              <w:r w:rsidRPr="00937017">
                <w:rPr>
                  <w:rFonts w:hint="eastAsia"/>
                  <w:color w:val="000000"/>
                  <w:szCs w:val="21"/>
                </w:rPr>
                <w:t>《大秦铁路股份有限公司未来三年（2020年-2022年）股东分红回报规划》</w:t>
              </w:r>
              <w:r>
                <w:rPr>
                  <w:rFonts w:hint="eastAsia"/>
                  <w:color w:val="000000"/>
                  <w:szCs w:val="21"/>
                </w:rPr>
                <w:t>，经公司五届十七次董事会和2019年年度股东大会审议通过</w:t>
              </w:r>
              <w:r w:rsidRPr="00937017">
                <w:rPr>
                  <w:rFonts w:hint="eastAsia"/>
                  <w:color w:val="000000"/>
                  <w:szCs w:val="21"/>
                </w:rPr>
                <w:t>。</w:t>
              </w:r>
              <w:r w:rsidRPr="00937017">
                <w:rPr>
                  <w:color w:val="000000"/>
                  <w:szCs w:val="21"/>
                </w:rPr>
                <w:t>2020年-2022</w:t>
              </w:r>
              <w:r>
                <w:rPr>
                  <w:color w:val="000000"/>
                  <w:szCs w:val="21"/>
                </w:rPr>
                <w:t>年</w:t>
              </w:r>
              <w:r w:rsidRPr="00937017">
                <w:rPr>
                  <w:rFonts w:hint="eastAsia"/>
                  <w:color w:val="000000"/>
                  <w:szCs w:val="21"/>
                </w:rPr>
                <w:t>，</w:t>
              </w:r>
              <w:r w:rsidRPr="00937017">
                <w:rPr>
                  <w:color w:val="000000"/>
                  <w:szCs w:val="21"/>
                </w:rPr>
                <w:t>除特殊情况外，公</w:t>
              </w:r>
              <w:r w:rsidRPr="00937017">
                <w:rPr>
                  <w:rFonts w:hint="eastAsia"/>
                  <w:color w:val="000000"/>
                  <w:szCs w:val="21"/>
                </w:rPr>
                <w:t>司每年应当采取现金方式分配股利，每股派发现金股利原则上不低于2</w:t>
              </w:r>
              <w:r w:rsidRPr="00937017">
                <w:rPr>
                  <w:color w:val="000000"/>
                  <w:szCs w:val="21"/>
                </w:rPr>
                <w:t>018</w:t>
              </w:r>
              <w:r w:rsidRPr="00937017">
                <w:rPr>
                  <w:rFonts w:hint="eastAsia"/>
                  <w:color w:val="000000"/>
                  <w:szCs w:val="21"/>
                </w:rPr>
                <w:t>年度</w:t>
              </w:r>
              <w:r w:rsidRPr="00937017">
                <w:rPr>
                  <w:color w:val="000000"/>
                  <w:szCs w:val="21"/>
                </w:rPr>
                <w:t>，</w:t>
              </w:r>
              <w:r w:rsidRPr="00937017">
                <w:rPr>
                  <w:rFonts w:hint="eastAsia"/>
                  <w:color w:val="000000"/>
                  <w:szCs w:val="21"/>
                </w:rPr>
                <w:t>即0</w:t>
              </w:r>
              <w:r w:rsidRPr="00937017">
                <w:rPr>
                  <w:color w:val="000000"/>
                  <w:szCs w:val="21"/>
                </w:rPr>
                <w:t>.48</w:t>
              </w:r>
              <w:r w:rsidRPr="00937017">
                <w:rPr>
                  <w:rFonts w:hint="eastAsia"/>
                  <w:color w:val="000000"/>
                  <w:szCs w:val="21"/>
                </w:rPr>
                <w:t>元/股（含税），</w:t>
              </w:r>
              <w:r w:rsidRPr="00937017">
                <w:rPr>
                  <w:color w:val="000000"/>
                  <w:szCs w:val="21"/>
                </w:rPr>
                <w:t>具体</w:t>
              </w:r>
              <w:r w:rsidRPr="00937017">
                <w:rPr>
                  <w:rFonts w:hint="eastAsia"/>
                  <w:color w:val="000000"/>
                  <w:szCs w:val="21"/>
                </w:rPr>
                <w:t>分配方案</w:t>
              </w:r>
              <w:r w:rsidRPr="00937017">
                <w:rPr>
                  <w:color w:val="000000"/>
                  <w:szCs w:val="21"/>
                </w:rPr>
                <w:t>由董事会根据公司实际情况制定后提交股东大会审议通过。</w:t>
              </w:r>
            </w:p>
          </w:sdtContent>
        </w:sdt>
      </w:sdtContent>
    </w:sdt>
    <w:bookmarkStart w:id="57" w:name="_Hlk89446160" w:displacedByCustomXml="next"/>
    <w:sdt>
      <w:sdtPr>
        <w:rPr>
          <w:rFonts w:ascii="宋体" w:hAnsi="宋体" w:cs="宋体"/>
          <w:b w:val="0"/>
          <w:bCs w:val="0"/>
          <w:kern w:val="0"/>
          <w:szCs w:val="24"/>
        </w:rPr>
        <w:alias w:val="模块:现金分红政策的专项说明"/>
        <w:tag w:val="_SEC_1a77bbccdee34f4bacdd389ca95234c8"/>
        <w:id w:val="-353966248"/>
        <w:lock w:val="sdtLocked"/>
        <w:placeholder>
          <w:docPart w:val="GBC22222222222222222222222222222"/>
        </w:placeholder>
      </w:sdtPr>
      <w:sdtContent>
        <w:p w:rsidR="00806678" w:rsidRDefault="00B16377" w:rsidP="00FF17C7">
          <w:pPr>
            <w:pStyle w:val="3"/>
            <w:numPr>
              <w:ilvl w:val="0"/>
              <w:numId w:val="62"/>
            </w:numPr>
            <w:ind w:left="450" w:hanging="450"/>
          </w:pPr>
          <w:r>
            <w:t>现金分红政策的专项说明</w:t>
          </w:r>
        </w:p>
        <w:sdt>
          <w:sdtPr>
            <w:alias w:val="是否适用：现金分红政策的专项说明 [双击切换]"/>
            <w:tag w:val="_GBC_715d8b6c04924cf19dcd2347ae32471f"/>
            <w:id w:val="-1495949245"/>
            <w:lock w:val="sdtLocked"/>
            <w:placeholder>
              <w:docPart w:val="GBC22222222222222222222222222222"/>
            </w:placeholder>
          </w:sdtPr>
          <w:sdtContent>
            <w:p w:rsidR="00806678" w:rsidRDefault="00F80B6C">
              <w:r>
                <w:fldChar w:fldCharType="begin"/>
              </w:r>
              <w:r w:rsidR="00FE5800">
                <w:instrText xml:space="preserve"> MACROBUTTON  SnrToggleCheckbox √适用 </w:instrText>
              </w:r>
              <w:r>
                <w:fldChar w:fldCharType="end"/>
              </w:r>
              <w:r>
                <w:fldChar w:fldCharType="begin"/>
              </w:r>
              <w:r w:rsidR="00FE5800">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96"/>
            <w:gridCol w:w="1853"/>
          </w:tblGrid>
          <w:tr w:rsidR="00806678" w:rsidTr="0048500E">
            <w:sdt>
              <w:sdtPr>
                <w:rPr>
                  <w:rFonts w:hint="eastAsia"/>
                </w:rPr>
                <w:tag w:val="_PLD_be5b642d619e47719375899ad34c31f6"/>
                <w:id w:val="-567803293"/>
                <w:lock w:val="sdtLocked"/>
              </w:sdtPr>
              <w:sdtContent>
                <w:tc>
                  <w:tcPr>
                    <w:tcW w:w="3976" w:type="pct"/>
                  </w:tcPr>
                  <w:p w:rsidR="00806678" w:rsidRDefault="00B16377">
                    <w:r>
                      <w:rPr>
                        <w:rFonts w:hint="eastAsia"/>
                      </w:rPr>
                      <w:t>是否符合公司章程的规定或股东大会决议的要求</w:t>
                    </w:r>
                  </w:p>
                </w:tc>
              </w:sdtContent>
            </w:sdt>
            <w:sdt>
              <w:sdtPr>
                <w:alias w:val="是否符合公司章程的规定或股东大会决议的要求[双击切换]"/>
                <w:tag w:val="_GBC_c4c31977f51f4fa0a4f1f65cff248b5c"/>
                <w:id w:val="838354814"/>
                <w:lock w:val="sdtLocked"/>
              </w:sdtPr>
              <w:sdtContent>
                <w:tc>
                  <w:tcPr>
                    <w:tcW w:w="1024" w:type="pct"/>
                  </w:tcPr>
                  <w:p w:rsidR="00806678" w:rsidRDefault="00F80B6C">
                    <w:pPr>
                      <w:jc w:val="center"/>
                    </w:pPr>
                    <w:r>
                      <w:fldChar w:fldCharType="begin"/>
                    </w:r>
                    <w:r w:rsidR="00FE5800">
                      <w:instrText xml:space="preserve"> MACROBUTTON  SnrToggleCheckbox √是 </w:instrText>
                    </w:r>
                    <w:r>
                      <w:fldChar w:fldCharType="end"/>
                    </w:r>
                    <w:r>
                      <w:fldChar w:fldCharType="begin"/>
                    </w:r>
                    <w:r w:rsidR="00FE5800">
                      <w:instrText xml:space="preserve"> MACROBUTTON  SnrToggleCheckbox □否 </w:instrText>
                    </w:r>
                    <w:r>
                      <w:fldChar w:fldCharType="end"/>
                    </w:r>
                  </w:p>
                </w:tc>
              </w:sdtContent>
            </w:sdt>
          </w:tr>
          <w:tr w:rsidR="00806678" w:rsidTr="0048500E">
            <w:sdt>
              <w:sdtPr>
                <w:rPr>
                  <w:rFonts w:hint="eastAsia"/>
                </w:rPr>
                <w:tag w:val="_PLD_bb613040dd064b1ca069bfb8132e531b"/>
                <w:id w:val="-1341009089"/>
                <w:lock w:val="sdtLocked"/>
              </w:sdtPr>
              <w:sdtContent>
                <w:tc>
                  <w:tcPr>
                    <w:tcW w:w="3976" w:type="pct"/>
                  </w:tcPr>
                  <w:p w:rsidR="00806678" w:rsidRDefault="00B16377">
                    <w:r>
                      <w:rPr>
                        <w:rFonts w:hint="eastAsia"/>
                      </w:rPr>
                      <w:t>分红标准和比例是否明确和清晰</w:t>
                    </w:r>
                  </w:p>
                </w:tc>
              </w:sdtContent>
            </w:sdt>
            <w:sdt>
              <w:sdtPr>
                <w:alias w:val="分红标准和比例是否明确和清晰[双击切换]"/>
                <w:tag w:val="_GBC_c8bbad0601c544fca3faeac3b11ee218"/>
                <w:id w:val="1867796696"/>
                <w:lock w:val="sdtLocked"/>
              </w:sdtPr>
              <w:sdtContent>
                <w:tc>
                  <w:tcPr>
                    <w:tcW w:w="1024" w:type="pct"/>
                  </w:tcPr>
                  <w:p w:rsidR="00806678" w:rsidRDefault="00F80B6C">
                    <w:pPr>
                      <w:jc w:val="center"/>
                    </w:pPr>
                    <w:r>
                      <w:fldChar w:fldCharType="begin"/>
                    </w:r>
                    <w:r w:rsidR="00FE5800">
                      <w:instrText xml:space="preserve"> MACROBUTTON  SnrToggleCheckbox √是 </w:instrText>
                    </w:r>
                    <w:r>
                      <w:fldChar w:fldCharType="end"/>
                    </w:r>
                    <w:r>
                      <w:fldChar w:fldCharType="begin"/>
                    </w:r>
                    <w:r w:rsidR="00FE5800">
                      <w:instrText xml:space="preserve"> MACROBUTTON  SnrToggleCheckbox □否 </w:instrText>
                    </w:r>
                    <w:r>
                      <w:fldChar w:fldCharType="end"/>
                    </w:r>
                  </w:p>
                </w:tc>
              </w:sdtContent>
            </w:sdt>
          </w:tr>
          <w:tr w:rsidR="00806678" w:rsidTr="0048500E">
            <w:sdt>
              <w:sdtPr>
                <w:rPr>
                  <w:rFonts w:hint="eastAsia"/>
                </w:rPr>
                <w:tag w:val="_PLD_d39f871c32a241abb0e19af8d214c228"/>
                <w:id w:val="-646748297"/>
                <w:lock w:val="sdtLocked"/>
              </w:sdtPr>
              <w:sdtContent>
                <w:tc>
                  <w:tcPr>
                    <w:tcW w:w="3976" w:type="pct"/>
                    <w:tcBorders>
                      <w:top w:val="single" w:sz="4" w:space="0" w:color="auto"/>
                      <w:left w:val="single" w:sz="4" w:space="0" w:color="auto"/>
                      <w:bottom w:val="single" w:sz="4" w:space="0" w:color="auto"/>
                      <w:right w:val="single" w:sz="4" w:space="0" w:color="auto"/>
                    </w:tcBorders>
                  </w:tcPr>
                  <w:p w:rsidR="00806678" w:rsidRDefault="00B16377">
                    <w:r>
                      <w:rPr>
                        <w:rFonts w:hint="eastAsia"/>
                      </w:rPr>
                      <w:t>相关的决策程序和机制是否完备</w:t>
                    </w:r>
                  </w:p>
                </w:tc>
              </w:sdtContent>
            </w:sdt>
            <w:sdt>
              <w:sdtPr>
                <w:alias w:val="相关的决策程序和机制是否完备[双击切换]"/>
                <w:tag w:val="_GBC_b2d0d75abb6f4f14a51595902d0ad7b9"/>
                <w:id w:val="1724720406"/>
                <w:lock w:val="sdtLocked"/>
              </w:sdtPr>
              <w:sdtContent>
                <w:tc>
                  <w:tcPr>
                    <w:tcW w:w="1024" w:type="pct"/>
                    <w:tcBorders>
                      <w:top w:val="single" w:sz="4" w:space="0" w:color="auto"/>
                      <w:left w:val="single" w:sz="4" w:space="0" w:color="auto"/>
                      <w:bottom w:val="single" w:sz="4" w:space="0" w:color="auto"/>
                      <w:right w:val="single" w:sz="4" w:space="0" w:color="auto"/>
                    </w:tcBorders>
                  </w:tcPr>
                  <w:p w:rsidR="00806678" w:rsidRDefault="00F80B6C">
                    <w:pPr>
                      <w:jc w:val="center"/>
                    </w:pPr>
                    <w:r>
                      <w:fldChar w:fldCharType="begin"/>
                    </w:r>
                    <w:r w:rsidR="00FE5800">
                      <w:instrText xml:space="preserve"> MACROBUTTON  SnrToggleCheckbox √是 </w:instrText>
                    </w:r>
                    <w:r>
                      <w:fldChar w:fldCharType="end"/>
                    </w:r>
                    <w:r>
                      <w:fldChar w:fldCharType="begin"/>
                    </w:r>
                    <w:r w:rsidR="00FE5800">
                      <w:instrText xml:space="preserve"> MACROBUTTON  SnrToggleCheckbox □否 </w:instrText>
                    </w:r>
                    <w:r>
                      <w:fldChar w:fldCharType="end"/>
                    </w:r>
                  </w:p>
                </w:tc>
              </w:sdtContent>
            </w:sdt>
          </w:tr>
          <w:tr w:rsidR="00806678" w:rsidTr="0048500E">
            <w:sdt>
              <w:sdtPr>
                <w:rPr>
                  <w:rFonts w:hint="eastAsia"/>
                </w:rPr>
                <w:tag w:val="_PLD_a57913e82be74b9aae452efa4dca97ee"/>
                <w:id w:val="-1235997699"/>
                <w:lock w:val="sdtLocked"/>
              </w:sdtPr>
              <w:sdtContent>
                <w:tc>
                  <w:tcPr>
                    <w:tcW w:w="3976" w:type="pct"/>
                    <w:tcBorders>
                      <w:top w:val="single" w:sz="4" w:space="0" w:color="auto"/>
                      <w:left w:val="single" w:sz="4" w:space="0" w:color="auto"/>
                      <w:bottom w:val="single" w:sz="4" w:space="0" w:color="auto"/>
                      <w:right w:val="single" w:sz="4" w:space="0" w:color="auto"/>
                    </w:tcBorders>
                  </w:tcPr>
                  <w:p w:rsidR="00806678" w:rsidRDefault="00B16377">
                    <w:r>
                      <w:rPr>
                        <w:rFonts w:hint="eastAsia"/>
                      </w:rPr>
                      <w:t>独立董事是否履职尽责并发挥了应有的作用</w:t>
                    </w:r>
                  </w:p>
                </w:tc>
              </w:sdtContent>
            </w:sdt>
            <w:sdt>
              <w:sdtPr>
                <w:alias w:val="独立董事是否履职尽责并发挥了应有的作用[双击切换]"/>
                <w:tag w:val="_GBC_0b8d249fbcc74af893077c4c7eee16ef"/>
                <w:id w:val="-526719894"/>
                <w:lock w:val="sdtLocked"/>
              </w:sdtPr>
              <w:sdtContent>
                <w:tc>
                  <w:tcPr>
                    <w:tcW w:w="1024" w:type="pct"/>
                    <w:tcBorders>
                      <w:top w:val="single" w:sz="4" w:space="0" w:color="auto"/>
                      <w:left w:val="single" w:sz="4" w:space="0" w:color="auto"/>
                      <w:bottom w:val="single" w:sz="4" w:space="0" w:color="auto"/>
                      <w:right w:val="single" w:sz="4" w:space="0" w:color="auto"/>
                    </w:tcBorders>
                  </w:tcPr>
                  <w:p w:rsidR="00806678" w:rsidRDefault="00F80B6C">
                    <w:pPr>
                      <w:jc w:val="center"/>
                    </w:pPr>
                    <w:r>
                      <w:fldChar w:fldCharType="begin"/>
                    </w:r>
                    <w:r w:rsidR="00FE5800">
                      <w:instrText xml:space="preserve"> MACROBUTTON  SnrToggleCheckbox √是 </w:instrText>
                    </w:r>
                    <w:r>
                      <w:fldChar w:fldCharType="end"/>
                    </w:r>
                    <w:r>
                      <w:fldChar w:fldCharType="begin"/>
                    </w:r>
                    <w:r w:rsidR="00FE5800">
                      <w:instrText xml:space="preserve"> MACROBUTTON  SnrToggleCheckbox □否 </w:instrText>
                    </w:r>
                    <w:r>
                      <w:fldChar w:fldCharType="end"/>
                    </w:r>
                  </w:p>
                </w:tc>
              </w:sdtContent>
            </w:sdt>
          </w:tr>
          <w:tr w:rsidR="00806678" w:rsidTr="0048500E">
            <w:sdt>
              <w:sdtPr>
                <w:rPr>
                  <w:rFonts w:hint="eastAsia"/>
                </w:rPr>
                <w:tag w:val="_PLD_3a7a041e30804acd8d2becd7cb2629f9"/>
                <w:id w:val="-226768336"/>
                <w:lock w:val="sdtLocked"/>
              </w:sdtPr>
              <w:sdtContent>
                <w:tc>
                  <w:tcPr>
                    <w:tcW w:w="3976" w:type="pct"/>
                    <w:tcBorders>
                      <w:top w:val="single" w:sz="4" w:space="0" w:color="auto"/>
                      <w:left w:val="single" w:sz="4" w:space="0" w:color="auto"/>
                      <w:bottom w:val="single" w:sz="4" w:space="0" w:color="auto"/>
                      <w:right w:val="single" w:sz="4" w:space="0" w:color="auto"/>
                    </w:tcBorders>
                  </w:tcPr>
                  <w:p w:rsidR="00806678" w:rsidRDefault="00B16377">
                    <w:r>
                      <w:rPr>
                        <w:rFonts w:hint="eastAsia"/>
                      </w:rPr>
                      <w:t>中小股东是否有充分表达意见和诉求的机会，其合法权益是否得到了充分保护</w:t>
                    </w:r>
                  </w:p>
                </w:tc>
              </w:sdtContent>
            </w:sdt>
            <w:sdt>
              <w:sdtPr>
                <w:alias w:val="中小股东是否有充分表达意见和诉求的机会，其合法权益是否得到了充分保护[双击切换]"/>
                <w:tag w:val="_GBC_827122507d054bfd80b4c5e8d243a91b"/>
                <w:id w:val="221637412"/>
                <w:lock w:val="sdtLocked"/>
              </w:sdtPr>
              <w:sdtContent>
                <w:tc>
                  <w:tcPr>
                    <w:tcW w:w="1024" w:type="pct"/>
                    <w:tcBorders>
                      <w:top w:val="single" w:sz="4" w:space="0" w:color="auto"/>
                      <w:left w:val="single" w:sz="4" w:space="0" w:color="auto"/>
                      <w:bottom w:val="single" w:sz="4" w:space="0" w:color="auto"/>
                      <w:right w:val="single" w:sz="4" w:space="0" w:color="auto"/>
                    </w:tcBorders>
                  </w:tcPr>
                  <w:p w:rsidR="00806678" w:rsidRDefault="00F80B6C">
                    <w:pPr>
                      <w:jc w:val="center"/>
                    </w:pPr>
                    <w:r>
                      <w:fldChar w:fldCharType="begin"/>
                    </w:r>
                    <w:r w:rsidR="00FE5800">
                      <w:instrText xml:space="preserve"> MACROBUTTON  SnrToggleCheckbox √是 </w:instrText>
                    </w:r>
                    <w:r>
                      <w:fldChar w:fldCharType="end"/>
                    </w:r>
                    <w:r>
                      <w:fldChar w:fldCharType="begin"/>
                    </w:r>
                    <w:r w:rsidR="00FE5800">
                      <w:instrText xml:space="preserve"> MACROBUTTON  SnrToggleCheckbox □否 </w:instrText>
                    </w:r>
                    <w:r>
                      <w:fldChar w:fldCharType="end"/>
                    </w:r>
                  </w:p>
                </w:tc>
              </w:sdtContent>
            </w:sdt>
          </w:tr>
        </w:tbl>
        <w:p w:rsidR="00806678" w:rsidRDefault="00F80B6C"/>
      </w:sdtContent>
    </w:sdt>
    <w:bookmarkEnd w:id="57" w:displacedByCustomXml="prev"/>
    <w:sdt>
      <w:sdtPr>
        <w:rPr>
          <w:rFonts w:ascii="宋体" w:hAnsi="宋体" w:cs="宋体" w:hint="eastAsia"/>
          <w:b w:val="0"/>
          <w:bCs w:val="0"/>
          <w:kern w:val="0"/>
          <w:szCs w:val="24"/>
        </w:rPr>
        <w:alias w:val="模块:报告期内盈利且母公司可供普通股股东分配利润为正，但未提出普通股现金利润分配预案的，公司应当详细披露原因以及未分配利润的用途"/>
        <w:tag w:val="_SEC_338bc2c40b994349907ff9b7484876e4"/>
        <w:id w:val="4639136"/>
        <w:lock w:val="sdtLocked"/>
        <w:placeholder>
          <w:docPart w:val="GBC22222222222222222222222222222"/>
        </w:placeholder>
      </w:sdtPr>
      <w:sdtContent>
        <w:p w:rsidR="00806678" w:rsidRDefault="00B16377" w:rsidP="00FF17C7">
          <w:pPr>
            <w:pStyle w:val="3"/>
            <w:numPr>
              <w:ilvl w:val="0"/>
              <w:numId w:val="62"/>
            </w:numPr>
          </w:pPr>
          <w:r>
            <w:rPr>
              <w:rFonts w:hint="eastAsia"/>
            </w:rPr>
            <w:t>报告期内盈利且母公司可供股东分配利润为正，但未提出现金利润分配方案预案的，公司应当详细披露原因以及未分配利润的用途和使用计划</w:t>
          </w:r>
        </w:p>
        <w:sdt>
          <w:sdtPr>
            <w:alias w:val="是否适用：公司本报告期内盈利但未提出现金利润分配预案[双击切换]"/>
            <w:tag w:val="_GBC_5eea41352c0e4778a6748c9a20117653"/>
            <w:id w:val="16316031"/>
            <w:lock w:val="sdtLocked"/>
            <w:placeholder>
              <w:docPart w:val="GBC22222222222222222222222222222"/>
            </w:placeholder>
          </w:sdtPr>
          <w:sdtContent>
            <w:p w:rsidR="00806678" w:rsidRDefault="00F80B6C" w:rsidP="00FE5800">
              <w:r>
                <w:fldChar w:fldCharType="begin"/>
              </w:r>
              <w:r w:rsidR="00FE5800">
                <w:instrText xml:space="preserve">MACROBUTTON  SnrToggleCheckbox □适用 </w:instrText>
              </w:r>
              <w:r>
                <w:fldChar w:fldCharType="end"/>
              </w:r>
              <w:r>
                <w:fldChar w:fldCharType="begin"/>
              </w:r>
              <w:r w:rsidR="00FE5800">
                <w:instrText xml:space="preserve"> MACROBUTTON  SnrToggleCheckbox √不适用 </w:instrText>
              </w:r>
              <w:r>
                <w:fldChar w:fldCharType="end"/>
              </w:r>
            </w:p>
          </w:sdtContent>
        </w:sdt>
      </w:sdtContent>
    </w:sdt>
    <w:sdt>
      <w:sdtPr>
        <w:rPr>
          <w:rFonts w:ascii="宋体" w:hAnsi="宋体" w:cs="宋体" w:hint="eastAsia"/>
          <w:b w:val="0"/>
          <w:bCs w:val="0"/>
          <w:kern w:val="0"/>
          <w:szCs w:val="24"/>
        </w:rPr>
        <w:alias w:val="模块:本报告期利润分配及资本公积金转增股本情况"/>
        <w:tag w:val="_SEC_f9c6ff4ef7894ae299ea3ba0e7324a26"/>
        <w:id w:val="442510182"/>
        <w:lock w:val="sdtLocked"/>
        <w:placeholder>
          <w:docPart w:val="GBC22222222222222222222222222222"/>
        </w:placeholder>
      </w:sdtPr>
      <w:sdtContent>
        <w:p w:rsidR="00806678" w:rsidRDefault="00B16377" w:rsidP="00FF17C7">
          <w:pPr>
            <w:pStyle w:val="3"/>
            <w:numPr>
              <w:ilvl w:val="0"/>
              <w:numId w:val="62"/>
            </w:numPr>
            <w:ind w:left="450" w:hanging="450"/>
          </w:pPr>
          <w:r>
            <w:rPr>
              <w:rFonts w:hint="eastAsia"/>
            </w:rPr>
            <w:t>本报告期利润分配及资本公积金转增股本情况</w:t>
          </w:r>
        </w:p>
        <w:sdt>
          <w:sdtPr>
            <w:alias w:val="是否适用：利润分配及资本公积金转增股本情况[双击切换]"/>
            <w:tag w:val="_GBC_495a4ba42a0f42f09a8ad4b2fade6559"/>
            <w:id w:val="1362102011"/>
            <w:lock w:val="sdtLocked"/>
            <w:placeholder>
              <w:docPart w:val="GBC22222222222222222222222222222"/>
            </w:placeholder>
          </w:sdtPr>
          <w:sdtContent>
            <w:p w:rsidR="00806678" w:rsidRDefault="00F80B6C">
              <w:r>
                <w:fldChar w:fldCharType="begin"/>
              </w:r>
              <w:r w:rsidR="00FE5800">
                <w:instrText xml:space="preserve"> MACROBUTTON  SnrToggleCheckbox √适用 </w:instrText>
              </w:r>
              <w:r>
                <w:fldChar w:fldCharType="end"/>
              </w:r>
              <w:r>
                <w:fldChar w:fldCharType="begin"/>
              </w:r>
              <w:r w:rsidR="00FE5800">
                <w:instrText xml:space="preserve"> MACROBUTTON  SnrToggleCheckbox □不适用 </w:instrText>
              </w:r>
              <w:r>
                <w:fldChar w:fldCharType="end"/>
              </w:r>
            </w:p>
          </w:sdtContent>
        </w:sdt>
        <w:p w:rsidR="00806678" w:rsidRDefault="00B16377">
          <w:pPr>
            <w:jc w:val="right"/>
            <w:rPr>
              <w:szCs w:val="21"/>
            </w:rPr>
          </w:pPr>
          <w:r>
            <w:rPr>
              <w:rFonts w:hint="eastAsia"/>
              <w:szCs w:val="21"/>
            </w:rPr>
            <w:t>单位:</w:t>
          </w:r>
          <w:sdt>
            <w:sdtPr>
              <w:rPr>
                <w:rFonts w:hint="eastAsia"/>
                <w:szCs w:val="21"/>
              </w:rPr>
              <w:alias w:val="单位：利润分配及资本公积金转增股本情况"/>
              <w:tag w:val="_GBC_13401d941a944aa6845e12add2d0dd0e"/>
              <w:id w:val="1424681470"/>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利润分配及资本公积金转增股本情况"/>
              <w:tag w:val="_GBC_7b66af31a51f46208037a812a69070e9"/>
              <w:id w:val="-101152480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tblPr>
          <w:tblGrid>
            <w:gridCol w:w="4528"/>
            <w:gridCol w:w="4531"/>
          </w:tblGrid>
          <w:tr w:rsidR="00806678" w:rsidTr="001E2B27">
            <w:trPr>
              <w:trHeight w:val="380"/>
            </w:trPr>
            <w:sdt>
              <w:sdtPr>
                <w:tag w:val="_PLD_28cd685f5155420cab6b327b3f81025e"/>
                <w:id w:val="-972205638"/>
                <w:lock w:val="sdtLocked"/>
              </w:sdtPr>
              <w:sdtContent>
                <w:tc>
                  <w:tcPr>
                    <w:tcW w:w="2499" w:type="pct"/>
                    <w:shd w:val="clear" w:color="auto" w:fill="auto"/>
                    <w:vAlign w:val="center"/>
                  </w:tcPr>
                  <w:p w:rsidR="00806678" w:rsidRDefault="00B16377">
                    <w:r>
                      <w:t>每10股送红股数（股）</w:t>
                    </w:r>
                  </w:p>
                </w:tc>
              </w:sdtContent>
            </w:sdt>
            <w:tc>
              <w:tcPr>
                <w:tcW w:w="2501" w:type="pct"/>
                <w:vAlign w:val="center"/>
              </w:tcPr>
              <w:p w:rsidR="00806678" w:rsidRDefault="00FE5800" w:rsidP="009E1EE0">
                <w:pPr>
                  <w:jc w:val="right"/>
                </w:pPr>
                <w:r>
                  <w:rPr>
                    <w:rFonts w:hint="eastAsia"/>
                  </w:rPr>
                  <w:t>0</w:t>
                </w:r>
              </w:p>
            </w:tc>
          </w:tr>
          <w:tr w:rsidR="00806678" w:rsidTr="001E2B27">
            <w:trPr>
              <w:trHeight w:val="340"/>
            </w:trPr>
            <w:sdt>
              <w:sdtPr>
                <w:rPr>
                  <w:rFonts w:hint="eastAsia"/>
                </w:rPr>
                <w:tag w:val="_PLD_8ec61a50dcb643329ea0434ee014696c"/>
                <w:id w:val="884061731"/>
                <w:lock w:val="sdtLocked"/>
              </w:sdtPr>
              <w:sdtContent>
                <w:tc>
                  <w:tcPr>
                    <w:tcW w:w="2499" w:type="pct"/>
                    <w:shd w:val="clear" w:color="auto" w:fill="auto"/>
                    <w:vAlign w:val="center"/>
                  </w:tcPr>
                  <w:p w:rsidR="00806678" w:rsidRDefault="00B16377">
                    <w:r>
                      <w:rPr>
                        <w:rFonts w:hint="eastAsia"/>
                      </w:rPr>
                      <w:t>每</w:t>
                    </w:r>
                    <w:r>
                      <w:t>10</w:t>
                    </w:r>
                    <w:r>
                      <w:rPr>
                        <w:rFonts w:hint="eastAsia"/>
                      </w:rPr>
                      <w:t>股派息数（元）（含税）</w:t>
                    </w:r>
                  </w:p>
                </w:tc>
              </w:sdtContent>
            </w:sdt>
            <w:tc>
              <w:tcPr>
                <w:tcW w:w="2501" w:type="pct"/>
                <w:vAlign w:val="center"/>
              </w:tcPr>
              <w:p w:rsidR="00806678" w:rsidRDefault="00FE5800" w:rsidP="009E1EE0">
                <w:pPr>
                  <w:jc w:val="right"/>
                </w:pPr>
                <w:r>
                  <w:rPr>
                    <w:rFonts w:hint="eastAsia"/>
                  </w:rPr>
                  <w:t>4.80</w:t>
                </w:r>
              </w:p>
            </w:tc>
          </w:tr>
          <w:tr w:rsidR="00806678" w:rsidTr="001E2B27">
            <w:trPr>
              <w:trHeight w:val="340"/>
            </w:trPr>
            <w:sdt>
              <w:sdtPr>
                <w:rPr>
                  <w:rFonts w:hint="eastAsia"/>
                </w:rPr>
                <w:tag w:val="_PLD_ae3abed7966d4ca8b027923eb0dbd22f"/>
                <w:id w:val="380374360"/>
                <w:lock w:val="sdtLocked"/>
              </w:sdtPr>
              <w:sdtContent>
                <w:tc>
                  <w:tcPr>
                    <w:tcW w:w="2499" w:type="pct"/>
                    <w:shd w:val="clear" w:color="auto" w:fill="auto"/>
                    <w:vAlign w:val="center"/>
                  </w:tcPr>
                  <w:p w:rsidR="00806678" w:rsidRDefault="00B16377">
                    <w:r>
                      <w:rPr>
                        <w:rFonts w:hint="eastAsia"/>
                      </w:rPr>
                      <w:t>每</w:t>
                    </w:r>
                    <w:r>
                      <w:t>10</w:t>
                    </w:r>
                    <w:r>
                      <w:rPr>
                        <w:rFonts w:hint="eastAsia"/>
                      </w:rPr>
                      <w:t>股转增数（股）</w:t>
                    </w:r>
                  </w:p>
                </w:tc>
              </w:sdtContent>
            </w:sdt>
            <w:tc>
              <w:tcPr>
                <w:tcW w:w="2501" w:type="pct"/>
                <w:vAlign w:val="center"/>
              </w:tcPr>
              <w:p w:rsidR="00806678" w:rsidRDefault="00FE5800" w:rsidP="009E1EE0">
                <w:pPr>
                  <w:jc w:val="right"/>
                </w:pPr>
                <w:r>
                  <w:rPr>
                    <w:rFonts w:hint="eastAsia"/>
                  </w:rPr>
                  <w:t>0</w:t>
                </w:r>
              </w:p>
            </w:tc>
          </w:tr>
          <w:tr w:rsidR="00806678" w:rsidTr="001E2B27">
            <w:trPr>
              <w:trHeight w:val="340"/>
            </w:trPr>
            <w:sdt>
              <w:sdtPr>
                <w:rPr>
                  <w:rFonts w:hint="eastAsia"/>
                </w:rPr>
                <w:tag w:val="_PLD_56397d2ee9fd4a7587b5922f267e1577"/>
                <w:id w:val="-2076509271"/>
                <w:lock w:val="sdtLocked"/>
              </w:sdtPr>
              <w:sdtContent>
                <w:tc>
                  <w:tcPr>
                    <w:tcW w:w="2499" w:type="pct"/>
                    <w:shd w:val="clear" w:color="auto" w:fill="auto"/>
                    <w:vAlign w:val="center"/>
                  </w:tcPr>
                  <w:p w:rsidR="00806678" w:rsidRDefault="00B16377">
                    <w:r>
                      <w:rPr>
                        <w:rFonts w:hint="eastAsia"/>
                      </w:rPr>
                      <w:t>现金分红金额（含税）</w:t>
                    </w:r>
                  </w:p>
                </w:tc>
              </w:sdtContent>
            </w:sdt>
            <w:tc>
              <w:tcPr>
                <w:tcW w:w="2501" w:type="pct"/>
                <w:vAlign w:val="center"/>
              </w:tcPr>
              <w:p w:rsidR="00806678" w:rsidRDefault="00DA367D" w:rsidP="009E1EE0">
                <w:pPr>
                  <w:jc w:val="right"/>
                </w:pPr>
                <w:r w:rsidRPr="00DA367D">
                  <w:t>7,136,134,035.36</w:t>
                </w:r>
              </w:p>
            </w:tc>
          </w:tr>
          <w:tr w:rsidR="00806678" w:rsidTr="001E2B27">
            <w:trPr>
              <w:trHeight w:val="340"/>
            </w:trPr>
            <w:sdt>
              <w:sdtPr>
                <w:tag w:val="_PLD_d435402796fd494cbcf96cca2a500273"/>
                <w:id w:val="-1181121106"/>
                <w:lock w:val="sdtLocked"/>
              </w:sdtPr>
              <w:sdtContent>
                <w:tc>
                  <w:tcPr>
                    <w:tcW w:w="2499" w:type="pct"/>
                    <w:tcBorders>
                      <w:top w:val="single" w:sz="4" w:space="0" w:color="auto"/>
                      <w:left w:val="single" w:sz="4" w:space="0" w:color="auto"/>
                      <w:bottom w:val="single" w:sz="4" w:space="0" w:color="auto"/>
                      <w:right w:val="single" w:sz="4" w:space="0" w:color="auto"/>
                    </w:tcBorders>
                    <w:shd w:val="clear" w:color="auto" w:fill="auto"/>
                    <w:vAlign w:val="center"/>
                  </w:tcPr>
                  <w:p w:rsidR="00806678" w:rsidRDefault="00B16377">
                    <w:r>
                      <w:t>分红年度合并报表中归属于上市公司</w:t>
                    </w:r>
                    <w:r>
                      <w:rPr>
                        <w:rFonts w:hint="eastAsia"/>
                      </w:rPr>
                      <w:t>普通股</w:t>
                    </w:r>
                    <w:r>
                      <w:t>股东的净利润</w:t>
                    </w:r>
                  </w:p>
                </w:tc>
              </w:sdtContent>
            </w:sdt>
            <w:tc>
              <w:tcPr>
                <w:tcW w:w="2501" w:type="pct"/>
                <w:tcBorders>
                  <w:top w:val="single" w:sz="4" w:space="0" w:color="auto"/>
                  <w:left w:val="single" w:sz="4" w:space="0" w:color="auto"/>
                  <w:bottom w:val="single" w:sz="4" w:space="0" w:color="auto"/>
                  <w:right w:val="single" w:sz="4" w:space="0" w:color="auto"/>
                </w:tcBorders>
                <w:vAlign w:val="center"/>
              </w:tcPr>
              <w:p w:rsidR="00806678" w:rsidRDefault="00DA367D" w:rsidP="009E1EE0">
                <w:pPr>
                  <w:jc w:val="right"/>
                </w:pPr>
                <w:r>
                  <w:t>11,196,257,454</w:t>
                </w:r>
              </w:p>
            </w:tc>
          </w:tr>
          <w:tr w:rsidR="00806678" w:rsidTr="001E2B27">
            <w:trPr>
              <w:trHeight w:val="340"/>
            </w:trPr>
            <w:sdt>
              <w:sdtPr>
                <w:tag w:val="_PLD_b9cdec5ee1194136aeb5dc3217a4d8c2"/>
                <w:id w:val="-229312183"/>
                <w:lock w:val="sdtLocked"/>
              </w:sdtPr>
              <w:sdtEndPr>
                <w:rPr>
                  <w:rFonts w:hint="eastAsia"/>
                </w:rPr>
              </w:sdtEndPr>
              <w:sdtContent>
                <w:tc>
                  <w:tcPr>
                    <w:tcW w:w="2499" w:type="pct"/>
                    <w:tcBorders>
                      <w:top w:val="single" w:sz="4" w:space="0" w:color="auto"/>
                      <w:left w:val="single" w:sz="4" w:space="0" w:color="auto"/>
                      <w:bottom w:val="single" w:sz="4" w:space="0" w:color="auto"/>
                      <w:right w:val="single" w:sz="4" w:space="0" w:color="auto"/>
                    </w:tcBorders>
                    <w:shd w:val="clear" w:color="auto" w:fill="auto"/>
                    <w:vAlign w:val="center"/>
                  </w:tcPr>
                  <w:p w:rsidR="00806678" w:rsidRDefault="00B16377">
                    <w:r>
                      <w:t>占合并报表中归属于上市公司</w:t>
                    </w:r>
                    <w:r>
                      <w:rPr>
                        <w:rFonts w:hint="eastAsia"/>
                      </w:rPr>
                      <w:t>普通股</w:t>
                    </w:r>
                    <w:r>
                      <w:t>股东的净利润的比率</w:t>
                    </w:r>
                    <w:r>
                      <w:rPr>
                        <w:rFonts w:hint="eastAsia"/>
                      </w:rPr>
                      <w:t>（%）</w:t>
                    </w:r>
                  </w:p>
                </w:tc>
              </w:sdtContent>
            </w:sdt>
            <w:tc>
              <w:tcPr>
                <w:tcW w:w="2501" w:type="pct"/>
                <w:tcBorders>
                  <w:top w:val="single" w:sz="4" w:space="0" w:color="auto"/>
                  <w:left w:val="single" w:sz="4" w:space="0" w:color="auto"/>
                  <w:bottom w:val="single" w:sz="4" w:space="0" w:color="auto"/>
                  <w:right w:val="single" w:sz="4" w:space="0" w:color="auto"/>
                </w:tcBorders>
                <w:vAlign w:val="center"/>
              </w:tcPr>
              <w:p w:rsidR="00806678" w:rsidRDefault="00DA367D" w:rsidP="009E1EE0">
                <w:pPr>
                  <w:jc w:val="right"/>
                </w:pPr>
                <w:r>
                  <w:rPr>
                    <w:rFonts w:hint="eastAsia"/>
                  </w:rPr>
                  <w:t>63.74</w:t>
                </w:r>
              </w:p>
            </w:tc>
          </w:tr>
          <w:tr w:rsidR="00806678" w:rsidTr="001E2B27">
            <w:trPr>
              <w:trHeight w:val="340"/>
            </w:trPr>
            <w:sdt>
              <w:sdtPr>
                <w:rPr>
                  <w:rFonts w:hint="eastAsia"/>
                </w:rPr>
                <w:tag w:val="_PLD_1d95936f929c4fc29607d0d20068effd"/>
                <w:id w:val="185487449"/>
                <w:lock w:val="sdtLocked"/>
              </w:sdtPr>
              <w:sdtContent>
                <w:tc>
                  <w:tcPr>
                    <w:tcW w:w="2499" w:type="pct"/>
                    <w:shd w:val="clear" w:color="auto" w:fill="auto"/>
                    <w:vAlign w:val="center"/>
                  </w:tcPr>
                  <w:p w:rsidR="00806678" w:rsidRDefault="00B16377">
                    <w:r>
                      <w:rPr>
                        <w:rFonts w:hint="eastAsia"/>
                      </w:rPr>
                      <w:t>以</w:t>
                    </w:r>
                    <w:r>
                      <w:t>现金方式回购股份计入现金分红的</w:t>
                    </w:r>
                    <w:r>
                      <w:rPr>
                        <w:rFonts w:hint="eastAsia"/>
                      </w:rPr>
                      <w:t>金额</w:t>
                    </w:r>
                  </w:p>
                </w:tc>
              </w:sdtContent>
            </w:sdt>
            <w:tc>
              <w:tcPr>
                <w:tcW w:w="2501" w:type="pct"/>
                <w:vAlign w:val="center"/>
              </w:tcPr>
              <w:p w:rsidR="00806678" w:rsidRDefault="00FE5800" w:rsidP="009E1EE0">
                <w:pPr>
                  <w:jc w:val="right"/>
                </w:pPr>
                <w:r>
                  <w:rPr>
                    <w:rFonts w:hint="eastAsia"/>
                  </w:rPr>
                  <w:t>0</w:t>
                </w:r>
              </w:p>
            </w:tc>
          </w:tr>
          <w:tr w:rsidR="00806678" w:rsidTr="001E2B27">
            <w:trPr>
              <w:trHeight w:val="340"/>
            </w:trPr>
            <w:sdt>
              <w:sdtPr>
                <w:rPr>
                  <w:rFonts w:hint="eastAsia"/>
                </w:rPr>
                <w:tag w:val="_PLD_6868c21df24048a79379e8563e8b7817"/>
                <w:id w:val="-1661689759"/>
                <w:lock w:val="sdtLocked"/>
              </w:sdtPr>
              <w:sdtContent>
                <w:tc>
                  <w:tcPr>
                    <w:tcW w:w="2499" w:type="pct"/>
                    <w:shd w:val="clear" w:color="auto" w:fill="auto"/>
                    <w:vAlign w:val="center"/>
                  </w:tcPr>
                  <w:p w:rsidR="00806678" w:rsidRDefault="00B16377">
                    <w:r>
                      <w:rPr>
                        <w:rFonts w:hint="eastAsia"/>
                      </w:rPr>
                      <w:t>合计分红金额（含税）</w:t>
                    </w:r>
                  </w:p>
                </w:tc>
              </w:sdtContent>
            </w:sdt>
            <w:tc>
              <w:tcPr>
                <w:tcW w:w="2501" w:type="pct"/>
                <w:vAlign w:val="center"/>
              </w:tcPr>
              <w:p w:rsidR="00806678" w:rsidRDefault="00DA367D" w:rsidP="009E1EE0">
                <w:pPr>
                  <w:jc w:val="right"/>
                </w:pPr>
                <w:r w:rsidRPr="00DA367D">
                  <w:t>7,136,134,035.36</w:t>
                </w:r>
              </w:p>
            </w:tc>
          </w:tr>
          <w:tr w:rsidR="00806678" w:rsidTr="001E2B27">
            <w:trPr>
              <w:trHeight w:val="340"/>
            </w:trPr>
            <w:sdt>
              <w:sdtPr>
                <w:rPr>
                  <w:rFonts w:hint="eastAsia"/>
                </w:rPr>
                <w:tag w:val="_PLD_4379234c339f4fe48b6f0b2453159b4b"/>
                <w:id w:val="-1207790762"/>
                <w:lock w:val="sdtLocked"/>
              </w:sdtPr>
              <w:sdtContent>
                <w:tc>
                  <w:tcPr>
                    <w:tcW w:w="2499" w:type="pct"/>
                    <w:shd w:val="clear" w:color="auto" w:fill="auto"/>
                    <w:vAlign w:val="center"/>
                  </w:tcPr>
                  <w:p w:rsidR="00806678" w:rsidRDefault="00B16377">
                    <w:r>
                      <w:rPr>
                        <w:rFonts w:hint="eastAsia"/>
                      </w:rPr>
                      <w:t>合计分红金额</w:t>
                    </w:r>
                    <w:r>
                      <w:t>占合并报表中归属于上市公司</w:t>
                    </w:r>
                    <w:r>
                      <w:rPr>
                        <w:rFonts w:hint="eastAsia"/>
                      </w:rPr>
                      <w:t>普通股</w:t>
                    </w:r>
                    <w:r>
                      <w:t>股东的净利润的比率</w:t>
                    </w:r>
                    <w:r>
                      <w:rPr>
                        <w:rFonts w:hint="eastAsia"/>
                      </w:rPr>
                      <w:t>（%）</w:t>
                    </w:r>
                  </w:p>
                </w:tc>
              </w:sdtContent>
            </w:sdt>
            <w:tc>
              <w:tcPr>
                <w:tcW w:w="2501" w:type="pct"/>
                <w:vAlign w:val="center"/>
              </w:tcPr>
              <w:p w:rsidR="00806678" w:rsidRDefault="00DA367D" w:rsidP="009E1EE0">
                <w:pPr>
                  <w:jc w:val="right"/>
                </w:pPr>
                <w:r w:rsidRPr="00DA367D">
                  <w:t>63.74</w:t>
                </w:r>
              </w:p>
            </w:tc>
          </w:tr>
        </w:tbl>
        <w:p w:rsidR="00806678" w:rsidRDefault="00F80B6C"/>
      </w:sdtContent>
    </w:sdt>
    <w:p w:rsidR="00806678" w:rsidRDefault="00B16377" w:rsidP="00FF17C7">
      <w:pPr>
        <w:pStyle w:val="2"/>
        <w:numPr>
          <w:ilvl w:val="0"/>
          <w:numId w:val="35"/>
        </w:numPr>
        <w:ind w:left="450" w:hanging="450"/>
      </w:pPr>
      <w:bookmarkStart w:id="58" w:name="_Toc342491956"/>
      <w:bookmarkStart w:id="59" w:name="_Toc342565948"/>
      <w:r>
        <w:rPr>
          <w:rFonts w:hint="eastAsia"/>
        </w:rPr>
        <w:lastRenderedPageBreak/>
        <w:t>公司股权激励计划、员工持股计划或其他员工激励措施的情况及其影响</w:t>
      </w:r>
      <w:bookmarkEnd w:id="58"/>
      <w:bookmarkEnd w:id="59"/>
    </w:p>
    <w:bookmarkStart w:id="60" w:name="_Toc342565949" w:displacedByCustomXml="next"/>
    <w:bookmarkStart w:id="61" w:name="_Toc342491957" w:displacedByCustomXml="next"/>
    <w:sdt>
      <w:sdtPr>
        <w:rPr>
          <w:rFonts w:ascii="宋体" w:hAnsi="宋体" w:cs="宋体" w:hint="eastAsia"/>
          <w:b w:val="0"/>
          <w:bCs w:val="0"/>
          <w:kern w:val="44"/>
          <w:sz w:val="24"/>
          <w:szCs w:val="21"/>
        </w:rPr>
        <w:alias w:val="模块:相关股权激励事项已在临时公告披露且后续实施无进展或变化"/>
        <w:tag w:val="_SEC_0fef5a8a9a1f47b5be982489f74109f3"/>
        <w:id w:val="1734178"/>
        <w:lock w:val="sdtLocked"/>
        <w:placeholder>
          <w:docPart w:val="GBC22222222222222222222222222222"/>
        </w:placeholder>
      </w:sdtPr>
      <w:sdtEndPr>
        <w:rPr>
          <w:rFonts w:hint="default"/>
          <w:kern w:val="0"/>
          <w:sz w:val="21"/>
          <w:szCs w:val="24"/>
        </w:rPr>
      </w:sdtEndPr>
      <w:sdtContent>
        <w:p w:rsidR="00806678" w:rsidRDefault="00B16377">
          <w:pPr>
            <w:pStyle w:val="3"/>
            <w:numPr>
              <w:ilvl w:val="1"/>
              <w:numId w:val="10"/>
            </w:numPr>
            <w:rPr>
              <w:kern w:val="44"/>
              <w:szCs w:val="21"/>
            </w:rPr>
          </w:pPr>
          <w:r>
            <w:rPr>
              <w:rFonts w:hint="eastAsia"/>
              <w:kern w:val="44"/>
              <w:szCs w:val="21"/>
            </w:rPr>
            <w:t>相关激励事项已在临时公告披露且后续实施无进展或变化的</w:t>
          </w:r>
          <w:bookmarkEnd w:id="61"/>
          <w:bookmarkEnd w:id="60"/>
        </w:p>
        <w:sdt>
          <w:sdtPr>
            <w:alias w:val="是否适用：相关激励事项已在临时公告披露且后续实施无进展或变化的[双击切换]"/>
            <w:tag w:val="_GBC_0af9dca2858d42619c57d7878f3a7792"/>
            <w:id w:val="-1444686762"/>
            <w:lock w:val="sdtLocked"/>
            <w:placeholder>
              <w:docPart w:val="GBC22222222222222222222222222222"/>
            </w:placeholder>
          </w:sdtPr>
          <w:sdtContent>
            <w:p w:rsidR="00806678" w:rsidRDefault="00F80B6C" w:rsidP="00923C6D">
              <w:r>
                <w:fldChar w:fldCharType="begin"/>
              </w:r>
              <w:r w:rsidR="00923C6D">
                <w:instrText xml:space="preserve">MACROBUTTON  SnrToggleCheckbox □适用 </w:instrText>
              </w:r>
              <w:r>
                <w:fldChar w:fldCharType="end"/>
              </w:r>
              <w:r>
                <w:fldChar w:fldCharType="begin"/>
              </w:r>
              <w:r w:rsidR="00923C6D">
                <w:instrText xml:space="preserve"> MACROBUTTON  SnrToggleCheckbox √不适用 </w:instrText>
              </w:r>
              <w:r>
                <w:fldChar w:fldCharType="end"/>
              </w:r>
            </w:p>
          </w:sdtContent>
        </w:sdt>
      </w:sdtContent>
    </w:sdt>
    <w:p w:rsidR="00806678" w:rsidRDefault="00B16377">
      <w:pPr>
        <w:pStyle w:val="3"/>
        <w:numPr>
          <w:ilvl w:val="1"/>
          <w:numId w:val="10"/>
        </w:numPr>
        <w:rPr>
          <w:kern w:val="44"/>
          <w:szCs w:val="21"/>
        </w:rPr>
      </w:pPr>
      <w:r>
        <w:rPr>
          <w:rFonts w:hint="eastAsia"/>
          <w:kern w:val="44"/>
          <w:szCs w:val="21"/>
        </w:rPr>
        <w:t>临时公告未披露或有后续进展的激励情况</w:t>
      </w:r>
    </w:p>
    <w:p w:rsidR="00806678" w:rsidRDefault="00B16377">
      <w:r>
        <w:rPr>
          <w:rFonts w:hint="eastAsia"/>
        </w:rPr>
        <w:t>股权激励情况</w:t>
      </w:r>
    </w:p>
    <w:p w:rsidR="00806678" w:rsidRDefault="00F80B6C">
      <w:pPr>
        <w:rPr>
          <w:szCs w:val="21"/>
        </w:rPr>
      </w:pPr>
      <w:sdt>
        <w:sdtPr>
          <w:alias w:val="是否适用：股权激励情况[双击切换]"/>
          <w:tag w:val="_GBC_002ad948ce1449c2a805bfbb132b2202"/>
          <w:id w:val="1221783902"/>
          <w:lock w:val="sdtLocked"/>
          <w:placeholder>
            <w:docPart w:val="GBC22222222222222222222222222222"/>
          </w:placeholder>
        </w:sdtPr>
        <w:sdtContent>
          <w:r>
            <w:fldChar w:fldCharType="begin"/>
          </w:r>
          <w:r w:rsidR="00923C6D">
            <w:instrText xml:space="preserve">MACROBUTTON  SnrToggleCheckbox □适用 </w:instrText>
          </w:r>
          <w:r>
            <w:fldChar w:fldCharType="end"/>
          </w:r>
          <w:r>
            <w:fldChar w:fldCharType="begin"/>
          </w:r>
          <w:r w:rsidR="00923C6D">
            <w:instrText xml:space="preserve"> MACROBUTTON  SnrToggleCheckbox √不适用 </w:instrText>
          </w:r>
          <w:r>
            <w:fldChar w:fldCharType="end"/>
          </w:r>
        </w:sdtContent>
      </w:sdt>
    </w:p>
    <w:sdt>
      <w:sdtPr>
        <w:rPr>
          <w:rFonts w:hint="eastAsia"/>
          <w:szCs w:val="21"/>
        </w:rPr>
        <w:alias w:val="模块:其他说明  "/>
        <w:tag w:val="_SEC_12c50bf247d34661bdbc91376a5f0abc"/>
        <w:id w:val="-1633086024"/>
        <w:lock w:val="sdtLocked"/>
        <w:placeholder>
          <w:docPart w:val="GBC22222222222222222222222222222"/>
        </w:placeholder>
      </w:sdtPr>
      <w:sdtEndPr>
        <w:rPr>
          <w:rFonts w:hint="default"/>
        </w:rPr>
      </w:sdtEndPr>
      <w:sdtContent>
        <w:p w:rsidR="00806678" w:rsidRDefault="00B16377">
          <w:pPr>
            <w:rPr>
              <w:szCs w:val="21"/>
            </w:rPr>
          </w:pPr>
          <w:r>
            <w:rPr>
              <w:rFonts w:hint="eastAsia"/>
              <w:szCs w:val="21"/>
            </w:rPr>
            <w:t>其他说明</w:t>
          </w:r>
        </w:p>
        <w:sdt>
          <w:sdtPr>
            <w:rPr>
              <w:rFonts w:hint="eastAsia"/>
              <w:szCs w:val="21"/>
            </w:rPr>
            <w:alias w:val="是否适用：股权激励情况的说明[双击切换]"/>
            <w:tag w:val="_GBC_67421581adf34d0f9f06e3042b8d7199"/>
            <w:id w:val="716699854"/>
            <w:lock w:val="sdtLocked"/>
            <w:placeholder>
              <w:docPart w:val="GBC22222222222222222222222222222"/>
            </w:placeholder>
          </w:sdtPr>
          <w:sdtContent>
            <w:p w:rsidR="00806678" w:rsidRDefault="00F80B6C">
              <w:pPr>
                <w:rPr>
                  <w:szCs w:val="21"/>
                </w:rPr>
              </w:pPr>
              <w:r>
                <w:rPr>
                  <w:szCs w:val="21"/>
                </w:rPr>
                <w:fldChar w:fldCharType="begin"/>
              </w:r>
              <w:r w:rsidR="00923C6D">
                <w:rPr>
                  <w:szCs w:val="21"/>
                </w:rPr>
                <w:instrText xml:space="preserve"> MACROBUTTON  SnrToggleCheckbox □适用  </w:instrText>
              </w:r>
              <w:r>
                <w:rPr>
                  <w:szCs w:val="21"/>
                </w:rPr>
                <w:fldChar w:fldCharType="end"/>
              </w:r>
              <w:r>
                <w:rPr>
                  <w:szCs w:val="21"/>
                </w:rPr>
                <w:fldChar w:fldCharType="begin"/>
              </w:r>
              <w:r w:rsidR="00923C6D">
                <w:rPr>
                  <w:szCs w:val="21"/>
                </w:rPr>
                <w:instrText xml:space="preserve"> MACROBUTTON  SnrToggleCheckbox √不适用 </w:instrText>
              </w:r>
              <w:r>
                <w:rPr>
                  <w:szCs w:val="21"/>
                </w:rPr>
                <w:fldChar w:fldCharType="end"/>
              </w:r>
            </w:p>
          </w:sdtContent>
        </w:sdt>
      </w:sdtContent>
    </w:sdt>
    <w:sdt>
      <w:sdtPr>
        <w:rPr>
          <w:rFonts w:hint="eastAsia"/>
          <w:bCs/>
          <w:szCs w:val="21"/>
        </w:rPr>
        <w:alias w:val="模块:员工持股计划情况"/>
        <w:tag w:val="_SEC_e76ced04f0774d5494f667355c3809ba"/>
        <w:id w:val="29247997"/>
        <w:lock w:val="sdtLocked"/>
        <w:placeholder>
          <w:docPart w:val="GBC22222222222222222222222222222"/>
        </w:placeholder>
      </w:sdtPr>
      <w:sdtContent>
        <w:p w:rsidR="00806678" w:rsidRDefault="00B16377">
          <w:pPr>
            <w:rPr>
              <w:bCs/>
              <w:szCs w:val="21"/>
            </w:rPr>
          </w:pPr>
          <w:r>
            <w:rPr>
              <w:rFonts w:hint="eastAsia"/>
              <w:bCs/>
              <w:szCs w:val="21"/>
            </w:rPr>
            <w:t>员工持股计划情况</w:t>
          </w:r>
        </w:p>
        <w:sdt>
          <w:sdtPr>
            <w:rPr>
              <w:rFonts w:hint="eastAsia"/>
              <w:bCs/>
              <w:szCs w:val="21"/>
            </w:rPr>
            <w:alias w:val="是否适用：员工持股计划情况[双击切换]"/>
            <w:tag w:val="_GBC_58bc54aaaba24427a2a569de76f7f83e"/>
            <w:id w:val="838742687"/>
            <w:lock w:val="sdtLocked"/>
            <w:placeholder>
              <w:docPart w:val="GBC22222222222222222222222222222"/>
            </w:placeholder>
          </w:sdtPr>
          <w:sdtContent>
            <w:p w:rsidR="00806678" w:rsidRDefault="00F80B6C">
              <w:pPr>
                <w:rPr>
                  <w:bCs/>
                  <w:szCs w:val="21"/>
                </w:rPr>
              </w:pPr>
              <w:r>
                <w:rPr>
                  <w:bCs/>
                  <w:szCs w:val="21"/>
                </w:rPr>
                <w:fldChar w:fldCharType="begin"/>
              </w:r>
              <w:r w:rsidR="00923C6D">
                <w:rPr>
                  <w:bCs/>
                  <w:szCs w:val="21"/>
                </w:rPr>
                <w:instrText xml:space="preserve"> MACROBUTTON  SnrToggleCheckbox □适用  </w:instrText>
              </w:r>
              <w:r>
                <w:rPr>
                  <w:bCs/>
                  <w:szCs w:val="21"/>
                </w:rPr>
                <w:fldChar w:fldCharType="end"/>
              </w:r>
              <w:r>
                <w:rPr>
                  <w:bCs/>
                  <w:szCs w:val="21"/>
                </w:rPr>
                <w:fldChar w:fldCharType="begin"/>
              </w:r>
              <w:r w:rsidR="00923C6D">
                <w:rPr>
                  <w:bCs/>
                  <w:szCs w:val="21"/>
                </w:rPr>
                <w:instrText xml:space="preserve"> MACROBUTTON  SnrToggleCheckbox √不适用 </w:instrText>
              </w:r>
              <w:r>
                <w:rPr>
                  <w:bCs/>
                  <w:szCs w:val="21"/>
                </w:rPr>
                <w:fldChar w:fldCharType="end"/>
              </w:r>
            </w:p>
          </w:sdtContent>
        </w:sdt>
      </w:sdtContent>
    </w:sdt>
    <w:sdt>
      <w:sdtPr>
        <w:rPr>
          <w:rFonts w:hint="eastAsia"/>
          <w:bCs/>
          <w:szCs w:val="21"/>
        </w:rPr>
        <w:alias w:val="模块:其他激励措施"/>
        <w:tag w:val="_SEC_614d59c9502f4f76b99b0f6a5227009b"/>
        <w:id w:val="29248002"/>
        <w:lock w:val="sdtLocked"/>
        <w:placeholder>
          <w:docPart w:val="GBC22222222222222222222222222222"/>
        </w:placeholder>
      </w:sdtPr>
      <w:sdtContent>
        <w:p w:rsidR="00806678" w:rsidRDefault="00B16377">
          <w:pPr>
            <w:rPr>
              <w:bCs/>
              <w:szCs w:val="21"/>
            </w:rPr>
          </w:pPr>
          <w:r>
            <w:rPr>
              <w:rFonts w:hint="eastAsia"/>
              <w:bCs/>
              <w:szCs w:val="21"/>
            </w:rPr>
            <w:t>其他激励措施</w:t>
          </w:r>
        </w:p>
        <w:sdt>
          <w:sdtPr>
            <w:rPr>
              <w:szCs w:val="21"/>
            </w:rPr>
            <w:alias w:val="是否适用：其他激励措施[双击切换]"/>
            <w:tag w:val="_GBC_1273f753309d4658962c7982b10fa010"/>
            <w:id w:val="29248017"/>
            <w:lock w:val="sdtLocked"/>
            <w:placeholder>
              <w:docPart w:val="GBC22222222222222222222222222222"/>
            </w:placeholder>
          </w:sdtPr>
          <w:sdtContent>
            <w:p w:rsidR="00806678" w:rsidRDefault="00F80B6C" w:rsidP="00923C6D">
              <w:pPr>
                <w:rPr>
                  <w:bCs/>
                  <w:szCs w:val="21"/>
                </w:rPr>
              </w:pPr>
              <w:r>
                <w:rPr>
                  <w:szCs w:val="21"/>
                </w:rPr>
                <w:fldChar w:fldCharType="begin"/>
              </w:r>
              <w:r w:rsidR="00923C6D">
                <w:rPr>
                  <w:szCs w:val="21"/>
                </w:rPr>
                <w:instrText xml:space="preserve">MACROBUTTON  SnrToggleCheckbox □适用 </w:instrText>
              </w:r>
              <w:r>
                <w:rPr>
                  <w:szCs w:val="21"/>
                </w:rPr>
                <w:fldChar w:fldCharType="end"/>
              </w:r>
              <w:r>
                <w:rPr>
                  <w:szCs w:val="21"/>
                </w:rPr>
                <w:fldChar w:fldCharType="begin"/>
              </w:r>
              <w:r w:rsidR="00923C6D">
                <w:rPr>
                  <w:szCs w:val="21"/>
                </w:rPr>
                <w:instrText xml:space="preserve"> MACROBUTTON  SnrToggleCheckbox √不适用 </w:instrText>
              </w:r>
              <w:r>
                <w:rPr>
                  <w:szCs w:val="21"/>
                </w:rPr>
                <w:fldChar w:fldCharType="end"/>
              </w:r>
            </w:p>
          </w:sdtContent>
        </w:sdt>
      </w:sdtContent>
    </w:sdt>
    <w:bookmarkStart w:id="62" w:name="_Toc342566005" w:displacedByCustomXml="next"/>
    <w:bookmarkStart w:id="63" w:name="_Toc342057945" w:displacedByCustomXml="next"/>
    <w:sdt>
      <w:sdtPr>
        <w:rPr>
          <w:rFonts w:ascii="宋体" w:hAnsi="宋体" w:cs="宋体" w:hint="eastAsia"/>
          <w:b w:val="0"/>
          <w:bCs w:val="0"/>
          <w:kern w:val="0"/>
          <w:szCs w:val="21"/>
        </w:rPr>
        <w:alias w:val="模块:董事、高级管理人员报告期内被授予的股权激励情况"/>
        <w:tag w:val="_SEC_8787cb19f2c64d4e8ac89d031e52cc9e"/>
        <w:id w:val="-757824158"/>
        <w:lock w:val="sdtLocked"/>
        <w:placeholder>
          <w:docPart w:val="GBC22222222222222222222222222222"/>
        </w:placeholder>
      </w:sdtPr>
      <w:sdtContent>
        <w:p w:rsidR="00806678" w:rsidRDefault="00B16377">
          <w:pPr>
            <w:pStyle w:val="3"/>
            <w:numPr>
              <w:ilvl w:val="1"/>
              <w:numId w:val="10"/>
            </w:numPr>
            <w:rPr>
              <w:szCs w:val="21"/>
            </w:rPr>
          </w:pPr>
          <w:r>
            <w:rPr>
              <w:rFonts w:hint="eastAsia"/>
              <w:szCs w:val="21"/>
            </w:rPr>
            <w:t>董事、高级管理人员报告期内被授予的</w:t>
          </w:r>
          <w:r>
            <w:rPr>
              <w:rFonts w:hint="eastAsia"/>
              <w:kern w:val="44"/>
              <w:szCs w:val="21"/>
            </w:rPr>
            <w:t>股权</w:t>
          </w:r>
          <w:r>
            <w:rPr>
              <w:rFonts w:hint="eastAsia"/>
              <w:szCs w:val="21"/>
            </w:rPr>
            <w:t>激励情况</w:t>
          </w:r>
          <w:bookmarkEnd w:id="63"/>
          <w:bookmarkEnd w:id="62"/>
        </w:p>
        <w:p w:rsidR="00806678" w:rsidRDefault="00F80B6C" w:rsidP="00923C6D">
          <w:pPr>
            <w:kinsoku w:val="0"/>
            <w:overflowPunct w:val="0"/>
            <w:autoSpaceDE w:val="0"/>
            <w:autoSpaceDN w:val="0"/>
            <w:adjustRightInd w:val="0"/>
            <w:snapToGrid w:val="0"/>
            <w:rPr>
              <w:szCs w:val="21"/>
            </w:rPr>
          </w:pPr>
          <w:sdt>
            <w:sdtPr>
              <w:rPr>
                <w:rFonts w:hint="eastAsia"/>
                <w:szCs w:val="21"/>
              </w:rPr>
              <w:alias w:val="是否适用：董事、监事、高级管理人员报告期内被授予的股权激励情况[双击切换]"/>
              <w:tag w:val="_GBC_c2d0a53ac8044ce0b5022c6f5ccdc0a9"/>
              <w:id w:val="18561718"/>
              <w:lock w:val="sdtLocked"/>
              <w:placeholder>
                <w:docPart w:val="GBC22222222222222222222222222222"/>
              </w:placeholder>
            </w:sdtPr>
            <w:sdtContent>
              <w:r>
                <w:rPr>
                  <w:szCs w:val="21"/>
                </w:rPr>
                <w:fldChar w:fldCharType="begin"/>
              </w:r>
              <w:r w:rsidR="00923C6D">
                <w:rPr>
                  <w:szCs w:val="21"/>
                </w:rPr>
                <w:instrText xml:space="preserve">MACROBUTTON  SnrToggleCheckbox □适用 </w:instrText>
              </w:r>
              <w:r>
                <w:rPr>
                  <w:szCs w:val="21"/>
                </w:rPr>
                <w:fldChar w:fldCharType="end"/>
              </w:r>
              <w:r>
                <w:rPr>
                  <w:szCs w:val="21"/>
                </w:rPr>
                <w:fldChar w:fldCharType="begin"/>
              </w:r>
              <w:r w:rsidR="00923C6D">
                <w:rPr>
                  <w:szCs w:val="21"/>
                </w:rPr>
                <w:instrText xml:space="preserve"> MACROBUTTON  SnrToggleCheckbox √不适用 </w:instrText>
              </w:r>
              <w:r>
                <w:rPr>
                  <w:szCs w:val="21"/>
                </w:rPr>
                <w:fldChar w:fldCharType="end"/>
              </w:r>
            </w:sdtContent>
          </w:sdt>
        </w:p>
      </w:sdtContent>
    </w:sdt>
    <w:sdt>
      <w:sdtPr>
        <w:rPr>
          <w:rFonts w:ascii="宋体" w:hAnsi="宋体" w:cs="宋体"/>
          <w:b w:val="0"/>
          <w:bCs w:val="0"/>
          <w:kern w:val="0"/>
          <w:szCs w:val="24"/>
        </w:rPr>
        <w:alias w:val="模块:报告期内对高级管理人员的考评机制，以及激励机制的建立、实施情况"/>
        <w:tag w:val="_SEC_e7128a1764624077b0f90f676a73dd15"/>
        <w:id w:val="3160710"/>
        <w:lock w:val="sdtLocked"/>
        <w:placeholder>
          <w:docPart w:val="GBC22222222222222222222222222222"/>
        </w:placeholder>
      </w:sdtPr>
      <w:sdtContent>
        <w:p w:rsidR="00806678" w:rsidRDefault="00B16377">
          <w:pPr>
            <w:pStyle w:val="3"/>
            <w:numPr>
              <w:ilvl w:val="1"/>
              <w:numId w:val="10"/>
            </w:numPr>
          </w:pPr>
          <w:r>
            <w:t>报告期内对高级管理人员的考评机制，以及激励机制的建立、实施情况</w:t>
          </w:r>
        </w:p>
        <w:sdt>
          <w:sdtPr>
            <w:rPr>
              <w:rFonts w:hint="eastAsia"/>
              <w:szCs w:val="21"/>
            </w:rPr>
            <w:alias w:val="是否适用：报告期内对高级管理人员的考评机制，以及激励机制的建立、实施情况[双击切换]"/>
            <w:tag w:val="_GBC_f7215667d17c45e88748740889bab9b8"/>
            <w:id w:val="228506963"/>
            <w:lock w:val="sdtLocked"/>
            <w:placeholder>
              <w:docPart w:val="GBC22222222222222222222222222222"/>
            </w:placeholder>
          </w:sdtPr>
          <w:sdtContent>
            <w:p w:rsidR="00806678" w:rsidRDefault="00F80B6C">
              <w:pPr>
                <w:rPr>
                  <w:szCs w:val="21"/>
                </w:rPr>
              </w:pPr>
              <w:r>
                <w:rPr>
                  <w:szCs w:val="21"/>
                </w:rPr>
                <w:fldChar w:fldCharType="begin"/>
              </w:r>
              <w:r w:rsidR="00B005C4">
                <w:rPr>
                  <w:szCs w:val="21"/>
                </w:rPr>
                <w:instrText xml:space="preserve"> MACROBUTTON  SnrToggleCheckbox √适用  </w:instrText>
              </w:r>
              <w:r>
                <w:rPr>
                  <w:szCs w:val="21"/>
                </w:rPr>
                <w:fldChar w:fldCharType="end"/>
              </w:r>
              <w:r>
                <w:rPr>
                  <w:szCs w:val="21"/>
                </w:rPr>
                <w:fldChar w:fldCharType="begin"/>
              </w:r>
              <w:r w:rsidR="00B005C4">
                <w:rPr>
                  <w:szCs w:val="21"/>
                </w:rPr>
                <w:instrText xml:space="preserve"> MACROBUTTON  SnrToggleCheckbox □不适用 </w:instrText>
              </w:r>
              <w:r>
                <w:rPr>
                  <w:szCs w:val="21"/>
                </w:rPr>
                <w:fldChar w:fldCharType="end"/>
              </w:r>
            </w:p>
          </w:sdtContent>
        </w:sdt>
        <w:sdt>
          <w:sdtPr>
            <w:rPr>
              <w:rFonts w:hint="eastAsia"/>
              <w:szCs w:val="21"/>
            </w:rPr>
            <w:alias w:val="公司对高级管理人员的考评及激励情况"/>
            <w:tag w:val="_GBC_ff8dc93589b2464ba735502bf6a2a8ca"/>
            <w:id w:val="-6299326"/>
            <w:lock w:val="sdtLocked"/>
            <w:placeholder>
              <w:docPart w:val="GBC22222222222222222222222222222"/>
            </w:placeholder>
          </w:sdtPr>
          <w:sdtContent>
            <w:p w:rsidR="00806678" w:rsidRPr="00B005C4" w:rsidRDefault="00B005C4" w:rsidP="00B005C4">
              <w:pPr>
                <w:widowControl w:val="0"/>
                <w:spacing w:line="360" w:lineRule="auto"/>
                <w:ind w:firstLineChars="200" w:firstLine="420"/>
                <w:jc w:val="both"/>
                <w:rPr>
                  <w:rFonts w:asciiTheme="minorEastAsia" w:eastAsiaTheme="minorEastAsia" w:hAnsiTheme="minorEastAsia"/>
                  <w:bCs/>
                  <w:szCs w:val="21"/>
                </w:rPr>
              </w:pPr>
              <w:r w:rsidRPr="00B005C4">
                <w:rPr>
                  <w:rFonts w:asciiTheme="minorEastAsia" w:eastAsiaTheme="minorEastAsia" w:hAnsiTheme="minorEastAsia" w:hint="eastAsia"/>
                  <w:bCs/>
                  <w:szCs w:val="21"/>
                </w:rPr>
                <w:t>报告期内，公司对高级管理人员实行绩效考核机制，遵循责任、风险、贡献和收益相一致的原则，依据</w:t>
              </w:r>
              <w:r w:rsidRPr="00B005C4">
                <w:rPr>
                  <w:rFonts w:asciiTheme="minorEastAsia" w:eastAsiaTheme="minorEastAsia" w:hAnsiTheme="minorEastAsia"/>
                  <w:bCs/>
                  <w:szCs w:val="21"/>
                </w:rPr>
                <w:t>效益效率</w:t>
              </w:r>
              <w:r w:rsidRPr="00B005C4">
                <w:rPr>
                  <w:rFonts w:asciiTheme="minorEastAsia" w:eastAsiaTheme="minorEastAsia" w:hAnsiTheme="minorEastAsia" w:hint="eastAsia"/>
                  <w:bCs/>
                  <w:szCs w:val="21"/>
                </w:rPr>
                <w:t>、安全</w:t>
              </w:r>
              <w:r w:rsidRPr="00B005C4">
                <w:rPr>
                  <w:rFonts w:asciiTheme="minorEastAsia" w:eastAsiaTheme="minorEastAsia" w:hAnsiTheme="minorEastAsia"/>
                  <w:bCs/>
                  <w:szCs w:val="21"/>
                </w:rPr>
                <w:t>管理、</w:t>
              </w:r>
              <w:r w:rsidRPr="00B005C4">
                <w:rPr>
                  <w:rFonts w:asciiTheme="minorEastAsia" w:eastAsiaTheme="minorEastAsia" w:hAnsiTheme="minorEastAsia" w:hint="eastAsia"/>
                  <w:bCs/>
                  <w:szCs w:val="21"/>
                </w:rPr>
                <w:t>党</w:t>
              </w:r>
              <w:r w:rsidRPr="00B005C4">
                <w:rPr>
                  <w:rFonts w:asciiTheme="minorEastAsia" w:eastAsiaTheme="minorEastAsia" w:hAnsiTheme="minorEastAsia"/>
                  <w:bCs/>
                  <w:szCs w:val="21"/>
                </w:rPr>
                <w:t>建管理、</w:t>
              </w:r>
              <w:r w:rsidRPr="00B005C4">
                <w:rPr>
                  <w:rFonts w:asciiTheme="minorEastAsia" w:eastAsiaTheme="minorEastAsia" w:hAnsiTheme="minorEastAsia" w:hint="eastAsia"/>
                  <w:bCs/>
                  <w:szCs w:val="21"/>
                </w:rPr>
                <w:t>综合</w:t>
              </w:r>
              <w:r w:rsidRPr="00B005C4">
                <w:rPr>
                  <w:rFonts w:asciiTheme="minorEastAsia" w:eastAsiaTheme="minorEastAsia" w:hAnsiTheme="minorEastAsia"/>
                  <w:bCs/>
                  <w:szCs w:val="21"/>
                </w:rPr>
                <w:t>管理、</w:t>
              </w:r>
              <w:r w:rsidRPr="00B005C4">
                <w:rPr>
                  <w:rFonts w:asciiTheme="minorEastAsia" w:eastAsiaTheme="minorEastAsia" w:hAnsiTheme="minorEastAsia" w:hint="eastAsia"/>
                  <w:bCs/>
                  <w:szCs w:val="21"/>
                </w:rPr>
                <w:t>专业</w:t>
              </w:r>
              <w:r w:rsidRPr="00B005C4">
                <w:rPr>
                  <w:rFonts w:asciiTheme="minorEastAsia" w:eastAsiaTheme="minorEastAsia" w:hAnsiTheme="minorEastAsia"/>
                  <w:bCs/>
                  <w:szCs w:val="21"/>
                </w:rPr>
                <w:t>管理、</w:t>
              </w:r>
              <w:r w:rsidRPr="00B005C4">
                <w:rPr>
                  <w:rFonts w:asciiTheme="minorEastAsia" w:eastAsiaTheme="minorEastAsia" w:hAnsiTheme="minorEastAsia" w:hint="eastAsia"/>
                  <w:bCs/>
                  <w:szCs w:val="21"/>
                </w:rPr>
                <w:t>重大</w:t>
              </w:r>
              <w:r w:rsidRPr="00B005C4">
                <w:rPr>
                  <w:rFonts w:asciiTheme="minorEastAsia" w:eastAsiaTheme="minorEastAsia" w:hAnsiTheme="minorEastAsia"/>
                  <w:bCs/>
                  <w:szCs w:val="21"/>
                </w:rPr>
                <w:t>事项及行为管理、重点任务</w:t>
              </w:r>
              <w:r w:rsidRPr="00B005C4">
                <w:rPr>
                  <w:rFonts w:asciiTheme="minorEastAsia" w:eastAsiaTheme="minorEastAsia" w:hAnsiTheme="minorEastAsia" w:hint="eastAsia"/>
                  <w:bCs/>
                  <w:szCs w:val="21"/>
                </w:rPr>
                <w:t>、社会责任等指标考核</w:t>
              </w:r>
              <w:r w:rsidRPr="00B005C4">
                <w:rPr>
                  <w:rFonts w:asciiTheme="minorEastAsia" w:eastAsiaTheme="minorEastAsia" w:hAnsiTheme="minorEastAsia"/>
                  <w:bCs/>
                  <w:szCs w:val="21"/>
                </w:rPr>
                <w:t>结果</w:t>
              </w:r>
              <w:r w:rsidRPr="00B005C4">
                <w:rPr>
                  <w:rFonts w:asciiTheme="minorEastAsia" w:eastAsiaTheme="minorEastAsia" w:hAnsiTheme="minorEastAsia" w:hint="eastAsia"/>
                  <w:bCs/>
                  <w:szCs w:val="21"/>
                </w:rPr>
                <w:t>确定发放额度，并将考核结果作为任期考核的重要内容。</w:t>
              </w:r>
            </w:p>
          </w:sdtContent>
        </w:sdt>
      </w:sdtContent>
    </w:sdt>
    <w:sdt>
      <w:sdtPr>
        <w:rPr>
          <w:rFonts w:ascii="宋体" w:hAnsi="宋体" w:cs="宋体" w:hint="eastAsia"/>
          <w:b w:val="0"/>
          <w:bCs w:val="0"/>
          <w:kern w:val="0"/>
          <w:szCs w:val="24"/>
        </w:rPr>
        <w:alias w:val="模块:报告期内的内部控制制度建设及实施情况"/>
        <w:tag w:val="_SEC_4f62c5a91f184e9083e54ebccf8fe563"/>
        <w:id w:val="-1814176595"/>
        <w:lock w:val="sdtLocked"/>
        <w:placeholder>
          <w:docPart w:val="GBC22222222222222222222222222222"/>
        </w:placeholder>
      </w:sdtPr>
      <w:sdtEndPr>
        <w:rPr>
          <w:rFonts w:hint="default"/>
        </w:rPr>
      </w:sdtEndPr>
      <w:sdtContent>
        <w:p w:rsidR="00806678" w:rsidRDefault="00B16377" w:rsidP="00FF17C7">
          <w:pPr>
            <w:pStyle w:val="2"/>
            <w:numPr>
              <w:ilvl w:val="0"/>
              <w:numId w:val="35"/>
            </w:numPr>
          </w:pPr>
          <w:r>
            <w:rPr>
              <w:rFonts w:hint="eastAsia"/>
            </w:rPr>
            <w:t>报告期内的内部控制制度建设及实施情况</w:t>
          </w:r>
        </w:p>
        <w:sdt>
          <w:sdtPr>
            <w:rPr>
              <w:szCs w:val="21"/>
            </w:rPr>
            <w:alias w:val="是否适用：报告期内的内部控制制度建设及实施情况[双击切换]"/>
            <w:tag w:val="_GBC_f76747fb26ee47cfb00fc8ad5592b038"/>
            <w:id w:val="21345351"/>
            <w:lock w:val="sdtLocked"/>
            <w:placeholder>
              <w:docPart w:val="GBC22222222222222222222222222222"/>
            </w:placeholder>
          </w:sdtPr>
          <w:sdtContent>
            <w:p w:rsidR="00806678" w:rsidRDefault="00F80B6C">
              <w:pPr>
                <w:rPr>
                  <w:szCs w:val="21"/>
                </w:rPr>
              </w:pPr>
              <w:r>
                <w:rPr>
                  <w:szCs w:val="21"/>
                </w:rPr>
                <w:fldChar w:fldCharType="begin"/>
              </w:r>
              <w:r w:rsidR="00C22623">
                <w:rPr>
                  <w:szCs w:val="21"/>
                </w:rPr>
                <w:instrText xml:space="preserve">MACROBUTTON  SnrToggleCheckbox √适用 </w:instrText>
              </w:r>
              <w:r>
                <w:rPr>
                  <w:szCs w:val="21"/>
                </w:rPr>
                <w:fldChar w:fldCharType="end"/>
              </w:r>
              <w:r>
                <w:rPr>
                  <w:szCs w:val="21"/>
                </w:rPr>
                <w:fldChar w:fldCharType="begin"/>
              </w:r>
              <w:r w:rsidR="00C22623">
                <w:rPr>
                  <w:szCs w:val="21"/>
                </w:rPr>
                <w:instrText xml:space="preserve"> MACROBUTTON  SnrToggleCheckbox □不适用 </w:instrText>
              </w:r>
              <w:r>
                <w:rPr>
                  <w:szCs w:val="21"/>
                </w:rPr>
                <w:fldChar w:fldCharType="end"/>
              </w:r>
            </w:p>
          </w:sdtContent>
        </w:sdt>
        <w:sdt>
          <w:sdtPr>
            <w:rPr>
              <w:rFonts w:hint="eastAsia"/>
              <w:szCs w:val="21"/>
            </w:rPr>
            <w:alias w:val="内部控制自我评价报告"/>
            <w:tag w:val="_GBC_7ec2120247b647e18f5670c0a1211280"/>
            <w:id w:val="21345373"/>
            <w:lock w:val="sdtLocked"/>
            <w:placeholder>
              <w:docPart w:val="GBC22222222222222222222222222222"/>
            </w:placeholder>
          </w:sdtPr>
          <w:sdtContent>
            <w:p w:rsidR="00806678" w:rsidRDefault="00D63F9F" w:rsidP="00D63F9F">
              <w:pPr>
                <w:spacing w:line="360" w:lineRule="auto"/>
                <w:rPr>
                  <w:szCs w:val="21"/>
                </w:rPr>
              </w:pPr>
              <w:r>
                <w:rPr>
                  <w:rFonts w:hint="eastAsia"/>
                  <w:szCs w:val="21"/>
                </w:rPr>
                <w:t>报告期内公司内部控制制度建设及实施情况，</w:t>
              </w:r>
              <w:r w:rsidRPr="00E90022">
                <w:rPr>
                  <w:rFonts w:hint="eastAsia"/>
                  <w:szCs w:val="21"/>
                </w:rPr>
                <w:t>详见</w:t>
              </w:r>
              <w:r>
                <w:rPr>
                  <w:rFonts w:hint="eastAsia"/>
                  <w:szCs w:val="21"/>
                </w:rPr>
                <w:t>2023</w:t>
              </w:r>
              <w:r w:rsidRPr="00E90022">
                <w:rPr>
                  <w:rFonts w:hint="eastAsia"/>
                  <w:szCs w:val="21"/>
                </w:rPr>
                <w:t>年4月</w:t>
              </w:r>
              <w:r>
                <w:rPr>
                  <w:rFonts w:hint="eastAsia"/>
                  <w:szCs w:val="21"/>
                </w:rPr>
                <w:t>27</w:t>
              </w:r>
              <w:r w:rsidRPr="00E90022">
                <w:rPr>
                  <w:rFonts w:hint="eastAsia"/>
                  <w:szCs w:val="21"/>
                </w:rPr>
                <w:t>日登载于上海证券交易所网站的《大秦铁路股份有限公司</w:t>
              </w:r>
              <w:r>
                <w:rPr>
                  <w:rFonts w:hint="eastAsia"/>
                  <w:szCs w:val="21"/>
                </w:rPr>
                <w:t>2022</w:t>
              </w:r>
              <w:r w:rsidRPr="00E90022">
                <w:rPr>
                  <w:rFonts w:hint="eastAsia"/>
                  <w:szCs w:val="21"/>
                </w:rPr>
                <w:t>年度内部控制评价报告》。</w:t>
              </w:r>
            </w:p>
          </w:sdtContent>
        </w:sdt>
      </w:sdtContent>
    </w:sdt>
    <w:sdt>
      <w:sdtPr>
        <w:rPr>
          <w:rFonts w:hint="eastAsia"/>
          <w:szCs w:val="21"/>
        </w:rPr>
        <w:alias w:val="模块:报告期内部控制存在重大缺陷情况的说明  "/>
        <w:tag w:val="_SEC_2ee2e77432cb43f3b2547fcae2c176b7"/>
        <w:id w:val="1503856921"/>
        <w:lock w:val="sdtLocked"/>
        <w:placeholder>
          <w:docPart w:val="GBC22222222222222222222222222222"/>
        </w:placeholder>
      </w:sdtPr>
      <w:sdtEndPr>
        <w:rPr>
          <w:rFonts w:hint="default"/>
        </w:rPr>
      </w:sdtEndPr>
      <w:sdtContent>
        <w:p w:rsidR="00806678" w:rsidRDefault="00B16377">
          <w:pPr>
            <w:tabs>
              <w:tab w:val="left" w:pos="2760"/>
            </w:tabs>
            <w:rPr>
              <w:szCs w:val="21"/>
            </w:rPr>
          </w:pPr>
          <w:r>
            <w:rPr>
              <w:rFonts w:hint="eastAsia"/>
              <w:szCs w:val="21"/>
            </w:rPr>
            <w:t>报告期内部控制存在重大缺陷情况的说明</w:t>
          </w:r>
        </w:p>
        <w:sdt>
          <w:sdtPr>
            <w:rPr>
              <w:szCs w:val="21"/>
            </w:rPr>
            <w:alias w:val="是否适用：报告期内部控制存在重大缺陷情况的说明[双击切换]"/>
            <w:tag w:val="_GBC_cad036bd9fe3409f906985f824010f6a"/>
            <w:id w:val="21345365"/>
            <w:lock w:val="sdtLocked"/>
            <w:placeholder>
              <w:docPart w:val="GBC22222222222222222222222222222"/>
            </w:placeholder>
          </w:sdtPr>
          <w:sdtContent>
            <w:p w:rsidR="00806678" w:rsidRDefault="00F80B6C">
              <w:pPr>
                <w:rPr>
                  <w:szCs w:val="21"/>
                </w:rPr>
              </w:pPr>
              <w:r>
                <w:rPr>
                  <w:szCs w:val="21"/>
                </w:rPr>
                <w:fldChar w:fldCharType="begin"/>
              </w:r>
              <w:r w:rsidR="00D63F9F">
                <w:rPr>
                  <w:szCs w:val="21"/>
                </w:rPr>
                <w:instrText xml:space="preserve">MACROBUTTON  SnrToggleCheckbox □适用 </w:instrText>
              </w:r>
              <w:r>
                <w:rPr>
                  <w:szCs w:val="21"/>
                </w:rPr>
                <w:fldChar w:fldCharType="end"/>
              </w:r>
              <w:r>
                <w:rPr>
                  <w:szCs w:val="21"/>
                </w:rPr>
                <w:fldChar w:fldCharType="begin"/>
              </w:r>
              <w:r w:rsidR="00D63F9F">
                <w:rPr>
                  <w:szCs w:val="21"/>
                </w:rPr>
                <w:instrText xml:space="preserve"> MACROBUTTON  SnrToggleCheckbox √不适用 </w:instrText>
              </w:r>
              <w:r>
                <w:rPr>
                  <w:szCs w:val="21"/>
                </w:rPr>
                <w:fldChar w:fldCharType="end"/>
              </w:r>
            </w:p>
          </w:sdtContent>
        </w:sdt>
      </w:sdtContent>
    </w:sdt>
    <w:sdt>
      <w:sdtPr>
        <w:rPr>
          <w:rFonts w:ascii="宋体" w:hAnsi="宋体" w:cs="宋体" w:hint="eastAsia"/>
          <w:b w:val="0"/>
          <w:bCs w:val="0"/>
          <w:kern w:val="0"/>
          <w:szCs w:val="24"/>
        </w:rPr>
        <w:alias w:val="模块:报告期内对子公司的管理控制情况"/>
        <w:tag w:val="_SEC_01b27291a2ca4176b79ce579d14bbcee"/>
        <w:id w:val="1265118808"/>
        <w:lock w:val="sdtLocked"/>
        <w:placeholder>
          <w:docPart w:val="GBC22222222222222222222222222222"/>
        </w:placeholder>
      </w:sdtPr>
      <w:sdtContent>
        <w:p w:rsidR="00806678" w:rsidRDefault="00B16377" w:rsidP="00FF17C7">
          <w:pPr>
            <w:pStyle w:val="2"/>
            <w:numPr>
              <w:ilvl w:val="0"/>
              <w:numId w:val="35"/>
            </w:numPr>
          </w:pPr>
          <w:r>
            <w:rPr>
              <w:rFonts w:hint="eastAsia"/>
            </w:rPr>
            <w:t>报告期内对子公司的管理控制情况</w:t>
          </w:r>
        </w:p>
        <w:sdt>
          <w:sdtPr>
            <w:rPr>
              <w:rFonts w:hint="eastAsia"/>
              <w:szCs w:val="21"/>
            </w:rPr>
            <w:alias w:val="是否适用：报告期内对子公司的管理控制情况[双击切换]"/>
            <w:tag w:val="_GBC_3c41db66329f4aabb0fd91423cfeac3f"/>
            <w:id w:val="1492067507"/>
            <w:lock w:val="sdtLocked"/>
            <w:placeholder>
              <w:docPart w:val="GBC22222222222222222222222222222"/>
            </w:placeholder>
          </w:sdtPr>
          <w:sdtContent>
            <w:p w:rsidR="00806678" w:rsidRDefault="00F80B6C">
              <w:pPr>
                <w:rPr>
                  <w:szCs w:val="21"/>
                </w:rPr>
              </w:pPr>
              <w:r>
                <w:rPr>
                  <w:szCs w:val="21"/>
                </w:rPr>
                <w:fldChar w:fldCharType="begin"/>
              </w:r>
              <w:r w:rsidR="00D63F9F">
                <w:rPr>
                  <w:szCs w:val="21"/>
                </w:rPr>
                <w:instrText xml:space="preserve"> MACROBUTTON  SnrToggleCheckbox √适用 </w:instrText>
              </w:r>
              <w:r>
                <w:rPr>
                  <w:szCs w:val="21"/>
                </w:rPr>
                <w:fldChar w:fldCharType="end"/>
              </w:r>
              <w:r>
                <w:rPr>
                  <w:szCs w:val="21"/>
                </w:rPr>
                <w:fldChar w:fldCharType="begin"/>
              </w:r>
              <w:r w:rsidR="00D63F9F">
                <w:rPr>
                  <w:szCs w:val="21"/>
                </w:rPr>
                <w:instrText xml:space="preserve"> MACROBUTTON  SnrToggleCheckbox □不适用 </w:instrText>
              </w:r>
              <w:r>
                <w:rPr>
                  <w:szCs w:val="21"/>
                </w:rPr>
                <w:fldChar w:fldCharType="end"/>
              </w:r>
            </w:p>
          </w:sdtContent>
        </w:sdt>
        <w:sdt>
          <w:sdtPr>
            <w:rPr>
              <w:rFonts w:hint="eastAsia"/>
              <w:szCs w:val="21"/>
            </w:rPr>
            <w:alias w:val="报告期内对子公司的管理控制情况"/>
            <w:tag w:val="_GBC_c42acb3ad0ff45a1891fd8fa03ee78a2"/>
            <w:id w:val="-1469962823"/>
            <w:lock w:val="sdtLocked"/>
            <w:placeholder>
              <w:docPart w:val="GBC22222222222222222222222222222"/>
            </w:placeholder>
          </w:sdtPr>
          <w:sdtContent>
            <w:p w:rsidR="00806678" w:rsidRPr="00D63F9F" w:rsidRDefault="00D63F9F" w:rsidP="00D63F9F">
              <w:pPr>
                <w:spacing w:line="360" w:lineRule="auto"/>
                <w:ind w:firstLineChars="200" w:firstLine="420"/>
                <w:rPr>
                  <w:rFonts w:asciiTheme="minorEastAsia" w:eastAsiaTheme="minorEastAsia" w:hAnsiTheme="minorEastAsia"/>
                  <w:bCs/>
                  <w:szCs w:val="21"/>
                </w:rPr>
              </w:pPr>
              <w:r w:rsidRPr="00F2083F">
                <w:rPr>
                  <w:rFonts w:hint="eastAsia"/>
                  <w:szCs w:val="21"/>
                </w:rPr>
                <w:t>为确保公司整体经营目标的实现，有效降低经营风险，强化对控股子公司的管理，维护和保障公司股东权益，公司通过股权控制关系对下属子公司实施控制。公司控股子公司实行董事会分层管理模式，公司制定了《大秦铁路股份有限公司投资管理办法》《大秦铁路股份有限公司股权管理办法》等符合公司法人治理和多元化发展要求的管理制度，对控股子公司在企业法人治理、重大事项管理、财务预算决算、股权投资收益等相关工作予以规范和管控。同时，加强对控股子公司经营风险的管控和研判，依规指导控股子公司建立完善管理制度体系，切实防范控股子公司的管理风险。</w:t>
              </w:r>
            </w:p>
          </w:sdtContent>
        </w:sdt>
      </w:sdtContent>
    </w:sdt>
    <w:sdt>
      <w:sdtPr>
        <w:rPr>
          <w:rFonts w:ascii="宋体" w:hAnsi="宋体" w:cs="宋体" w:hint="eastAsia"/>
          <w:b w:val="0"/>
          <w:bCs w:val="0"/>
          <w:kern w:val="0"/>
          <w:szCs w:val="24"/>
        </w:rPr>
        <w:alias w:val="模块:内部控制审计报告的相关情况说明"/>
        <w:tag w:val="_SEC_2d6e7b1f7b054f2fbca2d55832fe79ef"/>
        <w:id w:val="3160741"/>
        <w:lock w:val="sdtLocked"/>
        <w:placeholder>
          <w:docPart w:val="GBC22222222222222222222222222222"/>
        </w:placeholder>
      </w:sdtPr>
      <w:sdtContent>
        <w:p w:rsidR="00806678" w:rsidRDefault="00B16377" w:rsidP="00FF17C7">
          <w:pPr>
            <w:pStyle w:val="2"/>
            <w:numPr>
              <w:ilvl w:val="0"/>
              <w:numId w:val="35"/>
            </w:numPr>
          </w:pPr>
          <w:r>
            <w:rPr>
              <w:rFonts w:hint="eastAsia"/>
            </w:rPr>
            <w:t>内部控制审计报告的相关情况说明</w:t>
          </w:r>
        </w:p>
        <w:sdt>
          <w:sdtPr>
            <w:rPr>
              <w:rFonts w:hint="eastAsia"/>
              <w:szCs w:val="21"/>
            </w:rPr>
            <w:alias w:val="是否适用：内部控制审计报告的相关情况说明[双击切换]"/>
            <w:tag w:val="_GBC_f9211f94ca4347ababf36cfb6829169a"/>
            <w:id w:val="-1364819145"/>
            <w:lock w:val="sdtLocked"/>
            <w:placeholder>
              <w:docPart w:val="GBC22222222222222222222222222222"/>
            </w:placeholder>
          </w:sdtPr>
          <w:sdtContent>
            <w:p w:rsidR="00806678" w:rsidRDefault="00F80B6C">
              <w:pPr>
                <w:rPr>
                  <w:szCs w:val="21"/>
                </w:rPr>
              </w:pPr>
              <w:r>
                <w:rPr>
                  <w:szCs w:val="21"/>
                </w:rPr>
                <w:fldChar w:fldCharType="begin"/>
              </w:r>
              <w:r w:rsidR="00BF2D27">
                <w:rPr>
                  <w:szCs w:val="21"/>
                </w:rPr>
                <w:instrText xml:space="preserve"> MACROBUTTON  SnrToggleCheckbox √适用  </w:instrText>
              </w:r>
              <w:r>
                <w:rPr>
                  <w:szCs w:val="21"/>
                </w:rPr>
                <w:fldChar w:fldCharType="end"/>
              </w:r>
              <w:r>
                <w:rPr>
                  <w:szCs w:val="21"/>
                </w:rPr>
                <w:fldChar w:fldCharType="begin"/>
              </w:r>
              <w:r w:rsidR="00BF2D27">
                <w:rPr>
                  <w:szCs w:val="21"/>
                </w:rPr>
                <w:instrText xml:space="preserve"> MACROBUTTON  SnrToggleCheckbox □不适用 </w:instrText>
              </w:r>
              <w:r>
                <w:rPr>
                  <w:szCs w:val="21"/>
                </w:rPr>
                <w:fldChar w:fldCharType="end"/>
              </w:r>
            </w:p>
          </w:sdtContent>
        </w:sdt>
        <w:sdt>
          <w:sdtPr>
            <w:rPr>
              <w:rFonts w:hint="eastAsia"/>
              <w:szCs w:val="21"/>
            </w:rPr>
            <w:alias w:val="审计报告与公司自我评价意见不一致情况"/>
            <w:tag w:val="_GBC_1abfe1ce3c2044e1a311865463691e52"/>
            <w:id w:val="-127398144"/>
            <w:lock w:val="sdtLocked"/>
            <w:placeholder>
              <w:docPart w:val="GBC22222222222222222222222222222"/>
            </w:placeholder>
          </w:sdtPr>
          <w:sdtContent>
            <w:p w:rsidR="00806678" w:rsidRDefault="00BF2D27" w:rsidP="00BF2D27">
              <w:pPr>
                <w:spacing w:line="360" w:lineRule="auto"/>
                <w:ind w:firstLineChars="200" w:firstLine="420"/>
                <w:rPr>
                  <w:szCs w:val="21"/>
                </w:rPr>
              </w:pPr>
              <w:r w:rsidRPr="00E90022">
                <w:rPr>
                  <w:rFonts w:hint="eastAsia"/>
                  <w:szCs w:val="21"/>
                </w:rPr>
                <w:t>公司内部控制审计报告详见</w:t>
              </w:r>
              <w:r>
                <w:rPr>
                  <w:rFonts w:hint="eastAsia"/>
                  <w:szCs w:val="21"/>
                </w:rPr>
                <w:t>2023</w:t>
              </w:r>
              <w:r w:rsidRPr="00E90022">
                <w:rPr>
                  <w:rFonts w:hint="eastAsia"/>
                  <w:szCs w:val="21"/>
                </w:rPr>
                <w:t>年4月</w:t>
              </w:r>
              <w:r>
                <w:rPr>
                  <w:rFonts w:hint="eastAsia"/>
                  <w:szCs w:val="21"/>
                </w:rPr>
                <w:t>27</w:t>
              </w:r>
              <w:r w:rsidRPr="00E90022">
                <w:rPr>
                  <w:rFonts w:hint="eastAsia"/>
                  <w:szCs w:val="21"/>
                </w:rPr>
                <w:t>日登载于上海证券交易所网站的《大秦铁路股份有限公司</w:t>
              </w:r>
              <w:r>
                <w:rPr>
                  <w:rFonts w:hint="eastAsia"/>
                  <w:szCs w:val="21"/>
                </w:rPr>
                <w:t>2022</w:t>
              </w:r>
              <w:r w:rsidRPr="00E90022">
                <w:rPr>
                  <w:rFonts w:hint="eastAsia"/>
                  <w:szCs w:val="21"/>
                </w:rPr>
                <w:t>年度内部控制审计报告》。</w:t>
              </w:r>
            </w:p>
          </w:sdtContent>
        </w:sdt>
        <w:p w:rsidR="00806678" w:rsidRDefault="00B16377">
          <w:pPr>
            <w:rPr>
              <w:szCs w:val="21"/>
            </w:rPr>
          </w:pPr>
          <w:r>
            <w:rPr>
              <w:szCs w:val="21"/>
            </w:rPr>
            <w:t>是否披露内部控制审计报告：</w:t>
          </w:r>
          <w:sdt>
            <w:sdtPr>
              <w:rPr>
                <w:szCs w:val="21"/>
              </w:rPr>
              <w:alias w:val="审计机构是否对公司内部控制出具核实评价意见"/>
              <w:tag w:val="_GBC_c9f332f7c06944ebbd339ca86944d1e2"/>
              <w:id w:val="1053126088"/>
              <w:lock w:val="sdtLocked"/>
              <w:placeholder>
                <w:docPart w:val="GBC22222222222222222222222222222"/>
              </w:placeholder>
              <w:comboBox>
                <w:listItem w:displayText="是" w:value="true"/>
                <w:listItem w:displayText="否" w:value="false"/>
              </w:comboBox>
            </w:sdtPr>
            <w:sdtContent>
              <w:r w:rsidR="00BF2D27">
                <w:rPr>
                  <w:szCs w:val="21"/>
                </w:rPr>
                <w:t>是</w:t>
              </w:r>
            </w:sdtContent>
          </w:sdt>
        </w:p>
        <w:p w:rsidR="00806678" w:rsidRPr="00BF2D27" w:rsidRDefault="00B16377">
          <w:pPr>
            <w:rPr>
              <w:lang w:val="zh-CN"/>
            </w:rPr>
          </w:pPr>
          <w:r>
            <w:rPr>
              <w:rFonts w:hint="eastAsia"/>
              <w:lang w:val="zh-CN"/>
            </w:rPr>
            <w:t>内部控制审计报告意见类型：</w:t>
          </w:r>
          <w:sdt>
            <w:sdtPr>
              <w:rPr>
                <w:rFonts w:hint="eastAsia"/>
                <w:lang w:val="zh-CN"/>
              </w:rPr>
              <w:alias w:val="内部控制审计意见类型"/>
              <w:tag w:val="_GBC_70262b41c723466c879c062e5326eee3"/>
              <w:id w:val="-1235317272"/>
              <w:lock w:val="sdtLocked"/>
              <w:placeholder>
                <w:docPart w:val="GBC22222222222222222222222222222"/>
              </w:placeholder>
              <w:comboBox>
                <w:listItem w:displayText="标准的无保留意见" w:value="标准的无保留意见"/>
                <w:listItem w:displayText="带强调事项段的无保留意见" w:value="带强调事项段的无保留意见"/>
                <w:listItem w:displayText="保留意见" w:value="保留意见"/>
                <w:listItem w:displayText="否定意见" w:value="否定意见"/>
                <w:listItem w:displayText="无法表示意见" w:value="无法表示意见"/>
              </w:comboBox>
            </w:sdtPr>
            <w:sdtContent>
              <w:r w:rsidR="00BF2D27">
                <w:rPr>
                  <w:rFonts w:hint="eastAsia"/>
                  <w:lang w:val="zh-CN"/>
                </w:rPr>
                <w:t>标准的无保留意见</w:t>
              </w:r>
            </w:sdtContent>
          </w:sdt>
        </w:p>
      </w:sdtContent>
    </w:sdt>
    <w:bookmarkStart w:id="64" w:name="_Hlk40625199" w:displacedByCustomXml="next"/>
    <w:bookmarkStart w:id="65" w:name="_Hlk40625163" w:displacedByCustomXml="next"/>
    <w:sdt>
      <w:sdtPr>
        <w:rPr>
          <w:rFonts w:ascii="宋体" w:hAnsi="宋体" w:cs="宋体"/>
          <w:b w:val="0"/>
          <w:bCs w:val="0"/>
          <w:kern w:val="0"/>
          <w:szCs w:val="24"/>
        </w:rPr>
        <w:alias w:val="模块:上市公司治理专项行动自查问题整改情况"/>
        <w:tag w:val="_SEC_f84d29ebbfd8434d8d55e144204ae2b0"/>
        <w:id w:val="1345745891"/>
        <w:lock w:val="sdtLocked"/>
        <w:placeholder>
          <w:docPart w:val="GBC22222222222222222222222222222"/>
        </w:placeholder>
      </w:sdtPr>
      <w:sdtEndPr>
        <w:rPr>
          <w:szCs w:val="21"/>
        </w:rPr>
      </w:sdtEndPr>
      <w:sdtContent>
        <w:p w:rsidR="00806678" w:rsidRDefault="00B16377" w:rsidP="00FF17C7">
          <w:pPr>
            <w:pStyle w:val="2"/>
            <w:numPr>
              <w:ilvl w:val="0"/>
              <w:numId w:val="35"/>
            </w:numPr>
            <w:ind w:left="420" w:hanging="420"/>
            <w:rPr>
              <w:rFonts w:ascii="宋体" w:hAnsi="宋体" w:cs="宋体"/>
              <w:kern w:val="0"/>
              <w:szCs w:val="24"/>
            </w:rPr>
          </w:pPr>
          <w:r>
            <w:rPr>
              <w:rFonts w:ascii="宋体" w:hAnsi="宋体" w:cs="宋体"/>
              <w:kern w:val="0"/>
              <w:szCs w:val="24"/>
            </w:rPr>
            <w:t>上市公司治理专项行动自查问题整改情况</w:t>
          </w:r>
        </w:p>
        <w:sdt>
          <w:sdtPr>
            <w:rPr>
              <w:szCs w:val="21"/>
            </w:rPr>
            <w:alias w:val="上市公司治理专项行动自查问题整改情况"/>
            <w:tag w:val="_GBC_05eb1501ffbf4b83acf20965ad06a2e0"/>
            <w:id w:val="-1253586477"/>
            <w:lock w:val="sdtLocked"/>
            <w:placeholder>
              <w:docPart w:val="GBC22222222222222222222222222222"/>
            </w:placeholder>
          </w:sdtPr>
          <w:sdtContent>
            <w:p w:rsidR="00806678" w:rsidRPr="00FE6DB3" w:rsidRDefault="00FE6DB3" w:rsidP="00FE6DB3">
              <w:pPr>
                <w:spacing w:line="360" w:lineRule="auto"/>
                <w:ind w:firstLineChars="200" w:firstLine="420"/>
              </w:pPr>
              <w:r>
                <w:rPr>
                  <w:rFonts w:hint="eastAsia"/>
                  <w:szCs w:val="21"/>
                </w:rPr>
                <w:t>根据</w:t>
              </w:r>
              <w:r>
                <w:t>《国务院关于进一步提高上市公司质量的意见》</w:t>
              </w:r>
              <w:r w:rsidRPr="005231E0">
                <w:rPr>
                  <w:rFonts w:hint="eastAsia"/>
                  <w:szCs w:val="21"/>
                </w:rPr>
                <w:t>（国发〔2020〕14号</w:t>
              </w:r>
              <w:r>
                <w:rPr>
                  <w:rFonts w:hint="eastAsia"/>
                  <w:szCs w:val="21"/>
                </w:rPr>
                <w:t>）文件要求和山西证监局关于开展上市公司治理专项行动的通知</w:t>
              </w:r>
              <w:r w:rsidRPr="005231E0">
                <w:rPr>
                  <w:rFonts w:hint="eastAsia"/>
                  <w:szCs w:val="21"/>
                </w:rPr>
                <w:t>，</w:t>
              </w:r>
              <w:r>
                <w:rPr>
                  <w:rFonts w:hint="eastAsia"/>
                  <w:szCs w:val="21"/>
                </w:rPr>
                <w:t>公司已完成了公司治理专项自查活动，通过对“三会”的运行和决策、控股股东、实际控制人、关联交易、内部控制、信息披露等方面的自查与检视，填写了自查清单，完成了自查报告。中国证券监督管理委员会山西监管局围绕“三会”运作、内部控制、关联交易等内容开展了为期一周现场检查。通过公司自查和监管检查，公司治理更加健全、有效、透明，内部和外部监督相互制衡，内部控制制度健全、运行有效，股东和利益相关者的合法权益能够得到有效保障，在主要治理方面均符合监管部门有关要求。下一步，</w:t>
              </w:r>
              <w:r w:rsidR="00C76704">
                <w:t>公司将</w:t>
              </w:r>
              <w:r w:rsidR="00C76704">
                <w:rPr>
                  <w:rFonts w:hint="eastAsia"/>
                </w:rPr>
                <w:t>认真</w:t>
              </w:r>
              <w:r>
                <w:t>贯彻落实</w:t>
              </w:r>
              <w:r w:rsidR="00C76704">
                <w:rPr>
                  <w:rFonts w:hint="eastAsia"/>
                </w:rPr>
                <w:t>中国</w:t>
              </w:r>
              <w:r w:rsidR="00C76704" w:rsidRPr="00C76704">
                <w:t>证监会《推动提高上市公司质量三年行动方案（2022-2025）》</w:t>
              </w:r>
              <w:r w:rsidR="00DA37A5">
                <w:rPr>
                  <w:rFonts w:hint="eastAsia"/>
                </w:rPr>
                <w:t>、</w:t>
              </w:r>
              <w:r w:rsidR="00DA37A5" w:rsidRPr="00DA37A5">
                <w:t>上海证券交易所《推动提高沪市上市公司质量三年行动计划》和《中央企业综合服务三年行动计划》</w:t>
              </w:r>
              <w:r w:rsidR="00DA37A5">
                <w:rPr>
                  <w:rFonts w:hint="eastAsia"/>
                </w:rPr>
                <w:t>等</w:t>
              </w:r>
              <w:r w:rsidR="007C245E">
                <w:t>有关精神，</w:t>
              </w:r>
              <w:r w:rsidR="007C245E">
                <w:rPr>
                  <w:rFonts w:hint="eastAsia"/>
                </w:rPr>
                <w:t>进一步</w:t>
              </w:r>
              <w:r w:rsidR="007C245E">
                <w:t>夯实</w:t>
              </w:r>
              <w:r w:rsidR="007C245E" w:rsidRPr="007C245E">
                <w:t>公司规范发展基础</w:t>
              </w:r>
              <w:r w:rsidR="007C245E">
                <w:rPr>
                  <w:rFonts w:hint="eastAsia"/>
                </w:rPr>
                <w:t>，</w:t>
              </w:r>
              <w:r w:rsidR="007C245E">
                <w:t>推动</w:t>
              </w:r>
              <w:r w:rsidR="007C245E" w:rsidRPr="007C245E">
                <w:t>公司整体治理水平跃上新台阶。</w:t>
              </w:r>
            </w:p>
          </w:sdtContent>
        </w:sdt>
      </w:sdtContent>
    </w:sdt>
    <w:bookmarkEnd w:id="64" w:displacedByCustomXml="prev"/>
    <w:bookmarkEnd w:id="65" w:displacedByCustomXml="next"/>
    <w:sdt>
      <w:sdtPr>
        <w:rPr>
          <w:rFonts w:ascii="宋体" w:hAnsi="宋体" w:cs="宋体"/>
          <w:b w:val="0"/>
          <w:bCs w:val="0"/>
          <w:kern w:val="0"/>
          <w:szCs w:val="24"/>
        </w:rPr>
        <w:alias w:val="模块:其他公司治理情况"/>
        <w:tag w:val="_SEC_21aaf83f464849edbdaf9c267b7db780"/>
        <w:id w:val="3160760"/>
        <w:lock w:val="sdtLocked"/>
        <w:placeholder>
          <w:docPart w:val="GBC22222222222222222222222222222"/>
        </w:placeholder>
      </w:sdtPr>
      <w:sdtContent>
        <w:p w:rsidR="00806678" w:rsidRDefault="00B16377" w:rsidP="00FF17C7">
          <w:pPr>
            <w:pStyle w:val="2"/>
            <w:numPr>
              <w:ilvl w:val="0"/>
              <w:numId w:val="35"/>
            </w:numPr>
          </w:pPr>
          <w:r>
            <w:t>其他</w:t>
          </w:r>
        </w:p>
        <w:sdt>
          <w:sdtPr>
            <w:rPr>
              <w:rFonts w:hint="eastAsia"/>
              <w:szCs w:val="21"/>
            </w:rPr>
            <w:alias w:val="是否适用：其他公司治理情况说明[双击切换]"/>
            <w:tag w:val="_GBC_dc91085943bb4d4ab22a79a9ba7014df"/>
            <w:id w:val="1087109051"/>
            <w:lock w:val="sdtLocked"/>
            <w:placeholder>
              <w:docPart w:val="GBC22222222222222222222222222222"/>
            </w:placeholder>
          </w:sdtPr>
          <w:sdtContent>
            <w:p w:rsidR="00806678" w:rsidRDefault="00F80B6C" w:rsidP="008D0E07">
              <w:pPr>
                <w:rPr>
                  <w:szCs w:val="21"/>
                </w:rPr>
              </w:pPr>
              <w:r>
                <w:rPr>
                  <w:szCs w:val="21"/>
                </w:rPr>
                <w:fldChar w:fldCharType="begin"/>
              </w:r>
              <w:r w:rsidR="008D0E07">
                <w:rPr>
                  <w:szCs w:val="21"/>
                </w:rPr>
                <w:instrText xml:space="preserve"> MACROBUTTON  SnrToggleCheckbox □适用  </w:instrText>
              </w:r>
              <w:r>
                <w:rPr>
                  <w:szCs w:val="21"/>
                </w:rPr>
                <w:fldChar w:fldCharType="end"/>
              </w:r>
              <w:r>
                <w:rPr>
                  <w:szCs w:val="21"/>
                </w:rPr>
                <w:fldChar w:fldCharType="begin"/>
              </w:r>
              <w:r w:rsidR="008D0E07">
                <w:rPr>
                  <w:szCs w:val="21"/>
                </w:rPr>
                <w:instrText xml:space="preserve"> MACROBUTTON  SnrToggleCheckbox √不适用 </w:instrText>
              </w:r>
              <w:r>
                <w:rPr>
                  <w:szCs w:val="21"/>
                </w:rPr>
                <w:fldChar w:fldCharType="end"/>
              </w:r>
            </w:p>
          </w:sdtContent>
        </w:sdt>
      </w:sdtContent>
    </w:sdt>
    <w:p w:rsidR="00806678" w:rsidRDefault="00806678">
      <w:pPr>
        <w:rPr>
          <w:szCs w:val="21"/>
        </w:rPr>
      </w:pPr>
    </w:p>
    <w:p w:rsidR="00806678" w:rsidRDefault="00B16377">
      <w:pPr>
        <w:pStyle w:val="10"/>
        <w:numPr>
          <w:ilvl w:val="0"/>
          <w:numId w:val="3"/>
        </w:numPr>
      </w:pPr>
      <w:bookmarkStart w:id="66" w:name="_Toc89790252"/>
      <w:r>
        <w:rPr>
          <w:rFonts w:hint="eastAsia"/>
        </w:rPr>
        <w:t>环境与社会责任</w:t>
      </w:r>
      <w:bookmarkEnd w:id="66"/>
    </w:p>
    <w:bookmarkStart w:id="67" w:name="_Hlk89187025" w:displacedByCustomXml="next"/>
    <w:bookmarkStart w:id="68" w:name="_Hlk89187063" w:displacedByCustomXml="next"/>
    <w:sdt>
      <w:sdtPr>
        <w:rPr>
          <w:rFonts w:ascii="宋体" w:hAnsi="宋体" w:cs="宋体" w:hint="eastAsia"/>
          <w:b w:val="0"/>
          <w:bCs w:val="0"/>
          <w:kern w:val="0"/>
          <w:szCs w:val="24"/>
        </w:rPr>
        <w:alias w:val="模块:环境信息情况"/>
        <w:tag w:val="_SEC_aeaf1c4a829048de90e464ec55896b86"/>
        <w:id w:val="-942684564"/>
        <w:lock w:val="sdtLocked"/>
        <w:placeholder>
          <w:docPart w:val="GBC22222222222222222222222222222"/>
        </w:placeholder>
      </w:sdtPr>
      <w:sdtContent>
        <w:p w:rsidR="00806678" w:rsidRDefault="00B16377" w:rsidP="00FF17C7">
          <w:pPr>
            <w:pStyle w:val="2"/>
            <w:numPr>
              <w:ilvl w:val="0"/>
              <w:numId w:val="127"/>
            </w:numPr>
            <w:tabs>
              <w:tab w:val="left" w:pos="426"/>
            </w:tabs>
            <w:ind w:left="425" w:hanging="425"/>
            <w:jc w:val="left"/>
            <w:rPr>
              <w:rFonts w:ascii="宋体" w:hAnsi="宋体"/>
            </w:rPr>
          </w:pPr>
          <w:r>
            <w:rPr>
              <w:rFonts w:ascii="宋体" w:hAnsi="宋体" w:hint="eastAsia"/>
            </w:rPr>
            <w:t>环境</w:t>
          </w:r>
          <w:r>
            <w:rPr>
              <w:rFonts w:ascii="宋体" w:hAnsi="宋体"/>
            </w:rPr>
            <w:t>信息情况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82"/>
            <w:gridCol w:w="4467"/>
          </w:tblGrid>
          <w:tr w:rsidR="00806678" w:rsidTr="0020440C">
            <w:sdt>
              <w:sdtPr>
                <w:rPr>
                  <w:rFonts w:hint="eastAsia"/>
                </w:rPr>
                <w:tag w:val="_PLD_5357166cc0f74e2181ffc731d0410fde"/>
                <w:id w:val="1697661309"/>
                <w:lock w:val="sdtLocked"/>
              </w:sdtPr>
              <w:sdtContent>
                <w:tc>
                  <w:tcPr>
                    <w:tcW w:w="2532" w:type="pct"/>
                    <w:shd w:val="clear" w:color="auto" w:fill="auto"/>
                  </w:tcPr>
                  <w:p w:rsidR="00806678" w:rsidRDefault="00B16377">
                    <w:pPr>
                      <w:widowControl w:val="0"/>
                      <w:jc w:val="both"/>
                    </w:pPr>
                    <w:r>
                      <w:rPr>
                        <w:rFonts w:hint="eastAsia"/>
                      </w:rPr>
                      <w:t>是否建立环境保护相关机制</w:t>
                    </w:r>
                  </w:p>
                </w:tc>
              </w:sdtContent>
            </w:sdt>
            <w:sdt>
              <w:sdtPr>
                <w:rPr>
                  <w:rFonts w:hint="eastAsia"/>
                </w:rPr>
                <w:alias w:val="是否建立环境保护相关机制"/>
                <w:tag w:val="_GBC_db4b394c15a64e53bc9eb2ef5d2d583b"/>
                <w:id w:val="-1379931910"/>
                <w:lock w:val="sdtLocked"/>
                <w:comboBox>
                  <w:listItem w:displayText="是" w:value="是"/>
                  <w:listItem w:displayText="否" w:value="否"/>
                </w:comboBox>
              </w:sdtPr>
              <w:sdtContent>
                <w:tc>
                  <w:tcPr>
                    <w:tcW w:w="2468" w:type="pct"/>
                    <w:shd w:val="clear" w:color="auto" w:fill="auto"/>
                  </w:tcPr>
                  <w:p w:rsidR="00806678" w:rsidRDefault="00085AC7">
                    <w:pPr>
                      <w:widowControl w:val="0"/>
                      <w:jc w:val="right"/>
                    </w:pPr>
                    <w:r>
                      <w:rPr>
                        <w:rFonts w:hint="eastAsia"/>
                      </w:rPr>
                      <w:t>是</w:t>
                    </w:r>
                  </w:p>
                </w:tc>
              </w:sdtContent>
            </w:sdt>
          </w:tr>
          <w:bookmarkStart w:id="69" w:name="OLE_LINK1"/>
          <w:tr w:rsidR="00806678" w:rsidTr="0020440C">
            <w:tc>
              <w:tcPr>
                <w:tcW w:w="2532" w:type="pct"/>
                <w:shd w:val="clear" w:color="auto" w:fill="auto"/>
              </w:tcPr>
              <w:p w:rsidR="00806678" w:rsidRDefault="00F80B6C">
                <w:pPr>
                  <w:widowControl w:val="0"/>
                  <w:jc w:val="both"/>
                </w:pPr>
                <w:sdt>
                  <w:sdtPr>
                    <w:rPr>
                      <w:rFonts w:hint="eastAsia"/>
                    </w:rPr>
                    <w:tag w:val="_PLD_cc2834f9480347efb3c6049a723db89d"/>
                    <w:id w:val="1497306032"/>
                    <w:lock w:val="sdtLocked"/>
                  </w:sdtPr>
                  <w:sdtContent>
                    <w:r w:rsidR="00B16377">
                      <w:rPr>
                        <w:rFonts w:hint="eastAsia"/>
                      </w:rPr>
                      <w:t>报告期内投入环保资金</w:t>
                    </w:r>
                    <w:bookmarkEnd w:id="69"/>
                  </w:sdtContent>
                </w:sdt>
                <w:r w:rsidR="00B16377">
                  <w:rPr>
                    <w:rFonts w:hint="eastAsia"/>
                  </w:rPr>
                  <w:t>（单位：</w:t>
                </w:r>
                <w:sdt>
                  <w:sdtPr>
                    <w:rPr>
                      <w:rFonts w:hint="eastAsia"/>
                    </w:rPr>
                    <w:alias w:val="单位：报告期内投入环保资金"/>
                    <w:tag w:val="_GBC_23fc355d243f4962992b20f0d6511069"/>
                    <w:id w:val="-59948234"/>
                    <w:lock w:val="sdtLocked"/>
                    <w:comboBox>
                      <w:listItem w:displayText="元" w:value="元"/>
                      <w:listItem w:displayText="千元" w:value="千元"/>
                      <w:listItem w:displayText="万元" w:value="万元"/>
                      <w:listItem w:displayText="百万元" w:value="百万元"/>
                      <w:listItem w:displayText="亿元" w:value="亿元"/>
                    </w:comboBox>
                  </w:sdtPr>
                  <w:sdtContent>
                    <w:r w:rsidR="00B16377">
                      <w:rPr>
                        <w:rFonts w:hint="eastAsia"/>
                      </w:rPr>
                      <w:t>万元</w:t>
                    </w:r>
                  </w:sdtContent>
                </w:sdt>
                <w:r w:rsidR="00B16377">
                  <w:rPr>
                    <w:rFonts w:hint="eastAsia"/>
                  </w:rPr>
                  <w:t>）</w:t>
                </w:r>
              </w:p>
            </w:tc>
            <w:tc>
              <w:tcPr>
                <w:tcW w:w="2468" w:type="pct"/>
                <w:shd w:val="clear" w:color="auto" w:fill="auto"/>
              </w:tcPr>
              <w:p w:rsidR="00806678" w:rsidRDefault="00E86A8C">
                <w:pPr>
                  <w:widowControl w:val="0"/>
                  <w:jc w:val="right"/>
                </w:pPr>
                <w:r>
                  <w:t>6,131</w:t>
                </w:r>
              </w:p>
            </w:tc>
          </w:tr>
        </w:tbl>
        <w:p w:rsidR="00806678" w:rsidRDefault="00F80B6C"/>
      </w:sdtContent>
    </w:sdt>
    <w:p w:rsidR="00806678" w:rsidRDefault="00B16377" w:rsidP="00FF17C7">
      <w:pPr>
        <w:pStyle w:val="3"/>
        <w:numPr>
          <w:ilvl w:val="0"/>
          <w:numId w:val="125"/>
        </w:numPr>
        <w:ind w:left="425" w:hanging="425"/>
        <w:rPr>
          <w:rFonts w:ascii="宋体" w:hAnsi="宋体"/>
        </w:rPr>
      </w:pPr>
      <w:r>
        <w:rPr>
          <w:rFonts w:ascii="宋体" w:hAnsi="宋体"/>
        </w:rPr>
        <w:t>属于环境保护部门公布的重点排污单位的公司及其</w:t>
      </w:r>
      <w:r>
        <w:rPr>
          <w:rFonts w:ascii="宋体" w:hAnsi="宋体" w:hint="eastAsia"/>
        </w:rPr>
        <w:t>主要</w:t>
      </w:r>
      <w:r>
        <w:rPr>
          <w:rFonts w:ascii="宋体" w:hAnsi="宋体"/>
        </w:rPr>
        <w:t>子公司的环保情况说明</w:t>
      </w:r>
    </w:p>
    <w:sdt>
      <w:sdtPr>
        <w:rPr>
          <w:rFonts w:hint="eastAsia"/>
        </w:rPr>
        <w:alias w:val="是否适用：重点排污单位环保情况[双击切换]"/>
        <w:tag w:val="_GBC_40b93d2f11a54d2c995a8c41cdee40c4"/>
        <w:id w:val="-283509292"/>
        <w:lock w:val="sdtLocked"/>
        <w:placeholder>
          <w:docPart w:val="GBC22222222222222222222222222222"/>
        </w:placeholder>
      </w:sdtPr>
      <w:sdtContent>
        <w:p w:rsidR="00806678" w:rsidRDefault="00F80B6C">
          <w:r>
            <w:fldChar w:fldCharType="begin"/>
          </w:r>
          <w:r w:rsidR="00085AC7">
            <w:instrText xml:space="preserve"> MACROBUTTON  SnrToggleCheckbox □适用 </w:instrText>
          </w:r>
          <w:r>
            <w:fldChar w:fldCharType="end"/>
          </w:r>
          <w:r>
            <w:fldChar w:fldCharType="begin"/>
          </w:r>
          <w:r w:rsidR="00085AC7">
            <w:instrText xml:space="preserve"> MACROBUTTON  SnrToggleCheckbox √不适用 </w:instrText>
          </w:r>
          <w:r>
            <w:fldChar w:fldCharType="end"/>
          </w:r>
        </w:p>
      </w:sdtContent>
    </w:sdt>
    <w:p w:rsidR="00806678" w:rsidRDefault="00B16377" w:rsidP="00FF17C7">
      <w:pPr>
        <w:pStyle w:val="3"/>
        <w:numPr>
          <w:ilvl w:val="0"/>
          <w:numId w:val="125"/>
        </w:numPr>
        <w:ind w:left="425" w:hanging="425"/>
        <w:rPr>
          <w:rFonts w:ascii="宋体" w:hAnsi="宋体"/>
        </w:rPr>
      </w:pPr>
      <w:r>
        <w:rPr>
          <w:rFonts w:ascii="宋体" w:hAnsi="宋体" w:hint="eastAsia"/>
        </w:rPr>
        <w:t>重点排污单位之外的公司环保情况说明</w:t>
      </w:r>
    </w:p>
    <w:sdt>
      <w:sdtPr>
        <w:alias w:val="是否适用：重点排污单位之外的公司的环保情况[双击切换]"/>
        <w:tag w:val="_GBC_d5ef790979ae4170801b0e930a2b7445"/>
        <w:id w:val="-219440092"/>
        <w:lock w:val="sdtLocked"/>
        <w:placeholder>
          <w:docPart w:val="GBC22222222222222222222222222222"/>
        </w:placeholder>
      </w:sdtPr>
      <w:sdtContent>
        <w:p w:rsidR="00806678" w:rsidRDefault="00F80B6C">
          <w:r>
            <w:fldChar w:fldCharType="begin"/>
          </w:r>
          <w:r w:rsidR="00085AC7">
            <w:instrText xml:space="preserve"> MACROBUTTON  SnrToggleCheckbox √适用 </w:instrText>
          </w:r>
          <w:r>
            <w:fldChar w:fldCharType="end"/>
          </w:r>
          <w:r>
            <w:fldChar w:fldCharType="begin"/>
          </w:r>
          <w:r w:rsidR="00085AC7">
            <w:instrText xml:space="preserve"> MACROBUTTON  SnrToggleCheckbox □不适用 </w:instrText>
          </w:r>
          <w:r>
            <w:fldChar w:fldCharType="end"/>
          </w:r>
        </w:p>
      </w:sdtContent>
    </w:sdt>
    <w:bookmarkStart w:id="70" w:name="_Hlk74731776" w:displacedByCustomXml="next"/>
    <w:sdt>
      <w:sdtPr>
        <w:rPr>
          <w:rFonts w:ascii="宋体" w:eastAsia="宋体" w:hAnsi="宋体" w:cs="宋体" w:hint="eastAsia"/>
          <w:b w:val="0"/>
          <w:bCs w:val="0"/>
          <w:kern w:val="0"/>
          <w:szCs w:val="21"/>
        </w:rPr>
        <w:alias w:val="模块:因环境问题受到行政处罚的情况  ____"/>
        <w:tag w:val="_SEC_bac89a210931400d9e00585cc27da84b"/>
        <w:id w:val="-1335292089"/>
        <w:lock w:val="sdtLocked"/>
        <w:placeholder>
          <w:docPart w:val="GBC22222222222222222222222222222"/>
        </w:placeholder>
      </w:sdtPr>
      <w:sdtEndPr>
        <w:rPr>
          <w:rFonts w:hint="default"/>
        </w:rPr>
      </w:sdtEndPr>
      <w:sdtContent>
        <w:p w:rsidR="00806678" w:rsidRDefault="00B16377" w:rsidP="00FF17C7">
          <w:pPr>
            <w:pStyle w:val="4"/>
            <w:numPr>
              <w:ilvl w:val="0"/>
              <w:numId w:val="126"/>
            </w:numPr>
            <w:ind w:left="450" w:hanging="450"/>
            <w:rPr>
              <w:rFonts w:ascii="宋体" w:hAnsi="宋体"/>
              <w:szCs w:val="21"/>
            </w:rPr>
          </w:pPr>
          <w:r>
            <w:rPr>
              <w:rFonts w:ascii="宋体" w:hAnsi="宋体" w:hint="eastAsia"/>
              <w:szCs w:val="21"/>
            </w:rPr>
            <w:t>因环境问题受到行政处罚的情况</w:t>
          </w:r>
        </w:p>
        <w:sdt>
          <w:sdtPr>
            <w:rPr>
              <w:szCs w:val="21"/>
            </w:rPr>
            <w:alias w:val="是否适用：重点排污单位之外的公司因环境问题受到行政处罚的情况[双击切换]"/>
            <w:tag w:val="_GBC_5896886de1f845c180bb3a271ed2a8a9"/>
            <w:id w:val="-1392492182"/>
            <w:lock w:val="sdtLocked"/>
            <w:placeholder>
              <w:docPart w:val="GBC22222222222222222222222222222"/>
            </w:placeholder>
          </w:sdtPr>
          <w:sdtContent>
            <w:p w:rsidR="00806678" w:rsidRDefault="00F80B6C">
              <w:pPr>
                <w:rPr>
                  <w:szCs w:val="21"/>
                </w:rPr>
              </w:pPr>
              <w:r>
                <w:rPr>
                  <w:szCs w:val="21"/>
                </w:rPr>
                <w:fldChar w:fldCharType="begin"/>
              </w:r>
              <w:r w:rsidR="00E86A8C">
                <w:rPr>
                  <w:szCs w:val="21"/>
                </w:rPr>
                <w:instrText xml:space="preserve"> MACROBUTTON  SnrToggleCheckbox □适用 </w:instrText>
              </w:r>
              <w:r>
                <w:rPr>
                  <w:szCs w:val="21"/>
                </w:rPr>
                <w:fldChar w:fldCharType="end"/>
              </w:r>
              <w:r>
                <w:rPr>
                  <w:szCs w:val="21"/>
                </w:rPr>
                <w:fldChar w:fldCharType="begin"/>
              </w:r>
              <w:r w:rsidR="00E86A8C">
                <w:rPr>
                  <w:szCs w:val="21"/>
                </w:rPr>
                <w:instrText xml:space="preserve"> MACROBUTTON  SnrToggleCheckbox √不适用 </w:instrText>
              </w:r>
              <w:r>
                <w:rPr>
                  <w:szCs w:val="21"/>
                </w:rPr>
                <w:fldChar w:fldCharType="end"/>
              </w:r>
            </w:p>
          </w:sdtContent>
        </w:sdt>
      </w:sdtContent>
    </w:sdt>
    <w:bookmarkEnd w:id="70" w:displacedByCustomXml="prev"/>
    <w:sdt>
      <w:sdtPr>
        <w:rPr>
          <w:rFonts w:ascii="宋体" w:eastAsia="宋体" w:hAnsi="宋体" w:cs="宋体" w:hint="eastAsia"/>
          <w:b w:val="0"/>
          <w:bCs w:val="0"/>
          <w:kern w:val="0"/>
          <w:szCs w:val="21"/>
        </w:rPr>
        <w:alias w:val="模块:参照重点排污单位披露其它环境信息  ____"/>
        <w:tag w:val="_SEC_94590b5110944664aca67c0b6bf297d9"/>
        <w:id w:val="1391855284"/>
        <w:lock w:val="sdtLocked"/>
        <w:placeholder>
          <w:docPart w:val="GBC22222222222222222222222222222"/>
        </w:placeholder>
      </w:sdtPr>
      <w:sdtEndPr>
        <w:rPr>
          <w:rFonts w:hint="default"/>
        </w:rPr>
      </w:sdtEndPr>
      <w:sdtContent>
        <w:p w:rsidR="00806678" w:rsidRDefault="00B16377" w:rsidP="00FF17C7">
          <w:pPr>
            <w:pStyle w:val="4"/>
            <w:numPr>
              <w:ilvl w:val="0"/>
              <w:numId w:val="126"/>
            </w:numPr>
            <w:ind w:left="450" w:hanging="450"/>
            <w:rPr>
              <w:rFonts w:ascii="宋体" w:hAnsi="宋体"/>
              <w:szCs w:val="21"/>
            </w:rPr>
          </w:pPr>
          <w:r>
            <w:rPr>
              <w:rFonts w:ascii="宋体" w:hAnsi="宋体" w:hint="eastAsia"/>
              <w:szCs w:val="21"/>
            </w:rPr>
            <w:t>参照</w:t>
          </w:r>
          <w:r>
            <w:rPr>
              <w:rFonts w:ascii="宋体" w:hAnsi="宋体"/>
              <w:szCs w:val="21"/>
            </w:rPr>
            <w:t>重点排污单位</w:t>
          </w:r>
          <w:r>
            <w:rPr>
              <w:rFonts w:ascii="宋体" w:hAnsi="宋体" w:hint="eastAsia"/>
              <w:szCs w:val="21"/>
            </w:rPr>
            <w:t>披露其他环境信息</w:t>
          </w:r>
        </w:p>
        <w:sdt>
          <w:sdtPr>
            <w:rPr>
              <w:szCs w:val="21"/>
            </w:rPr>
            <w:alias w:val="是否适用：参照重点排污单位披露其它环境信息[双击切换]"/>
            <w:tag w:val="_GBC_c81ce6b9ed3e477cb685a903703d325c"/>
            <w:id w:val="-1584982460"/>
            <w:lock w:val="sdtLocked"/>
            <w:placeholder>
              <w:docPart w:val="GBC22222222222222222222222222222"/>
            </w:placeholder>
          </w:sdtPr>
          <w:sdtContent>
            <w:p w:rsidR="00806678" w:rsidRDefault="00F80B6C">
              <w:pPr>
                <w:rPr>
                  <w:szCs w:val="21"/>
                </w:rPr>
              </w:pPr>
              <w:r>
                <w:rPr>
                  <w:szCs w:val="21"/>
                </w:rPr>
                <w:fldChar w:fldCharType="begin"/>
              </w:r>
              <w:r w:rsidR="00E86A8C">
                <w:rPr>
                  <w:szCs w:val="21"/>
                </w:rPr>
                <w:instrText xml:space="preserve"> MACROBUTTON  SnrToggleCheckbox √适用 </w:instrText>
              </w:r>
              <w:r>
                <w:rPr>
                  <w:szCs w:val="21"/>
                </w:rPr>
                <w:fldChar w:fldCharType="end"/>
              </w:r>
              <w:r>
                <w:rPr>
                  <w:szCs w:val="21"/>
                </w:rPr>
                <w:fldChar w:fldCharType="begin"/>
              </w:r>
              <w:r w:rsidR="00E86A8C">
                <w:rPr>
                  <w:szCs w:val="21"/>
                </w:rPr>
                <w:instrText xml:space="preserve"> MACROBUTTON  SnrToggleCheckbox □不适用 </w:instrText>
              </w:r>
              <w:r>
                <w:rPr>
                  <w:szCs w:val="21"/>
                </w:rPr>
                <w:fldChar w:fldCharType="end"/>
              </w:r>
            </w:p>
          </w:sdtContent>
        </w:sdt>
        <w:sdt>
          <w:sdtPr>
            <w:rPr>
              <w:szCs w:val="21"/>
            </w:rPr>
            <w:alias w:val="参照重点排污单位披露其它环境信息"/>
            <w:tag w:val="_GBC_effe23a7bbde4f7a908345ffd998c638"/>
            <w:id w:val="-893587362"/>
            <w:lock w:val="sdtLocked"/>
            <w:placeholder>
              <w:docPart w:val="GBC22222222222222222222222222222"/>
            </w:placeholder>
          </w:sdtPr>
          <w:sdtContent>
            <w:p w:rsidR="00806678" w:rsidRDefault="00E86A8C" w:rsidP="00E86A8C">
              <w:pPr>
                <w:spacing w:line="360" w:lineRule="auto"/>
                <w:ind w:firstLineChars="200" w:firstLine="420"/>
                <w:rPr>
                  <w:szCs w:val="21"/>
                </w:rPr>
              </w:pPr>
              <w:r w:rsidRPr="00FE1149">
                <w:rPr>
                  <w:rFonts w:hint="eastAsia"/>
                  <w:szCs w:val="21"/>
                </w:rPr>
                <w:t>公司积极践行“节能环保、绿色发展”的可持续发展理念</w:t>
              </w:r>
              <w:r w:rsidRPr="00FE1149">
                <w:rPr>
                  <w:szCs w:val="21"/>
                  <w:lang w:val="zh-CN"/>
                </w:rPr>
                <w:t>，</w:t>
              </w:r>
              <w:r w:rsidRPr="00FE1149">
                <w:rPr>
                  <w:rFonts w:hint="eastAsia"/>
                  <w:szCs w:val="21"/>
                </w:rPr>
                <w:t>严格遵守国家和地方节能环保相关法规及标准，扎实做好节约资源、降低能耗、减少污染物排放、保护环境的工作。</w:t>
              </w:r>
              <w:r w:rsidRPr="00FE1149">
                <w:rPr>
                  <w:rFonts w:hint="eastAsia"/>
                  <w:szCs w:val="21"/>
                  <w:lang w:val="zh-CN"/>
                </w:rPr>
                <w:t>公司</w:t>
              </w:r>
              <w:r w:rsidRPr="00FE1149">
                <w:rPr>
                  <w:rFonts w:hint="eastAsia"/>
                  <w:szCs w:val="21"/>
                </w:rPr>
                <w:t>配置的HXD型电力机车，采用再生制动的先进技术，具有良好的环保、节电性能；配置的CRH380A型动车组噪音低，振动小，气密性高，压力波动小，乘坐环境宽敞明亮、舒适安静。</w:t>
              </w:r>
              <w:r w:rsidRPr="00FE1149">
                <w:rPr>
                  <w:szCs w:val="21"/>
                </w:rPr>
                <w:t>采用轨道结构减振和声屏障</w:t>
              </w:r>
              <w:r w:rsidRPr="00FE1149">
                <w:rPr>
                  <w:rFonts w:hint="eastAsia"/>
                  <w:szCs w:val="21"/>
                </w:rPr>
                <w:t>等新技术、</w:t>
              </w:r>
              <w:r w:rsidRPr="00FE1149">
                <w:rPr>
                  <w:szCs w:val="21"/>
                </w:rPr>
                <w:t>新</w:t>
              </w:r>
              <w:r w:rsidRPr="00FE1149">
                <w:rPr>
                  <w:szCs w:val="21"/>
                  <w:lang w:val="zh-CN"/>
                </w:rPr>
                <w:t>材料</w:t>
              </w:r>
              <w:r w:rsidRPr="00FE1149">
                <w:rPr>
                  <w:rFonts w:hint="eastAsia"/>
                  <w:szCs w:val="21"/>
                  <w:lang w:val="zh-CN"/>
                </w:rPr>
                <w:t>，</w:t>
              </w:r>
              <w:r w:rsidRPr="00FE1149">
                <w:rPr>
                  <w:rFonts w:hint="eastAsia"/>
                  <w:szCs w:val="21"/>
                </w:rPr>
                <w:t>有效降低噪声污染。广泛使用“防扬尘高效覆盖剂”，有效降低煤炭在运输过程中对环境造成的污染及自身损耗。</w:t>
              </w:r>
            </w:p>
          </w:sdtContent>
        </w:sdt>
      </w:sdtContent>
    </w:sdt>
    <w:sdt>
      <w:sdtPr>
        <w:rPr>
          <w:rFonts w:ascii="宋体" w:eastAsia="宋体" w:hAnsi="宋体" w:cs="宋体" w:hint="eastAsia"/>
          <w:b w:val="0"/>
          <w:bCs w:val="0"/>
          <w:kern w:val="0"/>
          <w:szCs w:val="24"/>
        </w:rPr>
        <w:alias w:val="模块:重点排污单位之外的公司未披露环境信息的原因说明"/>
        <w:tag w:val="_SEC_cc1d855503794d7a8f44a0fe0390ebd1"/>
        <w:id w:val="-1019923811"/>
        <w:lock w:val="sdtLocked"/>
        <w:placeholder>
          <w:docPart w:val="GBC22222222222222222222222222222"/>
        </w:placeholder>
      </w:sdtPr>
      <w:sdtEndPr>
        <w:rPr>
          <w:rFonts w:hint="default"/>
        </w:rPr>
      </w:sdtEndPr>
      <w:sdtContent>
        <w:p w:rsidR="00806678" w:rsidRDefault="00B16377" w:rsidP="00FF17C7">
          <w:pPr>
            <w:pStyle w:val="4"/>
            <w:numPr>
              <w:ilvl w:val="0"/>
              <w:numId w:val="126"/>
            </w:numPr>
            <w:ind w:left="450" w:hanging="450"/>
            <w:rPr>
              <w:rFonts w:ascii="宋体" w:hAnsi="宋体"/>
              <w:szCs w:val="21"/>
            </w:rPr>
          </w:pPr>
          <w:r>
            <w:rPr>
              <w:rFonts w:ascii="宋体" w:hAnsi="宋体" w:hint="eastAsia"/>
              <w:szCs w:val="21"/>
            </w:rPr>
            <w:t>未披露其他环境信息的原因</w:t>
          </w:r>
        </w:p>
        <w:sdt>
          <w:sdtPr>
            <w:alias w:val="是否适用：重点排污单位之外的公司未披露环境信息的原因[双击切换]"/>
            <w:tag w:val="_GBC_cd8c1fc8381844409435eed0d957ea5c"/>
            <w:id w:val="-2113732051"/>
            <w:lock w:val="sdtLocked"/>
            <w:placeholder>
              <w:docPart w:val="GBC22222222222222222222222222222"/>
            </w:placeholder>
          </w:sdtPr>
          <w:sdtContent>
            <w:p w:rsidR="00806678" w:rsidRDefault="00F80B6C">
              <w:r>
                <w:fldChar w:fldCharType="begin"/>
              </w:r>
              <w:r w:rsidR="006211DD">
                <w:instrText xml:space="preserve"> MACROBUTTON  SnrToggleCheckbox □适用 </w:instrText>
              </w:r>
              <w:r>
                <w:fldChar w:fldCharType="end"/>
              </w:r>
              <w:r>
                <w:fldChar w:fldCharType="begin"/>
              </w:r>
              <w:r w:rsidR="006211DD">
                <w:instrText xml:space="preserve"> MACROBUTTON  SnrToggleCheckbox √不适用 </w:instrText>
              </w:r>
              <w:r>
                <w:fldChar w:fldCharType="end"/>
              </w:r>
            </w:p>
          </w:sdtContent>
        </w:sdt>
      </w:sdtContent>
    </w:sdt>
    <w:sdt>
      <w:sdtPr>
        <w:rPr>
          <w:rFonts w:ascii="宋体" w:hAnsi="宋体" w:cs="宋体" w:hint="eastAsia"/>
          <w:b w:val="0"/>
          <w:bCs w:val="0"/>
          <w:kern w:val="0"/>
          <w:szCs w:val="24"/>
        </w:rPr>
        <w:alias w:val="模块:有利于保护生态、防治污染、履行环境责任的相关信息"/>
        <w:tag w:val="_SEC_f7a534002f704099a4b5ea4591f982dc"/>
        <w:id w:val="-560022176"/>
        <w:lock w:val="sdtLocked"/>
        <w:placeholder>
          <w:docPart w:val="GBC22222222222222222222222222222"/>
        </w:placeholder>
      </w:sdtPr>
      <w:sdtEndPr>
        <w:rPr>
          <w:rFonts w:hint="default"/>
        </w:rPr>
      </w:sdtEndPr>
      <w:sdtContent>
        <w:p w:rsidR="00806678" w:rsidRDefault="00B16377" w:rsidP="00FF17C7">
          <w:pPr>
            <w:pStyle w:val="3"/>
            <w:numPr>
              <w:ilvl w:val="0"/>
              <w:numId w:val="125"/>
            </w:numPr>
            <w:ind w:left="450" w:hanging="450"/>
            <w:rPr>
              <w:rFonts w:ascii="宋体" w:hAnsi="宋体" w:cs="宋体"/>
              <w:kern w:val="0"/>
              <w:szCs w:val="24"/>
            </w:rPr>
          </w:pPr>
          <w:r>
            <w:rPr>
              <w:rFonts w:ascii="宋体" w:hAnsi="宋体" w:cs="宋体" w:hint="eastAsia"/>
              <w:kern w:val="0"/>
              <w:szCs w:val="24"/>
            </w:rPr>
            <w:t>有利于保护生态、防治污染、履行环境责任的相关信息</w:t>
          </w:r>
        </w:p>
        <w:sdt>
          <w:sdtPr>
            <w:rPr>
              <w:szCs w:val="21"/>
            </w:rPr>
            <w:alias w:val="是否适用：有利于保护生态、防治污染、履行环境责任的相关信息[双击切换]"/>
            <w:tag w:val="_GBC_b098ce7912f144edb010c3351255b611"/>
            <w:id w:val="-761688498"/>
            <w:lock w:val="sdtLocked"/>
            <w:placeholder>
              <w:docPart w:val="GBC22222222222222222222222222222"/>
            </w:placeholder>
          </w:sdtPr>
          <w:sdtContent>
            <w:p w:rsidR="00806678" w:rsidRDefault="00F80B6C">
              <w:pPr>
                <w:rPr>
                  <w:szCs w:val="21"/>
                </w:rPr>
              </w:pPr>
              <w:r>
                <w:rPr>
                  <w:szCs w:val="21"/>
                </w:rPr>
                <w:fldChar w:fldCharType="begin"/>
              </w:r>
              <w:r w:rsidR="006211DD">
                <w:rPr>
                  <w:szCs w:val="21"/>
                </w:rPr>
                <w:instrText xml:space="preserve"> MACROBUTTON  SnrToggleCheckbox √适用 </w:instrText>
              </w:r>
              <w:r>
                <w:rPr>
                  <w:szCs w:val="21"/>
                </w:rPr>
                <w:fldChar w:fldCharType="end"/>
              </w:r>
              <w:r>
                <w:rPr>
                  <w:szCs w:val="21"/>
                </w:rPr>
                <w:fldChar w:fldCharType="begin"/>
              </w:r>
              <w:r w:rsidR="006211DD">
                <w:rPr>
                  <w:szCs w:val="21"/>
                </w:rPr>
                <w:instrText xml:space="preserve"> MACROBUTTON  SnrToggleCheckbox □不适用 </w:instrText>
              </w:r>
              <w:r>
                <w:rPr>
                  <w:szCs w:val="21"/>
                </w:rPr>
                <w:fldChar w:fldCharType="end"/>
              </w:r>
            </w:p>
          </w:sdtContent>
        </w:sdt>
        <w:sdt>
          <w:sdtPr>
            <w:rPr>
              <w:szCs w:val="21"/>
            </w:rPr>
            <w:alias w:val="有利于保护生态、防治污染、履行环境责任的相关信息"/>
            <w:tag w:val="_GBC_1fccabe26da9412fabcb2e444011eb04"/>
            <w:id w:val="-240414296"/>
            <w:lock w:val="sdtLocked"/>
            <w:placeholder>
              <w:docPart w:val="GBC22222222222222222222222222222"/>
            </w:placeholder>
          </w:sdtPr>
          <w:sdtContent>
            <w:p w:rsidR="00806678" w:rsidRPr="00B2099C" w:rsidRDefault="00A57D6B" w:rsidP="00A57D6B">
              <w:pPr>
                <w:spacing w:line="360" w:lineRule="auto"/>
                <w:ind w:firstLineChars="200" w:firstLine="420"/>
                <w:rPr>
                  <w:rFonts w:asciiTheme="minorEastAsia" w:eastAsiaTheme="minorEastAsia" w:hAnsiTheme="minorEastAsia"/>
                  <w:szCs w:val="21"/>
                </w:rPr>
              </w:pPr>
              <w:r w:rsidRPr="00B2099C">
                <w:rPr>
                  <w:rFonts w:asciiTheme="minorEastAsia" w:eastAsiaTheme="minorEastAsia" w:hAnsiTheme="minorEastAsia" w:hint="eastAsia"/>
                  <w:szCs w:val="21"/>
                </w:rPr>
                <w:t>202</w:t>
              </w:r>
              <w:r w:rsidRPr="00B2099C">
                <w:rPr>
                  <w:rFonts w:asciiTheme="minorEastAsia" w:eastAsiaTheme="minorEastAsia" w:hAnsiTheme="minorEastAsia"/>
                  <w:szCs w:val="21"/>
                </w:rPr>
                <w:t>2</w:t>
              </w:r>
              <w:r w:rsidRPr="00B2099C">
                <w:rPr>
                  <w:rFonts w:asciiTheme="minorEastAsia" w:eastAsiaTheme="minorEastAsia" w:hAnsiTheme="minorEastAsia" w:hint="eastAsia"/>
                  <w:szCs w:val="21"/>
                </w:rPr>
                <w:t>年，公司</w:t>
              </w:r>
              <w:r>
                <w:rPr>
                  <w:rFonts w:asciiTheme="minorEastAsia" w:eastAsiaTheme="minorEastAsia" w:hAnsiTheme="minorEastAsia" w:hint="eastAsia"/>
                  <w:szCs w:val="21"/>
                </w:rPr>
                <w:t>继续</w:t>
              </w:r>
              <w:r w:rsidRPr="00B2099C">
                <w:rPr>
                  <w:rFonts w:asciiTheme="minorEastAsia" w:eastAsiaTheme="minorEastAsia" w:hAnsiTheme="minorEastAsia" w:hint="eastAsia"/>
                  <w:szCs w:val="21"/>
                </w:rPr>
                <w:t>加强生态环境保护，强化现场监督检查，加大</w:t>
              </w:r>
              <w:r>
                <w:rPr>
                  <w:rFonts w:asciiTheme="minorEastAsia" w:eastAsiaTheme="minorEastAsia" w:hAnsiTheme="minorEastAsia" w:hint="eastAsia"/>
                  <w:szCs w:val="21"/>
                </w:rPr>
                <w:t>生态环境保护整治项目推进，公司沿线生态环境质量得到</w:t>
              </w:r>
              <w:r w:rsidR="004D1183">
                <w:rPr>
                  <w:rFonts w:asciiTheme="minorEastAsia" w:eastAsiaTheme="minorEastAsia" w:hAnsiTheme="minorEastAsia" w:hint="eastAsia"/>
                  <w:szCs w:val="21"/>
                </w:rPr>
                <w:t>进一步</w:t>
              </w:r>
              <w:r>
                <w:rPr>
                  <w:rFonts w:asciiTheme="minorEastAsia" w:eastAsiaTheme="minorEastAsia" w:hAnsiTheme="minorEastAsia" w:hint="eastAsia"/>
                  <w:szCs w:val="21"/>
                </w:rPr>
                <w:t>改善。</w:t>
              </w:r>
              <w:r w:rsidR="006211DD" w:rsidRPr="00B2099C">
                <w:rPr>
                  <w:rFonts w:asciiTheme="minorEastAsia" w:eastAsiaTheme="minorEastAsia" w:hAnsiTheme="minorEastAsia" w:hint="eastAsia"/>
                  <w:szCs w:val="21"/>
                </w:rPr>
                <w:t>2</w:t>
              </w:r>
              <w:r w:rsidR="006211DD" w:rsidRPr="00B2099C">
                <w:rPr>
                  <w:rFonts w:asciiTheme="minorEastAsia" w:eastAsiaTheme="minorEastAsia" w:hAnsiTheme="minorEastAsia"/>
                  <w:szCs w:val="21"/>
                </w:rPr>
                <w:t>022</w:t>
              </w:r>
              <w:r w:rsidR="006211DD" w:rsidRPr="00B2099C">
                <w:rPr>
                  <w:rFonts w:asciiTheme="minorEastAsia" w:eastAsiaTheme="minorEastAsia" w:hAnsiTheme="minorEastAsia" w:hint="eastAsia"/>
                  <w:szCs w:val="21"/>
                </w:rPr>
                <w:t>年，公司环保设施改造共投资</w:t>
              </w:r>
              <w:r w:rsidR="006211DD" w:rsidRPr="00B2099C">
                <w:rPr>
                  <w:rFonts w:asciiTheme="minorEastAsia" w:eastAsiaTheme="minorEastAsia" w:hAnsiTheme="minorEastAsia"/>
                  <w:szCs w:val="21"/>
                </w:rPr>
                <w:t>6131</w:t>
              </w:r>
              <w:r w:rsidR="006211DD" w:rsidRPr="00B2099C">
                <w:rPr>
                  <w:rFonts w:asciiTheme="minorEastAsia" w:eastAsiaTheme="minorEastAsia" w:hAnsiTheme="minorEastAsia" w:hint="eastAsia"/>
                  <w:szCs w:val="21"/>
                </w:rPr>
                <w:t>万元，对沿线</w:t>
              </w:r>
              <w:r w:rsidR="006211DD" w:rsidRPr="00B2099C">
                <w:rPr>
                  <w:rFonts w:asciiTheme="minorEastAsia" w:eastAsiaTheme="minorEastAsia" w:hAnsiTheme="minorEastAsia"/>
                  <w:szCs w:val="21"/>
                </w:rPr>
                <w:t>42</w:t>
              </w:r>
              <w:r w:rsidR="006211DD" w:rsidRPr="00B2099C">
                <w:rPr>
                  <w:rFonts w:asciiTheme="minorEastAsia" w:eastAsiaTheme="minorEastAsia" w:hAnsiTheme="minorEastAsia" w:hint="eastAsia"/>
                  <w:szCs w:val="21"/>
                </w:rPr>
                <w:t>个站区实施了燃煤锅炉清洁能源改造，</w:t>
              </w:r>
              <w:r>
                <w:rPr>
                  <w:rFonts w:asciiTheme="minorEastAsia" w:eastAsiaTheme="minorEastAsia" w:hAnsiTheme="minorEastAsia" w:hint="eastAsia"/>
                  <w:szCs w:val="21"/>
                </w:rPr>
                <w:t>实施了湖东电力机务段、</w:t>
              </w:r>
              <w:r w:rsidR="006211DD" w:rsidRPr="00B2099C">
                <w:rPr>
                  <w:rFonts w:asciiTheme="minorEastAsia" w:eastAsiaTheme="minorEastAsia" w:hAnsiTheme="minorEastAsia" w:hint="eastAsia"/>
                  <w:szCs w:val="21"/>
                </w:rPr>
                <w:t>柳村南站二场等污水管理改造，提标改造了涿鹿站区污水</w:t>
              </w:r>
              <w:r>
                <w:rPr>
                  <w:rFonts w:asciiTheme="minorEastAsia" w:eastAsiaTheme="minorEastAsia" w:hAnsiTheme="minorEastAsia" w:hint="eastAsia"/>
                  <w:szCs w:val="21"/>
                </w:rPr>
                <w:t>设施和侯马北机务段喷漆库挥发性有机物治理设施</w:t>
              </w:r>
              <w:r w:rsidR="006211DD" w:rsidRPr="00B2099C">
                <w:rPr>
                  <w:rFonts w:asciiTheme="minorEastAsia" w:eastAsiaTheme="minorEastAsia" w:hAnsiTheme="minorEastAsia" w:hint="eastAsia"/>
                  <w:szCs w:val="21"/>
                </w:rPr>
                <w:t>。年</w:t>
              </w:r>
              <w:r>
                <w:rPr>
                  <w:rFonts w:asciiTheme="minorEastAsia" w:eastAsiaTheme="minorEastAsia" w:hAnsiTheme="minorEastAsia" w:hint="eastAsia"/>
                  <w:szCs w:val="21"/>
                </w:rPr>
                <w:t>初</w:t>
              </w:r>
              <w:r w:rsidR="006211DD" w:rsidRPr="00B2099C">
                <w:rPr>
                  <w:rFonts w:asciiTheme="minorEastAsia" w:eastAsiaTheme="minorEastAsia" w:hAnsiTheme="minorEastAsia" w:hint="eastAsia"/>
                  <w:szCs w:val="21"/>
                </w:rPr>
                <w:t>下发了《202</w:t>
              </w:r>
              <w:r w:rsidR="006211DD" w:rsidRPr="00B2099C">
                <w:rPr>
                  <w:rFonts w:asciiTheme="minorEastAsia" w:eastAsiaTheme="minorEastAsia" w:hAnsiTheme="minorEastAsia"/>
                  <w:szCs w:val="21"/>
                </w:rPr>
                <w:t>2</w:t>
              </w:r>
              <w:r w:rsidR="006211DD" w:rsidRPr="00B2099C">
                <w:rPr>
                  <w:rFonts w:asciiTheme="minorEastAsia" w:eastAsiaTheme="minorEastAsia" w:hAnsiTheme="minorEastAsia" w:hint="eastAsia"/>
                  <w:szCs w:val="21"/>
                </w:rPr>
                <w:t>年废气废水监测计划》，对公司所属各单位在用燃煤、燃气、生物质锅炉，污水处理站的主要污染物指标进行了监测。</w:t>
              </w:r>
              <w:r>
                <w:rPr>
                  <w:rFonts w:asciiTheme="minorEastAsia" w:eastAsiaTheme="minorEastAsia" w:hAnsiTheme="minorEastAsia" w:hint="eastAsia"/>
                  <w:szCs w:val="21"/>
                </w:rPr>
                <w:t>2022年，</w:t>
              </w:r>
              <w:r w:rsidR="006211DD" w:rsidRPr="00B2099C">
                <w:rPr>
                  <w:rFonts w:asciiTheme="minorEastAsia" w:eastAsiaTheme="minorEastAsia" w:hAnsiTheme="minorEastAsia" w:hint="eastAsia"/>
                  <w:szCs w:val="21"/>
                </w:rPr>
                <w:t>公司未发生重大环境责任事件，未造成严重的社会负面影响，没有受到地方政府行政处罚。</w:t>
              </w:r>
            </w:p>
          </w:sdtContent>
        </w:sdt>
      </w:sdtContent>
    </w:sdt>
    <w:sdt>
      <w:sdtPr>
        <w:rPr>
          <w:rFonts w:ascii="宋体" w:hAnsi="宋体" w:cs="宋体"/>
          <w:b w:val="0"/>
          <w:bCs w:val="0"/>
          <w:kern w:val="0"/>
          <w:szCs w:val="24"/>
        </w:rPr>
        <w:alias w:val="模块:在报告期内为减少其碳排放所采取的措施及效果"/>
        <w:tag w:val="_SEC_219d66470c5549c2b9ae6da091245f5d"/>
        <w:id w:val="-1146269813"/>
        <w:lock w:val="sdtLocked"/>
        <w:placeholder>
          <w:docPart w:val="GBC22222222222222222222222222222"/>
        </w:placeholder>
      </w:sdtPr>
      <w:sdtContent>
        <w:p w:rsidR="00806678" w:rsidRDefault="00B16377" w:rsidP="00FF17C7">
          <w:pPr>
            <w:pStyle w:val="3"/>
            <w:numPr>
              <w:ilvl w:val="0"/>
              <w:numId w:val="125"/>
            </w:numPr>
            <w:ind w:left="450" w:hanging="450"/>
            <w:rPr>
              <w:rFonts w:ascii="宋体" w:hAnsi="宋体"/>
            </w:rPr>
          </w:pPr>
          <w:r>
            <w:rPr>
              <w:rFonts w:ascii="宋体" w:hAnsi="宋体"/>
            </w:rPr>
            <w:t>在报告期内为减少其碳排放所采取的措施及效果</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14"/>
            <w:gridCol w:w="5335"/>
          </w:tblGrid>
          <w:tr w:rsidR="00806678" w:rsidTr="0020440C">
            <w:sdt>
              <w:sdtPr>
                <w:rPr>
                  <w:rFonts w:hint="eastAsia"/>
                </w:rPr>
                <w:tag w:val="_PLD_d765fcc12171478eb6ac1d26c3b15d8b"/>
                <w:id w:val="914134762"/>
                <w:lock w:val="sdtLocked"/>
              </w:sdtPr>
              <w:sdtContent>
                <w:tc>
                  <w:tcPr>
                    <w:tcW w:w="2052" w:type="pct"/>
                    <w:shd w:val="clear" w:color="auto" w:fill="auto"/>
                  </w:tcPr>
                  <w:p w:rsidR="00806678" w:rsidRDefault="00B16377">
                    <w:pPr>
                      <w:widowControl w:val="0"/>
                      <w:jc w:val="both"/>
                    </w:pPr>
                    <w:r>
                      <w:rPr>
                        <w:rFonts w:hint="eastAsia"/>
                      </w:rPr>
                      <w:t>是否采取减碳措施</w:t>
                    </w:r>
                  </w:p>
                </w:tc>
              </w:sdtContent>
            </w:sdt>
            <w:sdt>
              <w:sdtPr>
                <w:alias w:val="是否采取减碳措施"/>
                <w:tag w:val="_GBC_d9a1ff3875ac418bab40a855cd584ffd"/>
                <w:id w:val="1888985713"/>
                <w:lock w:val="sdtLocked"/>
                <w:comboBox>
                  <w:listItem w:displayText="是" w:value="是"/>
                  <w:listItem w:displayText="否" w:value="否"/>
                </w:comboBox>
              </w:sdtPr>
              <w:sdtContent>
                <w:tc>
                  <w:tcPr>
                    <w:tcW w:w="2948" w:type="pct"/>
                    <w:shd w:val="clear" w:color="auto" w:fill="auto"/>
                  </w:tcPr>
                  <w:p w:rsidR="00806678" w:rsidRDefault="006211DD">
                    <w:pPr>
                      <w:widowControl w:val="0"/>
                      <w:jc w:val="both"/>
                    </w:pPr>
                    <w:r>
                      <w:t>是</w:t>
                    </w:r>
                  </w:p>
                </w:tc>
              </w:sdtContent>
            </w:sdt>
          </w:tr>
          <w:tr w:rsidR="00806678" w:rsidTr="0020440C">
            <w:sdt>
              <w:sdtPr>
                <w:rPr>
                  <w:rFonts w:hint="eastAsia"/>
                </w:rPr>
                <w:tag w:val="_PLD_60c15f95b4484f72a0c24a7f97decfee"/>
                <w:id w:val="2013488953"/>
                <w:lock w:val="sdtLocked"/>
              </w:sdtPr>
              <w:sdtContent>
                <w:tc>
                  <w:tcPr>
                    <w:tcW w:w="2052" w:type="pct"/>
                    <w:shd w:val="clear" w:color="auto" w:fill="auto"/>
                  </w:tcPr>
                  <w:p w:rsidR="00806678" w:rsidRDefault="00B16377">
                    <w:pPr>
                      <w:widowControl w:val="0"/>
                      <w:jc w:val="both"/>
                    </w:pPr>
                    <w:r>
                      <w:rPr>
                        <w:rFonts w:hint="eastAsia"/>
                      </w:rPr>
                      <w:t>减碳措施类型（如使用清洁能源发电、在生产过程中使用减碳技术、研发生产助于减碳的新产品等）</w:t>
                    </w:r>
                  </w:p>
                </w:tc>
              </w:sdtContent>
            </w:sdt>
            <w:tc>
              <w:tcPr>
                <w:tcW w:w="2948" w:type="pct"/>
                <w:shd w:val="clear" w:color="auto" w:fill="auto"/>
              </w:tcPr>
              <w:p w:rsidR="00806678" w:rsidRDefault="006211DD" w:rsidP="006211DD">
                <w:r w:rsidRPr="006211DD">
                  <w:rPr>
                    <w:rFonts w:hint="eastAsia"/>
                  </w:rPr>
                  <w:t>在实施铁路沿线站区供暖燃煤锅炉清洁能源改造时，全部实施站区建筑节能、照明灯具节能改造，站区单位能耗较改造前大幅降低，二氧化碳、二氧化硫等污染指标降幅达60%以上。</w:t>
                </w:r>
              </w:p>
            </w:tc>
          </w:tr>
        </w:tbl>
        <w:p w:rsidR="00806678" w:rsidRDefault="00806678"/>
        <w:p w:rsidR="00806678" w:rsidRDefault="00B16377">
          <w:r>
            <w:rPr>
              <w:rFonts w:hint="eastAsia"/>
            </w:rPr>
            <w:t>具体说明</w:t>
          </w:r>
        </w:p>
        <w:sdt>
          <w:sdtPr>
            <w:alias w:val="是否适用：在报告期内为减少其碳排放所采取的措施及效果 [双击切换]"/>
            <w:tag w:val="_GBC_c548c6cdcee840f1b99e9992b9199dfc"/>
            <w:id w:val="1906098143"/>
            <w:lock w:val="sdtLocked"/>
            <w:placeholder>
              <w:docPart w:val="GBC22222222222222222222222222222"/>
            </w:placeholder>
          </w:sdtPr>
          <w:sdtContent>
            <w:p w:rsidR="00806678" w:rsidRDefault="00F80B6C">
              <w:r>
                <w:fldChar w:fldCharType="begin"/>
              </w:r>
              <w:r w:rsidR="006211DD">
                <w:instrText xml:space="preserve"> MACROBUTTON  SnrToggleCheckbox √适用 </w:instrText>
              </w:r>
              <w:r>
                <w:fldChar w:fldCharType="end"/>
              </w:r>
              <w:r>
                <w:fldChar w:fldCharType="begin"/>
              </w:r>
              <w:r w:rsidR="006211DD">
                <w:instrText xml:space="preserve"> MACROBUTTON  SnrToggleCheckbox □不适用 </w:instrText>
              </w:r>
              <w:r>
                <w:fldChar w:fldCharType="end"/>
              </w:r>
            </w:p>
          </w:sdtContent>
        </w:sdt>
        <w:sdt>
          <w:sdtPr>
            <w:alias w:val="在报告期内为减少其碳排放所采取的措施及效果 "/>
            <w:tag w:val="_GBC_ca4174c323bb40d9bffbaa1df2f9a6e3"/>
            <w:id w:val="-1659846601"/>
            <w:lock w:val="sdtLocked"/>
            <w:placeholder>
              <w:docPart w:val="GBC22222222222222222222222222222"/>
            </w:placeholder>
          </w:sdtPr>
          <w:sdtContent>
            <w:p w:rsidR="00806678" w:rsidRDefault="006211DD" w:rsidP="00490437">
              <w:pPr>
                <w:spacing w:line="360" w:lineRule="auto"/>
                <w:ind w:firstLineChars="200" w:firstLine="420"/>
              </w:pPr>
              <w:r w:rsidRPr="006211DD">
                <w:rPr>
                  <w:rFonts w:hint="eastAsia"/>
                </w:rPr>
                <w:t>公司主要排污指标包括化学需氧量和二氧化硫2项，202</w:t>
              </w:r>
              <w:r w:rsidRPr="006211DD">
                <w:t>2</w:t>
              </w:r>
              <w:r w:rsidRPr="006211DD">
                <w:rPr>
                  <w:rFonts w:hint="eastAsia"/>
                </w:rPr>
                <w:t>年，公司化学需氧量排放量计划</w:t>
              </w:r>
              <w:r w:rsidRPr="006211DD">
                <w:t>95</w:t>
              </w:r>
              <w:r w:rsidRPr="006211DD">
                <w:rPr>
                  <w:rFonts w:hint="eastAsia"/>
                </w:rPr>
                <w:t>吨，实际排放化学需氧量</w:t>
              </w:r>
              <w:r w:rsidRPr="006211DD">
                <w:t>72.9</w:t>
              </w:r>
              <w:r w:rsidRPr="006211DD">
                <w:rPr>
                  <w:rFonts w:hint="eastAsia"/>
                </w:rPr>
                <w:t>吨，较计划减排</w:t>
              </w:r>
              <w:r w:rsidRPr="006211DD">
                <w:t>12.1</w:t>
              </w:r>
              <w:r w:rsidRPr="006211DD">
                <w:rPr>
                  <w:rFonts w:hint="eastAsia"/>
                </w:rPr>
                <w:t>吨;二氧化硫排放量计划</w:t>
              </w:r>
              <w:r w:rsidRPr="006211DD">
                <w:t>510</w:t>
              </w:r>
              <w:r w:rsidRPr="006211DD">
                <w:rPr>
                  <w:rFonts w:hint="eastAsia"/>
                </w:rPr>
                <w:t>吨，实际排放二氧化硫量</w:t>
              </w:r>
              <w:r w:rsidRPr="006211DD">
                <w:t>166.5</w:t>
              </w:r>
              <w:r w:rsidRPr="006211DD">
                <w:rPr>
                  <w:rFonts w:hint="eastAsia"/>
                </w:rPr>
                <w:t>吨，较计划减排</w:t>
              </w:r>
              <w:r w:rsidRPr="006211DD">
                <w:t>343.5</w:t>
              </w:r>
              <w:r w:rsidRPr="006211DD">
                <w:rPr>
                  <w:rFonts w:hint="eastAsia"/>
                </w:rPr>
                <w:t>吨，所有排污源没有超标排放情况。</w:t>
              </w:r>
            </w:p>
          </w:sdtContent>
        </w:sdt>
      </w:sdtContent>
    </w:sdt>
    <w:p w:rsidR="00806678" w:rsidRDefault="00B16377" w:rsidP="00FF17C7">
      <w:pPr>
        <w:pStyle w:val="2"/>
        <w:numPr>
          <w:ilvl w:val="0"/>
          <w:numId w:val="127"/>
        </w:numPr>
        <w:tabs>
          <w:tab w:val="left" w:pos="426"/>
        </w:tabs>
        <w:ind w:left="425" w:hanging="425"/>
        <w:jc w:val="left"/>
      </w:pPr>
      <w:r>
        <w:t>社会责任工作情况</w:t>
      </w:r>
    </w:p>
    <w:sdt>
      <w:sdtPr>
        <w:rPr>
          <w:rFonts w:ascii="宋体" w:hAnsi="宋体" w:cs="宋体" w:hint="eastAsia"/>
          <w:b w:val="0"/>
          <w:bCs w:val="0"/>
          <w:kern w:val="0"/>
          <w:szCs w:val="24"/>
        </w:rPr>
        <w:alias w:val="模块:是否单独披露社会责任报告、可持续发展报告或ESG报告  ..."/>
        <w:tag w:val="_SEC_100d98d84d6844908abfada479de55c2"/>
        <w:id w:val="-2133007069"/>
        <w:lock w:val="sdtLocked"/>
        <w:placeholder>
          <w:docPart w:val="GBC22222222222222222222222222222"/>
        </w:placeholder>
      </w:sdtPr>
      <w:sdtEndPr>
        <w:rPr>
          <w:rFonts w:hint="default"/>
        </w:rPr>
      </w:sdtEndPr>
      <w:sdtContent>
        <w:p w:rsidR="00806678" w:rsidRDefault="00B16377" w:rsidP="00FF17C7">
          <w:pPr>
            <w:pStyle w:val="3"/>
            <w:numPr>
              <w:ilvl w:val="0"/>
              <w:numId w:val="133"/>
            </w:numPr>
            <w:rPr>
              <w:rFonts w:ascii="宋体" w:hAnsi="宋体"/>
            </w:rPr>
          </w:pPr>
          <w:r>
            <w:rPr>
              <w:rFonts w:ascii="宋体" w:hAnsi="宋体" w:hint="eastAsia"/>
            </w:rPr>
            <w:t>是否单独披露社会责任报告、可持续发展报告或ESG报告</w:t>
          </w:r>
        </w:p>
        <w:sdt>
          <w:sdtPr>
            <w:alias w:val="是否适用：是否单独披露社会责任报告、可持续发展报告或ESG报告[双击切换]"/>
            <w:tag w:val="_GBC_9e7dd53d4e6f44ea9f272442eb9babac"/>
            <w:id w:val="-742263471"/>
            <w:lock w:val="sdtLocked"/>
            <w:placeholder>
              <w:docPart w:val="GBC22222222222222222222222222222"/>
            </w:placeholder>
          </w:sdtPr>
          <w:sdtContent>
            <w:p w:rsidR="00806678" w:rsidRDefault="00F80B6C">
              <w:r>
                <w:fldChar w:fldCharType="begin"/>
              </w:r>
              <w:r w:rsidR="003B3B2E">
                <w:instrText xml:space="preserve"> MACROBUTTON  SnrToggleCheckbox √适用 </w:instrText>
              </w:r>
              <w:r>
                <w:fldChar w:fldCharType="end"/>
              </w:r>
              <w:r>
                <w:fldChar w:fldCharType="begin"/>
              </w:r>
              <w:r w:rsidR="003B3B2E">
                <w:instrText xml:space="preserve"> MACROBUTTON  SnrToggleCheckbox □不适用 </w:instrText>
              </w:r>
              <w:r>
                <w:fldChar w:fldCharType="end"/>
              </w:r>
            </w:p>
          </w:sdtContent>
        </w:sdt>
        <w:sdt>
          <w:sdtPr>
            <w:alias w:val="是否单独披露社会责任报告、可持续发展报告或ESG报告"/>
            <w:tag w:val="_GBC_e26ad08dba0e483a908a6ff4e6e74e3f"/>
            <w:id w:val="1631522643"/>
            <w:lock w:val="sdtLocked"/>
            <w:placeholder>
              <w:docPart w:val="GBC22222222222222222222222222222"/>
            </w:placeholder>
          </w:sdtPr>
          <w:sdtContent>
            <w:p w:rsidR="00806678" w:rsidRDefault="003B3B2E" w:rsidP="003B3B2E">
              <w:pPr>
                <w:spacing w:line="360" w:lineRule="auto"/>
                <w:ind w:firstLineChars="200" w:firstLine="420"/>
              </w:pPr>
              <w:r>
                <w:rPr>
                  <w:rFonts w:hint="eastAsia"/>
                </w:rPr>
                <w:t>内容详见2023年4月27日在上海证券交易所网站披露的《大秦铁路股份有限公司2022年度社会责任报告》。</w:t>
              </w:r>
            </w:p>
          </w:sdtContent>
        </w:sdt>
      </w:sdtContent>
    </w:sdt>
    <w:sdt>
      <w:sdtPr>
        <w:rPr>
          <w:rFonts w:ascii="宋体" w:hAnsi="宋体" w:cs="宋体" w:hint="eastAsia"/>
          <w:b w:val="0"/>
          <w:bCs w:val="0"/>
          <w:kern w:val="0"/>
          <w:szCs w:val="24"/>
        </w:rPr>
        <w:alias w:val="模块:社会责任工作具体情况"/>
        <w:tag w:val="_SEC_74709d35e9934de38f13ff273acba19e"/>
        <w:id w:val="65457603"/>
        <w:lock w:val="sdtLocked"/>
        <w:placeholder>
          <w:docPart w:val="GBC22222222222222222222222222222"/>
        </w:placeholder>
      </w:sdtPr>
      <w:sdtEndPr>
        <w:rPr>
          <w:rFonts w:hint="default"/>
        </w:rPr>
      </w:sdtEndPr>
      <w:sdtContent>
        <w:p w:rsidR="00806678" w:rsidRDefault="00B16377" w:rsidP="00FF17C7">
          <w:pPr>
            <w:pStyle w:val="3"/>
            <w:numPr>
              <w:ilvl w:val="0"/>
              <w:numId w:val="133"/>
            </w:numPr>
            <w:rPr>
              <w:rFonts w:ascii="宋体" w:hAnsi="宋体"/>
            </w:rPr>
          </w:pPr>
          <w:r>
            <w:rPr>
              <w:rFonts w:ascii="宋体" w:hAnsi="宋体" w:hint="eastAsia"/>
            </w:rPr>
            <w:t>社会责任工作具体情况</w:t>
          </w:r>
        </w:p>
        <w:sdt>
          <w:sdtPr>
            <w:alias w:val="是否适用：社会责任工作具体情况[双击切换]"/>
            <w:tag w:val="_GBC_2bbbff88e2744d6dbb21a0a502bf51cf"/>
            <w:id w:val="-1659141339"/>
            <w:lock w:val="sdtLocked"/>
            <w:placeholder>
              <w:docPart w:val="GBC22222222222222222222222222222"/>
            </w:placeholder>
          </w:sdtPr>
          <w:sdtContent>
            <w:p w:rsidR="00806678" w:rsidRDefault="00F80B6C" w:rsidP="00B013DC">
              <w:r>
                <w:fldChar w:fldCharType="begin"/>
              </w:r>
              <w:r w:rsidR="00B013DC">
                <w:instrText xml:space="preserve"> MACROBUTTON  SnrToggleCheckbox □适用 </w:instrText>
              </w:r>
              <w:r>
                <w:fldChar w:fldCharType="end"/>
              </w:r>
              <w:r>
                <w:fldChar w:fldCharType="begin"/>
              </w:r>
              <w:r w:rsidR="00B013DC">
                <w:instrText xml:space="preserve"> MACROBUTTON  SnrToggleCheckbox √不适用 </w:instrText>
              </w:r>
              <w:r>
                <w:fldChar w:fldCharType="end"/>
              </w:r>
            </w:p>
          </w:sdtContent>
        </w:sdt>
      </w:sdtContent>
    </w:sdt>
    <w:sdt>
      <w:sdtPr>
        <w:rPr>
          <w:rFonts w:hint="eastAsia"/>
          <w:b/>
          <w:bCs/>
        </w:rPr>
        <w:alias w:val="模块:具体说明"/>
        <w:tag w:val="_SEC_ee27b1a72aa5419087caf130b9eefdde"/>
        <w:id w:val="-790125599"/>
        <w:lock w:val="sdtLocked"/>
        <w:placeholder>
          <w:docPart w:val="GBC22222222222222222222222222222"/>
        </w:placeholder>
      </w:sdtPr>
      <w:sdtEndPr>
        <w:rPr>
          <w:rFonts w:hint="default"/>
          <w:b w:val="0"/>
          <w:bCs w:val="0"/>
        </w:rPr>
      </w:sdtEndPr>
      <w:sdtContent>
        <w:p w:rsidR="00806678" w:rsidRDefault="00B16377">
          <w:r>
            <w:rPr>
              <w:rFonts w:hint="eastAsia"/>
            </w:rPr>
            <w:t>具体说明</w:t>
          </w:r>
        </w:p>
        <w:sdt>
          <w:sdtPr>
            <w:rPr>
              <w:rFonts w:hint="eastAsia"/>
            </w:rPr>
            <w:alias w:val="是否适用：社会责任工作情况[双击切换]"/>
            <w:tag w:val="_GBC_193e5fab56724eddabaa8d0d74a4b129"/>
            <w:id w:val="-575902521"/>
            <w:lock w:val="sdtLocked"/>
            <w:placeholder>
              <w:docPart w:val="GBC22222222222222222222222222222"/>
            </w:placeholder>
          </w:sdtPr>
          <w:sdtContent>
            <w:p w:rsidR="00806678" w:rsidRDefault="00F80B6C">
              <w:r>
                <w:fldChar w:fldCharType="begin"/>
              </w:r>
              <w:r w:rsidR="00B013DC">
                <w:instrText xml:space="preserve"> MACROBUTTON  SnrToggleCheckbox √适用  </w:instrText>
              </w:r>
              <w:r>
                <w:fldChar w:fldCharType="end"/>
              </w:r>
              <w:r>
                <w:fldChar w:fldCharType="begin"/>
              </w:r>
              <w:r w:rsidR="00B013DC">
                <w:instrText xml:space="preserve"> MACROBUTTON  SnrToggleCheckbox □不适用 </w:instrText>
              </w:r>
              <w:r>
                <w:fldChar w:fldCharType="end"/>
              </w:r>
            </w:p>
          </w:sdtContent>
        </w:sdt>
        <w:sdt>
          <w:sdtPr>
            <w:alias w:val="社会责任工作情况"/>
            <w:tag w:val="_GBC_a9b541509de44900b46d09bc29c43131"/>
            <w:id w:val="1309905693"/>
            <w:lock w:val="sdtLocked"/>
            <w:placeholder>
              <w:docPart w:val="GBC22222222222222222222222222222"/>
            </w:placeholder>
          </w:sdtPr>
          <w:sdtContent>
            <w:p w:rsidR="00806678" w:rsidRDefault="00B013DC">
              <w:r>
                <w:rPr>
                  <w:rFonts w:hint="eastAsia"/>
                </w:rPr>
                <w:t>内容详见《大秦铁路股份有限公司2022年度社会责任报告》。</w:t>
              </w:r>
            </w:p>
          </w:sdtContent>
        </w:sdt>
      </w:sdtContent>
    </w:sdt>
    <w:sdt>
      <w:sdtPr>
        <w:rPr>
          <w:rFonts w:ascii="宋体" w:hAnsi="宋体" w:cs="宋体" w:hint="eastAsia"/>
          <w:b w:val="0"/>
          <w:bCs w:val="0"/>
          <w:kern w:val="0"/>
          <w:szCs w:val="24"/>
        </w:rPr>
        <w:alias w:val="模块:巩固拓展脱贫攻坚成果、乡村振兴工作具体情况"/>
        <w:tag w:val="_SEC_e3132df5923a4a1886e35ca9514a1640"/>
        <w:id w:val="254031111"/>
        <w:lock w:val="sdtLocked"/>
        <w:placeholder>
          <w:docPart w:val="GBC22222222222222222222222222222"/>
        </w:placeholder>
      </w:sdtPr>
      <w:sdtEndPr>
        <w:rPr>
          <w:rFonts w:hint="default"/>
        </w:rPr>
      </w:sdtEndPr>
      <w:sdtContent>
        <w:p w:rsidR="00806678" w:rsidRDefault="00B16377" w:rsidP="00FF17C7">
          <w:pPr>
            <w:pStyle w:val="2"/>
            <w:numPr>
              <w:ilvl w:val="0"/>
              <w:numId w:val="127"/>
            </w:numPr>
            <w:tabs>
              <w:tab w:val="left" w:pos="426"/>
            </w:tabs>
            <w:ind w:left="425" w:hanging="425"/>
            <w:jc w:val="left"/>
            <w:rPr>
              <w:rFonts w:ascii="宋体" w:hAnsi="宋体"/>
            </w:rPr>
          </w:pPr>
          <w:r>
            <w:rPr>
              <w:rFonts w:ascii="宋体" w:hAnsi="宋体" w:hint="eastAsia"/>
            </w:rPr>
            <w:t>巩固拓展脱贫攻坚成果、乡村振兴等工作具体情况</w:t>
          </w:r>
        </w:p>
        <w:sdt>
          <w:sdtPr>
            <w:alias w:val="是否适用：巩固拓展脱贫攻坚成果、乡村振兴工作具体情况[双击切换]"/>
            <w:tag w:val="_GBC_94f5c59c87964f1f83743f3f44109e91"/>
            <w:id w:val="1388149220"/>
            <w:lock w:val="sdtLocked"/>
            <w:placeholder>
              <w:docPart w:val="GBC22222222222222222222222222222"/>
            </w:placeholder>
          </w:sdtPr>
          <w:sdtContent>
            <w:p w:rsidR="00806678" w:rsidRDefault="00F80B6C" w:rsidP="00571923">
              <w:r>
                <w:fldChar w:fldCharType="begin"/>
              </w:r>
              <w:r w:rsidR="00571923">
                <w:instrText xml:space="preserve"> MACROBUTTON  SnrToggleCheckbox □适用 </w:instrText>
              </w:r>
              <w:r>
                <w:fldChar w:fldCharType="end"/>
              </w:r>
              <w:r>
                <w:fldChar w:fldCharType="begin"/>
              </w:r>
              <w:r w:rsidR="00571923">
                <w:instrText xml:space="preserve"> MACROBUTTON  SnrToggleCheckbox √不适用 </w:instrText>
              </w:r>
              <w:r>
                <w:fldChar w:fldCharType="end"/>
              </w:r>
            </w:p>
          </w:sdtContent>
        </w:sdt>
        <w:p w:rsidR="00806678" w:rsidRDefault="00B16377">
          <w:r>
            <w:t>具体说明</w:t>
          </w:r>
        </w:p>
        <w:sdt>
          <w:sdtPr>
            <w:alias w:val="是否适用：巩固拓展脱贫攻坚成果、乡村振兴等工作具体情况其他说明[双击切换]"/>
            <w:tag w:val="_GBC_da0a87234d174e509f00e24b4a8320dc"/>
            <w:id w:val="-1120529144"/>
            <w:lock w:val="sdtLocked"/>
            <w:placeholder>
              <w:docPart w:val="GBC22222222222222222222222222222"/>
            </w:placeholder>
          </w:sdtPr>
          <w:sdtContent>
            <w:p w:rsidR="00806678" w:rsidRDefault="00F80B6C">
              <w:r>
                <w:fldChar w:fldCharType="begin"/>
              </w:r>
              <w:r w:rsidR="00571923">
                <w:instrText xml:space="preserve"> MACROBUTTON  SnrToggleCheckbox √适用 </w:instrText>
              </w:r>
              <w:r>
                <w:fldChar w:fldCharType="end"/>
              </w:r>
              <w:r>
                <w:fldChar w:fldCharType="begin"/>
              </w:r>
              <w:r w:rsidR="00571923">
                <w:instrText xml:space="preserve"> MACROBUTTON  SnrToggleCheckbox □不适用 </w:instrText>
              </w:r>
              <w:r>
                <w:fldChar w:fldCharType="end"/>
              </w:r>
            </w:p>
          </w:sdtContent>
        </w:sdt>
        <w:sdt>
          <w:sdtPr>
            <w:alias w:val="巩固拓展脱贫攻坚成果、乡村振兴工作具体情况"/>
            <w:tag w:val="_GBC_6af1d9c635ca457eaede5db7b23daa68"/>
            <w:id w:val="634457528"/>
            <w:lock w:val="sdtLocked"/>
            <w:placeholder>
              <w:docPart w:val="GBC22222222222222222222222222222"/>
            </w:placeholder>
          </w:sdtPr>
          <w:sdtContent>
            <w:p w:rsidR="00B013DC" w:rsidRDefault="00B013DC" w:rsidP="00B013DC">
              <w:pPr>
                <w:spacing w:line="360" w:lineRule="auto"/>
                <w:ind w:firstLineChars="200" w:firstLine="420"/>
              </w:pPr>
              <w:r w:rsidRPr="00B013DC">
                <w:rPr>
                  <w:rFonts w:hint="eastAsia"/>
                </w:rPr>
                <w:t>公司认真贯彻中央关于推进乡村振兴的决策部署，落实</w:t>
              </w:r>
              <w:r>
                <w:rPr>
                  <w:rFonts w:hint="eastAsia"/>
                </w:rPr>
                <w:t>国家铁路</w:t>
              </w:r>
              <w:r w:rsidRPr="00B013DC">
                <w:rPr>
                  <w:rFonts w:hint="eastAsia"/>
                </w:rPr>
                <w:t>集团党组和山西省委省政府要求，以“实现巩固拓展脱贫成果同乡村振兴有效衔接”为重点，持续推进革命老区山西省晋中市榆社县帮扶工作。选派优秀干部参加驻村帮扶工作队。巩固“两不愁三保障”成果，引入社会资金，用于鱼头村出村主路硬化，段家沟村建设羊圈围栏、水泥砖硬化场地。为解决鱼头村田间路过水路段农机具通行不畅的问题，利用太原南工务段</w:t>
              </w:r>
              <w:r w:rsidRPr="00B013DC">
                <w:t>110根废旧轨枕，对鱼头村所有过水路段铺设整修。依托公司控股企业在帮扶村建设的铁路货车配件生产车间推进产业振兴，招用当地农</w:t>
              </w:r>
              <w:r w:rsidRPr="00B013DC">
                <w:lastRenderedPageBreak/>
                <w:t>民工38 人；</w:t>
              </w:r>
              <w:r w:rsidRPr="00B013DC">
                <w:rPr>
                  <w:rFonts w:hint="eastAsia"/>
                </w:rPr>
                <w:t>举办技能培训班，培训技术人员</w:t>
              </w:r>
              <w:r w:rsidRPr="00B013DC">
                <w:t>53人。组织公司机关干部和一线职工980人，深入定点帮扶村开展“振兴乡村、行动有我”帮扶一日行活动，帮助帮扶村销售22万元；举办2022年“庆丰收、迎盛会”中国农民丰收节活动，铁路职工与村民共享喜悦、礼赞丰收、致敬奋斗。支持帮扶村加强疫情防控，针对村防</w:t>
              </w:r>
              <w:r w:rsidR="006808ED">
                <w:t>疫物资告急的情况，紧急联系太原工务段榆社桥隧车间调拨防疫物资</w:t>
              </w:r>
              <w:r w:rsidRPr="00B013DC">
                <w:t>进行支援，全力保障村民生命安全和身体健康。组织太原车务段榆社站党总支和太原工务段榆社桥隧车间党支部与两个帮扶村党</w:t>
              </w:r>
              <w:r w:rsidRPr="00B013DC">
                <w:rPr>
                  <w:rFonts w:hint="eastAsia"/>
                </w:rPr>
                <w:t>支部开展联学联建，路村党支部共同举办“喜迎二十大、永远跟党走”主题党日、“百年奋斗铸就百年辉煌”主题党课，向村党支部赠送党内法规和党建读物，示范带动村支部党建工作水平和党员作用发挥持续提升。</w:t>
              </w:r>
            </w:p>
            <w:p w:rsidR="00806678" w:rsidRDefault="00B013DC" w:rsidP="009B2FB6">
              <w:pPr>
                <w:spacing w:line="360" w:lineRule="auto"/>
                <w:ind w:firstLineChars="200" w:firstLine="420"/>
                <w:sectPr w:rsidR="00806678" w:rsidSect="004860B6">
                  <w:pgSz w:w="11906" w:h="16838"/>
                  <w:pgMar w:top="1525" w:right="1276" w:bottom="1440" w:left="1797" w:header="851" w:footer="992" w:gutter="0"/>
                  <w:cols w:space="425"/>
                  <w:docGrid w:linePitch="312"/>
                </w:sectPr>
              </w:pPr>
              <w:r w:rsidRPr="00B013DC">
                <w:rPr>
                  <w:rFonts w:hint="eastAsia"/>
                </w:rPr>
                <w:t>公司发挥铁路企业帮扶优势，对脱贫地区客户从</w:t>
              </w:r>
              <w:r w:rsidRPr="00B013DC">
                <w:t>95306网上注册、物流成本、货物运输等环节给予支持，主动对接脱贫地区45</w:t>
              </w:r>
              <w:r w:rsidR="006808ED">
                <w:t>家发运企业，与相关用户签订合作协议，涉及煤炭、钢铁、</w:t>
              </w:r>
              <w:r w:rsidR="006808ED">
                <w:rPr>
                  <w:rFonts w:hint="eastAsia"/>
                </w:rPr>
                <w:t>矿石</w:t>
              </w:r>
              <w:r w:rsidRPr="00B013DC">
                <w:t>、集装箱4大品类，共计5810万吨，以契约化形式为脱贫地区企业提供运力保障。优化开行公益性“慢火车”，在4对慢火车上悬挂“公益性慢火车”牌匾，在创新“软服务”、升级“硬装备”上下功夫，打造“一车一室一功能”的多元化服务，方便脱贫地区人员出行、物资运送，助力脱贫地区经济发展。打造“蔡家崖号”红色文化服务品牌，在列车上设置红色图书借阅室、红色</w:t>
              </w:r>
              <w:r w:rsidRPr="00B013DC">
                <w:rPr>
                  <w:rFonts w:hint="eastAsia"/>
                </w:rPr>
                <w:t>旅游咨询室、农副产品宣传栏、医药服务室、母婴室；</w:t>
              </w:r>
              <w:r w:rsidRPr="00B013DC">
                <w:t>8818/7次设置的惠农信息发布点，方便老乡掌握农产品价格信息；8821/2次、8818/7次设置的惠民大件存放点，方便老乡携带农产品赶集。将 22 个国家级脱贫县 48 个企业（合作社）消费帮扶产品引入公司，实现“进站上车”，在管内 57 对动车组餐吧和 30 个车站特产店内设立“帮扶产品专柜”，不断拓展消费帮扶渠道，助力山西省乡村振兴。</w:t>
              </w:r>
            </w:p>
          </w:sdtContent>
        </w:sdt>
      </w:sdtContent>
    </w:sdt>
    <w:bookmarkEnd w:id="67"/>
    <w:p w:rsidR="00806678" w:rsidRDefault="00806678"/>
    <w:p w:rsidR="00806678" w:rsidRDefault="00B16377">
      <w:pPr>
        <w:pStyle w:val="10"/>
        <w:numPr>
          <w:ilvl w:val="0"/>
          <w:numId w:val="3"/>
        </w:numPr>
      </w:pPr>
      <w:bookmarkStart w:id="71" w:name="_Toc89790253"/>
      <w:bookmarkStart w:id="72" w:name="_Hlk90554245"/>
      <w:bookmarkEnd w:id="68"/>
      <w:r>
        <w:rPr>
          <w:rFonts w:hint="eastAsia"/>
        </w:rPr>
        <w:t>重要事项</w:t>
      </w:r>
      <w:bookmarkEnd w:id="71"/>
    </w:p>
    <w:p w:rsidR="00806678" w:rsidRDefault="00B16377">
      <w:pPr>
        <w:pStyle w:val="2"/>
        <w:numPr>
          <w:ilvl w:val="0"/>
          <w:numId w:val="9"/>
        </w:numPr>
      </w:pPr>
      <w:r>
        <w:rPr>
          <w:rFonts w:hint="eastAsia"/>
        </w:rPr>
        <w:t>承诺事项履行情况</w:t>
      </w:r>
    </w:p>
    <w:sdt>
      <w:sdtPr>
        <w:rPr>
          <w:rFonts w:ascii="宋体" w:hAnsi="宋体" w:cs="宋体" w:hint="eastAsia"/>
          <w:b w:val="0"/>
          <w:bCs w:val="0"/>
          <w:kern w:val="0"/>
          <w:sz w:val="24"/>
          <w:szCs w:val="21"/>
        </w:rPr>
        <w:alias w:val="模块:上市公司、持股5%以上的股东、控股股东及实际控制人在报告期内承诺事项"/>
        <w:tag w:val="_SEC_993caead489c45a092f4575c075d1bcf"/>
        <w:id w:val="1508419"/>
        <w:lock w:val="sdtLocked"/>
        <w:placeholder>
          <w:docPart w:val="GBC22222222222222222222222222222"/>
        </w:placeholder>
      </w:sdtPr>
      <w:sdtEndPr>
        <w:rPr>
          <w:rFonts w:hint="default"/>
          <w:sz w:val="21"/>
          <w:szCs w:val="24"/>
        </w:rPr>
      </w:sdtEndPr>
      <w:sdtContent>
        <w:p w:rsidR="00806678" w:rsidRDefault="00B16377">
          <w:pPr>
            <w:pStyle w:val="3"/>
            <w:numPr>
              <w:ilvl w:val="1"/>
              <w:numId w:val="15"/>
            </w:numPr>
            <w:rPr>
              <w:szCs w:val="21"/>
            </w:rPr>
          </w:pPr>
          <w:r>
            <w:rPr>
              <w:rFonts w:hint="eastAsia"/>
              <w:szCs w:val="21"/>
            </w:rPr>
            <w:t>公司实际控制人、股东、关联方、收购人以及公司等承诺相关方在报告期内或持续到报告期内的承诺事项</w:t>
          </w:r>
        </w:p>
        <w:sdt>
          <w:sdtPr>
            <w:alias w:val="是否适用：公司实际控制人、股东、关联方、收购人以及公司等承诺相关方在报告期内或持续到报告期内的承诺事项 [双击切换]"/>
            <w:tag w:val="_GBC_7f8023d2dd4a4d4098835890009f7c40"/>
            <w:id w:val="1240131894"/>
            <w:lock w:val="sdtLocked"/>
            <w:placeholder>
              <w:docPart w:val="GBC22222222222222222222222222222"/>
            </w:placeholder>
          </w:sdtPr>
          <w:sdtContent>
            <w:p w:rsidR="00806678" w:rsidRDefault="00F80B6C">
              <w:r>
                <w:fldChar w:fldCharType="begin"/>
              </w:r>
              <w:r w:rsidR="0001643B">
                <w:instrText xml:space="preserve">MACROBUTTON  SnrToggleCheckbox √适用 </w:instrText>
              </w:r>
              <w:r>
                <w:fldChar w:fldCharType="end"/>
              </w:r>
              <w:r>
                <w:fldChar w:fldCharType="begin"/>
              </w:r>
              <w:r w:rsidR="0001643B">
                <w:instrText xml:space="preserve"> MACROBUTTON  SnrToggleCheckbox □不适用 </w:instrText>
              </w:r>
              <w:r>
                <w:fldChar w:fldCharType="end"/>
              </w:r>
            </w:p>
          </w:sdtContent>
        </w:sdt>
        <w:tbl>
          <w:tblPr>
            <w:tblW w:w="5005" w:type="pct"/>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6"/>
            <w:gridCol w:w="1351"/>
            <w:gridCol w:w="1396"/>
            <w:gridCol w:w="1461"/>
            <w:gridCol w:w="1461"/>
            <w:gridCol w:w="1503"/>
            <w:gridCol w:w="1475"/>
            <w:gridCol w:w="1726"/>
            <w:gridCol w:w="1354"/>
          </w:tblGrid>
          <w:tr w:rsidR="00806678" w:rsidTr="00187B4D">
            <w:sdt>
              <w:sdtPr>
                <w:tag w:val="_PLD_415cfb23b46b41fba9f0b895a1088fd6"/>
                <w:id w:val="-1741251197"/>
                <w:lock w:val="sdtLocked"/>
              </w:sdtPr>
              <w:sdtContent>
                <w:tc>
                  <w:tcPr>
                    <w:tcW w:w="842" w:type="pct"/>
                    <w:shd w:val="clear" w:color="auto" w:fill="auto"/>
                    <w:vAlign w:val="center"/>
                  </w:tcPr>
                  <w:p w:rsidR="00806678" w:rsidRDefault="00B16377">
                    <w:pPr>
                      <w:jc w:val="center"/>
                      <w:rPr>
                        <w:szCs w:val="21"/>
                      </w:rPr>
                    </w:pPr>
                    <w:r>
                      <w:rPr>
                        <w:rFonts w:hint="eastAsia"/>
                        <w:szCs w:val="21"/>
                      </w:rPr>
                      <w:t>承诺背景</w:t>
                    </w:r>
                  </w:p>
                </w:tc>
              </w:sdtContent>
            </w:sdt>
            <w:sdt>
              <w:sdtPr>
                <w:tag w:val="_PLD_6d89eb5533974f2f9b788e2563589a7c"/>
                <w:id w:val="501932223"/>
                <w:lock w:val="sdtLocked"/>
              </w:sdtPr>
              <w:sdtContent>
                <w:tc>
                  <w:tcPr>
                    <w:tcW w:w="479" w:type="pct"/>
                    <w:shd w:val="clear" w:color="auto" w:fill="auto"/>
                    <w:vAlign w:val="center"/>
                  </w:tcPr>
                  <w:p w:rsidR="00806678" w:rsidRDefault="00B16377">
                    <w:pPr>
                      <w:jc w:val="center"/>
                      <w:rPr>
                        <w:szCs w:val="21"/>
                      </w:rPr>
                    </w:pPr>
                    <w:r>
                      <w:rPr>
                        <w:rFonts w:hint="eastAsia"/>
                        <w:szCs w:val="21"/>
                      </w:rPr>
                      <w:t>承诺</w:t>
                    </w:r>
                  </w:p>
                  <w:p w:rsidR="00806678" w:rsidRDefault="00B16377">
                    <w:pPr>
                      <w:jc w:val="center"/>
                      <w:rPr>
                        <w:szCs w:val="21"/>
                      </w:rPr>
                    </w:pPr>
                    <w:r>
                      <w:rPr>
                        <w:rFonts w:hint="eastAsia"/>
                        <w:szCs w:val="21"/>
                      </w:rPr>
                      <w:t>类型</w:t>
                    </w:r>
                  </w:p>
                </w:tc>
              </w:sdtContent>
            </w:sdt>
            <w:sdt>
              <w:sdtPr>
                <w:tag w:val="_PLD_4e3459cf954648c5ade489d7f239c9b2"/>
                <w:id w:val="1671361255"/>
                <w:lock w:val="sdtLocked"/>
              </w:sdtPr>
              <w:sdtContent>
                <w:tc>
                  <w:tcPr>
                    <w:tcW w:w="495" w:type="pct"/>
                    <w:shd w:val="clear" w:color="auto" w:fill="auto"/>
                    <w:vAlign w:val="center"/>
                  </w:tcPr>
                  <w:p w:rsidR="00806678" w:rsidRDefault="00B16377">
                    <w:pPr>
                      <w:jc w:val="center"/>
                      <w:rPr>
                        <w:szCs w:val="21"/>
                      </w:rPr>
                    </w:pPr>
                    <w:r>
                      <w:rPr>
                        <w:rFonts w:hint="eastAsia"/>
                        <w:szCs w:val="21"/>
                      </w:rPr>
                      <w:t>承诺方</w:t>
                    </w:r>
                  </w:p>
                </w:tc>
              </w:sdtContent>
            </w:sdt>
            <w:sdt>
              <w:sdtPr>
                <w:tag w:val="_PLD_b7ba969a5a9f484b969e33829f8fee27"/>
                <w:id w:val="-77908693"/>
                <w:lock w:val="sdtLocked"/>
              </w:sdtPr>
              <w:sdtContent>
                <w:tc>
                  <w:tcPr>
                    <w:tcW w:w="518" w:type="pct"/>
                    <w:shd w:val="clear" w:color="auto" w:fill="auto"/>
                    <w:vAlign w:val="center"/>
                  </w:tcPr>
                  <w:p w:rsidR="00806678" w:rsidRDefault="00B16377">
                    <w:pPr>
                      <w:jc w:val="center"/>
                      <w:rPr>
                        <w:szCs w:val="21"/>
                      </w:rPr>
                    </w:pPr>
                    <w:r>
                      <w:rPr>
                        <w:rFonts w:hint="eastAsia"/>
                        <w:szCs w:val="21"/>
                      </w:rPr>
                      <w:t>承诺</w:t>
                    </w:r>
                  </w:p>
                  <w:p w:rsidR="00806678" w:rsidRDefault="00B16377">
                    <w:pPr>
                      <w:jc w:val="center"/>
                      <w:rPr>
                        <w:szCs w:val="21"/>
                      </w:rPr>
                    </w:pPr>
                    <w:r>
                      <w:rPr>
                        <w:rFonts w:hint="eastAsia"/>
                        <w:szCs w:val="21"/>
                      </w:rPr>
                      <w:t>内容</w:t>
                    </w:r>
                  </w:p>
                </w:tc>
              </w:sdtContent>
            </w:sdt>
            <w:sdt>
              <w:sdtPr>
                <w:tag w:val="_PLD_f0fda96fdc9f43318315f33cf1099787"/>
                <w:id w:val="170913482"/>
                <w:lock w:val="sdtLocked"/>
              </w:sdtPr>
              <w:sdtContent>
                <w:tc>
                  <w:tcPr>
                    <w:tcW w:w="518" w:type="pct"/>
                    <w:shd w:val="clear" w:color="auto" w:fill="auto"/>
                    <w:vAlign w:val="center"/>
                  </w:tcPr>
                  <w:p w:rsidR="00806678" w:rsidRDefault="00B16377">
                    <w:pPr>
                      <w:jc w:val="center"/>
                      <w:rPr>
                        <w:szCs w:val="21"/>
                      </w:rPr>
                    </w:pPr>
                    <w:r>
                      <w:rPr>
                        <w:rFonts w:hint="eastAsia"/>
                        <w:szCs w:val="21"/>
                      </w:rPr>
                      <w:t>承诺时间及期限</w:t>
                    </w:r>
                  </w:p>
                </w:tc>
              </w:sdtContent>
            </w:sdt>
            <w:sdt>
              <w:sdtPr>
                <w:tag w:val="_PLD_81953845df7c406091c017485ffe89d0"/>
                <w:id w:val="610705075"/>
                <w:lock w:val="sdtLocked"/>
              </w:sdtPr>
              <w:sdtContent>
                <w:tc>
                  <w:tcPr>
                    <w:tcW w:w="533" w:type="pct"/>
                    <w:shd w:val="clear" w:color="auto" w:fill="auto"/>
                    <w:vAlign w:val="center"/>
                  </w:tcPr>
                  <w:p w:rsidR="00806678" w:rsidRDefault="00B16377">
                    <w:pPr>
                      <w:jc w:val="center"/>
                      <w:rPr>
                        <w:szCs w:val="21"/>
                      </w:rPr>
                    </w:pPr>
                    <w:r>
                      <w:rPr>
                        <w:rFonts w:hint="eastAsia"/>
                        <w:szCs w:val="21"/>
                      </w:rPr>
                      <w:t>是否有履行期限</w:t>
                    </w:r>
                  </w:p>
                </w:tc>
              </w:sdtContent>
            </w:sdt>
            <w:sdt>
              <w:sdtPr>
                <w:tag w:val="_PLD_f70c8d8e3e374db7a8e212809462bcc0"/>
                <w:id w:val="-1732921932"/>
                <w:lock w:val="sdtLocked"/>
              </w:sdtPr>
              <w:sdtContent>
                <w:tc>
                  <w:tcPr>
                    <w:tcW w:w="523" w:type="pct"/>
                    <w:shd w:val="clear" w:color="auto" w:fill="auto"/>
                    <w:vAlign w:val="center"/>
                  </w:tcPr>
                  <w:p w:rsidR="00806678" w:rsidRDefault="00B16377">
                    <w:pPr>
                      <w:jc w:val="center"/>
                      <w:rPr>
                        <w:szCs w:val="21"/>
                      </w:rPr>
                    </w:pPr>
                    <w:r>
                      <w:rPr>
                        <w:rFonts w:hint="eastAsia"/>
                        <w:szCs w:val="21"/>
                      </w:rPr>
                      <w:t>是否及时严格履行</w:t>
                    </w:r>
                  </w:p>
                </w:tc>
              </w:sdtContent>
            </w:sdt>
            <w:sdt>
              <w:sdtPr>
                <w:tag w:val="_PLD_30da9c1a74564266bdab010410b3cfc4"/>
                <w:id w:val="504868093"/>
                <w:lock w:val="sdtLocked"/>
              </w:sdtPr>
              <w:sdtContent>
                <w:tc>
                  <w:tcPr>
                    <w:tcW w:w="612" w:type="pct"/>
                    <w:shd w:val="clear" w:color="auto" w:fill="auto"/>
                    <w:vAlign w:val="center"/>
                  </w:tcPr>
                  <w:p w:rsidR="00806678" w:rsidRDefault="00B16377">
                    <w:pPr>
                      <w:jc w:val="center"/>
                      <w:rPr>
                        <w:szCs w:val="21"/>
                      </w:rPr>
                    </w:pPr>
                    <w:r>
                      <w:rPr>
                        <w:rFonts w:hint="eastAsia"/>
                        <w:szCs w:val="21"/>
                      </w:rPr>
                      <w:t>如未能及时履行应说明未完成履行的具体原因</w:t>
                    </w:r>
                  </w:p>
                </w:tc>
              </w:sdtContent>
            </w:sdt>
            <w:sdt>
              <w:sdtPr>
                <w:tag w:val="_PLD_885166d72adc442aaa68aa0f496582ae"/>
                <w:id w:val="-996186891"/>
                <w:lock w:val="sdtLocked"/>
              </w:sdtPr>
              <w:sdtContent>
                <w:tc>
                  <w:tcPr>
                    <w:tcW w:w="480" w:type="pct"/>
                    <w:shd w:val="clear" w:color="auto" w:fill="auto"/>
                    <w:vAlign w:val="center"/>
                  </w:tcPr>
                  <w:p w:rsidR="00806678" w:rsidRDefault="00B16377">
                    <w:pPr>
                      <w:jc w:val="center"/>
                      <w:rPr>
                        <w:szCs w:val="21"/>
                      </w:rPr>
                    </w:pPr>
                    <w:r>
                      <w:rPr>
                        <w:rFonts w:hint="eastAsia"/>
                        <w:szCs w:val="21"/>
                      </w:rPr>
                      <w:t>如未能及时履行应说明下一步计划</w:t>
                    </w:r>
                  </w:p>
                </w:tc>
              </w:sdtContent>
            </w:sdt>
          </w:tr>
          <w:sdt>
            <w:sdtPr>
              <w:rPr>
                <w:rFonts w:hint="eastAsia"/>
                <w:szCs w:val="21"/>
              </w:rPr>
              <w:alias w:val="与再融资相关的承诺"/>
              <w:tag w:val="_TUP_9682f02d4694474e80ab0d28f5b09e2a"/>
              <w:id w:val="18561370"/>
              <w:lock w:val="sdtLocked"/>
            </w:sdtPr>
            <w:sdtEndPr>
              <w:rPr>
                <w:rFonts w:hint="default"/>
              </w:rPr>
            </w:sdtEndPr>
            <w:sdtContent>
              <w:tr w:rsidR="0049423B" w:rsidTr="00DB0663">
                <w:tc>
                  <w:tcPr>
                    <w:tcW w:w="842" w:type="pct"/>
                    <w:vMerge w:val="restart"/>
                    <w:shd w:val="clear" w:color="auto" w:fill="auto"/>
                    <w:vAlign w:val="center"/>
                  </w:tcPr>
                  <w:sdt>
                    <w:sdtPr>
                      <w:rPr>
                        <w:rFonts w:hint="eastAsia"/>
                        <w:szCs w:val="21"/>
                      </w:rPr>
                      <w:tag w:val="_PLD_d12294df3cd646d4972110210c9b66d9"/>
                      <w:id w:val="-993100743"/>
                      <w:lock w:val="sdtLocked"/>
                    </w:sdtPr>
                    <w:sdtContent>
                      <w:p w:rsidR="0049423B" w:rsidRDefault="0049423B">
                        <w:pPr>
                          <w:rPr>
                            <w:szCs w:val="21"/>
                          </w:rPr>
                        </w:pPr>
                        <w:r>
                          <w:rPr>
                            <w:rFonts w:hint="eastAsia"/>
                            <w:szCs w:val="21"/>
                          </w:rPr>
                          <w:t>与再融资相关的承诺</w:t>
                        </w:r>
                      </w:p>
                    </w:sdtContent>
                  </w:sdt>
                </w:tc>
                <w:sdt>
                  <w:sdtPr>
                    <w:rPr>
                      <w:szCs w:val="21"/>
                    </w:rPr>
                    <w:alias w:val="与再融资相关的承诺-承诺类型"/>
                    <w:tag w:val="_GBC_43b8e587b05f41abb7a4e371ebc768a4"/>
                    <w:id w:val="18561362"/>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479" w:type="pct"/>
                        <w:shd w:val="clear" w:color="auto" w:fill="auto"/>
                      </w:tcPr>
                      <w:p w:rsidR="0049423B" w:rsidRDefault="0049423B">
                        <w:pPr>
                          <w:jc w:val="both"/>
                          <w:rPr>
                            <w:szCs w:val="21"/>
                          </w:rPr>
                        </w:pPr>
                        <w:r>
                          <w:rPr>
                            <w:szCs w:val="21"/>
                          </w:rPr>
                          <w:t>其他</w:t>
                        </w:r>
                      </w:p>
                    </w:tc>
                  </w:sdtContent>
                </w:sdt>
                <w:tc>
                  <w:tcPr>
                    <w:tcW w:w="495" w:type="pct"/>
                    <w:shd w:val="clear" w:color="auto" w:fill="auto"/>
                    <w:vAlign w:val="center"/>
                  </w:tcPr>
                  <w:p w:rsidR="0049423B" w:rsidRDefault="0049423B">
                    <w:pPr>
                      <w:rPr>
                        <w:sz w:val="24"/>
                      </w:rPr>
                    </w:pPr>
                    <w:r>
                      <w:t>董事、高级管理人员</w:t>
                    </w:r>
                  </w:p>
                </w:tc>
                <w:tc>
                  <w:tcPr>
                    <w:tcW w:w="518" w:type="pct"/>
                    <w:shd w:val="clear" w:color="auto" w:fill="auto"/>
                    <w:vAlign w:val="center"/>
                  </w:tcPr>
                  <w:p w:rsidR="0049423B" w:rsidRDefault="0049423B">
                    <w:pPr>
                      <w:rPr>
                        <w:sz w:val="24"/>
                      </w:rPr>
                    </w:pPr>
                    <w:r>
                      <w:t>公司董事、高级管理人员关于发行可转换公司债券摊薄即期回报采取填补措施的承诺</w:t>
                    </w:r>
                  </w:p>
                </w:tc>
                <w:tc>
                  <w:tcPr>
                    <w:tcW w:w="518" w:type="pct"/>
                    <w:shd w:val="clear" w:color="auto" w:fill="auto"/>
                    <w:vAlign w:val="center"/>
                  </w:tcPr>
                  <w:p w:rsidR="0049423B" w:rsidRDefault="0049423B">
                    <w:pPr>
                      <w:rPr>
                        <w:sz w:val="24"/>
                      </w:rPr>
                    </w:pPr>
                    <w:r>
                      <w:t>2020年4月27日，长期有效</w:t>
                    </w:r>
                  </w:p>
                </w:tc>
                <w:sdt>
                  <w:sdtPr>
                    <w:rPr>
                      <w:szCs w:val="21"/>
                    </w:rPr>
                    <w:alias w:val="与再融资相关的承诺-是否有履行期限"/>
                    <w:tag w:val="_GBC_1745ddad9b514e55a80744937652a72d"/>
                    <w:id w:val="18561366"/>
                    <w:lock w:val="sdtLocked"/>
                    <w:comboBox>
                      <w:listItem w:displayText="是" w:value="true"/>
                      <w:listItem w:displayText="否" w:value="false"/>
                    </w:comboBox>
                  </w:sdtPr>
                  <w:sdtContent>
                    <w:tc>
                      <w:tcPr>
                        <w:tcW w:w="533" w:type="pct"/>
                        <w:shd w:val="clear" w:color="auto" w:fill="auto"/>
                      </w:tcPr>
                      <w:p w:rsidR="0049423B" w:rsidRDefault="0049423B">
                        <w:pPr>
                          <w:rPr>
                            <w:szCs w:val="21"/>
                          </w:rPr>
                        </w:pPr>
                        <w:r>
                          <w:rPr>
                            <w:szCs w:val="21"/>
                          </w:rPr>
                          <w:t>是</w:t>
                        </w:r>
                      </w:p>
                    </w:tc>
                  </w:sdtContent>
                </w:sdt>
                <w:sdt>
                  <w:sdtPr>
                    <w:rPr>
                      <w:szCs w:val="21"/>
                    </w:rPr>
                    <w:alias w:val="与再融资相关的承诺-是否及时严格履行"/>
                    <w:tag w:val="_GBC_987e1eea05fb4e60a59f5e8c16ae8c38"/>
                    <w:id w:val="18561367"/>
                    <w:lock w:val="sdtLocked"/>
                    <w:comboBox>
                      <w:listItem w:displayText="是" w:value="true"/>
                      <w:listItem w:displayText="否" w:value="false"/>
                    </w:comboBox>
                  </w:sdtPr>
                  <w:sdtContent>
                    <w:tc>
                      <w:tcPr>
                        <w:tcW w:w="523" w:type="pct"/>
                        <w:shd w:val="clear" w:color="auto" w:fill="auto"/>
                      </w:tcPr>
                      <w:p w:rsidR="0049423B" w:rsidRDefault="0049423B">
                        <w:pPr>
                          <w:rPr>
                            <w:szCs w:val="21"/>
                          </w:rPr>
                        </w:pPr>
                        <w:r>
                          <w:rPr>
                            <w:szCs w:val="21"/>
                          </w:rPr>
                          <w:t>是</w:t>
                        </w:r>
                      </w:p>
                    </w:tc>
                  </w:sdtContent>
                </w:sdt>
                <w:tc>
                  <w:tcPr>
                    <w:tcW w:w="612" w:type="pct"/>
                    <w:shd w:val="clear" w:color="auto" w:fill="auto"/>
                  </w:tcPr>
                  <w:p w:rsidR="0049423B" w:rsidRDefault="0049423B">
                    <w:pPr>
                      <w:rPr>
                        <w:szCs w:val="21"/>
                      </w:rPr>
                    </w:pPr>
                    <w:r w:rsidRPr="0049423B">
                      <w:rPr>
                        <w:rFonts w:hint="eastAsia"/>
                        <w:szCs w:val="21"/>
                      </w:rPr>
                      <w:t>不适用</w:t>
                    </w:r>
                  </w:p>
                </w:tc>
                <w:tc>
                  <w:tcPr>
                    <w:tcW w:w="480" w:type="pct"/>
                    <w:shd w:val="clear" w:color="auto" w:fill="auto"/>
                  </w:tcPr>
                  <w:p w:rsidR="0049423B" w:rsidRDefault="0049423B">
                    <w:pPr>
                      <w:rPr>
                        <w:szCs w:val="21"/>
                      </w:rPr>
                    </w:pPr>
                    <w:r w:rsidRPr="0049423B">
                      <w:rPr>
                        <w:rFonts w:hint="eastAsia"/>
                        <w:szCs w:val="21"/>
                      </w:rPr>
                      <w:t>不适用</w:t>
                    </w:r>
                  </w:p>
                </w:tc>
              </w:tr>
            </w:sdtContent>
          </w:sdt>
          <w:tr w:rsidR="0049423B" w:rsidTr="00DB0663">
            <w:tc>
              <w:tcPr>
                <w:tcW w:w="842" w:type="pct"/>
                <w:vMerge/>
                <w:shd w:val="clear" w:color="auto" w:fill="auto"/>
                <w:vAlign w:val="center"/>
              </w:tcPr>
              <w:p w:rsidR="0049423B" w:rsidRDefault="0049423B"/>
            </w:tc>
            <w:sdt>
              <w:sdtPr>
                <w:rPr>
                  <w:szCs w:val="21"/>
                </w:rPr>
                <w:alias w:val="与再融资相关的承诺-承诺类型"/>
                <w:tag w:val="_GBC_43b8e587b05f41abb7a4e371ebc768a4"/>
                <w:id w:val="33111402"/>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479" w:type="pct"/>
                    <w:shd w:val="clear" w:color="auto" w:fill="auto"/>
                  </w:tcPr>
                  <w:p w:rsidR="0049423B" w:rsidRDefault="0049423B">
                    <w:pPr>
                      <w:jc w:val="both"/>
                      <w:rPr>
                        <w:szCs w:val="21"/>
                      </w:rPr>
                    </w:pPr>
                    <w:r>
                      <w:rPr>
                        <w:szCs w:val="21"/>
                      </w:rPr>
                      <w:t>其他</w:t>
                    </w:r>
                  </w:p>
                </w:tc>
              </w:sdtContent>
            </w:sdt>
            <w:tc>
              <w:tcPr>
                <w:tcW w:w="495" w:type="pct"/>
                <w:shd w:val="clear" w:color="auto" w:fill="auto"/>
                <w:vAlign w:val="center"/>
              </w:tcPr>
              <w:p w:rsidR="0049423B" w:rsidRDefault="0049423B">
                <w:pPr>
                  <w:rPr>
                    <w:sz w:val="24"/>
                  </w:rPr>
                </w:pPr>
                <w:r>
                  <w:t>控股股东</w:t>
                </w:r>
              </w:p>
            </w:tc>
            <w:tc>
              <w:tcPr>
                <w:tcW w:w="518" w:type="pct"/>
                <w:shd w:val="clear" w:color="auto" w:fill="auto"/>
                <w:vAlign w:val="center"/>
              </w:tcPr>
              <w:p w:rsidR="0049423B" w:rsidRDefault="0049423B">
                <w:pPr>
                  <w:rPr>
                    <w:sz w:val="24"/>
                  </w:rPr>
                </w:pPr>
                <w:r>
                  <w:t>公司控股股东关于发行可转换公司债券摊薄即期回报采取填补措施的承诺</w:t>
                </w:r>
              </w:p>
            </w:tc>
            <w:tc>
              <w:tcPr>
                <w:tcW w:w="518" w:type="pct"/>
                <w:shd w:val="clear" w:color="auto" w:fill="auto"/>
                <w:vAlign w:val="center"/>
              </w:tcPr>
              <w:p w:rsidR="0049423B" w:rsidRDefault="0049423B">
                <w:pPr>
                  <w:rPr>
                    <w:sz w:val="24"/>
                  </w:rPr>
                </w:pPr>
                <w:r>
                  <w:t>2020年4月27日，长期有效</w:t>
                </w:r>
              </w:p>
            </w:tc>
            <w:sdt>
              <w:sdtPr>
                <w:rPr>
                  <w:szCs w:val="21"/>
                </w:rPr>
                <w:alias w:val="与再融资相关的承诺-是否有履行期限"/>
                <w:tag w:val="_GBC_1745ddad9b514e55a80744937652a72d"/>
                <w:id w:val="33111403"/>
                <w:lock w:val="sdtLocked"/>
                <w:comboBox>
                  <w:listItem w:displayText="是" w:value="true"/>
                  <w:listItem w:displayText="否" w:value="false"/>
                </w:comboBox>
              </w:sdtPr>
              <w:sdtContent>
                <w:tc>
                  <w:tcPr>
                    <w:tcW w:w="533" w:type="pct"/>
                    <w:shd w:val="clear" w:color="auto" w:fill="auto"/>
                  </w:tcPr>
                  <w:p w:rsidR="0049423B" w:rsidRDefault="0049423B">
                    <w:pPr>
                      <w:rPr>
                        <w:szCs w:val="21"/>
                      </w:rPr>
                    </w:pPr>
                    <w:r>
                      <w:rPr>
                        <w:szCs w:val="21"/>
                      </w:rPr>
                      <w:t>是</w:t>
                    </w:r>
                  </w:p>
                </w:tc>
              </w:sdtContent>
            </w:sdt>
            <w:sdt>
              <w:sdtPr>
                <w:rPr>
                  <w:szCs w:val="21"/>
                </w:rPr>
                <w:alias w:val="与再融资相关的承诺-是否及时严格履行"/>
                <w:tag w:val="_GBC_987e1eea05fb4e60a59f5e8c16ae8c38"/>
                <w:id w:val="33111404"/>
                <w:lock w:val="sdtLocked"/>
                <w:comboBox>
                  <w:listItem w:displayText="是" w:value="true"/>
                  <w:listItem w:displayText="否" w:value="false"/>
                </w:comboBox>
              </w:sdtPr>
              <w:sdtContent>
                <w:tc>
                  <w:tcPr>
                    <w:tcW w:w="523" w:type="pct"/>
                    <w:shd w:val="clear" w:color="auto" w:fill="auto"/>
                  </w:tcPr>
                  <w:p w:rsidR="0049423B" w:rsidRDefault="0049423B">
                    <w:pPr>
                      <w:rPr>
                        <w:szCs w:val="21"/>
                      </w:rPr>
                    </w:pPr>
                    <w:r>
                      <w:rPr>
                        <w:szCs w:val="21"/>
                      </w:rPr>
                      <w:t>是</w:t>
                    </w:r>
                  </w:p>
                </w:tc>
              </w:sdtContent>
            </w:sdt>
            <w:tc>
              <w:tcPr>
                <w:tcW w:w="612" w:type="pct"/>
                <w:shd w:val="clear" w:color="auto" w:fill="auto"/>
              </w:tcPr>
              <w:p w:rsidR="0049423B" w:rsidRDefault="0049423B">
                <w:pPr>
                  <w:rPr>
                    <w:szCs w:val="21"/>
                  </w:rPr>
                </w:pPr>
                <w:r w:rsidRPr="0049423B">
                  <w:rPr>
                    <w:rFonts w:hint="eastAsia"/>
                    <w:szCs w:val="21"/>
                  </w:rPr>
                  <w:t>不适用</w:t>
                </w:r>
              </w:p>
            </w:tc>
            <w:tc>
              <w:tcPr>
                <w:tcW w:w="480" w:type="pct"/>
                <w:shd w:val="clear" w:color="auto" w:fill="auto"/>
              </w:tcPr>
              <w:p w:rsidR="0049423B" w:rsidRDefault="0049423B">
                <w:pPr>
                  <w:rPr>
                    <w:szCs w:val="21"/>
                  </w:rPr>
                </w:pPr>
                <w:r w:rsidRPr="0049423B">
                  <w:rPr>
                    <w:rFonts w:hint="eastAsia"/>
                    <w:szCs w:val="21"/>
                  </w:rPr>
                  <w:t>不适用</w:t>
                </w:r>
              </w:p>
            </w:tc>
          </w:tr>
        </w:tbl>
        <w:p w:rsidR="00806678" w:rsidRDefault="00F80B6C"/>
      </w:sdtContent>
    </w:sdt>
    <w:p w:rsidR="00806678" w:rsidRDefault="00806678">
      <w:pPr>
        <w:rPr>
          <w:szCs w:val="21"/>
        </w:rPr>
        <w:sectPr w:rsidR="00806678" w:rsidSect="00DC3066">
          <w:pgSz w:w="16838" w:h="11906" w:orient="landscape"/>
          <w:pgMar w:top="1797" w:right="1525" w:bottom="1276" w:left="1440" w:header="855" w:footer="992" w:gutter="0"/>
          <w:cols w:space="425"/>
          <w:docGrid w:linePitch="312"/>
        </w:sectPr>
      </w:pPr>
    </w:p>
    <w:p w:rsidR="00806678" w:rsidRDefault="00806678">
      <w:pPr>
        <w:rPr>
          <w:szCs w:val="21"/>
        </w:rPr>
      </w:pPr>
    </w:p>
    <w:sdt>
      <w:sdtPr>
        <w:rPr>
          <w:rFonts w:ascii="宋体" w:hAnsi="宋体" w:cs="宋体"/>
          <w:b w:val="0"/>
          <w:bCs w:val="0"/>
          <w:kern w:val="0"/>
          <w:szCs w:val="21"/>
        </w:rPr>
        <w:alias w:val="模块:公司资产或项目存在盈利预测，且报告期仍处在盈利预测期间，公司..."/>
        <w:tag w:val="_SEC_971c56855aee43acbd29723c087f563c"/>
        <w:id w:val="4639247"/>
        <w:lock w:val="sdtLocked"/>
        <w:placeholder>
          <w:docPart w:val="GBC22222222222222222222222222222"/>
        </w:placeholder>
      </w:sdtPr>
      <w:sdtEndPr>
        <w:rPr>
          <w:rFonts w:hint="eastAsia"/>
        </w:rPr>
      </w:sdtEndPr>
      <w:sdtContent>
        <w:p w:rsidR="00806678" w:rsidRDefault="00B16377">
          <w:pPr>
            <w:pStyle w:val="3"/>
            <w:numPr>
              <w:ilvl w:val="1"/>
              <w:numId w:val="15"/>
            </w:numPr>
            <w:rPr>
              <w:szCs w:val="21"/>
            </w:rPr>
          </w:pPr>
          <w:r>
            <w:rPr>
              <w:szCs w:val="21"/>
            </w:rPr>
            <w:t>公司资产或项目存在盈利预测，且报告期仍处在盈利预测期间，公司就资产或项目</w:t>
          </w:r>
        </w:p>
        <w:p w:rsidR="00806678" w:rsidRDefault="00B16377">
          <w:pPr>
            <w:rPr>
              <w:b/>
              <w:szCs w:val="21"/>
            </w:rPr>
          </w:pPr>
          <w:r>
            <w:rPr>
              <w:rFonts w:hint="eastAsia"/>
              <w:b/>
              <w:szCs w:val="21"/>
            </w:rPr>
            <w:t>是否达到原盈利预测及其原因作出说明</w:t>
          </w:r>
        </w:p>
        <w:sdt>
          <w:sdtPr>
            <w:rPr>
              <w:szCs w:val="21"/>
            </w:rPr>
            <w:alias w:val="是否适用：公司就资产或项目是否达到原盈利预测及其原因作出说明"/>
            <w:tag w:val="_GBC_f8fa889013a24cb79a6ed52423d2c5a8"/>
            <w:id w:val="-2024015074"/>
            <w:lock w:val="sdtLocked"/>
            <w:placeholder>
              <w:docPart w:val="GBC22222222222222222222222222222"/>
            </w:placeholder>
          </w:sdtPr>
          <w:sdtContent>
            <w:p w:rsidR="00806678" w:rsidRPr="0035409E" w:rsidRDefault="00F80B6C">
              <w:pPr>
                <w:rPr>
                  <w:szCs w:val="21"/>
                </w:rPr>
              </w:pPr>
              <w:r>
                <w:rPr>
                  <w:szCs w:val="21"/>
                </w:rPr>
                <w:fldChar w:fldCharType="begin"/>
              </w:r>
              <w:r w:rsidR="001F07A5">
                <w:rPr>
                  <w:szCs w:val="21"/>
                </w:rPr>
                <w:instrText xml:space="preserve"> MACROBUTTON  SnrToggleCheckbox □已达到 </w:instrText>
              </w:r>
              <w:r>
                <w:rPr>
                  <w:szCs w:val="21"/>
                </w:rPr>
                <w:fldChar w:fldCharType="end"/>
              </w:r>
              <w:r>
                <w:rPr>
                  <w:szCs w:val="21"/>
                </w:rPr>
                <w:fldChar w:fldCharType="begin"/>
              </w:r>
              <w:r w:rsidR="001F07A5">
                <w:rPr>
                  <w:szCs w:val="21"/>
                </w:rPr>
                <w:instrText xml:space="preserve"> MACROBUTTON  SnrToggleCheckbox □未达到 </w:instrText>
              </w:r>
              <w:r>
                <w:rPr>
                  <w:szCs w:val="21"/>
                </w:rPr>
                <w:fldChar w:fldCharType="end"/>
              </w:r>
              <w:r>
                <w:rPr>
                  <w:szCs w:val="21"/>
                </w:rPr>
                <w:fldChar w:fldCharType="begin"/>
              </w:r>
              <w:r w:rsidR="001F07A5">
                <w:rPr>
                  <w:szCs w:val="21"/>
                </w:rPr>
                <w:instrText xml:space="preserve"> MACROBUTTON  SnrToggleCheckbox √不适用 </w:instrText>
              </w:r>
              <w:r>
                <w:rPr>
                  <w:szCs w:val="21"/>
                </w:rPr>
                <w:fldChar w:fldCharType="end"/>
              </w:r>
            </w:p>
          </w:sdtContent>
        </w:sdt>
      </w:sdtContent>
    </w:sdt>
    <w:bookmarkStart w:id="73" w:name="_Hlk533667679" w:displacedByCustomXml="next"/>
    <w:bookmarkStart w:id="74" w:name="_Hlk533667690" w:displacedByCustomXml="next"/>
    <w:sdt>
      <w:sdtPr>
        <w:rPr>
          <w:rFonts w:ascii="宋体" w:hAnsi="宋体" w:cs="宋体" w:hint="eastAsia"/>
          <w:b w:val="0"/>
          <w:bCs w:val="0"/>
          <w:kern w:val="0"/>
          <w:szCs w:val="21"/>
        </w:rPr>
        <w:alias w:val="模块:业绩承诺的完成情况及其对商誉减值测试的影响"/>
        <w:tag w:val="_SEC_86c8a9a047bf4390b162a151daf2ea63"/>
        <w:id w:val="-967963506"/>
        <w:lock w:val="sdtLocked"/>
        <w:placeholder>
          <w:docPart w:val="GBC22222222222222222222222222222"/>
        </w:placeholder>
      </w:sdtPr>
      <w:sdtEndPr>
        <w:rPr>
          <w:rFonts w:hint="default"/>
          <w:szCs w:val="24"/>
        </w:rPr>
      </w:sdtEndPr>
      <w:sdtContent>
        <w:bookmarkEnd w:id="73" w:displacedByCustomXml="prev"/>
        <w:p w:rsidR="00806678" w:rsidRDefault="00B16377">
          <w:pPr>
            <w:pStyle w:val="3"/>
            <w:numPr>
              <w:ilvl w:val="1"/>
              <w:numId w:val="15"/>
            </w:numPr>
            <w:rPr>
              <w:szCs w:val="21"/>
            </w:rPr>
          </w:pPr>
          <w:r>
            <w:rPr>
              <w:rFonts w:ascii="宋体" w:hAnsi="宋体" w:cs="宋体" w:hint="eastAsia"/>
              <w:bCs w:val="0"/>
              <w:kern w:val="0"/>
              <w:szCs w:val="21"/>
            </w:rPr>
            <w:t>业绩承诺的完成情况及其对商誉减值测试的影响</w:t>
          </w:r>
        </w:p>
        <w:p w:rsidR="00806678" w:rsidRDefault="00F80B6C">
          <w:sdt>
            <w:sdtPr>
              <w:rPr>
                <w:rFonts w:hint="eastAsia"/>
                <w:b/>
                <w:szCs w:val="21"/>
              </w:rPr>
              <w:alias w:val="是否适用：承诺事项-商誉减值测试的影响[双击切换]"/>
              <w:tag w:val="_GBC_659442fc24654f8db642f18c0532cf99"/>
              <w:id w:val="1965699366"/>
              <w:lock w:val="sdtLocked"/>
              <w:placeholder>
                <w:docPart w:val="GBC22222222222222222222222222222"/>
              </w:placeholder>
            </w:sdtPr>
            <w:sdtContent>
              <w:r>
                <w:rPr>
                  <w:szCs w:val="21"/>
                </w:rPr>
                <w:fldChar w:fldCharType="begin"/>
              </w:r>
              <w:r w:rsidR="001F07A5">
                <w:rPr>
                  <w:szCs w:val="21"/>
                </w:rPr>
                <w:instrText xml:space="preserve"> MACROBUTTON  SnrToggleCheckbox □适用 </w:instrText>
              </w:r>
              <w:r>
                <w:rPr>
                  <w:szCs w:val="21"/>
                </w:rPr>
                <w:fldChar w:fldCharType="end"/>
              </w:r>
              <w:r>
                <w:rPr>
                  <w:szCs w:val="21"/>
                </w:rPr>
                <w:fldChar w:fldCharType="begin"/>
              </w:r>
              <w:r w:rsidR="001F07A5">
                <w:rPr>
                  <w:szCs w:val="21"/>
                </w:rPr>
                <w:instrText xml:space="preserve"> MACROBUTTON  SnrToggleCheckbox √不适用 </w:instrText>
              </w:r>
              <w:r>
                <w:rPr>
                  <w:szCs w:val="21"/>
                </w:rPr>
                <w:fldChar w:fldCharType="end"/>
              </w:r>
            </w:sdtContent>
          </w:sdt>
        </w:p>
      </w:sdtContent>
    </w:sdt>
    <w:bookmarkEnd w:id="74" w:displacedByCustomXml="prev"/>
    <w:bookmarkStart w:id="75" w:name="_Hlk89336052" w:displacedByCustomXml="next"/>
    <w:sdt>
      <w:sdtPr>
        <w:rPr>
          <w:rFonts w:ascii="宋体" w:hAnsi="宋体" w:cs="宋体" w:hint="eastAsia"/>
          <w:b w:val="0"/>
          <w:bCs w:val="0"/>
          <w:kern w:val="0"/>
          <w:szCs w:val="24"/>
        </w:rPr>
        <w:alias w:val="模块:报告期内控股股东及其他关联方非经营性占用资金情况  单位..."/>
        <w:tag w:val="_SEC_64e4682d0039484ab6016e0d63651914"/>
        <w:id w:val="-1844697600"/>
        <w:lock w:val="sdtLocked"/>
        <w:placeholder>
          <w:docPart w:val="GBC22222222222222222222222222222"/>
        </w:placeholder>
      </w:sdtPr>
      <w:sdtEndPr>
        <w:rPr>
          <w:rFonts w:hint="default"/>
        </w:rPr>
      </w:sdtEndPr>
      <w:sdtContent>
        <w:p w:rsidR="00806678" w:rsidRDefault="00B16377">
          <w:pPr>
            <w:pStyle w:val="2"/>
            <w:numPr>
              <w:ilvl w:val="0"/>
              <w:numId w:val="9"/>
            </w:numPr>
            <w:rPr>
              <w:rFonts w:ascii="宋体" w:hAnsi="宋体"/>
            </w:rPr>
          </w:pPr>
          <w:r>
            <w:rPr>
              <w:rFonts w:ascii="宋体" w:hAnsi="宋体" w:hint="eastAsia"/>
            </w:rPr>
            <w:t>报</w:t>
          </w:r>
          <w:r>
            <w:rPr>
              <w:rFonts w:ascii="宋体" w:hAnsi="宋体"/>
            </w:rPr>
            <w:t>告期内</w:t>
          </w:r>
          <w:r>
            <w:rPr>
              <w:rFonts w:ascii="宋体" w:hAnsi="宋体" w:hint="eastAsia"/>
            </w:rPr>
            <w:t>控股股东及其他关联方非经营性占用资金情况</w:t>
          </w:r>
        </w:p>
        <w:sdt>
          <w:sdtPr>
            <w:rPr>
              <w:szCs w:val="21"/>
            </w:rPr>
            <w:alias w:val="是否适用：资金被占用情况及清欠进展情况[双击切换]"/>
            <w:tag w:val="_GBC_a94958949e0846929a78a71186526204"/>
            <w:id w:val="1372886137"/>
            <w:lock w:val="sdtLocked"/>
            <w:placeholder>
              <w:docPart w:val="GBC22222222222222222222222222222"/>
            </w:placeholder>
          </w:sdtPr>
          <w:sdtContent>
            <w:p w:rsidR="00806678" w:rsidRDefault="00F80B6C" w:rsidP="0048795E">
              <w:r>
                <w:rPr>
                  <w:szCs w:val="21"/>
                </w:rPr>
                <w:fldChar w:fldCharType="begin"/>
              </w:r>
              <w:r w:rsidR="0048795E">
                <w:rPr>
                  <w:szCs w:val="21"/>
                </w:rPr>
                <w:instrText xml:space="preserve"> MACROBUTTON  SnrToggleCheckbox □适用 </w:instrText>
              </w:r>
              <w:r>
                <w:rPr>
                  <w:szCs w:val="21"/>
                </w:rPr>
                <w:fldChar w:fldCharType="end"/>
              </w:r>
              <w:r>
                <w:rPr>
                  <w:szCs w:val="21"/>
                </w:rPr>
                <w:fldChar w:fldCharType="begin"/>
              </w:r>
              <w:r w:rsidR="0048795E">
                <w:rPr>
                  <w:szCs w:val="21"/>
                </w:rPr>
                <w:instrText xml:space="preserve"> MACROBUTTON  SnrToggleCheckbox √不适用 </w:instrText>
              </w:r>
              <w:r>
                <w:rPr>
                  <w:szCs w:val="21"/>
                </w:rPr>
                <w:fldChar w:fldCharType="end"/>
              </w:r>
            </w:p>
          </w:sdtContent>
        </w:sdt>
      </w:sdtContent>
    </w:sdt>
    <w:bookmarkEnd w:id="75" w:displacedByCustomXml="next"/>
    <w:bookmarkStart w:id="76" w:name="_Hlk89337011" w:displacedByCustomXml="next"/>
    <w:sdt>
      <w:sdtPr>
        <w:rPr>
          <w:rFonts w:ascii="宋体" w:hAnsi="宋体" w:cs="宋体" w:hint="eastAsia"/>
          <w:b w:val="0"/>
          <w:bCs w:val="0"/>
          <w:kern w:val="0"/>
          <w:szCs w:val="24"/>
        </w:rPr>
        <w:alias w:val="模块:违规担保情况"/>
        <w:tag w:val="_SEC_b410eb19cb794b80b75b15dd0963620a"/>
        <w:id w:val="718862550"/>
        <w:lock w:val="sdtLocked"/>
        <w:placeholder>
          <w:docPart w:val="GBC22222222222222222222222222222"/>
        </w:placeholder>
      </w:sdtPr>
      <w:sdtEndPr>
        <w:rPr>
          <w:rFonts w:hint="default"/>
        </w:rPr>
      </w:sdtEndPr>
      <w:sdtContent>
        <w:p w:rsidR="00806678" w:rsidRDefault="00B16377">
          <w:pPr>
            <w:pStyle w:val="2"/>
            <w:numPr>
              <w:ilvl w:val="0"/>
              <w:numId w:val="9"/>
            </w:numPr>
            <w:rPr>
              <w:rFonts w:ascii="宋体" w:hAnsi="宋体"/>
            </w:rPr>
          </w:pPr>
          <w:r>
            <w:rPr>
              <w:rFonts w:ascii="宋体" w:hAnsi="宋体" w:hint="eastAsia"/>
            </w:rPr>
            <w:t>违规担保情况</w:t>
          </w:r>
        </w:p>
        <w:sdt>
          <w:sdtPr>
            <w:alias w:val="是否适用：违规担保情况[双击切换]"/>
            <w:tag w:val="_GBC_b2d16e23c066427a800b40aaa053bc8e"/>
            <w:id w:val="619191105"/>
            <w:lock w:val="sdtLocked"/>
            <w:placeholder>
              <w:docPart w:val="GBC22222222222222222222222222222"/>
            </w:placeholder>
          </w:sdtPr>
          <w:sdtContent>
            <w:p w:rsidR="00806678" w:rsidRDefault="00F80B6C" w:rsidP="001F07A5">
              <w:r>
                <w:fldChar w:fldCharType="begin"/>
              </w:r>
              <w:r w:rsidR="001F07A5">
                <w:instrText xml:space="preserve"> MACROBUTTON  SnrToggleCheckbox □适用 </w:instrText>
              </w:r>
              <w:r>
                <w:fldChar w:fldCharType="end"/>
              </w:r>
              <w:r>
                <w:fldChar w:fldCharType="begin"/>
              </w:r>
              <w:r w:rsidR="001F07A5">
                <w:instrText xml:space="preserve"> MACROBUTTON  SnrToggleCheckbox √不适用 </w:instrText>
              </w:r>
              <w:r>
                <w:fldChar w:fldCharType="end"/>
              </w:r>
            </w:p>
          </w:sdtContent>
        </w:sdt>
      </w:sdtContent>
    </w:sdt>
    <w:bookmarkEnd w:id="76" w:displacedByCustomXml="next"/>
    <w:sdt>
      <w:sdtPr>
        <w:rPr>
          <w:rFonts w:ascii="宋体" w:hAnsi="宋体" w:cs="宋体" w:hint="eastAsia"/>
          <w:b w:val="0"/>
          <w:bCs w:val="0"/>
          <w:kern w:val="0"/>
          <w:szCs w:val="24"/>
        </w:rPr>
        <w:alias w:val="模块:公司对会计师事务所“非标准意见审计报告”的说明"/>
        <w:tag w:val="_SEC_9d3a2dd92a2447d580108acf33ecf5ea"/>
        <w:id w:val="4639357"/>
        <w:lock w:val="sdtLocked"/>
        <w:placeholder>
          <w:docPart w:val="GBC22222222222222222222222222222"/>
        </w:placeholder>
      </w:sdtPr>
      <w:sdtContent>
        <w:p w:rsidR="00806678" w:rsidRDefault="00B16377">
          <w:pPr>
            <w:pStyle w:val="2"/>
            <w:numPr>
              <w:ilvl w:val="0"/>
              <w:numId w:val="9"/>
            </w:numPr>
            <w:rPr>
              <w:rFonts w:ascii="宋体" w:hAnsi="宋体" w:cs="宋体"/>
              <w:kern w:val="0"/>
              <w:szCs w:val="24"/>
            </w:rPr>
          </w:pPr>
          <w:r>
            <w:rPr>
              <w:rFonts w:ascii="宋体" w:hAnsi="宋体" w:cs="宋体" w:hint="eastAsia"/>
              <w:kern w:val="0"/>
              <w:szCs w:val="24"/>
            </w:rPr>
            <w:t>公司董事会对会计师事务所“非标准意见审计报告”的说明</w:t>
          </w:r>
        </w:p>
        <w:p w:rsidR="00806678" w:rsidRPr="001F07A5" w:rsidRDefault="00F80B6C">
          <w:pPr>
            <w:rPr>
              <w:szCs w:val="21"/>
            </w:rPr>
          </w:pPr>
          <w:sdt>
            <w:sdtPr>
              <w:alias w:val="是否适用：董事会对会计师事务所非标准审计报告的说明[双击切换]"/>
              <w:tag w:val="_GBC_81f7a662b6a641d8aadb05b1cb176ecf"/>
              <w:id w:val="-614213778"/>
              <w:lock w:val="sdtLocked"/>
              <w:placeholder>
                <w:docPart w:val="GBC22222222222222222222222222222"/>
              </w:placeholder>
            </w:sdtPr>
            <w:sdtContent>
              <w:r>
                <w:fldChar w:fldCharType="begin"/>
              </w:r>
              <w:r w:rsidR="001F07A5">
                <w:instrText xml:space="preserve">MACROBUTTON  SnrToggleCheckbox □适用 </w:instrText>
              </w:r>
              <w:r>
                <w:fldChar w:fldCharType="end"/>
              </w:r>
              <w:r>
                <w:fldChar w:fldCharType="begin"/>
              </w:r>
              <w:r w:rsidR="001F07A5">
                <w:instrText xml:space="preserve"> MACROBUTTON  SnrToggleCheckbox √不适用 </w:instrText>
              </w:r>
              <w:r>
                <w:fldChar w:fldCharType="end"/>
              </w:r>
            </w:sdtContent>
          </w:sdt>
        </w:p>
      </w:sdtContent>
    </w:sdt>
    <w:p w:rsidR="00806678" w:rsidRDefault="00B16377">
      <w:pPr>
        <w:pStyle w:val="2"/>
        <w:numPr>
          <w:ilvl w:val="0"/>
          <w:numId w:val="9"/>
        </w:numPr>
        <w:rPr>
          <w:rFonts w:ascii="宋体" w:hAnsi="宋体" w:cs="宋体"/>
          <w:kern w:val="0"/>
          <w:szCs w:val="24"/>
        </w:rPr>
      </w:pPr>
      <w:r>
        <w:rPr>
          <w:rFonts w:ascii="宋体" w:hAnsi="宋体" w:cs="宋体" w:hint="eastAsia"/>
          <w:kern w:val="0"/>
          <w:szCs w:val="24"/>
        </w:rPr>
        <w:t>公司对会计政策、会计估计变更或重大会计差错更正原因和影响的分析说明</w:t>
      </w:r>
    </w:p>
    <w:sdt>
      <w:sdtPr>
        <w:rPr>
          <w:rFonts w:ascii="宋体" w:hAnsi="宋体" w:cs="宋体" w:hint="eastAsia"/>
          <w:b w:val="0"/>
          <w:bCs w:val="0"/>
          <w:kern w:val="0"/>
          <w:szCs w:val="24"/>
        </w:rPr>
        <w:alias w:val="模块:董事公司对会计政策、会计估计变更原因及影响的分析说明"/>
        <w:tag w:val="_SEC_848c3b6b128d4e1c85d360627256d912"/>
        <w:id w:val="4639427"/>
        <w:lock w:val="sdtLocked"/>
        <w:placeholder>
          <w:docPart w:val="GBC22222222222222222222222222222"/>
        </w:placeholder>
      </w:sdtPr>
      <w:sdtContent>
        <w:p w:rsidR="00806678" w:rsidRDefault="00B16377" w:rsidP="00FF17C7">
          <w:pPr>
            <w:pStyle w:val="3"/>
            <w:numPr>
              <w:ilvl w:val="0"/>
              <w:numId w:val="67"/>
            </w:numPr>
          </w:pPr>
          <w:r>
            <w:rPr>
              <w:rFonts w:hint="eastAsia"/>
            </w:rPr>
            <w:t>公司对会计政策、会计估计变更原因及影响的分析说明</w:t>
          </w:r>
        </w:p>
        <w:sdt>
          <w:sdtPr>
            <w:rPr>
              <w:rFonts w:hint="eastAsia"/>
              <w:szCs w:val="21"/>
            </w:rPr>
            <w:alias w:val="是否适用：公司对会计政策、会计估计更正的原因及影响[双击切换]"/>
            <w:tag w:val="_GBC_af0d7b808dd9452c873bbe81905062f6"/>
            <w:id w:val="-178967282"/>
            <w:lock w:val="sdtLocked"/>
            <w:placeholder>
              <w:docPart w:val="GBC22222222222222222222222222222"/>
            </w:placeholder>
          </w:sdtPr>
          <w:sdtContent>
            <w:p w:rsidR="00806678" w:rsidRDefault="00F80B6C">
              <w:pPr>
                <w:rPr>
                  <w:szCs w:val="21"/>
                </w:rPr>
              </w:pPr>
              <w:r>
                <w:rPr>
                  <w:szCs w:val="21"/>
                </w:rPr>
                <w:fldChar w:fldCharType="begin"/>
              </w:r>
              <w:r w:rsidR="00CC35D7">
                <w:rPr>
                  <w:szCs w:val="21"/>
                </w:rPr>
                <w:instrText xml:space="preserve"> MACROBUTTON  SnrToggleCheckbox √适用  </w:instrText>
              </w:r>
              <w:r>
                <w:rPr>
                  <w:szCs w:val="21"/>
                </w:rPr>
                <w:fldChar w:fldCharType="end"/>
              </w:r>
              <w:r>
                <w:rPr>
                  <w:szCs w:val="21"/>
                </w:rPr>
                <w:fldChar w:fldCharType="begin"/>
              </w:r>
              <w:r w:rsidR="00CC35D7">
                <w:rPr>
                  <w:szCs w:val="21"/>
                </w:rPr>
                <w:instrText xml:space="preserve"> MACROBUTTON  SnrToggleCheckbox □不适用 </w:instrText>
              </w:r>
              <w:r>
                <w:rPr>
                  <w:szCs w:val="21"/>
                </w:rPr>
                <w:fldChar w:fldCharType="end"/>
              </w:r>
            </w:p>
          </w:sdtContent>
        </w:sdt>
        <w:sdt>
          <w:sdtPr>
            <w:rPr>
              <w:szCs w:val="21"/>
            </w:rPr>
            <w:alias w:val="公司对会计政策会计估计变更原因及影响"/>
            <w:tag w:val="_GBC_ead0cc85823e4aad9c4c70db77b2ff95"/>
            <w:id w:val="1142309652"/>
            <w:lock w:val="sdtLocked"/>
            <w:placeholder>
              <w:docPart w:val="GBC22222222222222222222222222222"/>
            </w:placeholder>
          </w:sdtPr>
          <w:sdtContent>
            <w:p w:rsidR="00806678" w:rsidRDefault="00CC35D7" w:rsidP="00CC35D7">
              <w:pPr>
                <w:adjustRightInd w:val="0"/>
                <w:snapToGrid w:val="0"/>
                <w:spacing w:line="360" w:lineRule="auto"/>
                <w:ind w:firstLineChars="200" w:firstLine="420"/>
              </w:pPr>
              <w:r>
                <w:rPr>
                  <w:rFonts w:hint="eastAsia"/>
                </w:rPr>
                <w:t>报告期内，公司采用企业会计准则或规定的影响详见本年度报告第十节“财务报告”附注五、4</w:t>
              </w:r>
              <w:r>
                <w:t>4</w:t>
              </w:r>
              <w:r>
                <w:rPr>
                  <w:rFonts w:hint="eastAsia"/>
                </w:rPr>
                <w:t>.重要会计政策和会计估计的变更。</w:t>
              </w:r>
            </w:p>
          </w:sdtContent>
        </w:sdt>
      </w:sdtContent>
    </w:sdt>
    <w:sdt>
      <w:sdtPr>
        <w:rPr>
          <w:rFonts w:ascii="宋体" w:hAnsi="宋体" w:cs="宋体" w:hint="eastAsia"/>
          <w:b w:val="0"/>
          <w:bCs w:val="0"/>
          <w:kern w:val="0"/>
          <w:szCs w:val="24"/>
        </w:rPr>
        <w:alias w:val="模块:董事会对重要前期差错更正的原因及影响的分析说明"/>
        <w:tag w:val="_SEC_a2664cc90b224463a6b390e3c02032b0"/>
        <w:id w:val="4639441"/>
        <w:lock w:val="sdtLocked"/>
        <w:placeholder>
          <w:docPart w:val="GBC22222222222222222222222222222"/>
        </w:placeholder>
      </w:sdtPr>
      <w:sdtContent>
        <w:p w:rsidR="00806678" w:rsidRDefault="00B16377" w:rsidP="00FF17C7">
          <w:pPr>
            <w:pStyle w:val="3"/>
            <w:numPr>
              <w:ilvl w:val="0"/>
              <w:numId w:val="67"/>
            </w:numPr>
          </w:pPr>
          <w:r>
            <w:rPr>
              <w:rFonts w:hint="eastAsia"/>
            </w:rPr>
            <w:t>公司对重大会计</w:t>
          </w:r>
          <w:r>
            <w:rPr>
              <w:rFonts w:hint="eastAsia"/>
              <w:bCs w:val="0"/>
              <w:szCs w:val="24"/>
            </w:rPr>
            <w:t>差错</w:t>
          </w:r>
          <w:r>
            <w:rPr>
              <w:rFonts w:hint="eastAsia"/>
            </w:rPr>
            <w:t>更正原因及影响的分析说明</w:t>
          </w:r>
        </w:p>
        <w:sdt>
          <w:sdtPr>
            <w:rPr>
              <w:rFonts w:hint="eastAsia"/>
              <w:szCs w:val="21"/>
            </w:rPr>
            <w:alias w:val="是否适用：公司对重大会计差错更正的原因及影响[双击切换]"/>
            <w:tag w:val="_GBC_20433825c59a4e308939a2a08d3b64f5"/>
            <w:id w:val="382683409"/>
            <w:lock w:val="sdtLocked"/>
            <w:placeholder>
              <w:docPart w:val="GBC22222222222222222222222222222"/>
            </w:placeholder>
          </w:sdtPr>
          <w:sdtContent>
            <w:p w:rsidR="00806678" w:rsidRPr="00E33E36" w:rsidRDefault="00F80B6C">
              <w:pPr>
                <w:rPr>
                  <w:szCs w:val="21"/>
                </w:rPr>
              </w:pPr>
              <w:r>
                <w:rPr>
                  <w:szCs w:val="21"/>
                </w:rPr>
                <w:fldChar w:fldCharType="begin"/>
              </w:r>
              <w:r w:rsidR="00E33E36">
                <w:rPr>
                  <w:szCs w:val="21"/>
                </w:rPr>
                <w:instrText xml:space="preserve"> MACROBUTTON  SnrToggleCheckbox □适用  </w:instrText>
              </w:r>
              <w:r>
                <w:rPr>
                  <w:szCs w:val="21"/>
                </w:rPr>
                <w:fldChar w:fldCharType="end"/>
              </w:r>
              <w:r>
                <w:rPr>
                  <w:szCs w:val="21"/>
                </w:rPr>
                <w:fldChar w:fldCharType="begin"/>
              </w:r>
              <w:r w:rsidR="00E33E36">
                <w:rPr>
                  <w:szCs w:val="21"/>
                </w:rPr>
                <w:instrText xml:space="preserve"> MACROBUTTON  SnrToggleCheckbox √不适用 </w:instrText>
              </w:r>
              <w:r>
                <w:rPr>
                  <w:szCs w:val="21"/>
                </w:rPr>
                <w:fldChar w:fldCharType="end"/>
              </w:r>
            </w:p>
          </w:sdtContent>
        </w:sdt>
      </w:sdtContent>
    </w:sdt>
    <w:sdt>
      <w:sdtPr>
        <w:rPr>
          <w:rFonts w:ascii="宋体" w:hAnsi="宋体" w:cs="宋体"/>
          <w:b w:val="0"/>
          <w:bCs w:val="0"/>
          <w:kern w:val="0"/>
          <w:szCs w:val="24"/>
        </w:rPr>
        <w:alias w:val="模块:与前任会计师事务所进行的沟通情况"/>
        <w:tag w:val="_SEC_31d0510af7aa48b5949b42c21c05d191"/>
        <w:id w:val="-1046830567"/>
        <w:lock w:val="sdtLocked"/>
        <w:placeholder>
          <w:docPart w:val="GBC22222222222222222222222222222"/>
        </w:placeholder>
      </w:sdtPr>
      <w:sdtEndPr>
        <w:rPr>
          <w:rFonts w:hint="eastAsia"/>
        </w:rPr>
      </w:sdtEndPr>
      <w:sdtContent>
        <w:p w:rsidR="00806678" w:rsidRDefault="00B16377" w:rsidP="00FF17C7">
          <w:pPr>
            <w:pStyle w:val="3"/>
            <w:numPr>
              <w:ilvl w:val="0"/>
              <w:numId w:val="67"/>
            </w:numPr>
            <w:ind w:left="0" w:firstLine="0"/>
          </w:pPr>
          <w:r>
            <w:t>与前任会计师事务所进行的沟通情况</w:t>
          </w:r>
        </w:p>
        <w:sdt>
          <w:sdtPr>
            <w:rPr>
              <w:rFonts w:hint="eastAsia"/>
            </w:rPr>
            <w:alias w:val="是否适用：与前任会计师事务所进行的沟通情况[双击切换]"/>
            <w:tag w:val="_GBC_eac5a093c5584c5699f0b1b4b2cc9124"/>
            <w:id w:val="-1612130342"/>
            <w:lock w:val="sdtLocked"/>
            <w:placeholder>
              <w:docPart w:val="GBC22222222222222222222222222222"/>
            </w:placeholder>
          </w:sdtPr>
          <w:sdtContent>
            <w:p w:rsidR="00806678" w:rsidRDefault="00F80B6C">
              <w:r>
                <w:fldChar w:fldCharType="begin"/>
              </w:r>
              <w:r w:rsidR="00E33E36">
                <w:instrText xml:space="preserve"> MACROBUTTON  SnrToggleCheckbox □适用  </w:instrText>
              </w:r>
              <w:r>
                <w:fldChar w:fldCharType="end"/>
              </w:r>
              <w:r>
                <w:fldChar w:fldCharType="begin"/>
              </w:r>
              <w:r w:rsidR="00E33E36">
                <w:instrText xml:space="preserve"> MACROBUTTON  SnrToggleCheckbox √不适用 </w:instrText>
              </w:r>
              <w:r>
                <w:fldChar w:fldCharType="end"/>
              </w:r>
            </w:p>
          </w:sdtContent>
        </w:sdt>
      </w:sdtContent>
    </w:sdt>
    <w:sdt>
      <w:sdtPr>
        <w:rPr>
          <w:rFonts w:ascii="宋体" w:hAnsi="宋体" w:cs="宋体"/>
          <w:b w:val="0"/>
          <w:bCs w:val="0"/>
          <w:kern w:val="0"/>
          <w:szCs w:val="24"/>
        </w:rPr>
        <w:alias w:val="模块:其他说明"/>
        <w:tag w:val="_SEC_350b62c37aba49baa8dbca093e97c5c0"/>
        <w:id w:val="1358078923"/>
        <w:lock w:val="sdtLocked"/>
        <w:placeholder>
          <w:docPart w:val="GBC22222222222222222222222222222"/>
        </w:placeholder>
      </w:sdtPr>
      <w:sdtEndPr>
        <w:rPr>
          <w:rFonts w:hint="eastAsia"/>
        </w:rPr>
      </w:sdtEndPr>
      <w:sdtContent>
        <w:p w:rsidR="00806678" w:rsidRDefault="00B16377" w:rsidP="00FF17C7">
          <w:pPr>
            <w:pStyle w:val="3"/>
            <w:numPr>
              <w:ilvl w:val="0"/>
              <w:numId w:val="67"/>
            </w:numPr>
          </w:pPr>
          <w:r>
            <w:t>其他说明</w:t>
          </w:r>
        </w:p>
        <w:sdt>
          <w:sdtPr>
            <w:rPr>
              <w:rFonts w:hint="eastAsia"/>
            </w:rPr>
            <w:alias w:val="是否适用：公司对会计政策、会计估计变更或核算方法变更重大会计差错更正原因和影响的分析其他说明[双击切换]"/>
            <w:tag w:val="_GBC_f59e5141b9f74a2badb652a198d25993"/>
            <w:id w:val="-2132936756"/>
            <w:lock w:val="sdtLocked"/>
            <w:placeholder>
              <w:docPart w:val="GBC22222222222222222222222222222"/>
            </w:placeholder>
          </w:sdtPr>
          <w:sdtContent>
            <w:p w:rsidR="00806678" w:rsidRDefault="00F80B6C">
              <w:r>
                <w:fldChar w:fldCharType="begin"/>
              </w:r>
              <w:r w:rsidR="00E33E36">
                <w:instrText xml:space="preserve"> MACROBUTTON  SnrToggleCheckbox □适用  </w:instrText>
              </w:r>
              <w:r>
                <w:fldChar w:fldCharType="end"/>
              </w:r>
              <w:r>
                <w:fldChar w:fldCharType="begin"/>
              </w:r>
              <w:r w:rsidR="00E33E36">
                <w:instrText xml:space="preserve"> MACROBUTTON  SnrToggleCheckbox √不适用 </w:instrText>
              </w:r>
              <w:r>
                <w:fldChar w:fldCharType="end"/>
              </w:r>
            </w:p>
          </w:sdtContent>
        </w:sdt>
      </w:sdtContent>
    </w:sdt>
    <w:p w:rsidR="00806678" w:rsidRDefault="00B16377">
      <w:pPr>
        <w:pStyle w:val="2"/>
        <w:numPr>
          <w:ilvl w:val="0"/>
          <w:numId w:val="9"/>
        </w:numPr>
        <w:rPr>
          <w:rFonts w:ascii="宋体" w:hAnsi="宋体" w:cs="宋体"/>
          <w:kern w:val="0"/>
          <w:szCs w:val="24"/>
        </w:rPr>
      </w:pPr>
      <w:r>
        <w:rPr>
          <w:rFonts w:ascii="宋体" w:hAnsi="宋体" w:cs="宋体"/>
          <w:kern w:val="0"/>
          <w:szCs w:val="24"/>
        </w:rPr>
        <w:t>聘任、解聘会计师事务所情况</w:t>
      </w:r>
    </w:p>
    <w:bookmarkStart w:id="77" w:name="_Hlk40535695" w:displacedByCustomXml="next"/>
    <w:sdt>
      <w:sdtPr>
        <w:alias w:val="选项模块:聘任、解聘会计师事务所情况"/>
        <w:tag w:val="_SEC_4317320322b74f4fbace375f2fdcd88e"/>
        <w:id w:val="-23174753"/>
        <w:lock w:val="sdtLocked"/>
        <w:placeholder>
          <w:docPart w:val="GBC22222222222222222222222222222"/>
        </w:placeholder>
      </w:sdtPr>
      <w:sdtContent>
        <w:p w:rsidR="00806678" w:rsidRDefault="00B16377">
          <w:pPr>
            <w:jc w:val="right"/>
          </w:pPr>
          <w:r>
            <w:rPr>
              <w:rFonts w:hint="eastAsia"/>
            </w:rPr>
            <w:t>单位：</w:t>
          </w:r>
          <w:sdt>
            <w:sdtPr>
              <w:rPr>
                <w:rFonts w:hint="eastAsia"/>
              </w:rPr>
              <w:alias w:val="单位：聘任、解聘会计师事务所情况"/>
              <w:tag w:val="_GBC_26e166c9302c4cd6aef51526fb663693"/>
              <w:id w:val="70197967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467AA5">
                <w:rPr>
                  <w:rFonts w:hint="eastAsia"/>
                </w:rPr>
                <w:t>万元</w:t>
              </w:r>
            </w:sdtContent>
          </w:sdt>
          <w:r>
            <w:rPr>
              <w:rFonts w:hint="eastAsia"/>
            </w:rPr>
            <w:t xml:space="preserve">  币种：</w:t>
          </w:r>
          <w:sdt>
            <w:sdtPr>
              <w:rPr>
                <w:rFonts w:hint="eastAsia"/>
              </w:rPr>
              <w:alias w:val="币种：聘任、解聘会计师事务所情况"/>
              <w:tag w:val="_GBC_7dcaa3c6f2b646e695b35f062316b1bc"/>
              <w:id w:val="151549149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a6"/>
            <w:tblW w:w="0" w:type="auto"/>
            <w:tblLook w:val="04A0"/>
          </w:tblPr>
          <w:tblGrid>
            <w:gridCol w:w="4524"/>
            <w:gridCol w:w="4525"/>
          </w:tblGrid>
          <w:tr w:rsidR="00806678" w:rsidTr="002B5AE4">
            <w:tc>
              <w:tcPr>
                <w:tcW w:w="4524" w:type="dxa"/>
              </w:tcPr>
              <w:p w:rsidR="00806678" w:rsidRDefault="00806678">
                <w:pPr>
                  <w:rPr>
                    <w:szCs w:val="21"/>
                  </w:rPr>
                </w:pPr>
              </w:p>
            </w:tc>
            <w:sdt>
              <w:sdtPr>
                <w:tag w:val="_PLD_364aa8d2f946450c8e3aa85ae050a07e"/>
                <w:id w:val="-1375539946"/>
                <w:lock w:val="sdtLocked"/>
              </w:sdtPr>
              <w:sdtContent>
                <w:tc>
                  <w:tcPr>
                    <w:tcW w:w="4525" w:type="dxa"/>
                  </w:tcPr>
                  <w:p w:rsidR="00806678" w:rsidRDefault="00B16377">
                    <w:pPr>
                      <w:jc w:val="center"/>
                      <w:rPr>
                        <w:szCs w:val="21"/>
                      </w:rPr>
                    </w:pPr>
                    <w:r>
                      <w:rPr>
                        <w:rFonts w:hint="eastAsia"/>
                        <w:szCs w:val="21"/>
                      </w:rPr>
                      <w:t>现聘任</w:t>
                    </w:r>
                  </w:p>
                </w:tc>
              </w:sdtContent>
            </w:sdt>
          </w:tr>
          <w:tr w:rsidR="00806678" w:rsidTr="0076242C">
            <w:sdt>
              <w:sdtPr>
                <w:tag w:val="_PLD_0acb50119840415b8495bc32adcd0b31"/>
                <w:id w:val="-921021941"/>
                <w:lock w:val="sdtLocked"/>
              </w:sdtPr>
              <w:sdtContent>
                <w:tc>
                  <w:tcPr>
                    <w:tcW w:w="4524" w:type="dxa"/>
                  </w:tcPr>
                  <w:p w:rsidR="00806678" w:rsidRDefault="00B16377">
                    <w:r>
                      <w:rPr>
                        <w:rFonts w:hint="eastAsia"/>
                        <w:szCs w:val="21"/>
                      </w:rPr>
                      <w:t>境内会计师事务所名称</w:t>
                    </w:r>
                  </w:p>
                </w:tc>
              </w:sdtContent>
            </w:sdt>
            <w:tc>
              <w:tcPr>
                <w:tcW w:w="4525" w:type="dxa"/>
              </w:tcPr>
              <w:p w:rsidR="00806678" w:rsidRDefault="00655373">
                <w:r w:rsidRPr="00655373">
                  <w:rPr>
                    <w:rFonts w:hint="eastAsia"/>
                  </w:rPr>
                  <w:t>毕马威华振会计师事务所（特殊普通合伙）</w:t>
                </w:r>
              </w:p>
            </w:tc>
          </w:tr>
          <w:tr w:rsidR="00806678" w:rsidTr="00015DD2">
            <w:sdt>
              <w:sdtPr>
                <w:tag w:val="_PLD_499884016c404b70b56b51dca806a7f6"/>
                <w:id w:val="-880243120"/>
                <w:lock w:val="sdtLocked"/>
              </w:sdtPr>
              <w:sdtContent>
                <w:tc>
                  <w:tcPr>
                    <w:tcW w:w="4524" w:type="dxa"/>
                  </w:tcPr>
                  <w:p w:rsidR="00806678" w:rsidRDefault="00B16377">
                    <w:r>
                      <w:rPr>
                        <w:rFonts w:hint="eastAsia"/>
                        <w:szCs w:val="21"/>
                      </w:rPr>
                      <w:t>境内会计师事务所报酬</w:t>
                    </w:r>
                  </w:p>
                </w:tc>
              </w:sdtContent>
            </w:sdt>
            <w:tc>
              <w:tcPr>
                <w:tcW w:w="4525" w:type="dxa"/>
              </w:tcPr>
              <w:p w:rsidR="00806678" w:rsidRDefault="00655373">
                <w:pPr>
                  <w:jc w:val="right"/>
                </w:pPr>
                <w:r w:rsidRPr="00655373">
                  <w:t>946</w:t>
                </w:r>
              </w:p>
            </w:tc>
          </w:tr>
          <w:tr w:rsidR="00806678" w:rsidTr="002B5AE4">
            <w:sdt>
              <w:sdtPr>
                <w:tag w:val="_PLD_b34d0f60a14d41b3a048248da4532c21"/>
                <w:id w:val="-436204693"/>
                <w:lock w:val="sdtLocked"/>
              </w:sdtPr>
              <w:sdtContent>
                <w:tc>
                  <w:tcPr>
                    <w:tcW w:w="4524" w:type="dxa"/>
                  </w:tcPr>
                  <w:p w:rsidR="00806678" w:rsidRDefault="00B16377">
                    <w:r>
                      <w:rPr>
                        <w:rFonts w:hint="eastAsia"/>
                        <w:szCs w:val="21"/>
                      </w:rPr>
                      <w:t>境内会计师事务所审计年限</w:t>
                    </w:r>
                  </w:p>
                </w:tc>
              </w:sdtContent>
            </w:sdt>
            <w:tc>
              <w:tcPr>
                <w:tcW w:w="4525" w:type="dxa"/>
              </w:tcPr>
              <w:p w:rsidR="00806678" w:rsidRDefault="00655373" w:rsidP="00031BD1">
                <w:pPr>
                  <w:jc w:val="right"/>
                </w:pPr>
                <w:r>
                  <w:rPr>
                    <w:rFonts w:hint="eastAsia"/>
                  </w:rPr>
                  <w:t>6</w:t>
                </w:r>
              </w:p>
            </w:tc>
          </w:tr>
          <w:tr w:rsidR="00806678" w:rsidTr="002B5AE4">
            <w:sdt>
              <w:sdtPr>
                <w:rPr>
                  <w:rFonts w:hint="eastAsia"/>
                </w:rPr>
                <w:tag w:val="_PLD_2f82b4c8a5a644498a3848a33f31b234"/>
                <w:id w:val="-1071577585"/>
                <w:lock w:val="sdtLocked"/>
              </w:sdtPr>
              <w:sdtContent>
                <w:tc>
                  <w:tcPr>
                    <w:tcW w:w="4524" w:type="dxa"/>
                  </w:tcPr>
                  <w:p w:rsidR="00806678" w:rsidRDefault="00B16377">
                    <w:r>
                      <w:rPr>
                        <w:rFonts w:hint="eastAsia"/>
                      </w:rPr>
                      <w:t>境内会计师事务所注册会计师姓名</w:t>
                    </w:r>
                  </w:p>
                </w:tc>
              </w:sdtContent>
            </w:sdt>
            <w:tc>
              <w:tcPr>
                <w:tcW w:w="4525" w:type="dxa"/>
              </w:tcPr>
              <w:p w:rsidR="00806678" w:rsidRDefault="00810053">
                <w:r w:rsidRPr="00810053">
                  <w:rPr>
                    <w:rFonts w:hint="eastAsia"/>
                  </w:rPr>
                  <w:t>张</w:t>
                </w:r>
                <w:r w:rsidR="00616CB1">
                  <w:rPr>
                    <w:rFonts w:hint="eastAsia"/>
                  </w:rPr>
                  <w:t>杨</w:t>
                </w:r>
                <w:r w:rsidR="0001643B">
                  <w:rPr>
                    <w:rFonts w:hint="eastAsia"/>
                  </w:rPr>
                  <w:t>、</w:t>
                </w:r>
                <w:r w:rsidRPr="00810053">
                  <w:t>曹璐</w:t>
                </w:r>
              </w:p>
            </w:tc>
          </w:tr>
          <w:tr w:rsidR="00806678" w:rsidTr="002B5AE4">
            <w:sdt>
              <w:sdtPr>
                <w:rPr>
                  <w:rFonts w:hint="eastAsia"/>
                </w:rPr>
                <w:tag w:val="_PLD_8a2e926cd3464922a314a623dfc4f777"/>
                <w:id w:val="-1606341577"/>
                <w:lock w:val="sdtLocked"/>
              </w:sdtPr>
              <w:sdtContent>
                <w:tc>
                  <w:tcPr>
                    <w:tcW w:w="4524" w:type="dxa"/>
                  </w:tcPr>
                  <w:p w:rsidR="00806678" w:rsidRDefault="00B16377">
                    <w:r>
                      <w:rPr>
                        <w:rFonts w:hint="eastAsia"/>
                      </w:rPr>
                      <w:t>境内会计师事务所注册会计师审计服务的连续年限</w:t>
                    </w:r>
                  </w:p>
                </w:tc>
              </w:sdtContent>
            </w:sdt>
            <w:tc>
              <w:tcPr>
                <w:tcW w:w="4525" w:type="dxa"/>
              </w:tcPr>
              <w:p w:rsidR="00806678" w:rsidRDefault="00616CB1" w:rsidP="0001643B">
                <w:r>
                  <w:rPr>
                    <w:rFonts w:hint="eastAsia"/>
                  </w:rPr>
                  <w:t>张杨</w:t>
                </w:r>
                <w:r w:rsidR="0001643B">
                  <w:rPr>
                    <w:rFonts w:hint="eastAsia"/>
                  </w:rPr>
                  <w:t>（1年）、曹璐（3年）</w:t>
                </w:r>
              </w:p>
            </w:tc>
          </w:tr>
        </w:tbl>
        <w:p w:rsidR="00806678" w:rsidRDefault="00806678"/>
        <w:tbl>
          <w:tblPr>
            <w:tblStyle w:val="a6"/>
            <w:tblW w:w="0" w:type="auto"/>
            <w:tblLook w:val="04A0"/>
          </w:tblPr>
          <w:tblGrid>
            <w:gridCol w:w="3016"/>
            <w:gridCol w:w="3016"/>
            <w:gridCol w:w="3017"/>
          </w:tblGrid>
          <w:tr w:rsidR="00806678" w:rsidTr="00693DD4">
            <w:tc>
              <w:tcPr>
                <w:tcW w:w="3016" w:type="dxa"/>
              </w:tcPr>
              <w:p w:rsidR="00806678" w:rsidRDefault="00806678"/>
            </w:tc>
            <w:sdt>
              <w:sdtPr>
                <w:tag w:val="_PLD_c9ec27d8a8454f91bb769203a75df4b3"/>
                <w:id w:val="-584837672"/>
                <w:lock w:val="sdtLocked"/>
              </w:sdtPr>
              <w:sdtContent>
                <w:tc>
                  <w:tcPr>
                    <w:tcW w:w="3016" w:type="dxa"/>
                    <w:vAlign w:val="center"/>
                  </w:tcPr>
                  <w:p w:rsidR="00806678" w:rsidRDefault="00B16377">
                    <w:pPr>
                      <w:jc w:val="center"/>
                    </w:pPr>
                    <w:r>
                      <w:rPr>
                        <w:rFonts w:hint="eastAsia"/>
                        <w:szCs w:val="21"/>
                      </w:rPr>
                      <w:t>名称</w:t>
                    </w:r>
                  </w:p>
                </w:tc>
              </w:sdtContent>
            </w:sdt>
            <w:sdt>
              <w:sdtPr>
                <w:tag w:val="_PLD_ae4e80c7f64046dcb42116bfa53b53af"/>
                <w:id w:val="1382596867"/>
                <w:lock w:val="sdtLocked"/>
              </w:sdtPr>
              <w:sdtContent>
                <w:tc>
                  <w:tcPr>
                    <w:tcW w:w="3017" w:type="dxa"/>
                    <w:vAlign w:val="center"/>
                  </w:tcPr>
                  <w:p w:rsidR="00806678" w:rsidRDefault="00B16377">
                    <w:pPr>
                      <w:jc w:val="center"/>
                    </w:pPr>
                    <w:r>
                      <w:rPr>
                        <w:rFonts w:hint="eastAsia"/>
                        <w:szCs w:val="21"/>
                      </w:rPr>
                      <w:t>报酬</w:t>
                    </w:r>
                  </w:p>
                </w:tc>
              </w:sdtContent>
            </w:sdt>
          </w:tr>
          <w:tr w:rsidR="00806678" w:rsidTr="00693DD4">
            <w:sdt>
              <w:sdtPr>
                <w:tag w:val="_PLD_7b9b36bf86614c808ea65de10637144b"/>
                <w:id w:val="-12386803"/>
                <w:lock w:val="sdtLocked"/>
              </w:sdtPr>
              <w:sdtContent>
                <w:tc>
                  <w:tcPr>
                    <w:tcW w:w="3016" w:type="dxa"/>
                  </w:tcPr>
                  <w:p w:rsidR="00806678" w:rsidRDefault="00B16377">
                    <w:r>
                      <w:rPr>
                        <w:rFonts w:hint="eastAsia"/>
                      </w:rPr>
                      <w:t>内部控制审计会计师事务所</w:t>
                    </w:r>
                  </w:p>
                </w:tc>
              </w:sdtContent>
            </w:sdt>
            <w:tc>
              <w:tcPr>
                <w:tcW w:w="3016" w:type="dxa"/>
              </w:tcPr>
              <w:p w:rsidR="00806678" w:rsidRDefault="00B75952">
                <w:r w:rsidRPr="00B75952">
                  <w:rPr>
                    <w:rFonts w:hint="eastAsia"/>
                  </w:rPr>
                  <w:t>普华永道中天会计师事务所（特殊普通合伙）</w:t>
                </w:r>
              </w:p>
            </w:tc>
            <w:tc>
              <w:tcPr>
                <w:tcW w:w="3017" w:type="dxa"/>
              </w:tcPr>
              <w:p w:rsidR="00806678" w:rsidRDefault="00467AA5">
                <w:pPr>
                  <w:jc w:val="right"/>
                </w:pPr>
                <w:r>
                  <w:rPr>
                    <w:rFonts w:hint="eastAsia"/>
                  </w:rPr>
                  <w:t>350</w:t>
                </w:r>
              </w:p>
            </w:tc>
          </w:tr>
          <w:tr w:rsidR="00806678" w:rsidTr="00693DD4">
            <w:sdt>
              <w:sdtPr>
                <w:tag w:val="_PLD_f92d4abcd4f44490a0551028b1745ff6"/>
                <w:id w:val="64153728"/>
                <w:lock w:val="sdtLocked"/>
              </w:sdtPr>
              <w:sdtContent>
                <w:tc>
                  <w:tcPr>
                    <w:tcW w:w="3016" w:type="dxa"/>
                  </w:tcPr>
                  <w:p w:rsidR="00806678" w:rsidRDefault="00B16377">
                    <w:r>
                      <w:rPr>
                        <w:rFonts w:hint="eastAsia"/>
                        <w:szCs w:val="21"/>
                      </w:rPr>
                      <w:t>保荐人</w:t>
                    </w:r>
                  </w:p>
                </w:tc>
              </w:sdtContent>
            </w:sdt>
            <w:tc>
              <w:tcPr>
                <w:tcW w:w="3016" w:type="dxa"/>
              </w:tcPr>
              <w:p w:rsidR="00806678" w:rsidRDefault="00B75952">
                <w:r w:rsidRPr="00B75952">
                  <w:rPr>
                    <w:rFonts w:hint="eastAsia"/>
                  </w:rPr>
                  <w:t>国泰君安证券股份有限公司</w:t>
                </w:r>
              </w:p>
            </w:tc>
            <w:tc>
              <w:tcPr>
                <w:tcW w:w="3017" w:type="dxa"/>
              </w:tcPr>
              <w:p w:rsidR="00806678" w:rsidRDefault="00B75952">
                <w:pPr>
                  <w:jc w:val="right"/>
                </w:pPr>
                <w:r>
                  <w:rPr>
                    <w:rFonts w:hint="eastAsia"/>
                  </w:rPr>
                  <w:t>0</w:t>
                </w:r>
              </w:p>
            </w:tc>
          </w:tr>
        </w:tbl>
        <w:p w:rsidR="00806678" w:rsidRDefault="00F80B6C"/>
      </w:sdtContent>
    </w:sdt>
    <w:bookmarkEnd w:id="77" w:displacedByCustomXml="prev"/>
    <w:sdt>
      <w:sdtPr>
        <w:alias w:val="模块:聘任、解聘会计师事务所的情况说明"/>
        <w:tag w:val="_SEC_322c3d9669f246aa87ccb7f9dc50a714"/>
        <w:id w:val="4639743"/>
        <w:lock w:val="sdtLocked"/>
        <w:placeholder>
          <w:docPart w:val="GBC22222222222222222222222222222"/>
        </w:placeholder>
      </w:sdtPr>
      <w:sdtEndPr>
        <w:rPr>
          <w:rFonts w:hint="eastAsia"/>
        </w:rPr>
      </w:sdtEndPr>
      <w:sdtContent>
        <w:p w:rsidR="00806678" w:rsidRDefault="00B16377">
          <w:r>
            <w:t>聘任、解聘会计师事务所的情况说明</w:t>
          </w:r>
        </w:p>
        <w:sdt>
          <w:sdtPr>
            <w:alias w:val="是否适用：聘任、解聘会计师事务所情况[双击切换]"/>
            <w:tag w:val="_GBC_376f0811302240c0a118add2061458b6"/>
            <w:id w:val="8546844"/>
            <w:lock w:val="sdtLocked"/>
            <w:placeholder>
              <w:docPart w:val="GBC22222222222222222222222222222"/>
            </w:placeholder>
          </w:sdtPr>
          <w:sdtContent>
            <w:p w:rsidR="00806678" w:rsidRDefault="00F80B6C">
              <w:r>
                <w:fldChar w:fldCharType="begin"/>
              </w:r>
              <w:r w:rsidR="00166FD5">
                <w:instrText xml:space="preserve">MACROBUTTON  SnrToggleCheckbox √适用 </w:instrText>
              </w:r>
              <w:r>
                <w:fldChar w:fldCharType="end"/>
              </w:r>
              <w:r>
                <w:fldChar w:fldCharType="begin"/>
              </w:r>
              <w:r w:rsidR="00166FD5">
                <w:instrText xml:space="preserve"> MACROBUTTON  SnrToggleCheckbox □不适用 </w:instrText>
              </w:r>
              <w:r>
                <w:fldChar w:fldCharType="end"/>
              </w:r>
            </w:p>
          </w:sdtContent>
        </w:sdt>
        <w:sdt>
          <w:sdtPr>
            <w:rPr>
              <w:rFonts w:hint="eastAsia"/>
              <w:szCs w:val="21"/>
            </w:rPr>
            <w:alias w:val="聘任、解聘会计师事务所情况说明"/>
            <w:tag w:val="_GBC_efccae536add449ea09208e1185e3711"/>
            <w:id w:val="1508699"/>
            <w:lock w:val="sdtLocked"/>
            <w:placeholder>
              <w:docPart w:val="GBC22222222222222222222222222222"/>
            </w:placeholder>
          </w:sdtPr>
          <w:sdtContent>
            <w:p w:rsidR="00806678" w:rsidRPr="00166FD5" w:rsidRDefault="00166FD5">
              <w:pPr>
                <w:rPr>
                  <w:szCs w:val="21"/>
                </w:rPr>
              </w:pPr>
              <w:r>
                <w:rPr>
                  <w:rFonts w:hint="eastAsia"/>
                  <w:szCs w:val="21"/>
                </w:rPr>
                <w:t>内容详见2022年4月28日登载于上海证券交易所网站的《</w:t>
              </w:r>
              <w:r w:rsidRPr="0042131F">
                <w:rPr>
                  <w:rFonts w:hint="eastAsia"/>
                  <w:szCs w:val="21"/>
                </w:rPr>
                <w:t>大秦铁路关于续聘</w:t>
              </w:r>
              <w:r>
                <w:rPr>
                  <w:szCs w:val="21"/>
                </w:rPr>
                <w:t>202</w:t>
              </w:r>
              <w:r>
                <w:rPr>
                  <w:rFonts w:hint="eastAsia"/>
                  <w:szCs w:val="21"/>
                </w:rPr>
                <w:t>2</w:t>
              </w:r>
              <w:r w:rsidRPr="0042131F">
                <w:rPr>
                  <w:szCs w:val="21"/>
                </w:rPr>
                <w:t>年度财务报告审计机构的公告</w:t>
              </w:r>
              <w:r>
                <w:rPr>
                  <w:rFonts w:hint="eastAsia"/>
                  <w:szCs w:val="21"/>
                </w:rPr>
                <w:t>》《</w:t>
              </w:r>
              <w:r w:rsidRPr="0042131F">
                <w:rPr>
                  <w:rFonts w:hint="eastAsia"/>
                  <w:szCs w:val="21"/>
                </w:rPr>
                <w:t>大秦铁路关于续聘</w:t>
              </w:r>
              <w:r>
                <w:rPr>
                  <w:szCs w:val="21"/>
                </w:rPr>
                <w:t>202</w:t>
              </w:r>
              <w:r>
                <w:rPr>
                  <w:rFonts w:hint="eastAsia"/>
                  <w:szCs w:val="21"/>
                </w:rPr>
                <w:t>2</w:t>
              </w:r>
              <w:r w:rsidRPr="0042131F">
                <w:rPr>
                  <w:szCs w:val="21"/>
                </w:rPr>
                <w:t>年度内部控制审计机构的公告</w:t>
              </w:r>
              <w:r>
                <w:rPr>
                  <w:rFonts w:hint="eastAsia"/>
                  <w:szCs w:val="21"/>
                </w:rPr>
                <w:t>》。</w:t>
              </w:r>
            </w:p>
          </w:sdtContent>
        </w:sdt>
      </w:sdtContent>
    </w:sdt>
    <w:sdt>
      <w:sdtPr>
        <w:alias w:val="模块:审计期间改聘会计师事务所的情况说明"/>
        <w:tag w:val="_SEC_9e5ff31b39074841b1732f4693c6a461"/>
        <w:id w:val="4639747"/>
        <w:lock w:val="sdtLocked"/>
        <w:placeholder>
          <w:docPart w:val="GBC22222222222222222222222222222"/>
        </w:placeholder>
      </w:sdtPr>
      <w:sdtEndPr>
        <w:rPr>
          <w:rFonts w:hint="eastAsia"/>
        </w:rPr>
      </w:sdtEndPr>
      <w:sdtContent>
        <w:p w:rsidR="00806678" w:rsidRDefault="00B16377">
          <w:r>
            <w:t>审计期间改聘会计师事务所的情况说明</w:t>
          </w:r>
        </w:p>
        <w:sdt>
          <w:sdtPr>
            <w:rPr>
              <w:rFonts w:hint="eastAsia"/>
            </w:rPr>
            <w:alias w:val="是否适用：审计期间改聘会计师事务所的情况说明[双击切换]"/>
            <w:tag w:val="_GBC_34c57619e2904c83a8840614e4e5d5d0"/>
            <w:id w:val="281313418"/>
            <w:lock w:val="sdtLocked"/>
            <w:placeholder>
              <w:docPart w:val="GBC22222222222222222222222222222"/>
            </w:placeholder>
          </w:sdtPr>
          <w:sdtContent>
            <w:p w:rsidR="00806678" w:rsidRDefault="00F80B6C" w:rsidP="00166FD5">
              <w:r>
                <w:fldChar w:fldCharType="begin"/>
              </w:r>
              <w:r w:rsidR="00166FD5">
                <w:instrText xml:space="preserve"> MACROBUTTON  SnrToggleCheckbox □适用  </w:instrText>
              </w:r>
              <w:r>
                <w:fldChar w:fldCharType="end"/>
              </w:r>
              <w:r>
                <w:fldChar w:fldCharType="begin"/>
              </w:r>
              <w:r w:rsidR="00166FD5">
                <w:instrText xml:space="preserve"> MACROBUTTON  SnrToggleCheckbox √不适用 </w:instrText>
              </w:r>
              <w:r>
                <w:fldChar w:fldCharType="end"/>
              </w:r>
            </w:p>
          </w:sdtContent>
        </w:sdt>
      </w:sdtContent>
    </w:sdt>
    <w:p w:rsidR="00806678" w:rsidRDefault="00B16377">
      <w:pPr>
        <w:pStyle w:val="2"/>
        <w:numPr>
          <w:ilvl w:val="0"/>
          <w:numId w:val="9"/>
        </w:numPr>
        <w:rPr>
          <w:rFonts w:ascii="宋体" w:hAnsi="宋体" w:cs="宋体"/>
          <w:kern w:val="0"/>
          <w:szCs w:val="24"/>
        </w:rPr>
      </w:pPr>
      <w:r>
        <w:rPr>
          <w:rFonts w:ascii="宋体" w:hAnsi="宋体" w:cs="宋体"/>
          <w:kern w:val="0"/>
          <w:szCs w:val="24"/>
        </w:rPr>
        <w:t>面临</w:t>
      </w:r>
      <w:r>
        <w:rPr>
          <w:rFonts w:ascii="宋体" w:hAnsi="宋体" w:cs="宋体" w:hint="eastAsia"/>
          <w:kern w:val="0"/>
          <w:szCs w:val="24"/>
        </w:rPr>
        <w:t>退</w:t>
      </w:r>
      <w:r>
        <w:rPr>
          <w:rFonts w:ascii="宋体" w:hAnsi="宋体" w:cs="宋体"/>
          <w:kern w:val="0"/>
          <w:szCs w:val="24"/>
        </w:rPr>
        <w:t>市风险的情况</w:t>
      </w:r>
    </w:p>
    <w:p w:rsidR="00806678" w:rsidRDefault="00B16377" w:rsidP="00FF17C7">
      <w:pPr>
        <w:pStyle w:val="3"/>
        <w:numPr>
          <w:ilvl w:val="0"/>
          <w:numId w:val="29"/>
        </w:numPr>
        <w:jc w:val="left"/>
      </w:pPr>
      <w:r>
        <w:rPr>
          <w:rFonts w:hint="eastAsia"/>
        </w:rPr>
        <w:t>导</w:t>
      </w:r>
      <w:r>
        <w:rPr>
          <w:szCs w:val="21"/>
        </w:rPr>
        <w:t>致</w:t>
      </w:r>
      <w:r>
        <w:rPr>
          <w:rFonts w:hint="eastAsia"/>
          <w:szCs w:val="21"/>
        </w:rPr>
        <w:t>退市风险警示</w:t>
      </w:r>
      <w:r>
        <w:rPr>
          <w:szCs w:val="21"/>
        </w:rPr>
        <w:t>的原因</w:t>
      </w:r>
    </w:p>
    <w:sdt>
      <w:sdtPr>
        <w:rPr>
          <w:rFonts w:hint="eastAsia"/>
          <w:szCs w:val="21"/>
        </w:rPr>
        <w:alias w:val="模块:导致退市风险警示的原因"/>
        <w:tag w:val="_SEC_f15fc49cb4ff42c5a7ce2d836dd0c3fc"/>
        <w:id w:val="1101524120"/>
        <w:lock w:val="sdtLocked"/>
        <w:placeholder>
          <w:docPart w:val="GBC22222222222222222222222222222"/>
        </w:placeholder>
      </w:sdtPr>
      <w:sdtEndPr>
        <w:rPr>
          <w:rFonts w:hint="default"/>
        </w:rPr>
      </w:sdtEndPr>
      <w:sdtContent>
        <w:sdt>
          <w:sdtPr>
            <w:rPr>
              <w:rFonts w:hint="eastAsia"/>
              <w:szCs w:val="21"/>
            </w:rPr>
            <w:alias w:val="是否适用：导致暂停上市的原因[双击切换]"/>
            <w:tag w:val="_GBC_5be6e6fabf4849c7b63c5d08ac7706e1"/>
            <w:id w:val="733827852"/>
            <w:lock w:val="sdtLocked"/>
            <w:placeholder>
              <w:docPart w:val="GBC22222222222222222222222222222"/>
            </w:placeholder>
          </w:sdtPr>
          <w:sdtContent>
            <w:p w:rsidR="00806678" w:rsidRDefault="00F80B6C">
              <w:pPr>
                <w:rPr>
                  <w:szCs w:val="21"/>
                </w:rPr>
              </w:pPr>
              <w:r>
                <w:rPr>
                  <w:szCs w:val="21"/>
                </w:rPr>
                <w:fldChar w:fldCharType="begin"/>
              </w:r>
              <w:r w:rsidR="001E45F1">
                <w:rPr>
                  <w:szCs w:val="21"/>
                </w:rPr>
                <w:instrText xml:space="preserve"> MACROBUTTON  SnrToggleCheckbox □适用  </w:instrText>
              </w:r>
              <w:r>
                <w:rPr>
                  <w:szCs w:val="21"/>
                </w:rPr>
                <w:fldChar w:fldCharType="end"/>
              </w:r>
              <w:r>
                <w:rPr>
                  <w:szCs w:val="21"/>
                </w:rPr>
                <w:fldChar w:fldCharType="begin"/>
              </w:r>
              <w:r w:rsidR="001E45F1">
                <w:rPr>
                  <w:szCs w:val="21"/>
                </w:rPr>
                <w:instrText xml:space="preserve"> MACROBUTTON  SnrToggleCheckbox √不适用 </w:instrText>
              </w:r>
              <w:r>
                <w:rPr>
                  <w:szCs w:val="21"/>
                </w:rPr>
                <w:fldChar w:fldCharType="end"/>
              </w:r>
            </w:p>
          </w:sdtContent>
        </w:sdt>
      </w:sdtContent>
    </w:sdt>
    <w:sdt>
      <w:sdtPr>
        <w:rPr>
          <w:rFonts w:ascii="宋体" w:hAnsi="宋体" w:cs="宋体"/>
          <w:b w:val="0"/>
          <w:bCs w:val="0"/>
          <w:kern w:val="0"/>
          <w:szCs w:val="21"/>
        </w:rPr>
        <w:alias w:val="模块:公司拟采取的应对措施"/>
        <w:tag w:val="_SEC_9dd9fc587be540dab1fcdb757f5036d7"/>
        <w:id w:val="1061599763"/>
        <w:lock w:val="sdtLocked"/>
        <w:placeholder>
          <w:docPart w:val="GBC22222222222222222222222222222"/>
        </w:placeholder>
      </w:sdtPr>
      <w:sdtContent>
        <w:p w:rsidR="00806678" w:rsidRDefault="00B16377" w:rsidP="00FF17C7">
          <w:pPr>
            <w:pStyle w:val="3"/>
            <w:numPr>
              <w:ilvl w:val="0"/>
              <w:numId w:val="29"/>
            </w:numPr>
            <w:rPr>
              <w:szCs w:val="21"/>
            </w:rPr>
          </w:pPr>
          <w:r>
            <w:rPr>
              <w:rFonts w:hint="eastAsia"/>
              <w:szCs w:val="21"/>
            </w:rPr>
            <w:t>公司拟采取的应对措施</w:t>
          </w:r>
        </w:p>
        <w:sdt>
          <w:sdtPr>
            <w:rPr>
              <w:szCs w:val="21"/>
            </w:rPr>
            <w:alias w:val="是否适用：公司拟采取的措施[双击切换]"/>
            <w:tag w:val="_GBC_8656f473b4d943fe8fa1477037f607c5"/>
            <w:id w:val="-1139405618"/>
            <w:lock w:val="sdtLocked"/>
            <w:placeholder>
              <w:docPart w:val="GBC22222222222222222222222222222"/>
            </w:placeholder>
          </w:sdtPr>
          <w:sdtContent>
            <w:p w:rsidR="00806678" w:rsidRDefault="00F80B6C">
              <w:pPr>
                <w:rPr>
                  <w:szCs w:val="21"/>
                </w:rPr>
              </w:pPr>
              <w:r>
                <w:rPr>
                  <w:szCs w:val="21"/>
                </w:rPr>
                <w:fldChar w:fldCharType="begin"/>
              </w:r>
              <w:r w:rsidR="001E45F1">
                <w:rPr>
                  <w:szCs w:val="21"/>
                </w:rPr>
                <w:instrText xml:space="preserve">MACROBUTTON  SnrToggleCheckbox □适用 </w:instrText>
              </w:r>
              <w:r>
                <w:rPr>
                  <w:szCs w:val="21"/>
                </w:rPr>
                <w:fldChar w:fldCharType="end"/>
              </w:r>
              <w:r>
                <w:rPr>
                  <w:szCs w:val="21"/>
                </w:rPr>
                <w:fldChar w:fldCharType="begin"/>
              </w:r>
              <w:r w:rsidR="001E45F1">
                <w:rPr>
                  <w:szCs w:val="21"/>
                </w:rPr>
                <w:instrText xml:space="preserve"> MACROBUTTON  SnrToggleCheckbox √不适用 </w:instrText>
              </w:r>
              <w:r>
                <w:rPr>
                  <w:szCs w:val="21"/>
                </w:rPr>
                <w:fldChar w:fldCharType="end"/>
              </w:r>
            </w:p>
          </w:sdtContent>
        </w:sdt>
      </w:sdtContent>
    </w:sdt>
    <w:bookmarkStart w:id="78" w:name="_Hlk89346186" w:displacedByCustomXml="next"/>
    <w:sdt>
      <w:sdtPr>
        <w:rPr>
          <w:rFonts w:ascii="宋体" w:hAnsi="宋体" w:cs="宋体" w:hint="eastAsia"/>
          <w:b w:val="0"/>
          <w:bCs w:val="0"/>
          <w:kern w:val="0"/>
          <w:szCs w:val="21"/>
        </w:rPr>
        <w:alias w:val="模块:面临终止上市的情况和原因"/>
        <w:tag w:val="_SEC_a0a08509d12c43b6a3c3f5de51b245bd"/>
        <w:id w:val="-1885481854"/>
        <w:lock w:val="sdtLocked"/>
        <w:placeholder>
          <w:docPart w:val="GBC22222222222222222222222222222"/>
        </w:placeholder>
      </w:sdtPr>
      <w:sdtEndPr>
        <w:rPr>
          <w:rFonts w:hint="default"/>
        </w:rPr>
      </w:sdtEndPr>
      <w:sdtContent>
        <w:p w:rsidR="00806678" w:rsidRDefault="00B16377" w:rsidP="00FF17C7">
          <w:pPr>
            <w:pStyle w:val="3"/>
            <w:numPr>
              <w:ilvl w:val="0"/>
              <w:numId w:val="29"/>
            </w:numPr>
            <w:rPr>
              <w:rFonts w:ascii="宋体" w:hAnsi="宋体" w:cs="宋体"/>
              <w:kern w:val="0"/>
              <w:szCs w:val="21"/>
            </w:rPr>
          </w:pPr>
          <w:r>
            <w:rPr>
              <w:rFonts w:ascii="宋体" w:hAnsi="宋体" w:cs="宋体" w:hint="eastAsia"/>
              <w:kern w:val="0"/>
              <w:szCs w:val="21"/>
            </w:rPr>
            <w:t>面临终止上市的情况和原因</w:t>
          </w:r>
        </w:p>
        <w:sdt>
          <w:sdtPr>
            <w:rPr>
              <w:rFonts w:hint="eastAsia"/>
              <w:szCs w:val="21"/>
            </w:rPr>
            <w:alias w:val="是否适用：面临终止上市的情况和原因 [双击切换]"/>
            <w:tag w:val="_GBC_36002fff87954035b149cfd20b1790d5"/>
            <w:id w:val="1608764581"/>
            <w:lock w:val="sdtLocked"/>
            <w:placeholder>
              <w:docPart w:val="GBC22222222222222222222222222222"/>
            </w:placeholder>
          </w:sdtPr>
          <w:sdtContent>
            <w:p w:rsidR="00806678" w:rsidRDefault="00F80B6C">
              <w:pPr>
                <w:rPr>
                  <w:szCs w:val="21"/>
                </w:rPr>
              </w:pPr>
              <w:r>
                <w:rPr>
                  <w:szCs w:val="21"/>
                </w:rPr>
                <w:fldChar w:fldCharType="begin"/>
              </w:r>
              <w:r w:rsidR="001E45F1">
                <w:rPr>
                  <w:szCs w:val="21"/>
                </w:rPr>
                <w:instrText xml:space="preserve"> MACROBUTTON  SnrToggleCheckbox □适用  </w:instrText>
              </w:r>
              <w:r>
                <w:rPr>
                  <w:szCs w:val="21"/>
                </w:rPr>
                <w:fldChar w:fldCharType="end"/>
              </w:r>
              <w:r>
                <w:rPr>
                  <w:szCs w:val="21"/>
                </w:rPr>
                <w:fldChar w:fldCharType="begin"/>
              </w:r>
              <w:r w:rsidR="001E45F1">
                <w:rPr>
                  <w:szCs w:val="21"/>
                </w:rPr>
                <w:instrText xml:space="preserve"> MACROBUTTON  SnrToggleCheckbox √不适用 </w:instrText>
              </w:r>
              <w:r>
                <w:rPr>
                  <w:szCs w:val="21"/>
                </w:rPr>
                <w:fldChar w:fldCharType="end"/>
              </w:r>
            </w:p>
          </w:sdtContent>
        </w:sdt>
      </w:sdtContent>
    </w:sdt>
    <w:bookmarkEnd w:id="78" w:displacedByCustomXml="prev"/>
    <w:sdt>
      <w:sdtPr>
        <w:rPr>
          <w:rFonts w:ascii="宋体" w:hAnsi="宋体" w:cs="宋体"/>
          <w:b w:val="0"/>
          <w:bCs w:val="0"/>
          <w:kern w:val="0"/>
          <w:szCs w:val="24"/>
        </w:rPr>
        <w:alias w:val="模块:破产重整相关事项"/>
        <w:tag w:val="_SEC_40f00e43fb5a4ec79cf5293b027262f4"/>
        <w:id w:val="4639772"/>
        <w:lock w:val="sdtLocked"/>
        <w:placeholder>
          <w:docPart w:val="GBC22222222222222222222222222222"/>
        </w:placeholder>
      </w:sdtPr>
      <w:sdtEndPr>
        <w:rPr>
          <w:rFonts w:hint="eastAsia"/>
        </w:rPr>
      </w:sdtEndPr>
      <w:sdtContent>
        <w:p w:rsidR="00806678" w:rsidRDefault="00B16377">
          <w:pPr>
            <w:pStyle w:val="2"/>
            <w:numPr>
              <w:ilvl w:val="0"/>
              <w:numId w:val="9"/>
            </w:numPr>
          </w:pPr>
          <w:r>
            <w:t>破产重整相关事项</w:t>
          </w:r>
        </w:p>
        <w:sdt>
          <w:sdtPr>
            <w:alias w:val="是否适用：破产重整相关事项[双击切换]"/>
            <w:tag w:val="_GBC_5840a694c2a04f98893394e6da3bc9cc"/>
            <w:id w:val="4639791"/>
            <w:lock w:val="sdtLocked"/>
            <w:placeholder>
              <w:docPart w:val="GBC22222222222222222222222222222"/>
            </w:placeholder>
          </w:sdtPr>
          <w:sdtContent>
            <w:p w:rsidR="00806678" w:rsidRDefault="00F80B6C">
              <w:r>
                <w:fldChar w:fldCharType="begin"/>
              </w:r>
              <w:r w:rsidR="001E45F1">
                <w:instrText xml:space="preserve">MACROBUTTON  SnrToggleCheckbox □适用 </w:instrText>
              </w:r>
              <w:r>
                <w:fldChar w:fldCharType="end"/>
              </w:r>
              <w:r>
                <w:fldChar w:fldCharType="begin"/>
              </w:r>
              <w:r w:rsidR="001E45F1">
                <w:instrText xml:space="preserve"> MACROBUTTON  SnrToggleCheckbox √不适用 </w:instrText>
              </w:r>
              <w:r>
                <w:fldChar w:fldCharType="end"/>
              </w:r>
            </w:p>
          </w:sdtContent>
        </w:sdt>
      </w:sdtContent>
    </w:sdt>
    <w:p w:rsidR="00806678" w:rsidRDefault="00B16377">
      <w:pPr>
        <w:pStyle w:val="2"/>
        <w:numPr>
          <w:ilvl w:val="0"/>
          <w:numId w:val="9"/>
        </w:numPr>
      </w:pPr>
      <w:r>
        <w:t>重大诉讼、仲裁事项</w:t>
      </w:r>
    </w:p>
    <w:sdt>
      <w:sdtPr>
        <w:alias w:val="本年度公司有无重大诉讼、仲裁事项"/>
        <w:tag w:val="_GBC_b7d97a978491465ca563fa610688ebef"/>
        <w:id w:val="812530038"/>
        <w:lock w:val="sdtLocked"/>
        <w:placeholder>
          <w:docPart w:val="GBC22222222222222222222222222222"/>
        </w:placeholder>
      </w:sdtPr>
      <w:sdtContent>
        <w:p w:rsidR="00806678" w:rsidRDefault="00F80B6C">
          <w:pPr>
            <w:rPr>
              <w:szCs w:val="21"/>
            </w:rPr>
          </w:pPr>
          <w:r>
            <w:fldChar w:fldCharType="begin"/>
          </w:r>
          <w:r w:rsidR="00A239CA">
            <w:instrText xml:space="preserve"> MACROBUTTON  SnrToggleCheckbox □本年度公司有重大诉讼、仲裁事项 </w:instrText>
          </w:r>
          <w:r>
            <w:fldChar w:fldCharType="end"/>
          </w:r>
          <w:r>
            <w:fldChar w:fldCharType="begin"/>
          </w:r>
          <w:r w:rsidR="00A239CA">
            <w:instrText xml:space="preserve"> MACROBUTTON  SnrToggleCheckbox √本年度公司无重大诉讼、仲裁事项 </w:instrText>
          </w:r>
          <w:r>
            <w:fldChar w:fldCharType="end"/>
          </w:r>
        </w:p>
      </w:sdtContent>
    </w:sdt>
    <w:sdt>
      <w:sdtPr>
        <w:rPr>
          <w:rFonts w:ascii="宋体" w:hAnsi="宋体" w:cs="宋体"/>
          <w:b w:val="0"/>
          <w:bCs w:val="0"/>
          <w:kern w:val="0"/>
          <w:szCs w:val="24"/>
        </w:rPr>
        <w:alias w:val="模块:上市公司及其董事、监事、高级管理人员、控股股东、实际控制人、..."/>
        <w:tag w:val="_SEC_ab4d5b987db046049f25c9a37c5fcef6"/>
        <w:id w:val="4639803"/>
        <w:lock w:val="sdtLocked"/>
        <w:placeholder>
          <w:docPart w:val="GBC22222222222222222222222222222"/>
        </w:placeholder>
      </w:sdtPr>
      <w:sdtContent>
        <w:p w:rsidR="00806678" w:rsidRDefault="00B16377">
          <w:pPr>
            <w:pStyle w:val="2"/>
            <w:numPr>
              <w:ilvl w:val="0"/>
              <w:numId w:val="9"/>
            </w:numPr>
          </w:pPr>
          <w:r>
            <w:t>上市公司</w:t>
          </w:r>
          <w:r>
            <w:rPr>
              <w:rFonts w:hint="eastAsia"/>
            </w:rPr>
            <w:t>及其董事、监事、高级管理人员、控股股东、实际控制人</w:t>
          </w:r>
          <w:r>
            <w:t>涉嫌违法违规、受到处罚及整改情况</w:t>
          </w:r>
        </w:p>
        <w:sdt>
          <w:sdtPr>
            <w:alias w:val="是否适用：上市公司及其董事、监事、高级管理人员、持有5%以上股份的股东、实际控制人、收购人处罚及整改情况[双击切换]"/>
            <w:tag w:val="_GBC_123762bb7717485a933e24f7a072833b"/>
            <w:id w:val="4639815"/>
            <w:lock w:val="sdtLocked"/>
            <w:placeholder>
              <w:docPart w:val="GBC22222222222222222222222222222"/>
            </w:placeholder>
          </w:sdtPr>
          <w:sdtContent>
            <w:p w:rsidR="00806678" w:rsidRPr="001E45F1" w:rsidRDefault="00F80B6C">
              <w:pPr>
                <w:rPr>
                  <w:szCs w:val="21"/>
                </w:rPr>
              </w:pPr>
              <w:r>
                <w:fldChar w:fldCharType="begin"/>
              </w:r>
              <w:r w:rsidR="001E45F1">
                <w:instrText xml:space="preserve">MACROBUTTON  SnrToggleCheckbox □适用 </w:instrText>
              </w:r>
              <w:r>
                <w:fldChar w:fldCharType="end"/>
              </w:r>
              <w:r>
                <w:fldChar w:fldCharType="begin"/>
              </w:r>
              <w:r w:rsidR="001E45F1">
                <w:instrText xml:space="preserve"> MACROBUTTON  SnrToggleCheckbox √不适用 </w:instrText>
              </w:r>
              <w:r>
                <w:fldChar w:fldCharType="end"/>
              </w:r>
            </w:p>
          </w:sdtContent>
        </w:sdt>
      </w:sdtContent>
    </w:sdt>
    <w:sdt>
      <w:sdtPr>
        <w:rPr>
          <w:rFonts w:ascii="宋体" w:hAnsi="宋体" w:cs="宋体" w:hint="eastAsia"/>
          <w:b w:val="0"/>
          <w:bCs w:val="0"/>
          <w:kern w:val="0"/>
          <w:szCs w:val="24"/>
        </w:rPr>
        <w:alias w:val="模块:报告期内公司及其控股股东、实际控制人诚信状况的说明"/>
        <w:tag w:val="_SEC_a173054d21f9405fa83bf7d1309bfdc4"/>
        <w:id w:val="4639826"/>
        <w:lock w:val="sdtLocked"/>
        <w:placeholder>
          <w:docPart w:val="GBC22222222222222222222222222222"/>
        </w:placeholder>
      </w:sdtPr>
      <w:sdtContent>
        <w:p w:rsidR="00806678" w:rsidRDefault="00B16377">
          <w:pPr>
            <w:pStyle w:val="2"/>
            <w:numPr>
              <w:ilvl w:val="0"/>
              <w:numId w:val="9"/>
            </w:numPr>
          </w:pPr>
          <w:r>
            <w:rPr>
              <w:rFonts w:hint="eastAsia"/>
            </w:rPr>
            <w:t>报告期内公司及其控股股东、实际控制人诚信状况的说明</w:t>
          </w:r>
        </w:p>
        <w:sdt>
          <w:sdtPr>
            <w:rPr>
              <w:rFonts w:hint="eastAsia"/>
              <w:szCs w:val="21"/>
            </w:rPr>
            <w:alias w:val="是否适用：报告期内公司及其控股股东、实际控制人诚信状况的说明[双击切换]"/>
            <w:tag w:val="_GBC_c52f51ce49eb4245a9df7baca2947656"/>
            <w:id w:val="2074233455"/>
            <w:lock w:val="sdtLocked"/>
            <w:placeholder>
              <w:docPart w:val="GBC22222222222222222222222222222"/>
            </w:placeholder>
          </w:sdtPr>
          <w:sdtContent>
            <w:p w:rsidR="00806678" w:rsidRDefault="00F80B6C">
              <w:pPr>
                <w:rPr>
                  <w:szCs w:val="21"/>
                </w:rPr>
              </w:pPr>
              <w:r>
                <w:rPr>
                  <w:szCs w:val="21"/>
                </w:rPr>
                <w:fldChar w:fldCharType="begin"/>
              </w:r>
              <w:r w:rsidR="001E45F1">
                <w:rPr>
                  <w:szCs w:val="21"/>
                </w:rPr>
                <w:instrText xml:space="preserve"> MACROBUTTON  SnrToggleCheckbox □适用  </w:instrText>
              </w:r>
              <w:r>
                <w:rPr>
                  <w:szCs w:val="21"/>
                </w:rPr>
                <w:fldChar w:fldCharType="end"/>
              </w:r>
              <w:r>
                <w:rPr>
                  <w:szCs w:val="21"/>
                </w:rPr>
                <w:fldChar w:fldCharType="begin"/>
              </w:r>
              <w:r w:rsidR="001E45F1">
                <w:rPr>
                  <w:szCs w:val="21"/>
                </w:rPr>
                <w:instrText xml:space="preserve"> MACROBUTTON  SnrToggleCheckbox √不适用 </w:instrText>
              </w:r>
              <w:r>
                <w:rPr>
                  <w:szCs w:val="21"/>
                </w:rPr>
                <w:fldChar w:fldCharType="end"/>
              </w:r>
            </w:p>
          </w:sdtContent>
        </w:sdt>
      </w:sdtContent>
    </w:sdt>
    <w:p w:rsidR="00806678" w:rsidRDefault="00B16377">
      <w:pPr>
        <w:pStyle w:val="2"/>
        <w:numPr>
          <w:ilvl w:val="0"/>
          <w:numId w:val="9"/>
        </w:numPr>
      </w:pPr>
      <w:r>
        <w:rPr>
          <w:rFonts w:hint="eastAsia"/>
        </w:rPr>
        <w:t>重大关联交易</w:t>
      </w:r>
    </w:p>
    <w:p w:rsidR="00806678" w:rsidRDefault="00B16377">
      <w:pPr>
        <w:pStyle w:val="3"/>
        <w:numPr>
          <w:ilvl w:val="2"/>
          <w:numId w:val="2"/>
        </w:numPr>
        <w:rPr>
          <w:szCs w:val="21"/>
        </w:rPr>
      </w:pPr>
      <w:bookmarkStart w:id="79" w:name="_Toc342565953"/>
      <w:bookmarkStart w:id="80" w:name="_Toc342491961"/>
      <w:r>
        <w:rPr>
          <w:rFonts w:hint="eastAsia"/>
          <w:szCs w:val="21"/>
        </w:rPr>
        <w:t>与日常经营相关的关联交易</w:t>
      </w:r>
      <w:bookmarkEnd w:id="79"/>
      <w:bookmarkEnd w:id="80"/>
    </w:p>
    <w:sdt>
      <w:sdtPr>
        <w:rPr>
          <w:rFonts w:ascii="Calibri" w:eastAsia="宋体" w:hAnsi="Calibri" w:cs="宋体"/>
          <w:b w:val="0"/>
          <w:bCs w:val="0"/>
          <w:kern w:val="0"/>
          <w:sz w:val="24"/>
          <w:szCs w:val="24"/>
        </w:rPr>
        <w:alias w:val="模块:已在临时公告披露且后续实施无进展或变化的事项"/>
        <w:tag w:val="_SEC_9b2b3d5bc53a45ad87e57bafa9cc658c"/>
        <w:id w:val="1598403"/>
        <w:lock w:val="sdtLocked"/>
        <w:placeholder>
          <w:docPart w:val="GBC22222222222222222222222222222"/>
        </w:placeholder>
      </w:sdtPr>
      <w:sdtEndPr>
        <w:rPr>
          <w:rFonts w:ascii="宋体" w:hAnsi="宋体"/>
          <w:sz w:val="21"/>
        </w:rPr>
      </w:sdtEndPr>
      <w:sdtContent>
        <w:p w:rsidR="00806678" w:rsidRDefault="00B16377">
          <w:pPr>
            <w:pStyle w:val="4"/>
            <w:numPr>
              <w:ilvl w:val="2"/>
              <w:numId w:val="11"/>
            </w:numPr>
          </w:pPr>
          <w:r>
            <w:t>已在临时公告披露且后续实施无进展或变化的事项</w:t>
          </w:r>
        </w:p>
        <w:sdt>
          <w:sdtPr>
            <w:alias w:val="是否适用：已在临时公告披露且后续实施无进展或变化的事项_与日常经营相关的关联交易[双击切换]"/>
            <w:tag w:val="_GBC_6194ac6d54054fcc9f40dc3e35772780"/>
            <w:id w:val="-2093071994"/>
            <w:lock w:val="sdtLocked"/>
            <w:placeholder>
              <w:docPart w:val="GBC22222222222222222222222222222"/>
            </w:placeholder>
          </w:sdtPr>
          <w:sdtContent>
            <w:p w:rsidR="00806678" w:rsidRDefault="00F80B6C" w:rsidP="004E1FBD">
              <w:r>
                <w:fldChar w:fldCharType="begin"/>
              </w:r>
              <w:r w:rsidR="004E1FBD">
                <w:instrText xml:space="preserve">MACROBUTTON  SnrToggleCheckbox □适用 </w:instrText>
              </w:r>
              <w:r>
                <w:fldChar w:fldCharType="end"/>
              </w:r>
              <w:r>
                <w:fldChar w:fldCharType="begin"/>
              </w:r>
              <w:r w:rsidR="004E1FBD">
                <w:instrText xml:space="preserve"> MACROBUTTON  SnrToggleCheckbox √不适用 </w:instrText>
              </w:r>
              <w:r>
                <w:fldChar w:fldCharType="end"/>
              </w:r>
            </w:p>
          </w:sdtContent>
        </w:sdt>
      </w:sdtContent>
    </w:sdt>
    <w:sdt>
      <w:sdtPr>
        <w:rPr>
          <w:rFonts w:ascii="Calibri" w:eastAsia="宋体" w:hAnsi="Calibri" w:cs="宋体"/>
          <w:b w:val="0"/>
          <w:bCs w:val="0"/>
          <w:kern w:val="0"/>
          <w:sz w:val="24"/>
          <w:szCs w:val="24"/>
        </w:rPr>
        <w:alias w:val="模块:已在临时公告披露，但有后续实施的进展或变化的事项"/>
        <w:tag w:val="_SEC_c2c70cd3f9974feb98c2265569f9b212"/>
        <w:id w:val="1598430"/>
        <w:lock w:val="sdtLocked"/>
        <w:placeholder>
          <w:docPart w:val="GBC22222222222222222222222222222"/>
        </w:placeholder>
      </w:sdtPr>
      <w:sdtEndPr>
        <w:rPr>
          <w:rFonts w:asciiTheme="minorEastAsia" w:eastAsiaTheme="minorEastAsia" w:hAnsiTheme="minorEastAsia" w:hint="eastAsia"/>
          <w:sz w:val="21"/>
          <w:szCs w:val="21"/>
        </w:rPr>
      </w:sdtEndPr>
      <w:sdtContent>
        <w:p w:rsidR="00806678" w:rsidRDefault="00B16377">
          <w:pPr>
            <w:pStyle w:val="4"/>
            <w:numPr>
              <w:ilvl w:val="2"/>
              <w:numId w:val="11"/>
            </w:numPr>
          </w:pPr>
          <w:r>
            <w:t>已在临时公告披露，但有后续实施的进展或变化的事项</w:t>
          </w:r>
        </w:p>
        <w:sdt>
          <w:sdtPr>
            <w:rPr>
              <w:rFonts w:hint="eastAsia"/>
              <w:szCs w:val="21"/>
            </w:rPr>
            <w:alias w:val="是否适用：已在临时公告披露，但有后续实施的进展或变化的事项_与日常经营相关的关联交易[双击切换]"/>
            <w:tag w:val="_GBC_19ed12f3e7b5456b8509a0a5457f26b3"/>
            <w:id w:val="-2107795288"/>
            <w:lock w:val="sdtLocked"/>
            <w:placeholder>
              <w:docPart w:val="GBC22222222222222222222222222222"/>
            </w:placeholder>
          </w:sdtPr>
          <w:sdtContent>
            <w:p w:rsidR="00806678" w:rsidRDefault="00F80B6C">
              <w:pPr>
                <w:rPr>
                  <w:szCs w:val="21"/>
                </w:rPr>
              </w:pPr>
              <w:r>
                <w:rPr>
                  <w:szCs w:val="21"/>
                </w:rPr>
                <w:fldChar w:fldCharType="begin"/>
              </w:r>
              <w:r w:rsidR="004E1FBD">
                <w:rPr>
                  <w:szCs w:val="21"/>
                </w:rPr>
                <w:instrText xml:space="preserve"> MACROBUTTON  SnrToggleCheckbox √适用  </w:instrText>
              </w:r>
              <w:r>
                <w:rPr>
                  <w:szCs w:val="21"/>
                </w:rPr>
                <w:fldChar w:fldCharType="end"/>
              </w:r>
              <w:r>
                <w:rPr>
                  <w:szCs w:val="21"/>
                </w:rPr>
                <w:fldChar w:fldCharType="begin"/>
              </w:r>
              <w:r w:rsidR="004E1FBD">
                <w:rPr>
                  <w:szCs w:val="21"/>
                </w:rPr>
                <w:instrText xml:space="preserve"> MACROBUTTON  SnrToggleCheckbox □不适用 </w:instrText>
              </w:r>
              <w:r>
                <w:rPr>
                  <w:szCs w:val="21"/>
                </w:rPr>
                <w:fldChar w:fldCharType="end"/>
              </w:r>
            </w:p>
          </w:sdtContent>
        </w:sdt>
        <w:sdt>
          <w:sdtPr>
            <w:rPr>
              <w:rFonts w:hint="eastAsia"/>
              <w:szCs w:val="21"/>
            </w:rPr>
            <w:alias w:val="与日常经营相关的关联交易事项已在临时报告披露，后续实施的进展或变化"/>
            <w:tag w:val="_GBC_5fbfc287aede44a486960ae219233887"/>
            <w:id w:val="1598237"/>
            <w:lock w:val="sdtLocked"/>
            <w:placeholder>
              <w:docPart w:val="GBC22222222222222222222222222222"/>
            </w:placeholder>
          </w:sdtPr>
          <w:sdtEndPr>
            <w:rPr>
              <w:rFonts w:asciiTheme="minorEastAsia" w:eastAsiaTheme="minorEastAsia" w:hAnsiTheme="minorEastAsia"/>
            </w:rPr>
          </w:sdtEndPr>
          <w:sdtContent>
            <w:p w:rsidR="0023218D" w:rsidRDefault="004E1FBD" w:rsidP="0023218D">
              <w:pPr>
                <w:spacing w:line="360" w:lineRule="auto"/>
                <w:ind w:firstLineChars="200" w:firstLine="420"/>
                <w:rPr>
                  <w:rFonts w:asciiTheme="minorEastAsia" w:eastAsiaTheme="minorEastAsia" w:hAnsiTheme="minorEastAsia"/>
                  <w:szCs w:val="21"/>
                </w:rPr>
              </w:pPr>
              <w:r w:rsidRPr="001056E7">
                <w:rPr>
                  <w:rFonts w:asciiTheme="minorEastAsia" w:eastAsiaTheme="minorEastAsia" w:hAnsiTheme="minorEastAsia" w:hint="eastAsia"/>
                  <w:szCs w:val="21"/>
                </w:rPr>
                <w:t>20</w:t>
              </w:r>
              <w:r w:rsidRPr="001056E7">
                <w:rPr>
                  <w:rFonts w:asciiTheme="minorEastAsia" w:eastAsiaTheme="minorEastAsia" w:hAnsiTheme="minorEastAsia"/>
                  <w:szCs w:val="21"/>
                </w:rPr>
                <w:t>2</w:t>
              </w:r>
              <w:r>
                <w:rPr>
                  <w:rFonts w:asciiTheme="minorEastAsia" w:eastAsiaTheme="minorEastAsia" w:hAnsiTheme="minorEastAsia" w:hint="eastAsia"/>
                  <w:szCs w:val="21"/>
                </w:rPr>
                <w:t>2</w:t>
              </w:r>
              <w:r w:rsidRPr="001056E7">
                <w:rPr>
                  <w:rFonts w:asciiTheme="minorEastAsia" w:eastAsiaTheme="minorEastAsia" w:hAnsiTheme="minorEastAsia" w:hint="eastAsia"/>
                  <w:szCs w:val="21"/>
                </w:rPr>
                <w:t>年4月2</w:t>
              </w:r>
              <w:r>
                <w:rPr>
                  <w:rFonts w:asciiTheme="minorEastAsia" w:eastAsiaTheme="minorEastAsia" w:hAnsiTheme="minorEastAsia" w:hint="eastAsia"/>
                  <w:szCs w:val="21"/>
                </w:rPr>
                <w:t>6</w:t>
              </w:r>
              <w:r w:rsidRPr="001056E7">
                <w:rPr>
                  <w:rFonts w:asciiTheme="minorEastAsia" w:eastAsiaTheme="minorEastAsia" w:hAnsiTheme="minorEastAsia" w:hint="eastAsia"/>
                  <w:szCs w:val="21"/>
                </w:rPr>
                <w:t>日</w:t>
              </w:r>
              <w:r>
                <w:rPr>
                  <w:rFonts w:asciiTheme="minorEastAsia" w:eastAsiaTheme="minorEastAsia" w:hAnsiTheme="minorEastAsia" w:hint="eastAsia"/>
                  <w:szCs w:val="21"/>
                </w:rPr>
                <w:t>，公司召开第六届董事会第十一</w:t>
              </w:r>
              <w:r w:rsidRPr="001056E7">
                <w:rPr>
                  <w:rFonts w:asciiTheme="minorEastAsia" w:eastAsiaTheme="minorEastAsia" w:hAnsiTheme="minorEastAsia" w:hint="eastAsia"/>
                  <w:szCs w:val="21"/>
                </w:rPr>
                <w:t>次会议，审议通过《关于预计20</w:t>
              </w:r>
              <w:r w:rsidRPr="001056E7">
                <w:rPr>
                  <w:rFonts w:asciiTheme="minorEastAsia" w:eastAsiaTheme="minorEastAsia" w:hAnsiTheme="minorEastAsia"/>
                  <w:szCs w:val="21"/>
                </w:rPr>
                <w:t>2</w:t>
              </w:r>
              <w:r>
                <w:rPr>
                  <w:rFonts w:asciiTheme="minorEastAsia" w:eastAsiaTheme="minorEastAsia" w:hAnsiTheme="minorEastAsia" w:hint="eastAsia"/>
                  <w:szCs w:val="21"/>
                </w:rPr>
                <w:t>2</w:t>
              </w:r>
              <w:r w:rsidRPr="001056E7">
                <w:rPr>
                  <w:rFonts w:asciiTheme="minorEastAsia" w:eastAsiaTheme="minorEastAsia" w:hAnsiTheme="minorEastAsia" w:hint="eastAsia"/>
                  <w:szCs w:val="21"/>
                </w:rPr>
                <w:t>年度日常关联交易金额的议案》。</w:t>
              </w:r>
              <w:r>
                <w:rPr>
                  <w:rFonts w:asciiTheme="minorEastAsia" w:eastAsiaTheme="minorEastAsia" w:hAnsiTheme="minorEastAsia" w:hint="eastAsia"/>
                  <w:szCs w:val="21"/>
                </w:rPr>
                <w:t>内容详见</w:t>
              </w:r>
              <w:r>
                <w:rPr>
                  <w:rFonts w:asciiTheme="minorEastAsia" w:eastAsiaTheme="minorEastAsia" w:hAnsiTheme="minorEastAsia"/>
                  <w:szCs w:val="21"/>
                </w:rPr>
                <w:t>20</w:t>
              </w:r>
              <w:r>
                <w:rPr>
                  <w:rFonts w:asciiTheme="minorEastAsia" w:eastAsiaTheme="minorEastAsia" w:hAnsiTheme="minorEastAsia" w:hint="eastAsia"/>
                  <w:szCs w:val="21"/>
                </w:rPr>
                <w:t>22</w:t>
              </w:r>
              <w:r w:rsidRPr="00DB0816">
                <w:rPr>
                  <w:rFonts w:asciiTheme="minorEastAsia" w:eastAsiaTheme="minorEastAsia" w:hAnsiTheme="minorEastAsia"/>
                  <w:szCs w:val="21"/>
                </w:rPr>
                <w:t>年4月2</w:t>
              </w:r>
              <w:r>
                <w:rPr>
                  <w:rFonts w:asciiTheme="minorEastAsia" w:eastAsiaTheme="minorEastAsia" w:hAnsiTheme="minorEastAsia" w:hint="eastAsia"/>
                  <w:szCs w:val="21"/>
                </w:rPr>
                <w:t>8</w:t>
              </w:r>
              <w:r w:rsidRPr="00DB0816">
                <w:rPr>
                  <w:rFonts w:asciiTheme="minorEastAsia" w:eastAsiaTheme="minorEastAsia" w:hAnsiTheme="minorEastAsia"/>
                  <w:szCs w:val="21"/>
                </w:rPr>
                <w:t>日登载于上海证券交易所网站的《大秦铁路股份有限公司日常关联交易</w:t>
              </w:r>
              <w:r>
                <w:rPr>
                  <w:rFonts w:asciiTheme="minorEastAsia" w:eastAsiaTheme="minorEastAsia" w:hAnsiTheme="minorEastAsia" w:hint="eastAsia"/>
                  <w:szCs w:val="21"/>
                </w:rPr>
                <w:t>2021年度完成及</w:t>
              </w:r>
              <w:r>
                <w:rPr>
                  <w:rFonts w:asciiTheme="minorEastAsia" w:eastAsiaTheme="minorEastAsia" w:hAnsiTheme="minorEastAsia"/>
                  <w:szCs w:val="21"/>
                </w:rPr>
                <w:t>20</w:t>
              </w:r>
              <w:r>
                <w:rPr>
                  <w:rFonts w:asciiTheme="minorEastAsia" w:eastAsiaTheme="minorEastAsia" w:hAnsiTheme="minorEastAsia" w:hint="eastAsia"/>
                  <w:szCs w:val="21"/>
                </w:rPr>
                <w:t>22</w:t>
              </w:r>
              <w:r w:rsidRPr="00DB0816">
                <w:rPr>
                  <w:rFonts w:asciiTheme="minorEastAsia" w:eastAsiaTheme="minorEastAsia" w:hAnsiTheme="minorEastAsia"/>
                  <w:szCs w:val="21"/>
                </w:rPr>
                <w:t>年度预计公告》。</w:t>
              </w:r>
            </w:p>
            <w:p w:rsidR="0023218D" w:rsidRDefault="004E1FBD" w:rsidP="0023218D">
              <w:pPr>
                <w:spacing w:line="360" w:lineRule="auto"/>
                <w:ind w:firstLineChars="200" w:firstLine="420"/>
                <w:rPr>
                  <w:rFonts w:asciiTheme="minorEastAsia" w:eastAsiaTheme="minorEastAsia" w:hAnsiTheme="minorEastAsia"/>
                  <w:szCs w:val="21"/>
                </w:rPr>
              </w:pPr>
              <w:r w:rsidRPr="00DB0816">
                <w:rPr>
                  <w:rFonts w:asciiTheme="minorEastAsia" w:eastAsiaTheme="minorEastAsia" w:hAnsiTheme="minorEastAsia" w:hint="eastAsia"/>
                  <w:szCs w:val="21"/>
                </w:rPr>
                <w:t>公司</w:t>
              </w:r>
              <w:r w:rsidR="009C4B1A">
                <w:rPr>
                  <w:rFonts w:asciiTheme="minorEastAsia" w:eastAsiaTheme="minorEastAsia" w:hAnsiTheme="minorEastAsia" w:hint="eastAsia"/>
                  <w:szCs w:val="21"/>
                </w:rPr>
                <w:t>2022</w:t>
              </w:r>
              <w:r w:rsidRPr="00DB0816">
                <w:rPr>
                  <w:rFonts w:asciiTheme="minorEastAsia" w:eastAsiaTheme="minorEastAsia" w:hAnsiTheme="minorEastAsia" w:hint="eastAsia"/>
                  <w:szCs w:val="21"/>
                </w:rPr>
                <w:t>年日常关联交易</w:t>
              </w:r>
              <w:r>
                <w:rPr>
                  <w:rFonts w:asciiTheme="minorEastAsia" w:eastAsiaTheme="minorEastAsia" w:hAnsiTheme="minorEastAsia" w:hint="eastAsia"/>
                  <w:szCs w:val="21"/>
                </w:rPr>
                <w:t>实际</w:t>
              </w:r>
              <w:r w:rsidRPr="00DB0816">
                <w:rPr>
                  <w:rFonts w:asciiTheme="minorEastAsia" w:eastAsiaTheme="minorEastAsia" w:hAnsiTheme="minorEastAsia" w:hint="eastAsia"/>
                  <w:szCs w:val="21"/>
                </w:rPr>
                <w:t>完成情况及</w:t>
              </w:r>
              <w:r w:rsidR="009C4B1A">
                <w:rPr>
                  <w:rFonts w:asciiTheme="minorEastAsia" w:eastAsiaTheme="minorEastAsia" w:hAnsiTheme="minorEastAsia" w:hint="eastAsia"/>
                  <w:szCs w:val="21"/>
                </w:rPr>
                <w:t>2023</w:t>
              </w:r>
              <w:r>
                <w:rPr>
                  <w:rFonts w:asciiTheme="minorEastAsia" w:eastAsiaTheme="minorEastAsia" w:hAnsiTheme="minorEastAsia" w:hint="eastAsia"/>
                  <w:szCs w:val="21"/>
                </w:rPr>
                <w:t>年预计情况</w:t>
              </w:r>
              <w:r w:rsidRPr="00DB0816">
                <w:rPr>
                  <w:rFonts w:asciiTheme="minorEastAsia" w:eastAsiaTheme="minorEastAsia" w:hAnsiTheme="minorEastAsia" w:hint="eastAsia"/>
                  <w:szCs w:val="21"/>
                </w:rPr>
                <w:t>详见</w:t>
              </w:r>
              <w:r>
                <w:rPr>
                  <w:rFonts w:asciiTheme="minorEastAsia" w:eastAsiaTheme="minorEastAsia" w:hAnsiTheme="minorEastAsia"/>
                  <w:szCs w:val="21"/>
                </w:rPr>
                <w:t>20</w:t>
              </w:r>
              <w:r w:rsidR="009C4B1A">
                <w:rPr>
                  <w:rFonts w:asciiTheme="minorEastAsia" w:eastAsiaTheme="minorEastAsia" w:hAnsiTheme="minorEastAsia" w:hint="eastAsia"/>
                  <w:szCs w:val="21"/>
                </w:rPr>
                <w:t>23</w:t>
              </w:r>
              <w:r w:rsidRPr="00DB0816">
                <w:rPr>
                  <w:rFonts w:asciiTheme="minorEastAsia" w:eastAsiaTheme="minorEastAsia" w:hAnsiTheme="minorEastAsia"/>
                  <w:szCs w:val="21"/>
                </w:rPr>
                <w:t>年4月2</w:t>
              </w:r>
              <w:r w:rsidR="009C4B1A">
                <w:rPr>
                  <w:rFonts w:asciiTheme="minorEastAsia" w:eastAsiaTheme="minorEastAsia" w:hAnsiTheme="minorEastAsia" w:hint="eastAsia"/>
                  <w:szCs w:val="21"/>
                </w:rPr>
                <w:t>7</w:t>
              </w:r>
              <w:r w:rsidRPr="00DB0816">
                <w:rPr>
                  <w:rFonts w:asciiTheme="minorEastAsia" w:eastAsiaTheme="minorEastAsia" w:hAnsiTheme="minorEastAsia"/>
                  <w:szCs w:val="21"/>
                </w:rPr>
                <w:t>日登载于上海证券交易所网站的《大秦铁路股份有限公司日常关联交易</w:t>
              </w:r>
              <w:r w:rsidR="009C4B1A">
                <w:rPr>
                  <w:rFonts w:asciiTheme="minorEastAsia" w:eastAsiaTheme="minorEastAsia" w:hAnsiTheme="minorEastAsia" w:hint="eastAsia"/>
                  <w:szCs w:val="21"/>
                </w:rPr>
                <w:t>2022</w:t>
              </w:r>
              <w:r>
                <w:rPr>
                  <w:rFonts w:asciiTheme="minorEastAsia" w:eastAsiaTheme="minorEastAsia" w:hAnsiTheme="minorEastAsia" w:hint="eastAsia"/>
                  <w:szCs w:val="21"/>
                </w:rPr>
                <w:t>年度完成及</w:t>
              </w:r>
              <w:r>
                <w:rPr>
                  <w:rFonts w:asciiTheme="minorEastAsia" w:eastAsiaTheme="minorEastAsia" w:hAnsiTheme="minorEastAsia"/>
                  <w:szCs w:val="21"/>
                </w:rPr>
                <w:t>20</w:t>
              </w:r>
              <w:r w:rsidR="009C4B1A">
                <w:rPr>
                  <w:rFonts w:asciiTheme="minorEastAsia" w:eastAsiaTheme="minorEastAsia" w:hAnsiTheme="minorEastAsia" w:hint="eastAsia"/>
                  <w:szCs w:val="21"/>
                </w:rPr>
                <w:t>23</w:t>
              </w:r>
              <w:r w:rsidRPr="00DB0816">
                <w:rPr>
                  <w:rFonts w:asciiTheme="minorEastAsia" w:eastAsiaTheme="minorEastAsia" w:hAnsiTheme="minorEastAsia"/>
                  <w:szCs w:val="21"/>
                </w:rPr>
                <w:t>年度预计公告》。</w:t>
              </w:r>
            </w:p>
            <w:p w:rsidR="00806678" w:rsidRPr="00F3039E" w:rsidRDefault="00072335" w:rsidP="006F32FB">
              <w:pPr>
                <w:spacing w:afterLines="50"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2022年12月28日，公司与中国国家铁路集团有限公司续签</w:t>
              </w:r>
              <w:r w:rsidRPr="00072335">
                <w:rPr>
                  <w:rFonts w:hint="eastAsia"/>
                  <w:szCs w:val="21"/>
                </w:rPr>
                <w:t>《综合服务框架协议》</w:t>
              </w:r>
              <w:r>
                <w:rPr>
                  <w:rFonts w:asciiTheme="minorEastAsia" w:eastAsiaTheme="minorEastAsia" w:hAnsiTheme="minorEastAsia" w:hint="eastAsia"/>
                  <w:szCs w:val="21"/>
                </w:rPr>
                <w:t>。内容详见</w:t>
              </w:r>
              <w:r>
                <w:rPr>
                  <w:rFonts w:asciiTheme="minorEastAsia" w:eastAsiaTheme="minorEastAsia" w:hAnsiTheme="minorEastAsia"/>
                  <w:szCs w:val="21"/>
                </w:rPr>
                <w:t>20</w:t>
              </w:r>
              <w:r>
                <w:rPr>
                  <w:rFonts w:asciiTheme="minorEastAsia" w:eastAsiaTheme="minorEastAsia" w:hAnsiTheme="minorEastAsia" w:hint="eastAsia"/>
                  <w:szCs w:val="21"/>
                </w:rPr>
                <w:t>22</w:t>
              </w:r>
              <w:r w:rsidRPr="00DB0816">
                <w:rPr>
                  <w:rFonts w:asciiTheme="minorEastAsia" w:eastAsiaTheme="minorEastAsia" w:hAnsiTheme="minorEastAsia"/>
                  <w:szCs w:val="21"/>
                </w:rPr>
                <w:t>年</w:t>
              </w:r>
              <w:r>
                <w:rPr>
                  <w:rFonts w:asciiTheme="minorEastAsia" w:eastAsiaTheme="minorEastAsia" w:hAnsiTheme="minorEastAsia" w:hint="eastAsia"/>
                  <w:szCs w:val="21"/>
                </w:rPr>
                <w:t>12</w:t>
              </w:r>
              <w:r w:rsidRPr="00DB0816">
                <w:rPr>
                  <w:rFonts w:asciiTheme="minorEastAsia" w:eastAsiaTheme="minorEastAsia" w:hAnsiTheme="minorEastAsia"/>
                  <w:szCs w:val="21"/>
                </w:rPr>
                <w:t>月2</w:t>
              </w:r>
              <w:r>
                <w:rPr>
                  <w:rFonts w:asciiTheme="minorEastAsia" w:eastAsiaTheme="minorEastAsia" w:hAnsiTheme="minorEastAsia" w:hint="eastAsia"/>
                  <w:szCs w:val="21"/>
                </w:rPr>
                <w:t>9</w:t>
              </w:r>
              <w:r w:rsidRPr="00DB0816">
                <w:rPr>
                  <w:rFonts w:asciiTheme="minorEastAsia" w:eastAsiaTheme="minorEastAsia" w:hAnsiTheme="minorEastAsia"/>
                  <w:szCs w:val="21"/>
                </w:rPr>
                <w:t>日登载于上海证券交易所网站的</w:t>
              </w:r>
              <w:r>
                <w:rPr>
                  <w:rFonts w:asciiTheme="minorEastAsia" w:eastAsiaTheme="minorEastAsia" w:hAnsiTheme="minorEastAsia" w:hint="eastAsia"/>
                  <w:szCs w:val="21"/>
                </w:rPr>
                <w:t>《大秦铁路关于与中国国家铁路集团有限公司续签&lt;综合服务框架协议&gt;</w:t>
              </w:r>
              <w:r w:rsidRPr="00072335">
                <w:rPr>
                  <w:rFonts w:asciiTheme="minorEastAsia" w:eastAsiaTheme="minorEastAsia" w:hAnsiTheme="minorEastAsia" w:hint="eastAsia"/>
                  <w:szCs w:val="21"/>
                </w:rPr>
                <w:t>的公告</w:t>
              </w:r>
              <w:r>
                <w:rPr>
                  <w:rFonts w:asciiTheme="minorEastAsia" w:eastAsiaTheme="minorEastAsia" w:hAnsiTheme="minorEastAsia" w:hint="eastAsia"/>
                  <w:szCs w:val="21"/>
                </w:rPr>
                <w:t>》。</w:t>
              </w:r>
              <w:r w:rsidR="00F3039E" w:rsidRPr="00F3039E">
                <w:rPr>
                  <w:rFonts w:asciiTheme="minorEastAsia" w:eastAsiaTheme="minorEastAsia" w:hAnsiTheme="minorEastAsia" w:hint="eastAsia"/>
                  <w:szCs w:val="21"/>
                </w:rPr>
                <w:t>上述事项已经公司</w:t>
              </w:r>
              <w:r w:rsidR="00F3039E" w:rsidRPr="00F3039E">
                <w:rPr>
                  <w:rFonts w:hint="eastAsia"/>
                  <w:szCs w:val="21"/>
                </w:rPr>
                <w:t>六届十五</w:t>
              </w:r>
              <w:r w:rsidR="00F3039E">
                <w:rPr>
                  <w:rFonts w:hint="eastAsia"/>
                  <w:szCs w:val="21"/>
                </w:rPr>
                <w:t>次董事会、</w:t>
              </w:r>
              <w:r w:rsidR="00F3039E" w:rsidRPr="00F3039E">
                <w:rPr>
                  <w:rFonts w:hint="eastAsia"/>
                  <w:szCs w:val="21"/>
                </w:rPr>
                <w:t>六届十二次监事会</w:t>
              </w:r>
              <w:r w:rsidR="00F3039E">
                <w:rPr>
                  <w:rFonts w:hint="eastAsia"/>
                  <w:szCs w:val="21"/>
                </w:rPr>
                <w:t>和2022年第一次临时股东大会</w:t>
              </w:r>
              <w:r w:rsidR="00F3039E" w:rsidRPr="00F3039E">
                <w:rPr>
                  <w:rFonts w:hint="eastAsia"/>
                  <w:szCs w:val="21"/>
                </w:rPr>
                <w:t>审议通过。</w:t>
              </w:r>
            </w:p>
          </w:sdtContent>
        </w:sdt>
      </w:sdtContent>
    </w:sdt>
    <w:bookmarkStart w:id="81" w:name="_Toc342491964" w:displacedByCustomXml="next"/>
    <w:bookmarkStart w:id="82" w:name="_Toc342565956" w:displacedByCustomXml="next"/>
    <w:sdt>
      <w:sdtPr>
        <w:rPr>
          <w:rFonts w:ascii="Calibri" w:eastAsia="宋体" w:hAnsi="Calibri" w:cs="宋体" w:hint="eastAsia"/>
          <w:b w:val="0"/>
          <w:bCs w:val="0"/>
          <w:kern w:val="0"/>
          <w:sz w:val="24"/>
          <w:szCs w:val="24"/>
        </w:rPr>
        <w:alias w:val="模块:临时公告未披露的事项"/>
        <w:tag w:val="_SEC_18ede113eb9d4e58b96677300bb03f7d"/>
        <w:id w:val="1598458"/>
        <w:lock w:val="sdtLocked"/>
        <w:placeholder>
          <w:docPart w:val="GBC22222222222222222222222222222"/>
        </w:placeholder>
      </w:sdtPr>
      <w:sdtEndPr>
        <w:rPr>
          <w:rFonts w:ascii="宋体" w:hAnsi="宋体" w:hint="default"/>
          <w:sz w:val="21"/>
        </w:rPr>
      </w:sdtEndPr>
      <w:sdtContent>
        <w:p w:rsidR="00806678" w:rsidRDefault="00B16377">
          <w:pPr>
            <w:pStyle w:val="4"/>
            <w:numPr>
              <w:ilvl w:val="2"/>
              <w:numId w:val="11"/>
            </w:numPr>
          </w:pPr>
          <w:r>
            <w:rPr>
              <w:rFonts w:hint="eastAsia"/>
            </w:rPr>
            <w:t>临时公告未披露的事</w:t>
          </w:r>
          <w:bookmarkEnd w:id="82"/>
          <w:bookmarkEnd w:id="81"/>
          <w:r>
            <w:rPr>
              <w:rFonts w:hint="eastAsia"/>
            </w:rPr>
            <w:t>项</w:t>
          </w:r>
        </w:p>
        <w:sdt>
          <w:sdtPr>
            <w:alias w:val="是否适用：与日常经营相关的关联交易_临时公告未披露的事项[双击切换]"/>
            <w:tag w:val="_GBC_3f1135e0d6d440e6a4af283441bd65d2"/>
            <w:id w:val="-1818556320"/>
            <w:lock w:val="sdtLocked"/>
            <w:placeholder>
              <w:docPart w:val="GBC22222222222222222222222222222"/>
            </w:placeholder>
          </w:sdtPr>
          <w:sdtContent>
            <w:p w:rsidR="00806678" w:rsidRDefault="00F80B6C" w:rsidP="00445875">
              <w:r>
                <w:fldChar w:fldCharType="begin"/>
              </w:r>
              <w:r w:rsidR="00445875">
                <w:instrText xml:space="preserve">MACROBUTTON  SnrToggleCheckbox □适用 </w:instrText>
              </w:r>
              <w:r>
                <w:fldChar w:fldCharType="end"/>
              </w:r>
              <w:r>
                <w:fldChar w:fldCharType="begin"/>
              </w:r>
              <w:r w:rsidR="00445875">
                <w:instrText xml:space="preserve"> MACROBUTTON  SnrToggleCheckbox √不适用 </w:instrText>
              </w:r>
              <w:r>
                <w:fldChar w:fldCharType="end"/>
              </w:r>
            </w:p>
          </w:sdtContent>
        </w:sdt>
      </w:sdtContent>
    </w:sdt>
    <w:p w:rsidR="00806678" w:rsidRDefault="00B16377">
      <w:pPr>
        <w:pStyle w:val="3"/>
        <w:numPr>
          <w:ilvl w:val="2"/>
          <w:numId w:val="2"/>
        </w:numPr>
        <w:tabs>
          <w:tab w:val="left" w:pos="426"/>
        </w:tabs>
        <w:rPr>
          <w:rFonts w:ascii="宋体" w:hAnsi="宋体"/>
          <w:szCs w:val="21"/>
        </w:rPr>
      </w:pPr>
      <w:r>
        <w:rPr>
          <w:szCs w:val="21"/>
        </w:rPr>
        <w:t>资产</w:t>
      </w:r>
      <w:r>
        <w:rPr>
          <w:rFonts w:hint="eastAsia"/>
          <w:szCs w:val="21"/>
        </w:rPr>
        <w:t>或股权</w:t>
      </w:r>
      <w:r>
        <w:rPr>
          <w:szCs w:val="21"/>
        </w:rPr>
        <w:t>收购、出售发生的关联交易</w:t>
      </w:r>
    </w:p>
    <w:sdt>
      <w:sdtPr>
        <w:rPr>
          <w:rFonts w:ascii="Calibri" w:eastAsia="宋体" w:hAnsi="Calibri" w:cs="宋体"/>
          <w:b w:val="0"/>
          <w:bCs w:val="0"/>
          <w:kern w:val="0"/>
          <w:sz w:val="24"/>
          <w:szCs w:val="24"/>
        </w:rPr>
        <w:alias w:val="模块:已在临时公告披露且后续实施无进展或变化的事项"/>
        <w:tag w:val="_SEC_5101ea14b3704066958f40b02b8e01b2"/>
        <w:id w:val="1599180"/>
        <w:lock w:val="sdtLocked"/>
        <w:placeholder>
          <w:docPart w:val="GBC22222222222222222222222222222"/>
        </w:placeholder>
      </w:sdtPr>
      <w:sdtEndPr>
        <w:rPr>
          <w:rFonts w:ascii="宋体" w:hAnsi="宋体"/>
          <w:sz w:val="21"/>
        </w:rPr>
      </w:sdtEndPr>
      <w:sdtContent>
        <w:p w:rsidR="00806678" w:rsidRDefault="00B16377" w:rsidP="00FF17C7">
          <w:pPr>
            <w:pStyle w:val="4"/>
            <w:numPr>
              <w:ilvl w:val="0"/>
              <w:numId w:val="21"/>
            </w:numPr>
          </w:pPr>
          <w:r>
            <w:t>已在临时公告披露且后续实施无进展或变化的事项</w:t>
          </w:r>
        </w:p>
        <w:sdt>
          <w:sdtPr>
            <w:alias w:val="是否适用：已在临时公告披露且后续实施无进展或变化的事项_资产或股权收购、出售发生的关联交易[双击切换]"/>
            <w:tag w:val="_GBC_543ebf3bec89495c98a461a0509a331d"/>
            <w:id w:val="-1503202403"/>
            <w:lock w:val="sdtLocked"/>
            <w:placeholder>
              <w:docPart w:val="GBC22222222222222222222222222222"/>
            </w:placeholder>
          </w:sdtPr>
          <w:sdtContent>
            <w:p w:rsidR="00806678" w:rsidRDefault="00F80B6C" w:rsidP="00445875">
              <w:r>
                <w:fldChar w:fldCharType="begin"/>
              </w:r>
              <w:r w:rsidR="00445875">
                <w:instrText xml:space="preserve">MACROBUTTON  SnrToggleCheckbox □适用 </w:instrText>
              </w:r>
              <w:r>
                <w:fldChar w:fldCharType="end"/>
              </w:r>
              <w:r>
                <w:fldChar w:fldCharType="begin"/>
              </w:r>
              <w:r w:rsidR="00445875">
                <w:instrText xml:space="preserve"> MACROBUTTON  SnrToggleCheckbox √不适用 </w:instrText>
              </w:r>
              <w:r>
                <w:fldChar w:fldCharType="end"/>
              </w:r>
            </w:p>
          </w:sdtContent>
        </w:sdt>
      </w:sdtContent>
    </w:sdt>
    <w:bookmarkStart w:id="83" w:name="_Hlk90309315" w:displacedByCustomXml="next"/>
    <w:sdt>
      <w:sdtPr>
        <w:rPr>
          <w:rFonts w:ascii="宋体" w:eastAsia="宋体" w:hAnsi="宋体" w:cs="宋体"/>
          <w:b w:val="0"/>
          <w:bCs w:val="0"/>
          <w:kern w:val="0"/>
          <w:szCs w:val="24"/>
        </w:rPr>
        <w:alias w:val="模块:已在临时公告披露，但有后续实施的进展或变化的事项  （空..."/>
        <w:tag w:val="_SEC_212a9f990eed40aea6f3097b326c6b3f"/>
        <w:id w:val="-1251573445"/>
        <w:lock w:val="sdtLocked"/>
        <w:placeholder>
          <w:docPart w:val="GBC22222222222222222222222222222"/>
        </w:placeholder>
      </w:sdtPr>
      <w:sdtEndPr>
        <w:rPr>
          <w:rFonts w:hint="eastAsia"/>
          <w:szCs w:val="21"/>
        </w:rPr>
      </w:sdtEndPr>
      <w:sdtContent>
        <w:p w:rsidR="00806678" w:rsidRDefault="00B16377" w:rsidP="00FF17C7">
          <w:pPr>
            <w:pStyle w:val="4"/>
            <w:numPr>
              <w:ilvl w:val="0"/>
              <w:numId w:val="21"/>
            </w:numPr>
          </w:pPr>
          <w:r>
            <w:t>已在临时公告披露，但有后续实施的进展或变化的事项</w:t>
          </w:r>
        </w:p>
        <w:sdt>
          <w:sdtPr>
            <w:rPr>
              <w:rFonts w:hint="eastAsia"/>
              <w:szCs w:val="21"/>
            </w:rPr>
            <w:alias w:val="是否适用：已在临时公告披露，但有后续实施的进展或变化的事项_资产或股权收购、出售发生的关联交易[双击切换]"/>
            <w:tag w:val="_GBC_f85ce314be044952b84cb0c7825e3be3"/>
            <w:id w:val="1386376690"/>
            <w:lock w:val="sdtLocked"/>
            <w:placeholder>
              <w:docPart w:val="GBC22222222222222222222222222222"/>
            </w:placeholder>
          </w:sdtPr>
          <w:sdtContent>
            <w:p w:rsidR="00806678" w:rsidRDefault="00F80B6C">
              <w:pPr>
                <w:rPr>
                  <w:szCs w:val="21"/>
                </w:rPr>
              </w:pPr>
              <w:r>
                <w:rPr>
                  <w:szCs w:val="21"/>
                </w:rPr>
                <w:fldChar w:fldCharType="begin"/>
              </w:r>
              <w:r w:rsidR="00445875">
                <w:rPr>
                  <w:szCs w:val="21"/>
                </w:rPr>
                <w:instrText xml:space="preserve"> MACROBUTTON  SnrToggleCheckbox √适用  </w:instrText>
              </w:r>
              <w:r>
                <w:rPr>
                  <w:szCs w:val="21"/>
                </w:rPr>
                <w:fldChar w:fldCharType="end"/>
              </w:r>
              <w:r>
                <w:rPr>
                  <w:szCs w:val="21"/>
                </w:rPr>
                <w:fldChar w:fldCharType="begin"/>
              </w:r>
              <w:r w:rsidR="00445875">
                <w:rPr>
                  <w:szCs w:val="21"/>
                </w:rPr>
                <w:instrText xml:space="preserve"> MACROBUTTON  SnrToggleCheckbox □不适用 </w:instrText>
              </w:r>
              <w:r>
                <w:rPr>
                  <w:szCs w:val="21"/>
                </w:rPr>
                <w:fldChar w:fldCharType="end"/>
              </w:r>
            </w:p>
          </w:sdtContent>
        </w:sdt>
        <w:sdt>
          <w:sdtPr>
            <w:rPr>
              <w:rFonts w:hint="eastAsia"/>
              <w:szCs w:val="21"/>
            </w:rPr>
            <w:alias w:val="资产收购、出售发生的关联交易事项已在临时报告披露，后续实施的进展或变化"/>
            <w:tag w:val="_GBC_8be6819282404c72b37e6b124c015b6a"/>
            <w:id w:val="1598711"/>
            <w:lock w:val="sdtLocked"/>
            <w:placeholder>
              <w:docPart w:val="GBC22222222222222222222222222222"/>
            </w:placeholder>
          </w:sdtPr>
          <w:sdtContent>
            <w:p w:rsidR="00392524" w:rsidRDefault="00392524" w:rsidP="00392524">
              <w:pPr>
                <w:spacing w:line="360" w:lineRule="auto"/>
                <w:ind w:firstLineChars="200" w:firstLine="420"/>
                <w:rPr>
                  <w:szCs w:val="21"/>
                </w:rPr>
              </w:pPr>
              <w:r>
                <w:rPr>
                  <w:rFonts w:hint="eastAsia"/>
                  <w:szCs w:val="21"/>
                </w:rPr>
                <w:t>公司于2020年4月27日召开的五届十七次董事会、于2020年5月26日召开的2019年年度股东大会，审议通过了《关于公司公开发行可转换公司债券方案的议案》《关于公司公开发行可转换公司债券募集资金用于收购中国铁路太原局集团有限公司国有授权经营土地使用权涉及关联交易暨签署附生效条件的&lt;国有授权经营土地使用权转让协议&gt;的议案》等议案。决定公开发行不超过320亿元（含320亿元）可转换公司债券，募集资金部分用于收购太原局集团国有授权经营土地使用权。</w:t>
              </w:r>
            </w:p>
            <w:p w:rsidR="00806678" w:rsidRDefault="00392524" w:rsidP="00392524">
              <w:pPr>
                <w:spacing w:line="360" w:lineRule="auto"/>
                <w:ind w:firstLineChars="200" w:firstLine="420"/>
                <w:rPr>
                  <w:szCs w:val="21"/>
                </w:rPr>
              </w:pPr>
              <w:r>
                <w:rPr>
                  <w:rFonts w:hint="eastAsia"/>
                  <w:szCs w:val="21"/>
                </w:rPr>
                <w:t>2020年4月27日，公司与太原局集团签署附生效条件的《国有授权经营土地使用权转让协议》，对交易方式与交易价格、土地使用权变更登记、税费负担、过渡期间安排、协议生效条件等事项进行了约定。由于</w:t>
              </w:r>
              <w:r w:rsidR="00623BB1">
                <w:rPr>
                  <w:rFonts w:hint="eastAsia"/>
                  <w:szCs w:val="21"/>
                </w:rPr>
                <w:t>本次转让土地位于山西、河北两省</w:t>
              </w:r>
              <w:r w:rsidR="004D1DD6" w:rsidRPr="004D1DD6">
                <w:rPr>
                  <w:rFonts w:hint="eastAsia"/>
                  <w:szCs w:val="21"/>
                </w:rPr>
                <w:t>，面积较大、数量较多，土地价款及相关费用等的核算工作较为复杂。此外，转让涉及土地分证合证、规划调整等情况，相关工作流程涉及多个部门和环节，沟通协调过程较长，土地交割价款尚未最终确认。截至</w:t>
              </w:r>
              <w:r w:rsidR="004D1DD6" w:rsidRPr="004D1DD6">
                <w:rPr>
                  <w:szCs w:val="21"/>
                </w:rPr>
                <w:t>2022年12月31日，收购中国铁路太原局集团有限公司国有授权经营土地使用权项目尚未完成交割手续。公司已指定专人</w:t>
              </w:r>
              <w:r w:rsidR="00D13F82">
                <w:rPr>
                  <w:rFonts w:hint="eastAsia"/>
                  <w:szCs w:val="21"/>
                </w:rPr>
                <w:t>，</w:t>
              </w:r>
              <w:r w:rsidR="004D1DD6" w:rsidRPr="004D1DD6">
                <w:rPr>
                  <w:szCs w:val="21"/>
                </w:rPr>
                <w:t>持续、积极推动相关工作的完成。</w:t>
              </w:r>
            </w:p>
          </w:sdtContent>
        </w:sdt>
      </w:sdtContent>
    </w:sdt>
    <w:bookmarkEnd w:id="83" w:displacedByCustomXml="prev"/>
    <w:sdt>
      <w:sdtPr>
        <w:rPr>
          <w:rFonts w:ascii="Calibri" w:eastAsia="宋体" w:hAnsi="Calibri" w:cs="宋体"/>
          <w:b w:val="0"/>
          <w:bCs w:val="0"/>
          <w:kern w:val="0"/>
          <w:sz w:val="24"/>
          <w:szCs w:val="24"/>
        </w:rPr>
        <w:alias w:val="模块:临时公告未披露的事项"/>
        <w:tag w:val="_SEC_0cf43ef9267042f5910eeb382017750a"/>
        <w:id w:val="1599227"/>
        <w:lock w:val="sdtLocked"/>
        <w:placeholder>
          <w:docPart w:val="GBC22222222222222222222222222222"/>
        </w:placeholder>
      </w:sdtPr>
      <w:sdtEndPr>
        <w:rPr>
          <w:rFonts w:ascii="宋体" w:hAnsi="宋体" w:hint="eastAsia"/>
          <w:sz w:val="21"/>
          <w:szCs w:val="21"/>
        </w:rPr>
      </w:sdtEndPr>
      <w:sdtContent>
        <w:p w:rsidR="00806678" w:rsidRDefault="00B16377" w:rsidP="00FF17C7">
          <w:pPr>
            <w:pStyle w:val="4"/>
            <w:numPr>
              <w:ilvl w:val="0"/>
              <w:numId w:val="21"/>
            </w:numPr>
          </w:pPr>
          <w:r>
            <w:t>临时公告未披露的事项</w:t>
          </w:r>
        </w:p>
        <w:sdt>
          <w:sdtPr>
            <w:alias w:val="是否适用：资产收购、出售发生的关联交易_临时公告未披露的事项[双击切换]"/>
            <w:tag w:val="_GBC_c2403e21caad4498842c2f1cf3384c0d"/>
            <w:id w:val="1567304921"/>
            <w:lock w:val="sdtLocked"/>
            <w:placeholder>
              <w:docPart w:val="GBC22222222222222222222222222222"/>
            </w:placeholder>
          </w:sdtPr>
          <w:sdtContent>
            <w:p w:rsidR="00806678" w:rsidRPr="00445875" w:rsidRDefault="00F80B6C">
              <w:r>
                <w:fldChar w:fldCharType="begin"/>
              </w:r>
              <w:r w:rsidR="00445875">
                <w:instrText xml:space="preserve">MACROBUTTON  SnrToggleCheckbox □适用 </w:instrText>
              </w:r>
              <w:r>
                <w:fldChar w:fldCharType="end"/>
              </w:r>
              <w:r>
                <w:fldChar w:fldCharType="begin"/>
              </w:r>
              <w:r w:rsidR="00445875">
                <w:instrText xml:space="preserve"> MACROBUTTON  SnrToggleCheckbox √不适用 </w:instrText>
              </w:r>
              <w:r>
                <w:fldChar w:fldCharType="end"/>
              </w:r>
            </w:p>
          </w:sdtContent>
        </w:sdt>
      </w:sdtContent>
    </w:sdt>
    <w:sdt>
      <w:sdtPr>
        <w:rPr>
          <w:rFonts w:ascii="宋体" w:eastAsia="宋体" w:hAnsi="宋体" w:cs="宋体" w:hint="eastAsia"/>
          <w:b w:val="0"/>
          <w:bCs w:val="0"/>
          <w:kern w:val="0"/>
          <w:szCs w:val="24"/>
        </w:rPr>
        <w:alias w:val="模块:涉及业绩约定的，应当披露报告期内的业绩实现情况"/>
        <w:tag w:val="_SEC_2377f3c46fe8488f9d7f53b4f8ba80b1"/>
        <w:id w:val="4640019"/>
        <w:lock w:val="sdtLocked"/>
        <w:placeholder>
          <w:docPart w:val="GBC22222222222222222222222222222"/>
        </w:placeholder>
      </w:sdtPr>
      <w:sdtContent>
        <w:p w:rsidR="00806678" w:rsidRDefault="00B16377" w:rsidP="00FF17C7">
          <w:pPr>
            <w:pStyle w:val="4"/>
            <w:numPr>
              <w:ilvl w:val="0"/>
              <w:numId w:val="21"/>
            </w:numPr>
          </w:pPr>
          <w:r>
            <w:rPr>
              <w:rFonts w:hint="eastAsia"/>
            </w:rPr>
            <w:t>涉及业绩约定的，应当披露报告期内的业绩实现情况</w:t>
          </w:r>
        </w:p>
        <w:sdt>
          <w:sdtPr>
            <w:rPr>
              <w:rFonts w:hint="eastAsia"/>
            </w:rPr>
            <w:alias w:val="是否适用：涉及业绩约定的，应当披露报告期内的业绩实现情况[双击切换]"/>
            <w:tag w:val="_GBC_fa913cf2ab9c4bd9bb424b63073fb9b5"/>
            <w:id w:val="-189303343"/>
            <w:lock w:val="sdtLocked"/>
            <w:placeholder>
              <w:docPart w:val="GBC22222222222222222222222222222"/>
            </w:placeholder>
          </w:sdtPr>
          <w:sdtContent>
            <w:p w:rsidR="00806678" w:rsidRDefault="00F80B6C">
              <w:r>
                <w:fldChar w:fldCharType="begin"/>
              </w:r>
              <w:r w:rsidR="00445875">
                <w:instrText xml:space="preserve"> MACROBUTTON  SnrToggleCheckbox □适用  </w:instrText>
              </w:r>
              <w:r>
                <w:fldChar w:fldCharType="end"/>
              </w:r>
              <w:r>
                <w:fldChar w:fldCharType="begin"/>
              </w:r>
              <w:r w:rsidR="00445875">
                <w:instrText xml:space="preserve"> MACROBUTTON  SnrToggleCheckbox √不适用 </w:instrText>
              </w:r>
              <w:r>
                <w:fldChar w:fldCharType="end"/>
              </w:r>
            </w:p>
          </w:sdtContent>
        </w:sdt>
      </w:sdtContent>
    </w:sdt>
    <w:p w:rsidR="00806678" w:rsidRDefault="00B16377">
      <w:pPr>
        <w:pStyle w:val="3"/>
        <w:numPr>
          <w:ilvl w:val="2"/>
          <w:numId w:val="2"/>
        </w:numPr>
        <w:rPr>
          <w:szCs w:val="21"/>
        </w:rPr>
      </w:pPr>
      <w:r>
        <w:rPr>
          <w:szCs w:val="21"/>
        </w:rPr>
        <w:t>共同对外投资的重大关联交易</w:t>
      </w:r>
    </w:p>
    <w:sdt>
      <w:sdtPr>
        <w:rPr>
          <w:rFonts w:ascii="Calibri" w:eastAsia="宋体" w:hAnsi="Calibri" w:cs="宋体"/>
          <w:b w:val="0"/>
          <w:bCs w:val="0"/>
          <w:kern w:val="0"/>
          <w:sz w:val="24"/>
          <w:szCs w:val="24"/>
        </w:rPr>
        <w:alias w:val="模块:已在临时公告披露且后续实施无进展或变化的事项"/>
        <w:tag w:val="_SEC_51b6cf40b087426eb6434404a0feb888"/>
        <w:id w:val="1506124"/>
        <w:lock w:val="sdtLocked"/>
        <w:placeholder>
          <w:docPart w:val="GBC22222222222222222222222222222"/>
        </w:placeholder>
      </w:sdtPr>
      <w:sdtEndPr>
        <w:rPr>
          <w:rFonts w:ascii="宋体" w:hAnsi="宋体"/>
          <w:sz w:val="21"/>
        </w:rPr>
      </w:sdtEndPr>
      <w:sdtContent>
        <w:p w:rsidR="00806678" w:rsidRDefault="00B16377" w:rsidP="00FF17C7">
          <w:pPr>
            <w:pStyle w:val="4"/>
            <w:numPr>
              <w:ilvl w:val="0"/>
              <w:numId w:val="22"/>
            </w:numPr>
          </w:pPr>
          <w:r>
            <w:t>已在临时公告披露且后续实施无进展或变化的事项</w:t>
          </w:r>
        </w:p>
        <w:sdt>
          <w:sdtPr>
            <w:alias w:val="是否适用：已在临时公告披露且后续实施无进展或变化的事项_共同对外投资的重大关联交易[双击切换]"/>
            <w:tag w:val="_GBC_7eea3c6d3d6245c4a1388637f61fccce"/>
            <w:id w:val="1386672242"/>
            <w:lock w:val="sdtLocked"/>
            <w:placeholder>
              <w:docPart w:val="GBC22222222222222222222222222222"/>
            </w:placeholder>
          </w:sdtPr>
          <w:sdtContent>
            <w:p w:rsidR="00806678" w:rsidRDefault="00F80B6C" w:rsidP="00445875">
              <w:r>
                <w:fldChar w:fldCharType="begin"/>
              </w:r>
              <w:r w:rsidR="00445875">
                <w:instrText xml:space="preserve">MACROBUTTON  SnrToggleCheckbox □适用 </w:instrText>
              </w:r>
              <w:r>
                <w:fldChar w:fldCharType="end"/>
              </w:r>
              <w:r>
                <w:fldChar w:fldCharType="begin"/>
              </w:r>
              <w:r w:rsidR="00445875">
                <w:instrText xml:space="preserve"> MACROBUTTON  SnrToggleCheckbox √不适用 </w:instrText>
              </w:r>
              <w:r>
                <w:fldChar w:fldCharType="end"/>
              </w:r>
            </w:p>
          </w:sdtContent>
        </w:sdt>
      </w:sdtContent>
    </w:sdt>
    <w:sdt>
      <w:sdtPr>
        <w:rPr>
          <w:rFonts w:ascii="Calibri" w:eastAsia="宋体" w:hAnsi="Calibri" w:cs="宋体"/>
          <w:b w:val="0"/>
          <w:bCs w:val="0"/>
          <w:kern w:val="0"/>
          <w:sz w:val="24"/>
          <w:szCs w:val="24"/>
        </w:rPr>
        <w:alias w:val="模块:已在临时公告披露，但有后续实施的进展或变化的事项"/>
        <w:tag w:val="_SEC_6fb162dfa53544919d9b59362cf9fe07"/>
        <w:id w:val="1506143"/>
        <w:lock w:val="sdtLocked"/>
        <w:placeholder>
          <w:docPart w:val="GBC22222222222222222222222222222"/>
        </w:placeholder>
      </w:sdtPr>
      <w:sdtEndPr>
        <w:rPr>
          <w:rFonts w:ascii="宋体" w:hAnsi="宋体" w:hint="eastAsia"/>
          <w:sz w:val="21"/>
          <w:szCs w:val="21"/>
        </w:rPr>
      </w:sdtEndPr>
      <w:sdtContent>
        <w:p w:rsidR="00806678" w:rsidRDefault="00B16377" w:rsidP="00FF17C7">
          <w:pPr>
            <w:pStyle w:val="4"/>
            <w:numPr>
              <w:ilvl w:val="0"/>
              <w:numId w:val="22"/>
            </w:numPr>
          </w:pPr>
          <w:r>
            <w:t>已在临时公告披露，但有后续实施的进展或变化的事项</w:t>
          </w:r>
        </w:p>
        <w:sdt>
          <w:sdtPr>
            <w:rPr>
              <w:rFonts w:hint="eastAsia"/>
              <w:szCs w:val="21"/>
            </w:rPr>
            <w:alias w:val="是否适用：已在临时公告披露，但有后续实施的进展或变化的事项_共同对外投资的重大关联交易[双击切换]"/>
            <w:tag w:val="_GBC_5d21c9b653cf41df993294ab4dfbca74"/>
            <w:id w:val="893543962"/>
            <w:lock w:val="sdtLocked"/>
            <w:placeholder>
              <w:docPart w:val="GBC22222222222222222222222222222"/>
            </w:placeholder>
          </w:sdtPr>
          <w:sdtContent>
            <w:p w:rsidR="00806678" w:rsidRPr="00445875" w:rsidRDefault="00F80B6C">
              <w:pPr>
                <w:rPr>
                  <w:szCs w:val="21"/>
                </w:rPr>
              </w:pPr>
              <w:r>
                <w:rPr>
                  <w:szCs w:val="21"/>
                </w:rPr>
                <w:fldChar w:fldCharType="begin"/>
              </w:r>
              <w:r w:rsidR="00445875">
                <w:rPr>
                  <w:szCs w:val="21"/>
                </w:rPr>
                <w:instrText xml:space="preserve"> MACROBUTTON  SnrToggleCheckbox □适用  </w:instrText>
              </w:r>
              <w:r>
                <w:rPr>
                  <w:szCs w:val="21"/>
                </w:rPr>
                <w:fldChar w:fldCharType="end"/>
              </w:r>
              <w:r>
                <w:rPr>
                  <w:szCs w:val="21"/>
                </w:rPr>
                <w:fldChar w:fldCharType="begin"/>
              </w:r>
              <w:r w:rsidR="00445875">
                <w:rPr>
                  <w:szCs w:val="21"/>
                </w:rPr>
                <w:instrText xml:space="preserve"> MACROBUTTON  SnrToggleCheckbox √不适用 </w:instrText>
              </w:r>
              <w:r>
                <w:rPr>
                  <w:szCs w:val="21"/>
                </w:rPr>
                <w:fldChar w:fldCharType="end"/>
              </w:r>
            </w:p>
          </w:sdtContent>
        </w:sdt>
      </w:sdtContent>
    </w:sdt>
    <w:sdt>
      <w:sdtPr>
        <w:rPr>
          <w:rFonts w:ascii="Calibri" w:eastAsia="宋体" w:hAnsi="Calibri" w:cs="宋体"/>
          <w:b w:val="0"/>
          <w:bCs w:val="0"/>
          <w:kern w:val="0"/>
          <w:sz w:val="24"/>
          <w:szCs w:val="24"/>
        </w:rPr>
        <w:alias w:val="模块:临时公告未披露的事项"/>
        <w:tag w:val="_SEC_c27b95cb91e04e0cb1142e21dcff5adc"/>
        <w:id w:val="1506163"/>
        <w:lock w:val="sdtLocked"/>
        <w:placeholder>
          <w:docPart w:val="GBC22222222222222222222222222222"/>
        </w:placeholder>
      </w:sdtPr>
      <w:sdtEndPr>
        <w:rPr>
          <w:rFonts w:ascii="宋体" w:hAnsi="宋体" w:hint="eastAsia"/>
          <w:sz w:val="21"/>
          <w:szCs w:val="21"/>
        </w:rPr>
      </w:sdtEndPr>
      <w:sdtContent>
        <w:p w:rsidR="00806678" w:rsidRDefault="00B16377" w:rsidP="00FF17C7">
          <w:pPr>
            <w:pStyle w:val="4"/>
            <w:numPr>
              <w:ilvl w:val="0"/>
              <w:numId w:val="22"/>
            </w:numPr>
          </w:pPr>
          <w:r>
            <w:t>临时公告未披露的事项</w:t>
          </w:r>
        </w:p>
        <w:sdt>
          <w:sdtPr>
            <w:alias w:val="是否适用：共同对外投资的重大关联交易_临时公告未披露的事项[双击切换]"/>
            <w:tag w:val="_GBC_0a8e93fe81464e209d3619d1be6a3349"/>
            <w:id w:val="-1873837246"/>
            <w:lock w:val="sdtLocked"/>
            <w:placeholder>
              <w:docPart w:val="GBC22222222222222222222222222222"/>
            </w:placeholder>
          </w:sdtPr>
          <w:sdtContent>
            <w:p w:rsidR="00806678" w:rsidRPr="0039695D" w:rsidRDefault="00F80B6C">
              <w:r>
                <w:fldChar w:fldCharType="begin"/>
              </w:r>
              <w:r w:rsidR="00445875">
                <w:instrText xml:space="preserve">MACROBUTTON  SnrToggleCheckbox □适用 </w:instrText>
              </w:r>
              <w:r>
                <w:fldChar w:fldCharType="end"/>
              </w:r>
              <w:r>
                <w:fldChar w:fldCharType="begin"/>
              </w:r>
              <w:r w:rsidR="00445875">
                <w:instrText xml:space="preserve"> MACROBUTTON  SnrToggleCheckbox √不适用 </w:instrText>
              </w:r>
              <w:r>
                <w:fldChar w:fldCharType="end"/>
              </w:r>
            </w:p>
          </w:sdtContent>
        </w:sdt>
      </w:sdtContent>
    </w:sdt>
    <w:p w:rsidR="00806678" w:rsidRDefault="00B16377">
      <w:pPr>
        <w:pStyle w:val="3"/>
        <w:numPr>
          <w:ilvl w:val="2"/>
          <w:numId w:val="2"/>
        </w:numPr>
        <w:rPr>
          <w:szCs w:val="21"/>
        </w:rPr>
      </w:pPr>
      <w:r>
        <w:rPr>
          <w:rFonts w:hint="eastAsia"/>
          <w:szCs w:val="21"/>
        </w:rPr>
        <w:t>关联债权债务往来</w:t>
      </w:r>
    </w:p>
    <w:sdt>
      <w:sdtPr>
        <w:rPr>
          <w:rFonts w:ascii="Calibri" w:eastAsia="宋体" w:hAnsi="Calibri" w:cs="宋体"/>
          <w:b w:val="0"/>
          <w:bCs w:val="0"/>
          <w:kern w:val="0"/>
          <w:sz w:val="24"/>
          <w:szCs w:val="24"/>
        </w:rPr>
        <w:alias w:val="模块:已在临时公告披露且后续实施无进展或变化的事项"/>
        <w:tag w:val="_SEC_1159433f604446c4a73e7743924d5bde"/>
        <w:id w:val="1506341"/>
        <w:lock w:val="sdtLocked"/>
        <w:placeholder>
          <w:docPart w:val="GBC22222222222222222222222222222"/>
        </w:placeholder>
      </w:sdtPr>
      <w:sdtEndPr>
        <w:rPr>
          <w:rFonts w:ascii="宋体" w:hAnsi="宋体"/>
          <w:sz w:val="21"/>
        </w:rPr>
      </w:sdtEndPr>
      <w:sdtContent>
        <w:p w:rsidR="00806678" w:rsidRDefault="00B16377" w:rsidP="00FF17C7">
          <w:pPr>
            <w:pStyle w:val="4"/>
            <w:numPr>
              <w:ilvl w:val="0"/>
              <w:numId w:val="23"/>
            </w:numPr>
          </w:pPr>
          <w:r>
            <w:t>已在临时公告披露且后续实施无进展或变化的事项</w:t>
          </w:r>
        </w:p>
        <w:sdt>
          <w:sdtPr>
            <w:alias w:val="是否适用：已在临时公告披露且后续实施无进展或变化的事项_关联债权债务往来[双击切换]"/>
            <w:tag w:val="_GBC_7465d4a4508a455591694c4e59f1f59b"/>
            <w:id w:val="934950749"/>
            <w:lock w:val="sdtLocked"/>
            <w:placeholder>
              <w:docPart w:val="GBC22222222222222222222222222222"/>
            </w:placeholder>
          </w:sdtPr>
          <w:sdtContent>
            <w:p w:rsidR="00806678" w:rsidRDefault="00F80B6C" w:rsidP="00445875">
              <w:r>
                <w:fldChar w:fldCharType="begin"/>
              </w:r>
              <w:r w:rsidR="00445875">
                <w:instrText xml:space="preserve">MACROBUTTON  SnrToggleCheckbox □适用 </w:instrText>
              </w:r>
              <w:r>
                <w:fldChar w:fldCharType="end"/>
              </w:r>
              <w:r>
                <w:fldChar w:fldCharType="begin"/>
              </w:r>
              <w:r w:rsidR="00445875">
                <w:instrText xml:space="preserve"> MACROBUTTON  SnrToggleCheckbox √不适用 </w:instrText>
              </w:r>
              <w:r>
                <w:fldChar w:fldCharType="end"/>
              </w:r>
            </w:p>
          </w:sdtContent>
        </w:sdt>
      </w:sdtContent>
    </w:sdt>
    <w:sdt>
      <w:sdtPr>
        <w:rPr>
          <w:rFonts w:ascii="Calibri" w:eastAsia="宋体" w:hAnsi="Calibri" w:cs="宋体"/>
          <w:b w:val="0"/>
          <w:bCs w:val="0"/>
          <w:kern w:val="0"/>
          <w:sz w:val="24"/>
          <w:szCs w:val="24"/>
        </w:rPr>
        <w:alias w:val="模块:已在临时公告披露，但有后续实施的进展或变化的事项"/>
        <w:tag w:val="_SEC_ce119db951414db2a004501c8a65a54b"/>
        <w:id w:val="1506370"/>
        <w:lock w:val="sdtLocked"/>
        <w:placeholder>
          <w:docPart w:val="GBC22222222222222222222222222222"/>
        </w:placeholder>
      </w:sdtPr>
      <w:sdtEndPr>
        <w:rPr>
          <w:rFonts w:ascii="宋体" w:hAnsi="宋体" w:hint="eastAsia"/>
          <w:sz w:val="21"/>
          <w:szCs w:val="21"/>
        </w:rPr>
      </w:sdtEndPr>
      <w:sdtContent>
        <w:p w:rsidR="00806678" w:rsidRDefault="00B16377" w:rsidP="00FF17C7">
          <w:pPr>
            <w:pStyle w:val="4"/>
            <w:numPr>
              <w:ilvl w:val="0"/>
              <w:numId w:val="23"/>
            </w:numPr>
          </w:pPr>
          <w:r>
            <w:t>已在临时公告披露，但有后续实施的进展或变化的事项</w:t>
          </w:r>
        </w:p>
        <w:sdt>
          <w:sdtPr>
            <w:rPr>
              <w:rFonts w:hint="eastAsia"/>
              <w:szCs w:val="21"/>
            </w:rPr>
            <w:alias w:val="是否适用：已在临时公告披露，但有后续实施的进展或变化的事项_关联债权债务往来[双击切换]"/>
            <w:tag w:val="_GBC_fe8fc12ee5c547d690bcc3fb3f1f4e32"/>
            <w:id w:val="286475154"/>
            <w:lock w:val="sdtLocked"/>
            <w:placeholder>
              <w:docPart w:val="GBC22222222222222222222222222222"/>
            </w:placeholder>
          </w:sdtPr>
          <w:sdtContent>
            <w:p w:rsidR="00806678" w:rsidRPr="00445875" w:rsidRDefault="00F80B6C">
              <w:pPr>
                <w:rPr>
                  <w:szCs w:val="21"/>
                </w:rPr>
              </w:pPr>
              <w:r>
                <w:rPr>
                  <w:szCs w:val="21"/>
                </w:rPr>
                <w:fldChar w:fldCharType="begin"/>
              </w:r>
              <w:r w:rsidR="00445875">
                <w:rPr>
                  <w:szCs w:val="21"/>
                </w:rPr>
                <w:instrText xml:space="preserve"> MACROBUTTON  SnrToggleCheckbox □适用  </w:instrText>
              </w:r>
              <w:r>
                <w:rPr>
                  <w:szCs w:val="21"/>
                </w:rPr>
                <w:fldChar w:fldCharType="end"/>
              </w:r>
              <w:r>
                <w:rPr>
                  <w:szCs w:val="21"/>
                </w:rPr>
                <w:fldChar w:fldCharType="begin"/>
              </w:r>
              <w:r w:rsidR="00445875">
                <w:rPr>
                  <w:szCs w:val="21"/>
                </w:rPr>
                <w:instrText xml:space="preserve"> MACROBUTTON  SnrToggleCheckbox √不适用 </w:instrText>
              </w:r>
              <w:r>
                <w:rPr>
                  <w:szCs w:val="21"/>
                </w:rPr>
                <w:fldChar w:fldCharType="end"/>
              </w:r>
            </w:p>
          </w:sdtContent>
        </w:sdt>
      </w:sdtContent>
    </w:sdt>
    <w:sdt>
      <w:sdtPr>
        <w:rPr>
          <w:rFonts w:ascii="Calibri" w:eastAsia="宋体" w:hAnsi="Calibri" w:cs="宋体" w:hint="eastAsia"/>
          <w:b w:val="0"/>
          <w:bCs w:val="0"/>
          <w:kern w:val="0"/>
          <w:sz w:val="24"/>
          <w:szCs w:val="24"/>
        </w:rPr>
        <w:alias w:val="模块:临时公告未披露的事项"/>
        <w:tag w:val="_SEC_5a41258e75f8445f9f091dbefa9eab6b"/>
        <w:id w:val="1272197"/>
        <w:lock w:val="sdtLocked"/>
        <w:placeholder>
          <w:docPart w:val="GBC22222222222222222222222222222"/>
        </w:placeholder>
      </w:sdtPr>
      <w:sdtEndPr>
        <w:rPr>
          <w:rFonts w:asciiTheme="minorEastAsia" w:hAnsiTheme="minorEastAsia"/>
          <w:sz w:val="21"/>
          <w:szCs w:val="21"/>
        </w:rPr>
      </w:sdtEndPr>
      <w:sdtContent>
        <w:p w:rsidR="00806678" w:rsidRDefault="00B16377" w:rsidP="00FF17C7">
          <w:pPr>
            <w:pStyle w:val="4"/>
            <w:numPr>
              <w:ilvl w:val="0"/>
              <w:numId w:val="23"/>
            </w:numPr>
          </w:pPr>
          <w:r>
            <w:rPr>
              <w:rFonts w:hint="eastAsia"/>
            </w:rPr>
            <w:t>临时公告未披露的事项</w:t>
          </w:r>
        </w:p>
        <w:sdt>
          <w:sdtPr>
            <w:alias w:val="是否适用：关联债权债务往来_临时公告未披露的事项[双击切换]"/>
            <w:tag w:val="_GBC_d9a88c6705ef48d49848c2b93cb503f2"/>
            <w:id w:val="-582758941"/>
            <w:lock w:val="sdtLocked"/>
            <w:placeholder>
              <w:docPart w:val="GBC22222222222222222222222222222"/>
            </w:placeholder>
          </w:sdtPr>
          <w:sdtContent>
            <w:p w:rsidR="00806678" w:rsidRDefault="00F80B6C" w:rsidP="00445875">
              <w:pPr>
                <w:rPr>
                  <w:rFonts w:asciiTheme="minorEastAsia" w:hAnsiTheme="minorEastAsia"/>
                  <w:szCs w:val="21"/>
                </w:rPr>
              </w:pPr>
              <w:r>
                <w:fldChar w:fldCharType="begin"/>
              </w:r>
              <w:r w:rsidR="00445875">
                <w:instrText xml:space="preserve">MACROBUTTON  SnrToggleCheckbox □适用 </w:instrText>
              </w:r>
              <w:r>
                <w:fldChar w:fldCharType="end"/>
              </w:r>
              <w:r>
                <w:fldChar w:fldCharType="begin"/>
              </w:r>
              <w:r w:rsidR="00445875">
                <w:instrText xml:space="preserve"> MACROBUTTON  SnrToggleCheckbox √不适用 </w:instrText>
              </w:r>
              <w:r>
                <w:fldChar w:fldCharType="end"/>
              </w:r>
            </w:p>
          </w:sdtContent>
        </w:sdt>
      </w:sdtContent>
    </w:sdt>
    <w:p w:rsidR="00806678" w:rsidRDefault="00B16377">
      <w:pPr>
        <w:pStyle w:val="3"/>
        <w:numPr>
          <w:ilvl w:val="2"/>
          <w:numId w:val="2"/>
        </w:numPr>
        <w:rPr>
          <w:rFonts w:ascii="宋体" w:hAnsi="宋体"/>
        </w:rPr>
      </w:pPr>
      <w:bookmarkStart w:id="84" w:name="_Hlk89953756"/>
      <w:bookmarkStart w:id="85" w:name="_Hlk89346519"/>
      <w:r>
        <w:rPr>
          <w:rFonts w:ascii="宋体" w:hAnsi="宋体"/>
        </w:rPr>
        <w:t>公司与存在关联关系的财务公司、公司控股财务公司与关联方之间的金融业务</w:t>
      </w:r>
    </w:p>
    <w:sdt>
      <w:sdtPr>
        <w:alias w:val="是否适用：公司与存在关联关系的财务公司、公司控股财务公司与关联方之间的金融业务 [双击切换]"/>
        <w:tag w:val="_GBC_5a345568387542318c17a9fa2dcc2dbc"/>
        <w:id w:val="2054877483"/>
        <w:lock w:val="sdtLocked"/>
        <w:placeholder>
          <w:docPart w:val="GBC22222222222222222222222222222"/>
        </w:placeholder>
      </w:sdtPr>
      <w:sdtContent>
        <w:p w:rsidR="00806678" w:rsidRDefault="00F80B6C">
          <w:r>
            <w:fldChar w:fldCharType="begin"/>
          </w:r>
          <w:r w:rsidR="00445875">
            <w:instrText xml:space="preserve"> MACROBUTTON  SnrToggleCheckbox √适用 </w:instrText>
          </w:r>
          <w:r>
            <w:fldChar w:fldCharType="end"/>
          </w:r>
          <w:r>
            <w:fldChar w:fldCharType="begin"/>
          </w:r>
          <w:r w:rsidR="00445875">
            <w:instrText xml:space="preserve"> MACROBUTTON  SnrToggleCheckbox □不适用 </w:instrText>
          </w:r>
          <w:r>
            <w:fldChar w:fldCharType="end"/>
          </w:r>
        </w:p>
      </w:sdtContent>
    </w:sdt>
    <w:sdt>
      <w:sdtPr>
        <w:rPr>
          <w:rFonts w:ascii="宋体" w:eastAsia="宋体" w:hAnsi="宋体" w:cs="宋体" w:hint="eastAsia"/>
          <w:b w:val="0"/>
          <w:bCs w:val="0"/>
          <w:kern w:val="0"/>
          <w:szCs w:val="24"/>
        </w:rPr>
        <w:alias w:val="模块:存款业务"/>
        <w:tag w:val="_SEC_acc96c7a218b4430b82abf109861b9ba"/>
        <w:id w:val="44338560"/>
        <w:lock w:val="sdtLocked"/>
        <w:placeholder>
          <w:docPart w:val="GBC22222222222222222222222222222"/>
        </w:placeholder>
      </w:sdtPr>
      <w:sdtEndPr>
        <w:rPr>
          <w:rFonts w:hint="default"/>
          <w:szCs w:val="21"/>
        </w:rPr>
      </w:sdtEndPr>
      <w:sdtContent>
        <w:p w:rsidR="00806678" w:rsidRDefault="00B16377" w:rsidP="00FF17C7">
          <w:pPr>
            <w:pStyle w:val="4"/>
            <w:numPr>
              <w:ilvl w:val="0"/>
              <w:numId w:val="128"/>
            </w:numPr>
            <w:ind w:left="425" w:hanging="425"/>
            <w:rPr>
              <w:rFonts w:ascii="宋体" w:hAnsi="宋体"/>
            </w:rPr>
          </w:pPr>
          <w:r>
            <w:rPr>
              <w:rFonts w:ascii="宋体" w:hAnsi="宋体" w:hint="eastAsia"/>
            </w:rPr>
            <w:t>存款业务</w:t>
          </w:r>
        </w:p>
        <w:sdt>
          <w:sdtPr>
            <w:alias w:val="是否适用：存款业务[双击切换]"/>
            <w:tag w:val="_GBC_f91d5ba8911645af92109a1b977343e2"/>
            <w:id w:val="-1052154264"/>
            <w:lock w:val="sdtLocked"/>
            <w:placeholder>
              <w:docPart w:val="GBC22222222222222222222222222222"/>
            </w:placeholder>
          </w:sdtPr>
          <w:sdtContent>
            <w:p w:rsidR="00806678" w:rsidRDefault="00F80B6C">
              <w:r>
                <w:fldChar w:fldCharType="begin"/>
              </w:r>
              <w:r w:rsidR="00445875">
                <w:instrText xml:space="preserve"> MACROBUTTON  SnrToggleCheckbox √适用 </w:instrText>
              </w:r>
              <w:r>
                <w:fldChar w:fldCharType="end"/>
              </w:r>
              <w:r>
                <w:fldChar w:fldCharType="begin"/>
              </w:r>
              <w:r w:rsidR="00445875">
                <w:instrText xml:space="preserve"> MACROBUTTON  SnrToggleCheckbox □不适用 </w:instrText>
              </w:r>
              <w:r>
                <w:fldChar w:fldCharType="end"/>
              </w:r>
            </w:p>
          </w:sdtContent>
        </w:sdt>
        <w:p w:rsidR="00806678" w:rsidRDefault="00B16377">
          <w:pPr>
            <w:jc w:val="right"/>
            <w:rPr>
              <w:szCs w:val="21"/>
            </w:rPr>
          </w:pPr>
          <w:r>
            <w:rPr>
              <w:rFonts w:hint="eastAsia"/>
              <w:szCs w:val="21"/>
            </w:rPr>
            <w:t>单位：</w:t>
          </w:r>
          <w:sdt>
            <w:sdtPr>
              <w:rPr>
                <w:rFonts w:hint="eastAsia"/>
                <w:szCs w:val="21"/>
              </w:rPr>
              <w:alias w:val="单位：存款业务情况"/>
              <w:tag w:val="_GBC_3c39941625c0404dacda9210d5f10426"/>
              <w:id w:val="176788361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存款业务情况"/>
              <w:tag w:val="_GBC_f9cda9c00cdf40b5a544fdcc0e086854"/>
              <w:id w:val="-103835421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640" w:type="pct"/>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2"/>
            <w:gridCol w:w="992"/>
            <w:gridCol w:w="1460"/>
            <w:gridCol w:w="1200"/>
            <w:gridCol w:w="1206"/>
            <w:gridCol w:w="1521"/>
            <w:gridCol w:w="1590"/>
            <w:gridCol w:w="1386"/>
          </w:tblGrid>
          <w:tr w:rsidR="00226C06" w:rsidTr="00226C06">
            <w:sdt>
              <w:sdtPr>
                <w:rPr>
                  <w:rFonts w:hint="eastAsia"/>
                  <w:sz w:val="18"/>
                  <w:szCs w:val="18"/>
                </w:rPr>
                <w:tag w:val="_PLD_e6f8a0bf4fa44cc6a5830ca60560c631"/>
                <w:id w:val="26389918"/>
                <w:lock w:val="sdtLocked"/>
              </w:sdtPr>
              <w:sdtContent>
                <w:tc>
                  <w:tcPr>
                    <w:tcW w:w="417" w:type="pct"/>
                    <w:vMerge w:val="restart"/>
                    <w:shd w:val="clear" w:color="auto" w:fill="auto"/>
                    <w:vAlign w:val="center"/>
                  </w:tcPr>
                  <w:p w:rsidR="00E761A0" w:rsidRPr="00226C06" w:rsidRDefault="00E761A0" w:rsidP="00601D47">
                    <w:pPr>
                      <w:autoSpaceDE w:val="0"/>
                      <w:autoSpaceDN w:val="0"/>
                      <w:adjustRightInd w:val="0"/>
                      <w:jc w:val="center"/>
                      <w:rPr>
                        <w:sz w:val="18"/>
                        <w:szCs w:val="18"/>
                      </w:rPr>
                    </w:pPr>
                    <w:r w:rsidRPr="00226C06">
                      <w:rPr>
                        <w:rFonts w:hint="eastAsia"/>
                        <w:sz w:val="18"/>
                        <w:szCs w:val="18"/>
                      </w:rPr>
                      <w:t>关联方</w:t>
                    </w:r>
                  </w:p>
                </w:tc>
              </w:sdtContent>
            </w:sdt>
            <w:sdt>
              <w:sdtPr>
                <w:rPr>
                  <w:rFonts w:hint="eastAsia"/>
                  <w:sz w:val="18"/>
                  <w:szCs w:val="18"/>
                </w:rPr>
                <w:tag w:val="_PLD_8aebf5d34bff4522b47150e7ac619932"/>
                <w:id w:val="26389919"/>
                <w:lock w:val="sdtLocked"/>
              </w:sdtPr>
              <w:sdtContent>
                <w:tc>
                  <w:tcPr>
                    <w:tcW w:w="486" w:type="pct"/>
                    <w:vMerge w:val="restart"/>
                    <w:shd w:val="clear" w:color="auto" w:fill="auto"/>
                    <w:vAlign w:val="center"/>
                  </w:tcPr>
                  <w:p w:rsidR="00E761A0" w:rsidRPr="00226C06" w:rsidRDefault="00E761A0" w:rsidP="00601D47">
                    <w:pPr>
                      <w:autoSpaceDE w:val="0"/>
                      <w:autoSpaceDN w:val="0"/>
                      <w:adjustRightInd w:val="0"/>
                      <w:jc w:val="center"/>
                      <w:rPr>
                        <w:sz w:val="18"/>
                        <w:szCs w:val="18"/>
                      </w:rPr>
                    </w:pPr>
                    <w:r w:rsidRPr="00226C06">
                      <w:rPr>
                        <w:rFonts w:hint="eastAsia"/>
                        <w:sz w:val="18"/>
                        <w:szCs w:val="18"/>
                      </w:rPr>
                      <w:t>关联关系</w:t>
                    </w:r>
                  </w:p>
                </w:tc>
              </w:sdtContent>
            </w:sdt>
            <w:sdt>
              <w:sdtPr>
                <w:rPr>
                  <w:sz w:val="18"/>
                  <w:szCs w:val="18"/>
                </w:rPr>
                <w:tag w:val="_PLD_6926102d22164a98841f060797e60bdf"/>
                <w:id w:val="26389920"/>
                <w:lock w:val="sdtLocked"/>
              </w:sdtPr>
              <w:sdtContent>
                <w:tc>
                  <w:tcPr>
                    <w:tcW w:w="715" w:type="pct"/>
                    <w:vMerge w:val="restart"/>
                    <w:shd w:val="clear" w:color="auto" w:fill="auto"/>
                    <w:vAlign w:val="center"/>
                  </w:tcPr>
                  <w:p w:rsidR="00E761A0" w:rsidRPr="00226C06" w:rsidRDefault="00E761A0" w:rsidP="00226C06">
                    <w:pPr>
                      <w:autoSpaceDE w:val="0"/>
                      <w:autoSpaceDN w:val="0"/>
                      <w:adjustRightInd w:val="0"/>
                      <w:ind w:right="-120" w:hanging="113"/>
                      <w:jc w:val="center"/>
                      <w:rPr>
                        <w:sz w:val="18"/>
                        <w:szCs w:val="18"/>
                      </w:rPr>
                    </w:pPr>
                    <w:r w:rsidRPr="00226C06">
                      <w:rPr>
                        <w:sz w:val="18"/>
                        <w:szCs w:val="18"/>
                      </w:rPr>
                      <w:t>每日最高存款限额</w:t>
                    </w:r>
                  </w:p>
                </w:tc>
              </w:sdtContent>
            </w:sdt>
            <w:sdt>
              <w:sdtPr>
                <w:rPr>
                  <w:sz w:val="18"/>
                  <w:szCs w:val="18"/>
                </w:rPr>
                <w:tag w:val="_PLD_35120e1d137a49a58b458aa55e4b9d03"/>
                <w:id w:val="26389921"/>
                <w:lock w:val="sdtLocked"/>
              </w:sdtPr>
              <w:sdtContent>
                <w:tc>
                  <w:tcPr>
                    <w:tcW w:w="588" w:type="pct"/>
                    <w:vMerge w:val="restart"/>
                    <w:shd w:val="clear" w:color="auto" w:fill="auto"/>
                    <w:vAlign w:val="center"/>
                  </w:tcPr>
                  <w:p w:rsidR="00E761A0" w:rsidRPr="00226C06" w:rsidRDefault="00E761A0" w:rsidP="00226C06">
                    <w:pPr>
                      <w:autoSpaceDE w:val="0"/>
                      <w:autoSpaceDN w:val="0"/>
                      <w:adjustRightInd w:val="0"/>
                      <w:ind w:left="-148" w:right="-178" w:hanging="141"/>
                      <w:jc w:val="center"/>
                      <w:rPr>
                        <w:sz w:val="18"/>
                        <w:szCs w:val="18"/>
                      </w:rPr>
                    </w:pPr>
                    <w:r w:rsidRPr="00226C06">
                      <w:rPr>
                        <w:sz w:val="18"/>
                        <w:szCs w:val="18"/>
                      </w:rPr>
                      <w:t>存款利率范围</w:t>
                    </w:r>
                  </w:p>
                </w:tc>
              </w:sdtContent>
            </w:sdt>
            <w:sdt>
              <w:sdtPr>
                <w:rPr>
                  <w:sz w:val="18"/>
                  <w:szCs w:val="18"/>
                </w:rPr>
                <w:tag w:val="_PLD_3f62fc64d6bc4210a25dd2bd7c73a3b2"/>
                <w:id w:val="26389922"/>
                <w:lock w:val="sdtLocked"/>
              </w:sdtPr>
              <w:sdtContent>
                <w:tc>
                  <w:tcPr>
                    <w:tcW w:w="591" w:type="pct"/>
                    <w:vMerge w:val="restart"/>
                    <w:shd w:val="clear" w:color="auto" w:fill="auto"/>
                    <w:vAlign w:val="center"/>
                  </w:tcPr>
                  <w:p w:rsidR="00E761A0" w:rsidRPr="00226C06" w:rsidRDefault="00E761A0" w:rsidP="00601D47">
                    <w:pPr>
                      <w:autoSpaceDE w:val="0"/>
                      <w:autoSpaceDN w:val="0"/>
                      <w:adjustRightInd w:val="0"/>
                      <w:jc w:val="center"/>
                      <w:rPr>
                        <w:sz w:val="18"/>
                        <w:szCs w:val="18"/>
                      </w:rPr>
                    </w:pPr>
                    <w:r w:rsidRPr="00226C06">
                      <w:rPr>
                        <w:sz w:val="18"/>
                        <w:szCs w:val="18"/>
                      </w:rPr>
                      <w:t>期初余额</w:t>
                    </w:r>
                  </w:p>
                </w:tc>
              </w:sdtContent>
            </w:sdt>
            <w:sdt>
              <w:sdtPr>
                <w:rPr>
                  <w:sz w:val="18"/>
                  <w:szCs w:val="18"/>
                </w:rPr>
                <w:tag w:val="_PLD_2c020463045344b1a08898f249b93e22"/>
                <w:id w:val="26389923"/>
                <w:lock w:val="sdtLocked"/>
              </w:sdtPr>
              <w:sdtContent>
                <w:tc>
                  <w:tcPr>
                    <w:tcW w:w="1524" w:type="pct"/>
                    <w:gridSpan w:val="2"/>
                    <w:shd w:val="clear" w:color="auto" w:fill="auto"/>
                    <w:vAlign w:val="center"/>
                  </w:tcPr>
                  <w:p w:rsidR="00E761A0" w:rsidRPr="00226C06" w:rsidRDefault="00E761A0" w:rsidP="00601D47">
                    <w:pPr>
                      <w:autoSpaceDE w:val="0"/>
                      <w:autoSpaceDN w:val="0"/>
                      <w:adjustRightInd w:val="0"/>
                      <w:jc w:val="center"/>
                      <w:rPr>
                        <w:sz w:val="18"/>
                        <w:szCs w:val="18"/>
                      </w:rPr>
                    </w:pPr>
                    <w:r w:rsidRPr="00226C06">
                      <w:rPr>
                        <w:sz w:val="18"/>
                        <w:szCs w:val="18"/>
                      </w:rPr>
                      <w:t>本期发生额</w:t>
                    </w:r>
                  </w:p>
                </w:tc>
              </w:sdtContent>
            </w:sdt>
            <w:sdt>
              <w:sdtPr>
                <w:rPr>
                  <w:sz w:val="18"/>
                  <w:szCs w:val="18"/>
                </w:rPr>
                <w:tag w:val="_PLD_7256a341c00d4ea9bfda5df6a6c75070"/>
                <w:id w:val="26389924"/>
                <w:lock w:val="sdtLocked"/>
              </w:sdtPr>
              <w:sdtContent>
                <w:tc>
                  <w:tcPr>
                    <w:tcW w:w="679" w:type="pct"/>
                    <w:vMerge w:val="restart"/>
                    <w:shd w:val="clear" w:color="auto" w:fill="auto"/>
                    <w:vAlign w:val="center"/>
                  </w:tcPr>
                  <w:p w:rsidR="00E761A0" w:rsidRPr="00226C06" w:rsidRDefault="00E761A0" w:rsidP="00601D47">
                    <w:pPr>
                      <w:autoSpaceDE w:val="0"/>
                      <w:autoSpaceDN w:val="0"/>
                      <w:adjustRightInd w:val="0"/>
                      <w:jc w:val="center"/>
                      <w:rPr>
                        <w:sz w:val="18"/>
                        <w:szCs w:val="18"/>
                      </w:rPr>
                    </w:pPr>
                    <w:r w:rsidRPr="00226C06">
                      <w:rPr>
                        <w:sz w:val="18"/>
                        <w:szCs w:val="18"/>
                      </w:rPr>
                      <w:t>期末余额</w:t>
                    </w:r>
                  </w:p>
                </w:tc>
              </w:sdtContent>
            </w:sdt>
          </w:tr>
          <w:tr w:rsidR="00226C06" w:rsidTr="008A7BD1">
            <w:trPr>
              <w:trHeight w:val="393"/>
            </w:trPr>
            <w:tc>
              <w:tcPr>
                <w:tcW w:w="417" w:type="pct"/>
                <w:vMerge/>
                <w:shd w:val="clear" w:color="auto" w:fill="auto"/>
                <w:vAlign w:val="center"/>
              </w:tcPr>
              <w:p w:rsidR="00E761A0" w:rsidRPr="00226C06" w:rsidRDefault="00E761A0" w:rsidP="00601D47">
                <w:pPr>
                  <w:autoSpaceDE w:val="0"/>
                  <w:autoSpaceDN w:val="0"/>
                  <w:adjustRightInd w:val="0"/>
                  <w:jc w:val="center"/>
                  <w:rPr>
                    <w:sz w:val="18"/>
                    <w:szCs w:val="18"/>
                  </w:rPr>
                </w:pPr>
              </w:p>
            </w:tc>
            <w:tc>
              <w:tcPr>
                <w:tcW w:w="486" w:type="pct"/>
                <w:vMerge/>
                <w:shd w:val="clear" w:color="auto" w:fill="auto"/>
                <w:vAlign w:val="center"/>
              </w:tcPr>
              <w:p w:rsidR="00E761A0" w:rsidRPr="00226C06" w:rsidRDefault="00E761A0" w:rsidP="00601D47">
                <w:pPr>
                  <w:autoSpaceDE w:val="0"/>
                  <w:autoSpaceDN w:val="0"/>
                  <w:adjustRightInd w:val="0"/>
                  <w:jc w:val="center"/>
                  <w:rPr>
                    <w:sz w:val="18"/>
                    <w:szCs w:val="18"/>
                  </w:rPr>
                </w:pPr>
              </w:p>
            </w:tc>
            <w:tc>
              <w:tcPr>
                <w:tcW w:w="715" w:type="pct"/>
                <w:vMerge/>
                <w:shd w:val="clear" w:color="auto" w:fill="auto"/>
                <w:vAlign w:val="center"/>
              </w:tcPr>
              <w:p w:rsidR="00E761A0" w:rsidRPr="00226C06" w:rsidRDefault="00E761A0" w:rsidP="00601D47">
                <w:pPr>
                  <w:autoSpaceDE w:val="0"/>
                  <w:autoSpaceDN w:val="0"/>
                  <w:adjustRightInd w:val="0"/>
                  <w:jc w:val="center"/>
                  <w:rPr>
                    <w:sz w:val="18"/>
                    <w:szCs w:val="18"/>
                  </w:rPr>
                </w:pPr>
              </w:p>
            </w:tc>
            <w:tc>
              <w:tcPr>
                <w:tcW w:w="588" w:type="pct"/>
                <w:vMerge/>
                <w:shd w:val="clear" w:color="auto" w:fill="auto"/>
                <w:vAlign w:val="center"/>
              </w:tcPr>
              <w:p w:rsidR="00E761A0" w:rsidRPr="00226C06" w:rsidRDefault="00E761A0" w:rsidP="00601D47">
                <w:pPr>
                  <w:autoSpaceDE w:val="0"/>
                  <w:autoSpaceDN w:val="0"/>
                  <w:adjustRightInd w:val="0"/>
                  <w:jc w:val="center"/>
                  <w:rPr>
                    <w:sz w:val="18"/>
                    <w:szCs w:val="18"/>
                  </w:rPr>
                </w:pPr>
              </w:p>
            </w:tc>
            <w:tc>
              <w:tcPr>
                <w:tcW w:w="591" w:type="pct"/>
                <w:vMerge/>
                <w:shd w:val="clear" w:color="auto" w:fill="auto"/>
                <w:vAlign w:val="center"/>
              </w:tcPr>
              <w:p w:rsidR="00E761A0" w:rsidRPr="00226C06" w:rsidRDefault="00E761A0" w:rsidP="00601D47">
                <w:pPr>
                  <w:autoSpaceDE w:val="0"/>
                  <w:autoSpaceDN w:val="0"/>
                  <w:adjustRightInd w:val="0"/>
                  <w:jc w:val="center"/>
                  <w:rPr>
                    <w:sz w:val="18"/>
                    <w:szCs w:val="18"/>
                  </w:rPr>
                </w:pPr>
              </w:p>
            </w:tc>
            <w:sdt>
              <w:sdtPr>
                <w:rPr>
                  <w:rFonts w:hint="eastAsia"/>
                  <w:sz w:val="18"/>
                  <w:szCs w:val="18"/>
                </w:rPr>
                <w:tag w:val="_PLD_a7c089b9b9c848cda9c2d0d39ffd15d1"/>
                <w:id w:val="26389925"/>
                <w:lock w:val="sdtLocked"/>
              </w:sdtPr>
              <w:sdtContent>
                <w:tc>
                  <w:tcPr>
                    <w:tcW w:w="745" w:type="pct"/>
                    <w:shd w:val="clear" w:color="auto" w:fill="auto"/>
                    <w:vAlign w:val="center"/>
                  </w:tcPr>
                  <w:p w:rsidR="00E761A0" w:rsidRPr="00226C06" w:rsidRDefault="00E761A0" w:rsidP="00226C06">
                    <w:pPr>
                      <w:autoSpaceDE w:val="0"/>
                      <w:autoSpaceDN w:val="0"/>
                      <w:adjustRightInd w:val="0"/>
                      <w:ind w:right="-131" w:hanging="142"/>
                      <w:jc w:val="center"/>
                      <w:rPr>
                        <w:sz w:val="18"/>
                        <w:szCs w:val="18"/>
                      </w:rPr>
                    </w:pPr>
                    <w:r w:rsidRPr="00226C06">
                      <w:rPr>
                        <w:rFonts w:hint="eastAsia"/>
                        <w:sz w:val="18"/>
                        <w:szCs w:val="18"/>
                      </w:rPr>
                      <w:t>本期合计存入金额</w:t>
                    </w:r>
                  </w:p>
                </w:tc>
              </w:sdtContent>
            </w:sdt>
            <w:sdt>
              <w:sdtPr>
                <w:rPr>
                  <w:rFonts w:hint="eastAsia"/>
                  <w:sz w:val="18"/>
                  <w:szCs w:val="18"/>
                </w:rPr>
                <w:tag w:val="_PLD_d5c42deb4e87457db7957c53e44d1d9b"/>
                <w:id w:val="26389926"/>
                <w:lock w:val="sdtLocked"/>
              </w:sdtPr>
              <w:sdtContent>
                <w:tc>
                  <w:tcPr>
                    <w:tcW w:w="779" w:type="pct"/>
                    <w:vAlign w:val="center"/>
                  </w:tcPr>
                  <w:p w:rsidR="00E761A0" w:rsidRPr="00226C06" w:rsidRDefault="00E761A0" w:rsidP="00226C06">
                    <w:pPr>
                      <w:autoSpaceDE w:val="0"/>
                      <w:autoSpaceDN w:val="0"/>
                      <w:adjustRightInd w:val="0"/>
                      <w:ind w:right="-281" w:hanging="224"/>
                      <w:jc w:val="center"/>
                      <w:rPr>
                        <w:sz w:val="18"/>
                        <w:szCs w:val="18"/>
                      </w:rPr>
                    </w:pPr>
                    <w:r w:rsidRPr="00226C06">
                      <w:rPr>
                        <w:rFonts w:hint="eastAsia"/>
                        <w:sz w:val="18"/>
                        <w:szCs w:val="18"/>
                      </w:rPr>
                      <w:t>本期合计取出金额</w:t>
                    </w:r>
                  </w:p>
                </w:tc>
              </w:sdtContent>
            </w:sdt>
            <w:tc>
              <w:tcPr>
                <w:tcW w:w="679" w:type="pct"/>
                <w:vMerge/>
                <w:shd w:val="clear" w:color="auto" w:fill="auto"/>
                <w:vAlign w:val="center"/>
              </w:tcPr>
              <w:p w:rsidR="00E761A0" w:rsidRPr="00226C06" w:rsidRDefault="00E761A0" w:rsidP="00601D47">
                <w:pPr>
                  <w:autoSpaceDE w:val="0"/>
                  <w:autoSpaceDN w:val="0"/>
                  <w:adjustRightInd w:val="0"/>
                  <w:jc w:val="center"/>
                  <w:rPr>
                    <w:sz w:val="18"/>
                    <w:szCs w:val="18"/>
                  </w:rPr>
                </w:pPr>
              </w:p>
            </w:tc>
          </w:tr>
          <w:sdt>
            <w:sdtPr>
              <w:rPr>
                <w:sz w:val="18"/>
                <w:szCs w:val="18"/>
              </w:rPr>
              <w:alias w:val="存款业务情况"/>
              <w:tag w:val="_TUP_cc8fdad844724ee7bd12a0f02a6e7338"/>
              <w:id w:val="26389927"/>
              <w:lock w:val="sdtLocked"/>
            </w:sdtPr>
            <w:sdtContent>
              <w:tr w:rsidR="00226C06" w:rsidTr="00226C06">
                <w:tc>
                  <w:tcPr>
                    <w:tcW w:w="417" w:type="pct"/>
                    <w:shd w:val="clear" w:color="auto" w:fill="auto"/>
                    <w:vAlign w:val="center"/>
                  </w:tcPr>
                  <w:p w:rsidR="00E761A0" w:rsidRPr="00226C06" w:rsidRDefault="00E761A0" w:rsidP="00601D47">
                    <w:pPr>
                      <w:autoSpaceDE w:val="0"/>
                      <w:autoSpaceDN w:val="0"/>
                      <w:adjustRightInd w:val="0"/>
                      <w:jc w:val="center"/>
                      <w:rPr>
                        <w:sz w:val="18"/>
                        <w:szCs w:val="18"/>
                      </w:rPr>
                    </w:pPr>
                    <w:r w:rsidRPr="00226C06">
                      <w:rPr>
                        <w:sz w:val="18"/>
                        <w:szCs w:val="18"/>
                      </w:rPr>
                      <w:t>中国铁路财务有限责任公司</w:t>
                    </w:r>
                  </w:p>
                </w:tc>
                <w:tc>
                  <w:tcPr>
                    <w:tcW w:w="486" w:type="pct"/>
                    <w:shd w:val="clear" w:color="auto" w:fill="auto"/>
                    <w:vAlign w:val="center"/>
                  </w:tcPr>
                  <w:p w:rsidR="00E761A0" w:rsidRPr="00226C06" w:rsidRDefault="00E761A0" w:rsidP="00601D47">
                    <w:pPr>
                      <w:autoSpaceDE w:val="0"/>
                      <w:autoSpaceDN w:val="0"/>
                      <w:adjustRightInd w:val="0"/>
                      <w:jc w:val="center"/>
                      <w:rPr>
                        <w:sz w:val="18"/>
                        <w:szCs w:val="18"/>
                      </w:rPr>
                    </w:pPr>
                    <w:r w:rsidRPr="00226C06">
                      <w:rPr>
                        <w:sz w:val="18"/>
                        <w:szCs w:val="18"/>
                      </w:rPr>
                      <w:t>最终控股公司之子公司</w:t>
                    </w:r>
                  </w:p>
                </w:tc>
                <w:tc>
                  <w:tcPr>
                    <w:tcW w:w="715" w:type="pct"/>
                    <w:shd w:val="clear" w:color="auto" w:fill="auto"/>
                    <w:vAlign w:val="center"/>
                  </w:tcPr>
                  <w:p w:rsidR="00E761A0" w:rsidRPr="00226C06" w:rsidRDefault="00E761A0" w:rsidP="00226C06">
                    <w:pPr>
                      <w:autoSpaceDE w:val="0"/>
                      <w:autoSpaceDN w:val="0"/>
                      <w:adjustRightInd w:val="0"/>
                      <w:jc w:val="right"/>
                      <w:rPr>
                        <w:sz w:val="18"/>
                        <w:szCs w:val="18"/>
                      </w:rPr>
                    </w:pPr>
                    <w:r w:rsidRPr="00226C06">
                      <w:rPr>
                        <w:sz w:val="18"/>
                        <w:szCs w:val="18"/>
                      </w:rPr>
                      <w:t>5,000,000,000</w:t>
                    </w:r>
                  </w:p>
                </w:tc>
                <w:tc>
                  <w:tcPr>
                    <w:tcW w:w="588" w:type="pct"/>
                    <w:shd w:val="clear" w:color="auto" w:fill="auto"/>
                    <w:vAlign w:val="center"/>
                  </w:tcPr>
                  <w:p w:rsidR="00E761A0" w:rsidRPr="00226C06" w:rsidRDefault="00E761A0" w:rsidP="00226C06">
                    <w:pPr>
                      <w:autoSpaceDE w:val="0"/>
                      <w:autoSpaceDN w:val="0"/>
                      <w:adjustRightInd w:val="0"/>
                      <w:jc w:val="right"/>
                      <w:rPr>
                        <w:sz w:val="18"/>
                        <w:szCs w:val="18"/>
                      </w:rPr>
                    </w:pPr>
                    <w:r w:rsidRPr="00226C06">
                      <w:rPr>
                        <w:sz w:val="18"/>
                        <w:szCs w:val="18"/>
                      </w:rPr>
                      <w:t>按实际利率</w:t>
                    </w:r>
                  </w:p>
                </w:tc>
                <w:tc>
                  <w:tcPr>
                    <w:tcW w:w="591" w:type="pct"/>
                    <w:shd w:val="clear" w:color="auto" w:fill="auto"/>
                    <w:vAlign w:val="center"/>
                  </w:tcPr>
                  <w:p w:rsidR="00E761A0" w:rsidRPr="00226C06" w:rsidRDefault="00E761A0" w:rsidP="00226C06">
                    <w:pPr>
                      <w:autoSpaceDE w:val="0"/>
                      <w:autoSpaceDN w:val="0"/>
                      <w:adjustRightInd w:val="0"/>
                      <w:jc w:val="right"/>
                      <w:rPr>
                        <w:sz w:val="18"/>
                        <w:szCs w:val="18"/>
                      </w:rPr>
                    </w:pPr>
                    <w:r w:rsidRPr="00226C06">
                      <w:rPr>
                        <w:sz w:val="18"/>
                        <w:szCs w:val="18"/>
                      </w:rPr>
                      <w:t>309,117,358</w:t>
                    </w:r>
                  </w:p>
                </w:tc>
                <w:tc>
                  <w:tcPr>
                    <w:tcW w:w="745" w:type="pct"/>
                    <w:shd w:val="clear" w:color="auto" w:fill="auto"/>
                    <w:vAlign w:val="center"/>
                  </w:tcPr>
                  <w:p w:rsidR="00E761A0" w:rsidRPr="00226C06" w:rsidRDefault="00E761A0" w:rsidP="00226C06">
                    <w:pPr>
                      <w:autoSpaceDE w:val="0"/>
                      <w:autoSpaceDN w:val="0"/>
                      <w:adjustRightInd w:val="0"/>
                      <w:jc w:val="right"/>
                      <w:rPr>
                        <w:sz w:val="18"/>
                        <w:szCs w:val="18"/>
                      </w:rPr>
                    </w:pPr>
                    <w:r w:rsidRPr="00226C06">
                      <w:rPr>
                        <w:sz w:val="18"/>
                        <w:szCs w:val="18"/>
                      </w:rPr>
                      <w:t>23,803,480,146</w:t>
                    </w:r>
                  </w:p>
                </w:tc>
                <w:tc>
                  <w:tcPr>
                    <w:tcW w:w="779" w:type="pct"/>
                    <w:vAlign w:val="center"/>
                  </w:tcPr>
                  <w:p w:rsidR="00E761A0" w:rsidRPr="00226C06" w:rsidRDefault="00E761A0" w:rsidP="00226C06">
                    <w:pPr>
                      <w:autoSpaceDE w:val="0"/>
                      <w:autoSpaceDN w:val="0"/>
                      <w:adjustRightInd w:val="0"/>
                      <w:jc w:val="right"/>
                      <w:rPr>
                        <w:sz w:val="18"/>
                        <w:szCs w:val="18"/>
                      </w:rPr>
                    </w:pPr>
                    <w:r w:rsidRPr="00226C06">
                      <w:rPr>
                        <w:sz w:val="18"/>
                        <w:szCs w:val="18"/>
                      </w:rPr>
                      <w:t>22,972,143,987</w:t>
                    </w:r>
                  </w:p>
                </w:tc>
                <w:tc>
                  <w:tcPr>
                    <w:tcW w:w="679" w:type="pct"/>
                    <w:shd w:val="clear" w:color="auto" w:fill="auto"/>
                    <w:vAlign w:val="center"/>
                  </w:tcPr>
                  <w:p w:rsidR="00E761A0" w:rsidRPr="00226C06" w:rsidRDefault="00E761A0" w:rsidP="00226C06">
                    <w:pPr>
                      <w:autoSpaceDE w:val="0"/>
                      <w:autoSpaceDN w:val="0"/>
                      <w:adjustRightInd w:val="0"/>
                      <w:jc w:val="right"/>
                      <w:rPr>
                        <w:sz w:val="18"/>
                        <w:szCs w:val="18"/>
                      </w:rPr>
                    </w:pPr>
                    <w:r w:rsidRPr="00226C06">
                      <w:rPr>
                        <w:sz w:val="18"/>
                        <w:szCs w:val="18"/>
                      </w:rPr>
                      <w:t>1,140,453,517</w:t>
                    </w:r>
                  </w:p>
                </w:tc>
              </w:tr>
            </w:sdtContent>
          </w:sdt>
          <w:tr w:rsidR="00226C06" w:rsidTr="00226C06">
            <w:tc>
              <w:tcPr>
                <w:tcW w:w="417" w:type="pct"/>
                <w:shd w:val="clear" w:color="auto" w:fill="auto"/>
                <w:vAlign w:val="center"/>
              </w:tcPr>
              <w:sdt>
                <w:sdtPr>
                  <w:rPr>
                    <w:sz w:val="18"/>
                    <w:szCs w:val="18"/>
                  </w:rPr>
                  <w:tag w:val="_PLD_6b5e5a7881774c26b4fe0d46d4914cd8"/>
                  <w:id w:val="26389929"/>
                  <w:lock w:val="sdtLocked"/>
                </w:sdtPr>
                <w:sdtContent>
                  <w:p w:rsidR="00E761A0" w:rsidRPr="00226C06" w:rsidRDefault="00E761A0" w:rsidP="00601D47">
                    <w:pPr>
                      <w:autoSpaceDE w:val="0"/>
                      <w:autoSpaceDN w:val="0"/>
                      <w:adjustRightInd w:val="0"/>
                      <w:jc w:val="center"/>
                      <w:rPr>
                        <w:sz w:val="18"/>
                        <w:szCs w:val="18"/>
                      </w:rPr>
                    </w:pPr>
                    <w:r w:rsidRPr="00226C06">
                      <w:rPr>
                        <w:sz w:val="18"/>
                        <w:szCs w:val="18"/>
                      </w:rPr>
                      <w:t>合计</w:t>
                    </w:r>
                  </w:p>
                </w:sdtContent>
              </w:sdt>
            </w:tc>
            <w:tc>
              <w:tcPr>
                <w:tcW w:w="486" w:type="pct"/>
                <w:shd w:val="clear" w:color="auto" w:fill="auto"/>
                <w:vAlign w:val="center"/>
              </w:tcPr>
              <w:p w:rsidR="00E761A0" w:rsidRPr="00226C06" w:rsidRDefault="00E761A0" w:rsidP="00601D47">
                <w:pPr>
                  <w:autoSpaceDE w:val="0"/>
                  <w:autoSpaceDN w:val="0"/>
                  <w:adjustRightInd w:val="0"/>
                  <w:jc w:val="center"/>
                  <w:rPr>
                    <w:sz w:val="18"/>
                    <w:szCs w:val="18"/>
                  </w:rPr>
                </w:pPr>
                <w:r w:rsidRPr="00226C06">
                  <w:rPr>
                    <w:rFonts w:hint="eastAsia"/>
                    <w:sz w:val="18"/>
                    <w:szCs w:val="18"/>
                  </w:rPr>
                  <w:t>/</w:t>
                </w:r>
              </w:p>
            </w:tc>
            <w:tc>
              <w:tcPr>
                <w:tcW w:w="715" w:type="pct"/>
                <w:shd w:val="clear" w:color="auto" w:fill="auto"/>
                <w:vAlign w:val="center"/>
              </w:tcPr>
              <w:p w:rsidR="00E761A0" w:rsidRPr="00226C06" w:rsidRDefault="00E761A0" w:rsidP="00226C06">
                <w:pPr>
                  <w:autoSpaceDE w:val="0"/>
                  <w:autoSpaceDN w:val="0"/>
                  <w:adjustRightInd w:val="0"/>
                  <w:jc w:val="right"/>
                  <w:rPr>
                    <w:sz w:val="18"/>
                    <w:szCs w:val="18"/>
                  </w:rPr>
                </w:pPr>
                <w:r w:rsidRPr="00226C06">
                  <w:rPr>
                    <w:rFonts w:hint="eastAsia"/>
                    <w:sz w:val="18"/>
                    <w:szCs w:val="18"/>
                  </w:rPr>
                  <w:t>/</w:t>
                </w:r>
              </w:p>
            </w:tc>
            <w:tc>
              <w:tcPr>
                <w:tcW w:w="588" w:type="pct"/>
                <w:shd w:val="clear" w:color="auto" w:fill="auto"/>
                <w:vAlign w:val="center"/>
              </w:tcPr>
              <w:p w:rsidR="00E761A0" w:rsidRPr="00226C06" w:rsidRDefault="00E761A0" w:rsidP="00226C06">
                <w:pPr>
                  <w:autoSpaceDE w:val="0"/>
                  <w:autoSpaceDN w:val="0"/>
                  <w:adjustRightInd w:val="0"/>
                  <w:jc w:val="right"/>
                  <w:rPr>
                    <w:sz w:val="18"/>
                    <w:szCs w:val="18"/>
                  </w:rPr>
                </w:pPr>
                <w:r w:rsidRPr="00226C06">
                  <w:rPr>
                    <w:rFonts w:hint="eastAsia"/>
                    <w:sz w:val="18"/>
                    <w:szCs w:val="18"/>
                  </w:rPr>
                  <w:t>/</w:t>
                </w:r>
              </w:p>
            </w:tc>
            <w:tc>
              <w:tcPr>
                <w:tcW w:w="591" w:type="pct"/>
                <w:shd w:val="clear" w:color="auto" w:fill="auto"/>
                <w:vAlign w:val="center"/>
              </w:tcPr>
              <w:p w:rsidR="00E761A0" w:rsidRPr="00226C06" w:rsidRDefault="00E761A0" w:rsidP="00226C06">
                <w:pPr>
                  <w:jc w:val="right"/>
                  <w:rPr>
                    <w:sz w:val="18"/>
                    <w:szCs w:val="18"/>
                  </w:rPr>
                </w:pPr>
                <w:r w:rsidRPr="00226C06">
                  <w:rPr>
                    <w:sz w:val="18"/>
                    <w:szCs w:val="18"/>
                  </w:rPr>
                  <w:t>309,117,358</w:t>
                </w:r>
              </w:p>
            </w:tc>
            <w:tc>
              <w:tcPr>
                <w:tcW w:w="745" w:type="pct"/>
                <w:shd w:val="clear" w:color="auto" w:fill="auto"/>
                <w:vAlign w:val="center"/>
              </w:tcPr>
              <w:p w:rsidR="00E761A0" w:rsidRPr="00226C06" w:rsidRDefault="00E761A0" w:rsidP="00226C06">
                <w:pPr>
                  <w:jc w:val="right"/>
                  <w:rPr>
                    <w:sz w:val="18"/>
                    <w:szCs w:val="18"/>
                  </w:rPr>
                </w:pPr>
                <w:r w:rsidRPr="00226C06">
                  <w:rPr>
                    <w:sz w:val="18"/>
                    <w:szCs w:val="18"/>
                  </w:rPr>
                  <w:t>23,803,480,146</w:t>
                </w:r>
              </w:p>
            </w:tc>
            <w:tc>
              <w:tcPr>
                <w:tcW w:w="779" w:type="pct"/>
                <w:vAlign w:val="center"/>
              </w:tcPr>
              <w:p w:rsidR="00E761A0" w:rsidRPr="00226C06" w:rsidRDefault="00E761A0" w:rsidP="00226C06">
                <w:pPr>
                  <w:jc w:val="right"/>
                  <w:rPr>
                    <w:sz w:val="18"/>
                    <w:szCs w:val="18"/>
                  </w:rPr>
                </w:pPr>
                <w:r w:rsidRPr="00226C06">
                  <w:rPr>
                    <w:sz w:val="18"/>
                    <w:szCs w:val="18"/>
                  </w:rPr>
                  <w:t>22,972,143,987</w:t>
                </w:r>
              </w:p>
            </w:tc>
            <w:tc>
              <w:tcPr>
                <w:tcW w:w="679" w:type="pct"/>
                <w:shd w:val="clear" w:color="auto" w:fill="auto"/>
                <w:vAlign w:val="center"/>
              </w:tcPr>
              <w:p w:rsidR="00E761A0" w:rsidRPr="00226C06" w:rsidRDefault="00E761A0" w:rsidP="00226C06">
                <w:pPr>
                  <w:jc w:val="right"/>
                  <w:rPr>
                    <w:sz w:val="18"/>
                    <w:szCs w:val="18"/>
                  </w:rPr>
                </w:pPr>
                <w:r w:rsidRPr="00226C06">
                  <w:rPr>
                    <w:sz w:val="18"/>
                    <w:szCs w:val="18"/>
                  </w:rPr>
                  <w:t>1,140,453,517</w:t>
                </w:r>
              </w:p>
            </w:tc>
          </w:tr>
        </w:tbl>
        <w:p w:rsidR="00806678" w:rsidRDefault="00F80B6C">
          <w:pPr>
            <w:rPr>
              <w:szCs w:val="21"/>
            </w:rPr>
          </w:pPr>
        </w:p>
      </w:sdtContent>
    </w:sdt>
    <w:sdt>
      <w:sdtPr>
        <w:rPr>
          <w:rFonts w:ascii="宋体" w:eastAsia="宋体" w:hAnsi="宋体" w:cs="宋体" w:hint="eastAsia"/>
          <w:b w:val="0"/>
          <w:bCs w:val="0"/>
          <w:kern w:val="0"/>
          <w:szCs w:val="24"/>
        </w:rPr>
        <w:alias w:val="模块:贷款业务"/>
        <w:tag w:val="_SEC_078413d2d27141afa04009ababb6fbe2"/>
        <w:id w:val="1368728103"/>
        <w:lock w:val="sdtLocked"/>
        <w:placeholder>
          <w:docPart w:val="GBC22222222222222222222222222222"/>
        </w:placeholder>
      </w:sdtPr>
      <w:sdtEndPr>
        <w:rPr>
          <w:rFonts w:hint="default"/>
          <w:szCs w:val="21"/>
        </w:rPr>
      </w:sdtEndPr>
      <w:sdtContent>
        <w:p w:rsidR="00806678" w:rsidRDefault="00B16377" w:rsidP="00FF17C7">
          <w:pPr>
            <w:pStyle w:val="4"/>
            <w:numPr>
              <w:ilvl w:val="0"/>
              <w:numId w:val="128"/>
            </w:numPr>
            <w:ind w:left="425" w:hanging="425"/>
            <w:rPr>
              <w:rFonts w:ascii="宋体" w:hAnsi="宋体"/>
            </w:rPr>
          </w:pPr>
          <w:r>
            <w:rPr>
              <w:rFonts w:ascii="宋体" w:hAnsi="宋体" w:hint="eastAsia"/>
            </w:rPr>
            <w:t>贷款业务</w:t>
          </w:r>
        </w:p>
        <w:sdt>
          <w:sdtPr>
            <w:alias w:val="是否适用：贷款业务[双击切换]"/>
            <w:tag w:val="_GBC_c6196556cf0343eb8e53770deb1ab020"/>
            <w:id w:val="43571226"/>
            <w:lock w:val="sdtLocked"/>
            <w:placeholder>
              <w:docPart w:val="GBC22222222222222222222222222222"/>
            </w:placeholder>
          </w:sdtPr>
          <w:sdtContent>
            <w:p w:rsidR="00806678" w:rsidRDefault="00F80B6C" w:rsidP="00450BC9">
              <w:pPr>
                <w:rPr>
                  <w:szCs w:val="21"/>
                </w:rPr>
              </w:pPr>
              <w:r>
                <w:fldChar w:fldCharType="begin"/>
              </w:r>
              <w:r w:rsidR="00450BC9">
                <w:instrText xml:space="preserve"> MACROBUTTON  SnrToggleCheckbox □适用 </w:instrText>
              </w:r>
              <w:r>
                <w:fldChar w:fldCharType="end"/>
              </w:r>
              <w:r>
                <w:fldChar w:fldCharType="begin"/>
              </w:r>
              <w:r w:rsidR="00450BC9">
                <w:instrText xml:space="preserve"> MACROBUTTON  SnrToggleCheckbox √不适用 </w:instrText>
              </w:r>
              <w:r>
                <w:fldChar w:fldCharType="end"/>
              </w:r>
            </w:p>
          </w:sdtContent>
        </w:sdt>
      </w:sdtContent>
    </w:sdt>
    <w:bookmarkStart w:id="86" w:name="_Hlk41316014" w:displacedByCustomXml="next"/>
    <w:sdt>
      <w:sdtPr>
        <w:rPr>
          <w:rFonts w:ascii="宋体" w:eastAsia="宋体" w:hAnsi="宋体" w:cs="宋体" w:hint="eastAsia"/>
          <w:b w:val="0"/>
          <w:bCs w:val="0"/>
          <w:kern w:val="0"/>
          <w:szCs w:val="24"/>
        </w:rPr>
        <w:alias w:val="模块:授信业务或其他金融业务"/>
        <w:tag w:val="_SEC_bd430a09c0134b328db57ee393a4296f"/>
        <w:id w:val="-374476740"/>
        <w:lock w:val="sdtLocked"/>
        <w:placeholder>
          <w:docPart w:val="GBC22222222222222222222222222222"/>
        </w:placeholder>
      </w:sdtPr>
      <w:sdtEndPr>
        <w:rPr>
          <w:szCs w:val="21"/>
        </w:rPr>
      </w:sdtEndPr>
      <w:sdtContent>
        <w:p w:rsidR="00806678" w:rsidRDefault="00B16377" w:rsidP="00FF17C7">
          <w:pPr>
            <w:pStyle w:val="4"/>
            <w:numPr>
              <w:ilvl w:val="0"/>
              <w:numId w:val="128"/>
            </w:numPr>
            <w:ind w:left="425" w:hanging="425"/>
            <w:rPr>
              <w:rFonts w:ascii="宋体" w:hAnsi="宋体" w:cs="宋体"/>
              <w:kern w:val="0"/>
              <w:szCs w:val="24"/>
            </w:rPr>
          </w:pPr>
          <w:r>
            <w:rPr>
              <w:rFonts w:ascii="宋体" w:hAnsi="宋体" w:cs="宋体"/>
              <w:kern w:val="0"/>
              <w:szCs w:val="24"/>
            </w:rPr>
            <w:t>授信业务或其他金融业务</w:t>
          </w:r>
        </w:p>
        <w:sdt>
          <w:sdtPr>
            <w:rPr>
              <w:rFonts w:hint="eastAsia"/>
              <w:szCs w:val="21"/>
            </w:rPr>
            <w:alias w:val="是否适用：授信业务或其他金融业务[双击切换]"/>
            <w:tag w:val="_GBC_2f9c3833f7e34ead9932532e40fbb1b9"/>
            <w:id w:val="-839304550"/>
            <w:lock w:val="sdtLocked"/>
            <w:placeholder>
              <w:docPart w:val="GBC22222222222222222222222222222"/>
            </w:placeholder>
          </w:sdtPr>
          <w:sdtContent>
            <w:p w:rsidR="00806678" w:rsidRDefault="00F80B6C">
              <w:pPr>
                <w:rPr>
                  <w:szCs w:val="21"/>
                </w:rPr>
              </w:pPr>
              <w:r>
                <w:rPr>
                  <w:szCs w:val="21"/>
                </w:rPr>
                <w:fldChar w:fldCharType="begin"/>
              </w:r>
              <w:r w:rsidR="00C448BB">
                <w:rPr>
                  <w:szCs w:val="21"/>
                </w:rPr>
                <w:instrText xml:space="preserve"> MACROBUTTON  SnrToggleCheckbox √适用 </w:instrText>
              </w:r>
              <w:r>
                <w:rPr>
                  <w:szCs w:val="21"/>
                </w:rPr>
                <w:fldChar w:fldCharType="end"/>
              </w:r>
              <w:r>
                <w:rPr>
                  <w:szCs w:val="21"/>
                </w:rPr>
                <w:fldChar w:fldCharType="begin"/>
              </w:r>
              <w:r w:rsidR="00C448BB">
                <w:rPr>
                  <w:szCs w:val="21"/>
                </w:rPr>
                <w:instrText xml:space="preserve"> MACROBUTTON  SnrToggleCheckbox □不适用 </w:instrText>
              </w:r>
              <w:r>
                <w:rPr>
                  <w:szCs w:val="21"/>
                </w:rPr>
                <w:fldChar w:fldCharType="end"/>
              </w:r>
            </w:p>
          </w:sdtContent>
        </w:sdt>
        <w:p w:rsidR="00806678" w:rsidRDefault="00B16377">
          <w:pPr>
            <w:jc w:val="right"/>
            <w:rPr>
              <w:szCs w:val="21"/>
            </w:rPr>
          </w:pPr>
          <w:r>
            <w:rPr>
              <w:rFonts w:hint="eastAsia"/>
              <w:szCs w:val="21"/>
            </w:rPr>
            <w:t>单位：</w:t>
          </w:r>
          <w:sdt>
            <w:sdtPr>
              <w:rPr>
                <w:rFonts w:hint="eastAsia"/>
                <w:szCs w:val="21"/>
              </w:rPr>
              <w:alias w:val="单位：授信业务或其他金融业务"/>
              <w:tag w:val="_GBC_bd084ea580fc4d9d9e4958d6be5b126d"/>
              <w:id w:val="-1921549176"/>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授信业务或其他金融业务"/>
              <w:tag w:val="_GBC_57fcdc4bec904580bf2207f3850b4bfc"/>
              <w:id w:val="-192594349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9"/>
            <w:gridCol w:w="2410"/>
            <w:gridCol w:w="1730"/>
            <w:gridCol w:w="1430"/>
            <w:gridCol w:w="1659"/>
          </w:tblGrid>
          <w:tr w:rsidR="00450BC9" w:rsidTr="00A94043">
            <w:sdt>
              <w:sdtPr>
                <w:rPr>
                  <w:rFonts w:ascii="宋体" w:hAnsi="宋体" w:hint="eastAsia"/>
                  <w:szCs w:val="21"/>
                </w:rPr>
                <w:tag w:val="_PLD_da5529c13904408187ba2be3414cbaec"/>
                <w:id w:val="2005933468"/>
                <w:lock w:val="sdtLocked"/>
              </w:sdtPr>
              <w:sdtContent>
                <w:tc>
                  <w:tcPr>
                    <w:tcW w:w="1001" w:type="pct"/>
                    <w:shd w:val="clear" w:color="auto" w:fill="auto"/>
                    <w:vAlign w:val="center"/>
                  </w:tcPr>
                  <w:p w:rsidR="00450BC9" w:rsidRDefault="00450BC9" w:rsidP="00326B19">
                    <w:pPr>
                      <w:pStyle w:val="af3"/>
                      <w:jc w:val="center"/>
                      <w:rPr>
                        <w:rFonts w:ascii="宋体" w:hAnsi="宋体"/>
                        <w:szCs w:val="21"/>
                      </w:rPr>
                    </w:pPr>
                    <w:r>
                      <w:rPr>
                        <w:rFonts w:ascii="宋体" w:hAnsi="宋体" w:hint="eastAsia"/>
                        <w:szCs w:val="21"/>
                      </w:rPr>
                      <w:t>关联方</w:t>
                    </w:r>
                  </w:p>
                </w:tc>
              </w:sdtContent>
            </w:sdt>
            <w:sdt>
              <w:sdtPr>
                <w:rPr>
                  <w:rFonts w:ascii="宋体" w:hAnsi="宋体" w:hint="eastAsia"/>
                  <w:szCs w:val="21"/>
                </w:rPr>
                <w:tag w:val="_PLD_07e3bda8d1ae484d9c9d6729c395dea4"/>
                <w:id w:val="850002573"/>
                <w:lock w:val="sdtLocked"/>
              </w:sdtPr>
              <w:sdtContent>
                <w:tc>
                  <w:tcPr>
                    <w:tcW w:w="1333" w:type="pct"/>
                    <w:shd w:val="clear" w:color="auto" w:fill="auto"/>
                    <w:vAlign w:val="center"/>
                  </w:tcPr>
                  <w:p w:rsidR="00450BC9" w:rsidRDefault="00450BC9" w:rsidP="00326B19">
                    <w:pPr>
                      <w:pStyle w:val="af3"/>
                      <w:jc w:val="center"/>
                      <w:rPr>
                        <w:rFonts w:ascii="宋体" w:hAnsi="宋体"/>
                        <w:szCs w:val="21"/>
                      </w:rPr>
                    </w:pPr>
                    <w:r>
                      <w:rPr>
                        <w:rFonts w:ascii="宋体" w:hAnsi="宋体" w:hint="eastAsia"/>
                        <w:szCs w:val="21"/>
                      </w:rPr>
                      <w:t>关联关系</w:t>
                    </w:r>
                  </w:p>
                </w:tc>
              </w:sdtContent>
            </w:sdt>
            <w:sdt>
              <w:sdtPr>
                <w:rPr>
                  <w:rFonts w:ascii="宋体" w:hAnsi="宋体" w:hint="eastAsia"/>
                  <w:szCs w:val="21"/>
                </w:rPr>
                <w:tag w:val="_PLD_6646e1edc0584c58b833d3c8a2c0c141"/>
                <w:id w:val="439796942"/>
                <w:lock w:val="sdtLocked"/>
              </w:sdtPr>
              <w:sdtContent>
                <w:tc>
                  <w:tcPr>
                    <w:tcW w:w="957" w:type="pct"/>
                    <w:shd w:val="clear" w:color="auto" w:fill="auto"/>
                    <w:vAlign w:val="center"/>
                  </w:tcPr>
                  <w:p w:rsidR="00450BC9" w:rsidRDefault="00450BC9" w:rsidP="00326B19">
                    <w:pPr>
                      <w:pStyle w:val="af3"/>
                      <w:jc w:val="center"/>
                      <w:rPr>
                        <w:rFonts w:ascii="宋体" w:hAnsi="宋体"/>
                        <w:szCs w:val="21"/>
                      </w:rPr>
                    </w:pPr>
                    <w:r>
                      <w:rPr>
                        <w:rFonts w:ascii="宋体" w:hAnsi="宋体" w:hint="eastAsia"/>
                        <w:szCs w:val="21"/>
                      </w:rPr>
                      <w:t>业务类型</w:t>
                    </w:r>
                  </w:p>
                </w:tc>
              </w:sdtContent>
            </w:sdt>
            <w:sdt>
              <w:sdtPr>
                <w:rPr>
                  <w:rFonts w:ascii="宋体" w:hAnsi="宋体" w:hint="eastAsia"/>
                  <w:szCs w:val="21"/>
                </w:rPr>
                <w:tag w:val="_PLD_4f2f5ad60a7546ccbfd337b0becc5f0e"/>
                <w:id w:val="-2036731854"/>
                <w:lock w:val="sdtLocked"/>
              </w:sdtPr>
              <w:sdtContent>
                <w:tc>
                  <w:tcPr>
                    <w:tcW w:w="791" w:type="pct"/>
                    <w:shd w:val="clear" w:color="auto" w:fill="auto"/>
                    <w:vAlign w:val="center"/>
                  </w:tcPr>
                  <w:p w:rsidR="00450BC9" w:rsidRDefault="00450BC9" w:rsidP="00326B19">
                    <w:pPr>
                      <w:pStyle w:val="af3"/>
                      <w:jc w:val="center"/>
                      <w:rPr>
                        <w:rFonts w:ascii="宋体" w:hAnsi="宋体"/>
                        <w:szCs w:val="21"/>
                      </w:rPr>
                    </w:pPr>
                    <w:r>
                      <w:rPr>
                        <w:rFonts w:ascii="宋体" w:hAnsi="宋体" w:hint="eastAsia"/>
                        <w:szCs w:val="21"/>
                      </w:rPr>
                      <w:t>总额</w:t>
                    </w:r>
                  </w:p>
                </w:tc>
              </w:sdtContent>
            </w:sdt>
            <w:sdt>
              <w:sdtPr>
                <w:rPr>
                  <w:rFonts w:ascii="宋体" w:hAnsi="宋体" w:hint="eastAsia"/>
                  <w:szCs w:val="21"/>
                </w:rPr>
                <w:tag w:val="_PLD_e085245bbfaf447fa9513040555f64e9"/>
                <w:id w:val="430248320"/>
                <w:lock w:val="sdtLocked"/>
              </w:sdtPr>
              <w:sdtContent>
                <w:tc>
                  <w:tcPr>
                    <w:tcW w:w="918" w:type="pct"/>
                    <w:shd w:val="clear" w:color="auto" w:fill="auto"/>
                    <w:vAlign w:val="center"/>
                  </w:tcPr>
                  <w:p w:rsidR="00450BC9" w:rsidRDefault="00450BC9" w:rsidP="00326B19">
                    <w:pPr>
                      <w:pStyle w:val="af3"/>
                      <w:jc w:val="center"/>
                      <w:rPr>
                        <w:rFonts w:ascii="宋体" w:hAnsi="宋体"/>
                        <w:szCs w:val="21"/>
                      </w:rPr>
                    </w:pPr>
                    <w:r>
                      <w:rPr>
                        <w:rFonts w:ascii="宋体" w:hAnsi="宋体" w:hint="eastAsia"/>
                        <w:szCs w:val="21"/>
                      </w:rPr>
                      <w:t>实际发生额</w:t>
                    </w:r>
                  </w:p>
                </w:tc>
              </w:sdtContent>
            </w:sdt>
          </w:tr>
          <w:sdt>
            <w:sdtPr>
              <w:rPr>
                <w:szCs w:val="21"/>
              </w:rPr>
              <w:alias w:val="授信业务或其他金融业务"/>
              <w:tag w:val="_TUP_bee771446fd5413291791b9201cdc3d0"/>
              <w:id w:val="-1569108096"/>
              <w:lock w:val="sdtLocked"/>
            </w:sdtPr>
            <w:sdtContent>
              <w:tr w:rsidR="00450BC9" w:rsidTr="00A94043">
                <w:tc>
                  <w:tcPr>
                    <w:tcW w:w="1001" w:type="pct"/>
                    <w:shd w:val="clear" w:color="auto" w:fill="auto"/>
                    <w:vAlign w:val="center"/>
                  </w:tcPr>
                  <w:p w:rsidR="00450BC9" w:rsidRDefault="00450BC9" w:rsidP="00326B19">
                    <w:pPr>
                      <w:widowControl w:val="0"/>
                      <w:autoSpaceDE w:val="0"/>
                      <w:autoSpaceDN w:val="0"/>
                      <w:adjustRightInd w:val="0"/>
                      <w:rPr>
                        <w:szCs w:val="21"/>
                      </w:rPr>
                    </w:pPr>
                    <w:r w:rsidRPr="005F054D">
                      <w:rPr>
                        <w:rFonts w:hint="eastAsia"/>
                        <w:szCs w:val="21"/>
                      </w:rPr>
                      <w:t>中国铁路财务有限责任公司</w:t>
                    </w:r>
                  </w:p>
                </w:tc>
                <w:tc>
                  <w:tcPr>
                    <w:tcW w:w="1333" w:type="pct"/>
                    <w:shd w:val="clear" w:color="auto" w:fill="auto"/>
                    <w:vAlign w:val="center"/>
                  </w:tcPr>
                  <w:p w:rsidR="00450BC9" w:rsidRDefault="00450BC9" w:rsidP="00326B19">
                    <w:pPr>
                      <w:widowControl w:val="0"/>
                      <w:autoSpaceDE w:val="0"/>
                      <w:autoSpaceDN w:val="0"/>
                      <w:adjustRightInd w:val="0"/>
                      <w:rPr>
                        <w:szCs w:val="21"/>
                      </w:rPr>
                    </w:pPr>
                    <w:r w:rsidRPr="005F054D">
                      <w:rPr>
                        <w:rFonts w:hint="eastAsia"/>
                        <w:szCs w:val="21"/>
                      </w:rPr>
                      <w:t>最终控股公司之子公司</w:t>
                    </w:r>
                  </w:p>
                </w:tc>
                <w:tc>
                  <w:tcPr>
                    <w:tcW w:w="957" w:type="pct"/>
                    <w:shd w:val="clear" w:color="auto" w:fill="auto"/>
                    <w:vAlign w:val="center"/>
                  </w:tcPr>
                  <w:p w:rsidR="00450BC9" w:rsidRDefault="00450BC9" w:rsidP="00326B19">
                    <w:pPr>
                      <w:widowControl w:val="0"/>
                      <w:autoSpaceDE w:val="0"/>
                      <w:autoSpaceDN w:val="0"/>
                      <w:adjustRightInd w:val="0"/>
                      <w:rPr>
                        <w:szCs w:val="21"/>
                      </w:rPr>
                    </w:pPr>
                    <w:r w:rsidRPr="005F054D">
                      <w:rPr>
                        <w:rFonts w:hint="eastAsia"/>
                        <w:szCs w:val="21"/>
                      </w:rPr>
                      <w:t>利息收入</w:t>
                    </w:r>
                  </w:p>
                </w:tc>
                <w:tc>
                  <w:tcPr>
                    <w:tcW w:w="791" w:type="pct"/>
                    <w:shd w:val="clear" w:color="auto" w:fill="auto"/>
                    <w:vAlign w:val="center"/>
                  </w:tcPr>
                  <w:p w:rsidR="00450BC9" w:rsidRDefault="00450BC9" w:rsidP="00DF5EB8">
                    <w:pPr>
                      <w:widowControl w:val="0"/>
                      <w:autoSpaceDE w:val="0"/>
                      <w:autoSpaceDN w:val="0"/>
                      <w:adjustRightInd w:val="0"/>
                      <w:jc w:val="center"/>
                      <w:rPr>
                        <w:szCs w:val="21"/>
                      </w:rPr>
                    </w:pPr>
                    <w:r w:rsidRPr="005F054D">
                      <w:rPr>
                        <w:rFonts w:hint="eastAsia"/>
                        <w:szCs w:val="21"/>
                      </w:rPr>
                      <w:t>不适用</w:t>
                    </w:r>
                  </w:p>
                </w:tc>
                <w:tc>
                  <w:tcPr>
                    <w:tcW w:w="918" w:type="pct"/>
                    <w:shd w:val="clear" w:color="auto" w:fill="auto"/>
                    <w:vAlign w:val="center"/>
                  </w:tcPr>
                  <w:p w:rsidR="00450BC9" w:rsidRDefault="00B84569" w:rsidP="00A94043">
                    <w:pPr>
                      <w:widowControl w:val="0"/>
                      <w:autoSpaceDE w:val="0"/>
                      <w:autoSpaceDN w:val="0"/>
                      <w:adjustRightInd w:val="0"/>
                      <w:jc w:val="right"/>
                      <w:rPr>
                        <w:szCs w:val="21"/>
                      </w:rPr>
                    </w:pPr>
                    <w:r>
                      <w:rPr>
                        <w:szCs w:val="21"/>
                      </w:rPr>
                      <w:t>6</w:t>
                    </w:r>
                    <w:r w:rsidR="00450BC9" w:rsidRPr="005F054D">
                      <w:rPr>
                        <w:szCs w:val="21"/>
                      </w:rPr>
                      <w:t>,</w:t>
                    </w:r>
                    <w:r>
                      <w:rPr>
                        <w:szCs w:val="21"/>
                      </w:rPr>
                      <w:t>402</w:t>
                    </w:r>
                    <w:r w:rsidR="00450BC9" w:rsidRPr="005F054D">
                      <w:rPr>
                        <w:szCs w:val="21"/>
                      </w:rPr>
                      <w:t>,</w:t>
                    </w:r>
                    <w:r>
                      <w:rPr>
                        <w:szCs w:val="21"/>
                      </w:rPr>
                      <w:t>999</w:t>
                    </w:r>
                  </w:p>
                </w:tc>
              </w:tr>
            </w:sdtContent>
          </w:sdt>
          <w:sdt>
            <w:sdtPr>
              <w:rPr>
                <w:szCs w:val="21"/>
              </w:rPr>
              <w:alias w:val="授信业务或其他金融业务"/>
              <w:tag w:val="_TUP_bee771446fd5413291791b9201cdc3d0"/>
              <w:id w:val="1089277672"/>
              <w:lock w:val="sdtLocked"/>
            </w:sdtPr>
            <w:sdtContent>
              <w:tr w:rsidR="00450BC9" w:rsidTr="00A94043">
                <w:tc>
                  <w:tcPr>
                    <w:tcW w:w="1001" w:type="pct"/>
                    <w:shd w:val="clear" w:color="auto" w:fill="auto"/>
                    <w:vAlign w:val="center"/>
                  </w:tcPr>
                  <w:p w:rsidR="00450BC9" w:rsidRDefault="00450BC9" w:rsidP="00326B19">
                    <w:pPr>
                      <w:widowControl w:val="0"/>
                      <w:autoSpaceDE w:val="0"/>
                      <w:autoSpaceDN w:val="0"/>
                      <w:adjustRightInd w:val="0"/>
                      <w:rPr>
                        <w:szCs w:val="21"/>
                      </w:rPr>
                    </w:pPr>
                    <w:r>
                      <w:t>中国铁路财务有限责任公司</w:t>
                    </w:r>
                  </w:p>
                </w:tc>
                <w:tc>
                  <w:tcPr>
                    <w:tcW w:w="1333" w:type="pct"/>
                    <w:shd w:val="clear" w:color="auto" w:fill="auto"/>
                    <w:vAlign w:val="center"/>
                  </w:tcPr>
                  <w:p w:rsidR="00450BC9" w:rsidRPr="005F054D" w:rsidRDefault="00450BC9" w:rsidP="00326B19">
                    <w:pPr>
                      <w:widowControl w:val="0"/>
                      <w:autoSpaceDE w:val="0"/>
                      <w:autoSpaceDN w:val="0"/>
                      <w:adjustRightInd w:val="0"/>
                      <w:rPr>
                        <w:szCs w:val="21"/>
                      </w:rPr>
                    </w:pPr>
                    <w:r>
                      <w:t>最终控股公司之子公司</w:t>
                    </w:r>
                  </w:p>
                </w:tc>
                <w:tc>
                  <w:tcPr>
                    <w:tcW w:w="957" w:type="pct"/>
                    <w:shd w:val="clear" w:color="auto" w:fill="auto"/>
                    <w:vAlign w:val="center"/>
                  </w:tcPr>
                  <w:p w:rsidR="00450BC9" w:rsidRPr="005F054D" w:rsidRDefault="00450BC9" w:rsidP="00326B19">
                    <w:pPr>
                      <w:widowControl w:val="0"/>
                      <w:autoSpaceDE w:val="0"/>
                      <w:autoSpaceDN w:val="0"/>
                      <w:adjustRightInd w:val="0"/>
                      <w:rPr>
                        <w:szCs w:val="21"/>
                      </w:rPr>
                    </w:pPr>
                    <w:r>
                      <w:rPr>
                        <w:rFonts w:hint="eastAsia"/>
                        <w:szCs w:val="21"/>
                      </w:rPr>
                      <w:t>接受委托贷款</w:t>
                    </w:r>
                  </w:p>
                </w:tc>
                <w:tc>
                  <w:tcPr>
                    <w:tcW w:w="791" w:type="pct"/>
                    <w:shd w:val="clear" w:color="auto" w:fill="auto"/>
                    <w:vAlign w:val="center"/>
                  </w:tcPr>
                  <w:p w:rsidR="00450BC9" w:rsidRPr="005F054D" w:rsidRDefault="00940B8E" w:rsidP="00DF5EB8">
                    <w:pPr>
                      <w:widowControl w:val="0"/>
                      <w:autoSpaceDE w:val="0"/>
                      <w:autoSpaceDN w:val="0"/>
                      <w:adjustRightInd w:val="0"/>
                      <w:jc w:val="center"/>
                      <w:rPr>
                        <w:szCs w:val="21"/>
                      </w:rPr>
                    </w:pPr>
                    <w:r>
                      <w:rPr>
                        <w:rFonts w:hint="eastAsia"/>
                        <w:szCs w:val="21"/>
                      </w:rPr>
                      <w:t>不适用</w:t>
                    </w:r>
                  </w:p>
                </w:tc>
                <w:tc>
                  <w:tcPr>
                    <w:tcW w:w="918" w:type="pct"/>
                    <w:shd w:val="clear" w:color="auto" w:fill="auto"/>
                    <w:vAlign w:val="center"/>
                  </w:tcPr>
                  <w:p w:rsidR="00450BC9" w:rsidRPr="005F054D" w:rsidRDefault="00450BC9" w:rsidP="00A94043">
                    <w:pPr>
                      <w:widowControl w:val="0"/>
                      <w:autoSpaceDE w:val="0"/>
                      <w:autoSpaceDN w:val="0"/>
                      <w:adjustRightInd w:val="0"/>
                      <w:jc w:val="right"/>
                      <w:rPr>
                        <w:szCs w:val="21"/>
                      </w:rPr>
                    </w:pPr>
                    <w:r>
                      <w:rPr>
                        <w:szCs w:val="21"/>
                      </w:rPr>
                      <w:t>208,000,000</w:t>
                    </w:r>
                  </w:p>
                </w:tc>
              </w:tr>
            </w:sdtContent>
          </w:sdt>
        </w:tbl>
        <w:p w:rsidR="00806678" w:rsidRDefault="00F80B6C">
          <w:pPr>
            <w:rPr>
              <w:szCs w:val="21"/>
            </w:rPr>
          </w:pPr>
        </w:p>
      </w:sdtContent>
    </w:sdt>
    <w:bookmarkEnd w:id="86" w:displacedByCustomXml="prev"/>
    <w:bookmarkStart w:id="87" w:name="_Hlk41316022" w:displacedByCustomXml="next"/>
    <w:sdt>
      <w:sdtPr>
        <w:rPr>
          <w:rFonts w:ascii="宋体" w:eastAsia="宋体" w:hAnsi="宋体" w:cs="宋体" w:hint="eastAsia"/>
          <w:b w:val="0"/>
          <w:bCs w:val="0"/>
          <w:kern w:val="0"/>
          <w:szCs w:val="24"/>
        </w:rPr>
        <w:alias w:val="模块:其他说明"/>
        <w:tag w:val="_SEC_84a8738de72f4643b004fedfb8ad7253"/>
        <w:id w:val="-2003419410"/>
        <w:lock w:val="sdtLocked"/>
        <w:placeholder>
          <w:docPart w:val="GBC22222222222222222222222222222"/>
        </w:placeholder>
      </w:sdtPr>
      <w:sdtEndPr>
        <w:rPr>
          <w:color w:val="000000" w:themeColor="text1"/>
          <w:szCs w:val="21"/>
        </w:rPr>
      </w:sdtEndPr>
      <w:sdtContent>
        <w:p w:rsidR="00806678" w:rsidRDefault="00B16377" w:rsidP="00FF17C7">
          <w:pPr>
            <w:pStyle w:val="4"/>
            <w:numPr>
              <w:ilvl w:val="0"/>
              <w:numId w:val="128"/>
            </w:numPr>
            <w:ind w:left="425" w:hanging="425"/>
            <w:rPr>
              <w:rFonts w:ascii="宋体" w:hAnsi="宋体" w:cs="宋体"/>
              <w:kern w:val="0"/>
              <w:szCs w:val="24"/>
            </w:rPr>
          </w:pPr>
          <w:r>
            <w:rPr>
              <w:rFonts w:ascii="宋体" w:hAnsi="宋体" w:cs="宋体"/>
              <w:kern w:val="0"/>
              <w:szCs w:val="24"/>
            </w:rPr>
            <w:t>其他说明</w:t>
          </w:r>
        </w:p>
        <w:sdt>
          <w:sdtPr>
            <w:rPr>
              <w:color w:val="000000" w:themeColor="text1"/>
              <w:szCs w:val="21"/>
            </w:rPr>
            <w:alias w:val="是否适用：公司与存在关联关系的财务公司、公司控股财务公司与关联方之间的金融业务的其他说明[双击切换]"/>
            <w:tag w:val="_GBC_ff93404f5d40495f9fc89732d74edc89"/>
            <w:id w:val="1038319280"/>
            <w:lock w:val="sdtLocked"/>
            <w:placeholder>
              <w:docPart w:val="GBC22222222222222222222222222222"/>
            </w:placeholder>
          </w:sdtPr>
          <w:sdtContent>
            <w:p w:rsidR="00806678" w:rsidRDefault="00F80B6C">
              <w:pPr>
                <w:rPr>
                  <w:color w:val="000000" w:themeColor="text1"/>
                  <w:szCs w:val="21"/>
                </w:rPr>
              </w:pPr>
              <w:r>
                <w:rPr>
                  <w:color w:val="000000" w:themeColor="text1"/>
                  <w:szCs w:val="21"/>
                </w:rPr>
                <w:fldChar w:fldCharType="begin"/>
              </w:r>
              <w:r w:rsidR="00F14A3D">
                <w:rPr>
                  <w:color w:val="000000" w:themeColor="text1"/>
                  <w:szCs w:val="21"/>
                </w:rPr>
                <w:instrText xml:space="preserve"> MACROBUTTON  SnrToggleCheckbox □适用 </w:instrText>
              </w:r>
              <w:r>
                <w:rPr>
                  <w:color w:val="000000" w:themeColor="text1"/>
                  <w:szCs w:val="21"/>
                </w:rPr>
                <w:fldChar w:fldCharType="end"/>
              </w:r>
              <w:r>
                <w:rPr>
                  <w:color w:val="000000" w:themeColor="text1"/>
                  <w:szCs w:val="21"/>
                </w:rPr>
                <w:fldChar w:fldCharType="begin"/>
              </w:r>
              <w:r w:rsidR="00F14A3D">
                <w:rPr>
                  <w:color w:val="000000" w:themeColor="text1"/>
                  <w:szCs w:val="21"/>
                </w:rPr>
                <w:instrText xml:space="preserve"> MACROBUTTON  SnrToggleCheckbox √不适用 </w:instrText>
              </w:r>
              <w:r>
                <w:rPr>
                  <w:color w:val="000000" w:themeColor="text1"/>
                  <w:szCs w:val="21"/>
                </w:rPr>
                <w:fldChar w:fldCharType="end"/>
              </w:r>
            </w:p>
          </w:sdtContent>
        </w:sdt>
      </w:sdtContent>
    </w:sdt>
    <w:bookmarkEnd w:id="87" w:displacedByCustomXml="prev"/>
    <w:bookmarkEnd w:id="85" w:displacedByCustomXml="prev"/>
    <w:bookmarkEnd w:id="84" w:displacedByCustomXml="next"/>
    <w:sdt>
      <w:sdtPr>
        <w:rPr>
          <w:rFonts w:ascii="宋体" w:hAnsi="宋体" w:cs="宋体" w:hint="eastAsia"/>
          <w:b w:val="0"/>
          <w:bCs w:val="0"/>
          <w:kern w:val="0"/>
          <w:szCs w:val="21"/>
        </w:rPr>
        <w:alias w:val="模块:其他"/>
        <w:tag w:val="_SEC_fdaa9d4446c44111831efafcc3898613"/>
        <w:id w:val="4640246"/>
        <w:lock w:val="sdtLocked"/>
        <w:placeholder>
          <w:docPart w:val="GBC22222222222222222222222222222"/>
        </w:placeholder>
      </w:sdtPr>
      <w:sdtEndPr>
        <w:rPr>
          <w:rFonts w:hint="default"/>
        </w:rPr>
      </w:sdtEndPr>
      <w:sdtContent>
        <w:p w:rsidR="00806678" w:rsidRDefault="00B16377">
          <w:pPr>
            <w:pStyle w:val="3"/>
            <w:numPr>
              <w:ilvl w:val="2"/>
              <w:numId w:val="2"/>
            </w:numPr>
            <w:rPr>
              <w:szCs w:val="21"/>
            </w:rPr>
          </w:pPr>
          <w:r>
            <w:rPr>
              <w:rFonts w:hint="eastAsia"/>
              <w:szCs w:val="21"/>
            </w:rPr>
            <w:t>其他</w:t>
          </w:r>
        </w:p>
        <w:sdt>
          <w:sdtPr>
            <w:rPr>
              <w:rFonts w:asciiTheme="minorEastAsia" w:eastAsiaTheme="minorEastAsia" w:hAnsiTheme="minorEastAsia" w:hint="eastAsia"/>
              <w:szCs w:val="21"/>
            </w:rPr>
            <w:alias w:val="是否适用：重大关联交易其他说明[双击切换]"/>
            <w:tag w:val="_GBC_49b04883b7a84a83b6a8bfec05cbb445"/>
            <w:id w:val="1411515050"/>
            <w:lock w:val="sdtLocked"/>
            <w:placeholder>
              <w:docPart w:val="GBC22222222222222222222222222222"/>
            </w:placeholder>
          </w:sdtPr>
          <w:sdtContent>
            <w:p w:rsidR="00806678" w:rsidRDefault="00F80B6C">
              <w:pPr>
                <w:rPr>
                  <w:szCs w:val="21"/>
                </w:rPr>
              </w:pPr>
              <w:r>
                <w:rPr>
                  <w:szCs w:val="21"/>
                </w:rPr>
                <w:fldChar w:fldCharType="begin"/>
              </w:r>
              <w:r w:rsidR="00445875">
                <w:rPr>
                  <w:szCs w:val="21"/>
                </w:rPr>
                <w:instrText xml:space="preserve"> MACROBUTTON  SnrToggleCheckbox □适用  </w:instrText>
              </w:r>
              <w:r>
                <w:rPr>
                  <w:szCs w:val="21"/>
                </w:rPr>
                <w:fldChar w:fldCharType="end"/>
              </w:r>
              <w:r>
                <w:rPr>
                  <w:szCs w:val="21"/>
                </w:rPr>
                <w:fldChar w:fldCharType="begin"/>
              </w:r>
              <w:r w:rsidR="00445875">
                <w:rPr>
                  <w:szCs w:val="21"/>
                </w:rPr>
                <w:instrText xml:space="preserve"> MACROBUTTON  SnrToggleCheckbox √不适用 </w:instrText>
              </w:r>
              <w:r>
                <w:rPr>
                  <w:szCs w:val="21"/>
                </w:rPr>
                <w:fldChar w:fldCharType="end"/>
              </w:r>
            </w:p>
          </w:sdtContent>
        </w:sdt>
      </w:sdtContent>
    </w:sdt>
    <w:p w:rsidR="00806678" w:rsidRDefault="00B16377">
      <w:pPr>
        <w:pStyle w:val="2"/>
        <w:numPr>
          <w:ilvl w:val="0"/>
          <w:numId w:val="9"/>
        </w:numPr>
      </w:pPr>
      <w:r>
        <w:rPr>
          <w:rFonts w:hint="eastAsia"/>
        </w:rPr>
        <w:t>重大合同及其履行情况</w:t>
      </w:r>
    </w:p>
    <w:p w:rsidR="00806678" w:rsidRDefault="00B16377" w:rsidP="00FF17C7">
      <w:pPr>
        <w:pStyle w:val="3"/>
        <w:numPr>
          <w:ilvl w:val="0"/>
          <w:numId w:val="24"/>
        </w:numPr>
        <w:rPr>
          <w:szCs w:val="21"/>
        </w:rPr>
      </w:pPr>
      <w:r>
        <w:rPr>
          <w:szCs w:val="21"/>
        </w:rPr>
        <w:t>托管、承包、租赁事项</w:t>
      </w:r>
    </w:p>
    <w:sdt>
      <w:sdtPr>
        <w:rPr>
          <w:rFonts w:ascii="Calibri" w:eastAsia="宋体" w:hAnsi="Calibri" w:cs="宋体" w:hint="eastAsia"/>
          <w:b w:val="0"/>
          <w:bCs w:val="0"/>
          <w:kern w:val="0"/>
          <w:sz w:val="24"/>
          <w:szCs w:val="24"/>
        </w:rPr>
        <w:alias w:val="模块:托管情况"/>
        <w:tag w:val="_SEC_0543ebbac7a94a11b10d8648f7254d13"/>
        <w:id w:val="1506786"/>
        <w:lock w:val="sdtLocked"/>
        <w:placeholder>
          <w:docPart w:val="GBC22222222222222222222222222222"/>
        </w:placeholder>
      </w:sdtPr>
      <w:sdtEndPr>
        <w:rPr>
          <w:rFonts w:ascii="宋体" w:hAnsi="宋体"/>
          <w:sz w:val="21"/>
          <w:szCs w:val="21"/>
          <w:shd w:val="pct15" w:color="auto" w:fill="FFFFFF"/>
        </w:rPr>
      </w:sdtEndPr>
      <w:sdtContent>
        <w:p w:rsidR="00806678" w:rsidRDefault="00B16377" w:rsidP="00FF17C7">
          <w:pPr>
            <w:pStyle w:val="4"/>
            <w:numPr>
              <w:ilvl w:val="0"/>
              <w:numId w:val="25"/>
            </w:numPr>
          </w:pPr>
          <w:r>
            <w:rPr>
              <w:rFonts w:hint="eastAsia"/>
            </w:rPr>
            <w:t>托管情况</w:t>
          </w:r>
        </w:p>
        <w:sdt>
          <w:sdtPr>
            <w:alias w:val="是否适用：托管情况[双击切换]"/>
            <w:tag w:val="_GBC_f528f5eedb9346f6b0fbdbe3967882e7"/>
            <w:id w:val="4640270"/>
            <w:lock w:val="sdtLocked"/>
            <w:placeholder>
              <w:docPart w:val="GBC22222222222222222222222222222"/>
            </w:placeholder>
          </w:sdtPr>
          <w:sdtContent>
            <w:p w:rsidR="00806678" w:rsidRPr="00544AB8" w:rsidRDefault="00F80B6C">
              <w:r>
                <w:fldChar w:fldCharType="begin"/>
              </w:r>
              <w:r w:rsidR="00544AB8">
                <w:instrText xml:space="preserve">MACROBUTTON  SnrToggleCheckbox □适用 </w:instrText>
              </w:r>
              <w:r>
                <w:fldChar w:fldCharType="end"/>
              </w:r>
              <w:r>
                <w:fldChar w:fldCharType="begin"/>
              </w:r>
              <w:r w:rsidR="00544AB8">
                <w:instrText xml:space="preserve"> MACROBUTTON  SnrToggleCheckbox √不适用 </w:instrText>
              </w:r>
              <w:r>
                <w:fldChar w:fldCharType="end"/>
              </w:r>
            </w:p>
          </w:sdtContent>
        </w:sdt>
      </w:sdtContent>
    </w:sdt>
    <w:sdt>
      <w:sdtPr>
        <w:rPr>
          <w:rFonts w:ascii="Calibri" w:eastAsia="宋体" w:hAnsi="Calibri" w:cs="宋体"/>
          <w:b w:val="0"/>
          <w:bCs w:val="0"/>
          <w:kern w:val="0"/>
          <w:sz w:val="24"/>
          <w:szCs w:val="24"/>
        </w:rPr>
        <w:alias w:val="模块:承包情况                         ..."/>
        <w:tag w:val="_SEC_d3e1b22be78242a687413a4836e3009d"/>
        <w:id w:val="1507256"/>
        <w:lock w:val="sdtLocked"/>
        <w:placeholder>
          <w:docPart w:val="GBC22222222222222222222222222222"/>
        </w:placeholder>
      </w:sdtPr>
      <w:sdtEndPr>
        <w:rPr>
          <w:rFonts w:ascii="宋体" w:hAnsi="宋体" w:hint="eastAsia"/>
          <w:sz w:val="21"/>
          <w:szCs w:val="21"/>
          <w:shd w:val="pct15" w:color="auto" w:fill="FFFFFF"/>
        </w:rPr>
      </w:sdtEndPr>
      <w:sdtContent>
        <w:p w:rsidR="00806678" w:rsidRDefault="00B16377" w:rsidP="00FF17C7">
          <w:pPr>
            <w:pStyle w:val="4"/>
            <w:numPr>
              <w:ilvl w:val="0"/>
              <w:numId w:val="25"/>
            </w:numPr>
          </w:pPr>
          <w:r>
            <w:t>承包情况</w:t>
          </w:r>
        </w:p>
        <w:sdt>
          <w:sdtPr>
            <w:alias w:val="是否适用：承包情况[双击切换]"/>
            <w:tag w:val="_GBC_ef45025eb2d84c78907511abec2bd222"/>
            <w:id w:val="4640296"/>
            <w:lock w:val="sdtLocked"/>
            <w:placeholder>
              <w:docPart w:val="GBC22222222222222222222222222222"/>
            </w:placeholder>
          </w:sdtPr>
          <w:sdtContent>
            <w:p w:rsidR="00806678" w:rsidRPr="00544AB8" w:rsidRDefault="00F80B6C">
              <w:pPr>
                <w:rPr>
                  <w:szCs w:val="21"/>
                </w:rPr>
              </w:pPr>
              <w:r>
                <w:fldChar w:fldCharType="begin"/>
              </w:r>
              <w:r w:rsidR="00544AB8">
                <w:instrText xml:space="preserve">MACROBUTTON  SnrToggleCheckbox □适用 </w:instrText>
              </w:r>
              <w:r>
                <w:fldChar w:fldCharType="end"/>
              </w:r>
              <w:r>
                <w:fldChar w:fldCharType="begin"/>
              </w:r>
              <w:r w:rsidR="00544AB8">
                <w:instrText xml:space="preserve"> MACROBUTTON  SnrToggleCheckbox √不适用 </w:instrText>
              </w:r>
              <w:r>
                <w:fldChar w:fldCharType="end"/>
              </w:r>
            </w:p>
          </w:sdtContent>
        </w:sdt>
      </w:sdtContent>
    </w:sdt>
    <w:sdt>
      <w:sdtPr>
        <w:rPr>
          <w:rFonts w:ascii="Calibri" w:eastAsia="宋体" w:hAnsi="Calibri" w:cs="宋体"/>
          <w:b w:val="0"/>
          <w:bCs w:val="0"/>
          <w:kern w:val="0"/>
          <w:sz w:val="24"/>
          <w:szCs w:val="24"/>
        </w:rPr>
        <w:alias w:val="模块:租赁情况                         ..."/>
        <w:tag w:val="_SEC_7309f241ae4444d2a7c93aa358e3eb6f"/>
        <w:id w:val="1507616"/>
        <w:lock w:val="sdtLocked"/>
        <w:placeholder>
          <w:docPart w:val="GBC22222222222222222222222222222"/>
        </w:placeholder>
      </w:sdtPr>
      <w:sdtEndPr>
        <w:rPr>
          <w:rFonts w:ascii="宋体" w:hAnsi="宋体" w:hint="eastAsia"/>
          <w:sz w:val="21"/>
          <w:szCs w:val="21"/>
          <w:shd w:val="pct15" w:color="auto" w:fill="FFFFFF"/>
        </w:rPr>
      </w:sdtEndPr>
      <w:sdtContent>
        <w:p w:rsidR="00806678" w:rsidRDefault="00B16377" w:rsidP="00FF17C7">
          <w:pPr>
            <w:pStyle w:val="4"/>
            <w:numPr>
              <w:ilvl w:val="0"/>
              <w:numId w:val="25"/>
            </w:numPr>
          </w:pPr>
          <w:r>
            <w:t>租赁情况</w:t>
          </w:r>
        </w:p>
        <w:sdt>
          <w:sdtPr>
            <w:alias w:val="是否适用：租赁情况[双击切换]"/>
            <w:tag w:val="_GBC_c1d0d78a63af4d48a7427277c2db3ac5"/>
            <w:id w:val="4640322"/>
            <w:lock w:val="sdtLocked"/>
            <w:placeholder>
              <w:docPart w:val="GBC22222222222222222222222222222"/>
            </w:placeholder>
          </w:sdtPr>
          <w:sdtContent>
            <w:p w:rsidR="00806678" w:rsidRPr="003C2965" w:rsidRDefault="00F80B6C">
              <w:r>
                <w:fldChar w:fldCharType="begin"/>
              </w:r>
              <w:r w:rsidR="00544AB8">
                <w:instrText xml:space="preserve">MACROBUTTON  SnrToggleCheckbox □适用 </w:instrText>
              </w:r>
              <w:r>
                <w:fldChar w:fldCharType="end"/>
              </w:r>
              <w:r>
                <w:fldChar w:fldCharType="begin"/>
              </w:r>
              <w:r w:rsidR="00544AB8">
                <w:instrText xml:space="preserve"> MACROBUTTON  SnrToggleCheckbox √不适用 </w:instrText>
              </w:r>
              <w:r>
                <w:fldChar w:fldCharType="end"/>
              </w:r>
            </w:p>
          </w:sdtContent>
        </w:sdt>
      </w:sdtContent>
    </w:sdt>
    <w:p w:rsidR="00806678" w:rsidRDefault="00B16377" w:rsidP="00FF17C7">
      <w:pPr>
        <w:pStyle w:val="3"/>
        <w:numPr>
          <w:ilvl w:val="0"/>
          <w:numId w:val="24"/>
        </w:numPr>
        <w:rPr>
          <w:szCs w:val="21"/>
        </w:rPr>
      </w:pPr>
      <w:bookmarkStart w:id="88" w:name="_Toc342565974"/>
      <w:bookmarkStart w:id="89" w:name="_Toc342491982"/>
      <w:bookmarkStart w:id="90" w:name="OLE_LINK2"/>
      <w:bookmarkStart w:id="91" w:name="OLE_LINK3"/>
      <w:r>
        <w:rPr>
          <w:rFonts w:hint="eastAsia"/>
          <w:szCs w:val="21"/>
        </w:rPr>
        <w:t>担保情况</w:t>
      </w:r>
      <w:bookmarkEnd w:id="88"/>
      <w:bookmarkEnd w:id="89"/>
    </w:p>
    <w:bookmarkEnd w:id="91" w:displacedByCustomXml="next"/>
    <w:bookmarkEnd w:id="90" w:displacedByCustomXml="next"/>
    <w:sdt>
      <w:sdtPr>
        <w:rPr>
          <w:szCs w:val="21"/>
        </w:rPr>
        <w:alias w:val="是否适用：担保情况[双击切换]"/>
        <w:tag w:val="_GBC_b799a3ac65f846e088fcfb2dd2591ede"/>
        <w:id w:val="18561293"/>
        <w:lock w:val="sdtLocked"/>
        <w:placeholder>
          <w:docPart w:val="GBC22222222222222222222222222222"/>
        </w:placeholder>
      </w:sdtPr>
      <w:sdtContent>
        <w:p w:rsidR="00544AB8" w:rsidRDefault="00F80B6C" w:rsidP="00544AB8">
          <w:pPr>
            <w:rPr>
              <w:rFonts w:asciiTheme="minorEastAsia" w:eastAsiaTheme="minorEastAsia" w:hAnsiTheme="minorEastAsia"/>
              <w:szCs w:val="21"/>
            </w:rPr>
          </w:pPr>
          <w:r>
            <w:rPr>
              <w:szCs w:val="21"/>
            </w:rPr>
            <w:fldChar w:fldCharType="begin"/>
          </w:r>
          <w:r w:rsidR="00544AB8">
            <w:rPr>
              <w:szCs w:val="21"/>
            </w:rPr>
            <w:instrText xml:space="preserve">MACROBUTTON  SnrToggleCheckbox □适用 </w:instrText>
          </w:r>
          <w:r>
            <w:rPr>
              <w:szCs w:val="21"/>
            </w:rPr>
            <w:fldChar w:fldCharType="end"/>
          </w:r>
          <w:r>
            <w:rPr>
              <w:szCs w:val="21"/>
            </w:rPr>
            <w:fldChar w:fldCharType="begin"/>
          </w:r>
          <w:r w:rsidR="00544AB8">
            <w:rPr>
              <w:szCs w:val="21"/>
            </w:rPr>
            <w:instrText xml:space="preserve"> MACROBUTTON  SnrToggleCheckbox √不适用 </w:instrText>
          </w:r>
          <w:r>
            <w:rPr>
              <w:szCs w:val="21"/>
            </w:rPr>
            <w:fldChar w:fldCharType="end"/>
          </w:r>
        </w:p>
      </w:sdtContent>
    </w:sdt>
    <w:p w:rsidR="00806678" w:rsidRDefault="00B16377" w:rsidP="00FF17C7">
      <w:pPr>
        <w:pStyle w:val="3"/>
        <w:numPr>
          <w:ilvl w:val="0"/>
          <w:numId w:val="24"/>
        </w:numPr>
        <w:rPr>
          <w:szCs w:val="21"/>
        </w:rPr>
      </w:pPr>
      <w:r>
        <w:rPr>
          <w:rFonts w:hint="eastAsia"/>
          <w:szCs w:val="21"/>
        </w:rPr>
        <w:t>委托他人进行现金资产管理的情况</w:t>
      </w:r>
    </w:p>
    <w:p w:rsidR="00806678" w:rsidRDefault="00B16377" w:rsidP="00FF17C7">
      <w:pPr>
        <w:pStyle w:val="4"/>
        <w:numPr>
          <w:ilvl w:val="0"/>
          <w:numId w:val="68"/>
        </w:numPr>
      </w:pPr>
      <w:r>
        <w:rPr>
          <w:rFonts w:hint="eastAsia"/>
        </w:rPr>
        <w:t>委托理财情况</w:t>
      </w:r>
    </w:p>
    <w:sdt>
      <w:sdtPr>
        <w:rPr>
          <w:rFonts w:ascii="宋体" w:hAnsi="宋体" w:cs="宋体"/>
          <w:b w:val="0"/>
          <w:bCs w:val="0"/>
          <w:kern w:val="0"/>
          <w:szCs w:val="24"/>
        </w:rPr>
        <w:alias w:val="模块:委托理财总体情况"/>
        <w:tag w:val="_SEC_1e15b8524c82495dad9c5426489ba6b9"/>
        <w:id w:val="-898818438"/>
        <w:lock w:val="sdtLocked"/>
        <w:placeholder>
          <w:docPart w:val="GBC22222222222222222222222222222"/>
        </w:placeholder>
      </w:sdtPr>
      <w:sdtEndPr>
        <w:rPr>
          <w:rFonts w:hint="eastAsia"/>
        </w:rPr>
      </w:sdtEndPr>
      <w:sdtContent>
        <w:p w:rsidR="00806678" w:rsidRDefault="00B16377" w:rsidP="00FF17C7">
          <w:pPr>
            <w:pStyle w:val="5"/>
            <w:numPr>
              <w:ilvl w:val="0"/>
              <w:numId w:val="69"/>
            </w:numPr>
          </w:pPr>
          <w:r>
            <w:t>委托理财总体情况</w:t>
          </w:r>
        </w:p>
        <w:sdt>
          <w:sdtPr>
            <w:rPr>
              <w:rFonts w:hint="eastAsia"/>
            </w:rPr>
            <w:alias w:val="是否适用：委托理财总体情况[双击切换]"/>
            <w:tag w:val="_GBC_939edce711f74cc3bede852019388a3e"/>
            <w:id w:val="-531029669"/>
            <w:lock w:val="sdtLocked"/>
            <w:placeholder>
              <w:docPart w:val="GBC22222222222222222222222222222"/>
            </w:placeholder>
          </w:sdtPr>
          <w:sdtContent>
            <w:p w:rsidR="00806678" w:rsidRDefault="00F80B6C" w:rsidP="00544AB8">
              <w:r>
                <w:fldChar w:fldCharType="begin"/>
              </w:r>
              <w:r w:rsidR="00544AB8">
                <w:instrText xml:space="preserve"> MACROBUTTON  SnrToggleCheckbox □适用  </w:instrText>
              </w:r>
              <w:r>
                <w:fldChar w:fldCharType="end"/>
              </w:r>
              <w:r>
                <w:fldChar w:fldCharType="begin"/>
              </w:r>
              <w:r w:rsidR="00544AB8">
                <w:instrText xml:space="preserve"> MACROBUTTON  SnrToggleCheckbox √不适用 </w:instrText>
              </w:r>
              <w:r>
                <w:fldChar w:fldCharType="end"/>
              </w:r>
            </w:p>
          </w:sdtContent>
        </w:sdt>
      </w:sdtContent>
    </w:sdt>
    <w:sdt>
      <w:sdtPr>
        <w:rPr>
          <w:rFonts w:hint="eastAsia"/>
        </w:rPr>
        <w:alias w:val="模块:委托理财总体其他情况"/>
        <w:tag w:val="_SEC_c74546ff2eb54c40a95f3d7a5ec247ac"/>
        <w:id w:val="-2056687000"/>
        <w:lock w:val="sdtLocked"/>
        <w:placeholder>
          <w:docPart w:val="GBC22222222222222222222222222222"/>
        </w:placeholder>
      </w:sdtPr>
      <w:sdtContent>
        <w:p w:rsidR="00806678" w:rsidRDefault="00B16377">
          <w:pPr>
            <w:rPr>
              <w:b/>
            </w:rPr>
          </w:pPr>
          <w:r>
            <w:rPr>
              <w:rFonts w:hint="eastAsia"/>
              <w:b/>
            </w:rPr>
            <w:t>其他情况</w:t>
          </w:r>
        </w:p>
        <w:sdt>
          <w:sdtPr>
            <w:rPr>
              <w:rFonts w:hint="eastAsia"/>
            </w:rPr>
            <w:alias w:val="是否适用：委托理财总体其他情况[双击切换]"/>
            <w:tag w:val="_GBC_4fb72032e5bd4642bf5eb2d83d5ca874"/>
            <w:id w:val="376058630"/>
            <w:lock w:val="sdtLocked"/>
            <w:placeholder>
              <w:docPart w:val="GBC22222222222222222222222222222"/>
            </w:placeholder>
          </w:sdtPr>
          <w:sdtContent>
            <w:p w:rsidR="00806678" w:rsidRDefault="00F80B6C">
              <w:r>
                <w:fldChar w:fldCharType="begin"/>
              </w:r>
              <w:r w:rsidR="00544AB8">
                <w:instrText xml:space="preserve"> MACROBUTTON  SnrToggleCheckbox □适用  </w:instrText>
              </w:r>
              <w:r>
                <w:fldChar w:fldCharType="end"/>
              </w:r>
              <w:r>
                <w:fldChar w:fldCharType="begin"/>
              </w:r>
              <w:r w:rsidR="00544AB8">
                <w:instrText xml:space="preserve"> MACROBUTTON  SnrToggleCheckbox √不适用 </w:instrText>
              </w:r>
              <w:r>
                <w:fldChar w:fldCharType="end"/>
              </w:r>
            </w:p>
          </w:sdtContent>
        </w:sdt>
      </w:sdtContent>
    </w:sdt>
    <w:sdt>
      <w:sdtPr>
        <w:rPr>
          <w:rFonts w:ascii="宋体" w:hAnsi="宋体" w:cs="宋体"/>
          <w:b w:val="0"/>
          <w:bCs w:val="0"/>
          <w:kern w:val="0"/>
          <w:szCs w:val="24"/>
        </w:rPr>
        <w:alias w:val="模块:单项委托理财情况"/>
        <w:tag w:val="_SEC_b54bd17bb0da4771a60d17a9a56131e4"/>
        <w:id w:val="878448862"/>
        <w:lock w:val="sdtLocked"/>
        <w:placeholder>
          <w:docPart w:val="GBC22222222222222222222222222222"/>
        </w:placeholder>
      </w:sdtPr>
      <w:sdtEndPr>
        <w:rPr>
          <w:rFonts w:hint="eastAsia"/>
        </w:rPr>
      </w:sdtEndPr>
      <w:sdtContent>
        <w:p w:rsidR="00806678" w:rsidRDefault="00B16377" w:rsidP="00FF17C7">
          <w:pPr>
            <w:pStyle w:val="5"/>
            <w:numPr>
              <w:ilvl w:val="0"/>
              <w:numId w:val="69"/>
            </w:numPr>
          </w:pPr>
          <w:r>
            <w:t>单项委托理财情况</w:t>
          </w:r>
        </w:p>
        <w:sdt>
          <w:sdtPr>
            <w:rPr>
              <w:rFonts w:hint="eastAsia"/>
            </w:rPr>
            <w:alias w:val="是否适用：单项委托理财情况[双击切换]"/>
            <w:tag w:val="_GBC_049960b74e79480d8781c2d7d6a997dc"/>
            <w:id w:val="-2102242602"/>
            <w:lock w:val="sdtLocked"/>
            <w:placeholder>
              <w:docPart w:val="GBC22222222222222222222222222222"/>
            </w:placeholder>
          </w:sdtPr>
          <w:sdtContent>
            <w:p w:rsidR="00806678" w:rsidRDefault="00F80B6C" w:rsidP="00544AB8">
              <w:r>
                <w:fldChar w:fldCharType="begin"/>
              </w:r>
              <w:r w:rsidR="00544AB8">
                <w:instrText xml:space="preserve"> MACROBUTTON  SnrToggleCheckbox □适用  </w:instrText>
              </w:r>
              <w:r>
                <w:fldChar w:fldCharType="end"/>
              </w:r>
              <w:r>
                <w:fldChar w:fldCharType="begin"/>
              </w:r>
              <w:r w:rsidR="00544AB8">
                <w:instrText xml:space="preserve"> MACROBUTTON  SnrToggleCheckbox √不适用 </w:instrText>
              </w:r>
              <w:r>
                <w:fldChar w:fldCharType="end"/>
              </w:r>
            </w:p>
          </w:sdtContent>
        </w:sdt>
      </w:sdtContent>
    </w:sdt>
    <w:sdt>
      <w:sdtPr>
        <w:rPr>
          <w:rFonts w:cs="Times New Roman" w:hint="eastAsia"/>
          <w:kern w:val="2"/>
          <w:szCs w:val="21"/>
        </w:rPr>
        <w:alias w:val="模块:单项委托理财其他情况"/>
        <w:tag w:val="_SEC_758c95ca546e4d8d9735adf2c606a653"/>
        <w:id w:val="-1551140160"/>
        <w:lock w:val="sdtLocked"/>
        <w:placeholder>
          <w:docPart w:val="GBC22222222222222222222222222222"/>
        </w:placeholder>
      </w:sdtPr>
      <w:sdtContent>
        <w:p w:rsidR="00806678" w:rsidRDefault="00B16377">
          <w:pPr>
            <w:rPr>
              <w:b/>
            </w:rPr>
          </w:pPr>
          <w:r>
            <w:rPr>
              <w:rFonts w:hint="eastAsia"/>
              <w:b/>
            </w:rPr>
            <w:t>其他情况</w:t>
          </w:r>
        </w:p>
        <w:sdt>
          <w:sdtPr>
            <w:rPr>
              <w:rFonts w:hint="eastAsia"/>
            </w:rPr>
            <w:alias w:val="是否适用：单项委托理财其他情况[双击切换]"/>
            <w:tag w:val="_GBC_627c77e5ab674442a3b768741f653602"/>
            <w:id w:val="824942527"/>
            <w:lock w:val="sdtLocked"/>
            <w:placeholder>
              <w:docPart w:val="GBC22222222222222222222222222222"/>
            </w:placeholder>
          </w:sdtPr>
          <w:sdtContent>
            <w:p w:rsidR="00806678" w:rsidRDefault="00F80B6C">
              <w:r>
                <w:fldChar w:fldCharType="begin"/>
              </w:r>
              <w:r w:rsidR="00544AB8">
                <w:instrText xml:space="preserve"> MACROBUTTON  SnrToggleCheckbox □适用  </w:instrText>
              </w:r>
              <w:r>
                <w:fldChar w:fldCharType="end"/>
              </w:r>
              <w:r>
                <w:fldChar w:fldCharType="begin"/>
              </w:r>
              <w:r w:rsidR="00544AB8">
                <w:instrText xml:space="preserve"> MACROBUTTON  SnrToggleCheckbox √不适用 </w:instrText>
              </w:r>
              <w:r>
                <w:fldChar w:fldCharType="end"/>
              </w:r>
            </w:p>
          </w:sdtContent>
        </w:sdt>
      </w:sdtContent>
    </w:sdt>
    <w:sdt>
      <w:sdtPr>
        <w:rPr>
          <w:rFonts w:ascii="宋体" w:hAnsi="宋体" w:cs="宋体"/>
          <w:b w:val="0"/>
          <w:bCs w:val="0"/>
          <w:kern w:val="0"/>
          <w:szCs w:val="24"/>
        </w:rPr>
        <w:alias w:val="模块:委托理财减值准备"/>
        <w:tag w:val="_SEC_7452a82862434316834423d06c71379a"/>
        <w:id w:val="-305003534"/>
        <w:lock w:val="sdtLocked"/>
        <w:placeholder>
          <w:docPart w:val="GBC22222222222222222222222222222"/>
        </w:placeholder>
      </w:sdtPr>
      <w:sdtEndPr>
        <w:rPr>
          <w:rFonts w:hint="eastAsia"/>
        </w:rPr>
      </w:sdtEndPr>
      <w:sdtContent>
        <w:p w:rsidR="00806678" w:rsidRDefault="00B16377" w:rsidP="00FF17C7">
          <w:pPr>
            <w:pStyle w:val="5"/>
            <w:numPr>
              <w:ilvl w:val="0"/>
              <w:numId w:val="69"/>
            </w:numPr>
          </w:pPr>
          <w:r>
            <w:t>委托理财减值准备</w:t>
          </w:r>
        </w:p>
        <w:sdt>
          <w:sdtPr>
            <w:rPr>
              <w:rFonts w:hint="eastAsia"/>
            </w:rPr>
            <w:alias w:val="是否适用：委托理财减值准备[双击切换]"/>
            <w:tag w:val="_GBC_8db4f6600a6746739610ffaaa34abeac"/>
            <w:id w:val="1913959601"/>
            <w:lock w:val="sdtLocked"/>
            <w:placeholder>
              <w:docPart w:val="GBC22222222222222222222222222222"/>
            </w:placeholder>
          </w:sdtPr>
          <w:sdtContent>
            <w:p w:rsidR="00806678" w:rsidRDefault="00F80B6C">
              <w:r>
                <w:fldChar w:fldCharType="begin"/>
              </w:r>
              <w:r w:rsidR="00544AB8">
                <w:instrText xml:space="preserve"> MACROBUTTON  SnrToggleCheckbox □适用  </w:instrText>
              </w:r>
              <w:r>
                <w:fldChar w:fldCharType="end"/>
              </w:r>
              <w:r>
                <w:fldChar w:fldCharType="begin"/>
              </w:r>
              <w:r w:rsidR="00544AB8">
                <w:instrText xml:space="preserve"> MACROBUTTON  SnrToggleCheckbox √不适用 </w:instrText>
              </w:r>
              <w:r>
                <w:fldChar w:fldCharType="end"/>
              </w:r>
            </w:p>
          </w:sdtContent>
        </w:sdt>
      </w:sdtContent>
    </w:sdt>
    <w:p w:rsidR="00806678" w:rsidRDefault="00B16377" w:rsidP="00FF17C7">
      <w:pPr>
        <w:pStyle w:val="4"/>
        <w:numPr>
          <w:ilvl w:val="0"/>
          <w:numId w:val="68"/>
        </w:numPr>
      </w:pPr>
      <w:r>
        <w:t>委托贷款情况</w:t>
      </w:r>
    </w:p>
    <w:sdt>
      <w:sdtPr>
        <w:rPr>
          <w:rFonts w:ascii="宋体" w:hAnsi="宋体" w:cs="宋体"/>
          <w:b w:val="0"/>
          <w:bCs w:val="0"/>
          <w:kern w:val="0"/>
          <w:szCs w:val="24"/>
        </w:rPr>
        <w:alias w:val="模块:委托贷款总体情况"/>
        <w:tag w:val="_SEC_9a8143f870bc4e57b202f414052a0b80"/>
        <w:id w:val="-311564644"/>
        <w:lock w:val="sdtLocked"/>
        <w:placeholder>
          <w:docPart w:val="GBC22222222222222222222222222222"/>
        </w:placeholder>
      </w:sdtPr>
      <w:sdtEndPr>
        <w:rPr>
          <w:rFonts w:hint="eastAsia"/>
        </w:rPr>
      </w:sdtEndPr>
      <w:sdtContent>
        <w:p w:rsidR="00806678" w:rsidRDefault="00B16377" w:rsidP="00FF17C7">
          <w:pPr>
            <w:pStyle w:val="5"/>
            <w:numPr>
              <w:ilvl w:val="0"/>
              <w:numId w:val="70"/>
            </w:numPr>
          </w:pPr>
          <w:r>
            <w:t>委托贷款总体情况</w:t>
          </w:r>
        </w:p>
        <w:sdt>
          <w:sdtPr>
            <w:rPr>
              <w:rFonts w:hint="eastAsia"/>
            </w:rPr>
            <w:alias w:val="是否适用：委托贷款总体情况[双击切换]"/>
            <w:tag w:val="_GBC_6f663504a9e74d5c978e23554b4b84e4"/>
            <w:id w:val="-224606710"/>
            <w:lock w:val="sdtLocked"/>
            <w:placeholder>
              <w:docPart w:val="GBC22222222222222222222222222222"/>
            </w:placeholder>
          </w:sdtPr>
          <w:sdtContent>
            <w:p w:rsidR="00806678" w:rsidRDefault="00F80B6C" w:rsidP="00882575">
              <w:r>
                <w:fldChar w:fldCharType="begin"/>
              </w:r>
              <w:r w:rsidR="00882575">
                <w:instrText xml:space="preserve"> MACROBUTTON  SnrToggleCheckbox □适用  </w:instrText>
              </w:r>
              <w:r>
                <w:fldChar w:fldCharType="end"/>
              </w:r>
              <w:r>
                <w:fldChar w:fldCharType="begin"/>
              </w:r>
              <w:r w:rsidR="00882575">
                <w:instrText xml:space="preserve"> MACROBUTTON  SnrToggleCheckbox √不适用 </w:instrText>
              </w:r>
              <w:r>
                <w:fldChar w:fldCharType="end"/>
              </w:r>
            </w:p>
          </w:sdtContent>
        </w:sdt>
      </w:sdtContent>
    </w:sdt>
    <w:sdt>
      <w:sdtPr>
        <w:rPr>
          <w:rFonts w:hint="eastAsia"/>
        </w:rPr>
        <w:alias w:val="模块:委托贷款总体其他情况"/>
        <w:tag w:val="_SEC_34e1ed3df0e1441ebcf87d7eb2c64ec3"/>
        <w:id w:val="-365763482"/>
        <w:lock w:val="sdtLocked"/>
        <w:placeholder>
          <w:docPart w:val="GBC22222222222222222222222222222"/>
        </w:placeholder>
      </w:sdtPr>
      <w:sdtContent>
        <w:p w:rsidR="00806678" w:rsidRDefault="00B16377">
          <w:pPr>
            <w:rPr>
              <w:b/>
            </w:rPr>
          </w:pPr>
          <w:r>
            <w:rPr>
              <w:rFonts w:hint="eastAsia"/>
              <w:b/>
            </w:rPr>
            <w:t>其他情况</w:t>
          </w:r>
        </w:p>
        <w:sdt>
          <w:sdtPr>
            <w:rPr>
              <w:rFonts w:hint="eastAsia"/>
            </w:rPr>
            <w:alias w:val="是否适用：委托贷款总体其他情况[双击切换]"/>
            <w:tag w:val="_GBC_a071e3ce40374c6bb1b2f2dc2158413e"/>
            <w:id w:val="474572591"/>
            <w:lock w:val="sdtLocked"/>
            <w:placeholder>
              <w:docPart w:val="GBC22222222222222222222222222222"/>
            </w:placeholder>
          </w:sdtPr>
          <w:sdtContent>
            <w:p w:rsidR="00806678" w:rsidRDefault="00F80B6C" w:rsidP="00BE3718">
              <w:r>
                <w:fldChar w:fldCharType="begin"/>
              </w:r>
              <w:r w:rsidR="00BE3718">
                <w:instrText xml:space="preserve"> MACROBUTTON  SnrToggleCheckbox □适用  </w:instrText>
              </w:r>
              <w:r>
                <w:fldChar w:fldCharType="end"/>
              </w:r>
              <w:r>
                <w:fldChar w:fldCharType="begin"/>
              </w:r>
              <w:r w:rsidR="00BE3718">
                <w:instrText xml:space="preserve"> MACROBUTTON  SnrToggleCheckbox √不适用 </w:instrText>
              </w:r>
              <w:r>
                <w:fldChar w:fldCharType="end"/>
              </w:r>
            </w:p>
          </w:sdtContent>
        </w:sdt>
        <w:bookmarkStart w:id="92" w:name="_Hlk132663635" w:displacedByCustomXml="next"/>
      </w:sdtContent>
    </w:sdt>
    <w:bookmarkEnd w:id="92" w:displacedByCustomXml="prev"/>
    <w:sdt>
      <w:sdtPr>
        <w:rPr>
          <w:rFonts w:ascii="宋体" w:hAnsi="宋体" w:cs="宋体"/>
          <w:b w:val="0"/>
          <w:bCs w:val="0"/>
          <w:kern w:val="0"/>
          <w:szCs w:val="24"/>
        </w:rPr>
        <w:alias w:val="模块:单项委托贷款情况"/>
        <w:tag w:val="_SEC_b6646f10bd22442798f985fd4ebdd061"/>
        <w:id w:val="-245578558"/>
        <w:lock w:val="sdtLocked"/>
        <w:placeholder>
          <w:docPart w:val="GBC22222222222222222222222222222"/>
        </w:placeholder>
      </w:sdtPr>
      <w:sdtEndPr>
        <w:rPr>
          <w:rFonts w:hint="eastAsia"/>
          <w:sz w:val="14"/>
          <w:szCs w:val="14"/>
        </w:rPr>
      </w:sdtEndPr>
      <w:sdtContent>
        <w:p w:rsidR="00806678" w:rsidRDefault="00B16377" w:rsidP="00FF17C7">
          <w:pPr>
            <w:pStyle w:val="5"/>
            <w:numPr>
              <w:ilvl w:val="0"/>
              <w:numId w:val="70"/>
            </w:numPr>
          </w:pPr>
          <w:r>
            <w:t>单项委托贷款情况</w:t>
          </w:r>
        </w:p>
        <w:sdt>
          <w:sdtPr>
            <w:rPr>
              <w:rFonts w:hint="eastAsia"/>
            </w:rPr>
            <w:alias w:val="是否适用：单项委托贷款情况[双击切换]"/>
            <w:tag w:val="_GBC_30b7c4837f704dff80c05190f23d6f3e"/>
            <w:id w:val="-1967197506"/>
            <w:lock w:val="sdtLocked"/>
            <w:placeholder>
              <w:docPart w:val="GBC22222222222222222222222222222"/>
            </w:placeholder>
          </w:sdtPr>
          <w:sdtContent>
            <w:p w:rsidR="00806678" w:rsidRPr="0009231C" w:rsidRDefault="00F80B6C" w:rsidP="00882575">
              <w:pPr>
                <w:rPr>
                  <w:sz w:val="14"/>
                  <w:szCs w:val="14"/>
                </w:rPr>
              </w:pPr>
              <w:r>
                <w:fldChar w:fldCharType="begin"/>
              </w:r>
              <w:r w:rsidR="00882575">
                <w:instrText xml:space="preserve"> MACROBUTTON  SnrToggleCheckbox □适用  </w:instrText>
              </w:r>
              <w:r>
                <w:fldChar w:fldCharType="end"/>
              </w:r>
              <w:r>
                <w:fldChar w:fldCharType="begin"/>
              </w:r>
              <w:r w:rsidR="00882575">
                <w:instrText xml:space="preserve"> MACROBUTTON  SnrToggleCheckbox √不适用 </w:instrText>
              </w:r>
              <w:r>
                <w:fldChar w:fldCharType="end"/>
              </w:r>
            </w:p>
          </w:sdtContent>
        </w:sdt>
      </w:sdtContent>
    </w:sdt>
    <w:sdt>
      <w:sdtPr>
        <w:rPr>
          <w:rFonts w:cs="Times New Roman" w:hint="eastAsia"/>
          <w:kern w:val="2"/>
          <w:szCs w:val="21"/>
        </w:rPr>
        <w:alias w:val="模块:单项委托贷款其他情况 "/>
        <w:tag w:val="_SEC_5b2e19ddb1654e038c545d348ccbd530"/>
        <w:id w:val="-1213646267"/>
        <w:lock w:val="sdtLocked"/>
        <w:placeholder>
          <w:docPart w:val="GBC22222222222222222222222222222"/>
        </w:placeholder>
      </w:sdtPr>
      <w:sdtContent>
        <w:p w:rsidR="00806678" w:rsidRDefault="00B16377">
          <w:pPr>
            <w:rPr>
              <w:b/>
            </w:rPr>
          </w:pPr>
          <w:r>
            <w:rPr>
              <w:rFonts w:hint="eastAsia"/>
              <w:b/>
            </w:rPr>
            <w:t>其他情况</w:t>
          </w:r>
        </w:p>
        <w:sdt>
          <w:sdtPr>
            <w:rPr>
              <w:rFonts w:hint="eastAsia"/>
            </w:rPr>
            <w:alias w:val="是否适用：单项委托贷款其他情况[双击切换]"/>
            <w:tag w:val="_GBC_7fbd63dcaf8a4899bcd830951796a261"/>
            <w:id w:val="-1922555334"/>
            <w:lock w:val="sdtLocked"/>
            <w:placeholder>
              <w:docPart w:val="GBC22222222222222222222222222222"/>
            </w:placeholder>
          </w:sdtPr>
          <w:sdtContent>
            <w:p w:rsidR="00806678" w:rsidRDefault="00F80B6C">
              <w:r>
                <w:fldChar w:fldCharType="begin"/>
              </w:r>
              <w:r w:rsidR="00BE3718">
                <w:instrText xml:space="preserve"> MACROBUTTON  SnrToggleCheckbox □适用  </w:instrText>
              </w:r>
              <w:r>
                <w:fldChar w:fldCharType="end"/>
              </w:r>
              <w:r>
                <w:fldChar w:fldCharType="begin"/>
              </w:r>
              <w:r w:rsidR="00BE3718">
                <w:instrText xml:space="preserve"> MACROBUTTON  SnrToggleCheckbox √不适用 </w:instrText>
              </w:r>
              <w:r>
                <w:fldChar w:fldCharType="end"/>
              </w:r>
            </w:p>
          </w:sdtContent>
        </w:sdt>
      </w:sdtContent>
    </w:sdt>
    <w:sdt>
      <w:sdtPr>
        <w:rPr>
          <w:rFonts w:ascii="宋体" w:hAnsi="宋体" w:cs="宋体"/>
          <w:b w:val="0"/>
          <w:bCs w:val="0"/>
          <w:kern w:val="0"/>
          <w:szCs w:val="24"/>
        </w:rPr>
        <w:alias w:val="模块:委托贷款减值准"/>
        <w:tag w:val="_SEC_0b6195f8785f4def8fa24b4658c28dab"/>
        <w:id w:val="1279532204"/>
        <w:lock w:val="sdtLocked"/>
        <w:placeholder>
          <w:docPart w:val="GBC22222222222222222222222222222"/>
        </w:placeholder>
      </w:sdtPr>
      <w:sdtContent>
        <w:p w:rsidR="00806678" w:rsidRDefault="00B16377" w:rsidP="00FF17C7">
          <w:pPr>
            <w:pStyle w:val="5"/>
            <w:numPr>
              <w:ilvl w:val="0"/>
              <w:numId w:val="70"/>
            </w:numPr>
          </w:pPr>
          <w:r>
            <w:t>委托贷款减值</w:t>
          </w:r>
          <w:r>
            <w:rPr>
              <w:rFonts w:hint="eastAsia"/>
            </w:rPr>
            <w:t>准备</w:t>
          </w:r>
        </w:p>
        <w:sdt>
          <w:sdtPr>
            <w:rPr>
              <w:rFonts w:hint="eastAsia"/>
            </w:rPr>
            <w:alias w:val="是否适用：委托贷款减值准备[双击切换]"/>
            <w:tag w:val="_GBC_72dc10eff44f4851bd80447a1199a033"/>
            <w:id w:val="951136264"/>
            <w:lock w:val="sdtLocked"/>
            <w:placeholder>
              <w:docPart w:val="GBC22222222222222222222222222222"/>
            </w:placeholder>
          </w:sdtPr>
          <w:sdtContent>
            <w:p w:rsidR="00806678" w:rsidRDefault="00F80B6C" w:rsidP="00BE3718">
              <w:r>
                <w:fldChar w:fldCharType="begin"/>
              </w:r>
              <w:r w:rsidR="00BE3718">
                <w:instrText xml:space="preserve"> MACROBUTTON  SnrToggleCheckbox □适用  </w:instrText>
              </w:r>
              <w:r>
                <w:fldChar w:fldCharType="end"/>
              </w:r>
              <w:r>
                <w:fldChar w:fldCharType="begin"/>
              </w:r>
              <w:r w:rsidR="00BE3718">
                <w:instrText xml:space="preserve"> MACROBUTTON  SnrToggleCheckbox √不适用 </w:instrText>
              </w:r>
              <w:r>
                <w:fldChar w:fldCharType="end"/>
              </w:r>
            </w:p>
          </w:sdtContent>
        </w:sdt>
      </w:sdtContent>
    </w:sdt>
    <w:sdt>
      <w:sdtPr>
        <w:rPr>
          <w:rFonts w:ascii="宋体" w:eastAsia="宋体" w:hAnsi="宋体" w:cs="宋体"/>
          <w:b w:val="0"/>
          <w:bCs w:val="0"/>
          <w:kern w:val="0"/>
          <w:szCs w:val="24"/>
        </w:rPr>
        <w:alias w:val="模块:其他情况"/>
        <w:tag w:val="_SEC_3420a5610d744b6da7aed50323c980c9"/>
        <w:id w:val="-231468974"/>
        <w:lock w:val="sdtLocked"/>
        <w:placeholder>
          <w:docPart w:val="GBC22222222222222222222222222222"/>
        </w:placeholder>
      </w:sdtPr>
      <w:sdtEndPr>
        <w:rPr>
          <w:rFonts w:hint="eastAsia"/>
        </w:rPr>
      </w:sdtEndPr>
      <w:sdtContent>
        <w:p w:rsidR="00806678" w:rsidRDefault="00B16377" w:rsidP="00FF17C7">
          <w:pPr>
            <w:pStyle w:val="4"/>
            <w:numPr>
              <w:ilvl w:val="0"/>
              <w:numId w:val="68"/>
            </w:numPr>
          </w:pPr>
          <w:r>
            <w:t>其他</w:t>
          </w:r>
          <w:r>
            <w:rPr>
              <w:rFonts w:hint="eastAsia"/>
            </w:rPr>
            <w:t>情况</w:t>
          </w:r>
        </w:p>
        <w:sdt>
          <w:sdtPr>
            <w:rPr>
              <w:rFonts w:hint="eastAsia"/>
            </w:rPr>
            <w:alias w:val="是否适用：委托他人进行现金资产管理的其他情况[双击切换]"/>
            <w:tag w:val="_GBC_c408f1ecbaff4ed08e4dcfbbac8e0ccd"/>
            <w:id w:val="164301994"/>
            <w:lock w:val="sdtLocked"/>
            <w:placeholder>
              <w:docPart w:val="GBC22222222222222222222222222222"/>
            </w:placeholder>
          </w:sdtPr>
          <w:sdtContent>
            <w:p w:rsidR="00BE3718" w:rsidRDefault="00F80B6C" w:rsidP="00BE3718">
              <w:r>
                <w:fldChar w:fldCharType="begin"/>
              </w:r>
              <w:r w:rsidR="00BE3718">
                <w:instrText xml:space="preserve"> MACROBUTTON  SnrToggleCheckbox □适用  </w:instrText>
              </w:r>
              <w:r>
                <w:fldChar w:fldCharType="end"/>
              </w:r>
              <w:r>
                <w:fldChar w:fldCharType="begin"/>
              </w:r>
              <w:r w:rsidR="00BE3718">
                <w:instrText xml:space="preserve"> MACROBUTTON  SnrToggleCheckbox √不适用 </w:instrText>
              </w:r>
              <w:r>
                <w:fldChar w:fldCharType="end"/>
              </w:r>
            </w:p>
            <w:p w:rsidR="00806678" w:rsidRDefault="00F80B6C" w:rsidP="00BE3718"/>
          </w:sdtContent>
        </w:sdt>
      </w:sdtContent>
    </w:sdt>
    <w:sdt>
      <w:sdtPr>
        <w:rPr>
          <w:rFonts w:ascii="宋体" w:hAnsi="宋体" w:cs="宋体"/>
          <w:b w:val="0"/>
          <w:bCs w:val="0"/>
          <w:kern w:val="0"/>
          <w:szCs w:val="21"/>
        </w:rPr>
        <w:alias w:val="模块:其他重大合同或交易"/>
        <w:tag w:val="_SEC_9d125c8ad0cb430d9249029482fa1530"/>
        <w:id w:val="1272337"/>
        <w:lock w:val="sdtLocked"/>
        <w:placeholder>
          <w:docPart w:val="GBC22222222222222222222222222222"/>
        </w:placeholder>
      </w:sdtPr>
      <w:sdtEndPr>
        <w:rPr>
          <w:rFonts w:hint="eastAsia"/>
        </w:rPr>
      </w:sdtEndPr>
      <w:sdtContent>
        <w:p w:rsidR="00806678" w:rsidRDefault="00B16377" w:rsidP="00FF17C7">
          <w:pPr>
            <w:pStyle w:val="3"/>
            <w:numPr>
              <w:ilvl w:val="0"/>
              <w:numId w:val="24"/>
            </w:numPr>
            <w:rPr>
              <w:szCs w:val="21"/>
            </w:rPr>
          </w:pPr>
          <w:r>
            <w:rPr>
              <w:szCs w:val="21"/>
            </w:rPr>
            <w:t>其他重大合同</w:t>
          </w:r>
        </w:p>
        <w:sdt>
          <w:sdtPr>
            <w:rPr>
              <w:rFonts w:hint="eastAsia"/>
              <w:szCs w:val="21"/>
            </w:rPr>
            <w:alias w:val="是否适用：其他重大合同[双击切换]"/>
            <w:tag w:val="_GBC_541dd80939ae4bafb641675f942c4c14"/>
            <w:id w:val="194513218"/>
            <w:lock w:val="sdtLocked"/>
            <w:placeholder>
              <w:docPart w:val="GBC22222222222222222222222222222"/>
            </w:placeholder>
          </w:sdtPr>
          <w:sdtContent>
            <w:p w:rsidR="00806678" w:rsidRDefault="00F80B6C">
              <w:pPr>
                <w:rPr>
                  <w:szCs w:val="21"/>
                </w:rPr>
              </w:pPr>
              <w:r>
                <w:rPr>
                  <w:szCs w:val="21"/>
                </w:rPr>
                <w:fldChar w:fldCharType="begin"/>
              </w:r>
              <w:r w:rsidR="00544AB8">
                <w:rPr>
                  <w:szCs w:val="21"/>
                </w:rPr>
                <w:instrText xml:space="preserve"> MACROBUTTON  SnrToggleCheckbox √适用  </w:instrText>
              </w:r>
              <w:r>
                <w:rPr>
                  <w:szCs w:val="21"/>
                </w:rPr>
                <w:fldChar w:fldCharType="end"/>
              </w:r>
              <w:r>
                <w:rPr>
                  <w:szCs w:val="21"/>
                </w:rPr>
                <w:fldChar w:fldCharType="begin"/>
              </w:r>
              <w:r w:rsidR="00544AB8">
                <w:rPr>
                  <w:szCs w:val="21"/>
                </w:rPr>
                <w:instrText xml:space="preserve"> MACROBUTTON  SnrToggleCheckbox □不适用 </w:instrText>
              </w:r>
              <w:r>
                <w:rPr>
                  <w:szCs w:val="21"/>
                </w:rPr>
                <w:fldChar w:fldCharType="end"/>
              </w:r>
            </w:p>
          </w:sdtContent>
        </w:sdt>
        <w:sdt>
          <w:sdtPr>
            <w:rPr>
              <w:rFonts w:hint="eastAsia"/>
              <w:szCs w:val="21"/>
            </w:rPr>
            <w:alias w:val="其他重大合同"/>
            <w:tag w:val="_GBC_4b2fbb76f8534d40a4da6e0337202650"/>
            <w:id w:val="1507842"/>
            <w:lock w:val="sdtLocked"/>
            <w:placeholder>
              <w:docPart w:val="GBC22222222222222222222222222222"/>
            </w:placeholder>
          </w:sdtPr>
          <w:sdtContent>
            <w:p w:rsidR="00806678" w:rsidRPr="00544AB8" w:rsidRDefault="00544AB8" w:rsidP="008A327B">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2022年12月28日，公司与中国国家铁路集团有限公司续签</w:t>
              </w:r>
              <w:r w:rsidRPr="00072335">
                <w:rPr>
                  <w:rFonts w:hint="eastAsia"/>
                  <w:szCs w:val="21"/>
                </w:rPr>
                <w:t>《综合服务框架协议》</w:t>
              </w:r>
              <w:r>
                <w:rPr>
                  <w:rFonts w:asciiTheme="minorEastAsia" w:eastAsiaTheme="minorEastAsia" w:hAnsiTheme="minorEastAsia" w:hint="eastAsia"/>
                  <w:szCs w:val="21"/>
                </w:rPr>
                <w:t>。内容详见</w:t>
              </w:r>
              <w:r>
                <w:rPr>
                  <w:rFonts w:asciiTheme="minorEastAsia" w:eastAsiaTheme="minorEastAsia" w:hAnsiTheme="minorEastAsia"/>
                  <w:szCs w:val="21"/>
                </w:rPr>
                <w:t>20</w:t>
              </w:r>
              <w:r>
                <w:rPr>
                  <w:rFonts w:asciiTheme="minorEastAsia" w:eastAsiaTheme="minorEastAsia" w:hAnsiTheme="minorEastAsia" w:hint="eastAsia"/>
                  <w:szCs w:val="21"/>
                </w:rPr>
                <w:t>22</w:t>
              </w:r>
              <w:r w:rsidRPr="00DB0816">
                <w:rPr>
                  <w:rFonts w:asciiTheme="minorEastAsia" w:eastAsiaTheme="minorEastAsia" w:hAnsiTheme="minorEastAsia"/>
                  <w:szCs w:val="21"/>
                </w:rPr>
                <w:t>年</w:t>
              </w:r>
              <w:r>
                <w:rPr>
                  <w:rFonts w:asciiTheme="minorEastAsia" w:eastAsiaTheme="minorEastAsia" w:hAnsiTheme="minorEastAsia" w:hint="eastAsia"/>
                  <w:szCs w:val="21"/>
                </w:rPr>
                <w:t>12</w:t>
              </w:r>
              <w:r w:rsidRPr="00DB0816">
                <w:rPr>
                  <w:rFonts w:asciiTheme="minorEastAsia" w:eastAsiaTheme="minorEastAsia" w:hAnsiTheme="minorEastAsia"/>
                  <w:szCs w:val="21"/>
                </w:rPr>
                <w:t>月2</w:t>
              </w:r>
              <w:r>
                <w:rPr>
                  <w:rFonts w:asciiTheme="minorEastAsia" w:eastAsiaTheme="minorEastAsia" w:hAnsiTheme="minorEastAsia" w:hint="eastAsia"/>
                  <w:szCs w:val="21"/>
                </w:rPr>
                <w:t>9</w:t>
              </w:r>
              <w:r w:rsidRPr="00DB0816">
                <w:rPr>
                  <w:rFonts w:asciiTheme="minorEastAsia" w:eastAsiaTheme="minorEastAsia" w:hAnsiTheme="minorEastAsia"/>
                  <w:szCs w:val="21"/>
                </w:rPr>
                <w:t>日登载于上海证券交易所网站的</w:t>
              </w:r>
              <w:r>
                <w:rPr>
                  <w:rFonts w:asciiTheme="minorEastAsia" w:eastAsiaTheme="minorEastAsia" w:hAnsiTheme="minorEastAsia" w:hint="eastAsia"/>
                  <w:szCs w:val="21"/>
                </w:rPr>
                <w:t>《大秦铁路关于与中国国家铁路集团有限公司续签&lt;综合服务框架协议&gt;</w:t>
              </w:r>
              <w:r w:rsidRPr="00072335">
                <w:rPr>
                  <w:rFonts w:asciiTheme="minorEastAsia" w:eastAsiaTheme="minorEastAsia" w:hAnsiTheme="minorEastAsia" w:hint="eastAsia"/>
                  <w:szCs w:val="21"/>
                </w:rPr>
                <w:t>的公告</w:t>
              </w:r>
              <w:r>
                <w:rPr>
                  <w:rFonts w:asciiTheme="minorEastAsia" w:eastAsiaTheme="minorEastAsia" w:hAnsiTheme="minorEastAsia" w:hint="eastAsia"/>
                  <w:szCs w:val="21"/>
                </w:rPr>
                <w:t>》。</w:t>
              </w:r>
              <w:r w:rsidRPr="00F3039E">
                <w:rPr>
                  <w:rFonts w:asciiTheme="minorEastAsia" w:eastAsiaTheme="minorEastAsia" w:hAnsiTheme="minorEastAsia" w:hint="eastAsia"/>
                  <w:szCs w:val="21"/>
                </w:rPr>
                <w:t>上述事项已经公司</w:t>
              </w:r>
              <w:r w:rsidRPr="00F3039E">
                <w:rPr>
                  <w:rFonts w:hint="eastAsia"/>
                  <w:szCs w:val="21"/>
                </w:rPr>
                <w:t>六届十五</w:t>
              </w:r>
              <w:r>
                <w:rPr>
                  <w:rFonts w:hint="eastAsia"/>
                  <w:szCs w:val="21"/>
                </w:rPr>
                <w:t>次董事会、</w:t>
              </w:r>
              <w:r w:rsidRPr="00F3039E">
                <w:rPr>
                  <w:rFonts w:hint="eastAsia"/>
                  <w:szCs w:val="21"/>
                </w:rPr>
                <w:t>六届十二次监事会</w:t>
              </w:r>
              <w:r>
                <w:rPr>
                  <w:rFonts w:hint="eastAsia"/>
                  <w:szCs w:val="21"/>
                </w:rPr>
                <w:t>和2022年第一次临时股东大会</w:t>
              </w:r>
              <w:r w:rsidRPr="00F3039E">
                <w:rPr>
                  <w:rFonts w:hint="eastAsia"/>
                  <w:szCs w:val="21"/>
                </w:rPr>
                <w:t>审议通过。</w:t>
              </w:r>
            </w:p>
          </w:sdtContent>
        </w:sdt>
      </w:sdtContent>
    </w:sdt>
    <w:sdt>
      <w:sdtPr>
        <w:rPr>
          <w:rFonts w:ascii="宋体" w:hAnsi="宋体" w:cs="宋体" w:hint="eastAsia"/>
          <w:b w:val="0"/>
          <w:bCs w:val="0"/>
          <w:kern w:val="0"/>
          <w:szCs w:val="24"/>
        </w:rPr>
        <w:alias w:val="模块:"/>
        <w:tag w:val="_SEC_5c3258d364b244e3bd64f661e4156e0c"/>
        <w:id w:val="4640462"/>
        <w:lock w:val="sdtLocked"/>
        <w:placeholder>
          <w:docPart w:val="GBC22222222222222222222222222222"/>
        </w:placeholder>
      </w:sdtPr>
      <w:sdtContent>
        <w:p w:rsidR="00806678" w:rsidRDefault="00B16377">
          <w:pPr>
            <w:pStyle w:val="2"/>
            <w:numPr>
              <w:ilvl w:val="0"/>
              <w:numId w:val="9"/>
            </w:numPr>
          </w:pPr>
          <w:r>
            <w:rPr>
              <w:rFonts w:hint="eastAsia"/>
            </w:rPr>
            <w:t>其</w:t>
          </w:r>
          <w:r>
            <w:t>他</w:t>
          </w:r>
          <w:r>
            <w:rPr>
              <w:rFonts w:hint="eastAsia"/>
            </w:rPr>
            <w:t>对投资者作出价值判断和投资决策有重大影响的重大事项的说明</w:t>
          </w:r>
        </w:p>
        <w:sdt>
          <w:sdtPr>
            <w:rPr>
              <w:szCs w:val="21"/>
            </w:rPr>
            <w:alias w:val="是否适用：其他对投资者作出价值判断和投资决策有重大影响的重大事项的说明[双击切换]"/>
            <w:tag w:val="_GBC_a560f17fa4c7429db7d87dca59f4df08"/>
            <w:id w:val="242991806"/>
            <w:lock w:val="sdtLocked"/>
            <w:placeholder>
              <w:docPart w:val="GBC22222222222222222222222222222"/>
            </w:placeholder>
          </w:sdtPr>
          <w:sdtContent>
            <w:p w:rsidR="00806678" w:rsidRPr="00710CC0" w:rsidRDefault="00F80B6C" w:rsidP="00544AB8">
              <w:r>
                <w:rPr>
                  <w:szCs w:val="21"/>
                </w:rPr>
                <w:fldChar w:fldCharType="begin"/>
              </w:r>
              <w:r w:rsidR="00544AB8">
                <w:rPr>
                  <w:szCs w:val="21"/>
                </w:rPr>
                <w:instrText xml:space="preserve">MACROBUTTON  SnrToggleCheckbox □适用 </w:instrText>
              </w:r>
              <w:r>
                <w:rPr>
                  <w:szCs w:val="21"/>
                </w:rPr>
                <w:fldChar w:fldCharType="end"/>
              </w:r>
              <w:r>
                <w:rPr>
                  <w:szCs w:val="21"/>
                </w:rPr>
                <w:fldChar w:fldCharType="begin"/>
              </w:r>
              <w:r w:rsidR="00544AB8">
                <w:rPr>
                  <w:szCs w:val="21"/>
                </w:rPr>
                <w:instrText xml:space="preserve"> MACROBUTTON  SnrToggleCheckbox √不适用 </w:instrText>
              </w:r>
              <w:r>
                <w:rPr>
                  <w:szCs w:val="21"/>
                </w:rPr>
                <w:fldChar w:fldCharType="end"/>
              </w:r>
            </w:p>
          </w:sdtContent>
        </w:sdt>
      </w:sdtContent>
    </w:sdt>
    <w:bookmarkEnd w:id="72" w:displacedByCustomXml="prev"/>
    <w:p w:rsidR="00806678" w:rsidRDefault="00806678"/>
    <w:p w:rsidR="00806678" w:rsidRDefault="00B16377">
      <w:pPr>
        <w:pStyle w:val="10"/>
        <w:numPr>
          <w:ilvl w:val="0"/>
          <w:numId w:val="3"/>
        </w:numPr>
        <w:rPr>
          <w:szCs w:val="28"/>
        </w:rPr>
      </w:pPr>
      <w:bookmarkStart w:id="93" w:name="_Toc409437607"/>
      <w:bookmarkStart w:id="94" w:name="_Toc437440713"/>
      <w:bookmarkStart w:id="95" w:name="_Toc89790254"/>
      <w:r>
        <w:rPr>
          <w:rFonts w:hint="eastAsia"/>
          <w:szCs w:val="28"/>
        </w:rPr>
        <w:t>股份变动及股东情况</w:t>
      </w:r>
      <w:bookmarkEnd w:id="93"/>
      <w:bookmarkEnd w:id="94"/>
      <w:bookmarkEnd w:id="95"/>
    </w:p>
    <w:p w:rsidR="00806678" w:rsidRDefault="00806678"/>
    <w:p w:rsidR="00806678" w:rsidRDefault="00B16377">
      <w:pPr>
        <w:pStyle w:val="2"/>
        <w:numPr>
          <w:ilvl w:val="0"/>
          <w:numId w:val="1"/>
        </w:numPr>
      </w:pPr>
      <w:bookmarkStart w:id="96" w:name="_Toc342059476"/>
      <w:bookmarkStart w:id="97" w:name="_Toc342565989"/>
      <w:r>
        <w:t>股</w:t>
      </w:r>
      <w:r>
        <w:rPr>
          <w:rFonts w:hint="eastAsia"/>
        </w:rPr>
        <w:t>本变动情况</w:t>
      </w:r>
      <w:bookmarkEnd w:id="96"/>
      <w:bookmarkEnd w:id="97"/>
    </w:p>
    <w:p w:rsidR="00806678" w:rsidRDefault="00B16377">
      <w:pPr>
        <w:pStyle w:val="3"/>
        <w:numPr>
          <w:ilvl w:val="1"/>
          <w:numId w:val="12"/>
        </w:numPr>
        <w:rPr>
          <w:szCs w:val="21"/>
        </w:rPr>
      </w:pPr>
      <w:bookmarkStart w:id="98" w:name="_Toc342059477"/>
      <w:bookmarkStart w:id="99" w:name="_Toc342565990"/>
      <w:r>
        <w:rPr>
          <w:rFonts w:hint="eastAsia"/>
          <w:szCs w:val="21"/>
        </w:rPr>
        <w:t>股份变动情况表</w:t>
      </w:r>
      <w:bookmarkEnd w:id="98"/>
      <w:bookmarkEnd w:id="99"/>
    </w:p>
    <w:p w:rsidR="00806678" w:rsidRDefault="00B16377">
      <w:pPr>
        <w:pStyle w:val="4"/>
        <w:numPr>
          <w:ilvl w:val="2"/>
          <w:numId w:val="13"/>
        </w:numPr>
      </w:pPr>
      <w:r>
        <w:rPr>
          <w:rFonts w:hint="eastAsia"/>
        </w:rPr>
        <w:t>股份变动情况表</w:t>
      </w:r>
    </w:p>
    <w:sdt>
      <w:sdtPr>
        <w:rPr>
          <w:rFonts w:hint="eastAsia"/>
          <w:szCs w:val="21"/>
        </w:rPr>
        <w:alias w:val=""/>
        <w:tag w:val="_SEC_a3956f57fcc041c88cfbf8c43b765028"/>
        <w:id w:val="6765606"/>
        <w:lock w:val="sdtLocked"/>
        <w:placeholder>
          <w:docPart w:val="GBC22222222222222222222222222222"/>
        </w:placeholder>
      </w:sdtPr>
      <w:sdtContent>
        <w:p w:rsidR="008445B5" w:rsidRDefault="008445B5" w:rsidP="008445B5">
          <w:pPr>
            <w:jc w:val="right"/>
            <w:rPr>
              <w:szCs w:val="21"/>
            </w:rPr>
          </w:pPr>
          <w:r>
            <w:rPr>
              <w:szCs w:val="21"/>
            </w:rPr>
            <w:t>单位：</w:t>
          </w:r>
          <w:sdt>
            <w:sdtPr>
              <w:rPr>
                <w:rFonts w:hint="eastAsia"/>
                <w:szCs w:val="21"/>
              </w:rPr>
              <w:alias w:val="单位：股份变动情况表"/>
              <w:tag w:val="_GBC_852d31b746dd490d9366194fca5e9598"/>
              <w:id w:val="18561399"/>
              <w:lock w:val="sdtLocked"/>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Content>
              <w:r>
                <w:rPr>
                  <w:rFonts w:hint="eastAsia"/>
                  <w:szCs w:val="21"/>
                </w:rPr>
                <w:t>股</w:t>
              </w:r>
            </w:sdtContent>
          </w:sdt>
        </w:p>
        <w:tbl>
          <w:tblPr>
            <w:tblW w:w="54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24"/>
            <w:gridCol w:w="1686"/>
            <w:gridCol w:w="532"/>
            <w:gridCol w:w="426"/>
            <w:gridCol w:w="426"/>
            <w:gridCol w:w="426"/>
            <w:gridCol w:w="846"/>
            <w:gridCol w:w="853"/>
            <w:gridCol w:w="1686"/>
            <w:gridCol w:w="531"/>
          </w:tblGrid>
          <w:tr w:rsidR="00295161" w:rsidTr="00603745">
            <w:trPr>
              <w:jc w:val="center"/>
            </w:trPr>
            <w:tc>
              <w:tcPr>
                <w:tcW w:w="1271" w:type="pct"/>
                <w:vMerge w:val="restart"/>
                <w:shd w:val="clear" w:color="auto" w:fill="auto"/>
              </w:tcPr>
              <w:p w:rsidR="008445B5" w:rsidRDefault="008445B5" w:rsidP="0020440C">
                <w:pPr>
                  <w:jc w:val="center"/>
                  <w:rPr>
                    <w:szCs w:val="21"/>
                  </w:rPr>
                </w:pPr>
              </w:p>
            </w:tc>
            <w:sdt>
              <w:sdtPr>
                <w:tag w:val="_PLD_b9527a064e50418b9212da4d2a1d0df3"/>
                <w:id w:val="1487586667"/>
                <w:lock w:val="sdtLocked"/>
              </w:sdtPr>
              <w:sdtContent>
                <w:tc>
                  <w:tcPr>
                    <w:tcW w:w="1116" w:type="pct"/>
                    <w:gridSpan w:val="2"/>
                    <w:shd w:val="clear" w:color="auto" w:fill="auto"/>
                    <w:vAlign w:val="center"/>
                  </w:tcPr>
                  <w:p w:rsidR="008445B5" w:rsidRDefault="008445B5" w:rsidP="0020440C">
                    <w:pPr>
                      <w:pStyle w:val="a5"/>
                      <w:jc w:val="center"/>
                      <w:rPr>
                        <w:rFonts w:hAnsi="宋体"/>
                      </w:rPr>
                    </w:pPr>
                    <w:r>
                      <w:rPr>
                        <w:rFonts w:hAnsi="宋体"/>
                      </w:rPr>
                      <w:t>本次变动前</w:t>
                    </w:r>
                  </w:p>
                </w:tc>
              </w:sdtContent>
            </w:sdt>
            <w:sdt>
              <w:sdtPr>
                <w:tag w:val="_PLD_ca58bf210de644a080d50250f302f3c8"/>
                <w:id w:val="-130946224"/>
                <w:lock w:val="sdtLocked"/>
              </w:sdtPr>
              <w:sdtContent>
                <w:tc>
                  <w:tcPr>
                    <w:tcW w:w="1498" w:type="pct"/>
                    <w:gridSpan w:val="5"/>
                    <w:shd w:val="clear" w:color="auto" w:fill="auto"/>
                    <w:vAlign w:val="center"/>
                  </w:tcPr>
                  <w:p w:rsidR="008445B5" w:rsidRDefault="008445B5" w:rsidP="0020440C">
                    <w:pPr>
                      <w:jc w:val="center"/>
                      <w:rPr>
                        <w:szCs w:val="21"/>
                      </w:rPr>
                    </w:pPr>
                    <w:r>
                      <w:rPr>
                        <w:szCs w:val="21"/>
                      </w:rPr>
                      <w:t>本次变动增减（＋，－）</w:t>
                    </w:r>
                  </w:p>
                </w:tc>
              </w:sdtContent>
            </w:sdt>
            <w:sdt>
              <w:sdtPr>
                <w:tag w:val="_PLD_257b6e7d34b34e838617d3ec2e88c450"/>
                <w:id w:val="-874157693"/>
                <w:lock w:val="sdtLocked"/>
              </w:sdtPr>
              <w:sdtContent>
                <w:tc>
                  <w:tcPr>
                    <w:tcW w:w="1116" w:type="pct"/>
                    <w:gridSpan w:val="2"/>
                    <w:shd w:val="clear" w:color="auto" w:fill="auto"/>
                    <w:vAlign w:val="center"/>
                  </w:tcPr>
                  <w:p w:rsidR="008445B5" w:rsidRDefault="008445B5" w:rsidP="0020440C">
                    <w:pPr>
                      <w:jc w:val="center"/>
                      <w:rPr>
                        <w:szCs w:val="21"/>
                      </w:rPr>
                    </w:pPr>
                    <w:r>
                      <w:rPr>
                        <w:szCs w:val="21"/>
                      </w:rPr>
                      <w:t>本次变动后</w:t>
                    </w:r>
                  </w:p>
                </w:tc>
              </w:sdtContent>
            </w:sdt>
          </w:tr>
          <w:tr w:rsidR="002434D1" w:rsidTr="00603745">
            <w:trPr>
              <w:trHeight w:val="273"/>
              <w:jc w:val="center"/>
            </w:trPr>
            <w:tc>
              <w:tcPr>
                <w:tcW w:w="1271" w:type="pct"/>
                <w:vMerge/>
                <w:shd w:val="clear" w:color="auto" w:fill="auto"/>
              </w:tcPr>
              <w:p w:rsidR="008445B5" w:rsidRDefault="008445B5" w:rsidP="0020440C">
                <w:pPr>
                  <w:jc w:val="center"/>
                  <w:rPr>
                    <w:szCs w:val="21"/>
                  </w:rPr>
                </w:pPr>
              </w:p>
            </w:tc>
            <w:sdt>
              <w:sdtPr>
                <w:tag w:val="_PLD_795b6515b9ff4e1db17e1116ff60e13f"/>
                <w:id w:val="367274236"/>
                <w:lock w:val="sdtLocked"/>
              </w:sdtPr>
              <w:sdtContent>
                <w:tc>
                  <w:tcPr>
                    <w:tcW w:w="848" w:type="pct"/>
                    <w:shd w:val="clear" w:color="auto" w:fill="auto"/>
                    <w:vAlign w:val="center"/>
                  </w:tcPr>
                  <w:p w:rsidR="008445B5" w:rsidRDefault="008445B5" w:rsidP="0020440C">
                    <w:pPr>
                      <w:pStyle w:val="a5"/>
                      <w:jc w:val="center"/>
                      <w:rPr>
                        <w:rFonts w:hAnsi="宋体"/>
                      </w:rPr>
                    </w:pPr>
                    <w:r>
                      <w:rPr>
                        <w:rFonts w:hAnsi="宋体"/>
                      </w:rPr>
                      <w:t>数量</w:t>
                    </w:r>
                  </w:p>
                </w:tc>
              </w:sdtContent>
            </w:sdt>
            <w:sdt>
              <w:sdtPr>
                <w:tag w:val="_PLD_73d5343b919442adb141c63d11c2cfe3"/>
                <w:id w:val="-1590307226"/>
                <w:lock w:val="sdtLocked"/>
              </w:sdtPr>
              <w:sdtContent>
                <w:tc>
                  <w:tcPr>
                    <w:tcW w:w="267" w:type="pct"/>
                    <w:shd w:val="clear" w:color="auto" w:fill="auto"/>
                    <w:vAlign w:val="center"/>
                  </w:tcPr>
                  <w:p w:rsidR="008445B5" w:rsidRDefault="008445B5" w:rsidP="0020440C">
                    <w:pPr>
                      <w:pStyle w:val="a5"/>
                      <w:jc w:val="center"/>
                      <w:rPr>
                        <w:rFonts w:hAnsi="宋体"/>
                      </w:rPr>
                    </w:pPr>
                    <w:r>
                      <w:rPr>
                        <w:rFonts w:hAnsi="宋体"/>
                      </w:rPr>
                      <w:t>比例</w:t>
                    </w:r>
                    <w:r>
                      <w:rPr>
                        <w:rFonts w:hAnsi="宋体"/>
                      </w:rPr>
                      <w:t>(%)</w:t>
                    </w:r>
                  </w:p>
                </w:tc>
              </w:sdtContent>
            </w:sdt>
            <w:sdt>
              <w:sdtPr>
                <w:tag w:val="_PLD_ed98679a849f41f4aed274ab444cfaf5"/>
                <w:id w:val="1610462106"/>
                <w:lock w:val="sdtLocked"/>
              </w:sdtPr>
              <w:sdtContent>
                <w:tc>
                  <w:tcPr>
                    <w:tcW w:w="214" w:type="pct"/>
                    <w:shd w:val="clear" w:color="auto" w:fill="auto"/>
                    <w:vAlign w:val="center"/>
                  </w:tcPr>
                  <w:p w:rsidR="008445B5" w:rsidRDefault="008445B5" w:rsidP="0020440C">
                    <w:pPr>
                      <w:pStyle w:val="a5"/>
                      <w:jc w:val="center"/>
                      <w:rPr>
                        <w:rFonts w:hAnsi="宋体"/>
                      </w:rPr>
                    </w:pPr>
                    <w:r>
                      <w:rPr>
                        <w:rFonts w:hAnsi="宋体"/>
                      </w:rPr>
                      <w:t>发行新股</w:t>
                    </w:r>
                  </w:p>
                </w:tc>
              </w:sdtContent>
            </w:sdt>
            <w:sdt>
              <w:sdtPr>
                <w:tag w:val="_PLD_9a9769412f3c455c9ccdd17bf518a278"/>
                <w:id w:val="-1951231219"/>
                <w:lock w:val="sdtLocked"/>
              </w:sdtPr>
              <w:sdtContent>
                <w:tc>
                  <w:tcPr>
                    <w:tcW w:w="214" w:type="pct"/>
                    <w:shd w:val="clear" w:color="auto" w:fill="auto"/>
                    <w:vAlign w:val="center"/>
                  </w:tcPr>
                  <w:p w:rsidR="008445B5" w:rsidRDefault="008445B5" w:rsidP="0020440C">
                    <w:pPr>
                      <w:jc w:val="center"/>
                      <w:rPr>
                        <w:szCs w:val="21"/>
                      </w:rPr>
                    </w:pPr>
                    <w:r>
                      <w:rPr>
                        <w:szCs w:val="21"/>
                      </w:rPr>
                      <w:t>送股</w:t>
                    </w:r>
                  </w:p>
                </w:tc>
              </w:sdtContent>
            </w:sdt>
            <w:sdt>
              <w:sdtPr>
                <w:tag w:val="_PLD_a08a8657c2504fb0907fe95adcc9b83a"/>
                <w:id w:val="-1132484048"/>
                <w:lock w:val="sdtLocked"/>
              </w:sdtPr>
              <w:sdtContent>
                <w:tc>
                  <w:tcPr>
                    <w:tcW w:w="214" w:type="pct"/>
                    <w:shd w:val="clear" w:color="auto" w:fill="auto"/>
                    <w:vAlign w:val="center"/>
                  </w:tcPr>
                  <w:p w:rsidR="008445B5" w:rsidRDefault="008445B5" w:rsidP="0020440C">
                    <w:pPr>
                      <w:jc w:val="center"/>
                      <w:rPr>
                        <w:szCs w:val="21"/>
                      </w:rPr>
                    </w:pPr>
                    <w:r>
                      <w:rPr>
                        <w:szCs w:val="21"/>
                      </w:rPr>
                      <w:t>公积金转股</w:t>
                    </w:r>
                  </w:p>
                </w:tc>
              </w:sdtContent>
            </w:sdt>
            <w:sdt>
              <w:sdtPr>
                <w:tag w:val="_PLD_8ec878ba584746ca9ce366f5c50b97db"/>
                <w:id w:val="1376424562"/>
                <w:lock w:val="sdtLocked"/>
              </w:sdtPr>
              <w:sdtContent>
                <w:tc>
                  <w:tcPr>
                    <w:tcW w:w="426" w:type="pct"/>
                    <w:shd w:val="clear" w:color="auto" w:fill="auto"/>
                    <w:vAlign w:val="center"/>
                  </w:tcPr>
                  <w:p w:rsidR="008445B5" w:rsidRDefault="008445B5" w:rsidP="0020440C">
                    <w:pPr>
                      <w:pStyle w:val="a5"/>
                      <w:jc w:val="center"/>
                      <w:rPr>
                        <w:rFonts w:hAnsi="宋体"/>
                      </w:rPr>
                    </w:pPr>
                    <w:r>
                      <w:rPr>
                        <w:rFonts w:hAnsi="宋体"/>
                      </w:rPr>
                      <w:t>其他</w:t>
                    </w:r>
                  </w:p>
                </w:tc>
              </w:sdtContent>
            </w:sdt>
            <w:sdt>
              <w:sdtPr>
                <w:tag w:val="_PLD_0597d73f82274779afc0a06c1888e731"/>
                <w:id w:val="-1885636040"/>
                <w:lock w:val="sdtLocked"/>
              </w:sdtPr>
              <w:sdtContent>
                <w:tc>
                  <w:tcPr>
                    <w:tcW w:w="429" w:type="pct"/>
                    <w:shd w:val="clear" w:color="auto" w:fill="auto"/>
                    <w:vAlign w:val="center"/>
                  </w:tcPr>
                  <w:p w:rsidR="008445B5" w:rsidRDefault="008445B5" w:rsidP="0020440C">
                    <w:pPr>
                      <w:pStyle w:val="a5"/>
                      <w:jc w:val="center"/>
                      <w:rPr>
                        <w:rFonts w:hAnsi="宋体"/>
                      </w:rPr>
                    </w:pPr>
                    <w:r>
                      <w:rPr>
                        <w:rFonts w:hAnsi="宋体"/>
                      </w:rPr>
                      <w:t>小计</w:t>
                    </w:r>
                  </w:p>
                </w:tc>
              </w:sdtContent>
            </w:sdt>
            <w:sdt>
              <w:sdtPr>
                <w:tag w:val="_PLD_95f452be51ff468b8cac4a86637d7617"/>
                <w:id w:val="105167435"/>
                <w:lock w:val="sdtLocked"/>
              </w:sdtPr>
              <w:sdtContent>
                <w:tc>
                  <w:tcPr>
                    <w:tcW w:w="848" w:type="pct"/>
                    <w:shd w:val="clear" w:color="auto" w:fill="auto"/>
                    <w:vAlign w:val="center"/>
                  </w:tcPr>
                  <w:p w:rsidR="008445B5" w:rsidRDefault="008445B5" w:rsidP="0020440C">
                    <w:pPr>
                      <w:pStyle w:val="a5"/>
                      <w:jc w:val="center"/>
                      <w:rPr>
                        <w:rFonts w:hAnsi="宋体"/>
                      </w:rPr>
                    </w:pPr>
                    <w:r>
                      <w:rPr>
                        <w:rFonts w:hAnsi="宋体"/>
                      </w:rPr>
                      <w:t>数量</w:t>
                    </w:r>
                  </w:p>
                </w:tc>
              </w:sdtContent>
            </w:sdt>
            <w:sdt>
              <w:sdtPr>
                <w:tag w:val="_PLD_27544b89219e425da5c77cd21408a3b6"/>
                <w:id w:val="707537568"/>
                <w:lock w:val="sdtLocked"/>
              </w:sdtPr>
              <w:sdtContent>
                <w:tc>
                  <w:tcPr>
                    <w:tcW w:w="267" w:type="pct"/>
                    <w:shd w:val="clear" w:color="auto" w:fill="auto"/>
                    <w:vAlign w:val="center"/>
                  </w:tcPr>
                  <w:p w:rsidR="008445B5" w:rsidRDefault="008445B5" w:rsidP="0020440C">
                    <w:pPr>
                      <w:pStyle w:val="a5"/>
                      <w:jc w:val="center"/>
                      <w:rPr>
                        <w:rFonts w:hAnsi="宋体"/>
                      </w:rPr>
                    </w:pPr>
                    <w:r>
                      <w:rPr>
                        <w:rFonts w:hAnsi="宋体"/>
                      </w:rPr>
                      <w:t>比例</w:t>
                    </w:r>
                    <w:r>
                      <w:rPr>
                        <w:rFonts w:hAnsi="宋体"/>
                      </w:rPr>
                      <w:t>(%)</w:t>
                    </w:r>
                  </w:p>
                </w:tc>
              </w:sdtContent>
            </w:sdt>
          </w:tr>
          <w:tr w:rsidR="002434D1" w:rsidTr="00603745">
            <w:trPr>
              <w:jc w:val="center"/>
            </w:trPr>
            <w:sdt>
              <w:sdtPr>
                <w:tag w:val="_PLD_a2bbfc03703e4b4c8a12b707058663e0"/>
                <w:id w:val="-1732758521"/>
                <w:lock w:val="sdtLocked"/>
              </w:sdtPr>
              <w:sdtContent>
                <w:tc>
                  <w:tcPr>
                    <w:tcW w:w="1271" w:type="pct"/>
                    <w:shd w:val="clear" w:color="auto" w:fill="auto"/>
                  </w:tcPr>
                  <w:p w:rsidR="008445B5" w:rsidRDefault="008445B5" w:rsidP="0020440C">
                    <w:pPr>
                      <w:rPr>
                        <w:szCs w:val="21"/>
                      </w:rPr>
                    </w:pPr>
                    <w:r>
                      <w:rPr>
                        <w:szCs w:val="21"/>
                      </w:rPr>
                      <w:t>一、有限售条件股份</w:t>
                    </w:r>
                  </w:p>
                </w:tc>
              </w:sdtContent>
            </w:sdt>
            <w:tc>
              <w:tcPr>
                <w:tcW w:w="848" w:type="pct"/>
                <w:shd w:val="clear" w:color="auto" w:fill="auto"/>
              </w:tcPr>
              <w:p w:rsidR="008445B5" w:rsidRDefault="002434D1" w:rsidP="0020440C">
                <w:pPr>
                  <w:jc w:val="right"/>
                  <w:rPr>
                    <w:szCs w:val="21"/>
                  </w:rPr>
                </w:pPr>
                <w:r>
                  <w:rPr>
                    <w:rFonts w:hint="eastAsia"/>
                    <w:szCs w:val="21"/>
                  </w:rPr>
                  <w:t>0</w:t>
                </w:r>
              </w:p>
            </w:tc>
            <w:tc>
              <w:tcPr>
                <w:tcW w:w="267" w:type="pct"/>
                <w:shd w:val="clear" w:color="auto" w:fill="auto"/>
              </w:tcPr>
              <w:p w:rsidR="008445B5" w:rsidRDefault="002434D1" w:rsidP="0020440C">
                <w:pPr>
                  <w:jc w:val="right"/>
                  <w:rPr>
                    <w:szCs w:val="21"/>
                  </w:rPr>
                </w:pPr>
                <w:r>
                  <w:rPr>
                    <w:rFonts w:hint="eastAsia"/>
                    <w:szCs w:val="21"/>
                  </w:rPr>
                  <w:t>0</w:t>
                </w:r>
              </w:p>
            </w:tc>
            <w:tc>
              <w:tcPr>
                <w:tcW w:w="214" w:type="pct"/>
                <w:shd w:val="clear" w:color="auto" w:fill="auto"/>
              </w:tcPr>
              <w:p w:rsidR="008445B5" w:rsidRDefault="002434D1" w:rsidP="0020440C">
                <w:pPr>
                  <w:jc w:val="right"/>
                  <w:rPr>
                    <w:szCs w:val="21"/>
                  </w:rPr>
                </w:pPr>
                <w:r>
                  <w:rPr>
                    <w:rFonts w:hint="eastAsia"/>
                    <w:szCs w:val="21"/>
                  </w:rPr>
                  <w:t>0</w:t>
                </w:r>
              </w:p>
            </w:tc>
            <w:tc>
              <w:tcPr>
                <w:tcW w:w="214" w:type="pct"/>
                <w:shd w:val="clear" w:color="auto" w:fill="auto"/>
              </w:tcPr>
              <w:p w:rsidR="008445B5" w:rsidRDefault="002434D1" w:rsidP="0020440C">
                <w:pPr>
                  <w:jc w:val="right"/>
                  <w:rPr>
                    <w:szCs w:val="21"/>
                  </w:rPr>
                </w:pPr>
                <w:r>
                  <w:rPr>
                    <w:rFonts w:hint="eastAsia"/>
                    <w:szCs w:val="21"/>
                  </w:rPr>
                  <w:t>0</w:t>
                </w:r>
              </w:p>
            </w:tc>
            <w:tc>
              <w:tcPr>
                <w:tcW w:w="214" w:type="pct"/>
                <w:shd w:val="clear" w:color="auto" w:fill="auto"/>
              </w:tcPr>
              <w:p w:rsidR="008445B5" w:rsidRDefault="002434D1" w:rsidP="0020440C">
                <w:pPr>
                  <w:jc w:val="right"/>
                  <w:rPr>
                    <w:szCs w:val="21"/>
                  </w:rPr>
                </w:pPr>
                <w:r>
                  <w:rPr>
                    <w:rFonts w:hint="eastAsia"/>
                    <w:szCs w:val="21"/>
                  </w:rPr>
                  <w:t>0</w:t>
                </w:r>
              </w:p>
            </w:tc>
            <w:tc>
              <w:tcPr>
                <w:tcW w:w="426" w:type="pct"/>
                <w:shd w:val="clear" w:color="auto" w:fill="auto"/>
              </w:tcPr>
              <w:p w:rsidR="008445B5" w:rsidRDefault="002434D1" w:rsidP="0020440C">
                <w:pPr>
                  <w:jc w:val="right"/>
                  <w:rPr>
                    <w:szCs w:val="21"/>
                  </w:rPr>
                </w:pPr>
                <w:r>
                  <w:rPr>
                    <w:rFonts w:hint="eastAsia"/>
                    <w:szCs w:val="21"/>
                  </w:rPr>
                  <w:t>0</w:t>
                </w:r>
              </w:p>
            </w:tc>
            <w:tc>
              <w:tcPr>
                <w:tcW w:w="429" w:type="pct"/>
                <w:shd w:val="clear" w:color="auto" w:fill="auto"/>
              </w:tcPr>
              <w:p w:rsidR="008445B5" w:rsidRDefault="002434D1" w:rsidP="0020440C">
                <w:pPr>
                  <w:jc w:val="right"/>
                  <w:rPr>
                    <w:szCs w:val="21"/>
                  </w:rPr>
                </w:pPr>
                <w:r>
                  <w:rPr>
                    <w:rFonts w:hint="eastAsia"/>
                    <w:szCs w:val="21"/>
                  </w:rPr>
                  <w:t>0</w:t>
                </w:r>
              </w:p>
            </w:tc>
            <w:tc>
              <w:tcPr>
                <w:tcW w:w="848" w:type="pct"/>
                <w:shd w:val="clear" w:color="auto" w:fill="auto"/>
              </w:tcPr>
              <w:p w:rsidR="008445B5" w:rsidRDefault="002434D1" w:rsidP="0020440C">
                <w:pPr>
                  <w:jc w:val="right"/>
                  <w:rPr>
                    <w:szCs w:val="21"/>
                  </w:rPr>
                </w:pPr>
                <w:r>
                  <w:rPr>
                    <w:rFonts w:hint="eastAsia"/>
                    <w:szCs w:val="21"/>
                  </w:rPr>
                  <w:t>0</w:t>
                </w:r>
              </w:p>
            </w:tc>
            <w:tc>
              <w:tcPr>
                <w:tcW w:w="267" w:type="pct"/>
                <w:shd w:val="clear" w:color="auto" w:fill="auto"/>
              </w:tcPr>
              <w:p w:rsidR="008445B5" w:rsidRDefault="002434D1" w:rsidP="0020440C">
                <w:pPr>
                  <w:jc w:val="right"/>
                  <w:rPr>
                    <w:szCs w:val="21"/>
                  </w:rPr>
                </w:pPr>
                <w:r>
                  <w:rPr>
                    <w:rFonts w:hint="eastAsia"/>
                    <w:szCs w:val="21"/>
                  </w:rPr>
                  <w:t>0</w:t>
                </w:r>
              </w:p>
            </w:tc>
          </w:tr>
          <w:tr w:rsidR="002434D1" w:rsidTr="00603745">
            <w:trPr>
              <w:jc w:val="center"/>
            </w:trPr>
            <w:sdt>
              <w:sdtPr>
                <w:tag w:val="_PLD_da2c4bfd7c324819b355554c67cb7089"/>
                <w:id w:val="-75288446"/>
                <w:lock w:val="sdtLocked"/>
              </w:sdtPr>
              <w:sdtContent>
                <w:tc>
                  <w:tcPr>
                    <w:tcW w:w="1271" w:type="pct"/>
                    <w:shd w:val="clear" w:color="auto" w:fill="auto"/>
                  </w:tcPr>
                  <w:p w:rsidR="002434D1" w:rsidRDefault="002434D1" w:rsidP="0020440C">
                    <w:r>
                      <w:t>二、无限售条件流通股份</w:t>
                    </w:r>
                  </w:p>
                </w:tc>
              </w:sdtContent>
            </w:sdt>
            <w:tc>
              <w:tcPr>
                <w:tcW w:w="848" w:type="pct"/>
                <w:shd w:val="clear" w:color="auto" w:fill="auto"/>
                <w:vAlign w:val="center"/>
              </w:tcPr>
              <w:p w:rsidR="002434D1" w:rsidRDefault="002434D1">
                <w:pPr>
                  <w:rPr>
                    <w:sz w:val="24"/>
                  </w:rPr>
                </w:pPr>
                <w:r>
                  <w:t>14,866,908,025</w:t>
                </w:r>
              </w:p>
            </w:tc>
            <w:tc>
              <w:tcPr>
                <w:tcW w:w="267" w:type="pct"/>
                <w:shd w:val="clear" w:color="auto" w:fill="auto"/>
                <w:vAlign w:val="center"/>
              </w:tcPr>
              <w:p w:rsidR="002434D1" w:rsidRDefault="002434D1">
                <w:pPr>
                  <w:rPr>
                    <w:sz w:val="24"/>
                  </w:rPr>
                </w:pPr>
                <w:r>
                  <w:t>100</w:t>
                </w:r>
              </w:p>
            </w:tc>
            <w:tc>
              <w:tcPr>
                <w:tcW w:w="214" w:type="pct"/>
                <w:shd w:val="clear" w:color="auto" w:fill="auto"/>
              </w:tcPr>
              <w:p w:rsidR="002434D1" w:rsidRDefault="00295161" w:rsidP="0020440C">
                <w:pPr>
                  <w:jc w:val="right"/>
                  <w:rPr>
                    <w:szCs w:val="21"/>
                  </w:rPr>
                </w:pPr>
                <w:r>
                  <w:rPr>
                    <w:rFonts w:hint="eastAsia"/>
                    <w:szCs w:val="21"/>
                  </w:rPr>
                  <w:t>0</w:t>
                </w:r>
              </w:p>
            </w:tc>
            <w:tc>
              <w:tcPr>
                <w:tcW w:w="214" w:type="pct"/>
                <w:shd w:val="clear" w:color="auto" w:fill="auto"/>
              </w:tcPr>
              <w:p w:rsidR="002434D1" w:rsidRDefault="00295161" w:rsidP="0020440C">
                <w:pPr>
                  <w:jc w:val="right"/>
                  <w:rPr>
                    <w:szCs w:val="21"/>
                  </w:rPr>
                </w:pPr>
                <w:r>
                  <w:rPr>
                    <w:rFonts w:hint="eastAsia"/>
                    <w:szCs w:val="21"/>
                  </w:rPr>
                  <w:t>0</w:t>
                </w:r>
              </w:p>
            </w:tc>
            <w:tc>
              <w:tcPr>
                <w:tcW w:w="214" w:type="pct"/>
                <w:shd w:val="clear" w:color="auto" w:fill="auto"/>
              </w:tcPr>
              <w:p w:rsidR="002434D1" w:rsidRDefault="00295161" w:rsidP="0020440C">
                <w:pPr>
                  <w:jc w:val="right"/>
                  <w:rPr>
                    <w:szCs w:val="21"/>
                  </w:rPr>
                </w:pPr>
                <w:r>
                  <w:rPr>
                    <w:rFonts w:hint="eastAsia"/>
                    <w:szCs w:val="21"/>
                  </w:rPr>
                  <w:t>0</w:t>
                </w:r>
              </w:p>
            </w:tc>
            <w:tc>
              <w:tcPr>
                <w:tcW w:w="426" w:type="pct"/>
                <w:shd w:val="clear" w:color="auto" w:fill="auto"/>
              </w:tcPr>
              <w:p w:rsidR="002434D1" w:rsidRDefault="002434D1" w:rsidP="0020440C">
                <w:pPr>
                  <w:jc w:val="right"/>
                  <w:rPr>
                    <w:szCs w:val="21"/>
                  </w:rPr>
                </w:pPr>
                <w:r>
                  <w:rPr>
                    <w:szCs w:val="21"/>
                  </w:rPr>
                  <w:t>37,882</w:t>
                </w:r>
              </w:p>
            </w:tc>
            <w:tc>
              <w:tcPr>
                <w:tcW w:w="429" w:type="pct"/>
                <w:shd w:val="clear" w:color="auto" w:fill="auto"/>
              </w:tcPr>
              <w:p w:rsidR="002434D1" w:rsidRDefault="002434D1" w:rsidP="0020440C">
                <w:pPr>
                  <w:jc w:val="right"/>
                  <w:rPr>
                    <w:szCs w:val="21"/>
                  </w:rPr>
                </w:pPr>
                <w:r w:rsidRPr="002434D1">
                  <w:rPr>
                    <w:szCs w:val="21"/>
                  </w:rPr>
                  <w:t>37,882</w:t>
                </w:r>
              </w:p>
            </w:tc>
            <w:tc>
              <w:tcPr>
                <w:tcW w:w="848" w:type="pct"/>
                <w:shd w:val="clear" w:color="auto" w:fill="auto"/>
              </w:tcPr>
              <w:p w:rsidR="002434D1" w:rsidRDefault="002434D1" w:rsidP="0020440C">
                <w:pPr>
                  <w:jc w:val="right"/>
                  <w:rPr>
                    <w:szCs w:val="21"/>
                  </w:rPr>
                </w:pPr>
                <w:r w:rsidRPr="002434D1">
                  <w:rPr>
                    <w:szCs w:val="21"/>
                  </w:rPr>
                  <w:t>14,866,945,907</w:t>
                </w:r>
              </w:p>
            </w:tc>
            <w:tc>
              <w:tcPr>
                <w:tcW w:w="267" w:type="pct"/>
                <w:shd w:val="clear" w:color="auto" w:fill="auto"/>
              </w:tcPr>
              <w:p w:rsidR="002434D1" w:rsidRDefault="002434D1" w:rsidP="0020440C">
                <w:pPr>
                  <w:jc w:val="right"/>
                  <w:rPr>
                    <w:szCs w:val="21"/>
                  </w:rPr>
                </w:pPr>
                <w:r>
                  <w:rPr>
                    <w:rFonts w:hint="eastAsia"/>
                    <w:szCs w:val="21"/>
                  </w:rPr>
                  <w:t>100</w:t>
                </w:r>
              </w:p>
            </w:tc>
          </w:tr>
          <w:tr w:rsidR="002434D1" w:rsidTr="00603745">
            <w:trPr>
              <w:jc w:val="center"/>
            </w:trPr>
            <w:sdt>
              <w:sdtPr>
                <w:tag w:val="_PLD_33cbfb2523af4d8e991c931c273a9e12"/>
                <w:id w:val="1320693364"/>
                <w:lock w:val="sdtLocked"/>
              </w:sdtPr>
              <w:sdtContent>
                <w:tc>
                  <w:tcPr>
                    <w:tcW w:w="1271" w:type="pct"/>
                    <w:shd w:val="clear" w:color="auto" w:fill="auto"/>
                  </w:tcPr>
                  <w:p w:rsidR="002434D1" w:rsidRDefault="002434D1" w:rsidP="0020440C">
                    <w:pPr>
                      <w:rPr>
                        <w:szCs w:val="21"/>
                      </w:rPr>
                    </w:pPr>
                    <w:r>
                      <w:rPr>
                        <w:szCs w:val="21"/>
                      </w:rPr>
                      <w:t>1、人民币普通股</w:t>
                    </w:r>
                  </w:p>
                </w:tc>
              </w:sdtContent>
            </w:sdt>
            <w:tc>
              <w:tcPr>
                <w:tcW w:w="848" w:type="pct"/>
                <w:shd w:val="clear" w:color="auto" w:fill="auto"/>
                <w:vAlign w:val="center"/>
              </w:tcPr>
              <w:p w:rsidR="002434D1" w:rsidRDefault="002434D1">
                <w:pPr>
                  <w:rPr>
                    <w:sz w:val="24"/>
                  </w:rPr>
                </w:pPr>
                <w:r>
                  <w:t>14,866,908,025</w:t>
                </w:r>
              </w:p>
            </w:tc>
            <w:tc>
              <w:tcPr>
                <w:tcW w:w="267" w:type="pct"/>
                <w:shd w:val="clear" w:color="auto" w:fill="auto"/>
                <w:vAlign w:val="center"/>
              </w:tcPr>
              <w:p w:rsidR="002434D1" w:rsidRDefault="002434D1">
                <w:pPr>
                  <w:rPr>
                    <w:sz w:val="24"/>
                  </w:rPr>
                </w:pPr>
                <w:r>
                  <w:t>100</w:t>
                </w:r>
              </w:p>
            </w:tc>
            <w:tc>
              <w:tcPr>
                <w:tcW w:w="214" w:type="pct"/>
                <w:shd w:val="clear" w:color="auto" w:fill="auto"/>
              </w:tcPr>
              <w:p w:rsidR="002434D1" w:rsidRDefault="00295161" w:rsidP="0020440C">
                <w:pPr>
                  <w:jc w:val="right"/>
                  <w:rPr>
                    <w:szCs w:val="21"/>
                  </w:rPr>
                </w:pPr>
                <w:r>
                  <w:rPr>
                    <w:rFonts w:hint="eastAsia"/>
                    <w:szCs w:val="21"/>
                  </w:rPr>
                  <w:t>0</w:t>
                </w:r>
              </w:p>
            </w:tc>
            <w:tc>
              <w:tcPr>
                <w:tcW w:w="214" w:type="pct"/>
                <w:shd w:val="clear" w:color="auto" w:fill="auto"/>
              </w:tcPr>
              <w:p w:rsidR="002434D1" w:rsidRDefault="00295161" w:rsidP="0020440C">
                <w:pPr>
                  <w:jc w:val="right"/>
                  <w:rPr>
                    <w:szCs w:val="21"/>
                  </w:rPr>
                </w:pPr>
                <w:r>
                  <w:rPr>
                    <w:rFonts w:hint="eastAsia"/>
                    <w:szCs w:val="21"/>
                  </w:rPr>
                  <w:t>0</w:t>
                </w:r>
              </w:p>
            </w:tc>
            <w:tc>
              <w:tcPr>
                <w:tcW w:w="214" w:type="pct"/>
                <w:shd w:val="clear" w:color="auto" w:fill="auto"/>
              </w:tcPr>
              <w:p w:rsidR="002434D1" w:rsidRDefault="00295161" w:rsidP="0020440C">
                <w:pPr>
                  <w:jc w:val="right"/>
                  <w:rPr>
                    <w:szCs w:val="21"/>
                  </w:rPr>
                </w:pPr>
                <w:r>
                  <w:rPr>
                    <w:rFonts w:hint="eastAsia"/>
                    <w:szCs w:val="21"/>
                  </w:rPr>
                  <w:t>0</w:t>
                </w:r>
              </w:p>
            </w:tc>
            <w:tc>
              <w:tcPr>
                <w:tcW w:w="426" w:type="pct"/>
                <w:shd w:val="clear" w:color="auto" w:fill="auto"/>
              </w:tcPr>
              <w:p w:rsidR="002434D1" w:rsidRDefault="002434D1" w:rsidP="0020440C">
                <w:pPr>
                  <w:jc w:val="right"/>
                  <w:rPr>
                    <w:szCs w:val="21"/>
                  </w:rPr>
                </w:pPr>
                <w:r w:rsidRPr="002434D1">
                  <w:rPr>
                    <w:szCs w:val="21"/>
                  </w:rPr>
                  <w:t>37,882</w:t>
                </w:r>
              </w:p>
            </w:tc>
            <w:tc>
              <w:tcPr>
                <w:tcW w:w="429" w:type="pct"/>
                <w:shd w:val="clear" w:color="auto" w:fill="auto"/>
              </w:tcPr>
              <w:p w:rsidR="002434D1" w:rsidRDefault="002434D1" w:rsidP="0020440C">
                <w:pPr>
                  <w:jc w:val="right"/>
                  <w:rPr>
                    <w:szCs w:val="21"/>
                  </w:rPr>
                </w:pPr>
                <w:r w:rsidRPr="002434D1">
                  <w:rPr>
                    <w:szCs w:val="21"/>
                  </w:rPr>
                  <w:t>37,882</w:t>
                </w:r>
              </w:p>
            </w:tc>
            <w:tc>
              <w:tcPr>
                <w:tcW w:w="848" w:type="pct"/>
                <w:shd w:val="clear" w:color="auto" w:fill="auto"/>
              </w:tcPr>
              <w:p w:rsidR="002434D1" w:rsidRDefault="002434D1" w:rsidP="0020440C">
                <w:pPr>
                  <w:jc w:val="right"/>
                  <w:rPr>
                    <w:szCs w:val="21"/>
                  </w:rPr>
                </w:pPr>
                <w:r w:rsidRPr="002434D1">
                  <w:rPr>
                    <w:szCs w:val="21"/>
                  </w:rPr>
                  <w:t>14,866,945,907</w:t>
                </w:r>
              </w:p>
            </w:tc>
            <w:tc>
              <w:tcPr>
                <w:tcW w:w="267" w:type="pct"/>
                <w:shd w:val="clear" w:color="auto" w:fill="auto"/>
              </w:tcPr>
              <w:p w:rsidR="002434D1" w:rsidRDefault="002434D1" w:rsidP="0020440C">
                <w:pPr>
                  <w:jc w:val="right"/>
                  <w:rPr>
                    <w:szCs w:val="21"/>
                  </w:rPr>
                </w:pPr>
                <w:r>
                  <w:rPr>
                    <w:rFonts w:hint="eastAsia"/>
                    <w:szCs w:val="21"/>
                  </w:rPr>
                  <w:t>100</w:t>
                </w:r>
              </w:p>
            </w:tc>
          </w:tr>
          <w:tr w:rsidR="002434D1" w:rsidTr="00603745">
            <w:trPr>
              <w:jc w:val="center"/>
            </w:trPr>
            <w:sdt>
              <w:sdtPr>
                <w:tag w:val="_PLD_4b1d688c7b284c9ebacd5343838eda0e"/>
                <w:id w:val="-1612123413"/>
                <w:lock w:val="sdtLocked"/>
              </w:sdtPr>
              <w:sdtContent>
                <w:tc>
                  <w:tcPr>
                    <w:tcW w:w="1271" w:type="pct"/>
                    <w:shd w:val="clear" w:color="auto" w:fill="auto"/>
                  </w:tcPr>
                  <w:p w:rsidR="002434D1" w:rsidRDefault="002434D1" w:rsidP="0020440C">
                    <w:pPr>
                      <w:rPr>
                        <w:szCs w:val="21"/>
                      </w:rPr>
                    </w:pPr>
                    <w:r>
                      <w:rPr>
                        <w:szCs w:val="21"/>
                      </w:rPr>
                      <w:t>三、股份</w:t>
                    </w:r>
                    <w:r>
                      <w:rPr>
                        <w:rFonts w:hint="eastAsia"/>
                        <w:szCs w:val="21"/>
                      </w:rPr>
                      <w:t>总数</w:t>
                    </w:r>
                  </w:p>
                </w:tc>
              </w:sdtContent>
            </w:sdt>
            <w:tc>
              <w:tcPr>
                <w:tcW w:w="848" w:type="pct"/>
                <w:shd w:val="clear" w:color="auto" w:fill="auto"/>
                <w:vAlign w:val="center"/>
              </w:tcPr>
              <w:p w:rsidR="002434D1" w:rsidRDefault="002434D1">
                <w:pPr>
                  <w:rPr>
                    <w:sz w:val="24"/>
                  </w:rPr>
                </w:pPr>
                <w:r>
                  <w:t>14,866,908,025</w:t>
                </w:r>
              </w:p>
            </w:tc>
            <w:tc>
              <w:tcPr>
                <w:tcW w:w="267" w:type="pct"/>
                <w:shd w:val="clear" w:color="auto" w:fill="auto"/>
                <w:vAlign w:val="center"/>
              </w:tcPr>
              <w:p w:rsidR="002434D1" w:rsidRDefault="002434D1">
                <w:pPr>
                  <w:rPr>
                    <w:sz w:val="24"/>
                  </w:rPr>
                </w:pPr>
                <w:r>
                  <w:t>100</w:t>
                </w:r>
              </w:p>
            </w:tc>
            <w:tc>
              <w:tcPr>
                <w:tcW w:w="214" w:type="pct"/>
                <w:shd w:val="clear" w:color="auto" w:fill="auto"/>
              </w:tcPr>
              <w:p w:rsidR="002434D1" w:rsidRDefault="00295161" w:rsidP="0020440C">
                <w:pPr>
                  <w:jc w:val="right"/>
                  <w:rPr>
                    <w:szCs w:val="21"/>
                  </w:rPr>
                </w:pPr>
                <w:r>
                  <w:rPr>
                    <w:rFonts w:hint="eastAsia"/>
                    <w:szCs w:val="21"/>
                  </w:rPr>
                  <w:t>0</w:t>
                </w:r>
              </w:p>
            </w:tc>
            <w:tc>
              <w:tcPr>
                <w:tcW w:w="214" w:type="pct"/>
                <w:shd w:val="clear" w:color="auto" w:fill="auto"/>
              </w:tcPr>
              <w:p w:rsidR="002434D1" w:rsidRDefault="00295161" w:rsidP="0020440C">
                <w:pPr>
                  <w:jc w:val="right"/>
                  <w:rPr>
                    <w:szCs w:val="21"/>
                  </w:rPr>
                </w:pPr>
                <w:r>
                  <w:rPr>
                    <w:rFonts w:hint="eastAsia"/>
                    <w:szCs w:val="21"/>
                  </w:rPr>
                  <w:t>0</w:t>
                </w:r>
              </w:p>
            </w:tc>
            <w:tc>
              <w:tcPr>
                <w:tcW w:w="214" w:type="pct"/>
                <w:shd w:val="clear" w:color="auto" w:fill="auto"/>
              </w:tcPr>
              <w:p w:rsidR="002434D1" w:rsidRDefault="00295161" w:rsidP="0020440C">
                <w:pPr>
                  <w:jc w:val="right"/>
                  <w:rPr>
                    <w:szCs w:val="21"/>
                  </w:rPr>
                </w:pPr>
                <w:r>
                  <w:rPr>
                    <w:rFonts w:hint="eastAsia"/>
                    <w:szCs w:val="21"/>
                  </w:rPr>
                  <w:t>0</w:t>
                </w:r>
              </w:p>
            </w:tc>
            <w:tc>
              <w:tcPr>
                <w:tcW w:w="426" w:type="pct"/>
                <w:shd w:val="clear" w:color="auto" w:fill="auto"/>
              </w:tcPr>
              <w:p w:rsidR="002434D1" w:rsidRDefault="002434D1" w:rsidP="0020440C">
                <w:pPr>
                  <w:jc w:val="right"/>
                  <w:rPr>
                    <w:szCs w:val="21"/>
                  </w:rPr>
                </w:pPr>
                <w:r w:rsidRPr="002434D1">
                  <w:rPr>
                    <w:szCs w:val="21"/>
                  </w:rPr>
                  <w:t>37,882</w:t>
                </w:r>
              </w:p>
            </w:tc>
            <w:tc>
              <w:tcPr>
                <w:tcW w:w="429" w:type="pct"/>
                <w:shd w:val="clear" w:color="auto" w:fill="auto"/>
              </w:tcPr>
              <w:p w:rsidR="002434D1" w:rsidRDefault="002434D1" w:rsidP="0020440C">
                <w:pPr>
                  <w:jc w:val="right"/>
                  <w:rPr>
                    <w:szCs w:val="21"/>
                  </w:rPr>
                </w:pPr>
                <w:r w:rsidRPr="002434D1">
                  <w:rPr>
                    <w:szCs w:val="21"/>
                  </w:rPr>
                  <w:t>37,882</w:t>
                </w:r>
              </w:p>
            </w:tc>
            <w:tc>
              <w:tcPr>
                <w:tcW w:w="848" w:type="pct"/>
                <w:shd w:val="clear" w:color="auto" w:fill="auto"/>
              </w:tcPr>
              <w:p w:rsidR="002434D1" w:rsidRDefault="002434D1" w:rsidP="0020440C">
                <w:pPr>
                  <w:jc w:val="right"/>
                  <w:rPr>
                    <w:szCs w:val="21"/>
                  </w:rPr>
                </w:pPr>
                <w:r w:rsidRPr="002434D1">
                  <w:rPr>
                    <w:szCs w:val="21"/>
                  </w:rPr>
                  <w:t>14,866,945,907</w:t>
                </w:r>
              </w:p>
            </w:tc>
            <w:tc>
              <w:tcPr>
                <w:tcW w:w="267" w:type="pct"/>
                <w:shd w:val="clear" w:color="auto" w:fill="auto"/>
              </w:tcPr>
              <w:p w:rsidR="002434D1" w:rsidRDefault="002434D1" w:rsidP="0020440C">
                <w:pPr>
                  <w:jc w:val="right"/>
                  <w:rPr>
                    <w:szCs w:val="21"/>
                  </w:rPr>
                </w:pPr>
                <w:r>
                  <w:rPr>
                    <w:rFonts w:hint="eastAsia"/>
                    <w:szCs w:val="21"/>
                  </w:rPr>
                  <w:t>100</w:t>
                </w:r>
              </w:p>
            </w:tc>
          </w:tr>
        </w:tbl>
        <w:p w:rsidR="00806678" w:rsidRPr="00DE441F" w:rsidRDefault="00F80B6C"/>
      </w:sdtContent>
    </w:sdt>
    <w:sdt>
      <w:sdtPr>
        <w:rPr>
          <w:rFonts w:ascii="Calibri" w:eastAsia="宋体" w:hAnsi="Calibri" w:cs="宋体"/>
          <w:b w:val="0"/>
          <w:bCs w:val="0"/>
          <w:kern w:val="0"/>
          <w:sz w:val="24"/>
          <w:szCs w:val="22"/>
        </w:rPr>
        <w:alias w:val="模块:股份变动情况说明"/>
        <w:tag w:val="_SEC_cff93b3516844dffa00c7117b3d7105d"/>
        <w:id w:val="19905621"/>
        <w:lock w:val="sdtLocked"/>
        <w:placeholder>
          <w:docPart w:val="GBC22222222222222222222222222222"/>
        </w:placeholder>
      </w:sdtPr>
      <w:sdtEndPr>
        <w:rPr>
          <w:rFonts w:ascii="宋体" w:hAnsi="宋体" w:hint="eastAsia"/>
          <w:sz w:val="21"/>
          <w:szCs w:val="21"/>
        </w:rPr>
      </w:sdtEndPr>
      <w:sdtContent>
        <w:p w:rsidR="00806678" w:rsidRDefault="00B16377">
          <w:pPr>
            <w:pStyle w:val="4"/>
            <w:numPr>
              <w:ilvl w:val="2"/>
              <w:numId w:val="13"/>
            </w:numPr>
          </w:pPr>
          <w:r>
            <w:t>股份变动情况说明</w:t>
          </w:r>
        </w:p>
        <w:sdt>
          <w:sdtPr>
            <w:rPr>
              <w:rFonts w:hint="eastAsia"/>
              <w:szCs w:val="21"/>
            </w:rPr>
            <w:alias w:val="是否适用：普通股股份变动情况说明[双击切换]"/>
            <w:tag w:val="_GBC_b52413c1d37b456ba72aa8b8840cb9d8"/>
            <w:id w:val="-1705546354"/>
            <w:lock w:val="sdtLocked"/>
            <w:placeholder>
              <w:docPart w:val="GBC22222222222222222222222222222"/>
            </w:placeholder>
          </w:sdtPr>
          <w:sdtContent>
            <w:p w:rsidR="00806678" w:rsidRDefault="00F80B6C">
              <w:pPr>
                <w:rPr>
                  <w:szCs w:val="21"/>
                </w:rPr>
              </w:pPr>
              <w:r>
                <w:rPr>
                  <w:szCs w:val="21"/>
                </w:rPr>
                <w:fldChar w:fldCharType="begin"/>
              </w:r>
              <w:r w:rsidR="00DE441F">
                <w:rPr>
                  <w:szCs w:val="21"/>
                </w:rPr>
                <w:instrText xml:space="preserve"> MACROBUTTON  SnrToggleCheckbox √适用  </w:instrText>
              </w:r>
              <w:r>
                <w:rPr>
                  <w:szCs w:val="21"/>
                </w:rPr>
                <w:fldChar w:fldCharType="end"/>
              </w:r>
              <w:r>
                <w:rPr>
                  <w:szCs w:val="21"/>
                </w:rPr>
                <w:fldChar w:fldCharType="begin"/>
              </w:r>
              <w:r w:rsidR="00DE441F">
                <w:rPr>
                  <w:szCs w:val="21"/>
                </w:rPr>
                <w:instrText xml:space="preserve"> MACROBUTTON  SnrToggleCheckbox □不适用 </w:instrText>
              </w:r>
              <w:r>
                <w:rPr>
                  <w:szCs w:val="21"/>
                </w:rPr>
                <w:fldChar w:fldCharType="end"/>
              </w:r>
            </w:p>
          </w:sdtContent>
        </w:sdt>
        <w:sdt>
          <w:sdtPr>
            <w:rPr>
              <w:rFonts w:hint="eastAsia"/>
              <w:szCs w:val="21"/>
            </w:rPr>
            <w:alias w:val="股份变动情况说明"/>
            <w:tag w:val="_GBC_0049817ff5b44e28a8751c37cab3f894"/>
            <w:id w:val="19905611"/>
            <w:lock w:val="sdtLocked"/>
            <w:placeholder>
              <w:docPart w:val="GBC22222222222222222222222222222"/>
            </w:placeholder>
          </w:sdtPr>
          <w:sdtContent>
            <w:p w:rsidR="00DE441F" w:rsidRDefault="00DE441F" w:rsidP="00DE441F">
              <w:pPr>
                <w:spacing w:line="360" w:lineRule="auto"/>
                <w:ind w:firstLineChars="200" w:firstLine="420"/>
                <w:jc w:val="both"/>
              </w:pPr>
              <w:r>
                <w:rPr>
                  <w:rFonts w:hint="eastAsia"/>
                </w:rPr>
                <w:t>经证监会核准，公司于</w:t>
              </w:r>
              <w:r>
                <w:t>2020年12月14日向社会公开发行面值总额320亿元可转换公司债券，发行价格100.00元/张，共计32,000万张，募集资金总额为人民币320亿元。本次发行的可转债于2021年1月15日起在上海证券交易所挂牌交易，债券简称“大秦转债”，债券代码“113044”。</w:t>
              </w:r>
            </w:p>
            <w:p w:rsidR="00806678" w:rsidRDefault="00DE441F" w:rsidP="00DE441F">
              <w:pPr>
                <w:spacing w:line="360" w:lineRule="auto"/>
                <w:ind w:firstLineChars="200" w:firstLine="420"/>
                <w:rPr>
                  <w:szCs w:val="21"/>
                </w:rPr>
              </w:pPr>
              <w:r>
                <w:rPr>
                  <w:rFonts w:hint="eastAsia"/>
                </w:rPr>
                <w:t>根据《公开发行可转换公司债券募集说明书》的约定，“大秦转债”自</w:t>
              </w:r>
              <w:r>
                <w:t>2021年6月18日起可转换为本公司股份。</w:t>
              </w:r>
              <w:r w:rsidRPr="00DE441F">
                <w:t>截至202</w:t>
              </w:r>
              <w:r w:rsidRPr="00DE441F">
                <w:rPr>
                  <w:rFonts w:hint="eastAsia"/>
                </w:rPr>
                <w:t>2</w:t>
              </w:r>
              <w:r w:rsidRPr="00DE441F">
                <w:t>年</w:t>
              </w:r>
              <w:r w:rsidRPr="00DE441F">
                <w:rPr>
                  <w:rFonts w:hint="eastAsia"/>
                </w:rPr>
                <w:t>12</w:t>
              </w:r>
              <w:r w:rsidRPr="00DE441F">
                <w:t>月</w:t>
              </w:r>
              <w:r w:rsidRPr="00DE441F">
                <w:rPr>
                  <w:rFonts w:hint="eastAsia"/>
                </w:rPr>
                <w:t>31</w:t>
              </w:r>
              <w:r w:rsidRPr="00DE441F">
                <w:t>日，累计共有人民币</w:t>
              </w:r>
              <w:r w:rsidRPr="00DE441F">
                <w:rPr>
                  <w:rFonts w:hint="eastAsia"/>
                </w:rPr>
                <w:t>1,141,000</w:t>
              </w:r>
              <w:r w:rsidRPr="00DE441F">
                <w:t>元“</w:t>
              </w:r>
              <w:r w:rsidRPr="00DE441F">
                <w:rPr>
                  <w:rFonts w:hint="eastAsia"/>
                </w:rPr>
                <w:t>大秦</w:t>
              </w:r>
              <w:r w:rsidRPr="00DE441F">
                <w:t>转债”已转换为公司股票，转股数量为</w:t>
              </w:r>
              <w:r w:rsidRPr="00DE441F">
                <w:rPr>
                  <w:rFonts w:hint="eastAsia"/>
                </w:rPr>
                <w:t>154,416</w:t>
              </w:r>
              <w:r w:rsidRPr="00DE441F">
                <w:t>股，占可转债开始转股前公司已发行股份总额的</w:t>
              </w:r>
              <w:r w:rsidRPr="00DE441F">
                <w:rPr>
                  <w:rFonts w:hint="eastAsia"/>
                </w:rPr>
                <w:t>0.001039</w:t>
              </w:r>
              <w:r w:rsidRPr="00DE441F">
                <w:t>%。内</w:t>
              </w:r>
              <w:r>
                <w:t>容详见公司于202</w:t>
              </w:r>
              <w:r>
                <w:rPr>
                  <w:rFonts w:hint="eastAsia"/>
                </w:rPr>
                <w:t>3</w:t>
              </w:r>
              <w:r>
                <w:t>年</w:t>
              </w:r>
              <w:r>
                <w:rPr>
                  <w:rFonts w:hint="eastAsia"/>
                </w:rPr>
                <w:t>1</w:t>
              </w:r>
              <w:r>
                <w:t>月</w:t>
              </w:r>
              <w:r>
                <w:rPr>
                  <w:rFonts w:hint="eastAsia"/>
                </w:rPr>
                <w:t>4</w:t>
              </w:r>
              <w:r>
                <w:t>日在上海证券交易所网站披露的《大秦铁路股份有限公司可转债转股结果暨股份变动公告》。</w:t>
              </w:r>
            </w:p>
          </w:sdtContent>
        </w:sdt>
      </w:sdtContent>
    </w:sdt>
    <w:sdt>
      <w:sdtPr>
        <w:rPr>
          <w:rFonts w:ascii="Calibri" w:eastAsia="宋体" w:hAnsi="Calibri" w:cs="宋体"/>
          <w:b w:val="0"/>
          <w:bCs w:val="0"/>
          <w:kern w:val="0"/>
          <w:sz w:val="24"/>
          <w:szCs w:val="24"/>
        </w:rPr>
        <w:alias w:val="模块:股份变动对最近一年和最近一期财务指标的影响"/>
        <w:tag w:val="_SEC_a02e0bd8061b48758da5b49301b9d61c"/>
        <w:id w:val="19905623"/>
        <w:lock w:val="sdtLocked"/>
        <w:placeholder>
          <w:docPart w:val="GBC22222222222222222222222222222"/>
        </w:placeholder>
      </w:sdtPr>
      <w:sdtEndPr>
        <w:rPr>
          <w:rFonts w:ascii="宋体" w:hAnsi="宋体" w:hint="eastAsia"/>
          <w:sz w:val="21"/>
          <w:szCs w:val="21"/>
        </w:rPr>
      </w:sdtEndPr>
      <w:sdtContent>
        <w:p w:rsidR="00806678" w:rsidRDefault="00B16377">
          <w:pPr>
            <w:pStyle w:val="4"/>
            <w:numPr>
              <w:ilvl w:val="2"/>
              <w:numId w:val="13"/>
            </w:numPr>
          </w:pPr>
          <w:r>
            <w:rPr>
              <w:rFonts w:hint="eastAsia"/>
            </w:rPr>
            <w:t>股份变动对最近一年和最近一期</w:t>
          </w:r>
          <w:r>
            <w:t>每股收益、每股净资产等财务指标的影响（如有）</w:t>
          </w:r>
        </w:p>
        <w:sdt>
          <w:sdtPr>
            <w:rPr>
              <w:rFonts w:hint="eastAsia"/>
              <w:szCs w:val="21"/>
            </w:rPr>
            <w:alias w:val="是否适用：普通股股份变动对最近一年和最近一期每股收益、每股净资产等财务指标的影响[双击切换]"/>
            <w:tag w:val="_GBC_f6d6c5b3580241f5b23493659505a79e"/>
            <w:id w:val="1457679343"/>
            <w:lock w:val="sdtLocked"/>
            <w:placeholder>
              <w:docPart w:val="GBC22222222222222222222222222222"/>
            </w:placeholder>
          </w:sdtPr>
          <w:sdtContent>
            <w:p w:rsidR="00806678" w:rsidRDefault="00F80B6C">
              <w:pPr>
                <w:rPr>
                  <w:szCs w:val="21"/>
                </w:rPr>
              </w:pPr>
              <w:r>
                <w:rPr>
                  <w:szCs w:val="21"/>
                </w:rPr>
                <w:fldChar w:fldCharType="begin"/>
              </w:r>
              <w:r w:rsidR="003B2481">
                <w:rPr>
                  <w:szCs w:val="21"/>
                </w:rPr>
                <w:instrText xml:space="preserve"> MACROBUTTON  SnrToggleCheckbox √适用  </w:instrText>
              </w:r>
              <w:r>
                <w:rPr>
                  <w:szCs w:val="21"/>
                </w:rPr>
                <w:fldChar w:fldCharType="end"/>
              </w:r>
              <w:r>
                <w:rPr>
                  <w:szCs w:val="21"/>
                </w:rPr>
                <w:fldChar w:fldCharType="begin"/>
              </w:r>
              <w:r w:rsidR="003B2481">
                <w:rPr>
                  <w:szCs w:val="21"/>
                </w:rPr>
                <w:instrText xml:space="preserve"> MACROBUTTON  SnrToggleCheckbox □不适用 </w:instrText>
              </w:r>
              <w:r>
                <w:rPr>
                  <w:szCs w:val="21"/>
                </w:rPr>
                <w:fldChar w:fldCharType="end"/>
              </w:r>
            </w:p>
          </w:sdtContent>
        </w:sdt>
        <w:sdt>
          <w:sdtPr>
            <w:rPr>
              <w:rFonts w:hint="eastAsia"/>
              <w:szCs w:val="21"/>
            </w:rPr>
            <w:alias w:val="股份变动对最近一年和最近一期财务指标的影响"/>
            <w:tag w:val="_GBC_18dc915b15db45f9ad252a23be29055d"/>
            <w:id w:val="19905614"/>
            <w:lock w:val="sdtLocked"/>
            <w:placeholder>
              <w:docPart w:val="GBC22222222222222222222222222222"/>
            </w:placeholder>
          </w:sdtPr>
          <w:sdtContent>
            <w:p w:rsidR="00806678" w:rsidRDefault="003B2481" w:rsidP="003B2481">
              <w:pPr>
                <w:spacing w:line="360" w:lineRule="auto"/>
                <w:ind w:firstLineChars="200" w:firstLine="420"/>
                <w:rPr>
                  <w:szCs w:val="21"/>
                </w:rPr>
              </w:pPr>
              <w:r>
                <w:t>报告期</w:t>
              </w:r>
              <w:r>
                <w:rPr>
                  <w:rFonts w:hint="eastAsia"/>
                </w:rPr>
                <w:t>内</w:t>
              </w:r>
              <w:r>
                <w:t>，</w:t>
              </w:r>
              <w:r>
                <w:rPr>
                  <w:rFonts w:hint="eastAsia"/>
                </w:rPr>
                <w:t>公司可转债转股金额较小，</w:t>
              </w:r>
              <w:r>
                <w:t>可转债转股导致的股</w:t>
              </w:r>
              <w:r>
                <w:rPr>
                  <w:rFonts w:hint="eastAsia"/>
                </w:rPr>
                <w:t>份</w:t>
              </w:r>
              <w:r>
                <w:t>变动对每股收益、每股净资产等财务指标影响</w:t>
              </w:r>
              <w:r>
                <w:rPr>
                  <w:rFonts w:hint="eastAsia"/>
                </w:rPr>
                <w:t>较小。</w:t>
              </w:r>
            </w:p>
          </w:sdtContent>
        </w:sdt>
      </w:sdtContent>
    </w:sdt>
    <w:sdt>
      <w:sdtPr>
        <w:rPr>
          <w:rFonts w:ascii="Calibri" w:eastAsia="宋体" w:hAnsi="Calibri" w:cs="宋体"/>
          <w:b w:val="0"/>
          <w:bCs w:val="0"/>
          <w:kern w:val="0"/>
          <w:sz w:val="24"/>
          <w:szCs w:val="24"/>
        </w:rPr>
        <w:alias w:val="模块:公司认为必要或证券监管机构要求披露的其他内容"/>
        <w:tag w:val="_SEC_0585cd9d958541589e59afceb5c63546"/>
        <w:id w:val="19905625"/>
        <w:lock w:val="sdtLocked"/>
        <w:placeholder>
          <w:docPart w:val="GBC22222222222222222222222222222"/>
        </w:placeholder>
      </w:sdtPr>
      <w:sdtEndPr>
        <w:rPr>
          <w:rFonts w:ascii="宋体" w:hAnsi="宋体" w:hint="eastAsia"/>
          <w:sz w:val="21"/>
          <w:szCs w:val="21"/>
        </w:rPr>
      </w:sdtEndPr>
      <w:sdtContent>
        <w:p w:rsidR="00806678" w:rsidRDefault="00B16377">
          <w:pPr>
            <w:pStyle w:val="4"/>
            <w:numPr>
              <w:ilvl w:val="2"/>
              <w:numId w:val="13"/>
            </w:numPr>
          </w:pPr>
          <w:r>
            <w:t>公司认为必要或证券监管机构要求披露的其他内容</w:t>
          </w:r>
        </w:p>
        <w:sdt>
          <w:sdtPr>
            <w:rPr>
              <w:rFonts w:hint="eastAsia"/>
              <w:szCs w:val="21"/>
            </w:rPr>
            <w:alias w:val="是否适用：公司认为必要或证券监管机构要求披露的其他内容[双击切换]"/>
            <w:tag w:val="_GBC_b944a9eaa1de4bf49df496a2cfe2824e"/>
            <w:id w:val="-744413788"/>
            <w:lock w:val="sdtLocked"/>
            <w:placeholder>
              <w:docPart w:val="GBC22222222222222222222222222222"/>
            </w:placeholder>
          </w:sdtPr>
          <w:sdtContent>
            <w:p w:rsidR="00806678" w:rsidRDefault="00F80B6C" w:rsidP="003B2481">
              <w:pPr>
                <w:rPr>
                  <w:szCs w:val="21"/>
                </w:rPr>
              </w:pPr>
              <w:r>
                <w:rPr>
                  <w:szCs w:val="21"/>
                </w:rPr>
                <w:fldChar w:fldCharType="begin"/>
              </w:r>
              <w:r w:rsidR="003B2481">
                <w:rPr>
                  <w:szCs w:val="21"/>
                </w:rPr>
                <w:instrText xml:space="preserve"> MACROBUTTON  SnrToggleCheckbox □适用  </w:instrText>
              </w:r>
              <w:r>
                <w:rPr>
                  <w:szCs w:val="21"/>
                </w:rPr>
                <w:fldChar w:fldCharType="end"/>
              </w:r>
              <w:r>
                <w:rPr>
                  <w:szCs w:val="21"/>
                </w:rPr>
                <w:fldChar w:fldCharType="begin"/>
              </w:r>
              <w:r w:rsidR="003B2481">
                <w:rPr>
                  <w:szCs w:val="21"/>
                </w:rPr>
                <w:instrText xml:space="preserve"> MACROBUTTON  SnrToggleCheckbox √不适用 </w:instrText>
              </w:r>
              <w:r>
                <w:rPr>
                  <w:szCs w:val="21"/>
                </w:rPr>
                <w:fldChar w:fldCharType="end"/>
              </w:r>
            </w:p>
          </w:sdtContent>
        </w:sdt>
      </w:sdtContent>
    </w:sdt>
    <w:p w:rsidR="00806678" w:rsidRDefault="00B16377">
      <w:pPr>
        <w:pStyle w:val="3"/>
        <w:numPr>
          <w:ilvl w:val="1"/>
          <w:numId w:val="12"/>
        </w:numPr>
        <w:rPr>
          <w:szCs w:val="21"/>
        </w:rPr>
      </w:pPr>
      <w:r>
        <w:rPr>
          <w:szCs w:val="21"/>
        </w:rPr>
        <w:t>限售股份变动情况</w:t>
      </w:r>
    </w:p>
    <w:sdt>
      <w:sdtPr>
        <w:alias w:val="是否适用：限售股份变动情况表[双击切换]"/>
        <w:tag w:val="_GBC_c7cc39830d364bf68db1ac8777908a9e"/>
        <w:id w:val="191993814"/>
        <w:lock w:val="sdtLocked"/>
        <w:placeholder>
          <w:docPart w:val="GBC22222222222222222222222222222"/>
        </w:placeholder>
      </w:sdtPr>
      <w:sdtContent>
        <w:p w:rsidR="00806678" w:rsidRDefault="00F80B6C">
          <w:pPr>
            <w:rPr>
              <w:rFonts w:asciiTheme="minorEastAsia" w:eastAsiaTheme="minorEastAsia" w:hAnsiTheme="minorEastAsia"/>
              <w:szCs w:val="21"/>
            </w:rPr>
          </w:pPr>
          <w:r>
            <w:fldChar w:fldCharType="begin"/>
          </w:r>
          <w:r w:rsidR="004A212B">
            <w:instrText xml:space="preserve">MACROBUTTON  SnrToggleCheckbox □适用 </w:instrText>
          </w:r>
          <w:r>
            <w:fldChar w:fldCharType="end"/>
          </w:r>
          <w:r>
            <w:fldChar w:fldCharType="begin"/>
          </w:r>
          <w:r w:rsidR="004A212B">
            <w:instrText xml:space="preserve"> MACROBUTTON  SnrToggleCheckbox √不适用 </w:instrText>
          </w:r>
          <w:r>
            <w:fldChar w:fldCharType="end"/>
          </w:r>
        </w:p>
      </w:sdtContent>
    </w:sdt>
    <w:p w:rsidR="00806678" w:rsidRDefault="00B16377">
      <w:pPr>
        <w:pStyle w:val="2"/>
        <w:numPr>
          <w:ilvl w:val="0"/>
          <w:numId w:val="1"/>
        </w:numPr>
      </w:pPr>
      <w:r>
        <w:t>证券发行与上市情况</w:t>
      </w:r>
    </w:p>
    <w:bookmarkStart w:id="100" w:name="_Hlk89954403" w:displacedByCustomXml="next"/>
    <w:sdt>
      <w:sdtPr>
        <w:rPr>
          <w:rFonts w:ascii="宋体" w:hAnsi="宋体" w:cs="宋体"/>
          <w:b w:val="0"/>
          <w:bCs w:val="0"/>
          <w:kern w:val="0"/>
          <w:szCs w:val="24"/>
        </w:rPr>
        <w:alias w:val="模块:截至报告期内证券发行情况"/>
        <w:tag w:val="_SEC_314fe0a7461349b58ad8d67ad9671220"/>
        <w:id w:val="27485072"/>
        <w:lock w:val="sdtLocked"/>
        <w:placeholder>
          <w:docPart w:val="GBC22222222222222222222222222222"/>
        </w:placeholder>
      </w:sdtPr>
      <w:sdtEndPr>
        <w:rPr>
          <w:rFonts w:hint="eastAsia"/>
          <w:szCs w:val="21"/>
        </w:rPr>
      </w:sdtEndPr>
      <w:sdtContent>
        <w:p w:rsidR="00806678" w:rsidRDefault="00B16377" w:rsidP="00FF17C7">
          <w:pPr>
            <w:pStyle w:val="3"/>
            <w:numPr>
              <w:ilvl w:val="0"/>
              <w:numId w:val="30"/>
            </w:numPr>
          </w:pPr>
          <w:r>
            <w:t>截至</w:t>
          </w:r>
          <w:r>
            <w:rPr>
              <w:rFonts w:hint="eastAsia"/>
            </w:rPr>
            <w:t>报告期内</w:t>
          </w:r>
          <w:r>
            <w:t>证券发行情况</w:t>
          </w:r>
        </w:p>
        <w:sdt>
          <w:sdtPr>
            <w:alias w:val="是否适用：截至报告期内证券发行情况[双击切换]"/>
            <w:tag w:val="_GBC_a9b53137ff4442baa307fbc68ebc8cbc"/>
            <w:id w:val="1731493255"/>
            <w:lock w:val="sdtLocked"/>
            <w:placeholder>
              <w:docPart w:val="GBC22222222222222222222222222222"/>
            </w:placeholder>
          </w:sdtPr>
          <w:sdtContent>
            <w:p w:rsidR="00977124" w:rsidRDefault="00F80B6C" w:rsidP="00977124">
              <w:r>
                <w:fldChar w:fldCharType="begin"/>
              </w:r>
              <w:r w:rsidR="00977124">
                <w:instrText xml:space="preserve">MACROBUTTON  SnrToggleCheckbox □适用 </w:instrText>
              </w:r>
              <w:r>
                <w:fldChar w:fldCharType="end"/>
              </w:r>
              <w:r>
                <w:fldChar w:fldCharType="begin"/>
              </w:r>
              <w:r w:rsidR="00977124">
                <w:instrText xml:space="preserve"> MACROBUTTON  SnrToggleCheckbox √不适用 </w:instrText>
              </w:r>
              <w:r>
                <w:fldChar w:fldCharType="end"/>
              </w:r>
            </w:p>
          </w:sdtContent>
        </w:sdt>
        <w:p w:rsidR="00806678" w:rsidRDefault="00B16377">
          <w:pPr>
            <w:rPr>
              <w:szCs w:val="21"/>
            </w:rPr>
          </w:pPr>
          <w:r>
            <w:rPr>
              <w:szCs w:val="21"/>
            </w:rPr>
            <w:t>截至</w:t>
          </w:r>
          <w:r>
            <w:rPr>
              <w:rFonts w:hint="eastAsia"/>
              <w:szCs w:val="21"/>
            </w:rPr>
            <w:t>报告期内</w:t>
          </w:r>
          <w:r>
            <w:rPr>
              <w:szCs w:val="21"/>
            </w:rPr>
            <w:t>证券发行情况的说明（存续期内利率不同的债券，请分别说明）：</w:t>
          </w:r>
        </w:p>
        <w:sdt>
          <w:sdtPr>
            <w:rPr>
              <w:rFonts w:hint="eastAsia"/>
              <w:szCs w:val="21"/>
            </w:rPr>
            <w:alias w:val="是否适用：截至报告期内证券发行情况的说明[双击切换]"/>
            <w:tag w:val="_GBC_41eee01683bd43189dc24a776753e295"/>
            <w:id w:val="-1202387633"/>
            <w:lock w:val="sdtLocked"/>
            <w:placeholder>
              <w:docPart w:val="GBC22222222222222222222222222222"/>
            </w:placeholder>
          </w:sdtPr>
          <w:sdtContent>
            <w:p w:rsidR="00806678" w:rsidRDefault="00F80B6C">
              <w:pPr>
                <w:rPr>
                  <w:szCs w:val="21"/>
                </w:rPr>
              </w:pPr>
              <w:r>
                <w:rPr>
                  <w:szCs w:val="21"/>
                </w:rPr>
                <w:fldChar w:fldCharType="begin"/>
              </w:r>
              <w:r w:rsidR="00977124">
                <w:rPr>
                  <w:szCs w:val="21"/>
                </w:rPr>
                <w:instrText xml:space="preserve"> MACROBUTTON  SnrToggleCheckbox √适用  </w:instrText>
              </w:r>
              <w:r>
                <w:rPr>
                  <w:szCs w:val="21"/>
                </w:rPr>
                <w:fldChar w:fldCharType="end"/>
              </w:r>
              <w:r>
                <w:rPr>
                  <w:szCs w:val="21"/>
                </w:rPr>
                <w:fldChar w:fldCharType="begin"/>
              </w:r>
              <w:r w:rsidR="00977124">
                <w:rPr>
                  <w:szCs w:val="21"/>
                </w:rPr>
                <w:instrText xml:space="preserve"> MACROBUTTON  SnrToggleCheckbox □不适用 </w:instrText>
              </w:r>
              <w:r>
                <w:rPr>
                  <w:szCs w:val="21"/>
                </w:rPr>
                <w:fldChar w:fldCharType="end"/>
              </w:r>
            </w:p>
          </w:sdtContent>
        </w:sdt>
        <w:sdt>
          <w:sdtPr>
            <w:rPr>
              <w:rFonts w:hint="eastAsia"/>
              <w:szCs w:val="21"/>
            </w:rPr>
            <w:alias w:val="报告期内证券发行情况的说明"/>
            <w:tag w:val="_GBC_554181dc253a4fa496d2a732435f9c84"/>
            <w:id w:val="16402583"/>
            <w:lock w:val="sdtLocked"/>
            <w:placeholder>
              <w:docPart w:val="GBC22222222222222222222222222222"/>
            </w:placeholder>
          </w:sdtPr>
          <w:sdtContent>
            <w:p w:rsidR="00806678" w:rsidRDefault="00977124" w:rsidP="00DB0663">
              <w:pPr>
                <w:spacing w:line="360" w:lineRule="auto"/>
                <w:rPr>
                  <w:szCs w:val="21"/>
                </w:rPr>
              </w:pPr>
              <w:r>
                <w:rPr>
                  <w:rFonts w:hint="eastAsia"/>
                  <w:szCs w:val="21"/>
                </w:rPr>
                <w:t>公司于2020年12月14日发行320亿元可转换公司债券，内容详见2020年12月10日登载于上海证券交易所的《大秦铁路股份有限公司公开发行可转换公司债券发行</w:t>
              </w:r>
              <w:r w:rsidRPr="00803CDD">
                <w:rPr>
                  <w:rFonts w:hint="eastAsia"/>
                  <w:szCs w:val="21"/>
                </w:rPr>
                <w:t>公告</w:t>
              </w:r>
              <w:r>
                <w:rPr>
                  <w:rFonts w:hint="eastAsia"/>
                  <w:szCs w:val="21"/>
                </w:rPr>
                <w:t>》。</w:t>
              </w:r>
            </w:p>
          </w:sdtContent>
        </w:sdt>
      </w:sdtContent>
    </w:sdt>
    <w:bookmarkEnd w:id="100" w:displacedByCustomXml="prev"/>
    <w:sdt>
      <w:sdtPr>
        <w:rPr>
          <w:rFonts w:ascii="宋体" w:hAnsi="宋体" w:cs="宋体" w:hint="eastAsia"/>
          <w:b w:val="0"/>
          <w:bCs w:val="0"/>
          <w:kern w:val="0"/>
          <w:szCs w:val="21"/>
        </w:rPr>
        <w:alias w:val="模块:公司普通股股份总数及股东结构变动及公司资产和负债结构的变动情况"/>
        <w:tag w:val="_SEC_55d557f291e34d7aa9de8836ddc0e9d1"/>
        <w:id w:val="27485220"/>
        <w:lock w:val="sdtLocked"/>
        <w:placeholder>
          <w:docPart w:val="GBC22222222222222222222222222222"/>
        </w:placeholder>
      </w:sdtPr>
      <w:sdtContent>
        <w:p w:rsidR="00806678" w:rsidRDefault="00B16377" w:rsidP="00FF17C7">
          <w:pPr>
            <w:pStyle w:val="3"/>
            <w:numPr>
              <w:ilvl w:val="0"/>
              <w:numId w:val="30"/>
            </w:numPr>
            <w:rPr>
              <w:szCs w:val="21"/>
            </w:rPr>
          </w:pPr>
          <w:r>
            <w:rPr>
              <w:rFonts w:hint="eastAsia"/>
              <w:szCs w:val="21"/>
            </w:rPr>
            <w:t>公司股份总数及股东结构变动及公司资产和负债结构的变动情况</w:t>
          </w:r>
        </w:p>
        <w:sdt>
          <w:sdtPr>
            <w:rPr>
              <w:rFonts w:hint="eastAsia"/>
              <w:szCs w:val="21"/>
            </w:rPr>
            <w:alias w:val="是否适用：公司普通股股份总数及股东结构变动及公司资产和负债结构的变动情况[双击切换]"/>
            <w:tag w:val="_GBC_fb36c697d5b04775a7cf181dc8c2e9c2"/>
            <w:id w:val="706685330"/>
            <w:lock w:val="sdtLocked"/>
            <w:placeholder>
              <w:docPart w:val="GBC22222222222222222222222222222"/>
            </w:placeholder>
          </w:sdtPr>
          <w:sdtContent>
            <w:p w:rsidR="00806678" w:rsidRDefault="00F80B6C">
              <w:pPr>
                <w:rPr>
                  <w:szCs w:val="21"/>
                </w:rPr>
              </w:pPr>
              <w:r>
                <w:rPr>
                  <w:szCs w:val="21"/>
                </w:rPr>
                <w:fldChar w:fldCharType="begin"/>
              </w:r>
              <w:r w:rsidR="009F3AD4">
                <w:rPr>
                  <w:szCs w:val="21"/>
                </w:rPr>
                <w:instrText xml:space="preserve"> MACROBUTTON  SnrToggleCheckbox √适用  </w:instrText>
              </w:r>
              <w:r>
                <w:rPr>
                  <w:szCs w:val="21"/>
                </w:rPr>
                <w:fldChar w:fldCharType="end"/>
              </w:r>
              <w:r>
                <w:rPr>
                  <w:szCs w:val="21"/>
                </w:rPr>
                <w:fldChar w:fldCharType="begin"/>
              </w:r>
              <w:r w:rsidR="009F3AD4">
                <w:rPr>
                  <w:szCs w:val="21"/>
                </w:rPr>
                <w:instrText xml:space="preserve"> MACROBUTTON  SnrToggleCheckbox □不适用 </w:instrText>
              </w:r>
              <w:r>
                <w:rPr>
                  <w:szCs w:val="21"/>
                </w:rPr>
                <w:fldChar w:fldCharType="end"/>
              </w:r>
            </w:p>
          </w:sdtContent>
        </w:sdt>
        <w:sdt>
          <w:sdtPr>
            <w:rPr>
              <w:rFonts w:hint="eastAsia"/>
              <w:szCs w:val="21"/>
            </w:rPr>
            <w:alias w:val="公司股份总数及结构的变动的说明"/>
            <w:tag w:val="_GBC_f052eac1038944c191b4dbc4a4fa7ea9"/>
            <w:id w:val="-1981685635"/>
            <w:lock w:val="sdtLocked"/>
            <w:placeholder>
              <w:docPart w:val="GBC22222222222222222222222222222"/>
            </w:placeholder>
          </w:sdtPr>
          <w:sdtContent>
            <w:p w:rsidR="00806678" w:rsidRPr="005A3DA7" w:rsidRDefault="00DB0663" w:rsidP="005A3DA7">
              <w:pPr>
                <w:spacing w:line="360" w:lineRule="auto"/>
                <w:ind w:firstLineChars="200" w:firstLine="420"/>
              </w:pPr>
              <w:r>
                <w:rPr>
                  <w:rFonts w:hint="eastAsia"/>
                  <w:szCs w:val="21"/>
                </w:rPr>
                <w:t>公司股份总数及股东结构变动情况请见本报告第七节“一、（一）1、股份变动情况表”。</w:t>
              </w:r>
              <w:r w:rsidRPr="000D3F52">
                <w:rPr>
                  <w:szCs w:val="21"/>
                </w:rPr>
                <w:t xml:space="preserve"> </w:t>
              </w:r>
              <w:r w:rsidR="002001ED" w:rsidRPr="00DE441F">
                <w:t>截至202</w:t>
              </w:r>
              <w:r w:rsidR="002001ED" w:rsidRPr="00DE441F">
                <w:rPr>
                  <w:rFonts w:hint="eastAsia"/>
                </w:rPr>
                <w:t>2</w:t>
              </w:r>
              <w:r w:rsidR="002001ED" w:rsidRPr="00DE441F">
                <w:t>年</w:t>
              </w:r>
              <w:r w:rsidR="002001ED" w:rsidRPr="00DE441F">
                <w:rPr>
                  <w:rFonts w:hint="eastAsia"/>
                </w:rPr>
                <w:t>12</w:t>
              </w:r>
              <w:r w:rsidR="002001ED" w:rsidRPr="00DE441F">
                <w:t>月</w:t>
              </w:r>
              <w:r w:rsidR="002001ED" w:rsidRPr="00DE441F">
                <w:rPr>
                  <w:rFonts w:hint="eastAsia"/>
                </w:rPr>
                <w:t>31</w:t>
              </w:r>
              <w:r w:rsidR="002001ED" w:rsidRPr="00DE441F">
                <w:t>日，累计共有人民币</w:t>
              </w:r>
              <w:r w:rsidR="002001ED" w:rsidRPr="00DE441F">
                <w:rPr>
                  <w:rFonts w:hint="eastAsia"/>
                </w:rPr>
                <w:t>1,141,000</w:t>
              </w:r>
              <w:r w:rsidR="002001ED" w:rsidRPr="00DE441F">
                <w:t>元“</w:t>
              </w:r>
              <w:r w:rsidR="002001ED" w:rsidRPr="00DE441F">
                <w:rPr>
                  <w:rFonts w:hint="eastAsia"/>
                </w:rPr>
                <w:t>大秦</w:t>
              </w:r>
              <w:r w:rsidR="002001ED" w:rsidRPr="00DE441F">
                <w:t>转债”已转换为公司股票，转股数量为</w:t>
              </w:r>
              <w:r w:rsidR="002001ED" w:rsidRPr="00DE441F">
                <w:rPr>
                  <w:rFonts w:hint="eastAsia"/>
                </w:rPr>
                <w:t>154,416</w:t>
              </w:r>
              <w:r w:rsidR="002001ED" w:rsidRPr="00DE441F">
                <w:t>股，占可转债开始转股前公司已发行股份总额的</w:t>
              </w:r>
              <w:r w:rsidR="002001ED" w:rsidRPr="00DE441F">
                <w:rPr>
                  <w:rFonts w:hint="eastAsia"/>
                </w:rPr>
                <w:t>0.001039</w:t>
              </w:r>
              <w:r w:rsidR="002001ED" w:rsidRPr="00DE441F">
                <w:t>%。</w:t>
              </w:r>
              <w:r w:rsidRPr="000D3F52">
                <w:t xml:space="preserve"> </w:t>
              </w:r>
              <w:r>
                <w:rPr>
                  <w:rFonts w:hint="eastAsia"/>
                </w:rPr>
                <w:t>由于</w:t>
              </w:r>
              <w:r>
                <w:t>报告期</w:t>
              </w:r>
              <w:r>
                <w:rPr>
                  <w:rFonts w:hint="eastAsia"/>
                </w:rPr>
                <w:t>内公司可转债转股金额较小，</w:t>
              </w:r>
              <w:r>
                <w:t>可转债转股导致的股</w:t>
              </w:r>
              <w:r>
                <w:rPr>
                  <w:rFonts w:hint="eastAsia"/>
                </w:rPr>
                <w:t>份</w:t>
              </w:r>
              <w:r>
                <w:t>变动对</w:t>
              </w:r>
              <w:r>
                <w:rPr>
                  <w:rFonts w:hint="eastAsia"/>
                  <w:szCs w:val="21"/>
                </w:rPr>
                <w:t>公司资产和负债</w:t>
              </w:r>
              <w:r>
                <w:t>影响</w:t>
              </w:r>
              <w:r>
                <w:rPr>
                  <w:rFonts w:hint="eastAsia"/>
                </w:rPr>
                <w:t>较小。</w:t>
              </w:r>
            </w:p>
          </w:sdtContent>
        </w:sdt>
      </w:sdtContent>
    </w:sdt>
    <w:sdt>
      <w:sdtPr>
        <w:rPr>
          <w:rFonts w:ascii="宋体" w:hAnsi="宋体" w:cs="宋体" w:hint="eastAsia"/>
          <w:b w:val="0"/>
          <w:bCs w:val="0"/>
          <w:kern w:val="0"/>
          <w:szCs w:val="21"/>
        </w:rPr>
        <w:alias w:val="模块:现存的内部职工股情况"/>
        <w:tag w:val="_SEC_7d189716ca09434ba6cf788f2153af73"/>
        <w:id w:val="27485244"/>
        <w:lock w:val="sdtLocked"/>
        <w:placeholder>
          <w:docPart w:val="GBC22222222222222222222222222222"/>
        </w:placeholder>
      </w:sdtPr>
      <w:sdtContent>
        <w:p w:rsidR="00806678" w:rsidRDefault="00B16377" w:rsidP="00FF17C7">
          <w:pPr>
            <w:pStyle w:val="3"/>
            <w:numPr>
              <w:ilvl w:val="0"/>
              <w:numId w:val="30"/>
            </w:numPr>
            <w:rPr>
              <w:szCs w:val="21"/>
            </w:rPr>
          </w:pPr>
          <w:r>
            <w:rPr>
              <w:rFonts w:hint="eastAsia"/>
              <w:szCs w:val="21"/>
            </w:rPr>
            <w:t>现存的内部职工股情况</w:t>
          </w:r>
        </w:p>
        <w:sdt>
          <w:sdtPr>
            <w:alias w:val="是否适用：现存的内部职工股情况[双击切换]"/>
            <w:tag w:val="_GBC_fa5e90226e14408b891f1c5a9dbbf2c5"/>
            <w:id w:val="766346518"/>
            <w:lock w:val="sdtLocked"/>
            <w:placeholder>
              <w:docPart w:val="GBC22222222222222222222222222222"/>
            </w:placeholder>
          </w:sdtPr>
          <w:sdtContent>
            <w:p w:rsidR="00806678" w:rsidRDefault="00F80B6C" w:rsidP="002001ED">
              <w:r>
                <w:fldChar w:fldCharType="begin"/>
              </w:r>
              <w:r w:rsidR="002001ED">
                <w:instrText xml:space="preserve">MACROBUTTON  SnrToggleCheckbox □适用 </w:instrText>
              </w:r>
              <w:r>
                <w:fldChar w:fldCharType="end"/>
              </w:r>
              <w:r>
                <w:fldChar w:fldCharType="begin"/>
              </w:r>
              <w:r w:rsidR="002001ED">
                <w:instrText xml:space="preserve"> MACROBUTTON  SnrToggleCheckbox √不适用 </w:instrText>
              </w:r>
              <w:r>
                <w:fldChar w:fldCharType="end"/>
              </w:r>
            </w:p>
          </w:sdtContent>
        </w:sdt>
      </w:sdtContent>
    </w:sdt>
    <w:p w:rsidR="00806678" w:rsidRDefault="00B16377">
      <w:pPr>
        <w:pStyle w:val="2"/>
        <w:numPr>
          <w:ilvl w:val="0"/>
          <w:numId w:val="1"/>
        </w:numPr>
      </w:pPr>
      <w:r>
        <w:t>股东</w:t>
      </w:r>
      <w:r>
        <w:rPr>
          <w:rFonts w:hint="eastAsia"/>
        </w:rPr>
        <w:t>和实际控制人</w:t>
      </w:r>
      <w:r>
        <w:t>情况</w:t>
      </w:r>
    </w:p>
    <w:sdt>
      <w:sdtPr>
        <w:rPr>
          <w:rFonts w:ascii="宋体" w:hAnsi="宋体" w:cs="宋体"/>
          <w:b w:val="0"/>
          <w:bCs w:val="0"/>
          <w:kern w:val="0"/>
          <w:sz w:val="24"/>
          <w:szCs w:val="21"/>
        </w:rPr>
        <w:alias w:val="模块:股东总数"/>
        <w:tag w:val="_SEC_ec591f1129e84625a91f2b73f19be202"/>
        <w:id w:val="19905801"/>
        <w:lock w:val="sdtLocked"/>
        <w:placeholder>
          <w:docPart w:val="GBC22222222222222222222222222222"/>
        </w:placeholder>
      </w:sdtPr>
      <w:sdtEndPr>
        <w:rPr>
          <w:rFonts w:hint="eastAsia"/>
          <w:sz w:val="21"/>
        </w:rPr>
      </w:sdtEndPr>
      <w:sdtContent>
        <w:p w:rsidR="00806678" w:rsidRDefault="00B16377">
          <w:pPr>
            <w:pStyle w:val="3"/>
            <w:numPr>
              <w:ilvl w:val="1"/>
              <w:numId w:val="14"/>
            </w:numPr>
            <w:tabs>
              <w:tab w:val="left" w:pos="851"/>
            </w:tabs>
            <w:ind w:left="426" w:hanging="426"/>
            <w:rPr>
              <w:szCs w:val="21"/>
            </w:rPr>
          </w:pPr>
          <w:r>
            <w:rPr>
              <w:rFonts w:hint="eastAsia"/>
              <w:szCs w:val="21"/>
            </w:rPr>
            <w:t>股东总数</w:t>
          </w:r>
        </w:p>
        <w:tbl>
          <w:tblPr>
            <w:tblStyle w:val="a6"/>
            <w:tblW w:w="0" w:type="auto"/>
            <w:tblLook w:val="04A0"/>
          </w:tblPr>
          <w:tblGrid>
            <w:gridCol w:w="5920"/>
            <w:gridCol w:w="3128"/>
          </w:tblGrid>
          <w:tr w:rsidR="00806678" w:rsidTr="00122B47">
            <w:sdt>
              <w:sdtPr>
                <w:tag w:val="_PLD_34738880649c43ac9597effd663adc10"/>
                <w:id w:val="-680429670"/>
                <w:lock w:val="sdtLocked"/>
              </w:sdtPr>
              <w:sdtContent>
                <w:tc>
                  <w:tcPr>
                    <w:tcW w:w="5920" w:type="dxa"/>
                  </w:tcPr>
                  <w:p w:rsidR="00806678" w:rsidRDefault="00B16377">
                    <w:pPr>
                      <w:rPr>
                        <w:szCs w:val="21"/>
                      </w:rPr>
                    </w:pPr>
                    <w:r>
                      <w:rPr>
                        <w:szCs w:val="21"/>
                      </w:rPr>
                      <w:t>截</w:t>
                    </w:r>
                    <w:r>
                      <w:rPr>
                        <w:rFonts w:hint="eastAsia"/>
                        <w:szCs w:val="21"/>
                      </w:rPr>
                      <w:t>至</w:t>
                    </w:r>
                    <w:r>
                      <w:rPr>
                        <w:szCs w:val="21"/>
                      </w:rPr>
                      <w:t>报告期末</w:t>
                    </w:r>
                    <w:r>
                      <w:rPr>
                        <w:rFonts w:hint="eastAsia"/>
                        <w:szCs w:val="21"/>
                      </w:rPr>
                      <w:t>普通股</w:t>
                    </w:r>
                    <w:r>
                      <w:rPr>
                        <w:szCs w:val="21"/>
                      </w:rPr>
                      <w:t>股东总数(户)</w:t>
                    </w:r>
                  </w:p>
                </w:tc>
              </w:sdtContent>
            </w:sdt>
            <w:sdt>
              <w:sdtPr>
                <w:rPr>
                  <w:szCs w:val="21"/>
                </w:rPr>
                <w:alias w:val="报告期末股东总数"/>
                <w:tag w:val="_GBC_510087fb1e024fb293d32127713e45f8"/>
                <w:id w:val="19905797"/>
                <w:lock w:val="sdtLocked"/>
              </w:sdtPr>
              <w:sdtContent>
                <w:tc>
                  <w:tcPr>
                    <w:tcW w:w="3128" w:type="dxa"/>
                  </w:tcPr>
                  <w:p w:rsidR="00806678" w:rsidRDefault="00122B47">
                    <w:pPr>
                      <w:jc w:val="right"/>
                      <w:rPr>
                        <w:szCs w:val="21"/>
                      </w:rPr>
                    </w:pPr>
                    <w:r>
                      <w:rPr>
                        <w:szCs w:val="21"/>
                      </w:rPr>
                      <w:t>142,693</w:t>
                    </w:r>
                  </w:p>
                </w:tc>
              </w:sdtContent>
            </w:sdt>
          </w:tr>
          <w:tr w:rsidR="00806678" w:rsidTr="00122B47">
            <w:sdt>
              <w:sdtPr>
                <w:tag w:val="_PLD_d41b7c4d29ef4d5cb2701ef9955403fb"/>
                <w:id w:val="-1229921394"/>
                <w:lock w:val="sdtLocked"/>
              </w:sdtPr>
              <w:sdtContent>
                <w:tc>
                  <w:tcPr>
                    <w:tcW w:w="5920" w:type="dxa"/>
                  </w:tcPr>
                  <w:p w:rsidR="00806678" w:rsidRDefault="00B16377">
                    <w:pPr>
                      <w:rPr>
                        <w:szCs w:val="21"/>
                      </w:rPr>
                    </w:pPr>
                    <w:r>
                      <w:rPr>
                        <w:rFonts w:hint="eastAsia"/>
                        <w:szCs w:val="21"/>
                      </w:rPr>
                      <w:t>年度报告披露日前上一月末的普通股股东总数</w:t>
                    </w:r>
                    <w:r>
                      <w:rPr>
                        <w:szCs w:val="21"/>
                      </w:rPr>
                      <w:t>(户)</w:t>
                    </w:r>
                  </w:p>
                </w:tc>
              </w:sdtContent>
            </w:sdt>
            <w:tc>
              <w:tcPr>
                <w:tcW w:w="3128" w:type="dxa"/>
              </w:tcPr>
              <w:p w:rsidR="00806678" w:rsidRDefault="00CA46FF">
                <w:pPr>
                  <w:jc w:val="right"/>
                  <w:rPr>
                    <w:szCs w:val="21"/>
                  </w:rPr>
                </w:pPr>
                <w:r>
                  <w:rPr>
                    <w:szCs w:val="21"/>
                  </w:rPr>
                  <w:t>135,561</w:t>
                </w:r>
              </w:p>
            </w:tc>
          </w:tr>
        </w:tbl>
        <w:p w:rsidR="00806678" w:rsidRDefault="00F80B6C">
          <w:pPr>
            <w:rPr>
              <w:szCs w:val="21"/>
            </w:rPr>
          </w:pPr>
        </w:p>
      </w:sdtContent>
    </w:sdt>
    <w:p w:rsidR="00806678" w:rsidRDefault="00B16377">
      <w:pPr>
        <w:pStyle w:val="3"/>
        <w:numPr>
          <w:ilvl w:val="1"/>
          <w:numId w:val="14"/>
        </w:numPr>
        <w:ind w:left="426" w:hanging="426"/>
      </w:pPr>
      <w:bookmarkStart w:id="101" w:name="_Toc342565998"/>
      <w:bookmarkStart w:id="102" w:name="_Toc342059485"/>
      <w:r>
        <w:rPr>
          <w:rFonts w:hint="eastAsia"/>
          <w:szCs w:val="21"/>
        </w:rPr>
        <w:t>截至报告期末前十名股东、前十名流通股东（或无限售条件股东）持股情况表</w:t>
      </w:r>
    </w:p>
    <w:bookmarkEnd w:id="102" w:displacedByCustomXml="next"/>
    <w:bookmarkEnd w:id="101" w:displacedByCustomXml="next"/>
    <w:bookmarkStart w:id="103" w:name="_Hlk27487213" w:displacedByCustomXml="next"/>
    <w:sdt>
      <w:sdtPr>
        <w:rPr>
          <w:rFonts w:hint="eastAsia"/>
          <w:szCs w:val="21"/>
        </w:rPr>
        <w:alias w:val="选项模块:前十名股东持股情况(已完成或不涉及股改)"/>
        <w:tag w:val="_SEC_f0d49341729546c79e65e551f2f6d5d7"/>
        <w:id w:val="-1667242249"/>
        <w:lock w:val="sdtLocked"/>
        <w:placeholder>
          <w:docPart w:val="GBC22222222222222222222222222222"/>
        </w:placeholder>
      </w:sdtPr>
      <w:sdtContent>
        <w:p w:rsidR="00806678" w:rsidRDefault="00B16377">
          <w:pPr>
            <w:ind w:firstLineChars="1900" w:firstLine="3990"/>
            <w:jc w:val="right"/>
            <w:rPr>
              <w:szCs w:val="21"/>
            </w:rPr>
          </w:pPr>
          <w:r>
            <w:rPr>
              <w:bCs/>
              <w:szCs w:val="21"/>
            </w:rPr>
            <w:t>单位:</w:t>
          </w:r>
          <w:sdt>
            <w:sdtPr>
              <w:rPr>
                <w:bCs/>
                <w:szCs w:val="21"/>
              </w:rPr>
              <w:alias w:val="单位：前十名股东持股情况"/>
              <w:tag w:val="_GBC_b59e95c09d914c83b42ae5b68d0d6987"/>
              <w:id w:val="-915018787"/>
              <w:lock w:val="sdtLocked"/>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Content>
              <w:r>
                <w:rPr>
                  <w:bCs/>
                  <w:szCs w:val="21"/>
                </w:rPr>
                <w:t>股</w:t>
              </w:r>
            </w:sdtContent>
          </w:sdt>
        </w:p>
        <w:tbl>
          <w:tblPr>
            <w:tblW w:w="101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80"/>
            <w:gridCol w:w="1476"/>
            <w:gridCol w:w="1581"/>
            <w:gridCol w:w="397"/>
            <w:gridCol w:w="345"/>
            <w:gridCol w:w="426"/>
            <w:gridCol w:w="636"/>
            <w:gridCol w:w="213"/>
            <w:gridCol w:w="318"/>
            <w:gridCol w:w="1378"/>
          </w:tblGrid>
          <w:tr w:rsidR="00DC331F" w:rsidTr="006B3C41">
            <w:trPr>
              <w:cantSplit/>
              <w:jc w:val="center"/>
            </w:trPr>
            <w:sdt>
              <w:sdtPr>
                <w:rPr>
                  <w:rFonts w:ascii="宋体" w:hAnsi="宋体"/>
                </w:rPr>
                <w:tag w:val="_PLD_12180439b5ff4b00a01ff1f87b70f1de"/>
                <w:id w:val="7724724"/>
                <w:lock w:val="sdtLocked"/>
              </w:sdtPr>
              <w:sdtContent>
                <w:tc>
                  <w:tcPr>
                    <w:tcW w:w="10150" w:type="dxa"/>
                    <w:gridSpan w:val="10"/>
                    <w:shd w:val="clear" w:color="auto" w:fill="auto"/>
                    <w:vAlign w:val="center"/>
                  </w:tcPr>
                  <w:p w:rsidR="00DC331F" w:rsidRDefault="00DC331F" w:rsidP="005014DF">
                    <w:pPr>
                      <w:pStyle w:val="a8"/>
                      <w:jc w:val="center"/>
                      <w:rPr>
                        <w:rFonts w:ascii="宋体" w:hAnsi="宋体"/>
                      </w:rPr>
                    </w:pPr>
                    <w:r>
                      <w:rPr>
                        <w:rFonts w:ascii="宋体" w:hAnsi="宋体"/>
                      </w:rPr>
                      <w:t>前十名股东持股情况</w:t>
                    </w:r>
                  </w:p>
                </w:tc>
              </w:sdtContent>
            </w:sdt>
          </w:tr>
          <w:tr w:rsidR="00DC331F" w:rsidTr="006B3C41">
            <w:trPr>
              <w:cantSplit/>
              <w:jc w:val="center"/>
            </w:trPr>
            <w:sdt>
              <w:sdtPr>
                <w:tag w:val="_PLD_4e40ad86e5ee4c0cb28f819aa3924fb2"/>
                <w:id w:val="7724725"/>
                <w:lock w:val="sdtLocked"/>
              </w:sdtPr>
              <w:sdtContent>
                <w:tc>
                  <w:tcPr>
                    <w:tcW w:w="3380" w:type="dxa"/>
                    <w:vMerge w:val="restart"/>
                    <w:shd w:val="clear" w:color="auto" w:fill="auto"/>
                    <w:vAlign w:val="center"/>
                  </w:tcPr>
                  <w:p w:rsidR="00DC331F" w:rsidRDefault="00DC331F" w:rsidP="005014DF">
                    <w:pPr>
                      <w:jc w:val="center"/>
                      <w:rPr>
                        <w:szCs w:val="21"/>
                      </w:rPr>
                    </w:pPr>
                    <w:r>
                      <w:rPr>
                        <w:szCs w:val="21"/>
                      </w:rPr>
                      <w:t>股东名称</w:t>
                    </w:r>
                  </w:p>
                  <w:p w:rsidR="00DC331F" w:rsidRDefault="00DC331F" w:rsidP="005014DF">
                    <w:pPr>
                      <w:jc w:val="center"/>
                      <w:rPr>
                        <w:szCs w:val="21"/>
                      </w:rPr>
                    </w:pPr>
                    <w:r>
                      <w:rPr>
                        <w:rFonts w:hint="eastAsia"/>
                        <w:szCs w:val="21"/>
                      </w:rPr>
                      <w:t>（全称）</w:t>
                    </w:r>
                  </w:p>
                </w:tc>
              </w:sdtContent>
            </w:sdt>
            <w:sdt>
              <w:sdtPr>
                <w:tag w:val="_PLD_587b672a54ed4481b14f0963f010aefb"/>
                <w:id w:val="7724726"/>
                <w:lock w:val="sdtLocked"/>
              </w:sdtPr>
              <w:sdtContent>
                <w:tc>
                  <w:tcPr>
                    <w:tcW w:w="0" w:type="auto"/>
                    <w:vMerge w:val="restart"/>
                    <w:shd w:val="clear" w:color="auto" w:fill="auto"/>
                    <w:vAlign w:val="center"/>
                  </w:tcPr>
                  <w:p w:rsidR="00DC331F" w:rsidRDefault="00DC331F" w:rsidP="005014DF">
                    <w:pPr>
                      <w:jc w:val="center"/>
                      <w:rPr>
                        <w:szCs w:val="21"/>
                      </w:rPr>
                    </w:pPr>
                    <w:r>
                      <w:rPr>
                        <w:szCs w:val="21"/>
                      </w:rPr>
                      <w:t>报告期内增减</w:t>
                    </w:r>
                  </w:p>
                </w:tc>
              </w:sdtContent>
            </w:sdt>
            <w:sdt>
              <w:sdtPr>
                <w:tag w:val="_PLD_580f25e9dfa24c1d91f3845b6a6a42e5"/>
                <w:id w:val="7724727"/>
                <w:lock w:val="sdtLocked"/>
              </w:sdtPr>
              <w:sdtContent>
                <w:tc>
                  <w:tcPr>
                    <w:tcW w:w="0" w:type="auto"/>
                    <w:vMerge w:val="restart"/>
                    <w:shd w:val="clear" w:color="auto" w:fill="auto"/>
                    <w:vAlign w:val="center"/>
                  </w:tcPr>
                  <w:p w:rsidR="00DC331F" w:rsidRDefault="00DC331F" w:rsidP="005014DF">
                    <w:pPr>
                      <w:jc w:val="center"/>
                      <w:rPr>
                        <w:szCs w:val="21"/>
                      </w:rPr>
                    </w:pPr>
                    <w:r>
                      <w:rPr>
                        <w:szCs w:val="21"/>
                      </w:rPr>
                      <w:t>期末持股数量</w:t>
                    </w:r>
                  </w:p>
                </w:tc>
              </w:sdtContent>
            </w:sdt>
            <w:sdt>
              <w:sdtPr>
                <w:tag w:val="_PLD_e80658c5388c4bb0871489372e62334d"/>
                <w:id w:val="7724728"/>
                <w:lock w:val="sdtLocked"/>
              </w:sdtPr>
              <w:sdtContent>
                <w:tc>
                  <w:tcPr>
                    <w:tcW w:w="0" w:type="auto"/>
                    <w:gridSpan w:val="2"/>
                    <w:vMerge w:val="restart"/>
                    <w:shd w:val="clear" w:color="auto" w:fill="auto"/>
                    <w:vAlign w:val="center"/>
                  </w:tcPr>
                  <w:p w:rsidR="00DC331F" w:rsidRDefault="00DC331F" w:rsidP="005014DF">
                    <w:pPr>
                      <w:jc w:val="center"/>
                      <w:rPr>
                        <w:szCs w:val="21"/>
                      </w:rPr>
                    </w:pPr>
                    <w:r>
                      <w:rPr>
                        <w:szCs w:val="21"/>
                      </w:rPr>
                      <w:t>比例(%)</w:t>
                    </w:r>
                  </w:p>
                </w:tc>
              </w:sdtContent>
            </w:sdt>
            <w:sdt>
              <w:sdtPr>
                <w:rPr>
                  <w:rFonts w:ascii="宋体" w:hAnsi="宋体"/>
                </w:rPr>
                <w:tag w:val="_PLD_0ed52eb839784cb0ab83b1692dc8b283"/>
                <w:id w:val="7724729"/>
                <w:lock w:val="sdtLocked"/>
              </w:sdtPr>
              <w:sdtContent>
                <w:tc>
                  <w:tcPr>
                    <w:tcW w:w="0" w:type="auto"/>
                    <w:vMerge w:val="restart"/>
                    <w:shd w:val="clear" w:color="auto" w:fill="auto"/>
                    <w:vAlign w:val="center"/>
                  </w:tcPr>
                  <w:p w:rsidR="00DC331F" w:rsidRDefault="00DC331F" w:rsidP="005014DF">
                    <w:pPr>
                      <w:pStyle w:val="af0"/>
                      <w:rPr>
                        <w:rFonts w:ascii="宋体" w:hAnsi="宋体"/>
                        <w:bCs/>
                        <w:color w:val="00B050"/>
                      </w:rPr>
                    </w:pPr>
                    <w:r>
                      <w:rPr>
                        <w:rFonts w:ascii="宋体" w:hAnsi="宋体"/>
                        <w:bCs/>
                      </w:rPr>
                      <w:t>持有有限售条件股份数量</w:t>
                    </w:r>
                  </w:p>
                </w:tc>
              </w:sdtContent>
            </w:sdt>
            <w:sdt>
              <w:sdtPr>
                <w:tag w:val="_PLD_6d0fce9e7c914a578f4702348340f346"/>
                <w:id w:val="7724730"/>
                <w:lock w:val="sdtLocked"/>
              </w:sdtPr>
              <w:sdtContent>
                <w:tc>
                  <w:tcPr>
                    <w:tcW w:w="0" w:type="auto"/>
                    <w:gridSpan w:val="3"/>
                    <w:shd w:val="clear" w:color="auto" w:fill="auto"/>
                    <w:vAlign w:val="center"/>
                  </w:tcPr>
                  <w:p w:rsidR="00DC331F" w:rsidRDefault="00DC331F" w:rsidP="005014DF">
                    <w:pPr>
                      <w:jc w:val="center"/>
                      <w:rPr>
                        <w:szCs w:val="21"/>
                      </w:rPr>
                    </w:pPr>
                    <w:r>
                      <w:rPr>
                        <w:szCs w:val="21"/>
                      </w:rPr>
                      <w:t>质押</w:t>
                    </w:r>
                    <w:r>
                      <w:rPr>
                        <w:rFonts w:hint="eastAsia"/>
                        <w:szCs w:val="21"/>
                      </w:rPr>
                      <w:t>、标记</w:t>
                    </w:r>
                    <w:r>
                      <w:rPr>
                        <w:szCs w:val="21"/>
                      </w:rPr>
                      <w:t>或冻结情况</w:t>
                    </w:r>
                  </w:p>
                </w:tc>
              </w:sdtContent>
            </w:sdt>
            <w:sdt>
              <w:sdtPr>
                <w:tag w:val="_PLD_57b1e0d0ab2d4113aada0c0394d1589d"/>
                <w:id w:val="7724731"/>
                <w:lock w:val="sdtLocked"/>
              </w:sdtPr>
              <w:sdtContent>
                <w:tc>
                  <w:tcPr>
                    <w:tcW w:w="1378" w:type="dxa"/>
                    <w:vMerge w:val="restart"/>
                    <w:shd w:val="clear" w:color="auto" w:fill="auto"/>
                    <w:vAlign w:val="center"/>
                  </w:tcPr>
                  <w:p w:rsidR="00DC331F" w:rsidRDefault="00DC331F" w:rsidP="005014DF">
                    <w:pPr>
                      <w:jc w:val="center"/>
                      <w:rPr>
                        <w:szCs w:val="21"/>
                      </w:rPr>
                    </w:pPr>
                    <w:r>
                      <w:rPr>
                        <w:szCs w:val="21"/>
                      </w:rPr>
                      <w:t>股东性质</w:t>
                    </w:r>
                  </w:p>
                </w:tc>
              </w:sdtContent>
            </w:sdt>
          </w:tr>
          <w:tr w:rsidR="00DC331F" w:rsidTr="006B3C41">
            <w:trPr>
              <w:cantSplit/>
              <w:jc w:val="center"/>
            </w:trPr>
            <w:tc>
              <w:tcPr>
                <w:tcW w:w="3380" w:type="dxa"/>
                <w:vMerge/>
                <w:tcBorders>
                  <w:bottom w:val="single" w:sz="4" w:space="0" w:color="auto"/>
                </w:tcBorders>
                <w:shd w:val="clear" w:color="auto" w:fill="auto"/>
                <w:vAlign w:val="center"/>
              </w:tcPr>
              <w:p w:rsidR="00DC331F" w:rsidRDefault="00DC331F" w:rsidP="005014DF">
                <w:pPr>
                  <w:jc w:val="center"/>
                  <w:rPr>
                    <w:szCs w:val="21"/>
                  </w:rPr>
                </w:pPr>
              </w:p>
            </w:tc>
            <w:tc>
              <w:tcPr>
                <w:tcW w:w="0" w:type="auto"/>
                <w:vMerge/>
                <w:tcBorders>
                  <w:bottom w:val="single" w:sz="4" w:space="0" w:color="auto"/>
                </w:tcBorders>
                <w:shd w:val="clear" w:color="auto" w:fill="auto"/>
                <w:vAlign w:val="center"/>
              </w:tcPr>
              <w:p w:rsidR="00DC331F" w:rsidRDefault="00DC331F" w:rsidP="005014DF">
                <w:pPr>
                  <w:jc w:val="center"/>
                  <w:rPr>
                    <w:szCs w:val="21"/>
                  </w:rPr>
                </w:pPr>
              </w:p>
            </w:tc>
            <w:tc>
              <w:tcPr>
                <w:tcW w:w="0" w:type="auto"/>
                <w:vMerge/>
                <w:tcBorders>
                  <w:bottom w:val="single" w:sz="4" w:space="0" w:color="auto"/>
                </w:tcBorders>
                <w:shd w:val="clear" w:color="auto" w:fill="auto"/>
                <w:vAlign w:val="center"/>
              </w:tcPr>
              <w:p w:rsidR="00DC331F" w:rsidRDefault="00DC331F" w:rsidP="005014DF">
                <w:pPr>
                  <w:jc w:val="center"/>
                  <w:rPr>
                    <w:szCs w:val="21"/>
                  </w:rPr>
                </w:pPr>
              </w:p>
            </w:tc>
            <w:tc>
              <w:tcPr>
                <w:tcW w:w="0" w:type="auto"/>
                <w:gridSpan w:val="2"/>
                <w:vMerge/>
                <w:tcBorders>
                  <w:bottom w:val="single" w:sz="4" w:space="0" w:color="auto"/>
                </w:tcBorders>
                <w:shd w:val="clear" w:color="auto" w:fill="auto"/>
                <w:vAlign w:val="center"/>
              </w:tcPr>
              <w:p w:rsidR="00DC331F" w:rsidRDefault="00DC331F" w:rsidP="005014DF">
                <w:pPr>
                  <w:jc w:val="center"/>
                  <w:rPr>
                    <w:szCs w:val="21"/>
                  </w:rPr>
                </w:pPr>
              </w:p>
            </w:tc>
            <w:tc>
              <w:tcPr>
                <w:tcW w:w="0" w:type="auto"/>
                <w:vMerge/>
                <w:tcBorders>
                  <w:bottom w:val="single" w:sz="4" w:space="0" w:color="auto"/>
                </w:tcBorders>
                <w:shd w:val="clear" w:color="auto" w:fill="auto"/>
                <w:vAlign w:val="center"/>
              </w:tcPr>
              <w:p w:rsidR="00DC331F" w:rsidRDefault="00DC331F" w:rsidP="005014DF">
                <w:pPr>
                  <w:jc w:val="center"/>
                  <w:rPr>
                    <w:szCs w:val="21"/>
                  </w:rPr>
                </w:pPr>
              </w:p>
            </w:tc>
            <w:sdt>
              <w:sdtPr>
                <w:tag w:val="_PLD_72b090b1925c46349c7beb3ca6c0032f"/>
                <w:id w:val="7724732"/>
                <w:lock w:val="sdtLocked"/>
              </w:sdtPr>
              <w:sdtContent>
                <w:tc>
                  <w:tcPr>
                    <w:tcW w:w="0" w:type="auto"/>
                    <w:tcBorders>
                      <w:bottom w:val="single" w:sz="4" w:space="0" w:color="auto"/>
                    </w:tcBorders>
                    <w:shd w:val="clear" w:color="auto" w:fill="auto"/>
                    <w:vAlign w:val="center"/>
                  </w:tcPr>
                  <w:p w:rsidR="00DC331F" w:rsidRDefault="00DC331F" w:rsidP="005014DF">
                    <w:pPr>
                      <w:jc w:val="center"/>
                      <w:rPr>
                        <w:szCs w:val="21"/>
                      </w:rPr>
                    </w:pPr>
                    <w:r>
                      <w:rPr>
                        <w:szCs w:val="21"/>
                      </w:rPr>
                      <w:t>股份状态</w:t>
                    </w:r>
                  </w:p>
                </w:tc>
              </w:sdtContent>
            </w:sdt>
            <w:sdt>
              <w:sdtPr>
                <w:tag w:val="_PLD_76e0ca0392384ff795b7613d764041da"/>
                <w:id w:val="7724733"/>
                <w:lock w:val="sdtLocked"/>
              </w:sdtPr>
              <w:sdtContent>
                <w:tc>
                  <w:tcPr>
                    <w:tcW w:w="0" w:type="auto"/>
                    <w:gridSpan w:val="2"/>
                    <w:tcBorders>
                      <w:bottom w:val="single" w:sz="4" w:space="0" w:color="auto"/>
                    </w:tcBorders>
                    <w:shd w:val="clear" w:color="auto" w:fill="auto"/>
                    <w:vAlign w:val="center"/>
                  </w:tcPr>
                  <w:p w:rsidR="00DC331F" w:rsidRDefault="00DC331F" w:rsidP="005014DF">
                    <w:pPr>
                      <w:jc w:val="center"/>
                      <w:rPr>
                        <w:szCs w:val="21"/>
                      </w:rPr>
                    </w:pPr>
                    <w:r>
                      <w:rPr>
                        <w:szCs w:val="21"/>
                      </w:rPr>
                      <w:t>数量</w:t>
                    </w:r>
                  </w:p>
                </w:tc>
              </w:sdtContent>
            </w:sdt>
            <w:tc>
              <w:tcPr>
                <w:tcW w:w="1378" w:type="dxa"/>
                <w:vMerge/>
                <w:shd w:val="clear" w:color="auto" w:fill="auto"/>
                <w:vAlign w:val="center"/>
              </w:tcPr>
              <w:p w:rsidR="00DC331F" w:rsidRDefault="00DC331F" w:rsidP="005014DF">
                <w:pPr>
                  <w:jc w:val="center"/>
                  <w:rPr>
                    <w:szCs w:val="21"/>
                  </w:rPr>
                </w:pPr>
              </w:p>
            </w:tc>
          </w:tr>
          <w:sdt>
            <w:sdtPr>
              <w:rPr>
                <w:szCs w:val="21"/>
              </w:rPr>
              <w:alias w:val="前十名股东持股情况"/>
              <w:tag w:val="_TUP_dfb07f5d24d04bbbad485e33c5e2bd12"/>
              <w:id w:val="7724736"/>
              <w:lock w:val="sdtLocked"/>
            </w:sdtPr>
            <w:sdtEndPr>
              <w:rPr>
                <w:color w:val="FF9900"/>
              </w:rPr>
            </w:sdtEndPr>
            <w:sdtContent>
              <w:tr w:rsidR="00DC331F" w:rsidTr="006B3C41">
                <w:trPr>
                  <w:cantSplit/>
                  <w:jc w:val="center"/>
                </w:trPr>
                <w:tc>
                  <w:tcPr>
                    <w:tcW w:w="3380" w:type="dxa"/>
                    <w:shd w:val="clear" w:color="auto" w:fill="auto"/>
                    <w:vAlign w:val="center"/>
                  </w:tcPr>
                  <w:p w:rsidR="00DC331F" w:rsidRDefault="00DC331F" w:rsidP="005014DF">
                    <w:pPr>
                      <w:rPr>
                        <w:szCs w:val="21"/>
                      </w:rPr>
                    </w:pPr>
                    <w:r w:rsidRPr="004D0EF9">
                      <w:rPr>
                        <w:rFonts w:hint="eastAsia"/>
                        <w:szCs w:val="21"/>
                      </w:rPr>
                      <w:t>中国铁路太原局集团有限公司</w:t>
                    </w:r>
                  </w:p>
                </w:tc>
                <w:tc>
                  <w:tcPr>
                    <w:tcW w:w="0" w:type="auto"/>
                    <w:shd w:val="clear" w:color="auto" w:fill="auto"/>
                    <w:vAlign w:val="center"/>
                  </w:tcPr>
                  <w:p w:rsidR="00DC331F" w:rsidRDefault="00DC331F" w:rsidP="005014DF">
                    <w:pPr>
                      <w:jc w:val="right"/>
                      <w:rPr>
                        <w:szCs w:val="21"/>
                      </w:rPr>
                    </w:pPr>
                    <w:r>
                      <w:rPr>
                        <w:rFonts w:hint="eastAsia"/>
                        <w:szCs w:val="21"/>
                      </w:rPr>
                      <w:t>0</w:t>
                    </w:r>
                  </w:p>
                </w:tc>
                <w:tc>
                  <w:tcPr>
                    <w:tcW w:w="0" w:type="auto"/>
                    <w:shd w:val="clear" w:color="auto" w:fill="auto"/>
                    <w:vAlign w:val="center"/>
                  </w:tcPr>
                  <w:p w:rsidR="00DC331F" w:rsidRDefault="00DC331F" w:rsidP="005014DF">
                    <w:pPr>
                      <w:jc w:val="right"/>
                      <w:rPr>
                        <w:szCs w:val="21"/>
                      </w:rPr>
                    </w:pPr>
                    <w:r>
                      <w:rPr>
                        <w:szCs w:val="21"/>
                      </w:rPr>
                      <w:t>9,320,761,520</w:t>
                    </w:r>
                  </w:p>
                </w:tc>
                <w:tc>
                  <w:tcPr>
                    <w:tcW w:w="0" w:type="auto"/>
                    <w:gridSpan w:val="2"/>
                    <w:shd w:val="clear" w:color="auto" w:fill="auto"/>
                    <w:vAlign w:val="center"/>
                  </w:tcPr>
                  <w:p w:rsidR="00DC331F" w:rsidRDefault="00DC331F" w:rsidP="005014DF">
                    <w:pPr>
                      <w:jc w:val="right"/>
                      <w:rPr>
                        <w:szCs w:val="21"/>
                      </w:rPr>
                    </w:pPr>
                    <w:r>
                      <w:rPr>
                        <w:rFonts w:hint="eastAsia"/>
                        <w:szCs w:val="21"/>
                      </w:rPr>
                      <w:t>62.69</w:t>
                    </w:r>
                  </w:p>
                </w:tc>
                <w:tc>
                  <w:tcPr>
                    <w:tcW w:w="0" w:type="auto"/>
                    <w:shd w:val="clear" w:color="auto" w:fill="auto"/>
                    <w:vAlign w:val="center"/>
                  </w:tcPr>
                  <w:p w:rsidR="00DC331F" w:rsidRDefault="00DC331F" w:rsidP="005014DF">
                    <w:pPr>
                      <w:jc w:val="right"/>
                      <w:rPr>
                        <w:szCs w:val="21"/>
                      </w:rPr>
                    </w:pPr>
                    <w:r>
                      <w:rPr>
                        <w:rFonts w:hint="eastAsia"/>
                        <w:szCs w:val="21"/>
                      </w:rPr>
                      <w:t>0</w:t>
                    </w:r>
                  </w:p>
                </w:tc>
                <w:sdt>
                  <w:sdtPr>
                    <w:rPr>
                      <w:szCs w:val="21"/>
                    </w:rPr>
                    <w:alias w:val="前十名股东持有股份状态"/>
                    <w:tag w:val="_GBC_46a2e2b7fded452b84eec75a5e47296b"/>
                    <w:id w:val="7724734"/>
                    <w:lock w:val="sdtLocked"/>
                    <w:comboBox>
                      <w:listItem w:displayText="无" w:value="无"/>
                      <w:listItem w:displayText="质押" w:value="质押"/>
                      <w:listItem w:displayText="标记" w:value="标记"/>
                      <w:listItem w:displayText="冻结" w:value="冻结"/>
                      <w:listItem w:displayText="托管" w:value="托管"/>
                      <w:listItem w:displayText="未知" w:value="未知"/>
                    </w:comboBox>
                  </w:sdtPr>
                  <w:sdtContent>
                    <w:tc>
                      <w:tcPr>
                        <w:tcW w:w="0" w:type="auto"/>
                        <w:shd w:val="clear" w:color="auto" w:fill="auto"/>
                        <w:vAlign w:val="center"/>
                      </w:tcPr>
                      <w:p w:rsidR="00DC331F" w:rsidRDefault="00DC331F" w:rsidP="005014DF">
                        <w:pPr>
                          <w:jc w:val="center"/>
                          <w:rPr>
                            <w:color w:val="FF9900"/>
                            <w:szCs w:val="21"/>
                          </w:rPr>
                        </w:pPr>
                        <w:r>
                          <w:rPr>
                            <w:szCs w:val="21"/>
                          </w:rPr>
                          <w:t>无</w:t>
                        </w:r>
                      </w:p>
                    </w:tc>
                  </w:sdtContent>
                </w:sdt>
                <w:tc>
                  <w:tcPr>
                    <w:tcW w:w="0" w:type="auto"/>
                    <w:gridSpan w:val="2"/>
                    <w:shd w:val="clear" w:color="auto" w:fill="auto"/>
                    <w:vAlign w:val="center"/>
                  </w:tcPr>
                  <w:p w:rsidR="00DC331F" w:rsidRDefault="00DC331F" w:rsidP="005014DF">
                    <w:pPr>
                      <w:jc w:val="right"/>
                      <w:rPr>
                        <w:szCs w:val="21"/>
                      </w:rPr>
                    </w:pPr>
                  </w:p>
                </w:tc>
                <w:sdt>
                  <w:sdtPr>
                    <w:rPr>
                      <w:szCs w:val="21"/>
                    </w:rPr>
                    <w:alias w:val="前十名股东的股东性质"/>
                    <w:tag w:val="_GBC_84391eccdbd14aa7bbd07a260ff9d747"/>
                    <w:id w:val="7724735"/>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378" w:type="dxa"/>
                        <w:shd w:val="clear" w:color="auto" w:fill="auto"/>
                        <w:vAlign w:val="center"/>
                      </w:tcPr>
                      <w:p w:rsidR="00DC331F" w:rsidRDefault="00DC331F" w:rsidP="005014DF">
                        <w:pPr>
                          <w:rPr>
                            <w:color w:val="FF9900"/>
                            <w:szCs w:val="21"/>
                          </w:rPr>
                        </w:pPr>
                        <w:r>
                          <w:rPr>
                            <w:szCs w:val="21"/>
                          </w:rPr>
                          <w:t>国有法人</w:t>
                        </w:r>
                      </w:p>
                    </w:tc>
                  </w:sdtContent>
                </w:sdt>
              </w:tr>
            </w:sdtContent>
          </w:sdt>
          <w:sdt>
            <w:sdtPr>
              <w:rPr>
                <w:szCs w:val="21"/>
              </w:rPr>
              <w:alias w:val="前十名股东持股情况"/>
              <w:tag w:val="_TUP_dfb07f5d24d04bbbad485e33c5e2bd12"/>
              <w:id w:val="7724739"/>
              <w:lock w:val="sdtLocked"/>
            </w:sdtPr>
            <w:sdtEndPr>
              <w:rPr>
                <w:color w:val="FF9900"/>
              </w:rPr>
            </w:sdtEndPr>
            <w:sdtContent>
              <w:tr w:rsidR="00DC331F" w:rsidTr="006B3C41">
                <w:trPr>
                  <w:cantSplit/>
                  <w:jc w:val="center"/>
                </w:trPr>
                <w:tc>
                  <w:tcPr>
                    <w:tcW w:w="3380" w:type="dxa"/>
                    <w:shd w:val="clear" w:color="auto" w:fill="auto"/>
                    <w:vAlign w:val="center"/>
                  </w:tcPr>
                  <w:p w:rsidR="00DC331F" w:rsidRDefault="00DC331F" w:rsidP="005014DF">
                    <w:pPr>
                      <w:rPr>
                        <w:szCs w:val="21"/>
                      </w:rPr>
                    </w:pPr>
                    <w:r w:rsidRPr="004D0EF9">
                      <w:rPr>
                        <w:rFonts w:hint="eastAsia"/>
                        <w:szCs w:val="21"/>
                      </w:rPr>
                      <w:t>香港中央结算有限公司</w:t>
                    </w:r>
                  </w:p>
                </w:tc>
                <w:tc>
                  <w:tcPr>
                    <w:tcW w:w="0" w:type="auto"/>
                    <w:shd w:val="clear" w:color="auto" w:fill="auto"/>
                    <w:vAlign w:val="center"/>
                  </w:tcPr>
                  <w:p w:rsidR="00DC331F" w:rsidRDefault="00DC331F" w:rsidP="005014DF">
                    <w:pPr>
                      <w:jc w:val="right"/>
                      <w:rPr>
                        <w:szCs w:val="21"/>
                      </w:rPr>
                    </w:pPr>
                    <w:r w:rsidRPr="00114336">
                      <w:rPr>
                        <w:szCs w:val="21"/>
                      </w:rPr>
                      <w:t>468,099,486</w:t>
                    </w:r>
                  </w:p>
                </w:tc>
                <w:tc>
                  <w:tcPr>
                    <w:tcW w:w="0" w:type="auto"/>
                    <w:shd w:val="clear" w:color="auto" w:fill="auto"/>
                    <w:vAlign w:val="center"/>
                  </w:tcPr>
                  <w:p w:rsidR="00DC331F" w:rsidRDefault="00DC331F" w:rsidP="005014DF">
                    <w:pPr>
                      <w:jc w:val="right"/>
                      <w:rPr>
                        <w:szCs w:val="21"/>
                      </w:rPr>
                    </w:pPr>
                    <w:r>
                      <w:rPr>
                        <w:szCs w:val="21"/>
                      </w:rPr>
                      <w:t>807,686,850</w:t>
                    </w:r>
                  </w:p>
                </w:tc>
                <w:tc>
                  <w:tcPr>
                    <w:tcW w:w="0" w:type="auto"/>
                    <w:gridSpan w:val="2"/>
                    <w:shd w:val="clear" w:color="auto" w:fill="auto"/>
                    <w:vAlign w:val="center"/>
                  </w:tcPr>
                  <w:p w:rsidR="00DC331F" w:rsidRDefault="00DC331F" w:rsidP="005014DF">
                    <w:pPr>
                      <w:jc w:val="right"/>
                      <w:rPr>
                        <w:szCs w:val="21"/>
                      </w:rPr>
                    </w:pPr>
                    <w:r>
                      <w:rPr>
                        <w:rFonts w:hint="eastAsia"/>
                        <w:szCs w:val="21"/>
                      </w:rPr>
                      <w:t>5.43</w:t>
                    </w:r>
                  </w:p>
                </w:tc>
                <w:tc>
                  <w:tcPr>
                    <w:tcW w:w="0" w:type="auto"/>
                    <w:shd w:val="clear" w:color="auto" w:fill="auto"/>
                    <w:vAlign w:val="center"/>
                  </w:tcPr>
                  <w:p w:rsidR="00DC331F" w:rsidRDefault="00DC331F" w:rsidP="005014DF">
                    <w:pPr>
                      <w:jc w:val="right"/>
                      <w:rPr>
                        <w:szCs w:val="21"/>
                      </w:rPr>
                    </w:pPr>
                    <w:r>
                      <w:rPr>
                        <w:rFonts w:hint="eastAsia"/>
                        <w:szCs w:val="21"/>
                      </w:rPr>
                      <w:t>0</w:t>
                    </w:r>
                  </w:p>
                </w:tc>
                <w:sdt>
                  <w:sdtPr>
                    <w:rPr>
                      <w:szCs w:val="21"/>
                    </w:rPr>
                    <w:alias w:val="前十名股东持有股份状态"/>
                    <w:tag w:val="_GBC_46a2e2b7fded452b84eec75a5e47296b"/>
                    <w:id w:val="7724737"/>
                    <w:lock w:val="sdtLocked"/>
                    <w:comboBox>
                      <w:listItem w:displayText="无" w:value="无"/>
                      <w:listItem w:displayText="质押" w:value="质押"/>
                      <w:listItem w:displayText="标记" w:value="标记"/>
                      <w:listItem w:displayText="冻结" w:value="冻结"/>
                      <w:listItem w:displayText="托管" w:value="托管"/>
                      <w:listItem w:displayText="未知" w:value="未知"/>
                    </w:comboBox>
                  </w:sdtPr>
                  <w:sdtContent>
                    <w:tc>
                      <w:tcPr>
                        <w:tcW w:w="0" w:type="auto"/>
                        <w:shd w:val="clear" w:color="auto" w:fill="auto"/>
                        <w:vAlign w:val="center"/>
                      </w:tcPr>
                      <w:p w:rsidR="00DC331F" w:rsidRDefault="00DC331F" w:rsidP="005014DF">
                        <w:pPr>
                          <w:jc w:val="center"/>
                          <w:rPr>
                            <w:color w:val="FF9900"/>
                            <w:szCs w:val="21"/>
                          </w:rPr>
                        </w:pPr>
                        <w:r>
                          <w:rPr>
                            <w:szCs w:val="21"/>
                          </w:rPr>
                          <w:t>无</w:t>
                        </w:r>
                      </w:p>
                    </w:tc>
                  </w:sdtContent>
                </w:sdt>
                <w:tc>
                  <w:tcPr>
                    <w:tcW w:w="0" w:type="auto"/>
                    <w:gridSpan w:val="2"/>
                    <w:shd w:val="clear" w:color="auto" w:fill="auto"/>
                    <w:vAlign w:val="center"/>
                  </w:tcPr>
                  <w:p w:rsidR="00DC331F" w:rsidRDefault="00DC331F" w:rsidP="005014DF">
                    <w:pPr>
                      <w:jc w:val="right"/>
                      <w:rPr>
                        <w:szCs w:val="21"/>
                      </w:rPr>
                    </w:pPr>
                  </w:p>
                </w:tc>
                <w:sdt>
                  <w:sdtPr>
                    <w:rPr>
                      <w:szCs w:val="21"/>
                    </w:rPr>
                    <w:alias w:val="前十名股东的股东性质"/>
                    <w:tag w:val="_GBC_84391eccdbd14aa7bbd07a260ff9d747"/>
                    <w:id w:val="7724738"/>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378" w:type="dxa"/>
                        <w:shd w:val="clear" w:color="auto" w:fill="auto"/>
                        <w:vAlign w:val="center"/>
                      </w:tcPr>
                      <w:p w:rsidR="00DC331F" w:rsidRDefault="00DC331F" w:rsidP="005014DF">
                        <w:pPr>
                          <w:rPr>
                            <w:color w:val="FF9900"/>
                            <w:szCs w:val="21"/>
                          </w:rPr>
                        </w:pPr>
                        <w:r>
                          <w:rPr>
                            <w:szCs w:val="21"/>
                          </w:rPr>
                          <w:t>未知</w:t>
                        </w:r>
                      </w:p>
                    </w:tc>
                  </w:sdtContent>
                </w:sdt>
              </w:tr>
            </w:sdtContent>
          </w:sdt>
          <w:sdt>
            <w:sdtPr>
              <w:rPr>
                <w:szCs w:val="21"/>
              </w:rPr>
              <w:alias w:val="前十名股东持股情况"/>
              <w:tag w:val="_TUP_dfb07f5d24d04bbbad485e33c5e2bd12"/>
              <w:id w:val="7724742"/>
              <w:lock w:val="sdtLocked"/>
            </w:sdtPr>
            <w:sdtEndPr>
              <w:rPr>
                <w:color w:val="FF9900"/>
              </w:rPr>
            </w:sdtEndPr>
            <w:sdtContent>
              <w:tr w:rsidR="00DC331F" w:rsidTr="006B3C41">
                <w:trPr>
                  <w:cantSplit/>
                  <w:jc w:val="center"/>
                </w:trPr>
                <w:tc>
                  <w:tcPr>
                    <w:tcW w:w="3380" w:type="dxa"/>
                    <w:shd w:val="clear" w:color="auto" w:fill="auto"/>
                    <w:vAlign w:val="center"/>
                  </w:tcPr>
                  <w:p w:rsidR="00DC331F" w:rsidRDefault="00DC331F" w:rsidP="005014DF">
                    <w:pPr>
                      <w:rPr>
                        <w:szCs w:val="21"/>
                      </w:rPr>
                    </w:pPr>
                    <w:r w:rsidRPr="004D0EF9">
                      <w:rPr>
                        <w:rFonts w:hint="eastAsia"/>
                        <w:szCs w:val="21"/>
                      </w:rPr>
                      <w:t>中央汇金资产管理有限责任公司</w:t>
                    </w:r>
                  </w:p>
                </w:tc>
                <w:tc>
                  <w:tcPr>
                    <w:tcW w:w="0" w:type="auto"/>
                    <w:shd w:val="clear" w:color="auto" w:fill="auto"/>
                    <w:vAlign w:val="center"/>
                  </w:tcPr>
                  <w:p w:rsidR="00DC331F" w:rsidRDefault="00DC331F" w:rsidP="005014DF">
                    <w:pPr>
                      <w:jc w:val="right"/>
                      <w:rPr>
                        <w:szCs w:val="21"/>
                      </w:rPr>
                    </w:pPr>
                    <w:r>
                      <w:rPr>
                        <w:rFonts w:hint="eastAsia"/>
                        <w:szCs w:val="21"/>
                      </w:rPr>
                      <w:t>0</w:t>
                    </w:r>
                  </w:p>
                </w:tc>
                <w:tc>
                  <w:tcPr>
                    <w:tcW w:w="0" w:type="auto"/>
                    <w:shd w:val="clear" w:color="auto" w:fill="auto"/>
                    <w:vAlign w:val="center"/>
                  </w:tcPr>
                  <w:p w:rsidR="00DC331F" w:rsidRDefault="00DC331F" w:rsidP="005014DF">
                    <w:pPr>
                      <w:jc w:val="right"/>
                      <w:rPr>
                        <w:szCs w:val="21"/>
                      </w:rPr>
                    </w:pPr>
                    <w:r>
                      <w:rPr>
                        <w:szCs w:val="21"/>
                      </w:rPr>
                      <w:t>199,894,100</w:t>
                    </w:r>
                  </w:p>
                </w:tc>
                <w:tc>
                  <w:tcPr>
                    <w:tcW w:w="0" w:type="auto"/>
                    <w:gridSpan w:val="2"/>
                    <w:shd w:val="clear" w:color="auto" w:fill="auto"/>
                    <w:vAlign w:val="center"/>
                  </w:tcPr>
                  <w:p w:rsidR="00DC331F" w:rsidRDefault="00DC331F" w:rsidP="005014DF">
                    <w:pPr>
                      <w:jc w:val="right"/>
                      <w:rPr>
                        <w:szCs w:val="21"/>
                      </w:rPr>
                    </w:pPr>
                    <w:r>
                      <w:rPr>
                        <w:rFonts w:hint="eastAsia"/>
                        <w:szCs w:val="21"/>
                      </w:rPr>
                      <w:t>1.34</w:t>
                    </w:r>
                  </w:p>
                </w:tc>
                <w:tc>
                  <w:tcPr>
                    <w:tcW w:w="0" w:type="auto"/>
                    <w:shd w:val="clear" w:color="auto" w:fill="auto"/>
                    <w:vAlign w:val="center"/>
                  </w:tcPr>
                  <w:p w:rsidR="00DC331F" w:rsidRDefault="00DC331F" w:rsidP="005014DF">
                    <w:pPr>
                      <w:jc w:val="right"/>
                      <w:rPr>
                        <w:szCs w:val="21"/>
                      </w:rPr>
                    </w:pPr>
                    <w:r>
                      <w:rPr>
                        <w:rFonts w:hint="eastAsia"/>
                        <w:szCs w:val="21"/>
                      </w:rPr>
                      <w:t>0</w:t>
                    </w:r>
                  </w:p>
                </w:tc>
                <w:sdt>
                  <w:sdtPr>
                    <w:rPr>
                      <w:szCs w:val="21"/>
                    </w:rPr>
                    <w:alias w:val="前十名股东持有股份状态"/>
                    <w:tag w:val="_GBC_46a2e2b7fded452b84eec75a5e47296b"/>
                    <w:id w:val="7724740"/>
                    <w:lock w:val="sdtLocked"/>
                    <w:comboBox>
                      <w:listItem w:displayText="无" w:value="无"/>
                      <w:listItem w:displayText="质押" w:value="质押"/>
                      <w:listItem w:displayText="标记" w:value="标记"/>
                      <w:listItem w:displayText="冻结" w:value="冻结"/>
                      <w:listItem w:displayText="托管" w:value="托管"/>
                      <w:listItem w:displayText="未知" w:value="未知"/>
                    </w:comboBox>
                  </w:sdtPr>
                  <w:sdtContent>
                    <w:tc>
                      <w:tcPr>
                        <w:tcW w:w="0" w:type="auto"/>
                        <w:shd w:val="clear" w:color="auto" w:fill="auto"/>
                        <w:vAlign w:val="center"/>
                      </w:tcPr>
                      <w:p w:rsidR="00DC331F" w:rsidRDefault="00DC331F" w:rsidP="005014DF">
                        <w:pPr>
                          <w:jc w:val="center"/>
                          <w:rPr>
                            <w:color w:val="FF9900"/>
                            <w:szCs w:val="21"/>
                          </w:rPr>
                        </w:pPr>
                        <w:r>
                          <w:rPr>
                            <w:szCs w:val="21"/>
                          </w:rPr>
                          <w:t>无</w:t>
                        </w:r>
                      </w:p>
                    </w:tc>
                  </w:sdtContent>
                </w:sdt>
                <w:tc>
                  <w:tcPr>
                    <w:tcW w:w="0" w:type="auto"/>
                    <w:gridSpan w:val="2"/>
                    <w:shd w:val="clear" w:color="auto" w:fill="auto"/>
                    <w:vAlign w:val="center"/>
                  </w:tcPr>
                  <w:p w:rsidR="00DC331F" w:rsidRDefault="00DC331F" w:rsidP="005014DF">
                    <w:pPr>
                      <w:jc w:val="right"/>
                      <w:rPr>
                        <w:szCs w:val="21"/>
                      </w:rPr>
                    </w:pPr>
                  </w:p>
                </w:tc>
                <w:sdt>
                  <w:sdtPr>
                    <w:rPr>
                      <w:szCs w:val="21"/>
                    </w:rPr>
                    <w:alias w:val="前十名股东的股东性质"/>
                    <w:tag w:val="_GBC_84391eccdbd14aa7bbd07a260ff9d747"/>
                    <w:id w:val="7724741"/>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378" w:type="dxa"/>
                        <w:shd w:val="clear" w:color="auto" w:fill="auto"/>
                        <w:vAlign w:val="center"/>
                      </w:tcPr>
                      <w:p w:rsidR="00DC331F" w:rsidRDefault="00DC331F" w:rsidP="005014DF">
                        <w:pPr>
                          <w:rPr>
                            <w:color w:val="FF9900"/>
                            <w:szCs w:val="21"/>
                          </w:rPr>
                        </w:pPr>
                        <w:r>
                          <w:rPr>
                            <w:szCs w:val="21"/>
                          </w:rPr>
                          <w:t>国有法人</w:t>
                        </w:r>
                      </w:p>
                    </w:tc>
                  </w:sdtContent>
                </w:sdt>
              </w:tr>
            </w:sdtContent>
          </w:sdt>
          <w:sdt>
            <w:sdtPr>
              <w:rPr>
                <w:szCs w:val="21"/>
              </w:rPr>
              <w:alias w:val="前十名股东持股情况"/>
              <w:tag w:val="_TUP_dfb07f5d24d04bbbad485e33c5e2bd12"/>
              <w:id w:val="7724745"/>
              <w:lock w:val="sdtLocked"/>
            </w:sdtPr>
            <w:sdtEndPr>
              <w:rPr>
                <w:color w:val="FF9900"/>
              </w:rPr>
            </w:sdtEndPr>
            <w:sdtContent>
              <w:tr w:rsidR="00DC331F" w:rsidTr="006B3C41">
                <w:trPr>
                  <w:cantSplit/>
                  <w:jc w:val="center"/>
                </w:trPr>
                <w:tc>
                  <w:tcPr>
                    <w:tcW w:w="3380" w:type="dxa"/>
                    <w:shd w:val="clear" w:color="auto" w:fill="auto"/>
                    <w:vAlign w:val="center"/>
                  </w:tcPr>
                  <w:p w:rsidR="00DC331F" w:rsidRDefault="00DC331F" w:rsidP="005014DF">
                    <w:pPr>
                      <w:rPr>
                        <w:szCs w:val="21"/>
                      </w:rPr>
                    </w:pPr>
                    <w:r w:rsidRPr="004D0EF9">
                      <w:rPr>
                        <w:rFonts w:hint="eastAsia"/>
                        <w:szCs w:val="21"/>
                      </w:rPr>
                      <w:t>中国证券金融股份有限公司</w:t>
                    </w:r>
                  </w:p>
                </w:tc>
                <w:tc>
                  <w:tcPr>
                    <w:tcW w:w="0" w:type="auto"/>
                    <w:shd w:val="clear" w:color="auto" w:fill="auto"/>
                    <w:vAlign w:val="center"/>
                  </w:tcPr>
                  <w:p w:rsidR="00DC331F" w:rsidRDefault="00DC331F" w:rsidP="005014DF">
                    <w:pPr>
                      <w:jc w:val="right"/>
                      <w:rPr>
                        <w:szCs w:val="21"/>
                      </w:rPr>
                    </w:pPr>
                    <w:r>
                      <w:rPr>
                        <w:rFonts w:hint="eastAsia"/>
                        <w:szCs w:val="21"/>
                      </w:rPr>
                      <w:t>0</w:t>
                    </w:r>
                  </w:p>
                </w:tc>
                <w:tc>
                  <w:tcPr>
                    <w:tcW w:w="0" w:type="auto"/>
                    <w:shd w:val="clear" w:color="auto" w:fill="auto"/>
                    <w:vAlign w:val="center"/>
                  </w:tcPr>
                  <w:p w:rsidR="00DC331F" w:rsidRDefault="00DC331F" w:rsidP="005014DF">
                    <w:pPr>
                      <w:jc w:val="right"/>
                      <w:rPr>
                        <w:szCs w:val="21"/>
                      </w:rPr>
                    </w:pPr>
                    <w:r>
                      <w:rPr>
                        <w:szCs w:val="21"/>
                      </w:rPr>
                      <w:t>199,494,812</w:t>
                    </w:r>
                  </w:p>
                </w:tc>
                <w:tc>
                  <w:tcPr>
                    <w:tcW w:w="0" w:type="auto"/>
                    <w:gridSpan w:val="2"/>
                    <w:shd w:val="clear" w:color="auto" w:fill="auto"/>
                    <w:vAlign w:val="center"/>
                  </w:tcPr>
                  <w:p w:rsidR="00DC331F" w:rsidRDefault="00DC331F" w:rsidP="005014DF">
                    <w:pPr>
                      <w:jc w:val="right"/>
                      <w:rPr>
                        <w:szCs w:val="21"/>
                      </w:rPr>
                    </w:pPr>
                    <w:r>
                      <w:rPr>
                        <w:rFonts w:hint="eastAsia"/>
                        <w:szCs w:val="21"/>
                      </w:rPr>
                      <w:t>1.34</w:t>
                    </w:r>
                  </w:p>
                </w:tc>
                <w:tc>
                  <w:tcPr>
                    <w:tcW w:w="0" w:type="auto"/>
                    <w:shd w:val="clear" w:color="auto" w:fill="auto"/>
                    <w:vAlign w:val="center"/>
                  </w:tcPr>
                  <w:p w:rsidR="00DC331F" w:rsidRDefault="00DC331F" w:rsidP="005014DF">
                    <w:pPr>
                      <w:jc w:val="right"/>
                      <w:rPr>
                        <w:szCs w:val="21"/>
                      </w:rPr>
                    </w:pPr>
                    <w:r>
                      <w:rPr>
                        <w:rFonts w:hint="eastAsia"/>
                        <w:szCs w:val="21"/>
                      </w:rPr>
                      <w:t>0</w:t>
                    </w:r>
                  </w:p>
                </w:tc>
                <w:sdt>
                  <w:sdtPr>
                    <w:rPr>
                      <w:szCs w:val="21"/>
                    </w:rPr>
                    <w:alias w:val="前十名股东持有股份状态"/>
                    <w:tag w:val="_GBC_46a2e2b7fded452b84eec75a5e47296b"/>
                    <w:id w:val="7724743"/>
                    <w:lock w:val="sdtLocked"/>
                    <w:comboBox>
                      <w:listItem w:displayText="无" w:value="无"/>
                      <w:listItem w:displayText="质押" w:value="质押"/>
                      <w:listItem w:displayText="标记" w:value="标记"/>
                      <w:listItem w:displayText="冻结" w:value="冻结"/>
                      <w:listItem w:displayText="托管" w:value="托管"/>
                      <w:listItem w:displayText="未知" w:value="未知"/>
                    </w:comboBox>
                  </w:sdtPr>
                  <w:sdtContent>
                    <w:tc>
                      <w:tcPr>
                        <w:tcW w:w="0" w:type="auto"/>
                        <w:shd w:val="clear" w:color="auto" w:fill="auto"/>
                        <w:vAlign w:val="center"/>
                      </w:tcPr>
                      <w:p w:rsidR="00DC331F" w:rsidRDefault="00DC331F" w:rsidP="005014DF">
                        <w:pPr>
                          <w:jc w:val="center"/>
                          <w:rPr>
                            <w:color w:val="FF9900"/>
                            <w:szCs w:val="21"/>
                          </w:rPr>
                        </w:pPr>
                        <w:r>
                          <w:rPr>
                            <w:szCs w:val="21"/>
                          </w:rPr>
                          <w:t>无</w:t>
                        </w:r>
                      </w:p>
                    </w:tc>
                  </w:sdtContent>
                </w:sdt>
                <w:tc>
                  <w:tcPr>
                    <w:tcW w:w="0" w:type="auto"/>
                    <w:gridSpan w:val="2"/>
                    <w:shd w:val="clear" w:color="auto" w:fill="auto"/>
                    <w:vAlign w:val="center"/>
                  </w:tcPr>
                  <w:p w:rsidR="00DC331F" w:rsidRDefault="00DC331F" w:rsidP="005014DF">
                    <w:pPr>
                      <w:jc w:val="right"/>
                      <w:rPr>
                        <w:szCs w:val="21"/>
                      </w:rPr>
                    </w:pPr>
                  </w:p>
                </w:tc>
                <w:sdt>
                  <w:sdtPr>
                    <w:rPr>
                      <w:szCs w:val="21"/>
                    </w:rPr>
                    <w:alias w:val="前十名股东的股东性质"/>
                    <w:tag w:val="_GBC_84391eccdbd14aa7bbd07a260ff9d747"/>
                    <w:id w:val="7724744"/>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378" w:type="dxa"/>
                        <w:shd w:val="clear" w:color="auto" w:fill="auto"/>
                        <w:vAlign w:val="center"/>
                      </w:tcPr>
                      <w:p w:rsidR="00DC331F" w:rsidRDefault="00DC331F" w:rsidP="005014DF">
                        <w:pPr>
                          <w:rPr>
                            <w:color w:val="FF9900"/>
                            <w:szCs w:val="21"/>
                          </w:rPr>
                        </w:pPr>
                        <w:r>
                          <w:rPr>
                            <w:szCs w:val="21"/>
                          </w:rPr>
                          <w:t>国有法人</w:t>
                        </w:r>
                      </w:p>
                    </w:tc>
                  </w:sdtContent>
                </w:sdt>
              </w:tr>
            </w:sdtContent>
          </w:sdt>
          <w:sdt>
            <w:sdtPr>
              <w:rPr>
                <w:szCs w:val="21"/>
              </w:rPr>
              <w:alias w:val="前十名股东持股情况"/>
              <w:tag w:val="_TUP_dfb07f5d24d04bbbad485e33c5e2bd12"/>
              <w:id w:val="7724748"/>
              <w:lock w:val="sdtLocked"/>
            </w:sdtPr>
            <w:sdtEndPr>
              <w:rPr>
                <w:color w:val="FF9900"/>
              </w:rPr>
            </w:sdtEndPr>
            <w:sdtContent>
              <w:tr w:rsidR="00DC331F" w:rsidTr="006B3C41">
                <w:trPr>
                  <w:cantSplit/>
                  <w:jc w:val="center"/>
                </w:trPr>
                <w:tc>
                  <w:tcPr>
                    <w:tcW w:w="3380" w:type="dxa"/>
                    <w:shd w:val="clear" w:color="auto" w:fill="auto"/>
                    <w:vAlign w:val="center"/>
                  </w:tcPr>
                  <w:p w:rsidR="00DC331F" w:rsidRDefault="00DC331F" w:rsidP="005014DF">
                    <w:pPr>
                      <w:rPr>
                        <w:szCs w:val="21"/>
                      </w:rPr>
                    </w:pPr>
                    <w:r w:rsidRPr="004D0EF9">
                      <w:rPr>
                        <w:rFonts w:hint="eastAsia"/>
                        <w:szCs w:val="21"/>
                      </w:rPr>
                      <w:t>河北港口集团有限公司</w:t>
                    </w:r>
                  </w:p>
                </w:tc>
                <w:tc>
                  <w:tcPr>
                    <w:tcW w:w="0" w:type="auto"/>
                    <w:shd w:val="clear" w:color="auto" w:fill="auto"/>
                    <w:vAlign w:val="center"/>
                  </w:tcPr>
                  <w:p w:rsidR="00DC331F" w:rsidRDefault="00DC331F" w:rsidP="005014DF">
                    <w:pPr>
                      <w:jc w:val="right"/>
                      <w:rPr>
                        <w:szCs w:val="21"/>
                      </w:rPr>
                    </w:pPr>
                    <w:r>
                      <w:rPr>
                        <w:rFonts w:hint="eastAsia"/>
                        <w:szCs w:val="21"/>
                      </w:rPr>
                      <w:t>0</w:t>
                    </w:r>
                  </w:p>
                </w:tc>
                <w:tc>
                  <w:tcPr>
                    <w:tcW w:w="0" w:type="auto"/>
                    <w:shd w:val="clear" w:color="auto" w:fill="auto"/>
                    <w:vAlign w:val="center"/>
                  </w:tcPr>
                  <w:p w:rsidR="00DC331F" w:rsidRDefault="00DC331F" w:rsidP="005014DF">
                    <w:pPr>
                      <w:jc w:val="right"/>
                      <w:rPr>
                        <w:szCs w:val="21"/>
                      </w:rPr>
                    </w:pPr>
                    <w:r>
                      <w:rPr>
                        <w:szCs w:val="21"/>
                      </w:rPr>
                      <w:t>158,702,841</w:t>
                    </w:r>
                  </w:p>
                </w:tc>
                <w:tc>
                  <w:tcPr>
                    <w:tcW w:w="0" w:type="auto"/>
                    <w:gridSpan w:val="2"/>
                    <w:shd w:val="clear" w:color="auto" w:fill="auto"/>
                    <w:vAlign w:val="center"/>
                  </w:tcPr>
                  <w:p w:rsidR="00DC331F" w:rsidRDefault="00DC331F" w:rsidP="005014DF">
                    <w:pPr>
                      <w:jc w:val="right"/>
                      <w:rPr>
                        <w:szCs w:val="21"/>
                      </w:rPr>
                    </w:pPr>
                    <w:r>
                      <w:rPr>
                        <w:rFonts w:hint="eastAsia"/>
                        <w:szCs w:val="21"/>
                      </w:rPr>
                      <w:t>1.07</w:t>
                    </w:r>
                  </w:p>
                </w:tc>
                <w:tc>
                  <w:tcPr>
                    <w:tcW w:w="0" w:type="auto"/>
                    <w:shd w:val="clear" w:color="auto" w:fill="auto"/>
                    <w:vAlign w:val="center"/>
                  </w:tcPr>
                  <w:p w:rsidR="00DC331F" w:rsidRDefault="00DC331F" w:rsidP="005014DF">
                    <w:pPr>
                      <w:jc w:val="right"/>
                      <w:rPr>
                        <w:szCs w:val="21"/>
                      </w:rPr>
                    </w:pPr>
                    <w:r>
                      <w:rPr>
                        <w:rFonts w:hint="eastAsia"/>
                        <w:szCs w:val="21"/>
                      </w:rPr>
                      <w:t>0</w:t>
                    </w:r>
                  </w:p>
                </w:tc>
                <w:sdt>
                  <w:sdtPr>
                    <w:rPr>
                      <w:szCs w:val="21"/>
                    </w:rPr>
                    <w:alias w:val="前十名股东持有股份状态"/>
                    <w:tag w:val="_GBC_46a2e2b7fded452b84eec75a5e47296b"/>
                    <w:id w:val="7724746"/>
                    <w:lock w:val="sdtLocked"/>
                    <w:comboBox>
                      <w:listItem w:displayText="无" w:value="无"/>
                      <w:listItem w:displayText="质押" w:value="质押"/>
                      <w:listItem w:displayText="标记" w:value="标记"/>
                      <w:listItem w:displayText="冻结" w:value="冻结"/>
                      <w:listItem w:displayText="托管" w:value="托管"/>
                      <w:listItem w:displayText="未知" w:value="未知"/>
                    </w:comboBox>
                  </w:sdtPr>
                  <w:sdtContent>
                    <w:tc>
                      <w:tcPr>
                        <w:tcW w:w="0" w:type="auto"/>
                        <w:shd w:val="clear" w:color="auto" w:fill="auto"/>
                        <w:vAlign w:val="center"/>
                      </w:tcPr>
                      <w:p w:rsidR="00DC331F" w:rsidRDefault="00DC331F" w:rsidP="005014DF">
                        <w:pPr>
                          <w:jc w:val="center"/>
                          <w:rPr>
                            <w:color w:val="FF9900"/>
                            <w:szCs w:val="21"/>
                          </w:rPr>
                        </w:pPr>
                        <w:r>
                          <w:rPr>
                            <w:szCs w:val="21"/>
                          </w:rPr>
                          <w:t>无</w:t>
                        </w:r>
                      </w:p>
                    </w:tc>
                  </w:sdtContent>
                </w:sdt>
                <w:tc>
                  <w:tcPr>
                    <w:tcW w:w="0" w:type="auto"/>
                    <w:gridSpan w:val="2"/>
                    <w:shd w:val="clear" w:color="auto" w:fill="auto"/>
                    <w:vAlign w:val="center"/>
                  </w:tcPr>
                  <w:p w:rsidR="00DC331F" w:rsidRDefault="00DC331F" w:rsidP="005014DF">
                    <w:pPr>
                      <w:jc w:val="right"/>
                      <w:rPr>
                        <w:szCs w:val="21"/>
                      </w:rPr>
                    </w:pPr>
                  </w:p>
                </w:tc>
                <w:sdt>
                  <w:sdtPr>
                    <w:rPr>
                      <w:szCs w:val="21"/>
                    </w:rPr>
                    <w:alias w:val="前十名股东的股东性质"/>
                    <w:tag w:val="_GBC_84391eccdbd14aa7bbd07a260ff9d747"/>
                    <w:id w:val="7724747"/>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378" w:type="dxa"/>
                        <w:shd w:val="clear" w:color="auto" w:fill="auto"/>
                        <w:vAlign w:val="center"/>
                      </w:tcPr>
                      <w:p w:rsidR="00DC331F" w:rsidRDefault="00DC331F" w:rsidP="005014DF">
                        <w:pPr>
                          <w:rPr>
                            <w:color w:val="FF9900"/>
                            <w:szCs w:val="21"/>
                          </w:rPr>
                        </w:pPr>
                        <w:r>
                          <w:rPr>
                            <w:szCs w:val="21"/>
                          </w:rPr>
                          <w:t>国有法人</w:t>
                        </w:r>
                      </w:p>
                    </w:tc>
                  </w:sdtContent>
                </w:sdt>
              </w:tr>
            </w:sdtContent>
          </w:sdt>
          <w:sdt>
            <w:sdtPr>
              <w:rPr>
                <w:szCs w:val="21"/>
              </w:rPr>
              <w:alias w:val="前十名股东持股情况"/>
              <w:tag w:val="_TUP_dfb07f5d24d04bbbad485e33c5e2bd12"/>
              <w:id w:val="7724751"/>
              <w:lock w:val="sdtLocked"/>
            </w:sdtPr>
            <w:sdtEndPr>
              <w:rPr>
                <w:color w:val="FF9900"/>
              </w:rPr>
            </w:sdtEndPr>
            <w:sdtContent>
              <w:tr w:rsidR="00DC331F" w:rsidTr="006B3C41">
                <w:trPr>
                  <w:cantSplit/>
                  <w:jc w:val="center"/>
                </w:trPr>
                <w:tc>
                  <w:tcPr>
                    <w:tcW w:w="3380" w:type="dxa"/>
                    <w:shd w:val="clear" w:color="auto" w:fill="auto"/>
                    <w:vAlign w:val="center"/>
                  </w:tcPr>
                  <w:p w:rsidR="00DC331F" w:rsidRDefault="00DC331F" w:rsidP="005014DF">
                    <w:pPr>
                      <w:rPr>
                        <w:szCs w:val="21"/>
                      </w:rPr>
                    </w:pPr>
                    <w:r w:rsidRPr="00415ADE">
                      <w:rPr>
                        <w:rFonts w:hint="eastAsia"/>
                        <w:szCs w:val="21"/>
                      </w:rPr>
                      <w:t>博时基金－农业银行－博时中证金融资产管理计划</w:t>
                    </w:r>
                  </w:p>
                </w:tc>
                <w:tc>
                  <w:tcPr>
                    <w:tcW w:w="0" w:type="auto"/>
                    <w:shd w:val="clear" w:color="auto" w:fill="auto"/>
                    <w:vAlign w:val="center"/>
                  </w:tcPr>
                  <w:p w:rsidR="00DC331F" w:rsidRDefault="00DC331F" w:rsidP="005014DF">
                    <w:pPr>
                      <w:jc w:val="right"/>
                      <w:rPr>
                        <w:szCs w:val="21"/>
                      </w:rPr>
                    </w:pPr>
                    <w:r>
                      <w:rPr>
                        <w:rFonts w:hint="eastAsia"/>
                        <w:szCs w:val="21"/>
                      </w:rPr>
                      <w:t>0</w:t>
                    </w:r>
                  </w:p>
                </w:tc>
                <w:tc>
                  <w:tcPr>
                    <w:tcW w:w="0" w:type="auto"/>
                    <w:shd w:val="clear" w:color="auto" w:fill="auto"/>
                    <w:vAlign w:val="center"/>
                  </w:tcPr>
                  <w:p w:rsidR="00DC331F" w:rsidRDefault="00DC331F" w:rsidP="005014DF">
                    <w:pPr>
                      <w:jc w:val="right"/>
                      <w:rPr>
                        <w:szCs w:val="21"/>
                      </w:rPr>
                    </w:pPr>
                    <w:r>
                      <w:rPr>
                        <w:szCs w:val="21"/>
                      </w:rPr>
                      <w:t>119,024,765</w:t>
                    </w:r>
                  </w:p>
                </w:tc>
                <w:tc>
                  <w:tcPr>
                    <w:tcW w:w="0" w:type="auto"/>
                    <w:gridSpan w:val="2"/>
                    <w:shd w:val="clear" w:color="auto" w:fill="auto"/>
                    <w:vAlign w:val="center"/>
                  </w:tcPr>
                  <w:p w:rsidR="00DC331F" w:rsidRDefault="00DC331F" w:rsidP="005014DF">
                    <w:pPr>
                      <w:jc w:val="right"/>
                      <w:rPr>
                        <w:szCs w:val="21"/>
                      </w:rPr>
                    </w:pPr>
                    <w:r>
                      <w:rPr>
                        <w:rFonts w:hint="eastAsia"/>
                        <w:szCs w:val="21"/>
                      </w:rPr>
                      <w:t>0.80</w:t>
                    </w:r>
                  </w:p>
                </w:tc>
                <w:tc>
                  <w:tcPr>
                    <w:tcW w:w="0" w:type="auto"/>
                    <w:shd w:val="clear" w:color="auto" w:fill="auto"/>
                    <w:vAlign w:val="center"/>
                  </w:tcPr>
                  <w:p w:rsidR="00DC331F" w:rsidRDefault="00DC331F" w:rsidP="005014DF">
                    <w:pPr>
                      <w:jc w:val="right"/>
                      <w:rPr>
                        <w:szCs w:val="21"/>
                      </w:rPr>
                    </w:pPr>
                    <w:r>
                      <w:rPr>
                        <w:rFonts w:hint="eastAsia"/>
                        <w:szCs w:val="21"/>
                      </w:rPr>
                      <w:t>0</w:t>
                    </w:r>
                  </w:p>
                </w:tc>
                <w:sdt>
                  <w:sdtPr>
                    <w:rPr>
                      <w:szCs w:val="21"/>
                    </w:rPr>
                    <w:alias w:val="前十名股东持有股份状态"/>
                    <w:tag w:val="_GBC_46a2e2b7fded452b84eec75a5e47296b"/>
                    <w:id w:val="7724749"/>
                    <w:lock w:val="sdtLocked"/>
                    <w:comboBox>
                      <w:listItem w:displayText="无" w:value="无"/>
                      <w:listItem w:displayText="质押" w:value="质押"/>
                      <w:listItem w:displayText="标记" w:value="标记"/>
                      <w:listItem w:displayText="冻结" w:value="冻结"/>
                      <w:listItem w:displayText="托管" w:value="托管"/>
                      <w:listItem w:displayText="未知" w:value="未知"/>
                    </w:comboBox>
                  </w:sdtPr>
                  <w:sdtContent>
                    <w:tc>
                      <w:tcPr>
                        <w:tcW w:w="0" w:type="auto"/>
                        <w:shd w:val="clear" w:color="auto" w:fill="auto"/>
                        <w:vAlign w:val="center"/>
                      </w:tcPr>
                      <w:p w:rsidR="00DC331F" w:rsidRDefault="00DC331F" w:rsidP="005014DF">
                        <w:pPr>
                          <w:jc w:val="center"/>
                          <w:rPr>
                            <w:color w:val="FF9900"/>
                            <w:szCs w:val="21"/>
                          </w:rPr>
                        </w:pPr>
                        <w:r>
                          <w:rPr>
                            <w:szCs w:val="21"/>
                          </w:rPr>
                          <w:t>无</w:t>
                        </w:r>
                      </w:p>
                    </w:tc>
                  </w:sdtContent>
                </w:sdt>
                <w:tc>
                  <w:tcPr>
                    <w:tcW w:w="0" w:type="auto"/>
                    <w:gridSpan w:val="2"/>
                    <w:shd w:val="clear" w:color="auto" w:fill="auto"/>
                    <w:vAlign w:val="center"/>
                  </w:tcPr>
                  <w:p w:rsidR="00DC331F" w:rsidRDefault="00DC331F" w:rsidP="005014DF">
                    <w:pPr>
                      <w:jc w:val="right"/>
                      <w:rPr>
                        <w:szCs w:val="21"/>
                      </w:rPr>
                    </w:pPr>
                  </w:p>
                </w:tc>
                <w:sdt>
                  <w:sdtPr>
                    <w:rPr>
                      <w:szCs w:val="21"/>
                    </w:rPr>
                    <w:alias w:val="前十名股东的股东性质"/>
                    <w:tag w:val="_GBC_84391eccdbd14aa7bbd07a260ff9d747"/>
                    <w:id w:val="7724750"/>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378" w:type="dxa"/>
                        <w:shd w:val="clear" w:color="auto" w:fill="auto"/>
                        <w:vAlign w:val="center"/>
                      </w:tcPr>
                      <w:p w:rsidR="00DC331F" w:rsidRDefault="00DC331F" w:rsidP="005014DF">
                        <w:pPr>
                          <w:rPr>
                            <w:color w:val="FF9900"/>
                            <w:szCs w:val="21"/>
                          </w:rPr>
                        </w:pPr>
                        <w:r>
                          <w:rPr>
                            <w:szCs w:val="21"/>
                          </w:rPr>
                          <w:t>其他</w:t>
                        </w:r>
                      </w:p>
                    </w:tc>
                  </w:sdtContent>
                </w:sdt>
              </w:tr>
            </w:sdtContent>
          </w:sdt>
          <w:sdt>
            <w:sdtPr>
              <w:rPr>
                <w:szCs w:val="21"/>
              </w:rPr>
              <w:alias w:val="前十名股东持股情况"/>
              <w:tag w:val="_TUP_dfb07f5d24d04bbbad485e33c5e2bd12"/>
              <w:id w:val="7724754"/>
              <w:lock w:val="sdtLocked"/>
            </w:sdtPr>
            <w:sdtEndPr>
              <w:rPr>
                <w:color w:val="FF9900"/>
              </w:rPr>
            </w:sdtEndPr>
            <w:sdtContent>
              <w:tr w:rsidR="00DC331F" w:rsidTr="006B3C41">
                <w:trPr>
                  <w:cantSplit/>
                  <w:jc w:val="center"/>
                </w:trPr>
                <w:tc>
                  <w:tcPr>
                    <w:tcW w:w="3380" w:type="dxa"/>
                    <w:shd w:val="clear" w:color="auto" w:fill="auto"/>
                    <w:vAlign w:val="center"/>
                  </w:tcPr>
                  <w:p w:rsidR="00DC331F" w:rsidRDefault="00DC331F" w:rsidP="005014DF">
                    <w:pPr>
                      <w:rPr>
                        <w:szCs w:val="21"/>
                      </w:rPr>
                    </w:pPr>
                    <w:r w:rsidRPr="00415ADE">
                      <w:rPr>
                        <w:rFonts w:hint="eastAsia"/>
                        <w:szCs w:val="21"/>
                      </w:rPr>
                      <w:t>易方达基金－农业银行－易方达中证金融资产管理计划</w:t>
                    </w:r>
                  </w:p>
                </w:tc>
                <w:tc>
                  <w:tcPr>
                    <w:tcW w:w="0" w:type="auto"/>
                    <w:shd w:val="clear" w:color="auto" w:fill="auto"/>
                    <w:vAlign w:val="center"/>
                  </w:tcPr>
                  <w:p w:rsidR="00DC331F" w:rsidRDefault="00DC331F" w:rsidP="005014DF">
                    <w:pPr>
                      <w:jc w:val="right"/>
                      <w:rPr>
                        <w:szCs w:val="21"/>
                      </w:rPr>
                    </w:pPr>
                    <w:r>
                      <w:rPr>
                        <w:rFonts w:hint="eastAsia"/>
                        <w:szCs w:val="21"/>
                      </w:rPr>
                      <w:t>0</w:t>
                    </w:r>
                  </w:p>
                </w:tc>
                <w:tc>
                  <w:tcPr>
                    <w:tcW w:w="0" w:type="auto"/>
                    <w:shd w:val="clear" w:color="auto" w:fill="auto"/>
                    <w:vAlign w:val="center"/>
                  </w:tcPr>
                  <w:p w:rsidR="00DC331F" w:rsidRDefault="00DC331F" w:rsidP="005014DF">
                    <w:pPr>
                      <w:jc w:val="right"/>
                      <w:rPr>
                        <w:szCs w:val="21"/>
                      </w:rPr>
                    </w:pPr>
                    <w:r>
                      <w:rPr>
                        <w:szCs w:val="21"/>
                      </w:rPr>
                      <w:t>119,024,765</w:t>
                    </w:r>
                  </w:p>
                </w:tc>
                <w:tc>
                  <w:tcPr>
                    <w:tcW w:w="0" w:type="auto"/>
                    <w:gridSpan w:val="2"/>
                    <w:shd w:val="clear" w:color="auto" w:fill="auto"/>
                    <w:vAlign w:val="center"/>
                  </w:tcPr>
                  <w:p w:rsidR="00DC331F" w:rsidRDefault="00DC331F" w:rsidP="005014DF">
                    <w:pPr>
                      <w:jc w:val="right"/>
                      <w:rPr>
                        <w:szCs w:val="21"/>
                      </w:rPr>
                    </w:pPr>
                    <w:r w:rsidRPr="00415ADE">
                      <w:rPr>
                        <w:szCs w:val="21"/>
                      </w:rPr>
                      <w:t>0.80</w:t>
                    </w:r>
                  </w:p>
                </w:tc>
                <w:tc>
                  <w:tcPr>
                    <w:tcW w:w="0" w:type="auto"/>
                    <w:shd w:val="clear" w:color="auto" w:fill="auto"/>
                    <w:vAlign w:val="center"/>
                  </w:tcPr>
                  <w:p w:rsidR="00DC331F" w:rsidRDefault="00DC331F" w:rsidP="005014DF">
                    <w:pPr>
                      <w:jc w:val="right"/>
                      <w:rPr>
                        <w:szCs w:val="21"/>
                      </w:rPr>
                    </w:pPr>
                    <w:r>
                      <w:rPr>
                        <w:rFonts w:hint="eastAsia"/>
                        <w:szCs w:val="21"/>
                      </w:rPr>
                      <w:t>0</w:t>
                    </w:r>
                  </w:p>
                </w:tc>
                <w:sdt>
                  <w:sdtPr>
                    <w:rPr>
                      <w:szCs w:val="21"/>
                    </w:rPr>
                    <w:alias w:val="前十名股东持有股份状态"/>
                    <w:tag w:val="_GBC_46a2e2b7fded452b84eec75a5e47296b"/>
                    <w:id w:val="7724752"/>
                    <w:lock w:val="sdtLocked"/>
                    <w:comboBox>
                      <w:listItem w:displayText="无" w:value="无"/>
                      <w:listItem w:displayText="质押" w:value="质押"/>
                      <w:listItem w:displayText="标记" w:value="标记"/>
                      <w:listItem w:displayText="冻结" w:value="冻结"/>
                      <w:listItem w:displayText="托管" w:value="托管"/>
                      <w:listItem w:displayText="未知" w:value="未知"/>
                    </w:comboBox>
                  </w:sdtPr>
                  <w:sdtContent>
                    <w:tc>
                      <w:tcPr>
                        <w:tcW w:w="0" w:type="auto"/>
                        <w:shd w:val="clear" w:color="auto" w:fill="auto"/>
                        <w:vAlign w:val="center"/>
                      </w:tcPr>
                      <w:p w:rsidR="00DC331F" w:rsidRDefault="00DC331F" w:rsidP="005014DF">
                        <w:pPr>
                          <w:jc w:val="center"/>
                          <w:rPr>
                            <w:szCs w:val="21"/>
                          </w:rPr>
                        </w:pPr>
                        <w:r>
                          <w:rPr>
                            <w:szCs w:val="21"/>
                          </w:rPr>
                          <w:t>无</w:t>
                        </w:r>
                      </w:p>
                    </w:tc>
                  </w:sdtContent>
                </w:sdt>
                <w:tc>
                  <w:tcPr>
                    <w:tcW w:w="0" w:type="auto"/>
                    <w:gridSpan w:val="2"/>
                    <w:shd w:val="clear" w:color="auto" w:fill="auto"/>
                    <w:vAlign w:val="center"/>
                  </w:tcPr>
                  <w:p w:rsidR="00DC331F" w:rsidRDefault="00DC331F" w:rsidP="005014DF">
                    <w:pPr>
                      <w:jc w:val="right"/>
                      <w:rPr>
                        <w:szCs w:val="21"/>
                      </w:rPr>
                    </w:pPr>
                  </w:p>
                </w:tc>
                <w:sdt>
                  <w:sdtPr>
                    <w:rPr>
                      <w:szCs w:val="21"/>
                    </w:rPr>
                    <w:alias w:val="前十名股东的股东性质"/>
                    <w:tag w:val="_GBC_84391eccdbd14aa7bbd07a260ff9d747"/>
                    <w:id w:val="7724753"/>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378" w:type="dxa"/>
                        <w:shd w:val="clear" w:color="auto" w:fill="auto"/>
                        <w:vAlign w:val="center"/>
                      </w:tcPr>
                      <w:p w:rsidR="00DC331F" w:rsidRDefault="00DC331F" w:rsidP="005014DF">
                        <w:pPr>
                          <w:rPr>
                            <w:szCs w:val="21"/>
                          </w:rPr>
                        </w:pPr>
                        <w:r>
                          <w:rPr>
                            <w:szCs w:val="21"/>
                          </w:rPr>
                          <w:t>其他</w:t>
                        </w:r>
                      </w:p>
                    </w:tc>
                  </w:sdtContent>
                </w:sdt>
              </w:tr>
            </w:sdtContent>
          </w:sdt>
          <w:sdt>
            <w:sdtPr>
              <w:rPr>
                <w:szCs w:val="21"/>
              </w:rPr>
              <w:alias w:val="前十名股东持股情况"/>
              <w:tag w:val="_TUP_dfb07f5d24d04bbbad485e33c5e2bd12"/>
              <w:id w:val="7724757"/>
              <w:lock w:val="sdtLocked"/>
            </w:sdtPr>
            <w:sdtEndPr>
              <w:rPr>
                <w:color w:val="FF9900"/>
              </w:rPr>
            </w:sdtEndPr>
            <w:sdtContent>
              <w:tr w:rsidR="00DC331F" w:rsidTr="006B3C41">
                <w:trPr>
                  <w:cantSplit/>
                  <w:jc w:val="center"/>
                </w:trPr>
                <w:tc>
                  <w:tcPr>
                    <w:tcW w:w="3380" w:type="dxa"/>
                    <w:shd w:val="clear" w:color="auto" w:fill="auto"/>
                    <w:vAlign w:val="center"/>
                  </w:tcPr>
                  <w:p w:rsidR="00DC331F" w:rsidRDefault="00DC331F" w:rsidP="005014DF">
                    <w:pPr>
                      <w:rPr>
                        <w:szCs w:val="21"/>
                      </w:rPr>
                    </w:pPr>
                    <w:r w:rsidRPr="00415ADE">
                      <w:rPr>
                        <w:rFonts w:hint="eastAsia"/>
                        <w:szCs w:val="21"/>
                      </w:rPr>
                      <w:t>大成基金－农业银行－大成中证金融资产管理计划</w:t>
                    </w:r>
                  </w:p>
                </w:tc>
                <w:tc>
                  <w:tcPr>
                    <w:tcW w:w="0" w:type="auto"/>
                    <w:shd w:val="clear" w:color="auto" w:fill="auto"/>
                    <w:vAlign w:val="center"/>
                  </w:tcPr>
                  <w:p w:rsidR="00DC331F" w:rsidRDefault="00DC331F" w:rsidP="005014DF">
                    <w:pPr>
                      <w:jc w:val="right"/>
                      <w:rPr>
                        <w:szCs w:val="21"/>
                      </w:rPr>
                    </w:pPr>
                    <w:r>
                      <w:rPr>
                        <w:rFonts w:hint="eastAsia"/>
                        <w:szCs w:val="21"/>
                      </w:rPr>
                      <w:t>0</w:t>
                    </w:r>
                  </w:p>
                </w:tc>
                <w:tc>
                  <w:tcPr>
                    <w:tcW w:w="0" w:type="auto"/>
                    <w:shd w:val="clear" w:color="auto" w:fill="auto"/>
                    <w:vAlign w:val="center"/>
                  </w:tcPr>
                  <w:p w:rsidR="00DC331F" w:rsidRDefault="00DC331F" w:rsidP="005014DF">
                    <w:pPr>
                      <w:jc w:val="right"/>
                      <w:rPr>
                        <w:szCs w:val="21"/>
                      </w:rPr>
                    </w:pPr>
                    <w:r>
                      <w:rPr>
                        <w:szCs w:val="21"/>
                      </w:rPr>
                      <w:t>119,024,765</w:t>
                    </w:r>
                  </w:p>
                </w:tc>
                <w:tc>
                  <w:tcPr>
                    <w:tcW w:w="0" w:type="auto"/>
                    <w:gridSpan w:val="2"/>
                    <w:shd w:val="clear" w:color="auto" w:fill="auto"/>
                    <w:vAlign w:val="center"/>
                  </w:tcPr>
                  <w:p w:rsidR="00DC331F" w:rsidRDefault="00DC331F" w:rsidP="005014DF">
                    <w:pPr>
                      <w:jc w:val="right"/>
                      <w:rPr>
                        <w:szCs w:val="21"/>
                      </w:rPr>
                    </w:pPr>
                    <w:r w:rsidRPr="00415ADE">
                      <w:rPr>
                        <w:szCs w:val="21"/>
                      </w:rPr>
                      <w:t>0.80</w:t>
                    </w:r>
                  </w:p>
                </w:tc>
                <w:tc>
                  <w:tcPr>
                    <w:tcW w:w="0" w:type="auto"/>
                    <w:shd w:val="clear" w:color="auto" w:fill="auto"/>
                    <w:vAlign w:val="center"/>
                  </w:tcPr>
                  <w:p w:rsidR="00DC331F" w:rsidRDefault="00DC331F" w:rsidP="005014DF">
                    <w:pPr>
                      <w:jc w:val="right"/>
                      <w:rPr>
                        <w:szCs w:val="21"/>
                      </w:rPr>
                    </w:pPr>
                    <w:r>
                      <w:rPr>
                        <w:rFonts w:hint="eastAsia"/>
                        <w:szCs w:val="21"/>
                      </w:rPr>
                      <w:t>0</w:t>
                    </w:r>
                  </w:p>
                </w:tc>
                <w:sdt>
                  <w:sdtPr>
                    <w:rPr>
                      <w:szCs w:val="21"/>
                    </w:rPr>
                    <w:alias w:val="前十名股东持有股份状态"/>
                    <w:tag w:val="_GBC_46a2e2b7fded452b84eec75a5e47296b"/>
                    <w:id w:val="7724755"/>
                    <w:lock w:val="sdtLocked"/>
                    <w:comboBox>
                      <w:listItem w:displayText="无" w:value="无"/>
                      <w:listItem w:displayText="质押" w:value="质押"/>
                      <w:listItem w:displayText="标记" w:value="标记"/>
                      <w:listItem w:displayText="冻结" w:value="冻结"/>
                      <w:listItem w:displayText="托管" w:value="托管"/>
                      <w:listItem w:displayText="未知" w:value="未知"/>
                    </w:comboBox>
                  </w:sdtPr>
                  <w:sdtContent>
                    <w:tc>
                      <w:tcPr>
                        <w:tcW w:w="0" w:type="auto"/>
                        <w:shd w:val="clear" w:color="auto" w:fill="auto"/>
                        <w:vAlign w:val="center"/>
                      </w:tcPr>
                      <w:p w:rsidR="00DC331F" w:rsidRDefault="00DC331F" w:rsidP="005014DF">
                        <w:pPr>
                          <w:jc w:val="center"/>
                          <w:rPr>
                            <w:szCs w:val="21"/>
                          </w:rPr>
                        </w:pPr>
                        <w:r>
                          <w:rPr>
                            <w:szCs w:val="21"/>
                          </w:rPr>
                          <w:t>无</w:t>
                        </w:r>
                      </w:p>
                    </w:tc>
                  </w:sdtContent>
                </w:sdt>
                <w:tc>
                  <w:tcPr>
                    <w:tcW w:w="0" w:type="auto"/>
                    <w:gridSpan w:val="2"/>
                    <w:shd w:val="clear" w:color="auto" w:fill="auto"/>
                    <w:vAlign w:val="center"/>
                  </w:tcPr>
                  <w:p w:rsidR="00DC331F" w:rsidRDefault="00DC331F" w:rsidP="005014DF">
                    <w:pPr>
                      <w:jc w:val="right"/>
                      <w:rPr>
                        <w:szCs w:val="21"/>
                      </w:rPr>
                    </w:pPr>
                  </w:p>
                </w:tc>
                <w:sdt>
                  <w:sdtPr>
                    <w:rPr>
                      <w:szCs w:val="21"/>
                    </w:rPr>
                    <w:alias w:val="前十名股东的股东性质"/>
                    <w:tag w:val="_GBC_84391eccdbd14aa7bbd07a260ff9d747"/>
                    <w:id w:val="7724756"/>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378" w:type="dxa"/>
                        <w:shd w:val="clear" w:color="auto" w:fill="auto"/>
                        <w:vAlign w:val="center"/>
                      </w:tcPr>
                      <w:p w:rsidR="00DC331F" w:rsidRDefault="00DC331F" w:rsidP="005014DF">
                        <w:pPr>
                          <w:rPr>
                            <w:szCs w:val="21"/>
                          </w:rPr>
                        </w:pPr>
                        <w:r>
                          <w:rPr>
                            <w:szCs w:val="21"/>
                          </w:rPr>
                          <w:t>其他</w:t>
                        </w:r>
                      </w:p>
                    </w:tc>
                  </w:sdtContent>
                </w:sdt>
              </w:tr>
            </w:sdtContent>
          </w:sdt>
          <w:sdt>
            <w:sdtPr>
              <w:rPr>
                <w:szCs w:val="21"/>
              </w:rPr>
              <w:alias w:val="前十名股东持股情况"/>
              <w:tag w:val="_TUP_dfb07f5d24d04bbbad485e33c5e2bd12"/>
              <w:id w:val="7724760"/>
              <w:lock w:val="sdtLocked"/>
            </w:sdtPr>
            <w:sdtEndPr>
              <w:rPr>
                <w:color w:val="FF9900"/>
              </w:rPr>
            </w:sdtEndPr>
            <w:sdtContent>
              <w:tr w:rsidR="00DC331F" w:rsidTr="006B3C41">
                <w:trPr>
                  <w:cantSplit/>
                  <w:jc w:val="center"/>
                </w:trPr>
                <w:tc>
                  <w:tcPr>
                    <w:tcW w:w="3380" w:type="dxa"/>
                    <w:shd w:val="clear" w:color="auto" w:fill="auto"/>
                    <w:vAlign w:val="center"/>
                  </w:tcPr>
                  <w:p w:rsidR="00DC331F" w:rsidRDefault="00DC331F" w:rsidP="005014DF">
                    <w:pPr>
                      <w:rPr>
                        <w:szCs w:val="21"/>
                      </w:rPr>
                    </w:pPr>
                    <w:r w:rsidRPr="00415ADE">
                      <w:rPr>
                        <w:rFonts w:hint="eastAsia"/>
                        <w:szCs w:val="21"/>
                      </w:rPr>
                      <w:t>嘉实基金－农业银行－嘉实中证金融资产管理计划</w:t>
                    </w:r>
                  </w:p>
                </w:tc>
                <w:tc>
                  <w:tcPr>
                    <w:tcW w:w="0" w:type="auto"/>
                    <w:shd w:val="clear" w:color="auto" w:fill="auto"/>
                    <w:vAlign w:val="center"/>
                  </w:tcPr>
                  <w:p w:rsidR="00DC331F" w:rsidRDefault="00DC331F" w:rsidP="005014DF">
                    <w:pPr>
                      <w:jc w:val="right"/>
                      <w:rPr>
                        <w:szCs w:val="21"/>
                      </w:rPr>
                    </w:pPr>
                    <w:r>
                      <w:rPr>
                        <w:rFonts w:hint="eastAsia"/>
                        <w:szCs w:val="21"/>
                      </w:rPr>
                      <w:t>0</w:t>
                    </w:r>
                  </w:p>
                </w:tc>
                <w:tc>
                  <w:tcPr>
                    <w:tcW w:w="0" w:type="auto"/>
                    <w:shd w:val="clear" w:color="auto" w:fill="auto"/>
                    <w:vAlign w:val="center"/>
                  </w:tcPr>
                  <w:p w:rsidR="00DC331F" w:rsidRDefault="00DC331F" w:rsidP="005014DF">
                    <w:pPr>
                      <w:jc w:val="right"/>
                      <w:rPr>
                        <w:szCs w:val="21"/>
                      </w:rPr>
                    </w:pPr>
                    <w:r>
                      <w:rPr>
                        <w:szCs w:val="21"/>
                      </w:rPr>
                      <w:t>119,024,765</w:t>
                    </w:r>
                  </w:p>
                </w:tc>
                <w:tc>
                  <w:tcPr>
                    <w:tcW w:w="0" w:type="auto"/>
                    <w:gridSpan w:val="2"/>
                    <w:shd w:val="clear" w:color="auto" w:fill="auto"/>
                    <w:vAlign w:val="center"/>
                  </w:tcPr>
                  <w:p w:rsidR="00DC331F" w:rsidRDefault="00DC331F" w:rsidP="005014DF">
                    <w:pPr>
                      <w:jc w:val="right"/>
                      <w:rPr>
                        <w:szCs w:val="21"/>
                      </w:rPr>
                    </w:pPr>
                    <w:r w:rsidRPr="00415ADE">
                      <w:rPr>
                        <w:szCs w:val="21"/>
                      </w:rPr>
                      <w:t>0.80</w:t>
                    </w:r>
                  </w:p>
                </w:tc>
                <w:tc>
                  <w:tcPr>
                    <w:tcW w:w="0" w:type="auto"/>
                    <w:shd w:val="clear" w:color="auto" w:fill="auto"/>
                    <w:vAlign w:val="center"/>
                  </w:tcPr>
                  <w:p w:rsidR="00DC331F" w:rsidRDefault="00DC331F" w:rsidP="005014DF">
                    <w:pPr>
                      <w:jc w:val="right"/>
                      <w:rPr>
                        <w:szCs w:val="21"/>
                      </w:rPr>
                    </w:pPr>
                    <w:r>
                      <w:rPr>
                        <w:rFonts w:hint="eastAsia"/>
                        <w:szCs w:val="21"/>
                      </w:rPr>
                      <w:t>0</w:t>
                    </w:r>
                  </w:p>
                </w:tc>
                <w:sdt>
                  <w:sdtPr>
                    <w:rPr>
                      <w:szCs w:val="21"/>
                    </w:rPr>
                    <w:alias w:val="前十名股东持有股份状态"/>
                    <w:tag w:val="_GBC_46a2e2b7fded452b84eec75a5e47296b"/>
                    <w:id w:val="7724758"/>
                    <w:lock w:val="sdtLocked"/>
                    <w:comboBox>
                      <w:listItem w:displayText="无" w:value="无"/>
                      <w:listItem w:displayText="质押" w:value="质押"/>
                      <w:listItem w:displayText="标记" w:value="标记"/>
                      <w:listItem w:displayText="冻结" w:value="冻结"/>
                      <w:listItem w:displayText="托管" w:value="托管"/>
                      <w:listItem w:displayText="未知" w:value="未知"/>
                    </w:comboBox>
                  </w:sdtPr>
                  <w:sdtContent>
                    <w:tc>
                      <w:tcPr>
                        <w:tcW w:w="0" w:type="auto"/>
                        <w:shd w:val="clear" w:color="auto" w:fill="auto"/>
                        <w:vAlign w:val="center"/>
                      </w:tcPr>
                      <w:p w:rsidR="00DC331F" w:rsidRDefault="00DC331F" w:rsidP="005014DF">
                        <w:pPr>
                          <w:jc w:val="center"/>
                          <w:rPr>
                            <w:szCs w:val="21"/>
                          </w:rPr>
                        </w:pPr>
                        <w:r>
                          <w:rPr>
                            <w:szCs w:val="21"/>
                          </w:rPr>
                          <w:t>无</w:t>
                        </w:r>
                      </w:p>
                    </w:tc>
                  </w:sdtContent>
                </w:sdt>
                <w:tc>
                  <w:tcPr>
                    <w:tcW w:w="0" w:type="auto"/>
                    <w:gridSpan w:val="2"/>
                    <w:shd w:val="clear" w:color="auto" w:fill="auto"/>
                    <w:vAlign w:val="center"/>
                  </w:tcPr>
                  <w:p w:rsidR="00DC331F" w:rsidRDefault="00DC331F" w:rsidP="005014DF">
                    <w:pPr>
                      <w:jc w:val="right"/>
                      <w:rPr>
                        <w:szCs w:val="21"/>
                      </w:rPr>
                    </w:pPr>
                  </w:p>
                </w:tc>
                <w:sdt>
                  <w:sdtPr>
                    <w:rPr>
                      <w:szCs w:val="21"/>
                    </w:rPr>
                    <w:alias w:val="前十名股东的股东性质"/>
                    <w:tag w:val="_GBC_84391eccdbd14aa7bbd07a260ff9d747"/>
                    <w:id w:val="7724759"/>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378" w:type="dxa"/>
                        <w:shd w:val="clear" w:color="auto" w:fill="auto"/>
                        <w:vAlign w:val="center"/>
                      </w:tcPr>
                      <w:p w:rsidR="00DC331F" w:rsidRDefault="00DC331F" w:rsidP="005014DF">
                        <w:pPr>
                          <w:rPr>
                            <w:szCs w:val="21"/>
                          </w:rPr>
                        </w:pPr>
                        <w:r>
                          <w:rPr>
                            <w:szCs w:val="21"/>
                          </w:rPr>
                          <w:t>其他</w:t>
                        </w:r>
                      </w:p>
                    </w:tc>
                  </w:sdtContent>
                </w:sdt>
              </w:tr>
            </w:sdtContent>
          </w:sdt>
          <w:sdt>
            <w:sdtPr>
              <w:rPr>
                <w:szCs w:val="21"/>
              </w:rPr>
              <w:alias w:val="前十名股东持股情况"/>
              <w:tag w:val="_TUP_dfb07f5d24d04bbbad485e33c5e2bd12"/>
              <w:id w:val="7724763"/>
              <w:lock w:val="sdtLocked"/>
            </w:sdtPr>
            <w:sdtEndPr>
              <w:rPr>
                <w:color w:val="FF9900"/>
              </w:rPr>
            </w:sdtEndPr>
            <w:sdtContent>
              <w:tr w:rsidR="00DC331F" w:rsidTr="006B3C41">
                <w:trPr>
                  <w:cantSplit/>
                  <w:jc w:val="center"/>
                </w:trPr>
                <w:tc>
                  <w:tcPr>
                    <w:tcW w:w="3380" w:type="dxa"/>
                    <w:shd w:val="clear" w:color="auto" w:fill="auto"/>
                    <w:vAlign w:val="center"/>
                  </w:tcPr>
                  <w:p w:rsidR="00DC331F" w:rsidRDefault="00DC331F" w:rsidP="005014DF">
                    <w:pPr>
                      <w:rPr>
                        <w:szCs w:val="21"/>
                      </w:rPr>
                    </w:pPr>
                    <w:r w:rsidRPr="00415ADE">
                      <w:rPr>
                        <w:rFonts w:hint="eastAsia"/>
                        <w:szCs w:val="21"/>
                      </w:rPr>
                      <w:t>广发基金－农业银行－广发中证金融资产管理计划</w:t>
                    </w:r>
                  </w:p>
                </w:tc>
                <w:tc>
                  <w:tcPr>
                    <w:tcW w:w="0" w:type="auto"/>
                    <w:shd w:val="clear" w:color="auto" w:fill="auto"/>
                    <w:vAlign w:val="center"/>
                  </w:tcPr>
                  <w:p w:rsidR="00DC331F" w:rsidRDefault="00DC331F" w:rsidP="005014DF">
                    <w:pPr>
                      <w:jc w:val="right"/>
                      <w:rPr>
                        <w:szCs w:val="21"/>
                      </w:rPr>
                    </w:pPr>
                    <w:r>
                      <w:rPr>
                        <w:rFonts w:hint="eastAsia"/>
                        <w:szCs w:val="21"/>
                      </w:rPr>
                      <w:t>0</w:t>
                    </w:r>
                  </w:p>
                </w:tc>
                <w:tc>
                  <w:tcPr>
                    <w:tcW w:w="0" w:type="auto"/>
                    <w:shd w:val="clear" w:color="auto" w:fill="auto"/>
                    <w:vAlign w:val="center"/>
                  </w:tcPr>
                  <w:p w:rsidR="00DC331F" w:rsidRDefault="00DC331F" w:rsidP="005014DF">
                    <w:pPr>
                      <w:jc w:val="right"/>
                      <w:rPr>
                        <w:szCs w:val="21"/>
                      </w:rPr>
                    </w:pPr>
                    <w:r>
                      <w:rPr>
                        <w:szCs w:val="21"/>
                      </w:rPr>
                      <w:t>119,024,765</w:t>
                    </w:r>
                  </w:p>
                </w:tc>
                <w:tc>
                  <w:tcPr>
                    <w:tcW w:w="0" w:type="auto"/>
                    <w:gridSpan w:val="2"/>
                    <w:shd w:val="clear" w:color="auto" w:fill="auto"/>
                    <w:vAlign w:val="center"/>
                  </w:tcPr>
                  <w:p w:rsidR="00DC331F" w:rsidRDefault="00DC331F" w:rsidP="005014DF">
                    <w:pPr>
                      <w:jc w:val="right"/>
                      <w:rPr>
                        <w:szCs w:val="21"/>
                      </w:rPr>
                    </w:pPr>
                    <w:r w:rsidRPr="00415ADE">
                      <w:rPr>
                        <w:szCs w:val="21"/>
                      </w:rPr>
                      <w:t>0.80</w:t>
                    </w:r>
                  </w:p>
                </w:tc>
                <w:tc>
                  <w:tcPr>
                    <w:tcW w:w="0" w:type="auto"/>
                    <w:shd w:val="clear" w:color="auto" w:fill="auto"/>
                    <w:vAlign w:val="center"/>
                  </w:tcPr>
                  <w:p w:rsidR="00DC331F" w:rsidRDefault="00DC331F" w:rsidP="005014DF">
                    <w:pPr>
                      <w:jc w:val="right"/>
                      <w:rPr>
                        <w:szCs w:val="21"/>
                      </w:rPr>
                    </w:pPr>
                    <w:r>
                      <w:rPr>
                        <w:rFonts w:hint="eastAsia"/>
                        <w:szCs w:val="21"/>
                      </w:rPr>
                      <w:t>0</w:t>
                    </w:r>
                  </w:p>
                </w:tc>
                <w:sdt>
                  <w:sdtPr>
                    <w:rPr>
                      <w:szCs w:val="21"/>
                    </w:rPr>
                    <w:alias w:val="前十名股东持有股份状态"/>
                    <w:tag w:val="_GBC_46a2e2b7fded452b84eec75a5e47296b"/>
                    <w:id w:val="7724761"/>
                    <w:lock w:val="sdtLocked"/>
                    <w:comboBox>
                      <w:listItem w:displayText="无" w:value="无"/>
                      <w:listItem w:displayText="质押" w:value="质押"/>
                      <w:listItem w:displayText="标记" w:value="标记"/>
                      <w:listItem w:displayText="冻结" w:value="冻结"/>
                      <w:listItem w:displayText="托管" w:value="托管"/>
                      <w:listItem w:displayText="未知" w:value="未知"/>
                    </w:comboBox>
                  </w:sdtPr>
                  <w:sdtContent>
                    <w:tc>
                      <w:tcPr>
                        <w:tcW w:w="0" w:type="auto"/>
                        <w:shd w:val="clear" w:color="auto" w:fill="auto"/>
                        <w:vAlign w:val="center"/>
                      </w:tcPr>
                      <w:p w:rsidR="00DC331F" w:rsidRDefault="00DC331F" w:rsidP="005014DF">
                        <w:pPr>
                          <w:jc w:val="center"/>
                          <w:rPr>
                            <w:szCs w:val="21"/>
                          </w:rPr>
                        </w:pPr>
                        <w:r>
                          <w:rPr>
                            <w:szCs w:val="21"/>
                          </w:rPr>
                          <w:t>无</w:t>
                        </w:r>
                      </w:p>
                    </w:tc>
                  </w:sdtContent>
                </w:sdt>
                <w:tc>
                  <w:tcPr>
                    <w:tcW w:w="0" w:type="auto"/>
                    <w:gridSpan w:val="2"/>
                    <w:shd w:val="clear" w:color="auto" w:fill="auto"/>
                    <w:vAlign w:val="center"/>
                  </w:tcPr>
                  <w:p w:rsidR="00DC331F" w:rsidRDefault="00DC331F" w:rsidP="005014DF">
                    <w:pPr>
                      <w:jc w:val="right"/>
                      <w:rPr>
                        <w:szCs w:val="21"/>
                      </w:rPr>
                    </w:pPr>
                  </w:p>
                </w:tc>
                <w:sdt>
                  <w:sdtPr>
                    <w:rPr>
                      <w:szCs w:val="21"/>
                    </w:rPr>
                    <w:alias w:val="前十名股东的股东性质"/>
                    <w:tag w:val="_GBC_84391eccdbd14aa7bbd07a260ff9d747"/>
                    <w:id w:val="7724762"/>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378" w:type="dxa"/>
                        <w:shd w:val="clear" w:color="auto" w:fill="auto"/>
                        <w:vAlign w:val="center"/>
                      </w:tcPr>
                      <w:p w:rsidR="00DC331F" w:rsidRDefault="00DC331F" w:rsidP="005014DF">
                        <w:pPr>
                          <w:rPr>
                            <w:szCs w:val="21"/>
                          </w:rPr>
                        </w:pPr>
                        <w:r>
                          <w:rPr>
                            <w:szCs w:val="21"/>
                          </w:rPr>
                          <w:t>其他</w:t>
                        </w:r>
                      </w:p>
                    </w:tc>
                  </w:sdtContent>
                </w:sdt>
              </w:tr>
            </w:sdtContent>
          </w:sdt>
          <w:sdt>
            <w:sdtPr>
              <w:rPr>
                <w:szCs w:val="21"/>
              </w:rPr>
              <w:alias w:val="前十名股东持股情况"/>
              <w:tag w:val="_TUP_dfb07f5d24d04bbbad485e33c5e2bd12"/>
              <w:id w:val="7724766"/>
              <w:lock w:val="sdtLocked"/>
            </w:sdtPr>
            <w:sdtEndPr>
              <w:rPr>
                <w:color w:val="FF9900"/>
              </w:rPr>
            </w:sdtEndPr>
            <w:sdtContent>
              <w:tr w:rsidR="00DC331F" w:rsidTr="006B3C41">
                <w:trPr>
                  <w:cantSplit/>
                  <w:jc w:val="center"/>
                </w:trPr>
                <w:tc>
                  <w:tcPr>
                    <w:tcW w:w="3380" w:type="dxa"/>
                    <w:shd w:val="clear" w:color="auto" w:fill="auto"/>
                    <w:vAlign w:val="center"/>
                  </w:tcPr>
                  <w:p w:rsidR="00DC331F" w:rsidRDefault="00DC331F" w:rsidP="005014DF">
                    <w:pPr>
                      <w:rPr>
                        <w:szCs w:val="21"/>
                      </w:rPr>
                    </w:pPr>
                    <w:r w:rsidRPr="00415ADE">
                      <w:rPr>
                        <w:rFonts w:hint="eastAsia"/>
                        <w:szCs w:val="21"/>
                      </w:rPr>
                      <w:t>中欧基金－农业银行－中欧中证金融资产管理计划</w:t>
                    </w:r>
                  </w:p>
                </w:tc>
                <w:tc>
                  <w:tcPr>
                    <w:tcW w:w="0" w:type="auto"/>
                    <w:shd w:val="clear" w:color="auto" w:fill="auto"/>
                    <w:vAlign w:val="center"/>
                  </w:tcPr>
                  <w:p w:rsidR="00DC331F" w:rsidRDefault="00DC331F" w:rsidP="005014DF">
                    <w:pPr>
                      <w:jc w:val="right"/>
                      <w:rPr>
                        <w:szCs w:val="21"/>
                      </w:rPr>
                    </w:pPr>
                    <w:r>
                      <w:rPr>
                        <w:rFonts w:hint="eastAsia"/>
                        <w:szCs w:val="21"/>
                      </w:rPr>
                      <w:t>0</w:t>
                    </w:r>
                  </w:p>
                </w:tc>
                <w:tc>
                  <w:tcPr>
                    <w:tcW w:w="0" w:type="auto"/>
                    <w:shd w:val="clear" w:color="auto" w:fill="auto"/>
                    <w:vAlign w:val="center"/>
                  </w:tcPr>
                  <w:p w:rsidR="00DC331F" w:rsidRDefault="00DC331F" w:rsidP="005014DF">
                    <w:pPr>
                      <w:jc w:val="right"/>
                      <w:rPr>
                        <w:szCs w:val="21"/>
                      </w:rPr>
                    </w:pPr>
                    <w:r>
                      <w:rPr>
                        <w:szCs w:val="21"/>
                      </w:rPr>
                      <w:t>119,024,765</w:t>
                    </w:r>
                  </w:p>
                </w:tc>
                <w:tc>
                  <w:tcPr>
                    <w:tcW w:w="0" w:type="auto"/>
                    <w:gridSpan w:val="2"/>
                    <w:shd w:val="clear" w:color="auto" w:fill="auto"/>
                    <w:vAlign w:val="center"/>
                  </w:tcPr>
                  <w:p w:rsidR="00DC331F" w:rsidRDefault="00DC331F" w:rsidP="005014DF">
                    <w:pPr>
                      <w:jc w:val="right"/>
                      <w:rPr>
                        <w:szCs w:val="21"/>
                      </w:rPr>
                    </w:pPr>
                    <w:r w:rsidRPr="00BF59C5">
                      <w:rPr>
                        <w:szCs w:val="21"/>
                      </w:rPr>
                      <w:t>0.80</w:t>
                    </w:r>
                  </w:p>
                </w:tc>
                <w:tc>
                  <w:tcPr>
                    <w:tcW w:w="0" w:type="auto"/>
                    <w:shd w:val="clear" w:color="auto" w:fill="auto"/>
                    <w:vAlign w:val="center"/>
                  </w:tcPr>
                  <w:p w:rsidR="00DC331F" w:rsidRDefault="00DC331F" w:rsidP="005014DF">
                    <w:pPr>
                      <w:jc w:val="right"/>
                      <w:rPr>
                        <w:szCs w:val="21"/>
                      </w:rPr>
                    </w:pPr>
                    <w:r>
                      <w:rPr>
                        <w:rFonts w:hint="eastAsia"/>
                        <w:szCs w:val="21"/>
                      </w:rPr>
                      <w:t>0</w:t>
                    </w:r>
                  </w:p>
                </w:tc>
                <w:sdt>
                  <w:sdtPr>
                    <w:rPr>
                      <w:szCs w:val="21"/>
                    </w:rPr>
                    <w:alias w:val="前十名股东持有股份状态"/>
                    <w:tag w:val="_GBC_46a2e2b7fded452b84eec75a5e47296b"/>
                    <w:id w:val="7724764"/>
                    <w:lock w:val="sdtLocked"/>
                    <w:comboBox>
                      <w:listItem w:displayText="无" w:value="无"/>
                      <w:listItem w:displayText="质押" w:value="质押"/>
                      <w:listItem w:displayText="标记" w:value="标记"/>
                      <w:listItem w:displayText="冻结" w:value="冻结"/>
                      <w:listItem w:displayText="托管" w:value="托管"/>
                      <w:listItem w:displayText="未知" w:value="未知"/>
                    </w:comboBox>
                  </w:sdtPr>
                  <w:sdtContent>
                    <w:tc>
                      <w:tcPr>
                        <w:tcW w:w="0" w:type="auto"/>
                        <w:shd w:val="clear" w:color="auto" w:fill="auto"/>
                        <w:vAlign w:val="center"/>
                      </w:tcPr>
                      <w:p w:rsidR="00DC331F" w:rsidRDefault="00DC331F" w:rsidP="005014DF">
                        <w:pPr>
                          <w:jc w:val="center"/>
                          <w:rPr>
                            <w:szCs w:val="21"/>
                          </w:rPr>
                        </w:pPr>
                        <w:r>
                          <w:rPr>
                            <w:szCs w:val="21"/>
                          </w:rPr>
                          <w:t>无</w:t>
                        </w:r>
                      </w:p>
                    </w:tc>
                  </w:sdtContent>
                </w:sdt>
                <w:tc>
                  <w:tcPr>
                    <w:tcW w:w="0" w:type="auto"/>
                    <w:gridSpan w:val="2"/>
                    <w:shd w:val="clear" w:color="auto" w:fill="auto"/>
                    <w:vAlign w:val="center"/>
                  </w:tcPr>
                  <w:p w:rsidR="00DC331F" w:rsidRDefault="00DC331F" w:rsidP="005014DF">
                    <w:pPr>
                      <w:jc w:val="right"/>
                      <w:rPr>
                        <w:szCs w:val="21"/>
                      </w:rPr>
                    </w:pPr>
                  </w:p>
                </w:tc>
                <w:sdt>
                  <w:sdtPr>
                    <w:rPr>
                      <w:szCs w:val="21"/>
                    </w:rPr>
                    <w:alias w:val="前十名股东的股东性质"/>
                    <w:tag w:val="_GBC_84391eccdbd14aa7bbd07a260ff9d747"/>
                    <w:id w:val="7724765"/>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378" w:type="dxa"/>
                        <w:shd w:val="clear" w:color="auto" w:fill="auto"/>
                        <w:vAlign w:val="center"/>
                      </w:tcPr>
                      <w:p w:rsidR="00DC331F" w:rsidRDefault="00DC331F" w:rsidP="005014DF">
                        <w:pPr>
                          <w:rPr>
                            <w:szCs w:val="21"/>
                          </w:rPr>
                        </w:pPr>
                        <w:r>
                          <w:rPr>
                            <w:szCs w:val="21"/>
                          </w:rPr>
                          <w:t>其他</w:t>
                        </w:r>
                      </w:p>
                    </w:tc>
                  </w:sdtContent>
                </w:sdt>
              </w:tr>
            </w:sdtContent>
          </w:sdt>
          <w:sdt>
            <w:sdtPr>
              <w:rPr>
                <w:szCs w:val="21"/>
              </w:rPr>
              <w:alias w:val="前十名股东持股情况"/>
              <w:tag w:val="_TUP_dfb07f5d24d04bbbad485e33c5e2bd12"/>
              <w:id w:val="7724769"/>
              <w:lock w:val="sdtLocked"/>
            </w:sdtPr>
            <w:sdtEndPr>
              <w:rPr>
                <w:color w:val="FF9900"/>
              </w:rPr>
            </w:sdtEndPr>
            <w:sdtContent>
              <w:tr w:rsidR="00DC331F" w:rsidTr="006B3C41">
                <w:trPr>
                  <w:cantSplit/>
                  <w:jc w:val="center"/>
                </w:trPr>
                <w:tc>
                  <w:tcPr>
                    <w:tcW w:w="3380" w:type="dxa"/>
                    <w:shd w:val="clear" w:color="auto" w:fill="auto"/>
                    <w:vAlign w:val="center"/>
                  </w:tcPr>
                  <w:p w:rsidR="00DC331F" w:rsidRDefault="00DC331F" w:rsidP="005014DF">
                    <w:pPr>
                      <w:rPr>
                        <w:szCs w:val="21"/>
                      </w:rPr>
                    </w:pPr>
                    <w:r w:rsidRPr="00415ADE">
                      <w:rPr>
                        <w:rFonts w:hint="eastAsia"/>
                        <w:szCs w:val="21"/>
                      </w:rPr>
                      <w:t>华夏基金－农业银行－华夏中证金融资产管理计划</w:t>
                    </w:r>
                  </w:p>
                </w:tc>
                <w:tc>
                  <w:tcPr>
                    <w:tcW w:w="0" w:type="auto"/>
                    <w:shd w:val="clear" w:color="auto" w:fill="auto"/>
                    <w:vAlign w:val="center"/>
                  </w:tcPr>
                  <w:p w:rsidR="00DC331F" w:rsidRDefault="00DC331F" w:rsidP="005014DF">
                    <w:pPr>
                      <w:jc w:val="right"/>
                      <w:rPr>
                        <w:szCs w:val="21"/>
                      </w:rPr>
                    </w:pPr>
                    <w:r>
                      <w:rPr>
                        <w:rFonts w:hint="eastAsia"/>
                        <w:szCs w:val="21"/>
                      </w:rPr>
                      <w:t>0</w:t>
                    </w:r>
                  </w:p>
                </w:tc>
                <w:tc>
                  <w:tcPr>
                    <w:tcW w:w="0" w:type="auto"/>
                    <w:shd w:val="clear" w:color="auto" w:fill="auto"/>
                    <w:vAlign w:val="center"/>
                  </w:tcPr>
                  <w:p w:rsidR="00DC331F" w:rsidRDefault="00DC331F" w:rsidP="005014DF">
                    <w:pPr>
                      <w:jc w:val="right"/>
                      <w:rPr>
                        <w:szCs w:val="21"/>
                      </w:rPr>
                    </w:pPr>
                    <w:r>
                      <w:rPr>
                        <w:szCs w:val="21"/>
                      </w:rPr>
                      <w:t>119,024,765</w:t>
                    </w:r>
                  </w:p>
                </w:tc>
                <w:tc>
                  <w:tcPr>
                    <w:tcW w:w="0" w:type="auto"/>
                    <w:gridSpan w:val="2"/>
                    <w:shd w:val="clear" w:color="auto" w:fill="auto"/>
                    <w:vAlign w:val="center"/>
                  </w:tcPr>
                  <w:p w:rsidR="00DC331F" w:rsidRDefault="00DC331F" w:rsidP="005014DF">
                    <w:pPr>
                      <w:jc w:val="right"/>
                      <w:rPr>
                        <w:szCs w:val="21"/>
                      </w:rPr>
                    </w:pPr>
                    <w:r w:rsidRPr="00BF59C5">
                      <w:rPr>
                        <w:szCs w:val="21"/>
                      </w:rPr>
                      <w:t>0.80</w:t>
                    </w:r>
                  </w:p>
                </w:tc>
                <w:tc>
                  <w:tcPr>
                    <w:tcW w:w="0" w:type="auto"/>
                    <w:shd w:val="clear" w:color="auto" w:fill="auto"/>
                    <w:vAlign w:val="center"/>
                  </w:tcPr>
                  <w:p w:rsidR="00DC331F" w:rsidRDefault="00DC331F" w:rsidP="005014DF">
                    <w:pPr>
                      <w:jc w:val="right"/>
                      <w:rPr>
                        <w:szCs w:val="21"/>
                      </w:rPr>
                    </w:pPr>
                    <w:r>
                      <w:rPr>
                        <w:rFonts w:hint="eastAsia"/>
                        <w:szCs w:val="21"/>
                      </w:rPr>
                      <w:t>0</w:t>
                    </w:r>
                  </w:p>
                </w:tc>
                <w:sdt>
                  <w:sdtPr>
                    <w:rPr>
                      <w:szCs w:val="21"/>
                    </w:rPr>
                    <w:alias w:val="前十名股东持有股份状态"/>
                    <w:tag w:val="_GBC_46a2e2b7fded452b84eec75a5e47296b"/>
                    <w:id w:val="7724767"/>
                    <w:lock w:val="sdtLocked"/>
                    <w:comboBox>
                      <w:listItem w:displayText="无" w:value="无"/>
                      <w:listItem w:displayText="质押" w:value="质押"/>
                      <w:listItem w:displayText="标记" w:value="标记"/>
                      <w:listItem w:displayText="冻结" w:value="冻结"/>
                      <w:listItem w:displayText="托管" w:value="托管"/>
                      <w:listItem w:displayText="未知" w:value="未知"/>
                    </w:comboBox>
                  </w:sdtPr>
                  <w:sdtContent>
                    <w:tc>
                      <w:tcPr>
                        <w:tcW w:w="0" w:type="auto"/>
                        <w:shd w:val="clear" w:color="auto" w:fill="auto"/>
                        <w:vAlign w:val="center"/>
                      </w:tcPr>
                      <w:p w:rsidR="00DC331F" w:rsidRDefault="00DC331F" w:rsidP="005014DF">
                        <w:pPr>
                          <w:jc w:val="center"/>
                          <w:rPr>
                            <w:szCs w:val="21"/>
                          </w:rPr>
                        </w:pPr>
                        <w:r>
                          <w:rPr>
                            <w:szCs w:val="21"/>
                          </w:rPr>
                          <w:t>无</w:t>
                        </w:r>
                      </w:p>
                    </w:tc>
                  </w:sdtContent>
                </w:sdt>
                <w:tc>
                  <w:tcPr>
                    <w:tcW w:w="0" w:type="auto"/>
                    <w:gridSpan w:val="2"/>
                    <w:shd w:val="clear" w:color="auto" w:fill="auto"/>
                    <w:vAlign w:val="center"/>
                  </w:tcPr>
                  <w:p w:rsidR="00DC331F" w:rsidRDefault="00DC331F" w:rsidP="005014DF">
                    <w:pPr>
                      <w:jc w:val="right"/>
                      <w:rPr>
                        <w:szCs w:val="21"/>
                      </w:rPr>
                    </w:pPr>
                  </w:p>
                </w:tc>
                <w:sdt>
                  <w:sdtPr>
                    <w:rPr>
                      <w:szCs w:val="21"/>
                    </w:rPr>
                    <w:alias w:val="前十名股东的股东性质"/>
                    <w:tag w:val="_GBC_84391eccdbd14aa7bbd07a260ff9d747"/>
                    <w:id w:val="7724768"/>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378" w:type="dxa"/>
                        <w:shd w:val="clear" w:color="auto" w:fill="auto"/>
                        <w:vAlign w:val="center"/>
                      </w:tcPr>
                      <w:p w:rsidR="00DC331F" w:rsidRDefault="00DC331F" w:rsidP="005014DF">
                        <w:pPr>
                          <w:rPr>
                            <w:szCs w:val="21"/>
                          </w:rPr>
                        </w:pPr>
                        <w:r>
                          <w:rPr>
                            <w:szCs w:val="21"/>
                          </w:rPr>
                          <w:t>其他</w:t>
                        </w:r>
                      </w:p>
                    </w:tc>
                  </w:sdtContent>
                </w:sdt>
              </w:tr>
            </w:sdtContent>
          </w:sdt>
          <w:sdt>
            <w:sdtPr>
              <w:rPr>
                <w:szCs w:val="21"/>
              </w:rPr>
              <w:alias w:val="前十名股东持股情况"/>
              <w:tag w:val="_TUP_dfb07f5d24d04bbbad485e33c5e2bd12"/>
              <w:id w:val="7724772"/>
              <w:lock w:val="sdtLocked"/>
            </w:sdtPr>
            <w:sdtEndPr>
              <w:rPr>
                <w:color w:val="FF9900"/>
              </w:rPr>
            </w:sdtEndPr>
            <w:sdtContent>
              <w:tr w:rsidR="00DC331F" w:rsidTr="006B3C41">
                <w:trPr>
                  <w:cantSplit/>
                  <w:jc w:val="center"/>
                </w:trPr>
                <w:tc>
                  <w:tcPr>
                    <w:tcW w:w="3380" w:type="dxa"/>
                    <w:shd w:val="clear" w:color="auto" w:fill="auto"/>
                    <w:vAlign w:val="center"/>
                  </w:tcPr>
                  <w:p w:rsidR="00DC331F" w:rsidRDefault="00DC331F" w:rsidP="005014DF">
                    <w:pPr>
                      <w:rPr>
                        <w:szCs w:val="21"/>
                      </w:rPr>
                    </w:pPr>
                    <w:r w:rsidRPr="00415ADE">
                      <w:rPr>
                        <w:rFonts w:hint="eastAsia"/>
                        <w:szCs w:val="21"/>
                      </w:rPr>
                      <w:t>银华基金－农业银行－银华中证金融资产管理计划</w:t>
                    </w:r>
                  </w:p>
                </w:tc>
                <w:tc>
                  <w:tcPr>
                    <w:tcW w:w="0" w:type="auto"/>
                    <w:shd w:val="clear" w:color="auto" w:fill="auto"/>
                    <w:vAlign w:val="center"/>
                  </w:tcPr>
                  <w:p w:rsidR="00DC331F" w:rsidRDefault="00DC331F" w:rsidP="005014DF">
                    <w:pPr>
                      <w:jc w:val="right"/>
                      <w:rPr>
                        <w:szCs w:val="21"/>
                      </w:rPr>
                    </w:pPr>
                    <w:r>
                      <w:rPr>
                        <w:rFonts w:hint="eastAsia"/>
                        <w:szCs w:val="21"/>
                      </w:rPr>
                      <w:t>0</w:t>
                    </w:r>
                  </w:p>
                </w:tc>
                <w:tc>
                  <w:tcPr>
                    <w:tcW w:w="0" w:type="auto"/>
                    <w:shd w:val="clear" w:color="auto" w:fill="auto"/>
                    <w:vAlign w:val="center"/>
                  </w:tcPr>
                  <w:p w:rsidR="00DC331F" w:rsidRDefault="00DC331F" w:rsidP="005014DF">
                    <w:pPr>
                      <w:jc w:val="right"/>
                      <w:rPr>
                        <w:szCs w:val="21"/>
                      </w:rPr>
                    </w:pPr>
                    <w:r>
                      <w:rPr>
                        <w:szCs w:val="21"/>
                      </w:rPr>
                      <w:t>119,024,765</w:t>
                    </w:r>
                  </w:p>
                </w:tc>
                <w:tc>
                  <w:tcPr>
                    <w:tcW w:w="0" w:type="auto"/>
                    <w:gridSpan w:val="2"/>
                    <w:shd w:val="clear" w:color="auto" w:fill="auto"/>
                    <w:vAlign w:val="center"/>
                  </w:tcPr>
                  <w:p w:rsidR="00DC331F" w:rsidRDefault="00DC331F" w:rsidP="005014DF">
                    <w:pPr>
                      <w:jc w:val="right"/>
                      <w:rPr>
                        <w:szCs w:val="21"/>
                      </w:rPr>
                    </w:pPr>
                    <w:r w:rsidRPr="00BF59C5">
                      <w:rPr>
                        <w:szCs w:val="21"/>
                      </w:rPr>
                      <w:t>0.80</w:t>
                    </w:r>
                  </w:p>
                </w:tc>
                <w:tc>
                  <w:tcPr>
                    <w:tcW w:w="0" w:type="auto"/>
                    <w:shd w:val="clear" w:color="auto" w:fill="auto"/>
                    <w:vAlign w:val="center"/>
                  </w:tcPr>
                  <w:p w:rsidR="00DC331F" w:rsidRDefault="00DC331F" w:rsidP="005014DF">
                    <w:pPr>
                      <w:jc w:val="right"/>
                      <w:rPr>
                        <w:szCs w:val="21"/>
                      </w:rPr>
                    </w:pPr>
                    <w:r>
                      <w:rPr>
                        <w:rFonts w:hint="eastAsia"/>
                        <w:szCs w:val="21"/>
                      </w:rPr>
                      <w:t>0</w:t>
                    </w:r>
                  </w:p>
                </w:tc>
                <w:sdt>
                  <w:sdtPr>
                    <w:rPr>
                      <w:szCs w:val="21"/>
                    </w:rPr>
                    <w:alias w:val="前十名股东持有股份状态"/>
                    <w:tag w:val="_GBC_46a2e2b7fded452b84eec75a5e47296b"/>
                    <w:id w:val="7724770"/>
                    <w:lock w:val="sdtLocked"/>
                    <w:comboBox>
                      <w:listItem w:displayText="无" w:value="无"/>
                      <w:listItem w:displayText="质押" w:value="质押"/>
                      <w:listItem w:displayText="标记" w:value="标记"/>
                      <w:listItem w:displayText="冻结" w:value="冻结"/>
                      <w:listItem w:displayText="托管" w:value="托管"/>
                      <w:listItem w:displayText="未知" w:value="未知"/>
                    </w:comboBox>
                  </w:sdtPr>
                  <w:sdtContent>
                    <w:tc>
                      <w:tcPr>
                        <w:tcW w:w="0" w:type="auto"/>
                        <w:shd w:val="clear" w:color="auto" w:fill="auto"/>
                        <w:vAlign w:val="center"/>
                      </w:tcPr>
                      <w:p w:rsidR="00DC331F" w:rsidRDefault="00DC331F" w:rsidP="005014DF">
                        <w:pPr>
                          <w:jc w:val="center"/>
                          <w:rPr>
                            <w:szCs w:val="21"/>
                          </w:rPr>
                        </w:pPr>
                        <w:r>
                          <w:rPr>
                            <w:szCs w:val="21"/>
                          </w:rPr>
                          <w:t>无</w:t>
                        </w:r>
                      </w:p>
                    </w:tc>
                  </w:sdtContent>
                </w:sdt>
                <w:tc>
                  <w:tcPr>
                    <w:tcW w:w="0" w:type="auto"/>
                    <w:gridSpan w:val="2"/>
                    <w:shd w:val="clear" w:color="auto" w:fill="auto"/>
                    <w:vAlign w:val="center"/>
                  </w:tcPr>
                  <w:p w:rsidR="00DC331F" w:rsidRDefault="00DC331F" w:rsidP="005014DF">
                    <w:pPr>
                      <w:jc w:val="right"/>
                      <w:rPr>
                        <w:szCs w:val="21"/>
                      </w:rPr>
                    </w:pPr>
                  </w:p>
                </w:tc>
                <w:sdt>
                  <w:sdtPr>
                    <w:rPr>
                      <w:szCs w:val="21"/>
                    </w:rPr>
                    <w:alias w:val="前十名股东的股东性质"/>
                    <w:tag w:val="_GBC_84391eccdbd14aa7bbd07a260ff9d747"/>
                    <w:id w:val="7724771"/>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378" w:type="dxa"/>
                        <w:shd w:val="clear" w:color="auto" w:fill="auto"/>
                        <w:vAlign w:val="center"/>
                      </w:tcPr>
                      <w:p w:rsidR="00DC331F" w:rsidRDefault="00DC331F" w:rsidP="005014DF">
                        <w:pPr>
                          <w:rPr>
                            <w:szCs w:val="21"/>
                          </w:rPr>
                        </w:pPr>
                        <w:r>
                          <w:rPr>
                            <w:szCs w:val="21"/>
                          </w:rPr>
                          <w:t>其他</w:t>
                        </w:r>
                      </w:p>
                    </w:tc>
                  </w:sdtContent>
                </w:sdt>
              </w:tr>
            </w:sdtContent>
          </w:sdt>
          <w:sdt>
            <w:sdtPr>
              <w:rPr>
                <w:szCs w:val="21"/>
              </w:rPr>
              <w:alias w:val="前十名股东持股情况"/>
              <w:tag w:val="_TUP_dfb07f5d24d04bbbad485e33c5e2bd12"/>
              <w:id w:val="7724775"/>
              <w:lock w:val="sdtLocked"/>
            </w:sdtPr>
            <w:sdtEndPr>
              <w:rPr>
                <w:color w:val="FF9900"/>
              </w:rPr>
            </w:sdtEndPr>
            <w:sdtContent>
              <w:tr w:rsidR="00DC331F" w:rsidTr="006B3C41">
                <w:trPr>
                  <w:cantSplit/>
                  <w:jc w:val="center"/>
                </w:trPr>
                <w:tc>
                  <w:tcPr>
                    <w:tcW w:w="3380" w:type="dxa"/>
                    <w:shd w:val="clear" w:color="auto" w:fill="auto"/>
                    <w:vAlign w:val="center"/>
                  </w:tcPr>
                  <w:p w:rsidR="00DC331F" w:rsidRDefault="00DC331F" w:rsidP="005014DF">
                    <w:pPr>
                      <w:rPr>
                        <w:szCs w:val="21"/>
                      </w:rPr>
                    </w:pPr>
                    <w:r w:rsidRPr="00415ADE">
                      <w:rPr>
                        <w:rFonts w:hint="eastAsia"/>
                        <w:szCs w:val="21"/>
                      </w:rPr>
                      <w:t>南方基金－农业银行－南方中证金融资产管理计划</w:t>
                    </w:r>
                  </w:p>
                </w:tc>
                <w:tc>
                  <w:tcPr>
                    <w:tcW w:w="0" w:type="auto"/>
                    <w:shd w:val="clear" w:color="auto" w:fill="auto"/>
                    <w:vAlign w:val="center"/>
                  </w:tcPr>
                  <w:p w:rsidR="00DC331F" w:rsidRDefault="00DC331F" w:rsidP="005014DF">
                    <w:pPr>
                      <w:jc w:val="right"/>
                      <w:rPr>
                        <w:szCs w:val="21"/>
                      </w:rPr>
                    </w:pPr>
                    <w:r>
                      <w:rPr>
                        <w:rFonts w:hint="eastAsia"/>
                        <w:szCs w:val="21"/>
                      </w:rPr>
                      <w:t>0</w:t>
                    </w:r>
                  </w:p>
                </w:tc>
                <w:tc>
                  <w:tcPr>
                    <w:tcW w:w="0" w:type="auto"/>
                    <w:shd w:val="clear" w:color="auto" w:fill="auto"/>
                    <w:vAlign w:val="center"/>
                  </w:tcPr>
                  <w:p w:rsidR="00DC331F" w:rsidRDefault="00DC331F" w:rsidP="005014DF">
                    <w:pPr>
                      <w:jc w:val="right"/>
                      <w:rPr>
                        <w:szCs w:val="21"/>
                      </w:rPr>
                    </w:pPr>
                    <w:r>
                      <w:rPr>
                        <w:szCs w:val="21"/>
                      </w:rPr>
                      <w:t>119,024,765</w:t>
                    </w:r>
                  </w:p>
                </w:tc>
                <w:tc>
                  <w:tcPr>
                    <w:tcW w:w="0" w:type="auto"/>
                    <w:gridSpan w:val="2"/>
                    <w:shd w:val="clear" w:color="auto" w:fill="auto"/>
                    <w:vAlign w:val="center"/>
                  </w:tcPr>
                  <w:p w:rsidR="00DC331F" w:rsidRDefault="00DC331F" w:rsidP="005014DF">
                    <w:pPr>
                      <w:jc w:val="right"/>
                      <w:rPr>
                        <w:szCs w:val="21"/>
                      </w:rPr>
                    </w:pPr>
                    <w:r w:rsidRPr="00BF59C5">
                      <w:rPr>
                        <w:szCs w:val="21"/>
                      </w:rPr>
                      <w:t>0.80</w:t>
                    </w:r>
                  </w:p>
                </w:tc>
                <w:tc>
                  <w:tcPr>
                    <w:tcW w:w="0" w:type="auto"/>
                    <w:shd w:val="clear" w:color="auto" w:fill="auto"/>
                    <w:vAlign w:val="center"/>
                  </w:tcPr>
                  <w:p w:rsidR="00DC331F" w:rsidRDefault="00DC331F" w:rsidP="005014DF">
                    <w:pPr>
                      <w:jc w:val="right"/>
                      <w:rPr>
                        <w:szCs w:val="21"/>
                      </w:rPr>
                    </w:pPr>
                    <w:r>
                      <w:rPr>
                        <w:rFonts w:hint="eastAsia"/>
                        <w:szCs w:val="21"/>
                      </w:rPr>
                      <w:t>0</w:t>
                    </w:r>
                  </w:p>
                </w:tc>
                <w:sdt>
                  <w:sdtPr>
                    <w:rPr>
                      <w:szCs w:val="21"/>
                    </w:rPr>
                    <w:alias w:val="前十名股东持有股份状态"/>
                    <w:tag w:val="_GBC_46a2e2b7fded452b84eec75a5e47296b"/>
                    <w:id w:val="7724773"/>
                    <w:lock w:val="sdtLocked"/>
                    <w:comboBox>
                      <w:listItem w:displayText="无" w:value="无"/>
                      <w:listItem w:displayText="质押" w:value="质押"/>
                      <w:listItem w:displayText="标记" w:value="标记"/>
                      <w:listItem w:displayText="冻结" w:value="冻结"/>
                      <w:listItem w:displayText="托管" w:value="托管"/>
                      <w:listItem w:displayText="未知" w:value="未知"/>
                    </w:comboBox>
                  </w:sdtPr>
                  <w:sdtContent>
                    <w:tc>
                      <w:tcPr>
                        <w:tcW w:w="0" w:type="auto"/>
                        <w:shd w:val="clear" w:color="auto" w:fill="auto"/>
                        <w:vAlign w:val="center"/>
                      </w:tcPr>
                      <w:p w:rsidR="00DC331F" w:rsidRDefault="00DC331F" w:rsidP="005014DF">
                        <w:pPr>
                          <w:jc w:val="center"/>
                          <w:rPr>
                            <w:szCs w:val="21"/>
                          </w:rPr>
                        </w:pPr>
                        <w:r>
                          <w:rPr>
                            <w:szCs w:val="21"/>
                          </w:rPr>
                          <w:t>无</w:t>
                        </w:r>
                      </w:p>
                    </w:tc>
                  </w:sdtContent>
                </w:sdt>
                <w:tc>
                  <w:tcPr>
                    <w:tcW w:w="0" w:type="auto"/>
                    <w:gridSpan w:val="2"/>
                    <w:shd w:val="clear" w:color="auto" w:fill="auto"/>
                    <w:vAlign w:val="center"/>
                  </w:tcPr>
                  <w:p w:rsidR="00DC331F" w:rsidRDefault="00DC331F" w:rsidP="005014DF">
                    <w:pPr>
                      <w:jc w:val="right"/>
                      <w:rPr>
                        <w:szCs w:val="21"/>
                      </w:rPr>
                    </w:pPr>
                  </w:p>
                </w:tc>
                <w:sdt>
                  <w:sdtPr>
                    <w:rPr>
                      <w:szCs w:val="21"/>
                    </w:rPr>
                    <w:alias w:val="前十名股东的股东性质"/>
                    <w:tag w:val="_GBC_84391eccdbd14aa7bbd07a260ff9d747"/>
                    <w:id w:val="7724774"/>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378" w:type="dxa"/>
                        <w:shd w:val="clear" w:color="auto" w:fill="auto"/>
                        <w:vAlign w:val="center"/>
                      </w:tcPr>
                      <w:p w:rsidR="00DC331F" w:rsidRDefault="00DC331F" w:rsidP="005014DF">
                        <w:pPr>
                          <w:rPr>
                            <w:szCs w:val="21"/>
                          </w:rPr>
                        </w:pPr>
                        <w:r>
                          <w:rPr>
                            <w:szCs w:val="21"/>
                          </w:rPr>
                          <w:t>其他</w:t>
                        </w:r>
                      </w:p>
                    </w:tc>
                  </w:sdtContent>
                </w:sdt>
              </w:tr>
            </w:sdtContent>
          </w:sdt>
          <w:sdt>
            <w:sdtPr>
              <w:rPr>
                <w:szCs w:val="21"/>
              </w:rPr>
              <w:alias w:val="前十名股东持股情况"/>
              <w:tag w:val="_TUP_dfb07f5d24d04bbbad485e33c5e2bd12"/>
              <w:id w:val="7724778"/>
              <w:lock w:val="sdtLocked"/>
            </w:sdtPr>
            <w:sdtEndPr>
              <w:rPr>
                <w:color w:val="FF9900"/>
              </w:rPr>
            </w:sdtEndPr>
            <w:sdtContent>
              <w:tr w:rsidR="00DC331F" w:rsidTr="006B3C41">
                <w:trPr>
                  <w:cantSplit/>
                  <w:jc w:val="center"/>
                </w:trPr>
                <w:tc>
                  <w:tcPr>
                    <w:tcW w:w="3380" w:type="dxa"/>
                    <w:shd w:val="clear" w:color="auto" w:fill="auto"/>
                    <w:vAlign w:val="center"/>
                  </w:tcPr>
                  <w:p w:rsidR="00DC331F" w:rsidRDefault="00DC331F" w:rsidP="005014DF">
                    <w:pPr>
                      <w:rPr>
                        <w:szCs w:val="21"/>
                      </w:rPr>
                    </w:pPr>
                    <w:r w:rsidRPr="00415ADE">
                      <w:rPr>
                        <w:rFonts w:hint="eastAsia"/>
                        <w:szCs w:val="21"/>
                      </w:rPr>
                      <w:t>工银瑞信基金－农业银行－工银瑞信中证金融资产管理计划</w:t>
                    </w:r>
                  </w:p>
                </w:tc>
                <w:tc>
                  <w:tcPr>
                    <w:tcW w:w="0" w:type="auto"/>
                    <w:shd w:val="clear" w:color="auto" w:fill="auto"/>
                    <w:vAlign w:val="center"/>
                  </w:tcPr>
                  <w:p w:rsidR="00DC331F" w:rsidRDefault="00DC331F" w:rsidP="005014DF">
                    <w:pPr>
                      <w:jc w:val="right"/>
                      <w:rPr>
                        <w:szCs w:val="21"/>
                      </w:rPr>
                    </w:pPr>
                    <w:r>
                      <w:rPr>
                        <w:rFonts w:hint="eastAsia"/>
                        <w:szCs w:val="21"/>
                      </w:rPr>
                      <w:t>0</w:t>
                    </w:r>
                  </w:p>
                </w:tc>
                <w:tc>
                  <w:tcPr>
                    <w:tcW w:w="0" w:type="auto"/>
                    <w:shd w:val="clear" w:color="auto" w:fill="auto"/>
                    <w:vAlign w:val="center"/>
                  </w:tcPr>
                  <w:p w:rsidR="00DC331F" w:rsidRDefault="00DC331F" w:rsidP="005014DF">
                    <w:pPr>
                      <w:jc w:val="right"/>
                      <w:rPr>
                        <w:szCs w:val="21"/>
                      </w:rPr>
                    </w:pPr>
                    <w:r>
                      <w:rPr>
                        <w:szCs w:val="21"/>
                      </w:rPr>
                      <w:t>119,024,765</w:t>
                    </w:r>
                  </w:p>
                </w:tc>
                <w:tc>
                  <w:tcPr>
                    <w:tcW w:w="0" w:type="auto"/>
                    <w:gridSpan w:val="2"/>
                    <w:shd w:val="clear" w:color="auto" w:fill="auto"/>
                    <w:vAlign w:val="center"/>
                  </w:tcPr>
                  <w:p w:rsidR="00DC331F" w:rsidRDefault="00DC331F" w:rsidP="005014DF">
                    <w:pPr>
                      <w:jc w:val="right"/>
                      <w:rPr>
                        <w:szCs w:val="21"/>
                      </w:rPr>
                    </w:pPr>
                    <w:r w:rsidRPr="00BF59C5">
                      <w:rPr>
                        <w:szCs w:val="21"/>
                      </w:rPr>
                      <w:t>0.80</w:t>
                    </w:r>
                  </w:p>
                </w:tc>
                <w:tc>
                  <w:tcPr>
                    <w:tcW w:w="0" w:type="auto"/>
                    <w:shd w:val="clear" w:color="auto" w:fill="auto"/>
                    <w:vAlign w:val="center"/>
                  </w:tcPr>
                  <w:p w:rsidR="00DC331F" w:rsidRDefault="00DC331F" w:rsidP="005014DF">
                    <w:pPr>
                      <w:jc w:val="right"/>
                      <w:rPr>
                        <w:szCs w:val="21"/>
                      </w:rPr>
                    </w:pPr>
                    <w:r>
                      <w:rPr>
                        <w:rFonts w:hint="eastAsia"/>
                        <w:szCs w:val="21"/>
                      </w:rPr>
                      <w:t>0</w:t>
                    </w:r>
                  </w:p>
                </w:tc>
                <w:sdt>
                  <w:sdtPr>
                    <w:rPr>
                      <w:szCs w:val="21"/>
                    </w:rPr>
                    <w:alias w:val="前十名股东持有股份状态"/>
                    <w:tag w:val="_GBC_46a2e2b7fded452b84eec75a5e47296b"/>
                    <w:id w:val="7724776"/>
                    <w:lock w:val="sdtLocked"/>
                    <w:comboBox>
                      <w:listItem w:displayText="无" w:value="无"/>
                      <w:listItem w:displayText="质押" w:value="质押"/>
                      <w:listItem w:displayText="标记" w:value="标记"/>
                      <w:listItem w:displayText="冻结" w:value="冻结"/>
                      <w:listItem w:displayText="托管" w:value="托管"/>
                      <w:listItem w:displayText="未知" w:value="未知"/>
                    </w:comboBox>
                  </w:sdtPr>
                  <w:sdtContent>
                    <w:tc>
                      <w:tcPr>
                        <w:tcW w:w="0" w:type="auto"/>
                        <w:shd w:val="clear" w:color="auto" w:fill="auto"/>
                        <w:vAlign w:val="center"/>
                      </w:tcPr>
                      <w:p w:rsidR="00DC331F" w:rsidRDefault="00DC331F" w:rsidP="005014DF">
                        <w:pPr>
                          <w:jc w:val="center"/>
                          <w:rPr>
                            <w:szCs w:val="21"/>
                          </w:rPr>
                        </w:pPr>
                        <w:r>
                          <w:rPr>
                            <w:szCs w:val="21"/>
                          </w:rPr>
                          <w:t>无</w:t>
                        </w:r>
                      </w:p>
                    </w:tc>
                  </w:sdtContent>
                </w:sdt>
                <w:tc>
                  <w:tcPr>
                    <w:tcW w:w="0" w:type="auto"/>
                    <w:gridSpan w:val="2"/>
                    <w:shd w:val="clear" w:color="auto" w:fill="auto"/>
                    <w:vAlign w:val="center"/>
                  </w:tcPr>
                  <w:p w:rsidR="00DC331F" w:rsidRDefault="00DC331F" w:rsidP="005014DF">
                    <w:pPr>
                      <w:jc w:val="right"/>
                      <w:rPr>
                        <w:szCs w:val="21"/>
                      </w:rPr>
                    </w:pPr>
                  </w:p>
                </w:tc>
                <w:sdt>
                  <w:sdtPr>
                    <w:rPr>
                      <w:szCs w:val="21"/>
                    </w:rPr>
                    <w:alias w:val="前十名股东的股东性质"/>
                    <w:tag w:val="_GBC_84391eccdbd14aa7bbd07a260ff9d747"/>
                    <w:id w:val="7724777"/>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378" w:type="dxa"/>
                        <w:shd w:val="clear" w:color="auto" w:fill="auto"/>
                        <w:vAlign w:val="center"/>
                      </w:tcPr>
                      <w:p w:rsidR="00DC331F" w:rsidRDefault="00DC331F" w:rsidP="005014DF">
                        <w:pPr>
                          <w:rPr>
                            <w:szCs w:val="21"/>
                          </w:rPr>
                        </w:pPr>
                        <w:r>
                          <w:rPr>
                            <w:szCs w:val="21"/>
                          </w:rPr>
                          <w:t>其他</w:t>
                        </w:r>
                      </w:p>
                    </w:tc>
                  </w:sdtContent>
                </w:sdt>
              </w:tr>
            </w:sdtContent>
          </w:sdt>
          <w:sdt>
            <w:sdtPr>
              <w:rPr>
                <w:szCs w:val="21"/>
              </w:rPr>
              <w:alias w:val="前十名股东持股情况"/>
              <w:tag w:val="_TUP_dfb07f5d24d04bbbad485e33c5e2bd12"/>
              <w:id w:val="7724781"/>
              <w:lock w:val="sdtLocked"/>
            </w:sdtPr>
            <w:sdtEndPr>
              <w:rPr>
                <w:color w:val="FF9900"/>
              </w:rPr>
            </w:sdtEndPr>
            <w:sdtContent>
              <w:tr w:rsidR="00DC331F" w:rsidTr="006B3C41">
                <w:trPr>
                  <w:cantSplit/>
                  <w:jc w:val="center"/>
                </w:trPr>
                <w:tc>
                  <w:tcPr>
                    <w:tcW w:w="3380" w:type="dxa"/>
                    <w:shd w:val="clear" w:color="auto" w:fill="auto"/>
                    <w:vAlign w:val="center"/>
                  </w:tcPr>
                  <w:p w:rsidR="00DC331F" w:rsidRDefault="00DC331F" w:rsidP="005014DF">
                    <w:pPr>
                      <w:rPr>
                        <w:szCs w:val="21"/>
                      </w:rPr>
                    </w:pPr>
                    <w:r w:rsidRPr="00BF59C5">
                      <w:rPr>
                        <w:rFonts w:hint="eastAsia"/>
                        <w:szCs w:val="21"/>
                      </w:rPr>
                      <w:t>中国中煤能源集团有限公司</w:t>
                    </w:r>
                  </w:p>
                </w:tc>
                <w:tc>
                  <w:tcPr>
                    <w:tcW w:w="0" w:type="auto"/>
                    <w:shd w:val="clear" w:color="auto" w:fill="auto"/>
                    <w:vAlign w:val="center"/>
                  </w:tcPr>
                  <w:p w:rsidR="00DC331F" w:rsidRDefault="00DC331F" w:rsidP="005014DF">
                    <w:pPr>
                      <w:jc w:val="right"/>
                      <w:rPr>
                        <w:szCs w:val="21"/>
                      </w:rPr>
                    </w:pPr>
                    <w:r>
                      <w:rPr>
                        <w:rFonts w:hint="eastAsia"/>
                        <w:szCs w:val="21"/>
                      </w:rPr>
                      <w:t>0</w:t>
                    </w:r>
                  </w:p>
                </w:tc>
                <w:tc>
                  <w:tcPr>
                    <w:tcW w:w="0" w:type="auto"/>
                    <w:shd w:val="clear" w:color="auto" w:fill="auto"/>
                    <w:vAlign w:val="center"/>
                  </w:tcPr>
                  <w:p w:rsidR="00DC331F" w:rsidRDefault="00DC331F" w:rsidP="005014DF">
                    <w:pPr>
                      <w:jc w:val="right"/>
                      <w:rPr>
                        <w:szCs w:val="21"/>
                      </w:rPr>
                    </w:pPr>
                    <w:r>
                      <w:rPr>
                        <w:szCs w:val="21"/>
                      </w:rPr>
                      <w:t>97,515,577</w:t>
                    </w:r>
                  </w:p>
                </w:tc>
                <w:tc>
                  <w:tcPr>
                    <w:tcW w:w="0" w:type="auto"/>
                    <w:gridSpan w:val="2"/>
                    <w:shd w:val="clear" w:color="auto" w:fill="auto"/>
                    <w:vAlign w:val="center"/>
                  </w:tcPr>
                  <w:p w:rsidR="00DC331F" w:rsidRDefault="00DC331F" w:rsidP="005014DF">
                    <w:pPr>
                      <w:jc w:val="right"/>
                      <w:rPr>
                        <w:szCs w:val="21"/>
                      </w:rPr>
                    </w:pPr>
                    <w:r>
                      <w:rPr>
                        <w:rFonts w:hint="eastAsia"/>
                        <w:szCs w:val="21"/>
                      </w:rPr>
                      <w:t>0.66</w:t>
                    </w:r>
                  </w:p>
                </w:tc>
                <w:tc>
                  <w:tcPr>
                    <w:tcW w:w="0" w:type="auto"/>
                    <w:shd w:val="clear" w:color="auto" w:fill="auto"/>
                    <w:vAlign w:val="center"/>
                  </w:tcPr>
                  <w:p w:rsidR="00DC331F" w:rsidRDefault="00DC331F" w:rsidP="005014DF">
                    <w:pPr>
                      <w:jc w:val="right"/>
                      <w:rPr>
                        <w:szCs w:val="21"/>
                      </w:rPr>
                    </w:pPr>
                    <w:r>
                      <w:rPr>
                        <w:rFonts w:hint="eastAsia"/>
                        <w:szCs w:val="21"/>
                      </w:rPr>
                      <w:t>0</w:t>
                    </w:r>
                  </w:p>
                </w:tc>
                <w:sdt>
                  <w:sdtPr>
                    <w:rPr>
                      <w:szCs w:val="21"/>
                    </w:rPr>
                    <w:alias w:val="前十名股东持有股份状态"/>
                    <w:tag w:val="_GBC_46a2e2b7fded452b84eec75a5e47296b"/>
                    <w:id w:val="7724779"/>
                    <w:lock w:val="sdtLocked"/>
                    <w:comboBox>
                      <w:listItem w:displayText="无" w:value="无"/>
                      <w:listItem w:displayText="质押" w:value="质押"/>
                      <w:listItem w:displayText="标记" w:value="标记"/>
                      <w:listItem w:displayText="冻结" w:value="冻结"/>
                      <w:listItem w:displayText="托管" w:value="托管"/>
                      <w:listItem w:displayText="未知" w:value="未知"/>
                    </w:comboBox>
                  </w:sdtPr>
                  <w:sdtContent>
                    <w:tc>
                      <w:tcPr>
                        <w:tcW w:w="0" w:type="auto"/>
                        <w:shd w:val="clear" w:color="auto" w:fill="auto"/>
                        <w:vAlign w:val="center"/>
                      </w:tcPr>
                      <w:p w:rsidR="00DC331F" w:rsidRDefault="00DC331F" w:rsidP="005014DF">
                        <w:pPr>
                          <w:jc w:val="center"/>
                          <w:rPr>
                            <w:color w:val="FF9900"/>
                            <w:szCs w:val="21"/>
                          </w:rPr>
                        </w:pPr>
                        <w:r>
                          <w:rPr>
                            <w:szCs w:val="21"/>
                          </w:rPr>
                          <w:t>无</w:t>
                        </w:r>
                      </w:p>
                    </w:tc>
                  </w:sdtContent>
                </w:sdt>
                <w:tc>
                  <w:tcPr>
                    <w:tcW w:w="0" w:type="auto"/>
                    <w:gridSpan w:val="2"/>
                    <w:shd w:val="clear" w:color="auto" w:fill="auto"/>
                    <w:vAlign w:val="center"/>
                  </w:tcPr>
                  <w:p w:rsidR="00DC331F" w:rsidRDefault="00DC331F" w:rsidP="005014DF">
                    <w:pPr>
                      <w:jc w:val="right"/>
                      <w:rPr>
                        <w:szCs w:val="21"/>
                      </w:rPr>
                    </w:pPr>
                  </w:p>
                </w:tc>
                <w:sdt>
                  <w:sdtPr>
                    <w:rPr>
                      <w:szCs w:val="21"/>
                    </w:rPr>
                    <w:alias w:val="前十名股东的股东性质"/>
                    <w:tag w:val="_GBC_84391eccdbd14aa7bbd07a260ff9d747"/>
                    <w:id w:val="7724780"/>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378" w:type="dxa"/>
                        <w:shd w:val="clear" w:color="auto" w:fill="auto"/>
                        <w:vAlign w:val="center"/>
                      </w:tcPr>
                      <w:p w:rsidR="00DC331F" w:rsidRDefault="00DC331F" w:rsidP="005014DF">
                        <w:pPr>
                          <w:rPr>
                            <w:color w:val="FF9900"/>
                            <w:szCs w:val="21"/>
                          </w:rPr>
                        </w:pPr>
                        <w:r>
                          <w:rPr>
                            <w:szCs w:val="21"/>
                          </w:rPr>
                          <w:t>国有法人</w:t>
                        </w:r>
                      </w:p>
                    </w:tc>
                  </w:sdtContent>
                </w:sdt>
              </w:tr>
            </w:sdtContent>
          </w:sdt>
          <w:sdt>
            <w:sdtPr>
              <w:rPr>
                <w:szCs w:val="21"/>
              </w:rPr>
              <w:alias w:val="前十名股东持股情况"/>
              <w:tag w:val="_TUP_dfb07f5d24d04bbbad485e33c5e2bd12"/>
              <w:id w:val="7724784"/>
              <w:lock w:val="sdtLocked"/>
            </w:sdtPr>
            <w:sdtEndPr>
              <w:rPr>
                <w:color w:val="FF9900"/>
              </w:rPr>
            </w:sdtEndPr>
            <w:sdtContent>
              <w:tr w:rsidR="00DC331F" w:rsidTr="006B3C41">
                <w:trPr>
                  <w:cantSplit/>
                  <w:jc w:val="center"/>
                </w:trPr>
                <w:tc>
                  <w:tcPr>
                    <w:tcW w:w="3380" w:type="dxa"/>
                    <w:shd w:val="clear" w:color="auto" w:fill="auto"/>
                    <w:vAlign w:val="center"/>
                  </w:tcPr>
                  <w:p w:rsidR="00DC331F" w:rsidRDefault="00DC331F" w:rsidP="005014DF">
                    <w:pPr>
                      <w:rPr>
                        <w:szCs w:val="21"/>
                      </w:rPr>
                    </w:pPr>
                    <w:r w:rsidRPr="00BF59C5">
                      <w:rPr>
                        <w:rFonts w:hint="eastAsia"/>
                        <w:szCs w:val="21"/>
                      </w:rPr>
                      <w:t>中国铁路投资有限公司</w:t>
                    </w:r>
                  </w:p>
                </w:tc>
                <w:tc>
                  <w:tcPr>
                    <w:tcW w:w="0" w:type="auto"/>
                    <w:shd w:val="clear" w:color="auto" w:fill="auto"/>
                    <w:vAlign w:val="center"/>
                  </w:tcPr>
                  <w:p w:rsidR="00DC331F" w:rsidRDefault="00DC331F" w:rsidP="005014DF">
                    <w:pPr>
                      <w:jc w:val="right"/>
                      <w:rPr>
                        <w:szCs w:val="21"/>
                      </w:rPr>
                    </w:pPr>
                    <w:r>
                      <w:rPr>
                        <w:rFonts w:hint="eastAsia"/>
                        <w:szCs w:val="21"/>
                      </w:rPr>
                      <w:t>0</w:t>
                    </w:r>
                  </w:p>
                </w:tc>
                <w:tc>
                  <w:tcPr>
                    <w:tcW w:w="0" w:type="auto"/>
                    <w:shd w:val="clear" w:color="auto" w:fill="auto"/>
                    <w:vAlign w:val="center"/>
                  </w:tcPr>
                  <w:p w:rsidR="00DC331F" w:rsidRDefault="00DC331F" w:rsidP="005014DF">
                    <w:pPr>
                      <w:jc w:val="right"/>
                      <w:rPr>
                        <w:szCs w:val="21"/>
                      </w:rPr>
                    </w:pPr>
                    <w:r>
                      <w:rPr>
                        <w:szCs w:val="21"/>
                      </w:rPr>
                      <w:t>79,719,060</w:t>
                    </w:r>
                  </w:p>
                </w:tc>
                <w:tc>
                  <w:tcPr>
                    <w:tcW w:w="0" w:type="auto"/>
                    <w:gridSpan w:val="2"/>
                    <w:shd w:val="clear" w:color="auto" w:fill="auto"/>
                    <w:vAlign w:val="center"/>
                  </w:tcPr>
                  <w:p w:rsidR="00DC331F" w:rsidRDefault="00DC331F" w:rsidP="005014DF">
                    <w:pPr>
                      <w:jc w:val="right"/>
                      <w:rPr>
                        <w:szCs w:val="21"/>
                      </w:rPr>
                    </w:pPr>
                    <w:r>
                      <w:rPr>
                        <w:rFonts w:hint="eastAsia"/>
                        <w:szCs w:val="21"/>
                      </w:rPr>
                      <w:t>0.54</w:t>
                    </w:r>
                  </w:p>
                </w:tc>
                <w:tc>
                  <w:tcPr>
                    <w:tcW w:w="0" w:type="auto"/>
                    <w:shd w:val="clear" w:color="auto" w:fill="auto"/>
                    <w:vAlign w:val="center"/>
                  </w:tcPr>
                  <w:p w:rsidR="00DC331F" w:rsidRDefault="00DC331F" w:rsidP="005014DF">
                    <w:pPr>
                      <w:jc w:val="right"/>
                      <w:rPr>
                        <w:szCs w:val="21"/>
                      </w:rPr>
                    </w:pPr>
                    <w:r>
                      <w:rPr>
                        <w:rFonts w:hint="eastAsia"/>
                        <w:szCs w:val="21"/>
                      </w:rPr>
                      <w:t>0</w:t>
                    </w:r>
                  </w:p>
                </w:tc>
                <w:sdt>
                  <w:sdtPr>
                    <w:rPr>
                      <w:szCs w:val="21"/>
                    </w:rPr>
                    <w:alias w:val="前十名股东持有股份状态"/>
                    <w:tag w:val="_GBC_46a2e2b7fded452b84eec75a5e47296b"/>
                    <w:id w:val="7724782"/>
                    <w:lock w:val="sdtLocked"/>
                    <w:comboBox>
                      <w:listItem w:displayText="无" w:value="无"/>
                      <w:listItem w:displayText="质押" w:value="质押"/>
                      <w:listItem w:displayText="标记" w:value="标记"/>
                      <w:listItem w:displayText="冻结" w:value="冻结"/>
                      <w:listItem w:displayText="托管" w:value="托管"/>
                      <w:listItem w:displayText="未知" w:value="未知"/>
                    </w:comboBox>
                  </w:sdtPr>
                  <w:sdtContent>
                    <w:tc>
                      <w:tcPr>
                        <w:tcW w:w="0" w:type="auto"/>
                        <w:shd w:val="clear" w:color="auto" w:fill="auto"/>
                        <w:vAlign w:val="center"/>
                      </w:tcPr>
                      <w:p w:rsidR="00DC331F" w:rsidRDefault="00DC331F" w:rsidP="005014DF">
                        <w:pPr>
                          <w:jc w:val="center"/>
                          <w:rPr>
                            <w:color w:val="FF9900"/>
                            <w:szCs w:val="21"/>
                          </w:rPr>
                        </w:pPr>
                        <w:r>
                          <w:rPr>
                            <w:szCs w:val="21"/>
                          </w:rPr>
                          <w:t>无</w:t>
                        </w:r>
                      </w:p>
                    </w:tc>
                  </w:sdtContent>
                </w:sdt>
                <w:tc>
                  <w:tcPr>
                    <w:tcW w:w="0" w:type="auto"/>
                    <w:gridSpan w:val="2"/>
                    <w:shd w:val="clear" w:color="auto" w:fill="auto"/>
                    <w:vAlign w:val="center"/>
                  </w:tcPr>
                  <w:p w:rsidR="00DC331F" w:rsidRDefault="00DC331F" w:rsidP="005014DF">
                    <w:pPr>
                      <w:jc w:val="right"/>
                      <w:rPr>
                        <w:szCs w:val="21"/>
                      </w:rPr>
                    </w:pPr>
                  </w:p>
                </w:tc>
                <w:sdt>
                  <w:sdtPr>
                    <w:rPr>
                      <w:szCs w:val="21"/>
                    </w:rPr>
                    <w:alias w:val="前十名股东的股东性质"/>
                    <w:tag w:val="_GBC_84391eccdbd14aa7bbd07a260ff9d747"/>
                    <w:id w:val="7724783"/>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378" w:type="dxa"/>
                        <w:shd w:val="clear" w:color="auto" w:fill="auto"/>
                        <w:vAlign w:val="center"/>
                      </w:tcPr>
                      <w:p w:rsidR="00DC331F" w:rsidRDefault="00DC331F" w:rsidP="005014DF">
                        <w:pPr>
                          <w:rPr>
                            <w:color w:val="FF9900"/>
                            <w:szCs w:val="21"/>
                          </w:rPr>
                        </w:pPr>
                        <w:r>
                          <w:rPr>
                            <w:szCs w:val="21"/>
                          </w:rPr>
                          <w:t>国有法人</w:t>
                        </w:r>
                      </w:p>
                    </w:tc>
                  </w:sdtContent>
                </w:sdt>
              </w:tr>
            </w:sdtContent>
          </w:sdt>
          <w:sdt>
            <w:sdtPr>
              <w:rPr>
                <w:szCs w:val="21"/>
              </w:rPr>
              <w:alias w:val="前十名股东持股情况"/>
              <w:tag w:val="_TUP_dfb07f5d24d04bbbad485e33c5e2bd12"/>
              <w:id w:val="7724787"/>
              <w:lock w:val="sdtLocked"/>
            </w:sdtPr>
            <w:sdtEndPr>
              <w:rPr>
                <w:color w:val="FF9900"/>
              </w:rPr>
            </w:sdtEndPr>
            <w:sdtContent>
              <w:tr w:rsidR="00DC331F" w:rsidTr="006B3C41">
                <w:trPr>
                  <w:cantSplit/>
                  <w:jc w:val="center"/>
                </w:trPr>
                <w:tc>
                  <w:tcPr>
                    <w:tcW w:w="3380" w:type="dxa"/>
                    <w:shd w:val="clear" w:color="auto" w:fill="auto"/>
                    <w:vAlign w:val="center"/>
                  </w:tcPr>
                  <w:p w:rsidR="00DC331F" w:rsidRDefault="00DC331F" w:rsidP="005014DF">
                    <w:pPr>
                      <w:rPr>
                        <w:szCs w:val="21"/>
                      </w:rPr>
                    </w:pPr>
                    <w:r w:rsidRPr="00BF59C5">
                      <w:rPr>
                        <w:rFonts w:hint="eastAsia"/>
                        <w:szCs w:val="21"/>
                      </w:rPr>
                      <w:t>晋能控股煤业集团有限公司</w:t>
                    </w:r>
                  </w:p>
                </w:tc>
                <w:tc>
                  <w:tcPr>
                    <w:tcW w:w="0" w:type="auto"/>
                    <w:shd w:val="clear" w:color="auto" w:fill="auto"/>
                    <w:vAlign w:val="center"/>
                  </w:tcPr>
                  <w:p w:rsidR="00DC331F" w:rsidRDefault="00DC331F" w:rsidP="005014DF">
                    <w:pPr>
                      <w:jc w:val="right"/>
                      <w:rPr>
                        <w:szCs w:val="21"/>
                      </w:rPr>
                    </w:pPr>
                    <w:r>
                      <w:rPr>
                        <w:rFonts w:hint="eastAsia"/>
                        <w:szCs w:val="21"/>
                      </w:rPr>
                      <w:t>0</w:t>
                    </w:r>
                  </w:p>
                </w:tc>
                <w:tc>
                  <w:tcPr>
                    <w:tcW w:w="0" w:type="auto"/>
                    <w:shd w:val="clear" w:color="auto" w:fill="auto"/>
                    <w:vAlign w:val="center"/>
                  </w:tcPr>
                  <w:p w:rsidR="00DC331F" w:rsidRDefault="00DC331F" w:rsidP="005014DF">
                    <w:pPr>
                      <w:jc w:val="right"/>
                      <w:rPr>
                        <w:szCs w:val="21"/>
                      </w:rPr>
                    </w:pPr>
                    <w:r>
                      <w:rPr>
                        <w:szCs w:val="21"/>
                      </w:rPr>
                      <w:t>69,284,018</w:t>
                    </w:r>
                  </w:p>
                </w:tc>
                <w:tc>
                  <w:tcPr>
                    <w:tcW w:w="0" w:type="auto"/>
                    <w:gridSpan w:val="2"/>
                    <w:shd w:val="clear" w:color="auto" w:fill="auto"/>
                    <w:vAlign w:val="center"/>
                  </w:tcPr>
                  <w:p w:rsidR="00DC331F" w:rsidRDefault="00DC331F" w:rsidP="005014DF">
                    <w:pPr>
                      <w:jc w:val="right"/>
                      <w:rPr>
                        <w:szCs w:val="21"/>
                      </w:rPr>
                    </w:pPr>
                    <w:r>
                      <w:rPr>
                        <w:rFonts w:hint="eastAsia"/>
                        <w:szCs w:val="21"/>
                      </w:rPr>
                      <w:t>0.47</w:t>
                    </w:r>
                  </w:p>
                </w:tc>
                <w:tc>
                  <w:tcPr>
                    <w:tcW w:w="0" w:type="auto"/>
                    <w:shd w:val="clear" w:color="auto" w:fill="auto"/>
                    <w:vAlign w:val="center"/>
                  </w:tcPr>
                  <w:p w:rsidR="00DC331F" w:rsidRDefault="00DC331F" w:rsidP="005014DF">
                    <w:pPr>
                      <w:jc w:val="right"/>
                      <w:rPr>
                        <w:szCs w:val="21"/>
                      </w:rPr>
                    </w:pPr>
                    <w:r>
                      <w:rPr>
                        <w:rFonts w:hint="eastAsia"/>
                        <w:szCs w:val="21"/>
                      </w:rPr>
                      <w:t>0</w:t>
                    </w:r>
                  </w:p>
                </w:tc>
                <w:sdt>
                  <w:sdtPr>
                    <w:rPr>
                      <w:szCs w:val="21"/>
                    </w:rPr>
                    <w:alias w:val="前十名股东持有股份状态"/>
                    <w:tag w:val="_GBC_46a2e2b7fded452b84eec75a5e47296b"/>
                    <w:id w:val="7724785"/>
                    <w:lock w:val="sdtLocked"/>
                    <w:comboBox>
                      <w:listItem w:displayText="无" w:value="无"/>
                      <w:listItem w:displayText="质押" w:value="质押"/>
                      <w:listItem w:displayText="标记" w:value="标记"/>
                      <w:listItem w:displayText="冻结" w:value="冻结"/>
                      <w:listItem w:displayText="托管" w:value="托管"/>
                      <w:listItem w:displayText="未知" w:value="未知"/>
                    </w:comboBox>
                  </w:sdtPr>
                  <w:sdtContent>
                    <w:tc>
                      <w:tcPr>
                        <w:tcW w:w="0" w:type="auto"/>
                        <w:shd w:val="clear" w:color="auto" w:fill="auto"/>
                        <w:vAlign w:val="center"/>
                      </w:tcPr>
                      <w:p w:rsidR="00DC331F" w:rsidRDefault="00DC331F" w:rsidP="005014DF">
                        <w:pPr>
                          <w:jc w:val="center"/>
                          <w:rPr>
                            <w:color w:val="FF9900"/>
                            <w:szCs w:val="21"/>
                          </w:rPr>
                        </w:pPr>
                        <w:r>
                          <w:rPr>
                            <w:szCs w:val="21"/>
                          </w:rPr>
                          <w:t>无</w:t>
                        </w:r>
                      </w:p>
                    </w:tc>
                  </w:sdtContent>
                </w:sdt>
                <w:tc>
                  <w:tcPr>
                    <w:tcW w:w="0" w:type="auto"/>
                    <w:gridSpan w:val="2"/>
                    <w:shd w:val="clear" w:color="auto" w:fill="auto"/>
                    <w:vAlign w:val="center"/>
                  </w:tcPr>
                  <w:p w:rsidR="00DC331F" w:rsidRDefault="00DC331F" w:rsidP="005014DF">
                    <w:pPr>
                      <w:jc w:val="right"/>
                      <w:rPr>
                        <w:szCs w:val="21"/>
                      </w:rPr>
                    </w:pPr>
                  </w:p>
                </w:tc>
                <w:sdt>
                  <w:sdtPr>
                    <w:rPr>
                      <w:szCs w:val="21"/>
                    </w:rPr>
                    <w:alias w:val="前十名股东的股东性质"/>
                    <w:tag w:val="_GBC_84391eccdbd14aa7bbd07a260ff9d747"/>
                    <w:id w:val="7724786"/>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378" w:type="dxa"/>
                        <w:shd w:val="clear" w:color="auto" w:fill="auto"/>
                        <w:vAlign w:val="center"/>
                      </w:tcPr>
                      <w:p w:rsidR="00DC331F" w:rsidRDefault="00DC331F" w:rsidP="005014DF">
                        <w:pPr>
                          <w:rPr>
                            <w:color w:val="FF9900"/>
                            <w:szCs w:val="21"/>
                          </w:rPr>
                        </w:pPr>
                        <w:r>
                          <w:rPr>
                            <w:szCs w:val="21"/>
                          </w:rPr>
                          <w:t>国有法人</w:t>
                        </w:r>
                      </w:p>
                    </w:tc>
                  </w:sdtContent>
                </w:sdt>
              </w:tr>
            </w:sdtContent>
          </w:sdt>
          <w:sdt>
            <w:sdtPr>
              <w:rPr>
                <w:szCs w:val="21"/>
              </w:rPr>
              <w:alias w:val="前十名股东持股情况"/>
              <w:tag w:val="_TUP_dfb07f5d24d04bbbad485e33c5e2bd12"/>
              <w:id w:val="7724790"/>
              <w:lock w:val="sdtLocked"/>
            </w:sdtPr>
            <w:sdtEndPr>
              <w:rPr>
                <w:color w:val="FF9900"/>
              </w:rPr>
            </w:sdtEndPr>
            <w:sdtContent>
              <w:tr w:rsidR="00DC331F" w:rsidTr="006B3C41">
                <w:trPr>
                  <w:cantSplit/>
                  <w:jc w:val="center"/>
                </w:trPr>
                <w:tc>
                  <w:tcPr>
                    <w:tcW w:w="3380" w:type="dxa"/>
                    <w:shd w:val="clear" w:color="auto" w:fill="auto"/>
                    <w:vAlign w:val="center"/>
                  </w:tcPr>
                  <w:p w:rsidR="00DC331F" w:rsidRDefault="00DC331F" w:rsidP="005014DF">
                    <w:pPr>
                      <w:rPr>
                        <w:szCs w:val="21"/>
                      </w:rPr>
                    </w:pPr>
                    <w:r w:rsidRPr="00BF59C5">
                      <w:rPr>
                        <w:rFonts w:hint="eastAsia"/>
                        <w:szCs w:val="21"/>
                      </w:rPr>
                      <w:t>滦平县伟源矿业有限责任公司</w:t>
                    </w:r>
                  </w:p>
                </w:tc>
                <w:tc>
                  <w:tcPr>
                    <w:tcW w:w="0" w:type="auto"/>
                    <w:shd w:val="clear" w:color="auto" w:fill="auto"/>
                    <w:vAlign w:val="center"/>
                  </w:tcPr>
                  <w:p w:rsidR="00DC331F" w:rsidRDefault="00DC331F" w:rsidP="005014DF">
                    <w:pPr>
                      <w:jc w:val="right"/>
                      <w:rPr>
                        <w:szCs w:val="21"/>
                      </w:rPr>
                    </w:pPr>
                    <w:r>
                      <w:rPr>
                        <w:rFonts w:hint="eastAsia"/>
                        <w:szCs w:val="21"/>
                      </w:rPr>
                      <w:t>0</w:t>
                    </w:r>
                  </w:p>
                </w:tc>
                <w:tc>
                  <w:tcPr>
                    <w:tcW w:w="0" w:type="auto"/>
                    <w:shd w:val="clear" w:color="auto" w:fill="auto"/>
                    <w:vAlign w:val="center"/>
                  </w:tcPr>
                  <w:p w:rsidR="00DC331F" w:rsidRDefault="00DC331F" w:rsidP="005014DF">
                    <w:pPr>
                      <w:jc w:val="right"/>
                      <w:rPr>
                        <w:szCs w:val="21"/>
                      </w:rPr>
                    </w:pPr>
                    <w:r>
                      <w:rPr>
                        <w:szCs w:val="21"/>
                      </w:rPr>
                      <w:t>61,677,800</w:t>
                    </w:r>
                  </w:p>
                </w:tc>
                <w:tc>
                  <w:tcPr>
                    <w:tcW w:w="0" w:type="auto"/>
                    <w:gridSpan w:val="2"/>
                    <w:shd w:val="clear" w:color="auto" w:fill="auto"/>
                    <w:vAlign w:val="center"/>
                  </w:tcPr>
                  <w:p w:rsidR="00DC331F" w:rsidRDefault="00DC331F" w:rsidP="005014DF">
                    <w:pPr>
                      <w:jc w:val="right"/>
                      <w:rPr>
                        <w:szCs w:val="21"/>
                      </w:rPr>
                    </w:pPr>
                    <w:r>
                      <w:rPr>
                        <w:rFonts w:hint="eastAsia"/>
                        <w:szCs w:val="21"/>
                      </w:rPr>
                      <w:t>0.41</w:t>
                    </w:r>
                  </w:p>
                </w:tc>
                <w:tc>
                  <w:tcPr>
                    <w:tcW w:w="0" w:type="auto"/>
                    <w:shd w:val="clear" w:color="auto" w:fill="auto"/>
                    <w:vAlign w:val="center"/>
                  </w:tcPr>
                  <w:p w:rsidR="00DC331F" w:rsidRDefault="00DC331F" w:rsidP="005014DF">
                    <w:pPr>
                      <w:jc w:val="right"/>
                      <w:rPr>
                        <w:szCs w:val="21"/>
                      </w:rPr>
                    </w:pPr>
                    <w:r>
                      <w:rPr>
                        <w:rFonts w:hint="eastAsia"/>
                        <w:szCs w:val="21"/>
                      </w:rPr>
                      <w:t>0</w:t>
                    </w:r>
                  </w:p>
                </w:tc>
                <w:sdt>
                  <w:sdtPr>
                    <w:rPr>
                      <w:szCs w:val="21"/>
                    </w:rPr>
                    <w:alias w:val="前十名股东持有股份状态"/>
                    <w:tag w:val="_GBC_46a2e2b7fded452b84eec75a5e47296b"/>
                    <w:id w:val="7724788"/>
                    <w:lock w:val="sdtLocked"/>
                    <w:comboBox>
                      <w:listItem w:displayText="无" w:value="无"/>
                      <w:listItem w:displayText="质押" w:value="质押"/>
                      <w:listItem w:displayText="标记" w:value="标记"/>
                      <w:listItem w:displayText="冻结" w:value="冻结"/>
                      <w:listItem w:displayText="托管" w:value="托管"/>
                      <w:listItem w:displayText="未知" w:value="未知"/>
                    </w:comboBox>
                  </w:sdtPr>
                  <w:sdtContent>
                    <w:tc>
                      <w:tcPr>
                        <w:tcW w:w="0" w:type="auto"/>
                        <w:shd w:val="clear" w:color="auto" w:fill="auto"/>
                        <w:vAlign w:val="center"/>
                      </w:tcPr>
                      <w:p w:rsidR="00DC331F" w:rsidRDefault="00DC331F" w:rsidP="005014DF">
                        <w:pPr>
                          <w:jc w:val="center"/>
                          <w:rPr>
                            <w:color w:val="FF9900"/>
                            <w:szCs w:val="21"/>
                          </w:rPr>
                        </w:pPr>
                        <w:r>
                          <w:rPr>
                            <w:szCs w:val="21"/>
                          </w:rPr>
                          <w:t>无</w:t>
                        </w:r>
                      </w:p>
                    </w:tc>
                  </w:sdtContent>
                </w:sdt>
                <w:tc>
                  <w:tcPr>
                    <w:tcW w:w="0" w:type="auto"/>
                    <w:gridSpan w:val="2"/>
                    <w:shd w:val="clear" w:color="auto" w:fill="auto"/>
                    <w:vAlign w:val="center"/>
                  </w:tcPr>
                  <w:p w:rsidR="00DC331F" w:rsidRDefault="00DC331F" w:rsidP="005014DF">
                    <w:pPr>
                      <w:jc w:val="right"/>
                      <w:rPr>
                        <w:szCs w:val="21"/>
                      </w:rPr>
                    </w:pPr>
                  </w:p>
                </w:tc>
                <w:sdt>
                  <w:sdtPr>
                    <w:rPr>
                      <w:szCs w:val="21"/>
                    </w:rPr>
                    <w:alias w:val="前十名股东的股东性质"/>
                    <w:tag w:val="_GBC_84391eccdbd14aa7bbd07a260ff9d747"/>
                    <w:id w:val="7724789"/>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378" w:type="dxa"/>
                        <w:shd w:val="clear" w:color="auto" w:fill="auto"/>
                        <w:vAlign w:val="center"/>
                      </w:tcPr>
                      <w:p w:rsidR="00DC331F" w:rsidRDefault="00DC331F" w:rsidP="005014DF">
                        <w:pPr>
                          <w:rPr>
                            <w:color w:val="FF9900"/>
                            <w:szCs w:val="21"/>
                          </w:rPr>
                        </w:pPr>
                        <w:r>
                          <w:rPr>
                            <w:szCs w:val="21"/>
                          </w:rPr>
                          <w:t>境内非国有法人</w:t>
                        </w:r>
                      </w:p>
                    </w:tc>
                  </w:sdtContent>
                </w:sdt>
              </w:tr>
            </w:sdtContent>
          </w:sdt>
          <w:tr w:rsidR="00DC331F" w:rsidTr="006B3C41">
            <w:trPr>
              <w:cantSplit/>
              <w:jc w:val="center"/>
            </w:trPr>
            <w:sdt>
              <w:sdtPr>
                <w:tag w:val="_PLD_7f241e5dc05a4ae7b61268f4f1627ca0"/>
                <w:id w:val="7724791"/>
                <w:lock w:val="sdtLocked"/>
              </w:sdtPr>
              <w:sdtContent>
                <w:tc>
                  <w:tcPr>
                    <w:tcW w:w="10150" w:type="dxa"/>
                    <w:gridSpan w:val="10"/>
                    <w:shd w:val="clear" w:color="auto" w:fill="auto"/>
                    <w:vAlign w:val="center"/>
                  </w:tcPr>
                  <w:p w:rsidR="00DC331F" w:rsidRDefault="00DC331F" w:rsidP="005014DF">
                    <w:pPr>
                      <w:jc w:val="center"/>
                      <w:rPr>
                        <w:color w:val="FF9900"/>
                        <w:szCs w:val="21"/>
                      </w:rPr>
                    </w:pPr>
                    <w:r>
                      <w:rPr>
                        <w:szCs w:val="21"/>
                      </w:rPr>
                      <w:t>前十名无限售条件股东持股情况</w:t>
                    </w:r>
                  </w:p>
                </w:tc>
              </w:sdtContent>
            </w:sdt>
          </w:tr>
          <w:tr w:rsidR="00901FAB" w:rsidTr="006B3C41">
            <w:trPr>
              <w:cantSplit/>
              <w:jc w:val="center"/>
            </w:trPr>
            <w:sdt>
              <w:sdtPr>
                <w:tag w:val="_PLD_0443ad39720a4d59be87cdf7b0bc4970"/>
                <w:id w:val="7724792"/>
                <w:lock w:val="sdtLocked"/>
              </w:sdtPr>
              <w:sdtContent>
                <w:tc>
                  <w:tcPr>
                    <w:tcW w:w="4856" w:type="dxa"/>
                    <w:gridSpan w:val="2"/>
                    <w:vMerge w:val="restart"/>
                    <w:shd w:val="clear" w:color="auto" w:fill="auto"/>
                    <w:vAlign w:val="center"/>
                  </w:tcPr>
                  <w:p w:rsidR="00DC331F" w:rsidRDefault="00DC331F" w:rsidP="005014DF">
                    <w:pPr>
                      <w:jc w:val="center"/>
                      <w:rPr>
                        <w:color w:val="FF9900"/>
                        <w:szCs w:val="21"/>
                      </w:rPr>
                    </w:pPr>
                    <w:r>
                      <w:t>股东名称</w:t>
                    </w:r>
                  </w:p>
                </w:tc>
              </w:sdtContent>
            </w:sdt>
            <w:sdt>
              <w:sdtPr>
                <w:tag w:val="_PLD_a7f143afa2b94466a44af03e770016b0"/>
                <w:id w:val="7724793"/>
                <w:lock w:val="sdtLocked"/>
              </w:sdtPr>
              <w:sdtContent>
                <w:tc>
                  <w:tcPr>
                    <w:tcW w:w="1978" w:type="dxa"/>
                    <w:gridSpan w:val="2"/>
                    <w:vMerge w:val="restart"/>
                    <w:shd w:val="clear" w:color="auto" w:fill="auto"/>
                    <w:vAlign w:val="center"/>
                  </w:tcPr>
                  <w:p w:rsidR="00DC331F" w:rsidRDefault="00DC331F" w:rsidP="005014DF">
                    <w:pPr>
                      <w:jc w:val="center"/>
                      <w:rPr>
                        <w:color w:val="FF9900"/>
                        <w:szCs w:val="21"/>
                      </w:rPr>
                    </w:pPr>
                    <w:r>
                      <w:t>持有无限售条件流通股的数量</w:t>
                    </w:r>
                  </w:p>
                </w:tc>
              </w:sdtContent>
            </w:sdt>
            <w:sdt>
              <w:sdtPr>
                <w:tag w:val="_PLD_fa97ca004a544042af7e1d7463bea345"/>
                <w:id w:val="7724794"/>
                <w:lock w:val="sdtLocked"/>
              </w:sdtPr>
              <w:sdtContent>
                <w:tc>
                  <w:tcPr>
                    <w:tcW w:w="3316" w:type="dxa"/>
                    <w:gridSpan w:val="6"/>
                    <w:tcBorders>
                      <w:bottom w:val="single" w:sz="4" w:space="0" w:color="auto"/>
                    </w:tcBorders>
                    <w:shd w:val="clear" w:color="auto" w:fill="auto"/>
                    <w:vAlign w:val="center"/>
                  </w:tcPr>
                  <w:p w:rsidR="00DC331F" w:rsidRDefault="00DC331F" w:rsidP="005014DF">
                    <w:pPr>
                      <w:jc w:val="center"/>
                      <w:rPr>
                        <w:color w:val="FF9900"/>
                        <w:szCs w:val="21"/>
                      </w:rPr>
                    </w:pPr>
                    <w:r>
                      <w:rPr>
                        <w:szCs w:val="21"/>
                      </w:rPr>
                      <w:t>股份种类</w:t>
                    </w:r>
                    <w:r>
                      <w:rPr>
                        <w:rFonts w:hint="eastAsia"/>
                        <w:szCs w:val="21"/>
                      </w:rPr>
                      <w:t>及数量</w:t>
                    </w:r>
                  </w:p>
                </w:tc>
              </w:sdtContent>
            </w:sdt>
          </w:tr>
          <w:tr w:rsidR="00901FAB" w:rsidTr="006B3C41">
            <w:trPr>
              <w:cantSplit/>
              <w:jc w:val="center"/>
            </w:trPr>
            <w:tc>
              <w:tcPr>
                <w:tcW w:w="4856" w:type="dxa"/>
                <w:gridSpan w:val="2"/>
                <w:vMerge/>
                <w:shd w:val="clear" w:color="auto" w:fill="auto"/>
                <w:vAlign w:val="center"/>
              </w:tcPr>
              <w:p w:rsidR="00DC331F" w:rsidRDefault="00DC331F" w:rsidP="005014DF">
                <w:pPr>
                  <w:jc w:val="center"/>
                  <w:rPr>
                    <w:color w:val="FF9900"/>
                    <w:szCs w:val="21"/>
                  </w:rPr>
                </w:pPr>
              </w:p>
            </w:tc>
            <w:tc>
              <w:tcPr>
                <w:tcW w:w="1978" w:type="dxa"/>
                <w:gridSpan w:val="2"/>
                <w:vMerge/>
                <w:shd w:val="clear" w:color="auto" w:fill="auto"/>
                <w:vAlign w:val="center"/>
              </w:tcPr>
              <w:p w:rsidR="00DC331F" w:rsidRDefault="00DC331F" w:rsidP="005014DF">
                <w:pPr>
                  <w:jc w:val="center"/>
                  <w:rPr>
                    <w:color w:val="FF9900"/>
                    <w:szCs w:val="21"/>
                  </w:rPr>
                </w:pPr>
              </w:p>
            </w:tc>
            <w:sdt>
              <w:sdtPr>
                <w:tag w:val="_PLD_e67773187f2f4233a6666596947248e8"/>
                <w:id w:val="7724795"/>
                <w:lock w:val="sdtLocked"/>
              </w:sdtPr>
              <w:sdtContent>
                <w:tc>
                  <w:tcPr>
                    <w:tcW w:w="1620" w:type="dxa"/>
                    <w:gridSpan w:val="4"/>
                    <w:shd w:val="clear" w:color="auto" w:fill="auto"/>
                    <w:vAlign w:val="center"/>
                  </w:tcPr>
                  <w:p w:rsidR="00DC331F" w:rsidRDefault="00DC331F" w:rsidP="005014DF">
                    <w:pPr>
                      <w:jc w:val="center"/>
                      <w:rPr>
                        <w:color w:val="008000"/>
                        <w:szCs w:val="21"/>
                      </w:rPr>
                    </w:pPr>
                    <w:r>
                      <w:rPr>
                        <w:rFonts w:hint="eastAsia"/>
                        <w:szCs w:val="21"/>
                      </w:rPr>
                      <w:t>种类</w:t>
                    </w:r>
                  </w:p>
                </w:tc>
              </w:sdtContent>
            </w:sdt>
            <w:sdt>
              <w:sdtPr>
                <w:tag w:val="_PLD_2f2fd5088a82440f9265e00f4e298be0"/>
                <w:id w:val="7724796"/>
                <w:lock w:val="sdtLocked"/>
              </w:sdtPr>
              <w:sdtContent>
                <w:tc>
                  <w:tcPr>
                    <w:tcW w:w="1696" w:type="dxa"/>
                    <w:gridSpan w:val="2"/>
                    <w:shd w:val="clear" w:color="auto" w:fill="auto"/>
                    <w:vAlign w:val="center"/>
                  </w:tcPr>
                  <w:p w:rsidR="00DC331F" w:rsidRDefault="00DC331F" w:rsidP="005014DF">
                    <w:pPr>
                      <w:jc w:val="center"/>
                      <w:rPr>
                        <w:color w:val="008000"/>
                        <w:szCs w:val="21"/>
                      </w:rPr>
                    </w:pPr>
                    <w:r>
                      <w:rPr>
                        <w:rFonts w:hint="eastAsia"/>
                        <w:szCs w:val="21"/>
                      </w:rPr>
                      <w:t>数量</w:t>
                    </w:r>
                  </w:p>
                </w:tc>
              </w:sdtContent>
            </w:sdt>
          </w:tr>
          <w:sdt>
            <w:sdtPr>
              <w:rPr>
                <w:szCs w:val="21"/>
              </w:rPr>
              <w:alias w:val="前十名无限售条件股东持股情况"/>
              <w:tag w:val="_TUP_9ca3e52e0a074358925f5b9f3eb76189"/>
              <w:id w:val="7724798"/>
              <w:lock w:val="sdtLocked"/>
            </w:sdtPr>
            <w:sdtContent>
              <w:tr w:rsidR="00901FAB" w:rsidTr="006B3C41">
                <w:trPr>
                  <w:cantSplit/>
                  <w:jc w:val="center"/>
                </w:trPr>
                <w:tc>
                  <w:tcPr>
                    <w:tcW w:w="4856" w:type="dxa"/>
                    <w:gridSpan w:val="2"/>
                    <w:shd w:val="clear" w:color="auto" w:fill="auto"/>
                    <w:vAlign w:val="center"/>
                  </w:tcPr>
                  <w:p w:rsidR="00DC331F" w:rsidRDefault="00DC331F" w:rsidP="005014DF">
                    <w:pPr>
                      <w:rPr>
                        <w:szCs w:val="21"/>
                      </w:rPr>
                    </w:pPr>
                    <w:r w:rsidRPr="00DC331F">
                      <w:rPr>
                        <w:rFonts w:hint="eastAsia"/>
                        <w:szCs w:val="21"/>
                      </w:rPr>
                      <w:t>中国铁路太原局集团有限公司</w:t>
                    </w:r>
                  </w:p>
                </w:tc>
                <w:tc>
                  <w:tcPr>
                    <w:tcW w:w="1978" w:type="dxa"/>
                    <w:gridSpan w:val="2"/>
                    <w:shd w:val="clear" w:color="auto" w:fill="auto"/>
                    <w:vAlign w:val="center"/>
                  </w:tcPr>
                  <w:p w:rsidR="00DC331F" w:rsidRDefault="00DC331F" w:rsidP="005014DF">
                    <w:pPr>
                      <w:jc w:val="right"/>
                      <w:rPr>
                        <w:szCs w:val="21"/>
                      </w:rPr>
                    </w:pPr>
                    <w:r>
                      <w:rPr>
                        <w:szCs w:val="21"/>
                      </w:rPr>
                      <w:t>9,320,761,520</w:t>
                    </w:r>
                  </w:p>
                </w:tc>
                <w:sdt>
                  <w:sdtPr>
                    <w:rPr>
                      <w:bCs/>
                      <w:szCs w:val="21"/>
                    </w:rPr>
                    <w:alias w:val="前十名无限售条件股东期末持有流通股的种类"/>
                    <w:tag w:val="_GBC_b35ef493948141e0b9d0c3fd14aad59a"/>
                    <w:id w:val="7724797"/>
                    <w:lock w:val="sdtLocked"/>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Content>
                    <w:tc>
                      <w:tcPr>
                        <w:tcW w:w="1620" w:type="dxa"/>
                        <w:gridSpan w:val="4"/>
                        <w:shd w:val="clear" w:color="auto" w:fill="auto"/>
                        <w:vAlign w:val="center"/>
                      </w:tcPr>
                      <w:p w:rsidR="00DC331F" w:rsidRDefault="00DC331F" w:rsidP="005014DF">
                        <w:pPr>
                          <w:jc w:val="center"/>
                          <w:rPr>
                            <w:bCs/>
                            <w:szCs w:val="21"/>
                          </w:rPr>
                        </w:pPr>
                        <w:r>
                          <w:rPr>
                            <w:bCs/>
                            <w:szCs w:val="21"/>
                          </w:rPr>
                          <w:t>人民币普通股</w:t>
                        </w:r>
                      </w:p>
                    </w:tc>
                  </w:sdtContent>
                </w:sdt>
                <w:tc>
                  <w:tcPr>
                    <w:tcW w:w="1696" w:type="dxa"/>
                    <w:gridSpan w:val="2"/>
                    <w:shd w:val="clear" w:color="auto" w:fill="auto"/>
                    <w:vAlign w:val="center"/>
                  </w:tcPr>
                  <w:p w:rsidR="00DC331F" w:rsidRDefault="00DC331F" w:rsidP="005014DF">
                    <w:pPr>
                      <w:jc w:val="right"/>
                      <w:rPr>
                        <w:szCs w:val="21"/>
                      </w:rPr>
                    </w:pPr>
                    <w:r>
                      <w:rPr>
                        <w:szCs w:val="21"/>
                      </w:rPr>
                      <w:t>9,320,761,520</w:t>
                    </w:r>
                  </w:p>
                </w:tc>
              </w:tr>
            </w:sdtContent>
          </w:sdt>
          <w:sdt>
            <w:sdtPr>
              <w:rPr>
                <w:szCs w:val="21"/>
              </w:rPr>
              <w:alias w:val="前十名无限售条件股东持股情况"/>
              <w:tag w:val="_TUP_9ca3e52e0a074358925f5b9f3eb76189"/>
              <w:id w:val="7724800"/>
              <w:lock w:val="sdtLocked"/>
            </w:sdtPr>
            <w:sdtContent>
              <w:tr w:rsidR="00901FAB" w:rsidTr="006B3C41">
                <w:trPr>
                  <w:cantSplit/>
                  <w:jc w:val="center"/>
                </w:trPr>
                <w:tc>
                  <w:tcPr>
                    <w:tcW w:w="4856" w:type="dxa"/>
                    <w:gridSpan w:val="2"/>
                    <w:shd w:val="clear" w:color="auto" w:fill="auto"/>
                    <w:vAlign w:val="center"/>
                  </w:tcPr>
                  <w:p w:rsidR="00DC331F" w:rsidRDefault="00DC331F" w:rsidP="005014DF">
                    <w:pPr>
                      <w:rPr>
                        <w:szCs w:val="21"/>
                      </w:rPr>
                    </w:pPr>
                    <w:r w:rsidRPr="00DC331F">
                      <w:rPr>
                        <w:rFonts w:hint="eastAsia"/>
                        <w:szCs w:val="21"/>
                      </w:rPr>
                      <w:t>香港中央结算有限公司</w:t>
                    </w:r>
                  </w:p>
                </w:tc>
                <w:tc>
                  <w:tcPr>
                    <w:tcW w:w="1978" w:type="dxa"/>
                    <w:gridSpan w:val="2"/>
                    <w:shd w:val="clear" w:color="auto" w:fill="auto"/>
                    <w:vAlign w:val="center"/>
                  </w:tcPr>
                  <w:p w:rsidR="00DC331F" w:rsidRDefault="00DC331F" w:rsidP="005014DF">
                    <w:pPr>
                      <w:jc w:val="right"/>
                      <w:rPr>
                        <w:szCs w:val="21"/>
                      </w:rPr>
                    </w:pPr>
                    <w:r>
                      <w:rPr>
                        <w:szCs w:val="21"/>
                      </w:rPr>
                      <w:t>807,686,850</w:t>
                    </w:r>
                  </w:p>
                </w:tc>
                <w:sdt>
                  <w:sdtPr>
                    <w:rPr>
                      <w:bCs/>
                      <w:szCs w:val="21"/>
                    </w:rPr>
                    <w:alias w:val="前十名无限售条件股东期末持有流通股的种类"/>
                    <w:tag w:val="_GBC_b35ef493948141e0b9d0c3fd14aad59a"/>
                    <w:id w:val="7724799"/>
                    <w:lock w:val="sdtLocked"/>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Content>
                    <w:tc>
                      <w:tcPr>
                        <w:tcW w:w="1620" w:type="dxa"/>
                        <w:gridSpan w:val="4"/>
                        <w:shd w:val="clear" w:color="auto" w:fill="auto"/>
                        <w:vAlign w:val="center"/>
                      </w:tcPr>
                      <w:p w:rsidR="00DC331F" w:rsidRDefault="00DC331F" w:rsidP="005014DF">
                        <w:pPr>
                          <w:jc w:val="center"/>
                          <w:rPr>
                            <w:bCs/>
                            <w:szCs w:val="21"/>
                          </w:rPr>
                        </w:pPr>
                        <w:r>
                          <w:rPr>
                            <w:bCs/>
                            <w:szCs w:val="21"/>
                          </w:rPr>
                          <w:t>人民币普通股</w:t>
                        </w:r>
                      </w:p>
                    </w:tc>
                  </w:sdtContent>
                </w:sdt>
                <w:tc>
                  <w:tcPr>
                    <w:tcW w:w="1696" w:type="dxa"/>
                    <w:gridSpan w:val="2"/>
                    <w:shd w:val="clear" w:color="auto" w:fill="auto"/>
                    <w:vAlign w:val="center"/>
                  </w:tcPr>
                  <w:p w:rsidR="00DC331F" w:rsidRDefault="00DC331F" w:rsidP="005014DF">
                    <w:pPr>
                      <w:jc w:val="right"/>
                      <w:rPr>
                        <w:szCs w:val="21"/>
                      </w:rPr>
                    </w:pPr>
                    <w:r>
                      <w:rPr>
                        <w:szCs w:val="21"/>
                      </w:rPr>
                      <w:t>807,686,850</w:t>
                    </w:r>
                  </w:p>
                </w:tc>
              </w:tr>
            </w:sdtContent>
          </w:sdt>
          <w:sdt>
            <w:sdtPr>
              <w:rPr>
                <w:szCs w:val="21"/>
              </w:rPr>
              <w:alias w:val="前十名无限售条件股东持股情况"/>
              <w:tag w:val="_TUP_9ca3e52e0a074358925f5b9f3eb76189"/>
              <w:id w:val="7724802"/>
              <w:lock w:val="sdtLocked"/>
            </w:sdtPr>
            <w:sdtContent>
              <w:tr w:rsidR="00901FAB" w:rsidTr="006B3C41">
                <w:trPr>
                  <w:cantSplit/>
                  <w:jc w:val="center"/>
                </w:trPr>
                <w:tc>
                  <w:tcPr>
                    <w:tcW w:w="4856" w:type="dxa"/>
                    <w:gridSpan w:val="2"/>
                    <w:shd w:val="clear" w:color="auto" w:fill="auto"/>
                    <w:vAlign w:val="center"/>
                  </w:tcPr>
                  <w:p w:rsidR="00DC331F" w:rsidRDefault="00DC331F" w:rsidP="005014DF">
                    <w:pPr>
                      <w:rPr>
                        <w:szCs w:val="21"/>
                      </w:rPr>
                    </w:pPr>
                    <w:r w:rsidRPr="00DC331F">
                      <w:rPr>
                        <w:rFonts w:hint="eastAsia"/>
                        <w:szCs w:val="21"/>
                      </w:rPr>
                      <w:t>中央汇金资产管理有限责任公司</w:t>
                    </w:r>
                  </w:p>
                </w:tc>
                <w:tc>
                  <w:tcPr>
                    <w:tcW w:w="1978" w:type="dxa"/>
                    <w:gridSpan w:val="2"/>
                    <w:shd w:val="clear" w:color="auto" w:fill="auto"/>
                    <w:vAlign w:val="center"/>
                  </w:tcPr>
                  <w:p w:rsidR="00DC331F" w:rsidRDefault="00DC331F" w:rsidP="005014DF">
                    <w:pPr>
                      <w:jc w:val="right"/>
                      <w:rPr>
                        <w:szCs w:val="21"/>
                      </w:rPr>
                    </w:pPr>
                    <w:r>
                      <w:rPr>
                        <w:szCs w:val="21"/>
                      </w:rPr>
                      <w:t>199,894,100</w:t>
                    </w:r>
                  </w:p>
                </w:tc>
                <w:sdt>
                  <w:sdtPr>
                    <w:rPr>
                      <w:bCs/>
                      <w:szCs w:val="21"/>
                    </w:rPr>
                    <w:alias w:val="前十名无限售条件股东期末持有流通股的种类"/>
                    <w:tag w:val="_GBC_b35ef493948141e0b9d0c3fd14aad59a"/>
                    <w:id w:val="7724801"/>
                    <w:lock w:val="sdtLocked"/>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Content>
                    <w:tc>
                      <w:tcPr>
                        <w:tcW w:w="1620" w:type="dxa"/>
                        <w:gridSpan w:val="4"/>
                        <w:shd w:val="clear" w:color="auto" w:fill="auto"/>
                        <w:vAlign w:val="center"/>
                      </w:tcPr>
                      <w:p w:rsidR="00DC331F" w:rsidRDefault="00DC331F" w:rsidP="005014DF">
                        <w:pPr>
                          <w:jc w:val="center"/>
                          <w:rPr>
                            <w:bCs/>
                            <w:szCs w:val="21"/>
                          </w:rPr>
                        </w:pPr>
                        <w:r>
                          <w:rPr>
                            <w:bCs/>
                            <w:szCs w:val="21"/>
                          </w:rPr>
                          <w:t>人民币普通股</w:t>
                        </w:r>
                      </w:p>
                    </w:tc>
                  </w:sdtContent>
                </w:sdt>
                <w:tc>
                  <w:tcPr>
                    <w:tcW w:w="1696" w:type="dxa"/>
                    <w:gridSpan w:val="2"/>
                    <w:shd w:val="clear" w:color="auto" w:fill="auto"/>
                    <w:vAlign w:val="center"/>
                  </w:tcPr>
                  <w:p w:rsidR="00DC331F" w:rsidRDefault="00DC331F" w:rsidP="005014DF">
                    <w:pPr>
                      <w:jc w:val="right"/>
                      <w:rPr>
                        <w:szCs w:val="21"/>
                      </w:rPr>
                    </w:pPr>
                    <w:r>
                      <w:rPr>
                        <w:szCs w:val="21"/>
                      </w:rPr>
                      <w:t>199,894,100</w:t>
                    </w:r>
                  </w:p>
                </w:tc>
              </w:tr>
            </w:sdtContent>
          </w:sdt>
          <w:sdt>
            <w:sdtPr>
              <w:rPr>
                <w:szCs w:val="21"/>
              </w:rPr>
              <w:alias w:val="前十名无限售条件股东持股情况"/>
              <w:tag w:val="_TUP_9ca3e52e0a074358925f5b9f3eb76189"/>
              <w:id w:val="7724804"/>
              <w:lock w:val="sdtLocked"/>
            </w:sdtPr>
            <w:sdtContent>
              <w:tr w:rsidR="00901FAB" w:rsidTr="006B3C41">
                <w:trPr>
                  <w:cantSplit/>
                  <w:jc w:val="center"/>
                </w:trPr>
                <w:tc>
                  <w:tcPr>
                    <w:tcW w:w="4856" w:type="dxa"/>
                    <w:gridSpan w:val="2"/>
                    <w:shd w:val="clear" w:color="auto" w:fill="auto"/>
                    <w:vAlign w:val="center"/>
                  </w:tcPr>
                  <w:p w:rsidR="00DC331F" w:rsidRDefault="00DC331F" w:rsidP="005014DF">
                    <w:pPr>
                      <w:rPr>
                        <w:szCs w:val="21"/>
                      </w:rPr>
                    </w:pPr>
                    <w:r w:rsidRPr="00DC331F">
                      <w:rPr>
                        <w:rFonts w:hint="eastAsia"/>
                        <w:szCs w:val="21"/>
                      </w:rPr>
                      <w:t>中国证券金融股份有限公司</w:t>
                    </w:r>
                  </w:p>
                </w:tc>
                <w:tc>
                  <w:tcPr>
                    <w:tcW w:w="1978" w:type="dxa"/>
                    <w:gridSpan w:val="2"/>
                    <w:shd w:val="clear" w:color="auto" w:fill="auto"/>
                    <w:vAlign w:val="center"/>
                  </w:tcPr>
                  <w:p w:rsidR="00DC331F" w:rsidRDefault="00DC331F" w:rsidP="005014DF">
                    <w:pPr>
                      <w:jc w:val="right"/>
                      <w:rPr>
                        <w:szCs w:val="21"/>
                      </w:rPr>
                    </w:pPr>
                    <w:r>
                      <w:rPr>
                        <w:szCs w:val="21"/>
                      </w:rPr>
                      <w:t>199,494,812</w:t>
                    </w:r>
                  </w:p>
                </w:tc>
                <w:sdt>
                  <w:sdtPr>
                    <w:rPr>
                      <w:bCs/>
                      <w:szCs w:val="21"/>
                    </w:rPr>
                    <w:alias w:val="前十名无限售条件股东期末持有流通股的种类"/>
                    <w:tag w:val="_GBC_b35ef493948141e0b9d0c3fd14aad59a"/>
                    <w:id w:val="7724803"/>
                    <w:lock w:val="sdtLocked"/>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Content>
                    <w:tc>
                      <w:tcPr>
                        <w:tcW w:w="1620" w:type="dxa"/>
                        <w:gridSpan w:val="4"/>
                        <w:shd w:val="clear" w:color="auto" w:fill="auto"/>
                        <w:vAlign w:val="center"/>
                      </w:tcPr>
                      <w:p w:rsidR="00DC331F" w:rsidRDefault="00DC331F" w:rsidP="005014DF">
                        <w:pPr>
                          <w:jc w:val="center"/>
                          <w:rPr>
                            <w:bCs/>
                            <w:szCs w:val="21"/>
                          </w:rPr>
                        </w:pPr>
                        <w:r>
                          <w:rPr>
                            <w:bCs/>
                            <w:szCs w:val="21"/>
                          </w:rPr>
                          <w:t>人民币普通股</w:t>
                        </w:r>
                      </w:p>
                    </w:tc>
                  </w:sdtContent>
                </w:sdt>
                <w:tc>
                  <w:tcPr>
                    <w:tcW w:w="1696" w:type="dxa"/>
                    <w:gridSpan w:val="2"/>
                    <w:shd w:val="clear" w:color="auto" w:fill="auto"/>
                    <w:vAlign w:val="center"/>
                  </w:tcPr>
                  <w:p w:rsidR="00DC331F" w:rsidRDefault="00DC331F" w:rsidP="005014DF">
                    <w:pPr>
                      <w:jc w:val="right"/>
                      <w:rPr>
                        <w:szCs w:val="21"/>
                      </w:rPr>
                    </w:pPr>
                    <w:r>
                      <w:rPr>
                        <w:szCs w:val="21"/>
                      </w:rPr>
                      <w:t>199,494,812</w:t>
                    </w:r>
                  </w:p>
                </w:tc>
              </w:tr>
            </w:sdtContent>
          </w:sdt>
          <w:sdt>
            <w:sdtPr>
              <w:rPr>
                <w:szCs w:val="21"/>
              </w:rPr>
              <w:alias w:val="前十名无限售条件股东持股情况"/>
              <w:tag w:val="_TUP_9ca3e52e0a074358925f5b9f3eb76189"/>
              <w:id w:val="7724806"/>
              <w:lock w:val="sdtLocked"/>
            </w:sdtPr>
            <w:sdtContent>
              <w:tr w:rsidR="00901FAB" w:rsidTr="006B3C41">
                <w:trPr>
                  <w:cantSplit/>
                  <w:jc w:val="center"/>
                </w:trPr>
                <w:tc>
                  <w:tcPr>
                    <w:tcW w:w="4856" w:type="dxa"/>
                    <w:gridSpan w:val="2"/>
                    <w:shd w:val="clear" w:color="auto" w:fill="auto"/>
                    <w:vAlign w:val="center"/>
                  </w:tcPr>
                  <w:p w:rsidR="00DC331F" w:rsidRDefault="00DC331F" w:rsidP="005014DF">
                    <w:pPr>
                      <w:rPr>
                        <w:szCs w:val="21"/>
                      </w:rPr>
                    </w:pPr>
                    <w:r w:rsidRPr="00DC331F">
                      <w:rPr>
                        <w:rFonts w:hint="eastAsia"/>
                        <w:szCs w:val="21"/>
                      </w:rPr>
                      <w:t>河北港口集团有限公司</w:t>
                    </w:r>
                  </w:p>
                </w:tc>
                <w:tc>
                  <w:tcPr>
                    <w:tcW w:w="1978" w:type="dxa"/>
                    <w:gridSpan w:val="2"/>
                    <w:shd w:val="clear" w:color="auto" w:fill="auto"/>
                    <w:vAlign w:val="center"/>
                  </w:tcPr>
                  <w:p w:rsidR="00DC331F" w:rsidRDefault="00DC331F" w:rsidP="005014DF">
                    <w:pPr>
                      <w:jc w:val="right"/>
                      <w:rPr>
                        <w:szCs w:val="21"/>
                      </w:rPr>
                    </w:pPr>
                    <w:r>
                      <w:rPr>
                        <w:szCs w:val="21"/>
                      </w:rPr>
                      <w:t>158,702,841</w:t>
                    </w:r>
                  </w:p>
                </w:tc>
                <w:sdt>
                  <w:sdtPr>
                    <w:rPr>
                      <w:bCs/>
                      <w:szCs w:val="21"/>
                    </w:rPr>
                    <w:alias w:val="前十名无限售条件股东期末持有流通股的种类"/>
                    <w:tag w:val="_GBC_b35ef493948141e0b9d0c3fd14aad59a"/>
                    <w:id w:val="7724805"/>
                    <w:lock w:val="sdtLocked"/>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Content>
                    <w:tc>
                      <w:tcPr>
                        <w:tcW w:w="1620" w:type="dxa"/>
                        <w:gridSpan w:val="4"/>
                        <w:shd w:val="clear" w:color="auto" w:fill="auto"/>
                        <w:vAlign w:val="center"/>
                      </w:tcPr>
                      <w:p w:rsidR="00DC331F" w:rsidRDefault="00DC331F" w:rsidP="005014DF">
                        <w:pPr>
                          <w:jc w:val="center"/>
                          <w:rPr>
                            <w:bCs/>
                            <w:szCs w:val="21"/>
                          </w:rPr>
                        </w:pPr>
                        <w:r>
                          <w:rPr>
                            <w:bCs/>
                            <w:szCs w:val="21"/>
                          </w:rPr>
                          <w:t>人民币普通股</w:t>
                        </w:r>
                      </w:p>
                    </w:tc>
                  </w:sdtContent>
                </w:sdt>
                <w:tc>
                  <w:tcPr>
                    <w:tcW w:w="1696" w:type="dxa"/>
                    <w:gridSpan w:val="2"/>
                    <w:shd w:val="clear" w:color="auto" w:fill="auto"/>
                    <w:vAlign w:val="center"/>
                  </w:tcPr>
                  <w:p w:rsidR="00DC331F" w:rsidRDefault="00DC331F" w:rsidP="005014DF">
                    <w:pPr>
                      <w:jc w:val="right"/>
                      <w:rPr>
                        <w:szCs w:val="21"/>
                      </w:rPr>
                    </w:pPr>
                    <w:r>
                      <w:rPr>
                        <w:szCs w:val="21"/>
                      </w:rPr>
                      <w:t>158,702,841</w:t>
                    </w:r>
                  </w:p>
                </w:tc>
              </w:tr>
            </w:sdtContent>
          </w:sdt>
          <w:sdt>
            <w:sdtPr>
              <w:rPr>
                <w:szCs w:val="21"/>
              </w:rPr>
              <w:alias w:val="前十名无限售条件股东持股情况"/>
              <w:tag w:val="_TUP_9ca3e52e0a074358925f5b9f3eb76189"/>
              <w:id w:val="7724808"/>
              <w:lock w:val="sdtLocked"/>
            </w:sdtPr>
            <w:sdtContent>
              <w:tr w:rsidR="00901FAB" w:rsidTr="006B3C41">
                <w:trPr>
                  <w:cantSplit/>
                  <w:jc w:val="center"/>
                </w:trPr>
                <w:tc>
                  <w:tcPr>
                    <w:tcW w:w="4856" w:type="dxa"/>
                    <w:gridSpan w:val="2"/>
                    <w:shd w:val="clear" w:color="auto" w:fill="auto"/>
                    <w:vAlign w:val="center"/>
                  </w:tcPr>
                  <w:p w:rsidR="00DC331F" w:rsidRDefault="00DC331F" w:rsidP="005014DF">
                    <w:pPr>
                      <w:rPr>
                        <w:szCs w:val="21"/>
                      </w:rPr>
                    </w:pPr>
                    <w:r w:rsidRPr="00DC331F">
                      <w:rPr>
                        <w:rFonts w:hint="eastAsia"/>
                        <w:szCs w:val="21"/>
                      </w:rPr>
                      <w:t>博时基金－农业银行－博时中证金融资产管理计划</w:t>
                    </w:r>
                  </w:p>
                </w:tc>
                <w:tc>
                  <w:tcPr>
                    <w:tcW w:w="1978" w:type="dxa"/>
                    <w:gridSpan w:val="2"/>
                    <w:shd w:val="clear" w:color="auto" w:fill="auto"/>
                    <w:vAlign w:val="center"/>
                  </w:tcPr>
                  <w:p w:rsidR="00DC331F" w:rsidRDefault="00DC331F" w:rsidP="005014DF">
                    <w:pPr>
                      <w:jc w:val="right"/>
                      <w:rPr>
                        <w:szCs w:val="21"/>
                      </w:rPr>
                    </w:pPr>
                    <w:r>
                      <w:rPr>
                        <w:szCs w:val="21"/>
                      </w:rPr>
                      <w:t>119,024,765</w:t>
                    </w:r>
                  </w:p>
                </w:tc>
                <w:sdt>
                  <w:sdtPr>
                    <w:rPr>
                      <w:bCs/>
                      <w:szCs w:val="21"/>
                    </w:rPr>
                    <w:alias w:val="前十名无限售条件股东期末持有流通股的种类"/>
                    <w:tag w:val="_GBC_b35ef493948141e0b9d0c3fd14aad59a"/>
                    <w:id w:val="7724807"/>
                    <w:lock w:val="sdtLocked"/>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Content>
                    <w:tc>
                      <w:tcPr>
                        <w:tcW w:w="1620" w:type="dxa"/>
                        <w:gridSpan w:val="4"/>
                        <w:shd w:val="clear" w:color="auto" w:fill="auto"/>
                        <w:vAlign w:val="center"/>
                      </w:tcPr>
                      <w:p w:rsidR="00DC331F" w:rsidRDefault="00DC331F" w:rsidP="005014DF">
                        <w:pPr>
                          <w:jc w:val="center"/>
                          <w:rPr>
                            <w:bCs/>
                            <w:szCs w:val="21"/>
                          </w:rPr>
                        </w:pPr>
                        <w:r>
                          <w:rPr>
                            <w:bCs/>
                            <w:szCs w:val="21"/>
                          </w:rPr>
                          <w:t>人民币普通股</w:t>
                        </w:r>
                      </w:p>
                    </w:tc>
                  </w:sdtContent>
                </w:sdt>
                <w:tc>
                  <w:tcPr>
                    <w:tcW w:w="1696" w:type="dxa"/>
                    <w:gridSpan w:val="2"/>
                    <w:shd w:val="clear" w:color="auto" w:fill="auto"/>
                    <w:vAlign w:val="center"/>
                  </w:tcPr>
                  <w:p w:rsidR="00DC331F" w:rsidRDefault="00DC331F" w:rsidP="005014DF">
                    <w:pPr>
                      <w:jc w:val="right"/>
                      <w:rPr>
                        <w:szCs w:val="21"/>
                      </w:rPr>
                    </w:pPr>
                    <w:r>
                      <w:rPr>
                        <w:szCs w:val="21"/>
                      </w:rPr>
                      <w:t>119,024,765</w:t>
                    </w:r>
                  </w:p>
                </w:tc>
              </w:tr>
            </w:sdtContent>
          </w:sdt>
          <w:sdt>
            <w:sdtPr>
              <w:rPr>
                <w:szCs w:val="21"/>
              </w:rPr>
              <w:alias w:val="前十名无限售条件股东持股情况"/>
              <w:tag w:val="_TUP_9ca3e52e0a074358925f5b9f3eb76189"/>
              <w:id w:val="7724810"/>
              <w:lock w:val="sdtLocked"/>
            </w:sdtPr>
            <w:sdtContent>
              <w:tr w:rsidR="00901FAB" w:rsidTr="006B3C41">
                <w:trPr>
                  <w:cantSplit/>
                  <w:jc w:val="center"/>
                </w:trPr>
                <w:tc>
                  <w:tcPr>
                    <w:tcW w:w="4856" w:type="dxa"/>
                    <w:gridSpan w:val="2"/>
                    <w:shd w:val="clear" w:color="auto" w:fill="auto"/>
                    <w:vAlign w:val="center"/>
                  </w:tcPr>
                  <w:p w:rsidR="00DC331F" w:rsidRDefault="00DC331F" w:rsidP="005014DF">
                    <w:pPr>
                      <w:rPr>
                        <w:szCs w:val="21"/>
                      </w:rPr>
                    </w:pPr>
                    <w:r w:rsidRPr="00DC331F">
                      <w:rPr>
                        <w:rFonts w:hint="eastAsia"/>
                        <w:szCs w:val="21"/>
                      </w:rPr>
                      <w:t>易方达基金－农业银行－易方达中证金融资产管理计划</w:t>
                    </w:r>
                  </w:p>
                </w:tc>
                <w:tc>
                  <w:tcPr>
                    <w:tcW w:w="1978" w:type="dxa"/>
                    <w:gridSpan w:val="2"/>
                    <w:shd w:val="clear" w:color="auto" w:fill="auto"/>
                    <w:vAlign w:val="center"/>
                  </w:tcPr>
                  <w:p w:rsidR="00DC331F" w:rsidRDefault="00DC331F" w:rsidP="005014DF">
                    <w:pPr>
                      <w:jc w:val="right"/>
                      <w:rPr>
                        <w:szCs w:val="21"/>
                      </w:rPr>
                    </w:pPr>
                    <w:r>
                      <w:rPr>
                        <w:szCs w:val="21"/>
                      </w:rPr>
                      <w:t>119,024,765</w:t>
                    </w:r>
                  </w:p>
                </w:tc>
                <w:sdt>
                  <w:sdtPr>
                    <w:rPr>
                      <w:bCs/>
                      <w:szCs w:val="21"/>
                    </w:rPr>
                    <w:alias w:val="前十名无限售条件股东期末持有流通股的种类"/>
                    <w:tag w:val="_GBC_b35ef493948141e0b9d0c3fd14aad59a"/>
                    <w:id w:val="7724809"/>
                    <w:lock w:val="sdtLocked"/>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Content>
                    <w:tc>
                      <w:tcPr>
                        <w:tcW w:w="1620" w:type="dxa"/>
                        <w:gridSpan w:val="4"/>
                        <w:shd w:val="clear" w:color="auto" w:fill="auto"/>
                        <w:vAlign w:val="center"/>
                      </w:tcPr>
                      <w:p w:rsidR="00DC331F" w:rsidRDefault="00DC331F" w:rsidP="005014DF">
                        <w:pPr>
                          <w:jc w:val="center"/>
                          <w:rPr>
                            <w:bCs/>
                            <w:szCs w:val="21"/>
                          </w:rPr>
                        </w:pPr>
                        <w:r>
                          <w:rPr>
                            <w:bCs/>
                            <w:szCs w:val="21"/>
                          </w:rPr>
                          <w:t>人民币普通股</w:t>
                        </w:r>
                      </w:p>
                    </w:tc>
                  </w:sdtContent>
                </w:sdt>
                <w:tc>
                  <w:tcPr>
                    <w:tcW w:w="1696" w:type="dxa"/>
                    <w:gridSpan w:val="2"/>
                    <w:shd w:val="clear" w:color="auto" w:fill="auto"/>
                    <w:vAlign w:val="center"/>
                  </w:tcPr>
                  <w:p w:rsidR="00DC331F" w:rsidRDefault="00DC331F" w:rsidP="005014DF">
                    <w:pPr>
                      <w:jc w:val="right"/>
                      <w:rPr>
                        <w:szCs w:val="21"/>
                      </w:rPr>
                    </w:pPr>
                    <w:r>
                      <w:rPr>
                        <w:szCs w:val="21"/>
                      </w:rPr>
                      <w:t>119,024,765</w:t>
                    </w:r>
                  </w:p>
                </w:tc>
              </w:tr>
            </w:sdtContent>
          </w:sdt>
          <w:sdt>
            <w:sdtPr>
              <w:rPr>
                <w:szCs w:val="21"/>
              </w:rPr>
              <w:alias w:val="前十名无限售条件股东持股情况"/>
              <w:tag w:val="_TUP_9ca3e52e0a074358925f5b9f3eb76189"/>
              <w:id w:val="7724812"/>
              <w:lock w:val="sdtLocked"/>
            </w:sdtPr>
            <w:sdtContent>
              <w:tr w:rsidR="00901FAB" w:rsidTr="006B3C41">
                <w:trPr>
                  <w:cantSplit/>
                  <w:jc w:val="center"/>
                </w:trPr>
                <w:tc>
                  <w:tcPr>
                    <w:tcW w:w="4856" w:type="dxa"/>
                    <w:gridSpan w:val="2"/>
                    <w:shd w:val="clear" w:color="auto" w:fill="auto"/>
                    <w:vAlign w:val="center"/>
                  </w:tcPr>
                  <w:p w:rsidR="00DC331F" w:rsidRDefault="00DC331F" w:rsidP="005014DF">
                    <w:pPr>
                      <w:rPr>
                        <w:szCs w:val="21"/>
                      </w:rPr>
                    </w:pPr>
                    <w:r w:rsidRPr="00DC331F">
                      <w:rPr>
                        <w:rFonts w:hint="eastAsia"/>
                        <w:szCs w:val="21"/>
                      </w:rPr>
                      <w:t>大成基金－农业银行－大成中证金融资产管理计划</w:t>
                    </w:r>
                  </w:p>
                </w:tc>
                <w:tc>
                  <w:tcPr>
                    <w:tcW w:w="1978" w:type="dxa"/>
                    <w:gridSpan w:val="2"/>
                    <w:shd w:val="clear" w:color="auto" w:fill="auto"/>
                    <w:vAlign w:val="center"/>
                  </w:tcPr>
                  <w:p w:rsidR="00DC331F" w:rsidRDefault="00DC331F" w:rsidP="005014DF">
                    <w:pPr>
                      <w:jc w:val="right"/>
                      <w:rPr>
                        <w:szCs w:val="21"/>
                      </w:rPr>
                    </w:pPr>
                    <w:r>
                      <w:rPr>
                        <w:szCs w:val="21"/>
                      </w:rPr>
                      <w:t>119,024,765</w:t>
                    </w:r>
                  </w:p>
                </w:tc>
                <w:sdt>
                  <w:sdtPr>
                    <w:rPr>
                      <w:bCs/>
                      <w:szCs w:val="21"/>
                    </w:rPr>
                    <w:alias w:val="前十名无限售条件股东期末持有流通股的种类"/>
                    <w:tag w:val="_GBC_b35ef493948141e0b9d0c3fd14aad59a"/>
                    <w:id w:val="7724811"/>
                    <w:lock w:val="sdtLocked"/>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Content>
                    <w:tc>
                      <w:tcPr>
                        <w:tcW w:w="1620" w:type="dxa"/>
                        <w:gridSpan w:val="4"/>
                        <w:shd w:val="clear" w:color="auto" w:fill="auto"/>
                        <w:vAlign w:val="center"/>
                      </w:tcPr>
                      <w:p w:rsidR="00DC331F" w:rsidRDefault="00DC331F" w:rsidP="005014DF">
                        <w:pPr>
                          <w:jc w:val="center"/>
                          <w:rPr>
                            <w:bCs/>
                            <w:szCs w:val="21"/>
                          </w:rPr>
                        </w:pPr>
                        <w:r>
                          <w:rPr>
                            <w:bCs/>
                            <w:szCs w:val="21"/>
                          </w:rPr>
                          <w:t>人民币普通股</w:t>
                        </w:r>
                      </w:p>
                    </w:tc>
                  </w:sdtContent>
                </w:sdt>
                <w:tc>
                  <w:tcPr>
                    <w:tcW w:w="1696" w:type="dxa"/>
                    <w:gridSpan w:val="2"/>
                    <w:shd w:val="clear" w:color="auto" w:fill="auto"/>
                    <w:vAlign w:val="center"/>
                  </w:tcPr>
                  <w:p w:rsidR="00DC331F" w:rsidRDefault="00DC331F" w:rsidP="005014DF">
                    <w:pPr>
                      <w:jc w:val="right"/>
                      <w:rPr>
                        <w:szCs w:val="21"/>
                      </w:rPr>
                    </w:pPr>
                    <w:r>
                      <w:rPr>
                        <w:szCs w:val="21"/>
                      </w:rPr>
                      <w:t>119,024,765</w:t>
                    </w:r>
                  </w:p>
                </w:tc>
              </w:tr>
            </w:sdtContent>
          </w:sdt>
          <w:sdt>
            <w:sdtPr>
              <w:rPr>
                <w:szCs w:val="21"/>
              </w:rPr>
              <w:alias w:val="前十名无限售条件股东持股情况"/>
              <w:tag w:val="_TUP_9ca3e52e0a074358925f5b9f3eb76189"/>
              <w:id w:val="7724814"/>
              <w:lock w:val="sdtLocked"/>
            </w:sdtPr>
            <w:sdtContent>
              <w:tr w:rsidR="00901FAB" w:rsidTr="006B3C41">
                <w:trPr>
                  <w:cantSplit/>
                  <w:jc w:val="center"/>
                </w:trPr>
                <w:tc>
                  <w:tcPr>
                    <w:tcW w:w="4856" w:type="dxa"/>
                    <w:gridSpan w:val="2"/>
                    <w:shd w:val="clear" w:color="auto" w:fill="auto"/>
                    <w:vAlign w:val="center"/>
                  </w:tcPr>
                  <w:p w:rsidR="00DC331F" w:rsidRDefault="00DC331F" w:rsidP="005014DF">
                    <w:pPr>
                      <w:rPr>
                        <w:szCs w:val="21"/>
                      </w:rPr>
                    </w:pPr>
                    <w:r w:rsidRPr="00DC331F">
                      <w:rPr>
                        <w:rFonts w:hint="eastAsia"/>
                        <w:szCs w:val="21"/>
                      </w:rPr>
                      <w:t>嘉实基金－农业银行－嘉实中证金融资产管理计划</w:t>
                    </w:r>
                  </w:p>
                </w:tc>
                <w:tc>
                  <w:tcPr>
                    <w:tcW w:w="1978" w:type="dxa"/>
                    <w:gridSpan w:val="2"/>
                    <w:shd w:val="clear" w:color="auto" w:fill="auto"/>
                    <w:vAlign w:val="center"/>
                  </w:tcPr>
                  <w:p w:rsidR="00DC331F" w:rsidRDefault="00DC331F" w:rsidP="005014DF">
                    <w:pPr>
                      <w:jc w:val="right"/>
                      <w:rPr>
                        <w:szCs w:val="21"/>
                      </w:rPr>
                    </w:pPr>
                    <w:r>
                      <w:rPr>
                        <w:szCs w:val="21"/>
                      </w:rPr>
                      <w:t>119,024,765</w:t>
                    </w:r>
                  </w:p>
                </w:tc>
                <w:sdt>
                  <w:sdtPr>
                    <w:rPr>
                      <w:bCs/>
                      <w:szCs w:val="21"/>
                    </w:rPr>
                    <w:alias w:val="前十名无限售条件股东期末持有流通股的种类"/>
                    <w:tag w:val="_GBC_b35ef493948141e0b9d0c3fd14aad59a"/>
                    <w:id w:val="7724813"/>
                    <w:lock w:val="sdtLocked"/>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Content>
                    <w:tc>
                      <w:tcPr>
                        <w:tcW w:w="1620" w:type="dxa"/>
                        <w:gridSpan w:val="4"/>
                        <w:shd w:val="clear" w:color="auto" w:fill="auto"/>
                        <w:vAlign w:val="center"/>
                      </w:tcPr>
                      <w:p w:rsidR="00DC331F" w:rsidRDefault="00DC331F" w:rsidP="005014DF">
                        <w:pPr>
                          <w:jc w:val="center"/>
                          <w:rPr>
                            <w:bCs/>
                            <w:szCs w:val="21"/>
                          </w:rPr>
                        </w:pPr>
                        <w:r>
                          <w:rPr>
                            <w:bCs/>
                            <w:szCs w:val="21"/>
                          </w:rPr>
                          <w:t>人民币普通股</w:t>
                        </w:r>
                      </w:p>
                    </w:tc>
                  </w:sdtContent>
                </w:sdt>
                <w:tc>
                  <w:tcPr>
                    <w:tcW w:w="1696" w:type="dxa"/>
                    <w:gridSpan w:val="2"/>
                    <w:shd w:val="clear" w:color="auto" w:fill="auto"/>
                    <w:vAlign w:val="center"/>
                  </w:tcPr>
                  <w:p w:rsidR="00DC331F" w:rsidRDefault="00DC331F" w:rsidP="005014DF">
                    <w:pPr>
                      <w:jc w:val="right"/>
                      <w:rPr>
                        <w:szCs w:val="21"/>
                      </w:rPr>
                    </w:pPr>
                    <w:r>
                      <w:rPr>
                        <w:szCs w:val="21"/>
                      </w:rPr>
                      <w:t>119,024,765</w:t>
                    </w:r>
                  </w:p>
                </w:tc>
              </w:tr>
            </w:sdtContent>
          </w:sdt>
          <w:sdt>
            <w:sdtPr>
              <w:rPr>
                <w:szCs w:val="21"/>
              </w:rPr>
              <w:alias w:val="前十名无限售条件股东持股情况"/>
              <w:tag w:val="_TUP_9ca3e52e0a074358925f5b9f3eb76189"/>
              <w:id w:val="7724816"/>
              <w:lock w:val="sdtLocked"/>
            </w:sdtPr>
            <w:sdtContent>
              <w:tr w:rsidR="00901FAB" w:rsidTr="006B3C41">
                <w:trPr>
                  <w:cantSplit/>
                  <w:jc w:val="center"/>
                </w:trPr>
                <w:tc>
                  <w:tcPr>
                    <w:tcW w:w="4856" w:type="dxa"/>
                    <w:gridSpan w:val="2"/>
                    <w:shd w:val="clear" w:color="auto" w:fill="auto"/>
                    <w:vAlign w:val="center"/>
                  </w:tcPr>
                  <w:p w:rsidR="00DC331F" w:rsidRDefault="00DC331F" w:rsidP="005014DF">
                    <w:pPr>
                      <w:rPr>
                        <w:szCs w:val="21"/>
                      </w:rPr>
                    </w:pPr>
                    <w:r w:rsidRPr="00DC331F">
                      <w:rPr>
                        <w:rFonts w:hint="eastAsia"/>
                        <w:szCs w:val="21"/>
                      </w:rPr>
                      <w:t>广发基金－农业银行－广发中证金融资产管理计划</w:t>
                    </w:r>
                  </w:p>
                </w:tc>
                <w:tc>
                  <w:tcPr>
                    <w:tcW w:w="1978" w:type="dxa"/>
                    <w:gridSpan w:val="2"/>
                    <w:shd w:val="clear" w:color="auto" w:fill="auto"/>
                    <w:vAlign w:val="center"/>
                  </w:tcPr>
                  <w:p w:rsidR="00DC331F" w:rsidRDefault="00DC331F" w:rsidP="005014DF">
                    <w:pPr>
                      <w:jc w:val="right"/>
                      <w:rPr>
                        <w:szCs w:val="21"/>
                      </w:rPr>
                    </w:pPr>
                    <w:r>
                      <w:rPr>
                        <w:szCs w:val="21"/>
                      </w:rPr>
                      <w:t>119,024,765</w:t>
                    </w:r>
                  </w:p>
                </w:tc>
                <w:sdt>
                  <w:sdtPr>
                    <w:rPr>
                      <w:bCs/>
                      <w:szCs w:val="21"/>
                    </w:rPr>
                    <w:alias w:val="前十名无限售条件股东期末持有流通股的种类"/>
                    <w:tag w:val="_GBC_b35ef493948141e0b9d0c3fd14aad59a"/>
                    <w:id w:val="7724815"/>
                    <w:lock w:val="sdtLocked"/>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Content>
                    <w:tc>
                      <w:tcPr>
                        <w:tcW w:w="1620" w:type="dxa"/>
                        <w:gridSpan w:val="4"/>
                        <w:shd w:val="clear" w:color="auto" w:fill="auto"/>
                        <w:vAlign w:val="center"/>
                      </w:tcPr>
                      <w:p w:rsidR="00DC331F" w:rsidRDefault="00DC331F" w:rsidP="005014DF">
                        <w:pPr>
                          <w:jc w:val="center"/>
                          <w:rPr>
                            <w:bCs/>
                            <w:szCs w:val="21"/>
                          </w:rPr>
                        </w:pPr>
                        <w:r>
                          <w:rPr>
                            <w:bCs/>
                            <w:szCs w:val="21"/>
                          </w:rPr>
                          <w:t>人民币普通股</w:t>
                        </w:r>
                      </w:p>
                    </w:tc>
                  </w:sdtContent>
                </w:sdt>
                <w:tc>
                  <w:tcPr>
                    <w:tcW w:w="1696" w:type="dxa"/>
                    <w:gridSpan w:val="2"/>
                    <w:shd w:val="clear" w:color="auto" w:fill="auto"/>
                    <w:vAlign w:val="center"/>
                  </w:tcPr>
                  <w:p w:rsidR="00DC331F" w:rsidRDefault="00DC331F" w:rsidP="005014DF">
                    <w:pPr>
                      <w:jc w:val="right"/>
                      <w:rPr>
                        <w:szCs w:val="21"/>
                      </w:rPr>
                    </w:pPr>
                    <w:r>
                      <w:rPr>
                        <w:szCs w:val="21"/>
                      </w:rPr>
                      <w:t>119,024,765</w:t>
                    </w:r>
                  </w:p>
                </w:tc>
              </w:tr>
            </w:sdtContent>
          </w:sdt>
          <w:sdt>
            <w:sdtPr>
              <w:rPr>
                <w:szCs w:val="21"/>
              </w:rPr>
              <w:alias w:val="前十名无限售条件股东持股情况"/>
              <w:tag w:val="_TUP_9ca3e52e0a074358925f5b9f3eb76189"/>
              <w:id w:val="7724818"/>
              <w:lock w:val="sdtLocked"/>
            </w:sdtPr>
            <w:sdtContent>
              <w:tr w:rsidR="00901FAB" w:rsidTr="006B3C41">
                <w:trPr>
                  <w:cantSplit/>
                  <w:jc w:val="center"/>
                </w:trPr>
                <w:tc>
                  <w:tcPr>
                    <w:tcW w:w="4856" w:type="dxa"/>
                    <w:gridSpan w:val="2"/>
                    <w:shd w:val="clear" w:color="auto" w:fill="auto"/>
                    <w:vAlign w:val="center"/>
                  </w:tcPr>
                  <w:p w:rsidR="00DC331F" w:rsidRDefault="00DC331F" w:rsidP="005014DF">
                    <w:pPr>
                      <w:rPr>
                        <w:szCs w:val="21"/>
                      </w:rPr>
                    </w:pPr>
                    <w:r w:rsidRPr="00DC331F">
                      <w:rPr>
                        <w:rFonts w:hint="eastAsia"/>
                        <w:szCs w:val="21"/>
                      </w:rPr>
                      <w:t>中欧基金－农业银行－中欧中证金融资产管理计划</w:t>
                    </w:r>
                  </w:p>
                </w:tc>
                <w:tc>
                  <w:tcPr>
                    <w:tcW w:w="1978" w:type="dxa"/>
                    <w:gridSpan w:val="2"/>
                    <w:shd w:val="clear" w:color="auto" w:fill="auto"/>
                    <w:vAlign w:val="center"/>
                  </w:tcPr>
                  <w:p w:rsidR="00DC331F" w:rsidRDefault="00DC331F" w:rsidP="005014DF">
                    <w:pPr>
                      <w:jc w:val="right"/>
                      <w:rPr>
                        <w:szCs w:val="21"/>
                      </w:rPr>
                    </w:pPr>
                    <w:r>
                      <w:rPr>
                        <w:szCs w:val="21"/>
                      </w:rPr>
                      <w:t>119,024,765</w:t>
                    </w:r>
                  </w:p>
                </w:tc>
                <w:sdt>
                  <w:sdtPr>
                    <w:rPr>
                      <w:bCs/>
                      <w:szCs w:val="21"/>
                    </w:rPr>
                    <w:alias w:val="前十名无限售条件股东期末持有流通股的种类"/>
                    <w:tag w:val="_GBC_b35ef493948141e0b9d0c3fd14aad59a"/>
                    <w:id w:val="7724817"/>
                    <w:lock w:val="sdtLocked"/>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Content>
                    <w:tc>
                      <w:tcPr>
                        <w:tcW w:w="1620" w:type="dxa"/>
                        <w:gridSpan w:val="4"/>
                        <w:shd w:val="clear" w:color="auto" w:fill="auto"/>
                        <w:vAlign w:val="center"/>
                      </w:tcPr>
                      <w:p w:rsidR="00DC331F" w:rsidRDefault="00DC331F" w:rsidP="005014DF">
                        <w:pPr>
                          <w:jc w:val="center"/>
                          <w:rPr>
                            <w:bCs/>
                            <w:szCs w:val="21"/>
                          </w:rPr>
                        </w:pPr>
                        <w:r>
                          <w:rPr>
                            <w:bCs/>
                            <w:szCs w:val="21"/>
                          </w:rPr>
                          <w:t>人民币普通股</w:t>
                        </w:r>
                      </w:p>
                    </w:tc>
                  </w:sdtContent>
                </w:sdt>
                <w:tc>
                  <w:tcPr>
                    <w:tcW w:w="1696" w:type="dxa"/>
                    <w:gridSpan w:val="2"/>
                    <w:shd w:val="clear" w:color="auto" w:fill="auto"/>
                    <w:vAlign w:val="center"/>
                  </w:tcPr>
                  <w:p w:rsidR="00DC331F" w:rsidRDefault="00DC331F" w:rsidP="005014DF">
                    <w:pPr>
                      <w:jc w:val="right"/>
                      <w:rPr>
                        <w:szCs w:val="21"/>
                      </w:rPr>
                    </w:pPr>
                    <w:r>
                      <w:rPr>
                        <w:szCs w:val="21"/>
                      </w:rPr>
                      <w:t>119,024,765</w:t>
                    </w:r>
                  </w:p>
                </w:tc>
              </w:tr>
            </w:sdtContent>
          </w:sdt>
          <w:sdt>
            <w:sdtPr>
              <w:rPr>
                <w:szCs w:val="21"/>
              </w:rPr>
              <w:alias w:val="前十名无限售条件股东持股情况"/>
              <w:tag w:val="_TUP_9ca3e52e0a074358925f5b9f3eb76189"/>
              <w:id w:val="7724820"/>
              <w:lock w:val="sdtLocked"/>
            </w:sdtPr>
            <w:sdtContent>
              <w:tr w:rsidR="00901FAB" w:rsidTr="006B3C41">
                <w:trPr>
                  <w:cantSplit/>
                  <w:jc w:val="center"/>
                </w:trPr>
                <w:tc>
                  <w:tcPr>
                    <w:tcW w:w="4856" w:type="dxa"/>
                    <w:gridSpan w:val="2"/>
                    <w:shd w:val="clear" w:color="auto" w:fill="auto"/>
                    <w:vAlign w:val="center"/>
                  </w:tcPr>
                  <w:p w:rsidR="00DC331F" w:rsidRDefault="00DC331F" w:rsidP="005014DF">
                    <w:pPr>
                      <w:rPr>
                        <w:szCs w:val="21"/>
                      </w:rPr>
                    </w:pPr>
                    <w:r w:rsidRPr="00DC331F">
                      <w:rPr>
                        <w:rFonts w:hint="eastAsia"/>
                        <w:szCs w:val="21"/>
                      </w:rPr>
                      <w:t>华夏基金－农业银行－华夏中证金融资产管理计划</w:t>
                    </w:r>
                  </w:p>
                </w:tc>
                <w:tc>
                  <w:tcPr>
                    <w:tcW w:w="1978" w:type="dxa"/>
                    <w:gridSpan w:val="2"/>
                    <w:shd w:val="clear" w:color="auto" w:fill="auto"/>
                    <w:vAlign w:val="center"/>
                  </w:tcPr>
                  <w:p w:rsidR="00DC331F" w:rsidRDefault="00DC331F" w:rsidP="005014DF">
                    <w:pPr>
                      <w:jc w:val="right"/>
                      <w:rPr>
                        <w:szCs w:val="21"/>
                      </w:rPr>
                    </w:pPr>
                    <w:r>
                      <w:rPr>
                        <w:szCs w:val="21"/>
                      </w:rPr>
                      <w:t>119,024,765</w:t>
                    </w:r>
                  </w:p>
                </w:tc>
                <w:sdt>
                  <w:sdtPr>
                    <w:rPr>
                      <w:bCs/>
                      <w:szCs w:val="21"/>
                    </w:rPr>
                    <w:alias w:val="前十名无限售条件股东期末持有流通股的种类"/>
                    <w:tag w:val="_GBC_b35ef493948141e0b9d0c3fd14aad59a"/>
                    <w:id w:val="7724819"/>
                    <w:lock w:val="sdtLocked"/>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Content>
                    <w:tc>
                      <w:tcPr>
                        <w:tcW w:w="1620" w:type="dxa"/>
                        <w:gridSpan w:val="4"/>
                        <w:shd w:val="clear" w:color="auto" w:fill="auto"/>
                        <w:vAlign w:val="center"/>
                      </w:tcPr>
                      <w:p w:rsidR="00DC331F" w:rsidRDefault="00DC331F" w:rsidP="005014DF">
                        <w:pPr>
                          <w:jc w:val="center"/>
                          <w:rPr>
                            <w:bCs/>
                            <w:szCs w:val="21"/>
                          </w:rPr>
                        </w:pPr>
                        <w:r>
                          <w:rPr>
                            <w:bCs/>
                            <w:szCs w:val="21"/>
                          </w:rPr>
                          <w:t>人民币普通股</w:t>
                        </w:r>
                      </w:p>
                    </w:tc>
                  </w:sdtContent>
                </w:sdt>
                <w:tc>
                  <w:tcPr>
                    <w:tcW w:w="1696" w:type="dxa"/>
                    <w:gridSpan w:val="2"/>
                    <w:shd w:val="clear" w:color="auto" w:fill="auto"/>
                    <w:vAlign w:val="center"/>
                  </w:tcPr>
                  <w:p w:rsidR="00DC331F" w:rsidRDefault="00DC331F" w:rsidP="005014DF">
                    <w:pPr>
                      <w:jc w:val="right"/>
                      <w:rPr>
                        <w:szCs w:val="21"/>
                      </w:rPr>
                    </w:pPr>
                    <w:r>
                      <w:rPr>
                        <w:szCs w:val="21"/>
                      </w:rPr>
                      <w:t>119,024,765</w:t>
                    </w:r>
                  </w:p>
                </w:tc>
              </w:tr>
            </w:sdtContent>
          </w:sdt>
          <w:sdt>
            <w:sdtPr>
              <w:rPr>
                <w:szCs w:val="21"/>
              </w:rPr>
              <w:alias w:val="前十名无限售条件股东持股情况"/>
              <w:tag w:val="_TUP_9ca3e52e0a074358925f5b9f3eb76189"/>
              <w:id w:val="7724822"/>
              <w:lock w:val="sdtLocked"/>
            </w:sdtPr>
            <w:sdtContent>
              <w:tr w:rsidR="00901FAB" w:rsidTr="006B3C41">
                <w:trPr>
                  <w:cantSplit/>
                  <w:jc w:val="center"/>
                </w:trPr>
                <w:tc>
                  <w:tcPr>
                    <w:tcW w:w="4856" w:type="dxa"/>
                    <w:gridSpan w:val="2"/>
                    <w:shd w:val="clear" w:color="auto" w:fill="auto"/>
                    <w:vAlign w:val="center"/>
                  </w:tcPr>
                  <w:p w:rsidR="00DC331F" w:rsidRDefault="00DC331F" w:rsidP="005014DF">
                    <w:pPr>
                      <w:rPr>
                        <w:szCs w:val="21"/>
                      </w:rPr>
                    </w:pPr>
                    <w:r w:rsidRPr="00DC331F">
                      <w:rPr>
                        <w:rFonts w:hint="eastAsia"/>
                        <w:szCs w:val="21"/>
                      </w:rPr>
                      <w:t>银华基金－农业银行－银华中证金融资产管理计划</w:t>
                    </w:r>
                  </w:p>
                </w:tc>
                <w:tc>
                  <w:tcPr>
                    <w:tcW w:w="1978" w:type="dxa"/>
                    <w:gridSpan w:val="2"/>
                    <w:shd w:val="clear" w:color="auto" w:fill="auto"/>
                    <w:vAlign w:val="center"/>
                  </w:tcPr>
                  <w:p w:rsidR="00DC331F" w:rsidRDefault="00DC331F" w:rsidP="005014DF">
                    <w:pPr>
                      <w:jc w:val="right"/>
                      <w:rPr>
                        <w:szCs w:val="21"/>
                      </w:rPr>
                    </w:pPr>
                    <w:r>
                      <w:rPr>
                        <w:szCs w:val="21"/>
                      </w:rPr>
                      <w:t>119,024,765</w:t>
                    </w:r>
                  </w:p>
                </w:tc>
                <w:sdt>
                  <w:sdtPr>
                    <w:rPr>
                      <w:bCs/>
                      <w:szCs w:val="21"/>
                    </w:rPr>
                    <w:alias w:val="前十名无限售条件股东期末持有流通股的种类"/>
                    <w:tag w:val="_GBC_b35ef493948141e0b9d0c3fd14aad59a"/>
                    <w:id w:val="7724821"/>
                    <w:lock w:val="sdtLocked"/>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Content>
                    <w:tc>
                      <w:tcPr>
                        <w:tcW w:w="1620" w:type="dxa"/>
                        <w:gridSpan w:val="4"/>
                        <w:shd w:val="clear" w:color="auto" w:fill="auto"/>
                        <w:vAlign w:val="center"/>
                      </w:tcPr>
                      <w:p w:rsidR="00DC331F" w:rsidRDefault="00DC331F" w:rsidP="005014DF">
                        <w:pPr>
                          <w:jc w:val="center"/>
                          <w:rPr>
                            <w:bCs/>
                            <w:szCs w:val="21"/>
                          </w:rPr>
                        </w:pPr>
                        <w:r>
                          <w:rPr>
                            <w:bCs/>
                            <w:szCs w:val="21"/>
                          </w:rPr>
                          <w:t>人民币普通股</w:t>
                        </w:r>
                      </w:p>
                    </w:tc>
                  </w:sdtContent>
                </w:sdt>
                <w:tc>
                  <w:tcPr>
                    <w:tcW w:w="1696" w:type="dxa"/>
                    <w:gridSpan w:val="2"/>
                    <w:shd w:val="clear" w:color="auto" w:fill="auto"/>
                    <w:vAlign w:val="center"/>
                  </w:tcPr>
                  <w:p w:rsidR="00DC331F" w:rsidRDefault="00DC331F" w:rsidP="005014DF">
                    <w:pPr>
                      <w:jc w:val="right"/>
                      <w:rPr>
                        <w:szCs w:val="21"/>
                      </w:rPr>
                    </w:pPr>
                    <w:r>
                      <w:rPr>
                        <w:szCs w:val="21"/>
                      </w:rPr>
                      <w:t>119,024,765</w:t>
                    </w:r>
                  </w:p>
                </w:tc>
              </w:tr>
            </w:sdtContent>
          </w:sdt>
          <w:sdt>
            <w:sdtPr>
              <w:rPr>
                <w:szCs w:val="21"/>
              </w:rPr>
              <w:alias w:val="前十名无限售条件股东持股情况"/>
              <w:tag w:val="_TUP_9ca3e52e0a074358925f5b9f3eb76189"/>
              <w:id w:val="7724824"/>
              <w:lock w:val="sdtLocked"/>
            </w:sdtPr>
            <w:sdtContent>
              <w:tr w:rsidR="00901FAB" w:rsidTr="006B3C41">
                <w:trPr>
                  <w:cantSplit/>
                  <w:jc w:val="center"/>
                </w:trPr>
                <w:tc>
                  <w:tcPr>
                    <w:tcW w:w="4856" w:type="dxa"/>
                    <w:gridSpan w:val="2"/>
                    <w:shd w:val="clear" w:color="auto" w:fill="auto"/>
                    <w:vAlign w:val="center"/>
                  </w:tcPr>
                  <w:p w:rsidR="00DC331F" w:rsidRDefault="00DC331F" w:rsidP="005014DF">
                    <w:pPr>
                      <w:rPr>
                        <w:szCs w:val="21"/>
                      </w:rPr>
                    </w:pPr>
                    <w:r w:rsidRPr="00DC331F">
                      <w:rPr>
                        <w:rFonts w:hint="eastAsia"/>
                        <w:szCs w:val="21"/>
                      </w:rPr>
                      <w:t>南方基金－农业银行－南方中证金融资产管理计划</w:t>
                    </w:r>
                  </w:p>
                </w:tc>
                <w:tc>
                  <w:tcPr>
                    <w:tcW w:w="1978" w:type="dxa"/>
                    <w:gridSpan w:val="2"/>
                    <w:shd w:val="clear" w:color="auto" w:fill="auto"/>
                    <w:vAlign w:val="center"/>
                  </w:tcPr>
                  <w:p w:rsidR="00DC331F" w:rsidRDefault="00DC331F" w:rsidP="005014DF">
                    <w:pPr>
                      <w:jc w:val="right"/>
                      <w:rPr>
                        <w:szCs w:val="21"/>
                      </w:rPr>
                    </w:pPr>
                    <w:r>
                      <w:rPr>
                        <w:szCs w:val="21"/>
                      </w:rPr>
                      <w:t>119,024,765</w:t>
                    </w:r>
                  </w:p>
                </w:tc>
                <w:sdt>
                  <w:sdtPr>
                    <w:rPr>
                      <w:bCs/>
                      <w:szCs w:val="21"/>
                    </w:rPr>
                    <w:alias w:val="前十名无限售条件股东期末持有流通股的种类"/>
                    <w:tag w:val="_GBC_b35ef493948141e0b9d0c3fd14aad59a"/>
                    <w:id w:val="7724823"/>
                    <w:lock w:val="sdtLocked"/>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Content>
                    <w:tc>
                      <w:tcPr>
                        <w:tcW w:w="1620" w:type="dxa"/>
                        <w:gridSpan w:val="4"/>
                        <w:shd w:val="clear" w:color="auto" w:fill="auto"/>
                        <w:vAlign w:val="center"/>
                      </w:tcPr>
                      <w:p w:rsidR="00DC331F" w:rsidRDefault="00DC331F" w:rsidP="005014DF">
                        <w:pPr>
                          <w:jc w:val="center"/>
                          <w:rPr>
                            <w:bCs/>
                            <w:szCs w:val="21"/>
                          </w:rPr>
                        </w:pPr>
                        <w:r>
                          <w:rPr>
                            <w:bCs/>
                            <w:szCs w:val="21"/>
                          </w:rPr>
                          <w:t>人民币普通股</w:t>
                        </w:r>
                      </w:p>
                    </w:tc>
                  </w:sdtContent>
                </w:sdt>
                <w:tc>
                  <w:tcPr>
                    <w:tcW w:w="1696" w:type="dxa"/>
                    <w:gridSpan w:val="2"/>
                    <w:shd w:val="clear" w:color="auto" w:fill="auto"/>
                    <w:vAlign w:val="center"/>
                  </w:tcPr>
                  <w:p w:rsidR="00DC331F" w:rsidRDefault="00DC331F" w:rsidP="005014DF">
                    <w:pPr>
                      <w:jc w:val="right"/>
                      <w:rPr>
                        <w:szCs w:val="21"/>
                      </w:rPr>
                    </w:pPr>
                    <w:r>
                      <w:rPr>
                        <w:szCs w:val="21"/>
                      </w:rPr>
                      <w:t>119,024,765</w:t>
                    </w:r>
                  </w:p>
                </w:tc>
              </w:tr>
            </w:sdtContent>
          </w:sdt>
          <w:sdt>
            <w:sdtPr>
              <w:rPr>
                <w:szCs w:val="21"/>
              </w:rPr>
              <w:alias w:val="前十名无限售条件股东持股情况"/>
              <w:tag w:val="_TUP_9ca3e52e0a074358925f5b9f3eb76189"/>
              <w:id w:val="7724826"/>
              <w:lock w:val="sdtLocked"/>
            </w:sdtPr>
            <w:sdtContent>
              <w:tr w:rsidR="00901FAB" w:rsidTr="006B3C41">
                <w:trPr>
                  <w:cantSplit/>
                  <w:jc w:val="center"/>
                </w:trPr>
                <w:tc>
                  <w:tcPr>
                    <w:tcW w:w="4856" w:type="dxa"/>
                    <w:gridSpan w:val="2"/>
                    <w:shd w:val="clear" w:color="auto" w:fill="auto"/>
                    <w:vAlign w:val="center"/>
                  </w:tcPr>
                  <w:p w:rsidR="00DC331F" w:rsidRDefault="00DC331F" w:rsidP="005014DF">
                    <w:pPr>
                      <w:rPr>
                        <w:szCs w:val="21"/>
                      </w:rPr>
                    </w:pPr>
                    <w:r w:rsidRPr="00DC331F">
                      <w:rPr>
                        <w:rFonts w:hint="eastAsia"/>
                        <w:szCs w:val="21"/>
                      </w:rPr>
                      <w:t>工银瑞信基金－农业银行－工银瑞信中证金融资产管理计划</w:t>
                    </w:r>
                  </w:p>
                </w:tc>
                <w:tc>
                  <w:tcPr>
                    <w:tcW w:w="1978" w:type="dxa"/>
                    <w:gridSpan w:val="2"/>
                    <w:shd w:val="clear" w:color="auto" w:fill="auto"/>
                    <w:vAlign w:val="center"/>
                  </w:tcPr>
                  <w:p w:rsidR="00DC331F" w:rsidRDefault="00DC331F" w:rsidP="005014DF">
                    <w:pPr>
                      <w:jc w:val="right"/>
                      <w:rPr>
                        <w:szCs w:val="21"/>
                      </w:rPr>
                    </w:pPr>
                    <w:r>
                      <w:rPr>
                        <w:szCs w:val="21"/>
                      </w:rPr>
                      <w:t>119,024,765</w:t>
                    </w:r>
                  </w:p>
                </w:tc>
                <w:sdt>
                  <w:sdtPr>
                    <w:rPr>
                      <w:bCs/>
                      <w:szCs w:val="21"/>
                    </w:rPr>
                    <w:alias w:val="前十名无限售条件股东期末持有流通股的种类"/>
                    <w:tag w:val="_GBC_b35ef493948141e0b9d0c3fd14aad59a"/>
                    <w:id w:val="7724825"/>
                    <w:lock w:val="sdtLocked"/>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Content>
                    <w:tc>
                      <w:tcPr>
                        <w:tcW w:w="1620" w:type="dxa"/>
                        <w:gridSpan w:val="4"/>
                        <w:shd w:val="clear" w:color="auto" w:fill="auto"/>
                        <w:vAlign w:val="center"/>
                      </w:tcPr>
                      <w:p w:rsidR="00DC331F" w:rsidRDefault="00DC331F" w:rsidP="005014DF">
                        <w:pPr>
                          <w:jc w:val="center"/>
                          <w:rPr>
                            <w:bCs/>
                            <w:szCs w:val="21"/>
                          </w:rPr>
                        </w:pPr>
                        <w:r>
                          <w:rPr>
                            <w:bCs/>
                            <w:szCs w:val="21"/>
                          </w:rPr>
                          <w:t>人民币普通股</w:t>
                        </w:r>
                      </w:p>
                    </w:tc>
                  </w:sdtContent>
                </w:sdt>
                <w:tc>
                  <w:tcPr>
                    <w:tcW w:w="1696" w:type="dxa"/>
                    <w:gridSpan w:val="2"/>
                    <w:shd w:val="clear" w:color="auto" w:fill="auto"/>
                    <w:vAlign w:val="center"/>
                  </w:tcPr>
                  <w:p w:rsidR="00DC331F" w:rsidRDefault="00DC331F" w:rsidP="005014DF">
                    <w:pPr>
                      <w:jc w:val="right"/>
                      <w:rPr>
                        <w:szCs w:val="21"/>
                      </w:rPr>
                    </w:pPr>
                    <w:r>
                      <w:rPr>
                        <w:szCs w:val="21"/>
                      </w:rPr>
                      <w:t>119,024,765</w:t>
                    </w:r>
                  </w:p>
                </w:tc>
              </w:tr>
            </w:sdtContent>
          </w:sdt>
          <w:sdt>
            <w:sdtPr>
              <w:rPr>
                <w:szCs w:val="21"/>
              </w:rPr>
              <w:alias w:val="前十名无限售条件股东持股情况"/>
              <w:tag w:val="_TUP_9ca3e52e0a074358925f5b9f3eb76189"/>
              <w:id w:val="7724828"/>
              <w:lock w:val="sdtLocked"/>
            </w:sdtPr>
            <w:sdtContent>
              <w:tr w:rsidR="00901FAB" w:rsidTr="006B3C41">
                <w:trPr>
                  <w:cantSplit/>
                  <w:jc w:val="center"/>
                </w:trPr>
                <w:tc>
                  <w:tcPr>
                    <w:tcW w:w="4856" w:type="dxa"/>
                    <w:gridSpan w:val="2"/>
                    <w:shd w:val="clear" w:color="auto" w:fill="auto"/>
                    <w:vAlign w:val="center"/>
                  </w:tcPr>
                  <w:p w:rsidR="00DC331F" w:rsidRDefault="00DC331F" w:rsidP="005014DF">
                    <w:pPr>
                      <w:rPr>
                        <w:szCs w:val="21"/>
                      </w:rPr>
                    </w:pPr>
                    <w:r w:rsidRPr="00DC331F">
                      <w:rPr>
                        <w:rFonts w:hint="eastAsia"/>
                        <w:szCs w:val="21"/>
                      </w:rPr>
                      <w:t>中国中煤能源集团有限公司</w:t>
                    </w:r>
                  </w:p>
                </w:tc>
                <w:tc>
                  <w:tcPr>
                    <w:tcW w:w="1978" w:type="dxa"/>
                    <w:gridSpan w:val="2"/>
                    <w:shd w:val="clear" w:color="auto" w:fill="auto"/>
                    <w:vAlign w:val="center"/>
                  </w:tcPr>
                  <w:p w:rsidR="00DC331F" w:rsidRDefault="00DC331F" w:rsidP="005014DF">
                    <w:pPr>
                      <w:jc w:val="right"/>
                      <w:rPr>
                        <w:szCs w:val="21"/>
                      </w:rPr>
                    </w:pPr>
                    <w:r>
                      <w:rPr>
                        <w:szCs w:val="21"/>
                      </w:rPr>
                      <w:t>97,515,577</w:t>
                    </w:r>
                  </w:p>
                </w:tc>
                <w:sdt>
                  <w:sdtPr>
                    <w:rPr>
                      <w:bCs/>
                      <w:szCs w:val="21"/>
                    </w:rPr>
                    <w:alias w:val="前十名无限售条件股东期末持有流通股的种类"/>
                    <w:tag w:val="_GBC_b35ef493948141e0b9d0c3fd14aad59a"/>
                    <w:id w:val="7724827"/>
                    <w:lock w:val="sdtLocked"/>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Content>
                    <w:tc>
                      <w:tcPr>
                        <w:tcW w:w="1620" w:type="dxa"/>
                        <w:gridSpan w:val="4"/>
                        <w:shd w:val="clear" w:color="auto" w:fill="auto"/>
                        <w:vAlign w:val="center"/>
                      </w:tcPr>
                      <w:p w:rsidR="00DC331F" w:rsidRDefault="00DC331F" w:rsidP="005014DF">
                        <w:pPr>
                          <w:jc w:val="center"/>
                          <w:rPr>
                            <w:bCs/>
                            <w:szCs w:val="21"/>
                          </w:rPr>
                        </w:pPr>
                        <w:r>
                          <w:rPr>
                            <w:bCs/>
                            <w:szCs w:val="21"/>
                          </w:rPr>
                          <w:t>人民币普通股</w:t>
                        </w:r>
                      </w:p>
                    </w:tc>
                  </w:sdtContent>
                </w:sdt>
                <w:tc>
                  <w:tcPr>
                    <w:tcW w:w="1696" w:type="dxa"/>
                    <w:gridSpan w:val="2"/>
                    <w:shd w:val="clear" w:color="auto" w:fill="auto"/>
                    <w:vAlign w:val="center"/>
                  </w:tcPr>
                  <w:p w:rsidR="00DC331F" w:rsidRDefault="00DC331F" w:rsidP="005014DF">
                    <w:pPr>
                      <w:jc w:val="right"/>
                      <w:rPr>
                        <w:szCs w:val="21"/>
                      </w:rPr>
                    </w:pPr>
                    <w:r>
                      <w:rPr>
                        <w:szCs w:val="21"/>
                      </w:rPr>
                      <w:t>97,515,577</w:t>
                    </w:r>
                  </w:p>
                </w:tc>
              </w:tr>
            </w:sdtContent>
          </w:sdt>
          <w:sdt>
            <w:sdtPr>
              <w:rPr>
                <w:szCs w:val="21"/>
              </w:rPr>
              <w:alias w:val="前十名无限售条件股东持股情况"/>
              <w:tag w:val="_TUP_9ca3e52e0a074358925f5b9f3eb76189"/>
              <w:id w:val="7724830"/>
              <w:lock w:val="sdtLocked"/>
            </w:sdtPr>
            <w:sdtContent>
              <w:tr w:rsidR="00901FAB" w:rsidTr="006B3C41">
                <w:trPr>
                  <w:cantSplit/>
                  <w:jc w:val="center"/>
                </w:trPr>
                <w:tc>
                  <w:tcPr>
                    <w:tcW w:w="4856" w:type="dxa"/>
                    <w:gridSpan w:val="2"/>
                    <w:shd w:val="clear" w:color="auto" w:fill="auto"/>
                    <w:vAlign w:val="center"/>
                  </w:tcPr>
                  <w:p w:rsidR="00DC331F" w:rsidRDefault="00DC331F" w:rsidP="005014DF">
                    <w:pPr>
                      <w:rPr>
                        <w:szCs w:val="21"/>
                      </w:rPr>
                    </w:pPr>
                    <w:r w:rsidRPr="00DC331F">
                      <w:rPr>
                        <w:rFonts w:hint="eastAsia"/>
                        <w:szCs w:val="21"/>
                      </w:rPr>
                      <w:t>中国铁路投资有限公司</w:t>
                    </w:r>
                  </w:p>
                </w:tc>
                <w:tc>
                  <w:tcPr>
                    <w:tcW w:w="1978" w:type="dxa"/>
                    <w:gridSpan w:val="2"/>
                    <w:shd w:val="clear" w:color="auto" w:fill="auto"/>
                    <w:vAlign w:val="center"/>
                  </w:tcPr>
                  <w:p w:rsidR="00DC331F" w:rsidRDefault="00DC331F" w:rsidP="005014DF">
                    <w:pPr>
                      <w:jc w:val="right"/>
                      <w:rPr>
                        <w:szCs w:val="21"/>
                      </w:rPr>
                    </w:pPr>
                    <w:r>
                      <w:rPr>
                        <w:szCs w:val="21"/>
                      </w:rPr>
                      <w:t>79,719,060</w:t>
                    </w:r>
                  </w:p>
                </w:tc>
                <w:sdt>
                  <w:sdtPr>
                    <w:rPr>
                      <w:bCs/>
                      <w:szCs w:val="21"/>
                    </w:rPr>
                    <w:alias w:val="前十名无限售条件股东期末持有流通股的种类"/>
                    <w:tag w:val="_GBC_b35ef493948141e0b9d0c3fd14aad59a"/>
                    <w:id w:val="7724829"/>
                    <w:lock w:val="sdtLocked"/>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Content>
                    <w:tc>
                      <w:tcPr>
                        <w:tcW w:w="1620" w:type="dxa"/>
                        <w:gridSpan w:val="4"/>
                        <w:shd w:val="clear" w:color="auto" w:fill="auto"/>
                        <w:vAlign w:val="center"/>
                      </w:tcPr>
                      <w:p w:rsidR="00DC331F" w:rsidRDefault="00DC331F" w:rsidP="005014DF">
                        <w:pPr>
                          <w:jc w:val="center"/>
                          <w:rPr>
                            <w:bCs/>
                            <w:szCs w:val="21"/>
                          </w:rPr>
                        </w:pPr>
                        <w:r>
                          <w:rPr>
                            <w:bCs/>
                            <w:szCs w:val="21"/>
                          </w:rPr>
                          <w:t>人民币普通股</w:t>
                        </w:r>
                      </w:p>
                    </w:tc>
                  </w:sdtContent>
                </w:sdt>
                <w:tc>
                  <w:tcPr>
                    <w:tcW w:w="1696" w:type="dxa"/>
                    <w:gridSpan w:val="2"/>
                    <w:shd w:val="clear" w:color="auto" w:fill="auto"/>
                    <w:vAlign w:val="center"/>
                  </w:tcPr>
                  <w:p w:rsidR="00DC331F" w:rsidRDefault="00DC331F" w:rsidP="005014DF">
                    <w:pPr>
                      <w:jc w:val="right"/>
                      <w:rPr>
                        <w:szCs w:val="21"/>
                      </w:rPr>
                    </w:pPr>
                    <w:r>
                      <w:rPr>
                        <w:szCs w:val="21"/>
                      </w:rPr>
                      <w:t>79,719,060</w:t>
                    </w:r>
                  </w:p>
                </w:tc>
              </w:tr>
            </w:sdtContent>
          </w:sdt>
          <w:sdt>
            <w:sdtPr>
              <w:rPr>
                <w:szCs w:val="21"/>
              </w:rPr>
              <w:alias w:val="前十名无限售条件股东持股情况"/>
              <w:tag w:val="_TUP_9ca3e52e0a074358925f5b9f3eb76189"/>
              <w:id w:val="7724832"/>
              <w:lock w:val="sdtLocked"/>
            </w:sdtPr>
            <w:sdtContent>
              <w:tr w:rsidR="00901FAB" w:rsidTr="006B3C41">
                <w:trPr>
                  <w:cantSplit/>
                  <w:jc w:val="center"/>
                </w:trPr>
                <w:tc>
                  <w:tcPr>
                    <w:tcW w:w="4856" w:type="dxa"/>
                    <w:gridSpan w:val="2"/>
                    <w:shd w:val="clear" w:color="auto" w:fill="auto"/>
                    <w:vAlign w:val="center"/>
                  </w:tcPr>
                  <w:p w:rsidR="00DC331F" w:rsidRDefault="00DC331F" w:rsidP="005014DF">
                    <w:pPr>
                      <w:rPr>
                        <w:szCs w:val="21"/>
                      </w:rPr>
                    </w:pPr>
                    <w:r w:rsidRPr="00DC331F">
                      <w:rPr>
                        <w:rFonts w:hint="eastAsia"/>
                        <w:szCs w:val="21"/>
                      </w:rPr>
                      <w:t>晋能控股煤业集团有限公司</w:t>
                    </w:r>
                  </w:p>
                </w:tc>
                <w:tc>
                  <w:tcPr>
                    <w:tcW w:w="1978" w:type="dxa"/>
                    <w:gridSpan w:val="2"/>
                    <w:shd w:val="clear" w:color="auto" w:fill="auto"/>
                    <w:vAlign w:val="center"/>
                  </w:tcPr>
                  <w:p w:rsidR="00DC331F" w:rsidRDefault="00DC331F" w:rsidP="005014DF">
                    <w:pPr>
                      <w:jc w:val="right"/>
                      <w:rPr>
                        <w:szCs w:val="21"/>
                      </w:rPr>
                    </w:pPr>
                    <w:r>
                      <w:rPr>
                        <w:szCs w:val="21"/>
                      </w:rPr>
                      <w:t>69,284,018</w:t>
                    </w:r>
                  </w:p>
                </w:tc>
                <w:sdt>
                  <w:sdtPr>
                    <w:rPr>
                      <w:bCs/>
                      <w:szCs w:val="21"/>
                    </w:rPr>
                    <w:alias w:val="前十名无限售条件股东期末持有流通股的种类"/>
                    <w:tag w:val="_GBC_b35ef493948141e0b9d0c3fd14aad59a"/>
                    <w:id w:val="7724831"/>
                    <w:lock w:val="sdtLocked"/>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Content>
                    <w:tc>
                      <w:tcPr>
                        <w:tcW w:w="1620" w:type="dxa"/>
                        <w:gridSpan w:val="4"/>
                        <w:shd w:val="clear" w:color="auto" w:fill="auto"/>
                        <w:vAlign w:val="center"/>
                      </w:tcPr>
                      <w:p w:rsidR="00DC331F" w:rsidRDefault="00DC331F" w:rsidP="005014DF">
                        <w:pPr>
                          <w:jc w:val="center"/>
                          <w:rPr>
                            <w:bCs/>
                            <w:szCs w:val="21"/>
                          </w:rPr>
                        </w:pPr>
                        <w:r>
                          <w:rPr>
                            <w:bCs/>
                            <w:szCs w:val="21"/>
                          </w:rPr>
                          <w:t>人民币普通股</w:t>
                        </w:r>
                      </w:p>
                    </w:tc>
                  </w:sdtContent>
                </w:sdt>
                <w:tc>
                  <w:tcPr>
                    <w:tcW w:w="1696" w:type="dxa"/>
                    <w:gridSpan w:val="2"/>
                    <w:shd w:val="clear" w:color="auto" w:fill="auto"/>
                    <w:vAlign w:val="center"/>
                  </w:tcPr>
                  <w:p w:rsidR="00DC331F" w:rsidRDefault="00DC331F" w:rsidP="005014DF">
                    <w:pPr>
                      <w:jc w:val="right"/>
                      <w:rPr>
                        <w:szCs w:val="21"/>
                      </w:rPr>
                    </w:pPr>
                    <w:r>
                      <w:rPr>
                        <w:szCs w:val="21"/>
                      </w:rPr>
                      <w:t>69,284,018</w:t>
                    </w:r>
                  </w:p>
                </w:tc>
              </w:tr>
            </w:sdtContent>
          </w:sdt>
          <w:sdt>
            <w:sdtPr>
              <w:rPr>
                <w:szCs w:val="21"/>
              </w:rPr>
              <w:alias w:val="前十名无限售条件股东持股情况"/>
              <w:tag w:val="_TUP_9ca3e52e0a074358925f5b9f3eb76189"/>
              <w:id w:val="7724834"/>
              <w:lock w:val="sdtLocked"/>
            </w:sdtPr>
            <w:sdtContent>
              <w:tr w:rsidR="00901FAB" w:rsidTr="006B3C41">
                <w:trPr>
                  <w:cantSplit/>
                  <w:jc w:val="center"/>
                </w:trPr>
                <w:tc>
                  <w:tcPr>
                    <w:tcW w:w="4856" w:type="dxa"/>
                    <w:gridSpan w:val="2"/>
                    <w:shd w:val="clear" w:color="auto" w:fill="auto"/>
                    <w:vAlign w:val="center"/>
                  </w:tcPr>
                  <w:p w:rsidR="00DC331F" w:rsidRDefault="00DC331F" w:rsidP="005014DF">
                    <w:pPr>
                      <w:rPr>
                        <w:szCs w:val="21"/>
                      </w:rPr>
                    </w:pPr>
                    <w:r w:rsidRPr="00DC331F">
                      <w:rPr>
                        <w:rFonts w:hint="eastAsia"/>
                        <w:szCs w:val="21"/>
                      </w:rPr>
                      <w:t>滦平县伟源矿业有限责任公司</w:t>
                    </w:r>
                  </w:p>
                </w:tc>
                <w:tc>
                  <w:tcPr>
                    <w:tcW w:w="1978" w:type="dxa"/>
                    <w:gridSpan w:val="2"/>
                    <w:shd w:val="clear" w:color="auto" w:fill="auto"/>
                    <w:vAlign w:val="center"/>
                  </w:tcPr>
                  <w:p w:rsidR="00DC331F" w:rsidRDefault="00DC331F" w:rsidP="005014DF">
                    <w:pPr>
                      <w:jc w:val="right"/>
                      <w:rPr>
                        <w:szCs w:val="21"/>
                      </w:rPr>
                    </w:pPr>
                    <w:r>
                      <w:rPr>
                        <w:szCs w:val="21"/>
                      </w:rPr>
                      <w:t>61,677,800</w:t>
                    </w:r>
                  </w:p>
                </w:tc>
                <w:sdt>
                  <w:sdtPr>
                    <w:rPr>
                      <w:bCs/>
                      <w:szCs w:val="21"/>
                    </w:rPr>
                    <w:alias w:val="前十名无限售条件股东期末持有流通股的种类"/>
                    <w:tag w:val="_GBC_b35ef493948141e0b9d0c3fd14aad59a"/>
                    <w:id w:val="7724833"/>
                    <w:lock w:val="sdtLocked"/>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Content>
                    <w:tc>
                      <w:tcPr>
                        <w:tcW w:w="1620" w:type="dxa"/>
                        <w:gridSpan w:val="4"/>
                        <w:shd w:val="clear" w:color="auto" w:fill="auto"/>
                        <w:vAlign w:val="center"/>
                      </w:tcPr>
                      <w:p w:rsidR="00DC331F" w:rsidRDefault="00DC331F" w:rsidP="005014DF">
                        <w:pPr>
                          <w:jc w:val="center"/>
                          <w:rPr>
                            <w:bCs/>
                            <w:szCs w:val="21"/>
                          </w:rPr>
                        </w:pPr>
                        <w:r>
                          <w:rPr>
                            <w:bCs/>
                            <w:szCs w:val="21"/>
                          </w:rPr>
                          <w:t>人民币普通股</w:t>
                        </w:r>
                      </w:p>
                    </w:tc>
                  </w:sdtContent>
                </w:sdt>
                <w:tc>
                  <w:tcPr>
                    <w:tcW w:w="1696" w:type="dxa"/>
                    <w:gridSpan w:val="2"/>
                    <w:shd w:val="clear" w:color="auto" w:fill="auto"/>
                    <w:vAlign w:val="center"/>
                  </w:tcPr>
                  <w:p w:rsidR="00DC331F" w:rsidRDefault="00DC331F" w:rsidP="005014DF">
                    <w:pPr>
                      <w:jc w:val="right"/>
                      <w:rPr>
                        <w:szCs w:val="21"/>
                      </w:rPr>
                    </w:pPr>
                    <w:r>
                      <w:rPr>
                        <w:szCs w:val="21"/>
                      </w:rPr>
                      <w:t>61,677,800</w:t>
                    </w:r>
                  </w:p>
                </w:tc>
              </w:tr>
            </w:sdtContent>
          </w:sdt>
          <w:tr w:rsidR="00DC331F" w:rsidTr="006B3C41">
            <w:trPr>
              <w:cantSplit/>
              <w:jc w:val="center"/>
            </w:trPr>
            <w:tc>
              <w:tcPr>
                <w:tcW w:w="4856" w:type="dxa"/>
                <w:gridSpan w:val="2"/>
                <w:shd w:val="clear" w:color="auto" w:fill="auto"/>
                <w:vAlign w:val="center"/>
              </w:tcPr>
              <w:sdt>
                <w:sdtPr>
                  <w:rPr>
                    <w:rFonts w:hint="eastAsia"/>
                  </w:rPr>
                  <w:tag w:val="_PLD_c66ff47b026f457b94124796c616bd5e"/>
                  <w:id w:val="7724835"/>
                  <w:lock w:val="sdtLocked"/>
                </w:sdtPr>
                <w:sdtContent>
                  <w:p w:rsidR="00DC331F" w:rsidRDefault="00DC331F" w:rsidP="005014DF">
                    <w:pPr>
                      <w:rPr>
                        <w:szCs w:val="21"/>
                      </w:rPr>
                    </w:pPr>
                    <w:r>
                      <w:rPr>
                        <w:rFonts w:hint="eastAsia"/>
                      </w:rPr>
                      <w:t>前十名股东中回购专户情况说明</w:t>
                    </w:r>
                  </w:p>
                </w:sdtContent>
              </w:sdt>
            </w:tc>
            <w:tc>
              <w:tcPr>
                <w:tcW w:w="5294" w:type="dxa"/>
                <w:gridSpan w:val="8"/>
                <w:shd w:val="clear" w:color="auto" w:fill="auto"/>
                <w:vAlign w:val="center"/>
              </w:tcPr>
              <w:p w:rsidR="00DC331F" w:rsidRDefault="00637104" w:rsidP="005014DF">
                <w:pPr>
                  <w:rPr>
                    <w:szCs w:val="21"/>
                  </w:rPr>
                </w:pPr>
                <w:r>
                  <w:rPr>
                    <w:rFonts w:hint="eastAsia"/>
                    <w:szCs w:val="21"/>
                  </w:rPr>
                  <w:t>无</w:t>
                </w:r>
              </w:p>
            </w:tc>
          </w:tr>
          <w:tr w:rsidR="00DC331F" w:rsidTr="006B3C41">
            <w:trPr>
              <w:cantSplit/>
              <w:jc w:val="center"/>
            </w:trPr>
            <w:tc>
              <w:tcPr>
                <w:tcW w:w="4856" w:type="dxa"/>
                <w:gridSpan w:val="2"/>
                <w:shd w:val="clear" w:color="auto" w:fill="auto"/>
                <w:vAlign w:val="center"/>
              </w:tcPr>
              <w:sdt>
                <w:sdtPr>
                  <w:rPr>
                    <w:szCs w:val="21"/>
                  </w:rPr>
                  <w:tag w:val="_PLD_1e66340db1704500aa943a28a623d252"/>
                  <w:id w:val="7724836"/>
                  <w:lock w:val="sdtLocked"/>
                </w:sdtPr>
                <w:sdtContent>
                  <w:p w:rsidR="00DC331F" w:rsidRDefault="00DC331F" w:rsidP="005014DF">
                    <w:r>
                      <w:rPr>
                        <w:szCs w:val="21"/>
                      </w:rPr>
                      <w:t>上述股东</w:t>
                    </w:r>
                    <w:r>
                      <w:rPr>
                        <w:rFonts w:hint="eastAsia"/>
                        <w:szCs w:val="21"/>
                      </w:rPr>
                      <w:t>委托表决权、受托表决权、放弃表决权</w:t>
                    </w:r>
                    <w:r>
                      <w:rPr>
                        <w:szCs w:val="21"/>
                      </w:rPr>
                      <w:t>的说明</w:t>
                    </w:r>
                  </w:p>
                </w:sdtContent>
              </w:sdt>
            </w:tc>
            <w:tc>
              <w:tcPr>
                <w:tcW w:w="5294" w:type="dxa"/>
                <w:gridSpan w:val="8"/>
                <w:shd w:val="clear" w:color="auto" w:fill="auto"/>
                <w:vAlign w:val="center"/>
              </w:tcPr>
              <w:p w:rsidR="00DC331F" w:rsidRDefault="00637104" w:rsidP="005014DF">
                <w:pPr>
                  <w:rPr>
                    <w:szCs w:val="21"/>
                  </w:rPr>
                </w:pPr>
                <w:r>
                  <w:rPr>
                    <w:rFonts w:hint="eastAsia"/>
                    <w:szCs w:val="21"/>
                  </w:rPr>
                  <w:t>无</w:t>
                </w:r>
              </w:p>
            </w:tc>
          </w:tr>
          <w:tr w:rsidR="00DC331F" w:rsidTr="006B3C41">
            <w:trPr>
              <w:cantSplit/>
              <w:jc w:val="center"/>
            </w:trPr>
            <w:sdt>
              <w:sdtPr>
                <w:tag w:val="_PLD_f66d0f4474a24a38863b52183edf8612"/>
                <w:id w:val="7724837"/>
                <w:lock w:val="sdtLocked"/>
              </w:sdtPr>
              <w:sdtContent>
                <w:tc>
                  <w:tcPr>
                    <w:tcW w:w="4856" w:type="dxa"/>
                    <w:gridSpan w:val="2"/>
                    <w:shd w:val="clear" w:color="auto" w:fill="auto"/>
                    <w:vAlign w:val="center"/>
                  </w:tcPr>
                  <w:p w:rsidR="00DC331F" w:rsidRDefault="00DC331F" w:rsidP="005014DF">
                    <w:pPr>
                      <w:rPr>
                        <w:szCs w:val="21"/>
                      </w:rPr>
                    </w:pPr>
                    <w:r>
                      <w:rPr>
                        <w:szCs w:val="21"/>
                      </w:rPr>
                      <w:t>上述股东关联关系或一致行动的说明</w:t>
                    </w:r>
                  </w:p>
                </w:tc>
              </w:sdtContent>
            </w:sdt>
            <w:tc>
              <w:tcPr>
                <w:tcW w:w="5294" w:type="dxa"/>
                <w:gridSpan w:val="8"/>
                <w:shd w:val="clear" w:color="auto" w:fill="auto"/>
                <w:vAlign w:val="center"/>
              </w:tcPr>
              <w:p w:rsidR="00DC331F" w:rsidRDefault="00637104" w:rsidP="005014DF">
                <w:pPr>
                  <w:rPr>
                    <w:szCs w:val="21"/>
                  </w:rPr>
                </w:pPr>
                <w:r w:rsidRPr="00637104">
                  <w:rPr>
                    <w:rFonts w:hint="eastAsia"/>
                    <w:szCs w:val="21"/>
                  </w:rPr>
                  <w:t>上述股东除中国铁路太原局集团有限公司与中国铁路投资有限公司同受中国国家铁路集团有限公司控制外，未知其他股东之间是否存在关联关系或属于《上市公司收购管理办法》规定的一致行动人。</w:t>
                </w:r>
              </w:p>
            </w:tc>
          </w:tr>
        </w:tbl>
        <w:p w:rsidR="00DC331F" w:rsidRDefault="00DC331F"/>
        <w:p w:rsidR="00806678" w:rsidRDefault="00B16377">
          <w:pPr>
            <w:rPr>
              <w:szCs w:val="21"/>
            </w:rPr>
          </w:pPr>
          <w:r>
            <w:rPr>
              <w:szCs w:val="21"/>
            </w:rPr>
            <w:t>前十名有限售条件股东持股数量及限售条件</w:t>
          </w:r>
        </w:p>
        <w:sdt>
          <w:sdtPr>
            <w:rPr>
              <w:bCs/>
              <w:szCs w:val="21"/>
            </w:rPr>
            <w:alias w:val="是否适用：前十名有限售条件股东持股数量及限售条件[双击切换]"/>
            <w:tag w:val="_GBC_99ceff37849a42f4b21400880589fbc1"/>
            <w:id w:val="225037463"/>
            <w:lock w:val="sdtLocked"/>
            <w:placeholder>
              <w:docPart w:val="GBC22222222222222222222222222222"/>
            </w:placeholder>
          </w:sdtPr>
          <w:sdtContent>
            <w:p w:rsidR="00806678" w:rsidRDefault="00F80B6C">
              <w:pPr>
                <w:rPr>
                  <w:szCs w:val="21"/>
                </w:rPr>
              </w:pPr>
              <w:r>
                <w:rPr>
                  <w:bCs/>
                  <w:szCs w:val="21"/>
                </w:rPr>
                <w:fldChar w:fldCharType="begin"/>
              </w:r>
              <w:r w:rsidR="00AC63E2">
                <w:rPr>
                  <w:bCs/>
                  <w:szCs w:val="21"/>
                </w:rPr>
                <w:instrText xml:space="preserve">MACROBUTTON  SnrToggleCheckbox □适用 </w:instrText>
              </w:r>
              <w:r>
                <w:rPr>
                  <w:bCs/>
                  <w:szCs w:val="21"/>
                </w:rPr>
                <w:fldChar w:fldCharType="end"/>
              </w:r>
              <w:r>
                <w:rPr>
                  <w:bCs/>
                  <w:szCs w:val="21"/>
                </w:rPr>
                <w:fldChar w:fldCharType="begin"/>
              </w:r>
              <w:r w:rsidR="00AC63E2">
                <w:rPr>
                  <w:bCs/>
                  <w:szCs w:val="21"/>
                </w:rPr>
                <w:instrText xml:space="preserve"> MACROBUTTON  SnrToggleCheckbox √不适用 </w:instrText>
              </w:r>
              <w:r>
                <w:rPr>
                  <w:bCs/>
                  <w:szCs w:val="21"/>
                </w:rPr>
                <w:fldChar w:fldCharType="end"/>
              </w:r>
            </w:p>
          </w:sdtContent>
        </w:sdt>
      </w:sdtContent>
    </w:sdt>
    <w:bookmarkEnd w:id="103" w:displacedByCustomXml="prev"/>
    <w:sdt>
      <w:sdtPr>
        <w:rPr>
          <w:rFonts w:ascii="宋体" w:hAnsi="宋体" w:cs="宋体"/>
          <w:b w:val="0"/>
          <w:bCs w:val="0"/>
          <w:kern w:val="0"/>
          <w:sz w:val="24"/>
          <w:szCs w:val="21"/>
        </w:rPr>
        <w:alias w:val="模块:战略投资者或一般法人因配售新股成为前10名股东"/>
        <w:tag w:val="_SEC_7b16ab72c87b46c1aaa4818a9a422005"/>
        <w:id w:val="19905884"/>
        <w:lock w:val="sdtLocked"/>
        <w:placeholder>
          <w:docPart w:val="GBC22222222222222222222222222222"/>
        </w:placeholder>
      </w:sdtPr>
      <w:sdtEndPr>
        <w:rPr>
          <w:sz w:val="21"/>
          <w:szCs w:val="24"/>
        </w:rPr>
      </w:sdtEndPr>
      <w:sdtContent>
        <w:p w:rsidR="00806678" w:rsidRDefault="00B16377">
          <w:pPr>
            <w:pStyle w:val="3"/>
            <w:numPr>
              <w:ilvl w:val="1"/>
              <w:numId w:val="14"/>
            </w:numPr>
            <w:ind w:left="426" w:hanging="426"/>
            <w:rPr>
              <w:szCs w:val="21"/>
            </w:rPr>
          </w:pPr>
          <w:r>
            <w:rPr>
              <w:szCs w:val="21"/>
            </w:rPr>
            <w:t>战略投资者或一般法人因配售新股成为前</w:t>
          </w:r>
          <w:r>
            <w:rPr>
              <w:szCs w:val="21"/>
            </w:rPr>
            <w:t>10</w:t>
          </w:r>
          <w:r>
            <w:rPr>
              <w:szCs w:val="21"/>
            </w:rPr>
            <w:t>名股东</w:t>
          </w:r>
        </w:p>
        <w:sdt>
          <w:sdtPr>
            <w:alias w:val="是否适用：战略投资者或一般法人因配售新股成为前10名股东[双击切换]"/>
            <w:tag w:val="_GBC_f3c63aafb8134fdcbdeb39fd33c2cd8d"/>
            <w:id w:val="-190225325"/>
            <w:lock w:val="sdtLocked"/>
            <w:placeholder>
              <w:docPart w:val="GBC22222222222222222222222222222"/>
            </w:placeholder>
          </w:sdtPr>
          <w:sdtContent>
            <w:p w:rsidR="00806678" w:rsidRDefault="00F80B6C" w:rsidP="00AC63E2">
              <w:r>
                <w:fldChar w:fldCharType="begin"/>
              </w:r>
              <w:r w:rsidR="00AC63E2">
                <w:instrText xml:space="preserve">MACROBUTTON  SnrToggleCheckbox □适用 </w:instrText>
              </w:r>
              <w:r>
                <w:fldChar w:fldCharType="end"/>
              </w:r>
              <w:r>
                <w:fldChar w:fldCharType="begin"/>
              </w:r>
              <w:r w:rsidR="00AC63E2">
                <w:instrText xml:space="preserve"> MACROBUTTON  SnrToggleCheckbox √不适用 </w:instrText>
              </w:r>
              <w:r>
                <w:fldChar w:fldCharType="end"/>
              </w:r>
            </w:p>
          </w:sdtContent>
        </w:sdt>
      </w:sdtContent>
    </w:sdt>
    <w:p w:rsidR="00806678" w:rsidRDefault="00B16377">
      <w:pPr>
        <w:pStyle w:val="2"/>
        <w:numPr>
          <w:ilvl w:val="0"/>
          <w:numId w:val="1"/>
        </w:numPr>
      </w:pPr>
      <w:r>
        <w:rPr>
          <w:rFonts w:hint="eastAsia"/>
        </w:rPr>
        <w:t>控股股东及实际控制人情况</w:t>
      </w:r>
    </w:p>
    <w:p w:rsidR="00806678" w:rsidRDefault="00B16377" w:rsidP="00FF17C7">
      <w:pPr>
        <w:pStyle w:val="3"/>
        <w:numPr>
          <w:ilvl w:val="0"/>
          <w:numId w:val="31"/>
        </w:numPr>
      </w:pPr>
      <w:r>
        <w:t>控股股东情况</w:t>
      </w:r>
    </w:p>
    <w:sdt>
      <w:sdtPr>
        <w:rPr>
          <w:rFonts w:ascii="宋体" w:eastAsia="宋体" w:hAnsi="宋体" w:cs="宋体"/>
          <w:b w:val="0"/>
          <w:bCs w:val="0"/>
          <w:kern w:val="0"/>
          <w:szCs w:val="24"/>
        </w:rPr>
        <w:alias w:val="模块:控股股东情况法人"/>
        <w:tag w:val="_SEC_603e90843919477b9c48becc10c16844"/>
        <w:id w:val="27485530"/>
        <w:lock w:val="sdtLocked"/>
        <w:placeholder>
          <w:docPart w:val="GBC22222222222222222222222222222"/>
        </w:placeholder>
      </w:sdtPr>
      <w:sdtEndPr>
        <w:rPr>
          <w:rFonts w:hint="eastAsia"/>
          <w:szCs w:val="21"/>
        </w:rPr>
      </w:sdtEndPr>
      <w:sdtContent>
        <w:p w:rsidR="00806678" w:rsidRDefault="00B16377" w:rsidP="00FF17C7">
          <w:pPr>
            <w:pStyle w:val="4"/>
            <w:numPr>
              <w:ilvl w:val="0"/>
              <w:numId w:val="32"/>
            </w:numPr>
          </w:pPr>
          <w:r>
            <w:t>法人</w:t>
          </w:r>
        </w:p>
        <w:sdt>
          <w:sdtPr>
            <w:alias w:val="是否适用：法人_控股股东情况[双击切换]"/>
            <w:tag w:val="_GBC_eab2d7c8478645dbae996b49d203b0d9"/>
            <w:id w:val="1890447721"/>
            <w:lock w:val="sdtLocked"/>
            <w:placeholder>
              <w:docPart w:val="GBC22222222222222222222222222222"/>
            </w:placeholder>
          </w:sdtPr>
          <w:sdtContent>
            <w:p w:rsidR="00806678" w:rsidRDefault="00F80B6C">
              <w:r>
                <w:fldChar w:fldCharType="begin"/>
              </w:r>
              <w:r w:rsidR="00174BD6">
                <w:instrText xml:space="preserve">MACROBUTTON  SnrToggleCheckbox √适用 </w:instrText>
              </w:r>
              <w:r>
                <w:fldChar w:fldCharType="end"/>
              </w:r>
              <w:r>
                <w:fldChar w:fldCharType="begin"/>
              </w:r>
              <w:r w:rsidR="00174BD6">
                <w:instrText xml:space="preserve"> MACROBUTTON  SnrToggleCheckbox □不适用 </w:instrText>
              </w:r>
              <w:r>
                <w:fldChar w:fldCharType="end"/>
              </w:r>
            </w:p>
          </w:sdtContent>
        </w:sdt>
        <w:tbl>
          <w:tblPr>
            <w:tblStyle w:val="a6"/>
            <w:tblW w:w="0" w:type="auto"/>
            <w:tblLook w:val="04A0"/>
          </w:tblPr>
          <w:tblGrid>
            <w:gridCol w:w="3085"/>
            <w:gridCol w:w="5964"/>
          </w:tblGrid>
          <w:tr w:rsidR="00806678" w:rsidTr="00174BD6">
            <w:trPr>
              <w:trHeight w:val="117"/>
            </w:trPr>
            <w:sdt>
              <w:sdtPr>
                <w:tag w:val="_PLD_e1d45d230e0e4c06bc451af63b51d4e2"/>
                <w:id w:val="-100722588"/>
                <w:lock w:val="sdtLocked"/>
              </w:sdtPr>
              <w:sdtContent>
                <w:tc>
                  <w:tcPr>
                    <w:tcW w:w="3085" w:type="dxa"/>
                  </w:tcPr>
                  <w:p w:rsidR="00806678" w:rsidRDefault="00B16377">
                    <w:pPr>
                      <w:rPr>
                        <w:szCs w:val="21"/>
                      </w:rPr>
                    </w:pPr>
                    <w:r>
                      <w:rPr>
                        <w:rFonts w:hint="eastAsia"/>
                        <w:szCs w:val="21"/>
                      </w:rPr>
                      <w:t>名称</w:t>
                    </w:r>
                  </w:p>
                </w:tc>
              </w:sdtContent>
            </w:sdt>
            <w:sdt>
              <w:sdtPr>
                <w:rPr>
                  <w:rFonts w:hint="eastAsia"/>
                  <w:szCs w:val="21"/>
                </w:rPr>
                <w:alias w:val="法人控股股东名称"/>
                <w:tag w:val="_GBC_b9697fb9b1e247b58382e6e5a1fdba0f"/>
                <w:id w:val="-1832515684"/>
                <w:lock w:val="sdtLocked"/>
              </w:sdtPr>
              <w:sdtContent>
                <w:tc>
                  <w:tcPr>
                    <w:tcW w:w="5964" w:type="dxa"/>
                  </w:tcPr>
                  <w:p w:rsidR="00806678" w:rsidRDefault="00174BD6">
                    <w:pPr>
                      <w:rPr>
                        <w:szCs w:val="21"/>
                      </w:rPr>
                    </w:pPr>
                    <w:r w:rsidRPr="00174BD6">
                      <w:rPr>
                        <w:rFonts w:hint="eastAsia"/>
                        <w:szCs w:val="21"/>
                      </w:rPr>
                      <w:t>中国铁路太原局集团有限公司</w:t>
                    </w:r>
                  </w:p>
                </w:tc>
              </w:sdtContent>
            </w:sdt>
          </w:tr>
          <w:tr w:rsidR="00806678" w:rsidTr="00174BD6">
            <w:trPr>
              <w:trHeight w:val="75"/>
            </w:trPr>
            <w:sdt>
              <w:sdtPr>
                <w:tag w:val="_PLD_8136b3e11235492c8cd0111dfc8a7bd7"/>
                <w:id w:val="174233240"/>
                <w:lock w:val="sdtLocked"/>
              </w:sdtPr>
              <w:sdtContent>
                <w:tc>
                  <w:tcPr>
                    <w:tcW w:w="3085" w:type="dxa"/>
                  </w:tcPr>
                  <w:p w:rsidR="00806678" w:rsidRDefault="00B16377">
                    <w:pPr>
                      <w:rPr>
                        <w:szCs w:val="21"/>
                      </w:rPr>
                    </w:pPr>
                    <w:r>
                      <w:rPr>
                        <w:rFonts w:hint="eastAsia"/>
                        <w:szCs w:val="21"/>
                      </w:rPr>
                      <w:t>单位负责人或法定代表人</w:t>
                    </w:r>
                  </w:p>
                </w:tc>
              </w:sdtContent>
            </w:sdt>
            <w:tc>
              <w:tcPr>
                <w:tcW w:w="5964" w:type="dxa"/>
              </w:tcPr>
              <w:p w:rsidR="00806678" w:rsidRDefault="00174BD6">
                <w:pPr>
                  <w:rPr>
                    <w:szCs w:val="21"/>
                  </w:rPr>
                </w:pPr>
                <w:r w:rsidRPr="00174BD6">
                  <w:rPr>
                    <w:rFonts w:hint="eastAsia"/>
                    <w:szCs w:val="21"/>
                  </w:rPr>
                  <w:t>戴弘</w:t>
                </w:r>
              </w:p>
            </w:tc>
          </w:tr>
          <w:tr w:rsidR="00806678" w:rsidTr="00174BD6">
            <w:trPr>
              <w:trHeight w:val="225"/>
            </w:trPr>
            <w:sdt>
              <w:sdtPr>
                <w:tag w:val="_PLD_1df0002b20b542f5b7092107da8156d8"/>
                <w:id w:val="-1637786828"/>
                <w:lock w:val="sdtLocked"/>
              </w:sdtPr>
              <w:sdtContent>
                <w:tc>
                  <w:tcPr>
                    <w:tcW w:w="3085" w:type="dxa"/>
                  </w:tcPr>
                  <w:p w:rsidR="00806678" w:rsidRDefault="00B16377">
                    <w:pPr>
                      <w:rPr>
                        <w:szCs w:val="21"/>
                      </w:rPr>
                    </w:pPr>
                    <w:r>
                      <w:rPr>
                        <w:rFonts w:hint="eastAsia"/>
                        <w:szCs w:val="21"/>
                      </w:rPr>
                      <w:t>成立日期</w:t>
                    </w:r>
                  </w:p>
                </w:tc>
              </w:sdtContent>
            </w:sdt>
            <w:tc>
              <w:tcPr>
                <w:tcW w:w="5964" w:type="dxa"/>
              </w:tcPr>
              <w:p w:rsidR="00806678" w:rsidRDefault="00174BD6">
                <w:pPr>
                  <w:rPr>
                    <w:szCs w:val="21"/>
                  </w:rPr>
                </w:pPr>
                <w:r w:rsidRPr="00174BD6">
                  <w:rPr>
                    <w:szCs w:val="21"/>
                  </w:rPr>
                  <w:t>2005年04月29日</w:t>
                </w:r>
              </w:p>
            </w:tc>
          </w:tr>
          <w:tr w:rsidR="00806678" w:rsidTr="00174BD6">
            <w:trPr>
              <w:trHeight w:val="150"/>
            </w:trPr>
            <w:sdt>
              <w:sdtPr>
                <w:tag w:val="_PLD_1818a197d8b949079e4533012ebd27c1"/>
                <w:id w:val="586503530"/>
                <w:lock w:val="sdtLocked"/>
              </w:sdtPr>
              <w:sdtContent>
                <w:tc>
                  <w:tcPr>
                    <w:tcW w:w="3085" w:type="dxa"/>
                  </w:tcPr>
                  <w:p w:rsidR="00806678" w:rsidRDefault="00B16377">
                    <w:pPr>
                      <w:rPr>
                        <w:szCs w:val="21"/>
                      </w:rPr>
                    </w:pPr>
                    <w:r>
                      <w:rPr>
                        <w:rFonts w:hint="eastAsia"/>
                        <w:szCs w:val="21"/>
                      </w:rPr>
                      <w:t>主要经营业务</w:t>
                    </w:r>
                  </w:p>
                </w:tc>
              </w:sdtContent>
            </w:sdt>
            <w:tc>
              <w:tcPr>
                <w:tcW w:w="5964" w:type="dxa"/>
              </w:tcPr>
              <w:p w:rsidR="00806678" w:rsidRDefault="00174BD6">
                <w:pPr>
                  <w:rPr>
                    <w:szCs w:val="21"/>
                  </w:rPr>
                </w:pPr>
                <w:r w:rsidRPr="00174BD6">
                  <w:rPr>
                    <w:rFonts w:hint="eastAsia"/>
                    <w:szCs w:val="21"/>
                  </w:rPr>
                  <w:t>铁路客货运输及相关服务业务，铁路运输；铁路运输设备、设施、配件的制造、安装、销售、维修、租赁</w:t>
                </w:r>
                <w:r>
                  <w:rPr>
                    <w:rFonts w:hint="eastAsia"/>
                    <w:szCs w:val="21"/>
                  </w:rPr>
                  <w:t>等</w:t>
                </w:r>
              </w:p>
            </w:tc>
          </w:tr>
          <w:tr w:rsidR="00806678" w:rsidTr="00174BD6">
            <w:trPr>
              <w:trHeight w:val="132"/>
            </w:trPr>
            <w:sdt>
              <w:sdtPr>
                <w:tag w:val="_PLD_493328bd6f094c40b55613b4e262be19"/>
                <w:id w:val="455688896"/>
                <w:lock w:val="sdtLocked"/>
              </w:sdtPr>
              <w:sdtContent>
                <w:tc>
                  <w:tcPr>
                    <w:tcW w:w="3085" w:type="dxa"/>
                  </w:tcPr>
                  <w:p w:rsidR="00806678" w:rsidRDefault="00B16377">
                    <w:pPr>
                      <w:rPr>
                        <w:szCs w:val="21"/>
                      </w:rPr>
                    </w:pPr>
                    <w:r>
                      <w:rPr>
                        <w:rFonts w:hint="eastAsia"/>
                        <w:szCs w:val="21"/>
                      </w:rPr>
                      <w:t>报告期内控股和参股的其他境内外上市公司的股权情况</w:t>
                    </w:r>
                  </w:p>
                </w:tc>
              </w:sdtContent>
            </w:sdt>
            <w:tc>
              <w:tcPr>
                <w:tcW w:w="5964" w:type="dxa"/>
              </w:tcPr>
              <w:p w:rsidR="00806678" w:rsidRDefault="00174BD6">
                <w:pPr>
                  <w:rPr>
                    <w:szCs w:val="21"/>
                  </w:rPr>
                </w:pPr>
                <w:r>
                  <w:rPr>
                    <w:rFonts w:hint="eastAsia"/>
                    <w:szCs w:val="21"/>
                  </w:rPr>
                  <w:t>无</w:t>
                </w:r>
              </w:p>
            </w:tc>
          </w:tr>
          <w:tr w:rsidR="00806678" w:rsidTr="00174BD6">
            <w:trPr>
              <w:trHeight w:val="147"/>
            </w:trPr>
            <w:sdt>
              <w:sdtPr>
                <w:tag w:val="_PLD_416c392305fd4bc8a741158a40d9ba6e"/>
                <w:id w:val="497926427"/>
                <w:lock w:val="sdtLocked"/>
              </w:sdtPr>
              <w:sdtContent>
                <w:tc>
                  <w:tcPr>
                    <w:tcW w:w="3085" w:type="dxa"/>
                  </w:tcPr>
                  <w:p w:rsidR="00806678" w:rsidRDefault="00B16377">
                    <w:r>
                      <w:rPr>
                        <w:rFonts w:hint="eastAsia"/>
                      </w:rPr>
                      <w:t>其他情况说明</w:t>
                    </w:r>
                  </w:p>
                </w:tc>
              </w:sdtContent>
            </w:sdt>
            <w:tc>
              <w:tcPr>
                <w:tcW w:w="5964" w:type="dxa"/>
              </w:tcPr>
              <w:p w:rsidR="00806678" w:rsidRDefault="00174BD6">
                <w:r>
                  <w:rPr>
                    <w:rFonts w:hint="eastAsia"/>
                  </w:rPr>
                  <w:t>无</w:t>
                </w:r>
              </w:p>
            </w:tc>
          </w:tr>
        </w:tbl>
        <w:p w:rsidR="00806678" w:rsidRDefault="00F80B6C"/>
      </w:sdtContent>
    </w:sdt>
    <w:sdt>
      <w:sdtPr>
        <w:rPr>
          <w:rFonts w:ascii="宋体" w:eastAsia="宋体" w:hAnsi="宋体" w:cs="宋体"/>
          <w:b w:val="0"/>
          <w:bCs w:val="0"/>
          <w:kern w:val="0"/>
          <w:szCs w:val="24"/>
        </w:rPr>
        <w:alias w:val="模块:控股股东情况自然人"/>
        <w:tag w:val="_SEC_c171a23a3658485db3b86f3cfcc2a64d"/>
        <w:id w:val="27485663"/>
        <w:lock w:val="sdtLocked"/>
        <w:placeholder>
          <w:docPart w:val="GBC22222222222222222222222222222"/>
        </w:placeholder>
      </w:sdtPr>
      <w:sdtEndPr>
        <w:rPr>
          <w:szCs w:val="21"/>
        </w:rPr>
      </w:sdtEndPr>
      <w:sdtContent>
        <w:p w:rsidR="00806678" w:rsidRDefault="00B16377" w:rsidP="00FF17C7">
          <w:pPr>
            <w:pStyle w:val="4"/>
            <w:numPr>
              <w:ilvl w:val="0"/>
              <w:numId w:val="32"/>
            </w:numPr>
          </w:pPr>
          <w:r>
            <w:t>自然人</w:t>
          </w:r>
        </w:p>
        <w:sdt>
          <w:sdtPr>
            <w:alias w:val="是否适用：自然人_控股股东情况[双击切换]"/>
            <w:tag w:val="_GBC_050e33c59070475b9b048117126cc6ba"/>
            <w:id w:val="1060284973"/>
            <w:lock w:val="sdtLocked"/>
            <w:placeholder>
              <w:docPart w:val="GBC22222222222222222222222222222"/>
            </w:placeholder>
          </w:sdtPr>
          <w:sdtContent>
            <w:p w:rsidR="00806678" w:rsidRDefault="00F80B6C" w:rsidP="004E1CF9">
              <w:r>
                <w:fldChar w:fldCharType="begin"/>
              </w:r>
              <w:r w:rsidR="004E1CF9">
                <w:instrText xml:space="preserve">MACROBUTTON  SnrToggleCheckbox □适用 </w:instrText>
              </w:r>
              <w:r>
                <w:fldChar w:fldCharType="end"/>
              </w:r>
              <w:r>
                <w:fldChar w:fldCharType="begin"/>
              </w:r>
              <w:r w:rsidR="004E1CF9">
                <w:instrText xml:space="preserve"> MACROBUTTON  SnrToggleCheckbox √不适用 </w:instrText>
              </w:r>
              <w:r>
                <w:fldChar w:fldCharType="end"/>
              </w:r>
            </w:p>
          </w:sdtContent>
        </w:sdt>
      </w:sdtContent>
    </w:sdt>
    <w:sdt>
      <w:sdtPr>
        <w:rPr>
          <w:rFonts w:ascii="宋体" w:eastAsia="宋体" w:hAnsi="宋体" w:cs="宋体" w:hint="eastAsia"/>
          <w:b w:val="0"/>
          <w:bCs w:val="0"/>
          <w:kern w:val="0"/>
          <w:szCs w:val="24"/>
        </w:rPr>
        <w:alias w:val="模块:公司不存在控股股东情况的特别说明"/>
        <w:tag w:val="_SEC_70bc1c568fef4bfc833da7470401e558"/>
        <w:id w:val="27485710"/>
        <w:lock w:val="sdtLocked"/>
        <w:placeholder>
          <w:docPart w:val="GBC22222222222222222222222222222"/>
        </w:placeholder>
      </w:sdtPr>
      <w:sdtEndPr>
        <w:rPr>
          <w:rFonts w:hint="default"/>
          <w:szCs w:val="21"/>
        </w:rPr>
      </w:sdtEndPr>
      <w:sdtContent>
        <w:p w:rsidR="00806678" w:rsidRDefault="00B16377" w:rsidP="00FF17C7">
          <w:pPr>
            <w:pStyle w:val="4"/>
            <w:numPr>
              <w:ilvl w:val="0"/>
              <w:numId w:val="32"/>
            </w:numPr>
          </w:pPr>
          <w:r>
            <w:rPr>
              <w:rFonts w:hint="eastAsia"/>
            </w:rPr>
            <w:t>公司不存在控股股东情况的特别说明</w:t>
          </w:r>
        </w:p>
        <w:sdt>
          <w:sdtPr>
            <w:rPr>
              <w:rFonts w:hint="eastAsia"/>
              <w:szCs w:val="21"/>
            </w:rPr>
            <w:alias w:val="是否适用：公司不存在控股股东情况的特别说明[双击切换]"/>
            <w:tag w:val="_GBC_2c420ad8f9bd455b89ad3a0d10597af2"/>
            <w:id w:val="574632910"/>
            <w:lock w:val="sdtLocked"/>
            <w:placeholder>
              <w:docPart w:val="GBC22222222222222222222222222222"/>
            </w:placeholder>
          </w:sdtPr>
          <w:sdtContent>
            <w:p w:rsidR="00806678" w:rsidRPr="004E1CF9" w:rsidRDefault="00F80B6C">
              <w:r>
                <w:rPr>
                  <w:szCs w:val="21"/>
                </w:rPr>
                <w:fldChar w:fldCharType="begin"/>
              </w:r>
              <w:r w:rsidR="004E1CF9">
                <w:rPr>
                  <w:szCs w:val="21"/>
                </w:rPr>
                <w:instrText xml:space="preserve"> MACROBUTTON  SnrToggleCheckbox □适用  </w:instrText>
              </w:r>
              <w:r>
                <w:rPr>
                  <w:szCs w:val="21"/>
                </w:rPr>
                <w:fldChar w:fldCharType="end"/>
              </w:r>
              <w:r>
                <w:rPr>
                  <w:szCs w:val="21"/>
                </w:rPr>
                <w:fldChar w:fldCharType="begin"/>
              </w:r>
              <w:r w:rsidR="004E1CF9">
                <w:rPr>
                  <w:szCs w:val="21"/>
                </w:rPr>
                <w:instrText xml:space="preserve"> MACROBUTTON  SnrToggleCheckbox √不适用 </w:instrText>
              </w:r>
              <w:r>
                <w:rPr>
                  <w:szCs w:val="21"/>
                </w:rPr>
                <w:fldChar w:fldCharType="end"/>
              </w:r>
            </w:p>
          </w:sdtContent>
        </w:sdt>
      </w:sdtContent>
    </w:sdt>
    <w:sdt>
      <w:sdtPr>
        <w:rPr>
          <w:rFonts w:ascii="宋体" w:eastAsia="宋体" w:hAnsi="宋体" w:cs="宋体" w:hint="eastAsia"/>
          <w:b w:val="0"/>
          <w:bCs w:val="0"/>
          <w:kern w:val="0"/>
          <w:szCs w:val="24"/>
        </w:rPr>
        <w:alias w:val="模块:报告期内控股股东变更情况索引及日期"/>
        <w:tag w:val="_SEC_8c6549023dc64c378601b5bc20deede9"/>
        <w:id w:val="27485709"/>
        <w:lock w:val="sdtLocked"/>
        <w:placeholder>
          <w:docPart w:val="GBC22222222222222222222222222222"/>
        </w:placeholder>
      </w:sdtPr>
      <w:sdtEndPr>
        <w:rPr>
          <w:rFonts w:hint="default"/>
        </w:rPr>
      </w:sdtEndPr>
      <w:sdtContent>
        <w:p w:rsidR="00806678" w:rsidRDefault="00B16377" w:rsidP="00FF17C7">
          <w:pPr>
            <w:pStyle w:val="4"/>
            <w:numPr>
              <w:ilvl w:val="0"/>
              <w:numId w:val="32"/>
            </w:numPr>
          </w:pPr>
          <w:r>
            <w:rPr>
              <w:rFonts w:hint="eastAsia"/>
            </w:rPr>
            <w:t>报告期内控股股东变更情况的说明</w:t>
          </w:r>
        </w:p>
        <w:sdt>
          <w:sdtPr>
            <w:rPr>
              <w:rFonts w:hint="eastAsia"/>
              <w:szCs w:val="21"/>
            </w:rPr>
            <w:alias w:val="是否适用：报告期内控股股东变更情况的说明[双击切换]"/>
            <w:tag w:val="_GBC_ba32d923117643d78736fd77472e578b"/>
            <w:id w:val="-1280022002"/>
            <w:lock w:val="sdtLocked"/>
            <w:placeholder>
              <w:docPart w:val="GBC22222222222222222222222222222"/>
            </w:placeholder>
          </w:sdtPr>
          <w:sdtContent>
            <w:p w:rsidR="00806678" w:rsidRDefault="00F80B6C" w:rsidP="004E1CF9">
              <w:pPr>
                <w:rPr>
                  <w:szCs w:val="21"/>
                </w:rPr>
              </w:pPr>
              <w:r>
                <w:rPr>
                  <w:szCs w:val="21"/>
                </w:rPr>
                <w:fldChar w:fldCharType="begin"/>
              </w:r>
              <w:r w:rsidR="004E1CF9">
                <w:rPr>
                  <w:szCs w:val="21"/>
                </w:rPr>
                <w:instrText xml:space="preserve"> MACROBUTTON  SnrToggleCheckbox □适用  </w:instrText>
              </w:r>
              <w:r>
                <w:rPr>
                  <w:szCs w:val="21"/>
                </w:rPr>
                <w:fldChar w:fldCharType="end"/>
              </w:r>
              <w:r>
                <w:rPr>
                  <w:szCs w:val="21"/>
                </w:rPr>
                <w:fldChar w:fldCharType="begin"/>
              </w:r>
              <w:r w:rsidR="004E1CF9">
                <w:rPr>
                  <w:szCs w:val="21"/>
                </w:rPr>
                <w:instrText xml:space="preserve"> MACROBUTTON  SnrToggleCheckbox √不适用 </w:instrText>
              </w:r>
              <w:r>
                <w:rPr>
                  <w:szCs w:val="21"/>
                </w:rPr>
                <w:fldChar w:fldCharType="end"/>
              </w:r>
            </w:p>
          </w:sdtContent>
        </w:sdt>
      </w:sdtContent>
    </w:sdt>
    <w:p w:rsidR="00806678" w:rsidRDefault="00B16377" w:rsidP="00FF17C7">
      <w:pPr>
        <w:pStyle w:val="4"/>
        <w:numPr>
          <w:ilvl w:val="0"/>
          <w:numId w:val="32"/>
        </w:numPr>
      </w:pPr>
      <w:r>
        <w:rPr>
          <w:rFonts w:hint="eastAsia"/>
        </w:rPr>
        <w:t>公司与控股股东之间的产权及控制关系的方框图</w:t>
      </w:r>
    </w:p>
    <w:sdt>
      <w:sdtPr>
        <w:rPr>
          <w:rFonts w:hint="eastAsia"/>
          <w:b/>
          <w:bCs/>
          <w:szCs w:val="21"/>
        </w:rPr>
        <w:alias w:val="模块:公司与控股股东之间的产权及控制关系的方框图"/>
        <w:tag w:val="_SEC_4121b38278ee4945bfa8eb87dafa9db1"/>
        <w:id w:val="16813455"/>
        <w:lock w:val="sdtLocked"/>
        <w:placeholder>
          <w:docPart w:val="GBC22222222222222222222222222222"/>
        </w:placeholder>
      </w:sdtPr>
      <w:sdtEndPr>
        <w:rPr>
          <w:b w:val="0"/>
          <w:bCs w:val="0"/>
        </w:rPr>
      </w:sdtEndPr>
      <w:sdtContent>
        <w:sdt>
          <w:sdtPr>
            <w:alias w:val="是否适用：公司与控股股东之间的产权及控制关系的方框图[双击切换]"/>
            <w:tag w:val="_GBC_aa1ed4124bd443219ac5782763143cd7"/>
            <w:id w:val="1007484310"/>
            <w:lock w:val="sdtLocked"/>
            <w:placeholder>
              <w:docPart w:val="GBC22222222222222222222222222222"/>
            </w:placeholder>
          </w:sdtPr>
          <w:sdtContent>
            <w:p w:rsidR="00806678" w:rsidRDefault="00F80B6C">
              <w:pPr>
                <w:rPr>
                  <w:szCs w:val="21"/>
                </w:rPr>
              </w:pPr>
              <w:r>
                <w:rPr>
                  <w:szCs w:val="21"/>
                </w:rPr>
                <w:fldChar w:fldCharType="begin"/>
              </w:r>
              <w:r w:rsidR="006B3C41">
                <w:rPr>
                  <w:szCs w:val="21"/>
                </w:rPr>
                <w:instrText xml:space="preserve"> MACROBUTTON  SnrToggleCheckbox √适用  </w:instrText>
              </w:r>
              <w:r>
                <w:rPr>
                  <w:szCs w:val="21"/>
                </w:rPr>
                <w:fldChar w:fldCharType="end"/>
              </w:r>
              <w:r>
                <w:rPr>
                  <w:szCs w:val="21"/>
                </w:rPr>
                <w:fldChar w:fldCharType="begin"/>
              </w:r>
              <w:r w:rsidR="006B3C41">
                <w:rPr>
                  <w:szCs w:val="21"/>
                </w:rPr>
                <w:instrText xml:space="preserve"> MACROBUTTON  SnrToggleCheckbox □不适用 </w:instrText>
              </w:r>
              <w:r>
                <w:rPr>
                  <w:szCs w:val="21"/>
                </w:rPr>
                <w:fldChar w:fldCharType="end"/>
              </w:r>
            </w:p>
          </w:sdtContent>
        </w:sdt>
        <w:sdt>
          <w:sdtPr>
            <w:rPr>
              <w:rFonts w:hint="eastAsia"/>
              <w:szCs w:val="21"/>
            </w:rPr>
            <w:alias w:val="图片：公司与控股股东之间的产权及控制关系的方框图"/>
            <w:tag w:val="_GBC_237afe95a2de48a5baec021682951b46"/>
            <w:id w:val="16813457"/>
            <w:lock w:val="sdtLocked"/>
            <w:placeholder>
              <w:docPart w:val="GBC22222222222222222222222222222"/>
            </w:placeholder>
            <w:picture/>
          </w:sdtPr>
          <w:sdtContent>
            <w:p w:rsidR="00806678" w:rsidRDefault="00B16377">
              <w:pPr>
                <w:rPr>
                  <w:szCs w:val="21"/>
                </w:rPr>
              </w:pPr>
              <w:r>
                <w:rPr>
                  <w:rFonts w:hint="eastAsia"/>
                  <w:noProof/>
                  <w:szCs w:val="21"/>
                </w:rPr>
                <w:drawing>
                  <wp:inline distT="0" distB="0" distL="0" distR="0">
                    <wp:extent cx="2800350" cy="1973580"/>
                    <wp:effectExtent l="1905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tretch>
                              <a:fillRect/>
                            </a:stretch>
                          </pic:blipFill>
                          <pic:spPr bwMode="auto">
                            <a:xfrm>
                              <a:off x="0" y="0"/>
                              <a:ext cx="2804448" cy="1976468"/>
                            </a:xfrm>
                            <a:prstGeom prst="rect">
                              <a:avLst/>
                            </a:prstGeom>
                            <a:noFill/>
                            <a:ln w="9525">
                              <a:noFill/>
                              <a:miter lim="800000"/>
                              <a:headEnd/>
                              <a:tailEnd/>
                            </a:ln>
                          </pic:spPr>
                        </pic:pic>
                      </a:graphicData>
                    </a:graphic>
                  </wp:inline>
                </w:drawing>
              </w:r>
            </w:p>
          </w:sdtContent>
        </w:sdt>
      </w:sdtContent>
    </w:sdt>
    <w:p w:rsidR="00806678" w:rsidRDefault="00806678">
      <w:pPr>
        <w:rPr>
          <w:szCs w:val="21"/>
        </w:rPr>
      </w:pPr>
    </w:p>
    <w:p w:rsidR="00806678" w:rsidRDefault="00B16377" w:rsidP="00FF17C7">
      <w:pPr>
        <w:pStyle w:val="3"/>
        <w:numPr>
          <w:ilvl w:val="0"/>
          <w:numId w:val="31"/>
        </w:numPr>
      </w:pPr>
      <w:r>
        <w:rPr>
          <w:rFonts w:hint="eastAsia"/>
        </w:rPr>
        <w:t>实际控制人情况</w:t>
      </w:r>
    </w:p>
    <w:sdt>
      <w:sdtPr>
        <w:rPr>
          <w:rFonts w:ascii="宋体" w:eastAsia="宋体" w:hAnsi="宋体" w:cs="宋体" w:hint="eastAsia"/>
          <w:b w:val="0"/>
          <w:bCs w:val="0"/>
          <w:kern w:val="0"/>
          <w:szCs w:val="24"/>
        </w:rPr>
        <w:alias w:val="模块:实际控制人情况法人"/>
        <w:tag w:val="_SEC_d1e4bdc329624f1ba319634a4fbdd195"/>
        <w:id w:val="27485753"/>
        <w:lock w:val="sdtLocked"/>
        <w:placeholder>
          <w:docPart w:val="GBC22222222222222222222222222222"/>
        </w:placeholder>
      </w:sdtPr>
      <w:sdtEndPr>
        <w:rPr>
          <w:szCs w:val="21"/>
        </w:rPr>
      </w:sdtEndPr>
      <w:sdtContent>
        <w:p w:rsidR="00806678" w:rsidRDefault="00B16377" w:rsidP="00FF17C7">
          <w:pPr>
            <w:pStyle w:val="4"/>
            <w:numPr>
              <w:ilvl w:val="0"/>
              <w:numId w:val="33"/>
            </w:numPr>
          </w:pPr>
          <w:r>
            <w:rPr>
              <w:rFonts w:hint="eastAsia"/>
            </w:rPr>
            <w:t>法人</w:t>
          </w:r>
        </w:p>
        <w:sdt>
          <w:sdtPr>
            <w:alias w:val="是否适用：法人_实际控制人情况[双击切换]"/>
            <w:tag w:val="_GBC_6cb3195cd6c545489bd6151d0ee57d58"/>
            <w:id w:val="-1713335205"/>
            <w:lock w:val="sdtLocked"/>
            <w:placeholder>
              <w:docPart w:val="GBC22222222222222222222222222222"/>
            </w:placeholder>
          </w:sdtPr>
          <w:sdtContent>
            <w:p w:rsidR="00806678" w:rsidRDefault="00F80B6C">
              <w:r>
                <w:fldChar w:fldCharType="begin"/>
              </w:r>
              <w:r w:rsidR="004E1CF9">
                <w:instrText xml:space="preserve">MACROBUTTON  SnrToggleCheckbox √适用 </w:instrText>
              </w:r>
              <w:r>
                <w:fldChar w:fldCharType="end"/>
              </w:r>
              <w:r>
                <w:fldChar w:fldCharType="begin"/>
              </w:r>
              <w:r w:rsidR="004E1CF9">
                <w:instrText xml:space="preserve"> MACROBUTTON  SnrToggleCheckbox □不适用 </w:instrText>
              </w:r>
              <w:r>
                <w:fldChar w:fldCharType="end"/>
              </w:r>
            </w:p>
          </w:sdtContent>
        </w:sdt>
        <w:tbl>
          <w:tblPr>
            <w:tblStyle w:val="a6"/>
            <w:tblW w:w="5000" w:type="pct"/>
            <w:tblLook w:val="04A0"/>
          </w:tblPr>
          <w:tblGrid>
            <w:gridCol w:w="3404"/>
            <w:gridCol w:w="5645"/>
          </w:tblGrid>
          <w:tr w:rsidR="00806678" w:rsidTr="00187B4D">
            <w:trPr>
              <w:trHeight w:val="90"/>
            </w:trPr>
            <w:sdt>
              <w:sdtPr>
                <w:tag w:val="_PLD_9fd7942883b74d698fa4ca37d86c3d17"/>
                <w:id w:val="-1013533037"/>
                <w:lock w:val="sdtLocked"/>
              </w:sdtPr>
              <w:sdtContent>
                <w:tc>
                  <w:tcPr>
                    <w:tcW w:w="1881" w:type="pct"/>
                  </w:tcPr>
                  <w:p w:rsidR="00806678" w:rsidRDefault="00B16377">
                    <w:pPr>
                      <w:rPr>
                        <w:szCs w:val="21"/>
                      </w:rPr>
                    </w:pPr>
                    <w:r>
                      <w:rPr>
                        <w:szCs w:val="21"/>
                      </w:rPr>
                      <w:t>名称</w:t>
                    </w:r>
                  </w:p>
                </w:tc>
              </w:sdtContent>
            </w:sdt>
            <w:sdt>
              <w:sdtPr>
                <w:rPr>
                  <w:rFonts w:hint="eastAsia"/>
                  <w:szCs w:val="21"/>
                </w:rPr>
                <w:alias w:val="法人实际控制人名称"/>
                <w:tag w:val="_GBC_09078fe67bb948e3b338136f227f90f6"/>
                <w:id w:val="-1368750120"/>
                <w:lock w:val="sdtLocked"/>
              </w:sdtPr>
              <w:sdtContent>
                <w:tc>
                  <w:tcPr>
                    <w:tcW w:w="3119" w:type="pct"/>
                  </w:tcPr>
                  <w:p w:rsidR="00806678" w:rsidRDefault="004E1CF9">
                    <w:pPr>
                      <w:rPr>
                        <w:szCs w:val="21"/>
                      </w:rPr>
                    </w:pPr>
                    <w:r w:rsidRPr="004E1CF9">
                      <w:rPr>
                        <w:rFonts w:hint="eastAsia"/>
                        <w:szCs w:val="21"/>
                      </w:rPr>
                      <w:t>中国国家铁路集团有限公司</w:t>
                    </w:r>
                  </w:p>
                </w:tc>
              </w:sdtContent>
            </w:sdt>
          </w:tr>
          <w:tr w:rsidR="00806678" w:rsidTr="00187B4D">
            <w:trPr>
              <w:trHeight w:val="195"/>
            </w:trPr>
            <w:sdt>
              <w:sdtPr>
                <w:tag w:val="_PLD_eb915a63d3204d91b81f030e2f3db313"/>
                <w:id w:val="-1687361955"/>
                <w:lock w:val="sdtLocked"/>
              </w:sdtPr>
              <w:sdtContent>
                <w:tc>
                  <w:tcPr>
                    <w:tcW w:w="1881" w:type="pct"/>
                  </w:tcPr>
                  <w:p w:rsidR="00806678" w:rsidRDefault="00B16377">
                    <w:pPr>
                      <w:rPr>
                        <w:szCs w:val="21"/>
                      </w:rPr>
                    </w:pPr>
                    <w:r>
                      <w:rPr>
                        <w:szCs w:val="21"/>
                      </w:rPr>
                      <w:t>单位负责人或法定代表人</w:t>
                    </w:r>
                  </w:p>
                </w:tc>
              </w:sdtContent>
            </w:sdt>
            <w:tc>
              <w:tcPr>
                <w:tcW w:w="3119" w:type="pct"/>
              </w:tcPr>
              <w:p w:rsidR="00806678" w:rsidRDefault="004E1CF9">
                <w:pPr>
                  <w:rPr>
                    <w:szCs w:val="21"/>
                  </w:rPr>
                </w:pPr>
                <w:r w:rsidRPr="004E1CF9">
                  <w:rPr>
                    <w:rFonts w:hint="eastAsia"/>
                    <w:szCs w:val="21"/>
                  </w:rPr>
                  <w:t>刘振芳</w:t>
                </w:r>
              </w:p>
            </w:tc>
          </w:tr>
          <w:tr w:rsidR="00806678" w:rsidTr="00187B4D">
            <w:trPr>
              <w:trHeight w:val="102"/>
            </w:trPr>
            <w:sdt>
              <w:sdtPr>
                <w:tag w:val="_PLD_34b2bfe3972a47c7854993c382e720ec"/>
                <w:id w:val="-463817289"/>
                <w:lock w:val="sdtLocked"/>
              </w:sdtPr>
              <w:sdtContent>
                <w:tc>
                  <w:tcPr>
                    <w:tcW w:w="1881" w:type="pct"/>
                  </w:tcPr>
                  <w:p w:rsidR="00806678" w:rsidRDefault="00B16377">
                    <w:pPr>
                      <w:rPr>
                        <w:szCs w:val="21"/>
                      </w:rPr>
                    </w:pPr>
                    <w:r>
                      <w:rPr>
                        <w:szCs w:val="21"/>
                      </w:rPr>
                      <w:t>成立日期</w:t>
                    </w:r>
                  </w:p>
                </w:tc>
              </w:sdtContent>
            </w:sdt>
            <w:tc>
              <w:tcPr>
                <w:tcW w:w="3119" w:type="pct"/>
              </w:tcPr>
              <w:p w:rsidR="00806678" w:rsidRDefault="004E1CF9">
                <w:pPr>
                  <w:rPr>
                    <w:szCs w:val="21"/>
                  </w:rPr>
                </w:pPr>
                <w:r w:rsidRPr="004E1CF9">
                  <w:rPr>
                    <w:szCs w:val="21"/>
                  </w:rPr>
                  <w:t>2013年03月14日</w:t>
                </w:r>
              </w:p>
            </w:tc>
          </w:tr>
          <w:tr w:rsidR="00806678" w:rsidTr="00187B4D">
            <w:trPr>
              <w:trHeight w:val="165"/>
            </w:trPr>
            <w:sdt>
              <w:sdtPr>
                <w:tag w:val="_PLD_f14bbbddc27c41edaa09e694412c2d91"/>
                <w:id w:val="-2018757485"/>
                <w:lock w:val="sdtLocked"/>
              </w:sdtPr>
              <w:sdtContent>
                <w:tc>
                  <w:tcPr>
                    <w:tcW w:w="1881" w:type="pct"/>
                  </w:tcPr>
                  <w:p w:rsidR="00806678" w:rsidRDefault="00B16377">
                    <w:pPr>
                      <w:rPr>
                        <w:szCs w:val="21"/>
                      </w:rPr>
                    </w:pPr>
                    <w:r>
                      <w:rPr>
                        <w:szCs w:val="21"/>
                      </w:rPr>
                      <w:t>主要经营业务</w:t>
                    </w:r>
                  </w:p>
                </w:tc>
              </w:sdtContent>
            </w:sdt>
            <w:tc>
              <w:tcPr>
                <w:tcW w:w="3119" w:type="pct"/>
              </w:tcPr>
              <w:p w:rsidR="00806678" w:rsidRDefault="004E1CF9">
                <w:pPr>
                  <w:rPr>
                    <w:szCs w:val="21"/>
                  </w:rPr>
                </w:pPr>
                <w:r w:rsidRPr="004E1CF9">
                  <w:rPr>
                    <w:rFonts w:hint="eastAsia"/>
                    <w:szCs w:val="21"/>
                  </w:rPr>
                  <w:t>铁路客货运输等</w:t>
                </w:r>
              </w:p>
            </w:tc>
          </w:tr>
          <w:tr w:rsidR="00806678" w:rsidTr="00187B4D">
            <w:trPr>
              <w:trHeight w:val="150"/>
            </w:trPr>
            <w:sdt>
              <w:sdtPr>
                <w:tag w:val="_PLD_508808ae12b943d3919f955ae9103944"/>
                <w:id w:val="710767353"/>
                <w:lock w:val="sdtLocked"/>
              </w:sdtPr>
              <w:sdtContent>
                <w:tc>
                  <w:tcPr>
                    <w:tcW w:w="1881" w:type="pct"/>
                  </w:tcPr>
                  <w:p w:rsidR="00806678" w:rsidRDefault="00B16377">
                    <w:pPr>
                      <w:rPr>
                        <w:szCs w:val="21"/>
                      </w:rPr>
                    </w:pPr>
                    <w:r>
                      <w:rPr>
                        <w:szCs w:val="21"/>
                      </w:rPr>
                      <w:t>报告期内控股和参股的其他境内外上市公司的股权情况</w:t>
                    </w:r>
                  </w:p>
                </w:tc>
              </w:sdtContent>
            </w:sdt>
            <w:tc>
              <w:tcPr>
                <w:tcW w:w="3119" w:type="pct"/>
              </w:tcPr>
              <w:p w:rsidR="00806678" w:rsidRDefault="004E1CF9">
                <w:pPr>
                  <w:rPr>
                    <w:szCs w:val="21"/>
                  </w:rPr>
                </w:pPr>
                <w:r w:rsidRPr="004E1CF9">
                  <w:rPr>
                    <w:rFonts w:hint="eastAsia"/>
                    <w:szCs w:val="21"/>
                  </w:rPr>
                  <w:t>中国国家铁路集团有限公司是广深铁路（股票代码：</w:t>
                </w:r>
                <w:r w:rsidRPr="004E1CF9">
                  <w:rPr>
                    <w:szCs w:val="21"/>
                  </w:rPr>
                  <w:t>601333；HK0525）、铁龙物流（股票代码：600125）、京沪高铁（股票代码：601816）、铁科轨道（股票代码：688569）、中铁特货（股票代码：001213）、金鹰重工（股票代码：301048）</w:t>
                </w:r>
                <w:r>
                  <w:rPr>
                    <w:rFonts w:hint="eastAsia"/>
                    <w:szCs w:val="21"/>
                  </w:rPr>
                  <w:t>、哈铁科技（</w:t>
                </w:r>
                <w:r w:rsidRPr="004E1CF9">
                  <w:rPr>
                    <w:rFonts w:hint="eastAsia"/>
                    <w:szCs w:val="21"/>
                  </w:rPr>
                  <w:t>股票代码：</w:t>
                </w:r>
                <w:r>
                  <w:rPr>
                    <w:rFonts w:hint="eastAsia"/>
                    <w:szCs w:val="21"/>
                  </w:rPr>
                  <w:t>688459）</w:t>
                </w:r>
                <w:r w:rsidRPr="004E1CF9">
                  <w:rPr>
                    <w:szCs w:val="21"/>
                  </w:rPr>
                  <w:t>的实际控制人。</w:t>
                </w:r>
              </w:p>
            </w:tc>
          </w:tr>
          <w:tr w:rsidR="00806678" w:rsidTr="00187B4D">
            <w:trPr>
              <w:trHeight w:val="120"/>
            </w:trPr>
            <w:sdt>
              <w:sdtPr>
                <w:tag w:val="_PLD_8bc4b292d2724c05b05126150845a9d5"/>
                <w:id w:val="493613440"/>
                <w:lock w:val="sdtLocked"/>
              </w:sdtPr>
              <w:sdtContent>
                <w:tc>
                  <w:tcPr>
                    <w:tcW w:w="1881" w:type="pct"/>
                  </w:tcPr>
                  <w:p w:rsidR="00806678" w:rsidRDefault="00B16377">
                    <w:pPr>
                      <w:rPr>
                        <w:szCs w:val="21"/>
                      </w:rPr>
                    </w:pPr>
                    <w:r>
                      <w:rPr>
                        <w:rFonts w:hint="eastAsia"/>
                      </w:rPr>
                      <w:t>其他情况说明</w:t>
                    </w:r>
                  </w:p>
                </w:tc>
              </w:sdtContent>
            </w:sdt>
            <w:tc>
              <w:tcPr>
                <w:tcW w:w="3119" w:type="pct"/>
              </w:tcPr>
              <w:p w:rsidR="00806678" w:rsidRDefault="007A1DA0">
                <w:pPr>
                  <w:rPr>
                    <w:szCs w:val="21"/>
                  </w:rPr>
                </w:pPr>
                <w:r>
                  <w:rPr>
                    <w:rFonts w:hint="eastAsia"/>
                    <w:szCs w:val="21"/>
                  </w:rPr>
                  <w:t>无</w:t>
                </w:r>
              </w:p>
            </w:tc>
          </w:tr>
        </w:tbl>
        <w:p w:rsidR="00806678" w:rsidRDefault="00F80B6C"/>
      </w:sdtContent>
    </w:sdt>
    <w:sdt>
      <w:sdtPr>
        <w:rPr>
          <w:rFonts w:ascii="宋体" w:eastAsia="宋体" w:hAnsi="宋体" w:cs="宋体" w:hint="eastAsia"/>
          <w:b w:val="0"/>
          <w:bCs w:val="0"/>
          <w:kern w:val="0"/>
          <w:szCs w:val="24"/>
        </w:rPr>
        <w:alias w:val="模块:实际控制人情况自然人"/>
        <w:tag w:val="_SEC_82a067868b0b4b5eb99879535e2300c5"/>
        <w:id w:val="27486007"/>
        <w:lock w:val="sdtLocked"/>
        <w:placeholder>
          <w:docPart w:val="GBC22222222222222222222222222222"/>
        </w:placeholder>
      </w:sdtPr>
      <w:sdtEndPr>
        <w:rPr>
          <w:szCs w:val="21"/>
        </w:rPr>
      </w:sdtEndPr>
      <w:sdtContent>
        <w:p w:rsidR="00806678" w:rsidRDefault="00B16377" w:rsidP="00FF17C7">
          <w:pPr>
            <w:pStyle w:val="4"/>
            <w:numPr>
              <w:ilvl w:val="0"/>
              <w:numId w:val="33"/>
            </w:numPr>
          </w:pPr>
          <w:r>
            <w:rPr>
              <w:rFonts w:hint="eastAsia"/>
            </w:rPr>
            <w:t>自然人</w:t>
          </w:r>
        </w:p>
        <w:sdt>
          <w:sdtPr>
            <w:alias w:val="是否适用：自然人_实际控制人情况[双击切换]"/>
            <w:tag w:val="_GBC_359229fa8cca4506ac3cec3de8b5e99b"/>
            <w:id w:val="732198933"/>
            <w:lock w:val="sdtLocked"/>
            <w:placeholder>
              <w:docPart w:val="GBC22222222222222222222222222222"/>
            </w:placeholder>
          </w:sdtPr>
          <w:sdtContent>
            <w:p w:rsidR="00806678" w:rsidRDefault="00F80B6C" w:rsidP="007A1DA0">
              <w:pPr>
                <w:rPr>
                  <w:szCs w:val="21"/>
                </w:rPr>
              </w:pPr>
              <w:r>
                <w:fldChar w:fldCharType="begin"/>
              </w:r>
              <w:r w:rsidR="007A1DA0">
                <w:instrText xml:space="preserve">MACROBUTTON  SnrToggleCheckbox □适用 </w:instrText>
              </w:r>
              <w:r>
                <w:fldChar w:fldCharType="end"/>
              </w:r>
              <w:r>
                <w:fldChar w:fldCharType="begin"/>
              </w:r>
              <w:r w:rsidR="007A1DA0">
                <w:instrText xml:space="preserve"> MACROBUTTON  SnrToggleCheckbox √不适用 </w:instrText>
              </w:r>
              <w:r>
                <w:fldChar w:fldCharType="end"/>
              </w:r>
            </w:p>
          </w:sdtContent>
        </w:sdt>
      </w:sdtContent>
    </w:sdt>
    <w:sdt>
      <w:sdtPr>
        <w:rPr>
          <w:rFonts w:ascii="宋体" w:eastAsia="宋体" w:hAnsi="宋体" w:cs="宋体"/>
          <w:b w:val="0"/>
          <w:bCs w:val="0"/>
          <w:kern w:val="0"/>
          <w:szCs w:val="24"/>
        </w:rPr>
        <w:alias w:val="模块:公司不存在实际控制人情况的特别说明"/>
        <w:tag w:val="_SEC_5c0bf2f1ddf34e8c983cdf9fa31c1df0"/>
        <w:id w:val="27486099"/>
        <w:lock w:val="sdtLocked"/>
        <w:placeholder>
          <w:docPart w:val="GBC22222222222222222222222222222"/>
        </w:placeholder>
      </w:sdtPr>
      <w:sdtContent>
        <w:p w:rsidR="00806678" w:rsidRDefault="00B16377" w:rsidP="00FF17C7">
          <w:pPr>
            <w:pStyle w:val="4"/>
            <w:numPr>
              <w:ilvl w:val="0"/>
              <w:numId w:val="33"/>
            </w:numPr>
          </w:pPr>
          <w:r>
            <w:t>公司不存在实际控制人情况的特别说明</w:t>
          </w:r>
        </w:p>
        <w:sdt>
          <w:sdtPr>
            <w:rPr>
              <w:rFonts w:hint="eastAsia"/>
            </w:rPr>
            <w:alias w:val="是否适用：公司不存在实际控制人情况的特别说明[双击切换]"/>
            <w:tag w:val="_GBC_7380ff5e0fc6471583dc22db2252e039"/>
            <w:id w:val="-1995332851"/>
            <w:lock w:val="sdtLocked"/>
            <w:placeholder>
              <w:docPart w:val="GBC22222222222222222222222222222"/>
            </w:placeholder>
          </w:sdtPr>
          <w:sdtContent>
            <w:p w:rsidR="00806678" w:rsidRPr="007A1DA0" w:rsidRDefault="00F80B6C">
              <w:r>
                <w:fldChar w:fldCharType="begin"/>
              </w:r>
              <w:r w:rsidR="007A1DA0">
                <w:instrText xml:space="preserve"> MACROBUTTON  SnrToggleCheckbox □适用  </w:instrText>
              </w:r>
              <w:r>
                <w:fldChar w:fldCharType="end"/>
              </w:r>
              <w:r>
                <w:fldChar w:fldCharType="begin"/>
              </w:r>
              <w:r w:rsidR="007A1DA0">
                <w:instrText xml:space="preserve"> MACROBUTTON  SnrToggleCheckbox √不适用 </w:instrText>
              </w:r>
              <w:r>
                <w:fldChar w:fldCharType="end"/>
              </w:r>
            </w:p>
          </w:sdtContent>
        </w:sdt>
      </w:sdtContent>
    </w:sdt>
    <w:sdt>
      <w:sdtPr>
        <w:rPr>
          <w:rFonts w:ascii="宋体" w:eastAsia="宋体" w:hAnsi="宋体" w:cs="宋体"/>
          <w:b w:val="0"/>
          <w:bCs w:val="0"/>
          <w:kern w:val="0"/>
          <w:szCs w:val="24"/>
        </w:rPr>
        <w:alias w:val="模块:报告期内实际控制人变更情况索引及日期"/>
        <w:tag w:val="_SEC_8e248c9fca7b490e93849e8f5dce6a71"/>
        <w:id w:val="27486087"/>
        <w:lock w:val="sdtLocked"/>
        <w:placeholder>
          <w:docPart w:val="GBC22222222222222222222222222222"/>
        </w:placeholder>
      </w:sdtPr>
      <w:sdtEndPr>
        <w:rPr>
          <w:rFonts w:hint="eastAsia"/>
          <w:szCs w:val="21"/>
        </w:rPr>
      </w:sdtEndPr>
      <w:sdtContent>
        <w:p w:rsidR="00806678" w:rsidRDefault="00B16377" w:rsidP="00FF17C7">
          <w:pPr>
            <w:pStyle w:val="4"/>
            <w:numPr>
              <w:ilvl w:val="0"/>
              <w:numId w:val="33"/>
            </w:numPr>
          </w:pPr>
          <w:r>
            <w:t>报告期内</w:t>
          </w:r>
          <w:r>
            <w:rPr>
              <w:rFonts w:hint="eastAsia"/>
            </w:rPr>
            <w:t>公司</w:t>
          </w:r>
          <w:r>
            <w:t>控制</w:t>
          </w:r>
          <w:r>
            <w:rPr>
              <w:rFonts w:hint="eastAsia"/>
            </w:rPr>
            <w:t>权发生</w:t>
          </w:r>
          <w:r>
            <w:t>变更</w:t>
          </w:r>
          <w:r>
            <w:rPr>
              <w:rFonts w:hint="eastAsia"/>
            </w:rPr>
            <w:t>的情况说明</w:t>
          </w:r>
        </w:p>
        <w:sdt>
          <w:sdtPr>
            <w:rPr>
              <w:rFonts w:hint="eastAsia"/>
            </w:rPr>
            <w:alias w:val="是否适用：报告期内公司控制权发生变更的情况说明 [双击切换]"/>
            <w:tag w:val="_GBC_f12f62e5c67e473692b22389cda35aaa"/>
            <w:id w:val="-1983920389"/>
            <w:lock w:val="sdtLocked"/>
            <w:placeholder>
              <w:docPart w:val="GBC22222222222222222222222222222"/>
            </w:placeholder>
          </w:sdtPr>
          <w:sdtContent>
            <w:p w:rsidR="00806678" w:rsidRPr="006B3C41" w:rsidRDefault="00F80B6C">
              <w:pPr>
                <w:rPr>
                  <w:szCs w:val="21"/>
                </w:rPr>
              </w:pPr>
              <w:r>
                <w:fldChar w:fldCharType="begin"/>
              </w:r>
              <w:r w:rsidR="007A1DA0">
                <w:instrText xml:space="preserve"> MACROBUTTON  SnrToggleCheckbox □适用  </w:instrText>
              </w:r>
              <w:r>
                <w:fldChar w:fldCharType="end"/>
              </w:r>
              <w:r>
                <w:fldChar w:fldCharType="begin"/>
              </w:r>
              <w:r w:rsidR="007A1DA0">
                <w:instrText xml:space="preserve"> MACROBUTTON  SnrToggleCheckbox √不适用 </w:instrText>
              </w:r>
              <w:r>
                <w:fldChar w:fldCharType="end"/>
              </w:r>
            </w:p>
          </w:sdtContent>
        </w:sdt>
      </w:sdtContent>
    </w:sdt>
    <w:p w:rsidR="00806678" w:rsidRDefault="00B16377" w:rsidP="00FF17C7">
      <w:pPr>
        <w:pStyle w:val="4"/>
        <w:numPr>
          <w:ilvl w:val="0"/>
          <w:numId w:val="33"/>
        </w:numPr>
      </w:pPr>
      <w:r>
        <w:t>公司与实际控制人之间的产权及控制关系的方框图</w:t>
      </w:r>
    </w:p>
    <w:sdt>
      <w:sdtPr>
        <w:rPr>
          <w:b/>
          <w:bCs/>
        </w:rPr>
        <w:alias w:val="模块:公司与实际控制人之间的产权及控制关系的方框图"/>
        <w:tag w:val="_SEC_3098fbbbd09c4e7088990d33b36bcf2e"/>
        <w:id w:val="27486114"/>
        <w:lock w:val="sdtLocked"/>
        <w:placeholder>
          <w:docPart w:val="GBC22222222222222222222222222222"/>
        </w:placeholder>
      </w:sdtPr>
      <w:sdtEndPr>
        <w:rPr>
          <w:b w:val="0"/>
          <w:bCs w:val="0"/>
        </w:rPr>
      </w:sdtEndPr>
      <w:sdtContent>
        <w:sdt>
          <w:sdtPr>
            <w:alias w:val="是否适用：公司与实际控制人之间的产权及控制关系的方框图[双击切换]"/>
            <w:tag w:val="_GBC_8ddc5ba6a04141dc94582029460f81bd"/>
            <w:id w:val="-72977344"/>
            <w:lock w:val="sdtLocked"/>
            <w:placeholder>
              <w:docPart w:val="GBC22222222222222222222222222222"/>
            </w:placeholder>
          </w:sdtPr>
          <w:sdtContent>
            <w:p w:rsidR="00806678" w:rsidRDefault="00F80B6C">
              <w:pPr>
                <w:rPr>
                  <w:szCs w:val="21"/>
                </w:rPr>
              </w:pPr>
              <w:r>
                <w:rPr>
                  <w:szCs w:val="21"/>
                </w:rPr>
                <w:fldChar w:fldCharType="begin"/>
              </w:r>
              <w:r w:rsidR="006B3C41">
                <w:rPr>
                  <w:szCs w:val="21"/>
                </w:rPr>
                <w:instrText xml:space="preserve"> MACROBUTTON  SnrToggleCheckbox √适用  </w:instrText>
              </w:r>
              <w:r>
                <w:rPr>
                  <w:szCs w:val="21"/>
                </w:rPr>
                <w:fldChar w:fldCharType="end"/>
              </w:r>
              <w:r>
                <w:rPr>
                  <w:szCs w:val="21"/>
                </w:rPr>
                <w:fldChar w:fldCharType="begin"/>
              </w:r>
              <w:r w:rsidR="006B3C41">
                <w:rPr>
                  <w:szCs w:val="21"/>
                </w:rPr>
                <w:instrText xml:space="preserve"> MACROBUTTON  SnrToggleCheckbox □不适用 </w:instrText>
              </w:r>
              <w:r>
                <w:rPr>
                  <w:szCs w:val="21"/>
                </w:rPr>
                <w:fldChar w:fldCharType="end"/>
              </w:r>
            </w:p>
          </w:sdtContent>
        </w:sdt>
        <w:p w:rsidR="00806678" w:rsidRDefault="00F80B6C">
          <w:sdt>
            <w:sdtPr>
              <w:rPr>
                <w:rFonts w:hint="eastAsia"/>
              </w:rPr>
              <w:alias w:val="图片：公司与实际控制人之间的产权及控制关系的方框图"/>
              <w:tag w:val="_GBC_538f0b25ae684717a3c8362262a5a004"/>
              <w:id w:val="-1456782853"/>
              <w:lock w:val="sdtLocked"/>
              <w:placeholder>
                <w:docPart w:val="GBC22222222222222222222222222222"/>
              </w:placeholder>
              <w:picture/>
            </w:sdtPr>
            <w:sdtContent>
              <w:r w:rsidR="00B16377">
                <w:rPr>
                  <w:rFonts w:hint="eastAsia"/>
                  <w:noProof/>
                </w:rPr>
                <w:drawing>
                  <wp:inline distT="0" distB="0" distL="0" distR="0">
                    <wp:extent cx="3188970" cy="2263140"/>
                    <wp:effectExtent l="19050" t="0" r="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stretch>
                              <a:fillRect/>
                            </a:stretch>
                          </pic:blipFill>
                          <pic:spPr bwMode="auto">
                            <a:xfrm>
                              <a:off x="0" y="0"/>
                              <a:ext cx="3191912" cy="2265228"/>
                            </a:xfrm>
                            <a:prstGeom prst="rect">
                              <a:avLst/>
                            </a:prstGeom>
                            <a:noFill/>
                            <a:ln>
                              <a:noFill/>
                            </a:ln>
                          </pic:spPr>
                        </pic:pic>
                      </a:graphicData>
                    </a:graphic>
                  </wp:inline>
                </w:drawing>
              </w:r>
            </w:sdtContent>
          </w:sdt>
        </w:p>
      </w:sdtContent>
    </w:sdt>
    <w:p w:rsidR="00806678" w:rsidRDefault="00806678"/>
    <w:sdt>
      <w:sdtPr>
        <w:rPr>
          <w:rFonts w:ascii="宋体" w:eastAsia="宋体" w:hAnsi="宋体" w:cs="宋体"/>
          <w:b w:val="0"/>
          <w:bCs w:val="0"/>
          <w:kern w:val="0"/>
          <w:szCs w:val="24"/>
        </w:rPr>
        <w:alias w:val="模块:实际控制人通过信托或其他资产管理方式控制公司"/>
        <w:tag w:val="_SEC_d9354c7b8b8643b2a3e90cc40a27dfa8"/>
        <w:id w:val="27486069"/>
        <w:lock w:val="sdtLocked"/>
        <w:placeholder>
          <w:docPart w:val="GBC22222222222222222222222222222"/>
        </w:placeholder>
      </w:sdtPr>
      <w:sdtEndPr>
        <w:rPr>
          <w:rFonts w:hint="eastAsia"/>
        </w:rPr>
      </w:sdtEndPr>
      <w:sdtContent>
        <w:p w:rsidR="00806678" w:rsidRDefault="00B16377" w:rsidP="00FF17C7">
          <w:pPr>
            <w:pStyle w:val="4"/>
            <w:numPr>
              <w:ilvl w:val="0"/>
              <w:numId w:val="33"/>
            </w:numPr>
          </w:pPr>
          <w:r>
            <w:t>实际控制人通过信托或其他资产管理方式控制公司</w:t>
          </w:r>
        </w:p>
        <w:sdt>
          <w:sdtPr>
            <w:rPr>
              <w:rFonts w:hint="eastAsia"/>
            </w:rPr>
            <w:alias w:val="是否适用：实际控制人通过信托或其他资产管理方式控制公司[双击切换]"/>
            <w:tag w:val="_GBC_6cf01bf708a846488d76148c9aa3a1f3"/>
            <w:id w:val="-2080352196"/>
            <w:lock w:val="sdtLocked"/>
            <w:placeholder>
              <w:docPart w:val="GBC22222222222222222222222222222"/>
            </w:placeholder>
          </w:sdtPr>
          <w:sdtContent>
            <w:p w:rsidR="00806678" w:rsidRPr="00E53194" w:rsidRDefault="00F80B6C">
              <w:r>
                <w:fldChar w:fldCharType="begin"/>
              </w:r>
              <w:r w:rsidR="007A1DA0">
                <w:instrText xml:space="preserve"> MACROBUTTON  SnrToggleCheckbox □适用  </w:instrText>
              </w:r>
              <w:r>
                <w:fldChar w:fldCharType="end"/>
              </w:r>
              <w:r>
                <w:fldChar w:fldCharType="begin"/>
              </w:r>
              <w:r w:rsidR="007A1DA0">
                <w:instrText xml:space="preserve"> MACROBUTTON  SnrToggleCheckbox √不适用 </w:instrText>
              </w:r>
              <w:r>
                <w:fldChar w:fldCharType="end"/>
              </w:r>
            </w:p>
          </w:sdtContent>
        </w:sdt>
      </w:sdtContent>
    </w:sdt>
    <w:sdt>
      <w:sdtPr>
        <w:rPr>
          <w:rFonts w:ascii="宋体" w:hAnsi="宋体" w:cs="宋体"/>
          <w:b w:val="0"/>
          <w:bCs w:val="0"/>
          <w:kern w:val="0"/>
          <w:szCs w:val="24"/>
        </w:rPr>
        <w:alias w:val="模块:控股股东及实际控制人其他情况介绍"/>
        <w:tag w:val="_SEC_4d2866150700497eb747371eabd1ca73"/>
        <w:id w:val="3159034"/>
        <w:lock w:val="sdtLocked"/>
        <w:placeholder>
          <w:docPart w:val="GBC22222222222222222222222222222"/>
        </w:placeholder>
      </w:sdtPr>
      <w:sdtEndPr>
        <w:rPr>
          <w:rFonts w:hint="eastAsia"/>
        </w:rPr>
      </w:sdtEndPr>
      <w:sdtContent>
        <w:p w:rsidR="00806678" w:rsidRDefault="00B16377" w:rsidP="00FF17C7">
          <w:pPr>
            <w:pStyle w:val="3"/>
            <w:numPr>
              <w:ilvl w:val="0"/>
              <w:numId w:val="31"/>
            </w:numPr>
          </w:pPr>
          <w:r>
            <w:t>控股股东及实际控制人其他情况介绍</w:t>
          </w:r>
        </w:p>
        <w:sdt>
          <w:sdtPr>
            <w:rPr>
              <w:rFonts w:hint="eastAsia"/>
            </w:rPr>
            <w:alias w:val="是否适用：控股股东及实际控制人其他情况介绍[双击切换]"/>
            <w:tag w:val="_GBC_f45ea2fa04e04b71a116fba6ba3bff32"/>
            <w:id w:val="-1106881269"/>
            <w:lock w:val="sdtLocked"/>
            <w:placeholder>
              <w:docPart w:val="GBC22222222222222222222222222222"/>
            </w:placeholder>
          </w:sdtPr>
          <w:sdtContent>
            <w:p w:rsidR="00806678" w:rsidRDefault="00F80B6C">
              <w:r>
                <w:fldChar w:fldCharType="begin"/>
              </w:r>
              <w:r w:rsidR="007A1DA0">
                <w:instrText xml:space="preserve"> MACROBUTTON  SnrToggleCheckbox □适用  </w:instrText>
              </w:r>
              <w:r>
                <w:fldChar w:fldCharType="end"/>
              </w:r>
              <w:r>
                <w:fldChar w:fldCharType="begin"/>
              </w:r>
              <w:r w:rsidR="007A1DA0">
                <w:instrText xml:space="preserve"> MACROBUTTON  SnrToggleCheckbox √不适用 </w:instrText>
              </w:r>
              <w:r>
                <w:fldChar w:fldCharType="end"/>
              </w:r>
            </w:p>
          </w:sdtContent>
        </w:sdt>
      </w:sdtContent>
    </w:sdt>
    <w:bookmarkStart w:id="104" w:name="_Hlk89353035" w:displacedByCustomXml="next"/>
    <w:sdt>
      <w:sdtPr>
        <w:rPr>
          <w:rFonts w:ascii="宋体" w:hAnsi="宋体" w:cs="宋体"/>
          <w:b w:val="0"/>
          <w:bCs w:val="0"/>
          <w:kern w:val="0"/>
          <w:szCs w:val="24"/>
        </w:rPr>
        <w:alias w:val="模块:公司控股股东或第一大股东及其一致行动人累计质押股份数量占其所..."/>
        <w:tag w:val="_SEC_edf66ea387584a9794efab65ab32b380"/>
        <w:id w:val="358250158"/>
        <w:lock w:val="sdtLocked"/>
        <w:placeholder>
          <w:docPart w:val="GBC22222222222222222222222222222"/>
        </w:placeholder>
      </w:sdtPr>
      <w:sdtEndPr>
        <w:rPr>
          <w:rFonts w:hint="eastAsia"/>
        </w:rPr>
      </w:sdtEndPr>
      <w:sdtContent>
        <w:p w:rsidR="00806678" w:rsidRDefault="00B16377">
          <w:pPr>
            <w:pStyle w:val="2"/>
            <w:numPr>
              <w:ilvl w:val="0"/>
              <w:numId w:val="1"/>
            </w:numPr>
          </w:pPr>
          <w:r>
            <w:t>公司控股股东或第一大股东及其一致行动人累计质押股份数量占其所持公司股份数量比例达到</w:t>
          </w:r>
          <w:r>
            <w:t xml:space="preserve"> 80%</w:t>
          </w:r>
          <w:r>
            <w:t>以上</w:t>
          </w:r>
        </w:p>
        <w:sdt>
          <w:sdtPr>
            <w:rPr>
              <w:rFonts w:hint="eastAsia"/>
            </w:rPr>
            <w:alias w:val="是否适用：公司控股股东或第一大股东及其一致行动人累计质押股份数量情况明细[双击切换]"/>
            <w:tag w:val="_GBC_f07bbd5a46a94903bbea3fbbdc7b769f"/>
            <w:id w:val="2108307099"/>
            <w:lock w:val="sdtLocked"/>
            <w:placeholder>
              <w:docPart w:val="GBC22222222222222222222222222222"/>
            </w:placeholder>
          </w:sdtPr>
          <w:sdtContent>
            <w:p w:rsidR="00806678" w:rsidRDefault="00F80B6C" w:rsidP="007A1DA0">
              <w:pPr>
                <w:rPr>
                  <w:szCs w:val="21"/>
                </w:rPr>
              </w:pPr>
              <w:r>
                <w:fldChar w:fldCharType="begin"/>
              </w:r>
              <w:r w:rsidR="007A1DA0">
                <w:instrText xml:space="preserve"> MACROBUTTON  SnrToggleCheckbox □适用 </w:instrText>
              </w:r>
              <w:r>
                <w:fldChar w:fldCharType="end"/>
              </w:r>
              <w:r>
                <w:fldChar w:fldCharType="begin"/>
              </w:r>
              <w:r w:rsidR="007A1DA0">
                <w:instrText xml:space="preserve"> MACROBUTTON  SnrToggleCheckbox √不适用 </w:instrText>
              </w:r>
              <w:r>
                <w:fldChar w:fldCharType="end"/>
              </w:r>
            </w:p>
          </w:sdtContent>
        </w:sdt>
      </w:sdtContent>
    </w:sdt>
    <w:bookmarkEnd w:id="104" w:displacedByCustomXml="prev"/>
    <w:sdt>
      <w:sdtPr>
        <w:rPr>
          <w:rFonts w:ascii="宋体" w:hAnsi="宋体" w:cs="宋体"/>
          <w:b w:val="0"/>
          <w:bCs w:val="0"/>
          <w:kern w:val="0"/>
          <w:szCs w:val="24"/>
        </w:rPr>
        <w:alias w:val="模块:其他持股在百分之十以上的法人股东单位：元 币种：人民币法..."/>
        <w:tag w:val="_SEC_01bab7f76d4648508f5b4ff20d1575e4"/>
        <w:id w:val="27486159"/>
        <w:lock w:val="sdtLocked"/>
        <w:placeholder>
          <w:docPart w:val="GBC22222222222222222222222222222"/>
        </w:placeholder>
      </w:sdtPr>
      <w:sdtEndPr>
        <w:rPr>
          <w:rFonts w:hint="eastAsia"/>
          <w:szCs w:val="21"/>
        </w:rPr>
      </w:sdtEndPr>
      <w:sdtContent>
        <w:p w:rsidR="00806678" w:rsidRDefault="00B16377">
          <w:pPr>
            <w:pStyle w:val="2"/>
            <w:numPr>
              <w:ilvl w:val="0"/>
              <w:numId w:val="1"/>
            </w:numPr>
          </w:pPr>
          <w:r>
            <w:rPr>
              <w:rFonts w:hint="eastAsia"/>
            </w:rPr>
            <w:t>其他持股在百分之十以上的法人股东</w:t>
          </w:r>
        </w:p>
        <w:sdt>
          <w:sdtPr>
            <w:alias w:val="是否适用：其他持股在百分之十以上的法人股东[双击切换]"/>
            <w:tag w:val="_GBC_7c5d05f2d72d4d3c9ef6e9b93777b39f"/>
            <w:id w:val="-305774091"/>
            <w:lock w:val="sdtLocked"/>
            <w:placeholder>
              <w:docPart w:val="GBC22222222222222222222222222222"/>
            </w:placeholder>
          </w:sdtPr>
          <w:sdtContent>
            <w:p w:rsidR="00806678" w:rsidRDefault="00F80B6C" w:rsidP="007A1DA0">
              <w:r>
                <w:fldChar w:fldCharType="begin"/>
              </w:r>
              <w:r w:rsidR="007A1DA0">
                <w:instrText xml:space="preserve">MACROBUTTON  SnrToggleCheckbox □适用 </w:instrText>
              </w:r>
              <w:r>
                <w:fldChar w:fldCharType="end"/>
              </w:r>
              <w:r>
                <w:fldChar w:fldCharType="begin"/>
              </w:r>
              <w:r w:rsidR="007A1DA0">
                <w:instrText xml:space="preserve"> MACROBUTTON  SnrToggleCheckbox √不适用 </w:instrText>
              </w:r>
              <w:r>
                <w:fldChar w:fldCharType="end"/>
              </w:r>
            </w:p>
          </w:sdtContent>
        </w:sdt>
      </w:sdtContent>
    </w:sdt>
    <w:sdt>
      <w:sdtPr>
        <w:rPr>
          <w:rFonts w:ascii="宋体" w:hAnsi="宋体" w:cs="宋体" w:hint="eastAsia"/>
          <w:b w:val="0"/>
          <w:bCs w:val="0"/>
          <w:kern w:val="0"/>
          <w:szCs w:val="24"/>
        </w:rPr>
        <w:alias w:val="模块:股份限制减持情况说明"/>
        <w:tag w:val="_SEC_b808e6e3153a4b77b1658dde828b8d1f"/>
        <w:id w:val="27486199"/>
        <w:lock w:val="sdtLocked"/>
        <w:placeholder>
          <w:docPart w:val="GBC22222222222222222222222222222"/>
        </w:placeholder>
      </w:sdtPr>
      <w:sdtContent>
        <w:p w:rsidR="00806678" w:rsidRDefault="00B16377">
          <w:pPr>
            <w:pStyle w:val="2"/>
            <w:numPr>
              <w:ilvl w:val="0"/>
              <w:numId w:val="1"/>
            </w:numPr>
          </w:pPr>
          <w:r>
            <w:rPr>
              <w:rFonts w:hint="eastAsia"/>
            </w:rPr>
            <w:t>股份限制减持情况说明</w:t>
          </w:r>
        </w:p>
        <w:p w:rsidR="00806678" w:rsidRDefault="00F80B6C">
          <w:sdt>
            <w:sdtPr>
              <w:rPr>
                <w:rFonts w:hint="eastAsia"/>
              </w:rPr>
              <w:alias w:val="是否适用：股份限制减持情况说明[双击切换]"/>
              <w:tag w:val="_GBC_38db60098ddc4e12bffd328b521e0c35"/>
              <w:id w:val="16402681"/>
              <w:lock w:val="sdtLocked"/>
              <w:placeholder>
                <w:docPart w:val="GBC22222222222222222222222222222"/>
              </w:placeholder>
            </w:sdtPr>
            <w:sdtEndPr>
              <w:rPr>
                <w:rFonts w:hint="default"/>
              </w:rPr>
            </w:sdtEndPr>
            <w:sdtContent>
              <w:r>
                <w:fldChar w:fldCharType="begin"/>
              </w:r>
              <w:r w:rsidR="007A1DA0">
                <w:instrText xml:space="preserve">MACROBUTTON  SnrToggleCheckbox □适用 </w:instrText>
              </w:r>
              <w:r>
                <w:fldChar w:fldCharType="end"/>
              </w:r>
              <w:r>
                <w:fldChar w:fldCharType="begin"/>
              </w:r>
              <w:r w:rsidR="007A1DA0">
                <w:instrText xml:space="preserve"> MACROBUTTON  SnrToggleCheckbox √不适用 </w:instrText>
              </w:r>
              <w:r>
                <w:fldChar w:fldCharType="end"/>
              </w:r>
            </w:sdtContent>
          </w:sdt>
        </w:p>
      </w:sdtContent>
    </w:sdt>
    <w:bookmarkStart w:id="105" w:name="_Hlk89353439" w:displacedByCustomXml="next"/>
    <w:bookmarkStart w:id="106" w:name="_Hlk90042255" w:displacedByCustomXml="next"/>
    <w:sdt>
      <w:sdtPr>
        <w:rPr>
          <w:rFonts w:ascii="Calibri" w:hAnsi="Calibri" w:cs="宋体" w:hint="eastAsia"/>
          <w:b w:val="0"/>
          <w:bCs w:val="0"/>
          <w:kern w:val="0"/>
          <w:szCs w:val="22"/>
        </w:rPr>
        <w:alias w:val="模块:股份回购实施情况"/>
        <w:tag w:val="_SEC_6f21f858a57f4c2e973f75020ab20ef4"/>
        <w:id w:val="-893423476"/>
        <w:lock w:val="sdtLocked"/>
        <w:placeholder>
          <w:docPart w:val="GBC22222222222222222222222222222"/>
        </w:placeholder>
      </w:sdtPr>
      <w:sdtEndPr>
        <w:rPr>
          <w:rFonts w:ascii="宋体" w:hAnsi="宋体"/>
          <w:szCs w:val="24"/>
        </w:rPr>
      </w:sdtEndPr>
      <w:sdtContent>
        <w:p w:rsidR="00806678" w:rsidRDefault="00B16377">
          <w:pPr>
            <w:pStyle w:val="2"/>
            <w:numPr>
              <w:ilvl w:val="0"/>
              <w:numId w:val="1"/>
            </w:numPr>
          </w:pPr>
          <w:r>
            <w:rPr>
              <w:rFonts w:hint="eastAsia"/>
            </w:rPr>
            <w:t>股份回购在报告期的具体实施情况</w:t>
          </w:r>
        </w:p>
        <w:sdt>
          <w:sdtPr>
            <w:rPr>
              <w:rFonts w:hint="eastAsia"/>
            </w:rPr>
            <w:alias w:val="是否适用：股份回购在报告期的具体实施情况[双击切换]"/>
            <w:tag w:val="_GBC_382f884c74d74cfd9a74c18c52645b0e"/>
            <w:id w:val="1620342236"/>
            <w:lock w:val="sdtLocked"/>
            <w:placeholder>
              <w:docPart w:val="GBC22222222222222222222222222222"/>
            </w:placeholder>
          </w:sdtPr>
          <w:sdtContent>
            <w:p w:rsidR="00806678" w:rsidRDefault="00F80B6C" w:rsidP="007A1DA0">
              <w:r>
                <w:fldChar w:fldCharType="begin"/>
              </w:r>
              <w:r w:rsidR="007A1DA0">
                <w:instrText xml:space="preserve"> MACROBUTTON  SnrToggleCheckbox □适用 </w:instrText>
              </w:r>
              <w:r>
                <w:fldChar w:fldCharType="end"/>
              </w:r>
              <w:r>
                <w:fldChar w:fldCharType="begin"/>
              </w:r>
              <w:r w:rsidR="007A1DA0">
                <w:instrText xml:space="preserve"> MACROBUTTON  SnrToggleCheckbox √不适用 </w:instrText>
              </w:r>
              <w:r>
                <w:fldChar w:fldCharType="end"/>
              </w:r>
            </w:p>
          </w:sdtContent>
        </w:sdt>
      </w:sdtContent>
    </w:sdt>
    <w:bookmarkEnd w:id="105" w:displacedByCustomXml="prev"/>
    <w:bookmarkEnd w:id="106"/>
    <w:p w:rsidR="00806678" w:rsidRDefault="00806678"/>
    <w:p w:rsidR="00806678" w:rsidRDefault="00B16377">
      <w:pPr>
        <w:pStyle w:val="10"/>
        <w:numPr>
          <w:ilvl w:val="0"/>
          <w:numId w:val="3"/>
        </w:numPr>
      </w:pPr>
      <w:bookmarkStart w:id="107" w:name="_Toc409437608"/>
      <w:bookmarkStart w:id="108" w:name="_Toc437440714"/>
      <w:bookmarkStart w:id="109" w:name="_Toc89790255"/>
      <w:r>
        <w:rPr>
          <w:rFonts w:hint="eastAsia"/>
        </w:rPr>
        <w:t>优先股相关情况</w:t>
      </w:r>
      <w:bookmarkEnd w:id="107"/>
      <w:bookmarkEnd w:id="108"/>
      <w:bookmarkEnd w:id="109"/>
    </w:p>
    <w:sdt>
      <w:sdtPr>
        <w:rPr>
          <w:szCs w:val="21"/>
        </w:rPr>
        <w:alias w:val="是否适用：优先股相关情况[双击切换]"/>
        <w:tag w:val="_GBC_0076278996ac412e9bff14977615c2e3"/>
        <w:id w:val="202478378"/>
        <w:lock w:val="sdtLocked"/>
        <w:placeholder>
          <w:docPart w:val="GBC22222222222222222222222222222"/>
        </w:placeholder>
      </w:sdtPr>
      <w:sdtContent>
        <w:p w:rsidR="007A1DA0" w:rsidRDefault="00F80B6C" w:rsidP="007A1DA0">
          <w:r>
            <w:rPr>
              <w:szCs w:val="21"/>
            </w:rPr>
            <w:fldChar w:fldCharType="begin"/>
          </w:r>
          <w:r w:rsidR="007A1DA0">
            <w:rPr>
              <w:szCs w:val="21"/>
            </w:rPr>
            <w:instrText xml:space="preserve">MACROBUTTON  SnrToggleCheckbox □适用 </w:instrText>
          </w:r>
          <w:r>
            <w:rPr>
              <w:szCs w:val="21"/>
            </w:rPr>
            <w:fldChar w:fldCharType="end"/>
          </w:r>
          <w:r>
            <w:rPr>
              <w:szCs w:val="21"/>
            </w:rPr>
            <w:fldChar w:fldCharType="begin"/>
          </w:r>
          <w:r w:rsidR="007A1DA0">
            <w:rPr>
              <w:szCs w:val="21"/>
            </w:rPr>
            <w:instrText xml:space="preserve"> MACROBUTTON  SnrToggleCheckbox √不适用 </w:instrText>
          </w:r>
          <w:r>
            <w:rPr>
              <w:szCs w:val="21"/>
            </w:rPr>
            <w:fldChar w:fldCharType="end"/>
          </w:r>
        </w:p>
      </w:sdtContent>
    </w:sdt>
    <w:bookmarkStart w:id="110" w:name="_Toc342566003" w:displacedByCustomXml="prev"/>
    <w:p w:rsidR="00806678" w:rsidRDefault="00806678"/>
    <w:p w:rsidR="00806678" w:rsidRDefault="00806678"/>
    <w:p w:rsidR="00806678" w:rsidRDefault="00806678">
      <w:pPr>
        <w:sectPr w:rsidR="00806678" w:rsidSect="007D5CB5">
          <w:pgSz w:w="11906" w:h="16838"/>
          <w:pgMar w:top="1525" w:right="1276" w:bottom="1440" w:left="1797" w:header="855" w:footer="992" w:gutter="0"/>
          <w:cols w:space="425"/>
          <w:docGrid w:type="lines" w:linePitch="312"/>
        </w:sectPr>
      </w:pPr>
    </w:p>
    <w:p w:rsidR="00806678" w:rsidRDefault="00B16377">
      <w:pPr>
        <w:pStyle w:val="10"/>
        <w:numPr>
          <w:ilvl w:val="0"/>
          <w:numId w:val="3"/>
        </w:numPr>
        <w:rPr>
          <w:bCs w:val="0"/>
          <w:szCs w:val="28"/>
        </w:rPr>
      </w:pPr>
      <w:bookmarkStart w:id="111" w:name="_Toc437440717"/>
      <w:bookmarkStart w:id="112" w:name="_Toc89790256"/>
      <w:bookmarkStart w:id="113" w:name="_Hlk90555499"/>
      <w:bookmarkEnd w:id="110"/>
      <w:r>
        <w:rPr>
          <w:rFonts w:hint="eastAsia"/>
          <w:bCs w:val="0"/>
          <w:szCs w:val="28"/>
        </w:rPr>
        <w:lastRenderedPageBreak/>
        <w:t>债券相关情况</w:t>
      </w:r>
      <w:bookmarkEnd w:id="111"/>
      <w:bookmarkEnd w:id="112"/>
    </w:p>
    <w:p w:rsidR="00806678" w:rsidRDefault="00B16377" w:rsidP="00FF17C7">
      <w:pPr>
        <w:pStyle w:val="2"/>
        <w:numPr>
          <w:ilvl w:val="0"/>
          <w:numId w:val="129"/>
        </w:numPr>
        <w:ind w:left="425" w:hanging="425"/>
        <w:rPr>
          <w:rFonts w:ascii="宋体" w:hAnsi="宋体"/>
        </w:rPr>
      </w:pPr>
      <w:bookmarkStart w:id="114" w:name="_Hlk89955979"/>
      <w:bookmarkStart w:id="115" w:name="_Hlk90042478"/>
      <w:bookmarkStart w:id="116" w:name="_Hlk89353982"/>
      <w:r>
        <w:rPr>
          <w:rFonts w:ascii="宋体" w:hAnsi="宋体" w:hint="eastAsia"/>
        </w:rPr>
        <w:t>企业债券、公司债券和非金融企业债务融资工具</w:t>
      </w:r>
    </w:p>
    <w:bookmarkStart w:id="117" w:name="_Hlk73352152" w:displacedByCustomXml="next"/>
    <w:sdt>
      <w:sdtPr>
        <w:rPr>
          <w:szCs w:val="21"/>
        </w:rPr>
        <w:alias w:val="是否适用：债券相关情况[双击切换]"/>
        <w:tag w:val="_GBC_804ac0b5f8c94edbbb148299204e0a43"/>
        <w:id w:val="1193501235"/>
        <w:lock w:val="sdtLocked"/>
        <w:placeholder>
          <w:docPart w:val="GBC22222222222222222222222222222"/>
        </w:placeholder>
      </w:sdtPr>
      <w:sdtContent>
        <w:p w:rsidR="00806678" w:rsidRDefault="00F80B6C">
          <w:r>
            <w:rPr>
              <w:szCs w:val="21"/>
            </w:rPr>
            <w:fldChar w:fldCharType="begin"/>
          </w:r>
          <w:r w:rsidR="00F66683">
            <w:rPr>
              <w:szCs w:val="21"/>
            </w:rPr>
            <w:instrText xml:space="preserve"> MACROBUTTON  SnrToggleCheckbox □适用 </w:instrText>
          </w:r>
          <w:r>
            <w:rPr>
              <w:szCs w:val="21"/>
            </w:rPr>
            <w:fldChar w:fldCharType="end"/>
          </w:r>
          <w:r>
            <w:rPr>
              <w:szCs w:val="21"/>
            </w:rPr>
            <w:fldChar w:fldCharType="begin"/>
          </w:r>
          <w:r w:rsidR="00F66683">
            <w:rPr>
              <w:szCs w:val="21"/>
            </w:rPr>
            <w:instrText xml:space="preserve"> MACROBUTTON  SnrToggleCheckbox √不适用 </w:instrText>
          </w:r>
          <w:r>
            <w:rPr>
              <w:szCs w:val="21"/>
            </w:rPr>
            <w:fldChar w:fldCharType="end"/>
          </w:r>
        </w:p>
      </w:sdtContent>
    </w:sdt>
    <w:bookmarkEnd w:id="117" w:displacedByCustomXml="prev"/>
    <w:bookmarkEnd w:id="116" w:displacedByCustomXml="prev"/>
    <w:bookmarkEnd w:id="114"/>
    <w:p w:rsidR="00806678" w:rsidRDefault="00B16377" w:rsidP="00FF17C7">
      <w:pPr>
        <w:pStyle w:val="2"/>
        <w:numPr>
          <w:ilvl w:val="0"/>
          <w:numId w:val="129"/>
        </w:numPr>
        <w:ind w:left="425" w:hanging="425"/>
        <w:rPr>
          <w:rFonts w:ascii="宋体" w:hAnsi="宋体"/>
        </w:rPr>
      </w:pPr>
      <w:r>
        <w:rPr>
          <w:rFonts w:ascii="宋体" w:hAnsi="宋体" w:hint="eastAsia"/>
        </w:rPr>
        <w:t>可转换公司债券情况</w:t>
      </w:r>
    </w:p>
    <w:sdt>
      <w:sdtPr>
        <w:rPr>
          <w:rFonts w:hint="eastAsia"/>
        </w:rPr>
        <w:alias w:val="是否适用：可转换公司债券情况[双击切换]"/>
        <w:tag w:val="_GBC_9680c57d3e6a4ee9b01aefbd4b8545db"/>
        <w:id w:val="-1833131695"/>
        <w:lock w:val="sdtLocked"/>
        <w:placeholder>
          <w:docPart w:val="GBC22222222222222222222222222222"/>
        </w:placeholder>
      </w:sdtPr>
      <w:sdtContent>
        <w:p w:rsidR="00806678" w:rsidRDefault="00F80B6C">
          <w:r>
            <w:fldChar w:fldCharType="begin"/>
          </w:r>
          <w:r w:rsidR="00F66683">
            <w:instrText xml:space="preserve"> MACROBUTTON  SnrToggleCheckbox √适用 </w:instrText>
          </w:r>
          <w:r>
            <w:fldChar w:fldCharType="end"/>
          </w:r>
          <w:r>
            <w:fldChar w:fldCharType="begin"/>
          </w:r>
          <w:r w:rsidR="00F66683">
            <w:instrText xml:space="preserve"> MACROBUTTON  SnrToggleCheckbox □不适用 </w:instrText>
          </w:r>
          <w:r>
            <w:fldChar w:fldCharType="end"/>
          </w:r>
        </w:p>
      </w:sdtContent>
    </w:sdt>
    <w:sdt>
      <w:sdtPr>
        <w:rPr>
          <w:rFonts w:ascii="宋体" w:hAnsi="宋体" w:cs="宋体"/>
          <w:b w:val="0"/>
          <w:bCs w:val="0"/>
          <w:kern w:val="0"/>
          <w:sz w:val="24"/>
          <w:szCs w:val="21"/>
        </w:rPr>
        <w:alias w:val="模块:转债发行情况"/>
        <w:tag w:val="_SEC_8d04a146c600466c88e27fd05cb55cf3"/>
        <w:id w:val="1509245"/>
        <w:lock w:val="sdtLocked"/>
        <w:placeholder>
          <w:docPart w:val="GBC22222222222222222222222222222"/>
        </w:placeholder>
      </w:sdtPr>
      <w:sdtEndPr>
        <w:rPr>
          <w:rFonts w:hint="eastAsia"/>
          <w:sz w:val="21"/>
        </w:rPr>
      </w:sdtEndPr>
      <w:sdtContent>
        <w:p w:rsidR="00806678" w:rsidRDefault="00B16377" w:rsidP="00FF17C7">
          <w:pPr>
            <w:pStyle w:val="3"/>
            <w:numPr>
              <w:ilvl w:val="0"/>
              <w:numId w:val="26"/>
            </w:numPr>
            <w:rPr>
              <w:szCs w:val="21"/>
            </w:rPr>
          </w:pPr>
          <w:r>
            <w:rPr>
              <w:szCs w:val="21"/>
            </w:rPr>
            <w:t>转债发行情况</w:t>
          </w:r>
        </w:p>
        <w:bookmarkStart w:id="118" w:name="_Toc342491990" w:displacedByCustomXml="next"/>
        <w:bookmarkStart w:id="119" w:name="_Toc342565982" w:displacedByCustomXml="next"/>
        <w:sdt>
          <w:sdtPr>
            <w:rPr>
              <w:rFonts w:hint="eastAsia"/>
              <w:szCs w:val="21"/>
            </w:rPr>
            <w:alias w:val="是否适用：转债发行情况[双击切换]"/>
            <w:tag w:val="_GBC_2a10a4672aaf437896f5a3067eae9eee"/>
            <w:id w:val="1949657975"/>
            <w:lock w:val="sdtLocked"/>
            <w:placeholder>
              <w:docPart w:val="GBC22222222222222222222222222222"/>
            </w:placeholder>
          </w:sdtPr>
          <w:sdtContent>
            <w:p w:rsidR="00806678" w:rsidRDefault="00F80B6C">
              <w:pPr>
                <w:rPr>
                  <w:szCs w:val="21"/>
                </w:rPr>
              </w:pPr>
              <w:r>
                <w:rPr>
                  <w:szCs w:val="21"/>
                </w:rPr>
                <w:fldChar w:fldCharType="begin"/>
              </w:r>
              <w:r w:rsidR="00F66683">
                <w:rPr>
                  <w:szCs w:val="21"/>
                </w:rPr>
                <w:instrText xml:space="preserve"> MACROBUTTON  SnrToggleCheckbox √适用  </w:instrText>
              </w:r>
              <w:r>
                <w:rPr>
                  <w:szCs w:val="21"/>
                </w:rPr>
                <w:fldChar w:fldCharType="end"/>
              </w:r>
              <w:r>
                <w:rPr>
                  <w:szCs w:val="21"/>
                </w:rPr>
                <w:fldChar w:fldCharType="begin"/>
              </w:r>
              <w:r w:rsidR="00F66683">
                <w:rPr>
                  <w:szCs w:val="21"/>
                </w:rPr>
                <w:instrText xml:space="preserve"> MACROBUTTON  SnrToggleCheckbox □不适用 </w:instrText>
              </w:r>
              <w:r>
                <w:rPr>
                  <w:szCs w:val="21"/>
                </w:rPr>
                <w:fldChar w:fldCharType="end"/>
              </w:r>
            </w:p>
          </w:sdtContent>
        </w:sdt>
        <w:sdt>
          <w:sdtPr>
            <w:rPr>
              <w:rFonts w:hint="eastAsia"/>
              <w:szCs w:val="21"/>
            </w:rPr>
            <w:alias w:val="转债发行情况"/>
            <w:tag w:val="_GBC_e96a2cbcf2ab4a508c7a2b0afcbce632"/>
            <w:id w:val="1508744"/>
            <w:lock w:val="sdtLocked"/>
            <w:placeholder>
              <w:docPart w:val="GBC22222222222222222222222222222"/>
            </w:placeholder>
          </w:sdtPr>
          <w:sdtContent>
            <w:p w:rsidR="00F66683" w:rsidRDefault="00F66683" w:rsidP="00F66683">
              <w:pPr>
                <w:snapToGrid w:val="0"/>
                <w:spacing w:line="360" w:lineRule="auto"/>
                <w:ind w:firstLineChars="200" w:firstLine="420"/>
                <w:jc w:val="both"/>
                <w:rPr>
                  <w:szCs w:val="21"/>
                </w:rPr>
              </w:pPr>
              <w:r>
                <w:t>2020年4月27日</w:t>
              </w:r>
              <w:r>
                <w:rPr>
                  <w:rFonts w:hint="eastAsia"/>
                </w:rPr>
                <w:t>，公司</w:t>
              </w:r>
              <w:r>
                <w:t>召开第五届董事会第十七次会议</w:t>
              </w:r>
              <w:r>
                <w:rPr>
                  <w:rFonts w:hint="eastAsia"/>
                </w:rPr>
                <w:t>，</w:t>
              </w:r>
              <w:r>
                <w:t>审议通过</w:t>
              </w:r>
              <w:r>
                <w:rPr>
                  <w:rFonts w:hint="eastAsia"/>
                </w:rPr>
                <w:t>了</w:t>
              </w:r>
              <w:r w:rsidRPr="001E7DC8">
                <w:rPr>
                  <w:rFonts w:hint="eastAsia"/>
                </w:rPr>
                <w:t>《关于公司符合公开发行</w:t>
              </w:r>
              <w:r w:rsidRPr="001E7DC8">
                <w:t>A</w:t>
              </w:r>
              <w:r>
                <w:t>股可转换公司债券条件的议案》</w:t>
              </w:r>
              <w:r w:rsidRPr="001E7DC8">
                <w:t>等</w:t>
              </w:r>
              <w:r>
                <w:rPr>
                  <w:rFonts w:hint="eastAsia"/>
                </w:rPr>
                <w:t>相关</w:t>
              </w:r>
              <w:r w:rsidRPr="001E7DC8">
                <w:t>议案。</w:t>
              </w:r>
              <w:r>
                <w:t>2020年5月20日</w:t>
              </w:r>
              <w:r>
                <w:rPr>
                  <w:rFonts w:hint="eastAsia"/>
                </w:rPr>
                <w:t>，公司</w:t>
              </w:r>
              <w:r>
                <w:t>召开2019年年度股东大会</w:t>
              </w:r>
              <w:r>
                <w:rPr>
                  <w:rFonts w:hint="eastAsia"/>
                </w:rPr>
                <w:t>，</w:t>
              </w:r>
              <w:r>
                <w:t>审议通过</w:t>
              </w:r>
              <w:r>
                <w:rPr>
                  <w:rFonts w:hint="eastAsia"/>
                </w:rPr>
                <w:t>了关于</w:t>
              </w:r>
              <w:r w:rsidRPr="001E7DC8">
                <w:rPr>
                  <w:rFonts w:hint="eastAsia"/>
                </w:rPr>
                <w:t>公开发行</w:t>
              </w:r>
              <w:r w:rsidRPr="001E7DC8">
                <w:t>A股可转换公司债券</w:t>
              </w:r>
              <w:r>
                <w:rPr>
                  <w:rFonts w:hint="eastAsia"/>
                </w:rPr>
                <w:t>的</w:t>
              </w:r>
              <w:r w:rsidRPr="001E7DC8">
                <w:t>有关议案</w:t>
              </w:r>
              <w:r>
                <w:rPr>
                  <w:rFonts w:hint="eastAsia"/>
                </w:rPr>
                <w:t>。</w:t>
              </w:r>
            </w:p>
            <w:p w:rsidR="00F66683" w:rsidRPr="008A2F47" w:rsidRDefault="00F66683" w:rsidP="00F66683">
              <w:pPr>
                <w:adjustRightInd w:val="0"/>
                <w:snapToGrid w:val="0"/>
                <w:spacing w:line="360" w:lineRule="auto"/>
                <w:ind w:firstLineChars="200" w:firstLine="420"/>
                <w:jc w:val="both"/>
                <w:rPr>
                  <w:szCs w:val="21"/>
                  <w:lang w:bidi="en-US"/>
                </w:rPr>
              </w:pPr>
              <w:r w:rsidRPr="008A2F47">
                <w:rPr>
                  <w:szCs w:val="21"/>
                </w:rPr>
                <w:t>经中国证券监督管理委员</w:t>
              </w:r>
              <w:r w:rsidRPr="008A2F47">
                <w:rPr>
                  <w:rFonts w:hint="eastAsia"/>
                  <w:szCs w:val="21"/>
                </w:rPr>
                <w:t>会</w:t>
              </w:r>
              <w:r w:rsidRPr="008A2F47">
                <w:rPr>
                  <w:szCs w:val="21"/>
                  <w:lang w:bidi="en-US"/>
                </w:rPr>
                <w:t>《关于核准大秦铁路股份有限公司公开发行可转换公司债券的批复》（证监许可〔2020〕2263号）核准</w:t>
              </w:r>
              <w:r w:rsidRPr="008A2F47">
                <w:rPr>
                  <w:szCs w:val="21"/>
                </w:rPr>
                <w:t>，</w:t>
              </w:r>
              <w:r w:rsidRPr="008A2F47">
                <w:rPr>
                  <w:szCs w:val="21"/>
                  <w:lang w:bidi="en-US"/>
                </w:rPr>
                <w:t>大秦铁路股份有限公司（以下简称“公司”）于2020年12月14日向社会公开发行面值总额320.00亿元可转换公司债券，发行价格100.00元/张，共计32,000万张，募集资金总额为人民币320.00亿元。</w:t>
              </w:r>
            </w:p>
            <w:p w:rsidR="00806678" w:rsidRDefault="00F66683" w:rsidP="006B3411">
              <w:pPr>
                <w:spacing w:line="360" w:lineRule="auto"/>
                <w:ind w:firstLineChars="200" w:firstLine="420"/>
                <w:rPr>
                  <w:szCs w:val="21"/>
                </w:rPr>
              </w:pPr>
              <w:r w:rsidRPr="002B4004">
                <w:t>经上海证券交易所自律监管决定书〔2021〕14 号文同意，公司 320 亿元可转换公司债券于2021年1月15日起在上海证券交易所挂牌交易，债券简称“大秦转债”，债券代码“113044”</w:t>
              </w:r>
              <w:r>
                <w:rPr>
                  <w:rFonts w:hint="eastAsia"/>
                </w:rPr>
                <w:t>。</w:t>
              </w:r>
            </w:p>
          </w:sdtContent>
        </w:sdt>
      </w:sdtContent>
    </w:sdt>
    <w:p w:rsidR="00806678" w:rsidRDefault="00B16377" w:rsidP="00FF17C7">
      <w:pPr>
        <w:pStyle w:val="3"/>
        <w:numPr>
          <w:ilvl w:val="0"/>
          <w:numId w:val="26"/>
        </w:numPr>
        <w:rPr>
          <w:szCs w:val="21"/>
        </w:rPr>
      </w:pPr>
      <w:r>
        <w:rPr>
          <w:rFonts w:hint="eastAsia"/>
          <w:szCs w:val="21"/>
        </w:rPr>
        <w:t>报告期转债持有人及担保人情况</w:t>
      </w:r>
      <w:bookmarkEnd w:id="119"/>
      <w:bookmarkEnd w:id="118"/>
    </w:p>
    <w:sdt>
      <w:sdtPr>
        <w:alias w:val="是否适用：报告期转债持有人及担保人情况[双击切换]"/>
        <w:tag w:val="_GBC_6a8eda7be111431bb27877dccef03813"/>
        <w:id w:val="-893812454"/>
        <w:lock w:val="sdtContentLocked"/>
        <w:placeholder>
          <w:docPart w:val="GBC22222222222222222222222222222"/>
        </w:placeholder>
      </w:sdtPr>
      <w:sdtContent>
        <w:p w:rsidR="00806678" w:rsidRDefault="00F80B6C">
          <w:r>
            <w:fldChar w:fldCharType="begin"/>
          </w:r>
          <w:r w:rsidR="00F66683">
            <w:instrText xml:space="preserve">MACROBUTTON  SnrToggleCheckbox √适用 </w:instrText>
          </w:r>
          <w:r>
            <w:fldChar w:fldCharType="end"/>
          </w:r>
          <w:r>
            <w:fldChar w:fldCharType="begin"/>
          </w:r>
          <w:r w:rsidR="00F66683">
            <w:instrText xml:space="preserve"> MACROBUTTON  SnrToggleCheckbox □不适用 </w:instrText>
          </w:r>
          <w:r>
            <w:fldChar w:fldCharType="end"/>
          </w:r>
        </w:p>
      </w:sdtContent>
    </w:sdt>
    <w:bookmarkStart w:id="120" w:name="_Hlk56779160" w:displacedByCustomXml="next"/>
    <w:sdt>
      <w:sdtPr>
        <w:alias w:val="模块:转债持有人及担保人情况"/>
        <w:tag w:val="_SEC_0897570e9f464854aa85ddde6b262ed2"/>
        <w:id w:val="-976833720"/>
        <w:lock w:val="sdtLocked"/>
        <w:placeholder>
          <w:docPart w:val="GBC22222222222222222222222222222"/>
        </w:placeholder>
      </w:sdtPr>
      <w:sdtContent>
        <w:p w:rsidR="00806678" w:rsidRDefault="00806678"/>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93"/>
            <w:gridCol w:w="3419"/>
            <w:gridCol w:w="1746"/>
            <w:gridCol w:w="1029"/>
          </w:tblGrid>
          <w:tr w:rsidR="00806678" w:rsidTr="00F66683">
            <w:tc>
              <w:tcPr>
                <w:tcW w:w="1665" w:type="pct"/>
                <w:shd w:val="clear" w:color="auto" w:fill="auto"/>
              </w:tcPr>
              <w:sdt>
                <w:sdtPr>
                  <w:rPr>
                    <w:rFonts w:hint="eastAsia"/>
                    <w:b w:val="0"/>
                    <w:bCs w:val="0"/>
                  </w:rPr>
                  <w:tag w:val="_PLD_0f44cc3bc83f4c0bb83c3e3788aedeee"/>
                  <w:id w:val="-2104637075"/>
                  <w:lock w:val="sdtLocked"/>
                </w:sdtPr>
                <w:sdtContent>
                  <w:p w:rsidR="00806678" w:rsidRDefault="00B16377">
                    <w:pPr>
                      <w:pStyle w:val="af1"/>
                      <w:spacing w:before="0"/>
                      <w:rPr>
                        <w:b w:val="0"/>
                        <w:bCs w:val="0"/>
                      </w:rPr>
                    </w:pPr>
                    <w:r>
                      <w:rPr>
                        <w:rFonts w:hint="eastAsia"/>
                        <w:b w:val="0"/>
                        <w:bCs w:val="0"/>
                      </w:rPr>
                      <w:t>可转换公司债券名称</w:t>
                    </w:r>
                  </w:p>
                </w:sdtContent>
              </w:sdt>
            </w:tc>
            <w:sdt>
              <w:sdtPr>
                <w:rPr>
                  <w:szCs w:val="21"/>
                </w:rPr>
                <w:alias w:val="可转换公司债券名称"/>
                <w:tag w:val="_GBC_f1e2636730d34f7891f99287e843677f"/>
                <w:id w:val="-1343849176"/>
                <w:lock w:val="sdtLocked"/>
              </w:sdtPr>
              <w:sdtContent>
                <w:tc>
                  <w:tcPr>
                    <w:tcW w:w="3335" w:type="pct"/>
                    <w:gridSpan w:val="3"/>
                    <w:shd w:val="clear" w:color="auto" w:fill="auto"/>
                  </w:tcPr>
                  <w:p w:rsidR="00806678" w:rsidRDefault="00F66683">
                    <w:pPr>
                      <w:rPr>
                        <w:szCs w:val="21"/>
                      </w:rPr>
                    </w:pPr>
                    <w:r w:rsidRPr="00F66683">
                      <w:rPr>
                        <w:szCs w:val="21"/>
                      </w:rPr>
                      <w:t>2020年大秦铁路股份有限公司可转换公司债券</w:t>
                    </w:r>
                  </w:p>
                </w:tc>
              </w:sdtContent>
            </w:sdt>
          </w:tr>
          <w:tr w:rsidR="00806678" w:rsidTr="00F66683">
            <w:sdt>
              <w:sdtPr>
                <w:tag w:val="_PLD_ed894e8b1f0d4c1e8a730c42b408da73"/>
                <w:id w:val="-1181049885"/>
                <w:lock w:val="sdtLocked"/>
              </w:sdtPr>
              <w:sdtContent>
                <w:tc>
                  <w:tcPr>
                    <w:tcW w:w="1665" w:type="pct"/>
                    <w:shd w:val="clear" w:color="auto" w:fill="auto"/>
                  </w:tcPr>
                  <w:p w:rsidR="00806678" w:rsidRDefault="00B16377">
                    <w:pPr>
                      <w:pStyle w:val="af1"/>
                      <w:spacing w:before="0"/>
                      <w:rPr>
                        <w:rFonts w:ascii="宋体" w:hAnsi="宋体"/>
                        <w:b w:val="0"/>
                        <w:bCs w:val="0"/>
                      </w:rPr>
                    </w:pPr>
                    <w:r>
                      <w:rPr>
                        <w:rFonts w:ascii="宋体" w:hAnsi="宋体" w:hint="eastAsia"/>
                        <w:b w:val="0"/>
                        <w:bCs w:val="0"/>
                      </w:rPr>
                      <w:t>期末转债持有人数</w:t>
                    </w:r>
                  </w:p>
                </w:tc>
              </w:sdtContent>
            </w:sdt>
            <w:sdt>
              <w:sdtPr>
                <w:rPr>
                  <w:szCs w:val="21"/>
                </w:rPr>
                <w:alias w:val="公司期末可转债持有人数"/>
                <w:tag w:val="_GBC_7ec2accf466843d7a6eb9bf7519f094c"/>
                <w:id w:val="-1310168725"/>
                <w:lock w:val="sdtLocked"/>
              </w:sdtPr>
              <w:sdtContent>
                <w:tc>
                  <w:tcPr>
                    <w:tcW w:w="3335" w:type="pct"/>
                    <w:gridSpan w:val="3"/>
                    <w:shd w:val="clear" w:color="auto" w:fill="auto"/>
                  </w:tcPr>
                  <w:p w:rsidR="00806678" w:rsidRDefault="00F66683">
                    <w:pPr>
                      <w:jc w:val="right"/>
                      <w:rPr>
                        <w:szCs w:val="21"/>
                      </w:rPr>
                    </w:pPr>
                    <w:r>
                      <w:rPr>
                        <w:szCs w:val="21"/>
                      </w:rPr>
                      <w:t>68,102</w:t>
                    </w:r>
                  </w:p>
                </w:tc>
              </w:sdtContent>
            </w:sdt>
          </w:tr>
          <w:tr w:rsidR="00806678" w:rsidTr="00F66683">
            <w:sdt>
              <w:sdtPr>
                <w:tag w:val="_PLD_006adb651de9489a8e68e595c3ab4186"/>
                <w:id w:val="-1915701432"/>
                <w:lock w:val="sdtLocked"/>
              </w:sdtPr>
              <w:sdtContent>
                <w:tc>
                  <w:tcPr>
                    <w:tcW w:w="1665" w:type="pct"/>
                    <w:shd w:val="clear" w:color="auto" w:fill="auto"/>
                  </w:tcPr>
                  <w:p w:rsidR="00806678" w:rsidRDefault="00B16377">
                    <w:pPr>
                      <w:ind w:rightChars="46" w:right="97"/>
                      <w:rPr>
                        <w:color w:val="FF0000"/>
                        <w:szCs w:val="21"/>
                      </w:rPr>
                    </w:pPr>
                    <w:r>
                      <w:rPr>
                        <w:rFonts w:hint="eastAsia"/>
                        <w:szCs w:val="21"/>
                      </w:rPr>
                      <w:t>本公司转债的担保人</w:t>
                    </w:r>
                  </w:p>
                </w:tc>
              </w:sdtContent>
            </w:sdt>
            <w:tc>
              <w:tcPr>
                <w:tcW w:w="3335" w:type="pct"/>
                <w:gridSpan w:val="3"/>
                <w:shd w:val="clear" w:color="auto" w:fill="auto"/>
              </w:tcPr>
              <w:p w:rsidR="00806678" w:rsidRDefault="00F66683">
                <w:pPr>
                  <w:rPr>
                    <w:szCs w:val="21"/>
                  </w:rPr>
                </w:pPr>
                <w:r>
                  <w:rPr>
                    <w:rFonts w:hint="eastAsia"/>
                    <w:szCs w:val="21"/>
                  </w:rPr>
                  <w:t>无担保</w:t>
                </w:r>
              </w:p>
            </w:tc>
          </w:tr>
          <w:tr w:rsidR="00806678" w:rsidTr="001E2B27">
            <w:sdt>
              <w:sdtPr>
                <w:tag w:val="_PLD_3c902ee51491478d9b6f1ddf0cde9337"/>
                <w:id w:val="-1695378869"/>
                <w:lock w:val="sdtLocked"/>
              </w:sdtPr>
              <w:sdtContent>
                <w:tc>
                  <w:tcPr>
                    <w:tcW w:w="5000" w:type="pct"/>
                    <w:gridSpan w:val="4"/>
                    <w:shd w:val="clear" w:color="auto" w:fill="auto"/>
                  </w:tcPr>
                  <w:p w:rsidR="00806678" w:rsidRDefault="00B16377">
                    <w:pPr>
                      <w:rPr>
                        <w:szCs w:val="21"/>
                      </w:rPr>
                    </w:pPr>
                    <w:r>
                      <w:rPr>
                        <w:rFonts w:hint="eastAsia"/>
                        <w:szCs w:val="21"/>
                      </w:rPr>
                      <w:t>前十名转债持有人情况如下：</w:t>
                    </w:r>
                  </w:p>
                </w:tc>
              </w:sdtContent>
            </w:sdt>
          </w:tr>
          <w:tr w:rsidR="00806678" w:rsidTr="00F66683">
            <w:sdt>
              <w:sdtPr>
                <w:tag w:val="_PLD_f29c81f550f34c6d8b3300c0ad68896f"/>
                <w:id w:val="-1664847217"/>
                <w:lock w:val="sdtLocked"/>
              </w:sdtPr>
              <w:sdtContent>
                <w:tc>
                  <w:tcPr>
                    <w:tcW w:w="3506" w:type="pct"/>
                    <w:gridSpan w:val="2"/>
                    <w:shd w:val="clear" w:color="auto" w:fill="auto"/>
                    <w:vAlign w:val="center"/>
                  </w:tcPr>
                  <w:p w:rsidR="00806678" w:rsidRDefault="00B16377">
                    <w:pPr>
                      <w:pStyle w:val="af0"/>
                      <w:rPr>
                        <w:rFonts w:ascii="宋体" w:hAnsi="宋体"/>
                      </w:rPr>
                    </w:pPr>
                    <w:r>
                      <w:rPr>
                        <w:rFonts w:ascii="宋体" w:hAnsi="宋体" w:hint="eastAsia"/>
                      </w:rPr>
                      <w:t>可转换公司债券持有人名称</w:t>
                    </w:r>
                  </w:p>
                </w:tc>
              </w:sdtContent>
            </w:sdt>
            <w:sdt>
              <w:sdtPr>
                <w:tag w:val="_PLD_be9d4ae162ee4a0f8a27f68c00bb0a92"/>
                <w:id w:val="608695213"/>
                <w:lock w:val="sdtLocked"/>
              </w:sdtPr>
              <w:sdtContent>
                <w:tc>
                  <w:tcPr>
                    <w:tcW w:w="940" w:type="pct"/>
                    <w:shd w:val="clear" w:color="auto" w:fill="auto"/>
                    <w:vAlign w:val="center"/>
                  </w:tcPr>
                  <w:p w:rsidR="00806678" w:rsidRDefault="00B16377">
                    <w:pPr>
                      <w:jc w:val="center"/>
                      <w:rPr>
                        <w:szCs w:val="21"/>
                      </w:rPr>
                    </w:pPr>
                    <w:r>
                      <w:rPr>
                        <w:rFonts w:hint="eastAsia"/>
                        <w:szCs w:val="21"/>
                      </w:rPr>
                      <w:t>期末持债数量（元）</w:t>
                    </w:r>
                  </w:p>
                </w:tc>
              </w:sdtContent>
            </w:sdt>
            <w:sdt>
              <w:sdtPr>
                <w:tag w:val="_PLD_cc632abe1dd641e0bc0b26f4bdc759ec"/>
                <w:id w:val="-1679416520"/>
                <w:lock w:val="sdtLocked"/>
              </w:sdtPr>
              <w:sdtContent>
                <w:tc>
                  <w:tcPr>
                    <w:tcW w:w="554" w:type="pct"/>
                    <w:shd w:val="clear" w:color="auto" w:fill="auto"/>
                    <w:vAlign w:val="center"/>
                  </w:tcPr>
                  <w:p w:rsidR="00806678" w:rsidRDefault="00B16377">
                    <w:pPr>
                      <w:jc w:val="center"/>
                      <w:rPr>
                        <w:szCs w:val="21"/>
                      </w:rPr>
                    </w:pPr>
                    <w:r>
                      <w:rPr>
                        <w:rFonts w:hint="eastAsia"/>
                        <w:szCs w:val="21"/>
                      </w:rPr>
                      <w:t>持有比例</w:t>
                    </w:r>
                    <w:r>
                      <w:rPr>
                        <w:szCs w:val="21"/>
                      </w:rPr>
                      <w:t>(%)</w:t>
                    </w:r>
                  </w:p>
                </w:tc>
              </w:sdtContent>
            </w:sdt>
          </w:tr>
          <w:sdt>
            <w:sdtPr>
              <w:rPr>
                <w:szCs w:val="21"/>
              </w:rPr>
              <w:alias w:val="公司前十名可转债持有人情况"/>
              <w:tag w:val="_TUP_f6fa1140fa70414fa5e5c8519d91676a"/>
              <w:id w:val="1970473249"/>
              <w:lock w:val="sdtLocked"/>
            </w:sdtPr>
            <w:sdtContent>
              <w:tr w:rsidR="00806678" w:rsidTr="00F66683">
                <w:tc>
                  <w:tcPr>
                    <w:tcW w:w="3506" w:type="pct"/>
                    <w:gridSpan w:val="2"/>
                    <w:shd w:val="clear" w:color="auto" w:fill="auto"/>
                  </w:tcPr>
                  <w:p w:rsidR="00806678" w:rsidRDefault="00F66683">
                    <w:pPr>
                      <w:rPr>
                        <w:szCs w:val="21"/>
                      </w:rPr>
                    </w:pPr>
                    <w:r w:rsidRPr="00F66683">
                      <w:rPr>
                        <w:rFonts w:hint="eastAsia"/>
                        <w:szCs w:val="21"/>
                      </w:rPr>
                      <w:t>登记结算系统债券回购质押专用账户</w:t>
                    </w:r>
                    <w:r w:rsidRPr="00F66683">
                      <w:rPr>
                        <w:szCs w:val="21"/>
                      </w:rPr>
                      <w:t>(中国工商银行)</w:t>
                    </w:r>
                  </w:p>
                </w:tc>
                <w:tc>
                  <w:tcPr>
                    <w:tcW w:w="940" w:type="pct"/>
                    <w:shd w:val="clear" w:color="auto" w:fill="auto"/>
                  </w:tcPr>
                  <w:p w:rsidR="00806678" w:rsidRDefault="00F66683">
                    <w:pPr>
                      <w:pStyle w:val="a8"/>
                      <w:jc w:val="right"/>
                      <w:rPr>
                        <w:rFonts w:ascii="宋体" w:hAnsi="宋体"/>
                      </w:rPr>
                    </w:pPr>
                    <w:r>
                      <w:rPr>
                        <w:rFonts w:ascii="宋体" w:hAnsi="宋体"/>
                      </w:rPr>
                      <w:t>3,898,076,000</w:t>
                    </w:r>
                  </w:p>
                </w:tc>
                <w:tc>
                  <w:tcPr>
                    <w:tcW w:w="554" w:type="pct"/>
                    <w:shd w:val="clear" w:color="auto" w:fill="auto"/>
                  </w:tcPr>
                  <w:p w:rsidR="00806678" w:rsidRDefault="00F66683">
                    <w:pPr>
                      <w:jc w:val="right"/>
                      <w:rPr>
                        <w:szCs w:val="21"/>
                      </w:rPr>
                    </w:pPr>
                    <w:r w:rsidRPr="00F66683">
                      <w:rPr>
                        <w:szCs w:val="21"/>
                      </w:rPr>
                      <w:t>12.18</w:t>
                    </w:r>
                  </w:p>
                </w:tc>
              </w:tr>
            </w:sdtContent>
          </w:sdt>
          <w:sdt>
            <w:sdtPr>
              <w:rPr>
                <w:szCs w:val="21"/>
              </w:rPr>
              <w:alias w:val="公司前十名可转债持有人情况"/>
              <w:tag w:val="_TUP_f6fa1140fa70414fa5e5c8519d91676a"/>
              <w:id w:val="33111603"/>
              <w:lock w:val="sdtLocked"/>
            </w:sdtPr>
            <w:sdtContent>
              <w:tr w:rsidR="00806678" w:rsidTr="00F66683">
                <w:tc>
                  <w:tcPr>
                    <w:tcW w:w="3506" w:type="pct"/>
                    <w:gridSpan w:val="2"/>
                    <w:shd w:val="clear" w:color="auto" w:fill="auto"/>
                  </w:tcPr>
                  <w:p w:rsidR="00806678" w:rsidRDefault="00F66683">
                    <w:pPr>
                      <w:rPr>
                        <w:szCs w:val="21"/>
                      </w:rPr>
                    </w:pPr>
                    <w:r w:rsidRPr="00F66683">
                      <w:rPr>
                        <w:rFonts w:hint="eastAsia"/>
                        <w:szCs w:val="21"/>
                      </w:rPr>
                      <w:t>中国铁路太原局集团有限公司</w:t>
                    </w:r>
                  </w:p>
                </w:tc>
                <w:tc>
                  <w:tcPr>
                    <w:tcW w:w="940" w:type="pct"/>
                    <w:shd w:val="clear" w:color="auto" w:fill="auto"/>
                  </w:tcPr>
                  <w:p w:rsidR="00806678" w:rsidRDefault="00F66683">
                    <w:pPr>
                      <w:pStyle w:val="a8"/>
                      <w:jc w:val="right"/>
                      <w:rPr>
                        <w:rFonts w:ascii="宋体" w:hAnsi="宋体"/>
                      </w:rPr>
                    </w:pPr>
                    <w:r>
                      <w:rPr>
                        <w:rFonts w:ascii="宋体" w:hAnsi="宋体"/>
                      </w:rPr>
                      <w:t>3,099,471,000</w:t>
                    </w:r>
                  </w:p>
                </w:tc>
                <w:tc>
                  <w:tcPr>
                    <w:tcW w:w="554" w:type="pct"/>
                    <w:shd w:val="clear" w:color="auto" w:fill="auto"/>
                  </w:tcPr>
                  <w:p w:rsidR="00806678" w:rsidRDefault="00F66683">
                    <w:pPr>
                      <w:jc w:val="right"/>
                      <w:rPr>
                        <w:szCs w:val="21"/>
                      </w:rPr>
                    </w:pPr>
                    <w:r>
                      <w:rPr>
                        <w:rFonts w:hint="eastAsia"/>
                        <w:szCs w:val="21"/>
                      </w:rPr>
                      <w:t>9.69</w:t>
                    </w:r>
                  </w:p>
                </w:tc>
              </w:tr>
            </w:sdtContent>
          </w:sdt>
          <w:sdt>
            <w:sdtPr>
              <w:rPr>
                <w:szCs w:val="21"/>
              </w:rPr>
              <w:alias w:val="公司前十名可转债持有人情况"/>
              <w:tag w:val="_TUP_f6fa1140fa70414fa5e5c8519d91676a"/>
              <w:id w:val="33111604"/>
              <w:lock w:val="sdtLocked"/>
            </w:sdtPr>
            <w:sdtContent>
              <w:tr w:rsidR="00806678" w:rsidTr="00F66683">
                <w:tc>
                  <w:tcPr>
                    <w:tcW w:w="3506" w:type="pct"/>
                    <w:gridSpan w:val="2"/>
                    <w:shd w:val="clear" w:color="auto" w:fill="auto"/>
                  </w:tcPr>
                  <w:p w:rsidR="00806678" w:rsidRDefault="00F66683">
                    <w:pPr>
                      <w:rPr>
                        <w:szCs w:val="21"/>
                      </w:rPr>
                    </w:pPr>
                    <w:r w:rsidRPr="00F66683">
                      <w:rPr>
                        <w:rFonts w:hint="eastAsia"/>
                        <w:szCs w:val="21"/>
                      </w:rPr>
                      <w:t>登记结算系统债券回购质押专用账户</w:t>
                    </w:r>
                    <w:r w:rsidRPr="00F66683">
                      <w:rPr>
                        <w:szCs w:val="21"/>
                      </w:rPr>
                      <w:t>(中国建设银行)</w:t>
                    </w:r>
                  </w:p>
                </w:tc>
                <w:tc>
                  <w:tcPr>
                    <w:tcW w:w="940" w:type="pct"/>
                    <w:shd w:val="clear" w:color="auto" w:fill="auto"/>
                  </w:tcPr>
                  <w:p w:rsidR="00806678" w:rsidRDefault="00F66683">
                    <w:pPr>
                      <w:pStyle w:val="a8"/>
                      <w:jc w:val="right"/>
                      <w:rPr>
                        <w:rFonts w:ascii="宋体" w:hAnsi="宋体"/>
                      </w:rPr>
                    </w:pPr>
                    <w:r>
                      <w:rPr>
                        <w:rFonts w:ascii="宋体" w:hAnsi="宋体"/>
                      </w:rPr>
                      <w:t>2,286,264,000</w:t>
                    </w:r>
                  </w:p>
                </w:tc>
                <w:tc>
                  <w:tcPr>
                    <w:tcW w:w="554" w:type="pct"/>
                    <w:shd w:val="clear" w:color="auto" w:fill="auto"/>
                  </w:tcPr>
                  <w:p w:rsidR="00806678" w:rsidRDefault="00F66683">
                    <w:pPr>
                      <w:jc w:val="right"/>
                      <w:rPr>
                        <w:szCs w:val="21"/>
                      </w:rPr>
                    </w:pPr>
                    <w:r>
                      <w:rPr>
                        <w:rFonts w:hint="eastAsia"/>
                        <w:szCs w:val="21"/>
                      </w:rPr>
                      <w:t>7.14</w:t>
                    </w:r>
                  </w:p>
                </w:tc>
              </w:tr>
            </w:sdtContent>
          </w:sdt>
          <w:sdt>
            <w:sdtPr>
              <w:rPr>
                <w:szCs w:val="21"/>
              </w:rPr>
              <w:alias w:val="公司前十名可转债持有人情况"/>
              <w:tag w:val="_TUP_f6fa1140fa70414fa5e5c8519d91676a"/>
              <w:id w:val="33111605"/>
              <w:lock w:val="sdtLocked"/>
            </w:sdtPr>
            <w:sdtContent>
              <w:tr w:rsidR="00806678" w:rsidTr="00F66683">
                <w:tc>
                  <w:tcPr>
                    <w:tcW w:w="3506" w:type="pct"/>
                    <w:gridSpan w:val="2"/>
                    <w:shd w:val="clear" w:color="auto" w:fill="auto"/>
                  </w:tcPr>
                  <w:p w:rsidR="00806678" w:rsidRDefault="00F66683">
                    <w:pPr>
                      <w:rPr>
                        <w:szCs w:val="21"/>
                      </w:rPr>
                    </w:pPr>
                    <w:r w:rsidRPr="00F66683">
                      <w:rPr>
                        <w:rFonts w:hint="eastAsia"/>
                        <w:szCs w:val="21"/>
                      </w:rPr>
                      <w:t>登记结算系统债券回购质押专用账户</w:t>
                    </w:r>
                    <w:r w:rsidRPr="00F66683">
                      <w:rPr>
                        <w:szCs w:val="21"/>
                      </w:rPr>
                      <w:t>(中国农业银行)</w:t>
                    </w:r>
                  </w:p>
                </w:tc>
                <w:tc>
                  <w:tcPr>
                    <w:tcW w:w="940" w:type="pct"/>
                    <w:shd w:val="clear" w:color="auto" w:fill="auto"/>
                  </w:tcPr>
                  <w:p w:rsidR="00806678" w:rsidRDefault="00F66683">
                    <w:pPr>
                      <w:pStyle w:val="a8"/>
                      <w:jc w:val="right"/>
                      <w:rPr>
                        <w:rFonts w:ascii="宋体" w:hAnsi="宋体"/>
                      </w:rPr>
                    </w:pPr>
                    <w:r>
                      <w:rPr>
                        <w:rFonts w:ascii="宋体" w:hAnsi="宋体"/>
                      </w:rPr>
                      <w:t>1,387,170,000</w:t>
                    </w:r>
                  </w:p>
                </w:tc>
                <w:tc>
                  <w:tcPr>
                    <w:tcW w:w="554" w:type="pct"/>
                    <w:shd w:val="clear" w:color="auto" w:fill="auto"/>
                  </w:tcPr>
                  <w:p w:rsidR="00806678" w:rsidRDefault="00F66683">
                    <w:pPr>
                      <w:jc w:val="right"/>
                      <w:rPr>
                        <w:szCs w:val="21"/>
                      </w:rPr>
                    </w:pPr>
                    <w:r>
                      <w:rPr>
                        <w:rFonts w:hint="eastAsia"/>
                        <w:szCs w:val="21"/>
                      </w:rPr>
                      <w:t>4.34</w:t>
                    </w:r>
                  </w:p>
                </w:tc>
              </w:tr>
            </w:sdtContent>
          </w:sdt>
          <w:sdt>
            <w:sdtPr>
              <w:rPr>
                <w:szCs w:val="21"/>
              </w:rPr>
              <w:alias w:val="公司前十名可转债持有人情况"/>
              <w:tag w:val="_TUP_f6fa1140fa70414fa5e5c8519d91676a"/>
              <w:id w:val="33111606"/>
              <w:lock w:val="sdtLocked"/>
            </w:sdtPr>
            <w:sdtContent>
              <w:tr w:rsidR="00806678" w:rsidTr="00F66683">
                <w:tc>
                  <w:tcPr>
                    <w:tcW w:w="3506" w:type="pct"/>
                    <w:gridSpan w:val="2"/>
                    <w:shd w:val="clear" w:color="auto" w:fill="auto"/>
                  </w:tcPr>
                  <w:p w:rsidR="00806678" w:rsidRDefault="00F66683">
                    <w:pPr>
                      <w:rPr>
                        <w:szCs w:val="21"/>
                      </w:rPr>
                    </w:pPr>
                    <w:r w:rsidRPr="00F66683">
                      <w:rPr>
                        <w:rFonts w:hint="eastAsia"/>
                        <w:szCs w:val="21"/>
                      </w:rPr>
                      <w:t>登记结算系统债券回购质押专用账户</w:t>
                    </w:r>
                    <w:r w:rsidRPr="00F66683">
                      <w:rPr>
                        <w:szCs w:val="21"/>
                      </w:rPr>
                      <w:t>(中国银行)</w:t>
                    </w:r>
                  </w:p>
                </w:tc>
                <w:tc>
                  <w:tcPr>
                    <w:tcW w:w="940" w:type="pct"/>
                    <w:shd w:val="clear" w:color="auto" w:fill="auto"/>
                  </w:tcPr>
                  <w:p w:rsidR="00806678" w:rsidRDefault="00F66683">
                    <w:pPr>
                      <w:pStyle w:val="a8"/>
                      <w:jc w:val="right"/>
                      <w:rPr>
                        <w:rFonts w:ascii="宋体" w:hAnsi="宋体"/>
                      </w:rPr>
                    </w:pPr>
                    <w:r>
                      <w:rPr>
                        <w:rFonts w:ascii="宋体" w:hAnsi="宋体"/>
                      </w:rPr>
                      <w:t>1,364,035,000</w:t>
                    </w:r>
                  </w:p>
                </w:tc>
                <w:tc>
                  <w:tcPr>
                    <w:tcW w:w="554" w:type="pct"/>
                    <w:shd w:val="clear" w:color="auto" w:fill="auto"/>
                  </w:tcPr>
                  <w:p w:rsidR="00806678" w:rsidRDefault="00F66683">
                    <w:pPr>
                      <w:jc w:val="right"/>
                      <w:rPr>
                        <w:szCs w:val="21"/>
                      </w:rPr>
                    </w:pPr>
                    <w:r>
                      <w:rPr>
                        <w:rFonts w:hint="eastAsia"/>
                        <w:szCs w:val="21"/>
                      </w:rPr>
                      <w:t>4.26</w:t>
                    </w:r>
                  </w:p>
                </w:tc>
              </w:tr>
            </w:sdtContent>
          </w:sdt>
          <w:sdt>
            <w:sdtPr>
              <w:rPr>
                <w:szCs w:val="21"/>
              </w:rPr>
              <w:alias w:val="公司前十名可转债持有人情况"/>
              <w:tag w:val="_TUP_f6fa1140fa70414fa5e5c8519d91676a"/>
              <w:id w:val="33111607"/>
              <w:lock w:val="sdtLocked"/>
            </w:sdtPr>
            <w:sdtContent>
              <w:tr w:rsidR="00806678" w:rsidTr="00F66683">
                <w:tc>
                  <w:tcPr>
                    <w:tcW w:w="3506" w:type="pct"/>
                    <w:gridSpan w:val="2"/>
                    <w:shd w:val="clear" w:color="auto" w:fill="auto"/>
                  </w:tcPr>
                  <w:p w:rsidR="00806678" w:rsidRDefault="00F66683">
                    <w:pPr>
                      <w:rPr>
                        <w:szCs w:val="21"/>
                      </w:rPr>
                    </w:pPr>
                    <w:r w:rsidRPr="00F66683">
                      <w:rPr>
                        <w:rFonts w:hint="eastAsia"/>
                        <w:szCs w:val="21"/>
                      </w:rPr>
                      <w:t>登记结算系统债券回购质押专用账户</w:t>
                    </w:r>
                    <w:r w:rsidRPr="00F66683">
                      <w:rPr>
                        <w:szCs w:val="21"/>
                      </w:rPr>
                      <w:t>(招商银行股份有限公司)</w:t>
                    </w:r>
                  </w:p>
                </w:tc>
                <w:tc>
                  <w:tcPr>
                    <w:tcW w:w="940" w:type="pct"/>
                    <w:shd w:val="clear" w:color="auto" w:fill="auto"/>
                  </w:tcPr>
                  <w:p w:rsidR="00806678" w:rsidRDefault="00F66683">
                    <w:pPr>
                      <w:pStyle w:val="a8"/>
                      <w:jc w:val="right"/>
                      <w:rPr>
                        <w:rFonts w:ascii="宋体" w:hAnsi="宋体"/>
                      </w:rPr>
                    </w:pPr>
                    <w:r>
                      <w:rPr>
                        <w:rFonts w:ascii="宋体" w:hAnsi="宋体"/>
                      </w:rPr>
                      <w:t>1,300,512,000</w:t>
                    </w:r>
                  </w:p>
                </w:tc>
                <w:tc>
                  <w:tcPr>
                    <w:tcW w:w="554" w:type="pct"/>
                    <w:shd w:val="clear" w:color="auto" w:fill="auto"/>
                  </w:tcPr>
                  <w:p w:rsidR="00806678" w:rsidRDefault="00F66683">
                    <w:pPr>
                      <w:jc w:val="right"/>
                      <w:rPr>
                        <w:szCs w:val="21"/>
                      </w:rPr>
                    </w:pPr>
                    <w:r>
                      <w:rPr>
                        <w:rFonts w:hint="eastAsia"/>
                        <w:szCs w:val="21"/>
                      </w:rPr>
                      <w:t>4.06</w:t>
                    </w:r>
                  </w:p>
                </w:tc>
              </w:tr>
            </w:sdtContent>
          </w:sdt>
          <w:sdt>
            <w:sdtPr>
              <w:rPr>
                <w:szCs w:val="21"/>
              </w:rPr>
              <w:alias w:val="公司前十名可转债持有人情况"/>
              <w:tag w:val="_TUP_f6fa1140fa70414fa5e5c8519d91676a"/>
              <w:id w:val="33111608"/>
              <w:lock w:val="sdtLocked"/>
            </w:sdtPr>
            <w:sdtContent>
              <w:tr w:rsidR="00806678" w:rsidTr="00F66683">
                <w:tc>
                  <w:tcPr>
                    <w:tcW w:w="3506" w:type="pct"/>
                    <w:gridSpan w:val="2"/>
                    <w:shd w:val="clear" w:color="auto" w:fill="auto"/>
                  </w:tcPr>
                  <w:p w:rsidR="00806678" w:rsidRDefault="00F66683">
                    <w:pPr>
                      <w:rPr>
                        <w:szCs w:val="21"/>
                      </w:rPr>
                    </w:pPr>
                    <w:r w:rsidRPr="00F66683">
                      <w:rPr>
                        <w:rFonts w:hint="eastAsia"/>
                        <w:szCs w:val="21"/>
                      </w:rPr>
                      <w:t>登记结算系统债券回购质押专用账户</w:t>
                    </w:r>
                    <w:r w:rsidRPr="00F66683">
                      <w:rPr>
                        <w:szCs w:val="21"/>
                      </w:rPr>
                      <w:t>(中国民生银行股份有限公司)</w:t>
                    </w:r>
                  </w:p>
                </w:tc>
                <w:tc>
                  <w:tcPr>
                    <w:tcW w:w="940" w:type="pct"/>
                    <w:shd w:val="clear" w:color="auto" w:fill="auto"/>
                  </w:tcPr>
                  <w:p w:rsidR="00806678" w:rsidRDefault="00F66683">
                    <w:pPr>
                      <w:pStyle w:val="a8"/>
                      <w:jc w:val="right"/>
                      <w:rPr>
                        <w:rFonts w:ascii="宋体" w:hAnsi="宋体"/>
                      </w:rPr>
                    </w:pPr>
                    <w:r>
                      <w:rPr>
                        <w:rFonts w:ascii="宋体" w:hAnsi="宋体"/>
                      </w:rPr>
                      <w:t>1,251,621,000</w:t>
                    </w:r>
                  </w:p>
                </w:tc>
                <w:tc>
                  <w:tcPr>
                    <w:tcW w:w="554" w:type="pct"/>
                    <w:shd w:val="clear" w:color="auto" w:fill="auto"/>
                  </w:tcPr>
                  <w:p w:rsidR="00806678" w:rsidRDefault="00F66683">
                    <w:pPr>
                      <w:jc w:val="right"/>
                      <w:rPr>
                        <w:szCs w:val="21"/>
                      </w:rPr>
                    </w:pPr>
                    <w:r>
                      <w:rPr>
                        <w:rFonts w:hint="eastAsia"/>
                        <w:szCs w:val="21"/>
                      </w:rPr>
                      <w:t>3.91</w:t>
                    </w:r>
                  </w:p>
                </w:tc>
              </w:tr>
            </w:sdtContent>
          </w:sdt>
          <w:sdt>
            <w:sdtPr>
              <w:rPr>
                <w:szCs w:val="21"/>
              </w:rPr>
              <w:alias w:val="公司前十名可转债持有人情况"/>
              <w:tag w:val="_TUP_f6fa1140fa70414fa5e5c8519d91676a"/>
              <w:id w:val="33111609"/>
              <w:lock w:val="sdtLocked"/>
            </w:sdtPr>
            <w:sdtContent>
              <w:tr w:rsidR="00806678" w:rsidTr="00F66683">
                <w:tc>
                  <w:tcPr>
                    <w:tcW w:w="3506" w:type="pct"/>
                    <w:gridSpan w:val="2"/>
                    <w:shd w:val="clear" w:color="auto" w:fill="auto"/>
                  </w:tcPr>
                  <w:p w:rsidR="00806678" w:rsidRDefault="00F66683">
                    <w:pPr>
                      <w:rPr>
                        <w:szCs w:val="21"/>
                      </w:rPr>
                    </w:pPr>
                    <w:r w:rsidRPr="00F66683">
                      <w:rPr>
                        <w:rFonts w:hint="eastAsia"/>
                        <w:szCs w:val="21"/>
                      </w:rPr>
                      <w:t>登记结算系统债券回购质押专用账户</w:t>
                    </w:r>
                    <w:r w:rsidRPr="00F66683">
                      <w:rPr>
                        <w:szCs w:val="21"/>
                      </w:rPr>
                      <w:t>(北京银行股份有限公司)</w:t>
                    </w:r>
                  </w:p>
                </w:tc>
                <w:tc>
                  <w:tcPr>
                    <w:tcW w:w="940" w:type="pct"/>
                    <w:shd w:val="clear" w:color="auto" w:fill="auto"/>
                  </w:tcPr>
                  <w:p w:rsidR="00806678" w:rsidRDefault="00F66683">
                    <w:pPr>
                      <w:pStyle w:val="a8"/>
                      <w:jc w:val="right"/>
                      <w:rPr>
                        <w:rFonts w:ascii="宋体" w:hAnsi="宋体"/>
                      </w:rPr>
                    </w:pPr>
                    <w:r>
                      <w:rPr>
                        <w:rFonts w:ascii="宋体" w:hAnsi="宋体"/>
                      </w:rPr>
                      <w:t>1,055,600,000</w:t>
                    </w:r>
                  </w:p>
                </w:tc>
                <w:tc>
                  <w:tcPr>
                    <w:tcW w:w="554" w:type="pct"/>
                    <w:shd w:val="clear" w:color="auto" w:fill="auto"/>
                  </w:tcPr>
                  <w:p w:rsidR="00806678" w:rsidRDefault="00F66683">
                    <w:pPr>
                      <w:jc w:val="right"/>
                      <w:rPr>
                        <w:szCs w:val="21"/>
                      </w:rPr>
                    </w:pPr>
                    <w:r>
                      <w:rPr>
                        <w:rFonts w:hint="eastAsia"/>
                        <w:szCs w:val="21"/>
                      </w:rPr>
                      <w:t>3.30</w:t>
                    </w:r>
                  </w:p>
                </w:tc>
              </w:tr>
            </w:sdtContent>
          </w:sdt>
          <w:sdt>
            <w:sdtPr>
              <w:rPr>
                <w:szCs w:val="21"/>
              </w:rPr>
              <w:alias w:val="公司前十名可转债持有人情况"/>
              <w:tag w:val="_TUP_f6fa1140fa70414fa5e5c8519d91676a"/>
              <w:id w:val="33111610"/>
              <w:lock w:val="sdtLocked"/>
            </w:sdtPr>
            <w:sdtContent>
              <w:tr w:rsidR="00806678" w:rsidTr="00F66683">
                <w:tc>
                  <w:tcPr>
                    <w:tcW w:w="3506" w:type="pct"/>
                    <w:gridSpan w:val="2"/>
                    <w:shd w:val="clear" w:color="auto" w:fill="auto"/>
                  </w:tcPr>
                  <w:p w:rsidR="00806678" w:rsidRDefault="00F66683">
                    <w:pPr>
                      <w:rPr>
                        <w:szCs w:val="21"/>
                      </w:rPr>
                    </w:pPr>
                    <w:r w:rsidRPr="00F66683">
                      <w:rPr>
                        <w:rFonts w:hint="eastAsia"/>
                        <w:szCs w:val="21"/>
                      </w:rPr>
                      <w:t>登记结算系统债券回购质押专用账户</w:t>
                    </w:r>
                    <w:r w:rsidRPr="00F66683">
                      <w:rPr>
                        <w:szCs w:val="21"/>
                      </w:rPr>
                      <w:t>(中信银行)</w:t>
                    </w:r>
                  </w:p>
                </w:tc>
                <w:tc>
                  <w:tcPr>
                    <w:tcW w:w="940" w:type="pct"/>
                    <w:shd w:val="clear" w:color="auto" w:fill="auto"/>
                  </w:tcPr>
                  <w:p w:rsidR="00806678" w:rsidRDefault="00F66683">
                    <w:pPr>
                      <w:pStyle w:val="a8"/>
                      <w:jc w:val="right"/>
                      <w:rPr>
                        <w:rFonts w:ascii="宋体" w:hAnsi="宋体"/>
                      </w:rPr>
                    </w:pPr>
                    <w:r>
                      <w:rPr>
                        <w:rFonts w:ascii="宋体" w:hAnsi="宋体"/>
                      </w:rPr>
                      <w:t>713,798,000</w:t>
                    </w:r>
                  </w:p>
                </w:tc>
                <w:tc>
                  <w:tcPr>
                    <w:tcW w:w="554" w:type="pct"/>
                    <w:shd w:val="clear" w:color="auto" w:fill="auto"/>
                  </w:tcPr>
                  <w:p w:rsidR="00806678" w:rsidRDefault="00F66683">
                    <w:pPr>
                      <w:jc w:val="right"/>
                      <w:rPr>
                        <w:szCs w:val="21"/>
                      </w:rPr>
                    </w:pPr>
                    <w:r>
                      <w:rPr>
                        <w:rFonts w:hint="eastAsia"/>
                        <w:szCs w:val="21"/>
                      </w:rPr>
                      <w:t>2.23</w:t>
                    </w:r>
                  </w:p>
                </w:tc>
              </w:tr>
            </w:sdtContent>
          </w:sdt>
          <w:sdt>
            <w:sdtPr>
              <w:rPr>
                <w:szCs w:val="21"/>
              </w:rPr>
              <w:alias w:val="公司前十名可转债持有人情况"/>
              <w:tag w:val="_TUP_f6fa1140fa70414fa5e5c8519d91676a"/>
              <w:id w:val="33111611"/>
              <w:lock w:val="sdtLocked"/>
            </w:sdtPr>
            <w:sdtContent>
              <w:tr w:rsidR="00806678" w:rsidTr="00F66683">
                <w:tc>
                  <w:tcPr>
                    <w:tcW w:w="3506" w:type="pct"/>
                    <w:gridSpan w:val="2"/>
                    <w:shd w:val="clear" w:color="auto" w:fill="auto"/>
                  </w:tcPr>
                  <w:p w:rsidR="00806678" w:rsidRDefault="00F66683">
                    <w:pPr>
                      <w:rPr>
                        <w:szCs w:val="21"/>
                      </w:rPr>
                    </w:pPr>
                    <w:r w:rsidRPr="00F66683">
                      <w:rPr>
                        <w:rFonts w:hint="eastAsia"/>
                        <w:szCs w:val="21"/>
                      </w:rPr>
                      <w:t>登记结算系统债券回购质押专用账户</w:t>
                    </w:r>
                    <w:r w:rsidRPr="00F66683">
                      <w:rPr>
                        <w:szCs w:val="21"/>
                      </w:rPr>
                      <w:t>(中信证券股份有限公司)</w:t>
                    </w:r>
                  </w:p>
                </w:tc>
                <w:tc>
                  <w:tcPr>
                    <w:tcW w:w="940" w:type="pct"/>
                    <w:shd w:val="clear" w:color="auto" w:fill="auto"/>
                  </w:tcPr>
                  <w:p w:rsidR="00806678" w:rsidRDefault="00F66683">
                    <w:pPr>
                      <w:pStyle w:val="a8"/>
                      <w:jc w:val="right"/>
                      <w:rPr>
                        <w:rFonts w:ascii="宋体" w:hAnsi="宋体"/>
                      </w:rPr>
                    </w:pPr>
                    <w:r>
                      <w:rPr>
                        <w:rFonts w:ascii="宋体" w:hAnsi="宋体"/>
                      </w:rPr>
                      <w:t>638,799,000</w:t>
                    </w:r>
                  </w:p>
                </w:tc>
                <w:tc>
                  <w:tcPr>
                    <w:tcW w:w="554" w:type="pct"/>
                    <w:shd w:val="clear" w:color="auto" w:fill="auto"/>
                  </w:tcPr>
                  <w:p w:rsidR="00806678" w:rsidRDefault="00F66683">
                    <w:pPr>
                      <w:jc w:val="right"/>
                      <w:rPr>
                        <w:szCs w:val="21"/>
                      </w:rPr>
                    </w:pPr>
                    <w:r>
                      <w:rPr>
                        <w:rFonts w:hint="eastAsia"/>
                        <w:szCs w:val="21"/>
                      </w:rPr>
                      <w:t>2.00</w:t>
                    </w:r>
                  </w:p>
                </w:tc>
              </w:tr>
            </w:sdtContent>
          </w:sdt>
        </w:tbl>
        <w:p w:rsidR="00806678" w:rsidRDefault="00F80B6C"/>
      </w:sdtContent>
    </w:sdt>
    <w:bookmarkEnd w:id="120" w:displacedByCustomXml="prev"/>
    <w:sdt>
      <w:sdtPr>
        <w:rPr>
          <w:rFonts w:ascii="宋体" w:hAnsi="宋体" w:cs="宋体"/>
          <w:b w:val="0"/>
          <w:bCs w:val="0"/>
          <w:kern w:val="0"/>
          <w:sz w:val="24"/>
          <w:szCs w:val="21"/>
        </w:rPr>
        <w:alias w:val="模块:报告期转债变动情况"/>
        <w:tag w:val="_SEC_fc5c14798b574f809af3c637b2a54f88"/>
        <w:id w:val="1509450"/>
        <w:lock w:val="sdtLocked"/>
        <w:placeholder>
          <w:docPart w:val="GBC22222222222222222222222222222"/>
        </w:placeholder>
      </w:sdtPr>
      <w:sdtEndPr>
        <w:rPr>
          <w:sz w:val="21"/>
          <w:szCs w:val="24"/>
        </w:rPr>
      </w:sdtEndPr>
      <w:sdtContent>
        <w:p w:rsidR="00806678" w:rsidRDefault="00B16377" w:rsidP="00FF17C7">
          <w:pPr>
            <w:pStyle w:val="3"/>
            <w:numPr>
              <w:ilvl w:val="0"/>
              <w:numId w:val="26"/>
            </w:numPr>
            <w:rPr>
              <w:szCs w:val="21"/>
            </w:rPr>
          </w:pPr>
          <w:r>
            <w:rPr>
              <w:szCs w:val="21"/>
            </w:rPr>
            <w:t>报告期转债变动情况</w:t>
          </w:r>
        </w:p>
        <w:sdt>
          <w:sdtPr>
            <w:alias w:val="是否适用：报告期转债变动情况[双击切换]"/>
            <w:tag w:val="_GBC_897425a625044ed9a9b171abdd6fbe5f"/>
            <w:id w:val="1739365290"/>
            <w:lock w:val="sdtLocked"/>
            <w:placeholder>
              <w:docPart w:val="GBC22222222222222222222222222222"/>
            </w:placeholder>
          </w:sdtPr>
          <w:sdtContent>
            <w:p w:rsidR="00806678" w:rsidRDefault="00F80B6C">
              <w:r>
                <w:fldChar w:fldCharType="begin"/>
              </w:r>
              <w:r w:rsidR="005014DF">
                <w:instrText xml:space="preserve">MACROBUTTON  SnrToggleCheckbox √适用 </w:instrText>
              </w:r>
              <w:r>
                <w:fldChar w:fldCharType="end"/>
              </w:r>
              <w:r>
                <w:fldChar w:fldCharType="begin"/>
              </w:r>
              <w:r w:rsidR="005014DF">
                <w:instrText xml:space="preserve"> MACROBUTTON  SnrToggleCheckbox □不适用 </w:instrText>
              </w:r>
              <w:r>
                <w:fldChar w:fldCharType="end"/>
              </w:r>
            </w:p>
          </w:sdtContent>
        </w:sdt>
        <w:p w:rsidR="00806678" w:rsidRDefault="00B16377">
          <w:pPr>
            <w:jc w:val="right"/>
            <w:rPr>
              <w:szCs w:val="21"/>
            </w:rPr>
          </w:pPr>
          <w:r>
            <w:rPr>
              <w:rFonts w:hint="eastAsia"/>
              <w:szCs w:val="21"/>
            </w:rPr>
            <w:t>单位:</w:t>
          </w:r>
          <w:sdt>
            <w:sdtPr>
              <w:rPr>
                <w:rFonts w:hint="eastAsia"/>
                <w:szCs w:val="21"/>
              </w:rPr>
              <w:alias w:val="单位：报告期转债变动情况"/>
              <w:tag w:val="_GBC_2955069ae42c493685cceab8b26ae973"/>
              <w:id w:val="150903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报告期转债变动情况"/>
              <w:tag w:val="_GBC_487580f1b4a74b41b69dda772b0b79a6"/>
              <w:id w:val="150903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a6"/>
            <w:tblW w:w="0" w:type="auto"/>
            <w:tblLook w:val="04A0"/>
          </w:tblPr>
          <w:tblGrid>
            <w:gridCol w:w="2943"/>
            <w:gridCol w:w="1701"/>
            <w:gridCol w:w="1276"/>
            <w:gridCol w:w="709"/>
            <w:gridCol w:w="734"/>
            <w:gridCol w:w="1686"/>
          </w:tblGrid>
          <w:tr w:rsidR="00806678" w:rsidTr="008D1A59">
            <w:sdt>
              <w:sdtPr>
                <w:tag w:val="_PLD_0678eb2d4d8f4a3c96d81cb30f25b8ef"/>
                <w:id w:val="-1480450157"/>
                <w:lock w:val="sdtLocked"/>
              </w:sdtPr>
              <w:sdtContent>
                <w:tc>
                  <w:tcPr>
                    <w:tcW w:w="2943" w:type="dxa"/>
                    <w:vMerge w:val="restart"/>
                    <w:vAlign w:val="center"/>
                  </w:tcPr>
                  <w:p w:rsidR="00806678" w:rsidRDefault="00B16377">
                    <w:pPr>
                      <w:jc w:val="center"/>
                      <w:rPr>
                        <w:szCs w:val="21"/>
                      </w:rPr>
                    </w:pPr>
                    <w:r>
                      <w:rPr>
                        <w:szCs w:val="21"/>
                      </w:rPr>
                      <w:t>可转换公司债券名称</w:t>
                    </w:r>
                  </w:p>
                </w:tc>
              </w:sdtContent>
            </w:sdt>
            <w:sdt>
              <w:sdtPr>
                <w:tag w:val="_PLD_6ff190055d504d41b8867dd5a506ba88"/>
                <w:id w:val="-1949297730"/>
                <w:lock w:val="sdtLocked"/>
              </w:sdtPr>
              <w:sdtContent>
                <w:tc>
                  <w:tcPr>
                    <w:tcW w:w="1701" w:type="dxa"/>
                    <w:vMerge w:val="restart"/>
                    <w:vAlign w:val="center"/>
                  </w:tcPr>
                  <w:p w:rsidR="00806678" w:rsidRDefault="00B16377">
                    <w:pPr>
                      <w:jc w:val="center"/>
                      <w:rPr>
                        <w:szCs w:val="21"/>
                      </w:rPr>
                    </w:pPr>
                    <w:r>
                      <w:rPr>
                        <w:szCs w:val="21"/>
                      </w:rPr>
                      <w:t>本次变动前</w:t>
                    </w:r>
                  </w:p>
                </w:tc>
              </w:sdtContent>
            </w:sdt>
            <w:sdt>
              <w:sdtPr>
                <w:tag w:val="_PLD_174f6359aa6547049734cd8fa865fa30"/>
                <w:id w:val="-1183502858"/>
                <w:lock w:val="sdtLocked"/>
              </w:sdtPr>
              <w:sdtContent>
                <w:tc>
                  <w:tcPr>
                    <w:tcW w:w="2719" w:type="dxa"/>
                    <w:gridSpan w:val="3"/>
                    <w:vAlign w:val="center"/>
                  </w:tcPr>
                  <w:p w:rsidR="00806678" w:rsidRDefault="00B16377">
                    <w:pPr>
                      <w:jc w:val="center"/>
                      <w:rPr>
                        <w:szCs w:val="21"/>
                      </w:rPr>
                    </w:pPr>
                    <w:r>
                      <w:rPr>
                        <w:szCs w:val="21"/>
                      </w:rPr>
                      <w:t>本次变动增减</w:t>
                    </w:r>
                  </w:p>
                </w:tc>
              </w:sdtContent>
            </w:sdt>
            <w:sdt>
              <w:sdtPr>
                <w:tag w:val="_PLD_6e092c44c3754ed484cd38786155eca8"/>
                <w:id w:val="1963073173"/>
                <w:lock w:val="sdtLocked"/>
              </w:sdtPr>
              <w:sdtContent>
                <w:tc>
                  <w:tcPr>
                    <w:tcW w:w="1686" w:type="dxa"/>
                    <w:vMerge w:val="restart"/>
                    <w:vAlign w:val="center"/>
                  </w:tcPr>
                  <w:p w:rsidR="00806678" w:rsidRDefault="00B16377">
                    <w:pPr>
                      <w:jc w:val="center"/>
                      <w:rPr>
                        <w:szCs w:val="21"/>
                      </w:rPr>
                    </w:pPr>
                    <w:r>
                      <w:rPr>
                        <w:szCs w:val="21"/>
                      </w:rPr>
                      <w:t>本次变动后</w:t>
                    </w:r>
                  </w:p>
                </w:tc>
              </w:sdtContent>
            </w:sdt>
          </w:tr>
          <w:tr w:rsidR="00806678" w:rsidTr="008D1A59">
            <w:tc>
              <w:tcPr>
                <w:tcW w:w="2943" w:type="dxa"/>
                <w:vMerge/>
              </w:tcPr>
              <w:p w:rsidR="00806678" w:rsidRDefault="00806678">
                <w:pPr>
                  <w:rPr>
                    <w:szCs w:val="21"/>
                  </w:rPr>
                </w:pPr>
              </w:p>
            </w:tc>
            <w:tc>
              <w:tcPr>
                <w:tcW w:w="1701" w:type="dxa"/>
                <w:vMerge/>
              </w:tcPr>
              <w:p w:rsidR="00806678" w:rsidRDefault="00806678">
                <w:pPr>
                  <w:rPr>
                    <w:szCs w:val="21"/>
                  </w:rPr>
                </w:pPr>
              </w:p>
            </w:tc>
            <w:sdt>
              <w:sdtPr>
                <w:tag w:val="_PLD_f46020ae8726463a932c03f557ed400d"/>
                <w:id w:val="-1931740540"/>
                <w:lock w:val="sdtLocked"/>
              </w:sdtPr>
              <w:sdtContent>
                <w:tc>
                  <w:tcPr>
                    <w:tcW w:w="1276" w:type="dxa"/>
                    <w:vAlign w:val="center"/>
                  </w:tcPr>
                  <w:p w:rsidR="00806678" w:rsidRDefault="00B16377">
                    <w:pPr>
                      <w:jc w:val="center"/>
                      <w:rPr>
                        <w:szCs w:val="21"/>
                      </w:rPr>
                    </w:pPr>
                    <w:r>
                      <w:rPr>
                        <w:szCs w:val="21"/>
                      </w:rPr>
                      <w:t>转股</w:t>
                    </w:r>
                  </w:p>
                </w:tc>
              </w:sdtContent>
            </w:sdt>
            <w:sdt>
              <w:sdtPr>
                <w:tag w:val="_PLD_7d6680caadd2408ab7a737ad1dea4c47"/>
                <w:id w:val="66781428"/>
                <w:lock w:val="sdtLocked"/>
              </w:sdtPr>
              <w:sdtContent>
                <w:tc>
                  <w:tcPr>
                    <w:tcW w:w="709" w:type="dxa"/>
                    <w:vAlign w:val="center"/>
                  </w:tcPr>
                  <w:p w:rsidR="00806678" w:rsidRDefault="00B16377">
                    <w:pPr>
                      <w:jc w:val="center"/>
                      <w:rPr>
                        <w:szCs w:val="21"/>
                      </w:rPr>
                    </w:pPr>
                    <w:r>
                      <w:rPr>
                        <w:szCs w:val="21"/>
                      </w:rPr>
                      <w:t>赎回</w:t>
                    </w:r>
                  </w:p>
                </w:tc>
              </w:sdtContent>
            </w:sdt>
            <w:sdt>
              <w:sdtPr>
                <w:tag w:val="_PLD_317f5c39637244db8e33de571aef683d"/>
                <w:id w:val="-767534400"/>
                <w:lock w:val="sdtLocked"/>
              </w:sdtPr>
              <w:sdtContent>
                <w:tc>
                  <w:tcPr>
                    <w:tcW w:w="734" w:type="dxa"/>
                    <w:vAlign w:val="center"/>
                  </w:tcPr>
                  <w:p w:rsidR="00806678" w:rsidRDefault="00B16377">
                    <w:pPr>
                      <w:jc w:val="center"/>
                      <w:rPr>
                        <w:szCs w:val="21"/>
                      </w:rPr>
                    </w:pPr>
                    <w:r>
                      <w:rPr>
                        <w:szCs w:val="21"/>
                      </w:rPr>
                      <w:t>回售</w:t>
                    </w:r>
                  </w:p>
                </w:tc>
              </w:sdtContent>
            </w:sdt>
            <w:tc>
              <w:tcPr>
                <w:tcW w:w="1686" w:type="dxa"/>
                <w:vMerge/>
              </w:tcPr>
              <w:p w:rsidR="00806678" w:rsidRDefault="00806678">
                <w:pPr>
                  <w:rPr>
                    <w:szCs w:val="21"/>
                  </w:rPr>
                </w:pPr>
              </w:p>
            </w:tc>
          </w:tr>
          <w:sdt>
            <w:sdtPr>
              <w:rPr>
                <w:rFonts w:hint="eastAsia"/>
                <w:szCs w:val="21"/>
              </w:rPr>
              <w:alias w:val="报告期转债变动情况明细"/>
              <w:tag w:val="_TUP_131e07a2cb0f468c8568f3d1fd6fc715"/>
              <w:id w:val="-1202324034"/>
              <w:lock w:val="sdtLocked"/>
            </w:sdtPr>
            <w:sdtContent>
              <w:tr w:rsidR="00806678" w:rsidTr="008D1A59">
                <w:tc>
                  <w:tcPr>
                    <w:tcW w:w="2943" w:type="dxa"/>
                  </w:tcPr>
                  <w:p w:rsidR="00806678" w:rsidRDefault="005014DF">
                    <w:pPr>
                      <w:rPr>
                        <w:szCs w:val="21"/>
                      </w:rPr>
                    </w:pPr>
                    <w:r w:rsidRPr="005014DF">
                      <w:rPr>
                        <w:szCs w:val="21"/>
                      </w:rPr>
                      <w:t>2020年大秦铁路股份有限公司可转换公司债券</w:t>
                    </w:r>
                  </w:p>
                </w:tc>
                <w:tc>
                  <w:tcPr>
                    <w:tcW w:w="1701" w:type="dxa"/>
                  </w:tcPr>
                  <w:p w:rsidR="00806678" w:rsidRDefault="008D1A59">
                    <w:pPr>
                      <w:jc w:val="right"/>
                      <w:rPr>
                        <w:szCs w:val="21"/>
                      </w:rPr>
                    </w:pPr>
                    <w:r w:rsidRPr="008D1A59">
                      <w:rPr>
                        <w:szCs w:val="21"/>
                      </w:rPr>
                      <w:t>31,999,122,000</w:t>
                    </w:r>
                  </w:p>
                </w:tc>
                <w:tc>
                  <w:tcPr>
                    <w:tcW w:w="1276" w:type="dxa"/>
                  </w:tcPr>
                  <w:p w:rsidR="00806678" w:rsidRDefault="008D1A59">
                    <w:pPr>
                      <w:jc w:val="right"/>
                      <w:rPr>
                        <w:szCs w:val="21"/>
                      </w:rPr>
                    </w:pPr>
                    <w:r>
                      <w:rPr>
                        <w:szCs w:val="21"/>
                      </w:rPr>
                      <w:t>263,000</w:t>
                    </w:r>
                  </w:p>
                </w:tc>
                <w:tc>
                  <w:tcPr>
                    <w:tcW w:w="709" w:type="dxa"/>
                  </w:tcPr>
                  <w:p w:rsidR="00806678" w:rsidRDefault="008D1A59">
                    <w:pPr>
                      <w:jc w:val="right"/>
                      <w:rPr>
                        <w:szCs w:val="21"/>
                      </w:rPr>
                    </w:pPr>
                    <w:r>
                      <w:rPr>
                        <w:rFonts w:hint="eastAsia"/>
                        <w:szCs w:val="21"/>
                      </w:rPr>
                      <w:t>0</w:t>
                    </w:r>
                  </w:p>
                </w:tc>
                <w:tc>
                  <w:tcPr>
                    <w:tcW w:w="734" w:type="dxa"/>
                  </w:tcPr>
                  <w:p w:rsidR="00806678" w:rsidRDefault="008D1A59">
                    <w:pPr>
                      <w:jc w:val="right"/>
                      <w:rPr>
                        <w:szCs w:val="21"/>
                      </w:rPr>
                    </w:pPr>
                    <w:r>
                      <w:rPr>
                        <w:rFonts w:hint="eastAsia"/>
                        <w:szCs w:val="21"/>
                      </w:rPr>
                      <w:t>0</w:t>
                    </w:r>
                  </w:p>
                </w:tc>
                <w:tc>
                  <w:tcPr>
                    <w:tcW w:w="1686" w:type="dxa"/>
                  </w:tcPr>
                  <w:p w:rsidR="00806678" w:rsidRDefault="008D1A59">
                    <w:pPr>
                      <w:jc w:val="right"/>
                      <w:rPr>
                        <w:szCs w:val="21"/>
                      </w:rPr>
                    </w:pPr>
                    <w:r w:rsidRPr="008D1A59">
                      <w:rPr>
                        <w:szCs w:val="21"/>
                      </w:rPr>
                      <w:t>31,998,859,000</w:t>
                    </w:r>
                  </w:p>
                </w:tc>
              </w:tr>
            </w:sdtContent>
          </w:sdt>
        </w:tbl>
        <w:p w:rsidR="00806678" w:rsidRDefault="00F80B6C"/>
      </w:sdtContent>
    </w:sdt>
    <w:p w:rsidR="00806678" w:rsidRDefault="00B16377">
      <w:r>
        <w:t>报告期转债累计转股情况</w:t>
      </w:r>
    </w:p>
    <w:sdt>
      <w:sdtPr>
        <w:alias w:val="是否适用：报告期转债累计转股情况[双击切换]"/>
        <w:tag w:val="_GBC_17fac391a9434849b418b1c91de8d200"/>
        <w:id w:val="37711329"/>
        <w:lock w:val="sdtContentLocked"/>
        <w:placeholder>
          <w:docPart w:val="GBC22222222222222222222222222222"/>
        </w:placeholder>
      </w:sdtPr>
      <w:sdtContent>
        <w:p w:rsidR="00806678" w:rsidRDefault="00F80B6C">
          <w:r>
            <w:fldChar w:fldCharType="begin"/>
          </w:r>
          <w:r w:rsidR="005014DF">
            <w:instrText xml:space="preserve">MACROBUTTON  SnrToggleCheckbox √适用 </w:instrText>
          </w:r>
          <w:r>
            <w:fldChar w:fldCharType="end"/>
          </w:r>
          <w:r>
            <w:fldChar w:fldCharType="begin"/>
          </w:r>
          <w:r w:rsidR="005014DF">
            <w:instrText xml:space="preserve"> MACROBUTTON  SnrToggleCheckbox □不适用 </w:instrText>
          </w:r>
          <w:r>
            <w:fldChar w:fldCharType="end"/>
          </w:r>
        </w:p>
      </w:sdtContent>
    </w:sdt>
    <w:bookmarkStart w:id="121" w:name="_Hlk56779376" w:displacedByCustomXml="next"/>
    <w:sdt>
      <w:sdtPr>
        <w:rPr>
          <w:szCs w:val="21"/>
        </w:rPr>
        <w:alias w:val="模块:转债累计转股情况"/>
        <w:tag w:val="_SEC_89aef7a704694ed59cbfd1a37489ce94"/>
        <w:id w:val="-2026708165"/>
        <w:lock w:val="sdtLocked"/>
        <w:placeholder>
          <w:docPart w:val="GBC22222222222222222222222222222"/>
        </w:placeholder>
      </w:sdtPr>
      <w:sdtContent>
        <w:p w:rsidR="00806678" w:rsidRDefault="00806678">
          <w:pPr>
            <w:rPr>
              <w:szCs w:val="21"/>
            </w:rPr>
          </w:pPr>
        </w:p>
        <w:tbl>
          <w:tblPr>
            <w:tblStyle w:val="a6"/>
            <w:tblW w:w="0" w:type="auto"/>
            <w:tblLook w:val="04A0"/>
          </w:tblPr>
          <w:tblGrid>
            <w:gridCol w:w="4524"/>
            <w:gridCol w:w="4524"/>
          </w:tblGrid>
          <w:tr w:rsidR="00806678" w:rsidTr="001E2B27">
            <w:tc>
              <w:tcPr>
                <w:tcW w:w="4524" w:type="dxa"/>
              </w:tcPr>
              <w:sdt>
                <w:sdtPr>
                  <w:rPr>
                    <w:rFonts w:hint="eastAsia"/>
                  </w:rPr>
                  <w:tag w:val="_PLD_5f08623115964e538e7154b674a3f079"/>
                  <w:id w:val="-1655435831"/>
                  <w:lock w:val="sdtLocked"/>
                </w:sdtPr>
                <w:sdtContent>
                  <w:p w:rsidR="00806678" w:rsidRDefault="00B16377">
                    <w:r>
                      <w:rPr>
                        <w:rFonts w:hint="eastAsia"/>
                      </w:rPr>
                      <w:t>可转换公司债券名称</w:t>
                    </w:r>
                  </w:p>
                </w:sdtContent>
              </w:sdt>
            </w:tc>
            <w:sdt>
              <w:sdtPr>
                <w:rPr>
                  <w:rFonts w:hint="eastAsia"/>
                  <w:szCs w:val="21"/>
                </w:rPr>
                <w:alias w:val="可转换公司债券名称"/>
                <w:tag w:val="_GBC_a35eb604d57a4afc8454d167b5bfa794"/>
                <w:id w:val="-2134161919"/>
                <w:lock w:val="sdtLocked"/>
              </w:sdtPr>
              <w:sdtContent>
                <w:tc>
                  <w:tcPr>
                    <w:tcW w:w="4524" w:type="dxa"/>
                  </w:tcPr>
                  <w:p w:rsidR="00806678" w:rsidRDefault="00335E52">
                    <w:pPr>
                      <w:jc w:val="left"/>
                      <w:rPr>
                        <w:szCs w:val="21"/>
                      </w:rPr>
                    </w:pPr>
                    <w:r w:rsidRPr="00335E52">
                      <w:rPr>
                        <w:szCs w:val="21"/>
                      </w:rPr>
                      <w:t>2020年大秦铁路股份有限公司可转换公司债券</w:t>
                    </w:r>
                  </w:p>
                </w:tc>
              </w:sdtContent>
            </w:sdt>
          </w:tr>
          <w:tr w:rsidR="00806678" w:rsidTr="001E2B27">
            <w:sdt>
              <w:sdtPr>
                <w:tag w:val="_PLD_97528fa851e4487a8ddf8511aa9e8d62"/>
                <w:id w:val="-21018150"/>
                <w:lock w:val="sdtLocked"/>
              </w:sdtPr>
              <w:sdtContent>
                <w:tc>
                  <w:tcPr>
                    <w:tcW w:w="4524" w:type="dxa"/>
                  </w:tcPr>
                  <w:p w:rsidR="00806678" w:rsidRDefault="00B16377">
                    <w:pPr>
                      <w:rPr>
                        <w:szCs w:val="21"/>
                      </w:rPr>
                    </w:pPr>
                    <w:r>
                      <w:rPr>
                        <w:szCs w:val="21"/>
                      </w:rPr>
                      <w:t>报告期转股额（元）</w:t>
                    </w:r>
                  </w:p>
                </w:tc>
              </w:sdtContent>
            </w:sdt>
            <w:tc>
              <w:tcPr>
                <w:tcW w:w="4524" w:type="dxa"/>
              </w:tcPr>
              <w:p w:rsidR="00806678" w:rsidRDefault="00335E52">
                <w:pPr>
                  <w:jc w:val="right"/>
                  <w:rPr>
                    <w:szCs w:val="21"/>
                  </w:rPr>
                </w:pPr>
                <w:r w:rsidRPr="00335E52">
                  <w:rPr>
                    <w:szCs w:val="21"/>
                  </w:rPr>
                  <w:t>263,000</w:t>
                </w:r>
              </w:p>
            </w:tc>
          </w:tr>
          <w:tr w:rsidR="00806678" w:rsidTr="001E2B27">
            <w:sdt>
              <w:sdtPr>
                <w:tag w:val="_PLD_0c118de47eda49018437ad7e97fc8209"/>
                <w:id w:val="758263435"/>
                <w:lock w:val="sdtLocked"/>
              </w:sdtPr>
              <w:sdtContent>
                <w:tc>
                  <w:tcPr>
                    <w:tcW w:w="4524" w:type="dxa"/>
                  </w:tcPr>
                  <w:p w:rsidR="00806678" w:rsidRDefault="00B16377">
                    <w:pPr>
                      <w:rPr>
                        <w:szCs w:val="21"/>
                      </w:rPr>
                    </w:pPr>
                    <w:r>
                      <w:rPr>
                        <w:szCs w:val="21"/>
                      </w:rPr>
                      <w:t>报告期转股数（股）</w:t>
                    </w:r>
                  </w:p>
                </w:tc>
              </w:sdtContent>
            </w:sdt>
            <w:tc>
              <w:tcPr>
                <w:tcW w:w="4524" w:type="dxa"/>
              </w:tcPr>
              <w:p w:rsidR="00806678" w:rsidRDefault="00335E52">
                <w:pPr>
                  <w:jc w:val="right"/>
                  <w:rPr>
                    <w:szCs w:val="21"/>
                  </w:rPr>
                </w:pPr>
                <w:r w:rsidRPr="00335E52">
                  <w:rPr>
                    <w:szCs w:val="21"/>
                  </w:rPr>
                  <w:t>37,882</w:t>
                </w:r>
              </w:p>
            </w:tc>
          </w:tr>
          <w:tr w:rsidR="00806678" w:rsidTr="001E2B27">
            <w:sdt>
              <w:sdtPr>
                <w:tag w:val="_PLD_4935fcb643bc43e7a0ea0a0d774adfc3"/>
                <w:id w:val="1161898789"/>
                <w:lock w:val="sdtLocked"/>
              </w:sdtPr>
              <w:sdtContent>
                <w:tc>
                  <w:tcPr>
                    <w:tcW w:w="4524" w:type="dxa"/>
                  </w:tcPr>
                  <w:p w:rsidR="00806678" w:rsidRDefault="00B16377">
                    <w:pPr>
                      <w:rPr>
                        <w:szCs w:val="21"/>
                      </w:rPr>
                    </w:pPr>
                    <w:r>
                      <w:rPr>
                        <w:szCs w:val="21"/>
                      </w:rPr>
                      <w:t>累计转股数（股）</w:t>
                    </w:r>
                  </w:p>
                </w:tc>
              </w:sdtContent>
            </w:sdt>
            <w:tc>
              <w:tcPr>
                <w:tcW w:w="4524" w:type="dxa"/>
              </w:tcPr>
              <w:p w:rsidR="00806678" w:rsidRDefault="00335E52">
                <w:pPr>
                  <w:jc w:val="right"/>
                  <w:rPr>
                    <w:szCs w:val="21"/>
                  </w:rPr>
                </w:pPr>
                <w:r w:rsidRPr="00335E52">
                  <w:rPr>
                    <w:szCs w:val="21"/>
                  </w:rPr>
                  <w:t>154,416</w:t>
                </w:r>
              </w:p>
            </w:tc>
          </w:tr>
          <w:tr w:rsidR="00806678" w:rsidTr="001E2B27">
            <w:sdt>
              <w:sdtPr>
                <w:tag w:val="_PLD_37eb9d14bbd74f68b83cc14562480f39"/>
                <w:id w:val="-589232009"/>
                <w:lock w:val="sdtLocked"/>
              </w:sdtPr>
              <w:sdtContent>
                <w:tc>
                  <w:tcPr>
                    <w:tcW w:w="4524" w:type="dxa"/>
                  </w:tcPr>
                  <w:p w:rsidR="00806678" w:rsidRDefault="00B16377">
                    <w:pPr>
                      <w:rPr>
                        <w:szCs w:val="21"/>
                      </w:rPr>
                    </w:pPr>
                    <w:r>
                      <w:rPr>
                        <w:szCs w:val="21"/>
                      </w:rPr>
                      <w:t>累计转股数占转股前公司已发行股份总数（%）</w:t>
                    </w:r>
                  </w:p>
                </w:tc>
              </w:sdtContent>
            </w:sdt>
            <w:tc>
              <w:tcPr>
                <w:tcW w:w="4524" w:type="dxa"/>
              </w:tcPr>
              <w:p w:rsidR="00806678" w:rsidRDefault="00335E52">
                <w:pPr>
                  <w:jc w:val="right"/>
                  <w:rPr>
                    <w:szCs w:val="21"/>
                  </w:rPr>
                </w:pPr>
                <w:r w:rsidRPr="00335E52">
                  <w:rPr>
                    <w:szCs w:val="21"/>
                  </w:rPr>
                  <w:t>0.001039</w:t>
                </w:r>
              </w:p>
            </w:tc>
          </w:tr>
          <w:tr w:rsidR="00806678" w:rsidTr="001E2B27">
            <w:sdt>
              <w:sdtPr>
                <w:tag w:val="_PLD_3727159706d94097ad959521d25b7a49"/>
                <w:id w:val="283698458"/>
                <w:lock w:val="sdtLocked"/>
              </w:sdtPr>
              <w:sdtContent>
                <w:tc>
                  <w:tcPr>
                    <w:tcW w:w="4524" w:type="dxa"/>
                  </w:tcPr>
                  <w:p w:rsidR="00806678" w:rsidRDefault="00B16377">
                    <w:pPr>
                      <w:rPr>
                        <w:szCs w:val="21"/>
                      </w:rPr>
                    </w:pPr>
                    <w:r>
                      <w:rPr>
                        <w:szCs w:val="21"/>
                      </w:rPr>
                      <w:t>尚未转股额（元）</w:t>
                    </w:r>
                  </w:p>
                </w:tc>
              </w:sdtContent>
            </w:sdt>
            <w:tc>
              <w:tcPr>
                <w:tcW w:w="4524" w:type="dxa"/>
              </w:tcPr>
              <w:p w:rsidR="00806678" w:rsidRDefault="00335E52">
                <w:pPr>
                  <w:jc w:val="right"/>
                  <w:rPr>
                    <w:szCs w:val="21"/>
                  </w:rPr>
                </w:pPr>
                <w:r w:rsidRPr="00335E52">
                  <w:rPr>
                    <w:szCs w:val="21"/>
                  </w:rPr>
                  <w:t>31,998,859,000</w:t>
                </w:r>
              </w:p>
            </w:tc>
          </w:tr>
          <w:tr w:rsidR="00806678" w:rsidTr="001E2B27">
            <w:sdt>
              <w:sdtPr>
                <w:tag w:val="_PLD_2119caa0443d4a6c88f1a5f948f1294e"/>
                <w:id w:val="1544712672"/>
                <w:lock w:val="sdtLocked"/>
              </w:sdtPr>
              <w:sdtContent>
                <w:tc>
                  <w:tcPr>
                    <w:tcW w:w="4524" w:type="dxa"/>
                  </w:tcPr>
                  <w:p w:rsidR="00806678" w:rsidRDefault="00B16377">
                    <w:pPr>
                      <w:rPr>
                        <w:szCs w:val="21"/>
                      </w:rPr>
                    </w:pPr>
                    <w:r>
                      <w:rPr>
                        <w:szCs w:val="21"/>
                      </w:rPr>
                      <w:t>未转股转债占转债发行总量比例（%）</w:t>
                    </w:r>
                  </w:p>
                </w:tc>
              </w:sdtContent>
            </w:sdt>
            <w:tc>
              <w:tcPr>
                <w:tcW w:w="4524" w:type="dxa"/>
              </w:tcPr>
              <w:p w:rsidR="00806678" w:rsidRDefault="00335E52">
                <w:pPr>
                  <w:jc w:val="right"/>
                  <w:rPr>
                    <w:szCs w:val="21"/>
                  </w:rPr>
                </w:pPr>
                <w:r w:rsidRPr="00335E52">
                  <w:rPr>
                    <w:szCs w:val="21"/>
                  </w:rPr>
                  <w:t>99.9964</w:t>
                </w:r>
              </w:p>
            </w:tc>
          </w:tr>
        </w:tbl>
        <w:p w:rsidR="00806678" w:rsidRDefault="00F80B6C">
          <w:pPr>
            <w:rPr>
              <w:szCs w:val="21"/>
            </w:rPr>
          </w:pPr>
        </w:p>
      </w:sdtContent>
    </w:sdt>
    <w:bookmarkEnd w:id="121" w:displacedByCustomXml="prev"/>
    <w:p w:rsidR="00806678" w:rsidRDefault="00B16377" w:rsidP="00FF17C7">
      <w:pPr>
        <w:pStyle w:val="3"/>
        <w:numPr>
          <w:ilvl w:val="0"/>
          <w:numId w:val="26"/>
        </w:numPr>
        <w:rPr>
          <w:szCs w:val="21"/>
        </w:rPr>
      </w:pPr>
      <w:r>
        <w:rPr>
          <w:szCs w:val="21"/>
        </w:rPr>
        <w:t>转股价格历次调整情况</w:t>
      </w:r>
    </w:p>
    <w:sdt>
      <w:sdtPr>
        <w:alias w:val="是否适用：转股价格历次调整情况[双击切换]"/>
        <w:tag w:val="_GBC_0fe6da18026a4a54834707bcfb7e8798"/>
        <w:id w:val="155117908"/>
        <w:lock w:val="sdtContentLocked"/>
        <w:placeholder>
          <w:docPart w:val="GBC22222222222222222222222222222"/>
        </w:placeholder>
      </w:sdtPr>
      <w:sdtContent>
        <w:p w:rsidR="00806678" w:rsidRDefault="00F80B6C">
          <w:r>
            <w:fldChar w:fldCharType="begin"/>
          </w:r>
          <w:r w:rsidR="005014DF">
            <w:instrText xml:space="preserve">MACROBUTTON  SnrToggleCheckbox √适用 </w:instrText>
          </w:r>
          <w:r>
            <w:fldChar w:fldCharType="end"/>
          </w:r>
          <w:r>
            <w:fldChar w:fldCharType="begin"/>
          </w:r>
          <w:r w:rsidR="005014DF">
            <w:instrText xml:space="preserve"> MACROBUTTON  SnrToggleCheckbox □不适用 </w:instrText>
          </w:r>
          <w:r>
            <w:fldChar w:fldCharType="end"/>
          </w:r>
        </w:p>
      </w:sdtContent>
    </w:sdt>
    <w:p w:rsidR="00806678" w:rsidRDefault="00B16377">
      <w:pPr>
        <w:jc w:val="right"/>
        <w:rPr>
          <w:szCs w:val="21"/>
        </w:rPr>
      </w:pPr>
      <w:r>
        <w:rPr>
          <w:rFonts w:hint="eastAsia"/>
          <w:szCs w:val="21"/>
        </w:rPr>
        <w:t>单位:</w:t>
      </w:r>
      <w:sdt>
        <w:sdtPr>
          <w:rPr>
            <w:rFonts w:hint="eastAsia"/>
            <w:szCs w:val="21"/>
          </w:rPr>
          <w:alias w:val="单位：转股价格历次调整情况"/>
          <w:tag w:val="_GBC_d5ffd32180a94138bafb48697c550d25"/>
          <w:id w:val="150903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转股价格历次调整情况"/>
          <w:tag w:val="_GBC_5daf1a3a24844cb29df06aabe132cbfd"/>
          <w:id w:val="150904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bookmarkStart w:id="122" w:name="_Hlk56779871" w:displacedByCustomXml="next"/>
    <w:sdt>
      <w:sdtPr>
        <w:rPr>
          <w:szCs w:val="21"/>
        </w:rPr>
        <w:alias w:val="模块:转股价格历次调整情况"/>
        <w:tag w:val="_SEC_1129e6b3e49649d69212a4fc99681245"/>
        <w:id w:val="1258567501"/>
        <w:lock w:val="sdtLocked"/>
        <w:placeholder>
          <w:docPart w:val="GBC22222222222222222222222222222"/>
        </w:placeholder>
      </w:sdtPr>
      <w:sdtContent>
        <w:p w:rsidR="00806678" w:rsidRDefault="00806678">
          <w:pPr>
            <w:rPr>
              <w:szCs w:val="21"/>
            </w:rPr>
          </w:pPr>
        </w:p>
        <w:tbl>
          <w:tblPr>
            <w:tblStyle w:val="a6"/>
            <w:tblW w:w="0" w:type="auto"/>
            <w:tblLook w:val="04A0"/>
          </w:tblPr>
          <w:tblGrid>
            <w:gridCol w:w="1764"/>
            <w:gridCol w:w="1764"/>
            <w:gridCol w:w="1765"/>
            <w:gridCol w:w="1765"/>
            <w:gridCol w:w="1765"/>
          </w:tblGrid>
          <w:tr w:rsidR="00806678" w:rsidTr="001E2B27">
            <w:tc>
              <w:tcPr>
                <w:tcW w:w="3528" w:type="dxa"/>
                <w:gridSpan w:val="2"/>
                <w:vAlign w:val="center"/>
              </w:tcPr>
              <w:sdt>
                <w:sdtPr>
                  <w:rPr>
                    <w:rFonts w:hint="eastAsia"/>
                  </w:rPr>
                  <w:tag w:val="_PLD_9efdc8f002fd4e9c88f7d2d33ab1cdea"/>
                  <w:id w:val="746764459"/>
                  <w:lock w:val="sdtLocked"/>
                </w:sdtPr>
                <w:sdtContent>
                  <w:p w:rsidR="00806678" w:rsidRDefault="00B16377">
                    <w:pPr>
                      <w:jc w:val="left"/>
                    </w:pPr>
                    <w:r>
                      <w:rPr>
                        <w:rFonts w:hint="eastAsia"/>
                      </w:rPr>
                      <w:t>可转换公司债券名称</w:t>
                    </w:r>
                  </w:p>
                </w:sdtContent>
              </w:sdt>
            </w:tc>
            <w:sdt>
              <w:sdtPr>
                <w:alias w:val="可转换公司债券名称"/>
                <w:tag w:val="_GBC_6a7480720a3d4402875330c4892a5a5a"/>
                <w:id w:val="-783041342"/>
                <w:lock w:val="sdtLocked"/>
              </w:sdtPr>
              <w:sdtContent>
                <w:tc>
                  <w:tcPr>
                    <w:tcW w:w="5295" w:type="dxa"/>
                    <w:gridSpan w:val="3"/>
                    <w:vAlign w:val="center"/>
                  </w:tcPr>
                  <w:p w:rsidR="00806678" w:rsidRDefault="00AB6584">
                    <w:pPr>
                      <w:jc w:val="left"/>
                    </w:pPr>
                    <w:r w:rsidRPr="00AB6584">
                      <w:t>2020年大秦铁路股份有限公司可转换公司债券</w:t>
                    </w:r>
                  </w:p>
                </w:tc>
              </w:sdtContent>
            </w:sdt>
          </w:tr>
          <w:tr w:rsidR="00806678" w:rsidTr="001E2B27">
            <w:sdt>
              <w:sdtPr>
                <w:tag w:val="_PLD_2e73bfa0020b41fb91480abe632b1d7e"/>
                <w:id w:val="-1278096086"/>
                <w:lock w:val="sdtLocked"/>
              </w:sdtPr>
              <w:sdtContent>
                <w:tc>
                  <w:tcPr>
                    <w:tcW w:w="1764" w:type="dxa"/>
                    <w:vAlign w:val="center"/>
                  </w:tcPr>
                  <w:p w:rsidR="00806678" w:rsidRDefault="00B16377">
                    <w:pPr>
                      <w:jc w:val="center"/>
                      <w:rPr>
                        <w:szCs w:val="21"/>
                      </w:rPr>
                    </w:pPr>
                    <w:r>
                      <w:rPr>
                        <w:szCs w:val="21"/>
                      </w:rPr>
                      <w:t>转股价格调整日</w:t>
                    </w:r>
                  </w:p>
                </w:tc>
              </w:sdtContent>
            </w:sdt>
            <w:sdt>
              <w:sdtPr>
                <w:tag w:val="_PLD_2543a9058ce44ce5aaa72b2451934dfb"/>
                <w:id w:val="803505062"/>
                <w:lock w:val="sdtLocked"/>
              </w:sdtPr>
              <w:sdtContent>
                <w:tc>
                  <w:tcPr>
                    <w:tcW w:w="1764" w:type="dxa"/>
                    <w:vAlign w:val="center"/>
                  </w:tcPr>
                  <w:p w:rsidR="00806678" w:rsidRDefault="00B16377">
                    <w:pPr>
                      <w:jc w:val="center"/>
                      <w:rPr>
                        <w:szCs w:val="21"/>
                      </w:rPr>
                    </w:pPr>
                    <w:r>
                      <w:rPr>
                        <w:szCs w:val="21"/>
                      </w:rPr>
                      <w:t>调整后转股价格</w:t>
                    </w:r>
                  </w:p>
                </w:tc>
              </w:sdtContent>
            </w:sdt>
            <w:sdt>
              <w:sdtPr>
                <w:tag w:val="_PLD_a35bf0f4b75e4e2db9d01791cbf10401"/>
                <w:id w:val="-916781328"/>
                <w:lock w:val="sdtLocked"/>
              </w:sdtPr>
              <w:sdtContent>
                <w:tc>
                  <w:tcPr>
                    <w:tcW w:w="1765" w:type="dxa"/>
                    <w:vAlign w:val="center"/>
                  </w:tcPr>
                  <w:p w:rsidR="00806678" w:rsidRDefault="00B16377">
                    <w:pPr>
                      <w:jc w:val="center"/>
                      <w:rPr>
                        <w:szCs w:val="21"/>
                      </w:rPr>
                    </w:pPr>
                    <w:r>
                      <w:rPr>
                        <w:szCs w:val="21"/>
                      </w:rPr>
                      <w:t>披露时间</w:t>
                    </w:r>
                  </w:p>
                </w:tc>
              </w:sdtContent>
            </w:sdt>
            <w:sdt>
              <w:sdtPr>
                <w:tag w:val="_PLD_68fef77f3cf445a7aa3ae5be05fc4f2d"/>
                <w:id w:val="1946354879"/>
                <w:lock w:val="sdtLocked"/>
              </w:sdtPr>
              <w:sdtContent>
                <w:tc>
                  <w:tcPr>
                    <w:tcW w:w="1765" w:type="dxa"/>
                    <w:vAlign w:val="center"/>
                  </w:tcPr>
                  <w:p w:rsidR="00806678" w:rsidRDefault="00B16377">
                    <w:pPr>
                      <w:jc w:val="center"/>
                      <w:rPr>
                        <w:szCs w:val="21"/>
                      </w:rPr>
                    </w:pPr>
                    <w:r>
                      <w:rPr>
                        <w:szCs w:val="21"/>
                      </w:rPr>
                      <w:t>披露媒体</w:t>
                    </w:r>
                  </w:p>
                </w:tc>
              </w:sdtContent>
            </w:sdt>
            <w:sdt>
              <w:sdtPr>
                <w:tag w:val="_PLD_8e09abb1ef40455d97ce7a7ec6deae81"/>
                <w:id w:val="1330715204"/>
                <w:lock w:val="sdtLocked"/>
              </w:sdtPr>
              <w:sdtContent>
                <w:tc>
                  <w:tcPr>
                    <w:tcW w:w="1765" w:type="dxa"/>
                    <w:vAlign w:val="center"/>
                  </w:tcPr>
                  <w:p w:rsidR="00806678" w:rsidRDefault="00B16377">
                    <w:pPr>
                      <w:jc w:val="center"/>
                      <w:rPr>
                        <w:szCs w:val="21"/>
                      </w:rPr>
                    </w:pPr>
                    <w:r>
                      <w:rPr>
                        <w:szCs w:val="21"/>
                      </w:rPr>
                      <w:t>转股价格调整</w:t>
                    </w:r>
                  </w:p>
                  <w:p w:rsidR="00806678" w:rsidRDefault="00B16377">
                    <w:pPr>
                      <w:jc w:val="center"/>
                      <w:rPr>
                        <w:szCs w:val="21"/>
                      </w:rPr>
                    </w:pPr>
                    <w:r>
                      <w:rPr>
                        <w:szCs w:val="21"/>
                      </w:rPr>
                      <w:t>说明</w:t>
                    </w:r>
                  </w:p>
                </w:tc>
              </w:sdtContent>
            </w:sdt>
          </w:tr>
          <w:sdt>
            <w:sdtPr>
              <w:rPr>
                <w:rFonts w:hint="eastAsia"/>
                <w:szCs w:val="21"/>
              </w:rPr>
              <w:alias w:val="转股价格历次调整情况"/>
              <w:tag w:val="_TUP_a5166c534fff47268b56f633d3e6f40e"/>
              <w:id w:val="-546526030"/>
              <w:lock w:val="sdtLocked"/>
            </w:sdtPr>
            <w:sdtContent>
              <w:tr w:rsidR="00806678" w:rsidTr="001E2B27">
                <w:tc>
                  <w:tcPr>
                    <w:tcW w:w="1764" w:type="dxa"/>
                  </w:tcPr>
                  <w:p w:rsidR="00806678" w:rsidRDefault="00AB6584">
                    <w:pPr>
                      <w:rPr>
                        <w:szCs w:val="21"/>
                      </w:rPr>
                    </w:pPr>
                    <w:r>
                      <w:rPr>
                        <w:rFonts w:hint="eastAsia"/>
                        <w:szCs w:val="21"/>
                      </w:rPr>
                      <w:t>2022-07-07</w:t>
                    </w:r>
                  </w:p>
                </w:tc>
                <w:tc>
                  <w:tcPr>
                    <w:tcW w:w="1764" w:type="dxa"/>
                  </w:tcPr>
                  <w:p w:rsidR="00806678" w:rsidRDefault="00AB6584">
                    <w:pPr>
                      <w:jc w:val="right"/>
                      <w:rPr>
                        <w:szCs w:val="21"/>
                      </w:rPr>
                    </w:pPr>
                    <w:r>
                      <w:rPr>
                        <w:rFonts w:hint="eastAsia"/>
                        <w:szCs w:val="21"/>
                      </w:rPr>
                      <w:t>6.70</w:t>
                    </w:r>
                  </w:p>
                </w:tc>
                <w:tc>
                  <w:tcPr>
                    <w:tcW w:w="1765" w:type="dxa"/>
                  </w:tcPr>
                  <w:p w:rsidR="00806678" w:rsidRDefault="00AB6584">
                    <w:pPr>
                      <w:rPr>
                        <w:szCs w:val="21"/>
                      </w:rPr>
                    </w:pPr>
                    <w:r>
                      <w:rPr>
                        <w:rFonts w:hint="eastAsia"/>
                        <w:szCs w:val="21"/>
                      </w:rPr>
                      <w:t>2022-06-30</w:t>
                    </w:r>
                  </w:p>
                </w:tc>
                <w:tc>
                  <w:tcPr>
                    <w:tcW w:w="1765" w:type="dxa"/>
                  </w:tcPr>
                  <w:p w:rsidR="00806678" w:rsidRDefault="00AB6584">
                    <w:pPr>
                      <w:rPr>
                        <w:szCs w:val="21"/>
                      </w:rPr>
                    </w:pPr>
                    <w:r w:rsidRPr="00AB6584">
                      <w:rPr>
                        <w:rFonts w:hint="eastAsia"/>
                        <w:szCs w:val="21"/>
                      </w:rPr>
                      <w:t>上海证券交易所网站、《中国证券报》《上海证券报》</w:t>
                    </w:r>
                  </w:p>
                </w:tc>
                <w:tc>
                  <w:tcPr>
                    <w:tcW w:w="1765" w:type="dxa"/>
                  </w:tcPr>
                  <w:p w:rsidR="00806678" w:rsidRDefault="00AB6584">
                    <w:pPr>
                      <w:rPr>
                        <w:szCs w:val="21"/>
                      </w:rPr>
                    </w:pPr>
                    <w:r w:rsidRPr="00AB6584">
                      <w:rPr>
                        <w:rFonts w:hint="eastAsia"/>
                        <w:szCs w:val="21"/>
                      </w:rPr>
                      <w:t>公司</w:t>
                    </w:r>
                    <w:r>
                      <w:rPr>
                        <w:szCs w:val="21"/>
                      </w:rPr>
                      <w:t>202</w:t>
                    </w:r>
                    <w:r>
                      <w:rPr>
                        <w:rFonts w:hint="eastAsia"/>
                        <w:szCs w:val="21"/>
                      </w:rPr>
                      <w:t>1</w:t>
                    </w:r>
                    <w:r w:rsidRPr="00AB6584">
                      <w:rPr>
                        <w:szCs w:val="21"/>
                      </w:rPr>
                      <w:t>年度利润分配派发现金红利0.48元(含税),大秦转债的转股价格根据规定由原来的</w:t>
                    </w:r>
                    <w:r>
                      <w:rPr>
                        <w:szCs w:val="21"/>
                      </w:rPr>
                      <w:t>7.</w:t>
                    </w:r>
                    <w:r>
                      <w:rPr>
                        <w:rFonts w:hint="eastAsia"/>
                        <w:szCs w:val="21"/>
                      </w:rPr>
                      <w:t>18</w:t>
                    </w:r>
                    <w:r w:rsidRPr="00AB6584">
                      <w:rPr>
                        <w:szCs w:val="21"/>
                      </w:rPr>
                      <w:t>元/股调整为为</w:t>
                    </w:r>
                    <w:r>
                      <w:rPr>
                        <w:rFonts w:hint="eastAsia"/>
                        <w:szCs w:val="21"/>
                      </w:rPr>
                      <w:t>6.70</w:t>
                    </w:r>
                    <w:r w:rsidRPr="00AB6584">
                      <w:rPr>
                        <w:szCs w:val="21"/>
                      </w:rPr>
                      <w:t>元/股，调整后的转股价格于</w:t>
                    </w:r>
                    <w:r>
                      <w:rPr>
                        <w:szCs w:val="21"/>
                      </w:rPr>
                      <w:t>202</w:t>
                    </w:r>
                    <w:r>
                      <w:rPr>
                        <w:rFonts w:hint="eastAsia"/>
                        <w:szCs w:val="21"/>
                      </w:rPr>
                      <w:t>2</w:t>
                    </w:r>
                    <w:r w:rsidRPr="00AB6584">
                      <w:rPr>
                        <w:szCs w:val="21"/>
                      </w:rPr>
                      <w:t>年7月</w:t>
                    </w:r>
                    <w:r>
                      <w:rPr>
                        <w:rFonts w:hint="eastAsia"/>
                        <w:szCs w:val="21"/>
                      </w:rPr>
                      <w:t>7</w:t>
                    </w:r>
                    <w:r w:rsidRPr="00AB6584">
                      <w:rPr>
                        <w:szCs w:val="21"/>
                      </w:rPr>
                      <w:t>日生效。</w:t>
                    </w:r>
                  </w:p>
                </w:tc>
              </w:tr>
            </w:sdtContent>
          </w:sdt>
          <w:tr w:rsidR="00806678" w:rsidTr="001E2B27">
            <w:sdt>
              <w:sdtPr>
                <w:tag w:val="_PLD_f3e6fa00b61c49d0a4b826652a4c5842"/>
                <w:id w:val="-1975059893"/>
                <w:lock w:val="sdtLocked"/>
              </w:sdtPr>
              <w:sdtContent>
                <w:tc>
                  <w:tcPr>
                    <w:tcW w:w="3528" w:type="dxa"/>
                    <w:gridSpan w:val="2"/>
                  </w:tcPr>
                  <w:p w:rsidR="00806678" w:rsidRDefault="00B16377">
                    <w:pPr>
                      <w:rPr>
                        <w:szCs w:val="21"/>
                      </w:rPr>
                    </w:pPr>
                    <w:r>
                      <w:rPr>
                        <w:szCs w:val="21"/>
                      </w:rPr>
                      <w:t>截</w:t>
                    </w:r>
                    <w:r>
                      <w:rPr>
                        <w:rFonts w:hint="eastAsia"/>
                        <w:szCs w:val="21"/>
                      </w:rPr>
                      <w:t>至</w:t>
                    </w:r>
                    <w:r>
                      <w:rPr>
                        <w:szCs w:val="21"/>
                      </w:rPr>
                      <w:t>本报告期末最新转股价格</w:t>
                    </w:r>
                  </w:p>
                </w:tc>
              </w:sdtContent>
            </w:sdt>
            <w:tc>
              <w:tcPr>
                <w:tcW w:w="5295" w:type="dxa"/>
                <w:gridSpan w:val="3"/>
              </w:tcPr>
              <w:p w:rsidR="00806678" w:rsidRDefault="00AB6584">
                <w:pPr>
                  <w:jc w:val="right"/>
                  <w:rPr>
                    <w:szCs w:val="21"/>
                  </w:rPr>
                </w:pPr>
                <w:r>
                  <w:rPr>
                    <w:rFonts w:hint="eastAsia"/>
                    <w:szCs w:val="21"/>
                  </w:rPr>
                  <w:t>6.70</w:t>
                </w:r>
              </w:p>
            </w:tc>
          </w:tr>
        </w:tbl>
        <w:p w:rsidR="00806678" w:rsidRDefault="00F80B6C">
          <w:pPr>
            <w:rPr>
              <w:szCs w:val="21"/>
            </w:rPr>
          </w:pPr>
        </w:p>
      </w:sdtContent>
    </w:sdt>
    <w:bookmarkEnd w:id="122" w:displacedByCustomXml="prev"/>
    <w:sdt>
      <w:sdtPr>
        <w:rPr>
          <w:rFonts w:ascii="宋体" w:hAnsi="宋体" w:cs="宋体"/>
          <w:b w:val="0"/>
          <w:bCs w:val="0"/>
          <w:kern w:val="0"/>
          <w:sz w:val="24"/>
          <w:szCs w:val="21"/>
        </w:rPr>
        <w:alias w:val="模块:公司的负债情况、资信变化情况及在未来年度还债的现金安排"/>
        <w:tag w:val="_SEC_c80aa4d34ae342609dd463b1810e4513"/>
        <w:id w:val="1509765"/>
        <w:lock w:val="sdtLocked"/>
        <w:placeholder>
          <w:docPart w:val="GBC22222222222222222222222222222"/>
        </w:placeholder>
      </w:sdtPr>
      <w:sdtEndPr>
        <w:rPr>
          <w:rFonts w:hint="eastAsia"/>
          <w:sz w:val="21"/>
        </w:rPr>
      </w:sdtEndPr>
      <w:sdtContent>
        <w:p w:rsidR="00806678" w:rsidRDefault="00B16377" w:rsidP="00FF17C7">
          <w:pPr>
            <w:pStyle w:val="3"/>
            <w:numPr>
              <w:ilvl w:val="0"/>
              <w:numId w:val="26"/>
            </w:numPr>
            <w:rPr>
              <w:szCs w:val="21"/>
            </w:rPr>
          </w:pPr>
          <w:r>
            <w:rPr>
              <w:szCs w:val="21"/>
            </w:rPr>
            <w:t>公司的负债情况、资信变化情况及在未来年度还债的现金安排</w:t>
          </w:r>
        </w:p>
        <w:sdt>
          <w:sdtPr>
            <w:rPr>
              <w:rFonts w:hint="eastAsia"/>
              <w:szCs w:val="21"/>
            </w:rPr>
            <w:alias w:val="是否适用：公司的负债情况、资信变化情况及在未来年度还债的现金安排[双击切换]"/>
            <w:tag w:val="_GBC_0147137d8b4d4bfa8b2d4b32dcdaf596"/>
            <w:id w:val="1492451369"/>
            <w:lock w:val="sdtLocked"/>
            <w:placeholder>
              <w:docPart w:val="GBC22222222222222222222222222222"/>
            </w:placeholder>
          </w:sdtPr>
          <w:sdtContent>
            <w:p w:rsidR="00806678" w:rsidRDefault="00F80B6C">
              <w:pPr>
                <w:rPr>
                  <w:szCs w:val="21"/>
                </w:rPr>
              </w:pPr>
              <w:r>
                <w:rPr>
                  <w:szCs w:val="21"/>
                </w:rPr>
                <w:fldChar w:fldCharType="begin"/>
              </w:r>
              <w:r w:rsidR="00114E71">
                <w:rPr>
                  <w:szCs w:val="21"/>
                </w:rPr>
                <w:instrText xml:space="preserve"> MACROBUTTON  SnrToggleCheckbox √适用  </w:instrText>
              </w:r>
              <w:r>
                <w:rPr>
                  <w:szCs w:val="21"/>
                </w:rPr>
                <w:fldChar w:fldCharType="end"/>
              </w:r>
              <w:r>
                <w:rPr>
                  <w:szCs w:val="21"/>
                </w:rPr>
                <w:fldChar w:fldCharType="begin"/>
              </w:r>
              <w:r w:rsidR="00114E71">
                <w:rPr>
                  <w:szCs w:val="21"/>
                </w:rPr>
                <w:instrText xml:space="preserve"> MACROBUTTON  SnrToggleCheckbox □不适用 </w:instrText>
              </w:r>
              <w:r>
                <w:rPr>
                  <w:szCs w:val="21"/>
                </w:rPr>
                <w:fldChar w:fldCharType="end"/>
              </w:r>
            </w:p>
          </w:sdtContent>
        </w:sdt>
        <w:sdt>
          <w:sdtPr>
            <w:rPr>
              <w:rFonts w:hint="eastAsia"/>
              <w:szCs w:val="21"/>
            </w:rPr>
            <w:alias w:val="本公司转债发行人的情况说明"/>
            <w:tag w:val="_GBC_4d2f90da635e49e5b39f065fd875f6bf"/>
            <w:id w:val="1509026"/>
            <w:lock w:val="sdtLocked"/>
            <w:placeholder>
              <w:docPart w:val="GBC22222222222222222222222222222"/>
            </w:placeholder>
          </w:sdtPr>
          <w:sdtContent>
            <w:p w:rsidR="00114E71" w:rsidRDefault="00114E71" w:rsidP="00114E71">
              <w:pPr>
                <w:spacing w:line="360" w:lineRule="auto"/>
                <w:ind w:firstLine="426"/>
                <w:jc w:val="both"/>
              </w:pPr>
              <w:r>
                <w:rPr>
                  <w:rFonts w:hint="eastAsia"/>
                </w:rPr>
                <w:t>截至本报告期末，公司总资产为</w:t>
              </w:r>
              <w:r w:rsidR="00880E15">
                <w:rPr>
                  <w:rFonts w:hint="eastAsia"/>
                </w:rPr>
                <w:t>2022.97</w:t>
              </w:r>
              <w:r>
                <w:t>亿元，总负债</w:t>
              </w:r>
              <w:r w:rsidR="00880E15">
                <w:rPr>
                  <w:rFonts w:hint="eastAsia"/>
                </w:rPr>
                <w:t>621.08</w:t>
              </w:r>
              <w:r>
                <w:t>亿元，资产负债率为</w:t>
              </w:r>
              <w:r w:rsidR="00FA314A">
                <w:rPr>
                  <w:rFonts w:hint="eastAsia"/>
                </w:rPr>
                <w:t>30.70</w:t>
              </w:r>
              <w:r>
                <w:t xml:space="preserve">%。 </w:t>
              </w:r>
            </w:p>
            <w:p w:rsidR="00F5577D" w:rsidRPr="00F5577D" w:rsidRDefault="00114E71" w:rsidP="00F5577D">
              <w:pPr>
                <w:autoSpaceDE w:val="0"/>
                <w:autoSpaceDN w:val="0"/>
                <w:adjustRightInd w:val="0"/>
                <w:spacing w:line="360" w:lineRule="auto"/>
                <w:ind w:firstLineChars="200" w:firstLine="420"/>
              </w:pPr>
              <w:r>
                <w:rPr>
                  <w:rFonts w:hint="eastAsia"/>
                </w:rPr>
                <w:t>公司聘请联合信用评级有限公司为本次公开发行可转换公司债券的信用状况进行综合分析和评估，并于</w:t>
              </w:r>
              <w:r>
                <w:t>2020年5月20日出具《大秦铁路股份有限公司公开发行可转换公司债券信用评级报告》，公司主体信用等级为AAA，债券信用等级为AAA，评级展望稳定。本报告期内，</w:t>
              </w:r>
              <w:r w:rsidR="00F5577D" w:rsidRPr="00F5577D">
                <w:rPr>
                  <w:rFonts w:hint="eastAsia"/>
                </w:rPr>
                <w:t>评级机构联合资信在对公司经营状况、行业情况等进行综合分析与评估的基础上，于</w:t>
              </w:r>
              <w:r w:rsidR="00F5577D" w:rsidRPr="00F5577D">
                <w:t>202</w:t>
              </w:r>
              <w:r w:rsidR="00F5577D" w:rsidRPr="00F5577D">
                <w:rPr>
                  <w:rFonts w:hint="eastAsia"/>
                </w:rPr>
                <w:t>2年</w:t>
              </w:r>
              <w:r w:rsidR="00F5577D" w:rsidRPr="00F5577D">
                <w:t>6</w:t>
              </w:r>
              <w:r w:rsidR="00F5577D" w:rsidRPr="00F5577D">
                <w:rPr>
                  <w:rFonts w:hint="eastAsia"/>
                </w:rPr>
                <w:t>月</w:t>
              </w:r>
              <w:r w:rsidR="00F5577D" w:rsidRPr="00F5577D">
                <w:t>2</w:t>
              </w:r>
              <w:r w:rsidR="00F5577D" w:rsidRPr="00F5577D">
                <w:rPr>
                  <w:rFonts w:hint="eastAsia"/>
                </w:rPr>
                <w:t>2日出具了《大秦铁路股份有限公司可转换公司债券</w:t>
              </w:r>
              <w:r w:rsidR="00F5577D" w:rsidRPr="00F5577D">
                <w:t>202</w:t>
              </w:r>
              <w:r w:rsidR="00F5577D" w:rsidRPr="00F5577D">
                <w:rPr>
                  <w:rFonts w:hint="eastAsia"/>
                </w:rPr>
                <w:t>2年跟踪评级报告》，本次债券信用等级为</w:t>
              </w:r>
              <w:r w:rsidR="00F5577D" w:rsidRPr="00F5577D">
                <w:t>“AA</w:t>
              </w:r>
              <w:r w:rsidR="00F5577D" w:rsidRPr="00F5577D">
                <w:rPr>
                  <w:rFonts w:hint="eastAsia"/>
                </w:rPr>
                <w:t>A</w:t>
              </w:r>
              <w:r w:rsidR="00F5577D" w:rsidRPr="00F5577D">
                <w:t>”</w:t>
              </w:r>
              <w:r w:rsidR="00F5577D" w:rsidRPr="00F5577D">
                <w:rPr>
                  <w:rFonts w:hint="eastAsia"/>
                </w:rPr>
                <w:t>，发行主体长期信用等级为</w:t>
              </w:r>
              <w:r w:rsidR="00F5577D" w:rsidRPr="00F5577D">
                <w:t>“AA</w:t>
              </w:r>
              <w:r w:rsidR="00F5577D" w:rsidRPr="00F5577D">
                <w:rPr>
                  <w:rFonts w:hint="eastAsia"/>
                </w:rPr>
                <w:t>A</w:t>
              </w:r>
              <w:r w:rsidR="00F5577D" w:rsidRPr="00F5577D">
                <w:t>”</w:t>
              </w:r>
              <w:r w:rsidR="00F5577D" w:rsidRPr="00F5577D">
                <w:rPr>
                  <w:rFonts w:hint="eastAsia"/>
                </w:rPr>
                <w:t>，评级展望</w:t>
              </w:r>
              <w:r w:rsidR="00F5577D" w:rsidRPr="00F5577D">
                <w:t>“</w:t>
              </w:r>
              <w:r w:rsidR="00F5577D" w:rsidRPr="00F5577D">
                <w:rPr>
                  <w:rFonts w:hint="eastAsia"/>
                </w:rPr>
                <w:t>稳定</w:t>
              </w:r>
              <w:r w:rsidR="00F5577D" w:rsidRPr="00F5577D">
                <w:t>”</w:t>
              </w:r>
              <w:r w:rsidR="00F5577D" w:rsidRPr="00F5577D">
                <w:rPr>
                  <w:rFonts w:hint="eastAsia"/>
                </w:rPr>
                <w:t>。本次评级结果较前次没有变化。</w:t>
              </w:r>
            </w:p>
            <w:p w:rsidR="00806678" w:rsidRPr="00F5577D" w:rsidRDefault="00114E71" w:rsidP="00F5577D">
              <w:pPr>
                <w:spacing w:line="360" w:lineRule="auto"/>
                <w:ind w:firstLine="426"/>
                <w:jc w:val="both"/>
              </w:pPr>
              <w:r>
                <w:rPr>
                  <w:rFonts w:hint="eastAsia"/>
                </w:rPr>
                <w:lastRenderedPageBreak/>
                <w:t>公司未来偿付可转债本息的资金主要来源于公司经营活动所产生的现金流。公司主营业务稳定，财务状况良好，经营活动产生的现金流量充足，具有较强的偿债能力。</w:t>
              </w:r>
            </w:p>
          </w:sdtContent>
        </w:sdt>
      </w:sdtContent>
    </w:sdt>
    <w:sdt>
      <w:sdtPr>
        <w:rPr>
          <w:rFonts w:ascii="宋体" w:hAnsi="宋体" w:cs="宋体"/>
          <w:b w:val="0"/>
          <w:bCs w:val="0"/>
          <w:kern w:val="0"/>
          <w:sz w:val="24"/>
          <w:szCs w:val="21"/>
        </w:rPr>
        <w:alias w:val="模块:转债其他情况说明"/>
        <w:tag w:val="_SEC_a6207aced3474a108d95eb7cd3be30a7"/>
        <w:id w:val="1509872"/>
        <w:lock w:val="sdtLocked"/>
        <w:placeholder>
          <w:docPart w:val="GBC22222222222222222222222222222"/>
        </w:placeholder>
      </w:sdtPr>
      <w:sdtEndPr>
        <w:rPr>
          <w:rFonts w:hint="eastAsia"/>
          <w:sz w:val="21"/>
        </w:rPr>
      </w:sdtEndPr>
      <w:sdtContent>
        <w:p w:rsidR="00806678" w:rsidRDefault="00B16377" w:rsidP="00FF17C7">
          <w:pPr>
            <w:pStyle w:val="3"/>
            <w:numPr>
              <w:ilvl w:val="0"/>
              <w:numId w:val="26"/>
            </w:numPr>
            <w:rPr>
              <w:szCs w:val="21"/>
            </w:rPr>
          </w:pPr>
          <w:r>
            <w:rPr>
              <w:szCs w:val="21"/>
            </w:rPr>
            <w:t>转债其他情况说明</w:t>
          </w:r>
        </w:p>
        <w:sdt>
          <w:sdtPr>
            <w:rPr>
              <w:rFonts w:hint="eastAsia"/>
              <w:szCs w:val="21"/>
            </w:rPr>
            <w:alias w:val="是否适用：转债其他情况说明[双击切换]"/>
            <w:tag w:val="_GBC_503be30271664d9fa07cf3fdadcad09d"/>
            <w:id w:val="-945612389"/>
            <w:lock w:val="sdtLocked"/>
            <w:placeholder>
              <w:docPart w:val="GBC22222222222222222222222222222"/>
            </w:placeholder>
          </w:sdtPr>
          <w:sdtContent>
            <w:p w:rsidR="00806678" w:rsidRDefault="00F80B6C" w:rsidP="000F7FA9">
              <w:pPr>
                <w:rPr>
                  <w:szCs w:val="21"/>
                </w:rPr>
              </w:pPr>
              <w:r>
                <w:rPr>
                  <w:szCs w:val="21"/>
                </w:rPr>
                <w:fldChar w:fldCharType="begin"/>
              </w:r>
              <w:r w:rsidR="000F7FA9">
                <w:rPr>
                  <w:szCs w:val="21"/>
                </w:rPr>
                <w:instrText xml:space="preserve"> MACROBUTTON  SnrToggleCheckbox □适用  </w:instrText>
              </w:r>
              <w:r>
                <w:rPr>
                  <w:szCs w:val="21"/>
                </w:rPr>
                <w:fldChar w:fldCharType="end"/>
              </w:r>
              <w:r>
                <w:rPr>
                  <w:szCs w:val="21"/>
                </w:rPr>
                <w:fldChar w:fldCharType="begin"/>
              </w:r>
              <w:r w:rsidR="000F7FA9">
                <w:rPr>
                  <w:szCs w:val="21"/>
                </w:rPr>
                <w:instrText xml:space="preserve"> MACROBUTTON  SnrToggleCheckbox √不适用 </w:instrText>
              </w:r>
              <w:r>
                <w:rPr>
                  <w:szCs w:val="21"/>
                </w:rPr>
                <w:fldChar w:fldCharType="end"/>
              </w:r>
            </w:p>
          </w:sdtContent>
        </w:sdt>
      </w:sdtContent>
    </w:sdt>
    <w:p w:rsidR="00806678" w:rsidRDefault="00806678">
      <w:pPr>
        <w:spacing w:line="360" w:lineRule="exact"/>
        <w:ind w:right="5"/>
      </w:pPr>
    </w:p>
    <w:bookmarkEnd w:id="113"/>
    <w:bookmarkEnd w:id="115"/>
    <w:p w:rsidR="00806678" w:rsidRDefault="00806678">
      <w:pPr>
        <w:spacing w:line="360" w:lineRule="exact"/>
        <w:ind w:right="5"/>
      </w:pPr>
    </w:p>
    <w:p w:rsidR="00806678" w:rsidRDefault="00B16377">
      <w:pPr>
        <w:pStyle w:val="10"/>
        <w:numPr>
          <w:ilvl w:val="0"/>
          <w:numId w:val="3"/>
        </w:numPr>
        <w:rPr>
          <w:rFonts w:ascii="宋体" w:eastAsia="宋体" w:hAnsi="宋体"/>
          <w:bCs w:val="0"/>
          <w:szCs w:val="28"/>
        </w:rPr>
      </w:pPr>
      <w:bookmarkStart w:id="123" w:name="_Toc407111364"/>
      <w:bookmarkStart w:id="124" w:name="_Toc89790257"/>
      <w:r>
        <w:rPr>
          <w:rFonts w:ascii="宋体" w:eastAsia="宋体" w:hAnsi="宋体"/>
          <w:bCs w:val="0"/>
          <w:szCs w:val="28"/>
        </w:rPr>
        <w:t>财务报告</w:t>
      </w:r>
      <w:bookmarkEnd w:id="123"/>
      <w:bookmarkEnd w:id="124"/>
    </w:p>
    <w:sdt>
      <w:sdtPr>
        <w:rPr>
          <w:rFonts w:ascii="宋体" w:hAnsi="宋体" w:cs="宋体" w:hint="eastAsia"/>
          <w:b w:val="0"/>
          <w:bCs w:val="0"/>
          <w:kern w:val="0"/>
          <w:szCs w:val="24"/>
        </w:rPr>
        <w:alias w:val="模块:审计报告"/>
        <w:tag w:val="_GBC_3c4b7d00409449a2b71d41277e7bd042"/>
        <w:id w:val="-1222136977"/>
        <w:lock w:val="sdtLocked"/>
        <w:placeholder>
          <w:docPart w:val="GBC22222222222222222222222222222"/>
        </w:placeholder>
      </w:sdtPr>
      <w:sdtContent>
        <w:p w:rsidR="00806678" w:rsidRDefault="00B16377" w:rsidP="00FF17C7">
          <w:pPr>
            <w:pStyle w:val="2"/>
            <w:numPr>
              <w:ilvl w:val="0"/>
              <w:numId w:val="37"/>
            </w:numPr>
            <w:rPr>
              <w:rFonts w:ascii="宋体" w:hAnsi="宋体"/>
            </w:rPr>
          </w:pPr>
          <w:r>
            <w:rPr>
              <w:rFonts w:hint="eastAsia"/>
            </w:rPr>
            <w:t>审计</w:t>
          </w:r>
          <w:r>
            <w:rPr>
              <w:rFonts w:ascii="宋体" w:hAnsi="宋体" w:hint="eastAsia"/>
            </w:rPr>
            <w:t>报告</w:t>
          </w:r>
        </w:p>
        <w:sdt>
          <w:sdtPr>
            <w:alias w:val="是否适用：审计报告[双击切换]"/>
            <w:tag w:val="_GBC_8a37b9861aa34a8d89cae86ad0133ffb"/>
            <w:id w:val="451673347"/>
            <w:lock w:val="sdtLocked"/>
            <w:placeholder>
              <w:docPart w:val="GBC22222222222222222222222222222"/>
            </w:placeholder>
          </w:sdtPr>
          <w:sdtContent>
            <w:p w:rsidR="00806678" w:rsidRDefault="00F80B6C">
              <w:r>
                <w:fldChar w:fldCharType="begin"/>
              </w:r>
              <w:r w:rsidR="00C46637">
                <w:instrText xml:space="preserve">MACROBUTTON  SnrToggleCheckbox √适用 </w:instrText>
              </w:r>
              <w:r>
                <w:fldChar w:fldCharType="end"/>
              </w:r>
              <w:r>
                <w:fldChar w:fldCharType="begin"/>
              </w:r>
              <w:r w:rsidR="00C46637">
                <w:instrText xml:space="preserve"> MACROBUTTON  SnrToggleCheckbox □不适用 </w:instrText>
              </w:r>
              <w:r>
                <w:fldChar w:fldCharType="end"/>
              </w:r>
            </w:p>
          </w:sdtContent>
        </w:sdt>
        <w:sdt>
          <w:sdtPr>
            <w:rPr>
              <w:rFonts w:ascii="宋体" w:eastAsia="宋体" w:hAnsi="宋体" w:cs="宋体" w:hint="eastAsia"/>
              <w:b w:val="0"/>
              <w:bCs w:val="0"/>
              <w:kern w:val="0"/>
              <w:sz w:val="21"/>
              <w:szCs w:val="24"/>
            </w:rPr>
            <w:alias w:val="审计报告全文"/>
            <w:tag w:val="_GBC_08aaee8d8997491cb4fc7ef77b493e65"/>
            <w:id w:val="2095425307"/>
            <w:lock w:val="sdtLocked"/>
            <w:placeholder>
              <w:docPart w:val="GBC22222222222222222222222222222"/>
            </w:placeholder>
          </w:sdtPr>
          <w:sdtContent>
            <w:bookmarkStart w:id="125" w:name="_Toc472093172" w:displacedByCustomXml="prev"/>
            <w:p w:rsidR="009C54D9" w:rsidRPr="001F185D" w:rsidRDefault="009C54D9" w:rsidP="009C54D9">
              <w:pPr>
                <w:pStyle w:val="10"/>
                <w:keepNext w:val="0"/>
                <w:keepLines w:val="0"/>
                <w:widowControl/>
                <w:overflowPunct w:val="0"/>
                <w:adjustRightInd w:val="0"/>
                <w:snapToGrid w:val="0"/>
                <w:spacing w:before="0" w:after="0" w:line="240" w:lineRule="auto"/>
                <w:rPr>
                  <w:rFonts w:cs="Arial"/>
                  <w:kern w:val="0"/>
                  <w:sz w:val="22"/>
                  <w:szCs w:val="22"/>
                </w:rPr>
              </w:pPr>
              <w:r w:rsidRPr="001F185D">
                <w:rPr>
                  <w:rFonts w:cs="Arial" w:hint="eastAsia"/>
                  <w:kern w:val="0"/>
                  <w:sz w:val="22"/>
                  <w:szCs w:val="22"/>
                </w:rPr>
                <w:t>审计报告</w:t>
              </w:r>
              <w:bookmarkEnd w:id="125"/>
            </w:p>
            <w:p w:rsidR="009C54D9" w:rsidRPr="001F185D" w:rsidRDefault="009C54D9" w:rsidP="009C54D9">
              <w:pPr>
                <w:overflowPunct w:val="0"/>
                <w:adjustRightInd w:val="0"/>
                <w:snapToGrid w:val="0"/>
                <w:jc w:val="center"/>
                <w:rPr>
                  <w:rFonts w:cs="Arial"/>
                  <w:sz w:val="22"/>
                  <w:szCs w:val="22"/>
                </w:rPr>
              </w:pPr>
            </w:p>
            <w:p w:rsidR="009C54D9" w:rsidRPr="001F185D" w:rsidRDefault="009C54D9" w:rsidP="009C54D9">
              <w:pPr>
                <w:overflowPunct w:val="0"/>
                <w:adjustRightInd w:val="0"/>
                <w:snapToGrid w:val="0"/>
                <w:jc w:val="right"/>
                <w:rPr>
                  <w:rFonts w:cs="Arial"/>
                  <w:sz w:val="18"/>
                  <w:szCs w:val="20"/>
                </w:rPr>
              </w:pPr>
              <w:r w:rsidRPr="001F185D">
                <w:rPr>
                  <w:rFonts w:cs="Arial" w:hint="eastAsia"/>
                  <w:sz w:val="18"/>
                  <w:szCs w:val="20"/>
                </w:rPr>
                <w:t>毕马威华振审字第</w:t>
              </w:r>
              <w:r w:rsidR="00DF7089" w:rsidRPr="00DF7089">
                <w:rPr>
                  <w:rFonts w:cs="Arial"/>
                  <w:sz w:val="18"/>
                  <w:szCs w:val="20"/>
                </w:rPr>
                <w:t>2305433</w:t>
              </w:r>
              <w:r w:rsidRPr="001F185D">
                <w:rPr>
                  <w:rFonts w:cs="Arial" w:hint="eastAsia"/>
                  <w:sz w:val="18"/>
                  <w:szCs w:val="20"/>
                </w:rPr>
                <w:t>号</w:t>
              </w:r>
            </w:p>
            <w:p w:rsidR="009C54D9" w:rsidRPr="001F185D" w:rsidRDefault="009C54D9" w:rsidP="009C54D9">
              <w:pPr>
                <w:overflowPunct w:val="0"/>
                <w:adjustRightInd w:val="0"/>
                <w:snapToGrid w:val="0"/>
                <w:jc w:val="center"/>
                <w:rPr>
                  <w:rFonts w:cs="Arial"/>
                  <w:sz w:val="22"/>
                </w:rPr>
              </w:pPr>
            </w:p>
            <w:p w:rsidR="009C54D9" w:rsidRPr="001F185D" w:rsidRDefault="009C54D9" w:rsidP="009C54D9">
              <w:pPr>
                <w:overflowPunct w:val="0"/>
                <w:adjustRightInd w:val="0"/>
                <w:snapToGrid w:val="0"/>
                <w:rPr>
                  <w:rFonts w:cs="Arial"/>
                  <w:sz w:val="22"/>
                  <w:szCs w:val="22"/>
                  <w:lang w:val="en-GB"/>
                </w:rPr>
              </w:pPr>
              <w:r w:rsidRPr="001F185D">
                <w:rPr>
                  <w:rFonts w:cs="Arial" w:hint="eastAsia"/>
                  <w:sz w:val="22"/>
                  <w:szCs w:val="22"/>
                </w:rPr>
                <w:t>大秦铁路股份有限公司全体股东</w:t>
              </w:r>
              <w:r w:rsidRPr="001F185D">
                <w:rPr>
                  <w:rFonts w:cs="Arial" w:hint="eastAsia"/>
                  <w:sz w:val="22"/>
                  <w:szCs w:val="22"/>
                  <w:lang w:val="en-GB"/>
                </w:rPr>
                <w:t>：</w:t>
              </w:r>
            </w:p>
            <w:p w:rsidR="009C54D9" w:rsidRPr="001F185D" w:rsidRDefault="009C54D9" w:rsidP="009C54D9">
              <w:pPr>
                <w:overflowPunct w:val="0"/>
                <w:adjustRightInd w:val="0"/>
                <w:snapToGrid w:val="0"/>
                <w:ind w:firstLine="482"/>
                <w:rPr>
                  <w:rFonts w:cs="Arial"/>
                  <w:sz w:val="22"/>
                  <w:szCs w:val="22"/>
                </w:rPr>
              </w:pPr>
            </w:p>
            <w:p w:rsidR="009C54D9" w:rsidRPr="001F185D" w:rsidRDefault="009C54D9" w:rsidP="009C54D9">
              <w:pPr>
                <w:overflowPunct w:val="0"/>
                <w:adjustRightInd w:val="0"/>
                <w:snapToGrid w:val="0"/>
                <w:ind w:firstLine="442"/>
                <w:rPr>
                  <w:rFonts w:cs="Arial"/>
                  <w:b/>
                  <w:sz w:val="22"/>
                  <w:szCs w:val="22"/>
                </w:rPr>
              </w:pPr>
              <w:r w:rsidRPr="001F185D">
                <w:rPr>
                  <w:rFonts w:cs="Arial" w:hint="eastAsia"/>
                  <w:b/>
                  <w:sz w:val="22"/>
                  <w:szCs w:val="22"/>
                </w:rPr>
                <w:t>一、审计意见</w:t>
              </w:r>
            </w:p>
            <w:p w:rsidR="009C54D9" w:rsidRPr="001F185D" w:rsidRDefault="009C54D9" w:rsidP="009C54D9">
              <w:pPr>
                <w:overflowPunct w:val="0"/>
                <w:adjustRightInd w:val="0"/>
                <w:snapToGrid w:val="0"/>
                <w:ind w:firstLine="482"/>
                <w:rPr>
                  <w:rFonts w:cs="Arial"/>
                  <w:sz w:val="22"/>
                  <w:szCs w:val="22"/>
                </w:rPr>
              </w:pPr>
            </w:p>
            <w:p w:rsidR="009C54D9" w:rsidRPr="001F185D" w:rsidRDefault="009C54D9" w:rsidP="009C54D9">
              <w:pPr>
                <w:overflowPunct w:val="0"/>
                <w:adjustRightInd w:val="0"/>
                <w:snapToGrid w:val="0"/>
                <w:ind w:firstLine="442"/>
                <w:rPr>
                  <w:rFonts w:cs="Arial"/>
                  <w:sz w:val="22"/>
                  <w:szCs w:val="22"/>
                </w:rPr>
              </w:pPr>
              <w:r w:rsidRPr="001F185D">
                <w:rPr>
                  <w:rFonts w:cs="Arial" w:hint="eastAsia"/>
                  <w:sz w:val="22"/>
                  <w:szCs w:val="22"/>
                </w:rPr>
                <w:t>我们审计了后附的大秦铁路股份有限公司 (以下简称“大秦铁路公司”) 财务报表，包括202</w:t>
              </w:r>
              <w:r w:rsidRPr="001F185D">
                <w:rPr>
                  <w:rFonts w:cs="Arial"/>
                  <w:sz w:val="22"/>
                  <w:szCs w:val="22"/>
                </w:rPr>
                <w:t>2</w:t>
              </w:r>
              <w:r w:rsidRPr="001F185D">
                <w:rPr>
                  <w:rFonts w:cs="Arial" w:hint="eastAsia"/>
                  <w:sz w:val="22"/>
                  <w:szCs w:val="22"/>
                </w:rPr>
                <w:t>年12月31日的合并及母公司资产负债表、202</w:t>
              </w:r>
              <w:r w:rsidRPr="001F185D">
                <w:rPr>
                  <w:rFonts w:cs="Arial"/>
                  <w:sz w:val="22"/>
                  <w:szCs w:val="22"/>
                </w:rPr>
                <w:t>2</w:t>
              </w:r>
              <w:r w:rsidRPr="001F185D">
                <w:rPr>
                  <w:rFonts w:cs="Arial" w:hint="eastAsia"/>
                  <w:sz w:val="22"/>
                  <w:szCs w:val="22"/>
                </w:rPr>
                <w:t>年度的合并及母公司利润表、合并及母公司现金流量表、合并及母公司股东权益变动表以及相关财务报表附注。</w:t>
              </w:r>
            </w:p>
            <w:p w:rsidR="009C54D9" w:rsidRPr="001F185D" w:rsidRDefault="009C54D9" w:rsidP="009C54D9">
              <w:pPr>
                <w:overflowPunct w:val="0"/>
                <w:adjustRightInd w:val="0"/>
                <w:snapToGrid w:val="0"/>
                <w:ind w:firstLine="442"/>
                <w:rPr>
                  <w:rFonts w:cs="Arial"/>
                  <w:sz w:val="22"/>
                  <w:szCs w:val="22"/>
                </w:rPr>
              </w:pPr>
            </w:p>
            <w:p w:rsidR="009C54D9" w:rsidRPr="001F185D" w:rsidRDefault="009C54D9" w:rsidP="009C54D9">
              <w:pPr>
                <w:overflowPunct w:val="0"/>
                <w:adjustRightInd w:val="0"/>
                <w:snapToGrid w:val="0"/>
                <w:ind w:firstLine="442"/>
                <w:rPr>
                  <w:rFonts w:cs="Arial"/>
                  <w:sz w:val="22"/>
                  <w:szCs w:val="22"/>
                </w:rPr>
              </w:pPr>
              <w:r w:rsidRPr="001F185D">
                <w:rPr>
                  <w:rFonts w:cs="Arial" w:hint="eastAsia"/>
                  <w:sz w:val="22"/>
                  <w:szCs w:val="22"/>
                </w:rPr>
                <w:t xml:space="preserve">我们认为，后附的财务报表在所有重大方面按照中华人民共和国财政部颁布的企业会计准则 </w:t>
              </w:r>
              <w:r w:rsidR="003200AD">
                <w:rPr>
                  <w:rFonts w:cs="Arial" w:hint="eastAsia"/>
                  <w:sz w:val="22"/>
                  <w:szCs w:val="22"/>
                </w:rPr>
                <w:t>（</w:t>
              </w:r>
              <w:r w:rsidRPr="001F185D">
                <w:rPr>
                  <w:rFonts w:cs="Arial" w:hint="eastAsia"/>
                  <w:sz w:val="22"/>
                  <w:szCs w:val="22"/>
                </w:rPr>
                <w:t>以下简称“企业会计准则”</w:t>
              </w:r>
              <w:r w:rsidR="003200AD">
                <w:rPr>
                  <w:rFonts w:cs="Arial" w:hint="eastAsia"/>
                  <w:sz w:val="22"/>
                  <w:szCs w:val="22"/>
                </w:rPr>
                <w:t>)</w:t>
              </w:r>
              <w:r w:rsidRPr="001F185D">
                <w:rPr>
                  <w:rFonts w:cs="Arial" w:hint="eastAsia"/>
                  <w:sz w:val="22"/>
                  <w:szCs w:val="22"/>
                </w:rPr>
                <w:t xml:space="preserve"> 的规定编制，公允反映了大秦铁路公司202</w:t>
              </w:r>
              <w:r w:rsidRPr="001F185D">
                <w:rPr>
                  <w:rFonts w:cs="Arial"/>
                  <w:sz w:val="22"/>
                  <w:szCs w:val="22"/>
                </w:rPr>
                <w:t>2</w:t>
              </w:r>
              <w:r w:rsidRPr="001F185D">
                <w:rPr>
                  <w:rFonts w:cs="Arial" w:hint="eastAsia"/>
                  <w:sz w:val="22"/>
                  <w:szCs w:val="22"/>
                </w:rPr>
                <w:t>年12月31日的合并及母公司财务状况以及202</w:t>
              </w:r>
              <w:r w:rsidRPr="001F185D">
                <w:rPr>
                  <w:rFonts w:cs="Arial"/>
                  <w:sz w:val="22"/>
                  <w:szCs w:val="22"/>
                </w:rPr>
                <w:t>2</w:t>
              </w:r>
              <w:r w:rsidRPr="001F185D">
                <w:rPr>
                  <w:rFonts w:cs="Arial" w:hint="eastAsia"/>
                  <w:sz w:val="22"/>
                  <w:szCs w:val="22"/>
                </w:rPr>
                <w:t>年度的合并及母公司经营成果和现金流量。</w:t>
              </w:r>
            </w:p>
            <w:p w:rsidR="009C54D9" w:rsidRPr="001F185D" w:rsidRDefault="009C54D9" w:rsidP="009C54D9">
              <w:pPr>
                <w:overflowPunct w:val="0"/>
                <w:adjustRightInd w:val="0"/>
                <w:snapToGrid w:val="0"/>
                <w:ind w:firstLine="442"/>
                <w:rPr>
                  <w:rFonts w:cs="Arial"/>
                  <w:sz w:val="22"/>
                  <w:szCs w:val="22"/>
                </w:rPr>
              </w:pPr>
            </w:p>
            <w:p w:rsidR="009C54D9" w:rsidRPr="001F185D" w:rsidRDefault="009C54D9" w:rsidP="009C54D9">
              <w:pPr>
                <w:overflowPunct w:val="0"/>
                <w:adjustRightInd w:val="0"/>
                <w:snapToGrid w:val="0"/>
                <w:ind w:firstLine="442"/>
                <w:rPr>
                  <w:rFonts w:cs="Arial"/>
                  <w:b/>
                  <w:sz w:val="22"/>
                  <w:szCs w:val="22"/>
                </w:rPr>
              </w:pPr>
              <w:r w:rsidRPr="001F185D">
                <w:rPr>
                  <w:rFonts w:cs="Arial" w:hint="eastAsia"/>
                  <w:b/>
                  <w:sz w:val="22"/>
                  <w:szCs w:val="22"/>
                </w:rPr>
                <w:t>二、形成审计意见的基础</w:t>
              </w:r>
            </w:p>
            <w:p w:rsidR="009C54D9" w:rsidRPr="001F185D" w:rsidRDefault="009C54D9" w:rsidP="009C54D9">
              <w:pPr>
                <w:overflowPunct w:val="0"/>
                <w:adjustRightInd w:val="0"/>
                <w:snapToGrid w:val="0"/>
                <w:ind w:firstLine="442"/>
                <w:rPr>
                  <w:rFonts w:cs="Arial"/>
                  <w:bCs/>
                  <w:sz w:val="22"/>
                  <w:szCs w:val="22"/>
                </w:rPr>
              </w:pPr>
            </w:p>
            <w:p w:rsidR="009C54D9" w:rsidRPr="001F185D" w:rsidRDefault="009C54D9" w:rsidP="009C54D9">
              <w:pPr>
                <w:overflowPunct w:val="0"/>
                <w:adjustRightInd w:val="0"/>
                <w:snapToGrid w:val="0"/>
                <w:ind w:firstLine="442"/>
                <w:rPr>
                  <w:rFonts w:cs="Arial"/>
                  <w:sz w:val="22"/>
                  <w:szCs w:val="22"/>
                </w:rPr>
              </w:pPr>
              <w:r w:rsidRPr="001F185D">
                <w:rPr>
                  <w:rFonts w:cs="Arial" w:hint="eastAsia"/>
                  <w:sz w:val="22"/>
                  <w:szCs w:val="22"/>
                </w:rPr>
                <w:t>我们按照中国注册会计师审计准则 (以下简称“审计准则”</w:t>
              </w:r>
              <w:r w:rsidR="003200AD">
                <w:rPr>
                  <w:rFonts w:cs="Arial" w:hint="eastAsia"/>
                  <w:sz w:val="22"/>
                  <w:szCs w:val="22"/>
                </w:rPr>
                <w:t>)</w:t>
              </w:r>
              <w:r w:rsidRPr="001F185D">
                <w:rPr>
                  <w:rFonts w:cs="Arial" w:hint="eastAsia"/>
                  <w:sz w:val="22"/>
                  <w:szCs w:val="22"/>
                </w:rPr>
                <w:t xml:space="preserve"> 的规定执行了审计工作。审计报告的“注册会计师对财务报表审计的责任”部分进一步阐述了我们在这些准则下的责任。按照中国注册会计师职业道德守则，我们独立于大秦铁路公司，并履行了职业道德方面的其他责任。我们相信，我们获取的审计证据是充分、适当的，为发表审计意见提供了基础。</w:t>
              </w:r>
            </w:p>
            <w:p w:rsidR="009C54D9" w:rsidRPr="001F185D" w:rsidRDefault="009C54D9" w:rsidP="009C54D9">
              <w:pPr>
                <w:overflowPunct w:val="0"/>
                <w:adjustRightInd w:val="0"/>
                <w:snapToGrid w:val="0"/>
                <w:ind w:firstLine="442"/>
                <w:rPr>
                  <w:rFonts w:cs="Arial"/>
                  <w:sz w:val="22"/>
                  <w:szCs w:val="22"/>
                </w:rPr>
              </w:pPr>
            </w:p>
            <w:p w:rsidR="009C54D9" w:rsidRPr="001F185D" w:rsidRDefault="009C54D9" w:rsidP="009C54D9">
              <w:pPr>
                <w:overflowPunct w:val="0"/>
                <w:adjustRightInd w:val="0"/>
                <w:snapToGrid w:val="0"/>
                <w:ind w:firstLine="442"/>
                <w:rPr>
                  <w:rFonts w:cs="Arial"/>
                  <w:b/>
                  <w:sz w:val="22"/>
                  <w:szCs w:val="22"/>
                </w:rPr>
              </w:pPr>
              <w:r w:rsidRPr="001F185D">
                <w:rPr>
                  <w:rFonts w:cs="Arial" w:hint="eastAsia"/>
                  <w:b/>
                  <w:sz w:val="22"/>
                  <w:szCs w:val="22"/>
                </w:rPr>
                <w:t>三、关键审计事项</w:t>
              </w:r>
            </w:p>
            <w:p w:rsidR="009C54D9" w:rsidRPr="001F185D" w:rsidRDefault="009C54D9" w:rsidP="009C54D9">
              <w:pPr>
                <w:overflowPunct w:val="0"/>
                <w:adjustRightInd w:val="0"/>
                <w:snapToGrid w:val="0"/>
                <w:ind w:firstLine="442"/>
                <w:rPr>
                  <w:rFonts w:cs="Arial"/>
                  <w:sz w:val="22"/>
                  <w:szCs w:val="22"/>
                </w:rPr>
              </w:pPr>
            </w:p>
            <w:p w:rsidR="009C54D9" w:rsidRPr="001F185D" w:rsidRDefault="009C54D9" w:rsidP="009C54D9">
              <w:pPr>
                <w:overflowPunct w:val="0"/>
                <w:adjustRightInd w:val="0"/>
                <w:snapToGrid w:val="0"/>
                <w:ind w:firstLine="442"/>
                <w:rPr>
                  <w:rFonts w:cs="Arial"/>
                  <w:sz w:val="22"/>
                  <w:szCs w:val="22"/>
                </w:rPr>
              </w:pPr>
              <w:r w:rsidRPr="001F185D">
                <w:rPr>
                  <w:rFonts w:cs="Arial" w:hint="eastAsia"/>
                  <w:sz w:val="22"/>
                  <w:szCs w:val="22"/>
                </w:rPr>
                <w:t>关键审计事项是我们根据职业判断，认为对本期财务报表审计最为重要的事项。这些事项的应对以对财务报表整体进行审计并形成审计意见为背景，我们不对这些事项单独发表意见。</w:t>
              </w:r>
            </w:p>
            <w:p w:rsidR="009C54D9" w:rsidRPr="001F185D" w:rsidRDefault="009C54D9" w:rsidP="009C54D9">
              <w:pPr>
                <w:overflowPunct w:val="0"/>
                <w:adjustRightInd w:val="0"/>
                <w:snapToGrid w:val="0"/>
                <w:ind w:firstLine="442"/>
                <w:rPr>
                  <w:rFonts w:cs="Arial"/>
                  <w:sz w:val="22"/>
                  <w:szCs w:val="22"/>
                </w:rPr>
              </w:pPr>
            </w:p>
            <w:p w:rsidR="009C54D9" w:rsidRPr="001F185D" w:rsidRDefault="009C54D9" w:rsidP="009C54D9">
              <w:pPr>
                <w:overflowPunct w:val="0"/>
                <w:adjustRightInd w:val="0"/>
                <w:snapToGrid w:val="0"/>
                <w:ind w:firstLine="442"/>
                <w:rPr>
                  <w:rFonts w:cs="Arial"/>
                  <w:sz w:val="22"/>
                </w:rPr>
              </w:pPr>
            </w:p>
            <w:p w:rsidR="009C54D9" w:rsidRPr="001F185D" w:rsidRDefault="009C54D9" w:rsidP="009C54D9">
              <w:pPr>
                <w:overflowPunct w:val="0"/>
                <w:adjustRightInd w:val="0"/>
                <w:snapToGrid w:val="0"/>
                <w:jc w:val="center"/>
                <w:rPr>
                  <w:rFonts w:cs="Arial"/>
                  <w:sz w:val="22"/>
                </w:rPr>
                <w:sectPr w:rsidR="009C54D9" w:rsidRPr="001F185D" w:rsidSect="001A47EC">
                  <w:pgSz w:w="11906" w:h="16838" w:code="9"/>
                  <w:pgMar w:top="1588" w:right="1247" w:bottom="1588" w:left="1588" w:header="567" w:footer="1418" w:gutter="0"/>
                  <w:cols w:space="720"/>
                  <w:docGrid w:linePitch="360"/>
                </w:sectPr>
              </w:pPr>
            </w:p>
            <w:p w:rsidR="009C54D9" w:rsidRPr="001F185D" w:rsidRDefault="009C54D9" w:rsidP="009C54D9">
              <w:pPr>
                <w:overflowPunct w:val="0"/>
                <w:adjustRightInd w:val="0"/>
                <w:snapToGrid w:val="0"/>
                <w:jc w:val="center"/>
                <w:rPr>
                  <w:rFonts w:cs="Arial"/>
                  <w:sz w:val="22"/>
                  <w:szCs w:val="22"/>
                </w:rPr>
              </w:pPr>
            </w:p>
            <w:p w:rsidR="009C54D9" w:rsidRPr="001F185D" w:rsidRDefault="009C54D9" w:rsidP="009C54D9">
              <w:pPr>
                <w:overflowPunct w:val="0"/>
                <w:adjustRightInd w:val="0"/>
                <w:snapToGrid w:val="0"/>
                <w:jc w:val="center"/>
                <w:rPr>
                  <w:rFonts w:cs="Arial"/>
                  <w:sz w:val="22"/>
                  <w:szCs w:val="22"/>
                </w:rPr>
              </w:pPr>
            </w:p>
            <w:p w:rsidR="009C54D9" w:rsidRPr="001F185D" w:rsidRDefault="009C54D9" w:rsidP="009C54D9">
              <w:pPr>
                <w:overflowPunct w:val="0"/>
                <w:adjustRightInd w:val="0"/>
                <w:snapToGrid w:val="0"/>
                <w:jc w:val="center"/>
                <w:rPr>
                  <w:rFonts w:cs="Arial"/>
                  <w:sz w:val="22"/>
                  <w:szCs w:val="22"/>
                </w:rPr>
              </w:pPr>
            </w:p>
            <w:p w:rsidR="009C54D9" w:rsidRPr="001F185D" w:rsidRDefault="009C54D9" w:rsidP="009C54D9">
              <w:pPr>
                <w:pStyle w:val="10"/>
                <w:keepNext w:val="0"/>
                <w:keepLines w:val="0"/>
                <w:widowControl/>
                <w:overflowPunct w:val="0"/>
                <w:adjustRightInd w:val="0"/>
                <w:snapToGrid w:val="0"/>
                <w:spacing w:before="0" w:after="0" w:line="240" w:lineRule="auto"/>
                <w:rPr>
                  <w:rFonts w:cs="Arial"/>
                  <w:kern w:val="0"/>
                  <w:sz w:val="22"/>
                  <w:szCs w:val="22"/>
                </w:rPr>
              </w:pPr>
              <w:r w:rsidRPr="001F185D">
                <w:rPr>
                  <w:rFonts w:cs="Arial" w:hint="eastAsia"/>
                  <w:kern w:val="0"/>
                  <w:sz w:val="22"/>
                  <w:szCs w:val="22"/>
                </w:rPr>
                <w:t>审计报告</w:t>
              </w:r>
              <w:r w:rsidRPr="001F185D">
                <w:rPr>
                  <w:rFonts w:cs="Arial" w:hint="eastAsia"/>
                  <w:kern w:val="0"/>
                  <w:sz w:val="22"/>
                  <w:szCs w:val="22"/>
                </w:rPr>
                <w:t xml:space="preserve"> (</w:t>
              </w:r>
              <w:r w:rsidRPr="001F185D">
                <w:rPr>
                  <w:rFonts w:cs="Arial" w:hint="eastAsia"/>
                  <w:kern w:val="0"/>
                  <w:sz w:val="22"/>
                  <w:szCs w:val="22"/>
                </w:rPr>
                <w:t>续</w:t>
              </w:r>
              <w:r w:rsidRPr="001F185D">
                <w:rPr>
                  <w:rFonts w:cs="Arial" w:hint="eastAsia"/>
                  <w:kern w:val="0"/>
                  <w:sz w:val="22"/>
                  <w:szCs w:val="22"/>
                </w:rPr>
                <w:t>)</w:t>
              </w:r>
            </w:p>
            <w:p w:rsidR="009C54D9" w:rsidRPr="001F185D" w:rsidRDefault="009C54D9" w:rsidP="009C54D9">
              <w:pPr>
                <w:overflowPunct w:val="0"/>
                <w:adjustRightInd w:val="0"/>
                <w:snapToGrid w:val="0"/>
                <w:jc w:val="center"/>
                <w:rPr>
                  <w:rFonts w:cs="Arial"/>
                  <w:sz w:val="22"/>
                  <w:szCs w:val="22"/>
                </w:rPr>
              </w:pPr>
            </w:p>
            <w:p w:rsidR="009C54D9" w:rsidRPr="001F185D" w:rsidRDefault="009C54D9" w:rsidP="009C54D9">
              <w:pPr>
                <w:overflowPunct w:val="0"/>
                <w:adjustRightInd w:val="0"/>
                <w:snapToGrid w:val="0"/>
                <w:jc w:val="right"/>
                <w:rPr>
                  <w:rFonts w:cs="Arial"/>
                  <w:sz w:val="18"/>
                  <w:szCs w:val="20"/>
                </w:rPr>
              </w:pPr>
              <w:r w:rsidRPr="001F185D">
                <w:rPr>
                  <w:rFonts w:cs="Arial" w:hint="eastAsia"/>
                  <w:sz w:val="18"/>
                  <w:szCs w:val="20"/>
                </w:rPr>
                <w:t>毕马威华振审字第</w:t>
              </w:r>
              <w:r w:rsidR="00DF7089" w:rsidRPr="00DF7089">
                <w:rPr>
                  <w:rFonts w:cs="Arial"/>
                  <w:sz w:val="18"/>
                  <w:szCs w:val="20"/>
                </w:rPr>
                <w:t>2305433</w:t>
              </w:r>
              <w:r w:rsidRPr="001F185D">
                <w:rPr>
                  <w:rFonts w:cs="Arial" w:hint="eastAsia"/>
                  <w:sz w:val="18"/>
                  <w:szCs w:val="20"/>
                </w:rPr>
                <w:t>号</w:t>
              </w:r>
            </w:p>
            <w:p w:rsidR="009C54D9" w:rsidRPr="001F185D" w:rsidRDefault="009C54D9" w:rsidP="009C54D9">
              <w:pPr>
                <w:overflowPunct w:val="0"/>
                <w:adjustRightInd w:val="0"/>
                <w:snapToGrid w:val="0"/>
                <w:jc w:val="center"/>
                <w:rPr>
                  <w:rFonts w:cs="Arial"/>
                  <w:sz w:val="22"/>
                </w:rPr>
              </w:pPr>
            </w:p>
            <w:p w:rsidR="009C54D9" w:rsidRPr="001F185D" w:rsidRDefault="009C54D9" w:rsidP="009C54D9">
              <w:pPr>
                <w:overflowPunct w:val="0"/>
                <w:adjustRightInd w:val="0"/>
                <w:snapToGrid w:val="0"/>
                <w:ind w:firstLine="442"/>
                <w:rPr>
                  <w:rFonts w:cs="Arial"/>
                  <w:b/>
                  <w:sz w:val="22"/>
                  <w:szCs w:val="22"/>
                </w:rPr>
              </w:pPr>
              <w:r w:rsidRPr="001F185D">
                <w:rPr>
                  <w:rFonts w:cs="Arial" w:hint="eastAsia"/>
                  <w:b/>
                  <w:sz w:val="22"/>
                  <w:szCs w:val="22"/>
                </w:rPr>
                <w:t>三、关键审计事项 (续)</w:t>
              </w:r>
            </w:p>
            <w:p w:rsidR="009C54D9" w:rsidRPr="001F185D" w:rsidRDefault="009C54D9" w:rsidP="009C54D9">
              <w:pPr>
                <w:overflowPunct w:val="0"/>
                <w:adjustRightInd w:val="0"/>
                <w:snapToGrid w:val="0"/>
                <w:ind w:firstLine="442"/>
                <w:rPr>
                  <w:rFonts w:cs="Arial"/>
                  <w:sz w:val="22"/>
                  <w:szCs w:val="22"/>
                </w:rPr>
              </w:pPr>
            </w:p>
            <w:tbl>
              <w:tblPr>
                <w:tblW w:w="9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tblPr>
              <w:tblGrid>
                <w:gridCol w:w="4106"/>
                <w:gridCol w:w="5079"/>
              </w:tblGrid>
              <w:tr w:rsidR="009C54D9" w:rsidRPr="001F185D" w:rsidTr="00DB008B">
                <w:trPr>
                  <w:trHeight w:val="56"/>
                  <w:jc w:val="center"/>
                </w:trPr>
                <w:tc>
                  <w:tcPr>
                    <w:tcW w:w="9185" w:type="dxa"/>
                    <w:gridSpan w:val="2"/>
                    <w:shd w:val="clear" w:color="auto" w:fill="auto"/>
                    <w:vAlign w:val="center"/>
                    <w:hideMark/>
                  </w:tcPr>
                  <w:p w:rsidR="009C54D9" w:rsidRPr="001F185D" w:rsidRDefault="009C54D9" w:rsidP="00DB008B">
                    <w:pPr>
                      <w:overflowPunct w:val="0"/>
                      <w:adjustRightInd w:val="0"/>
                      <w:snapToGrid w:val="0"/>
                      <w:spacing w:before="120" w:after="120"/>
                      <w:rPr>
                        <w:rFonts w:cs="Arial"/>
                        <w:b/>
                        <w:bCs/>
                        <w:iCs/>
                        <w:sz w:val="22"/>
                        <w:szCs w:val="22"/>
                        <w:lang w:val="en-GB"/>
                      </w:rPr>
                    </w:pPr>
                    <w:r w:rsidRPr="001F185D">
                      <w:rPr>
                        <w:rFonts w:cs="Arial" w:hint="eastAsia"/>
                        <w:b/>
                        <w:bCs/>
                        <w:iCs/>
                        <w:sz w:val="22"/>
                        <w:szCs w:val="22"/>
                        <w:lang w:val="en-GB"/>
                      </w:rPr>
                      <w:t>应收账款坏账准备</w:t>
                    </w:r>
                  </w:p>
                </w:tc>
              </w:tr>
              <w:tr w:rsidR="009C54D9" w:rsidRPr="001F185D" w:rsidTr="00DB008B">
                <w:trPr>
                  <w:trHeight w:val="375"/>
                  <w:jc w:val="center"/>
                </w:trPr>
                <w:tc>
                  <w:tcPr>
                    <w:tcW w:w="9185" w:type="dxa"/>
                    <w:gridSpan w:val="2"/>
                    <w:shd w:val="clear" w:color="auto" w:fill="auto"/>
                    <w:vAlign w:val="center"/>
                    <w:hideMark/>
                  </w:tcPr>
                  <w:p w:rsidR="009C54D9" w:rsidRPr="001F185D" w:rsidRDefault="009C54D9" w:rsidP="00DB008B">
                    <w:pPr>
                      <w:overflowPunct w:val="0"/>
                      <w:adjustRightInd w:val="0"/>
                      <w:snapToGrid w:val="0"/>
                      <w:spacing w:before="120" w:after="120"/>
                      <w:rPr>
                        <w:rFonts w:cs="Arial"/>
                        <w:sz w:val="22"/>
                        <w:szCs w:val="22"/>
                        <w:lang w:val="en-GB"/>
                      </w:rPr>
                    </w:pPr>
                    <w:r w:rsidRPr="001F185D">
                      <w:rPr>
                        <w:rFonts w:cs="Arial" w:hint="eastAsia"/>
                        <w:sz w:val="22"/>
                        <w:szCs w:val="22"/>
                        <w:lang w:val="en-GB"/>
                      </w:rPr>
                      <w:t>请参阅财务报表附注“</w:t>
                    </w:r>
                    <w:r w:rsidR="002B7FB8">
                      <w:rPr>
                        <w:rFonts w:cs="Arial" w:hint="eastAsia"/>
                        <w:sz w:val="22"/>
                        <w:szCs w:val="22"/>
                        <w:lang w:val="en-GB"/>
                      </w:rPr>
                      <w:t>五</w:t>
                    </w:r>
                    <w:r w:rsidRPr="001F185D">
                      <w:rPr>
                        <w:rFonts w:cs="Arial" w:hint="eastAsia"/>
                        <w:sz w:val="22"/>
                        <w:szCs w:val="22"/>
                        <w:lang w:val="en-GB"/>
                      </w:rPr>
                      <w:t>、重要会计政策</w:t>
                    </w:r>
                    <w:r w:rsidR="002C3297">
                      <w:rPr>
                        <w:rFonts w:cs="Arial" w:hint="eastAsia"/>
                        <w:sz w:val="22"/>
                        <w:szCs w:val="22"/>
                        <w:lang w:val="en-GB"/>
                      </w:rPr>
                      <w:t>及</w:t>
                    </w:r>
                    <w:r w:rsidRPr="001F185D">
                      <w:rPr>
                        <w:rFonts w:cs="Arial" w:hint="eastAsia"/>
                        <w:sz w:val="22"/>
                        <w:szCs w:val="22"/>
                        <w:lang w:val="en-GB"/>
                      </w:rPr>
                      <w:t>会计估计”</w:t>
                    </w:r>
                    <w:r w:rsidR="002B7FB8">
                      <w:rPr>
                        <w:rFonts w:cs="Arial"/>
                        <w:sz w:val="22"/>
                        <w:szCs w:val="22"/>
                        <w:lang w:val="en-GB"/>
                      </w:rPr>
                      <w:t>10</w:t>
                    </w:r>
                    <w:r w:rsidRPr="001F185D">
                      <w:rPr>
                        <w:rFonts w:cs="Arial" w:hint="eastAsia"/>
                        <w:sz w:val="22"/>
                        <w:szCs w:val="22"/>
                        <w:lang w:val="en-GB"/>
                      </w:rPr>
                      <w:t>所述的会计政策、“</w:t>
                    </w:r>
                    <w:r w:rsidR="002B7FB8">
                      <w:rPr>
                        <w:rFonts w:cs="Arial" w:hint="eastAsia"/>
                        <w:sz w:val="22"/>
                        <w:szCs w:val="22"/>
                        <w:lang w:val="en-GB"/>
                      </w:rPr>
                      <w:t>七</w:t>
                    </w:r>
                    <w:r w:rsidRPr="001F185D">
                      <w:rPr>
                        <w:rFonts w:cs="Arial" w:hint="eastAsia"/>
                        <w:sz w:val="22"/>
                        <w:szCs w:val="22"/>
                        <w:lang w:val="en-GB"/>
                      </w:rPr>
                      <w:t>、合并财务报表项目注释”</w:t>
                    </w:r>
                    <w:r w:rsidR="002B7FB8">
                      <w:rPr>
                        <w:rFonts w:cs="Arial"/>
                        <w:sz w:val="22"/>
                        <w:szCs w:val="22"/>
                        <w:lang w:val="en-GB"/>
                      </w:rPr>
                      <w:t>5</w:t>
                    </w:r>
                    <w:r w:rsidRPr="001F185D">
                      <w:rPr>
                        <w:rFonts w:cs="Arial" w:hint="eastAsia"/>
                        <w:sz w:val="22"/>
                        <w:szCs w:val="22"/>
                        <w:lang w:val="en-GB"/>
                      </w:rPr>
                      <w:t>、应收账款及“十</w:t>
                    </w:r>
                    <w:r w:rsidR="002B7FB8">
                      <w:rPr>
                        <w:rFonts w:cs="Arial" w:hint="eastAsia"/>
                        <w:sz w:val="22"/>
                        <w:szCs w:val="22"/>
                        <w:lang w:val="en-GB"/>
                      </w:rPr>
                      <w:t>七</w:t>
                    </w:r>
                    <w:r w:rsidRPr="001F185D">
                      <w:rPr>
                        <w:rFonts w:cs="Arial" w:hint="eastAsia"/>
                        <w:sz w:val="22"/>
                        <w:szCs w:val="22"/>
                        <w:lang w:val="en-GB"/>
                      </w:rPr>
                      <w:t>、母公司财务报表主要项目注释”1、应收账款。</w:t>
                    </w:r>
                  </w:p>
                </w:tc>
              </w:tr>
              <w:tr w:rsidR="009C54D9" w:rsidRPr="001F185D" w:rsidTr="00DB008B">
                <w:trPr>
                  <w:trHeight w:val="37"/>
                  <w:jc w:val="center"/>
                </w:trPr>
                <w:tc>
                  <w:tcPr>
                    <w:tcW w:w="4106" w:type="dxa"/>
                    <w:shd w:val="clear" w:color="auto" w:fill="auto"/>
                    <w:vAlign w:val="center"/>
                    <w:hideMark/>
                  </w:tcPr>
                  <w:p w:rsidR="009C54D9" w:rsidRPr="001F185D" w:rsidRDefault="009C54D9" w:rsidP="00DB008B">
                    <w:pPr>
                      <w:overflowPunct w:val="0"/>
                      <w:adjustRightInd w:val="0"/>
                      <w:snapToGrid w:val="0"/>
                      <w:spacing w:before="120" w:after="120"/>
                      <w:rPr>
                        <w:rFonts w:cs="Arial"/>
                        <w:b/>
                        <w:iCs/>
                        <w:sz w:val="22"/>
                        <w:szCs w:val="22"/>
                        <w:lang w:val="en-GB"/>
                      </w:rPr>
                    </w:pPr>
                    <w:r w:rsidRPr="001F185D">
                      <w:rPr>
                        <w:rFonts w:cs="Arial" w:hint="eastAsia"/>
                        <w:b/>
                        <w:sz w:val="22"/>
                        <w:szCs w:val="22"/>
                        <w:lang w:val="en-GB"/>
                      </w:rPr>
                      <w:t>关键审计事项</w:t>
                    </w:r>
                  </w:p>
                </w:tc>
                <w:tc>
                  <w:tcPr>
                    <w:tcW w:w="5079" w:type="dxa"/>
                    <w:shd w:val="clear" w:color="auto" w:fill="auto"/>
                    <w:vAlign w:val="center"/>
                    <w:hideMark/>
                  </w:tcPr>
                  <w:p w:rsidR="009C54D9" w:rsidRPr="001F185D" w:rsidRDefault="009C54D9" w:rsidP="00DB008B">
                    <w:pPr>
                      <w:overflowPunct w:val="0"/>
                      <w:adjustRightInd w:val="0"/>
                      <w:snapToGrid w:val="0"/>
                      <w:spacing w:before="120" w:after="120"/>
                      <w:rPr>
                        <w:rFonts w:cs="Arial"/>
                        <w:b/>
                        <w:iCs/>
                        <w:sz w:val="22"/>
                        <w:szCs w:val="22"/>
                      </w:rPr>
                    </w:pPr>
                    <w:r w:rsidRPr="001F185D">
                      <w:rPr>
                        <w:rFonts w:cs="Arial" w:hint="eastAsia"/>
                        <w:b/>
                        <w:sz w:val="22"/>
                        <w:szCs w:val="22"/>
                        <w:lang w:val="en-GB"/>
                      </w:rPr>
                      <w:t>在审计中如何应对该事项</w:t>
                    </w:r>
                  </w:p>
                </w:tc>
              </w:tr>
              <w:tr w:rsidR="009C54D9" w:rsidRPr="001F185D" w:rsidTr="00DB008B">
                <w:trPr>
                  <w:trHeight w:val="691"/>
                  <w:jc w:val="center"/>
                </w:trPr>
                <w:tc>
                  <w:tcPr>
                    <w:tcW w:w="4106" w:type="dxa"/>
                    <w:shd w:val="clear" w:color="auto" w:fill="auto"/>
                    <w:hideMark/>
                  </w:tcPr>
                  <w:p w:rsidR="009C54D9" w:rsidRPr="001F185D" w:rsidRDefault="009C54D9" w:rsidP="00DB008B">
                    <w:pPr>
                      <w:overflowPunct w:val="0"/>
                      <w:adjustRightInd w:val="0"/>
                      <w:snapToGrid w:val="0"/>
                      <w:spacing w:before="120" w:after="120"/>
                      <w:rPr>
                        <w:rFonts w:cs="Arial"/>
                        <w:sz w:val="22"/>
                        <w:szCs w:val="22"/>
                        <w:lang w:val="en-GB"/>
                      </w:rPr>
                    </w:pPr>
                    <w:r w:rsidRPr="001F185D">
                      <w:rPr>
                        <w:rFonts w:cs="Arial" w:hint="eastAsia"/>
                        <w:sz w:val="22"/>
                        <w:szCs w:val="22"/>
                        <w:lang w:val="en-GB"/>
                      </w:rPr>
                      <w:t>202</w:t>
                    </w:r>
                    <w:r w:rsidRPr="001F185D">
                      <w:rPr>
                        <w:rFonts w:cs="Arial"/>
                        <w:sz w:val="22"/>
                        <w:szCs w:val="22"/>
                        <w:lang w:val="en-GB"/>
                      </w:rPr>
                      <w:t>2</w:t>
                    </w:r>
                    <w:r w:rsidRPr="001F185D">
                      <w:rPr>
                        <w:rFonts w:cs="Arial" w:hint="eastAsia"/>
                        <w:sz w:val="22"/>
                        <w:szCs w:val="22"/>
                        <w:lang w:val="en-GB"/>
                      </w:rPr>
                      <w:t>年12月31日，大秦铁路公司及其子公司 (以下简称“大秦铁路集团”) 应收账款余额为人民币</w:t>
                    </w:r>
                    <w:r w:rsidRPr="001F185D">
                      <w:rPr>
                        <w:rFonts w:cs="Arial"/>
                        <w:sz w:val="22"/>
                        <w:szCs w:val="22"/>
                        <w:lang w:val="en-GB"/>
                      </w:rPr>
                      <w:t>8,207,966,319</w:t>
                    </w:r>
                    <w:r w:rsidRPr="001F185D">
                      <w:rPr>
                        <w:rFonts w:cs="Arial" w:hint="eastAsia"/>
                        <w:sz w:val="22"/>
                        <w:szCs w:val="22"/>
                        <w:lang w:val="en-GB"/>
                      </w:rPr>
                      <w:t>元，已计提坏账准备人民币</w:t>
                    </w:r>
                    <w:r w:rsidRPr="001F185D">
                      <w:rPr>
                        <w:rFonts w:cs="Arial"/>
                        <w:sz w:val="22"/>
                        <w:szCs w:val="22"/>
                        <w:lang w:val="en-GB"/>
                      </w:rPr>
                      <w:t>211,450,084</w:t>
                    </w:r>
                    <w:r w:rsidRPr="001F185D">
                      <w:rPr>
                        <w:rFonts w:cs="Arial" w:hint="eastAsia"/>
                        <w:sz w:val="22"/>
                        <w:szCs w:val="22"/>
                        <w:lang w:val="en-GB"/>
                      </w:rPr>
                      <w:t>元。大秦铁路集团应收账款主要来自大秦铁路公司之母公司中国铁路太原局集团有限公司或实际控制人中国国家铁路集团有限公司 (以下简称“国铁集团”) 投资的公司或下属单位。</w:t>
                    </w:r>
                  </w:p>
                  <w:p w:rsidR="009C54D9" w:rsidRPr="001F185D" w:rsidRDefault="009C54D9" w:rsidP="00DB008B">
                    <w:pPr>
                      <w:overflowPunct w:val="0"/>
                      <w:adjustRightInd w:val="0"/>
                      <w:snapToGrid w:val="0"/>
                      <w:spacing w:before="120" w:after="120"/>
                      <w:rPr>
                        <w:rFonts w:cs="Arial"/>
                        <w:sz w:val="22"/>
                        <w:szCs w:val="22"/>
                        <w:lang w:val="en-GB"/>
                      </w:rPr>
                    </w:pPr>
                    <w:r w:rsidRPr="001F185D">
                      <w:rPr>
                        <w:rFonts w:cs="Arial" w:hint="eastAsia"/>
                        <w:sz w:val="22"/>
                        <w:szCs w:val="22"/>
                        <w:lang w:val="en-GB"/>
                      </w:rPr>
                      <w:t>管理层基于每类应收账款的预期损失率，按照相当于整个存续期内预期信用损失的金额计量应收账款坏账准备。预期损失率考虑应收账款账龄、大秦铁路集团不同信用风险特征客户的回收历史、当前市场情况、客户特定情况和前瞻性信息。该评估涉及重大的管理层判断和估计。</w:t>
                    </w:r>
                  </w:p>
                  <w:p w:rsidR="009C54D9" w:rsidRPr="001F185D" w:rsidRDefault="009C54D9" w:rsidP="00DB008B">
                    <w:pPr>
                      <w:overflowPunct w:val="0"/>
                      <w:adjustRightInd w:val="0"/>
                      <w:snapToGrid w:val="0"/>
                      <w:spacing w:before="120" w:after="120"/>
                      <w:rPr>
                        <w:rFonts w:cs="Arial"/>
                        <w:iCs/>
                        <w:sz w:val="22"/>
                        <w:szCs w:val="22"/>
                        <w:lang w:val="en-GB"/>
                      </w:rPr>
                    </w:pPr>
                    <w:r w:rsidRPr="001F185D">
                      <w:rPr>
                        <w:rFonts w:cs="Arial" w:hint="eastAsia"/>
                        <w:sz w:val="22"/>
                        <w:szCs w:val="22"/>
                        <w:lang w:val="en-GB"/>
                      </w:rPr>
                      <w:t>由于坏账准备的确定涉及重大的管理层判断，且其存在固有不确定性，我们将应收账款坏账准备识别为关键审计事项。</w:t>
                    </w:r>
                  </w:p>
                </w:tc>
                <w:tc>
                  <w:tcPr>
                    <w:tcW w:w="5079" w:type="dxa"/>
                    <w:shd w:val="clear" w:color="auto" w:fill="auto"/>
                    <w:hideMark/>
                  </w:tcPr>
                  <w:p w:rsidR="009C54D9" w:rsidRPr="001F185D" w:rsidRDefault="009C54D9" w:rsidP="00DB008B">
                    <w:pPr>
                      <w:overflowPunct w:val="0"/>
                      <w:adjustRightInd w:val="0"/>
                      <w:snapToGrid w:val="0"/>
                      <w:spacing w:before="120" w:after="120"/>
                      <w:rPr>
                        <w:rFonts w:cs="Arial"/>
                        <w:sz w:val="22"/>
                        <w:szCs w:val="22"/>
                        <w:lang w:val="en-GB"/>
                      </w:rPr>
                    </w:pPr>
                    <w:r w:rsidRPr="001F185D">
                      <w:rPr>
                        <w:rFonts w:cs="Arial" w:hint="eastAsia"/>
                        <w:sz w:val="22"/>
                        <w:szCs w:val="22"/>
                        <w:lang w:val="en-GB"/>
                      </w:rPr>
                      <w:t>与评价应收账款坏账准备相关的审计程序中包括以下程序：</w:t>
                    </w:r>
                  </w:p>
                  <w:p w:rsidR="009C54D9" w:rsidRPr="001F185D" w:rsidRDefault="009C54D9" w:rsidP="00FF17C7">
                    <w:pPr>
                      <w:numPr>
                        <w:ilvl w:val="0"/>
                        <w:numId w:val="136"/>
                      </w:numPr>
                      <w:overflowPunct w:val="0"/>
                      <w:adjustRightInd w:val="0"/>
                      <w:snapToGrid w:val="0"/>
                      <w:spacing w:before="120" w:after="120"/>
                      <w:ind w:left="322" w:hanging="322"/>
                      <w:jc w:val="both"/>
                      <w:rPr>
                        <w:rFonts w:cs="Arial"/>
                        <w:sz w:val="22"/>
                        <w:szCs w:val="22"/>
                        <w:lang w:val="en-GB"/>
                      </w:rPr>
                    </w:pPr>
                    <w:r w:rsidRPr="001F185D">
                      <w:rPr>
                        <w:rFonts w:cs="Arial" w:hint="eastAsia"/>
                        <w:sz w:val="22"/>
                        <w:szCs w:val="22"/>
                        <w:lang w:val="en-GB"/>
                      </w:rPr>
                      <w:t>了解与应收账款组合划分、预期信用损失估计相关的关键财务报告内部控制；</w:t>
                    </w:r>
                  </w:p>
                  <w:p w:rsidR="009C54D9" w:rsidRPr="001F185D" w:rsidRDefault="009C54D9" w:rsidP="00FF17C7">
                    <w:pPr>
                      <w:numPr>
                        <w:ilvl w:val="0"/>
                        <w:numId w:val="136"/>
                      </w:numPr>
                      <w:overflowPunct w:val="0"/>
                      <w:adjustRightInd w:val="0"/>
                      <w:snapToGrid w:val="0"/>
                      <w:spacing w:before="120" w:after="120"/>
                      <w:ind w:left="322" w:hanging="322"/>
                      <w:jc w:val="both"/>
                      <w:rPr>
                        <w:rFonts w:cs="Arial"/>
                        <w:sz w:val="22"/>
                        <w:szCs w:val="22"/>
                        <w:lang w:val="en-GB"/>
                      </w:rPr>
                    </w:pPr>
                    <w:r w:rsidRPr="001F185D">
                      <w:rPr>
                        <w:rFonts w:cs="Arial" w:hint="eastAsia"/>
                        <w:sz w:val="22"/>
                        <w:szCs w:val="22"/>
                        <w:lang w:val="en-GB"/>
                      </w:rPr>
                      <w:t>按照相关会计准则的要求，评价大秦铁路集团估计信用损失准备的会计政策；</w:t>
                    </w:r>
                  </w:p>
                  <w:p w:rsidR="009C54D9" w:rsidRPr="001F185D" w:rsidRDefault="009C54D9" w:rsidP="00FF17C7">
                    <w:pPr>
                      <w:numPr>
                        <w:ilvl w:val="0"/>
                        <w:numId w:val="136"/>
                      </w:numPr>
                      <w:overflowPunct w:val="0"/>
                      <w:adjustRightInd w:val="0"/>
                      <w:snapToGrid w:val="0"/>
                      <w:spacing w:before="120" w:after="120"/>
                      <w:ind w:left="322" w:hanging="322"/>
                      <w:jc w:val="both"/>
                      <w:rPr>
                        <w:rFonts w:cs="Arial"/>
                        <w:sz w:val="22"/>
                        <w:szCs w:val="22"/>
                        <w:lang w:val="en-GB"/>
                      </w:rPr>
                    </w:pPr>
                    <w:r w:rsidRPr="001F185D">
                      <w:rPr>
                        <w:rFonts w:cs="Arial" w:hint="eastAsia"/>
                        <w:sz w:val="22"/>
                        <w:szCs w:val="22"/>
                        <w:lang w:val="en-GB"/>
                      </w:rPr>
                      <w:t>了解管理层预期信用损失模型中所运用的关键参数及假设，包括管理层基于客户信用风险特征对应收账款进行分组的基础、以及管理层预期损失率中包含的历史违约数据等；</w:t>
                    </w:r>
                  </w:p>
                  <w:p w:rsidR="009C54D9" w:rsidRPr="001F185D" w:rsidRDefault="009C54D9" w:rsidP="00FF17C7">
                    <w:pPr>
                      <w:numPr>
                        <w:ilvl w:val="0"/>
                        <w:numId w:val="136"/>
                      </w:numPr>
                      <w:overflowPunct w:val="0"/>
                      <w:adjustRightInd w:val="0"/>
                      <w:snapToGrid w:val="0"/>
                      <w:spacing w:before="120" w:after="120"/>
                      <w:ind w:left="322" w:hanging="322"/>
                      <w:jc w:val="both"/>
                      <w:rPr>
                        <w:rFonts w:cs="Arial"/>
                        <w:sz w:val="22"/>
                        <w:szCs w:val="22"/>
                        <w:lang w:val="en-GB"/>
                      </w:rPr>
                    </w:pPr>
                    <w:r w:rsidRPr="001F185D">
                      <w:rPr>
                        <w:rFonts w:cs="Arial" w:hint="eastAsia"/>
                        <w:sz w:val="22"/>
                        <w:szCs w:val="22"/>
                        <w:lang w:val="en-GB"/>
                      </w:rPr>
                      <w:t>通过检查管理层用于做出判断的信息，包括测试历史违约数据的准确性，评估历史损失率是否需要根据当前经济状况及前瞻性信息进行调整，评价管理层对于坏账准备估计的合理性；</w:t>
                    </w:r>
                  </w:p>
                  <w:p w:rsidR="009C54D9" w:rsidRPr="001F185D" w:rsidRDefault="009C54D9" w:rsidP="00FF17C7">
                    <w:pPr>
                      <w:numPr>
                        <w:ilvl w:val="0"/>
                        <w:numId w:val="136"/>
                      </w:numPr>
                      <w:overflowPunct w:val="0"/>
                      <w:adjustRightInd w:val="0"/>
                      <w:snapToGrid w:val="0"/>
                      <w:spacing w:before="120" w:after="120"/>
                      <w:ind w:left="322" w:hanging="322"/>
                      <w:jc w:val="both"/>
                      <w:rPr>
                        <w:rFonts w:cs="Arial"/>
                        <w:sz w:val="22"/>
                        <w:szCs w:val="22"/>
                        <w:lang w:val="en-GB"/>
                      </w:rPr>
                    </w:pPr>
                    <w:r w:rsidRPr="001F185D">
                      <w:rPr>
                        <w:rFonts w:cs="Arial" w:hint="eastAsia"/>
                        <w:sz w:val="22"/>
                        <w:szCs w:val="22"/>
                        <w:lang w:val="en-GB"/>
                      </w:rPr>
                      <w:t>从应收账款账龄分析报告中选取测试项目，核对至相关支持性文件，以评价账龄分析报告中的账龄区间划分的准确性；</w:t>
                    </w:r>
                  </w:p>
                  <w:p w:rsidR="009C54D9" w:rsidRPr="001F185D" w:rsidRDefault="009C54D9" w:rsidP="00FF17C7">
                    <w:pPr>
                      <w:numPr>
                        <w:ilvl w:val="0"/>
                        <w:numId w:val="136"/>
                      </w:numPr>
                      <w:overflowPunct w:val="0"/>
                      <w:adjustRightInd w:val="0"/>
                      <w:snapToGrid w:val="0"/>
                      <w:spacing w:before="120" w:after="120"/>
                      <w:ind w:left="322" w:hanging="322"/>
                      <w:jc w:val="both"/>
                      <w:rPr>
                        <w:rFonts w:cs="Arial"/>
                        <w:sz w:val="22"/>
                        <w:szCs w:val="22"/>
                        <w:lang w:val="en-GB"/>
                      </w:rPr>
                    </w:pPr>
                    <w:r w:rsidRPr="001F185D">
                      <w:rPr>
                        <w:rFonts w:cs="Arial" w:hint="eastAsia"/>
                        <w:sz w:val="22"/>
                        <w:szCs w:val="22"/>
                        <w:lang w:val="en-GB"/>
                      </w:rPr>
                      <w:t>基于大秦铁路集团信用损失准备计提的会计政策重新计算于202</w:t>
                    </w:r>
                    <w:r w:rsidRPr="001F185D">
                      <w:rPr>
                        <w:rFonts w:cs="Arial"/>
                        <w:sz w:val="22"/>
                        <w:szCs w:val="22"/>
                        <w:lang w:val="en-GB"/>
                      </w:rPr>
                      <w:t>2</w:t>
                    </w:r>
                    <w:r w:rsidRPr="001F185D">
                      <w:rPr>
                        <w:rFonts w:cs="Arial" w:hint="eastAsia"/>
                        <w:sz w:val="22"/>
                        <w:szCs w:val="22"/>
                        <w:lang w:val="en-GB"/>
                      </w:rPr>
                      <w:t>年12月31日的坏账准备。</w:t>
                    </w:r>
                  </w:p>
                </w:tc>
              </w:tr>
            </w:tbl>
            <w:p w:rsidR="009C54D9" w:rsidRPr="001F185D" w:rsidRDefault="009C54D9" w:rsidP="009C54D9">
              <w:pPr>
                <w:overflowPunct w:val="0"/>
                <w:adjustRightInd w:val="0"/>
                <w:snapToGrid w:val="0"/>
                <w:rPr>
                  <w:rFonts w:cs="Arial"/>
                  <w:sz w:val="12"/>
                </w:rPr>
              </w:pPr>
            </w:p>
            <w:p w:rsidR="009C54D9" w:rsidRPr="001F185D" w:rsidRDefault="009C54D9" w:rsidP="009C54D9">
              <w:pPr>
                <w:overflowPunct w:val="0"/>
                <w:adjustRightInd w:val="0"/>
                <w:snapToGrid w:val="0"/>
                <w:rPr>
                  <w:rFonts w:cs="Arial"/>
                  <w:sz w:val="12"/>
                </w:rPr>
              </w:pPr>
              <w:r w:rsidRPr="001F185D">
                <w:rPr>
                  <w:rFonts w:cs="Arial" w:hint="eastAsia"/>
                  <w:sz w:val="12"/>
                </w:rPr>
                <w:br w:type="page"/>
              </w:r>
            </w:p>
            <w:p w:rsidR="009C54D9" w:rsidRPr="001F185D" w:rsidRDefault="009C54D9" w:rsidP="009C54D9">
              <w:pPr>
                <w:overflowPunct w:val="0"/>
                <w:adjustRightInd w:val="0"/>
                <w:snapToGrid w:val="0"/>
                <w:jc w:val="center"/>
                <w:rPr>
                  <w:rFonts w:cs="Arial"/>
                  <w:sz w:val="22"/>
                </w:rPr>
              </w:pPr>
            </w:p>
            <w:p w:rsidR="009C54D9" w:rsidRPr="001F185D" w:rsidRDefault="009C54D9" w:rsidP="009C54D9">
              <w:pPr>
                <w:overflowPunct w:val="0"/>
                <w:adjustRightInd w:val="0"/>
                <w:snapToGrid w:val="0"/>
                <w:jc w:val="center"/>
                <w:rPr>
                  <w:rFonts w:cs="Arial"/>
                  <w:sz w:val="22"/>
                </w:rPr>
              </w:pPr>
            </w:p>
            <w:p w:rsidR="009C54D9" w:rsidRPr="001F185D" w:rsidRDefault="009C54D9" w:rsidP="009C54D9">
              <w:pPr>
                <w:overflowPunct w:val="0"/>
                <w:adjustRightInd w:val="0"/>
                <w:snapToGrid w:val="0"/>
                <w:jc w:val="center"/>
                <w:rPr>
                  <w:rFonts w:cs="Arial"/>
                  <w:sz w:val="22"/>
                </w:rPr>
              </w:pPr>
            </w:p>
            <w:p w:rsidR="009C54D9" w:rsidRPr="001F185D" w:rsidRDefault="009C54D9" w:rsidP="009C54D9">
              <w:pPr>
                <w:pStyle w:val="10"/>
                <w:keepNext w:val="0"/>
                <w:keepLines w:val="0"/>
                <w:widowControl/>
                <w:overflowPunct w:val="0"/>
                <w:adjustRightInd w:val="0"/>
                <w:snapToGrid w:val="0"/>
                <w:spacing w:before="0" w:after="0" w:line="240" w:lineRule="auto"/>
                <w:rPr>
                  <w:rFonts w:cs="Arial"/>
                  <w:kern w:val="0"/>
                  <w:sz w:val="22"/>
                  <w:szCs w:val="24"/>
                </w:rPr>
              </w:pPr>
              <w:r w:rsidRPr="001F185D">
                <w:rPr>
                  <w:rFonts w:cs="Arial" w:hint="eastAsia"/>
                  <w:kern w:val="0"/>
                  <w:sz w:val="22"/>
                  <w:szCs w:val="24"/>
                </w:rPr>
                <w:t>审计报告</w:t>
              </w:r>
              <w:r w:rsidRPr="001F185D">
                <w:rPr>
                  <w:rFonts w:cs="Arial" w:hint="eastAsia"/>
                  <w:kern w:val="0"/>
                  <w:sz w:val="22"/>
                  <w:szCs w:val="24"/>
                </w:rPr>
                <w:t xml:space="preserve"> (</w:t>
              </w:r>
              <w:r w:rsidRPr="001F185D">
                <w:rPr>
                  <w:rFonts w:cs="Arial" w:hint="eastAsia"/>
                  <w:kern w:val="0"/>
                  <w:sz w:val="22"/>
                  <w:szCs w:val="24"/>
                </w:rPr>
                <w:t>续</w:t>
              </w:r>
              <w:r w:rsidRPr="001F185D">
                <w:rPr>
                  <w:rFonts w:cs="Arial" w:hint="eastAsia"/>
                  <w:kern w:val="0"/>
                  <w:sz w:val="22"/>
                  <w:szCs w:val="24"/>
                </w:rPr>
                <w:t>)</w:t>
              </w:r>
            </w:p>
            <w:p w:rsidR="009C54D9" w:rsidRPr="001F185D" w:rsidRDefault="009C54D9" w:rsidP="009C54D9">
              <w:pPr>
                <w:overflowPunct w:val="0"/>
                <w:adjustRightInd w:val="0"/>
                <w:snapToGrid w:val="0"/>
                <w:jc w:val="center"/>
                <w:rPr>
                  <w:rFonts w:cs="Arial"/>
                  <w:sz w:val="22"/>
                </w:rPr>
              </w:pPr>
            </w:p>
            <w:p w:rsidR="009C54D9" w:rsidRPr="001F185D" w:rsidRDefault="009C54D9" w:rsidP="009C54D9">
              <w:pPr>
                <w:overflowPunct w:val="0"/>
                <w:adjustRightInd w:val="0"/>
                <w:snapToGrid w:val="0"/>
                <w:jc w:val="right"/>
                <w:rPr>
                  <w:rFonts w:cs="Arial"/>
                  <w:sz w:val="18"/>
                  <w:szCs w:val="20"/>
                </w:rPr>
              </w:pPr>
              <w:r w:rsidRPr="001F185D">
                <w:rPr>
                  <w:rFonts w:cs="Arial" w:hint="eastAsia"/>
                  <w:sz w:val="18"/>
                  <w:szCs w:val="20"/>
                </w:rPr>
                <w:t>毕马威华振审字第</w:t>
              </w:r>
              <w:r w:rsidR="00DF7089" w:rsidRPr="00DF7089">
                <w:rPr>
                  <w:rFonts w:cs="Arial"/>
                  <w:sz w:val="18"/>
                  <w:szCs w:val="20"/>
                </w:rPr>
                <w:t>2305433</w:t>
              </w:r>
              <w:r w:rsidRPr="001F185D">
                <w:rPr>
                  <w:rFonts w:cs="Arial" w:hint="eastAsia"/>
                  <w:sz w:val="18"/>
                  <w:szCs w:val="20"/>
                </w:rPr>
                <w:t>号</w:t>
              </w:r>
            </w:p>
            <w:p w:rsidR="009C54D9" w:rsidRPr="001F185D" w:rsidRDefault="009C54D9" w:rsidP="009C54D9">
              <w:pPr>
                <w:overflowPunct w:val="0"/>
                <w:adjustRightInd w:val="0"/>
                <w:snapToGrid w:val="0"/>
                <w:jc w:val="center"/>
                <w:rPr>
                  <w:rFonts w:cs="Arial"/>
                  <w:sz w:val="22"/>
                </w:rPr>
              </w:pPr>
            </w:p>
            <w:p w:rsidR="009C54D9" w:rsidRPr="001F185D" w:rsidRDefault="009C54D9" w:rsidP="009C54D9">
              <w:pPr>
                <w:overflowPunct w:val="0"/>
                <w:adjustRightInd w:val="0"/>
                <w:snapToGrid w:val="0"/>
                <w:ind w:firstLine="442"/>
                <w:rPr>
                  <w:rFonts w:cs="Arial"/>
                  <w:b/>
                  <w:sz w:val="22"/>
                  <w:szCs w:val="22"/>
                </w:rPr>
              </w:pPr>
              <w:r w:rsidRPr="001F185D">
                <w:rPr>
                  <w:rFonts w:cs="Arial" w:hint="eastAsia"/>
                  <w:b/>
                  <w:sz w:val="22"/>
                  <w:szCs w:val="22"/>
                </w:rPr>
                <w:t>三、关键审计事项 (续)</w:t>
              </w:r>
            </w:p>
            <w:p w:rsidR="009C54D9" w:rsidRPr="001F185D" w:rsidRDefault="009C54D9" w:rsidP="009C54D9">
              <w:pPr>
                <w:overflowPunct w:val="0"/>
                <w:adjustRightInd w:val="0"/>
                <w:snapToGrid w:val="0"/>
                <w:ind w:firstLine="442"/>
                <w:rPr>
                  <w:rFonts w:cs="Arial"/>
                  <w:sz w:val="22"/>
                  <w:szCs w:val="22"/>
                </w:rPr>
              </w:pPr>
            </w:p>
            <w:tbl>
              <w:tblPr>
                <w:tblW w:w="9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tblPr>
              <w:tblGrid>
                <w:gridCol w:w="4111"/>
                <w:gridCol w:w="5074"/>
              </w:tblGrid>
              <w:tr w:rsidR="009C54D9" w:rsidRPr="001F185D" w:rsidTr="00DB008B">
                <w:trPr>
                  <w:trHeight w:val="56"/>
                  <w:jc w:val="center"/>
                </w:trPr>
                <w:tc>
                  <w:tcPr>
                    <w:tcW w:w="9185" w:type="dxa"/>
                    <w:gridSpan w:val="2"/>
                    <w:shd w:val="clear" w:color="auto" w:fill="auto"/>
                    <w:vAlign w:val="center"/>
                    <w:hideMark/>
                  </w:tcPr>
                  <w:p w:rsidR="009C54D9" w:rsidRPr="001F185D" w:rsidRDefault="009C54D9" w:rsidP="00DB008B">
                    <w:pPr>
                      <w:overflowPunct w:val="0"/>
                      <w:adjustRightInd w:val="0"/>
                      <w:snapToGrid w:val="0"/>
                      <w:spacing w:before="100" w:after="100"/>
                      <w:rPr>
                        <w:rFonts w:cs="Arial"/>
                        <w:b/>
                        <w:bCs/>
                        <w:iCs/>
                        <w:sz w:val="22"/>
                        <w:szCs w:val="22"/>
                        <w:lang w:val="en-GB"/>
                      </w:rPr>
                    </w:pPr>
                    <w:r w:rsidRPr="001F185D">
                      <w:rPr>
                        <w:rFonts w:cs="Arial" w:hint="eastAsia"/>
                        <w:b/>
                        <w:bCs/>
                        <w:iCs/>
                        <w:sz w:val="22"/>
                        <w:szCs w:val="22"/>
                        <w:lang w:val="en-GB"/>
                      </w:rPr>
                      <w:t>铁路运输服务收入确认</w:t>
                    </w:r>
                  </w:p>
                </w:tc>
              </w:tr>
              <w:tr w:rsidR="009C54D9" w:rsidRPr="001F185D" w:rsidTr="00DB008B">
                <w:trPr>
                  <w:trHeight w:val="375"/>
                  <w:jc w:val="center"/>
                </w:trPr>
                <w:tc>
                  <w:tcPr>
                    <w:tcW w:w="9185" w:type="dxa"/>
                    <w:gridSpan w:val="2"/>
                    <w:shd w:val="clear" w:color="auto" w:fill="auto"/>
                    <w:vAlign w:val="center"/>
                    <w:hideMark/>
                  </w:tcPr>
                  <w:p w:rsidR="009C54D9" w:rsidRPr="001F185D" w:rsidRDefault="009C54D9" w:rsidP="00DB008B">
                    <w:pPr>
                      <w:overflowPunct w:val="0"/>
                      <w:adjustRightInd w:val="0"/>
                      <w:snapToGrid w:val="0"/>
                      <w:spacing w:before="100" w:after="100"/>
                      <w:rPr>
                        <w:rFonts w:cs="Arial"/>
                        <w:sz w:val="22"/>
                        <w:szCs w:val="22"/>
                        <w:lang w:val="en-GB"/>
                      </w:rPr>
                    </w:pPr>
                    <w:r w:rsidRPr="001F185D">
                      <w:rPr>
                        <w:rFonts w:cs="Arial" w:hint="eastAsia"/>
                        <w:sz w:val="22"/>
                        <w:szCs w:val="22"/>
                        <w:lang w:val="en-GB"/>
                      </w:rPr>
                      <w:t>请参阅财务报表附注“</w:t>
                    </w:r>
                    <w:r w:rsidR="002B7FB8">
                      <w:rPr>
                        <w:rFonts w:cs="Arial" w:hint="eastAsia"/>
                        <w:sz w:val="22"/>
                        <w:szCs w:val="22"/>
                        <w:lang w:val="en-GB"/>
                      </w:rPr>
                      <w:t>五</w:t>
                    </w:r>
                    <w:r w:rsidRPr="001F185D">
                      <w:rPr>
                        <w:rFonts w:cs="Arial" w:hint="eastAsia"/>
                        <w:sz w:val="22"/>
                        <w:szCs w:val="22"/>
                        <w:lang w:val="en-GB"/>
                      </w:rPr>
                      <w:t>、重要会计政策</w:t>
                    </w:r>
                    <w:r w:rsidR="00242548">
                      <w:rPr>
                        <w:rFonts w:cs="Arial" w:hint="eastAsia"/>
                        <w:sz w:val="22"/>
                        <w:szCs w:val="22"/>
                        <w:lang w:val="en-GB"/>
                      </w:rPr>
                      <w:t>及</w:t>
                    </w:r>
                    <w:r w:rsidRPr="001F185D">
                      <w:rPr>
                        <w:rFonts w:cs="Arial" w:hint="eastAsia"/>
                        <w:sz w:val="22"/>
                        <w:szCs w:val="22"/>
                        <w:lang w:val="en-GB"/>
                      </w:rPr>
                      <w:t>会计估计”</w:t>
                    </w:r>
                    <w:r w:rsidR="002B7FB8">
                      <w:rPr>
                        <w:rFonts w:cs="Arial"/>
                        <w:sz w:val="22"/>
                        <w:szCs w:val="22"/>
                        <w:lang w:val="en-GB"/>
                      </w:rPr>
                      <w:t>38</w:t>
                    </w:r>
                    <w:r w:rsidRPr="001F185D">
                      <w:rPr>
                        <w:rFonts w:cs="Arial" w:hint="eastAsia"/>
                        <w:sz w:val="22"/>
                        <w:szCs w:val="22"/>
                        <w:lang w:val="en-GB"/>
                      </w:rPr>
                      <w:t>所述的会计政策、“</w:t>
                    </w:r>
                    <w:r w:rsidR="0011736F">
                      <w:rPr>
                        <w:rFonts w:cs="Arial" w:hint="eastAsia"/>
                        <w:sz w:val="22"/>
                        <w:szCs w:val="22"/>
                        <w:lang w:val="en-GB"/>
                      </w:rPr>
                      <w:t>七</w:t>
                    </w:r>
                    <w:r w:rsidRPr="001F185D">
                      <w:rPr>
                        <w:rFonts w:cs="Arial" w:hint="eastAsia"/>
                        <w:sz w:val="22"/>
                        <w:szCs w:val="22"/>
                        <w:lang w:val="en-GB"/>
                      </w:rPr>
                      <w:t>、合并财务报表项目注释”</w:t>
                    </w:r>
                    <w:r w:rsidR="0011736F">
                      <w:rPr>
                        <w:rFonts w:cs="Arial"/>
                        <w:sz w:val="22"/>
                        <w:szCs w:val="22"/>
                        <w:lang w:val="en-GB"/>
                      </w:rPr>
                      <w:t>61</w:t>
                    </w:r>
                    <w:r w:rsidRPr="001F185D">
                      <w:rPr>
                        <w:rFonts w:cs="Arial" w:hint="eastAsia"/>
                        <w:sz w:val="22"/>
                        <w:szCs w:val="22"/>
                        <w:lang w:val="en-GB"/>
                      </w:rPr>
                      <w:t>、营业收入和营业成本及“十</w:t>
                    </w:r>
                    <w:r w:rsidR="0011736F">
                      <w:rPr>
                        <w:rFonts w:cs="Arial" w:hint="eastAsia"/>
                        <w:sz w:val="22"/>
                        <w:szCs w:val="22"/>
                        <w:lang w:val="en-GB"/>
                      </w:rPr>
                      <w:t>七</w:t>
                    </w:r>
                    <w:r w:rsidRPr="001F185D">
                      <w:rPr>
                        <w:rFonts w:cs="Arial" w:hint="eastAsia"/>
                        <w:sz w:val="22"/>
                        <w:szCs w:val="22"/>
                        <w:lang w:val="en-GB"/>
                      </w:rPr>
                      <w:t>、母公司财务报表主要项目注释”4、营业收入和营业成本。</w:t>
                    </w:r>
                  </w:p>
                </w:tc>
              </w:tr>
              <w:tr w:rsidR="009C54D9" w:rsidRPr="001F185D" w:rsidTr="00DB008B">
                <w:trPr>
                  <w:trHeight w:val="37"/>
                  <w:jc w:val="center"/>
                </w:trPr>
                <w:tc>
                  <w:tcPr>
                    <w:tcW w:w="4111" w:type="dxa"/>
                    <w:shd w:val="clear" w:color="auto" w:fill="auto"/>
                    <w:vAlign w:val="center"/>
                    <w:hideMark/>
                  </w:tcPr>
                  <w:p w:rsidR="009C54D9" w:rsidRPr="001F185D" w:rsidRDefault="009C54D9" w:rsidP="00DB008B">
                    <w:pPr>
                      <w:overflowPunct w:val="0"/>
                      <w:adjustRightInd w:val="0"/>
                      <w:snapToGrid w:val="0"/>
                      <w:spacing w:before="100" w:after="100"/>
                      <w:rPr>
                        <w:rFonts w:cs="Arial"/>
                        <w:b/>
                        <w:iCs/>
                        <w:sz w:val="22"/>
                        <w:szCs w:val="22"/>
                        <w:lang w:val="en-GB"/>
                      </w:rPr>
                    </w:pPr>
                    <w:r w:rsidRPr="001F185D">
                      <w:rPr>
                        <w:rFonts w:cs="Arial" w:hint="eastAsia"/>
                        <w:b/>
                        <w:sz w:val="22"/>
                        <w:szCs w:val="22"/>
                        <w:lang w:val="en-GB"/>
                      </w:rPr>
                      <w:t>关键审计事项</w:t>
                    </w:r>
                  </w:p>
                </w:tc>
                <w:tc>
                  <w:tcPr>
                    <w:tcW w:w="5074" w:type="dxa"/>
                    <w:shd w:val="clear" w:color="auto" w:fill="auto"/>
                    <w:vAlign w:val="center"/>
                    <w:hideMark/>
                  </w:tcPr>
                  <w:p w:rsidR="009C54D9" w:rsidRPr="001F185D" w:rsidRDefault="009C54D9" w:rsidP="00DB008B">
                    <w:pPr>
                      <w:overflowPunct w:val="0"/>
                      <w:adjustRightInd w:val="0"/>
                      <w:snapToGrid w:val="0"/>
                      <w:spacing w:before="100" w:after="100"/>
                      <w:rPr>
                        <w:rFonts w:cs="Arial"/>
                        <w:b/>
                        <w:iCs/>
                        <w:sz w:val="22"/>
                        <w:szCs w:val="22"/>
                      </w:rPr>
                    </w:pPr>
                    <w:r w:rsidRPr="001F185D">
                      <w:rPr>
                        <w:rFonts w:cs="Arial" w:hint="eastAsia"/>
                        <w:b/>
                        <w:sz w:val="22"/>
                        <w:szCs w:val="22"/>
                        <w:lang w:val="en-GB"/>
                      </w:rPr>
                      <w:t>在审计中如何应对该事项</w:t>
                    </w:r>
                  </w:p>
                </w:tc>
              </w:tr>
              <w:tr w:rsidR="009C54D9" w:rsidRPr="001F185D" w:rsidTr="00DB008B">
                <w:trPr>
                  <w:trHeight w:val="691"/>
                  <w:jc w:val="center"/>
                </w:trPr>
                <w:tc>
                  <w:tcPr>
                    <w:tcW w:w="4111" w:type="dxa"/>
                    <w:shd w:val="clear" w:color="auto" w:fill="auto"/>
                    <w:hideMark/>
                  </w:tcPr>
                  <w:p w:rsidR="009C54D9" w:rsidRPr="001F185D" w:rsidRDefault="009C54D9" w:rsidP="00DB008B">
                    <w:pPr>
                      <w:overflowPunct w:val="0"/>
                      <w:adjustRightInd w:val="0"/>
                      <w:snapToGrid w:val="0"/>
                      <w:spacing w:before="100" w:after="100"/>
                      <w:rPr>
                        <w:rFonts w:cs="Arial"/>
                        <w:sz w:val="22"/>
                        <w:szCs w:val="22"/>
                        <w:lang w:val="en-GB"/>
                      </w:rPr>
                    </w:pPr>
                    <w:r w:rsidRPr="001F185D">
                      <w:rPr>
                        <w:rFonts w:cs="Arial" w:hint="eastAsia"/>
                        <w:sz w:val="22"/>
                        <w:szCs w:val="22"/>
                        <w:lang w:val="en-GB"/>
                      </w:rPr>
                      <w:t>大秦铁路集团的收入主要来源于铁路运输服务收入，包括客运收入、货运收入及提供服务收入。铁路运输服务收入在提供相关运输服务时确认为收入。</w:t>
                    </w:r>
                  </w:p>
                  <w:p w:rsidR="009C54D9" w:rsidRPr="001F185D" w:rsidRDefault="009C54D9" w:rsidP="00DB008B">
                    <w:pPr>
                      <w:overflowPunct w:val="0"/>
                      <w:adjustRightInd w:val="0"/>
                      <w:snapToGrid w:val="0"/>
                      <w:spacing w:before="100" w:after="100"/>
                      <w:rPr>
                        <w:rFonts w:cs="Arial"/>
                        <w:sz w:val="22"/>
                        <w:szCs w:val="22"/>
                        <w:lang w:val="en-GB"/>
                      </w:rPr>
                    </w:pPr>
                    <w:r w:rsidRPr="001F185D">
                      <w:rPr>
                        <w:rFonts w:cs="Arial" w:hint="eastAsia"/>
                        <w:sz w:val="22"/>
                        <w:szCs w:val="22"/>
                        <w:lang w:val="en-GB"/>
                      </w:rPr>
                      <w:t>大秦铁路集团的铁路运输收入采用信息技术系统，通过信息技术系统对铁路运输基础数据进行处理，根据国铁集团统一的清算规则以确定收入的确认时点和准确金额。</w:t>
                    </w:r>
                  </w:p>
                  <w:p w:rsidR="009C54D9" w:rsidRPr="001F185D" w:rsidRDefault="009C54D9" w:rsidP="00DB008B">
                    <w:pPr>
                      <w:overflowPunct w:val="0"/>
                      <w:adjustRightInd w:val="0"/>
                      <w:snapToGrid w:val="0"/>
                      <w:spacing w:before="100" w:after="100"/>
                      <w:rPr>
                        <w:rFonts w:cs="Arial"/>
                        <w:iCs/>
                        <w:sz w:val="22"/>
                        <w:szCs w:val="22"/>
                        <w:lang w:val="en-GB"/>
                      </w:rPr>
                    </w:pPr>
                    <w:r w:rsidRPr="001F185D">
                      <w:rPr>
                        <w:rFonts w:cs="Arial" w:hint="eastAsia"/>
                        <w:sz w:val="22"/>
                        <w:szCs w:val="22"/>
                        <w:lang w:val="en-GB"/>
                      </w:rPr>
                      <w:t>收入是大秦铁路集团的关键绩效指标之一，涉及信息系统对运输基础数据进行处理，可能会导致收入确认金额不准确或计入不正确的会计期间，因此，我们将铁路运输服务收入确认识别为关键审计事项。</w:t>
                    </w:r>
                  </w:p>
                </w:tc>
                <w:tc>
                  <w:tcPr>
                    <w:tcW w:w="5074" w:type="dxa"/>
                    <w:shd w:val="clear" w:color="auto" w:fill="auto"/>
                    <w:hideMark/>
                  </w:tcPr>
                  <w:p w:rsidR="009C54D9" w:rsidRPr="001F185D" w:rsidRDefault="009C54D9" w:rsidP="00DB008B">
                    <w:pPr>
                      <w:overflowPunct w:val="0"/>
                      <w:adjustRightInd w:val="0"/>
                      <w:snapToGrid w:val="0"/>
                      <w:spacing w:before="100" w:after="100"/>
                      <w:rPr>
                        <w:rFonts w:cs="Arial"/>
                        <w:sz w:val="22"/>
                        <w:szCs w:val="22"/>
                        <w:lang w:val="en-GB"/>
                      </w:rPr>
                    </w:pPr>
                    <w:r w:rsidRPr="001F185D">
                      <w:rPr>
                        <w:rFonts w:cs="Arial" w:hint="eastAsia"/>
                        <w:sz w:val="22"/>
                        <w:szCs w:val="22"/>
                        <w:lang w:val="en-GB"/>
                      </w:rPr>
                      <w:t>与评价收入确认相关的审计程序中包括以下程序：</w:t>
                    </w:r>
                  </w:p>
                  <w:p w:rsidR="009C54D9" w:rsidRPr="001F185D" w:rsidRDefault="009C54D9" w:rsidP="00FF17C7">
                    <w:pPr>
                      <w:numPr>
                        <w:ilvl w:val="0"/>
                        <w:numId w:val="136"/>
                      </w:numPr>
                      <w:overflowPunct w:val="0"/>
                      <w:adjustRightInd w:val="0"/>
                      <w:snapToGrid w:val="0"/>
                      <w:spacing w:before="60" w:after="60"/>
                      <w:ind w:left="323" w:hanging="323"/>
                      <w:jc w:val="both"/>
                      <w:rPr>
                        <w:rFonts w:cs="Arial"/>
                        <w:sz w:val="22"/>
                        <w:szCs w:val="22"/>
                        <w:lang w:val="en-GB"/>
                      </w:rPr>
                    </w:pPr>
                    <w:r w:rsidRPr="001F185D">
                      <w:rPr>
                        <w:rFonts w:cs="Arial" w:hint="eastAsia"/>
                        <w:sz w:val="22"/>
                        <w:szCs w:val="22"/>
                        <w:lang w:val="en-GB"/>
                      </w:rPr>
                      <w:t>了解和评价与收入确认相关的关键财务报告内部控制的设计和运行有效性；</w:t>
                    </w:r>
                  </w:p>
                  <w:p w:rsidR="009C54D9" w:rsidRPr="001F185D" w:rsidRDefault="009C54D9" w:rsidP="00FF17C7">
                    <w:pPr>
                      <w:numPr>
                        <w:ilvl w:val="0"/>
                        <w:numId w:val="136"/>
                      </w:numPr>
                      <w:overflowPunct w:val="0"/>
                      <w:adjustRightInd w:val="0"/>
                      <w:snapToGrid w:val="0"/>
                      <w:spacing w:before="60" w:after="60"/>
                      <w:ind w:left="323" w:hanging="323"/>
                      <w:jc w:val="both"/>
                      <w:rPr>
                        <w:rFonts w:cs="Arial"/>
                        <w:sz w:val="22"/>
                        <w:szCs w:val="22"/>
                        <w:lang w:val="en-GB"/>
                      </w:rPr>
                    </w:pPr>
                    <w:r w:rsidRPr="001F185D">
                      <w:rPr>
                        <w:rFonts w:cs="Arial" w:hint="eastAsia"/>
                        <w:sz w:val="22"/>
                        <w:szCs w:val="22"/>
                        <w:lang w:val="en-GB"/>
                      </w:rPr>
                      <w:t>利用我们的信息技术专家工作，了解和评价相关信息系统的设计和运行有效性，包括：信息技术一般控制、相关数据运算逻辑设置、数据传输等；</w:t>
                    </w:r>
                  </w:p>
                  <w:p w:rsidR="009C54D9" w:rsidRPr="001F185D" w:rsidRDefault="009C54D9" w:rsidP="00FF17C7">
                    <w:pPr>
                      <w:numPr>
                        <w:ilvl w:val="0"/>
                        <w:numId w:val="136"/>
                      </w:numPr>
                      <w:overflowPunct w:val="0"/>
                      <w:adjustRightInd w:val="0"/>
                      <w:snapToGrid w:val="0"/>
                      <w:spacing w:before="60" w:after="60"/>
                      <w:ind w:left="323" w:hanging="323"/>
                      <w:jc w:val="both"/>
                      <w:rPr>
                        <w:rFonts w:cs="Arial"/>
                        <w:sz w:val="22"/>
                        <w:szCs w:val="22"/>
                        <w:lang w:val="en-GB"/>
                      </w:rPr>
                    </w:pPr>
                    <w:r w:rsidRPr="001F185D">
                      <w:rPr>
                        <w:rFonts w:cs="Arial" w:hint="eastAsia"/>
                        <w:sz w:val="22"/>
                        <w:szCs w:val="22"/>
                        <w:lang w:val="en-GB"/>
                      </w:rPr>
                      <w:t>使用计算机辅助审计技术，从收入确认相关信息系统中提取数据，抽查验算收入归集与分类的金额，并将相关结果与大秦铁路集团财务记录进行核对；</w:t>
                    </w:r>
                  </w:p>
                  <w:p w:rsidR="009C54D9" w:rsidRPr="001F185D" w:rsidRDefault="009C54D9" w:rsidP="00FF17C7">
                    <w:pPr>
                      <w:numPr>
                        <w:ilvl w:val="0"/>
                        <w:numId w:val="136"/>
                      </w:numPr>
                      <w:overflowPunct w:val="0"/>
                      <w:adjustRightInd w:val="0"/>
                      <w:snapToGrid w:val="0"/>
                      <w:spacing w:before="60" w:after="60"/>
                      <w:ind w:left="323" w:hanging="323"/>
                      <w:jc w:val="both"/>
                      <w:rPr>
                        <w:rFonts w:cs="Arial"/>
                        <w:sz w:val="22"/>
                        <w:szCs w:val="22"/>
                        <w:lang w:val="en-GB"/>
                      </w:rPr>
                    </w:pPr>
                    <w:r w:rsidRPr="001F185D">
                      <w:rPr>
                        <w:rFonts w:cs="Arial" w:hint="eastAsia"/>
                        <w:sz w:val="22"/>
                        <w:szCs w:val="22"/>
                        <w:lang w:val="en-GB"/>
                      </w:rPr>
                      <w:t>在抽样的基础上，将大秦铁路集团的客运、货运运费收入核对至收款记录；</w:t>
                    </w:r>
                  </w:p>
                  <w:p w:rsidR="009C54D9" w:rsidRPr="001F185D" w:rsidRDefault="009C54D9" w:rsidP="00FF17C7">
                    <w:pPr>
                      <w:numPr>
                        <w:ilvl w:val="0"/>
                        <w:numId w:val="136"/>
                      </w:numPr>
                      <w:overflowPunct w:val="0"/>
                      <w:adjustRightInd w:val="0"/>
                      <w:snapToGrid w:val="0"/>
                      <w:spacing w:before="60" w:after="60"/>
                      <w:ind w:left="323" w:hanging="323"/>
                      <w:jc w:val="both"/>
                      <w:rPr>
                        <w:rFonts w:cs="Arial"/>
                        <w:sz w:val="22"/>
                        <w:szCs w:val="22"/>
                        <w:lang w:val="en-GB"/>
                      </w:rPr>
                    </w:pPr>
                    <w:r w:rsidRPr="001F185D">
                      <w:rPr>
                        <w:rFonts w:cs="Arial" w:hint="eastAsia"/>
                        <w:sz w:val="22"/>
                        <w:szCs w:val="22"/>
                        <w:lang w:val="en-GB"/>
                      </w:rPr>
                      <w:t>将铁路运输服务收入与国铁集团的《清算资金通知清单》中的相关金额进行核对，并向国铁集团函证，以确认铁路运输服务收入金额的准确性；</w:t>
                    </w:r>
                  </w:p>
                  <w:p w:rsidR="009C54D9" w:rsidRPr="001F185D" w:rsidRDefault="009C54D9" w:rsidP="00FF17C7">
                    <w:pPr>
                      <w:numPr>
                        <w:ilvl w:val="0"/>
                        <w:numId w:val="136"/>
                      </w:numPr>
                      <w:overflowPunct w:val="0"/>
                      <w:adjustRightInd w:val="0"/>
                      <w:snapToGrid w:val="0"/>
                      <w:spacing w:before="60" w:after="40"/>
                      <w:ind w:left="323" w:hanging="323"/>
                      <w:jc w:val="both"/>
                      <w:rPr>
                        <w:rFonts w:cs="Arial"/>
                        <w:sz w:val="22"/>
                        <w:szCs w:val="22"/>
                        <w:lang w:val="en-GB"/>
                      </w:rPr>
                    </w:pPr>
                    <w:r w:rsidRPr="001F185D">
                      <w:rPr>
                        <w:rFonts w:cs="Arial" w:hint="eastAsia"/>
                        <w:sz w:val="22"/>
                        <w:szCs w:val="22"/>
                        <w:lang w:val="en-GB"/>
                      </w:rPr>
                      <w:t>对货运运费收入执行实质性分析程序，使用相关业务统计数据和其他外部信息，为货运运费收入设定预期值，并将预期值与货运运费收入账面金额进行比较。</w:t>
                    </w:r>
                  </w:p>
                </w:tc>
              </w:tr>
            </w:tbl>
            <w:p w:rsidR="009C54D9" w:rsidRPr="001F185D" w:rsidRDefault="009C54D9" w:rsidP="009C54D9">
              <w:pPr>
                <w:overflowPunct w:val="0"/>
                <w:adjustRightInd w:val="0"/>
                <w:snapToGrid w:val="0"/>
                <w:rPr>
                  <w:rFonts w:cs="Arial"/>
                  <w:sz w:val="6"/>
                  <w:szCs w:val="18"/>
                </w:rPr>
              </w:pPr>
              <w:r w:rsidRPr="001F185D">
                <w:rPr>
                  <w:rFonts w:cs="Arial" w:hint="eastAsia"/>
                  <w:sz w:val="6"/>
                  <w:szCs w:val="18"/>
                </w:rPr>
                <w:br w:type="page"/>
              </w:r>
            </w:p>
            <w:p w:rsidR="009C54D9" w:rsidRPr="001F185D" w:rsidRDefault="009C54D9" w:rsidP="009C54D9">
              <w:pPr>
                <w:overflowPunct w:val="0"/>
                <w:adjustRightInd w:val="0"/>
                <w:snapToGrid w:val="0"/>
                <w:jc w:val="center"/>
                <w:rPr>
                  <w:rFonts w:cs="Arial"/>
                  <w:sz w:val="22"/>
                </w:rPr>
              </w:pPr>
            </w:p>
            <w:p w:rsidR="009C54D9" w:rsidRPr="001F185D" w:rsidRDefault="009C54D9" w:rsidP="009C54D9">
              <w:pPr>
                <w:overflowPunct w:val="0"/>
                <w:adjustRightInd w:val="0"/>
                <w:snapToGrid w:val="0"/>
                <w:jc w:val="center"/>
                <w:rPr>
                  <w:rFonts w:cs="Arial"/>
                  <w:sz w:val="22"/>
                </w:rPr>
              </w:pPr>
            </w:p>
            <w:p w:rsidR="009C54D9" w:rsidRPr="001F185D" w:rsidRDefault="009C54D9" w:rsidP="009C54D9">
              <w:pPr>
                <w:overflowPunct w:val="0"/>
                <w:adjustRightInd w:val="0"/>
                <w:snapToGrid w:val="0"/>
                <w:jc w:val="center"/>
                <w:rPr>
                  <w:rFonts w:cs="Arial"/>
                  <w:sz w:val="22"/>
                </w:rPr>
              </w:pPr>
            </w:p>
            <w:p w:rsidR="009C54D9" w:rsidRPr="001F185D" w:rsidRDefault="009C54D9" w:rsidP="009C54D9">
              <w:pPr>
                <w:pStyle w:val="10"/>
                <w:keepNext w:val="0"/>
                <w:keepLines w:val="0"/>
                <w:widowControl/>
                <w:overflowPunct w:val="0"/>
                <w:adjustRightInd w:val="0"/>
                <w:snapToGrid w:val="0"/>
                <w:spacing w:before="0" w:after="0" w:line="240" w:lineRule="auto"/>
                <w:rPr>
                  <w:rFonts w:cs="Arial"/>
                  <w:kern w:val="0"/>
                  <w:sz w:val="22"/>
                  <w:szCs w:val="24"/>
                </w:rPr>
              </w:pPr>
              <w:r w:rsidRPr="001F185D">
                <w:rPr>
                  <w:rFonts w:cs="Arial" w:hint="eastAsia"/>
                  <w:kern w:val="0"/>
                  <w:sz w:val="22"/>
                  <w:szCs w:val="24"/>
                </w:rPr>
                <w:t>审计报告</w:t>
              </w:r>
              <w:r w:rsidRPr="001F185D">
                <w:rPr>
                  <w:rFonts w:cs="Arial" w:hint="eastAsia"/>
                  <w:kern w:val="0"/>
                  <w:sz w:val="22"/>
                  <w:szCs w:val="24"/>
                </w:rPr>
                <w:t xml:space="preserve"> (</w:t>
              </w:r>
              <w:r w:rsidRPr="001F185D">
                <w:rPr>
                  <w:rFonts w:cs="Arial" w:hint="eastAsia"/>
                  <w:kern w:val="0"/>
                  <w:sz w:val="22"/>
                  <w:szCs w:val="24"/>
                </w:rPr>
                <w:t>续</w:t>
              </w:r>
              <w:r w:rsidRPr="001F185D">
                <w:rPr>
                  <w:rFonts w:cs="Arial" w:hint="eastAsia"/>
                  <w:kern w:val="0"/>
                  <w:sz w:val="22"/>
                  <w:szCs w:val="24"/>
                </w:rPr>
                <w:t>)</w:t>
              </w:r>
            </w:p>
            <w:p w:rsidR="009C54D9" w:rsidRPr="001F185D" w:rsidRDefault="009C54D9" w:rsidP="009C54D9">
              <w:pPr>
                <w:overflowPunct w:val="0"/>
                <w:adjustRightInd w:val="0"/>
                <w:snapToGrid w:val="0"/>
                <w:jc w:val="center"/>
                <w:rPr>
                  <w:rFonts w:cs="Arial"/>
                  <w:sz w:val="22"/>
                </w:rPr>
              </w:pPr>
            </w:p>
            <w:p w:rsidR="009C54D9" w:rsidRPr="001F185D" w:rsidRDefault="009C54D9" w:rsidP="009C54D9">
              <w:pPr>
                <w:overflowPunct w:val="0"/>
                <w:adjustRightInd w:val="0"/>
                <w:snapToGrid w:val="0"/>
                <w:jc w:val="right"/>
                <w:rPr>
                  <w:rFonts w:cs="Arial"/>
                  <w:sz w:val="18"/>
                  <w:szCs w:val="20"/>
                </w:rPr>
              </w:pPr>
              <w:r w:rsidRPr="001F185D">
                <w:rPr>
                  <w:rFonts w:cs="Arial" w:hint="eastAsia"/>
                  <w:sz w:val="18"/>
                  <w:szCs w:val="20"/>
                </w:rPr>
                <w:t>毕马威华振审字第</w:t>
              </w:r>
              <w:r w:rsidR="00DF7089" w:rsidRPr="00DF7089">
                <w:rPr>
                  <w:rFonts w:cs="Arial"/>
                  <w:sz w:val="18"/>
                  <w:szCs w:val="20"/>
                </w:rPr>
                <w:t>2305433</w:t>
              </w:r>
              <w:r w:rsidRPr="001F185D">
                <w:rPr>
                  <w:rFonts w:cs="Arial" w:hint="eastAsia"/>
                  <w:sz w:val="18"/>
                  <w:szCs w:val="20"/>
                </w:rPr>
                <w:t>号</w:t>
              </w:r>
            </w:p>
            <w:p w:rsidR="009C54D9" w:rsidRPr="001F185D" w:rsidRDefault="009C54D9" w:rsidP="009C54D9">
              <w:pPr>
                <w:overflowPunct w:val="0"/>
                <w:adjustRightInd w:val="0"/>
                <w:snapToGrid w:val="0"/>
                <w:jc w:val="center"/>
                <w:rPr>
                  <w:rFonts w:cs="Arial"/>
                  <w:sz w:val="22"/>
                </w:rPr>
              </w:pPr>
            </w:p>
            <w:p w:rsidR="009C54D9" w:rsidRPr="001F185D" w:rsidRDefault="009C54D9" w:rsidP="009C54D9">
              <w:pPr>
                <w:overflowPunct w:val="0"/>
                <w:adjustRightInd w:val="0"/>
                <w:snapToGrid w:val="0"/>
                <w:ind w:firstLine="442"/>
                <w:rPr>
                  <w:rFonts w:cs="Arial"/>
                  <w:b/>
                  <w:bCs/>
                  <w:sz w:val="22"/>
                  <w:szCs w:val="22"/>
                </w:rPr>
              </w:pPr>
              <w:r w:rsidRPr="001F185D">
                <w:rPr>
                  <w:rFonts w:cs="Arial" w:hint="eastAsia"/>
                  <w:b/>
                  <w:bCs/>
                  <w:sz w:val="22"/>
                  <w:szCs w:val="22"/>
                </w:rPr>
                <w:t>四、其他信息</w:t>
              </w:r>
            </w:p>
            <w:p w:rsidR="009C54D9" w:rsidRPr="001F185D" w:rsidRDefault="009C54D9" w:rsidP="009C54D9">
              <w:pPr>
                <w:overflowPunct w:val="0"/>
                <w:adjustRightInd w:val="0"/>
                <w:snapToGrid w:val="0"/>
                <w:ind w:firstLine="442"/>
                <w:rPr>
                  <w:rFonts w:cs="Arial"/>
                  <w:bCs/>
                  <w:sz w:val="22"/>
                  <w:szCs w:val="22"/>
                </w:rPr>
              </w:pPr>
            </w:p>
            <w:p w:rsidR="009C54D9" w:rsidRPr="001F185D" w:rsidRDefault="009C54D9" w:rsidP="009C54D9">
              <w:pPr>
                <w:overflowPunct w:val="0"/>
                <w:adjustRightInd w:val="0"/>
                <w:snapToGrid w:val="0"/>
                <w:ind w:firstLine="442"/>
                <w:rPr>
                  <w:rFonts w:cs="Arial"/>
                  <w:bCs/>
                  <w:sz w:val="22"/>
                  <w:szCs w:val="22"/>
                </w:rPr>
              </w:pPr>
              <w:r w:rsidRPr="001F185D">
                <w:rPr>
                  <w:rFonts w:cs="Arial" w:hint="eastAsia"/>
                  <w:bCs/>
                  <w:sz w:val="22"/>
                  <w:szCs w:val="22"/>
                </w:rPr>
                <w:t>大秦铁路公司管理层对其他信息负责。其他信息包括大秦铁路公司202</w:t>
              </w:r>
              <w:r w:rsidRPr="001F185D">
                <w:rPr>
                  <w:rFonts w:cs="Arial"/>
                  <w:bCs/>
                  <w:sz w:val="22"/>
                  <w:szCs w:val="22"/>
                </w:rPr>
                <w:t>2</w:t>
              </w:r>
              <w:r w:rsidRPr="001F185D">
                <w:rPr>
                  <w:rFonts w:cs="Arial" w:hint="eastAsia"/>
                  <w:bCs/>
                  <w:sz w:val="22"/>
                  <w:szCs w:val="22"/>
                </w:rPr>
                <w:t>年年度报告中涵盖的信息，但不包括财务报表和我们的审计报告。</w:t>
              </w:r>
            </w:p>
            <w:p w:rsidR="009C54D9" w:rsidRPr="001F185D" w:rsidRDefault="009C54D9" w:rsidP="009C54D9">
              <w:pPr>
                <w:overflowPunct w:val="0"/>
                <w:adjustRightInd w:val="0"/>
                <w:snapToGrid w:val="0"/>
                <w:ind w:firstLine="442"/>
                <w:rPr>
                  <w:rFonts w:cs="Arial"/>
                  <w:bCs/>
                  <w:sz w:val="22"/>
                  <w:szCs w:val="22"/>
                </w:rPr>
              </w:pPr>
            </w:p>
            <w:p w:rsidR="009C54D9" w:rsidRPr="001F185D" w:rsidRDefault="009C54D9" w:rsidP="009C54D9">
              <w:pPr>
                <w:overflowPunct w:val="0"/>
                <w:adjustRightInd w:val="0"/>
                <w:snapToGrid w:val="0"/>
                <w:ind w:firstLine="442"/>
                <w:rPr>
                  <w:rFonts w:cs="Arial"/>
                  <w:bCs/>
                  <w:sz w:val="22"/>
                  <w:szCs w:val="22"/>
                </w:rPr>
              </w:pPr>
              <w:r w:rsidRPr="001F185D">
                <w:rPr>
                  <w:rFonts w:cs="Arial" w:hint="eastAsia"/>
                  <w:bCs/>
                  <w:sz w:val="22"/>
                  <w:szCs w:val="22"/>
                </w:rPr>
                <w:t>我们对财务报表发表的审计意见不涵盖其他信息，我们也不对其他信息发表任何形式的鉴证结论。</w:t>
              </w:r>
            </w:p>
            <w:p w:rsidR="009C54D9" w:rsidRPr="001F185D" w:rsidRDefault="009C54D9" w:rsidP="009C54D9">
              <w:pPr>
                <w:overflowPunct w:val="0"/>
                <w:adjustRightInd w:val="0"/>
                <w:snapToGrid w:val="0"/>
                <w:ind w:firstLine="442"/>
                <w:rPr>
                  <w:rFonts w:cs="Arial"/>
                  <w:bCs/>
                  <w:sz w:val="22"/>
                  <w:szCs w:val="22"/>
                </w:rPr>
              </w:pPr>
            </w:p>
            <w:p w:rsidR="009C54D9" w:rsidRPr="001F185D" w:rsidRDefault="009C54D9" w:rsidP="009C54D9">
              <w:pPr>
                <w:overflowPunct w:val="0"/>
                <w:adjustRightInd w:val="0"/>
                <w:snapToGrid w:val="0"/>
                <w:ind w:firstLine="442"/>
                <w:rPr>
                  <w:rFonts w:cs="Arial"/>
                  <w:bCs/>
                  <w:sz w:val="22"/>
                  <w:szCs w:val="22"/>
                </w:rPr>
              </w:pPr>
              <w:r w:rsidRPr="001F185D">
                <w:rPr>
                  <w:rFonts w:cs="Arial" w:hint="eastAsia"/>
                  <w:bCs/>
                  <w:sz w:val="22"/>
                  <w:szCs w:val="22"/>
                </w:rPr>
                <w:t>结合我们对财务报表的审计，我们的责任是阅读其他信息，在此过程中，考虑其他信息是否与财务报表或我们在审计过程中了解到的情况存在重大不一致或者似乎存在重大错报。</w:t>
              </w:r>
            </w:p>
            <w:p w:rsidR="009C54D9" w:rsidRPr="001F185D" w:rsidRDefault="009C54D9" w:rsidP="009C54D9">
              <w:pPr>
                <w:overflowPunct w:val="0"/>
                <w:adjustRightInd w:val="0"/>
                <w:snapToGrid w:val="0"/>
                <w:ind w:firstLine="442"/>
                <w:rPr>
                  <w:rFonts w:cs="Arial"/>
                  <w:bCs/>
                  <w:sz w:val="22"/>
                  <w:szCs w:val="22"/>
                </w:rPr>
              </w:pPr>
            </w:p>
            <w:p w:rsidR="009C54D9" w:rsidRPr="001F185D" w:rsidRDefault="009C54D9" w:rsidP="009C54D9">
              <w:pPr>
                <w:overflowPunct w:val="0"/>
                <w:adjustRightInd w:val="0"/>
                <w:snapToGrid w:val="0"/>
                <w:ind w:firstLine="442"/>
                <w:rPr>
                  <w:rFonts w:cs="Arial"/>
                  <w:bCs/>
                  <w:sz w:val="22"/>
                  <w:szCs w:val="22"/>
                </w:rPr>
              </w:pPr>
              <w:r w:rsidRPr="001F185D">
                <w:rPr>
                  <w:rFonts w:cs="Arial" w:hint="eastAsia"/>
                  <w:bCs/>
                  <w:sz w:val="22"/>
                  <w:szCs w:val="22"/>
                </w:rPr>
                <w:t>基于我们已执行的工作，如果我们确定其他信息存在重大错报，我们应当报告该事实。在这方面，我们无任何事项需要报告。</w:t>
              </w:r>
            </w:p>
            <w:p w:rsidR="009C54D9" w:rsidRPr="001F185D" w:rsidRDefault="009C54D9" w:rsidP="009C54D9">
              <w:pPr>
                <w:overflowPunct w:val="0"/>
                <w:adjustRightInd w:val="0"/>
                <w:snapToGrid w:val="0"/>
                <w:ind w:firstLine="442"/>
                <w:rPr>
                  <w:rFonts w:cs="Arial"/>
                  <w:bCs/>
                  <w:sz w:val="22"/>
                  <w:szCs w:val="22"/>
                </w:rPr>
              </w:pPr>
            </w:p>
            <w:p w:rsidR="009C54D9" w:rsidRPr="001F185D" w:rsidRDefault="009C54D9" w:rsidP="009C54D9">
              <w:pPr>
                <w:overflowPunct w:val="0"/>
                <w:adjustRightInd w:val="0"/>
                <w:snapToGrid w:val="0"/>
                <w:ind w:firstLine="442"/>
                <w:rPr>
                  <w:rFonts w:cs="Arial"/>
                  <w:b/>
                  <w:bCs/>
                  <w:sz w:val="22"/>
                  <w:szCs w:val="22"/>
                </w:rPr>
              </w:pPr>
              <w:r w:rsidRPr="001F185D">
                <w:rPr>
                  <w:rFonts w:cs="Arial" w:hint="eastAsia"/>
                  <w:b/>
                  <w:bCs/>
                  <w:sz w:val="22"/>
                  <w:szCs w:val="22"/>
                </w:rPr>
                <w:t>五、管理层和治理层对财务报表的责任</w:t>
              </w:r>
            </w:p>
            <w:p w:rsidR="009C54D9" w:rsidRPr="001F185D" w:rsidRDefault="009C54D9" w:rsidP="009C54D9">
              <w:pPr>
                <w:overflowPunct w:val="0"/>
                <w:adjustRightInd w:val="0"/>
                <w:snapToGrid w:val="0"/>
                <w:ind w:firstLine="442"/>
                <w:rPr>
                  <w:rFonts w:cs="Arial"/>
                  <w:bCs/>
                  <w:sz w:val="22"/>
                  <w:szCs w:val="22"/>
                </w:rPr>
              </w:pPr>
            </w:p>
            <w:p w:rsidR="009C54D9" w:rsidRPr="001F185D" w:rsidRDefault="009C54D9" w:rsidP="009C54D9">
              <w:pPr>
                <w:overflowPunct w:val="0"/>
                <w:adjustRightInd w:val="0"/>
                <w:snapToGrid w:val="0"/>
                <w:ind w:firstLine="442"/>
                <w:rPr>
                  <w:rFonts w:cs="Arial"/>
                  <w:bCs/>
                  <w:sz w:val="22"/>
                  <w:szCs w:val="22"/>
                </w:rPr>
              </w:pPr>
              <w:r w:rsidRPr="001F185D">
                <w:rPr>
                  <w:rFonts w:cs="Arial" w:hint="eastAsia"/>
                  <w:bCs/>
                  <w:sz w:val="22"/>
                  <w:szCs w:val="22"/>
                </w:rPr>
                <w:t>管理层负责按照企业会计准则的规定编制财务报表，使其实现公允反映，并设计、执行和维护必要的内部控制，以使财务报表不存在由于舞弊或错误导致的重大错报。</w:t>
              </w:r>
            </w:p>
            <w:p w:rsidR="009C54D9" w:rsidRPr="001F185D" w:rsidRDefault="009C54D9" w:rsidP="009C54D9">
              <w:pPr>
                <w:overflowPunct w:val="0"/>
                <w:adjustRightInd w:val="0"/>
                <w:snapToGrid w:val="0"/>
                <w:ind w:firstLine="442"/>
                <w:rPr>
                  <w:rFonts w:cs="Arial"/>
                  <w:bCs/>
                  <w:sz w:val="22"/>
                  <w:szCs w:val="22"/>
                </w:rPr>
              </w:pPr>
            </w:p>
            <w:p w:rsidR="009C54D9" w:rsidRPr="001F185D" w:rsidRDefault="009C54D9" w:rsidP="009C54D9">
              <w:pPr>
                <w:overflowPunct w:val="0"/>
                <w:adjustRightInd w:val="0"/>
                <w:snapToGrid w:val="0"/>
                <w:ind w:firstLine="442"/>
                <w:rPr>
                  <w:rFonts w:cs="Arial"/>
                  <w:bCs/>
                  <w:sz w:val="22"/>
                  <w:szCs w:val="22"/>
                </w:rPr>
              </w:pPr>
              <w:r w:rsidRPr="001F185D">
                <w:rPr>
                  <w:rFonts w:cs="Arial" w:hint="eastAsia"/>
                  <w:bCs/>
                  <w:sz w:val="22"/>
                  <w:szCs w:val="22"/>
                </w:rPr>
                <w:t>在编制财务报表时，管理层负责评估大秦铁路公司的持续经营能力，披露与持续经营相关的事项 (如适用)，并运用持续经营假设，除非大秦铁路公司计划进行清算、终止运营或别无其他现实的选择。</w:t>
              </w:r>
            </w:p>
            <w:p w:rsidR="009C54D9" w:rsidRPr="001F185D" w:rsidRDefault="009C54D9" w:rsidP="009C54D9">
              <w:pPr>
                <w:overflowPunct w:val="0"/>
                <w:adjustRightInd w:val="0"/>
                <w:snapToGrid w:val="0"/>
                <w:ind w:firstLine="442"/>
                <w:rPr>
                  <w:rFonts w:cs="Arial"/>
                  <w:bCs/>
                  <w:sz w:val="22"/>
                  <w:szCs w:val="22"/>
                </w:rPr>
              </w:pPr>
            </w:p>
            <w:p w:rsidR="009C54D9" w:rsidRPr="001F185D" w:rsidRDefault="009C54D9" w:rsidP="009C54D9">
              <w:pPr>
                <w:overflowPunct w:val="0"/>
                <w:adjustRightInd w:val="0"/>
                <w:snapToGrid w:val="0"/>
                <w:ind w:firstLine="442"/>
                <w:rPr>
                  <w:rFonts w:cs="Arial"/>
                  <w:sz w:val="22"/>
                  <w:szCs w:val="22"/>
                </w:rPr>
              </w:pPr>
              <w:r w:rsidRPr="001F185D">
                <w:rPr>
                  <w:rFonts w:cs="Arial" w:hint="eastAsia"/>
                  <w:bCs/>
                  <w:sz w:val="22"/>
                  <w:szCs w:val="22"/>
                </w:rPr>
                <w:t>治理层负责监督大秦铁路公司的财务报告过程。</w:t>
              </w:r>
            </w:p>
            <w:p w:rsidR="009C54D9" w:rsidRPr="001F185D" w:rsidRDefault="009C54D9" w:rsidP="009C54D9">
              <w:pPr>
                <w:overflowPunct w:val="0"/>
                <w:adjustRightInd w:val="0"/>
                <w:snapToGrid w:val="0"/>
                <w:ind w:firstLine="442"/>
                <w:rPr>
                  <w:rFonts w:cs="Arial"/>
                  <w:sz w:val="22"/>
                  <w:szCs w:val="22"/>
                </w:rPr>
              </w:pPr>
            </w:p>
            <w:p w:rsidR="009C54D9" w:rsidRPr="001F185D" w:rsidRDefault="009C54D9" w:rsidP="009C54D9">
              <w:pPr>
                <w:overflowPunct w:val="0"/>
                <w:adjustRightInd w:val="0"/>
                <w:snapToGrid w:val="0"/>
                <w:jc w:val="center"/>
                <w:rPr>
                  <w:rFonts w:cs="Arial"/>
                  <w:sz w:val="22"/>
                </w:rPr>
              </w:pPr>
              <w:r w:rsidRPr="001F185D">
                <w:rPr>
                  <w:rFonts w:cs="Arial" w:hint="eastAsia"/>
                  <w:sz w:val="22"/>
                </w:rPr>
                <w:br w:type="page"/>
              </w:r>
            </w:p>
            <w:p w:rsidR="009C54D9" w:rsidRPr="001F185D" w:rsidRDefault="009C54D9" w:rsidP="009C54D9">
              <w:pPr>
                <w:overflowPunct w:val="0"/>
                <w:adjustRightInd w:val="0"/>
                <w:snapToGrid w:val="0"/>
                <w:jc w:val="center"/>
                <w:rPr>
                  <w:rFonts w:cs="Arial"/>
                  <w:sz w:val="22"/>
                </w:rPr>
              </w:pPr>
            </w:p>
            <w:p w:rsidR="009C54D9" w:rsidRPr="001F185D" w:rsidRDefault="009C54D9" w:rsidP="009C54D9">
              <w:pPr>
                <w:overflowPunct w:val="0"/>
                <w:adjustRightInd w:val="0"/>
                <w:snapToGrid w:val="0"/>
                <w:jc w:val="center"/>
                <w:rPr>
                  <w:rFonts w:cs="Arial"/>
                  <w:sz w:val="22"/>
                </w:rPr>
              </w:pPr>
            </w:p>
            <w:p w:rsidR="009C54D9" w:rsidRPr="001F185D" w:rsidRDefault="009C54D9" w:rsidP="009C54D9">
              <w:pPr>
                <w:overflowPunct w:val="0"/>
                <w:adjustRightInd w:val="0"/>
                <w:snapToGrid w:val="0"/>
                <w:jc w:val="center"/>
                <w:rPr>
                  <w:rFonts w:cs="Arial"/>
                  <w:sz w:val="22"/>
                </w:rPr>
              </w:pPr>
            </w:p>
            <w:p w:rsidR="009C54D9" w:rsidRPr="001F185D" w:rsidRDefault="009C54D9" w:rsidP="009C54D9">
              <w:pPr>
                <w:overflowPunct w:val="0"/>
                <w:adjustRightInd w:val="0"/>
                <w:snapToGrid w:val="0"/>
                <w:jc w:val="center"/>
                <w:rPr>
                  <w:rFonts w:cs="Arial"/>
                  <w:b/>
                  <w:sz w:val="22"/>
                </w:rPr>
              </w:pPr>
              <w:r w:rsidRPr="001F185D">
                <w:rPr>
                  <w:rFonts w:cs="Arial" w:hint="eastAsia"/>
                  <w:b/>
                  <w:sz w:val="22"/>
                </w:rPr>
                <w:t>审计报告 (续)</w:t>
              </w:r>
            </w:p>
            <w:p w:rsidR="009C54D9" w:rsidRPr="001F185D" w:rsidRDefault="009C54D9" w:rsidP="009C54D9">
              <w:pPr>
                <w:overflowPunct w:val="0"/>
                <w:adjustRightInd w:val="0"/>
                <w:snapToGrid w:val="0"/>
                <w:jc w:val="center"/>
                <w:rPr>
                  <w:rFonts w:cs="Arial"/>
                  <w:sz w:val="22"/>
                </w:rPr>
              </w:pPr>
            </w:p>
            <w:p w:rsidR="009C54D9" w:rsidRPr="001F185D" w:rsidRDefault="009C54D9" w:rsidP="009C54D9">
              <w:pPr>
                <w:overflowPunct w:val="0"/>
                <w:adjustRightInd w:val="0"/>
                <w:snapToGrid w:val="0"/>
                <w:jc w:val="right"/>
                <w:rPr>
                  <w:rFonts w:cs="Arial"/>
                  <w:sz w:val="18"/>
                  <w:szCs w:val="20"/>
                </w:rPr>
              </w:pPr>
              <w:r w:rsidRPr="001F185D">
                <w:rPr>
                  <w:rFonts w:cs="Arial" w:hint="eastAsia"/>
                  <w:sz w:val="18"/>
                  <w:szCs w:val="20"/>
                </w:rPr>
                <w:t>毕马威华振审字第</w:t>
              </w:r>
              <w:r w:rsidR="004478B1" w:rsidRPr="00DF7089">
                <w:rPr>
                  <w:rFonts w:cs="Arial"/>
                  <w:sz w:val="18"/>
                  <w:szCs w:val="20"/>
                </w:rPr>
                <w:t>2305433</w:t>
              </w:r>
              <w:r w:rsidRPr="001F185D">
                <w:rPr>
                  <w:rFonts w:cs="Arial" w:hint="eastAsia"/>
                  <w:sz w:val="18"/>
                  <w:szCs w:val="20"/>
                </w:rPr>
                <w:t>号</w:t>
              </w:r>
            </w:p>
            <w:p w:rsidR="009C54D9" w:rsidRPr="001F185D" w:rsidRDefault="009C54D9" w:rsidP="009C54D9">
              <w:pPr>
                <w:overflowPunct w:val="0"/>
                <w:adjustRightInd w:val="0"/>
                <w:snapToGrid w:val="0"/>
                <w:jc w:val="center"/>
                <w:rPr>
                  <w:rFonts w:cs="Arial"/>
                  <w:sz w:val="22"/>
                </w:rPr>
              </w:pPr>
            </w:p>
            <w:p w:rsidR="009C54D9" w:rsidRPr="001F185D" w:rsidRDefault="009C54D9" w:rsidP="009C54D9">
              <w:pPr>
                <w:overflowPunct w:val="0"/>
                <w:adjustRightInd w:val="0"/>
                <w:snapToGrid w:val="0"/>
                <w:ind w:firstLine="442"/>
                <w:rPr>
                  <w:rFonts w:cs="Arial"/>
                  <w:b/>
                  <w:sz w:val="22"/>
                  <w:szCs w:val="22"/>
                </w:rPr>
              </w:pPr>
              <w:r w:rsidRPr="001F185D">
                <w:rPr>
                  <w:rFonts w:cs="Arial" w:hint="eastAsia"/>
                  <w:b/>
                  <w:sz w:val="22"/>
                  <w:szCs w:val="22"/>
                </w:rPr>
                <w:t>六、注册会计师对财务报表审计的责任</w:t>
              </w:r>
            </w:p>
            <w:p w:rsidR="009C54D9" w:rsidRPr="001F185D" w:rsidRDefault="009C54D9" w:rsidP="009C54D9">
              <w:pPr>
                <w:overflowPunct w:val="0"/>
                <w:adjustRightInd w:val="0"/>
                <w:snapToGrid w:val="0"/>
                <w:ind w:firstLine="442"/>
                <w:rPr>
                  <w:rFonts w:cs="Arial"/>
                  <w:sz w:val="22"/>
                  <w:szCs w:val="22"/>
                </w:rPr>
              </w:pPr>
            </w:p>
            <w:p w:rsidR="009C54D9" w:rsidRPr="001F185D" w:rsidRDefault="009C54D9" w:rsidP="009C54D9">
              <w:pPr>
                <w:overflowPunct w:val="0"/>
                <w:adjustRightInd w:val="0"/>
                <w:snapToGrid w:val="0"/>
                <w:ind w:firstLine="442"/>
                <w:rPr>
                  <w:rFonts w:cs="Arial"/>
                  <w:sz w:val="22"/>
                  <w:szCs w:val="22"/>
                </w:rPr>
              </w:pPr>
              <w:r w:rsidRPr="001F185D">
                <w:rPr>
                  <w:rFonts w:cs="Arial" w:hint="eastAsia"/>
                  <w:sz w:val="22"/>
                  <w:szCs w:val="22"/>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rsidR="009C54D9" w:rsidRPr="001F185D" w:rsidRDefault="009C54D9" w:rsidP="009C54D9">
              <w:pPr>
                <w:overflowPunct w:val="0"/>
                <w:adjustRightInd w:val="0"/>
                <w:snapToGrid w:val="0"/>
                <w:ind w:firstLine="442"/>
                <w:rPr>
                  <w:rFonts w:cs="Arial"/>
                  <w:sz w:val="22"/>
                  <w:szCs w:val="22"/>
                </w:rPr>
              </w:pPr>
            </w:p>
            <w:p w:rsidR="009C54D9" w:rsidRPr="001F185D" w:rsidRDefault="009C54D9" w:rsidP="009C54D9">
              <w:pPr>
                <w:overflowPunct w:val="0"/>
                <w:adjustRightInd w:val="0"/>
                <w:snapToGrid w:val="0"/>
                <w:ind w:firstLine="442"/>
                <w:rPr>
                  <w:rFonts w:cs="Arial"/>
                  <w:sz w:val="22"/>
                  <w:szCs w:val="22"/>
                </w:rPr>
              </w:pPr>
              <w:r w:rsidRPr="001F185D">
                <w:rPr>
                  <w:rFonts w:cs="Arial" w:hint="eastAsia"/>
                  <w:sz w:val="22"/>
                  <w:szCs w:val="22"/>
                </w:rPr>
                <w:t>在按照审计准则执行审计工作的过程中，我们运用职业判断，并保持职业怀疑。同时，我们也执行以下工作：</w:t>
              </w:r>
            </w:p>
            <w:p w:rsidR="009C54D9" w:rsidRPr="001F185D" w:rsidRDefault="009C54D9" w:rsidP="009C54D9">
              <w:pPr>
                <w:overflowPunct w:val="0"/>
                <w:adjustRightInd w:val="0"/>
                <w:snapToGrid w:val="0"/>
                <w:ind w:firstLine="442"/>
                <w:rPr>
                  <w:rFonts w:cs="Arial"/>
                  <w:sz w:val="22"/>
                  <w:szCs w:val="22"/>
                </w:rPr>
              </w:pPr>
            </w:p>
            <w:p w:rsidR="009C54D9" w:rsidRPr="001F185D" w:rsidRDefault="009C54D9" w:rsidP="009C54D9">
              <w:pPr>
                <w:overflowPunct w:val="0"/>
                <w:adjustRightInd w:val="0"/>
                <w:snapToGrid w:val="0"/>
                <w:ind w:left="1009" w:hanging="567"/>
                <w:rPr>
                  <w:rFonts w:cs="Arial"/>
                  <w:sz w:val="22"/>
                  <w:szCs w:val="22"/>
                </w:rPr>
              </w:pPr>
              <w:r w:rsidRPr="001F185D">
                <w:rPr>
                  <w:rFonts w:cs="Arial" w:hint="eastAsia"/>
                  <w:sz w:val="22"/>
                  <w:szCs w:val="22"/>
                </w:rPr>
                <w:t>(1)</w:t>
              </w:r>
              <w:r w:rsidRPr="001F185D">
                <w:rPr>
                  <w:rFonts w:cs="Arial" w:hint="eastAsia"/>
                  <w:sz w:val="22"/>
                  <w:szCs w:val="22"/>
                </w:rPr>
                <w:tab/>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rsidR="009C54D9" w:rsidRPr="001F185D" w:rsidRDefault="009C54D9" w:rsidP="009C54D9">
              <w:pPr>
                <w:overflowPunct w:val="0"/>
                <w:adjustRightInd w:val="0"/>
                <w:snapToGrid w:val="0"/>
                <w:ind w:left="1022" w:hanging="580"/>
                <w:rPr>
                  <w:rFonts w:cs="Arial"/>
                  <w:sz w:val="22"/>
                  <w:szCs w:val="22"/>
                </w:rPr>
              </w:pPr>
            </w:p>
            <w:p w:rsidR="009C54D9" w:rsidRPr="001F185D" w:rsidRDefault="009C54D9" w:rsidP="009C54D9">
              <w:pPr>
                <w:overflowPunct w:val="0"/>
                <w:adjustRightInd w:val="0"/>
                <w:snapToGrid w:val="0"/>
                <w:ind w:left="1009" w:hanging="567"/>
                <w:rPr>
                  <w:rFonts w:cs="Arial"/>
                  <w:sz w:val="22"/>
                  <w:szCs w:val="22"/>
                </w:rPr>
              </w:pPr>
              <w:r w:rsidRPr="001F185D">
                <w:rPr>
                  <w:rFonts w:cs="Arial" w:hint="eastAsia"/>
                  <w:sz w:val="22"/>
                  <w:szCs w:val="22"/>
                </w:rPr>
                <w:t>(2)</w:t>
              </w:r>
              <w:r w:rsidRPr="001F185D">
                <w:rPr>
                  <w:rFonts w:cs="Arial" w:hint="eastAsia"/>
                  <w:sz w:val="22"/>
                  <w:szCs w:val="22"/>
                </w:rPr>
                <w:tab/>
                <w:t>了解与审计相关的内部控制，以设计恰当的审计程序，但目的并非对内部控制的有效性发表意见。</w:t>
              </w:r>
            </w:p>
            <w:p w:rsidR="009C54D9" w:rsidRPr="001F185D" w:rsidRDefault="009C54D9" w:rsidP="009C54D9">
              <w:pPr>
                <w:overflowPunct w:val="0"/>
                <w:adjustRightInd w:val="0"/>
                <w:snapToGrid w:val="0"/>
                <w:ind w:firstLine="442"/>
                <w:rPr>
                  <w:rFonts w:cs="Arial"/>
                  <w:sz w:val="22"/>
                  <w:szCs w:val="22"/>
                </w:rPr>
              </w:pPr>
            </w:p>
            <w:p w:rsidR="009C54D9" w:rsidRPr="001F185D" w:rsidRDefault="009C54D9" w:rsidP="009C54D9">
              <w:pPr>
                <w:overflowPunct w:val="0"/>
                <w:adjustRightInd w:val="0"/>
                <w:snapToGrid w:val="0"/>
                <w:ind w:left="1009" w:hanging="567"/>
                <w:rPr>
                  <w:rFonts w:cs="Arial"/>
                  <w:sz w:val="22"/>
                  <w:szCs w:val="22"/>
                </w:rPr>
              </w:pPr>
              <w:r w:rsidRPr="001F185D">
                <w:rPr>
                  <w:rFonts w:cs="Arial" w:hint="eastAsia"/>
                  <w:sz w:val="22"/>
                  <w:szCs w:val="22"/>
                </w:rPr>
                <w:t>(3)</w:t>
              </w:r>
              <w:r w:rsidRPr="001F185D">
                <w:rPr>
                  <w:rFonts w:cs="Arial" w:hint="eastAsia"/>
                  <w:sz w:val="22"/>
                  <w:szCs w:val="22"/>
                </w:rPr>
                <w:tab/>
                <w:t>评价管理层选用会计政策的恰当性和作出会计估计及相关披露的合理性。</w:t>
              </w:r>
            </w:p>
            <w:p w:rsidR="009C54D9" w:rsidRPr="001F185D" w:rsidRDefault="009C54D9" w:rsidP="009C54D9">
              <w:pPr>
                <w:overflowPunct w:val="0"/>
                <w:adjustRightInd w:val="0"/>
                <w:snapToGrid w:val="0"/>
                <w:ind w:left="1022" w:hanging="580"/>
                <w:rPr>
                  <w:rFonts w:cs="Arial"/>
                  <w:sz w:val="22"/>
                  <w:szCs w:val="22"/>
                </w:rPr>
              </w:pPr>
            </w:p>
            <w:p w:rsidR="009C54D9" w:rsidRPr="001F185D" w:rsidRDefault="009C54D9" w:rsidP="009C54D9">
              <w:pPr>
                <w:overflowPunct w:val="0"/>
                <w:adjustRightInd w:val="0"/>
                <w:snapToGrid w:val="0"/>
                <w:ind w:left="1009" w:hanging="567"/>
                <w:rPr>
                  <w:rFonts w:cs="Arial"/>
                  <w:sz w:val="22"/>
                  <w:szCs w:val="22"/>
                </w:rPr>
              </w:pPr>
              <w:r w:rsidRPr="001F185D">
                <w:rPr>
                  <w:rFonts w:cs="Arial" w:hint="eastAsia"/>
                  <w:sz w:val="22"/>
                  <w:szCs w:val="22"/>
                </w:rPr>
                <w:t>(4)</w:t>
              </w:r>
              <w:r w:rsidRPr="001F185D">
                <w:rPr>
                  <w:rFonts w:cs="Arial" w:hint="eastAsia"/>
                  <w:sz w:val="22"/>
                  <w:szCs w:val="22"/>
                </w:rPr>
                <w:tab/>
                <w:t>对管理层使用持续经营假设的恰当性得出结论。同时，根据获取的审计证据，就可能导致对大秦铁路公司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大秦铁路公司不能持续经营。</w:t>
              </w:r>
            </w:p>
            <w:p w:rsidR="009C54D9" w:rsidRPr="001F185D" w:rsidRDefault="009C54D9" w:rsidP="009C54D9">
              <w:pPr>
                <w:overflowPunct w:val="0"/>
                <w:adjustRightInd w:val="0"/>
                <w:snapToGrid w:val="0"/>
                <w:ind w:left="1022" w:hanging="580"/>
                <w:rPr>
                  <w:rFonts w:cs="Arial"/>
                  <w:sz w:val="22"/>
                  <w:szCs w:val="22"/>
                </w:rPr>
              </w:pPr>
            </w:p>
            <w:p w:rsidR="009C54D9" w:rsidRPr="001F185D" w:rsidRDefault="009C54D9" w:rsidP="009C54D9">
              <w:pPr>
                <w:overflowPunct w:val="0"/>
                <w:adjustRightInd w:val="0"/>
                <w:snapToGrid w:val="0"/>
                <w:ind w:left="1009" w:hanging="567"/>
                <w:rPr>
                  <w:rFonts w:cs="Arial"/>
                  <w:sz w:val="22"/>
                  <w:szCs w:val="22"/>
                </w:rPr>
              </w:pPr>
              <w:r w:rsidRPr="001F185D">
                <w:rPr>
                  <w:rFonts w:cs="Arial" w:hint="eastAsia"/>
                  <w:sz w:val="22"/>
                  <w:szCs w:val="22"/>
                </w:rPr>
                <w:t>(5)</w:t>
              </w:r>
              <w:r w:rsidRPr="001F185D">
                <w:rPr>
                  <w:rFonts w:cs="Arial" w:hint="eastAsia"/>
                  <w:sz w:val="22"/>
                  <w:szCs w:val="22"/>
                </w:rPr>
                <w:tab/>
                <w:t>评价财务报表的总体列报 (包括披露)</w:t>
              </w:r>
              <w:r w:rsidRPr="001F185D">
                <w:rPr>
                  <w:rFonts w:cs="Arial"/>
                  <w:sz w:val="22"/>
                  <w:szCs w:val="22"/>
                </w:rPr>
                <w:t xml:space="preserve"> </w:t>
              </w:r>
              <w:r w:rsidRPr="001F185D">
                <w:rPr>
                  <w:rFonts w:cs="Arial" w:hint="eastAsia"/>
                  <w:sz w:val="22"/>
                  <w:szCs w:val="22"/>
                </w:rPr>
                <w:t>、结构和内容，并评价财务报表是否公允反映相关交易和事项。</w:t>
              </w:r>
            </w:p>
            <w:p w:rsidR="009C54D9" w:rsidRPr="001F185D" w:rsidRDefault="009C54D9" w:rsidP="009C54D9">
              <w:pPr>
                <w:overflowPunct w:val="0"/>
                <w:adjustRightInd w:val="0"/>
                <w:snapToGrid w:val="0"/>
                <w:jc w:val="center"/>
                <w:rPr>
                  <w:rFonts w:cs="Arial"/>
                  <w:sz w:val="22"/>
                </w:rPr>
              </w:pPr>
              <w:r w:rsidRPr="001F185D">
                <w:rPr>
                  <w:rFonts w:cs="Arial" w:hint="eastAsia"/>
                  <w:sz w:val="22"/>
                </w:rPr>
                <w:br w:type="page"/>
              </w:r>
            </w:p>
            <w:p w:rsidR="009C54D9" w:rsidRPr="001F185D" w:rsidRDefault="009C54D9" w:rsidP="009C54D9">
              <w:pPr>
                <w:overflowPunct w:val="0"/>
                <w:adjustRightInd w:val="0"/>
                <w:snapToGrid w:val="0"/>
                <w:jc w:val="center"/>
                <w:rPr>
                  <w:rFonts w:cs="Arial"/>
                  <w:sz w:val="22"/>
                </w:rPr>
              </w:pPr>
            </w:p>
            <w:p w:rsidR="009C54D9" w:rsidRPr="001F185D" w:rsidRDefault="009C54D9" w:rsidP="009C54D9">
              <w:pPr>
                <w:overflowPunct w:val="0"/>
                <w:adjustRightInd w:val="0"/>
                <w:snapToGrid w:val="0"/>
                <w:jc w:val="center"/>
                <w:rPr>
                  <w:rFonts w:cs="Arial"/>
                  <w:sz w:val="22"/>
                </w:rPr>
              </w:pPr>
            </w:p>
            <w:p w:rsidR="009C54D9" w:rsidRPr="001F185D" w:rsidRDefault="009C54D9" w:rsidP="009C54D9">
              <w:pPr>
                <w:overflowPunct w:val="0"/>
                <w:adjustRightInd w:val="0"/>
                <w:snapToGrid w:val="0"/>
                <w:jc w:val="center"/>
                <w:rPr>
                  <w:rFonts w:cs="Arial"/>
                  <w:sz w:val="22"/>
                </w:rPr>
              </w:pPr>
            </w:p>
            <w:p w:rsidR="009C54D9" w:rsidRPr="001F185D" w:rsidRDefault="009C54D9" w:rsidP="009C54D9">
              <w:pPr>
                <w:overflowPunct w:val="0"/>
                <w:adjustRightInd w:val="0"/>
                <w:snapToGrid w:val="0"/>
                <w:jc w:val="center"/>
                <w:rPr>
                  <w:rFonts w:cs="Arial"/>
                  <w:b/>
                  <w:sz w:val="22"/>
                </w:rPr>
              </w:pPr>
              <w:r w:rsidRPr="001F185D">
                <w:rPr>
                  <w:rFonts w:cs="Arial" w:hint="eastAsia"/>
                  <w:b/>
                  <w:sz w:val="22"/>
                </w:rPr>
                <w:t>审计报告 (续)</w:t>
              </w:r>
            </w:p>
            <w:p w:rsidR="009C54D9" w:rsidRPr="001F185D" w:rsidRDefault="009C54D9" w:rsidP="009C54D9">
              <w:pPr>
                <w:overflowPunct w:val="0"/>
                <w:adjustRightInd w:val="0"/>
                <w:snapToGrid w:val="0"/>
                <w:jc w:val="center"/>
                <w:rPr>
                  <w:rFonts w:cs="Arial"/>
                  <w:sz w:val="22"/>
                </w:rPr>
              </w:pPr>
            </w:p>
            <w:p w:rsidR="009C54D9" w:rsidRPr="001F185D" w:rsidRDefault="009C54D9" w:rsidP="009C54D9">
              <w:pPr>
                <w:overflowPunct w:val="0"/>
                <w:adjustRightInd w:val="0"/>
                <w:snapToGrid w:val="0"/>
                <w:jc w:val="right"/>
                <w:rPr>
                  <w:rFonts w:cs="Arial"/>
                  <w:sz w:val="18"/>
                  <w:szCs w:val="20"/>
                </w:rPr>
              </w:pPr>
              <w:r w:rsidRPr="001F185D">
                <w:rPr>
                  <w:rFonts w:cs="Arial" w:hint="eastAsia"/>
                  <w:sz w:val="18"/>
                  <w:szCs w:val="20"/>
                </w:rPr>
                <w:t>毕马威华振审字第</w:t>
              </w:r>
              <w:r w:rsidR="000E6977" w:rsidRPr="000E6977">
                <w:rPr>
                  <w:rFonts w:cs="Arial"/>
                  <w:sz w:val="18"/>
                  <w:szCs w:val="20"/>
                </w:rPr>
                <w:t>2305433</w:t>
              </w:r>
              <w:r w:rsidRPr="001F185D">
                <w:rPr>
                  <w:rFonts w:cs="Arial" w:hint="eastAsia"/>
                  <w:sz w:val="18"/>
                  <w:szCs w:val="20"/>
                </w:rPr>
                <w:t>号</w:t>
              </w:r>
            </w:p>
            <w:p w:rsidR="009C54D9" w:rsidRPr="001F185D" w:rsidRDefault="009C54D9" w:rsidP="009C54D9">
              <w:pPr>
                <w:overflowPunct w:val="0"/>
                <w:adjustRightInd w:val="0"/>
                <w:snapToGrid w:val="0"/>
                <w:jc w:val="center"/>
                <w:rPr>
                  <w:rFonts w:cs="Arial"/>
                  <w:sz w:val="22"/>
                </w:rPr>
              </w:pPr>
            </w:p>
            <w:p w:rsidR="009C54D9" w:rsidRPr="001F185D" w:rsidRDefault="009C54D9" w:rsidP="009C54D9">
              <w:pPr>
                <w:overflowPunct w:val="0"/>
                <w:adjustRightInd w:val="0"/>
                <w:snapToGrid w:val="0"/>
                <w:ind w:firstLine="442"/>
                <w:rPr>
                  <w:rFonts w:cs="Arial"/>
                  <w:b/>
                  <w:sz w:val="22"/>
                  <w:szCs w:val="22"/>
                </w:rPr>
              </w:pPr>
              <w:r w:rsidRPr="001F185D">
                <w:rPr>
                  <w:rFonts w:cs="Arial" w:hint="eastAsia"/>
                  <w:b/>
                  <w:sz w:val="22"/>
                  <w:szCs w:val="22"/>
                </w:rPr>
                <w:t>六、注册会计师对财务报表审计的责任 (续)</w:t>
              </w:r>
            </w:p>
            <w:p w:rsidR="009C54D9" w:rsidRPr="001F185D" w:rsidRDefault="009C54D9" w:rsidP="009C54D9">
              <w:pPr>
                <w:overflowPunct w:val="0"/>
                <w:adjustRightInd w:val="0"/>
                <w:snapToGrid w:val="0"/>
                <w:ind w:left="1022" w:hanging="580"/>
                <w:rPr>
                  <w:rFonts w:cs="Arial"/>
                  <w:sz w:val="22"/>
                  <w:szCs w:val="22"/>
                </w:rPr>
              </w:pPr>
            </w:p>
            <w:p w:rsidR="009C54D9" w:rsidRPr="001F185D" w:rsidRDefault="009C54D9" w:rsidP="009C54D9">
              <w:pPr>
                <w:overflowPunct w:val="0"/>
                <w:adjustRightInd w:val="0"/>
                <w:snapToGrid w:val="0"/>
                <w:ind w:left="1009" w:hanging="567"/>
                <w:rPr>
                  <w:rFonts w:cs="Arial"/>
                  <w:sz w:val="22"/>
                  <w:szCs w:val="22"/>
                </w:rPr>
              </w:pPr>
              <w:r w:rsidRPr="001F185D">
                <w:rPr>
                  <w:rFonts w:cs="Arial" w:hint="eastAsia"/>
                  <w:sz w:val="22"/>
                  <w:szCs w:val="22"/>
                </w:rPr>
                <w:t>(6)</w:t>
              </w:r>
              <w:r w:rsidRPr="001F185D">
                <w:rPr>
                  <w:rFonts w:cs="Arial" w:hint="eastAsia"/>
                  <w:sz w:val="22"/>
                  <w:szCs w:val="22"/>
                </w:rPr>
                <w:tab/>
                <w:t>就大秦铁路公司中实体或业务活动的财务信息获取充分、适当的审计证据，以对财务报表发表审计意见。我们负责指导、监督和执行集团审计，并对审计意见承担全部责任。</w:t>
              </w:r>
            </w:p>
            <w:p w:rsidR="009C54D9" w:rsidRPr="001F185D" w:rsidRDefault="009C54D9" w:rsidP="009C54D9">
              <w:pPr>
                <w:overflowPunct w:val="0"/>
                <w:adjustRightInd w:val="0"/>
                <w:snapToGrid w:val="0"/>
                <w:ind w:firstLine="442"/>
                <w:rPr>
                  <w:rFonts w:cs="Arial"/>
                  <w:sz w:val="22"/>
                  <w:szCs w:val="22"/>
                </w:rPr>
              </w:pPr>
            </w:p>
            <w:p w:rsidR="009C54D9" w:rsidRPr="001F185D" w:rsidRDefault="009C54D9" w:rsidP="009C54D9">
              <w:pPr>
                <w:overflowPunct w:val="0"/>
                <w:adjustRightInd w:val="0"/>
                <w:snapToGrid w:val="0"/>
                <w:ind w:firstLine="442"/>
                <w:rPr>
                  <w:rFonts w:cs="Arial"/>
                  <w:sz w:val="22"/>
                  <w:szCs w:val="22"/>
                </w:rPr>
              </w:pPr>
              <w:r w:rsidRPr="001F185D">
                <w:rPr>
                  <w:rFonts w:cs="Arial" w:hint="eastAsia"/>
                  <w:sz w:val="22"/>
                  <w:szCs w:val="22"/>
                </w:rPr>
                <w:t>我们与治理层就计划的审计范围、时间安排和重大审计发现等事项进行沟通，包括沟通我们在审计中识别出的值得关注的内部控制缺陷。</w:t>
              </w:r>
            </w:p>
            <w:p w:rsidR="009C54D9" w:rsidRPr="001F185D" w:rsidRDefault="009C54D9" w:rsidP="009C54D9">
              <w:pPr>
                <w:overflowPunct w:val="0"/>
                <w:adjustRightInd w:val="0"/>
                <w:snapToGrid w:val="0"/>
                <w:ind w:firstLine="442"/>
                <w:rPr>
                  <w:rFonts w:cs="Arial"/>
                  <w:sz w:val="22"/>
                  <w:szCs w:val="22"/>
                </w:rPr>
              </w:pPr>
            </w:p>
            <w:p w:rsidR="009C54D9" w:rsidRPr="001F185D" w:rsidRDefault="009C54D9" w:rsidP="009C54D9">
              <w:pPr>
                <w:overflowPunct w:val="0"/>
                <w:adjustRightInd w:val="0"/>
                <w:snapToGrid w:val="0"/>
                <w:ind w:firstLine="442"/>
                <w:rPr>
                  <w:rFonts w:cs="Arial"/>
                  <w:sz w:val="22"/>
                  <w:szCs w:val="22"/>
                  <w:lang w:val="en-GB"/>
                </w:rPr>
              </w:pPr>
              <w:r w:rsidRPr="001F185D">
                <w:rPr>
                  <w:rFonts w:cs="Arial" w:hint="eastAsia"/>
                  <w:sz w:val="22"/>
                  <w:szCs w:val="22"/>
                  <w:lang w:val="en-GB"/>
                </w:rPr>
                <w:t>我们还就已遵守与独立性相关的职业道德要求向治理层提供声明，并与治理层沟通可能被合理认为影响我们独立性的所有关系和其他事项，以及相关的防范措施 (如适用) 。</w:t>
              </w:r>
            </w:p>
            <w:p w:rsidR="009C54D9" w:rsidRPr="001F185D" w:rsidRDefault="009C54D9" w:rsidP="009C54D9">
              <w:pPr>
                <w:overflowPunct w:val="0"/>
                <w:adjustRightInd w:val="0"/>
                <w:snapToGrid w:val="0"/>
                <w:ind w:firstLine="442"/>
                <w:rPr>
                  <w:rFonts w:cs="Arial"/>
                  <w:sz w:val="22"/>
                  <w:szCs w:val="22"/>
                  <w:lang w:val="en-GB"/>
                </w:rPr>
              </w:pPr>
            </w:p>
            <w:p w:rsidR="009C54D9" w:rsidRPr="001F185D" w:rsidRDefault="009C54D9" w:rsidP="009C54D9">
              <w:pPr>
                <w:overflowPunct w:val="0"/>
                <w:adjustRightInd w:val="0"/>
                <w:snapToGrid w:val="0"/>
                <w:ind w:firstLine="442"/>
                <w:rPr>
                  <w:rFonts w:cs="Arial"/>
                  <w:sz w:val="22"/>
                  <w:szCs w:val="22"/>
                  <w:lang w:val="en-GB"/>
                </w:rPr>
              </w:pPr>
              <w:r w:rsidRPr="001F185D">
                <w:rPr>
                  <w:rFonts w:cs="Arial" w:hint="eastAsia"/>
                  <w:sz w:val="22"/>
                  <w:szCs w:val="22"/>
                  <w:lang w:val="en-GB"/>
                </w:rPr>
                <w:t>从与治理层沟通过的事项中，我们确定哪些事项对本期财务报表审计最为重要，因而构成关键审计事项。我们在审计报告中描述这些事项，除非法律法规禁止公开披露这些事项，或在极少数情形下，如果合理预期在审计报告中沟通某事项造成的负面后果超过在公众利益方面产生的益处，我们确定不应在审计报告中沟通该事项。</w:t>
              </w:r>
            </w:p>
            <w:p w:rsidR="009C54D9" w:rsidRPr="001F185D" w:rsidRDefault="009C54D9" w:rsidP="009C54D9">
              <w:pPr>
                <w:overflowPunct w:val="0"/>
                <w:adjustRightInd w:val="0"/>
                <w:snapToGrid w:val="0"/>
                <w:ind w:firstLine="442"/>
                <w:rPr>
                  <w:rFonts w:cs="Arial"/>
                  <w:sz w:val="22"/>
                  <w:szCs w:val="22"/>
                  <w:lang w:val="en-GB"/>
                </w:rPr>
              </w:pPr>
            </w:p>
            <w:p w:rsidR="009C54D9" w:rsidRPr="001F185D" w:rsidRDefault="009C54D9" w:rsidP="009C54D9">
              <w:pPr>
                <w:overflowPunct w:val="0"/>
                <w:adjustRightInd w:val="0"/>
                <w:snapToGrid w:val="0"/>
                <w:ind w:firstLine="442"/>
                <w:rPr>
                  <w:rFonts w:cs="Arial"/>
                  <w:sz w:val="22"/>
                  <w:szCs w:val="22"/>
                </w:rPr>
              </w:pPr>
            </w:p>
            <w:p w:rsidR="009C54D9" w:rsidRPr="001F185D" w:rsidRDefault="009C54D9" w:rsidP="009C54D9">
              <w:pPr>
                <w:overflowPunct w:val="0"/>
                <w:adjustRightInd w:val="0"/>
                <w:snapToGrid w:val="0"/>
                <w:ind w:firstLine="442"/>
                <w:rPr>
                  <w:rFonts w:cs="Arial"/>
                  <w:sz w:val="22"/>
                  <w:szCs w:val="22"/>
                </w:rPr>
              </w:pPr>
            </w:p>
            <w:p w:rsidR="009C54D9" w:rsidRPr="001F185D" w:rsidRDefault="009C54D9" w:rsidP="009C54D9">
              <w:pPr>
                <w:overflowPunct w:val="0"/>
                <w:adjustRightInd w:val="0"/>
                <w:snapToGrid w:val="0"/>
                <w:ind w:firstLine="442"/>
                <w:rPr>
                  <w:rFonts w:cs="Arial"/>
                  <w:sz w:val="22"/>
                  <w:szCs w:val="22"/>
                </w:rPr>
              </w:pPr>
            </w:p>
            <w:p w:rsidR="009C54D9" w:rsidRPr="001F185D" w:rsidRDefault="009C54D9" w:rsidP="009C54D9">
              <w:pPr>
                <w:tabs>
                  <w:tab w:val="left" w:pos="5387"/>
                </w:tabs>
                <w:overflowPunct w:val="0"/>
                <w:adjustRightInd w:val="0"/>
                <w:snapToGrid w:val="0"/>
                <w:ind w:firstLine="442"/>
                <w:rPr>
                  <w:rFonts w:cs="Arial"/>
                  <w:sz w:val="22"/>
                  <w:szCs w:val="22"/>
                </w:rPr>
              </w:pPr>
              <w:r w:rsidRPr="001F185D">
                <w:rPr>
                  <w:rFonts w:cs="Arial" w:hint="eastAsia"/>
                  <w:sz w:val="22"/>
                  <w:szCs w:val="22"/>
                </w:rPr>
                <w:t>毕马威华振会计师事务所 (特殊普通合伙)</w:t>
              </w:r>
              <w:r w:rsidRPr="001F185D">
                <w:rPr>
                  <w:rFonts w:cs="Arial" w:hint="eastAsia"/>
                  <w:sz w:val="22"/>
                  <w:szCs w:val="22"/>
                </w:rPr>
                <w:tab/>
                <w:t>中国注册会计师</w:t>
              </w:r>
            </w:p>
            <w:p w:rsidR="009C54D9" w:rsidRPr="001F185D" w:rsidRDefault="009C54D9" w:rsidP="009C54D9">
              <w:pPr>
                <w:overflowPunct w:val="0"/>
                <w:adjustRightInd w:val="0"/>
                <w:snapToGrid w:val="0"/>
                <w:ind w:firstLine="442"/>
                <w:rPr>
                  <w:rFonts w:cs="Arial"/>
                  <w:sz w:val="22"/>
                  <w:szCs w:val="22"/>
                </w:rPr>
              </w:pPr>
            </w:p>
            <w:p w:rsidR="009C54D9" w:rsidRPr="001F185D" w:rsidRDefault="009C54D9" w:rsidP="009C54D9">
              <w:pPr>
                <w:overflowPunct w:val="0"/>
                <w:adjustRightInd w:val="0"/>
                <w:snapToGrid w:val="0"/>
                <w:ind w:firstLine="442"/>
                <w:rPr>
                  <w:rFonts w:cs="Arial"/>
                  <w:sz w:val="22"/>
                  <w:szCs w:val="22"/>
                </w:rPr>
              </w:pPr>
            </w:p>
            <w:p w:rsidR="009C54D9" w:rsidRPr="001F185D" w:rsidRDefault="009C54D9" w:rsidP="009C54D9">
              <w:pPr>
                <w:overflowPunct w:val="0"/>
                <w:adjustRightInd w:val="0"/>
                <w:snapToGrid w:val="0"/>
                <w:ind w:firstLine="442"/>
                <w:rPr>
                  <w:rFonts w:cs="Arial"/>
                  <w:sz w:val="22"/>
                  <w:szCs w:val="22"/>
                </w:rPr>
              </w:pPr>
            </w:p>
            <w:p w:rsidR="009C54D9" w:rsidRPr="001F185D" w:rsidRDefault="009C54D9" w:rsidP="009C54D9">
              <w:pPr>
                <w:overflowPunct w:val="0"/>
                <w:adjustRightInd w:val="0"/>
                <w:snapToGrid w:val="0"/>
                <w:ind w:firstLine="442"/>
                <w:rPr>
                  <w:rFonts w:cs="Arial"/>
                  <w:sz w:val="22"/>
                  <w:szCs w:val="22"/>
                </w:rPr>
              </w:pPr>
            </w:p>
            <w:p w:rsidR="009C54D9" w:rsidRPr="001F185D" w:rsidRDefault="009C54D9" w:rsidP="009C54D9">
              <w:pPr>
                <w:overflowPunct w:val="0"/>
                <w:adjustRightInd w:val="0"/>
                <w:snapToGrid w:val="0"/>
                <w:ind w:firstLine="442"/>
                <w:rPr>
                  <w:rFonts w:cs="Arial"/>
                  <w:sz w:val="22"/>
                  <w:szCs w:val="22"/>
                </w:rPr>
              </w:pPr>
            </w:p>
            <w:p w:rsidR="009C54D9" w:rsidRPr="001F185D" w:rsidRDefault="009C54D9" w:rsidP="009C54D9">
              <w:pPr>
                <w:tabs>
                  <w:tab w:val="left" w:pos="5387"/>
                </w:tabs>
                <w:overflowPunct w:val="0"/>
                <w:adjustRightInd w:val="0"/>
                <w:snapToGrid w:val="0"/>
                <w:ind w:firstLine="442"/>
                <w:rPr>
                  <w:rFonts w:cs="Arial"/>
                  <w:sz w:val="22"/>
                  <w:szCs w:val="22"/>
                </w:rPr>
              </w:pPr>
              <w:r w:rsidRPr="001F185D">
                <w:rPr>
                  <w:rFonts w:cs="Arial" w:hint="eastAsia"/>
                  <w:sz w:val="22"/>
                  <w:szCs w:val="22"/>
                </w:rPr>
                <w:tab/>
                <w:t>张杨 (项目合伙人)</w:t>
              </w:r>
            </w:p>
            <w:p w:rsidR="009C54D9" w:rsidRPr="001F185D" w:rsidRDefault="009C54D9" w:rsidP="009C54D9">
              <w:pPr>
                <w:overflowPunct w:val="0"/>
                <w:adjustRightInd w:val="0"/>
                <w:snapToGrid w:val="0"/>
                <w:ind w:firstLine="442"/>
                <w:rPr>
                  <w:rFonts w:cs="Arial"/>
                  <w:sz w:val="22"/>
                  <w:szCs w:val="22"/>
                </w:rPr>
              </w:pPr>
            </w:p>
            <w:p w:rsidR="009C54D9" w:rsidRPr="001F185D" w:rsidRDefault="009C54D9" w:rsidP="009C54D9">
              <w:pPr>
                <w:overflowPunct w:val="0"/>
                <w:adjustRightInd w:val="0"/>
                <w:snapToGrid w:val="0"/>
                <w:ind w:firstLine="442"/>
                <w:rPr>
                  <w:rFonts w:cs="Arial"/>
                  <w:sz w:val="22"/>
                  <w:szCs w:val="22"/>
                </w:rPr>
              </w:pPr>
            </w:p>
            <w:p w:rsidR="009C54D9" w:rsidRPr="001F185D" w:rsidRDefault="009C54D9" w:rsidP="009C54D9">
              <w:pPr>
                <w:overflowPunct w:val="0"/>
                <w:adjustRightInd w:val="0"/>
                <w:snapToGrid w:val="0"/>
                <w:ind w:firstLine="442"/>
                <w:rPr>
                  <w:rFonts w:cs="Arial"/>
                  <w:sz w:val="22"/>
                  <w:szCs w:val="22"/>
                </w:rPr>
              </w:pPr>
            </w:p>
            <w:p w:rsidR="009C54D9" w:rsidRPr="001F185D" w:rsidRDefault="009C54D9" w:rsidP="009C54D9">
              <w:pPr>
                <w:overflowPunct w:val="0"/>
                <w:adjustRightInd w:val="0"/>
                <w:snapToGrid w:val="0"/>
                <w:ind w:firstLine="442"/>
                <w:rPr>
                  <w:rFonts w:cs="Arial"/>
                  <w:sz w:val="22"/>
                  <w:szCs w:val="22"/>
                </w:rPr>
              </w:pPr>
            </w:p>
            <w:p w:rsidR="009C54D9" w:rsidRPr="001F185D" w:rsidRDefault="009C54D9" w:rsidP="009C54D9">
              <w:pPr>
                <w:overflowPunct w:val="0"/>
                <w:adjustRightInd w:val="0"/>
                <w:snapToGrid w:val="0"/>
                <w:ind w:firstLine="442"/>
                <w:rPr>
                  <w:rFonts w:cs="Arial"/>
                  <w:sz w:val="22"/>
                  <w:szCs w:val="22"/>
                </w:rPr>
              </w:pPr>
            </w:p>
            <w:p w:rsidR="009C54D9" w:rsidRPr="001F185D" w:rsidRDefault="009C54D9" w:rsidP="009C54D9">
              <w:pPr>
                <w:tabs>
                  <w:tab w:val="left" w:pos="5387"/>
                </w:tabs>
                <w:overflowPunct w:val="0"/>
                <w:adjustRightInd w:val="0"/>
                <w:snapToGrid w:val="0"/>
                <w:ind w:firstLine="442"/>
                <w:rPr>
                  <w:rFonts w:cs="Arial"/>
                  <w:sz w:val="22"/>
                  <w:szCs w:val="22"/>
                </w:rPr>
              </w:pPr>
              <w:r w:rsidRPr="001F185D">
                <w:rPr>
                  <w:rFonts w:cs="Arial" w:hint="eastAsia"/>
                  <w:sz w:val="22"/>
                  <w:szCs w:val="22"/>
                </w:rPr>
                <w:t>中国 北京</w:t>
              </w:r>
              <w:r w:rsidRPr="001F185D">
                <w:rPr>
                  <w:rFonts w:cs="Arial" w:hint="eastAsia"/>
                  <w:sz w:val="22"/>
                  <w:szCs w:val="22"/>
                </w:rPr>
                <w:tab/>
                <w:t>曹璐</w:t>
              </w:r>
            </w:p>
            <w:p w:rsidR="009C54D9" w:rsidRPr="001F185D" w:rsidRDefault="009C54D9" w:rsidP="009C54D9">
              <w:pPr>
                <w:overflowPunct w:val="0"/>
                <w:adjustRightInd w:val="0"/>
                <w:snapToGrid w:val="0"/>
                <w:ind w:firstLine="442"/>
                <w:rPr>
                  <w:rFonts w:cs="Arial"/>
                  <w:sz w:val="22"/>
                  <w:szCs w:val="22"/>
                </w:rPr>
              </w:pPr>
            </w:p>
            <w:p w:rsidR="00806678" w:rsidRDefault="009C54D9" w:rsidP="009C54D9">
              <w:r w:rsidRPr="001F185D">
                <w:rPr>
                  <w:rFonts w:cs="Arial" w:hint="eastAsia"/>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t xml:space="preserve">   </w:t>
              </w:r>
              <w:r w:rsidRPr="001F185D">
                <w:rPr>
                  <w:rFonts w:cs="Arial"/>
                  <w:sz w:val="22"/>
                  <w:szCs w:val="22"/>
                </w:rPr>
                <w:t>2023</w:t>
              </w:r>
              <w:r w:rsidRPr="001F185D">
                <w:rPr>
                  <w:rFonts w:cs="Arial" w:hint="eastAsia"/>
                  <w:sz w:val="22"/>
                  <w:szCs w:val="22"/>
                </w:rPr>
                <w:t>年</w:t>
              </w:r>
              <w:r w:rsidRPr="001F185D">
                <w:rPr>
                  <w:rFonts w:cs="Arial"/>
                  <w:sz w:val="22"/>
                  <w:szCs w:val="22"/>
                </w:rPr>
                <w:t>4</w:t>
              </w:r>
              <w:r w:rsidRPr="001F185D">
                <w:rPr>
                  <w:rFonts w:cs="Arial" w:hint="eastAsia"/>
                  <w:sz w:val="22"/>
                  <w:szCs w:val="22"/>
                </w:rPr>
                <w:t>月</w:t>
              </w:r>
              <w:r w:rsidRPr="001F185D">
                <w:rPr>
                  <w:rFonts w:cs="Arial"/>
                  <w:sz w:val="22"/>
                  <w:szCs w:val="22"/>
                </w:rPr>
                <w:t>25</w:t>
              </w:r>
              <w:r w:rsidRPr="001F185D">
                <w:rPr>
                  <w:rFonts w:cs="Arial" w:hint="eastAsia"/>
                  <w:sz w:val="22"/>
                  <w:szCs w:val="22"/>
                </w:rPr>
                <w:t>日</w:t>
              </w:r>
            </w:p>
          </w:sdtContent>
        </w:sdt>
      </w:sdtContent>
    </w:sdt>
    <w:p w:rsidR="009C54D9" w:rsidRDefault="009C54D9">
      <w:pPr>
        <w:sectPr w:rsidR="009C54D9" w:rsidSect="007D5CB5">
          <w:pgSz w:w="11906" w:h="16838"/>
          <w:pgMar w:top="1525" w:right="1276" w:bottom="1440" w:left="1797" w:header="856" w:footer="992" w:gutter="0"/>
          <w:cols w:space="425"/>
          <w:docGrid w:linePitch="312"/>
        </w:sectPr>
      </w:pPr>
    </w:p>
    <w:p w:rsidR="00806678" w:rsidRDefault="00B16377" w:rsidP="00FF17C7">
      <w:pPr>
        <w:pStyle w:val="2"/>
        <w:numPr>
          <w:ilvl w:val="0"/>
          <w:numId w:val="37"/>
        </w:numPr>
        <w:rPr>
          <w:rFonts w:ascii="宋体" w:hAnsi="宋体"/>
        </w:rPr>
      </w:pPr>
      <w:r>
        <w:rPr>
          <w:rFonts w:ascii="宋体" w:hAnsi="宋体" w:hint="eastAsia"/>
        </w:rPr>
        <w:lastRenderedPageBreak/>
        <w:t>财务报表</w:t>
      </w:r>
      <w:bookmarkStart w:id="126" w:name="_Hlk24034092"/>
    </w:p>
    <w:sdt>
      <w:sdtPr>
        <w:rPr>
          <w:rFonts w:ascii="宋体" w:hAnsi="宋体" w:cs="宋体" w:hint="eastAsia"/>
          <w:b w:val="0"/>
          <w:bCs w:val="0"/>
          <w:kern w:val="0"/>
          <w:szCs w:val="24"/>
        </w:rPr>
        <w:alias w:val="选项模块:需要编制合并报表"/>
        <w:tag w:val="_SEC_cc37a84cf19b441f93487bfd1de48f00"/>
        <w:id w:val="-289056356"/>
        <w:lock w:val="sdtLocked"/>
        <w:placeholder>
          <w:docPart w:val="GBC22222222222222222222222222222"/>
        </w:placeholder>
      </w:sdtPr>
      <w:sdtEndPr>
        <w:rPr>
          <w:rFonts w:hint="default"/>
        </w:rPr>
      </w:sdtEndPr>
      <w:sdtContent>
        <w:bookmarkEnd w:id="126" w:displacedByCustomXml="next"/>
        <w:sdt>
          <w:sdtPr>
            <w:rPr>
              <w:rFonts w:ascii="宋体" w:hAnsi="宋体" w:cs="宋体" w:hint="eastAsia"/>
              <w:b w:val="0"/>
              <w:bCs w:val="0"/>
              <w:kern w:val="0"/>
              <w:szCs w:val="24"/>
            </w:rPr>
            <w:tag w:val="_SEC_da8537716f844d348642866e2e19ed15"/>
            <w:id w:val="-273025745"/>
            <w:lock w:val="sdtLocked"/>
            <w:placeholder>
              <w:docPart w:val="GBC22222222222222222222222222222"/>
            </w:placeholder>
          </w:sdtPr>
          <w:sdtEndPr>
            <w:rPr>
              <w:rFonts w:hint="default"/>
              <w:color w:val="008000"/>
              <w:szCs w:val="21"/>
              <w:u w:val="single"/>
            </w:rPr>
          </w:sdtEndPr>
          <w:sdtContent>
            <w:p w:rsidR="00806678" w:rsidRDefault="00B16377">
              <w:pPr>
                <w:pStyle w:val="3"/>
                <w:jc w:val="center"/>
              </w:pPr>
              <w:r>
                <w:rPr>
                  <w:rFonts w:hint="eastAsia"/>
                </w:rPr>
                <w:t>合并资产负债表</w:t>
              </w:r>
            </w:p>
            <w:p w:rsidR="00806678" w:rsidRDefault="00B16377">
              <w:pPr>
                <w:snapToGrid w:val="0"/>
                <w:spacing w:line="240" w:lineRule="atLeast"/>
                <w:jc w:val="center"/>
                <w:rPr>
                  <w:b/>
                  <w:szCs w:val="21"/>
                </w:rPr>
              </w:pPr>
              <w:r>
                <w:rPr>
                  <w:szCs w:val="21"/>
                </w:rPr>
                <w:t>2022年12月31日</w:t>
              </w:r>
            </w:p>
            <w:p w:rsidR="00806678" w:rsidRDefault="00B16377">
              <w:pPr>
                <w:rPr>
                  <w:szCs w:val="21"/>
                </w:rPr>
              </w:pPr>
              <w:r>
                <w:rPr>
                  <w:szCs w:val="21"/>
                </w:rPr>
                <w:t xml:space="preserve">编制单位: </w:t>
              </w:r>
              <w:sdt>
                <w:sdtPr>
                  <w:rPr>
                    <w:szCs w:val="21"/>
                  </w:rPr>
                  <w:alias w:val="公司法定中文名称"/>
                  <w:tag w:val="_GBC_22071e1c4bb04578b94539b252cb1c67"/>
                  <w:id w:val="934245854"/>
                  <w:lock w:val="sdtLocked"/>
                  <w:placeholder>
                    <w:docPart w:val="GBC22222222222222222222222222222"/>
                  </w:placeholder>
                  <w:dataBinding w:prefixMappings="xmlns:clcid-cgi='clcid-cgi'" w:xpath="/*/clcid-cgi:GongSiFaDingZhongWenMingCheng[not(@periodRef)]" w:storeItemID="{89EBAB94-44A0-46A2-B712-30D997D04A6D}"/>
                  <w:text/>
                </w:sdtPr>
                <w:sdtContent>
                  <w:r w:rsidR="00AD579F">
                    <w:rPr>
                      <w:rFonts w:hint="eastAsia"/>
                      <w:szCs w:val="21"/>
                    </w:rPr>
                    <w:t>大秦铁路股份有限公司</w:t>
                  </w:r>
                </w:sdtContent>
              </w:sdt>
            </w:p>
            <w:p w:rsidR="00806678" w:rsidRDefault="00B16377">
              <w:pPr>
                <w:jc w:val="right"/>
                <w:rPr>
                  <w:szCs w:val="21"/>
                </w:rPr>
              </w:pPr>
              <w:r>
                <w:rPr>
                  <w:szCs w:val="21"/>
                </w:rPr>
                <w:t>单位:</w:t>
              </w:r>
              <w:sdt>
                <w:sdtPr>
                  <w:rPr>
                    <w:szCs w:val="21"/>
                  </w:rPr>
                  <w:alias w:val="单位：合并资产负债表"/>
                  <w:tag w:val="_GBC_8c6918f285a44e0f8fb06fefffa27df4"/>
                  <w:id w:val="31130752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sdt>
                <w:sdtPr>
                  <w:rPr>
                    <w:szCs w:val="21"/>
                  </w:rPr>
                  <w:alias w:val="币种：合并资产负债表"/>
                  <w:tag w:val="_GBC_0953b26208a64010937af0b40efed509"/>
                  <w:id w:val="79988603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4994" w:type="pct"/>
                <w:tblBorders>
                  <w:top w:val="single" w:sz="4" w:space="0" w:color="auto"/>
                  <w:left w:val="single" w:sz="4" w:space="0" w:color="auto"/>
                  <w:bottom w:val="single" w:sz="4" w:space="0" w:color="auto"/>
                  <w:right w:val="single" w:sz="4" w:space="0" w:color="auto"/>
                </w:tblBorders>
                <w:tblLook w:val="0000"/>
              </w:tblPr>
              <w:tblGrid>
                <w:gridCol w:w="2944"/>
                <w:gridCol w:w="1133"/>
                <w:gridCol w:w="2551"/>
                <w:gridCol w:w="2410"/>
              </w:tblGrid>
              <w:tr w:rsidR="00806678" w:rsidTr="00EC233F">
                <w:sdt>
                  <w:sdtPr>
                    <w:tag w:val="_PLD_84c27050653a48c5a546a57ae8416994"/>
                    <w:id w:val="-149364339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06678" w:rsidRDefault="00B16377">
                        <w:pPr>
                          <w:jc w:val="center"/>
                          <w:rPr>
                            <w:b/>
                            <w:szCs w:val="21"/>
                          </w:rPr>
                        </w:pPr>
                        <w:r>
                          <w:rPr>
                            <w:b/>
                            <w:szCs w:val="21"/>
                          </w:rPr>
                          <w:t>项目</w:t>
                        </w:r>
                      </w:p>
                    </w:tc>
                  </w:sdtContent>
                </w:sdt>
                <w:sdt>
                  <w:sdtPr>
                    <w:tag w:val="_PLD_8ac07e922cfc49539af3e18b6fb1e9ef"/>
                    <w:id w:val="-689840614"/>
                    <w:lock w:val="sdtLocked"/>
                  </w:sdtPr>
                  <w:sdtContent>
                    <w:tc>
                      <w:tcPr>
                        <w:tcW w:w="627" w:type="pct"/>
                        <w:tcBorders>
                          <w:top w:val="outset" w:sz="6" w:space="0" w:color="auto"/>
                          <w:left w:val="outset" w:sz="6" w:space="0" w:color="auto"/>
                          <w:bottom w:val="outset" w:sz="6" w:space="0" w:color="auto"/>
                          <w:right w:val="outset" w:sz="6" w:space="0" w:color="auto"/>
                        </w:tcBorders>
                        <w:vAlign w:val="center"/>
                      </w:tcPr>
                      <w:p w:rsidR="00806678" w:rsidRDefault="00B16377">
                        <w:pPr>
                          <w:jc w:val="center"/>
                          <w:rPr>
                            <w:b/>
                            <w:szCs w:val="21"/>
                          </w:rPr>
                        </w:pPr>
                        <w:r>
                          <w:rPr>
                            <w:rFonts w:hint="eastAsia"/>
                            <w:b/>
                            <w:szCs w:val="21"/>
                          </w:rPr>
                          <w:t>附注</w:t>
                        </w:r>
                      </w:p>
                    </w:tc>
                  </w:sdtContent>
                </w:sdt>
                <w:sdt>
                  <w:sdtPr>
                    <w:tag w:val="_PLD_6a3e769a95b74706b81a9893b779573c"/>
                    <w:id w:val="-471606835"/>
                    <w:lock w:val="sdtLocked"/>
                  </w:sdtPr>
                  <w:sdtContent>
                    <w:tc>
                      <w:tcPr>
                        <w:tcW w:w="1411" w:type="pct"/>
                        <w:tcBorders>
                          <w:top w:val="outset" w:sz="6" w:space="0" w:color="auto"/>
                          <w:left w:val="outset" w:sz="6" w:space="0" w:color="auto"/>
                          <w:bottom w:val="outset" w:sz="6" w:space="0" w:color="auto"/>
                          <w:right w:val="outset" w:sz="6" w:space="0" w:color="auto"/>
                        </w:tcBorders>
                        <w:vAlign w:val="center"/>
                      </w:tcPr>
                      <w:p w:rsidR="00806678" w:rsidRDefault="00B16377">
                        <w:pPr>
                          <w:jc w:val="center"/>
                          <w:rPr>
                            <w:b/>
                            <w:szCs w:val="21"/>
                          </w:rPr>
                        </w:pPr>
                        <w:r>
                          <w:rPr>
                            <w:rFonts w:hint="eastAsia"/>
                            <w:b/>
                          </w:rPr>
                          <w:t>2022年1</w:t>
                        </w:r>
                        <w:r>
                          <w:rPr>
                            <w:b/>
                          </w:rPr>
                          <w:t>2</w:t>
                        </w:r>
                        <w:r>
                          <w:rPr>
                            <w:rFonts w:hint="eastAsia"/>
                            <w:b/>
                          </w:rPr>
                          <w:t>月</w:t>
                        </w:r>
                        <w:r>
                          <w:rPr>
                            <w:b/>
                          </w:rPr>
                          <w:t>31</w:t>
                        </w:r>
                        <w:r>
                          <w:rPr>
                            <w:rFonts w:hint="eastAsia"/>
                            <w:b/>
                          </w:rPr>
                          <w:t>日</w:t>
                        </w:r>
                      </w:p>
                    </w:tc>
                  </w:sdtContent>
                </w:sdt>
                <w:sdt>
                  <w:sdtPr>
                    <w:tag w:val="_PLD_3c9a89d7045e40ff9c0f81ac747711c4"/>
                    <w:id w:val="-247190982"/>
                    <w:lock w:val="sdtLocked"/>
                  </w:sdtPr>
                  <w:sdtContent>
                    <w:tc>
                      <w:tcPr>
                        <w:tcW w:w="1333" w:type="pct"/>
                        <w:tcBorders>
                          <w:top w:val="outset" w:sz="6" w:space="0" w:color="auto"/>
                          <w:left w:val="outset" w:sz="6" w:space="0" w:color="auto"/>
                          <w:bottom w:val="outset" w:sz="6" w:space="0" w:color="auto"/>
                          <w:right w:val="outset" w:sz="6" w:space="0" w:color="auto"/>
                        </w:tcBorders>
                        <w:vAlign w:val="center"/>
                      </w:tcPr>
                      <w:p w:rsidR="00806678" w:rsidRDefault="00B16377">
                        <w:pPr>
                          <w:jc w:val="center"/>
                          <w:rPr>
                            <w:b/>
                            <w:szCs w:val="21"/>
                          </w:rPr>
                        </w:pPr>
                        <w:r>
                          <w:rPr>
                            <w:rFonts w:hint="eastAsia"/>
                            <w:b/>
                            <w:szCs w:val="21"/>
                          </w:rPr>
                          <w:t>2021年12月31日</w:t>
                        </w:r>
                      </w:p>
                    </w:tc>
                  </w:sdtContent>
                </w:sdt>
              </w:tr>
              <w:tr w:rsidR="00806678" w:rsidTr="00713F20">
                <w:sdt>
                  <w:sdtPr>
                    <w:tag w:val="_PLD_ddefc78a30fc4d35a7bb6c1f0057e4ef"/>
                    <w:id w:val="1212389581"/>
                    <w:lock w:val="sdtLocked"/>
                  </w:sdtPr>
                  <w:sdtContent>
                    <w:tc>
                      <w:tcPr>
                        <w:tcW w:w="5000" w:type="pct"/>
                        <w:gridSpan w:val="4"/>
                        <w:tcBorders>
                          <w:top w:val="outset" w:sz="6" w:space="0" w:color="auto"/>
                          <w:left w:val="outset" w:sz="6" w:space="0" w:color="auto"/>
                          <w:bottom w:val="outset" w:sz="6" w:space="0" w:color="auto"/>
                          <w:right w:val="outset" w:sz="6" w:space="0" w:color="auto"/>
                        </w:tcBorders>
                        <w:vAlign w:val="center"/>
                      </w:tcPr>
                      <w:p w:rsidR="00806678" w:rsidRDefault="00B16377">
                        <w:pPr>
                          <w:rPr>
                            <w:b/>
                            <w:color w:val="FF00FF"/>
                            <w:szCs w:val="21"/>
                          </w:rPr>
                        </w:pPr>
                        <w:r>
                          <w:rPr>
                            <w:rFonts w:hint="eastAsia"/>
                            <w:b/>
                            <w:bCs/>
                            <w:szCs w:val="21"/>
                          </w:rPr>
                          <w:t>流动资产：</w:t>
                        </w:r>
                      </w:p>
                    </w:tc>
                  </w:sdtContent>
                </w:sdt>
              </w:tr>
              <w:tr w:rsidR="00806678" w:rsidTr="00EC233F">
                <w:sdt>
                  <w:sdtPr>
                    <w:tag w:val="_PLD_4896ee318f0d4038ae7d704afdab1bd7"/>
                    <w:id w:val="119627581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06678" w:rsidRDefault="00B16377">
                        <w:pPr>
                          <w:ind w:firstLineChars="100" w:firstLine="210"/>
                          <w:rPr>
                            <w:szCs w:val="21"/>
                          </w:rPr>
                        </w:pPr>
                        <w:r>
                          <w:rPr>
                            <w:rFonts w:hint="eastAsia"/>
                            <w:szCs w:val="21"/>
                          </w:rPr>
                          <w:t>货币资金</w:t>
                        </w:r>
                      </w:p>
                    </w:tc>
                  </w:sdtContent>
                </w:sdt>
                <w:tc>
                  <w:tcPr>
                    <w:tcW w:w="627" w:type="pct"/>
                    <w:tcBorders>
                      <w:top w:val="outset" w:sz="6" w:space="0" w:color="auto"/>
                      <w:left w:val="outset" w:sz="6" w:space="0" w:color="auto"/>
                      <w:bottom w:val="outset" w:sz="6" w:space="0" w:color="auto"/>
                      <w:right w:val="outset" w:sz="6" w:space="0" w:color="auto"/>
                    </w:tcBorders>
                  </w:tcPr>
                  <w:p w:rsidR="00806678" w:rsidRDefault="003A0F3D" w:rsidP="003A0F3D">
                    <w:pPr>
                      <w:tabs>
                        <w:tab w:val="left" w:pos="595"/>
                      </w:tabs>
                      <w:rPr>
                        <w:szCs w:val="21"/>
                      </w:rPr>
                    </w:pPr>
                    <w:r>
                      <w:rPr>
                        <w:rFonts w:hint="eastAsia"/>
                        <w:szCs w:val="21"/>
                      </w:rPr>
                      <w:t>七</w:t>
                    </w:r>
                    <w:r w:rsidRPr="003A0F3D">
                      <w:rPr>
                        <w:rFonts w:hint="eastAsia"/>
                        <w:szCs w:val="21"/>
                      </w:rPr>
                      <w:t>、</w:t>
                    </w:r>
                    <w:r w:rsidRPr="003A0F3D">
                      <w:rPr>
                        <w:szCs w:val="21"/>
                      </w:rPr>
                      <w:t>1</w:t>
                    </w:r>
                  </w:p>
                </w:tc>
                <w:tc>
                  <w:tcPr>
                    <w:tcW w:w="1411" w:type="pct"/>
                    <w:tcBorders>
                      <w:top w:val="outset" w:sz="6" w:space="0" w:color="auto"/>
                      <w:left w:val="outset" w:sz="6" w:space="0" w:color="auto"/>
                      <w:bottom w:val="outset" w:sz="6" w:space="0" w:color="auto"/>
                      <w:right w:val="outset" w:sz="6" w:space="0" w:color="auto"/>
                    </w:tcBorders>
                  </w:tcPr>
                  <w:p w:rsidR="00806678" w:rsidRDefault="003A0F3D">
                    <w:pPr>
                      <w:jc w:val="right"/>
                      <w:rPr>
                        <w:szCs w:val="21"/>
                      </w:rPr>
                    </w:pPr>
                    <w:r w:rsidRPr="003A0F3D">
                      <w:rPr>
                        <w:szCs w:val="21"/>
                      </w:rPr>
                      <w:t>62,603,497,384</w:t>
                    </w:r>
                  </w:p>
                </w:tc>
                <w:tc>
                  <w:tcPr>
                    <w:tcW w:w="1333" w:type="pct"/>
                    <w:tcBorders>
                      <w:top w:val="outset" w:sz="6" w:space="0" w:color="auto"/>
                      <w:left w:val="outset" w:sz="6" w:space="0" w:color="auto"/>
                      <w:bottom w:val="outset" w:sz="6" w:space="0" w:color="auto"/>
                      <w:right w:val="outset" w:sz="6" w:space="0" w:color="auto"/>
                    </w:tcBorders>
                  </w:tcPr>
                  <w:p w:rsidR="00806678" w:rsidRDefault="003A0F3D">
                    <w:pPr>
                      <w:jc w:val="right"/>
                      <w:rPr>
                        <w:szCs w:val="21"/>
                      </w:rPr>
                    </w:pPr>
                    <w:r w:rsidRPr="003A0F3D">
                      <w:rPr>
                        <w:szCs w:val="21"/>
                      </w:rPr>
                      <w:t>59,416,293,080</w:t>
                    </w:r>
                  </w:p>
                </w:tc>
              </w:tr>
              <w:tr w:rsidR="00806678" w:rsidTr="00EC233F">
                <w:sdt>
                  <w:sdtPr>
                    <w:tag w:val="_PLD_cea0ab1c8153445f881a8334334308f5"/>
                    <w:id w:val="-149147868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06678" w:rsidRDefault="00B16377">
                        <w:pPr>
                          <w:ind w:firstLineChars="100" w:firstLine="210"/>
                          <w:rPr>
                            <w:szCs w:val="21"/>
                          </w:rPr>
                        </w:pPr>
                        <w:r>
                          <w:rPr>
                            <w:rFonts w:hint="eastAsia"/>
                            <w:szCs w:val="21"/>
                          </w:rPr>
                          <w:t>结算备付金</w:t>
                        </w:r>
                      </w:p>
                    </w:tc>
                  </w:sdtContent>
                </w:sdt>
                <w:tc>
                  <w:tcPr>
                    <w:tcW w:w="627" w:type="pct"/>
                    <w:tcBorders>
                      <w:top w:val="outset" w:sz="6" w:space="0" w:color="auto"/>
                      <w:left w:val="outset" w:sz="6" w:space="0" w:color="auto"/>
                      <w:bottom w:val="outset" w:sz="6" w:space="0" w:color="auto"/>
                      <w:right w:val="outset" w:sz="6" w:space="0" w:color="auto"/>
                    </w:tcBorders>
                  </w:tcPr>
                  <w:p w:rsidR="00806678" w:rsidRDefault="00806678">
                    <w:pPr>
                      <w:rPr>
                        <w:szCs w:val="21"/>
                      </w:rPr>
                    </w:pPr>
                  </w:p>
                </w:tc>
                <w:tc>
                  <w:tcPr>
                    <w:tcW w:w="1411" w:type="pct"/>
                    <w:tcBorders>
                      <w:top w:val="outset" w:sz="6" w:space="0" w:color="auto"/>
                      <w:left w:val="outset" w:sz="6" w:space="0" w:color="auto"/>
                      <w:bottom w:val="outset" w:sz="6" w:space="0" w:color="auto"/>
                      <w:right w:val="outset" w:sz="6" w:space="0" w:color="auto"/>
                    </w:tcBorders>
                  </w:tcPr>
                  <w:p w:rsidR="00806678" w:rsidRDefault="00806678">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806678" w:rsidRDefault="00806678">
                    <w:pPr>
                      <w:jc w:val="right"/>
                      <w:rPr>
                        <w:szCs w:val="21"/>
                      </w:rPr>
                    </w:pPr>
                  </w:p>
                </w:tc>
              </w:tr>
              <w:tr w:rsidR="00806678" w:rsidTr="00EC233F">
                <w:sdt>
                  <w:sdtPr>
                    <w:tag w:val="_PLD_54142e49bd264c85b9d257be7a4cf7d5"/>
                    <w:id w:val="-37824089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06678" w:rsidRDefault="00B16377">
                        <w:pPr>
                          <w:ind w:firstLineChars="100" w:firstLine="210"/>
                          <w:rPr>
                            <w:szCs w:val="21"/>
                          </w:rPr>
                        </w:pPr>
                        <w:r>
                          <w:rPr>
                            <w:rFonts w:hint="eastAsia"/>
                            <w:szCs w:val="21"/>
                          </w:rPr>
                          <w:t>拆出资金</w:t>
                        </w:r>
                      </w:p>
                    </w:tc>
                  </w:sdtContent>
                </w:sdt>
                <w:tc>
                  <w:tcPr>
                    <w:tcW w:w="627" w:type="pct"/>
                    <w:tcBorders>
                      <w:top w:val="outset" w:sz="6" w:space="0" w:color="auto"/>
                      <w:left w:val="outset" w:sz="6" w:space="0" w:color="auto"/>
                      <w:bottom w:val="outset" w:sz="6" w:space="0" w:color="auto"/>
                      <w:right w:val="outset" w:sz="6" w:space="0" w:color="auto"/>
                    </w:tcBorders>
                  </w:tcPr>
                  <w:p w:rsidR="00806678" w:rsidRDefault="00806678">
                    <w:pPr>
                      <w:rPr>
                        <w:szCs w:val="21"/>
                      </w:rPr>
                    </w:pPr>
                  </w:p>
                </w:tc>
                <w:tc>
                  <w:tcPr>
                    <w:tcW w:w="1411" w:type="pct"/>
                    <w:tcBorders>
                      <w:top w:val="outset" w:sz="6" w:space="0" w:color="auto"/>
                      <w:left w:val="outset" w:sz="6" w:space="0" w:color="auto"/>
                      <w:bottom w:val="outset" w:sz="6" w:space="0" w:color="auto"/>
                      <w:right w:val="outset" w:sz="6" w:space="0" w:color="auto"/>
                    </w:tcBorders>
                  </w:tcPr>
                  <w:p w:rsidR="00806678" w:rsidRDefault="00806678">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806678" w:rsidRDefault="00806678">
                    <w:pPr>
                      <w:jc w:val="right"/>
                      <w:rPr>
                        <w:szCs w:val="21"/>
                      </w:rPr>
                    </w:pPr>
                  </w:p>
                </w:tc>
              </w:tr>
              <w:tr w:rsidR="00806678" w:rsidTr="00EC233F">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17de5e55066e485e9c4e733d5eeeb780"/>
                      <w:id w:val="-748800704"/>
                      <w:lock w:val="sdtLocked"/>
                    </w:sdtPr>
                    <w:sdtContent>
                      <w:p w:rsidR="00806678" w:rsidRDefault="00B16377">
                        <w:pPr>
                          <w:ind w:firstLineChars="100" w:firstLine="210"/>
                        </w:pPr>
                        <w:r>
                          <w:rPr>
                            <w:rFonts w:hint="eastAsia"/>
                          </w:rPr>
                          <w:t>交易性金融资产</w:t>
                        </w:r>
                      </w:p>
                    </w:sdtContent>
                  </w:sdt>
                </w:tc>
                <w:tc>
                  <w:tcPr>
                    <w:tcW w:w="627" w:type="pct"/>
                    <w:tcBorders>
                      <w:top w:val="outset" w:sz="6" w:space="0" w:color="auto"/>
                      <w:left w:val="outset" w:sz="6" w:space="0" w:color="auto"/>
                      <w:bottom w:val="outset" w:sz="6" w:space="0" w:color="auto"/>
                      <w:right w:val="outset" w:sz="6" w:space="0" w:color="auto"/>
                    </w:tcBorders>
                  </w:tcPr>
                  <w:p w:rsidR="00806678" w:rsidRDefault="00806678">
                    <w:pPr>
                      <w:rPr>
                        <w:szCs w:val="21"/>
                      </w:rPr>
                    </w:pPr>
                  </w:p>
                </w:tc>
                <w:tc>
                  <w:tcPr>
                    <w:tcW w:w="1411" w:type="pct"/>
                    <w:tcBorders>
                      <w:top w:val="outset" w:sz="6" w:space="0" w:color="auto"/>
                      <w:left w:val="outset" w:sz="6" w:space="0" w:color="auto"/>
                      <w:bottom w:val="outset" w:sz="6" w:space="0" w:color="auto"/>
                      <w:right w:val="outset" w:sz="6" w:space="0" w:color="auto"/>
                    </w:tcBorders>
                  </w:tcPr>
                  <w:p w:rsidR="00806678" w:rsidRDefault="00806678">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806678" w:rsidRDefault="00806678">
                    <w:pPr>
                      <w:jc w:val="right"/>
                      <w:rPr>
                        <w:szCs w:val="21"/>
                      </w:rPr>
                    </w:pPr>
                  </w:p>
                </w:tc>
              </w:tr>
              <w:tr w:rsidR="00806678" w:rsidTr="00EC233F">
                <w:sdt>
                  <w:sdtPr>
                    <w:tag w:val="_PLD_b7a1b72788b14776a6795a95670dd650"/>
                    <w:id w:val="-9972511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06678" w:rsidRDefault="00B16377">
                        <w:pPr>
                          <w:ind w:firstLineChars="100" w:firstLine="210"/>
                          <w:rPr>
                            <w:szCs w:val="21"/>
                          </w:rPr>
                        </w:pPr>
                        <w:r>
                          <w:rPr>
                            <w:rFonts w:hint="eastAsia"/>
                            <w:szCs w:val="21"/>
                          </w:rPr>
                          <w:t>衍生金融资产</w:t>
                        </w:r>
                      </w:p>
                    </w:tc>
                  </w:sdtContent>
                </w:sdt>
                <w:tc>
                  <w:tcPr>
                    <w:tcW w:w="627" w:type="pct"/>
                    <w:tcBorders>
                      <w:top w:val="outset" w:sz="6" w:space="0" w:color="auto"/>
                      <w:left w:val="outset" w:sz="6" w:space="0" w:color="auto"/>
                      <w:bottom w:val="outset" w:sz="6" w:space="0" w:color="auto"/>
                      <w:right w:val="outset" w:sz="6" w:space="0" w:color="auto"/>
                    </w:tcBorders>
                  </w:tcPr>
                  <w:p w:rsidR="00806678" w:rsidRDefault="00806678">
                    <w:pPr>
                      <w:rPr>
                        <w:szCs w:val="21"/>
                      </w:rPr>
                    </w:pPr>
                  </w:p>
                </w:tc>
                <w:tc>
                  <w:tcPr>
                    <w:tcW w:w="1411" w:type="pct"/>
                    <w:tcBorders>
                      <w:top w:val="outset" w:sz="6" w:space="0" w:color="auto"/>
                      <w:left w:val="outset" w:sz="6" w:space="0" w:color="auto"/>
                      <w:bottom w:val="outset" w:sz="6" w:space="0" w:color="auto"/>
                      <w:right w:val="outset" w:sz="6" w:space="0" w:color="auto"/>
                    </w:tcBorders>
                  </w:tcPr>
                  <w:p w:rsidR="00806678" w:rsidRDefault="00806678">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806678" w:rsidRDefault="00806678">
                    <w:pPr>
                      <w:jc w:val="right"/>
                      <w:rPr>
                        <w:szCs w:val="21"/>
                      </w:rPr>
                    </w:pPr>
                  </w:p>
                </w:tc>
              </w:tr>
              <w:tr w:rsidR="00806678" w:rsidTr="00EC233F">
                <w:sdt>
                  <w:sdtPr>
                    <w:tag w:val="_PLD_cff51ff009ab4484837b5ff89a017e65"/>
                    <w:id w:val="-138702749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806678" w:rsidRDefault="00B16377">
                        <w:pPr>
                          <w:ind w:firstLineChars="100" w:firstLine="210"/>
                          <w:rPr>
                            <w:szCs w:val="21"/>
                          </w:rPr>
                        </w:pPr>
                        <w:r>
                          <w:rPr>
                            <w:rFonts w:hint="eastAsia"/>
                            <w:szCs w:val="21"/>
                          </w:rPr>
                          <w:t>应收票据</w:t>
                        </w:r>
                      </w:p>
                    </w:tc>
                  </w:sdtContent>
                </w:sdt>
                <w:tc>
                  <w:tcPr>
                    <w:tcW w:w="627" w:type="pct"/>
                    <w:tcBorders>
                      <w:top w:val="outset" w:sz="6" w:space="0" w:color="auto"/>
                      <w:left w:val="outset" w:sz="6" w:space="0" w:color="auto"/>
                      <w:bottom w:val="outset" w:sz="6" w:space="0" w:color="auto"/>
                      <w:right w:val="outset" w:sz="6" w:space="0" w:color="auto"/>
                    </w:tcBorders>
                  </w:tcPr>
                  <w:p w:rsidR="00806678" w:rsidRDefault="00806678">
                    <w:pPr>
                      <w:rPr>
                        <w:szCs w:val="21"/>
                      </w:rPr>
                    </w:pPr>
                  </w:p>
                </w:tc>
                <w:tc>
                  <w:tcPr>
                    <w:tcW w:w="1411" w:type="pct"/>
                    <w:tcBorders>
                      <w:top w:val="outset" w:sz="6" w:space="0" w:color="auto"/>
                      <w:left w:val="outset" w:sz="6" w:space="0" w:color="auto"/>
                      <w:bottom w:val="outset" w:sz="6" w:space="0" w:color="auto"/>
                      <w:right w:val="outset" w:sz="6" w:space="0" w:color="auto"/>
                    </w:tcBorders>
                  </w:tcPr>
                  <w:p w:rsidR="00806678" w:rsidRDefault="00806678">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806678" w:rsidRDefault="00806678">
                    <w:pPr>
                      <w:jc w:val="right"/>
                      <w:rPr>
                        <w:szCs w:val="21"/>
                      </w:rPr>
                    </w:pPr>
                  </w:p>
                </w:tc>
              </w:tr>
              <w:tr w:rsidR="003A0F3D" w:rsidTr="00601D47">
                <w:sdt>
                  <w:sdtPr>
                    <w:tag w:val="_PLD_571884d4e9e948fb8c0533cd93fe1e9f"/>
                    <w:id w:val="-138040127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3A0F3D" w:rsidRDefault="003A0F3D" w:rsidP="003A0F3D">
                        <w:pPr>
                          <w:ind w:firstLineChars="100" w:firstLine="210"/>
                          <w:rPr>
                            <w:szCs w:val="21"/>
                          </w:rPr>
                        </w:pPr>
                        <w:r>
                          <w:rPr>
                            <w:rFonts w:hint="eastAsia"/>
                            <w:szCs w:val="21"/>
                          </w:rPr>
                          <w:t>应收账款</w:t>
                        </w:r>
                      </w:p>
                    </w:tc>
                  </w:sdtContent>
                </w:sdt>
                <w:tc>
                  <w:tcPr>
                    <w:tcW w:w="627" w:type="pct"/>
                    <w:tcBorders>
                      <w:top w:val="outset" w:sz="6" w:space="0" w:color="auto"/>
                      <w:left w:val="outset" w:sz="6" w:space="0" w:color="auto"/>
                      <w:bottom w:val="outset" w:sz="6" w:space="0" w:color="auto"/>
                      <w:right w:val="outset" w:sz="6" w:space="0" w:color="auto"/>
                    </w:tcBorders>
                  </w:tcPr>
                  <w:p w:rsidR="003A0F3D" w:rsidRDefault="003A0F3D" w:rsidP="003A0F3D">
                    <w:pPr>
                      <w:rPr>
                        <w:szCs w:val="21"/>
                      </w:rPr>
                    </w:pPr>
                    <w:r w:rsidRPr="003A0F3D">
                      <w:rPr>
                        <w:rFonts w:hint="eastAsia"/>
                        <w:szCs w:val="21"/>
                      </w:rPr>
                      <w:t>七、</w:t>
                    </w:r>
                    <w:r>
                      <w:rPr>
                        <w:rFonts w:hint="eastAsia"/>
                        <w:szCs w:val="21"/>
                      </w:rPr>
                      <w:t>5</w:t>
                    </w:r>
                  </w:p>
                </w:tc>
                <w:tc>
                  <w:tcPr>
                    <w:tcW w:w="1411" w:type="pct"/>
                    <w:tcBorders>
                      <w:top w:val="outset" w:sz="6" w:space="0" w:color="auto"/>
                      <w:left w:val="outset" w:sz="6" w:space="0" w:color="auto"/>
                      <w:bottom w:val="outset" w:sz="6" w:space="0" w:color="auto"/>
                      <w:right w:val="outset" w:sz="6" w:space="0" w:color="auto"/>
                    </w:tcBorders>
                  </w:tcPr>
                  <w:p w:rsidR="003A0F3D" w:rsidRDefault="003A0F3D" w:rsidP="003A0F3D">
                    <w:pPr>
                      <w:jc w:val="right"/>
                      <w:rPr>
                        <w:szCs w:val="21"/>
                      </w:rPr>
                    </w:pPr>
                    <w:r w:rsidRPr="003A0F3D">
                      <w:rPr>
                        <w:szCs w:val="21"/>
                      </w:rPr>
                      <w:t>7,996,516,235</w:t>
                    </w:r>
                  </w:p>
                </w:tc>
                <w:tc>
                  <w:tcPr>
                    <w:tcW w:w="1333" w:type="pct"/>
                    <w:tcBorders>
                      <w:top w:val="outset" w:sz="6" w:space="0" w:color="auto"/>
                      <w:left w:val="outset" w:sz="6" w:space="0" w:color="auto"/>
                      <w:bottom w:val="outset" w:sz="6" w:space="0" w:color="auto"/>
                      <w:right w:val="outset" w:sz="6" w:space="0" w:color="auto"/>
                    </w:tcBorders>
                    <w:vAlign w:val="center"/>
                  </w:tcPr>
                  <w:p w:rsidR="003A0F3D" w:rsidRDefault="003A0F3D" w:rsidP="003A0F3D">
                    <w:pPr>
                      <w:jc w:val="right"/>
                      <w:rPr>
                        <w:szCs w:val="21"/>
                      </w:rPr>
                    </w:pPr>
                    <w:r>
                      <w:t>6,198,022,453</w:t>
                    </w:r>
                  </w:p>
                </w:tc>
              </w:tr>
              <w:tr w:rsidR="003A0F3D" w:rsidTr="00601D47">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ea080cf4bcca410697830ad61baec86c"/>
                      <w:id w:val="-1326895830"/>
                      <w:lock w:val="sdtLocked"/>
                    </w:sdtPr>
                    <w:sdtContent>
                      <w:p w:rsidR="003A0F3D" w:rsidRDefault="003A0F3D" w:rsidP="003A0F3D">
                        <w:pPr>
                          <w:ind w:firstLineChars="100" w:firstLine="210"/>
                        </w:pPr>
                        <w:r>
                          <w:rPr>
                            <w:rFonts w:hint="eastAsia"/>
                          </w:rPr>
                          <w:t>应收款项融资</w:t>
                        </w:r>
                      </w:p>
                    </w:sdtContent>
                  </w:sdt>
                </w:tc>
                <w:tc>
                  <w:tcPr>
                    <w:tcW w:w="627" w:type="pct"/>
                    <w:tcBorders>
                      <w:top w:val="outset" w:sz="6" w:space="0" w:color="auto"/>
                      <w:left w:val="outset" w:sz="6" w:space="0" w:color="auto"/>
                      <w:bottom w:val="outset" w:sz="6" w:space="0" w:color="auto"/>
                      <w:right w:val="outset" w:sz="6" w:space="0" w:color="auto"/>
                    </w:tcBorders>
                  </w:tcPr>
                  <w:p w:rsidR="003A0F3D" w:rsidRDefault="00FE7F64" w:rsidP="003A0F3D">
                    <w:pPr>
                      <w:rPr>
                        <w:szCs w:val="21"/>
                      </w:rPr>
                    </w:pPr>
                    <w:r>
                      <w:rPr>
                        <w:rFonts w:hint="eastAsia"/>
                        <w:szCs w:val="21"/>
                      </w:rPr>
                      <w:t>七、6</w:t>
                    </w:r>
                  </w:p>
                </w:tc>
                <w:tc>
                  <w:tcPr>
                    <w:tcW w:w="1411" w:type="pct"/>
                    <w:tcBorders>
                      <w:top w:val="outset" w:sz="6" w:space="0" w:color="auto"/>
                      <w:left w:val="outset" w:sz="6" w:space="0" w:color="auto"/>
                      <w:bottom w:val="outset" w:sz="6" w:space="0" w:color="auto"/>
                      <w:right w:val="outset" w:sz="6" w:space="0" w:color="auto"/>
                    </w:tcBorders>
                  </w:tcPr>
                  <w:p w:rsidR="003A0F3D" w:rsidRDefault="003A0F3D" w:rsidP="003A0F3D">
                    <w:pPr>
                      <w:jc w:val="right"/>
                      <w:rPr>
                        <w:szCs w:val="21"/>
                      </w:rPr>
                    </w:pPr>
                    <w:r w:rsidRPr="003A0F3D">
                      <w:rPr>
                        <w:szCs w:val="21"/>
                      </w:rPr>
                      <w:t>374,668,679</w:t>
                    </w:r>
                  </w:p>
                </w:tc>
                <w:tc>
                  <w:tcPr>
                    <w:tcW w:w="1333" w:type="pct"/>
                    <w:tcBorders>
                      <w:top w:val="outset" w:sz="6" w:space="0" w:color="auto"/>
                      <w:left w:val="outset" w:sz="6" w:space="0" w:color="auto"/>
                      <w:bottom w:val="outset" w:sz="6" w:space="0" w:color="auto"/>
                      <w:right w:val="outset" w:sz="6" w:space="0" w:color="auto"/>
                    </w:tcBorders>
                    <w:vAlign w:val="center"/>
                  </w:tcPr>
                  <w:p w:rsidR="003A0F3D" w:rsidRDefault="003A0F3D" w:rsidP="003A0F3D">
                    <w:pPr>
                      <w:jc w:val="right"/>
                      <w:rPr>
                        <w:szCs w:val="21"/>
                      </w:rPr>
                    </w:pPr>
                    <w:r>
                      <w:t>454,271,185</w:t>
                    </w:r>
                  </w:p>
                </w:tc>
              </w:tr>
              <w:tr w:rsidR="003A0F3D" w:rsidTr="00601D47">
                <w:sdt>
                  <w:sdtPr>
                    <w:tag w:val="_PLD_8f805e0e851d4c00be24a5e3bbd6c95d"/>
                    <w:id w:val="131914773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3A0F3D" w:rsidRDefault="003A0F3D" w:rsidP="003A0F3D">
                        <w:pPr>
                          <w:ind w:firstLineChars="100" w:firstLine="210"/>
                          <w:rPr>
                            <w:szCs w:val="21"/>
                          </w:rPr>
                        </w:pPr>
                        <w:r>
                          <w:rPr>
                            <w:rFonts w:hint="eastAsia"/>
                            <w:szCs w:val="21"/>
                          </w:rPr>
                          <w:t>预付款项</w:t>
                        </w:r>
                      </w:p>
                    </w:tc>
                  </w:sdtContent>
                </w:sdt>
                <w:tc>
                  <w:tcPr>
                    <w:tcW w:w="627" w:type="pct"/>
                    <w:tcBorders>
                      <w:top w:val="outset" w:sz="6" w:space="0" w:color="auto"/>
                      <w:left w:val="outset" w:sz="6" w:space="0" w:color="auto"/>
                      <w:bottom w:val="outset" w:sz="6" w:space="0" w:color="auto"/>
                      <w:right w:val="outset" w:sz="6" w:space="0" w:color="auto"/>
                    </w:tcBorders>
                  </w:tcPr>
                  <w:p w:rsidR="003A0F3D" w:rsidRDefault="00FE7F64" w:rsidP="003A0F3D">
                    <w:pPr>
                      <w:rPr>
                        <w:szCs w:val="21"/>
                      </w:rPr>
                    </w:pPr>
                    <w:r>
                      <w:rPr>
                        <w:rFonts w:hint="eastAsia"/>
                        <w:szCs w:val="21"/>
                      </w:rPr>
                      <w:t>七、7</w:t>
                    </w:r>
                  </w:p>
                </w:tc>
                <w:tc>
                  <w:tcPr>
                    <w:tcW w:w="1411" w:type="pct"/>
                    <w:tcBorders>
                      <w:top w:val="outset" w:sz="6" w:space="0" w:color="auto"/>
                      <w:left w:val="outset" w:sz="6" w:space="0" w:color="auto"/>
                      <w:bottom w:val="outset" w:sz="6" w:space="0" w:color="auto"/>
                      <w:right w:val="outset" w:sz="6" w:space="0" w:color="auto"/>
                    </w:tcBorders>
                  </w:tcPr>
                  <w:p w:rsidR="003A0F3D" w:rsidRDefault="003A0F3D" w:rsidP="003A0F3D">
                    <w:pPr>
                      <w:jc w:val="right"/>
                      <w:rPr>
                        <w:szCs w:val="21"/>
                      </w:rPr>
                    </w:pPr>
                    <w:r w:rsidRPr="003A0F3D">
                      <w:rPr>
                        <w:szCs w:val="21"/>
                      </w:rPr>
                      <w:t>323,249,853</w:t>
                    </w:r>
                  </w:p>
                </w:tc>
                <w:tc>
                  <w:tcPr>
                    <w:tcW w:w="1333" w:type="pct"/>
                    <w:tcBorders>
                      <w:top w:val="outset" w:sz="6" w:space="0" w:color="auto"/>
                      <w:left w:val="outset" w:sz="6" w:space="0" w:color="auto"/>
                      <w:bottom w:val="outset" w:sz="6" w:space="0" w:color="auto"/>
                      <w:right w:val="outset" w:sz="6" w:space="0" w:color="auto"/>
                    </w:tcBorders>
                    <w:vAlign w:val="center"/>
                  </w:tcPr>
                  <w:p w:rsidR="003A0F3D" w:rsidRDefault="003A0F3D" w:rsidP="003A0F3D">
                    <w:pPr>
                      <w:jc w:val="right"/>
                      <w:rPr>
                        <w:szCs w:val="21"/>
                      </w:rPr>
                    </w:pPr>
                    <w:r>
                      <w:t>170,685,250</w:t>
                    </w:r>
                  </w:p>
                </w:tc>
              </w:tr>
              <w:tr w:rsidR="003A0F3D" w:rsidTr="00EC233F">
                <w:sdt>
                  <w:sdtPr>
                    <w:tag w:val="_PLD_d542db73e8564906821a35717d927557"/>
                    <w:id w:val="155944161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3A0F3D" w:rsidRDefault="003A0F3D" w:rsidP="003A0F3D">
                        <w:pPr>
                          <w:ind w:firstLineChars="100" w:firstLine="210"/>
                          <w:rPr>
                            <w:szCs w:val="21"/>
                          </w:rPr>
                        </w:pPr>
                        <w:r>
                          <w:rPr>
                            <w:rFonts w:hint="eastAsia"/>
                            <w:szCs w:val="21"/>
                          </w:rPr>
                          <w:t>应收保费</w:t>
                        </w:r>
                      </w:p>
                    </w:tc>
                  </w:sdtContent>
                </w:sdt>
                <w:tc>
                  <w:tcPr>
                    <w:tcW w:w="627" w:type="pct"/>
                    <w:tcBorders>
                      <w:top w:val="outset" w:sz="6" w:space="0" w:color="auto"/>
                      <w:left w:val="outset" w:sz="6" w:space="0" w:color="auto"/>
                      <w:bottom w:val="outset" w:sz="6" w:space="0" w:color="auto"/>
                      <w:right w:val="outset" w:sz="6" w:space="0" w:color="auto"/>
                    </w:tcBorders>
                  </w:tcPr>
                  <w:p w:rsidR="003A0F3D" w:rsidRDefault="003A0F3D" w:rsidP="003A0F3D">
                    <w:pPr>
                      <w:rPr>
                        <w:szCs w:val="21"/>
                      </w:rPr>
                    </w:pPr>
                  </w:p>
                </w:tc>
                <w:tc>
                  <w:tcPr>
                    <w:tcW w:w="1411" w:type="pct"/>
                    <w:tcBorders>
                      <w:top w:val="outset" w:sz="6" w:space="0" w:color="auto"/>
                      <w:left w:val="outset" w:sz="6" w:space="0" w:color="auto"/>
                      <w:bottom w:val="outset" w:sz="6" w:space="0" w:color="auto"/>
                      <w:right w:val="outset" w:sz="6" w:space="0" w:color="auto"/>
                    </w:tcBorders>
                  </w:tcPr>
                  <w:p w:rsidR="003A0F3D" w:rsidRDefault="003A0F3D" w:rsidP="003A0F3D">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3A0F3D" w:rsidRDefault="003A0F3D" w:rsidP="003A0F3D">
                    <w:pPr>
                      <w:jc w:val="right"/>
                      <w:rPr>
                        <w:szCs w:val="21"/>
                      </w:rPr>
                    </w:pPr>
                  </w:p>
                </w:tc>
              </w:tr>
              <w:tr w:rsidR="003A0F3D" w:rsidTr="00EC233F">
                <w:sdt>
                  <w:sdtPr>
                    <w:tag w:val="_PLD_52b13377caf146288de0ec6e314609c7"/>
                    <w:id w:val="62089344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3A0F3D" w:rsidRDefault="003A0F3D" w:rsidP="003A0F3D">
                        <w:pPr>
                          <w:ind w:firstLineChars="100" w:firstLine="210"/>
                          <w:rPr>
                            <w:szCs w:val="21"/>
                          </w:rPr>
                        </w:pPr>
                        <w:r>
                          <w:rPr>
                            <w:rFonts w:hint="eastAsia"/>
                            <w:szCs w:val="21"/>
                          </w:rPr>
                          <w:t>应收分保账款</w:t>
                        </w:r>
                      </w:p>
                    </w:tc>
                  </w:sdtContent>
                </w:sdt>
                <w:tc>
                  <w:tcPr>
                    <w:tcW w:w="627" w:type="pct"/>
                    <w:tcBorders>
                      <w:top w:val="outset" w:sz="6" w:space="0" w:color="auto"/>
                      <w:left w:val="outset" w:sz="6" w:space="0" w:color="auto"/>
                      <w:bottom w:val="outset" w:sz="6" w:space="0" w:color="auto"/>
                      <w:right w:val="outset" w:sz="6" w:space="0" w:color="auto"/>
                    </w:tcBorders>
                  </w:tcPr>
                  <w:p w:rsidR="003A0F3D" w:rsidRDefault="003A0F3D" w:rsidP="003A0F3D">
                    <w:pPr>
                      <w:rPr>
                        <w:szCs w:val="21"/>
                      </w:rPr>
                    </w:pPr>
                  </w:p>
                </w:tc>
                <w:tc>
                  <w:tcPr>
                    <w:tcW w:w="1411" w:type="pct"/>
                    <w:tcBorders>
                      <w:top w:val="outset" w:sz="6" w:space="0" w:color="auto"/>
                      <w:left w:val="outset" w:sz="6" w:space="0" w:color="auto"/>
                      <w:bottom w:val="outset" w:sz="6" w:space="0" w:color="auto"/>
                      <w:right w:val="outset" w:sz="6" w:space="0" w:color="auto"/>
                    </w:tcBorders>
                  </w:tcPr>
                  <w:p w:rsidR="003A0F3D" w:rsidRDefault="003A0F3D" w:rsidP="003A0F3D">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3A0F3D" w:rsidRDefault="003A0F3D" w:rsidP="003A0F3D">
                    <w:pPr>
                      <w:jc w:val="right"/>
                      <w:rPr>
                        <w:szCs w:val="21"/>
                      </w:rPr>
                    </w:pPr>
                  </w:p>
                </w:tc>
              </w:tr>
              <w:tr w:rsidR="003A0F3D" w:rsidTr="00EC233F">
                <w:sdt>
                  <w:sdtPr>
                    <w:tag w:val="_PLD_7024b71c59334c389728af3562121f63"/>
                    <w:id w:val="-101152257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3A0F3D" w:rsidRDefault="003A0F3D" w:rsidP="003A0F3D">
                        <w:pPr>
                          <w:ind w:firstLineChars="100" w:firstLine="210"/>
                          <w:rPr>
                            <w:szCs w:val="21"/>
                          </w:rPr>
                        </w:pPr>
                        <w:r>
                          <w:rPr>
                            <w:rFonts w:hint="eastAsia"/>
                            <w:szCs w:val="21"/>
                          </w:rPr>
                          <w:t>应收分保合同准备金</w:t>
                        </w:r>
                      </w:p>
                    </w:tc>
                  </w:sdtContent>
                </w:sdt>
                <w:tc>
                  <w:tcPr>
                    <w:tcW w:w="627" w:type="pct"/>
                    <w:tcBorders>
                      <w:top w:val="outset" w:sz="6" w:space="0" w:color="auto"/>
                      <w:left w:val="outset" w:sz="6" w:space="0" w:color="auto"/>
                      <w:bottom w:val="outset" w:sz="6" w:space="0" w:color="auto"/>
                      <w:right w:val="outset" w:sz="6" w:space="0" w:color="auto"/>
                    </w:tcBorders>
                  </w:tcPr>
                  <w:p w:rsidR="003A0F3D" w:rsidRDefault="003A0F3D" w:rsidP="003A0F3D">
                    <w:pPr>
                      <w:rPr>
                        <w:szCs w:val="21"/>
                      </w:rPr>
                    </w:pPr>
                  </w:p>
                </w:tc>
                <w:tc>
                  <w:tcPr>
                    <w:tcW w:w="1411" w:type="pct"/>
                    <w:tcBorders>
                      <w:top w:val="outset" w:sz="6" w:space="0" w:color="auto"/>
                      <w:left w:val="outset" w:sz="6" w:space="0" w:color="auto"/>
                      <w:bottom w:val="outset" w:sz="6" w:space="0" w:color="auto"/>
                      <w:right w:val="outset" w:sz="6" w:space="0" w:color="auto"/>
                    </w:tcBorders>
                  </w:tcPr>
                  <w:p w:rsidR="003A0F3D" w:rsidRDefault="003A0F3D" w:rsidP="003A0F3D">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3A0F3D" w:rsidRDefault="003A0F3D" w:rsidP="003A0F3D">
                    <w:pPr>
                      <w:jc w:val="right"/>
                      <w:rPr>
                        <w:szCs w:val="21"/>
                      </w:rPr>
                    </w:pPr>
                  </w:p>
                </w:tc>
              </w:tr>
              <w:tr w:rsidR="003A0F3D" w:rsidTr="00EC233F">
                <w:sdt>
                  <w:sdtPr>
                    <w:tag w:val="_PLD_ca6f42ed03fe4478931c2375abfef317"/>
                    <w:id w:val="-182588400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3A0F3D" w:rsidRDefault="003A0F3D" w:rsidP="003A0F3D">
                        <w:pPr>
                          <w:ind w:firstLineChars="100" w:firstLine="210"/>
                          <w:rPr>
                            <w:szCs w:val="21"/>
                          </w:rPr>
                        </w:pPr>
                        <w:r>
                          <w:rPr>
                            <w:rFonts w:hint="eastAsia"/>
                            <w:szCs w:val="21"/>
                          </w:rPr>
                          <w:t>其他应收款</w:t>
                        </w:r>
                      </w:p>
                    </w:tc>
                  </w:sdtContent>
                </w:sdt>
                <w:tc>
                  <w:tcPr>
                    <w:tcW w:w="627" w:type="pct"/>
                    <w:tcBorders>
                      <w:top w:val="outset" w:sz="6" w:space="0" w:color="auto"/>
                      <w:left w:val="outset" w:sz="6" w:space="0" w:color="auto"/>
                      <w:bottom w:val="outset" w:sz="6" w:space="0" w:color="auto"/>
                      <w:right w:val="outset" w:sz="6" w:space="0" w:color="auto"/>
                    </w:tcBorders>
                  </w:tcPr>
                  <w:p w:rsidR="003A0F3D" w:rsidRDefault="00FE7F64" w:rsidP="003A0F3D">
                    <w:pPr>
                      <w:rPr>
                        <w:szCs w:val="21"/>
                      </w:rPr>
                    </w:pPr>
                    <w:r>
                      <w:rPr>
                        <w:rFonts w:hint="eastAsia"/>
                        <w:szCs w:val="21"/>
                      </w:rPr>
                      <w:t>七、8</w:t>
                    </w:r>
                  </w:p>
                </w:tc>
                <w:tc>
                  <w:tcPr>
                    <w:tcW w:w="1411" w:type="pct"/>
                    <w:tcBorders>
                      <w:top w:val="outset" w:sz="6" w:space="0" w:color="auto"/>
                      <w:left w:val="outset" w:sz="6" w:space="0" w:color="auto"/>
                      <w:bottom w:val="outset" w:sz="6" w:space="0" w:color="auto"/>
                      <w:right w:val="outset" w:sz="6" w:space="0" w:color="auto"/>
                    </w:tcBorders>
                  </w:tcPr>
                  <w:p w:rsidR="003A0F3D" w:rsidRDefault="003A0F3D" w:rsidP="003A0F3D">
                    <w:pPr>
                      <w:jc w:val="right"/>
                      <w:rPr>
                        <w:szCs w:val="21"/>
                      </w:rPr>
                    </w:pPr>
                    <w:r w:rsidRPr="003A0F3D">
                      <w:rPr>
                        <w:szCs w:val="21"/>
                      </w:rPr>
                      <w:t>4,159,340,449</w:t>
                    </w:r>
                  </w:p>
                </w:tc>
                <w:tc>
                  <w:tcPr>
                    <w:tcW w:w="1333" w:type="pct"/>
                    <w:tcBorders>
                      <w:top w:val="outset" w:sz="6" w:space="0" w:color="auto"/>
                      <w:left w:val="outset" w:sz="6" w:space="0" w:color="auto"/>
                      <w:bottom w:val="outset" w:sz="6" w:space="0" w:color="auto"/>
                      <w:right w:val="outset" w:sz="6" w:space="0" w:color="auto"/>
                    </w:tcBorders>
                  </w:tcPr>
                  <w:p w:rsidR="003A0F3D" w:rsidRDefault="003A0F3D" w:rsidP="003A0F3D">
                    <w:pPr>
                      <w:jc w:val="right"/>
                      <w:rPr>
                        <w:szCs w:val="21"/>
                      </w:rPr>
                    </w:pPr>
                    <w:r w:rsidRPr="003A0F3D">
                      <w:rPr>
                        <w:szCs w:val="21"/>
                      </w:rPr>
                      <w:t>3,162,653,687</w:t>
                    </w:r>
                  </w:p>
                </w:tc>
              </w:tr>
              <w:tr w:rsidR="003A0F3D" w:rsidTr="00EC233F">
                <w:sdt>
                  <w:sdtPr>
                    <w:tag w:val="_PLD_9ebf851212374bfea6002e6deefdaf53"/>
                    <w:id w:val="36856771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3A0F3D" w:rsidRDefault="003A0F3D" w:rsidP="003A0F3D">
                        <w:pPr>
                          <w:ind w:firstLineChars="100" w:firstLine="210"/>
                          <w:rPr>
                            <w:szCs w:val="21"/>
                          </w:rPr>
                        </w:pPr>
                        <w:r>
                          <w:rPr>
                            <w:rFonts w:hint="eastAsia"/>
                          </w:rPr>
                          <w:t>其中：</w:t>
                        </w:r>
                        <w:r>
                          <w:rPr>
                            <w:rFonts w:hint="eastAsia"/>
                            <w:szCs w:val="21"/>
                          </w:rPr>
                          <w:t>应收利息</w:t>
                        </w:r>
                      </w:p>
                    </w:tc>
                  </w:sdtContent>
                </w:sdt>
                <w:tc>
                  <w:tcPr>
                    <w:tcW w:w="627" w:type="pct"/>
                    <w:tcBorders>
                      <w:top w:val="outset" w:sz="6" w:space="0" w:color="auto"/>
                      <w:left w:val="outset" w:sz="6" w:space="0" w:color="auto"/>
                      <w:bottom w:val="outset" w:sz="6" w:space="0" w:color="auto"/>
                      <w:right w:val="outset" w:sz="6" w:space="0" w:color="auto"/>
                    </w:tcBorders>
                  </w:tcPr>
                  <w:p w:rsidR="003A0F3D" w:rsidRDefault="003A0F3D" w:rsidP="003A0F3D">
                    <w:pPr>
                      <w:rPr>
                        <w:szCs w:val="21"/>
                      </w:rPr>
                    </w:pPr>
                  </w:p>
                </w:tc>
                <w:tc>
                  <w:tcPr>
                    <w:tcW w:w="1411" w:type="pct"/>
                    <w:tcBorders>
                      <w:top w:val="outset" w:sz="6" w:space="0" w:color="auto"/>
                      <w:left w:val="outset" w:sz="6" w:space="0" w:color="auto"/>
                      <w:bottom w:val="outset" w:sz="6" w:space="0" w:color="auto"/>
                      <w:right w:val="outset" w:sz="6" w:space="0" w:color="auto"/>
                    </w:tcBorders>
                  </w:tcPr>
                  <w:p w:rsidR="003A0F3D" w:rsidRDefault="009778AE" w:rsidP="003A0F3D">
                    <w:pPr>
                      <w:jc w:val="right"/>
                      <w:rPr>
                        <w:szCs w:val="21"/>
                      </w:rPr>
                    </w:pPr>
                    <w:r>
                      <w:rPr>
                        <w:szCs w:val="21"/>
                      </w:rPr>
                      <w:t>0</w:t>
                    </w:r>
                  </w:p>
                </w:tc>
                <w:tc>
                  <w:tcPr>
                    <w:tcW w:w="1333" w:type="pct"/>
                    <w:tcBorders>
                      <w:top w:val="outset" w:sz="6" w:space="0" w:color="auto"/>
                      <w:left w:val="outset" w:sz="6" w:space="0" w:color="auto"/>
                      <w:bottom w:val="outset" w:sz="6" w:space="0" w:color="auto"/>
                      <w:right w:val="outset" w:sz="6" w:space="0" w:color="auto"/>
                    </w:tcBorders>
                  </w:tcPr>
                  <w:p w:rsidR="003A0F3D" w:rsidRDefault="009778AE" w:rsidP="003A0F3D">
                    <w:pPr>
                      <w:jc w:val="right"/>
                      <w:rPr>
                        <w:szCs w:val="21"/>
                      </w:rPr>
                    </w:pPr>
                    <w:r>
                      <w:rPr>
                        <w:szCs w:val="21"/>
                      </w:rPr>
                      <w:t>0</w:t>
                    </w:r>
                  </w:p>
                </w:tc>
              </w:tr>
              <w:tr w:rsidR="003A0F3D" w:rsidTr="00EC233F">
                <w:sdt>
                  <w:sdtPr>
                    <w:tag w:val="_PLD_745dd8ebc7f745cf9b0dc2fae9fb0158"/>
                    <w:id w:val="187920610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3A0F3D" w:rsidRDefault="003A0F3D" w:rsidP="003A0F3D">
                        <w:pPr>
                          <w:ind w:firstLineChars="400" w:firstLine="840"/>
                          <w:rPr>
                            <w:szCs w:val="21"/>
                          </w:rPr>
                        </w:pPr>
                        <w:r>
                          <w:rPr>
                            <w:rFonts w:hint="eastAsia"/>
                            <w:szCs w:val="21"/>
                          </w:rPr>
                          <w:t>应收股利</w:t>
                        </w:r>
                      </w:p>
                    </w:tc>
                  </w:sdtContent>
                </w:sdt>
                <w:tc>
                  <w:tcPr>
                    <w:tcW w:w="627" w:type="pct"/>
                    <w:tcBorders>
                      <w:top w:val="outset" w:sz="6" w:space="0" w:color="auto"/>
                      <w:left w:val="outset" w:sz="6" w:space="0" w:color="auto"/>
                      <w:bottom w:val="outset" w:sz="6" w:space="0" w:color="auto"/>
                      <w:right w:val="outset" w:sz="6" w:space="0" w:color="auto"/>
                    </w:tcBorders>
                  </w:tcPr>
                  <w:p w:rsidR="003A0F3D" w:rsidRDefault="003A0F3D" w:rsidP="003A0F3D">
                    <w:pPr>
                      <w:rPr>
                        <w:szCs w:val="21"/>
                      </w:rPr>
                    </w:pPr>
                  </w:p>
                </w:tc>
                <w:tc>
                  <w:tcPr>
                    <w:tcW w:w="1411" w:type="pct"/>
                    <w:tcBorders>
                      <w:top w:val="outset" w:sz="6" w:space="0" w:color="auto"/>
                      <w:left w:val="outset" w:sz="6" w:space="0" w:color="auto"/>
                      <w:bottom w:val="outset" w:sz="6" w:space="0" w:color="auto"/>
                      <w:right w:val="outset" w:sz="6" w:space="0" w:color="auto"/>
                    </w:tcBorders>
                  </w:tcPr>
                  <w:p w:rsidR="003A0F3D" w:rsidRDefault="00362EBE" w:rsidP="003A0F3D">
                    <w:pPr>
                      <w:jc w:val="right"/>
                      <w:rPr>
                        <w:szCs w:val="21"/>
                      </w:rPr>
                    </w:pPr>
                    <w:r>
                      <w:rPr>
                        <w:szCs w:val="21"/>
                      </w:rPr>
                      <w:t>2,406,670,308</w:t>
                    </w:r>
                  </w:p>
                </w:tc>
                <w:tc>
                  <w:tcPr>
                    <w:tcW w:w="1333" w:type="pct"/>
                    <w:tcBorders>
                      <w:top w:val="outset" w:sz="6" w:space="0" w:color="auto"/>
                      <w:left w:val="outset" w:sz="6" w:space="0" w:color="auto"/>
                      <w:bottom w:val="outset" w:sz="6" w:space="0" w:color="auto"/>
                      <w:right w:val="outset" w:sz="6" w:space="0" w:color="auto"/>
                    </w:tcBorders>
                  </w:tcPr>
                  <w:p w:rsidR="003A0F3D" w:rsidRDefault="00362EBE" w:rsidP="003A0F3D">
                    <w:pPr>
                      <w:jc w:val="right"/>
                      <w:rPr>
                        <w:szCs w:val="21"/>
                      </w:rPr>
                    </w:pPr>
                    <w:r>
                      <w:rPr>
                        <w:szCs w:val="21"/>
                      </w:rPr>
                      <w:t>0</w:t>
                    </w:r>
                  </w:p>
                </w:tc>
              </w:tr>
              <w:tr w:rsidR="003A0F3D" w:rsidTr="00EC233F">
                <w:sdt>
                  <w:sdtPr>
                    <w:tag w:val="_PLD_b4a0a95ddc8442a48c518189dcb959dc"/>
                    <w:id w:val="179887595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3A0F3D" w:rsidRDefault="003A0F3D" w:rsidP="003A0F3D">
                        <w:pPr>
                          <w:ind w:firstLineChars="100" w:firstLine="210"/>
                          <w:rPr>
                            <w:szCs w:val="21"/>
                          </w:rPr>
                        </w:pPr>
                        <w:r>
                          <w:rPr>
                            <w:rFonts w:hint="eastAsia"/>
                            <w:szCs w:val="21"/>
                          </w:rPr>
                          <w:t>买入返售金融资产</w:t>
                        </w:r>
                      </w:p>
                    </w:tc>
                  </w:sdtContent>
                </w:sdt>
                <w:tc>
                  <w:tcPr>
                    <w:tcW w:w="627" w:type="pct"/>
                    <w:tcBorders>
                      <w:top w:val="outset" w:sz="6" w:space="0" w:color="auto"/>
                      <w:left w:val="outset" w:sz="6" w:space="0" w:color="auto"/>
                      <w:bottom w:val="outset" w:sz="6" w:space="0" w:color="auto"/>
                      <w:right w:val="outset" w:sz="6" w:space="0" w:color="auto"/>
                    </w:tcBorders>
                  </w:tcPr>
                  <w:p w:rsidR="003A0F3D" w:rsidRDefault="003A0F3D" w:rsidP="003A0F3D">
                    <w:pPr>
                      <w:rPr>
                        <w:szCs w:val="21"/>
                      </w:rPr>
                    </w:pPr>
                  </w:p>
                </w:tc>
                <w:tc>
                  <w:tcPr>
                    <w:tcW w:w="1411" w:type="pct"/>
                    <w:tcBorders>
                      <w:top w:val="outset" w:sz="6" w:space="0" w:color="auto"/>
                      <w:left w:val="outset" w:sz="6" w:space="0" w:color="auto"/>
                      <w:bottom w:val="outset" w:sz="6" w:space="0" w:color="auto"/>
                      <w:right w:val="outset" w:sz="6" w:space="0" w:color="auto"/>
                    </w:tcBorders>
                  </w:tcPr>
                  <w:p w:rsidR="003A0F3D" w:rsidRDefault="003A0F3D" w:rsidP="003A0F3D">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3A0F3D" w:rsidRDefault="003A0F3D" w:rsidP="003A0F3D">
                    <w:pPr>
                      <w:jc w:val="right"/>
                      <w:rPr>
                        <w:szCs w:val="21"/>
                      </w:rPr>
                    </w:pPr>
                  </w:p>
                </w:tc>
              </w:tr>
              <w:tr w:rsidR="003A0F3D" w:rsidTr="00601D47">
                <w:sdt>
                  <w:sdtPr>
                    <w:tag w:val="_PLD_211eafce8a8b4b829bb5d9fd8763e8c0"/>
                    <w:id w:val="-128904702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3A0F3D" w:rsidRDefault="003A0F3D" w:rsidP="003A0F3D">
                        <w:pPr>
                          <w:ind w:firstLineChars="100" w:firstLine="210"/>
                          <w:rPr>
                            <w:szCs w:val="21"/>
                          </w:rPr>
                        </w:pPr>
                        <w:r>
                          <w:rPr>
                            <w:rFonts w:hint="eastAsia"/>
                            <w:szCs w:val="21"/>
                          </w:rPr>
                          <w:t>存货</w:t>
                        </w:r>
                      </w:p>
                    </w:tc>
                  </w:sdtContent>
                </w:sdt>
                <w:tc>
                  <w:tcPr>
                    <w:tcW w:w="627" w:type="pct"/>
                    <w:tcBorders>
                      <w:top w:val="outset" w:sz="6" w:space="0" w:color="auto"/>
                      <w:left w:val="outset" w:sz="6" w:space="0" w:color="auto"/>
                      <w:bottom w:val="outset" w:sz="6" w:space="0" w:color="auto"/>
                      <w:right w:val="outset" w:sz="6" w:space="0" w:color="auto"/>
                    </w:tcBorders>
                  </w:tcPr>
                  <w:p w:rsidR="003A0F3D" w:rsidRDefault="00FE7F64" w:rsidP="003A0F3D">
                    <w:pPr>
                      <w:rPr>
                        <w:szCs w:val="21"/>
                      </w:rPr>
                    </w:pPr>
                    <w:r>
                      <w:rPr>
                        <w:rFonts w:hint="eastAsia"/>
                        <w:szCs w:val="21"/>
                      </w:rPr>
                      <w:t>七、9</w:t>
                    </w:r>
                  </w:p>
                </w:tc>
                <w:tc>
                  <w:tcPr>
                    <w:tcW w:w="1411" w:type="pct"/>
                    <w:tcBorders>
                      <w:top w:val="outset" w:sz="6" w:space="0" w:color="auto"/>
                      <w:left w:val="outset" w:sz="6" w:space="0" w:color="auto"/>
                      <w:bottom w:val="outset" w:sz="6" w:space="0" w:color="auto"/>
                      <w:right w:val="outset" w:sz="6" w:space="0" w:color="auto"/>
                    </w:tcBorders>
                  </w:tcPr>
                  <w:p w:rsidR="003A0F3D" w:rsidRDefault="003A0F3D" w:rsidP="003A0F3D">
                    <w:pPr>
                      <w:jc w:val="right"/>
                      <w:rPr>
                        <w:szCs w:val="21"/>
                      </w:rPr>
                    </w:pPr>
                    <w:r w:rsidRPr="003A0F3D">
                      <w:rPr>
                        <w:szCs w:val="21"/>
                      </w:rPr>
                      <w:t>1,836,656,095</w:t>
                    </w:r>
                  </w:p>
                </w:tc>
                <w:tc>
                  <w:tcPr>
                    <w:tcW w:w="1333" w:type="pct"/>
                    <w:tcBorders>
                      <w:top w:val="outset" w:sz="6" w:space="0" w:color="auto"/>
                      <w:left w:val="outset" w:sz="6" w:space="0" w:color="auto"/>
                      <w:bottom w:val="outset" w:sz="6" w:space="0" w:color="auto"/>
                      <w:right w:val="outset" w:sz="6" w:space="0" w:color="auto"/>
                    </w:tcBorders>
                    <w:vAlign w:val="center"/>
                  </w:tcPr>
                  <w:p w:rsidR="003A0F3D" w:rsidRDefault="003A0F3D" w:rsidP="003A0F3D">
                    <w:pPr>
                      <w:jc w:val="right"/>
                      <w:rPr>
                        <w:szCs w:val="21"/>
                      </w:rPr>
                    </w:pPr>
                    <w:r>
                      <w:t>1,692,626,787</w:t>
                    </w:r>
                  </w:p>
                </w:tc>
              </w:tr>
              <w:tr w:rsidR="003A0F3D" w:rsidTr="00601D47">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bab381947fbb4918babee6db5ee7b18e"/>
                      <w:id w:val="-59185666"/>
                      <w:lock w:val="sdtLocked"/>
                    </w:sdtPr>
                    <w:sdtContent>
                      <w:p w:rsidR="003A0F3D" w:rsidRDefault="003A0F3D" w:rsidP="003A0F3D">
                        <w:pPr>
                          <w:ind w:firstLineChars="100" w:firstLine="210"/>
                        </w:pPr>
                        <w:r>
                          <w:rPr>
                            <w:rFonts w:hint="eastAsia"/>
                          </w:rPr>
                          <w:t>合同资产</w:t>
                        </w:r>
                      </w:p>
                    </w:sdtContent>
                  </w:sdt>
                </w:tc>
                <w:tc>
                  <w:tcPr>
                    <w:tcW w:w="627" w:type="pct"/>
                    <w:tcBorders>
                      <w:top w:val="outset" w:sz="6" w:space="0" w:color="auto"/>
                      <w:left w:val="outset" w:sz="6" w:space="0" w:color="auto"/>
                      <w:bottom w:val="outset" w:sz="6" w:space="0" w:color="auto"/>
                      <w:right w:val="outset" w:sz="6" w:space="0" w:color="auto"/>
                    </w:tcBorders>
                  </w:tcPr>
                  <w:p w:rsidR="003A0F3D" w:rsidRDefault="003A0F3D" w:rsidP="003A0F3D">
                    <w:pPr>
                      <w:rPr>
                        <w:szCs w:val="21"/>
                      </w:rPr>
                    </w:pPr>
                  </w:p>
                </w:tc>
                <w:tc>
                  <w:tcPr>
                    <w:tcW w:w="1411" w:type="pct"/>
                    <w:tcBorders>
                      <w:top w:val="outset" w:sz="6" w:space="0" w:color="auto"/>
                      <w:left w:val="outset" w:sz="6" w:space="0" w:color="auto"/>
                      <w:bottom w:val="outset" w:sz="6" w:space="0" w:color="auto"/>
                      <w:right w:val="outset" w:sz="6" w:space="0" w:color="auto"/>
                    </w:tcBorders>
                  </w:tcPr>
                  <w:p w:rsidR="003A0F3D" w:rsidRDefault="003A0F3D" w:rsidP="003A0F3D">
                    <w:pPr>
                      <w:jc w:val="right"/>
                      <w:rPr>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3A0F3D" w:rsidRDefault="003A0F3D" w:rsidP="003A0F3D">
                    <w:pPr>
                      <w:jc w:val="right"/>
                      <w:rPr>
                        <w:szCs w:val="21"/>
                      </w:rPr>
                    </w:pPr>
                  </w:p>
                </w:tc>
              </w:tr>
              <w:tr w:rsidR="003A0F3D" w:rsidTr="00EC233F">
                <w:sdt>
                  <w:sdtPr>
                    <w:tag w:val="_PLD_2313d066ae15403fa9120cca0f9834f9"/>
                    <w:id w:val="-11814647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3A0F3D" w:rsidRDefault="003A0F3D" w:rsidP="003A0F3D">
                        <w:pPr>
                          <w:ind w:firstLineChars="100" w:firstLine="210"/>
                          <w:rPr>
                            <w:szCs w:val="21"/>
                          </w:rPr>
                        </w:pPr>
                        <w:r>
                          <w:rPr>
                            <w:rFonts w:hint="eastAsia"/>
                            <w:szCs w:val="21"/>
                          </w:rPr>
                          <w:t>持有待售资产</w:t>
                        </w:r>
                      </w:p>
                    </w:tc>
                  </w:sdtContent>
                </w:sdt>
                <w:tc>
                  <w:tcPr>
                    <w:tcW w:w="627" w:type="pct"/>
                    <w:tcBorders>
                      <w:top w:val="outset" w:sz="6" w:space="0" w:color="auto"/>
                      <w:left w:val="outset" w:sz="6" w:space="0" w:color="auto"/>
                      <w:bottom w:val="outset" w:sz="6" w:space="0" w:color="auto"/>
                      <w:right w:val="outset" w:sz="6" w:space="0" w:color="auto"/>
                    </w:tcBorders>
                  </w:tcPr>
                  <w:p w:rsidR="003A0F3D" w:rsidRDefault="003A0F3D" w:rsidP="003A0F3D">
                    <w:pPr>
                      <w:rPr>
                        <w:szCs w:val="21"/>
                      </w:rPr>
                    </w:pPr>
                  </w:p>
                </w:tc>
                <w:tc>
                  <w:tcPr>
                    <w:tcW w:w="1411" w:type="pct"/>
                    <w:tcBorders>
                      <w:top w:val="outset" w:sz="6" w:space="0" w:color="auto"/>
                      <w:left w:val="outset" w:sz="6" w:space="0" w:color="auto"/>
                      <w:bottom w:val="outset" w:sz="6" w:space="0" w:color="auto"/>
                      <w:right w:val="outset" w:sz="6" w:space="0" w:color="auto"/>
                    </w:tcBorders>
                  </w:tcPr>
                  <w:p w:rsidR="003A0F3D" w:rsidRDefault="003A0F3D" w:rsidP="003A0F3D">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3A0F3D" w:rsidRDefault="003A0F3D" w:rsidP="003A0F3D">
                    <w:pPr>
                      <w:jc w:val="right"/>
                      <w:rPr>
                        <w:szCs w:val="21"/>
                      </w:rPr>
                    </w:pPr>
                  </w:p>
                </w:tc>
              </w:tr>
              <w:tr w:rsidR="003A0F3D" w:rsidTr="00EC233F">
                <w:sdt>
                  <w:sdtPr>
                    <w:tag w:val="_PLD_874cfb1063754a26824ba08212c450ee"/>
                    <w:id w:val="-2433468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3A0F3D" w:rsidRDefault="003A0F3D" w:rsidP="003A0F3D">
                        <w:pPr>
                          <w:ind w:firstLineChars="100" w:firstLine="210"/>
                          <w:rPr>
                            <w:szCs w:val="21"/>
                          </w:rPr>
                        </w:pPr>
                        <w:r>
                          <w:rPr>
                            <w:rFonts w:hint="eastAsia"/>
                            <w:szCs w:val="21"/>
                          </w:rPr>
                          <w:t>一年内到期的非流动资产</w:t>
                        </w:r>
                      </w:p>
                    </w:tc>
                  </w:sdtContent>
                </w:sdt>
                <w:tc>
                  <w:tcPr>
                    <w:tcW w:w="627" w:type="pct"/>
                    <w:tcBorders>
                      <w:top w:val="outset" w:sz="6" w:space="0" w:color="auto"/>
                      <w:left w:val="outset" w:sz="6" w:space="0" w:color="auto"/>
                      <w:bottom w:val="outset" w:sz="6" w:space="0" w:color="auto"/>
                      <w:right w:val="outset" w:sz="6" w:space="0" w:color="auto"/>
                    </w:tcBorders>
                  </w:tcPr>
                  <w:p w:rsidR="003A0F3D" w:rsidRDefault="003A0F3D" w:rsidP="003A0F3D">
                    <w:pPr>
                      <w:rPr>
                        <w:szCs w:val="21"/>
                      </w:rPr>
                    </w:pPr>
                  </w:p>
                </w:tc>
                <w:tc>
                  <w:tcPr>
                    <w:tcW w:w="1411" w:type="pct"/>
                    <w:tcBorders>
                      <w:top w:val="outset" w:sz="6" w:space="0" w:color="auto"/>
                      <w:left w:val="outset" w:sz="6" w:space="0" w:color="auto"/>
                      <w:bottom w:val="outset" w:sz="6" w:space="0" w:color="auto"/>
                      <w:right w:val="outset" w:sz="6" w:space="0" w:color="auto"/>
                    </w:tcBorders>
                  </w:tcPr>
                  <w:p w:rsidR="003A0F3D" w:rsidRDefault="003A0F3D" w:rsidP="003A0F3D">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3A0F3D" w:rsidRDefault="003A0F3D" w:rsidP="003A0F3D">
                    <w:pPr>
                      <w:jc w:val="right"/>
                      <w:rPr>
                        <w:szCs w:val="21"/>
                      </w:rPr>
                    </w:pPr>
                  </w:p>
                </w:tc>
              </w:tr>
              <w:tr w:rsidR="003A0F3D" w:rsidTr="00601D47">
                <w:sdt>
                  <w:sdtPr>
                    <w:tag w:val="_PLD_cde37b7e55f94bcfa535282f9ed690f7"/>
                    <w:id w:val="63977525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3A0F3D" w:rsidRDefault="003A0F3D" w:rsidP="003A0F3D">
                        <w:pPr>
                          <w:ind w:firstLineChars="100" w:firstLine="210"/>
                          <w:rPr>
                            <w:szCs w:val="21"/>
                          </w:rPr>
                        </w:pPr>
                        <w:r>
                          <w:rPr>
                            <w:rFonts w:hint="eastAsia"/>
                            <w:szCs w:val="21"/>
                          </w:rPr>
                          <w:t>其他流动资产</w:t>
                        </w:r>
                      </w:p>
                    </w:tc>
                  </w:sdtContent>
                </w:sdt>
                <w:tc>
                  <w:tcPr>
                    <w:tcW w:w="627" w:type="pct"/>
                    <w:tcBorders>
                      <w:top w:val="outset" w:sz="6" w:space="0" w:color="auto"/>
                      <w:left w:val="outset" w:sz="6" w:space="0" w:color="auto"/>
                      <w:bottom w:val="outset" w:sz="6" w:space="0" w:color="auto"/>
                      <w:right w:val="outset" w:sz="6" w:space="0" w:color="auto"/>
                    </w:tcBorders>
                  </w:tcPr>
                  <w:p w:rsidR="003A0F3D" w:rsidRDefault="00FE7F64" w:rsidP="003A0F3D">
                    <w:pPr>
                      <w:rPr>
                        <w:szCs w:val="21"/>
                      </w:rPr>
                    </w:pPr>
                    <w:r>
                      <w:rPr>
                        <w:rFonts w:hint="eastAsia"/>
                        <w:szCs w:val="21"/>
                      </w:rPr>
                      <w:t>七、1</w:t>
                    </w:r>
                    <w:r>
                      <w:rPr>
                        <w:szCs w:val="21"/>
                      </w:rPr>
                      <w:t>3</w:t>
                    </w:r>
                  </w:p>
                </w:tc>
                <w:tc>
                  <w:tcPr>
                    <w:tcW w:w="1411" w:type="pct"/>
                    <w:tcBorders>
                      <w:top w:val="outset" w:sz="6" w:space="0" w:color="auto"/>
                      <w:left w:val="outset" w:sz="6" w:space="0" w:color="auto"/>
                      <w:bottom w:val="outset" w:sz="6" w:space="0" w:color="auto"/>
                      <w:right w:val="outset" w:sz="6" w:space="0" w:color="auto"/>
                    </w:tcBorders>
                    <w:vAlign w:val="center"/>
                  </w:tcPr>
                  <w:p w:rsidR="003A0F3D" w:rsidRDefault="003A0F3D" w:rsidP="003A0F3D">
                    <w:pPr>
                      <w:jc w:val="right"/>
                      <w:rPr>
                        <w:szCs w:val="21"/>
                      </w:rPr>
                    </w:pPr>
                    <w:r>
                      <w:t>738,657,227</w:t>
                    </w:r>
                  </w:p>
                </w:tc>
                <w:tc>
                  <w:tcPr>
                    <w:tcW w:w="1333" w:type="pct"/>
                    <w:tcBorders>
                      <w:top w:val="outset" w:sz="6" w:space="0" w:color="auto"/>
                      <w:left w:val="outset" w:sz="6" w:space="0" w:color="auto"/>
                      <w:bottom w:val="outset" w:sz="6" w:space="0" w:color="auto"/>
                      <w:right w:val="outset" w:sz="6" w:space="0" w:color="auto"/>
                    </w:tcBorders>
                    <w:vAlign w:val="center"/>
                  </w:tcPr>
                  <w:p w:rsidR="003A0F3D" w:rsidRDefault="003A0F3D" w:rsidP="003A0F3D">
                    <w:pPr>
                      <w:jc w:val="right"/>
                      <w:rPr>
                        <w:szCs w:val="21"/>
                      </w:rPr>
                    </w:pPr>
                    <w:r>
                      <w:t>1,037,490,713</w:t>
                    </w:r>
                  </w:p>
                </w:tc>
              </w:tr>
              <w:tr w:rsidR="003A0F3D" w:rsidTr="00601D47">
                <w:sdt>
                  <w:sdtPr>
                    <w:tag w:val="_PLD_5ee9bdf6fbde4c15ab4aeb06594e00fa"/>
                    <w:id w:val="-109479030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3A0F3D" w:rsidRDefault="003A0F3D" w:rsidP="003A0F3D">
                        <w:pPr>
                          <w:ind w:firstLineChars="200" w:firstLine="420"/>
                          <w:rPr>
                            <w:szCs w:val="21"/>
                          </w:rPr>
                        </w:pPr>
                        <w:r>
                          <w:rPr>
                            <w:rFonts w:hint="eastAsia"/>
                            <w:szCs w:val="21"/>
                          </w:rPr>
                          <w:t>流动资产合计</w:t>
                        </w:r>
                      </w:p>
                    </w:tc>
                  </w:sdtContent>
                </w:sdt>
                <w:tc>
                  <w:tcPr>
                    <w:tcW w:w="627" w:type="pct"/>
                    <w:tcBorders>
                      <w:top w:val="outset" w:sz="6" w:space="0" w:color="auto"/>
                      <w:left w:val="outset" w:sz="6" w:space="0" w:color="auto"/>
                      <w:bottom w:val="outset" w:sz="6" w:space="0" w:color="auto"/>
                      <w:right w:val="outset" w:sz="6" w:space="0" w:color="auto"/>
                    </w:tcBorders>
                  </w:tcPr>
                  <w:p w:rsidR="003A0F3D" w:rsidRDefault="003A0F3D" w:rsidP="003A0F3D">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3A0F3D" w:rsidRDefault="003A0F3D" w:rsidP="003A0F3D">
                    <w:pPr>
                      <w:jc w:val="right"/>
                      <w:rPr>
                        <w:szCs w:val="21"/>
                      </w:rPr>
                    </w:pPr>
                    <w:r>
                      <w:t>78,032,585,922</w:t>
                    </w:r>
                  </w:p>
                </w:tc>
                <w:tc>
                  <w:tcPr>
                    <w:tcW w:w="1333" w:type="pct"/>
                    <w:tcBorders>
                      <w:top w:val="outset" w:sz="6" w:space="0" w:color="auto"/>
                      <w:left w:val="outset" w:sz="6" w:space="0" w:color="auto"/>
                      <w:bottom w:val="outset" w:sz="6" w:space="0" w:color="auto"/>
                      <w:right w:val="outset" w:sz="6" w:space="0" w:color="auto"/>
                    </w:tcBorders>
                    <w:vAlign w:val="center"/>
                  </w:tcPr>
                  <w:p w:rsidR="003A0F3D" w:rsidRDefault="003A0F3D" w:rsidP="003A0F3D">
                    <w:pPr>
                      <w:jc w:val="right"/>
                      <w:rPr>
                        <w:szCs w:val="21"/>
                      </w:rPr>
                    </w:pPr>
                    <w:r>
                      <w:t>72,132,043,155</w:t>
                    </w:r>
                  </w:p>
                </w:tc>
              </w:tr>
              <w:tr w:rsidR="003A0F3D" w:rsidTr="00713F20">
                <w:sdt>
                  <w:sdtPr>
                    <w:tag w:val="_PLD_72b86b17371840d39acb38a5d1204c0e"/>
                    <w:id w:val="-1529783660"/>
                    <w:lock w:val="sdtLocked"/>
                  </w:sdtPr>
                  <w:sdtContent>
                    <w:tc>
                      <w:tcPr>
                        <w:tcW w:w="5000" w:type="pct"/>
                        <w:gridSpan w:val="4"/>
                        <w:tcBorders>
                          <w:top w:val="outset" w:sz="6" w:space="0" w:color="auto"/>
                          <w:left w:val="outset" w:sz="6" w:space="0" w:color="auto"/>
                          <w:bottom w:val="outset" w:sz="6" w:space="0" w:color="auto"/>
                          <w:right w:val="outset" w:sz="6" w:space="0" w:color="auto"/>
                        </w:tcBorders>
                        <w:vAlign w:val="center"/>
                      </w:tcPr>
                      <w:p w:rsidR="003A0F3D" w:rsidRDefault="003A0F3D" w:rsidP="003A0F3D">
                        <w:pPr>
                          <w:rPr>
                            <w:color w:val="008000"/>
                            <w:szCs w:val="21"/>
                          </w:rPr>
                        </w:pPr>
                        <w:r>
                          <w:rPr>
                            <w:rFonts w:hint="eastAsia"/>
                            <w:b/>
                            <w:bCs/>
                            <w:szCs w:val="21"/>
                          </w:rPr>
                          <w:t>非流动资产：</w:t>
                        </w:r>
                      </w:p>
                    </w:tc>
                  </w:sdtContent>
                </w:sdt>
              </w:tr>
              <w:tr w:rsidR="003A0F3D" w:rsidTr="00EC233F">
                <w:sdt>
                  <w:sdtPr>
                    <w:tag w:val="_PLD_d03823fe5df94baea2b32c06ca3fd3ee"/>
                    <w:id w:val="91204569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3A0F3D" w:rsidRDefault="003A0F3D" w:rsidP="003A0F3D">
                        <w:pPr>
                          <w:ind w:firstLineChars="100" w:firstLine="210"/>
                          <w:rPr>
                            <w:szCs w:val="21"/>
                          </w:rPr>
                        </w:pPr>
                        <w:r>
                          <w:rPr>
                            <w:rFonts w:hint="eastAsia"/>
                            <w:szCs w:val="21"/>
                          </w:rPr>
                          <w:t>发放贷款和垫款</w:t>
                        </w:r>
                      </w:p>
                    </w:tc>
                  </w:sdtContent>
                </w:sdt>
                <w:tc>
                  <w:tcPr>
                    <w:tcW w:w="627" w:type="pct"/>
                    <w:tcBorders>
                      <w:top w:val="outset" w:sz="6" w:space="0" w:color="auto"/>
                      <w:left w:val="outset" w:sz="6" w:space="0" w:color="auto"/>
                      <w:bottom w:val="outset" w:sz="6" w:space="0" w:color="auto"/>
                      <w:right w:val="outset" w:sz="6" w:space="0" w:color="auto"/>
                    </w:tcBorders>
                  </w:tcPr>
                  <w:p w:rsidR="003A0F3D" w:rsidRDefault="003A0F3D" w:rsidP="003A0F3D">
                    <w:pPr>
                      <w:rPr>
                        <w:szCs w:val="21"/>
                      </w:rPr>
                    </w:pPr>
                  </w:p>
                </w:tc>
                <w:tc>
                  <w:tcPr>
                    <w:tcW w:w="1411" w:type="pct"/>
                    <w:tcBorders>
                      <w:top w:val="outset" w:sz="6" w:space="0" w:color="auto"/>
                      <w:left w:val="outset" w:sz="6" w:space="0" w:color="auto"/>
                      <w:bottom w:val="outset" w:sz="6" w:space="0" w:color="auto"/>
                      <w:right w:val="outset" w:sz="6" w:space="0" w:color="auto"/>
                    </w:tcBorders>
                  </w:tcPr>
                  <w:p w:rsidR="003A0F3D" w:rsidRDefault="003A0F3D" w:rsidP="003A0F3D">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3A0F3D" w:rsidRDefault="003A0F3D" w:rsidP="003A0F3D">
                    <w:pPr>
                      <w:jc w:val="right"/>
                      <w:rPr>
                        <w:szCs w:val="21"/>
                      </w:rPr>
                    </w:pPr>
                  </w:p>
                </w:tc>
              </w:tr>
              <w:tr w:rsidR="003A0F3D" w:rsidTr="00EC233F">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53e471a8b231495cad329af79a8abf0e"/>
                      <w:id w:val="-336456232"/>
                      <w:lock w:val="sdtLocked"/>
                    </w:sdtPr>
                    <w:sdtContent>
                      <w:p w:rsidR="003A0F3D" w:rsidRDefault="003A0F3D" w:rsidP="003A0F3D">
                        <w:pPr>
                          <w:ind w:firstLineChars="100" w:firstLine="210"/>
                        </w:pPr>
                        <w:r>
                          <w:rPr>
                            <w:rFonts w:hint="eastAsia"/>
                          </w:rPr>
                          <w:t>债权投资</w:t>
                        </w:r>
                      </w:p>
                    </w:sdtContent>
                  </w:sdt>
                </w:tc>
                <w:tc>
                  <w:tcPr>
                    <w:tcW w:w="627" w:type="pct"/>
                    <w:tcBorders>
                      <w:top w:val="outset" w:sz="6" w:space="0" w:color="auto"/>
                      <w:left w:val="outset" w:sz="6" w:space="0" w:color="auto"/>
                      <w:bottom w:val="outset" w:sz="6" w:space="0" w:color="auto"/>
                      <w:right w:val="outset" w:sz="6" w:space="0" w:color="auto"/>
                    </w:tcBorders>
                  </w:tcPr>
                  <w:p w:rsidR="003A0F3D" w:rsidRDefault="003A0F3D" w:rsidP="003A0F3D">
                    <w:pPr>
                      <w:rPr>
                        <w:szCs w:val="21"/>
                      </w:rPr>
                    </w:pPr>
                  </w:p>
                </w:tc>
                <w:tc>
                  <w:tcPr>
                    <w:tcW w:w="1411" w:type="pct"/>
                    <w:tcBorders>
                      <w:top w:val="outset" w:sz="6" w:space="0" w:color="auto"/>
                      <w:left w:val="outset" w:sz="6" w:space="0" w:color="auto"/>
                      <w:bottom w:val="outset" w:sz="6" w:space="0" w:color="auto"/>
                      <w:right w:val="outset" w:sz="6" w:space="0" w:color="auto"/>
                    </w:tcBorders>
                  </w:tcPr>
                  <w:p w:rsidR="003A0F3D" w:rsidRDefault="003A0F3D" w:rsidP="003A0F3D">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3A0F3D" w:rsidRDefault="003A0F3D" w:rsidP="003A0F3D">
                    <w:pPr>
                      <w:jc w:val="right"/>
                      <w:rPr>
                        <w:szCs w:val="21"/>
                      </w:rPr>
                    </w:pPr>
                  </w:p>
                </w:tc>
              </w:tr>
              <w:tr w:rsidR="003A0F3D" w:rsidTr="00EC233F">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6ac4fd74a98640089461de9144102db1"/>
                      <w:id w:val="-1605723277"/>
                      <w:lock w:val="sdtLocked"/>
                    </w:sdtPr>
                    <w:sdtContent>
                      <w:p w:rsidR="003A0F3D" w:rsidRDefault="003A0F3D" w:rsidP="003A0F3D">
                        <w:pPr>
                          <w:ind w:firstLineChars="100" w:firstLine="210"/>
                        </w:pPr>
                        <w:r>
                          <w:rPr>
                            <w:rFonts w:hint="eastAsia"/>
                          </w:rPr>
                          <w:t>其他债权投资</w:t>
                        </w:r>
                      </w:p>
                    </w:sdtContent>
                  </w:sdt>
                </w:tc>
                <w:tc>
                  <w:tcPr>
                    <w:tcW w:w="627" w:type="pct"/>
                    <w:tcBorders>
                      <w:top w:val="outset" w:sz="6" w:space="0" w:color="auto"/>
                      <w:left w:val="outset" w:sz="6" w:space="0" w:color="auto"/>
                      <w:bottom w:val="outset" w:sz="6" w:space="0" w:color="auto"/>
                      <w:right w:val="outset" w:sz="6" w:space="0" w:color="auto"/>
                    </w:tcBorders>
                  </w:tcPr>
                  <w:p w:rsidR="003A0F3D" w:rsidRDefault="003A0F3D" w:rsidP="003A0F3D">
                    <w:pPr>
                      <w:rPr>
                        <w:szCs w:val="21"/>
                      </w:rPr>
                    </w:pPr>
                  </w:p>
                </w:tc>
                <w:tc>
                  <w:tcPr>
                    <w:tcW w:w="1411" w:type="pct"/>
                    <w:tcBorders>
                      <w:top w:val="outset" w:sz="6" w:space="0" w:color="auto"/>
                      <w:left w:val="outset" w:sz="6" w:space="0" w:color="auto"/>
                      <w:bottom w:val="outset" w:sz="6" w:space="0" w:color="auto"/>
                      <w:right w:val="outset" w:sz="6" w:space="0" w:color="auto"/>
                    </w:tcBorders>
                  </w:tcPr>
                  <w:p w:rsidR="003A0F3D" w:rsidRDefault="003A0F3D" w:rsidP="003A0F3D">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3A0F3D" w:rsidRDefault="003A0F3D" w:rsidP="003A0F3D">
                    <w:pPr>
                      <w:jc w:val="right"/>
                      <w:rPr>
                        <w:szCs w:val="21"/>
                      </w:rPr>
                    </w:pPr>
                  </w:p>
                </w:tc>
              </w:tr>
              <w:tr w:rsidR="003A0F3D" w:rsidTr="00EC233F">
                <w:sdt>
                  <w:sdtPr>
                    <w:tag w:val="_PLD_09d50dd77da0481ca3a6bea1edfe08f7"/>
                    <w:id w:val="107139312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3A0F3D" w:rsidRDefault="003A0F3D" w:rsidP="003A0F3D">
                        <w:pPr>
                          <w:ind w:firstLineChars="100" w:firstLine="210"/>
                          <w:rPr>
                            <w:szCs w:val="21"/>
                          </w:rPr>
                        </w:pPr>
                        <w:r>
                          <w:rPr>
                            <w:rFonts w:hint="eastAsia"/>
                            <w:szCs w:val="21"/>
                          </w:rPr>
                          <w:t>长期应收款</w:t>
                        </w:r>
                      </w:p>
                    </w:tc>
                  </w:sdtContent>
                </w:sdt>
                <w:tc>
                  <w:tcPr>
                    <w:tcW w:w="627" w:type="pct"/>
                    <w:tcBorders>
                      <w:top w:val="outset" w:sz="6" w:space="0" w:color="auto"/>
                      <w:left w:val="outset" w:sz="6" w:space="0" w:color="auto"/>
                      <w:bottom w:val="outset" w:sz="6" w:space="0" w:color="auto"/>
                      <w:right w:val="outset" w:sz="6" w:space="0" w:color="auto"/>
                    </w:tcBorders>
                  </w:tcPr>
                  <w:p w:rsidR="003A0F3D" w:rsidRDefault="003A0F3D" w:rsidP="003A0F3D">
                    <w:pPr>
                      <w:rPr>
                        <w:szCs w:val="21"/>
                      </w:rPr>
                    </w:pPr>
                  </w:p>
                </w:tc>
                <w:tc>
                  <w:tcPr>
                    <w:tcW w:w="1411" w:type="pct"/>
                    <w:tcBorders>
                      <w:top w:val="outset" w:sz="6" w:space="0" w:color="auto"/>
                      <w:left w:val="outset" w:sz="6" w:space="0" w:color="auto"/>
                      <w:bottom w:val="outset" w:sz="6" w:space="0" w:color="auto"/>
                      <w:right w:val="outset" w:sz="6" w:space="0" w:color="auto"/>
                    </w:tcBorders>
                  </w:tcPr>
                  <w:p w:rsidR="003A0F3D" w:rsidRDefault="003A0F3D" w:rsidP="003A0F3D">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3A0F3D" w:rsidRDefault="003A0F3D" w:rsidP="003A0F3D">
                    <w:pPr>
                      <w:jc w:val="right"/>
                      <w:rPr>
                        <w:szCs w:val="21"/>
                      </w:rPr>
                    </w:pPr>
                  </w:p>
                </w:tc>
              </w:tr>
              <w:tr w:rsidR="003A0F3D" w:rsidTr="00601D47">
                <w:sdt>
                  <w:sdtPr>
                    <w:tag w:val="_PLD_21ee7ad820fe484691c36312ab8423d4"/>
                    <w:id w:val="174191011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3A0F3D" w:rsidRDefault="003A0F3D" w:rsidP="003A0F3D">
                        <w:pPr>
                          <w:ind w:firstLineChars="100" w:firstLine="210"/>
                          <w:rPr>
                            <w:szCs w:val="21"/>
                          </w:rPr>
                        </w:pPr>
                        <w:r>
                          <w:rPr>
                            <w:rFonts w:hint="eastAsia"/>
                            <w:szCs w:val="21"/>
                          </w:rPr>
                          <w:t>长期股权投资</w:t>
                        </w:r>
                      </w:p>
                    </w:tc>
                  </w:sdtContent>
                </w:sdt>
                <w:tc>
                  <w:tcPr>
                    <w:tcW w:w="627" w:type="pct"/>
                    <w:tcBorders>
                      <w:top w:val="outset" w:sz="6" w:space="0" w:color="auto"/>
                      <w:left w:val="outset" w:sz="6" w:space="0" w:color="auto"/>
                      <w:bottom w:val="outset" w:sz="6" w:space="0" w:color="auto"/>
                      <w:right w:val="outset" w:sz="6" w:space="0" w:color="auto"/>
                    </w:tcBorders>
                  </w:tcPr>
                  <w:p w:rsidR="003A0F3D" w:rsidRDefault="00FE7F64" w:rsidP="003A0F3D">
                    <w:pPr>
                      <w:rPr>
                        <w:szCs w:val="21"/>
                      </w:rPr>
                    </w:pPr>
                    <w:r>
                      <w:rPr>
                        <w:rFonts w:hint="eastAsia"/>
                        <w:szCs w:val="21"/>
                      </w:rPr>
                      <w:t>七、1</w:t>
                    </w:r>
                    <w:r>
                      <w:rPr>
                        <w:szCs w:val="21"/>
                      </w:rPr>
                      <w:t>7</w:t>
                    </w:r>
                  </w:p>
                </w:tc>
                <w:tc>
                  <w:tcPr>
                    <w:tcW w:w="1411" w:type="pct"/>
                    <w:tcBorders>
                      <w:top w:val="outset" w:sz="6" w:space="0" w:color="auto"/>
                      <w:left w:val="outset" w:sz="6" w:space="0" w:color="auto"/>
                      <w:bottom w:val="outset" w:sz="6" w:space="0" w:color="auto"/>
                      <w:right w:val="outset" w:sz="6" w:space="0" w:color="auto"/>
                    </w:tcBorders>
                    <w:vAlign w:val="center"/>
                  </w:tcPr>
                  <w:p w:rsidR="003A0F3D" w:rsidRDefault="003A0F3D" w:rsidP="003A0F3D">
                    <w:pPr>
                      <w:jc w:val="right"/>
                      <w:rPr>
                        <w:szCs w:val="21"/>
                      </w:rPr>
                    </w:pPr>
                    <w:r>
                      <w:t>23,938,375,604</w:t>
                    </w:r>
                  </w:p>
                </w:tc>
                <w:tc>
                  <w:tcPr>
                    <w:tcW w:w="1333" w:type="pct"/>
                    <w:tcBorders>
                      <w:top w:val="outset" w:sz="6" w:space="0" w:color="auto"/>
                      <w:left w:val="outset" w:sz="6" w:space="0" w:color="auto"/>
                      <w:bottom w:val="outset" w:sz="6" w:space="0" w:color="auto"/>
                      <w:right w:val="outset" w:sz="6" w:space="0" w:color="auto"/>
                    </w:tcBorders>
                    <w:vAlign w:val="center"/>
                  </w:tcPr>
                  <w:p w:rsidR="003A0F3D" w:rsidRDefault="003A0F3D" w:rsidP="003A0F3D">
                    <w:pPr>
                      <w:jc w:val="right"/>
                      <w:rPr>
                        <w:szCs w:val="21"/>
                      </w:rPr>
                    </w:pPr>
                    <w:r>
                      <w:t>26,514,931,195</w:t>
                    </w:r>
                  </w:p>
                </w:tc>
              </w:tr>
              <w:tr w:rsidR="003A0F3D" w:rsidTr="00601D47">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21711fe416a947d3bfd879f92bbd63c8"/>
                      <w:id w:val="414061357"/>
                      <w:lock w:val="sdtLocked"/>
                    </w:sdtPr>
                    <w:sdtContent>
                      <w:p w:rsidR="003A0F3D" w:rsidRDefault="003A0F3D" w:rsidP="003A0F3D">
                        <w:pPr>
                          <w:ind w:firstLineChars="100" w:firstLine="210"/>
                        </w:pPr>
                        <w:r>
                          <w:rPr>
                            <w:rFonts w:hint="eastAsia"/>
                          </w:rPr>
                          <w:t>其他权益工具投资</w:t>
                        </w:r>
                      </w:p>
                    </w:sdtContent>
                  </w:sdt>
                </w:tc>
                <w:tc>
                  <w:tcPr>
                    <w:tcW w:w="627" w:type="pct"/>
                    <w:tcBorders>
                      <w:top w:val="outset" w:sz="6" w:space="0" w:color="auto"/>
                      <w:left w:val="outset" w:sz="6" w:space="0" w:color="auto"/>
                      <w:bottom w:val="outset" w:sz="6" w:space="0" w:color="auto"/>
                      <w:right w:val="outset" w:sz="6" w:space="0" w:color="auto"/>
                    </w:tcBorders>
                  </w:tcPr>
                  <w:p w:rsidR="003A0F3D" w:rsidRDefault="00FE7F64" w:rsidP="003A0F3D">
                    <w:pPr>
                      <w:rPr>
                        <w:szCs w:val="21"/>
                      </w:rPr>
                    </w:pPr>
                    <w:r>
                      <w:rPr>
                        <w:rFonts w:hint="eastAsia"/>
                        <w:szCs w:val="21"/>
                      </w:rPr>
                      <w:t>七、1</w:t>
                    </w:r>
                    <w:r>
                      <w:rPr>
                        <w:szCs w:val="21"/>
                      </w:rPr>
                      <w:t>8</w:t>
                    </w:r>
                  </w:p>
                </w:tc>
                <w:tc>
                  <w:tcPr>
                    <w:tcW w:w="1411" w:type="pct"/>
                    <w:tcBorders>
                      <w:top w:val="outset" w:sz="6" w:space="0" w:color="auto"/>
                      <w:left w:val="outset" w:sz="6" w:space="0" w:color="auto"/>
                      <w:bottom w:val="outset" w:sz="6" w:space="0" w:color="auto"/>
                      <w:right w:val="outset" w:sz="6" w:space="0" w:color="auto"/>
                    </w:tcBorders>
                    <w:vAlign w:val="center"/>
                  </w:tcPr>
                  <w:p w:rsidR="003A0F3D" w:rsidRDefault="003A0F3D" w:rsidP="003A0F3D">
                    <w:pPr>
                      <w:jc w:val="right"/>
                      <w:rPr>
                        <w:szCs w:val="21"/>
                      </w:rPr>
                    </w:pPr>
                    <w:r>
                      <w:t>117,562,500</w:t>
                    </w:r>
                  </w:p>
                </w:tc>
                <w:tc>
                  <w:tcPr>
                    <w:tcW w:w="1333" w:type="pct"/>
                    <w:tcBorders>
                      <w:top w:val="outset" w:sz="6" w:space="0" w:color="auto"/>
                      <w:left w:val="outset" w:sz="6" w:space="0" w:color="auto"/>
                      <w:bottom w:val="outset" w:sz="6" w:space="0" w:color="auto"/>
                      <w:right w:val="outset" w:sz="6" w:space="0" w:color="auto"/>
                    </w:tcBorders>
                    <w:vAlign w:val="center"/>
                  </w:tcPr>
                  <w:p w:rsidR="003A0F3D" w:rsidRDefault="003A0F3D" w:rsidP="003A0F3D">
                    <w:pPr>
                      <w:jc w:val="right"/>
                      <w:rPr>
                        <w:szCs w:val="21"/>
                      </w:rPr>
                    </w:pPr>
                    <w:r>
                      <w:t>118,845,000</w:t>
                    </w:r>
                  </w:p>
                </w:tc>
              </w:tr>
              <w:tr w:rsidR="003A0F3D" w:rsidTr="00EC233F">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e2f5ad56f7bb44dfb66955044305356a"/>
                      <w:id w:val="2103752446"/>
                      <w:lock w:val="sdtLocked"/>
                    </w:sdtPr>
                    <w:sdtContent>
                      <w:p w:rsidR="003A0F3D" w:rsidRDefault="003A0F3D" w:rsidP="003A0F3D">
                        <w:pPr>
                          <w:ind w:firstLineChars="100" w:firstLine="210"/>
                        </w:pPr>
                        <w:r>
                          <w:rPr>
                            <w:rFonts w:hint="eastAsia"/>
                          </w:rPr>
                          <w:t>其他非流动金融资产</w:t>
                        </w:r>
                      </w:p>
                    </w:sdtContent>
                  </w:sdt>
                </w:tc>
                <w:tc>
                  <w:tcPr>
                    <w:tcW w:w="627" w:type="pct"/>
                    <w:tcBorders>
                      <w:top w:val="outset" w:sz="6" w:space="0" w:color="auto"/>
                      <w:left w:val="outset" w:sz="6" w:space="0" w:color="auto"/>
                      <w:bottom w:val="outset" w:sz="6" w:space="0" w:color="auto"/>
                      <w:right w:val="outset" w:sz="6" w:space="0" w:color="auto"/>
                    </w:tcBorders>
                  </w:tcPr>
                  <w:p w:rsidR="003A0F3D" w:rsidRDefault="003A0F3D" w:rsidP="003A0F3D">
                    <w:pPr>
                      <w:rPr>
                        <w:szCs w:val="21"/>
                      </w:rPr>
                    </w:pPr>
                  </w:p>
                </w:tc>
                <w:tc>
                  <w:tcPr>
                    <w:tcW w:w="1411" w:type="pct"/>
                    <w:tcBorders>
                      <w:top w:val="outset" w:sz="6" w:space="0" w:color="auto"/>
                      <w:left w:val="outset" w:sz="6" w:space="0" w:color="auto"/>
                      <w:bottom w:val="outset" w:sz="6" w:space="0" w:color="auto"/>
                      <w:right w:val="outset" w:sz="6" w:space="0" w:color="auto"/>
                    </w:tcBorders>
                  </w:tcPr>
                  <w:p w:rsidR="003A0F3D" w:rsidRDefault="003A0F3D" w:rsidP="003A0F3D">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3A0F3D" w:rsidRDefault="003A0F3D" w:rsidP="003A0F3D">
                    <w:pPr>
                      <w:jc w:val="right"/>
                      <w:rPr>
                        <w:szCs w:val="21"/>
                      </w:rPr>
                    </w:pPr>
                  </w:p>
                </w:tc>
              </w:tr>
              <w:tr w:rsidR="003A0F3D" w:rsidTr="00EC233F">
                <w:sdt>
                  <w:sdtPr>
                    <w:tag w:val="_PLD_20bd7aa2b0154484a176c52e8b28b68d"/>
                    <w:id w:val="-196503577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3A0F3D" w:rsidRDefault="003A0F3D" w:rsidP="003A0F3D">
                        <w:pPr>
                          <w:ind w:firstLineChars="100" w:firstLine="210"/>
                          <w:rPr>
                            <w:szCs w:val="21"/>
                          </w:rPr>
                        </w:pPr>
                        <w:r>
                          <w:rPr>
                            <w:rFonts w:hint="eastAsia"/>
                            <w:szCs w:val="21"/>
                          </w:rPr>
                          <w:t>投资性房地产</w:t>
                        </w:r>
                      </w:p>
                    </w:tc>
                  </w:sdtContent>
                </w:sdt>
                <w:tc>
                  <w:tcPr>
                    <w:tcW w:w="627" w:type="pct"/>
                    <w:tcBorders>
                      <w:top w:val="outset" w:sz="6" w:space="0" w:color="auto"/>
                      <w:left w:val="outset" w:sz="6" w:space="0" w:color="auto"/>
                      <w:bottom w:val="outset" w:sz="6" w:space="0" w:color="auto"/>
                      <w:right w:val="outset" w:sz="6" w:space="0" w:color="auto"/>
                    </w:tcBorders>
                  </w:tcPr>
                  <w:p w:rsidR="003A0F3D" w:rsidRDefault="003A0F3D" w:rsidP="003A0F3D">
                    <w:pPr>
                      <w:rPr>
                        <w:szCs w:val="21"/>
                      </w:rPr>
                    </w:pPr>
                  </w:p>
                </w:tc>
                <w:tc>
                  <w:tcPr>
                    <w:tcW w:w="1411" w:type="pct"/>
                    <w:tcBorders>
                      <w:top w:val="outset" w:sz="6" w:space="0" w:color="auto"/>
                      <w:left w:val="outset" w:sz="6" w:space="0" w:color="auto"/>
                      <w:bottom w:val="outset" w:sz="6" w:space="0" w:color="auto"/>
                      <w:right w:val="outset" w:sz="6" w:space="0" w:color="auto"/>
                    </w:tcBorders>
                  </w:tcPr>
                  <w:p w:rsidR="003A0F3D" w:rsidRDefault="003A0F3D" w:rsidP="003A0F3D">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3A0F3D" w:rsidRDefault="003A0F3D" w:rsidP="003A0F3D">
                    <w:pPr>
                      <w:jc w:val="right"/>
                      <w:rPr>
                        <w:szCs w:val="21"/>
                      </w:rPr>
                    </w:pPr>
                  </w:p>
                </w:tc>
              </w:tr>
              <w:tr w:rsidR="003A0F3D" w:rsidTr="00601D47">
                <w:sdt>
                  <w:sdtPr>
                    <w:tag w:val="_PLD_8f3f81ffe95f4aafbf92d2255b6ceb8b"/>
                    <w:id w:val="-91701756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3A0F3D" w:rsidRDefault="003A0F3D" w:rsidP="003A0F3D">
                        <w:pPr>
                          <w:ind w:firstLineChars="100" w:firstLine="210"/>
                          <w:rPr>
                            <w:szCs w:val="21"/>
                          </w:rPr>
                        </w:pPr>
                        <w:r>
                          <w:rPr>
                            <w:rFonts w:hint="eastAsia"/>
                            <w:szCs w:val="21"/>
                          </w:rPr>
                          <w:t>固定资产</w:t>
                        </w:r>
                      </w:p>
                    </w:tc>
                  </w:sdtContent>
                </w:sdt>
                <w:tc>
                  <w:tcPr>
                    <w:tcW w:w="627" w:type="pct"/>
                    <w:tcBorders>
                      <w:top w:val="outset" w:sz="6" w:space="0" w:color="auto"/>
                      <w:left w:val="outset" w:sz="6" w:space="0" w:color="auto"/>
                      <w:bottom w:val="outset" w:sz="6" w:space="0" w:color="auto"/>
                      <w:right w:val="outset" w:sz="6" w:space="0" w:color="auto"/>
                    </w:tcBorders>
                  </w:tcPr>
                  <w:p w:rsidR="003A0F3D" w:rsidRDefault="00FE7F64" w:rsidP="003A0F3D">
                    <w:pPr>
                      <w:rPr>
                        <w:szCs w:val="21"/>
                      </w:rPr>
                    </w:pPr>
                    <w:r>
                      <w:rPr>
                        <w:rFonts w:hint="eastAsia"/>
                        <w:szCs w:val="21"/>
                      </w:rPr>
                      <w:t>七、2</w:t>
                    </w:r>
                    <w:r>
                      <w:rPr>
                        <w:szCs w:val="21"/>
                      </w:rPr>
                      <w:t>1</w:t>
                    </w:r>
                  </w:p>
                </w:tc>
                <w:tc>
                  <w:tcPr>
                    <w:tcW w:w="1411" w:type="pct"/>
                    <w:tcBorders>
                      <w:top w:val="outset" w:sz="6" w:space="0" w:color="auto"/>
                      <w:left w:val="outset" w:sz="6" w:space="0" w:color="auto"/>
                      <w:bottom w:val="outset" w:sz="6" w:space="0" w:color="auto"/>
                      <w:right w:val="outset" w:sz="6" w:space="0" w:color="auto"/>
                    </w:tcBorders>
                    <w:vAlign w:val="center"/>
                  </w:tcPr>
                  <w:p w:rsidR="003A0F3D" w:rsidRDefault="003A0F3D" w:rsidP="003A0F3D">
                    <w:pPr>
                      <w:jc w:val="right"/>
                      <w:rPr>
                        <w:szCs w:val="21"/>
                      </w:rPr>
                    </w:pPr>
                    <w:r>
                      <w:t>87,062,314,482</w:t>
                    </w:r>
                  </w:p>
                </w:tc>
                <w:tc>
                  <w:tcPr>
                    <w:tcW w:w="1333" w:type="pct"/>
                    <w:tcBorders>
                      <w:top w:val="outset" w:sz="6" w:space="0" w:color="auto"/>
                      <w:left w:val="outset" w:sz="6" w:space="0" w:color="auto"/>
                      <w:bottom w:val="outset" w:sz="6" w:space="0" w:color="auto"/>
                      <w:right w:val="outset" w:sz="6" w:space="0" w:color="auto"/>
                    </w:tcBorders>
                    <w:vAlign w:val="center"/>
                  </w:tcPr>
                  <w:p w:rsidR="003A0F3D" w:rsidRDefault="003A0F3D" w:rsidP="003A0F3D">
                    <w:pPr>
                      <w:jc w:val="right"/>
                      <w:rPr>
                        <w:szCs w:val="21"/>
                      </w:rPr>
                    </w:pPr>
                    <w:r>
                      <w:t>86,899,314,200</w:t>
                    </w:r>
                  </w:p>
                </w:tc>
              </w:tr>
              <w:tr w:rsidR="003A0F3D" w:rsidTr="00601D47">
                <w:sdt>
                  <w:sdtPr>
                    <w:tag w:val="_PLD_4f57e09faca14ec88f570987791d9bc3"/>
                    <w:id w:val="-21010733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3A0F3D" w:rsidRDefault="003A0F3D" w:rsidP="003A0F3D">
                        <w:pPr>
                          <w:ind w:firstLineChars="100" w:firstLine="210"/>
                          <w:rPr>
                            <w:szCs w:val="21"/>
                          </w:rPr>
                        </w:pPr>
                        <w:r>
                          <w:rPr>
                            <w:rFonts w:hint="eastAsia"/>
                            <w:szCs w:val="21"/>
                          </w:rPr>
                          <w:t>在建工程</w:t>
                        </w:r>
                      </w:p>
                    </w:tc>
                  </w:sdtContent>
                </w:sdt>
                <w:tc>
                  <w:tcPr>
                    <w:tcW w:w="627" w:type="pct"/>
                    <w:tcBorders>
                      <w:top w:val="outset" w:sz="6" w:space="0" w:color="auto"/>
                      <w:left w:val="outset" w:sz="6" w:space="0" w:color="auto"/>
                      <w:bottom w:val="outset" w:sz="6" w:space="0" w:color="auto"/>
                      <w:right w:val="outset" w:sz="6" w:space="0" w:color="auto"/>
                    </w:tcBorders>
                  </w:tcPr>
                  <w:p w:rsidR="003A0F3D" w:rsidRDefault="00FE7F64" w:rsidP="003A0F3D">
                    <w:pPr>
                      <w:rPr>
                        <w:szCs w:val="21"/>
                      </w:rPr>
                    </w:pPr>
                    <w:r>
                      <w:rPr>
                        <w:rFonts w:hint="eastAsia"/>
                        <w:szCs w:val="21"/>
                      </w:rPr>
                      <w:t>七、2</w:t>
                    </w:r>
                    <w:r>
                      <w:rPr>
                        <w:szCs w:val="21"/>
                      </w:rPr>
                      <w:t>2</w:t>
                    </w:r>
                  </w:p>
                </w:tc>
                <w:tc>
                  <w:tcPr>
                    <w:tcW w:w="1411" w:type="pct"/>
                    <w:tcBorders>
                      <w:top w:val="outset" w:sz="6" w:space="0" w:color="auto"/>
                      <w:left w:val="outset" w:sz="6" w:space="0" w:color="auto"/>
                      <w:bottom w:val="outset" w:sz="6" w:space="0" w:color="auto"/>
                      <w:right w:val="outset" w:sz="6" w:space="0" w:color="auto"/>
                    </w:tcBorders>
                    <w:vAlign w:val="center"/>
                  </w:tcPr>
                  <w:p w:rsidR="003A0F3D" w:rsidRDefault="003A0F3D" w:rsidP="003A0F3D">
                    <w:pPr>
                      <w:jc w:val="right"/>
                      <w:rPr>
                        <w:szCs w:val="21"/>
                      </w:rPr>
                    </w:pPr>
                    <w:r>
                      <w:t>1,425,294,588</w:t>
                    </w:r>
                  </w:p>
                </w:tc>
                <w:tc>
                  <w:tcPr>
                    <w:tcW w:w="1333" w:type="pct"/>
                    <w:tcBorders>
                      <w:top w:val="outset" w:sz="6" w:space="0" w:color="auto"/>
                      <w:left w:val="outset" w:sz="6" w:space="0" w:color="auto"/>
                      <w:bottom w:val="outset" w:sz="6" w:space="0" w:color="auto"/>
                      <w:right w:val="outset" w:sz="6" w:space="0" w:color="auto"/>
                    </w:tcBorders>
                    <w:vAlign w:val="center"/>
                  </w:tcPr>
                  <w:p w:rsidR="003A0F3D" w:rsidRDefault="003A0F3D" w:rsidP="003A0F3D">
                    <w:pPr>
                      <w:jc w:val="right"/>
                      <w:rPr>
                        <w:szCs w:val="21"/>
                      </w:rPr>
                    </w:pPr>
                    <w:r>
                      <w:t>740,335,416</w:t>
                    </w:r>
                  </w:p>
                </w:tc>
              </w:tr>
              <w:tr w:rsidR="003A0F3D" w:rsidTr="00EC233F">
                <w:sdt>
                  <w:sdtPr>
                    <w:tag w:val="_PLD_df2c0518e5944c9cae26ded37fc4c317"/>
                    <w:id w:val="103816452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3A0F3D" w:rsidRDefault="003A0F3D" w:rsidP="003A0F3D">
                        <w:pPr>
                          <w:ind w:firstLineChars="100" w:firstLine="210"/>
                          <w:rPr>
                            <w:szCs w:val="21"/>
                          </w:rPr>
                        </w:pPr>
                        <w:r>
                          <w:rPr>
                            <w:rFonts w:hint="eastAsia"/>
                            <w:szCs w:val="21"/>
                          </w:rPr>
                          <w:t>生产性生物资产</w:t>
                        </w:r>
                      </w:p>
                    </w:tc>
                  </w:sdtContent>
                </w:sdt>
                <w:tc>
                  <w:tcPr>
                    <w:tcW w:w="627" w:type="pct"/>
                    <w:tcBorders>
                      <w:top w:val="outset" w:sz="6" w:space="0" w:color="auto"/>
                      <w:left w:val="outset" w:sz="6" w:space="0" w:color="auto"/>
                      <w:bottom w:val="outset" w:sz="6" w:space="0" w:color="auto"/>
                      <w:right w:val="outset" w:sz="6" w:space="0" w:color="auto"/>
                    </w:tcBorders>
                  </w:tcPr>
                  <w:p w:rsidR="003A0F3D" w:rsidRDefault="003A0F3D" w:rsidP="003A0F3D">
                    <w:pPr>
                      <w:rPr>
                        <w:szCs w:val="21"/>
                      </w:rPr>
                    </w:pPr>
                  </w:p>
                </w:tc>
                <w:tc>
                  <w:tcPr>
                    <w:tcW w:w="1411" w:type="pct"/>
                    <w:tcBorders>
                      <w:top w:val="outset" w:sz="6" w:space="0" w:color="auto"/>
                      <w:left w:val="outset" w:sz="6" w:space="0" w:color="auto"/>
                      <w:bottom w:val="outset" w:sz="6" w:space="0" w:color="auto"/>
                      <w:right w:val="outset" w:sz="6" w:space="0" w:color="auto"/>
                    </w:tcBorders>
                  </w:tcPr>
                  <w:p w:rsidR="003A0F3D" w:rsidRDefault="003A0F3D" w:rsidP="003A0F3D">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3A0F3D" w:rsidRDefault="003A0F3D" w:rsidP="003A0F3D">
                    <w:pPr>
                      <w:jc w:val="right"/>
                      <w:rPr>
                        <w:szCs w:val="21"/>
                      </w:rPr>
                    </w:pPr>
                  </w:p>
                </w:tc>
              </w:tr>
              <w:tr w:rsidR="003A0F3D" w:rsidTr="00EC233F">
                <w:sdt>
                  <w:sdtPr>
                    <w:tag w:val="_PLD_8dc2e726f8684df994e2e9e06b8e47f9"/>
                    <w:id w:val="-135888038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3A0F3D" w:rsidRDefault="003A0F3D" w:rsidP="003A0F3D">
                        <w:pPr>
                          <w:ind w:firstLineChars="100" w:firstLine="210"/>
                          <w:rPr>
                            <w:szCs w:val="21"/>
                          </w:rPr>
                        </w:pPr>
                        <w:r>
                          <w:rPr>
                            <w:rFonts w:hint="eastAsia"/>
                            <w:szCs w:val="21"/>
                          </w:rPr>
                          <w:t>油气资产</w:t>
                        </w:r>
                      </w:p>
                    </w:tc>
                  </w:sdtContent>
                </w:sdt>
                <w:tc>
                  <w:tcPr>
                    <w:tcW w:w="627" w:type="pct"/>
                    <w:tcBorders>
                      <w:top w:val="outset" w:sz="6" w:space="0" w:color="auto"/>
                      <w:left w:val="outset" w:sz="6" w:space="0" w:color="auto"/>
                      <w:bottom w:val="outset" w:sz="6" w:space="0" w:color="auto"/>
                      <w:right w:val="outset" w:sz="6" w:space="0" w:color="auto"/>
                    </w:tcBorders>
                  </w:tcPr>
                  <w:p w:rsidR="003A0F3D" w:rsidRDefault="003A0F3D" w:rsidP="003A0F3D">
                    <w:pPr>
                      <w:rPr>
                        <w:szCs w:val="21"/>
                      </w:rPr>
                    </w:pPr>
                  </w:p>
                </w:tc>
                <w:tc>
                  <w:tcPr>
                    <w:tcW w:w="1411" w:type="pct"/>
                    <w:tcBorders>
                      <w:top w:val="outset" w:sz="6" w:space="0" w:color="auto"/>
                      <w:left w:val="outset" w:sz="6" w:space="0" w:color="auto"/>
                      <w:bottom w:val="outset" w:sz="6" w:space="0" w:color="auto"/>
                      <w:right w:val="outset" w:sz="6" w:space="0" w:color="auto"/>
                    </w:tcBorders>
                  </w:tcPr>
                  <w:p w:rsidR="003A0F3D" w:rsidRDefault="003A0F3D" w:rsidP="003A0F3D">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3A0F3D" w:rsidRDefault="003A0F3D" w:rsidP="003A0F3D">
                    <w:pPr>
                      <w:jc w:val="right"/>
                      <w:rPr>
                        <w:szCs w:val="21"/>
                      </w:rPr>
                    </w:pPr>
                  </w:p>
                </w:tc>
              </w:tr>
              <w:tr w:rsidR="003A0F3D" w:rsidTr="00601D47">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38357770af874aa39f708eccd1120273"/>
                      <w:id w:val="-1221437645"/>
                      <w:lock w:val="sdtLocked"/>
                    </w:sdtPr>
                    <w:sdtContent>
                      <w:p w:rsidR="003A0F3D" w:rsidRDefault="003A0F3D" w:rsidP="003A0F3D">
                        <w:pPr>
                          <w:ind w:firstLineChars="100" w:firstLine="210"/>
                        </w:pPr>
                        <w:r>
                          <w:rPr>
                            <w:rFonts w:hint="eastAsia"/>
                          </w:rPr>
                          <w:t>使用权资产</w:t>
                        </w:r>
                      </w:p>
                    </w:sdtContent>
                  </w:sdt>
                </w:tc>
                <w:tc>
                  <w:tcPr>
                    <w:tcW w:w="627" w:type="pct"/>
                    <w:tcBorders>
                      <w:top w:val="outset" w:sz="6" w:space="0" w:color="auto"/>
                      <w:left w:val="outset" w:sz="6" w:space="0" w:color="auto"/>
                      <w:bottom w:val="outset" w:sz="6" w:space="0" w:color="auto"/>
                      <w:right w:val="outset" w:sz="6" w:space="0" w:color="auto"/>
                    </w:tcBorders>
                  </w:tcPr>
                  <w:p w:rsidR="003A0F3D" w:rsidRDefault="00FE7F64" w:rsidP="003A0F3D">
                    <w:pPr>
                      <w:rPr>
                        <w:szCs w:val="21"/>
                      </w:rPr>
                    </w:pPr>
                    <w:r w:rsidRPr="00FE7F64">
                      <w:rPr>
                        <w:rFonts w:hint="eastAsia"/>
                        <w:szCs w:val="21"/>
                      </w:rPr>
                      <w:t>七、</w:t>
                    </w:r>
                    <w:r w:rsidRPr="00FE7F64">
                      <w:rPr>
                        <w:szCs w:val="21"/>
                      </w:rPr>
                      <w:t>2</w:t>
                    </w:r>
                    <w:r>
                      <w:rPr>
                        <w:szCs w:val="21"/>
                      </w:rPr>
                      <w:t>5</w:t>
                    </w:r>
                  </w:p>
                </w:tc>
                <w:tc>
                  <w:tcPr>
                    <w:tcW w:w="1411" w:type="pct"/>
                    <w:tcBorders>
                      <w:top w:val="outset" w:sz="6" w:space="0" w:color="auto"/>
                      <w:left w:val="outset" w:sz="6" w:space="0" w:color="auto"/>
                      <w:bottom w:val="outset" w:sz="6" w:space="0" w:color="auto"/>
                      <w:right w:val="outset" w:sz="6" w:space="0" w:color="auto"/>
                    </w:tcBorders>
                    <w:vAlign w:val="center"/>
                  </w:tcPr>
                  <w:p w:rsidR="003A0F3D" w:rsidRDefault="003A0F3D" w:rsidP="003A0F3D">
                    <w:pPr>
                      <w:jc w:val="right"/>
                      <w:rPr>
                        <w:szCs w:val="21"/>
                      </w:rPr>
                    </w:pPr>
                    <w:r>
                      <w:t>737,914,724</w:t>
                    </w:r>
                  </w:p>
                </w:tc>
                <w:tc>
                  <w:tcPr>
                    <w:tcW w:w="1333" w:type="pct"/>
                    <w:tcBorders>
                      <w:top w:val="outset" w:sz="6" w:space="0" w:color="auto"/>
                      <w:left w:val="outset" w:sz="6" w:space="0" w:color="auto"/>
                      <w:bottom w:val="outset" w:sz="6" w:space="0" w:color="auto"/>
                      <w:right w:val="outset" w:sz="6" w:space="0" w:color="auto"/>
                    </w:tcBorders>
                    <w:vAlign w:val="center"/>
                  </w:tcPr>
                  <w:p w:rsidR="003A0F3D" w:rsidRDefault="003A0F3D" w:rsidP="003A0F3D">
                    <w:pPr>
                      <w:jc w:val="right"/>
                      <w:rPr>
                        <w:szCs w:val="21"/>
                      </w:rPr>
                    </w:pPr>
                    <w:r>
                      <w:t>958,671,858</w:t>
                    </w:r>
                  </w:p>
                </w:tc>
              </w:tr>
              <w:tr w:rsidR="003A0F3D" w:rsidTr="00601D47">
                <w:sdt>
                  <w:sdtPr>
                    <w:tag w:val="_PLD_65d0e187f70641cfae1f95a4311c1c6c"/>
                    <w:id w:val="74530209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3A0F3D" w:rsidRDefault="003A0F3D" w:rsidP="003A0F3D">
                        <w:pPr>
                          <w:ind w:firstLineChars="100" w:firstLine="210"/>
                          <w:rPr>
                            <w:szCs w:val="21"/>
                          </w:rPr>
                        </w:pPr>
                        <w:r>
                          <w:rPr>
                            <w:rFonts w:hint="eastAsia"/>
                            <w:szCs w:val="21"/>
                          </w:rPr>
                          <w:t>无形资产</w:t>
                        </w:r>
                      </w:p>
                    </w:tc>
                  </w:sdtContent>
                </w:sdt>
                <w:tc>
                  <w:tcPr>
                    <w:tcW w:w="627" w:type="pct"/>
                    <w:tcBorders>
                      <w:top w:val="outset" w:sz="6" w:space="0" w:color="auto"/>
                      <w:left w:val="outset" w:sz="6" w:space="0" w:color="auto"/>
                      <w:bottom w:val="outset" w:sz="6" w:space="0" w:color="auto"/>
                      <w:right w:val="outset" w:sz="6" w:space="0" w:color="auto"/>
                    </w:tcBorders>
                  </w:tcPr>
                  <w:p w:rsidR="003A0F3D" w:rsidRDefault="00FE7F64" w:rsidP="003A0F3D">
                    <w:pPr>
                      <w:rPr>
                        <w:szCs w:val="21"/>
                      </w:rPr>
                    </w:pPr>
                    <w:r>
                      <w:rPr>
                        <w:rFonts w:hint="eastAsia"/>
                        <w:szCs w:val="21"/>
                      </w:rPr>
                      <w:t>七、2</w:t>
                    </w:r>
                    <w:r>
                      <w:rPr>
                        <w:szCs w:val="21"/>
                      </w:rPr>
                      <w:t>6</w:t>
                    </w:r>
                  </w:p>
                </w:tc>
                <w:tc>
                  <w:tcPr>
                    <w:tcW w:w="1411" w:type="pct"/>
                    <w:tcBorders>
                      <w:top w:val="outset" w:sz="6" w:space="0" w:color="auto"/>
                      <w:left w:val="outset" w:sz="6" w:space="0" w:color="auto"/>
                      <w:bottom w:val="outset" w:sz="6" w:space="0" w:color="auto"/>
                      <w:right w:val="outset" w:sz="6" w:space="0" w:color="auto"/>
                    </w:tcBorders>
                    <w:vAlign w:val="center"/>
                  </w:tcPr>
                  <w:p w:rsidR="003A0F3D" w:rsidRDefault="003A0F3D" w:rsidP="003A0F3D">
                    <w:pPr>
                      <w:jc w:val="right"/>
                      <w:rPr>
                        <w:szCs w:val="21"/>
                      </w:rPr>
                    </w:pPr>
                    <w:r>
                      <w:t>9,269,910,945</w:t>
                    </w:r>
                  </w:p>
                </w:tc>
                <w:tc>
                  <w:tcPr>
                    <w:tcW w:w="1333" w:type="pct"/>
                    <w:tcBorders>
                      <w:top w:val="outset" w:sz="6" w:space="0" w:color="auto"/>
                      <w:left w:val="outset" w:sz="6" w:space="0" w:color="auto"/>
                      <w:bottom w:val="outset" w:sz="6" w:space="0" w:color="auto"/>
                      <w:right w:val="outset" w:sz="6" w:space="0" w:color="auto"/>
                    </w:tcBorders>
                    <w:vAlign w:val="center"/>
                  </w:tcPr>
                  <w:p w:rsidR="003A0F3D" w:rsidRDefault="003A0F3D" w:rsidP="003A0F3D">
                    <w:pPr>
                      <w:jc w:val="right"/>
                      <w:rPr>
                        <w:szCs w:val="21"/>
                      </w:rPr>
                    </w:pPr>
                    <w:r>
                      <w:t>9,407,130,352</w:t>
                    </w:r>
                  </w:p>
                </w:tc>
              </w:tr>
              <w:tr w:rsidR="003A0F3D" w:rsidTr="00EC233F">
                <w:sdt>
                  <w:sdtPr>
                    <w:tag w:val="_PLD_1721b6b206fd44cbbc38762a87e52266"/>
                    <w:id w:val="-141222263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3A0F3D" w:rsidRDefault="003A0F3D" w:rsidP="003A0F3D">
                        <w:pPr>
                          <w:ind w:firstLineChars="100" w:firstLine="210"/>
                          <w:rPr>
                            <w:szCs w:val="21"/>
                          </w:rPr>
                        </w:pPr>
                        <w:r>
                          <w:rPr>
                            <w:rFonts w:hint="eastAsia"/>
                            <w:szCs w:val="21"/>
                          </w:rPr>
                          <w:t>开发支出</w:t>
                        </w:r>
                      </w:p>
                    </w:tc>
                  </w:sdtContent>
                </w:sdt>
                <w:tc>
                  <w:tcPr>
                    <w:tcW w:w="627" w:type="pct"/>
                    <w:tcBorders>
                      <w:top w:val="outset" w:sz="6" w:space="0" w:color="auto"/>
                      <w:left w:val="outset" w:sz="6" w:space="0" w:color="auto"/>
                      <w:bottom w:val="outset" w:sz="6" w:space="0" w:color="auto"/>
                      <w:right w:val="outset" w:sz="6" w:space="0" w:color="auto"/>
                    </w:tcBorders>
                  </w:tcPr>
                  <w:p w:rsidR="003A0F3D" w:rsidRDefault="003A0F3D" w:rsidP="003A0F3D">
                    <w:pPr>
                      <w:rPr>
                        <w:szCs w:val="21"/>
                      </w:rPr>
                    </w:pPr>
                  </w:p>
                </w:tc>
                <w:tc>
                  <w:tcPr>
                    <w:tcW w:w="1411" w:type="pct"/>
                    <w:tcBorders>
                      <w:top w:val="outset" w:sz="6" w:space="0" w:color="auto"/>
                      <w:left w:val="outset" w:sz="6" w:space="0" w:color="auto"/>
                      <w:bottom w:val="outset" w:sz="6" w:space="0" w:color="auto"/>
                      <w:right w:val="outset" w:sz="6" w:space="0" w:color="auto"/>
                    </w:tcBorders>
                  </w:tcPr>
                  <w:p w:rsidR="003A0F3D" w:rsidRDefault="003A0F3D" w:rsidP="003A0F3D">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3A0F3D" w:rsidRDefault="003A0F3D" w:rsidP="003A0F3D">
                    <w:pPr>
                      <w:jc w:val="right"/>
                      <w:rPr>
                        <w:szCs w:val="21"/>
                      </w:rPr>
                    </w:pPr>
                  </w:p>
                </w:tc>
              </w:tr>
              <w:tr w:rsidR="003A0F3D" w:rsidTr="00EC233F">
                <w:sdt>
                  <w:sdtPr>
                    <w:tag w:val="_PLD_880d441c61174a0d96f987bb33257d18"/>
                    <w:id w:val="13915718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3A0F3D" w:rsidRDefault="003A0F3D" w:rsidP="003A0F3D">
                        <w:pPr>
                          <w:ind w:firstLineChars="100" w:firstLine="210"/>
                          <w:rPr>
                            <w:szCs w:val="21"/>
                          </w:rPr>
                        </w:pPr>
                        <w:r>
                          <w:rPr>
                            <w:rFonts w:hint="eastAsia"/>
                            <w:szCs w:val="21"/>
                          </w:rPr>
                          <w:t>商誉</w:t>
                        </w:r>
                      </w:p>
                    </w:tc>
                  </w:sdtContent>
                </w:sdt>
                <w:tc>
                  <w:tcPr>
                    <w:tcW w:w="627" w:type="pct"/>
                    <w:tcBorders>
                      <w:top w:val="outset" w:sz="6" w:space="0" w:color="auto"/>
                      <w:left w:val="outset" w:sz="6" w:space="0" w:color="auto"/>
                      <w:bottom w:val="outset" w:sz="6" w:space="0" w:color="auto"/>
                      <w:right w:val="outset" w:sz="6" w:space="0" w:color="auto"/>
                    </w:tcBorders>
                  </w:tcPr>
                  <w:p w:rsidR="003A0F3D" w:rsidRDefault="003A0F3D" w:rsidP="003A0F3D">
                    <w:pPr>
                      <w:rPr>
                        <w:szCs w:val="21"/>
                      </w:rPr>
                    </w:pPr>
                  </w:p>
                </w:tc>
                <w:tc>
                  <w:tcPr>
                    <w:tcW w:w="1411" w:type="pct"/>
                    <w:tcBorders>
                      <w:top w:val="outset" w:sz="6" w:space="0" w:color="auto"/>
                      <w:left w:val="outset" w:sz="6" w:space="0" w:color="auto"/>
                      <w:bottom w:val="outset" w:sz="6" w:space="0" w:color="auto"/>
                      <w:right w:val="outset" w:sz="6" w:space="0" w:color="auto"/>
                    </w:tcBorders>
                  </w:tcPr>
                  <w:p w:rsidR="003A0F3D" w:rsidRDefault="003A0F3D" w:rsidP="003A0F3D">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3A0F3D" w:rsidRDefault="003A0F3D" w:rsidP="003A0F3D">
                    <w:pPr>
                      <w:jc w:val="right"/>
                      <w:rPr>
                        <w:szCs w:val="21"/>
                      </w:rPr>
                    </w:pPr>
                  </w:p>
                </w:tc>
              </w:tr>
              <w:tr w:rsidR="003A0F3D" w:rsidTr="00601D47">
                <w:sdt>
                  <w:sdtPr>
                    <w:tag w:val="_PLD_133a8bc963354f7c92d84972b26f64ff"/>
                    <w:id w:val="-57898000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3A0F3D" w:rsidRDefault="003A0F3D" w:rsidP="003A0F3D">
                        <w:pPr>
                          <w:ind w:firstLineChars="100" w:firstLine="210"/>
                          <w:rPr>
                            <w:szCs w:val="21"/>
                          </w:rPr>
                        </w:pPr>
                        <w:r>
                          <w:rPr>
                            <w:rFonts w:hint="eastAsia"/>
                            <w:szCs w:val="21"/>
                          </w:rPr>
                          <w:t>长期待摊费用</w:t>
                        </w:r>
                      </w:p>
                    </w:tc>
                  </w:sdtContent>
                </w:sdt>
                <w:tc>
                  <w:tcPr>
                    <w:tcW w:w="627" w:type="pct"/>
                    <w:tcBorders>
                      <w:top w:val="outset" w:sz="6" w:space="0" w:color="auto"/>
                      <w:left w:val="outset" w:sz="6" w:space="0" w:color="auto"/>
                      <w:bottom w:val="outset" w:sz="6" w:space="0" w:color="auto"/>
                      <w:right w:val="outset" w:sz="6" w:space="0" w:color="auto"/>
                    </w:tcBorders>
                  </w:tcPr>
                  <w:p w:rsidR="003A0F3D" w:rsidRDefault="00FE7F64" w:rsidP="003A0F3D">
                    <w:pPr>
                      <w:rPr>
                        <w:szCs w:val="21"/>
                      </w:rPr>
                    </w:pPr>
                    <w:r>
                      <w:rPr>
                        <w:rFonts w:hint="eastAsia"/>
                        <w:szCs w:val="21"/>
                      </w:rPr>
                      <w:t>七、2</w:t>
                    </w:r>
                    <w:r>
                      <w:rPr>
                        <w:szCs w:val="21"/>
                      </w:rPr>
                      <w:t>9</w:t>
                    </w:r>
                  </w:p>
                </w:tc>
                <w:tc>
                  <w:tcPr>
                    <w:tcW w:w="1411" w:type="pct"/>
                    <w:tcBorders>
                      <w:top w:val="outset" w:sz="6" w:space="0" w:color="auto"/>
                      <w:left w:val="outset" w:sz="6" w:space="0" w:color="auto"/>
                      <w:bottom w:val="outset" w:sz="6" w:space="0" w:color="auto"/>
                      <w:right w:val="outset" w:sz="6" w:space="0" w:color="auto"/>
                    </w:tcBorders>
                    <w:vAlign w:val="center"/>
                  </w:tcPr>
                  <w:p w:rsidR="003A0F3D" w:rsidRDefault="003A0F3D" w:rsidP="003A0F3D">
                    <w:pPr>
                      <w:jc w:val="right"/>
                      <w:rPr>
                        <w:szCs w:val="21"/>
                      </w:rPr>
                    </w:pPr>
                    <w:r>
                      <w:t>233,409,565</w:t>
                    </w:r>
                  </w:p>
                </w:tc>
                <w:tc>
                  <w:tcPr>
                    <w:tcW w:w="1333" w:type="pct"/>
                    <w:tcBorders>
                      <w:top w:val="outset" w:sz="6" w:space="0" w:color="auto"/>
                      <w:left w:val="outset" w:sz="6" w:space="0" w:color="auto"/>
                      <w:bottom w:val="outset" w:sz="6" w:space="0" w:color="auto"/>
                      <w:right w:val="outset" w:sz="6" w:space="0" w:color="auto"/>
                    </w:tcBorders>
                    <w:vAlign w:val="center"/>
                  </w:tcPr>
                  <w:p w:rsidR="003A0F3D" w:rsidRDefault="003A0F3D" w:rsidP="003A0F3D">
                    <w:pPr>
                      <w:jc w:val="right"/>
                      <w:rPr>
                        <w:szCs w:val="21"/>
                      </w:rPr>
                    </w:pPr>
                    <w:r>
                      <w:t>139,054,681</w:t>
                    </w:r>
                  </w:p>
                </w:tc>
              </w:tr>
              <w:tr w:rsidR="003A0F3D" w:rsidTr="00601D47">
                <w:sdt>
                  <w:sdtPr>
                    <w:tag w:val="_PLD_0757f16be09b442aaa2853538ad66ce0"/>
                    <w:id w:val="120275217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3A0F3D" w:rsidRDefault="003A0F3D" w:rsidP="003A0F3D">
                        <w:pPr>
                          <w:ind w:firstLineChars="100" w:firstLine="210"/>
                          <w:rPr>
                            <w:szCs w:val="21"/>
                          </w:rPr>
                        </w:pPr>
                        <w:r>
                          <w:rPr>
                            <w:rFonts w:hint="eastAsia"/>
                            <w:szCs w:val="21"/>
                          </w:rPr>
                          <w:t>递延所得税资产</w:t>
                        </w:r>
                      </w:p>
                    </w:tc>
                  </w:sdtContent>
                </w:sdt>
                <w:tc>
                  <w:tcPr>
                    <w:tcW w:w="627" w:type="pct"/>
                    <w:tcBorders>
                      <w:top w:val="outset" w:sz="6" w:space="0" w:color="auto"/>
                      <w:left w:val="outset" w:sz="6" w:space="0" w:color="auto"/>
                      <w:bottom w:val="outset" w:sz="6" w:space="0" w:color="auto"/>
                      <w:right w:val="outset" w:sz="6" w:space="0" w:color="auto"/>
                    </w:tcBorders>
                  </w:tcPr>
                  <w:p w:rsidR="003A0F3D" w:rsidRDefault="00FE7F64" w:rsidP="003A0F3D">
                    <w:pPr>
                      <w:rPr>
                        <w:szCs w:val="21"/>
                      </w:rPr>
                    </w:pPr>
                    <w:r>
                      <w:rPr>
                        <w:rFonts w:hint="eastAsia"/>
                        <w:szCs w:val="21"/>
                      </w:rPr>
                      <w:t>七、3</w:t>
                    </w:r>
                    <w:r>
                      <w:rPr>
                        <w:szCs w:val="21"/>
                      </w:rPr>
                      <w:t>0</w:t>
                    </w:r>
                  </w:p>
                </w:tc>
                <w:tc>
                  <w:tcPr>
                    <w:tcW w:w="1411" w:type="pct"/>
                    <w:tcBorders>
                      <w:top w:val="outset" w:sz="6" w:space="0" w:color="auto"/>
                      <w:left w:val="outset" w:sz="6" w:space="0" w:color="auto"/>
                      <w:bottom w:val="outset" w:sz="6" w:space="0" w:color="auto"/>
                      <w:right w:val="outset" w:sz="6" w:space="0" w:color="auto"/>
                    </w:tcBorders>
                    <w:vAlign w:val="center"/>
                  </w:tcPr>
                  <w:p w:rsidR="003A0F3D" w:rsidRDefault="003A0F3D" w:rsidP="003A0F3D">
                    <w:pPr>
                      <w:jc w:val="right"/>
                      <w:rPr>
                        <w:szCs w:val="21"/>
                      </w:rPr>
                    </w:pPr>
                    <w:r>
                      <w:t>1,427,301,902</w:t>
                    </w:r>
                  </w:p>
                </w:tc>
                <w:tc>
                  <w:tcPr>
                    <w:tcW w:w="1333" w:type="pct"/>
                    <w:tcBorders>
                      <w:top w:val="outset" w:sz="6" w:space="0" w:color="auto"/>
                      <w:left w:val="outset" w:sz="6" w:space="0" w:color="auto"/>
                      <w:bottom w:val="outset" w:sz="6" w:space="0" w:color="auto"/>
                      <w:right w:val="outset" w:sz="6" w:space="0" w:color="auto"/>
                    </w:tcBorders>
                    <w:vAlign w:val="center"/>
                  </w:tcPr>
                  <w:p w:rsidR="003A0F3D" w:rsidRDefault="003A0F3D" w:rsidP="003A0F3D">
                    <w:pPr>
                      <w:jc w:val="right"/>
                      <w:rPr>
                        <w:szCs w:val="21"/>
                      </w:rPr>
                    </w:pPr>
                    <w:r>
                      <w:t>1,504,004,048</w:t>
                    </w:r>
                  </w:p>
                </w:tc>
              </w:tr>
              <w:tr w:rsidR="003A0F3D" w:rsidTr="00601D47">
                <w:sdt>
                  <w:sdtPr>
                    <w:tag w:val="_PLD_aa90a47424e143ca86166ef1bfa147b5"/>
                    <w:id w:val="208680191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3A0F3D" w:rsidRDefault="003A0F3D" w:rsidP="003A0F3D">
                        <w:pPr>
                          <w:ind w:firstLineChars="100" w:firstLine="210"/>
                          <w:rPr>
                            <w:szCs w:val="21"/>
                          </w:rPr>
                        </w:pPr>
                        <w:r>
                          <w:rPr>
                            <w:rFonts w:hint="eastAsia"/>
                            <w:szCs w:val="21"/>
                          </w:rPr>
                          <w:t>其他非流动资产</w:t>
                        </w:r>
                      </w:p>
                    </w:tc>
                  </w:sdtContent>
                </w:sdt>
                <w:tc>
                  <w:tcPr>
                    <w:tcW w:w="627" w:type="pct"/>
                    <w:tcBorders>
                      <w:top w:val="outset" w:sz="6" w:space="0" w:color="auto"/>
                      <w:left w:val="outset" w:sz="6" w:space="0" w:color="auto"/>
                      <w:bottom w:val="outset" w:sz="6" w:space="0" w:color="auto"/>
                      <w:right w:val="outset" w:sz="6" w:space="0" w:color="auto"/>
                    </w:tcBorders>
                  </w:tcPr>
                  <w:p w:rsidR="003A0F3D" w:rsidRDefault="00FE7F64" w:rsidP="003A0F3D">
                    <w:pPr>
                      <w:rPr>
                        <w:szCs w:val="21"/>
                      </w:rPr>
                    </w:pPr>
                    <w:r>
                      <w:rPr>
                        <w:rFonts w:hint="eastAsia"/>
                        <w:szCs w:val="21"/>
                      </w:rPr>
                      <w:t>七、3</w:t>
                    </w:r>
                    <w:r>
                      <w:rPr>
                        <w:szCs w:val="21"/>
                      </w:rPr>
                      <w:t>1</w:t>
                    </w:r>
                  </w:p>
                </w:tc>
                <w:tc>
                  <w:tcPr>
                    <w:tcW w:w="1411" w:type="pct"/>
                    <w:tcBorders>
                      <w:top w:val="outset" w:sz="6" w:space="0" w:color="auto"/>
                      <w:left w:val="outset" w:sz="6" w:space="0" w:color="auto"/>
                      <w:bottom w:val="outset" w:sz="6" w:space="0" w:color="auto"/>
                      <w:right w:val="outset" w:sz="6" w:space="0" w:color="auto"/>
                    </w:tcBorders>
                    <w:vAlign w:val="center"/>
                  </w:tcPr>
                  <w:p w:rsidR="003A0F3D" w:rsidRDefault="003A0F3D" w:rsidP="003A0F3D">
                    <w:pPr>
                      <w:jc w:val="right"/>
                      <w:rPr>
                        <w:szCs w:val="21"/>
                      </w:rPr>
                    </w:pPr>
                    <w:r>
                      <w:t>52,354,225</w:t>
                    </w:r>
                  </w:p>
                </w:tc>
                <w:tc>
                  <w:tcPr>
                    <w:tcW w:w="1333" w:type="pct"/>
                    <w:tcBorders>
                      <w:top w:val="outset" w:sz="6" w:space="0" w:color="auto"/>
                      <w:left w:val="outset" w:sz="6" w:space="0" w:color="auto"/>
                      <w:bottom w:val="outset" w:sz="6" w:space="0" w:color="auto"/>
                      <w:right w:val="outset" w:sz="6" w:space="0" w:color="auto"/>
                    </w:tcBorders>
                    <w:vAlign w:val="center"/>
                  </w:tcPr>
                  <w:p w:rsidR="003A0F3D" w:rsidRDefault="003A0F3D" w:rsidP="003A0F3D">
                    <w:pPr>
                      <w:jc w:val="right"/>
                      <w:rPr>
                        <w:szCs w:val="21"/>
                      </w:rPr>
                    </w:pPr>
                    <w:r>
                      <w:t>131,966,967</w:t>
                    </w:r>
                  </w:p>
                </w:tc>
              </w:tr>
              <w:tr w:rsidR="003A0F3D" w:rsidTr="00601D47">
                <w:sdt>
                  <w:sdtPr>
                    <w:tag w:val="_PLD_569a2303c50c4d78bc913bf835a532ef"/>
                    <w:id w:val="194118813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3A0F3D" w:rsidRDefault="003A0F3D" w:rsidP="003A0F3D">
                        <w:pPr>
                          <w:ind w:firstLineChars="200" w:firstLine="420"/>
                          <w:rPr>
                            <w:szCs w:val="21"/>
                          </w:rPr>
                        </w:pPr>
                        <w:r>
                          <w:rPr>
                            <w:rFonts w:hint="eastAsia"/>
                            <w:szCs w:val="21"/>
                          </w:rPr>
                          <w:t>非流动资产合计</w:t>
                        </w:r>
                      </w:p>
                    </w:tc>
                  </w:sdtContent>
                </w:sdt>
                <w:tc>
                  <w:tcPr>
                    <w:tcW w:w="627" w:type="pct"/>
                    <w:tcBorders>
                      <w:top w:val="outset" w:sz="6" w:space="0" w:color="auto"/>
                      <w:left w:val="outset" w:sz="6" w:space="0" w:color="auto"/>
                      <w:bottom w:val="outset" w:sz="6" w:space="0" w:color="auto"/>
                      <w:right w:val="outset" w:sz="6" w:space="0" w:color="auto"/>
                    </w:tcBorders>
                  </w:tcPr>
                  <w:p w:rsidR="003A0F3D" w:rsidRDefault="003A0F3D" w:rsidP="003A0F3D">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3A0F3D" w:rsidRDefault="003A0F3D" w:rsidP="003A0F3D">
                    <w:pPr>
                      <w:jc w:val="right"/>
                      <w:rPr>
                        <w:szCs w:val="21"/>
                      </w:rPr>
                    </w:pPr>
                    <w:r>
                      <w:t>124,264,438,535</w:t>
                    </w:r>
                  </w:p>
                </w:tc>
                <w:tc>
                  <w:tcPr>
                    <w:tcW w:w="1333" w:type="pct"/>
                    <w:tcBorders>
                      <w:top w:val="outset" w:sz="6" w:space="0" w:color="auto"/>
                      <w:left w:val="outset" w:sz="6" w:space="0" w:color="auto"/>
                      <w:bottom w:val="outset" w:sz="6" w:space="0" w:color="auto"/>
                      <w:right w:val="outset" w:sz="6" w:space="0" w:color="auto"/>
                    </w:tcBorders>
                    <w:vAlign w:val="center"/>
                  </w:tcPr>
                  <w:p w:rsidR="003A0F3D" w:rsidRDefault="003A0F3D" w:rsidP="003A0F3D">
                    <w:pPr>
                      <w:jc w:val="right"/>
                      <w:rPr>
                        <w:szCs w:val="21"/>
                      </w:rPr>
                    </w:pPr>
                    <w:r>
                      <w:t>126,414,253,717</w:t>
                    </w:r>
                  </w:p>
                </w:tc>
              </w:tr>
              <w:tr w:rsidR="003A0F3D" w:rsidTr="00601D47">
                <w:sdt>
                  <w:sdtPr>
                    <w:tag w:val="_PLD_44f31bab6dcc43c08c35673e62eb53a0"/>
                    <w:id w:val="-118250773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3A0F3D" w:rsidRDefault="003A0F3D" w:rsidP="003A0F3D">
                        <w:pPr>
                          <w:ind w:firstLineChars="300" w:firstLine="630"/>
                          <w:rPr>
                            <w:szCs w:val="21"/>
                          </w:rPr>
                        </w:pPr>
                        <w:r>
                          <w:rPr>
                            <w:rFonts w:hint="eastAsia"/>
                            <w:szCs w:val="21"/>
                          </w:rPr>
                          <w:t>资产总计</w:t>
                        </w:r>
                      </w:p>
                    </w:tc>
                  </w:sdtContent>
                </w:sdt>
                <w:tc>
                  <w:tcPr>
                    <w:tcW w:w="627" w:type="pct"/>
                    <w:tcBorders>
                      <w:top w:val="outset" w:sz="6" w:space="0" w:color="auto"/>
                      <w:left w:val="outset" w:sz="6" w:space="0" w:color="auto"/>
                      <w:bottom w:val="outset" w:sz="6" w:space="0" w:color="auto"/>
                      <w:right w:val="outset" w:sz="6" w:space="0" w:color="auto"/>
                    </w:tcBorders>
                  </w:tcPr>
                  <w:p w:rsidR="003A0F3D" w:rsidRDefault="003A0F3D" w:rsidP="003A0F3D">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3A0F3D" w:rsidRDefault="003A0F3D" w:rsidP="003A0F3D">
                    <w:pPr>
                      <w:jc w:val="right"/>
                      <w:rPr>
                        <w:szCs w:val="21"/>
                      </w:rPr>
                    </w:pPr>
                    <w:r>
                      <w:t>202,297,024,457</w:t>
                    </w:r>
                  </w:p>
                </w:tc>
                <w:tc>
                  <w:tcPr>
                    <w:tcW w:w="1333" w:type="pct"/>
                    <w:tcBorders>
                      <w:top w:val="outset" w:sz="6" w:space="0" w:color="auto"/>
                      <w:left w:val="outset" w:sz="6" w:space="0" w:color="auto"/>
                      <w:bottom w:val="outset" w:sz="6" w:space="0" w:color="auto"/>
                      <w:right w:val="outset" w:sz="6" w:space="0" w:color="auto"/>
                    </w:tcBorders>
                    <w:vAlign w:val="center"/>
                  </w:tcPr>
                  <w:p w:rsidR="003A0F3D" w:rsidRDefault="003A0F3D" w:rsidP="003A0F3D">
                    <w:pPr>
                      <w:jc w:val="right"/>
                      <w:rPr>
                        <w:szCs w:val="21"/>
                      </w:rPr>
                    </w:pPr>
                    <w:r>
                      <w:t>198,546,296,872</w:t>
                    </w:r>
                  </w:p>
                </w:tc>
              </w:tr>
              <w:tr w:rsidR="003A0F3D" w:rsidTr="00713F20">
                <w:sdt>
                  <w:sdtPr>
                    <w:tag w:val="_PLD_97e1ad068b5b418999e5a3a4eadcffca"/>
                    <w:id w:val="1445651172"/>
                    <w:lock w:val="sdtLocked"/>
                  </w:sdtPr>
                  <w:sdtContent>
                    <w:tc>
                      <w:tcPr>
                        <w:tcW w:w="5000" w:type="pct"/>
                        <w:gridSpan w:val="4"/>
                        <w:tcBorders>
                          <w:top w:val="outset" w:sz="6" w:space="0" w:color="auto"/>
                          <w:left w:val="outset" w:sz="6" w:space="0" w:color="auto"/>
                          <w:bottom w:val="outset" w:sz="6" w:space="0" w:color="auto"/>
                          <w:right w:val="outset" w:sz="6" w:space="0" w:color="auto"/>
                        </w:tcBorders>
                        <w:vAlign w:val="center"/>
                      </w:tcPr>
                      <w:p w:rsidR="003A0F3D" w:rsidRDefault="003A0F3D" w:rsidP="003A0F3D">
                        <w:pPr>
                          <w:rPr>
                            <w:color w:val="FF00FF"/>
                            <w:szCs w:val="21"/>
                          </w:rPr>
                        </w:pPr>
                        <w:r>
                          <w:rPr>
                            <w:rFonts w:hint="eastAsia"/>
                            <w:b/>
                            <w:bCs/>
                            <w:szCs w:val="21"/>
                          </w:rPr>
                          <w:t>流动负债：</w:t>
                        </w:r>
                      </w:p>
                    </w:tc>
                  </w:sdtContent>
                </w:sdt>
              </w:tr>
              <w:tr w:rsidR="00DF7D0B" w:rsidTr="00601D47">
                <w:sdt>
                  <w:sdtPr>
                    <w:tag w:val="_PLD_d6e26682c9b646409d91170f7cb35694"/>
                    <w:id w:val="-135425915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DF7D0B" w:rsidRDefault="00DF7D0B" w:rsidP="00DF7D0B">
                        <w:pPr>
                          <w:ind w:firstLineChars="100" w:firstLine="210"/>
                          <w:rPr>
                            <w:szCs w:val="21"/>
                          </w:rPr>
                        </w:pPr>
                        <w:r>
                          <w:rPr>
                            <w:rFonts w:hint="eastAsia"/>
                            <w:szCs w:val="21"/>
                          </w:rPr>
                          <w:t>短期借款</w:t>
                        </w:r>
                      </w:p>
                    </w:tc>
                  </w:sdtContent>
                </w:sdt>
                <w:tc>
                  <w:tcPr>
                    <w:tcW w:w="627" w:type="pct"/>
                    <w:tcBorders>
                      <w:top w:val="outset" w:sz="6" w:space="0" w:color="auto"/>
                      <w:left w:val="outset" w:sz="6" w:space="0" w:color="auto"/>
                      <w:bottom w:val="outset" w:sz="6" w:space="0" w:color="auto"/>
                      <w:right w:val="outset" w:sz="6" w:space="0" w:color="auto"/>
                    </w:tcBorders>
                  </w:tcPr>
                  <w:p w:rsidR="00DF7D0B" w:rsidRDefault="00FE7F64" w:rsidP="00DF7D0B">
                    <w:pPr>
                      <w:rPr>
                        <w:szCs w:val="21"/>
                      </w:rPr>
                    </w:pPr>
                    <w:r>
                      <w:rPr>
                        <w:rFonts w:hint="eastAsia"/>
                        <w:szCs w:val="21"/>
                      </w:rPr>
                      <w:t>七、3</w:t>
                    </w:r>
                    <w:r>
                      <w:rPr>
                        <w:szCs w:val="21"/>
                      </w:rPr>
                      <w:t>2</w:t>
                    </w:r>
                  </w:p>
                </w:tc>
                <w:tc>
                  <w:tcPr>
                    <w:tcW w:w="1411" w:type="pct"/>
                    <w:tcBorders>
                      <w:top w:val="outset" w:sz="6" w:space="0" w:color="auto"/>
                      <w:left w:val="outset" w:sz="6" w:space="0" w:color="auto"/>
                      <w:bottom w:val="outset" w:sz="6" w:space="0" w:color="auto"/>
                      <w:right w:val="outset" w:sz="6" w:space="0" w:color="auto"/>
                    </w:tcBorders>
                    <w:vAlign w:val="center"/>
                  </w:tcPr>
                  <w:p w:rsidR="00DF7D0B" w:rsidRDefault="00DF7D0B" w:rsidP="00DF7D0B">
                    <w:pPr>
                      <w:jc w:val="right"/>
                      <w:rPr>
                        <w:szCs w:val="21"/>
                      </w:rPr>
                    </w:pPr>
                    <w:r>
                      <w:t>223,517,167</w:t>
                    </w:r>
                  </w:p>
                </w:tc>
                <w:tc>
                  <w:tcPr>
                    <w:tcW w:w="1333" w:type="pct"/>
                    <w:tcBorders>
                      <w:top w:val="outset" w:sz="6" w:space="0" w:color="auto"/>
                      <w:left w:val="outset" w:sz="6" w:space="0" w:color="auto"/>
                      <w:bottom w:val="outset" w:sz="6" w:space="0" w:color="auto"/>
                      <w:right w:val="outset" w:sz="6" w:space="0" w:color="auto"/>
                    </w:tcBorders>
                    <w:vAlign w:val="center"/>
                  </w:tcPr>
                  <w:p w:rsidR="00DF7D0B" w:rsidRDefault="00DF7D0B" w:rsidP="00DF7D0B">
                    <w:pPr>
                      <w:jc w:val="right"/>
                      <w:rPr>
                        <w:szCs w:val="21"/>
                      </w:rPr>
                    </w:pPr>
                    <w:r>
                      <w:t>922,017,625</w:t>
                    </w:r>
                  </w:p>
                </w:tc>
              </w:tr>
              <w:tr w:rsidR="00DF7D0B" w:rsidTr="00EC233F">
                <w:sdt>
                  <w:sdtPr>
                    <w:tag w:val="_PLD_5184b698a36048568cf1ddb26e250164"/>
                    <w:id w:val="19365751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DF7D0B" w:rsidRDefault="00DF7D0B" w:rsidP="00DF7D0B">
                        <w:pPr>
                          <w:ind w:firstLineChars="100" w:firstLine="210"/>
                          <w:rPr>
                            <w:szCs w:val="21"/>
                          </w:rPr>
                        </w:pPr>
                        <w:r>
                          <w:rPr>
                            <w:rFonts w:hint="eastAsia"/>
                            <w:szCs w:val="21"/>
                          </w:rPr>
                          <w:t>向中央银行借款</w:t>
                        </w:r>
                      </w:p>
                    </w:tc>
                  </w:sdtContent>
                </w:sdt>
                <w:tc>
                  <w:tcPr>
                    <w:tcW w:w="627" w:type="pct"/>
                    <w:tcBorders>
                      <w:top w:val="outset" w:sz="6" w:space="0" w:color="auto"/>
                      <w:left w:val="outset" w:sz="6" w:space="0" w:color="auto"/>
                      <w:bottom w:val="outset" w:sz="6" w:space="0" w:color="auto"/>
                      <w:right w:val="outset" w:sz="6" w:space="0" w:color="auto"/>
                    </w:tcBorders>
                  </w:tcPr>
                  <w:p w:rsidR="00DF7D0B" w:rsidRDefault="00DF7D0B" w:rsidP="00DF7D0B">
                    <w:pPr>
                      <w:rPr>
                        <w:szCs w:val="21"/>
                      </w:rPr>
                    </w:pPr>
                  </w:p>
                </w:tc>
                <w:tc>
                  <w:tcPr>
                    <w:tcW w:w="1411" w:type="pct"/>
                    <w:tcBorders>
                      <w:top w:val="outset" w:sz="6" w:space="0" w:color="auto"/>
                      <w:left w:val="outset" w:sz="6" w:space="0" w:color="auto"/>
                      <w:bottom w:val="outset" w:sz="6" w:space="0" w:color="auto"/>
                      <w:right w:val="outset" w:sz="6" w:space="0" w:color="auto"/>
                    </w:tcBorders>
                  </w:tcPr>
                  <w:p w:rsidR="00DF7D0B" w:rsidRDefault="00DF7D0B" w:rsidP="00DF7D0B">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DF7D0B" w:rsidRDefault="00DF7D0B" w:rsidP="00DF7D0B">
                    <w:pPr>
                      <w:jc w:val="right"/>
                      <w:rPr>
                        <w:szCs w:val="21"/>
                      </w:rPr>
                    </w:pPr>
                  </w:p>
                </w:tc>
              </w:tr>
              <w:tr w:rsidR="00DF7D0B" w:rsidTr="00EC233F">
                <w:sdt>
                  <w:sdtPr>
                    <w:tag w:val="_PLD_7cd02d10506c49b0bff1d5725e2c79f7"/>
                    <w:id w:val="208333185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DF7D0B" w:rsidRDefault="00DF7D0B" w:rsidP="00DF7D0B">
                        <w:pPr>
                          <w:ind w:firstLineChars="100" w:firstLine="210"/>
                          <w:rPr>
                            <w:szCs w:val="21"/>
                          </w:rPr>
                        </w:pPr>
                        <w:r>
                          <w:rPr>
                            <w:rFonts w:hint="eastAsia"/>
                            <w:szCs w:val="21"/>
                          </w:rPr>
                          <w:t>拆入资金</w:t>
                        </w:r>
                      </w:p>
                    </w:tc>
                  </w:sdtContent>
                </w:sdt>
                <w:tc>
                  <w:tcPr>
                    <w:tcW w:w="627" w:type="pct"/>
                    <w:tcBorders>
                      <w:top w:val="outset" w:sz="6" w:space="0" w:color="auto"/>
                      <w:left w:val="outset" w:sz="6" w:space="0" w:color="auto"/>
                      <w:bottom w:val="outset" w:sz="6" w:space="0" w:color="auto"/>
                      <w:right w:val="outset" w:sz="6" w:space="0" w:color="auto"/>
                    </w:tcBorders>
                  </w:tcPr>
                  <w:p w:rsidR="00DF7D0B" w:rsidRDefault="00DF7D0B" w:rsidP="00DF7D0B">
                    <w:pPr>
                      <w:rPr>
                        <w:szCs w:val="21"/>
                      </w:rPr>
                    </w:pPr>
                  </w:p>
                </w:tc>
                <w:tc>
                  <w:tcPr>
                    <w:tcW w:w="1411" w:type="pct"/>
                    <w:tcBorders>
                      <w:top w:val="outset" w:sz="6" w:space="0" w:color="auto"/>
                      <w:left w:val="outset" w:sz="6" w:space="0" w:color="auto"/>
                      <w:bottom w:val="outset" w:sz="6" w:space="0" w:color="auto"/>
                      <w:right w:val="outset" w:sz="6" w:space="0" w:color="auto"/>
                    </w:tcBorders>
                  </w:tcPr>
                  <w:p w:rsidR="00DF7D0B" w:rsidRDefault="00DF7D0B" w:rsidP="00DF7D0B">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DF7D0B" w:rsidRDefault="00DF7D0B" w:rsidP="00DF7D0B">
                    <w:pPr>
                      <w:jc w:val="right"/>
                      <w:rPr>
                        <w:szCs w:val="21"/>
                      </w:rPr>
                    </w:pPr>
                  </w:p>
                </w:tc>
              </w:tr>
              <w:tr w:rsidR="00DF7D0B" w:rsidTr="00EC233F">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20a99932412f404fb54f198985ac4eeb"/>
                      <w:id w:val="1329244132"/>
                      <w:lock w:val="sdtLocked"/>
                    </w:sdtPr>
                    <w:sdtContent>
                      <w:p w:rsidR="00DF7D0B" w:rsidRDefault="00DF7D0B" w:rsidP="00DF7D0B">
                        <w:pPr>
                          <w:ind w:firstLineChars="100" w:firstLine="210"/>
                        </w:pPr>
                        <w:r>
                          <w:rPr>
                            <w:rFonts w:hint="eastAsia"/>
                          </w:rPr>
                          <w:t>交易性金融负债</w:t>
                        </w:r>
                      </w:p>
                    </w:sdtContent>
                  </w:sdt>
                </w:tc>
                <w:tc>
                  <w:tcPr>
                    <w:tcW w:w="627" w:type="pct"/>
                    <w:tcBorders>
                      <w:top w:val="outset" w:sz="6" w:space="0" w:color="auto"/>
                      <w:left w:val="outset" w:sz="6" w:space="0" w:color="auto"/>
                      <w:bottom w:val="outset" w:sz="6" w:space="0" w:color="auto"/>
                      <w:right w:val="outset" w:sz="6" w:space="0" w:color="auto"/>
                    </w:tcBorders>
                  </w:tcPr>
                  <w:p w:rsidR="00DF7D0B" w:rsidRDefault="00DF7D0B" w:rsidP="00DF7D0B">
                    <w:pPr>
                      <w:rPr>
                        <w:szCs w:val="21"/>
                      </w:rPr>
                    </w:pPr>
                  </w:p>
                </w:tc>
                <w:tc>
                  <w:tcPr>
                    <w:tcW w:w="1411" w:type="pct"/>
                    <w:tcBorders>
                      <w:top w:val="outset" w:sz="6" w:space="0" w:color="auto"/>
                      <w:left w:val="outset" w:sz="6" w:space="0" w:color="auto"/>
                      <w:bottom w:val="outset" w:sz="6" w:space="0" w:color="auto"/>
                      <w:right w:val="outset" w:sz="6" w:space="0" w:color="auto"/>
                    </w:tcBorders>
                  </w:tcPr>
                  <w:p w:rsidR="00DF7D0B" w:rsidRDefault="00DF7D0B" w:rsidP="00DF7D0B">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DF7D0B" w:rsidRDefault="00DF7D0B" w:rsidP="00DF7D0B">
                    <w:pPr>
                      <w:jc w:val="right"/>
                      <w:rPr>
                        <w:szCs w:val="21"/>
                      </w:rPr>
                    </w:pPr>
                  </w:p>
                </w:tc>
              </w:tr>
              <w:tr w:rsidR="00DF7D0B" w:rsidTr="00EC233F">
                <w:sdt>
                  <w:sdtPr>
                    <w:tag w:val="_PLD_b4df64d30d3f45b6815c11f83d4d1485"/>
                    <w:id w:val="195866933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DF7D0B" w:rsidRDefault="00DF7D0B" w:rsidP="00DF7D0B">
                        <w:pPr>
                          <w:ind w:firstLineChars="100" w:firstLine="210"/>
                          <w:rPr>
                            <w:szCs w:val="21"/>
                          </w:rPr>
                        </w:pPr>
                        <w:r>
                          <w:rPr>
                            <w:rFonts w:hint="eastAsia"/>
                            <w:szCs w:val="21"/>
                          </w:rPr>
                          <w:t>衍生金融负债</w:t>
                        </w:r>
                      </w:p>
                    </w:tc>
                  </w:sdtContent>
                </w:sdt>
                <w:tc>
                  <w:tcPr>
                    <w:tcW w:w="627" w:type="pct"/>
                    <w:tcBorders>
                      <w:top w:val="outset" w:sz="6" w:space="0" w:color="auto"/>
                      <w:left w:val="outset" w:sz="6" w:space="0" w:color="auto"/>
                      <w:bottom w:val="outset" w:sz="6" w:space="0" w:color="auto"/>
                      <w:right w:val="outset" w:sz="6" w:space="0" w:color="auto"/>
                    </w:tcBorders>
                  </w:tcPr>
                  <w:p w:rsidR="00DF7D0B" w:rsidRDefault="00DF7D0B" w:rsidP="00DF7D0B">
                    <w:pPr>
                      <w:rPr>
                        <w:szCs w:val="21"/>
                      </w:rPr>
                    </w:pPr>
                  </w:p>
                </w:tc>
                <w:tc>
                  <w:tcPr>
                    <w:tcW w:w="1411" w:type="pct"/>
                    <w:tcBorders>
                      <w:top w:val="outset" w:sz="6" w:space="0" w:color="auto"/>
                      <w:left w:val="outset" w:sz="6" w:space="0" w:color="auto"/>
                      <w:bottom w:val="outset" w:sz="6" w:space="0" w:color="auto"/>
                      <w:right w:val="outset" w:sz="6" w:space="0" w:color="auto"/>
                    </w:tcBorders>
                  </w:tcPr>
                  <w:p w:rsidR="00DF7D0B" w:rsidRDefault="00DF7D0B" w:rsidP="00DF7D0B">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DF7D0B" w:rsidRDefault="00DF7D0B" w:rsidP="00DF7D0B">
                    <w:pPr>
                      <w:jc w:val="right"/>
                      <w:rPr>
                        <w:szCs w:val="21"/>
                      </w:rPr>
                    </w:pPr>
                  </w:p>
                </w:tc>
              </w:tr>
              <w:tr w:rsidR="00DF7D0B" w:rsidTr="00601D47">
                <w:sdt>
                  <w:sdtPr>
                    <w:tag w:val="_PLD_de70d79d4c8f4492941ccbca05364315"/>
                    <w:id w:val="-68190529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DF7D0B" w:rsidRDefault="00DF7D0B" w:rsidP="00DF7D0B">
                        <w:pPr>
                          <w:ind w:firstLineChars="100" w:firstLine="210"/>
                          <w:rPr>
                            <w:szCs w:val="21"/>
                          </w:rPr>
                        </w:pPr>
                        <w:r>
                          <w:rPr>
                            <w:rFonts w:hint="eastAsia"/>
                            <w:szCs w:val="21"/>
                          </w:rPr>
                          <w:t>应付票据</w:t>
                        </w:r>
                      </w:p>
                    </w:tc>
                  </w:sdtContent>
                </w:sdt>
                <w:tc>
                  <w:tcPr>
                    <w:tcW w:w="627" w:type="pct"/>
                    <w:tcBorders>
                      <w:top w:val="outset" w:sz="6" w:space="0" w:color="auto"/>
                      <w:left w:val="outset" w:sz="6" w:space="0" w:color="auto"/>
                      <w:bottom w:val="outset" w:sz="6" w:space="0" w:color="auto"/>
                      <w:right w:val="outset" w:sz="6" w:space="0" w:color="auto"/>
                    </w:tcBorders>
                  </w:tcPr>
                  <w:p w:rsidR="00DF7D0B" w:rsidRDefault="00FE7F64" w:rsidP="00DF7D0B">
                    <w:pPr>
                      <w:rPr>
                        <w:szCs w:val="21"/>
                      </w:rPr>
                    </w:pPr>
                    <w:r>
                      <w:rPr>
                        <w:rFonts w:hint="eastAsia"/>
                        <w:szCs w:val="21"/>
                      </w:rPr>
                      <w:t>七、3</w:t>
                    </w:r>
                    <w:r>
                      <w:rPr>
                        <w:szCs w:val="21"/>
                      </w:rPr>
                      <w:t>5</w:t>
                    </w:r>
                  </w:p>
                </w:tc>
                <w:tc>
                  <w:tcPr>
                    <w:tcW w:w="1411" w:type="pct"/>
                    <w:tcBorders>
                      <w:top w:val="outset" w:sz="6" w:space="0" w:color="auto"/>
                      <w:left w:val="outset" w:sz="6" w:space="0" w:color="auto"/>
                      <w:bottom w:val="outset" w:sz="6" w:space="0" w:color="auto"/>
                      <w:right w:val="outset" w:sz="6" w:space="0" w:color="auto"/>
                    </w:tcBorders>
                    <w:vAlign w:val="center"/>
                  </w:tcPr>
                  <w:p w:rsidR="00DF7D0B" w:rsidRDefault="00DF7D0B" w:rsidP="00DF7D0B">
                    <w:pPr>
                      <w:jc w:val="right"/>
                      <w:rPr>
                        <w:szCs w:val="21"/>
                      </w:rPr>
                    </w:pPr>
                    <w:r>
                      <w:t>1,436,875,670</w:t>
                    </w:r>
                  </w:p>
                </w:tc>
                <w:tc>
                  <w:tcPr>
                    <w:tcW w:w="1333" w:type="pct"/>
                    <w:tcBorders>
                      <w:top w:val="outset" w:sz="6" w:space="0" w:color="auto"/>
                      <w:left w:val="outset" w:sz="6" w:space="0" w:color="auto"/>
                      <w:bottom w:val="outset" w:sz="6" w:space="0" w:color="auto"/>
                      <w:right w:val="outset" w:sz="6" w:space="0" w:color="auto"/>
                    </w:tcBorders>
                    <w:vAlign w:val="center"/>
                  </w:tcPr>
                  <w:p w:rsidR="00DF7D0B" w:rsidRDefault="00DF7D0B" w:rsidP="00DF7D0B">
                    <w:pPr>
                      <w:jc w:val="right"/>
                      <w:rPr>
                        <w:szCs w:val="21"/>
                      </w:rPr>
                    </w:pPr>
                    <w:r>
                      <w:t>2,671,602,889</w:t>
                    </w:r>
                  </w:p>
                </w:tc>
              </w:tr>
              <w:tr w:rsidR="00DF7D0B" w:rsidTr="00601D47">
                <w:sdt>
                  <w:sdtPr>
                    <w:tag w:val="_PLD_2a406798c512441f8081bbc5adad15b0"/>
                    <w:id w:val="-130746890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DF7D0B" w:rsidRDefault="00DF7D0B" w:rsidP="00DF7D0B">
                        <w:pPr>
                          <w:ind w:firstLineChars="100" w:firstLine="210"/>
                          <w:rPr>
                            <w:szCs w:val="21"/>
                          </w:rPr>
                        </w:pPr>
                        <w:r>
                          <w:rPr>
                            <w:rFonts w:hint="eastAsia"/>
                            <w:szCs w:val="21"/>
                          </w:rPr>
                          <w:t>应付账款</w:t>
                        </w:r>
                      </w:p>
                    </w:tc>
                  </w:sdtContent>
                </w:sdt>
                <w:tc>
                  <w:tcPr>
                    <w:tcW w:w="627" w:type="pct"/>
                    <w:tcBorders>
                      <w:top w:val="outset" w:sz="6" w:space="0" w:color="auto"/>
                      <w:left w:val="outset" w:sz="6" w:space="0" w:color="auto"/>
                      <w:bottom w:val="outset" w:sz="6" w:space="0" w:color="auto"/>
                      <w:right w:val="outset" w:sz="6" w:space="0" w:color="auto"/>
                    </w:tcBorders>
                  </w:tcPr>
                  <w:p w:rsidR="00DF7D0B" w:rsidRDefault="00FE7F64" w:rsidP="00DF7D0B">
                    <w:pPr>
                      <w:rPr>
                        <w:szCs w:val="21"/>
                      </w:rPr>
                    </w:pPr>
                    <w:r>
                      <w:rPr>
                        <w:rFonts w:hint="eastAsia"/>
                        <w:szCs w:val="21"/>
                      </w:rPr>
                      <w:t>七、3</w:t>
                    </w:r>
                    <w:r>
                      <w:rPr>
                        <w:szCs w:val="21"/>
                      </w:rPr>
                      <w:t>6</w:t>
                    </w:r>
                  </w:p>
                </w:tc>
                <w:tc>
                  <w:tcPr>
                    <w:tcW w:w="1411" w:type="pct"/>
                    <w:tcBorders>
                      <w:top w:val="outset" w:sz="6" w:space="0" w:color="auto"/>
                      <w:left w:val="outset" w:sz="6" w:space="0" w:color="auto"/>
                      <w:bottom w:val="outset" w:sz="6" w:space="0" w:color="auto"/>
                      <w:right w:val="outset" w:sz="6" w:space="0" w:color="auto"/>
                    </w:tcBorders>
                    <w:vAlign w:val="center"/>
                  </w:tcPr>
                  <w:p w:rsidR="00DF7D0B" w:rsidRDefault="00DF7D0B" w:rsidP="00DF7D0B">
                    <w:pPr>
                      <w:jc w:val="right"/>
                      <w:rPr>
                        <w:szCs w:val="21"/>
                      </w:rPr>
                    </w:pPr>
                    <w:r>
                      <w:t>4,497,869,874</w:t>
                    </w:r>
                  </w:p>
                </w:tc>
                <w:tc>
                  <w:tcPr>
                    <w:tcW w:w="1333" w:type="pct"/>
                    <w:tcBorders>
                      <w:top w:val="outset" w:sz="6" w:space="0" w:color="auto"/>
                      <w:left w:val="outset" w:sz="6" w:space="0" w:color="auto"/>
                      <w:bottom w:val="outset" w:sz="6" w:space="0" w:color="auto"/>
                      <w:right w:val="outset" w:sz="6" w:space="0" w:color="auto"/>
                    </w:tcBorders>
                    <w:vAlign w:val="center"/>
                  </w:tcPr>
                  <w:p w:rsidR="00DF7D0B" w:rsidRDefault="00DF7D0B" w:rsidP="00DF7D0B">
                    <w:pPr>
                      <w:jc w:val="right"/>
                      <w:rPr>
                        <w:szCs w:val="21"/>
                      </w:rPr>
                    </w:pPr>
                    <w:r>
                      <w:t>3,260,448,885</w:t>
                    </w:r>
                  </w:p>
                </w:tc>
              </w:tr>
              <w:tr w:rsidR="00DF7D0B" w:rsidTr="00601D47">
                <w:sdt>
                  <w:sdtPr>
                    <w:tag w:val="_PLD_20eebd4b997049a6a32891dffc3c7c07"/>
                    <w:id w:val="195420547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DF7D0B" w:rsidRDefault="00DF7D0B" w:rsidP="00DF7D0B">
                        <w:pPr>
                          <w:ind w:firstLineChars="100" w:firstLine="210"/>
                          <w:rPr>
                            <w:szCs w:val="21"/>
                          </w:rPr>
                        </w:pPr>
                        <w:r>
                          <w:rPr>
                            <w:rFonts w:hint="eastAsia"/>
                            <w:szCs w:val="21"/>
                          </w:rPr>
                          <w:t>预收款项</w:t>
                        </w:r>
                      </w:p>
                    </w:tc>
                  </w:sdtContent>
                </w:sdt>
                <w:tc>
                  <w:tcPr>
                    <w:tcW w:w="627" w:type="pct"/>
                    <w:tcBorders>
                      <w:top w:val="outset" w:sz="6" w:space="0" w:color="auto"/>
                      <w:left w:val="outset" w:sz="6" w:space="0" w:color="auto"/>
                      <w:bottom w:val="outset" w:sz="6" w:space="0" w:color="auto"/>
                      <w:right w:val="outset" w:sz="6" w:space="0" w:color="auto"/>
                    </w:tcBorders>
                  </w:tcPr>
                  <w:p w:rsidR="00DF7D0B" w:rsidRDefault="00FE7F64" w:rsidP="00DF7D0B">
                    <w:pPr>
                      <w:rPr>
                        <w:szCs w:val="21"/>
                      </w:rPr>
                    </w:pPr>
                    <w:r>
                      <w:rPr>
                        <w:rFonts w:hint="eastAsia"/>
                        <w:szCs w:val="21"/>
                      </w:rPr>
                      <w:t>七、3</w:t>
                    </w:r>
                    <w:r>
                      <w:rPr>
                        <w:szCs w:val="21"/>
                      </w:rPr>
                      <w:t>7</w:t>
                    </w:r>
                  </w:p>
                </w:tc>
                <w:tc>
                  <w:tcPr>
                    <w:tcW w:w="1411" w:type="pct"/>
                    <w:tcBorders>
                      <w:top w:val="outset" w:sz="6" w:space="0" w:color="auto"/>
                      <w:left w:val="outset" w:sz="6" w:space="0" w:color="auto"/>
                      <w:bottom w:val="outset" w:sz="6" w:space="0" w:color="auto"/>
                      <w:right w:val="outset" w:sz="6" w:space="0" w:color="auto"/>
                    </w:tcBorders>
                    <w:vAlign w:val="center"/>
                  </w:tcPr>
                  <w:p w:rsidR="00DF7D0B" w:rsidRDefault="00DF7D0B" w:rsidP="00DF7D0B">
                    <w:pPr>
                      <w:jc w:val="right"/>
                      <w:rPr>
                        <w:szCs w:val="21"/>
                      </w:rPr>
                    </w:pPr>
                    <w:r>
                      <w:t>9,802,580</w:t>
                    </w:r>
                  </w:p>
                </w:tc>
                <w:tc>
                  <w:tcPr>
                    <w:tcW w:w="1333" w:type="pct"/>
                    <w:tcBorders>
                      <w:top w:val="outset" w:sz="6" w:space="0" w:color="auto"/>
                      <w:left w:val="outset" w:sz="6" w:space="0" w:color="auto"/>
                      <w:bottom w:val="outset" w:sz="6" w:space="0" w:color="auto"/>
                      <w:right w:val="outset" w:sz="6" w:space="0" w:color="auto"/>
                    </w:tcBorders>
                    <w:vAlign w:val="center"/>
                  </w:tcPr>
                  <w:p w:rsidR="00DF7D0B" w:rsidRDefault="00DF7D0B" w:rsidP="00DF7D0B">
                    <w:pPr>
                      <w:jc w:val="right"/>
                      <w:rPr>
                        <w:szCs w:val="21"/>
                      </w:rPr>
                    </w:pPr>
                    <w:r>
                      <w:t>6,840,252</w:t>
                    </w:r>
                  </w:p>
                </w:tc>
              </w:tr>
              <w:tr w:rsidR="00DF7D0B" w:rsidTr="00601D47">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686f3caf0cdc420fadd0550fed1bf110"/>
                      <w:id w:val="-626858509"/>
                      <w:lock w:val="sdtLocked"/>
                    </w:sdtPr>
                    <w:sdtContent>
                      <w:p w:rsidR="00DF7D0B" w:rsidRDefault="00DF7D0B" w:rsidP="00DF7D0B">
                        <w:pPr>
                          <w:ind w:firstLineChars="100" w:firstLine="210"/>
                        </w:pPr>
                        <w:r>
                          <w:rPr>
                            <w:rFonts w:hint="eastAsia"/>
                          </w:rPr>
                          <w:t>合同负债</w:t>
                        </w:r>
                      </w:p>
                    </w:sdtContent>
                  </w:sdt>
                </w:tc>
                <w:tc>
                  <w:tcPr>
                    <w:tcW w:w="627" w:type="pct"/>
                    <w:tcBorders>
                      <w:top w:val="outset" w:sz="6" w:space="0" w:color="auto"/>
                      <w:left w:val="outset" w:sz="6" w:space="0" w:color="auto"/>
                      <w:bottom w:val="outset" w:sz="6" w:space="0" w:color="auto"/>
                      <w:right w:val="outset" w:sz="6" w:space="0" w:color="auto"/>
                    </w:tcBorders>
                  </w:tcPr>
                  <w:p w:rsidR="00DF7D0B" w:rsidRDefault="00FE7F64" w:rsidP="00DF7D0B">
                    <w:pPr>
                      <w:rPr>
                        <w:szCs w:val="21"/>
                      </w:rPr>
                    </w:pPr>
                    <w:r>
                      <w:rPr>
                        <w:rFonts w:hint="eastAsia"/>
                        <w:szCs w:val="21"/>
                      </w:rPr>
                      <w:t>七、3</w:t>
                    </w:r>
                    <w:r>
                      <w:rPr>
                        <w:szCs w:val="21"/>
                      </w:rPr>
                      <w:t>8</w:t>
                    </w:r>
                  </w:p>
                </w:tc>
                <w:tc>
                  <w:tcPr>
                    <w:tcW w:w="1411" w:type="pct"/>
                    <w:tcBorders>
                      <w:top w:val="outset" w:sz="6" w:space="0" w:color="auto"/>
                      <w:left w:val="outset" w:sz="6" w:space="0" w:color="auto"/>
                      <w:bottom w:val="outset" w:sz="6" w:space="0" w:color="auto"/>
                      <w:right w:val="outset" w:sz="6" w:space="0" w:color="auto"/>
                    </w:tcBorders>
                    <w:vAlign w:val="center"/>
                  </w:tcPr>
                  <w:p w:rsidR="00DF7D0B" w:rsidRDefault="00DF7D0B" w:rsidP="00DF7D0B">
                    <w:pPr>
                      <w:jc w:val="right"/>
                      <w:rPr>
                        <w:szCs w:val="21"/>
                      </w:rPr>
                    </w:pPr>
                    <w:r>
                      <w:t>2,027,536,014</w:t>
                    </w:r>
                  </w:p>
                </w:tc>
                <w:tc>
                  <w:tcPr>
                    <w:tcW w:w="1333" w:type="pct"/>
                    <w:tcBorders>
                      <w:top w:val="outset" w:sz="6" w:space="0" w:color="auto"/>
                      <w:left w:val="outset" w:sz="6" w:space="0" w:color="auto"/>
                      <w:bottom w:val="outset" w:sz="6" w:space="0" w:color="auto"/>
                      <w:right w:val="outset" w:sz="6" w:space="0" w:color="auto"/>
                    </w:tcBorders>
                    <w:vAlign w:val="center"/>
                  </w:tcPr>
                  <w:p w:rsidR="00DF7D0B" w:rsidRDefault="00DF7D0B" w:rsidP="00DF7D0B">
                    <w:pPr>
                      <w:jc w:val="right"/>
                      <w:rPr>
                        <w:szCs w:val="21"/>
                      </w:rPr>
                    </w:pPr>
                    <w:r>
                      <w:t>1,762,030,109</w:t>
                    </w:r>
                  </w:p>
                </w:tc>
              </w:tr>
              <w:tr w:rsidR="00DF7D0B" w:rsidTr="00EC233F">
                <w:sdt>
                  <w:sdtPr>
                    <w:tag w:val="_PLD_430f7262e17647e18922c2ca6ae4d4b6"/>
                    <w:id w:val="209034850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DF7D0B" w:rsidRDefault="00DF7D0B" w:rsidP="00DF7D0B">
                        <w:pPr>
                          <w:ind w:firstLineChars="100" w:firstLine="210"/>
                          <w:rPr>
                            <w:szCs w:val="21"/>
                          </w:rPr>
                        </w:pPr>
                        <w:r>
                          <w:rPr>
                            <w:rFonts w:hint="eastAsia"/>
                            <w:szCs w:val="21"/>
                          </w:rPr>
                          <w:t>卖出回购金融资产款</w:t>
                        </w:r>
                      </w:p>
                    </w:tc>
                  </w:sdtContent>
                </w:sdt>
                <w:tc>
                  <w:tcPr>
                    <w:tcW w:w="627" w:type="pct"/>
                    <w:tcBorders>
                      <w:top w:val="outset" w:sz="6" w:space="0" w:color="auto"/>
                      <w:left w:val="outset" w:sz="6" w:space="0" w:color="auto"/>
                      <w:bottom w:val="outset" w:sz="6" w:space="0" w:color="auto"/>
                      <w:right w:val="outset" w:sz="6" w:space="0" w:color="auto"/>
                    </w:tcBorders>
                  </w:tcPr>
                  <w:p w:rsidR="00DF7D0B" w:rsidRDefault="00DF7D0B" w:rsidP="00DF7D0B">
                    <w:pPr>
                      <w:rPr>
                        <w:szCs w:val="21"/>
                      </w:rPr>
                    </w:pPr>
                  </w:p>
                </w:tc>
                <w:tc>
                  <w:tcPr>
                    <w:tcW w:w="1411" w:type="pct"/>
                    <w:tcBorders>
                      <w:top w:val="outset" w:sz="6" w:space="0" w:color="auto"/>
                      <w:left w:val="outset" w:sz="6" w:space="0" w:color="auto"/>
                      <w:bottom w:val="outset" w:sz="6" w:space="0" w:color="auto"/>
                      <w:right w:val="outset" w:sz="6" w:space="0" w:color="auto"/>
                    </w:tcBorders>
                  </w:tcPr>
                  <w:p w:rsidR="00DF7D0B" w:rsidRDefault="00DF7D0B" w:rsidP="00DF7D0B">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DF7D0B" w:rsidRDefault="00DF7D0B" w:rsidP="00DF7D0B">
                    <w:pPr>
                      <w:jc w:val="right"/>
                      <w:rPr>
                        <w:szCs w:val="21"/>
                      </w:rPr>
                    </w:pPr>
                  </w:p>
                </w:tc>
              </w:tr>
              <w:tr w:rsidR="00DF7D0B" w:rsidTr="00EC233F">
                <w:sdt>
                  <w:sdtPr>
                    <w:tag w:val="_PLD_0ef5c7b7ee6d4982a8e1a17bf247159c"/>
                    <w:id w:val="-121049261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DF7D0B" w:rsidRDefault="00DF7D0B" w:rsidP="00DF7D0B">
                        <w:pPr>
                          <w:ind w:firstLineChars="100" w:firstLine="210"/>
                          <w:rPr>
                            <w:szCs w:val="21"/>
                          </w:rPr>
                        </w:pPr>
                        <w:r>
                          <w:rPr>
                            <w:rFonts w:hint="eastAsia"/>
                            <w:szCs w:val="21"/>
                          </w:rPr>
                          <w:t>吸收存款及同业存放</w:t>
                        </w:r>
                      </w:p>
                    </w:tc>
                  </w:sdtContent>
                </w:sdt>
                <w:tc>
                  <w:tcPr>
                    <w:tcW w:w="627" w:type="pct"/>
                    <w:tcBorders>
                      <w:top w:val="outset" w:sz="6" w:space="0" w:color="auto"/>
                      <w:left w:val="outset" w:sz="6" w:space="0" w:color="auto"/>
                      <w:bottom w:val="outset" w:sz="6" w:space="0" w:color="auto"/>
                      <w:right w:val="outset" w:sz="6" w:space="0" w:color="auto"/>
                    </w:tcBorders>
                  </w:tcPr>
                  <w:p w:rsidR="00DF7D0B" w:rsidRDefault="00DF7D0B" w:rsidP="00DF7D0B">
                    <w:pPr>
                      <w:rPr>
                        <w:szCs w:val="21"/>
                      </w:rPr>
                    </w:pPr>
                  </w:p>
                </w:tc>
                <w:tc>
                  <w:tcPr>
                    <w:tcW w:w="1411" w:type="pct"/>
                    <w:tcBorders>
                      <w:top w:val="outset" w:sz="6" w:space="0" w:color="auto"/>
                      <w:left w:val="outset" w:sz="6" w:space="0" w:color="auto"/>
                      <w:bottom w:val="outset" w:sz="6" w:space="0" w:color="auto"/>
                      <w:right w:val="outset" w:sz="6" w:space="0" w:color="auto"/>
                    </w:tcBorders>
                  </w:tcPr>
                  <w:p w:rsidR="00DF7D0B" w:rsidRDefault="00DF7D0B" w:rsidP="00DF7D0B">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DF7D0B" w:rsidRDefault="00DF7D0B" w:rsidP="00DF7D0B">
                    <w:pPr>
                      <w:jc w:val="right"/>
                      <w:rPr>
                        <w:szCs w:val="21"/>
                      </w:rPr>
                    </w:pPr>
                  </w:p>
                </w:tc>
              </w:tr>
              <w:tr w:rsidR="00DF7D0B" w:rsidTr="00EC233F">
                <w:sdt>
                  <w:sdtPr>
                    <w:tag w:val="_PLD_7f5445e6b858401896f00dfa0d0ee279"/>
                    <w:id w:val="-177015053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DF7D0B" w:rsidRDefault="00DF7D0B" w:rsidP="00DF7D0B">
                        <w:pPr>
                          <w:ind w:firstLineChars="100" w:firstLine="210"/>
                          <w:rPr>
                            <w:szCs w:val="21"/>
                          </w:rPr>
                        </w:pPr>
                        <w:r>
                          <w:rPr>
                            <w:rFonts w:hint="eastAsia"/>
                            <w:szCs w:val="21"/>
                          </w:rPr>
                          <w:t>代理买卖证券款</w:t>
                        </w:r>
                      </w:p>
                    </w:tc>
                  </w:sdtContent>
                </w:sdt>
                <w:tc>
                  <w:tcPr>
                    <w:tcW w:w="627" w:type="pct"/>
                    <w:tcBorders>
                      <w:top w:val="outset" w:sz="6" w:space="0" w:color="auto"/>
                      <w:left w:val="outset" w:sz="6" w:space="0" w:color="auto"/>
                      <w:bottom w:val="outset" w:sz="6" w:space="0" w:color="auto"/>
                      <w:right w:val="outset" w:sz="6" w:space="0" w:color="auto"/>
                    </w:tcBorders>
                  </w:tcPr>
                  <w:p w:rsidR="00DF7D0B" w:rsidRDefault="00DF7D0B" w:rsidP="00DF7D0B">
                    <w:pPr>
                      <w:rPr>
                        <w:szCs w:val="21"/>
                      </w:rPr>
                    </w:pPr>
                  </w:p>
                </w:tc>
                <w:tc>
                  <w:tcPr>
                    <w:tcW w:w="1411" w:type="pct"/>
                    <w:tcBorders>
                      <w:top w:val="outset" w:sz="6" w:space="0" w:color="auto"/>
                      <w:left w:val="outset" w:sz="6" w:space="0" w:color="auto"/>
                      <w:bottom w:val="outset" w:sz="6" w:space="0" w:color="auto"/>
                      <w:right w:val="outset" w:sz="6" w:space="0" w:color="auto"/>
                    </w:tcBorders>
                  </w:tcPr>
                  <w:p w:rsidR="00DF7D0B" w:rsidRDefault="00DF7D0B" w:rsidP="00DF7D0B">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DF7D0B" w:rsidRDefault="00DF7D0B" w:rsidP="00DF7D0B">
                    <w:pPr>
                      <w:jc w:val="right"/>
                      <w:rPr>
                        <w:szCs w:val="21"/>
                      </w:rPr>
                    </w:pPr>
                  </w:p>
                </w:tc>
              </w:tr>
              <w:tr w:rsidR="00DF7D0B" w:rsidTr="00EC233F">
                <w:sdt>
                  <w:sdtPr>
                    <w:tag w:val="_PLD_f1b4e780d2024bd989919bd0c556bc6f"/>
                    <w:id w:val="-147929892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DF7D0B" w:rsidRDefault="00DF7D0B" w:rsidP="00DF7D0B">
                        <w:pPr>
                          <w:ind w:firstLineChars="100" w:firstLine="210"/>
                          <w:rPr>
                            <w:szCs w:val="21"/>
                          </w:rPr>
                        </w:pPr>
                        <w:r>
                          <w:rPr>
                            <w:rFonts w:hint="eastAsia"/>
                            <w:szCs w:val="21"/>
                          </w:rPr>
                          <w:t>代理承销证券款</w:t>
                        </w:r>
                      </w:p>
                    </w:tc>
                  </w:sdtContent>
                </w:sdt>
                <w:tc>
                  <w:tcPr>
                    <w:tcW w:w="627" w:type="pct"/>
                    <w:tcBorders>
                      <w:top w:val="outset" w:sz="6" w:space="0" w:color="auto"/>
                      <w:left w:val="outset" w:sz="6" w:space="0" w:color="auto"/>
                      <w:bottom w:val="outset" w:sz="6" w:space="0" w:color="auto"/>
                      <w:right w:val="outset" w:sz="6" w:space="0" w:color="auto"/>
                    </w:tcBorders>
                  </w:tcPr>
                  <w:p w:rsidR="00DF7D0B" w:rsidRDefault="00DF7D0B" w:rsidP="00DF7D0B">
                    <w:pPr>
                      <w:rPr>
                        <w:szCs w:val="21"/>
                      </w:rPr>
                    </w:pPr>
                  </w:p>
                </w:tc>
                <w:tc>
                  <w:tcPr>
                    <w:tcW w:w="1411" w:type="pct"/>
                    <w:tcBorders>
                      <w:top w:val="outset" w:sz="6" w:space="0" w:color="auto"/>
                      <w:left w:val="outset" w:sz="6" w:space="0" w:color="auto"/>
                      <w:bottom w:val="outset" w:sz="6" w:space="0" w:color="auto"/>
                      <w:right w:val="outset" w:sz="6" w:space="0" w:color="auto"/>
                    </w:tcBorders>
                  </w:tcPr>
                  <w:p w:rsidR="00DF7D0B" w:rsidRDefault="00DF7D0B" w:rsidP="00DF7D0B">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DF7D0B" w:rsidRDefault="00DF7D0B" w:rsidP="00DF7D0B">
                    <w:pPr>
                      <w:jc w:val="right"/>
                      <w:rPr>
                        <w:szCs w:val="21"/>
                      </w:rPr>
                    </w:pPr>
                  </w:p>
                </w:tc>
              </w:tr>
              <w:tr w:rsidR="00DF7D0B" w:rsidTr="00601D47">
                <w:sdt>
                  <w:sdtPr>
                    <w:tag w:val="_PLD_cf0acb61949f46188cd1621250f66945"/>
                    <w:id w:val="-74010624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DF7D0B" w:rsidRDefault="00DF7D0B" w:rsidP="00DF7D0B">
                        <w:pPr>
                          <w:ind w:firstLineChars="100" w:firstLine="210"/>
                          <w:rPr>
                            <w:szCs w:val="21"/>
                          </w:rPr>
                        </w:pPr>
                        <w:r>
                          <w:rPr>
                            <w:rFonts w:hint="eastAsia"/>
                            <w:szCs w:val="21"/>
                          </w:rPr>
                          <w:t>应付职工薪酬</w:t>
                        </w:r>
                      </w:p>
                    </w:tc>
                  </w:sdtContent>
                </w:sdt>
                <w:tc>
                  <w:tcPr>
                    <w:tcW w:w="627" w:type="pct"/>
                    <w:tcBorders>
                      <w:top w:val="outset" w:sz="6" w:space="0" w:color="auto"/>
                      <w:left w:val="outset" w:sz="6" w:space="0" w:color="auto"/>
                      <w:bottom w:val="outset" w:sz="6" w:space="0" w:color="auto"/>
                      <w:right w:val="outset" w:sz="6" w:space="0" w:color="auto"/>
                    </w:tcBorders>
                  </w:tcPr>
                  <w:p w:rsidR="00DF7D0B" w:rsidRDefault="00FE7F64" w:rsidP="00DF7D0B">
                    <w:pPr>
                      <w:rPr>
                        <w:szCs w:val="21"/>
                      </w:rPr>
                    </w:pPr>
                    <w:r>
                      <w:rPr>
                        <w:rFonts w:hint="eastAsia"/>
                        <w:szCs w:val="21"/>
                      </w:rPr>
                      <w:t>七、3</w:t>
                    </w:r>
                    <w:r>
                      <w:rPr>
                        <w:szCs w:val="21"/>
                      </w:rPr>
                      <w:t>9</w:t>
                    </w:r>
                  </w:p>
                </w:tc>
                <w:tc>
                  <w:tcPr>
                    <w:tcW w:w="1411" w:type="pct"/>
                    <w:tcBorders>
                      <w:top w:val="outset" w:sz="6" w:space="0" w:color="auto"/>
                      <w:left w:val="outset" w:sz="6" w:space="0" w:color="auto"/>
                      <w:bottom w:val="outset" w:sz="6" w:space="0" w:color="auto"/>
                      <w:right w:val="outset" w:sz="6" w:space="0" w:color="auto"/>
                    </w:tcBorders>
                    <w:vAlign w:val="center"/>
                  </w:tcPr>
                  <w:p w:rsidR="00DF7D0B" w:rsidRDefault="00DF7D0B" w:rsidP="00DF7D0B">
                    <w:pPr>
                      <w:jc w:val="right"/>
                      <w:rPr>
                        <w:szCs w:val="21"/>
                      </w:rPr>
                    </w:pPr>
                    <w:r>
                      <w:t>2,772,373,744</w:t>
                    </w:r>
                  </w:p>
                </w:tc>
                <w:tc>
                  <w:tcPr>
                    <w:tcW w:w="1333" w:type="pct"/>
                    <w:tcBorders>
                      <w:top w:val="outset" w:sz="6" w:space="0" w:color="auto"/>
                      <w:left w:val="outset" w:sz="6" w:space="0" w:color="auto"/>
                      <w:bottom w:val="outset" w:sz="6" w:space="0" w:color="auto"/>
                      <w:right w:val="outset" w:sz="6" w:space="0" w:color="auto"/>
                    </w:tcBorders>
                    <w:vAlign w:val="center"/>
                  </w:tcPr>
                  <w:p w:rsidR="00DF7D0B" w:rsidRDefault="00DF7D0B" w:rsidP="00DF7D0B">
                    <w:pPr>
                      <w:jc w:val="right"/>
                      <w:rPr>
                        <w:szCs w:val="21"/>
                      </w:rPr>
                    </w:pPr>
                    <w:r>
                      <w:t>1,171,197,920</w:t>
                    </w:r>
                  </w:p>
                </w:tc>
              </w:tr>
              <w:tr w:rsidR="00DF7D0B" w:rsidTr="00601D47">
                <w:sdt>
                  <w:sdtPr>
                    <w:tag w:val="_PLD_84e2bb58eb4945e09a2838c05afaaea0"/>
                    <w:id w:val="-94399946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DF7D0B" w:rsidRDefault="00DF7D0B" w:rsidP="00DF7D0B">
                        <w:pPr>
                          <w:ind w:firstLineChars="100" w:firstLine="210"/>
                          <w:rPr>
                            <w:szCs w:val="21"/>
                          </w:rPr>
                        </w:pPr>
                        <w:r>
                          <w:rPr>
                            <w:rFonts w:hint="eastAsia"/>
                            <w:szCs w:val="21"/>
                          </w:rPr>
                          <w:t>应交税费</w:t>
                        </w:r>
                      </w:p>
                    </w:tc>
                  </w:sdtContent>
                </w:sdt>
                <w:tc>
                  <w:tcPr>
                    <w:tcW w:w="627" w:type="pct"/>
                    <w:tcBorders>
                      <w:top w:val="outset" w:sz="6" w:space="0" w:color="auto"/>
                      <w:left w:val="outset" w:sz="6" w:space="0" w:color="auto"/>
                      <w:bottom w:val="outset" w:sz="6" w:space="0" w:color="auto"/>
                      <w:right w:val="outset" w:sz="6" w:space="0" w:color="auto"/>
                    </w:tcBorders>
                  </w:tcPr>
                  <w:p w:rsidR="00DF7D0B" w:rsidRDefault="00FE7F64" w:rsidP="00DF7D0B">
                    <w:pPr>
                      <w:rPr>
                        <w:szCs w:val="21"/>
                      </w:rPr>
                    </w:pPr>
                    <w:r w:rsidRPr="00FE7F64">
                      <w:rPr>
                        <w:rFonts w:hint="eastAsia"/>
                        <w:szCs w:val="21"/>
                      </w:rPr>
                      <w:t>七、</w:t>
                    </w:r>
                    <w:r>
                      <w:rPr>
                        <w:rFonts w:hint="eastAsia"/>
                        <w:szCs w:val="21"/>
                      </w:rPr>
                      <w:t>4</w:t>
                    </w:r>
                    <w:r>
                      <w:rPr>
                        <w:szCs w:val="21"/>
                      </w:rPr>
                      <w:t>0</w:t>
                    </w:r>
                  </w:p>
                </w:tc>
                <w:tc>
                  <w:tcPr>
                    <w:tcW w:w="1411" w:type="pct"/>
                    <w:tcBorders>
                      <w:top w:val="outset" w:sz="6" w:space="0" w:color="auto"/>
                      <w:left w:val="outset" w:sz="6" w:space="0" w:color="auto"/>
                      <w:bottom w:val="outset" w:sz="6" w:space="0" w:color="auto"/>
                      <w:right w:val="outset" w:sz="6" w:space="0" w:color="auto"/>
                    </w:tcBorders>
                    <w:vAlign w:val="center"/>
                  </w:tcPr>
                  <w:p w:rsidR="00DF7D0B" w:rsidRDefault="00DF7D0B" w:rsidP="00DF7D0B">
                    <w:pPr>
                      <w:jc w:val="right"/>
                      <w:rPr>
                        <w:szCs w:val="21"/>
                      </w:rPr>
                    </w:pPr>
                    <w:r>
                      <w:t>533,153,284</w:t>
                    </w:r>
                  </w:p>
                </w:tc>
                <w:tc>
                  <w:tcPr>
                    <w:tcW w:w="1333" w:type="pct"/>
                    <w:tcBorders>
                      <w:top w:val="outset" w:sz="6" w:space="0" w:color="auto"/>
                      <w:left w:val="outset" w:sz="6" w:space="0" w:color="auto"/>
                      <w:bottom w:val="outset" w:sz="6" w:space="0" w:color="auto"/>
                      <w:right w:val="outset" w:sz="6" w:space="0" w:color="auto"/>
                    </w:tcBorders>
                    <w:vAlign w:val="center"/>
                  </w:tcPr>
                  <w:p w:rsidR="00DF7D0B" w:rsidRDefault="00DF7D0B" w:rsidP="00DF7D0B">
                    <w:pPr>
                      <w:jc w:val="right"/>
                      <w:rPr>
                        <w:szCs w:val="21"/>
                      </w:rPr>
                    </w:pPr>
                    <w:r>
                      <w:t>2,093,755,188</w:t>
                    </w:r>
                  </w:p>
                </w:tc>
              </w:tr>
              <w:tr w:rsidR="00DF7D0B" w:rsidTr="00601D47">
                <w:sdt>
                  <w:sdtPr>
                    <w:tag w:val="_PLD_5e34a66f4155477bb455beea16030cda"/>
                    <w:id w:val="-162390924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DF7D0B" w:rsidRDefault="00DF7D0B" w:rsidP="00DF7D0B">
                        <w:pPr>
                          <w:ind w:firstLineChars="100" w:firstLine="210"/>
                          <w:rPr>
                            <w:szCs w:val="21"/>
                          </w:rPr>
                        </w:pPr>
                        <w:r>
                          <w:rPr>
                            <w:rFonts w:hint="eastAsia"/>
                            <w:szCs w:val="21"/>
                          </w:rPr>
                          <w:t>其他应付款</w:t>
                        </w:r>
                      </w:p>
                    </w:tc>
                  </w:sdtContent>
                </w:sdt>
                <w:tc>
                  <w:tcPr>
                    <w:tcW w:w="627" w:type="pct"/>
                    <w:tcBorders>
                      <w:top w:val="outset" w:sz="6" w:space="0" w:color="auto"/>
                      <w:left w:val="outset" w:sz="6" w:space="0" w:color="auto"/>
                      <w:bottom w:val="outset" w:sz="6" w:space="0" w:color="auto"/>
                      <w:right w:val="outset" w:sz="6" w:space="0" w:color="auto"/>
                    </w:tcBorders>
                  </w:tcPr>
                  <w:p w:rsidR="00DF7D0B" w:rsidRDefault="00FE7F64" w:rsidP="00DF7D0B">
                    <w:pPr>
                      <w:rPr>
                        <w:szCs w:val="21"/>
                      </w:rPr>
                    </w:pPr>
                    <w:r>
                      <w:rPr>
                        <w:rFonts w:hint="eastAsia"/>
                        <w:szCs w:val="21"/>
                      </w:rPr>
                      <w:t>七、4</w:t>
                    </w:r>
                    <w:r>
                      <w:rPr>
                        <w:szCs w:val="21"/>
                      </w:rPr>
                      <w:t>1</w:t>
                    </w:r>
                  </w:p>
                </w:tc>
                <w:tc>
                  <w:tcPr>
                    <w:tcW w:w="1411" w:type="pct"/>
                    <w:tcBorders>
                      <w:top w:val="outset" w:sz="6" w:space="0" w:color="auto"/>
                      <w:left w:val="outset" w:sz="6" w:space="0" w:color="auto"/>
                      <w:bottom w:val="outset" w:sz="6" w:space="0" w:color="auto"/>
                      <w:right w:val="outset" w:sz="6" w:space="0" w:color="auto"/>
                    </w:tcBorders>
                    <w:vAlign w:val="center"/>
                  </w:tcPr>
                  <w:p w:rsidR="00DF7D0B" w:rsidRDefault="00DF7D0B" w:rsidP="00DF7D0B">
                    <w:pPr>
                      <w:jc w:val="right"/>
                      <w:rPr>
                        <w:szCs w:val="21"/>
                      </w:rPr>
                    </w:pPr>
                    <w:r>
                      <w:t>4,820,133,840</w:t>
                    </w:r>
                  </w:p>
                </w:tc>
                <w:tc>
                  <w:tcPr>
                    <w:tcW w:w="1333" w:type="pct"/>
                    <w:tcBorders>
                      <w:top w:val="outset" w:sz="6" w:space="0" w:color="auto"/>
                      <w:left w:val="outset" w:sz="6" w:space="0" w:color="auto"/>
                      <w:bottom w:val="outset" w:sz="6" w:space="0" w:color="auto"/>
                      <w:right w:val="outset" w:sz="6" w:space="0" w:color="auto"/>
                    </w:tcBorders>
                    <w:vAlign w:val="center"/>
                  </w:tcPr>
                  <w:p w:rsidR="00DF7D0B" w:rsidRDefault="00DF7D0B" w:rsidP="00DF7D0B">
                    <w:pPr>
                      <w:jc w:val="right"/>
                      <w:rPr>
                        <w:szCs w:val="21"/>
                      </w:rPr>
                    </w:pPr>
                    <w:r>
                      <w:t>5,358,452,297</w:t>
                    </w:r>
                  </w:p>
                </w:tc>
              </w:tr>
              <w:tr w:rsidR="00DF7D0B" w:rsidTr="00EC233F">
                <w:sdt>
                  <w:sdtPr>
                    <w:tag w:val="_PLD_bb9b2e0555564f6fba15e4c6286edf1e"/>
                    <w:id w:val="26427886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DF7D0B" w:rsidRDefault="00DF7D0B" w:rsidP="00DF7D0B">
                        <w:pPr>
                          <w:ind w:firstLineChars="100" w:firstLine="210"/>
                          <w:rPr>
                            <w:szCs w:val="21"/>
                          </w:rPr>
                        </w:pPr>
                        <w:r>
                          <w:rPr>
                            <w:rFonts w:hint="eastAsia"/>
                          </w:rPr>
                          <w:t>其中：</w:t>
                        </w:r>
                        <w:r>
                          <w:rPr>
                            <w:rFonts w:hint="eastAsia"/>
                            <w:szCs w:val="21"/>
                          </w:rPr>
                          <w:t>应付利息</w:t>
                        </w:r>
                      </w:p>
                    </w:tc>
                  </w:sdtContent>
                </w:sdt>
                <w:tc>
                  <w:tcPr>
                    <w:tcW w:w="627" w:type="pct"/>
                    <w:tcBorders>
                      <w:top w:val="outset" w:sz="6" w:space="0" w:color="auto"/>
                      <w:left w:val="outset" w:sz="6" w:space="0" w:color="auto"/>
                      <w:bottom w:val="outset" w:sz="6" w:space="0" w:color="auto"/>
                      <w:right w:val="outset" w:sz="6" w:space="0" w:color="auto"/>
                    </w:tcBorders>
                  </w:tcPr>
                  <w:p w:rsidR="00DF7D0B" w:rsidRDefault="00DF7D0B" w:rsidP="00DF7D0B">
                    <w:pPr>
                      <w:rPr>
                        <w:szCs w:val="21"/>
                      </w:rPr>
                    </w:pPr>
                  </w:p>
                </w:tc>
                <w:tc>
                  <w:tcPr>
                    <w:tcW w:w="1411" w:type="pct"/>
                    <w:tcBorders>
                      <w:top w:val="outset" w:sz="6" w:space="0" w:color="auto"/>
                      <w:left w:val="outset" w:sz="6" w:space="0" w:color="auto"/>
                      <w:bottom w:val="outset" w:sz="6" w:space="0" w:color="auto"/>
                      <w:right w:val="outset" w:sz="6" w:space="0" w:color="auto"/>
                    </w:tcBorders>
                  </w:tcPr>
                  <w:p w:rsidR="00DF7D0B" w:rsidRDefault="00DF7D0B" w:rsidP="00DF7D0B">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DF7D0B" w:rsidRDefault="00DF7D0B" w:rsidP="00DF7D0B">
                    <w:pPr>
                      <w:jc w:val="right"/>
                      <w:rPr>
                        <w:szCs w:val="21"/>
                      </w:rPr>
                    </w:pPr>
                  </w:p>
                </w:tc>
              </w:tr>
              <w:tr w:rsidR="00DF7D0B" w:rsidTr="00EC233F">
                <w:sdt>
                  <w:sdtPr>
                    <w:tag w:val="_PLD_a68c8cb21a1b4f9b8b32504007df5028"/>
                    <w:id w:val="51173310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DF7D0B" w:rsidRDefault="00DF7D0B" w:rsidP="00DF7D0B">
                        <w:pPr>
                          <w:ind w:firstLineChars="400" w:firstLine="840"/>
                          <w:rPr>
                            <w:szCs w:val="21"/>
                          </w:rPr>
                        </w:pPr>
                        <w:r>
                          <w:rPr>
                            <w:rFonts w:hint="eastAsia"/>
                            <w:szCs w:val="21"/>
                          </w:rPr>
                          <w:t>应付股利</w:t>
                        </w:r>
                      </w:p>
                    </w:tc>
                  </w:sdtContent>
                </w:sdt>
                <w:tc>
                  <w:tcPr>
                    <w:tcW w:w="627" w:type="pct"/>
                    <w:tcBorders>
                      <w:top w:val="outset" w:sz="6" w:space="0" w:color="auto"/>
                      <w:left w:val="outset" w:sz="6" w:space="0" w:color="auto"/>
                      <w:bottom w:val="outset" w:sz="6" w:space="0" w:color="auto"/>
                      <w:right w:val="outset" w:sz="6" w:space="0" w:color="auto"/>
                    </w:tcBorders>
                  </w:tcPr>
                  <w:p w:rsidR="00DF7D0B" w:rsidRDefault="00DF7D0B" w:rsidP="00DF7D0B">
                    <w:pPr>
                      <w:rPr>
                        <w:szCs w:val="21"/>
                      </w:rPr>
                    </w:pPr>
                  </w:p>
                </w:tc>
                <w:tc>
                  <w:tcPr>
                    <w:tcW w:w="1411" w:type="pct"/>
                    <w:tcBorders>
                      <w:top w:val="outset" w:sz="6" w:space="0" w:color="auto"/>
                      <w:left w:val="outset" w:sz="6" w:space="0" w:color="auto"/>
                      <w:bottom w:val="outset" w:sz="6" w:space="0" w:color="auto"/>
                      <w:right w:val="outset" w:sz="6" w:space="0" w:color="auto"/>
                    </w:tcBorders>
                  </w:tcPr>
                  <w:p w:rsidR="00DF7D0B" w:rsidRDefault="00A92116" w:rsidP="00DF7D0B">
                    <w:pPr>
                      <w:jc w:val="right"/>
                      <w:rPr>
                        <w:szCs w:val="21"/>
                      </w:rPr>
                    </w:pPr>
                    <w:r w:rsidRPr="00A92116">
                      <w:rPr>
                        <w:szCs w:val="21"/>
                      </w:rPr>
                      <w:t>274,552</w:t>
                    </w:r>
                  </w:p>
                </w:tc>
                <w:tc>
                  <w:tcPr>
                    <w:tcW w:w="1333" w:type="pct"/>
                    <w:tcBorders>
                      <w:top w:val="outset" w:sz="6" w:space="0" w:color="auto"/>
                      <w:left w:val="outset" w:sz="6" w:space="0" w:color="auto"/>
                      <w:bottom w:val="outset" w:sz="6" w:space="0" w:color="auto"/>
                      <w:right w:val="outset" w:sz="6" w:space="0" w:color="auto"/>
                    </w:tcBorders>
                  </w:tcPr>
                  <w:p w:rsidR="00DF7D0B" w:rsidRDefault="00A92116" w:rsidP="00DF7D0B">
                    <w:pPr>
                      <w:jc w:val="right"/>
                      <w:rPr>
                        <w:szCs w:val="21"/>
                      </w:rPr>
                    </w:pPr>
                    <w:r w:rsidRPr="00A92116">
                      <w:rPr>
                        <w:szCs w:val="21"/>
                      </w:rPr>
                      <w:t>274,552</w:t>
                    </w:r>
                  </w:p>
                </w:tc>
              </w:tr>
              <w:tr w:rsidR="00DF7D0B" w:rsidTr="00EC233F">
                <w:sdt>
                  <w:sdtPr>
                    <w:tag w:val="_PLD_116187b0647f473fb47a3666ea3cceed"/>
                    <w:id w:val="-77956843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DF7D0B" w:rsidRDefault="00DF7D0B" w:rsidP="00DF7D0B">
                        <w:pPr>
                          <w:ind w:firstLineChars="100" w:firstLine="210"/>
                          <w:rPr>
                            <w:szCs w:val="21"/>
                          </w:rPr>
                        </w:pPr>
                        <w:r>
                          <w:rPr>
                            <w:rFonts w:hint="eastAsia"/>
                            <w:szCs w:val="21"/>
                          </w:rPr>
                          <w:t>应付手续费及佣金</w:t>
                        </w:r>
                      </w:p>
                    </w:tc>
                  </w:sdtContent>
                </w:sdt>
                <w:tc>
                  <w:tcPr>
                    <w:tcW w:w="627" w:type="pct"/>
                    <w:tcBorders>
                      <w:top w:val="outset" w:sz="6" w:space="0" w:color="auto"/>
                      <w:left w:val="outset" w:sz="6" w:space="0" w:color="auto"/>
                      <w:bottom w:val="outset" w:sz="6" w:space="0" w:color="auto"/>
                      <w:right w:val="outset" w:sz="6" w:space="0" w:color="auto"/>
                    </w:tcBorders>
                  </w:tcPr>
                  <w:p w:rsidR="00DF7D0B" w:rsidRDefault="00DF7D0B" w:rsidP="00DF7D0B">
                    <w:pPr>
                      <w:rPr>
                        <w:szCs w:val="21"/>
                      </w:rPr>
                    </w:pPr>
                  </w:p>
                </w:tc>
                <w:tc>
                  <w:tcPr>
                    <w:tcW w:w="1411" w:type="pct"/>
                    <w:tcBorders>
                      <w:top w:val="outset" w:sz="6" w:space="0" w:color="auto"/>
                      <w:left w:val="outset" w:sz="6" w:space="0" w:color="auto"/>
                      <w:bottom w:val="outset" w:sz="6" w:space="0" w:color="auto"/>
                      <w:right w:val="outset" w:sz="6" w:space="0" w:color="auto"/>
                    </w:tcBorders>
                  </w:tcPr>
                  <w:p w:rsidR="00DF7D0B" w:rsidRDefault="00DF7D0B" w:rsidP="00DF7D0B">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DF7D0B" w:rsidRDefault="00DF7D0B" w:rsidP="00DF7D0B">
                    <w:pPr>
                      <w:jc w:val="right"/>
                      <w:rPr>
                        <w:szCs w:val="21"/>
                      </w:rPr>
                    </w:pPr>
                  </w:p>
                </w:tc>
              </w:tr>
              <w:tr w:rsidR="00DF7D0B" w:rsidTr="00EC233F">
                <w:sdt>
                  <w:sdtPr>
                    <w:tag w:val="_PLD_e4129f1e37ca4c8fba74ea927ac0be87"/>
                    <w:id w:val="-43898839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DF7D0B" w:rsidRDefault="00DF7D0B" w:rsidP="00DF7D0B">
                        <w:pPr>
                          <w:ind w:firstLineChars="100" w:firstLine="210"/>
                          <w:rPr>
                            <w:szCs w:val="21"/>
                          </w:rPr>
                        </w:pPr>
                        <w:r>
                          <w:rPr>
                            <w:rFonts w:hint="eastAsia"/>
                            <w:szCs w:val="21"/>
                          </w:rPr>
                          <w:t>应付分保账款</w:t>
                        </w:r>
                      </w:p>
                    </w:tc>
                  </w:sdtContent>
                </w:sdt>
                <w:tc>
                  <w:tcPr>
                    <w:tcW w:w="627" w:type="pct"/>
                    <w:tcBorders>
                      <w:top w:val="outset" w:sz="6" w:space="0" w:color="auto"/>
                      <w:left w:val="outset" w:sz="6" w:space="0" w:color="auto"/>
                      <w:bottom w:val="outset" w:sz="6" w:space="0" w:color="auto"/>
                      <w:right w:val="outset" w:sz="6" w:space="0" w:color="auto"/>
                    </w:tcBorders>
                  </w:tcPr>
                  <w:p w:rsidR="00DF7D0B" w:rsidRDefault="00DF7D0B" w:rsidP="00DF7D0B">
                    <w:pPr>
                      <w:rPr>
                        <w:szCs w:val="21"/>
                      </w:rPr>
                    </w:pPr>
                  </w:p>
                </w:tc>
                <w:tc>
                  <w:tcPr>
                    <w:tcW w:w="1411" w:type="pct"/>
                    <w:tcBorders>
                      <w:top w:val="outset" w:sz="6" w:space="0" w:color="auto"/>
                      <w:left w:val="outset" w:sz="6" w:space="0" w:color="auto"/>
                      <w:bottom w:val="outset" w:sz="6" w:space="0" w:color="auto"/>
                      <w:right w:val="outset" w:sz="6" w:space="0" w:color="auto"/>
                    </w:tcBorders>
                  </w:tcPr>
                  <w:p w:rsidR="00DF7D0B" w:rsidRDefault="00DF7D0B" w:rsidP="00DF7D0B">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DF7D0B" w:rsidRDefault="00DF7D0B" w:rsidP="00DF7D0B">
                    <w:pPr>
                      <w:jc w:val="right"/>
                      <w:rPr>
                        <w:szCs w:val="21"/>
                      </w:rPr>
                    </w:pPr>
                  </w:p>
                </w:tc>
              </w:tr>
              <w:tr w:rsidR="00DF7D0B" w:rsidTr="00EC233F">
                <w:sdt>
                  <w:sdtPr>
                    <w:tag w:val="_PLD_9a3c827f0b734d9bb4cf22b55d2fa362"/>
                    <w:id w:val="110038066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DF7D0B" w:rsidRDefault="00DF7D0B" w:rsidP="00DF7D0B">
                        <w:pPr>
                          <w:ind w:firstLineChars="100" w:firstLine="210"/>
                          <w:rPr>
                            <w:szCs w:val="21"/>
                          </w:rPr>
                        </w:pPr>
                        <w:r>
                          <w:rPr>
                            <w:rFonts w:hint="eastAsia"/>
                            <w:szCs w:val="21"/>
                          </w:rPr>
                          <w:t>持有待售负债</w:t>
                        </w:r>
                      </w:p>
                    </w:tc>
                  </w:sdtContent>
                </w:sdt>
                <w:tc>
                  <w:tcPr>
                    <w:tcW w:w="627" w:type="pct"/>
                    <w:tcBorders>
                      <w:top w:val="outset" w:sz="6" w:space="0" w:color="auto"/>
                      <w:left w:val="outset" w:sz="6" w:space="0" w:color="auto"/>
                      <w:bottom w:val="outset" w:sz="6" w:space="0" w:color="auto"/>
                      <w:right w:val="outset" w:sz="6" w:space="0" w:color="auto"/>
                    </w:tcBorders>
                  </w:tcPr>
                  <w:p w:rsidR="00DF7D0B" w:rsidRDefault="00DF7D0B" w:rsidP="00DF7D0B">
                    <w:pPr>
                      <w:rPr>
                        <w:szCs w:val="21"/>
                      </w:rPr>
                    </w:pPr>
                  </w:p>
                </w:tc>
                <w:tc>
                  <w:tcPr>
                    <w:tcW w:w="1411" w:type="pct"/>
                    <w:tcBorders>
                      <w:top w:val="outset" w:sz="6" w:space="0" w:color="auto"/>
                      <w:left w:val="outset" w:sz="6" w:space="0" w:color="auto"/>
                      <w:bottom w:val="outset" w:sz="6" w:space="0" w:color="auto"/>
                      <w:right w:val="outset" w:sz="6" w:space="0" w:color="auto"/>
                    </w:tcBorders>
                  </w:tcPr>
                  <w:p w:rsidR="00DF7D0B" w:rsidRDefault="00DF7D0B" w:rsidP="00DF7D0B">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DF7D0B" w:rsidRDefault="00DF7D0B" w:rsidP="00DF7D0B">
                    <w:pPr>
                      <w:jc w:val="right"/>
                      <w:rPr>
                        <w:szCs w:val="21"/>
                      </w:rPr>
                    </w:pPr>
                  </w:p>
                </w:tc>
              </w:tr>
              <w:tr w:rsidR="00DF7D0B" w:rsidTr="00601D47">
                <w:sdt>
                  <w:sdtPr>
                    <w:tag w:val="_PLD_e1edba74aa12449390568ff78312313c"/>
                    <w:id w:val="8712749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DF7D0B" w:rsidRDefault="00DF7D0B" w:rsidP="00DF7D0B">
                        <w:pPr>
                          <w:ind w:firstLineChars="100" w:firstLine="210"/>
                          <w:rPr>
                            <w:szCs w:val="21"/>
                          </w:rPr>
                        </w:pPr>
                        <w:r>
                          <w:rPr>
                            <w:rFonts w:hint="eastAsia"/>
                            <w:szCs w:val="21"/>
                          </w:rPr>
                          <w:t>一年内到期的非流动负债</w:t>
                        </w:r>
                      </w:p>
                    </w:tc>
                  </w:sdtContent>
                </w:sdt>
                <w:tc>
                  <w:tcPr>
                    <w:tcW w:w="627" w:type="pct"/>
                    <w:tcBorders>
                      <w:top w:val="outset" w:sz="6" w:space="0" w:color="auto"/>
                      <w:left w:val="outset" w:sz="6" w:space="0" w:color="auto"/>
                      <w:bottom w:val="outset" w:sz="6" w:space="0" w:color="auto"/>
                      <w:right w:val="outset" w:sz="6" w:space="0" w:color="auto"/>
                    </w:tcBorders>
                  </w:tcPr>
                  <w:p w:rsidR="00DF7D0B" w:rsidRDefault="00FE7F64" w:rsidP="00DF7D0B">
                    <w:pPr>
                      <w:rPr>
                        <w:szCs w:val="21"/>
                      </w:rPr>
                    </w:pPr>
                    <w:r>
                      <w:rPr>
                        <w:rFonts w:hint="eastAsia"/>
                        <w:szCs w:val="21"/>
                      </w:rPr>
                      <w:t>七、4</w:t>
                    </w:r>
                    <w:r>
                      <w:rPr>
                        <w:szCs w:val="21"/>
                      </w:rPr>
                      <w:t>3</w:t>
                    </w:r>
                  </w:p>
                </w:tc>
                <w:tc>
                  <w:tcPr>
                    <w:tcW w:w="1411" w:type="pct"/>
                    <w:tcBorders>
                      <w:top w:val="outset" w:sz="6" w:space="0" w:color="auto"/>
                      <w:left w:val="outset" w:sz="6" w:space="0" w:color="auto"/>
                      <w:bottom w:val="outset" w:sz="6" w:space="0" w:color="auto"/>
                      <w:right w:val="outset" w:sz="6" w:space="0" w:color="auto"/>
                    </w:tcBorders>
                    <w:vAlign w:val="center"/>
                  </w:tcPr>
                  <w:p w:rsidR="00DF7D0B" w:rsidRDefault="00DF7D0B" w:rsidP="00DF7D0B">
                    <w:pPr>
                      <w:jc w:val="right"/>
                      <w:rPr>
                        <w:szCs w:val="21"/>
                      </w:rPr>
                    </w:pPr>
                    <w:r>
                      <w:t>900,480,265</w:t>
                    </w:r>
                  </w:p>
                </w:tc>
                <w:tc>
                  <w:tcPr>
                    <w:tcW w:w="1333" w:type="pct"/>
                    <w:tcBorders>
                      <w:top w:val="outset" w:sz="6" w:space="0" w:color="auto"/>
                      <w:left w:val="outset" w:sz="6" w:space="0" w:color="auto"/>
                      <w:bottom w:val="outset" w:sz="6" w:space="0" w:color="auto"/>
                      <w:right w:val="outset" w:sz="6" w:space="0" w:color="auto"/>
                    </w:tcBorders>
                    <w:vAlign w:val="center"/>
                  </w:tcPr>
                  <w:p w:rsidR="00DF7D0B" w:rsidRDefault="00DF7D0B" w:rsidP="00DF7D0B">
                    <w:pPr>
                      <w:jc w:val="right"/>
                      <w:rPr>
                        <w:szCs w:val="21"/>
                      </w:rPr>
                    </w:pPr>
                    <w:r>
                      <w:t>770,975,864</w:t>
                    </w:r>
                  </w:p>
                </w:tc>
              </w:tr>
              <w:tr w:rsidR="00DF7D0B" w:rsidTr="00601D47">
                <w:sdt>
                  <w:sdtPr>
                    <w:tag w:val="_PLD_c965820ab631473aa5ebd82ec06257c0"/>
                    <w:id w:val="99739381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DF7D0B" w:rsidRDefault="00DF7D0B" w:rsidP="00DF7D0B">
                        <w:pPr>
                          <w:ind w:firstLineChars="100" w:firstLine="210"/>
                          <w:rPr>
                            <w:szCs w:val="21"/>
                          </w:rPr>
                        </w:pPr>
                        <w:r>
                          <w:rPr>
                            <w:rFonts w:hint="eastAsia"/>
                            <w:szCs w:val="21"/>
                          </w:rPr>
                          <w:t>其他流动负债</w:t>
                        </w:r>
                      </w:p>
                    </w:tc>
                  </w:sdtContent>
                </w:sdt>
                <w:tc>
                  <w:tcPr>
                    <w:tcW w:w="627" w:type="pct"/>
                    <w:tcBorders>
                      <w:top w:val="outset" w:sz="6" w:space="0" w:color="auto"/>
                      <w:left w:val="outset" w:sz="6" w:space="0" w:color="auto"/>
                      <w:bottom w:val="outset" w:sz="6" w:space="0" w:color="auto"/>
                      <w:right w:val="outset" w:sz="6" w:space="0" w:color="auto"/>
                    </w:tcBorders>
                  </w:tcPr>
                  <w:p w:rsidR="00DF7D0B" w:rsidRDefault="00FE7F64" w:rsidP="00DF7D0B">
                    <w:pPr>
                      <w:rPr>
                        <w:szCs w:val="21"/>
                      </w:rPr>
                    </w:pPr>
                    <w:r>
                      <w:rPr>
                        <w:rFonts w:hint="eastAsia"/>
                        <w:szCs w:val="21"/>
                      </w:rPr>
                      <w:t>七、4</w:t>
                    </w:r>
                    <w:r>
                      <w:rPr>
                        <w:szCs w:val="21"/>
                      </w:rPr>
                      <w:t>4</w:t>
                    </w:r>
                  </w:p>
                </w:tc>
                <w:tc>
                  <w:tcPr>
                    <w:tcW w:w="1411" w:type="pct"/>
                    <w:tcBorders>
                      <w:top w:val="outset" w:sz="6" w:space="0" w:color="auto"/>
                      <w:left w:val="outset" w:sz="6" w:space="0" w:color="auto"/>
                      <w:bottom w:val="outset" w:sz="6" w:space="0" w:color="auto"/>
                      <w:right w:val="outset" w:sz="6" w:space="0" w:color="auto"/>
                    </w:tcBorders>
                    <w:vAlign w:val="center"/>
                  </w:tcPr>
                  <w:p w:rsidR="00DF7D0B" w:rsidRDefault="00DF7D0B" w:rsidP="00DF7D0B">
                    <w:pPr>
                      <w:jc w:val="right"/>
                      <w:rPr>
                        <w:szCs w:val="21"/>
                      </w:rPr>
                    </w:pPr>
                    <w:r>
                      <w:t>195,518,059</w:t>
                    </w:r>
                  </w:p>
                </w:tc>
                <w:tc>
                  <w:tcPr>
                    <w:tcW w:w="1333" w:type="pct"/>
                    <w:tcBorders>
                      <w:top w:val="outset" w:sz="6" w:space="0" w:color="auto"/>
                      <w:left w:val="outset" w:sz="6" w:space="0" w:color="auto"/>
                      <w:bottom w:val="outset" w:sz="6" w:space="0" w:color="auto"/>
                      <w:right w:val="outset" w:sz="6" w:space="0" w:color="auto"/>
                    </w:tcBorders>
                    <w:vAlign w:val="center"/>
                  </w:tcPr>
                  <w:p w:rsidR="00DF7D0B" w:rsidRDefault="00DF7D0B" w:rsidP="00DF7D0B">
                    <w:pPr>
                      <w:jc w:val="right"/>
                      <w:rPr>
                        <w:szCs w:val="21"/>
                      </w:rPr>
                    </w:pPr>
                    <w:r>
                      <w:t>155,192,286</w:t>
                    </w:r>
                  </w:p>
                </w:tc>
              </w:tr>
              <w:tr w:rsidR="00DF7D0B" w:rsidTr="00601D47">
                <w:sdt>
                  <w:sdtPr>
                    <w:tag w:val="_PLD_ab4eda37946b43ed85cf4212e7323263"/>
                    <w:id w:val="-102216406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DF7D0B" w:rsidRDefault="00DF7D0B" w:rsidP="00DF7D0B">
                        <w:pPr>
                          <w:ind w:firstLineChars="200" w:firstLine="420"/>
                          <w:rPr>
                            <w:szCs w:val="21"/>
                          </w:rPr>
                        </w:pPr>
                        <w:r>
                          <w:rPr>
                            <w:rFonts w:hint="eastAsia"/>
                            <w:szCs w:val="21"/>
                          </w:rPr>
                          <w:t>流动负债合计</w:t>
                        </w:r>
                      </w:p>
                    </w:tc>
                  </w:sdtContent>
                </w:sdt>
                <w:tc>
                  <w:tcPr>
                    <w:tcW w:w="627" w:type="pct"/>
                    <w:tcBorders>
                      <w:top w:val="outset" w:sz="6" w:space="0" w:color="auto"/>
                      <w:left w:val="outset" w:sz="6" w:space="0" w:color="auto"/>
                      <w:bottom w:val="outset" w:sz="6" w:space="0" w:color="auto"/>
                      <w:right w:val="outset" w:sz="6" w:space="0" w:color="auto"/>
                    </w:tcBorders>
                  </w:tcPr>
                  <w:p w:rsidR="00DF7D0B" w:rsidRDefault="00DF7D0B" w:rsidP="00DF7D0B">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DF7D0B" w:rsidRDefault="00DF7D0B" w:rsidP="00DF7D0B">
                    <w:pPr>
                      <w:jc w:val="right"/>
                      <w:rPr>
                        <w:szCs w:val="21"/>
                      </w:rPr>
                    </w:pPr>
                    <w:r>
                      <w:t>17,417,260,497</w:t>
                    </w:r>
                  </w:p>
                </w:tc>
                <w:tc>
                  <w:tcPr>
                    <w:tcW w:w="1333" w:type="pct"/>
                    <w:tcBorders>
                      <w:top w:val="outset" w:sz="6" w:space="0" w:color="auto"/>
                      <w:left w:val="outset" w:sz="6" w:space="0" w:color="auto"/>
                      <w:bottom w:val="outset" w:sz="6" w:space="0" w:color="auto"/>
                      <w:right w:val="outset" w:sz="6" w:space="0" w:color="auto"/>
                    </w:tcBorders>
                    <w:vAlign w:val="center"/>
                  </w:tcPr>
                  <w:p w:rsidR="00DF7D0B" w:rsidRDefault="00DF7D0B" w:rsidP="00DF7D0B">
                    <w:pPr>
                      <w:jc w:val="right"/>
                      <w:rPr>
                        <w:szCs w:val="21"/>
                      </w:rPr>
                    </w:pPr>
                    <w:r>
                      <w:t>18,172,513,315</w:t>
                    </w:r>
                  </w:p>
                </w:tc>
              </w:tr>
              <w:tr w:rsidR="00DF7D0B" w:rsidTr="00713F20">
                <w:sdt>
                  <w:sdtPr>
                    <w:tag w:val="_PLD_76615034b106405f8ae606a6fc253d93"/>
                    <w:id w:val="-1224901036"/>
                    <w:lock w:val="sdtLocked"/>
                  </w:sdtPr>
                  <w:sdtContent>
                    <w:tc>
                      <w:tcPr>
                        <w:tcW w:w="5000" w:type="pct"/>
                        <w:gridSpan w:val="4"/>
                        <w:tcBorders>
                          <w:top w:val="outset" w:sz="6" w:space="0" w:color="auto"/>
                          <w:left w:val="outset" w:sz="6" w:space="0" w:color="auto"/>
                          <w:bottom w:val="outset" w:sz="6" w:space="0" w:color="auto"/>
                          <w:right w:val="outset" w:sz="6" w:space="0" w:color="auto"/>
                        </w:tcBorders>
                        <w:vAlign w:val="center"/>
                      </w:tcPr>
                      <w:p w:rsidR="00DF7D0B" w:rsidRDefault="00DF7D0B" w:rsidP="00DF7D0B">
                        <w:pPr>
                          <w:rPr>
                            <w:color w:val="008000"/>
                            <w:szCs w:val="21"/>
                          </w:rPr>
                        </w:pPr>
                        <w:r>
                          <w:rPr>
                            <w:rFonts w:hint="eastAsia"/>
                            <w:b/>
                            <w:bCs/>
                            <w:szCs w:val="21"/>
                          </w:rPr>
                          <w:t>非流动负债：</w:t>
                        </w:r>
                      </w:p>
                    </w:tc>
                  </w:sdtContent>
                </w:sdt>
              </w:tr>
              <w:tr w:rsidR="00DF7D0B" w:rsidTr="00EC233F">
                <w:sdt>
                  <w:sdtPr>
                    <w:tag w:val="_PLD_81ff3fc4b5da447bba0ee3a9c4e3560b"/>
                    <w:id w:val="-150350558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DF7D0B" w:rsidRDefault="00DF7D0B" w:rsidP="00DF7D0B">
                        <w:pPr>
                          <w:ind w:firstLineChars="100" w:firstLine="210"/>
                          <w:rPr>
                            <w:szCs w:val="21"/>
                          </w:rPr>
                        </w:pPr>
                        <w:r>
                          <w:rPr>
                            <w:rFonts w:hint="eastAsia"/>
                            <w:szCs w:val="21"/>
                          </w:rPr>
                          <w:t>保险合同准备金</w:t>
                        </w:r>
                      </w:p>
                    </w:tc>
                  </w:sdtContent>
                </w:sdt>
                <w:tc>
                  <w:tcPr>
                    <w:tcW w:w="627" w:type="pct"/>
                    <w:tcBorders>
                      <w:top w:val="outset" w:sz="6" w:space="0" w:color="auto"/>
                      <w:left w:val="outset" w:sz="6" w:space="0" w:color="auto"/>
                      <w:bottom w:val="outset" w:sz="6" w:space="0" w:color="auto"/>
                      <w:right w:val="outset" w:sz="6" w:space="0" w:color="auto"/>
                    </w:tcBorders>
                  </w:tcPr>
                  <w:p w:rsidR="00DF7D0B" w:rsidRDefault="00DF7D0B" w:rsidP="00DF7D0B">
                    <w:pPr>
                      <w:rPr>
                        <w:szCs w:val="21"/>
                      </w:rPr>
                    </w:pPr>
                  </w:p>
                </w:tc>
                <w:tc>
                  <w:tcPr>
                    <w:tcW w:w="1411" w:type="pct"/>
                    <w:tcBorders>
                      <w:top w:val="outset" w:sz="6" w:space="0" w:color="auto"/>
                      <w:left w:val="outset" w:sz="6" w:space="0" w:color="auto"/>
                      <w:bottom w:val="outset" w:sz="6" w:space="0" w:color="auto"/>
                      <w:right w:val="outset" w:sz="6" w:space="0" w:color="auto"/>
                    </w:tcBorders>
                  </w:tcPr>
                  <w:p w:rsidR="00DF7D0B" w:rsidRDefault="00DF7D0B" w:rsidP="00DF7D0B">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DF7D0B" w:rsidRDefault="00DF7D0B" w:rsidP="00DF7D0B">
                    <w:pPr>
                      <w:jc w:val="right"/>
                      <w:rPr>
                        <w:szCs w:val="21"/>
                      </w:rPr>
                    </w:pPr>
                  </w:p>
                </w:tc>
              </w:tr>
              <w:tr w:rsidR="00DF7D0B" w:rsidTr="00601D47">
                <w:sdt>
                  <w:sdtPr>
                    <w:tag w:val="_PLD_19fa378cbe424d86963bfebfae6af7ca"/>
                    <w:id w:val="-2571559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DF7D0B" w:rsidRDefault="00DF7D0B" w:rsidP="00DF7D0B">
                        <w:pPr>
                          <w:ind w:firstLineChars="100" w:firstLine="210"/>
                          <w:rPr>
                            <w:szCs w:val="21"/>
                          </w:rPr>
                        </w:pPr>
                        <w:r>
                          <w:rPr>
                            <w:rFonts w:hint="eastAsia"/>
                            <w:szCs w:val="21"/>
                          </w:rPr>
                          <w:t>长期借款</w:t>
                        </w:r>
                      </w:p>
                    </w:tc>
                  </w:sdtContent>
                </w:sdt>
                <w:tc>
                  <w:tcPr>
                    <w:tcW w:w="627" w:type="pct"/>
                    <w:tcBorders>
                      <w:top w:val="outset" w:sz="6" w:space="0" w:color="auto"/>
                      <w:left w:val="outset" w:sz="6" w:space="0" w:color="auto"/>
                      <w:bottom w:val="outset" w:sz="6" w:space="0" w:color="auto"/>
                      <w:right w:val="outset" w:sz="6" w:space="0" w:color="auto"/>
                    </w:tcBorders>
                  </w:tcPr>
                  <w:p w:rsidR="00DF7D0B" w:rsidRDefault="00FE7F64" w:rsidP="00DF7D0B">
                    <w:pPr>
                      <w:rPr>
                        <w:szCs w:val="21"/>
                      </w:rPr>
                    </w:pPr>
                    <w:r>
                      <w:rPr>
                        <w:rFonts w:hint="eastAsia"/>
                        <w:szCs w:val="21"/>
                      </w:rPr>
                      <w:t>七、4</w:t>
                    </w:r>
                    <w:r>
                      <w:rPr>
                        <w:szCs w:val="21"/>
                      </w:rPr>
                      <w:t>5</w:t>
                    </w:r>
                  </w:p>
                </w:tc>
                <w:tc>
                  <w:tcPr>
                    <w:tcW w:w="1411" w:type="pct"/>
                    <w:tcBorders>
                      <w:top w:val="outset" w:sz="6" w:space="0" w:color="auto"/>
                      <w:left w:val="outset" w:sz="6" w:space="0" w:color="auto"/>
                      <w:bottom w:val="outset" w:sz="6" w:space="0" w:color="auto"/>
                      <w:right w:val="outset" w:sz="6" w:space="0" w:color="auto"/>
                    </w:tcBorders>
                    <w:vAlign w:val="center"/>
                  </w:tcPr>
                  <w:p w:rsidR="00DF7D0B" w:rsidRDefault="00DF7D0B" w:rsidP="00DF7D0B">
                    <w:pPr>
                      <w:jc w:val="right"/>
                      <w:rPr>
                        <w:szCs w:val="21"/>
                      </w:rPr>
                    </w:pPr>
                    <w:r>
                      <w:t>11,041,491,504</w:t>
                    </w:r>
                  </w:p>
                </w:tc>
                <w:tc>
                  <w:tcPr>
                    <w:tcW w:w="1333" w:type="pct"/>
                    <w:tcBorders>
                      <w:top w:val="outset" w:sz="6" w:space="0" w:color="auto"/>
                      <w:left w:val="outset" w:sz="6" w:space="0" w:color="auto"/>
                      <w:bottom w:val="outset" w:sz="6" w:space="0" w:color="auto"/>
                      <w:right w:val="outset" w:sz="6" w:space="0" w:color="auto"/>
                    </w:tcBorders>
                    <w:vAlign w:val="center"/>
                  </w:tcPr>
                  <w:p w:rsidR="00DF7D0B" w:rsidRDefault="00DF7D0B" w:rsidP="00DF7D0B">
                    <w:pPr>
                      <w:jc w:val="right"/>
                      <w:rPr>
                        <w:szCs w:val="21"/>
                      </w:rPr>
                    </w:pPr>
                    <w:r>
                      <w:t>11,822,164,008</w:t>
                    </w:r>
                  </w:p>
                </w:tc>
              </w:tr>
              <w:tr w:rsidR="00DF7D0B" w:rsidTr="00601D47">
                <w:sdt>
                  <w:sdtPr>
                    <w:tag w:val="_PLD_b97225c7adbb49c0ac27be01df233432"/>
                    <w:id w:val="-160903586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DF7D0B" w:rsidRDefault="00DF7D0B" w:rsidP="00DF7D0B">
                        <w:pPr>
                          <w:ind w:firstLineChars="100" w:firstLine="210"/>
                          <w:rPr>
                            <w:szCs w:val="21"/>
                          </w:rPr>
                        </w:pPr>
                        <w:r>
                          <w:rPr>
                            <w:rFonts w:hint="eastAsia"/>
                            <w:szCs w:val="21"/>
                          </w:rPr>
                          <w:t>应付债券</w:t>
                        </w:r>
                      </w:p>
                    </w:tc>
                  </w:sdtContent>
                </w:sdt>
                <w:tc>
                  <w:tcPr>
                    <w:tcW w:w="627" w:type="pct"/>
                    <w:tcBorders>
                      <w:top w:val="outset" w:sz="6" w:space="0" w:color="auto"/>
                      <w:left w:val="outset" w:sz="6" w:space="0" w:color="auto"/>
                      <w:bottom w:val="outset" w:sz="6" w:space="0" w:color="auto"/>
                      <w:right w:val="outset" w:sz="6" w:space="0" w:color="auto"/>
                    </w:tcBorders>
                  </w:tcPr>
                  <w:p w:rsidR="00DF7D0B" w:rsidRDefault="00FE7F64" w:rsidP="00DF7D0B">
                    <w:pPr>
                      <w:rPr>
                        <w:szCs w:val="21"/>
                      </w:rPr>
                    </w:pPr>
                    <w:r>
                      <w:rPr>
                        <w:rFonts w:hint="eastAsia"/>
                        <w:szCs w:val="21"/>
                      </w:rPr>
                      <w:t>七、4</w:t>
                    </w:r>
                    <w:r>
                      <w:rPr>
                        <w:szCs w:val="21"/>
                      </w:rPr>
                      <w:t>6</w:t>
                    </w:r>
                  </w:p>
                </w:tc>
                <w:tc>
                  <w:tcPr>
                    <w:tcW w:w="1411" w:type="pct"/>
                    <w:tcBorders>
                      <w:top w:val="outset" w:sz="6" w:space="0" w:color="auto"/>
                      <w:left w:val="outset" w:sz="6" w:space="0" w:color="auto"/>
                      <w:bottom w:val="outset" w:sz="6" w:space="0" w:color="auto"/>
                      <w:right w:val="outset" w:sz="6" w:space="0" w:color="auto"/>
                    </w:tcBorders>
                    <w:vAlign w:val="center"/>
                  </w:tcPr>
                  <w:p w:rsidR="00DF7D0B" w:rsidRDefault="00DF7D0B" w:rsidP="00DF7D0B">
                    <w:pPr>
                      <w:jc w:val="right"/>
                      <w:rPr>
                        <w:szCs w:val="21"/>
                      </w:rPr>
                    </w:pPr>
                    <w:r>
                      <w:t>30,227,177,413</w:t>
                    </w:r>
                  </w:p>
                </w:tc>
                <w:tc>
                  <w:tcPr>
                    <w:tcW w:w="1333" w:type="pct"/>
                    <w:tcBorders>
                      <w:top w:val="outset" w:sz="6" w:space="0" w:color="auto"/>
                      <w:left w:val="outset" w:sz="6" w:space="0" w:color="auto"/>
                      <w:bottom w:val="outset" w:sz="6" w:space="0" w:color="auto"/>
                      <w:right w:val="outset" w:sz="6" w:space="0" w:color="auto"/>
                    </w:tcBorders>
                    <w:vAlign w:val="center"/>
                  </w:tcPr>
                  <w:p w:rsidR="00DF7D0B" w:rsidRDefault="00DF7D0B" w:rsidP="00DF7D0B">
                    <w:pPr>
                      <w:jc w:val="right"/>
                      <w:rPr>
                        <w:szCs w:val="21"/>
                      </w:rPr>
                    </w:pPr>
                    <w:r>
                      <w:t>29,570,023,092</w:t>
                    </w:r>
                  </w:p>
                </w:tc>
              </w:tr>
              <w:tr w:rsidR="00DF7D0B" w:rsidTr="00EC233F">
                <w:sdt>
                  <w:sdtPr>
                    <w:tag w:val="_PLD_4ab0b7cc40a942d38f93daa9ab5bc182"/>
                    <w:id w:val="-92780712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DF7D0B" w:rsidRDefault="00DF7D0B" w:rsidP="00DF7D0B">
                        <w:pPr>
                          <w:ind w:firstLineChars="100" w:firstLine="210"/>
                          <w:rPr>
                            <w:szCs w:val="21"/>
                          </w:rPr>
                        </w:pPr>
                        <w:r>
                          <w:rPr>
                            <w:rFonts w:hint="eastAsia"/>
                            <w:szCs w:val="21"/>
                          </w:rPr>
                          <w:t>其中：优先股</w:t>
                        </w:r>
                      </w:p>
                    </w:tc>
                  </w:sdtContent>
                </w:sdt>
                <w:tc>
                  <w:tcPr>
                    <w:tcW w:w="627" w:type="pct"/>
                    <w:tcBorders>
                      <w:top w:val="outset" w:sz="6" w:space="0" w:color="auto"/>
                      <w:left w:val="outset" w:sz="6" w:space="0" w:color="auto"/>
                      <w:bottom w:val="outset" w:sz="6" w:space="0" w:color="auto"/>
                      <w:right w:val="outset" w:sz="6" w:space="0" w:color="auto"/>
                    </w:tcBorders>
                  </w:tcPr>
                  <w:p w:rsidR="00DF7D0B" w:rsidRDefault="00DF7D0B" w:rsidP="00DF7D0B">
                    <w:pPr>
                      <w:rPr>
                        <w:szCs w:val="21"/>
                      </w:rPr>
                    </w:pPr>
                  </w:p>
                </w:tc>
                <w:tc>
                  <w:tcPr>
                    <w:tcW w:w="1411" w:type="pct"/>
                    <w:tcBorders>
                      <w:top w:val="outset" w:sz="6" w:space="0" w:color="auto"/>
                      <w:left w:val="outset" w:sz="6" w:space="0" w:color="auto"/>
                      <w:bottom w:val="outset" w:sz="6" w:space="0" w:color="auto"/>
                      <w:right w:val="outset" w:sz="6" w:space="0" w:color="auto"/>
                    </w:tcBorders>
                  </w:tcPr>
                  <w:p w:rsidR="00DF7D0B" w:rsidRDefault="00DF7D0B" w:rsidP="00DF7D0B">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DF7D0B" w:rsidRDefault="00DF7D0B" w:rsidP="00DF7D0B">
                    <w:pPr>
                      <w:jc w:val="right"/>
                      <w:rPr>
                        <w:szCs w:val="21"/>
                      </w:rPr>
                    </w:pPr>
                  </w:p>
                </w:tc>
              </w:tr>
              <w:tr w:rsidR="00DF7D0B" w:rsidTr="00EC233F">
                <w:sdt>
                  <w:sdtPr>
                    <w:tag w:val="_PLD_521ffa497d704199adb8dc4c9e440e22"/>
                    <w:id w:val="-80030417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DF7D0B" w:rsidRDefault="00DF7D0B" w:rsidP="00DF7D0B">
                        <w:pPr>
                          <w:ind w:leftChars="300" w:left="630" w:firstLineChars="100" w:firstLine="210"/>
                          <w:rPr>
                            <w:szCs w:val="21"/>
                          </w:rPr>
                        </w:pPr>
                        <w:r>
                          <w:rPr>
                            <w:rFonts w:hint="eastAsia"/>
                            <w:szCs w:val="21"/>
                          </w:rPr>
                          <w:t>永续债</w:t>
                        </w:r>
                      </w:p>
                    </w:tc>
                  </w:sdtContent>
                </w:sdt>
                <w:tc>
                  <w:tcPr>
                    <w:tcW w:w="627" w:type="pct"/>
                    <w:tcBorders>
                      <w:top w:val="outset" w:sz="6" w:space="0" w:color="auto"/>
                      <w:left w:val="outset" w:sz="6" w:space="0" w:color="auto"/>
                      <w:bottom w:val="outset" w:sz="6" w:space="0" w:color="auto"/>
                      <w:right w:val="outset" w:sz="6" w:space="0" w:color="auto"/>
                    </w:tcBorders>
                  </w:tcPr>
                  <w:p w:rsidR="00DF7D0B" w:rsidRDefault="00DF7D0B" w:rsidP="00DF7D0B">
                    <w:pPr>
                      <w:rPr>
                        <w:szCs w:val="21"/>
                      </w:rPr>
                    </w:pPr>
                  </w:p>
                </w:tc>
                <w:tc>
                  <w:tcPr>
                    <w:tcW w:w="1411" w:type="pct"/>
                    <w:tcBorders>
                      <w:top w:val="outset" w:sz="6" w:space="0" w:color="auto"/>
                      <w:left w:val="outset" w:sz="6" w:space="0" w:color="auto"/>
                      <w:bottom w:val="outset" w:sz="6" w:space="0" w:color="auto"/>
                      <w:right w:val="outset" w:sz="6" w:space="0" w:color="auto"/>
                    </w:tcBorders>
                  </w:tcPr>
                  <w:p w:rsidR="00DF7D0B" w:rsidRDefault="00DF7D0B" w:rsidP="00DF7D0B">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DF7D0B" w:rsidRDefault="00DF7D0B" w:rsidP="00DF7D0B">
                    <w:pPr>
                      <w:jc w:val="right"/>
                      <w:rPr>
                        <w:szCs w:val="21"/>
                      </w:rPr>
                    </w:pPr>
                  </w:p>
                </w:tc>
              </w:tr>
              <w:tr w:rsidR="00DF7D0B" w:rsidTr="00601D47">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804d1cd618b94a1b9e24038ab1bc669c"/>
                      <w:id w:val="594516246"/>
                      <w:lock w:val="sdtLocked"/>
                    </w:sdtPr>
                    <w:sdtContent>
                      <w:p w:rsidR="00DF7D0B" w:rsidRDefault="00DF7D0B" w:rsidP="00DF7D0B">
                        <w:pPr>
                          <w:ind w:firstLineChars="100" w:firstLine="210"/>
                        </w:pPr>
                        <w:r>
                          <w:rPr>
                            <w:rFonts w:hint="eastAsia"/>
                          </w:rPr>
                          <w:t>租赁负债</w:t>
                        </w:r>
                      </w:p>
                    </w:sdtContent>
                  </w:sdt>
                </w:tc>
                <w:tc>
                  <w:tcPr>
                    <w:tcW w:w="627" w:type="pct"/>
                    <w:tcBorders>
                      <w:top w:val="outset" w:sz="6" w:space="0" w:color="auto"/>
                      <w:left w:val="outset" w:sz="6" w:space="0" w:color="auto"/>
                      <w:bottom w:val="outset" w:sz="6" w:space="0" w:color="auto"/>
                      <w:right w:val="outset" w:sz="6" w:space="0" w:color="auto"/>
                    </w:tcBorders>
                  </w:tcPr>
                  <w:p w:rsidR="00DF7D0B" w:rsidRDefault="00FE7F64" w:rsidP="00DF7D0B">
                    <w:pPr>
                      <w:rPr>
                        <w:szCs w:val="21"/>
                      </w:rPr>
                    </w:pPr>
                    <w:r>
                      <w:rPr>
                        <w:rFonts w:hint="eastAsia"/>
                        <w:szCs w:val="21"/>
                      </w:rPr>
                      <w:t>七、4</w:t>
                    </w:r>
                    <w:r>
                      <w:rPr>
                        <w:szCs w:val="21"/>
                      </w:rPr>
                      <w:t>7</w:t>
                    </w:r>
                  </w:p>
                </w:tc>
                <w:tc>
                  <w:tcPr>
                    <w:tcW w:w="1411" w:type="pct"/>
                    <w:tcBorders>
                      <w:top w:val="outset" w:sz="6" w:space="0" w:color="auto"/>
                      <w:left w:val="outset" w:sz="6" w:space="0" w:color="auto"/>
                      <w:bottom w:val="outset" w:sz="6" w:space="0" w:color="auto"/>
                      <w:right w:val="outset" w:sz="6" w:space="0" w:color="auto"/>
                    </w:tcBorders>
                    <w:vAlign w:val="center"/>
                  </w:tcPr>
                  <w:p w:rsidR="00DF7D0B" w:rsidRDefault="00DF7D0B" w:rsidP="00DF7D0B">
                    <w:pPr>
                      <w:jc w:val="right"/>
                      <w:rPr>
                        <w:szCs w:val="21"/>
                      </w:rPr>
                    </w:pPr>
                    <w:r>
                      <w:t>609,948,405</w:t>
                    </w:r>
                  </w:p>
                </w:tc>
                <w:tc>
                  <w:tcPr>
                    <w:tcW w:w="1333" w:type="pct"/>
                    <w:tcBorders>
                      <w:top w:val="outset" w:sz="6" w:space="0" w:color="auto"/>
                      <w:left w:val="outset" w:sz="6" w:space="0" w:color="auto"/>
                      <w:bottom w:val="outset" w:sz="6" w:space="0" w:color="auto"/>
                      <w:right w:val="outset" w:sz="6" w:space="0" w:color="auto"/>
                    </w:tcBorders>
                    <w:vAlign w:val="center"/>
                  </w:tcPr>
                  <w:p w:rsidR="00DF7D0B" w:rsidRDefault="00DF7D0B" w:rsidP="00DF7D0B">
                    <w:pPr>
                      <w:jc w:val="right"/>
                      <w:rPr>
                        <w:szCs w:val="21"/>
                      </w:rPr>
                    </w:pPr>
                    <w:r>
                      <w:t>837,345,036</w:t>
                    </w:r>
                  </w:p>
                </w:tc>
              </w:tr>
              <w:tr w:rsidR="00DF7D0B" w:rsidTr="00601D47">
                <w:sdt>
                  <w:sdtPr>
                    <w:tag w:val="_PLD_f17050e0f26449e482f6688bc943c3f1"/>
                    <w:id w:val="141142213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DF7D0B" w:rsidRDefault="00DF7D0B" w:rsidP="00DF7D0B">
                        <w:pPr>
                          <w:ind w:firstLineChars="100" w:firstLine="210"/>
                          <w:rPr>
                            <w:szCs w:val="21"/>
                          </w:rPr>
                        </w:pPr>
                        <w:r>
                          <w:rPr>
                            <w:rFonts w:hint="eastAsia"/>
                            <w:szCs w:val="21"/>
                          </w:rPr>
                          <w:t>长期应付款</w:t>
                        </w:r>
                      </w:p>
                    </w:tc>
                  </w:sdtContent>
                </w:sdt>
                <w:tc>
                  <w:tcPr>
                    <w:tcW w:w="627" w:type="pct"/>
                    <w:tcBorders>
                      <w:top w:val="outset" w:sz="6" w:space="0" w:color="auto"/>
                      <w:left w:val="outset" w:sz="6" w:space="0" w:color="auto"/>
                      <w:bottom w:val="outset" w:sz="6" w:space="0" w:color="auto"/>
                      <w:right w:val="outset" w:sz="6" w:space="0" w:color="auto"/>
                    </w:tcBorders>
                  </w:tcPr>
                  <w:p w:rsidR="00DF7D0B" w:rsidRDefault="00FE7F64" w:rsidP="00DF7D0B">
                    <w:pPr>
                      <w:rPr>
                        <w:szCs w:val="21"/>
                      </w:rPr>
                    </w:pPr>
                    <w:r>
                      <w:rPr>
                        <w:rFonts w:hint="eastAsia"/>
                        <w:szCs w:val="21"/>
                      </w:rPr>
                      <w:t>七、4</w:t>
                    </w:r>
                    <w:r>
                      <w:rPr>
                        <w:szCs w:val="21"/>
                      </w:rPr>
                      <w:t>8</w:t>
                    </w:r>
                  </w:p>
                </w:tc>
                <w:tc>
                  <w:tcPr>
                    <w:tcW w:w="1411" w:type="pct"/>
                    <w:tcBorders>
                      <w:top w:val="outset" w:sz="6" w:space="0" w:color="auto"/>
                      <w:left w:val="outset" w:sz="6" w:space="0" w:color="auto"/>
                      <w:bottom w:val="outset" w:sz="6" w:space="0" w:color="auto"/>
                      <w:right w:val="outset" w:sz="6" w:space="0" w:color="auto"/>
                    </w:tcBorders>
                    <w:vAlign w:val="center"/>
                  </w:tcPr>
                  <w:p w:rsidR="00DF7D0B" w:rsidRDefault="00DF7D0B" w:rsidP="00DF7D0B">
                    <w:pPr>
                      <w:jc w:val="right"/>
                      <w:rPr>
                        <w:szCs w:val="21"/>
                      </w:rPr>
                    </w:pPr>
                    <w:r>
                      <w:t>62,719,922</w:t>
                    </w:r>
                  </w:p>
                </w:tc>
                <w:tc>
                  <w:tcPr>
                    <w:tcW w:w="1333" w:type="pct"/>
                    <w:tcBorders>
                      <w:top w:val="outset" w:sz="6" w:space="0" w:color="auto"/>
                      <w:left w:val="outset" w:sz="6" w:space="0" w:color="auto"/>
                      <w:bottom w:val="outset" w:sz="6" w:space="0" w:color="auto"/>
                      <w:right w:val="outset" w:sz="6" w:space="0" w:color="auto"/>
                    </w:tcBorders>
                    <w:vAlign w:val="center"/>
                  </w:tcPr>
                  <w:p w:rsidR="00DF7D0B" w:rsidRDefault="00DF7D0B" w:rsidP="00DF7D0B">
                    <w:pPr>
                      <w:jc w:val="right"/>
                      <w:rPr>
                        <w:szCs w:val="21"/>
                      </w:rPr>
                    </w:pPr>
                    <w:r>
                      <w:t>60,843,745</w:t>
                    </w:r>
                  </w:p>
                </w:tc>
              </w:tr>
              <w:tr w:rsidR="00DF7D0B" w:rsidTr="00601D47">
                <w:sdt>
                  <w:sdtPr>
                    <w:tag w:val="_PLD_7124e46dea5d4f478a438e4a50b00767"/>
                    <w:id w:val="153299265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DF7D0B" w:rsidRDefault="00DF7D0B" w:rsidP="00DF7D0B">
                        <w:pPr>
                          <w:ind w:firstLineChars="100" w:firstLine="210"/>
                          <w:rPr>
                            <w:szCs w:val="21"/>
                          </w:rPr>
                        </w:pPr>
                        <w:r>
                          <w:rPr>
                            <w:rFonts w:hint="eastAsia"/>
                            <w:szCs w:val="21"/>
                          </w:rPr>
                          <w:t>长期应付职工薪酬</w:t>
                        </w:r>
                      </w:p>
                    </w:tc>
                  </w:sdtContent>
                </w:sdt>
                <w:tc>
                  <w:tcPr>
                    <w:tcW w:w="627" w:type="pct"/>
                    <w:tcBorders>
                      <w:top w:val="outset" w:sz="6" w:space="0" w:color="auto"/>
                      <w:left w:val="outset" w:sz="6" w:space="0" w:color="auto"/>
                      <w:bottom w:val="outset" w:sz="6" w:space="0" w:color="auto"/>
                      <w:right w:val="outset" w:sz="6" w:space="0" w:color="auto"/>
                    </w:tcBorders>
                  </w:tcPr>
                  <w:p w:rsidR="00DF7D0B" w:rsidRDefault="00FE7F64" w:rsidP="00DF7D0B">
                    <w:pPr>
                      <w:rPr>
                        <w:szCs w:val="21"/>
                      </w:rPr>
                    </w:pPr>
                    <w:r>
                      <w:rPr>
                        <w:rFonts w:hint="eastAsia"/>
                        <w:szCs w:val="21"/>
                      </w:rPr>
                      <w:t>七、4</w:t>
                    </w:r>
                    <w:r>
                      <w:rPr>
                        <w:szCs w:val="21"/>
                      </w:rPr>
                      <w:t>9</w:t>
                    </w:r>
                  </w:p>
                </w:tc>
                <w:tc>
                  <w:tcPr>
                    <w:tcW w:w="1411" w:type="pct"/>
                    <w:tcBorders>
                      <w:top w:val="outset" w:sz="6" w:space="0" w:color="auto"/>
                      <w:left w:val="outset" w:sz="6" w:space="0" w:color="auto"/>
                      <w:bottom w:val="outset" w:sz="6" w:space="0" w:color="auto"/>
                      <w:right w:val="outset" w:sz="6" w:space="0" w:color="auto"/>
                    </w:tcBorders>
                    <w:vAlign w:val="center"/>
                  </w:tcPr>
                  <w:p w:rsidR="00DF7D0B" w:rsidRDefault="00DF7D0B" w:rsidP="00DF7D0B">
                    <w:pPr>
                      <w:jc w:val="right"/>
                      <w:rPr>
                        <w:szCs w:val="21"/>
                      </w:rPr>
                    </w:pPr>
                    <w:r>
                      <w:t>2,125,949,461</w:t>
                    </w:r>
                  </w:p>
                </w:tc>
                <w:tc>
                  <w:tcPr>
                    <w:tcW w:w="1333" w:type="pct"/>
                    <w:tcBorders>
                      <w:top w:val="outset" w:sz="6" w:space="0" w:color="auto"/>
                      <w:left w:val="outset" w:sz="6" w:space="0" w:color="auto"/>
                      <w:bottom w:val="outset" w:sz="6" w:space="0" w:color="auto"/>
                      <w:right w:val="outset" w:sz="6" w:space="0" w:color="auto"/>
                    </w:tcBorders>
                    <w:vAlign w:val="center"/>
                  </w:tcPr>
                  <w:p w:rsidR="00DF7D0B" w:rsidRDefault="00DF7D0B" w:rsidP="00DF7D0B">
                    <w:pPr>
                      <w:jc w:val="right"/>
                      <w:rPr>
                        <w:szCs w:val="21"/>
                      </w:rPr>
                    </w:pPr>
                    <w:r>
                      <w:t>2,107,886,336</w:t>
                    </w:r>
                  </w:p>
                </w:tc>
              </w:tr>
              <w:tr w:rsidR="00DF7D0B" w:rsidTr="00EC233F">
                <w:sdt>
                  <w:sdtPr>
                    <w:tag w:val="_PLD_2418cd929c8c492ab70b2c45072b0f6e"/>
                    <w:id w:val="-8893183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DF7D0B" w:rsidRDefault="00DF7D0B" w:rsidP="00DF7D0B">
                        <w:pPr>
                          <w:ind w:firstLineChars="100" w:firstLine="210"/>
                          <w:rPr>
                            <w:szCs w:val="21"/>
                          </w:rPr>
                        </w:pPr>
                        <w:r>
                          <w:rPr>
                            <w:rFonts w:hint="eastAsia"/>
                            <w:szCs w:val="21"/>
                          </w:rPr>
                          <w:t>预计负债</w:t>
                        </w:r>
                      </w:p>
                    </w:tc>
                  </w:sdtContent>
                </w:sdt>
                <w:tc>
                  <w:tcPr>
                    <w:tcW w:w="627" w:type="pct"/>
                    <w:tcBorders>
                      <w:top w:val="outset" w:sz="6" w:space="0" w:color="auto"/>
                      <w:left w:val="outset" w:sz="6" w:space="0" w:color="auto"/>
                      <w:bottom w:val="outset" w:sz="6" w:space="0" w:color="auto"/>
                      <w:right w:val="outset" w:sz="6" w:space="0" w:color="auto"/>
                    </w:tcBorders>
                  </w:tcPr>
                  <w:p w:rsidR="00DF7D0B" w:rsidRDefault="00DF7D0B" w:rsidP="00DF7D0B">
                    <w:pPr>
                      <w:rPr>
                        <w:szCs w:val="21"/>
                      </w:rPr>
                    </w:pPr>
                  </w:p>
                </w:tc>
                <w:tc>
                  <w:tcPr>
                    <w:tcW w:w="1411" w:type="pct"/>
                    <w:tcBorders>
                      <w:top w:val="outset" w:sz="6" w:space="0" w:color="auto"/>
                      <w:left w:val="outset" w:sz="6" w:space="0" w:color="auto"/>
                      <w:bottom w:val="outset" w:sz="6" w:space="0" w:color="auto"/>
                      <w:right w:val="outset" w:sz="6" w:space="0" w:color="auto"/>
                    </w:tcBorders>
                  </w:tcPr>
                  <w:p w:rsidR="00DF7D0B" w:rsidRDefault="00DF7D0B" w:rsidP="00DF7D0B">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DF7D0B" w:rsidRDefault="00DF7D0B" w:rsidP="00DF7D0B">
                    <w:pPr>
                      <w:jc w:val="right"/>
                      <w:rPr>
                        <w:szCs w:val="21"/>
                      </w:rPr>
                    </w:pPr>
                  </w:p>
                </w:tc>
              </w:tr>
              <w:tr w:rsidR="00DF7D0B" w:rsidTr="00601D47">
                <w:sdt>
                  <w:sdtPr>
                    <w:tag w:val="_PLD_50696c03164947ed9cac3e80943ab766"/>
                    <w:id w:val="123049807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DF7D0B" w:rsidRDefault="00DF7D0B" w:rsidP="00DF7D0B">
                        <w:pPr>
                          <w:ind w:firstLineChars="100" w:firstLine="210"/>
                          <w:rPr>
                            <w:szCs w:val="21"/>
                          </w:rPr>
                        </w:pPr>
                        <w:r>
                          <w:rPr>
                            <w:rFonts w:hint="eastAsia"/>
                            <w:szCs w:val="21"/>
                          </w:rPr>
                          <w:t>递延收益</w:t>
                        </w:r>
                      </w:p>
                    </w:tc>
                  </w:sdtContent>
                </w:sdt>
                <w:tc>
                  <w:tcPr>
                    <w:tcW w:w="627" w:type="pct"/>
                    <w:tcBorders>
                      <w:top w:val="outset" w:sz="6" w:space="0" w:color="auto"/>
                      <w:left w:val="outset" w:sz="6" w:space="0" w:color="auto"/>
                      <w:bottom w:val="outset" w:sz="6" w:space="0" w:color="auto"/>
                      <w:right w:val="outset" w:sz="6" w:space="0" w:color="auto"/>
                    </w:tcBorders>
                  </w:tcPr>
                  <w:p w:rsidR="00DF7D0B" w:rsidRDefault="00DF7D0B" w:rsidP="00DF7D0B">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DF7D0B" w:rsidRDefault="00DF7D0B" w:rsidP="00DF7D0B">
                    <w:pPr>
                      <w:jc w:val="right"/>
                      <w:rPr>
                        <w:szCs w:val="21"/>
                      </w:rPr>
                    </w:pPr>
                    <w:r>
                      <w:t>245,808,144</w:t>
                    </w:r>
                  </w:p>
                </w:tc>
                <w:tc>
                  <w:tcPr>
                    <w:tcW w:w="1333" w:type="pct"/>
                    <w:tcBorders>
                      <w:top w:val="outset" w:sz="6" w:space="0" w:color="auto"/>
                      <w:left w:val="outset" w:sz="6" w:space="0" w:color="auto"/>
                      <w:bottom w:val="outset" w:sz="6" w:space="0" w:color="auto"/>
                      <w:right w:val="outset" w:sz="6" w:space="0" w:color="auto"/>
                    </w:tcBorders>
                    <w:vAlign w:val="center"/>
                  </w:tcPr>
                  <w:p w:rsidR="00DF7D0B" w:rsidRDefault="00DF7D0B" w:rsidP="00DF7D0B">
                    <w:pPr>
                      <w:jc w:val="right"/>
                      <w:rPr>
                        <w:szCs w:val="21"/>
                      </w:rPr>
                    </w:pPr>
                    <w:r>
                      <w:t>251,534,984</w:t>
                    </w:r>
                  </w:p>
                </w:tc>
              </w:tr>
              <w:tr w:rsidR="00DF7D0B" w:rsidTr="00EC233F">
                <w:sdt>
                  <w:sdtPr>
                    <w:tag w:val="_PLD_632004d6f6064c92bff394ad8787dbfd"/>
                    <w:id w:val="94419850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DF7D0B" w:rsidRDefault="00DF7D0B" w:rsidP="00DF7D0B">
                        <w:pPr>
                          <w:ind w:firstLineChars="100" w:firstLine="210"/>
                          <w:rPr>
                            <w:szCs w:val="21"/>
                          </w:rPr>
                        </w:pPr>
                        <w:r>
                          <w:rPr>
                            <w:rFonts w:hint="eastAsia"/>
                            <w:szCs w:val="21"/>
                          </w:rPr>
                          <w:t>递延所得税负债</w:t>
                        </w:r>
                      </w:p>
                    </w:tc>
                  </w:sdtContent>
                </w:sdt>
                <w:tc>
                  <w:tcPr>
                    <w:tcW w:w="627" w:type="pct"/>
                    <w:tcBorders>
                      <w:top w:val="outset" w:sz="6" w:space="0" w:color="auto"/>
                      <w:left w:val="outset" w:sz="6" w:space="0" w:color="auto"/>
                      <w:bottom w:val="outset" w:sz="6" w:space="0" w:color="auto"/>
                      <w:right w:val="outset" w:sz="6" w:space="0" w:color="auto"/>
                    </w:tcBorders>
                  </w:tcPr>
                  <w:p w:rsidR="00DF7D0B" w:rsidRDefault="00DF7D0B" w:rsidP="00DF7D0B">
                    <w:pPr>
                      <w:rPr>
                        <w:szCs w:val="21"/>
                      </w:rPr>
                    </w:pPr>
                  </w:p>
                </w:tc>
                <w:tc>
                  <w:tcPr>
                    <w:tcW w:w="1411" w:type="pct"/>
                    <w:tcBorders>
                      <w:top w:val="outset" w:sz="6" w:space="0" w:color="auto"/>
                      <w:left w:val="outset" w:sz="6" w:space="0" w:color="auto"/>
                      <w:bottom w:val="outset" w:sz="6" w:space="0" w:color="auto"/>
                      <w:right w:val="outset" w:sz="6" w:space="0" w:color="auto"/>
                    </w:tcBorders>
                  </w:tcPr>
                  <w:p w:rsidR="00DF7D0B" w:rsidRDefault="00DF7D0B" w:rsidP="00DF7D0B">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DF7D0B" w:rsidRDefault="00DF7D0B" w:rsidP="00DF7D0B">
                    <w:pPr>
                      <w:jc w:val="right"/>
                      <w:rPr>
                        <w:szCs w:val="21"/>
                      </w:rPr>
                    </w:pPr>
                  </w:p>
                </w:tc>
              </w:tr>
              <w:tr w:rsidR="00DF7D0B" w:rsidTr="00601D47">
                <w:sdt>
                  <w:sdtPr>
                    <w:tag w:val="_PLD_f1166d872951497f9caa395c32bf7eb8"/>
                    <w:id w:val="-107681710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DF7D0B" w:rsidRDefault="00DF7D0B" w:rsidP="00DF7D0B">
                        <w:pPr>
                          <w:ind w:firstLineChars="100" w:firstLine="210"/>
                          <w:rPr>
                            <w:szCs w:val="21"/>
                          </w:rPr>
                        </w:pPr>
                        <w:r>
                          <w:rPr>
                            <w:rFonts w:hint="eastAsia"/>
                            <w:szCs w:val="21"/>
                          </w:rPr>
                          <w:t>其他非流动负债</w:t>
                        </w:r>
                      </w:p>
                    </w:tc>
                  </w:sdtContent>
                </w:sdt>
                <w:tc>
                  <w:tcPr>
                    <w:tcW w:w="627" w:type="pct"/>
                    <w:tcBorders>
                      <w:top w:val="outset" w:sz="6" w:space="0" w:color="auto"/>
                      <w:left w:val="outset" w:sz="6" w:space="0" w:color="auto"/>
                      <w:bottom w:val="outset" w:sz="6" w:space="0" w:color="auto"/>
                      <w:right w:val="outset" w:sz="6" w:space="0" w:color="auto"/>
                    </w:tcBorders>
                  </w:tcPr>
                  <w:p w:rsidR="00DF7D0B" w:rsidRDefault="00FE7F64" w:rsidP="00DF7D0B">
                    <w:pPr>
                      <w:rPr>
                        <w:szCs w:val="21"/>
                      </w:rPr>
                    </w:pPr>
                    <w:r>
                      <w:rPr>
                        <w:rFonts w:hint="eastAsia"/>
                        <w:szCs w:val="21"/>
                      </w:rPr>
                      <w:t>七、5</w:t>
                    </w:r>
                    <w:r>
                      <w:rPr>
                        <w:szCs w:val="21"/>
                      </w:rPr>
                      <w:t>2</w:t>
                    </w:r>
                  </w:p>
                </w:tc>
                <w:tc>
                  <w:tcPr>
                    <w:tcW w:w="1411" w:type="pct"/>
                    <w:tcBorders>
                      <w:top w:val="outset" w:sz="6" w:space="0" w:color="auto"/>
                      <w:left w:val="outset" w:sz="6" w:space="0" w:color="auto"/>
                      <w:bottom w:val="outset" w:sz="6" w:space="0" w:color="auto"/>
                      <w:right w:val="outset" w:sz="6" w:space="0" w:color="auto"/>
                    </w:tcBorders>
                    <w:vAlign w:val="center"/>
                  </w:tcPr>
                  <w:p w:rsidR="00DF7D0B" w:rsidRDefault="00DF7D0B" w:rsidP="00DF7D0B">
                    <w:pPr>
                      <w:jc w:val="right"/>
                      <w:rPr>
                        <w:szCs w:val="21"/>
                      </w:rPr>
                    </w:pPr>
                    <w:r>
                      <w:t>377,455,187</w:t>
                    </w:r>
                  </w:p>
                </w:tc>
                <w:tc>
                  <w:tcPr>
                    <w:tcW w:w="1333" w:type="pct"/>
                    <w:tcBorders>
                      <w:top w:val="outset" w:sz="6" w:space="0" w:color="auto"/>
                      <w:left w:val="outset" w:sz="6" w:space="0" w:color="auto"/>
                      <w:bottom w:val="outset" w:sz="6" w:space="0" w:color="auto"/>
                      <w:right w:val="outset" w:sz="6" w:space="0" w:color="auto"/>
                    </w:tcBorders>
                    <w:vAlign w:val="center"/>
                  </w:tcPr>
                  <w:p w:rsidR="00DF7D0B" w:rsidRDefault="00DF7D0B" w:rsidP="00DF7D0B">
                    <w:pPr>
                      <w:jc w:val="right"/>
                      <w:rPr>
                        <w:szCs w:val="21"/>
                      </w:rPr>
                    </w:pPr>
                    <w:r>
                      <w:t>395,500,154</w:t>
                    </w:r>
                  </w:p>
                </w:tc>
              </w:tr>
              <w:tr w:rsidR="00DF7D0B" w:rsidTr="00601D47">
                <w:sdt>
                  <w:sdtPr>
                    <w:tag w:val="_PLD_59b079937912479a979530804001242e"/>
                    <w:id w:val="-190605870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DF7D0B" w:rsidRDefault="00DF7D0B" w:rsidP="00DF7D0B">
                        <w:pPr>
                          <w:ind w:firstLineChars="200" w:firstLine="420"/>
                          <w:rPr>
                            <w:szCs w:val="21"/>
                          </w:rPr>
                        </w:pPr>
                        <w:r>
                          <w:rPr>
                            <w:rFonts w:hint="eastAsia"/>
                            <w:szCs w:val="21"/>
                          </w:rPr>
                          <w:t>非流动负债合计</w:t>
                        </w:r>
                      </w:p>
                    </w:tc>
                  </w:sdtContent>
                </w:sdt>
                <w:tc>
                  <w:tcPr>
                    <w:tcW w:w="627" w:type="pct"/>
                    <w:tcBorders>
                      <w:top w:val="outset" w:sz="6" w:space="0" w:color="auto"/>
                      <w:left w:val="outset" w:sz="6" w:space="0" w:color="auto"/>
                      <w:bottom w:val="outset" w:sz="6" w:space="0" w:color="auto"/>
                      <w:right w:val="outset" w:sz="6" w:space="0" w:color="auto"/>
                    </w:tcBorders>
                  </w:tcPr>
                  <w:p w:rsidR="00DF7D0B" w:rsidRDefault="00DF7D0B" w:rsidP="00DF7D0B">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DF7D0B" w:rsidRDefault="00DF7D0B" w:rsidP="00DF7D0B">
                    <w:pPr>
                      <w:jc w:val="right"/>
                      <w:rPr>
                        <w:szCs w:val="21"/>
                      </w:rPr>
                    </w:pPr>
                    <w:r>
                      <w:t>44,690,550,036</w:t>
                    </w:r>
                  </w:p>
                </w:tc>
                <w:tc>
                  <w:tcPr>
                    <w:tcW w:w="1333" w:type="pct"/>
                    <w:tcBorders>
                      <w:top w:val="outset" w:sz="6" w:space="0" w:color="auto"/>
                      <w:left w:val="outset" w:sz="6" w:space="0" w:color="auto"/>
                      <w:bottom w:val="outset" w:sz="6" w:space="0" w:color="auto"/>
                      <w:right w:val="outset" w:sz="6" w:space="0" w:color="auto"/>
                    </w:tcBorders>
                    <w:vAlign w:val="center"/>
                  </w:tcPr>
                  <w:p w:rsidR="00DF7D0B" w:rsidRDefault="00DF7D0B" w:rsidP="00DF7D0B">
                    <w:pPr>
                      <w:jc w:val="right"/>
                      <w:rPr>
                        <w:szCs w:val="21"/>
                      </w:rPr>
                    </w:pPr>
                    <w:r>
                      <w:t>45,045,297,355</w:t>
                    </w:r>
                  </w:p>
                </w:tc>
              </w:tr>
              <w:tr w:rsidR="00DF7D0B" w:rsidTr="00601D47">
                <w:sdt>
                  <w:sdtPr>
                    <w:tag w:val="_PLD_b8f8805d82ba4d8295eec1868ee7ea4d"/>
                    <w:id w:val="142900339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DF7D0B" w:rsidRDefault="00DF7D0B" w:rsidP="00DF7D0B">
                        <w:pPr>
                          <w:ind w:firstLineChars="300" w:firstLine="630"/>
                          <w:rPr>
                            <w:szCs w:val="21"/>
                          </w:rPr>
                        </w:pPr>
                        <w:r>
                          <w:rPr>
                            <w:rFonts w:hint="eastAsia"/>
                            <w:szCs w:val="21"/>
                          </w:rPr>
                          <w:t>负债合计</w:t>
                        </w:r>
                      </w:p>
                    </w:tc>
                  </w:sdtContent>
                </w:sdt>
                <w:tc>
                  <w:tcPr>
                    <w:tcW w:w="627" w:type="pct"/>
                    <w:tcBorders>
                      <w:top w:val="outset" w:sz="6" w:space="0" w:color="auto"/>
                      <w:left w:val="outset" w:sz="6" w:space="0" w:color="auto"/>
                      <w:bottom w:val="outset" w:sz="6" w:space="0" w:color="auto"/>
                      <w:right w:val="outset" w:sz="6" w:space="0" w:color="auto"/>
                    </w:tcBorders>
                  </w:tcPr>
                  <w:p w:rsidR="00DF7D0B" w:rsidRDefault="00DF7D0B" w:rsidP="00DF7D0B">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DF7D0B" w:rsidRDefault="00DF7D0B" w:rsidP="00DF7D0B">
                    <w:pPr>
                      <w:jc w:val="right"/>
                      <w:rPr>
                        <w:szCs w:val="21"/>
                      </w:rPr>
                    </w:pPr>
                    <w:r>
                      <w:t>62,107,810,533</w:t>
                    </w:r>
                  </w:p>
                </w:tc>
                <w:tc>
                  <w:tcPr>
                    <w:tcW w:w="1333" w:type="pct"/>
                    <w:tcBorders>
                      <w:top w:val="outset" w:sz="6" w:space="0" w:color="auto"/>
                      <w:left w:val="outset" w:sz="6" w:space="0" w:color="auto"/>
                      <w:bottom w:val="outset" w:sz="6" w:space="0" w:color="auto"/>
                      <w:right w:val="outset" w:sz="6" w:space="0" w:color="auto"/>
                    </w:tcBorders>
                    <w:vAlign w:val="center"/>
                  </w:tcPr>
                  <w:p w:rsidR="00DF7D0B" w:rsidRDefault="00DF7D0B" w:rsidP="00DF7D0B">
                    <w:pPr>
                      <w:jc w:val="right"/>
                      <w:rPr>
                        <w:szCs w:val="21"/>
                      </w:rPr>
                    </w:pPr>
                    <w:r>
                      <w:t>63,217,810,670</w:t>
                    </w:r>
                  </w:p>
                </w:tc>
              </w:tr>
              <w:tr w:rsidR="00DF7D0B" w:rsidTr="00713F20">
                <w:sdt>
                  <w:sdtPr>
                    <w:tag w:val="_PLD_c6760bbd367544f58c1b02c0378c7818"/>
                    <w:id w:val="-95021960"/>
                    <w:lock w:val="sdtLocked"/>
                  </w:sdtPr>
                  <w:sdtContent>
                    <w:tc>
                      <w:tcPr>
                        <w:tcW w:w="5000" w:type="pct"/>
                        <w:gridSpan w:val="4"/>
                        <w:tcBorders>
                          <w:top w:val="outset" w:sz="6" w:space="0" w:color="auto"/>
                          <w:left w:val="outset" w:sz="6" w:space="0" w:color="auto"/>
                          <w:bottom w:val="outset" w:sz="6" w:space="0" w:color="auto"/>
                          <w:right w:val="outset" w:sz="6" w:space="0" w:color="auto"/>
                        </w:tcBorders>
                        <w:vAlign w:val="center"/>
                      </w:tcPr>
                      <w:p w:rsidR="00DF7D0B" w:rsidRDefault="00DF7D0B" w:rsidP="00DF7D0B">
                        <w:pPr>
                          <w:rPr>
                            <w:color w:val="008000"/>
                            <w:szCs w:val="21"/>
                          </w:rPr>
                        </w:pPr>
                        <w:r>
                          <w:rPr>
                            <w:rFonts w:hint="eastAsia"/>
                            <w:b/>
                            <w:bCs/>
                            <w:szCs w:val="21"/>
                          </w:rPr>
                          <w:t>所有者权益（或股东权益）：</w:t>
                        </w:r>
                      </w:p>
                    </w:tc>
                  </w:sdtContent>
                </w:sdt>
              </w:tr>
              <w:tr w:rsidR="00D510AA" w:rsidTr="00601D47">
                <w:sdt>
                  <w:sdtPr>
                    <w:tag w:val="_PLD_d864d8aed0f64d4f86a89d52037e9f90"/>
                    <w:id w:val="-202786085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D510AA" w:rsidRDefault="00D510AA" w:rsidP="00D510AA">
                        <w:pPr>
                          <w:ind w:firstLineChars="100" w:firstLine="210"/>
                          <w:rPr>
                            <w:szCs w:val="21"/>
                          </w:rPr>
                        </w:pPr>
                        <w:r>
                          <w:rPr>
                            <w:rFonts w:hint="eastAsia"/>
                            <w:szCs w:val="21"/>
                          </w:rPr>
                          <w:t>实收资本（或股本）</w:t>
                        </w:r>
                      </w:p>
                    </w:tc>
                  </w:sdtContent>
                </w:sdt>
                <w:tc>
                  <w:tcPr>
                    <w:tcW w:w="627" w:type="pct"/>
                    <w:tcBorders>
                      <w:top w:val="outset" w:sz="6" w:space="0" w:color="auto"/>
                      <w:left w:val="outset" w:sz="6" w:space="0" w:color="auto"/>
                      <w:bottom w:val="outset" w:sz="6" w:space="0" w:color="auto"/>
                      <w:right w:val="outset" w:sz="6" w:space="0" w:color="auto"/>
                    </w:tcBorders>
                  </w:tcPr>
                  <w:p w:rsidR="00D510AA" w:rsidRDefault="00FE7F64" w:rsidP="00D510AA">
                    <w:pPr>
                      <w:rPr>
                        <w:szCs w:val="21"/>
                      </w:rPr>
                    </w:pPr>
                    <w:r>
                      <w:rPr>
                        <w:rFonts w:hint="eastAsia"/>
                        <w:szCs w:val="21"/>
                      </w:rPr>
                      <w:t>七、5</w:t>
                    </w:r>
                    <w:r>
                      <w:rPr>
                        <w:szCs w:val="21"/>
                      </w:rPr>
                      <w:t>3</w:t>
                    </w:r>
                  </w:p>
                </w:tc>
                <w:tc>
                  <w:tcPr>
                    <w:tcW w:w="1411" w:type="pct"/>
                    <w:tcBorders>
                      <w:top w:val="outset" w:sz="6" w:space="0" w:color="auto"/>
                      <w:left w:val="outset" w:sz="6" w:space="0" w:color="auto"/>
                      <w:bottom w:val="outset" w:sz="6" w:space="0" w:color="auto"/>
                      <w:right w:val="outset" w:sz="6" w:space="0" w:color="auto"/>
                    </w:tcBorders>
                    <w:vAlign w:val="center"/>
                  </w:tcPr>
                  <w:p w:rsidR="00D510AA" w:rsidRDefault="00D510AA" w:rsidP="00D510AA">
                    <w:pPr>
                      <w:jc w:val="right"/>
                      <w:rPr>
                        <w:szCs w:val="21"/>
                      </w:rPr>
                    </w:pPr>
                    <w:r>
                      <w:t>14,866,945,907</w:t>
                    </w:r>
                  </w:p>
                </w:tc>
                <w:tc>
                  <w:tcPr>
                    <w:tcW w:w="1333" w:type="pct"/>
                    <w:tcBorders>
                      <w:top w:val="outset" w:sz="6" w:space="0" w:color="auto"/>
                      <w:left w:val="outset" w:sz="6" w:space="0" w:color="auto"/>
                      <w:bottom w:val="outset" w:sz="6" w:space="0" w:color="auto"/>
                      <w:right w:val="outset" w:sz="6" w:space="0" w:color="auto"/>
                    </w:tcBorders>
                    <w:vAlign w:val="center"/>
                  </w:tcPr>
                  <w:p w:rsidR="00D510AA" w:rsidRDefault="00D510AA" w:rsidP="00D510AA">
                    <w:pPr>
                      <w:jc w:val="right"/>
                      <w:rPr>
                        <w:szCs w:val="21"/>
                      </w:rPr>
                    </w:pPr>
                    <w:r>
                      <w:t>14,866,908,025</w:t>
                    </w:r>
                  </w:p>
                </w:tc>
              </w:tr>
              <w:tr w:rsidR="00D510AA" w:rsidTr="00601D47">
                <w:sdt>
                  <w:sdtPr>
                    <w:tag w:val="_PLD_9bea5106a9194e56b318ec175b3ffa81"/>
                    <w:id w:val="-201436840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D510AA" w:rsidRDefault="00D510AA" w:rsidP="00D510AA">
                        <w:pPr>
                          <w:ind w:firstLineChars="100" w:firstLine="210"/>
                          <w:rPr>
                            <w:szCs w:val="21"/>
                          </w:rPr>
                        </w:pPr>
                        <w:r>
                          <w:rPr>
                            <w:rFonts w:hint="eastAsia"/>
                            <w:szCs w:val="21"/>
                          </w:rPr>
                          <w:t>其他权益工具</w:t>
                        </w:r>
                      </w:p>
                    </w:tc>
                  </w:sdtContent>
                </w:sdt>
                <w:tc>
                  <w:tcPr>
                    <w:tcW w:w="627" w:type="pct"/>
                    <w:tcBorders>
                      <w:top w:val="outset" w:sz="6" w:space="0" w:color="auto"/>
                      <w:left w:val="outset" w:sz="6" w:space="0" w:color="auto"/>
                      <w:bottom w:val="outset" w:sz="6" w:space="0" w:color="auto"/>
                      <w:right w:val="outset" w:sz="6" w:space="0" w:color="auto"/>
                    </w:tcBorders>
                  </w:tcPr>
                  <w:p w:rsidR="00D510AA" w:rsidRDefault="00FE7F64" w:rsidP="00D510AA">
                    <w:pPr>
                      <w:rPr>
                        <w:szCs w:val="21"/>
                      </w:rPr>
                    </w:pPr>
                    <w:r>
                      <w:rPr>
                        <w:rFonts w:hint="eastAsia"/>
                        <w:szCs w:val="21"/>
                      </w:rPr>
                      <w:t>七、5</w:t>
                    </w:r>
                    <w:r>
                      <w:rPr>
                        <w:szCs w:val="21"/>
                      </w:rPr>
                      <w:t>4</w:t>
                    </w:r>
                  </w:p>
                </w:tc>
                <w:tc>
                  <w:tcPr>
                    <w:tcW w:w="1411" w:type="pct"/>
                    <w:tcBorders>
                      <w:top w:val="outset" w:sz="6" w:space="0" w:color="auto"/>
                      <w:left w:val="outset" w:sz="6" w:space="0" w:color="auto"/>
                      <w:bottom w:val="outset" w:sz="6" w:space="0" w:color="auto"/>
                      <w:right w:val="outset" w:sz="6" w:space="0" w:color="auto"/>
                    </w:tcBorders>
                    <w:vAlign w:val="center"/>
                  </w:tcPr>
                  <w:p w:rsidR="00D510AA" w:rsidRDefault="00D510AA" w:rsidP="00D510AA">
                    <w:pPr>
                      <w:jc w:val="right"/>
                      <w:rPr>
                        <w:szCs w:val="21"/>
                      </w:rPr>
                    </w:pPr>
                    <w:r>
                      <w:t>3,358,227,137</w:t>
                    </w:r>
                  </w:p>
                </w:tc>
                <w:tc>
                  <w:tcPr>
                    <w:tcW w:w="1333" w:type="pct"/>
                    <w:tcBorders>
                      <w:top w:val="outset" w:sz="6" w:space="0" w:color="auto"/>
                      <w:left w:val="outset" w:sz="6" w:space="0" w:color="auto"/>
                      <w:bottom w:val="outset" w:sz="6" w:space="0" w:color="auto"/>
                      <w:right w:val="outset" w:sz="6" w:space="0" w:color="auto"/>
                    </w:tcBorders>
                    <w:vAlign w:val="center"/>
                  </w:tcPr>
                  <w:p w:rsidR="00D510AA" w:rsidRDefault="00D510AA" w:rsidP="00D510AA">
                    <w:pPr>
                      <w:jc w:val="right"/>
                      <w:rPr>
                        <w:szCs w:val="21"/>
                      </w:rPr>
                    </w:pPr>
                    <w:r>
                      <w:t>3,358,254,738</w:t>
                    </w:r>
                  </w:p>
                </w:tc>
              </w:tr>
              <w:tr w:rsidR="00D510AA" w:rsidTr="00EC233F">
                <w:sdt>
                  <w:sdtPr>
                    <w:tag w:val="_PLD_423f84dc380a424a864dca18f54d376d"/>
                    <w:id w:val="134506319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D510AA" w:rsidRDefault="00D510AA" w:rsidP="00D510AA">
                        <w:pPr>
                          <w:ind w:firstLineChars="100" w:firstLine="210"/>
                          <w:rPr>
                            <w:szCs w:val="21"/>
                          </w:rPr>
                        </w:pPr>
                        <w:r>
                          <w:rPr>
                            <w:rFonts w:hint="eastAsia"/>
                            <w:szCs w:val="21"/>
                          </w:rPr>
                          <w:t>其中：优先股</w:t>
                        </w:r>
                      </w:p>
                    </w:tc>
                  </w:sdtContent>
                </w:sdt>
                <w:tc>
                  <w:tcPr>
                    <w:tcW w:w="627" w:type="pct"/>
                    <w:tcBorders>
                      <w:top w:val="outset" w:sz="6" w:space="0" w:color="auto"/>
                      <w:left w:val="outset" w:sz="6" w:space="0" w:color="auto"/>
                      <w:bottom w:val="outset" w:sz="6" w:space="0" w:color="auto"/>
                      <w:right w:val="outset" w:sz="6" w:space="0" w:color="auto"/>
                    </w:tcBorders>
                  </w:tcPr>
                  <w:p w:rsidR="00D510AA" w:rsidRDefault="00D510AA" w:rsidP="00D510AA">
                    <w:pPr>
                      <w:rPr>
                        <w:szCs w:val="21"/>
                      </w:rPr>
                    </w:pPr>
                  </w:p>
                </w:tc>
                <w:tc>
                  <w:tcPr>
                    <w:tcW w:w="1411" w:type="pct"/>
                    <w:tcBorders>
                      <w:top w:val="outset" w:sz="6" w:space="0" w:color="auto"/>
                      <w:left w:val="outset" w:sz="6" w:space="0" w:color="auto"/>
                      <w:bottom w:val="outset" w:sz="6" w:space="0" w:color="auto"/>
                      <w:right w:val="outset" w:sz="6" w:space="0" w:color="auto"/>
                    </w:tcBorders>
                  </w:tcPr>
                  <w:p w:rsidR="00D510AA" w:rsidRDefault="00D510AA" w:rsidP="00D510A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D510AA" w:rsidRDefault="00D510AA" w:rsidP="00D510AA">
                    <w:pPr>
                      <w:jc w:val="right"/>
                      <w:rPr>
                        <w:szCs w:val="21"/>
                      </w:rPr>
                    </w:pPr>
                  </w:p>
                </w:tc>
              </w:tr>
              <w:tr w:rsidR="00D510AA" w:rsidTr="00EC233F">
                <w:sdt>
                  <w:sdtPr>
                    <w:tag w:val="_PLD_0fcce399a2f04273b1adcdb9adfc3ac2"/>
                    <w:id w:val="-151345013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D510AA" w:rsidRDefault="00D510AA" w:rsidP="00D510AA">
                        <w:pPr>
                          <w:ind w:leftChars="300" w:left="630" w:firstLineChars="100" w:firstLine="210"/>
                          <w:rPr>
                            <w:szCs w:val="21"/>
                          </w:rPr>
                        </w:pPr>
                        <w:r>
                          <w:rPr>
                            <w:rFonts w:hint="eastAsia"/>
                            <w:szCs w:val="21"/>
                          </w:rPr>
                          <w:t>永续债</w:t>
                        </w:r>
                      </w:p>
                    </w:tc>
                  </w:sdtContent>
                </w:sdt>
                <w:tc>
                  <w:tcPr>
                    <w:tcW w:w="627" w:type="pct"/>
                    <w:tcBorders>
                      <w:top w:val="outset" w:sz="6" w:space="0" w:color="auto"/>
                      <w:left w:val="outset" w:sz="6" w:space="0" w:color="auto"/>
                      <w:bottom w:val="outset" w:sz="6" w:space="0" w:color="auto"/>
                      <w:right w:val="outset" w:sz="6" w:space="0" w:color="auto"/>
                    </w:tcBorders>
                  </w:tcPr>
                  <w:p w:rsidR="00D510AA" w:rsidRDefault="00D510AA" w:rsidP="00D510AA">
                    <w:pPr>
                      <w:rPr>
                        <w:szCs w:val="21"/>
                      </w:rPr>
                    </w:pPr>
                  </w:p>
                </w:tc>
                <w:tc>
                  <w:tcPr>
                    <w:tcW w:w="1411" w:type="pct"/>
                    <w:tcBorders>
                      <w:top w:val="outset" w:sz="6" w:space="0" w:color="auto"/>
                      <w:left w:val="outset" w:sz="6" w:space="0" w:color="auto"/>
                      <w:bottom w:val="outset" w:sz="6" w:space="0" w:color="auto"/>
                      <w:right w:val="outset" w:sz="6" w:space="0" w:color="auto"/>
                    </w:tcBorders>
                  </w:tcPr>
                  <w:p w:rsidR="00D510AA" w:rsidRDefault="00D510AA" w:rsidP="00D510A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D510AA" w:rsidRDefault="00D510AA" w:rsidP="00D510AA">
                    <w:pPr>
                      <w:jc w:val="right"/>
                      <w:rPr>
                        <w:szCs w:val="21"/>
                      </w:rPr>
                    </w:pPr>
                  </w:p>
                </w:tc>
              </w:tr>
              <w:tr w:rsidR="00D510AA" w:rsidTr="00601D47">
                <w:sdt>
                  <w:sdtPr>
                    <w:tag w:val="_PLD_17c95fc3a8334c3b99e1cea8075fac6a"/>
                    <w:id w:val="-40075451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D510AA" w:rsidRDefault="00D510AA" w:rsidP="00D510AA">
                        <w:pPr>
                          <w:ind w:firstLineChars="100" w:firstLine="210"/>
                          <w:rPr>
                            <w:szCs w:val="21"/>
                          </w:rPr>
                        </w:pPr>
                        <w:r>
                          <w:rPr>
                            <w:rFonts w:hint="eastAsia"/>
                            <w:szCs w:val="21"/>
                          </w:rPr>
                          <w:t>资本公积</w:t>
                        </w:r>
                      </w:p>
                    </w:tc>
                  </w:sdtContent>
                </w:sdt>
                <w:tc>
                  <w:tcPr>
                    <w:tcW w:w="627" w:type="pct"/>
                    <w:tcBorders>
                      <w:top w:val="outset" w:sz="6" w:space="0" w:color="auto"/>
                      <w:left w:val="outset" w:sz="6" w:space="0" w:color="auto"/>
                      <w:bottom w:val="outset" w:sz="6" w:space="0" w:color="auto"/>
                      <w:right w:val="outset" w:sz="6" w:space="0" w:color="auto"/>
                    </w:tcBorders>
                  </w:tcPr>
                  <w:p w:rsidR="00D510AA" w:rsidRDefault="00FE7F64" w:rsidP="00D510AA">
                    <w:pPr>
                      <w:rPr>
                        <w:szCs w:val="21"/>
                      </w:rPr>
                    </w:pPr>
                    <w:r>
                      <w:rPr>
                        <w:rFonts w:hint="eastAsia"/>
                        <w:szCs w:val="21"/>
                      </w:rPr>
                      <w:t>七、5</w:t>
                    </w:r>
                    <w:r>
                      <w:rPr>
                        <w:szCs w:val="21"/>
                      </w:rPr>
                      <w:t>5</w:t>
                    </w:r>
                  </w:p>
                </w:tc>
                <w:tc>
                  <w:tcPr>
                    <w:tcW w:w="1411" w:type="pct"/>
                    <w:tcBorders>
                      <w:top w:val="outset" w:sz="6" w:space="0" w:color="auto"/>
                      <w:left w:val="outset" w:sz="6" w:space="0" w:color="auto"/>
                      <w:bottom w:val="outset" w:sz="6" w:space="0" w:color="auto"/>
                      <w:right w:val="outset" w:sz="6" w:space="0" w:color="auto"/>
                    </w:tcBorders>
                    <w:vAlign w:val="center"/>
                  </w:tcPr>
                  <w:p w:rsidR="00D510AA" w:rsidRDefault="00D510AA" w:rsidP="00D510AA">
                    <w:pPr>
                      <w:jc w:val="right"/>
                      <w:rPr>
                        <w:szCs w:val="21"/>
                      </w:rPr>
                    </w:pPr>
                    <w:r>
                      <w:t>23,349,958,581</w:t>
                    </w:r>
                  </w:p>
                </w:tc>
                <w:tc>
                  <w:tcPr>
                    <w:tcW w:w="1333" w:type="pct"/>
                    <w:tcBorders>
                      <w:top w:val="outset" w:sz="6" w:space="0" w:color="auto"/>
                      <w:left w:val="outset" w:sz="6" w:space="0" w:color="auto"/>
                      <w:bottom w:val="outset" w:sz="6" w:space="0" w:color="auto"/>
                      <w:right w:val="outset" w:sz="6" w:space="0" w:color="auto"/>
                    </w:tcBorders>
                    <w:vAlign w:val="center"/>
                  </w:tcPr>
                  <w:p w:rsidR="00D510AA" w:rsidRDefault="00D510AA" w:rsidP="00D510AA">
                    <w:pPr>
                      <w:jc w:val="right"/>
                      <w:rPr>
                        <w:szCs w:val="21"/>
                      </w:rPr>
                    </w:pPr>
                    <w:r>
                      <w:t>23,346,233,399</w:t>
                    </w:r>
                  </w:p>
                </w:tc>
              </w:tr>
              <w:tr w:rsidR="00D510AA" w:rsidTr="00EC233F">
                <w:sdt>
                  <w:sdtPr>
                    <w:tag w:val="_PLD_8c1ec6f9a8ab4147876925f38a9aa154"/>
                    <w:id w:val="109329160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D510AA" w:rsidRDefault="00D510AA" w:rsidP="00D510AA">
                        <w:pPr>
                          <w:ind w:firstLineChars="100" w:firstLine="210"/>
                          <w:rPr>
                            <w:szCs w:val="21"/>
                          </w:rPr>
                        </w:pPr>
                        <w:r>
                          <w:rPr>
                            <w:rFonts w:hint="eastAsia"/>
                            <w:szCs w:val="21"/>
                          </w:rPr>
                          <w:t>减：库存股</w:t>
                        </w:r>
                      </w:p>
                    </w:tc>
                  </w:sdtContent>
                </w:sdt>
                <w:tc>
                  <w:tcPr>
                    <w:tcW w:w="627" w:type="pct"/>
                    <w:tcBorders>
                      <w:top w:val="outset" w:sz="6" w:space="0" w:color="auto"/>
                      <w:left w:val="outset" w:sz="6" w:space="0" w:color="auto"/>
                      <w:bottom w:val="outset" w:sz="6" w:space="0" w:color="auto"/>
                      <w:right w:val="outset" w:sz="6" w:space="0" w:color="auto"/>
                    </w:tcBorders>
                  </w:tcPr>
                  <w:p w:rsidR="00D510AA" w:rsidRDefault="00D510AA" w:rsidP="00D510AA">
                    <w:pPr>
                      <w:rPr>
                        <w:szCs w:val="21"/>
                      </w:rPr>
                    </w:pPr>
                  </w:p>
                </w:tc>
                <w:tc>
                  <w:tcPr>
                    <w:tcW w:w="1411" w:type="pct"/>
                    <w:tcBorders>
                      <w:top w:val="outset" w:sz="6" w:space="0" w:color="auto"/>
                      <w:left w:val="outset" w:sz="6" w:space="0" w:color="auto"/>
                      <w:bottom w:val="outset" w:sz="6" w:space="0" w:color="auto"/>
                      <w:right w:val="outset" w:sz="6" w:space="0" w:color="auto"/>
                    </w:tcBorders>
                  </w:tcPr>
                  <w:p w:rsidR="00D510AA" w:rsidRDefault="00D510AA" w:rsidP="00D510A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D510AA" w:rsidRDefault="00D510AA" w:rsidP="00D510AA">
                    <w:pPr>
                      <w:jc w:val="right"/>
                      <w:rPr>
                        <w:szCs w:val="21"/>
                      </w:rPr>
                    </w:pPr>
                  </w:p>
                </w:tc>
              </w:tr>
              <w:tr w:rsidR="00D510AA" w:rsidTr="00601D47">
                <w:sdt>
                  <w:sdtPr>
                    <w:tag w:val="_PLD_7db3c1f8f254401e890823dbfecc2193"/>
                    <w:id w:val="2923494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D510AA" w:rsidRDefault="00D510AA" w:rsidP="00D510AA">
                        <w:pPr>
                          <w:ind w:firstLineChars="100" w:firstLine="210"/>
                          <w:rPr>
                            <w:szCs w:val="21"/>
                          </w:rPr>
                        </w:pPr>
                        <w:r>
                          <w:rPr>
                            <w:rFonts w:hint="eastAsia"/>
                            <w:szCs w:val="21"/>
                          </w:rPr>
                          <w:t>其他综合收益</w:t>
                        </w:r>
                      </w:p>
                    </w:tc>
                  </w:sdtContent>
                </w:sdt>
                <w:tc>
                  <w:tcPr>
                    <w:tcW w:w="627" w:type="pct"/>
                    <w:tcBorders>
                      <w:top w:val="outset" w:sz="6" w:space="0" w:color="auto"/>
                      <w:left w:val="outset" w:sz="6" w:space="0" w:color="auto"/>
                      <w:bottom w:val="outset" w:sz="6" w:space="0" w:color="auto"/>
                      <w:right w:val="outset" w:sz="6" w:space="0" w:color="auto"/>
                    </w:tcBorders>
                  </w:tcPr>
                  <w:p w:rsidR="00D510AA" w:rsidRDefault="00FE7F64" w:rsidP="00D510AA">
                    <w:pPr>
                      <w:rPr>
                        <w:szCs w:val="21"/>
                      </w:rPr>
                    </w:pPr>
                    <w:r>
                      <w:rPr>
                        <w:rFonts w:hint="eastAsia"/>
                        <w:szCs w:val="21"/>
                      </w:rPr>
                      <w:t>七、5</w:t>
                    </w:r>
                    <w:r>
                      <w:rPr>
                        <w:szCs w:val="21"/>
                      </w:rPr>
                      <w:t>7</w:t>
                    </w:r>
                  </w:p>
                </w:tc>
                <w:tc>
                  <w:tcPr>
                    <w:tcW w:w="1411" w:type="pct"/>
                    <w:tcBorders>
                      <w:top w:val="outset" w:sz="6" w:space="0" w:color="auto"/>
                      <w:left w:val="outset" w:sz="6" w:space="0" w:color="auto"/>
                      <w:bottom w:val="outset" w:sz="6" w:space="0" w:color="auto"/>
                      <w:right w:val="outset" w:sz="6" w:space="0" w:color="auto"/>
                    </w:tcBorders>
                    <w:vAlign w:val="center"/>
                  </w:tcPr>
                  <w:p w:rsidR="00D510AA" w:rsidRDefault="00D510AA" w:rsidP="00D510AA">
                    <w:pPr>
                      <w:jc w:val="right"/>
                      <w:rPr>
                        <w:szCs w:val="21"/>
                      </w:rPr>
                    </w:pPr>
                    <w:r>
                      <w:rPr>
                        <w:rFonts w:hint="eastAsia"/>
                      </w:rPr>
                      <w:t>-</w:t>
                    </w:r>
                    <w:r>
                      <w:t>698,538,236</w:t>
                    </w:r>
                  </w:p>
                </w:tc>
                <w:tc>
                  <w:tcPr>
                    <w:tcW w:w="1333" w:type="pct"/>
                    <w:tcBorders>
                      <w:top w:val="outset" w:sz="6" w:space="0" w:color="auto"/>
                      <w:left w:val="outset" w:sz="6" w:space="0" w:color="auto"/>
                      <w:bottom w:val="outset" w:sz="6" w:space="0" w:color="auto"/>
                      <w:right w:val="outset" w:sz="6" w:space="0" w:color="auto"/>
                    </w:tcBorders>
                    <w:vAlign w:val="center"/>
                  </w:tcPr>
                  <w:p w:rsidR="00D510AA" w:rsidRDefault="00D510AA" w:rsidP="00D510AA">
                    <w:pPr>
                      <w:jc w:val="right"/>
                      <w:rPr>
                        <w:szCs w:val="21"/>
                      </w:rPr>
                    </w:pPr>
                    <w:r>
                      <w:rPr>
                        <w:rFonts w:hint="eastAsia"/>
                      </w:rPr>
                      <w:t>-</w:t>
                    </w:r>
                    <w:r>
                      <w:t>605,338,475</w:t>
                    </w:r>
                  </w:p>
                </w:tc>
              </w:tr>
              <w:tr w:rsidR="00D510AA" w:rsidTr="00601D47">
                <w:sdt>
                  <w:sdtPr>
                    <w:tag w:val="_PLD_50c68fc035f04bdc964e307d4ded9891"/>
                    <w:id w:val="-148993534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D510AA" w:rsidRDefault="00D510AA" w:rsidP="00D510AA">
                        <w:pPr>
                          <w:ind w:firstLineChars="100" w:firstLine="210"/>
                          <w:rPr>
                            <w:szCs w:val="21"/>
                          </w:rPr>
                        </w:pPr>
                        <w:r>
                          <w:rPr>
                            <w:rFonts w:hint="eastAsia"/>
                            <w:szCs w:val="21"/>
                          </w:rPr>
                          <w:t>专项储备</w:t>
                        </w:r>
                      </w:p>
                    </w:tc>
                  </w:sdtContent>
                </w:sdt>
                <w:tc>
                  <w:tcPr>
                    <w:tcW w:w="627" w:type="pct"/>
                    <w:tcBorders>
                      <w:top w:val="outset" w:sz="6" w:space="0" w:color="auto"/>
                      <w:left w:val="outset" w:sz="6" w:space="0" w:color="auto"/>
                      <w:bottom w:val="outset" w:sz="6" w:space="0" w:color="auto"/>
                      <w:right w:val="outset" w:sz="6" w:space="0" w:color="auto"/>
                    </w:tcBorders>
                  </w:tcPr>
                  <w:p w:rsidR="00D510AA" w:rsidRDefault="00FE7F64" w:rsidP="00D510AA">
                    <w:pPr>
                      <w:rPr>
                        <w:szCs w:val="21"/>
                      </w:rPr>
                    </w:pPr>
                    <w:r>
                      <w:rPr>
                        <w:rFonts w:hint="eastAsia"/>
                        <w:szCs w:val="21"/>
                      </w:rPr>
                      <w:t>七、5</w:t>
                    </w:r>
                    <w:r>
                      <w:rPr>
                        <w:szCs w:val="21"/>
                      </w:rPr>
                      <w:t>8</w:t>
                    </w:r>
                  </w:p>
                </w:tc>
                <w:tc>
                  <w:tcPr>
                    <w:tcW w:w="1411" w:type="pct"/>
                    <w:tcBorders>
                      <w:top w:val="outset" w:sz="6" w:space="0" w:color="auto"/>
                      <w:left w:val="outset" w:sz="6" w:space="0" w:color="auto"/>
                      <w:bottom w:val="outset" w:sz="6" w:space="0" w:color="auto"/>
                      <w:right w:val="outset" w:sz="6" w:space="0" w:color="auto"/>
                    </w:tcBorders>
                    <w:vAlign w:val="center"/>
                  </w:tcPr>
                  <w:p w:rsidR="00D510AA" w:rsidRDefault="00D510AA" w:rsidP="00D510AA">
                    <w:pPr>
                      <w:jc w:val="right"/>
                      <w:rPr>
                        <w:szCs w:val="21"/>
                      </w:rPr>
                    </w:pPr>
                    <w:r>
                      <w:t>768,063,328</w:t>
                    </w:r>
                  </w:p>
                </w:tc>
                <w:tc>
                  <w:tcPr>
                    <w:tcW w:w="1333" w:type="pct"/>
                    <w:tcBorders>
                      <w:top w:val="outset" w:sz="6" w:space="0" w:color="auto"/>
                      <w:left w:val="outset" w:sz="6" w:space="0" w:color="auto"/>
                      <w:bottom w:val="outset" w:sz="6" w:space="0" w:color="auto"/>
                      <w:right w:val="outset" w:sz="6" w:space="0" w:color="auto"/>
                    </w:tcBorders>
                    <w:vAlign w:val="center"/>
                  </w:tcPr>
                  <w:p w:rsidR="00D510AA" w:rsidRDefault="00D510AA" w:rsidP="00D510AA">
                    <w:pPr>
                      <w:jc w:val="right"/>
                      <w:rPr>
                        <w:szCs w:val="21"/>
                      </w:rPr>
                    </w:pPr>
                    <w:r>
                      <w:t>714,295,149</w:t>
                    </w:r>
                  </w:p>
                </w:tc>
              </w:tr>
              <w:tr w:rsidR="00D510AA" w:rsidTr="00601D47">
                <w:sdt>
                  <w:sdtPr>
                    <w:tag w:val="_PLD_929a3c29a76c4bb28120a6a552e95d8b"/>
                    <w:id w:val="189985998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D510AA" w:rsidRDefault="00D510AA" w:rsidP="00D510AA">
                        <w:pPr>
                          <w:ind w:firstLineChars="100" w:firstLine="210"/>
                          <w:rPr>
                            <w:szCs w:val="21"/>
                          </w:rPr>
                        </w:pPr>
                        <w:r>
                          <w:rPr>
                            <w:rFonts w:hint="eastAsia"/>
                            <w:szCs w:val="21"/>
                          </w:rPr>
                          <w:t>盈余公积</w:t>
                        </w:r>
                      </w:p>
                    </w:tc>
                  </w:sdtContent>
                </w:sdt>
                <w:tc>
                  <w:tcPr>
                    <w:tcW w:w="627" w:type="pct"/>
                    <w:tcBorders>
                      <w:top w:val="outset" w:sz="6" w:space="0" w:color="auto"/>
                      <w:left w:val="outset" w:sz="6" w:space="0" w:color="auto"/>
                      <w:bottom w:val="outset" w:sz="6" w:space="0" w:color="auto"/>
                      <w:right w:val="outset" w:sz="6" w:space="0" w:color="auto"/>
                    </w:tcBorders>
                  </w:tcPr>
                  <w:p w:rsidR="00D510AA" w:rsidRDefault="00FE7F64" w:rsidP="00D510AA">
                    <w:pPr>
                      <w:rPr>
                        <w:szCs w:val="21"/>
                      </w:rPr>
                    </w:pPr>
                    <w:r>
                      <w:rPr>
                        <w:rFonts w:hint="eastAsia"/>
                        <w:szCs w:val="21"/>
                      </w:rPr>
                      <w:t>七、5</w:t>
                    </w:r>
                    <w:r>
                      <w:rPr>
                        <w:szCs w:val="21"/>
                      </w:rPr>
                      <w:t>9</w:t>
                    </w:r>
                  </w:p>
                </w:tc>
                <w:tc>
                  <w:tcPr>
                    <w:tcW w:w="1411" w:type="pct"/>
                    <w:tcBorders>
                      <w:top w:val="outset" w:sz="6" w:space="0" w:color="auto"/>
                      <w:left w:val="outset" w:sz="6" w:space="0" w:color="auto"/>
                      <w:bottom w:val="outset" w:sz="6" w:space="0" w:color="auto"/>
                      <w:right w:val="outset" w:sz="6" w:space="0" w:color="auto"/>
                    </w:tcBorders>
                    <w:vAlign w:val="center"/>
                  </w:tcPr>
                  <w:p w:rsidR="00D510AA" w:rsidRDefault="00D510AA" w:rsidP="00D510AA">
                    <w:pPr>
                      <w:jc w:val="right"/>
                      <w:rPr>
                        <w:szCs w:val="21"/>
                      </w:rPr>
                    </w:pPr>
                    <w:r>
                      <w:t>19,412,343,151</w:t>
                    </w:r>
                  </w:p>
                </w:tc>
                <w:tc>
                  <w:tcPr>
                    <w:tcW w:w="1333" w:type="pct"/>
                    <w:tcBorders>
                      <w:top w:val="outset" w:sz="6" w:space="0" w:color="auto"/>
                      <w:left w:val="outset" w:sz="6" w:space="0" w:color="auto"/>
                      <w:bottom w:val="outset" w:sz="6" w:space="0" w:color="auto"/>
                      <w:right w:val="outset" w:sz="6" w:space="0" w:color="auto"/>
                    </w:tcBorders>
                    <w:vAlign w:val="center"/>
                  </w:tcPr>
                  <w:p w:rsidR="00D510AA" w:rsidRDefault="00D510AA" w:rsidP="00D510AA">
                    <w:pPr>
                      <w:jc w:val="right"/>
                      <w:rPr>
                        <w:szCs w:val="21"/>
                      </w:rPr>
                    </w:pPr>
                    <w:r>
                      <w:t>18,321,698,587</w:t>
                    </w:r>
                  </w:p>
                </w:tc>
              </w:tr>
              <w:tr w:rsidR="00D510AA" w:rsidTr="00EC233F">
                <w:sdt>
                  <w:sdtPr>
                    <w:tag w:val="_PLD_cafeabff60a94a3f8bf81f38a8368859"/>
                    <w:id w:val="3910190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D510AA" w:rsidRDefault="00D510AA" w:rsidP="00D510AA">
                        <w:pPr>
                          <w:ind w:firstLineChars="100" w:firstLine="210"/>
                          <w:rPr>
                            <w:szCs w:val="21"/>
                          </w:rPr>
                        </w:pPr>
                        <w:r>
                          <w:rPr>
                            <w:rFonts w:hint="eastAsia"/>
                            <w:szCs w:val="21"/>
                          </w:rPr>
                          <w:t>一般风险准备</w:t>
                        </w:r>
                      </w:p>
                    </w:tc>
                  </w:sdtContent>
                </w:sdt>
                <w:tc>
                  <w:tcPr>
                    <w:tcW w:w="627" w:type="pct"/>
                    <w:tcBorders>
                      <w:top w:val="outset" w:sz="6" w:space="0" w:color="auto"/>
                      <w:left w:val="outset" w:sz="6" w:space="0" w:color="auto"/>
                      <w:bottom w:val="outset" w:sz="6" w:space="0" w:color="auto"/>
                      <w:right w:val="outset" w:sz="6" w:space="0" w:color="auto"/>
                    </w:tcBorders>
                  </w:tcPr>
                  <w:p w:rsidR="00D510AA" w:rsidRDefault="00D510AA" w:rsidP="00D510AA">
                    <w:pPr>
                      <w:rPr>
                        <w:szCs w:val="21"/>
                      </w:rPr>
                    </w:pPr>
                  </w:p>
                </w:tc>
                <w:tc>
                  <w:tcPr>
                    <w:tcW w:w="1411" w:type="pct"/>
                    <w:tcBorders>
                      <w:top w:val="outset" w:sz="6" w:space="0" w:color="auto"/>
                      <w:left w:val="outset" w:sz="6" w:space="0" w:color="auto"/>
                      <w:bottom w:val="outset" w:sz="6" w:space="0" w:color="auto"/>
                      <w:right w:val="outset" w:sz="6" w:space="0" w:color="auto"/>
                    </w:tcBorders>
                  </w:tcPr>
                  <w:p w:rsidR="00D510AA" w:rsidRDefault="00D510AA" w:rsidP="00D510A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D510AA" w:rsidRDefault="00D510AA" w:rsidP="00D510AA">
                    <w:pPr>
                      <w:jc w:val="right"/>
                      <w:rPr>
                        <w:szCs w:val="21"/>
                      </w:rPr>
                    </w:pPr>
                  </w:p>
                </w:tc>
              </w:tr>
              <w:tr w:rsidR="00D510AA" w:rsidTr="00601D47">
                <w:sdt>
                  <w:sdtPr>
                    <w:tag w:val="_PLD_735823a69c154c548986e00c21128b2a"/>
                    <w:id w:val="50008198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D510AA" w:rsidRDefault="00D510AA" w:rsidP="00D510AA">
                        <w:pPr>
                          <w:ind w:firstLineChars="100" w:firstLine="210"/>
                          <w:rPr>
                            <w:szCs w:val="21"/>
                          </w:rPr>
                        </w:pPr>
                        <w:r>
                          <w:rPr>
                            <w:rFonts w:hint="eastAsia"/>
                            <w:szCs w:val="21"/>
                          </w:rPr>
                          <w:t>未分配利润</w:t>
                        </w:r>
                      </w:p>
                    </w:tc>
                  </w:sdtContent>
                </w:sdt>
                <w:tc>
                  <w:tcPr>
                    <w:tcW w:w="627" w:type="pct"/>
                    <w:tcBorders>
                      <w:top w:val="outset" w:sz="6" w:space="0" w:color="auto"/>
                      <w:left w:val="outset" w:sz="6" w:space="0" w:color="auto"/>
                      <w:bottom w:val="outset" w:sz="6" w:space="0" w:color="auto"/>
                      <w:right w:val="outset" w:sz="6" w:space="0" w:color="auto"/>
                    </w:tcBorders>
                  </w:tcPr>
                  <w:p w:rsidR="00D510AA" w:rsidRDefault="00FE7F64" w:rsidP="00D510AA">
                    <w:pPr>
                      <w:rPr>
                        <w:szCs w:val="21"/>
                      </w:rPr>
                    </w:pPr>
                    <w:r>
                      <w:rPr>
                        <w:rFonts w:hint="eastAsia"/>
                        <w:szCs w:val="21"/>
                      </w:rPr>
                      <w:t>七、6</w:t>
                    </w:r>
                    <w:r>
                      <w:rPr>
                        <w:szCs w:val="21"/>
                      </w:rPr>
                      <w:t>0</w:t>
                    </w:r>
                  </w:p>
                </w:tc>
                <w:tc>
                  <w:tcPr>
                    <w:tcW w:w="1411" w:type="pct"/>
                    <w:tcBorders>
                      <w:top w:val="outset" w:sz="6" w:space="0" w:color="auto"/>
                      <w:left w:val="outset" w:sz="6" w:space="0" w:color="auto"/>
                      <w:bottom w:val="outset" w:sz="6" w:space="0" w:color="auto"/>
                      <w:right w:val="outset" w:sz="6" w:space="0" w:color="auto"/>
                    </w:tcBorders>
                    <w:vAlign w:val="center"/>
                  </w:tcPr>
                  <w:p w:rsidR="00D510AA" w:rsidRDefault="00D510AA" w:rsidP="00D510AA">
                    <w:pPr>
                      <w:jc w:val="right"/>
                      <w:rPr>
                        <w:szCs w:val="21"/>
                      </w:rPr>
                    </w:pPr>
                    <w:r>
                      <w:t>67,226,607,720</w:t>
                    </w:r>
                  </w:p>
                </w:tc>
                <w:tc>
                  <w:tcPr>
                    <w:tcW w:w="1333" w:type="pct"/>
                    <w:tcBorders>
                      <w:top w:val="outset" w:sz="6" w:space="0" w:color="auto"/>
                      <w:left w:val="outset" w:sz="6" w:space="0" w:color="auto"/>
                      <w:bottom w:val="outset" w:sz="6" w:space="0" w:color="auto"/>
                      <w:right w:val="outset" w:sz="6" w:space="0" w:color="auto"/>
                    </w:tcBorders>
                    <w:vAlign w:val="center"/>
                  </w:tcPr>
                  <w:p w:rsidR="00D510AA" w:rsidRDefault="00D510AA" w:rsidP="00D510AA">
                    <w:pPr>
                      <w:jc w:val="right"/>
                      <w:rPr>
                        <w:szCs w:val="21"/>
                      </w:rPr>
                    </w:pPr>
                    <w:r>
                      <w:t>64,399,144,806</w:t>
                    </w:r>
                  </w:p>
                </w:tc>
              </w:tr>
              <w:tr w:rsidR="00D510AA" w:rsidTr="00601D47">
                <w:sdt>
                  <w:sdtPr>
                    <w:tag w:val="_PLD_acce8f227af34a1dbfda2fb5d802d679"/>
                    <w:id w:val="-49326105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D510AA" w:rsidRDefault="00D510AA" w:rsidP="00D510AA">
                        <w:pPr>
                          <w:ind w:firstLineChars="100" w:firstLine="210"/>
                          <w:rPr>
                            <w:szCs w:val="21"/>
                          </w:rPr>
                        </w:pPr>
                        <w:r>
                          <w:rPr>
                            <w:rFonts w:hint="eastAsia"/>
                          </w:rPr>
                          <w:t>归属于母公司所有者权益（或股东权益）合计</w:t>
                        </w:r>
                      </w:p>
                    </w:tc>
                  </w:sdtContent>
                </w:sdt>
                <w:tc>
                  <w:tcPr>
                    <w:tcW w:w="627" w:type="pct"/>
                    <w:tcBorders>
                      <w:top w:val="outset" w:sz="6" w:space="0" w:color="auto"/>
                      <w:left w:val="outset" w:sz="6" w:space="0" w:color="auto"/>
                      <w:bottom w:val="outset" w:sz="6" w:space="0" w:color="auto"/>
                      <w:right w:val="outset" w:sz="6" w:space="0" w:color="auto"/>
                    </w:tcBorders>
                  </w:tcPr>
                  <w:p w:rsidR="00D510AA" w:rsidRDefault="00D510AA" w:rsidP="00D510AA">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D510AA" w:rsidRDefault="00D510AA" w:rsidP="00D510AA">
                    <w:pPr>
                      <w:jc w:val="right"/>
                      <w:rPr>
                        <w:szCs w:val="21"/>
                      </w:rPr>
                    </w:pPr>
                    <w:r>
                      <w:t>128,283,607,588</w:t>
                    </w:r>
                  </w:p>
                </w:tc>
                <w:tc>
                  <w:tcPr>
                    <w:tcW w:w="1333" w:type="pct"/>
                    <w:tcBorders>
                      <w:top w:val="outset" w:sz="6" w:space="0" w:color="auto"/>
                      <w:left w:val="outset" w:sz="6" w:space="0" w:color="auto"/>
                      <w:bottom w:val="outset" w:sz="6" w:space="0" w:color="auto"/>
                      <w:right w:val="outset" w:sz="6" w:space="0" w:color="auto"/>
                    </w:tcBorders>
                    <w:vAlign w:val="center"/>
                  </w:tcPr>
                  <w:p w:rsidR="00D510AA" w:rsidRDefault="00D510AA" w:rsidP="00D510AA">
                    <w:pPr>
                      <w:jc w:val="right"/>
                      <w:rPr>
                        <w:szCs w:val="21"/>
                      </w:rPr>
                    </w:pPr>
                    <w:r>
                      <w:t>124,401,196,229</w:t>
                    </w:r>
                  </w:p>
                </w:tc>
              </w:tr>
              <w:tr w:rsidR="00D510AA" w:rsidTr="00601D47">
                <w:sdt>
                  <w:sdtPr>
                    <w:tag w:val="_PLD_f7002072897b4c9991009038e6641e82"/>
                    <w:id w:val="141242844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D510AA" w:rsidRDefault="00D510AA" w:rsidP="00D510AA">
                        <w:pPr>
                          <w:ind w:firstLineChars="100" w:firstLine="210"/>
                          <w:rPr>
                            <w:szCs w:val="21"/>
                          </w:rPr>
                        </w:pPr>
                        <w:r>
                          <w:rPr>
                            <w:rFonts w:hint="eastAsia"/>
                            <w:szCs w:val="21"/>
                          </w:rPr>
                          <w:t>少数股东权益</w:t>
                        </w:r>
                      </w:p>
                    </w:tc>
                  </w:sdtContent>
                </w:sdt>
                <w:tc>
                  <w:tcPr>
                    <w:tcW w:w="627" w:type="pct"/>
                    <w:tcBorders>
                      <w:top w:val="outset" w:sz="6" w:space="0" w:color="auto"/>
                      <w:left w:val="outset" w:sz="6" w:space="0" w:color="auto"/>
                      <w:bottom w:val="outset" w:sz="6" w:space="0" w:color="auto"/>
                      <w:right w:val="outset" w:sz="6" w:space="0" w:color="auto"/>
                    </w:tcBorders>
                  </w:tcPr>
                  <w:p w:rsidR="00D510AA" w:rsidRDefault="00D510AA" w:rsidP="00D510AA">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D510AA" w:rsidRDefault="00D510AA" w:rsidP="00D510AA">
                    <w:pPr>
                      <w:jc w:val="right"/>
                      <w:rPr>
                        <w:szCs w:val="21"/>
                      </w:rPr>
                    </w:pPr>
                    <w:r>
                      <w:t>11,905,606,336</w:t>
                    </w:r>
                  </w:p>
                </w:tc>
                <w:tc>
                  <w:tcPr>
                    <w:tcW w:w="1333" w:type="pct"/>
                    <w:tcBorders>
                      <w:top w:val="outset" w:sz="6" w:space="0" w:color="auto"/>
                      <w:left w:val="outset" w:sz="6" w:space="0" w:color="auto"/>
                      <w:bottom w:val="outset" w:sz="6" w:space="0" w:color="auto"/>
                      <w:right w:val="outset" w:sz="6" w:space="0" w:color="auto"/>
                    </w:tcBorders>
                    <w:vAlign w:val="center"/>
                  </w:tcPr>
                  <w:p w:rsidR="00D510AA" w:rsidRDefault="00D510AA" w:rsidP="00D510AA">
                    <w:pPr>
                      <w:jc w:val="right"/>
                      <w:rPr>
                        <w:szCs w:val="21"/>
                      </w:rPr>
                    </w:pPr>
                    <w:r>
                      <w:t>10,927,289,973</w:t>
                    </w:r>
                  </w:p>
                </w:tc>
              </w:tr>
              <w:tr w:rsidR="00D510AA" w:rsidTr="00601D47">
                <w:sdt>
                  <w:sdtPr>
                    <w:tag w:val="_PLD_f79f3a612002400ea0211dd732c431ae"/>
                    <w:id w:val="-110233785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D510AA" w:rsidRDefault="00D510AA" w:rsidP="00D510AA">
                        <w:pPr>
                          <w:ind w:firstLineChars="200" w:firstLine="420"/>
                          <w:rPr>
                            <w:szCs w:val="21"/>
                          </w:rPr>
                        </w:pPr>
                        <w:r>
                          <w:rPr>
                            <w:rFonts w:hint="eastAsia"/>
                          </w:rPr>
                          <w:t>所有者权益（或股东权益）合计</w:t>
                        </w:r>
                      </w:p>
                    </w:tc>
                  </w:sdtContent>
                </w:sdt>
                <w:tc>
                  <w:tcPr>
                    <w:tcW w:w="627" w:type="pct"/>
                    <w:tcBorders>
                      <w:top w:val="outset" w:sz="6" w:space="0" w:color="auto"/>
                      <w:left w:val="outset" w:sz="6" w:space="0" w:color="auto"/>
                      <w:bottom w:val="outset" w:sz="6" w:space="0" w:color="auto"/>
                      <w:right w:val="outset" w:sz="6" w:space="0" w:color="auto"/>
                    </w:tcBorders>
                  </w:tcPr>
                  <w:p w:rsidR="00D510AA" w:rsidRDefault="00D510AA" w:rsidP="00D510AA">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D510AA" w:rsidRDefault="00D510AA" w:rsidP="00D510AA">
                    <w:pPr>
                      <w:jc w:val="right"/>
                      <w:rPr>
                        <w:szCs w:val="21"/>
                      </w:rPr>
                    </w:pPr>
                    <w:r>
                      <w:t>140,189,213,924</w:t>
                    </w:r>
                  </w:p>
                </w:tc>
                <w:tc>
                  <w:tcPr>
                    <w:tcW w:w="1333" w:type="pct"/>
                    <w:tcBorders>
                      <w:top w:val="outset" w:sz="6" w:space="0" w:color="auto"/>
                      <w:left w:val="outset" w:sz="6" w:space="0" w:color="auto"/>
                      <w:bottom w:val="outset" w:sz="6" w:space="0" w:color="auto"/>
                      <w:right w:val="outset" w:sz="6" w:space="0" w:color="auto"/>
                    </w:tcBorders>
                    <w:vAlign w:val="center"/>
                  </w:tcPr>
                  <w:p w:rsidR="00D510AA" w:rsidRDefault="00D510AA" w:rsidP="00D510AA">
                    <w:pPr>
                      <w:jc w:val="right"/>
                      <w:rPr>
                        <w:szCs w:val="21"/>
                      </w:rPr>
                    </w:pPr>
                    <w:r>
                      <w:t>135,328,486,202</w:t>
                    </w:r>
                  </w:p>
                </w:tc>
              </w:tr>
              <w:tr w:rsidR="00D510AA" w:rsidTr="00601D47">
                <w:sdt>
                  <w:sdtPr>
                    <w:tag w:val="_PLD_19c0771cf74a4fb888931e0603390c8a"/>
                    <w:id w:val="-210324501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D510AA" w:rsidRDefault="00D510AA" w:rsidP="00D510AA">
                        <w:pPr>
                          <w:ind w:firstLineChars="300" w:firstLine="630"/>
                          <w:rPr>
                            <w:szCs w:val="21"/>
                          </w:rPr>
                        </w:pPr>
                        <w:r>
                          <w:rPr>
                            <w:rFonts w:hint="eastAsia"/>
                            <w:szCs w:val="21"/>
                          </w:rPr>
                          <w:t>负债和所有者权益（或股东权益）总计</w:t>
                        </w:r>
                      </w:p>
                    </w:tc>
                  </w:sdtContent>
                </w:sdt>
                <w:tc>
                  <w:tcPr>
                    <w:tcW w:w="627" w:type="pct"/>
                    <w:tcBorders>
                      <w:top w:val="outset" w:sz="6" w:space="0" w:color="auto"/>
                      <w:left w:val="outset" w:sz="6" w:space="0" w:color="auto"/>
                      <w:bottom w:val="outset" w:sz="6" w:space="0" w:color="auto"/>
                      <w:right w:val="outset" w:sz="6" w:space="0" w:color="auto"/>
                    </w:tcBorders>
                  </w:tcPr>
                  <w:p w:rsidR="00D510AA" w:rsidRDefault="00D510AA" w:rsidP="00D510AA">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D510AA" w:rsidRDefault="00D510AA" w:rsidP="00D510AA">
                    <w:pPr>
                      <w:jc w:val="right"/>
                      <w:rPr>
                        <w:szCs w:val="21"/>
                      </w:rPr>
                    </w:pPr>
                    <w:r>
                      <w:t>202,297,024,457</w:t>
                    </w:r>
                  </w:p>
                </w:tc>
                <w:tc>
                  <w:tcPr>
                    <w:tcW w:w="1333" w:type="pct"/>
                    <w:tcBorders>
                      <w:top w:val="outset" w:sz="6" w:space="0" w:color="auto"/>
                      <w:left w:val="outset" w:sz="6" w:space="0" w:color="auto"/>
                      <w:bottom w:val="outset" w:sz="6" w:space="0" w:color="auto"/>
                      <w:right w:val="outset" w:sz="6" w:space="0" w:color="auto"/>
                    </w:tcBorders>
                    <w:vAlign w:val="center"/>
                  </w:tcPr>
                  <w:p w:rsidR="00D510AA" w:rsidRDefault="00D510AA" w:rsidP="00D510AA">
                    <w:pPr>
                      <w:jc w:val="right"/>
                      <w:rPr>
                        <w:szCs w:val="21"/>
                      </w:rPr>
                    </w:pPr>
                    <w:r>
                      <w:t>198,546,296,872</w:t>
                    </w:r>
                  </w:p>
                </w:tc>
              </w:tr>
            </w:tbl>
            <w:p w:rsidR="00806678" w:rsidRDefault="00806678"/>
            <w:p w:rsidR="00806678" w:rsidRDefault="00B16377">
              <w:pPr>
                <w:ind w:rightChars="-73" w:right="-153"/>
                <w:rPr>
                  <w:color w:val="008000"/>
                  <w:szCs w:val="21"/>
                  <w:u w:val="single"/>
                </w:rPr>
              </w:pPr>
              <w:r>
                <w:rPr>
                  <w:rFonts w:hint="eastAsia"/>
                  <w:szCs w:val="21"/>
                </w:rPr>
                <w:t>公司负责</w:t>
              </w:r>
              <w:r>
                <w:rPr>
                  <w:szCs w:val="21"/>
                </w:rPr>
                <w:t>人</w:t>
              </w:r>
              <w:r>
                <w:rPr>
                  <w:rFonts w:hint="eastAsia"/>
                  <w:szCs w:val="21"/>
                </w:rPr>
                <w:t>：</w:t>
              </w:r>
              <w:sdt>
                <w:sdtPr>
                  <w:rPr>
                    <w:rFonts w:hint="eastAsia"/>
                    <w:szCs w:val="21"/>
                  </w:rPr>
                  <w:alias w:val="公司负责人姓名"/>
                  <w:tag w:val="_GBC_295740a12aa8498286bf2ef11896dbe9"/>
                  <w:id w:val="663737927"/>
                  <w:lock w:val="sdtLocked"/>
                  <w:placeholder>
                    <w:docPart w:val="GBC22222222222222222222222222222"/>
                  </w:placeholder>
                  <w:dataBinding w:prefixMappings="xmlns:clcid-mr='clcid-mr'" w:xpath="/*/clcid-mr:GongSiFuZeRenXingMing[not(@periodRef)]" w:storeItemID="{89EBAB94-44A0-46A2-B712-30D997D04A6D}"/>
                  <w:text/>
                </w:sdtPr>
                <w:sdtContent>
                  <w:r w:rsidR="00413527">
                    <w:rPr>
                      <w:rFonts w:hint="eastAsia"/>
                      <w:szCs w:val="21"/>
                    </w:rPr>
                    <w:t xml:space="preserve">戴弘  </w:t>
                  </w:r>
                </w:sdtContent>
              </w:sdt>
              <w:r>
                <w:rPr>
                  <w:rFonts w:hint="eastAsia"/>
                  <w:szCs w:val="21"/>
                </w:rPr>
                <w:t xml:space="preserve"> </w:t>
              </w:r>
              <w:r w:rsidR="00413527">
                <w:rPr>
                  <w:rFonts w:hint="eastAsia"/>
                  <w:szCs w:val="21"/>
                </w:rPr>
                <w:t xml:space="preserve"> 总经理：韩洪臣 </w:t>
              </w:r>
              <w:r>
                <w:rPr>
                  <w:szCs w:val="21"/>
                </w:rPr>
                <w:t>主管会计工作负责人</w:t>
              </w:r>
              <w:r>
                <w:rPr>
                  <w:rFonts w:hint="eastAsia"/>
                  <w:szCs w:val="21"/>
                </w:rPr>
                <w:t>：</w:t>
              </w:r>
              <w:sdt>
                <w:sdtPr>
                  <w:rPr>
                    <w:rFonts w:hint="eastAsia"/>
                    <w:szCs w:val="21"/>
                  </w:rPr>
                  <w:alias w:val="主管会计工作负责人姓名"/>
                  <w:tag w:val="_GBC_095c1df7dd6b412590466f3e711cd1e6"/>
                  <w:id w:val="-586143514"/>
                  <w:lock w:val="sdtLocked"/>
                  <w:placeholder>
                    <w:docPart w:val="GBC22222222222222222222222222222"/>
                  </w:placeholder>
                  <w:dataBinding w:prefixMappings="xmlns:clcid-mr='clcid-mr'" w:xpath="/*/clcid-mr:ZhuGuanKuaiJiGongZuoFuZeRenXingMing[not(@periodRef)]" w:storeItemID="{89EBAB94-44A0-46A2-B712-30D997D04A6D}"/>
                  <w:text/>
                </w:sdtPr>
                <w:sdtContent>
                  <w:r w:rsidR="00AD579F">
                    <w:rPr>
                      <w:rFonts w:hint="eastAsia"/>
                      <w:szCs w:val="21"/>
                    </w:rPr>
                    <w:t>田惠民</w:t>
                  </w:r>
                </w:sdtContent>
              </w:sdt>
              <w:r>
                <w:rPr>
                  <w:rFonts w:hint="eastAsia"/>
                  <w:szCs w:val="21"/>
                </w:rPr>
                <w:t xml:space="preserve"> </w:t>
              </w:r>
              <w:r>
                <w:rPr>
                  <w:szCs w:val="21"/>
                </w:rPr>
                <w:t>会计机构负责人</w:t>
              </w:r>
              <w:r>
                <w:rPr>
                  <w:rFonts w:hint="eastAsia"/>
                  <w:szCs w:val="21"/>
                </w:rPr>
                <w:t>：</w:t>
              </w:r>
              <w:sdt>
                <w:sdtPr>
                  <w:rPr>
                    <w:rFonts w:hint="eastAsia"/>
                    <w:szCs w:val="21"/>
                  </w:rPr>
                  <w:alias w:val="会计机构负责人姓名"/>
                  <w:tag w:val="_GBC_b9cb47d6db784ba8a6b148d9331df451"/>
                  <w:id w:val="1523513867"/>
                  <w:lock w:val="sdtLocked"/>
                  <w:placeholder>
                    <w:docPart w:val="GBC22222222222222222222222222222"/>
                  </w:placeholder>
                  <w:dataBinding w:prefixMappings="xmlns:clcid-mr='clcid-mr'" w:xpath="/*/clcid-mr:KuaiJiJiGouFuZeRenXingMing[not(@periodRef)]" w:storeItemID="{89EBAB94-44A0-46A2-B712-30D997D04A6D}"/>
                  <w:text/>
                </w:sdtPr>
                <w:sdtContent>
                  <w:r w:rsidR="00AD579F">
                    <w:rPr>
                      <w:rFonts w:hint="eastAsia"/>
                      <w:szCs w:val="21"/>
                    </w:rPr>
                    <w:t>孙洪涛</w:t>
                  </w:r>
                </w:sdtContent>
              </w:sdt>
            </w:p>
            <w:p w:rsidR="00806678" w:rsidRDefault="00F80B6C"/>
          </w:sdtContent>
        </w:sdt>
        <w:p w:rsidR="00806678" w:rsidRDefault="00806678"/>
        <w:bookmarkStart w:id="127" w:name="_Hlk24034197" w:displacedByCustomXml="next"/>
        <w:sdt>
          <w:sdtPr>
            <w:rPr>
              <w:rFonts w:ascii="宋体" w:hAnsi="宋体" w:cs="宋体" w:hint="eastAsia"/>
              <w:b w:val="0"/>
              <w:bCs w:val="0"/>
              <w:kern w:val="0"/>
              <w:szCs w:val="24"/>
            </w:rPr>
            <w:tag w:val="_SEC_d76935fe25d141cfbe5d3c4ac87a2e6b"/>
            <w:id w:val="-14920311"/>
            <w:lock w:val="sdtLocked"/>
            <w:placeholder>
              <w:docPart w:val="GBC22222222222222222222222222222"/>
            </w:placeholder>
          </w:sdtPr>
          <w:sdtEndPr>
            <w:rPr>
              <w:szCs w:val="21"/>
            </w:rPr>
          </w:sdtEndPr>
          <w:sdtContent>
            <w:p w:rsidR="00806678" w:rsidRDefault="00B16377">
              <w:pPr>
                <w:pStyle w:val="3"/>
                <w:jc w:val="center"/>
              </w:pPr>
              <w:r>
                <w:rPr>
                  <w:rFonts w:hint="eastAsia"/>
                </w:rPr>
                <w:t>母公司</w:t>
              </w:r>
              <w:r>
                <w:t>资产负债表</w:t>
              </w:r>
            </w:p>
            <w:p w:rsidR="00806678" w:rsidRDefault="00B16377">
              <w:pPr>
                <w:jc w:val="center"/>
                <w:rPr>
                  <w:b/>
                  <w:bCs/>
                  <w:szCs w:val="21"/>
                </w:rPr>
              </w:pPr>
              <w:r>
                <w:rPr>
                  <w:szCs w:val="21"/>
                </w:rPr>
                <w:t>2022年12月31日</w:t>
              </w:r>
            </w:p>
            <w:p w:rsidR="00806678" w:rsidRDefault="00B16377">
              <w:pPr>
                <w:rPr>
                  <w:szCs w:val="21"/>
                </w:rPr>
              </w:pPr>
              <w:r>
                <w:rPr>
                  <w:szCs w:val="21"/>
                </w:rPr>
                <w:t>编制单位:</w:t>
              </w:r>
              <w:sdt>
                <w:sdtPr>
                  <w:rPr>
                    <w:szCs w:val="21"/>
                  </w:rPr>
                  <w:alias w:val="公司法定中文名称"/>
                  <w:tag w:val="_GBC_476f9df1cf8d4d36868d3058a4da7d15"/>
                  <w:id w:val="-2080425596"/>
                  <w:lock w:val="sdtLocked"/>
                  <w:placeholder>
                    <w:docPart w:val="GBC22222222222222222222222222222"/>
                  </w:placeholder>
                  <w:dataBinding w:prefixMappings="xmlns:clcid-cgi='clcid-cgi'" w:xpath="/*/clcid-cgi:GongSiFaDingZhongWenMingCheng[not(@periodRef)]" w:storeItemID="{89EBAB94-44A0-46A2-B712-30D997D04A6D}"/>
                  <w:text/>
                </w:sdtPr>
                <w:sdtContent>
                  <w:r w:rsidR="00AD579F">
                    <w:rPr>
                      <w:rFonts w:hint="eastAsia"/>
                      <w:szCs w:val="21"/>
                    </w:rPr>
                    <w:t>大秦铁路股份有限公司</w:t>
                  </w:r>
                </w:sdtContent>
              </w:sdt>
              <w:r>
                <w:rPr>
                  <w:szCs w:val="21"/>
                </w:rPr>
                <w:t> </w:t>
              </w:r>
            </w:p>
            <w:p w:rsidR="00806678" w:rsidRDefault="00B16377">
              <w:pPr>
                <w:jc w:val="right"/>
                <w:rPr>
                  <w:szCs w:val="21"/>
                </w:rPr>
              </w:pPr>
              <w:r>
                <w:rPr>
                  <w:szCs w:val="21"/>
                </w:rPr>
                <w:t>单位:</w:t>
              </w:r>
              <w:sdt>
                <w:sdtPr>
                  <w:rPr>
                    <w:szCs w:val="21"/>
                  </w:rPr>
                  <w:alias w:val="单位：母公司资产负债表"/>
                  <w:tag w:val="_GBC_e3e6bb2b9b89482085daf4528af32780"/>
                  <w:id w:val="-110704051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sdt>
                <w:sdtPr>
                  <w:rPr>
                    <w:szCs w:val="21"/>
                  </w:rPr>
                  <w:alias w:val="币种：母公司资产负债表"/>
                  <w:tag w:val="_GBC_31e3f7c7e30144c684d9b3387d64ec2f"/>
                  <w:id w:val="-177817166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4994" w:type="pct"/>
                <w:tblBorders>
                  <w:top w:val="single" w:sz="4" w:space="0" w:color="auto"/>
                  <w:left w:val="single" w:sz="4" w:space="0" w:color="auto"/>
                  <w:bottom w:val="single" w:sz="4" w:space="0" w:color="auto"/>
                  <w:right w:val="single" w:sz="4" w:space="0" w:color="auto"/>
                </w:tblBorders>
                <w:tblLook w:val="0000"/>
              </w:tblPr>
              <w:tblGrid>
                <w:gridCol w:w="2944"/>
                <w:gridCol w:w="1133"/>
                <w:gridCol w:w="2551"/>
                <w:gridCol w:w="2410"/>
              </w:tblGrid>
              <w:tr w:rsidR="00EE0190" w:rsidTr="00601D47">
                <w:sdt>
                  <w:sdtPr>
                    <w:tag w:val="_PLD_f723b67ceca442958b85c16ecbcde6c4"/>
                    <w:id w:val="117761851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jc w:val="center"/>
                          <w:rPr>
                            <w:b/>
                            <w:szCs w:val="21"/>
                          </w:rPr>
                        </w:pPr>
                        <w:r>
                          <w:rPr>
                            <w:b/>
                            <w:szCs w:val="21"/>
                          </w:rPr>
                          <w:t>项目</w:t>
                        </w:r>
                      </w:p>
                    </w:tc>
                  </w:sdtContent>
                </w:sdt>
                <w:sdt>
                  <w:sdtPr>
                    <w:tag w:val="_PLD_b4b39e4179664db3908076caa97ec93e"/>
                    <w:id w:val="602844589"/>
                    <w:lock w:val="sdtLocked"/>
                  </w:sdtPr>
                  <w:sdtContent>
                    <w:tc>
                      <w:tcPr>
                        <w:tcW w:w="627"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jc w:val="center"/>
                          <w:rPr>
                            <w:b/>
                            <w:szCs w:val="21"/>
                          </w:rPr>
                        </w:pPr>
                        <w:r>
                          <w:rPr>
                            <w:rFonts w:hint="eastAsia"/>
                            <w:b/>
                            <w:szCs w:val="21"/>
                          </w:rPr>
                          <w:t>附注</w:t>
                        </w:r>
                      </w:p>
                    </w:tc>
                  </w:sdtContent>
                </w:sdt>
                <w:sdt>
                  <w:sdtPr>
                    <w:tag w:val="_PLD_5c114924d291471984aab4fc4a2ab196"/>
                    <w:id w:val="748236821"/>
                    <w:lock w:val="sdtLocked"/>
                  </w:sdtPr>
                  <w:sdtContent>
                    <w:tc>
                      <w:tcPr>
                        <w:tcW w:w="1411"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jc w:val="center"/>
                          <w:rPr>
                            <w:b/>
                            <w:szCs w:val="21"/>
                          </w:rPr>
                        </w:pPr>
                        <w:r>
                          <w:rPr>
                            <w:rFonts w:hint="eastAsia"/>
                            <w:b/>
                          </w:rPr>
                          <w:t>2022年1</w:t>
                        </w:r>
                        <w:r>
                          <w:rPr>
                            <w:b/>
                          </w:rPr>
                          <w:t>2</w:t>
                        </w:r>
                        <w:r>
                          <w:rPr>
                            <w:rFonts w:hint="eastAsia"/>
                            <w:b/>
                          </w:rPr>
                          <w:t>月</w:t>
                        </w:r>
                        <w:r>
                          <w:rPr>
                            <w:b/>
                          </w:rPr>
                          <w:t>31</w:t>
                        </w:r>
                        <w:r>
                          <w:rPr>
                            <w:rFonts w:hint="eastAsia"/>
                            <w:b/>
                          </w:rPr>
                          <w:t>日</w:t>
                        </w:r>
                      </w:p>
                    </w:tc>
                  </w:sdtContent>
                </w:sdt>
                <w:sdt>
                  <w:sdtPr>
                    <w:tag w:val="_PLD_09aa0ba5dd484fa6ad7dfbe2d2221c60"/>
                    <w:id w:val="-592322219"/>
                    <w:lock w:val="sdtLocked"/>
                  </w:sdtPr>
                  <w:sdtContent>
                    <w:tc>
                      <w:tcPr>
                        <w:tcW w:w="1333"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jc w:val="center"/>
                          <w:rPr>
                            <w:b/>
                            <w:szCs w:val="21"/>
                          </w:rPr>
                        </w:pPr>
                        <w:r>
                          <w:rPr>
                            <w:rFonts w:hint="eastAsia"/>
                            <w:b/>
                            <w:szCs w:val="21"/>
                          </w:rPr>
                          <w:t>2021年12月31日</w:t>
                        </w:r>
                      </w:p>
                    </w:tc>
                  </w:sdtContent>
                </w:sdt>
              </w:tr>
              <w:tr w:rsidR="00EE0190" w:rsidTr="00601D47">
                <w:sdt>
                  <w:sdtPr>
                    <w:tag w:val="_PLD_75b96d9020f14b08bb8885e10bb72ed3"/>
                    <w:id w:val="-446241143"/>
                    <w:lock w:val="sdtLocked"/>
                  </w:sdtPr>
                  <w:sdtContent>
                    <w:tc>
                      <w:tcPr>
                        <w:tcW w:w="5000" w:type="pct"/>
                        <w:gridSpan w:val="4"/>
                        <w:tcBorders>
                          <w:top w:val="outset" w:sz="6" w:space="0" w:color="auto"/>
                          <w:left w:val="outset" w:sz="6" w:space="0" w:color="auto"/>
                          <w:bottom w:val="outset" w:sz="6" w:space="0" w:color="auto"/>
                          <w:right w:val="outset" w:sz="6" w:space="0" w:color="auto"/>
                        </w:tcBorders>
                        <w:vAlign w:val="center"/>
                      </w:tcPr>
                      <w:p w:rsidR="00EE0190" w:rsidRDefault="00EE0190" w:rsidP="00601D47">
                        <w:pPr>
                          <w:rPr>
                            <w:b/>
                            <w:color w:val="FF00FF"/>
                            <w:szCs w:val="21"/>
                          </w:rPr>
                        </w:pPr>
                        <w:r>
                          <w:rPr>
                            <w:rFonts w:hint="eastAsia"/>
                            <w:b/>
                            <w:bCs/>
                            <w:szCs w:val="21"/>
                          </w:rPr>
                          <w:t>流动资产：</w:t>
                        </w:r>
                      </w:p>
                    </w:tc>
                  </w:sdtContent>
                </w:sdt>
              </w:tr>
              <w:tr w:rsidR="00EE0190" w:rsidTr="00601D47">
                <w:sdt>
                  <w:sdtPr>
                    <w:tag w:val="_PLD_2a2d3b22bc414e5aa3168d03f964313b"/>
                    <w:id w:val="-186774117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ind w:firstLineChars="100" w:firstLine="210"/>
                          <w:rPr>
                            <w:szCs w:val="21"/>
                          </w:rPr>
                        </w:pPr>
                        <w:r>
                          <w:rPr>
                            <w:rFonts w:hint="eastAsia"/>
                            <w:szCs w:val="21"/>
                          </w:rPr>
                          <w:t>货币资金</w:t>
                        </w:r>
                      </w:p>
                    </w:tc>
                  </w:sdtContent>
                </w:sdt>
                <w:tc>
                  <w:tcPr>
                    <w:tcW w:w="627" w:type="pct"/>
                    <w:tcBorders>
                      <w:top w:val="outset" w:sz="6" w:space="0" w:color="auto"/>
                      <w:left w:val="outset" w:sz="6" w:space="0" w:color="auto"/>
                      <w:bottom w:val="outset" w:sz="6" w:space="0" w:color="auto"/>
                      <w:right w:val="outset" w:sz="6" w:space="0" w:color="auto"/>
                    </w:tcBorders>
                  </w:tcPr>
                  <w:p w:rsidR="00EE0190" w:rsidRDefault="00EE0190" w:rsidP="00601D4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jc w:val="right"/>
                      <w:rPr>
                        <w:szCs w:val="21"/>
                      </w:rPr>
                    </w:pPr>
                    <w:r>
                      <w:t>62,590,457,020</w:t>
                    </w:r>
                  </w:p>
                </w:tc>
                <w:tc>
                  <w:tcPr>
                    <w:tcW w:w="1333"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jc w:val="right"/>
                      <w:rPr>
                        <w:szCs w:val="21"/>
                      </w:rPr>
                    </w:pPr>
                    <w:r>
                      <w:t>59,351,794,375</w:t>
                    </w:r>
                  </w:p>
                </w:tc>
              </w:tr>
              <w:tr w:rsidR="00EE0190" w:rsidTr="00601D47">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e396e14b78524efaa6a999f696519f83"/>
                      <w:id w:val="1525903857"/>
                      <w:lock w:val="sdtLocked"/>
                    </w:sdtPr>
                    <w:sdtContent>
                      <w:p w:rsidR="00EE0190" w:rsidRDefault="00EE0190" w:rsidP="00601D47">
                        <w:pPr>
                          <w:ind w:firstLineChars="100" w:firstLine="210"/>
                        </w:pPr>
                        <w:r>
                          <w:rPr>
                            <w:rFonts w:hint="eastAsia"/>
                          </w:rPr>
                          <w:t>交易性金融资产</w:t>
                        </w:r>
                      </w:p>
                    </w:sdtContent>
                  </w:sdt>
                </w:tc>
                <w:tc>
                  <w:tcPr>
                    <w:tcW w:w="627" w:type="pct"/>
                    <w:tcBorders>
                      <w:top w:val="outset" w:sz="6" w:space="0" w:color="auto"/>
                      <w:left w:val="outset" w:sz="6" w:space="0" w:color="auto"/>
                      <w:bottom w:val="outset" w:sz="6" w:space="0" w:color="auto"/>
                      <w:right w:val="outset" w:sz="6" w:space="0" w:color="auto"/>
                    </w:tcBorders>
                  </w:tcPr>
                  <w:p w:rsidR="00EE0190" w:rsidRDefault="00EE0190" w:rsidP="00601D47">
                    <w:pPr>
                      <w:rPr>
                        <w:szCs w:val="21"/>
                      </w:rPr>
                    </w:pPr>
                  </w:p>
                </w:tc>
                <w:tc>
                  <w:tcPr>
                    <w:tcW w:w="1411" w:type="pct"/>
                    <w:tcBorders>
                      <w:top w:val="outset" w:sz="6" w:space="0" w:color="auto"/>
                      <w:left w:val="outset" w:sz="6" w:space="0" w:color="auto"/>
                      <w:bottom w:val="outset" w:sz="6" w:space="0" w:color="auto"/>
                      <w:right w:val="outset" w:sz="6" w:space="0" w:color="auto"/>
                    </w:tcBorders>
                  </w:tcPr>
                  <w:p w:rsidR="00EE0190" w:rsidRDefault="00EE0190" w:rsidP="00601D47">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EE0190" w:rsidRDefault="00EE0190" w:rsidP="00601D47">
                    <w:pPr>
                      <w:jc w:val="right"/>
                      <w:rPr>
                        <w:szCs w:val="21"/>
                      </w:rPr>
                    </w:pPr>
                  </w:p>
                </w:tc>
              </w:tr>
              <w:tr w:rsidR="00EE0190" w:rsidTr="00601D47">
                <w:sdt>
                  <w:sdtPr>
                    <w:tag w:val="_PLD_de137d4e0adc4e3697b2d09190f3ab73"/>
                    <w:id w:val="-204073692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ind w:firstLineChars="100" w:firstLine="210"/>
                          <w:rPr>
                            <w:szCs w:val="21"/>
                          </w:rPr>
                        </w:pPr>
                        <w:r>
                          <w:rPr>
                            <w:rFonts w:hint="eastAsia"/>
                            <w:szCs w:val="21"/>
                          </w:rPr>
                          <w:t>衍生金融资产</w:t>
                        </w:r>
                      </w:p>
                    </w:tc>
                  </w:sdtContent>
                </w:sdt>
                <w:tc>
                  <w:tcPr>
                    <w:tcW w:w="627" w:type="pct"/>
                    <w:tcBorders>
                      <w:top w:val="outset" w:sz="6" w:space="0" w:color="auto"/>
                      <w:left w:val="outset" w:sz="6" w:space="0" w:color="auto"/>
                      <w:bottom w:val="outset" w:sz="6" w:space="0" w:color="auto"/>
                      <w:right w:val="outset" w:sz="6" w:space="0" w:color="auto"/>
                    </w:tcBorders>
                  </w:tcPr>
                  <w:p w:rsidR="00EE0190" w:rsidRDefault="00EE0190" w:rsidP="00601D47">
                    <w:pPr>
                      <w:rPr>
                        <w:szCs w:val="21"/>
                      </w:rPr>
                    </w:pPr>
                  </w:p>
                </w:tc>
                <w:tc>
                  <w:tcPr>
                    <w:tcW w:w="1411" w:type="pct"/>
                    <w:tcBorders>
                      <w:top w:val="outset" w:sz="6" w:space="0" w:color="auto"/>
                      <w:left w:val="outset" w:sz="6" w:space="0" w:color="auto"/>
                      <w:bottom w:val="outset" w:sz="6" w:space="0" w:color="auto"/>
                      <w:right w:val="outset" w:sz="6" w:space="0" w:color="auto"/>
                    </w:tcBorders>
                  </w:tcPr>
                  <w:p w:rsidR="00EE0190" w:rsidRDefault="00EE0190" w:rsidP="00601D47">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EE0190" w:rsidRDefault="00EE0190" w:rsidP="00601D47">
                    <w:pPr>
                      <w:jc w:val="right"/>
                      <w:rPr>
                        <w:szCs w:val="21"/>
                      </w:rPr>
                    </w:pPr>
                  </w:p>
                </w:tc>
              </w:tr>
              <w:tr w:rsidR="00EE0190" w:rsidTr="00601D47">
                <w:sdt>
                  <w:sdtPr>
                    <w:tag w:val="_PLD_393466e4d94b44ce81a421424c7f275a"/>
                    <w:id w:val="-113664262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ind w:firstLineChars="100" w:firstLine="210"/>
                          <w:rPr>
                            <w:szCs w:val="21"/>
                          </w:rPr>
                        </w:pPr>
                        <w:r>
                          <w:rPr>
                            <w:rFonts w:hint="eastAsia"/>
                            <w:szCs w:val="21"/>
                          </w:rPr>
                          <w:t>应收票据</w:t>
                        </w:r>
                      </w:p>
                    </w:tc>
                  </w:sdtContent>
                </w:sdt>
                <w:tc>
                  <w:tcPr>
                    <w:tcW w:w="627" w:type="pct"/>
                    <w:tcBorders>
                      <w:top w:val="outset" w:sz="6" w:space="0" w:color="auto"/>
                      <w:left w:val="outset" w:sz="6" w:space="0" w:color="auto"/>
                      <w:bottom w:val="outset" w:sz="6" w:space="0" w:color="auto"/>
                      <w:right w:val="outset" w:sz="6" w:space="0" w:color="auto"/>
                    </w:tcBorders>
                  </w:tcPr>
                  <w:p w:rsidR="00EE0190" w:rsidRDefault="00EE0190" w:rsidP="00601D47">
                    <w:pPr>
                      <w:rPr>
                        <w:szCs w:val="21"/>
                      </w:rPr>
                    </w:pPr>
                  </w:p>
                </w:tc>
                <w:tc>
                  <w:tcPr>
                    <w:tcW w:w="1411" w:type="pct"/>
                    <w:tcBorders>
                      <w:top w:val="outset" w:sz="6" w:space="0" w:color="auto"/>
                      <w:left w:val="outset" w:sz="6" w:space="0" w:color="auto"/>
                      <w:bottom w:val="outset" w:sz="6" w:space="0" w:color="auto"/>
                      <w:right w:val="outset" w:sz="6" w:space="0" w:color="auto"/>
                    </w:tcBorders>
                  </w:tcPr>
                  <w:p w:rsidR="00EE0190" w:rsidRDefault="00EE0190" w:rsidP="00601D47">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EE0190" w:rsidRDefault="00EE0190" w:rsidP="00601D47">
                    <w:pPr>
                      <w:jc w:val="right"/>
                      <w:rPr>
                        <w:szCs w:val="21"/>
                      </w:rPr>
                    </w:pPr>
                  </w:p>
                </w:tc>
              </w:tr>
              <w:tr w:rsidR="00EE0190" w:rsidTr="00601D47">
                <w:sdt>
                  <w:sdtPr>
                    <w:tag w:val="_PLD_ef32df805adf4616846732ca3ab55857"/>
                    <w:id w:val="-130662281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ind w:firstLineChars="100" w:firstLine="210"/>
                          <w:rPr>
                            <w:szCs w:val="21"/>
                          </w:rPr>
                        </w:pPr>
                        <w:r>
                          <w:rPr>
                            <w:rFonts w:hint="eastAsia"/>
                            <w:szCs w:val="21"/>
                          </w:rPr>
                          <w:t>应收账款</w:t>
                        </w:r>
                      </w:p>
                    </w:tc>
                  </w:sdtContent>
                </w:sdt>
                <w:tc>
                  <w:tcPr>
                    <w:tcW w:w="627" w:type="pct"/>
                    <w:tcBorders>
                      <w:top w:val="outset" w:sz="6" w:space="0" w:color="auto"/>
                      <w:left w:val="outset" w:sz="6" w:space="0" w:color="auto"/>
                      <w:bottom w:val="outset" w:sz="6" w:space="0" w:color="auto"/>
                      <w:right w:val="outset" w:sz="6" w:space="0" w:color="auto"/>
                    </w:tcBorders>
                  </w:tcPr>
                  <w:p w:rsidR="00EE0190" w:rsidRDefault="00FE7F64" w:rsidP="00601D47">
                    <w:pPr>
                      <w:rPr>
                        <w:szCs w:val="21"/>
                      </w:rPr>
                    </w:pPr>
                    <w:r>
                      <w:rPr>
                        <w:rFonts w:hint="eastAsia"/>
                        <w:szCs w:val="21"/>
                      </w:rPr>
                      <w:t>十七、1</w:t>
                    </w:r>
                  </w:p>
                </w:tc>
                <w:tc>
                  <w:tcPr>
                    <w:tcW w:w="1411"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jc w:val="right"/>
                      <w:rPr>
                        <w:szCs w:val="21"/>
                      </w:rPr>
                    </w:pPr>
                    <w:r>
                      <w:t>7,477,063,049</w:t>
                    </w:r>
                  </w:p>
                </w:tc>
                <w:tc>
                  <w:tcPr>
                    <w:tcW w:w="1333"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jc w:val="right"/>
                      <w:rPr>
                        <w:szCs w:val="21"/>
                      </w:rPr>
                    </w:pPr>
                    <w:r>
                      <w:t>5,881,708,361</w:t>
                    </w:r>
                  </w:p>
                </w:tc>
              </w:tr>
              <w:tr w:rsidR="00EE0190" w:rsidTr="00601D47">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108c302c0c87401490d6a538c95fd1a1"/>
                      <w:id w:val="645396685"/>
                      <w:lock w:val="sdtLocked"/>
                    </w:sdtPr>
                    <w:sdtContent>
                      <w:p w:rsidR="00EE0190" w:rsidRDefault="00EE0190" w:rsidP="00601D47">
                        <w:pPr>
                          <w:ind w:firstLineChars="100" w:firstLine="210"/>
                        </w:pPr>
                        <w:r>
                          <w:rPr>
                            <w:rFonts w:hint="eastAsia"/>
                          </w:rPr>
                          <w:t>应收款项融资</w:t>
                        </w:r>
                      </w:p>
                    </w:sdtContent>
                  </w:sdt>
                </w:tc>
                <w:tc>
                  <w:tcPr>
                    <w:tcW w:w="627" w:type="pct"/>
                    <w:tcBorders>
                      <w:top w:val="outset" w:sz="6" w:space="0" w:color="auto"/>
                      <w:left w:val="outset" w:sz="6" w:space="0" w:color="auto"/>
                      <w:bottom w:val="outset" w:sz="6" w:space="0" w:color="auto"/>
                      <w:right w:val="outset" w:sz="6" w:space="0" w:color="auto"/>
                    </w:tcBorders>
                  </w:tcPr>
                  <w:p w:rsidR="00EE0190" w:rsidRDefault="00EE0190" w:rsidP="00601D4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jc w:val="right"/>
                      <w:rPr>
                        <w:szCs w:val="21"/>
                      </w:rPr>
                    </w:pPr>
                    <w:r>
                      <w:t>292,617,458</w:t>
                    </w:r>
                  </w:p>
                </w:tc>
                <w:tc>
                  <w:tcPr>
                    <w:tcW w:w="1333"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jc w:val="right"/>
                      <w:rPr>
                        <w:szCs w:val="21"/>
                      </w:rPr>
                    </w:pPr>
                    <w:r>
                      <w:t>299,600,000</w:t>
                    </w:r>
                  </w:p>
                </w:tc>
              </w:tr>
              <w:tr w:rsidR="00EE0190" w:rsidTr="00601D47">
                <w:sdt>
                  <w:sdtPr>
                    <w:tag w:val="_PLD_dd9f5a2379754663b27f59fa522781c5"/>
                    <w:id w:val="90542086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ind w:firstLineChars="100" w:firstLine="210"/>
                          <w:rPr>
                            <w:szCs w:val="21"/>
                          </w:rPr>
                        </w:pPr>
                        <w:r>
                          <w:rPr>
                            <w:rFonts w:hint="eastAsia"/>
                            <w:szCs w:val="21"/>
                          </w:rPr>
                          <w:t>预付款项</w:t>
                        </w:r>
                      </w:p>
                    </w:tc>
                  </w:sdtContent>
                </w:sdt>
                <w:tc>
                  <w:tcPr>
                    <w:tcW w:w="627" w:type="pct"/>
                    <w:tcBorders>
                      <w:top w:val="outset" w:sz="6" w:space="0" w:color="auto"/>
                      <w:left w:val="outset" w:sz="6" w:space="0" w:color="auto"/>
                      <w:bottom w:val="outset" w:sz="6" w:space="0" w:color="auto"/>
                      <w:right w:val="outset" w:sz="6" w:space="0" w:color="auto"/>
                    </w:tcBorders>
                  </w:tcPr>
                  <w:p w:rsidR="00EE0190" w:rsidRDefault="00EE0190" w:rsidP="00601D4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jc w:val="right"/>
                      <w:rPr>
                        <w:szCs w:val="21"/>
                      </w:rPr>
                    </w:pPr>
                    <w:r>
                      <w:t>307,714,638</w:t>
                    </w:r>
                  </w:p>
                </w:tc>
                <w:tc>
                  <w:tcPr>
                    <w:tcW w:w="1333"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jc w:val="right"/>
                      <w:rPr>
                        <w:szCs w:val="21"/>
                      </w:rPr>
                    </w:pPr>
                    <w:r>
                      <w:t>154,074,543</w:t>
                    </w:r>
                  </w:p>
                </w:tc>
              </w:tr>
              <w:tr w:rsidR="00EE0190" w:rsidTr="00601D47">
                <w:sdt>
                  <w:sdtPr>
                    <w:tag w:val="_PLD_712416308ec74e87af342bbe7b61f9f7"/>
                    <w:id w:val="-126715128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ind w:firstLineChars="100" w:firstLine="210"/>
                          <w:rPr>
                            <w:szCs w:val="21"/>
                          </w:rPr>
                        </w:pPr>
                        <w:r>
                          <w:rPr>
                            <w:rFonts w:hint="eastAsia"/>
                            <w:szCs w:val="21"/>
                          </w:rPr>
                          <w:t>其他应收款</w:t>
                        </w:r>
                      </w:p>
                    </w:tc>
                  </w:sdtContent>
                </w:sdt>
                <w:tc>
                  <w:tcPr>
                    <w:tcW w:w="627" w:type="pct"/>
                    <w:tcBorders>
                      <w:top w:val="outset" w:sz="6" w:space="0" w:color="auto"/>
                      <w:left w:val="outset" w:sz="6" w:space="0" w:color="auto"/>
                      <w:bottom w:val="outset" w:sz="6" w:space="0" w:color="auto"/>
                      <w:right w:val="outset" w:sz="6" w:space="0" w:color="auto"/>
                    </w:tcBorders>
                  </w:tcPr>
                  <w:p w:rsidR="00EE0190" w:rsidRDefault="00FE7F64" w:rsidP="00601D47">
                    <w:pPr>
                      <w:rPr>
                        <w:szCs w:val="21"/>
                      </w:rPr>
                    </w:pPr>
                    <w:r>
                      <w:rPr>
                        <w:rFonts w:hint="eastAsia"/>
                        <w:szCs w:val="21"/>
                      </w:rPr>
                      <w:t>十七、2</w:t>
                    </w:r>
                  </w:p>
                </w:tc>
                <w:tc>
                  <w:tcPr>
                    <w:tcW w:w="1411"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jc w:val="right"/>
                      <w:rPr>
                        <w:szCs w:val="21"/>
                      </w:rPr>
                    </w:pPr>
                    <w:r>
                      <w:t>3,817,537,563</w:t>
                    </w:r>
                  </w:p>
                </w:tc>
                <w:tc>
                  <w:tcPr>
                    <w:tcW w:w="1333"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jc w:val="right"/>
                      <w:rPr>
                        <w:szCs w:val="21"/>
                      </w:rPr>
                    </w:pPr>
                    <w:r>
                      <w:t>2,798,509,630</w:t>
                    </w:r>
                  </w:p>
                </w:tc>
              </w:tr>
              <w:tr w:rsidR="00EE0190" w:rsidTr="00601D47">
                <w:sdt>
                  <w:sdtPr>
                    <w:tag w:val="_PLD_3417cd601cec4818871f1bae4ce8ab2a"/>
                    <w:id w:val="-121543428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ind w:firstLineChars="100" w:firstLine="210"/>
                          <w:rPr>
                            <w:szCs w:val="21"/>
                          </w:rPr>
                        </w:pPr>
                        <w:r>
                          <w:rPr>
                            <w:rFonts w:hint="eastAsia"/>
                          </w:rPr>
                          <w:t>其中：</w:t>
                        </w:r>
                        <w:r>
                          <w:rPr>
                            <w:rFonts w:hint="eastAsia"/>
                            <w:szCs w:val="21"/>
                          </w:rPr>
                          <w:t>应收利息</w:t>
                        </w:r>
                      </w:p>
                    </w:tc>
                  </w:sdtContent>
                </w:sdt>
                <w:tc>
                  <w:tcPr>
                    <w:tcW w:w="627" w:type="pct"/>
                    <w:tcBorders>
                      <w:top w:val="outset" w:sz="6" w:space="0" w:color="auto"/>
                      <w:left w:val="outset" w:sz="6" w:space="0" w:color="auto"/>
                      <w:bottom w:val="outset" w:sz="6" w:space="0" w:color="auto"/>
                      <w:right w:val="outset" w:sz="6" w:space="0" w:color="auto"/>
                    </w:tcBorders>
                  </w:tcPr>
                  <w:p w:rsidR="00EE0190" w:rsidRDefault="00EE0190" w:rsidP="00601D47">
                    <w:pPr>
                      <w:rPr>
                        <w:szCs w:val="21"/>
                      </w:rPr>
                    </w:pPr>
                  </w:p>
                </w:tc>
                <w:tc>
                  <w:tcPr>
                    <w:tcW w:w="1411" w:type="pct"/>
                    <w:tcBorders>
                      <w:top w:val="outset" w:sz="6" w:space="0" w:color="auto"/>
                      <w:left w:val="outset" w:sz="6" w:space="0" w:color="auto"/>
                      <w:bottom w:val="outset" w:sz="6" w:space="0" w:color="auto"/>
                      <w:right w:val="outset" w:sz="6" w:space="0" w:color="auto"/>
                    </w:tcBorders>
                  </w:tcPr>
                  <w:p w:rsidR="00EE0190" w:rsidRDefault="00EE0190" w:rsidP="00601D47">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EE0190" w:rsidRDefault="00EE0190" w:rsidP="00601D47">
                    <w:pPr>
                      <w:jc w:val="right"/>
                      <w:rPr>
                        <w:szCs w:val="21"/>
                      </w:rPr>
                    </w:pPr>
                  </w:p>
                </w:tc>
              </w:tr>
              <w:tr w:rsidR="00EE0190" w:rsidTr="00601D47">
                <w:sdt>
                  <w:sdtPr>
                    <w:tag w:val="_PLD_1dd2d67c108d4d6f84148a7c9b977191"/>
                    <w:id w:val="-86683097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ind w:firstLineChars="400" w:firstLine="840"/>
                          <w:rPr>
                            <w:szCs w:val="21"/>
                          </w:rPr>
                        </w:pPr>
                        <w:r>
                          <w:rPr>
                            <w:rFonts w:hint="eastAsia"/>
                            <w:szCs w:val="21"/>
                          </w:rPr>
                          <w:t>应收股利</w:t>
                        </w:r>
                      </w:p>
                    </w:tc>
                  </w:sdtContent>
                </w:sdt>
                <w:tc>
                  <w:tcPr>
                    <w:tcW w:w="627" w:type="pct"/>
                    <w:tcBorders>
                      <w:top w:val="outset" w:sz="6" w:space="0" w:color="auto"/>
                      <w:left w:val="outset" w:sz="6" w:space="0" w:color="auto"/>
                      <w:bottom w:val="outset" w:sz="6" w:space="0" w:color="auto"/>
                      <w:right w:val="outset" w:sz="6" w:space="0" w:color="auto"/>
                    </w:tcBorders>
                  </w:tcPr>
                  <w:p w:rsidR="00EE0190" w:rsidRDefault="00EE0190" w:rsidP="00601D47">
                    <w:pPr>
                      <w:rPr>
                        <w:szCs w:val="21"/>
                      </w:rPr>
                    </w:pPr>
                  </w:p>
                </w:tc>
                <w:tc>
                  <w:tcPr>
                    <w:tcW w:w="1411" w:type="pct"/>
                    <w:tcBorders>
                      <w:top w:val="outset" w:sz="6" w:space="0" w:color="auto"/>
                      <w:left w:val="outset" w:sz="6" w:space="0" w:color="auto"/>
                      <w:bottom w:val="outset" w:sz="6" w:space="0" w:color="auto"/>
                      <w:right w:val="outset" w:sz="6" w:space="0" w:color="auto"/>
                    </w:tcBorders>
                  </w:tcPr>
                  <w:p w:rsidR="00EE0190" w:rsidRDefault="00A92116" w:rsidP="00601D47">
                    <w:pPr>
                      <w:jc w:val="right"/>
                      <w:rPr>
                        <w:szCs w:val="21"/>
                      </w:rPr>
                    </w:pPr>
                    <w:r>
                      <w:rPr>
                        <w:szCs w:val="21"/>
                      </w:rPr>
                      <w:t>2,406,670,308</w:t>
                    </w:r>
                  </w:p>
                </w:tc>
                <w:tc>
                  <w:tcPr>
                    <w:tcW w:w="1333" w:type="pct"/>
                    <w:tcBorders>
                      <w:top w:val="outset" w:sz="6" w:space="0" w:color="auto"/>
                      <w:left w:val="outset" w:sz="6" w:space="0" w:color="auto"/>
                      <w:bottom w:val="outset" w:sz="6" w:space="0" w:color="auto"/>
                      <w:right w:val="outset" w:sz="6" w:space="0" w:color="auto"/>
                    </w:tcBorders>
                  </w:tcPr>
                  <w:p w:rsidR="00EE0190" w:rsidRDefault="00A92116" w:rsidP="00601D47">
                    <w:pPr>
                      <w:jc w:val="right"/>
                      <w:rPr>
                        <w:szCs w:val="21"/>
                      </w:rPr>
                    </w:pPr>
                    <w:r>
                      <w:rPr>
                        <w:szCs w:val="21"/>
                      </w:rPr>
                      <w:t>0</w:t>
                    </w:r>
                  </w:p>
                </w:tc>
              </w:tr>
              <w:tr w:rsidR="00EE0190" w:rsidTr="00601D47">
                <w:sdt>
                  <w:sdtPr>
                    <w:tag w:val="_PLD_15c72fe3c0dc4747a0ad2956d0e2ff56"/>
                    <w:id w:val="21293809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ind w:firstLineChars="100" w:firstLine="210"/>
                          <w:rPr>
                            <w:szCs w:val="21"/>
                          </w:rPr>
                        </w:pPr>
                        <w:r>
                          <w:rPr>
                            <w:rFonts w:hint="eastAsia"/>
                            <w:szCs w:val="21"/>
                          </w:rPr>
                          <w:t>存货</w:t>
                        </w:r>
                      </w:p>
                    </w:tc>
                  </w:sdtContent>
                </w:sdt>
                <w:tc>
                  <w:tcPr>
                    <w:tcW w:w="627" w:type="pct"/>
                    <w:tcBorders>
                      <w:top w:val="outset" w:sz="6" w:space="0" w:color="auto"/>
                      <w:left w:val="outset" w:sz="6" w:space="0" w:color="auto"/>
                      <w:bottom w:val="outset" w:sz="6" w:space="0" w:color="auto"/>
                      <w:right w:val="outset" w:sz="6" w:space="0" w:color="auto"/>
                    </w:tcBorders>
                  </w:tcPr>
                  <w:p w:rsidR="00EE0190" w:rsidRDefault="00EE0190" w:rsidP="00601D4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jc w:val="right"/>
                      <w:rPr>
                        <w:szCs w:val="21"/>
                      </w:rPr>
                    </w:pPr>
                    <w:r>
                      <w:t>1,782,736,813</w:t>
                    </w:r>
                  </w:p>
                </w:tc>
                <w:tc>
                  <w:tcPr>
                    <w:tcW w:w="1333"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jc w:val="right"/>
                      <w:rPr>
                        <w:szCs w:val="21"/>
                      </w:rPr>
                    </w:pPr>
                    <w:r>
                      <w:t>1,639,376,147</w:t>
                    </w:r>
                  </w:p>
                </w:tc>
              </w:tr>
              <w:tr w:rsidR="00EE0190" w:rsidTr="00601D47">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de1dbab46a4f4d898796d4205cd2edea"/>
                      <w:id w:val="877210287"/>
                      <w:lock w:val="sdtLocked"/>
                    </w:sdtPr>
                    <w:sdtContent>
                      <w:p w:rsidR="00EE0190" w:rsidRDefault="00EE0190" w:rsidP="00601D47">
                        <w:pPr>
                          <w:ind w:firstLineChars="100" w:firstLine="210"/>
                        </w:pPr>
                        <w:r>
                          <w:rPr>
                            <w:rFonts w:hint="eastAsia"/>
                          </w:rPr>
                          <w:t>合同资产</w:t>
                        </w:r>
                      </w:p>
                    </w:sdtContent>
                  </w:sdt>
                </w:tc>
                <w:tc>
                  <w:tcPr>
                    <w:tcW w:w="627" w:type="pct"/>
                    <w:tcBorders>
                      <w:top w:val="outset" w:sz="6" w:space="0" w:color="auto"/>
                      <w:left w:val="outset" w:sz="6" w:space="0" w:color="auto"/>
                      <w:bottom w:val="outset" w:sz="6" w:space="0" w:color="auto"/>
                      <w:right w:val="outset" w:sz="6" w:space="0" w:color="auto"/>
                    </w:tcBorders>
                  </w:tcPr>
                  <w:p w:rsidR="00EE0190" w:rsidRDefault="00EE0190" w:rsidP="00601D47">
                    <w:pPr>
                      <w:rPr>
                        <w:szCs w:val="21"/>
                      </w:rPr>
                    </w:pPr>
                  </w:p>
                </w:tc>
                <w:tc>
                  <w:tcPr>
                    <w:tcW w:w="1411" w:type="pct"/>
                    <w:tcBorders>
                      <w:top w:val="outset" w:sz="6" w:space="0" w:color="auto"/>
                      <w:left w:val="outset" w:sz="6" w:space="0" w:color="auto"/>
                      <w:bottom w:val="outset" w:sz="6" w:space="0" w:color="auto"/>
                      <w:right w:val="outset" w:sz="6" w:space="0" w:color="auto"/>
                    </w:tcBorders>
                  </w:tcPr>
                  <w:p w:rsidR="00EE0190" w:rsidRDefault="00EE0190" w:rsidP="00601D47">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EE0190" w:rsidRDefault="00EE0190" w:rsidP="00601D47">
                    <w:pPr>
                      <w:jc w:val="right"/>
                      <w:rPr>
                        <w:szCs w:val="21"/>
                      </w:rPr>
                    </w:pPr>
                  </w:p>
                </w:tc>
              </w:tr>
              <w:tr w:rsidR="00EE0190" w:rsidTr="00601D47">
                <w:sdt>
                  <w:sdtPr>
                    <w:tag w:val="_PLD_c61f45b512d24fd98c826adfe2607133"/>
                    <w:id w:val="-90652952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ind w:firstLineChars="100" w:firstLine="210"/>
                          <w:rPr>
                            <w:szCs w:val="21"/>
                          </w:rPr>
                        </w:pPr>
                        <w:r>
                          <w:rPr>
                            <w:rFonts w:hint="eastAsia"/>
                            <w:szCs w:val="21"/>
                          </w:rPr>
                          <w:t>持有待售资产</w:t>
                        </w:r>
                      </w:p>
                    </w:tc>
                  </w:sdtContent>
                </w:sdt>
                <w:tc>
                  <w:tcPr>
                    <w:tcW w:w="627" w:type="pct"/>
                    <w:tcBorders>
                      <w:top w:val="outset" w:sz="6" w:space="0" w:color="auto"/>
                      <w:left w:val="outset" w:sz="6" w:space="0" w:color="auto"/>
                      <w:bottom w:val="outset" w:sz="6" w:space="0" w:color="auto"/>
                      <w:right w:val="outset" w:sz="6" w:space="0" w:color="auto"/>
                    </w:tcBorders>
                  </w:tcPr>
                  <w:p w:rsidR="00EE0190" w:rsidRDefault="00EE0190" w:rsidP="00601D47">
                    <w:pPr>
                      <w:rPr>
                        <w:szCs w:val="21"/>
                      </w:rPr>
                    </w:pPr>
                  </w:p>
                </w:tc>
                <w:tc>
                  <w:tcPr>
                    <w:tcW w:w="1411" w:type="pct"/>
                    <w:tcBorders>
                      <w:top w:val="outset" w:sz="6" w:space="0" w:color="auto"/>
                      <w:left w:val="outset" w:sz="6" w:space="0" w:color="auto"/>
                      <w:bottom w:val="outset" w:sz="6" w:space="0" w:color="auto"/>
                      <w:right w:val="outset" w:sz="6" w:space="0" w:color="auto"/>
                    </w:tcBorders>
                  </w:tcPr>
                  <w:p w:rsidR="00EE0190" w:rsidRDefault="00EE0190" w:rsidP="00601D47">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EE0190" w:rsidRDefault="00EE0190" w:rsidP="00601D47">
                    <w:pPr>
                      <w:jc w:val="right"/>
                      <w:rPr>
                        <w:szCs w:val="21"/>
                      </w:rPr>
                    </w:pPr>
                  </w:p>
                </w:tc>
              </w:tr>
              <w:tr w:rsidR="00EE0190" w:rsidTr="00601D47">
                <w:sdt>
                  <w:sdtPr>
                    <w:tag w:val="_PLD_60f4a972facf45f681479dac2f1111c1"/>
                    <w:id w:val="-205869956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ind w:firstLineChars="100" w:firstLine="210"/>
                          <w:rPr>
                            <w:szCs w:val="21"/>
                          </w:rPr>
                        </w:pPr>
                        <w:r>
                          <w:rPr>
                            <w:rFonts w:hint="eastAsia"/>
                            <w:szCs w:val="21"/>
                          </w:rPr>
                          <w:t>一年内到期的非流动资产</w:t>
                        </w:r>
                      </w:p>
                    </w:tc>
                  </w:sdtContent>
                </w:sdt>
                <w:tc>
                  <w:tcPr>
                    <w:tcW w:w="627" w:type="pct"/>
                    <w:tcBorders>
                      <w:top w:val="outset" w:sz="6" w:space="0" w:color="auto"/>
                      <w:left w:val="outset" w:sz="6" w:space="0" w:color="auto"/>
                      <w:bottom w:val="outset" w:sz="6" w:space="0" w:color="auto"/>
                      <w:right w:val="outset" w:sz="6" w:space="0" w:color="auto"/>
                    </w:tcBorders>
                  </w:tcPr>
                  <w:p w:rsidR="00EE0190" w:rsidRDefault="00EE0190" w:rsidP="00601D47">
                    <w:pPr>
                      <w:rPr>
                        <w:szCs w:val="21"/>
                      </w:rPr>
                    </w:pPr>
                  </w:p>
                </w:tc>
                <w:tc>
                  <w:tcPr>
                    <w:tcW w:w="1411" w:type="pct"/>
                    <w:tcBorders>
                      <w:top w:val="outset" w:sz="6" w:space="0" w:color="auto"/>
                      <w:left w:val="outset" w:sz="6" w:space="0" w:color="auto"/>
                      <w:bottom w:val="outset" w:sz="6" w:space="0" w:color="auto"/>
                      <w:right w:val="outset" w:sz="6" w:space="0" w:color="auto"/>
                    </w:tcBorders>
                  </w:tcPr>
                  <w:p w:rsidR="00EE0190" w:rsidRDefault="00EE0190" w:rsidP="00601D47">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EE0190" w:rsidRDefault="00EE0190" w:rsidP="00601D47">
                    <w:pPr>
                      <w:jc w:val="right"/>
                      <w:rPr>
                        <w:szCs w:val="21"/>
                      </w:rPr>
                    </w:pPr>
                  </w:p>
                </w:tc>
              </w:tr>
              <w:tr w:rsidR="00EE0190" w:rsidTr="00601D47">
                <w:sdt>
                  <w:sdtPr>
                    <w:tag w:val="_PLD_48ca2e98b68644c7b1619c966283c7a4"/>
                    <w:id w:val="-48124310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ind w:firstLineChars="100" w:firstLine="210"/>
                          <w:rPr>
                            <w:szCs w:val="21"/>
                          </w:rPr>
                        </w:pPr>
                        <w:r>
                          <w:rPr>
                            <w:rFonts w:hint="eastAsia"/>
                            <w:szCs w:val="21"/>
                          </w:rPr>
                          <w:t>其他流动资产</w:t>
                        </w:r>
                      </w:p>
                    </w:tc>
                  </w:sdtContent>
                </w:sdt>
                <w:tc>
                  <w:tcPr>
                    <w:tcW w:w="627" w:type="pct"/>
                    <w:tcBorders>
                      <w:top w:val="outset" w:sz="6" w:space="0" w:color="auto"/>
                      <w:left w:val="outset" w:sz="6" w:space="0" w:color="auto"/>
                      <w:bottom w:val="outset" w:sz="6" w:space="0" w:color="auto"/>
                      <w:right w:val="outset" w:sz="6" w:space="0" w:color="auto"/>
                    </w:tcBorders>
                  </w:tcPr>
                  <w:p w:rsidR="00EE0190" w:rsidRDefault="00EE0190" w:rsidP="00601D4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jc w:val="right"/>
                      <w:rPr>
                        <w:szCs w:val="21"/>
                      </w:rPr>
                    </w:pPr>
                    <w:r>
                      <w:t>627,602,877</w:t>
                    </w:r>
                  </w:p>
                </w:tc>
                <w:tc>
                  <w:tcPr>
                    <w:tcW w:w="1333"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jc w:val="right"/>
                      <w:rPr>
                        <w:szCs w:val="21"/>
                      </w:rPr>
                    </w:pPr>
                    <w:r>
                      <w:t>924,736,538</w:t>
                    </w:r>
                  </w:p>
                </w:tc>
              </w:tr>
              <w:tr w:rsidR="00EE0190" w:rsidTr="00601D47">
                <w:sdt>
                  <w:sdtPr>
                    <w:tag w:val="_PLD_954ff058e01a49fb81526e388eaae403"/>
                    <w:id w:val="75193120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ind w:firstLineChars="200" w:firstLine="420"/>
                          <w:rPr>
                            <w:szCs w:val="21"/>
                          </w:rPr>
                        </w:pPr>
                        <w:r>
                          <w:rPr>
                            <w:rFonts w:hint="eastAsia"/>
                            <w:szCs w:val="21"/>
                          </w:rPr>
                          <w:t>流动资产合计</w:t>
                        </w:r>
                      </w:p>
                    </w:tc>
                  </w:sdtContent>
                </w:sdt>
                <w:tc>
                  <w:tcPr>
                    <w:tcW w:w="627" w:type="pct"/>
                    <w:tcBorders>
                      <w:top w:val="outset" w:sz="6" w:space="0" w:color="auto"/>
                      <w:left w:val="outset" w:sz="6" w:space="0" w:color="auto"/>
                      <w:bottom w:val="outset" w:sz="6" w:space="0" w:color="auto"/>
                      <w:right w:val="outset" w:sz="6" w:space="0" w:color="auto"/>
                    </w:tcBorders>
                  </w:tcPr>
                  <w:p w:rsidR="00EE0190" w:rsidRDefault="00EE0190" w:rsidP="00601D4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jc w:val="right"/>
                      <w:rPr>
                        <w:szCs w:val="21"/>
                      </w:rPr>
                    </w:pPr>
                    <w:r>
                      <w:t>76,895,729,418</w:t>
                    </w:r>
                  </w:p>
                </w:tc>
                <w:tc>
                  <w:tcPr>
                    <w:tcW w:w="1333"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jc w:val="right"/>
                      <w:rPr>
                        <w:szCs w:val="21"/>
                      </w:rPr>
                    </w:pPr>
                    <w:r>
                      <w:t>71,049,799,594</w:t>
                    </w:r>
                  </w:p>
                </w:tc>
              </w:tr>
              <w:tr w:rsidR="00EE0190" w:rsidTr="00601D47">
                <w:sdt>
                  <w:sdtPr>
                    <w:tag w:val="_PLD_df64afc7e223416b92b823e4e8fb4a3a"/>
                    <w:id w:val="-627937469"/>
                    <w:lock w:val="sdtLocked"/>
                  </w:sdtPr>
                  <w:sdtContent>
                    <w:tc>
                      <w:tcPr>
                        <w:tcW w:w="5000" w:type="pct"/>
                        <w:gridSpan w:val="4"/>
                        <w:tcBorders>
                          <w:top w:val="outset" w:sz="6" w:space="0" w:color="auto"/>
                          <w:left w:val="outset" w:sz="6" w:space="0" w:color="auto"/>
                          <w:bottom w:val="outset" w:sz="6" w:space="0" w:color="auto"/>
                          <w:right w:val="outset" w:sz="6" w:space="0" w:color="auto"/>
                        </w:tcBorders>
                        <w:vAlign w:val="center"/>
                      </w:tcPr>
                      <w:p w:rsidR="00EE0190" w:rsidRDefault="00EE0190" w:rsidP="00601D47">
                        <w:pPr>
                          <w:rPr>
                            <w:color w:val="008000"/>
                            <w:szCs w:val="21"/>
                          </w:rPr>
                        </w:pPr>
                        <w:r>
                          <w:rPr>
                            <w:rFonts w:hint="eastAsia"/>
                            <w:b/>
                            <w:bCs/>
                            <w:szCs w:val="21"/>
                          </w:rPr>
                          <w:t>非流动资产：</w:t>
                        </w:r>
                      </w:p>
                    </w:tc>
                  </w:sdtContent>
                </w:sdt>
              </w:tr>
              <w:tr w:rsidR="00EE0190" w:rsidTr="00601D47">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48d1f4ececef49b0b5eb57f96dda5740"/>
                      <w:id w:val="-984149109"/>
                      <w:lock w:val="sdtLocked"/>
                    </w:sdtPr>
                    <w:sdtContent>
                      <w:p w:rsidR="00EE0190" w:rsidRDefault="00EE0190" w:rsidP="00601D47">
                        <w:pPr>
                          <w:ind w:firstLineChars="100" w:firstLine="210"/>
                        </w:pPr>
                        <w:r>
                          <w:rPr>
                            <w:rFonts w:hint="eastAsia"/>
                          </w:rPr>
                          <w:t>债权投资</w:t>
                        </w:r>
                      </w:p>
                    </w:sdtContent>
                  </w:sdt>
                </w:tc>
                <w:tc>
                  <w:tcPr>
                    <w:tcW w:w="627" w:type="pct"/>
                    <w:tcBorders>
                      <w:top w:val="outset" w:sz="6" w:space="0" w:color="auto"/>
                      <w:left w:val="outset" w:sz="6" w:space="0" w:color="auto"/>
                      <w:bottom w:val="outset" w:sz="6" w:space="0" w:color="auto"/>
                      <w:right w:val="outset" w:sz="6" w:space="0" w:color="auto"/>
                    </w:tcBorders>
                  </w:tcPr>
                  <w:p w:rsidR="00EE0190" w:rsidRDefault="00EE0190" w:rsidP="00601D47">
                    <w:pPr>
                      <w:rPr>
                        <w:szCs w:val="21"/>
                      </w:rPr>
                    </w:pPr>
                  </w:p>
                </w:tc>
                <w:tc>
                  <w:tcPr>
                    <w:tcW w:w="1411" w:type="pct"/>
                    <w:tcBorders>
                      <w:top w:val="outset" w:sz="6" w:space="0" w:color="auto"/>
                      <w:left w:val="outset" w:sz="6" w:space="0" w:color="auto"/>
                      <w:bottom w:val="outset" w:sz="6" w:space="0" w:color="auto"/>
                      <w:right w:val="outset" w:sz="6" w:space="0" w:color="auto"/>
                    </w:tcBorders>
                  </w:tcPr>
                  <w:p w:rsidR="00EE0190" w:rsidRDefault="00EE0190" w:rsidP="00601D47">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EE0190" w:rsidRDefault="00EE0190" w:rsidP="00601D47">
                    <w:pPr>
                      <w:jc w:val="right"/>
                      <w:rPr>
                        <w:szCs w:val="21"/>
                      </w:rPr>
                    </w:pPr>
                  </w:p>
                </w:tc>
              </w:tr>
              <w:tr w:rsidR="00EE0190" w:rsidTr="00601D47">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2f81a2e768044b89a75bafd1bfa7fa70"/>
                      <w:id w:val="-13467431"/>
                      <w:lock w:val="sdtLocked"/>
                    </w:sdtPr>
                    <w:sdtContent>
                      <w:p w:rsidR="00EE0190" w:rsidRDefault="00EE0190" w:rsidP="00601D47">
                        <w:pPr>
                          <w:ind w:firstLineChars="100" w:firstLine="210"/>
                        </w:pPr>
                        <w:r>
                          <w:rPr>
                            <w:rFonts w:hint="eastAsia"/>
                          </w:rPr>
                          <w:t>其他债权投资</w:t>
                        </w:r>
                      </w:p>
                    </w:sdtContent>
                  </w:sdt>
                </w:tc>
                <w:tc>
                  <w:tcPr>
                    <w:tcW w:w="627" w:type="pct"/>
                    <w:tcBorders>
                      <w:top w:val="outset" w:sz="6" w:space="0" w:color="auto"/>
                      <w:left w:val="outset" w:sz="6" w:space="0" w:color="auto"/>
                      <w:bottom w:val="outset" w:sz="6" w:space="0" w:color="auto"/>
                      <w:right w:val="outset" w:sz="6" w:space="0" w:color="auto"/>
                    </w:tcBorders>
                  </w:tcPr>
                  <w:p w:rsidR="00EE0190" w:rsidRDefault="00EE0190" w:rsidP="00601D47">
                    <w:pPr>
                      <w:rPr>
                        <w:szCs w:val="21"/>
                      </w:rPr>
                    </w:pPr>
                  </w:p>
                </w:tc>
                <w:tc>
                  <w:tcPr>
                    <w:tcW w:w="1411" w:type="pct"/>
                    <w:tcBorders>
                      <w:top w:val="outset" w:sz="6" w:space="0" w:color="auto"/>
                      <w:left w:val="outset" w:sz="6" w:space="0" w:color="auto"/>
                      <w:bottom w:val="outset" w:sz="6" w:space="0" w:color="auto"/>
                      <w:right w:val="outset" w:sz="6" w:space="0" w:color="auto"/>
                    </w:tcBorders>
                  </w:tcPr>
                  <w:p w:rsidR="00EE0190" w:rsidRDefault="00EE0190" w:rsidP="00601D47">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EE0190" w:rsidRDefault="00EE0190" w:rsidP="00601D47">
                    <w:pPr>
                      <w:jc w:val="right"/>
                      <w:rPr>
                        <w:szCs w:val="21"/>
                      </w:rPr>
                    </w:pPr>
                  </w:p>
                </w:tc>
              </w:tr>
              <w:tr w:rsidR="00EE0190" w:rsidTr="00601D47">
                <w:sdt>
                  <w:sdtPr>
                    <w:tag w:val="_PLD_c9456ec11fd14b1490b664a8bab1c706"/>
                    <w:id w:val="141682615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ind w:firstLineChars="100" w:firstLine="210"/>
                          <w:rPr>
                            <w:szCs w:val="21"/>
                          </w:rPr>
                        </w:pPr>
                        <w:r>
                          <w:rPr>
                            <w:rFonts w:hint="eastAsia"/>
                            <w:szCs w:val="21"/>
                          </w:rPr>
                          <w:t>长期应收款</w:t>
                        </w:r>
                      </w:p>
                    </w:tc>
                  </w:sdtContent>
                </w:sdt>
                <w:tc>
                  <w:tcPr>
                    <w:tcW w:w="627" w:type="pct"/>
                    <w:tcBorders>
                      <w:top w:val="outset" w:sz="6" w:space="0" w:color="auto"/>
                      <w:left w:val="outset" w:sz="6" w:space="0" w:color="auto"/>
                      <w:bottom w:val="outset" w:sz="6" w:space="0" w:color="auto"/>
                      <w:right w:val="outset" w:sz="6" w:space="0" w:color="auto"/>
                    </w:tcBorders>
                  </w:tcPr>
                  <w:p w:rsidR="00EE0190" w:rsidRDefault="00EE0190" w:rsidP="00601D47">
                    <w:pPr>
                      <w:rPr>
                        <w:szCs w:val="21"/>
                      </w:rPr>
                    </w:pPr>
                  </w:p>
                </w:tc>
                <w:tc>
                  <w:tcPr>
                    <w:tcW w:w="1411" w:type="pct"/>
                    <w:tcBorders>
                      <w:top w:val="outset" w:sz="6" w:space="0" w:color="auto"/>
                      <w:left w:val="outset" w:sz="6" w:space="0" w:color="auto"/>
                      <w:bottom w:val="outset" w:sz="6" w:space="0" w:color="auto"/>
                      <w:right w:val="outset" w:sz="6" w:space="0" w:color="auto"/>
                    </w:tcBorders>
                  </w:tcPr>
                  <w:p w:rsidR="00EE0190" w:rsidRDefault="00EE0190" w:rsidP="00601D47">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EE0190" w:rsidRDefault="00EE0190" w:rsidP="00601D47">
                    <w:pPr>
                      <w:jc w:val="right"/>
                      <w:rPr>
                        <w:szCs w:val="21"/>
                      </w:rPr>
                    </w:pPr>
                  </w:p>
                </w:tc>
              </w:tr>
              <w:tr w:rsidR="00EE0190" w:rsidTr="00601D47">
                <w:sdt>
                  <w:sdtPr>
                    <w:tag w:val="_PLD_899c3bd39fae4eecab2782cc666699c4"/>
                    <w:id w:val="53030265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ind w:firstLineChars="100" w:firstLine="210"/>
                          <w:rPr>
                            <w:szCs w:val="21"/>
                          </w:rPr>
                        </w:pPr>
                        <w:r>
                          <w:rPr>
                            <w:rFonts w:hint="eastAsia"/>
                            <w:szCs w:val="21"/>
                          </w:rPr>
                          <w:t>长期股权投资</w:t>
                        </w:r>
                      </w:p>
                    </w:tc>
                  </w:sdtContent>
                </w:sdt>
                <w:tc>
                  <w:tcPr>
                    <w:tcW w:w="627" w:type="pct"/>
                    <w:tcBorders>
                      <w:top w:val="outset" w:sz="6" w:space="0" w:color="auto"/>
                      <w:left w:val="outset" w:sz="6" w:space="0" w:color="auto"/>
                      <w:bottom w:val="outset" w:sz="6" w:space="0" w:color="auto"/>
                      <w:right w:val="outset" w:sz="6" w:space="0" w:color="auto"/>
                    </w:tcBorders>
                  </w:tcPr>
                  <w:p w:rsidR="00EE0190" w:rsidRDefault="00FE7F64" w:rsidP="00601D47">
                    <w:pPr>
                      <w:rPr>
                        <w:szCs w:val="21"/>
                      </w:rPr>
                    </w:pPr>
                    <w:r>
                      <w:rPr>
                        <w:rFonts w:hint="eastAsia"/>
                        <w:szCs w:val="21"/>
                      </w:rPr>
                      <w:t>十七、3</w:t>
                    </w:r>
                  </w:p>
                </w:tc>
                <w:tc>
                  <w:tcPr>
                    <w:tcW w:w="1411"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jc w:val="right"/>
                      <w:rPr>
                        <w:szCs w:val="21"/>
                      </w:rPr>
                    </w:pPr>
                    <w:r>
                      <w:t>36,260,006,701</w:t>
                    </w:r>
                  </w:p>
                </w:tc>
                <w:tc>
                  <w:tcPr>
                    <w:tcW w:w="1333"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jc w:val="right"/>
                      <w:rPr>
                        <w:szCs w:val="21"/>
                      </w:rPr>
                    </w:pPr>
                    <w:r>
                      <w:t>38,829,773,022</w:t>
                    </w:r>
                  </w:p>
                </w:tc>
              </w:tr>
              <w:tr w:rsidR="00EE0190" w:rsidTr="00601D47">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7d415046e66b466a890bb89efca5709d"/>
                      <w:id w:val="942960302"/>
                      <w:lock w:val="sdtLocked"/>
                    </w:sdtPr>
                    <w:sdtContent>
                      <w:p w:rsidR="00EE0190" w:rsidRDefault="00EE0190" w:rsidP="00601D47">
                        <w:pPr>
                          <w:ind w:firstLineChars="100" w:firstLine="210"/>
                        </w:pPr>
                        <w:r>
                          <w:rPr>
                            <w:rFonts w:hint="eastAsia"/>
                          </w:rPr>
                          <w:t>其他权益工具投资</w:t>
                        </w:r>
                      </w:p>
                    </w:sdtContent>
                  </w:sdt>
                </w:tc>
                <w:tc>
                  <w:tcPr>
                    <w:tcW w:w="627" w:type="pct"/>
                    <w:tcBorders>
                      <w:top w:val="outset" w:sz="6" w:space="0" w:color="auto"/>
                      <w:left w:val="outset" w:sz="6" w:space="0" w:color="auto"/>
                      <w:bottom w:val="outset" w:sz="6" w:space="0" w:color="auto"/>
                      <w:right w:val="outset" w:sz="6" w:space="0" w:color="auto"/>
                    </w:tcBorders>
                  </w:tcPr>
                  <w:p w:rsidR="00EE0190" w:rsidRDefault="00EE0190" w:rsidP="00601D4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jc w:val="right"/>
                      <w:rPr>
                        <w:szCs w:val="21"/>
                      </w:rPr>
                    </w:pPr>
                    <w:r>
                      <w:t>117,562,500</w:t>
                    </w:r>
                  </w:p>
                </w:tc>
                <w:tc>
                  <w:tcPr>
                    <w:tcW w:w="1333"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jc w:val="right"/>
                      <w:rPr>
                        <w:szCs w:val="21"/>
                      </w:rPr>
                    </w:pPr>
                    <w:r>
                      <w:t>118,845,000</w:t>
                    </w:r>
                  </w:p>
                </w:tc>
              </w:tr>
              <w:tr w:rsidR="00EE0190" w:rsidTr="00601D47">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b5fccc8867984b57bf71dfe293f645cf"/>
                      <w:id w:val="1747535354"/>
                      <w:lock w:val="sdtLocked"/>
                    </w:sdtPr>
                    <w:sdtContent>
                      <w:p w:rsidR="00EE0190" w:rsidRDefault="00EE0190" w:rsidP="00601D47">
                        <w:pPr>
                          <w:ind w:firstLineChars="100" w:firstLine="210"/>
                        </w:pPr>
                        <w:r>
                          <w:rPr>
                            <w:rFonts w:hint="eastAsia"/>
                          </w:rPr>
                          <w:t>其他非流动金融资产</w:t>
                        </w:r>
                      </w:p>
                    </w:sdtContent>
                  </w:sdt>
                </w:tc>
                <w:tc>
                  <w:tcPr>
                    <w:tcW w:w="627" w:type="pct"/>
                    <w:tcBorders>
                      <w:top w:val="outset" w:sz="6" w:space="0" w:color="auto"/>
                      <w:left w:val="outset" w:sz="6" w:space="0" w:color="auto"/>
                      <w:bottom w:val="outset" w:sz="6" w:space="0" w:color="auto"/>
                      <w:right w:val="outset" w:sz="6" w:space="0" w:color="auto"/>
                    </w:tcBorders>
                  </w:tcPr>
                  <w:p w:rsidR="00EE0190" w:rsidRDefault="00EE0190" w:rsidP="00601D47">
                    <w:pPr>
                      <w:rPr>
                        <w:szCs w:val="21"/>
                      </w:rPr>
                    </w:pPr>
                  </w:p>
                </w:tc>
                <w:tc>
                  <w:tcPr>
                    <w:tcW w:w="1411" w:type="pct"/>
                    <w:tcBorders>
                      <w:top w:val="outset" w:sz="6" w:space="0" w:color="auto"/>
                      <w:left w:val="outset" w:sz="6" w:space="0" w:color="auto"/>
                      <w:bottom w:val="outset" w:sz="6" w:space="0" w:color="auto"/>
                      <w:right w:val="outset" w:sz="6" w:space="0" w:color="auto"/>
                    </w:tcBorders>
                  </w:tcPr>
                  <w:p w:rsidR="00EE0190" w:rsidRDefault="00EE0190" w:rsidP="00601D47">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EE0190" w:rsidRDefault="00EE0190" w:rsidP="00601D47">
                    <w:pPr>
                      <w:jc w:val="right"/>
                      <w:rPr>
                        <w:szCs w:val="21"/>
                      </w:rPr>
                    </w:pPr>
                  </w:p>
                </w:tc>
              </w:tr>
              <w:tr w:rsidR="00EE0190" w:rsidTr="00601D47">
                <w:sdt>
                  <w:sdtPr>
                    <w:tag w:val="_PLD_b9a93324886f428384542f5b1fb9f42b"/>
                    <w:id w:val="-83900876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ind w:firstLineChars="100" w:firstLine="210"/>
                          <w:rPr>
                            <w:szCs w:val="21"/>
                          </w:rPr>
                        </w:pPr>
                        <w:r>
                          <w:rPr>
                            <w:rFonts w:hint="eastAsia"/>
                            <w:szCs w:val="21"/>
                          </w:rPr>
                          <w:t>投资性房地产</w:t>
                        </w:r>
                      </w:p>
                    </w:tc>
                  </w:sdtContent>
                </w:sdt>
                <w:tc>
                  <w:tcPr>
                    <w:tcW w:w="627" w:type="pct"/>
                    <w:tcBorders>
                      <w:top w:val="outset" w:sz="6" w:space="0" w:color="auto"/>
                      <w:left w:val="outset" w:sz="6" w:space="0" w:color="auto"/>
                      <w:bottom w:val="outset" w:sz="6" w:space="0" w:color="auto"/>
                      <w:right w:val="outset" w:sz="6" w:space="0" w:color="auto"/>
                    </w:tcBorders>
                  </w:tcPr>
                  <w:p w:rsidR="00EE0190" w:rsidRDefault="00EE0190" w:rsidP="00601D47">
                    <w:pPr>
                      <w:rPr>
                        <w:szCs w:val="21"/>
                      </w:rPr>
                    </w:pPr>
                  </w:p>
                </w:tc>
                <w:tc>
                  <w:tcPr>
                    <w:tcW w:w="1411" w:type="pct"/>
                    <w:tcBorders>
                      <w:top w:val="outset" w:sz="6" w:space="0" w:color="auto"/>
                      <w:left w:val="outset" w:sz="6" w:space="0" w:color="auto"/>
                      <w:bottom w:val="outset" w:sz="6" w:space="0" w:color="auto"/>
                      <w:right w:val="outset" w:sz="6" w:space="0" w:color="auto"/>
                    </w:tcBorders>
                  </w:tcPr>
                  <w:p w:rsidR="00EE0190" w:rsidRDefault="00EE0190" w:rsidP="00601D47">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EE0190" w:rsidRDefault="00EE0190" w:rsidP="00601D47">
                    <w:pPr>
                      <w:jc w:val="right"/>
                      <w:rPr>
                        <w:szCs w:val="21"/>
                      </w:rPr>
                    </w:pPr>
                  </w:p>
                </w:tc>
              </w:tr>
              <w:tr w:rsidR="00EE0190" w:rsidTr="00601D47">
                <w:sdt>
                  <w:sdtPr>
                    <w:tag w:val="_PLD_b0ecd86ac7804fbe89c1f06aa6ad3650"/>
                    <w:id w:val="28031168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ind w:firstLineChars="100" w:firstLine="210"/>
                          <w:rPr>
                            <w:szCs w:val="21"/>
                          </w:rPr>
                        </w:pPr>
                        <w:r>
                          <w:rPr>
                            <w:rFonts w:hint="eastAsia"/>
                            <w:szCs w:val="21"/>
                          </w:rPr>
                          <w:t>固定资产</w:t>
                        </w:r>
                      </w:p>
                    </w:tc>
                  </w:sdtContent>
                </w:sdt>
                <w:tc>
                  <w:tcPr>
                    <w:tcW w:w="627" w:type="pct"/>
                    <w:tcBorders>
                      <w:top w:val="outset" w:sz="6" w:space="0" w:color="auto"/>
                      <w:left w:val="outset" w:sz="6" w:space="0" w:color="auto"/>
                      <w:bottom w:val="outset" w:sz="6" w:space="0" w:color="auto"/>
                      <w:right w:val="outset" w:sz="6" w:space="0" w:color="auto"/>
                    </w:tcBorders>
                  </w:tcPr>
                  <w:p w:rsidR="00EE0190" w:rsidRDefault="00EE0190" w:rsidP="00601D4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jc w:val="right"/>
                      <w:rPr>
                        <w:szCs w:val="21"/>
                      </w:rPr>
                    </w:pPr>
                    <w:r>
                      <w:t>61,344,951,975</w:t>
                    </w:r>
                  </w:p>
                </w:tc>
                <w:tc>
                  <w:tcPr>
                    <w:tcW w:w="1333"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jc w:val="right"/>
                      <w:rPr>
                        <w:szCs w:val="21"/>
                      </w:rPr>
                    </w:pPr>
                    <w:r>
                      <w:t>60,661,902,811</w:t>
                    </w:r>
                  </w:p>
                </w:tc>
              </w:tr>
              <w:tr w:rsidR="00EE0190" w:rsidTr="00601D47">
                <w:sdt>
                  <w:sdtPr>
                    <w:tag w:val="_PLD_c800871977ec4bd980307a1f4d2c4c76"/>
                    <w:id w:val="-171896321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ind w:firstLineChars="100" w:firstLine="210"/>
                          <w:rPr>
                            <w:szCs w:val="21"/>
                          </w:rPr>
                        </w:pPr>
                        <w:r>
                          <w:rPr>
                            <w:rFonts w:hint="eastAsia"/>
                            <w:szCs w:val="21"/>
                          </w:rPr>
                          <w:t>在建工程</w:t>
                        </w:r>
                      </w:p>
                    </w:tc>
                  </w:sdtContent>
                </w:sdt>
                <w:tc>
                  <w:tcPr>
                    <w:tcW w:w="627" w:type="pct"/>
                    <w:tcBorders>
                      <w:top w:val="outset" w:sz="6" w:space="0" w:color="auto"/>
                      <w:left w:val="outset" w:sz="6" w:space="0" w:color="auto"/>
                      <w:bottom w:val="outset" w:sz="6" w:space="0" w:color="auto"/>
                      <w:right w:val="outset" w:sz="6" w:space="0" w:color="auto"/>
                    </w:tcBorders>
                  </w:tcPr>
                  <w:p w:rsidR="00EE0190" w:rsidRDefault="00EE0190" w:rsidP="00601D4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jc w:val="right"/>
                      <w:rPr>
                        <w:szCs w:val="21"/>
                      </w:rPr>
                    </w:pPr>
                    <w:r>
                      <w:t>1,330,639,178</w:t>
                    </w:r>
                  </w:p>
                </w:tc>
                <w:tc>
                  <w:tcPr>
                    <w:tcW w:w="1333"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jc w:val="right"/>
                      <w:rPr>
                        <w:szCs w:val="21"/>
                      </w:rPr>
                    </w:pPr>
                    <w:r>
                      <w:t>641,610,608</w:t>
                    </w:r>
                  </w:p>
                </w:tc>
              </w:tr>
              <w:tr w:rsidR="00EE0190" w:rsidTr="00601D47">
                <w:sdt>
                  <w:sdtPr>
                    <w:tag w:val="_PLD_478ac5c17f214712ae812a0d6398de1e"/>
                    <w:id w:val="203113984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ind w:firstLineChars="100" w:firstLine="210"/>
                          <w:rPr>
                            <w:szCs w:val="21"/>
                          </w:rPr>
                        </w:pPr>
                        <w:r>
                          <w:rPr>
                            <w:rFonts w:hint="eastAsia"/>
                            <w:szCs w:val="21"/>
                          </w:rPr>
                          <w:t>生产性生物资产</w:t>
                        </w:r>
                      </w:p>
                    </w:tc>
                  </w:sdtContent>
                </w:sdt>
                <w:tc>
                  <w:tcPr>
                    <w:tcW w:w="627" w:type="pct"/>
                    <w:tcBorders>
                      <w:top w:val="outset" w:sz="6" w:space="0" w:color="auto"/>
                      <w:left w:val="outset" w:sz="6" w:space="0" w:color="auto"/>
                      <w:bottom w:val="outset" w:sz="6" w:space="0" w:color="auto"/>
                      <w:right w:val="outset" w:sz="6" w:space="0" w:color="auto"/>
                    </w:tcBorders>
                  </w:tcPr>
                  <w:p w:rsidR="00EE0190" w:rsidRDefault="00EE0190" w:rsidP="00601D47">
                    <w:pPr>
                      <w:rPr>
                        <w:szCs w:val="21"/>
                      </w:rPr>
                    </w:pPr>
                  </w:p>
                </w:tc>
                <w:tc>
                  <w:tcPr>
                    <w:tcW w:w="1411" w:type="pct"/>
                    <w:tcBorders>
                      <w:top w:val="outset" w:sz="6" w:space="0" w:color="auto"/>
                      <w:left w:val="outset" w:sz="6" w:space="0" w:color="auto"/>
                      <w:bottom w:val="outset" w:sz="6" w:space="0" w:color="auto"/>
                      <w:right w:val="outset" w:sz="6" w:space="0" w:color="auto"/>
                    </w:tcBorders>
                  </w:tcPr>
                  <w:p w:rsidR="00EE0190" w:rsidRDefault="00EE0190" w:rsidP="00601D47">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EE0190" w:rsidRDefault="00EE0190" w:rsidP="00601D47">
                    <w:pPr>
                      <w:jc w:val="right"/>
                      <w:rPr>
                        <w:szCs w:val="21"/>
                      </w:rPr>
                    </w:pPr>
                  </w:p>
                </w:tc>
              </w:tr>
              <w:tr w:rsidR="00EE0190" w:rsidTr="00601D47">
                <w:sdt>
                  <w:sdtPr>
                    <w:tag w:val="_PLD_70cce78df6a94836ab636bf546ff9a26"/>
                    <w:id w:val="-195809481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ind w:firstLineChars="100" w:firstLine="210"/>
                          <w:rPr>
                            <w:szCs w:val="21"/>
                          </w:rPr>
                        </w:pPr>
                        <w:r>
                          <w:rPr>
                            <w:rFonts w:hint="eastAsia"/>
                            <w:szCs w:val="21"/>
                          </w:rPr>
                          <w:t>油气资产</w:t>
                        </w:r>
                      </w:p>
                    </w:tc>
                  </w:sdtContent>
                </w:sdt>
                <w:tc>
                  <w:tcPr>
                    <w:tcW w:w="627" w:type="pct"/>
                    <w:tcBorders>
                      <w:top w:val="outset" w:sz="6" w:space="0" w:color="auto"/>
                      <w:left w:val="outset" w:sz="6" w:space="0" w:color="auto"/>
                      <w:bottom w:val="outset" w:sz="6" w:space="0" w:color="auto"/>
                      <w:right w:val="outset" w:sz="6" w:space="0" w:color="auto"/>
                    </w:tcBorders>
                  </w:tcPr>
                  <w:p w:rsidR="00EE0190" w:rsidRDefault="00EE0190" w:rsidP="00601D47">
                    <w:pPr>
                      <w:rPr>
                        <w:szCs w:val="21"/>
                      </w:rPr>
                    </w:pPr>
                  </w:p>
                </w:tc>
                <w:tc>
                  <w:tcPr>
                    <w:tcW w:w="1411" w:type="pct"/>
                    <w:tcBorders>
                      <w:top w:val="outset" w:sz="6" w:space="0" w:color="auto"/>
                      <w:left w:val="outset" w:sz="6" w:space="0" w:color="auto"/>
                      <w:bottom w:val="outset" w:sz="6" w:space="0" w:color="auto"/>
                      <w:right w:val="outset" w:sz="6" w:space="0" w:color="auto"/>
                    </w:tcBorders>
                  </w:tcPr>
                  <w:p w:rsidR="00EE0190" w:rsidRDefault="00EE0190" w:rsidP="00601D47">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EE0190" w:rsidRDefault="00EE0190" w:rsidP="00601D47">
                    <w:pPr>
                      <w:jc w:val="right"/>
                      <w:rPr>
                        <w:szCs w:val="21"/>
                      </w:rPr>
                    </w:pPr>
                  </w:p>
                </w:tc>
              </w:tr>
              <w:tr w:rsidR="00EE0190" w:rsidTr="00601D47">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02711909a0534ae9abd4cdb79ab0feb6"/>
                      <w:id w:val="1597836833"/>
                      <w:lock w:val="sdtLocked"/>
                    </w:sdtPr>
                    <w:sdtContent>
                      <w:p w:rsidR="00EE0190" w:rsidRDefault="00EE0190" w:rsidP="00601D47">
                        <w:pPr>
                          <w:ind w:firstLineChars="100" w:firstLine="210"/>
                        </w:pPr>
                        <w:r>
                          <w:rPr>
                            <w:rFonts w:hint="eastAsia"/>
                          </w:rPr>
                          <w:t>使用权资产</w:t>
                        </w:r>
                      </w:p>
                    </w:sdtContent>
                  </w:sdt>
                </w:tc>
                <w:tc>
                  <w:tcPr>
                    <w:tcW w:w="627" w:type="pct"/>
                    <w:tcBorders>
                      <w:top w:val="outset" w:sz="6" w:space="0" w:color="auto"/>
                      <w:left w:val="outset" w:sz="6" w:space="0" w:color="auto"/>
                      <w:bottom w:val="outset" w:sz="6" w:space="0" w:color="auto"/>
                      <w:right w:val="outset" w:sz="6" w:space="0" w:color="auto"/>
                    </w:tcBorders>
                  </w:tcPr>
                  <w:p w:rsidR="00EE0190" w:rsidRDefault="00EE0190" w:rsidP="00601D4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jc w:val="right"/>
                      <w:rPr>
                        <w:szCs w:val="21"/>
                      </w:rPr>
                    </w:pPr>
                    <w:r>
                      <w:t>686,715,845</w:t>
                    </w:r>
                  </w:p>
                </w:tc>
                <w:tc>
                  <w:tcPr>
                    <w:tcW w:w="1333"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jc w:val="right"/>
                      <w:rPr>
                        <w:szCs w:val="21"/>
                      </w:rPr>
                    </w:pPr>
                    <w:r>
                      <w:t>890,398,484</w:t>
                    </w:r>
                  </w:p>
                </w:tc>
              </w:tr>
              <w:tr w:rsidR="00EE0190" w:rsidTr="00601D47">
                <w:sdt>
                  <w:sdtPr>
                    <w:tag w:val="_PLD_a22b1a68b152411392f45bdce00cb9f5"/>
                    <w:id w:val="136478215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ind w:firstLineChars="100" w:firstLine="210"/>
                          <w:rPr>
                            <w:szCs w:val="21"/>
                          </w:rPr>
                        </w:pPr>
                        <w:r>
                          <w:rPr>
                            <w:rFonts w:hint="eastAsia"/>
                            <w:szCs w:val="21"/>
                          </w:rPr>
                          <w:t>无形资产</w:t>
                        </w:r>
                      </w:p>
                    </w:tc>
                  </w:sdtContent>
                </w:sdt>
                <w:tc>
                  <w:tcPr>
                    <w:tcW w:w="627" w:type="pct"/>
                    <w:tcBorders>
                      <w:top w:val="outset" w:sz="6" w:space="0" w:color="auto"/>
                      <w:left w:val="outset" w:sz="6" w:space="0" w:color="auto"/>
                      <w:bottom w:val="outset" w:sz="6" w:space="0" w:color="auto"/>
                      <w:right w:val="outset" w:sz="6" w:space="0" w:color="auto"/>
                    </w:tcBorders>
                  </w:tcPr>
                  <w:p w:rsidR="00EE0190" w:rsidRDefault="00EE0190" w:rsidP="00601D4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jc w:val="right"/>
                      <w:rPr>
                        <w:szCs w:val="21"/>
                      </w:rPr>
                    </w:pPr>
                    <w:r>
                      <w:t>3,344,604,050</w:t>
                    </w:r>
                  </w:p>
                </w:tc>
                <w:tc>
                  <w:tcPr>
                    <w:tcW w:w="1333"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jc w:val="right"/>
                      <w:rPr>
                        <w:szCs w:val="21"/>
                      </w:rPr>
                    </w:pPr>
                    <w:r>
                      <w:t>3,458,395,809</w:t>
                    </w:r>
                  </w:p>
                </w:tc>
              </w:tr>
              <w:tr w:rsidR="00EE0190" w:rsidTr="00601D47">
                <w:sdt>
                  <w:sdtPr>
                    <w:tag w:val="_PLD_3afdada774c94d8d8f09873b3adfe0ca"/>
                    <w:id w:val="-1917099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ind w:firstLineChars="100" w:firstLine="210"/>
                          <w:rPr>
                            <w:szCs w:val="21"/>
                          </w:rPr>
                        </w:pPr>
                        <w:r>
                          <w:rPr>
                            <w:rFonts w:hint="eastAsia"/>
                            <w:szCs w:val="21"/>
                          </w:rPr>
                          <w:t>开发支出</w:t>
                        </w:r>
                      </w:p>
                    </w:tc>
                  </w:sdtContent>
                </w:sdt>
                <w:tc>
                  <w:tcPr>
                    <w:tcW w:w="627" w:type="pct"/>
                    <w:tcBorders>
                      <w:top w:val="outset" w:sz="6" w:space="0" w:color="auto"/>
                      <w:left w:val="outset" w:sz="6" w:space="0" w:color="auto"/>
                      <w:bottom w:val="outset" w:sz="6" w:space="0" w:color="auto"/>
                      <w:right w:val="outset" w:sz="6" w:space="0" w:color="auto"/>
                    </w:tcBorders>
                  </w:tcPr>
                  <w:p w:rsidR="00EE0190" w:rsidRDefault="00EE0190" w:rsidP="00601D47">
                    <w:pPr>
                      <w:rPr>
                        <w:szCs w:val="21"/>
                      </w:rPr>
                    </w:pPr>
                  </w:p>
                </w:tc>
                <w:tc>
                  <w:tcPr>
                    <w:tcW w:w="1411" w:type="pct"/>
                    <w:tcBorders>
                      <w:top w:val="outset" w:sz="6" w:space="0" w:color="auto"/>
                      <w:left w:val="outset" w:sz="6" w:space="0" w:color="auto"/>
                      <w:bottom w:val="outset" w:sz="6" w:space="0" w:color="auto"/>
                      <w:right w:val="outset" w:sz="6" w:space="0" w:color="auto"/>
                    </w:tcBorders>
                  </w:tcPr>
                  <w:p w:rsidR="00EE0190" w:rsidRDefault="00EE0190" w:rsidP="00601D47">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EE0190" w:rsidRDefault="00EE0190" w:rsidP="00601D47">
                    <w:pPr>
                      <w:jc w:val="right"/>
                      <w:rPr>
                        <w:szCs w:val="21"/>
                      </w:rPr>
                    </w:pPr>
                  </w:p>
                </w:tc>
              </w:tr>
              <w:tr w:rsidR="00EE0190" w:rsidTr="00601D47">
                <w:sdt>
                  <w:sdtPr>
                    <w:tag w:val="_PLD_c1515ff062cd47e0abd7368705cd4e5f"/>
                    <w:id w:val="79595794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ind w:firstLineChars="100" w:firstLine="210"/>
                          <w:rPr>
                            <w:szCs w:val="21"/>
                          </w:rPr>
                        </w:pPr>
                        <w:r>
                          <w:rPr>
                            <w:rFonts w:hint="eastAsia"/>
                            <w:szCs w:val="21"/>
                          </w:rPr>
                          <w:t>商誉</w:t>
                        </w:r>
                      </w:p>
                    </w:tc>
                  </w:sdtContent>
                </w:sdt>
                <w:tc>
                  <w:tcPr>
                    <w:tcW w:w="627" w:type="pct"/>
                    <w:tcBorders>
                      <w:top w:val="outset" w:sz="6" w:space="0" w:color="auto"/>
                      <w:left w:val="outset" w:sz="6" w:space="0" w:color="auto"/>
                      <w:bottom w:val="outset" w:sz="6" w:space="0" w:color="auto"/>
                      <w:right w:val="outset" w:sz="6" w:space="0" w:color="auto"/>
                    </w:tcBorders>
                  </w:tcPr>
                  <w:p w:rsidR="00EE0190" w:rsidRDefault="00EE0190" w:rsidP="00601D47">
                    <w:pPr>
                      <w:rPr>
                        <w:szCs w:val="21"/>
                      </w:rPr>
                    </w:pPr>
                  </w:p>
                </w:tc>
                <w:tc>
                  <w:tcPr>
                    <w:tcW w:w="1411" w:type="pct"/>
                    <w:tcBorders>
                      <w:top w:val="outset" w:sz="6" w:space="0" w:color="auto"/>
                      <w:left w:val="outset" w:sz="6" w:space="0" w:color="auto"/>
                      <w:bottom w:val="outset" w:sz="6" w:space="0" w:color="auto"/>
                      <w:right w:val="outset" w:sz="6" w:space="0" w:color="auto"/>
                    </w:tcBorders>
                  </w:tcPr>
                  <w:p w:rsidR="00EE0190" w:rsidRDefault="00EE0190" w:rsidP="00601D47">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EE0190" w:rsidRDefault="00EE0190" w:rsidP="00601D47">
                    <w:pPr>
                      <w:jc w:val="right"/>
                      <w:rPr>
                        <w:szCs w:val="21"/>
                      </w:rPr>
                    </w:pPr>
                  </w:p>
                </w:tc>
              </w:tr>
              <w:tr w:rsidR="00EE0190" w:rsidTr="00601D47">
                <w:sdt>
                  <w:sdtPr>
                    <w:tag w:val="_PLD_e06c7979eb504045a9de6cf80551e28f"/>
                    <w:id w:val="-149787341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ind w:firstLineChars="100" w:firstLine="210"/>
                          <w:rPr>
                            <w:szCs w:val="21"/>
                          </w:rPr>
                        </w:pPr>
                        <w:r>
                          <w:rPr>
                            <w:rFonts w:hint="eastAsia"/>
                            <w:szCs w:val="21"/>
                          </w:rPr>
                          <w:t>长期待摊费用</w:t>
                        </w:r>
                      </w:p>
                    </w:tc>
                  </w:sdtContent>
                </w:sdt>
                <w:tc>
                  <w:tcPr>
                    <w:tcW w:w="627" w:type="pct"/>
                    <w:tcBorders>
                      <w:top w:val="outset" w:sz="6" w:space="0" w:color="auto"/>
                      <w:left w:val="outset" w:sz="6" w:space="0" w:color="auto"/>
                      <w:bottom w:val="outset" w:sz="6" w:space="0" w:color="auto"/>
                      <w:right w:val="outset" w:sz="6" w:space="0" w:color="auto"/>
                    </w:tcBorders>
                  </w:tcPr>
                  <w:p w:rsidR="00EE0190" w:rsidRDefault="00EE0190" w:rsidP="00601D4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jc w:val="right"/>
                      <w:rPr>
                        <w:szCs w:val="21"/>
                      </w:rPr>
                    </w:pPr>
                    <w:r>
                      <w:t>233,409,565</w:t>
                    </w:r>
                  </w:p>
                </w:tc>
                <w:tc>
                  <w:tcPr>
                    <w:tcW w:w="1333"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jc w:val="right"/>
                      <w:rPr>
                        <w:szCs w:val="21"/>
                      </w:rPr>
                    </w:pPr>
                    <w:r>
                      <w:t>139,054,681</w:t>
                    </w:r>
                  </w:p>
                </w:tc>
              </w:tr>
              <w:tr w:rsidR="00EE0190" w:rsidTr="00601D47">
                <w:sdt>
                  <w:sdtPr>
                    <w:tag w:val="_PLD_ced42050d97a41358aec7c92332e0b26"/>
                    <w:id w:val="-109494076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ind w:firstLineChars="100" w:firstLine="210"/>
                          <w:rPr>
                            <w:szCs w:val="21"/>
                          </w:rPr>
                        </w:pPr>
                        <w:r>
                          <w:rPr>
                            <w:rFonts w:hint="eastAsia"/>
                            <w:szCs w:val="21"/>
                          </w:rPr>
                          <w:t>递延所得税资产</w:t>
                        </w:r>
                      </w:p>
                    </w:tc>
                  </w:sdtContent>
                </w:sdt>
                <w:tc>
                  <w:tcPr>
                    <w:tcW w:w="627" w:type="pct"/>
                    <w:tcBorders>
                      <w:top w:val="outset" w:sz="6" w:space="0" w:color="auto"/>
                      <w:left w:val="outset" w:sz="6" w:space="0" w:color="auto"/>
                      <w:bottom w:val="outset" w:sz="6" w:space="0" w:color="auto"/>
                      <w:right w:val="outset" w:sz="6" w:space="0" w:color="auto"/>
                    </w:tcBorders>
                  </w:tcPr>
                  <w:p w:rsidR="00EE0190" w:rsidRDefault="00EE0190" w:rsidP="00601D4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jc w:val="right"/>
                      <w:rPr>
                        <w:szCs w:val="21"/>
                      </w:rPr>
                    </w:pPr>
                    <w:r>
                      <w:t>1,215,026,303</w:t>
                    </w:r>
                  </w:p>
                </w:tc>
                <w:tc>
                  <w:tcPr>
                    <w:tcW w:w="1333"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jc w:val="right"/>
                      <w:rPr>
                        <w:szCs w:val="21"/>
                      </w:rPr>
                    </w:pPr>
                    <w:r>
                      <w:t>1,293,149,328</w:t>
                    </w:r>
                  </w:p>
                </w:tc>
              </w:tr>
              <w:tr w:rsidR="00EE0190" w:rsidTr="00601D47">
                <w:sdt>
                  <w:sdtPr>
                    <w:tag w:val="_PLD_29649f7fead6487685f7f530a335f38e"/>
                    <w:id w:val="-30909304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ind w:firstLineChars="100" w:firstLine="210"/>
                          <w:rPr>
                            <w:szCs w:val="21"/>
                          </w:rPr>
                        </w:pPr>
                        <w:r>
                          <w:rPr>
                            <w:rFonts w:hint="eastAsia"/>
                            <w:szCs w:val="21"/>
                          </w:rPr>
                          <w:t>其他非流动资产</w:t>
                        </w:r>
                      </w:p>
                    </w:tc>
                  </w:sdtContent>
                </w:sdt>
                <w:tc>
                  <w:tcPr>
                    <w:tcW w:w="627" w:type="pct"/>
                    <w:tcBorders>
                      <w:top w:val="outset" w:sz="6" w:space="0" w:color="auto"/>
                      <w:left w:val="outset" w:sz="6" w:space="0" w:color="auto"/>
                      <w:bottom w:val="outset" w:sz="6" w:space="0" w:color="auto"/>
                      <w:right w:val="outset" w:sz="6" w:space="0" w:color="auto"/>
                    </w:tcBorders>
                  </w:tcPr>
                  <w:p w:rsidR="00EE0190" w:rsidRDefault="00EE0190" w:rsidP="00601D4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jc w:val="right"/>
                      <w:rPr>
                        <w:szCs w:val="21"/>
                      </w:rPr>
                    </w:pPr>
                    <w:r>
                      <w:t>7,630,032</w:t>
                    </w:r>
                  </w:p>
                </w:tc>
                <w:tc>
                  <w:tcPr>
                    <w:tcW w:w="1333"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jc w:val="right"/>
                      <w:rPr>
                        <w:szCs w:val="21"/>
                      </w:rPr>
                    </w:pPr>
                    <w:r>
                      <w:t>5,983,967</w:t>
                    </w:r>
                  </w:p>
                </w:tc>
              </w:tr>
              <w:tr w:rsidR="00EE0190" w:rsidTr="00601D47">
                <w:sdt>
                  <w:sdtPr>
                    <w:tag w:val="_PLD_5609696f96f44c829ada367c21c56583"/>
                    <w:id w:val="948956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ind w:firstLineChars="200" w:firstLine="420"/>
                          <w:rPr>
                            <w:szCs w:val="21"/>
                          </w:rPr>
                        </w:pPr>
                        <w:r>
                          <w:rPr>
                            <w:rFonts w:hint="eastAsia"/>
                            <w:szCs w:val="21"/>
                          </w:rPr>
                          <w:t>非流动资产合计</w:t>
                        </w:r>
                      </w:p>
                    </w:tc>
                  </w:sdtContent>
                </w:sdt>
                <w:tc>
                  <w:tcPr>
                    <w:tcW w:w="627" w:type="pct"/>
                    <w:tcBorders>
                      <w:top w:val="outset" w:sz="6" w:space="0" w:color="auto"/>
                      <w:left w:val="outset" w:sz="6" w:space="0" w:color="auto"/>
                      <w:bottom w:val="outset" w:sz="6" w:space="0" w:color="auto"/>
                      <w:right w:val="outset" w:sz="6" w:space="0" w:color="auto"/>
                    </w:tcBorders>
                  </w:tcPr>
                  <w:p w:rsidR="00EE0190" w:rsidRDefault="00EE0190" w:rsidP="00601D4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jc w:val="right"/>
                      <w:rPr>
                        <w:szCs w:val="21"/>
                      </w:rPr>
                    </w:pPr>
                    <w:r>
                      <w:t>104,540,546,149</w:t>
                    </w:r>
                  </w:p>
                </w:tc>
                <w:tc>
                  <w:tcPr>
                    <w:tcW w:w="1333"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jc w:val="right"/>
                      <w:rPr>
                        <w:szCs w:val="21"/>
                      </w:rPr>
                    </w:pPr>
                    <w:r>
                      <w:t>106,039,113,710</w:t>
                    </w:r>
                  </w:p>
                </w:tc>
              </w:tr>
              <w:tr w:rsidR="00EE0190" w:rsidTr="00601D47">
                <w:sdt>
                  <w:sdtPr>
                    <w:tag w:val="_PLD_6d49c826430d4b61bb4d5c2bd47f3a37"/>
                    <w:id w:val="-160557680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ind w:firstLineChars="300" w:firstLine="630"/>
                          <w:rPr>
                            <w:szCs w:val="21"/>
                          </w:rPr>
                        </w:pPr>
                        <w:r>
                          <w:rPr>
                            <w:rFonts w:hint="eastAsia"/>
                            <w:szCs w:val="21"/>
                          </w:rPr>
                          <w:t>资产总计</w:t>
                        </w:r>
                      </w:p>
                    </w:tc>
                  </w:sdtContent>
                </w:sdt>
                <w:tc>
                  <w:tcPr>
                    <w:tcW w:w="627" w:type="pct"/>
                    <w:tcBorders>
                      <w:top w:val="outset" w:sz="6" w:space="0" w:color="auto"/>
                      <w:left w:val="outset" w:sz="6" w:space="0" w:color="auto"/>
                      <w:bottom w:val="outset" w:sz="6" w:space="0" w:color="auto"/>
                      <w:right w:val="outset" w:sz="6" w:space="0" w:color="auto"/>
                    </w:tcBorders>
                  </w:tcPr>
                  <w:p w:rsidR="00EE0190" w:rsidRDefault="00EE0190" w:rsidP="00601D4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jc w:val="right"/>
                      <w:rPr>
                        <w:szCs w:val="21"/>
                      </w:rPr>
                    </w:pPr>
                    <w:r>
                      <w:t>181,436,275,567</w:t>
                    </w:r>
                  </w:p>
                </w:tc>
                <w:tc>
                  <w:tcPr>
                    <w:tcW w:w="1333"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jc w:val="right"/>
                      <w:rPr>
                        <w:szCs w:val="21"/>
                      </w:rPr>
                    </w:pPr>
                    <w:r>
                      <w:t>177,088,913,304</w:t>
                    </w:r>
                  </w:p>
                </w:tc>
              </w:tr>
              <w:tr w:rsidR="00EE0190" w:rsidTr="00601D47">
                <w:sdt>
                  <w:sdtPr>
                    <w:tag w:val="_PLD_097e7abf0b344d7ba64ab9a99dd2d2fa"/>
                    <w:id w:val="-1989696437"/>
                    <w:lock w:val="sdtLocked"/>
                  </w:sdtPr>
                  <w:sdtContent>
                    <w:tc>
                      <w:tcPr>
                        <w:tcW w:w="5000" w:type="pct"/>
                        <w:gridSpan w:val="4"/>
                        <w:tcBorders>
                          <w:top w:val="outset" w:sz="6" w:space="0" w:color="auto"/>
                          <w:left w:val="outset" w:sz="6" w:space="0" w:color="auto"/>
                          <w:bottom w:val="outset" w:sz="6" w:space="0" w:color="auto"/>
                          <w:right w:val="outset" w:sz="6" w:space="0" w:color="auto"/>
                        </w:tcBorders>
                        <w:vAlign w:val="center"/>
                      </w:tcPr>
                      <w:p w:rsidR="00EE0190" w:rsidRDefault="00EE0190" w:rsidP="00601D47">
                        <w:pPr>
                          <w:rPr>
                            <w:color w:val="FF00FF"/>
                            <w:szCs w:val="21"/>
                          </w:rPr>
                        </w:pPr>
                        <w:r>
                          <w:rPr>
                            <w:rFonts w:hint="eastAsia"/>
                            <w:b/>
                            <w:bCs/>
                            <w:szCs w:val="21"/>
                          </w:rPr>
                          <w:t>流动负债：</w:t>
                        </w:r>
                      </w:p>
                    </w:tc>
                  </w:sdtContent>
                </w:sdt>
              </w:tr>
              <w:tr w:rsidR="00EE0190" w:rsidTr="00601D47">
                <w:sdt>
                  <w:sdtPr>
                    <w:tag w:val="_PLD_f25369d6a02a4d4d926f505ded3e9571"/>
                    <w:id w:val="74076683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ind w:firstLineChars="100" w:firstLine="210"/>
                          <w:rPr>
                            <w:szCs w:val="21"/>
                          </w:rPr>
                        </w:pPr>
                        <w:r>
                          <w:rPr>
                            <w:rFonts w:hint="eastAsia"/>
                            <w:szCs w:val="21"/>
                          </w:rPr>
                          <w:t>短期借款</w:t>
                        </w:r>
                      </w:p>
                    </w:tc>
                  </w:sdtContent>
                </w:sdt>
                <w:tc>
                  <w:tcPr>
                    <w:tcW w:w="627" w:type="pct"/>
                    <w:tcBorders>
                      <w:top w:val="outset" w:sz="6" w:space="0" w:color="auto"/>
                      <w:left w:val="outset" w:sz="6" w:space="0" w:color="auto"/>
                      <w:bottom w:val="outset" w:sz="6" w:space="0" w:color="auto"/>
                      <w:right w:val="outset" w:sz="6" w:space="0" w:color="auto"/>
                    </w:tcBorders>
                  </w:tcPr>
                  <w:p w:rsidR="00EE0190" w:rsidRDefault="00EE0190" w:rsidP="00601D47">
                    <w:pPr>
                      <w:rPr>
                        <w:szCs w:val="21"/>
                      </w:rPr>
                    </w:pPr>
                  </w:p>
                </w:tc>
                <w:tc>
                  <w:tcPr>
                    <w:tcW w:w="1411" w:type="pct"/>
                    <w:tcBorders>
                      <w:top w:val="outset" w:sz="6" w:space="0" w:color="auto"/>
                      <w:left w:val="outset" w:sz="6" w:space="0" w:color="auto"/>
                      <w:bottom w:val="outset" w:sz="6" w:space="0" w:color="auto"/>
                      <w:right w:val="outset" w:sz="6" w:space="0" w:color="auto"/>
                    </w:tcBorders>
                  </w:tcPr>
                  <w:p w:rsidR="00EE0190" w:rsidRDefault="00EE0190" w:rsidP="00601D47">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EE0190" w:rsidRDefault="00EE0190" w:rsidP="00601D47">
                    <w:pPr>
                      <w:jc w:val="right"/>
                      <w:rPr>
                        <w:szCs w:val="21"/>
                      </w:rPr>
                    </w:pPr>
                  </w:p>
                </w:tc>
              </w:tr>
              <w:tr w:rsidR="00EE0190" w:rsidTr="00601D47">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ce7b169d869d401d8a4e9b46531a77b5"/>
                      <w:id w:val="-1615751328"/>
                      <w:lock w:val="sdtLocked"/>
                    </w:sdtPr>
                    <w:sdtContent>
                      <w:p w:rsidR="00EE0190" w:rsidRDefault="00EE0190" w:rsidP="00601D47">
                        <w:pPr>
                          <w:ind w:firstLineChars="100" w:firstLine="210"/>
                        </w:pPr>
                        <w:r>
                          <w:rPr>
                            <w:rFonts w:hint="eastAsia"/>
                          </w:rPr>
                          <w:t>交易性金融负债</w:t>
                        </w:r>
                      </w:p>
                    </w:sdtContent>
                  </w:sdt>
                </w:tc>
                <w:tc>
                  <w:tcPr>
                    <w:tcW w:w="627" w:type="pct"/>
                    <w:tcBorders>
                      <w:top w:val="outset" w:sz="6" w:space="0" w:color="auto"/>
                      <w:left w:val="outset" w:sz="6" w:space="0" w:color="auto"/>
                      <w:bottom w:val="outset" w:sz="6" w:space="0" w:color="auto"/>
                      <w:right w:val="outset" w:sz="6" w:space="0" w:color="auto"/>
                    </w:tcBorders>
                  </w:tcPr>
                  <w:p w:rsidR="00EE0190" w:rsidRDefault="00EE0190" w:rsidP="00601D47">
                    <w:pPr>
                      <w:rPr>
                        <w:szCs w:val="21"/>
                      </w:rPr>
                    </w:pPr>
                  </w:p>
                </w:tc>
                <w:tc>
                  <w:tcPr>
                    <w:tcW w:w="1411" w:type="pct"/>
                    <w:tcBorders>
                      <w:top w:val="outset" w:sz="6" w:space="0" w:color="auto"/>
                      <w:left w:val="outset" w:sz="6" w:space="0" w:color="auto"/>
                      <w:bottom w:val="outset" w:sz="6" w:space="0" w:color="auto"/>
                      <w:right w:val="outset" w:sz="6" w:space="0" w:color="auto"/>
                    </w:tcBorders>
                  </w:tcPr>
                  <w:p w:rsidR="00EE0190" w:rsidRDefault="00EE0190" w:rsidP="00601D47">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EE0190" w:rsidRDefault="00EE0190" w:rsidP="00601D47">
                    <w:pPr>
                      <w:jc w:val="right"/>
                      <w:rPr>
                        <w:szCs w:val="21"/>
                      </w:rPr>
                    </w:pPr>
                  </w:p>
                </w:tc>
              </w:tr>
              <w:tr w:rsidR="00EE0190" w:rsidTr="00601D47">
                <w:sdt>
                  <w:sdtPr>
                    <w:tag w:val="_PLD_fdb08aeff5c0473db180983bf445f8c3"/>
                    <w:id w:val="-150064182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ind w:firstLineChars="100" w:firstLine="210"/>
                          <w:rPr>
                            <w:szCs w:val="21"/>
                          </w:rPr>
                        </w:pPr>
                        <w:r>
                          <w:rPr>
                            <w:rFonts w:hint="eastAsia"/>
                            <w:szCs w:val="21"/>
                          </w:rPr>
                          <w:t>衍生金融负债</w:t>
                        </w:r>
                      </w:p>
                    </w:tc>
                  </w:sdtContent>
                </w:sdt>
                <w:tc>
                  <w:tcPr>
                    <w:tcW w:w="627" w:type="pct"/>
                    <w:tcBorders>
                      <w:top w:val="outset" w:sz="6" w:space="0" w:color="auto"/>
                      <w:left w:val="outset" w:sz="6" w:space="0" w:color="auto"/>
                      <w:bottom w:val="outset" w:sz="6" w:space="0" w:color="auto"/>
                      <w:right w:val="outset" w:sz="6" w:space="0" w:color="auto"/>
                    </w:tcBorders>
                  </w:tcPr>
                  <w:p w:rsidR="00EE0190" w:rsidRDefault="00EE0190" w:rsidP="00601D47">
                    <w:pPr>
                      <w:rPr>
                        <w:szCs w:val="21"/>
                      </w:rPr>
                    </w:pPr>
                  </w:p>
                </w:tc>
                <w:tc>
                  <w:tcPr>
                    <w:tcW w:w="1411" w:type="pct"/>
                    <w:tcBorders>
                      <w:top w:val="outset" w:sz="6" w:space="0" w:color="auto"/>
                      <w:left w:val="outset" w:sz="6" w:space="0" w:color="auto"/>
                      <w:bottom w:val="outset" w:sz="6" w:space="0" w:color="auto"/>
                      <w:right w:val="outset" w:sz="6" w:space="0" w:color="auto"/>
                    </w:tcBorders>
                  </w:tcPr>
                  <w:p w:rsidR="00EE0190" w:rsidRDefault="00EE0190" w:rsidP="00601D47">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EE0190" w:rsidRDefault="00EE0190" w:rsidP="00601D47">
                    <w:pPr>
                      <w:jc w:val="right"/>
                      <w:rPr>
                        <w:szCs w:val="21"/>
                      </w:rPr>
                    </w:pPr>
                  </w:p>
                </w:tc>
              </w:tr>
              <w:tr w:rsidR="00EE0190" w:rsidTr="00601D47">
                <w:sdt>
                  <w:sdtPr>
                    <w:tag w:val="_PLD_5fc7538e58b94ec598bb72c938cadc08"/>
                    <w:id w:val="-194885014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ind w:firstLineChars="100" w:firstLine="210"/>
                          <w:rPr>
                            <w:szCs w:val="21"/>
                          </w:rPr>
                        </w:pPr>
                        <w:r>
                          <w:rPr>
                            <w:rFonts w:hint="eastAsia"/>
                            <w:szCs w:val="21"/>
                          </w:rPr>
                          <w:t>应付票据</w:t>
                        </w:r>
                      </w:p>
                    </w:tc>
                  </w:sdtContent>
                </w:sdt>
                <w:tc>
                  <w:tcPr>
                    <w:tcW w:w="627" w:type="pct"/>
                    <w:tcBorders>
                      <w:top w:val="outset" w:sz="6" w:space="0" w:color="auto"/>
                      <w:left w:val="outset" w:sz="6" w:space="0" w:color="auto"/>
                      <w:bottom w:val="outset" w:sz="6" w:space="0" w:color="auto"/>
                      <w:right w:val="outset" w:sz="6" w:space="0" w:color="auto"/>
                    </w:tcBorders>
                  </w:tcPr>
                  <w:p w:rsidR="00EE0190" w:rsidRDefault="00EE0190" w:rsidP="00601D4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jc w:val="right"/>
                      <w:rPr>
                        <w:szCs w:val="21"/>
                      </w:rPr>
                    </w:pPr>
                    <w:r>
                      <w:t>1,436,875,670</w:t>
                    </w:r>
                  </w:p>
                </w:tc>
                <w:tc>
                  <w:tcPr>
                    <w:tcW w:w="1333"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jc w:val="right"/>
                      <w:rPr>
                        <w:szCs w:val="21"/>
                      </w:rPr>
                    </w:pPr>
                    <w:r>
                      <w:t>2,671,602,889</w:t>
                    </w:r>
                  </w:p>
                </w:tc>
              </w:tr>
              <w:tr w:rsidR="00EE0190" w:rsidTr="00601D47">
                <w:sdt>
                  <w:sdtPr>
                    <w:tag w:val="_PLD_a629096442414226b3292060f7ee2433"/>
                    <w:id w:val="67385255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ind w:firstLineChars="100" w:firstLine="210"/>
                          <w:rPr>
                            <w:szCs w:val="21"/>
                          </w:rPr>
                        </w:pPr>
                        <w:r>
                          <w:rPr>
                            <w:rFonts w:hint="eastAsia"/>
                            <w:szCs w:val="21"/>
                          </w:rPr>
                          <w:t>应付账款</w:t>
                        </w:r>
                      </w:p>
                    </w:tc>
                  </w:sdtContent>
                </w:sdt>
                <w:tc>
                  <w:tcPr>
                    <w:tcW w:w="627" w:type="pct"/>
                    <w:tcBorders>
                      <w:top w:val="outset" w:sz="6" w:space="0" w:color="auto"/>
                      <w:left w:val="outset" w:sz="6" w:space="0" w:color="auto"/>
                      <w:bottom w:val="outset" w:sz="6" w:space="0" w:color="auto"/>
                      <w:right w:val="outset" w:sz="6" w:space="0" w:color="auto"/>
                    </w:tcBorders>
                  </w:tcPr>
                  <w:p w:rsidR="00EE0190" w:rsidRDefault="00EE0190" w:rsidP="00601D4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jc w:val="right"/>
                      <w:rPr>
                        <w:szCs w:val="21"/>
                      </w:rPr>
                    </w:pPr>
                    <w:r>
                      <w:t>4,147,567,863</w:t>
                    </w:r>
                  </w:p>
                </w:tc>
                <w:tc>
                  <w:tcPr>
                    <w:tcW w:w="1333"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jc w:val="right"/>
                      <w:rPr>
                        <w:szCs w:val="21"/>
                      </w:rPr>
                    </w:pPr>
                    <w:r>
                      <w:t>2,965,536,837</w:t>
                    </w:r>
                  </w:p>
                </w:tc>
              </w:tr>
              <w:tr w:rsidR="00EE0190" w:rsidTr="00601D47">
                <w:sdt>
                  <w:sdtPr>
                    <w:tag w:val="_PLD_9c7b2a6b03734aeb84333dd1ad179ade"/>
                    <w:id w:val="-92418373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ind w:firstLineChars="100" w:firstLine="210"/>
                          <w:rPr>
                            <w:szCs w:val="21"/>
                          </w:rPr>
                        </w:pPr>
                        <w:r>
                          <w:rPr>
                            <w:rFonts w:hint="eastAsia"/>
                            <w:szCs w:val="21"/>
                          </w:rPr>
                          <w:t>预收款项</w:t>
                        </w:r>
                      </w:p>
                    </w:tc>
                  </w:sdtContent>
                </w:sdt>
                <w:tc>
                  <w:tcPr>
                    <w:tcW w:w="627" w:type="pct"/>
                    <w:tcBorders>
                      <w:top w:val="outset" w:sz="6" w:space="0" w:color="auto"/>
                      <w:left w:val="outset" w:sz="6" w:space="0" w:color="auto"/>
                      <w:bottom w:val="outset" w:sz="6" w:space="0" w:color="auto"/>
                      <w:right w:val="outset" w:sz="6" w:space="0" w:color="auto"/>
                    </w:tcBorders>
                  </w:tcPr>
                  <w:p w:rsidR="00EE0190" w:rsidRDefault="00EE0190" w:rsidP="00601D4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jc w:val="right"/>
                      <w:rPr>
                        <w:szCs w:val="21"/>
                      </w:rPr>
                    </w:pPr>
                    <w:r>
                      <w:t>4,316,742</w:t>
                    </w:r>
                  </w:p>
                </w:tc>
                <w:tc>
                  <w:tcPr>
                    <w:tcW w:w="1333"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jc w:val="right"/>
                      <w:rPr>
                        <w:szCs w:val="21"/>
                      </w:rPr>
                    </w:pPr>
                    <w:r>
                      <w:t>5,398,308</w:t>
                    </w:r>
                  </w:p>
                </w:tc>
              </w:tr>
              <w:tr w:rsidR="00EE0190" w:rsidTr="00601D47">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97fe5e81907c458186d615ca1a16da59"/>
                      <w:id w:val="-1678262855"/>
                      <w:lock w:val="sdtLocked"/>
                    </w:sdtPr>
                    <w:sdtContent>
                      <w:p w:rsidR="00EE0190" w:rsidRDefault="00EE0190" w:rsidP="00601D47">
                        <w:pPr>
                          <w:ind w:firstLineChars="100" w:firstLine="210"/>
                        </w:pPr>
                        <w:r>
                          <w:rPr>
                            <w:rFonts w:hint="eastAsia"/>
                          </w:rPr>
                          <w:t>合同负债</w:t>
                        </w:r>
                      </w:p>
                    </w:sdtContent>
                  </w:sdt>
                </w:tc>
                <w:tc>
                  <w:tcPr>
                    <w:tcW w:w="627" w:type="pct"/>
                    <w:tcBorders>
                      <w:top w:val="outset" w:sz="6" w:space="0" w:color="auto"/>
                      <w:left w:val="outset" w:sz="6" w:space="0" w:color="auto"/>
                      <w:bottom w:val="outset" w:sz="6" w:space="0" w:color="auto"/>
                      <w:right w:val="outset" w:sz="6" w:space="0" w:color="auto"/>
                    </w:tcBorders>
                  </w:tcPr>
                  <w:p w:rsidR="00EE0190" w:rsidRDefault="00EE0190" w:rsidP="00601D4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jc w:val="right"/>
                      <w:rPr>
                        <w:szCs w:val="21"/>
                      </w:rPr>
                    </w:pPr>
                    <w:r>
                      <w:t>2,016,425,051</w:t>
                    </w:r>
                  </w:p>
                </w:tc>
                <w:tc>
                  <w:tcPr>
                    <w:tcW w:w="1333"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jc w:val="right"/>
                      <w:rPr>
                        <w:szCs w:val="21"/>
                      </w:rPr>
                    </w:pPr>
                    <w:r>
                      <w:t>1,736,888,616</w:t>
                    </w:r>
                  </w:p>
                </w:tc>
              </w:tr>
              <w:tr w:rsidR="00EE0190" w:rsidTr="00601D47">
                <w:sdt>
                  <w:sdtPr>
                    <w:tag w:val="_PLD_472d8e738b714bc89cfda0d9fc6f176e"/>
                    <w:id w:val="-120763170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ind w:firstLineChars="100" w:firstLine="210"/>
                          <w:rPr>
                            <w:szCs w:val="21"/>
                          </w:rPr>
                        </w:pPr>
                        <w:r>
                          <w:rPr>
                            <w:rFonts w:hint="eastAsia"/>
                            <w:szCs w:val="21"/>
                          </w:rPr>
                          <w:t>应付职工薪酬</w:t>
                        </w:r>
                      </w:p>
                    </w:tc>
                  </w:sdtContent>
                </w:sdt>
                <w:tc>
                  <w:tcPr>
                    <w:tcW w:w="627" w:type="pct"/>
                    <w:tcBorders>
                      <w:top w:val="outset" w:sz="6" w:space="0" w:color="auto"/>
                      <w:left w:val="outset" w:sz="6" w:space="0" w:color="auto"/>
                      <w:bottom w:val="outset" w:sz="6" w:space="0" w:color="auto"/>
                      <w:right w:val="outset" w:sz="6" w:space="0" w:color="auto"/>
                    </w:tcBorders>
                  </w:tcPr>
                  <w:p w:rsidR="00EE0190" w:rsidRDefault="00EE0190" w:rsidP="00601D4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jc w:val="right"/>
                      <w:rPr>
                        <w:szCs w:val="21"/>
                      </w:rPr>
                    </w:pPr>
                    <w:r>
                      <w:t>2,752,496,356</w:t>
                    </w:r>
                  </w:p>
                </w:tc>
                <w:tc>
                  <w:tcPr>
                    <w:tcW w:w="1333"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jc w:val="right"/>
                      <w:rPr>
                        <w:szCs w:val="21"/>
                      </w:rPr>
                    </w:pPr>
                    <w:r>
                      <w:t>1,155,118,796</w:t>
                    </w:r>
                  </w:p>
                </w:tc>
              </w:tr>
              <w:tr w:rsidR="00EE0190" w:rsidTr="00601D47">
                <w:sdt>
                  <w:sdtPr>
                    <w:tag w:val="_PLD_935c922a466d49bca2588a3df657e4ff"/>
                    <w:id w:val="-22684573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ind w:firstLineChars="100" w:firstLine="210"/>
                          <w:rPr>
                            <w:szCs w:val="21"/>
                          </w:rPr>
                        </w:pPr>
                        <w:r>
                          <w:rPr>
                            <w:rFonts w:hint="eastAsia"/>
                            <w:szCs w:val="21"/>
                          </w:rPr>
                          <w:t>应交税费</w:t>
                        </w:r>
                      </w:p>
                    </w:tc>
                  </w:sdtContent>
                </w:sdt>
                <w:tc>
                  <w:tcPr>
                    <w:tcW w:w="627" w:type="pct"/>
                    <w:tcBorders>
                      <w:top w:val="outset" w:sz="6" w:space="0" w:color="auto"/>
                      <w:left w:val="outset" w:sz="6" w:space="0" w:color="auto"/>
                      <w:bottom w:val="outset" w:sz="6" w:space="0" w:color="auto"/>
                      <w:right w:val="outset" w:sz="6" w:space="0" w:color="auto"/>
                    </w:tcBorders>
                  </w:tcPr>
                  <w:p w:rsidR="00EE0190" w:rsidRDefault="00EE0190" w:rsidP="00601D4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jc w:val="right"/>
                      <w:rPr>
                        <w:szCs w:val="21"/>
                      </w:rPr>
                    </w:pPr>
                    <w:r>
                      <w:t>246,265,786</w:t>
                    </w:r>
                  </w:p>
                </w:tc>
                <w:tc>
                  <w:tcPr>
                    <w:tcW w:w="1333"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jc w:val="right"/>
                      <w:rPr>
                        <w:szCs w:val="21"/>
                      </w:rPr>
                    </w:pPr>
                    <w:r>
                      <w:t>1,876,199,628</w:t>
                    </w:r>
                  </w:p>
                </w:tc>
              </w:tr>
              <w:tr w:rsidR="00EE0190" w:rsidTr="00601D47">
                <w:sdt>
                  <w:sdtPr>
                    <w:tag w:val="_PLD_f02f4efe981d4cc7a199248496ef0cfc"/>
                    <w:id w:val="-163987024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ind w:firstLineChars="100" w:firstLine="210"/>
                          <w:rPr>
                            <w:szCs w:val="21"/>
                          </w:rPr>
                        </w:pPr>
                        <w:r>
                          <w:rPr>
                            <w:rFonts w:hint="eastAsia"/>
                            <w:szCs w:val="21"/>
                          </w:rPr>
                          <w:t>其他应付款</w:t>
                        </w:r>
                      </w:p>
                    </w:tc>
                  </w:sdtContent>
                </w:sdt>
                <w:tc>
                  <w:tcPr>
                    <w:tcW w:w="627" w:type="pct"/>
                    <w:tcBorders>
                      <w:top w:val="outset" w:sz="6" w:space="0" w:color="auto"/>
                      <w:left w:val="outset" w:sz="6" w:space="0" w:color="auto"/>
                      <w:bottom w:val="outset" w:sz="6" w:space="0" w:color="auto"/>
                      <w:right w:val="outset" w:sz="6" w:space="0" w:color="auto"/>
                    </w:tcBorders>
                  </w:tcPr>
                  <w:p w:rsidR="00EE0190" w:rsidRDefault="00EE0190" w:rsidP="00601D4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jc w:val="right"/>
                      <w:rPr>
                        <w:szCs w:val="21"/>
                      </w:rPr>
                    </w:pPr>
                    <w:r>
                      <w:t>7,893,752,507</w:t>
                    </w:r>
                  </w:p>
                </w:tc>
                <w:tc>
                  <w:tcPr>
                    <w:tcW w:w="1333"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jc w:val="right"/>
                      <w:rPr>
                        <w:szCs w:val="21"/>
                      </w:rPr>
                    </w:pPr>
                    <w:r>
                      <w:t>7,905,944,958</w:t>
                    </w:r>
                  </w:p>
                </w:tc>
              </w:tr>
              <w:tr w:rsidR="00EE0190" w:rsidTr="00601D47">
                <w:sdt>
                  <w:sdtPr>
                    <w:tag w:val="_PLD_0161dbb22db14f948442be20a9cb7560"/>
                    <w:id w:val="31415420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ind w:firstLineChars="100" w:firstLine="210"/>
                          <w:rPr>
                            <w:szCs w:val="21"/>
                          </w:rPr>
                        </w:pPr>
                        <w:r>
                          <w:rPr>
                            <w:rFonts w:hint="eastAsia"/>
                          </w:rPr>
                          <w:t>其中：</w:t>
                        </w:r>
                        <w:r>
                          <w:rPr>
                            <w:rFonts w:hint="eastAsia"/>
                            <w:szCs w:val="21"/>
                          </w:rPr>
                          <w:t>应付利息</w:t>
                        </w:r>
                      </w:p>
                    </w:tc>
                  </w:sdtContent>
                </w:sdt>
                <w:tc>
                  <w:tcPr>
                    <w:tcW w:w="627" w:type="pct"/>
                    <w:tcBorders>
                      <w:top w:val="outset" w:sz="6" w:space="0" w:color="auto"/>
                      <w:left w:val="outset" w:sz="6" w:space="0" w:color="auto"/>
                      <w:bottom w:val="outset" w:sz="6" w:space="0" w:color="auto"/>
                      <w:right w:val="outset" w:sz="6" w:space="0" w:color="auto"/>
                    </w:tcBorders>
                  </w:tcPr>
                  <w:p w:rsidR="00EE0190" w:rsidRDefault="00EE0190" w:rsidP="00601D47">
                    <w:pPr>
                      <w:rPr>
                        <w:szCs w:val="21"/>
                      </w:rPr>
                    </w:pPr>
                  </w:p>
                </w:tc>
                <w:tc>
                  <w:tcPr>
                    <w:tcW w:w="1411" w:type="pct"/>
                    <w:tcBorders>
                      <w:top w:val="outset" w:sz="6" w:space="0" w:color="auto"/>
                      <w:left w:val="outset" w:sz="6" w:space="0" w:color="auto"/>
                      <w:bottom w:val="outset" w:sz="6" w:space="0" w:color="auto"/>
                      <w:right w:val="outset" w:sz="6" w:space="0" w:color="auto"/>
                    </w:tcBorders>
                  </w:tcPr>
                  <w:p w:rsidR="00EE0190" w:rsidRDefault="00EE0190" w:rsidP="00601D47">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EE0190" w:rsidRDefault="00EE0190" w:rsidP="00601D47">
                    <w:pPr>
                      <w:jc w:val="right"/>
                      <w:rPr>
                        <w:szCs w:val="21"/>
                      </w:rPr>
                    </w:pPr>
                  </w:p>
                </w:tc>
              </w:tr>
              <w:tr w:rsidR="00EE0190" w:rsidTr="00601D47">
                <w:sdt>
                  <w:sdtPr>
                    <w:tag w:val="_PLD_8a53dd1ad6c9442495ce7ffefa6805ff"/>
                    <w:id w:val="-107636687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ind w:firstLineChars="400" w:firstLine="840"/>
                          <w:rPr>
                            <w:szCs w:val="21"/>
                          </w:rPr>
                        </w:pPr>
                        <w:r>
                          <w:rPr>
                            <w:rFonts w:hint="eastAsia"/>
                            <w:szCs w:val="21"/>
                          </w:rPr>
                          <w:t>应付股利</w:t>
                        </w:r>
                      </w:p>
                    </w:tc>
                  </w:sdtContent>
                </w:sdt>
                <w:tc>
                  <w:tcPr>
                    <w:tcW w:w="627" w:type="pct"/>
                    <w:tcBorders>
                      <w:top w:val="outset" w:sz="6" w:space="0" w:color="auto"/>
                      <w:left w:val="outset" w:sz="6" w:space="0" w:color="auto"/>
                      <w:bottom w:val="outset" w:sz="6" w:space="0" w:color="auto"/>
                      <w:right w:val="outset" w:sz="6" w:space="0" w:color="auto"/>
                    </w:tcBorders>
                  </w:tcPr>
                  <w:p w:rsidR="00EE0190" w:rsidRDefault="00EE0190" w:rsidP="00601D47">
                    <w:pPr>
                      <w:rPr>
                        <w:szCs w:val="21"/>
                      </w:rPr>
                    </w:pPr>
                  </w:p>
                </w:tc>
                <w:tc>
                  <w:tcPr>
                    <w:tcW w:w="1411" w:type="pct"/>
                    <w:tcBorders>
                      <w:top w:val="outset" w:sz="6" w:space="0" w:color="auto"/>
                      <w:left w:val="outset" w:sz="6" w:space="0" w:color="auto"/>
                      <w:bottom w:val="outset" w:sz="6" w:space="0" w:color="auto"/>
                      <w:right w:val="outset" w:sz="6" w:space="0" w:color="auto"/>
                    </w:tcBorders>
                  </w:tcPr>
                  <w:p w:rsidR="00EE0190" w:rsidRDefault="00EE0190" w:rsidP="00601D47">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EE0190" w:rsidRDefault="00EE0190" w:rsidP="00601D47">
                    <w:pPr>
                      <w:jc w:val="right"/>
                      <w:rPr>
                        <w:szCs w:val="21"/>
                      </w:rPr>
                    </w:pPr>
                  </w:p>
                </w:tc>
              </w:tr>
              <w:tr w:rsidR="00EE0190" w:rsidTr="00601D47">
                <w:sdt>
                  <w:sdtPr>
                    <w:tag w:val="_PLD_a677b14d5dfb4f49b913d8e108884c19"/>
                    <w:id w:val="-23978517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ind w:firstLineChars="100" w:firstLine="210"/>
                          <w:rPr>
                            <w:szCs w:val="21"/>
                          </w:rPr>
                        </w:pPr>
                        <w:r>
                          <w:rPr>
                            <w:rFonts w:hint="eastAsia"/>
                            <w:szCs w:val="21"/>
                          </w:rPr>
                          <w:t>持有待售负债</w:t>
                        </w:r>
                      </w:p>
                    </w:tc>
                  </w:sdtContent>
                </w:sdt>
                <w:tc>
                  <w:tcPr>
                    <w:tcW w:w="627" w:type="pct"/>
                    <w:tcBorders>
                      <w:top w:val="outset" w:sz="6" w:space="0" w:color="auto"/>
                      <w:left w:val="outset" w:sz="6" w:space="0" w:color="auto"/>
                      <w:bottom w:val="outset" w:sz="6" w:space="0" w:color="auto"/>
                      <w:right w:val="outset" w:sz="6" w:space="0" w:color="auto"/>
                    </w:tcBorders>
                  </w:tcPr>
                  <w:p w:rsidR="00EE0190" w:rsidRDefault="00EE0190" w:rsidP="00601D47">
                    <w:pPr>
                      <w:rPr>
                        <w:szCs w:val="21"/>
                      </w:rPr>
                    </w:pPr>
                  </w:p>
                </w:tc>
                <w:tc>
                  <w:tcPr>
                    <w:tcW w:w="1411" w:type="pct"/>
                    <w:tcBorders>
                      <w:top w:val="outset" w:sz="6" w:space="0" w:color="auto"/>
                      <w:left w:val="outset" w:sz="6" w:space="0" w:color="auto"/>
                      <w:bottom w:val="outset" w:sz="6" w:space="0" w:color="auto"/>
                      <w:right w:val="outset" w:sz="6" w:space="0" w:color="auto"/>
                    </w:tcBorders>
                  </w:tcPr>
                  <w:p w:rsidR="00EE0190" w:rsidRDefault="00EE0190" w:rsidP="00601D47">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EE0190" w:rsidRDefault="00EE0190" w:rsidP="00601D47">
                    <w:pPr>
                      <w:jc w:val="right"/>
                      <w:rPr>
                        <w:szCs w:val="21"/>
                      </w:rPr>
                    </w:pPr>
                  </w:p>
                </w:tc>
              </w:tr>
              <w:tr w:rsidR="00EE0190" w:rsidTr="00601D47">
                <w:sdt>
                  <w:sdtPr>
                    <w:tag w:val="_PLD_9675d199fe0e492aaf40ec75faaad4e1"/>
                    <w:id w:val="189854579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ind w:firstLineChars="100" w:firstLine="210"/>
                          <w:rPr>
                            <w:szCs w:val="21"/>
                          </w:rPr>
                        </w:pPr>
                        <w:r>
                          <w:rPr>
                            <w:rFonts w:hint="eastAsia"/>
                            <w:szCs w:val="21"/>
                          </w:rPr>
                          <w:t>一年内到期的非流动负债</w:t>
                        </w:r>
                      </w:p>
                    </w:tc>
                  </w:sdtContent>
                </w:sdt>
                <w:tc>
                  <w:tcPr>
                    <w:tcW w:w="627" w:type="pct"/>
                    <w:tcBorders>
                      <w:top w:val="outset" w:sz="6" w:space="0" w:color="auto"/>
                      <w:left w:val="outset" w:sz="6" w:space="0" w:color="auto"/>
                      <w:bottom w:val="outset" w:sz="6" w:space="0" w:color="auto"/>
                      <w:right w:val="outset" w:sz="6" w:space="0" w:color="auto"/>
                    </w:tcBorders>
                  </w:tcPr>
                  <w:p w:rsidR="00EE0190" w:rsidRDefault="00EE0190" w:rsidP="00601D4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jc w:val="right"/>
                      <w:rPr>
                        <w:szCs w:val="21"/>
                      </w:rPr>
                    </w:pPr>
                    <w:r>
                      <w:t>215,718,862</w:t>
                    </w:r>
                  </w:p>
                </w:tc>
                <w:tc>
                  <w:tcPr>
                    <w:tcW w:w="1333"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jc w:val="right"/>
                      <w:rPr>
                        <w:szCs w:val="21"/>
                      </w:rPr>
                    </w:pPr>
                    <w:r>
                      <w:t>144,967,063</w:t>
                    </w:r>
                  </w:p>
                </w:tc>
              </w:tr>
              <w:tr w:rsidR="00EE0190" w:rsidTr="00601D47">
                <w:sdt>
                  <w:sdtPr>
                    <w:tag w:val="_PLD_13a0b24f045240e2923ed4160e9fa33a"/>
                    <w:id w:val="-89666099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ind w:firstLineChars="100" w:firstLine="210"/>
                          <w:rPr>
                            <w:szCs w:val="21"/>
                          </w:rPr>
                        </w:pPr>
                        <w:r>
                          <w:rPr>
                            <w:rFonts w:hint="eastAsia"/>
                            <w:szCs w:val="21"/>
                          </w:rPr>
                          <w:t>其他流动负债</w:t>
                        </w:r>
                      </w:p>
                    </w:tc>
                  </w:sdtContent>
                </w:sdt>
                <w:tc>
                  <w:tcPr>
                    <w:tcW w:w="627" w:type="pct"/>
                    <w:tcBorders>
                      <w:top w:val="outset" w:sz="6" w:space="0" w:color="auto"/>
                      <w:left w:val="outset" w:sz="6" w:space="0" w:color="auto"/>
                      <w:bottom w:val="outset" w:sz="6" w:space="0" w:color="auto"/>
                      <w:right w:val="outset" w:sz="6" w:space="0" w:color="auto"/>
                    </w:tcBorders>
                  </w:tcPr>
                  <w:p w:rsidR="00EE0190" w:rsidRDefault="00EE0190" w:rsidP="00601D4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jc w:val="right"/>
                      <w:rPr>
                        <w:szCs w:val="21"/>
                      </w:rPr>
                    </w:pPr>
                    <w:r>
                      <w:t>194,465,800</w:t>
                    </w:r>
                  </w:p>
                </w:tc>
                <w:tc>
                  <w:tcPr>
                    <w:tcW w:w="1333"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jc w:val="right"/>
                      <w:rPr>
                        <w:szCs w:val="21"/>
                      </w:rPr>
                    </w:pPr>
                    <w:r>
                      <w:t>152,980,995</w:t>
                    </w:r>
                  </w:p>
                </w:tc>
              </w:tr>
              <w:tr w:rsidR="00EE0190" w:rsidTr="00601D47">
                <w:sdt>
                  <w:sdtPr>
                    <w:tag w:val="_PLD_3fd7f65c982a4798ab78c4c96bca259b"/>
                    <w:id w:val="-81872879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ind w:firstLineChars="200" w:firstLine="420"/>
                          <w:rPr>
                            <w:szCs w:val="21"/>
                          </w:rPr>
                        </w:pPr>
                        <w:r>
                          <w:rPr>
                            <w:rFonts w:hint="eastAsia"/>
                            <w:szCs w:val="21"/>
                          </w:rPr>
                          <w:t>流动负债合计</w:t>
                        </w:r>
                      </w:p>
                    </w:tc>
                  </w:sdtContent>
                </w:sdt>
                <w:tc>
                  <w:tcPr>
                    <w:tcW w:w="627" w:type="pct"/>
                    <w:tcBorders>
                      <w:top w:val="outset" w:sz="6" w:space="0" w:color="auto"/>
                      <w:left w:val="outset" w:sz="6" w:space="0" w:color="auto"/>
                      <w:bottom w:val="outset" w:sz="6" w:space="0" w:color="auto"/>
                      <w:right w:val="outset" w:sz="6" w:space="0" w:color="auto"/>
                    </w:tcBorders>
                  </w:tcPr>
                  <w:p w:rsidR="00EE0190" w:rsidRDefault="00EE0190" w:rsidP="00601D4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jc w:val="right"/>
                      <w:rPr>
                        <w:szCs w:val="21"/>
                      </w:rPr>
                    </w:pPr>
                    <w:r>
                      <w:t>18,907,884,637</w:t>
                    </w:r>
                  </w:p>
                </w:tc>
                <w:tc>
                  <w:tcPr>
                    <w:tcW w:w="1333"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jc w:val="right"/>
                      <w:rPr>
                        <w:szCs w:val="21"/>
                      </w:rPr>
                    </w:pPr>
                    <w:r>
                      <w:t>18,614,638,090</w:t>
                    </w:r>
                  </w:p>
                </w:tc>
              </w:tr>
              <w:tr w:rsidR="00EE0190" w:rsidTr="00601D47">
                <w:sdt>
                  <w:sdtPr>
                    <w:tag w:val="_PLD_5a8813ff8c984fc28cd8ddc8db922fd5"/>
                    <w:id w:val="338904964"/>
                    <w:lock w:val="sdtLocked"/>
                  </w:sdtPr>
                  <w:sdtContent>
                    <w:tc>
                      <w:tcPr>
                        <w:tcW w:w="5000" w:type="pct"/>
                        <w:gridSpan w:val="4"/>
                        <w:tcBorders>
                          <w:top w:val="outset" w:sz="6" w:space="0" w:color="auto"/>
                          <w:left w:val="outset" w:sz="6" w:space="0" w:color="auto"/>
                          <w:bottom w:val="outset" w:sz="6" w:space="0" w:color="auto"/>
                          <w:right w:val="outset" w:sz="6" w:space="0" w:color="auto"/>
                        </w:tcBorders>
                        <w:vAlign w:val="center"/>
                      </w:tcPr>
                      <w:p w:rsidR="00EE0190" w:rsidRDefault="00EE0190" w:rsidP="00601D47">
                        <w:pPr>
                          <w:rPr>
                            <w:color w:val="008000"/>
                            <w:szCs w:val="21"/>
                          </w:rPr>
                        </w:pPr>
                        <w:r>
                          <w:rPr>
                            <w:rFonts w:hint="eastAsia"/>
                            <w:b/>
                            <w:bCs/>
                            <w:szCs w:val="21"/>
                          </w:rPr>
                          <w:t>非流动负债：</w:t>
                        </w:r>
                      </w:p>
                    </w:tc>
                  </w:sdtContent>
                </w:sdt>
              </w:tr>
              <w:tr w:rsidR="00EE0190" w:rsidTr="00601D47">
                <w:sdt>
                  <w:sdtPr>
                    <w:tag w:val="_PLD_2e0282c784d54804a2dfa4e9925d9afe"/>
                    <w:id w:val="-39982376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ind w:firstLineChars="100" w:firstLine="210"/>
                          <w:rPr>
                            <w:szCs w:val="21"/>
                          </w:rPr>
                        </w:pPr>
                        <w:r>
                          <w:rPr>
                            <w:rFonts w:hint="eastAsia"/>
                            <w:szCs w:val="21"/>
                          </w:rPr>
                          <w:t>长期借款</w:t>
                        </w:r>
                      </w:p>
                    </w:tc>
                  </w:sdtContent>
                </w:sdt>
                <w:tc>
                  <w:tcPr>
                    <w:tcW w:w="627" w:type="pct"/>
                    <w:tcBorders>
                      <w:top w:val="outset" w:sz="6" w:space="0" w:color="auto"/>
                      <w:left w:val="outset" w:sz="6" w:space="0" w:color="auto"/>
                      <w:bottom w:val="outset" w:sz="6" w:space="0" w:color="auto"/>
                      <w:right w:val="outset" w:sz="6" w:space="0" w:color="auto"/>
                    </w:tcBorders>
                  </w:tcPr>
                  <w:p w:rsidR="00EE0190" w:rsidRDefault="00EE0190" w:rsidP="00601D47">
                    <w:pPr>
                      <w:rPr>
                        <w:szCs w:val="21"/>
                      </w:rPr>
                    </w:pPr>
                  </w:p>
                </w:tc>
                <w:tc>
                  <w:tcPr>
                    <w:tcW w:w="1411" w:type="pct"/>
                    <w:tcBorders>
                      <w:top w:val="outset" w:sz="6" w:space="0" w:color="auto"/>
                      <w:left w:val="outset" w:sz="6" w:space="0" w:color="auto"/>
                      <w:bottom w:val="outset" w:sz="6" w:space="0" w:color="auto"/>
                      <w:right w:val="outset" w:sz="6" w:space="0" w:color="auto"/>
                    </w:tcBorders>
                  </w:tcPr>
                  <w:p w:rsidR="00EE0190" w:rsidRDefault="00EE0190" w:rsidP="00601D47">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EE0190" w:rsidRDefault="00EE0190" w:rsidP="00601D47">
                    <w:pPr>
                      <w:jc w:val="right"/>
                      <w:rPr>
                        <w:szCs w:val="21"/>
                      </w:rPr>
                    </w:pPr>
                  </w:p>
                </w:tc>
              </w:tr>
              <w:tr w:rsidR="00EE0190" w:rsidTr="00601D47">
                <w:sdt>
                  <w:sdtPr>
                    <w:tag w:val="_PLD_0ae799b0dff445c3a478e783ee4f3f9e"/>
                    <w:id w:val="51843450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ind w:firstLineChars="100" w:firstLine="210"/>
                          <w:rPr>
                            <w:szCs w:val="21"/>
                          </w:rPr>
                        </w:pPr>
                        <w:r>
                          <w:rPr>
                            <w:rFonts w:hint="eastAsia"/>
                            <w:szCs w:val="21"/>
                          </w:rPr>
                          <w:t>应付债券</w:t>
                        </w:r>
                      </w:p>
                    </w:tc>
                  </w:sdtContent>
                </w:sdt>
                <w:tc>
                  <w:tcPr>
                    <w:tcW w:w="627" w:type="pct"/>
                    <w:tcBorders>
                      <w:top w:val="outset" w:sz="6" w:space="0" w:color="auto"/>
                      <w:left w:val="outset" w:sz="6" w:space="0" w:color="auto"/>
                      <w:bottom w:val="outset" w:sz="6" w:space="0" w:color="auto"/>
                      <w:right w:val="outset" w:sz="6" w:space="0" w:color="auto"/>
                    </w:tcBorders>
                  </w:tcPr>
                  <w:p w:rsidR="00EE0190" w:rsidRDefault="00EE0190" w:rsidP="00601D4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jc w:val="right"/>
                      <w:rPr>
                        <w:szCs w:val="21"/>
                      </w:rPr>
                    </w:pPr>
                    <w:r>
                      <w:t>30,227,177,413</w:t>
                    </w:r>
                  </w:p>
                </w:tc>
                <w:tc>
                  <w:tcPr>
                    <w:tcW w:w="1333"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jc w:val="right"/>
                      <w:rPr>
                        <w:szCs w:val="21"/>
                      </w:rPr>
                    </w:pPr>
                    <w:r>
                      <w:t>29,570,023,092</w:t>
                    </w:r>
                  </w:p>
                </w:tc>
              </w:tr>
              <w:tr w:rsidR="00EE0190" w:rsidTr="00601D47">
                <w:sdt>
                  <w:sdtPr>
                    <w:tag w:val="_PLD_bb4a6077b70544e7a4e39bfdf816276d"/>
                    <w:id w:val="162905424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ind w:firstLineChars="100" w:firstLine="210"/>
                          <w:rPr>
                            <w:szCs w:val="21"/>
                          </w:rPr>
                        </w:pPr>
                        <w:r>
                          <w:rPr>
                            <w:rFonts w:hint="eastAsia"/>
                            <w:szCs w:val="21"/>
                          </w:rPr>
                          <w:t>其中：优先股</w:t>
                        </w:r>
                      </w:p>
                    </w:tc>
                  </w:sdtContent>
                </w:sdt>
                <w:tc>
                  <w:tcPr>
                    <w:tcW w:w="627" w:type="pct"/>
                    <w:tcBorders>
                      <w:top w:val="outset" w:sz="6" w:space="0" w:color="auto"/>
                      <w:left w:val="outset" w:sz="6" w:space="0" w:color="auto"/>
                      <w:bottom w:val="outset" w:sz="6" w:space="0" w:color="auto"/>
                      <w:right w:val="outset" w:sz="6" w:space="0" w:color="auto"/>
                    </w:tcBorders>
                  </w:tcPr>
                  <w:p w:rsidR="00EE0190" w:rsidRDefault="00EE0190" w:rsidP="00601D47">
                    <w:pPr>
                      <w:rPr>
                        <w:szCs w:val="21"/>
                      </w:rPr>
                    </w:pPr>
                  </w:p>
                </w:tc>
                <w:tc>
                  <w:tcPr>
                    <w:tcW w:w="1411" w:type="pct"/>
                    <w:tcBorders>
                      <w:top w:val="outset" w:sz="6" w:space="0" w:color="auto"/>
                      <w:left w:val="outset" w:sz="6" w:space="0" w:color="auto"/>
                      <w:bottom w:val="outset" w:sz="6" w:space="0" w:color="auto"/>
                      <w:right w:val="outset" w:sz="6" w:space="0" w:color="auto"/>
                    </w:tcBorders>
                  </w:tcPr>
                  <w:p w:rsidR="00EE0190" w:rsidRDefault="00EE0190" w:rsidP="00601D47">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EE0190" w:rsidRDefault="00EE0190" w:rsidP="00601D47">
                    <w:pPr>
                      <w:jc w:val="right"/>
                      <w:rPr>
                        <w:szCs w:val="21"/>
                      </w:rPr>
                    </w:pPr>
                  </w:p>
                </w:tc>
              </w:tr>
              <w:tr w:rsidR="00EE0190" w:rsidTr="00601D47">
                <w:sdt>
                  <w:sdtPr>
                    <w:tag w:val="_PLD_3ceecad9adf14214acac7ec3ed737706"/>
                    <w:id w:val="171365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ind w:leftChars="300" w:left="630" w:firstLineChars="100" w:firstLine="210"/>
                          <w:rPr>
                            <w:szCs w:val="21"/>
                          </w:rPr>
                        </w:pPr>
                        <w:r>
                          <w:rPr>
                            <w:rFonts w:hint="eastAsia"/>
                            <w:szCs w:val="21"/>
                          </w:rPr>
                          <w:t>永续债</w:t>
                        </w:r>
                      </w:p>
                    </w:tc>
                  </w:sdtContent>
                </w:sdt>
                <w:tc>
                  <w:tcPr>
                    <w:tcW w:w="627" w:type="pct"/>
                    <w:tcBorders>
                      <w:top w:val="outset" w:sz="6" w:space="0" w:color="auto"/>
                      <w:left w:val="outset" w:sz="6" w:space="0" w:color="auto"/>
                      <w:bottom w:val="outset" w:sz="6" w:space="0" w:color="auto"/>
                      <w:right w:val="outset" w:sz="6" w:space="0" w:color="auto"/>
                    </w:tcBorders>
                  </w:tcPr>
                  <w:p w:rsidR="00EE0190" w:rsidRDefault="00EE0190" w:rsidP="00601D47">
                    <w:pPr>
                      <w:rPr>
                        <w:szCs w:val="21"/>
                      </w:rPr>
                    </w:pPr>
                  </w:p>
                </w:tc>
                <w:tc>
                  <w:tcPr>
                    <w:tcW w:w="1411" w:type="pct"/>
                    <w:tcBorders>
                      <w:top w:val="outset" w:sz="6" w:space="0" w:color="auto"/>
                      <w:left w:val="outset" w:sz="6" w:space="0" w:color="auto"/>
                      <w:bottom w:val="outset" w:sz="6" w:space="0" w:color="auto"/>
                      <w:right w:val="outset" w:sz="6" w:space="0" w:color="auto"/>
                    </w:tcBorders>
                  </w:tcPr>
                  <w:p w:rsidR="00EE0190" w:rsidRDefault="00EE0190" w:rsidP="00601D47">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EE0190" w:rsidRDefault="00EE0190" w:rsidP="00601D47">
                    <w:pPr>
                      <w:jc w:val="right"/>
                      <w:rPr>
                        <w:szCs w:val="21"/>
                      </w:rPr>
                    </w:pPr>
                  </w:p>
                </w:tc>
              </w:tr>
              <w:tr w:rsidR="00EE0190" w:rsidTr="00601D47">
                <w:sdt>
                  <w:sdtPr>
                    <w:tag w:val="_PLD_501068eac65e44ee9de601b753837ef7"/>
                    <w:id w:val="141081105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ind w:firstLineChars="100" w:firstLine="210"/>
                        </w:pPr>
                        <w:r>
                          <w:rPr>
                            <w:rFonts w:hint="eastAsia"/>
                          </w:rPr>
                          <w:t>租赁负债</w:t>
                        </w:r>
                      </w:p>
                    </w:tc>
                  </w:sdtContent>
                </w:sdt>
                <w:tc>
                  <w:tcPr>
                    <w:tcW w:w="627" w:type="pct"/>
                    <w:tcBorders>
                      <w:top w:val="outset" w:sz="6" w:space="0" w:color="auto"/>
                      <w:left w:val="outset" w:sz="6" w:space="0" w:color="auto"/>
                      <w:bottom w:val="outset" w:sz="6" w:space="0" w:color="auto"/>
                      <w:right w:val="outset" w:sz="6" w:space="0" w:color="auto"/>
                    </w:tcBorders>
                  </w:tcPr>
                  <w:p w:rsidR="00EE0190" w:rsidRDefault="00EE0190" w:rsidP="00601D4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jc w:val="right"/>
                      <w:rPr>
                        <w:szCs w:val="21"/>
                      </w:rPr>
                    </w:pPr>
                    <w:r>
                      <w:t>581,191,739</w:t>
                    </w:r>
                  </w:p>
                </w:tc>
                <w:tc>
                  <w:tcPr>
                    <w:tcW w:w="1333"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jc w:val="right"/>
                      <w:rPr>
                        <w:szCs w:val="21"/>
                      </w:rPr>
                    </w:pPr>
                    <w:r>
                      <w:t>775,537,436</w:t>
                    </w:r>
                  </w:p>
                </w:tc>
              </w:tr>
              <w:tr w:rsidR="00EE0190" w:rsidTr="00601D47">
                <w:sdt>
                  <w:sdtPr>
                    <w:tag w:val="_PLD_06a145958be247a08fdc6e7f0f63b273"/>
                    <w:id w:val="-174039337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ind w:firstLineChars="100" w:firstLine="210"/>
                          <w:rPr>
                            <w:szCs w:val="21"/>
                          </w:rPr>
                        </w:pPr>
                        <w:r>
                          <w:rPr>
                            <w:rFonts w:hint="eastAsia"/>
                            <w:szCs w:val="21"/>
                          </w:rPr>
                          <w:t>长期应付款</w:t>
                        </w:r>
                      </w:p>
                    </w:tc>
                  </w:sdtContent>
                </w:sdt>
                <w:tc>
                  <w:tcPr>
                    <w:tcW w:w="627" w:type="pct"/>
                    <w:tcBorders>
                      <w:top w:val="outset" w:sz="6" w:space="0" w:color="auto"/>
                      <w:left w:val="outset" w:sz="6" w:space="0" w:color="auto"/>
                      <w:bottom w:val="outset" w:sz="6" w:space="0" w:color="auto"/>
                      <w:right w:val="outset" w:sz="6" w:space="0" w:color="auto"/>
                    </w:tcBorders>
                  </w:tcPr>
                  <w:p w:rsidR="00EE0190" w:rsidRDefault="00EE0190" w:rsidP="00601D4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jc w:val="right"/>
                      <w:rPr>
                        <w:szCs w:val="21"/>
                      </w:rPr>
                    </w:pPr>
                    <w:r>
                      <w:t>62,719,922</w:t>
                    </w:r>
                  </w:p>
                </w:tc>
                <w:tc>
                  <w:tcPr>
                    <w:tcW w:w="1333"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jc w:val="right"/>
                      <w:rPr>
                        <w:szCs w:val="21"/>
                      </w:rPr>
                    </w:pPr>
                    <w:r>
                      <w:t>60,843,745</w:t>
                    </w:r>
                  </w:p>
                </w:tc>
              </w:tr>
              <w:tr w:rsidR="00EE0190" w:rsidTr="00601D47">
                <w:sdt>
                  <w:sdtPr>
                    <w:tag w:val="_PLD_20963e088d2245618d3ffc26fa9883f9"/>
                    <w:id w:val="-1717191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ind w:firstLineChars="100" w:firstLine="210"/>
                          <w:rPr>
                            <w:szCs w:val="21"/>
                          </w:rPr>
                        </w:pPr>
                        <w:r>
                          <w:rPr>
                            <w:rFonts w:hint="eastAsia"/>
                            <w:szCs w:val="21"/>
                          </w:rPr>
                          <w:t>长期应付职工薪酬</w:t>
                        </w:r>
                      </w:p>
                    </w:tc>
                  </w:sdtContent>
                </w:sdt>
                <w:tc>
                  <w:tcPr>
                    <w:tcW w:w="627" w:type="pct"/>
                    <w:tcBorders>
                      <w:top w:val="outset" w:sz="6" w:space="0" w:color="auto"/>
                      <w:left w:val="outset" w:sz="6" w:space="0" w:color="auto"/>
                      <w:bottom w:val="outset" w:sz="6" w:space="0" w:color="auto"/>
                      <w:right w:val="outset" w:sz="6" w:space="0" w:color="auto"/>
                    </w:tcBorders>
                  </w:tcPr>
                  <w:p w:rsidR="00EE0190" w:rsidRDefault="00EE0190" w:rsidP="00601D4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jc w:val="right"/>
                      <w:rPr>
                        <w:szCs w:val="21"/>
                      </w:rPr>
                    </w:pPr>
                    <w:r>
                      <w:t>2,106,797,022</w:t>
                    </w:r>
                  </w:p>
                </w:tc>
                <w:tc>
                  <w:tcPr>
                    <w:tcW w:w="1333"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jc w:val="right"/>
                      <w:rPr>
                        <w:szCs w:val="21"/>
                      </w:rPr>
                    </w:pPr>
                    <w:r>
                      <w:t>2,090,678,396</w:t>
                    </w:r>
                  </w:p>
                </w:tc>
              </w:tr>
              <w:tr w:rsidR="00EE0190" w:rsidTr="00601D47">
                <w:sdt>
                  <w:sdtPr>
                    <w:tag w:val="_PLD_110dc5a4f7b24db5ad8af5cfde236424"/>
                    <w:id w:val="-175990453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ind w:firstLineChars="100" w:firstLine="210"/>
                          <w:rPr>
                            <w:szCs w:val="21"/>
                          </w:rPr>
                        </w:pPr>
                        <w:r>
                          <w:rPr>
                            <w:rFonts w:hint="eastAsia"/>
                            <w:szCs w:val="21"/>
                          </w:rPr>
                          <w:t>预计负债</w:t>
                        </w:r>
                      </w:p>
                    </w:tc>
                  </w:sdtContent>
                </w:sdt>
                <w:tc>
                  <w:tcPr>
                    <w:tcW w:w="627" w:type="pct"/>
                    <w:tcBorders>
                      <w:top w:val="outset" w:sz="6" w:space="0" w:color="auto"/>
                      <w:left w:val="outset" w:sz="6" w:space="0" w:color="auto"/>
                      <w:bottom w:val="outset" w:sz="6" w:space="0" w:color="auto"/>
                      <w:right w:val="outset" w:sz="6" w:space="0" w:color="auto"/>
                    </w:tcBorders>
                  </w:tcPr>
                  <w:p w:rsidR="00EE0190" w:rsidRDefault="00EE0190" w:rsidP="00601D47">
                    <w:pPr>
                      <w:rPr>
                        <w:szCs w:val="21"/>
                      </w:rPr>
                    </w:pPr>
                  </w:p>
                </w:tc>
                <w:tc>
                  <w:tcPr>
                    <w:tcW w:w="1411" w:type="pct"/>
                    <w:tcBorders>
                      <w:top w:val="outset" w:sz="6" w:space="0" w:color="auto"/>
                      <w:left w:val="outset" w:sz="6" w:space="0" w:color="auto"/>
                      <w:bottom w:val="outset" w:sz="6" w:space="0" w:color="auto"/>
                      <w:right w:val="outset" w:sz="6" w:space="0" w:color="auto"/>
                    </w:tcBorders>
                  </w:tcPr>
                  <w:p w:rsidR="00EE0190" w:rsidRDefault="00EE0190" w:rsidP="00601D47">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EE0190" w:rsidRDefault="00EE0190" w:rsidP="00601D47">
                    <w:pPr>
                      <w:jc w:val="right"/>
                      <w:rPr>
                        <w:szCs w:val="21"/>
                      </w:rPr>
                    </w:pPr>
                  </w:p>
                </w:tc>
              </w:tr>
              <w:tr w:rsidR="00EE0190" w:rsidTr="00601D47">
                <w:sdt>
                  <w:sdtPr>
                    <w:tag w:val="_PLD_307466d2bbac46bab85228947866f5cd"/>
                    <w:id w:val="122525218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ind w:firstLineChars="100" w:firstLine="210"/>
                          <w:rPr>
                            <w:szCs w:val="21"/>
                          </w:rPr>
                        </w:pPr>
                        <w:r>
                          <w:rPr>
                            <w:rFonts w:hint="eastAsia"/>
                            <w:szCs w:val="21"/>
                          </w:rPr>
                          <w:t>递延收益</w:t>
                        </w:r>
                      </w:p>
                    </w:tc>
                  </w:sdtContent>
                </w:sdt>
                <w:tc>
                  <w:tcPr>
                    <w:tcW w:w="627" w:type="pct"/>
                    <w:tcBorders>
                      <w:top w:val="outset" w:sz="6" w:space="0" w:color="auto"/>
                      <w:left w:val="outset" w:sz="6" w:space="0" w:color="auto"/>
                      <w:bottom w:val="outset" w:sz="6" w:space="0" w:color="auto"/>
                      <w:right w:val="outset" w:sz="6" w:space="0" w:color="auto"/>
                    </w:tcBorders>
                  </w:tcPr>
                  <w:p w:rsidR="00EE0190" w:rsidRDefault="00EE0190" w:rsidP="00601D4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jc w:val="right"/>
                      <w:rPr>
                        <w:szCs w:val="21"/>
                      </w:rPr>
                    </w:pPr>
                    <w:r>
                      <w:t>73,172,651</w:t>
                    </w:r>
                  </w:p>
                </w:tc>
                <w:tc>
                  <w:tcPr>
                    <w:tcW w:w="1333"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jc w:val="right"/>
                      <w:rPr>
                        <w:szCs w:val="21"/>
                      </w:rPr>
                    </w:pPr>
                    <w:r>
                      <w:t>57,755,045</w:t>
                    </w:r>
                  </w:p>
                </w:tc>
              </w:tr>
              <w:tr w:rsidR="00EE0190" w:rsidTr="00601D47">
                <w:sdt>
                  <w:sdtPr>
                    <w:tag w:val="_PLD_f51ba055bf4b48cbbc6b2d3529dff76a"/>
                    <w:id w:val="-58045449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ind w:firstLineChars="100" w:firstLine="210"/>
                          <w:rPr>
                            <w:szCs w:val="21"/>
                          </w:rPr>
                        </w:pPr>
                        <w:r>
                          <w:rPr>
                            <w:rFonts w:hint="eastAsia"/>
                            <w:szCs w:val="21"/>
                          </w:rPr>
                          <w:t>递延所得税负债</w:t>
                        </w:r>
                      </w:p>
                    </w:tc>
                  </w:sdtContent>
                </w:sdt>
                <w:tc>
                  <w:tcPr>
                    <w:tcW w:w="627" w:type="pct"/>
                    <w:tcBorders>
                      <w:top w:val="outset" w:sz="6" w:space="0" w:color="auto"/>
                      <w:left w:val="outset" w:sz="6" w:space="0" w:color="auto"/>
                      <w:bottom w:val="outset" w:sz="6" w:space="0" w:color="auto"/>
                      <w:right w:val="outset" w:sz="6" w:space="0" w:color="auto"/>
                    </w:tcBorders>
                  </w:tcPr>
                  <w:p w:rsidR="00EE0190" w:rsidRDefault="00EE0190" w:rsidP="00601D47">
                    <w:pPr>
                      <w:rPr>
                        <w:szCs w:val="21"/>
                      </w:rPr>
                    </w:pPr>
                  </w:p>
                </w:tc>
                <w:tc>
                  <w:tcPr>
                    <w:tcW w:w="1411" w:type="pct"/>
                    <w:tcBorders>
                      <w:top w:val="outset" w:sz="6" w:space="0" w:color="auto"/>
                      <w:left w:val="outset" w:sz="6" w:space="0" w:color="auto"/>
                      <w:bottom w:val="outset" w:sz="6" w:space="0" w:color="auto"/>
                      <w:right w:val="outset" w:sz="6" w:space="0" w:color="auto"/>
                    </w:tcBorders>
                  </w:tcPr>
                  <w:p w:rsidR="00EE0190" w:rsidRDefault="00EE0190" w:rsidP="00601D47">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EE0190" w:rsidRDefault="00EE0190" w:rsidP="00601D47">
                    <w:pPr>
                      <w:jc w:val="right"/>
                      <w:rPr>
                        <w:szCs w:val="21"/>
                      </w:rPr>
                    </w:pPr>
                  </w:p>
                </w:tc>
              </w:tr>
              <w:tr w:rsidR="00EE0190" w:rsidTr="00601D47">
                <w:sdt>
                  <w:sdtPr>
                    <w:tag w:val="_PLD_f9c66d05b874491c8299e3ff5fdd1849"/>
                    <w:id w:val="-96842418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ind w:firstLineChars="100" w:firstLine="210"/>
                          <w:rPr>
                            <w:szCs w:val="21"/>
                          </w:rPr>
                        </w:pPr>
                        <w:r>
                          <w:rPr>
                            <w:rFonts w:hint="eastAsia"/>
                            <w:szCs w:val="21"/>
                          </w:rPr>
                          <w:t>其他非流动负债</w:t>
                        </w:r>
                      </w:p>
                    </w:tc>
                  </w:sdtContent>
                </w:sdt>
                <w:tc>
                  <w:tcPr>
                    <w:tcW w:w="627" w:type="pct"/>
                    <w:tcBorders>
                      <w:top w:val="outset" w:sz="6" w:space="0" w:color="auto"/>
                      <w:left w:val="outset" w:sz="6" w:space="0" w:color="auto"/>
                      <w:bottom w:val="outset" w:sz="6" w:space="0" w:color="auto"/>
                      <w:right w:val="outset" w:sz="6" w:space="0" w:color="auto"/>
                    </w:tcBorders>
                  </w:tcPr>
                  <w:p w:rsidR="00EE0190" w:rsidRDefault="00EE0190" w:rsidP="00601D47">
                    <w:pPr>
                      <w:rPr>
                        <w:szCs w:val="21"/>
                      </w:rPr>
                    </w:pPr>
                  </w:p>
                </w:tc>
                <w:tc>
                  <w:tcPr>
                    <w:tcW w:w="1411" w:type="pct"/>
                    <w:tcBorders>
                      <w:top w:val="outset" w:sz="6" w:space="0" w:color="auto"/>
                      <w:left w:val="outset" w:sz="6" w:space="0" w:color="auto"/>
                      <w:bottom w:val="outset" w:sz="6" w:space="0" w:color="auto"/>
                      <w:right w:val="outset" w:sz="6" w:space="0" w:color="auto"/>
                    </w:tcBorders>
                  </w:tcPr>
                  <w:p w:rsidR="00EE0190" w:rsidRDefault="00EE0190" w:rsidP="00601D47">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EE0190" w:rsidRDefault="00EE0190" w:rsidP="00601D47">
                    <w:pPr>
                      <w:jc w:val="right"/>
                      <w:rPr>
                        <w:szCs w:val="21"/>
                      </w:rPr>
                    </w:pPr>
                  </w:p>
                </w:tc>
              </w:tr>
              <w:tr w:rsidR="00EE0190" w:rsidTr="00601D47">
                <w:sdt>
                  <w:sdtPr>
                    <w:tag w:val="_PLD_dff50edaca4a433a80d841b668c2b903"/>
                    <w:id w:val="-52917865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ind w:firstLineChars="200" w:firstLine="420"/>
                          <w:rPr>
                            <w:szCs w:val="21"/>
                          </w:rPr>
                        </w:pPr>
                        <w:r>
                          <w:rPr>
                            <w:rFonts w:hint="eastAsia"/>
                            <w:szCs w:val="21"/>
                          </w:rPr>
                          <w:t>非流动负债合计</w:t>
                        </w:r>
                      </w:p>
                    </w:tc>
                  </w:sdtContent>
                </w:sdt>
                <w:tc>
                  <w:tcPr>
                    <w:tcW w:w="627" w:type="pct"/>
                    <w:tcBorders>
                      <w:top w:val="outset" w:sz="6" w:space="0" w:color="auto"/>
                      <w:left w:val="outset" w:sz="6" w:space="0" w:color="auto"/>
                      <w:bottom w:val="outset" w:sz="6" w:space="0" w:color="auto"/>
                      <w:right w:val="outset" w:sz="6" w:space="0" w:color="auto"/>
                    </w:tcBorders>
                  </w:tcPr>
                  <w:p w:rsidR="00EE0190" w:rsidRDefault="00EE0190" w:rsidP="00601D4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jc w:val="right"/>
                      <w:rPr>
                        <w:szCs w:val="21"/>
                      </w:rPr>
                    </w:pPr>
                    <w:r>
                      <w:t>33,051,058,747</w:t>
                    </w:r>
                  </w:p>
                </w:tc>
                <w:tc>
                  <w:tcPr>
                    <w:tcW w:w="1333"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jc w:val="right"/>
                      <w:rPr>
                        <w:szCs w:val="21"/>
                      </w:rPr>
                    </w:pPr>
                    <w:r>
                      <w:t>32,554,837,714</w:t>
                    </w:r>
                  </w:p>
                </w:tc>
              </w:tr>
              <w:tr w:rsidR="00EE0190" w:rsidTr="00601D47">
                <w:sdt>
                  <w:sdtPr>
                    <w:tag w:val="_PLD_d6978d2b345644869dabfa9f7bb25d9b"/>
                    <w:id w:val="-48308713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ind w:firstLineChars="300" w:firstLine="630"/>
                          <w:rPr>
                            <w:szCs w:val="21"/>
                          </w:rPr>
                        </w:pPr>
                        <w:r>
                          <w:rPr>
                            <w:rFonts w:hint="eastAsia"/>
                            <w:szCs w:val="21"/>
                          </w:rPr>
                          <w:t>负债合计</w:t>
                        </w:r>
                      </w:p>
                    </w:tc>
                  </w:sdtContent>
                </w:sdt>
                <w:tc>
                  <w:tcPr>
                    <w:tcW w:w="627" w:type="pct"/>
                    <w:tcBorders>
                      <w:top w:val="outset" w:sz="6" w:space="0" w:color="auto"/>
                      <w:left w:val="outset" w:sz="6" w:space="0" w:color="auto"/>
                      <w:bottom w:val="outset" w:sz="6" w:space="0" w:color="auto"/>
                      <w:right w:val="outset" w:sz="6" w:space="0" w:color="auto"/>
                    </w:tcBorders>
                  </w:tcPr>
                  <w:p w:rsidR="00EE0190" w:rsidRDefault="00EE0190" w:rsidP="00601D4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jc w:val="right"/>
                      <w:rPr>
                        <w:szCs w:val="21"/>
                      </w:rPr>
                    </w:pPr>
                    <w:r>
                      <w:t>51,958,943,384</w:t>
                    </w:r>
                  </w:p>
                </w:tc>
                <w:tc>
                  <w:tcPr>
                    <w:tcW w:w="1333"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jc w:val="right"/>
                      <w:rPr>
                        <w:szCs w:val="21"/>
                      </w:rPr>
                    </w:pPr>
                    <w:r>
                      <w:t>51,169,475,804</w:t>
                    </w:r>
                  </w:p>
                </w:tc>
              </w:tr>
              <w:tr w:rsidR="00EE0190" w:rsidTr="00601D47">
                <w:sdt>
                  <w:sdtPr>
                    <w:tag w:val="_PLD_7ccfdb4b1195457b8de4211feea2cac2"/>
                    <w:id w:val="-231161312"/>
                    <w:lock w:val="sdtLocked"/>
                  </w:sdtPr>
                  <w:sdtContent>
                    <w:tc>
                      <w:tcPr>
                        <w:tcW w:w="5000" w:type="pct"/>
                        <w:gridSpan w:val="4"/>
                        <w:tcBorders>
                          <w:top w:val="outset" w:sz="6" w:space="0" w:color="auto"/>
                          <w:left w:val="outset" w:sz="6" w:space="0" w:color="auto"/>
                          <w:bottom w:val="outset" w:sz="6" w:space="0" w:color="auto"/>
                          <w:right w:val="outset" w:sz="6" w:space="0" w:color="auto"/>
                        </w:tcBorders>
                        <w:vAlign w:val="center"/>
                      </w:tcPr>
                      <w:p w:rsidR="00EE0190" w:rsidRDefault="00EE0190" w:rsidP="00601D47">
                        <w:pPr>
                          <w:rPr>
                            <w:color w:val="008000"/>
                            <w:szCs w:val="21"/>
                          </w:rPr>
                        </w:pPr>
                        <w:r>
                          <w:rPr>
                            <w:rFonts w:hint="eastAsia"/>
                            <w:b/>
                            <w:bCs/>
                            <w:szCs w:val="21"/>
                          </w:rPr>
                          <w:t>所有者权益（或股东权益）：</w:t>
                        </w:r>
                      </w:p>
                    </w:tc>
                  </w:sdtContent>
                </w:sdt>
              </w:tr>
              <w:tr w:rsidR="00EE0190" w:rsidTr="00601D47">
                <w:sdt>
                  <w:sdtPr>
                    <w:tag w:val="_PLD_3544e3178d134ee6949062f2fc4fe109"/>
                    <w:id w:val="-118613650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ind w:firstLineChars="100" w:firstLine="210"/>
                          <w:rPr>
                            <w:szCs w:val="21"/>
                          </w:rPr>
                        </w:pPr>
                        <w:r>
                          <w:rPr>
                            <w:rFonts w:hint="eastAsia"/>
                            <w:szCs w:val="21"/>
                          </w:rPr>
                          <w:t>实收资本（或股本）</w:t>
                        </w:r>
                      </w:p>
                    </w:tc>
                  </w:sdtContent>
                </w:sdt>
                <w:tc>
                  <w:tcPr>
                    <w:tcW w:w="627" w:type="pct"/>
                    <w:tcBorders>
                      <w:top w:val="outset" w:sz="6" w:space="0" w:color="auto"/>
                      <w:left w:val="outset" w:sz="6" w:space="0" w:color="auto"/>
                      <w:bottom w:val="outset" w:sz="6" w:space="0" w:color="auto"/>
                      <w:right w:val="outset" w:sz="6" w:space="0" w:color="auto"/>
                    </w:tcBorders>
                  </w:tcPr>
                  <w:p w:rsidR="00EE0190" w:rsidRDefault="00EE0190" w:rsidP="00601D4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jc w:val="right"/>
                      <w:rPr>
                        <w:szCs w:val="21"/>
                      </w:rPr>
                    </w:pPr>
                    <w:r>
                      <w:t>14,866,945,907</w:t>
                    </w:r>
                  </w:p>
                </w:tc>
                <w:tc>
                  <w:tcPr>
                    <w:tcW w:w="1333"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jc w:val="right"/>
                      <w:rPr>
                        <w:szCs w:val="21"/>
                      </w:rPr>
                    </w:pPr>
                    <w:r>
                      <w:t>14,866,908,025</w:t>
                    </w:r>
                  </w:p>
                </w:tc>
              </w:tr>
              <w:tr w:rsidR="00EE0190" w:rsidTr="00601D47">
                <w:sdt>
                  <w:sdtPr>
                    <w:tag w:val="_PLD_1f06d5e3f1514521a81034bd8123884c"/>
                    <w:id w:val="71093527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ind w:firstLineChars="100" w:firstLine="210"/>
                          <w:rPr>
                            <w:szCs w:val="21"/>
                          </w:rPr>
                        </w:pPr>
                        <w:r>
                          <w:rPr>
                            <w:rFonts w:hint="eastAsia"/>
                            <w:szCs w:val="21"/>
                          </w:rPr>
                          <w:t>其他权益工具</w:t>
                        </w:r>
                      </w:p>
                    </w:tc>
                  </w:sdtContent>
                </w:sdt>
                <w:tc>
                  <w:tcPr>
                    <w:tcW w:w="627" w:type="pct"/>
                    <w:tcBorders>
                      <w:top w:val="outset" w:sz="6" w:space="0" w:color="auto"/>
                      <w:left w:val="outset" w:sz="6" w:space="0" w:color="auto"/>
                      <w:bottom w:val="outset" w:sz="6" w:space="0" w:color="auto"/>
                      <w:right w:val="outset" w:sz="6" w:space="0" w:color="auto"/>
                    </w:tcBorders>
                  </w:tcPr>
                  <w:p w:rsidR="00EE0190" w:rsidRDefault="00EE0190" w:rsidP="00601D4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jc w:val="right"/>
                      <w:rPr>
                        <w:szCs w:val="21"/>
                      </w:rPr>
                    </w:pPr>
                    <w:r>
                      <w:t>3,358,227,137</w:t>
                    </w:r>
                  </w:p>
                </w:tc>
                <w:tc>
                  <w:tcPr>
                    <w:tcW w:w="1333"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jc w:val="right"/>
                      <w:rPr>
                        <w:szCs w:val="21"/>
                      </w:rPr>
                    </w:pPr>
                    <w:r>
                      <w:t>3,358,254,738</w:t>
                    </w:r>
                  </w:p>
                </w:tc>
              </w:tr>
              <w:tr w:rsidR="00EE0190" w:rsidTr="00601D47">
                <w:sdt>
                  <w:sdtPr>
                    <w:tag w:val="_PLD_239fa27f5e6146e7ab45ef5a6bd5257e"/>
                    <w:id w:val="-153819226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ind w:firstLineChars="100" w:firstLine="210"/>
                          <w:rPr>
                            <w:szCs w:val="21"/>
                          </w:rPr>
                        </w:pPr>
                        <w:r>
                          <w:rPr>
                            <w:rFonts w:hint="eastAsia"/>
                            <w:szCs w:val="21"/>
                          </w:rPr>
                          <w:t>其中：优先股</w:t>
                        </w:r>
                      </w:p>
                    </w:tc>
                  </w:sdtContent>
                </w:sdt>
                <w:tc>
                  <w:tcPr>
                    <w:tcW w:w="627" w:type="pct"/>
                    <w:tcBorders>
                      <w:top w:val="outset" w:sz="6" w:space="0" w:color="auto"/>
                      <w:left w:val="outset" w:sz="6" w:space="0" w:color="auto"/>
                      <w:bottom w:val="outset" w:sz="6" w:space="0" w:color="auto"/>
                      <w:right w:val="outset" w:sz="6" w:space="0" w:color="auto"/>
                    </w:tcBorders>
                  </w:tcPr>
                  <w:p w:rsidR="00EE0190" w:rsidRDefault="00EE0190" w:rsidP="00601D47">
                    <w:pPr>
                      <w:rPr>
                        <w:szCs w:val="21"/>
                      </w:rPr>
                    </w:pPr>
                  </w:p>
                </w:tc>
                <w:tc>
                  <w:tcPr>
                    <w:tcW w:w="1411" w:type="pct"/>
                    <w:tcBorders>
                      <w:top w:val="outset" w:sz="6" w:space="0" w:color="auto"/>
                      <w:left w:val="outset" w:sz="6" w:space="0" w:color="auto"/>
                      <w:bottom w:val="outset" w:sz="6" w:space="0" w:color="auto"/>
                      <w:right w:val="outset" w:sz="6" w:space="0" w:color="auto"/>
                    </w:tcBorders>
                  </w:tcPr>
                  <w:p w:rsidR="00EE0190" w:rsidRDefault="00EE0190" w:rsidP="00601D47">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EE0190" w:rsidRDefault="00EE0190" w:rsidP="00601D47">
                    <w:pPr>
                      <w:jc w:val="right"/>
                      <w:rPr>
                        <w:szCs w:val="21"/>
                      </w:rPr>
                    </w:pPr>
                  </w:p>
                </w:tc>
              </w:tr>
              <w:tr w:rsidR="00EE0190" w:rsidTr="00601D47">
                <w:sdt>
                  <w:sdtPr>
                    <w:tag w:val="_PLD_5877c2ca757d46e088f56a241ee2d167"/>
                    <w:id w:val="-77655849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ind w:leftChars="300" w:left="630" w:firstLineChars="100" w:firstLine="210"/>
                          <w:rPr>
                            <w:szCs w:val="21"/>
                          </w:rPr>
                        </w:pPr>
                        <w:r>
                          <w:rPr>
                            <w:rFonts w:hint="eastAsia"/>
                            <w:szCs w:val="21"/>
                          </w:rPr>
                          <w:t>永续债</w:t>
                        </w:r>
                      </w:p>
                    </w:tc>
                  </w:sdtContent>
                </w:sdt>
                <w:tc>
                  <w:tcPr>
                    <w:tcW w:w="627" w:type="pct"/>
                    <w:tcBorders>
                      <w:top w:val="outset" w:sz="6" w:space="0" w:color="auto"/>
                      <w:left w:val="outset" w:sz="6" w:space="0" w:color="auto"/>
                      <w:bottom w:val="outset" w:sz="6" w:space="0" w:color="auto"/>
                      <w:right w:val="outset" w:sz="6" w:space="0" w:color="auto"/>
                    </w:tcBorders>
                  </w:tcPr>
                  <w:p w:rsidR="00EE0190" w:rsidRDefault="00EE0190" w:rsidP="00601D47">
                    <w:pPr>
                      <w:rPr>
                        <w:szCs w:val="21"/>
                      </w:rPr>
                    </w:pPr>
                  </w:p>
                </w:tc>
                <w:tc>
                  <w:tcPr>
                    <w:tcW w:w="1411" w:type="pct"/>
                    <w:tcBorders>
                      <w:top w:val="outset" w:sz="6" w:space="0" w:color="auto"/>
                      <w:left w:val="outset" w:sz="6" w:space="0" w:color="auto"/>
                      <w:bottom w:val="outset" w:sz="6" w:space="0" w:color="auto"/>
                      <w:right w:val="outset" w:sz="6" w:space="0" w:color="auto"/>
                    </w:tcBorders>
                  </w:tcPr>
                  <w:p w:rsidR="00EE0190" w:rsidRDefault="00EE0190" w:rsidP="00601D47">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EE0190" w:rsidRDefault="00EE0190" w:rsidP="00601D47">
                    <w:pPr>
                      <w:jc w:val="right"/>
                      <w:rPr>
                        <w:szCs w:val="21"/>
                      </w:rPr>
                    </w:pPr>
                  </w:p>
                </w:tc>
              </w:tr>
              <w:tr w:rsidR="00EE0190" w:rsidTr="00601D47">
                <w:sdt>
                  <w:sdtPr>
                    <w:tag w:val="_PLD_68913b2bfe2646b991164f4e3e225215"/>
                    <w:id w:val="164145282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ind w:firstLineChars="100" w:firstLine="210"/>
                          <w:rPr>
                            <w:szCs w:val="21"/>
                          </w:rPr>
                        </w:pPr>
                        <w:r>
                          <w:rPr>
                            <w:rFonts w:hint="eastAsia"/>
                            <w:szCs w:val="21"/>
                          </w:rPr>
                          <w:t>资本公积</w:t>
                        </w:r>
                      </w:p>
                    </w:tc>
                  </w:sdtContent>
                </w:sdt>
                <w:tc>
                  <w:tcPr>
                    <w:tcW w:w="627" w:type="pct"/>
                    <w:tcBorders>
                      <w:top w:val="outset" w:sz="6" w:space="0" w:color="auto"/>
                      <w:left w:val="outset" w:sz="6" w:space="0" w:color="auto"/>
                      <w:bottom w:val="outset" w:sz="6" w:space="0" w:color="auto"/>
                      <w:right w:val="outset" w:sz="6" w:space="0" w:color="auto"/>
                    </w:tcBorders>
                  </w:tcPr>
                  <w:p w:rsidR="00EE0190" w:rsidRDefault="00EE0190" w:rsidP="00601D47">
                    <w:pPr>
                      <w:rPr>
                        <w:szCs w:val="21"/>
                      </w:rPr>
                    </w:pPr>
                  </w:p>
                </w:tc>
                <w:tc>
                  <w:tcPr>
                    <w:tcW w:w="1411" w:type="pct"/>
                    <w:tcBorders>
                      <w:top w:val="outset" w:sz="6" w:space="0" w:color="auto"/>
                      <w:left w:val="outset" w:sz="6" w:space="0" w:color="auto"/>
                      <w:bottom w:val="outset" w:sz="6" w:space="0" w:color="auto"/>
                      <w:right w:val="outset" w:sz="6" w:space="0" w:color="auto"/>
                    </w:tcBorders>
                  </w:tcPr>
                  <w:p w:rsidR="00EE0190" w:rsidRDefault="00EE0190" w:rsidP="00601D47">
                    <w:pPr>
                      <w:jc w:val="right"/>
                      <w:rPr>
                        <w:szCs w:val="21"/>
                      </w:rPr>
                    </w:pPr>
                    <w:r>
                      <w:t>24,328,376,620</w:t>
                    </w:r>
                  </w:p>
                </w:tc>
                <w:tc>
                  <w:tcPr>
                    <w:tcW w:w="1333" w:type="pct"/>
                    <w:tcBorders>
                      <w:top w:val="outset" w:sz="6" w:space="0" w:color="auto"/>
                      <w:left w:val="outset" w:sz="6" w:space="0" w:color="auto"/>
                      <w:bottom w:val="outset" w:sz="6" w:space="0" w:color="auto"/>
                      <w:right w:val="outset" w:sz="6" w:space="0" w:color="auto"/>
                    </w:tcBorders>
                  </w:tcPr>
                  <w:p w:rsidR="00EE0190" w:rsidRDefault="00EE0190" w:rsidP="00601D47">
                    <w:pPr>
                      <w:jc w:val="right"/>
                      <w:rPr>
                        <w:szCs w:val="21"/>
                      </w:rPr>
                    </w:pPr>
                    <w:r>
                      <w:t>24,324,651,438</w:t>
                    </w:r>
                  </w:p>
                </w:tc>
              </w:tr>
              <w:tr w:rsidR="00EE0190" w:rsidTr="00601D47">
                <w:sdt>
                  <w:sdtPr>
                    <w:tag w:val="_PLD_324c6408c1424a728eccacf3b0ef657d"/>
                    <w:id w:val="-71635071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EE0190" w:rsidRDefault="00EE0190" w:rsidP="00601D47">
                        <w:pPr>
                          <w:ind w:firstLineChars="100" w:firstLine="210"/>
                          <w:rPr>
                            <w:szCs w:val="21"/>
                          </w:rPr>
                        </w:pPr>
                        <w:r>
                          <w:rPr>
                            <w:rFonts w:hint="eastAsia"/>
                            <w:szCs w:val="21"/>
                          </w:rPr>
                          <w:t>减：库存股</w:t>
                        </w:r>
                      </w:p>
                    </w:tc>
                  </w:sdtContent>
                </w:sdt>
                <w:tc>
                  <w:tcPr>
                    <w:tcW w:w="627" w:type="pct"/>
                    <w:tcBorders>
                      <w:top w:val="outset" w:sz="6" w:space="0" w:color="auto"/>
                      <w:left w:val="outset" w:sz="6" w:space="0" w:color="auto"/>
                      <w:bottom w:val="outset" w:sz="6" w:space="0" w:color="auto"/>
                      <w:right w:val="outset" w:sz="6" w:space="0" w:color="auto"/>
                    </w:tcBorders>
                  </w:tcPr>
                  <w:p w:rsidR="00EE0190" w:rsidRDefault="00EE0190" w:rsidP="00601D47">
                    <w:pPr>
                      <w:rPr>
                        <w:szCs w:val="21"/>
                      </w:rPr>
                    </w:pPr>
                  </w:p>
                </w:tc>
                <w:tc>
                  <w:tcPr>
                    <w:tcW w:w="1411" w:type="pct"/>
                    <w:tcBorders>
                      <w:top w:val="outset" w:sz="6" w:space="0" w:color="auto"/>
                      <w:left w:val="outset" w:sz="6" w:space="0" w:color="auto"/>
                      <w:bottom w:val="outset" w:sz="6" w:space="0" w:color="auto"/>
                      <w:right w:val="outset" w:sz="6" w:space="0" w:color="auto"/>
                    </w:tcBorders>
                  </w:tcPr>
                  <w:p w:rsidR="00EE0190" w:rsidRDefault="00EE0190" w:rsidP="00601D47">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EE0190" w:rsidRDefault="00EE0190" w:rsidP="00601D47">
                    <w:pPr>
                      <w:jc w:val="right"/>
                      <w:rPr>
                        <w:szCs w:val="21"/>
                      </w:rPr>
                    </w:pPr>
                  </w:p>
                </w:tc>
              </w:tr>
              <w:tr w:rsidR="00EE0190" w:rsidTr="00601D47">
                <w:sdt>
                  <w:sdtPr>
                    <w:tag w:val="_PLD_3209deee7bd643ac909c51619677313b"/>
                    <w:id w:val="45052633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EE0190" w:rsidRDefault="00EE0190" w:rsidP="00EE0190">
                        <w:pPr>
                          <w:ind w:firstLineChars="100" w:firstLine="210"/>
                          <w:rPr>
                            <w:szCs w:val="21"/>
                          </w:rPr>
                        </w:pPr>
                        <w:r>
                          <w:rPr>
                            <w:rFonts w:hint="eastAsia"/>
                            <w:szCs w:val="21"/>
                          </w:rPr>
                          <w:t>其他综合收益</w:t>
                        </w:r>
                      </w:p>
                    </w:tc>
                  </w:sdtContent>
                </w:sdt>
                <w:tc>
                  <w:tcPr>
                    <w:tcW w:w="627" w:type="pct"/>
                    <w:tcBorders>
                      <w:top w:val="outset" w:sz="6" w:space="0" w:color="auto"/>
                      <w:left w:val="outset" w:sz="6" w:space="0" w:color="auto"/>
                      <w:bottom w:val="outset" w:sz="6" w:space="0" w:color="auto"/>
                      <w:right w:val="outset" w:sz="6" w:space="0" w:color="auto"/>
                    </w:tcBorders>
                  </w:tcPr>
                  <w:p w:rsidR="00EE0190" w:rsidRDefault="00EE0190" w:rsidP="00EE0190">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EE0190" w:rsidRDefault="00536519" w:rsidP="00EE0190">
                    <w:pPr>
                      <w:jc w:val="right"/>
                      <w:rPr>
                        <w:szCs w:val="21"/>
                      </w:rPr>
                    </w:pPr>
                    <w:r>
                      <w:t>-</w:t>
                    </w:r>
                    <w:r w:rsidR="00EE0190">
                      <w:t>698,254,627</w:t>
                    </w:r>
                  </w:p>
                </w:tc>
                <w:tc>
                  <w:tcPr>
                    <w:tcW w:w="1333" w:type="pct"/>
                    <w:tcBorders>
                      <w:top w:val="outset" w:sz="6" w:space="0" w:color="auto"/>
                      <w:left w:val="outset" w:sz="6" w:space="0" w:color="auto"/>
                      <w:bottom w:val="outset" w:sz="6" w:space="0" w:color="auto"/>
                      <w:right w:val="outset" w:sz="6" w:space="0" w:color="auto"/>
                    </w:tcBorders>
                    <w:vAlign w:val="center"/>
                  </w:tcPr>
                  <w:p w:rsidR="00EE0190" w:rsidRDefault="00536519" w:rsidP="00EE0190">
                    <w:pPr>
                      <w:jc w:val="right"/>
                      <w:rPr>
                        <w:szCs w:val="21"/>
                      </w:rPr>
                    </w:pPr>
                    <w:r>
                      <w:t>-</w:t>
                    </w:r>
                    <w:r w:rsidR="00EE0190">
                      <w:t>605,162,626</w:t>
                    </w:r>
                  </w:p>
                </w:tc>
              </w:tr>
              <w:tr w:rsidR="00EE0190" w:rsidTr="00601D47">
                <w:sdt>
                  <w:sdtPr>
                    <w:tag w:val="_PLD_6eaf8035733844da94bc6736f62d97ba"/>
                    <w:id w:val="-85604512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EE0190" w:rsidRDefault="00EE0190" w:rsidP="00EE0190">
                        <w:pPr>
                          <w:ind w:firstLineChars="100" w:firstLine="210"/>
                          <w:rPr>
                            <w:szCs w:val="21"/>
                          </w:rPr>
                        </w:pPr>
                        <w:r>
                          <w:rPr>
                            <w:rFonts w:hint="eastAsia"/>
                            <w:szCs w:val="21"/>
                          </w:rPr>
                          <w:t>专项储备</w:t>
                        </w:r>
                      </w:p>
                    </w:tc>
                  </w:sdtContent>
                </w:sdt>
                <w:tc>
                  <w:tcPr>
                    <w:tcW w:w="627" w:type="pct"/>
                    <w:tcBorders>
                      <w:top w:val="outset" w:sz="6" w:space="0" w:color="auto"/>
                      <w:left w:val="outset" w:sz="6" w:space="0" w:color="auto"/>
                      <w:bottom w:val="outset" w:sz="6" w:space="0" w:color="auto"/>
                      <w:right w:val="outset" w:sz="6" w:space="0" w:color="auto"/>
                    </w:tcBorders>
                  </w:tcPr>
                  <w:p w:rsidR="00EE0190" w:rsidRDefault="00EE0190" w:rsidP="00EE0190">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EE0190" w:rsidRDefault="00EE0190" w:rsidP="00EE0190">
                    <w:pPr>
                      <w:jc w:val="right"/>
                      <w:rPr>
                        <w:szCs w:val="21"/>
                      </w:rPr>
                    </w:pPr>
                    <w:r>
                      <w:t>687,716,965</w:t>
                    </w:r>
                  </w:p>
                </w:tc>
                <w:tc>
                  <w:tcPr>
                    <w:tcW w:w="1333" w:type="pct"/>
                    <w:tcBorders>
                      <w:top w:val="outset" w:sz="6" w:space="0" w:color="auto"/>
                      <w:left w:val="outset" w:sz="6" w:space="0" w:color="auto"/>
                      <w:bottom w:val="outset" w:sz="6" w:space="0" w:color="auto"/>
                      <w:right w:val="outset" w:sz="6" w:space="0" w:color="auto"/>
                    </w:tcBorders>
                    <w:vAlign w:val="center"/>
                  </w:tcPr>
                  <w:p w:rsidR="00EE0190" w:rsidRDefault="00EE0190" w:rsidP="00EE0190">
                    <w:pPr>
                      <w:jc w:val="right"/>
                      <w:rPr>
                        <w:szCs w:val="21"/>
                      </w:rPr>
                    </w:pPr>
                    <w:r>
                      <w:t>668,771,619</w:t>
                    </w:r>
                  </w:p>
                </w:tc>
              </w:tr>
              <w:tr w:rsidR="00EE0190" w:rsidTr="00601D47">
                <w:sdt>
                  <w:sdtPr>
                    <w:tag w:val="_PLD_4de370b85d5b4fff8dc4cd59144b8445"/>
                    <w:id w:val="163945720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EE0190" w:rsidRDefault="00EE0190" w:rsidP="00EE0190">
                        <w:pPr>
                          <w:ind w:firstLineChars="100" w:firstLine="210"/>
                          <w:rPr>
                            <w:szCs w:val="21"/>
                          </w:rPr>
                        </w:pPr>
                        <w:r>
                          <w:rPr>
                            <w:rFonts w:hint="eastAsia"/>
                            <w:szCs w:val="21"/>
                          </w:rPr>
                          <w:t>盈余公积</w:t>
                        </w:r>
                      </w:p>
                    </w:tc>
                  </w:sdtContent>
                </w:sdt>
                <w:tc>
                  <w:tcPr>
                    <w:tcW w:w="627" w:type="pct"/>
                    <w:tcBorders>
                      <w:top w:val="outset" w:sz="6" w:space="0" w:color="auto"/>
                      <w:left w:val="outset" w:sz="6" w:space="0" w:color="auto"/>
                      <w:bottom w:val="outset" w:sz="6" w:space="0" w:color="auto"/>
                      <w:right w:val="outset" w:sz="6" w:space="0" w:color="auto"/>
                    </w:tcBorders>
                  </w:tcPr>
                  <w:p w:rsidR="00EE0190" w:rsidRDefault="00EE0190" w:rsidP="00EE0190">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EE0190" w:rsidRDefault="00EE0190" w:rsidP="00EE0190">
                    <w:pPr>
                      <w:jc w:val="right"/>
                      <w:rPr>
                        <w:szCs w:val="21"/>
                      </w:rPr>
                    </w:pPr>
                    <w:r>
                      <w:t>18,677,752,312</w:t>
                    </w:r>
                  </w:p>
                </w:tc>
                <w:tc>
                  <w:tcPr>
                    <w:tcW w:w="1333" w:type="pct"/>
                    <w:tcBorders>
                      <w:top w:val="outset" w:sz="6" w:space="0" w:color="auto"/>
                      <w:left w:val="outset" w:sz="6" w:space="0" w:color="auto"/>
                      <w:bottom w:val="outset" w:sz="6" w:space="0" w:color="auto"/>
                      <w:right w:val="outset" w:sz="6" w:space="0" w:color="auto"/>
                    </w:tcBorders>
                    <w:vAlign w:val="center"/>
                  </w:tcPr>
                  <w:p w:rsidR="00EE0190" w:rsidRDefault="00EE0190" w:rsidP="00EE0190">
                    <w:pPr>
                      <w:jc w:val="right"/>
                      <w:rPr>
                        <w:szCs w:val="21"/>
                      </w:rPr>
                    </w:pPr>
                    <w:r>
                      <w:t>17,587,107,748</w:t>
                    </w:r>
                  </w:p>
                </w:tc>
              </w:tr>
              <w:tr w:rsidR="00EE0190" w:rsidTr="00601D47">
                <w:sdt>
                  <w:sdtPr>
                    <w:tag w:val="_PLD_57bd5bb93fa840679abdabdef85d0712"/>
                    <w:id w:val="36025522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EE0190" w:rsidRDefault="00EE0190" w:rsidP="00EE0190">
                        <w:pPr>
                          <w:ind w:firstLineChars="100" w:firstLine="210"/>
                          <w:rPr>
                            <w:szCs w:val="21"/>
                          </w:rPr>
                        </w:pPr>
                        <w:r>
                          <w:rPr>
                            <w:rFonts w:hint="eastAsia"/>
                            <w:szCs w:val="21"/>
                          </w:rPr>
                          <w:t>未分配利润</w:t>
                        </w:r>
                      </w:p>
                    </w:tc>
                  </w:sdtContent>
                </w:sdt>
                <w:tc>
                  <w:tcPr>
                    <w:tcW w:w="627" w:type="pct"/>
                    <w:tcBorders>
                      <w:top w:val="outset" w:sz="6" w:space="0" w:color="auto"/>
                      <w:left w:val="outset" w:sz="6" w:space="0" w:color="auto"/>
                      <w:bottom w:val="outset" w:sz="6" w:space="0" w:color="auto"/>
                      <w:right w:val="outset" w:sz="6" w:space="0" w:color="auto"/>
                    </w:tcBorders>
                  </w:tcPr>
                  <w:p w:rsidR="00EE0190" w:rsidRDefault="00EE0190" w:rsidP="00EE0190">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EE0190" w:rsidRDefault="00EE0190" w:rsidP="00EE0190">
                    <w:pPr>
                      <w:jc w:val="right"/>
                      <w:rPr>
                        <w:szCs w:val="21"/>
                      </w:rPr>
                    </w:pPr>
                    <w:r>
                      <w:t>68,256,567,869</w:t>
                    </w:r>
                  </w:p>
                </w:tc>
                <w:tc>
                  <w:tcPr>
                    <w:tcW w:w="1333" w:type="pct"/>
                    <w:tcBorders>
                      <w:top w:val="outset" w:sz="6" w:space="0" w:color="auto"/>
                      <w:left w:val="outset" w:sz="6" w:space="0" w:color="auto"/>
                      <w:bottom w:val="outset" w:sz="6" w:space="0" w:color="auto"/>
                      <w:right w:val="outset" w:sz="6" w:space="0" w:color="auto"/>
                    </w:tcBorders>
                    <w:vAlign w:val="center"/>
                  </w:tcPr>
                  <w:p w:rsidR="00EE0190" w:rsidRDefault="00EE0190" w:rsidP="00EE0190">
                    <w:pPr>
                      <w:jc w:val="right"/>
                      <w:rPr>
                        <w:szCs w:val="21"/>
                      </w:rPr>
                    </w:pPr>
                    <w:r>
                      <w:t>65,718,906,558</w:t>
                    </w:r>
                  </w:p>
                </w:tc>
              </w:tr>
              <w:tr w:rsidR="00ED4447" w:rsidTr="00601D47">
                <w:sdt>
                  <w:sdtPr>
                    <w:tag w:val="_PLD_ceb45ece49e540bfa6e86de65ae33e4b"/>
                    <w:id w:val="114731854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ED4447" w:rsidRDefault="00ED4447" w:rsidP="00ED4447">
                        <w:pPr>
                          <w:ind w:firstLineChars="200" w:firstLine="420"/>
                          <w:rPr>
                            <w:szCs w:val="21"/>
                          </w:rPr>
                        </w:pPr>
                        <w:r>
                          <w:rPr>
                            <w:rFonts w:hint="eastAsia"/>
                          </w:rPr>
                          <w:t>所有者权益（或股东权益）合计</w:t>
                        </w:r>
                      </w:p>
                    </w:tc>
                  </w:sdtContent>
                </w:sdt>
                <w:tc>
                  <w:tcPr>
                    <w:tcW w:w="627" w:type="pct"/>
                    <w:tcBorders>
                      <w:top w:val="outset" w:sz="6" w:space="0" w:color="auto"/>
                      <w:left w:val="outset" w:sz="6" w:space="0" w:color="auto"/>
                      <w:bottom w:val="outset" w:sz="6" w:space="0" w:color="auto"/>
                      <w:right w:val="outset" w:sz="6" w:space="0" w:color="auto"/>
                    </w:tcBorders>
                  </w:tcPr>
                  <w:p w:rsidR="00ED4447" w:rsidRDefault="00ED4447" w:rsidP="00ED444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ED4447" w:rsidRDefault="00ED4447" w:rsidP="00ED4447">
                    <w:pPr>
                      <w:jc w:val="right"/>
                      <w:rPr>
                        <w:szCs w:val="21"/>
                      </w:rPr>
                    </w:pPr>
                    <w:r>
                      <w:t>129,477,332,183</w:t>
                    </w:r>
                  </w:p>
                </w:tc>
                <w:tc>
                  <w:tcPr>
                    <w:tcW w:w="1333" w:type="pct"/>
                    <w:tcBorders>
                      <w:top w:val="outset" w:sz="6" w:space="0" w:color="auto"/>
                      <w:left w:val="outset" w:sz="6" w:space="0" w:color="auto"/>
                      <w:bottom w:val="outset" w:sz="6" w:space="0" w:color="auto"/>
                      <w:right w:val="outset" w:sz="6" w:space="0" w:color="auto"/>
                    </w:tcBorders>
                    <w:vAlign w:val="center"/>
                  </w:tcPr>
                  <w:p w:rsidR="00ED4447" w:rsidRDefault="00ED4447" w:rsidP="00ED4447">
                    <w:pPr>
                      <w:jc w:val="right"/>
                      <w:rPr>
                        <w:szCs w:val="21"/>
                      </w:rPr>
                    </w:pPr>
                    <w:r>
                      <w:t>125,919,437,500</w:t>
                    </w:r>
                  </w:p>
                </w:tc>
              </w:tr>
              <w:tr w:rsidR="00ED4447" w:rsidTr="00601D47">
                <w:sdt>
                  <w:sdtPr>
                    <w:tag w:val="_PLD_f0ef69cc41f3488e9f1fd1456e8640f4"/>
                    <w:id w:val="62111906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ED4447" w:rsidRDefault="00ED4447" w:rsidP="00ED4447">
                        <w:pPr>
                          <w:ind w:firstLineChars="300" w:firstLine="630"/>
                          <w:rPr>
                            <w:szCs w:val="21"/>
                          </w:rPr>
                        </w:pPr>
                        <w:r>
                          <w:rPr>
                            <w:rFonts w:hint="eastAsia"/>
                            <w:szCs w:val="21"/>
                          </w:rPr>
                          <w:t>负债和所有者权益（或股东权益）总计</w:t>
                        </w:r>
                      </w:p>
                    </w:tc>
                  </w:sdtContent>
                </w:sdt>
                <w:tc>
                  <w:tcPr>
                    <w:tcW w:w="627" w:type="pct"/>
                    <w:tcBorders>
                      <w:top w:val="outset" w:sz="6" w:space="0" w:color="auto"/>
                      <w:left w:val="outset" w:sz="6" w:space="0" w:color="auto"/>
                      <w:bottom w:val="outset" w:sz="6" w:space="0" w:color="auto"/>
                      <w:right w:val="outset" w:sz="6" w:space="0" w:color="auto"/>
                    </w:tcBorders>
                  </w:tcPr>
                  <w:p w:rsidR="00ED4447" w:rsidRDefault="00ED4447" w:rsidP="00ED4447">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ED4447" w:rsidRDefault="00ED4447" w:rsidP="00ED4447">
                    <w:pPr>
                      <w:jc w:val="right"/>
                      <w:rPr>
                        <w:szCs w:val="21"/>
                      </w:rPr>
                    </w:pPr>
                    <w:r>
                      <w:t>181,436,275,567</w:t>
                    </w:r>
                  </w:p>
                </w:tc>
                <w:tc>
                  <w:tcPr>
                    <w:tcW w:w="1333" w:type="pct"/>
                    <w:tcBorders>
                      <w:top w:val="outset" w:sz="6" w:space="0" w:color="auto"/>
                      <w:left w:val="outset" w:sz="6" w:space="0" w:color="auto"/>
                      <w:bottom w:val="outset" w:sz="6" w:space="0" w:color="auto"/>
                      <w:right w:val="outset" w:sz="6" w:space="0" w:color="auto"/>
                    </w:tcBorders>
                    <w:vAlign w:val="center"/>
                  </w:tcPr>
                  <w:p w:rsidR="00ED4447" w:rsidRDefault="00ED4447" w:rsidP="00ED4447">
                    <w:pPr>
                      <w:jc w:val="right"/>
                      <w:rPr>
                        <w:szCs w:val="21"/>
                      </w:rPr>
                    </w:pPr>
                    <w:r>
                      <w:t>177,088,913,304</w:t>
                    </w:r>
                  </w:p>
                </w:tc>
              </w:tr>
            </w:tbl>
            <w:p w:rsidR="00FE7F64" w:rsidRDefault="00FE7F64">
              <w:pPr>
                <w:ind w:rightChars="-73" w:right="-153"/>
                <w:rPr>
                  <w:szCs w:val="21"/>
                </w:rPr>
              </w:pPr>
            </w:p>
            <w:p w:rsidR="00806678" w:rsidRDefault="00B16377">
              <w:pPr>
                <w:ind w:rightChars="-73" w:right="-153"/>
                <w:rPr>
                  <w:szCs w:val="21"/>
                </w:rPr>
              </w:pPr>
              <w:r>
                <w:rPr>
                  <w:rFonts w:hint="eastAsia"/>
                  <w:szCs w:val="21"/>
                </w:rPr>
                <w:t>公司负责</w:t>
              </w:r>
              <w:r>
                <w:rPr>
                  <w:szCs w:val="21"/>
                </w:rPr>
                <w:t>人</w:t>
              </w:r>
              <w:r>
                <w:rPr>
                  <w:rFonts w:hint="eastAsia"/>
                  <w:szCs w:val="21"/>
                </w:rPr>
                <w:t>：</w:t>
              </w:r>
              <w:sdt>
                <w:sdtPr>
                  <w:rPr>
                    <w:rFonts w:hint="eastAsia"/>
                    <w:szCs w:val="21"/>
                  </w:rPr>
                  <w:alias w:val="公司负责人姓名"/>
                  <w:tag w:val="_GBC_a81a61c6d7bb46bfa69f34f205086804"/>
                  <w:id w:val="1099834565"/>
                  <w:lock w:val="sdtLocked"/>
                  <w:placeholder>
                    <w:docPart w:val="GBC22222222222222222222222222222"/>
                  </w:placeholder>
                  <w:dataBinding w:prefixMappings="xmlns:clcid-mr='clcid-mr'" w:xpath="/*/clcid-mr:GongSiFuZeRenXingMing[not(@periodRef)]" w:storeItemID="{89EBAB94-44A0-46A2-B712-30D997D04A6D}"/>
                  <w:text/>
                </w:sdtPr>
                <w:sdtContent>
                  <w:r w:rsidR="00AD579F">
                    <w:rPr>
                      <w:rFonts w:hint="eastAsia"/>
                      <w:szCs w:val="21"/>
                    </w:rPr>
                    <w:t>戴弘</w:t>
                  </w:r>
                  <w:r w:rsidR="00413527">
                    <w:rPr>
                      <w:rFonts w:hint="eastAsia"/>
                      <w:szCs w:val="21"/>
                    </w:rPr>
                    <w:t xml:space="preserve">  </w:t>
                  </w:r>
                </w:sdtContent>
              </w:sdt>
              <w:r w:rsidR="00413527">
                <w:rPr>
                  <w:rFonts w:hint="eastAsia"/>
                  <w:szCs w:val="21"/>
                </w:rPr>
                <w:t xml:space="preserve">总经理：韩洪臣  </w:t>
              </w:r>
              <w:r>
                <w:rPr>
                  <w:szCs w:val="21"/>
                </w:rPr>
                <w:t>主管会计工作负责人</w:t>
              </w:r>
              <w:r>
                <w:rPr>
                  <w:rFonts w:hint="eastAsia"/>
                  <w:szCs w:val="21"/>
                </w:rPr>
                <w:t>：</w:t>
              </w:r>
              <w:sdt>
                <w:sdtPr>
                  <w:rPr>
                    <w:rFonts w:hint="eastAsia"/>
                    <w:szCs w:val="21"/>
                  </w:rPr>
                  <w:alias w:val="主管会计工作负责人姓名"/>
                  <w:tag w:val="_GBC_12b89d18f9094da18899493b997b98a8"/>
                  <w:id w:val="-648592250"/>
                  <w:lock w:val="sdtLocked"/>
                  <w:placeholder>
                    <w:docPart w:val="GBC22222222222222222222222222222"/>
                  </w:placeholder>
                  <w:dataBinding w:prefixMappings="xmlns:clcid-mr='clcid-mr'" w:xpath="/*/clcid-mr:ZhuGuanKuaiJiGongZuoFuZeRenXingMing[not(@periodRef)]" w:storeItemID="{89EBAB94-44A0-46A2-B712-30D997D04A6D}"/>
                  <w:text/>
                </w:sdtPr>
                <w:sdtContent>
                  <w:r w:rsidR="00AD579F">
                    <w:rPr>
                      <w:rFonts w:hint="eastAsia"/>
                      <w:szCs w:val="21"/>
                    </w:rPr>
                    <w:t>田惠民</w:t>
                  </w:r>
                </w:sdtContent>
              </w:sdt>
              <w:r>
                <w:rPr>
                  <w:rFonts w:hint="eastAsia"/>
                  <w:szCs w:val="21"/>
                </w:rPr>
                <w:t xml:space="preserve"> </w:t>
              </w:r>
              <w:r>
                <w:rPr>
                  <w:szCs w:val="21"/>
                </w:rPr>
                <w:t>会计机构负责人</w:t>
              </w:r>
              <w:r>
                <w:rPr>
                  <w:rFonts w:hint="eastAsia"/>
                  <w:szCs w:val="21"/>
                </w:rPr>
                <w:t>：</w:t>
              </w:r>
              <w:sdt>
                <w:sdtPr>
                  <w:rPr>
                    <w:rFonts w:hint="eastAsia"/>
                    <w:szCs w:val="21"/>
                  </w:rPr>
                  <w:alias w:val="会计机构负责人姓名"/>
                  <w:tag w:val="_GBC_80397291c44b4713afb5a711c98f3ea6"/>
                  <w:id w:val="629590069"/>
                  <w:lock w:val="sdtLocked"/>
                  <w:placeholder>
                    <w:docPart w:val="GBC22222222222222222222222222222"/>
                  </w:placeholder>
                  <w:dataBinding w:prefixMappings="xmlns:clcid-mr='clcid-mr'" w:xpath="/*/clcid-mr:KuaiJiJiGouFuZeRenXingMing[not(@periodRef)]" w:storeItemID="{89EBAB94-44A0-46A2-B712-30D997D04A6D}"/>
                  <w:text/>
                </w:sdtPr>
                <w:sdtContent>
                  <w:r w:rsidR="00AD579F">
                    <w:rPr>
                      <w:rFonts w:hint="eastAsia"/>
                      <w:szCs w:val="21"/>
                    </w:rPr>
                    <w:t>孙洪涛</w:t>
                  </w:r>
                </w:sdtContent>
              </w:sdt>
            </w:p>
          </w:sdtContent>
        </w:sdt>
        <w:p w:rsidR="00806678" w:rsidRDefault="00F80B6C"/>
        <w:bookmarkEnd w:id="127" w:displacedByCustomXml="next"/>
      </w:sdtContent>
    </w:sdt>
    <w:p w:rsidR="00806678" w:rsidRDefault="00806678">
      <w:pPr>
        <w:rPr>
          <w:color w:val="FF0000"/>
          <w:szCs w:val="21"/>
        </w:rPr>
      </w:pPr>
    </w:p>
    <w:bookmarkStart w:id="128" w:name="_Hlk24038378" w:displacedByCustomXml="next"/>
    <w:sdt>
      <w:sdtPr>
        <w:rPr>
          <w:rFonts w:ascii="宋体" w:hAnsi="宋体" w:cs="宋体" w:hint="eastAsia"/>
          <w:b w:val="0"/>
          <w:bCs w:val="0"/>
          <w:kern w:val="0"/>
          <w:szCs w:val="24"/>
        </w:rPr>
        <w:alias w:val="选项模块:需要编制合并报表"/>
        <w:tag w:val="_SEC_38812834cfb34e9393dcbecc309c8615"/>
        <w:id w:val="659661293"/>
        <w:lock w:val="sdtLocked"/>
        <w:placeholder>
          <w:docPart w:val="GBC22222222222222222222222222222"/>
        </w:placeholder>
      </w:sdtPr>
      <w:sdtEndPr>
        <w:rPr>
          <w:rFonts w:hint="default"/>
          <w:color w:val="FF0000"/>
          <w:szCs w:val="21"/>
        </w:rPr>
      </w:sdtEndPr>
      <w:sdtContent>
        <w:sdt>
          <w:sdtPr>
            <w:rPr>
              <w:rFonts w:ascii="宋体" w:hAnsi="宋体" w:cs="宋体" w:hint="eastAsia"/>
              <w:b w:val="0"/>
              <w:bCs w:val="0"/>
              <w:kern w:val="0"/>
              <w:szCs w:val="24"/>
            </w:rPr>
            <w:tag w:val="_SEC_38d2275e2dcd4f8eb0870715a2a226c7"/>
            <w:id w:val="521594129"/>
            <w:lock w:val="sdtLocked"/>
            <w:placeholder>
              <w:docPart w:val="GBC22222222222222222222222222222"/>
            </w:placeholder>
          </w:sdtPr>
          <w:sdtEndPr>
            <w:rPr>
              <w:szCs w:val="21"/>
            </w:rPr>
          </w:sdtEndPr>
          <w:sdtContent>
            <w:p w:rsidR="00806678" w:rsidRDefault="00B16377">
              <w:pPr>
                <w:pStyle w:val="3"/>
                <w:jc w:val="center"/>
              </w:pPr>
              <w:r>
                <w:rPr>
                  <w:rFonts w:hint="eastAsia"/>
                </w:rPr>
                <w:t>合并</w:t>
              </w:r>
              <w:r>
                <w:t>利润表</w:t>
              </w:r>
            </w:p>
            <w:p w:rsidR="00806678" w:rsidRDefault="00B16377">
              <w:pPr>
                <w:jc w:val="center"/>
                <w:rPr>
                  <w:b/>
                  <w:bCs/>
                  <w:szCs w:val="21"/>
                </w:rPr>
              </w:pPr>
              <w:r>
                <w:rPr>
                  <w:szCs w:val="21"/>
                </w:rPr>
                <w:t>2022年</w:t>
              </w:r>
              <w:r>
                <w:rPr>
                  <w:rFonts w:hint="eastAsia"/>
                  <w:szCs w:val="21"/>
                </w:rPr>
                <w:t>1—</w:t>
              </w:r>
              <w:r>
                <w:rPr>
                  <w:szCs w:val="21"/>
                </w:rPr>
                <w:t>12月</w:t>
              </w:r>
            </w:p>
            <w:p w:rsidR="00806678" w:rsidRDefault="00B16377">
              <w:pPr>
                <w:jc w:val="right"/>
                <w:rPr>
                  <w:szCs w:val="21"/>
                </w:rPr>
              </w:pPr>
              <w:r>
                <w:rPr>
                  <w:szCs w:val="21"/>
                </w:rPr>
                <w:t>单位:</w:t>
              </w:r>
              <w:sdt>
                <w:sdtPr>
                  <w:rPr>
                    <w:szCs w:val="21"/>
                  </w:rPr>
                  <w:alias w:val="单位：合并利润表"/>
                  <w:tag w:val="_GBC_95830fead96c480388a2e386c3331383"/>
                  <w:id w:val="-209238295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sdt>
                <w:sdtPr>
                  <w:rPr>
                    <w:szCs w:val="21"/>
                  </w:rPr>
                  <w:alias w:val="币种：合并利润表"/>
                  <w:tag w:val="_GBC_4902a1798447427ba99922213b04b39b"/>
                  <w:id w:val="135569031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507"/>
                <w:gridCol w:w="1517"/>
                <w:gridCol w:w="2009"/>
                <w:gridCol w:w="2016"/>
              </w:tblGrid>
              <w:tr w:rsidR="00806678" w:rsidTr="00A67D4D">
                <w:trPr>
                  <w:cantSplit/>
                </w:trPr>
                <w:sdt>
                  <w:sdtPr>
                    <w:tag w:val="_PLD_2e3f33fcce354b339a86add10899a6c5"/>
                    <w:id w:val="-1755203313"/>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806678" w:rsidRDefault="00B16377">
                        <w:pPr>
                          <w:ind w:leftChars="-19" w:hangingChars="19" w:hanging="40"/>
                          <w:jc w:val="center"/>
                          <w:rPr>
                            <w:b/>
                            <w:szCs w:val="21"/>
                          </w:rPr>
                        </w:pPr>
                        <w:r>
                          <w:rPr>
                            <w:b/>
                            <w:szCs w:val="21"/>
                          </w:rPr>
                          <w:t>项目</w:t>
                        </w:r>
                      </w:p>
                    </w:tc>
                  </w:sdtContent>
                </w:sdt>
                <w:sdt>
                  <w:sdtPr>
                    <w:tag w:val="_PLD_93edd7a3846d4cd58b14d043e9b33f2c"/>
                    <w:id w:val="-934048285"/>
                    <w:lock w:val="sdtLocked"/>
                  </w:sdtPr>
                  <w:sdtContent>
                    <w:tc>
                      <w:tcPr>
                        <w:tcW w:w="838" w:type="pct"/>
                        <w:tcBorders>
                          <w:top w:val="outset" w:sz="4" w:space="0" w:color="auto"/>
                          <w:left w:val="outset" w:sz="4" w:space="0" w:color="auto"/>
                          <w:bottom w:val="outset" w:sz="4" w:space="0" w:color="auto"/>
                          <w:right w:val="outset" w:sz="4" w:space="0" w:color="auto"/>
                        </w:tcBorders>
                        <w:vAlign w:val="center"/>
                      </w:tcPr>
                      <w:p w:rsidR="00806678" w:rsidRDefault="00B16377">
                        <w:pPr>
                          <w:jc w:val="center"/>
                          <w:rPr>
                            <w:b/>
                            <w:szCs w:val="21"/>
                          </w:rPr>
                        </w:pPr>
                        <w:r>
                          <w:rPr>
                            <w:rFonts w:hint="eastAsia"/>
                            <w:b/>
                            <w:szCs w:val="21"/>
                          </w:rPr>
                          <w:t>附注</w:t>
                        </w:r>
                      </w:p>
                    </w:tc>
                  </w:sdtContent>
                </w:sdt>
                <w:sdt>
                  <w:sdtPr>
                    <w:tag w:val="_PLD_49f84cca199c45e7bc0f9fea5b73078c"/>
                    <w:id w:val="-1663309434"/>
                    <w:lock w:val="sdtLocked"/>
                  </w:sdtPr>
                  <w:sdtContent>
                    <w:tc>
                      <w:tcPr>
                        <w:tcW w:w="1110" w:type="pct"/>
                        <w:tcBorders>
                          <w:top w:val="outset" w:sz="4" w:space="0" w:color="auto"/>
                          <w:left w:val="outset" w:sz="4" w:space="0" w:color="auto"/>
                          <w:bottom w:val="outset" w:sz="4" w:space="0" w:color="auto"/>
                          <w:right w:val="outset" w:sz="4" w:space="0" w:color="auto"/>
                        </w:tcBorders>
                        <w:vAlign w:val="center"/>
                      </w:tcPr>
                      <w:p w:rsidR="00806678" w:rsidRDefault="00B16377">
                        <w:pPr>
                          <w:jc w:val="center"/>
                          <w:rPr>
                            <w:b/>
                            <w:szCs w:val="21"/>
                          </w:rPr>
                        </w:pPr>
                        <w:r>
                          <w:rPr>
                            <w:rFonts w:hint="eastAsia"/>
                            <w:b/>
                            <w:szCs w:val="21"/>
                          </w:rPr>
                          <w:t>2022年度</w:t>
                        </w:r>
                      </w:p>
                    </w:tc>
                  </w:sdtContent>
                </w:sdt>
                <w:sdt>
                  <w:sdtPr>
                    <w:tag w:val="_PLD_8b5fde21bc974404b892a88906dec352"/>
                    <w:id w:val="874584955"/>
                    <w:lock w:val="sdtLocked"/>
                  </w:sdtPr>
                  <w:sdtContent>
                    <w:tc>
                      <w:tcPr>
                        <w:tcW w:w="1114" w:type="pct"/>
                        <w:tcBorders>
                          <w:top w:val="outset" w:sz="4" w:space="0" w:color="auto"/>
                          <w:left w:val="outset" w:sz="4" w:space="0" w:color="auto"/>
                          <w:bottom w:val="outset" w:sz="4" w:space="0" w:color="auto"/>
                          <w:right w:val="outset" w:sz="4" w:space="0" w:color="auto"/>
                        </w:tcBorders>
                        <w:vAlign w:val="center"/>
                      </w:tcPr>
                      <w:p w:rsidR="00806678" w:rsidRDefault="00B16377">
                        <w:pPr>
                          <w:jc w:val="center"/>
                          <w:rPr>
                            <w:b/>
                            <w:szCs w:val="21"/>
                          </w:rPr>
                        </w:pPr>
                        <w:r>
                          <w:rPr>
                            <w:rFonts w:hint="eastAsia"/>
                            <w:b/>
                            <w:szCs w:val="21"/>
                          </w:rPr>
                          <w:t>2021年度</w:t>
                        </w:r>
                      </w:p>
                    </w:tc>
                  </w:sdtContent>
                </w:sdt>
              </w:tr>
              <w:tr w:rsidR="00FB622B" w:rsidTr="00601D47">
                <w:sdt>
                  <w:sdtPr>
                    <w:tag w:val="_PLD_6380654d35f848cfb950d682c7a7e226"/>
                    <w:id w:val="-1680340480"/>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FB622B" w:rsidRDefault="00FB622B" w:rsidP="00FB622B">
                        <w:pPr>
                          <w:rPr>
                            <w:color w:val="000000"/>
                            <w:szCs w:val="21"/>
                          </w:rPr>
                        </w:pPr>
                        <w:r>
                          <w:rPr>
                            <w:rFonts w:hint="eastAsia"/>
                            <w:szCs w:val="21"/>
                          </w:rPr>
                          <w:t>一、营业总收入</w:t>
                        </w:r>
                      </w:p>
                    </w:tc>
                  </w:sdtContent>
                </w:sdt>
                <w:tc>
                  <w:tcPr>
                    <w:tcW w:w="838" w:type="pct"/>
                    <w:tcBorders>
                      <w:top w:val="outset" w:sz="4" w:space="0" w:color="auto"/>
                      <w:left w:val="outset" w:sz="4" w:space="0" w:color="auto"/>
                      <w:bottom w:val="outset" w:sz="4" w:space="0" w:color="auto"/>
                      <w:right w:val="outset" w:sz="4" w:space="0" w:color="auto"/>
                    </w:tcBorders>
                  </w:tcPr>
                  <w:p w:rsidR="00FB622B" w:rsidRDefault="00FE7F64" w:rsidP="00FB622B">
                    <w:pPr>
                      <w:rPr>
                        <w:szCs w:val="21"/>
                      </w:rPr>
                    </w:pPr>
                    <w:r>
                      <w:rPr>
                        <w:rFonts w:hint="eastAsia"/>
                        <w:szCs w:val="21"/>
                      </w:rPr>
                      <w:t>七、6</w:t>
                    </w:r>
                    <w:r>
                      <w:rPr>
                        <w:szCs w:val="21"/>
                      </w:rPr>
                      <w:t>1</w:t>
                    </w:r>
                  </w:p>
                </w:tc>
                <w:tc>
                  <w:tcPr>
                    <w:tcW w:w="1110" w:type="pct"/>
                    <w:tcBorders>
                      <w:top w:val="outset" w:sz="4" w:space="0" w:color="auto"/>
                      <w:left w:val="outset" w:sz="4" w:space="0" w:color="auto"/>
                      <w:bottom w:val="outset" w:sz="4" w:space="0" w:color="auto"/>
                      <w:right w:val="outset" w:sz="4" w:space="0" w:color="auto"/>
                    </w:tcBorders>
                    <w:vAlign w:val="center"/>
                  </w:tcPr>
                  <w:p w:rsidR="00FB622B" w:rsidRDefault="00FB622B" w:rsidP="00FB622B">
                    <w:pPr>
                      <w:jc w:val="right"/>
                      <w:rPr>
                        <w:szCs w:val="21"/>
                      </w:rPr>
                    </w:pPr>
                    <w:r>
                      <w:t>75,757,671,668</w:t>
                    </w:r>
                  </w:p>
                </w:tc>
                <w:tc>
                  <w:tcPr>
                    <w:tcW w:w="1114" w:type="pct"/>
                    <w:tcBorders>
                      <w:top w:val="outset" w:sz="4" w:space="0" w:color="auto"/>
                      <w:left w:val="outset" w:sz="4" w:space="0" w:color="auto"/>
                      <w:bottom w:val="outset" w:sz="4" w:space="0" w:color="auto"/>
                      <w:right w:val="outset" w:sz="4" w:space="0" w:color="auto"/>
                    </w:tcBorders>
                    <w:vAlign w:val="center"/>
                  </w:tcPr>
                  <w:p w:rsidR="00FB622B" w:rsidRDefault="00FB622B" w:rsidP="00FB622B">
                    <w:pPr>
                      <w:jc w:val="right"/>
                      <w:rPr>
                        <w:szCs w:val="21"/>
                      </w:rPr>
                    </w:pPr>
                    <w:r>
                      <w:t>78,682,047,234</w:t>
                    </w:r>
                  </w:p>
                </w:tc>
              </w:tr>
              <w:tr w:rsidR="007D5C60" w:rsidTr="00326B19">
                <w:sdt>
                  <w:sdtPr>
                    <w:tag w:val="_PLD_79008c1152f2457c85b84fdb8bd94302"/>
                    <w:id w:val="-1196144355"/>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rPr>
                            <w:color w:val="000000"/>
                            <w:szCs w:val="21"/>
                          </w:rPr>
                        </w:pPr>
                        <w:r>
                          <w:rPr>
                            <w:rFonts w:hint="eastAsia"/>
                            <w:szCs w:val="21"/>
                          </w:rPr>
                          <w:t>其中：营业收入</w:t>
                        </w:r>
                      </w:p>
                    </w:tc>
                  </w:sdtContent>
                </w:sdt>
                <w:tc>
                  <w:tcPr>
                    <w:tcW w:w="838" w:type="pct"/>
                    <w:tcBorders>
                      <w:top w:val="outset" w:sz="4" w:space="0" w:color="auto"/>
                      <w:left w:val="outset" w:sz="4" w:space="0" w:color="auto"/>
                      <w:bottom w:val="outset" w:sz="4" w:space="0" w:color="auto"/>
                      <w:right w:val="outset" w:sz="4" w:space="0" w:color="auto"/>
                    </w:tcBorders>
                  </w:tcPr>
                  <w:p w:rsidR="007D5C60" w:rsidRDefault="007D5C60" w:rsidP="007D5C60">
                    <w:pPr>
                      <w:rPr>
                        <w:szCs w:val="21"/>
                      </w:rPr>
                    </w:pPr>
                    <w:r w:rsidRPr="00FE7F64">
                      <w:rPr>
                        <w:rFonts w:hint="eastAsia"/>
                        <w:szCs w:val="21"/>
                      </w:rPr>
                      <w:t>七、</w:t>
                    </w:r>
                    <w:r w:rsidRPr="00FE7F64">
                      <w:rPr>
                        <w:szCs w:val="21"/>
                      </w:rPr>
                      <w:t>61</w:t>
                    </w:r>
                  </w:p>
                </w:tc>
                <w:tc>
                  <w:tcPr>
                    <w:tcW w:w="1110"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jc w:val="right"/>
                      <w:rPr>
                        <w:szCs w:val="21"/>
                      </w:rPr>
                    </w:pPr>
                    <w:r>
                      <w:t>75,757,671,668</w:t>
                    </w:r>
                  </w:p>
                </w:tc>
                <w:tc>
                  <w:tcPr>
                    <w:tcW w:w="1114"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jc w:val="right"/>
                      <w:rPr>
                        <w:szCs w:val="21"/>
                      </w:rPr>
                    </w:pPr>
                    <w:r>
                      <w:t>78,682,047,234</w:t>
                    </w:r>
                  </w:p>
                </w:tc>
              </w:tr>
              <w:tr w:rsidR="007D5C60" w:rsidTr="00A67D4D">
                <w:sdt>
                  <w:sdtPr>
                    <w:tag w:val="_PLD_b2b5ee31e3a04fd686ce6a770a4bf7f8"/>
                    <w:id w:val="1375965733"/>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ind w:firstLineChars="300" w:firstLine="630"/>
                          <w:rPr>
                            <w:color w:val="000000"/>
                            <w:szCs w:val="21"/>
                          </w:rPr>
                        </w:pPr>
                        <w:r>
                          <w:rPr>
                            <w:rFonts w:hint="eastAsia"/>
                            <w:szCs w:val="21"/>
                          </w:rPr>
                          <w:t>利息收入</w:t>
                        </w:r>
                      </w:p>
                    </w:tc>
                  </w:sdtContent>
                </w:sdt>
                <w:tc>
                  <w:tcPr>
                    <w:tcW w:w="838" w:type="pct"/>
                    <w:tcBorders>
                      <w:top w:val="outset" w:sz="4" w:space="0" w:color="auto"/>
                      <w:left w:val="outset" w:sz="4" w:space="0" w:color="auto"/>
                      <w:bottom w:val="outset" w:sz="4" w:space="0" w:color="auto"/>
                      <w:right w:val="outset" w:sz="4" w:space="0" w:color="auto"/>
                    </w:tcBorders>
                  </w:tcPr>
                  <w:p w:rsidR="007D5C60" w:rsidRDefault="007D5C60" w:rsidP="007D5C60">
                    <w:pPr>
                      <w:rPr>
                        <w:szCs w:val="21"/>
                      </w:rPr>
                    </w:pPr>
                  </w:p>
                </w:tc>
                <w:tc>
                  <w:tcPr>
                    <w:tcW w:w="1110" w:type="pct"/>
                    <w:tcBorders>
                      <w:top w:val="outset" w:sz="4" w:space="0" w:color="auto"/>
                      <w:left w:val="outset" w:sz="4" w:space="0" w:color="auto"/>
                      <w:bottom w:val="outset" w:sz="4" w:space="0" w:color="auto"/>
                      <w:right w:val="outset" w:sz="4" w:space="0" w:color="auto"/>
                    </w:tcBorders>
                  </w:tcPr>
                  <w:p w:rsidR="007D5C60" w:rsidRDefault="007D5C60" w:rsidP="007D5C60">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7D5C60" w:rsidRDefault="007D5C60" w:rsidP="007D5C60">
                    <w:pPr>
                      <w:jc w:val="right"/>
                      <w:rPr>
                        <w:szCs w:val="21"/>
                      </w:rPr>
                    </w:pPr>
                  </w:p>
                </w:tc>
              </w:tr>
              <w:tr w:rsidR="007D5C60" w:rsidTr="00A67D4D">
                <w:sdt>
                  <w:sdtPr>
                    <w:tag w:val="_PLD_2b4b4e07fd124105920ebc7fd41981e3"/>
                    <w:id w:val="714940133"/>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ind w:firstLineChars="300" w:firstLine="630"/>
                          <w:rPr>
                            <w:szCs w:val="21"/>
                          </w:rPr>
                        </w:pPr>
                        <w:r>
                          <w:rPr>
                            <w:rFonts w:hint="eastAsia"/>
                            <w:szCs w:val="21"/>
                          </w:rPr>
                          <w:t>已赚保费</w:t>
                        </w:r>
                      </w:p>
                    </w:tc>
                  </w:sdtContent>
                </w:sdt>
                <w:tc>
                  <w:tcPr>
                    <w:tcW w:w="838" w:type="pct"/>
                    <w:tcBorders>
                      <w:top w:val="outset" w:sz="4" w:space="0" w:color="auto"/>
                      <w:left w:val="outset" w:sz="4" w:space="0" w:color="auto"/>
                      <w:bottom w:val="outset" w:sz="4" w:space="0" w:color="auto"/>
                      <w:right w:val="outset" w:sz="4" w:space="0" w:color="auto"/>
                    </w:tcBorders>
                  </w:tcPr>
                  <w:p w:rsidR="007D5C60" w:rsidRDefault="007D5C60" w:rsidP="007D5C60">
                    <w:pPr>
                      <w:rPr>
                        <w:szCs w:val="21"/>
                      </w:rPr>
                    </w:pPr>
                  </w:p>
                </w:tc>
                <w:tc>
                  <w:tcPr>
                    <w:tcW w:w="1110" w:type="pct"/>
                    <w:tcBorders>
                      <w:top w:val="outset" w:sz="4" w:space="0" w:color="auto"/>
                      <w:left w:val="outset" w:sz="4" w:space="0" w:color="auto"/>
                      <w:bottom w:val="outset" w:sz="4" w:space="0" w:color="auto"/>
                      <w:right w:val="outset" w:sz="4" w:space="0" w:color="auto"/>
                    </w:tcBorders>
                  </w:tcPr>
                  <w:p w:rsidR="007D5C60" w:rsidRDefault="007D5C60" w:rsidP="007D5C60">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7D5C60" w:rsidRDefault="007D5C60" w:rsidP="007D5C60">
                    <w:pPr>
                      <w:jc w:val="right"/>
                      <w:rPr>
                        <w:szCs w:val="21"/>
                      </w:rPr>
                    </w:pPr>
                  </w:p>
                </w:tc>
              </w:tr>
              <w:tr w:rsidR="007D5C60" w:rsidTr="00A67D4D">
                <w:sdt>
                  <w:sdtPr>
                    <w:tag w:val="_PLD_e0807caa85b74b3ba05d867a5d0c221a"/>
                    <w:id w:val="1105082062"/>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ind w:firstLineChars="300" w:firstLine="630"/>
                          <w:rPr>
                            <w:szCs w:val="21"/>
                          </w:rPr>
                        </w:pPr>
                        <w:r>
                          <w:rPr>
                            <w:rFonts w:hint="eastAsia"/>
                            <w:szCs w:val="21"/>
                          </w:rPr>
                          <w:t>手续费及佣金收入</w:t>
                        </w:r>
                      </w:p>
                    </w:tc>
                  </w:sdtContent>
                </w:sdt>
                <w:tc>
                  <w:tcPr>
                    <w:tcW w:w="838" w:type="pct"/>
                    <w:tcBorders>
                      <w:top w:val="outset" w:sz="4" w:space="0" w:color="auto"/>
                      <w:left w:val="outset" w:sz="4" w:space="0" w:color="auto"/>
                      <w:bottom w:val="outset" w:sz="4" w:space="0" w:color="auto"/>
                      <w:right w:val="outset" w:sz="4" w:space="0" w:color="auto"/>
                    </w:tcBorders>
                  </w:tcPr>
                  <w:p w:rsidR="007D5C60" w:rsidRDefault="007D5C60" w:rsidP="007D5C60">
                    <w:pPr>
                      <w:rPr>
                        <w:szCs w:val="21"/>
                      </w:rPr>
                    </w:pPr>
                  </w:p>
                </w:tc>
                <w:tc>
                  <w:tcPr>
                    <w:tcW w:w="1110" w:type="pct"/>
                    <w:tcBorders>
                      <w:top w:val="outset" w:sz="4" w:space="0" w:color="auto"/>
                      <w:left w:val="outset" w:sz="4" w:space="0" w:color="auto"/>
                      <w:bottom w:val="outset" w:sz="4" w:space="0" w:color="auto"/>
                      <w:right w:val="outset" w:sz="4" w:space="0" w:color="auto"/>
                    </w:tcBorders>
                  </w:tcPr>
                  <w:p w:rsidR="007D5C60" w:rsidRDefault="007D5C60" w:rsidP="007D5C60">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7D5C60" w:rsidRDefault="007D5C60" w:rsidP="007D5C60">
                    <w:pPr>
                      <w:jc w:val="right"/>
                      <w:rPr>
                        <w:szCs w:val="21"/>
                      </w:rPr>
                    </w:pPr>
                  </w:p>
                </w:tc>
              </w:tr>
              <w:tr w:rsidR="007D5C60" w:rsidTr="00A67D4D">
                <w:sdt>
                  <w:sdtPr>
                    <w:tag w:val="_PLD_e6f3ec17fb0b4d11b9c07106540a4ab0"/>
                    <w:id w:val="222263998"/>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rPr>
                            <w:color w:val="000000"/>
                            <w:szCs w:val="21"/>
                          </w:rPr>
                        </w:pPr>
                        <w:r>
                          <w:rPr>
                            <w:rFonts w:hint="eastAsia"/>
                            <w:szCs w:val="21"/>
                          </w:rPr>
                          <w:t>二、营业总成本</w:t>
                        </w:r>
                      </w:p>
                    </w:tc>
                  </w:sdtContent>
                </w:sdt>
                <w:tc>
                  <w:tcPr>
                    <w:tcW w:w="838" w:type="pct"/>
                    <w:tcBorders>
                      <w:top w:val="outset" w:sz="4" w:space="0" w:color="auto"/>
                      <w:left w:val="outset" w:sz="4" w:space="0" w:color="auto"/>
                      <w:bottom w:val="outset" w:sz="4" w:space="0" w:color="auto"/>
                      <w:right w:val="outset" w:sz="4" w:space="0" w:color="auto"/>
                    </w:tcBorders>
                  </w:tcPr>
                  <w:p w:rsidR="007D5C60" w:rsidRDefault="007D5C60" w:rsidP="007D5C60">
                    <w:pPr>
                      <w:rPr>
                        <w:szCs w:val="21"/>
                      </w:rPr>
                    </w:pPr>
                  </w:p>
                </w:tc>
                <w:tc>
                  <w:tcPr>
                    <w:tcW w:w="1110" w:type="pct"/>
                    <w:tcBorders>
                      <w:top w:val="outset" w:sz="4" w:space="0" w:color="auto"/>
                      <w:left w:val="outset" w:sz="4" w:space="0" w:color="auto"/>
                      <w:bottom w:val="outset" w:sz="4" w:space="0" w:color="auto"/>
                      <w:right w:val="outset" w:sz="4" w:space="0" w:color="auto"/>
                    </w:tcBorders>
                  </w:tcPr>
                  <w:p w:rsidR="007D5C60" w:rsidRDefault="00260C93" w:rsidP="007D5C60">
                    <w:pPr>
                      <w:jc w:val="right"/>
                      <w:rPr>
                        <w:szCs w:val="21"/>
                      </w:rPr>
                    </w:pPr>
                    <w:r w:rsidRPr="00260C93">
                      <w:rPr>
                        <w:szCs w:val="21"/>
                      </w:rPr>
                      <w:t>61,924,694,150</w:t>
                    </w:r>
                  </w:p>
                </w:tc>
                <w:tc>
                  <w:tcPr>
                    <w:tcW w:w="1114" w:type="pct"/>
                    <w:tcBorders>
                      <w:top w:val="outset" w:sz="4" w:space="0" w:color="auto"/>
                      <w:left w:val="outset" w:sz="4" w:space="0" w:color="auto"/>
                      <w:bottom w:val="outset" w:sz="4" w:space="0" w:color="auto"/>
                      <w:right w:val="outset" w:sz="4" w:space="0" w:color="auto"/>
                    </w:tcBorders>
                  </w:tcPr>
                  <w:p w:rsidR="007D5C60" w:rsidRDefault="00483D85" w:rsidP="007D5C60">
                    <w:pPr>
                      <w:jc w:val="right"/>
                      <w:rPr>
                        <w:szCs w:val="21"/>
                      </w:rPr>
                    </w:pPr>
                    <w:r w:rsidRPr="00483D85">
                      <w:rPr>
                        <w:szCs w:val="21"/>
                      </w:rPr>
                      <w:t>63,148,362,745</w:t>
                    </w:r>
                  </w:p>
                </w:tc>
              </w:tr>
              <w:tr w:rsidR="007D5C60" w:rsidTr="00601D47">
                <w:sdt>
                  <w:sdtPr>
                    <w:tag w:val="_PLD_2bdd986d7efa4149a9f572f9b2a74150"/>
                    <w:id w:val="2013879912"/>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rPr>
                            <w:color w:val="000000"/>
                            <w:szCs w:val="21"/>
                          </w:rPr>
                        </w:pPr>
                        <w:r>
                          <w:rPr>
                            <w:rFonts w:hint="eastAsia"/>
                            <w:szCs w:val="21"/>
                          </w:rPr>
                          <w:t>其中：营业成本</w:t>
                        </w:r>
                      </w:p>
                    </w:tc>
                  </w:sdtContent>
                </w:sdt>
                <w:tc>
                  <w:tcPr>
                    <w:tcW w:w="838" w:type="pct"/>
                    <w:tcBorders>
                      <w:top w:val="outset" w:sz="4" w:space="0" w:color="auto"/>
                      <w:left w:val="outset" w:sz="4" w:space="0" w:color="auto"/>
                      <w:bottom w:val="outset" w:sz="4" w:space="0" w:color="auto"/>
                      <w:right w:val="outset" w:sz="4" w:space="0" w:color="auto"/>
                    </w:tcBorders>
                  </w:tcPr>
                  <w:p w:rsidR="007D5C60" w:rsidRDefault="007D5C60" w:rsidP="007D5C60">
                    <w:pPr>
                      <w:rPr>
                        <w:szCs w:val="21"/>
                      </w:rPr>
                    </w:pPr>
                    <w:r w:rsidRPr="00FE7F64">
                      <w:rPr>
                        <w:rFonts w:hint="eastAsia"/>
                        <w:szCs w:val="21"/>
                      </w:rPr>
                      <w:t>七、</w:t>
                    </w:r>
                    <w:r w:rsidRPr="00FE7F64">
                      <w:rPr>
                        <w:szCs w:val="21"/>
                      </w:rPr>
                      <w:t>61</w:t>
                    </w:r>
                  </w:p>
                </w:tc>
                <w:tc>
                  <w:tcPr>
                    <w:tcW w:w="1110"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jc w:val="right"/>
                      <w:rPr>
                        <w:szCs w:val="21"/>
                      </w:rPr>
                    </w:pPr>
                    <w:r>
                      <w:t>60,635,227,652</w:t>
                    </w:r>
                  </w:p>
                </w:tc>
                <w:tc>
                  <w:tcPr>
                    <w:tcW w:w="1114"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jc w:val="right"/>
                      <w:rPr>
                        <w:szCs w:val="21"/>
                      </w:rPr>
                    </w:pPr>
                    <w:r>
                      <w:t>61,508,590,683</w:t>
                    </w:r>
                  </w:p>
                </w:tc>
              </w:tr>
              <w:tr w:rsidR="007D5C60" w:rsidTr="00A67D4D">
                <w:sdt>
                  <w:sdtPr>
                    <w:tag w:val="_PLD_ded1502b72c34d6098b091412f46ed9d"/>
                    <w:id w:val="2105767076"/>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ind w:firstLineChars="300" w:firstLine="630"/>
                          <w:rPr>
                            <w:szCs w:val="21"/>
                          </w:rPr>
                        </w:pPr>
                        <w:r>
                          <w:rPr>
                            <w:rFonts w:hint="eastAsia"/>
                            <w:szCs w:val="21"/>
                          </w:rPr>
                          <w:t>利息支出</w:t>
                        </w:r>
                      </w:p>
                    </w:tc>
                  </w:sdtContent>
                </w:sdt>
                <w:tc>
                  <w:tcPr>
                    <w:tcW w:w="838" w:type="pct"/>
                    <w:tcBorders>
                      <w:top w:val="outset" w:sz="4" w:space="0" w:color="auto"/>
                      <w:left w:val="outset" w:sz="4" w:space="0" w:color="auto"/>
                      <w:bottom w:val="outset" w:sz="4" w:space="0" w:color="auto"/>
                      <w:right w:val="outset" w:sz="4" w:space="0" w:color="auto"/>
                    </w:tcBorders>
                  </w:tcPr>
                  <w:p w:rsidR="007D5C60" w:rsidRDefault="007D5C60" w:rsidP="007D5C60">
                    <w:pPr>
                      <w:rPr>
                        <w:szCs w:val="21"/>
                      </w:rPr>
                    </w:pPr>
                  </w:p>
                </w:tc>
                <w:tc>
                  <w:tcPr>
                    <w:tcW w:w="1110" w:type="pct"/>
                    <w:tcBorders>
                      <w:top w:val="outset" w:sz="4" w:space="0" w:color="auto"/>
                      <w:left w:val="outset" w:sz="4" w:space="0" w:color="auto"/>
                      <w:bottom w:val="outset" w:sz="4" w:space="0" w:color="auto"/>
                      <w:right w:val="outset" w:sz="4" w:space="0" w:color="auto"/>
                    </w:tcBorders>
                  </w:tcPr>
                  <w:p w:rsidR="007D5C60" w:rsidRDefault="007D5C60" w:rsidP="007D5C60">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7D5C60" w:rsidRDefault="007D5C60" w:rsidP="007D5C60">
                    <w:pPr>
                      <w:jc w:val="right"/>
                      <w:rPr>
                        <w:szCs w:val="21"/>
                      </w:rPr>
                    </w:pPr>
                  </w:p>
                </w:tc>
              </w:tr>
              <w:tr w:rsidR="007D5C60" w:rsidTr="00A67D4D">
                <w:sdt>
                  <w:sdtPr>
                    <w:tag w:val="_PLD_acfa1a49c93048668179af2ead80c356"/>
                    <w:id w:val="-891041083"/>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ind w:firstLineChars="300" w:firstLine="630"/>
                          <w:rPr>
                            <w:szCs w:val="21"/>
                          </w:rPr>
                        </w:pPr>
                        <w:r>
                          <w:rPr>
                            <w:rFonts w:hint="eastAsia"/>
                            <w:szCs w:val="21"/>
                          </w:rPr>
                          <w:t>手续费及佣金支出</w:t>
                        </w:r>
                      </w:p>
                    </w:tc>
                  </w:sdtContent>
                </w:sdt>
                <w:tc>
                  <w:tcPr>
                    <w:tcW w:w="838" w:type="pct"/>
                    <w:tcBorders>
                      <w:top w:val="outset" w:sz="4" w:space="0" w:color="auto"/>
                      <w:left w:val="outset" w:sz="4" w:space="0" w:color="auto"/>
                      <w:bottom w:val="outset" w:sz="4" w:space="0" w:color="auto"/>
                      <w:right w:val="outset" w:sz="4" w:space="0" w:color="auto"/>
                    </w:tcBorders>
                  </w:tcPr>
                  <w:p w:rsidR="007D5C60" w:rsidRDefault="007D5C60" w:rsidP="007D5C60">
                    <w:pPr>
                      <w:rPr>
                        <w:szCs w:val="21"/>
                      </w:rPr>
                    </w:pPr>
                  </w:p>
                </w:tc>
                <w:tc>
                  <w:tcPr>
                    <w:tcW w:w="1110" w:type="pct"/>
                    <w:tcBorders>
                      <w:top w:val="outset" w:sz="4" w:space="0" w:color="auto"/>
                      <w:left w:val="outset" w:sz="4" w:space="0" w:color="auto"/>
                      <w:bottom w:val="outset" w:sz="4" w:space="0" w:color="auto"/>
                      <w:right w:val="outset" w:sz="4" w:space="0" w:color="auto"/>
                    </w:tcBorders>
                  </w:tcPr>
                  <w:p w:rsidR="007D5C60" w:rsidRDefault="007D5C60" w:rsidP="007D5C60">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7D5C60" w:rsidRDefault="007D5C60" w:rsidP="007D5C60">
                    <w:pPr>
                      <w:jc w:val="right"/>
                      <w:rPr>
                        <w:szCs w:val="21"/>
                      </w:rPr>
                    </w:pPr>
                  </w:p>
                </w:tc>
              </w:tr>
              <w:tr w:rsidR="007D5C60" w:rsidTr="00A67D4D">
                <w:sdt>
                  <w:sdtPr>
                    <w:tag w:val="_PLD_9c1309799af844b5b157719c070c5247"/>
                    <w:id w:val="-1890563717"/>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ind w:firstLineChars="300" w:firstLine="630"/>
                          <w:rPr>
                            <w:szCs w:val="21"/>
                          </w:rPr>
                        </w:pPr>
                        <w:r>
                          <w:rPr>
                            <w:rFonts w:hint="eastAsia"/>
                            <w:szCs w:val="21"/>
                          </w:rPr>
                          <w:t>退保金</w:t>
                        </w:r>
                      </w:p>
                    </w:tc>
                  </w:sdtContent>
                </w:sdt>
                <w:tc>
                  <w:tcPr>
                    <w:tcW w:w="838" w:type="pct"/>
                    <w:tcBorders>
                      <w:top w:val="outset" w:sz="4" w:space="0" w:color="auto"/>
                      <w:left w:val="outset" w:sz="4" w:space="0" w:color="auto"/>
                      <w:bottom w:val="outset" w:sz="4" w:space="0" w:color="auto"/>
                      <w:right w:val="outset" w:sz="4" w:space="0" w:color="auto"/>
                    </w:tcBorders>
                  </w:tcPr>
                  <w:p w:rsidR="007D5C60" w:rsidRDefault="007D5C60" w:rsidP="007D5C60">
                    <w:pPr>
                      <w:rPr>
                        <w:szCs w:val="21"/>
                      </w:rPr>
                    </w:pPr>
                  </w:p>
                </w:tc>
                <w:tc>
                  <w:tcPr>
                    <w:tcW w:w="1110" w:type="pct"/>
                    <w:tcBorders>
                      <w:top w:val="outset" w:sz="4" w:space="0" w:color="auto"/>
                      <w:left w:val="outset" w:sz="4" w:space="0" w:color="auto"/>
                      <w:bottom w:val="outset" w:sz="4" w:space="0" w:color="auto"/>
                      <w:right w:val="outset" w:sz="4" w:space="0" w:color="auto"/>
                    </w:tcBorders>
                  </w:tcPr>
                  <w:p w:rsidR="007D5C60" w:rsidRDefault="007D5C60" w:rsidP="007D5C60">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7D5C60" w:rsidRDefault="007D5C60" w:rsidP="007D5C60">
                    <w:pPr>
                      <w:jc w:val="right"/>
                      <w:rPr>
                        <w:szCs w:val="21"/>
                      </w:rPr>
                    </w:pPr>
                  </w:p>
                </w:tc>
              </w:tr>
              <w:tr w:rsidR="007D5C60" w:rsidTr="00A67D4D">
                <w:sdt>
                  <w:sdtPr>
                    <w:tag w:val="_PLD_ec699312a14243589e13d1662232ea40"/>
                    <w:id w:val="-1574108597"/>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ind w:firstLineChars="300" w:firstLine="630"/>
                          <w:rPr>
                            <w:szCs w:val="21"/>
                          </w:rPr>
                        </w:pPr>
                        <w:r>
                          <w:rPr>
                            <w:rFonts w:hint="eastAsia"/>
                            <w:szCs w:val="21"/>
                          </w:rPr>
                          <w:t>赔付支出净额</w:t>
                        </w:r>
                      </w:p>
                    </w:tc>
                  </w:sdtContent>
                </w:sdt>
                <w:tc>
                  <w:tcPr>
                    <w:tcW w:w="838" w:type="pct"/>
                    <w:tcBorders>
                      <w:top w:val="outset" w:sz="4" w:space="0" w:color="auto"/>
                      <w:left w:val="outset" w:sz="4" w:space="0" w:color="auto"/>
                      <w:bottom w:val="outset" w:sz="4" w:space="0" w:color="auto"/>
                      <w:right w:val="outset" w:sz="4" w:space="0" w:color="auto"/>
                    </w:tcBorders>
                  </w:tcPr>
                  <w:p w:rsidR="007D5C60" w:rsidRDefault="007D5C60" w:rsidP="007D5C60">
                    <w:pPr>
                      <w:rPr>
                        <w:szCs w:val="21"/>
                      </w:rPr>
                    </w:pPr>
                  </w:p>
                </w:tc>
                <w:tc>
                  <w:tcPr>
                    <w:tcW w:w="1110" w:type="pct"/>
                    <w:tcBorders>
                      <w:top w:val="outset" w:sz="4" w:space="0" w:color="auto"/>
                      <w:left w:val="outset" w:sz="4" w:space="0" w:color="auto"/>
                      <w:bottom w:val="outset" w:sz="4" w:space="0" w:color="auto"/>
                      <w:right w:val="outset" w:sz="4" w:space="0" w:color="auto"/>
                    </w:tcBorders>
                  </w:tcPr>
                  <w:p w:rsidR="007D5C60" w:rsidRDefault="007D5C60" w:rsidP="007D5C60">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7D5C60" w:rsidRDefault="007D5C60" w:rsidP="007D5C60">
                    <w:pPr>
                      <w:jc w:val="right"/>
                      <w:rPr>
                        <w:szCs w:val="21"/>
                      </w:rPr>
                    </w:pPr>
                  </w:p>
                </w:tc>
              </w:tr>
              <w:tr w:rsidR="007D5C60" w:rsidTr="00A67D4D">
                <w:sdt>
                  <w:sdtPr>
                    <w:tag w:val="_PLD_6cb9f866e4114aaca5c32d5ffde6a025"/>
                    <w:id w:val="875356131"/>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ind w:firstLineChars="300" w:firstLine="630"/>
                          <w:rPr>
                            <w:szCs w:val="21"/>
                          </w:rPr>
                        </w:pPr>
                        <w:r>
                          <w:rPr>
                            <w:rFonts w:hint="eastAsia"/>
                            <w:szCs w:val="21"/>
                          </w:rPr>
                          <w:t>提取保险责任准备金净额</w:t>
                        </w:r>
                      </w:p>
                    </w:tc>
                  </w:sdtContent>
                </w:sdt>
                <w:tc>
                  <w:tcPr>
                    <w:tcW w:w="838" w:type="pct"/>
                    <w:tcBorders>
                      <w:top w:val="outset" w:sz="4" w:space="0" w:color="auto"/>
                      <w:left w:val="outset" w:sz="4" w:space="0" w:color="auto"/>
                      <w:bottom w:val="outset" w:sz="4" w:space="0" w:color="auto"/>
                      <w:right w:val="outset" w:sz="4" w:space="0" w:color="auto"/>
                    </w:tcBorders>
                  </w:tcPr>
                  <w:p w:rsidR="007D5C60" w:rsidRDefault="007D5C60" w:rsidP="007D5C60">
                    <w:pPr>
                      <w:rPr>
                        <w:szCs w:val="21"/>
                      </w:rPr>
                    </w:pPr>
                  </w:p>
                </w:tc>
                <w:tc>
                  <w:tcPr>
                    <w:tcW w:w="1110" w:type="pct"/>
                    <w:tcBorders>
                      <w:top w:val="outset" w:sz="4" w:space="0" w:color="auto"/>
                      <w:left w:val="outset" w:sz="4" w:space="0" w:color="auto"/>
                      <w:bottom w:val="outset" w:sz="4" w:space="0" w:color="auto"/>
                      <w:right w:val="outset" w:sz="4" w:space="0" w:color="auto"/>
                    </w:tcBorders>
                  </w:tcPr>
                  <w:p w:rsidR="007D5C60" w:rsidRDefault="007D5C60" w:rsidP="007D5C60">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7D5C60" w:rsidRDefault="007D5C60" w:rsidP="007D5C60">
                    <w:pPr>
                      <w:jc w:val="right"/>
                      <w:rPr>
                        <w:szCs w:val="21"/>
                      </w:rPr>
                    </w:pPr>
                  </w:p>
                </w:tc>
              </w:tr>
              <w:tr w:rsidR="007D5C60" w:rsidTr="00A67D4D">
                <w:sdt>
                  <w:sdtPr>
                    <w:tag w:val="_PLD_8150448f2b374fb5b092356dd35f581f"/>
                    <w:id w:val="-527185026"/>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ind w:firstLineChars="300" w:firstLine="630"/>
                          <w:rPr>
                            <w:szCs w:val="21"/>
                          </w:rPr>
                        </w:pPr>
                        <w:r>
                          <w:rPr>
                            <w:rFonts w:hint="eastAsia"/>
                            <w:szCs w:val="21"/>
                          </w:rPr>
                          <w:t>保单红利支出</w:t>
                        </w:r>
                      </w:p>
                    </w:tc>
                  </w:sdtContent>
                </w:sdt>
                <w:tc>
                  <w:tcPr>
                    <w:tcW w:w="838" w:type="pct"/>
                    <w:tcBorders>
                      <w:top w:val="outset" w:sz="4" w:space="0" w:color="auto"/>
                      <w:left w:val="outset" w:sz="4" w:space="0" w:color="auto"/>
                      <w:bottom w:val="outset" w:sz="4" w:space="0" w:color="auto"/>
                      <w:right w:val="outset" w:sz="4" w:space="0" w:color="auto"/>
                    </w:tcBorders>
                  </w:tcPr>
                  <w:p w:rsidR="007D5C60" w:rsidRDefault="007D5C60" w:rsidP="007D5C60">
                    <w:pPr>
                      <w:rPr>
                        <w:szCs w:val="21"/>
                      </w:rPr>
                    </w:pPr>
                  </w:p>
                </w:tc>
                <w:tc>
                  <w:tcPr>
                    <w:tcW w:w="1110" w:type="pct"/>
                    <w:tcBorders>
                      <w:top w:val="outset" w:sz="4" w:space="0" w:color="auto"/>
                      <w:left w:val="outset" w:sz="4" w:space="0" w:color="auto"/>
                      <w:bottom w:val="outset" w:sz="4" w:space="0" w:color="auto"/>
                      <w:right w:val="outset" w:sz="4" w:space="0" w:color="auto"/>
                    </w:tcBorders>
                  </w:tcPr>
                  <w:p w:rsidR="007D5C60" w:rsidRDefault="007D5C60" w:rsidP="007D5C60">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7D5C60" w:rsidRDefault="007D5C60" w:rsidP="007D5C60">
                    <w:pPr>
                      <w:jc w:val="right"/>
                      <w:rPr>
                        <w:szCs w:val="21"/>
                      </w:rPr>
                    </w:pPr>
                  </w:p>
                </w:tc>
              </w:tr>
              <w:tr w:rsidR="007D5C60" w:rsidTr="00A67D4D">
                <w:sdt>
                  <w:sdtPr>
                    <w:tag w:val="_PLD_ba59332484d64aaa97873c9ce8cd2fb3"/>
                    <w:id w:val="70627085"/>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ind w:firstLineChars="300" w:firstLine="630"/>
                          <w:rPr>
                            <w:szCs w:val="21"/>
                          </w:rPr>
                        </w:pPr>
                        <w:r>
                          <w:rPr>
                            <w:rFonts w:hint="eastAsia"/>
                            <w:szCs w:val="21"/>
                          </w:rPr>
                          <w:t>分保费用</w:t>
                        </w:r>
                      </w:p>
                    </w:tc>
                  </w:sdtContent>
                </w:sdt>
                <w:tc>
                  <w:tcPr>
                    <w:tcW w:w="838" w:type="pct"/>
                    <w:tcBorders>
                      <w:top w:val="outset" w:sz="4" w:space="0" w:color="auto"/>
                      <w:left w:val="outset" w:sz="4" w:space="0" w:color="auto"/>
                      <w:bottom w:val="outset" w:sz="4" w:space="0" w:color="auto"/>
                      <w:right w:val="outset" w:sz="4" w:space="0" w:color="auto"/>
                    </w:tcBorders>
                  </w:tcPr>
                  <w:p w:rsidR="007D5C60" w:rsidRDefault="007D5C60" w:rsidP="007D5C60">
                    <w:pPr>
                      <w:rPr>
                        <w:szCs w:val="21"/>
                      </w:rPr>
                    </w:pPr>
                  </w:p>
                </w:tc>
                <w:tc>
                  <w:tcPr>
                    <w:tcW w:w="1110" w:type="pct"/>
                    <w:tcBorders>
                      <w:top w:val="outset" w:sz="4" w:space="0" w:color="auto"/>
                      <w:left w:val="outset" w:sz="4" w:space="0" w:color="auto"/>
                      <w:bottom w:val="outset" w:sz="4" w:space="0" w:color="auto"/>
                      <w:right w:val="outset" w:sz="4" w:space="0" w:color="auto"/>
                    </w:tcBorders>
                  </w:tcPr>
                  <w:p w:rsidR="007D5C60" w:rsidRDefault="007D5C60" w:rsidP="007D5C60">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7D5C60" w:rsidRDefault="007D5C60" w:rsidP="007D5C60">
                    <w:pPr>
                      <w:jc w:val="right"/>
                      <w:rPr>
                        <w:szCs w:val="21"/>
                      </w:rPr>
                    </w:pPr>
                  </w:p>
                </w:tc>
              </w:tr>
              <w:tr w:rsidR="007D5C60" w:rsidTr="00601D47">
                <w:sdt>
                  <w:sdtPr>
                    <w:tag w:val="_PLD_55aa701a04e74c3681ea0f45ee50b8d7"/>
                    <w:id w:val="160514910"/>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ind w:firstLineChars="300" w:firstLine="630"/>
                          <w:rPr>
                            <w:szCs w:val="21"/>
                          </w:rPr>
                        </w:pPr>
                        <w:r>
                          <w:rPr>
                            <w:rFonts w:hint="eastAsia"/>
                            <w:szCs w:val="21"/>
                          </w:rPr>
                          <w:t>税金及附加</w:t>
                        </w:r>
                      </w:p>
                    </w:tc>
                  </w:sdtContent>
                </w:sdt>
                <w:tc>
                  <w:tcPr>
                    <w:tcW w:w="838" w:type="pct"/>
                    <w:tcBorders>
                      <w:top w:val="outset" w:sz="4" w:space="0" w:color="auto"/>
                      <w:left w:val="outset" w:sz="4" w:space="0" w:color="auto"/>
                      <w:bottom w:val="outset" w:sz="4" w:space="0" w:color="auto"/>
                      <w:right w:val="outset" w:sz="4" w:space="0" w:color="auto"/>
                    </w:tcBorders>
                  </w:tcPr>
                  <w:p w:rsidR="007D5C60" w:rsidRDefault="007D5C60" w:rsidP="007D5C60">
                    <w:pPr>
                      <w:rPr>
                        <w:szCs w:val="21"/>
                      </w:rPr>
                    </w:pPr>
                    <w:r>
                      <w:rPr>
                        <w:rFonts w:hint="eastAsia"/>
                        <w:szCs w:val="21"/>
                      </w:rPr>
                      <w:t>七、6</w:t>
                    </w:r>
                    <w:r>
                      <w:rPr>
                        <w:szCs w:val="21"/>
                      </w:rPr>
                      <w:t>2</w:t>
                    </w:r>
                  </w:p>
                </w:tc>
                <w:tc>
                  <w:tcPr>
                    <w:tcW w:w="1110"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jc w:val="right"/>
                      <w:rPr>
                        <w:szCs w:val="21"/>
                      </w:rPr>
                    </w:pPr>
                    <w:r>
                      <w:t>65,464,941</w:t>
                    </w:r>
                  </w:p>
                </w:tc>
                <w:tc>
                  <w:tcPr>
                    <w:tcW w:w="1114"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jc w:val="right"/>
                      <w:rPr>
                        <w:szCs w:val="21"/>
                      </w:rPr>
                    </w:pPr>
                    <w:r>
                      <w:t>292,633,828</w:t>
                    </w:r>
                  </w:p>
                </w:tc>
              </w:tr>
              <w:tr w:rsidR="007D5C60" w:rsidTr="00601D47">
                <w:sdt>
                  <w:sdtPr>
                    <w:tag w:val="_PLD_ce31130c4729428dbfe379dfced40dc5"/>
                    <w:id w:val="-1199781297"/>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ind w:firstLineChars="300" w:firstLine="630"/>
                          <w:rPr>
                            <w:szCs w:val="21"/>
                          </w:rPr>
                        </w:pPr>
                        <w:r>
                          <w:rPr>
                            <w:rFonts w:hint="eastAsia"/>
                            <w:szCs w:val="21"/>
                          </w:rPr>
                          <w:t>销售费用</w:t>
                        </w:r>
                      </w:p>
                    </w:tc>
                  </w:sdtContent>
                </w:sdt>
                <w:tc>
                  <w:tcPr>
                    <w:tcW w:w="838" w:type="pct"/>
                    <w:tcBorders>
                      <w:top w:val="outset" w:sz="4" w:space="0" w:color="auto"/>
                      <w:left w:val="outset" w:sz="4" w:space="0" w:color="auto"/>
                      <w:bottom w:val="outset" w:sz="4" w:space="0" w:color="auto"/>
                      <w:right w:val="outset" w:sz="4" w:space="0" w:color="auto"/>
                    </w:tcBorders>
                  </w:tcPr>
                  <w:p w:rsidR="007D5C60" w:rsidRDefault="007D5C60" w:rsidP="007D5C60">
                    <w:pPr>
                      <w:rPr>
                        <w:szCs w:val="21"/>
                      </w:rPr>
                    </w:pPr>
                    <w:r>
                      <w:rPr>
                        <w:rFonts w:hint="eastAsia"/>
                        <w:szCs w:val="21"/>
                      </w:rPr>
                      <w:t>七、6</w:t>
                    </w:r>
                    <w:r>
                      <w:rPr>
                        <w:szCs w:val="21"/>
                      </w:rPr>
                      <w:t>3</w:t>
                    </w:r>
                  </w:p>
                </w:tc>
                <w:tc>
                  <w:tcPr>
                    <w:tcW w:w="1110"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jc w:val="right"/>
                      <w:rPr>
                        <w:szCs w:val="21"/>
                      </w:rPr>
                    </w:pPr>
                    <w:r>
                      <w:t>226,530,969</w:t>
                    </w:r>
                  </w:p>
                </w:tc>
                <w:tc>
                  <w:tcPr>
                    <w:tcW w:w="1114"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jc w:val="right"/>
                      <w:rPr>
                        <w:szCs w:val="21"/>
                      </w:rPr>
                    </w:pPr>
                    <w:r>
                      <w:t>223,968,870</w:t>
                    </w:r>
                  </w:p>
                </w:tc>
              </w:tr>
              <w:tr w:rsidR="007D5C60" w:rsidTr="00601D47">
                <w:sdt>
                  <w:sdtPr>
                    <w:tag w:val="_PLD_17a7b505b88c4f87bc0ba854f37b118f"/>
                    <w:id w:val="892548904"/>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ind w:firstLineChars="300" w:firstLine="630"/>
                          <w:rPr>
                            <w:szCs w:val="21"/>
                          </w:rPr>
                        </w:pPr>
                        <w:r>
                          <w:rPr>
                            <w:rFonts w:hint="eastAsia"/>
                            <w:szCs w:val="21"/>
                          </w:rPr>
                          <w:t>管理费用</w:t>
                        </w:r>
                      </w:p>
                    </w:tc>
                  </w:sdtContent>
                </w:sdt>
                <w:tc>
                  <w:tcPr>
                    <w:tcW w:w="838" w:type="pct"/>
                    <w:tcBorders>
                      <w:top w:val="outset" w:sz="4" w:space="0" w:color="auto"/>
                      <w:left w:val="outset" w:sz="4" w:space="0" w:color="auto"/>
                      <w:bottom w:val="outset" w:sz="4" w:space="0" w:color="auto"/>
                      <w:right w:val="outset" w:sz="4" w:space="0" w:color="auto"/>
                    </w:tcBorders>
                  </w:tcPr>
                  <w:p w:rsidR="007D5C60" w:rsidRDefault="007D5C60" w:rsidP="007D5C60">
                    <w:pPr>
                      <w:rPr>
                        <w:szCs w:val="21"/>
                      </w:rPr>
                    </w:pPr>
                    <w:r>
                      <w:rPr>
                        <w:rFonts w:hint="eastAsia"/>
                        <w:szCs w:val="21"/>
                      </w:rPr>
                      <w:t>七、6</w:t>
                    </w:r>
                    <w:r>
                      <w:rPr>
                        <w:szCs w:val="21"/>
                      </w:rPr>
                      <w:t>4</w:t>
                    </w:r>
                  </w:p>
                </w:tc>
                <w:tc>
                  <w:tcPr>
                    <w:tcW w:w="1110"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jc w:val="right"/>
                      <w:rPr>
                        <w:szCs w:val="21"/>
                      </w:rPr>
                    </w:pPr>
                    <w:r>
                      <w:t>825,738,635</w:t>
                    </w:r>
                  </w:p>
                </w:tc>
                <w:tc>
                  <w:tcPr>
                    <w:tcW w:w="1114"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jc w:val="right"/>
                      <w:rPr>
                        <w:szCs w:val="21"/>
                      </w:rPr>
                    </w:pPr>
                    <w:r>
                      <w:t>777,489,264</w:t>
                    </w:r>
                  </w:p>
                </w:tc>
              </w:tr>
              <w:tr w:rsidR="007D5C60" w:rsidTr="00601D47">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e87af4732c764d16b9a62ce062c27abc"/>
                      <w:id w:val="-10996391"/>
                      <w:lock w:val="sdtLocked"/>
                    </w:sdtPr>
                    <w:sdtContent>
                      <w:p w:rsidR="007D5C60" w:rsidRDefault="007D5C60" w:rsidP="007D5C60">
                        <w:pPr>
                          <w:ind w:firstLineChars="300" w:firstLine="630"/>
                        </w:pPr>
                        <w:r>
                          <w:rPr>
                            <w:rFonts w:hint="eastAsia"/>
                          </w:rPr>
                          <w:t>研发费用</w:t>
                        </w:r>
                      </w:p>
                    </w:sdtContent>
                  </w:sdt>
                </w:tc>
                <w:tc>
                  <w:tcPr>
                    <w:tcW w:w="838" w:type="pct"/>
                    <w:tcBorders>
                      <w:top w:val="outset" w:sz="4" w:space="0" w:color="auto"/>
                      <w:left w:val="outset" w:sz="4" w:space="0" w:color="auto"/>
                      <w:bottom w:val="outset" w:sz="4" w:space="0" w:color="auto"/>
                      <w:right w:val="outset" w:sz="4" w:space="0" w:color="auto"/>
                    </w:tcBorders>
                  </w:tcPr>
                  <w:p w:rsidR="007D5C60" w:rsidRDefault="007D5C60" w:rsidP="007D5C60">
                    <w:pPr>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jc w:val="right"/>
                      <w:rPr>
                        <w:szCs w:val="21"/>
                      </w:rPr>
                    </w:pPr>
                    <w:r>
                      <w:t>17,202,144</w:t>
                    </w:r>
                  </w:p>
                </w:tc>
                <w:tc>
                  <w:tcPr>
                    <w:tcW w:w="1114"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jc w:val="right"/>
                      <w:rPr>
                        <w:szCs w:val="21"/>
                      </w:rPr>
                    </w:pPr>
                    <w:r>
                      <w:t>7,228,182</w:t>
                    </w:r>
                  </w:p>
                </w:tc>
              </w:tr>
              <w:tr w:rsidR="007D5C60" w:rsidTr="00601D47">
                <w:sdt>
                  <w:sdtPr>
                    <w:tag w:val="_PLD_39025fd6688d468db2dff127aaf8d9b7"/>
                    <w:id w:val="-2075656196"/>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ind w:firstLineChars="300" w:firstLine="630"/>
                          <w:rPr>
                            <w:szCs w:val="21"/>
                          </w:rPr>
                        </w:pPr>
                        <w:r>
                          <w:rPr>
                            <w:rFonts w:hint="eastAsia"/>
                            <w:szCs w:val="21"/>
                          </w:rPr>
                          <w:t>财务费用</w:t>
                        </w:r>
                      </w:p>
                    </w:tc>
                  </w:sdtContent>
                </w:sdt>
                <w:tc>
                  <w:tcPr>
                    <w:tcW w:w="838" w:type="pct"/>
                    <w:tcBorders>
                      <w:top w:val="outset" w:sz="4" w:space="0" w:color="auto"/>
                      <w:left w:val="outset" w:sz="4" w:space="0" w:color="auto"/>
                      <w:bottom w:val="outset" w:sz="4" w:space="0" w:color="auto"/>
                      <w:right w:val="outset" w:sz="4" w:space="0" w:color="auto"/>
                    </w:tcBorders>
                  </w:tcPr>
                  <w:p w:rsidR="007D5C60" w:rsidRDefault="007D5C60" w:rsidP="007D5C60">
                    <w:pPr>
                      <w:rPr>
                        <w:szCs w:val="21"/>
                      </w:rPr>
                    </w:pPr>
                    <w:r>
                      <w:rPr>
                        <w:rFonts w:hint="eastAsia"/>
                        <w:szCs w:val="21"/>
                      </w:rPr>
                      <w:t>七、6</w:t>
                    </w:r>
                    <w:r>
                      <w:rPr>
                        <w:szCs w:val="21"/>
                      </w:rPr>
                      <w:t>6</w:t>
                    </w:r>
                  </w:p>
                </w:tc>
                <w:tc>
                  <w:tcPr>
                    <w:tcW w:w="1110"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jc w:val="right"/>
                      <w:rPr>
                        <w:szCs w:val="21"/>
                      </w:rPr>
                    </w:pPr>
                    <w:r>
                      <w:t>154,529,809</w:t>
                    </w:r>
                  </w:p>
                </w:tc>
                <w:tc>
                  <w:tcPr>
                    <w:tcW w:w="1114"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jc w:val="right"/>
                      <w:rPr>
                        <w:szCs w:val="21"/>
                      </w:rPr>
                    </w:pPr>
                    <w:r>
                      <w:t>338,451,918</w:t>
                    </w:r>
                  </w:p>
                </w:tc>
              </w:tr>
              <w:tr w:rsidR="007D5C60" w:rsidTr="00601D47">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5783a44ff7e84d5f9faf4e4523265fa2"/>
                      <w:id w:val="218105058"/>
                      <w:lock w:val="sdtLocked"/>
                    </w:sdtPr>
                    <w:sdtContent>
                      <w:p w:rsidR="007D5C60" w:rsidRDefault="007D5C60" w:rsidP="007D5C60">
                        <w:pPr>
                          <w:ind w:firstLineChars="300" w:firstLine="630"/>
                        </w:pPr>
                        <w:r>
                          <w:rPr>
                            <w:rFonts w:hint="eastAsia"/>
                          </w:rPr>
                          <w:t>其中：利息费用</w:t>
                        </w:r>
                      </w:p>
                    </w:sdtContent>
                  </w:sdt>
                </w:tc>
                <w:tc>
                  <w:tcPr>
                    <w:tcW w:w="838" w:type="pct"/>
                    <w:tcBorders>
                      <w:top w:val="outset" w:sz="4" w:space="0" w:color="auto"/>
                      <w:left w:val="outset" w:sz="4" w:space="0" w:color="auto"/>
                      <w:bottom w:val="outset" w:sz="4" w:space="0" w:color="auto"/>
                      <w:right w:val="outset" w:sz="4" w:space="0" w:color="auto"/>
                    </w:tcBorders>
                  </w:tcPr>
                  <w:p w:rsidR="007D5C60" w:rsidRDefault="007D5C60" w:rsidP="007D5C60">
                    <w:pPr>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jc w:val="right"/>
                      <w:rPr>
                        <w:szCs w:val="21"/>
                      </w:rPr>
                    </w:pPr>
                    <w:r>
                      <w:t>1,350,944,850</w:t>
                    </w:r>
                  </w:p>
                </w:tc>
                <w:tc>
                  <w:tcPr>
                    <w:tcW w:w="1114"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jc w:val="right"/>
                      <w:rPr>
                        <w:szCs w:val="21"/>
                      </w:rPr>
                    </w:pPr>
                    <w:r>
                      <w:t>1,568,538,538</w:t>
                    </w:r>
                  </w:p>
                </w:tc>
              </w:tr>
              <w:tr w:rsidR="007D5C60" w:rsidTr="00601D47">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181356a829f44a2eb68d58db992fd5b3"/>
                      <w:id w:val="976425041"/>
                      <w:lock w:val="sdtLocked"/>
                    </w:sdtPr>
                    <w:sdtContent>
                      <w:p w:rsidR="007D5C60" w:rsidRDefault="007D5C60" w:rsidP="007D5C60">
                        <w:pPr>
                          <w:ind w:firstLineChars="600" w:firstLine="1260"/>
                        </w:pPr>
                        <w:r>
                          <w:rPr>
                            <w:rFonts w:hint="eastAsia"/>
                          </w:rPr>
                          <w:t>利息收入</w:t>
                        </w:r>
                      </w:p>
                    </w:sdtContent>
                  </w:sdt>
                </w:tc>
                <w:tc>
                  <w:tcPr>
                    <w:tcW w:w="838" w:type="pct"/>
                    <w:tcBorders>
                      <w:top w:val="outset" w:sz="4" w:space="0" w:color="auto"/>
                      <w:left w:val="outset" w:sz="4" w:space="0" w:color="auto"/>
                      <w:bottom w:val="outset" w:sz="4" w:space="0" w:color="auto"/>
                      <w:right w:val="outset" w:sz="4" w:space="0" w:color="auto"/>
                    </w:tcBorders>
                  </w:tcPr>
                  <w:p w:rsidR="007D5C60" w:rsidRDefault="007D5C60" w:rsidP="007D5C60">
                    <w:pPr>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jc w:val="right"/>
                      <w:rPr>
                        <w:szCs w:val="21"/>
                      </w:rPr>
                    </w:pPr>
                    <w:r>
                      <w:t>1,271,229,980</w:t>
                    </w:r>
                  </w:p>
                </w:tc>
                <w:tc>
                  <w:tcPr>
                    <w:tcW w:w="1114"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jc w:val="right"/>
                      <w:rPr>
                        <w:szCs w:val="21"/>
                      </w:rPr>
                    </w:pPr>
                    <w:r>
                      <w:t>1,307,105,361</w:t>
                    </w:r>
                  </w:p>
                </w:tc>
              </w:tr>
              <w:tr w:rsidR="007D5C60" w:rsidTr="00601D47">
                <w:sdt>
                  <w:sdtPr>
                    <w:tag w:val="_PLD_8cd7b53a4f864f25801036fcf0042187"/>
                    <w:id w:val="-1251658426"/>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ind w:firstLineChars="100" w:firstLine="210"/>
                          <w:rPr>
                            <w:szCs w:val="21"/>
                          </w:rPr>
                        </w:pPr>
                        <w:r>
                          <w:rPr>
                            <w:rFonts w:hint="eastAsia"/>
                          </w:rPr>
                          <w:t>加：</w:t>
                        </w:r>
                        <w:r>
                          <w:rPr>
                            <w:rFonts w:hint="eastAsia"/>
                            <w:szCs w:val="21"/>
                          </w:rPr>
                          <w:t>其他收益</w:t>
                        </w:r>
                      </w:p>
                    </w:tc>
                  </w:sdtContent>
                </w:sdt>
                <w:tc>
                  <w:tcPr>
                    <w:tcW w:w="838" w:type="pct"/>
                    <w:tcBorders>
                      <w:top w:val="outset" w:sz="4" w:space="0" w:color="auto"/>
                      <w:left w:val="outset" w:sz="4" w:space="0" w:color="auto"/>
                      <w:bottom w:val="outset" w:sz="4" w:space="0" w:color="auto"/>
                      <w:right w:val="outset" w:sz="4" w:space="0" w:color="auto"/>
                    </w:tcBorders>
                  </w:tcPr>
                  <w:p w:rsidR="007D5C60" w:rsidRDefault="007D5C60" w:rsidP="007D5C60">
                    <w:pPr>
                      <w:rPr>
                        <w:szCs w:val="21"/>
                      </w:rPr>
                    </w:pPr>
                    <w:r>
                      <w:rPr>
                        <w:rFonts w:hint="eastAsia"/>
                        <w:szCs w:val="21"/>
                      </w:rPr>
                      <w:t>七、6</w:t>
                    </w:r>
                    <w:r>
                      <w:rPr>
                        <w:szCs w:val="21"/>
                      </w:rPr>
                      <w:t>7</w:t>
                    </w:r>
                  </w:p>
                </w:tc>
                <w:tc>
                  <w:tcPr>
                    <w:tcW w:w="1110"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jc w:val="right"/>
                      <w:rPr>
                        <w:szCs w:val="21"/>
                      </w:rPr>
                    </w:pPr>
                    <w:r>
                      <w:t>188,372,378</w:t>
                    </w:r>
                  </w:p>
                </w:tc>
                <w:tc>
                  <w:tcPr>
                    <w:tcW w:w="1114"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jc w:val="right"/>
                      <w:rPr>
                        <w:szCs w:val="21"/>
                      </w:rPr>
                    </w:pPr>
                    <w:r>
                      <w:t>82,603,637</w:t>
                    </w:r>
                  </w:p>
                </w:tc>
              </w:tr>
              <w:tr w:rsidR="007D5C60" w:rsidTr="00601D47">
                <w:sdt>
                  <w:sdtPr>
                    <w:tag w:val="_PLD_dd4d0b257ac449a1a1f9cd43ea8c6d6f"/>
                    <w:id w:val="58059898"/>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ind w:firstLineChars="300" w:firstLine="630"/>
                          <w:rPr>
                            <w:szCs w:val="21"/>
                          </w:rPr>
                        </w:pPr>
                        <w:r>
                          <w:rPr>
                            <w:rFonts w:hint="eastAsia"/>
                            <w:szCs w:val="21"/>
                          </w:rPr>
                          <w:t>投资收益（损失以“－”号填列）</w:t>
                        </w:r>
                      </w:p>
                    </w:tc>
                  </w:sdtContent>
                </w:sdt>
                <w:tc>
                  <w:tcPr>
                    <w:tcW w:w="838" w:type="pct"/>
                    <w:tcBorders>
                      <w:top w:val="outset" w:sz="4" w:space="0" w:color="auto"/>
                      <w:left w:val="outset" w:sz="4" w:space="0" w:color="auto"/>
                      <w:bottom w:val="outset" w:sz="4" w:space="0" w:color="auto"/>
                      <w:right w:val="outset" w:sz="4" w:space="0" w:color="auto"/>
                    </w:tcBorders>
                  </w:tcPr>
                  <w:p w:rsidR="007D5C60" w:rsidRDefault="007D5C60" w:rsidP="007D5C60">
                    <w:pPr>
                      <w:rPr>
                        <w:szCs w:val="21"/>
                      </w:rPr>
                    </w:pPr>
                    <w:r>
                      <w:rPr>
                        <w:rFonts w:hint="eastAsia"/>
                        <w:szCs w:val="21"/>
                      </w:rPr>
                      <w:t>七、6</w:t>
                    </w:r>
                    <w:r>
                      <w:rPr>
                        <w:szCs w:val="21"/>
                      </w:rPr>
                      <w:t>8</w:t>
                    </w:r>
                  </w:p>
                </w:tc>
                <w:tc>
                  <w:tcPr>
                    <w:tcW w:w="1110"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jc w:val="right"/>
                      <w:rPr>
                        <w:szCs w:val="21"/>
                      </w:rPr>
                    </w:pPr>
                    <w:r>
                      <w:t>2,704,340,242</w:t>
                    </w:r>
                  </w:p>
                </w:tc>
                <w:tc>
                  <w:tcPr>
                    <w:tcW w:w="1114"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jc w:val="right"/>
                      <w:rPr>
                        <w:szCs w:val="21"/>
                      </w:rPr>
                    </w:pPr>
                    <w:r>
                      <w:t>2,992,939,892</w:t>
                    </w:r>
                  </w:p>
                </w:tc>
              </w:tr>
              <w:tr w:rsidR="007D5C60" w:rsidTr="00601D47">
                <w:sdt>
                  <w:sdtPr>
                    <w:tag w:val="_PLD_cb617292f3d24ae484f3b8b3331ef37e"/>
                    <w:id w:val="1045800832"/>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ind w:firstLineChars="300" w:firstLine="630"/>
                          <w:rPr>
                            <w:szCs w:val="21"/>
                          </w:rPr>
                        </w:pPr>
                        <w:r>
                          <w:rPr>
                            <w:rFonts w:hint="eastAsia"/>
                            <w:szCs w:val="21"/>
                          </w:rPr>
                          <w:t>其中：对联营企业和合营企业的投资收益</w:t>
                        </w:r>
                      </w:p>
                    </w:tc>
                  </w:sdtContent>
                </w:sdt>
                <w:tc>
                  <w:tcPr>
                    <w:tcW w:w="838" w:type="pct"/>
                    <w:tcBorders>
                      <w:top w:val="outset" w:sz="4" w:space="0" w:color="auto"/>
                      <w:left w:val="outset" w:sz="4" w:space="0" w:color="auto"/>
                      <w:bottom w:val="outset" w:sz="4" w:space="0" w:color="auto"/>
                      <w:right w:val="outset" w:sz="4" w:space="0" w:color="auto"/>
                    </w:tcBorders>
                  </w:tcPr>
                  <w:p w:rsidR="007D5C60" w:rsidRDefault="007D5C60" w:rsidP="007D5C60">
                    <w:pPr>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jc w:val="right"/>
                      <w:rPr>
                        <w:szCs w:val="21"/>
                      </w:rPr>
                    </w:pPr>
                    <w:r>
                      <w:t>2,701,946,242</w:t>
                    </w:r>
                  </w:p>
                </w:tc>
                <w:tc>
                  <w:tcPr>
                    <w:tcW w:w="1114"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jc w:val="right"/>
                      <w:rPr>
                        <w:szCs w:val="21"/>
                      </w:rPr>
                    </w:pPr>
                    <w:r>
                      <w:t>2,990,203,892</w:t>
                    </w:r>
                  </w:p>
                </w:tc>
              </w:tr>
              <w:tr w:rsidR="007D5C60" w:rsidTr="00A67D4D">
                <w:sdt>
                  <w:sdtPr>
                    <w:tag w:val="_PLD_7de6764e1bab4ab3b3f25a31e4c7c20a"/>
                    <w:id w:val="926311499"/>
                    <w:lock w:val="sdtLocked"/>
                  </w:sdtPr>
                  <w:sdtContent>
                    <w:tc>
                      <w:tcPr>
                        <w:tcW w:w="1938" w:type="pct"/>
                        <w:tcBorders>
                          <w:top w:val="outset" w:sz="4" w:space="0" w:color="auto"/>
                          <w:left w:val="outset" w:sz="4" w:space="0" w:color="auto"/>
                          <w:bottom w:val="outset" w:sz="4" w:space="0" w:color="auto"/>
                          <w:right w:val="outset" w:sz="4" w:space="0" w:color="auto"/>
                        </w:tcBorders>
                      </w:tcPr>
                      <w:p w:rsidR="007D5C60" w:rsidRDefault="007D5C60" w:rsidP="007D5C60">
                        <w:pPr>
                          <w:ind w:firstLineChars="550" w:firstLine="1155"/>
                        </w:pPr>
                        <w:r>
                          <w:rPr>
                            <w:rFonts w:hint="eastAsia"/>
                          </w:rPr>
                          <w:t>以摊余成本计量的金融资产终止确认收益</w:t>
                        </w:r>
                      </w:p>
                    </w:tc>
                  </w:sdtContent>
                </w:sdt>
                <w:tc>
                  <w:tcPr>
                    <w:tcW w:w="838" w:type="pct"/>
                    <w:tcBorders>
                      <w:top w:val="outset" w:sz="4" w:space="0" w:color="auto"/>
                      <w:left w:val="outset" w:sz="4" w:space="0" w:color="auto"/>
                      <w:bottom w:val="outset" w:sz="4" w:space="0" w:color="auto"/>
                      <w:right w:val="outset" w:sz="4" w:space="0" w:color="auto"/>
                    </w:tcBorders>
                  </w:tcPr>
                  <w:p w:rsidR="007D5C60" w:rsidRDefault="007D5C60" w:rsidP="007D5C60">
                    <w:pPr>
                      <w:rPr>
                        <w:szCs w:val="21"/>
                      </w:rPr>
                    </w:pPr>
                  </w:p>
                </w:tc>
                <w:tc>
                  <w:tcPr>
                    <w:tcW w:w="1110" w:type="pct"/>
                    <w:tcBorders>
                      <w:top w:val="outset" w:sz="4" w:space="0" w:color="auto"/>
                      <w:left w:val="outset" w:sz="4" w:space="0" w:color="auto"/>
                      <w:bottom w:val="outset" w:sz="4" w:space="0" w:color="auto"/>
                      <w:right w:val="outset" w:sz="4" w:space="0" w:color="auto"/>
                    </w:tcBorders>
                  </w:tcPr>
                  <w:p w:rsidR="007D5C60" w:rsidRDefault="007D5C60" w:rsidP="007D5C60">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7D5C60" w:rsidRDefault="007D5C60" w:rsidP="007D5C60">
                    <w:pPr>
                      <w:jc w:val="right"/>
                      <w:rPr>
                        <w:szCs w:val="21"/>
                      </w:rPr>
                    </w:pPr>
                  </w:p>
                </w:tc>
              </w:tr>
              <w:tr w:rsidR="007D5C60" w:rsidTr="00A67D4D">
                <w:sdt>
                  <w:sdtPr>
                    <w:tag w:val="_PLD_06c6fba18c924bffb49d4725b87ecb13"/>
                    <w:id w:val="1494451179"/>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ind w:firstLineChars="300" w:firstLine="630"/>
                          <w:rPr>
                            <w:szCs w:val="21"/>
                          </w:rPr>
                        </w:pPr>
                        <w:r>
                          <w:rPr>
                            <w:rFonts w:hint="eastAsia"/>
                            <w:szCs w:val="21"/>
                          </w:rPr>
                          <w:t>汇兑收益（损失以“－”号填列）</w:t>
                        </w:r>
                      </w:p>
                    </w:tc>
                  </w:sdtContent>
                </w:sdt>
                <w:tc>
                  <w:tcPr>
                    <w:tcW w:w="838" w:type="pct"/>
                    <w:tcBorders>
                      <w:top w:val="outset" w:sz="4" w:space="0" w:color="auto"/>
                      <w:left w:val="outset" w:sz="4" w:space="0" w:color="auto"/>
                      <w:bottom w:val="outset" w:sz="4" w:space="0" w:color="auto"/>
                      <w:right w:val="outset" w:sz="4" w:space="0" w:color="auto"/>
                    </w:tcBorders>
                  </w:tcPr>
                  <w:p w:rsidR="007D5C60" w:rsidRDefault="007D5C60" w:rsidP="007D5C60">
                    <w:pPr>
                      <w:rPr>
                        <w:szCs w:val="21"/>
                      </w:rPr>
                    </w:pPr>
                  </w:p>
                </w:tc>
                <w:tc>
                  <w:tcPr>
                    <w:tcW w:w="1110" w:type="pct"/>
                    <w:tcBorders>
                      <w:top w:val="outset" w:sz="4" w:space="0" w:color="auto"/>
                      <w:left w:val="outset" w:sz="4" w:space="0" w:color="auto"/>
                      <w:bottom w:val="outset" w:sz="4" w:space="0" w:color="auto"/>
                      <w:right w:val="outset" w:sz="4" w:space="0" w:color="auto"/>
                    </w:tcBorders>
                  </w:tcPr>
                  <w:p w:rsidR="007D5C60" w:rsidRDefault="007D5C60" w:rsidP="007D5C60">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7D5C60" w:rsidRDefault="007D5C60" w:rsidP="007D5C60">
                    <w:pPr>
                      <w:jc w:val="right"/>
                      <w:rPr>
                        <w:szCs w:val="21"/>
                      </w:rPr>
                    </w:pPr>
                  </w:p>
                </w:tc>
              </w:tr>
              <w:tr w:rsidR="007D5C60" w:rsidTr="00A67D4D">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d520128fec714da98227f31d25ce7796"/>
                      <w:id w:val="1586959096"/>
                      <w:lock w:val="sdtLocked"/>
                    </w:sdtPr>
                    <w:sdtEndPr>
                      <w:rPr>
                        <w:rFonts w:hint="default"/>
                      </w:rPr>
                    </w:sdtEndPr>
                    <w:sdtContent>
                      <w:p w:rsidR="007D5C60" w:rsidRDefault="007D5C60" w:rsidP="007D5C60">
                        <w:pPr>
                          <w:ind w:firstLineChars="300" w:firstLine="630"/>
                        </w:pPr>
                        <w:r>
                          <w:rPr>
                            <w:rFonts w:hint="eastAsia"/>
                          </w:rPr>
                          <w:t>净敞口套期收益（损失以“</w:t>
                        </w:r>
                        <w:r>
                          <w:t>-”号填列）</w:t>
                        </w:r>
                      </w:p>
                    </w:sdtContent>
                  </w:sdt>
                </w:tc>
                <w:tc>
                  <w:tcPr>
                    <w:tcW w:w="838" w:type="pct"/>
                    <w:tcBorders>
                      <w:top w:val="outset" w:sz="4" w:space="0" w:color="auto"/>
                      <w:left w:val="outset" w:sz="4" w:space="0" w:color="auto"/>
                      <w:bottom w:val="outset" w:sz="4" w:space="0" w:color="auto"/>
                      <w:right w:val="outset" w:sz="4" w:space="0" w:color="auto"/>
                    </w:tcBorders>
                  </w:tcPr>
                  <w:p w:rsidR="007D5C60" w:rsidRDefault="007D5C60" w:rsidP="007D5C60">
                    <w:pPr>
                      <w:rPr>
                        <w:szCs w:val="21"/>
                      </w:rPr>
                    </w:pPr>
                  </w:p>
                </w:tc>
                <w:tc>
                  <w:tcPr>
                    <w:tcW w:w="1110" w:type="pct"/>
                    <w:tcBorders>
                      <w:top w:val="outset" w:sz="4" w:space="0" w:color="auto"/>
                      <w:left w:val="outset" w:sz="4" w:space="0" w:color="auto"/>
                      <w:bottom w:val="outset" w:sz="4" w:space="0" w:color="auto"/>
                      <w:right w:val="outset" w:sz="4" w:space="0" w:color="auto"/>
                    </w:tcBorders>
                  </w:tcPr>
                  <w:p w:rsidR="007D5C60" w:rsidRDefault="007D5C60" w:rsidP="007D5C60">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7D5C60" w:rsidRDefault="007D5C60" w:rsidP="007D5C60">
                    <w:pPr>
                      <w:jc w:val="right"/>
                      <w:rPr>
                        <w:szCs w:val="21"/>
                      </w:rPr>
                    </w:pPr>
                  </w:p>
                </w:tc>
              </w:tr>
              <w:tr w:rsidR="007D5C60" w:rsidTr="00A67D4D">
                <w:sdt>
                  <w:sdtPr>
                    <w:tag w:val="_PLD_9cf113d3dfde4191bb9677475e364e2c"/>
                    <w:id w:val="-190465325"/>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ind w:firstLineChars="300" w:firstLine="630"/>
                          <w:rPr>
                            <w:color w:val="000000"/>
                            <w:szCs w:val="21"/>
                          </w:rPr>
                        </w:pPr>
                        <w:r>
                          <w:rPr>
                            <w:rFonts w:hint="eastAsia"/>
                            <w:szCs w:val="21"/>
                          </w:rPr>
                          <w:t>公允价值变动收益（损失以“－”号填列）</w:t>
                        </w:r>
                      </w:p>
                    </w:tc>
                  </w:sdtContent>
                </w:sdt>
                <w:tc>
                  <w:tcPr>
                    <w:tcW w:w="838" w:type="pct"/>
                    <w:tcBorders>
                      <w:top w:val="outset" w:sz="4" w:space="0" w:color="auto"/>
                      <w:left w:val="outset" w:sz="4" w:space="0" w:color="auto"/>
                      <w:bottom w:val="outset" w:sz="4" w:space="0" w:color="auto"/>
                      <w:right w:val="outset" w:sz="4" w:space="0" w:color="auto"/>
                    </w:tcBorders>
                  </w:tcPr>
                  <w:p w:rsidR="007D5C60" w:rsidRDefault="007D5C60" w:rsidP="007D5C60">
                    <w:pPr>
                      <w:rPr>
                        <w:szCs w:val="21"/>
                      </w:rPr>
                    </w:pPr>
                  </w:p>
                </w:tc>
                <w:tc>
                  <w:tcPr>
                    <w:tcW w:w="1110" w:type="pct"/>
                    <w:tcBorders>
                      <w:top w:val="outset" w:sz="4" w:space="0" w:color="auto"/>
                      <w:left w:val="outset" w:sz="4" w:space="0" w:color="auto"/>
                      <w:bottom w:val="outset" w:sz="4" w:space="0" w:color="auto"/>
                      <w:right w:val="outset" w:sz="4" w:space="0" w:color="auto"/>
                    </w:tcBorders>
                  </w:tcPr>
                  <w:p w:rsidR="007D5C60" w:rsidRDefault="007D5C60" w:rsidP="007D5C60">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7D5C60" w:rsidRDefault="007D5C60" w:rsidP="007D5C60">
                    <w:pPr>
                      <w:jc w:val="right"/>
                      <w:rPr>
                        <w:szCs w:val="21"/>
                      </w:rPr>
                    </w:pPr>
                  </w:p>
                </w:tc>
              </w:tr>
              <w:tr w:rsidR="007D5C60" w:rsidTr="00601D47">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d5729b4f71874df0b1658e78402fbd3a"/>
                      <w:id w:val="-1272934475"/>
                      <w:lock w:val="sdtLocked"/>
                    </w:sdtPr>
                    <w:sdtContent>
                      <w:p w:rsidR="007D5C60" w:rsidRDefault="007D5C60" w:rsidP="007D5C60">
                        <w:pPr>
                          <w:ind w:firstLineChars="300" w:firstLine="630"/>
                        </w:pPr>
                        <w:r>
                          <w:rPr>
                            <w:rFonts w:hint="eastAsia"/>
                          </w:rPr>
                          <w:t>信用减值损失（损失以“</w:t>
                        </w:r>
                        <w:r>
                          <w:t>-”号填列）</w:t>
                        </w:r>
                      </w:p>
                    </w:sdtContent>
                  </w:sdt>
                </w:tc>
                <w:tc>
                  <w:tcPr>
                    <w:tcW w:w="838" w:type="pct"/>
                    <w:tcBorders>
                      <w:top w:val="outset" w:sz="4" w:space="0" w:color="auto"/>
                      <w:left w:val="outset" w:sz="4" w:space="0" w:color="auto"/>
                      <w:bottom w:val="outset" w:sz="4" w:space="0" w:color="auto"/>
                      <w:right w:val="outset" w:sz="4" w:space="0" w:color="auto"/>
                    </w:tcBorders>
                  </w:tcPr>
                  <w:p w:rsidR="007D5C60" w:rsidRDefault="007D5C60" w:rsidP="007D5C60">
                    <w:pPr>
                      <w:rPr>
                        <w:szCs w:val="21"/>
                      </w:rPr>
                    </w:pPr>
                    <w:r>
                      <w:rPr>
                        <w:rFonts w:hint="eastAsia"/>
                        <w:szCs w:val="21"/>
                      </w:rPr>
                      <w:t>七、7</w:t>
                    </w:r>
                    <w:r>
                      <w:rPr>
                        <w:szCs w:val="21"/>
                      </w:rPr>
                      <w:t>1</w:t>
                    </w:r>
                  </w:p>
                </w:tc>
                <w:tc>
                  <w:tcPr>
                    <w:tcW w:w="1110"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jc w:val="right"/>
                      <w:rPr>
                        <w:szCs w:val="21"/>
                      </w:rPr>
                    </w:pPr>
                    <w:r>
                      <w:t>174,505,799</w:t>
                    </w:r>
                  </w:p>
                </w:tc>
                <w:tc>
                  <w:tcPr>
                    <w:tcW w:w="1114"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jc w:val="right"/>
                      <w:rPr>
                        <w:szCs w:val="21"/>
                      </w:rPr>
                    </w:pPr>
                    <w:r>
                      <w:rPr>
                        <w:rFonts w:hint="eastAsia"/>
                      </w:rPr>
                      <w:t>-</w:t>
                    </w:r>
                    <w:r>
                      <w:t>351,939,298</w:t>
                    </w:r>
                  </w:p>
                </w:tc>
              </w:tr>
              <w:tr w:rsidR="007D5C60" w:rsidTr="00601D47">
                <w:sdt>
                  <w:sdtPr>
                    <w:tag w:val="_PLD_44560210ee614ffca1cd838fcb26e64f"/>
                    <w:id w:val="-1779939013"/>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ind w:firstLineChars="300" w:firstLine="630"/>
                          <w:rPr>
                            <w:szCs w:val="21"/>
                          </w:rPr>
                        </w:pPr>
                        <w:r>
                          <w:rPr>
                            <w:rFonts w:hint="eastAsia"/>
                            <w:szCs w:val="21"/>
                          </w:rPr>
                          <w:t>资产减值损失</w:t>
                        </w:r>
                        <w:r>
                          <w:rPr>
                            <w:rFonts w:hint="eastAsia"/>
                          </w:rPr>
                          <w:t>（损失以“</w:t>
                        </w:r>
                        <w:r>
                          <w:t>-”号填列）</w:t>
                        </w:r>
                      </w:p>
                    </w:tc>
                  </w:sdtContent>
                </w:sdt>
                <w:tc>
                  <w:tcPr>
                    <w:tcW w:w="838" w:type="pct"/>
                    <w:tcBorders>
                      <w:top w:val="outset" w:sz="4" w:space="0" w:color="auto"/>
                      <w:left w:val="outset" w:sz="4" w:space="0" w:color="auto"/>
                      <w:bottom w:val="outset" w:sz="4" w:space="0" w:color="auto"/>
                      <w:right w:val="outset" w:sz="4" w:space="0" w:color="auto"/>
                    </w:tcBorders>
                  </w:tcPr>
                  <w:p w:rsidR="007D5C60" w:rsidRDefault="007D5C60" w:rsidP="007D5C60">
                    <w:pPr>
                      <w:rPr>
                        <w:szCs w:val="21"/>
                      </w:rPr>
                    </w:pPr>
                    <w:r>
                      <w:rPr>
                        <w:rFonts w:hint="eastAsia"/>
                        <w:szCs w:val="21"/>
                      </w:rPr>
                      <w:t>七、7</w:t>
                    </w:r>
                    <w:r>
                      <w:rPr>
                        <w:szCs w:val="21"/>
                      </w:rPr>
                      <w:t>2</w:t>
                    </w:r>
                  </w:p>
                </w:tc>
                <w:tc>
                  <w:tcPr>
                    <w:tcW w:w="1110"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jc w:val="right"/>
                      <w:rPr>
                        <w:szCs w:val="21"/>
                      </w:rPr>
                    </w:pPr>
                    <w:r>
                      <w:t>0</w:t>
                    </w:r>
                  </w:p>
                </w:tc>
                <w:tc>
                  <w:tcPr>
                    <w:tcW w:w="1114"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jc w:val="right"/>
                      <w:rPr>
                        <w:szCs w:val="21"/>
                      </w:rPr>
                    </w:pPr>
                    <w:r>
                      <w:rPr>
                        <w:rFonts w:hint="eastAsia"/>
                      </w:rPr>
                      <w:t>-</w:t>
                    </w:r>
                    <w:r>
                      <w:t>49,841,032</w:t>
                    </w:r>
                  </w:p>
                </w:tc>
              </w:tr>
              <w:tr w:rsidR="007D5C60" w:rsidTr="00601D47">
                <w:sdt>
                  <w:sdtPr>
                    <w:rPr>
                      <w:rFonts w:hint="eastAsia"/>
                    </w:rPr>
                    <w:tag w:val="_PLD_db82d580df4545299b03340ea44f0a61"/>
                    <w:id w:val="-896125620"/>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ind w:firstLineChars="300" w:firstLine="630"/>
                        </w:pPr>
                        <w:r>
                          <w:rPr>
                            <w:rFonts w:hint="eastAsia"/>
                          </w:rPr>
                          <w:t>资产处置收益（损失以“－”号填列）</w:t>
                        </w:r>
                      </w:p>
                    </w:tc>
                  </w:sdtContent>
                </w:sdt>
                <w:tc>
                  <w:tcPr>
                    <w:tcW w:w="838" w:type="pct"/>
                    <w:tcBorders>
                      <w:top w:val="outset" w:sz="4" w:space="0" w:color="auto"/>
                      <w:left w:val="outset" w:sz="4" w:space="0" w:color="auto"/>
                      <w:bottom w:val="outset" w:sz="4" w:space="0" w:color="auto"/>
                      <w:right w:val="outset" w:sz="4" w:space="0" w:color="auto"/>
                    </w:tcBorders>
                  </w:tcPr>
                  <w:p w:rsidR="007D5C60" w:rsidRDefault="007D5C60" w:rsidP="007D5C60">
                    <w:pPr>
                      <w:rPr>
                        <w:szCs w:val="21"/>
                      </w:rPr>
                    </w:pPr>
                    <w:r>
                      <w:rPr>
                        <w:rFonts w:hint="eastAsia"/>
                        <w:szCs w:val="21"/>
                      </w:rPr>
                      <w:t>七、7</w:t>
                    </w:r>
                    <w:r>
                      <w:rPr>
                        <w:szCs w:val="21"/>
                      </w:rPr>
                      <w:t>3</w:t>
                    </w:r>
                  </w:p>
                </w:tc>
                <w:tc>
                  <w:tcPr>
                    <w:tcW w:w="1110"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jc w:val="right"/>
                      <w:rPr>
                        <w:szCs w:val="21"/>
                      </w:rPr>
                    </w:pPr>
                    <w:r>
                      <w:t>342,190</w:t>
                    </w:r>
                  </w:p>
                </w:tc>
                <w:tc>
                  <w:tcPr>
                    <w:tcW w:w="1114"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jc w:val="right"/>
                      <w:rPr>
                        <w:szCs w:val="21"/>
                      </w:rPr>
                    </w:pPr>
                    <w:r>
                      <w:t>4,318,584</w:t>
                    </w:r>
                  </w:p>
                </w:tc>
              </w:tr>
              <w:tr w:rsidR="007D5C60" w:rsidTr="00601D47">
                <w:sdt>
                  <w:sdtPr>
                    <w:tag w:val="_PLD_58efa9e2f2584a45bb21e4160a756a9a"/>
                    <w:id w:val="-1044367696"/>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rPr>
                            <w:color w:val="000000"/>
                            <w:szCs w:val="21"/>
                          </w:rPr>
                        </w:pPr>
                        <w:r>
                          <w:rPr>
                            <w:rFonts w:hint="eastAsia"/>
                            <w:szCs w:val="21"/>
                          </w:rPr>
                          <w:t>三、营业利润（亏损以“－”号填列）</w:t>
                        </w:r>
                      </w:p>
                    </w:tc>
                  </w:sdtContent>
                </w:sdt>
                <w:tc>
                  <w:tcPr>
                    <w:tcW w:w="838" w:type="pct"/>
                    <w:tcBorders>
                      <w:top w:val="outset" w:sz="4" w:space="0" w:color="auto"/>
                      <w:left w:val="outset" w:sz="4" w:space="0" w:color="auto"/>
                      <w:bottom w:val="outset" w:sz="4" w:space="0" w:color="auto"/>
                      <w:right w:val="outset" w:sz="4" w:space="0" w:color="auto"/>
                    </w:tcBorders>
                  </w:tcPr>
                  <w:p w:rsidR="007D5C60" w:rsidRDefault="007D5C60" w:rsidP="007D5C60">
                    <w:pPr>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jc w:val="right"/>
                      <w:rPr>
                        <w:szCs w:val="21"/>
                      </w:rPr>
                    </w:pPr>
                    <w:r>
                      <w:t>16,900,538,127</w:t>
                    </w:r>
                  </w:p>
                </w:tc>
                <w:tc>
                  <w:tcPr>
                    <w:tcW w:w="1114"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jc w:val="right"/>
                      <w:rPr>
                        <w:szCs w:val="21"/>
                      </w:rPr>
                    </w:pPr>
                    <w:r>
                      <w:t>18,211,766,272</w:t>
                    </w:r>
                  </w:p>
                </w:tc>
              </w:tr>
              <w:tr w:rsidR="007D5C60" w:rsidTr="00601D47">
                <w:sdt>
                  <w:sdtPr>
                    <w:tag w:val="_PLD_13abf7e9472541358784576e4b39b209"/>
                    <w:id w:val="-1148521115"/>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ind w:firstLineChars="100" w:firstLine="210"/>
                          <w:rPr>
                            <w:szCs w:val="21"/>
                          </w:rPr>
                        </w:pPr>
                        <w:r>
                          <w:rPr>
                            <w:rFonts w:hint="eastAsia"/>
                            <w:szCs w:val="21"/>
                          </w:rPr>
                          <w:t>加：营业外收入</w:t>
                        </w:r>
                      </w:p>
                    </w:tc>
                  </w:sdtContent>
                </w:sdt>
                <w:tc>
                  <w:tcPr>
                    <w:tcW w:w="838" w:type="pct"/>
                    <w:tcBorders>
                      <w:top w:val="outset" w:sz="4" w:space="0" w:color="auto"/>
                      <w:left w:val="outset" w:sz="4" w:space="0" w:color="auto"/>
                      <w:bottom w:val="outset" w:sz="4" w:space="0" w:color="auto"/>
                      <w:right w:val="outset" w:sz="4" w:space="0" w:color="auto"/>
                    </w:tcBorders>
                  </w:tcPr>
                  <w:p w:rsidR="007D5C60" w:rsidRDefault="007D5C60" w:rsidP="007D5C60">
                    <w:pPr>
                      <w:rPr>
                        <w:szCs w:val="21"/>
                      </w:rPr>
                    </w:pPr>
                    <w:r>
                      <w:rPr>
                        <w:rFonts w:hint="eastAsia"/>
                        <w:szCs w:val="21"/>
                      </w:rPr>
                      <w:t>七、7</w:t>
                    </w:r>
                    <w:r>
                      <w:rPr>
                        <w:szCs w:val="21"/>
                      </w:rPr>
                      <w:t>4</w:t>
                    </w:r>
                  </w:p>
                </w:tc>
                <w:tc>
                  <w:tcPr>
                    <w:tcW w:w="1110"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jc w:val="right"/>
                      <w:rPr>
                        <w:szCs w:val="21"/>
                      </w:rPr>
                    </w:pPr>
                    <w:r>
                      <w:t>48,883,904</w:t>
                    </w:r>
                  </w:p>
                </w:tc>
                <w:tc>
                  <w:tcPr>
                    <w:tcW w:w="1114"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jc w:val="right"/>
                      <w:rPr>
                        <w:szCs w:val="21"/>
                      </w:rPr>
                    </w:pPr>
                    <w:r>
                      <w:t>23,484,880</w:t>
                    </w:r>
                  </w:p>
                </w:tc>
              </w:tr>
              <w:tr w:rsidR="007D5C60" w:rsidTr="00601D47">
                <w:sdt>
                  <w:sdtPr>
                    <w:tag w:val="_PLD_30f16771bc2748abb5464842a6f86784"/>
                    <w:id w:val="1520812648"/>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ind w:firstLineChars="100" w:firstLine="210"/>
                          <w:rPr>
                            <w:szCs w:val="21"/>
                          </w:rPr>
                        </w:pPr>
                        <w:r>
                          <w:rPr>
                            <w:rFonts w:hint="eastAsia"/>
                            <w:szCs w:val="21"/>
                          </w:rPr>
                          <w:t>减：营业外支出</w:t>
                        </w:r>
                      </w:p>
                    </w:tc>
                  </w:sdtContent>
                </w:sdt>
                <w:tc>
                  <w:tcPr>
                    <w:tcW w:w="838" w:type="pct"/>
                    <w:tcBorders>
                      <w:top w:val="outset" w:sz="4" w:space="0" w:color="auto"/>
                      <w:left w:val="outset" w:sz="4" w:space="0" w:color="auto"/>
                      <w:bottom w:val="outset" w:sz="4" w:space="0" w:color="auto"/>
                      <w:right w:val="outset" w:sz="4" w:space="0" w:color="auto"/>
                    </w:tcBorders>
                  </w:tcPr>
                  <w:p w:rsidR="007D5C60" w:rsidRDefault="007D5C60" w:rsidP="007D5C60">
                    <w:pPr>
                      <w:rPr>
                        <w:szCs w:val="21"/>
                      </w:rPr>
                    </w:pPr>
                    <w:r>
                      <w:rPr>
                        <w:rFonts w:hint="eastAsia"/>
                        <w:szCs w:val="21"/>
                      </w:rPr>
                      <w:t>七、7</w:t>
                    </w:r>
                    <w:r>
                      <w:rPr>
                        <w:szCs w:val="21"/>
                      </w:rPr>
                      <w:t>5</w:t>
                    </w:r>
                  </w:p>
                </w:tc>
                <w:tc>
                  <w:tcPr>
                    <w:tcW w:w="1110"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jc w:val="right"/>
                      <w:rPr>
                        <w:szCs w:val="21"/>
                      </w:rPr>
                    </w:pPr>
                    <w:r>
                      <w:t>149,611,351</w:t>
                    </w:r>
                  </w:p>
                </w:tc>
                <w:tc>
                  <w:tcPr>
                    <w:tcW w:w="1114"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jc w:val="right"/>
                      <w:rPr>
                        <w:szCs w:val="21"/>
                      </w:rPr>
                    </w:pPr>
                    <w:r>
                      <w:t>132,540,741</w:t>
                    </w:r>
                  </w:p>
                </w:tc>
              </w:tr>
              <w:tr w:rsidR="007D5C60" w:rsidTr="00601D47">
                <w:sdt>
                  <w:sdtPr>
                    <w:tag w:val="_PLD_89fa70992bac48dda5e83847596b19d6"/>
                    <w:id w:val="345067903"/>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rPr>
                            <w:color w:val="000000"/>
                            <w:szCs w:val="21"/>
                          </w:rPr>
                        </w:pPr>
                        <w:r>
                          <w:rPr>
                            <w:rFonts w:hint="eastAsia"/>
                            <w:szCs w:val="21"/>
                          </w:rPr>
                          <w:t>四、利润总额（亏损总额以</w:t>
                        </w:r>
                        <w:r>
                          <w:rPr>
                            <w:szCs w:val="21"/>
                          </w:rPr>
                          <w:t>“</w:t>
                        </w:r>
                        <w:r>
                          <w:rPr>
                            <w:rFonts w:hint="eastAsia"/>
                            <w:szCs w:val="21"/>
                          </w:rPr>
                          <w:t>－</w:t>
                        </w:r>
                        <w:r>
                          <w:rPr>
                            <w:szCs w:val="21"/>
                          </w:rPr>
                          <w:t>”</w:t>
                        </w:r>
                        <w:r>
                          <w:rPr>
                            <w:rFonts w:hint="eastAsia"/>
                            <w:szCs w:val="21"/>
                          </w:rPr>
                          <w:t>号填列）</w:t>
                        </w:r>
                      </w:p>
                    </w:tc>
                  </w:sdtContent>
                </w:sdt>
                <w:tc>
                  <w:tcPr>
                    <w:tcW w:w="838" w:type="pct"/>
                    <w:tcBorders>
                      <w:top w:val="outset" w:sz="4" w:space="0" w:color="auto"/>
                      <w:left w:val="outset" w:sz="4" w:space="0" w:color="auto"/>
                      <w:bottom w:val="outset" w:sz="4" w:space="0" w:color="auto"/>
                      <w:right w:val="outset" w:sz="4" w:space="0" w:color="auto"/>
                    </w:tcBorders>
                  </w:tcPr>
                  <w:p w:rsidR="007D5C60" w:rsidRDefault="007D5C60" w:rsidP="007D5C60">
                    <w:pPr>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jc w:val="right"/>
                      <w:rPr>
                        <w:szCs w:val="21"/>
                      </w:rPr>
                    </w:pPr>
                    <w:r>
                      <w:t>16,799,810,680</w:t>
                    </w:r>
                  </w:p>
                </w:tc>
                <w:tc>
                  <w:tcPr>
                    <w:tcW w:w="1114"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jc w:val="right"/>
                      <w:rPr>
                        <w:szCs w:val="21"/>
                      </w:rPr>
                    </w:pPr>
                    <w:r>
                      <w:t>18,102,710,411</w:t>
                    </w:r>
                  </w:p>
                </w:tc>
              </w:tr>
              <w:tr w:rsidR="007D5C60" w:rsidTr="00601D47">
                <w:sdt>
                  <w:sdtPr>
                    <w:tag w:val="_PLD_5842e863bf634368965bd15f33e3ae38"/>
                    <w:id w:val="927618714"/>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ind w:firstLineChars="100" w:firstLine="210"/>
                          <w:rPr>
                            <w:color w:val="000000"/>
                            <w:szCs w:val="21"/>
                          </w:rPr>
                        </w:pPr>
                        <w:r>
                          <w:rPr>
                            <w:rFonts w:hint="eastAsia"/>
                            <w:szCs w:val="21"/>
                          </w:rPr>
                          <w:t>减：所得税费用</w:t>
                        </w:r>
                      </w:p>
                    </w:tc>
                  </w:sdtContent>
                </w:sdt>
                <w:tc>
                  <w:tcPr>
                    <w:tcW w:w="838" w:type="pct"/>
                    <w:tcBorders>
                      <w:top w:val="outset" w:sz="4" w:space="0" w:color="auto"/>
                      <w:left w:val="outset" w:sz="4" w:space="0" w:color="auto"/>
                      <w:bottom w:val="outset" w:sz="4" w:space="0" w:color="auto"/>
                      <w:right w:val="outset" w:sz="4" w:space="0" w:color="auto"/>
                    </w:tcBorders>
                  </w:tcPr>
                  <w:p w:rsidR="007D5C60" w:rsidRDefault="007D5C60" w:rsidP="007D5C60">
                    <w:pPr>
                      <w:rPr>
                        <w:szCs w:val="21"/>
                      </w:rPr>
                    </w:pPr>
                    <w:r>
                      <w:rPr>
                        <w:rFonts w:hint="eastAsia"/>
                        <w:szCs w:val="21"/>
                      </w:rPr>
                      <w:t>七、7</w:t>
                    </w:r>
                    <w:r>
                      <w:rPr>
                        <w:szCs w:val="21"/>
                      </w:rPr>
                      <w:t>6</w:t>
                    </w:r>
                  </w:p>
                </w:tc>
                <w:tc>
                  <w:tcPr>
                    <w:tcW w:w="1110"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jc w:val="right"/>
                      <w:rPr>
                        <w:szCs w:val="21"/>
                      </w:rPr>
                    </w:pPr>
                    <w:r>
                      <w:t>3,946,892,775</w:t>
                    </w:r>
                  </w:p>
                </w:tc>
                <w:tc>
                  <w:tcPr>
                    <w:tcW w:w="1114"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jc w:val="right"/>
                      <w:rPr>
                        <w:szCs w:val="21"/>
                      </w:rPr>
                    </w:pPr>
                    <w:r>
                      <w:t>4,330,450,325</w:t>
                    </w:r>
                  </w:p>
                </w:tc>
              </w:tr>
              <w:tr w:rsidR="007D5C60" w:rsidTr="00601D47">
                <w:sdt>
                  <w:sdtPr>
                    <w:tag w:val="_PLD_37bb5e90013347b59c739cd0098f77d5"/>
                    <w:id w:val="572316063"/>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rPr>
                            <w:color w:val="000000"/>
                            <w:szCs w:val="21"/>
                          </w:rPr>
                        </w:pPr>
                        <w:r>
                          <w:rPr>
                            <w:rFonts w:hint="eastAsia"/>
                            <w:szCs w:val="21"/>
                          </w:rPr>
                          <w:t>五、净利润（净亏损以</w:t>
                        </w:r>
                        <w:r>
                          <w:rPr>
                            <w:szCs w:val="21"/>
                          </w:rPr>
                          <w:t>“</w:t>
                        </w:r>
                        <w:r>
                          <w:rPr>
                            <w:rFonts w:hint="eastAsia"/>
                            <w:szCs w:val="21"/>
                          </w:rPr>
                          <w:t>－</w:t>
                        </w:r>
                        <w:r>
                          <w:rPr>
                            <w:szCs w:val="21"/>
                          </w:rPr>
                          <w:t>”</w:t>
                        </w:r>
                        <w:r>
                          <w:rPr>
                            <w:rFonts w:hint="eastAsia"/>
                            <w:szCs w:val="21"/>
                          </w:rPr>
                          <w:t>号填列）</w:t>
                        </w:r>
                      </w:p>
                    </w:tc>
                  </w:sdtContent>
                </w:sdt>
                <w:tc>
                  <w:tcPr>
                    <w:tcW w:w="838" w:type="pct"/>
                    <w:tcBorders>
                      <w:top w:val="outset" w:sz="4" w:space="0" w:color="auto"/>
                      <w:left w:val="outset" w:sz="4" w:space="0" w:color="auto"/>
                      <w:bottom w:val="outset" w:sz="4" w:space="0" w:color="auto"/>
                      <w:right w:val="outset" w:sz="4" w:space="0" w:color="auto"/>
                    </w:tcBorders>
                  </w:tcPr>
                  <w:p w:rsidR="007D5C60" w:rsidRDefault="007D5C60" w:rsidP="007D5C60">
                    <w:pPr>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jc w:val="right"/>
                      <w:rPr>
                        <w:szCs w:val="21"/>
                      </w:rPr>
                    </w:pPr>
                    <w:r>
                      <w:t>12,852,917,905</w:t>
                    </w:r>
                  </w:p>
                </w:tc>
                <w:tc>
                  <w:tcPr>
                    <w:tcW w:w="1114"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jc w:val="right"/>
                      <w:rPr>
                        <w:szCs w:val="21"/>
                      </w:rPr>
                    </w:pPr>
                    <w:r>
                      <w:t>13,772,260,086</w:t>
                    </w:r>
                  </w:p>
                </w:tc>
              </w:tr>
              <w:tr w:rsidR="007D5C60" w:rsidTr="008533C3">
                <w:sdt>
                  <w:sdtPr>
                    <w:tag w:val="_PLD_9445f61075384ccaafee7a9aff738d9c"/>
                    <w:id w:val="-1118917413"/>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7D5C60" w:rsidRDefault="007D5C60" w:rsidP="007D5C60">
                        <w:pPr>
                          <w:rPr>
                            <w:szCs w:val="21"/>
                          </w:rPr>
                        </w:pPr>
                        <w:r>
                          <w:rPr>
                            <w:rFonts w:hint="eastAsia"/>
                            <w:szCs w:val="21"/>
                          </w:rPr>
                          <w:t>（一）</w:t>
                        </w:r>
                        <w:r>
                          <w:t>按经营持续性分类</w:t>
                        </w:r>
                      </w:p>
                    </w:tc>
                  </w:sdtContent>
                </w:sdt>
              </w:tr>
              <w:tr w:rsidR="007D5C60" w:rsidTr="00601D47">
                <w:sdt>
                  <w:sdtPr>
                    <w:rPr>
                      <w:rFonts w:hint="eastAsia"/>
                    </w:rPr>
                    <w:tag w:val="_PLD_1f62d6e525ac4c78b10d50cab69e4427"/>
                    <w:id w:val="-1298677761"/>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ind w:firstLineChars="200" w:firstLine="420"/>
                        </w:pPr>
                        <w:r>
                          <w:t>1.持续经营净利润（净亏损以“－”号填列）</w:t>
                        </w:r>
                      </w:p>
                    </w:tc>
                  </w:sdtContent>
                </w:sdt>
                <w:tc>
                  <w:tcPr>
                    <w:tcW w:w="838" w:type="pct"/>
                    <w:tcBorders>
                      <w:top w:val="outset" w:sz="4" w:space="0" w:color="auto"/>
                      <w:left w:val="outset" w:sz="4" w:space="0" w:color="auto"/>
                      <w:bottom w:val="outset" w:sz="4" w:space="0" w:color="auto"/>
                      <w:right w:val="outset" w:sz="4" w:space="0" w:color="auto"/>
                    </w:tcBorders>
                  </w:tcPr>
                  <w:p w:rsidR="007D5C60" w:rsidRDefault="007D5C60" w:rsidP="007D5C60">
                    <w:pPr>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jc w:val="right"/>
                      <w:rPr>
                        <w:szCs w:val="21"/>
                      </w:rPr>
                    </w:pPr>
                    <w:r>
                      <w:t>12,852,917,905</w:t>
                    </w:r>
                  </w:p>
                </w:tc>
                <w:tc>
                  <w:tcPr>
                    <w:tcW w:w="1114"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jc w:val="right"/>
                      <w:rPr>
                        <w:szCs w:val="21"/>
                      </w:rPr>
                    </w:pPr>
                    <w:r>
                      <w:t>13,772,260,086</w:t>
                    </w:r>
                  </w:p>
                </w:tc>
              </w:tr>
              <w:tr w:rsidR="007D5C60" w:rsidTr="00A67D4D">
                <w:sdt>
                  <w:sdtPr>
                    <w:rPr>
                      <w:rFonts w:hint="eastAsia"/>
                    </w:rPr>
                    <w:tag w:val="_PLD_3ecbd4e5679f46edb5746af7622b21b6"/>
                    <w:id w:val="-164170148"/>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ind w:firstLineChars="200" w:firstLine="420"/>
                        </w:pPr>
                        <w:r>
                          <w:t>2.终止经营净利润（净亏损以“－”号填列）</w:t>
                        </w:r>
                      </w:p>
                    </w:tc>
                  </w:sdtContent>
                </w:sdt>
                <w:tc>
                  <w:tcPr>
                    <w:tcW w:w="838" w:type="pct"/>
                    <w:tcBorders>
                      <w:top w:val="outset" w:sz="4" w:space="0" w:color="auto"/>
                      <w:left w:val="outset" w:sz="4" w:space="0" w:color="auto"/>
                      <w:bottom w:val="outset" w:sz="4" w:space="0" w:color="auto"/>
                      <w:right w:val="outset" w:sz="4" w:space="0" w:color="auto"/>
                    </w:tcBorders>
                  </w:tcPr>
                  <w:p w:rsidR="007D5C60" w:rsidRDefault="007D5C60" w:rsidP="007D5C60">
                    <w:pPr>
                      <w:rPr>
                        <w:szCs w:val="21"/>
                      </w:rPr>
                    </w:pPr>
                  </w:p>
                </w:tc>
                <w:tc>
                  <w:tcPr>
                    <w:tcW w:w="1110" w:type="pct"/>
                    <w:tcBorders>
                      <w:top w:val="outset" w:sz="4" w:space="0" w:color="auto"/>
                      <w:left w:val="outset" w:sz="4" w:space="0" w:color="auto"/>
                      <w:bottom w:val="outset" w:sz="4" w:space="0" w:color="auto"/>
                      <w:right w:val="outset" w:sz="4" w:space="0" w:color="auto"/>
                    </w:tcBorders>
                  </w:tcPr>
                  <w:p w:rsidR="007D5C60" w:rsidRDefault="007D5C60" w:rsidP="007D5C60">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7D5C60" w:rsidRDefault="007D5C60" w:rsidP="007D5C60">
                    <w:pPr>
                      <w:jc w:val="right"/>
                      <w:rPr>
                        <w:szCs w:val="21"/>
                      </w:rPr>
                    </w:pPr>
                  </w:p>
                </w:tc>
              </w:tr>
              <w:tr w:rsidR="007D5C60" w:rsidTr="008533C3">
                <w:sdt>
                  <w:sdtPr>
                    <w:tag w:val="_PLD_5703d86636cb476dab82350c9f6475fc"/>
                    <w:id w:val="270663582"/>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7D5C60" w:rsidRDefault="007D5C60" w:rsidP="007D5C60">
                        <w:pPr>
                          <w:rPr>
                            <w:szCs w:val="21"/>
                          </w:rPr>
                        </w:pPr>
                        <w:r>
                          <w:rPr>
                            <w:rFonts w:hint="eastAsia"/>
                            <w:szCs w:val="21"/>
                          </w:rPr>
                          <w:t>（二）</w:t>
                        </w:r>
                        <w:r>
                          <w:t>按所有权归属分类</w:t>
                        </w:r>
                      </w:p>
                    </w:tc>
                  </w:sdtContent>
                </w:sdt>
              </w:tr>
              <w:tr w:rsidR="007D5C60" w:rsidTr="00601D47">
                <w:sdt>
                  <w:sdtPr>
                    <w:tag w:val="_PLD_19befe54bea74d81b274f1de7b1e879c"/>
                    <w:id w:val="-1269072588"/>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ind w:firstLineChars="200" w:firstLine="420"/>
                          <w:rPr>
                            <w:szCs w:val="21"/>
                          </w:rPr>
                        </w:pPr>
                        <w:r>
                          <w:t>1.</w:t>
                        </w:r>
                        <w:r>
                          <w:rPr>
                            <w:rFonts w:hint="eastAsia"/>
                            <w:szCs w:val="21"/>
                          </w:rPr>
                          <w:t>归属于母</w:t>
                        </w:r>
                        <w:r>
                          <w:rPr>
                            <w:rFonts w:hint="eastAsia"/>
                          </w:rPr>
                          <w:t>公司</w:t>
                        </w:r>
                        <w:r>
                          <w:rPr>
                            <w:rFonts w:hint="eastAsia"/>
                            <w:szCs w:val="21"/>
                          </w:rPr>
                          <w:t>股东的净利润（净亏损以“</w:t>
                        </w:r>
                        <w:r>
                          <w:rPr>
                            <w:szCs w:val="21"/>
                          </w:rPr>
                          <w:t>-”号填列）</w:t>
                        </w:r>
                      </w:p>
                    </w:tc>
                  </w:sdtContent>
                </w:sdt>
                <w:tc>
                  <w:tcPr>
                    <w:tcW w:w="838" w:type="pct"/>
                    <w:tcBorders>
                      <w:top w:val="outset" w:sz="4" w:space="0" w:color="auto"/>
                      <w:left w:val="outset" w:sz="4" w:space="0" w:color="auto"/>
                      <w:bottom w:val="outset" w:sz="4" w:space="0" w:color="auto"/>
                      <w:right w:val="outset" w:sz="4" w:space="0" w:color="auto"/>
                    </w:tcBorders>
                  </w:tcPr>
                  <w:p w:rsidR="007D5C60" w:rsidRDefault="007D5C60" w:rsidP="007D5C60">
                    <w:pPr>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jc w:val="right"/>
                      <w:rPr>
                        <w:szCs w:val="21"/>
                      </w:rPr>
                    </w:pPr>
                    <w:r>
                      <w:t>11,196,257,454</w:t>
                    </w:r>
                  </w:p>
                </w:tc>
                <w:tc>
                  <w:tcPr>
                    <w:tcW w:w="1114"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jc w:val="right"/>
                      <w:rPr>
                        <w:szCs w:val="21"/>
                      </w:rPr>
                    </w:pPr>
                    <w:r>
                      <w:t>12,181,309,677</w:t>
                    </w:r>
                  </w:p>
                </w:tc>
              </w:tr>
              <w:tr w:rsidR="007D5C60" w:rsidTr="00601D47">
                <w:sdt>
                  <w:sdtPr>
                    <w:tag w:val="_PLD_ff126035711b4c5abd41d75affabef51"/>
                    <w:id w:val="-2082291476"/>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ind w:firstLineChars="200" w:firstLine="420"/>
                          <w:rPr>
                            <w:szCs w:val="21"/>
                          </w:rPr>
                        </w:pPr>
                        <w:r>
                          <w:t>2.</w:t>
                        </w:r>
                        <w:r>
                          <w:rPr>
                            <w:rFonts w:hint="eastAsia"/>
                            <w:szCs w:val="21"/>
                          </w:rPr>
                          <w:t>少数股东损益（净亏损以“</w:t>
                        </w:r>
                        <w:r>
                          <w:rPr>
                            <w:szCs w:val="21"/>
                          </w:rPr>
                          <w:t>-”号填列）</w:t>
                        </w:r>
                      </w:p>
                    </w:tc>
                  </w:sdtContent>
                </w:sdt>
                <w:tc>
                  <w:tcPr>
                    <w:tcW w:w="838" w:type="pct"/>
                    <w:tcBorders>
                      <w:top w:val="outset" w:sz="4" w:space="0" w:color="auto"/>
                      <w:left w:val="outset" w:sz="4" w:space="0" w:color="auto"/>
                      <w:bottom w:val="outset" w:sz="4" w:space="0" w:color="auto"/>
                      <w:right w:val="outset" w:sz="4" w:space="0" w:color="auto"/>
                    </w:tcBorders>
                  </w:tcPr>
                  <w:p w:rsidR="007D5C60" w:rsidRDefault="007D5C60" w:rsidP="007D5C60">
                    <w:pPr>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jc w:val="right"/>
                      <w:rPr>
                        <w:szCs w:val="21"/>
                      </w:rPr>
                    </w:pPr>
                    <w:r>
                      <w:t>1,656,660,451</w:t>
                    </w:r>
                  </w:p>
                </w:tc>
                <w:tc>
                  <w:tcPr>
                    <w:tcW w:w="1114"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jc w:val="right"/>
                      <w:rPr>
                        <w:szCs w:val="21"/>
                      </w:rPr>
                    </w:pPr>
                    <w:r>
                      <w:t>1,590,950,409</w:t>
                    </w:r>
                  </w:p>
                </w:tc>
              </w:tr>
              <w:tr w:rsidR="007D5C60" w:rsidTr="00601D47">
                <w:sdt>
                  <w:sdtPr>
                    <w:tag w:val="_PLD_9a13bc6fa8a4437cbc2fe6d7f95e57ad"/>
                    <w:id w:val="174935404"/>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rPr>
                            <w:szCs w:val="21"/>
                          </w:rPr>
                        </w:pPr>
                        <w:r>
                          <w:rPr>
                            <w:rFonts w:hint="eastAsia"/>
                            <w:szCs w:val="21"/>
                          </w:rPr>
                          <w:t>六、其他综合收益的税后净额</w:t>
                        </w:r>
                      </w:p>
                    </w:tc>
                  </w:sdtContent>
                </w:sdt>
                <w:tc>
                  <w:tcPr>
                    <w:tcW w:w="838" w:type="pct"/>
                    <w:tcBorders>
                      <w:top w:val="outset" w:sz="4" w:space="0" w:color="auto"/>
                      <w:left w:val="outset" w:sz="4" w:space="0" w:color="auto"/>
                      <w:bottom w:val="outset" w:sz="4" w:space="0" w:color="auto"/>
                      <w:right w:val="outset" w:sz="4" w:space="0" w:color="auto"/>
                    </w:tcBorders>
                  </w:tcPr>
                  <w:p w:rsidR="007D5C60" w:rsidRDefault="007D5C60" w:rsidP="007D5C60">
                    <w:pPr>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jc w:val="right"/>
                      <w:rPr>
                        <w:szCs w:val="21"/>
                      </w:rPr>
                    </w:pPr>
                    <w:r>
                      <w:t>-93,637,592</w:t>
                    </w:r>
                  </w:p>
                </w:tc>
                <w:tc>
                  <w:tcPr>
                    <w:tcW w:w="1114"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jc w:val="right"/>
                      <w:rPr>
                        <w:szCs w:val="21"/>
                      </w:rPr>
                    </w:pPr>
                    <w:r>
                      <w:t>-95,553,065</w:t>
                    </w:r>
                  </w:p>
                </w:tc>
              </w:tr>
              <w:tr w:rsidR="007D5C60" w:rsidTr="00601D47">
                <w:sdt>
                  <w:sdtPr>
                    <w:tag w:val="_PLD_4f2f5c8a639d471fa8ec35cb21cfadb4"/>
                    <w:id w:val="1063369658"/>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ind w:firstLineChars="100" w:firstLine="210"/>
                          <w:rPr>
                            <w:szCs w:val="21"/>
                          </w:rPr>
                        </w:pPr>
                        <w:r>
                          <w:rPr>
                            <w:rFonts w:hint="eastAsia"/>
                            <w:szCs w:val="21"/>
                          </w:rPr>
                          <w:t>（一）归属母公司所有者的其他综合收益的税后净额</w:t>
                        </w:r>
                      </w:p>
                    </w:tc>
                  </w:sdtContent>
                </w:sdt>
                <w:tc>
                  <w:tcPr>
                    <w:tcW w:w="838" w:type="pct"/>
                    <w:tcBorders>
                      <w:top w:val="outset" w:sz="4" w:space="0" w:color="auto"/>
                      <w:left w:val="outset" w:sz="4" w:space="0" w:color="auto"/>
                      <w:bottom w:val="outset" w:sz="4" w:space="0" w:color="auto"/>
                      <w:right w:val="outset" w:sz="4" w:space="0" w:color="auto"/>
                    </w:tcBorders>
                  </w:tcPr>
                  <w:p w:rsidR="007D5C60" w:rsidRDefault="007D5C60" w:rsidP="007D5C60">
                    <w:pPr>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jc w:val="right"/>
                      <w:rPr>
                        <w:szCs w:val="21"/>
                      </w:rPr>
                    </w:pPr>
                    <w:r>
                      <w:t>-93,199,761</w:t>
                    </w:r>
                  </w:p>
                </w:tc>
                <w:tc>
                  <w:tcPr>
                    <w:tcW w:w="1114"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jc w:val="right"/>
                      <w:rPr>
                        <w:szCs w:val="21"/>
                      </w:rPr>
                    </w:pPr>
                    <w:r>
                      <w:t>-93,771,349</w:t>
                    </w:r>
                  </w:p>
                </w:tc>
              </w:tr>
              <w:tr w:rsidR="007D5C60" w:rsidTr="00601D47">
                <w:sdt>
                  <w:sdtPr>
                    <w:tag w:val="_PLD_36b7d483d93a4a54b7ab8c3263c798ed"/>
                    <w:id w:val="2094576930"/>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ind w:firstLineChars="200" w:firstLine="420"/>
                          <w:rPr>
                            <w:szCs w:val="21"/>
                          </w:rPr>
                        </w:pPr>
                        <w:r>
                          <w:rPr>
                            <w:szCs w:val="21"/>
                          </w:rPr>
                          <w:t>1</w:t>
                        </w:r>
                        <w:r>
                          <w:rPr>
                            <w:rFonts w:hint="eastAsia"/>
                            <w:szCs w:val="21"/>
                          </w:rPr>
                          <w:t>．不能重分类进损益的其他综合收益</w:t>
                        </w:r>
                      </w:p>
                    </w:tc>
                  </w:sdtContent>
                </w:sdt>
                <w:tc>
                  <w:tcPr>
                    <w:tcW w:w="838" w:type="pct"/>
                    <w:tcBorders>
                      <w:top w:val="outset" w:sz="4" w:space="0" w:color="auto"/>
                      <w:left w:val="outset" w:sz="4" w:space="0" w:color="auto"/>
                      <w:bottom w:val="outset" w:sz="4" w:space="0" w:color="auto"/>
                      <w:right w:val="outset" w:sz="4" w:space="0" w:color="auto"/>
                    </w:tcBorders>
                  </w:tcPr>
                  <w:p w:rsidR="007D5C60" w:rsidRDefault="007D5C60" w:rsidP="007D5C60">
                    <w:pPr>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jc w:val="right"/>
                      <w:rPr>
                        <w:szCs w:val="21"/>
                      </w:rPr>
                    </w:pPr>
                    <w:r>
                      <w:t>-93,199,761</w:t>
                    </w:r>
                  </w:p>
                </w:tc>
                <w:tc>
                  <w:tcPr>
                    <w:tcW w:w="1114"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jc w:val="right"/>
                      <w:rPr>
                        <w:szCs w:val="21"/>
                      </w:rPr>
                    </w:pPr>
                    <w:r>
                      <w:t>-93,771,349</w:t>
                    </w:r>
                  </w:p>
                </w:tc>
              </w:tr>
              <w:tr w:rsidR="007D5C60" w:rsidTr="00601D47">
                <w:sdt>
                  <w:sdtPr>
                    <w:tag w:val="_PLD_135a1ea789084db6ab270a67392ce36a"/>
                    <w:id w:val="801963126"/>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ind w:firstLineChars="100" w:firstLine="210"/>
                          <w:rPr>
                            <w:szCs w:val="21"/>
                          </w:rPr>
                        </w:pPr>
                        <w:r>
                          <w:rPr>
                            <w:rFonts w:hint="eastAsia"/>
                          </w:rPr>
                          <w:t>（1）</w:t>
                        </w:r>
                        <w:r>
                          <w:rPr>
                            <w:szCs w:val="21"/>
                          </w:rPr>
                          <w:t>重新计量设定受益计划变动额</w:t>
                        </w:r>
                      </w:p>
                    </w:tc>
                  </w:sdtContent>
                </w:sdt>
                <w:tc>
                  <w:tcPr>
                    <w:tcW w:w="838" w:type="pct"/>
                    <w:tcBorders>
                      <w:top w:val="outset" w:sz="4" w:space="0" w:color="auto"/>
                      <w:left w:val="outset" w:sz="4" w:space="0" w:color="auto"/>
                      <w:bottom w:val="outset" w:sz="4" w:space="0" w:color="auto"/>
                      <w:right w:val="outset" w:sz="4" w:space="0" w:color="auto"/>
                    </w:tcBorders>
                  </w:tcPr>
                  <w:p w:rsidR="007D5C60" w:rsidRDefault="007D5C60" w:rsidP="007D5C60">
                    <w:pPr>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jc w:val="right"/>
                      <w:rPr>
                        <w:szCs w:val="21"/>
                      </w:rPr>
                    </w:pPr>
                    <w:r>
                      <w:rPr>
                        <w:rFonts w:hint="eastAsia"/>
                      </w:rPr>
                      <w:t>-</w:t>
                    </w:r>
                    <w:r>
                      <w:t>92,237,886</w:t>
                    </w:r>
                  </w:p>
                </w:tc>
                <w:tc>
                  <w:tcPr>
                    <w:tcW w:w="1114"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jc w:val="right"/>
                      <w:rPr>
                        <w:szCs w:val="21"/>
                      </w:rPr>
                    </w:pPr>
                    <w:r>
                      <w:rPr>
                        <w:rFonts w:hint="eastAsia"/>
                      </w:rPr>
                      <w:t>-</w:t>
                    </w:r>
                    <w:r>
                      <w:t>92,488,849</w:t>
                    </w:r>
                  </w:p>
                </w:tc>
              </w:tr>
              <w:tr w:rsidR="007D5C60" w:rsidTr="00A67D4D">
                <w:sdt>
                  <w:sdtPr>
                    <w:tag w:val="_PLD_ac017c2ac9f646e4a1cdf7a7204c480c"/>
                    <w:id w:val="-116907356"/>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ind w:firstLineChars="100" w:firstLine="210"/>
                          <w:rPr>
                            <w:szCs w:val="21"/>
                          </w:rPr>
                        </w:pPr>
                        <w:r>
                          <w:rPr>
                            <w:rFonts w:hint="eastAsia"/>
                          </w:rPr>
                          <w:t>（2）</w:t>
                        </w:r>
                        <w:r>
                          <w:t>权益法下不能转损益的其他综合收益</w:t>
                        </w:r>
                      </w:p>
                    </w:tc>
                  </w:sdtContent>
                </w:sdt>
                <w:tc>
                  <w:tcPr>
                    <w:tcW w:w="838" w:type="pct"/>
                    <w:tcBorders>
                      <w:top w:val="outset" w:sz="4" w:space="0" w:color="auto"/>
                      <w:left w:val="outset" w:sz="4" w:space="0" w:color="auto"/>
                      <w:bottom w:val="outset" w:sz="4" w:space="0" w:color="auto"/>
                      <w:right w:val="outset" w:sz="4" w:space="0" w:color="auto"/>
                    </w:tcBorders>
                  </w:tcPr>
                  <w:p w:rsidR="007D5C60" w:rsidRDefault="007D5C60" w:rsidP="007D5C60">
                    <w:pPr>
                      <w:rPr>
                        <w:szCs w:val="21"/>
                      </w:rPr>
                    </w:pPr>
                  </w:p>
                </w:tc>
                <w:tc>
                  <w:tcPr>
                    <w:tcW w:w="1110" w:type="pct"/>
                    <w:tcBorders>
                      <w:top w:val="outset" w:sz="4" w:space="0" w:color="auto"/>
                      <w:left w:val="outset" w:sz="4" w:space="0" w:color="auto"/>
                      <w:bottom w:val="outset" w:sz="4" w:space="0" w:color="auto"/>
                      <w:right w:val="outset" w:sz="4" w:space="0" w:color="auto"/>
                    </w:tcBorders>
                  </w:tcPr>
                  <w:p w:rsidR="007D5C60" w:rsidRDefault="007D5C60" w:rsidP="007D5C60">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7D5C60" w:rsidRDefault="007D5C60" w:rsidP="007D5C60">
                    <w:pPr>
                      <w:jc w:val="right"/>
                      <w:rPr>
                        <w:szCs w:val="21"/>
                      </w:rPr>
                    </w:pPr>
                  </w:p>
                </w:tc>
              </w:tr>
              <w:tr w:rsidR="007D5C60" w:rsidTr="00601D47">
                <w:tc>
                  <w:tcPr>
                    <w:tcW w:w="1938" w:type="pct"/>
                    <w:tcBorders>
                      <w:top w:val="outset" w:sz="4" w:space="0" w:color="auto"/>
                      <w:left w:val="outset" w:sz="4" w:space="0" w:color="auto"/>
                      <w:bottom w:val="outset" w:sz="4" w:space="0" w:color="auto"/>
                      <w:right w:val="outset" w:sz="4" w:space="0" w:color="auto"/>
                    </w:tcBorders>
                    <w:vAlign w:val="center"/>
                  </w:tcPr>
                  <w:sdt>
                    <w:sdtPr>
                      <w:tag w:val="_PLD_e4a31bfd680046b99a1b3d34eb9576f4"/>
                      <w:id w:val="-1434963844"/>
                      <w:lock w:val="sdtLocked"/>
                    </w:sdtPr>
                    <w:sdtContent>
                      <w:p w:rsidR="007D5C60" w:rsidRDefault="007D5C60" w:rsidP="007D5C60">
                        <w:pPr>
                          <w:ind w:firstLineChars="100" w:firstLine="210"/>
                        </w:pPr>
                        <w:r>
                          <w:rPr>
                            <w:rFonts w:hint="eastAsia"/>
                          </w:rPr>
                          <w:t>（3）</w:t>
                        </w:r>
                        <w:r>
                          <w:t>其他权益工具投资公允价值变动</w:t>
                        </w:r>
                      </w:p>
                    </w:sdtContent>
                  </w:sdt>
                </w:tc>
                <w:tc>
                  <w:tcPr>
                    <w:tcW w:w="838" w:type="pct"/>
                    <w:tcBorders>
                      <w:top w:val="outset" w:sz="4" w:space="0" w:color="auto"/>
                      <w:left w:val="outset" w:sz="4" w:space="0" w:color="auto"/>
                      <w:bottom w:val="outset" w:sz="4" w:space="0" w:color="auto"/>
                      <w:right w:val="outset" w:sz="4" w:space="0" w:color="auto"/>
                    </w:tcBorders>
                  </w:tcPr>
                  <w:p w:rsidR="007D5C60" w:rsidRDefault="007D5C60" w:rsidP="007D5C60">
                    <w:pPr>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jc w:val="right"/>
                      <w:rPr>
                        <w:szCs w:val="21"/>
                      </w:rPr>
                    </w:pPr>
                    <w:r>
                      <w:rPr>
                        <w:rFonts w:hint="eastAsia"/>
                      </w:rPr>
                      <w:t>-</w:t>
                    </w:r>
                    <w:r>
                      <w:t>961,875</w:t>
                    </w:r>
                  </w:p>
                </w:tc>
                <w:tc>
                  <w:tcPr>
                    <w:tcW w:w="1114"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jc w:val="right"/>
                      <w:rPr>
                        <w:szCs w:val="21"/>
                      </w:rPr>
                    </w:pPr>
                    <w:r>
                      <w:rPr>
                        <w:rFonts w:hint="eastAsia"/>
                      </w:rPr>
                      <w:t>-</w:t>
                    </w:r>
                    <w:r>
                      <w:t>1,282,500</w:t>
                    </w:r>
                  </w:p>
                </w:tc>
              </w:tr>
              <w:tr w:rsidR="007D5C60" w:rsidTr="00A67D4D">
                <w:tc>
                  <w:tcPr>
                    <w:tcW w:w="1938" w:type="pct"/>
                    <w:tcBorders>
                      <w:top w:val="outset" w:sz="4" w:space="0" w:color="auto"/>
                      <w:left w:val="outset" w:sz="4" w:space="0" w:color="auto"/>
                      <w:bottom w:val="outset" w:sz="4" w:space="0" w:color="auto"/>
                      <w:right w:val="outset" w:sz="4" w:space="0" w:color="auto"/>
                    </w:tcBorders>
                    <w:vAlign w:val="center"/>
                  </w:tcPr>
                  <w:sdt>
                    <w:sdtPr>
                      <w:tag w:val="_PLD_c48ff6a604db4d18a1d1dc7c0a221692"/>
                      <w:id w:val="-633951607"/>
                      <w:lock w:val="sdtLocked"/>
                    </w:sdtPr>
                    <w:sdtContent>
                      <w:p w:rsidR="007D5C60" w:rsidRDefault="007D5C60" w:rsidP="007D5C60">
                        <w:pPr>
                          <w:ind w:firstLineChars="100" w:firstLine="210"/>
                        </w:pPr>
                        <w:r>
                          <w:rPr>
                            <w:rFonts w:hint="eastAsia"/>
                          </w:rPr>
                          <w:t>（4）</w:t>
                        </w:r>
                        <w:r>
                          <w:t>企业自身信用风险公允价值变动</w:t>
                        </w:r>
                      </w:p>
                    </w:sdtContent>
                  </w:sdt>
                </w:tc>
                <w:tc>
                  <w:tcPr>
                    <w:tcW w:w="838" w:type="pct"/>
                    <w:tcBorders>
                      <w:top w:val="outset" w:sz="4" w:space="0" w:color="auto"/>
                      <w:left w:val="outset" w:sz="4" w:space="0" w:color="auto"/>
                      <w:bottom w:val="outset" w:sz="4" w:space="0" w:color="auto"/>
                      <w:right w:val="outset" w:sz="4" w:space="0" w:color="auto"/>
                    </w:tcBorders>
                  </w:tcPr>
                  <w:p w:rsidR="007D5C60" w:rsidRDefault="007D5C60" w:rsidP="007D5C60">
                    <w:pPr>
                      <w:rPr>
                        <w:szCs w:val="21"/>
                      </w:rPr>
                    </w:pPr>
                  </w:p>
                </w:tc>
                <w:tc>
                  <w:tcPr>
                    <w:tcW w:w="1110" w:type="pct"/>
                    <w:tcBorders>
                      <w:top w:val="outset" w:sz="4" w:space="0" w:color="auto"/>
                      <w:left w:val="outset" w:sz="4" w:space="0" w:color="auto"/>
                      <w:bottom w:val="outset" w:sz="4" w:space="0" w:color="auto"/>
                      <w:right w:val="outset" w:sz="4" w:space="0" w:color="auto"/>
                    </w:tcBorders>
                  </w:tcPr>
                  <w:p w:rsidR="007D5C60" w:rsidRDefault="007D5C60" w:rsidP="007D5C60">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7D5C60" w:rsidRDefault="007D5C60" w:rsidP="007D5C60">
                    <w:pPr>
                      <w:jc w:val="right"/>
                      <w:rPr>
                        <w:szCs w:val="21"/>
                      </w:rPr>
                    </w:pPr>
                  </w:p>
                </w:tc>
              </w:tr>
              <w:tr w:rsidR="007D5C60" w:rsidTr="00A67D4D">
                <w:sdt>
                  <w:sdtPr>
                    <w:tag w:val="_PLD_abe4aeb39ba149bd8b72f60b4c8a1d22"/>
                    <w:id w:val="-1464266503"/>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ind w:firstLineChars="200" w:firstLine="420"/>
                          <w:rPr>
                            <w:szCs w:val="21"/>
                          </w:rPr>
                        </w:pPr>
                        <w:r>
                          <w:rPr>
                            <w:szCs w:val="21"/>
                          </w:rPr>
                          <w:t>2</w:t>
                        </w:r>
                        <w:r>
                          <w:rPr>
                            <w:rFonts w:hint="eastAsia"/>
                            <w:szCs w:val="21"/>
                          </w:rPr>
                          <w:t>．将重分类进损益的其他综合收益</w:t>
                        </w:r>
                      </w:p>
                    </w:tc>
                  </w:sdtContent>
                </w:sdt>
                <w:tc>
                  <w:tcPr>
                    <w:tcW w:w="838" w:type="pct"/>
                    <w:tcBorders>
                      <w:top w:val="outset" w:sz="4" w:space="0" w:color="auto"/>
                      <w:left w:val="outset" w:sz="4" w:space="0" w:color="auto"/>
                      <w:bottom w:val="outset" w:sz="4" w:space="0" w:color="auto"/>
                      <w:right w:val="outset" w:sz="4" w:space="0" w:color="auto"/>
                    </w:tcBorders>
                  </w:tcPr>
                  <w:p w:rsidR="007D5C60" w:rsidRDefault="007D5C60" w:rsidP="007D5C60">
                    <w:pPr>
                      <w:rPr>
                        <w:szCs w:val="21"/>
                      </w:rPr>
                    </w:pPr>
                  </w:p>
                </w:tc>
                <w:tc>
                  <w:tcPr>
                    <w:tcW w:w="1110" w:type="pct"/>
                    <w:tcBorders>
                      <w:top w:val="outset" w:sz="4" w:space="0" w:color="auto"/>
                      <w:left w:val="outset" w:sz="4" w:space="0" w:color="auto"/>
                      <w:bottom w:val="outset" w:sz="4" w:space="0" w:color="auto"/>
                      <w:right w:val="outset" w:sz="4" w:space="0" w:color="auto"/>
                    </w:tcBorders>
                  </w:tcPr>
                  <w:p w:rsidR="007D5C60" w:rsidRDefault="007D5C60" w:rsidP="007D5C60">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7D5C60" w:rsidRDefault="007D5C60" w:rsidP="007D5C60">
                    <w:pPr>
                      <w:jc w:val="right"/>
                      <w:rPr>
                        <w:szCs w:val="21"/>
                      </w:rPr>
                    </w:pPr>
                  </w:p>
                </w:tc>
              </w:tr>
              <w:tr w:rsidR="007D5C60" w:rsidTr="00A67D4D">
                <w:sdt>
                  <w:sdtPr>
                    <w:tag w:val="_PLD_b3cee83b27dc4e60b3f7b7333c0c55d9"/>
                    <w:id w:val="266432438"/>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ind w:firstLineChars="100" w:firstLine="210"/>
                          <w:rPr>
                            <w:szCs w:val="21"/>
                          </w:rPr>
                        </w:pPr>
                        <w:r>
                          <w:rPr>
                            <w:rFonts w:hint="eastAsia"/>
                          </w:rPr>
                          <w:t>（1）</w:t>
                        </w:r>
                        <w:r>
                          <w:t>权益法下可转损益的其他综合收益</w:t>
                        </w:r>
                      </w:p>
                    </w:tc>
                  </w:sdtContent>
                </w:sdt>
                <w:tc>
                  <w:tcPr>
                    <w:tcW w:w="838" w:type="pct"/>
                    <w:tcBorders>
                      <w:top w:val="outset" w:sz="4" w:space="0" w:color="auto"/>
                      <w:left w:val="outset" w:sz="4" w:space="0" w:color="auto"/>
                      <w:bottom w:val="outset" w:sz="4" w:space="0" w:color="auto"/>
                      <w:right w:val="outset" w:sz="4" w:space="0" w:color="auto"/>
                    </w:tcBorders>
                  </w:tcPr>
                  <w:p w:rsidR="007D5C60" w:rsidRDefault="007D5C60" w:rsidP="007D5C60">
                    <w:pPr>
                      <w:rPr>
                        <w:szCs w:val="21"/>
                      </w:rPr>
                    </w:pPr>
                  </w:p>
                </w:tc>
                <w:tc>
                  <w:tcPr>
                    <w:tcW w:w="1110" w:type="pct"/>
                    <w:tcBorders>
                      <w:top w:val="outset" w:sz="4" w:space="0" w:color="auto"/>
                      <w:left w:val="outset" w:sz="4" w:space="0" w:color="auto"/>
                      <w:bottom w:val="outset" w:sz="4" w:space="0" w:color="auto"/>
                      <w:right w:val="outset" w:sz="4" w:space="0" w:color="auto"/>
                    </w:tcBorders>
                  </w:tcPr>
                  <w:p w:rsidR="007D5C60" w:rsidRDefault="007D5C60" w:rsidP="007D5C60">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7D5C60" w:rsidRDefault="007D5C60" w:rsidP="007D5C60">
                    <w:pPr>
                      <w:jc w:val="right"/>
                      <w:rPr>
                        <w:szCs w:val="21"/>
                      </w:rPr>
                    </w:pPr>
                  </w:p>
                </w:tc>
              </w:tr>
              <w:tr w:rsidR="007D5C60" w:rsidTr="00A67D4D">
                <w:tc>
                  <w:tcPr>
                    <w:tcW w:w="1938" w:type="pct"/>
                    <w:tcBorders>
                      <w:top w:val="outset" w:sz="4" w:space="0" w:color="auto"/>
                      <w:left w:val="outset" w:sz="4" w:space="0" w:color="auto"/>
                      <w:bottom w:val="outset" w:sz="4" w:space="0" w:color="auto"/>
                      <w:right w:val="outset" w:sz="4" w:space="0" w:color="auto"/>
                    </w:tcBorders>
                    <w:vAlign w:val="center"/>
                  </w:tcPr>
                  <w:sdt>
                    <w:sdtPr>
                      <w:tag w:val="_PLD_0964bdc875cb41acbcc556550f4e03d4"/>
                      <w:id w:val="-1634862625"/>
                      <w:lock w:val="sdtLocked"/>
                    </w:sdtPr>
                    <w:sdtContent>
                      <w:p w:rsidR="007D5C60" w:rsidRDefault="007D5C60" w:rsidP="007D5C60">
                        <w:pPr>
                          <w:ind w:firstLineChars="100" w:firstLine="210"/>
                        </w:pPr>
                        <w:r>
                          <w:rPr>
                            <w:rFonts w:hint="eastAsia"/>
                          </w:rPr>
                          <w:t>（2）</w:t>
                        </w:r>
                        <w:r>
                          <w:t>其他债权投资公允价值变动</w:t>
                        </w:r>
                      </w:p>
                    </w:sdtContent>
                  </w:sdt>
                </w:tc>
                <w:tc>
                  <w:tcPr>
                    <w:tcW w:w="838" w:type="pct"/>
                    <w:tcBorders>
                      <w:top w:val="outset" w:sz="4" w:space="0" w:color="auto"/>
                      <w:left w:val="outset" w:sz="4" w:space="0" w:color="auto"/>
                      <w:bottom w:val="outset" w:sz="4" w:space="0" w:color="auto"/>
                      <w:right w:val="outset" w:sz="4" w:space="0" w:color="auto"/>
                    </w:tcBorders>
                  </w:tcPr>
                  <w:p w:rsidR="007D5C60" w:rsidRDefault="007D5C60" w:rsidP="007D5C60">
                    <w:pPr>
                      <w:rPr>
                        <w:szCs w:val="21"/>
                      </w:rPr>
                    </w:pPr>
                  </w:p>
                </w:tc>
                <w:tc>
                  <w:tcPr>
                    <w:tcW w:w="1110" w:type="pct"/>
                    <w:tcBorders>
                      <w:top w:val="outset" w:sz="4" w:space="0" w:color="auto"/>
                      <w:left w:val="outset" w:sz="4" w:space="0" w:color="auto"/>
                      <w:bottom w:val="outset" w:sz="4" w:space="0" w:color="auto"/>
                      <w:right w:val="outset" w:sz="4" w:space="0" w:color="auto"/>
                    </w:tcBorders>
                  </w:tcPr>
                  <w:p w:rsidR="007D5C60" w:rsidRDefault="007D5C60" w:rsidP="007D5C60">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7D5C60" w:rsidRDefault="007D5C60" w:rsidP="007D5C60">
                    <w:pPr>
                      <w:jc w:val="right"/>
                      <w:rPr>
                        <w:szCs w:val="21"/>
                      </w:rPr>
                    </w:pPr>
                  </w:p>
                </w:tc>
              </w:tr>
              <w:tr w:rsidR="007D5C60" w:rsidTr="00A67D4D">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d5623d5f9fa0430da4eccee5c001a530"/>
                      <w:id w:val="1520200493"/>
                      <w:lock w:val="sdtLocked"/>
                    </w:sdtPr>
                    <w:sdtEndPr>
                      <w:rPr>
                        <w:rFonts w:hint="default"/>
                      </w:rPr>
                    </w:sdtEndPr>
                    <w:sdtContent>
                      <w:p w:rsidR="007D5C60" w:rsidRDefault="007D5C60" w:rsidP="007D5C60">
                        <w:pPr>
                          <w:ind w:firstLineChars="100" w:firstLine="210"/>
                        </w:pPr>
                        <w:r>
                          <w:rPr>
                            <w:rFonts w:hint="eastAsia"/>
                          </w:rPr>
                          <w:t>（3）</w:t>
                        </w:r>
                        <w:r>
                          <w:t>金融资产重分类计入其他综合收益的金额</w:t>
                        </w:r>
                      </w:p>
                    </w:sdtContent>
                  </w:sdt>
                </w:tc>
                <w:tc>
                  <w:tcPr>
                    <w:tcW w:w="838" w:type="pct"/>
                    <w:tcBorders>
                      <w:top w:val="outset" w:sz="4" w:space="0" w:color="auto"/>
                      <w:left w:val="outset" w:sz="4" w:space="0" w:color="auto"/>
                      <w:bottom w:val="outset" w:sz="4" w:space="0" w:color="auto"/>
                      <w:right w:val="outset" w:sz="4" w:space="0" w:color="auto"/>
                    </w:tcBorders>
                  </w:tcPr>
                  <w:p w:rsidR="007D5C60" w:rsidRDefault="007D5C60" w:rsidP="007D5C60">
                    <w:pPr>
                      <w:rPr>
                        <w:szCs w:val="21"/>
                      </w:rPr>
                    </w:pPr>
                  </w:p>
                </w:tc>
                <w:tc>
                  <w:tcPr>
                    <w:tcW w:w="1110" w:type="pct"/>
                    <w:tcBorders>
                      <w:top w:val="outset" w:sz="4" w:space="0" w:color="auto"/>
                      <w:left w:val="outset" w:sz="4" w:space="0" w:color="auto"/>
                      <w:bottom w:val="outset" w:sz="4" w:space="0" w:color="auto"/>
                      <w:right w:val="outset" w:sz="4" w:space="0" w:color="auto"/>
                    </w:tcBorders>
                  </w:tcPr>
                  <w:p w:rsidR="007D5C60" w:rsidRDefault="007D5C60" w:rsidP="007D5C60">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7D5C60" w:rsidRDefault="007D5C60" w:rsidP="007D5C60">
                    <w:pPr>
                      <w:jc w:val="right"/>
                      <w:rPr>
                        <w:szCs w:val="21"/>
                      </w:rPr>
                    </w:pPr>
                  </w:p>
                </w:tc>
              </w:tr>
              <w:tr w:rsidR="007D5C60" w:rsidTr="00A67D4D">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9ae9a687385c431d96ae9c14b04e7551"/>
                      <w:id w:val="-811713512"/>
                      <w:lock w:val="sdtLocked"/>
                    </w:sdtPr>
                    <w:sdtEndPr>
                      <w:rPr>
                        <w:rFonts w:hint="default"/>
                      </w:rPr>
                    </w:sdtEndPr>
                    <w:sdtContent>
                      <w:p w:rsidR="007D5C60" w:rsidRDefault="007D5C60" w:rsidP="007D5C60">
                        <w:pPr>
                          <w:ind w:firstLineChars="100" w:firstLine="210"/>
                        </w:pPr>
                        <w:r>
                          <w:rPr>
                            <w:rFonts w:hint="eastAsia"/>
                          </w:rPr>
                          <w:t>（4）</w:t>
                        </w:r>
                        <w:r>
                          <w:t>其他债权投资信用减值准备</w:t>
                        </w:r>
                      </w:p>
                    </w:sdtContent>
                  </w:sdt>
                </w:tc>
                <w:tc>
                  <w:tcPr>
                    <w:tcW w:w="838" w:type="pct"/>
                    <w:tcBorders>
                      <w:top w:val="outset" w:sz="4" w:space="0" w:color="auto"/>
                      <w:left w:val="outset" w:sz="4" w:space="0" w:color="auto"/>
                      <w:bottom w:val="outset" w:sz="4" w:space="0" w:color="auto"/>
                      <w:right w:val="outset" w:sz="4" w:space="0" w:color="auto"/>
                    </w:tcBorders>
                  </w:tcPr>
                  <w:p w:rsidR="007D5C60" w:rsidRDefault="007D5C60" w:rsidP="007D5C60">
                    <w:pPr>
                      <w:rPr>
                        <w:szCs w:val="21"/>
                      </w:rPr>
                    </w:pPr>
                  </w:p>
                </w:tc>
                <w:tc>
                  <w:tcPr>
                    <w:tcW w:w="1110" w:type="pct"/>
                    <w:tcBorders>
                      <w:top w:val="outset" w:sz="4" w:space="0" w:color="auto"/>
                      <w:left w:val="outset" w:sz="4" w:space="0" w:color="auto"/>
                      <w:bottom w:val="outset" w:sz="4" w:space="0" w:color="auto"/>
                      <w:right w:val="outset" w:sz="4" w:space="0" w:color="auto"/>
                    </w:tcBorders>
                  </w:tcPr>
                  <w:p w:rsidR="007D5C60" w:rsidRDefault="007D5C60" w:rsidP="007D5C60">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7D5C60" w:rsidRDefault="007D5C60" w:rsidP="007D5C60">
                    <w:pPr>
                      <w:jc w:val="right"/>
                      <w:rPr>
                        <w:szCs w:val="21"/>
                      </w:rPr>
                    </w:pPr>
                  </w:p>
                </w:tc>
              </w:tr>
              <w:tr w:rsidR="007D5C60" w:rsidTr="00A67D4D">
                <w:tc>
                  <w:tcPr>
                    <w:tcW w:w="1938" w:type="pct"/>
                    <w:tcBorders>
                      <w:top w:val="outset" w:sz="4" w:space="0" w:color="auto"/>
                      <w:left w:val="outset" w:sz="4" w:space="0" w:color="auto"/>
                      <w:bottom w:val="outset" w:sz="4" w:space="0" w:color="auto"/>
                      <w:right w:val="outset" w:sz="4" w:space="0" w:color="auto"/>
                    </w:tcBorders>
                    <w:vAlign w:val="center"/>
                  </w:tcPr>
                  <w:sdt>
                    <w:sdtPr>
                      <w:tag w:val="_PLD_23b423edc2274c72b51ddde91025ffea"/>
                      <w:id w:val="-808788471"/>
                      <w:lock w:val="sdtLocked"/>
                    </w:sdtPr>
                    <w:sdtContent>
                      <w:p w:rsidR="007D5C60" w:rsidRDefault="007D5C60" w:rsidP="007D5C60">
                        <w:pPr>
                          <w:ind w:firstLineChars="100" w:firstLine="210"/>
                        </w:pPr>
                        <w:r>
                          <w:rPr>
                            <w:rFonts w:hint="eastAsia"/>
                          </w:rPr>
                          <w:t>（5）</w:t>
                        </w:r>
                        <w:r>
                          <w:t>现金流量套期储备</w:t>
                        </w:r>
                      </w:p>
                    </w:sdtContent>
                  </w:sdt>
                </w:tc>
                <w:tc>
                  <w:tcPr>
                    <w:tcW w:w="838" w:type="pct"/>
                    <w:tcBorders>
                      <w:top w:val="outset" w:sz="4" w:space="0" w:color="auto"/>
                      <w:left w:val="outset" w:sz="4" w:space="0" w:color="auto"/>
                      <w:bottom w:val="outset" w:sz="4" w:space="0" w:color="auto"/>
                      <w:right w:val="outset" w:sz="4" w:space="0" w:color="auto"/>
                    </w:tcBorders>
                  </w:tcPr>
                  <w:p w:rsidR="007D5C60" w:rsidRDefault="007D5C60" w:rsidP="007D5C60">
                    <w:pPr>
                      <w:rPr>
                        <w:szCs w:val="21"/>
                      </w:rPr>
                    </w:pPr>
                  </w:p>
                </w:tc>
                <w:tc>
                  <w:tcPr>
                    <w:tcW w:w="1110" w:type="pct"/>
                    <w:tcBorders>
                      <w:top w:val="outset" w:sz="4" w:space="0" w:color="auto"/>
                      <w:left w:val="outset" w:sz="4" w:space="0" w:color="auto"/>
                      <w:bottom w:val="outset" w:sz="4" w:space="0" w:color="auto"/>
                      <w:right w:val="outset" w:sz="4" w:space="0" w:color="auto"/>
                    </w:tcBorders>
                  </w:tcPr>
                  <w:p w:rsidR="007D5C60" w:rsidRDefault="007D5C60" w:rsidP="007D5C60">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7D5C60" w:rsidRDefault="007D5C60" w:rsidP="007D5C60">
                    <w:pPr>
                      <w:jc w:val="right"/>
                      <w:rPr>
                        <w:szCs w:val="21"/>
                      </w:rPr>
                    </w:pPr>
                  </w:p>
                </w:tc>
              </w:tr>
              <w:tr w:rsidR="007D5C60" w:rsidTr="00A67D4D">
                <w:tc>
                  <w:tcPr>
                    <w:tcW w:w="1938" w:type="pct"/>
                    <w:tcBorders>
                      <w:top w:val="outset" w:sz="4" w:space="0" w:color="auto"/>
                      <w:left w:val="outset" w:sz="4" w:space="0" w:color="auto"/>
                      <w:bottom w:val="outset" w:sz="4" w:space="0" w:color="auto"/>
                      <w:right w:val="outset" w:sz="4" w:space="0" w:color="auto"/>
                    </w:tcBorders>
                    <w:vAlign w:val="center"/>
                  </w:tcPr>
                  <w:sdt>
                    <w:sdtPr>
                      <w:tag w:val="_PLD_4acecfbf1f234ce3af0ec16acd7e3e6d"/>
                      <w:id w:val="-1555997555"/>
                      <w:lock w:val="sdtLocked"/>
                    </w:sdtPr>
                    <w:sdtContent>
                      <w:p w:rsidR="007D5C60" w:rsidRDefault="007D5C60" w:rsidP="007D5C60">
                        <w:pPr>
                          <w:ind w:firstLineChars="100" w:firstLine="210"/>
                        </w:pPr>
                        <w:r>
                          <w:rPr>
                            <w:rFonts w:hint="eastAsia"/>
                          </w:rPr>
                          <w:t>（6）</w:t>
                        </w:r>
                        <w:r>
                          <w:t>外币财务报表折算差额</w:t>
                        </w:r>
                      </w:p>
                    </w:sdtContent>
                  </w:sdt>
                </w:tc>
                <w:tc>
                  <w:tcPr>
                    <w:tcW w:w="838" w:type="pct"/>
                    <w:tcBorders>
                      <w:top w:val="outset" w:sz="4" w:space="0" w:color="auto"/>
                      <w:left w:val="outset" w:sz="4" w:space="0" w:color="auto"/>
                      <w:bottom w:val="outset" w:sz="4" w:space="0" w:color="auto"/>
                      <w:right w:val="outset" w:sz="4" w:space="0" w:color="auto"/>
                    </w:tcBorders>
                  </w:tcPr>
                  <w:p w:rsidR="007D5C60" w:rsidRDefault="007D5C60" w:rsidP="007D5C60">
                    <w:pPr>
                      <w:rPr>
                        <w:szCs w:val="21"/>
                      </w:rPr>
                    </w:pPr>
                  </w:p>
                </w:tc>
                <w:tc>
                  <w:tcPr>
                    <w:tcW w:w="1110" w:type="pct"/>
                    <w:tcBorders>
                      <w:top w:val="outset" w:sz="4" w:space="0" w:color="auto"/>
                      <w:left w:val="outset" w:sz="4" w:space="0" w:color="auto"/>
                      <w:bottom w:val="outset" w:sz="4" w:space="0" w:color="auto"/>
                      <w:right w:val="outset" w:sz="4" w:space="0" w:color="auto"/>
                    </w:tcBorders>
                  </w:tcPr>
                  <w:p w:rsidR="007D5C60" w:rsidRDefault="007D5C60" w:rsidP="007D5C60">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7D5C60" w:rsidRDefault="007D5C60" w:rsidP="007D5C60">
                    <w:pPr>
                      <w:jc w:val="right"/>
                      <w:rPr>
                        <w:szCs w:val="21"/>
                      </w:rPr>
                    </w:pPr>
                  </w:p>
                </w:tc>
              </w:tr>
              <w:tr w:rsidR="007D5C60" w:rsidTr="00A67D4D">
                <w:tc>
                  <w:tcPr>
                    <w:tcW w:w="1938" w:type="pct"/>
                    <w:tcBorders>
                      <w:top w:val="outset" w:sz="4" w:space="0" w:color="auto"/>
                      <w:left w:val="outset" w:sz="4" w:space="0" w:color="auto"/>
                      <w:bottom w:val="outset" w:sz="4" w:space="0" w:color="auto"/>
                      <w:right w:val="outset" w:sz="4" w:space="0" w:color="auto"/>
                    </w:tcBorders>
                    <w:vAlign w:val="center"/>
                  </w:tcPr>
                  <w:sdt>
                    <w:sdtPr>
                      <w:tag w:val="_PLD_7d43aa1b36164af4b8726e2c1f760cfd"/>
                      <w:id w:val="-1370211164"/>
                      <w:lock w:val="sdtLocked"/>
                    </w:sdtPr>
                    <w:sdtContent>
                      <w:p w:rsidR="007D5C60" w:rsidRDefault="007D5C60" w:rsidP="007D5C60">
                        <w:pPr>
                          <w:ind w:firstLineChars="100" w:firstLine="210"/>
                        </w:pPr>
                        <w:r>
                          <w:rPr>
                            <w:rFonts w:hint="eastAsia"/>
                          </w:rPr>
                          <w:t>（7）</w:t>
                        </w:r>
                        <w:r>
                          <w:t>其他</w:t>
                        </w:r>
                      </w:p>
                    </w:sdtContent>
                  </w:sdt>
                </w:tc>
                <w:tc>
                  <w:tcPr>
                    <w:tcW w:w="838" w:type="pct"/>
                    <w:tcBorders>
                      <w:top w:val="outset" w:sz="4" w:space="0" w:color="auto"/>
                      <w:left w:val="outset" w:sz="4" w:space="0" w:color="auto"/>
                      <w:bottom w:val="outset" w:sz="4" w:space="0" w:color="auto"/>
                      <w:right w:val="outset" w:sz="4" w:space="0" w:color="auto"/>
                    </w:tcBorders>
                  </w:tcPr>
                  <w:p w:rsidR="007D5C60" w:rsidRDefault="007D5C60" w:rsidP="007D5C60">
                    <w:pPr>
                      <w:rPr>
                        <w:szCs w:val="21"/>
                      </w:rPr>
                    </w:pPr>
                  </w:p>
                </w:tc>
                <w:tc>
                  <w:tcPr>
                    <w:tcW w:w="1110" w:type="pct"/>
                    <w:tcBorders>
                      <w:top w:val="outset" w:sz="4" w:space="0" w:color="auto"/>
                      <w:left w:val="outset" w:sz="4" w:space="0" w:color="auto"/>
                      <w:bottom w:val="outset" w:sz="4" w:space="0" w:color="auto"/>
                      <w:right w:val="outset" w:sz="4" w:space="0" w:color="auto"/>
                    </w:tcBorders>
                  </w:tcPr>
                  <w:p w:rsidR="007D5C60" w:rsidRDefault="007D5C60" w:rsidP="007D5C60">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7D5C60" w:rsidRDefault="007D5C60" w:rsidP="007D5C60">
                    <w:pPr>
                      <w:jc w:val="right"/>
                      <w:rPr>
                        <w:szCs w:val="21"/>
                      </w:rPr>
                    </w:pPr>
                  </w:p>
                </w:tc>
              </w:tr>
              <w:tr w:rsidR="007D5C60" w:rsidTr="00601D47">
                <w:sdt>
                  <w:sdtPr>
                    <w:tag w:val="_PLD_83569bc5ede84869b3447cee447eab7d"/>
                    <w:id w:val="1144161584"/>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ind w:firstLineChars="100" w:firstLine="210"/>
                          <w:rPr>
                            <w:szCs w:val="21"/>
                          </w:rPr>
                        </w:pPr>
                        <w:r>
                          <w:rPr>
                            <w:szCs w:val="21"/>
                          </w:rPr>
                          <w:t>（二）</w:t>
                        </w:r>
                        <w:r>
                          <w:rPr>
                            <w:rFonts w:hint="eastAsia"/>
                            <w:szCs w:val="21"/>
                          </w:rPr>
                          <w:t>归属于少数股东的其他综合收益的税后净额</w:t>
                        </w:r>
                      </w:p>
                    </w:tc>
                  </w:sdtContent>
                </w:sdt>
                <w:tc>
                  <w:tcPr>
                    <w:tcW w:w="838" w:type="pct"/>
                    <w:tcBorders>
                      <w:top w:val="outset" w:sz="4" w:space="0" w:color="auto"/>
                      <w:left w:val="outset" w:sz="4" w:space="0" w:color="auto"/>
                      <w:bottom w:val="outset" w:sz="4" w:space="0" w:color="auto"/>
                      <w:right w:val="outset" w:sz="4" w:space="0" w:color="auto"/>
                    </w:tcBorders>
                  </w:tcPr>
                  <w:p w:rsidR="007D5C60" w:rsidRDefault="007D5C60" w:rsidP="007D5C60">
                    <w:pPr>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jc w:val="right"/>
                      <w:rPr>
                        <w:szCs w:val="21"/>
                      </w:rPr>
                    </w:pPr>
                    <w:r>
                      <w:t>-437</w:t>
                    </w:r>
                    <w:r w:rsidR="00486180">
                      <w:rPr>
                        <w:rFonts w:hint="eastAsia"/>
                      </w:rPr>
                      <w:t>,</w:t>
                    </w:r>
                    <w:r>
                      <w:t>83</w:t>
                    </w:r>
                    <w:r w:rsidR="00486180">
                      <w:t>1</w:t>
                    </w:r>
                  </w:p>
                </w:tc>
                <w:tc>
                  <w:tcPr>
                    <w:tcW w:w="1114"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jc w:val="right"/>
                      <w:rPr>
                        <w:szCs w:val="21"/>
                      </w:rPr>
                    </w:pPr>
                    <w:r>
                      <w:rPr>
                        <w:rFonts w:hint="eastAsia"/>
                      </w:rPr>
                      <w:t>-</w:t>
                    </w:r>
                    <w:r>
                      <w:t>1,781,716</w:t>
                    </w:r>
                  </w:p>
                </w:tc>
              </w:tr>
              <w:tr w:rsidR="007D5C60" w:rsidTr="00601D47">
                <w:sdt>
                  <w:sdtPr>
                    <w:tag w:val="_PLD_e0601b6a47ff4441b448abf6db3fa4ed"/>
                    <w:id w:val="1186635183"/>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rPr>
                            <w:szCs w:val="21"/>
                          </w:rPr>
                        </w:pPr>
                        <w:r>
                          <w:rPr>
                            <w:rFonts w:hint="eastAsia"/>
                            <w:szCs w:val="21"/>
                          </w:rPr>
                          <w:t>七、综合收益总额</w:t>
                        </w:r>
                      </w:p>
                    </w:tc>
                  </w:sdtContent>
                </w:sdt>
                <w:tc>
                  <w:tcPr>
                    <w:tcW w:w="838" w:type="pct"/>
                    <w:tcBorders>
                      <w:top w:val="outset" w:sz="4" w:space="0" w:color="auto"/>
                      <w:left w:val="outset" w:sz="4" w:space="0" w:color="auto"/>
                      <w:bottom w:val="outset" w:sz="4" w:space="0" w:color="auto"/>
                      <w:right w:val="outset" w:sz="4" w:space="0" w:color="auto"/>
                    </w:tcBorders>
                  </w:tcPr>
                  <w:p w:rsidR="007D5C60" w:rsidRDefault="007D5C60" w:rsidP="007D5C60">
                    <w:pPr>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jc w:val="right"/>
                      <w:rPr>
                        <w:szCs w:val="21"/>
                      </w:rPr>
                    </w:pPr>
                    <w:r>
                      <w:t>12,759,280,313</w:t>
                    </w:r>
                  </w:p>
                </w:tc>
                <w:tc>
                  <w:tcPr>
                    <w:tcW w:w="1114"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jc w:val="right"/>
                      <w:rPr>
                        <w:szCs w:val="21"/>
                      </w:rPr>
                    </w:pPr>
                    <w:r>
                      <w:t>13,676,707,021</w:t>
                    </w:r>
                  </w:p>
                </w:tc>
              </w:tr>
              <w:tr w:rsidR="007D5C60" w:rsidTr="00601D47">
                <w:sdt>
                  <w:sdtPr>
                    <w:tag w:val="_PLD_a127ab5720a345679e0e938f71becb4c"/>
                    <w:id w:val="791176322"/>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ind w:firstLineChars="100" w:firstLine="210"/>
                          <w:rPr>
                            <w:szCs w:val="21"/>
                          </w:rPr>
                        </w:pPr>
                        <w:r>
                          <w:rPr>
                            <w:szCs w:val="21"/>
                          </w:rPr>
                          <w:t>（一）</w:t>
                        </w:r>
                        <w:r>
                          <w:rPr>
                            <w:rFonts w:hint="eastAsia"/>
                            <w:szCs w:val="21"/>
                          </w:rPr>
                          <w:t>归属于母公司所有者的综合收益总额</w:t>
                        </w:r>
                      </w:p>
                    </w:tc>
                  </w:sdtContent>
                </w:sdt>
                <w:tc>
                  <w:tcPr>
                    <w:tcW w:w="838" w:type="pct"/>
                    <w:tcBorders>
                      <w:top w:val="outset" w:sz="4" w:space="0" w:color="auto"/>
                      <w:left w:val="outset" w:sz="4" w:space="0" w:color="auto"/>
                      <w:bottom w:val="outset" w:sz="4" w:space="0" w:color="auto"/>
                      <w:right w:val="outset" w:sz="4" w:space="0" w:color="auto"/>
                    </w:tcBorders>
                  </w:tcPr>
                  <w:p w:rsidR="007D5C60" w:rsidRDefault="007D5C60" w:rsidP="007D5C60">
                    <w:pPr>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jc w:val="right"/>
                      <w:rPr>
                        <w:szCs w:val="21"/>
                      </w:rPr>
                    </w:pPr>
                    <w:r>
                      <w:t>11,103,057,693</w:t>
                    </w:r>
                  </w:p>
                </w:tc>
                <w:tc>
                  <w:tcPr>
                    <w:tcW w:w="1114"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jc w:val="right"/>
                      <w:rPr>
                        <w:szCs w:val="21"/>
                      </w:rPr>
                    </w:pPr>
                    <w:r>
                      <w:t>12,087,538,328</w:t>
                    </w:r>
                  </w:p>
                </w:tc>
              </w:tr>
              <w:tr w:rsidR="007D5C60" w:rsidTr="00601D47">
                <w:sdt>
                  <w:sdtPr>
                    <w:tag w:val="_PLD_13f01925f64b436a9fbc95d8e02da99b"/>
                    <w:id w:val="314071785"/>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ind w:firstLineChars="100" w:firstLine="210"/>
                          <w:rPr>
                            <w:szCs w:val="21"/>
                          </w:rPr>
                        </w:pPr>
                        <w:r>
                          <w:rPr>
                            <w:szCs w:val="21"/>
                          </w:rPr>
                          <w:t>（二）</w:t>
                        </w:r>
                        <w:r>
                          <w:rPr>
                            <w:rFonts w:hint="eastAsia"/>
                            <w:szCs w:val="21"/>
                          </w:rPr>
                          <w:t>归属于少数股东的综合收益总额</w:t>
                        </w:r>
                      </w:p>
                    </w:tc>
                  </w:sdtContent>
                </w:sdt>
                <w:tc>
                  <w:tcPr>
                    <w:tcW w:w="838" w:type="pct"/>
                    <w:tcBorders>
                      <w:top w:val="outset" w:sz="4" w:space="0" w:color="auto"/>
                      <w:left w:val="outset" w:sz="4" w:space="0" w:color="auto"/>
                      <w:bottom w:val="outset" w:sz="4" w:space="0" w:color="auto"/>
                      <w:right w:val="outset" w:sz="4" w:space="0" w:color="auto"/>
                    </w:tcBorders>
                  </w:tcPr>
                  <w:p w:rsidR="007D5C60" w:rsidRDefault="007D5C60" w:rsidP="007D5C60">
                    <w:pPr>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jc w:val="right"/>
                      <w:rPr>
                        <w:szCs w:val="21"/>
                      </w:rPr>
                    </w:pPr>
                    <w:r>
                      <w:t>1,656,222,620</w:t>
                    </w:r>
                  </w:p>
                </w:tc>
                <w:tc>
                  <w:tcPr>
                    <w:tcW w:w="1114"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jc w:val="right"/>
                      <w:rPr>
                        <w:szCs w:val="21"/>
                      </w:rPr>
                    </w:pPr>
                    <w:r>
                      <w:t>1,589,168,693</w:t>
                    </w:r>
                  </w:p>
                </w:tc>
              </w:tr>
              <w:tr w:rsidR="007D5C60" w:rsidTr="00713F20">
                <w:sdt>
                  <w:sdtPr>
                    <w:tag w:val="_PLD_6e9655fe2b7c48e3964f7a74f9c6deea"/>
                    <w:id w:val="-1322195737"/>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7D5C60" w:rsidRDefault="007D5C60" w:rsidP="007D5C60">
                        <w:pPr>
                          <w:rPr>
                            <w:color w:val="008000"/>
                            <w:szCs w:val="21"/>
                          </w:rPr>
                        </w:pPr>
                        <w:r>
                          <w:rPr>
                            <w:rFonts w:hint="eastAsia"/>
                            <w:szCs w:val="21"/>
                          </w:rPr>
                          <w:t>八、每股收益：</w:t>
                        </w:r>
                      </w:p>
                    </w:tc>
                  </w:sdtContent>
                </w:sdt>
              </w:tr>
              <w:tr w:rsidR="007D5C60" w:rsidTr="00601D47">
                <w:sdt>
                  <w:sdtPr>
                    <w:tag w:val="_PLD_66a58df2d1eb403f98fbe0cb93ab4bd8"/>
                    <w:id w:val="-357431204"/>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ind w:firstLineChars="100" w:firstLine="210"/>
                          <w:rPr>
                            <w:szCs w:val="21"/>
                          </w:rPr>
                        </w:pPr>
                        <w:r>
                          <w:rPr>
                            <w:szCs w:val="21"/>
                          </w:rPr>
                          <w:t>（一）基本每股收益</w:t>
                        </w:r>
                        <w:r>
                          <w:rPr>
                            <w:rFonts w:hint="eastAsia"/>
                            <w:szCs w:val="21"/>
                          </w:rPr>
                          <w:t>(元/股)</w:t>
                        </w:r>
                      </w:p>
                    </w:tc>
                  </w:sdtContent>
                </w:sdt>
                <w:tc>
                  <w:tcPr>
                    <w:tcW w:w="838" w:type="pct"/>
                    <w:tcBorders>
                      <w:top w:val="outset" w:sz="4" w:space="0" w:color="auto"/>
                      <w:left w:val="outset" w:sz="4" w:space="0" w:color="auto"/>
                      <w:bottom w:val="outset" w:sz="4" w:space="0" w:color="auto"/>
                      <w:right w:val="outset" w:sz="4" w:space="0" w:color="auto"/>
                    </w:tcBorders>
                  </w:tcPr>
                  <w:p w:rsidR="007D5C60" w:rsidRDefault="007D5C60" w:rsidP="007D5C60">
                    <w:pPr>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jc w:val="right"/>
                      <w:rPr>
                        <w:szCs w:val="21"/>
                      </w:rPr>
                    </w:pPr>
                    <w:r>
                      <w:t>0.75</w:t>
                    </w:r>
                  </w:p>
                </w:tc>
                <w:tc>
                  <w:tcPr>
                    <w:tcW w:w="1114"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jc w:val="right"/>
                      <w:rPr>
                        <w:szCs w:val="21"/>
                      </w:rPr>
                    </w:pPr>
                    <w:r>
                      <w:t>0.82</w:t>
                    </w:r>
                  </w:p>
                </w:tc>
              </w:tr>
              <w:tr w:rsidR="007D5C60" w:rsidTr="00601D47">
                <w:sdt>
                  <w:sdtPr>
                    <w:tag w:val="_PLD_05a1ef2646bf41069628628a311e1402"/>
                    <w:id w:val="-1171338896"/>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ind w:firstLineChars="100" w:firstLine="210"/>
                          <w:rPr>
                            <w:szCs w:val="21"/>
                          </w:rPr>
                        </w:pPr>
                        <w:r>
                          <w:rPr>
                            <w:szCs w:val="21"/>
                          </w:rPr>
                          <w:t>（二）稀释每股收益</w:t>
                        </w:r>
                        <w:r>
                          <w:rPr>
                            <w:rFonts w:hint="eastAsia"/>
                            <w:szCs w:val="21"/>
                          </w:rPr>
                          <w:t>(元/股)</w:t>
                        </w:r>
                      </w:p>
                    </w:tc>
                  </w:sdtContent>
                </w:sdt>
                <w:tc>
                  <w:tcPr>
                    <w:tcW w:w="838" w:type="pct"/>
                    <w:tcBorders>
                      <w:top w:val="outset" w:sz="4" w:space="0" w:color="auto"/>
                      <w:left w:val="outset" w:sz="4" w:space="0" w:color="auto"/>
                      <w:bottom w:val="outset" w:sz="4" w:space="0" w:color="auto"/>
                      <w:right w:val="outset" w:sz="4" w:space="0" w:color="auto"/>
                    </w:tcBorders>
                  </w:tcPr>
                  <w:p w:rsidR="007D5C60" w:rsidRDefault="007D5C60" w:rsidP="007D5C60">
                    <w:pPr>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jc w:val="right"/>
                      <w:rPr>
                        <w:szCs w:val="21"/>
                      </w:rPr>
                    </w:pPr>
                    <w:r>
                      <w:t>0.61</w:t>
                    </w:r>
                  </w:p>
                </w:tc>
                <w:tc>
                  <w:tcPr>
                    <w:tcW w:w="1114" w:type="pct"/>
                    <w:tcBorders>
                      <w:top w:val="outset" w:sz="4" w:space="0" w:color="auto"/>
                      <w:left w:val="outset" w:sz="4" w:space="0" w:color="auto"/>
                      <w:bottom w:val="outset" w:sz="4" w:space="0" w:color="auto"/>
                      <w:right w:val="outset" w:sz="4" w:space="0" w:color="auto"/>
                    </w:tcBorders>
                    <w:vAlign w:val="center"/>
                  </w:tcPr>
                  <w:p w:rsidR="007D5C60" w:rsidRDefault="007D5C60" w:rsidP="007D5C60">
                    <w:pPr>
                      <w:jc w:val="right"/>
                      <w:rPr>
                        <w:szCs w:val="21"/>
                      </w:rPr>
                    </w:pPr>
                    <w:r>
                      <w:t>0.69</w:t>
                    </w:r>
                  </w:p>
                </w:tc>
              </w:tr>
            </w:tbl>
            <w:p w:rsidR="00806678" w:rsidRDefault="00806678"/>
            <w:p w:rsidR="00806678" w:rsidRDefault="00B16377">
              <w:pPr>
                <w:rPr>
                  <w:szCs w:val="21"/>
                </w:rPr>
              </w:pPr>
              <w:r>
                <w:rPr>
                  <w:rFonts w:hint="eastAsia"/>
                  <w:szCs w:val="21"/>
                </w:rPr>
                <w:t>公司负责</w:t>
              </w:r>
              <w:r>
                <w:rPr>
                  <w:szCs w:val="21"/>
                </w:rPr>
                <w:t>人</w:t>
              </w:r>
              <w:r>
                <w:rPr>
                  <w:rFonts w:hint="eastAsia"/>
                  <w:szCs w:val="21"/>
                </w:rPr>
                <w:t>：</w:t>
              </w:r>
              <w:sdt>
                <w:sdtPr>
                  <w:rPr>
                    <w:rFonts w:hint="eastAsia"/>
                    <w:szCs w:val="21"/>
                  </w:rPr>
                  <w:alias w:val="公司负责人姓名"/>
                  <w:tag w:val="_GBC_85589cdf09ed4055b8d177524f5a0df0"/>
                  <w:id w:val="1086962736"/>
                  <w:lock w:val="sdtLocked"/>
                  <w:placeholder>
                    <w:docPart w:val="GBC22222222222222222222222222222"/>
                  </w:placeholder>
                  <w:dataBinding w:prefixMappings="xmlns:clcid-mr='clcid-mr'" w:xpath="/*/clcid-mr:GongSiFuZeRenXingMing[not(@periodRef)]" w:storeItemID="{89EBAB94-44A0-46A2-B712-30D997D04A6D}"/>
                  <w:text/>
                </w:sdtPr>
                <w:sdtContent>
                  <w:r w:rsidR="00413527">
                    <w:rPr>
                      <w:rFonts w:hint="eastAsia"/>
                      <w:szCs w:val="21"/>
                    </w:rPr>
                    <w:t xml:space="preserve">戴弘  </w:t>
                  </w:r>
                </w:sdtContent>
              </w:sdt>
              <w:r w:rsidR="00413527">
                <w:rPr>
                  <w:rFonts w:hint="eastAsia"/>
                  <w:szCs w:val="21"/>
                </w:rPr>
                <w:t xml:space="preserve">总经理：韩洪臣 </w:t>
              </w:r>
              <w:r>
                <w:rPr>
                  <w:szCs w:val="21"/>
                </w:rPr>
                <w:t>主管会计工作负责人</w:t>
              </w:r>
              <w:r>
                <w:rPr>
                  <w:rFonts w:hint="eastAsia"/>
                  <w:szCs w:val="21"/>
                </w:rPr>
                <w:t>：</w:t>
              </w:r>
              <w:sdt>
                <w:sdtPr>
                  <w:rPr>
                    <w:rFonts w:hint="eastAsia"/>
                    <w:szCs w:val="21"/>
                  </w:rPr>
                  <w:alias w:val="主管会计工作负责人姓名"/>
                  <w:tag w:val="_GBC_d5d5ec398a544491b9394eef54a56ec6"/>
                  <w:id w:val="-675652227"/>
                  <w:lock w:val="sdtLocked"/>
                  <w:placeholder>
                    <w:docPart w:val="GBC22222222222222222222222222222"/>
                  </w:placeholder>
                  <w:dataBinding w:prefixMappings="xmlns:clcid-mr='clcid-mr'" w:xpath="/*/clcid-mr:ZhuGuanKuaiJiGongZuoFuZeRenXingMing[not(@periodRef)]" w:storeItemID="{89EBAB94-44A0-46A2-B712-30D997D04A6D}"/>
                  <w:text/>
                </w:sdtPr>
                <w:sdtContent>
                  <w:r w:rsidR="00AD579F">
                    <w:rPr>
                      <w:rFonts w:hint="eastAsia"/>
                      <w:szCs w:val="21"/>
                    </w:rPr>
                    <w:t>田惠民</w:t>
                  </w:r>
                </w:sdtContent>
              </w:sdt>
              <w:r>
                <w:rPr>
                  <w:rFonts w:hint="eastAsia"/>
                  <w:szCs w:val="21"/>
                </w:rPr>
                <w:t xml:space="preserve"> </w:t>
              </w:r>
              <w:r>
                <w:rPr>
                  <w:szCs w:val="21"/>
                </w:rPr>
                <w:t>会计机构负责人</w:t>
              </w:r>
              <w:r>
                <w:rPr>
                  <w:rFonts w:hint="eastAsia"/>
                  <w:szCs w:val="21"/>
                </w:rPr>
                <w:t>：</w:t>
              </w:r>
              <w:sdt>
                <w:sdtPr>
                  <w:rPr>
                    <w:rFonts w:hint="eastAsia"/>
                    <w:szCs w:val="21"/>
                  </w:rPr>
                  <w:alias w:val="会计机构负责人姓名"/>
                  <w:tag w:val="_GBC_b776bf38628747739bf5cfe3f08d63a8"/>
                  <w:id w:val="-465197979"/>
                  <w:lock w:val="sdtLocked"/>
                  <w:placeholder>
                    <w:docPart w:val="GBC22222222222222222222222222222"/>
                  </w:placeholder>
                  <w:dataBinding w:prefixMappings="xmlns:clcid-mr='clcid-mr'" w:xpath="/*/clcid-mr:KuaiJiJiGouFuZeRenXingMing[not(@periodRef)]" w:storeItemID="{89EBAB94-44A0-46A2-B712-30D997D04A6D}"/>
                  <w:text/>
                </w:sdtPr>
                <w:sdtContent>
                  <w:r w:rsidR="00AD579F">
                    <w:rPr>
                      <w:rFonts w:hint="eastAsia"/>
                      <w:szCs w:val="21"/>
                    </w:rPr>
                    <w:t>孙洪涛</w:t>
                  </w:r>
                </w:sdtContent>
              </w:sdt>
            </w:p>
          </w:sdtContent>
        </w:sdt>
        <w:bookmarkEnd w:id="128"/>
        <w:p w:rsidR="00806678" w:rsidRDefault="00806678">
          <w:pPr>
            <w:rPr>
              <w:color w:val="FF0000"/>
              <w:szCs w:val="21"/>
            </w:rPr>
          </w:pPr>
        </w:p>
        <w:bookmarkStart w:id="129" w:name="_Hlk24038476" w:displacedByCustomXml="next"/>
        <w:sdt>
          <w:sdtPr>
            <w:rPr>
              <w:rFonts w:ascii="宋体" w:hAnsi="宋体" w:cs="宋体" w:hint="eastAsia"/>
              <w:b w:val="0"/>
              <w:bCs w:val="0"/>
              <w:kern w:val="0"/>
              <w:szCs w:val="24"/>
            </w:rPr>
            <w:tag w:val="_SEC_7398696337e643be900ea0fa28731754"/>
            <w:id w:val="648402202"/>
            <w:lock w:val="sdtLocked"/>
            <w:placeholder>
              <w:docPart w:val="GBC22222222222222222222222222222"/>
            </w:placeholder>
          </w:sdtPr>
          <w:sdtEndPr>
            <w:rPr>
              <w:rFonts w:cs="宋体-方正超大字符集"/>
              <w:szCs w:val="21"/>
            </w:rPr>
          </w:sdtEndPr>
          <w:sdtContent>
            <w:p w:rsidR="00806678" w:rsidRDefault="00B16377">
              <w:pPr>
                <w:pStyle w:val="3"/>
                <w:jc w:val="center"/>
              </w:pPr>
              <w:r>
                <w:rPr>
                  <w:rFonts w:hint="eastAsia"/>
                </w:rPr>
                <w:t>母公司</w:t>
              </w:r>
              <w:r>
                <w:t>利润表</w:t>
              </w:r>
            </w:p>
            <w:p w:rsidR="00806678" w:rsidRDefault="00B16377">
              <w:pPr>
                <w:jc w:val="center"/>
                <w:rPr>
                  <w:b/>
                  <w:bCs/>
                  <w:szCs w:val="21"/>
                </w:rPr>
              </w:pPr>
              <w:r>
                <w:rPr>
                  <w:szCs w:val="21"/>
                </w:rPr>
                <w:t>2022年</w:t>
              </w:r>
              <w:r>
                <w:rPr>
                  <w:rFonts w:hint="eastAsia"/>
                  <w:szCs w:val="21"/>
                </w:rPr>
                <w:t>1—</w:t>
              </w:r>
              <w:r>
                <w:rPr>
                  <w:szCs w:val="21"/>
                </w:rPr>
                <w:t>12月</w:t>
              </w:r>
            </w:p>
            <w:p w:rsidR="00806678" w:rsidRDefault="00B16377">
              <w:pPr>
                <w:snapToGrid w:val="0"/>
                <w:spacing w:line="240" w:lineRule="atLeast"/>
                <w:jc w:val="right"/>
                <w:rPr>
                  <w:b/>
                  <w:bCs/>
                  <w:color w:val="FF0000"/>
                  <w:szCs w:val="21"/>
                </w:rPr>
              </w:pPr>
              <w:r>
                <w:rPr>
                  <w:szCs w:val="21"/>
                </w:rPr>
                <w:t>单位:</w:t>
              </w:r>
              <w:sdt>
                <w:sdtPr>
                  <w:rPr>
                    <w:szCs w:val="21"/>
                  </w:rPr>
                  <w:alias w:val="单位：母公司利润表"/>
                  <w:tag w:val="_GBC_f17e8cd8a21b417cb065f4c3b94f9c26"/>
                  <w:id w:val="49284737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sdt>
                <w:sdtPr>
                  <w:rPr>
                    <w:szCs w:val="21"/>
                  </w:rPr>
                  <w:alias w:val="币种：母公司利润表"/>
                  <w:tag w:val="_GBC_514289adafbe4fe995f8f3791e23e392"/>
                  <w:id w:val="-111968521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507"/>
                <w:gridCol w:w="1517"/>
                <w:gridCol w:w="2009"/>
                <w:gridCol w:w="2016"/>
              </w:tblGrid>
              <w:tr w:rsidR="00806678" w:rsidTr="00A67D4D">
                <w:trPr>
                  <w:cantSplit/>
                </w:trPr>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b/>
                      </w:rPr>
                      <w:tag w:val="_PLD_a25f325e0afe4d279180290df7e1dd6d"/>
                      <w:id w:val="2059506084"/>
                      <w:lock w:val="sdtLocked"/>
                    </w:sdtPr>
                    <w:sdtContent>
                      <w:p w:rsidR="00806678" w:rsidRDefault="00B16377">
                        <w:pPr>
                          <w:ind w:leftChars="-19" w:hangingChars="19" w:hanging="40"/>
                          <w:jc w:val="center"/>
                          <w:rPr>
                            <w:b/>
                          </w:rPr>
                        </w:pPr>
                        <w:r>
                          <w:rPr>
                            <w:rFonts w:hint="eastAsia"/>
                            <w:b/>
                          </w:rPr>
                          <w:t>项目</w:t>
                        </w:r>
                      </w:p>
                    </w:sdtContent>
                  </w:sdt>
                </w:tc>
                <w:tc>
                  <w:tcPr>
                    <w:tcW w:w="838" w:type="pct"/>
                    <w:tcBorders>
                      <w:top w:val="outset" w:sz="4" w:space="0" w:color="auto"/>
                      <w:left w:val="outset" w:sz="4" w:space="0" w:color="auto"/>
                      <w:bottom w:val="outset" w:sz="4" w:space="0" w:color="auto"/>
                      <w:right w:val="outset" w:sz="4" w:space="0" w:color="auto"/>
                    </w:tcBorders>
                  </w:tcPr>
                  <w:sdt>
                    <w:sdtPr>
                      <w:rPr>
                        <w:rFonts w:hint="eastAsia"/>
                        <w:b/>
                      </w:rPr>
                      <w:tag w:val="_PLD_4bea71a35f204b56bca2b7ea223d4b71"/>
                      <w:id w:val="-1887402726"/>
                      <w:lock w:val="sdtLocked"/>
                    </w:sdtPr>
                    <w:sdtContent>
                      <w:p w:rsidR="00806678" w:rsidRDefault="00B16377">
                        <w:pPr>
                          <w:jc w:val="center"/>
                          <w:rPr>
                            <w:b/>
                          </w:rPr>
                        </w:pPr>
                        <w:r>
                          <w:rPr>
                            <w:rFonts w:hint="eastAsia"/>
                            <w:b/>
                          </w:rPr>
                          <w:t>附注</w:t>
                        </w:r>
                      </w:p>
                    </w:sdtContent>
                  </w:sdt>
                </w:tc>
                <w:tc>
                  <w:tcPr>
                    <w:tcW w:w="1110" w:type="pct"/>
                    <w:tcBorders>
                      <w:top w:val="outset" w:sz="4" w:space="0" w:color="auto"/>
                      <w:left w:val="outset" w:sz="4" w:space="0" w:color="auto"/>
                      <w:bottom w:val="outset" w:sz="4" w:space="0" w:color="auto"/>
                      <w:right w:val="outset" w:sz="4" w:space="0" w:color="auto"/>
                    </w:tcBorders>
                    <w:vAlign w:val="center"/>
                  </w:tcPr>
                  <w:sdt>
                    <w:sdtPr>
                      <w:rPr>
                        <w:rFonts w:hint="eastAsia"/>
                        <w:b/>
                      </w:rPr>
                      <w:tag w:val="_PLD_a2bf02ec3f0b4ce2b9d25f751262d2b0"/>
                      <w:id w:val="-1537890682"/>
                      <w:lock w:val="sdtLocked"/>
                    </w:sdtPr>
                    <w:sdtContent>
                      <w:p w:rsidR="00806678" w:rsidRDefault="00B16377">
                        <w:pPr>
                          <w:jc w:val="center"/>
                          <w:rPr>
                            <w:b/>
                          </w:rPr>
                        </w:pPr>
                        <w:r>
                          <w:rPr>
                            <w:rFonts w:hint="eastAsia"/>
                            <w:b/>
                          </w:rPr>
                          <w:t>2022年度</w:t>
                        </w:r>
                      </w:p>
                    </w:sdtContent>
                  </w:sdt>
                </w:tc>
                <w:tc>
                  <w:tcPr>
                    <w:tcW w:w="1114" w:type="pct"/>
                    <w:tcBorders>
                      <w:top w:val="outset" w:sz="4" w:space="0" w:color="auto"/>
                      <w:left w:val="outset" w:sz="4" w:space="0" w:color="auto"/>
                      <w:bottom w:val="outset" w:sz="4" w:space="0" w:color="auto"/>
                      <w:right w:val="outset" w:sz="4" w:space="0" w:color="auto"/>
                    </w:tcBorders>
                    <w:vAlign w:val="center"/>
                  </w:tcPr>
                  <w:sdt>
                    <w:sdtPr>
                      <w:rPr>
                        <w:rFonts w:hint="eastAsia"/>
                        <w:b/>
                      </w:rPr>
                      <w:tag w:val="_PLD_7a01f378d3e3492c9571d4400832431f"/>
                      <w:id w:val="-690842726"/>
                      <w:lock w:val="sdtLocked"/>
                    </w:sdtPr>
                    <w:sdtContent>
                      <w:p w:rsidR="00806678" w:rsidRDefault="00B16377">
                        <w:pPr>
                          <w:jc w:val="center"/>
                          <w:rPr>
                            <w:b/>
                          </w:rPr>
                        </w:pPr>
                        <w:r>
                          <w:rPr>
                            <w:rFonts w:hint="eastAsia"/>
                            <w:b/>
                          </w:rPr>
                          <w:t>2021年度</w:t>
                        </w:r>
                      </w:p>
                    </w:sdtContent>
                  </w:sdt>
                </w:tc>
              </w:tr>
              <w:tr w:rsidR="00106552" w:rsidTr="00601D47">
                <w:sdt>
                  <w:sdtPr>
                    <w:tag w:val="_PLD_f983f1e346c74eaf97cc01750d6f544f"/>
                    <w:id w:val="-388961802"/>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106552" w:rsidRDefault="00106552" w:rsidP="00106552">
                        <w:pPr>
                          <w:ind w:left="-19"/>
                          <w:rPr>
                            <w:color w:val="000000"/>
                            <w:szCs w:val="21"/>
                          </w:rPr>
                        </w:pPr>
                        <w:r>
                          <w:rPr>
                            <w:rFonts w:hint="eastAsia"/>
                            <w:szCs w:val="21"/>
                          </w:rPr>
                          <w:t>一、营业收入</w:t>
                        </w:r>
                      </w:p>
                    </w:tc>
                  </w:sdtContent>
                </w:sdt>
                <w:tc>
                  <w:tcPr>
                    <w:tcW w:w="838" w:type="pct"/>
                    <w:tcBorders>
                      <w:top w:val="outset" w:sz="4" w:space="0" w:color="auto"/>
                      <w:left w:val="outset" w:sz="4" w:space="0" w:color="auto"/>
                      <w:bottom w:val="outset" w:sz="4" w:space="0" w:color="auto"/>
                      <w:right w:val="outset" w:sz="4" w:space="0" w:color="auto"/>
                    </w:tcBorders>
                  </w:tcPr>
                  <w:p w:rsidR="00106552" w:rsidRDefault="00FE7F64" w:rsidP="00106552">
                    <w:pPr>
                      <w:rPr>
                        <w:szCs w:val="21"/>
                      </w:rPr>
                    </w:pPr>
                    <w:r>
                      <w:rPr>
                        <w:rFonts w:hint="eastAsia"/>
                        <w:szCs w:val="21"/>
                      </w:rPr>
                      <w:t>十七、4</w:t>
                    </w:r>
                  </w:p>
                </w:tc>
                <w:tc>
                  <w:tcPr>
                    <w:tcW w:w="1110" w:type="pct"/>
                    <w:tcBorders>
                      <w:top w:val="outset" w:sz="4" w:space="0" w:color="auto"/>
                      <w:left w:val="outset" w:sz="4" w:space="0" w:color="auto"/>
                      <w:bottom w:val="outset" w:sz="4" w:space="0" w:color="auto"/>
                      <w:right w:val="outset" w:sz="4" w:space="0" w:color="auto"/>
                    </w:tcBorders>
                    <w:vAlign w:val="center"/>
                  </w:tcPr>
                  <w:p w:rsidR="00106552" w:rsidRDefault="00106552" w:rsidP="00106552">
                    <w:pPr>
                      <w:jc w:val="right"/>
                      <w:rPr>
                        <w:szCs w:val="21"/>
                      </w:rPr>
                    </w:pPr>
                    <w:r>
                      <w:t>70,158,888,733</w:t>
                    </w:r>
                  </w:p>
                </w:tc>
                <w:tc>
                  <w:tcPr>
                    <w:tcW w:w="1114" w:type="pct"/>
                    <w:tcBorders>
                      <w:top w:val="outset" w:sz="4" w:space="0" w:color="auto"/>
                      <w:left w:val="outset" w:sz="4" w:space="0" w:color="auto"/>
                      <w:bottom w:val="outset" w:sz="4" w:space="0" w:color="auto"/>
                      <w:right w:val="outset" w:sz="4" w:space="0" w:color="auto"/>
                    </w:tcBorders>
                    <w:vAlign w:val="center"/>
                  </w:tcPr>
                  <w:p w:rsidR="00106552" w:rsidRDefault="00106552" w:rsidP="00106552">
                    <w:pPr>
                      <w:jc w:val="right"/>
                      <w:rPr>
                        <w:szCs w:val="21"/>
                      </w:rPr>
                    </w:pPr>
                    <w:r>
                      <w:t>73,231,507,902</w:t>
                    </w:r>
                  </w:p>
                </w:tc>
              </w:tr>
              <w:tr w:rsidR="00106552" w:rsidTr="00601D47">
                <w:sdt>
                  <w:sdtPr>
                    <w:tag w:val="_PLD_caae73bf620f42a7bdc990ac3ac4e380"/>
                    <w:id w:val="230820398"/>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106552" w:rsidRDefault="00106552" w:rsidP="00106552">
                        <w:pPr>
                          <w:ind w:firstLineChars="100" w:firstLine="210"/>
                          <w:rPr>
                            <w:color w:val="000000"/>
                            <w:szCs w:val="21"/>
                          </w:rPr>
                        </w:pPr>
                        <w:r>
                          <w:rPr>
                            <w:rFonts w:hint="eastAsia"/>
                            <w:szCs w:val="21"/>
                          </w:rPr>
                          <w:t>减：营业成本</w:t>
                        </w:r>
                      </w:p>
                    </w:tc>
                  </w:sdtContent>
                </w:sdt>
                <w:tc>
                  <w:tcPr>
                    <w:tcW w:w="838" w:type="pct"/>
                    <w:tcBorders>
                      <w:top w:val="outset" w:sz="4" w:space="0" w:color="auto"/>
                      <w:left w:val="outset" w:sz="4" w:space="0" w:color="auto"/>
                      <w:bottom w:val="outset" w:sz="4" w:space="0" w:color="auto"/>
                      <w:right w:val="outset" w:sz="4" w:space="0" w:color="auto"/>
                    </w:tcBorders>
                  </w:tcPr>
                  <w:p w:rsidR="00106552" w:rsidRDefault="00FE7F64" w:rsidP="00106552">
                    <w:pPr>
                      <w:rPr>
                        <w:szCs w:val="21"/>
                      </w:rPr>
                    </w:pPr>
                    <w:r w:rsidRPr="00FE7F64">
                      <w:rPr>
                        <w:rFonts w:hint="eastAsia"/>
                        <w:szCs w:val="21"/>
                      </w:rPr>
                      <w:t>十七、</w:t>
                    </w:r>
                    <w:r w:rsidRPr="00FE7F64">
                      <w:rPr>
                        <w:szCs w:val="21"/>
                      </w:rPr>
                      <w:t>4</w:t>
                    </w:r>
                  </w:p>
                </w:tc>
                <w:tc>
                  <w:tcPr>
                    <w:tcW w:w="1110" w:type="pct"/>
                    <w:tcBorders>
                      <w:top w:val="outset" w:sz="4" w:space="0" w:color="auto"/>
                      <w:left w:val="outset" w:sz="4" w:space="0" w:color="auto"/>
                      <w:bottom w:val="outset" w:sz="4" w:space="0" w:color="auto"/>
                      <w:right w:val="outset" w:sz="4" w:space="0" w:color="auto"/>
                    </w:tcBorders>
                    <w:vAlign w:val="center"/>
                  </w:tcPr>
                  <w:p w:rsidR="00106552" w:rsidRDefault="00106552" w:rsidP="00106552">
                    <w:pPr>
                      <w:jc w:val="right"/>
                      <w:rPr>
                        <w:szCs w:val="21"/>
                      </w:rPr>
                    </w:pPr>
                    <w:r>
                      <w:t>58,612,726,340</w:t>
                    </w:r>
                  </w:p>
                </w:tc>
                <w:tc>
                  <w:tcPr>
                    <w:tcW w:w="1114" w:type="pct"/>
                    <w:tcBorders>
                      <w:top w:val="outset" w:sz="4" w:space="0" w:color="auto"/>
                      <w:left w:val="outset" w:sz="4" w:space="0" w:color="auto"/>
                      <w:bottom w:val="outset" w:sz="4" w:space="0" w:color="auto"/>
                      <w:right w:val="outset" w:sz="4" w:space="0" w:color="auto"/>
                    </w:tcBorders>
                    <w:vAlign w:val="center"/>
                  </w:tcPr>
                  <w:p w:rsidR="00106552" w:rsidRDefault="00106552" w:rsidP="00106552">
                    <w:pPr>
                      <w:jc w:val="right"/>
                      <w:rPr>
                        <w:szCs w:val="21"/>
                      </w:rPr>
                    </w:pPr>
                    <w:r>
                      <w:t>59,537,920,324</w:t>
                    </w:r>
                  </w:p>
                </w:tc>
              </w:tr>
              <w:tr w:rsidR="00106552" w:rsidTr="00601D47">
                <w:sdt>
                  <w:sdtPr>
                    <w:tag w:val="_PLD_26bfa762e13b4edc866d71e43a41b567"/>
                    <w:id w:val="-1246651782"/>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106552" w:rsidRDefault="00106552" w:rsidP="00106552">
                        <w:pPr>
                          <w:ind w:firstLineChars="300" w:firstLine="630"/>
                          <w:rPr>
                            <w:szCs w:val="21"/>
                          </w:rPr>
                        </w:pPr>
                        <w:r>
                          <w:rPr>
                            <w:rFonts w:hint="eastAsia"/>
                            <w:szCs w:val="21"/>
                          </w:rPr>
                          <w:t>税金及附加</w:t>
                        </w:r>
                      </w:p>
                    </w:tc>
                  </w:sdtContent>
                </w:sdt>
                <w:tc>
                  <w:tcPr>
                    <w:tcW w:w="838" w:type="pct"/>
                    <w:tcBorders>
                      <w:top w:val="outset" w:sz="4" w:space="0" w:color="auto"/>
                      <w:left w:val="outset" w:sz="4" w:space="0" w:color="auto"/>
                      <w:bottom w:val="outset" w:sz="4" w:space="0" w:color="auto"/>
                      <w:right w:val="outset" w:sz="4" w:space="0" w:color="auto"/>
                    </w:tcBorders>
                  </w:tcPr>
                  <w:p w:rsidR="00106552" w:rsidRDefault="00106552" w:rsidP="00106552">
                    <w:pPr>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106552" w:rsidRDefault="00106552" w:rsidP="00106552">
                    <w:pPr>
                      <w:jc w:val="right"/>
                      <w:rPr>
                        <w:szCs w:val="21"/>
                      </w:rPr>
                    </w:pPr>
                    <w:r>
                      <w:t>52,361,199</w:t>
                    </w:r>
                  </w:p>
                </w:tc>
                <w:tc>
                  <w:tcPr>
                    <w:tcW w:w="1114" w:type="pct"/>
                    <w:tcBorders>
                      <w:top w:val="outset" w:sz="4" w:space="0" w:color="auto"/>
                      <w:left w:val="outset" w:sz="4" w:space="0" w:color="auto"/>
                      <w:bottom w:val="outset" w:sz="4" w:space="0" w:color="auto"/>
                      <w:right w:val="outset" w:sz="4" w:space="0" w:color="auto"/>
                    </w:tcBorders>
                    <w:vAlign w:val="center"/>
                  </w:tcPr>
                  <w:p w:rsidR="00106552" w:rsidRDefault="00106552" w:rsidP="00106552">
                    <w:pPr>
                      <w:jc w:val="right"/>
                      <w:rPr>
                        <w:szCs w:val="21"/>
                      </w:rPr>
                    </w:pPr>
                    <w:r>
                      <w:t>251,245,373</w:t>
                    </w:r>
                  </w:p>
                </w:tc>
              </w:tr>
              <w:tr w:rsidR="00106552" w:rsidTr="00601D47">
                <w:sdt>
                  <w:sdtPr>
                    <w:tag w:val="_PLD_209be0e833b94a8cbb0a2b2ca0fd2c46"/>
                    <w:id w:val="-462655980"/>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106552" w:rsidRDefault="00106552" w:rsidP="00106552">
                        <w:pPr>
                          <w:ind w:firstLineChars="300" w:firstLine="630"/>
                          <w:rPr>
                            <w:szCs w:val="21"/>
                          </w:rPr>
                        </w:pPr>
                        <w:r>
                          <w:rPr>
                            <w:rFonts w:hint="eastAsia"/>
                            <w:szCs w:val="21"/>
                          </w:rPr>
                          <w:t>销售费用</w:t>
                        </w:r>
                      </w:p>
                    </w:tc>
                  </w:sdtContent>
                </w:sdt>
                <w:tc>
                  <w:tcPr>
                    <w:tcW w:w="838" w:type="pct"/>
                    <w:tcBorders>
                      <w:top w:val="outset" w:sz="4" w:space="0" w:color="auto"/>
                      <w:left w:val="outset" w:sz="4" w:space="0" w:color="auto"/>
                      <w:bottom w:val="outset" w:sz="4" w:space="0" w:color="auto"/>
                      <w:right w:val="outset" w:sz="4" w:space="0" w:color="auto"/>
                    </w:tcBorders>
                  </w:tcPr>
                  <w:p w:rsidR="00106552" w:rsidRDefault="00106552" w:rsidP="00106552">
                    <w:pPr>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106552" w:rsidRDefault="00106552" w:rsidP="00106552">
                    <w:pPr>
                      <w:jc w:val="right"/>
                      <w:rPr>
                        <w:szCs w:val="21"/>
                      </w:rPr>
                    </w:pPr>
                    <w:r>
                      <w:t>225,665,502</w:t>
                    </w:r>
                  </w:p>
                </w:tc>
                <w:tc>
                  <w:tcPr>
                    <w:tcW w:w="1114" w:type="pct"/>
                    <w:tcBorders>
                      <w:top w:val="outset" w:sz="4" w:space="0" w:color="auto"/>
                      <w:left w:val="outset" w:sz="4" w:space="0" w:color="auto"/>
                      <w:bottom w:val="outset" w:sz="4" w:space="0" w:color="auto"/>
                      <w:right w:val="outset" w:sz="4" w:space="0" w:color="auto"/>
                    </w:tcBorders>
                    <w:vAlign w:val="center"/>
                  </w:tcPr>
                  <w:p w:rsidR="00106552" w:rsidRDefault="00106552" w:rsidP="00106552">
                    <w:pPr>
                      <w:jc w:val="right"/>
                      <w:rPr>
                        <w:szCs w:val="21"/>
                      </w:rPr>
                    </w:pPr>
                    <w:r>
                      <w:t>223,354,024</w:t>
                    </w:r>
                  </w:p>
                </w:tc>
              </w:tr>
              <w:tr w:rsidR="00106552" w:rsidTr="00601D47">
                <w:sdt>
                  <w:sdtPr>
                    <w:tag w:val="_PLD_08db3c07f2524451a8e448eb4105c32c"/>
                    <w:id w:val="-1911454090"/>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106552" w:rsidRDefault="00106552" w:rsidP="00106552">
                        <w:pPr>
                          <w:ind w:firstLineChars="300" w:firstLine="630"/>
                          <w:rPr>
                            <w:szCs w:val="21"/>
                          </w:rPr>
                        </w:pPr>
                        <w:r>
                          <w:rPr>
                            <w:rFonts w:hint="eastAsia"/>
                            <w:szCs w:val="21"/>
                          </w:rPr>
                          <w:t>管理费用</w:t>
                        </w:r>
                      </w:p>
                    </w:tc>
                  </w:sdtContent>
                </w:sdt>
                <w:tc>
                  <w:tcPr>
                    <w:tcW w:w="838" w:type="pct"/>
                    <w:tcBorders>
                      <w:top w:val="outset" w:sz="4" w:space="0" w:color="auto"/>
                      <w:left w:val="outset" w:sz="4" w:space="0" w:color="auto"/>
                      <w:bottom w:val="outset" w:sz="4" w:space="0" w:color="auto"/>
                      <w:right w:val="outset" w:sz="4" w:space="0" w:color="auto"/>
                    </w:tcBorders>
                  </w:tcPr>
                  <w:p w:rsidR="00106552" w:rsidRDefault="00106552" w:rsidP="00106552">
                    <w:pPr>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106552" w:rsidRDefault="00106552" w:rsidP="00106552">
                    <w:pPr>
                      <w:jc w:val="right"/>
                      <w:rPr>
                        <w:szCs w:val="21"/>
                      </w:rPr>
                    </w:pPr>
                    <w:r>
                      <w:t>643,111,579</w:t>
                    </w:r>
                  </w:p>
                </w:tc>
                <w:tc>
                  <w:tcPr>
                    <w:tcW w:w="1114" w:type="pct"/>
                    <w:tcBorders>
                      <w:top w:val="outset" w:sz="4" w:space="0" w:color="auto"/>
                      <w:left w:val="outset" w:sz="4" w:space="0" w:color="auto"/>
                      <w:bottom w:val="outset" w:sz="4" w:space="0" w:color="auto"/>
                      <w:right w:val="outset" w:sz="4" w:space="0" w:color="auto"/>
                    </w:tcBorders>
                    <w:vAlign w:val="center"/>
                  </w:tcPr>
                  <w:p w:rsidR="00106552" w:rsidRDefault="00106552" w:rsidP="00106552">
                    <w:pPr>
                      <w:jc w:val="right"/>
                      <w:rPr>
                        <w:szCs w:val="21"/>
                      </w:rPr>
                    </w:pPr>
                    <w:r>
                      <w:t>589,134,586</w:t>
                    </w:r>
                  </w:p>
                </w:tc>
              </w:tr>
              <w:tr w:rsidR="00106552" w:rsidTr="00601D47">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d2525d1291b74497b0a64b222316f4ee"/>
                      <w:id w:val="-157159472"/>
                      <w:lock w:val="sdtLocked"/>
                    </w:sdtPr>
                    <w:sdtContent>
                      <w:p w:rsidR="00106552" w:rsidRDefault="00106552" w:rsidP="00106552">
                        <w:pPr>
                          <w:ind w:firstLineChars="300" w:firstLine="630"/>
                        </w:pPr>
                        <w:r>
                          <w:rPr>
                            <w:rFonts w:hint="eastAsia"/>
                          </w:rPr>
                          <w:t>研发费用</w:t>
                        </w:r>
                      </w:p>
                    </w:sdtContent>
                  </w:sdt>
                </w:tc>
                <w:tc>
                  <w:tcPr>
                    <w:tcW w:w="838" w:type="pct"/>
                    <w:tcBorders>
                      <w:top w:val="outset" w:sz="4" w:space="0" w:color="auto"/>
                      <w:left w:val="outset" w:sz="4" w:space="0" w:color="auto"/>
                      <w:bottom w:val="outset" w:sz="4" w:space="0" w:color="auto"/>
                      <w:right w:val="outset" w:sz="4" w:space="0" w:color="auto"/>
                    </w:tcBorders>
                  </w:tcPr>
                  <w:p w:rsidR="00106552" w:rsidRDefault="00106552" w:rsidP="00106552">
                    <w:pPr>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106552" w:rsidRDefault="00106552" w:rsidP="00106552">
                    <w:pPr>
                      <w:jc w:val="right"/>
                      <w:rPr>
                        <w:szCs w:val="21"/>
                      </w:rPr>
                    </w:pPr>
                    <w:r>
                      <w:t>17,202,144</w:t>
                    </w:r>
                  </w:p>
                </w:tc>
                <w:tc>
                  <w:tcPr>
                    <w:tcW w:w="1114" w:type="pct"/>
                    <w:tcBorders>
                      <w:top w:val="outset" w:sz="4" w:space="0" w:color="auto"/>
                      <w:left w:val="outset" w:sz="4" w:space="0" w:color="auto"/>
                      <w:bottom w:val="outset" w:sz="4" w:space="0" w:color="auto"/>
                      <w:right w:val="outset" w:sz="4" w:space="0" w:color="auto"/>
                    </w:tcBorders>
                    <w:vAlign w:val="center"/>
                  </w:tcPr>
                  <w:p w:rsidR="00106552" w:rsidRDefault="00106552" w:rsidP="00106552">
                    <w:pPr>
                      <w:jc w:val="right"/>
                      <w:rPr>
                        <w:szCs w:val="21"/>
                      </w:rPr>
                    </w:pPr>
                    <w:r>
                      <w:t>7,228,182</w:t>
                    </w:r>
                  </w:p>
                </w:tc>
              </w:tr>
              <w:tr w:rsidR="00106552" w:rsidTr="00601D47">
                <w:sdt>
                  <w:sdtPr>
                    <w:tag w:val="_PLD_1a7b57edb7744817a28718e086ddd05b"/>
                    <w:id w:val="477581088"/>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106552" w:rsidRDefault="00106552" w:rsidP="00106552">
                        <w:pPr>
                          <w:ind w:firstLineChars="300" w:firstLine="630"/>
                          <w:rPr>
                            <w:szCs w:val="21"/>
                          </w:rPr>
                        </w:pPr>
                        <w:r>
                          <w:rPr>
                            <w:rFonts w:hint="eastAsia"/>
                            <w:szCs w:val="21"/>
                          </w:rPr>
                          <w:t>财务费用</w:t>
                        </w:r>
                      </w:p>
                    </w:tc>
                  </w:sdtContent>
                </w:sdt>
                <w:tc>
                  <w:tcPr>
                    <w:tcW w:w="838" w:type="pct"/>
                    <w:tcBorders>
                      <w:top w:val="outset" w:sz="4" w:space="0" w:color="auto"/>
                      <w:left w:val="outset" w:sz="4" w:space="0" w:color="auto"/>
                      <w:bottom w:val="outset" w:sz="4" w:space="0" w:color="auto"/>
                      <w:right w:val="outset" w:sz="4" w:space="0" w:color="auto"/>
                    </w:tcBorders>
                  </w:tcPr>
                  <w:p w:rsidR="00106552" w:rsidRDefault="00106552" w:rsidP="00106552">
                    <w:pPr>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106552" w:rsidRDefault="00106552" w:rsidP="00106552">
                    <w:pPr>
                      <w:jc w:val="right"/>
                      <w:rPr>
                        <w:szCs w:val="21"/>
                      </w:rPr>
                    </w:pPr>
                    <w:r>
                      <w:rPr>
                        <w:rFonts w:hint="eastAsia"/>
                      </w:rPr>
                      <w:t>-</w:t>
                    </w:r>
                    <w:r>
                      <w:t>287,732,557</w:t>
                    </w:r>
                  </w:p>
                </w:tc>
                <w:tc>
                  <w:tcPr>
                    <w:tcW w:w="1114" w:type="pct"/>
                    <w:tcBorders>
                      <w:top w:val="outset" w:sz="4" w:space="0" w:color="auto"/>
                      <w:left w:val="outset" w:sz="4" w:space="0" w:color="auto"/>
                      <w:bottom w:val="outset" w:sz="4" w:space="0" w:color="auto"/>
                      <w:right w:val="outset" w:sz="4" w:space="0" w:color="auto"/>
                    </w:tcBorders>
                    <w:vAlign w:val="center"/>
                  </w:tcPr>
                  <w:p w:rsidR="00106552" w:rsidRDefault="00106552" w:rsidP="00106552">
                    <w:pPr>
                      <w:jc w:val="right"/>
                      <w:rPr>
                        <w:szCs w:val="21"/>
                      </w:rPr>
                    </w:pPr>
                    <w:r>
                      <w:rPr>
                        <w:rFonts w:hint="eastAsia"/>
                      </w:rPr>
                      <w:t>-</w:t>
                    </w:r>
                    <w:r>
                      <w:t>171,175,158</w:t>
                    </w:r>
                  </w:p>
                </w:tc>
              </w:tr>
              <w:tr w:rsidR="00106552" w:rsidTr="00601D47">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6df774b7facf4e3db743c473152d3f19"/>
                      <w:id w:val="-147601329"/>
                      <w:lock w:val="sdtLocked"/>
                    </w:sdtPr>
                    <w:sdtContent>
                      <w:p w:rsidR="00106552" w:rsidRDefault="00106552" w:rsidP="00106552">
                        <w:pPr>
                          <w:ind w:firstLineChars="300" w:firstLine="630"/>
                        </w:pPr>
                        <w:r>
                          <w:rPr>
                            <w:rFonts w:hint="eastAsia"/>
                          </w:rPr>
                          <w:t>其中：利息费用</w:t>
                        </w:r>
                      </w:p>
                    </w:sdtContent>
                  </w:sdt>
                </w:tc>
                <w:tc>
                  <w:tcPr>
                    <w:tcW w:w="838" w:type="pct"/>
                    <w:tcBorders>
                      <w:top w:val="outset" w:sz="4" w:space="0" w:color="auto"/>
                      <w:left w:val="outset" w:sz="4" w:space="0" w:color="auto"/>
                      <w:bottom w:val="outset" w:sz="4" w:space="0" w:color="auto"/>
                      <w:right w:val="outset" w:sz="4" w:space="0" w:color="auto"/>
                    </w:tcBorders>
                  </w:tcPr>
                  <w:p w:rsidR="00106552" w:rsidRDefault="00106552" w:rsidP="00106552">
                    <w:pPr>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106552" w:rsidRDefault="00106552" w:rsidP="00106552">
                    <w:pPr>
                      <w:jc w:val="right"/>
                      <w:rPr>
                        <w:szCs w:val="21"/>
                      </w:rPr>
                    </w:pPr>
                    <w:r>
                      <w:t>858,818,998</w:t>
                    </w:r>
                  </w:p>
                </w:tc>
                <w:tc>
                  <w:tcPr>
                    <w:tcW w:w="1114" w:type="pct"/>
                    <w:tcBorders>
                      <w:top w:val="outset" w:sz="4" w:space="0" w:color="auto"/>
                      <w:left w:val="outset" w:sz="4" w:space="0" w:color="auto"/>
                      <w:bottom w:val="outset" w:sz="4" w:space="0" w:color="auto"/>
                      <w:right w:val="outset" w:sz="4" w:space="0" w:color="auto"/>
                    </w:tcBorders>
                    <w:vAlign w:val="center"/>
                  </w:tcPr>
                  <w:p w:rsidR="00106552" w:rsidRDefault="00106552" w:rsidP="00106552">
                    <w:pPr>
                      <w:jc w:val="right"/>
                      <w:rPr>
                        <w:szCs w:val="21"/>
                      </w:rPr>
                    </w:pPr>
                    <w:r>
                      <w:t>1,032,247,516</w:t>
                    </w:r>
                  </w:p>
                </w:tc>
              </w:tr>
              <w:tr w:rsidR="00106552" w:rsidTr="00601D47">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385e3c40e2654a888890a63c535854b4"/>
                      <w:id w:val="-351802911"/>
                      <w:lock w:val="sdtLocked"/>
                    </w:sdtPr>
                    <w:sdtContent>
                      <w:p w:rsidR="00106552" w:rsidRDefault="00106552" w:rsidP="00106552">
                        <w:pPr>
                          <w:ind w:firstLineChars="600" w:firstLine="1260"/>
                        </w:pPr>
                        <w:r>
                          <w:rPr>
                            <w:rFonts w:hint="eastAsia"/>
                          </w:rPr>
                          <w:t>利息收入</w:t>
                        </w:r>
                      </w:p>
                    </w:sdtContent>
                  </w:sdt>
                </w:tc>
                <w:tc>
                  <w:tcPr>
                    <w:tcW w:w="838" w:type="pct"/>
                    <w:tcBorders>
                      <w:top w:val="outset" w:sz="4" w:space="0" w:color="auto"/>
                      <w:left w:val="outset" w:sz="4" w:space="0" w:color="auto"/>
                      <w:bottom w:val="outset" w:sz="4" w:space="0" w:color="auto"/>
                      <w:right w:val="outset" w:sz="4" w:space="0" w:color="auto"/>
                    </w:tcBorders>
                  </w:tcPr>
                  <w:p w:rsidR="00106552" w:rsidRDefault="00106552" w:rsidP="00106552">
                    <w:pPr>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106552" w:rsidRDefault="00106552" w:rsidP="00106552">
                    <w:pPr>
                      <w:jc w:val="right"/>
                      <w:rPr>
                        <w:szCs w:val="21"/>
                      </w:rPr>
                    </w:pPr>
                    <w:r>
                      <w:t>1,238,784,657</w:t>
                    </w:r>
                  </w:p>
                </w:tc>
                <w:tc>
                  <w:tcPr>
                    <w:tcW w:w="1114" w:type="pct"/>
                    <w:tcBorders>
                      <w:top w:val="outset" w:sz="4" w:space="0" w:color="auto"/>
                      <w:left w:val="outset" w:sz="4" w:space="0" w:color="auto"/>
                      <w:bottom w:val="outset" w:sz="4" w:space="0" w:color="auto"/>
                      <w:right w:val="outset" w:sz="4" w:space="0" w:color="auto"/>
                    </w:tcBorders>
                    <w:vAlign w:val="center"/>
                  </w:tcPr>
                  <w:p w:rsidR="00106552" w:rsidRDefault="00106552" w:rsidP="00106552">
                    <w:pPr>
                      <w:jc w:val="right"/>
                      <w:rPr>
                        <w:szCs w:val="21"/>
                      </w:rPr>
                    </w:pPr>
                    <w:r>
                      <w:t>1,282,284,825</w:t>
                    </w:r>
                  </w:p>
                </w:tc>
              </w:tr>
              <w:tr w:rsidR="00106552" w:rsidTr="00601D47">
                <w:sdt>
                  <w:sdtPr>
                    <w:tag w:val="_PLD_020ea8bbcc3d47c49fdc9c7aa944a8d8"/>
                    <w:id w:val="-974060780"/>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106552" w:rsidRDefault="00106552" w:rsidP="00106552">
                        <w:pPr>
                          <w:ind w:firstLineChars="100" w:firstLine="210"/>
                          <w:rPr>
                            <w:szCs w:val="21"/>
                          </w:rPr>
                        </w:pPr>
                        <w:r>
                          <w:rPr>
                            <w:rFonts w:hint="eastAsia"/>
                          </w:rPr>
                          <w:t>加：</w:t>
                        </w:r>
                        <w:r>
                          <w:rPr>
                            <w:rFonts w:hint="eastAsia"/>
                            <w:szCs w:val="21"/>
                          </w:rPr>
                          <w:t>其他收益</w:t>
                        </w:r>
                      </w:p>
                    </w:tc>
                  </w:sdtContent>
                </w:sdt>
                <w:tc>
                  <w:tcPr>
                    <w:tcW w:w="838" w:type="pct"/>
                    <w:tcBorders>
                      <w:top w:val="outset" w:sz="4" w:space="0" w:color="auto"/>
                      <w:left w:val="outset" w:sz="4" w:space="0" w:color="auto"/>
                      <w:bottom w:val="outset" w:sz="4" w:space="0" w:color="auto"/>
                      <w:right w:val="outset" w:sz="4" w:space="0" w:color="auto"/>
                    </w:tcBorders>
                  </w:tcPr>
                  <w:p w:rsidR="00106552" w:rsidRDefault="00106552" w:rsidP="00106552">
                    <w:pPr>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106552" w:rsidRDefault="00106552" w:rsidP="00106552">
                    <w:pPr>
                      <w:jc w:val="right"/>
                      <w:rPr>
                        <w:szCs w:val="21"/>
                      </w:rPr>
                    </w:pPr>
                    <w:r>
                      <w:t>174,764,621</w:t>
                    </w:r>
                  </w:p>
                </w:tc>
                <w:tc>
                  <w:tcPr>
                    <w:tcW w:w="1114" w:type="pct"/>
                    <w:tcBorders>
                      <w:top w:val="outset" w:sz="4" w:space="0" w:color="auto"/>
                      <w:left w:val="outset" w:sz="4" w:space="0" w:color="auto"/>
                      <w:bottom w:val="outset" w:sz="4" w:space="0" w:color="auto"/>
                      <w:right w:val="outset" w:sz="4" w:space="0" w:color="auto"/>
                    </w:tcBorders>
                    <w:vAlign w:val="center"/>
                  </w:tcPr>
                  <w:p w:rsidR="00106552" w:rsidRDefault="00106552" w:rsidP="00106552">
                    <w:pPr>
                      <w:jc w:val="right"/>
                      <w:rPr>
                        <w:szCs w:val="21"/>
                      </w:rPr>
                    </w:pPr>
                    <w:r>
                      <w:t>71,824,729</w:t>
                    </w:r>
                  </w:p>
                </w:tc>
              </w:tr>
              <w:tr w:rsidR="00106552" w:rsidTr="00601D47">
                <w:sdt>
                  <w:sdtPr>
                    <w:tag w:val="_PLD_f8c83cecc9614724b2b7311ca4c938a9"/>
                    <w:id w:val="1623272856"/>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106552" w:rsidRDefault="00106552" w:rsidP="00106552">
                        <w:pPr>
                          <w:ind w:firstLineChars="300" w:firstLine="630"/>
                          <w:rPr>
                            <w:szCs w:val="21"/>
                          </w:rPr>
                        </w:pPr>
                        <w:r>
                          <w:rPr>
                            <w:rFonts w:hint="eastAsia"/>
                            <w:szCs w:val="21"/>
                          </w:rPr>
                          <w:t>投资收益（损失以“－”号填列）</w:t>
                        </w:r>
                      </w:p>
                    </w:tc>
                  </w:sdtContent>
                </w:sdt>
                <w:tc>
                  <w:tcPr>
                    <w:tcW w:w="838" w:type="pct"/>
                    <w:tcBorders>
                      <w:top w:val="outset" w:sz="4" w:space="0" w:color="auto"/>
                      <w:left w:val="outset" w:sz="4" w:space="0" w:color="auto"/>
                      <w:bottom w:val="outset" w:sz="4" w:space="0" w:color="auto"/>
                      <w:right w:val="outset" w:sz="4" w:space="0" w:color="auto"/>
                    </w:tcBorders>
                  </w:tcPr>
                  <w:p w:rsidR="00106552" w:rsidRDefault="00FE7F64" w:rsidP="00106552">
                    <w:pPr>
                      <w:rPr>
                        <w:szCs w:val="21"/>
                      </w:rPr>
                    </w:pPr>
                    <w:r>
                      <w:rPr>
                        <w:rFonts w:hint="eastAsia"/>
                        <w:szCs w:val="21"/>
                      </w:rPr>
                      <w:t>十七、5</w:t>
                    </w:r>
                  </w:p>
                </w:tc>
                <w:tc>
                  <w:tcPr>
                    <w:tcW w:w="1110" w:type="pct"/>
                    <w:tcBorders>
                      <w:top w:val="outset" w:sz="4" w:space="0" w:color="auto"/>
                      <w:left w:val="outset" w:sz="4" w:space="0" w:color="auto"/>
                      <w:bottom w:val="outset" w:sz="4" w:space="0" w:color="auto"/>
                      <w:right w:val="outset" w:sz="4" w:space="0" w:color="auto"/>
                    </w:tcBorders>
                    <w:vAlign w:val="center"/>
                  </w:tcPr>
                  <w:p w:rsidR="00106552" w:rsidRDefault="00106552" w:rsidP="00106552">
                    <w:pPr>
                      <w:jc w:val="right"/>
                      <w:rPr>
                        <w:szCs w:val="21"/>
                      </w:rPr>
                    </w:pPr>
                    <w:r>
                      <w:t>2,885,472,071</w:t>
                    </w:r>
                  </w:p>
                </w:tc>
                <w:tc>
                  <w:tcPr>
                    <w:tcW w:w="1114" w:type="pct"/>
                    <w:tcBorders>
                      <w:top w:val="outset" w:sz="4" w:space="0" w:color="auto"/>
                      <w:left w:val="outset" w:sz="4" w:space="0" w:color="auto"/>
                      <w:bottom w:val="outset" w:sz="4" w:space="0" w:color="auto"/>
                      <w:right w:val="outset" w:sz="4" w:space="0" w:color="auto"/>
                    </w:tcBorders>
                    <w:vAlign w:val="center"/>
                  </w:tcPr>
                  <w:p w:rsidR="00106552" w:rsidRDefault="00106552" w:rsidP="00106552">
                    <w:pPr>
                      <w:jc w:val="right"/>
                      <w:rPr>
                        <w:szCs w:val="21"/>
                      </w:rPr>
                    </w:pPr>
                    <w:r>
                      <w:t>3,098,499,883</w:t>
                    </w:r>
                  </w:p>
                </w:tc>
              </w:tr>
              <w:tr w:rsidR="00106552" w:rsidTr="00601D47">
                <w:sdt>
                  <w:sdtPr>
                    <w:tag w:val="_PLD_9fc53b9893f340329463bf2fd9fcf9fd"/>
                    <w:id w:val="1037634165"/>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106552" w:rsidRDefault="00106552" w:rsidP="00106552">
                        <w:pPr>
                          <w:ind w:firstLineChars="300" w:firstLine="630"/>
                          <w:rPr>
                            <w:szCs w:val="21"/>
                          </w:rPr>
                        </w:pPr>
                        <w:r>
                          <w:rPr>
                            <w:rFonts w:hint="eastAsia"/>
                            <w:szCs w:val="21"/>
                          </w:rPr>
                          <w:t>其中：对联营企业和合营企业的投资收益</w:t>
                        </w:r>
                      </w:p>
                    </w:tc>
                  </w:sdtContent>
                </w:sdt>
                <w:tc>
                  <w:tcPr>
                    <w:tcW w:w="838" w:type="pct"/>
                    <w:tcBorders>
                      <w:top w:val="outset" w:sz="4" w:space="0" w:color="auto"/>
                      <w:left w:val="outset" w:sz="4" w:space="0" w:color="auto"/>
                      <w:bottom w:val="outset" w:sz="4" w:space="0" w:color="auto"/>
                      <w:right w:val="outset" w:sz="4" w:space="0" w:color="auto"/>
                    </w:tcBorders>
                  </w:tcPr>
                  <w:p w:rsidR="00106552" w:rsidRDefault="00106552" w:rsidP="00106552">
                    <w:pPr>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106552" w:rsidRDefault="00106552" w:rsidP="00106552">
                    <w:pPr>
                      <w:jc w:val="right"/>
                      <w:rPr>
                        <w:szCs w:val="21"/>
                      </w:rPr>
                    </w:pPr>
                    <w:r>
                      <w:t>2,705,359,078</w:t>
                    </w:r>
                  </w:p>
                </w:tc>
                <w:tc>
                  <w:tcPr>
                    <w:tcW w:w="1114" w:type="pct"/>
                    <w:tcBorders>
                      <w:top w:val="outset" w:sz="4" w:space="0" w:color="auto"/>
                      <w:left w:val="outset" w:sz="4" w:space="0" w:color="auto"/>
                      <w:bottom w:val="outset" w:sz="4" w:space="0" w:color="auto"/>
                      <w:right w:val="outset" w:sz="4" w:space="0" w:color="auto"/>
                    </w:tcBorders>
                    <w:vAlign w:val="center"/>
                  </w:tcPr>
                  <w:p w:rsidR="00106552" w:rsidRDefault="00106552" w:rsidP="00106552">
                    <w:pPr>
                      <w:jc w:val="right"/>
                      <w:rPr>
                        <w:szCs w:val="21"/>
                      </w:rPr>
                    </w:pPr>
                    <w:r>
                      <w:t>3,002,259,058</w:t>
                    </w:r>
                  </w:p>
                </w:tc>
              </w:tr>
              <w:tr w:rsidR="00106552" w:rsidTr="00A67D4D">
                <w:sdt>
                  <w:sdtPr>
                    <w:tag w:val="_PLD_c7b8cf553aa74a7e995b5814703664af"/>
                    <w:id w:val="-290051786"/>
                    <w:lock w:val="sdtLocked"/>
                  </w:sdtPr>
                  <w:sdtContent>
                    <w:tc>
                      <w:tcPr>
                        <w:tcW w:w="1938" w:type="pct"/>
                        <w:tcBorders>
                          <w:top w:val="outset" w:sz="4" w:space="0" w:color="auto"/>
                          <w:left w:val="outset" w:sz="4" w:space="0" w:color="auto"/>
                          <w:bottom w:val="outset" w:sz="4" w:space="0" w:color="auto"/>
                          <w:right w:val="outset" w:sz="4" w:space="0" w:color="auto"/>
                        </w:tcBorders>
                      </w:tcPr>
                      <w:p w:rsidR="00106552" w:rsidRDefault="00106552" w:rsidP="00106552">
                        <w:pPr>
                          <w:ind w:firstLineChars="550" w:firstLine="1155"/>
                        </w:pPr>
                        <w:r>
                          <w:rPr>
                            <w:rFonts w:hint="eastAsia"/>
                          </w:rPr>
                          <w:t>以摊余成本计量的金融资产终止确认收益</w:t>
                        </w:r>
                      </w:p>
                    </w:tc>
                  </w:sdtContent>
                </w:sdt>
                <w:tc>
                  <w:tcPr>
                    <w:tcW w:w="838" w:type="pct"/>
                    <w:tcBorders>
                      <w:top w:val="outset" w:sz="4" w:space="0" w:color="auto"/>
                      <w:left w:val="outset" w:sz="4" w:space="0" w:color="auto"/>
                      <w:bottom w:val="outset" w:sz="4" w:space="0" w:color="auto"/>
                      <w:right w:val="outset" w:sz="4" w:space="0" w:color="auto"/>
                    </w:tcBorders>
                  </w:tcPr>
                  <w:p w:rsidR="00106552" w:rsidRDefault="00106552" w:rsidP="00106552">
                    <w:pPr>
                      <w:rPr>
                        <w:szCs w:val="21"/>
                      </w:rPr>
                    </w:pPr>
                  </w:p>
                </w:tc>
                <w:tc>
                  <w:tcPr>
                    <w:tcW w:w="1110" w:type="pct"/>
                    <w:tcBorders>
                      <w:top w:val="outset" w:sz="4" w:space="0" w:color="auto"/>
                      <w:left w:val="outset" w:sz="4" w:space="0" w:color="auto"/>
                      <w:bottom w:val="outset" w:sz="4" w:space="0" w:color="auto"/>
                      <w:right w:val="outset" w:sz="4" w:space="0" w:color="auto"/>
                    </w:tcBorders>
                  </w:tcPr>
                  <w:p w:rsidR="00106552" w:rsidRDefault="00106552" w:rsidP="00106552">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106552" w:rsidRDefault="00106552" w:rsidP="00106552">
                    <w:pPr>
                      <w:jc w:val="right"/>
                      <w:rPr>
                        <w:bCs/>
                        <w:szCs w:val="21"/>
                      </w:rPr>
                    </w:pPr>
                  </w:p>
                </w:tc>
              </w:tr>
              <w:tr w:rsidR="00106552" w:rsidTr="00A67D4D">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cb4beedada004366a28dc6c0054f1d37"/>
                      <w:id w:val="-646055450"/>
                      <w:lock w:val="sdtLocked"/>
                    </w:sdtPr>
                    <w:sdtEndPr>
                      <w:rPr>
                        <w:rFonts w:hint="default"/>
                      </w:rPr>
                    </w:sdtEndPr>
                    <w:sdtContent>
                      <w:p w:rsidR="00106552" w:rsidRDefault="00106552" w:rsidP="00106552">
                        <w:pPr>
                          <w:ind w:firstLineChars="300" w:firstLine="630"/>
                        </w:pPr>
                        <w:r>
                          <w:rPr>
                            <w:rFonts w:hint="eastAsia"/>
                          </w:rPr>
                          <w:t>净敞口套期收益（损失以“</w:t>
                        </w:r>
                        <w:r>
                          <w:t>-”号填列）</w:t>
                        </w:r>
                      </w:p>
                    </w:sdtContent>
                  </w:sdt>
                </w:tc>
                <w:tc>
                  <w:tcPr>
                    <w:tcW w:w="838" w:type="pct"/>
                    <w:tcBorders>
                      <w:top w:val="outset" w:sz="4" w:space="0" w:color="auto"/>
                      <w:left w:val="outset" w:sz="4" w:space="0" w:color="auto"/>
                      <w:bottom w:val="outset" w:sz="4" w:space="0" w:color="auto"/>
                      <w:right w:val="outset" w:sz="4" w:space="0" w:color="auto"/>
                    </w:tcBorders>
                  </w:tcPr>
                  <w:p w:rsidR="00106552" w:rsidRDefault="00106552" w:rsidP="00106552">
                    <w:pPr>
                      <w:rPr>
                        <w:szCs w:val="21"/>
                      </w:rPr>
                    </w:pPr>
                  </w:p>
                </w:tc>
                <w:tc>
                  <w:tcPr>
                    <w:tcW w:w="1110" w:type="pct"/>
                    <w:tcBorders>
                      <w:top w:val="outset" w:sz="4" w:space="0" w:color="auto"/>
                      <w:left w:val="outset" w:sz="4" w:space="0" w:color="auto"/>
                      <w:bottom w:val="outset" w:sz="4" w:space="0" w:color="auto"/>
                      <w:right w:val="outset" w:sz="4" w:space="0" w:color="auto"/>
                    </w:tcBorders>
                  </w:tcPr>
                  <w:p w:rsidR="00106552" w:rsidRDefault="00106552" w:rsidP="00106552">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106552" w:rsidRDefault="00106552" w:rsidP="00106552">
                    <w:pPr>
                      <w:jc w:val="right"/>
                      <w:rPr>
                        <w:szCs w:val="21"/>
                      </w:rPr>
                    </w:pPr>
                  </w:p>
                </w:tc>
              </w:tr>
              <w:tr w:rsidR="00106552" w:rsidTr="00A67D4D">
                <w:sdt>
                  <w:sdtPr>
                    <w:tag w:val="_PLD_836981e5e1384f23b8bcad1fe3feb8fd"/>
                    <w:id w:val="-1891949727"/>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106552" w:rsidRDefault="00106552" w:rsidP="00106552">
                        <w:pPr>
                          <w:ind w:firstLineChars="300" w:firstLine="630"/>
                          <w:rPr>
                            <w:color w:val="000000"/>
                            <w:szCs w:val="21"/>
                          </w:rPr>
                        </w:pPr>
                        <w:r>
                          <w:rPr>
                            <w:rFonts w:hint="eastAsia"/>
                            <w:szCs w:val="21"/>
                          </w:rPr>
                          <w:t>公允价值变动收益（损失以“－”号填列）</w:t>
                        </w:r>
                      </w:p>
                    </w:tc>
                  </w:sdtContent>
                </w:sdt>
                <w:tc>
                  <w:tcPr>
                    <w:tcW w:w="838" w:type="pct"/>
                    <w:tcBorders>
                      <w:top w:val="outset" w:sz="4" w:space="0" w:color="auto"/>
                      <w:left w:val="outset" w:sz="4" w:space="0" w:color="auto"/>
                      <w:bottom w:val="outset" w:sz="4" w:space="0" w:color="auto"/>
                      <w:right w:val="outset" w:sz="4" w:space="0" w:color="auto"/>
                    </w:tcBorders>
                  </w:tcPr>
                  <w:p w:rsidR="00106552" w:rsidRDefault="00106552" w:rsidP="00106552">
                    <w:pPr>
                      <w:rPr>
                        <w:szCs w:val="21"/>
                      </w:rPr>
                    </w:pPr>
                  </w:p>
                </w:tc>
                <w:tc>
                  <w:tcPr>
                    <w:tcW w:w="1110" w:type="pct"/>
                    <w:tcBorders>
                      <w:top w:val="outset" w:sz="4" w:space="0" w:color="auto"/>
                      <w:left w:val="outset" w:sz="4" w:space="0" w:color="auto"/>
                      <w:bottom w:val="outset" w:sz="4" w:space="0" w:color="auto"/>
                      <w:right w:val="outset" w:sz="4" w:space="0" w:color="auto"/>
                    </w:tcBorders>
                  </w:tcPr>
                  <w:p w:rsidR="00106552" w:rsidRDefault="00106552" w:rsidP="00106552">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106552" w:rsidRDefault="00106552" w:rsidP="00106552">
                    <w:pPr>
                      <w:jc w:val="right"/>
                      <w:rPr>
                        <w:szCs w:val="21"/>
                      </w:rPr>
                    </w:pPr>
                  </w:p>
                </w:tc>
              </w:tr>
              <w:tr w:rsidR="00106552" w:rsidTr="00601D47">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ae3a70990d514b87aee42bc81307f291"/>
                      <w:id w:val="897167350"/>
                      <w:lock w:val="sdtLocked"/>
                    </w:sdtPr>
                    <w:sdtContent>
                      <w:p w:rsidR="00106552" w:rsidRDefault="00106552" w:rsidP="00106552">
                        <w:pPr>
                          <w:ind w:firstLineChars="300" w:firstLine="630"/>
                        </w:pPr>
                        <w:r>
                          <w:rPr>
                            <w:rFonts w:hint="eastAsia"/>
                          </w:rPr>
                          <w:t>信用减值损失（损失以“</w:t>
                        </w:r>
                        <w:r>
                          <w:t>-”号填列）</w:t>
                        </w:r>
                      </w:p>
                    </w:sdtContent>
                  </w:sdt>
                </w:tc>
                <w:tc>
                  <w:tcPr>
                    <w:tcW w:w="838" w:type="pct"/>
                    <w:tcBorders>
                      <w:top w:val="outset" w:sz="4" w:space="0" w:color="auto"/>
                      <w:left w:val="outset" w:sz="4" w:space="0" w:color="auto"/>
                      <w:bottom w:val="outset" w:sz="4" w:space="0" w:color="auto"/>
                      <w:right w:val="outset" w:sz="4" w:space="0" w:color="auto"/>
                    </w:tcBorders>
                  </w:tcPr>
                  <w:p w:rsidR="00106552" w:rsidRDefault="00106552" w:rsidP="00106552">
                    <w:pPr>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106552" w:rsidRDefault="00106552" w:rsidP="00106552">
                    <w:pPr>
                      <w:jc w:val="right"/>
                      <w:rPr>
                        <w:szCs w:val="21"/>
                      </w:rPr>
                    </w:pPr>
                    <w:r>
                      <w:t>169,816,235</w:t>
                    </w:r>
                  </w:p>
                </w:tc>
                <w:tc>
                  <w:tcPr>
                    <w:tcW w:w="1114" w:type="pct"/>
                    <w:tcBorders>
                      <w:top w:val="outset" w:sz="4" w:space="0" w:color="auto"/>
                      <w:left w:val="outset" w:sz="4" w:space="0" w:color="auto"/>
                      <w:bottom w:val="outset" w:sz="4" w:space="0" w:color="auto"/>
                      <w:right w:val="outset" w:sz="4" w:space="0" w:color="auto"/>
                    </w:tcBorders>
                    <w:vAlign w:val="center"/>
                  </w:tcPr>
                  <w:p w:rsidR="00106552" w:rsidRDefault="00106552" w:rsidP="00106552">
                    <w:pPr>
                      <w:jc w:val="right"/>
                      <w:rPr>
                        <w:szCs w:val="21"/>
                      </w:rPr>
                    </w:pPr>
                    <w:r>
                      <w:rPr>
                        <w:rFonts w:hint="eastAsia"/>
                      </w:rPr>
                      <w:t>-</w:t>
                    </w:r>
                    <w:r>
                      <w:t>359,310,073</w:t>
                    </w:r>
                  </w:p>
                </w:tc>
              </w:tr>
              <w:tr w:rsidR="00106552" w:rsidTr="00601D47">
                <w:sdt>
                  <w:sdtPr>
                    <w:tag w:val="_PLD_8c8b602b86da4d9e89eb4a71d0ffebfb"/>
                    <w:id w:val="1160809878"/>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106552" w:rsidRDefault="00106552" w:rsidP="00106552">
                        <w:pPr>
                          <w:ind w:firstLineChars="300" w:firstLine="630"/>
                          <w:rPr>
                            <w:szCs w:val="21"/>
                          </w:rPr>
                        </w:pPr>
                        <w:r>
                          <w:rPr>
                            <w:rFonts w:hint="eastAsia"/>
                            <w:szCs w:val="21"/>
                          </w:rPr>
                          <w:t>资产减值损失（损失以“</w:t>
                        </w:r>
                        <w:r>
                          <w:rPr>
                            <w:szCs w:val="21"/>
                          </w:rPr>
                          <w:t>-”号填列）</w:t>
                        </w:r>
                      </w:p>
                    </w:tc>
                  </w:sdtContent>
                </w:sdt>
                <w:tc>
                  <w:tcPr>
                    <w:tcW w:w="838" w:type="pct"/>
                    <w:tcBorders>
                      <w:top w:val="outset" w:sz="4" w:space="0" w:color="auto"/>
                      <w:left w:val="outset" w:sz="4" w:space="0" w:color="auto"/>
                      <w:bottom w:val="outset" w:sz="4" w:space="0" w:color="auto"/>
                      <w:right w:val="outset" w:sz="4" w:space="0" w:color="auto"/>
                    </w:tcBorders>
                  </w:tcPr>
                  <w:p w:rsidR="00106552" w:rsidRDefault="00106552" w:rsidP="00106552">
                    <w:pPr>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106552" w:rsidRDefault="00106552" w:rsidP="00106552">
                    <w:pPr>
                      <w:jc w:val="right"/>
                      <w:rPr>
                        <w:szCs w:val="21"/>
                      </w:rPr>
                    </w:pPr>
                    <w:r>
                      <w:t>0</w:t>
                    </w:r>
                  </w:p>
                </w:tc>
                <w:tc>
                  <w:tcPr>
                    <w:tcW w:w="1114" w:type="pct"/>
                    <w:tcBorders>
                      <w:top w:val="outset" w:sz="4" w:space="0" w:color="auto"/>
                      <w:left w:val="outset" w:sz="4" w:space="0" w:color="auto"/>
                      <w:bottom w:val="outset" w:sz="4" w:space="0" w:color="auto"/>
                      <w:right w:val="outset" w:sz="4" w:space="0" w:color="auto"/>
                    </w:tcBorders>
                    <w:vAlign w:val="center"/>
                  </w:tcPr>
                  <w:p w:rsidR="00106552" w:rsidRDefault="00106552" w:rsidP="00106552">
                    <w:pPr>
                      <w:jc w:val="right"/>
                      <w:rPr>
                        <w:szCs w:val="21"/>
                      </w:rPr>
                    </w:pPr>
                    <w:r>
                      <w:rPr>
                        <w:rFonts w:hint="eastAsia"/>
                      </w:rPr>
                      <w:t>-</w:t>
                    </w:r>
                    <w:r>
                      <w:t>49,841,032</w:t>
                    </w:r>
                  </w:p>
                </w:tc>
              </w:tr>
              <w:tr w:rsidR="00106552" w:rsidTr="00601D47">
                <w:sdt>
                  <w:sdtPr>
                    <w:rPr>
                      <w:rFonts w:hint="eastAsia"/>
                    </w:rPr>
                    <w:tag w:val="_PLD_ddf2ac52069843e19488477137a61306"/>
                    <w:id w:val="470102861"/>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106552" w:rsidRDefault="00106552" w:rsidP="00106552">
                        <w:pPr>
                          <w:ind w:firstLineChars="300" w:firstLine="630"/>
                        </w:pPr>
                        <w:r>
                          <w:rPr>
                            <w:rFonts w:hint="eastAsia"/>
                          </w:rPr>
                          <w:t>资产处置收益（损失以“－”号填列）</w:t>
                        </w:r>
                      </w:p>
                    </w:tc>
                  </w:sdtContent>
                </w:sdt>
                <w:tc>
                  <w:tcPr>
                    <w:tcW w:w="838" w:type="pct"/>
                    <w:tcBorders>
                      <w:top w:val="outset" w:sz="4" w:space="0" w:color="auto"/>
                      <w:left w:val="outset" w:sz="4" w:space="0" w:color="auto"/>
                      <w:bottom w:val="outset" w:sz="4" w:space="0" w:color="auto"/>
                      <w:right w:val="outset" w:sz="4" w:space="0" w:color="auto"/>
                    </w:tcBorders>
                  </w:tcPr>
                  <w:p w:rsidR="00106552" w:rsidRDefault="00106552" w:rsidP="00106552">
                    <w:pPr>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106552" w:rsidRDefault="00106552" w:rsidP="00106552">
                    <w:pPr>
                      <w:jc w:val="right"/>
                      <w:rPr>
                        <w:szCs w:val="21"/>
                      </w:rPr>
                    </w:pPr>
                    <w:r>
                      <w:t>342,190</w:t>
                    </w:r>
                  </w:p>
                </w:tc>
                <w:tc>
                  <w:tcPr>
                    <w:tcW w:w="1114" w:type="pct"/>
                    <w:tcBorders>
                      <w:top w:val="outset" w:sz="4" w:space="0" w:color="auto"/>
                      <w:left w:val="outset" w:sz="4" w:space="0" w:color="auto"/>
                      <w:bottom w:val="outset" w:sz="4" w:space="0" w:color="auto"/>
                      <w:right w:val="outset" w:sz="4" w:space="0" w:color="auto"/>
                    </w:tcBorders>
                    <w:vAlign w:val="center"/>
                  </w:tcPr>
                  <w:p w:rsidR="00106552" w:rsidRDefault="00106552" w:rsidP="00106552">
                    <w:pPr>
                      <w:jc w:val="right"/>
                      <w:rPr>
                        <w:szCs w:val="21"/>
                      </w:rPr>
                    </w:pPr>
                    <w:r>
                      <w:t>4,318,584</w:t>
                    </w:r>
                  </w:p>
                </w:tc>
              </w:tr>
              <w:tr w:rsidR="00106552" w:rsidTr="00601D47">
                <w:sdt>
                  <w:sdtPr>
                    <w:tag w:val="_PLD_43f7b971fb944459960c2fb805e59445"/>
                    <w:id w:val="-1009063992"/>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106552" w:rsidRDefault="00106552" w:rsidP="00106552">
                        <w:pPr>
                          <w:ind w:left="-19"/>
                          <w:rPr>
                            <w:color w:val="000000"/>
                            <w:szCs w:val="21"/>
                          </w:rPr>
                        </w:pPr>
                        <w:r>
                          <w:rPr>
                            <w:rFonts w:hint="eastAsia"/>
                            <w:szCs w:val="21"/>
                          </w:rPr>
                          <w:t>二、营业利润（亏损以“－”号填列）</w:t>
                        </w:r>
                      </w:p>
                    </w:tc>
                  </w:sdtContent>
                </w:sdt>
                <w:tc>
                  <w:tcPr>
                    <w:tcW w:w="838" w:type="pct"/>
                    <w:tcBorders>
                      <w:top w:val="outset" w:sz="4" w:space="0" w:color="auto"/>
                      <w:left w:val="outset" w:sz="4" w:space="0" w:color="auto"/>
                      <w:bottom w:val="outset" w:sz="4" w:space="0" w:color="auto"/>
                      <w:right w:val="outset" w:sz="4" w:space="0" w:color="auto"/>
                    </w:tcBorders>
                  </w:tcPr>
                  <w:p w:rsidR="00106552" w:rsidRDefault="00106552" w:rsidP="00106552">
                    <w:pPr>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106552" w:rsidRDefault="00106552" w:rsidP="00106552">
                    <w:pPr>
                      <w:jc w:val="right"/>
                      <w:rPr>
                        <w:szCs w:val="21"/>
                      </w:rPr>
                    </w:pPr>
                    <w:r>
                      <w:t>14,125,949,643</w:t>
                    </w:r>
                  </w:p>
                </w:tc>
                <w:tc>
                  <w:tcPr>
                    <w:tcW w:w="1114" w:type="pct"/>
                    <w:tcBorders>
                      <w:top w:val="outset" w:sz="4" w:space="0" w:color="auto"/>
                      <w:left w:val="outset" w:sz="4" w:space="0" w:color="auto"/>
                      <w:bottom w:val="outset" w:sz="4" w:space="0" w:color="auto"/>
                      <w:right w:val="outset" w:sz="4" w:space="0" w:color="auto"/>
                    </w:tcBorders>
                    <w:vAlign w:val="center"/>
                  </w:tcPr>
                  <w:p w:rsidR="00106552" w:rsidRDefault="00106552" w:rsidP="00106552">
                    <w:pPr>
                      <w:jc w:val="right"/>
                      <w:rPr>
                        <w:szCs w:val="21"/>
                      </w:rPr>
                    </w:pPr>
                    <w:r>
                      <w:t>15,559,292,662</w:t>
                    </w:r>
                  </w:p>
                </w:tc>
              </w:tr>
              <w:tr w:rsidR="00106552" w:rsidTr="00601D47">
                <w:sdt>
                  <w:sdtPr>
                    <w:tag w:val="_PLD_30661784543f452b848c0b9d529adade"/>
                    <w:id w:val="1260333122"/>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106552" w:rsidRDefault="00106552" w:rsidP="00106552">
                        <w:pPr>
                          <w:ind w:firstLineChars="100" w:firstLine="210"/>
                          <w:rPr>
                            <w:color w:val="000000"/>
                            <w:szCs w:val="21"/>
                          </w:rPr>
                        </w:pPr>
                        <w:r>
                          <w:rPr>
                            <w:rFonts w:hint="eastAsia"/>
                            <w:szCs w:val="21"/>
                          </w:rPr>
                          <w:t>加：营业外收入</w:t>
                        </w:r>
                      </w:p>
                    </w:tc>
                  </w:sdtContent>
                </w:sdt>
                <w:tc>
                  <w:tcPr>
                    <w:tcW w:w="838" w:type="pct"/>
                    <w:tcBorders>
                      <w:top w:val="outset" w:sz="4" w:space="0" w:color="auto"/>
                      <w:left w:val="outset" w:sz="4" w:space="0" w:color="auto"/>
                      <w:bottom w:val="outset" w:sz="4" w:space="0" w:color="auto"/>
                      <w:right w:val="outset" w:sz="4" w:space="0" w:color="auto"/>
                    </w:tcBorders>
                  </w:tcPr>
                  <w:p w:rsidR="00106552" w:rsidRDefault="00106552" w:rsidP="00106552">
                    <w:pPr>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106552" w:rsidRDefault="00106552" w:rsidP="00106552">
                    <w:pPr>
                      <w:jc w:val="right"/>
                      <w:rPr>
                        <w:szCs w:val="21"/>
                      </w:rPr>
                    </w:pPr>
                    <w:r>
                      <w:t>37,622,973</w:t>
                    </w:r>
                  </w:p>
                </w:tc>
                <w:tc>
                  <w:tcPr>
                    <w:tcW w:w="1114" w:type="pct"/>
                    <w:tcBorders>
                      <w:top w:val="outset" w:sz="4" w:space="0" w:color="auto"/>
                      <w:left w:val="outset" w:sz="4" w:space="0" w:color="auto"/>
                      <w:bottom w:val="outset" w:sz="4" w:space="0" w:color="auto"/>
                      <w:right w:val="outset" w:sz="4" w:space="0" w:color="auto"/>
                    </w:tcBorders>
                    <w:vAlign w:val="center"/>
                  </w:tcPr>
                  <w:p w:rsidR="00106552" w:rsidRDefault="00106552" w:rsidP="00106552">
                    <w:pPr>
                      <w:jc w:val="right"/>
                      <w:rPr>
                        <w:szCs w:val="21"/>
                      </w:rPr>
                    </w:pPr>
                    <w:r>
                      <w:t>18,205,498</w:t>
                    </w:r>
                  </w:p>
                </w:tc>
              </w:tr>
              <w:tr w:rsidR="00106552" w:rsidTr="00601D47">
                <w:sdt>
                  <w:sdtPr>
                    <w:tag w:val="_PLD_0fdb803ff73e4cb3a7327f20fbf392c4"/>
                    <w:id w:val="-1424870140"/>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106552" w:rsidRDefault="00106552" w:rsidP="00106552">
                        <w:pPr>
                          <w:ind w:firstLineChars="100" w:firstLine="210"/>
                          <w:rPr>
                            <w:color w:val="000000"/>
                            <w:szCs w:val="21"/>
                          </w:rPr>
                        </w:pPr>
                        <w:r>
                          <w:rPr>
                            <w:rFonts w:hint="eastAsia"/>
                            <w:szCs w:val="21"/>
                          </w:rPr>
                          <w:t>减：营业外支出</w:t>
                        </w:r>
                      </w:p>
                    </w:tc>
                  </w:sdtContent>
                </w:sdt>
                <w:tc>
                  <w:tcPr>
                    <w:tcW w:w="838" w:type="pct"/>
                    <w:tcBorders>
                      <w:top w:val="outset" w:sz="4" w:space="0" w:color="auto"/>
                      <w:left w:val="outset" w:sz="4" w:space="0" w:color="auto"/>
                      <w:bottom w:val="outset" w:sz="4" w:space="0" w:color="auto"/>
                      <w:right w:val="outset" w:sz="4" w:space="0" w:color="auto"/>
                    </w:tcBorders>
                  </w:tcPr>
                  <w:p w:rsidR="00106552" w:rsidRDefault="00106552" w:rsidP="00106552">
                    <w:pPr>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106552" w:rsidRDefault="00106552" w:rsidP="00106552">
                    <w:pPr>
                      <w:jc w:val="right"/>
                      <w:rPr>
                        <w:szCs w:val="21"/>
                      </w:rPr>
                    </w:pPr>
                    <w:r>
                      <w:t>126,827,768</w:t>
                    </w:r>
                  </w:p>
                </w:tc>
                <w:tc>
                  <w:tcPr>
                    <w:tcW w:w="1114" w:type="pct"/>
                    <w:tcBorders>
                      <w:top w:val="outset" w:sz="4" w:space="0" w:color="auto"/>
                      <w:left w:val="outset" w:sz="4" w:space="0" w:color="auto"/>
                      <w:bottom w:val="outset" w:sz="4" w:space="0" w:color="auto"/>
                      <w:right w:val="outset" w:sz="4" w:space="0" w:color="auto"/>
                    </w:tcBorders>
                    <w:vAlign w:val="center"/>
                  </w:tcPr>
                  <w:p w:rsidR="00106552" w:rsidRDefault="00106552" w:rsidP="00106552">
                    <w:pPr>
                      <w:jc w:val="right"/>
                      <w:rPr>
                        <w:szCs w:val="21"/>
                      </w:rPr>
                    </w:pPr>
                    <w:r>
                      <w:t>123,645,551</w:t>
                    </w:r>
                  </w:p>
                </w:tc>
              </w:tr>
              <w:tr w:rsidR="00106552" w:rsidTr="00601D47">
                <w:sdt>
                  <w:sdtPr>
                    <w:tag w:val="_PLD_72748ed96a49412f8c1d796e288dfd66"/>
                    <w:id w:val="1455443861"/>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106552" w:rsidRDefault="00106552" w:rsidP="00106552">
                        <w:pPr>
                          <w:ind w:left="-19"/>
                          <w:rPr>
                            <w:color w:val="000000"/>
                            <w:szCs w:val="21"/>
                          </w:rPr>
                        </w:pPr>
                        <w:r>
                          <w:rPr>
                            <w:rFonts w:hint="eastAsia"/>
                            <w:szCs w:val="21"/>
                          </w:rPr>
                          <w:t>三、利润总额（亏损总额以“－”号填列）</w:t>
                        </w:r>
                      </w:p>
                    </w:tc>
                  </w:sdtContent>
                </w:sdt>
                <w:tc>
                  <w:tcPr>
                    <w:tcW w:w="838" w:type="pct"/>
                    <w:tcBorders>
                      <w:top w:val="outset" w:sz="4" w:space="0" w:color="auto"/>
                      <w:left w:val="outset" w:sz="4" w:space="0" w:color="auto"/>
                      <w:bottom w:val="outset" w:sz="4" w:space="0" w:color="auto"/>
                      <w:right w:val="outset" w:sz="4" w:space="0" w:color="auto"/>
                    </w:tcBorders>
                  </w:tcPr>
                  <w:p w:rsidR="00106552" w:rsidRDefault="00106552" w:rsidP="00106552">
                    <w:pPr>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106552" w:rsidRDefault="00106552" w:rsidP="00106552">
                    <w:pPr>
                      <w:jc w:val="right"/>
                      <w:rPr>
                        <w:szCs w:val="21"/>
                      </w:rPr>
                    </w:pPr>
                    <w:r>
                      <w:t>14,036,744,848</w:t>
                    </w:r>
                  </w:p>
                </w:tc>
                <w:tc>
                  <w:tcPr>
                    <w:tcW w:w="1114" w:type="pct"/>
                    <w:tcBorders>
                      <w:top w:val="outset" w:sz="4" w:space="0" w:color="auto"/>
                      <w:left w:val="outset" w:sz="4" w:space="0" w:color="auto"/>
                      <w:bottom w:val="outset" w:sz="4" w:space="0" w:color="auto"/>
                      <w:right w:val="outset" w:sz="4" w:space="0" w:color="auto"/>
                    </w:tcBorders>
                    <w:vAlign w:val="center"/>
                  </w:tcPr>
                  <w:p w:rsidR="00106552" w:rsidRDefault="00106552" w:rsidP="00106552">
                    <w:pPr>
                      <w:jc w:val="right"/>
                      <w:rPr>
                        <w:szCs w:val="21"/>
                      </w:rPr>
                    </w:pPr>
                    <w:r>
                      <w:t>15,453,852,609</w:t>
                    </w:r>
                  </w:p>
                </w:tc>
              </w:tr>
              <w:tr w:rsidR="00106552" w:rsidTr="00601D47">
                <w:sdt>
                  <w:sdtPr>
                    <w:tag w:val="_PLD_3f95f22f00bd49debae1612500281454"/>
                    <w:id w:val="-1817255739"/>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106552" w:rsidRDefault="00106552" w:rsidP="00106552">
                        <w:pPr>
                          <w:ind w:left="-19" w:firstLineChars="200" w:firstLine="420"/>
                          <w:rPr>
                            <w:color w:val="000000"/>
                            <w:szCs w:val="21"/>
                          </w:rPr>
                        </w:pPr>
                        <w:r>
                          <w:rPr>
                            <w:rFonts w:hint="eastAsia"/>
                            <w:szCs w:val="21"/>
                          </w:rPr>
                          <w:t>减：所得税费用</w:t>
                        </w:r>
                      </w:p>
                    </w:tc>
                  </w:sdtContent>
                </w:sdt>
                <w:tc>
                  <w:tcPr>
                    <w:tcW w:w="838" w:type="pct"/>
                    <w:tcBorders>
                      <w:top w:val="outset" w:sz="4" w:space="0" w:color="auto"/>
                      <w:left w:val="outset" w:sz="4" w:space="0" w:color="auto"/>
                      <w:bottom w:val="outset" w:sz="4" w:space="0" w:color="auto"/>
                      <w:right w:val="outset" w:sz="4" w:space="0" w:color="auto"/>
                    </w:tcBorders>
                  </w:tcPr>
                  <w:p w:rsidR="00106552" w:rsidRDefault="00106552" w:rsidP="00106552">
                    <w:pPr>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106552" w:rsidRDefault="00106552" w:rsidP="00106552">
                    <w:pPr>
                      <w:jc w:val="right"/>
                      <w:rPr>
                        <w:szCs w:val="21"/>
                      </w:rPr>
                    </w:pPr>
                    <w:r>
                      <w:t>3,130,288,997</w:t>
                    </w:r>
                  </w:p>
                </w:tc>
                <w:tc>
                  <w:tcPr>
                    <w:tcW w:w="1114" w:type="pct"/>
                    <w:tcBorders>
                      <w:top w:val="outset" w:sz="4" w:space="0" w:color="auto"/>
                      <w:left w:val="outset" w:sz="4" w:space="0" w:color="auto"/>
                      <w:bottom w:val="outset" w:sz="4" w:space="0" w:color="auto"/>
                      <w:right w:val="outset" w:sz="4" w:space="0" w:color="auto"/>
                    </w:tcBorders>
                    <w:vAlign w:val="center"/>
                  </w:tcPr>
                  <w:p w:rsidR="00106552" w:rsidRDefault="00106552" w:rsidP="00106552">
                    <w:pPr>
                      <w:jc w:val="right"/>
                      <w:rPr>
                        <w:szCs w:val="21"/>
                      </w:rPr>
                    </w:pPr>
                    <w:r>
                      <w:t>3,576,833,282</w:t>
                    </w:r>
                  </w:p>
                </w:tc>
              </w:tr>
              <w:tr w:rsidR="004E4403" w:rsidTr="00601D47">
                <w:sdt>
                  <w:sdtPr>
                    <w:tag w:val="_PLD_081dfbfb287344a7a297df1ef46d4b28"/>
                    <w:id w:val="-2048900133"/>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4E4403" w:rsidRDefault="004E4403" w:rsidP="004E4403">
                        <w:pPr>
                          <w:ind w:left="-19"/>
                          <w:rPr>
                            <w:color w:val="000000"/>
                            <w:szCs w:val="21"/>
                          </w:rPr>
                        </w:pPr>
                        <w:r>
                          <w:rPr>
                            <w:rFonts w:hint="eastAsia"/>
                            <w:szCs w:val="21"/>
                          </w:rPr>
                          <w:t>四、净利润（净亏损以“－”号填列）</w:t>
                        </w:r>
                      </w:p>
                    </w:tc>
                  </w:sdtContent>
                </w:sdt>
                <w:tc>
                  <w:tcPr>
                    <w:tcW w:w="838" w:type="pct"/>
                    <w:tcBorders>
                      <w:top w:val="outset" w:sz="4" w:space="0" w:color="auto"/>
                      <w:left w:val="outset" w:sz="4" w:space="0" w:color="auto"/>
                      <w:bottom w:val="outset" w:sz="4" w:space="0" w:color="auto"/>
                      <w:right w:val="outset" w:sz="4" w:space="0" w:color="auto"/>
                    </w:tcBorders>
                  </w:tcPr>
                  <w:p w:rsidR="004E4403" w:rsidRDefault="004E4403" w:rsidP="004E4403">
                    <w:pPr>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4E4403" w:rsidRDefault="004E4403" w:rsidP="004E4403">
                    <w:pPr>
                      <w:jc w:val="right"/>
                      <w:rPr>
                        <w:szCs w:val="21"/>
                      </w:rPr>
                    </w:pPr>
                    <w:r>
                      <w:t>10,906,455,851</w:t>
                    </w:r>
                  </w:p>
                </w:tc>
                <w:tc>
                  <w:tcPr>
                    <w:tcW w:w="1114" w:type="pct"/>
                    <w:tcBorders>
                      <w:top w:val="outset" w:sz="4" w:space="0" w:color="auto"/>
                      <w:left w:val="outset" w:sz="4" w:space="0" w:color="auto"/>
                      <w:bottom w:val="outset" w:sz="4" w:space="0" w:color="auto"/>
                      <w:right w:val="outset" w:sz="4" w:space="0" w:color="auto"/>
                    </w:tcBorders>
                    <w:vAlign w:val="center"/>
                  </w:tcPr>
                  <w:p w:rsidR="004E4403" w:rsidRDefault="004E4403" w:rsidP="004E4403">
                    <w:pPr>
                      <w:jc w:val="right"/>
                      <w:rPr>
                        <w:szCs w:val="21"/>
                      </w:rPr>
                    </w:pPr>
                    <w:r>
                      <w:t>11,877,019,327</w:t>
                    </w:r>
                  </w:p>
                </w:tc>
              </w:tr>
              <w:tr w:rsidR="004E4403" w:rsidTr="00601D47">
                <w:sdt>
                  <w:sdtPr>
                    <w:tag w:val="_PLD_84c8130acf934eae8cbf12d79a6f1849"/>
                    <w:id w:val="-1588069884"/>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4E4403" w:rsidRDefault="004E4403" w:rsidP="004E4403">
                        <w:pPr>
                          <w:ind w:firstLineChars="108" w:firstLine="227"/>
                        </w:pPr>
                        <w:r>
                          <w:rPr>
                            <w:rFonts w:hint="eastAsia"/>
                            <w:szCs w:val="21"/>
                          </w:rPr>
                          <w:t>（一）</w:t>
                        </w:r>
                        <w:r>
                          <w:t>持续经营净利润（净亏损以“－”号填列）</w:t>
                        </w:r>
                      </w:p>
                    </w:tc>
                  </w:sdtContent>
                </w:sdt>
                <w:tc>
                  <w:tcPr>
                    <w:tcW w:w="838" w:type="pct"/>
                    <w:tcBorders>
                      <w:top w:val="outset" w:sz="4" w:space="0" w:color="auto"/>
                      <w:left w:val="outset" w:sz="4" w:space="0" w:color="auto"/>
                      <w:bottom w:val="outset" w:sz="4" w:space="0" w:color="auto"/>
                      <w:right w:val="outset" w:sz="4" w:space="0" w:color="auto"/>
                    </w:tcBorders>
                  </w:tcPr>
                  <w:p w:rsidR="004E4403" w:rsidRDefault="004E4403" w:rsidP="004E4403">
                    <w:pPr>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4E4403" w:rsidRDefault="004E4403" w:rsidP="004E4403">
                    <w:pPr>
                      <w:jc w:val="right"/>
                      <w:rPr>
                        <w:szCs w:val="21"/>
                      </w:rPr>
                    </w:pPr>
                    <w:r>
                      <w:t>10,906,455,851</w:t>
                    </w:r>
                  </w:p>
                </w:tc>
                <w:tc>
                  <w:tcPr>
                    <w:tcW w:w="1114" w:type="pct"/>
                    <w:tcBorders>
                      <w:top w:val="outset" w:sz="4" w:space="0" w:color="auto"/>
                      <w:left w:val="outset" w:sz="4" w:space="0" w:color="auto"/>
                      <w:bottom w:val="outset" w:sz="4" w:space="0" w:color="auto"/>
                      <w:right w:val="outset" w:sz="4" w:space="0" w:color="auto"/>
                    </w:tcBorders>
                    <w:vAlign w:val="center"/>
                  </w:tcPr>
                  <w:p w:rsidR="004E4403" w:rsidRDefault="004E4403" w:rsidP="004E4403">
                    <w:pPr>
                      <w:jc w:val="right"/>
                      <w:rPr>
                        <w:szCs w:val="21"/>
                      </w:rPr>
                    </w:pPr>
                    <w:r>
                      <w:t>11,877,019,327</w:t>
                    </w:r>
                  </w:p>
                </w:tc>
              </w:tr>
              <w:tr w:rsidR="004E4403" w:rsidTr="00A67D4D">
                <w:sdt>
                  <w:sdtPr>
                    <w:rPr>
                      <w:rFonts w:hint="eastAsia"/>
                    </w:rPr>
                    <w:tag w:val="_PLD_c21798e8f64a4d18a4ff3dcbcdca3010"/>
                    <w:id w:val="627130273"/>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4E4403" w:rsidRDefault="004E4403" w:rsidP="004E4403">
                        <w:pPr>
                          <w:ind w:firstLineChars="108" w:firstLine="227"/>
                        </w:pPr>
                        <w:r>
                          <w:rPr>
                            <w:rFonts w:hint="eastAsia"/>
                          </w:rPr>
                          <w:t>（二）终止经营净利润（净亏损以“－”号填列）</w:t>
                        </w:r>
                      </w:p>
                    </w:tc>
                  </w:sdtContent>
                </w:sdt>
                <w:tc>
                  <w:tcPr>
                    <w:tcW w:w="838" w:type="pct"/>
                    <w:tcBorders>
                      <w:top w:val="outset" w:sz="4" w:space="0" w:color="auto"/>
                      <w:left w:val="outset" w:sz="4" w:space="0" w:color="auto"/>
                      <w:bottom w:val="outset" w:sz="4" w:space="0" w:color="auto"/>
                      <w:right w:val="outset" w:sz="4" w:space="0" w:color="auto"/>
                    </w:tcBorders>
                  </w:tcPr>
                  <w:p w:rsidR="004E4403" w:rsidRDefault="004E4403" w:rsidP="004E4403">
                    <w:pPr>
                      <w:rPr>
                        <w:szCs w:val="21"/>
                      </w:rPr>
                    </w:pPr>
                  </w:p>
                </w:tc>
                <w:tc>
                  <w:tcPr>
                    <w:tcW w:w="1110" w:type="pct"/>
                    <w:tcBorders>
                      <w:top w:val="outset" w:sz="4" w:space="0" w:color="auto"/>
                      <w:left w:val="outset" w:sz="4" w:space="0" w:color="auto"/>
                      <w:bottom w:val="outset" w:sz="4" w:space="0" w:color="auto"/>
                      <w:right w:val="outset" w:sz="4" w:space="0" w:color="auto"/>
                    </w:tcBorders>
                  </w:tcPr>
                  <w:p w:rsidR="004E4403" w:rsidRDefault="004E4403" w:rsidP="004E4403">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4E4403" w:rsidRDefault="004E4403" w:rsidP="004E4403">
                    <w:pPr>
                      <w:jc w:val="right"/>
                      <w:rPr>
                        <w:szCs w:val="21"/>
                      </w:rPr>
                    </w:pPr>
                  </w:p>
                </w:tc>
              </w:tr>
              <w:tr w:rsidR="004E4403" w:rsidTr="00601D47">
                <w:sdt>
                  <w:sdtPr>
                    <w:tag w:val="_PLD_def7206cc31b415e9336bbf8771bf079"/>
                    <w:id w:val="-494492647"/>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4E4403" w:rsidRDefault="004E4403" w:rsidP="004E4403">
                        <w:pPr>
                          <w:ind w:leftChars="-19" w:hangingChars="19" w:hanging="40"/>
                          <w:rPr>
                            <w:szCs w:val="21"/>
                          </w:rPr>
                        </w:pPr>
                        <w:r>
                          <w:rPr>
                            <w:rFonts w:hint="eastAsia"/>
                            <w:szCs w:val="21"/>
                          </w:rPr>
                          <w:t>五、其他综合收益的税后净额</w:t>
                        </w:r>
                      </w:p>
                    </w:tc>
                  </w:sdtContent>
                </w:sdt>
                <w:tc>
                  <w:tcPr>
                    <w:tcW w:w="838" w:type="pct"/>
                    <w:tcBorders>
                      <w:top w:val="outset" w:sz="4" w:space="0" w:color="auto"/>
                      <w:left w:val="outset" w:sz="4" w:space="0" w:color="auto"/>
                      <w:bottom w:val="outset" w:sz="4" w:space="0" w:color="auto"/>
                      <w:right w:val="outset" w:sz="4" w:space="0" w:color="auto"/>
                    </w:tcBorders>
                  </w:tcPr>
                  <w:p w:rsidR="004E4403" w:rsidRDefault="004E4403" w:rsidP="004E4403">
                    <w:pPr>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4E4403" w:rsidRDefault="004E4403" w:rsidP="004E4403">
                    <w:pPr>
                      <w:jc w:val="right"/>
                      <w:rPr>
                        <w:szCs w:val="21"/>
                      </w:rPr>
                    </w:pPr>
                    <w:r>
                      <w:rPr>
                        <w:rFonts w:hint="eastAsia"/>
                      </w:rPr>
                      <w:t>-</w:t>
                    </w:r>
                    <w:r>
                      <w:t>93,092,001</w:t>
                    </w:r>
                  </w:p>
                </w:tc>
                <w:tc>
                  <w:tcPr>
                    <w:tcW w:w="1114" w:type="pct"/>
                    <w:tcBorders>
                      <w:top w:val="outset" w:sz="4" w:space="0" w:color="auto"/>
                      <w:left w:val="outset" w:sz="4" w:space="0" w:color="auto"/>
                      <w:bottom w:val="outset" w:sz="4" w:space="0" w:color="auto"/>
                      <w:right w:val="outset" w:sz="4" w:space="0" w:color="auto"/>
                    </w:tcBorders>
                    <w:vAlign w:val="center"/>
                  </w:tcPr>
                  <w:p w:rsidR="004E4403" w:rsidRDefault="004E4403" w:rsidP="004E4403">
                    <w:pPr>
                      <w:jc w:val="right"/>
                      <w:rPr>
                        <w:szCs w:val="21"/>
                      </w:rPr>
                    </w:pPr>
                    <w:r>
                      <w:rPr>
                        <w:rFonts w:hint="eastAsia"/>
                      </w:rPr>
                      <w:t>-</w:t>
                    </w:r>
                    <w:r>
                      <w:t>93,332,890</w:t>
                    </w:r>
                  </w:p>
                </w:tc>
              </w:tr>
              <w:tr w:rsidR="004E4403" w:rsidTr="00601D47">
                <w:sdt>
                  <w:sdtPr>
                    <w:tag w:val="_PLD_678d78cb79b143eda21d77b8b82eb405"/>
                    <w:id w:val="-408072415"/>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4E4403" w:rsidRDefault="004E4403" w:rsidP="004E4403">
                        <w:pPr>
                          <w:ind w:firstLineChars="100" w:firstLine="210"/>
                          <w:rPr>
                            <w:szCs w:val="21"/>
                          </w:rPr>
                        </w:pPr>
                        <w:r>
                          <w:rPr>
                            <w:rFonts w:hint="eastAsia"/>
                            <w:szCs w:val="21"/>
                          </w:rPr>
                          <w:t>（一）不能重分类进损益的其他综合收益</w:t>
                        </w:r>
                      </w:p>
                    </w:tc>
                  </w:sdtContent>
                </w:sdt>
                <w:tc>
                  <w:tcPr>
                    <w:tcW w:w="838" w:type="pct"/>
                    <w:tcBorders>
                      <w:top w:val="outset" w:sz="4" w:space="0" w:color="auto"/>
                      <w:left w:val="outset" w:sz="4" w:space="0" w:color="auto"/>
                      <w:bottom w:val="outset" w:sz="4" w:space="0" w:color="auto"/>
                      <w:right w:val="outset" w:sz="4" w:space="0" w:color="auto"/>
                    </w:tcBorders>
                  </w:tcPr>
                  <w:p w:rsidR="004E4403" w:rsidRDefault="004E4403" w:rsidP="004E4403">
                    <w:pPr>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4E4403" w:rsidRDefault="004E4403" w:rsidP="004E4403">
                    <w:pPr>
                      <w:jc w:val="right"/>
                      <w:rPr>
                        <w:szCs w:val="21"/>
                      </w:rPr>
                    </w:pPr>
                    <w:r>
                      <w:t>-93,092,001</w:t>
                    </w:r>
                  </w:p>
                </w:tc>
                <w:tc>
                  <w:tcPr>
                    <w:tcW w:w="1114" w:type="pct"/>
                    <w:tcBorders>
                      <w:top w:val="outset" w:sz="4" w:space="0" w:color="auto"/>
                      <w:left w:val="outset" w:sz="4" w:space="0" w:color="auto"/>
                      <w:bottom w:val="outset" w:sz="4" w:space="0" w:color="auto"/>
                      <w:right w:val="outset" w:sz="4" w:space="0" w:color="auto"/>
                    </w:tcBorders>
                    <w:vAlign w:val="center"/>
                  </w:tcPr>
                  <w:p w:rsidR="004E4403" w:rsidRDefault="004E4403" w:rsidP="004E4403">
                    <w:pPr>
                      <w:jc w:val="right"/>
                      <w:rPr>
                        <w:szCs w:val="21"/>
                      </w:rPr>
                    </w:pPr>
                    <w:r>
                      <w:t>-93,332,890</w:t>
                    </w:r>
                  </w:p>
                </w:tc>
              </w:tr>
              <w:tr w:rsidR="00487202" w:rsidTr="00601D47">
                <w:sdt>
                  <w:sdtPr>
                    <w:tag w:val="_PLD_b4507744845347d5a7ddb6cb1d271871"/>
                    <w:id w:val="1193501108"/>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487202" w:rsidRDefault="00487202" w:rsidP="00487202">
                        <w:pPr>
                          <w:ind w:firstLineChars="200" w:firstLine="420"/>
                          <w:rPr>
                            <w:szCs w:val="21"/>
                          </w:rPr>
                        </w:pPr>
                        <w:r>
                          <w:rPr>
                            <w:szCs w:val="21"/>
                          </w:rPr>
                          <w:t>1.重新计量设定受益计划变动额</w:t>
                        </w:r>
                      </w:p>
                    </w:tc>
                  </w:sdtContent>
                </w:sdt>
                <w:tc>
                  <w:tcPr>
                    <w:tcW w:w="838" w:type="pct"/>
                    <w:tcBorders>
                      <w:top w:val="outset" w:sz="4" w:space="0" w:color="auto"/>
                      <w:left w:val="outset" w:sz="4" w:space="0" w:color="auto"/>
                      <w:bottom w:val="outset" w:sz="4" w:space="0" w:color="auto"/>
                      <w:right w:val="outset" w:sz="4" w:space="0" w:color="auto"/>
                    </w:tcBorders>
                  </w:tcPr>
                  <w:p w:rsidR="00487202" w:rsidRDefault="00487202" w:rsidP="00487202">
                    <w:pPr>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487202" w:rsidRDefault="00487202" w:rsidP="00487202">
                    <w:pPr>
                      <w:jc w:val="right"/>
                      <w:rPr>
                        <w:szCs w:val="21"/>
                      </w:rPr>
                    </w:pPr>
                    <w:r>
                      <w:rPr>
                        <w:rFonts w:hint="eastAsia"/>
                      </w:rPr>
                      <w:t>-</w:t>
                    </w:r>
                    <w:r>
                      <w:t>92,130,126</w:t>
                    </w:r>
                  </w:p>
                </w:tc>
                <w:tc>
                  <w:tcPr>
                    <w:tcW w:w="1114" w:type="pct"/>
                    <w:tcBorders>
                      <w:top w:val="outset" w:sz="4" w:space="0" w:color="auto"/>
                      <w:left w:val="outset" w:sz="4" w:space="0" w:color="auto"/>
                      <w:bottom w:val="outset" w:sz="4" w:space="0" w:color="auto"/>
                      <w:right w:val="outset" w:sz="4" w:space="0" w:color="auto"/>
                    </w:tcBorders>
                    <w:vAlign w:val="center"/>
                  </w:tcPr>
                  <w:p w:rsidR="00487202" w:rsidRDefault="00487202" w:rsidP="00487202">
                    <w:pPr>
                      <w:jc w:val="right"/>
                      <w:rPr>
                        <w:szCs w:val="21"/>
                      </w:rPr>
                    </w:pPr>
                    <w:r>
                      <w:rPr>
                        <w:rFonts w:hint="eastAsia"/>
                      </w:rPr>
                      <w:t>-</w:t>
                    </w:r>
                    <w:r>
                      <w:t>92,050,390</w:t>
                    </w:r>
                  </w:p>
                </w:tc>
              </w:tr>
              <w:tr w:rsidR="00487202" w:rsidTr="00A67D4D">
                <w:sdt>
                  <w:sdtPr>
                    <w:tag w:val="_PLD_2d4afbe307044420b1bee0e63190ef5e"/>
                    <w:id w:val="1335798263"/>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487202" w:rsidRDefault="00487202" w:rsidP="00487202">
                        <w:pPr>
                          <w:ind w:firstLineChars="200" w:firstLine="420"/>
                          <w:rPr>
                            <w:szCs w:val="21"/>
                          </w:rPr>
                        </w:pPr>
                        <w:r>
                          <w:rPr>
                            <w:szCs w:val="21"/>
                          </w:rPr>
                          <w:t>2.权益法下不能转损益的其他综合收益</w:t>
                        </w:r>
                      </w:p>
                    </w:tc>
                  </w:sdtContent>
                </w:sdt>
                <w:tc>
                  <w:tcPr>
                    <w:tcW w:w="838" w:type="pct"/>
                    <w:tcBorders>
                      <w:top w:val="outset" w:sz="4" w:space="0" w:color="auto"/>
                      <w:left w:val="outset" w:sz="4" w:space="0" w:color="auto"/>
                      <w:bottom w:val="outset" w:sz="4" w:space="0" w:color="auto"/>
                      <w:right w:val="outset" w:sz="4" w:space="0" w:color="auto"/>
                    </w:tcBorders>
                  </w:tcPr>
                  <w:p w:rsidR="00487202" w:rsidRDefault="00487202" w:rsidP="00487202">
                    <w:pPr>
                      <w:rPr>
                        <w:szCs w:val="21"/>
                      </w:rPr>
                    </w:pPr>
                  </w:p>
                </w:tc>
                <w:tc>
                  <w:tcPr>
                    <w:tcW w:w="1110" w:type="pct"/>
                    <w:tcBorders>
                      <w:top w:val="outset" w:sz="4" w:space="0" w:color="auto"/>
                      <w:left w:val="outset" w:sz="4" w:space="0" w:color="auto"/>
                      <w:bottom w:val="outset" w:sz="4" w:space="0" w:color="auto"/>
                      <w:right w:val="outset" w:sz="4" w:space="0" w:color="auto"/>
                    </w:tcBorders>
                  </w:tcPr>
                  <w:p w:rsidR="00487202" w:rsidRDefault="00487202" w:rsidP="00487202">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487202" w:rsidRDefault="00487202" w:rsidP="00487202">
                    <w:pPr>
                      <w:jc w:val="right"/>
                      <w:rPr>
                        <w:szCs w:val="21"/>
                      </w:rPr>
                    </w:pPr>
                  </w:p>
                </w:tc>
              </w:tr>
              <w:tr w:rsidR="00487202" w:rsidTr="00601D47">
                <w:tc>
                  <w:tcPr>
                    <w:tcW w:w="1938" w:type="pct"/>
                    <w:tcBorders>
                      <w:top w:val="outset" w:sz="4" w:space="0" w:color="auto"/>
                      <w:left w:val="outset" w:sz="4" w:space="0" w:color="auto"/>
                      <w:bottom w:val="outset" w:sz="4" w:space="0" w:color="auto"/>
                      <w:right w:val="outset" w:sz="4" w:space="0" w:color="auto"/>
                    </w:tcBorders>
                    <w:vAlign w:val="center"/>
                  </w:tcPr>
                  <w:sdt>
                    <w:sdtPr>
                      <w:tag w:val="_PLD_1ab23fe3f5fb4d2e99bba5f949df64c9"/>
                      <w:id w:val="-1622688724"/>
                      <w:lock w:val="sdtLocked"/>
                    </w:sdtPr>
                    <w:sdtContent>
                      <w:p w:rsidR="00487202" w:rsidRDefault="00487202" w:rsidP="00487202">
                        <w:pPr>
                          <w:ind w:firstLineChars="200" w:firstLine="420"/>
                        </w:pPr>
                        <w:r>
                          <w:t>3.其他权益工具投资公允价值变动</w:t>
                        </w:r>
                      </w:p>
                    </w:sdtContent>
                  </w:sdt>
                </w:tc>
                <w:tc>
                  <w:tcPr>
                    <w:tcW w:w="838" w:type="pct"/>
                    <w:tcBorders>
                      <w:top w:val="outset" w:sz="4" w:space="0" w:color="auto"/>
                      <w:left w:val="outset" w:sz="4" w:space="0" w:color="auto"/>
                      <w:bottom w:val="outset" w:sz="4" w:space="0" w:color="auto"/>
                      <w:right w:val="outset" w:sz="4" w:space="0" w:color="auto"/>
                    </w:tcBorders>
                  </w:tcPr>
                  <w:p w:rsidR="00487202" w:rsidRDefault="00487202" w:rsidP="00487202">
                    <w:pPr>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487202" w:rsidRDefault="00487202" w:rsidP="00487202">
                    <w:pPr>
                      <w:jc w:val="right"/>
                      <w:rPr>
                        <w:szCs w:val="21"/>
                      </w:rPr>
                    </w:pPr>
                    <w:r>
                      <w:rPr>
                        <w:rFonts w:hint="eastAsia"/>
                      </w:rPr>
                      <w:t>-</w:t>
                    </w:r>
                    <w:r>
                      <w:t>961,875</w:t>
                    </w:r>
                  </w:p>
                </w:tc>
                <w:tc>
                  <w:tcPr>
                    <w:tcW w:w="1114" w:type="pct"/>
                    <w:tcBorders>
                      <w:top w:val="outset" w:sz="4" w:space="0" w:color="auto"/>
                      <w:left w:val="outset" w:sz="4" w:space="0" w:color="auto"/>
                      <w:bottom w:val="outset" w:sz="4" w:space="0" w:color="auto"/>
                      <w:right w:val="outset" w:sz="4" w:space="0" w:color="auto"/>
                    </w:tcBorders>
                    <w:vAlign w:val="center"/>
                  </w:tcPr>
                  <w:p w:rsidR="00487202" w:rsidRDefault="00487202" w:rsidP="00487202">
                    <w:pPr>
                      <w:jc w:val="right"/>
                      <w:rPr>
                        <w:szCs w:val="21"/>
                      </w:rPr>
                    </w:pPr>
                    <w:r>
                      <w:rPr>
                        <w:rFonts w:hint="eastAsia"/>
                      </w:rPr>
                      <w:t>-</w:t>
                    </w:r>
                    <w:r>
                      <w:t>1,282,500</w:t>
                    </w:r>
                  </w:p>
                </w:tc>
              </w:tr>
              <w:tr w:rsidR="00487202" w:rsidTr="00A67D4D">
                <w:tc>
                  <w:tcPr>
                    <w:tcW w:w="1938" w:type="pct"/>
                    <w:tcBorders>
                      <w:top w:val="outset" w:sz="4" w:space="0" w:color="auto"/>
                      <w:left w:val="outset" w:sz="4" w:space="0" w:color="auto"/>
                      <w:bottom w:val="outset" w:sz="4" w:space="0" w:color="auto"/>
                      <w:right w:val="outset" w:sz="4" w:space="0" w:color="auto"/>
                    </w:tcBorders>
                    <w:vAlign w:val="center"/>
                  </w:tcPr>
                  <w:sdt>
                    <w:sdtPr>
                      <w:tag w:val="_PLD_abea2d90d8ff45378fbf0448a4edfb34"/>
                      <w:id w:val="-1329365935"/>
                      <w:lock w:val="sdtLocked"/>
                    </w:sdtPr>
                    <w:sdtContent>
                      <w:p w:rsidR="00487202" w:rsidRDefault="00487202" w:rsidP="00487202">
                        <w:pPr>
                          <w:ind w:firstLineChars="200" w:firstLine="420"/>
                        </w:pPr>
                        <w:r>
                          <w:t>4.企业自身信用风险公允价值变动</w:t>
                        </w:r>
                      </w:p>
                    </w:sdtContent>
                  </w:sdt>
                </w:tc>
                <w:tc>
                  <w:tcPr>
                    <w:tcW w:w="838" w:type="pct"/>
                    <w:tcBorders>
                      <w:top w:val="outset" w:sz="4" w:space="0" w:color="auto"/>
                      <w:left w:val="outset" w:sz="4" w:space="0" w:color="auto"/>
                      <w:bottom w:val="outset" w:sz="4" w:space="0" w:color="auto"/>
                      <w:right w:val="outset" w:sz="4" w:space="0" w:color="auto"/>
                    </w:tcBorders>
                  </w:tcPr>
                  <w:p w:rsidR="00487202" w:rsidRDefault="00487202" w:rsidP="00487202">
                    <w:pPr>
                      <w:rPr>
                        <w:szCs w:val="21"/>
                      </w:rPr>
                    </w:pPr>
                  </w:p>
                </w:tc>
                <w:tc>
                  <w:tcPr>
                    <w:tcW w:w="1110" w:type="pct"/>
                    <w:tcBorders>
                      <w:top w:val="outset" w:sz="4" w:space="0" w:color="auto"/>
                      <w:left w:val="outset" w:sz="4" w:space="0" w:color="auto"/>
                      <w:bottom w:val="outset" w:sz="4" w:space="0" w:color="auto"/>
                      <w:right w:val="outset" w:sz="4" w:space="0" w:color="auto"/>
                    </w:tcBorders>
                  </w:tcPr>
                  <w:p w:rsidR="00487202" w:rsidRDefault="00487202" w:rsidP="00487202">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487202" w:rsidRDefault="00487202" w:rsidP="00487202">
                    <w:pPr>
                      <w:jc w:val="right"/>
                      <w:rPr>
                        <w:szCs w:val="21"/>
                      </w:rPr>
                    </w:pPr>
                  </w:p>
                </w:tc>
              </w:tr>
              <w:tr w:rsidR="00487202" w:rsidTr="00A67D4D">
                <w:sdt>
                  <w:sdtPr>
                    <w:tag w:val="_PLD_d00e44a13bef4fa0a457e81da4156f5c"/>
                    <w:id w:val="-1535337780"/>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487202" w:rsidRDefault="00487202" w:rsidP="00487202">
                        <w:pPr>
                          <w:ind w:firstLineChars="100" w:firstLine="210"/>
                          <w:rPr>
                            <w:szCs w:val="21"/>
                          </w:rPr>
                        </w:pPr>
                        <w:r>
                          <w:rPr>
                            <w:rFonts w:hint="eastAsia"/>
                            <w:szCs w:val="21"/>
                          </w:rPr>
                          <w:t>（二）将重分类进损益的其他综合收益</w:t>
                        </w:r>
                      </w:p>
                    </w:tc>
                  </w:sdtContent>
                </w:sdt>
                <w:tc>
                  <w:tcPr>
                    <w:tcW w:w="838" w:type="pct"/>
                    <w:tcBorders>
                      <w:top w:val="outset" w:sz="4" w:space="0" w:color="auto"/>
                      <w:left w:val="outset" w:sz="4" w:space="0" w:color="auto"/>
                      <w:bottom w:val="outset" w:sz="4" w:space="0" w:color="auto"/>
                      <w:right w:val="outset" w:sz="4" w:space="0" w:color="auto"/>
                    </w:tcBorders>
                  </w:tcPr>
                  <w:p w:rsidR="00487202" w:rsidRDefault="00487202" w:rsidP="00487202">
                    <w:pPr>
                      <w:rPr>
                        <w:szCs w:val="21"/>
                      </w:rPr>
                    </w:pPr>
                  </w:p>
                </w:tc>
                <w:tc>
                  <w:tcPr>
                    <w:tcW w:w="1110" w:type="pct"/>
                    <w:tcBorders>
                      <w:top w:val="outset" w:sz="4" w:space="0" w:color="auto"/>
                      <w:left w:val="outset" w:sz="4" w:space="0" w:color="auto"/>
                      <w:bottom w:val="outset" w:sz="4" w:space="0" w:color="auto"/>
                      <w:right w:val="outset" w:sz="4" w:space="0" w:color="auto"/>
                    </w:tcBorders>
                  </w:tcPr>
                  <w:p w:rsidR="00487202" w:rsidRDefault="00487202" w:rsidP="00487202">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487202" w:rsidRDefault="00487202" w:rsidP="00487202">
                    <w:pPr>
                      <w:jc w:val="right"/>
                      <w:rPr>
                        <w:szCs w:val="21"/>
                      </w:rPr>
                    </w:pPr>
                  </w:p>
                </w:tc>
              </w:tr>
              <w:tr w:rsidR="00487202" w:rsidTr="00A67D4D">
                <w:sdt>
                  <w:sdtPr>
                    <w:tag w:val="_PLD_0e0457608e334038bbea3ead8c7f6e4e"/>
                    <w:id w:val="609783704"/>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487202" w:rsidRDefault="00487202" w:rsidP="00487202">
                        <w:pPr>
                          <w:ind w:firstLineChars="200" w:firstLine="420"/>
                          <w:rPr>
                            <w:szCs w:val="21"/>
                          </w:rPr>
                        </w:pPr>
                        <w:r>
                          <w:rPr>
                            <w:szCs w:val="21"/>
                          </w:rPr>
                          <w:t>1.权益法下可转损益的其他综合收益</w:t>
                        </w:r>
                      </w:p>
                    </w:tc>
                  </w:sdtContent>
                </w:sdt>
                <w:tc>
                  <w:tcPr>
                    <w:tcW w:w="838" w:type="pct"/>
                    <w:tcBorders>
                      <w:top w:val="outset" w:sz="4" w:space="0" w:color="auto"/>
                      <w:left w:val="outset" w:sz="4" w:space="0" w:color="auto"/>
                      <w:bottom w:val="outset" w:sz="4" w:space="0" w:color="auto"/>
                      <w:right w:val="outset" w:sz="4" w:space="0" w:color="auto"/>
                    </w:tcBorders>
                  </w:tcPr>
                  <w:p w:rsidR="00487202" w:rsidRDefault="00487202" w:rsidP="00487202">
                    <w:pPr>
                      <w:rPr>
                        <w:szCs w:val="21"/>
                      </w:rPr>
                    </w:pPr>
                  </w:p>
                </w:tc>
                <w:tc>
                  <w:tcPr>
                    <w:tcW w:w="1110" w:type="pct"/>
                    <w:tcBorders>
                      <w:top w:val="outset" w:sz="4" w:space="0" w:color="auto"/>
                      <w:left w:val="outset" w:sz="4" w:space="0" w:color="auto"/>
                      <w:bottom w:val="outset" w:sz="4" w:space="0" w:color="auto"/>
                      <w:right w:val="outset" w:sz="4" w:space="0" w:color="auto"/>
                    </w:tcBorders>
                  </w:tcPr>
                  <w:p w:rsidR="00487202" w:rsidRDefault="00487202" w:rsidP="00487202">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487202" w:rsidRDefault="00487202" w:rsidP="00487202">
                    <w:pPr>
                      <w:jc w:val="right"/>
                      <w:rPr>
                        <w:szCs w:val="21"/>
                      </w:rPr>
                    </w:pPr>
                  </w:p>
                </w:tc>
              </w:tr>
              <w:tr w:rsidR="00487202" w:rsidTr="00A67D4D">
                <w:tc>
                  <w:tcPr>
                    <w:tcW w:w="1938" w:type="pct"/>
                    <w:tcBorders>
                      <w:top w:val="outset" w:sz="4" w:space="0" w:color="auto"/>
                      <w:left w:val="outset" w:sz="4" w:space="0" w:color="auto"/>
                      <w:bottom w:val="outset" w:sz="4" w:space="0" w:color="auto"/>
                      <w:right w:val="outset" w:sz="4" w:space="0" w:color="auto"/>
                    </w:tcBorders>
                    <w:vAlign w:val="center"/>
                  </w:tcPr>
                  <w:sdt>
                    <w:sdtPr>
                      <w:rPr>
                        <w:szCs w:val="21"/>
                      </w:rPr>
                      <w:tag w:val="_PLD_49768ae1f6844b65b5a0f506fe62dcae"/>
                      <w:id w:val="764801164"/>
                      <w:lock w:val="sdtLocked"/>
                    </w:sdtPr>
                    <w:sdtEndPr>
                      <w:rPr>
                        <w:szCs w:val="24"/>
                      </w:rPr>
                    </w:sdtEndPr>
                    <w:sdtContent>
                      <w:p w:rsidR="00487202" w:rsidRDefault="00487202" w:rsidP="00487202">
                        <w:pPr>
                          <w:ind w:firstLineChars="200" w:firstLine="420"/>
                        </w:pPr>
                        <w:r>
                          <w:rPr>
                            <w:szCs w:val="21"/>
                          </w:rPr>
                          <w:t>2.</w:t>
                        </w:r>
                        <w:r>
                          <w:t>其他债权投资公允价值变动</w:t>
                        </w:r>
                      </w:p>
                    </w:sdtContent>
                  </w:sdt>
                </w:tc>
                <w:tc>
                  <w:tcPr>
                    <w:tcW w:w="838" w:type="pct"/>
                    <w:tcBorders>
                      <w:top w:val="outset" w:sz="4" w:space="0" w:color="auto"/>
                      <w:left w:val="outset" w:sz="4" w:space="0" w:color="auto"/>
                      <w:bottom w:val="outset" w:sz="4" w:space="0" w:color="auto"/>
                      <w:right w:val="outset" w:sz="4" w:space="0" w:color="auto"/>
                    </w:tcBorders>
                  </w:tcPr>
                  <w:p w:rsidR="00487202" w:rsidRDefault="00487202" w:rsidP="00487202">
                    <w:pPr>
                      <w:rPr>
                        <w:szCs w:val="21"/>
                      </w:rPr>
                    </w:pPr>
                  </w:p>
                </w:tc>
                <w:tc>
                  <w:tcPr>
                    <w:tcW w:w="1110" w:type="pct"/>
                    <w:tcBorders>
                      <w:top w:val="outset" w:sz="4" w:space="0" w:color="auto"/>
                      <w:left w:val="outset" w:sz="4" w:space="0" w:color="auto"/>
                      <w:bottom w:val="outset" w:sz="4" w:space="0" w:color="auto"/>
                      <w:right w:val="outset" w:sz="4" w:space="0" w:color="auto"/>
                    </w:tcBorders>
                  </w:tcPr>
                  <w:p w:rsidR="00487202" w:rsidRDefault="00487202" w:rsidP="00487202">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487202" w:rsidRDefault="00487202" w:rsidP="00487202">
                    <w:pPr>
                      <w:jc w:val="right"/>
                      <w:rPr>
                        <w:szCs w:val="21"/>
                      </w:rPr>
                    </w:pPr>
                  </w:p>
                </w:tc>
              </w:tr>
              <w:tr w:rsidR="00487202" w:rsidTr="00A67D4D">
                <w:tc>
                  <w:tcPr>
                    <w:tcW w:w="1938" w:type="pct"/>
                    <w:tcBorders>
                      <w:top w:val="outset" w:sz="4" w:space="0" w:color="auto"/>
                      <w:left w:val="outset" w:sz="4" w:space="0" w:color="auto"/>
                      <w:bottom w:val="outset" w:sz="4" w:space="0" w:color="auto"/>
                      <w:right w:val="outset" w:sz="4" w:space="0" w:color="auto"/>
                    </w:tcBorders>
                    <w:vAlign w:val="center"/>
                  </w:tcPr>
                  <w:sdt>
                    <w:sdtPr>
                      <w:tag w:val="_PLD_bb13f12adaea41d7a1dc99b71aea9b5b"/>
                      <w:id w:val="1369411887"/>
                      <w:lock w:val="sdtLocked"/>
                    </w:sdtPr>
                    <w:sdtContent>
                      <w:p w:rsidR="00487202" w:rsidRDefault="00487202" w:rsidP="00487202">
                        <w:pPr>
                          <w:ind w:firstLineChars="200" w:firstLine="420"/>
                        </w:pPr>
                        <w:r>
                          <w:t>3.金融资产重分类计入其他综合收益的金额</w:t>
                        </w:r>
                      </w:p>
                    </w:sdtContent>
                  </w:sdt>
                </w:tc>
                <w:tc>
                  <w:tcPr>
                    <w:tcW w:w="838" w:type="pct"/>
                    <w:tcBorders>
                      <w:top w:val="outset" w:sz="4" w:space="0" w:color="auto"/>
                      <w:left w:val="outset" w:sz="4" w:space="0" w:color="auto"/>
                      <w:bottom w:val="outset" w:sz="4" w:space="0" w:color="auto"/>
                      <w:right w:val="outset" w:sz="4" w:space="0" w:color="auto"/>
                    </w:tcBorders>
                  </w:tcPr>
                  <w:p w:rsidR="00487202" w:rsidRDefault="00487202" w:rsidP="00487202">
                    <w:pPr>
                      <w:rPr>
                        <w:szCs w:val="21"/>
                      </w:rPr>
                    </w:pPr>
                  </w:p>
                </w:tc>
                <w:tc>
                  <w:tcPr>
                    <w:tcW w:w="1110" w:type="pct"/>
                    <w:tcBorders>
                      <w:top w:val="outset" w:sz="4" w:space="0" w:color="auto"/>
                      <w:left w:val="outset" w:sz="4" w:space="0" w:color="auto"/>
                      <w:bottom w:val="outset" w:sz="4" w:space="0" w:color="auto"/>
                      <w:right w:val="outset" w:sz="4" w:space="0" w:color="auto"/>
                    </w:tcBorders>
                  </w:tcPr>
                  <w:p w:rsidR="00487202" w:rsidRDefault="00487202" w:rsidP="00487202">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487202" w:rsidRDefault="00487202" w:rsidP="00487202">
                    <w:pPr>
                      <w:jc w:val="right"/>
                      <w:rPr>
                        <w:szCs w:val="21"/>
                      </w:rPr>
                    </w:pPr>
                  </w:p>
                </w:tc>
              </w:tr>
              <w:tr w:rsidR="00487202" w:rsidTr="00A67D4D">
                <w:tc>
                  <w:tcPr>
                    <w:tcW w:w="1938" w:type="pct"/>
                    <w:tcBorders>
                      <w:top w:val="outset" w:sz="4" w:space="0" w:color="auto"/>
                      <w:left w:val="outset" w:sz="4" w:space="0" w:color="auto"/>
                      <w:bottom w:val="outset" w:sz="4" w:space="0" w:color="auto"/>
                      <w:right w:val="outset" w:sz="4" w:space="0" w:color="auto"/>
                    </w:tcBorders>
                    <w:vAlign w:val="center"/>
                  </w:tcPr>
                  <w:sdt>
                    <w:sdtPr>
                      <w:tag w:val="_PLD_fe94406153bf40de8d9b744461e28099"/>
                      <w:id w:val="1635446260"/>
                      <w:lock w:val="sdtLocked"/>
                    </w:sdtPr>
                    <w:sdtContent>
                      <w:p w:rsidR="00487202" w:rsidRDefault="00487202" w:rsidP="00487202">
                        <w:pPr>
                          <w:ind w:firstLineChars="200" w:firstLine="420"/>
                        </w:pPr>
                        <w:r>
                          <w:t>4.其他债权投资信用减值准备</w:t>
                        </w:r>
                      </w:p>
                    </w:sdtContent>
                  </w:sdt>
                </w:tc>
                <w:tc>
                  <w:tcPr>
                    <w:tcW w:w="838" w:type="pct"/>
                    <w:tcBorders>
                      <w:top w:val="outset" w:sz="4" w:space="0" w:color="auto"/>
                      <w:left w:val="outset" w:sz="4" w:space="0" w:color="auto"/>
                      <w:bottom w:val="outset" w:sz="4" w:space="0" w:color="auto"/>
                      <w:right w:val="outset" w:sz="4" w:space="0" w:color="auto"/>
                    </w:tcBorders>
                  </w:tcPr>
                  <w:p w:rsidR="00487202" w:rsidRDefault="00487202" w:rsidP="00487202">
                    <w:pPr>
                      <w:rPr>
                        <w:szCs w:val="21"/>
                      </w:rPr>
                    </w:pPr>
                  </w:p>
                </w:tc>
                <w:tc>
                  <w:tcPr>
                    <w:tcW w:w="1110" w:type="pct"/>
                    <w:tcBorders>
                      <w:top w:val="outset" w:sz="4" w:space="0" w:color="auto"/>
                      <w:left w:val="outset" w:sz="4" w:space="0" w:color="auto"/>
                      <w:bottom w:val="outset" w:sz="4" w:space="0" w:color="auto"/>
                      <w:right w:val="outset" w:sz="4" w:space="0" w:color="auto"/>
                    </w:tcBorders>
                  </w:tcPr>
                  <w:p w:rsidR="00487202" w:rsidRDefault="00487202" w:rsidP="00487202">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487202" w:rsidRDefault="00487202" w:rsidP="00487202">
                    <w:pPr>
                      <w:jc w:val="right"/>
                      <w:rPr>
                        <w:szCs w:val="21"/>
                      </w:rPr>
                    </w:pPr>
                  </w:p>
                </w:tc>
              </w:tr>
              <w:tr w:rsidR="00487202" w:rsidTr="00A67D4D">
                <w:tc>
                  <w:tcPr>
                    <w:tcW w:w="1938" w:type="pct"/>
                    <w:tcBorders>
                      <w:top w:val="outset" w:sz="4" w:space="0" w:color="auto"/>
                      <w:left w:val="outset" w:sz="4" w:space="0" w:color="auto"/>
                      <w:bottom w:val="outset" w:sz="4" w:space="0" w:color="auto"/>
                      <w:right w:val="outset" w:sz="4" w:space="0" w:color="auto"/>
                    </w:tcBorders>
                    <w:vAlign w:val="center"/>
                  </w:tcPr>
                  <w:sdt>
                    <w:sdtPr>
                      <w:tag w:val="_PLD_38a56d130a464815ad321892534e8d2b"/>
                      <w:id w:val="-1828428732"/>
                      <w:lock w:val="sdtLocked"/>
                    </w:sdtPr>
                    <w:sdtContent>
                      <w:p w:rsidR="00487202" w:rsidRDefault="00487202" w:rsidP="00487202">
                        <w:pPr>
                          <w:ind w:firstLineChars="200" w:firstLine="420"/>
                        </w:pPr>
                        <w:r>
                          <w:t>5.现金流量套期储备</w:t>
                        </w:r>
                      </w:p>
                    </w:sdtContent>
                  </w:sdt>
                </w:tc>
                <w:tc>
                  <w:tcPr>
                    <w:tcW w:w="838" w:type="pct"/>
                    <w:tcBorders>
                      <w:top w:val="outset" w:sz="4" w:space="0" w:color="auto"/>
                      <w:left w:val="outset" w:sz="4" w:space="0" w:color="auto"/>
                      <w:bottom w:val="outset" w:sz="4" w:space="0" w:color="auto"/>
                      <w:right w:val="outset" w:sz="4" w:space="0" w:color="auto"/>
                    </w:tcBorders>
                  </w:tcPr>
                  <w:p w:rsidR="00487202" w:rsidRDefault="00487202" w:rsidP="00487202">
                    <w:pPr>
                      <w:rPr>
                        <w:szCs w:val="21"/>
                      </w:rPr>
                    </w:pPr>
                  </w:p>
                </w:tc>
                <w:tc>
                  <w:tcPr>
                    <w:tcW w:w="1110" w:type="pct"/>
                    <w:tcBorders>
                      <w:top w:val="outset" w:sz="4" w:space="0" w:color="auto"/>
                      <w:left w:val="outset" w:sz="4" w:space="0" w:color="auto"/>
                      <w:bottom w:val="outset" w:sz="4" w:space="0" w:color="auto"/>
                      <w:right w:val="outset" w:sz="4" w:space="0" w:color="auto"/>
                    </w:tcBorders>
                  </w:tcPr>
                  <w:p w:rsidR="00487202" w:rsidRDefault="00487202" w:rsidP="00487202">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487202" w:rsidRDefault="00487202" w:rsidP="00487202">
                    <w:pPr>
                      <w:jc w:val="right"/>
                      <w:rPr>
                        <w:szCs w:val="21"/>
                      </w:rPr>
                    </w:pPr>
                  </w:p>
                </w:tc>
              </w:tr>
              <w:tr w:rsidR="00487202" w:rsidTr="00A67D4D">
                <w:tc>
                  <w:tcPr>
                    <w:tcW w:w="1938" w:type="pct"/>
                    <w:tcBorders>
                      <w:top w:val="outset" w:sz="4" w:space="0" w:color="auto"/>
                      <w:left w:val="outset" w:sz="4" w:space="0" w:color="auto"/>
                      <w:bottom w:val="outset" w:sz="4" w:space="0" w:color="auto"/>
                      <w:right w:val="outset" w:sz="4" w:space="0" w:color="auto"/>
                    </w:tcBorders>
                    <w:vAlign w:val="center"/>
                  </w:tcPr>
                  <w:sdt>
                    <w:sdtPr>
                      <w:tag w:val="_PLD_dd6ccaef27ea479f9a8ae916e09fc2bd"/>
                      <w:id w:val="2109309963"/>
                      <w:lock w:val="sdtLocked"/>
                    </w:sdtPr>
                    <w:sdtContent>
                      <w:p w:rsidR="00487202" w:rsidRDefault="00487202" w:rsidP="00487202">
                        <w:pPr>
                          <w:ind w:firstLineChars="200" w:firstLine="420"/>
                        </w:pPr>
                        <w:r>
                          <w:t>6.外币财务报表折算差额</w:t>
                        </w:r>
                      </w:p>
                    </w:sdtContent>
                  </w:sdt>
                </w:tc>
                <w:tc>
                  <w:tcPr>
                    <w:tcW w:w="838" w:type="pct"/>
                    <w:tcBorders>
                      <w:top w:val="outset" w:sz="4" w:space="0" w:color="auto"/>
                      <w:left w:val="outset" w:sz="4" w:space="0" w:color="auto"/>
                      <w:bottom w:val="outset" w:sz="4" w:space="0" w:color="auto"/>
                      <w:right w:val="outset" w:sz="4" w:space="0" w:color="auto"/>
                    </w:tcBorders>
                  </w:tcPr>
                  <w:p w:rsidR="00487202" w:rsidRDefault="00487202" w:rsidP="00487202">
                    <w:pPr>
                      <w:rPr>
                        <w:szCs w:val="21"/>
                      </w:rPr>
                    </w:pPr>
                  </w:p>
                </w:tc>
                <w:tc>
                  <w:tcPr>
                    <w:tcW w:w="1110" w:type="pct"/>
                    <w:tcBorders>
                      <w:top w:val="outset" w:sz="4" w:space="0" w:color="auto"/>
                      <w:left w:val="outset" w:sz="4" w:space="0" w:color="auto"/>
                      <w:bottom w:val="outset" w:sz="4" w:space="0" w:color="auto"/>
                      <w:right w:val="outset" w:sz="4" w:space="0" w:color="auto"/>
                    </w:tcBorders>
                  </w:tcPr>
                  <w:p w:rsidR="00487202" w:rsidRDefault="00487202" w:rsidP="00487202">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487202" w:rsidRDefault="00487202" w:rsidP="00487202">
                    <w:pPr>
                      <w:jc w:val="right"/>
                      <w:rPr>
                        <w:szCs w:val="21"/>
                      </w:rPr>
                    </w:pPr>
                  </w:p>
                </w:tc>
              </w:tr>
              <w:tr w:rsidR="00487202" w:rsidTr="00A67D4D">
                <w:tc>
                  <w:tcPr>
                    <w:tcW w:w="1938" w:type="pct"/>
                    <w:tcBorders>
                      <w:top w:val="outset" w:sz="4" w:space="0" w:color="auto"/>
                      <w:left w:val="outset" w:sz="4" w:space="0" w:color="auto"/>
                      <w:bottom w:val="outset" w:sz="4" w:space="0" w:color="auto"/>
                      <w:right w:val="outset" w:sz="4" w:space="0" w:color="auto"/>
                    </w:tcBorders>
                    <w:vAlign w:val="center"/>
                  </w:tcPr>
                  <w:sdt>
                    <w:sdtPr>
                      <w:tag w:val="_PLD_dd832ab85f5b4f9a89fd7c302f167e62"/>
                      <w:id w:val="959296871"/>
                      <w:lock w:val="sdtLocked"/>
                    </w:sdtPr>
                    <w:sdtContent>
                      <w:p w:rsidR="00487202" w:rsidRDefault="00487202" w:rsidP="00487202">
                        <w:pPr>
                          <w:ind w:firstLineChars="200" w:firstLine="420"/>
                        </w:pPr>
                        <w:r>
                          <w:t>7.其他</w:t>
                        </w:r>
                      </w:p>
                    </w:sdtContent>
                  </w:sdt>
                </w:tc>
                <w:tc>
                  <w:tcPr>
                    <w:tcW w:w="838" w:type="pct"/>
                    <w:tcBorders>
                      <w:top w:val="outset" w:sz="4" w:space="0" w:color="auto"/>
                      <w:left w:val="outset" w:sz="4" w:space="0" w:color="auto"/>
                      <w:bottom w:val="outset" w:sz="4" w:space="0" w:color="auto"/>
                      <w:right w:val="outset" w:sz="4" w:space="0" w:color="auto"/>
                    </w:tcBorders>
                  </w:tcPr>
                  <w:p w:rsidR="00487202" w:rsidRDefault="00487202" w:rsidP="00487202">
                    <w:pPr>
                      <w:rPr>
                        <w:szCs w:val="21"/>
                      </w:rPr>
                    </w:pPr>
                  </w:p>
                </w:tc>
                <w:tc>
                  <w:tcPr>
                    <w:tcW w:w="1110" w:type="pct"/>
                    <w:tcBorders>
                      <w:top w:val="outset" w:sz="4" w:space="0" w:color="auto"/>
                      <w:left w:val="outset" w:sz="4" w:space="0" w:color="auto"/>
                      <w:bottom w:val="outset" w:sz="4" w:space="0" w:color="auto"/>
                      <w:right w:val="outset" w:sz="4" w:space="0" w:color="auto"/>
                    </w:tcBorders>
                  </w:tcPr>
                  <w:p w:rsidR="00487202" w:rsidRDefault="00487202" w:rsidP="00487202">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487202" w:rsidRDefault="00487202" w:rsidP="00487202">
                    <w:pPr>
                      <w:jc w:val="right"/>
                      <w:rPr>
                        <w:szCs w:val="21"/>
                      </w:rPr>
                    </w:pPr>
                  </w:p>
                </w:tc>
              </w:tr>
              <w:tr w:rsidR="00487202" w:rsidTr="00601D47">
                <w:sdt>
                  <w:sdtPr>
                    <w:tag w:val="_PLD_328c0f44a99b412d91d1d2a8552832c4"/>
                    <w:id w:val="1827479270"/>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487202" w:rsidRDefault="00487202" w:rsidP="00487202">
                        <w:pPr>
                          <w:ind w:left="-19"/>
                          <w:rPr>
                            <w:szCs w:val="21"/>
                          </w:rPr>
                        </w:pPr>
                        <w:r>
                          <w:rPr>
                            <w:rFonts w:hint="eastAsia"/>
                            <w:szCs w:val="21"/>
                          </w:rPr>
                          <w:t>六、综合收益总额</w:t>
                        </w:r>
                      </w:p>
                    </w:tc>
                  </w:sdtContent>
                </w:sdt>
                <w:tc>
                  <w:tcPr>
                    <w:tcW w:w="838" w:type="pct"/>
                    <w:tcBorders>
                      <w:top w:val="outset" w:sz="4" w:space="0" w:color="auto"/>
                      <w:left w:val="outset" w:sz="4" w:space="0" w:color="auto"/>
                      <w:bottom w:val="outset" w:sz="4" w:space="0" w:color="auto"/>
                      <w:right w:val="outset" w:sz="4" w:space="0" w:color="auto"/>
                    </w:tcBorders>
                  </w:tcPr>
                  <w:p w:rsidR="00487202" w:rsidRDefault="00487202" w:rsidP="00487202">
                    <w:pPr>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487202" w:rsidRDefault="00487202" w:rsidP="00487202">
                    <w:pPr>
                      <w:jc w:val="right"/>
                      <w:rPr>
                        <w:szCs w:val="21"/>
                      </w:rPr>
                    </w:pPr>
                    <w:r>
                      <w:t>10,813,363,850</w:t>
                    </w:r>
                  </w:p>
                </w:tc>
                <w:tc>
                  <w:tcPr>
                    <w:tcW w:w="1114" w:type="pct"/>
                    <w:tcBorders>
                      <w:top w:val="outset" w:sz="4" w:space="0" w:color="auto"/>
                      <w:left w:val="outset" w:sz="4" w:space="0" w:color="auto"/>
                      <w:bottom w:val="outset" w:sz="4" w:space="0" w:color="auto"/>
                      <w:right w:val="outset" w:sz="4" w:space="0" w:color="auto"/>
                    </w:tcBorders>
                    <w:vAlign w:val="center"/>
                  </w:tcPr>
                  <w:p w:rsidR="00487202" w:rsidRDefault="00487202" w:rsidP="00487202">
                    <w:pPr>
                      <w:jc w:val="right"/>
                      <w:rPr>
                        <w:szCs w:val="21"/>
                      </w:rPr>
                    </w:pPr>
                    <w:r>
                      <w:t>11,783,686,437</w:t>
                    </w:r>
                  </w:p>
                </w:tc>
              </w:tr>
              <w:tr w:rsidR="00487202" w:rsidTr="00713F20">
                <w:sdt>
                  <w:sdtPr>
                    <w:tag w:val="_PLD_3b0447fd122e4105bde5cc49acaea414"/>
                    <w:id w:val="-350181331"/>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487202" w:rsidRDefault="00487202" w:rsidP="00487202">
                        <w:pPr>
                          <w:rPr>
                            <w:szCs w:val="21"/>
                          </w:rPr>
                        </w:pPr>
                        <w:r>
                          <w:rPr>
                            <w:rFonts w:hint="eastAsia"/>
                            <w:szCs w:val="21"/>
                          </w:rPr>
                          <w:t>七</w:t>
                        </w:r>
                        <w:r>
                          <w:rPr>
                            <w:szCs w:val="21"/>
                          </w:rPr>
                          <w:t>、每股收益：</w:t>
                        </w:r>
                      </w:p>
                    </w:tc>
                  </w:sdtContent>
                </w:sdt>
              </w:tr>
              <w:tr w:rsidR="00487202" w:rsidTr="00A67D4D">
                <w:sdt>
                  <w:sdtPr>
                    <w:tag w:val="_PLD_6a13c63375064e638db61d3d0d1116f4"/>
                    <w:id w:val="976574155"/>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487202" w:rsidRDefault="00487202" w:rsidP="00487202">
                        <w:pPr>
                          <w:ind w:left="-19" w:firstLineChars="200" w:firstLine="420"/>
                          <w:rPr>
                            <w:szCs w:val="21"/>
                          </w:rPr>
                        </w:pPr>
                        <w:r>
                          <w:rPr>
                            <w:szCs w:val="21"/>
                          </w:rPr>
                          <w:t>（一）基本每股收益</w:t>
                        </w:r>
                        <w:r>
                          <w:rPr>
                            <w:rFonts w:hint="eastAsia"/>
                            <w:szCs w:val="21"/>
                          </w:rPr>
                          <w:t>(元/股)</w:t>
                        </w:r>
                      </w:p>
                    </w:tc>
                  </w:sdtContent>
                </w:sdt>
                <w:tc>
                  <w:tcPr>
                    <w:tcW w:w="838" w:type="pct"/>
                    <w:tcBorders>
                      <w:top w:val="outset" w:sz="4" w:space="0" w:color="auto"/>
                      <w:left w:val="outset" w:sz="4" w:space="0" w:color="auto"/>
                      <w:bottom w:val="outset" w:sz="4" w:space="0" w:color="auto"/>
                      <w:right w:val="outset" w:sz="4" w:space="0" w:color="auto"/>
                    </w:tcBorders>
                  </w:tcPr>
                  <w:p w:rsidR="00487202" w:rsidRDefault="00487202" w:rsidP="00487202">
                    <w:pPr>
                      <w:rPr>
                        <w:szCs w:val="21"/>
                      </w:rPr>
                    </w:pPr>
                  </w:p>
                </w:tc>
                <w:tc>
                  <w:tcPr>
                    <w:tcW w:w="1110" w:type="pct"/>
                    <w:tcBorders>
                      <w:top w:val="outset" w:sz="4" w:space="0" w:color="auto"/>
                      <w:left w:val="outset" w:sz="4" w:space="0" w:color="auto"/>
                      <w:bottom w:val="outset" w:sz="4" w:space="0" w:color="auto"/>
                      <w:right w:val="outset" w:sz="4" w:space="0" w:color="auto"/>
                    </w:tcBorders>
                  </w:tcPr>
                  <w:p w:rsidR="00487202" w:rsidRDefault="00487202" w:rsidP="00487202">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487202" w:rsidRDefault="00487202" w:rsidP="00487202">
                    <w:pPr>
                      <w:jc w:val="right"/>
                      <w:rPr>
                        <w:szCs w:val="21"/>
                      </w:rPr>
                    </w:pPr>
                  </w:p>
                </w:tc>
              </w:tr>
              <w:tr w:rsidR="00487202" w:rsidTr="00A67D4D">
                <w:sdt>
                  <w:sdtPr>
                    <w:tag w:val="_PLD_fee1b0c33eb3461690321c1ead900c77"/>
                    <w:id w:val="1953586141"/>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487202" w:rsidRDefault="00487202" w:rsidP="00487202">
                        <w:pPr>
                          <w:ind w:left="-19" w:firstLineChars="200" w:firstLine="420"/>
                          <w:rPr>
                            <w:szCs w:val="21"/>
                          </w:rPr>
                        </w:pPr>
                        <w:r>
                          <w:rPr>
                            <w:szCs w:val="21"/>
                          </w:rPr>
                          <w:t>（二）稀释每股收益</w:t>
                        </w:r>
                        <w:r>
                          <w:rPr>
                            <w:rFonts w:hint="eastAsia"/>
                            <w:szCs w:val="21"/>
                          </w:rPr>
                          <w:t>(元/股)</w:t>
                        </w:r>
                      </w:p>
                    </w:tc>
                  </w:sdtContent>
                </w:sdt>
                <w:tc>
                  <w:tcPr>
                    <w:tcW w:w="838" w:type="pct"/>
                    <w:tcBorders>
                      <w:top w:val="outset" w:sz="4" w:space="0" w:color="auto"/>
                      <w:left w:val="outset" w:sz="4" w:space="0" w:color="auto"/>
                      <w:bottom w:val="outset" w:sz="4" w:space="0" w:color="auto"/>
                      <w:right w:val="outset" w:sz="4" w:space="0" w:color="auto"/>
                    </w:tcBorders>
                  </w:tcPr>
                  <w:p w:rsidR="00487202" w:rsidRDefault="00487202" w:rsidP="00487202">
                    <w:pPr>
                      <w:rPr>
                        <w:szCs w:val="21"/>
                      </w:rPr>
                    </w:pPr>
                  </w:p>
                </w:tc>
                <w:tc>
                  <w:tcPr>
                    <w:tcW w:w="1110" w:type="pct"/>
                    <w:tcBorders>
                      <w:top w:val="outset" w:sz="4" w:space="0" w:color="auto"/>
                      <w:left w:val="outset" w:sz="4" w:space="0" w:color="auto"/>
                      <w:bottom w:val="outset" w:sz="4" w:space="0" w:color="auto"/>
                      <w:right w:val="outset" w:sz="4" w:space="0" w:color="auto"/>
                    </w:tcBorders>
                  </w:tcPr>
                  <w:p w:rsidR="00487202" w:rsidRDefault="00487202" w:rsidP="00487202">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487202" w:rsidRDefault="00487202" w:rsidP="00487202">
                    <w:pPr>
                      <w:jc w:val="right"/>
                      <w:rPr>
                        <w:szCs w:val="21"/>
                      </w:rPr>
                    </w:pPr>
                  </w:p>
                </w:tc>
              </w:tr>
            </w:tbl>
            <w:p w:rsidR="00806678" w:rsidRDefault="00806678"/>
            <w:p w:rsidR="00806678" w:rsidRDefault="00B16377">
              <w:pPr>
                <w:snapToGrid w:val="0"/>
                <w:spacing w:line="240" w:lineRule="atLeast"/>
                <w:ind w:rightChars="-73" w:right="-153"/>
                <w:rPr>
                  <w:rFonts w:cs="宋体-方正超大字符集"/>
                  <w:szCs w:val="21"/>
                </w:rPr>
              </w:pPr>
              <w:r>
                <w:rPr>
                  <w:rFonts w:hint="eastAsia"/>
                  <w:szCs w:val="21"/>
                </w:rPr>
                <w:t>公司负责</w:t>
              </w:r>
              <w:r>
                <w:rPr>
                  <w:szCs w:val="21"/>
                </w:rPr>
                <w:t>人</w:t>
              </w:r>
              <w:r>
                <w:rPr>
                  <w:rFonts w:hint="eastAsia"/>
                  <w:szCs w:val="21"/>
                </w:rPr>
                <w:t>：</w:t>
              </w:r>
              <w:sdt>
                <w:sdtPr>
                  <w:rPr>
                    <w:rFonts w:hint="eastAsia"/>
                    <w:szCs w:val="21"/>
                  </w:rPr>
                  <w:alias w:val="公司负责人姓名"/>
                  <w:tag w:val="_GBC_04fbc09e50eb44a79e1d4314733be4f9"/>
                  <w:id w:val="1674073291"/>
                  <w:lock w:val="sdtLocked"/>
                  <w:placeholder>
                    <w:docPart w:val="GBC22222222222222222222222222222"/>
                  </w:placeholder>
                  <w:dataBinding w:prefixMappings="xmlns:clcid-mr='clcid-mr'" w:xpath="/*/clcid-mr:GongSiFuZeRenXingMing[not(@periodRef)]" w:storeItemID="{89EBAB94-44A0-46A2-B712-30D997D04A6D}"/>
                  <w:text/>
                </w:sdtPr>
                <w:sdtContent>
                  <w:r w:rsidR="00413527">
                    <w:rPr>
                      <w:rFonts w:hint="eastAsia"/>
                      <w:szCs w:val="21"/>
                    </w:rPr>
                    <w:t xml:space="preserve">戴弘  </w:t>
                  </w:r>
                </w:sdtContent>
              </w:sdt>
              <w:r w:rsidR="00A45223">
                <w:rPr>
                  <w:rFonts w:hint="eastAsia"/>
                  <w:szCs w:val="21"/>
                </w:rPr>
                <w:t xml:space="preserve">总经理：韩洪臣  </w:t>
              </w:r>
              <w:r>
                <w:rPr>
                  <w:szCs w:val="21"/>
                </w:rPr>
                <w:t>主管会计工作负责人</w:t>
              </w:r>
              <w:r>
                <w:rPr>
                  <w:rFonts w:hint="eastAsia"/>
                  <w:szCs w:val="21"/>
                </w:rPr>
                <w:t>：</w:t>
              </w:r>
              <w:sdt>
                <w:sdtPr>
                  <w:rPr>
                    <w:rFonts w:hint="eastAsia"/>
                    <w:szCs w:val="21"/>
                  </w:rPr>
                  <w:alias w:val="主管会计工作负责人姓名"/>
                  <w:tag w:val="_GBC_37d9f750e6c04845b9e34ad6da976b56"/>
                  <w:id w:val="1431546115"/>
                  <w:lock w:val="sdtLocked"/>
                  <w:placeholder>
                    <w:docPart w:val="GBC22222222222222222222222222222"/>
                  </w:placeholder>
                  <w:dataBinding w:prefixMappings="xmlns:clcid-mr='clcid-mr'" w:xpath="/*/clcid-mr:ZhuGuanKuaiJiGongZuoFuZeRenXingMing[not(@periodRef)]" w:storeItemID="{89EBAB94-44A0-46A2-B712-30D997D04A6D}"/>
                  <w:text/>
                </w:sdtPr>
                <w:sdtContent>
                  <w:r w:rsidR="00AD579F">
                    <w:rPr>
                      <w:rFonts w:hint="eastAsia"/>
                      <w:szCs w:val="21"/>
                    </w:rPr>
                    <w:t>田惠民</w:t>
                  </w:r>
                </w:sdtContent>
              </w:sdt>
              <w:r>
                <w:rPr>
                  <w:rFonts w:hint="eastAsia"/>
                  <w:szCs w:val="21"/>
                </w:rPr>
                <w:t xml:space="preserve"> </w:t>
              </w:r>
              <w:r>
                <w:rPr>
                  <w:szCs w:val="21"/>
                </w:rPr>
                <w:t>会计机构负责人</w:t>
              </w:r>
              <w:r>
                <w:rPr>
                  <w:rFonts w:hint="eastAsia"/>
                  <w:szCs w:val="21"/>
                </w:rPr>
                <w:t>：</w:t>
              </w:r>
              <w:sdt>
                <w:sdtPr>
                  <w:rPr>
                    <w:rFonts w:hint="eastAsia"/>
                    <w:szCs w:val="21"/>
                  </w:rPr>
                  <w:alias w:val="会计机构负责人姓名"/>
                  <w:tag w:val="_GBC_b8515644d08d42edafc210cf569b9b08"/>
                  <w:id w:val="694896738"/>
                  <w:lock w:val="sdtLocked"/>
                  <w:placeholder>
                    <w:docPart w:val="GBC22222222222222222222222222222"/>
                  </w:placeholder>
                  <w:dataBinding w:prefixMappings="xmlns:clcid-mr='clcid-mr'" w:xpath="/*/clcid-mr:KuaiJiJiGouFuZeRenXingMing[not(@periodRef)]" w:storeItemID="{89EBAB94-44A0-46A2-B712-30D997D04A6D}"/>
                  <w:text/>
                </w:sdtPr>
                <w:sdtContent>
                  <w:r w:rsidR="00AD579F">
                    <w:rPr>
                      <w:rFonts w:hint="eastAsia"/>
                      <w:szCs w:val="21"/>
                    </w:rPr>
                    <w:t>孙洪涛</w:t>
                  </w:r>
                </w:sdtContent>
              </w:sdt>
            </w:p>
          </w:sdtContent>
        </w:sdt>
        <w:p w:rsidR="00806678" w:rsidRDefault="00F80B6C">
          <w:pPr>
            <w:rPr>
              <w:color w:val="FF0000"/>
              <w:szCs w:val="21"/>
            </w:rPr>
          </w:pPr>
        </w:p>
        <w:bookmarkEnd w:id="129" w:displacedByCustomXml="next"/>
      </w:sdtContent>
    </w:sdt>
    <w:p w:rsidR="00806678" w:rsidRDefault="00806678">
      <w:pPr>
        <w:rPr>
          <w:color w:val="FF0000"/>
          <w:szCs w:val="21"/>
        </w:rPr>
      </w:pPr>
    </w:p>
    <w:p w:rsidR="00FE7F64" w:rsidRDefault="00FE7F64">
      <w:pPr>
        <w:rPr>
          <w:color w:val="FF0000"/>
          <w:szCs w:val="21"/>
        </w:rPr>
        <w:sectPr w:rsidR="00FE7F64" w:rsidSect="007D5CB5">
          <w:pgSz w:w="11906" w:h="16838"/>
          <w:pgMar w:top="1525" w:right="1276" w:bottom="1440" w:left="1797" w:header="856" w:footer="992" w:gutter="0"/>
          <w:cols w:space="425"/>
          <w:docGrid w:linePitch="312"/>
        </w:sectPr>
      </w:pPr>
    </w:p>
    <w:p w:rsidR="00806678" w:rsidRDefault="00806678">
      <w:pPr>
        <w:rPr>
          <w:color w:val="FF0000"/>
          <w:szCs w:val="21"/>
        </w:rPr>
      </w:pPr>
    </w:p>
    <w:bookmarkStart w:id="130" w:name="_Hlk1156136" w:displacedByCustomXml="next"/>
    <w:sdt>
      <w:sdtPr>
        <w:rPr>
          <w:rFonts w:hint="eastAsia"/>
          <w:b/>
          <w:bCs/>
          <w:szCs w:val="21"/>
        </w:rPr>
        <w:alias w:val="选项模块:需要编制合并报表"/>
        <w:tag w:val="_GBC_d6533048a32749eaa7738390457b7f24"/>
        <w:id w:val="-1672328928"/>
        <w:lock w:val="sdtLocked"/>
        <w:placeholder>
          <w:docPart w:val="GBC22222222222222222222222222222"/>
        </w:placeholder>
      </w:sdtPr>
      <w:sdtContent>
        <w:sdt>
          <w:sdtPr>
            <w:rPr>
              <w:rFonts w:hint="eastAsia"/>
              <w:b/>
              <w:bCs/>
              <w:szCs w:val="21"/>
            </w:rPr>
            <w:tag w:val="_GBC_17c43da24c7845d3aa093910aeaf2348"/>
            <w:id w:val="1382902676"/>
            <w:lock w:val="sdtLocked"/>
            <w:placeholder>
              <w:docPart w:val="GBC22222222222222222222222222222"/>
            </w:placeholder>
          </w:sdtPr>
          <w:sdtEndPr>
            <w:rPr>
              <w:b w:val="0"/>
              <w:bCs w:val="0"/>
            </w:rPr>
          </w:sdtEndPr>
          <w:sdtContent>
            <w:p w:rsidR="00806678" w:rsidRDefault="00B16377">
              <w:pPr>
                <w:jc w:val="center"/>
                <w:outlineLvl w:val="2"/>
                <w:rPr>
                  <w:b/>
                  <w:bCs/>
                  <w:szCs w:val="21"/>
                </w:rPr>
              </w:pPr>
              <w:r>
                <w:rPr>
                  <w:rFonts w:hint="eastAsia"/>
                  <w:b/>
                  <w:bCs/>
                  <w:szCs w:val="21"/>
                </w:rPr>
                <w:t>合并</w:t>
              </w:r>
              <w:r>
                <w:rPr>
                  <w:b/>
                  <w:bCs/>
                  <w:szCs w:val="21"/>
                </w:rPr>
                <w:t>现金流量表</w:t>
              </w:r>
            </w:p>
            <w:p w:rsidR="00806678" w:rsidRDefault="00B16377">
              <w:pPr>
                <w:jc w:val="center"/>
                <w:rPr>
                  <w:b/>
                  <w:bCs/>
                  <w:szCs w:val="21"/>
                </w:rPr>
              </w:pPr>
              <w:r>
                <w:rPr>
                  <w:szCs w:val="21"/>
                </w:rPr>
                <w:t>2022年</w:t>
              </w:r>
              <w:r>
                <w:rPr>
                  <w:rFonts w:hint="eastAsia"/>
                  <w:szCs w:val="21"/>
                </w:rPr>
                <w:t>1—12</w:t>
              </w:r>
              <w:r>
                <w:rPr>
                  <w:szCs w:val="21"/>
                </w:rPr>
                <w:t>月</w:t>
              </w:r>
            </w:p>
            <w:p w:rsidR="00806678" w:rsidRDefault="00B16377">
              <w:pPr>
                <w:jc w:val="right"/>
                <w:rPr>
                  <w:szCs w:val="21"/>
                </w:rPr>
              </w:pPr>
              <w:r>
                <w:rPr>
                  <w:szCs w:val="21"/>
                </w:rPr>
                <w:t>单位</w:t>
              </w:r>
              <w:r>
                <w:rPr>
                  <w:rFonts w:hint="eastAsia"/>
                  <w:szCs w:val="21"/>
                </w:rPr>
                <w:t>：</w:t>
              </w:r>
              <w:sdt>
                <w:sdtPr>
                  <w:rPr>
                    <w:rFonts w:hint="eastAsia"/>
                    <w:szCs w:val="21"/>
                  </w:rPr>
                  <w:alias w:val="单位：合并现金流量表"/>
                  <w:tag w:val="_GBC_7049413ddb8f4e5eac9cb9fb4f802433"/>
                  <w:id w:val="49855341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r>
                <w:rPr>
                  <w:rFonts w:hint="eastAsia"/>
                  <w:szCs w:val="21"/>
                </w:rPr>
                <w:t>：</w:t>
              </w:r>
              <w:sdt>
                <w:sdtPr>
                  <w:rPr>
                    <w:rFonts w:hint="eastAsia"/>
                    <w:szCs w:val="21"/>
                  </w:rPr>
                  <w:alias w:val="币种：合并现金流量表"/>
                  <w:tag w:val="_GBC_5ab1c6e244484b228b8cdc6ee3840fd6"/>
                  <w:id w:val="-74618305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142"/>
                <w:gridCol w:w="1567"/>
                <w:gridCol w:w="2174"/>
                <w:gridCol w:w="2166"/>
              </w:tblGrid>
              <w:tr w:rsidR="00806678" w:rsidTr="00B83FF0">
                <w:tc>
                  <w:tcPr>
                    <w:tcW w:w="1736" w:type="pct"/>
                    <w:tcBorders>
                      <w:top w:val="outset" w:sz="4" w:space="0" w:color="auto"/>
                      <w:left w:val="outset" w:sz="4" w:space="0" w:color="auto"/>
                      <w:bottom w:val="outset" w:sz="4" w:space="0" w:color="auto"/>
                      <w:right w:val="outset" w:sz="4" w:space="0" w:color="auto"/>
                    </w:tcBorders>
                  </w:tcPr>
                  <w:sdt>
                    <w:sdtPr>
                      <w:rPr>
                        <w:rFonts w:hint="eastAsia"/>
                        <w:b/>
                      </w:rPr>
                      <w:tag w:val="_PLD_5a1e687815424d54a4dd8744648aa3cb"/>
                      <w:id w:val="-862746183"/>
                      <w:lock w:val="sdtLocked"/>
                    </w:sdtPr>
                    <w:sdtContent>
                      <w:p w:rsidR="00806678" w:rsidRDefault="00B16377">
                        <w:pPr>
                          <w:jc w:val="center"/>
                          <w:rPr>
                            <w:b/>
                          </w:rPr>
                        </w:pPr>
                        <w:r>
                          <w:rPr>
                            <w:rFonts w:hint="eastAsia"/>
                            <w:b/>
                          </w:rPr>
                          <w:t>项目</w:t>
                        </w:r>
                      </w:p>
                    </w:sdtContent>
                  </w:sdt>
                </w:tc>
                <w:tc>
                  <w:tcPr>
                    <w:tcW w:w="866" w:type="pct"/>
                    <w:tcBorders>
                      <w:top w:val="outset" w:sz="4" w:space="0" w:color="auto"/>
                      <w:left w:val="outset" w:sz="4" w:space="0" w:color="auto"/>
                      <w:bottom w:val="outset" w:sz="4" w:space="0" w:color="auto"/>
                      <w:right w:val="outset" w:sz="4" w:space="0" w:color="auto"/>
                    </w:tcBorders>
                  </w:tcPr>
                  <w:sdt>
                    <w:sdtPr>
                      <w:rPr>
                        <w:rFonts w:hint="eastAsia"/>
                        <w:b/>
                      </w:rPr>
                      <w:tag w:val="_PLD_3c902166982f4ea18b3f3d11c1fe2190"/>
                      <w:id w:val="-555856923"/>
                      <w:lock w:val="sdtLocked"/>
                    </w:sdtPr>
                    <w:sdtContent>
                      <w:p w:rsidR="00806678" w:rsidRDefault="00B16377">
                        <w:pPr>
                          <w:jc w:val="center"/>
                          <w:rPr>
                            <w:b/>
                          </w:rPr>
                        </w:pPr>
                        <w:r>
                          <w:rPr>
                            <w:rFonts w:hint="eastAsia"/>
                            <w:b/>
                          </w:rPr>
                          <w:t>附注</w:t>
                        </w:r>
                      </w:p>
                    </w:sdtContent>
                  </w:sdt>
                </w:tc>
                <w:tc>
                  <w:tcPr>
                    <w:tcW w:w="1201" w:type="pct"/>
                    <w:tcBorders>
                      <w:top w:val="outset" w:sz="4" w:space="0" w:color="auto"/>
                      <w:left w:val="outset" w:sz="4" w:space="0" w:color="auto"/>
                      <w:bottom w:val="outset" w:sz="4" w:space="0" w:color="auto"/>
                      <w:right w:val="outset" w:sz="4" w:space="0" w:color="auto"/>
                    </w:tcBorders>
                  </w:tcPr>
                  <w:sdt>
                    <w:sdtPr>
                      <w:rPr>
                        <w:rFonts w:hint="eastAsia"/>
                        <w:b/>
                      </w:rPr>
                      <w:tag w:val="_PLD_29a06cc719e5467e82013eb798ebb143"/>
                      <w:id w:val="-765005327"/>
                      <w:lock w:val="sdtLocked"/>
                    </w:sdtPr>
                    <w:sdtContent>
                      <w:p w:rsidR="00806678" w:rsidRDefault="00B16377">
                        <w:pPr>
                          <w:autoSpaceDE w:val="0"/>
                          <w:autoSpaceDN w:val="0"/>
                          <w:adjustRightInd w:val="0"/>
                          <w:jc w:val="center"/>
                          <w:rPr>
                            <w:b/>
                          </w:rPr>
                        </w:pPr>
                        <w:r>
                          <w:rPr>
                            <w:rFonts w:hint="eastAsia"/>
                            <w:b/>
                          </w:rPr>
                          <w:t>2022年度</w:t>
                        </w:r>
                      </w:p>
                    </w:sdtContent>
                  </w:sdt>
                </w:tc>
                <w:tc>
                  <w:tcPr>
                    <w:tcW w:w="1197" w:type="pct"/>
                    <w:tcBorders>
                      <w:top w:val="outset" w:sz="4" w:space="0" w:color="auto"/>
                      <w:left w:val="outset" w:sz="4" w:space="0" w:color="auto"/>
                      <w:bottom w:val="outset" w:sz="4" w:space="0" w:color="auto"/>
                      <w:right w:val="outset" w:sz="4" w:space="0" w:color="auto"/>
                    </w:tcBorders>
                  </w:tcPr>
                  <w:sdt>
                    <w:sdtPr>
                      <w:rPr>
                        <w:rFonts w:hint="eastAsia"/>
                        <w:b/>
                      </w:rPr>
                      <w:tag w:val="_PLD_0bd5effed8234e5eb21199f6669657c2"/>
                      <w:id w:val="459536008"/>
                      <w:lock w:val="sdtLocked"/>
                    </w:sdtPr>
                    <w:sdtContent>
                      <w:p w:rsidR="00806678" w:rsidRDefault="00B16377">
                        <w:pPr>
                          <w:autoSpaceDE w:val="0"/>
                          <w:autoSpaceDN w:val="0"/>
                          <w:adjustRightInd w:val="0"/>
                          <w:jc w:val="center"/>
                          <w:rPr>
                            <w:b/>
                          </w:rPr>
                        </w:pPr>
                        <w:r>
                          <w:rPr>
                            <w:rFonts w:hint="eastAsia"/>
                            <w:b/>
                          </w:rPr>
                          <w:t>2021年度</w:t>
                        </w:r>
                      </w:p>
                    </w:sdtContent>
                  </w:sdt>
                </w:tc>
              </w:tr>
              <w:tr w:rsidR="00806678" w:rsidTr="00713F20">
                <w:sdt>
                  <w:sdtPr>
                    <w:tag w:val="_PLD_c03c8258c1684fb989d96332af6834de"/>
                    <w:id w:val="-703855640"/>
                    <w:lock w:val="sdtLocked"/>
                  </w:sdtPr>
                  <w:sdtContent>
                    <w:tc>
                      <w:tcPr>
                        <w:tcW w:w="5000" w:type="pct"/>
                        <w:gridSpan w:val="4"/>
                        <w:tcBorders>
                          <w:top w:val="outset" w:sz="4" w:space="0" w:color="auto"/>
                          <w:left w:val="outset" w:sz="4" w:space="0" w:color="auto"/>
                          <w:bottom w:val="outset" w:sz="4" w:space="0" w:color="auto"/>
                          <w:right w:val="outset" w:sz="4" w:space="0" w:color="auto"/>
                        </w:tcBorders>
                      </w:tcPr>
                      <w:p w:rsidR="00806678" w:rsidRDefault="00B16377">
                        <w:pPr>
                          <w:rPr>
                            <w:szCs w:val="21"/>
                          </w:rPr>
                        </w:pPr>
                        <w:r>
                          <w:rPr>
                            <w:rFonts w:hint="eastAsia"/>
                            <w:b/>
                            <w:bCs/>
                            <w:szCs w:val="21"/>
                          </w:rPr>
                          <w:t>一、经营活动产生的现金流量：</w:t>
                        </w:r>
                      </w:p>
                    </w:tc>
                  </w:sdtContent>
                </w:sdt>
              </w:tr>
              <w:tr w:rsidR="00893D8A" w:rsidTr="00601D47">
                <w:sdt>
                  <w:sdtPr>
                    <w:tag w:val="_PLD_bb7e55e1cfcb4655808df7bda47d97ec"/>
                    <w:id w:val="814530362"/>
                    <w:lock w:val="sdtLocked"/>
                  </w:sdtPr>
                  <w:sdtContent>
                    <w:tc>
                      <w:tcPr>
                        <w:tcW w:w="1736" w:type="pct"/>
                        <w:tcBorders>
                          <w:top w:val="outset" w:sz="4" w:space="0" w:color="auto"/>
                          <w:left w:val="outset" w:sz="4" w:space="0" w:color="auto"/>
                          <w:bottom w:val="outset" w:sz="4" w:space="0" w:color="auto"/>
                          <w:right w:val="outset" w:sz="4" w:space="0" w:color="auto"/>
                        </w:tcBorders>
                      </w:tcPr>
                      <w:p w:rsidR="00893D8A" w:rsidRDefault="00893D8A" w:rsidP="00893D8A">
                        <w:pPr>
                          <w:ind w:firstLineChars="100" w:firstLine="210"/>
                          <w:rPr>
                            <w:color w:val="000000"/>
                            <w:szCs w:val="21"/>
                          </w:rPr>
                        </w:pPr>
                        <w:r>
                          <w:rPr>
                            <w:rFonts w:hint="eastAsia"/>
                            <w:szCs w:val="21"/>
                          </w:rPr>
                          <w:t>销售商品、提供劳务收到的现金</w:t>
                        </w:r>
                      </w:p>
                    </w:tc>
                  </w:sdtContent>
                </w:sdt>
                <w:tc>
                  <w:tcPr>
                    <w:tcW w:w="866" w:type="pct"/>
                    <w:tcBorders>
                      <w:top w:val="outset" w:sz="4" w:space="0" w:color="auto"/>
                      <w:left w:val="outset" w:sz="4" w:space="0" w:color="auto"/>
                      <w:bottom w:val="outset" w:sz="4" w:space="0" w:color="auto"/>
                      <w:right w:val="outset" w:sz="4" w:space="0" w:color="auto"/>
                    </w:tcBorders>
                  </w:tcPr>
                  <w:p w:rsidR="00893D8A" w:rsidRDefault="00893D8A" w:rsidP="00893D8A">
                    <w:pPr>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893D8A" w:rsidRDefault="00893D8A" w:rsidP="00893D8A">
                    <w:pPr>
                      <w:jc w:val="right"/>
                      <w:rPr>
                        <w:szCs w:val="21"/>
                      </w:rPr>
                    </w:pPr>
                    <w:r>
                      <w:t>53,829,654,082</w:t>
                    </w:r>
                  </w:p>
                </w:tc>
                <w:tc>
                  <w:tcPr>
                    <w:tcW w:w="1197" w:type="pct"/>
                    <w:tcBorders>
                      <w:top w:val="outset" w:sz="4" w:space="0" w:color="auto"/>
                      <w:left w:val="outset" w:sz="4" w:space="0" w:color="auto"/>
                      <w:bottom w:val="outset" w:sz="4" w:space="0" w:color="auto"/>
                      <w:right w:val="outset" w:sz="4" w:space="0" w:color="auto"/>
                    </w:tcBorders>
                    <w:vAlign w:val="center"/>
                  </w:tcPr>
                  <w:p w:rsidR="00893D8A" w:rsidRDefault="00893D8A" w:rsidP="00893D8A">
                    <w:pPr>
                      <w:jc w:val="right"/>
                      <w:rPr>
                        <w:szCs w:val="21"/>
                      </w:rPr>
                    </w:pPr>
                    <w:r>
                      <w:t>57,391,001,178</w:t>
                    </w:r>
                  </w:p>
                </w:tc>
              </w:tr>
              <w:tr w:rsidR="00893D8A" w:rsidTr="00B83FF0">
                <w:sdt>
                  <w:sdtPr>
                    <w:tag w:val="_PLD_ccd6a1da1ce04969ab94f3d191b3bb83"/>
                    <w:id w:val="1806436142"/>
                    <w:lock w:val="sdtLocked"/>
                  </w:sdtPr>
                  <w:sdtContent>
                    <w:tc>
                      <w:tcPr>
                        <w:tcW w:w="1736" w:type="pct"/>
                        <w:tcBorders>
                          <w:top w:val="outset" w:sz="4" w:space="0" w:color="auto"/>
                          <w:left w:val="outset" w:sz="4" w:space="0" w:color="auto"/>
                          <w:bottom w:val="outset" w:sz="4" w:space="0" w:color="auto"/>
                          <w:right w:val="outset" w:sz="4" w:space="0" w:color="auto"/>
                        </w:tcBorders>
                      </w:tcPr>
                      <w:p w:rsidR="00893D8A" w:rsidRDefault="00893D8A" w:rsidP="00893D8A">
                        <w:pPr>
                          <w:ind w:firstLineChars="100" w:firstLine="210"/>
                          <w:rPr>
                            <w:szCs w:val="21"/>
                          </w:rPr>
                        </w:pPr>
                        <w:r>
                          <w:rPr>
                            <w:rFonts w:hint="eastAsia"/>
                            <w:szCs w:val="21"/>
                          </w:rPr>
                          <w:t>客户存款和同业存放款项净增加额</w:t>
                        </w:r>
                      </w:p>
                    </w:tc>
                  </w:sdtContent>
                </w:sdt>
                <w:tc>
                  <w:tcPr>
                    <w:tcW w:w="866" w:type="pct"/>
                    <w:tcBorders>
                      <w:top w:val="outset" w:sz="4" w:space="0" w:color="auto"/>
                      <w:left w:val="outset" w:sz="4" w:space="0" w:color="auto"/>
                      <w:bottom w:val="outset" w:sz="4" w:space="0" w:color="auto"/>
                      <w:right w:val="outset" w:sz="4" w:space="0" w:color="auto"/>
                    </w:tcBorders>
                  </w:tcPr>
                  <w:p w:rsidR="00893D8A" w:rsidRDefault="00893D8A" w:rsidP="00893D8A">
                    <w:pPr>
                      <w:rPr>
                        <w:szCs w:val="21"/>
                      </w:rPr>
                    </w:pPr>
                  </w:p>
                </w:tc>
                <w:tc>
                  <w:tcPr>
                    <w:tcW w:w="1201" w:type="pct"/>
                    <w:tcBorders>
                      <w:top w:val="outset" w:sz="4" w:space="0" w:color="auto"/>
                      <w:left w:val="outset" w:sz="4" w:space="0" w:color="auto"/>
                      <w:bottom w:val="outset" w:sz="4" w:space="0" w:color="auto"/>
                      <w:right w:val="outset" w:sz="4" w:space="0" w:color="auto"/>
                    </w:tcBorders>
                  </w:tcPr>
                  <w:p w:rsidR="00893D8A" w:rsidRDefault="00893D8A" w:rsidP="00893D8A">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893D8A" w:rsidRDefault="00893D8A" w:rsidP="00893D8A">
                    <w:pPr>
                      <w:jc w:val="right"/>
                      <w:rPr>
                        <w:szCs w:val="21"/>
                      </w:rPr>
                    </w:pPr>
                  </w:p>
                </w:tc>
              </w:tr>
              <w:tr w:rsidR="00893D8A" w:rsidTr="00B83FF0">
                <w:sdt>
                  <w:sdtPr>
                    <w:tag w:val="_PLD_4e6146827638482e8d56c6d2250d1792"/>
                    <w:id w:val="-947766841"/>
                    <w:lock w:val="sdtLocked"/>
                  </w:sdtPr>
                  <w:sdtContent>
                    <w:tc>
                      <w:tcPr>
                        <w:tcW w:w="1736" w:type="pct"/>
                        <w:tcBorders>
                          <w:top w:val="outset" w:sz="4" w:space="0" w:color="auto"/>
                          <w:left w:val="outset" w:sz="4" w:space="0" w:color="auto"/>
                          <w:bottom w:val="outset" w:sz="4" w:space="0" w:color="auto"/>
                          <w:right w:val="outset" w:sz="4" w:space="0" w:color="auto"/>
                        </w:tcBorders>
                      </w:tcPr>
                      <w:p w:rsidR="00893D8A" w:rsidRDefault="00893D8A" w:rsidP="00893D8A">
                        <w:pPr>
                          <w:ind w:firstLineChars="100" w:firstLine="210"/>
                          <w:rPr>
                            <w:szCs w:val="21"/>
                          </w:rPr>
                        </w:pPr>
                        <w:r>
                          <w:rPr>
                            <w:rFonts w:hint="eastAsia"/>
                            <w:szCs w:val="21"/>
                          </w:rPr>
                          <w:t>向中央银行借款净增加额</w:t>
                        </w:r>
                      </w:p>
                    </w:tc>
                  </w:sdtContent>
                </w:sdt>
                <w:tc>
                  <w:tcPr>
                    <w:tcW w:w="866" w:type="pct"/>
                    <w:tcBorders>
                      <w:top w:val="outset" w:sz="4" w:space="0" w:color="auto"/>
                      <w:left w:val="outset" w:sz="4" w:space="0" w:color="auto"/>
                      <w:bottom w:val="outset" w:sz="4" w:space="0" w:color="auto"/>
                      <w:right w:val="outset" w:sz="4" w:space="0" w:color="auto"/>
                    </w:tcBorders>
                  </w:tcPr>
                  <w:p w:rsidR="00893D8A" w:rsidRDefault="00893D8A" w:rsidP="00893D8A">
                    <w:pPr>
                      <w:rPr>
                        <w:szCs w:val="21"/>
                      </w:rPr>
                    </w:pPr>
                  </w:p>
                </w:tc>
                <w:tc>
                  <w:tcPr>
                    <w:tcW w:w="1201" w:type="pct"/>
                    <w:tcBorders>
                      <w:top w:val="outset" w:sz="4" w:space="0" w:color="auto"/>
                      <w:left w:val="outset" w:sz="4" w:space="0" w:color="auto"/>
                      <w:bottom w:val="outset" w:sz="4" w:space="0" w:color="auto"/>
                      <w:right w:val="outset" w:sz="4" w:space="0" w:color="auto"/>
                    </w:tcBorders>
                  </w:tcPr>
                  <w:p w:rsidR="00893D8A" w:rsidRDefault="00893D8A" w:rsidP="00893D8A">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893D8A" w:rsidRDefault="00893D8A" w:rsidP="00893D8A">
                    <w:pPr>
                      <w:jc w:val="right"/>
                      <w:rPr>
                        <w:szCs w:val="21"/>
                      </w:rPr>
                    </w:pPr>
                  </w:p>
                </w:tc>
              </w:tr>
              <w:tr w:rsidR="00893D8A" w:rsidTr="00B83FF0">
                <w:sdt>
                  <w:sdtPr>
                    <w:tag w:val="_PLD_cc462c73e35f4efc9fdcb3be58aa752a"/>
                    <w:id w:val="-940214740"/>
                    <w:lock w:val="sdtLocked"/>
                  </w:sdtPr>
                  <w:sdtContent>
                    <w:tc>
                      <w:tcPr>
                        <w:tcW w:w="1736" w:type="pct"/>
                        <w:tcBorders>
                          <w:top w:val="outset" w:sz="4" w:space="0" w:color="auto"/>
                          <w:left w:val="outset" w:sz="4" w:space="0" w:color="auto"/>
                          <w:bottom w:val="outset" w:sz="4" w:space="0" w:color="auto"/>
                          <w:right w:val="outset" w:sz="4" w:space="0" w:color="auto"/>
                        </w:tcBorders>
                      </w:tcPr>
                      <w:p w:rsidR="00893D8A" w:rsidRDefault="00893D8A" w:rsidP="00893D8A">
                        <w:pPr>
                          <w:ind w:firstLineChars="100" w:firstLine="210"/>
                          <w:rPr>
                            <w:szCs w:val="21"/>
                          </w:rPr>
                        </w:pPr>
                        <w:r>
                          <w:rPr>
                            <w:rFonts w:hint="eastAsia"/>
                            <w:szCs w:val="21"/>
                          </w:rPr>
                          <w:t>向其他金融机构拆入资金净增加额</w:t>
                        </w:r>
                      </w:p>
                    </w:tc>
                  </w:sdtContent>
                </w:sdt>
                <w:tc>
                  <w:tcPr>
                    <w:tcW w:w="866" w:type="pct"/>
                    <w:tcBorders>
                      <w:top w:val="outset" w:sz="4" w:space="0" w:color="auto"/>
                      <w:left w:val="outset" w:sz="4" w:space="0" w:color="auto"/>
                      <w:bottom w:val="outset" w:sz="4" w:space="0" w:color="auto"/>
                      <w:right w:val="outset" w:sz="4" w:space="0" w:color="auto"/>
                    </w:tcBorders>
                  </w:tcPr>
                  <w:p w:rsidR="00893D8A" w:rsidRDefault="00893D8A" w:rsidP="00893D8A">
                    <w:pPr>
                      <w:rPr>
                        <w:szCs w:val="21"/>
                      </w:rPr>
                    </w:pPr>
                  </w:p>
                </w:tc>
                <w:tc>
                  <w:tcPr>
                    <w:tcW w:w="1201" w:type="pct"/>
                    <w:tcBorders>
                      <w:top w:val="outset" w:sz="4" w:space="0" w:color="auto"/>
                      <w:left w:val="outset" w:sz="4" w:space="0" w:color="auto"/>
                      <w:bottom w:val="outset" w:sz="4" w:space="0" w:color="auto"/>
                      <w:right w:val="outset" w:sz="4" w:space="0" w:color="auto"/>
                    </w:tcBorders>
                  </w:tcPr>
                  <w:p w:rsidR="00893D8A" w:rsidRDefault="00893D8A" w:rsidP="00893D8A">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893D8A" w:rsidRDefault="00893D8A" w:rsidP="00893D8A">
                    <w:pPr>
                      <w:jc w:val="right"/>
                      <w:rPr>
                        <w:szCs w:val="21"/>
                      </w:rPr>
                    </w:pPr>
                  </w:p>
                </w:tc>
              </w:tr>
              <w:tr w:rsidR="00893D8A" w:rsidTr="00B83FF0">
                <w:sdt>
                  <w:sdtPr>
                    <w:tag w:val="_PLD_3eaf2afeecda4cc3b13be54aecb18895"/>
                    <w:id w:val="-705108066"/>
                    <w:lock w:val="sdtLocked"/>
                  </w:sdtPr>
                  <w:sdtContent>
                    <w:tc>
                      <w:tcPr>
                        <w:tcW w:w="1736" w:type="pct"/>
                        <w:tcBorders>
                          <w:top w:val="outset" w:sz="4" w:space="0" w:color="auto"/>
                          <w:left w:val="outset" w:sz="4" w:space="0" w:color="auto"/>
                          <w:bottom w:val="outset" w:sz="4" w:space="0" w:color="auto"/>
                          <w:right w:val="outset" w:sz="4" w:space="0" w:color="auto"/>
                        </w:tcBorders>
                      </w:tcPr>
                      <w:p w:rsidR="00893D8A" w:rsidRDefault="00893D8A" w:rsidP="00893D8A">
                        <w:pPr>
                          <w:ind w:firstLineChars="100" w:firstLine="210"/>
                          <w:rPr>
                            <w:szCs w:val="21"/>
                          </w:rPr>
                        </w:pPr>
                        <w:r>
                          <w:rPr>
                            <w:rFonts w:hint="eastAsia"/>
                            <w:szCs w:val="21"/>
                          </w:rPr>
                          <w:t>收到原保险合同保费取得的现金</w:t>
                        </w:r>
                      </w:p>
                    </w:tc>
                  </w:sdtContent>
                </w:sdt>
                <w:tc>
                  <w:tcPr>
                    <w:tcW w:w="866" w:type="pct"/>
                    <w:tcBorders>
                      <w:top w:val="outset" w:sz="4" w:space="0" w:color="auto"/>
                      <w:left w:val="outset" w:sz="4" w:space="0" w:color="auto"/>
                      <w:bottom w:val="outset" w:sz="4" w:space="0" w:color="auto"/>
                      <w:right w:val="outset" w:sz="4" w:space="0" w:color="auto"/>
                    </w:tcBorders>
                  </w:tcPr>
                  <w:p w:rsidR="00893D8A" w:rsidRDefault="00893D8A" w:rsidP="00893D8A">
                    <w:pPr>
                      <w:rPr>
                        <w:szCs w:val="21"/>
                      </w:rPr>
                    </w:pPr>
                  </w:p>
                </w:tc>
                <w:tc>
                  <w:tcPr>
                    <w:tcW w:w="1201" w:type="pct"/>
                    <w:tcBorders>
                      <w:top w:val="outset" w:sz="4" w:space="0" w:color="auto"/>
                      <w:left w:val="outset" w:sz="4" w:space="0" w:color="auto"/>
                      <w:bottom w:val="outset" w:sz="4" w:space="0" w:color="auto"/>
                      <w:right w:val="outset" w:sz="4" w:space="0" w:color="auto"/>
                    </w:tcBorders>
                  </w:tcPr>
                  <w:p w:rsidR="00893D8A" w:rsidRDefault="00893D8A" w:rsidP="00893D8A">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893D8A" w:rsidRDefault="00893D8A" w:rsidP="00893D8A">
                    <w:pPr>
                      <w:jc w:val="right"/>
                      <w:rPr>
                        <w:szCs w:val="21"/>
                      </w:rPr>
                    </w:pPr>
                  </w:p>
                </w:tc>
              </w:tr>
              <w:tr w:rsidR="00893D8A" w:rsidTr="00B83FF0">
                <w:sdt>
                  <w:sdtPr>
                    <w:tag w:val="_PLD_38918403295945ef9b28a3ebb7c9affe"/>
                    <w:id w:val="215478726"/>
                    <w:lock w:val="sdtLocked"/>
                  </w:sdtPr>
                  <w:sdtContent>
                    <w:tc>
                      <w:tcPr>
                        <w:tcW w:w="1736" w:type="pct"/>
                        <w:tcBorders>
                          <w:top w:val="outset" w:sz="4" w:space="0" w:color="auto"/>
                          <w:left w:val="outset" w:sz="4" w:space="0" w:color="auto"/>
                          <w:bottom w:val="outset" w:sz="4" w:space="0" w:color="auto"/>
                          <w:right w:val="outset" w:sz="4" w:space="0" w:color="auto"/>
                        </w:tcBorders>
                      </w:tcPr>
                      <w:p w:rsidR="00893D8A" w:rsidRDefault="00893D8A" w:rsidP="00893D8A">
                        <w:pPr>
                          <w:ind w:firstLineChars="100" w:firstLine="210"/>
                          <w:rPr>
                            <w:szCs w:val="21"/>
                          </w:rPr>
                        </w:pPr>
                        <w:r>
                          <w:rPr>
                            <w:rFonts w:hint="eastAsia"/>
                            <w:szCs w:val="21"/>
                          </w:rPr>
                          <w:t>收到再保业务现金净额</w:t>
                        </w:r>
                      </w:p>
                    </w:tc>
                  </w:sdtContent>
                </w:sdt>
                <w:tc>
                  <w:tcPr>
                    <w:tcW w:w="866" w:type="pct"/>
                    <w:tcBorders>
                      <w:top w:val="outset" w:sz="4" w:space="0" w:color="auto"/>
                      <w:left w:val="outset" w:sz="4" w:space="0" w:color="auto"/>
                      <w:bottom w:val="outset" w:sz="4" w:space="0" w:color="auto"/>
                      <w:right w:val="outset" w:sz="4" w:space="0" w:color="auto"/>
                    </w:tcBorders>
                  </w:tcPr>
                  <w:p w:rsidR="00893D8A" w:rsidRDefault="00893D8A" w:rsidP="00893D8A">
                    <w:pPr>
                      <w:rPr>
                        <w:szCs w:val="21"/>
                      </w:rPr>
                    </w:pPr>
                  </w:p>
                </w:tc>
                <w:tc>
                  <w:tcPr>
                    <w:tcW w:w="1201" w:type="pct"/>
                    <w:tcBorders>
                      <w:top w:val="outset" w:sz="4" w:space="0" w:color="auto"/>
                      <w:left w:val="outset" w:sz="4" w:space="0" w:color="auto"/>
                      <w:bottom w:val="outset" w:sz="4" w:space="0" w:color="auto"/>
                      <w:right w:val="outset" w:sz="4" w:space="0" w:color="auto"/>
                    </w:tcBorders>
                  </w:tcPr>
                  <w:p w:rsidR="00893D8A" w:rsidRDefault="00893D8A" w:rsidP="00893D8A">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893D8A" w:rsidRDefault="00893D8A" w:rsidP="00893D8A">
                    <w:pPr>
                      <w:jc w:val="right"/>
                      <w:rPr>
                        <w:szCs w:val="21"/>
                      </w:rPr>
                    </w:pPr>
                  </w:p>
                </w:tc>
              </w:tr>
              <w:tr w:rsidR="00893D8A" w:rsidTr="00B83FF0">
                <w:sdt>
                  <w:sdtPr>
                    <w:tag w:val="_PLD_b35720274c044244992b1a395261f295"/>
                    <w:id w:val="-1282259492"/>
                    <w:lock w:val="sdtLocked"/>
                  </w:sdtPr>
                  <w:sdtContent>
                    <w:tc>
                      <w:tcPr>
                        <w:tcW w:w="1736" w:type="pct"/>
                        <w:tcBorders>
                          <w:top w:val="outset" w:sz="4" w:space="0" w:color="auto"/>
                          <w:left w:val="outset" w:sz="4" w:space="0" w:color="auto"/>
                          <w:bottom w:val="outset" w:sz="4" w:space="0" w:color="auto"/>
                          <w:right w:val="outset" w:sz="4" w:space="0" w:color="auto"/>
                        </w:tcBorders>
                      </w:tcPr>
                      <w:p w:rsidR="00893D8A" w:rsidRDefault="00893D8A" w:rsidP="00893D8A">
                        <w:pPr>
                          <w:ind w:firstLineChars="100" w:firstLine="210"/>
                          <w:rPr>
                            <w:szCs w:val="21"/>
                          </w:rPr>
                        </w:pPr>
                        <w:r>
                          <w:rPr>
                            <w:rFonts w:hint="eastAsia"/>
                            <w:szCs w:val="21"/>
                          </w:rPr>
                          <w:t>保户储金及投资款净增加额</w:t>
                        </w:r>
                      </w:p>
                    </w:tc>
                  </w:sdtContent>
                </w:sdt>
                <w:tc>
                  <w:tcPr>
                    <w:tcW w:w="866" w:type="pct"/>
                    <w:tcBorders>
                      <w:top w:val="outset" w:sz="4" w:space="0" w:color="auto"/>
                      <w:left w:val="outset" w:sz="4" w:space="0" w:color="auto"/>
                      <w:bottom w:val="outset" w:sz="4" w:space="0" w:color="auto"/>
                      <w:right w:val="outset" w:sz="4" w:space="0" w:color="auto"/>
                    </w:tcBorders>
                  </w:tcPr>
                  <w:p w:rsidR="00893D8A" w:rsidRDefault="00893D8A" w:rsidP="00893D8A">
                    <w:pPr>
                      <w:rPr>
                        <w:szCs w:val="21"/>
                      </w:rPr>
                    </w:pPr>
                  </w:p>
                </w:tc>
                <w:tc>
                  <w:tcPr>
                    <w:tcW w:w="1201" w:type="pct"/>
                    <w:tcBorders>
                      <w:top w:val="outset" w:sz="4" w:space="0" w:color="auto"/>
                      <w:left w:val="outset" w:sz="4" w:space="0" w:color="auto"/>
                      <w:bottom w:val="outset" w:sz="4" w:space="0" w:color="auto"/>
                      <w:right w:val="outset" w:sz="4" w:space="0" w:color="auto"/>
                    </w:tcBorders>
                  </w:tcPr>
                  <w:p w:rsidR="00893D8A" w:rsidRDefault="00893D8A" w:rsidP="00893D8A">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893D8A" w:rsidRDefault="00893D8A" w:rsidP="00893D8A">
                    <w:pPr>
                      <w:jc w:val="right"/>
                      <w:rPr>
                        <w:szCs w:val="21"/>
                      </w:rPr>
                    </w:pPr>
                  </w:p>
                </w:tc>
              </w:tr>
              <w:tr w:rsidR="00893D8A" w:rsidTr="00B83FF0">
                <w:sdt>
                  <w:sdtPr>
                    <w:tag w:val="_PLD_23820705d1a140a38a43eaf3b8d9f705"/>
                    <w:id w:val="1081184259"/>
                    <w:lock w:val="sdtLocked"/>
                  </w:sdtPr>
                  <w:sdtContent>
                    <w:tc>
                      <w:tcPr>
                        <w:tcW w:w="1736" w:type="pct"/>
                        <w:tcBorders>
                          <w:top w:val="outset" w:sz="4" w:space="0" w:color="auto"/>
                          <w:left w:val="outset" w:sz="4" w:space="0" w:color="auto"/>
                          <w:bottom w:val="outset" w:sz="4" w:space="0" w:color="auto"/>
                          <w:right w:val="outset" w:sz="4" w:space="0" w:color="auto"/>
                        </w:tcBorders>
                      </w:tcPr>
                      <w:p w:rsidR="00893D8A" w:rsidRDefault="00893D8A" w:rsidP="00893D8A">
                        <w:pPr>
                          <w:ind w:firstLineChars="100" w:firstLine="210"/>
                          <w:rPr>
                            <w:szCs w:val="21"/>
                          </w:rPr>
                        </w:pPr>
                        <w:r>
                          <w:rPr>
                            <w:rFonts w:hint="eastAsia"/>
                            <w:szCs w:val="21"/>
                          </w:rPr>
                          <w:t>收取利息、手续费及佣金的现金</w:t>
                        </w:r>
                      </w:p>
                    </w:tc>
                  </w:sdtContent>
                </w:sdt>
                <w:tc>
                  <w:tcPr>
                    <w:tcW w:w="866" w:type="pct"/>
                    <w:tcBorders>
                      <w:top w:val="outset" w:sz="4" w:space="0" w:color="auto"/>
                      <w:left w:val="outset" w:sz="4" w:space="0" w:color="auto"/>
                      <w:bottom w:val="outset" w:sz="4" w:space="0" w:color="auto"/>
                      <w:right w:val="outset" w:sz="4" w:space="0" w:color="auto"/>
                    </w:tcBorders>
                  </w:tcPr>
                  <w:p w:rsidR="00893D8A" w:rsidRDefault="00893D8A" w:rsidP="00893D8A">
                    <w:pPr>
                      <w:rPr>
                        <w:szCs w:val="21"/>
                      </w:rPr>
                    </w:pPr>
                  </w:p>
                </w:tc>
                <w:tc>
                  <w:tcPr>
                    <w:tcW w:w="1201" w:type="pct"/>
                    <w:tcBorders>
                      <w:top w:val="outset" w:sz="4" w:space="0" w:color="auto"/>
                      <w:left w:val="outset" w:sz="4" w:space="0" w:color="auto"/>
                      <w:bottom w:val="outset" w:sz="4" w:space="0" w:color="auto"/>
                      <w:right w:val="outset" w:sz="4" w:space="0" w:color="auto"/>
                    </w:tcBorders>
                  </w:tcPr>
                  <w:p w:rsidR="00893D8A" w:rsidRDefault="00893D8A" w:rsidP="00893D8A">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893D8A" w:rsidRDefault="00893D8A" w:rsidP="00893D8A">
                    <w:pPr>
                      <w:jc w:val="right"/>
                      <w:rPr>
                        <w:szCs w:val="21"/>
                      </w:rPr>
                    </w:pPr>
                  </w:p>
                </w:tc>
              </w:tr>
              <w:tr w:rsidR="00893D8A" w:rsidTr="00B83FF0">
                <w:sdt>
                  <w:sdtPr>
                    <w:tag w:val="_PLD_b637576284b6468992df1f554100cbd7"/>
                    <w:id w:val="654803576"/>
                    <w:lock w:val="sdtLocked"/>
                  </w:sdtPr>
                  <w:sdtContent>
                    <w:tc>
                      <w:tcPr>
                        <w:tcW w:w="1736" w:type="pct"/>
                        <w:tcBorders>
                          <w:top w:val="outset" w:sz="4" w:space="0" w:color="auto"/>
                          <w:left w:val="outset" w:sz="4" w:space="0" w:color="auto"/>
                          <w:bottom w:val="outset" w:sz="4" w:space="0" w:color="auto"/>
                          <w:right w:val="outset" w:sz="4" w:space="0" w:color="auto"/>
                        </w:tcBorders>
                      </w:tcPr>
                      <w:p w:rsidR="00893D8A" w:rsidRDefault="00893D8A" w:rsidP="00893D8A">
                        <w:pPr>
                          <w:ind w:firstLineChars="100" w:firstLine="210"/>
                          <w:rPr>
                            <w:szCs w:val="21"/>
                          </w:rPr>
                        </w:pPr>
                        <w:r>
                          <w:rPr>
                            <w:rFonts w:hint="eastAsia"/>
                            <w:szCs w:val="21"/>
                          </w:rPr>
                          <w:t>拆入资金净增加额</w:t>
                        </w:r>
                      </w:p>
                    </w:tc>
                  </w:sdtContent>
                </w:sdt>
                <w:tc>
                  <w:tcPr>
                    <w:tcW w:w="866" w:type="pct"/>
                    <w:tcBorders>
                      <w:top w:val="outset" w:sz="4" w:space="0" w:color="auto"/>
                      <w:left w:val="outset" w:sz="4" w:space="0" w:color="auto"/>
                      <w:bottom w:val="outset" w:sz="4" w:space="0" w:color="auto"/>
                      <w:right w:val="outset" w:sz="4" w:space="0" w:color="auto"/>
                    </w:tcBorders>
                  </w:tcPr>
                  <w:p w:rsidR="00893D8A" w:rsidRDefault="00893D8A" w:rsidP="00893D8A">
                    <w:pPr>
                      <w:rPr>
                        <w:szCs w:val="21"/>
                      </w:rPr>
                    </w:pPr>
                  </w:p>
                </w:tc>
                <w:tc>
                  <w:tcPr>
                    <w:tcW w:w="1201" w:type="pct"/>
                    <w:tcBorders>
                      <w:top w:val="outset" w:sz="4" w:space="0" w:color="auto"/>
                      <w:left w:val="outset" w:sz="4" w:space="0" w:color="auto"/>
                      <w:bottom w:val="outset" w:sz="4" w:space="0" w:color="auto"/>
                      <w:right w:val="outset" w:sz="4" w:space="0" w:color="auto"/>
                    </w:tcBorders>
                  </w:tcPr>
                  <w:p w:rsidR="00893D8A" w:rsidRDefault="00893D8A" w:rsidP="00893D8A">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893D8A" w:rsidRDefault="00893D8A" w:rsidP="00893D8A">
                    <w:pPr>
                      <w:jc w:val="right"/>
                      <w:rPr>
                        <w:szCs w:val="21"/>
                      </w:rPr>
                    </w:pPr>
                  </w:p>
                </w:tc>
              </w:tr>
              <w:tr w:rsidR="00893D8A" w:rsidTr="00B83FF0">
                <w:sdt>
                  <w:sdtPr>
                    <w:tag w:val="_PLD_03021ffbcba945e3b020b2a8a345189d"/>
                    <w:id w:val="-2031400380"/>
                    <w:lock w:val="sdtLocked"/>
                  </w:sdtPr>
                  <w:sdtContent>
                    <w:tc>
                      <w:tcPr>
                        <w:tcW w:w="1736" w:type="pct"/>
                        <w:tcBorders>
                          <w:top w:val="outset" w:sz="4" w:space="0" w:color="auto"/>
                          <w:left w:val="outset" w:sz="4" w:space="0" w:color="auto"/>
                          <w:bottom w:val="outset" w:sz="4" w:space="0" w:color="auto"/>
                          <w:right w:val="outset" w:sz="4" w:space="0" w:color="auto"/>
                        </w:tcBorders>
                      </w:tcPr>
                      <w:p w:rsidR="00893D8A" w:rsidRDefault="00893D8A" w:rsidP="00893D8A">
                        <w:pPr>
                          <w:ind w:firstLineChars="100" w:firstLine="210"/>
                          <w:rPr>
                            <w:szCs w:val="21"/>
                          </w:rPr>
                        </w:pPr>
                        <w:r>
                          <w:rPr>
                            <w:rFonts w:hint="eastAsia"/>
                            <w:szCs w:val="21"/>
                          </w:rPr>
                          <w:t>回购业务资金净增加额</w:t>
                        </w:r>
                      </w:p>
                    </w:tc>
                  </w:sdtContent>
                </w:sdt>
                <w:tc>
                  <w:tcPr>
                    <w:tcW w:w="866" w:type="pct"/>
                    <w:tcBorders>
                      <w:top w:val="outset" w:sz="4" w:space="0" w:color="auto"/>
                      <w:left w:val="outset" w:sz="4" w:space="0" w:color="auto"/>
                      <w:bottom w:val="outset" w:sz="4" w:space="0" w:color="auto"/>
                      <w:right w:val="outset" w:sz="4" w:space="0" w:color="auto"/>
                    </w:tcBorders>
                  </w:tcPr>
                  <w:p w:rsidR="00893D8A" w:rsidRDefault="00893D8A" w:rsidP="00893D8A">
                    <w:pPr>
                      <w:rPr>
                        <w:szCs w:val="21"/>
                      </w:rPr>
                    </w:pPr>
                  </w:p>
                </w:tc>
                <w:tc>
                  <w:tcPr>
                    <w:tcW w:w="1201" w:type="pct"/>
                    <w:tcBorders>
                      <w:top w:val="outset" w:sz="4" w:space="0" w:color="auto"/>
                      <w:left w:val="outset" w:sz="4" w:space="0" w:color="auto"/>
                      <w:bottom w:val="outset" w:sz="4" w:space="0" w:color="auto"/>
                      <w:right w:val="outset" w:sz="4" w:space="0" w:color="auto"/>
                    </w:tcBorders>
                  </w:tcPr>
                  <w:p w:rsidR="00893D8A" w:rsidRDefault="00893D8A" w:rsidP="00893D8A">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893D8A" w:rsidRDefault="00893D8A" w:rsidP="00893D8A">
                    <w:pPr>
                      <w:jc w:val="right"/>
                      <w:rPr>
                        <w:szCs w:val="21"/>
                      </w:rPr>
                    </w:pPr>
                  </w:p>
                </w:tc>
              </w:tr>
              <w:tr w:rsidR="00893D8A" w:rsidTr="00B83FF0">
                <w:tc>
                  <w:tcPr>
                    <w:tcW w:w="1736" w:type="pct"/>
                    <w:tcBorders>
                      <w:top w:val="outset" w:sz="4" w:space="0" w:color="auto"/>
                      <w:left w:val="outset" w:sz="4" w:space="0" w:color="auto"/>
                      <w:bottom w:val="outset" w:sz="4" w:space="0" w:color="auto"/>
                      <w:right w:val="outset" w:sz="4" w:space="0" w:color="auto"/>
                    </w:tcBorders>
                  </w:tcPr>
                  <w:sdt>
                    <w:sdtPr>
                      <w:rPr>
                        <w:rFonts w:hint="eastAsia"/>
                      </w:rPr>
                      <w:tag w:val="_PLD_badcf00524c34000b2ae5e68005ddf1f"/>
                      <w:id w:val="1656718323"/>
                      <w:lock w:val="sdtLocked"/>
                    </w:sdtPr>
                    <w:sdtContent>
                      <w:p w:rsidR="00893D8A" w:rsidRDefault="00893D8A" w:rsidP="00893D8A">
                        <w:pPr>
                          <w:ind w:firstLineChars="100" w:firstLine="210"/>
                        </w:pPr>
                        <w:r>
                          <w:rPr>
                            <w:rFonts w:hint="eastAsia"/>
                          </w:rPr>
                          <w:t>代理买卖证券收到的现金净额</w:t>
                        </w:r>
                      </w:p>
                    </w:sdtContent>
                  </w:sdt>
                </w:tc>
                <w:tc>
                  <w:tcPr>
                    <w:tcW w:w="866" w:type="pct"/>
                    <w:tcBorders>
                      <w:top w:val="outset" w:sz="4" w:space="0" w:color="auto"/>
                      <w:left w:val="outset" w:sz="4" w:space="0" w:color="auto"/>
                      <w:bottom w:val="outset" w:sz="4" w:space="0" w:color="auto"/>
                      <w:right w:val="outset" w:sz="4" w:space="0" w:color="auto"/>
                    </w:tcBorders>
                  </w:tcPr>
                  <w:p w:rsidR="00893D8A" w:rsidRDefault="00893D8A" w:rsidP="00893D8A">
                    <w:pPr>
                      <w:rPr>
                        <w:szCs w:val="21"/>
                      </w:rPr>
                    </w:pPr>
                  </w:p>
                </w:tc>
                <w:tc>
                  <w:tcPr>
                    <w:tcW w:w="1201" w:type="pct"/>
                    <w:tcBorders>
                      <w:top w:val="outset" w:sz="4" w:space="0" w:color="auto"/>
                      <w:left w:val="outset" w:sz="4" w:space="0" w:color="auto"/>
                      <w:bottom w:val="outset" w:sz="4" w:space="0" w:color="auto"/>
                      <w:right w:val="outset" w:sz="4" w:space="0" w:color="auto"/>
                    </w:tcBorders>
                  </w:tcPr>
                  <w:p w:rsidR="00893D8A" w:rsidRDefault="00893D8A" w:rsidP="00893D8A">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893D8A" w:rsidRDefault="00893D8A" w:rsidP="00893D8A">
                    <w:pPr>
                      <w:jc w:val="right"/>
                      <w:rPr>
                        <w:szCs w:val="21"/>
                      </w:rPr>
                    </w:pPr>
                  </w:p>
                </w:tc>
              </w:tr>
              <w:tr w:rsidR="00893D8A" w:rsidTr="00601D47">
                <w:sdt>
                  <w:sdtPr>
                    <w:tag w:val="_PLD_db5959da352549aaba5dd3bad9321535"/>
                    <w:id w:val="1484740035"/>
                    <w:lock w:val="sdtLocked"/>
                  </w:sdtPr>
                  <w:sdtContent>
                    <w:tc>
                      <w:tcPr>
                        <w:tcW w:w="1736" w:type="pct"/>
                        <w:tcBorders>
                          <w:top w:val="outset" w:sz="4" w:space="0" w:color="auto"/>
                          <w:left w:val="outset" w:sz="4" w:space="0" w:color="auto"/>
                          <w:bottom w:val="outset" w:sz="4" w:space="0" w:color="auto"/>
                          <w:right w:val="outset" w:sz="4" w:space="0" w:color="auto"/>
                        </w:tcBorders>
                      </w:tcPr>
                      <w:p w:rsidR="00893D8A" w:rsidRDefault="00893D8A" w:rsidP="00893D8A">
                        <w:pPr>
                          <w:ind w:firstLineChars="100" w:firstLine="210"/>
                          <w:rPr>
                            <w:szCs w:val="21"/>
                          </w:rPr>
                        </w:pPr>
                        <w:r>
                          <w:rPr>
                            <w:rFonts w:hint="eastAsia"/>
                            <w:szCs w:val="21"/>
                          </w:rPr>
                          <w:t>收到的税费返还</w:t>
                        </w:r>
                      </w:p>
                    </w:tc>
                  </w:sdtContent>
                </w:sdt>
                <w:tc>
                  <w:tcPr>
                    <w:tcW w:w="866" w:type="pct"/>
                    <w:tcBorders>
                      <w:top w:val="outset" w:sz="4" w:space="0" w:color="auto"/>
                      <w:left w:val="outset" w:sz="4" w:space="0" w:color="auto"/>
                      <w:bottom w:val="outset" w:sz="4" w:space="0" w:color="auto"/>
                      <w:right w:val="outset" w:sz="4" w:space="0" w:color="auto"/>
                    </w:tcBorders>
                  </w:tcPr>
                  <w:p w:rsidR="00893D8A" w:rsidRDefault="00893D8A" w:rsidP="00893D8A">
                    <w:pPr>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893D8A" w:rsidRDefault="00893D8A" w:rsidP="00893D8A">
                    <w:pPr>
                      <w:jc w:val="right"/>
                      <w:rPr>
                        <w:szCs w:val="21"/>
                      </w:rPr>
                    </w:pPr>
                    <w:r>
                      <w:t>8,473,837</w:t>
                    </w:r>
                  </w:p>
                </w:tc>
                <w:tc>
                  <w:tcPr>
                    <w:tcW w:w="1197" w:type="pct"/>
                    <w:tcBorders>
                      <w:top w:val="outset" w:sz="4" w:space="0" w:color="auto"/>
                      <w:left w:val="outset" w:sz="4" w:space="0" w:color="auto"/>
                      <w:bottom w:val="outset" w:sz="4" w:space="0" w:color="auto"/>
                      <w:right w:val="outset" w:sz="4" w:space="0" w:color="auto"/>
                    </w:tcBorders>
                    <w:vAlign w:val="center"/>
                  </w:tcPr>
                  <w:p w:rsidR="00893D8A" w:rsidRDefault="00893D8A" w:rsidP="00893D8A">
                    <w:pPr>
                      <w:jc w:val="right"/>
                      <w:rPr>
                        <w:szCs w:val="21"/>
                      </w:rPr>
                    </w:pPr>
                    <w:r>
                      <w:t>0</w:t>
                    </w:r>
                  </w:p>
                </w:tc>
              </w:tr>
              <w:tr w:rsidR="00893D8A" w:rsidTr="00601D47">
                <w:sdt>
                  <w:sdtPr>
                    <w:tag w:val="_PLD_6c812e39a8d445bc9e28f1b9a56eab81"/>
                    <w:id w:val="1813747674"/>
                    <w:lock w:val="sdtLocked"/>
                  </w:sdtPr>
                  <w:sdtContent>
                    <w:tc>
                      <w:tcPr>
                        <w:tcW w:w="1736" w:type="pct"/>
                        <w:tcBorders>
                          <w:top w:val="outset" w:sz="4" w:space="0" w:color="auto"/>
                          <w:left w:val="outset" w:sz="4" w:space="0" w:color="auto"/>
                          <w:bottom w:val="outset" w:sz="4" w:space="0" w:color="auto"/>
                          <w:right w:val="outset" w:sz="4" w:space="0" w:color="auto"/>
                        </w:tcBorders>
                      </w:tcPr>
                      <w:p w:rsidR="00893D8A" w:rsidRDefault="00893D8A" w:rsidP="00893D8A">
                        <w:pPr>
                          <w:ind w:firstLineChars="100" w:firstLine="210"/>
                          <w:rPr>
                            <w:szCs w:val="21"/>
                          </w:rPr>
                        </w:pPr>
                        <w:r>
                          <w:rPr>
                            <w:rFonts w:hint="eastAsia"/>
                            <w:szCs w:val="21"/>
                          </w:rPr>
                          <w:t>收到其他与经营活动有关的现金</w:t>
                        </w:r>
                      </w:p>
                    </w:tc>
                  </w:sdtContent>
                </w:sdt>
                <w:tc>
                  <w:tcPr>
                    <w:tcW w:w="866" w:type="pct"/>
                    <w:tcBorders>
                      <w:top w:val="outset" w:sz="4" w:space="0" w:color="auto"/>
                      <w:left w:val="outset" w:sz="4" w:space="0" w:color="auto"/>
                      <w:bottom w:val="outset" w:sz="4" w:space="0" w:color="auto"/>
                      <w:right w:val="outset" w:sz="4" w:space="0" w:color="auto"/>
                    </w:tcBorders>
                  </w:tcPr>
                  <w:p w:rsidR="00893D8A" w:rsidRDefault="00FE7F64" w:rsidP="00893D8A">
                    <w:pPr>
                      <w:rPr>
                        <w:szCs w:val="21"/>
                      </w:rPr>
                    </w:pPr>
                    <w:r>
                      <w:rPr>
                        <w:rFonts w:hint="eastAsia"/>
                        <w:szCs w:val="21"/>
                      </w:rPr>
                      <w:t>七、7</w:t>
                    </w:r>
                    <w:r>
                      <w:rPr>
                        <w:szCs w:val="21"/>
                      </w:rPr>
                      <w:t>8</w:t>
                    </w:r>
                    <w:r>
                      <w:rPr>
                        <w:rFonts w:hint="eastAsia"/>
                        <w:szCs w:val="21"/>
                      </w:rPr>
                      <w:t>（1）</w:t>
                    </w:r>
                  </w:p>
                </w:tc>
                <w:tc>
                  <w:tcPr>
                    <w:tcW w:w="1201" w:type="pct"/>
                    <w:tcBorders>
                      <w:top w:val="outset" w:sz="4" w:space="0" w:color="auto"/>
                      <w:left w:val="outset" w:sz="4" w:space="0" w:color="auto"/>
                      <w:bottom w:val="outset" w:sz="4" w:space="0" w:color="auto"/>
                      <w:right w:val="outset" w:sz="4" w:space="0" w:color="auto"/>
                    </w:tcBorders>
                    <w:vAlign w:val="center"/>
                  </w:tcPr>
                  <w:p w:rsidR="00893D8A" w:rsidRDefault="00893D8A" w:rsidP="00893D8A">
                    <w:pPr>
                      <w:jc w:val="right"/>
                      <w:rPr>
                        <w:szCs w:val="21"/>
                      </w:rPr>
                    </w:pPr>
                    <w:r>
                      <w:t>1,821,073,423</w:t>
                    </w:r>
                  </w:p>
                </w:tc>
                <w:tc>
                  <w:tcPr>
                    <w:tcW w:w="1197" w:type="pct"/>
                    <w:tcBorders>
                      <w:top w:val="outset" w:sz="4" w:space="0" w:color="auto"/>
                      <w:left w:val="outset" w:sz="4" w:space="0" w:color="auto"/>
                      <w:bottom w:val="outset" w:sz="4" w:space="0" w:color="auto"/>
                      <w:right w:val="outset" w:sz="4" w:space="0" w:color="auto"/>
                    </w:tcBorders>
                    <w:vAlign w:val="center"/>
                  </w:tcPr>
                  <w:p w:rsidR="00893D8A" w:rsidRDefault="00893D8A" w:rsidP="00893D8A">
                    <w:pPr>
                      <w:jc w:val="right"/>
                      <w:rPr>
                        <w:szCs w:val="21"/>
                      </w:rPr>
                    </w:pPr>
                    <w:r>
                      <w:t>1,044,197,655</w:t>
                    </w:r>
                  </w:p>
                </w:tc>
              </w:tr>
              <w:tr w:rsidR="00893D8A" w:rsidTr="00601D47">
                <w:sdt>
                  <w:sdtPr>
                    <w:tag w:val="_PLD_6ad3f8d4c3534e0ab5b93752e1aec8cb"/>
                    <w:id w:val="-246341563"/>
                    <w:lock w:val="sdtLocked"/>
                  </w:sdtPr>
                  <w:sdtContent>
                    <w:tc>
                      <w:tcPr>
                        <w:tcW w:w="1736" w:type="pct"/>
                        <w:tcBorders>
                          <w:top w:val="outset" w:sz="4" w:space="0" w:color="auto"/>
                          <w:left w:val="outset" w:sz="4" w:space="0" w:color="auto"/>
                          <w:bottom w:val="outset" w:sz="4" w:space="0" w:color="auto"/>
                          <w:right w:val="outset" w:sz="4" w:space="0" w:color="auto"/>
                        </w:tcBorders>
                      </w:tcPr>
                      <w:p w:rsidR="00893D8A" w:rsidRDefault="00893D8A" w:rsidP="00893D8A">
                        <w:pPr>
                          <w:ind w:firstLineChars="200" w:firstLine="420"/>
                          <w:rPr>
                            <w:color w:val="000000"/>
                            <w:szCs w:val="21"/>
                          </w:rPr>
                        </w:pPr>
                        <w:r>
                          <w:rPr>
                            <w:rFonts w:hint="eastAsia"/>
                            <w:szCs w:val="21"/>
                          </w:rPr>
                          <w:t>经营活动现金流入小计</w:t>
                        </w:r>
                      </w:p>
                    </w:tc>
                  </w:sdtContent>
                </w:sdt>
                <w:tc>
                  <w:tcPr>
                    <w:tcW w:w="866" w:type="pct"/>
                    <w:tcBorders>
                      <w:top w:val="outset" w:sz="4" w:space="0" w:color="auto"/>
                      <w:left w:val="outset" w:sz="4" w:space="0" w:color="auto"/>
                      <w:bottom w:val="outset" w:sz="4" w:space="0" w:color="auto"/>
                      <w:right w:val="outset" w:sz="4" w:space="0" w:color="auto"/>
                    </w:tcBorders>
                  </w:tcPr>
                  <w:p w:rsidR="00893D8A" w:rsidRDefault="00893D8A" w:rsidP="00893D8A">
                    <w:pPr>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893D8A" w:rsidRDefault="00893D8A" w:rsidP="00893D8A">
                    <w:pPr>
                      <w:jc w:val="right"/>
                      <w:rPr>
                        <w:szCs w:val="21"/>
                      </w:rPr>
                    </w:pPr>
                    <w:r>
                      <w:t>55,659,201,342</w:t>
                    </w:r>
                  </w:p>
                </w:tc>
                <w:tc>
                  <w:tcPr>
                    <w:tcW w:w="1197" w:type="pct"/>
                    <w:tcBorders>
                      <w:top w:val="outset" w:sz="4" w:space="0" w:color="auto"/>
                      <w:left w:val="outset" w:sz="4" w:space="0" w:color="auto"/>
                      <w:bottom w:val="outset" w:sz="4" w:space="0" w:color="auto"/>
                      <w:right w:val="outset" w:sz="4" w:space="0" w:color="auto"/>
                    </w:tcBorders>
                    <w:vAlign w:val="center"/>
                  </w:tcPr>
                  <w:p w:rsidR="00893D8A" w:rsidRDefault="00893D8A" w:rsidP="00893D8A">
                    <w:pPr>
                      <w:jc w:val="right"/>
                      <w:rPr>
                        <w:szCs w:val="21"/>
                      </w:rPr>
                    </w:pPr>
                    <w:r>
                      <w:t>58,435,198,833</w:t>
                    </w:r>
                  </w:p>
                </w:tc>
              </w:tr>
              <w:tr w:rsidR="00893D8A" w:rsidTr="00601D47">
                <w:sdt>
                  <w:sdtPr>
                    <w:tag w:val="_PLD_fbb303b247624b63b84a3dc2e0703e2f"/>
                    <w:id w:val="1364940509"/>
                    <w:lock w:val="sdtLocked"/>
                  </w:sdtPr>
                  <w:sdtContent>
                    <w:tc>
                      <w:tcPr>
                        <w:tcW w:w="1736" w:type="pct"/>
                        <w:tcBorders>
                          <w:top w:val="outset" w:sz="4" w:space="0" w:color="auto"/>
                          <w:left w:val="outset" w:sz="4" w:space="0" w:color="auto"/>
                          <w:bottom w:val="outset" w:sz="4" w:space="0" w:color="auto"/>
                          <w:right w:val="outset" w:sz="4" w:space="0" w:color="auto"/>
                        </w:tcBorders>
                      </w:tcPr>
                      <w:p w:rsidR="00893D8A" w:rsidRDefault="00893D8A" w:rsidP="00893D8A">
                        <w:pPr>
                          <w:ind w:firstLineChars="100" w:firstLine="210"/>
                          <w:rPr>
                            <w:szCs w:val="21"/>
                          </w:rPr>
                        </w:pPr>
                        <w:r>
                          <w:rPr>
                            <w:rFonts w:hint="eastAsia"/>
                            <w:szCs w:val="21"/>
                          </w:rPr>
                          <w:t>购买商品、接受劳务支付的现金</w:t>
                        </w:r>
                      </w:p>
                    </w:tc>
                  </w:sdtContent>
                </w:sdt>
                <w:tc>
                  <w:tcPr>
                    <w:tcW w:w="866" w:type="pct"/>
                    <w:tcBorders>
                      <w:top w:val="outset" w:sz="4" w:space="0" w:color="auto"/>
                      <w:left w:val="outset" w:sz="4" w:space="0" w:color="auto"/>
                      <w:bottom w:val="outset" w:sz="4" w:space="0" w:color="auto"/>
                      <w:right w:val="outset" w:sz="4" w:space="0" w:color="auto"/>
                    </w:tcBorders>
                  </w:tcPr>
                  <w:p w:rsidR="00893D8A" w:rsidRDefault="00893D8A" w:rsidP="00893D8A">
                    <w:pPr>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893D8A" w:rsidRDefault="00893D8A" w:rsidP="00893D8A">
                    <w:pPr>
                      <w:jc w:val="right"/>
                      <w:rPr>
                        <w:szCs w:val="21"/>
                      </w:rPr>
                    </w:pPr>
                    <w:r>
                      <w:t>7,910,409,661</w:t>
                    </w:r>
                  </w:p>
                </w:tc>
                <w:tc>
                  <w:tcPr>
                    <w:tcW w:w="1197" w:type="pct"/>
                    <w:tcBorders>
                      <w:top w:val="outset" w:sz="4" w:space="0" w:color="auto"/>
                      <w:left w:val="outset" w:sz="4" w:space="0" w:color="auto"/>
                      <w:bottom w:val="outset" w:sz="4" w:space="0" w:color="auto"/>
                      <w:right w:val="outset" w:sz="4" w:space="0" w:color="auto"/>
                    </w:tcBorders>
                    <w:vAlign w:val="center"/>
                  </w:tcPr>
                  <w:p w:rsidR="00893D8A" w:rsidRDefault="00893D8A" w:rsidP="00893D8A">
                    <w:pPr>
                      <w:jc w:val="right"/>
                      <w:rPr>
                        <w:szCs w:val="21"/>
                      </w:rPr>
                    </w:pPr>
                    <w:r>
                      <w:t>8,518,374,817</w:t>
                    </w:r>
                  </w:p>
                </w:tc>
              </w:tr>
              <w:tr w:rsidR="00893D8A" w:rsidTr="00B83FF0">
                <w:sdt>
                  <w:sdtPr>
                    <w:tag w:val="_PLD_ac1e3fff2fc2437c8b902c4b8e4226c0"/>
                    <w:id w:val="-1611429350"/>
                    <w:lock w:val="sdtLocked"/>
                  </w:sdtPr>
                  <w:sdtContent>
                    <w:tc>
                      <w:tcPr>
                        <w:tcW w:w="1736" w:type="pct"/>
                        <w:tcBorders>
                          <w:top w:val="outset" w:sz="4" w:space="0" w:color="auto"/>
                          <w:left w:val="outset" w:sz="4" w:space="0" w:color="auto"/>
                          <w:bottom w:val="outset" w:sz="4" w:space="0" w:color="auto"/>
                          <w:right w:val="outset" w:sz="4" w:space="0" w:color="auto"/>
                        </w:tcBorders>
                      </w:tcPr>
                      <w:p w:rsidR="00893D8A" w:rsidRDefault="00893D8A" w:rsidP="00893D8A">
                        <w:pPr>
                          <w:ind w:firstLineChars="100" w:firstLine="210"/>
                          <w:rPr>
                            <w:szCs w:val="21"/>
                          </w:rPr>
                        </w:pPr>
                        <w:r>
                          <w:rPr>
                            <w:rFonts w:hint="eastAsia"/>
                            <w:szCs w:val="21"/>
                          </w:rPr>
                          <w:t>客户贷款及垫款净增加额</w:t>
                        </w:r>
                      </w:p>
                    </w:tc>
                  </w:sdtContent>
                </w:sdt>
                <w:tc>
                  <w:tcPr>
                    <w:tcW w:w="866" w:type="pct"/>
                    <w:tcBorders>
                      <w:top w:val="outset" w:sz="4" w:space="0" w:color="auto"/>
                      <w:left w:val="outset" w:sz="4" w:space="0" w:color="auto"/>
                      <w:bottom w:val="outset" w:sz="4" w:space="0" w:color="auto"/>
                      <w:right w:val="outset" w:sz="4" w:space="0" w:color="auto"/>
                    </w:tcBorders>
                  </w:tcPr>
                  <w:p w:rsidR="00893D8A" w:rsidRDefault="00893D8A" w:rsidP="00893D8A">
                    <w:pPr>
                      <w:rPr>
                        <w:szCs w:val="21"/>
                      </w:rPr>
                    </w:pPr>
                  </w:p>
                </w:tc>
                <w:tc>
                  <w:tcPr>
                    <w:tcW w:w="1201" w:type="pct"/>
                    <w:tcBorders>
                      <w:top w:val="outset" w:sz="4" w:space="0" w:color="auto"/>
                      <w:left w:val="outset" w:sz="4" w:space="0" w:color="auto"/>
                      <w:bottom w:val="outset" w:sz="4" w:space="0" w:color="auto"/>
                      <w:right w:val="outset" w:sz="4" w:space="0" w:color="auto"/>
                    </w:tcBorders>
                  </w:tcPr>
                  <w:p w:rsidR="00893D8A" w:rsidRDefault="00893D8A" w:rsidP="00893D8A">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893D8A" w:rsidRDefault="00893D8A" w:rsidP="00893D8A">
                    <w:pPr>
                      <w:jc w:val="right"/>
                      <w:rPr>
                        <w:szCs w:val="21"/>
                      </w:rPr>
                    </w:pPr>
                  </w:p>
                </w:tc>
              </w:tr>
              <w:tr w:rsidR="00893D8A" w:rsidTr="00B83FF0">
                <w:sdt>
                  <w:sdtPr>
                    <w:tag w:val="_PLD_607e96a6744a4f12ad0ded2770585802"/>
                    <w:id w:val="1565299424"/>
                    <w:lock w:val="sdtLocked"/>
                  </w:sdtPr>
                  <w:sdtContent>
                    <w:tc>
                      <w:tcPr>
                        <w:tcW w:w="1736" w:type="pct"/>
                        <w:tcBorders>
                          <w:top w:val="outset" w:sz="4" w:space="0" w:color="auto"/>
                          <w:left w:val="outset" w:sz="4" w:space="0" w:color="auto"/>
                          <w:bottom w:val="outset" w:sz="4" w:space="0" w:color="auto"/>
                          <w:right w:val="outset" w:sz="4" w:space="0" w:color="auto"/>
                        </w:tcBorders>
                      </w:tcPr>
                      <w:p w:rsidR="00893D8A" w:rsidRDefault="00893D8A" w:rsidP="00893D8A">
                        <w:pPr>
                          <w:ind w:firstLineChars="100" w:firstLine="210"/>
                          <w:rPr>
                            <w:szCs w:val="21"/>
                          </w:rPr>
                        </w:pPr>
                        <w:r>
                          <w:rPr>
                            <w:rFonts w:hint="eastAsia"/>
                            <w:szCs w:val="21"/>
                          </w:rPr>
                          <w:t>存放中央银行和同业款项净增加额</w:t>
                        </w:r>
                      </w:p>
                    </w:tc>
                  </w:sdtContent>
                </w:sdt>
                <w:tc>
                  <w:tcPr>
                    <w:tcW w:w="866" w:type="pct"/>
                    <w:tcBorders>
                      <w:top w:val="outset" w:sz="4" w:space="0" w:color="auto"/>
                      <w:left w:val="outset" w:sz="4" w:space="0" w:color="auto"/>
                      <w:bottom w:val="outset" w:sz="4" w:space="0" w:color="auto"/>
                      <w:right w:val="outset" w:sz="4" w:space="0" w:color="auto"/>
                    </w:tcBorders>
                  </w:tcPr>
                  <w:p w:rsidR="00893D8A" w:rsidRDefault="00893D8A" w:rsidP="00893D8A">
                    <w:pPr>
                      <w:rPr>
                        <w:szCs w:val="21"/>
                      </w:rPr>
                    </w:pPr>
                  </w:p>
                </w:tc>
                <w:tc>
                  <w:tcPr>
                    <w:tcW w:w="1201" w:type="pct"/>
                    <w:tcBorders>
                      <w:top w:val="outset" w:sz="4" w:space="0" w:color="auto"/>
                      <w:left w:val="outset" w:sz="4" w:space="0" w:color="auto"/>
                      <w:bottom w:val="outset" w:sz="4" w:space="0" w:color="auto"/>
                      <w:right w:val="outset" w:sz="4" w:space="0" w:color="auto"/>
                    </w:tcBorders>
                  </w:tcPr>
                  <w:p w:rsidR="00893D8A" w:rsidRDefault="00893D8A" w:rsidP="00893D8A">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893D8A" w:rsidRDefault="00893D8A" w:rsidP="00893D8A">
                    <w:pPr>
                      <w:jc w:val="right"/>
                      <w:rPr>
                        <w:szCs w:val="21"/>
                      </w:rPr>
                    </w:pPr>
                  </w:p>
                </w:tc>
              </w:tr>
              <w:tr w:rsidR="00893D8A" w:rsidTr="00B83FF0">
                <w:sdt>
                  <w:sdtPr>
                    <w:tag w:val="_PLD_9c5e53965ac242e7b9cfb2bf7b10ffdb"/>
                    <w:id w:val="-350111507"/>
                    <w:lock w:val="sdtLocked"/>
                  </w:sdtPr>
                  <w:sdtContent>
                    <w:tc>
                      <w:tcPr>
                        <w:tcW w:w="1736" w:type="pct"/>
                        <w:tcBorders>
                          <w:top w:val="outset" w:sz="4" w:space="0" w:color="auto"/>
                          <w:left w:val="outset" w:sz="4" w:space="0" w:color="auto"/>
                          <w:bottom w:val="outset" w:sz="4" w:space="0" w:color="auto"/>
                          <w:right w:val="outset" w:sz="4" w:space="0" w:color="auto"/>
                        </w:tcBorders>
                      </w:tcPr>
                      <w:p w:rsidR="00893D8A" w:rsidRDefault="00893D8A" w:rsidP="00893D8A">
                        <w:pPr>
                          <w:ind w:firstLineChars="100" w:firstLine="210"/>
                          <w:rPr>
                            <w:szCs w:val="21"/>
                          </w:rPr>
                        </w:pPr>
                        <w:r>
                          <w:rPr>
                            <w:rFonts w:hint="eastAsia"/>
                            <w:szCs w:val="21"/>
                          </w:rPr>
                          <w:t>支付原保险合同赔付款项的现金</w:t>
                        </w:r>
                      </w:p>
                    </w:tc>
                  </w:sdtContent>
                </w:sdt>
                <w:tc>
                  <w:tcPr>
                    <w:tcW w:w="866" w:type="pct"/>
                    <w:tcBorders>
                      <w:top w:val="outset" w:sz="4" w:space="0" w:color="auto"/>
                      <w:left w:val="outset" w:sz="4" w:space="0" w:color="auto"/>
                      <w:bottom w:val="outset" w:sz="4" w:space="0" w:color="auto"/>
                      <w:right w:val="outset" w:sz="4" w:space="0" w:color="auto"/>
                    </w:tcBorders>
                  </w:tcPr>
                  <w:p w:rsidR="00893D8A" w:rsidRDefault="00893D8A" w:rsidP="00893D8A">
                    <w:pPr>
                      <w:rPr>
                        <w:szCs w:val="21"/>
                      </w:rPr>
                    </w:pPr>
                  </w:p>
                </w:tc>
                <w:tc>
                  <w:tcPr>
                    <w:tcW w:w="1201" w:type="pct"/>
                    <w:tcBorders>
                      <w:top w:val="outset" w:sz="4" w:space="0" w:color="auto"/>
                      <w:left w:val="outset" w:sz="4" w:space="0" w:color="auto"/>
                      <w:bottom w:val="outset" w:sz="4" w:space="0" w:color="auto"/>
                      <w:right w:val="outset" w:sz="4" w:space="0" w:color="auto"/>
                    </w:tcBorders>
                  </w:tcPr>
                  <w:p w:rsidR="00893D8A" w:rsidRDefault="00893D8A" w:rsidP="00893D8A">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893D8A" w:rsidRDefault="00893D8A" w:rsidP="00893D8A">
                    <w:pPr>
                      <w:jc w:val="right"/>
                      <w:rPr>
                        <w:szCs w:val="21"/>
                      </w:rPr>
                    </w:pPr>
                  </w:p>
                </w:tc>
              </w:tr>
              <w:tr w:rsidR="00893D8A" w:rsidTr="00B83FF0">
                <w:tc>
                  <w:tcPr>
                    <w:tcW w:w="1736" w:type="pct"/>
                    <w:tcBorders>
                      <w:top w:val="outset" w:sz="4" w:space="0" w:color="auto"/>
                      <w:left w:val="outset" w:sz="4" w:space="0" w:color="auto"/>
                      <w:bottom w:val="outset" w:sz="4" w:space="0" w:color="auto"/>
                      <w:right w:val="outset" w:sz="4" w:space="0" w:color="auto"/>
                    </w:tcBorders>
                  </w:tcPr>
                  <w:sdt>
                    <w:sdtPr>
                      <w:rPr>
                        <w:rFonts w:hint="eastAsia"/>
                      </w:rPr>
                      <w:tag w:val="_PLD_07fd33a33b61452a8cba543cf254d99c"/>
                      <w:id w:val="2139227590"/>
                      <w:lock w:val="sdtLocked"/>
                    </w:sdtPr>
                    <w:sdtContent>
                      <w:p w:rsidR="00893D8A" w:rsidRDefault="00893D8A" w:rsidP="00893D8A">
                        <w:pPr>
                          <w:ind w:firstLineChars="100" w:firstLine="210"/>
                        </w:pPr>
                        <w:r>
                          <w:rPr>
                            <w:rFonts w:hint="eastAsia"/>
                          </w:rPr>
                          <w:t>拆出资金净增加额</w:t>
                        </w:r>
                      </w:p>
                    </w:sdtContent>
                  </w:sdt>
                </w:tc>
                <w:tc>
                  <w:tcPr>
                    <w:tcW w:w="866" w:type="pct"/>
                    <w:tcBorders>
                      <w:top w:val="outset" w:sz="4" w:space="0" w:color="auto"/>
                      <w:left w:val="outset" w:sz="4" w:space="0" w:color="auto"/>
                      <w:bottom w:val="outset" w:sz="4" w:space="0" w:color="auto"/>
                      <w:right w:val="outset" w:sz="4" w:space="0" w:color="auto"/>
                    </w:tcBorders>
                  </w:tcPr>
                  <w:p w:rsidR="00893D8A" w:rsidRDefault="00893D8A" w:rsidP="00893D8A">
                    <w:pPr>
                      <w:rPr>
                        <w:szCs w:val="21"/>
                      </w:rPr>
                    </w:pPr>
                  </w:p>
                </w:tc>
                <w:tc>
                  <w:tcPr>
                    <w:tcW w:w="1201" w:type="pct"/>
                    <w:tcBorders>
                      <w:top w:val="outset" w:sz="4" w:space="0" w:color="auto"/>
                      <w:left w:val="outset" w:sz="4" w:space="0" w:color="auto"/>
                      <w:bottom w:val="outset" w:sz="4" w:space="0" w:color="auto"/>
                      <w:right w:val="outset" w:sz="4" w:space="0" w:color="auto"/>
                    </w:tcBorders>
                  </w:tcPr>
                  <w:p w:rsidR="00893D8A" w:rsidRDefault="00893D8A" w:rsidP="00893D8A">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893D8A" w:rsidRDefault="00893D8A" w:rsidP="00893D8A">
                    <w:pPr>
                      <w:jc w:val="right"/>
                      <w:rPr>
                        <w:szCs w:val="21"/>
                      </w:rPr>
                    </w:pPr>
                  </w:p>
                </w:tc>
              </w:tr>
              <w:tr w:rsidR="00893D8A" w:rsidTr="00B83FF0">
                <w:sdt>
                  <w:sdtPr>
                    <w:tag w:val="_PLD_2b7a60b5f03c4c6d870ee06f94f6dd17"/>
                    <w:id w:val="-959031602"/>
                    <w:lock w:val="sdtLocked"/>
                  </w:sdtPr>
                  <w:sdtContent>
                    <w:tc>
                      <w:tcPr>
                        <w:tcW w:w="1736" w:type="pct"/>
                        <w:tcBorders>
                          <w:top w:val="outset" w:sz="4" w:space="0" w:color="auto"/>
                          <w:left w:val="outset" w:sz="4" w:space="0" w:color="auto"/>
                          <w:bottom w:val="outset" w:sz="4" w:space="0" w:color="auto"/>
                          <w:right w:val="outset" w:sz="4" w:space="0" w:color="auto"/>
                        </w:tcBorders>
                      </w:tcPr>
                      <w:p w:rsidR="00893D8A" w:rsidRDefault="00893D8A" w:rsidP="00893D8A">
                        <w:pPr>
                          <w:ind w:firstLineChars="100" w:firstLine="210"/>
                          <w:rPr>
                            <w:szCs w:val="21"/>
                          </w:rPr>
                        </w:pPr>
                        <w:r>
                          <w:rPr>
                            <w:rFonts w:hint="eastAsia"/>
                            <w:szCs w:val="21"/>
                          </w:rPr>
                          <w:t>支付利息、手续费及佣金的现金</w:t>
                        </w:r>
                      </w:p>
                    </w:tc>
                  </w:sdtContent>
                </w:sdt>
                <w:tc>
                  <w:tcPr>
                    <w:tcW w:w="866" w:type="pct"/>
                    <w:tcBorders>
                      <w:top w:val="outset" w:sz="4" w:space="0" w:color="auto"/>
                      <w:left w:val="outset" w:sz="4" w:space="0" w:color="auto"/>
                      <w:bottom w:val="outset" w:sz="4" w:space="0" w:color="auto"/>
                      <w:right w:val="outset" w:sz="4" w:space="0" w:color="auto"/>
                    </w:tcBorders>
                  </w:tcPr>
                  <w:p w:rsidR="00893D8A" w:rsidRDefault="00893D8A" w:rsidP="00893D8A">
                    <w:pPr>
                      <w:rPr>
                        <w:szCs w:val="21"/>
                      </w:rPr>
                    </w:pPr>
                  </w:p>
                </w:tc>
                <w:tc>
                  <w:tcPr>
                    <w:tcW w:w="1201" w:type="pct"/>
                    <w:tcBorders>
                      <w:top w:val="outset" w:sz="4" w:space="0" w:color="auto"/>
                      <w:left w:val="outset" w:sz="4" w:space="0" w:color="auto"/>
                      <w:bottom w:val="outset" w:sz="4" w:space="0" w:color="auto"/>
                      <w:right w:val="outset" w:sz="4" w:space="0" w:color="auto"/>
                    </w:tcBorders>
                  </w:tcPr>
                  <w:p w:rsidR="00893D8A" w:rsidRDefault="00893D8A" w:rsidP="00893D8A">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893D8A" w:rsidRDefault="00893D8A" w:rsidP="00893D8A">
                    <w:pPr>
                      <w:jc w:val="right"/>
                      <w:rPr>
                        <w:szCs w:val="21"/>
                      </w:rPr>
                    </w:pPr>
                  </w:p>
                </w:tc>
              </w:tr>
              <w:tr w:rsidR="00893D8A" w:rsidTr="00B83FF0">
                <w:sdt>
                  <w:sdtPr>
                    <w:tag w:val="_PLD_88c03498242b4021a15af0d67036302b"/>
                    <w:id w:val="1684859115"/>
                    <w:lock w:val="sdtLocked"/>
                  </w:sdtPr>
                  <w:sdtContent>
                    <w:tc>
                      <w:tcPr>
                        <w:tcW w:w="1736" w:type="pct"/>
                        <w:tcBorders>
                          <w:top w:val="outset" w:sz="4" w:space="0" w:color="auto"/>
                          <w:left w:val="outset" w:sz="4" w:space="0" w:color="auto"/>
                          <w:bottom w:val="outset" w:sz="4" w:space="0" w:color="auto"/>
                          <w:right w:val="outset" w:sz="4" w:space="0" w:color="auto"/>
                        </w:tcBorders>
                      </w:tcPr>
                      <w:p w:rsidR="00893D8A" w:rsidRDefault="00893D8A" w:rsidP="00893D8A">
                        <w:pPr>
                          <w:ind w:firstLineChars="100" w:firstLine="210"/>
                          <w:rPr>
                            <w:szCs w:val="21"/>
                          </w:rPr>
                        </w:pPr>
                        <w:r>
                          <w:rPr>
                            <w:rFonts w:hint="eastAsia"/>
                            <w:szCs w:val="21"/>
                          </w:rPr>
                          <w:t>支付保单红利的现金</w:t>
                        </w:r>
                      </w:p>
                    </w:tc>
                  </w:sdtContent>
                </w:sdt>
                <w:tc>
                  <w:tcPr>
                    <w:tcW w:w="866" w:type="pct"/>
                    <w:tcBorders>
                      <w:top w:val="outset" w:sz="4" w:space="0" w:color="auto"/>
                      <w:left w:val="outset" w:sz="4" w:space="0" w:color="auto"/>
                      <w:bottom w:val="outset" w:sz="4" w:space="0" w:color="auto"/>
                      <w:right w:val="outset" w:sz="4" w:space="0" w:color="auto"/>
                    </w:tcBorders>
                  </w:tcPr>
                  <w:p w:rsidR="00893D8A" w:rsidRDefault="00893D8A" w:rsidP="00893D8A">
                    <w:pPr>
                      <w:rPr>
                        <w:szCs w:val="21"/>
                      </w:rPr>
                    </w:pPr>
                  </w:p>
                </w:tc>
                <w:tc>
                  <w:tcPr>
                    <w:tcW w:w="1201" w:type="pct"/>
                    <w:tcBorders>
                      <w:top w:val="outset" w:sz="4" w:space="0" w:color="auto"/>
                      <w:left w:val="outset" w:sz="4" w:space="0" w:color="auto"/>
                      <w:bottom w:val="outset" w:sz="4" w:space="0" w:color="auto"/>
                      <w:right w:val="outset" w:sz="4" w:space="0" w:color="auto"/>
                    </w:tcBorders>
                  </w:tcPr>
                  <w:p w:rsidR="00893D8A" w:rsidRDefault="00893D8A" w:rsidP="00893D8A">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893D8A" w:rsidRDefault="00893D8A" w:rsidP="00893D8A">
                    <w:pPr>
                      <w:jc w:val="right"/>
                      <w:rPr>
                        <w:szCs w:val="21"/>
                      </w:rPr>
                    </w:pPr>
                  </w:p>
                </w:tc>
              </w:tr>
              <w:tr w:rsidR="00893D8A" w:rsidTr="00601D47">
                <w:sdt>
                  <w:sdtPr>
                    <w:tag w:val="_PLD_ed3ba95030be45a28bed0514b778814a"/>
                    <w:id w:val="-265849013"/>
                    <w:lock w:val="sdtLocked"/>
                  </w:sdtPr>
                  <w:sdtContent>
                    <w:tc>
                      <w:tcPr>
                        <w:tcW w:w="1736" w:type="pct"/>
                        <w:tcBorders>
                          <w:top w:val="outset" w:sz="4" w:space="0" w:color="auto"/>
                          <w:left w:val="outset" w:sz="4" w:space="0" w:color="auto"/>
                          <w:bottom w:val="outset" w:sz="4" w:space="0" w:color="auto"/>
                          <w:right w:val="outset" w:sz="4" w:space="0" w:color="auto"/>
                        </w:tcBorders>
                      </w:tcPr>
                      <w:p w:rsidR="00893D8A" w:rsidRDefault="00893D8A" w:rsidP="00893D8A">
                        <w:pPr>
                          <w:ind w:firstLineChars="100" w:firstLine="210"/>
                          <w:rPr>
                            <w:szCs w:val="21"/>
                          </w:rPr>
                        </w:pPr>
                        <w:r>
                          <w:rPr>
                            <w:rFonts w:hint="eastAsia"/>
                            <w:szCs w:val="21"/>
                          </w:rPr>
                          <w:t>支付给职工及为职工支付的现金</w:t>
                        </w:r>
                      </w:p>
                    </w:tc>
                  </w:sdtContent>
                </w:sdt>
                <w:tc>
                  <w:tcPr>
                    <w:tcW w:w="866" w:type="pct"/>
                    <w:tcBorders>
                      <w:top w:val="outset" w:sz="4" w:space="0" w:color="auto"/>
                      <w:left w:val="outset" w:sz="4" w:space="0" w:color="auto"/>
                      <w:bottom w:val="outset" w:sz="4" w:space="0" w:color="auto"/>
                      <w:right w:val="outset" w:sz="4" w:space="0" w:color="auto"/>
                    </w:tcBorders>
                  </w:tcPr>
                  <w:p w:rsidR="00893D8A" w:rsidRDefault="00893D8A" w:rsidP="00893D8A">
                    <w:pPr>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893D8A" w:rsidRDefault="00893D8A" w:rsidP="00893D8A">
                    <w:pPr>
                      <w:jc w:val="right"/>
                      <w:rPr>
                        <w:szCs w:val="21"/>
                      </w:rPr>
                    </w:pPr>
                    <w:r>
                      <w:t>20,131,481,727</w:t>
                    </w:r>
                  </w:p>
                </w:tc>
                <w:tc>
                  <w:tcPr>
                    <w:tcW w:w="1197" w:type="pct"/>
                    <w:tcBorders>
                      <w:top w:val="outset" w:sz="4" w:space="0" w:color="auto"/>
                      <w:left w:val="outset" w:sz="4" w:space="0" w:color="auto"/>
                      <w:bottom w:val="outset" w:sz="4" w:space="0" w:color="auto"/>
                      <w:right w:val="outset" w:sz="4" w:space="0" w:color="auto"/>
                    </w:tcBorders>
                    <w:vAlign w:val="center"/>
                  </w:tcPr>
                  <w:p w:rsidR="00893D8A" w:rsidRDefault="00893D8A" w:rsidP="00893D8A">
                    <w:pPr>
                      <w:jc w:val="right"/>
                      <w:rPr>
                        <w:szCs w:val="21"/>
                      </w:rPr>
                    </w:pPr>
                    <w:r>
                      <w:t>21,155,241,338</w:t>
                    </w:r>
                  </w:p>
                </w:tc>
              </w:tr>
              <w:tr w:rsidR="00893D8A" w:rsidTr="00601D47">
                <w:sdt>
                  <w:sdtPr>
                    <w:tag w:val="_PLD_b488588795384f7280c2f4257b7c6a1c"/>
                    <w:id w:val="-559634377"/>
                    <w:lock w:val="sdtLocked"/>
                  </w:sdtPr>
                  <w:sdtContent>
                    <w:tc>
                      <w:tcPr>
                        <w:tcW w:w="1736" w:type="pct"/>
                        <w:tcBorders>
                          <w:top w:val="outset" w:sz="4" w:space="0" w:color="auto"/>
                          <w:left w:val="outset" w:sz="4" w:space="0" w:color="auto"/>
                          <w:bottom w:val="outset" w:sz="4" w:space="0" w:color="auto"/>
                          <w:right w:val="outset" w:sz="4" w:space="0" w:color="auto"/>
                        </w:tcBorders>
                      </w:tcPr>
                      <w:p w:rsidR="00893D8A" w:rsidRDefault="00893D8A" w:rsidP="00893D8A">
                        <w:pPr>
                          <w:ind w:firstLineChars="100" w:firstLine="210"/>
                          <w:rPr>
                            <w:szCs w:val="21"/>
                          </w:rPr>
                        </w:pPr>
                        <w:r>
                          <w:rPr>
                            <w:rFonts w:hint="eastAsia"/>
                            <w:szCs w:val="21"/>
                          </w:rPr>
                          <w:t>支付的各项税费</w:t>
                        </w:r>
                      </w:p>
                    </w:tc>
                  </w:sdtContent>
                </w:sdt>
                <w:tc>
                  <w:tcPr>
                    <w:tcW w:w="866" w:type="pct"/>
                    <w:tcBorders>
                      <w:top w:val="outset" w:sz="4" w:space="0" w:color="auto"/>
                      <w:left w:val="outset" w:sz="4" w:space="0" w:color="auto"/>
                      <w:bottom w:val="outset" w:sz="4" w:space="0" w:color="auto"/>
                      <w:right w:val="outset" w:sz="4" w:space="0" w:color="auto"/>
                    </w:tcBorders>
                  </w:tcPr>
                  <w:p w:rsidR="00893D8A" w:rsidRDefault="00893D8A" w:rsidP="00893D8A">
                    <w:pPr>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893D8A" w:rsidRDefault="00893D8A" w:rsidP="00893D8A">
                    <w:pPr>
                      <w:jc w:val="right"/>
                      <w:rPr>
                        <w:szCs w:val="21"/>
                      </w:rPr>
                    </w:pPr>
                    <w:r>
                      <w:t>10,059,066,046</w:t>
                    </w:r>
                  </w:p>
                </w:tc>
                <w:tc>
                  <w:tcPr>
                    <w:tcW w:w="1197" w:type="pct"/>
                    <w:tcBorders>
                      <w:top w:val="outset" w:sz="4" w:space="0" w:color="auto"/>
                      <w:left w:val="outset" w:sz="4" w:space="0" w:color="auto"/>
                      <w:bottom w:val="outset" w:sz="4" w:space="0" w:color="auto"/>
                      <w:right w:val="outset" w:sz="4" w:space="0" w:color="auto"/>
                    </w:tcBorders>
                    <w:vAlign w:val="center"/>
                  </w:tcPr>
                  <w:p w:rsidR="00893D8A" w:rsidRDefault="00893D8A" w:rsidP="00893D8A">
                    <w:pPr>
                      <w:jc w:val="right"/>
                      <w:rPr>
                        <w:szCs w:val="21"/>
                      </w:rPr>
                    </w:pPr>
                    <w:r>
                      <w:t>8,829,594,672</w:t>
                    </w:r>
                  </w:p>
                </w:tc>
              </w:tr>
              <w:tr w:rsidR="00FE7F64" w:rsidTr="00601D47">
                <w:sdt>
                  <w:sdtPr>
                    <w:tag w:val="_PLD_a492121c84cd4c6e8c4692c9d1aa7dad"/>
                    <w:id w:val="-1761438507"/>
                    <w:lock w:val="sdtLocked"/>
                  </w:sdtPr>
                  <w:sdtContent>
                    <w:tc>
                      <w:tcPr>
                        <w:tcW w:w="1736" w:type="pct"/>
                        <w:tcBorders>
                          <w:top w:val="outset" w:sz="4" w:space="0" w:color="auto"/>
                          <w:left w:val="outset" w:sz="4" w:space="0" w:color="auto"/>
                          <w:bottom w:val="outset" w:sz="4" w:space="0" w:color="auto"/>
                          <w:right w:val="outset" w:sz="4" w:space="0" w:color="auto"/>
                        </w:tcBorders>
                      </w:tcPr>
                      <w:p w:rsidR="00FE7F64" w:rsidRDefault="00FE7F64" w:rsidP="00FE7F64">
                        <w:pPr>
                          <w:ind w:firstLineChars="100" w:firstLine="210"/>
                          <w:rPr>
                            <w:szCs w:val="21"/>
                          </w:rPr>
                        </w:pPr>
                        <w:r>
                          <w:rPr>
                            <w:rFonts w:hint="eastAsia"/>
                            <w:szCs w:val="21"/>
                          </w:rPr>
                          <w:t>支付其他与经营活动有关的现金</w:t>
                        </w:r>
                      </w:p>
                    </w:tc>
                  </w:sdtContent>
                </w:sdt>
                <w:tc>
                  <w:tcPr>
                    <w:tcW w:w="866" w:type="pct"/>
                    <w:tcBorders>
                      <w:top w:val="outset" w:sz="4" w:space="0" w:color="auto"/>
                      <w:left w:val="outset" w:sz="4" w:space="0" w:color="auto"/>
                      <w:bottom w:val="outset" w:sz="4" w:space="0" w:color="auto"/>
                      <w:right w:val="outset" w:sz="4" w:space="0" w:color="auto"/>
                    </w:tcBorders>
                  </w:tcPr>
                  <w:p w:rsidR="00FE7F64" w:rsidRDefault="00FE7F64" w:rsidP="00FE7F64">
                    <w:pPr>
                      <w:rPr>
                        <w:szCs w:val="21"/>
                      </w:rPr>
                    </w:pPr>
                    <w:r>
                      <w:rPr>
                        <w:rFonts w:hint="eastAsia"/>
                        <w:szCs w:val="21"/>
                      </w:rPr>
                      <w:t>七、7</w:t>
                    </w:r>
                    <w:r>
                      <w:rPr>
                        <w:szCs w:val="21"/>
                      </w:rPr>
                      <w:t>8</w:t>
                    </w:r>
                    <w:r>
                      <w:rPr>
                        <w:rFonts w:hint="eastAsia"/>
                        <w:szCs w:val="21"/>
                      </w:rPr>
                      <w:t>（2）</w:t>
                    </w:r>
                  </w:p>
                </w:tc>
                <w:tc>
                  <w:tcPr>
                    <w:tcW w:w="1201" w:type="pct"/>
                    <w:tcBorders>
                      <w:top w:val="outset" w:sz="4" w:space="0" w:color="auto"/>
                      <w:left w:val="outset" w:sz="4" w:space="0" w:color="auto"/>
                      <w:bottom w:val="outset" w:sz="4" w:space="0" w:color="auto"/>
                      <w:right w:val="outset" w:sz="4" w:space="0" w:color="auto"/>
                    </w:tcBorders>
                    <w:vAlign w:val="center"/>
                  </w:tcPr>
                  <w:p w:rsidR="00FE7F64" w:rsidRDefault="00FE7F64" w:rsidP="00FE7F64">
                    <w:pPr>
                      <w:jc w:val="right"/>
                      <w:rPr>
                        <w:szCs w:val="21"/>
                      </w:rPr>
                    </w:pPr>
                    <w:r>
                      <w:t>1,456,137,295</w:t>
                    </w:r>
                  </w:p>
                </w:tc>
                <w:tc>
                  <w:tcPr>
                    <w:tcW w:w="1197" w:type="pct"/>
                    <w:tcBorders>
                      <w:top w:val="outset" w:sz="4" w:space="0" w:color="auto"/>
                      <w:left w:val="outset" w:sz="4" w:space="0" w:color="auto"/>
                      <w:bottom w:val="outset" w:sz="4" w:space="0" w:color="auto"/>
                      <w:right w:val="outset" w:sz="4" w:space="0" w:color="auto"/>
                    </w:tcBorders>
                    <w:vAlign w:val="center"/>
                  </w:tcPr>
                  <w:p w:rsidR="00FE7F64" w:rsidRDefault="00FE7F64" w:rsidP="00FE7F64">
                    <w:pPr>
                      <w:jc w:val="right"/>
                      <w:rPr>
                        <w:szCs w:val="21"/>
                      </w:rPr>
                    </w:pPr>
                    <w:r>
                      <w:t>1,033,541,148</w:t>
                    </w:r>
                  </w:p>
                </w:tc>
              </w:tr>
              <w:tr w:rsidR="00FE7F64" w:rsidTr="00601D47">
                <w:sdt>
                  <w:sdtPr>
                    <w:tag w:val="_PLD_06fb8d6a15c242f1b6e51ee709f4bab7"/>
                    <w:id w:val="498083577"/>
                    <w:lock w:val="sdtLocked"/>
                  </w:sdtPr>
                  <w:sdtContent>
                    <w:tc>
                      <w:tcPr>
                        <w:tcW w:w="1736" w:type="pct"/>
                        <w:tcBorders>
                          <w:top w:val="outset" w:sz="4" w:space="0" w:color="auto"/>
                          <w:left w:val="outset" w:sz="4" w:space="0" w:color="auto"/>
                          <w:bottom w:val="outset" w:sz="4" w:space="0" w:color="auto"/>
                          <w:right w:val="outset" w:sz="4" w:space="0" w:color="auto"/>
                        </w:tcBorders>
                      </w:tcPr>
                      <w:p w:rsidR="00FE7F64" w:rsidRDefault="00FE7F64" w:rsidP="00FE7F64">
                        <w:pPr>
                          <w:ind w:firstLineChars="200" w:firstLine="420"/>
                          <w:rPr>
                            <w:color w:val="000000"/>
                            <w:szCs w:val="21"/>
                          </w:rPr>
                        </w:pPr>
                        <w:r>
                          <w:rPr>
                            <w:rFonts w:hint="eastAsia"/>
                            <w:szCs w:val="21"/>
                          </w:rPr>
                          <w:t>经营活动现金流出小计</w:t>
                        </w:r>
                      </w:p>
                    </w:tc>
                  </w:sdtContent>
                </w:sdt>
                <w:tc>
                  <w:tcPr>
                    <w:tcW w:w="866" w:type="pct"/>
                    <w:tcBorders>
                      <w:top w:val="outset" w:sz="4" w:space="0" w:color="auto"/>
                      <w:left w:val="outset" w:sz="4" w:space="0" w:color="auto"/>
                      <w:bottom w:val="outset" w:sz="4" w:space="0" w:color="auto"/>
                      <w:right w:val="outset" w:sz="4" w:space="0" w:color="auto"/>
                    </w:tcBorders>
                  </w:tcPr>
                  <w:p w:rsidR="00FE7F64" w:rsidRDefault="00FE7F64" w:rsidP="00FE7F64">
                    <w:pPr>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FE7F64" w:rsidRDefault="00FE7F64" w:rsidP="0063669B">
                    <w:pPr>
                      <w:ind w:right="4"/>
                      <w:jc w:val="right"/>
                      <w:rPr>
                        <w:szCs w:val="21"/>
                      </w:rPr>
                    </w:pPr>
                    <w:r>
                      <w:t>39,557,094,729</w:t>
                    </w:r>
                  </w:p>
                </w:tc>
                <w:tc>
                  <w:tcPr>
                    <w:tcW w:w="1197" w:type="pct"/>
                    <w:tcBorders>
                      <w:top w:val="outset" w:sz="4" w:space="0" w:color="auto"/>
                      <w:left w:val="outset" w:sz="4" w:space="0" w:color="auto"/>
                      <w:bottom w:val="outset" w:sz="4" w:space="0" w:color="auto"/>
                      <w:right w:val="outset" w:sz="4" w:space="0" w:color="auto"/>
                    </w:tcBorders>
                    <w:vAlign w:val="center"/>
                  </w:tcPr>
                  <w:p w:rsidR="00FE7F64" w:rsidRDefault="00FE7F64" w:rsidP="00FE7F64">
                    <w:pPr>
                      <w:jc w:val="right"/>
                      <w:rPr>
                        <w:szCs w:val="21"/>
                      </w:rPr>
                    </w:pPr>
                    <w:r>
                      <w:t>39,536,751,975</w:t>
                    </w:r>
                  </w:p>
                </w:tc>
              </w:tr>
              <w:tr w:rsidR="00FE7F64" w:rsidTr="00601D47">
                <w:sdt>
                  <w:sdtPr>
                    <w:tag w:val="_PLD_441a992a38b8411b905e8c206db6ab55"/>
                    <w:id w:val="2076467133"/>
                    <w:lock w:val="sdtLocked"/>
                  </w:sdtPr>
                  <w:sdtContent>
                    <w:tc>
                      <w:tcPr>
                        <w:tcW w:w="1736" w:type="pct"/>
                        <w:tcBorders>
                          <w:top w:val="outset" w:sz="4" w:space="0" w:color="auto"/>
                          <w:left w:val="outset" w:sz="4" w:space="0" w:color="auto"/>
                          <w:bottom w:val="outset" w:sz="4" w:space="0" w:color="auto"/>
                          <w:right w:val="outset" w:sz="4" w:space="0" w:color="auto"/>
                        </w:tcBorders>
                      </w:tcPr>
                      <w:p w:rsidR="00FE7F64" w:rsidRDefault="00FE7F64" w:rsidP="00FE7F64">
                        <w:pPr>
                          <w:ind w:firstLineChars="300" w:firstLine="630"/>
                          <w:rPr>
                            <w:color w:val="000000"/>
                            <w:szCs w:val="21"/>
                          </w:rPr>
                        </w:pPr>
                        <w:r>
                          <w:rPr>
                            <w:rFonts w:hint="eastAsia"/>
                            <w:szCs w:val="21"/>
                          </w:rPr>
                          <w:t>经营活动产生的现金流量净额</w:t>
                        </w:r>
                      </w:p>
                    </w:tc>
                  </w:sdtContent>
                </w:sdt>
                <w:tc>
                  <w:tcPr>
                    <w:tcW w:w="866" w:type="pct"/>
                    <w:tcBorders>
                      <w:top w:val="outset" w:sz="4" w:space="0" w:color="auto"/>
                      <w:left w:val="outset" w:sz="4" w:space="0" w:color="auto"/>
                      <w:bottom w:val="outset" w:sz="4" w:space="0" w:color="auto"/>
                      <w:right w:val="outset" w:sz="4" w:space="0" w:color="auto"/>
                    </w:tcBorders>
                  </w:tcPr>
                  <w:p w:rsidR="00FE7F64" w:rsidRDefault="00FE7F64" w:rsidP="00FE7F64">
                    <w:pPr>
                      <w:rPr>
                        <w:szCs w:val="21"/>
                      </w:rPr>
                    </w:pPr>
                    <w:r w:rsidRPr="00FE7F64">
                      <w:rPr>
                        <w:rFonts w:hint="eastAsia"/>
                        <w:szCs w:val="21"/>
                      </w:rPr>
                      <w:t>七、</w:t>
                    </w:r>
                    <w:r w:rsidRPr="00FE7F64">
                      <w:rPr>
                        <w:szCs w:val="21"/>
                      </w:rPr>
                      <w:t>7</w:t>
                    </w:r>
                    <w:r>
                      <w:rPr>
                        <w:szCs w:val="21"/>
                      </w:rPr>
                      <w:t>9</w:t>
                    </w:r>
                    <w:r w:rsidRPr="00FE7F64">
                      <w:rPr>
                        <w:szCs w:val="21"/>
                      </w:rPr>
                      <w:t>（</w:t>
                    </w:r>
                    <w:r>
                      <w:rPr>
                        <w:rFonts w:hint="eastAsia"/>
                        <w:szCs w:val="21"/>
                      </w:rPr>
                      <w:t>1</w:t>
                    </w:r>
                    <w:r w:rsidRPr="00FE7F64">
                      <w:rPr>
                        <w:szCs w:val="21"/>
                      </w:rPr>
                      <w:t>）</w:t>
                    </w:r>
                  </w:p>
                </w:tc>
                <w:tc>
                  <w:tcPr>
                    <w:tcW w:w="1201" w:type="pct"/>
                    <w:tcBorders>
                      <w:top w:val="outset" w:sz="4" w:space="0" w:color="auto"/>
                      <w:left w:val="outset" w:sz="4" w:space="0" w:color="auto"/>
                      <w:bottom w:val="outset" w:sz="4" w:space="0" w:color="auto"/>
                      <w:right w:val="outset" w:sz="4" w:space="0" w:color="auto"/>
                    </w:tcBorders>
                    <w:vAlign w:val="center"/>
                  </w:tcPr>
                  <w:p w:rsidR="00FE7F64" w:rsidRDefault="00FE7F64" w:rsidP="00FE7F64">
                    <w:pPr>
                      <w:jc w:val="right"/>
                      <w:rPr>
                        <w:szCs w:val="21"/>
                      </w:rPr>
                    </w:pPr>
                    <w:r>
                      <w:t>16,102,106,613</w:t>
                    </w:r>
                  </w:p>
                </w:tc>
                <w:tc>
                  <w:tcPr>
                    <w:tcW w:w="1197" w:type="pct"/>
                    <w:tcBorders>
                      <w:top w:val="outset" w:sz="4" w:space="0" w:color="auto"/>
                      <w:left w:val="outset" w:sz="4" w:space="0" w:color="auto"/>
                      <w:bottom w:val="outset" w:sz="4" w:space="0" w:color="auto"/>
                      <w:right w:val="outset" w:sz="4" w:space="0" w:color="auto"/>
                    </w:tcBorders>
                    <w:vAlign w:val="center"/>
                  </w:tcPr>
                  <w:p w:rsidR="00FE7F64" w:rsidRDefault="00FE7F64" w:rsidP="00FE7F64">
                    <w:pPr>
                      <w:jc w:val="right"/>
                      <w:rPr>
                        <w:szCs w:val="21"/>
                      </w:rPr>
                    </w:pPr>
                    <w:r>
                      <w:t>18,898,446,858</w:t>
                    </w:r>
                  </w:p>
                </w:tc>
              </w:tr>
              <w:tr w:rsidR="00FE7F64" w:rsidTr="00713F20">
                <w:sdt>
                  <w:sdtPr>
                    <w:tag w:val="_PLD_cb59aa0e2bd944b8ba7271368c6da00a"/>
                    <w:id w:val="954445951"/>
                    <w:lock w:val="sdtLocked"/>
                  </w:sdtPr>
                  <w:sdtContent>
                    <w:tc>
                      <w:tcPr>
                        <w:tcW w:w="5000" w:type="pct"/>
                        <w:gridSpan w:val="4"/>
                        <w:tcBorders>
                          <w:top w:val="outset" w:sz="4" w:space="0" w:color="auto"/>
                          <w:left w:val="outset" w:sz="4" w:space="0" w:color="auto"/>
                          <w:bottom w:val="outset" w:sz="4" w:space="0" w:color="auto"/>
                          <w:right w:val="outset" w:sz="4" w:space="0" w:color="auto"/>
                        </w:tcBorders>
                      </w:tcPr>
                      <w:p w:rsidR="00FE7F64" w:rsidRDefault="00FE7F64" w:rsidP="00FE7F64">
                        <w:pPr>
                          <w:rPr>
                            <w:color w:val="008000"/>
                            <w:szCs w:val="21"/>
                          </w:rPr>
                        </w:pPr>
                        <w:r>
                          <w:rPr>
                            <w:rFonts w:hint="eastAsia"/>
                            <w:b/>
                            <w:bCs/>
                            <w:szCs w:val="21"/>
                          </w:rPr>
                          <w:t>二、投资活动产生的现金流量：</w:t>
                        </w:r>
                      </w:p>
                    </w:tc>
                  </w:sdtContent>
                </w:sdt>
              </w:tr>
              <w:tr w:rsidR="00FE7F64" w:rsidTr="00B83FF0">
                <w:sdt>
                  <w:sdtPr>
                    <w:tag w:val="_PLD_d755636761194418b2b21a581a3bb314"/>
                    <w:id w:val="1857691336"/>
                    <w:lock w:val="sdtLocked"/>
                  </w:sdtPr>
                  <w:sdtContent>
                    <w:tc>
                      <w:tcPr>
                        <w:tcW w:w="1736" w:type="pct"/>
                        <w:tcBorders>
                          <w:top w:val="outset" w:sz="4" w:space="0" w:color="auto"/>
                          <w:left w:val="outset" w:sz="4" w:space="0" w:color="auto"/>
                          <w:bottom w:val="outset" w:sz="4" w:space="0" w:color="auto"/>
                          <w:right w:val="outset" w:sz="4" w:space="0" w:color="auto"/>
                        </w:tcBorders>
                      </w:tcPr>
                      <w:p w:rsidR="00FE7F64" w:rsidRDefault="00FE7F64" w:rsidP="00FE7F64">
                        <w:pPr>
                          <w:ind w:firstLineChars="100" w:firstLine="210"/>
                          <w:rPr>
                            <w:szCs w:val="21"/>
                          </w:rPr>
                        </w:pPr>
                        <w:r>
                          <w:rPr>
                            <w:rFonts w:hint="eastAsia"/>
                            <w:szCs w:val="21"/>
                          </w:rPr>
                          <w:t>收回投资收到的现金</w:t>
                        </w:r>
                      </w:p>
                    </w:tc>
                  </w:sdtContent>
                </w:sdt>
                <w:tc>
                  <w:tcPr>
                    <w:tcW w:w="866" w:type="pct"/>
                    <w:tcBorders>
                      <w:top w:val="outset" w:sz="4" w:space="0" w:color="auto"/>
                      <w:left w:val="outset" w:sz="4" w:space="0" w:color="auto"/>
                      <w:bottom w:val="outset" w:sz="4" w:space="0" w:color="auto"/>
                      <w:right w:val="outset" w:sz="4" w:space="0" w:color="auto"/>
                    </w:tcBorders>
                  </w:tcPr>
                  <w:p w:rsidR="00FE7F64" w:rsidRDefault="00FE7F64" w:rsidP="00FE7F64">
                    <w:pPr>
                      <w:rPr>
                        <w:szCs w:val="21"/>
                      </w:rPr>
                    </w:pPr>
                  </w:p>
                </w:tc>
                <w:tc>
                  <w:tcPr>
                    <w:tcW w:w="1201" w:type="pct"/>
                    <w:tcBorders>
                      <w:top w:val="outset" w:sz="4" w:space="0" w:color="auto"/>
                      <w:left w:val="outset" w:sz="4" w:space="0" w:color="auto"/>
                      <w:bottom w:val="outset" w:sz="4" w:space="0" w:color="auto"/>
                      <w:right w:val="outset" w:sz="4" w:space="0" w:color="auto"/>
                    </w:tcBorders>
                  </w:tcPr>
                  <w:p w:rsidR="00FE7F64" w:rsidRDefault="00FE7F64" w:rsidP="00FE7F64">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FE7F64" w:rsidRDefault="00FE7F64" w:rsidP="00FE7F64">
                    <w:pPr>
                      <w:jc w:val="right"/>
                      <w:rPr>
                        <w:szCs w:val="21"/>
                      </w:rPr>
                    </w:pPr>
                  </w:p>
                </w:tc>
              </w:tr>
              <w:tr w:rsidR="00FE7F64" w:rsidTr="00601D47">
                <w:sdt>
                  <w:sdtPr>
                    <w:tag w:val="_PLD_6b3a49948dc446c78ab0fa3bbe264a1c"/>
                    <w:id w:val="933473090"/>
                    <w:lock w:val="sdtLocked"/>
                  </w:sdtPr>
                  <w:sdtContent>
                    <w:tc>
                      <w:tcPr>
                        <w:tcW w:w="1736" w:type="pct"/>
                        <w:tcBorders>
                          <w:top w:val="outset" w:sz="4" w:space="0" w:color="auto"/>
                          <w:left w:val="outset" w:sz="4" w:space="0" w:color="auto"/>
                          <w:bottom w:val="outset" w:sz="4" w:space="0" w:color="auto"/>
                          <w:right w:val="outset" w:sz="4" w:space="0" w:color="auto"/>
                        </w:tcBorders>
                      </w:tcPr>
                      <w:p w:rsidR="00FE7F64" w:rsidRDefault="00FE7F64" w:rsidP="00FE7F64">
                        <w:pPr>
                          <w:ind w:firstLineChars="100" w:firstLine="210"/>
                          <w:rPr>
                            <w:szCs w:val="21"/>
                          </w:rPr>
                        </w:pPr>
                        <w:r>
                          <w:rPr>
                            <w:rFonts w:hint="eastAsia"/>
                            <w:szCs w:val="21"/>
                          </w:rPr>
                          <w:t>取得投资收益收到的现金</w:t>
                        </w:r>
                      </w:p>
                    </w:tc>
                  </w:sdtContent>
                </w:sdt>
                <w:tc>
                  <w:tcPr>
                    <w:tcW w:w="866" w:type="pct"/>
                    <w:tcBorders>
                      <w:top w:val="outset" w:sz="4" w:space="0" w:color="auto"/>
                      <w:left w:val="outset" w:sz="4" w:space="0" w:color="auto"/>
                      <w:bottom w:val="outset" w:sz="4" w:space="0" w:color="auto"/>
                      <w:right w:val="outset" w:sz="4" w:space="0" w:color="auto"/>
                    </w:tcBorders>
                  </w:tcPr>
                  <w:p w:rsidR="00FE7F64" w:rsidRDefault="00FE7F64" w:rsidP="00FE7F64">
                    <w:pPr>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FE7F64" w:rsidRDefault="00FE7F64" w:rsidP="00FE7F64">
                    <w:pPr>
                      <w:jc w:val="right"/>
                      <w:rPr>
                        <w:szCs w:val="21"/>
                      </w:rPr>
                    </w:pPr>
                    <w:r>
                      <w:t>2,877,713,980</w:t>
                    </w:r>
                  </w:p>
                </w:tc>
                <w:tc>
                  <w:tcPr>
                    <w:tcW w:w="1197" w:type="pct"/>
                    <w:tcBorders>
                      <w:top w:val="outset" w:sz="4" w:space="0" w:color="auto"/>
                      <w:left w:val="outset" w:sz="4" w:space="0" w:color="auto"/>
                      <w:bottom w:val="outset" w:sz="4" w:space="0" w:color="auto"/>
                      <w:right w:val="outset" w:sz="4" w:space="0" w:color="auto"/>
                    </w:tcBorders>
                    <w:vAlign w:val="center"/>
                  </w:tcPr>
                  <w:p w:rsidR="00FE7F64" w:rsidRDefault="00FE7F64" w:rsidP="00FE7F64">
                    <w:pPr>
                      <w:jc w:val="right"/>
                      <w:rPr>
                        <w:szCs w:val="21"/>
                      </w:rPr>
                    </w:pPr>
                    <w:r>
                      <w:t>2,846,621,744</w:t>
                    </w:r>
                  </w:p>
                </w:tc>
              </w:tr>
              <w:tr w:rsidR="00FE7F64" w:rsidTr="00601D47">
                <w:sdt>
                  <w:sdtPr>
                    <w:tag w:val="_PLD_81c0cb329dc14342a1251732653eac4e"/>
                    <w:id w:val="1428233198"/>
                    <w:lock w:val="sdtLocked"/>
                  </w:sdtPr>
                  <w:sdtContent>
                    <w:tc>
                      <w:tcPr>
                        <w:tcW w:w="1736" w:type="pct"/>
                        <w:tcBorders>
                          <w:top w:val="outset" w:sz="4" w:space="0" w:color="auto"/>
                          <w:left w:val="outset" w:sz="4" w:space="0" w:color="auto"/>
                          <w:bottom w:val="outset" w:sz="4" w:space="0" w:color="auto"/>
                          <w:right w:val="outset" w:sz="4" w:space="0" w:color="auto"/>
                        </w:tcBorders>
                      </w:tcPr>
                      <w:p w:rsidR="00FE7F64" w:rsidRDefault="00FE7F64" w:rsidP="00FE7F64">
                        <w:pPr>
                          <w:ind w:firstLineChars="100" w:firstLine="210"/>
                          <w:rPr>
                            <w:szCs w:val="21"/>
                          </w:rPr>
                        </w:pPr>
                        <w:r>
                          <w:rPr>
                            <w:rFonts w:hint="eastAsia"/>
                            <w:szCs w:val="21"/>
                          </w:rPr>
                          <w:t>处置固定资产、无形资产和其他长期资产收回的现金净额</w:t>
                        </w:r>
                      </w:p>
                    </w:tc>
                  </w:sdtContent>
                </w:sdt>
                <w:tc>
                  <w:tcPr>
                    <w:tcW w:w="866" w:type="pct"/>
                    <w:tcBorders>
                      <w:top w:val="outset" w:sz="4" w:space="0" w:color="auto"/>
                      <w:left w:val="outset" w:sz="4" w:space="0" w:color="auto"/>
                      <w:bottom w:val="outset" w:sz="4" w:space="0" w:color="auto"/>
                      <w:right w:val="outset" w:sz="4" w:space="0" w:color="auto"/>
                    </w:tcBorders>
                  </w:tcPr>
                  <w:p w:rsidR="00FE7F64" w:rsidRDefault="00FE7F64" w:rsidP="00FE7F64">
                    <w:pPr>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FE7F64" w:rsidRDefault="00FE7F64" w:rsidP="00FE7F64">
                    <w:pPr>
                      <w:jc w:val="right"/>
                      <w:rPr>
                        <w:szCs w:val="21"/>
                      </w:rPr>
                    </w:pPr>
                    <w:r>
                      <w:t>105,940,382</w:t>
                    </w:r>
                  </w:p>
                </w:tc>
                <w:tc>
                  <w:tcPr>
                    <w:tcW w:w="1197" w:type="pct"/>
                    <w:tcBorders>
                      <w:top w:val="outset" w:sz="4" w:space="0" w:color="auto"/>
                      <w:left w:val="outset" w:sz="4" w:space="0" w:color="auto"/>
                      <w:bottom w:val="outset" w:sz="4" w:space="0" w:color="auto"/>
                      <w:right w:val="outset" w:sz="4" w:space="0" w:color="auto"/>
                    </w:tcBorders>
                    <w:vAlign w:val="center"/>
                  </w:tcPr>
                  <w:p w:rsidR="00FE7F64" w:rsidRDefault="00FE7F64" w:rsidP="00FE7F64">
                    <w:pPr>
                      <w:jc w:val="right"/>
                      <w:rPr>
                        <w:szCs w:val="21"/>
                      </w:rPr>
                    </w:pPr>
                    <w:r>
                      <w:t>105,643,599</w:t>
                    </w:r>
                  </w:p>
                </w:tc>
              </w:tr>
              <w:tr w:rsidR="00FE7F64" w:rsidTr="00601D47">
                <w:sdt>
                  <w:sdtPr>
                    <w:tag w:val="_PLD_b3f8a3b92f714220bfd5b95bf8eb97d7"/>
                    <w:id w:val="-702323884"/>
                    <w:lock w:val="sdtLocked"/>
                  </w:sdtPr>
                  <w:sdtContent>
                    <w:tc>
                      <w:tcPr>
                        <w:tcW w:w="1736" w:type="pct"/>
                        <w:tcBorders>
                          <w:top w:val="outset" w:sz="4" w:space="0" w:color="auto"/>
                          <w:left w:val="outset" w:sz="4" w:space="0" w:color="auto"/>
                          <w:bottom w:val="outset" w:sz="4" w:space="0" w:color="auto"/>
                          <w:right w:val="outset" w:sz="4" w:space="0" w:color="auto"/>
                        </w:tcBorders>
                      </w:tcPr>
                      <w:p w:rsidR="00FE7F64" w:rsidRDefault="00FE7F64" w:rsidP="00FE7F64">
                        <w:pPr>
                          <w:ind w:firstLineChars="100" w:firstLine="210"/>
                          <w:rPr>
                            <w:szCs w:val="21"/>
                          </w:rPr>
                        </w:pPr>
                        <w:r>
                          <w:rPr>
                            <w:rFonts w:hint="eastAsia"/>
                            <w:szCs w:val="21"/>
                          </w:rPr>
                          <w:t>处置子公司及其他营业单位收到的现金净额</w:t>
                        </w:r>
                      </w:p>
                    </w:tc>
                  </w:sdtContent>
                </w:sdt>
                <w:tc>
                  <w:tcPr>
                    <w:tcW w:w="866" w:type="pct"/>
                    <w:tcBorders>
                      <w:top w:val="outset" w:sz="4" w:space="0" w:color="auto"/>
                      <w:left w:val="outset" w:sz="4" w:space="0" w:color="auto"/>
                      <w:bottom w:val="outset" w:sz="4" w:space="0" w:color="auto"/>
                      <w:right w:val="outset" w:sz="4" w:space="0" w:color="auto"/>
                    </w:tcBorders>
                  </w:tcPr>
                  <w:p w:rsidR="00FE7F64" w:rsidRDefault="00FE7F64" w:rsidP="00FE7F64">
                    <w:pPr>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FE7F64" w:rsidRDefault="00FE7F64" w:rsidP="00FE7F64">
                    <w:pPr>
                      <w:jc w:val="right"/>
                      <w:rPr>
                        <w:szCs w:val="21"/>
                      </w:rPr>
                    </w:pPr>
                    <w:r>
                      <w:t>0</w:t>
                    </w:r>
                  </w:p>
                </w:tc>
                <w:tc>
                  <w:tcPr>
                    <w:tcW w:w="1197" w:type="pct"/>
                    <w:tcBorders>
                      <w:top w:val="outset" w:sz="4" w:space="0" w:color="auto"/>
                      <w:left w:val="outset" w:sz="4" w:space="0" w:color="auto"/>
                      <w:bottom w:val="outset" w:sz="4" w:space="0" w:color="auto"/>
                      <w:right w:val="outset" w:sz="4" w:space="0" w:color="auto"/>
                    </w:tcBorders>
                    <w:vAlign w:val="center"/>
                  </w:tcPr>
                  <w:p w:rsidR="00FE7F64" w:rsidRDefault="00FE7F64" w:rsidP="00FE7F64">
                    <w:pPr>
                      <w:jc w:val="right"/>
                      <w:rPr>
                        <w:szCs w:val="21"/>
                      </w:rPr>
                    </w:pPr>
                    <w:r>
                      <w:t>442,403</w:t>
                    </w:r>
                  </w:p>
                </w:tc>
              </w:tr>
              <w:tr w:rsidR="00FE7F64" w:rsidTr="00601D47">
                <w:sdt>
                  <w:sdtPr>
                    <w:tag w:val="_PLD_4888590169394725b2f2e0e1479ea4b4"/>
                    <w:id w:val="-151144283"/>
                    <w:lock w:val="sdtLocked"/>
                  </w:sdtPr>
                  <w:sdtContent>
                    <w:tc>
                      <w:tcPr>
                        <w:tcW w:w="1736" w:type="pct"/>
                        <w:tcBorders>
                          <w:top w:val="outset" w:sz="4" w:space="0" w:color="auto"/>
                          <w:left w:val="outset" w:sz="4" w:space="0" w:color="auto"/>
                          <w:bottom w:val="outset" w:sz="4" w:space="0" w:color="auto"/>
                          <w:right w:val="outset" w:sz="4" w:space="0" w:color="auto"/>
                        </w:tcBorders>
                      </w:tcPr>
                      <w:p w:rsidR="00FE7F64" w:rsidRDefault="00FE7F64" w:rsidP="00FE7F64">
                        <w:pPr>
                          <w:ind w:firstLineChars="100" w:firstLine="210"/>
                          <w:rPr>
                            <w:szCs w:val="21"/>
                          </w:rPr>
                        </w:pPr>
                        <w:r>
                          <w:rPr>
                            <w:rFonts w:hint="eastAsia"/>
                            <w:szCs w:val="21"/>
                          </w:rPr>
                          <w:t>收到其他与投资活动有关的现金</w:t>
                        </w:r>
                      </w:p>
                    </w:tc>
                  </w:sdtContent>
                </w:sdt>
                <w:tc>
                  <w:tcPr>
                    <w:tcW w:w="866" w:type="pct"/>
                    <w:tcBorders>
                      <w:top w:val="outset" w:sz="4" w:space="0" w:color="auto"/>
                      <w:left w:val="outset" w:sz="4" w:space="0" w:color="auto"/>
                      <w:bottom w:val="outset" w:sz="4" w:space="0" w:color="auto"/>
                      <w:right w:val="outset" w:sz="4" w:space="0" w:color="auto"/>
                    </w:tcBorders>
                  </w:tcPr>
                  <w:p w:rsidR="00FE7F64" w:rsidRDefault="00DA5767" w:rsidP="00FE7F64">
                    <w:pPr>
                      <w:rPr>
                        <w:szCs w:val="21"/>
                      </w:rPr>
                    </w:pPr>
                    <w:r>
                      <w:rPr>
                        <w:rFonts w:hint="eastAsia"/>
                        <w:szCs w:val="21"/>
                      </w:rPr>
                      <w:t>七、7</w:t>
                    </w:r>
                    <w:r>
                      <w:rPr>
                        <w:szCs w:val="21"/>
                      </w:rPr>
                      <w:t>8</w:t>
                    </w:r>
                    <w:r>
                      <w:rPr>
                        <w:rFonts w:hint="eastAsia"/>
                        <w:szCs w:val="21"/>
                      </w:rPr>
                      <w:t>（3）</w:t>
                    </w:r>
                  </w:p>
                </w:tc>
                <w:tc>
                  <w:tcPr>
                    <w:tcW w:w="1201" w:type="pct"/>
                    <w:tcBorders>
                      <w:top w:val="outset" w:sz="4" w:space="0" w:color="auto"/>
                      <w:left w:val="outset" w:sz="4" w:space="0" w:color="auto"/>
                      <w:bottom w:val="outset" w:sz="4" w:space="0" w:color="auto"/>
                      <w:right w:val="outset" w:sz="4" w:space="0" w:color="auto"/>
                    </w:tcBorders>
                    <w:vAlign w:val="center"/>
                  </w:tcPr>
                  <w:p w:rsidR="00FE7F64" w:rsidRDefault="00FE7F64" w:rsidP="00FE7F64">
                    <w:pPr>
                      <w:jc w:val="right"/>
                      <w:rPr>
                        <w:szCs w:val="21"/>
                      </w:rPr>
                    </w:pPr>
                    <w:r>
                      <w:t>1,261,272,954</w:t>
                    </w:r>
                  </w:p>
                </w:tc>
                <w:tc>
                  <w:tcPr>
                    <w:tcW w:w="1197" w:type="pct"/>
                    <w:tcBorders>
                      <w:top w:val="outset" w:sz="4" w:space="0" w:color="auto"/>
                      <w:left w:val="outset" w:sz="4" w:space="0" w:color="auto"/>
                      <w:bottom w:val="outset" w:sz="4" w:space="0" w:color="auto"/>
                      <w:right w:val="outset" w:sz="4" w:space="0" w:color="auto"/>
                    </w:tcBorders>
                    <w:vAlign w:val="center"/>
                  </w:tcPr>
                  <w:p w:rsidR="00FE7F64" w:rsidRDefault="00FE7F64" w:rsidP="00FE7F64">
                    <w:pPr>
                      <w:jc w:val="right"/>
                      <w:rPr>
                        <w:szCs w:val="21"/>
                      </w:rPr>
                    </w:pPr>
                    <w:r>
                      <w:t>1,307,098,684</w:t>
                    </w:r>
                  </w:p>
                </w:tc>
              </w:tr>
              <w:tr w:rsidR="00FE7F64" w:rsidTr="00601D47">
                <w:sdt>
                  <w:sdtPr>
                    <w:tag w:val="_PLD_119e5112f34449a2904ef319f479546c"/>
                    <w:id w:val="-280264537"/>
                    <w:lock w:val="sdtLocked"/>
                  </w:sdtPr>
                  <w:sdtContent>
                    <w:tc>
                      <w:tcPr>
                        <w:tcW w:w="1736" w:type="pct"/>
                        <w:tcBorders>
                          <w:top w:val="outset" w:sz="4" w:space="0" w:color="auto"/>
                          <w:left w:val="outset" w:sz="4" w:space="0" w:color="auto"/>
                          <w:bottom w:val="outset" w:sz="4" w:space="0" w:color="auto"/>
                          <w:right w:val="outset" w:sz="4" w:space="0" w:color="auto"/>
                        </w:tcBorders>
                      </w:tcPr>
                      <w:p w:rsidR="00FE7F64" w:rsidRDefault="00FE7F64" w:rsidP="00FE7F64">
                        <w:pPr>
                          <w:ind w:firstLineChars="200" w:firstLine="420"/>
                          <w:rPr>
                            <w:color w:val="000000"/>
                            <w:szCs w:val="21"/>
                          </w:rPr>
                        </w:pPr>
                        <w:r>
                          <w:rPr>
                            <w:rFonts w:hint="eastAsia"/>
                            <w:szCs w:val="21"/>
                          </w:rPr>
                          <w:t>投资活动现金流入小计</w:t>
                        </w:r>
                      </w:p>
                    </w:tc>
                  </w:sdtContent>
                </w:sdt>
                <w:tc>
                  <w:tcPr>
                    <w:tcW w:w="866" w:type="pct"/>
                    <w:tcBorders>
                      <w:top w:val="outset" w:sz="4" w:space="0" w:color="auto"/>
                      <w:left w:val="outset" w:sz="4" w:space="0" w:color="auto"/>
                      <w:bottom w:val="outset" w:sz="4" w:space="0" w:color="auto"/>
                      <w:right w:val="outset" w:sz="4" w:space="0" w:color="auto"/>
                    </w:tcBorders>
                  </w:tcPr>
                  <w:p w:rsidR="00FE7F64" w:rsidRDefault="00FE7F64" w:rsidP="00FE7F64">
                    <w:pPr>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FE7F64" w:rsidRDefault="00FE7F64" w:rsidP="00FE7F64">
                    <w:pPr>
                      <w:jc w:val="right"/>
                      <w:rPr>
                        <w:szCs w:val="21"/>
                      </w:rPr>
                    </w:pPr>
                    <w:r>
                      <w:t>4,244,927,316</w:t>
                    </w:r>
                  </w:p>
                </w:tc>
                <w:tc>
                  <w:tcPr>
                    <w:tcW w:w="1197" w:type="pct"/>
                    <w:tcBorders>
                      <w:top w:val="outset" w:sz="4" w:space="0" w:color="auto"/>
                      <w:left w:val="outset" w:sz="4" w:space="0" w:color="auto"/>
                      <w:bottom w:val="outset" w:sz="4" w:space="0" w:color="auto"/>
                      <w:right w:val="outset" w:sz="4" w:space="0" w:color="auto"/>
                    </w:tcBorders>
                    <w:vAlign w:val="center"/>
                  </w:tcPr>
                  <w:p w:rsidR="00FE7F64" w:rsidRDefault="00FE7F64" w:rsidP="00FE7F64">
                    <w:pPr>
                      <w:jc w:val="right"/>
                      <w:rPr>
                        <w:szCs w:val="21"/>
                      </w:rPr>
                    </w:pPr>
                    <w:r>
                      <w:t>4,259,806,430</w:t>
                    </w:r>
                  </w:p>
                </w:tc>
              </w:tr>
              <w:tr w:rsidR="00FE7F64" w:rsidTr="00601D47">
                <w:sdt>
                  <w:sdtPr>
                    <w:tag w:val="_PLD_7611d94f242442f680b6179a4c7a46f5"/>
                    <w:id w:val="-290362153"/>
                    <w:lock w:val="sdtLocked"/>
                  </w:sdtPr>
                  <w:sdtContent>
                    <w:tc>
                      <w:tcPr>
                        <w:tcW w:w="1736" w:type="pct"/>
                        <w:tcBorders>
                          <w:top w:val="outset" w:sz="4" w:space="0" w:color="auto"/>
                          <w:left w:val="outset" w:sz="4" w:space="0" w:color="auto"/>
                          <w:bottom w:val="outset" w:sz="4" w:space="0" w:color="auto"/>
                          <w:right w:val="outset" w:sz="4" w:space="0" w:color="auto"/>
                        </w:tcBorders>
                      </w:tcPr>
                      <w:p w:rsidR="00FE7F64" w:rsidRDefault="00FE7F64" w:rsidP="00FE7F64">
                        <w:pPr>
                          <w:ind w:firstLineChars="100" w:firstLine="210"/>
                          <w:rPr>
                            <w:color w:val="000000"/>
                            <w:szCs w:val="21"/>
                          </w:rPr>
                        </w:pPr>
                        <w:r>
                          <w:rPr>
                            <w:rFonts w:hint="eastAsia"/>
                            <w:szCs w:val="21"/>
                          </w:rPr>
                          <w:t>购建固定资产、无形资产和其他长期资产支付的现金</w:t>
                        </w:r>
                      </w:p>
                    </w:tc>
                  </w:sdtContent>
                </w:sdt>
                <w:tc>
                  <w:tcPr>
                    <w:tcW w:w="866" w:type="pct"/>
                    <w:tcBorders>
                      <w:top w:val="outset" w:sz="4" w:space="0" w:color="auto"/>
                      <w:left w:val="outset" w:sz="4" w:space="0" w:color="auto"/>
                      <w:bottom w:val="outset" w:sz="4" w:space="0" w:color="auto"/>
                      <w:right w:val="outset" w:sz="4" w:space="0" w:color="auto"/>
                    </w:tcBorders>
                  </w:tcPr>
                  <w:p w:rsidR="00FE7F64" w:rsidRDefault="00FE7F64" w:rsidP="00FE7F64">
                    <w:pPr>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FE7F64" w:rsidRDefault="00FE7F64" w:rsidP="00FE7F64">
                    <w:pPr>
                      <w:jc w:val="right"/>
                      <w:rPr>
                        <w:szCs w:val="21"/>
                      </w:rPr>
                    </w:pPr>
                    <w:r>
                      <w:t>7,123,023,169</w:t>
                    </w:r>
                  </w:p>
                </w:tc>
                <w:tc>
                  <w:tcPr>
                    <w:tcW w:w="1197" w:type="pct"/>
                    <w:tcBorders>
                      <w:top w:val="outset" w:sz="4" w:space="0" w:color="auto"/>
                      <w:left w:val="outset" w:sz="4" w:space="0" w:color="auto"/>
                      <w:bottom w:val="outset" w:sz="4" w:space="0" w:color="auto"/>
                      <w:right w:val="outset" w:sz="4" w:space="0" w:color="auto"/>
                    </w:tcBorders>
                    <w:vAlign w:val="center"/>
                  </w:tcPr>
                  <w:p w:rsidR="00FE7F64" w:rsidRDefault="00FE7F64" w:rsidP="00FE7F64">
                    <w:pPr>
                      <w:jc w:val="right"/>
                      <w:rPr>
                        <w:szCs w:val="21"/>
                      </w:rPr>
                    </w:pPr>
                    <w:r>
                      <w:t>3,609,166,481</w:t>
                    </w:r>
                  </w:p>
                </w:tc>
              </w:tr>
              <w:tr w:rsidR="00FE7F64" w:rsidTr="00B83FF0">
                <w:sdt>
                  <w:sdtPr>
                    <w:tag w:val="_PLD_f2c7b2b7e74747c99f13be4faf8a27a0"/>
                    <w:id w:val="-553621623"/>
                    <w:lock w:val="sdtLocked"/>
                  </w:sdtPr>
                  <w:sdtContent>
                    <w:tc>
                      <w:tcPr>
                        <w:tcW w:w="1736" w:type="pct"/>
                        <w:tcBorders>
                          <w:top w:val="outset" w:sz="4" w:space="0" w:color="auto"/>
                          <w:left w:val="outset" w:sz="4" w:space="0" w:color="auto"/>
                          <w:bottom w:val="outset" w:sz="4" w:space="0" w:color="auto"/>
                          <w:right w:val="outset" w:sz="4" w:space="0" w:color="auto"/>
                        </w:tcBorders>
                      </w:tcPr>
                      <w:p w:rsidR="00FE7F64" w:rsidRDefault="00FE7F64" w:rsidP="00FE7F64">
                        <w:pPr>
                          <w:ind w:firstLineChars="100" w:firstLine="210"/>
                          <w:rPr>
                            <w:szCs w:val="21"/>
                          </w:rPr>
                        </w:pPr>
                        <w:r>
                          <w:rPr>
                            <w:rFonts w:hint="eastAsia"/>
                            <w:szCs w:val="21"/>
                          </w:rPr>
                          <w:t>投资支付的现金</w:t>
                        </w:r>
                      </w:p>
                    </w:tc>
                  </w:sdtContent>
                </w:sdt>
                <w:tc>
                  <w:tcPr>
                    <w:tcW w:w="866" w:type="pct"/>
                    <w:tcBorders>
                      <w:top w:val="outset" w:sz="4" w:space="0" w:color="auto"/>
                      <w:left w:val="outset" w:sz="4" w:space="0" w:color="auto"/>
                      <w:bottom w:val="outset" w:sz="4" w:space="0" w:color="auto"/>
                      <w:right w:val="outset" w:sz="4" w:space="0" w:color="auto"/>
                    </w:tcBorders>
                  </w:tcPr>
                  <w:p w:rsidR="00FE7F64" w:rsidRDefault="00FE7F64" w:rsidP="00FE7F64">
                    <w:pPr>
                      <w:rPr>
                        <w:szCs w:val="21"/>
                      </w:rPr>
                    </w:pPr>
                  </w:p>
                </w:tc>
                <w:tc>
                  <w:tcPr>
                    <w:tcW w:w="1201" w:type="pct"/>
                    <w:tcBorders>
                      <w:top w:val="outset" w:sz="4" w:space="0" w:color="auto"/>
                      <w:left w:val="outset" w:sz="4" w:space="0" w:color="auto"/>
                      <w:bottom w:val="outset" w:sz="4" w:space="0" w:color="auto"/>
                      <w:right w:val="outset" w:sz="4" w:space="0" w:color="auto"/>
                    </w:tcBorders>
                  </w:tcPr>
                  <w:p w:rsidR="00FE7F64" w:rsidRDefault="001211FE" w:rsidP="00FE7F64">
                    <w:pPr>
                      <w:jc w:val="right"/>
                      <w:rPr>
                        <w:szCs w:val="21"/>
                      </w:rPr>
                    </w:pPr>
                    <w:r>
                      <w:rPr>
                        <w:szCs w:val="21"/>
                      </w:rPr>
                      <w:t>0</w:t>
                    </w:r>
                  </w:p>
                </w:tc>
                <w:tc>
                  <w:tcPr>
                    <w:tcW w:w="1197" w:type="pct"/>
                    <w:tcBorders>
                      <w:top w:val="outset" w:sz="4" w:space="0" w:color="auto"/>
                      <w:left w:val="outset" w:sz="4" w:space="0" w:color="auto"/>
                      <w:bottom w:val="outset" w:sz="4" w:space="0" w:color="auto"/>
                      <w:right w:val="outset" w:sz="4" w:space="0" w:color="auto"/>
                    </w:tcBorders>
                  </w:tcPr>
                  <w:p w:rsidR="00FE7F64" w:rsidRDefault="001211FE" w:rsidP="00FE7F64">
                    <w:pPr>
                      <w:jc w:val="right"/>
                      <w:rPr>
                        <w:szCs w:val="21"/>
                      </w:rPr>
                    </w:pPr>
                    <w:r>
                      <w:rPr>
                        <w:szCs w:val="21"/>
                      </w:rPr>
                      <w:t>3,500,000</w:t>
                    </w:r>
                  </w:p>
                </w:tc>
              </w:tr>
              <w:tr w:rsidR="00FE7F64" w:rsidTr="00B83FF0">
                <w:sdt>
                  <w:sdtPr>
                    <w:tag w:val="_PLD_961281e46c8a4f0e8b0ed014d1f6f10f"/>
                    <w:id w:val="851374476"/>
                    <w:lock w:val="sdtLocked"/>
                  </w:sdtPr>
                  <w:sdtContent>
                    <w:tc>
                      <w:tcPr>
                        <w:tcW w:w="1736" w:type="pct"/>
                        <w:tcBorders>
                          <w:top w:val="outset" w:sz="4" w:space="0" w:color="auto"/>
                          <w:left w:val="outset" w:sz="4" w:space="0" w:color="auto"/>
                          <w:bottom w:val="outset" w:sz="4" w:space="0" w:color="auto"/>
                          <w:right w:val="outset" w:sz="4" w:space="0" w:color="auto"/>
                        </w:tcBorders>
                      </w:tcPr>
                      <w:p w:rsidR="00FE7F64" w:rsidRDefault="00FE7F64" w:rsidP="00FE7F64">
                        <w:pPr>
                          <w:ind w:firstLineChars="100" w:firstLine="210"/>
                          <w:rPr>
                            <w:szCs w:val="21"/>
                          </w:rPr>
                        </w:pPr>
                        <w:r>
                          <w:rPr>
                            <w:rFonts w:hint="eastAsia"/>
                            <w:szCs w:val="21"/>
                          </w:rPr>
                          <w:t>质押贷款净增加额</w:t>
                        </w:r>
                      </w:p>
                    </w:tc>
                  </w:sdtContent>
                </w:sdt>
                <w:tc>
                  <w:tcPr>
                    <w:tcW w:w="866" w:type="pct"/>
                    <w:tcBorders>
                      <w:top w:val="outset" w:sz="4" w:space="0" w:color="auto"/>
                      <w:left w:val="outset" w:sz="4" w:space="0" w:color="auto"/>
                      <w:bottom w:val="outset" w:sz="4" w:space="0" w:color="auto"/>
                      <w:right w:val="outset" w:sz="4" w:space="0" w:color="auto"/>
                    </w:tcBorders>
                  </w:tcPr>
                  <w:p w:rsidR="00FE7F64" w:rsidRDefault="00FE7F64" w:rsidP="00FE7F64">
                    <w:pPr>
                      <w:rPr>
                        <w:szCs w:val="21"/>
                      </w:rPr>
                    </w:pPr>
                  </w:p>
                </w:tc>
                <w:tc>
                  <w:tcPr>
                    <w:tcW w:w="1201" w:type="pct"/>
                    <w:tcBorders>
                      <w:top w:val="outset" w:sz="4" w:space="0" w:color="auto"/>
                      <w:left w:val="outset" w:sz="4" w:space="0" w:color="auto"/>
                      <w:bottom w:val="outset" w:sz="4" w:space="0" w:color="auto"/>
                      <w:right w:val="outset" w:sz="4" w:space="0" w:color="auto"/>
                    </w:tcBorders>
                  </w:tcPr>
                  <w:p w:rsidR="00FE7F64" w:rsidRDefault="00FE7F64" w:rsidP="00FE7F64">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FE7F64" w:rsidRDefault="00FE7F64" w:rsidP="00FE7F64">
                    <w:pPr>
                      <w:jc w:val="right"/>
                      <w:rPr>
                        <w:szCs w:val="21"/>
                      </w:rPr>
                    </w:pPr>
                  </w:p>
                </w:tc>
              </w:tr>
              <w:tr w:rsidR="00FE7F64" w:rsidTr="00601D47">
                <w:sdt>
                  <w:sdtPr>
                    <w:tag w:val="_PLD_dc35a2ba3e2b478fb911a7d343da0789"/>
                    <w:id w:val="-364291374"/>
                    <w:lock w:val="sdtLocked"/>
                  </w:sdtPr>
                  <w:sdtContent>
                    <w:tc>
                      <w:tcPr>
                        <w:tcW w:w="1736" w:type="pct"/>
                        <w:tcBorders>
                          <w:top w:val="outset" w:sz="4" w:space="0" w:color="auto"/>
                          <w:left w:val="outset" w:sz="4" w:space="0" w:color="auto"/>
                          <w:bottom w:val="outset" w:sz="4" w:space="0" w:color="auto"/>
                          <w:right w:val="outset" w:sz="4" w:space="0" w:color="auto"/>
                        </w:tcBorders>
                      </w:tcPr>
                      <w:p w:rsidR="00FE7F64" w:rsidRDefault="00FE7F64" w:rsidP="00FE7F64">
                        <w:pPr>
                          <w:ind w:firstLineChars="100" w:firstLine="210"/>
                          <w:rPr>
                            <w:szCs w:val="21"/>
                          </w:rPr>
                        </w:pPr>
                        <w:r>
                          <w:rPr>
                            <w:rFonts w:hint="eastAsia"/>
                            <w:szCs w:val="21"/>
                          </w:rPr>
                          <w:t>取得子公司及其他营业单位支付的现金净额</w:t>
                        </w:r>
                      </w:p>
                    </w:tc>
                  </w:sdtContent>
                </w:sdt>
                <w:tc>
                  <w:tcPr>
                    <w:tcW w:w="866" w:type="pct"/>
                    <w:tcBorders>
                      <w:top w:val="outset" w:sz="4" w:space="0" w:color="auto"/>
                      <w:left w:val="outset" w:sz="4" w:space="0" w:color="auto"/>
                      <w:bottom w:val="outset" w:sz="4" w:space="0" w:color="auto"/>
                      <w:right w:val="outset" w:sz="4" w:space="0" w:color="auto"/>
                    </w:tcBorders>
                  </w:tcPr>
                  <w:p w:rsidR="00FE7F64" w:rsidRDefault="00DA5767" w:rsidP="00FE7F64">
                    <w:pPr>
                      <w:rPr>
                        <w:szCs w:val="21"/>
                      </w:rPr>
                    </w:pPr>
                    <w:r>
                      <w:rPr>
                        <w:rFonts w:hint="eastAsia"/>
                        <w:szCs w:val="21"/>
                      </w:rPr>
                      <w:t>七、7</w:t>
                    </w:r>
                    <w:r>
                      <w:rPr>
                        <w:szCs w:val="21"/>
                      </w:rPr>
                      <w:t>9</w:t>
                    </w:r>
                    <w:r>
                      <w:rPr>
                        <w:rFonts w:hint="eastAsia"/>
                        <w:szCs w:val="21"/>
                      </w:rPr>
                      <w:t>（2）</w:t>
                    </w:r>
                  </w:p>
                </w:tc>
                <w:tc>
                  <w:tcPr>
                    <w:tcW w:w="1201" w:type="pct"/>
                    <w:tcBorders>
                      <w:top w:val="outset" w:sz="4" w:space="0" w:color="auto"/>
                      <w:left w:val="outset" w:sz="4" w:space="0" w:color="auto"/>
                      <w:bottom w:val="outset" w:sz="4" w:space="0" w:color="auto"/>
                      <w:right w:val="outset" w:sz="4" w:space="0" w:color="auto"/>
                    </w:tcBorders>
                    <w:vAlign w:val="center"/>
                  </w:tcPr>
                  <w:p w:rsidR="00FE7F64" w:rsidRDefault="00FE7F64" w:rsidP="00FE7F64">
                    <w:pPr>
                      <w:jc w:val="right"/>
                      <w:rPr>
                        <w:szCs w:val="21"/>
                      </w:rPr>
                    </w:pPr>
                    <w:r>
                      <w:t>0</w:t>
                    </w:r>
                  </w:p>
                </w:tc>
                <w:tc>
                  <w:tcPr>
                    <w:tcW w:w="1197" w:type="pct"/>
                    <w:tcBorders>
                      <w:top w:val="outset" w:sz="4" w:space="0" w:color="auto"/>
                      <w:left w:val="outset" w:sz="4" w:space="0" w:color="auto"/>
                      <w:bottom w:val="outset" w:sz="4" w:space="0" w:color="auto"/>
                      <w:right w:val="outset" w:sz="4" w:space="0" w:color="auto"/>
                    </w:tcBorders>
                    <w:vAlign w:val="center"/>
                  </w:tcPr>
                  <w:p w:rsidR="00FE7F64" w:rsidRDefault="00FE7F64" w:rsidP="00FE7F64">
                    <w:pPr>
                      <w:jc w:val="right"/>
                      <w:rPr>
                        <w:szCs w:val="21"/>
                      </w:rPr>
                    </w:pPr>
                    <w:r>
                      <w:t>3,980,250,900</w:t>
                    </w:r>
                  </w:p>
                </w:tc>
              </w:tr>
              <w:tr w:rsidR="00FE7F64" w:rsidTr="00601D47">
                <w:sdt>
                  <w:sdtPr>
                    <w:tag w:val="_PLD_3d7b5c905e8c422089771f49c5e64ed5"/>
                    <w:id w:val="-1810086764"/>
                    <w:lock w:val="sdtLocked"/>
                  </w:sdtPr>
                  <w:sdtContent>
                    <w:tc>
                      <w:tcPr>
                        <w:tcW w:w="1736" w:type="pct"/>
                        <w:tcBorders>
                          <w:top w:val="outset" w:sz="4" w:space="0" w:color="auto"/>
                          <w:left w:val="outset" w:sz="4" w:space="0" w:color="auto"/>
                          <w:bottom w:val="outset" w:sz="4" w:space="0" w:color="auto"/>
                          <w:right w:val="outset" w:sz="4" w:space="0" w:color="auto"/>
                        </w:tcBorders>
                      </w:tcPr>
                      <w:p w:rsidR="00FE7F64" w:rsidRDefault="00FE7F64" w:rsidP="00FE7F64">
                        <w:pPr>
                          <w:ind w:firstLineChars="100" w:firstLine="210"/>
                          <w:rPr>
                            <w:szCs w:val="21"/>
                          </w:rPr>
                        </w:pPr>
                        <w:r>
                          <w:rPr>
                            <w:rFonts w:hint="eastAsia"/>
                            <w:szCs w:val="21"/>
                          </w:rPr>
                          <w:t>支付其他与投资活动有关的现金</w:t>
                        </w:r>
                      </w:p>
                    </w:tc>
                  </w:sdtContent>
                </w:sdt>
                <w:tc>
                  <w:tcPr>
                    <w:tcW w:w="866" w:type="pct"/>
                    <w:tcBorders>
                      <w:top w:val="outset" w:sz="4" w:space="0" w:color="auto"/>
                      <w:left w:val="outset" w:sz="4" w:space="0" w:color="auto"/>
                      <w:bottom w:val="outset" w:sz="4" w:space="0" w:color="auto"/>
                      <w:right w:val="outset" w:sz="4" w:space="0" w:color="auto"/>
                    </w:tcBorders>
                  </w:tcPr>
                  <w:p w:rsidR="00FE7F64" w:rsidRDefault="00FE7F64" w:rsidP="00FE7F64">
                    <w:pPr>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FE7F64" w:rsidRDefault="00FE7F64" w:rsidP="00FE7F64">
                    <w:pPr>
                      <w:jc w:val="right"/>
                      <w:rPr>
                        <w:szCs w:val="21"/>
                      </w:rPr>
                    </w:pPr>
                  </w:p>
                </w:tc>
                <w:tc>
                  <w:tcPr>
                    <w:tcW w:w="1197" w:type="pct"/>
                    <w:tcBorders>
                      <w:top w:val="outset" w:sz="4" w:space="0" w:color="auto"/>
                      <w:left w:val="outset" w:sz="4" w:space="0" w:color="auto"/>
                      <w:bottom w:val="outset" w:sz="4" w:space="0" w:color="auto"/>
                      <w:right w:val="outset" w:sz="4" w:space="0" w:color="auto"/>
                    </w:tcBorders>
                    <w:vAlign w:val="center"/>
                  </w:tcPr>
                  <w:p w:rsidR="00FE7F64" w:rsidRDefault="00FE7F64" w:rsidP="00FE7F64">
                    <w:pPr>
                      <w:jc w:val="right"/>
                      <w:rPr>
                        <w:szCs w:val="21"/>
                      </w:rPr>
                    </w:pPr>
                  </w:p>
                </w:tc>
              </w:tr>
              <w:tr w:rsidR="00FE7F64" w:rsidTr="00601D47">
                <w:sdt>
                  <w:sdtPr>
                    <w:tag w:val="_PLD_f4451a783354412fb1a11734aee5dc5e"/>
                    <w:id w:val="692738617"/>
                    <w:lock w:val="sdtLocked"/>
                  </w:sdtPr>
                  <w:sdtContent>
                    <w:tc>
                      <w:tcPr>
                        <w:tcW w:w="1736" w:type="pct"/>
                        <w:tcBorders>
                          <w:top w:val="outset" w:sz="4" w:space="0" w:color="auto"/>
                          <w:left w:val="outset" w:sz="4" w:space="0" w:color="auto"/>
                          <w:bottom w:val="outset" w:sz="4" w:space="0" w:color="auto"/>
                          <w:right w:val="outset" w:sz="4" w:space="0" w:color="auto"/>
                        </w:tcBorders>
                      </w:tcPr>
                      <w:p w:rsidR="00FE7F64" w:rsidRDefault="00FE7F64" w:rsidP="00FE7F64">
                        <w:pPr>
                          <w:ind w:firstLineChars="200" w:firstLine="420"/>
                          <w:rPr>
                            <w:color w:val="000000"/>
                            <w:szCs w:val="21"/>
                          </w:rPr>
                        </w:pPr>
                        <w:r>
                          <w:rPr>
                            <w:rFonts w:hint="eastAsia"/>
                            <w:szCs w:val="21"/>
                          </w:rPr>
                          <w:t>投资活动现金流出小计</w:t>
                        </w:r>
                      </w:p>
                    </w:tc>
                  </w:sdtContent>
                </w:sdt>
                <w:tc>
                  <w:tcPr>
                    <w:tcW w:w="866" w:type="pct"/>
                    <w:tcBorders>
                      <w:top w:val="outset" w:sz="4" w:space="0" w:color="auto"/>
                      <w:left w:val="outset" w:sz="4" w:space="0" w:color="auto"/>
                      <w:bottom w:val="outset" w:sz="4" w:space="0" w:color="auto"/>
                      <w:right w:val="outset" w:sz="4" w:space="0" w:color="auto"/>
                    </w:tcBorders>
                  </w:tcPr>
                  <w:p w:rsidR="00FE7F64" w:rsidRDefault="00FE7F64" w:rsidP="00FE7F64">
                    <w:pPr>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FE7F64" w:rsidRDefault="00FE7F64" w:rsidP="00FE7F64">
                    <w:pPr>
                      <w:jc w:val="right"/>
                      <w:rPr>
                        <w:szCs w:val="21"/>
                      </w:rPr>
                    </w:pPr>
                    <w:r>
                      <w:t>7,123,023,169</w:t>
                    </w:r>
                  </w:p>
                </w:tc>
                <w:tc>
                  <w:tcPr>
                    <w:tcW w:w="1197" w:type="pct"/>
                    <w:tcBorders>
                      <w:top w:val="outset" w:sz="4" w:space="0" w:color="auto"/>
                      <w:left w:val="outset" w:sz="4" w:space="0" w:color="auto"/>
                      <w:bottom w:val="outset" w:sz="4" w:space="0" w:color="auto"/>
                      <w:right w:val="outset" w:sz="4" w:space="0" w:color="auto"/>
                    </w:tcBorders>
                    <w:vAlign w:val="center"/>
                  </w:tcPr>
                  <w:p w:rsidR="00FE7F64" w:rsidRDefault="00FE7F64" w:rsidP="00FE7F64">
                    <w:pPr>
                      <w:jc w:val="right"/>
                      <w:rPr>
                        <w:szCs w:val="21"/>
                      </w:rPr>
                    </w:pPr>
                    <w:r>
                      <w:t>7,592,917,381</w:t>
                    </w:r>
                  </w:p>
                </w:tc>
              </w:tr>
              <w:tr w:rsidR="00FE7F64" w:rsidTr="00601D47">
                <w:sdt>
                  <w:sdtPr>
                    <w:tag w:val="_PLD_a8c3638f311941baa0ff8aad9a945e6a"/>
                    <w:id w:val="-2062316258"/>
                    <w:lock w:val="sdtLocked"/>
                  </w:sdtPr>
                  <w:sdtContent>
                    <w:tc>
                      <w:tcPr>
                        <w:tcW w:w="1736" w:type="pct"/>
                        <w:tcBorders>
                          <w:top w:val="outset" w:sz="4" w:space="0" w:color="auto"/>
                          <w:left w:val="outset" w:sz="4" w:space="0" w:color="auto"/>
                          <w:bottom w:val="outset" w:sz="4" w:space="0" w:color="auto"/>
                          <w:right w:val="outset" w:sz="4" w:space="0" w:color="auto"/>
                        </w:tcBorders>
                      </w:tcPr>
                      <w:p w:rsidR="00FE7F64" w:rsidRDefault="00FE7F64" w:rsidP="00FE7F64">
                        <w:pPr>
                          <w:ind w:firstLineChars="300" w:firstLine="630"/>
                          <w:rPr>
                            <w:color w:val="000000"/>
                            <w:szCs w:val="21"/>
                          </w:rPr>
                        </w:pPr>
                        <w:r>
                          <w:rPr>
                            <w:rFonts w:hint="eastAsia"/>
                            <w:szCs w:val="21"/>
                          </w:rPr>
                          <w:t>投资活动产生的现金流量净额</w:t>
                        </w:r>
                      </w:p>
                    </w:tc>
                  </w:sdtContent>
                </w:sdt>
                <w:tc>
                  <w:tcPr>
                    <w:tcW w:w="866" w:type="pct"/>
                    <w:tcBorders>
                      <w:top w:val="outset" w:sz="4" w:space="0" w:color="auto"/>
                      <w:left w:val="outset" w:sz="4" w:space="0" w:color="auto"/>
                      <w:bottom w:val="outset" w:sz="4" w:space="0" w:color="auto"/>
                      <w:right w:val="outset" w:sz="4" w:space="0" w:color="auto"/>
                    </w:tcBorders>
                  </w:tcPr>
                  <w:p w:rsidR="00FE7F64" w:rsidRDefault="00FE7F64" w:rsidP="00FE7F64">
                    <w:pPr>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FE7F64" w:rsidRDefault="00FE7F64" w:rsidP="00FE7F64">
                    <w:pPr>
                      <w:jc w:val="right"/>
                      <w:rPr>
                        <w:szCs w:val="21"/>
                      </w:rPr>
                    </w:pPr>
                    <w:r>
                      <w:rPr>
                        <w:rFonts w:hint="eastAsia"/>
                      </w:rPr>
                      <w:t>-</w:t>
                    </w:r>
                    <w:r>
                      <w:t>2,878,095,853</w:t>
                    </w:r>
                  </w:p>
                </w:tc>
                <w:tc>
                  <w:tcPr>
                    <w:tcW w:w="1197" w:type="pct"/>
                    <w:tcBorders>
                      <w:top w:val="outset" w:sz="4" w:space="0" w:color="auto"/>
                      <w:left w:val="outset" w:sz="4" w:space="0" w:color="auto"/>
                      <w:bottom w:val="outset" w:sz="4" w:space="0" w:color="auto"/>
                      <w:right w:val="outset" w:sz="4" w:space="0" w:color="auto"/>
                    </w:tcBorders>
                    <w:vAlign w:val="center"/>
                  </w:tcPr>
                  <w:p w:rsidR="00FE7F64" w:rsidRDefault="00FE7F64" w:rsidP="00FE7F64">
                    <w:pPr>
                      <w:jc w:val="right"/>
                      <w:rPr>
                        <w:szCs w:val="21"/>
                      </w:rPr>
                    </w:pPr>
                    <w:r>
                      <w:rPr>
                        <w:rFonts w:hint="eastAsia"/>
                      </w:rPr>
                      <w:t>-</w:t>
                    </w:r>
                    <w:r>
                      <w:t>3,333,110,951</w:t>
                    </w:r>
                  </w:p>
                </w:tc>
              </w:tr>
              <w:tr w:rsidR="00FE7F64" w:rsidTr="00713F20">
                <w:sdt>
                  <w:sdtPr>
                    <w:tag w:val="_PLD_8e0d926902804b5baefad8990e4523b4"/>
                    <w:id w:val="304206320"/>
                    <w:lock w:val="sdtLocked"/>
                  </w:sdtPr>
                  <w:sdtContent>
                    <w:tc>
                      <w:tcPr>
                        <w:tcW w:w="5000" w:type="pct"/>
                        <w:gridSpan w:val="4"/>
                        <w:tcBorders>
                          <w:top w:val="outset" w:sz="4" w:space="0" w:color="auto"/>
                          <w:left w:val="outset" w:sz="4" w:space="0" w:color="auto"/>
                          <w:bottom w:val="outset" w:sz="4" w:space="0" w:color="auto"/>
                          <w:right w:val="outset" w:sz="4" w:space="0" w:color="auto"/>
                        </w:tcBorders>
                      </w:tcPr>
                      <w:p w:rsidR="00FE7F64" w:rsidRDefault="00FE7F64" w:rsidP="00FE7F64">
                        <w:pPr>
                          <w:rPr>
                            <w:color w:val="008000"/>
                            <w:szCs w:val="21"/>
                          </w:rPr>
                        </w:pPr>
                        <w:r>
                          <w:rPr>
                            <w:rFonts w:hint="eastAsia"/>
                            <w:b/>
                            <w:bCs/>
                            <w:szCs w:val="21"/>
                          </w:rPr>
                          <w:t>三、筹资活动产生的现金流量：</w:t>
                        </w:r>
                      </w:p>
                    </w:tc>
                  </w:sdtContent>
                </w:sdt>
              </w:tr>
              <w:tr w:rsidR="00FE7F64" w:rsidTr="00601D47">
                <w:sdt>
                  <w:sdtPr>
                    <w:tag w:val="_PLD_40c58235dfbd4be4b6a6d7cbeace3487"/>
                    <w:id w:val="1124652833"/>
                    <w:lock w:val="sdtLocked"/>
                  </w:sdtPr>
                  <w:sdtContent>
                    <w:tc>
                      <w:tcPr>
                        <w:tcW w:w="1736" w:type="pct"/>
                        <w:tcBorders>
                          <w:top w:val="outset" w:sz="4" w:space="0" w:color="auto"/>
                          <w:left w:val="outset" w:sz="4" w:space="0" w:color="auto"/>
                          <w:bottom w:val="outset" w:sz="4" w:space="0" w:color="auto"/>
                          <w:right w:val="outset" w:sz="4" w:space="0" w:color="auto"/>
                        </w:tcBorders>
                      </w:tcPr>
                      <w:p w:rsidR="00FE7F64" w:rsidRDefault="00FE7F64" w:rsidP="00FE7F64">
                        <w:pPr>
                          <w:ind w:firstLineChars="100" w:firstLine="210"/>
                          <w:rPr>
                            <w:color w:val="000000"/>
                            <w:szCs w:val="21"/>
                          </w:rPr>
                        </w:pPr>
                        <w:r>
                          <w:rPr>
                            <w:rFonts w:hint="eastAsia"/>
                            <w:szCs w:val="21"/>
                          </w:rPr>
                          <w:t>吸收投资收到的现金</w:t>
                        </w:r>
                      </w:p>
                    </w:tc>
                  </w:sdtContent>
                </w:sdt>
                <w:tc>
                  <w:tcPr>
                    <w:tcW w:w="866" w:type="pct"/>
                    <w:tcBorders>
                      <w:top w:val="outset" w:sz="4" w:space="0" w:color="auto"/>
                      <w:left w:val="outset" w:sz="4" w:space="0" w:color="auto"/>
                      <w:bottom w:val="outset" w:sz="4" w:space="0" w:color="auto"/>
                      <w:right w:val="outset" w:sz="4" w:space="0" w:color="auto"/>
                    </w:tcBorders>
                  </w:tcPr>
                  <w:p w:rsidR="00FE7F64" w:rsidRDefault="00FE7F64" w:rsidP="00FE7F64">
                    <w:pPr>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FE7F64" w:rsidRDefault="00FE7F64" w:rsidP="00FE7F64">
                    <w:pPr>
                      <w:jc w:val="right"/>
                      <w:rPr>
                        <w:szCs w:val="21"/>
                      </w:rPr>
                    </w:pPr>
                    <w:r>
                      <w:t>0</w:t>
                    </w:r>
                  </w:p>
                </w:tc>
                <w:tc>
                  <w:tcPr>
                    <w:tcW w:w="1197" w:type="pct"/>
                    <w:tcBorders>
                      <w:top w:val="outset" w:sz="4" w:space="0" w:color="auto"/>
                      <w:left w:val="outset" w:sz="4" w:space="0" w:color="auto"/>
                      <w:bottom w:val="outset" w:sz="4" w:space="0" w:color="auto"/>
                      <w:right w:val="outset" w:sz="4" w:space="0" w:color="auto"/>
                    </w:tcBorders>
                    <w:vAlign w:val="center"/>
                  </w:tcPr>
                  <w:p w:rsidR="00FE7F64" w:rsidRDefault="00FE7F64" w:rsidP="00FE7F64">
                    <w:pPr>
                      <w:jc w:val="right"/>
                      <w:rPr>
                        <w:szCs w:val="21"/>
                      </w:rPr>
                    </w:pPr>
                    <w:r>
                      <w:t>2,564,985</w:t>
                    </w:r>
                  </w:p>
                </w:tc>
              </w:tr>
              <w:tr w:rsidR="00FE7F64" w:rsidTr="00601D47">
                <w:sdt>
                  <w:sdtPr>
                    <w:tag w:val="_PLD_b0825a09b9704822ae416df2302e2ccb"/>
                    <w:id w:val="2125809431"/>
                    <w:lock w:val="sdtLocked"/>
                  </w:sdtPr>
                  <w:sdtContent>
                    <w:tc>
                      <w:tcPr>
                        <w:tcW w:w="1736" w:type="pct"/>
                        <w:tcBorders>
                          <w:top w:val="outset" w:sz="4" w:space="0" w:color="auto"/>
                          <w:left w:val="outset" w:sz="4" w:space="0" w:color="auto"/>
                          <w:bottom w:val="outset" w:sz="4" w:space="0" w:color="auto"/>
                          <w:right w:val="outset" w:sz="4" w:space="0" w:color="auto"/>
                        </w:tcBorders>
                      </w:tcPr>
                      <w:p w:rsidR="00FE7F64" w:rsidRDefault="00FE7F64" w:rsidP="00FE7F64">
                        <w:pPr>
                          <w:ind w:firstLineChars="100" w:firstLine="210"/>
                          <w:rPr>
                            <w:color w:val="000000"/>
                            <w:szCs w:val="21"/>
                          </w:rPr>
                        </w:pPr>
                        <w:r>
                          <w:rPr>
                            <w:rFonts w:hint="eastAsia"/>
                            <w:szCs w:val="21"/>
                          </w:rPr>
                          <w:t>其中：子公司吸收少数股东投资收到的现金</w:t>
                        </w:r>
                      </w:p>
                    </w:tc>
                  </w:sdtContent>
                </w:sdt>
                <w:tc>
                  <w:tcPr>
                    <w:tcW w:w="866" w:type="pct"/>
                    <w:tcBorders>
                      <w:top w:val="outset" w:sz="4" w:space="0" w:color="auto"/>
                      <w:left w:val="outset" w:sz="4" w:space="0" w:color="auto"/>
                      <w:bottom w:val="outset" w:sz="4" w:space="0" w:color="auto"/>
                      <w:right w:val="outset" w:sz="4" w:space="0" w:color="auto"/>
                    </w:tcBorders>
                  </w:tcPr>
                  <w:p w:rsidR="00FE7F64" w:rsidRDefault="00FE7F64" w:rsidP="00FE7F64">
                    <w:pPr>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FE7F64" w:rsidRDefault="00FE7F64" w:rsidP="00FE7F64">
                    <w:pPr>
                      <w:jc w:val="right"/>
                      <w:rPr>
                        <w:szCs w:val="21"/>
                      </w:rPr>
                    </w:pPr>
                    <w:r>
                      <w:t>0</w:t>
                    </w:r>
                  </w:p>
                </w:tc>
                <w:tc>
                  <w:tcPr>
                    <w:tcW w:w="1197" w:type="pct"/>
                    <w:tcBorders>
                      <w:top w:val="outset" w:sz="4" w:space="0" w:color="auto"/>
                      <w:left w:val="outset" w:sz="4" w:space="0" w:color="auto"/>
                      <w:bottom w:val="outset" w:sz="4" w:space="0" w:color="auto"/>
                      <w:right w:val="outset" w:sz="4" w:space="0" w:color="auto"/>
                    </w:tcBorders>
                    <w:vAlign w:val="center"/>
                  </w:tcPr>
                  <w:p w:rsidR="00FE7F64" w:rsidRDefault="00FE7F64" w:rsidP="00FE7F64">
                    <w:pPr>
                      <w:jc w:val="right"/>
                      <w:rPr>
                        <w:szCs w:val="21"/>
                      </w:rPr>
                    </w:pPr>
                    <w:r>
                      <w:t>2,564,985</w:t>
                    </w:r>
                  </w:p>
                </w:tc>
              </w:tr>
              <w:tr w:rsidR="00FE7F64" w:rsidTr="00601D47">
                <w:sdt>
                  <w:sdtPr>
                    <w:tag w:val="_PLD_caf6109564ff45fa8b03e279d1cee3e7"/>
                    <w:id w:val="-1623912843"/>
                    <w:lock w:val="sdtLocked"/>
                  </w:sdtPr>
                  <w:sdtContent>
                    <w:tc>
                      <w:tcPr>
                        <w:tcW w:w="1736" w:type="pct"/>
                        <w:tcBorders>
                          <w:top w:val="outset" w:sz="4" w:space="0" w:color="auto"/>
                          <w:left w:val="outset" w:sz="4" w:space="0" w:color="auto"/>
                          <w:bottom w:val="outset" w:sz="4" w:space="0" w:color="auto"/>
                          <w:right w:val="outset" w:sz="4" w:space="0" w:color="auto"/>
                        </w:tcBorders>
                      </w:tcPr>
                      <w:p w:rsidR="00FE7F64" w:rsidRDefault="00FE7F64" w:rsidP="00FE7F64">
                        <w:pPr>
                          <w:ind w:firstLineChars="100" w:firstLine="210"/>
                          <w:rPr>
                            <w:color w:val="000000"/>
                            <w:szCs w:val="21"/>
                          </w:rPr>
                        </w:pPr>
                        <w:r>
                          <w:rPr>
                            <w:rFonts w:hint="eastAsia"/>
                            <w:szCs w:val="21"/>
                          </w:rPr>
                          <w:t>取得借款收到的现金</w:t>
                        </w:r>
                      </w:p>
                    </w:tc>
                  </w:sdtContent>
                </w:sdt>
                <w:tc>
                  <w:tcPr>
                    <w:tcW w:w="866" w:type="pct"/>
                    <w:tcBorders>
                      <w:top w:val="outset" w:sz="4" w:space="0" w:color="auto"/>
                      <w:left w:val="outset" w:sz="4" w:space="0" w:color="auto"/>
                      <w:bottom w:val="outset" w:sz="4" w:space="0" w:color="auto"/>
                      <w:right w:val="outset" w:sz="4" w:space="0" w:color="auto"/>
                    </w:tcBorders>
                  </w:tcPr>
                  <w:p w:rsidR="00FE7F64" w:rsidRDefault="00FE7F64" w:rsidP="00FE7F64">
                    <w:pPr>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FE7F64" w:rsidRDefault="00FE7F64" w:rsidP="00FE7F64">
                    <w:pPr>
                      <w:jc w:val="right"/>
                      <w:rPr>
                        <w:szCs w:val="21"/>
                      </w:rPr>
                    </w:pPr>
                    <w:r>
                      <w:t>1,201,500,000</w:t>
                    </w:r>
                  </w:p>
                </w:tc>
                <w:tc>
                  <w:tcPr>
                    <w:tcW w:w="1197" w:type="pct"/>
                    <w:tcBorders>
                      <w:top w:val="outset" w:sz="4" w:space="0" w:color="auto"/>
                      <w:left w:val="outset" w:sz="4" w:space="0" w:color="auto"/>
                      <w:bottom w:val="outset" w:sz="4" w:space="0" w:color="auto"/>
                      <w:right w:val="outset" w:sz="4" w:space="0" w:color="auto"/>
                    </w:tcBorders>
                    <w:vAlign w:val="center"/>
                  </w:tcPr>
                  <w:p w:rsidR="00FE7F64" w:rsidRDefault="00FE7F64" w:rsidP="00FE7F64">
                    <w:pPr>
                      <w:jc w:val="right"/>
                      <w:rPr>
                        <w:szCs w:val="21"/>
                      </w:rPr>
                    </w:pPr>
                    <w:r>
                      <w:t>1,231,231,904</w:t>
                    </w:r>
                  </w:p>
                </w:tc>
              </w:tr>
              <w:tr w:rsidR="00FE7F64" w:rsidTr="00601D47">
                <w:sdt>
                  <w:sdtPr>
                    <w:tag w:val="_PLD_a504d291cebe439096ddf0d24d691766"/>
                    <w:id w:val="785234050"/>
                    <w:lock w:val="sdtLocked"/>
                  </w:sdtPr>
                  <w:sdtContent>
                    <w:tc>
                      <w:tcPr>
                        <w:tcW w:w="1736" w:type="pct"/>
                        <w:tcBorders>
                          <w:top w:val="outset" w:sz="4" w:space="0" w:color="auto"/>
                          <w:left w:val="outset" w:sz="4" w:space="0" w:color="auto"/>
                          <w:bottom w:val="outset" w:sz="4" w:space="0" w:color="auto"/>
                          <w:right w:val="outset" w:sz="4" w:space="0" w:color="auto"/>
                        </w:tcBorders>
                      </w:tcPr>
                      <w:p w:rsidR="00FE7F64" w:rsidRDefault="00FE7F64" w:rsidP="00FE7F64">
                        <w:pPr>
                          <w:ind w:firstLineChars="100" w:firstLine="210"/>
                          <w:rPr>
                            <w:color w:val="000000"/>
                            <w:szCs w:val="21"/>
                          </w:rPr>
                        </w:pPr>
                        <w:r>
                          <w:rPr>
                            <w:rFonts w:hint="eastAsia"/>
                            <w:szCs w:val="21"/>
                          </w:rPr>
                          <w:t>收到其他与筹资活动有关的现金</w:t>
                        </w:r>
                      </w:p>
                    </w:tc>
                  </w:sdtContent>
                </w:sdt>
                <w:tc>
                  <w:tcPr>
                    <w:tcW w:w="866" w:type="pct"/>
                    <w:tcBorders>
                      <w:top w:val="outset" w:sz="4" w:space="0" w:color="auto"/>
                      <w:left w:val="outset" w:sz="4" w:space="0" w:color="auto"/>
                      <w:bottom w:val="outset" w:sz="4" w:space="0" w:color="auto"/>
                      <w:right w:val="outset" w:sz="4" w:space="0" w:color="auto"/>
                    </w:tcBorders>
                  </w:tcPr>
                  <w:p w:rsidR="00FE7F64" w:rsidRDefault="00FE7F64" w:rsidP="00FE7F64">
                    <w:pPr>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FE7F64" w:rsidRDefault="00FE7F64" w:rsidP="00FE7F64">
                    <w:pPr>
                      <w:jc w:val="right"/>
                      <w:rPr>
                        <w:szCs w:val="21"/>
                      </w:rPr>
                    </w:pPr>
                    <w:r>
                      <w:t>27,529,214</w:t>
                    </w:r>
                  </w:p>
                </w:tc>
                <w:tc>
                  <w:tcPr>
                    <w:tcW w:w="1197" w:type="pct"/>
                    <w:tcBorders>
                      <w:top w:val="outset" w:sz="4" w:space="0" w:color="auto"/>
                      <w:left w:val="outset" w:sz="4" w:space="0" w:color="auto"/>
                      <w:bottom w:val="outset" w:sz="4" w:space="0" w:color="auto"/>
                      <w:right w:val="outset" w:sz="4" w:space="0" w:color="auto"/>
                    </w:tcBorders>
                    <w:vAlign w:val="center"/>
                  </w:tcPr>
                  <w:p w:rsidR="00FE7F64" w:rsidRDefault="00FE7F64" w:rsidP="00FE7F64">
                    <w:pPr>
                      <w:jc w:val="right"/>
                      <w:rPr>
                        <w:szCs w:val="21"/>
                      </w:rPr>
                    </w:pPr>
                    <w:r>
                      <w:t>0</w:t>
                    </w:r>
                  </w:p>
                </w:tc>
              </w:tr>
              <w:tr w:rsidR="00FE7F64" w:rsidTr="00601D47">
                <w:sdt>
                  <w:sdtPr>
                    <w:tag w:val="_PLD_380f65d9d6674747ab42df48196250ff"/>
                    <w:id w:val="-1176563432"/>
                    <w:lock w:val="sdtLocked"/>
                  </w:sdtPr>
                  <w:sdtContent>
                    <w:tc>
                      <w:tcPr>
                        <w:tcW w:w="1736" w:type="pct"/>
                        <w:tcBorders>
                          <w:top w:val="outset" w:sz="4" w:space="0" w:color="auto"/>
                          <w:left w:val="outset" w:sz="4" w:space="0" w:color="auto"/>
                          <w:bottom w:val="outset" w:sz="4" w:space="0" w:color="auto"/>
                          <w:right w:val="outset" w:sz="4" w:space="0" w:color="auto"/>
                        </w:tcBorders>
                      </w:tcPr>
                      <w:p w:rsidR="00FE7F64" w:rsidRDefault="00FE7F64" w:rsidP="00FE7F64">
                        <w:pPr>
                          <w:ind w:firstLineChars="200" w:firstLine="420"/>
                          <w:rPr>
                            <w:color w:val="000000"/>
                            <w:szCs w:val="21"/>
                          </w:rPr>
                        </w:pPr>
                        <w:r>
                          <w:rPr>
                            <w:rFonts w:hint="eastAsia"/>
                            <w:szCs w:val="21"/>
                          </w:rPr>
                          <w:t>筹资活动现金流入小计</w:t>
                        </w:r>
                      </w:p>
                    </w:tc>
                  </w:sdtContent>
                </w:sdt>
                <w:tc>
                  <w:tcPr>
                    <w:tcW w:w="866" w:type="pct"/>
                    <w:tcBorders>
                      <w:top w:val="outset" w:sz="4" w:space="0" w:color="auto"/>
                      <w:left w:val="outset" w:sz="4" w:space="0" w:color="auto"/>
                      <w:bottom w:val="outset" w:sz="4" w:space="0" w:color="auto"/>
                      <w:right w:val="outset" w:sz="4" w:space="0" w:color="auto"/>
                    </w:tcBorders>
                  </w:tcPr>
                  <w:p w:rsidR="00FE7F64" w:rsidRDefault="00FE7F64" w:rsidP="00FE7F64">
                    <w:pPr>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FE7F64" w:rsidRDefault="00FE7F64" w:rsidP="00FE7F64">
                    <w:pPr>
                      <w:jc w:val="right"/>
                      <w:rPr>
                        <w:szCs w:val="21"/>
                      </w:rPr>
                    </w:pPr>
                    <w:r>
                      <w:t>1,229,029,214</w:t>
                    </w:r>
                  </w:p>
                </w:tc>
                <w:tc>
                  <w:tcPr>
                    <w:tcW w:w="1197" w:type="pct"/>
                    <w:tcBorders>
                      <w:top w:val="outset" w:sz="4" w:space="0" w:color="auto"/>
                      <w:left w:val="outset" w:sz="4" w:space="0" w:color="auto"/>
                      <w:bottom w:val="outset" w:sz="4" w:space="0" w:color="auto"/>
                      <w:right w:val="outset" w:sz="4" w:space="0" w:color="auto"/>
                    </w:tcBorders>
                    <w:vAlign w:val="center"/>
                  </w:tcPr>
                  <w:p w:rsidR="00FE7F64" w:rsidRDefault="00FE7F64" w:rsidP="00FE7F64">
                    <w:pPr>
                      <w:jc w:val="right"/>
                      <w:rPr>
                        <w:szCs w:val="21"/>
                      </w:rPr>
                    </w:pPr>
                    <w:r>
                      <w:t>1,233,796,889</w:t>
                    </w:r>
                  </w:p>
                </w:tc>
              </w:tr>
              <w:tr w:rsidR="00FE7F64" w:rsidTr="00601D47">
                <w:sdt>
                  <w:sdtPr>
                    <w:tag w:val="_PLD_aff7930be8e64ed1b13f59d6d08f096a"/>
                    <w:id w:val="12506010"/>
                    <w:lock w:val="sdtLocked"/>
                  </w:sdtPr>
                  <w:sdtContent>
                    <w:tc>
                      <w:tcPr>
                        <w:tcW w:w="1736" w:type="pct"/>
                        <w:tcBorders>
                          <w:top w:val="outset" w:sz="4" w:space="0" w:color="auto"/>
                          <w:left w:val="outset" w:sz="4" w:space="0" w:color="auto"/>
                          <w:bottom w:val="outset" w:sz="4" w:space="0" w:color="auto"/>
                          <w:right w:val="outset" w:sz="4" w:space="0" w:color="auto"/>
                        </w:tcBorders>
                      </w:tcPr>
                      <w:p w:rsidR="00FE7F64" w:rsidRDefault="00FE7F64" w:rsidP="00FE7F64">
                        <w:pPr>
                          <w:ind w:firstLineChars="100" w:firstLine="210"/>
                          <w:rPr>
                            <w:color w:val="000000"/>
                            <w:szCs w:val="21"/>
                          </w:rPr>
                        </w:pPr>
                        <w:r>
                          <w:rPr>
                            <w:rFonts w:hint="eastAsia"/>
                            <w:szCs w:val="21"/>
                          </w:rPr>
                          <w:t>偿还债务支付的现金</w:t>
                        </w:r>
                      </w:p>
                    </w:tc>
                  </w:sdtContent>
                </w:sdt>
                <w:tc>
                  <w:tcPr>
                    <w:tcW w:w="866" w:type="pct"/>
                    <w:tcBorders>
                      <w:top w:val="outset" w:sz="4" w:space="0" w:color="auto"/>
                      <w:left w:val="outset" w:sz="4" w:space="0" w:color="auto"/>
                      <w:bottom w:val="outset" w:sz="4" w:space="0" w:color="auto"/>
                      <w:right w:val="outset" w:sz="4" w:space="0" w:color="auto"/>
                    </w:tcBorders>
                  </w:tcPr>
                  <w:p w:rsidR="00FE7F64" w:rsidRDefault="00FE7F64" w:rsidP="00FE7F64">
                    <w:pPr>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FE7F64" w:rsidRDefault="00FE7F64" w:rsidP="00FE7F64">
                    <w:pPr>
                      <w:jc w:val="right"/>
                      <w:rPr>
                        <w:szCs w:val="21"/>
                      </w:rPr>
                    </w:pPr>
                    <w:r>
                      <w:t>2,622,630,684</w:t>
                    </w:r>
                  </w:p>
                </w:tc>
                <w:tc>
                  <w:tcPr>
                    <w:tcW w:w="1197" w:type="pct"/>
                    <w:tcBorders>
                      <w:top w:val="outset" w:sz="4" w:space="0" w:color="auto"/>
                      <w:left w:val="outset" w:sz="4" w:space="0" w:color="auto"/>
                      <w:bottom w:val="outset" w:sz="4" w:space="0" w:color="auto"/>
                      <w:right w:val="outset" w:sz="4" w:space="0" w:color="auto"/>
                    </w:tcBorders>
                    <w:vAlign w:val="center"/>
                  </w:tcPr>
                  <w:p w:rsidR="00FE7F64" w:rsidRDefault="00FE7F64" w:rsidP="00FE7F64">
                    <w:pPr>
                      <w:jc w:val="right"/>
                      <w:rPr>
                        <w:szCs w:val="21"/>
                      </w:rPr>
                    </w:pPr>
                    <w:r>
                      <w:t>1,020,760,600</w:t>
                    </w:r>
                  </w:p>
                </w:tc>
              </w:tr>
              <w:tr w:rsidR="00FE7F64" w:rsidTr="00601D47">
                <w:sdt>
                  <w:sdtPr>
                    <w:tag w:val="_PLD_1bca8b27544e494dae353545d0c6bb93"/>
                    <w:id w:val="283623117"/>
                    <w:lock w:val="sdtLocked"/>
                  </w:sdtPr>
                  <w:sdtContent>
                    <w:tc>
                      <w:tcPr>
                        <w:tcW w:w="1736" w:type="pct"/>
                        <w:tcBorders>
                          <w:top w:val="outset" w:sz="4" w:space="0" w:color="auto"/>
                          <w:left w:val="outset" w:sz="4" w:space="0" w:color="auto"/>
                          <w:bottom w:val="outset" w:sz="4" w:space="0" w:color="auto"/>
                          <w:right w:val="outset" w:sz="4" w:space="0" w:color="auto"/>
                        </w:tcBorders>
                      </w:tcPr>
                      <w:p w:rsidR="00FE7F64" w:rsidRDefault="00FE7F64" w:rsidP="00FE7F64">
                        <w:pPr>
                          <w:ind w:firstLineChars="100" w:firstLine="210"/>
                          <w:rPr>
                            <w:szCs w:val="21"/>
                          </w:rPr>
                        </w:pPr>
                        <w:r>
                          <w:rPr>
                            <w:rFonts w:hint="eastAsia"/>
                            <w:szCs w:val="21"/>
                          </w:rPr>
                          <w:t>分配股利、利润或偿付利息支付的现金</w:t>
                        </w:r>
                      </w:p>
                    </w:tc>
                  </w:sdtContent>
                </w:sdt>
                <w:tc>
                  <w:tcPr>
                    <w:tcW w:w="866" w:type="pct"/>
                    <w:tcBorders>
                      <w:top w:val="outset" w:sz="4" w:space="0" w:color="auto"/>
                      <w:left w:val="outset" w:sz="4" w:space="0" w:color="auto"/>
                      <w:bottom w:val="outset" w:sz="4" w:space="0" w:color="auto"/>
                      <w:right w:val="outset" w:sz="4" w:space="0" w:color="auto"/>
                    </w:tcBorders>
                  </w:tcPr>
                  <w:p w:rsidR="00FE7F64" w:rsidRDefault="00FE7F64" w:rsidP="00FE7F64">
                    <w:pPr>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FE7F64" w:rsidRDefault="00FE7F64" w:rsidP="00FE7F64">
                    <w:pPr>
                      <w:jc w:val="right"/>
                      <w:rPr>
                        <w:szCs w:val="21"/>
                      </w:rPr>
                    </w:pPr>
                    <w:r>
                      <w:t>8,502,058,429</w:t>
                    </w:r>
                  </w:p>
                </w:tc>
                <w:tc>
                  <w:tcPr>
                    <w:tcW w:w="1197" w:type="pct"/>
                    <w:tcBorders>
                      <w:top w:val="outset" w:sz="4" w:space="0" w:color="auto"/>
                      <w:left w:val="outset" w:sz="4" w:space="0" w:color="auto"/>
                      <w:bottom w:val="outset" w:sz="4" w:space="0" w:color="auto"/>
                      <w:right w:val="outset" w:sz="4" w:space="0" w:color="auto"/>
                    </w:tcBorders>
                    <w:vAlign w:val="center"/>
                  </w:tcPr>
                  <w:p w:rsidR="00FE7F64" w:rsidRDefault="00FE7F64" w:rsidP="00FE7F64">
                    <w:pPr>
                      <w:jc w:val="right"/>
                      <w:rPr>
                        <w:szCs w:val="21"/>
                      </w:rPr>
                    </w:pPr>
                    <w:r>
                      <w:t>8,111,431,923</w:t>
                    </w:r>
                  </w:p>
                </w:tc>
              </w:tr>
              <w:tr w:rsidR="00FE7F64" w:rsidTr="00601D47">
                <w:sdt>
                  <w:sdtPr>
                    <w:tag w:val="_PLD_51ab8b61b0154cdfa8b4f223a9b20fa6"/>
                    <w:id w:val="542871420"/>
                    <w:lock w:val="sdtLocked"/>
                  </w:sdtPr>
                  <w:sdtContent>
                    <w:tc>
                      <w:tcPr>
                        <w:tcW w:w="1736" w:type="pct"/>
                        <w:tcBorders>
                          <w:top w:val="outset" w:sz="4" w:space="0" w:color="auto"/>
                          <w:left w:val="outset" w:sz="4" w:space="0" w:color="auto"/>
                          <w:bottom w:val="outset" w:sz="4" w:space="0" w:color="auto"/>
                          <w:right w:val="outset" w:sz="4" w:space="0" w:color="auto"/>
                        </w:tcBorders>
                      </w:tcPr>
                      <w:p w:rsidR="00FE7F64" w:rsidRDefault="00FE7F64" w:rsidP="00FE7F64">
                        <w:pPr>
                          <w:ind w:firstLineChars="100" w:firstLine="210"/>
                          <w:rPr>
                            <w:szCs w:val="21"/>
                          </w:rPr>
                        </w:pPr>
                        <w:r>
                          <w:rPr>
                            <w:rFonts w:hint="eastAsia"/>
                            <w:szCs w:val="21"/>
                          </w:rPr>
                          <w:t>其中：子公司支付给少数股东的股利、利润</w:t>
                        </w:r>
                      </w:p>
                    </w:tc>
                  </w:sdtContent>
                </w:sdt>
                <w:tc>
                  <w:tcPr>
                    <w:tcW w:w="866" w:type="pct"/>
                    <w:tcBorders>
                      <w:top w:val="outset" w:sz="4" w:space="0" w:color="auto"/>
                      <w:left w:val="outset" w:sz="4" w:space="0" w:color="auto"/>
                      <w:bottom w:val="outset" w:sz="4" w:space="0" w:color="auto"/>
                      <w:right w:val="outset" w:sz="4" w:space="0" w:color="auto"/>
                    </w:tcBorders>
                  </w:tcPr>
                  <w:p w:rsidR="00FE7F64" w:rsidRDefault="00FE7F64" w:rsidP="00FE7F64">
                    <w:pPr>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FE7F64" w:rsidRDefault="00FE7F64" w:rsidP="00FE7F64">
                    <w:pPr>
                      <w:jc w:val="right"/>
                      <w:rPr>
                        <w:szCs w:val="21"/>
                      </w:rPr>
                    </w:pPr>
                    <w:r>
                      <w:t>723,036,170</w:t>
                    </w:r>
                  </w:p>
                </w:tc>
                <w:tc>
                  <w:tcPr>
                    <w:tcW w:w="1197" w:type="pct"/>
                    <w:tcBorders>
                      <w:top w:val="outset" w:sz="4" w:space="0" w:color="auto"/>
                      <w:left w:val="outset" w:sz="4" w:space="0" w:color="auto"/>
                      <w:bottom w:val="outset" w:sz="4" w:space="0" w:color="auto"/>
                      <w:right w:val="outset" w:sz="4" w:space="0" w:color="auto"/>
                    </w:tcBorders>
                    <w:vAlign w:val="center"/>
                  </w:tcPr>
                  <w:p w:rsidR="00FE7F64" w:rsidRDefault="00FE7F64" w:rsidP="00FE7F64">
                    <w:pPr>
                      <w:jc w:val="right"/>
                      <w:rPr>
                        <w:szCs w:val="21"/>
                      </w:rPr>
                    </w:pPr>
                    <w:r>
                      <w:t>378,193,012</w:t>
                    </w:r>
                  </w:p>
                </w:tc>
              </w:tr>
              <w:tr w:rsidR="00FE7F64" w:rsidTr="00601D47">
                <w:sdt>
                  <w:sdtPr>
                    <w:tag w:val="_PLD_a0e8fdaaed8747fe8ad8fd59610df512"/>
                    <w:id w:val="-290214340"/>
                    <w:lock w:val="sdtLocked"/>
                  </w:sdtPr>
                  <w:sdtContent>
                    <w:tc>
                      <w:tcPr>
                        <w:tcW w:w="1736" w:type="pct"/>
                        <w:tcBorders>
                          <w:top w:val="outset" w:sz="4" w:space="0" w:color="auto"/>
                          <w:left w:val="outset" w:sz="4" w:space="0" w:color="auto"/>
                          <w:bottom w:val="outset" w:sz="4" w:space="0" w:color="auto"/>
                          <w:right w:val="outset" w:sz="4" w:space="0" w:color="auto"/>
                        </w:tcBorders>
                      </w:tcPr>
                      <w:p w:rsidR="00FE7F64" w:rsidRDefault="00FE7F64" w:rsidP="00FE7F64">
                        <w:pPr>
                          <w:ind w:firstLineChars="100" w:firstLine="210"/>
                          <w:rPr>
                            <w:szCs w:val="21"/>
                          </w:rPr>
                        </w:pPr>
                        <w:r>
                          <w:rPr>
                            <w:rFonts w:hint="eastAsia"/>
                            <w:szCs w:val="21"/>
                          </w:rPr>
                          <w:t>支付其他与筹资活动有关的现金</w:t>
                        </w:r>
                      </w:p>
                    </w:tc>
                  </w:sdtContent>
                </w:sdt>
                <w:tc>
                  <w:tcPr>
                    <w:tcW w:w="866" w:type="pct"/>
                    <w:tcBorders>
                      <w:top w:val="outset" w:sz="4" w:space="0" w:color="auto"/>
                      <w:left w:val="outset" w:sz="4" w:space="0" w:color="auto"/>
                      <w:bottom w:val="outset" w:sz="4" w:space="0" w:color="auto"/>
                      <w:right w:val="outset" w:sz="4" w:space="0" w:color="auto"/>
                    </w:tcBorders>
                  </w:tcPr>
                  <w:p w:rsidR="00FE7F64" w:rsidRDefault="00DA5767" w:rsidP="00FE7F64">
                    <w:pPr>
                      <w:rPr>
                        <w:szCs w:val="21"/>
                      </w:rPr>
                    </w:pPr>
                    <w:r>
                      <w:rPr>
                        <w:rFonts w:hint="eastAsia"/>
                        <w:szCs w:val="21"/>
                      </w:rPr>
                      <w:t>七、7</w:t>
                    </w:r>
                    <w:r>
                      <w:rPr>
                        <w:szCs w:val="21"/>
                      </w:rPr>
                      <w:t>8</w:t>
                    </w:r>
                    <w:r>
                      <w:rPr>
                        <w:rFonts w:hint="eastAsia"/>
                        <w:szCs w:val="21"/>
                      </w:rPr>
                      <w:t>（6）</w:t>
                    </w:r>
                  </w:p>
                </w:tc>
                <w:tc>
                  <w:tcPr>
                    <w:tcW w:w="1201" w:type="pct"/>
                    <w:tcBorders>
                      <w:top w:val="outset" w:sz="4" w:space="0" w:color="auto"/>
                      <w:left w:val="outset" w:sz="4" w:space="0" w:color="auto"/>
                      <w:bottom w:val="outset" w:sz="4" w:space="0" w:color="auto"/>
                      <w:right w:val="outset" w:sz="4" w:space="0" w:color="auto"/>
                    </w:tcBorders>
                    <w:vAlign w:val="center"/>
                  </w:tcPr>
                  <w:p w:rsidR="00FE7F64" w:rsidRDefault="00FE7F64" w:rsidP="00FE7F64">
                    <w:pPr>
                      <w:jc w:val="right"/>
                      <w:rPr>
                        <w:szCs w:val="21"/>
                      </w:rPr>
                    </w:pPr>
                    <w:r>
                      <w:t>141,146,557</w:t>
                    </w:r>
                  </w:p>
                </w:tc>
                <w:tc>
                  <w:tcPr>
                    <w:tcW w:w="1197" w:type="pct"/>
                    <w:tcBorders>
                      <w:top w:val="outset" w:sz="4" w:space="0" w:color="auto"/>
                      <w:left w:val="outset" w:sz="4" w:space="0" w:color="auto"/>
                      <w:bottom w:val="outset" w:sz="4" w:space="0" w:color="auto"/>
                      <w:right w:val="outset" w:sz="4" w:space="0" w:color="auto"/>
                    </w:tcBorders>
                    <w:vAlign w:val="center"/>
                  </w:tcPr>
                  <w:p w:rsidR="00FE7F64" w:rsidRDefault="00FE7F64" w:rsidP="00FE7F64">
                    <w:pPr>
                      <w:jc w:val="right"/>
                      <w:rPr>
                        <w:szCs w:val="21"/>
                      </w:rPr>
                    </w:pPr>
                    <w:r>
                      <w:t>338,023,141</w:t>
                    </w:r>
                  </w:p>
                </w:tc>
              </w:tr>
              <w:tr w:rsidR="00FE7F64" w:rsidTr="00601D47">
                <w:sdt>
                  <w:sdtPr>
                    <w:tag w:val="_PLD_29c16ab7e982410e87084b3173f3248b"/>
                    <w:id w:val="-1739238010"/>
                    <w:lock w:val="sdtLocked"/>
                  </w:sdtPr>
                  <w:sdtContent>
                    <w:tc>
                      <w:tcPr>
                        <w:tcW w:w="1736" w:type="pct"/>
                        <w:tcBorders>
                          <w:top w:val="outset" w:sz="4" w:space="0" w:color="auto"/>
                          <w:left w:val="outset" w:sz="4" w:space="0" w:color="auto"/>
                          <w:bottom w:val="outset" w:sz="4" w:space="0" w:color="auto"/>
                          <w:right w:val="outset" w:sz="4" w:space="0" w:color="auto"/>
                        </w:tcBorders>
                      </w:tcPr>
                      <w:p w:rsidR="00FE7F64" w:rsidRDefault="00FE7F64" w:rsidP="00FE7F64">
                        <w:pPr>
                          <w:ind w:firstLineChars="200" w:firstLine="420"/>
                          <w:rPr>
                            <w:color w:val="000000"/>
                            <w:szCs w:val="21"/>
                          </w:rPr>
                        </w:pPr>
                        <w:r>
                          <w:rPr>
                            <w:rFonts w:hint="eastAsia"/>
                            <w:szCs w:val="21"/>
                          </w:rPr>
                          <w:t>筹资活动现金流出小计</w:t>
                        </w:r>
                      </w:p>
                    </w:tc>
                  </w:sdtContent>
                </w:sdt>
                <w:tc>
                  <w:tcPr>
                    <w:tcW w:w="866" w:type="pct"/>
                    <w:tcBorders>
                      <w:top w:val="outset" w:sz="4" w:space="0" w:color="auto"/>
                      <w:left w:val="outset" w:sz="4" w:space="0" w:color="auto"/>
                      <w:bottom w:val="outset" w:sz="4" w:space="0" w:color="auto"/>
                      <w:right w:val="outset" w:sz="4" w:space="0" w:color="auto"/>
                    </w:tcBorders>
                  </w:tcPr>
                  <w:p w:rsidR="00FE7F64" w:rsidRDefault="00FE7F64" w:rsidP="00FE7F64">
                    <w:pPr>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FE7F64" w:rsidRDefault="00FE7F64" w:rsidP="00FE7F64">
                    <w:pPr>
                      <w:jc w:val="right"/>
                      <w:rPr>
                        <w:szCs w:val="21"/>
                      </w:rPr>
                    </w:pPr>
                    <w:r>
                      <w:t>11,265,835,670</w:t>
                    </w:r>
                  </w:p>
                </w:tc>
                <w:tc>
                  <w:tcPr>
                    <w:tcW w:w="1197" w:type="pct"/>
                    <w:tcBorders>
                      <w:top w:val="outset" w:sz="4" w:space="0" w:color="auto"/>
                      <w:left w:val="outset" w:sz="4" w:space="0" w:color="auto"/>
                      <w:bottom w:val="outset" w:sz="4" w:space="0" w:color="auto"/>
                      <w:right w:val="outset" w:sz="4" w:space="0" w:color="auto"/>
                    </w:tcBorders>
                    <w:vAlign w:val="center"/>
                  </w:tcPr>
                  <w:p w:rsidR="00FE7F64" w:rsidRDefault="00FE7F64" w:rsidP="00FE7F64">
                    <w:pPr>
                      <w:jc w:val="right"/>
                      <w:rPr>
                        <w:szCs w:val="21"/>
                      </w:rPr>
                    </w:pPr>
                    <w:r>
                      <w:t>9,470,215,664</w:t>
                    </w:r>
                  </w:p>
                </w:tc>
              </w:tr>
              <w:tr w:rsidR="00FE7F64" w:rsidTr="00601D47">
                <w:sdt>
                  <w:sdtPr>
                    <w:tag w:val="_PLD_d8b367a0b3e640df869e3dfe9c9e7295"/>
                    <w:id w:val="995385469"/>
                    <w:lock w:val="sdtLocked"/>
                  </w:sdtPr>
                  <w:sdtContent>
                    <w:tc>
                      <w:tcPr>
                        <w:tcW w:w="1736" w:type="pct"/>
                        <w:tcBorders>
                          <w:top w:val="outset" w:sz="4" w:space="0" w:color="auto"/>
                          <w:left w:val="outset" w:sz="4" w:space="0" w:color="auto"/>
                          <w:bottom w:val="outset" w:sz="4" w:space="0" w:color="auto"/>
                          <w:right w:val="outset" w:sz="4" w:space="0" w:color="auto"/>
                        </w:tcBorders>
                      </w:tcPr>
                      <w:p w:rsidR="00FE7F64" w:rsidRDefault="00FE7F64" w:rsidP="00FE7F64">
                        <w:pPr>
                          <w:ind w:firstLineChars="300" w:firstLine="630"/>
                          <w:rPr>
                            <w:color w:val="000000"/>
                            <w:szCs w:val="21"/>
                          </w:rPr>
                        </w:pPr>
                        <w:r>
                          <w:rPr>
                            <w:rFonts w:hint="eastAsia"/>
                            <w:szCs w:val="21"/>
                          </w:rPr>
                          <w:t>筹资活动产生的现金流量净额</w:t>
                        </w:r>
                      </w:p>
                    </w:tc>
                  </w:sdtContent>
                </w:sdt>
                <w:tc>
                  <w:tcPr>
                    <w:tcW w:w="866" w:type="pct"/>
                    <w:tcBorders>
                      <w:top w:val="outset" w:sz="4" w:space="0" w:color="auto"/>
                      <w:left w:val="outset" w:sz="4" w:space="0" w:color="auto"/>
                      <w:bottom w:val="outset" w:sz="4" w:space="0" w:color="auto"/>
                      <w:right w:val="outset" w:sz="4" w:space="0" w:color="auto"/>
                    </w:tcBorders>
                  </w:tcPr>
                  <w:p w:rsidR="00FE7F64" w:rsidRDefault="00FE7F64" w:rsidP="00FE7F64">
                    <w:pPr>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FE7F64" w:rsidRDefault="00FE7F64" w:rsidP="00FE7F64">
                    <w:pPr>
                      <w:jc w:val="right"/>
                      <w:rPr>
                        <w:szCs w:val="21"/>
                      </w:rPr>
                    </w:pPr>
                    <w:r>
                      <w:rPr>
                        <w:rFonts w:hint="eastAsia"/>
                      </w:rPr>
                      <w:t>-</w:t>
                    </w:r>
                    <w:r>
                      <w:t>10,036,806,456</w:t>
                    </w:r>
                  </w:p>
                </w:tc>
                <w:tc>
                  <w:tcPr>
                    <w:tcW w:w="1197" w:type="pct"/>
                    <w:tcBorders>
                      <w:top w:val="outset" w:sz="4" w:space="0" w:color="auto"/>
                      <w:left w:val="outset" w:sz="4" w:space="0" w:color="auto"/>
                      <w:bottom w:val="outset" w:sz="4" w:space="0" w:color="auto"/>
                      <w:right w:val="outset" w:sz="4" w:space="0" w:color="auto"/>
                    </w:tcBorders>
                    <w:vAlign w:val="center"/>
                  </w:tcPr>
                  <w:p w:rsidR="00FE7F64" w:rsidRDefault="00FE7F64" w:rsidP="00FE7F64">
                    <w:pPr>
                      <w:jc w:val="right"/>
                      <w:rPr>
                        <w:szCs w:val="21"/>
                      </w:rPr>
                    </w:pPr>
                    <w:r>
                      <w:rPr>
                        <w:rFonts w:hint="eastAsia"/>
                      </w:rPr>
                      <w:t>-</w:t>
                    </w:r>
                    <w:r>
                      <w:t>8,236,418,775</w:t>
                    </w:r>
                  </w:p>
                </w:tc>
              </w:tr>
              <w:tr w:rsidR="00FE7F64" w:rsidTr="00B83FF0">
                <w:sdt>
                  <w:sdtPr>
                    <w:tag w:val="_PLD_eb283b5426a14b14b38c0e391c747203"/>
                    <w:id w:val="-390276411"/>
                    <w:lock w:val="sdtLocked"/>
                  </w:sdtPr>
                  <w:sdtContent>
                    <w:tc>
                      <w:tcPr>
                        <w:tcW w:w="1736" w:type="pct"/>
                        <w:tcBorders>
                          <w:top w:val="outset" w:sz="4" w:space="0" w:color="auto"/>
                          <w:left w:val="outset" w:sz="4" w:space="0" w:color="auto"/>
                          <w:bottom w:val="outset" w:sz="4" w:space="0" w:color="auto"/>
                          <w:right w:val="outset" w:sz="4" w:space="0" w:color="auto"/>
                        </w:tcBorders>
                      </w:tcPr>
                      <w:p w:rsidR="00FE7F64" w:rsidRDefault="00FE7F64" w:rsidP="00FE7F64">
                        <w:pPr>
                          <w:rPr>
                            <w:color w:val="000000"/>
                            <w:szCs w:val="21"/>
                          </w:rPr>
                        </w:pPr>
                        <w:r>
                          <w:rPr>
                            <w:rFonts w:hint="eastAsia"/>
                            <w:b/>
                            <w:bCs/>
                            <w:szCs w:val="21"/>
                          </w:rPr>
                          <w:t>四、汇率变动对现金及现金等价物的影响</w:t>
                        </w:r>
                      </w:p>
                    </w:tc>
                  </w:sdtContent>
                </w:sdt>
                <w:tc>
                  <w:tcPr>
                    <w:tcW w:w="866" w:type="pct"/>
                    <w:tcBorders>
                      <w:top w:val="outset" w:sz="4" w:space="0" w:color="auto"/>
                      <w:left w:val="outset" w:sz="4" w:space="0" w:color="auto"/>
                      <w:bottom w:val="outset" w:sz="4" w:space="0" w:color="auto"/>
                      <w:right w:val="outset" w:sz="4" w:space="0" w:color="auto"/>
                    </w:tcBorders>
                  </w:tcPr>
                  <w:p w:rsidR="00FE7F64" w:rsidRDefault="00FE7F64" w:rsidP="00FE7F64">
                    <w:pPr>
                      <w:rPr>
                        <w:szCs w:val="21"/>
                      </w:rPr>
                    </w:pPr>
                  </w:p>
                </w:tc>
                <w:tc>
                  <w:tcPr>
                    <w:tcW w:w="1201" w:type="pct"/>
                    <w:tcBorders>
                      <w:top w:val="outset" w:sz="4" w:space="0" w:color="auto"/>
                      <w:left w:val="outset" w:sz="4" w:space="0" w:color="auto"/>
                      <w:bottom w:val="outset" w:sz="4" w:space="0" w:color="auto"/>
                      <w:right w:val="outset" w:sz="4" w:space="0" w:color="auto"/>
                    </w:tcBorders>
                  </w:tcPr>
                  <w:p w:rsidR="00FE7F64" w:rsidRDefault="00FE7F64" w:rsidP="00FE7F64">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FE7F64" w:rsidRDefault="00FE7F64" w:rsidP="00FE7F64">
                    <w:pPr>
                      <w:jc w:val="right"/>
                      <w:rPr>
                        <w:szCs w:val="21"/>
                      </w:rPr>
                    </w:pPr>
                  </w:p>
                </w:tc>
              </w:tr>
              <w:tr w:rsidR="00FE7F64" w:rsidTr="00601D47">
                <w:sdt>
                  <w:sdtPr>
                    <w:tag w:val="_PLD_3529ca6f8e5e45689b9190b11509b477"/>
                    <w:id w:val="340674233"/>
                    <w:lock w:val="sdtLocked"/>
                  </w:sdtPr>
                  <w:sdtContent>
                    <w:tc>
                      <w:tcPr>
                        <w:tcW w:w="1736" w:type="pct"/>
                        <w:tcBorders>
                          <w:top w:val="outset" w:sz="4" w:space="0" w:color="auto"/>
                          <w:left w:val="outset" w:sz="4" w:space="0" w:color="auto"/>
                          <w:bottom w:val="outset" w:sz="4" w:space="0" w:color="auto"/>
                          <w:right w:val="outset" w:sz="4" w:space="0" w:color="auto"/>
                        </w:tcBorders>
                      </w:tcPr>
                      <w:p w:rsidR="00FE7F64" w:rsidRDefault="00FE7F64" w:rsidP="00FE7F64">
                        <w:pPr>
                          <w:rPr>
                            <w:color w:val="000000"/>
                            <w:szCs w:val="21"/>
                          </w:rPr>
                        </w:pPr>
                        <w:r>
                          <w:rPr>
                            <w:rFonts w:hint="eastAsia"/>
                            <w:b/>
                            <w:bCs/>
                            <w:szCs w:val="21"/>
                          </w:rPr>
                          <w:t>五、现金及现金等价物净增加额</w:t>
                        </w:r>
                      </w:p>
                    </w:tc>
                  </w:sdtContent>
                </w:sdt>
                <w:tc>
                  <w:tcPr>
                    <w:tcW w:w="866" w:type="pct"/>
                    <w:tcBorders>
                      <w:top w:val="outset" w:sz="4" w:space="0" w:color="auto"/>
                      <w:left w:val="outset" w:sz="4" w:space="0" w:color="auto"/>
                      <w:bottom w:val="outset" w:sz="4" w:space="0" w:color="auto"/>
                      <w:right w:val="outset" w:sz="4" w:space="0" w:color="auto"/>
                    </w:tcBorders>
                  </w:tcPr>
                  <w:p w:rsidR="00FE7F64" w:rsidRDefault="00DA5767" w:rsidP="00FE7F64">
                    <w:pPr>
                      <w:rPr>
                        <w:szCs w:val="21"/>
                      </w:rPr>
                    </w:pPr>
                    <w:r>
                      <w:rPr>
                        <w:rFonts w:hint="eastAsia"/>
                        <w:szCs w:val="21"/>
                      </w:rPr>
                      <w:t>七、7</w:t>
                    </w:r>
                    <w:r>
                      <w:rPr>
                        <w:szCs w:val="21"/>
                      </w:rPr>
                      <w:t>9</w:t>
                    </w:r>
                    <w:r>
                      <w:rPr>
                        <w:rFonts w:hint="eastAsia"/>
                        <w:szCs w:val="21"/>
                      </w:rPr>
                      <w:t>（1）</w:t>
                    </w:r>
                  </w:p>
                </w:tc>
                <w:tc>
                  <w:tcPr>
                    <w:tcW w:w="1201" w:type="pct"/>
                    <w:tcBorders>
                      <w:top w:val="outset" w:sz="4" w:space="0" w:color="auto"/>
                      <w:left w:val="outset" w:sz="4" w:space="0" w:color="auto"/>
                      <w:bottom w:val="outset" w:sz="4" w:space="0" w:color="auto"/>
                      <w:right w:val="outset" w:sz="4" w:space="0" w:color="auto"/>
                    </w:tcBorders>
                    <w:vAlign w:val="center"/>
                  </w:tcPr>
                  <w:p w:rsidR="00FE7F64" w:rsidRDefault="00FE7F64" w:rsidP="00FE7F64">
                    <w:pPr>
                      <w:jc w:val="right"/>
                      <w:rPr>
                        <w:szCs w:val="21"/>
                      </w:rPr>
                    </w:pPr>
                    <w:r>
                      <w:t>3,187,204,304</w:t>
                    </w:r>
                  </w:p>
                </w:tc>
                <w:tc>
                  <w:tcPr>
                    <w:tcW w:w="1197" w:type="pct"/>
                    <w:tcBorders>
                      <w:top w:val="outset" w:sz="4" w:space="0" w:color="auto"/>
                      <w:left w:val="outset" w:sz="4" w:space="0" w:color="auto"/>
                      <w:bottom w:val="outset" w:sz="4" w:space="0" w:color="auto"/>
                      <w:right w:val="outset" w:sz="4" w:space="0" w:color="auto"/>
                    </w:tcBorders>
                    <w:vAlign w:val="center"/>
                  </w:tcPr>
                  <w:p w:rsidR="00FE7F64" w:rsidRDefault="00FE7F64" w:rsidP="00FE7F64">
                    <w:pPr>
                      <w:jc w:val="right"/>
                      <w:rPr>
                        <w:szCs w:val="21"/>
                      </w:rPr>
                    </w:pPr>
                    <w:r>
                      <w:t>7,328,917,132</w:t>
                    </w:r>
                  </w:p>
                </w:tc>
              </w:tr>
              <w:tr w:rsidR="00FE7F64" w:rsidTr="00601D47">
                <w:sdt>
                  <w:sdtPr>
                    <w:tag w:val="_PLD_0e2e4a176094436e80351302050eec3e"/>
                    <w:id w:val="1973547626"/>
                    <w:lock w:val="sdtLocked"/>
                  </w:sdtPr>
                  <w:sdtContent>
                    <w:tc>
                      <w:tcPr>
                        <w:tcW w:w="1736" w:type="pct"/>
                        <w:tcBorders>
                          <w:top w:val="outset" w:sz="4" w:space="0" w:color="auto"/>
                          <w:left w:val="outset" w:sz="4" w:space="0" w:color="auto"/>
                          <w:bottom w:val="outset" w:sz="4" w:space="0" w:color="auto"/>
                          <w:right w:val="outset" w:sz="4" w:space="0" w:color="auto"/>
                        </w:tcBorders>
                      </w:tcPr>
                      <w:p w:rsidR="00FE7F64" w:rsidRDefault="00FE7F64" w:rsidP="00FE7F64">
                        <w:pPr>
                          <w:ind w:firstLineChars="100" w:firstLine="210"/>
                          <w:rPr>
                            <w:color w:val="000000"/>
                            <w:szCs w:val="21"/>
                          </w:rPr>
                        </w:pPr>
                        <w:r>
                          <w:rPr>
                            <w:rFonts w:hint="eastAsia"/>
                            <w:szCs w:val="21"/>
                          </w:rPr>
                          <w:t>加：期初现金及现金等价物余额</w:t>
                        </w:r>
                      </w:p>
                    </w:tc>
                  </w:sdtContent>
                </w:sdt>
                <w:tc>
                  <w:tcPr>
                    <w:tcW w:w="866" w:type="pct"/>
                    <w:tcBorders>
                      <w:top w:val="outset" w:sz="4" w:space="0" w:color="auto"/>
                      <w:left w:val="outset" w:sz="4" w:space="0" w:color="auto"/>
                      <w:bottom w:val="outset" w:sz="4" w:space="0" w:color="auto"/>
                      <w:right w:val="outset" w:sz="4" w:space="0" w:color="auto"/>
                    </w:tcBorders>
                  </w:tcPr>
                  <w:p w:rsidR="00FE7F64" w:rsidRDefault="00FE7F64" w:rsidP="00FE7F64">
                    <w:pPr>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FE7F64" w:rsidRDefault="00FE7F64" w:rsidP="00FE7F64">
                    <w:pPr>
                      <w:jc w:val="right"/>
                      <w:rPr>
                        <w:szCs w:val="21"/>
                      </w:rPr>
                    </w:pPr>
                    <w:r>
                      <w:t>59,416,293,080</w:t>
                    </w:r>
                  </w:p>
                </w:tc>
                <w:tc>
                  <w:tcPr>
                    <w:tcW w:w="1197" w:type="pct"/>
                    <w:tcBorders>
                      <w:top w:val="outset" w:sz="4" w:space="0" w:color="auto"/>
                      <w:left w:val="outset" w:sz="4" w:space="0" w:color="auto"/>
                      <w:bottom w:val="outset" w:sz="4" w:space="0" w:color="auto"/>
                      <w:right w:val="outset" w:sz="4" w:space="0" w:color="auto"/>
                    </w:tcBorders>
                    <w:vAlign w:val="center"/>
                  </w:tcPr>
                  <w:p w:rsidR="00FE7F64" w:rsidRDefault="00FE7F64" w:rsidP="00FE7F64">
                    <w:pPr>
                      <w:jc w:val="right"/>
                      <w:rPr>
                        <w:szCs w:val="21"/>
                      </w:rPr>
                    </w:pPr>
                    <w:r>
                      <w:t>52,087,375,948</w:t>
                    </w:r>
                  </w:p>
                </w:tc>
              </w:tr>
              <w:tr w:rsidR="00FE7F64" w:rsidTr="00601D47">
                <w:sdt>
                  <w:sdtPr>
                    <w:tag w:val="_PLD_5ffa189f12434f85b8eca19ea30d6b29"/>
                    <w:id w:val="1151950304"/>
                    <w:lock w:val="sdtLocked"/>
                  </w:sdtPr>
                  <w:sdtContent>
                    <w:tc>
                      <w:tcPr>
                        <w:tcW w:w="1736" w:type="pct"/>
                        <w:tcBorders>
                          <w:top w:val="outset" w:sz="4" w:space="0" w:color="auto"/>
                          <w:left w:val="outset" w:sz="4" w:space="0" w:color="auto"/>
                          <w:bottom w:val="outset" w:sz="4" w:space="0" w:color="auto"/>
                          <w:right w:val="outset" w:sz="4" w:space="0" w:color="auto"/>
                        </w:tcBorders>
                      </w:tcPr>
                      <w:p w:rsidR="00FE7F64" w:rsidRDefault="00FE7F64" w:rsidP="00FE7F64">
                        <w:pPr>
                          <w:rPr>
                            <w:color w:val="000000"/>
                            <w:szCs w:val="21"/>
                          </w:rPr>
                        </w:pPr>
                        <w:r>
                          <w:rPr>
                            <w:rFonts w:hint="eastAsia"/>
                            <w:b/>
                            <w:bCs/>
                            <w:szCs w:val="21"/>
                          </w:rPr>
                          <w:t>六、期末现金及现金等价物余额</w:t>
                        </w:r>
                      </w:p>
                    </w:tc>
                  </w:sdtContent>
                </w:sdt>
                <w:tc>
                  <w:tcPr>
                    <w:tcW w:w="866" w:type="pct"/>
                    <w:tcBorders>
                      <w:top w:val="outset" w:sz="4" w:space="0" w:color="auto"/>
                      <w:left w:val="outset" w:sz="4" w:space="0" w:color="auto"/>
                      <w:bottom w:val="outset" w:sz="4" w:space="0" w:color="auto"/>
                      <w:right w:val="outset" w:sz="4" w:space="0" w:color="auto"/>
                    </w:tcBorders>
                  </w:tcPr>
                  <w:p w:rsidR="00FE7F64" w:rsidRDefault="00DA5767" w:rsidP="00FE7F64">
                    <w:pPr>
                      <w:rPr>
                        <w:szCs w:val="21"/>
                      </w:rPr>
                    </w:pPr>
                    <w:r>
                      <w:rPr>
                        <w:rFonts w:hint="eastAsia"/>
                        <w:szCs w:val="21"/>
                      </w:rPr>
                      <w:t>七、7</w:t>
                    </w:r>
                    <w:r>
                      <w:rPr>
                        <w:szCs w:val="21"/>
                      </w:rPr>
                      <w:t>9</w:t>
                    </w:r>
                    <w:r>
                      <w:rPr>
                        <w:rFonts w:hint="eastAsia"/>
                        <w:szCs w:val="21"/>
                      </w:rPr>
                      <w:t>（4）</w:t>
                    </w:r>
                  </w:p>
                </w:tc>
                <w:tc>
                  <w:tcPr>
                    <w:tcW w:w="1201" w:type="pct"/>
                    <w:tcBorders>
                      <w:top w:val="outset" w:sz="4" w:space="0" w:color="auto"/>
                      <w:left w:val="outset" w:sz="4" w:space="0" w:color="auto"/>
                      <w:bottom w:val="outset" w:sz="4" w:space="0" w:color="auto"/>
                      <w:right w:val="outset" w:sz="4" w:space="0" w:color="auto"/>
                    </w:tcBorders>
                    <w:vAlign w:val="center"/>
                  </w:tcPr>
                  <w:p w:rsidR="00FE7F64" w:rsidRDefault="00FE7F64" w:rsidP="00FE7F64">
                    <w:pPr>
                      <w:jc w:val="right"/>
                      <w:rPr>
                        <w:szCs w:val="21"/>
                      </w:rPr>
                    </w:pPr>
                    <w:r>
                      <w:t>62,603,497,384</w:t>
                    </w:r>
                  </w:p>
                </w:tc>
                <w:tc>
                  <w:tcPr>
                    <w:tcW w:w="1197" w:type="pct"/>
                    <w:tcBorders>
                      <w:top w:val="outset" w:sz="4" w:space="0" w:color="auto"/>
                      <w:left w:val="outset" w:sz="4" w:space="0" w:color="auto"/>
                      <w:bottom w:val="outset" w:sz="4" w:space="0" w:color="auto"/>
                      <w:right w:val="outset" w:sz="4" w:space="0" w:color="auto"/>
                    </w:tcBorders>
                    <w:vAlign w:val="center"/>
                  </w:tcPr>
                  <w:p w:rsidR="00FE7F64" w:rsidRDefault="00FE7F64" w:rsidP="00FE7F64">
                    <w:pPr>
                      <w:jc w:val="right"/>
                      <w:rPr>
                        <w:szCs w:val="21"/>
                      </w:rPr>
                    </w:pPr>
                    <w:r>
                      <w:t>59,416,293,080</w:t>
                    </w:r>
                  </w:p>
                </w:tc>
              </w:tr>
            </w:tbl>
            <w:p w:rsidR="00806678" w:rsidRDefault="00806678"/>
            <w:p w:rsidR="00806678" w:rsidRDefault="00B16377">
              <w:pPr>
                <w:snapToGrid w:val="0"/>
                <w:spacing w:line="240" w:lineRule="atLeast"/>
                <w:ind w:rightChars="12" w:right="25"/>
                <w:rPr>
                  <w:b/>
                  <w:bCs/>
                  <w:color w:val="FF0000"/>
                  <w:szCs w:val="21"/>
                </w:rPr>
              </w:pPr>
              <w:r>
                <w:rPr>
                  <w:rFonts w:hint="eastAsia"/>
                  <w:szCs w:val="21"/>
                </w:rPr>
                <w:t>公司负责</w:t>
              </w:r>
              <w:r>
                <w:rPr>
                  <w:szCs w:val="21"/>
                </w:rPr>
                <w:t>人</w:t>
              </w:r>
              <w:r>
                <w:rPr>
                  <w:rFonts w:hint="eastAsia"/>
                  <w:szCs w:val="21"/>
                </w:rPr>
                <w:t>：</w:t>
              </w:r>
              <w:sdt>
                <w:sdtPr>
                  <w:rPr>
                    <w:rFonts w:hint="eastAsia"/>
                    <w:szCs w:val="21"/>
                  </w:rPr>
                  <w:alias w:val="公司负责人姓名"/>
                  <w:tag w:val="_GBC_d1f7cb193ab444ff8482a06aad12f0db"/>
                  <w:id w:val="-1458486580"/>
                  <w:lock w:val="sdtLocked"/>
                  <w:placeholder>
                    <w:docPart w:val="GBC22222222222222222222222222222"/>
                  </w:placeholder>
                  <w:dataBinding w:prefixMappings="xmlns:clcid-mr='clcid-mr'" w:xpath="/*/clcid-mr:GongSiFuZeRenXingMing[not(@periodRef)]" w:storeItemID="{89EBAB94-44A0-46A2-B712-30D997D04A6D}"/>
                  <w:text/>
                </w:sdtPr>
                <w:sdtContent>
                  <w:r w:rsidR="00413527">
                    <w:rPr>
                      <w:rFonts w:hint="eastAsia"/>
                      <w:szCs w:val="21"/>
                    </w:rPr>
                    <w:t xml:space="preserve">戴弘  </w:t>
                  </w:r>
                </w:sdtContent>
              </w:sdt>
              <w:r w:rsidR="00687556">
                <w:rPr>
                  <w:rFonts w:hint="eastAsia"/>
                  <w:szCs w:val="21"/>
                </w:rPr>
                <w:t xml:space="preserve">总经理：韩洪臣  </w:t>
              </w:r>
              <w:r>
                <w:rPr>
                  <w:szCs w:val="21"/>
                </w:rPr>
                <w:t>主管会计工作负责人</w:t>
              </w:r>
              <w:r>
                <w:rPr>
                  <w:rFonts w:hint="eastAsia"/>
                  <w:szCs w:val="21"/>
                </w:rPr>
                <w:t>：</w:t>
              </w:r>
              <w:sdt>
                <w:sdtPr>
                  <w:rPr>
                    <w:rFonts w:hint="eastAsia"/>
                    <w:szCs w:val="21"/>
                  </w:rPr>
                  <w:alias w:val="主管会计工作负责人姓名"/>
                  <w:tag w:val="_GBC_45110b4746914613a7aad68cef7b1bed"/>
                  <w:id w:val="-481003687"/>
                  <w:lock w:val="sdtLocked"/>
                  <w:placeholder>
                    <w:docPart w:val="GBC22222222222222222222222222222"/>
                  </w:placeholder>
                  <w:dataBinding w:prefixMappings="xmlns:clcid-mr='clcid-mr'" w:xpath="/*/clcid-mr:ZhuGuanKuaiJiGongZuoFuZeRenXingMing[not(@periodRef)]" w:storeItemID="{89EBAB94-44A0-46A2-B712-30D997D04A6D}"/>
                  <w:text/>
                </w:sdtPr>
                <w:sdtContent>
                  <w:r w:rsidR="00AD579F">
                    <w:rPr>
                      <w:rFonts w:hint="eastAsia"/>
                      <w:szCs w:val="21"/>
                    </w:rPr>
                    <w:t>田惠民</w:t>
                  </w:r>
                </w:sdtContent>
              </w:sdt>
              <w:r>
                <w:rPr>
                  <w:rFonts w:hint="eastAsia"/>
                  <w:szCs w:val="21"/>
                </w:rPr>
                <w:t xml:space="preserve"> </w:t>
              </w:r>
              <w:r>
                <w:rPr>
                  <w:szCs w:val="21"/>
                </w:rPr>
                <w:t>会计机构负责人</w:t>
              </w:r>
              <w:r>
                <w:rPr>
                  <w:rFonts w:hint="eastAsia"/>
                  <w:szCs w:val="21"/>
                </w:rPr>
                <w:t>：</w:t>
              </w:r>
              <w:sdt>
                <w:sdtPr>
                  <w:rPr>
                    <w:rFonts w:hint="eastAsia"/>
                    <w:szCs w:val="21"/>
                  </w:rPr>
                  <w:alias w:val="会计机构负责人姓名"/>
                  <w:tag w:val="_GBC_e7d70223996e482d9871cfff87704452"/>
                  <w:id w:val="-41675631"/>
                  <w:lock w:val="sdtLocked"/>
                  <w:placeholder>
                    <w:docPart w:val="GBC22222222222222222222222222222"/>
                  </w:placeholder>
                  <w:dataBinding w:prefixMappings="xmlns:clcid-mr='clcid-mr'" w:xpath="/*/clcid-mr:KuaiJiJiGouFuZeRenXingMing[not(@periodRef)]" w:storeItemID="{89EBAB94-44A0-46A2-B712-30D997D04A6D}"/>
                  <w:text/>
                </w:sdtPr>
                <w:sdtContent>
                  <w:r w:rsidR="00AD579F">
                    <w:rPr>
                      <w:rFonts w:hint="eastAsia"/>
                      <w:szCs w:val="21"/>
                    </w:rPr>
                    <w:t>孙洪涛</w:t>
                  </w:r>
                </w:sdtContent>
              </w:sdt>
            </w:p>
          </w:sdtContent>
        </w:sdt>
        <w:p w:rsidR="00806678" w:rsidRDefault="00806678">
          <w:pPr>
            <w:rPr>
              <w:szCs w:val="21"/>
            </w:rPr>
          </w:pPr>
        </w:p>
        <w:p w:rsidR="00FE7F64" w:rsidRDefault="00FE7F64">
          <w:pPr>
            <w:jc w:val="center"/>
            <w:rPr>
              <w:b/>
              <w:bCs/>
              <w:szCs w:val="21"/>
            </w:rPr>
            <w:sectPr w:rsidR="00FE7F64" w:rsidSect="007D5CB5">
              <w:pgSz w:w="11906" w:h="16838"/>
              <w:pgMar w:top="1525" w:right="1276" w:bottom="1440" w:left="1797" w:header="856" w:footer="992" w:gutter="0"/>
              <w:cols w:space="425"/>
              <w:docGrid w:linePitch="312"/>
            </w:sectPr>
          </w:pPr>
        </w:p>
        <w:sdt>
          <w:sdtPr>
            <w:rPr>
              <w:rFonts w:hint="eastAsia"/>
              <w:b/>
              <w:bCs/>
              <w:szCs w:val="21"/>
            </w:rPr>
            <w:tag w:val="_GBC_fa07832b39b14b348ba105d6cedbd7b8"/>
            <w:id w:val="1228189524"/>
            <w:lock w:val="sdtLocked"/>
            <w:placeholder>
              <w:docPart w:val="GBC22222222222222222222222222222"/>
            </w:placeholder>
          </w:sdtPr>
          <w:sdtEndPr>
            <w:rPr>
              <w:b w:val="0"/>
              <w:bCs w:val="0"/>
            </w:rPr>
          </w:sdtEndPr>
          <w:sdtContent>
            <w:p w:rsidR="00806678" w:rsidRDefault="00B16377">
              <w:pPr>
                <w:jc w:val="center"/>
                <w:outlineLvl w:val="2"/>
                <w:rPr>
                  <w:b/>
                  <w:bCs/>
                  <w:szCs w:val="21"/>
                </w:rPr>
              </w:pPr>
              <w:r>
                <w:rPr>
                  <w:rFonts w:hint="eastAsia"/>
                  <w:b/>
                  <w:bCs/>
                  <w:szCs w:val="21"/>
                </w:rPr>
                <w:t>母公司</w:t>
              </w:r>
              <w:r>
                <w:rPr>
                  <w:b/>
                  <w:bCs/>
                  <w:szCs w:val="21"/>
                </w:rPr>
                <w:t>现金流量表</w:t>
              </w:r>
            </w:p>
            <w:p w:rsidR="00806678" w:rsidRDefault="00B16377">
              <w:pPr>
                <w:jc w:val="center"/>
                <w:rPr>
                  <w:b/>
                  <w:bCs/>
                  <w:szCs w:val="21"/>
                </w:rPr>
              </w:pPr>
              <w:r>
                <w:rPr>
                  <w:szCs w:val="21"/>
                </w:rPr>
                <w:t>2022年</w:t>
              </w:r>
              <w:r>
                <w:rPr>
                  <w:rFonts w:hint="eastAsia"/>
                  <w:szCs w:val="21"/>
                </w:rPr>
                <w:t>1—12</w:t>
              </w:r>
              <w:r>
                <w:rPr>
                  <w:szCs w:val="21"/>
                </w:rPr>
                <w:t>月</w:t>
              </w:r>
            </w:p>
            <w:p w:rsidR="00806678" w:rsidRDefault="00B16377">
              <w:pPr>
                <w:jc w:val="right"/>
                <w:rPr>
                  <w:szCs w:val="21"/>
                </w:rPr>
              </w:pPr>
              <w:r>
                <w:rPr>
                  <w:szCs w:val="21"/>
                </w:rPr>
                <w:t>单位:</w:t>
              </w:r>
              <w:sdt>
                <w:sdtPr>
                  <w:rPr>
                    <w:szCs w:val="21"/>
                  </w:rPr>
                  <w:alias w:val="单位：母公司现金流量表"/>
                  <w:tag w:val="_GBC_993ead81b27a41dfaccaacfaec8b7c78"/>
                  <w:id w:val="140302607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szCs w:val="21"/>
                    </w:rPr>
                    <w:t>元</w:t>
                  </w:r>
                </w:sdtContent>
              </w:sdt>
              <w:r>
                <w:rPr>
                  <w:szCs w:val="21"/>
                </w:rPr>
                <w:t xml:space="preserve">  币种:</w:t>
              </w:r>
              <w:sdt>
                <w:sdtPr>
                  <w:rPr>
                    <w:szCs w:val="21"/>
                  </w:rPr>
                  <w:alias w:val="币种：母公司现金流量表"/>
                  <w:tag w:val="_GBC_2dd4b706d0a244a4b4c21166025356cc"/>
                  <w:id w:val="140456458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145"/>
                <w:gridCol w:w="1569"/>
                <w:gridCol w:w="2172"/>
                <w:gridCol w:w="2163"/>
              </w:tblGrid>
              <w:tr w:rsidR="00806678" w:rsidTr="003D5A4A">
                <w:tc>
                  <w:tcPr>
                    <w:tcW w:w="1738" w:type="pct"/>
                    <w:tcBorders>
                      <w:top w:val="outset" w:sz="4" w:space="0" w:color="auto"/>
                      <w:left w:val="outset" w:sz="4" w:space="0" w:color="auto"/>
                      <w:bottom w:val="outset" w:sz="4" w:space="0" w:color="auto"/>
                      <w:right w:val="outset" w:sz="4" w:space="0" w:color="auto"/>
                    </w:tcBorders>
                  </w:tcPr>
                  <w:sdt>
                    <w:sdtPr>
                      <w:rPr>
                        <w:rFonts w:hint="eastAsia"/>
                        <w:b/>
                      </w:rPr>
                      <w:tag w:val="_PLD_fa8a4a4fe8df4f0086d4a3f59744ef0c"/>
                      <w:id w:val="-108046496"/>
                      <w:lock w:val="sdtLocked"/>
                    </w:sdtPr>
                    <w:sdtContent>
                      <w:p w:rsidR="00806678" w:rsidRDefault="00B16377">
                        <w:pPr>
                          <w:jc w:val="center"/>
                          <w:rPr>
                            <w:b/>
                          </w:rPr>
                        </w:pPr>
                        <w:r>
                          <w:rPr>
                            <w:rFonts w:hint="eastAsia"/>
                            <w:b/>
                          </w:rPr>
                          <w:t>项目</w:t>
                        </w:r>
                      </w:p>
                    </w:sdtContent>
                  </w:sdt>
                </w:tc>
                <w:tc>
                  <w:tcPr>
                    <w:tcW w:w="867" w:type="pct"/>
                    <w:tcBorders>
                      <w:top w:val="outset" w:sz="4" w:space="0" w:color="auto"/>
                      <w:left w:val="outset" w:sz="4" w:space="0" w:color="auto"/>
                      <w:bottom w:val="outset" w:sz="4" w:space="0" w:color="auto"/>
                      <w:right w:val="outset" w:sz="4" w:space="0" w:color="auto"/>
                    </w:tcBorders>
                  </w:tcPr>
                  <w:sdt>
                    <w:sdtPr>
                      <w:rPr>
                        <w:rFonts w:hint="eastAsia"/>
                        <w:b/>
                      </w:rPr>
                      <w:tag w:val="_PLD_e2b9d4cf46994f4f99a9560554670b54"/>
                      <w:id w:val="1575166871"/>
                      <w:lock w:val="sdtLocked"/>
                    </w:sdtPr>
                    <w:sdtContent>
                      <w:p w:rsidR="00806678" w:rsidRDefault="00B16377">
                        <w:pPr>
                          <w:autoSpaceDE w:val="0"/>
                          <w:autoSpaceDN w:val="0"/>
                          <w:adjustRightInd w:val="0"/>
                          <w:jc w:val="center"/>
                          <w:rPr>
                            <w:b/>
                          </w:rPr>
                        </w:pPr>
                        <w:r>
                          <w:rPr>
                            <w:rFonts w:hint="eastAsia"/>
                            <w:b/>
                          </w:rPr>
                          <w:t>附注</w:t>
                        </w:r>
                      </w:p>
                    </w:sdtContent>
                  </w:sdt>
                </w:tc>
                <w:tc>
                  <w:tcPr>
                    <w:tcW w:w="1200" w:type="pct"/>
                    <w:tcBorders>
                      <w:top w:val="outset" w:sz="4" w:space="0" w:color="auto"/>
                      <w:left w:val="outset" w:sz="4" w:space="0" w:color="auto"/>
                      <w:bottom w:val="outset" w:sz="4" w:space="0" w:color="auto"/>
                      <w:right w:val="outset" w:sz="4" w:space="0" w:color="auto"/>
                    </w:tcBorders>
                  </w:tcPr>
                  <w:sdt>
                    <w:sdtPr>
                      <w:rPr>
                        <w:rFonts w:hint="eastAsia"/>
                        <w:b/>
                      </w:rPr>
                      <w:tag w:val="_PLD_a5e1076b6ae14d71abde0e9180405588"/>
                      <w:id w:val="-1539277153"/>
                      <w:lock w:val="sdtLocked"/>
                    </w:sdtPr>
                    <w:sdtContent>
                      <w:p w:rsidR="00806678" w:rsidRDefault="00B16377">
                        <w:pPr>
                          <w:autoSpaceDE w:val="0"/>
                          <w:autoSpaceDN w:val="0"/>
                          <w:adjustRightInd w:val="0"/>
                          <w:jc w:val="center"/>
                          <w:rPr>
                            <w:b/>
                          </w:rPr>
                        </w:pPr>
                        <w:r>
                          <w:rPr>
                            <w:rFonts w:hint="eastAsia"/>
                            <w:b/>
                          </w:rPr>
                          <w:t>2022年度</w:t>
                        </w:r>
                      </w:p>
                    </w:sdtContent>
                  </w:sdt>
                </w:tc>
                <w:tc>
                  <w:tcPr>
                    <w:tcW w:w="1195" w:type="pct"/>
                    <w:tcBorders>
                      <w:top w:val="outset" w:sz="4" w:space="0" w:color="auto"/>
                      <w:left w:val="outset" w:sz="4" w:space="0" w:color="auto"/>
                      <w:bottom w:val="outset" w:sz="4" w:space="0" w:color="auto"/>
                      <w:right w:val="outset" w:sz="4" w:space="0" w:color="auto"/>
                    </w:tcBorders>
                  </w:tcPr>
                  <w:sdt>
                    <w:sdtPr>
                      <w:rPr>
                        <w:rFonts w:hint="eastAsia"/>
                        <w:b/>
                      </w:rPr>
                      <w:tag w:val="_PLD_9f1994ac47d2487c870c64df42698a51"/>
                      <w:id w:val="-65266036"/>
                      <w:lock w:val="sdtLocked"/>
                    </w:sdtPr>
                    <w:sdtContent>
                      <w:p w:rsidR="00806678" w:rsidRDefault="00B16377">
                        <w:pPr>
                          <w:autoSpaceDE w:val="0"/>
                          <w:autoSpaceDN w:val="0"/>
                          <w:adjustRightInd w:val="0"/>
                          <w:jc w:val="center"/>
                          <w:rPr>
                            <w:b/>
                          </w:rPr>
                        </w:pPr>
                        <w:r>
                          <w:rPr>
                            <w:rFonts w:hint="eastAsia"/>
                            <w:b/>
                          </w:rPr>
                          <w:t>2021年度</w:t>
                        </w:r>
                      </w:p>
                    </w:sdtContent>
                  </w:sdt>
                </w:tc>
              </w:tr>
              <w:tr w:rsidR="00806678" w:rsidTr="00713F20">
                <w:sdt>
                  <w:sdtPr>
                    <w:tag w:val="_PLD_d5384e7a1c2841c78793ee2e647fdb97"/>
                    <w:id w:val="180010868"/>
                    <w:lock w:val="sdtLocked"/>
                  </w:sdtPr>
                  <w:sdtContent>
                    <w:tc>
                      <w:tcPr>
                        <w:tcW w:w="5000" w:type="pct"/>
                        <w:gridSpan w:val="4"/>
                        <w:tcBorders>
                          <w:top w:val="outset" w:sz="4" w:space="0" w:color="auto"/>
                          <w:left w:val="outset" w:sz="4" w:space="0" w:color="auto"/>
                          <w:bottom w:val="outset" w:sz="4" w:space="0" w:color="auto"/>
                          <w:right w:val="outset" w:sz="4" w:space="0" w:color="auto"/>
                        </w:tcBorders>
                      </w:tcPr>
                      <w:p w:rsidR="00806678" w:rsidRDefault="00B16377">
                        <w:pPr>
                          <w:rPr>
                            <w:szCs w:val="21"/>
                          </w:rPr>
                        </w:pPr>
                        <w:r>
                          <w:rPr>
                            <w:rFonts w:hint="eastAsia"/>
                            <w:b/>
                            <w:bCs/>
                            <w:szCs w:val="21"/>
                          </w:rPr>
                          <w:t>一、经营活动产生的现金流量：</w:t>
                        </w:r>
                      </w:p>
                    </w:tc>
                  </w:sdtContent>
                </w:sdt>
              </w:tr>
              <w:tr w:rsidR="008C4E73" w:rsidTr="00601D47">
                <w:sdt>
                  <w:sdtPr>
                    <w:tag w:val="_PLD_2ef21863579e463191f73e8d1ed04b07"/>
                    <w:id w:val="668297898"/>
                    <w:lock w:val="sdtLocked"/>
                  </w:sdtPr>
                  <w:sdtContent>
                    <w:tc>
                      <w:tcPr>
                        <w:tcW w:w="1738" w:type="pct"/>
                        <w:tcBorders>
                          <w:top w:val="outset" w:sz="4" w:space="0" w:color="auto"/>
                          <w:left w:val="outset" w:sz="4" w:space="0" w:color="auto"/>
                          <w:bottom w:val="outset" w:sz="4" w:space="0" w:color="auto"/>
                          <w:right w:val="outset" w:sz="4" w:space="0" w:color="auto"/>
                        </w:tcBorders>
                      </w:tcPr>
                      <w:p w:rsidR="008C4E73" w:rsidRDefault="008C4E73" w:rsidP="008C4E73">
                        <w:pPr>
                          <w:ind w:firstLineChars="100" w:firstLine="210"/>
                          <w:rPr>
                            <w:color w:val="000000"/>
                            <w:szCs w:val="21"/>
                          </w:rPr>
                        </w:pPr>
                        <w:r>
                          <w:rPr>
                            <w:rFonts w:hint="eastAsia"/>
                            <w:szCs w:val="21"/>
                          </w:rPr>
                          <w:t>销售商品、提供劳务收到的现金</w:t>
                        </w:r>
                      </w:p>
                    </w:tc>
                  </w:sdtContent>
                </w:sdt>
                <w:tc>
                  <w:tcPr>
                    <w:tcW w:w="867" w:type="pct"/>
                    <w:tcBorders>
                      <w:top w:val="outset" w:sz="4" w:space="0" w:color="auto"/>
                      <w:left w:val="outset" w:sz="4" w:space="0" w:color="auto"/>
                      <w:bottom w:val="outset" w:sz="4" w:space="0" w:color="auto"/>
                      <w:right w:val="outset" w:sz="4" w:space="0" w:color="auto"/>
                    </w:tcBorders>
                  </w:tcPr>
                  <w:p w:rsidR="008C4E73" w:rsidRDefault="008C4E73" w:rsidP="008C4E73">
                    <w:pPr>
                      <w:rPr>
                        <w:szCs w:val="21"/>
                      </w:rPr>
                    </w:pPr>
                  </w:p>
                </w:tc>
                <w:tc>
                  <w:tcPr>
                    <w:tcW w:w="1200" w:type="pct"/>
                    <w:tcBorders>
                      <w:top w:val="outset" w:sz="4" w:space="0" w:color="auto"/>
                      <w:left w:val="outset" w:sz="4" w:space="0" w:color="auto"/>
                      <w:bottom w:val="outset" w:sz="4" w:space="0" w:color="auto"/>
                      <w:right w:val="outset" w:sz="4" w:space="0" w:color="auto"/>
                    </w:tcBorders>
                    <w:vAlign w:val="center"/>
                  </w:tcPr>
                  <w:p w:rsidR="008C4E73" w:rsidRDefault="008C4E73" w:rsidP="008C4E73">
                    <w:pPr>
                      <w:jc w:val="right"/>
                      <w:rPr>
                        <w:szCs w:val="21"/>
                      </w:rPr>
                    </w:pPr>
                    <w:r>
                      <w:t>48,143,200,457</w:t>
                    </w:r>
                  </w:p>
                </w:tc>
                <w:tc>
                  <w:tcPr>
                    <w:tcW w:w="1195" w:type="pct"/>
                    <w:tcBorders>
                      <w:top w:val="outset" w:sz="4" w:space="0" w:color="auto"/>
                      <w:left w:val="outset" w:sz="4" w:space="0" w:color="auto"/>
                      <w:bottom w:val="outset" w:sz="4" w:space="0" w:color="auto"/>
                      <w:right w:val="outset" w:sz="4" w:space="0" w:color="auto"/>
                    </w:tcBorders>
                    <w:vAlign w:val="center"/>
                  </w:tcPr>
                  <w:p w:rsidR="008C4E73" w:rsidRDefault="008C4E73" w:rsidP="008C4E73">
                    <w:pPr>
                      <w:jc w:val="right"/>
                      <w:rPr>
                        <w:szCs w:val="21"/>
                      </w:rPr>
                    </w:pPr>
                    <w:r>
                      <w:t>52,322,331,756</w:t>
                    </w:r>
                  </w:p>
                </w:tc>
              </w:tr>
              <w:tr w:rsidR="008C4E73" w:rsidTr="00601D47">
                <w:sdt>
                  <w:sdtPr>
                    <w:tag w:val="_PLD_fd1d35e1b7d64d4d96ab3870ac133ece"/>
                    <w:id w:val="1242751602"/>
                    <w:lock w:val="sdtLocked"/>
                  </w:sdtPr>
                  <w:sdtContent>
                    <w:tc>
                      <w:tcPr>
                        <w:tcW w:w="1738" w:type="pct"/>
                        <w:tcBorders>
                          <w:top w:val="outset" w:sz="4" w:space="0" w:color="auto"/>
                          <w:left w:val="outset" w:sz="4" w:space="0" w:color="auto"/>
                          <w:bottom w:val="outset" w:sz="4" w:space="0" w:color="auto"/>
                          <w:right w:val="outset" w:sz="4" w:space="0" w:color="auto"/>
                        </w:tcBorders>
                      </w:tcPr>
                      <w:p w:rsidR="008C4E73" w:rsidRDefault="008C4E73" w:rsidP="008C4E73">
                        <w:pPr>
                          <w:ind w:firstLineChars="100" w:firstLine="210"/>
                          <w:rPr>
                            <w:color w:val="000000"/>
                            <w:szCs w:val="21"/>
                          </w:rPr>
                        </w:pPr>
                        <w:r>
                          <w:rPr>
                            <w:rFonts w:hint="eastAsia"/>
                            <w:szCs w:val="21"/>
                          </w:rPr>
                          <w:t>收到的税费返还</w:t>
                        </w:r>
                      </w:p>
                    </w:tc>
                  </w:sdtContent>
                </w:sdt>
                <w:tc>
                  <w:tcPr>
                    <w:tcW w:w="867" w:type="pct"/>
                    <w:tcBorders>
                      <w:top w:val="outset" w:sz="4" w:space="0" w:color="auto"/>
                      <w:left w:val="outset" w:sz="4" w:space="0" w:color="auto"/>
                      <w:bottom w:val="outset" w:sz="4" w:space="0" w:color="auto"/>
                      <w:right w:val="outset" w:sz="4" w:space="0" w:color="auto"/>
                    </w:tcBorders>
                  </w:tcPr>
                  <w:p w:rsidR="008C4E73" w:rsidRDefault="008C4E73" w:rsidP="008C4E73">
                    <w:pPr>
                      <w:rPr>
                        <w:szCs w:val="21"/>
                      </w:rPr>
                    </w:pPr>
                  </w:p>
                </w:tc>
                <w:tc>
                  <w:tcPr>
                    <w:tcW w:w="1200" w:type="pct"/>
                    <w:tcBorders>
                      <w:top w:val="outset" w:sz="4" w:space="0" w:color="auto"/>
                      <w:left w:val="outset" w:sz="4" w:space="0" w:color="auto"/>
                      <w:bottom w:val="outset" w:sz="4" w:space="0" w:color="auto"/>
                      <w:right w:val="outset" w:sz="4" w:space="0" w:color="auto"/>
                    </w:tcBorders>
                    <w:vAlign w:val="center"/>
                  </w:tcPr>
                  <w:p w:rsidR="008C4E73" w:rsidRDefault="008C4E73" w:rsidP="008C4E73">
                    <w:pPr>
                      <w:jc w:val="right"/>
                      <w:rPr>
                        <w:szCs w:val="21"/>
                      </w:rPr>
                    </w:pPr>
                    <w:r>
                      <w:t>1,418,050</w:t>
                    </w:r>
                  </w:p>
                </w:tc>
                <w:tc>
                  <w:tcPr>
                    <w:tcW w:w="1195" w:type="pct"/>
                    <w:tcBorders>
                      <w:top w:val="outset" w:sz="4" w:space="0" w:color="auto"/>
                      <w:left w:val="outset" w:sz="4" w:space="0" w:color="auto"/>
                      <w:bottom w:val="outset" w:sz="4" w:space="0" w:color="auto"/>
                      <w:right w:val="outset" w:sz="4" w:space="0" w:color="auto"/>
                    </w:tcBorders>
                    <w:vAlign w:val="center"/>
                  </w:tcPr>
                  <w:p w:rsidR="008C4E73" w:rsidRDefault="008C4E73" w:rsidP="008C4E73">
                    <w:pPr>
                      <w:jc w:val="right"/>
                      <w:rPr>
                        <w:szCs w:val="21"/>
                      </w:rPr>
                    </w:pPr>
                    <w:r>
                      <w:t>0</w:t>
                    </w:r>
                  </w:p>
                </w:tc>
              </w:tr>
              <w:tr w:rsidR="008C4E73" w:rsidTr="00601D47">
                <w:sdt>
                  <w:sdtPr>
                    <w:tag w:val="_PLD_88831a6e784247068be3b652641fab29"/>
                    <w:id w:val="-1989624622"/>
                    <w:lock w:val="sdtLocked"/>
                  </w:sdtPr>
                  <w:sdtContent>
                    <w:tc>
                      <w:tcPr>
                        <w:tcW w:w="1738" w:type="pct"/>
                        <w:tcBorders>
                          <w:top w:val="outset" w:sz="4" w:space="0" w:color="auto"/>
                          <w:left w:val="outset" w:sz="4" w:space="0" w:color="auto"/>
                          <w:bottom w:val="outset" w:sz="4" w:space="0" w:color="auto"/>
                          <w:right w:val="outset" w:sz="4" w:space="0" w:color="auto"/>
                        </w:tcBorders>
                      </w:tcPr>
                      <w:p w:rsidR="008C4E73" w:rsidRDefault="008C4E73" w:rsidP="008C4E73">
                        <w:pPr>
                          <w:ind w:firstLineChars="100" w:firstLine="210"/>
                          <w:rPr>
                            <w:color w:val="000000"/>
                            <w:szCs w:val="21"/>
                          </w:rPr>
                        </w:pPr>
                        <w:r>
                          <w:rPr>
                            <w:rFonts w:hint="eastAsia"/>
                            <w:szCs w:val="21"/>
                          </w:rPr>
                          <w:t>收到其他与经营活动有关的现金</w:t>
                        </w:r>
                      </w:p>
                    </w:tc>
                  </w:sdtContent>
                </w:sdt>
                <w:tc>
                  <w:tcPr>
                    <w:tcW w:w="867" w:type="pct"/>
                    <w:tcBorders>
                      <w:top w:val="outset" w:sz="4" w:space="0" w:color="auto"/>
                      <w:left w:val="outset" w:sz="4" w:space="0" w:color="auto"/>
                      <w:bottom w:val="outset" w:sz="4" w:space="0" w:color="auto"/>
                      <w:right w:val="outset" w:sz="4" w:space="0" w:color="auto"/>
                    </w:tcBorders>
                  </w:tcPr>
                  <w:p w:rsidR="008C4E73" w:rsidRDefault="008C4E73" w:rsidP="008C4E73">
                    <w:pPr>
                      <w:rPr>
                        <w:szCs w:val="21"/>
                      </w:rPr>
                    </w:pPr>
                  </w:p>
                </w:tc>
                <w:tc>
                  <w:tcPr>
                    <w:tcW w:w="1200" w:type="pct"/>
                    <w:tcBorders>
                      <w:top w:val="outset" w:sz="4" w:space="0" w:color="auto"/>
                      <w:left w:val="outset" w:sz="4" w:space="0" w:color="auto"/>
                      <w:bottom w:val="outset" w:sz="4" w:space="0" w:color="auto"/>
                      <w:right w:val="outset" w:sz="4" w:space="0" w:color="auto"/>
                    </w:tcBorders>
                    <w:vAlign w:val="center"/>
                  </w:tcPr>
                  <w:p w:rsidR="008C4E73" w:rsidRDefault="008C4E73" w:rsidP="008C4E73">
                    <w:pPr>
                      <w:jc w:val="right"/>
                      <w:rPr>
                        <w:szCs w:val="21"/>
                      </w:rPr>
                    </w:pPr>
                    <w:r>
                      <w:t>1,758,468,983</w:t>
                    </w:r>
                  </w:p>
                </w:tc>
                <w:tc>
                  <w:tcPr>
                    <w:tcW w:w="1195" w:type="pct"/>
                    <w:tcBorders>
                      <w:top w:val="outset" w:sz="4" w:space="0" w:color="auto"/>
                      <w:left w:val="outset" w:sz="4" w:space="0" w:color="auto"/>
                      <w:bottom w:val="outset" w:sz="4" w:space="0" w:color="auto"/>
                      <w:right w:val="outset" w:sz="4" w:space="0" w:color="auto"/>
                    </w:tcBorders>
                    <w:vAlign w:val="center"/>
                  </w:tcPr>
                  <w:p w:rsidR="008C4E73" w:rsidRDefault="008C4E73" w:rsidP="008C4E73">
                    <w:pPr>
                      <w:jc w:val="right"/>
                      <w:rPr>
                        <w:szCs w:val="21"/>
                      </w:rPr>
                    </w:pPr>
                    <w:r>
                      <w:t>723,613,137</w:t>
                    </w:r>
                  </w:p>
                </w:tc>
              </w:tr>
              <w:tr w:rsidR="008C4E73" w:rsidTr="00601D47">
                <w:sdt>
                  <w:sdtPr>
                    <w:tag w:val="_PLD_4f13f44c456d4cb2868156eb6f97ce2d"/>
                    <w:id w:val="423625382"/>
                    <w:lock w:val="sdtLocked"/>
                  </w:sdtPr>
                  <w:sdtContent>
                    <w:tc>
                      <w:tcPr>
                        <w:tcW w:w="1738" w:type="pct"/>
                        <w:tcBorders>
                          <w:top w:val="outset" w:sz="4" w:space="0" w:color="auto"/>
                          <w:left w:val="outset" w:sz="4" w:space="0" w:color="auto"/>
                          <w:bottom w:val="outset" w:sz="4" w:space="0" w:color="auto"/>
                          <w:right w:val="outset" w:sz="4" w:space="0" w:color="auto"/>
                        </w:tcBorders>
                      </w:tcPr>
                      <w:p w:rsidR="008C4E73" w:rsidRDefault="008C4E73" w:rsidP="008C4E73">
                        <w:pPr>
                          <w:ind w:firstLineChars="200" w:firstLine="420"/>
                          <w:rPr>
                            <w:color w:val="000000"/>
                            <w:szCs w:val="21"/>
                          </w:rPr>
                        </w:pPr>
                        <w:r>
                          <w:rPr>
                            <w:rFonts w:hint="eastAsia"/>
                            <w:szCs w:val="21"/>
                          </w:rPr>
                          <w:t>经营活动现金流入小计</w:t>
                        </w:r>
                      </w:p>
                    </w:tc>
                  </w:sdtContent>
                </w:sdt>
                <w:tc>
                  <w:tcPr>
                    <w:tcW w:w="867" w:type="pct"/>
                    <w:tcBorders>
                      <w:top w:val="outset" w:sz="4" w:space="0" w:color="auto"/>
                      <w:left w:val="outset" w:sz="4" w:space="0" w:color="auto"/>
                      <w:bottom w:val="outset" w:sz="4" w:space="0" w:color="auto"/>
                      <w:right w:val="outset" w:sz="4" w:space="0" w:color="auto"/>
                    </w:tcBorders>
                  </w:tcPr>
                  <w:p w:rsidR="008C4E73" w:rsidRDefault="008C4E73" w:rsidP="008C4E73">
                    <w:pPr>
                      <w:rPr>
                        <w:szCs w:val="21"/>
                      </w:rPr>
                    </w:pPr>
                  </w:p>
                </w:tc>
                <w:tc>
                  <w:tcPr>
                    <w:tcW w:w="1200" w:type="pct"/>
                    <w:tcBorders>
                      <w:top w:val="outset" w:sz="4" w:space="0" w:color="auto"/>
                      <w:left w:val="outset" w:sz="4" w:space="0" w:color="auto"/>
                      <w:bottom w:val="outset" w:sz="4" w:space="0" w:color="auto"/>
                      <w:right w:val="outset" w:sz="4" w:space="0" w:color="auto"/>
                    </w:tcBorders>
                    <w:vAlign w:val="center"/>
                  </w:tcPr>
                  <w:p w:rsidR="008C4E73" w:rsidRDefault="008C4E73" w:rsidP="008C4E73">
                    <w:pPr>
                      <w:jc w:val="right"/>
                      <w:rPr>
                        <w:szCs w:val="21"/>
                      </w:rPr>
                    </w:pPr>
                    <w:r>
                      <w:t>49,903,087,490</w:t>
                    </w:r>
                  </w:p>
                </w:tc>
                <w:tc>
                  <w:tcPr>
                    <w:tcW w:w="1195" w:type="pct"/>
                    <w:tcBorders>
                      <w:top w:val="outset" w:sz="4" w:space="0" w:color="auto"/>
                      <w:left w:val="outset" w:sz="4" w:space="0" w:color="auto"/>
                      <w:bottom w:val="outset" w:sz="4" w:space="0" w:color="auto"/>
                      <w:right w:val="outset" w:sz="4" w:space="0" w:color="auto"/>
                    </w:tcBorders>
                    <w:vAlign w:val="center"/>
                  </w:tcPr>
                  <w:p w:rsidR="008C4E73" w:rsidRDefault="008C4E73" w:rsidP="008C4E73">
                    <w:pPr>
                      <w:jc w:val="right"/>
                      <w:rPr>
                        <w:szCs w:val="21"/>
                      </w:rPr>
                    </w:pPr>
                    <w:r>
                      <w:t>53,045,944,893</w:t>
                    </w:r>
                  </w:p>
                </w:tc>
              </w:tr>
              <w:tr w:rsidR="008C4E73" w:rsidTr="00601D47">
                <w:sdt>
                  <w:sdtPr>
                    <w:tag w:val="_PLD_abdeb3944de44affa4c6abe789333af9"/>
                    <w:id w:val="-374004879"/>
                    <w:lock w:val="sdtLocked"/>
                  </w:sdtPr>
                  <w:sdtContent>
                    <w:tc>
                      <w:tcPr>
                        <w:tcW w:w="1738" w:type="pct"/>
                        <w:tcBorders>
                          <w:top w:val="outset" w:sz="4" w:space="0" w:color="auto"/>
                          <w:left w:val="outset" w:sz="4" w:space="0" w:color="auto"/>
                          <w:bottom w:val="outset" w:sz="4" w:space="0" w:color="auto"/>
                          <w:right w:val="outset" w:sz="4" w:space="0" w:color="auto"/>
                        </w:tcBorders>
                      </w:tcPr>
                      <w:p w:rsidR="008C4E73" w:rsidRDefault="008C4E73" w:rsidP="008C4E73">
                        <w:pPr>
                          <w:ind w:firstLineChars="100" w:firstLine="210"/>
                          <w:rPr>
                            <w:szCs w:val="21"/>
                          </w:rPr>
                        </w:pPr>
                        <w:r>
                          <w:rPr>
                            <w:rFonts w:hint="eastAsia"/>
                            <w:szCs w:val="21"/>
                          </w:rPr>
                          <w:t>购买商品、接受劳务支付的现金</w:t>
                        </w:r>
                      </w:p>
                    </w:tc>
                  </w:sdtContent>
                </w:sdt>
                <w:tc>
                  <w:tcPr>
                    <w:tcW w:w="867" w:type="pct"/>
                    <w:tcBorders>
                      <w:top w:val="outset" w:sz="4" w:space="0" w:color="auto"/>
                      <w:left w:val="outset" w:sz="4" w:space="0" w:color="auto"/>
                      <w:bottom w:val="outset" w:sz="4" w:space="0" w:color="auto"/>
                      <w:right w:val="outset" w:sz="4" w:space="0" w:color="auto"/>
                    </w:tcBorders>
                  </w:tcPr>
                  <w:p w:rsidR="008C4E73" w:rsidRDefault="008C4E73" w:rsidP="008C4E73">
                    <w:pPr>
                      <w:rPr>
                        <w:szCs w:val="21"/>
                      </w:rPr>
                    </w:pPr>
                  </w:p>
                </w:tc>
                <w:tc>
                  <w:tcPr>
                    <w:tcW w:w="1200" w:type="pct"/>
                    <w:tcBorders>
                      <w:top w:val="outset" w:sz="4" w:space="0" w:color="auto"/>
                      <w:left w:val="outset" w:sz="4" w:space="0" w:color="auto"/>
                      <w:bottom w:val="outset" w:sz="4" w:space="0" w:color="auto"/>
                      <w:right w:val="outset" w:sz="4" w:space="0" w:color="auto"/>
                    </w:tcBorders>
                    <w:vAlign w:val="center"/>
                  </w:tcPr>
                  <w:p w:rsidR="008C4E73" w:rsidRDefault="008C4E73" w:rsidP="008C4E73">
                    <w:pPr>
                      <w:jc w:val="right"/>
                      <w:rPr>
                        <w:szCs w:val="21"/>
                      </w:rPr>
                    </w:pPr>
                    <w:r>
                      <w:t>7,146,582,628</w:t>
                    </w:r>
                  </w:p>
                </w:tc>
                <w:tc>
                  <w:tcPr>
                    <w:tcW w:w="1195" w:type="pct"/>
                    <w:tcBorders>
                      <w:top w:val="outset" w:sz="4" w:space="0" w:color="auto"/>
                      <w:left w:val="outset" w:sz="4" w:space="0" w:color="auto"/>
                      <w:bottom w:val="outset" w:sz="4" w:space="0" w:color="auto"/>
                      <w:right w:val="outset" w:sz="4" w:space="0" w:color="auto"/>
                    </w:tcBorders>
                    <w:vAlign w:val="center"/>
                  </w:tcPr>
                  <w:p w:rsidR="008C4E73" w:rsidRDefault="008C4E73" w:rsidP="008C4E73">
                    <w:pPr>
                      <w:jc w:val="right"/>
                      <w:rPr>
                        <w:szCs w:val="21"/>
                      </w:rPr>
                    </w:pPr>
                    <w:r>
                      <w:t>7,303,192,427</w:t>
                    </w:r>
                  </w:p>
                </w:tc>
              </w:tr>
              <w:tr w:rsidR="008C4E73" w:rsidTr="00601D47">
                <w:sdt>
                  <w:sdtPr>
                    <w:tag w:val="_PLD_c1b9609c767847a484c31f0cdf800e1a"/>
                    <w:id w:val="-36428374"/>
                    <w:lock w:val="sdtLocked"/>
                  </w:sdtPr>
                  <w:sdtContent>
                    <w:tc>
                      <w:tcPr>
                        <w:tcW w:w="1738" w:type="pct"/>
                        <w:tcBorders>
                          <w:top w:val="outset" w:sz="4" w:space="0" w:color="auto"/>
                          <w:left w:val="outset" w:sz="4" w:space="0" w:color="auto"/>
                          <w:bottom w:val="outset" w:sz="4" w:space="0" w:color="auto"/>
                          <w:right w:val="outset" w:sz="4" w:space="0" w:color="auto"/>
                        </w:tcBorders>
                      </w:tcPr>
                      <w:p w:rsidR="008C4E73" w:rsidRDefault="008C4E73" w:rsidP="008C4E73">
                        <w:pPr>
                          <w:ind w:firstLineChars="100" w:firstLine="210"/>
                          <w:rPr>
                            <w:szCs w:val="21"/>
                          </w:rPr>
                        </w:pPr>
                        <w:r>
                          <w:rPr>
                            <w:rFonts w:hint="eastAsia"/>
                            <w:szCs w:val="21"/>
                          </w:rPr>
                          <w:t>支付给职工及为职工支付的现金</w:t>
                        </w:r>
                      </w:p>
                    </w:tc>
                  </w:sdtContent>
                </w:sdt>
                <w:tc>
                  <w:tcPr>
                    <w:tcW w:w="867" w:type="pct"/>
                    <w:tcBorders>
                      <w:top w:val="outset" w:sz="4" w:space="0" w:color="auto"/>
                      <w:left w:val="outset" w:sz="4" w:space="0" w:color="auto"/>
                      <w:bottom w:val="outset" w:sz="4" w:space="0" w:color="auto"/>
                      <w:right w:val="outset" w:sz="4" w:space="0" w:color="auto"/>
                    </w:tcBorders>
                  </w:tcPr>
                  <w:p w:rsidR="008C4E73" w:rsidRDefault="008C4E73" w:rsidP="008C4E73">
                    <w:pPr>
                      <w:rPr>
                        <w:szCs w:val="21"/>
                      </w:rPr>
                    </w:pPr>
                  </w:p>
                </w:tc>
                <w:tc>
                  <w:tcPr>
                    <w:tcW w:w="1200" w:type="pct"/>
                    <w:tcBorders>
                      <w:top w:val="outset" w:sz="4" w:space="0" w:color="auto"/>
                      <w:left w:val="outset" w:sz="4" w:space="0" w:color="auto"/>
                      <w:bottom w:val="outset" w:sz="4" w:space="0" w:color="auto"/>
                      <w:right w:val="outset" w:sz="4" w:space="0" w:color="auto"/>
                    </w:tcBorders>
                    <w:vAlign w:val="center"/>
                  </w:tcPr>
                  <w:p w:rsidR="008C4E73" w:rsidRDefault="008C4E73" w:rsidP="008C4E73">
                    <w:pPr>
                      <w:jc w:val="right"/>
                      <w:rPr>
                        <w:szCs w:val="21"/>
                      </w:rPr>
                    </w:pPr>
                    <w:r>
                      <w:t>19,929,029,847</w:t>
                    </w:r>
                  </w:p>
                </w:tc>
                <w:tc>
                  <w:tcPr>
                    <w:tcW w:w="1195" w:type="pct"/>
                    <w:tcBorders>
                      <w:top w:val="outset" w:sz="4" w:space="0" w:color="auto"/>
                      <w:left w:val="outset" w:sz="4" w:space="0" w:color="auto"/>
                      <w:bottom w:val="outset" w:sz="4" w:space="0" w:color="auto"/>
                      <w:right w:val="outset" w:sz="4" w:space="0" w:color="auto"/>
                    </w:tcBorders>
                    <w:vAlign w:val="center"/>
                  </w:tcPr>
                  <w:p w:rsidR="008C4E73" w:rsidRDefault="008C4E73" w:rsidP="008C4E73">
                    <w:pPr>
                      <w:jc w:val="right"/>
                      <w:rPr>
                        <w:szCs w:val="21"/>
                      </w:rPr>
                    </w:pPr>
                    <w:r>
                      <w:t>20,804,791,200</w:t>
                    </w:r>
                  </w:p>
                </w:tc>
              </w:tr>
              <w:tr w:rsidR="008C4E73" w:rsidTr="00601D47">
                <w:sdt>
                  <w:sdtPr>
                    <w:tag w:val="_PLD_56edb572c5f54e9f8abd0b8028e38134"/>
                    <w:id w:val="854465602"/>
                    <w:lock w:val="sdtLocked"/>
                  </w:sdtPr>
                  <w:sdtContent>
                    <w:tc>
                      <w:tcPr>
                        <w:tcW w:w="1738" w:type="pct"/>
                        <w:tcBorders>
                          <w:top w:val="outset" w:sz="4" w:space="0" w:color="auto"/>
                          <w:left w:val="outset" w:sz="4" w:space="0" w:color="auto"/>
                          <w:bottom w:val="outset" w:sz="4" w:space="0" w:color="auto"/>
                          <w:right w:val="outset" w:sz="4" w:space="0" w:color="auto"/>
                        </w:tcBorders>
                      </w:tcPr>
                      <w:p w:rsidR="008C4E73" w:rsidRDefault="008C4E73" w:rsidP="008C4E73">
                        <w:pPr>
                          <w:ind w:firstLineChars="100" w:firstLine="210"/>
                          <w:rPr>
                            <w:szCs w:val="21"/>
                          </w:rPr>
                        </w:pPr>
                        <w:r>
                          <w:rPr>
                            <w:rFonts w:hint="eastAsia"/>
                            <w:szCs w:val="21"/>
                          </w:rPr>
                          <w:t>支付的各项税费</w:t>
                        </w:r>
                      </w:p>
                    </w:tc>
                  </w:sdtContent>
                </w:sdt>
                <w:tc>
                  <w:tcPr>
                    <w:tcW w:w="867" w:type="pct"/>
                    <w:tcBorders>
                      <w:top w:val="outset" w:sz="4" w:space="0" w:color="auto"/>
                      <w:left w:val="outset" w:sz="4" w:space="0" w:color="auto"/>
                      <w:bottom w:val="outset" w:sz="4" w:space="0" w:color="auto"/>
                      <w:right w:val="outset" w:sz="4" w:space="0" w:color="auto"/>
                    </w:tcBorders>
                  </w:tcPr>
                  <w:p w:rsidR="008C4E73" w:rsidRDefault="008C4E73" w:rsidP="008C4E73">
                    <w:pPr>
                      <w:rPr>
                        <w:szCs w:val="21"/>
                      </w:rPr>
                    </w:pPr>
                  </w:p>
                </w:tc>
                <w:tc>
                  <w:tcPr>
                    <w:tcW w:w="1200" w:type="pct"/>
                    <w:tcBorders>
                      <w:top w:val="outset" w:sz="4" w:space="0" w:color="auto"/>
                      <w:left w:val="outset" w:sz="4" w:space="0" w:color="auto"/>
                      <w:bottom w:val="outset" w:sz="4" w:space="0" w:color="auto"/>
                      <w:right w:val="outset" w:sz="4" w:space="0" w:color="auto"/>
                    </w:tcBorders>
                    <w:vAlign w:val="center"/>
                  </w:tcPr>
                  <w:p w:rsidR="008C4E73" w:rsidRDefault="008C4E73" w:rsidP="008C4E73">
                    <w:pPr>
                      <w:jc w:val="right"/>
                      <w:rPr>
                        <w:szCs w:val="21"/>
                      </w:rPr>
                    </w:pPr>
                    <w:r>
                      <w:t>9,003,809,553</w:t>
                    </w:r>
                  </w:p>
                </w:tc>
                <w:tc>
                  <w:tcPr>
                    <w:tcW w:w="1195" w:type="pct"/>
                    <w:tcBorders>
                      <w:top w:val="outset" w:sz="4" w:space="0" w:color="auto"/>
                      <w:left w:val="outset" w:sz="4" w:space="0" w:color="auto"/>
                      <w:bottom w:val="outset" w:sz="4" w:space="0" w:color="auto"/>
                      <w:right w:val="outset" w:sz="4" w:space="0" w:color="auto"/>
                    </w:tcBorders>
                    <w:vAlign w:val="center"/>
                  </w:tcPr>
                  <w:p w:rsidR="008C4E73" w:rsidRDefault="008C4E73" w:rsidP="008C4E73">
                    <w:pPr>
                      <w:jc w:val="right"/>
                      <w:rPr>
                        <w:szCs w:val="21"/>
                      </w:rPr>
                    </w:pPr>
                    <w:r>
                      <w:t>7,767,453,405</w:t>
                    </w:r>
                  </w:p>
                </w:tc>
              </w:tr>
              <w:tr w:rsidR="008C4E73" w:rsidTr="00601D47">
                <w:sdt>
                  <w:sdtPr>
                    <w:tag w:val="_PLD_0211410dc7504eef9b16a4a91a48be78"/>
                    <w:id w:val="1481577477"/>
                    <w:lock w:val="sdtLocked"/>
                  </w:sdtPr>
                  <w:sdtContent>
                    <w:tc>
                      <w:tcPr>
                        <w:tcW w:w="1738" w:type="pct"/>
                        <w:tcBorders>
                          <w:top w:val="outset" w:sz="4" w:space="0" w:color="auto"/>
                          <w:left w:val="outset" w:sz="4" w:space="0" w:color="auto"/>
                          <w:bottom w:val="outset" w:sz="4" w:space="0" w:color="auto"/>
                          <w:right w:val="outset" w:sz="4" w:space="0" w:color="auto"/>
                        </w:tcBorders>
                      </w:tcPr>
                      <w:p w:rsidR="008C4E73" w:rsidRDefault="008C4E73" w:rsidP="008C4E73">
                        <w:pPr>
                          <w:ind w:firstLineChars="100" w:firstLine="210"/>
                          <w:rPr>
                            <w:szCs w:val="21"/>
                          </w:rPr>
                        </w:pPr>
                        <w:r>
                          <w:rPr>
                            <w:rFonts w:hint="eastAsia"/>
                            <w:szCs w:val="21"/>
                          </w:rPr>
                          <w:t>支付其他与经营活动有关的现金</w:t>
                        </w:r>
                      </w:p>
                    </w:tc>
                  </w:sdtContent>
                </w:sdt>
                <w:tc>
                  <w:tcPr>
                    <w:tcW w:w="867" w:type="pct"/>
                    <w:tcBorders>
                      <w:top w:val="outset" w:sz="4" w:space="0" w:color="auto"/>
                      <w:left w:val="outset" w:sz="4" w:space="0" w:color="auto"/>
                      <w:bottom w:val="outset" w:sz="4" w:space="0" w:color="auto"/>
                      <w:right w:val="outset" w:sz="4" w:space="0" w:color="auto"/>
                    </w:tcBorders>
                  </w:tcPr>
                  <w:p w:rsidR="008C4E73" w:rsidRDefault="008C4E73" w:rsidP="008C4E73">
                    <w:pPr>
                      <w:rPr>
                        <w:szCs w:val="21"/>
                      </w:rPr>
                    </w:pPr>
                  </w:p>
                </w:tc>
                <w:tc>
                  <w:tcPr>
                    <w:tcW w:w="1200" w:type="pct"/>
                    <w:tcBorders>
                      <w:top w:val="outset" w:sz="4" w:space="0" w:color="auto"/>
                      <w:left w:val="outset" w:sz="4" w:space="0" w:color="auto"/>
                      <w:bottom w:val="outset" w:sz="4" w:space="0" w:color="auto"/>
                      <w:right w:val="outset" w:sz="4" w:space="0" w:color="auto"/>
                    </w:tcBorders>
                    <w:vAlign w:val="center"/>
                  </w:tcPr>
                  <w:p w:rsidR="008C4E73" w:rsidRDefault="008C4E73" w:rsidP="008C4E73">
                    <w:pPr>
                      <w:jc w:val="right"/>
                      <w:rPr>
                        <w:szCs w:val="21"/>
                      </w:rPr>
                    </w:pPr>
                    <w:r>
                      <w:t>1,325,863,004</w:t>
                    </w:r>
                  </w:p>
                </w:tc>
                <w:tc>
                  <w:tcPr>
                    <w:tcW w:w="1195" w:type="pct"/>
                    <w:tcBorders>
                      <w:top w:val="outset" w:sz="4" w:space="0" w:color="auto"/>
                      <w:left w:val="outset" w:sz="4" w:space="0" w:color="auto"/>
                      <w:bottom w:val="outset" w:sz="4" w:space="0" w:color="auto"/>
                      <w:right w:val="outset" w:sz="4" w:space="0" w:color="auto"/>
                    </w:tcBorders>
                    <w:vAlign w:val="center"/>
                  </w:tcPr>
                  <w:p w:rsidR="008C4E73" w:rsidRDefault="008C4E73" w:rsidP="008C4E73">
                    <w:pPr>
                      <w:jc w:val="right"/>
                      <w:rPr>
                        <w:szCs w:val="21"/>
                      </w:rPr>
                    </w:pPr>
                    <w:r>
                      <w:t>987,418,004</w:t>
                    </w:r>
                  </w:p>
                </w:tc>
              </w:tr>
              <w:tr w:rsidR="00E1560D" w:rsidTr="00601D47">
                <w:sdt>
                  <w:sdtPr>
                    <w:tag w:val="_PLD_571b44c4271c45dd91c639d4c338a5d0"/>
                    <w:id w:val="1178232373"/>
                    <w:lock w:val="sdtLocked"/>
                  </w:sdtPr>
                  <w:sdtContent>
                    <w:tc>
                      <w:tcPr>
                        <w:tcW w:w="1738" w:type="pct"/>
                        <w:tcBorders>
                          <w:top w:val="outset" w:sz="4" w:space="0" w:color="auto"/>
                          <w:left w:val="outset" w:sz="4" w:space="0" w:color="auto"/>
                          <w:bottom w:val="outset" w:sz="4" w:space="0" w:color="auto"/>
                          <w:right w:val="outset" w:sz="4" w:space="0" w:color="auto"/>
                        </w:tcBorders>
                      </w:tcPr>
                      <w:p w:rsidR="00E1560D" w:rsidRDefault="00E1560D" w:rsidP="00E1560D">
                        <w:pPr>
                          <w:ind w:firstLineChars="200" w:firstLine="420"/>
                          <w:rPr>
                            <w:color w:val="000000"/>
                            <w:szCs w:val="21"/>
                          </w:rPr>
                        </w:pPr>
                        <w:r>
                          <w:rPr>
                            <w:rFonts w:hint="eastAsia"/>
                            <w:szCs w:val="21"/>
                          </w:rPr>
                          <w:t>经营活动现金流出小计</w:t>
                        </w:r>
                      </w:p>
                    </w:tc>
                  </w:sdtContent>
                </w:sdt>
                <w:tc>
                  <w:tcPr>
                    <w:tcW w:w="867" w:type="pct"/>
                    <w:tcBorders>
                      <w:top w:val="outset" w:sz="4" w:space="0" w:color="auto"/>
                      <w:left w:val="outset" w:sz="4" w:space="0" w:color="auto"/>
                      <w:bottom w:val="outset" w:sz="4" w:space="0" w:color="auto"/>
                      <w:right w:val="outset" w:sz="4" w:space="0" w:color="auto"/>
                    </w:tcBorders>
                  </w:tcPr>
                  <w:p w:rsidR="00E1560D" w:rsidRDefault="00E1560D" w:rsidP="00E1560D">
                    <w:pPr>
                      <w:rPr>
                        <w:szCs w:val="21"/>
                      </w:rPr>
                    </w:pPr>
                  </w:p>
                </w:tc>
                <w:tc>
                  <w:tcPr>
                    <w:tcW w:w="1200" w:type="pct"/>
                    <w:tcBorders>
                      <w:top w:val="outset" w:sz="4" w:space="0" w:color="auto"/>
                      <w:left w:val="outset" w:sz="4" w:space="0" w:color="auto"/>
                      <w:bottom w:val="outset" w:sz="4" w:space="0" w:color="auto"/>
                      <w:right w:val="outset" w:sz="4" w:space="0" w:color="auto"/>
                    </w:tcBorders>
                    <w:vAlign w:val="center"/>
                  </w:tcPr>
                  <w:p w:rsidR="00E1560D" w:rsidRDefault="00E1560D" w:rsidP="00E1560D">
                    <w:pPr>
                      <w:jc w:val="right"/>
                      <w:rPr>
                        <w:szCs w:val="21"/>
                      </w:rPr>
                    </w:pPr>
                    <w:r>
                      <w:t>37,405,285,032</w:t>
                    </w:r>
                  </w:p>
                </w:tc>
                <w:tc>
                  <w:tcPr>
                    <w:tcW w:w="1195" w:type="pct"/>
                    <w:tcBorders>
                      <w:top w:val="outset" w:sz="4" w:space="0" w:color="auto"/>
                      <w:left w:val="outset" w:sz="4" w:space="0" w:color="auto"/>
                      <w:bottom w:val="outset" w:sz="4" w:space="0" w:color="auto"/>
                      <w:right w:val="outset" w:sz="4" w:space="0" w:color="auto"/>
                    </w:tcBorders>
                    <w:vAlign w:val="center"/>
                  </w:tcPr>
                  <w:p w:rsidR="00E1560D" w:rsidRDefault="00E1560D" w:rsidP="00E1560D">
                    <w:pPr>
                      <w:jc w:val="right"/>
                      <w:rPr>
                        <w:szCs w:val="21"/>
                      </w:rPr>
                    </w:pPr>
                    <w:r>
                      <w:t>36,862,855,036</w:t>
                    </w:r>
                  </w:p>
                </w:tc>
              </w:tr>
              <w:tr w:rsidR="00E1560D" w:rsidTr="00601D47">
                <w:sdt>
                  <w:sdtPr>
                    <w:tag w:val="_PLD_2bd623fb02854cf69c888f364463777d"/>
                    <w:id w:val="1762711374"/>
                    <w:lock w:val="sdtLocked"/>
                  </w:sdtPr>
                  <w:sdtContent>
                    <w:tc>
                      <w:tcPr>
                        <w:tcW w:w="1738" w:type="pct"/>
                        <w:tcBorders>
                          <w:top w:val="outset" w:sz="4" w:space="0" w:color="auto"/>
                          <w:left w:val="outset" w:sz="4" w:space="0" w:color="auto"/>
                          <w:bottom w:val="outset" w:sz="4" w:space="0" w:color="auto"/>
                          <w:right w:val="outset" w:sz="4" w:space="0" w:color="auto"/>
                        </w:tcBorders>
                      </w:tcPr>
                      <w:p w:rsidR="00E1560D" w:rsidRDefault="00E1560D" w:rsidP="00E1560D">
                        <w:pPr>
                          <w:ind w:firstLineChars="100" w:firstLine="210"/>
                          <w:rPr>
                            <w:color w:val="000000"/>
                            <w:szCs w:val="21"/>
                          </w:rPr>
                        </w:pPr>
                        <w:r>
                          <w:rPr>
                            <w:rFonts w:hint="eastAsia"/>
                            <w:szCs w:val="21"/>
                          </w:rPr>
                          <w:t>经营活动产生的现金流量净额</w:t>
                        </w:r>
                      </w:p>
                    </w:tc>
                  </w:sdtContent>
                </w:sdt>
                <w:tc>
                  <w:tcPr>
                    <w:tcW w:w="867" w:type="pct"/>
                    <w:tcBorders>
                      <w:top w:val="outset" w:sz="4" w:space="0" w:color="auto"/>
                      <w:left w:val="outset" w:sz="4" w:space="0" w:color="auto"/>
                      <w:bottom w:val="outset" w:sz="4" w:space="0" w:color="auto"/>
                      <w:right w:val="outset" w:sz="4" w:space="0" w:color="auto"/>
                    </w:tcBorders>
                  </w:tcPr>
                  <w:p w:rsidR="00E1560D" w:rsidRDefault="00E1560D" w:rsidP="00E1560D">
                    <w:pPr>
                      <w:rPr>
                        <w:szCs w:val="21"/>
                      </w:rPr>
                    </w:pPr>
                  </w:p>
                </w:tc>
                <w:tc>
                  <w:tcPr>
                    <w:tcW w:w="1200" w:type="pct"/>
                    <w:tcBorders>
                      <w:top w:val="outset" w:sz="4" w:space="0" w:color="auto"/>
                      <w:left w:val="outset" w:sz="4" w:space="0" w:color="auto"/>
                      <w:bottom w:val="outset" w:sz="4" w:space="0" w:color="auto"/>
                      <w:right w:val="outset" w:sz="4" w:space="0" w:color="auto"/>
                    </w:tcBorders>
                    <w:vAlign w:val="center"/>
                  </w:tcPr>
                  <w:p w:rsidR="00E1560D" w:rsidRDefault="00E1560D" w:rsidP="00E1560D">
                    <w:pPr>
                      <w:jc w:val="right"/>
                      <w:rPr>
                        <w:szCs w:val="21"/>
                      </w:rPr>
                    </w:pPr>
                    <w:r>
                      <w:t>12,497,802,458</w:t>
                    </w:r>
                  </w:p>
                </w:tc>
                <w:tc>
                  <w:tcPr>
                    <w:tcW w:w="1195" w:type="pct"/>
                    <w:tcBorders>
                      <w:top w:val="outset" w:sz="4" w:space="0" w:color="auto"/>
                      <w:left w:val="outset" w:sz="4" w:space="0" w:color="auto"/>
                      <w:bottom w:val="outset" w:sz="4" w:space="0" w:color="auto"/>
                      <w:right w:val="outset" w:sz="4" w:space="0" w:color="auto"/>
                    </w:tcBorders>
                    <w:vAlign w:val="center"/>
                  </w:tcPr>
                  <w:p w:rsidR="00E1560D" w:rsidRDefault="00E1560D" w:rsidP="00E1560D">
                    <w:pPr>
                      <w:jc w:val="right"/>
                      <w:rPr>
                        <w:szCs w:val="21"/>
                      </w:rPr>
                    </w:pPr>
                    <w:r>
                      <w:t>16,183,089,857</w:t>
                    </w:r>
                  </w:p>
                </w:tc>
              </w:tr>
              <w:tr w:rsidR="00E1560D" w:rsidTr="00713F20">
                <w:sdt>
                  <w:sdtPr>
                    <w:tag w:val="_PLD_ea89a8f6b76943769d484d535b94417c"/>
                    <w:id w:val="808139995"/>
                    <w:lock w:val="sdtLocked"/>
                  </w:sdtPr>
                  <w:sdtContent>
                    <w:tc>
                      <w:tcPr>
                        <w:tcW w:w="5000" w:type="pct"/>
                        <w:gridSpan w:val="4"/>
                        <w:tcBorders>
                          <w:top w:val="outset" w:sz="4" w:space="0" w:color="auto"/>
                          <w:left w:val="outset" w:sz="4" w:space="0" w:color="auto"/>
                          <w:bottom w:val="outset" w:sz="4" w:space="0" w:color="auto"/>
                          <w:right w:val="outset" w:sz="4" w:space="0" w:color="auto"/>
                        </w:tcBorders>
                      </w:tcPr>
                      <w:p w:rsidR="00E1560D" w:rsidRDefault="00E1560D" w:rsidP="00E1560D">
                        <w:pPr>
                          <w:rPr>
                            <w:color w:val="008000"/>
                            <w:szCs w:val="21"/>
                          </w:rPr>
                        </w:pPr>
                        <w:r>
                          <w:rPr>
                            <w:rFonts w:hint="eastAsia"/>
                            <w:b/>
                            <w:bCs/>
                            <w:szCs w:val="21"/>
                          </w:rPr>
                          <w:t>二、投资活动产生的现金流量：</w:t>
                        </w:r>
                      </w:p>
                    </w:tc>
                  </w:sdtContent>
                </w:sdt>
              </w:tr>
              <w:tr w:rsidR="00A86128" w:rsidTr="00601D47">
                <w:sdt>
                  <w:sdtPr>
                    <w:tag w:val="_PLD_4ce712d8e5af44048c1a4e5bdf4fd7c9"/>
                    <w:id w:val="-117369861"/>
                    <w:lock w:val="sdtLocked"/>
                  </w:sdtPr>
                  <w:sdtContent>
                    <w:tc>
                      <w:tcPr>
                        <w:tcW w:w="1738" w:type="pct"/>
                        <w:tcBorders>
                          <w:top w:val="outset" w:sz="4" w:space="0" w:color="auto"/>
                          <w:left w:val="outset" w:sz="4" w:space="0" w:color="auto"/>
                          <w:bottom w:val="outset" w:sz="4" w:space="0" w:color="auto"/>
                          <w:right w:val="outset" w:sz="4" w:space="0" w:color="auto"/>
                        </w:tcBorders>
                      </w:tcPr>
                      <w:p w:rsidR="00A86128" w:rsidRDefault="00A86128" w:rsidP="00A86128">
                        <w:pPr>
                          <w:ind w:firstLineChars="100" w:firstLine="210"/>
                          <w:rPr>
                            <w:szCs w:val="21"/>
                          </w:rPr>
                        </w:pPr>
                        <w:r>
                          <w:rPr>
                            <w:rFonts w:hint="eastAsia"/>
                            <w:szCs w:val="21"/>
                          </w:rPr>
                          <w:t>收回投资收到的现金</w:t>
                        </w:r>
                      </w:p>
                    </w:tc>
                  </w:sdtContent>
                </w:sdt>
                <w:tc>
                  <w:tcPr>
                    <w:tcW w:w="867" w:type="pct"/>
                    <w:tcBorders>
                      <w:top w:val="outset" w:sz="4" w:space="0" w:color="auto"/>
                      <w:left w:val="outset" w:sz="4" w:space="0" w:color="auto"/>
                      <w:bottom w:val="outset" w:sz="4" w:space="0" w:color="auto"/>
                      <w:right w:val="outset" w:sz="4" w:space="0" w:color="auto"/>
                    </w:tcBorders>
                  </w:tcPr>
                  <w:p w:rsidR="00A86128" w:rsidRDefault="00A86128" w:rsidP="00A86128">
                    <w:pPr>
                      <w:rPr>
                        <w:szCs w:val="21"/>
                      </w:rPr>
                    </w:pPr>
                  </w:p>
                </w:tc>
                <w:tc>
                  <w:tcPr>
                    <w:tcW w:w="1200" w:type="pct"/>
                    <w:tcBorders>
                      <w:top w:val="outset" w:sz="4" w:space="0" w:color="auto"/>
                      <w:left w:val="outset" w:sz="4" w:space="0" w:color="auto"/>
                      <w:bottom w:val="outset" w:sz="4" w:space="0" w:color="auto"/>
                      <w:right w:val="outset" w:sz="4" w:space="0" w:color="auto"/>
                    </w:tcBorders>
                    <w:vAlign w:val="center"/>
                  </w:tcPr>
                  <w:p w:rsidR="00A86128" w:rsidRDefault="00A86128" w:rsidP="00A86128">
                    <w:pPr>
                      <w:jc w:val="right"/>
                      <w:rPr>
                        <w:szCs w:val="21"/>
                      </w:rPr>
                    </w:pPr>
                    <w:r>
                      <w:t>0</w:t>
                    </w:r>
                  </w:p>
                </w:tc>
                <w:tc>
                  <w:tcPr>
                    <w:tcW w:w="1195" w:type="pct"/>
                    <w:tcBorders>
                      <w:top w:val="outset" w:sz="4" w:space="0" w:color="auto"/>
                      <w:left w:val="outset" w:sz="4" w:space="0" w:color="auto"/>
                      <w:bottom w:val="outset" w:sz="4" w:space="0" w:color="auto"/>
                      <w:right w:val="outset" w:sz="4" w:space="0" w:color="auto"/>
                    </w:tcBorders>
                    <w:vAlign w:val="center"/>
                  </w:tcPr>
                  <w:p w:rsidR="00A86128" w:rsidRDefault="00A86128" w:rsidP="00A86128">
                    <w:pPr>
                      <w:jc w:val="right"/>
                      <w:rPr>
                        <w:szCs w:val="21"/>
                      </w:rPr>
                    </w:pPr>
                    <w:r>
                      <w:t>49,337,159</w:t>
                    </w:r>
                  </w:p>
                </w:tc>
              </w:tr>
              <w:tr w:rsidR="00A86128" w:rsidTr="00601D47">
                <w:sdt>
                  <w:sdtPr>
                    <w:tag w:val="_PLD_95da103cdf014eafaca98189ca68f328"/>
                    <w:id w:val="-868526480"/>
                    <w:lock w:val="sdtLocked"/>
                  </w:sdtPr>
                  <w:sdtContent>
                    <w:tc>
                      <w:tcPr>
                        <w:tcW w:w="1738" w:type="pct"/>
                        <w:tcBorders>
                          <w:top w:val="outset" w:sz="4" w:space="0" w:color="auto"/>
                          <w:left w:val="outset" w:sz="4" w:space="0" w:color="auto"/>
                          <w:bottom w:val="outset" w:sz="4" w:space="0" w:color="auto"/>
                          <w:right w:val="outset" w:sz="4" w:space="0" w:color="auto"/>
                        </w:tcBorders>
                      </w:tcPr>
                      <w:p w:rsidR="00A86128" w:rsidRDefault="00A86128" w:rsidP="00A86128">
                        <w:pPr>
                          <w:ind w:firstLineChars="100" w:firstLine="210"/>
                          <w:rPr>
                            <w:szCs w:val="21"/>
                          </w:rPr>
                        </w:pPr>
                        <w:r>
                          <w:rPr>
                            <w:rFonts w:hint="eastAsia"/>
                            <w:szCs w:val="21"/>
                          </w:rPr>
                          <w:t>取得投资收益收到的现金</w:t>
                        </w:r>
                      </w:p>
                    </w:tc>
                  </w:sdtContent>
                </w:sdt>
                <w:tc>
                  <w:tcPr>
                    <w:tcW w:w="867" w:type="pct"/>
                    <w:tcBorders>
                      <w:top w:val="outset" w:sz="4" w:space="0" w:color="auto"/>
                      <w:left w:val="outset" w:sz="4" w:space="0" w:color="auto"/>
                      <w:bottom w:val="outset" w:sz="4" w:space="0" w:color="auto"/>
                      <w:right w:val="outset" w:sz="4" w:space="0" w:color="auto"/>
                    </w:tcBorders>
                  </w:tcPr>
                  <w:p w:rsidR="00A86128" w:rsidRDefault="00A86128" w:rsidP="00A86128">
                    <w:pPr>
                      <w:rPr>
                        <w:szCs w:val="21"/>
                      </w:rPr>
                    </w:pPr>
                  </w:p>
                </w:tc>
                <w:tc>
                  <w:tcPr>
                    <w:tcW w:w="1200" w:type="pct"/>
                    <w:tcBorders>
                      <w:top w:val="outset" w:sz="4" w:space="0" w:color="auto"/>
                      <w:left w:val="outset" w:sz="4" w:space="0" w:color="auto"/>
                      <w:bottom w:val="outset" w:sz="4" w:space="0" w:color="auto"/>
                      <w:right w:val="outset" w:sz="4" w:space="0" w:color="auto"/>
                    </w:tcBorders>
                    <w:vAlign w:val="center"/>
                  </w:tcPr>
                  <w:p w:rsidR="00A86128" w:rsidRDefault="00A86128" w:rsidP="00A86128">
                    <w:pPr>
                      <w:jc w:val="right"/>
                      <w:rPr>
                        <w:szCs w:val="21"/>
                      </w:rPr>
                    </w:pPr>
                    <w:r>
                      <w:t>3,052,056,539</w:t>
                    </w:r>
                  </w:p>
                </w:tc>
                <w:tc>
                  <w:tcPr>
                    <w:tcW w:w="1195" w:type="pct"/>
                    <w:tcBorders>
                      <w:top w:val="outset" w:sz="4" w:space="0" w:color="auto"/>
                      <w:left w:val="outset" w:sz="4" w:space="0" w:color="auto"/>
                      <w:bottom w:val="outset" w:sz="4" w:space="0" w:color="auto"/>
                      <w:right w:val="outset" w:sz="4" w:space="0" w:color="auto"/>
                    </w:tcBorders>
                    <w:vAlign w:val="center"/>
                  </w:tcPr>
                  <w:p w:rsidR="00A86128" w:rsidRDefault="00A86128" w:rsidP="00A86128">
                    <w:pPr>
                      <w:jc w:val="right"/>
                      <w:rPr>
                        <w:szCs w:val="21"/>
                      </w:rPr>
                    </w:pPr>
                    <w:r>
                      <w:t>3,125,383,746</w:t>
                    </w:r>
                  </w:p>
                </w:tc>
              </w:tr>
              <w:tr w:rsidR="00A86128" w:rsidTr="00601D47">
                <w:sdt>
                  <w:sdtPr>
                    <w:tag w:val="_PLD_fc5d667691994cebb9f9498e60404099"/>
                    <w:id w:val="1652550143"/>
                    <w:lock w:val="sdtLocked"/>
                  </w:sdtPr>
                  <w:sdtContent>
                    <w:tc>
                      <w:tcPr>
                        <w:tcW w:w="1738" w:type="pct"/>
                        <w:tcBorders>
                          <w:top w:val="outset" w:sz="4" w:space="0" w:color="auto"/>
                          <w:left w:val="outset" w:sz="4" w:space="0" w:color="auto"/>
                          <w:bottom w:val="outset" w:sz="4" w:space="0" w:color="auto"/>
                          <w:right w:val="outset" w:sz="4" w:space="0" w:color="auto"/>
                        </w:tcBorders>
                      </w:tcPr>
                      <w:p w:rsidR="00A86128" w:rsidRDefault="00A86128" w:rsidP="00A86128">
                        <w:pPr>
                          <w:ind w:firstLineChars="100" w:firstLine="210"/>
                          <w:rPr>
                            <w:szCs w:val="21"/>
                          </w:rPr>
                        </w:pPr>
                        <w:r>
                          <w:rPr>
                            <w:rFonts w:hint="eastAsia"/>
                            <w:szCs w:val="21"/>
                          </w:rPr>
                          <w:t>处置固定资产、无形资产和其他长期资产收回的现金净额</w:t>
                        </w:r>
                      </w:p>
                    </w:tc>
                  </w:sdtContent>
                </w:sdt>
                <w:tc>
                  <w:tcPr>
                    <w:tcW w:w="867" w:type="pct"/>
                    <w:tcBorders>
                      <w:top w:val="outset" w:sz="4" w:space="0" w:color="auto"/>
                      <w:left w:val="outset" w:sz="4" w:space="0" w:color="auto"/>
                      <w:bottom w:val="outset" w:sz="4" w:space="0" w:color="auto"/>
                      <w:right w:val="outset" w:sz="4" w:space="0" w:color="auto"/>
                    </w:tcBorders>
                  </w:tcPr>
                  <w:p w:rsidR="00A86128" w:rsidRDefault="00A86128" w:rsidP="00A86128">
                    <w:pPr>
                      <w:rPr>
                        <w:szCs w:val="21"/>
                      </w:rPr>
                    </w:pPr>
                  </w:p>
                </w:tc>
                <w:tc>
                  <w:tcPr>
                    <w:tcW w:w="1200" w:type="pct"/>
                    <w:tcBorders>
                      <w:top w:val="outset" w:sz="4" w:space="0" w:color="auto"/>
                      <w:left w:val="outset" w:sz="4" w:space="0" w:color="auto"/>
                      <w:bottom w:val="outset" w:sz="4" w:space="0" w:color="auto"/>
                      <w:right w:val="outset" w:sz="4" w:space="0" w:color="auto"/>
                    </w:tcBorders>
                    <w:vAlign w:val="center"/>
                  </w:tcPr>
                  <w:p w:rsidR="00A86128" w:rsidRDefault="00A86128" w:rsidP="00A86128">
                    <w:pPr>
                      <w:jc w:val="right"/>
                      <w:rPr>
                        <w:szCs w:val="21"/>
                      </w:rPr>
                    </w:pPr>
                    <w:r>
                      <w:t>20,280,374</w:t>
                    </w:r>
                  </w:p>
                </w:tc>
                <w:tc>
                  <w:tcPr>
                    <w:tcW w:w="1195" w:type="pct"/>
                    <w:tcBorders>
                      <w:top w:val="outset" w:sz="4" w:space="0" w:color="auto"/>
                      <w:left w:val="outset" w:sz="4" w:space="0" w:color="auto"/>
                      <w:bottom w:val="outset" w:sz="4" w:space="0" w:color="auto"/>
                      <w:right w:val="outset" w:sz="4" w:space="0" w:color="auto"/>
                    </w:tcBorders>
                    <w:vAlign w:val="center"/>
                  </w:tcPr>
                  <w:p w:rsidR="00A86128" w:rsidRDefault="00A86128" w:rsidP="00A86128">
                    <w:pPr>
                      <w:jc w:val="right"/>
                      <w:rPr>
                        <w:szCs w:val="21"/>
                      </w:rPr>
                    </w:pPr>
                    <w:r>
                      <w:t>31,389,022</w:t>
                    </w:r>
                  </w:p>
                </w:tc>
              </w:tr>
              <w:tr w:rsidR="00A86128" w:rsidTr="003D5A4A">
                <w:sdt>
                  <w:sdtPr>
                    <w:tag w:val="_PLD_ec46cd9c926c4fb7a23ace231fd8a392"/>
                    <w:id w:val="1516423889"/>
                    <w:lock w:val="sdtLocked"/>
                  </w:sdtPr>
                  <w:sdtContent>
                    <w:tc>
                      <w:tcPr>
                        <w:tcW w:w="1738" w:type="pct"/>
                        <w:tcBorders>
                          <w:top w:val="outset" w:sz="4" w:space="0" w:color="auto"/>
                          <w:left w:val="outset" w:sz="4" w:space="0" w:color="auto"/>
                          <w:bottom w:val="outset" w:sz="4" w:space="0" w:color="auto"/>
                          <w:right w:val="outset" w:sz="4" w:space="0" w:color="auto"/>
                        </w:tcBorders>
                      </w:tcPr>
                      <w:p w:rsidR="00A86128" w:rsidRDefault="00A86128" w:rsidP="00A86128">
                        <w:pPr>
                          <w:ind w:firstLineChars="100" w:firstLine="210"/>
                          <w:rPr>
                            <w:szCs w:val="21"/>
                          </w:rPr>
                        </w:pPr>
                        <w:r>
                          <w:rPr>
                            <w:rFonts w:hint="eastAsia"/>
                            <w:szCs w:val="21"/>
                          </w:rPr>
                          <w:t>处置子公司及其他营业单位收到的现金净额</w:t>
                        </w:r>
                      </w:p>
                    </w:tc>
                  </w:sdtContent>
                </w:sdt>
                <w:tc>
                  <w:tcPr>
                    <w:tcW w:w="867" w:type="pct"/>
                    <w:tcBorders>
                      <w:top w:val="outset" w:sz="4" w:space="0" w:color="auto"/>
                      <w:left w:val="outset" w:sz="4" w:space="0" w:color="auto"/>
                      <w:bottom w:val="outset" w:sz="4" w:space="0" w:color="auto"/>
                      <w:right w:val="outset" w:sz="4" w:space="0" w:color="auto"/>
                    </w:tcBorders>
                  </w:tcPr>
                  <w:p w:rsidR="00A86128" w:rsidRDefault="00A86128" w:rsidP="00A86128">
                    <w:pPr>
                      <w:rPr>
                        <w:szCs w:val="21"/>
                      </w:rPr>
                    </w:pPr>
                  </w:p>
                </w:tc>
                <w:tc>
                  <w:tcPr>
                    <w:tcW w:w="1200" w:type="pct"/>
                    <w:tcBorders>
                      <w:top w:val="outset" w:sz="4" w:space="0" w:color="auto"/>
                      <w:left w:val="outset" w:sz="4" w:space="0" w:color="auto"/>
                      <w:bottom w:val="outset" w:sz="4" w:space="0" w:color="auto"/>
                      <w:right w:val="outset" w:sz="4" w:space="0" w:color="auto"/>
                    </w:tcBorders>
                  </w:tcPr>
                  <w:p w:rsidR="00A86128" w:rsidRDefault="00A86128" w:rsidP="00A86128">
                    <w:pPr>
                      <w:jc w:val="right"/>
                      <w:rPr>
                        <w:szCs w:val="21"/>
                      </w:rPr>
                    </w:pPr>
                  </w:p>
                </w:tc>
                <w:tc>
                  <w:tcPr>
                    <w:tcW w:w="1195" w:type="pct"/>
                    <w:tcBorders>
                      <w:top w:val="outset" w:sz="4" w:space="0" w:color="auto"/>
                      <w:left w:val="outset" w:sz="4" w:space="0" w:color="auto"/>
                      <w:bottom w:val="outset" w:sz="4" w:space="0" w:color="auto"/>
                      <w:right w:val="outset" w:sz="4" w:space="0" w:color="auto"/>
                    </w:tcBorders>
                  </w:tcPr>
                  <w:p w:rsidR="00A86128" w:rsidRDefault="00A86128" w:rsidP="00A86128">
                    <w:pPr>
                      <w:jc w:val="right"/>
                      <w:rPr>
                        <w:szCs w:val="21"/>
                      </w:rPr>
                    </w:pPr>
                  </w:p>
                </w:tc>
              </w:tr>
              <w:tr w:rsidR="00A86128" w:rsidTr="00601D47">
                <w:sdt>
                  <w:sdtPr>
                    <w:tag w:val="_PLD_4f33478ab7994146bb46b5f307568279"/>
                    <w:id w:val="655730322"/>
                    <w:lock w:val="sdtLocked"/>
                  </w:sdtPr>
                  <w:sdtContent>
                    <w:tc>
                      <w:tcPr>
                        <w:tcW w:w="1738" w:type="pct"/>
                        <w:tcBorders>
                          <w:top w:val="outset" w:sz="4" w:space="0" w:color="auto"/>
                          <w:left w:val="outset" w:sz="4" w:space="0" w:color="auto"/>
                          <w:bottom w:val="outset" w:sz="4" w:space="0" w:color="auto"/>
                          <w:right w:val="outset" w:sz="4" w:space="0" w:color="auto"/>
                        </w:tcBorders>
                      </w:tcPr>
                      <w:p w:rsidR="00A86128" w:rsidRDefault="00A86128" w:rsidP="00A86128">
                        <w:pPr>
                          <w:ind w:firstLineChars="100" w:firstLine="210"/>
                          <w:rPr>
                            <w:szCs w:val="21"/>
                          </w:rPr>
                        </w:pPr>
                        <w:r>
                          <w:rPr>
                            <w:rFonts w:hint="eastAsia"/>
                            <w:szCs w:val="21"/>
                          </w:rPr>
                          <w:t>收到其他与投资活动有关的现金</w:t>
                        </w:r>
                      </w:p>
                    </w:tc>
                  </w:sdtContent>
                </w:sdt>
                <w:tc>
                  <w:tcPr>
                    <w:tcW w:w="867" w:type="pct"/>
                    <w:tcBorders>
                      <w:top w:val="outset" w:sz="4" w:space="0" w:color="auto"/>
                      <w:left w:val="outset" w:sz="4" w:space="0" w:color="auto"/>
                      <w:bottom w:val="outset" w:sz="4" w:space="0" w:color="auto"/>
                      <w:right w:val="outset" w:sz="4" w:space="0" w:color="auto"/>
                    </w:tcBorders>
                  </w:tcPr>
                  <w:p w:rsidR="00A86128" w:rsidRDefault="00A86128" w:rsidP="00A86128">
                    <w:pPr>
                      <w:rPr>
                        <w:szCs w:val="21"/>
                      </w:rPr>
                    </w:pPr>
                  </w:p>
                </w:tc>
                <w:tc>
                  <w:tcPr>
                    <w:tcW w:w="1200" w:type="pct"/>
                    <w:tcBorders>
                      <w:top w:val="outset" w:sz="4" w:space="0" w:color="auto"/>
                      <w:left w:val="outset" w:sz="4" w:space="0" w:color="auto"/>
                      <w:bottom w:val="outset" w:sz="4" w:space="0" w:color="auto"/>
                      <w:right w:val="outset" w:sz="4" w:space="0" w:color="auto"/>
                    </w:tcBorders>
                    <w:vAlign w:val="center"/>
                  </w:tcPr>
                  <w:p w:rsidR="00A86128" w:rsidRDefault="00A86128" w:rsidP="00A86128">
                    <w:pPr>
                      <w:jc w:val="right"/>
                      <w:rPr>
                        <w:szCs w:val="21"/>
                      </w:rPr>
                    </w:pPr>
                    <w:r>
                      <w:t>1,228,827,631</w:t>
                    </w:r>
                  </w:p>
                </w:tc>
                <w:tc>
                  <w:tcPr>
                    <w:tcW w:w="1195" w:type="pct"/>
                    <w:tcBorders>
                      <w:top w:val="outset" w:sz="4" w:space="0" w:color="auto"/>
                      <w:left w:val="outset" w:sz="4" w:space="0" w:color="auto"/>
                      <w:bottom w:val="outset" w:sz="4" w:space="0" w:color="auto"/>
                      <w:right w:val="outset" w:sz="4" w:space="0" w:color="auto"/>
                    </w:tcBorders>
                    <w:vAlign w:val="center"/>
                  </w:tcPr>
                  <w:p w:rsidR="00A86128" w:rsidRDefault="00A86128" w:rsidP="00A86128">
                    <w:pPr>
                      <w:jc w:val="right"/>
                      <w:rPr>
                        <w:szCs w:val="21"/>
                      </w:rPr>
                    </w:pPr>
                    <w:r>
                      <w:t>1,282,284,825</w:t>
                    </w:r>
                  </w:p>
                </w:tc>
              </w:tr>
              <w:tr w:rsidR="00A86128" w:rsidTr="00601D47">
                <w:sdt>
                  <w:sdtPr>
                    <w:tag w:val="_PLD_49e19665d1ca4dc28a1050ba1220a0b8"/>
                    <w:id w:val="-2124215725"/>
                    <w:lock w:val="sdtLocked"/>
                  </w:sdtPr>
                  <w:sdtContent>
                    <w:tc>
                      <w:tcPr>
                        <w:tcW w:w="1738" w:type="pct"/>
                        <w:tcBorders>
                          <w:top w:val="outset" w:sz="4" w:space="0" w:color="auto"/>
                          <w:left w:val="outset" w:sz="4" w:space="0" w:color="auto"/>
                          <w:bottom w:val="outset" w:sz="4" w:space="0" w:color="auto"/>
                          <w:right w:val="outset" w:sz="4" w:space="0" w:color="auto"/>
                        </w:tcBorders>
                      </w:tcPr>
                      <w:p w:rsidR="00A86128" w:rsidRDefault="00A86128" w:rsidP="00A86128">
                        <w:pPr>
                          <w:ind w:firstLineChars="200" w:firstLine="420"/>
                          <w:rPr>
                            <w:color w:val="000000"/>
                            <w:szCs w:val="21"/>
                          </w:rPr>
                        </w:pPr>
                        <w:r>
                          <w:rPr>
                            <w:rFonts w:hint="eastAsia"/>
                            <w:szCs w:val="21"/>
                          </w:rPr>
                          <w:t>投资活动现金流入小计</w:t>
                        </w:r>
                      </w:p>
                    </w:tc>
                  </w:sdtContent>
                </w:sdt>
                <w:tc>
                  <w:tcPr>
                    <w:tcW w:w="867" w:type="pct"/>
                    <w:tcBorders>
                      <w:top w:val="outset" w:sz="4" w:space="0" w:color="auto"/>
                      <w:left w:val="outset" w:sz="4" w:space="0" w:color="auto"/>
                      <w:bottom w:val="outset" w:sz="4" w:space="0" w:color="auto"/>
                      <w:right w:val="outset" w:sz="4" w:space="0" w:color="auto"/>
                    </w:tcBorders>
                  </w:tcPr>
                  <w:p w:rsidR="00A86128" w:rsidRDefault="00A86128" w:rsidP="00A86128">
                    <w:pPr>
                      <w:rPr>
                        <w:szCs w:val="21"/>
                      </w:rPr>
                    </w:pPr>
                  </w:p>
                </w:tc>
                <w:tc>
                  <w:tcPr>
                    <w:tcW w:w="1200" w:type="pct"/>
                    <w:tcBorders>
                      <w:top w:val="outset" w:sz="4" w:space="0" w:color="auto"/>
                      <w:left w:val="outset" w:sz="4" w:space="0" w:color="auto"/>
                      <w:bottom w:val="outset" w:sz="4" w:space="0" w:color="auto"/>
                      <w:right w:val="outset" w:sz="4" w:space="0" w:color="auto"/>
                    </w:tcBorders>
                    <w:vAlign w:val="center"/>
                  </w:tcPr>
                  <w:p w:rsidR="00A86128" w:rsidRDefault="00A86128" w:rsidP="00A86128">
                    <w:pPr>
                      <w:jc w:val="right"/>
                      <w:rPr>
                        <w:szCs w:val="21"/>
                      </w:rPr>
                    </w:pPr>
                    <w:r>
                      <w:t>4,301,164,544</w:t>
                    </w:r>
                  </w:p>
                </w:tc>
                <w:tc>
                  <w:tcPr>
                    <w:tcW w:w="1195" w:type="pct"/>
                    <w:tcBorders>
                      <w:top w:val="outset" w:sz="4" w:space="0" w:color="auto"/>
                      <w:left w:val="outset" w:sz="4" w:space="0" w:color="auto"/>
                      <w:bottom w:val="outset" w:sz="4" w:space="0" w:color="auto"/>
                      <w:right w:val="outset" w:sz="4" w:space="0" w:color="auto"/>
                    </w:tcBorders>
                    <w:vAlign w:val="center"/>
                  </w:tcPr>
                  <w:p w:rsidR="00A86128" w:rsidRDefault="00A86128" w:rsidP="00A86128">
                    <w:pPr>
                      <w:jc w:val="right"/>
                      <w:rPr>
                        <w:szCs w:val="21"/>
                      </w:rPr>
                    </w:pPr>
                    <w:r>
                      <w:t>4,488,394,752</w:t>
                    </w:r>
                  </w:p>
                </w:tc>
              </w:tr>
              <w:tr w:rsidR="00A86128" w:rsidTr="00601D47">
                <w:sdt>
                  <w:sdtPr>
                    <w:tag w:val="_PLD_546530351deb46daab62d978a5ef2bc0"/>
                    <w:id w:val="1731731615"/>
                    <w:lock w:val="sdtLocked"/>
                  </w:sdtPr>
                  <w:sdtContent>
                    <w:tc>
                      <w:tcPr>
                        <w:tcW w:w="1738" w:type="pct"/>
                        <w:tcBorders>
                          <w:top w:val="outset" w:sz="4" w:space="0" w:color="auto"/>
                          <w:left w:val="outset" w:sz="4" w:space="0" w:color="auto"/>
                          <w:bottom w:val="outset" w:sz="4" w:space="0" w:color="auto"/>
                          <w:right w:val="outset" w:sz="4" w:space="0" w:color="auto"/>
                        </w:tcBorders>
                      </w:tcPr>
                      <w:p w:rsidR="00A86128" w:rsidRDefault="00A86128" w:rsidP="00A86128">
                        <w:pPr>
                          <w:ind w:firstLineChars="100" w:firstLine="210"/>
                          <w:rPr>
                            <w:szCs w:val="21"/>
                          </w:rPr>
                        </w:pPr>
                        <w:r>
                          <w:rPr>
                            <w:rFonts w:hint="eastAsia"/>
                            <w:szCs w:val="21"/>
                          </w:rPr>
                          <w:t>购建固定资产、无形资产和其他长期资产支付的现金</w:t>
                        </w:r>
                      </w:p>
                    </w:tc>
                  </w:sdtContent>
                </w:sdt>
                <w:tc>
                  <w:tcPr>
                    <w:tcW w:w="867" w:type="pct"/>
                    <w:tcBorders>
                      <w:top w:val="outset" w:sz="4" w:space="0" w:color="auto"/>
                      <w:left w:val="outset" w:sz="4" w:space="0" w:color="auto"/>
                      <w:bottom w:val="outset" w:sz="4" w:space="0" w:color="auto"/>
                      <w:right w:val="outset" w:sz="4" w:space="0" w:color="auto"/>
                    </w:tcBorders>
                  </w:tcPr>
                  <w:p w:rsidR="00A86128" w:rsidRDefault="00A86128" w:rsidP="00A86128">
                    <w:pPr>
                      <w:rPr>
                        <w:szCs w:val="21"/>
                      </w:rPr>
                    </w:pPr>
                  </w:p>
                </w:tc>
                <w:tc>
                  <w:tcPr>
                    <w:tcW w:w="1200" w:type="pct"/>
                    <w:tcBorders>
                      <w:top w:val="outset" w:sz="4" w:space="0" w:color="auto"/>
                      <w:left w:val="outset" w:sz="4" w:space="0" w:color="auto"/>
                      <w:bottom w:val="outset" w:sz="4" w:space="0" w:color="auto"/>
                      <w:right w:val="outset" w:sz="4" w:space="0" w:color="auto"/>
                    </w:tcBorders>
                    <w:vAlign w:val="center"/>
                  </w:tcPr>
                  <w:p w:rsidR="00A86128" w:rsidRDefault="00A86128" w:rsidP="00A86128">
                    <w:pPr>
                      <w:jc w:val="right"/>
                      <w:rPr>
                        <w:szCs w:val="21"/>
                      </w:rPr>
                    </w:pPr>
                    <w:r>
                      <w:t>6,562,176,614</w:t>
                    </w:r>
                  </w:p>
                </w:tc>
                <w:tc>
                  <w:tcPr>
                    <w:tcW w:w="1195" w:type="pct"/>
                    <w:tcBorders>
                      <w:top w:val="outset" w:sz="4" w:space="0" w:color="auto"/>
                      <w:left w:val="outset" w:sz="4" w:space="0" w:color="auto"/>
                      <w:bottom w:val="outset" w:sz="4" w:space="0" w:color="auto"/>
                      <w:right w:val="outset" w:sz="4" w:space="0" w:color="auto"/>
                    </w:tcBorders>
                    <w:vAlign w:val="center"/>
                  </w:tcPr>
                  <w:p w:rsidR="00A86128" w:rsidRDefault="00A86128" w:rsidP="00A86128">
                    <w:pPr>
                      <w:jc w:val="right"/>
                      <w:rPr>
                        <w:szCs w:val="21"/>
                      </w:rPr>
                    </w:pPr>
                    <w:r>
                      <w:t>3,308,746,394</w:t>
                    </w:r>
                  </w:p>
                </w:tc>
              </w:tr>
              <w:tr w:rsidR="00A86128" w:rsidTr="003D5A4A">
                <w:sdt>
                  <w:sdtPr>
                    <w:tag w:val="_PLD_bc118d77a17e4461a6c7af661dfc7663"/>
                    <w:id w:val="-1259674665"/>
                    <w:lock w:val="sdtLocked"/>
                  </w:sdtPr>
                  <w:sdtContent>
                    <w:tc>
                      <w:tcPr>
                        <w:tcW w:w="1738" w:type="pct"/>
                        <w:tcBorders>
                          <w:top w:val="outset" w:sz="4" w:space="0" w:color="auto"/>
                          <w:left w:val="outset" w:sz="4" w:space="0" w:color="auto"/>
                          <w:bottom w:val="outset" w:sz="4" w:space="0" w:color="auto"/>
                          <w:right w:val="outset" w:sz="4" w:space="0" w:color="auto"/>
                        </w:tcBorders>
                      </w:tcPr>
                      <w:p w:rsidR="00A86128" w:rsidRDefault="00A86128" w:rsidP="00A86128">
                        <w:pPr>
                          <w:ind w:firstLineChars="100" w:firstLine="210"/>
                          <w:rPr>
                            <w:szCs w:val="21"/>
                          </w:rPr>
                        </w:pPr>
                        <w:r>
                          <w:rPr>
                            <w:rFonts w:hint="eastAsia"/>
                            <w:szCs w:val="21"/>
                          </w:rPr>
                          <w:t>投资支付的现金</w:t>
                        </w:r>
                      </w:p>
                    </w:tc>
                  </w:sdtContent>
                </w:sdt>
                <w:tc>
                  <w:tcPr>
                    <w:tcW w:w="867" w:type="pct"/>
                    <w:tcBorders>
                      <w:top w:val="outset" w:sz="4" w:space="0" w:color="auto"/>
                      <w:left w:val="outset" w:sz="4" w:space="0" w:color="auto"/>
                      <w:bottom w:val="outset" w:sz="4" w:space="0" w:color="auto"/>
                      <w:right w:val="outset" w:sz="4" w:space="0" w:color="auto"/>
                    </w:tcBorders>
                  </w:tcPr>
                  <w:p w:rsidR="00A86128" w:rsidRDefault="00A86128" w:rsidP="00A86128">
                    <w:pPr>
                      <w:rPr>
                        <w:szCs w:val="21"/>
                      </w:rPr>
                    </w:pPr>
                  </w:p>
                </w:tc>
                <w:tc>
                  <w:tcPr>
                    <w:tcW w:w="1200" w:type="pct"/>
                    <w:tcBorders>
                      <w:top w:val="outset" w:sz="4" w:space="0" w:color="auto"/>
                      <w:left w:val="outset" w:sz="4" w:space="0" w:color="auto"/>
                      <w:bottom w:val="outset" w:sz="4" w:space="0" w:color="auto"/>
                      <w:right w:val="outset" w:sz="4" w:space="0" w:color="auto"/>
                    </w:tcBorders>
                  </w:tcPr>
                  <w:p w:rsidR="00A86128" w:rsidRDefault="00A86128" w:rsidP="00A86128">
                    <w:pPr>
                      <w:jc w:val="right"/>
                      <w:rPr>
                        <w:szCs w:val="21"/>
                      </w:rPr>
                    </w:pPr>
                  </w:p>
                </w:tc>
                <w:tc>
                  <w:tcPr>
                    <w:tcW w:w="1195" w:type="pct"/>
                    <w:tcBorders>
                      <w:top w:val="outset" w:sz="4" w:space="0" w:color="auto"/>
                      <w:left w:val="outset" w:sz="4" w:space="0" w:color="auto"/>
                      <w:bottom w:val="outset" w:sz="4" w:space="0" w:color="auto"/>
                      <w:right w:val="outset" w:sz="4" w:space="0" w:color="auto"/>
                    </w:tcBorders>
                  </w:tcPr>
                  <w:p w:rsidR="00A86128" w:rsidRDefault="00A86128" w:rsidP="00A86128">
                    <w:pPr>
                      <w:jc w:val="right"/>
                      <w:rPr>
                        <w:szCs w:val="21"/>
                      </w:rPr>
                    </w:pPr>
                  </w:p>
                </w:tc>
              </w:tr>
              <w:tr w:rsidR="00A86128" w:rsidTr="00601D47">
                <w:sdt>
                  <w:sdtPr>
                    <w:tag w:val="_PLD_eb23d66ae8c248918870ce5a171e20e5"/>
                    <w:id w:val="568934121"/>
                    <w:lock w:val="sdtLocked"/>
                  </w:sdtPr>
                  <w:sdtContent>
                    <w:tc>
                      <w:tcPr>
                        <w:tcW w:w="1738" w:type="pct"/>
                        <w:tcBorders>
                          <w:top w:val="outset" w:sz="4" w:space="0" w:color="auto"/>
                          <w:left w:val="outset" w:sz="4" w:space="0" w:color="auto"/>
                          <w:bottom w:val="outset" w:sz="4" w:space="0" w:color="auto"/>
                          <w:right w:val="outset" w:sz="4" w:space="0" w:color="auto"/>
                        </w:tcBorders>
                      </w:tcPr>
                      <w:p w:rsidR="00A86128" w:rsidRDefault="00A86128" w:rsidP="00A86128">
                        <w:pPr>
                          <w:ind w:firstLineChars="100" w:firstLine="210"/>
                          <w:rPr>
                            <w:szCs w:val="21"/>
                          </w:rPr>
                        </w:pPr>
                        <w:r>
                          <w:rPr>
                            <w:rFonts w:hint="eastAsia"/>
                            <w:szCs w:val="21"/>
                          </w:rPr>
                          <w:t>取得子公司及其他营业单位支付的现金净额</w:t>
                        </w:r>
                      </w:p>
                    </w:tc>
                  </w:sdtContent>
                </w:sdt>
                <w:tc>
                  <w:tcPr>
                    <w:tcW w:w="867" w:type="pct"/>
                    <w:tcBorders>
                      <w:top w:val="outset" w:sz="4" w:space="0" w:color="auto"/>
                      <w:left w:val="outset" w:sz="4" w:space="0" w:color="auto"/>
                      <w:bottom w:val="outset" w:sz="4" w:space="0" w:color="auto"/>
                      <w:right w:val="outset" w:sz="4" w:space="0" w:color="auto"/>
                    </w:tcBorders>
                  </w:tcPr>
                  <w:p w:rsidR="00A86128" w:rsidRDefault="00A86128" w:rsidP="00A86128">
                    <w:pPr>
                      <w:rPr>
                        <w:szCs w:val="21"/>
                      </w:rPr>
                    </w:pPr>
                  </w:p>
                </w:tc>
                <w:tc>
                  <w:tcPr>
                    <w:tcW w:w="1200" w:type="pct"/>
                    <w:tcBorders>
                      <w:top w:val="outset" w:sz="4" w:space="0" w:color="auto"/>
                      <w:left w:val="outset" w:sz="4" w:space="0" w:color="auto"/>
                      <w:bottom w:val="outset" w:sz="4" w:space="0" w:color="auto"/>
                      <w:right w:val="outset" w:sz="4" w:space="0" w:color="auto"/>
                    </w:tcBorders>
                    <w:vAlign w:val="center"/>
                  </w:tcPr>
                  <w:p w:rsidR="00A86128" w:rsidRDefault="00A86128" w:rsidP="00A86128">
                    <w:pPr>
                      <w:jc w:val="right"/>
                      <w:rPr>
                        <w:szCs w:val="21"/>
                      </w:rPr>
                    </w:pPr>
                    <w:r>
                      <w:t>0</w:t>
                    </w:r>
                  </w:p>
                </w:tc>
                <w:tc>
                  <w:tcPr>
                    <w:tcW w:w="1195" w:type="pct"/>
                    <w:tcBorders>
                      <w:top w:val="outset" w:sz="4" w:space="0" w:color="auto"/>
                      <w:left w:val="outset" w:sz="4" w:space="0" w:color="auto"/>
                      <w:bottom w:val="outset" w:sz="4" w:space="0" w:color="auto"/>
                      <w:right w:val="outset" w:sz="4" w:space="0" w:color="auto"/>
                    </w:tcBorders>
                    <w:vAlign w:val="center"/>
                  </w:tcPr>
                  <w:p w:rsidR="00A86128" w:rsidRDefault="00A86128" w:rsidP="00A86128">
                    <w:pPr>
                      <w:jc w:val="right"/>
                      <w:rPr>
                        <w:szCs w:val="21"/>
                      </w:rPr>
                    </w:pPr>
                    <w:r>
                      <w:t>3,980,250,900</w:t>
                    </w:r>
                  </w:p>
                </w:tc>
              </w:tr>
              <w:tr w:rsidR="00A86128" w:rsidTr="003D5A4A">
                <w:sdt>
                  <w:sdtPr>
                    <w:tag w:val="_PLD_b5cdf4aaa86348a1be747298511eff1e"/>
                    <w:id w:val="-843323954"/>
                    <w:lock w:val="sdtLocked"/>
                  </w:sdtPr>
                  <w:sdtContent>
                    <w:tc>
                      <w:tcPr>
                        <w:tcW w:w="1738" w:type="pct"/>
                        <w:tcBorders>
                          <w:top w:val="outset" w:sz="4" w:space="0" w:color="auto"/>
                          <w:left w:val="outset" w:sz="4" w:space="0" w:color="auto"/>
                          <w:bottom w:val="outset" w:sz="4" w:space="0" w:color="auto"/>
                          <w:right w:val="outset" w:sz="4" w:space="0" w:color="auto"/>
                        </w:tcBorders>
                      </w:tcPr>
                      <w:p w:rsidR="00A86128" w:rsidRDefault="00A86128" w:rsidP="00A86128">
                        <w:pPr>
                          <w:ind w:firstLineChars="100" w:firstLine="210"/>
                          <w:rPr>
                            <w:szCs w:val="21"/>
                          </w:rPr>
                        </w:pPr>
                        <w:r>
                          <w:rPr>
                            <w:rFonts w:hint="eastAsia"/>
                            <w:szCs w:val="21"/>
                          </w:rPr>
                          <w:t>支付其他与投资活动有关的现金</w:t>
                        </w:r>
                      </w:p>
                    </w:tc>
                  </w:sdtContent>
                </w:sdt>
                <w:tc>
                  <w:tcPr>
                    <w:tcW w:w="867" w:type="pct"/>
                    <w:tcBorders>
                      <w:top w:val="outset" w:sz="4" w:space="0" w:color="auto"/>
                      <w:left w:val="outset" w:sz="4" w:space="0" w:color="auto"/>
                      <w:bottom w:val="outset" w:sz="4" w:space="0" w:color="auto"/>
                      <w:right w:val="outset" w:sz="4" w:space="0" w:color="auto"/>
                    </w:tcBorders>
                  </w:tcPr>
                  <w:p w:rsidR="00A86128" w:rsidRDefault="00A86128" w:rsidP="00A86128">
                    <w:pPr>
                      <w:rPr>
                        <w:szCs w:val="21"/>
                      </w:rPr>
                    </w:pPr>
                  </w:p>
                </w:tc>
                <w:tc>
                  <w:tcPr>
                    <w:tcW w:w="1200" w:type="pct"/>
                    <w:tcBorders>
                      <w:top w:val="outset" w:sz="4" w:space="0" w:color="auto"/>
                      <w:left w:val="outset" w:sz="4" w:space="0" w:color="auto"/>
                      <w:bottom w:val="outset" w:sz="4" w:space="0" w:color="auto"/>
                      <w:right w:val="outset" w:sz="4" w:space="0" w:color="auto"/>
                    </w:tcBorders>
                  </w:tcPr>
                  <w:p w:rsidR="00A86128" w:rsidRDefault="00A86128" w:rsidP="00A86128">
                    <w:pPr>
                      <w:jc w:val="right"/>
                      <w:rPr>
                        <w:szCs w:val="21"/>
                      </w:rPr>
                    </w:pPr>
                  </w:p>
                </w:tc>
                <w:tc>
                  <w:tcPr>
                    <w:tcW w:w="1195" w:type="pct"/>
                    <w:tcBorders>
                      <w:top w:val="outset" w:sz="4" w:space="0" w:color="auto"/>
                      <w:left w:val="outset" w:sz="4" w:space="0" w:color="auto"/>
                      <w:bottom w:val="outset" w:sz="4" w:space="0" w:color="auto"/>
                      <w:right w:val="outset" w:sz="4" w:space="0" w:color="auto"/>
                    </w:tcBorders>
                  </w:tcPr>
                  <w:p w:rsidR="00A86128" w:rsidRDefault="00A86128" w:rsidP="00A86128">
                    <w:pPr>
                      <w:jc w:val="right"/>
                      <w:rPr>
                        <w:szCs w:val="21"/>
                      </w:rPr>
                    </w:pPr>
                  </w:p>
                </w:tc>
              </w:tr>
              <w:tr w:rsidR="00A86128" w:rsidTr="00601D47">
                <w:sdt>
                  <w:sdtPr>
                    <w:tag w:val="_PLD_ac0780cd021c4287a1ea74e3ffe0fbf6"/>
                    <w:id w:val="2041008711"/>
                    <w:lock w:val="sdtLocked"/>
                  </w:sdtPr>
                  <w:sdtContent>
                    <w:tc>
                      <w:tcPr>
                        <w:tcW w:w="1738" w:type="pct"/>
                        <w:tcBorders>
                          <w:top w:val="outset" w:sz="4" w:space="0" w:color="auto"/>
                          <w:left w:val="outset" w:sz="4" w:space="0" w:color="auto"/>
                          <w:bottom w:val="outset" w:sz="4" w:space="0" w:color="auto"/>
                          <w:right w:val="outset" w:sz="4" w:space="0" w:color="auto"/>
                        </w:tcBorders>
                      </w:tcPr>
                      <w:p w:rsidR="00A86128" w:rsidRDefault="00A86128" w:rsidP="00A86128">
                        <w:pPr>
                          <w:ind w:firstLineChars="200" w:firstLine="420"/>
                          <w:rPr>
                            <w:color w:val="000000"/>
                            <w:szCs w:val="21"/>
                          </w:rPr>
                        </w:pPr>
                        <w:r>
                          <w:rPr>
                            <w:rFonts w:hint="eastAsia"/>
                            <w:szCs w:val="21"/>
                          </w:rPr>
                          <w:t>投资活动现金流出小计</w:t>
                        </w:r>
                      </w:p>
                    </w:tc>
                  </w:sdtContent>
                </w:sdt>
                <w:tc>
                  <w:tcPr>
                    <w:tcW w:w="867" w:type="pct"/>
                    <w:tcBorders>
                      <w:top w:val="outset" w:sz="4" w:space="0" w:color="auto"/>
                      <w:left w:val="outset" w:sz="4" w:space="0" w:color="auto"/>
                      <w:bottom w:val="outset" w:sz="4" w:space="0" w:color="auto"/>
                      <w:right w:val="outset" w:sz="4" w:space="0" w:color="auto"/>
                    </w:tcBorders>
                  </w:tcPr>
                  <w:p w:rsidR="00A86128" w:rsidRDefault="00A86128" w:rsidP="00A86128">
                    <w:pPr>
                      <w:rPr>
                        <w:szCs w:val="21"/>
                      </w:rPr>
                    </w:pPr>
                  </w:p>
                </w:tc>
                <w:tc>
                  <w:tcPr>
                    <w:tcW w:w="1200" w:type="pct"/>
                    <w:tcBorders>
                      <w:top w:val="outset" w:sz="4" w:space="0" w:color="auto"/>
                      <w:left w:val="outset" w:sz="4" w:space="0" w:color="auto"/>
                      <w:bottom w:val="outset" w:sz="4" w:space="0" w:color="auto"/>
                      <w:right w:val="outset" w:sz="4" w:space="0" w:color="auto"/>
                    </w:tcBorders>
                    <w:vAlign w:val="center"/>
                  </w:tcPr>
                  <w:p w:rsidR="00A86128" w:rsidRDefault="00A86128" w:rsidP="00A86128">
                    <w:pPr>
                      <w:jc w:val="right"/>
                      <w:rPr>
                        <w:szCs w:val="21"/>
                      </w:rPr>
                    </w:pPr>
                    <w:r>
                      <w:t>6,562,176,614</w:t>
                    </w:r>
                  </w:p>
                </w:tc>
                <w:tc>
                  <w:tcPr>
                    <w:tcW w:w="1195" w:type="pct"/>
                    <w:tcBorders>
                      <w:top w:val="outset" w:sz="4" w:space="0" w:color="auto"/>
                      <w:left w:val="outset" w:sz="4" w:space="0" w:color="auto"/>
                      <w:bottom w:val="outset" w:sz="4" w:space="0" w:color="auto"/>
                      <w:right w:val="outset" w:sz="4" w:space="0" w:color="auto"/>
                    </w:tcBorders>
                    <w:vAlign w:val="center"/>
                  </w:tcPr>
                  <w:p w:rsidR="00A86128" w:rsidRDefault="00A86128" w:rsidP="00A86128">
                    <w:pPr>
                      <w:jc w:val="right"/>
                      <w:rPr>
                        <w:szCs w:val="21"/>
                      </w:rPr>
                    </w:pPr>
                    <w:r>
                      <w:t>7,288,997,294</w:t>
                    </w:r>
                  </w:p>
                </w:tc>
              </w:tr>
              <w:tr w:rsidR="005519A1" w:rsidTr="00601D47">
                <w:sdt>
                  <w:sdtPr>
                    <w:tag w:val="_PLD_fdf5b53cf5cf497a8338bc2f314305cd"/>
                    <w:id w:val="-1184130237"/>
                    <w:lock w:val="sdtLocked"/>
                  </w:sdtPr>
                  <w:sdtContent>
                    <w:tc>
                      <w:tcPr>
                        <w:tcW w:w="1738" w:type="pct"/>
                        <w:tcBorders>
                          <w:top w:val="outset" w:sz="4" w:space="0" w:color="auto"/>
                          <w:left w:val="outset" w:sz="4" w:space="0" w:color="auto"/>
                          <w:bottom w:val="outset" w:sz="4" w:space="0" w:color="auto"/>
                          <w:right w:val="outset" w:sz="4" w:space="0" w:color="auto"/>
                        </w:tcBorders>
                      </w:tcPr>
                      <w:p w:rsidR="005519A1" w:rsidRDefault="005519A1" w:rsidP="005519A1">
                        <w:pPr>
                          <w:ind w:firstLineChars="300" w:firstLine="630"/>
                          <w:rPr>
                            <w:color w:val="000000"/>
                            <w:szCs w:val="21"/>
                          </w:rPr>
                        </w:pPr>
                        <w:r>
                          <w:rPr>
                            <w:rFonts w:hint="eastAsia"/>
                            <w:szCs w:val="21"/>
                          </w:rPr>
                          <w:t>投资活动产生的现金流量净额</w:t>
                        </w:r>
                      </w:p>
                    </w:tc>
                  </w:sdtContent>
                </w:sdt>
                <w:tc>
                  <w:tcPr>
                    <w:tcW w:w="867" w:type="pct"/>
                    <w:tcBorders>
                      <w:top w:val="outset" w:sz="4" w:space="0" w:color="auto"/>
                      <w:left w:val="outset" w:sz="4" w:space="0" w:color="auto"/>
                      <w:bottom w:val="outset" w:sz="4" w:space="0" w:color="auto"/>
                      <w:right w:val="outset" w:sz="4" w:space="0" w:color="auto"/>
                    </w:tcBorders>
                  </w:tcPr>
                  <w:p w:rsidR="005519A1" w:rsidRDefault="005519A1" w:rsidP="005519A1">
                    <w:pPr>
                      <w:rPr>
                        <w:szCs w:val="21"/>
                      </w:rPr>
                    </w:pPr>
                  </w:p>
                </w:tc>
                <w:tc>
                  <w:tcPr>
                    <w:tcW w:w="1200" w:type="pct"/>
                    <w:tcBorders>
                      <w:top w:val="outset" w:sz="4" w:space="0" w:color="auto"/>
                      <w:left w:val="outset" w:sz="4" w:space="0" w:color="auto"/>
                      <w:bottom w:val="outset" w:sz="4" w:space="0" w:color="auto"/>
                      <w:right w:val="outset" w:sz="4" w:space="0" w:color="auto"/>
                    </w:tcBorders>
                    <w:vAlign w:val="center"/>
                  </w:tcPr>
                  <w:p w:rsidR="005519A1" w:rsidRDefault="005519A1" w:rsidP="005519A1">
                    <w:pPr>
                      <w:jc w:val="right"/>
                      <w:rPr>
                        <w:szCs w:val="21"/>
                      </w:rPr>
                    </w:pPr>
                    <w:r>
                      <w:rPr>
                        <w:rFonts w:hint="eastAsia"/>
                      </w:rPr>
                      <w:t>-</w:t>
                    </w:r>
                    <w:r>
                      <w:t>2,261,012,070</w:t>
                    </w:r>
                  </w:p>
                </w:tc>
                <w:tc>
                  <w:tcPr>
                    <w:tcW w:w="1195" w:type="pct"/>
                    <w:tcBorders>
                      <w:top w:val="outset" w:sz="4" w:space="0" w:color="auto"/>
                      <w:left w:val="outset" w:sz="4" w:space="0" w:color="auto"/>
                      <w:bottom w:val="outset" w:sz="4" w:space="0" w:color="auto"/>
                      <w:right w:val="outset" w:sz="4" w:space="0" w:color="auto"/>
                    </w:tcBorders>
                    <w:vAlign w:val="center"/>
                  </w:tcPr>
                  <w:p w:rsidR="005519A1" w:rsidRDefault="005519A1" w:rsidP="005519A1">
                    <w:pPr>
                      <w:jc w:val="right"/>
                      <w:rPr>
                        <w:szCs w:val="21"/>
                      </w:rPr>
                    </w:pPr>
                    <w:r>
                      <w:rPr>
                        <w:rFonts w:hint="eastAsia"/>
                      </w:rPr>
                      <w:t>-</w:t>
                    </w:r>
                    <w:r>
                      <w:t>2,800,602,542</w:t>
                    </w:r>
                  </w:p>
                </w:tc>
              </w:tr>
              <w:tr w:rsidR="005519A1" w:rsidTr="00713F20">
                <w:sdt>
                  <w:sdtPr>
                    <w:tag w:val="_PLD_8b6929c78db14ee1bde1ca4b9a47a65c"/>
                    <w:id w:val="-1261748536"/>
                    <w:lock w:val="sdtLocked"/>
                  </w:sdtPr>
                  <w:sdtContent>
                    <w:tc>
                      <w:tcPr>
                        <w:tcW w:w="5000" w:type="pct"/>
                        <w:gridSpan w:val="4"/>
                        <w:tcBorders>
                          <w:top w:val="outset" w:sz="4" w:space="0" w:color="auto"/>
                          <w:left w:val="outset" w:sz="4" w:space="0" w:color="auto"/>
                          <w:bottom w:val="outset" w:sz="4" w:space="0" w:color="auto"/>
                          <w:right w:val="outset" w:sz="4" w:space="0" w:color="auto"/>
                        </w:tcBorders>
                      </w:tcPr>
                      <w:p w:rsidR="005519A1" w:rsidRDefault="005519A1" w:rsidP="005519A1">
                        <w:pPr>
                          <w:rPr>
                            <w:color w:val="008000"/>
                            <w:szCs w:val="21"/>
                          </w:rPr>
                        </w:pPr>
                        <w:r>
                          <w:rPr>
                            <w:rFonts w:hint="eastAsia"/>
                            <w:b/>
                            <w:bCs/>
                            <w:szCs w:val="21"/>
                          </w:rPr>
                          <w:t>三、筹资活动产生的现金流量：</w:t>
                        </w:r>
                      </w:p>
                    </w:tc>
                  </w:sdtContent>
                </w:sdt>
              </w:tr>
              <w:tr w:rsidR="005519A1" w:rsidTr="003D5A4A">
                <w:sdt>
                  <w:sdtPr>
                    <w:tag w:val="_PLD_0f08e006241c4d5b851db5e35d88c8c1"/>
                    <w:id w:val="-652981260"/>
                    <w:lock w:val="sdtLocked"/>
                  </w:sdtPr>
                  <w:sdtContent>
                    <w:tc>
                      <w:tcPr>
                        <w:tcW w:w="1738" w:type="pct"/>
                        <w:tcBorders>
                          <w:top w:val="outset" w:sz="4" w:space="0" w:color="auto"/>
                          <w:left w:val="outset" w:sz="4" w:space="0" w:color="auto"/>
                          <w:bottom w:val="outset" w:sz="4" w:space="0" w:color="auto"/>
                          <w:right w:val="outset" w:sz="4" w:space="0" w:color="auto"/>
                        </w:tcBorders>
                      </w:tcPr>
                      <w:p w:rsidR="005519A1" w:rsidRDefault="005519A1" w:rsidP="005519A1">
                        <w:pPr>
                          <w:ind w:firstLineChars="100" w:firstLine="210"/>
                          <w:rPr>
                            <w:color w:val="000000"/>
                            <w:szCs w:val="21"/>
                          </w:rPr>
                        </w:pPr>
                        <w:r>
                          <w:rPr>
                            <w:rFonts w:hint="eastAsia"/>
                            <w:szCs w:val="21"/>
                          </w:rPr>
                          <w:t>吸收投资收到的现金</w:t>
                        </w:r>
                      </w:p>
                    </w:tc>
                  </w:sdtContent>
                </w:sdt>
                <w:tc>
                  <w:tcPr>
                    <w:tcW w:w="867" w:type="pct"/>
                    <w:tcBorders>
                      <w:top w:val="outset" w:sz="4" w:space="0" w:color="auto"/>
                      <w:left w:val="outset" w:sz="4" w:space="0" w:color="auto"/>
                      <w:bottom w:val="outset" w:sz="4" w:space="0" w:color="auto"/>
                      <w:right w:val="outset" w:sz="4" w:space="0" w:color="auto"/>
                    </w:tcBorders>
                  </w:tcPr>
                  <w:p w:rsidR="005519A1" w:rsidRDefault="005519A1" w:rsidP="005519A1">
                    <w:pPr>
                      <w:rPr>
                        <w:szCs w:val="21"/>
                      </w:rPr>
                    </w:pPr>
                  </w:p>
                </w:tc>
                <w:tc>
                  <w:tcPr>
                    <w:tcW w:w="1200" w:type="pct"/>
                    <w:tcBorders>
                      <w:top w:val="outset" w:sz="4" w:space="0" w:color="auto"/>
                      <w:left w:val="outset" w:sz="4" w:space="0" w:color="auto"/>
                      <w:bottom w:val="outset" w:sz="4" w:space="0" w:color="auto"/>
                      <w:right w:val="outset" w:sz="4" w:space="0" w:color="auto"/>
                    </w:tcBorders>
                  </w:tcPr>
                  <w:p w:rsidR="005519A1" w:rsidRDefault="005519A1" w:rsidP="005519A1">
                    <w:pPr>
                      <w:jc w:val="right"/>
                      <w:rPr>
                        <w:szCs w:val="21"/>
                      </w:rPr>
                    </w:pPr>
                  </w:p>
                </w:tc>
                <w:tc>
                  <w:tcPr>
                    <w:tcW w:w="1195" w:type="pct"/>
                    <w:tcBorders>
                      <w:top w:val="outset" w:sz="4" w:space="0" w:color="auto"/>
                      <w:left w:val="outset" w:sz="4" w:space="0" w:color="auto"/>
                      <w:bottom w:val="outset" w:sz="4" w:space="0" w:color="auto"/>
                      <w:right w:val="outset" w:sz="4" w:space="0" w:color="auto"/>
                    </w:tcBorders>
                  </w:tcPr>
                  <w:p w:rsidR="005519A1" w:rsidRDefault="005519A1" w:rsidP="005519A1">
                    <w:pPr>
                      <w:jc w:val="right"/>
                      <w:rPr>
                        <w:szCs w:val="21"/>
                      </w:rPr>
                    </w:pPr>
                  </w:p>
                </w:tc>
              </w:tr>
              <w:tr w:rsidR="005519A1" w:rsidTr="003D5A4A">
                <w:sdt>
                  <w:sdtPr>
                    <w:tag w:val="_PLD_a1cdcf4a2a7c448b82fbb03d2e492772"/>
                    <w:id w:val="560058456"/>
                    <w:lock w:val="sdtLocked"/>
                  </w:sdtPr>
                  <w:sdtContent>
                    <w:tc>
                      <w:tcPr>
                        <w:tcW w:w="1738" w:type="pct"/>
                        <w:tcBorders>
                          <w:top w:val="outset" w:sz="4" w:space="0" w:color="auto"/>
                          <w:left w:val="outset" w:sz="4" w:space="0" w:color="auto"/>
                          <w:bottom w:val="outset" w:sz="4" w:space="0" w:color="auto"/>
                          <w:right w:val="outset" w:sz="4" w:space="0" w:color="auto"/>
                        </w:tcBorders>
                      </w:tcPr>
                      <w:p w:rsidR="005519A1" w:rsidRDefault="005519A1" w:rsidP="005519A1">
                        <w:pPr>
                          <w:ind w:firstLineChars="100" w:firstLine="210"/>
                          <w:rPr>
                            <w:color w:val="000000"/>
                            <w:szCs w:val="21"/>
                          </w:rPr>
                        </w:pPr>
                        <w:r>
                          <w:rPr>
                            <w:rFonts w:hint="eastAsia"/>
                            <w:szCs w:val="21"/>
                          </w:rPr>
                          <w:t>取得借款收到的现金</w:t>
                        </w:r>
                      </w:p>
                    </w:tc>
                  </w:sdtContent>
                </w:sdt>
                <w:tc>
                  <w:tcPr>
                    <w:tcW w:w="867" w:type="pct"/>
                    <w:tcBorders>
                      <w:top w:val="outset" w:sz="4" w:space="0" w:color="auto"/>
                      <w:left w:val="outset" w:sz="4" w:space="0" w:color="auto"/>
                      <w:bottom w:val="outset" w:sz="4" w:space="0" w:color="auto"/>
                      <w:right w:val="outset" w:sz="4" w:space="0" w:color="auto"/>
                    </w:tcBorders>
                  </w:tcPr>
                  <w:p w:rsidR="005519A1" w:rsidRDefault="005519A1" w:rsidP="005519A1">
                    <w:pPr>
                      <w:rPr>
                        <w:szCs w:val="21"/>
                      </w:rPr>
                    </w:pPr>
                  </w:p>
                </w:tc>
                <w:tc>
                  <w:tcPr>
                    <w:tcW w:w="1200" w:type="pct"/>
                    <w:tcBorders>
                      <w:top w:val="outset" w:sz="4" w:space="0" w:color="auto"/>
                      <w:left w:val="outset" w:sz="4" w:space="0" w:color="auto"/>
                      <w:bottom w:val="outset" w:sz="4" w:space="0" w:color="auto"/>
                      <w:right w:val="outset" w:sz="4" w:space="0" w:color="auto"/>
                    </w:tcBorders>
                  </w:tcPr>
                  <w:p w:rsidR="005519A1" w:rsidRDefault="005519A1" w:rsidP="005519A1">
                    <w:pPr>
                      <w:jc w:val="right"/>
                      <w:rPr>
                        <w:szCs w:val="21"/>
                      </w:rPr>
                    </w:pPr>
                  </w:p>
                </w:tc>
                <w:tc>
                  <w:tcPr>
                    <w:tcW w:w="1195" w:type="pct"/>
                    <w:tcBorders>
                      <w:top w:val="outset" w:sz="4" w:space="0" w:color="auto"/>
                      <w:left w:val="outset" w:sz="4" w:space="0" w:color="auto"/>
                      <w:bottom w:val="outset" w:sz="4" w:space="0" w:color="auto"/>
                      <w:right w:val="outset" w:sz="4" w:space="0" w:color="auto"/>
                    </w:tcBorders>
                  </w:tcPr>
                  <w:p w:rsidR="005519A1" w:rsidRDefault="005519A1" w:rsidP="005519A1">
                    <w:pPr>
                      <w:jc w:val="right"/>
                      <w:rPr>
                        <w:szCs w:val="21"/>
                      </w:rPr>
                    </w:pPr>
                  </w:p>
                </w:tc>
              </w:tr>
              <w:tr w:rsidR="00887ACA" w:rsidTr="00601D47">
                <w:sdt>
                  <w:sdtPr>
                    <w:tag w:val="_PLD_c04b6e3c34ff4c51ae23871e4ca3cb40"/>
                    <w:id w:val="821614518"/>
                    <w:lock w:val="sdtLocked"/>
                  </w:sdtPr>
                  <w:sdtContent>
                    <w:tc>
                      <w:tcPr>
                        <w:tcW w:w="1738" w:type="pct"/>
                        <w:tcBorders>
                          <w:top w:val="outset" w:sz="4" w:space="0" w:color="auto"/>
                          <w:left w:val="outset" w:sz="4" w:space="0" w:color="auto"/>
                          <w:bottom w:val="outset" w:sz="4" w:space="0" w:color="auto"/>
                          <w:right w:val="outset" w:sz="4" w:space="0" w:color="auto"/>
                        </w:tcBorders>
                      </w:tcPr>
                      <w:p w:rsidR="00887ACA" w:rsidRDefault="00887ACA" w:rsidP="00887ACA">
                        <w:pPr>
                          <w:ind w:firstLineChars="100" w:firstLine="210"/>
                          <w:rPr>
                            <w:color w:val="000000"/>
                            <w:szCs w:val="21"/>
                          </w:rPr>
                        </w:pPr>
                        <w:r>
                          <w:rPr>
                            <w:rFonts w:hint="eastAsia"/>
                            <w:szCs w:val="21"/>
                          </w:rPr>
                          <w:t>收到其他与筹资活动有关的现金</w:t>
                        </w:r>
                      </w:p>
                    </w:tc>
                  </w:sdtContent>
                </w:sdt>
                <w:tc>
                  <w:tcPr>
                    <w:tcW w:w="867" w:type="pct"/>
                    <w:tcBorders>
                      <w:top w:val="outset" w:sz="4" w:space="0" w:color="auto"/>
                      <w:left w:val="outset" w:sz="4" w:space="0" w:color="auto"/>
                      <w:bottom w:val="outset" w:sz="4" w:space="0" w:color="auto"/>
                      <w:right w:val="outset" w:sz="4" w:space="0" w:color="auto"/>
                    </w:tcBorders>
                  </w:tcPr>
                  <w:p w:rsidR="00887ACA" w:rsidRDefault="00887ACA" w:rsidP="00887ACA">
                    <w:pPr>
                      <w:rPr>
                        <w:szCs w:val="21"/>
                      </w:rPr>
                    </w:pPr>
                  </w:p>
                </w:tc>
                <w:tc>
                  <w:tcPr>
                    <w:tcW w:w="1200" w:type="pct"/>
                    <w:tcBorders>
                      <w:top w:val="outset" w:sz="4" w:space="0" w:color="auto"/>
                      <w:left w:val="outset" w:sz="4" w:space="0" w:color="auto"/>
                      <w:bottom w:val="outset" w:sz="4" w:space="0" w:color="auto"/>
                      <w:right w:val="outset" w:sz="4" w:space="0" w:color="auto"/>
                    </w:tcBorders>
                    <w:vAlign w:val="center"/>
                  </w:tcPr>
                  <w:p w:rsidR="00887ACA" w:rsidRDefault="00887ACA" w:rsidP="00887ACA">
                    <w:pPr>
                      <w:jc w:val="right"/>
                      <w:rPr>
                        <w:szCs w:val="21"/>
                      </w:rPr>
                    </w:pPr>
                    <w:r>
                      <w:t>397,735,640</w:t>
                    </w:r>
                  </w:p>
                </w:tc>
                <w:tc>
                  <w:tcPr>
                    <w:tcW w:w="1195" w:type="pct"/>
                    <w:tcBorders>
                      <w:top w:val="outset" w:sz="4" w:space="0" w:color="auto"/>
                      <w:left w:val="outset" w:sz="4" w:space="0" w:color="auto"/>
                      <w:bottom w:val="outset" w:sz="4" w:space="0" w:color="auto"/>
                      <w:right w:val="outset" w:sz="4" w:space="0" w:color="auto"/>
                    </w:tcBorders>
                    <w:vAlign w:val="center"/>
                  </w:tcPr>
                  <w:p w:rsidR="00887ACA" w:rsidRDefault="00887ACA" w:rsidP="00887ACA">
                    <w:pPr>
                      <w:jc w:val="right"/>
                      <w:rPr>
                        <w:szCs w:val="21"/>
                      </w:rPr>
                    </w:pPr>
                    <w:r>
                      <w:t>1,507,617,608</w:t>
                    </w:r>
                  </w:p>
                </w:tc>
              </w:tr>
              <w:tr w:rsidR="00887ACA" w:rsidTr="00601D47">
                <w:sdt>
                  <w:sdtPr>
                    <w:tag w:val="_PLD_bf7fbf014785409195a7287852d3d035"/>
                    <w:id w:val="-793440496"/>
                    <w:lock w:val="sdtLocked"/>
                  </w:sdtPr>
                  <w:sdtContent>
                    <w:tc>
                      <w:tcPr>
                        <w:tcW w:w="1738" w:type="pct"/>
                        <w:tcBorders>
                          <w:top w:val="outset" w:sz="4" w:space="0" w:color="auto"/>
                          <w:left w:val="outset" w:sz="4" w:space="0" w:color="auto"/>
                          <w:bottom w:val="outset" w:sz="4" w:space="0" w:color="auto"/>
                          <w:right w:val="outset" w:sz="4" w:space="0" w:color="auto"/>
                        </w:tcBorders>
                      </w:tcPr>
                      <w:p w:rsidR="00887ACA" w:rsidRDefault="00887ACA" w:rsidP="00887ACA">
                        <w:pPr>
                          <w:ind w:firstLineChars="200" w:firstLine="420"/>
                          <w:rPr>
                            <w:color w:val="000000"/>
                            <w:szCs w:val="21"/>
                          </w:rPr>
                        </w:pPr>
                        <w:r>
                          <w:rPr>
                            <w:rFonts w:hint="eastAsia"/>
                            <w:szCs w:val="21"/>
                          </w:rPr>
                          <w:t>筹资活动现金流入小计</w:t>
                        </w:r>
                      </w:p>
                    </w:tc>
                  </w:sdtContent>
                </w:sdt>
                <w:tc>
                  <w:tcPr>
                    <w:tcW w:w="867" w:type="pct"/>
                    <w:tcBorders>
                      <w:top w:val="outset" w:sz="4" w:space="0" w:color="auto"/>
                      <w:left w:val="outset" w:sz="4" w:space="0" w:color="auto"/>
                      <w:bottom w:val="outset" w:sz="4" w:space="0" w:color="auto"/>
                      <w:right w:val="outset" w:sz="4" w:space="0" w:color="auto"/>
                    </w:tcBorders>
                  </w:tcPr>
                  <w:p w:rsidR="00887ACA" w:rsidRDefault="00887ACA" w:rsidP="00887ACA">
                    <w:pPr>
                      <w:rPr>
                        <w:szCs w:val="21"/>
                      </w:rPr>
                    </w:pPr>
                  </w:p>
                </w:tc>
                <w:tc>
                  <w:tcPr>
                    <w:tcW w:w="1200" w:type="pct"/>
                    <w:tcBorders>
                      <w:top w:val="outset" w:sz="4" w:space="0" w:color="auto"/>
                      <w:left w:val="outset" w:sz="4" w:space="0" w:color="auto"/>
                      <w:bottom w:val="outset" w:sz="4" w:space="0" w:color="auto"/>
                      <w:right w:val="outset" w:sz="4" w:space="0" w:color="auto"/>
                    </w:tcBorders>
                    <w:vAlign w:val="center"/>
                  </w:tcPr>
                  <w:p w:rsidR="00887ACA" w:rsidRDefault="00887ACA" w:rsidP="00887ACA">
                    <w:pPr>
                      <w:jc w:val="right"/>
                      <w:rPr>
                        <w:szCs w:val="21"/>
                      </w:rPr>
                    </w:pPr>
                    <w:r>
                      <w:t>397,735,640</w:t>
                    </w:r>
                  </w:p>
                </w:tc>
                <w:tc>
                  <w:tcPr>
                    <w:tcW w:w="1195" w:type="pct"/>
                    <w:tcBorders>
                      <w:top w:val="outset" w:sz="4" w:space="0" w:color="auto"/>
                      <w:left w:val="outset" w:sz="4" w:space="0" w:color="auto"/>
                      <w:bottom w:val="outset" w:sz="4" w:space="0" w:color="auto"/>
                      <w:right w:val="outset" w:sz="4" w:space="0" w:color="auto"/>
                    </w:tcBorders>
                    <w:vAlign w:val="center"/>
                  </w:tcPr>
                  <w:p w:rsidR="00887ACA" w:rsidRDefault="00887ACA" w:rsidP="00887ACA">
                    <w:pPr>
                      <w:tabs>
                        <w:tab w:val="center" w:pos="989"/>
                        <w:tab w:val="right" w:pos="1979"/>
                      </w:tabs>
                      <w:jc w:val="right"/>
                      <w:rPr>
                        <w:szCs w:val="21"/>
                      </w:rPr>
                    </w:pPr>
                    <w:r>
                      <w:t>1,507,617,608</w:t>
                    </w:r>
                  </w:p>
                </w:tc>
              </w:tr>
              <w:tr w:rsidR="00887ACA" w:rsidTr="003D5A4A">
                <w:sdt>
                  <w:sdtPr>
                    <w:tag w:val="_PLD_72c875707060490882af91b3254ebf86"/>
                    <w:id w:val="507184941"/>
                    <w:lock w:val="sdtLocked"/>
                  </w:sdtPr>
                  <w:sdtContent>
                    <w:tc>
                      <w:tcPr>
                        <w:tcW w:w="1738" w:type="pct"/>
                        <w:tcBorders>
                          <w:top w:val="outset" w:sz="4" w:space="0" w:color="auto"/>
                          <w:left w:val="outset" w:sz="4" w:space="0" w:color="auto"/>
                          <w:bottom w:val="outset" w:sz="4" w:space="0" w:color="auto"/>
                          <w:right w:val="outset" w:sz="4" w:space="0" w:color="auto"/>
                        </w:tcBorders>
                      </w:tcPr>
                      <w:p w:rsidR="00887ACA" w:rsidRDefault="00887ACA" w:rsidP="00887ACA">
                        <w:pPr>
                          <w:ind w:firstLineChars="100" w:firstLine="210"/>
                          <w:rPr>
                            <w:szCs w:val="21"/>
                          </w:rPr>
                        </w:pPr>
                        <w:r>
                          <w:rPr>
                            <w:rFonts w:hint="eastAsia"/>
                            <w:szCs w:val="21"/>
                          </w:rPr>
                          <w:t>偿还债务支付的现金</w:t>
                        </w:r>
                      </w:p>
                    </w:tc>
                  </w:sdtContent>
                </w:sdt>
                <w:tc>
                  <w:tcPr>
                    <w:tcW w:w="867" w:type="pct"/>
                    <w:tcBorders>
                      <w:top w:val="outset" w:sz="4" w:space="0" w:color="auto"/>
                      <w:left w:val="outset" w:sz="4" w:space="0" w:color="auto"/>
                      <w:bottom w:val="outset" w:sz="4" w:space="0" w:color="auto"/>
                      <w:right w:val="outset" w:sz="4" w:space="0" w:color="auto"/>
                    </w:tcBorders>
                  </w:tcPr>
                  <w:p w:rsidR="00887ACA" w:rsidRDefault="00887ACA" w:rsidP="00887ACA">
                    <w:pPr>
                      <w:rPr>
                        <w:szCs w:val="21"/>
                      </w:rPr>
                    </w:pPr>
                  </w:p>
                </w:tc>
                <w:tc>
                  <w:tcPr>
                    <w:tcW w:w="1200" w:type="pct"/>
                    <w:tcBorders>
                      <w:top w:val="outset" w:sz="4" w:space="0" w:color="auto"/>
                      <w:left w:val="outset" w:sz="4" w:space="0" w:color="auto"/>
                      <w:bottom w:val="outset" w:sz="4" w:space="0" w:color="auto"/>
                      <w:right w:val="outset" w:sz="4" w:space="0" w:color="auto"/>
                    </w:tcBorders>
                  </w:tcPr>
                  <w:p w:rsidR="00887ACA" w:rsidRDefault="00887ACA" w:rsidP="00887ACA">
                    <w:pPr>
                      <w:jc w:val="right"/>
                      <w:rPr>
                        <w:szCs w:val="21"/>
                      </w:rPr>
                    </w:pPr>
                  </w:p>
                </w:tc>
                <w:tc>
                  <w:tcPr>
                    <w:tcW w:w="1195" w:type="pct"/>
                    <w:tcBorders>
                      <w:top w:val="outset" w:sz="4" w:space="0" w:color="auto"/>
                      <w:left w:val="outset" w:sz="4" w:space="0" w:color="auto"/>
                      <w:bottom w:val="outset" w:sz="4" w:space="0" w:color="auto"/>
                      <w:right w:val="outset" w:sz="4" w:space="0" w:color="auto"/>
                    </w:tcBorders>
                  </w:tcPr>
                  <w:p w:rsidR="00887ACA" w:rsidRDefault="00887ACA" w:rsidP="00887ACA">
                    <w:pPr>
                      <w:jc w:val="right"/>
                      <w:rPr>
                        <w:szCs w:val="21"/>
                      </w:rPr>
                    </w:pPr>
                  </w:p>
                </w:tc>
              </w:tr>
              <w:tr w:rsidR="00887ACA" w:rsidTr="00601D47">
                <w:sdt>
                  <w:sdtPr>
                    <w:tag w:val="_PLD_d227ef1d4c704287b692609a03d18a2a"/>
                    <w:id w:val="-1857873819"/>
                    <w:lock w:val="sdtLocked"/>
                  </w:sdtPr>
                  <w:sdtContent>
                    <w:tc>
                      <w:tcPr>
                        <w:tcW w:w="1738" w:type="pct"/>
                        <w:tcBorders>
                          <w:top w:val="outset" w:sz="4" w:space="0" w:color="auto"/>
                          <w:left w:val="outset" w:sz="4" w:space="0" w:color="auto"/>
                          <w:bottom w:val="outset" w:sz="4" w:space="0" w:color="auto"/>
                          <w:right w:val="outset" w:sz="4" w:space="0" w:color="auto"/>
                        </w:tcBorders>
                      </w:tcPr>
                      <w:p w:rsidR="00887ACA" w:rsidRDefault="00887ACA" w:rsidP="00887ACA">
                        <w:pPr>
                          <w:ind w:firstLineChars="100" w:firstLine="210"/>
                          <w:rPr>
                            <w:szCs w:val="21"/>
                          </w:rPr>
                        </w:pPr>
                        <w:r>
                          <w:rPr>
                            <w:rFonts w:hint="eastAsia"/>
                            <w:szCs w:val="21"/>
                          </w:rPr>
                          <w:t>分配股利、利润或偿付利息支</w:t>
                        </w:r>
                        <w:r>
                          <w:rPr>
                            <w:rFonts w:hint="eastAsia"/>
                            <w:szCs w:val="21"/>
                          </w:rPr>
                          <w:lastRenderedPageBreak/>
                          <w:t>付的现金</w:t>
                        </w:r>
                      </w:p>
                    </w:tc>
                  </w:sdtContent>
                </w:sdt>
                <w:tc>
                  <w:tcPr>
                    <w:tcW w:w="867" w:type="pct"/>
                    <w:tcBorders>
                      <w:top w:val="outset" w:sz="4" w:space="0" w:color="auto"/>
                      <w:left w:val="outset" w:sz="4" w:space="0" w:color="auto"/>
                      <w:bottom w:val="outset" w:sz="4" w:space="0" w:color="auto"/>
                      <w:right w:val="outset" w:sz="4" w:space="0" w:color="auto"/>
                    </w:tcBorders>
                  </w:tcPr>
                  <w:p w:rsidR="00887ACA" w:rsidRDefault="00887ACA" w:rsidP="00887ACA">
                    <w:pPr>
                      <w:rPr>
                        <w:szCs w:val="21"/>
                      </w:rPr>
                    </w:pPr>
                  </w:p>
                </w:tc>
                <w:tc>
                  <w:tcPr>
                    <w:tcW w:w="1200" w:type="pct"/>
                    <w:tcBorders>
                      <w:top w:val="outset" w:sz="4" w:space="0" w:color="auto"/>
                      <w:left w:val="outset" w:sz="4" w:space="0" w:color="auto"/>
                      <w:bottom w:val="outset" w:sz="4" w:space="0" w:color="auto"/>
                      <w:right w:val="outset" w:sz="4" w:space="0" w:color="auto"/>
                    </w:tcBorders>
                    <w:vAlign w:val="center"/>
                  </w:tcPr>
                  <w:p w:rsidR="00887ACA" w:rsidRDefault="00887ACA" w:rsidP="00887ACA">
                    <w:pPr>
                      <w:jc w:val="right"/>
                      <w:rPr>
                        <w:szCs w:val="21"/>
                      </w:rPr>
                    </w:pPr>
                    <w:r>
                      <w:t>7,296,127,170</w:t>
                    </w:r>
                  </w:p>
                </w:tc>
                <w:tc>
                  <w:tcPr>
                    <w:tcW w:w="1195" w:type="pct"/>
                    <w:tcBorders>
                      <w:top w:val="outset" w:sz="4" w:space="0" w:color="auto"/>
                      <w:left w:val="outset" w:sz="4" w:space="0" w:color="auto"/>
                      <w:bottom w:val="outset" w:sz="4" w:space="0" w:color="auto"/>
                      <w:right w:val="outset" w:sz="4" w:space="0" w:color="auto"/>
                    </w:tcBorders>
                    <w:vAlign w:val="center"/>
                  </w:tcPr>
                  <w:p w:rsidR="00887ACA" w:rsidRDefault="00887ACA" w:rsidP="00887ACA">
                    <w:pPr>
                      <w:jc w:val="right"/>
                      <w:rPr>
                        <w:szCs w:val="21"/>
                      </w:rPr>
                    </w:pPr>
                    <w:r>
                      <w:t>7,200,097,998</w:t>
                    </w:r>
                  </w:p>
                </w:tc>
              </w:tr>
              <w:tr w:rsidR="00887ACA" w:rsidTr="00601D47">
                <w:sdt>
                  <w:sdtPr>
                    <w:tag w:val="_PLD_e548bc4b8c0e4edfbb6fc435c82efb9b"/>
                    <w:id w:val="928236954"/>
                    <w:lock w:val="sdtLocked"/>
                  </w:sdtPr>
                  <w:sdtContent>
                    <w:tc>
                      <w:tcPr>
                        <w:tcW w:w="1738" w:type="pct"/>
                        <w:tcBorders>
                          <w:top w:val="outset" w:sz="4" w:space="0" w:color="auto"/>
                          <w:left w:val="outset" w:sz="4" w:space="0" w:color="auto"/>
                          <w:bottom w:val="outset" w:sz="4" w:space="0" w:color="auto"/>
                          <w:right w:val="outset" w:sz="4" w:space="0" w:color="auto"/>
                        </w:tcBorders>
                      </w:tcPr>
                      <w:p w:rsidR="00887ACA" w:rsidRDefault="00887ACA" w:rsidP="00887ACA">
                        <w:pPr>
                          <w:ind w:firstLineChars="100" w:firstLine="210"/>
                          <w:rPr>
                            <w:color w:val="000000"/>
                            <w:szCs w:val="21"/>
                          </w:rPr>
                        </w:pPr>
                        <w:r>
                          <w:rPr>
                            <w:rFonts w:hint="eastAsia"/>
                            <w:szCs w:val="21"/>
                          </w:rPr>
                          <w:t>支付其他与筹资活动有关的现金</w:t>
                        </w:r>
                      </w:p>
                    </w:tc>
                  </w:sdtContent>
                </w:sdt>
                <w:tc>
                  <w:tcPr>
                    <w:tcW w:w="867" w:type="pct"/>
                    <w:tcBorders>
                      <w:top w:val="outset" w:sz="4" w:space="0" w:color="auto"/>
                      <w:left w:val="outset" w:sz="4" w:space="0" w:color="auto"/>
                      <w:bottom w:val="outset" w:sz="4" w:space="0" w:color="auto"/>
                      <w:right w:val="outset" w:sz="4" w:space="0" w:color="auto"/>
                    </w:tcBorders>
                  </w:tcPr>
                  <w:p w:rsidR="00887ACA" w:rsidRDefault="00887ACA" w:rsidP="00887ACA">
                    <w:pPr>
                      <w:rPr>
                        <w:szCs w:val="21"/>
                      </w:rPr>
                    </w:pPr>
                  </w:p>
                </w:tc>
                <w:tc>
                  <w:tcPr>
                    <w:tcW w:w="1200" w:type="pct"/>
                    <w:tcBorders>
                      <w:top w:val="outset" w:sz="4" w:space="0" w:color="auto"/>
                      <w:left w:val="outset" w:sz="4" w:space="0" w:color="auto"/>
                      <w:bottom w:val="outset" w:sz="4" w:space="0" w:color="auto"/>
                      <w:right w:val="outset" w:sz="4" w:space="0" w:color="auto"/>
                    </w:tcBorders>
                    <w:vAlign w:val="center"/>
                  </w:tcPr>
                  <w:p w:rsidR="00887ACA" w:rsidRDefault="00887ACA" w:rsidP="00887ACA">
                    <w:pPr>
                      <w:jc w:val="right"/>
                      <w:rPr>
                        <w:szCs w:val="21"/>
                      </w:rPr>
                    </w:pPr>
                    <w:r>
                      <w:t>99,736,213</w:t>
                    </w:r>
                  </w:p>
                </w:tc>
                <w:tc>
                  <w:tcPr>
                    <w:tcW w:w="1195" w:type="pct"/>
                    <w:tcBorders>
                      <w:top w:val="outset" w:sz="4" w:space="0" w:color="auto"/>
                      <w:left w:val="outset" w:sz="4" w:space="0" w:color="auto"/>
                      <w:bottom w:val="outset" w:sz="4" w:space="0" w:color="auto"/>
                      <w:right w:val="outset" w:sz="4" w:space="0" w:color="auto"/>
                    </w:tcBorders>
                    <w:vAlign w:val="center"/>
                  </w:tcPr>
                  <w:p w:rsidR="00887ACA" w:rsidRDefault="00887ACA" w:rsidP="00887ACA">
                    <w:pPr>
                      <w:jc w:val="right"/>
                      <w:rPr>
                        <w:szCs w:val="21"/>
                      </w:rPr>
                    </w:pPr>
                    <w:r>
                      <w:t>104,790,443</w:t>
                    </w:r>
                  </w:p>
                </w:tc>
              </w:tr>
              <w:tr w:rsidR="00887ACA" w:rsidTr="00601D47">
                <w:sdt>
                  <w:sdtPr>
                    <w:tag w:val="_PLD_46f002dfd3184462b13e47e17b1f7e41"/>
                    <w:id w:val="102470274"/>
                    <w:lock w:val="sdtLocked"/>
                  </w:sdtPr>
                  <w:sdtContent>
                    <w:tc>
                      <w:tcPr>
                        <w:tcW w:w="1738" w:type="pct"/>
                        <w:tcBorders>
                          <w:top w:val="outset" w:sz="4" w:space="0" w:color="auto"/>
                          <w:left w:val="outset" w:sz="4" w:space="0" w:color="auto"/>
                          <w:bottom w:val="outset" w:sz="4" w:space="0" w:color="auto"/>
                          <w:right w:val="outset" w:sz="4" w:space="0" w:color="auto"/>
                        </w:tcBorders>
                      </w:tcPr>
                      <w:p w:rsidR="00887ACA" w:rsidRDefault="00887ACA" w:rsidP="00887ACA">
                        <w:pPr>
                          <w:ind w:firstLineChars="200" w:firstLine="420"/>
                          <w:rPr>
                            <w:color w:val="000000"/>
                            <w:szCs w:val="21"/>
                          </w:rPr>
                        </w:pPr>
                        <w:r>
                          <w:rPr>
                            <w:rFonts w:hint="eastAsia"/>
                            <w:szCs w:val="21"/>
                          </w:rPr>
                          <w:t>筹资活动现金流出小计</w:t>
                        </w:r>
                      </w:p>
                    </w:tc>
                  </w:sdtContent>
                </w:sdt>
                <w:tc>
                  <w:tcPr>
                    <w:tcW w:w="867" w:type="pct"/>
                    <w:tcBorders>
                      <w:top w:val="outset" w:sz="4" w:space="0" w:color="auto"/>
                      <w:left w:val="outset" w:sz="4" w:space="0" w:color="auto"/>
                      <w:bottom w:val="outset" w:sz="4" w:space="0" w:color="auto"/>
                      <w:right w:val="outset" w:sz="4" w:space="0" w:color="auto"/>
                    </w:tcBorders>
                  </w:tcPr>
                  <w:p w:rsidR="00887ACA" w:rsidRDefault="00887ACA" w:rsidP="00887ACA">
                    <w:pPr>
                      <w:rPr>
                        <w:szCs w:val="21"/>
                      </w:rPr>
                    </w:pPr>
                  </w:p>
                </w:tc>
                <w:tc>
                  <w:tcPr>
                    <w:tcW w:w="1200" w:type="pct"/>
                    <w:tcBorders>
                      <w:top w:val="outset" w:sz="4" w:space="0" w:color="auto"/>
                      <w:left w:val="outset" w:sz="4" w:space="0" w:color="auto"/>
                      <w:bottom w:val="outset" w:sz="4" w:space="0" w:color="auto"/>
                      <w:right w:val="outset" w:sz="4" w:space="0" w:color="auto"/>
                    </w:tcBorders>
                    <w:vAlign w:val="center"/>
                  </w:tcPr>
                  <w:p w:rsidR="00887ACA" w:rsidRDefault="00887ACA" w:rsidP="00887ACA">
                    <w:pPr>
                      <w:jc w:val="right"/>
                      <w:rPr>
                        <w:szCs w:val="21"/>
                      </w:rPr>
                    </w:pPr>
                    <w:r>
                      <w:t>7,395,863,383</w:t>
                    </w:r>
                  </w:p>
                </w:tc>
                <w:tc>
                  <w:tcPr>
                    <w:tcW w:w="1195" w:type="pct"/>
                    <w:tcBorders>
                      <w:top w:val="outset" w:sz="4" w:space="0" w:color="auto"/>
                      <w:left w:val="outset" w:sz="4" w:space="0" w:color="auto"/>
                      <w:bottom w:val="outset" w:sz="4" w:space="0" w:color="auto"/>
                      <w:right w:val="outset" w:sz="4" w:space="0" w:color="auto"/>
                    </w:tcBorders>
                    <w:vAlign w:val="center"/>
                  </w:tcPr>
                  <w:p w:rsidR="00887ACA" w:rsidRDefault="00887ACA" w:rsidP="00887ACA">
                    <w:pPr>
                      <w:jc w:val="right"/>
                      <w:rPr>
                        <w:szCs w:val="21"/>
                      </w:rPr>
                    </w:pPr>
                    <w:r>
                      <w:t>7,304,888,441</w:t>
                    </w:r>
                  </w:p>
                </w:tc>
              </w:tr>
              <w:tr w:rsidR="00887ACA" w:rsidTr="00601D47">
                <w:sdt>
                  <w:sdtPr>
                    <w:tag w:val="_PLD_bf96432273b64f2a90a299496d059280"/>
                    <w:id w:val="-333073711"/>
                    <w:lock w:val="sdtLocked"/>
                  </w:sdtPr>
                  <w:sdtContent>
                    <w:tc>
                      <w:tcPr>
                        <w:tcW w:w="1738" w:type="pct"/>
                        <w:tcBorders>
                          <w:top w:val="outset" w:sz="4" w:space="0" w:color="auto"/>
                          <w:left w:val="outset" w:sz="4" w:space="0" w:color="auto"/>
                          <w:bottom w:val="outset" w:sz="4" w:space="0" w:color="auto"/>
                          <w:right w:val="outset" w:sz="4" w:space="0" w:color="auto"/>
                        </w:tcBorders>
                      </w:tcPr>
                      <w:p w:rsidR="00887ACA" w:rsidRDefault="00887ACA" w:rsidP="00887ACA">
                        <w:pPr>
                          <w:ind w:firstLineChars="300" w:firstLine="630"/>
                          <w:rPr>
                            <w:color w:val="000000"/>
                            <w:szCs w:val="21"/>
                          </w:rPr>
                        </w:pPr>
                        <w:r>
                          <w:rPr>
                            <w:rFonts w:hint="eastAsia"/>
                            <w:szCs w:val="21"/>
                          </w:rPr>
                          <w:t>筹资活动产生的现金流量净额</w:t>
                        </w:r>
                      </w:p>
                    </w:tc>
                  </w:sdtContent>
                </w:sdt>
                <w:tc>
                  <w:tcPr>
                    <w:tcW w:w="867" w:type="pct"/>
                    <w:tcBorders>
                      <w:top w:val="outset" w:sz="4" w:space="0" w:color="auto"/>
                      <w:left w:val="outset" w:sz="4" w:space="0" w:color="auto"/>
                      <w:bottom w:val="outset" w:sz="4" w:space="0" w:color="auto"/>
                      <w:right w:val="outset" w:sz="4" w:space="0" w:color="auto"/>
                    </w:tcBorders>
                  </w:tcPr>
                  <w:p w:rsidR="00887ACA" w:rsidRDefault="00887ACA" w:rsidP="00887ACA">
                    <w:pPr>
                      <w:rPr>
                        <w:szCs w:val="21"/>
                      </w:rPr>
                    </w:pPr>
                  </w:p>
                </w:tc>
                <w:tc>
                  <w:tcPr>
                    <w:tcW w:w="1200" w:type="pct"/>
                    <w:tcBorders>
                      <w:top w:val="outset" w:sz="4" w:space="0" w:color="auto"/>
                      <w:left w:val="outset" w:sz="4" w:space="0" w:color="auto"/>
                      <w:bottom w:val="outset" w:sz="4" w:space="0" w:color="auto"/>
                      <w:right w:val="outset" w:sz="4" w:space="0" w:color="auto"/>
                    </w:tcBorders>
                    <w:vAlign w:val="center"/>
                  </w:tcPr>
                  <w:p w:rsidR="00887ACA" w:rsidRDefault="00887ACA" w:rsidP="00887ACA">
                    <w:pPr>
                      <w:jc w:val="right"/>
                      <w:rPr>
                        <w:szCs w:val="21"/>
                      </w:rPr>
                    </w:pPr>
                    <w:r>
                      <w:rPr>
                        <w:rFonts w:hint="eastAsia"/>
                      </w:rPr>
                      <w:t>-</w:t>
                    </w:r>
                    <w:r>
                      <w:t>6,998,127,743</w:t>
                    </w:r>
                  </w:p>
                </w:tc>
                <w:tc>
                  <w:tcPr>
                    <w:tcW w:w="1195" w:type="pct"/>
                    <w:tcBorders>
                      <w:top w:val="outset" w:sz="4" w:space="0" w:color="auto"/>
                      <w:left w:val="outset" w:sz="4" w:space="0" w:color="auto"/>
                      <w:bottom w:val="outset" w:sz="4" w:space="0" w:color="auto"/>
                      <w:right w:val="outset" w:sz="4" w:space="0" w:color="auto"/>
                    </w:tcBorders>
                    <w:vAlign w:val="center"/>
                  </w:tcPr>
                  <w:p w:rsidR="00887ACA" w:rsidRDefault="00887ACA" w:rsidP="00887ACA">
                    <w:pPr>
                      <w:jc w:val="right"/>
                      <w:rPr>
                        <w:szCs w:val="21"/>
                      </w:rPr>
                    </w:pPr>
                    <w:r>
                      <w:rPr>
                        <w:rFonts w:hint="eastAsia"/>
                      </w:rPr>
                      <w:t>-</w:t>
                    </w:r>
                    <w:r>
                      <w:t>5,797,270,833</w:t>
                    </w:r>
                  </w:p>
                </w:tc>
              </w:tr>
              <w:tr w:rsidR="00887ACA" w:rsidTr="003D5A4A">
                <w:sdt>
                  <w:sdtPr>
                    <w:tag w:val="_PLD_3748beadbe2649c39d73f63f5cb997df"/>
                    <w:id w:val="1479797492"/>
                    <w:lock w:val="sdtLocked"/>
                  </w:sdtPr>
                  <w:sdtContent>
                    <w:tc>
                      <w:tcPr>
                        <w:tcW w:w="1738" w:type="pct"/>
                        <w:tcBorders>
                          <w:top w:val="outset" w:sz="4" w:space="0" w:color="auto"/>
                          <w:left w:val="outset" w:sz="4" w:space="0" w:color="auto"/>
                          <w:bottom w:val="outset" w:sz="4" w:space="0" w:color="auto"/>
                          <w:right w:val="outset" w:sz="4" w:space="0" w:color="auto"/>
                        </w:tcBorders>
                      </w:tcPr>
                      <w:p w:rsidR="00887ACA" w:rsidRDefault="00887ACA" w:rsidP="00887ACA">
                        <w:pPr>
                          <w:rPr>
                            <w:color w:val="000000"/>
                            <w:szCs w:val="21"/>
                          </w:rPr>
                        </w:pPr>
                        <w:r>
                          <w:rPr>
                            <w:rFonts w:hint="eastAsia"/>
                            <w:b/>
                            <w:bCs/>
                            <w:szCs w:val="21"/>
                          </w:rPr>
                          <w:t>四、汇率变动对现金及现金等价物的影响</w:t>
                        </w:r>
                      </w:p>
                    </w:tc>
                  </w:sdtContent>
                </w:sdt>
                <w:tc>
                  <w:tcPr>
                    <w:tcW w:w="867" w:type="pct"/>
                    <w:tcBorders>
                      <w:top w:val="outset" w:sz="4" w:space="0" w:color="auto"/>
                      <w:left w:val="outset" w:sz="4" w:space="0" w:color="auto"/>
                      <w:bottom w:val="outset" w:sz="4" w:space="0" w:color="auto"/>
                      <w:right w:val="outset" w:sz="4" w:space="0" w:color="auto"/>
                    </w:tcBorders>
                  </w:tcPr>
                  <w:p w:rsidR="00887ACA" w:rsidRDefault="00887ACA" w:rsidP="00887ACA">
                    <w:pPr>
                      <w:rPr>
                        <w:szCs w:val="21"/>
                      </w:rPr>
                    </w:pPr>
                  </w:p>
                </w:tc>
                <w:tc>
                  <w:tcPr>
                    <w:tcW w:w="1200" w:type="pct"/>
                    <w:tcBorders>
                      <w:top w:val="outset" w:sz="4" w:space="0" w:color="auto"/>
                      <w:left w:val="outset" w:sz="4" w:space="0" w:color="auto"/>
                      <w:bottom w:val="outset" w:sz="4" w:space="0" w:color="auto"/>
                      <w:right w:val="outset" w:sz="4" w:space="0" w:color="auto"/>
                    </w:tcBorders>
                  </w:tcPr>
                  <w:p w:rsidR="00887ACA" w:rsidRDefault="00887ACA" w:rsidP="00887ACA">
                    <w:pPr>
                      <w:jc w:val="right"/>
                      <w:rPr>
                        <w:szCs w:val="21"/>
                      </w:rPr>
                    </w:pPr>
                  </w:p>
                </w:tc>
                <w:tc>
                  <w:tcPr>
                    <w:tcW w:w="1195" w:type="pct"/>
                    <w:tcBorders>
                      <w:top w:val="outset" w:sz="4" w:space="0" w:color="auto"/>
                      <w:left w:val="outset" w:sz="4" w:space="0" w:color="auto"/>
                      <w:bottom w:val="outset" w:sz="4" w:space="0" w:color="auto"/>
                      <w:right w:val="outset" w:sz="4" w:space="0" w:color="auto"/>
                    </w:tcBorders>
                  </w:tcPr>
                  <w:p w:rsidR="00887ACA" w:rsidRDefault="00887ACA" w:rsidP="00887ACA">
                    <w:pPr>
                      <w:jc w:val="right"/>
                      <w:rPr>
                        <w:szCs w:val="21"/>
                      </w:rPr>
                    </w:pPr>
                  </w:p>
                </w:tc>
              </w:tr>
              <w:tr w:rsidR="004D58EA" w:rsidTr="00601D47">
                <w:sdt>
                  <w:sdtPr>
                    <w:tag w:val="_PLD_fdcd6a9f439542219b17ab909e3b23c1"/>
                    <w:id w:val="-151534870"/>
                    <w:lock w:val="sdtLocked"/>
                  </w:sdtPr>
                  <w:sdtContent>
                    <w:tc>
                      <w:tcPr>
                        <w:tcW w:w="1738" w:type="pct"/>
                        <w:tcBorders>
                          <w:top w:val="outset" w:sz="4" w:space="0" w:color="auto"/>
                          <w:left w:val="outset" w:sz="4" w:space="0" w:color="auto"/>
                          <w:bottom w:val="outset" w:sz="4" w:space="0" w:color="auto"/>
                          <w:right w:val="outset" w:sz="4" w:space="0" w:color="auto"/>
                        </w:tcBorders>
                      </w:tcPr>
                      <w:p w:rsidR="004D58EA" w:rsidRDefault="004D58EA" w:rsidP="004D58EA">
                        <w:pPr>
                          <w:rPr>
                            <w:color w:val="000000"/>
                            <w:szCs w:val="21"/>
                          </w:rPr>
                        </w:pPr>
                        <w:r>
                          <w:rPr>
                            <w:rFonts w:hint="eastAsia"/>
                            <w:b/>
                            <w:bCs/>
                            <w:szCs w:val="21"/>
                          </w:rPr>
                          <w:t>五、现金及现金等价物净增加额</w:t>
                        </w:r>
                      </w:p>
                    </w:tc>
                  </w:sdtContent>
                </w:sdt>
                <w:tc>
                  <w:tcPr>
                    <w:tcW w:w="867" w:type="pct"/>
                    <w:tcBorders>
                      <w:top w:val="outset" w:sz="4" w:space="0" w:color="auto"/>
                      <w:left w:val="outset" w:sz="4" w:space="0" w:color="auto"/>
                      <w:bottom w:val="outset" w:sz="4" w:space="0" w:color="auto"/>
                      <w:right w:val="outset" w:sz="4" w:space="0" w:color="auto"/>
                    </w:tcBorders>
                  </w:tcPr>
                  <w:p w:rsidR="004D58EA" w:rsidRDefault="004D58EA" w:rsidP="004D58EA">
                    <w:pPr>
                      <w:rPr>
                        <w:szCs w:val="21"/>
                      </w:rPr>
                    </w:pPr>
                  </w:p>
                </w:tc>
                <w:tc>
                  <w:tcPr>
                    <w:tcW w:w="1200" w:type="pct"/>
                    <w:tcBorders>
                      <w:top w:val="outset" w:sz="4" w:space="0" w:color="auto"/>
                      <w:left w:val="outset" w:sz="4" w:space="0" w:color="auto"/>
                      <w:bottom w:val="outset" w:sz="4" w:space="0" w:color="auto"/>
                      <w:right w:val="outset" w:sz="4" w:space="0" w:color="auto"/>
                    </w:tcBorders>
                    <w:vAlign w:val="center"/>
                  </w:tcPr>
                  <w:p w:rsidR="004D58EA" w:rsidRDefault="004D58EA" w:rsidP="004D58EA">
                    <w:pPr>
                      <w:jc w:val="right"/>
                      <w:rPr>
                        <w:szCs w:val="21"/>
                      </w:rPr>
                    </w:pPr>
                    <w:r>
                      <w:t>3,238,662,645</w:t>
                    </w:r>
                  </w:p>
                </w:tc>
                <w:tc>
                  <w:tcPr>
                    <w:tcW w:w="1195" w:type="pct"/>
                    <w:tcBorders>
                      <w:top w:val="outset" w:sz="4" w:space="0" w:color="auto"/>
                      <w:left w:val="outset" w:sz="4" w:space="0" w:color="auto"/>
                      <w:bottom w:val="outset" w:sz="4" w:space="0" w:color="auto"/>
                      <w:right w:val="outset" w:sz="4" w:space="0" w:color="auto"/>
                    </w:tcBorders>
                    <w:vAlign w:val="center"/>
                  </w:tcPr>
                  <w:p w:rsidR="004D58EA" w:rsidRDefault="004D58EA" w:rsidP="004D58EA">
                    <w:pPr>
                      <w:jc w:val="right"/>
                      <w:rPr>
                        <w:szCs w:val="21"/>
                      </w:rPr>
                    </w:pPr>
                    <w:r>
                      <w:t>7,585,216,482</w:t>
                    </w:r>
                  </w:p>
                </w:tc>
              </w:tr>
              <w:tr w:rsidR="004D58EA" w:rsidTr="00601D47">
                <w:sdt>
                  <w:sdtPr>
                    <w:tag w:val="_PLD_f682e233026f4a77a71017410d43b010"/>
                    <w:id w:val="-34893939"/>
                    <w:lock w:val="sdtLocked"/>
                  </w:sdtPr>
                  <w:sdtContent>
                    <w:tc>
                      <w:tcPr>
                        <w:tcW w:w="1738" w:type="pct"/>
                        <w:tcBorders>
                          <w:top w:val="outset" w:sz="4" w:space="0" w:color="auto"/>
                          <w:left w:val="outset" w:sz="4" w:space="0" w:color="auto"/>
                          <w:bottom w:val="outset" w:sz="4" w:space="0" w:color="auto"/>
                          <w:right w:val="outset" w:sz="4" w:space="0" w:color="auto"/>
                        </w:tcBorders>
                      </w:tcPr>
                      <w:p w:rsidR="004D58EA" w:rsidRDefault="004D58EA" w:rsidP="004D58EA">
                        <w:pPr>
                          <w:ind w:firstLineChars="100" w:firstLine="210"/>
                          <w:rPr>
                            <w:color w:val="000000"/>
                            <w:szCs w:val="21"/>
                          </w:rPr>
                        </w:pPr>
                        <w:r>
                          <w:rPr>
                            <w:rFonts w:hint="eastAsia"/>
                            <w:szCs w:val="21"/>
                          </w:rPr>
                          <w:t>加：期初现金及现金等价物余额</w:t>
                        </w:r>
                      </w:p>
                    </w:tc>
                  </w:sdtContent>
                </w:sdt>
                <w:tc>
                  <w:tcPr>
                    <w:tcW w:w="867" w:type="pct"/>
                    <w:tcBorders>
                      <w:top w:val="outset" w:sz="4" w:space="0" w:color="auto"/>
                      <w:left w:val="outset" w:sz="4" w:space="0" w:color="auto"/>
                      <w:bottom w:val="outset" w:sz="4" w:space="0" w:color="auto"/>
                      <w:right w:val="outset" w:sz="4" w:space="0" w:color="auto"/>
                    </w:tcBorders>
                  </w:tcPr>
                  <w:p w:rsidR="004D58EA" w:rsidRDefault="004D58EA" w:rsidP="004D58EA">
                    <w:pPr>
                      <w:rPr>
                        <w:szCs w:val="21"/>
                      </w:rPr>
                    </w:pPr>
                  </w:p>
                </w:tc>
                <w:tc>
                  <w:tcPr>
                    <w:tcW w:w="1200" w:type="pct"/>
                    <w:tcBorders>
                      <w:top w:val="outset" w:sz="4" w:space="0" w:color="auto"/>
                      <w:left w:val="outset" w:sz="4" w:space="0" w:color="auto"/>
                      <w:bottom w:val="outset" w:sz="4" w:space="0" w:color="auto"/>
                      <w:right w:val="outset" w:sz="4" w:space="0" w:color="auto"/>
                    </w:tcBorders>
                    <w:vAlign w:val="center"/>
                  </w:tcPr>
                  <w:p w:rsidR="004D58EA" w:rsidRDefault="004D58EA" w:rsidP="004D58EA">
                    <w:pPr>
                      <w:jc w:val="right"/>
                      <w:rPr>
                        <w:szCs w:val="21"/>
                      </w:rPr>
                    </w:pPr>
                    <w:r>
                      <w:t>59,351,794,375</w:t>
                    </w:r>
                  </w:p>
                </w:tc>
                <w:tc>
                  <w:tcPr>
                    <w:tcW w:w="1195" w:type="pct"/>
                    <w:tcBorders>
                      <w:top w:val="outset" w:sz="4" w:space="0" w:color="auto"/>
                      <w:left w:val="outset" w:sz="4" w:space="0" w:color="auto"/>
                      <w:bottom w:val="outset" w:sz="4" w:space="0" w:color="auto"/>
                      <w:right w:val="outset" w:sz="4" w:space="0" w:color="auto"/>
                    </w:tcBorders>
                    <w:vAlign w:val="center"/>
                  </w:tcPr>
                  <w:p w:rsidR="004D58EA" w:rsidRDefault="004D58EA" w:rsidP="004D58EA">
                    <w:pPr>
                      <w:jc w:val="right"/>
                      <w:rPr>
                        <w:szCs w:val="21"/>
                      </w:rPr>
                    </w:pPr>
                    <w:r>
                      <w:t>51,766,577,893</w:t>
                    </w:r>
                  </w:p>
                </w:tc>
              </w:tr>
              <w:tr w:rsidR="004D58EA" w:rsidTr="00601D47">
                <w:sdt>
                  <w:sdtPr>
                    <w:tag w:val="_PLD_afef5f0af84f4cfd9fbcc61dd369331c"/>
                    <w:id w:val="1947503945"/>
                    <w:lock w:val="sdtLocked"/>
                  </w:sdtPr>
                  <w:sdtContent>
                    <w:tc>
                      <w:tcPr>
                        <w:tcW w:w="1738" w:type="pct"/>
                        <w:tcBorders>
                          <w:top w:val="outset" w:sz="4" w:space="0" w:color="auto"/>
                          <w:left w:val="outset" w:sz="4" w:space="0" w:color="auto"/>
                          <w:bottom w:val="outset" w:sz="4" w:space="0" w:color="auto"/>
                          <w:right w:val="outset" w:sz="4" w:space="0" w:color="auto"/>
                        </w:tcBorders>
                      </w:tcPr>
                      <w:p w:rsidR="004D58EA" w:rsidRDefault="004D58EA" w:rsidP="004D58EA">
                        <w:pPr>
                          <w:rPr>
                            <w:color w:val="000000"/>
                            <w:szCs w:val="21"/>
                          </w:rPr>
                        </w:pPr>
                        <w:r>
                          <w:rPr>
                            <w:rFonts w:hint="eastAsia"/>
                            <w:b/>
                            <w:bCs/>
                            <w:szCs w:val="21"/>
                          </w:rPr>
                          <w:t>六、期末现金及现金等价物余额</w:t>
                        </w:r>
                      </w:p>
                    </w:tc>
                  </w:sdtContent>
                </w:sdt>
                <w:tc>
                  <w:tcPr>
                    <w:tcW w:w="867" w:type="pct"/>
                    <w:tcBorders>
                      <w:top w:val="outset" w:sz="4" w:space="0" w:color="auto"/>
                      <w:left w:val="outset" w:sz="4" w:space="0" w:color="auto"/>
                      <w:bottom w:val="outset" w:sz="4" w:space="0" w:color="auto"/>
                      <w:right w:val="outset" w:sz="4" w:space="0" w:color="auto"/>
                    </w:tcBorders>
                  </w:tcPr>
                  <w:p w:rsidR="004D58EA" w:rsidRDefault="004D58EA" w:rsidP="004D58EA">
                    <w:pPr>
                      <w:rPr>
                        <w:szCs w:val="21"/>
                      </w:rPr>
                    </w:pPr>
                  </w:p>
                </w:tc>
                <w:tc>
                  <w:tcPr>
                    <w:tcW w:w="1200" w:type="pct"/>
                    <w:tcBorders>
                      <w:top w:val="outset" w:sz="4" w:space="0" w:color="auto"/>
                      <w:left w:val="outset" w:sz="4" w:space="0" w:color="auto"/>
                      <w:bottom w:val="outset" w:sz="4" w:space="0" w:color="auto"/>
                      <w:right w:val="outset" w:sz="4" w:space="0" w:color="auto"/>
                    </w:tcBorders>
                    <w:vAlign w:val="center"/>
                  </w:tcPr>
                  <w:p w:rsidR="004D58EA" w:rsidRDefault="004D58EA" w:rsidP="004D58EA">
                    <w:pPr>
                      <w:jc w:val="right"/>
                      <w:rPr>
                        <w:szCs w:val="21"/>
                      </w:rPr>
                    </w:pPr>
                    <w:r>
                      <w:t>62,590,457,020</w:t>
                    </w:r>
                  </w:p>
                </w:tc>
                <w:tc>
                  <w:tcPr>
                    <w:tcW w:w="1195" w:type="pct"/>
                    <w:tcBorders>
                      <w:top w:val="outset" w:sz="4" w:space="0" w:color="auto"/>
                      <w:left w:val="outset" w:sz="4" w:space="0" w:color="auto"/>
                      <w:bottom w:val="outset" w:sz="4" w:space="0" w:color="auto"/>
                      <w:right w:val="outset" w:sz="4" w:space="0" w:color="auto"/>
                    </w:tcBorders>
                    <w:vAlign w:val="center"/>
                  </w:tcPr>
                  <w:p w:rsidR="004D58EA" w:rsidRDefault="004D58EA" w:rsidP="004D58EA">
                    <w:pPr>
                      <w:jc w:val="right"/>
                      <w:rPr>
                        <w:szCs w:val="21"/>
                      </w:rPr>
                    </w:pPr>
                    <w:r>
                      <w:t>59,351,794,375</w:t>
                    </w:r>
                  </w:p>
                </w:tc>
              </w:tr>
            </w:tbl>
            <w:p w:rsidR="00806678" w:rsidRDefault="00806678"/>
            <w:p w:rsidR="00806678" w:rsidRDefault="00B16377">
              <w:pPr>
                <w:snapToGrid w:val="0"/>
                <w:spacing w:line="240" w:lineRule="atLeast"/>
                <w:ind w:rightChars="-73" w:right="-153"/>
                <w:rPr>
                  <w:b/>
                  <w:bCs/>
                  <w:color w:val="FF0000"/>
                  <w:szCs w:val="21"/>
                </w:rPr>
              </w:pPr>
              <w:r>
                <w:rPr>
                  <w:rFonts w:hint="eastAsia"/>
                  <w:szCs w:val="21"/>
                </w:rPr>
                <w:t>公司负责</w:t>
              </w:r>
              <w:r>
                <w:rPr>
                  <w:szCs w:val="21"/>
                </w:rPr>
                <w:t>人</w:t>
              </w:r>
              <w:r>
                <w:rPr>
                  <w:rFonts w:hint="eastAsia"/>
                  <w:szCs w:val="21"/>
                </w:rPr>
                <w:t>：</w:t>
              </w:r>
              <w:sdt>
                <w:sdtPr>
                  <w:rPr>
                    <w:rFonts w:hint="eastAsia"/>
                    <w:szCs w:val="21"/>
                  </w:rPr>
                  <w:alias w:val="公司负责人姓名"/>
                  <w:tag w:val="_GBC_b872f4b10a12453987b2d73dfe2a5ff9"/>
                  <w:id w:val="-1011674143"/>
                  <w:lock w:val="sdtLocked"/>
                  <w:placeholder>
                    <w:docPart w:val="GBC22222222222222222222222222222"/>
                  </w:placeholder>
                  <w:dataBinding w:prefixMappings="xmlns:clcid-mr='clcid-mr'" w:xpath="/*/clcid-mr:GongSiFuZeRenXingMing[not(@periodRef)]" w:storeItemID="{89EBAB94-44A0-46A2-B712-30D997D04A6D}"/>
                  <w:text/>
                </w:sdtPr>
                <w:sdtContent>
                  <w:r w:rsidR="00413527">
                    <w:rPr>
                      <w:rFonts w:hint="eastAsia"/>
                      <w:szCs w:val="21"/>
                    </w:rPr>
                    <w:t xml:space="preserve">戴弘  </w:t>
                  </w:r>
                </w:sdtContent>
              </w:sdt>
              <w:r w:rsidR="004F63C1">
                <w:rPr>
                  <w:rFonts w:hint="eastAsia"/>
                  <w:szCs w:val="21"/>
                </w:rPr>
                <w:t xml:space="preserve">总经理：韩洪臣  </w:t>
              </w:r>
              <w:r>
                <w:rPr>
                  <w:szCs w:val="21"/>
                </w:rPr>
                <w:t>主管会计工作负责人</w:t>
              </w:r>
              <w:r>
                <w:rPr>
                  <w:rFonts w:hint="eastAsia"/>
                  <w:szCs w:val="21"/>
                </w:rPr>
                <w:t>：</w:t>
              </w:r>
              <w:sdt>
                <w:sdtPr>
                  <w:rPr>
                    <w:rFonts w:hint="eastAsia"/>
                    <w:szCs w:val="21"/>
                  </w:rPr>
                  <w:alias w:val="主管会计工作负责人姓名"/>
                  <w:tag w:val="_GBC_29443dd8858043c68f8217b05d1e3346"/>
                  <w:id w:val="-78826865"/>
                  <w:lock w:val="sdtLocked"/>
                  <w:placeholder>
                    <w:docPart w:val="GBC22222222222222222222222222222"/>
                  </w:placeholder>
                  <w:dataBinding w:prefixMappings="xmlns:clcid-mr='clcid-mr'" w:xpath="/*/clcid-mr:ZhuGuanKuaiJiGongZuoFuZeRenXingMing[not(@periodRef)]" w:storeItemID="{89EBAB94-44A0-46A2-B712-30D997D04A6D}"/>
                  <w:text/>
                </w:sdtPr>
                <w:sdtContent>
                  <w:r w:rsidR="00AD579F">
                    <w:rPr>
                      <w:rFonts w:hint="eastAsia"/>
                      <w:szCs w:val="21"/>
                    </w:rPr>
                    <w:t>田惠民</w:t>
                  </w:r>
                </w:sdtContent>
              </w:sdt>
              <w:r>
                <w:rPr>
                  <w:rFonts w:hint="eastAsia"/>
                  <w:szCs w:val="21"/>
                </w:rPr>
                <w:t xml:space="preserve"> </w:t>
              </w:r>
              <w:r>
                <w:rPr>
                  <w:szCs w:val="21"/>
                </w:rPr>
                <w:t>会计机构负责人</w:t>
              </w:r>
              <w:r>
                <w:rPr>
                  <w:rFonts w:hint="eastAsia"/>
                  <w:szCs w:val="21"/>
                </w:rPr>
                <w:t>：</w:t>
              </w:r>
              <w:sdt>
                <w:sdtPr>
                  <w:rPr>
                    <w:rFonts w:hint="eastAsia"/>
                    <w:szCs w:val="21"/>
                  </w:rPr>
                  <w:alias w:val="会计机构负责人姓名"/>
                  <w:tag w:val="_GBC_952065710c0f41709539d877935c1903"/>
                  <w:id w:val="-490786152"/>
                  <w:lock w:val="sdtLocked"/>
                  <w:placeholder>
                    <w:docPart w:val="GBC22222222222222222222222222222"/>
                  </w:placeholder>
                  <w:dataBinding w:prefixMappings="xmlns:clcid-mr='clcid-mr'" w:xpath="/*/clcid-mr:KuaiJiJiGouFuZeRenXingMing[not(@periodRef)]" w:storeItemID="{89EBAB94-44A0-46A2-B712-30D997D04A6D}"/>
                  <w:text/>
                </w:sdtPr>
                <w:sdtContent>
                  <w:r w:rsidR="00AD579F">
                    <w:rPr>
                      <w:rFonts w:hint="eastAsia"/>
                      <w:szCs w:val="21"/>
                    </w:rPr>
                    <w:t>孙洪涛</w:t>
                  </w:r>
                </w:sdtContent>
              </w:sdt>
            </w:p>
          </w:sdtContent>
        </w:sdt>
        <w:p w:rsidR="00806678" w:rsidRDefault="00F80B6C">
          <w:pPr>
            <w:rPr>
              <w:b/>
              <w:bCs/>
              <w:color w:val="FF0000"/>
              <w:szCs w:val="21"/>
            </w:rPr>
          </w:pPr>
        </w:p>
      </w:sdtContent>
    </w:sdt>
    <w:bookmarkEnd w:id="130" w:displacedByCustomXml="prev"/>
    <w:p w:rsidR="00806678" w:rsidRDefault="00806678">
      <w:pPr>
        <w:rPr>
          <w:szCs w:val="21"/>
        </w:rPr>
      </w:pPr>
    </w:p>
    <w:p w:rsidR="00806678" w:rsidRDefault="00806678">
      <w:pPr>
        <w:snapToGrid w:val="0"/>
        <w:spacing w:line="240" w:lineRule="atLeast"/>
        <w:ind w:rightChars="-73" w:right="-153"/>
        <w:rPr>
          <w:szCs w:val="21"/>
        </w:rPr>
      </w:pPr>
    </w:p>
    <w:p w:rsidR="00806678" w:rsidRDefault="00806678">
      <w:pPr>
        <w:snapToGrid w:val="0"/>
        <w:spacing w:line="240" w:lineRule="atLeast"/>
        <w:ind w:rightChars="-73" w:right="-153"/>
        <w:rPr>
          <w:szCs w:val="21"/>
        </w:rPr>
      </w:pPr>
    </w:p>
    <w:p w:rsidR="00806678" w:rsidRDefault="00806678">
      <w:pPr>
        <w:snapToGrid w:val="0"/>
        <w:spacing w:line="240" w:lineRule="atLeast"/>
        <w:ind w:rightChars="-73" w:right="-153"/>
        <w:rPr>
          <w:szCs w:val="21"/>
        </w:rPr>
        <w:sectPr w:rsidR="00806678" w:rsidSect="007D5CB5">
          <w:pgSz w:w="11906" w:h="16838"/>
          <w:pgMar w:top="1525" w:right="1276" w:bottom="1440" w:left="1797" w:header="856" w:footer="992" w:gutter="0"/>
          <w:cols w:space="425"/>
          <w:docGrid w:linePitch="312"/>
        </w:sectPr>
      </w:pPr>
    </w:p>
    <w:bookmarkStart w:id="131" w:name="_Hlk533930052" w:displacedByCustomXml="next"/>
    <w:sdt>
      <w:sdtPr>
        <w:rPr>
          <w:b/>
          <w:szCs w:val="21"/>
        </w:rPr>
        <w:alias w:val="选项模块:需要编制合并报表"/>
        <w:tag w:val="_GBC_3b1dcbfa33024cc0a5c2f3d693817342"/>
        <w:id w:val="260110851"/>
        <w:lock w:val="sdtLocked"/>
        <w:placeholder>
          <w:docPart w:val="GBC22222222222222222222222222222"/>
        </w:placeholder>
      </w:sdtPr>
      <w:sdtEndPr>
        <w:rPr>
          <w:b w:val="0"/>
          <w:color w:val="FF0000"/>
          <w:szCs w:val="24"/>
        </w:rPr>
      </w:sdtEndPr>
      <w:sdtContent>
        <w:p w:rsidR="00806678" w:rsidRDefault="00806678">
          <w:pPr>
            <w:tabs>
              <w:tab w:val="left" w:pos="10080"/>
            </w:tabs>
            <w:snapToGrid w:val="0"/>
            <w:spacing w:line="240" w:lineRule="atLeast"/>
            <w:ind w:rightChars="12" w:right="25"/>
            <w:jc w:val="center"/>
            <w:rPr>
              <w:b/>
              <w:szCs w:val="21"/>
            </w:rPr>
          </w:pPr>
        </w:p>
        <w:sdt>
          <w:sdtPr>
            <w:rPr>
              <w:b/>
              <w:szCs w:val="21"/>
            </w:rPr>
            <w:tag w:val="_GBC_3eeab460b9b64d53b91f5e0ddcd3030f"/>
            <w:id w:val="-477770253"/>
            <w:lock w:val="sdtLocked"/>
            <w:placeholder>
              <w:docPart w:val="GBC22222222222222222222222222222"/>
            </w:placeholder>
          </w:sdtPr>
          <w:sdtEndPr>
            <w:rPr>
              <w:rFonts w:hint="eastAsia"/>
              <w:b w:val="0"/>
            </w:rPr>
          </w:sdtEndPr>
          <w:sdtContent>
            <w:p w:rsidR="00806678" w:rsidRDefault="00B16377">
              <w:pPr>
                <w:tabs>
                  <w:tab w:val="left" w:pos="10080"/>
                </w:tabs>
                <w:snapToGrid w:val="0"/>
                <w:spacing w:line="240" w:lineRule="atLeast"/>
                <w:ind w:rightChars="12" w:right="25"/>
                <w:jc w:val="center"/>
                <w:outlineLvl w:val="2"/>
                <w:rPr>
                  <w:b/>
                  <w:szCs w:val="21"/>
                </w:rPr>
              </w:pPr>
              <w:r>
                <w:rPr>
                  <w:b/>
                  <w:szCs w:val="21"/>
                </w:rPr>
                <w:t>合并</w:t>
              </w:r>
              <w:r>
                <w:rPr>
                  <w:rFonts w:hint="eastAsia"/>
                  <w:b/>
                  <w:szCs w:val="21"/>
                </w:rPr>
                <w:t>所有者权益变动表</w:t>
              </w:r>
            </w:p>
            <w:p w:rsidR="00806678" w:rsidRDefault="00B16377">
              <w:pPr>
                <w:tabs>
                  <w:tab w:val="left" w:pos="10080"/>
                </w:tabs>
                <w:snapToGrid w:val="0"/>
                <w:spacing w:line="240" w:lineRule="atLeast"/>
                <w:ind w:rightChars="12" w:right="25"/>
                <w:jc w:val="center"/>
                <w:rPr>
                  <w:szCs w:val="21"/>
                </w:rPr>
              </w:pPr>
              <w:r>
                <w:rPr>
                  <w:szCs w:val="21"/>
                </w:rPr>
                <w:t>2022年</w:t>
              </w:r>
              <w:r>
                <w:rPr>
                  <w:rFonts w:hint="eastAsia"/>
                  <w:szCs w:val="21"/>
                </w:rPr>
                <w:t>1—12月</w:t>
              </w:r>
            </w:p>
            <w:p w:rsidR="00806678" w:rsidRPr="006F7F58" w:rsidRDefault="00B16377">
              <w:pPr>
                <w:tabs>
                  <w:tab w:val="left" w:pos="10080"/>
                </w:tabs>
                <w:snapToGrid w:val="0"/>
                <w:spacing w:line="240" w:lineRule="atLeast"/>
                <w:jc w:val="right"/>
                <w:rPr>
                  <w:sz w:val="14"/>
                  <w:szCs w:val="14"/>
                </w:rPr>
              </w:pPr>
              <w:r w:rsidRPr="006F7F58">
                <w:rPr>
                  <w:sz w:val="14"/>
                  <w:szCs w:val="14"/>
                </w:rPr>
                <w:t>单位:</w:t>
              </w:r>
              <w:sdt>
                <w:sdtPr>
                  <w:rPr>
                    <w:sz w:val="14"/>
                    <w:szCs w:val="14"/>
                  </w:rPr>
                  <w:alias w:val="单位：合并股东权益调节表"/>
                  <w:tag w:val="_GBC_57faea4e453e49ad93821b7dd6ce8bc4"/>
                  <w:id w:val="-142764863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6F7F58">
                    <w:rPr>
                      <w:sz w:val="14"/>
                      <w:szCs w:val="14"/>
                    </w:rPr>
                    <w:t>元</w:t>
                  </w:r>
                </w:sdtContent>
              </w:sdt>
              <w:r w:rsidRPr="006F7F58">
                <w:rPr>
                  <w:sz w:val="14"/>
                  <w:szCs w:val="14"/>
                </w:rPr>
                <w:t xml:space="preserve">  币种:</w:t>
              </w:r>
              <w:sdt>
                <w:sdtPr>
                  <w:rPr>
                    <w:sz w:val="14"/>
                    <w:szCs w:val="14"/>
                  </w:rPr>
                  <w:alias w:val="币种：合并股东权益调节表"/>
                  <w:tag w:val="_GBC_cef77704267643d794145c73763360e5"/>
                  <w:id w:val="-173685000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6F7F58">
                    <w:rPr>
                      <w:sz w:val="14"/>
                      <w:szCs w:val="14"/>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00"/>
                <w:gridCol w:w="1425"/>
                <w:gridCol w:w="1130"/>
                <w:gridCol w:w="1196"/>
                <w:gridCol w:w="1547"/>
                <w:gridCol w:w="1693"/>
                <w:gridCol w:w="1406"/>
                <w:gridCol w:w="1274"/>
                <w:gridCol w:w="1265"/>
                <w:gridCol w:w="1353"/>
              </w:tblGrid>
              <w:tr w:rsidR="00243AF6" w:rsidRPr="006F7F58" w:rsidTr="00243AF6">
                <w:trPr>
                  <w:cantSplit/>
                </w:trPr>
                <w:tc>
                  <w:tcPr>
                    <w:tcW w:w="639" w:type="pct"/>
                    <w:vMerge w:val="restart"/>
                    <w:vAlign w:val="center"/>
                  </w:tcPr>
                  <w:sdt>
                    <w:sdtPr>
                      <w:rPr>
                        <w:rFonts w:hint="eastAsia"/>
                        <w:sz w:val="14"/>
                        <w:szCs w:val="14"/>
                      </w:rPr>
                      <w:tag w:val="_PLD_245a9e71ca1b403fad3a821efeb272de"/>
                      <w:id w:val="-1061170789"/>
                      <w:lock w:val="sdtLocked"/>
                    </w:sdtPr>
                    <w:sdtContent>
                      <w:p w:rsidR="002F4DCF" w:rsidRPr="006F7F58" w:rsidRDefault="002F4DCF" w:rsidP="00601D47">
                        <w:pPr>
                          <w:snapToGrid w:val="0"/>
                          <w:spacing w:line="240" w:lineRule="atLeast"/>
                          <w:jc w:val="center"/>
                          <w:rPr>
                            <w:sz w:val="14"/>
                            <w:szCs w:val="14"/>
                          </w:rPr>
                        </w:pPr>
                        <w:r w:rsidRPr="006F7F58">
                          <w:rPr>
                            <w:rFonts w:hint="eastAsia"/>
                            <w:sz w:val="14"/>
                            <w:szCs w:val="14"/>
                          </w:rPr>
                          <w:t>项目</w:t>
                        </w:r>
                      </w:p>
                    </w:sdtContent>
                  </w:sdt>
                </w:tc>
                <w:tc>
                  <w:tcPr>
                    <w:tcW w:w="4361" w:type="pct"/>
                    <w:gridSpan w:val="9"/>
                    <w:vAlign w:val="center"/>
                  </w:tcPr>
                  <w:p w:rsidR="002F4DCF" w:rsidRPr="006F7F58" w:rsidRDefault="002F4DCF" w:rsidP="00601D47">
                    <w:pPr>
                      <w:snapToGrid w:val="0"/>
                      <w:spacing w:line="240" w:lineRule="atLeast"/>
                      <w:ind w:rightChars="-759" w:right="-1594"/>
                      <w:jc w:val="center"/>
                      <w:rPr>
                        <w:sz w:val="14"/>
                        <w:szCs w:val="14"/>
                      </w:rPr>
                    </w:pPr>
                    <w:r w:rsidRPr="006F7F58">
                      <w:rPr>
                        <w:rFonts w:hint="eastAsia"/>
                        <w:sz w:val="14"/>
                        <w:szCs w:val="14"/>
                      </w:rPr>
                      <w:t xml:space="preserve"> </w:t>
                    </w:r>
                    <w:sdt>
                      <w:sdtPr>
                        <w:rPr>
                          <w:rFonts w:hint="eastAsia"/>
                          <w:sz w:val="14"/>
                          <w:szCs w:val="14"/>
                        </w:rPr>
                        <w:tag w:val="_PLD_74b2c30f72fb403387c8b0e2a353f994"/>
                        <w:id w:val="1767495561"/>
                        <w:lock w:val="sdtLocked"/>
                      </w:sdtPr>
                      <w:sdtContent>
                        <w:r w:rsidRPr="006F7F58">
                          <w:rPr>
                            <w:rFonts w:hint="eastAsia"/>
                            <w:sz w:val="14"/>
                            <w:szCs w:val="14"/>
                          </w:rPr>
                          <w:t>2022年度</w:t>
                        </w:r>
                      </w:sdtContent>
                    </w:sdt>
                  </w:p>
                </w:tc>
              </w:tr>
              <w:tr w:rsidR="00243AF6" w:rsidRPr="006F7F58" w:rsidTr="00FE7F64">
                <w:trPr>
                  <w:cantSplit/>
                  <w:trHeight w:val="388"/>
                </w:trPr>
                <w:tc>
                  <w:tcPr>
                    <w:tcW w:w="639" w:type="pct"/>
                    <w:vMerge/>
                  </w:tcPr>
                  <w:p w:rsidR="002F4DCF" w:rsidRPr="006F7F58" w:rsidRDefault="002F4DCF" w:rsidP="00601D47">
                    <w:pPr>
                      <w:snapToGrid w:val="0"/>
                      <w:spacing w:line="240" w:lineRule="atLeast"/>
                      <w:ind w:rightChars="-759" w:right="-1594"/>
                      <w:rPr>
                        <w:sz w:val="14"/>
                        <w:szCs w:val="14"/>
                      </w:rPr>
                    </w:pPr>
                  </w:p>
                </w:tc>
                <w:sdt>
                  <w:sdtPr>
                    <w:rPr>
                      <w:sz w:val="14"/>
                      <w:szCs w:val="14"/>
                    </w:rPr>
                    <w:tag w:val="_PLD_48b1c4daa55343f0a820ecc94c441958"/>
                    <w:id w:val="-1437747820"/>
                    <w:lock w:val="sdtLocked"/>
                  </w:sdtPr>
                  <w:sdtContent>
                    <w:tc>
                      <w:tcPr>
                        <w:tcW w:w="3432" w:type="pct"/>
                        <w:gridSpan w:val="7"/>
                        <w:vAlign w:val="center"/>
                      </w:tcPr>
                      <w:p w:rsidR="002F4DCF" w:rsidRPr="006F7F58" w:rsidRDefault="002F4DCF" w:rsidP="00601D47">
                        <w:pPr>
                          <w:jc w:val="center"/>
                          <w:rPr>
                            <w:sz w:val="14"/>
                            <w:szCs w:val="14"/>
                          </w:rPr>
                        </w:pPr>
                        <w:r w:rsidRPr="006F7F58">
                          <w:rPr>
                            <w:sz w:val="14"/>
                            <w:szCs w:val="14"/>
                          </w:rPr>
                          <w:t>归属于母公司所有者权益</w:t>
                        </w:r>
                      </w:p>
                    </w:tc>
                  </w:sdtContent>
                </w:sdt>
                <w:sdt>
                  <w:sdtPr>
                    <w:rPr>
                      <w:sz w:val="14"/>
                      <w:szCs w:val="14"/>
                    </w:rPr>
                    <w:tag w:val="_PLD_de4010a56d78401ebd4bb48e62167082"/>
                    <w:id w:val="1574698313"/>
                    <w:lock w:val="sdtLocked"/>
                  </w:sdtPr>
                  <w:sdtContent>
                    <w:tc>
                      <w:tcPr>
                        <w:tcW w:w="449" w:type="pct"/>
                        <w:vMerge w:val="restart"/>
                        <w:vAlign w:val="center"/>
                      </w:tcPr>
                      <w:p w:rsidR="002F4DCF" w:rsidRPr="006F7F58" w:rsidRDefault="002F4DCF" w:rsidP="00601D47">
                        <w:pPr>
                          <w:jc w:val="center"/>
                          <w:rPr>
                            <w:sz w:val="14"/>
                            <w:szCs w:val="14"/>
                          </w:rPr>
                        </w:pPr>
                        <w:r w:rsidRPr="006F7F58">
                          <w:rPr>
                            <w:sz w:val="14"/>
                            <w:szCs w:val="14"/>
                          </w:rPr>
                          <w:t>少数股东权益</w:t>
                        </w:r>
                      </w:p>
                    </w:tc>
                  </w:sdtContent>
                </w:sdt>
                <w:sdt>
                  <w:sdtPr>
                    <w:rPr>
                      <w:sz w:val="14"/>
                      <w:szCs w:val="14"/>
                    </w:rPr>
                    <w:tag w:val="_PLD_ff9bc6143ed9429e80e1ed144f5ff16d"/>
                    <w:id w:val="1338271675"/>
                    <w:lock w:val="sdtLocked"/>
                  </w:sdtPr>
                  <w:sdtContent>
                    <w:tc>
                      <w:tcPr>
                        <w:tcW w:w="480" w:type="pct"/>
                        <w:vMerge w:val="restart"/>
                        <w:vAlign w:val="center"/>
                      </w:tcPr>
                      <w:p w:rsidR="002F4DCF" w:rsidRPr="006F7F58" w:rsidRDefault="002F4DCF" w:rsidP="00601D47">
                        <w:pPr>
                          <w:jc w:val="center"/>
                          <w:rPr>
                            <w:sz w:val="14"/>
                            <w:szCs w:val="14"/>
                          </w:rPr>
                        </w:pPr>
                        <w:r w:rsidRPr="006F7F58">
                          <w:rPr>
                            <w:sz w:val="14"/>
                            <w:szCs w:val="14"/>
                          </w:rPr>
                          <w:t>所有者权益合计</w:t>
                        </w:r>
                      </w:p>
                    </w:tc>
                  </w:sdtContent>
                </w:sdt>
              </w:tr>
              <w:tr w:rsidR="00243AF6" w:rsidRPr="006F7F58" w:rsidTr="00084029">
                <w:trPr>
                  <w:cantSplit/>
                  <w:trHeight w:val="123"/>
                </w:trPr>
                <w:tc>
                  <w:tcPr>
                    <w:tcW w:w="639" w:type="pct"/>
                    <w:vMerge/>
                  </w:tcPr>
                  <w:p w:rsidR="002F4DCF" w:rsidRPr="006F7F58" w:rsidRDefault="002F4DCF" w:rsidP="00601D47">
                    <w:pPr>
                      <w:snapToGrid w:val="0"/>
                      <w:spacing w:line="240" w:lineRule="atLeast"/>
                      <w:ind w:rightChars="-759" w:right="-1594"/>
                      <w:rPr>
                        <w:sz w:val="14"/>
                        <w:szCs w:val="14"/>
                      </w:rPr>
                    </w:pPr>
                  </w:p>
                </w:tc>
                <w:sdt>
                  <w:sdtPr>
                    <w:rPr>
                      <w:sz w:val="14"/>
                      <w:szCs w:val="14"/>
                    </w:rPr>
                    <w:tag w:val="_PLD_2a43f0f223d141f0855f6cbb9e60b12f"/>
                    <w:id w:val="-1014225138"/>
                    <w:lock w:val="sdtLocked"/>
                  </w:sdtPr>
                  <w:sdtContent>
                    <w:tc>
                      <w:tcPr>
                        <w:tcW w:w="506" w:type="pct"/>
                        <w:vAlign w:val="center"/>
                      </w:tcPr>
                      <w:p w:rsidR="002F4DCF" w:rsidRPr="006F7F58" w:rsidRDefault="002F4DCF" w:rsidP="00601D47">
                        <w:pPr>
                          <w:snapToGrid w:val="0"/>
                          <w:spacing w:line="240" w:lineRule="atLeast"/>
                          <w:jc w:val="center"/>
                          <w:rPr>
                            <w:sz w:val="14"/>
                            <w:szCs w:val="14"/>
                          </w:rPr>
                        </w:pPr>
                        <w:r w:rsidRPr="006F7F58">
                          <w:rPr>
                            <w:rFonts w:hint="eastAsia"/>
                            <w:sz w:val="14"/>
                            <w:szCs w:val="14"/>
                          </w:rPr>
                          <w:t>实收资本(或股本)</w:t>
                        </w:r>
                      </w:p>
                    </w:tc>
                  </w:sdtContent>
                </w:sdt>
                <w:sdt>
                  <w:sdtPr>
                    <w:rPr>
                      <w:sz w:val="14"/>
                      <w:szCs w:val="14"/>
                    </w:rPr>
                    <w:tag w:val="_PLD_39cb94703877409e9e50d4bf964d43e4"/>
                    <w:id w:val="-1899431539"/>
                    <w:lock w:val="sdtLocked"/>
                  </w:sdtPr>
                  <w:sdtContent>
                    <w:tc>
                      <w:tcPr>
                        <w:tcW w:w="401" w:type="pct"/>
                        <w:vAlign w:val="center"/>
                      </w:tcPr>
                      <w:p w:rsidR="002F4DCF" w:rsidRPr="006F7F58" w:rsidRDefault="002F4DCF" w:rsidP="00601D47">
                        <w:pPr>
                          <w:snapToGrid w:val="0"/>
                          <w:spacing w:line="240" w:lineRule="atLeast"/>
                          <w:jc w:val="center"/>
                          <w:rPr>
                            <w:sz w:val="14"/>
                            <w:szCs w:val="14"/>
                          </w:rPr>
                        </w:pPr>
                        <w:r w:rsidRPr="006F7F58">
                          <w:rPr>
                            <w:rFonts w:hint="eastAsia"/>
                            <w:sz w:val="14"/>
                            <w:szCs w:val="14"/>
                          </w:rPr>
                          <w:t>其他权益工具</w:t>
                        </w:r>
                      </w:p>
                    </w:tc>
                  </w:sdtContent>
                </w:sdt>
                <w:sdt>
                  <w:sdtPr>
                    <w:rPr>
                      <w:sz w:val="14"/>
                      <w:szCs w:val="14"/>
                    </w:rPr>
                    <w:tag w:val="_PLD_0a2a84969d8f4cc5ab2f59451a4cf45c"/>
                    <w:id w:val="196970886"/>
                    <w:lock w:val="sdtLocked"/>
                  </w:sdtPr>
                  <w:sdtContent>
                    <w:tc>
                      <w:tcPr>
                        <w:tcW w:w="424" w:type="pct"/>
                        <w:vAlign w:val="center"/>
                      </w:tcPr>
                      <w:p w:rsidR="002F4DCF" w:rsidRPr="006F7F58" w:rsidRDefault="002F4DCF" w:rsidP="00601D47">
                        <w:pPr>
                          <w:snapToGrid w:val="0"/>
                          <w:spacing w:line="240" w:lineRule="atLeast"/>
                          <w:jc w:val="center"/>
                          <w:rPr>
                            <w:sz w:val="14"/>
                            <w:szCs w:val="14"/>
                          </w:rPr>
                        </w:pPr>
                        <w:r w:rsidRPr="006F7F58">
                          <w:rPr>
                            <w:rFonts w:hint="eastAsia"/>
                            <w:sz w:val="14"/>
                            <w:szCs w:val="14"/>
                          </w:rPr>
                          <w:t>资本公积</w:t>
                        </w:r>
                      </w:p>
                    </w:tc>
                  </w:sdtContent>
                </w:sdt>
                <w:sdt>
                  <w:sdtPr>
                    <w:rPr>
                      <w:sz w:val="14"/>
                      <w:szCs w:val="14"/>
                    </w:rPr>
                    <w:tag w:val="_PLD_63b36aa6d5e74a289a4f2e40e95da929"/>
                    <w:id w:val="1150939133"/>
                    <w:lock w:val="sdtLocked"/>
                  </w:sdtPr>
                  <w:sdtContent>
                    <w:tc>
                      <w:tcPr>
                        <w:tcW w:w="549" w:type="pct"/>
                        <w:vAlign w:val="center"/>
                      </w:tcPr>
                      <w:p w:rsidR="002F4DCF" w:rsidRPr="006F7F58" w:rsidRDefault="002F4DCF" w:rsidP="00601D47">
                        <w:pPr>
                          <w:snapToGrid w:val="0"/>
                          <w:spacing w:line="240" w:lineRule="atLeast"/>
                          <w:jc w:val="center"/>
                          <w:rPr>
                            <w:sz w:val="14"/>
                            <w:szCs w:val="14"/>
                          </w:rPr>
                        </w:pPr>
                        <w:r w:rsidRPr="006F7F58">
                          <w:rPr>
                            <w:rFonts w:hint="eastAsia"/>
                            <w:sz w:val="14"/>
                            <w:szCs w:val="14"/>
                          </w:rPr>
                          <w:t>其他综合收益</w:t>
                        </w:r>
                      </w:p>
                    </w:tc>
                  </w:sdtContent>
                </w:sdt>
                <w:sdt>
                  <w:sdtPr>
                    <w:rPr>
                      <w:sz w:val="14"/>
                      <w:szCs w:val="14"/>
                    </w:rPr>
                    <w:tag w:val="_PLD_1560331b8c2f411cb5a844cb35b3d2b6"/>
                    <w:id w:val="951138499"/>
                    <w:lock w:val="sdtLocked"/>
                  </w:sdtPr>
                  <w:sdtContent>
                    <w:tc>
                      <w:tcPr>
                        <w:tcW w:w="601" w:type="pct"/>
                        <w:vAlign w:val="center"/>
                      </w:tcPr>
                      <w:p w:rsidR="002F4DCF" w:rsidRPr="006F7F58" w:rsidRDefault="002F4DCF" w:rsidP="00601D47">
                        <w:pPr>
                          <w:snapToGrid w:val="0"/>
                          <w:spacing w:line="240" w:lineRule="atLeast"/>
                          <w:jc w:val="center"/>
                          <w:rPr>
                            <w:sz w:val="14"/>
                            <w:szCs w:val="14"/>
                          </w:rPr>
                        </w:pPr>
                        <w:r w:rsidRPr="006F7F58">
                          <w:rPr>
                            <w:rFonts w:hint="eastAsia"/>
                            <w:sz w:val="14"/>
                            <w:szCs w:val="14"/>
                          </w:rPr>
                          <w:t>专项储备</w:t>
                        </w:r>
                      </w:p>
                    </w:tc>
                  </w:sdtContent>
                </w:sdt>
                <w:sdt>
                  <w:sdtPr>
                    <w:rPr>
                      <w:sz w:val="14"/>
                      <w:szCs w:val="14"/>
                    </w:rPr>
                    <w:tag w:val="_PLD_6f43f79cacca48dca49685537156084f"/>
                    <w:id w:val="-612746013"/>
                    <w:lock w:val="sdtLocked"/>
                  </w:sdtPr>
                  <w:sdtContent>
                    <w:tc>
                      <w:tcPr>
                        <w:tcW w:w="499" w:type="pct"/>
                        <w:vAlign w:val="center"/>
                      </w:tcPr>
                      <w:p w:rsidR="002F4DCF" w:rsidRPr="006F7F58" w:rsidRDefault="002F4DCF" w:rsidP="00601D47">
                        <w:pPr>
                          <w:snapToGrid w:val="0"/>
                          <w:spacing w:line="240" w:lineRule="atLeast"/>
                          <w:jc w:val="center"/>
                          <w:rPr>
                            <w:sz w:val="14"/>
                            <w:szCs w:val="14"/>
                          </w:rPr>
                        </w:pPr>
                        <w:r w:rsidRPr="006F7F58">
                          <w:rPr>
                            <w:rFonts w:hint="eastAsia"/>
                            <w:sz w:val="14"/>
                            <w:szCs w:val="14"/>
                          </w:rPr>
                          <w:t>盈余公积</w:t>
                        </w:r>
                      </w:p>
                    </w:tc>
                  </w:sdtContent>
                </w:sdt>
                <w:sdt>
                  <w:sdtPr>
                    <w:rPr>
                      <w:sz w:val="14"/>
                      <w:szCs w:val="14"/>
                    </w:rPr>
                    <w:tag w:val="_PLD_cbc8cc4f323b4146bc3e0b624cb6a030"/>
                    <w:id w:val="757803933"/>
                    <w:lock w:val="sdtLocked"/>
                  </w:sdtPr>
                  <w:sdtContent>
                    <w:tc>
                      <w:tcPr>
                        <w:tcW w:w="452" w:type="pct"/>
                        <w:vAlign w:val="center"/>
                      </w:tcPr>
                      <w:p w:rsidR="002F4DCF" w:rsidRPr="006F7F58" w:rsidRDefault="002F4DCF" w:rsidP="00601D47">
                        <w:pPr>
                          <w:snapToGrid w:val="0"/>
                          <w:spacing w:line="240" w:lineRule="atLeast"/>
                          <w:jc w:val="center"/>
                          <w:rPr>
                            <w:sz w:val="14"/>
                            <w:szCs w:val="14"/>
                          </w:rPr>
                        </w:pPr>
                        <w:r w:rsidRPr="006F7F58">
                          <w:rPr>
                            <w:rFonts w:hint="eastAsia"/>
                            <w:sz w:val="14"/>
                            <w:szCs w:val="14"/>
                          </w:rPr>
                          <w:t>未分配利润</w:t>
                        </w:r>
                      </w:p>
                    </w:tc>
                  </w:sdtContent>
                </w:sdt>
                <w:tc>
                  <w:tcPr>
                    <w:tcW w:w="449" w:type="pct"/>
                    <w:vMerge/>
                  </w:tcPr>
                  <w:p w:rsidR="002F4DCF" w:rsidRPr="006F7F58" w:rsidRDefault="002F4DCF" w:rsidP="00601D47">
                    <w:pPr>
                      <w:jc w:val="center"/>
                      <w:rPr>
                        <w:sz w:val="14"/>
                        <w:szCs w:val="14"/>
                      </w:rPr>
                    </w:pPr>
                  </w:p>
                </w:tc>
                <w:tc>
                  <w:tcPr>
                    <w:tcW w:w="480" w:type="pct"/>
                    <w:vMerge/>
                  </w:tcPr>
                  <w:p w:rsidR="002F4DCF" w:rsidRPr="006F7F58" w:rsidRDefault="002F4DCF" w:rsidP="00601D47">
                    <w:pPr>
                      <w:jc w:val="center"/>
                      <w:rPr>
                        <w:sz w:val="14"/>
                        <w:szCs w:val="14"/>
                      </w:rPr>
                    </w:pPr>
                  </w:p>
                </w:tc>
              </w:tr>
              <w:tr w:rsidR="00243AF6" w:rsidRPr="006F7F58" w:rsidTr="00084029">
                <w:sdt>
                  <w:sdtPr>
                    <w:rPr>
                      <w:sz w:val="14"/>
                      <w:szCs w:val="14"/>
                    </w:rPr>
                    <w:tag w:val="_PLD_4fdfc5e6b5c34cfdb08e5d5e3943966e"/>
                    <w:id w:val="1629441319"/>
                    <w:lock w:val="sdtLocked"/>
                  </w:sdtPr>
                  <w:sdtContent>
                    <w:tc>
                      <w:tcPr>
                        <w:tcW w:w="639" w:type="pct"/>
                      </w:tcPr>
                      <w:p w:rsidR="002F4DCF" w:rsidRPr="006F7F58" w:rsidRDefault="002F4DCF" w:rsidP="002F4DCF">
                        <w:pPr>
                          <w:rPr>
                            <w:sz w:val="14"/>
                            <w:szCs w:val="14"/>
                          </w:rPr>
                        </w:pPr>
                        <w:r w:rsidRPr="006F7F58">
                          <w:rPr>
                            <w:sz w:val="14"/>
                            <w:szCs w:val="14"/>
                          </w:rPr>
                          <w:t>一、上年</w:t>
                        </w:r>
                        <w:r w:rsidRPr="006F7F58">
                          <w:rPr>
                            <w:rFonts w:hint="eastAsia"/>
                            <w:sz w:val="14"/>
                            <w:szCs w:val="14"/>
                          </w:rPr>
                          <w:t>年</w:t>
                        </w:r>
                        <w:r w:rsidRPr="006F7F58">
                          <w:rPr>
                            <w:sz w:val="14"/>
                            <w:szCs w:val="14"/>
                          </w:rPr>
                          <w:t>末余额</w:t>
                        </w:r>
                      </w:p>
                    </w:tc>
                  </w:sdtContent>
                </w:sdt>
                <w:tc>
                  <w:tcPr>
                    <w:tcW w:w="506" w:type="pct"/>
                    <w:vAlign w:val="center"/>
                  </w:tcPr>
                  <w:p w:rsidR="002F4DCF" w:rsidRPr="006F7F58" w:rsidRDefault="002F4DCF" w:rsidP="002F4DCF">
                    <w:pPr>
                      <w:jc w:val="right"/>
                      <w:rPr>
                        <w:sz w:val="14"/>
                        <w:szCs w:val="14"/>
                      </w:rPr>
                    </w:pPr>
                    <w:r w:rsidRPr="006F7F58">
                      <w:rPr>
                        <w:sz w:val="14"/>
                        <w:szCs w:val="14"/>
                      </w:rPr>
                      <w:t>14,866,908,025</w:t>
                    </w:r>
                  </w:p>
                </w:tc>
                <w:tc>
                  <w:tcPr>
                    <w:tcW w:w="401" w:type="pct"/>
                    <w:vAlign w:val="center"/>
                  </w:tcPr>
                  <w:p w:rsidR="002F4DCF" w:rsidRPr="006F7F58" w:rsidRDefault="002F4DCF" w:rsidP="002F4DCF">
                    <w:pPr>
                      <w:jc w:val="right"/>
                      <w:rPr>
                        <w:sz w:val="14"/>
                        <w:szCs w:val="14"/>
                      </w:rPr>
                    </w:pPr>
                    <w:r w:rsidRPr="006F7F58">
                      <w:rPr>
                        <w:sz w:val="14"/>
                        <w:szCs w:val="14"/>
                      </w:rPr>
                      <w:t>3,358,254,738</w:t>
                    </w:r>
                  </w:p>
                </w:tc>
                <w:tc>
                  <w:tcPr>
                    <w:tcW w:w="424" w:type="pct"/>
                    <w:vAlign w:val="center"/>
                  </w:tcPr>
                  <w:p w:rsidR="002F4DCF" w:rsidRPr="006F7F58" w:rsidRDefault="002F4DCF" w:rsidP="002F4DCF">
                    <w:pPr>
                      <w:jc w:val="right"/>
                      <w:rPr>
                        <w:sz w:val="14"/>
                        <w:szCs w:val="14"/>
                      </w:rPr>
                    </w:pPr>
                    <w:r w:rsidRPr="006F7F58">
                      <w:rPr>
                        <w:sz w:val="14"/>
                        <w:szCs w:val="14"/>
                      </w:rPr>
                      <w:t>23,346,233,399</w:t>
                    </w:r>
                  </w:p>
                </w:tc>
                <w:tc>
                  <w:tcPr>
                    <w:tcW w:w="549" w:type="pct"/>
                    <w:vAlign w:val="center"/>
                  </w:tcPr>
                  <w:p w:rsidR="002F4DCF" w:rsidRPr="006F7F58" w:rsidRDefault="002F4DCF" w:rsidP="002F4DCF">
                    <w:pPr>
                      <w:jc w:val="right"/>
                      <w:rPr>
                        <w:sz w:val="14"/>
                        <w:szCs w:val="14"/>
                      </w:rPr>
                    </w:pPr>
                    <w:r w:rsidRPr="006F7F58">
                      <w:rPr>
                        <w:sz w:val="14"/>
                        <w:szCs w:val="14"/>
                      </w:rPr>
                      <w:t>-605,338,475</w:t>
                    </w:r>
                  </w:p>
                </w:tc>
                <w:tc>
                  <w:tcPr>
                    <w:tcW w:w="601" w:type="pct"/>
                    <w:vAlign w:val="center"/>
                  </w:tcPr>
                  <w:p w:rsidR="002F4DCF" w:rsidRPr="006F7F58" w:rsidRDefault="002F4DCF" w:rsidP="002F4DCF">
                    <w:pPr>
                      <w:jc w:val="right"/>
                      <w:rPr>
                        <w:sz w:val="14"/>
                        <w:szCs w:val="14"/>
                      </w:rPr>
                    </w:pPr>
                    <w:r w:rsidRPr="006F7F58">
                      <w:rPr>
                        <w:sz w:val="14"/>
                        <w:szCs w:val="14"/>
                      </w:rPr>
                      <w:t>714,295,149</w:t>
                    </w:r>
                  </w:p>
                </w:tc>
                <w:tc>
                  <w:tcPr>
                    <w:tcW w:w="499" w:type="pct"/>
                    <w:vAlign w:val="center"/>
                  </w:tcPr>
                  <w:p w:rsidR="002F4DCF" w:rsidRPr="006F7F58" w:rsidRDefault="002F4DCF" w:rsidP="002F4DCF">
                    <w:pPr>
                      <w:jc w:val="right"/>
                      <w:rPr>
                        <w:sz w:val="14"/>
                        <w:szCs w:val="14"/>
                      </w:rPr>
                    </w:pPr>
                    <w:r w:rsidRPr="006F7F58">
                      <w:rPr>
                        <w:sz w:val="14"/>
                        <w:szCs w:val="14"/>
                      </w:rPr>
                      <w:t>18,321,698,587</w:t>
                    </w:r>
                  </w:p>
                </w:tc>
                <w:tc>
                  <w:tcPr>
                    <w:tcW w:w="452" w:type="pct"/>
                    <w:vAlign w:val="center"/>
                  </w:tcPr>
                  <w:p w:rsidR="002F4DCF" w:rsidRPr="006F7F58" w:rsidRDefault="002F4DCF" w:rsidP="002F4DCF">
                    <w:pPr>
                      <w:jc w:val="right"/>
                      <w:rPr>
                        <w:sz w:val="14"/>
                        <w:szCs w:val="14"/>
                      </w:rPr>
                    </w:pPr>
                    <w:r w:rsidRPr="006F7F58">
                      <w:rPr>
                        <w:sz w:val="14"/>
                        <w:szCs w:val="14"/>
                      </w:rPr>
                      <w:t>64,399,144,806</w:t>
                    </w:r>
                  </w:p>
                </w:tc>
                <w:tc>
                  <w:tcPr>
                    <w:tcW w:w="449" w:type="pct"/>
                    <w:vAlign w:val="center"/>
                  </w:tcPr>
                  <w:p w:rsidR="002F4DCF" w:rsidRPr="006F7F58" w:rsidRDefault="002F4DCF" w:rsidP="002F4DCF">
                    <w:pPr>
                      <w:jc w:val="right"/>
                      <w:rPr>
                        <w:sz w:val="14"/>
                        <w:szCs w:val="14"/>
                      </w:rPr>
                    </w:pPr>
                    <w:r w:rsidRPr="006F7F58">
                      <w:rPr>
                        <w:sz w:val="14"/>
                        <w:szCs w:val="14"/>
                      </w:rPr>
                      <w:t>10,927,289,973</w:t>
                    </w:r>
                  </w:p>
                </w:tc>
                <w:tc>
                  <w:tcPr>
                    <w:tcW w:w="480" w:type="pct"/>
                    <w:vAlign w:val="center"/>
                  </w:tcPr>
                  <w:p w:rsidR="002F4DCF" w:rsidRPr="006F7F58" w:rsidRDefault="002F4DCF" w:rsidP="002F4DCF">
                    <w:pPr>
                      <w:jc w:val="right"/>
                      <w:rPr>
                        <w:sz w:val="14"/>
                        <w:szCs w:val="14"/>
                      </w:rPr>
                    </w:pPr>
                    <w:r w:rsidRPr="006F7F58">
                      <w:rPr>
                        <w:sz w:val="14"/>
                        <w:szCs w:val="14"/>
                      </w:rPr>
                      <w:t>135,328,486,202</w:t>
                    </w:r>
                  </w:p>
                </w:tc>
              </w:tr>
              <w:tr w:rsidR="00243AF6" w:rsidRPr="006F7F58" w:rsidTr="00084029">
                <w:sdt>
                  <w:sdtPr>
                    <w:rPr>
                      <w:sz w:val="14"/>
                      <w:szCs w:val="14"/>
                    </w:rPr>
                    <w:tag w:val="_PLD_04db836e110543eab1bb1c6fb46bd857"/>
                    <w:id w:val="-536272756"/>
                    <w:lock w:val="sdtLocked"/>
                  </w:sdtPr>
                  <w:sdtContent>
                    <w:tc>
                      <w:tcPr>
                        <w:tcW w:w="639" w:type="pct"/>
                      </w:tcPr>
                      <w:p w:rsidR="002F4DCF" w:rsidRPr="006F7F58" w:rsidRDefault="002F4DCF" w:rsidP="002F4DCF">
                        <w:pPr>
                          <w:rPr>
                            <w:sz w:val="14"/>
                            <w:szCs w:val="14"/>
                          </w:rPr>
                        </w:pPr>
                        <w:r w:rsidRPr="006F7F58">
                          <w:rPr>
                            <w:sz w:val="14"/>
                            <w:szCs w:val="14"/>
                          </w:rPr>
                          <w:t>二、本年</w:t>
                        </w:r>
                        <w:r w:rsidRPr="006F7F58">
                          <w:rPr>
                            <w:rFonts w:hint="eastAsia"/>
                            <w:sz w:val="14"/>
                            <w:szCs w:val="14"/>
                          </w:rPr>
                          <w:t>期</w:t>
                        </w:r>
                        <w:r w:rsidRPr="006F7F58">
                          <w:rPr>
                            <w:sz w:val="14"/>
                            <w:szCs w:val="14"/>
                          </w:rPr>
                          <w:t>初余额</w:t>
                        </w:r>
                      </w:p>
                    </w:tc>
                  </w:sdtContent>
                </w:sdt>
                <w:tc>
                  <w:tcPr>
                    <w:tcW w:w="506" w:type="pct"/>
                    <w:vAlign w:val="center"/>
                  </w:tcPr>
                  <w:p w:rsidR="002F4DCF" w:rsidRPr="006F7F58" w:rsidRDefault="002F4DCF" w:rsidP="002F4DCF">
                    <w:pPr>
                      <w:jc w:val="right"/>
                      <w:rPr>
                        <w:sz w:val="14"/>
                        <w:szCs w:val="14"/>
                      </w:rPr>
                    </w:pPr>
                    <w:r w:rsidRPr="006F7F58">
                      <w:rPr>
                        <w:sz w:val="14"/>
                        <w:szCs w:val="14"/>
                      </w:rPr>
                      <w:t>14,866,908,025</w:t>
                    </w:r>
                  </w:p>
                </w:tc>
                <w:tc>
                  <w:tcPr>
                    <w:tcW w:w="401" w:type="pct"/>
                    <w:vAlign w:val="center"/>
                  </w:tcPr>
                  <w:p w:rsidR="002F4DCF" w:rsidRPr="006F7F58" w:rsidRDefault="002F4DCF" w:rsidP="002F4DCF">
                    <w:pPr>
                      <w:jc w:val="right"/>
                      <w:rPr>
                        <w:sz w:val="14"/>
                        <w:szCs w:val="14"/>
                      </w:rPr>
                    </w:pPr>
                    <w:r w:rsidRPr="006F7F58">
                      <w:rPr>
                        <w:sz w:val="14"/>
                        <w:szCs w:val="14"/>
                      </w:rPr>
                      <w:t>3,358,254,738</w:t>
                    </w:r>
                  </w:p>
                </w:tc>
                <w:tc>
                  <w:tcPr>
                    <w:tcW w:w="424" w:type="pct"/>
                    <w:vAlign w:val="center"/>
                  </w:tcPr>
                  <w:p w:rsidR="002F4DCF" w:rsidRPr="006F7F58" w:rsidRDefault="002F4DCF" w:rsidP="002F4DCF">
                    <w:pPr>
                      <w:jc w:val="right"/>
                      <w:rPr>
                        <w:sz w:val="14"/>
                        <w:szCs w:val="14"/>
                      </w:rPr>
                    </w:pPr>
                    <w:r w:rsidRPr="006F7F58">
                      <w:rPr>
                        <w:sz w:val="14"/>
                        <w:szCs w:val="14"/>
                      </w:rPr>
                      <w:t>23,346,233,399</w:t>
                    </w:r>
                  </w:p>
                </w:tc>
                <w:tc>
                  <w:tcPr>
                    <w:tcW w:w="549" w:type="pct"/>
                    <w:vAlign w:val="center"/>
                  </w:tcPr>
                  <w:p w:rsidR="002F4DCF" w:rsidRPr="006F7F58" w:rsidRDefault="002F4DCF" w:rsidP="002F4DCF">
                    <w:pPr>
                      <w:jc w:val="right"/>
                      <w:rPr>
                        <w:sz w:val="14"/>
                        <w:szCs w:val="14"/>
                      </w:rPr>
                    </w:pPr>
                    <w:r w:rsidRPr="006F7F58">
                      <w:rPr>
                        <w:sz w:val="14"/>
                        <w:szCs w:val="14"/>
                      </w:rPr>
                      <w:t>-605,338,475</w:t>
                    </w:r>
                  </w:p>
                </w:tc>
                <w:tc>
                  <w:tcPr>
                    <w:tcW w:w="601" w:type="pct"/>
                    <w:vAlign w:val="center"/>
                  </w:tcPr>
                  <w:p w:rsidR="002F4DCF" w:rsidRPr="006F7F58" w:rsidRDefault="002F4DCF" w:rsidP="002F4DCF">
                    <w:pPr>
                      <w:jc w:val="right"/>
                      <w:rPr>
                        <w:sz w:val="14"/>
                        <w:szCs w:val="14"/>
                      </w:rPr>
                    </w:pPr>
                    <w:r w:rsidRPr="006F7F58">
                      <w:rPr>
                        <w:sz w:val="14"/>
                        <w:szCs w:val="14"/>
                      </w:rPr>
                      <w:t>714,295,149</w:t>
                    </w:r>
                  </w:p>
                </w:tc>
                <w:tc>
                  <w:tcPr>
                    <w:tcW w:w="499" w:type="pct"/>
                    <w:vAlign w:val="center"/>
                  </w:tcPr>
                  <w:p w:rsidR="002F4DCF" w:rsidRPr="006F7F58" w:rsidRDefault="002F4DCF" w:rsidP="002F4DCF">
                    <w:pPr>
                      <w:jc w:val="right"/>
                      <w:rPr>
                        <w:sz w:val="14"/>
                        <w:szCs w:val="14"/>
                      </w:rPr>
                    </w:pPr>
                    <w:r w:rsidRPr="006F7F58">
                      <w:rPr>
                        <w:sz w:val="14"/>
                        <w:szCs w:val="14"/>
                      </w:rPr>
                      <w:t>18,321,698,587</w:t>
                    </w:r>
                  </w:p>
                </w:tc>
                <w:tc>
                  <w:tcPr>
                    <w:tcW w:w="452" w:type="pct"/>
                    <w:vAlign w:val="center"/>
                  </w:tcPr>
                  <w:p w:rsidR="002F4DCF" w:rsidRPr="006F7F58" w:rsidRDefault="002F4DCF" w:rsidP="002F4DCF">
                    <w:pPr>
                      <w:jc w:val="right"/>
                      <w:rPr>
                        <w:sz w:val="14"/>
                        <w:szCs w:val="14"/>
                      </w:rPr>
                    </w:pPr>
                    <w:r w:rsidRPr="006F7F58">
                      <w:rPr>
                        <w:sz w:val="14"/>
                        <w:szCs w:val="14"/>
                      </w:rPr>
                      <w:t>64,399,144,806</w:t>
                    </w:r>
                  </w:p>
                </w:tc>
                <w:tc>
                  <w:tcPr>
                    <w:tcW w:w="449" w:type="pct"/>
                    <w:vAlign w:val="center"/>
                  </w:tcPr>
                  <w:p w:rsidR="002F4DCF" w:rsidRPr="006F7F58" w:rsidRDefault="002F4DCF" w:rsidP="002F4DCF">
                    <w:pPr>
                      <w:jc w:val="right"/>
                      <w:rPr>
                        <w:sz w:val="14"/>
                        <w:szCs w:val="14"/>
                      </w:rPr>
                    </w:pPr>
                    <w:r w:rsidRPr="006F7F58">
                      <w:rPr>
                        <w:sz w:val="14"/>
                        <w:szCs w:val="14"/>
                      </w:rPr>
                      <w:t>10,927,289,973</w:t>
                    </w:r>
                  </w:p>
                </w:tc>
                <w:tc>
                  <w:tcPr>
                    <w:tcW w:w="480" w:type="pct"/>
                    <w:vAlign w:val="center"/>
                  </w:tcPr>
                  <w:p w:rsidR="002F4DCF" w:rsidRPr="006F7F58" w:rsidRDefault="002F4DCF" w:rsidP="002F4DCF">
                    <w:pPr>
                      <w:jc w:val="right"/>
                      <w:rPr>
                        <w:sz w:val="14"/>
                        <w:szCs w:val="14"/>
                      </w:rPr>
                    </w:pPr>
                    <w:r w:rsidRPr="006F7F58">
                      <w:rPr>
                        <w:sz w:val="14"/>
                        <w:szCs w:val="14"/>
                      </w:rPr>
                      <w:t>135,328,486,202</w:t>
                    </w:r>
                  </w:p>
                </w:tc>
              </w:tr>
              <w:tr w:rsidR="00243AF6" w:rsidRPr="006F7F58" w:rsidTr="00084029">
                <w:sdt>
                  <w:sdtPr>
                    <w:rPr>
                      <w:sz w:val="14"/>
                      <w:szCs w:val="14"/>
                    </w:rPr>
                    <w:tag w:val="_PLD_1ca4768a663c4afc8e9fee3a8dc71bc6"/>
                    <w:id w:val="-555852182"/>
                    <w:lock w:val="sdtLocked"/>
                  </w:sdtPr>
                  <w:sdtContent>
                    <w:tc>
                      <w:tcPr>
                        <w:tcW w:w="639" w:type="pct"/>
                      </w:tcPr>
                      <w:p w:rsidR="002F4DCF" w:rsidRPr="006F7F58" w:rsidRDefault="002F4DCF" w:rsidP="002F4DCF">
                        <w:pPr>
                          <w:rPr>
                            <w:sz w:val="14"/>
                            <w:szCs w:val="14"/>
                          </w:rPr>
                        </w:pPr>
                        <w:r w:rsidRPr="006F7F58">
                          <w:rPr>
                            <w:sz w:val="14"/>
                            <w:szCs w:val="14"/>
                          </w:rPr>
                          <w:t>三、本</w:t>
                        </w:r>
                        <w:r w:rsidRPr="006F7F58">
                          <w:rPr>
                            <w:rFonts w:hint="eastAsia"/>
                            <w:sz w:val="14"/>
                            <w:szCs w:val="14"/>
                          </w:rPr>
                          <w:t>期</w:t>
                        </w:r>
                        <w:r w:rsidRPr="006F7F58">
                          <w:rPr>
                            <w:sz w:val="14"/>
                            <w:szCs w:val="14"/>
                          </w:rPr>
                          <w:t>增减变动金额（减少以“－”号填列）</w:t>
                        </w:r>
                      </w:p>
                    </w:tc>
                  </w:sdtContent>
                </w:sdt>
                <w:tc>
                  <w:tcPr>
                    <w:tcW w:w="506" w:type="pct"/>
                    <w:vAlign w:val="center"/>
                  </w:tcPr>
                  <w:p w:rsidR="002F4DCF" w:rsidRPr="006F7F58" w:rsidRDefault="002F4DCF" w:rsidP="002F4DCF">
                    <w:pPr>
                      <w:jc w:val="right"/>
                      <w:rPr>
                        <w:sz w:val="14"/>
                        <w:szCs w:val="14"/>
                      </w:rPr>
                    </w:pPr>
                    <w:r w:rsidRPr="006F7F58">
                      <w:rPr>
                        <w:sz w:val="14"/>
                        <w:szCs w:val="14"/>
                      </w:rPr>
                      <w:t>37,882</w:t>
                    </w:r>
                  </w:p>
                </w:tc>
                <w:tc>
                  <w:tcPr>
                    <w:tcW w:w="401" w:type="pct"/>
                    <w:vAlign w:val="center"/>
                  </w:tcPr>
                  <w:p w:rsidR="002F4DCF" w:rsidRPr="006F7F58" w:rsidRDefault="002F4DCF" w:rsidP="002F4DCF">
                    <w:pPr>
                      <w:jc w:val="right"/>
                      <w:rPr>
                        <w:sz w:val="14"/>
                        <w:szCs w:val="14"/>
                      </w:rPr>
                    </w:pPr>
                    <w:r w:rsidRPr="006F7F58">
                      <w:rPr>
                        <w:sz w:val="14"/>
                        <w:szCs w:val="14"/>
                      </w:rPr>
                      <w:t>-27,601</w:t>
                    </w:r>
                  </w:p>
                </w:tc>
                <w:tc>
                  <w:tcPr>
                    <w:tcW w:w="424" w:type="pct"/>
                    <w:vAlign w:val="center"/>
                  </w:tcPr>
                  <w:p w:rsidR="002F4DCF" w:rsidRPr="006F7F58" w:rsidRDefault="002F4DCF" w:rsidP="002F4DCF">
                    <w:pPr>
                      <w:jc w:val="right"/>
                      <w:rPr>
                        <w:sz w:val="14"/>
                        <w:szCs w:val="14"/>
                      </w:rPr>
                    </w:pPr>
                    <w:r w:rsidRPr="006F7F58">
                      <w:rPr>
                        <w:sz w:val="14"/>
                        <w:szCs w:val="14"/>
                      </w:rPr>
                      <w:t>3,725,182</w:t>
                    </w:r>
                  </w:p>
                </w:tc>
                <w:tc>
                  <w:tcPr>
                    <w:tcW w:w="549" w:type="pct"/>
                    <w:vAlign w:val="center"/>
                  </w:tcPr>
                  <w:p w:rsidR="002F4DCF" w:rsidRPr="006F7F58" w:rsidRDefault="002F4DCF" w:rsidP="002F4DCF">
                    <w:pPr>
                      <w:jc w:val="right"/>
                      <w:rPr>
                        <w:sz w:val="14"/>
                        <w:szCs w:val="14"/>
                      </w:rPr>
                    </w:pPr>
                    <w:r w:rsidRPr="006F7F58">
                      <w:rPr>
                        <w:sz w:val="14"/>
                        <w:szCs w:val="14"/>
                      </w:rPr>
                      <w:t>-93,199,761</w:t>
                    </w:r>
                  </w:p>
                </w:tc>
                <w:tc>
                  <w:tcPr>
                    <w:tcW w:w="601" w:type="pct"/>
                    <w:vAlign w:val="center"/>
                  </w:tcPr>
                  <w:p w:rsidR="002F4DCF" w:rsidRPr="006F7F58" w:rsidRDefault="002F4DCF" w:rsidP="002F4DCF">
                    <w:pPr>
                      <w:jc w:val="right"/>
                      <w:rPr>
                        <w:sz w:val="14"/>
                        <w:szCs w:val="14"/>
                      </w:rPr>
                    </w:pPr>
                    <w:r w:rsidRPr="006F7F58">
                      <w:rPr>
                        <w:sz w:val="14"/>
                        <w:szCs w:val="14"/>
                      </w:rPr>
                      <w:t>53,768,179</w:t>
                    </w:r>
                  </w:p>
                </w:tc>
                <w:tc>
                  <w:tcPr>
                    <w:tcW w:w="499" w:type="pct"/>
                    <w:vAlign w:val="center"/>
                  </w:tcPr>
                  <w:p w:rsidR="002F4DCF" w:rsidRPr="006F7F58" w:rsidRDefault="002F4DCF" w:rsidP="002F4DCF">
                    <w:pPr>
                      <w:jc w:val="right"/>
                      <w:rPr>
                        <w:sz w:val="14"/>
                        <w:szCs w:val="14"/>
                      </w:rPr>
                    </w:pPr>
                    <w:r w:rsidRPr="006F7F58">
                      <w:rPr>
                        <w:sz w:val="14"/>
                        <w:szCs w:val="14"/>
                      </w:rPr>
                      <w:t>1,090,644,564</w:t>
                    </w:r>
                  </w:p>
                </w:tc>
                <w:tc>
                  <w:tcPr>
                    <w:tcW w:w="452" w:type="pct"/>
                    <w:vAlign w:val="center"/>
                  </w:tcPr>
                  <w:p w:rsidR="002F4DCF" w:rsidRPr="006F7F58" w:rsidRDefault="002F4DCF" w:rsidP="002F4DCF">
                    <w:pPr>
                      <w:jc w:val="right"/>
                      <w:rPr>
                        <w:sz w:val="14"/>
                        <w:szCs w:val="14"/>
                      </w:rPr>
                    </w:pPr>
                    <w:r w:rsidRPr="006F7F58">
                      <w:rPr>
                        <w:sz w:val="14"/>
                        <w:szCs w:val="14"/>
                      </w:rPr>
                      <w:t>2,827,462,914</w:t>
                    </w:r>
                  </w:p>
                </w:tc>
                <w:tc>
                  <w:tcPr>
                    <w:tcW w:w="449" w:type="pct"/>
                    <w:vAlign w:val="center"/>
                  </w:tcPr>
                  <w:p w:rsidR="002F4DCF" w:rsidRPr="006F7F58" w:rsidRDefault="002F4DCF" w:rsidP="002F4DCF">
                    <w:pPr>
                      <w:jc w:val="right"/>
                      <w:rPr>
                        <w:sz w:val="14"/>
                        <w:szCs w:val="14"/>
                      </w:rPr>
                    </w:pPr>
                    <w:r w:rsidRPr="006F7F58">
                      <w:rPr>
                        <w:sz w:val="14"/>
                        <w:szCs w:val="14"/>
                      </w:rPr>
                      <w:t>978,316,363</w:t>
                    </w:r>
                  </w:p>
                </w:tc>
                <w:tc>
                  <w:tcPr>
                    <w:tcW w:w="480" w:type="pct"/>
                    <w:vAlign w:val="center"/>
                  </w:tcPr>
                  <w:p w:rsidR="002F4DCF" w:rsidRPr="006F7F58" w:rsidRDefault="002F4DCF" w:rsidP="002F4DCF">
                    <w:pPr>
                      <w:jc w:val="right"/>
                      <w:rPr>
                        <w:sz w:val="14"/>
                        <w:szCs w:val="14"/>
                      </w:rPr>
                    </w:pPr>
                    <w:r w:rsidRPr="006F7F58">
                      <w:rPr>
                        <w:sz w:val="14"/>
                        <w:szCs w:val="14"/>
                      </w:rPr>
                      <w:t>4,860,727,722</w:t>
                    </w:r>
                  </w:p>
                </w:tc>
              </w:tr>
              <w:tr w:rsidR="00243AF6" w:rsidRPr="006F7F58" w:rsidTr="00084029">
                <w:sdt>
                  <w:sdtPr>
                    <w:rPr>
                      <w:sz w:val="14"/>
                      <w:szCs w:val="14"/>
                    </w:rPr>
                    <w:tag w:val="_PLD_55a20255a0a245fd951d5eb42c559389"/>
                    <w:id w:val="1634758513"/>
                    <w:lock w:val="sdtLocked"/>
                  </w:sdtPr>
                  <w:sdtContent>
                    <w:tc>
                      <w:tcPr>
                        <w:tcW w:w="639" w:type="pct"/>
                      </w:tcPr>
                      <w:p w:rsidR="002F4DCF" w:rsidRPr="006F7F58" w:rsidRDefault="002F4DCF" w:rsidP="002F4DCF">
                        <w:pPr>
                          <w:rPr>
                            <w:sz w:val="14"/>
                            <w:szCs w:val="14"/>
                          </w:rPr>
                        </w:pPr>
                        <w:r w:rsidRPr="006F7F58">
                          <w:rPr>
                            <w:rFonts w:hint="eastAsia"/>
                            <w:sz w:val="14"/>
                            <w:szCs w:val="14"/>
                          </w:rPr>
                          <w:t>（一）综合收益总额</w:t>
                        </w:r>
                      </w:p>
                    </w:tc>
                  </w:sdtContent>
                </w:sdt>
                <w:tc>
                  <w:tcPr>
                    <w:tcW w:w="506" w:type="pct"/>
                    <w:vAlign w:val="center"/>
                  </w:tcPr>
                  <w:p w:rsidR="002F4DCF" w:rsidRPr="006F7F58" w:rsidRDefault="002F4DCF" w:rsidP="002F4DCF">
                    <w:pPr>
                      <w:jc w:val="right"/>
                      <w:rPr>
                        <w:sz w:val="14"/>
                        <w:szCs w:val="14"/>
                      </w:rPr>
                    </w:pPr>
                    <w:r w:rsidRPr="006F7F58">
                      <w:rPr>
                        <w:sz w:val="14"/>
                        <w:szCs w:val="14"/>
                      </w:rPr>
                      <w:t>0</w:t>
                    </w:r>
                  </w:p>
                </w:tc>
                <w:tc>
                  <w:tcPr>
                    <w:tcW w:w="401" w:type="pct"/>
                    <w:vAlign w:val="center"/>
                  </w:tcPr>
                  <w:p w:rsidR="002F4DCF" w:rsidRPr="006F7F58" w:rsidRDefault="002F4DCF" w:rsidP="002F4DCF">
                    <w:pPr>
                      <w:jc w:val="right"/>
                      <w:rPr>
                        <w:sz w:val="14"/>
                        <w:szCs w:val="14"/>
                      </w:rPr>
                    </w:pPr>
                    <w:r w:rsidRPr="006F7F58">
                      <w:rPr>
                        <w:sz w:val="14"/>
                        <w:szCs w:val="14"/>
                      </w:rPr>
                      <w:t>0</w:t>
                    </w:r>
                  </w:p>
                </w:tc>
                <w:tc>
                  <w:tcPr>
                    <w:tcW w:w="424" w:type="pct"/>
                    <w:vAlign w:val="center"/>
                  </w:tcPr>
                  <w:p w:rsidR="002F4DCF" w:rsidRPr="006F7F58" w:rsidRDefault="002F4DCF" w:rsidP="002F4DCF">
                    <w:pPr>
                      <w:jc w:val="right"/>
                      <w:rPr>
                        <w:sz w:val="14"/>
                        <w:szCs w:val="14"/>
                      </w:rPr>
                    </w:pPr>
                    <w:r w:rsidRPr="006F7F58">
                      <w:rPr>
                        <w:sz w:val="14"/>
                        <w:szCs w:val="14"/>
                      </w:rPr>
                      <w:t>0</w:t>
                    </w:r>
                  </w:p>
                </w:tc>
                <w:tc>
                  <w:tcPr>
                    <w:tcW w:w="549" w:type="pct"/>
                    <w:vAlign w:val="center"/>
                  </w:tcPr>
                  <w:p w:rsidR="002F4DCF" w:rsidRPr="006F7F58" w:rsidRDefault="002F4DCF" w:rsidP="002F4DCF">
                    <w:pPr>
                      <w:jc w:val="right"/>
                      <w:rPr>
                        <w:sz w:val="14"/>
                        <w:szCs w:val="14"/>
                      </w:rPr>
                    </w:pPr>
                    <w:r w:rsidRPr="006F7F58">
                      <w:rPr>
                        <w:sz w:val="14"/>
                        <w:szCs w:val="14"/>
                      </w:rPr>
                      <w:t>-93,199,761</w:t>
                    </w:r>
                  </w:p>
                </w:tc>
                <w:tc>
                  <w:tcPr>
                    <w:tcW w:w="601" w:type="pct"/>
                    <w:vAlign w:val="center"/>
                  </w:tcPr>
                  <w:p w:rsidR="002F4DCF" w:rsidRPr="006F7F58" w:rsidRDefault="002F4DCF" w:rsidP="002F4DCF">
                    <w:pPr>
                      <w:jc w:val="right"/>
                      <w:rPr>
                        <w:sz w:val="14"/>
                        <w:szCs w:val="14"/>
                      </w:rPr>
                    </w:pPr>
                    <w:r w:rsidRPr="006F7F58">
                      <w:rPr>
                        <w:sz w:val="14"/>
                        <w:szCs w:val="14"/>
                      </w:rPr>
                      <w:t>0</w:t>
                    </w:r>
                  </w:p>
                </w:tc>
                <w:tc>
                  <w:tcPr>
                    <w:tcW w:w="499" w:type="pct"/>
                    <w:vAlign w:val="center"/>
                  </w:tcPr>
                  <w:p w:rsidR="002F4DCF" w:rsidRPr="006F7F58" w:rsidRDefault="002F4DCF" w:rsidP="002F4DCF">
                    <w:pPr>
                      <w:jc w:val="right"/>
                      <w:rPr>
                        <w:sz w:val="14"/>
                        <w:szCs w:val="14"/>
                      </w:rPr>
                    </w:pPr>
                    <w:r w:rsidRPr="006F7F58">
                      <w:rPr>
                        <w:sz w:val="14"/>
                        <w:szCs w:val="14"/>
                      </w:rPr>
                      <w:t>0</w:t>
                    </w:r>
                  </w:p>
                </w:tc>
                <w:tc>
                  <w:tcPr>
                    <w:tcW w:w="452" w:type="pct"/>
                    <w:vAlign w:val="center"/>
                  </w:tcPr>
                  <w:p w:rsidR="002F4DCF" w:rsidRPr="006F7F58" w:rsidRDefault="002F4DCF" w:rsidP="002F4DCF">
                    <w:pPr>
                      <w:jc w:val="right"/>
                      <w:rPr>
                        <w:sz w:val="14"/>
                        <w:szCs w:val="14"/>
                      </w:rPr>
                    </w:pPr>
                    <w:r w:rsidRPr="006F7F58">
                      <w:rPr>
                        <w:sz w:val="14"/>
                        <w:szCs w:val="14"/>
                      </w:rPr>
                      <w:t>11,196,257,454</w:t>
                    </w:r>
                  </w:p>
                </w:tc>
                <w:tc>
                  <w:tcPr>
                    <w:tcW w:w="449" w:type="pct"/>
                    <w:vAlign w:val="center"/>
                  </w:tcPr>
                  <w:p w:rsidR="002F4DCF" w:rsidRPr="006F7F58" w:rsidRDefault="002F4DCF" w:rsidP="002F4DCF">
                    <w:pPr>
                      <w:jc w:val="right"/>
                      <w:rPr>
                        <w:sz w:val="14"/>
                        <w:szCs w:val="14"/>
                      </w:rPr>
                    </w:pPr>
                    <w:r w:rsidRPr="006F7F58">
                      <w:rPr>
                        <w:sz w:val="14"/>
                        <w:szCs w:val="14"/>
                      </w:rPr>
                      <w:t>1,656,222,620</w:t>
                    </w:r>
                  </w:p>
                </w:tc>
                <w:tc>
                  <w:tcPr>
                    <w:tcW w:w="480" w:type="pct"/>
                    <w:vAlign w:val="center"/>
                  </w:tcPr>
                  <w:p w:rsidR="002F4DCF" w:rsidRPr="006F7F58" w:rsidRDefault="002F4DCF" w:rsidP="002F4DCF">
                    <w:pPr>
                      <w:jc w:val="right"/>
                      <w:rPr>
                        <w:sz w:val="14"/>
                        <w:szCs w:val="14"/>
                      </w:rPr>
                    </w:pPr>
                    <w:r w:rsidRPr="006F7F58">
                      <w:rPr>
                        <w:sz w:val="14"/>
                        <w:szCs w:val="14"/>
                      </w:rPr>
                      <w:t>12,759,280,313</w:t>
                    </w:r>
                  </w:p>
                </w:tc>
              </w:tr>
              <w:tr w:rsidR="00243AF6" w:rsidRPr="006F7F58" w:rsidTr="00084029">
                <w:sdt>
                  <w:sdtPr>
                    <w:rPr>
                      <w:sz w:val="14"/>
                      <w:szCs w:val="14"/>
                    </w:rPr>
                    <w:tag w:val="_PLD_cabd5a3f22a849b08cf8df11a07115b5"/>
                    <w:id w:val="-1360498515"/>
                    <w:lock w:val="sdtLocked"/>
                  </w:sdtPr>
                  <w:sdtContent>
                    <w:tc>
                      <w:tcPr>
                        <w:tcW w:w="639" w:type="pct"/>
                      </w:tcPr>
                      <w:p w:rsidR="002F4DCF" w:rsidRPr="006F7F58" w:rsidRDefault="002F4DCF" w:rsidP="002F4DCF">
                        <w:pPr>
                          <w:rPr>
                            <w:sz w:val="14"/>
                            <w:szCs w:val="14"/>
                          </w:rPr>
                        </w:pPr>
                        <w:r w:rsidRPr="006F7F58">
                          <w:rPr>
                            <w:sz w:val="14"/>
                            <w:szCs w:val="14"/>
                          </w:rPr>
                          <w:t>（</w:t>
                        </w:r>
                        <w:r w:rsidRPr="006F7F58">
                          <w:rPr>
                            <w:rFonts w:hint="eastAsia"/>
                            <w:sz w:val="14"/>
                            <w:szCs w:val="14"/>
                          </w:rPr>
                          <w:t>二</w:t>
                        </w:r>
                        <w:r w:rsidRPr="006F7F58">
                          <w:rPr>
                            <w:sz w:val="14"/>
                            <w:szCs w:val="14"/>
                          </w:rPr>
                          <w:t>）所有者投入和减少资本</w:t>
                        </w:r>
                      </w:p>
                    </w:tc>
                  </w:sdtContent>
                </w:sdt>
                <w:tc>
                  <w:tcPr>
                    <w:tcW w:w="506" w:type="pct"/>
                    <w:vAlign w:val="center"/>
                  </w:tcPr>
                  <w:p w:rsidR="002F4DCF" w:rsidRPr="006F7F58" w:rsidRDefault="002F4DCF" w:rsidP="002F4DCF">
                    <w:pPr>
                      <w:jc w:val="right"/>
                      <w:rPr>
                        <w:sz w:val="14"/>
                        <w:szCs w:val="14"/>
                      </w:rPr>
                    </w:pPr>
                    <w:r w:rsidRPr="006F7F58">
                      <w:rPr>
                        <w:sz w:val="14"/>
                        <w:szCs w:val="14"/>
                      </w:rPr>
                      <w:t>37,882</w:t>
                    </w:r>
                  </w:p>
                </w:tc>
                <w:tc>
                  <w:tcPr>
                    <w:tcW w:w="401" w:type="pct"/>
                    <w:vAlign w:val="center"/>
                  </w:tcPr>
                  <w:p w:rsidR="002F4DCF" w:rsidRPr="006F7F58" w:rsidRDefault="002F4DCF" w:rsidP="002F4DCF">
                    <w:pPr>
                      <w:jc w:val="right"/>
                      <w:rPr>
                        <w:sz w:val="14"/>
                        <w:szCs w:val="14"/>
                      </w:rPr>
                    </w:pPr>
                    <w:r w:rsidRPr="006F7F58">
                      <w:rPr>
                        <w:sz w:val="14"/>
                        <w:szCs w:val="14"/>
                      </w:rPr>
                      <w:t>-27,601</w:t>
                    </w:r>
                  </w:p>
                </w:tc>
                <w:tc>
                  <w:tcPr>
                    <w:tcW w:w="424" w:type="pct"/>
                    <w:vAlign w:val="center"/>
                  </w:tcPr>
                  <w:p w:rsidR="002F4DCF" w:rsidRPr="006F7F58" w:rsidRDefault="002F4DCF" w:rsidP="002F4DCF">
                    <w:pPr>
                      <w:jc w:val="right"/>
                      <w:rPr>
                        <w:sz w:val="14"/>
                        <w:szCs w:val="14"/>
                      </w:rPr>
                    </w:pPr>
                    <w:r w:rsidRPr="006F7F58">
                      <w:rPr>
                        <w:sz w:val="14"/>
                        <w:szCs w:val="14"/>
                      </w:rPr>
                      <w:t>236,727</w:t>
                    </w:r>
                  </w:p>
                </w:tc>
                <w:tc>
                  <w:tcPr>
                    <w:tcW w:w="549" w:type="pct"/>
                    <w:vAlign w:val="center"/>
                  </w:tcPr>
                  <w:p w:rsidR="002F4DCF" w:rsidRPr="006F7F58" w:rsidRDefault="002F4DCF" w:rsidP="002F4DCF">
                    <w:pPr>
                      <w:jc w:val="right"/>
                      <w:rPr>
                        <w:sz w:val="14"/>
                        <w:szCs w:val="14"/>
                      </w:rPr>
                    </w:pPr>
                    <w:r w:rsidRPr="006F7F58">
                      <w:rPr>
                        <w:sz w:val="14"/>
                        <w:szCs w:val="14"/>
                      </w:rPr>
                      <w:t>0</w:t>
                    </w:r>
                  </w:p>
                </w:tc>
                <w:tc>
                  <w:tcPr>
                    <w:tcW w:w="601" w:type="pct"/>
                    <w:vAlign w:val="center"/>
                  </w:tcPr>
                  <w:p w:rsidR="002F4DCF" w:rsidRPr="006F7F58" w:rsidRDefault="002F4DCF" w:rsidP="002F4DCF">
                    <w:pPr>
                      <w:jc w:val="right"/>
                      <w:rPr>
                        <w:sz w:val="14"/>
                        <w:szCs w:val="14"/>
                      </w:rPr>
                    </w:pPr>
                    <w:r w:rsidRPr="006F7F58">
                      <w:rPr>
                        <w:sz w:val="14"/>
                        <w:szCs w:val="14"/>
                      </w:rPr>
                      <w:t>0</w:t>
                    </w:r>
                  </w:p>
                </w:tc>
                <w:tc>
                  <w:tcPr>
                    <w:tcW w:w="499" w:type="pct"/>
                    <w:vAlign w:val="center"/>
                  </w:tcPr>
                  <w:p w:rsidR="002F4DCF" w:rsidRPr="006F7F58" w:rsidRDefault="002F4DCF" w:rsidP="002F4DCF">
                    <w:pPr>
                      <w:jc w:val="right"/>
                      <w:rPr>
                        <w:sz w:val="14"/>
                        <w:szCs w:val="14"/>
                      </w:rPr>
                    </w:pPr>
                    <w:r w:rsidRPr="006F7F58">
                      <w:rPr>
                        <w:sz w:val="14"/>
                        <w:szCs w:val="14"/>
                      </w:rPr>
                      <w:t>0</w:t>
                    </w:r>
                  </w:p>
                </w:tc>
                <w:tc>
                  <w:tcPr>
                    <w:tcW w:w="452" w:type="pct"/>
                    <w:vAlign w:val="center"/>
                  </w:tcPr>
                  <w:p w:rsidR="002F4DCF" w:rsidRPr="006F7F58" w:rsidRDefault="002F4DCF" w:rsidP="002F4DCF">
                    <w:pPr>
                      <w:jc w:val="right"/>
                      <w:rPr>
                        <w:sz w:val="14"/>
                        <w:szCs w:val="14"/>
                      </w:rPr>
                    </w:pPr>
                    <w:r w:rsidRPr="006F7F58">
                      <w:rPr>
                        <w:sz w:val="14"/>
                        <w:szCs w:val="14"/>
                      </w:rPr>
                      <w:t>0</w:t>
                    </w:r>
                  </w:p>
                </w:tc>
                <w:tc>
                  <w:tcPr>
                    <w:tcW w:w="449" w:type="pct"/>
                    <w:vAlign w:val="center"/>
                  </w:tcPr>
                  <w:p w:rsidR="002F4DCF" w:rsidRPr="006F7F58" w:rsidRDefault="002F4DCF" w:rsidP="002F4DCF">
                    <w:pPr>
                      <w:jc w:val="right"/>
                      <w:rPr>
                        <w:sz w:val="14"/>
                        <w:szCs w:val="14"/>
                      </w:rPr>
                    </w:pPr>
                    <w:r w:rsidRPr="006F7F58">
                      <w:rPr>
                        <w:sz w:val="14"/>
                        <w:szCs w:val="14"/>
                      </w:rPr>
                      <w:t>0</w:t>
                    </w:r>
                  </w:p>
                </w:tc>
                <w:tc>
                  <w:tcPr>
                    <w:tcW w:w="480" w:type="pct"/>
                    <w:vAlign w:val="center"/>
                  </w:tcPr>
                  <w:p w:rsidR="002F4DCF" w:rsidRPr="006F7F58" w:rsidRDefault="002F4DCF" w:rsidP="002F4DCF">
                    <w:pPr>
                      <w:jc w:val="right"/>
                      <w:rPr>
                        <w:sz w:val="14"/>
                        <w:szCs w:val="14"/>
                      </w:rPr>
                    </w:pPr>
                    <w:r w:rsidRPr="006F7F58">
                      <w:rPr>
                        <w:sz w:val="14"/>
                        <w:szCs w:val="14"/>
                      </w:rPr>
                      <w:t>247,008</w:t>
                    </w:r>
                  </w:p>
                </w:tc>
              </w:tr>
              <w:tr w:rsidR="00084029" w:rsidRPr="006F7F58" w:rsidTr="00084029">
                <w:sdt>
                  <w:sdtPr>
                    <w:rPr>
                      <w:sz w:val="14"/>
                      <w:szCs w:val="14"/>
                    </w:rPr>
                    <w:tag w:val="_PLD_4d4d24462cb048579eb01f9b1c8956b1"/>
                    <w:id w:val="-75821788"/>
                    <w:lock w:val="sdtLocked"/>
                  </w:sdtPr>
                  <w:sdtContent>
                    <w:tc>
                      <w:tcPr>
                        <w:tcW w:w="639" w:type="pct"/>
                      </w:tcPr>
                      <w:p w:rsidR="00084029" w:rsidRPr="006F7F58" w:rsidRDefault="00084029" w:rsidP="00084029">
                        <w:pPr>
                          <w:rPr>
                            <w:sz w:val="14"/>
                            <w:szCs w:val="14"/>
                          </w:rPr>
                        </w:pPr>
                        <w:r w:rsidRPr="006F7F58">
                          <w:rPr>
                            <w:rFonts w:hint="eastAsia"/>
                            <w:sz w:val="14"/>
                            <w:szCs w:val="14"/>
                          </w:rPr>
                          <w:t>1．所有者投入的普通股</w:t>
                        </w:r>
                      </w:p>
                    </w:tc>
                  </w:sdtContent>
                </w:sdt>
                <w:tc>
                  <w:tcPr>
                    <w:tcW w:w="506" w:type="pct"/>
                    <w:vAlign w:val="center"/>
                  </w:tcPr>
                  <w:p w:rsidR="00084029" w:rsidRPr="00084029" w:rsidRDefault="00084029" w:rsidP="00084029">
                    <w:pPr>
                      <w:jc w:val="right"/>
                      <w:rPr>
                        <w:sz w:val="14"/>
                        <w:szCs w:val="14"/>
                      </w:rPr>
                    </w:pPr>
                    <w:r w:rsidRPr="00084029">
                      <w:rPr>
                        <w:sz w:val="14"/>
                        <w:szCs w:val="14"/>
                      </w:rPr>
                      <w:t>0</w:t>
                    </w:r>
                  </w:p>
                </w:tc>
                <w:tc>
                  <w:tcPr>
                    <w:tcW w:w="401" w:type="pct"/>
                    <w:vAlign w:val="center"/>
                  </w:tcPr>
                  <w:p w:rsidR="00084029" w:rsidRPr="00084029" w:rsidRDefault="00084029" w:rsidP="00084029">
                    <w:pPr>
                      <w:jc w:val="right"/>
                      <w:rPr>
                        <w:sz w:val="14"/>
                        <w:szCs w:val="14"/>
                      </w:rPr>
                    </w:pPr>
                    <w:r w:rsidRPr="00084029">
                      <w:rPr>
                        <w:sz w:val="14"/>
                        <w:szCs w:val="14"/>
                      </w:rPr>
                      <w:t>0</w:t>
                    </w:r>
                  </w:p>
                </w:tc>
                <w:tc>
                  <w:tcPr>
                    <w:tcW w:w="424" w:type="pct"/>
                    <w:vAlign w:val="center"/>
                  </w:tcPr>
                  <w:p w:rsidR="00084029" w:rsidRPr="00084029" w:rsidRDefault="00084029" w:rsidP="00084029">
                    <w:pPr>
                      <w:jc w:val="right"/>
                      <w:rPr>
                        <w:sz w:val="14"/>
                        <w:szCs w:val="14"/>
                      </w:rPr>
                    </w:pPr>
                    <w:r w:rsidRPr="00084029">
                      <w:rPr>
                        <w:sz w:val="14"/>
                        <w:szCs w:val="14"/>
                      </w:rPr>
                      <w:t>0</w:t>
                    </w:r>
                  </w:p>
                </w:tc>
                <w:tc>
                  <w:tcPr>
                    <w:tcW w:w="549" w:type="pct"/>
                    <w:vAlign w:val="center"/>
                  </w:tcPr>
                  <w:p w:rsidR="00084029" w:rsidRPr="00084029" w:rsidRDefault="00084029" w:rsidP="00084029">
                    <w:pPr>
                      <w:jc w:val="right"/>
                      <w:rPr>
                        <w:sz w:val="14"/>
                        <w:szCs w:val="14"/>
                      </w:rPr>
                    </w:pPr>
                    <w:r w:rsidRPr="00084029">
                      <w:rPr>
                        <w:sz w:val="14"/>
                        <w:szCs w:val="14"/>
                      </w:rPr>
                      <w:t>0</w:t>
                    </w:r>
                  </w:p>
                </w:tc>
                <w:tc>
                  <w:tcPr>
                    <w:tcW w:w="601" w:type="pct"/>
                    <w:vAlign w:val="center"/>
                  </w:tcPr>
                  <w:p w:rsidR="00084029" w:rsidRPr="00084029" w:rsidRDefault="00084029" w:rsidP="00084029">
                    <w:pPr>
                      <w:jc w:val="right"/>
                      <w:rPr>
                        <w:sz w:val="14"/>
                        <w:szCs w:val="14"/>
                      </w:rPr>
                    </w:pPr>
                    <w:r w:rsidRPr="00084029">
                      <w:rPr>
                        <w:sz w:val="14"/>
                        <w:szCs w:val="14"/>
                      </w:rPr>
                      <w:t>0</w:t>
                    </w:r>
                  </w:p>
                </w:tc>
                <w:tc>
                  <w:tcPr>
                    <w:tcW w:w="499" w:type="pct"/>
                    <w:vAlign w:val="center"/>
                  </w:tcPr>
                  <w:p w:rsidR="00084029" w:rsidRPr="00084029" w:rsidRDefault="00084029" w:rsidP="00084029">
                    <w:pPr>
                      <w:jc w:val="right"/>
                      <w:rPr>
                        <w:sz w:val="14"/>
                        <w:szCs w:val="14"/>
                      </w:rPr>
                    </w:pPr>
                    <w:r w:rsidRPr="00084029">
                      <w:rPr>
                        <w:sz w:val="14"/>
                        <w:szCs w:val="14"/>
                      </w:rPr>
                      <w:t>0</w:t>
                    </w:r>
                  </w:p>
                </w:tc>
                <w:tc>
                  <w:tcPr>
                    <w:tcW w:w="452" w:type="pct"/>
                    <w:vAlign w:val="center"/>
                  </w:tcPr>
                  <w:p w:rsidR="00084029" w:rsidRPr="00084029" w:rsidRDefault="00084029" w:rsidP="00084029">
                    <w:pPr>
                      <w:jc w:val="right"/>
                      <w:rPr>
                        <w:sz w:val="14"/>
                        <w:szCs w:val="14"/>
                      </w:rPr>
                    </w:pPr>
                    <w:r w:rsidRPr="00084029">
                      <w:rPr>
                        <w:sz w:val="14"/>
                        <w:szCs w:val="14"/>
                      </w:rPr>
                      <w:t>0</w:t>
                    </w:r>
                  </w:p>
                </w:tc>
                <w:tc>
                  <w:tcPr>
                    <w:tcW w:w="449" w:type="pct"/>
                    <w:vAlign w:val="center"/>
                  </w:tcPr>
                  <w:p w:rsidR="00084029" w:rsidRPr="00084029" w:rsidRDefault="00084029" w:rsidP="00084029">
                    <w:pPr>
                      <w:jc w:val="right"/>
                      <w:rPr>
                        <w:sz w:val="14"/>
                        <w:szCs w:val="14"/>
                      </w:rPr>
                    </w:pPr>
                    <w:r w:rsidRPr="00084029">
                      <w:rPr>
                        <w:sz w:val="14"/>
                        <w:szCs w:val="14"/>
                      </w:rPr>
                      <w:t>0</w:t>
                    </w:r>
                  </w:p>
                </w:tc>
                <w:tc>
                  <w:tcPr>
                    <w:tcW w:w="480" w:type="pct"/>
                    <w:vAlign w:val="center"/>
                  </w:tcPr>
                  <w:p w:rsidR="00084029" w:rsidRPr="00084029" w:rsidRDefault="00084029" w:rsidP="00084029">
                    <w:pPr>
                      <w:jc w:val="right"/>
                      <w:rPr>
                        <w:sz w:val="14"/>
                        <w:szCs w:val="14"/>
                      </w:rPr>
                    </w:pPr>
                    <w:r w:rsidRPr="00084029">
                      <w:rPr>
                        <w:sz w:val="14"/>
                        <w:szCs w:val="14"/>
                      </w:rPr>
                      <w:t>0</w:t>
                    </w:r>
                  </w:p>
                </w:tc>
              </w:tr>
              <w:tr w:rsidR="00084029" w:rsidRPr="006F7F58" w:rsidTr="00084029">
                <w:sdt>
                  <w:sdtPr>
                    <w:rPr>
                      <w:sz w:val="14"/>
                      <w:szCs w:val="14"/>
                    </w:rPr>
                    <w:tag w:val="_PLD_2b1df3030d9b41699f4a3e651f6c74e7"/>
                    <w:id w:val="1552500982"/>
                    <w:lock w:val="sdtLocked"/>
                  </w:sdtPr>
                  <w:sdtContent>
                    <w:tc>
                      <w:tcPr>
                        <w:tcW w:w="639" w:type="pct"/>
                      </w:tcPr>
                      <w:p w:rsidR="00084029" w:rsidRPr="006F7F58" w:rsidRDefault="00084029" w:rsidP="00084029">
                        <w:pPr>
                          <w:rPr>
                            <w:sz w:val="14"/>
                            <w:szCs w:val="14"/>
                          </w:rPr>
                        </w:pPr>
                        <w:r w:rsidRPr="006F7F58">
                          <w:rPr>
                            <w:rFonts w:hint="eastAsia"/>
                            <w:sz w:val="14"/>
                            <w:szCs w:val="14"/>
                          </w:rPr>
                          <w:t>2．其他权益工具持有者投入资本</w:t>
                        </w:r>
                      </w:p>
                    </w:tc>
                  </w:sdtContent>
                </w:sdt>
                <w:tc>
                  <w:tcPr>
                    <w:tcW w:w="506" w:type="pct"/>
                    <w:vAlign w:val="center"/>
                  </w:tcPr>
                  <w:p w:rsidR="00084029" w:rsidRPr="00084029" w:rsidRDefault="00084029" w:rsidP="00084029">
                    <w:pPr>
                      <w:jc w:val="right"/>
                      <w:rPr>
                        <w:sz w:val="14"/>
                        <w:szCs w:val="14"/>
                      </w:rPr>
                    </w:pPr>
                    <w:r w:rsidRPr="00084029">
                      <w:rPr>
                        <w:sz w:val="14"/>
                        <w:szCs w:val="14"/>
                      </w:rPr>
                      <w:t>37,882</w:t>
                    </w:r>
                  </w:p>
                </w:tc>
                <w:tc>
                  <w:tcPr>
                    <w:tcW w:w="401" w:type="pct"/>
                    <w:vAlign w:val="center"/>
                  </w:tcPr>
                  <w:p w:rsidR="00084029" w:rsidRPr="00084029" w:rsidRDefault="00084029" w:rsidP="00084029">
                    <w:pPr>
                      <w:jc w:val="right"/>
                      <w:rPr>
                        <w:sz w:val="14"/>
                        <w:szCs w:val="14"/>
                      </w:rPr>
                    </w:pPr>
                    <w:r w:rsidRPr="00084029">
                      <w:rPr>
                        <w:sz w:val="14"/>
                        <w:szCs w:val="14"/>
                      </w:rPr>
                      <w:t>-27,601</w:t>
                    </w:r>
                  </w:p>
                </w:tc>
                <w:tc>
                  <w:tcPr>
                    <w:tcW w:w="424" w:type="pct"/>
                    <w:vAlign w:val="center"/>
                  </w:tcPr>
                  <w:p w:rsidR="00084029" w:rsidRPr="00084029" w:rsidRDefault="00084029" w:rsidP="00084029">
                    <w:pPr>
                      <w:jc w:val="right"/>
                      <w:rPr>
                        <w:sz w:val="14"/>
                        <w:szCs w:val="14"/>
                      </w:rPr>
                    </w:pPr>
                    <w:r w:rsidRPr="00084029">
                      <w:rPr>
                        <w:sz w:val="14"/>
                        <w:szCs w:val="14"/>
                      </w:rPr>
                      <w:t>236,727</w:t>
                    </w:r>
                  </w:p>
                </w:tc>
                <w:tc>
                  <w:tcPr>
                    <w:tcW w:w="549" w:type="pct"/>
                    <w:vAlign w:val="center"/>
                  </w:tcPr>
                  <w:p w:rsidR="00084029" w:rsidRPr="00084029" w:rsidRDefault="00084029" w:rsidP="00084029">
                    <w:pPr>
                      <w:jc w:val="right"/>
                      <w:rPr>
                        <w:sz w:val="14"/>
                        <w:szCs w:val="14"/>
                      </w:rPr>
                    </w:pPr>
                    <w:r w:rsidRPr="00084029">
                      <w:rPr>
                        <w:sz w:val="14"/>
                        <w:szCs w:val="14"/>
                      </w:rPr>
                      <w:t>0</w:t>
                    </w:r>
                  </w:p>
                </w:tc>
                <w:tc>
                  <w:tcPr>
                    <w:tcW w:w="601" w:type="pct"/>
                    <w:vAlign w:val="center"/>
                  </w:tcPr>
                  <w:p w:rsidR="00084029" w:rsidRPr="00084029" w:rsidRDefault="00084029" w:rsidP="00084029">
                    <w:pPr>
                      <w:jc w:val="right"/>
                      <w:rPr>
                        <w:sz w:val="14"/>
                        <w:szCs w:val="14"/>
                      </w:rPr>
                    </w:pPr>
                    <w:r w:rsidRPr="00084029">
                      <w:rPr>
                        <w:sz w:val="14"/>
                        <w:szCs w:val="14"/>
                      </w:rPr>
                      <w:t>0</w:t>
                    </w:r>
                  </w:p>
                </w:tc>
                <w:tc>
                  <w:tcPr>
                    <w:tcW w:w="499" w:type="pct"/>
                    <w:vAlign w:val="center"/>
                  </w:tcPr>
                  <w:p w:rsidR="00084029" w:rsidRPr="00084029" w:rsidRDefault="00084029" w:rsidP="00084029">
                    <w:pPr>
                      <w:jc w:val="right"/>
                      <w:rPr>
                        <w:sz w:val="14"/>
                        <w:szCs w:val="14"/>
                      </w:rPr>
                    </w:pPr>
                    <w:r w:rsidRPr="00084029">
                      <w:rPr>
                        <w:sz w:val="14"/>
                        <w:szCs w:val="14"/>
                      </w:rPr>
                      <w:t>0</w:t>
                    </w:r>
                  </w:p>
                </w:tc>
                <w:tc>
                  <w:tcPr>
                    <w:tcW w:w="452" w:type="pct"/>
                    <w:vAlign w:val="center"/>
                  </w:tcPr>
                  <w:p w:rsidR="00084029" w:rsidRPr="00084029" w:rsidRDefault="00084029" w:rsidP="00084029">
                    <w:pPr>
                      <w:jc w:val="right"/>
                      <w:rPr>
                        <w:sz w:val="14"/>
                        <w:szCs w:val="14"/>
                      </w:rPr>
                    </w:pPr>
                    <w:r w:rsidRPr="00084029">
                      <w:rPr>
                        <w:sz w:val="14"/>
                        <w:szCs w:val="14"/>
                      </w:rPr>
                      <w:t>0</w:t>
                    </w:r>
                  </w:p>
                </w:tc>
                <w:tc>
                  <w:tcPr>
                    <w:tcW w:w="449" w:type="pct"/>
                    <w:vAlign w:val="center"/>
                  </w:tcPr>
                  <w:p w:rsidR="00084029" w:rsidRPr="00084029" w:rsidRDefault="00084029" w:rsidP="00084029">
                    <w:pPr>
                      <w:jc w:val="right"/>
                      <w:rPr>
                        <w:sz w:val="14"/>
                        <w:szCs w:val="14"/>
                      </w:rPr>
                    </w:pPr>
                    <w:r w:rsidRPr="00084029">
                      <w:rPr>
                        <w:sz w:val="14"/>
                        <w:szCs w:val="14"/>
                      </w:rPr>
                      <w:t>0</w:t>
                    </w:r>
                  </w:p>
                </w:tc>
                <w:tc>
                  <w:tcPr>
                    <w:tcW w:w="480" w:type="pct"/>
                    <w:vAlign w:val="center"/>
                  </w:tcPr>
                  <w:p w:rsidR="00084029" w:rsidRPr="00084029" w:rsidRDefault="00084029" w:rsidP="00084029">
                    <w:pPr>
                      <w:jc w:val="right"/>
                      <w:rPr>
                        <w:sz w:val="14"/>
                        <w:szCs w:val="14"/>
                      </w:rPr>
                    </w:pPr>
                    <w:r w:rsidRPr="00084029">
                      <w:rPr>
                        <w:sz w:val="14"/>
                        <w:szCs w:val="14"/>
                      </w:rPr>
                      <w:t>247,008</w:t>
                    </w:r>
                  </w:p>
                </w:tc>
              </w:tr>
              <w:tr w:rsidR="00084029" w:rsidRPr="006F7F58" w:rsidTr="00084029">
                <w:sdt>
                  <w:sdtPr>
                    <w:rPr>
                      <w:sz w:val="14"/>
                      <w:szCs w:val="14"/>
                    </w:rPr>
                    <w:tag w:val="_PLD_bf20c7d29dbe4ecc8acea7b1a1149bd3"/>
                    <w:id w:val="1591730542"/>
                    <w:lock w:val="sdtLocked"/>
                  </w:sdtPr>
                  <w:sdtContent>
                    <w:tc>
                      <w:tcPr>
                        <w:tcW w:w="639" w:type="pct"/>
                      </w:tcPr>
                      <w:p w:rsidR="00084029" w:rsidRPr="006F7F58" w:rsidRDefault="00084029" w:rsidP="00084029">
                        <w:pPr>
                          <w:rPr>
                            <w:sz w:val="14"/>
                            <w:szCs w:val="14"/>
                          </w:rPr>
                        </w:pPr>
                        <w:r w:rsidRPr="006F7F58">
                          <w:rPr>
                            <w:rFonts w:hint="eastAsia"/>
                            <w:sz w:val="14"/>
                            <w:szCs w:val="14"/>
                          </w:rPr>
                          <w:t>3</w:t>
                        </w:r>
                        <w:r w:rsidRPr="006F7F58">
                          <w:rPr>
                            <w:sz w:val="14"/>
                            <w:szCs w:val="14"/>
                          </w:rPr>
                          <w:t>．股份支付计入所有者权益的金额</w:t>
                        </w:r>
                      </w:p>
                    </w:tc>
                  </w:sdtContent>
                </w:sdt>
                <w:tc>
                  <w:tcPr>
                    <w:tcW w:w="506" w:type="pct"/>
                    <w:vAlign w:val="center"/>
                  </w:tcPr>
                  <w:p w:rsidR="00084029" w:rsidRPr="006F7F58" w:rsidRDefault="00084029" w:rsidP="00084029">
                    <w:pPr>
                      <w:jc w:val="right"/>
                      <w:rPr>
                        <w:sz w:val="14"/>
                        <w:szCs w:val="14"/>
                      </w:rPr>
                    </w:pPr>
                    <w:r w:rsidRPr="006F7F58">
                      <w:rPr>
                        <w:sz w:val="14"/>
                        <w:szCs w:val="14"/>
                      </w:rPr>
                      <w:t>0</w:t>
                    </w:r>
                  </w:p>
                </w:tc>
                <w:tc>
                  <w:tcPr>
                    <w:tcW w:w="401" w:type="pct"/>
                    <w:vAlign w:val="center"/>
                  </w:tcPr>
                  <w:p w:rsidR="00084029" w:rsidRPr="006F7F58" w:rsidRDefault="00084029" w:rsidP="00084029">
                    <w:pPr>
                      <w:jc w:val="right"/>
                      <w:rPr>
                        <w:sz w:val="14"/>
                        <w:szCs w:val="14"/>
                      </w:rPr>
                    </w:pPr>
                    <w:r w:rsidRPr="006F7F58">
                      <w:rPr>
                        <w:sz w:val="14"/>
                        <w:szCs w:val="14"/>
                      </w:rPr>
                      <w:t>0</w:t>
                    </w:r>
                  </w:p>
                </w:tc>
                <w:tc>
                  <w:tcPr>
                    <w:tcW w:w="424" w:type="pct"/>
                    <w:vAlign w:val="center"/>
                  </w:tcPr>
                  <w:p w:rsidR="00084029" w:rsidRPr="006F7F58" w:rsidRDefault="00084029" w:rsidP="00084029">
                    <w:pPr>
                      <w:jc w:val="right"/>
                      <w:rPr>
                        <w:sz w:val="14"/>
                        <w:szCs w:val="14"/>
                      </w:rPr>
                    </w:pPr>
                    <w:r w:rsidRPr="006F7F58">
                      <w:rPr>
                        <w:sz w:val="14"/>
                        <w:szCs w:val="14"/>
                      </w:rPr>
                      <w:t>0</w:t>
                    </w:r>
                  </w:p>
                </w:tc>
                <w:tc>
                  <w:tcPr>
                    <w:tcW w:w="549" w:type="pct"/>
                    <w:vAlign w:val="center"/>
                  </w:tcPr>
                  <w:p w:rsidR="00084029" w:rsidRPr="006F7F58" w:rsidRDefault="00084029" w:rsidP="00084029">
                    <w:pPr>
                      <w:jc w:val="right"/>
                      <w:rPr>
                        <w:sz w:val="14"/>
                        <w:szCs w:val="14"/>
                      </w:rPr>
                    </w:pPr>
                    <w:r w:rsidRPr="006F7F58">
                      <w:rPr>
                        <w:sz w:val="14"/>
                        <w:szCs w:val="14"/>
                      </w:rPr>
                      <w:t>0</w:t>
                    </w:r>
                  </w:p>
                </w:tc>
                <w:tc>
                  <w:tcPr>
                    <w:tcW w:w="601" w:type="pct"/>
                    <w:vAlign w:val="center"/>
                  </w:tcPr>
                  <w:p w:rsidR="00084029" w:rsidRPr="006F7F58" w:rsidRDefault="00084029" w:rsidP="00084029">
                    <w:pPr>
                      <w:jc w:val="right"/>
                      <w:rPr>
                        <w:sz w:val="14"/>
                        <w:szCs w:val="14"/>
                      </w:rPr>
                    </w:pPr>
                    <w:r w:rsidRPr="006F7F58">
                      <w:rPr>
                        <w:sz w:val="14"/>
                        <w:szCs w:val="14"/>
                      </w:rPr>
                      <w:t>0</w:t>
                    </w:r>
                  </w:p>
                </w:tc>
                <w:tc>
                  <w:tcPr>
                    <w:tcW w:w="499" w:type="pct"/>
                    <w:vAlign w:val="center"/>
                  </w:tcPr>
                  <w:p w:rsidR="00084029" w:rsidRPr="006F7F58" w:rsidRDefault="00084029" w:rsidP="00084029">
                    <w:pPr>
                      <w:jc w:val="right"/>
                      <w:rPr>
                        <w:sz w:val="14"/>
                        <w:szCs w:val="14"/>
                      </w:rPr>
                    </w:pPr>
                    <w:r w:rsidRPr="006F7F58">
                      <w:rPr>
                        <w:sz w:val="14"/>
                        <w:szCs w:val="14"/>
                      </w:rPr>
                      <w:t>0</w:t>
                    </w:r>
                  </w:p>
                </w:tc>
                <w:tc>
                  <w:tcPr>
                    <w:tcW w:w="452" w:type="pct"/>
                    <w:vAlign w:val="center"/>
                  </w:tcPr>
                  <w:p w:rsidR="00084029" w:rsidRPr="006F7F58" w:rsidRDefault="00084029" w:rsidP="00084029">
                    <w:pPr>
                      <w:jc w:val="right"/>
                      <w:rPr>
                        <w:sz w:val="14"/>
                        <w:szCs w:val="14"/>
                      </w:rPr>
                    </w:pPr>
                    <w:r w:rsidRPr="006F7F58">
                      <w:rPr>
                        <w:sz w:val="14"/>
                        <w:szCs w:val="14"/>
                      </w:rPr>
                      <w:t>0</w:t>
                    </w:r>
                  </w:p>
                </w:tc>
                <w:tc>
                  <w:tcPr>
                    <w:tcW w:w="449" w:type="pct"/>
                    <w:vAlign w:val="center"/>
                  </w:tcPr>
                  <w:p w:rsidR="00084029" w:rsidRPr="006F7F58" w:rsidRDefault="00084029" w:rsidP="00084029">
                    <w:pPr>
                      <w:jc w:val="right"/>
                      <w:rPr>
                        <w:sz w:val="14"/>
                        <w:szCs w:val="14"/>
                      </w:rPr>
                    </w:pPr>
                    <w:r w:rsidRPr="006F7F58">
                      <w:rPr>
                        <w:sz w:val="14"/>
                        <w:szCs w:val="14"/>
                      </w:rPr>
                      <w:t>0</w:t>
                    </w:r>
                  </w:p>
                </w:tc>
                <w:tc>
                  <w:tcPr>
                    <w:tcW w:w="480" w:type="pct"/>
                    <w:vAlign w:val="center"/>
                  </w:tcPr>
                  <w:p w:rsidR="00084029" w:rsidRPr="006F7F58" w:rsidRDefault="00084029" w:rsidP="00084029">
                    <w:pPr>
                      <w:jc w:val="right"/>
                      <w:rPr>
                        <w:sz w:val="14"/>
                        <w:szCs w:val="14"/>
                      </w:rPr>
                    </w:pPr>
                    <w:r w:rsidRPr="006F7F58">
                      <w:rPr>
                        <w:sz w:val="14"/>
                        <w:szCs w:val="14"/>
                      </w:rPr>
                      <w:t>0</w:t>
                    </w:r>
                  </w:p>
                </w:tc>
              </w:tr>
              <w:tr w:rsidR="00084029" w:rsidRPr="006F7F58" w:rsidTr="00084029">
                <w:sdt>
                  <w:sdtPr>
                    <w:rPr>
                      <w:sz w:val="14"/>
                      <w:szCs w:val="14"/>
                    </w:rPr>
                    <w:tag w:val="_PLD_d3ce563048a9409f9366506e205c4124"/>
                    <w:id w:val="-1243568742"/>
                    <w:lock w:val="sdtLocked"/>
                  </w:sdtPr>
                  <w:sdtContent>
                    <w:tc>
                      <w:tcPr>
                        <w:tcW w:w="639" w:type="pct"/>
                      </w:tcPr>
                      <w:p w:rsidR="00084029" w:rsidRPr="006F7F58" w:rsidRDefault="00084029" w:rsidP="00084029">
                        <w:pPr>
                          <w:rPr>
                            <w:sz w:val="14"/>
                            <w:szCs w:val="14"/>
                          </w:rPr>
                        </w:pPr>
                        <w:r w:rsidRPr="006F7F58">
                          <w:rPr>
                            <w:rFonts w:hint="eastAsia"/>
                            <w:sz w:val="14"/>
                            <w:szCs w:val="14"/>
                          </w:rPr>
                          <w:t>4</w:t>
                        </w:r>
                        <w:r w:rsidRPr="006F7F58">
                          <w:rPr>
                            <w:sz w:val="14"/>
                            <w:szCs w:val="14"/>
                          </w:rPr>
                          <w:t>．其他</w:t>
                        </w:r>
                      </w:p>
                    </w:tc>
                  </w:sdtContent>
                </w:sdt>
                <w:tc>
                  <w:tcPr>
                    <w:tcW w:w="506" w:type="pct"/>
                    <w:vAlign w:val="center"/>
                  </w:tcPr>
                  <w:p w:rsidR="00084029" w:rsidRPr="006F7F58" w:rsidRDefault="00084029" w:rsidP="00084029">
                    <w:pPr>
                      <w:jc w:val="right"/>
                      <w:rPr>
                        <w:sz w:val="14"/>
                        <w:szCs w:val="14"/>
                      </w:rPr>
                    </w:pPr>
                    <w:r w:rsidRPr="006F7F58">
                      <w:rPr>
                        <w:sz w:val="14"/>
                        <w:szCs w:val="14"/>
                      </w:rPr>
                      <w:t>0</w:t>
                    </w:r>
                  </w:p>
                </w:tc>
                <w:tc>
                  <w:tcPr>
                    <w:tcW w:w="401" w:type="pct"/>
                    <w:vAlign w:val="center"/>
                  </w:tcPr>
                  <w:p w:rsidR="00084029" w:rsidRPr="006F7F58" w:rsidRDefault="00084029" w:rsidP="00084029">
                    <w:pPr>
                      <w:jc w:val="right"/>
                      <w:rPr>
                        <w:sz w:val="14"/>
                        <w:szCs w:val="14"/>
                      </w:rPr>
                    </w:pPr>
                    <w:r w:rsidRPr="006F7F58">
                      <w:rPr>
                        <w:sz w:val="14"/>
                        <w:szCs w:val="14"/>
                      </w:rPr>
                      <w:t>0</w:t>
                    </w:r>
                  </w:p>
                </w:tc>
                <w:tc>
                  <w:tcPr>
                    <w:tcW w:w="424" w:type="pct"/>
                    <w:vAlign w:val="center"/>
                  </w:tcPr>
                  <w:p w:rsidR="00084029" w:rsidRPr="006F7F58" w:rsidRDefault="00084029" w:rsidP="00084029">
                    <w:pPr>
                      <w:jc w:val="right"/>
                      <w:rPr>
                        <w:sz w:val="14"/>
                        <w:szCs w:val="14"/>
                      </w:rPr>
                    </w:pPr>
                    <w:r w:rsidRPr="006F7F58">
                      <w:rPr>
                        <w:sz w:val="14"/>
                        <w:szCs w:val="14"/>
                      </w:rPr>
                      <w:t>0</w:t>
                    </w:r>
                  </w:p>
                </w:tc>
                <w:tc>
                  <w:tcPr>
                    <w:tcW w:w="549" w:type="pct"/>
                    <w:vAlign w:val="center"/>
                  </w:tcPr>
                  <w:p w:rsidR="00084029" w:rsidRPr="006F7F58" w:rsidRDefault="00084029" w:rsidP="00084029">
                    <w:pPr>
                      <w:jc w:val="right"/>
                      <w:rPr>
                        <w:sz w:val="14"/>
                        <w:szCs w:val="14"/>
                      </w:rPr>
                    </w:pPr>
                    <w:r w:rsidRPr="006F7F58">
                      <w:rPr>
                        <w:sz w:val="14"/>
                        <w:szCs w:val="14"/>
                      </w:rPr>
                      <w:t>0</w:t>
                    </w:r>
                  </w:p>
                </w:tc>
                <w:tc>
                  <w:tcPr>
                    <w:tcW w:w="601" w:type="pct"/>
                    <w:vAlign w:val="center"/>
                  </w:tcPr>
                  <w:p w:rsidR="00084029" w:rsidRPr="006F7F58" w:rsidRDefault="00084029" w:rsidP="00084029">
                    <w:pPr>
                      <w:jc w:val="right"/>
                      <w:rPr>
                        <w:sz w:val="14"/>
                        <w:szCs w:val="14"/>
                      </w:rPr>
                    </w:pPr>
                    <w:r w:rsidRPr="006F7F58">
                      <w:rPr>
                        <w:sz w:val="14"/>
                        <w:szCs w:val="14"/>
                      </w:rPr>
                      <w:t>0</w:t>
                    </w:r>
                  </w:p>
                </w:tc>
                <w:tc>
                  <w:tcPr>
                    <w:tcW w:w="499" w:type="pct"/>
                    <w:vAlign w:val="center"/>
                  </w:tcPr>
                  <w:p w:rsidR="00084029" w:rsidRPr="006F7F58" w:rsidRDefault="00084029" w:rsidP="00084029">
                    <w:pPr>
                      <w:jc w:val="right"/>
                      <w:rPr>
                        <w:sz w:val="14"/>
                        <w:szCs w:val="14"/>
                      </w:rPr>
                    </w:pPr>
                    <w:r w:rsidRPr="006F7F58">
                      <w:rPr>
                        <w:sz w:val="14"/>
                        <w:szCs w:val="14"/>
                      </w:rPr>
                      <w:t>0</w:t>
                    </w:r>
                  </w:p>
                </w:tc>
                <w:tc>
                  <w:tcPr>
                    <w:tcW w:w="452" w:type="pct"/>
                    <w:vAlign w:val="center"/>
                  </w:tcPr>
                  <w:p w:rsidR="00084029" w:rsidRPr="006F7F58" w:rsidRDefault="00084029" w:rsidP="00084029">
                    <w:pPr>
                      <w:jc w:val="right"/>
                      <w:rPr>
                        <w:sz w:val="14"/>
                        <w:szCs w:val="14"/>
                      </w:rPr>
                    </w:pPr>
                    <w:r w:rsidRPr="006F7F58">
                      <w:rPr>
                        <w:sz w:val="14"/>
                        <w:szCs w:val="14"/>
                      </w:rPr>
                      <w:t>0</w:t>
                    </w:r>
                  </w:p>
                </w:tc>
                <w:tc>
                  <w:tcPr>
                    <w:tcW w:w="449" w:type="pct"/>
                    <w:vAlign w:val="center"/>
                  </w:tcPr>
                  <w:p w:rsidR="00084029" w:rsidRPr="006F7F58" w:rsidRDefault="00084029" w:rsidP="00084029">
                    <w:pPr>
                      <w:jc w:val="right"/>
                      <w:rPr>
                        <w:sz w:val="14"/>
                        <w:szCs w:val="14"/>
                      </w:rPr>
                    </w:pPr>
                    <w:r w:rsidRPr="006F7F58">
                      <w:rPr>
                        <w:sz w:val="14"/>
                        <w:szCs w:val="14"/>
                      </w:rPr>
                      <w:t>0</w:t>
                    </w:r>
                  </w:p>
                </w:tc>
                <w:tc>
                  <w:tcPr>
                    <w:tcW w:w="480" w:type="pct"/>
                    <w:vAlign w:val="center"/>
                  </w:tcPr>
                  <w:p w:rsidR="00084029" w:rsidRPr="006F7F58" w:rsidRDefault="00084029" w:rsidP="00084029">
                    <w:pPr>
                      <w:jc w:val="right"/>
                      <w:rPr>
                        <w:sz w:val="14"/>
                        <w:szCs w:val="14"/>
                      </w:rPr>
                    </w:pPr>
                    <w:r w:rsidRPr="006F7F58">
                      <w:rPr>
                        <w:sz w:val="14"/>
                        <w:szCs w:val="14"/>
                      </w:rPr>
                      <w:t>0</w:t>
                    </w:r>
                  </w:p>
                </w:tc>
              </w:tr>
              <w:tr w:rsidR="00084029" w:rsidRPr="006F7F58" w:rsidTr="00084029">
                <w:sdt>
                  <w:sdtPr>
                    <w:rPr>
                      <w:sz w:val="14"/>
                      <w:szCs w:val="14"/>
                    </w:rPr>
                    <w:tag w:val="_PLD_e5ace973797c4072b589e43841b34142"/>
                    <w:id w:val="1681013805"/>
                    <w:lock w:val="sdtLocked"/>
                  </w:sdtPr>
                  <w:sdtContent>
                    <w:tc>
                      <w:tcPr>
                        <w:tcW w:w="639" w:type="pct"/>
                      </w:tcPr>
                      <w:p w:rsidR="00084029" w:rsidRPr="006F7F58" w:rsidRDefault="00084029" w:rsidP="00084029">
                        <w:pPr>
                          <w:rPr>
                            <w:sz w:val="14"/>
                            <w:szCs w:val="14"/>
                          </w:rPr>
                        </w:pPr>
                        <w:r w:rsidRPr="006F7F58">
                          <w:rPr>
                            <w:sz w:val="14"/>
                            <w:szCs w:val="14"/>
                          </w:rPr>
                          <w:t>（</w:t>
                        </w:r>
                        <w:r w:rsidRPr="006F7F58">
                          <w:rPr>
                            <w:rFonts w:hint="eastAsia"/>
                            <w:sz w:val="14"/>
                            <w:szCs w:val="14"/>
                          </w:rPr>
                          <w:t>三</w:t>
                        </w:r>
                        <w:r w:rsidRPr="006F7F58">
                          <w:rPr>
                            <w:sz w:val="14"/>
                            <w:szCs w:val="14"/>
                          </w:rPr>
                          <w:t>）利润分配</w:t>
                        </w:r>
                      </w:p>
                    </w:tc>
                  </w:sdtContent>
                </w:sdt>
                <w:tc>
                  <w:tcPr>
                    <w:tcW w:w="506" w:type="pct"/>
                    <w:vAlign w:val="center"/>
                  </w:tcPr>
                  <w:p w:rsidR="00084029" w:rsidRPr="006F7F58" w:rsidRDefault="00084029" w:rsidP="00084029">
                    <w:pPr>
                      <w:jc w:val="right"/>
                      <w:rPr>
                        <w:sz w:val="14"/>
                        <w:szCs w:val="14"/>
                      </w:rPr>
                    </w:pPr>
                    <w:r w:rsidRPr="006F7F58">
                      <w:rPr>
                        <w:sz w:val="14"/>
                        <w:szCs w:val="14"/>
                      </w:rPr>
                      <w:t>0</w:t>
                    </w:r>
                  </w:p>
                </w:tc>
                <w:tc>
                  <w:tcPr>
                    <w:tcW w:w="401" w:type="pct"/>
                    <w:vAlign w:val="center"/>
                  </w:tcPr>
                  <w:p w:rsidR="00084029" w:rsidRPr="006F7F58" w:rsidRDefault="00084029" w:rsidP="00084029">
                    <w:pPr>
                      <w:jc w:val="right"/>
                      <w:rPr>
                        <w:sz w:val="14"/>
                        <w:szCs w:val="14"/>
                      </w:rPr>
                    </w:pPr>
                    <w:r w:rsidRPr="006F7F58">
                      <w:rPr>
                        <w:sz w:val="14"/>
                        <w:szCs w:val="14"/>
                      </w:rPr>
                      <w:t>0</w:t>
                    </w:r>
                  </w:p>
                </w:tc>
                <w:tc>
                  <w:tcPr>
                    <w:tcW w:w="424" w:type="pct"/>
                    <w:vAlign w:val="center"/>
                  </w:tcPr>
                  <w:p w:rsidR="00084029" w:rsidRPr="006F7F58" w:rsidRDefault="00084029" w:rsidP="00084029">
                    <w:pPr>
                      <w:jc w:val="right"/>
                      <w:rPr>
                        <w:sz w:val="14"/>
                        <w:szCs w:val="14"/>
                      </w:rPr>
                    </w:pPr>
                    <w:r w:rsidRPr="006F7F58">
                      <w:rPr>
                        <w:sz w:val="14"/>
                        <w:szCs w:val="14"/>
                      </w:rPr>
                      <w:t>0</w:t>
                    </w:r>
                  </w:p>
                </w:tc>
                <w:tc>
                  <w:tcPr>
                    <w:tcW w:w="549" w:type="pct"/>
                    <w:vAlign w:val="center"/>
                  </w:tcPr>
                  <w:p w:rsidR="00084029" w:rsidRPr="006F7F58" w:rsidRDefault="00084029" w:rsidP="00084029">
                    <w:pPr>
                      <w:jc w:val="right"/>
                      <w:rPr>
                        <w:sz w:val="14"/>
                        <w:szCs w:val="14"/>
                      </w:rPr>
                    </w:pPr>
                    <w:r w:rsidRPr="006F7F58">
                      <w:rPr>
                        <w:sz w:val="14"/>
                        <w:szCs w:val="14"/>
                      </w:rPr>
                      <w:t>0</w:t>
                    </w:r>
                  </w:p>
                </w:tc>
                <w:tc>
                  <w:tcPr>
                    <w:tcW w:w="601" w:type="pct"/>
                    <w:vAlign w:val="center"/>
                  </w:tcPr>
                  <w:p w:rsidR="00084029" w:rsidRPr="006F7F58" w:rsidRDefault="00084029" w:rsidP="00084029">
                    <w:pPr>
                      <w:jc w:val="right"/>
                      <w:rPr>
                        <w:sz w:val="14"/>
                        <w:szCs w:val="14"/>
                      </w:rPr>
                    </w:pPr>
                    <w:r w:rsidRPr="006F7F58">
                      <w:rPr>
                        <w:sz w:val="14"/>
                        <w:szCs w:val="14"/>
                      </w:rPr>
                      <w:t>0</w:t>
                    </w:r>
                  </w:p>
                </w:tc>
                <w:tc>
                  <w:tcPr>
                    <w:tcW w:w="499" w:type="pct"/>
                    <w:vAlign w:val="center"/>
                  </w:tcPr>
                  <w:p w:rsidR="00084029" w:rsidRPr="006F7F58" w:rsidRDefault="00084029" w:rsidP="00084029">
                    <w:pPr>
                      <w:jc w:val="right"/>
                      <w:rPr>
                        <w:sz w:val="14"/>
                        <w:szCs w:val="14"/>
                      </w:rPr>
                    </w:pPr>
                    <w:r w:rsidRPr="006F7F58">
                      <w:rPr>
                        <w:sz w:val="14"/>
                        <w:szCs w:val="14"/>
                      </w:rPr>
                      <w:t>1,090,644,564</w:t>
                    </w:r>
                  </w:p>
                </w:tc>
                <w:tc>
                  <w:tcPr>
                    <w:tcW w:w="452" w:type="pct"/>
                    <w:vAlign w:val="center"/>
                  </w:tcPr>
                  <w:p w:rsidR="00084029" w:rsidRPr="006F7F58" w:rsidRDefault="00084029" w:rsidP="00084029">
                    <w:pPr>
                      <w:jc w:val="right"/>
                      <w:rPr>
                        <w:sz w:val="14"/>
                        <w:szCs w:val="14"/>
                      </w:rPr>
                    </w:pPr>
                    <w:r w:rsidRPr="006F7F58">
                      <w:rPr>
                        <w:sz w:val="14"/>
                        <w:szCs w:val="14"/>
                      </w:rPr>
                      <w:t>-8,226,769,435</w:t>
                    </w:r>
                  </w:p>
                </w:tc>
                <w:tc>
                  <w:tcPr>
                    <w:tcW w:w="449" w:type="pct"/>
                    <w:vAlign w:val="center"/>
                  </w:tcPr>
                  <w:p w:rsidR="00084029" w:rsidRPr="006F7F58" w:rsidRDefault="00084029" w:rsidP="00084029">
                    <w:pPr>
                      <w:jc w:val="right"/>
                      <w:rPr>
                        <w:sz w:val="14"/>
                        <w:szCs w:val="14"/>
                      </w:rPr>
                    </w:pPr>
                    <w:r w:rsidRPr="006F7F58">
                      <w:rPr>
                        <w:sz w:val="14"/>
                        <w:szCs w:val="14"/>
                      </w:rPr>
                      <w:t>-723,036,170</w:t>
                    </w:r>
                  </w:p>
                </w:tc>
                <w:tc>
                  <w:tcPr>
                    <w:tcW w:w="480" w:type="pct"/>
                    <w:vAlign w:val="center"/>
                  </w:tcPr>
                  <w:p w:rsidR="00084029" w:rsidRPr="006F7F58" w:rsidRDefault="00084029" w:rsidP="00084029">
                    <w:pPr>
                      <w:jc w:val="right"/>
                      <w:rPr>
                        <w:sz w:val="14"/>
                        <w:szCs w:val="14"/>
                      </w:rPr>
                    </w:pPr>
                    <w:r w:rsidRPr="006F7F58">
                      <w:rPr>
                        <w:sz w:val="14"/>
                        <w:szCs w:val="14"/>
                      </w:rPr>
                      <w:t>-7,859,161,041</w:t>
                    </w:r>
                  </w:p>
                </w:tc>
              </w:tr>
              <w:tr w:rsidR="00084029" w:rsidRPr="006F7F58" w:rsidTr="00084029">
                <w:sdt>
                  <w:sdtPr>
                    <w:rPr>
                      <w:sz w:val="14"/>
                      <w:szCs w:val="14"/>
                    </w:rPr>
                    <w:tag w:val="_PLD_56984731c08d48a08692b6a589fbe555"/>
                    <w:id w:val="-740868235"/>
                    <w:lock w:val="sdtLocked"/>
                  </w:sdtPr>
                  <w:sdtContent>
                    <w:tc>
                      <w:tcPr>
                        <w:tcW w:w="639" w:type="pct"/>
                      </w:tcPr>
                      <w:p w:rsidR="00084029" w:rsidRPr="006F7F58" w:rsidRDefault="00084029" w:rsidP="00084029">
                        <w:pPr>
                          <w:rPr>
                            <w:sz w:val="14"/>
                            <w:szCs w:val="14"/>
                          </w:rPr>
                        </w:pPr>
                        <w:r w:rsidRPr="006F7F58">
                          <w:rPr>
                            <w:sz w:val="14"/>
                            <w:szCs w:val="14"/>
                          </w:rPr>
                          <w:t>1．提取盈余公积</w:t>
                        </w:r>
                      </w:p>
                    </w:tc>
                  </w:sdtContent>
                </w:sdt>
                <w:tc>
                  <w:tcPr>
                    <w:tcW w:w="506" w:type="pct"/>
                    <w:vAlign w:val="center"/>
                  </w:tcPr>
                  <w:p w:rsidR="00084029" w:rsidRPr="006F7F58" w:rsidRDefault="00084029" w:rsidP="00084029">
                    <w:pPr>
                      <w:jc w:val="right"/>
                      <w:rPr>
                        <w:sz w:val="14"/>
                        <w:szCs w:val="14"/>
                      </w:rPr>
                    </w:pPr>
                    <w:r w:rsidRPr="006F7F58">
                      <w:rPr>
                        <w:sz w:val="14"/>
                        <w:szCs w:val="14"/>
                      </w:rPr>
                      <w:t>0</w:t>
                    </w:r>
                  </w:p>
                </w:tc>
                <w:tc>
                  <w:tcPr>
                    <w:tcW w:w="401" w:type="pct"/>
                    <w:vAlign w:val="center"/>
                  </w:tcPr>
                  <w:p w:rsidR="00084029" w:rsidRPr="006F7F58" w:rsidRDefault="00084029" w:rsidP="00084029">
                    <w:pPr>
                      <w:jc w:val="right"/>
                      <w:rPr>
                        <w:sz w:val="14"/>
                        <w:szCs w:val="14"/>
                      </w:rPr>
                    </w:pPr>
                    <w:r w:rsidRPr="006F7F58">
                      <w:rPr>
                        <w:sz w:val="14"/>
                        <w:szCs w:val="14"/>
                      </w:rPr>
                      <w:t>0</w:t>
                    </w:r>
                  </w:p>
                </w:tc>
                <w:tc>
                  <w:tcPr>
                    <w:tcW w:w="424" w:type="pct"/>
                    <w:vAlign w:val="center"/>
                  </w:tcPr>
                  <w:p w:rsidR="00084029" w:rsidRPr="006F7F58" w:rsidRDefault="00084029" w:rsidP="00084029">
                    <w:pPr>
                      <w:jc w:val="right"/>
                      <w:rPr>
                        <w:sz w:val="14"/>
                        <w:szCs w:val="14"/>
                      </w:rPr>
                    </w:pPr>
                    <w:r w:rsidRPr="006F7F58">
                      <w:rPr>
                        <w:sz w:val="14"/>
                        <w:szCs w:val="14"/>
                      </w:rPr>
                      <w:t>0</w:t>
                    </w:r>
                  </w:p>
                </w:tc>
                <w:tc>
                  <w:tcPr>
                    <w:tcW w:w="549" w:type="pct"/>
                    <w:vAlign w:val="center"/>
                  </w:tcPr>
                  <w:p w:rsidR="00084029" w:rsidRPr="006F7F58" w:rsidRDefault="00084029" w:rsidP="00084029">
                    <w:pPr>
                      <w:jc w:val="right"/>
                      <w:rPr>
                        <w:sz w:val="14"/>
                        <w:szCs w:val="14"/>
                      </w:rPr>
                    </w:pPr>
                    <w:r w:rsidRPr="006F7F58">
                      <w:rPr>
                        <w:sz w:val="14"/>
                        <w:szCs w:val="14"/>
                      </w:rPr>
                      <w:t>0</w:t>
                    </w:r>
                  </w:p>
                </w:tc>
                <w:tc>
                  <w:tcPr>
                    <w:tcW w:w="601" w:type="pct"/>
                    <w:vAlign w:val="center"/>
                  </w:tcPr>
                  <w:p w:rsidR="00084029" w:rsidRPr="006F7F58" w:rsidRDefault="00084029" w:rsidP="00084029">
                    <w:pPr>
                      <w:jc w:val="right"/>
                      <w:rPr>
                        <w:sz w:val="14"/>
                        <w:szCs w:val="14"/>
                      </w:rPr>
                    </w:pPr>
                    <w:r w:rsidRPr="006F7F58">
                      <w:rPr>
                        <w:sz w:val="14"/>
                        <w:szCs w:val="14"/>
                      </w:rPr>
                      <w:t>0</w:t>
                    </w:r>
                  </w:p>
                </w:tc>
                <w:tc>
                  <w:tcPr>
                    <w:tcW w:w="499" w:type="pct"/>
                    <w:vAlign w:val="center"/>
                  </w:tcPr>
                  <w:p w:rsidR="00084029" w:rsidRPr="006F7F58" w:rsidRDefault="00084029" w:rsidP="00084029">
                    <w:pPr>
                      <w:jc w:val="right"/>
                      <w:rPr>
                        <w:sz w:val="14"/>
                        <w:szCs w:val="14"/>
                      </w:rPr>
                    </w:pPr>
                    <w:r w:rsidRPr="006F7F58">
                      <w:rPr>
                        <w:sz w:val="14"/>
                        <w:szCs w:val="14"/>
                      </w:rPr>
                      <w:t>1,090,644,564</w:t>
                    </w:r>
                  </w:p>
                </w:tc>
                <w:tc>
                  <w:tcPr>
                    <w:tcW w:w="452" w:type="pct"/>
                    <w:vAlign w:val="center"/>
                  </w:tcPr>
                  <w:p w:rsidR="00084029" w:rsidRPr="006F7F58" w:rsidRDefault="00084029" w:rsidP="00084029">
                    <w:pPr>
                      <w:jc w:val="right"/>
                      <w:rPr>
                        <w:sz w:val="14"/>
                        <w:szCs w:val="14"/>
                      </w:rPr>
                    </w:pPr>
                    <w:r w:rsidRPr="006F7F58">
                      <w:rPr>
                        <w:sz w:val="14"/>
                        <w:szCs w:val="14"/>
                      </w:rPr>
                      <w:t>-1,090,644,564</w:t>
                    </w:r>
                  </w:p>
                </w:tc>
                <w:tc>
                  <w:tcPr>
                    <w:tcW w:w="449" w:type="pct"/>
                    <w:vAlign w:val="center"/>
                  </w:tcPr>
                  <w:p w:rsidR="00084029" w:rsidRPr="006F7F58" w:rsidRDefault="00084029" w:rsidP="00084029">
                    <w:pPr>
                      <w:jc w:val="right"/>
                      <w:rPr>
                        <w:sz w:val="14"/>
                        <w:szCs w:val="14"/>
                      </w:rPr>
                    </w:pPr>
                    <w:r w:rsidRPr="006F7F58">
                      <w:rPr>
                        <w:sz w:val="14"/>
                        <w:szCs w:val="14"/>
                      </w:rPr>
                      <w:t>0</w:t>
                    </w:r>
                  </w:p>
                </w:tc>
                <w:tc>
                  <w:tcPr>
                    <w:tcW w:w="480" w:type="pct"/>
                    <w:vAlign w:val="center"/>
                  </w:tcPr>
                  <w:p w:rsidR="00084029" w:rsidRPr="006F7F58" w:rsidRDefault="00084029" w:rsidP="00084029">
                    <w:pPr>
                      <w:jc w:val="right"/>
                      <w:rPr>
                        <w:sz w:val="14"/>
                        <w:szCs w:val="14"/>
                      </w:rPr>
                    </w:pPr>
                    <w:r w:rsidRPr="006F7F58">
                      <w:rPr>
                        <w:sz w:val="14"/>
                        <w:szCs w:val="14"/>
                      </w:rPr>
                      <w:t>0</w:t>
                    </w:r>
                  </w:p>
                </w:tc>
              </w:tr>
              <w:tr w:rsidR="00084029" w:rsidRPr="006F7F58" w:rsidTr="00084029">
                <w:sdt>
                  <w:sdtPr>
                    <w:rPr>
                      <w:sz w:val="14"/>
                      <w:szCs w:val="14"/>
                    </w:rPr>
                    <w:tag w:val="_PLD_d30e7cefb4de4113b5c1abddf8a241d4"/>
                    <w:id w:val="-789512275"/>
                    <w:lock w:val="sdtLocked"/>
                  </w:sdtPr>
                  <w:sdtContent>
                    <w:tc>
                      <w:tcPr>
                        <w:tcW w:w="639" w:type="pct"/>
                      </w:tcPr>
                      <w:p w:rsidR="00084029" w:rsidRPr="006F7F58" w:rsidRDefault="00084029" w:rsidP="00084029">
                        <w:pPr>
                          <w:rPr>
                            <w:sz w:val="14"/>
                            <w:szCs w:val="14"/>
                          </w:rPr>
                        </w:pPr>
                        <w:r w:rsidRPr="006F7F58">
                          <w:rPr>
                            <w:sz w:val="14"/>
                            <w:szCs w:val="14"/>
                          </w:rPr>
                          <w:t>2．提取一般风险准备</w:t>
                        </w:r>
                      </w:p>
                    </w:tc>
                  </w:sdtContent>
                </w:sdt>
                <w:tc>
                  <w:tcPr>
                    <w:tcW w:w="506" w:type="pct"/>
                    <w:vAlign w:val="center"/>
                  </w:tcPr>
                  <w:p w:rsidR="00084029" w:rsidRPr="006F7F58" w:rsidRDefault="00084029" w:rsidP="00084029">
                    <w:pPr>
                      <w:jc w:val="right"/>
                      <w:rPr>
                        <w:sz w:val="14"/>
                        <w:szCs w:val="14"/>
                      </w:rPr>
                    </w:pPr>
                    <w:r w:rsidRPr="006F7F58">
                      <w:rPr>
                        <w:sz w:val="14"/>
                        <w:szCs w:val="14"/>
                      </w:rPr>
                      <w:t>0</w:t>
                    </w:r>
                  </w:p>
                </w:tc>
                <w:tc>
                  <w:tcPr>
                    <w:tcW w:w="401" w:type="pct"/>
                    <w:vAlign w:val="center"/>
                  </w:tcPr>
                  <w:p w:rsidR="00084029" w:rsidRPr="006F7F58" w:rsidRDefault="00084029" w:rsidP="00084029">
                    <w:pPr>
                      <w:jc w:val="right"/>
                      <w:rPr>
                        <w:sz w:val="14"/>
                        <w:szCs w:val="14"/>
                      </w:rPr>
                    </w:pPr>
                    <w:r w:rsidRPr="006F7F58">
                      <w:rPr>
                        <w:sz w:val="14"/>
                        <w:szCs w:val="14"/>
                      </w:rPr>
                      <w:t>0</w:t>
                    </w:r>
                  </w:p>
                </w:tc>
                <w:tc>
                  <w:tcPr>
                    <w:tcW w:w="424" w:type="pct"/>
                    <w:vAlign w:val="center"/>
                  </w:tcPr>
                  <w:p w:rsidR="00084029" w:rsidRPr="006F7F58" w:rsidRDefault="00084029" w:rsidP="00084029">
                    <w:pPr>
                      <w:jc w:val="right"/>
                      <w:rPr>
                        <w:sz w:val="14"/>
                        <w:szCs w:val="14"/>
                      </w:rPr>
                    </w:pPr>
                    <w:r w:rsidRPr="006F7F58">
                      <w:rPr>
                        <w:sz w:val="14"/>
                        <w:szCs w:val="14"/>
                      </w:rPr>
                      <w:t>0</w:t>
                    </w:r>
                  </w:p>
                </w:tc>
                <w:tc>
                  <w:tcPr>
                    <w:tcW w:w="549" w:type="pct"/>
                    <w:vAlign w:val="center"/>
                  </w:tcPr>
                  <w:p w:rsidR="00084029" w:rsidRPr="006F7F58" w:rsidRDefault="00084029" w:rsidP="00084029">
                    <w:pPr>
                      <w:jc w:val="right"/>
                      <w:rPr>
                        <w:sz w:val="14"/>
                        <w:szCs w:val="14"/>
                      </w:rPr>
                    </w:pPr>
                    <w:r w:rsidRPr="006F7F58">
                      <w:rPr>
                        <w:sz w:val="14"/>
                        <w:szCs w:val="14"/>
                      </w:rPr>
                      <w:t>0</w:t>
                    </w:r>
                  </w:p>
                </w:tc>
                <w:tc>
                  <w:tcPr>
                    <w:tcW w:w="601" w:type="pct"/>
                    <w:vAlign w:val="center"/>
                  </w:tcPr>
                  <w:p w:rsidR="00084029" w:rsidRPr="006F7F58" w:rsidRDefault="00084029" w:rsidP="00084029">
                    <w:pPr>
                      <w:jc w:val="right"/>
                      <w:rPr>
                        <w:sz w:val="14"/>
                        <w:szCs w:val="14"/>
                      </w:rPr>
                    </w:pPr>
                    <w:r w:rsidRPr="006F7F58">
                      <w:rPr>
                        <w:sz w:val="14"/>
                        <w:szCs w:val="14"/>
                      </w:rPr>
                      <w:t>0</w:t>
                    </w:r>
                  </w:p>
                </w:tc>
                <w:tc>
                  <w:tcPr>
                    <w:tcW w:w="499" w:type="pct"/>
                    <w:vAlign w:val="center"/>
                  </w:tcPr>
                  <w:p w:rsidR="00084029" w:rsidRPr="006F7F58" w:rsidRDefault="00084029" w:rsidP="00084029">
                    <w:pPr>
                      <w:jc w:val="right"/>
                      <w:rPr>
                        <w:sz w:val="14"/>
                        <w:szCs w:val="14"/>
                      </w:rPr>
                    </w:pPr>
                    <w:r w:rsidRPr="006F7F58">
                      <w:rPr>
                        <w:sz w:val="14"/>
                        <w:szCs w:val="14"/>
                      </w:rPr>
                      <w:t>0</w:t>
                    </w:r>
                  </w:p>
                </w:tc>
                <w:tc>
                  <w:tcPr>
                    <w:tcW w:w="452" w:type="pct"/>
                    <w:vAlign w:val="center"/>
                  </w:tcPr>
                  <w:p w:rsidR="00084029" w:rsidRPr="006F7F58" w:rsidRDefault="00084029" w:rsidP="00084029">
                    <w:pPr>
                      <w:jc w:val="right"/>
                      <w:rPr>
                        <w:sz w:val="14"/>
                        <w:szCs w:val="14"/>
                      </w:rPr>
                    </w:pPr>
                    <w:r w:rsidRPr="006F7F58">
                      <w:rPr>
                        <w:sz w:val="14"/>
                        <w:szCs w:val="14"/>
                      </w:rPr>
                      <w:t>0</w:t>
                    </w:r>
                  </w:p>
                </w:tc>
                <w:tc>
                  <w:tcPr>
                    <w:tcW w:w="449" w:type="pct"/>
                    <w:vAlign w:val="center"/>
                  </w:tcPr>
                  <w:p w:rsidR="00084029" w:rsidRPr="006F7F58" w:rsidRDefault="00084029" w:rsidP="00084029">
                    <w:pPr>
                      <w:jc w:val="right"/>
                      <w:rPr>
                        <w:sz w:val="14"/>
                        <w:szCs w:val="14"/>
                      </w:rPr>
                    </w:pPr>
                    <w:r w:rsidRPr="006F7F58">
                      <w:rPr>
                        <w:sz w:val="14"/>
                        <w:szCs w:val="14"/>
                      </w:rPr>
                      <w:t>0</w:t>
                    </w:r>
                  </w:p>
                </w:tc>
                <w:tc>
                  <w:tcPr>
                    <w:tcW w:w="480" w:type="pct"/>
                    <w:vAlign w:val="center"/>
                  </w:tcPr>
                  <w:p w:rsidR="00084029" w:rsidRPr="006F7F58" w:rsidRDefault="00084029" w:rsidP="00084029">
                    <w:pPr>
                      <w:jc w:val="right"/>
                      <w:rPr>
                        <w:sz w:val="14"/>
                        <w:szCs w:val="14"/>
                      </w:rPr>
                    </w:pPr>
                    <w:r w:rsidRPr="006F7F58">
                      <w:rPr>
                        <w:sz w:val="14"/>
                        <w:szCs w:val="14"/>
                      </w:rPr>
                      <w:t>0</w:t>
                    </w:r>
                  </w:p>
                </w:tc>
              </w:tr>
              <w:tr w:rsidR="00084029" w:rsidRPr="006F7F58" w:rsidTr="00084029">
                <w:sdt>
                  <w:sdtPr>
                    <w:rPr>
                      <w:sz w:val="14"/>
                      <w:szCs w:val="14"/>
                    </w:rPr>
                    <w:tag w:val="_PLD_6d573481d9af49e2a8ab22ecd061ccf7"/>
                    <w:id w:val="58070422"/>
                    <w:lock w:val="sdtLocked"/>
                  </w:sdtPr>
                  <w:sdtContent>
                    <w:tc>
                      <w:tcPr>
                        <w:tcW w:w="639" w:type="pct"/>
                      </w:tcPr>
                      <w:p w:rsidR="00084029" w:rsidRPr="006F7F58" w:rsidRDefault="00084029" w:rsidP="00084029">
                        <w:pPr>
                          <w:rPr>
                            <w:sz w:val="14"/>
                            <w:szCs w:val="14"/>
                          </w:rPr>
                        </w:pPr>
                        <w:r w:rsidRPr="006F7F58">
                          <w:rPr>
                            <w:sz w:val="14"/>
                            <w:szCs w:val="14"/>
                          </w:rPr>
                          <w:t>3．对所有者（或股东）的分配</w:t>
                        </w:r>
                      </w:p>
                    </w:tc>
                  </w:sdtContent>
                </w:sdt>
                <w:tc>
                  <w:tcPr>
                    <w:tcW w:w="506" w:type="pct"/>
                    <w:vAlign w:val="center"/>
                  </w:tcPr>
                  <w:p w:rsidR="00084029" w:rsidRPr="006F7F58" w:rsidRDefault="00084029" w:rsidP="00084029">
                    <w:pPr>
                      <w:jc w:val="right"/>
                      <w:rPr>
                        <w:sz w:val="14"/>
                        <w:szCs w:val="14"/>
                      </w:rPr>
                    </w:pPr>
                    <w:r w:rsidRPr="006F7F58">
                      <w:rPr>
                        <w:sz w:val="14"/>
                        <w:szCs w:val="14"/>
                      </w:rPr>
                      <w:t>0</w:t>
                    </w:r>
                  </w:p>
                </w:tc>
                <w:tc>
                  <w:tcPr>
                    <w:tcW w:w="401" w:type="pct"/>
                    <w:vAlign w:val="center"/>
                  </w:tcPr>
                  <w:p w:rsidR="00084029" w:rsidRPr="006F7F58" w:rsidRDefault="00084029" w:rsidP="00084029">
                    <w:pPr>
                      <w:jc w:val="right"/>
                      <w:rPr>
                        <w:sz w:val="14"/>
                        <w:szCs w:val="14"/>
                      </w:rPr>
                    </w:pPr>
                    <w:r w:rsidRPr="006F7F58">
                      <w:rPr>
                        <w:sz w:val="14"/>
                        <w:szCs w:val="14"/>
                      </w:rPr>
                      <w:t>0</w:t>
                    </w:r>
                  </w:p>
                </w:tc>
                <w:tc>
                  <w:tcPr>
                    <w:tcW w:w="424" w:type="pct"/>
                    <w:vAlign w:val="center"/>
                  </w:tcPr>
                  <w:p w:rsidR="00084029" w:rsidRPr="006F7F58" w:rsidRDefault="00084029" w:rsidP="00084029">
                    <w:pPr>
                      <w:jc w:val="right"/>
                      <w:rPr>
                        <w:sz w:val="14"/>
                        <w:szCs w:val="14"/>
                      </w:rPr>
                    </w:pPr>
                    <w:r w:rsidRPr="006F7F58">
                      <w:rPr>
                        <w:sz w:val="14"/>
                        <w:szCs w:val="14"/>
                      </w:rPr>
                      <w:t>0</w:t>
                    </w:r>
                  </w:p>
                </w:tc>
                <w:tc>
                  <w:tcPr>
                    <w:tcW w:w="549" w:type="pct"/>
                    <w:vAlign w:val="center"/>
                  </w:tcPr>
                  <w:p w:rsidR="00084029" w:rsidRPr="006F7F58" w:rsidRDefault="00084029" w:rsidP="00084029">
                    <w:pPr>
                      <w:jc w:val="right"/>
                      <w:rPr>
                        <w:sz w:val="14"/>
                        <w:szCs w:val="14"/>
                      </w:rPr>
                    </w:pPr>
                    <w:r w:rsidRPr="006F7F58">
                      <w:rPr>
                        <w:sz w:val="14"/>
                        <w:szCs w:val="14"/>
                      </w:rPr>
                      <w:t>0</w:t>
                    </w:r>
                  </w:p>
                </w:tc>
                <w:tc>
                  <w:tcPr>
                    <w:tcW w:w="601" w:type="pct"/>
                    <w:vAlign w:val="center"/>
                  </w:tcPr>
                  <w:p w:rsidR="00084029" w:rsidRPr="006F7F58" w:rsidRDefault="00084029" w:rsidP="00084029">
                    <w:pPr>
                      <w:jc w:val="right"/>
                      <w:rPr>
                        <w:sz w:val="14"/>
                        <w:szCs w:val="14"/>
                      </w:rPr>
                    </w:pPr>
                    <w:r w:rsidRPr="006F7F58">
                      <w:rPr>
                        <w:sz w:val="14"/>
                        <w:szCs w:val="14"/>
                      </w:rPr>
                      <w:t>0</w:t>
                    </w:r>
                  </w:p>
                </w:tc>
                <w:tc>
                  <w:tcPr>
                    <w:tcW w:w="499" w:type="pct"/>
                    <w:vAlign w:val="center"/>
                  </w:tcPr>
                  <w:p w:rsidR="00084029" w:rsidRPr="006F7F58" w:rsidRDefault="00084029" w:rsidP="00084029">
                    <w:pPr>
                      <w:jc w:val="right"/>
                      <w:rPr>
                        <w:sz w:val="14"/>
                        <w:szCs w:val="14"/>
                      </w:rPr>
                    </w:pPr>
                    <w:r w:rsidRPr="006F7F58">
                      <w:rPr>
                        <w:sz w:val="14"/>
                        <w:szCs w:val="14"/>
                      </w:rPr>
                      <w:t>0</w:t>
                    </w:r>
                  </w:p>
                </w:tc>
                <w:tc>
                  <w:tcPr>
                    <w:tcW w:w="452" w:type="pct"/>
                    <w:vAlign w:val="center"/>
                  </w:tcPr>
                  <w:p w:rsidR="00084029" w:rsidRPr="006F7F58" w:rsidRDefault="00084029" w:rsidP="00084029">
                    <w:pPr>
                      <w:jc w:val="right"/>
                      <w:rPr>
                        <w:sz w:val="14"/>
                        <w:szCs w:val="14"/>
                      </w:rPr>
                    </w:pPr>
                    <w:r w:rsidRPr="006F7F58">
                      <w:rPr>
                        <w:sz w:val="14"/>
                        <w:szCs w:val="14"/>
                      </w:rPr>
                      <w:t>-7,136,124,871</w:t>
                    </w:r>
                  </w:p>
                </w:tc>
                <w:tc>
                  <w:tcPr>
                    <w:tcW w:w="449" w:type="pct"/>
                    <w:vAlign w:val="center"/>
                  </w:tcPr>
                  <w:p w:rsidR="00084029" w:rsidRPr="006F7F58" w:rsidRDefault="00084029" w:rsidP="00084029">
                    <w:pPr>
                      <w:jc w:val="right"/>
                      <w:rPr>
                        <w:sz w:val="14"/>
                        <w:szCs w:val="14"/>
                      </w:rPr>
                    </w:pPr>
                    <w:r w:rsidRPr="006F7F58">
                      <w:rPr>
                        <w:sz w:val="14"/>
                        <w:szCs w:val="14"/>
                      </w:rPr>
                      <w:t>-723,036,170</w:t>
                    </w:r>
                  </w:p>
                </w:tc>
                <w:tc>
                  <w:tcPr>
                    <w:tcW w:w="480" w:type="pct"/>
                    <w:vAlign w:val="center"/>
                  </w:tcPr>
                  <w:p w:rsidR="00084029" w:rsidRPr="006F7F58" w:rsidRDefault="00084029" w:rsidP="00084029">
                    <w:pPr>
                      <w:jc w:val="right"/>
                      <w:rPr>
                        <w:sz w:val="14"/>
                        <w:szCs w:val="14"/>
                      </w:rPr>
                    </w:pPr>
                    <w:r w:rsidRPr="006F7F58">
                      <w:rPr>
                        <w:sz w:val="14"/>
                        <w:szCs w:val="14"/>
                      </w:rPr>
                      <w:t>-7,859,161,041</w:t>
                    </w:r>
                  </w:p>
                </w:tc>
              </w:tr>
              <w:tr w:rsidR="00084029" w:rsidRPr="006F7F58" w:rsidTr="00084029">
                <w:sdt>
                  <w:sdtPr>
                    <w:rPr>
                      <w:sz w:val="14"/>
                      <w:szCs w:val="14"/>
                    </w:rPr>
                    <w:tag w:val="_PLD_dd87d5b565c74b3faf2e05ed9840875a"/>
                    <w:id w:val="1738901349"/>
                    <w:lock w:val="sdtLocked"/>
                  </w:sdtPr>
                  <w:sdtContent>
                    <w:tc>
                      <w:tcPr>
                        <w:tcW w:w="639" w:type="pct"/>
                      </w:tcPr>
                      <w:p w:rsidR="00084029" w:rsidRPr="006F7F58" w:rsidRDefault="00084029" w:rsidP="00084029">
                        <w:pPr>
                          <w:rPr>
                            <w:sz w:val="14"/>
                            <w:szCs w:val="14"/>
                          </w:rPr>
                        </w:pPr>
                        <w:r w:rsidRPr="006F7F58">
                          <w:rPr>
                            <w:sz w:val="14"/>
                            <w:szCs w:val="14"/>
                          </w:rPr>
                          <w:t>4．其他</w:t>
                        </w:r>
                      </w:p>
                    </w:tc>
                  </w:sdtContent>
                </w:sdt>
                <w:tc>
                  <w:tcPr>
                    <w:tcW w:w="506" w:type="pct"/>
                    <w:vAlign w:val="center"/>
                  </w:tcPr>
                  <w:p w:rsidR="00084029" w:rsidRPr="006F7F58" w:rsidRDefault="00084029" w:rsidP="00084029">
                    <w:pPr>
                      <w:jc w:val="right"/>
                      <w:rPr>
                        <w:sz w:val="14"/>
                        <w:szCs w:val="14"/>
                      </w:rPr>
                    </w:pPr>
                    <w:r w:rsidRPr="006F7F58">
                      <w:rPr>
                        <w:sz w:val="14"/>
                        <w:szCs w:val="14"/>
                      </w:rPr>
                      <w:t>0</w:t>
                    </w:r>
                  </w:p>
                </w:tc>
                <w:tc>
                  <w:tcPr>
                    <w:tcW w:w="401" w:type="pct"/>
                    <w:vAlign w:val="center"/>
                  </w:tcPr>
                  <w:p w:rsidR="00084029" w:rsidRPr="006F7F58" w:rsidRDefault="00084029" w:rsidP="00084029">
                    <w:pPr>
                      <w:jc w:val="right"/>
                      <w:rPr>
                        <w:sz w:val="14"/>
                        <w:szCs w:val="14"/>
                      </w:rPr>
                    </w:pPr>
                    <w:r w:rsidRPr="006F7F58">
                      <w:rPr>
                        <w:sz w:val="14"/>
                        <w:szCs w:val="14"/>
                      </w:rPr>
                      <w:t>0</w:t>
                    </w:r>
                  </w:p>
                </w:tc>
                <w:tc>
                  <w:tcPr>
                    <w:tcW w:w="424" w:type="pct"/>
                    <w:vAlign w:val="center"/>
                  </w:tcPr>
                  <w:p w:rsidR="00084029" w:rsidRPr="006F7F58" w:rsidRDefault="00084029" w:rsidP="00084029">
                    <w:pPr>
                      <w:jc w:val="right"/>
                      <w:rPr>
                        <w:sz w:val="14"/>
                        <w:szCs w:val="14"/>
                      </w:rPr>
                    </w:pPr>
                    <w:r w:rsidRPr="006F7F58">
                      <w:rPr>
                        <w:sz w:val="14"/>
                        <w:szCs w:val="14"/>
                      </w:rPr>
                      <w:t>0</w:t>
                    </w:r>
                  </w:p>
                </w:tc>
                <w:tc>
                  <w:tcPr>
                    <w:tcW w:w="549" w:type="pct"/>
                    <w:vAlign w:val="center"/>
                  </w:tcPr>
                  <w:p w:rsidR="00084029" w:rsidRPr="006F7F58" w:rsidRDefault="00084029" w:rsidP="00084029">
                    <w:pPr>
                      <w:jc w:val="right"/>
                      <w:rPr>
                        <w:sz w:val="14"/>
                        <w:szCs w:val="14"/>
                      </w:rPr>
                    </w:pPr>
                    <w:r w:rsidRPr="006F7F58">
                      <w:rPr>
                        <w:sz w:val="14"/>
                        <w:szCs w:val="14"/>
                      </w:rPr>
                      <w:t>0</w:t>
                    </w:r>
                  </w:p>
                </w:tc>
                <w:tc>
                  <w:tcPr>
                    <w:tcW w:w="601" w:type="pct"/>
                    <w:vAlign w:val="center"/>
                  </w:tcPr>
                  <w:p w:rsidR="00084029" w:rsidRPr="006F7F58" w:rsidRDefault="00084029" w:rsidP="00084029">
                    <w:pPr>
                      <w:jc w:val="right"/>
                      <w:rPr>
                        <w:sz w:val="14"/>
                        <w:szCs w:val="14"/>
                      </w:rPr>
                    </w:pPr>
                    <w:r w:rsidRPr="006F7F58">
                      <w:rPr>
                        <w:sz w:val="14"/>
                        <w:szCs w:val="14"/>
                      </w:rPr>
                      <w:t>0</w:t>
                    </w:r>
                  </w:p>
                </w:tc>
                <w:tc>
                  <w:tcPr>
                    <w:tcW w:w="499" w:type="pct"/>
                    <w:vAlign w:val="center"/>
                  </w:tcPr>
                  <w:p w:rsidR="00084029" w:rsidRPr="006F7F58" w:rsidRDefault="00084029" w:rsidP="00084029">
                    <w:pPr>
                      <w:jc w:val="right"/>
                      <w:rPr>
                        <w:sz w:val="14"/>
                        <w:szCs w:val="14"/>
                      </w:rPr>
                    </w:pPr>
                    <w:r w:rsidRPr="006F7F58">
                      <w:rPr>
                        <w:sz w:val="14"/>
                        <w:szCs w:val="14"/>
                      </w:rPr>
                      <w:t>0</w:t>
                    </w:r>
                  </w:p>
                </w:tc>
                <w:tc>
                  <w:tcPr>
                    <w:tcW w:w="452" w:type="pct"/>
                    <w:vAlign w:val="center"/>
                  </w:tcPr>
                  <w:p w:rsidR="00084029" w:rsidRPr="006F7F58" w:rsidRDefault="00084029" w:rsidP="00084029">
                    <w:pPr>
                      <w:jc w:val="right"/>
                      <w:rPr>
                        <w:sz w:val="14"/>
                        <w:szCs w:val="14"/>
                      </w:rPr>
                    </w:pPr>
                    <w:r w:rsidRPr="006F7F58">
                      <w:rPr>
                        <w:sz w:val="14"/>
                        <w:szCs w:val="14"/>
                      </w:rPr>
                      <w:t>0</w:t>
                    </w:r>
                  </w:p>
                </w:tc>
                <w:tc>
                  <w:tcPr>
                    <w:tcW w:w="449" w:type="pct"/>
                    <w:vAlign w:val="center"/>
                  </w:tcPr>
                  <w:p w:rsidR="00084029" w:rsidRPr="006F7F58" w:rsidRDefault="00084029" w:rsidP="00084029">
                    <w:pPr>
                      <w:jc w:val="right"/>
                      <w:rPr>
                        <w:sz w:val="14"/>
                        <w:szCs w:val="14"/>
                      </w:rPr>
                    </w:pPr>
                    <w:r w:rsidRPr="006F7F58">
                      <w:rPr>
                        <w:sz w:val="14"/>
                        <w:szCs w:val="14"/>
                      </w:rPr>
                      <w:t>0</w:t>
                    </w:r>
                  </w:p>
                </w:tc>
                <w:tc>
                  <w:tcPr>
                    <w:tcW w:w="480" w:type="pct"/>
                    <w:vAlign w:val="center"/>
                  </w:tcPr>
                  <w:p w:rsidR="00084029" w:rsidRPr="006F7F58" w:rsidRDefault="00084029" w:rsidP="00084029">
                    <w:pPr>
                      <w:jc w:val="right"/>
                      <w:rPr>
                        <w:sz w:val="14"/>
                        <w:szCs w:val="14"/>
                      </w:rPr>
                    </w:pPr>
                    <w:r w:rsidRPr="006F7F58">
                      <w:rPr>
                        <w:sz w:val="14"/>
                        <w:szCs w:val="14"/>
                      </w:rPr>
                      <w:t>0</w:t>
                    </w:r>
                  </w:p>
                </w:tc>
              </w:tr>
              <w:tr w:rsidR="00084029" w:rsidRPr="006F7F58" w:rsidTr="00084029">
                <w:sdt>
                  <w:sdtPr>
                    <w:rPr>
                      <w:sz w:val="14"/>
                      <w:szCs w:val="14"/>
                    </w:rPr>
                    <w:tag w:val="_PLD_92da940e723e49d8b19944c326b0a372"/>
                    <w:id w:val="-1709183380"/>
                    <w:lock w:val="sdtLocked"/>
                  </w:sdtPr>
                  <w:sdtContent>
                    <w:tc>
                      <w:tcPr>
                        <w:tcW w:w="639" w:type="pct"/>
                      </w:tcPr>
                      <w:p w:rsidR="00084029" w:rsidRPr="006F7F58" w:rsidRDefault="00084029" w:rsidP="00084029">
                        <w:pPr>
                          <w:rPr>
                            <w:sz w:val="14"/>
                            <w:szCs w:val="14"/>
                          </w:rPr>
                        </w:pPr>
                        <w:r w:rsidRPr="006F7F58">
                          <w:rPr>
                            <w:sz w:val="14"/>
                            <w:szCs w:val="14"/>
                          </w:rPr>
                          <w:t>（</w:t>
                        </w:r>
                        <w:r w:rsidRPr="006F7F58">
                          <w:rPr>
                            <w:rFonts w:hint="eastAsia"/>
                            <w:sz w:val="14"/>
                            <w:szCs w:val="14"/>
                          </w:rPr>
                          <w:t>四</w:t>
                        </w:r>
                        <w:r w:rsidRPr="006F7F58">
                          <w:rPr>
                            <w:sz w:val="14"/>
                            <w:szCs w:val="14"/>
                          </w:rPr>
                          <w:t>）所有者权益内部结转</w:t>
                        </w:r>
                      </w:p>
                    </w:tc>
                  </w:sdtContent>
                </w:sdt>
                <w:tc>
                  <w:tcPr>
                    <w:tcW w:w="506" w:type="pct"/>
                    <w:vAlign w:val="center"/>
                  </w:tcPr>
                  <w:p w:rsidR="00084029" w:rsidRPr="006F7F58" w:rsidRDefault="00084029" w:rsidP="00084029">
                    <w:pPr>
                      <w:jc w:val="right"/>
                      <w:rPr>
                        <w:sz w:val="14"/>
                        <w:szCs w:val="14"/>
                      </w:rPr>
                    </w:pPr>
                    <w:r w:rsidRPr="006F7F58">
                      <w:rPr>
                        <w:sz w:val="14"/>
                        <w:szCs w:val="14"/>
                      </w:rPr>
                      <w:t>0</w:t>
                    </w:r>
                  </w:p>
                </w:tc>
                <w:tc>
                  <w:tcPr>
                    <w:tcW w:w="401" w:type="pct"/>
                    <w:vAlign w:val="center"/>
                  </w:tcPr>
                  <w:p w:rsidR="00084029" w:rsidRPr="006F7F58" w:rsidRDefault="00084029" w:rsidP="00084029">
                    <w:pPr>
                      <w:jc w:val="right"/>
                      <w:rPr>
                        <w:sz w:val="14"/>
                        <w:szCs w:val="14"/>
                      </w:rPr>
                    </w:pPr>
                    <w:r w:rsidRPr="006F7F58">
                      <w:rPr>
                        <w:sz w:val="14"/>
                        <w:szCs w:val="14"/>
                      </w:rPr>
                      <w:t>0</w:t>
                    </w:r>
                  </w:p>
                </w:tc>
                <w:tc>
                  <w:tcPr>
                    <w:tcW w:w="424" w:type="pct"/>
                    <w:vAlign w:val="center"/>
                  </w:tcPr>
                  <w:p w:rsidR="00084029" w:rsidRPr="006F7F58" w:rsidRDefault="00084029" w:rsidP="00084029">
                    <w:pPr>
                      <w:jc w:val="right"/>
                      <w:rPr>
                        <w:sz w:val="14"/>
                        <w:szCs w:val="14"/>
                      </w:rPr>
                    </w:pPr>
                    <w:r w:rsidRPr="006F7F58">
                      <w:rPr>
                        <w:sz w:val="14"/>
                        <w:szCs w:val="14"/>
                      </w:rPr>
                      <w:t>0</w:t>
                    </w:r>
                  </w:p>
                </w:tc>
                <w:tc>
                  <w:tcPr>
                    <w:tcW w:w="549" w:type="pct"/>
                    <w:vAlign w:val="center"/>
                  </w:tcPr>
                  <w:p w:rsidR="00084029" w:rsidRPr="006F7F58" w:rsidRDefault="00084029" w:rsidP="00084029">
                    <w:pPr>
                      <w:jc w:val="right"/>
                      <w:rPr>
                        <w:sz w:val="14"/>
                        <w:szCs w:val="14"/>
                      </w:rPr>
                    </w:pPr>
                    <w:r w:rsidRPr="006F7F58">
                      <w:rPr>
                        <w:sz w:val="14"/>
                        <w:szCs w:val="14"/>
                      </w:rPr>
                      <w:t>0</w:t>
                    </w:r>
                  </w:p>
                </w:tc>
                <w:tc>
                  <w:tcPr>
                    <w:tcW w:w="601" w:type="pct"/>
                    <w:vAlign w:val="center"/>
                  </w:tcPr>
                  <w:p w:rsidR="00084029" w:rsidRPr="006F7F58" w:rsidRDefault="00084029" w:rsidP="00084029">
                    <w:pPr>
                      <w:jc w:val="right"/>
                      <w:rPr>
                        <w:sz w:val="14"/>
                        <w:szCs w:val="14"/>
                      </w:rPr>
                    </w:pPr>
                    <w:r w:rsidRPr="006F7F58">
                      <w:rPr>
                        <w:sz w:val="14"/>
                        <w:szCs w:val="14"/>
                      </w:rPr>
                      <w:t>0</w:t>
                    </w:r>
                  </w:p>
                </w:tc>
                <w:tc>
                  <w:tcPr>
                    <w:tcW w:w="499" w:type="pct"/>
                    <w:vAlign w:val="center"/>
                  </w:tcPr>
                  <w:p w:rsidR="00084029" w:rsidRPr="006F7F58" w:rsidRDefault="00084029" w:rsidP="00084029">
                    <w:pPr>
                      <w:jc w:val="right"/>
                      <w:rPr>
                        <w:sz w:val="14"/>
                        <w:szCs w:val="14"/>
                      </w:rPr>
                    </w:pPr>
                    <w:r w:rsidRPr="006F7F58">
                      <w:rPr>
                        <w:sz w:val="14"/>
                        <w:szCs w:val="14"/>
                      </w:rPr>
                      <w:t>0</w:t>
                    </w:r>
                  </w:p>
                </w:tc>
                <w:tc>
                  <w:tcPr>
                    <w:tcW w:w="452" w:type="pct"/>
                    <w:vAlign w:val="center"/>
                  </w:tcPr>
                  <w:p w:rsidR="00084029" w:rsidRPr="006F7F58" w:rsidRDefault="00084029" w:rsidP="00084029">
                    <w:pPr>
                      <w:jc w:val="right"/>
                      <w:rPr>
                        <w:sz w:val="14"/>
                        <w:szCs w:val="14"/>
                      </w:rPr>
                    </w:pPr>
                    <w:r w:rsidRPr="006F7F58">
                      <w:rPr>
                        <w:sz w:val="14"/>
                        <w:szCs w:val="14"/>
                      </w:rPr>
                      <w:t>0</w:t>
                    </w:r>
                  </w:p>
                </w:tc>
                <w:tc>
                  <w:tcPr>
                    <w:tcW w:w="449" w:type="pct"/>
                    <w:vAlign w:val="center"/>
                  </w:tcPr>
                  <w:p w:rsidR="00084029" w:rsidRPr="006F7F58" w:rsidRDefault="00084029" w:rsidP="00084029">
                    <w:pPr>
                      <w:jc w:val="right"/>
                      <w:rPr>
                        <w:sz w:val="14"/>
                        <w:szCs w:val="14"/>
                      </w:rPr>
                    </w:pPr>
                    <w:r w:rsidRPr="006F7F58">
                      <w:rPr>
                        <w:sz w:val="14"/>
                        <w:szCs w:val="14"/>
                      </w:rPr>
                      <w:t>0</w:t>
                    </w:r>
                  </w:p>
                </w:tc>
                <w:tc>
                  <w:tcPr>
                    <w:tcW w:w="480" w:type="pct"/>
                    <w:vAlign w:val="center"/>
                  </w:tcPr>
                  <w:p w:rsidR="00084029" w:rsidRPr="006F7F58" w:rsidRDefault="00084029" w:rsidP="00084029">
                    <w:pPr>
                      <w:jc w:val="right"/>
                      <w:rPr>
                        <w:sz w:val="14"/>
                        <w:szCs w:val="14"/>
                      </w:rPr>
                    </w:pPr>
                    <w:r w:rsidRPr="006F7F58">
                      <w:rPr>
                        <w:sz w:val="14"/>
                        <w:szCs w:val="14"/>
                      </w:rPr>
                      <w:t>0</w:t>
                    </w:r>
                  </w:p>
                </w:tc>
              </w:tr>
              <w:tr w:rsidR="00084029" w:rsidRPr="006F7F58" w:rsidTr="00084029">
                <w:sdt>
                  <w:sdtPr>
                    <w:rPr>
                      <w:sz w:val="14"/>
                      <w:szCs w:val="14"/>
                    </w:rPr>
                    <w:tag w:val="_PLD_88fb253c66e143fa8d6fda4d400657ec"/>
                    <w:id w:val="331418786"/>
                    <w:lock w:val="sdtLocked"/>
                  </w:sdtPr>
                  <w:sdtContent>
                    <w:tc>
                      <w:tcPr>
                        <w:tcW w:w="639" w:type="pct"/>
                      </w:tcPr>
                      <w:p w:rsidR="00084029" w:rsidRPr="006F7F58" w:rsidRDefault="00084029" w:rsidP="00084029">
                        <w:pPr>
                          <w:rPr>
                            <w:sz w:val="14"/>
                            <w:szCs w:val="14"/>
                          </w:rPr>
                        </w:pPr>
                        <w:r w:rsidRPr="006F7F58">
                          <w:rPr>
                            <w:sz w:val="14"/>
                            <w:szCs w:val="14"/>
                          </w:rPr>
                          <w:t>1．资本公积转增资本（或股本）</w:t>
                        </w:r>
                      </w:p>
                    </w:tc>
                  </w:sdtContent>
                </w:sdt>
                <w:tc>
                  <w:tcPr>
                    <w:tcW w:w="506" w:type="pct"/>
                    <w:vAlign w:val="center"/>
                  </w:tcPr>
                  <w:p w:rsidR="00084029" w:rsidRPr="006F7F58" w:rsidRDefault="00084029" w:rsidP="00084029">
                    <w:pPr>
                      <w:jc w:val="right"/>
                      <w:rPr>
                        <w:sz w:val="14"/>
                        <w:szCs w:val="14"/>
                      </w:rPr>
                    </w:pPr>
                    <w:r w:rsidRPr="006F7F58">
                      <w:rPr>
                        <w:sz w:val="14"/>
                        <w:szCs w:val="14"/>
                      </w:rPr>
                      <w:t>0</w:t>
                    </w:r>
                  </w:p>
                </w:tc>
                <w:tc>
                  <w:tcPr>
                    <w:tcW w:w="401" w:type="pct"/>
                    <w:vAlign w:val="center"/>
                  </w:tcPr>
                  <w:p w:rsidR="00084029" w:rsidRPr="006F7F58" w:rsidRDefault="00084029" w:rsidP="00084029">
                    <w:pPr>
                      <w:jc w:val="right"/>
                      <w:rPr>
                        <w:sz w:val="14"/>
                        <w:szCs w:val="14"/>
                      </w:rPr>
                    </w:pPr>
                    <w:r w:rsidRPr="006F7F58">
                      <w:rPr>
                        <w:sz w:val="14"/>
                        <w:szCs w:val="14"/>
                      </w:rPr>
                      <w:t>0</w:t>
                    </w:r>
                  </w:p>
                </w:tc>
                <w:tc>
                  <w:tcPr>
                    <w:tcW w:w="424" w:type="pct"/>
                    <w:vAlign w:val="center"/>
                  </w:tcPr>
                  <w:p w:rsidR="00084029" w:rsidRPr="006F7F58" w:rsidRDefault="00084029" w:rsidP="00084029">
                    <w:pPr>
                      <w:jc w:val="right"/>
                      <w:rPr>
                        <w:sz w:val="14"/>
                        <w:szCs w:val="14"/>
                      </w:rPr>
                    </w:pPr>
                    <w:r w:rsidRPr="006F7F58">
                      <w:rPr>
                        <w:sz w:val="14"/>
                        <w:szCs w:val="14"/>
                      </w:rPr>
                      <w:t>0</w:t>
                    </w:r>
                  </w:p>
                </w:tc>
                <w:tc>
                  <w:tcPr>
                    <w:tcW w:w="549" w:type="pct"/>
                    <w:vAlign w:val="center"/>
                  </w:tcPr>
                  <w:p w:rsidR="00084029" w:rsidRPr="006F7F58" w:rsidRDefault="00084029" w:rsidP="00084029">
                    <w:pPr>
                      <w:jc w:val="right"/>
                      <w:rPr>
                        <w:sz w:val="14"/>
                        <w:szCs w:val="14"/>
                      </w:rPr>
                    </w:pPr>
                    <w:r w:rsidRPr="006F7F58">
                      <w:rPr>
                        <w:sz w:val="14"/>
                        <w:szCs w:val="14"/>
                      </w:rPr>
                      <w:t>0</w:t>
                    </w:r>
                  </w:p>
                </w:tc>
                <w:tc>
                  <w:tcPr>
                    <w:tcW w:w="601" w:type="pct"/>
                    <w:vAlign w:val="center"/>
                  </w:tcPr>
                  <w:p w:rsidR="00084029" w:rsidRPr="006F7F58" w:rsidRDefault="00084029" w:rsidP="00084029">
                    <w:pPr>
                      <w:jc w:val="right"/>
                      <w:rPr>
                        <w:sz w:val="14"/>
                        <w:szCs w:val="14"/>
                      </w:rPr>
                    </w:pPr>
                    <w:r w:rsidRPr="006F7F58">
                      <w:rPr>
                        <w:sz w:val="14"/>
                        <w:szCs w:val="14"/>
                      </w:rPr>
                      <w:t>0</w:t>
                    </w:r>
                  </w:p>
                </w:tc>
                <w:tc>
                  <w:tcPr>
                    <w:tcW w:w="499" w:type="pct"/>
                    <w:vAlign w:val="center"/>
                  </w:tcPr>
                  <w:p w:rsidR="00084029" w:rsidRPr="006F7F58" w:rsidRDefault="00084029" w:rsidP="00084029">
                    <w:pPr>
                      <w:jc w:val="right"/>
                      <w:rPr>
                        <w:sz w:val="14"/>
                        <w:szCs w:val="14"/>
                      </w:rPr>
                    </w:pPr>
                    <w:r w:rsidRPr="006F7F58">
                      <w:rPr>
                        <w:sz w:val="14"/>
                        <w:szCs w:val="14"/>
                      </w:rPr>
                      <w:t>0</w:t>
                    </w:r>
                  </w:p>
                </w:tc>
                <w:tc>
                  <w:tcPr>
                    <w:tcW w:w="452" w:type="pct"/>
                    <w:vAlign w:val="center"/>
                  </w:tcPr>
                  <w:p w:rsidR="00084029" w:rsidRPr="006F7F58" w:rsidRDefault="00084029" w:rsidP="00084029">
                    <w:pPr>
                      <w:jc w:val="right"/>
                      <w:rPr>
                        <w:sz w:val="14"/>
                        <w:szCs w:val="14"/>
                      </w:rPr>
                    </w:pPr>
                    <w:r w:rsidRPr="006F7F58">
                      <w:rPr>
                        <w:sz w:val="14"/>
                        <w:szCs w:val="14"/>
                      </w:rPr>
                      <w:t>0</w:t>
                    </w:r>
                  </w:p>
                </w:tc>
                <w:tc>
                  <w:tcPr>
                    <w:tcW w:w="449" w:type="pct"/>
                    <w:vAlign w:val="center"/>
                  </w:tcPr>
                  <w:p w:rsidR="00084029" w:rsidRPr="006F7F58" w:rsidRDefault="00084029" w:rsidP="00084029">
                    <w:pPr>
                      <w:jc w:val="right"/>
                      <w:rPr>
                        <w:sz w:val="14"/>
                        <w:szCs w:val="14"/>
                      </w:rPr>
                    </w:pPr>
                    <w:r w:rsidRPr="006F7F58">
                      <w:rPr>
                        <w:sz w:val="14"/>
                        <w:szCs w:val="14"/>
                      </w:rPr>
                      <w:t>0</w:t>
                    </w:r>
                  </w:p>
                </w:tc>
                <w:tc>
                  <w:tcPr>
                    <w:tcW w:w="480" w:type="pct"/>
                    <w:vAlign w:val="center"/>
                  </w:tcPr>
                  <w:p w:rsidR="00084029" w:rsidRPr="006F7F58" w:rsidRDefault="00084029" w:rsidP="00084029">
                    <w:pPr>
                      <w:jc w:val="right"/>
                      <w:rPr>
                        <w:sz w:val="14"/>
                        <w:szCs w:val="14"/>
                      </w:rPr>
                    </w:pPr>
                    <w:r w:rsidRPr="006F7F58">
                      <w:rPr>
                        <w:sz w:val="14"/>
                        <w:szCs w:val="14"/>
                      </w:rPr>
                      <w:t>0</w:t>
                    </w:r>
                  </w:p>
                </w:tc>
              </w:tr>
              <w:tr w:rsidR="00084029" w:rsidRPr="006F7F58" w:rsidTr="00084029">
                <w:sdt>
                  <w:sdtPr>
                    <w:rPr>
                      <w:sz w:val="14"/>
                      <w:szCs w:val="14"/>
                    </w:rPr>
                    <w:tag w:val="_PLD_15cc23aa9ca343c08333ba7ee1b1325c"/>
                    <w:id w:val="-480314057"/>
                    <w:lock w:val="sdtLocked"/>
                  </w:sdtPr>
                  <w:sdtContent>
                    <w:tc>
                      <w:tcPr>
                        <w:tcW w:w="639" w:type="pct"/>
                      </w:tcPr>
                      <w:p w:rsidR="00084029" w:rsidRPr="006F7F58" w:rsidRDefault="00084029" w:rsidP="00084029">
                        <w:pPr>
                          <w:rPr>
                            <w:sz w:val="14"/>
                            <w:szCs w:val="14"/>
                          </w:rPr>
                        </w:pPr>
                        <w:r w:rsidRPr="006F7F58">
                          <w:rPr>
                            <w:sz w:val="14"/>
                            <w:szCs w:val="14"/>
                          </w:rPr>
                          <w:t>2．盈余公积转增资本（或股本）</w:t>
                        </w:r>
                      </w:p>
                    </w:tc>
                  </w:sdtContent>
                </w:sdt>
                <w:tc>
                  <w:tcPr>
                    <w:tcW w:w="506" w:type="pct"/>
                    <w:vAlign w:val="center"/>
                  </w:tcPr>
                  <w:p w:rsidR="00084029" w:rsidRPr="006F7F58" w:rsidRDefault="00084029" w:rsidP="00084029">
                    <w:pPr>
                      <w:jc w:val="right"/>
                      <w:rPr>
                        <w:sz w:val="14"/>
                        <w:szCs w:val="14"/>
                      </w:rPr>
                    </w:pPr>
                    <w:r w:rsidRPr="006F7F58">
                      <w:rPr>
                        <w:sz w:val="14"/>
                        <w:szCs w:val="14"/>
                      </w:rPr>
                      <w:t>0</w:t>
                    </w:r>
                  </w:p>
                </w:tc>
                <w:tc>
                  <w:tcPr>
                    <w:tcW w:w="401" w:type="pct"/>
                    <w:vAlign w:val="center"/>
                  </w:tcPr>
                  <w:p w:rsidR="00084029" w:rsidRPr="006F7F58" w:rsidRDefault="00084029" w:rsidP="00084029">
                    <w:pPr>
                      <w:jc w:val="right"/>
                      <w:rPr>
                        <w:sz w:val="14"/>
                        <w:szCs w:val="14"/>
                      </w:rPr>
                    </w:pPr>
                    <w:r w:rsidRPr="006F7F58">
                      <w:rPr>
                        <w:sz w:val="14"/>
                        <w:szCs w:val="14"/>
                      </w:rPr>
                      <w:t>0</w:t>
                    </w:r>
                  </w:p>
                </w:tc>
                <w:tc>
                  <w:tcPr>
                    <w:tcW w:w="424" w:type="pct"/>
                    <w:vAlign w:val="center"/>
                  </w:tcPr>
                  <w:p w:rsidR="00084029" w:rsidRPr="006F7F58" w:rsidRDefault="00084029" w:rsidP="00084029">
                    <w:pPr>
                      <w:jc w:val="right"/>
                      <w:rPr>
                        <w:sz w:val="14"/>
                        <w:szCs w:val="14"/>
                      </w:rPr>
                    </w:pPr>
                    <w:r w:rsidRPr="006F7F58">
                      <w:rPr>
                        <w:sz w:val="14"/>
                        <w:szCs w:val="14"/>
                      </w:rPr>
                      <w:t>0</w:t>
                    </w:r>
                  </w:p>
                </w:tc>
                <w:tc>
                  <w:tcPr>
                    <w:tcW w:w="549" w:type="pct"/>
                    <w:vAlign w:val="center"/>
                  </w:tcPr>
                  <w:p w:rsidR="00084029" w:rsidRPr="006F7F58" w:rsidRDefault="00084029" w:rsidP="00084029">
                    <w:pPr>
                      <w:jc w:val="right"/>
                      <w:rPr>
                        <w:sz w:val="14"/>
                        <w:szCs w:val="14"/>
                      </w:rPr>
                    </w:pPr>
                    <w:r w:rsidRPr="006F7F58">
                      <w:rPr>
                        <w:sz w:val="14"/>
                        <w:szCs w:val="14"/>
                      </w:rPr>
                      <w:t>0</w:t>
                    </w:r>
                  </w:p>
                </w:tc>
                <w:tc>
                  <w:tcPr>
                    <w:tcW w:w="601" w:type="pct"/>
                    <w:vAlign w:val="center"/>
                  </w:tcPr>
                  <w:p w:rsidR="00084029" w:rsidRPr="006F7F58" w:rsidRDefault="00084029" w:rsidP="00084029">
                    <w:pPr>
                      <w:jc w:val="right"/>
                      <w:rPr>
                        <w:sz w:val="14"/>
                        <w:szCs w:val="14"/>
                      </w:rPr>
                    </w:pPr>
                    <w:r w:rsidRPr="006F7F58">
                      <w:rPr>
                        <w:sz w:val="14"/>
                        <w:szCs w:val="14"/>
                      </w:rPr>
                      <w:t>0</w:t>
                    </w:r>
                  </w:p>
                </w:tc>
                <w:tc>
                  <w:tcPr>
                    <w:tcW w:w="499" w:type="pct"/>
                    <w:vAlign w:val="center"/>
                  </w:tcPr>
                  <w:p w:rsidR="00084029" w:rsidRPr="006F7F58" w:rsidRDefault="00084029" w:rsidP="00084029">
                    <w:pPr>
                      <w:jc w:val="right"/>
                      <w:rPr>
                        <w:sz w:val="14"/>
                        <w:szCs w:val="14"/>
                      </w:rPr>
                    </w:pPr>
                    <w:r w:rsidRPr="006F7F58">
                      <w:rPr>
                        <w:sz w:val="14"/>
                        <w:szCs w:val="14"/>
                      </w:rPr>
                      <w:t>0</w:t>
                    </w:r>
                  </w:p>
                </w:tc>
                <w:tc>
                  <w:tcPr>
                    <w:tcW w:w="452" w:type="pct"/>
                    <w:vAlign w:val="center"/>
                  </w:tcPr>
                  <w:p w:rsidR="00084029" w:rsidRPr="006F7F58" w:rsidRDefault="00084029" w:rsidP="00084029">
                    <w:pPr>
                      <w:jc w:val="right"/>
                      <w:rPr>
                        <w:sz w:val="14"/>
                        <w:szCs w:val="14"/>
                      </w:rPr>
                    </w:pPr>
                    <w:r w:rsidRPr="006F7F58">
                      <w:rPr>
                        <w:sz w:val="14"/>
                        <w:szCs w:val="14"/>
                      </w:rPr>
                      <w:t>0</w:t>
                    </w:r>
                  </w:p>
                </w:tc>
                <w:tc>
                  <w:tcPr>
                    <w:tcW w:w="449" w:type="pct"/>
                    <w:vAlign w:val="center"/>
                  </w:tcPr>
                  <w:p w:rsidR="00084029" w:rsidRPr="006F7F58" w:rsidRDefault="00084029" w:rsidP="00084029">
                    <w:pPr>
                      <w:jc w:val="right"/>
                      <w:rPr>
                        <w:sz w:val="14"/>
                        <w:szCs w:val="14"/>
                      </w:rPr>
                    </w:pPr>
                    <w:r w:rsidRPr="006F7F58">
                      <w:rPr>
                        <w:sz w:val="14"/>
                        <w:szCs w:val="14"/>
                      </w:rPr>
                      <w:t>0</w:t>
                    </w:r>
                  </w:p>
                </w:tc>
                <w:tc>
                  <w:tcPr>
                    <w:tcW w:w="480" w:type="pct"/>
                    <w:vAlign w:val="center"/>
                  </w:tcPr>
                  <w:p w:rsidR="00084029" w:rsidRPr="006F7F58" w:rsidRDefault="00084029" w:rsidP="00084029">
                    <w:pPr>
                      <w:jc w:val="right"/>
                      <w:rPr>
                        <w:sz w:val="14"/>
                        <w:szCs w:val="14"/>
                      </w:rPr>
                    </w:pPr>
                    <w:r w:rsidRPr="006F7F58">
                      <w:rPr>
                        <w:sz w:val="14"/>
                        <w:szCs w:val="14"/>
                      </w:rPr>
                      <w:t>0</w:t>
                    </w:r>
                  </w:p>
                </w:tc>
              </w:tr>
              <w:tr w:rsidR="00084029" w:rsidRPr="006F7F58" w:rsidTr="00084029">
                <w:sdt>
                  <w:sdtPr>
                    <w:rPr>
                      <w:sz w:val="14"/>
                      <w:szCs w:val="14"/>
                    </w:rPr>
                    <w:tag w:val="_PLD_9db953ff4eb242bd9b2d516481ce5c51"/>
                    <w:id w:val="-1855335894"/>
                    <w:lock w:val="sdtLocked"/>
                  </w:sdtPr>
                  <w:sdtContent>
                    <w:tc>
                      <w:tcPr>
                        <w:tcW w:w="639" w:type="pct"/>
                      </w:tcPr>
                      <w:p w:rsidR="00084029" w:rsidRPr="006F7F58" w:rsidRDefault="00084029" w:rsidP="00084029">
                        <w:pPr>
                          <w:rPr>
                            <w:sz w:val="14"/>
                            <w:szCs w:val="14"/>
                          </w:rPr>
                        </w:pPr>
                        <w:r w:rsidRPr="006F7F58">
                          <w:rPr>
                            <w:sz w:val="14"/>
                            <w:szCs w:val="14"/>
                          </w:rPr>
                          <w:t>3．盈余公积弥补亏损</w:t>
                        </w:r>
                      </w:p>
                    </w:tc>
                  </w:sdtContent>
                </w:sdt>
                <w:tc>
                  <w:tcPr>
                    <w:tcW w:w="506" w:type="pct"/>
                    <w:vAlign w:val="center"/>
                  </w:tcPr>
                  <w:p w:rsidR="00084029" w:rsidRPr="006F7F58" w:rsidRDefault="00084029" w:rsidP="00084029">
                    <w:pPr>
                      <w:jc w:val="right"/>
                      <w:rPr>
                        <w:sz w:val="14"/>
                        <w:szCs w:val="14"/>
                      </w:rPr>
                    </w:pPr>
                    <w:r w:rsidRPr="006F7F58">
                      <w:rPr>
                        <w:sz w:val="14"/>
                        <w:szCs w:val="14"/>
                      </w:rPr>
                      <w:t>0</w:t>
                    </w:r>
                  </w:p>
                </w:tc>
                <w:tc>
                  <w:tcPr>
                    <w:tcW w:w="401" w:type="pct"/>
                    <w:vAlign w:val="center"/>
                  </w:tcPr>
                  <w:p w:rsidR="00084029" w:rsidRPr="006F7F58" w:rsidRDefault="00084029" w:rsidP="00084029">
                    <w:pPr>
                      <w:jc w:val="right"/>
                      <w:rPr>
                        <w:sz w:val="14"/>
                        <w:szCs w:val="14"/>
                      </w:rPr>
                    </w:pPr>
                    <w:r w:rsidRPr="006F7F58">
                      <w:rPr>
                        <w:sz w:val="14"/>
                        <w:szCs w:val="14"/>
                      </w:rPr>
                      <w:t>0</w:t>
                    </w:r>
                  </w:p>
                </w:tc>
                <w:tc>
                  <w:tcPr>
                    <w:tcW w:w="424" w:type="pct"/>
                    <w:vAlign w:val="center"/>
                  </w:tcPr>
                  <w:p w:rsidR="00084029" w:rsidRPr="006F7F58" w:rsidRDefault="00084029" w:rsidP="00084029">
                    <w:pPr>
                      <w:jc w:val="right"/>
                      <w:rPr>
                        <w:sz w:val="14"/>
                        <w:szCs w:val="14"/>
                      </w:rPr>
                    </w:pPr>
                    <w:r w:rsidRPr="006F7F58">
                      <w:rPr>
                        <w:sz w:val="14"/>
                        <w:szCs w:val="14"/>
                      </w:rPr>
                      <w:t>0</w:t>
                    </w:r>
                  </w:p>
                </w:tc>
                <w:tc>
                  <w:tcPr>
                    <w:tcW w:w="549" w:type="pct"/>
                    <w:vAlign w:val="center"/>
                  </w:tcPr>
                  <w:p w:rsidR="00084029" w:rsidRPr="006F7F58" w:rsidRDefault="00084029" w:rsidP="00084029">
                    <w:pPr>
                      <w:jc w:val="right"/>
                      <w:rPr>
                        <w:sz w:val="14"/>
                        <w:szCs w:val="14"/>
                      </w:rPr>
                    </w:pPr>
                    <w:r w:rsidRPr="006F7F58">
                      <w:rPr>
                        <w:sz w:val="14"/>
                        <w:szCs w:val="14"/>
                      </w:rPr>
                      <w:t>0</w:t>
                    </w:r>
                  </w:p>
                </w:tc>
                <w:tc>
                  <w:tcPr>
                    <w:tcW w:w="601" w:type="pct"/>
                    <w:vAlign w:val="center"/>
                  </w:tcPr>
                  <w:p w:rsidR="00084029" w:rsidRPr="006F7F58" w:rsidRDefault="00084029" w:rsidP="00084029">
                    <w:pPr>
                      <w:jc w:val="right"/>
                      <w:rPr>
                        <w:sz w:val="14"/>
                        <w:szCs w:val="14"/>
                      </w:rPr>
                    </w:pPr>
                    <w:r w:rsidRPr="006F7F58">
                      <w:rPr>
                        <w:sz w:val="14"/>
                        <w:szCs w:val="14"/>
                      </w:rPr>
                      <w:t>0</w:t>
                    </w:r>
                  </w:p>
                </w:tc>
                <w:tc>
                  <w:tcPr>
                    <w:tcW w:w="499" w:type="pct"/>
                    <w:vAlign w:val="center"/>
                  </w:tcPr>
                  <w:p w:rsidR="00084029" w:rsidRPr="006F7F58" w:rsidRDefault="00084029" w:rsidP="00084029">
                    <w:pPr>
                      <w:jc w:val="right"/>
                      <w:rPr>
                        <w:sz w:val="14"/>
                        <w:szCs w:val="14"/>
                      </w:rPr>
                    </w:pPr>
                    <w:r w:rsidRPr="006F7F58">
                      <w:rPr>
                        <w:sz w:val="14"/>
                        <w:szCs w:val="14"/>
                      </w:rPr>
                      <w:t>0</w:t>
                    </w:r>
                  </w:p>
                </w:tc>
                <w:tc>
                  <w:tcPr>
                    <w:tcW w:w="452" w:type="pct"/>
                    <w:vAlign w:val="center"/>
                  </w:tcPr>
                  <w:p w:rsidR="00084029" w:rsidRPr="006F7F58" w:rsidRDefault="00084029" w:rsidP="00084029">
                    <w:pPr>
                      <w:jc w:val="right"/>
                      <w:rPr>
                        <w:sz w:val="14"/>
                        <w:szCs w:val="14"/>
                      </w:rPr>
                    </w:pPr>
                    <w:r w:rsidRPr="006F7F58">
                      <w:rPr>
                        <w:sz w:val="14"/>
                        <w:szCs w:val="14"/>
                      </w:rPr>
                      <w:t>0</w:t>
                    </w:r>
                  </w:p>
                </w:tc>
                <w:tc>
                  <w:tcPr>
                    <w:tcW w:w="449" w:type="pct"/>
                    <w:vAlign w:val="center"/>
                  </w:tcPr>
                  <w:p w:rsidR="00084029" w:rsidRPr="006F7F58" w:rsidRDefault="00084029" w:rsidP="00084029">
                    <w:pPr>
                      <w:jc w:val="right"/>
                      <w:rPr>
                        <w:sz w:val="14"/>
                        <w:szCs w:val="14"/>
                      </w:rPr>
                    </w:pPr>
                    <w:r w:rsidRPr="006F7F58">
                      <w:rPr>
                        <w:sz w:val="14"/>
                        <w:szCs w:val="14"/>
                      </w:rPr>
                      <w:t>0</w:t>
                    </w:r>
                  </w:p>
                </w:tc>
                <w:tc>
                  <w:tcPr>
                    <w:tcW w:w="480" w:type="pct"/>
                    <w:vAlign w:val="center"/>
                  </w:tcPr>
                  <w:p w:rsidR="00084029" w:rsidRPr="006F7F58" w:rsidRDefault="00084029" w:rsidP="00084029">
                    <w:pPr>
                      <w:jc w:val="right"/>
                      <w:rPr>
                        <w:sz w:val="14"/>
                        <w:szCs w:val="14"/>
                      </w:rPr>
                    </w:pPr>
                    <w:r w:rsidRPr="006F7F58">
                      <w:rPr>
                        <w:sz w:val="14"/>
                        <w:szCs w:val="14"/>
                      </w:rPr>
                      <w:t>0</w:t>
                    </w:r>
                  </w:p>
                </w:tc>
              </w:tr>
              <w:tr w:rsidR="00084029" w:rsidRPr="006F7F58" w:rsidTr="00084029">
                <w:tc>
                  <w:tcPr>
                    <w:tcW w:w="639" w:type="pct"/>
                  </w:tcPr>
                  <w:sdt>
                    <w:sdtPr>
                      <w:rPr>
                        <w:sz w:val="14"/>
                        <w:szCs w:val="14"/>
                      </w:rPr>
                      <w:tag w:val="_PLD_4cff15a1162840c480701077d824f063"/>
                      <w:id w:val="-1089454252"/>
                      <w:lock w:val="sdtLocked"/>
                    </w:sdtPr>
                    <w:sdtContent>
                      <w:p w:rsidR="00084029" w:rsidRPr="006F7F58" w:rsidRDefault="00084029" w:rsidP="00084029">
                        <w:pPr>
                          <w:rPr>
                            <w:sz w:val="14"/>
                            <w:szCs w:val="14"/>
                          </w:rPr>
                        </w:pPr>
                        <w:r w:rsidRPr="006F7F58">
                          <w:rPr>
                            <w:sz w:val="14"/>
                            <w:szCs w:val="14"/>
                          </w:rPr>
                          <w:t>4．设定受益计划变动额结转留存收益</w:t>
                        </w:r>
                      </w:p>
                    </w:sdtContent>
                  </w:sdt>
                </w:tc>
                <w:tc>
                  <w:tcPr>
                    <w:tcW w:w="506" w:type="pct"/>
                    <w:vAlign w:val="center"/>
                  </w:tcPr>
                  <w:p w:rsidR="00084029" w:rsidRPr="006F7F58" w:rsidRDefault="00084029" w:rsidP="00084029">
                    <w:pPr>
                      <w:jc w:val="right"/>
                      <w:rPr>
                        <w:sz w:val="14"/>
                        <w:szCs w:val="14"/>
                      </w:rPr>
                    </w:pPr>
                    <w:r w:rsidRPr="006F7F58">
                      <w:rPr>
                        <w:sz w:val="14"/>
                        <w:szCs w:val="14"/>
                      </w:rPr>
                      <w:t>0</w:t>
                    </w:r>
                  </w:p>
                </w:tc>
                <w:tc>
                  <w:tcPr>
                    <w:tcW w:w="401" w:type="pct"/>
                    <w:vAlign w:val="center"/>
                  </w:tcPr>
                  <w:p w:rsidR="00084029" w:rsidRPr="006F7F58" w:rsidRDefault="00084029" w:rsidP="00084029">
                    <w:pPr>
                      <w:jc w:val="right"/>
                      <w:rPr>
                        <w:sz w:val="14"/>
                        <w:szCs w:val="14"/>
                      </w:rPr>
                    </w:pPr>
                    <w:r w:rsidRPr="006F7F58">
                      <w:rPr>
                        <w:sz w:val="14"/>
                        <w:szCs w:val="14"/>
                      </w:rPr>
                      <w:t>0</w:t>
                    </w:r>
                  </w:p>
                </w:tc>
                <w:tc>
                  <w:tcPr>
                    <w:tcW w:w="424" w:type="pct"/>
                    <w:vAlign w:val="center"/>
                  </w:tcPr>
                  <w:p w:rsidR="00084029" w:rsidRPr="006F7F58" w:rsidRDefault="00084029" w:rsidP="00084029">
                    <w:pPr>
                      <w:jc w:val="right"/>
                      <w:rPr>
                        <w:sz w:val="14"/>
                        <w:szCs w:val="14"/>
                      </w:rPr>
                    </w:pPr>
                    <w:r w:rsidRPr="006F7F58">
                      <w:rPr>
                        <w:sz w:val="14"/>
                        <w:szCs w:val="14"/>
                      </w:rPr>
                      <w:t>0</w:t>
                    </w:r>
                  </w:p>
                </w:tc>
                <w:tc>
                  <w:tcPr>
                    <w:tcW w:w="549" w:type="pct"/>
                    <w:vAlign w:val="center"/>
                  </w:tcPr>
                  <w:p w:rsidR="00084029" w:rsidRPr="006F7F58" w:rsidRDefault="00084029" w:rsidP="00084029">
                    <w:pPr>
                      <w:jc w:val="right"/>
                      <w:rPr>
                        <w:sz w:val="14"/>
                        <w:szCs w:val="14"/>
                      </w:rPr>
                    </w:pPr>
                    <w:r w:rsidRPr="006F7F58">
                      <w:rPr>
                        <w:sz w:val="14"/>
                        <w:szCs w:val="14"/>
                      </w:rPr>
                      <w:t>0</w:t>
                    </w:r>
                  </w:p>
                </w:tc>
                <w:tc>
                  <w:tcPr>
                    <w:tcW w:w="601" w:type="pct"/>
                    <w:vAlign w:val="center"/>
                  </w:tcPr>
                  <w:p w:rsidR="00084029" w:rsidRPr="006F7F58" w:rsidRDefault="00084029" w:rsidP="00084029">
                    <w:pPr>
                      <w:jc w:val="right"/>
                      <w:rPr>
                        <w:sz w:val="14"/>
                        <w:szCs w:val="14"/>
                      </w:rPr>
                    </w:pPr>
                    <w:r w:rsidRPr="006F7F58">
                      <w:rPr>
                        <w:sz w:val="14"/>
                        <w:szCs w:val="14"/>
                      </w:rPr>
                      <w:t>0</w:t>
                    </w:r>
                  </w:p>
                </w:tc>
                <w:tc>
                  <w:tcPr>
                    <w:tcW w:w="499" w:type="pct"/>
                    <w:vAlign w:val="center"/>
                  </w:tcPr>
                  <w:p w:rsidR="00084029" w:rsidRPr="006F7F58" w:rsidRDefault="00084029" w:rsidP="00084029">
                    <w:pPr>
                      <w:jc w:val="right"/>
                      <w:rPr>
                        <w:sz w:val="14"/>
                        <w:szCs w:val="14"/>
                      </w:rPr>
                    </w:pPr>
                    <w:r w:rsidRPr="006F7F58">
                      <w:rPr>
                        <w:sz w:val="14"/>
                        <w:szCs w:val="14"/>
                      </w:rPr>
                      <w:t>0</w:t>
                    </w:r>
                  </w:p>
                </w:tc>
                <w:tc>
                  <w:tcPr>
                    <w:tcW w:w="452" w:type="pct"/>
                    <w:vAlign w:val="center"/>
                  </w:tcPr>
                  <w:p w:rsidR="00084029" w:rsidRPr="006F7F58" w:rsidRDefault="00084029" w:rsidP="00084029">
                    <w:pPr>
                      <w:jc w:val="right"/>
                      <w:rPr>
                        <w:sz w:val="14"/>
                        <w:szCs w:val="14"/>
                      </w:rPr>
                    </w:pPr>
                    <w:r w:rsidRPr="006F7F58">
                      <w:rPr>
                        <w:sz w:val="14"/>
                        <w:szCs w:val="14"/>
                      </w:rPr>
                      <w:t>0</w:t>
                    </w:r>
                  </w:p>
                </w:tc>
                <w:tc>
                  <w:tcPr>
                    <w:tcW w:w="449" w:type="pct"/>
                    <w:vAlign w:val="center"/>
                  </w:tcPr>
                  <w:p w:rsidR="00084029" w:rsidRPr="006F7F58" w:rsidRDefault="00084029" w:rsidP="00084029">
                    <w:pPr>
                      <w:jc w:val="right"/>
                      <w:rPr>
                        <w:sz w:val="14"/>
                        <w:szCs w:val="14"/>
                      </w:rPr>
                    </w:pPr>
                    <w:r w:rsidRPr="006F7F58">
                      <w:rPr>
                        <w:sz w:val="14"/>
                        <w:szCs w:val="14"/>
                      </w:rPr>
                      <w:t>0</w:t>
                    </w:r>
                  </w:p>
                </w:tc>
                <w:tc>
                  <w:tcPr>
                    <w:tcW w:w="480" w:type="pct"/>
                    <w:vAlign w:val="center"/>
                  </w:tcPr>
                  <w:p w:rsidR="00084029" w:rsidRPr="006F7F58" w:rsidRDefault="00084029" w:rsidP="00084029">
                    <w:pPr>
                      <w:jc w:val="right"/>
                      <w:rPr>
                        <w:sz w:val="14"/>
                        <w:szCs w:val="14"/>
                      </w:rPr>
                    </w:pPr>
                    <w:r w:rsidRPr="006F7F58">
                      <w:rPr>
                        <w:sz w:val="14"/>
                        <w:szCs w:val="14"/>
                      </w:rPr>
                      <w:t>0</w:t>
                    </w:r>
                  </w:p>
                </w:tc>
              </w:tr>
              <w:tr w:rsidR="00084029" w:rsidRPr="006F7F58" w:rsidTr="00084029">
                <w:tc>
                  <w:tcPr>
                    <w:tcW w:w="639" w:type="pct"/>
                  </w:tcPr>
                  <w:sdt>
                    <w:sdtPr>
                      <w:rPr>
                        <w:sz w:val="14"/>
                        <w:szCs w:val="14"/>
                      </w:rPr>
                      <w:tag w:val="_PLD_01b44dab85214948b610b65ce91a85dd"/>
                      <w:id w:val="2040013072"/>
                      <w:lock w:val="sdtLocked"/>
                    </w:sdtPr>
                    <w:sdtContent>
                      <w:p w:rsidR="00084029" w:rsidRPr="006F7F58" w:rsidRDefault="00084029" w:rsidP="00084029">
                        <w:pPr>
                          <w:rPr>
                            <w:sz w:val="14"/>
                            <w:szCs w:val="14"/>
                          </w:rPr>
                        </w:pPr>
                        <w:r w:rsidRPr="006F7F58">
                          <w:rPr>
                            <w:sz w:val="14"/>
                            <w:szCs w:val="14"/>
                          </w:rPr>
                          <w:t>5．其他综合收益结转留存收益</w:t>
                        </w:r>
                      </w:p>
                    </w:sdtContent>
                  </w:sdt>
                </w:tc>
                <w:tc>
                  <w:tcPr>
                    <w:tcW w:w="506" w:type="pct"/>
                    <w:vAlign w:val="center"/>
                  </w:tcPr>
                  <w:p w:rsidR="00084029" w:rsidRPr="006F7F58" w:rsidRDefault="00084029" w:rsidP="00084029">
                    <w:pPr>
                      <w:jc w:val="right"/>
                      <w:rPr>
                        <w:sz w:val="14"/>
                        <w:szCs w:val="14"/>
                      </w:rPr>
                    </w:pPr>
                    <w:r w:rsidRPr="006F7F58">
                      <w:rPr>
                        <w:sz w:val="14"/>
                        <w:szCs w:val="14"/>
                      </w:rPr>
                      <w:t>0</w:t>
                    </w:r>
                  </w:p>
                </w:tc>
                <w:tc>
                  <w:tcPr>
                    <w:tcW w:w="401" w:type="pct"/>
                    <w:vAlign w:val="center"/>
                  </w:tcPr>
                  <w:p w:rsidR="00084029" w:rsidRPr="006F7F58" w:rsidRDefault="00084029" w:rsidP="00084029">
                    <w:pPr>
                      <w:jc w:val="right"/>
                      <w:rPr>
                        <w:sz w:val="14"/>
                        <w:szCs w:val="14"/>
                      </w:rPr>
                    </w:pPr>
                    <w:r w:rsidRPr="006F7F58">
                      <w:rPr>
                        <w:sz w:val="14"/>
                        <w:szCs w:val="14"/>
                      </w:rPr>
                      <w:t>0</w:t>
                    </w:r>
                  </w:p>
                </w:tc>
                <w:tc>
                  <w:tcPr>
                    <w:tcW w:w="424" w:type="pct"/>
                    <w:vAlign w:val="center"/>
                  </w:tcPr>
                  <w:p w:rsidR="00084029" w:rsidRPr="006F7F58" w:rsidRDefault="00084029" w:rsidP="00084029">
                    <w:pPr>
                      <w:jc w:val="right"/>
                      <w:rPr>
                        <w:sz w:val="14"/>
                        <w:szCs w:val="14"/>
                      </w:rPr>
                    </w:pPr>
                    <w:r w:rsidRPr="006F7F58">
                      <w:rPr>
                        <w:sz w:val="14"/>
                        <w:szCs w:val="14"/>
                      </w:rPr>
                      <w:t>0</w:t>
                    </w:r>
                  </w:p>
                </w:tc>
                <w:tc>
                  <w:tcPr>
                    <w:tcW w:w="549" w:type="pct"/>
                    <w:vAlign w:val="center"/>
                  </w:tcPr>
                  <w:p w:rsidR="00084029" w:rsidRPr="006F7F58" w:rsidRDefault="00084029" w:rsidP="00084029">
                    <w:pPr>
                      <w:jc w:val="right"/>
                      <w:rPr>
                        <w:sz w:val="14"/>
                        <w:szCs w:val="14"/>
                      </w:rPr>
                    </w:pPr>
                    <w:r w:rsidRPr="006F7F58">
                      <w:rPr>
                        <w:sz w:val="14"/>
                        <w:szCs w:val="14"/>
                      </w:rPr>
                      <w:t>0</w:t>
                    </w:r>
                  </w:p>
                </w:tc>
                <w:tc>
                  <w:tcPr>
                    <w:tcW w:w="601" w:type="pct"/>
                    <w:vAlign w:val="center"/>
                  </w:tcPr>
                  <w:p w:rsidR="00084029" w:rsidRPr="006F7F58" w:rsidRDefault="00084029" w:rsidP="00084029">
                    <w:pPr>
                      <w:jc w:val="right"/>
                      <w:rPr>
                        <w:sz w:val="14"/>
                        <w:szCs w:val="14"/>
                      </w:rPr>
                    </w:pPr>
                    <w:r w:rsidRPr="006F7F58">
                      <w:rPr>
                        <w:sz w:val="14"/>
                        <w:szCs w:val="14"/>
                      </w:rPr>
                      <w:t>0</w:t>
                    </w:r>
                  </w:p>
                </w:tc>
                <w:tc>
                  <w:tcPr>
                    <w:tcW w:w="499" w:type="pct"/>
                    <w:vAlign w:val="center"/>
                  </w:tcPr>
                  <w:p w:rsidR="00084029" w:rsidRPr="006F7F58" w:rsidRDefault="00084029" w:rsidP="00084029">
                    <w:pPr>
                      <w:jc w:val="right"/>
                      <w:rPr>
                        <w:sz w:val="14"/>
                        <w:szCs w:val="14"/>
                      </w:rPr>
                    </w:pPr>
                    <w:r w:rsidRPr="006F7F58">
                      <w:rPr>
                        <w:sz w:val="14"/>
                        <w:szCs w:val="14"/>
                      </w:rPr>
                      <w:t>0</w:t>
                    </w:r>
                  </w:p>
                </w:tc>
                <w:tc>
                  <w:tcPr>
                    <w:tcW w:w="452" w:type="pct"/>
                    <w:vAlign w:val="center"/>
                  </w:tcPr>
                  <w:p w:rsidR="00084029" w:rsidRPr="006F7F58" w:rsidRDefault="00084029" w:rsidP="00084029">
                    <w:pPr>
                      <w:jc w:val="right"/>
                      <w:rPr>
                        <w:sz w:val="14"/>
                        <w:szCs w:val="14"/>
                      </w:rPr>
                    </w:pPr>
                    <w:r w:rsidRPr="006F7F58">
                      <w:rPr>
                        <w:sz w:val="14"/>
                        <w:szCs w:val="14"/>
                      </w:rPr>
                      <w:t>0</w:t>
                    </w:r>
                  </w:p>
                </w:tc>
                <w:tc>
                  <w:tcPr>
                    <w:tcW w:w="449" w:type="pct"/>
                    <w:vAlign w:val="center"/>
                  </w:tcPr>
                  <w:p w:rsidR="00084029" w:rsidRPr="006F7F58" w:rsidRDefault="00084029" w:rsidP="00084029">
                    <w:pPr>
                      <w:jc w:val="right"/>
                      <w:rPr>
                        <w:sz w:val="14"/>
                        <w:szCs w:val="14"/>
                      </w:rPr>
                    </w:pPr>
                    <w:r w:rsidRPr="006F7F58">
                      <w:rPr>
                        <w:sz w:val="14"/>
                        <w:szCs w:val="14"/>
                      </w:rPr>
                      <w:t>0</w:t>
                    </w:r>
                  </w:p>
                </w:tc>
                <w:tc>
                  <w:tcPr>
                    <w:tcW w:w="480" w:type="pct"/>
                    <w:vAlign w:val="center"/>
                  </w:tcPr>
                  <w:p w:rsidR="00084029" w:rsidRPr="006F7F58" w:rsidRDefault="00084029" w:rsidP="00084029">
                    <w:pPr>
                      <w:jc w:val="right"/>
                      <w:rPr>
                        <w:sz w:val="14"/>
                        <w:szCs w:val="14"/>
                      </w:rPr>
                    </w:pPr>
                    <w:r w:rsidRPr="006F7F58">
                      <w:rPr>
                        <w:sz w:val="14"/>
                        <w:szCs w:val="14"/>
                      </w:rPr>
                      <w:t>0</w:t>
                    </w:r>
                  </w:p>
                </w:tc>
              </w:tr>
              <w:tr w:rsidR="00084029" w:rsidRPr="006F7F58" w:rsidTr="00084029">
                <w:sdt>
                  <w:sdtPr>
                    <w:rPr>
                      <w:sz w:val="14"/>
                      <w:szCs w:val="14"/>
                    </w:rPr>
                    <w:tag w:val="_PLD_3ac599075bf24593ba41b1bec2fb0e9e"/>
                    <w:id w:val="-238250906"/>
                    <w:lock w:val="sdtLocked"/>
                  </w:sdtPr>
                  <w:sdtContent>
                    <w:tc>
                      <w:tcPr>
                        <w:tcW w:w="639" w:type="pct"/>
                      </w:tcPr>
                      <w:p w:rsidR="00084029" w:rsidRPr="006F7F58" w:rsidRDefault="00084029" w:rsidP="00084029">
                        <w:pPr>
                          <w:rPr>
                            <w:sz w:val="14"/>
                            <w:szCs w:val="14"/>
                          </w:rPr>
                        </w:pPr>
                        <w:r w:rsidRPr="006F7F58">
                          <w:rPr>
                            <w:sz w:val="14"/>
                            <w:szCs w:val="14"/>
                          </w:rPr>
                          <w:t>6．其他</w:t>
                        </w:r>
                      </w:p>
                    </w:tc>
                  </w:sdtContent>
                </w:sdt>
                <w:tc>
                  <w:tcPr>
                    <w:tcW w:w="506" w:type="pct"/>
                    <w:vAlign w:val="center"/>
                  </w:tcPr>
                  <w:p w:rsidR="00084029" w:rsidRPr="006F7F58" w:rsidRDefault="00084029" w:rsidP="00084029">
                    <w:pPr>
                      <w:jc w:val="right"/>
                      <w:rPr>
                        <w:sz w:val="14"/>
                        <w:szCs w:val="14"/>
                      </w:rPr>
                    </w:pPr>
                    <w:r w:rsidRPr="006F7F58">
                      <w:rPr>
                        <w:sz w:val="14"/>
                        <w:szCs w:val="14"/>
                      </w:rPr>
                      <w:t>0</w:t>
                    </w:r>
                  </w:p>
                </w:tc>
                <w:tc>
                  <w:tcPr>
                    <w:tcW w:w="401" w:type="pct"/>
                    <w:vAlign w:val="center"/>
                  </w:tcPr>
                  <w:p w:rsidR="00084029" w:rsidRPr="006F7F58" w:rsidRDefault="00084029" w:rsidP="00084029">
                    <w:pPr>
                      <w:jc w:val="right"/>
                      <w:rPr>
                        <w:sz w:val="14"/>
                        <w:szCs w:val="14"/>
                      </w:rPr>
                    </w:pPr>
                    <w:r w:rsidRPr="006F7F58">
                      <w:rPr>
                        <w:sz w:val="14"/>
                        <w:szCs w:val="14"/>
                      </w:rPr>
                      <w:t>0</w:t>
                    </w:r>
                  </w:p>
                </w:tc>
                <w:tc>
                  <w:tcPr>
                    <w:tcW w:w="424" w:type="pct"/>
                    <w:vAlign w:val="center"/>
                  </w:tcPr>
                  <w:p w:rsidR="00084029" w:rsidRPr="006F7F58" w:rsidRDefault="00084029" w:rsidP="00084029">
                    <w:pPr>
                      <w:jc w:val="right"/>
                      <w:rPr>
                        <w:sz w:val="14"/>
                        <w:szCs w:val="14"/>
                      </w:rPr>
                    </w:pPr>
                    <w:r w:rsidRPr="006F7F58">
                      <w:rPr>
                        <w:sz w:val="14"/>
                        <w:szCs w:val="14"/>
                      </w:rPr>
                      <w:t>0</w:t>
                    </w:r>
                  </w:p>
                </w:tc>
                <w:tc>
                  <w:tcPr>
                    <w:tcW w:w="549" w:type="pct"/>
                    <w:vAlign w:val="center"/>
                  </w:tcPr>
                  <w:p w:rsidR="00084029" w:rsidRPr="006F7F58" w:rsidRDefault="00084029" w:rsidP="00084029">
                    <w:pPr>
                      <w:jc w:val="right"/>
                      <w:rPr>
                        <w:sz w:val="14"/>
                        <w:szCs w:val="14"/>
                      </w:rPr>
                    </w:pPr>
                    <w:r w:rsidRPr="006F7F58">
                      <w:rPr>
                        <w:sz w:val="14"/>
                        <w:szCs w:val="14"/>
                      </w:rPr>
                      <w:t>0</w:t>
                    </w:r>
                  </w:p>
                </w:tc>
                <w:tc>
                  <w:tcPr>
                    <w:tcW w:w="601" w:type="pct"/>
                    <w:vAlign w:val="center"/>
                  </w:tcPr>
                  <w:p w:rsidR="00084029" w:rsidRPr="006F7F58" w:rsidRDefault="00084029" w:rsidP="00084029">
                    <w:pPr>
                      <w:jc w:val="right"/>
                      <w:rPr>
                        <w:sz w:val="14"/>
                        <w:szCs w:val="14"/>
                      </w:rPr>
                    </w:pPr>
                    <w:r w:rsidRPr="006F7F58">
                      <w:rPr>
                        <w:sz w:val="14"/>
                        <w:szCs w:val="14"/>
                      </w:rPr>
                      <w:t>0</w:t>
                    </w:r>
                  </w:p>
                </w:tc>
                <w:tc>
                  <w:tcPr>
                    <w:tcW w:w="499" w:type="pct"/>
                    <w:vAlign w:val="center"/>
                  </w:tcPr>
                  <w:p w:rsidR="00084029" w:rsidRPr="006F7F58" w:rsidRDefault="00084029" w:rsidP="00084029">
                    <w:pPr>
                      <w:jc w:val="right"/>
                      <w:rPr>
                        <w:sz w:val="14"/>
                        <w:szCs w:val="14"/>
                      </w:rPr>
                    </w:pPr>
                    <w:r w:rsidRPr="006F7F58">
                      <w:rPr>
                        <w:sz w:val="14"/>
                        <w:szCs w:val="14"/>
                      </w:rPr>
                      <w:t>0</w:t>
                    </w:r>
                  </w:p>
                </w:tc>
                <w:tc>
                  <w:tcPr>
                    <w:tcW w:w="452" w:type="pct"/>
                    <w:vAlign w:val="center"/>
                  </w:tcPr>
                  <w:p w:rsidR="00084029" w:rsidRPr="006F7F58" w:rsidRDefault="00084029" w:rsidP="00084029">
                    <w:pPr>
                      <w:jc w:val="right"/>
                      <w:rPr>
                        <w:sz w:val="14"/>
                        <w:szCs w:val="14"/>
                      </w:rPr>
                    </w:pPr>
                    <w:r w:rsidRPr="006F7F58">
                      <w:rPr>
                        <w:sz w:val="14"/>
                        <w:szCs w:val="14"/>
                      </w:rPr>
                      <w:t>0</w:t>
                    </w:r>
                  </w:p>
                </w:tc>
                <w:tc>
                  <w:tcPr>
                    <w:tcW w:w="449" w:type="pct"/>
                    <w:vAlign w:val="center"/>
                  </w:tcPr>
                  <w:p w:rsidR="00084029" w:rsidRPr="006F7F58" w:rsidRDefault="00084029" w:rsidP="00084029">
                    <w:pPr>
                      <w:jc w:val="right"/>
                      <w:rPr>
                        <w:sz w:val="14"/>
                        <w:szCs w:val="14"/>
                      </w:rPr>
                    </w:pPr>
                    <w:r w:rsidRPr="006F7F58">
                      <w:rPr>
                        <w:sz w:val="14"/>
                        <w:szCs w:val="14"/>
                      </w:rPr>
                      <w:t>0</w:t>
                    </w:r>
                  </w:p>
                </w:tc>
                <w:tc>
                  <w:tcPr>
                    <w:tcW w:w="480" w:type="pct"/>
                    <w:vAlign w:val="center"/>
                  </w:tcPr>
                  <w:p w:rsidR="00084029" w:rsidRPr="006F7F58" w:rsidRDefault="00084029" w:rsidP="00084029">
                    <w:pPr>
                      <w:jc w:val="right"/>
                      <w:rPr>
                        <w:sz w:val="14"/>
                        <w:szCs w:val="14"/>
                      </w:rPr>
                    </w:pPr>
                    <w:r w:rsidRPr="006F7F58">
                      <w:rPr>
                        <w:sz w:val="14"/>
                        <w:szCs w:val="14"/>
                      </w:rPr>
                      <w:t>0</w:t>
                    </w:r>
                  </w:p>
                </w:tc>
              </w:tr>
              <w:tr w:rsidR="00084029" w:rsidRPr="006F7F58" w:rsidTr="00084029">
                <w:sdt>
                  <w:sdtPr>
                    <w:rPr>
                      <w:sz w:val="14"/>
                      <w:szCs w:val="14"/>
                    </w:rPr>
                    <w:tag w:val="_PLD_e606d8680d944e6999b3743f1fcf75f9"/>
                    <w:id w:val="1988355152"/>
                    <w:lock w:val="sdtLocked"/>
                  </w:sdtPr>
                  <w:sdtContent>
                    <w:tc>
                      <w:tcPr>
                        <w:tcW w:w="639" w:type="pct"/>
                      </w:tcPr>
                      <w:p w:rsidR="00084029" w:rsidRPr="006F7F58" w:rsidRDefault="00084029" w:rsidP="00084029">
                        <w:pPr>
                          <w:rPr>
                            <w:sz w:val="14"/>
                            <w:szCs w:val="14"/>
                          </w:rPr>
                        </w:pPr>
                        <w:r w:rsidRPr="006F7F58">
                          <w:rPr>
                            <w:rFonts w:hint="eastAsia"/>
                            <w:sz w:val="14"/>
                            <w:szCs w:val="14"/>
                          </w:rPr>
                          <w:t>（五）专项储备</w:t>
                        </w:r>
                      </w:p>
                    </w:tc>
                  </w:sdtContent>
                </w:sdt>
                <w:tc>
                  <w:tcPr>
                    <w:tcW w:w="506" w:type="pct"/>
                    <w:vAlign w:val="center"/>
                  </w:tcPr>
                  <w:p w:rsidR="00084029" w:rsidRPr="006F7F58" w:rsidRDefault="00084029" w:rsidP="00084029">
                    <w:pPr>
                      <w:jc w:val="right"/>
                      <w:rPr>
                        <w:sz w:val="14"/>
                        <w:szCs w:val="14"/>
                      </w:rPr>
                    </w:pPr>
                    <w:r w:rsidRPr="006F7F58">
                      <w:rPr>
                        <w:sz w:val="14"/>
                        <w:szCs w:val="14"/>
                      </w:rPr>
                      <w:t>0</w:t>
                    </w:r>
                  </w:p>
                </w:tc>
                <w:tc>
                  <w:tcPr>
                    <w:tcW w:w="401" w:type="pct"/>
                    <w:vAlign w:val="center"/>
                  </w:tcPr>
                  <w:p w:rsidR="00084029" w:rsidRPr="006F7F58" w:rsidRDefault="00084029" w:rsidP="00084029">
                    <w:pPr>
                      <w:jc w:val="right"/>
                      <w:rPr>
                        <w:sz w:val="14"/>
                        <w:szCs w:val="14"/>
                      </w:rPr>
                    </w:pPr>
                    <w:r w:rsidRPr="006F7F58">
                      <w:rPr>
                        <w:sz w:val="14"/>
                        <w:szCs w:val="14"/>
                      </w:rPr>
                      <w:t>0</w:t>
                    </w:r>
                  </w:p>
                </w:tc>
                <w:tc>
                  <w:tcPr>
                    <w:tcW w:w="424" w:type="pct"/>
                    <w:vAlign w:val="center"/>
                  </w:tcPr>
                  <w:p w:rsidR="00084029" w:rsidRPr="006F7F58" w:rsidRDefault="00084029" w:rsidP="00084029">
                    <w:pPr>
                      <w:jc w:val="right"/>
                      <w:rPr>
                        <w:sz w:val="14"/>
                        <w:szCs w:val="14"/>
                      </w:rPr>
                    </w:pPr>
                    <w:r w:rsidRPr="006F7F58">
                      <w:rPr>
                        <w:sz w:val="14"/>
                        <w:szCs w:val="14"/>
                      </w:rPr>
                      <w:t>0</w:t>
                    </w:r>
                  </w:p>
                </w:tc>
                <w:tc>
                  <w:tcPr>
                    <w:tcW w:w="549" w:type="pct"/>
                    <w:vAlign w:val="center"/>
                  </w:tcPr>
                  <w:p w:rsidR="00084029" w:rsidRPr="006F7F58" w:rsidRDefault="00084029" w:rsidP="00084029">
                    <w:pPr>
                      <w:jc w:val="right"/>
                      <w:rPr>
                        <w:sz w:val="14"/>
                        <w:szCs w:val="14"/>
                      </w:rPr>
                    </w:pPr>
                    <w:r w:rsidRPr="006F7F58">
                      <w:rPr>
                        <w:sz w:val="14"/>
                        <w:szCs w:val="14"/>
                      </w:rPr>
                      <w:t>0</w:t>
                    </w:r>
                  </w:p>
                </w:tc>
                <w:tc>
                  <w:tcPr>
                    <w:tcW w:w="601" w:type="pct"/>
                    <w:vAlign w:val="center"/>
                  </w:tcPr>
                  <w:p w:rsidR="00084029" w:rsidRPr="006F7F58" w:rsidRDefault="00084029" w:rsidP="00084029">
                    <w:pPr>
                      <w:jc w:val="right"/>
                      <w:rPr>
                        <w:sz w:val="14"/>
                        <w:szCs w:val="14"/>
                      </w:rPr>
                    </w:pPr>
                    <w:r w:rsidRPr="006F7F58">
                      <w:rPr>
                        <w:sz w:val="14"/>
                        <w:szCs w:val="14"/>
                      </w:rPr>
                      <w:t>53,768,179</w:t>
                    </w:r>
                  </w:p>
                </w:tc>
                <w:tc>
                  <w:tcPr>
                    <w:tcW w:w="499" w:type="pct"/>
                    <w:vAlign w:val="center"/>
                  </w:tcPr>
                  <w:p w:rsidR="00084029" w:rsidRPr="006F7F58" w:rsidRDefault="00084029" w:rsidP="00084029">
                    <w:pPr>
                      <w:jc w:val="right"/>
                      <w:rPr>
                        <w:sz w:val="14"/>
                        <w:szCs w:val="14"/>
                      </w:rPr>
                    </w:pPr>
                    <w:r w:rsidRPr="006F7F58">
                      <w:rPr>
                        <w:sz w:val="14"/>
                        <w:szCs w:val="14"/>
                      </w:rPr>
                      <w:t>0</w:t>
                    </w:r>
                  </w:p>
                </w:tc>
                <w:tc>
                  <w:tcPr>
                    <w:tcW w:w="452" w:type="pct"/>
                    <w:vAlign w:val="center"/>
                  </w:tcPr>
                  <w:p w:rsidR="00084029" w:rsidRPr="006F7F58" w:rsidRDefault="00084029" w:rsidP="00084029">
                    <w:pPr>
                      <w:jc w:val="right"/>
                      <w:rPr>
                        <w:sz w:val="14"/>
                        <w:szCs w:val="14"/>
                      </w:rPr>
                    </w:pPr>
                    <w:r w:rsidRPr="006F7F58">
                      <w:rPr>
                        <w:sz w:val="14"/>
                        <w:szCs w:val="14"/>
                      </w:rPr>
                      <w:t>0</w:t>
                    </w:r>
                  </w:p>
                </w:tc>
                <w:tc>
                  <w:tcPr>
                    <w:tcW w:w="449" w:type="pct"/>
                    <w:vAlign w:val="center"/>
                  </w:tcPr>
                  <w:p w:rsidR="00084029" w:rsidRPr="006F7F58" w:rsidRDefault="00084029" w:rsidP="00084029">
                    <w:pPr>
                      <w:jc w:val="right"/>
                      <w:rPr>
                        <w:sz w:val="14"/>
                        <w:szCs w:val="14"/>
                      </w:rPr>
                    </w:pPr>
                    <w:r w:rsidRPr="006F7F58">
                      <w:rPr>
                        <w:sz w:val="14"/>
                        <w:szCs w:val="14"/>
                      </w:rPr>
                      <w:t>45,129,913</w:t>
                    </w:r>
                  </w:p>
                </w:tc>
                <w:tc>
                  <w:tcPr>
                    <w:tcW w:w="480" w:type="pct"/>
                    <w:vAlign w:val="center"/>
                  </w:tcPr>
                  <w:p w:rsidR="00084029" w:rsidRPr="006F7F58" w:rsidRDefault="00084029" w:rsidP="00084029">
                    <w:pPr>
                      <w:jc w:val="right"/>
                      <w:rPr>
                        <w:sz w:val="14"/>
                        <w:szCs w:val="14"/>
                      </w:rPr>
                    </w:pPr>
                    <w:r w:rsidRPr="006F7F58">
                      <w:rPr>
                        <w:sz w:val="14"/>
                        <w:szCs w:val="14"/>
                      </w:rPr>
                      <w:t>98,898,092</w:t>
                    </w:r>
                  </w:p>
                </w:tc>
              </w:tr>
              <w:tr w:rsidR="00084029" w:rsidRPr="006F7F58" w:rsidTr="00084029">
                <w:sdt>
                  <w:sdtPr>
                    <w:rPr>
                      <w:sz w:val="14"/>
                      <w:szCs w:val="14"/>
                    </w:rPr>
                    <w:tag w:val="_PLD_c1e7a107b4eb42c48000b98a786d499c"/>
                    <w:id w:val="1064760720"/>
                    <w:lock w:val="sdtLocked"/>
                  </w:sdtPr>
                  <w:sdtContent>
                    <w:tc>
                      <w:tcPr>
                        <w:tcW w:w="639" w:type="pct"/>
                      </w:tcPr>
                      <w:p w:rsidR="00084029" w:rsidRPr="006F7F58" w:rsidRDefault="00084029" w:rsidP="00084029">
                        <w:pPr>
                          <w:rPr>
                            <w:sz w:val="14"/>
                            <w:szCs w:val="14"/>
                          </w:rPr>
                        </w:pPr>
                        <w:r w:rsidRPr="006F7F58">
                          <w:rPr>
                            <w:rFonts w:hint="eastAsia"/>
                            <w:sz w:val="14"/>
                            <w:szCs w:val="14"/>
                          </w:rPr>
                          <w:t>1．本期提取</w:t>
                        </w:r>
                      </w:p>
                    </w:tc>
                  </w:sdtContent>
                </w:sdt>
                <w:tc>
                  <w:tcPr>
                    <w:tcW w:w="506" w:type="pct"/>
                    <w:vAlign w:val="center"/>
                  </w:tcPr>
                  <w:p w:rsidR="00084029" w:rsidRPr="006F7F58" w:rsidRDefault="00084029" w:rsidP="00084029">
                    <w:pPr>
                      <w:jc w:val="right"/>
                      <w:rPr>
                        <w:sz w:val="14"/>
                        <w:szCs w:val="14"/>
                      </w:rPr>
                    </w:pPr>
                    <w:r w:rsidRPr="006F7F58">
                      <w:rPr>
                        <w:sz w:val="14"/>
                        <w:szCs w:val="14"/>
                      </w:rPr>
                      <w:t>0</w:t>
                    </w:r>
                  </w:p>
                </w:tc>
                <w:tc>
                  <w:tcPr>
                    <w:tcW w:w="401" w:type="pct"/>
                    <w:vAlign w:val="center"/>
                  </w:tcPr>
                  <w:p w:rsidR="00084029" w:rsidRPr="006F7F58" w:rsidRDefault="00084029" w:rsidP="00084029">
                    <w:pPr>
                      <w:jc w:val="right"/>
                      <w:rPr>
                        <w:sz w:val="14"/>
                        <w:szCs w:val="14"/>
                      </w:rPr>
                    </w:pPr>
                    <w:r w:rsidRPr="006F7F58">
                      <w:rPr>
                        <w:sz w:val="14"/>
                        <w:szCs w:val="14"/>
                      </w:rPr>
                      <w:t>0</w:t>
                    </w:r>
                  </w:p>
                </w:tc>
                <w:tc>
                  <w:tcPr>
                    <w:tcW w:w="424" w:type="pct"/>
                    <w:vAlign w:val="center"/>
                  </w:tcPr>
                  <w:p w:rsidR="00084029" w:rsidRPr="006F7F58" w:rsidRDefault="00084029" w:rsidP="00084029">
                    <w:pPr>
                      <w:jc w:val="right"/>
                      <w:rPr>
                        <w:sz w:val="14"/>
                        <w:szCs w:val="14"/>
                      </w:rPr>
                    </w:pPr>
                    <w:r w:rsidRPr="006F7F58">
                      <w:rPr>
                        <w:sz w:val="14"/>
                        <w:szCs w:val="14"/>
                      </w:rPr>
                      <w:t>0</w:t>
                    </w:r>
                  </w:p>
                </w:tc>
                <w:tc>
                  <w:tcPr>
                    <w:tcW w:w="549" w:type="pct"/>
                    <w:vAlign w:val="center"/>
                  </w:tcPr>
                  <w:p w:rsidR="00084029" w:rsidRPr="006F7F58" w:rsidRDefault="00084029" w:rsidP="00084029">
                    <w:pPr>
                      <w:jc w:val="right"/>
                      <w:rPr>
                        <w:sz w:val="14"/>
                        <w:szCs w:val="14"/>
                      </w:rPr>
                    </w:pPr>
                    <w:r w:rsidRPr="006F7F58">
                      <w:rPr>
                        <w:sz w:val="14"/>
                        <w:szCs w:val="14"/>
                      </w:rPr>
                      <w:t>0</w:t>
                    </w:r>
                  </w:p>
                </w:tc>
                <w:tc>
                  <w:tcPr>
                    <w:tcW w:w="601" w:type="pct"/>
                    <w:vAlign w:val="center"/>
                  </w:tcPr>
                  <w:p w:rsidR="00084029" w:rsidRPr="006F7F58" w:rsidRDefault="00084029" w:rsidP="00084029">
                    <w:pPr>
                      <w:jc w:val="right"/>
                      <w:rPr>
                        <w:sz w:val="14"/>
                        <w:szCs w:val="14"/>
                      </w:rPr>
                    </w:pPr>
                    <w:r w:rsidRPr="006F7F58">
                      <w:rPr>
                        <w:sz w:val="14"/>
                        <w:szCs w:val="14"/>
                      </w:rPr>
                      <w:t>769,715,685</w:t>
                    </w:r>
                  </w:p>
                </w:tc>
                <w:tc>
                  <w:tcPr>
                    <w:tcW w:w="499" w:type="pct"/>
                    <w:vAlign w:val="center"/>
                  </w:tcPr>
                  <w:p w:rsidR="00084029" w:rsidRPr="006F7F58" w:rsidRDefault="00084029" w:rsidP="00084029">
                    <w:pPr>
                      <w:jc w:val="right"/>
                      <w:rPr>
                        <w:sz w:val="14"/>
                        <w:szCs w:val="14"/>
                      </w:rPr>
                    </w:pPr>
                    <w:r w:rsidRPr="006F7F58">
                      <w:rPr>
                        <w:sz w:val="14"/>
                        <w:szCs w:val="14"/>
                      </w:rPr>
                      <w:t>0</w:t>
                    </w:r>
                  </w:p>
                </w:tc>
                <w:tc>
                  <w:tcPr>
                    <w:tcW w:w="452" w:type="pct"/>
                    <w:vAlign w:val="center"/>
                  </w:tcPr>
                  <w:p w:rsidR="00084029" w:rsidRPr="006F7F58" w:rsidRDefault="00084029" w:rsidP="00084029">
                    <w:pPr>
                      <w:jc w:val="right"/>
                      <w:rPr>
                        <w:sz w:val="14"/>
                        <w:szCs w:val="14"/>
                      </w:rPr>
                    </w:pPr>
                    <w:r w:rsidRPr="006F7F58">
                      <w:rPr>
                        <w:sz w:val="14"/>
                        <w:szCs w:val="14"/>
                      </w:rPr>
                      <w:t>0</w:t>
                    </w:r>
                  </w:p>
                </w:tc>
                <w:tc>
                  <w:tcPr>
                    <w:tcW w:w="449" w:type="pct"/>
                    <w:vAlign w:val="center"/>
                  </w:tcPr>
                  <w:p w:rsidR="00084029" w:rsidRPr="006F7F58" w:rsidRDefault="00084029" w:rsidP="00084029">
                    <w:pPr>
                      <w:jc w:val="right"/>
                      <w:rPr>
                        <w:sz w:val="14"/>
                        <w:szCs w:val="14"/>
                      </w:rPr>
                    </w:pPr>
                    <w:r w:rsidRPr="006F7F58">
                      <w:rPr>
                        <w:sz w:val="14"/>
                        <w:szCs w:val="14"/>
                      </w:rPr>
                      <w:t>56,870,268</w:t>
                    </w:r>
                  </w:p>
                </w:tc>
                <w:tc>
                  <w:tcPr>
                    <w:tcW w:w="480" w:type="pct"/>
                    <w:vAlign w:val="center"/>
                  </w:tcPr>
                  <w:p w:rsidR="00084029" w:rsidRPr="006F7F58" w:rsidRDefault="00084029" w:rsidP="00084029">
                    <w:pPr>
                      <w:jc w:val="right"/>
                      <w:rPr>
                        <w:sz w:val="14"/>
                        <w:szCs w:val="14"/>
                      </w:rPr>
                    </w:pPr>
                    <w:r w:rsidRPr="006F7F58">
                      <w:rPr>
                        <w:sz w:val="14"/>
                        <w:szCs w:val="14"/>
                      </w:rPr>
                      <w:t>826,585,953</w:t>
                    </w:r>
                  </w:p>
                </w:tc>
              </w:tr>
              <w:tr w:rsidR="00084029" w:rsidRPr="006F7F58" w:rsidTr="00084029">
                <w:sdt>
                  <w:sdtPr>
                    <w:rPr>
                      <w:sz w:val="14"/>
                      <w:szCs w:val="14"/>
                    </w:rPr>
                    <w:tag w:val="_PLD_69b59bbd4f7a49708a1fc0c2a96e3869"/>
                    <w:id w:val="167065019"/>
                    <w:lock w:val="sdtLocked"/>
                  </w:sdtPr>
                  <w:sdtContent>
                    <w:tc>
                      <w:tcPr>
                        <w:tcW w:w="639" w:type="pct"/>
                      </w:tcPr>
                      <w:p w:rsidR="00084029" w:rsidRPr="006F7F58" w:rsidRDefault="00084029" w:rsidP="00084029">
                        <w:pPr>
                          <w:rPr>
                            <w:sz w:val="14"/>
                            <w:szCs w:val="14"/>
                          </w:rPr>
                        </w:pPr>
                        <w:r w:rsidRPr="006F7F58">
                          <w:rPr>
                            <w:rFonts w:hint="eastAsia"/>
                            <w:sz w:val="14"/>
                            <w:szCs w:val="14"/>
                          </w:rPr>
                          <w:t>2．本期使用</w:t>
                        </w:r>
                      </w:p>
                    </w:tc>
                  </w:sdtContent>
                </w:sdt>
                <w:tc>
                  <w:tcPr>
                    <w:tcW w:w="506" w:type="pct"/>
                    <w:vAlign w:val="center"/>
                  </w:tcPr>
                  <w:p w:rsidR="00084029" w:rsidRPr="006F7F58" w:rsidRDefault="00084029" w:rsidP="00084029">
                    <w:pPr>
                      <w:jc w:val="right"/>
                      <w:rPr>
                        <w:sz w:val="14"/>
                        <w:szCs w:val="14"/>
                      </w:rPr>
                    </w:pPr>
                    <w:r w:rsidRPr="006F7F58">
                      <w:rPr>
                        <w:sz w:val="14"/>
                        <w:szCs w:val="14"/>
                      </w:rPr>
                      <w:t>0</w:t>
                    </w:r>
                  </w:p>
                </w:tc>
                <w:tc>
                  <w:tcPr>
                    <w:tcW w:w="401" w:type="pct"/>
                    <w:vAlign w:val="center"/>
                  </w:tcPr>
                  <w:p w:rsidR="00084029" w:rsidRPr="006F7F58" w:rsidRDefault="00084029" w:rsidP="00084029">
                    <w:pPr>
                      <w:jc w:val="right"/>
                      <w:rPr>
                        <w:sz w:val="14"/>
                        <w:szCs w:val="14"/>
                      </w:rPr>
                    </w:pPr>
                    <w:r w:rsidRPr="006F7F58">
                      <w:rPr>
                        <w:sz w:val="14"/>
                        <w:szCs w:val="14"/>
                      </w:rPr>
                      <w:t>0</w:t>
                    </w:r>
                  </w:p>
                </w:tc>
                <w:tc>
                  <w:tcPr>
                    <w:tcW w:w="424" w:type="pct"/>
                    <w:vAlign w:val="center"/>
                  </w:tcPr>
                  <w:p w:rsidR="00084029" w:rsidRPr="006F7F58" w:rsidRDefault="00084029" w:rsidP="00084029">
                    <w:pPr>
                      <w:jc w:val="right"/>
                      <w:rPr>
                        <w:sz w:val="14"/>
                        <w:szCs w:val="14"/>
                      </w:rPr>
                    </w:pPr>
                    <w:r w:rsidRPr="006F7F58">
                      <w:rPr>
                        <w:sz w:val="14"/>
                        <w:szCs w:val="14"/>
                      </w:rPr>
                      <w:t>0</w:t>
                    </w:r>
                  </w:p>
                </w:tc>
                <w:tc>
                  <w:tcPr>
                    <w:tcW w:w="549" w:type="pct"/>
                    <w:vAlign w:val="center"/>
                  </w:tcPr>
                  <w:p w:rsidR="00084029" w:rsidRPr="006F7F58" w:rsidRDefault="00084029" w:rsidP="00084029">
                    <w:pPr>
                      <w:jc w:val="right"/>
                      <w:rPr>
                        <w:sz w:val="14"/>
                        <w:szCs w:val="14"/>
                      </w:rPr>
                    </w:pPr>
                    <w:r w:rsidRPr="006F7F58">
                      <w:rPr>
                        <w:sz w:val="14"/>
                        <w:szCs w:val="14"/>
                      </w:rPr>
                      <w:t>0</w:t>
                    </w:r>
                  </w:p>
                </w:tc>
                <w:tc>
                  <w:tcPr>
                    <w:tcW w:w="601" w:type="pct"/>
                    <w:vAlign w:val="center"/>
                  </w:tcPr>
                  <w:p w:rsidR="00084029" w:rsidRPr="006F7F58" w:rsidRDefault="00084029" w:rsidP="00084029">
                    <w:pPr>
                      <w:jc w:val="right"/>
                      <w:rPr>
                        <w:sz w:val="14"/>
                        <w:szCs w:val="14"/>
                      </w:rPr>
                    </w:pPr>
                    <w:r w:rsidRPr="006F7F58">
                      <w:rPr>
                        <w:sz w:val="14"/>
                        <w:szCs w:val="14"/>
                      </w:rPr>
                      <w:t>-715,947,506</w:t>
                    </w:r>
                  </w:p>
                </w:tc>
                <w:tc>
                  <w:tcPr>
                    <w:tcW w:w="499" w:type="pct"/>
                    <w:vAlign w:val="center"/>
                  </w:tcPr>
                  <w:p w:rsidR="00084029" w:rsidRPr="006F7F58" w:rsidRDefault="00084029" w:rsidP="00084029">
                    <w:pPr>
                      <w:jc w:val="right"/>
                      <w:rPr>
                        <w:sz w:val="14"/>
                        <w:szCs w:val="14"/>
                      </w:rPr>
                    </w:pPr>
                    <w:r w:rsidRPr="006F7F58">
                      <w:rPr>
                        <w:sz w:val="14"/>
                        <w:szCs w:val="14"/>
                      </w:rPr>
                      <w:t>0</w:t>
                    </w:r>
                  </w:p>
                </w:tc>
                <w:tc>
                  <w:tcPr>
                    <w:tcW w:w="452" w:type="pct"/>
                    <w:vAlign w:val="center"/>
                  </w:tcPr>
                  <w:p w:rsidR="00084029" w:rsidRPr="006F7F58" w:rsidRDefault="00084029" w:rsidP="00084029">
                    <w:pPr>
                      <w:jc w:val="right"/>
                      <w:rPr>
                        <w:sz w:val="14"/>
                        <w:szCs w:val="14"/>
                      </w:rPr>
                    </w:pPr>
                    <w:r w:rsidRPr="006F7F58">
                      <w:rPr>
                        <w:sz w:val="14"/>
                        <w:szCs w:val="14"/>
                      </w:rPr>
                      <w:t>0</w:t>
                    </w:r>
                  </w:p>
                </w:tc>
                <w:tc>
                  <w:tcPr>
                    <w:tcW w:w="449" w:type="pct"/>
                    <w:vAlign w:val="center"/>
                  </w:tcPr>
                  <w:p w:rsidR="00084029" w:rsidRPr="006F7F58" w:rsidRDefault="00084029" w:rsidP="00084029">
                    <w:pPr>
                      <w:jc w:val="right"/>
                      <w:rPr>
                        <w:sz w:val="14"/>
                        <w:szCs w:val="14"/>
                      </w:rPr>
                    </w:pPr>
                    <w:r w:rsidRPr="006F7F58">
                      <w:rPr>
                        <w:sz w:val="14"/>
                        <w:szCs w:val="14"/>
                      </w:rPr>
                      <w:t>-11,740,355</w:t>
                    </w:r>
                  </w:p>
                </w:tc>
                <w:tc>
                  <w:tcPr>
                    <w:tcW w:w="480" w:type="pct"/>
                    <w:vAlign w:val="center"/>
                  </w:tcPr>
                  <w:p w:rsidR="00084029" w:rsidRPr="006F7F58" w:rsidRDefault="00084029" w:rsidP="00084029">
                    <w:pPr>
                      <w:jc w:val="right"/>
                      <w:rPr>
                        <w:sz w:val="14"/>
                        <w:szCs w:val="14"/>
                      </w:rPr>
                    </w:pPr>
                    <w:r w:rsidRPr="006F7F58">
                      <w:rPr>
                        <w:sz w:val="14"/>
                        <w:szCs w:val="14"/>
                      </w:rPr>
                      <w:t>-727,687,861</w:t>
                    </w:r>
                  </w:p>
                </w:tc>
              </w:tr>
              <w:tr w:rsidR="00084029" w:rsidRPr="006F7F58" w:rsidTr="00084029">
                <w:sdt>
                  <w:sdtPr>
                    <w:rPr>
                      <w:sz w:val="14"/>
                      <w:szCs w:val="14"/>
                    </w:rPr>
                    <w:tag w:val="_PLD_8e6f5912872d41cc910f3bdca18b82d0"/>
                    <w:id w:val="-1616983350"/>
                    <w:lock w:val="sdtLocked"/>
                  </w:sdtPr>
                  <w:sdtContent>
                    <w:tc>
                      <w:tcPr>
                        <w:tcW w:w="639" w:type="pct"/>
                      </w:tcPr>
                      <w:p w:rsidR="00084029" w:rsidRPr="006F7F58" w:rsidRDefault="00084029" w:rsidP="00084029">
                        <w:pPr>
                          <w:rPr>
                            <w:sz w:val="14"/>
                            <w:szCs w:val="14"/>
                          </w:rPr>
                        </w:pPr>
                        <w:r w:rsidRPr="006F7F58">
                          <w:rPr>
                            <w:rFonts w:hint="eastAsia"/>
                            <w:sz w:val="14"/>
                            <w:szCs w:val="14"/>
                          </w:rPr>
                          <w:t>（六）其他</w:t>
                        </w:r>
                      </w:p>
                    </w:tc>
                  </w:sdtContent>
                </w:sdt>
                <w:tc>
                  <w:tcPr>
                    <w:tcW w:w="506" w:type="pct"/>
                    <w:vAlign w:val="center"/>
                  </w:tcPr>
                  <w:p w:rsidR="00084029" w:rsidRPr="006F7F58" w:rsidRDefault="00084029" w:rsidP="00084029">
                    <w:pPr>
                      <w:jc w:val="right"/>
                      <w:rPr>
                        <w:sz w:val="14"/>
                        <w:szCs w:val="14"/>
                      </w:rPr>
                    </w:pPr>
                    <w:r w:rsidRPr="006F7F58">
                      <w:rPr>
                        <w:sz w:val="14"/>
                        <w:szCs w:val="14"/>
                      </w:rPr>
                      <w:t>0</w:t>
                    </w:r>
                  </w:p>
                </w:tc>
                <w:tc>
                  <w:tcPr>
                    <w:tcW w:w="401" w:type="pct"/>
                    <w:vAlign w:val="center"/>
                  </w:tcPr>
                  <w:p w:rsidR="00084029" w:rsidRPr="006F7F58" w:rsidRDefault="00084029" w:rsidP="00084029">
                    <w:pPr>
                      <w:jc w:val="right"/>
                      <w:rPr>
                        <w:sz w:val="14"/>
                        <w:szCs w:val="14"/>
                      </w:rPr>
                    </w:pPr>
                    <w:r w:rsidRPr="006F7F58">
                      <w:rPr>
                        <w:sz w:val="14"/>
                        <w:szCs w:val="14"/>
                      </w:rPr>
                      <w:t>0</w:t>
                    </w:r>
                  </w:p>
                </w:tc>
                <w:tc>
                  <w:tcPr>
                    <w:tcW w:w="424" w:type="pct"/>
                    <w:vAlign w:val="center"/>
                  </w:tcPr>
                  <w:p w:rsidR="00084029" w:rsidRPr="006F7F58" w:rsidRDefault="00084029" w:rsidP="00084029">
                    <w:pPr>
                      <w:jc w:val="right"/>
                      <w:rPr>
                        <w:sz w:val="14"/>
                        <w:szCs w:val="14"/>
                      </w:rPr>
                    </w:pPr>
                    <w:r w:rsidRPr="006F7F58">
                      <w:rPr>
                        <w:sz w:val="14"/>
                        <w:szCs w:val="14"/>
                      </w:rPr>
                      <w:t>3,488,455</w:t>
                    </w:r>
                  </w:p>
                </w:tc>
                <w:tc>
                  <w:tcPr>
                    <w:tcW w:w="549" w:type="pct"/>
                    <w:vAlign w:val="center"/>
                  </w:tcPr>
                  <w:p w:rsidR="00084029" w:rsidRPr="006F7F58" w:rsidRDefault="00084029" w:rsidP="00084029">
                    <w:pPr>
                      <w:jc w:val="right"/>
                      <w:rPr>
                        <w:sz w:val="14"/>
                        <w:szCs w:val="14"/>
                      </w:rPr>
                    </w:pPr>
                    <w:r w:rsidRPr="006F7F58">
                      <w:rPr>
                        <w:sz w:val="14"/>
                        <w:szCs w:val="14"/>
                      </w:rPr>
                      <w:t>0</w:t>
                    </w:r>
                  </w:p>
                </w:tc>
                <w:tc>
                  <w:tcPr>
                    <w:tcW w:w="601" w:type="pct"/>
                    <w:vAlign w:val="center"/>
                  </w:tcPr>
                  <w:p w:rsidR="00084029" w:rsidRPr="006F7F58" w:rsidRDefault="00084029" w:rsidP="00084029">
                    <w:pPr>
                      <w:jc w:val="right"/>
                      <w:rPr>
                        <w:sz w:val="14"/>
                        <w:szCs w:val="14"/>
                      </w:rPr>
                    </w:pPr>
                    <w:r w:rsidRPr="006F7F58">
                      <w:rPr>
                        <w:sz w:val="14"/>
                        <w:szCs w:val="14"/>
                      </w:rPr>
                      <w:t>0</w:t>
                    </w:r>
                  </w:p>
                </w:tc>
                <w:tc>
                  <w:tcPr>
                    <w:tcW w:w="499" w:type="pct"/>
                    <w:vAlign w:val="center"/>
                  </w:tcPr>
                  <w:p w:rsidR="00084029" w:rsidRPr="006F7F58" w:rsidRDefault="00084029" w:rsidP="00084029">
                    <w:pPr>
                      <w:jc w:val="right"/>
                      <w:rPr>
                        <w:sz w:val="14"/>
                        <w:szCs w:val="14"/>
                      </w:rPr>
                    </w:pPr>
                    <w:r w:rsidRPr="006F7F58">
                      <w:rPr>
                        <w:sz w:val="14"/>
                        <w:szCs w:val="14"/>
                      </w:rPr>
                      <w:t>0</w:t>
                    </w:r>
                  </w:p>
                </w:tc>
                <w:tc>
                  <w:tcPr>
                    <w:tcW w:w="452" w:type="pct"/>
                    <w:vAlign w:val="center"/>
                  </w:tcPr>
                  <w:p w:rsidR="00084029" w:rsidRPr="006F7F58" w:rsidRDefault="00084029" w:rsidP="00084029">
                    <w:pPr>
                      <w:jc w:val="right"/>
                      <w:rPr>
                        <w:sz w:val="14"/>
                        <w:szCs w:val="14"/>
                      </w:rPr>
                    </w:pPr>
                    <w:r w:rsidRPr="006F7F58">
                      <w:rPr>
                        <w:sz w:val="14"/>
                        <w:szCs w:val="14"/>
                      </w:rPr>
                      <w:t>-142,025,105</w:t>
                    </w:r>
                  </w:p>
                </w:tc>
                <w:tc>
                  <w:tcPr>
                    <w:tcW w:w="449" w:type="pct"/>
                    <w:vAlign w:val="center"/>
                  </w:tcPr>
                  <w:p w:rsidR="00084029" w:rsidRPr="006F7F58" w:rsidRDefault="00084029" w:rsidP="00084029">
                    <w:pPr>
                      <w:jc w:val="right"/>
                      <w:rPr>
                        <w:sz w:val="14"/>
                        <w:szCs w:val="14"/>
                      </w:rPr>
                    </w:pPr>
                    <w:r w:rsidRPr="006F7F58">
                      <w:rPr>
                        <w:sz w:val="14"/>
                        <w:szCs w:val="14"/>
                      </w:rPr>
                      <w:t>0</w:t>
                    </w:r>
                  </w:p>
                </w:tc>
                <w:tc>
                  <w:tcPr>
                    <w:tcW w:w="480" w:type="pct"/>
                    <w:vAlign w:val="center"/>
                  </w:tcPr>
                  <w:p w:rsidR="00084029" w:rsidRPr="006F7F58" w:rsidRDefault="00084029" w:rsidP="00084029">
                    <w:pPr>
                      <w:jc w:val="right"/>
                      <w:rPr>
                        <w:sz w:val="14"/>
                        <w:szCs w:val="14"/>
                      </w:rPr>
                    </w:pPr>
                    <w:r w:rsidRPr="006F7F58">
                      <w:rPr>
                        <w:sz w:val="14"/>
                        <w:szCs w:val="14"/>
                      </w:rPr>
                      <w:t>-138,536,650</w:t>
                    </w:r>
                  </w:p>
                </w:tc>
              </w:tr>
              <w:tr w:rsidR="00084029" w:rsidRPr="006F7F58" w:rsidTr="00084029">
                <w:sdt>
                  <w:sdtPr>
                    <w:rPr>
                      <w:sz w:val="14"/>
                      <w:szCs w:val="14"/>
                    </w:rPr>
                    <w:tag w:val="_PLD_f6ec7abefe954758b48497b1b1440546"/>
                    <w:id w:val="454763119"/>
                    <w:lock w:val="sdtLocked"/>
                  </w:sdtPr>
                  <w:sdtContent>
                    <w:tc>
                      <w:tcPr>
                        <w:tcW w:w="639" w:type="pct"/>
                      </w:tcPr>
                      <w:p w:rsidR="00084029" w:rsidRPr="006F7F58" w:rsidRDefault="00084029" w:rsidP="00084029">
                        <w:pPr>
                          <w:rPr>
                            <w:sz w:val="14"/>
                            <w:szCs w:val="14"/>
                          </w:rPr>
                        </w:pPr>
                        <w:r w:rsidRPr="006F7F58">
                          <w:rPr>
                            <w:sz w:val="14"/>
                            <w:szCs w:val="14"/>
                          </w:rPr>
                          <w:t>四、本期期末余额</w:t>
                        </w:r>
                      </w:p>
                    </w:tc>
                  </w:sdtContent>
                </w:sdt>
                <w:tc>
                  <w:tcPr>
                    <w:tcW w:w="506" w:type="pct"/>
                    <w:vAlign w:val="center"/>
                  </w:tcPr>
                  <w:p w:rsidR="00084029" w:rsidRPr="006F7F58" w:rsidRDefault="00084029" w:rsidP="00084029">
                    <w:pPr>
                      <w:jc w:val="right"/>
                      <w:rPr>
                        <w:sz w:val="14"/>
                        <w:szCs w:val="14"/>
                      </w:rPr>
                    </w:pPr>
                    <w:r w:rsidRPr="006F7F58">
                      <w:rPr>
                        <w:sz w:val="14"/>
                        <w:szCs w:val="14"/>
                      </w:rPr>
                      <w:t>14,866,945,907</w:t>
                    </w:r>
                  </w:p>
                </w:tc>
                <w:tc>
                  <w:tcPr>
                    <w:tcW w:w="401" w:type="pct"/>
                    <w:vAlign w:val="center"/>
                  </w:tcPr>
                  <w:p w:rsidR="00084029" w:rsidRPr="006F7F58" w:rsidRDefault="00084029" w:rsidP="00084029">
                    <w:pPr>
                      <w:jc w:val="right"/>
                      <w:rPr>
                        <w:sz w:val="14"/>
                        <w:szCs w:val="14"/>
                      </w:rPr>
                    </w:pPr>
                    <w:r w:rsidRPr="006F7F58">
                      <w:rPr>
                        <w:sz w:val="14"/>
                        <w:szCs w:val="14"/>
                      </w:rPr>
                      <w:t>3,358,227,137</w:t>
                    </w:r>
                  </w:p>
                </w:tc>
                <w:tc>
                  <w:tcPr>
                    <w:tcW w:w="424" w:type="pct"/>
                    <w:vAlign w:val="center"/>
                  </w:tcPr>
                  <w:p w:rsidR="00084029" w:rsidRPr="006F7F58" w:rsidRDefault="00084029" w:rsidP="00084029">
                    <w:pPr>
                      <w:jc w:val="right"/>
                      <w:rPr>
                        <w:sz w:val="14"/>
                        <w:szCs w:val="14"/>
                      </w:rPr>
                    </w:pPr>
                    <w:r w:rsidRPr="006F7F58">
                      <w:rPr>
                        <w:sz w:val="14"/>
                        <w:szCs w:val="14"/>
                      </w:rPr>
                      <w:t>23,349,958,581</w:t>
                    </w:r>
                  </w:p>
                </w:tc>
                <w:tc>
                  <w:tcPr>
                    <w:tcW w:w="549" w:type="pct"/>
                    <w:vAlign w:val="center"/>
                  </w:tcPr>
                  <w:p w:rsidR="00084029" w:rsidRPr="006F7F58" w:rsidRDefault="00084029" w:rsidP="00084029">
                    <w:pPr>
                      <w:jc w:val="right"/>
                      <w:rPr>
                        <w:sz w:val="14"/>
                        <w:szCs w:val="14"/>
                      </w:rPr>
                    </w:pPr>
                    <w:r w:rsidRPr="006F7F58">
                      <w:rPr>
                        <w:sz w:val="14"/>
                        <w:szCs w:val="14"/>
                      </w:rPr>
                      <w:t>-698,538,236</w:t>
                    </w:r>
                  </w:p>
                </w:tc>
                <w:tc>
                  <w:tcPr>
                    <w:tcW w:w="601" w:type="pct"/>
                    <w:vAlign w:val="center"/>
                  </w:tcPr>
                  <w:p w:rsidR="00084029" w:rsidRPr="006F7F58" w:rsidRDefault="00084029" w:rsidP="00084029">
                    <w:pPr>
                      <w:jc w:val="right"/>
                      <w:rPr>
                        <w:sz w:val="14"/>
                        <w:szCs w:val="14"/>
                      </w:rPr>
                    </w:pPr>
                    <w:r w:rsidRPr="006F7F58">
                      <w:rPr>
                        <w:sz w:val="14"/>
                        <w:szCs w:val="14"/>
                      </w:rPr>
                      <w:t>768,063,328</w:t>
                    </w:r>
                  </w:p>
                </w:tc>
                <w:tc>
                  <w:tcPr>
                    <w:tcW w:w="499" w:type="pct"/>
                    <w:vAlign w:val="center"/>
                  </w:tcPr>
                  <w:p w:rsidR="00084029" w:rsidRPr="006F7F58" w:rsidRDefault="00084029" w:rsidP="00084029">
                    <w:pPr>
                      <w:jc w:val="right"/>
                      <w:rPr>
                        <w:sz w:val="14"/>
                        <w:szCs w:val="14"/>
                      </w:rPr>
                    </w:pPr>
                    <w:r w:rsidRPr="006F7F58">
                      <w:rPr>
                        <w:sz w:val="14"/>
                        <w:szCs w:val="14"/>
                      </w:rPr>
                      <w:t>19,412,343,151</w:t>
                    </w:r>
                  </w:p>
                </w:tc>
                <w:tc>
                  <w:tcPr>
                    <w:tcW w:w="452" w:type="pct"/>
                    <w:vAlign w:val="center"/>
                  </w:tcPr>
                  <w:p w:rsidR="00084029" w:rsidRPr="006F7F58" w:rsidRDefault="00084029" w:rsidP="00084029">
                    <w:pPr>
                      <w:jc w:val="right"/>
                      <w:rPr>
                        <w:sz w:val="14"/>
                        <w:szCs w:val="14"/>
                      </w:rPr>
                    </w:pPr>
                    <w:r w:rsidRPr="006F7F58">
                      <w:rPr>
                        <w:sz w:val="14"/>
                        <w:szCs w:val="14"/>
                      </w:rPr>
                      <w:t>67,226,607,720</w:t>
                    </w:r>
                  </w:p>
                </w:tc>
                <w:tc>
                  <w:tcPr>
                    <w:tcW w:w="449" w:type="pct"/>
                    <w:vAlign w:val="center"/>
                  </w:tcPr>
                  <w:p w:rsidR="00084029" w:rsidRPr="006F7F58" w:rsidRDefault="00084029" w:rsidP="00084029">
                    <w:pPr>
                      <w:jc w:val="right"/>
                      <w:rPr>
                        <w:sz w:val="14"/>
                        <w:szCs w:val="14"/>
                      </w:rPr>
                    </w:pPr>
                    <w:r w:rsidRPr="006F7F58">
                      <w:rPr>
                        <w:sz w:val="14"/>
                        <w:szCs w:val="14"/>
                      </w:rPr>
                      <w:t>11,905,606,336</w:t>
                    </w:r>
                  </w:p>
                </w:tc>
                <w:tc>
                  <w:tcPr>
                    <w:tcW w:w="480" w:type="pct"/>
                    <w:vAlign w:val="center"/>
                  </w:tcPr>
                  <w:p w:rsidR="00084029" w:rsidRPr="006F7F58" w:rsidRDefault="00084029" w:rsidP="00084029">
                    <w:pPr>
                      <w:jc w:val="right"/>
                      <w:rPr>
                        <w:sz w:val="14"/>
                        <w:szCs w:val="14"/>
                      </w:rPr>
                    </w:pPr>
                    <w:r w:rsidRPr="006F7F58">
                      <w:rPr>
                        <w:sz w:val="14"/>
                        <w:szCs w:val="14"/>
                      </w:rPr>
                      <w:t>140,189,213,924</w:t>
                    </w:r>
                  </w:p>
                </w:tc>
              </w:tr>
            </w:tbl>
            <w:p w:rsidR="00806678" w:rsidRDefault="00806678">
              <w:pPr>
                <w:snapToGrid w:val="0"/>
                <w:spacing w:line="240" w:lineRule="atLeast"/>
                <w:ind w:rightChars="-759" w:right="-1594"/>
                <w:rPr>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38"/>
                <w:gridCol w:w="1203"/>
                <w:gridCol w:w="1127"/>
                <w:gridCol w:w="1203"/>
                <w:gridCol w:w="1485"/>
                <w:gridCol w:w="1702"/>
                <w:gridCol w:w="1417"/>
                <w:gridCol w:w="1274"/>
                <w:gridCol w:w="1285"/>
                <w:gridCol w:w="1355"/>
              </w:tblGrid>
              <w:tr w:rsidR="00A0098F" w:rsidTr="00A0098F">
                <w:trPr>
                  <w:cantSplit/>
                </w:trPr>
                <w:tc>
                  <w:tcPr>
                    <w:tcW w:w="723" w:type="pct"/>
                    <w:vMerge w:val="restart"/>
                    <w:vAlign w:val="center"/>
                  </w:tcPr>
                  <w:sdt>
                    <w:sdtPr>
                      <w:rPr>
                        <w:rFonts w:hint="eastAsia"/>
                        <w:sz w:val="14"/>
                        <w:szCs w:val="14"/>
                      </w:rPr>
                      <w:tag w:val="_PLD_229212c664af43faa41821d5eec551b8"/>
                      <w:id w:val="868031923"/>
                      <w:lock w:val="sdtLocked"/>
                    </w:sdtPr>
                    <w:sdtContent>
                      <w:p w:rsidR="00E02618" w:rsidRPr="00A0098F" w:rsidRDefault="00E02618" w:rsidP="00601D47">
                        <w:pPr>
                          <w:snapToGrid w:val="0"/>
                          <w:spacing w:line="240" w:lineRule="atLeast"/>
                          <w:jc w:val="center"/>
                          <w:rPr>
                            <w:sz w:val="14"/>
                            <w:szCs w:val="14"/>
                          </w:rPr>
                        </w:pPr>
                        <w:r w:rsidRPr="00A0098F">
                          <w:rPr>
                            <w:rFonts w:hint="eastAsia"/>
                            <w:sz w:val="14"/>
                            <w:szCs w:val="14"/>
                          </w:rPr>
                          <w:t>项目</w:t>
                        </w:r>
                      </w:p>
                    </w:sdtContent>
                  </w:sdt>
                </w:tc>
                <w:tc>
                  <w:tcPr>
                    <w:tcW w:w="4277" w:type="pct"/>
                    <w:gridSpan w:val="9"/>
                  </w:tcPr>
                  <w:p w:rsidR="00E02618" w:rsidRPr="00A0098F" w:rsidRDefault="00E02618" w:rsidP="00601D47">
                    <w:pPr>
                      <w:snapToGrid w:val="0"/>
                      <w:spacing w:line="240" w:lineRule="atLeast"/>
                      <w:ind w:rightChars="-759" w:right="-1594"/>
                      <w:jc w:val="center"/>
                      <w:rPr>
                        <w:sz w:val="14"/>
                        <w:szCs w:val="14"/>
                      </w:rPr>
                    </w:pPr>
                    <w:r w:rsidRPr="00A0098F">
                      <w:rPr>
                        <w:rFonts w:hint="eastAsia"/>
                        <w:sz w:val="14"/>
                        <w:szCs w:val="14"/>
                      </w:rPr>
                      <w:t xml:space="preserve"> </w:t>
                    </w:r>
                    <w:sdt>
                      <w:sdtPr>
                        <w:rPr>
                          <w:rFonts w:hint="eastAsia"/>
                          <w:sz w:val="14"/>
                          <w:szCs w:val="14"/>
                        </w:rPr>
                        <w:tag w:val="_PLD_5c8dcea3749f4f92b2d283c717162a73"/>
                        <w:id w:val="-1468205961"/>
                        <w:lock w:val="sdtLocked"/>
                      </w:sdtPr>
                      <w:sdtContent>
                        <w:r w:rsidRPr="00A0098F">
                          <w:rPr>
                            <w:rFonts w:hint="eastAsia"/>
                            <w:sz w:val="14"/>
                            <w:szCs w:val="14"/>
                          </w:rPr>
                          <w:t>2021年度</w:t>
                        </w:r>
                      </w:sdtContent>
                    </w:sdt>
                  </w:p>
                </w:tc>
              </w:tr>
              <w:tr w:rsidR="00A0098F" w:rsidTr="00A0098F">
                <w:trPr>
                  <w:cantSplit/>
                  <w:trHeight w:val="471"/>
                </w:trPr>
                <w:tc>
                  <w:tcPr>
                    <w:tcW w:w="723" w:type="pct"/>
                    <w:vMerge/>
                  </w:tcPr>
                  <w:p w:rsidR="00E02618" w:rsidRPr="00A0098F" w:rsidRDefault="00E02618" w:rsidP="00601D47">
                    <w:pPr>
                      <w:snapToGrid w:val="0"/>
                      <w:spacing w:line="240" w:lineRule="atLeast"/>
                      <w:ind w:rightChars="-759" w:right="-1594"/>
                      <w:rPr>
                        <w:sz w:val="14"/>
                        <w:szCs w:val="14"/>
                      </w:rPr>
                    </w:pPr>
                  </w:p>
                </w:tc>
                <w:sdt>
                  <w:sdtPr>
                    <w:rPr>
                      <w:sz w:val="14"/>
                      <w:szCs w:val="14"/>
                    </w:rPr>
                    <w:tag w:val="_PLD_e725a8cacf9d4d1abedbfeae17c394e0"/>
                    <w:id w:val="-641958761"/>
                    <w:lock w:val="sdtLocked"/>
                  </w:sdtPr>
                  <w:sdtContent>
                    <w:tc>
                      <w:tcPr>
                        <w:tcW w:w="3340" w:type="pct"/>
                        <w:gridSpan w:val="7"/>
                        <w:vAlign w:val="center"/>
                      </w:tcPr>
                      <w:p w:rsidR="00E02618" w:rsidRPr="00A0098F" w:rsidRDefault="00E02618" w:rsidP="00601D47">
                        <w:pPr>
                          <w:jc w:val="center"/>
                          <w:rPr>
                            <w:sz w:val="14"/>
                            <w:szCs w:val="14"/>
                          </w:rPr>
                        </w:pPr>
                        <w:r w:rsidRPr="00A0098F">
                          <w:rPr>
                            <w:sz w:val="14"/>
                            <w:szCs w:val="14"/>
                          </w:rPr>
                          <w:t>归属于母公司所有者权益</w:t>
                        </w:r>
                      </w:p>
                    </w:tc>
                  </w:sdtContent>
                </w:sdt>
                <w:sdt>
                  <w:sdtPr>
                    <w:rPr>
                      <w:sz w:val="14"/>
                      <w:szCs w:val="14"/>
                    </w:rPr>
                    <w:tag w:val="_PLD_fe6c49384f0941088b29ad945caeb72b"/>
                    <w:id w:val="274448710"/>
                    <w:lock w:val="sdtLocked"/>
                  </w:sdtPr>
                  <w:sdtContent>
                    <w:tc>
                      <w:tcPr>
                        <w:tcW w:w="456" w:type="pct"/>
                        <w:vMerge w:val="restart"/>
                        <w:vAlign w:val="center"/>
                      </w:tcPr>
                      <w:p w:rsidR="00E02618" w:rsidRPr="00A0098F" w:rsidRDefault="00E02618" w:rsidP="00601D47">
                        <w:pPr>
                          <w:jc w:val="center"/>
                          <w:rPr>
                            <w:sz w:val="14"/>
                            <w:szCs w:val="14"/>
                          </w:rPr>
                        </w:pPr>
                        <w:r w:rsidRPr="00A0098F">
                          <w:rPr>
                            <w:sz w:val="14"/>
                            <w:szCs w:val="14"/>
                          </w:rPr>
                          <w:t>少数股东权益</w:t>
                        </w:r>
                      </w:p>
                    </w:tc>
                  </w:sdtContent>
                </w:sdt>
                <w:sdt>
                  <w:sdtPr>
                    <w:rPr>
                      <w:sz w:val="14"/>
                      <w:szCs w:val="14"/>
                    </w:rPr>
                    <w:tag w:val="_PLD_bbe71d4307504d648ce52638ee90ccd4"/>
                    <w:id w:val="248308287"/>
                    <w:lock w:val="sdtLocked"/>
                  </w:sdtPr>
                  <w:sdtContent>
                    <w:tc>
                      <w:tcPr>
                        <w:tcW w:w="481" w:type="pct"/>
                        <w:vMerge w:val="restart"/>
                        <w:vAlign w:val="center"/>
                      </w:tcPr>
                      <w:p w:rsidR="00E02618" w:rsidRPr="00A0098F" w:rsidRDefault="00E02618" w:rsidP="00601D47">
                        <w:pPr>
                          <w:jc w:val="center"/>
                          <w:rPr>
                            <w:sz w:val="14"/>
                            <w:szCs w:val="14"/>
                          </w:rPr>
                        </w:pPr>
                        <w:r w:rsidRPr="00A0098F">
                          <w:rPr>
                            <w:sz w:val="14"/>
                            <w:szCs w:val="14"/>
                          </w:rPr>
                          <w:t>所有者权益合计</w:t>
                        </w:r>
                      </w:p>
                    </w:tc>
                  </w:sdtContent>
                </w:sdt>
              </w:tr>
              <w:tr w:rsidR="00A0098F" w:rsidTr="00A0098F">
                <w:trPr>
                  <w:cantSplit/>
                  <w:trHeight w:val="383"/>
                </w:trPr>
                <w:tc>
                  <w:tcPr>
                    <w:tcW w:w="723" w:type="pct"/>
                    <w:vMerge/>
                  </w:tcPr>
                  <w:p w:rsidR="00E02618" w:rsidRPr="00A0098F" w:rsidRDefault="00E02618" w:rsidP="00601D47">
                    <w:pPr>
                      <w:snapToGrid w:val="0"/>
                      <w:spacing w:line="240" w:lineRule="atLeast"/>
                      <w:ind w:rightChars="-759" w:right="-1594"/>
                      <w:rPr>
                        <w:sz w:val="14"/>
                        <w:szCs w:val="14"/>
                      </w:rPr>
                    </w:pPr>
                  </w:p>
                </w:tc>
                <w:sdt>
                  <w:sdtPr>
                    <w:rPr>
                      <w:sz w:val="14"/>
                      <w:szCs w:val="14"/>
                    </w:rPr>
                    <w:tag w:val="_PLD_941585ba85eb48fa931876151974e425"/>
                    <w:id w:val="-298541850"/>
                    <w:lock w:val="sdtLocked"/>
                  </w:sdtPr>
                  <w:sdtContent>
                    <w:tc>
                      <w:tcPr>
                        <w:tcW w:w="427" w:type="pct"/>
                        <w:vAlign w:val="center"/>
                      </w:tcPr>
                      <w:p w:rsidR="00E02618" w:rsidRPr="00A0098F" w:rsidRDefault="00E02618" w:rsidP="00601D47">
                        <w:pPr>
                          <w:snapToGrid w:val="0"/>
                          <w:spacing w:line="240" w:lineRule="atLeast"/>
                          <w:jc w:val="center"/>
                          <w:rPr>
                            <w:sz w:val="14"/>
                            <w:szCs w:val="14"/>
                          </w:rPr>
                        </w:pPr>
                        <w:r w:rsidRPr="00A0098F">
                          <w:rPr>
                            <w:sz w:val="14"/>
                            <w:szCs w:val="14"/>
                          </w:rPr>
                          <w:t>实收资本 (或股本)</w:t>
                        </w:r>
                      </w:p>
                    </w:tc>
                  </w:sdtContent>
                </w:sdt>
                <w:sdt>
                  <w:sdtPr>
                    <w:rPr>
                      <w:sz w:val="14"/>
                      <w:szCs w:val="14"/>
                    </w:rPr>
                    <w:tag w:val="_PLD_4097b1c4c4f449ef94e9dedb67cf7c3a"/>
                    <w:id w:val="-2066784682"/>
                    <w:lock w:val="sdtLocked"/>
                  </w:sdtPr>
                  <w:sdtContent>
                    <w:tc>
                      <w:tcPr>
                        <w:tcW w:w="400" w:type="pct"/>
                        <w:vAlign w:val="center"/>
                      </w:tcPr>
                      <w:p w:rsidR="00E02618" w:rsidRPr="00A0098F" w:rsidRDefault="00E02618" w:rsidP="00601D47">
                        <w:pPr>
                          <w:snapToGrid w:val="0"/>
                          <w:spacing w:line="240" w:lineRule="atLeast"/>
                          <w:jc w:val="center"/>
                          <w:rPr>
                            <w:sz w:val="14"/>
                            <w:szCs w:val="14"/>
                          </w:rPr>
                        </w:pPr>
                        <w:r w:rsidRPr="00A0098F">
                          <w:rPr>
                            <w:rFonts w:hint="eastAsia"/>
                            <w:sz w:val="14"/>
                            <w:szCs w:val="14"/>
                          </w:rPr>
                          <w:t>其他权益工具</w:t>
                        </w:r>
                      </w:p>
                    </w:tc>
                  </w:sdtContent>
                </w:sdt>
                <w:sdt>
                  <w:sdtPr>
                    <w:rPr>
                      <w:sz w:val="14"/>
                      <w:szCs w:val="14"/>
                    </w:rPr>
                    <w:tag w:val="_PLD_f8441471f9a041ac884142e2c9e87055"/>
                    <w:id w:val="871809612"/>
                    <w:lock w:val="sdtLocked"/>
                  </w:sdtPr>
                  <w:sdtContent>
                    <w:tc>
                      <w:tcPr>
                        <w:tcW w:w="427" w:type="pct"/>
                        <w:vAlign w:val="center"/>
                      </w:tcPr>
                      <w:p w:rsidR="00E02618" w:rsidRPr="00A0098F" w:rsidRDefault="00E02618" w:rsidP="00601D47">
                        <w:pPr>
                          <w:snapToGrid w:val="0"/>
                          <w:spacing w:line="240" w:lineRule="atLeast"/>
                          <w:jc w:val="center"/>
                          <w:rPr>
                            <w:sz w:val="14"/>
                            <w:szCs w:val="14"/>
                          </w:rPr>
                        </w:pPr>
                        <w:r w:rsidRPr="00A0098F">
                          <w:rPr>
                            <w:rFonts w:hint="eastAsia"/>
                            <w:sz w:val="14"/>
                            <w:szCs w:val="14"/>
                          </w:rPr>
                          <w:t>资本公积</w:t>
                        </w:r>
                      </w:p>
                    </w:tc>
                  </w:sdtContent>
                </w:sdt>
                <w:sdt>
                  <w:sdtPr>
                    <w:rPr>
                      <w:sz w:val="14"/>
                      <w:szCs w:val="14"/>
                    </w:rPr>
                    <w:tag w:val="_PLD_32394603dc124fdb904af0ad8606aa79"/>
                    <w:id w:val="832954067"/>
                    <w:lock w:val="sdtLocked"/>
                  </w:sdtPr>
                  <w:sdtContent>
                    <w:tc>
                      <w:tcPr>
                        <w:tcW w:w="527" w:type="pct"/>
                        <w:vAlign w:val="center"/>
                      </w:tcPr>
                      <w:p w:rsidR="00E02618" w:rsidRPr="00A0098F" w:rsidRDefault="00E02618" w:rsidP="00601D47">
                        <w:pPr>
                          <w:snapToGrid w:val="0"/>
                          <w:spacing w:line="240" w:lineRule="atLeast"/>
                          <w:jc w:val="center"/>
                          <w:rPr>
                            <w:sz w:val="14"/>
                            <w:szCs w:val="14"/>
                          </w:rPr>
                        </w:pPr>
                        <w:r w:rsidRPr="00A0098F">
                          <w:rPr>
                            <w:rFonts w:hint="eastAsia"/>
                            <w:sz w:val="14"/>
                            <w:szCs w:val="14"/>
                          </w:rPr>
                          <w:t>其他综合收益</w:t>
                        </w:r>
                      </w:p>
                    </w:tc>
                  </w:sdtContent>
                </w:sdt>
                <w:sdt>
                  <w:sdtPr>
                    <w:rPr>
                      <w:sz w:val="14"/>
                      <w:szCs w:val="14"/>
                    </w:rPr>
                    <w:tag w:val="_PLD_af29ec23e072452c89c8447237a4831e"/>
                    <w:id w:val="-1653903703"/>
                    <w:lock w:val="sdtLocked"/>
                  </w:sdtPr>
                  <w:sdtContent>
                    <w:tc>
                      <w:tcPr>
                        <w:tcW w:w="604" w:type="pct"/>
                        <w:vAlign w:val="center"/>
                      </w:tcPr>
                      <w:p w:rsidR="00E02618" w:rsidRPr="00A0098F" w:rsidRDefault="00E02618" w:rsidP="00601D47">
                        <w:pPr>
                          <w:snapToGrid w:val="0"/>
                          <w:spacing w:line="240" w:lineRule="atLeast"/>
                          <w:jc w:val="center"/>
                          <w:rPr>
                            <w:sz w:val="14"/>
                            <w:szCs w:val="14"/>
                          </w:rPr>
                        </w:pPr>
                        <w:r w:rsidRPr="00A0098F">
                          <w:rPr>
                            <w:rFonts w:hint="eastAsia"/>
                            <w:sz w:val="14"/>
                            <w:szCs w:val="14"/>
                          </w:rPr>
                          <w:t>专项储备</w:t>
                        </w:r>
                      </w:p>
                    </w:tc>
                  </w:sdtContent>
                </w:sdt>
                <w:sdt>
                  <w:sdtPr>
                    <w:rPr>
                      <w:sz w:val="14"/>
                      <w:szCs w:val="14"/>
                    </w:rPr>
                    <w:tag w:val="_PLD_81a68447a616402b99500dae3d54a22d"/>
                    <w:id w:val="-1510290084"/>
                    <w:lock w:val="sdtLocked"/>
                  </w:sdtPr>
                  <w:sdtContent>
                    <w:tc>
                      <w:tcPr>
                        <w:tcW w:w="503" w:type="pct"/>
                        <w:vAlign w:val="center"/>
                      </w:tcPr>
                      <w:p w:rsidR="00E02618" w:rsidRPr="00A0098F" w:rsidRDefault="00E02618" w:rsidP="00601D47">
                        <w:pPr>
                          <w:snapToGrid w:val="0"/>
                          <w:spacing w:line="240" w:lineRule="atLeast"/>
                          <w:jc w:val="center"/>
                          <w:rPr>
                            <w:sz w:val="14"/>
                            <w:szCs w:val="14"/>
                          </w:rPr>
                        </w:pPr>
                        <w:r w:rsidRPr="00A0098F">
                          <w:rPr>
                            <w:rFonts w:hint="eastAsia"/>
                            <w:sz w:val="14"/>
                            <w:szCs w:val="14"/>
                          </w:rPr>
                          <w:t>盈余公积</w:t>
                        </w:r>
                      </w:p>
                    </w:tc>
                  </w:sdtContent>
                </w:sdt>
                <w:sdt>
                  <w:sdtPr>
                    <w:rPr>
                      <w:sz w:val="14"/>
                      <w:szCs w:val="14"/>
                    </w:rPr>
                    <w:tag w:val="_PLD_a51f5c6bdac744979b275b09b6a9d1d8"/>
                    <w:id w:val="-1267999184"/>
                    <w:lock w:val="sdtLocked"/>
                  </w:sdtPr>
                  <w:sdtContent>
                    <w:tc>
                      <w:tcPr>
                        <w:tcW w:w="452" w:type="pct"/>
                        <w:vAlign w:val="center"/>
                      </w:tcPr>
                      <w:p w:rsidR="00E02618" w:rsidRPr="00A0098F" w:rsidRDefault="00E02618" w:rsidP="00601D47">
                        <w:pPr>
                          <w:snapToGrid w:val="0"/>
                          <w:spacing w:line="240" w:lineRule="atLeast"/>
                          <w:jc w:val="center"/>
                          <w:rPr>
                            <w:sz w:val="14"/>
                            <w:szCs w:val="14"/>
                          </w:rPr>
                        </w:pPr>
                        <w:r w:rsidRPr="00A0098F">
                          <w:rPr>
                            <w:rFonts w:hint="eastAsia"/>
                            <w:sz w:val="14"/>
                            <w:szCs w:val="14"/>
                          </w:rPr>
                          <w:t>未分配利润</w:t>
                        </w:r>
                      </w:p>
                    </w:tc>
                  </w:sdtContent>
                </w:sdt>
                <w:tc>
                  <w:tcPr>
                    <w:tcW w:w="456" w:type="pct"/>
                    <w:vMerge/>
                  </w:tcPr>
                  <w:p w:rsidR="00E02618" w:rsidRPr="00A0098F" w:rsidRDefault="00E02618" w:rsidP="00601D47">
                    <w:pPr>
                      <w:jc w:val="center"/>
                      <w:rPr>
                        <w:sz w:val="14"/>
                        <w:szCs w:val="14"/>
                      </w:rPr>
                    </w:pPr>
                  </w:p>
                </w:tc>
                <w:tc>
                  <w:tcPr>
                    <w:tcW w:w="481" w:type="pct"/>
                    <w:vMerge/>
                  </w:tcPr>
                  <w:p w:rsidR="00E02618" w:rsidRPr="00A0098F" w:rsidRDefault="00E02618" w:rsidP="00601D47">
                    <w:pPr>
                      <w:jc w:val="center"/>
                      <w:rPr>
                        <w:sz w:val="14"/>
                        <w:szCs w:val="14"/>
                      </w:rPr>
                    </w:pPr>
                  </w:p>
                </w:tc>
              </w:tr>
              <w:tr w:rsidR="00A0098F" w:rsidTr="00A0098F">
                <w:sdt>
                  <w:sdtPr>
                    <w:rPr>
                      <w:sz w:val="14"/>
                      <w:szCs w:val="14"/>
                    </w:rPr>
                    <w:tag w:val="_PLD_24c39056f5874862855dc37ef7f0d558"/>
                    <w:id w:val="1273134023"/>
                    <w:lock w:val="sdtLocked"/>
                  </w:sdtPr>
                  <w:sdtContent>
                    <w:tc>
                      <w:tcPr>
                        <w:tcW w:w="723" w:type="pct"/>
                      </w:tcPr>
                      <w:p w:rsidR="00E02618" w:rsidRPr="00A0098F" w:rsidRDefault="00E02618" w:rsidP="00601D47">
                        <w:pPr>
                          <w:rPr>
                            <w:sz w:val="14"/>
                            <w:szCs w:val="14"/>
                          </w:rPr>
                        </w:pPr>
                        <w:r w:rsidRPr="00A0098F">
                          <w:rPr>
                            <w:sz w:val="14"/>
                            <w:szCs w:val="14"/>
                          </w:rPr>
                          <w:t>一、上年</w:t>
                        </w:r>
                        <w:r w:rsidRPr="00A0098F">
                          <w:rPr>
                            <w:rFonts w:hint="eastAsia"/>
                            <w:sz w:val="14"/>
                            <w:szCs w:val="14"/>
                          </w:rPr>
                          <w:t>年</w:t>
                        </w:r>
                        <w:r w:rsidRPr="00A0098F">
                          <w:rPr>
                            <w:sz w:val="14"/>
                            <w:szCs w:val="14"/>
                          </w:rPr>
                          <w:t>末余额</w:t>
                        </w:r>
                      </w:p>
                    </w:tc>
                  </w:sdtContent>
                </w:sdt>
                <w:tc>
                  <w:tcPr>
                    <w:tcW w:w="427" w:type="pct"/>
                    <w:vAlign w:val="center"/>
                  </w:tcPr>
                  <w:p w:rsidR="00E02618" w:rsidRPr="00A0098F" w:rsidRDefault="00E02618" w:rsidP="00601D47">
                    <w:pPr>
                      <w:jc w:val="right"/>
                      <w:rPr>
                        <w:sz w:val="14"/>
                        <w:szCs w:val="14"/>
                      </w:rPr>
                    </w:pPr>
                    <w:r w:rsidRPr="00A0098F">
                      <w:rPr>
                        <w:sz w:val="14"/>
                        <w:szCs w:val="14"/>
                      </w:rPr>
                      <w:t>14,866,791,491</w:t>
                    </w:r>
                  </w:p>
                </w:tc>
                <w:tc>
                  <w:tcPr>
                    <w:tcW w:w="400" w:type="pct"/>
                    <w:vAlign w:val="center"/>
                  </w:tcPr>
                  <w:p w:rsidR="00E02618" w:rsidRPr="00A0098F" w:rsidRDefault="00E02618" w:rsidP="00601D47">
                    <w:pPr>
                      <w:jc w:val="right"/>
                      <w:rPr>
                        <w:sz w:val="14"/>
                        <w:szCs w:val="14"/>
                      </w:rPr>
                    </w:pPr>
                    <w:r w:rsidRPr="00A0098F">
                      <w:rPr>
                        <w:sz w:val="14"/>
                        <w:szCs w:val="14"/>
                      </w:rPr>
                      <w:t>3,358,346,883</w:t>
                    </w:r>
                  </w:p>
                </w:tc>
                <w:tc>
                  <w:tcPr>
                    <w:tcW w:w="427" w:type="pct"/>
                    <w:vAlign w:val="center"/>
                  </w:tcPr>
                  <w:p w:rsidR="00E02618" w:rsidRPr="00A0098F" w:rsidRDefault="00E02618" w:rsidP="00601D47">
                    <w:pPr>
                      <w:jc w:val="right"/>
                      <w:rPr>
                        <w:sz w:val="14"/>
                        <w:szCs w:val="14"/>
                      </w:rPr>
                    </w:pPr>
                    <w:r w:rsidRPr="00A0098F">
                      <w:rPr>
                        <w:sz w:val="14"/>
                        <w:szCs w:val="14"/>
                      </w:rPr>
                      <w:t>23,898,013,565</w:t>
                    </w:r>
                  </w:p>
                </w:tc>
                <w:tc>
                  <w:tcPr>
                    <w:tcW w:w="527" w:type="pct"/>
                    <w:vAlign w:val="center"/>
                  </w:tcPr>
                  <w:p w:rsidR="00E02618" w:rsidRPr="00A0098F" w:rsidRDefault="00E02618" w:rsidP="00601D47">
                    <w:pPr>
                      <w:jc w:val="right"/>
                      <w:rPr>
                        <w:sz w:val="14"/>
                        <w:szCs w:val="14"/>
                      </w:rPr>
                    </w:pPr>
                    <w:r w:rsidRPr="00A0098F">
                      <w:rPr>
                        <w:sz w:val="14"/>
                        <w:szCs w:val="14"/>
                      </w:rPr>
                      <w:t>-511,567,126</w:t>
                    </w:r>
                  </w:p>
                </w:tc>
                <w:tc>
                  <w:tcPr>
                    <w:tcW w:w="604" w:type="pct"/>
                    <w:vAlign w:val="center"/>
                  </w:tcPr>
                  <w:p w:rsidR="00E02618" w:rsidRPr="00A0098F" w:rsidRDefault="00E02618" w:rsidP="00601D47">
                    <w:pPr>
                      <w:jc w:val="right"/>
                      <w:rPr>
                        <w:sz w:val="14"/>
                        <w:szCs w:val="14"/>
                      </w:rPr>
                    </w:pPr>
                    <w:r w:rsidRPr="00A0098F">
                      <w:rPr>
                        <w:sz w:val="14"/>
                        <w:szCs w:val="14"/>
                      </w:rPr>
                      <w:t>522,182,504</w:t>
                    </w:r>
                  </w:p>
                </w:tc>
                <w:tc>
                  <w:tcPr>
                    <w:tcW w:w="503" w:type="pct"/>
                    <w:vAlign w:val="center"/>
                  </w:tcPr>
                  <w:p w:rsidR="00E02618" w:rsidRPr="00A0098F" w:rsidRDefault="00E02618" w:rsidP="00601D47">
                    <w:pPr>
                      <w:jc w:val="right"/>
                      <w:rPr>
                        <w:sz w:val="14"/>
                        <w:szCs w:val="14"/>
                      </w:rPr>
                    </w:pPr>
                    <w:r w:rsidRPr="00A0098F">
                      <w:rPr>
                        <w:sz w:val="14"/>
                        <w:szCs w:val="14"/>
                      </w:rPr>
                      <w:t>17,133,996,654</w:t>
                    </w:r>
                  </w:p>
                </w:tc>
                <w:tc>
                  <w:tcPr>
                    <w:tcW w:w="452" w:type="pct"/>
                    <w:vAlign w:val="center"/>
                  </w:tcPr>
                  <w:p w:rsidR="00E02618" w:rsidRPr="00A0098F" w:rsidRDefault="00E02618" w:rsidP="00601D47">
                    <w:pPr>
                      <w:jc w:val="right"/>
                      <w:rPr>
                        <w:sz w:val="14"/>
                        <w:szCs w:val="14"/>
                      </w:rPr>
                    </w:pPr>
                    <w:r w:rsidRPr="00A0098F">
                      <w:rPr>
                        <w:sz w:val="14"/>
                        <w:szCs w:val="14"/>
                      </w:rPr>
                      <w:t>61,661,048,207</w:t>
                    </w:r>
                  </w:p>
                </w:tc>
                <w:tc>
                  <w:tcPr>
                    <w:tcW w:w="456" w:type="pct"/>
                    <w:vAlign w:val="center"/>
                  </w:tcPr>
                  <w:p w:rsidR="00E02618" w:rsidRPr="00A0098F" w:rsidRDefault="00E02618" w:rsidP="00601D47">
                    <w:pPr>
                      <w:jc w:val="right"/>
                      <w:rPr>
                        <w:sz w:val="14"/>
                        <w:szCs w:val="14"/>
                      </w:rPr>
                    </w:pPr>
                    <w:r w:rsidRPr="00A0098F">
                      <w:rPr>
                        <w:sz w:val="14"/>
                        <w:szCs w:val="14"/>
                      </w:rPr>
                      <w:t>8,897,517,447</w:t>
                    </w:r>
                  </w:p>
                </w:tc>
                <w:tc>
                  <w:tcPr>
                    <w:tcW w:w="481" w:type="pct"/>
                    <w:vAlign w:val="center"/>
                  </w:tcPr>
                  <w:p w:rsidR="00E02618" w:rsidRPr="00A0098F" w:rsidRDefault="00E02618" w:rsidP="00601D47">
                    <w:pPr>
                      <w:jc w:val="right"/>
                      <w:rPr>
                        <w:sz w:val="14"/>
                        <w:szCs w:val="14"/>
                      </w:rPr>
                    </w:pPr>
                    <w:r w:rsidRPr="00A0098F">
                      <w:rPr>
                        <w:sz w:val="14"/>
                        <w:szCs w:val="14"/>
                      </w:rPr>
                      <w:t>129,826,329,625</w:t>
                    </w:r>
                  </w:p>
                </w:tc>
              </w:tr>
              <w:tr w:rsidR="00A0098F" w:rsidTr="00A0098F">
                <w:sdt>
                  <w:sdtPr>
                    <w:rPr>
                      <w:sz w:val="14"/>
                      <w:szCs w:val="14"/>
                    </w:rPr>
                    <w:tag w:val="_PLD_03f09ee4c9b7416b9923560f93f21ac6"/>
                    <w:id w:val="-725067587"/>
                    <w:lock w:val="sdtLocked"/>
                  </w:sdtPr>
                  <w:sdtContent>
                    <w:tc>
                      <w:tcPr>
                        <w:tcW w:w="723" w:type="pct"/>
                      </w:tcPr>
                      <w:p w:rsidR="00E02618" w:rsidRPr="00A0098F" w:rsidRDefault="00E02618" w:rsidP="00601D47">
                        <w:pPr>
                          <w:ind w:firstLineChars="200" w:firstLine="280"/>
                          <w:rPr>
                            <w:sz w:val="14"/>
                            <w:szCs w:val="14"/>
                          </w:rPr>
                        </w:pPr>
                        <w:r w:rsidRPr="00A0098F">
                          <w:rPr>
                            <w:rFonts w:hint="eastAsia"/>
                            <w:sz w:val="14"/>
                            <w:szCs w:val="14"/>
                          </w:rPr>
                          <w:t>同一控制下企业合并</w:t>
                        </w:r>
                      </w:p>
                    </w:tc>
                  </w:sdtContent>
                </w:sdt>
                <w:tc>
                  <w:tcPr>
                    <w:tcW w:w="427" w:type="pct"/>
                    <w:vAlign w:val="center"/>
                  </w:tcPr>
                  <w:p w:rsidR="00E02618" w:rsidRPr="00A0098F" w:rsidRDefault="00E02618" w:rsidP="00601D47">
                    <w:pPr>
                      <w:jc w:val="right"/>
                      <w:rPr>
                        <w:sz w:val="14"/>
                        <w:szCs w:val="14"/>
                      </w:rPr>
                    </w:pPr>
                    <w:r w:rsidRPr="00A0098F">
                      <w:rPr>
                        <w:sz w:val="14"/>
                        <w:szCs w:val="14"/>
                      </w:rPr>
                      <w:t>0</w:t>
                    </w:r>
                  </w:p>
                </w:tc>
                <w:tc>
                  <w:tcPr>
                    <w:tcW w:w="400" w:type="pct"/>
                    <w:vAlign w:val="center"/>
                  </w:tcPr>
                  <w:p w:rsidR="00E02618" w:rsidRPr="00A0098F" w:rsidRDefault="00E02618" w:rsidP="00601D47">
                    <w:pPr>
                      <w:jc w:val="right"/>
                      <w:rPr>
                        <w:sz w:val="14"/>
                        <w:szCs w:val="14"/>
                      </w:rPr>
                    </w:pPr>
                    <w:r w:rsidRPr="00A0098F">
                      <w:rPr>
                        <w:sz w:val="14"/>
                        <w:szCs w:val="14"/>
                      </w:rPr>
                      <w:t>0</w:t>
                    </w:r>
                  </w:p>
                </w:tc>
                <w:tc>
                  <w:tcPr>
                    <w:tcW w:w="427" w:type="pct"/>
                    <w:vAlign w:val="center"/>
                  </w:tcPr>
                  <w:p w:rsidR="00E02618" w:rsidRPr="00A0098F" w:rsidRDefault="00E02618" w:rsidP="00601D47">
                    <w:pPr>
                      <w:jc w:val="right"/>
                      <w:rPr>
                        <w:sz w:val="14"/>
                        <w:szCs w:val="14"/>
                      </w:rPr>
                    </w:pPr>
                    <w:r w:rsidRPr="00A0098F">
                      <w:rPr>
                        <w:sz w:val="14"/>
                        <w:szCs w:val="14"/>
                      </w:rPr>
                      <w:t>3,425,324,697</w:t>
                    </w:r>
                  </w:p>
                </w:tc>
                <w:tc>
                  <w:tcPr>
                    <w:tcW w:w="527" w:type="pct"/>
                    <w:vAlign w:val="center"/>
                  </w:tcPr>
                  <w:p w:rsidR="00E02618" w:rsidRPr="00A0098F" w:rsidRDefault="00E02618" w:rsidP="00601D47">
                    <w:pPr>
                      <w:jc w:val="right"/>
                      <w:rPr>
                        <w:sz w:val="14"/>
                        <w:szCs w:val="14"/>
                      </w:rPr>
                    </w:pPr>
                    <w:r w:rsidRPr="00A0098F">
                      <w:rPr>
                        <w:sz w:val="14"/>
                        <w:szCs w:val="14"/>
                      </w:rPr>
                      <w:t>0</w:t>
                    </w:r>
                  </w:p>
                </w:tc>
                <w:tc>
                  <w:tcPr>
                    <w:tcW w:w="604" w:type="pct"/>
                    <w:vAlign w:val="center"/>
                  </w:tcPr>
                  <w:p w:rsidR="00E02618" w:rsidRPr="00A0098F" w:rsidRDefault="00E02618" w:rsidP="00601D47">
                    <w:pPr>
                      <w:jc w:val="right"/>
                      <w:rPr>
                        <w:sz w:val="14"/>
                        <w:szCs w:val="14"/>
                      </w:rPr>
                    </w:pPr>
                    <w:r w:rsidRPr="00A0098F">
                      <w:rPr>
                        <w:sz w:val="14"/>
                        <w:szCs w:val="14"/>
                      </w:rPr>
                      <w:t>8,412</w:t>
                    </w:r>
                  </w:p>
                </w:tc>
                <w:tc>
                  <w:tcPr>
                    <w:tcW w:w="503" w:type="pct"/>
                    <w:vAlign w:val="center"/>
                  </w:tcPr>
                  <w:p w:rsidR="00E02618" w:rsidRPr="00A0098F" w:rsidRDefault="00E02618" w:rsidP="00601D47">
                    <w:pPr>
                      <w:jc w:val="right"/>
                      <w:rPr>
                        <w:sz w:val="14"/>
                        <w:szCs w:val="14"/>
                      </w:rPr>
                    </w:pPr>
                    <w:r w:rsidRPr="00A0098F">
                      <w:rPr>
                        <w:sz w:val="14"/>
                        <w:szCs w:val="14"/>
                      </w:rPr>
                      <w:t>0</w:t>
                    </w:r>
                  </w:p>
                </w:tc>
                <w:tc>
                  <w:tcPr>
                    <w:tcW w:w="452" w:type="pct"/>
                    <w:vAlign w:val="center"/>
                  </w:tcPr>
                  <w:p w:rsidR="00E02618" w:rsidRPr="00A0098F" w:rsidRDefault="00E02618" w:rsidP="00601D47">
                    <w:pPr>
                      <w:jc w:val="right"/>
                      <w:rPr>
                        <w:sz w:val="14"/>
                        <w:szCs w:val="14"/>
                      </w:rPr>
                    </w:pPr>
                    <w:r w:rsidRPr="00A0098F">
                      <w:rPr>
                        <w:sz w:val="14"/>
                        <w:szCs w:val="14"/>
                      </w:rPr>
                      <w:t>-143,860,225</w:t>
                    </w:r>
                  </w:p>
                </w:tc>
                <w:tc>
                  <w:tcPr>
                    <w:tcW w:w="456" w:type="pct"/>
                    <w:vAlign w:val="center"/>
                  </w:tcPr>
                  <w:p w:rsidR="00E02618" w:rsidRPr="00A0098F" w:rsidRDefault="00E02618" w:rsidP="00601D47">
                    <w:pPr>
                      <w:jc w:val="right"/>
                      <w:rPr>
                        <w:sz w:val="14"/>
                        <w:szCs w:val="14"/>
                      </w:rPr>
                    </w:pPr>
                    <w:r w:rsidRPr="00A0098F">
                      <w:rPr>
                        <w:sz w:val="14"/>
                        <w:szCs w:val="14"/>
                      </w:rPr>
                      <w:t>892,632,419</w:t>
                    </w:r>
                  </w:p>
                </w:tc>
                <w:tc>
                  <w:tcPr>
                    <w:tcW w:w="481" w:type="pct"/>
                    <w:vAlign w:val="center"/>
                  </w:tcPr>
                  <w:p w:rsidR="00E02618" w:rsidRPr="00A0098F" w:rsidRDefault="00E02618" w:rsidP="00601D47">
                    <w:pPr>
                      <w:jc w:val="right"/>
                      <w:rPr>
                        <w:sz w:val="14"/>
                        <w:szCs w:val="14"/>
                      </w:rPr>
                    </w:pPr>
                    <w:r w:rsidRPr="00A0098F">
                      <w:rPr>
                        <w:sz w:val="14"/>
                        <w:szCs w:val="14"/>
                      </w:rPr>
                      <w:t>4,174,105,303</w:t>
                    </w:r>
                  </w:p>
                </w:tc>
              </w:tr>
              <w:tr w:rsidR="00A0098F" w:rsidTr="00A0098F">
                <w:sdt>
                  <w:sdtPr>
                    <w:rPr>
                      <w:sz w:val="14"/>
                      <w:szCs w:val="14"/>
                    </w:rPr>
                    <w:tag w:val="_PLD_6438083d485a4ed1a2cb2a35b3d400f3"/>
                    <w:id w:val="-1424108862"/>
                    <w:lock w:val="sdtLocked"/>
                  </w:sdtPr>
                  <w:sdtContent>
                    <w:tc>
                      <w:tcPr>
                        <w:tcW w:w="723" w:type="pct"/>
                      </w:tcPr>
                      <w:p w:rsidR="00E02618" w:rsidRPr="00A0098F" w:rsidRDefault="00E02618" w:rsidP="00601D47">
                        <w:pPr>
                          <w:rPr>
                            <w:sz w:val="14"/>
                            <w:szCs w:val="14"/>
                          </w:rPr>
                        </w:pPr>
                        <w:r w:rsidRPr="00A0098F">
                          <w:rPr>
                            <w:sz w:val="14"/>
                            <w:szCs w:val="14"/>
                          </w:rPr>
                          <w:t>二、本年</w:t>
                        </w:r>
                        <w:r w:rsidRPr="00A0098F">
                          <w:rPr>
                            <w:rFonts w:hint="eastAsia"/>
                            <w:sz w:val="14"/>
                            <w:szCs w:val="14"/>
                          </w:rPr>
                          <w:t>期</w:t>
                        </w:r>
                        <w:r w:rsidRPr="00A0098F">
                          <w:rPr>
                            <w:sz w:val="14"/>
                            <w:szCs w:val="14"/>
                          </w:rPr>
                          <w:t>初余额</w:t>
                        </w:r>
                      </w:p>
                    </w:tc>
                  </w:sdtContent>
                </w:sdt>
                <w:tc>
                  <w:tcPr>
                    <w:tcW w:w="427" w:type="pct"/>
                    <w:vAlign w:val="center"/>
                  </w:tcPr>
                  <w:p w:rsidR="00E02618" w:rsidRPr="00A0098F" w:rsidRDefault="00E02618" w:rsidP="00601D47">
                    <w:pPr>
                      <w:jc w:val="right"/>
                      <w:rPr>
                        <w:sz w:val="14"/>
                        <w:szCs w:val="14"/>
                      </w:rPr>
                    </w:pPr>
                    <w:r w:rsidRPr="00A0098F">
                      <w:rPr>
                        <w:sz w:val="14"/>
                        <w:szCs w:val="14"/>
                      </w:rPr>
                      <w:t>14,866,791,491</w:t>
                    </w:r>
                  </w:p>
                </w:tc>
                <w:tc>
                  <w:tcPr>
                    <w:tcW w:w="400" w:type="pct"/>
                    <w:vAlign w:val="center"/>
                  </w:tcPr>
                  <w:p w:rsidR="00E02618" w:rsidRPr="00A0098F" w:rsidRDefault="00E02618" w:rsidP="00601D47">
                    <w:pPr>
                      <w:jc w:val="right"/>
                      <w:rPr>
                        <w:sz w:val="14"/>
                        <w:szCs w:val="14"/>
                      </w:rPr>
                    </w:pPr>
                    <w:r w:rsidRPr="00A0098F">
                      <w:rPr>
                        <w:sz w:val="14"/>
                        <w:szCs w:val="14"/>
                      </w:rPr>
                      <w:t>3,358,346,883</w:t>
                    </w:r>
                  </w:p>
                </w:tc>
                <w:tc>
                  <w:tcPr>
                    <w:tcW w:w="427" w:type="pct"/>
                    <w:vAlign w:val="center"/>
                  </w:tcPr>
                  <w:p w:rsidR="00E02618" w:rsidRPr="00A0098F" w:rsidRDefault="00E02618" w:rsidP="00601D47">
                    <w:pPr>
                      <w:jc w:val="right"/>
                      <w:rPr>
                        <w:sz w:val="14"/>
                        <w:szCs w:val="14"/>
                      </w:rPr>
                    </w:pPr>
                    <w:r w:rsidRPr="00A0098F">
                      <w:rPr>
                        <w:sz w:val="14"/>
                        <w:szCs w:val="14"/>
                      </w:rPr>
                      <w:t>27,323,338,262</w:t>
                    </w:r>
                  </w:p>
                </w:tc>
                <w:tc>
                  <w:tcPr>
                    <w:tcW w:w="527" w:type="pct"/>
                    <w:vAlign w:val="center"/>
                  </w:tcPr>
                  <w:p w:rsidR="00E02618" w:rsidRPr="00A0098F" w:rsidRDefault="00E02618" w:rsidP="00601D47">
                    <w:pPr>
                      <w:jc w:val="right"/>
                      <w:rPr>
                        <w:sz w:val="14"/>
                        <w:szCs w:val="14"/>
                      </w:rPr>
                    </w:pPr>
                    <w:r w:rsidRPr="00A0098F">
                      <w:rPr>
                        <w:sz w:val="14"/>
                        <w:szCs w:val="14"/>
                      </w:rPr>
                      <w:t>-511,567,126</w:t>
                    </w:r>
                  </w:p>
                </w:tc>
                <w:tc>
                  <w:tcPr>
                    <w:tcW w:w="604" w:type="pct"/>
                    <w:vAlign w:val="center"/>
                  </w:tcPr>
                  <w:p w:rsidR="00E02618" w:rsidRPr="00A0098F" w:rsidRDefault="00E02618" w:rsidP="00601D47">
                    <w:pPr>
                      <w:jc w:val="right"/>
                      <w:rPr>
                        <w:sz w:val="14"/>
                        <w:szCs w:val="14"/>
                      </w:rPr>
                    </w:pPr>
                    <w:r w:rsidRPr="00A0098F">
                      <w:rPr>
                        <w:sz w:val="14"/>
                        <w:szCs w:val="14"/>
                      </w:rPr>
                      <w:t>522,190,916</w:t>
                    </w:r>
                  </w:p>
                </w:tc>
                <w:tc>
                  <w:tcPr>
                    <w:tcW w:w="503" w:type="pct"/>
                    <w:vAlign w:val="center"/>
                  </w:tcPr>
                  <w:p w:rsidR="00E02618" w:rsidRPr="00A0098F" w:rsidRDefault="00E02618" w:rsidP="00601D47">
                    <w:pPr>
                      <w:jc w:val="right"/>
                      <w:rPr>
                        <w:sz w:val="14"/>
                        <w:szCs w:val="14"/>
                      </w:rPr>
                    </w:pPr>
                    <w:r w:rsidRPr="00A0098F">
                      <w:rPr>
                        <w:sz w:val="14"/>
                        <w:szCs w:val="14"/>
                      </w:rPr>
                      <w:t>17,133,996,654</w:t>
                    </w:r>
                  </w:p>
                </w:tc>
                <w:tc>
                  <w:tcPr>
                    <w:tcW w:w="452" w:type="pct"/>
                    <w:vAlign w:val="center"/>
                  </w:tcPr>
                  <w:p w:rsidR="00E02618" w:rsidRPr="00A0098F" w:rsidRDefault="00E02618" w:rsidP="00601D47">
                    <w:pPr>
                      <w:jc w:val="right"/>
                      <w:rPr>
                        <w:sz w:val="14"/>
                        <w:szCs w:val="14"/>
                      </w:rPr>
                    </w:pPr>
                    <w:r w:rsidRPr="00A0098F">
                      <w:rPr>
                        <w:sz w:val="14"/>
                        <w:szCs w:val="14"/>
                      </w:rPr>
                      <w:t>61,517,187,982</w:t>
                    </w:r>
                  </w:p>
                </w:tc>
                <w:tc>
                  <w:tcPr>
                    <w:tcW w:w="456" w:type="pct"/>
                    <w:vAlign w:val="center"/>
                  </w:tcPr>
                  <w:p w:rsidR="00E02618" w:rsidRPr="00A0098F" w:rsidRDefault="00E02618" w:rsidP="00601D47">
                    <w:pPr>
                      <w:jc w:val="right"/>
                      <w:rPr>
                        <w:sz w:val="14"/>
                        <w:szCs w:val="14"/>
                      </w:rPr>
                    </w:pPr>
                    <w:r w:rsidRPr="00A0098F">
                      <w:rPr>
                        <w:sz w:val="14"/>
                        <w:szCs w:val="14"/>
                      </w:rPr>
                      <w:t>9,790,149,866</w:t>
                    </w:r>
                  </w:p>
                </w:tc>
                <w:tc>
                  <w:tcPr>
                    <w:tcW w:w="481" w:type="pct"/>
                    <w:vAlign w:val="center"/>
                  </w:tcPr>
                  <w:p w:rsidR="00E02618" w:rsidRPr="00A0098F" w:rsidRDefault="00E02618" w:rsidP="00601D47">
                    <w:pPr>
                      <w:jc w:val="right"/>
                      <w:rPr>
                        <w:sz w:val="14"/>
                        <w:szCs w:val="14"/>
                      </w:rPr>
                    </w:pPr>
                    <w:r w:rsidRPr="00A0098F">
                      <w:rPr>
                        <w:sz w:val="14"/>
                        <w:szCs w:val="14"/>
                      </w:rPr>
                      <w:t>134,000,434,928</w:t>
                    </w:r>
                  </w:p>
                </w:tc>
              </w:tr>
              <w:tr w:rsidR="00A0098F" w:rsidTr="00A0098F">
                <w:sdt>
                  <w:sdtPr>
                    <w:rPr>
                      <w:sz w:val="14"/>
                      <w:szCs w:val="14"/>
                    </w:rPr>
                    <w:tag w:val="_PLD_a0d70a8ecfa64251bc0240cb363e3dd7"/>
                    <w:id w:val="-1150827347"/>
                    <w:lock w:val="sdtLocked"/>
                  </w:sdtPr>
                  <w:sdtContent>
                    <w:tc>
                      <w:tcPr>
                        <w:tcW w:w="723" w:type="pct"/>
                      </w:tcPr>
                      <w:p w:rsidR="00E02618" w:rsidRPr="00A0098F" w:rsidRDefault="00E02618" w:rsidP="00601D47">
                        <w:pPr>
                          <w:rPr>
                            <w:sz w:val="14"/>
                            <w:szCs w:val="14"/>
                          </w:rPr>
                        </w:pPr>
                        <w:r w:rsidRPr="00A0098F">
                          <w:rPr>
                            <w:sz w:val="14"/>
                            <w:szCs w:val="14"/>
                          </w:rPr>
                          <w:t>三、本</w:t>
                        </w:r>
                        <w:r w:rsidRPr="00A0098F">
                          <w:rPr>
                            <w:rFonts w:hint="eastAsia"/>
                            <w:sz w:val="14"/>
                            <w:szCs w:val="14"/>
                          </w:rPr>
                          <w:t>期</w:t>
                        </w:r>
                        <w:r w:rsidRPr="00A0098F">
                          <w:rPr>
                            <w:sz w:val="14"/>
                            <w:szCs w:val="14"/>
                          </w:rPr>
                          <w:t>增减变动金额（减少以“－”号填列）</w:t>
                        </w:r>
                      </w:p>
                    </w:tc>
                  </w:sdtContent>
                </w:sdt>
                <w:tc>
                  <w:tcPr>
                    <w:tcW w:w="427" w:type="pct"/>
                    <w:vAlign w:val="center"/>
                  </w:tcPr>
                  <w:p w:rsidR="00E02618" w:rsidRPr="00A0098F" w:rsidRDefault="00E02618" w:rsidP="00601D47">
                    <w:pPr>
                      <w:jc w:val="right"/>
                      <w:rPr>
                        <w:sz w:val="14"/>
                        <w:szCs w:val="14"/>
                      </w:rPr>
                    </w:pPr>
                    <w:r w:rsidRPr="00A0098F">
                      <w:rPr>
                        <w:sz w:val="14"/>
                        <w:szCs w:val="14"/>
                      </w:rPr>
                      <w:t>116,534</w:t>
                    </w:r>
                  </w:p>
                </w:tc>
                <w:tc>
                  <w:tcPr>
                    <w:tcW w:w="400" w:type="pct"/>
                    <w:vAlign w:val="center"/>
                  </w:tcPr>
                  <w:p w:rsidR="00E02618" w:rsidRPr="00A0098F" w:rsidRDefault="00E02618" w:rsidP="00601D47">
                    <w:pPr>
                      <w:jc w:val="right"/>
                      <w:rPr>
                        <w:sz w:val="14"/>
                        <w:szCs w:val="14"/>
                      </w:rPr>
                    </w:pPr>
                    <w:r w:rsidRPr="00A0098F">
                      <w:rPr>
                        <w:sz w:val="14"/>
                        <w:szCs w:val="14"/>
                      </w:rPr>
                      <w:t>-92,145</w:t>
                    </w:r>
                  </w:p>
                </w:tc>
                <w:tc>
                  <w:tcPr>
                    <w:tcW w:w="427" w:type="pct"/>
                    <w:vAlign w:val="center"/>
                  </w:tcPr>
                  <w:p w:rsidR="00E02618" w:rsidRPr="00A0098F" w:rsidRDefault="00E02618" w:rsidP="00601D47">
                    <w:pPr>
                      <w:jc w:val="right"/>
                      <w:rPr>
                        <w:sz w:val="14"/>
                        <w:szCs w:val="14"/>
                      </w:rPr>
                    </w:pPr>
                    <w:r w:rsidRPr="00A0098F">
                      <w:rPr>
                        <w:sz w:val="14"/>
                        <w:szCs w:val="14"/>
                      </w:rPr>
                      <w:t>-3,977,104,863</w:t>
                    </w:r>
                  </w:p>
                </w:tc>
                <w:tc>
                  <w:tcPr>
                    <w:tcW w:w="527" w:type="pct"/>
                    <w:vAlign w:val="center"/>
                  </w:tcPr>
                  <w:p w:rsidR="00E02618" w:rsidRPr="00A0098F" w:rsidRDefault="00E02618" w:rsidP="00601D47">
                    <w:pPr>
                      <w:jc w:val="right"/>
                      <w:rPr>
                        <w:sz w:val="14"/>
                        <w:szCs w:val="14"/>
                      </w:rPr>
                    </w:pPr>
                    <w:r w:rsidRPr="00A0098F">
                      <w:rPr>
                        <w:sz w:val="14"/>
                        <w:szCs w:val="14"/>
                      </w:rPr>
                      <w:t>-93,771,349</w:t>
                    </w:r>
                  </w:p>
                </w:tc>
                <w:tc>
                  <w:tcPr>
                    <w:tcW w:w="604" w:type="pct"/>
                    <w:vAlign w:val="center"/>
                  </w:tcPr>
                  <w:p w:rsidR="00E02618" w:rsidRPr="00A0098F" w:rsidRDefault="00E02618" w:rsidP="00601D47">
                    <w:pPr>
                      <w:jc w:val="right"/>
                      <w:rPr>
                        <w:sz w:val="14"/>
                        <w:szCs w:val="14"/>
                      </w:rPr>
                    </w:pPr>
                    <w:r w:rsidRPr="00A0098F">
                      <w:rPr>
                        <w:sz w:val="14"/>
                        <w:szCs w:val="14"/>
                      </w:rPr>
                      <w:t>192,104,233</w:t>
                    </w:r>
                  </w:p>
                </w:tc>
                <w:tc>
                  <w:tcPr>
                    <w:tcW w:w="503" w:type="pct"/>
                    <w:vAlign w:val="center"/>
                  </w:tcPr>
                  <w:p w:rsidR="00E02618" w:rsidRPr="00A0098F" w:rsidRDefault="00E02618" w:rsidP="00601D47">
                    <w:pPr>
                      <w:jc w:val="right"/>
                      <w:rPr>
                        <w:sz w:val="14"/>
                        <w:szCs w:val="14"/>
                      </w:rPr>
                    </w:pPr>
                    <w:r w:rsidRPr="00A0098F">
                      <w:rPr>
                        <w:sz w:val="14"/>
                        <w:szCs w:val="14"/>
                      </w:rPr>
                      <w:t>1,187,701,933</w:t>
                    </w:r>
                  </w:p>
                </w:tc>
                <w:tc>
                  <w:tcPr>
                    <w:tcW w:w="452" w:type="pct"/>
                    <w:vAlign w:val="center"/>
                  </w:tcPr>
                  <w:p w:rsidR="00E02618" w:rsidRPr="00A0098F" w:rsidRDefault="00E02618" w:rsidP="00601D47">
                    <w:pPr>
                      <w:jc w:val="right"/>
                      <w:rPr>
                        <w:sz w:val="14"/>
                        <w:szCs w:val="14"/>
                      </w:rPr>
                    </w:pPr>
                    <w:r w:rsidRPr="00A0098F">
                      <w:rPr>
                        <w:sz w:val="14"/>
                        <w:szCs w:val="14"/>
                      </w:rPr>
                      <w:t>2,881,956,824</w:t>
                    </w:r>
                  </w:p>
                </w:tc>
                <w:tc>
                  <w:tcPr>
                    <w:tcW w:w="456" w:type="pct"/>
                    <w:vAlign w:val="center"/>
                  </w:tcPr>
                  <w:p w:rsidR="00E02618" w:rsidRPr="00A0098F" w:rsidRDefault="00E02618" w:rsidP="00601D47">
                    <w:pPr>
                      <w:jc w:val="right"/>
                      <w:rPr>
                        <w:sz w:val="14"/>
                        <w:szCs w:val="14"/>
                      </w:rPr>
                    </w:pPr>
                    <w:r w:rsidRPr="00A0098F">
                      <w:rPr>
                        <w:sz w:val="14"/>
                        <w:szCs w:val="14"/>
                      </w:rPr>
                      <w:t>1,137,140,107</w:t>
                    </w:r>
                  </w:p>
                </w:tc>
                <w:tc>
                  <w:tcPr>
                    <w:tcW w:w="481" w:type="pct"/>
                    <w:vAlign w:val="center"/>
                  </w:tcPr>
                  <w:p w:rsidR="00E02618" w:rsidRPr="00A0098F" w:rsidRDefault="00E02618" w:rsidP="00601D47">
                    <w:pPr>
                      <w:jc w:val="right"/>
                      <w:rPr>
                        <w:sz w:val="14"/>
                        <w:szCs w:val="14"/>
                      </w:rPr>
                    </w:pPr>
                    <w:r w:rsidRPr="00A0098F">
                      <w:rPr>
                        <w:sz w:val="14"/>
                        <w:szCs w:val="14"/>
                      </w:rPr>
                      <w:t>1,328,051,274</w:t>
                    </w:r>
                  </w:p>
                </w:tc>
              </w:tr>
              <w:tr w:rsidR="00A0098F" w:rsidTr="00A0098F">
                <w:sdt>
                  <w:sdtPr>
                    <w:rPr>
                      <w:sz w:val="14"/>
                      <w:szCs w:val="14"/>
                    </w:rPr>
                    <w:tag w:val="_PLD_d3b5283bf10a4a3c8882e3f3c30046c5"/>
                    <w:id w:val="2058584906"/>
                    <w:lock w:val="sdtLocked"/>
                  </w:sdtPr>
                  <w:sdtContent>
                    <w:tc>
                      <w:tcPr>
                        <w:tcW w:w="723" w:type="pct"/>
                      </w:tcPr>
                      <w:p w:rsidR="00E02618" w:rsidRPr="00A0098F" w:rsidRDefault="00E02618" w:rsidP="00601D47">
                        <w:pPr>
                          <w:rPr>
                            <w:sz w:val="14"/>
                            <w:szCs w:val="14"/>
                          </w:rPr>
                        </w:pPr>
                        <w:r w:rsidRPr="00A0098F">
                          <w:rPr>
                            <w:rFonts w:hint="eastAsia"/>
                            <w:sz w:val="14"/>
                            <w:szCs w:val="14"/>
                          </w:rPr>
                          <w:t>（一）综合收益总额</w:t>
                        </w:r>
                      </w:p>
                    </w:tc>
                  </w:sdtContent>
                </w:sdt>
                <w:tc>
                  <w:tcPr>
                    <w:tcW w:w="427" w:type="pct"/>
                    <w:vAlign w:val="center"/>
                  </w:tcPr>
                  <w:p w:rsidR="00E02618" w:rsidRPr="00A0098F" w:rsidRDefault="00E02618" w:rsidP="00601D47">
                    <w:pPr>
                      <w:jc w:val="right"/>
                      <w:rPr>
                        <w:sz w:val="14"/>
                        <w:szCs w:val="14"/>
                      </w:rPr>
                    </w:pPr>
                    <w:r w:rsidRPr="00A0098F">
                      <w:rPr>
                        <w:sz w:val="14"/>
                        <w:szCs w:val="14"/>
                      </w:rPr>
                      <w:t>0</w:t>
                    </w:r>
                  </w:p>
                </w:tc>
                <w:tc>
                  <w:tcPr>
                    <w:tcW w:w="400" w:type="pct"/>
                    <w:vAlign w:val="center"/>
                  </w:tcPr>
                  <w:p w:rsidR="00E02618" w:rsidRPr="00A0098F" w:rsidRDefault="00E02618" w:rsidP="00601D47">
                    <w:pPr>
                      <w:jc w:val="right"/>
                      <w:rPr>
                        <w:sz w:val="14"/>
                        <w:szCs w:val="14"/>
                      </w:rPr>
                    </w:pPr>
                    <w:r w:rsidRPr="00A0098F">
                      <w:rPr>
                        <w:sz w:val="14"/>
                        <w:szCs w:val="14"/>
                      </w:rPr>
                      <w:t>0</w:t>
                    </w:r>
                  </w:p>
                </w:tc>
                <w:tc>
                  <w:tcPr>
                    <w:tcW w:w="427" w:type="pct"/>
                    <w:vAlign w:val="center"/>
                  </w:tcPr>
                  <w:p w:rsidR="00E02618" w:rsidRPr="00A0098F" w:rsidRDefault="00E02618" w:rsidP="00601D47">
                    <w:pPr>
                      <w:jc w:val="right"/>
                      <w:rPr>
                        <w:sz w:val="14"/>
                        <w:szCs w:val="14"/>
                      </w:rPr>
                    </w:pPr>
                    <w:r w:rsidRPr="00A0098F">
                      <w:rPr>
                        <w:sz w:val="14"/>
                        <w:szCs w:val="14"/>
                      </w:rPr>
                      <w:t>0</w:t>
                    </w:r>
                  </w:p>
                </w:tc>
                <w:tc>
                  <w:tcPr>
                    <w:tcW w:w="527" w:type="pct"/>
                    <w:vAlign w:val="center"/>
                  </w:tcPr>
                  <w:p w:rsidR="00E02618" w:rsidRPr="00A0098F" w:rsidRDefault="00E02618" w:rsidP="00601D47">
                    <w:pPr>
                      <w:jc w:val="right"/>
                      <w:rPr>
                        <w:sz w:val="14"/>
                        <w:szCs w:val="14"/>
                      </w:rPr>
                    </w:pPr>
                    <w:r w:rsidRPr="00A0098F">
                      <w:rPr>
                        <w:sz w:val="14"/>
                        <w:szCs w:val="14"/>
                      </w:rPr>
                      <w:t>-93,771,349</w:t>
                    </w:r>
                  </w:p>
                </w:tc>
                <w:tc>
                  <w:tcPr>
                    <w:tcW w:w="604" w:type="pct"/>
                    <w:vAlign w:val="center"/>
                  </w:tcPr>
                  <w:p w:rsidR="00E02618" w:rsidRPr="00A0098F" w:rsidRDefault="00E02618" w:rsidP="00601D47">
                    <w:pPr>
                      <w:jc w:val="right"/>
                      <w:rPr>
                        <w:sz w:val="14"/>
                        <w:szCs w:val="14"/>
                      </w:rPr>
                    </w:pPr>
                    <w:r w:rsidRPr="00A0098F">
                      <w:rPr>
                        <w:sz w:val="14"/>
                        <w:szCs w:val="14"/>
                      </w:rPr>
                      <w:t>0</w:t>
                    </w:r>
                  </w:p>
                </w:tc>
                <w:tc>
                  <w:tcPr>
                    <w:tcW w:w="503" w:type="pct"/>
                    <w:vAlign w:val="center"/>
                  </w:tcPr>
                  <w:p w:rsidR="00E02618" w:rsidRPr="00A0098F" w:rsidRDefault="00E02618" w:rsidP="00601D47">
                    <w:pPr>
                      <w:jc w:val="right"/>
                      <w:rPr>
                        <w:sz w:val="14"/>
                        <w:szCs w:val="14"/>
                      </w:rPr>
                    </w:pPr>
                    <w:r w:rsidRPr="00A0098F">
                      <w:rPr>
                        <w:sz w:val="14"/>
                        <w:szCs w:val="14"/>
                      </w:rPr>
                      <w:t>0</w:t>
                    </w:r>
                  </w:p>
                </w:tc>
                <w:tc>
                  <w:tcPr>
                    <w:tcW w:w="452" w:type="pct"/>
                    <w:vAlign w:val="center"/>
                  </w:tcPr>
                  <w:p w:rsidR="00E02618" w:rsidRPr="00A0098F" w:rsidRDefault="00E02618" w:rsidP="00601D47">
                    <w:pPr>
                      <w:jc w:val="right"/>
                      <w:rPr>
                        <w:sz w:val="14"/>
                        <w:szCs w:val="14"/>
                      </w:rPr>
                    </w:pPr>
                    <w:r w:rsidRPr="00A0098F">
                      <w:rPr>
                        <w:sz w:val="14"/>
                        <w:szCs w:val="14"/>
                      </w:rPr>
                      <w:t>12,181,309,677</w:t>
                    </w:r>
                  </w:p>
                </w:tc>
                <w:tc>
                  <w:tcPr>
                    <w:tcW w:w="456" w:type="pct"/>
                    <w:vAlign w:val="center"/>
                  </w:tcPr>
                  <w:p w:rsidR="00E02618" w:rsidRPr="00A0098F" w:rsidRDefault="00E02618" w:rsidP="00601D47">
                    <w:pPr>
                      <w:jc w:val="right"/>
                      <w:rPr>
                        <w:sz w:val="14"/>
                        <w:szCs w:val="14"/>
                      </w:rPr>
                    </w:pPr>
                    <w:r w:rsidRPr="00A0098F">
                      <w:rPr>
                        <w:sz w:val="14"/>
                        <w:szCs w:val="14"/>
                      </w:rPr>
                      <w:t>1,589,168,693</w:t>
                    </w:r>
                  </w:p>
                </w:tc>
                <w:tc>
                  <w:tcPr>
                    <w:tcW w:w="481" w:type="pct"/>
                    <w:vAlign w:val="center"/>
                  </w:tcPr>
                  <w:p w:rsidR="00E02618" w:rsidRPr="00A0098F" w:rsidRDefault="00E02618" w:rsidP="00601D47">
                    <w:pPr>
                      <w:jc w:val="right"/>
                      <w:rPr>
                        <w:sz w:val="14"/>
                        <w:szCs w:val="14"/>
                      </w:rPr>
                    </w:pPr>
                    <w:r w:rsidRPr="00A0098F">
                      <w:rPr>
                        <w:sz w:val="14"/>
                        <w:szCs w:val="14"/>
                      </w:rPr>
                      <w:t>13,676,707,021</w:t>
                    </w:r>
                  </w:p>
                </w:tc>
              </w:tr>
              <w:tr w:rsidR="00A0098F" w:rsidTr="00A0098F">
                <w:sdt>
                  <w:sdtPr>
                    <w:rPr>
                      <w:sz w:val="14"/>
                      <w:szCs w:val="14"/>
                    </w:rPr>
                    <w:tag w:val="_PLD_ecb1a0919fe148e5893e9977ac112e36"/>
                    <w:id w:val="83273100"/>
                    <w:lock w:val="sdtLocked"/>
                  </w:sdtPr>
                  <w:sdtContent>
                    <w:tc>
                      <w:tcPr>
                        <w:tcW w:w="723" w:type="pct"/>
                      </w:tcPr>
                      <w:p w:rsidR="00E02618" w:rsidRPr="00A0098F" w:rsidRDefault="00E02618" w:rsidP="00601D47">
                        <w:pPr>
                          <w:rPr>
                            <w:sz w:val="14"/>
                            <w:szCs w:val="14"/>
                          </w:rPr>
                        </w:pPr>
                        <w:r w:rsidRPr="00A0098F">
                          <w:rPr>
                            <w:sz w:val="14"/>
                            <w:szCs w:val="14"/>
                          </w:rPr>
                          <w:t>（</w:t>
                        </w:r>
                        <w:r w:rsidRPr="00A0098F">
                          <w:rPr>
                            <w:rFonts w:hint="eastAsia"/>
                            <w:sz w:val="14"/>
                            <w:szCs w:val="14"/>
                          </w:rPr>
                          <w:t>二</w:t>
                        </w:r>
                        <w:r w:rsidRPr="00A0098F">
                          <w:rPr>
                            <w:sz w:val="14"/>
                            <w:szCs w:val="14"/>
                          </w:rPr>
                          <w:t>）所有者投入和减少资本</w:t>
                        </w:r>
                      </w:p>
                    </w:tc>
                  </w:sdtContent>
                </w:sdt>
                <w:tc>
                  <w:tcPr>
                    <w:tcW w:w="427" w:type="pct"/>
                    <w:vAlign w:val="center"/>
                  </w:tcPr>
                  <w:p w:rsidR="00E02618" w:rsidRPr="00A0098F" w:rsidRDefault="00E02618" w:rsidP="00601D47">
                    <w:pPr>
                      <w:jc w:val="right"/>
                      <w:rPr>
                        <w:sz w:val="14"/>
                        <w:szCs w:val="14"/>
                      </w:rPr>
                    </w:pPr>
                    <w:r w:rsidRPr="00A0098F">
                      <w:rPr>
                        <w:sz w:val="14"/>
                        <w:szCs w:val="14"/>
                      </w:rPr>
                      <w:t>116,534</w:t>
                    </w:r>
                  </w:p>
                </w:tc>
                <w:tc>
                  <w:tcPr>
                    <w:tcW w:w="400" w:type="pct"/>
                    <w:vAlign w:val="center"/>
                  </w:tcPr>
                  <w:p w:rsidR="00E02618" w:rsidRPr="00A0098F" w:rsidRDefault="00E02618" w:rsidP="00601D47">
                    <w:pPr>
                      <w:jc w:val="right"/>
                      <w:rPr>
                        <w:sz w:val="14"/>
                        <w:szCs w:val="14"/>
                      </w:rPr>
                    </w:pPr>
                    <w:r w:rsidRPr="00A0098F">
                      <w:rPr>
                        <w:sz w:val="14"/>
                        <w:szCs w:val="14"/>
                      </w:rPr>
                      <w:t>-92,145</w:t>
                    </w:r>
                  </w:p>
                </w:tc>
                <w:tc>
                  <w:tcPr>
                    <w:tcW w:w="427" w:type="pct"/>
                    <w:vAlign w:val="center"/>
                  </w:tcPr>
                  <w:p w:rsidR="00E02618" w:rsidRPr="00A0098F" w:rsidRDefault="00E02618" w:rsidP="00601D47">
                    <w:pPr>
                      <w:jc w:val="right"/>
                      <w:rPr>
                        <w:sz w:val="14"/>
                        <w:szCs w:val="14"/>
                      </w:rPr>
                    </w:pPr>
                    <w:r w:rsidRPr="00A0098F">
                      <w:rPr>
                        <w:sz w:val="14"/>
                        <w:szCs w:val="14"/>
                      </w:rPr>
                      <w:t>-3,980,178,175</w:t>
                    </w:r>
                  </w:p>
                </w:tc>
                <w:tc>
                  <w:tcPr>
                    <w:tcW w:w="527" w:type="pct"/>
                    <w:vAlign w:val="center"/>
                  </w:tcPr>
                  <w:p w:rsidR="00E02618" w:rsidRPr="00A0098F" w:rsidRDefault="00E02618" w:rsidP="00601D47">
                    <w:pPr>
                      <w:jc w:val="right"/>
                      <w:rPr>
                        <w:sz w:val="14"/>
                        <w:szCs w:val="14"/>
                      </w:rPr>
                    </w:pPr>
                    <w:r w:rsidRPr="00A0098F">
                      <w:rPr>
                        <w:sz w:val="14"/>
                        <w:szCs w:val="14"/>
                      </w:rPr>
                      <w:t>0</w:t>
                    </w:r>
                  </w:p>
                </w:tc>
                <w:tc>
                  <w:tcPr>
                    <w:tcW w:w="604" w:type="pct"/>
                    <w:vAlign w:val="center"/>
                  </w:tcPr>
                  <w:p w:rsidR="00E02618" w:rsidRPr="00A0098F" w:rsidRDefault="00E02618" w:rsidP="00601D47">
                    <w:pPr>
                      <w:jc w:val="right"/>
                      <w:rPr>
                        <w:sz w:val="14"/>
                        <w:szCs w:val="14"/>
                      </w:rPr>
                    </w:pPr>
                    <w:r w:rsidRPr="00A0098F">
                      <w:rPr>
                        <w:sz w:val="14"/>
                        <w:szCs w:val="14"/>
                      </w:rPr>
                      <w:t>0</w:t>
                    </w:r>
                  </w:p>
                </w:tc>
                <w:tc>
                  <w:tcPr>
                    <w:tcW w:w="503" w:type="pct"/>
                    <w:vAlign w:val="center"/>
                  </w:tcPr>
                  <w:p w:rsidR="00E02618" w:rsidRPr="00A0098F" w:rsidRDefault="00E02618" w:rsidP="00601D47">
                    <w:pPr>
                      <w:jc w:val="right"/>
                      <w:rPr>
                        <w:sz w:val="14"/>
                        <w:szCs w:val="14"/>
                      </w:rPr>
                    </w:pPr>
                    <w:r w:rsidRPr="00A0098F">
                      <w:rPr>
                        <w:sz w:val="14"/>
                        <w:szCs w:val="14"/>
                      </w:rPr>
                      <w:t>0</w:t>
                    </w:r>
                  </w:p>
                </w:tc>
                <w:tc>
                  <w:tcPr>
                    <w:tcW w:w="452" w:type="pct"/>
                    <w:vAlign w:val="center"/>
                  </w:tcPr>
                  <w:p w:rsidR="00E02618" w:rsidRPr="00A0098F" w:rsidRDefault="00E02618" w:rsidP="00601D47">
                    <w:pPr>
                      <w:jc w:val="right"/>
                      <w:rPr>
                        <w:sz w:val="14"/>
                        <w:szCs w:val="14"/>
                      </w:rPr>
                    </w:pPr>
                    <w:r w:rsidRPr="00A0098F">
                      <w:rPr>
                        <w:sz w:val="14"/>
                        <w:szCs w:val="14"/>
                      </w:rPr>
                      <w:t>0</w:t>
                    </w:r>
                  </w:p>
                </w:tc>
                <w:tc>
                  <w:tcPr>
                    <w:tcW w:w="456" w:type="pct"/>
                    <w:vAlign w:val="center"/>
                  </w:tcPr>
                  <w:p w:rsidR="00E02618" w:rsidRPr="00A0098F" w:rsidRDefault="00E02618" w:rsidP="00601D47">
                    <w:pPr>
                      <w:jc w:val="right"/>
                      <w:rPr>
                        <w:sz w:val="14"/>
                        <w:szCs w:val="14"/>
                      </w:rPr>
                    </w:pPr>
                    <w:r w:rsidRPr="00A0098F">
                      <w:rPr>
                        <w:sz w:val="14"/>
                        <w:szCs w:val="14"/>
                      </w:rPr>
                      <w:t>-138,165,508</w:t>
                    </w:r>
                  </w:p>
                </w:tc>
                <w:tc>
                  <w:tcPr>
                    <w:tcW w:w="481" w:type="pct"/>
                    <w:vAlign w:val="center"/>
                  </w:tcPr>
                  <w:p w:rsidR="00E02618" w:rsidRPr="00A0098F" w:rsidRDefault="00E02618" w:rsidP="00601D47">
                    <w:pPr>
                      <w:jc w:val="right"/>
                      <w:rPr>
                        <w:sz w:val="14"/>
                        <w:szCs w:val="14"/>
                      </w:rPr>
                    </w:pPr>
                    <w:r w:rsidRPr="00A0098F">
                      <w:rPr>
                        <w:sz w:val="14"/>
                        <w:szCs w:val="14"/>
                      </w:rPr>
                      <w:t>-4,118,319,294</w:t>
                    </w:r>
                  </w:p>
                </w:tc>
              </w:tr>
              <w:tr w:rsidR="00A0098F" w:rsidTr="00A0098F">
                <w:sdt>
                  <w:sdtPr>
                    <w:rPr>
                      <w:sz w:val="14"/>
                      <w:szCs w:val="14"/>
                    </w:rPr>
                    <w:tag w:val="_PLD_611ba2ed8c6b439788c9acf67433da0c"/>
                    <w:id w:val="1387133732"/>
                    <w:lock w:val="sdtLocked"/>
                  </w:sdtPr>
                  <w:sdtContent>
                    <w:tc>
                      <w:tcPr>
                        <w:tcW w:w="723" w:type="pct"/>
                      </w:tcPr>
                      <w:p w:rsidR="00E02618" w:rsidRPr="00A0098F" w:rsidRDefault="00E02618" w:rsidP="00601D47">
                        <w:pPr>
                          <w:rPr>
                            <w:sz w:val="14"/>
                            <w:szCs w:val="14"/>
                          </w:rPr>
                        </w:pPr>
                        <w:r w:rsidRPr="00A0098F">
                          <w:rPr>
                            <w:rFonts w:hint="eastAsia"/>
                            <w:sz w:val="14"/>
                            <w:szCs w:val="14"/>
                          </w:rPr>
                          <w:t>1．所有者投入的普通股</w:t>
                        </w:r>
                      </w:p>
                    </w:tc>
                  </w:sdtContent>
                </w:sdt>
                <w:tc>
                  <w:tcPr>
                    <w:tcW w:w="427" w:type="pct"/>
                    <w:vAlign w:val="center"/>
                  </w:tcPr>
                  <w:p w:rsidR="00E02618" w:rsidRPr="00A0098F" w:rsidRDefault="00E02618" w:rsidP="00601D47">
                    <w:pPr>
                      <w:jc w:val="right"/>
                      <w:rPr>
                        <w:sz w:val="14"/>
                        <w:szCs w:val="14"/>
                      </w:rPr>
                    </w:pPr>
                    <w:r w:rsidRPr="00A0098F">
                      <w:rPr>
                        <w:sz w:val="14"/>
                        <w:szCs w:val="14"/>
                      </w:rPr>
                      <w:t>0</w:t>
                    </w:r>
                  </w:p>
                </w:tc>
                <w:tc>
                  <w:tcPr>
                    <w:tcW w:w="400" w:type="pct"/>
                    <w:vAlign w:val="center"/>
                  </w:tcPr>
                  <w:p w:rsidR="00E02618" w:rsidRPr="00A0098F" w:rsidRDefault="00E02618" w:rsidP="00601D47">
                    <w:pPr>
                      <w:jc w:val="right"/>
                      <w:rPr>
                        <w:sz w:val="14"/>
                        <w:szCs w:val="14"/>
                      </w:rPr>
                    </w:pPr>
                    <w:r w:rsidRPr="00A0098F">
                      <w:rPr>
                        <w:sz w:val="14"/>
                        <w:szCs w:val="14"/>
                      </w:rPr>
                      <w:t>0</w:t>
                    </w:r>
                  </w:p>
                </w:tc>
                <w:tc>
                  <w:tcPr>
                    <w:tcW w:w="427" w:type="pct"/>
                    <w:vAlign w:val="center"/>
                  </w:tcPr>
                  <w:p w:rsidR="00E02618" w:rsidRPr="00A0098F" w:rsidRDefault="00E02618" w:rsidP="00601D47">
                    <w:pPr>
                      <w:jc w:val="right"/>
                      <w:rPr>
                        <w:sz w:val="14"/>
                        <w:szCs w:val="14"/>
                      </w:rPr>
                    </w:pPr>
                    <w:r w:rsidRPr="00A0098F">
                      <w:rPr>
                        <w:sz w:val="14"/>
                        <w:szCs w:val="14"/>
                      </w:rPr>
                      <w:t>-702,682</w:t>
                    </w:r>
                  </w:p>
                </w:tc>
                <w:tc>
                  <w:tcPr>
                    <w:tcW w:w="527" w:type="pct"/>
                    <w:vAlign w:val="center"/>
                  </w:tcPr>
                  <w:p w:rsidR="00E02618" w:rsidRPr="00A0098F" w:rsidRDefault="00E02618" w:rsidP="00601D47">
                    <w:pPr>
                      <w:jc w:val="right"/>
                      <w:rPr>
                        <w:sz w:val="14"/>
                        <w:szCs w:val="14"/>
                      </w:rPr>
                    </w:pPr>
                    <w:r w:rsidRPr="00A0098F">
                      <w:rPr>
                        <w:sz w:val="14"/>
                        <w:szCs w:val="14"/>
                      </w:rPr>
                      <w:t>0</w:t>
                    </w:r>
                  </w:p>
                </w:tc>
                <w:tc>
                  <w:tcPr>
                    <w:tcW w:w="604" w:type="pct"/>
                    <w:vAlign w:val="center"/>
                  </w:tcPr>
                  <w:p w:rsidR="00E02618" w:rsidRPr="00A0098F" w:rsidRDefault="00E02618" w:rsidP="00601D47">
                    <w:pPr>
                      <w:jc w:val="right"/>
                      <w:rPr>
                        <w:sz w:val="14"/>
                        <w:szCs w:val="14"/>
                      </w:rPr>
                    </w:pPr>
                    <w:r w:rsidRPr="00A0098F">
                      <w:rPr>
                        <w:sz w:val="14"/>
                        <w:szCs w:val="14"/>
                      </w:rPr>
                      <w:t>0</w:t>
                    </w:r>
                  </w:p>
                </w:tc>
                <w:tc>
                  <w:tcPr>
                    <w:tcW w:w="503" w:type="pct"/>
                    <w:vAlign w:val="center"/>
                  </w:tcPr>
                  <w:p w:rsidR="00E02618" w:rsidRPr="00A0098F" w:rsidRDefault="00E02618" w:rsidP="00601D47">
                    <w:pPr>
                      <w:jc w:val="right"/>
                      <w:rPr>
                        <w:sz w:val="14"/>
                        <w:szCs w:val="14"/>
                      </w:rPr>
                    </w:pPr>
                    <w:r w:rsidRPr="00A0098F">
                      <w:rPr>
                        <w:sz w:val="14"/>
                        <w:szCs w:val="14"/>
                      </w:rPr>
                      <w:t>0</w:t>
                    </w:r>
                  </w:p>
                </w:tc>
                <w:tc>
                  <w:tcPr>
                    <w:tcW w:w="452" w:type="pct"/>
                    <w:vAlign w:val="center"/>
                  </w:tcPr>
                  <w:p w:rsidR="00E02618" w:rsidRPr="00A0098F" w:rsidRDefault="00E02618" w:rsidP="00601D47">
                    <w:pPr>
                      <w:jc w:val="right"/>
                      <w:rPr>
                        <w:sz w:val="14"/>
                        <w:szCs w:val="14"/>
                      </w:rPr>
                    </w:pPr>
                    <w:r w:rsidRPr="00A0098F">
                      <w:rPr>
                        <w:sz w:val="14"/>
                        <w:szCs w:val="14"/>
                      </w:rPr>
                      <w:t>0</w:t>
                    </w:r>
                  </w:p>
                </w:tc>
                <w:tc>
                  <w:tcPr>
                    <w:tcW w:w="456" w:type="pct"/>
                    <w:vAlign w:val="center"/>
                  </w:tcPr>
                  <w:p w:rsidR="00E02618" w:rsidRPr="00A0098F" w:rsidRDefault="00E02618" w:rsidP="00601D47">
                    <w:pPr>
                      <w:jc w:val="right"/>
                      <w:rPr>
                        <w:sz w:val="14"/>
                        <w:szCs w:val="14"/>
                      </w:rPr>
                    </w:pPr>
                    <w:r w:rsidRPr="00A0098F">
                      <w:rPr>
                        <w:sz w:val="14"/>
                        <w:szCs w:val="14"/>
                      </w:rPr>
                      <w:t>3,267,667</w:t>
                    </w:r>
                  </w:p>
                </w:tc>
                <w:tc>
                  <w:tcPr>
                    <w:tcW w:w="481" w:type="pct"/>
                    <w:vAlign w:val="center"/>
                  </w:tcPr>
                  <w:p w:rsidR="00E02618" w:rsidRPr="00A0098F" w:rsidRDefault="00E02618" w:rsidP="00601D47">
                    <w:pPr>
                      <w:jc w:val="right"/>
                      <w:rPr>
                        <w:sz w:val="14"/>
                        <w:szCs w:val="14"/>
                      </w:rPr>
                    </w:pPr>
                    <w:r w:rsidRPr="00A0098F">
                      <w:rPr>
                        <w:sz w:val="14"/>
                        <w:szCs w:val="14"/>
                      </w:rPr>
                      <w:t>2,564,985</w:t>
                    </w:r>
                  </w:p>
                </w:tc>
              </w:tr>
              <w:tr w:rsidR="00A0098F" w:rsidTr="00A0098F">
                <w:sdt>
                  <w:sdtPr>
                    <w:rPr>
                      <w:sz w:val="14"/>
                      <w:szCs w:val="14"/>
                    </w:rPr>
                    <w:tag w:val="_PLD_c90ad87987d54aec9ebb059ca9fe2d83"/>
                    <w:id w:val="145634822"/>
                    <w:lock w:val="sdtLocked"/>
                  </w:sdtPr>
                  <w:sdtContent>
                    <w:tc>
                      <w:tcPr>
                        <w:tcW w:w="723" w:type="pct"/>
                      </w:tcPr>
                      <w:p w:rsidR="00E02618" w:rsidRPr="00A0098F" w:rsidRDefault="00E02618" w:rsidP="00601D47">
                        <w:pPr>
                          <w:rPr>
                            <w:sz w:val="14"/>
                            <w:szCs w:val="14"/>
                          </w:rPr>
                        </w:pPr>
                        <w:r w:rsidRPr="00A0098F">
                          <w:rPr>
                            <w:rFonts w:hint="eastAsia"/>
                            <w:sz w:val="14"/>
                            <w:szCs w:val="14"/>
                          </w:rPr>
                          <w:t>2．其他权益工具持有者投入资本</w:t>
                        </w:r>
                      </w:p>
                    </w:tc>
                  </w:sdtContent>
                </w:sdt>
                <w:tc>
                  <w:tcPr>
                    <w:tcW w:w="427" w:type="pct"/>
                    <w:vAlign w:val="center"/>
                  </w:tcPr>
                  <w:p w:rsidR="00E02618" w:rsidRPr="00A0098F" w:rsidRDefault="00E02618" w:rsidP="00601D47">
                    <w:pPr>
                      <w:jc w:val="right"/>
                      <w:rPr>
                        <w:sz w:val="14"/>
                        <w:szCs w:val="14"/>
                      </w:rPr>
                    </w:pPr>
                    <w:r w:rsidRPr="00A0098F">
                      <w:rPr>
                        <w:sz w:val="14"/>
                        <w:szCs w:val="14"/>
                      </w:rPr>
                      <w:t>116,534</w:t>
                    </w:r>
                  </w:p>
                </w:tc>
                <w:tc>
                  <w:tcPr>
                    <w:tcW w:w="400" w:type="pct"/>
                    <w:vAlign w:val="center"/>
                  </w:tcPr>
                  <w:p w:rsidR="00E02618" w:rsidRPr="00A0098F" w:rsidRDefault="00E02618" w:rsidP="00601D47">
                    <w:pPr>
                      <w:jc w:val="right"/>
                      <w:rPr>
                        <w:sz w:val="14"/>
                        <w:szCs w:val="14"/>
                      </w:rPr>
                    </w:pPr>
                    <w:r w:rsidRPr="00A0098F">
                      <w:rPr>
                        <w:sz w:val="14"/>
                        <w:szCs w:val="14"/>
                      </w:rPr>
                      <w:t>-92,145</w:t>
                    </w:r>
                  </w:p>
                </w:tc>
                <w:tc>
                  <w:tcPr>
                    <w:tcW w:w="427" w:type="pct"/>
                    <w:vAlign w:val="center"/>
                  </w:tcPr>
                  <w:p w:rsidR="00E02618" w:rsidRPr="00A0098F" w:rsidRDefault="00E02618" w:rsidP="00601D47">
                    <w:pPr>
                      <w:jc w:val="right"/>
                      <w:rPr>
                        <w:sz w:val="14"/>
                        <w:szCs w:val="14"/>
                      </w:rPr>
                    </w:pPr>
                    <w:r w:rsidRPr="00A0098F">
                      <w:rPr>
                        <w:sz w:val="14"/>
                        <w:szCs w:val="14"/>
                      </w:rPr>
                      <w:t>775,407</w:t>
                    </w:r>
                  </w:p>
                </w:tc>
                <w:tc>
                  <w:tcPr>
                    <w:tcW w:w="527" w:type="pct"/>
                    <w:vAlign w:val="center"/>
                  </w:tcPr>
                  <w:p w:rsidR="00E02618" w:rsidRPr="00A0098F" w:rsidRDefault="00E02618" w:rsidP="00601D47">
                    <w:pPr>
                      <w:jc w:val="right"/>
                      <w:rPr>
                        <w:sz w:val="14"/>
                        <w:szCs w:val="14"/>
                      </w:rPr>
                    </w:pPr>
                    <w:r w:rsidRPr="00A0098F">
                      <w:rPr>
                        <w:sz w:val="14"/>
                        <w:szCs w:val="14"/>
                      </w:rPr>
                      <w:t>0</w:t>
                    </w:r>
                  </w:p>
                </w:tc>
                <w:tc>
                  <w:tcPr>
                    <w:tcW w:w="604" w:type="pct"/>
                    <w:vAlign w:val="center"/>
                  </w:tcPr>
                  <w:p w:rsidR="00E02618" w:rsidRPr="00A0098F" w:rsidRDefault="00E02618" w:rsidP="00601D47">
                    <w:pPr>
                      <w:jc w:val="right"/>
                      <w:rPr>
                        <w:sz w:val="14"/>
                        <w:szCs w:val="14"/>
                      </w:rPr>
                    </w:pPr>
                    <w:r w:rsidRPr="00A0098F">
                      <w:rPr>
                        <w:sz w:val="14"/>
                        <w:szCs w:val="14"/>
                      </w:rPr>
                      <w:t>0</w:t>
                    </w:r>
                  </w:p>
                </w:tc>
                <w:tc>
                  <w:tcPr>
                    <w:tcW w:w="503" w:type="pct"/>
                    <w:vAlign w:val="center"/>
                  </w:tcPr>
                  <w:p w:rsidR="00E02618" w:rsidRPr="00A0098F" w:rsidRDefault="00E02618" w:rsidP="00601D47">
                    <w:pPr>
                      <w:jc w:val="right"/>
                      <w:rPr>
                        <w:sz w:val="14"/>
                        <w:szCs w:val="14"/>
                      </w:rPr>
                    </w:pPr>
                    <w:r w:rsidRPr="00A0098F">
                      <w:rPr>
                        <w:sz w:val="14"/>
                        <w:szCs w:val="14"/>
                      </w:rPr>
                      <w:t>0</w:t>
                    </w:r>
                  </w:p>
                </w:tc>
                <w:tc>
                  <w:tcPr>
                    <w:tcW w:w="452" w:type="pct"/>
                    <w:vAlign w:val="center"/>
                  </w:tcPr>
                  <w:p w:rsidR="00E02618" w:rsidRPr="00A0098F" w:rsidRDefault="00E02618" w:rsidP="00601D47">
                    <w:pPr>
                      <w:jc w:val="right"/>
                      <w:rPr>
                        <w:sz w:val="14"/>
                        <w:szCs w:val="14"/>
                      </w:rPr>
                    </w:pPr>
                    <w:r w:rsidRPr="00A0098F">
                      <w:rPr>
                        <w:sz w:val="14"/>
                        <w:szCs w:val="14"/>
                      </w:rPr>
                      <w:t>0</w:t>
                    </w:r>
                  </w:p>
                </w:tc>
                <w:tc>
                  <w:tcPr>
                    <w:tcW w:w="456" w:type="pct"/>
                    <w:vAlign w:val="center"/>
                  </w:tcPr>
                  <w:p w:rsidR="00E02618" w:rsidRPr="00A0098F" w:rsidRDefault="00E02618" w:rsidP="00601D47">
                    <w:pPr>
                      <w:jc w:val="right"/>
                      <w:rPr>
                        <w:sz w:val="14"/>
                        <w:szCs w:val="14"/>
                      </w:rPr>
                    </w:pPr>
                    <w:r w:rsidRPr="00A0098F">
                      <w:rPr>
                        <w:sz w:val="14"/>
                        <w:szCs w:val="14"/>
                      </w:rPr>
                      <w:t>0</w:t>
                    </w:r>
                  </w:p>
                </w:tc>
                <w:tc>
                  <w:tcPr>
                    <w:tcW w:w="481" w:type="pct"/>
                    <w:vAlign w:val="center"/>
                  </w:tcPr>
                  <w:p w:rsidR="00E02618" w:rsidRPr="00A0098F" w:rsidRDefault="00E02618" w:rsidP="00601D47">
                    <w:pPr>
                      <w:jc w:val="right"/>
                      <w:rPr>
                        <w:sz w:val="14"/>
                        <w:szCs w:val="14"/>
                      </w:rPr>
                    </w:pPr>
                    <w:r w:rsidRPr="00A0098F">
                      <w:rPr>
                        <w:sz w:val="14"/>
                        <w:szCs w:val="14"/>
                      </w:rPr>
                      <w:t>799,796</w:t>
                    </w:r>
                  </w:p>
                </w:tc>
              </w:tr>
              <w:tr w:rsidR="00A0098F" w:rsidTr="00A0098F">
                <w:sdt>
                  <w:sdtPr>
                    <w:rPr>
                      <w:sz w:val="14"/>
                      <w:szCs w:val="14"/>
                    </w:rPr>
                    <w:tag w:val="_PLD_d73580ad15ab461695606b09453b2233"/>
                    <w:id w:val="-790441821"/>
                    <w:lock w:val="sdtLocked"/>
                  </w:sdtPr>
                  <w:sdtContent>
                    <w:tc>
                      <w:tcPr>
                        <w:tcW w:w="723" w:type="pct"/>
                      </w:tcPr>
                      <w:p w:rsidR="00E02618" w:rsidRPr="00A0098F" w:rsidRDefault="00E02618" w:rsidP="00601D47">
                        <w:pPr>
                          <w:rPr>
                            <w:sz w:val="14"/>
                            <w:szCs w:val="14"/>
                          </w:rPr>
                        </w:pPr>
                        <w:r w:rsidRPr="00A0098F">
                          <w:rPr>
                            <w:rFonts w:hint="eastAsia"/>
                            <w:sz w:val="14"/>
                            <w:szCs w:val="14"/>
                          </w:rPr>
                          <w:t>3</w:t>
                        </w:r>
                        <w:r w:rsidRPr="00A0098F">
                          <w:rPr>
                            <w:sz w:val="14"/>
                            <w:szCs w:val="14"/>
                          </w:rPr>
                          <w:t>．股份支付计入所有者权益的金额</w:t>
                        </w:r>
                      </w:p>
                    </w:tc>
                  </w:sdtContent>
                </w:sdt>
                <w:tc>
                  <w:tcPr>
                    <w:tcW w:w="427" w:type="pct"/>
                    <w:vAlign w:val="center"/>
                  </w:tcPr>
                  <w:p w:rsidR="00E02618" w:rsidRPr="00A0098F" w:rsidRDefault="00E02618" w:rsidP="00601D47">
                    <w:pPr>
                      <w:jc w:val="right"/>
                      <w:rPr>
                        <w:sz w:val="14"/>
                        <w:szCs w:val="14"/>
                      </w:rPr>
                    </w:pPr>
                    <w:r w:rsidRPr="00A0098F">
                      <w:rPr>
                        <w:sz w:val="14"/>
                        <w:szCs w:val="14"/>
                      </w:rPr>
                      <w:t>0</w:t>
                    </w:r>
                  </w:p>
                </w:tc>
                <w:tc>
                  <w:tcPr>
                    <w:tcW w:w="400" w:type="pct"/>
                    <w:vAlign w:val="center"/>
                  </w:tcPr>
                  <w:p w:rsidR="00E02618" w:rsidRPr="00A0098F" w:rsidRDefault="00E02618" w:rsidP="00601D47">
                    <w:pPr>
                      <w:jc w:val="right"/>
                      <w:rPr>
                        <w:sz w:val="14"/>
                        <w:szCs w:val="14"/>
                      </w:rPr>
                    </w:pPr>
                    <w:r w:rsidRPr="00A0098F">
                      <w:rPr>
                        <w:sz w:val="14"/>
                        <w:szCs w:val="14"/>
                      </w:rPr>
                      <w:t>0</w:t>
                    </w:r>
                  </w:p>
                </w:tc>
                <w:tc>
                  <w:tcPr>
                    <w:tcW w:w="427" w:type="pct"/>
                    <w:vAlign w:val="center"/>
                  </w:tcPr>
                  <w:p w:rsidR="00E02618" w:rsidRPr="00A0098F" w:rsidRDefault="00E02618" w:rsidP="00601D47">
                    <w:pPr>
                      <w:jc w:val="right"/>
                      <w:rPr>
                        <w:sz w:val="14"/>
                        <w:szCs w:val="14"/>
                      </w:rPr>
                    </w:pPr>
                    <w:r w:rsidRPr="00A0098F">
                      <w:rPr>
                        <w:sz w:val="14"/>
                        <w:szCs w:val="14"/>
                      </w:rPr>
                      <w:t>0</w:t>
                    </w:r>
                  </w:p>
                </w:tc>
                <w:tc>
                  <w:tcPr>
                    <w:tcW w:w="527" w:type="pct"/>
                    <w:vAlign w:val="center"/>
                  </w:tcPr>
                  <w:p w:rsidR="00E02618" w:rsidRPr="00A0098F" w:rsidRDefault="00E02618" w:rsidP="00601D47">
                    <w:pPr>
                      <w:jc w:val="right"/>
                      <w:rPr>
                        <w:sz w:val="14"/>
                        <w:szCs w:val="14"/>
                      </w:rPr>
                    </w:pPr>
                    <w:r w:rsidRPr="00A0098F">
                      <w:rPr>
                        <w:sz w:val="14"/>
                        <w:szCs w:val="14"/>
                      </w:rPr>
                      <w:t>0</w:t>
                    </w:r>
                  </w:p>
                </w:tc>
                <w:tc>
                  <w:tcPr>
                    <w:tcW w:w="604" w:type="pct"/>
                    <w:vAlign w:val="center"/>
                  </w:tcPr>
                  <w:p w:rsidR="00E02618" w:rsidRPr="00A0098F" w:rsidRDefault="00E02618" w:rsidP="00601D47">
                    <w:pPr>
                      <w:jc w:val="right"/>
                      <w:rPr>
                        <w:sz w:val="14"/>
                        <w:szCs w:val="14"/>
                      </w:rPr>
                    </w:pPr>
                    <w:r w:rsidRPr="00A0098F">
                      <w:rPr>
                        <w:sz w:val="14"/>
                        <w:szCs w:val="14"/>
                      </w:rPr>
                      <w:t>0</w:t>
                    </w:r>
                  </w:p>
                </w:tc>
                <w:tc>
                  <w:tcPr>
                    <w:tcW w:w="503" w:type="pct"/>
                    <w:vAlign w:val="center"/>
                  </w:tcPr>
                  <w:p w:rsidR="00E02618" w:rsidRPr="00A0098F" w:rsidRDefault="00E02618" w:rsidP="00601D47">
                    <w:pPr>
                      <w:jc w:val="right"/>
                      <w:rPr>
                        <w:sz w:val="14"/>
                        <w:szCs w:val="14"/>
                      </w:rPr>
                    </w:pPr>
                    <w:r w:rsidRPr="00A0098F">
                      <w:rPr>
                        <w:sz w:val="14"/>
                        <w:szCs w:val="14"/>
                      </w:rPr>
                      <w:t>0</w:t>
                    </w:r>
                  </w:p>
                </w:tc>
                <w:tc>
                  <w:tcPr>
                    <w:tcW w:w="452" w:type="pct"/>
                    <w:vAlign w:val="center"/>
                  </w:tcPr>
                  <w:p w:rsidR="00E02618" w:rsidRPr="00A0098F" w:rsidRDefault="00E02618" w:rsidP="00601D47">
                    <w:pPr>
                      <w:jc w:val="right"/>
                      <w:rPr>
                        <w:sz w:val="14"/>
                        <w:szCs w:val="14"/>
                      </w:rPr>
                    </w:pPr>
                    <w:r w:rsidRPr="00A0098F">
                      <w:rPr>
                        <w:sz w:val="14"/>
                        <w:szCs w:val="14"/>
                      </w:rPr>
                      <w:t>0</w:t>
                    </w:r>
                  </w:p>
                </w:tc>
                <w:tc>
                  <w:tcPr>
                    <w:tcW w:w="456" w:type="pct"/>
                    <w:vAlign w:val="center"/>
                  </w:tcPr>
                  <w:p w:rsidR="00E02618" w:rsidRPr="00A0098F" w:rsidRDefault="00E02618" w:rsidP="00601D47">
                    <w:pPr>
                      <w:jc w:val="right"/>
                      <w:rPr>
                        <w:sz w:val="14"/>
                        <w:szCs w:val="14"/>
                      </w:rPr>
                    </w:pPr>
                    <w:r w:rsidRPr="00A0098F">
                      <w:rPr>
                        <w:sz w:val="14"/>
                        <w:szCs w:val="14"/>
                      </w:rPr>
                      <w:t>0</w:t>
                    </w:r>
                  </w:p>
                </w:tc>
                <w:tc>
                  <w:tcPr>
                    <w:tcW w:w="481" w:type="pct"/>
                    <w:vAlign w:val="center"/>
                  </w:tcPr>
                  <w:p w:rsidR="00E02618" w:rsidRPr="00A0098F" w:rsidRDefault="00E02618" w:rsidP="00601D47">
                    <w:pPr>
                      <w:jc w:val="right"/>
                      <w:rPr>
                        <w:sz w:val="14"/>
                        <w:szCs w:val="14"/>
                      </w:rPr>
                    </w:pPr>
                    <w:r w:rsidRPr="00A0098F">
                      <w:rPr>
                        <w:sz w:val="14"/>
                        <w:szCs w:val="14"/>
                      </w:rPr>
                      <w:t>0</w:t>
                    </w:r>
                  </w:p>
                </w:tc>
              </w:tr>
              <w:tr w:rsidR="00A0098F" w:rsidTr="00A0098F">
                <w:sdt>
                  <w:sdtPr>
                    <w:rPr>
                      <w:sz w:val="14"/>
                      <w:szCs w:val="14"/>
                    </w:rPr>
                    <w:tag w:val="_PLD_29644716f55d41ee8ad01c3888f6c71a"/>
                    <w:id w:val="1741131019"/>
                    <w:lock w:val="sdtLocked"/>
                  </w:sdtPr>
                  <w:sdtContent>
                    <w:tc>
                      <w:tcPr>
                        <w:tcW w:w="723" w:type="pct"/>
                      </w:tcPr>
                      <w:p w:rsidR="00E02618" w:rsidRPr="00A0098F" w:rsidRDefault="00E02618" w:rsidP="00601D47">
                        <w:pPr>
                          <w:rPr>
                            <w:sz w:val="14"/>
                            <w:szCs w:val="14"/>
                          </w:rPr>
                        </w:pPr>
                        <w:r w:rsidRPr="00A0098F">
                          <w:rPr>
                            <w:sz w:val="14"/>
                            <w:szCs w:val="14"/>
                          </w:rPr>
                          <w:t>4．</w:t>
                        </w:r>
                        <w:r w:rsidRPr="00A0098F">
                          <w:rPr>
                            <w:rFonts w:hint="eastAsia"/>
                            <w:sz w:val="14"/>
                            <w:szCs w:val="14"/>
                          </w:rPr>
                          <w:t>同一控制下企业合并影响</w:t>
                        </w:r>
                      </w:p>
                    </w:tc>
                  </w:sdtContent>
                </w:sdt>
                <w:sdt>
                  <w:sdtPr>
                    <w:rPr>
                      <w:sz w:val="14"/>
                      <w:szCs w:val="14"/>
                    </w:rPr>
                    <w:alias w:val="同一控制下企业合并影响实收资本 (或股本)"/>
                    <w:tag w:val="_GBC_685af12ba508497a8b1b83601e5cdcb1"/>
                    <w:id w:val="1129208486"/>
                    <w:lock w:val="sdtLocked"/>
                  </w:sdtPr>
                  <w:sdtContent>
                    <w:tc>
                      <w:tcPr>
                        <w:tcW w:w="427" w:type="pct"/>
                        <w:vAlign w:val="center"/>
                      </w:tcPr>
                      <w:p w:rsidR="00E02618" w:rsidRPr="00A0098F" w:rsidRDefault="007B6E7A" w:rsidP="00601D47">
                        <w:pPr>
                          <w:jc w:val="right"/>
                          <w:rPr>
                            <w:sz w:val="14"/>
                            <w:szCs w:val="14"/>
                          </w:rPr>
                        </w:pPr>
                        <w:r w:rsidRPr="00A0098F">
                          <w:rPr>
                            <w:sz w:val="14"/>
                            <w:szCs w:val="14"/>
                          </w:rPr>
                          <w:t>0</w:t>
                        </w:r>
                      </w:p>
                    </w:tc>
                  </w:sdtContent>
                </w:sdt>
                <w:tc>
                  <w:tcPr>
                    <w:tcW w:w="400" w:type="pct"/>
                    <w:vAlign w:val="center"/>
                  </w:tcPr>
                  <w:p w:rsidR="00E02618" w:rsidRPr="00A0098F" w:rsidRDefault="007B6E7A" w:rsidP="00601D47">
                    <w:pPr>
                      <w:jc w:val="right"/>
                      <w:rPr>
                        <w:sz w:val="14"/>
                        <w:szCs w:val="14"/>
                      </w:rPr>
                    </w:pPr>
                    <w:r w:rsidRPr="00A0098F">
                      <w:rPr>
                        <w:sz w:val="14"/>
                        <w:szCs w:val="14"/>
                      </w:rPr>
                      <w:t>0</w:t>
                    </w:r>
                  </w:p>
                </w:tc>
                <w:sdt>
                  <w:sdtPr>
                    <w:rPr>
                      <w:sz w:val="14"/>
                      <w:szCs w:val="14"/>
                    </w:rPr>
                    <w:alias w:val="同一控制下企业合并影响资本公积"/>
                    <w:tag w:val="_GBC_3baaeb7385e74819a5486e29b83d7d3b"/>
                    <w:id w:val="-377467779"/>
                    <w:lock w:val="sdtLocked"/>
                  </w:sdtPr>
                  <w:sdtContent>
                    <w:tc>
                      <w:tcPr>
                        <w:tcW w:w="427" w:type="pct"/>
                        <w:vAlign w:val="center"/>
                      </w:tcPr>
                      <w:p w:rsidR="00E02618" w:rsidRPr="00A0098F" w:rsidRDefault="007B6E7A" w:rsidP="00601D47">
                        <w:pPr>
                          <w:jc w:val="right"/>
                          <w:rPr>
                            <w:sz w:val="14"/>
                            <w:szCs w:val="14"/>
                          </w:rPr>
                        </w:pPr>
                        <w:r w:rsidRPr="00A0098F">
                          <w:rPr>
                            <w:sz w:val="14"/>
                            <w:szCs w:val="14"/>
                          </w:rPr>
                          <w:t>-</w:t>
                        </w:r>
                        <w:r w:rsidR="00E02618" w:rsidRPr="00A0098F">
                          <w:rPr>
                            <w:sz w:val="14"/>
                            <w:szCs w:val="14"/>
                          </w:rPr>
                          <w:t>3,980,250,900</w:t>
                        </w:r>
                      </w:p>
                    </w:tc>
                  </w:sdtContent>
                </w:sdt>
                <w:sdt>
                  <w:sdtPr>
                    <w:rPr>
                      <w:sz w:val="14"/>
                      <w:szCs w:val="14"/>
                    </w:rPr>
                    <w:alias w:val="同一控制下企业合并影响其他综合收益"/>
                    <w:tag w:val="_GBC_29651a44c7c746a297f4630774d2214f"/>
                    <w:id w:val="-1384018695"/>
                    <w:lock w:val="sdtLocked"/>
                  </w:sdtPr>
                  <w:sdtContent>
                    <w:tc>
                      <w:tcPr>
                        <w:tcW w:w="527" w:type="pct"/>
                        <w:vAlign w:val="center"/>
                      </w:tcPr>
                      <w:p w:rsidR="00E02618" w:rsidRPr="00A0098F" w:rsidRDefault="007B6E7A" w:rsidP="00601D47">
                        <w:pPr>
                          <w:jc w:val="right"/>
                          <w:rPr>
                            <w:sz w:val="14"/>
                            <w:szCs w:val="14"/>
                          </w:rPr>
                        </w:pPr>
                        <w:r w:rsidRPr="00A0098F">
                          <w:rPr>
                            <w:sz w:val="14"/>
                            <w:szCs w:val="14"/>
                          </w:rPr>
                          <w:t>0</w:t>
                        </w:r>
                      </w:p>
                    </w:tc>
                  </w:sdtContent>
                </w:sdt>
                <w:sdt>
                  <w:sdtPr>
                    <w:rPr>
                      <w:sz w:val="14"/>
                      <w:szCs w:val="14"/>
                    </w:rPr>
                    <w:alias w:val="同一控制下企业合并影响专项储备"/>
                    <w:tag w:val="_GBC_6913cb3fba0549f981e776dea9b78c66"/>
                    <w:id w:val="-2011360042"/>
                    <w:lock w:val="sdtLocked"/>
                  </w:sdtPr>
                  <w:sdtContent>
                    <w:tc>
                      <w:tcPr>
                        <w:tcW w:w="604" w:type="pct"/>
                        <w:vAlign w:val="center"/>
                      </w:tcPr>
                      <w:p w:rsidR="00E02618" w:rsidRPr="00A0098F" w:rsidRDefault="007B6E7A" w:rsidP="00601D47">
                        <w:pPr>
                          <w:jc w:val="right"/>
                          <w:rPr>
                            <w:sz w:val="14"/>
                            <w:szCs w:val="14"/>
                          </w:rPr>
                        </w:pPr>
                        <w:r w:rsidRPr="00A0098F">
                          <w:rPr>
                            <w:sz w:val="14"/>
                            <w:szCs w:val="14"/>
                          </w:rPr>
                          <w:t>0</w:t>
                        </w:r>
                      </w:p>
                    </w:tc>
                  </w:sdtContent>
                </w:sdt>
                <w:sdt>
                  <w:sdtPr>
                    <w:rPr>
                      <w:sz w:val="14"/>
                      <w:szCs w:val="14"/>
                    </w:rPr>
                    <w:alias w:val="同一控制下企业合并影响盈余公积"/>
                    <w:tag w:val="_GBC_82f4522a80ce476f87233c9071f4b68a"/>
                    <w:id w:val="-1853551387"/>
                    <w:lock w:val="sdtLocked"/>
                  </w:sdtPr>
                  <w:sdtContent>
                    <w:tc>
                      <w:tcPr>
                        <w:tcW w:w="503" w:type="pct"/>
                        <w:vAlign w:val="center"/>
                      </w:tcPr>
                      <w:p w:rsidR="00E02618" w:rsidRPr="00A0098F" w:rsidRDefault="007B6E7A" w:rsidP="00601D47">
                        <w:pPr>
                          <w:jc w:val="right"/>
                          <w:rPr>
                            <w:sz w:val="14"/>
                            <w:szCs w:val="14"/>
                          </w:rPr>
                        </w:pPr>
                        <w:r w:rsidRPr="00A0098F">
                          <w:rPr>
                            <w:sz w:val="14"/>
                            <w:szCs w:val="14"/>
                          </w:rPr>
                          <w:t>0</w:t>
                        </w:r>
                      </w:p>
                    </w:tc>
                  </w:sdtContent>
                </w:sdt>
                <w:sdt>
                  <w:sdtPr>
                    <w:rPr>
                      <w:sz w:val="14"/>
                      <w:szCs w:val="14"/>
                    </w:rPr>
                    <w:alias w:val="同一控制下企业合并影响未分配利润"/>
                    <w:tag w:val="_GBC_f50f67a69f17469e909696d112bb5be8"/>
                    <w:id w:val="-366682890"/>
                    <w:lock w:val="sdtLocked"/>
                  </w:sdtPr>
                  <w:sdtContent>
                    <w:tc>
                      <w:tcPr>
                        <w:tcW w:w="452" w:type="pct"/>
                        <w:vAlign w:val="center"/>
                      </w:tcPr>
                      <w:p w:rsidR="00E02618" w:rsidRPr="00A0098F" w:rsidRDefault="007B6E7A" w:rsidP="00601D47">
                        <w:pPr>
                          <w:jc w:val="right"/>
                          <w:rPr>
                            <w:sz w:val="14"/>
                            <w:szCs w:val="14"/>
                          </w:rPr>
                        </w:pPr>
                        <w:r w:rsidRPr="00A0098F">
                          <w:rPr>
                            <w:sz w:val="14"/>
                            <w:szCs w:val="14"/>
                          </w:rPr>
                          <w:t>0</w:t>
                        </w:r>
                      </w:p>
                    </w:tc>
                  </w:sdtContent>
                </w:sdt>
                <w:sdt>
                  <w:sdtPr>
                    <w:rPr>
                      <w:sz w:val="14"/>
                      <w:szCs w:val="14"/>
                    </w:rPr>
                    <w:alias w:val="同一控制下企业合并影响少数股东权益"/>
                    <w:tag w:val="_GBC_06f86bcb859140a8ac6960181a8bc473"/>
                    <w:id w:val="1076322824"/>
                    <w:lock w:val="sdtLocked"/>
                  </w:sdtPr>
                  <w:sdtContent>
                    <w:tc>
                      <w:tcPr>
                        <w:tcW w:w="456" w:type="pct"/>
                        <w:vAlign w:val="center"/>
                      </w:tcPr>
                      <w:p w:rsidR="00E02618" w:rsidRPr="00A0098F" w:rsidRDefault="007B6E7A" w:rsidP="00601D47">
                        <w:pPr>
                          <w:jc w:val="right"/>
                          <w:rPr>
                            <w:sz w:val="14"/>
                            <w:szCs w:val="14"/>
                          </w:rPr>
                        </w:pPr>
                        <w:r w:rsidRPr="00A0098F">
                          <w:rPr>
                            <w:sz w:val="14"/>
                            <w:szCs w:val="14"/>
                          </w:rPr>
                          <w:t>0</w:t>
                        </w:r>
                      </w:p>
                    </w:tc>
                  </w:sdtContent>
                </w:sdt>
                <w:sdt>
                  <w:sdtPr>
                    <w:rPr>
                      <w:sz w:val="14"/>
                      <w:szCs w:val="14"/>
                    </w:rPr>
                    <w:alias w:val="同一控制下企业合并影响所有者权益合计"/>
                    <w:tag w:val="_GBC_819d47fdc5cb490a95c4ea689885c0b5"/>
                    <w:id w:val="424233848"/>
                    <w:lock w:val="sdtLocked"/>
                  </w:sdtPr>
                  <w:sdtContent>
                    <w:tc>
                      <w:tcPr>
                        <w:tcW w:w="481" w:type="pct"/>
                        <w:vAlign w:val="center"/>
                      </w:tcPr>
                      <w:p w:rsidR="00E02618" w:rsidRPr="00A0098F" w:rsidRDefault="007B6E7A" w:rsidP="00601D47">
                        <w:pPr>
                          <w:jc w:val="right"/>
                          <w:rPr>
                            <w:sz w:val="14"/>
                            <w:szCs w:val="14"/>
                          </w:rPr>
                        </w:pPr>
                        <w:r w:rsidRPr="00A0098F">
                          <w:rPr>
                            <w:sz w:val="14"/>
                            <w:szCs w:val="14"/>
                          </w:rPr>
                          <w:t>-</w:t>
                        </w:r>
                        <w:r w:rsidR="00E02618" w:rsidRPr="00A0098F">
                          <w:rPr>
                            <w:sz w:val="14"/>
                            <w:szCs w:val="14"/>
                          </w:rPr>
                          <w:t>3,980,250,900</w:t>
                        </w:r>
                      </w:p>
                    </w:tc>
                  </w:sdtContent>
                </w:sdt>
              </w:tr>
              <w:tr w:rsidR="00A0098F" w:rsidTr="00A0098F">
                <w:sdt>
                  <w:sdtPr>
                    <w:rPr>
                      <w:sz w:val="14"/>
                      <w:szCs w:val="14"/>
                    </w:rPr>
                    <w:tag w:val="_PLD_32d1c7d278224bfa80a28845c7639c86"/>
                    <w:id w:val="-2139482251"/>
                    <w:lock w:val="sdtLocked"/>
                  </w:sdtPr>
                  <w:sdtContent>
                    <w:tc>
                      <w:tcPr>
                        <w:tcW w:w="723" w:type="pct"/>
                      </w:tcPr>
                      <w:p w:rsidR="00DB654F" w:rsidRPr="00A0098F" w:rsidRDefault="00DB654F" w:rsidP="00DB654F">
                        <w:pPr>
                          <w:rPr>
                            <w:sz w:val="14"/>
                            <w:szCs w:val="14"/>
                          </w:rPr>
                        </w:pPr>
                        <w:r w:rsidRPr="00A0098F">
                          <w:rPr>
                            <w:sz w:val="14"/>
                            <w:szCs w:val="14"/>
                          </w:rPr>
                          <w:t>5．其他</w:t>
                        </w:r>
                      </w:p>
                    </w:tc>
                  </w:sdtContent>
                </w:sdt>
                <w:tc>
                  <w:tcPr>
                    <w:tcW w:w="427" w:type="pct"/>
                    <w:vAlign w:val="center"/>
                  </w:tcPr>
                  <w:p w:rsidR="00DB654F" w:rsidRPr="00A0098F" w:rsidRDefault="00DB654F" w:rsidP="00DB654F">
                    <w:pPr>
                      <w:jc w:val="right"/>
                      <w:rPr>
                        <w:sz w:val="14"/>
                        <w:szCs w:val="14"/>
                      </w:rPr>
                    </w:pPr>
                    <w:r w:rsidRPr="00A0098F">
                      <w:rPr>
                        <w:sz w:val="14"/>
                        <w:szCs w:val="14"/>
                      </w:rPr>
                      <w:t>0</w:t>
                    </w:r>
                  </w:p>
                </w:tc>
                <w:tc>
                  <w:tcPr>
                    <w:tcW w:w="400" w:type="pct"/>
                    <w:vAlign w:val="center"/>
                  </w:tcPr>
                  <w:p w:rsidR="00DB654F" w:rsidRPr="00A0098F" w:rsidRDefault="00DB654F" w:rsidP="00DB654F">
                    <w:pPr>
                      <w:jc w:val="right"/>
                      <w:rPr>
                        <w:sz w:val="14"/>
                        <w:szCs w:val="14"/>
                      </w:rPr>
                    </w:pPr>
                    <w:r w:rsidRPr="00A0098F">
                      <w:rPr>
                        <w:sz w:val="14"/>
                        <w:szCs w:val="14"/>
                      </w:rPr>
                      <w:t>0</w:t>
                    </w:r>
                  </w:p>
                </w:tc>
                <w:tc>
                  <w:tcPr>
                    <w:tcW w:w="427" w:type="pct"/>
                    <w:vAlign w:val="center"/>
                  </w:tcPr>
                  <w:p w:rsidR="00DB654F" w:rsidRPr="00A0098F" w:rsidRDefault="00DB654F" w:rsidP="00DB654F">
                    <w:pPr>
                      <w:jc w:val="right"/>
                      <w:rPr>
                        <w:sz w:val="14"/>
                        <w:szCs w:val="14"/>
                      </w:rPr>
                    </w:pPr>
                    <w:r w:rsidRPr="00A0098F">
                      <w:rPr>
                        <w:sz w:val="14"/>
                        <w:szCs w:val="14"/>
                      </w:rPr>
                      <w:t>0</w:t>
                    </w:r>
                  </w:p>
                </w:tc>
                <w:tc>
                  <w:tcPr>
                    <w:tcW w:w="527" w:type="pct"/>
                    <w:vAlign w:val="center"/>
                  </w:tcPr>
                  <w:p w:rsidR="00DB654F" w:rsidRPr="00A0098F" w:rsidRDefault="00DB654F" w:rsidP="00DB654F">
                    <w:pPr>
                      <w:jc w:val="right"/>
                      <w:rPr>
                        <w:sz w:val="14"/>
                        <w:szCs w:val="14"/>
                      </w:rPr>
                    </w:pPr>
                    <w:r w:rsidRPr="00A0098F">
                      <w:rPr>
                        <w:sz w:val="14"/>
                        <w:szCs w:val="14"/>
                      </w:rPr>
                      <w:t>0</w:t>
                    </w:r>
                  </w:p>
                </w:tc>
                <w:tc>
                  <w:tcPr>
                    <w:tcW w:w="604" w:type="pct"/>
                    <w:vAlign w:val="center"/>
                  </w:tcPr>
                  <w:p w:rsidR="00DB654F" w:rsidRPr="00A0098F" w:rsidRDefault="00DB654F" w:rsidP="00DB654F">
                    <w:pPr>
                      <w:jc w:val="right"/>
                      <w:rPr>
                        <w:sz w:val="14"/>
                        <w:szCs w:val="14"/>
                      </w:rPr>
                    </w:pPr>
                    <w:r w:rsidRPr="00A0098F">
                      <w:rPr>
                        <w:sz w:val="14"/>
                        <w:szCs w:val="14"/>
                      </w:rPr>
                      <w:t>0</w:t>
                    </w:r>
                  </w:p>
                </w:tc>
                <w:tc>
                  <w:tcPr>
                    <w:tcW w:w="503" w:type="pct"/>
                    <w:vAlign w:val="center"/>
                  </w:tcPr>
                  <w:p w:rsidR="00DB654F" w:rsidRPr="00A0098F" w:rsidRDefault="00DB654F" w:rsidP="00DB654F">
                    <w:pPr>
                      <w:jc w:val="right"/>
                      <w:rPr>
                        <w:sz w:val="14"/>
                        <w:szCs w:val="14"/>
                      </w:rPr>
                    </w:pPr>
                    <w:r w:rsidRPr="00A0098F">
                      <w:rPr>
                        <w:sz w:val="14"/>
                        <w:szCs w:val="14"/>
                      </w:rPr>
                      <w:t>0</w:t>
                    </w:r>
                  </w:p>
                </w:tc>
                <w:tc>
                  <w:tcPr>
                    <w:tcW w:w="452" w:type="pct"/>
                    <w:vAlign w:val="center"/>
                  </w:tcPr>
                  <w:p w:rsidR="00DB654F" w:rsidRPr="00A0098F" w:rsidRDefault="00DB654F" w:rsidP="00DB654F">
                    <w:pPr>
                      <w:jc w:val="right"/>
                      <w:rPr>
                        <w:sz w:val="14"/>
                        <w:szCs w:val="14"/>
                      </w:rPr>
                    </w:pPr>
                    <w:r w:rsidRPr="00A0098F">
                      <w:rPr>
                        <w:sz w:val="14"/>
                        <w:szCs w:val="14"/>
                      </w:rPr>
                      <w:t>0</w:t>
                    </w:r>
                  </w:p>
                </w:tc>
                <w:tc>
                  <w:tcPr>
                    <w:tcW w:w="456" w:type="pct"/>
                    <w:vAlign w:val="center"/>
                  </w:tcPr>
                  <w:p w:rsidR="00DB654F" w:rsidRPr="00A0098F" w:rsidRDefault="00DB654F" w:rsidP="00DB654F">
                    <w:pPr>
                      <w:jc w:val="right"/>
                      <w:rPr>
                        <w:sz w:val="14"/>
                        <w:szCs w:val="14"/>
                      </w:rPr>
                    </w:pPr>
                    <w:r w:rsidRPr="00A0098F">
                      <w:rPr>
                        <w:sz w:val="14"/>
                        <w:szCs w:val="14"/>
                      </w:rPr>
                      <w:t>-141,433,175</w:t>
                    </w:r>
                  </w:p>
                </w:tc>
                <w:tc>
                  <w:tcPr>
                    <w:tcW w:w="481" w:type="pct"/>
                    <w:vAlign w:val="center"/>
                  </w:tcPr>
                  <w:p w:rsidR="00DB654F" w:rsidRPr="00A0098F" w:rsidRDefault="00DB654F" w:rsidP="00DB654F">
                    <w:pPr>
                      <w:jc w:val="right"/>
                      <w:rPr>
                        <w:sz w:val="14"/>
                        <w:szCs w:val="14"/>
                      </w:rPr>
                    </w:pPr>
                    <w:r w:rsidRPr="00A0098F">
                      <w:rPr>
                        <w:sz w:val="14"/>
                        <w:szCs w:val="14"/>
                      </w:rPr>
                      <w:t>-141,433,175</w:t>
                    </w:r>
                  </w:p>
                </w:tc>
              </w:tr>
              <w:tr w:rsidR="00A0098F" w:rsidTr="00A0098F">
                <w:sdt>
                  <w:sdtPr>
                    <w:rPr>
                      <w:sz w:val="14"/>
                      <w:szCs w:val="14"/>
                    </w:rPr>
                    <w:tag w:val="_PLD_4f4c1a0d22784a4a81a90a7b772560b9"/>
                    <w:id w:val="962621492"/>
                    <w:lock w:val="sdtLocked"/>
                  </w:sdtPr>
                  <w:sdtContent>
                    <w:tc>
                      <w:tcPr>
                        <w:tcW w:w="723" w:type="pct"/>
                      </w:tcPr>
                      <w:p w:rsidR="00DB654F" w:rsidRPr="00A0098F" w:rsidRDefault="00DB654F" w:rsidP="00DB654F">
                        <w:pPr>
                          <w:rPr>
                            <w:sz w:val="14"/>
                            <w:szCs w:val="14"/>
                          </w:rPr>
                        </w:pPr>
                        <w:r w:rsidRPr="00A0098F">
                          <w:rPr>
                            <w:sz w:val="14"/>
                            <w:szCs w:val="14"/>
                          </w:rPr>
                          <w:t>（</w:t>
                        </w:r>
                        <w:r w:rsidRPr="00A0098F">
                          <w:rPr>
                            <w:rFonts w:hint="eastAsia"/>
                            <w:sz w:val="14"/>
                            <w:szCs w:val="14"/>
                          </w:rPr>
                          <w:t>三</w:t>
                        </w:r>
                        <w:r w:rsidRPr="00A0098F">
                          <w:rPr>
                            <w:sz w:val="14"/>
                            <w:szCs w:val="14"/>
                          </w:rPr>
                          <w:t>）利润分配</w:t>
                        </w:r>
                      </w:p>
                    </w:tc>
                  </w:sdtContent>
                </w:sdt>
                <w:tc>
                  <w:tcPr>
                    <w:tcW w:w="427" w:type="pct"/>
                    <w:vAlign w:val="center"/>
                  </w:tcPr>
                  <w:p w:rsidR="00DB654F" w:rsidRPr="00A0098F" w:rsidRDefault="00DB654F" w:rsidP="00DB654F">
                    <w:pPr>
                      <w:jc w:val="right"/>
                      <w:rPr>
                        <w:sz w:val="14"/>
                        <w:szCs w:val="14"/>
                      </w:rPr>
                    </w:pPr>
                    <w:r w:rsidRPr="00A0098F">
                      <w:rPr>
                        <w:sz w:val="14"/>
                        <w:szCs w:val="14"/>
                      </w:rPr>
                      <w:t>0</w:t>
                    </w:r>
                  </w:p>
                </w:tc>
                <w:tc>
                  <w:tcPr>
                    <w:tcW w:w="400" w:type="pct"/>
                    <w:vAlign w:val="center"/>
                  </w:tcPr>
                  <w:p w:rsidR="00DB654F" w:rsidRPr="00A0098F" w:rsidRDefault="00DB654F" w:rsidP="00DB654F">
                    <w:pPr>
                      <w:jc w:val="right"/>
                      <w:rPr>
                        <w:sz w:val="14"/>
                        <w:szCs w:val="14"/>
                      </w:rPr>
                    </w:pPr>
                    <w:r w:rsidRPr="00A0098F">
                      <w:rPr>
                        <w:sz w:val="14"/>
                        <w:szCs w:val="14"/>
                      </w:rPr>
                      <w:t>0</w:t>
                    </w:r>
                  </w:p>
                </w:tc>
                <w:tc>
                  <w:tcPr>
                    <w:tcW w:w="427" w:type="pct"/>
                    <w:vAlign w:val="center"/>
                  </w:tcPr>
                  <w:p w:rsidR="00DB654F" w:rsidRPr="00A0098F" w:rsidRDefault="00DB654F" w:rsidP="00DB654F">
                    <w:pPr>
                      <w:jc w:val="right"/>
                      <w:rPr>
                        <w:sz w:val="14"/>
                        <w:szCs w:val="14"/>
                      </w:rPr>
                    </w:pPr>
                    <w:r w:rsidRPr="00A0098F">
                      <w:rPr>
                        <w:sz w:val="14"/>
                        <w:szCs w:val="14"/>
                      </w:rPr>
                      <w:t>0</w:t>
                    </w:r>
                  </w:p>
                </w:tc>
                <w:tc>
                  <w:tcPr>
                    <w:tcW w:w="527" w:type="pct"/>
                    <w:vAlign w:val="center"/>
                  </w:tcPr>
                  <w:p w:rsidR="00DB654F" w:rsidRPr="00A0098F" w:rsidRDefault="00DB654F" w:rsidP="00DB654F">
                    <w:pPr>
                      <w:jc w:val="right"/>
                      <w:rPr>
                        <w:sz w:val="14"/>
                        <w:szCs w:val="14"/>
                      </w:rPr>
                    </w:pPr>
                    <w:r w:rsidRPr="00A0098F">
                      <w:rPr>
                        <w:sz w:val="14"/>
                        <w:szCs w:val="14"/>
                      </w:rPr>
                      <w:t>0</w:t>
                    </w:r>
                  </w:p>
                </w:tc>
                <w:tc>
                  <w:tcPr>
                    <w:tcW w:w="604" w:type="pct"/>
                    <w:vAlign w:val="center"/>
                  </w:tcPr>
                  <w:p w:rsidR="00DB654F" w:rsidRPr="00A0098F" w:rsidRDefault="00DB654F" w:rsidP="00DB654F">
                    <w:pPr>
                      <w:jc w:val="right"/>
                      <w:rPr>
                        <w:sz w:val="14"/>
                        <w:szCs w:val="14"/>
                      </w:rPr>
                    </w:pPr>
                    <w:r w:rsidRPr="00A0098F">
                      <w:rPr>
                        <w:sz w:val="14"/>
                        <w:szCs w:val="14"/>
                      </w:rPr>
                      <w:t>0</w:t>
                    </w:r>
                  </w:p>
                </w:tc>
                <w:tc>
                  <w:tcPr>
                    <w:tcW w:w="503" w:type="pct"/>
                    <w:vAlign w:val="center"/>
                  </w:tcPr>
                  <w:p w:rsidR="00DB654F" w:rsidRPr="00A0098F" w:rsidRDefault="00DB654F" w:rsidP="00DB654F">
                    <w:pPr>
                      <w:jc w:val="right"/>
                      <w:rPr>
                        <w:sz w:val="14"/>
                        <w:szCs w:val="14"/>
                      </w:rPr>
                    </w:pPr>
                    <w:r w:rsidRPr="00A0098F">
                      <w:rPr>
                        <w:sz w:val="14"/>
                        <w:szCs w:val="14"/>
                      </w:rPr>
                      <w:t>1,187,701,933</w:t>
                    </w:r>
                  </w:p>
                </w:tc>
                <w:tc>
                  <w:tcPr>
                    <w:tcW w:w="452" w:type="pct"/>
                    <w:vAlign w:val="center"/>
                  </w:tcPr>
                  <w:p w:rsidR="00DB654F" w:rsidRPr="00A0098F" w:rsidRDefault="00DB654F" w:rsidP="00DB654F">
                    <w:pPr>
                      <w:jc w:val="right"/>
                      <w:rPr>
                        <w:sz w:val="14"/>
                        <w:szCs w:val="14"/>
                      </w:rPr>
                    </w:pPr>
                    <w:r w:rsidRPr="00A0098F">
                      <w:rPr>
                        <w:sz w:val="14"/>
                        <w:szCs w:val="14"/>
                      </w:rPr>
                      <w:t>-8,323,801,635</w:t>
                    </w:r>
                  </w:p>
                </w:tc>
                <w:tc>
                  <w:tcPr>
                    <w:tcW w:w="456" w:type="pct"/>
                    <w:vAlign w:val="center"/>
                  </w:tcPr>
                  <w:p w:rsidR="00DB654F" w:rsidRPr="00A0098F" w:rsidRDefault="00DB654F" w:rsidP="00DB654F">
                    <w:pPr>
                      <w:jc w:val="right"/>
                      <w:rPr>
                        <w:sz w:val="14"/>
                        <w:szCs w:val="14"/>
                      </w:rPr>
                    </w:pPr>
                    <w:r w:rsidRPr="00A0098F">
                      <w:rPr>
                        <w:sz w:val="14"/>
                        <w:szCs w:val="14"/>
                      </w:rPr>
                      <w:t>-362,771,850</w:t>
                    </w:r>
                  </w:p>
                </w:tc>
                <w:tc>
                  <w:tcPr>
                    <w:tcW w:w="481" w:type="pct"/>
                    <w:vAlign w:val="center"/>
                  </w:tcPr>
                  <w:p w:rsidR="00DB654F" w:rsidRPr="00A0098F" w:rsidRDefault="00DB654F" w:rsidP="00DB654F">
                    <w:pPr>
                      <w:jc w:val="right"/>
                      <w:rPr>
                        <w:sz w:val="14"/>
                        <w:szCs w:val="14"/>
                      </w:rPr>
                    </w:pPr>
                    <w:r w:rsidRPr="00A0098F">
                      <w:rPr>
                        <w:sz w:val="14"/>
                        <w:szCs w:val="14"/>
                      </w:rPr>
                      <w:t>-7,498,871,552</w:t>
                    </w:r>
                  </w:p>
                </w:tc>
              </w:tr>
              <w:tr w:rsidR="00A0098F" w:rsidTr="00A0098F">
                <w:sdt>
                  <w:sdtPr>
                    <w:rPr>
                      <w:sz w:val="14"/>
                      <w:szCs w:val="14"/>
                    </w:rPr>
                    <w:tag w:val="_PLD_73a49eb420a24cdbb4f7f5ce05660344"/>
                    <w:id w:val="-414329421"/>
                    <w:lock w:val="sdtLocked"/>
                  </w:sdtPr>
                  <w:sdtContent>
                    <w:tc>
                      <w:tcPr>
                        <w:tcW w:w="723" w:type="pct"/>
                      </w:tcPr>
                      <w:p w:rsidR="00DB654F" w:rsidRPr="00A0098F" w:rsidRDefault="00DB654F" w:rsidP="00DB654F">
                        <w:pPr>
                          <w:rPr>
                            <w:sz w:val="14"/>
                            <w:szCs w:val="14"/>
                          </w:rPr>
                        </w:pPr>
                        <w:r w:rsidRPr="00A0098F">
                          <w:rPr>
                            <w:sz w:val="14"/>
                            <w:szCs w:val="14"/>
                          </w:rPr>
                          <w:t>1．提取盈余公积</w:t>
                        </w:r>
                      </w:p>
                    </w:tc>
                  </w:sdtContent>
                </w:sdt>
                <w:tc>
                  <w:tcPr>
                    <w:tcW w:w="427" w:type="pct"/>
                    <w:vAlign w:val="center"/>
                  </w:tcPr>
                  <w:p w:rsidR="00DB654F" w:rsidRPr="00A0098F" w:rsidRDefault="00DB654F" w:rsidP="00DB654F">
                    <w:pPr>
                      <w:jc w:val="right"/>
                      <w:rPr>
                        <w:sz w:val="14"/>
                        <w:szCs w:val="14"/>
                      </w:rPr>
                    </w:pPr>
                    <w:r w:rsidRPr="00A0098F">
                      <w:rPr>
                        <w:sz w:val="14"/>
                        <w:szCs w:val="14"/>
                      </w:rPr>
                      <w:t>0</w:t>
                    </w:r>
                  </w:p>
                </w:tc>
                <w:tc>
                  <w:tcPr>
                    <w:tcW w:w="400" w:type="pct"/>
                    <w:vAlign w:val="center"/>
                  </w:tcPr>
                  <w:p w:rsidR="00DB654F" w:rsidRPr="00A0098F" w:rsidRDefault="00DB654F" w:rsidP="00DB654F">
                    <w:pPr>
                      <w:jc w:val="right"/>
                      <w:rPr>
                        <w:sz w:val="14"/>
                        <w:szCs w:val="14"/>
                      </w:rPr>
                    </w:pPr>
                    <w:r w:rsidRPr="00A0098F">
                      <w:rPr>
                        <w:sz w:val="14"/>
                        <w:szCs w:val="14"/>
                      </w:rPr>
                      <w:t>0</w:t>
                    </w:r>
                  </w:p>
                </w:tc>
                <w:tc>
                  <w:tcPr>
                    <w:tcW w:w="427" w:type="pct"/>
                    <w:vAlign w:val="center"/>
                  </w:tcPr>
                  <w:p w:rsidR="00DB654F" w:rsidRPr="00A0098F" w:rsidRDefault="00DB654F" w:rsidP="00DB654F">
                    <w:pPr>
                      <w:jc w:val="right"/>
                      <w:rPr>
                        <w:sz w:val="14"/>
                        <w:szCs w:val="14"/>
                      </w:rPr>
                    </w:pPr>
                    <w:r w:rsidRPr="00A0098F">
                      <w:rPr>
                        <w:sz w:val="14"/>
                        <w:szCs w:val="14"/>
                      </w:rPr>
                      <w:t>0</w:t>
                    </w:r>
                  </w:p>
                </w:tc>
                <w:tc>
                  <w:tcPr>
                    <w:tcW w:w="527" w:type="pct"/>
                    <w:vAlign w:val="center"/>
                  </w:tcPr>
                  <w:p w:rsidR="00DB654F" w:rsidRPr="00A0098F" w:rsidRDefault="00DB654F" w:rsidP="00DB654F">
                    <w:pPr>
                      <w:jc w:val="right"/>
                      <w:rPr>
                        <w:sz w:val="14"/>
                        <w:szCs w:val="14"/>
                      </w:rPr>
                    </w:pPr>
                    <w:r w:rsidRPr="00A0098F">
                      <w:rPr>
                        <w:sz w:val="14"/>
                        <w:szCs w:val="14"/>
                      </w:rPr>
                      <w:t>0</w:t>
                    </w:r>
                  </w:p>
                </w:tc>
                <w:tc>
                  <w:tcPr>
                    <w:tcW w:w="604" w:type="pct"/>
                    <w:vAlign w:val="center"/>
                  </w:tcPr>
                  <w:p w:rsidR="00DB654F" w:rsidRPr="00A0098F" w:rsidRDefault="00DB654F" w:rsidP="00DB654F">
                    <w:pPr>
                      <w:jc w:val="right"/>
                      <w:rPr>
                        <w:sz w:val="14"/>
                        <w:szCs w:val="14"/>
                      </w:rPr>
                    </w:pPr>
                    <w:r w:rsidRPr="00A0098F">
                      <w:rPr>
                        <w:sz w:val="14"/>
                        <w:szCs w:val="14"/>
                      </w:rPr>
                      <w:t>0</w:t>
                    </w:r>
                  </w:p>
                </w:tc>
                <w:tc>
                  <w:tcPr>
                    <w:tcW w:w="503" w:type="pct"/>
                    <w:vAlign w:val="center"/>
                  </w:tcPr>
                  <w:p w:rsidR="00DB654F" w:rsidRPr="00A0098F" w:rsidRDefault="00DB654F" w:rsidP="00DB654F">
                    <w:pPr>
                      <w:jc w:val="right"/>
                      <w:rPr>
                        <w:sz w:val="14"/>
                        <w:szCs w:val="14"/>
                      </w:rPr>
                    </w:pPr>
                    <w:r w:rsidRPr="00A0098F">
                      <w:rPr>
                        <w:sz w:val="14"/>
                        <w:szCs w:val="14"/>
                      </w:rPr>
                      <w:t>1,187,701,933</w:t>
                    </w:r>
                  </w:p>
                </w:tc>
                <w:tc>
                  <w:tcPr>
                    <w:tcW w:w="452" w:type="pct"/>
                    <w:vAlign w:val="center"/>
                  </w:tcPr>
                  <w:p w:rsidR="00DB654F" w:rsidRPr="00A0098F" w:rsidRDefault="00DB654F" w:rsidP="00DB654F">
                    <w:pPr>
                      <w:jc w:val="right"/>
                      <w:rPr>
                        <w:sz w:val="14"/>
                        <w:szCs w:val="14"/>
                      </w:rPr>
                    </w:pPr>
                    <w:r w:rsidRPr="00A0098F">
                      <w:rPr>
                        <w:sz w:val="14"/>
                        <w:szCs w:val="14"/>
                      </w:rPr>
                      <w:t>-1,187,701,933</w:t>
                    </w:r>
                  </w:p>
                </w:tc>
                <w:tc>
                  <w:tcPr>
                    <w:tcW w:w="456" w:type="pct"/>
                    <w:vAlign w:val="center"/>
                  </w:tcPr>
                  <w:p w:rsidR="00DB654F" w:rsidRPr="00A0098F" w:rsidRDefault="00DB654F" w:rsidP="00DB654F">
                    <w:pPr>
                      <w:jc w:val="right"/>
                      <w:rPr>
                        <w:sz w:val="14"/>
                        <w:szCs w:val="14"/>
                      </w:rPr>
                    </w:pPr>
                    <w:r w:rsidRPr="00A0098F">
                      <w:rPr>
                        <w:sz w:val="14"/>
                        <w:szCs w:val="14"/>
                      </w:rPr>
                      <w:t>0</w:t>
                    </w:r>
                  </w:p>
                </w:tc>
                <w:tc>
                  <w:tcPr>
                    <w:tcW w:w="481" w:type="pct"/>
                    <w:vAlign w:val="center"/>
                  </w:tcPr>
                  <w:p w:rsidR="00DB654F" w:rsidRPr="00A0098F" w:rsidRDefault="00DB654F" w:rsidP="00DB654F">
                    <w:pPr>
                      <w:jc w:val="right"/>
                      <w:rPr>
                        <w:sz w:val="14"/>
                        <w:szCs w:val="14"/>
                      </w:rPr>
                    </w:pPr>
                    <w:r w:rsidRPr="00A0098F">
                      <w:rPr>
                        <w:sz w:val="14"/>
                        <w:szCs w:val="14"/>
                      </w:rPr>
                      <w:t>0</w:t>
                    </w:r>
                  </w:p>
                </w:tc>
              </w:tr>
              <w:tr w:rsidR="00A0098F" w:rsidTr="00A0098F">
                <w:sdt>
                  <w:sdtPr>
                    <w:rPr>
                      <w:sz w:val="14"/>
                      <w:szCs w:val="14"/>
                    </w:rPr>
                    <w:tag w:val="_PLD_230083ca1b684aa0b92b69b31995ea1b"/>
                    <w:id w:val="-1520149265"/>
                    <w:lock w:val="sdtLocked"/>
                  </w:sdtPr>
                  <w:sdtContent>
                    <w:tc>
                      <w:tcPr>
                        <w:tcW w:w="723" w:type="pct"/>
                      </w:tcPr>
                      <w:p w:rsidR="00DB654F" w:rsidRPr="00A0098F" w:rsidRDefault="00DB654F" w:rsidP="00DB654F">
                        <w:pPr>
                          <w:rPr>
                            <w:sz w:val="14"/>
                            <w:szCs w:val="14"/>
                          </w:rPr>
                        </w:pPr>
                        <w:r w:rsidRPr="00A0098F">
                          <w:rPr>
                            <w:sz w:val="14"/>
                            <w:szCs w:val="14"/>
                          </w:rPr>
                          <w:t>2．提取一般风险准备</w:t>
                        </w:r>
                      </w:p>
                    </w:tc>
                  </w:sdtContent>
                </w:sdt>
                <w:tc>
                  <w:tcPr>
                    <w:tcW w:w="427" w:type="pct"/>
                    <w:vAlign w:val="center"/>
                  </w:tcPr>
                  <w:p w:rsidR="00DB654F" w:rsidRPr="00A0098F" w:rsidRDefault="00DB654F" w:rsidP="00DB654F">
                    <w:pPr>
                      <w:jc w:val="right"/>
                      <w:rPr>
                        <w:sz w:val="14"/>
                        <w:szCs w:val="14"/>
                      </w:rPr>
                    </w:pPr>
                    <w:r w:rsidRPr="00A0098F">
                      <w:rPr>
                        <w:sz w:val="14"/>
                        <w:szCs w:val="14"/>
                      </w:rPr>
                      <w:t>0</w:t>
                    </w:r>
                  </w:p>
                </w:tc>
                <w:tc>
                  <w:tcPr>
                    <w:tcW w:w="400" w:type="pct"/>
                    <w:vAlign w:val="center"/>
                  </w:tcPr>
                  <w:p w:rsidR="00DB654F" w:rsidRPr="00A0098F" w:rsidRDefault="00DB654F" w:rsidP="00DB654F">
                    <w:pPr>
                      <w:jc w:val="right"/>
                      <w:rPr>
                        <w:sz w:val="14"/>
                        <w:szCs w:val="14"/>
                      </w:rPr>
                    </w:pPr>
                    <w:r w:rsidRPr="00A0098F">
                      <w:rPr>
                        <w:sz w:val="14"/>
                        <w:szCs w:val="14"/>
                      </w:rPr>
                      <w:t>0</w:t>
                    </w:r>
                  </w:p>
                </w:tc>
                <w:tc>
                  <w:tcPr>
                    <w:tcW w:w="427" w:type="pct"/>
                    <w:vAlign w:val="center"/>
                  </w:tcPr>
                  <w:p w:rsidR="00DB654F" w:rsidRPr="00A0098F" w:rsidRDefault="00DB654F" w:rsidP="00DB654F">
                    <w:pPr>
                      <w:jc w:val="right"/>
                      <w:rPr>
                        <w:sz w:val="14"/>
                        <w:szCs w:val="14"/>
                      </w:rPr>
                    </w:pPr>
                    <w:r w:rsidRPr="00A0098F">
                      <w:rPr>
                        <w:sz w:val="14"/>
                        <w:szCs w:val="14"/>
                      </w:rPr>
                      <w:t>0</w:t>
                    </w:r>
                  </w:p>
                </w:tc>
                <w:tc>
                  <w:tcPr>
                    <w:tcW w:w="527" w:type="pct"/>
                    <w:vAlign w:val="center"/>
                  </w:tcPr>
                  <w:p w:rsidR="00DB654F" w:rsidRPr="00A0098F" w:rsidRDefault="00DB654F" w:rsidP="00DB654F">
                    <w:pPr>
                      <w:jc w:val="right"/>
                      <w:rPr>
                        <w:sz w:val="14"/>
                        <w:szCs w:val="14"/>
                      </w:rPr>
                    </w:pPr>
                    <w:r w:rsidRPr="00A0098F">
                      <w:rPr>
                        <w:sz w:val="14"/>
                        <w:szCs w:val="14"/>
                      </w:rPr>
                      <w:t>0</w:t>
                    </w:r>
                  </w:p>
                </w:tc>
                <w:tc>
                  <w:tcPr>
                    <w:tcW w:w="604" w:type="pct"/>
                    <w:vAlign w:val="center"/>
                  </w:tcPr>
                  <w:p w:rsidR="00DB654F" w:rsidRPr="00A0098F" w:rsidRDefault="00DB654F" w:rsidP="00DB654F">
                    <w:pPr>
                      <w:jc w:val="right"/>
                      <w:rPr>
                        <w:sz w:val="14"/>
                        <w:szCs w:val="14"/>
                      </w:rPr>
                    </w:pPr>
                    <w:r w:rsidRPr="00A0098F">
                      <w:rPr>
                        <w:sz w:val="14"/>
                        <w:szCs w:val="14"/>
                      </w:rPr>
                      <w:t>0</w:t>
                    </w:r>
                  </w:p>
                </w:tc>
                <w:tc>
                  <w:tcPr>
                    <w:tcW w:w="503" w:type="pct"/>
                    <w:vAlign w:val="center"/>
                  </w:tcPr>
                  <w:p w:rsidR="00DB654F" w:rsidRPr="00A0098F" w:rsidRDefault="00DB654F" w:rsidP="00DB654F">
                    <w:pPr>
                      <w:jc w:val="right"/>
                      <w:rPr>
                        <w:sz w:val="14"/>
                        <w:szCs w:val="14"/>
                      </w:rPr>
                    </w:pPr>
                    <w:r w:rsidRPr="00A0098F">
                      <w:rPr>
                        <w:sz w:val="14"/>
                        <w:szCs w:val="14"/>
                      </w:rPr>
                      <w:t>0</w:t>
                    </w:r>
                  </w:p>
                </w:tc>
                <w:tc>
                  <w:tcPr>
                    <w:tcW w:w="452" w:type="pct"/>
                    <w:vAlign w:val="center"/>
                  </w:tcPr>
                  <w:p w:rsidR="00DB654F" w:rsidRPr="00A0098F" w:rsidRDefault="00DB654F" w:rsidP="00DB654F">
                    <w:pPr>
                      <w:jc w:val="right"/>
                      <w:rPr>
                        <w:sz w:val="14"/>
                        <w:szCs w:val="14"/>
                      </w:rPr>
                    </w:pPr>
                    <w:r w:rsidRPr="00A0098F">
                      <w:rPr>
                        <w:sz w:val="14"/>
                        <w:szCs w:val="14"/>
                      </w:rPr>
                      <w:t>0</w:t>
                    </w:r>
                  </w:p>
                </w:tc>
                <w:tc>
                  <w:tcPr>
                    <w:tcW w:w="456" w:type="pct"/>
                    <w:vAlign w:val="center"/>
                  </w:tcPr>
                  <w:p w:rsidR="00DB654F" w:rsidRPr="00A0098F" w:rsidRDefault="00DB654F" w:rsidP="00DB654F">
                    <w:pPr>
                      <w:jc w:val="right"/>
                      <w:rPr>
                        <w:sz w:val="14"/>
                        <w:szCs w:val="14"/>
                      </w:rPr>
                    </w:pPr>
                    <w:r w:rsidRPr="00A0098F">
                      <w:rPr>
                        <w:sz w:val="14"/>
                        <w:szCs w:val="14"/>
                      </w:rPr>
                      <w:t>0</w:t>
                    </w:r>
                  </w:p>
                </w:tc>
                <w:tc>
                  <w:tcPr>
                    <w:tcW w:w="481" w:type="pct"/>
                    <w:vAlign w:val="center"/>
                  </w:tcPr>
                  <w:p w:rsidR="00DB654F" w:rsidRPr="00A0098F" w:rsidRDefault="00DB654F" w:rsidP="00DB654F">
                    <w:pPr>
                      <w:jc w:val="right"/>
                      <w:rPr>
                        <w:sz w:val="14"/>
                        <w:szCs w:val="14"/>
                      </w:rPr>
                    </w:pPr>
                    <w:r w:rsidRPr="00A0098F">
                      <w:rPr>
                        <w:sz w:val="14"/>
                        <w:szCs w:val="14"/>
                      </w:rPr>
                      <w:t>0</w:t>
                    </w:r>
                  </w:p>
                </w:tc>
              </w:tr>
              <w:tr w:rsidR="00A0098F" w:rsidTr="00A0098F">
                <w:sdt>
                  <w:sdtPr>
                    <w:rPr>
                      <w:sz w:val="14"/>
                      <w:szCs w:val="14"/>
                    </w:rPr>
                    <w:tag w:val="_PLD_d19b1d04bab14e67b22ee23afd215d76"/>
                    <w:id w:val="-2003731881"/>
                    <w:lock w:val="sdtLocked"/>
                  </w:sdtPr>
                  <w:sdtContent>
                    <w:tc>
                      <w:tcPr>
                        <w:tcW w:w="723" w:type="pct"/>
                      </w:tcPr>
                      <w:p w:rsidR="00DB654F" w:rsidRPr="00A0098F" w:rsidRDefault="00DB654F" w:rsidP="00DB654F">
                        <w:pPr>
                          <w:rPr>
                            <w:sz w:val="14"/>
                            <w:szCs w:val="14"/>
                          </w:rPr>
                        </w:pPr>
                        <w:r w:rsidRPr="00A0098F">
                          <w:rPr>
                            <w:sz w:val="14"/>
                            <w:szCs w:val="14"/>
                          </w:rPr>
                          <w:t>3．对所有者（或股东）的分配</w:t>
                        </w:r>
                      </w:p>
                    </w:tc>
                  </w:sdtContent>
                </w:sdt>
                <w:tc>
                  <w:tcPr>
                    <w:tcW w:w="427" w:type="pct"/>
                    <w:vAlign w:val="center"/>
                  </w:tcPr>
                  <w:p w:rsidR="00DB654F" w:rsidRPr="00A0098F" w:rsidRDefault="00DB654F" w:rsidP="00DB654F">
                    <w:pPr>
                      <w:jc w:val="right"/>
                      <w:rPr>
                        <w:sz w:val="14"/>
                        <w:szCs w:val="14"/>
                      </w:rPr>
                    </w:pPr>
                    <w:r w:rsidRPr="00A0098F">
                      <w:rPr>
                        <w:sz w:val="14"/>
                        <w:szCs w:val="14"/>
                      </w:rPr>
                      <w:t>0</w:t>
                    </w:r>
                  </w:p>
                </w:tc>
                <w:tc>
                  <w:tcPr>
                    <w:tcW w:w="400" w:type="pct"/>
                    <w:vAlign w:val="center"/>
                  </w:tcPr>
                  <w:p w:rsidR="00DB654F" w:rsidRPr="00A0098F" w:rsidRDefault="00DB654F" w:rsidP="00DB654F">
                    <w:pPr>
                      <w:jc w:val="right"/>
                      <w:rPr>
                        <w:sz w:val="14"/>
                        <w:szCs w:val="14"/>
                      </w:rPr>
                    </w:pPr>
                    <w:r w:rsidRPr="00A0098F">
                      <w:rPr>
                        <w:sz w:val="14"/>
                        <w:szCs w:val="14"/>
                      </w:rPr>
                      <w:t>0</w:t>
                    </w:r>
                  </w:p>
                </w:tc>
                <w:tc>
                  <w:tcPr>
                    <w:tcW w:w="427" w:type="pct"/>
                    <w:vAlign w:val="center"/>
                  </w:tcPr>
                  <w:p w:rsidR="00DB654F" w:rsidRPr="00A0098F" w:rsidRDefault="00DB654F" w:rsidP="00DB654F">
                    <w:pPr>
                      <w:jc w:val="right"/>
                      <w:rPr>
                        <w:sz w:val="14"/>
                        <w:szCs w:val="14"/>
                      </w:rPr>
                    </w:pPr>
                    <w:r w:rsidRPr="00A0098F">
                      <w:rPr>
                        <w:sz w:val="14"/>
                        <w:szCs w:val="14"/>
                      </w:rPr>
                      <w:t>0</w:t>
                    </w:r>
                  </w:p>
                </w:tc>
                <w:tc>
                  <w:tcPr>
                    <w:tcW w:w="527" w:type="pct"/>
                    <w:vAlign w:val="center"/>
                  </w:tcPr>
                  <w:p w:rsidR="00DB654F" w:rsidRPr="00A0098F" w:rsidRDefault="00DB654F" w:rsidP="00DB654F">
                    <w:pPr>
                      <w:jc w:val="right"/>
                      <w:rPr>
                        <w:sz w:val="14"/>
                        <w:szCs w:val="14"/>
                      </w:rPr>
                    </w:pPr>
                    <w:r w:rsidRPr="00A0098F">
                      <w:rPr>
                        <w:sz w:val="14"/>
                        <w:szCs w:val="14"/>
                      </w:rPr>
                      <w:t>0</w:t>
                    </w:r>
                  </w:p>
                </w:tc>
                <w:tc>
                  <w:tcPr>
                    <w:tcW w:w="604" w:type="pct"/>
                    <w:vAlign w:val="center"/>
                  </w:tcPr>
                  <w:p w:rsidR="00DB654F" w:rsidRPr="00A0098F" w:rsidRDefault="00DB654F" w:rsidP="00DB654F">
                    <w:pPr>
                      <w:jc w:val="right"/>
                      <w:rPr>
                        <w:sz w:val="14"/>
                        <w:szCs w:val="14"/>
                      </w:rPr>
                    </w:pPr>
                    <w:r w:rsidRPr="00A0098F">
                      <w:rPr>
                        <w:sz w:val="14"/>
                        <w:szCs w:val="14"/>
                      </w:rPr>
                      <w:t>0</w:t>
                    </w:r>
                  </w:p>
                </w:tc>
                <w:tc>
                  <w:tcPr>
                    <w:tcW w:w="503" w:type="pct"/>
                    <w:vAlign w:val="center"/>
                  </w:tcPr>
                  <w:p w:rsidR="00DB654F" w:rsidRPr="00A0098F" w:rsidRDefault="00DB654F" w:rsidP="00DB654F">
                    <w:pPr>
                      <w:jc w:val="right"/>
                      <w:rPr>
                        <w:sz w:val="14"/>
                        <w:szCs w:val="14"/>
                      </w:rPr>
                    </w:pPr>
                    <w:r w:rsidRPr="00A0098F">
                      <w:rPr>
                        <w:sz w:val="14"/>
                        <w:szCs w:val="14"/>
                      </w:rPr>
                      <w:t>0</w:t>
                    </w:r>
                  </w:p>
                </w:tc>
                <w:tc>
                  <w:tcPr>
                    <w:tcW w:w="452" w:type="pct"/>
                    <w:vAlign w:val="center"/>
                  </w:tcPr>
                  <w:p w:rsidR="00DB654F" w:rsidRPr="00A0098F" w:rsidRDefault="00DB654F" w:rsidP="00DB654F">
                    <w:pPr>
                      <w:jc w:val="right"/>
                      <w:rPr>
                        <w:sz w:val="14"/>
                        <w:szCs w:val="14"/>
                      </w:rPr>
                    </w:pPr>
                    <w:r w:rsidRPr="00A0098F">
                      <w:rPr>
                        <w:sz w:val="14"/>
                        <w:szCs w:val="14"/>
                      </w:rPr>
                      <w:t>-7,136,099,702</w:t>
                    </w:r>
                  </w:p>
                </w:tc>
                <w:tc>
                  <w:tcPr>
                    <w:tcW w:w="456" w:type="pct"/>
                    <w:vAlign w:val="center"/>
                  </w:tcPr>
                  <w:p w:rsidR="00DB654F" w:rsidRPr="00A0098F" w:rsidRDefault="00DB654F" w:rsidP="00DB654F">
                    <w:pPr>
                      <w:jc w:val="right"/>
                      <w:rPr>
                        <w:sz w:val="14"/>
                        <w:szCs w:val="14"/>
                      </w:rPr>
                    </w:pPr>
                    <w:r w:rsidRPr="00A0098F">
                      <w:rPr>
                        <w:sz w:val="14"/>
                        <w:szCs w:val="14"/>
                      </w:rPr>
                      <w:t>-362,771,850</w:t>
                    </w:r>
                  </w:p>
                </w:tc>
                <w:tc>
                  <w:tcPr>
                    <w:tcW w:w="481" w:type="pct"/>
                    <w:vAlign w:val="center"/>
                  </w:tcPr>
                  <w:p w:rsidR="00DB654F" w:rsidRPr="00A0098F" w:rsidRDefault="00DB654F" w:rsidP="00DB654F">
                    <w:pPr>
                      <w:jc w:val="right"/>
                      <w:rPr>
                        <w:sz w:val="14"/>
                        <w:szCs w:val="14"/>
                      </w:rPr>
                    </w:pPr>
                    <w:r w:rsidRPr="00A0098F">
                      <w:rPr>
                        <w:sz w:val="14"/>
                        <w:szCs w:val="14"/>
                      </w:rPr>
                      <w:t>-7,498,871,552</w:t>
                    </w:r>
                  </w:p>
                </w:tc>
              </w:tr>
              <w:tr w:rsidR="00A0098F" w:rsidTr="00A0098F">
                <w:sdt>
                  <w:sdtPr>
                    <w:rPr>
                      <w:sz w:val="14"/>
                      <w:szCs w:val="14"/>
                    </w:rPr>
                    <w:tag w:val="_PLD_6e5628e129d04d23a2d71da503cecfdd"/>
                    <w:id w:val="-1238009744"/>
                    <w:lock w:val="sdtLocked"/>
                  </w:sdtPr>
                  <w:sdtContent>
                    <w:tc>
                      <w:tcPr>
                        <w:tcW w:w="723" w:type="pct"/>
                      </w:tcPr>
                      <w:p w:rsidR="00696744" w:rsidRPr="00A0098F" w:rsidRDefault="00696744" w:rsidP="00696744">
                        <w:pPr>
                          <w:rPr>
                            <w:sz w:val="14"/>
                            <w:szCs w:val="14"/>
                          </w:rPr>
                        </w:pPr>
                        <w:r w:rsidRPr="00A0098F">
                          <w:rPr>
                            <w:sz w:val="14"/>
                            <w:szCs w:val="14"/>
                          </w:rPr>
                          <w:t>4．其他</w:t>
                        </w:r>
                      </w:p>
                    </w:tc>
                  </w:sdtContent>
                </w:sdt>
                <w:tc>
                  <w:tcPr>
                    <w:tcW w:w="427" w:type="pct"/>
                    <w:vAlign w:val="center"/>
                  </w:tcPr>
                  <w:p w:rsidR="00696744" w:rsidRPr="00A0098F" w:rsidRDefault="00696744" w:rsidP="00696744">
                    <w:pPr>
                      <w:jc w:val="right"/>
                      <w:rPr>
                        <w:sz w:val="14"/>
                        <w:szCs w:val="14"/>
                      </w:rPr>
                    </w:pPr>
                    <w:r w:rsidRPr="00A0098F">
                      <w:rPr>
                        <w:sz w:val="14"/>
                        <w:szCs w:val="14"/>
                      </w:rPr>
                      <w:t>0</w:t>
                    </w:r>
                  </w:p>
                </w:tc>
                <w:tc>
                  <w:tcPr>
                    <w:tcW w:w="400" w:type="pct"/>
                    <w:vAlign w:val="center"/>
                  </w:tcPr>
                  <w:p w:rsidR="00696744" w:rsidRPr="00A0098F" w:rsidRDefault="00696744" w:rsidP="00696744">
                    <w:pPr>
                      <w:jc w:val="right"/>
                      <w:rPr>
                        <w:sz w:val="14"/>
                        <w:szCs w:val="14"/>
                      </w:rPr>
                    </w:pPr>
                    <w:r w:rsidRPr="00A0098F">
                      <w:rPr>
                        <w:sz w:val="14"/>
                        <w:szCs w:val="14"/>
                      </w:rPr>
                      <w:t>0</w:t>
                    </w:r>
                  </w:p>
                </w:tc>
                <w:tc>
                  <w:tcPr>
                    <w:tcW w:w="427" w:type="pct"/>
                    <w:vAlign w:val="center"/>
                  </w:tcPr>
                  <w:p w:rsidR="00696744" w:rsidRPr="00A0098F" w:rsidRDefault="00696744" w:rsidP="00696744">
                    <w:pPr>
                      <w:jc w:val="right"/>
                      <w:rPr>
                        <w:sz w:val="14"/>
                        <w:szCs w:val="14"/>
                      </w:rPr>
                    </w:pPr>
                    <w:r w:rsidRPr="00A0098F">
                      <w:rPr>
                        <w:sz w:val="14"/>
                        <w:szCs w:val="14"/>
                      </w:rPr>
                      <w:t>0</w:t>
                    </w:r>
                  </w:p>
                </w:tc>
                <w:tc>
                  <w:tcPr>
                    <w:tcW w:w="527" w:type="pct"/>
                    <w:vAlign w:val="center"/>
                  </w:tcPr>
                  <w:p w:rsidR="00696744" w:rsidRPr="00A0098F" w:rsidRDefault="00696744" w:rsidP="00696744">
                    <w:pPr>
                      <w:jc w:val="right"/>
                      <w:rPr>
                        <w:sz w:val="14"/>
                        <w:szCs w:val="14"/>
                      </w:rPr>
                    </w:pPr>
                    <w:r w:rsidRPr="00A0098F">
                      <w:rPr>
                        <w:sz w:val="14"/>
                        <w:szCs w:val="14"/>
                      </w:rPr>
                      <w:t>0</w:t>
                    </w:r>
                  </w:p>
                </w:tc>
                <w:tc>
                  <w:tcPr>
                    <w:tcW w:w="604" w:type="pct"/>
                    <w:vAlign w:val="center"/>
                  </w:tcPr>
                  <w:p w:rsidR="00696744" w:rsidRPr="00A0098F" w:rsidRDefault="00696744" w:rsidP="00696744">
                    <w:pPr>
                      <w:jc w:val="right"/>
                      <w:rPr>
                        <w:sz w:val="14"/>
                        <w:szCs w:val="14"/>
                      </w:rPr>
                    </w:pPr>
                    <w:r w:rsidRPr="00A0098F">
                      <w:rPr>
                        <w:sz w:val="14"/>
                        <w:szCs w:val="14"/>
                      </w:rPr>
                      <w:t>0</w:t>
                    </w:r>
                  </w:p>
                </w:tc>
                <w:tc>
                  <w:tcPr>
                    <w:tcW w:w="503" w:type="pct"/>
                    <w:vAlign w:val="center"/>
                  </w:tcPr>
                  <w:p w:rsidR="00696744" w:rsidRPr="00A0098F" w:rsidRDefault="00696744" w:rsidP="00696744">
                    <w:pPr>
                      <w:jc w:val="right"/>
                      <w:rPr>
                        <w:sz w:val="14"/>
                        <w:szCs w:val="14"/>
                      </w:rPr>
                    </w:pPr>
                    <w:r w:rsidRPr="00A0098F">
                      <w:rPr>
                        <w:sz w:val="14"/>
                        <w:szCs w:val="14"/>
                      </w:rPr>
                      <w:t>0</w:t>
                    </w:r>
                  </w:p>
                </w:tc>
                <w:tc>
                  <w:tcPr>
                    <w:tcW w:w="452" w:type="pct"/>
                    <w:vAlign w:val="center"/>
                  </w:tcPr>
                  <w:p w:rsidR="00696744" w:rsidRPr="00A0098F" w:rsidRDefault="00696744" w:rsidP="00696744">
                    <w:pPr>
                      <w:jc w:val="right"/>
                      <w:rPr>
                        <w:sz w:val="14"/>
                        <w:szCs w:val="14"/>
                      </w:rPr>
                    </w:pPr>
                    <w:r w:rsidRPr="00A0098F">
                      <w:rPr>
                        <w:sz w:val="14"/>
                        <w:szCs w:val="14"/>
                      </w:rPr>
                      <w:t>0</w:t>
                    </w:r>
                  </w:p>
                </w:tc>
                <w:tc>
                  <w:tcPr>
                    <w:tcW w:w="456" w:type="pct"/>
                    <w:vAlign w:val="center"/>
                  </w:tcPr>
                  <w:p w:rsidR="00696744" w:rsidRPr="00A0098F" w:rsidRDefault="00696744" w:rsidP="00696744">
                    <w:pPr>
                      <w:jc w:val="right"/>
                      <w:rPr>
                        <w:sz w:val="14"/>
                        <w:szCs w:val="14"/>
                      </w:rPr>
                    </w:pPr>
                    <w:r w:rsidRPr="00A0098F">
                      <w:rPr>
                        <w:sz w:val="14"/>
                        <w:szCs w:val="14"/>
                      </w:rPr>
                      <w:t>0</w:t>
                    </w:r>
                  </w:p>
                </w:tc>
                <w:tc>
                  <w:tcPr>
                    <w:tcW w:w="481" w:type="pct"/>
                    <w:vAlign w:val="center"/>
                  </w:tcPr>
                  <w:p w:rsidR="00696744" w:rsidRPr="00A0098F" w:rsidRDefault="00696744" w:rsidP="00696744">
                    <w:pPr>
                      <w:jc w:val="right"/>
                      <w:rPr>
                        <w:sz w:val="14"/>
                        <w:szCs w:val="14"/>
                      </w:rPr>
                    </w:pPr>
                    <w:r w:rsidRPr="00A0098F">
                      <w:rPr>
                        <w:sz w:val="14"/>
                        <w:szCs w:val="14"/>
                      </w:rPr>
                      <w:t>0</w:t>
                    </w:r>
                  </w:p>
                </w:tc>
              </w:tr>
              <w:tr w:rsidR="00A0098F" w:rsidTr="00A0098F">
                <w:sdt>
                  <w:sdtPr>
                    <w:rPr>
                      <w:sz w:val="14"/>
                      <w:szCs w:val="14"/>
                    </w:rPr>
                    <w:tag w:val="_PLD_a953b61d69004a7a91974afa1318df0a"/>
                    <w:id w:val="-1136321965"/>
                    <w:lock w:val="sdtLocked"/>
                  </w:sdtPr>
                  <w:sdtContent>
                    <w:tc>
                      <w:tcPr>
                        <w:tcW w:w="723" w:type="pct"/>
                      </w:tcPr>
                      <w:p w:rsidR="00696744" w:rsidRPr="00A0098F" w:rsidRDefault="00696744" w:rsidP="00696744">
                        <w:pPr>
                          <w:rPr>
                            <w:sz w:val="14"/>
                            <w:szCs w:val="14"/>
                          </w:rPr>
                        </w:pPr>
                        <w:r w:rsidRPr="00A0098F">
                          <w:rPr>
                            <w:sz w:val="14"/>
                            <w:szCs w:val="14"/>
                          </w:rPr>
                          <w:t>（</w:t>
                        </w:r>
                        <w:r w:rsidRPr="00A0098F">
                          <w:rPr>
                            <w:rFonts w:hint="eastAsia"/>
                            <w:sz w:val="14"/>
                            <w:szCs w:val="14"/>
                          </w:rPr>
                          <w:t>四</w:t>
                        </w:r>
                        <w:r w:rsidRPr="00A0098F">
                          <w:rPr>
                            <w:sz w:val="14"/>
                            <w:szCs w:val="14"/>
                          </w:rPr>
                          <w:t>）所有者权益内部结转</w:t>
                        </w:r>
                      </w:p>
                    </w:tc>
                  </w:sdtContent>
                </w:sdt>
                <w:tc>
                  <w:tcPr>
                    <w:tcW w:w="427" w:type="pct"/>
                    <w:vAlign w:val="center"/>
                  </w:tcPr>
                  <w:p w:rsidR="00696744" w:rsidRPr="00A0098F" w:rsidRDefault="00696744" w:rsidP="00696744">
                    <w:pPr>
                      <w:jc w:val="right"/>
                      <w:rPr>
                        <w:sz w:val="14"/>
                        <w:szCs w:val="14"/>
                      </w:rPr>
                    </w:pPr>
                    <w:r w:rsidRPr="00A0098F">
                      <w:rPr>
                        <w:sz w:val="14"/>
                        <w:szCs w:val="14"/>
                      </w:rPr>
                      <w:t>0</w:t>
                    </w:r>
                  </w:p>
                </w:tc>
                <w:tc>
                  <w:tcPr>
                    <w:tcW w:w="400" w:type="pct"/>
                    <w:vAlign w:val="center"/>
                  </w:tcPr>
                  <w:p w:rsidR="00696744" w:rsidRPr="00A0098F" w:rsidRDefault="00696744" w:rsidP="00696744">
                    <w:pPr>
                      <w:jc w:val="right"/>
                      <w:rPr>
                        <w:sz w:val="14"/>
                        <w:szCs w:val="14"/>
                      </w:rPr>
                    </w:pPr>
                    <w:r w:rsidRPr="00A0098F">
                      <w:rPr>
                        <w:sz w:val="14"/>
                        <w:szCs w:val="14"/>
                      </w:rPr>
                      <w:t>0</w:t>
                    </w:r>
                  </w:p>
                </w:tc>
                <w:tc>
                  <w:tcPr>
                    <w:tcW w:w="427" w:type="pct"/>
                    <w:vAlign w:val="center"/>
                  </w:tcPr>
                  <w:p w:rsidR="00696744" w:rsidRPr="00A0098F" w:rsidRDefault="00696744" w:rsidP="00696744">
                    <w:pPr>
                      <w:jc w:val="right"/>
                      <w:rPr>
                        <w:sz w:val="14"/>
                        <w:szCs w:val="14"/>
                      </w:rPr>
                    </w:pPr>
                    <w:r w:rsidRPr="00A0098F">
                      <w:rPr>
                        <w:sz w:val="14"/>
                        <w:szCs w:val="14"/>
                      </w:rPr>
                      <w:t>0</w:t>
                    </w:r>
                  </w:p>
                </w:tc>
                <w:tc>
                  <w:tcPr>
                    <w:tcW w:w="527" w:type="pct"/>
                    <w:vAlign w:val="center"/>
                  </w:tcPr>
                  <w:p w:rsidR="00696744" w:rsidRPr="00A0098F" w:rsidRDefault="00696744" w:rsidP="00696744">
                    <w:pPr>
                      <w:jc w:val="right"/>
                      <w:rPr>
                        <w:sz w:val="14"/>
                        <w:szCs w:val="14"/>
                      </w:rPr>
                    </w:pPr>
                    <w:r w:rsidRPr="00A0098F">
                      <w:rPr>
                        <w:sz w:val="14"/>
                        <w:szCs w:val="14"/>
                      </w:rPr>
                      <w:t>0</w:t>
                    </w:r>
                  </w:p>
                </w:tc>
                <w:tc>
                  <w:tcPr>
                    <w:tcW w:w="604" w:type="pct"/>
                    <w:vAlign w:val="center"/>
                  </w:tcPr>
                  <w:p w:rsidR="00696744" w:rsidRPr="00A0098F" w:rsidRDefault="00696744" w:rsidP="00696744">
                    <w:pPr>
                      <w:jc w:val="right"/>
                      <w:rPr>
                        <w:sz w:val="14"/>
                        <w:szCs w:val="14"/>
                      </w:rPr>
                    </w:pPr>
                    <w:r w:rsidRPr="00A0098F">
                      <w:rPr>
                        <w:sz w:val="14"/>
                        <w:szCs w:val="14"/>
                      </w:rPr>
                      <w:t>0</w:t>
                    </w:r>
                  </w:p>
                </w:tc>
                <w:tc>
                  <w:tcPr>
                    <w:tcW w:w="503" w:type="pct"/>
                    <w:vAlign w:val="center"/>
                  </w:tcPr>
                  <w:p w:rsidR="00696744" w:rsidRPr="00A0098F" w:rsidRDefault="00696744" w:rsidP="00696744">
                    <w:pPr>
                      <w:jc w:val="right"/>
                      <w:rPr>
                        <w:sz w:val="14"/>
                        <w:szCs w:val="14"/>
                      </w:rPr>
                    </w:pPr>
                    <w:r w:rsidRPr="00A0098F">
                      <w:rPr>
                        <w:sz w:val="14"/>
                        <w:szCs w:val="14"/>
                      </w:rPr>
                      <w:t>0</w:t>
                    </w:r>
                  </w:p>
                </w:tc>
                <w:tc>
                  <w:tcPr>
                    <w:tcW w:w="452" w:type="pct"/>
                    <w:vAlign w:val="center"/>
                  </w:tcPr>
                  <w:p w:rsidR="00696744" w:rsidRPr="00A0098F" w:rsidRDefault="00696744" w:rsidP="00696744">
                    <w:pPr>
                      <w:jc w:val="right"/>
                      <w:rPr>
                        <w:sz w:val="14"/>
                        <w:szCs w:val="14"/>
                      </w:rPr>
                    </w:pPr>
                    <w:r w:rsidRPr="00A0098F">
                      <w:rPr>
                        <w:sz w:val="14"/>
                        <w:szCs w:val="14"/>
                      </w:rPr>
                      <w:t>0</w:t>
                    </w:r>
                  </w:p>
                </w:tc>
                <w:tc>
                  <w:tcPr>
                    <w:tcW w:w="456" w:type="pct"/>
                    <w:vAlign w:val="center"/>
                  </w:tcPr>
                  <w:p w:rsidR="00696744" w:rsidRPr="00A0098F" w:rsidRDefault="00696744" w:rsidP="00696744">
                    <w:pPr>
                      <w:jc w:val="right"/>
                      <w:rPr>
                        <w:sz w:val="14"/>
                        <w:szCs w:val="14"/>
                      </w:rPr>
                    </w:pPr>
                    <w:r w:rsidRPr="00A0098F">
                      <w:rPr>
                        <w:sz w:val="14"/>
                        <w:szCs w:val="14"/>
                      </w:rPr>
                      <w:t>0</w:t>
                    </w:r>
                  </w:p>
                </w:tc>
                <w:tc>
                  <w:tcPr>
                    <w:tcW w:w="481" w:type="pct"/>
                    <w:vAlign w:val="center"/>
                  </w:tcPr>
                  <w:p w:rsidR="00696744" w:rsidRPr="00A0098F" w:rsidRDefault="00696744" w:rsidP="00696744">
                    <w:pPr>
                      <w:jc w:val="right"/>
                      <w:rPr>
                        <w:sz w:val="14"/>
                        <w:szCs w:val="14"/>
                      </w:rPr>
                    </w:pPr>
                    <w:r w:rsidRPr="00A0098F">
                      <w:rPr>
                        <w:sz w:val="14"/>
                        <w:szCs w:val="14"/>
                      </w:rPr>
                      <w:t>0</w:t>
                    </w:r>
                  </w:p>
                </w:tc>
              </w:tr>
              <w:tr w:rsidR="00A0098F" w:rsidTr="00A0098F">
                <w:sdt>
                  <w:sdtPr>
                    <w:rPr>
                      <w:sz w:val="14"/>
                      <w:szCs w:val="14"/>
                    </w:rPr>
                    <w:tag w:val="_PLD_278fa3d290b3473aacd1d849016a2959"/>
                    <w:id w:val="805434609"/>
                    <w:lock w:val="sdtLocked"/>
                  </w:sdtPr>
                  <w:sdtContent>
                    <w:tc>
                      <w:tcPr>
                        <w:tcW w:w="723" w:type="pct"/>
                      </w:tcPr>
                      <w:p w:rsidR="00696744" w:rsidRPr="00A0098F" w:rsidRDefault="00696744" w:rsidP="00696744">
                        <w:pPr>
                          <w:rPr>
                            <w:sz w:val="14"/>
                            <w:szCs w:val="14"/>
                          </w:rPr>
                        </w:pPr>
                        <w:r w:rsidRPr="00A0098F">
                          <w:rPr>
                            <w:sz w:val="14"/>
                            <w:szCs w:val="14"/>
                          </w:rPr>
                          <w:t>1．资本公积转增资本（或股本）</w:t>
                        </w:r>
                      </w:p>
                    </w:tc>
                  </w:sdtContent>
                </w:sdt>
                <w:tc>
                  <w:tcPr>
                    <w:tcW w:w="427" w:type="pct"/>
                    <w:vAlign w:val="center"/>
                  </w:tcPr>
                  <w:p w:rsidR="00696744" w:rsidRPr="00A0098F" w:rsidRDefault="00696744" w:rsidP="00696744">
                    <w:pPr>
                      <w:jc w:val="right"/>
                      <w:rPr>
                        <w:sz w:val="14"/>
                        <w:szCs w:val="14"/>
                      </w:rPr>
                    </w:pPr>
                    <w:r w:rsidRPr="00A0098F">
                      <w:rPr>
                        <w:sz w:val="14"/>
                        <w:szCs w:val="14"/>
                      </w:rPr>
                      <w:t>0</w:t>
                    </w:r>
                  </w:p>
                </w:tc>
                <w:tc>
                  <w:tcPr>
                    <w:tcW w:w="400" w:type="pct"/>
                    <w:vAlign w:val="center"/>
                  </w:tcPr>
                  <w:p w:rsidR="00696744" w:rsidRPr="00A0098F" w:rsidRDefault="00696744" w:rsidP="00696744">
                    <w:pPr>
                      <w:jc w:val="right"/>
                      <w:rPr>
                        <w:sz w:val="14"/>
                        <w:szCs w:val="14"/>
                      </w:rPr>
                    </w:pPr>
                    <w:r w:rsidRPr="00A0098F">
                      <w:rPr>
                        <w:sz w:val="14"/>
                        <w:szCs w:val="14"/>
                      </w:rPr>
                      <w:t>0</w:t>
                    </w:r>
                  </w:p>
                </w:tc>
                <w:tc>
                  <w:tcPr>
                    <w:tcW w:w="427" w:type="pct"/>
                    <w:vAlign w:val="center"/>
                  </w:tcPr>
                  <w:p w:rsidR="00696744" w:rsidRPr="00A0098F" w:rsidRDefault="00696744" w:rsidP="00696744">
                    <w:pPr>
                      <w:jc w:val="right"/>
                      <w:rPr>
                        <w:sz w:val="14"/>
                        <w:szCs w:val="14"/>
                      </w:rPr>
                    </w:pPr>
                    <w:r w:rsidRPr="00A0098F">
                      <w:rPr>
                        <w:sz w:val="14"/>
                        <w:szCs w:val="14"/>
                      </w:rPr>
                      <w:t>0</w:t>
                    </w:r>
                  </w:p>
                </w:tc>
                <w:tc>
                  <w:tcPr>
                    <w:tcW w:w="527" w:type="pct"/>
                    <w:vAlign w:val="center"/>
                  </w:tcPr>
                  <w:p w:rsidR="00696744" w:rsidRPr="00A0098F" w:rsidRDefault="00696744" w:rsidP="00696744">
                    <w:pPr>
                      <w:jc w:val="right"/>
                      <w:rPr>
                        <w:sz w:val="14"/>
                        <w:szCs w:val="14"/>
                      </w:rPr>
                    </w:pPr>
                    <w:r w:rsidRPr="00A0098F">
                      <w:rPr>
                        <w:sz w:val="14"/>
                        <w:szCs w:val="14"/>
                      </w:rPr>
                      <w:t>0</w:t>
                    </w:r>
                  </w:p>
                </w:tc>
                <w:tc>
                  <w:tcPr>
                    <w:tcW w:w="604" w:type="pct"/>
                    <w:vAlign w:val="center"/>
                  </w:tcPr>
                  <w:p w:rsidR="00696744" w:rsidRPr="00A0098F" w:rsidRDefault="00696744" w:rsidP="00696744">
                    <w:pPr>
                      <w:jc w:val="right"/>
                      <w:rPr>
                        <w:sz w:val="14"/>
                        <w:szCs w:val="14"/>
                      </w:rPr>
                    </w:pPr>
                    <w:r w:rsidRPr="00A0098F">
                      <w:rPr>
                        <w:sz w:val="14"/>
                        <w:szCs w:val="14"/>
                      </w:rPr>
                      <w:t>0</w:t>
                    </w:r>
                  </w:p>
                </w:tc>
                <w:tc>
                  <w:tcPr>
                    <w:tcW w:w="503" w:type="pct"/>
                    <w:vAlign w:val="center"/>
                  </w:tcPr>
                  <w:p w:rsidR="00696744" w:rsidRPr="00A0098F" w:rsidRDefault="00696744" w:rsidP="00696744">
                    <w:pPr>
                      <w:jc w:val="right"/>
                      <w:rPr>
                        <w:sz w:val="14"/>
                        <w:szCs w:val="14"/>
                      </w:rPr>
                    </w:pPr>
                    <w:r w:rsidRPr="00A0098F">
                      <w:rPr>
                        <w:sz w:val="14"/>
                        <w:szCs w:val="14"/>
                      </w:rPr>
                      <w:t>0</w:t>
                    </w:r>
                  </w:p>
                </w:tc>
                <w:tc>
                  <w:tcPr>
                    <w:tcW w:w="452" w:type="pct"/>
                    <w:vAlign w:val="center"/>
                  </w:tcPr>
                  <w:p w:rsidR="00696744" w:rsidRPr="00A0098F" w:rsidRDefault="00696744" w:rsidP="00696744">
                    <w:pPr>
                      <w:jc w:val="right"/>
                      <w:rPr>
                        <w:sz w:val="14"/>
                        <w:szCs w:val="14"/>
                      </w:rPr>
                    </w:pPr>
                    <w:r w:rsidRPr="00A0098F">
                      <w:rPr>
                        <w:sz w:val="14"/>
                        <w:szCs w:val="14"/>
                      </w:rPr>
                      <w:t>0</w:t>
                    </w:r>
                  </w:p>
                </w:tc>
                <w:tc>
                  <w:tcPr>
                    <w:tcW w:w="456" w:type="pct"/>
                    <w:vAlign w:val="center"/>
                  </w:tcPr>
                  <w:p w:rsidR="00696744" w:rsidRPr="00A0098F" w:rsidRDefault="00696744" w:rsidP="00696744">
                    <w:pPr>
                      <w:jc w:val="right"/>
                      <w:rPr>
                        <w:sz w:val="14"/>
                        <w:szCs w:val="14"/>
                      </w:rPr>
                    </w:pPr>
                    <w:r w:rsidRPr="00A0098F">
                      <w:rPr>
                        <w:sz w:val="14"/>
                        <w:szCs w:val="14"/>
                      </w:rPr>
                      <w:t>0</w:t>
                    </w:r>
                  </w:p>
                </w:tc>
                <w:tc>
                  <w:tcPr>
                    <w:tcW w:w="481" w:type="pct"/>
                    <w:vAlign w:val="center"/>
                  </w:tcPr>
                  <w:p w:rsidR="00696744" w:rsidRPr="00A0098F" w:rsidRDefault="00696744" w:rsidP="00696744">
                    <w:pPr>
                      <w:jc w:val="right"/>
                      <w:rPr>
                        <w:sz w:val="14"/>
                        <w:szCs w:val="14"/>
                      </w:rPr>
                    </w:pPr>
                    <w:r w:rsidRPr="00A0098F">
                      <w:rPr>
                        <w:sz w:val="14"/>
                        <w:szCs w:val="14"/>
                      </w:rPr>
                      <w:t>0</w:t>
                    </w:r>
                  </w:p>
                </w:tc>
              </w:tr>
              <w:tr w:rsidR="00A0098F" w:rsidTr="00A0098F">
                <w:sdt>
                  <w:sdtPr>
                    <w:rPr>
                      <w:sz w:val="14"/>
                      <w:szCs w:val="14"/>
                    </w:rPr>
                    <w:tag w:val="_PLD_2dbeb2e6cbbd4ba2a65e4f369c7e7929"/>
                    <w:id w:val="569855042"/>
                    <w:lock w:val="sdtLocked"/>
                  </w:sdtPr>
                  <w:sdtContent>
                    <w:tc>
                      <w:tcPr>
                        <w:tcW w:w="723" w:type="pct"/>
                      </w:tcPr>
                      <w:p w:rsidR="00696744" w:rsidRPr="00A0098F" w:rsidRDefault="00696744" w:rsidP="00696744">
                        <w:pPr>
                          <w:rPr>
                            <w:sz w:val="14"/>
                            <w:szCs w:val="14"/>
                          </w:rPr>
                        </w:pPr>
                        <w:r w:rsidRPr="00A0098F">
                          <w:rPr>
                            <w:sz w:val="14"/>
                            <w:szCs w:val="14"/>
                          </w:rPr>
                          <w:t>2．盈余公积转增资本（或股本）</w:t>
                        </w:r>
                      </w:p>
                    </w:tc>
                  </w:sdtContent>
                </w:sdt>
                <w:tc>
                  <w:tcPr>
                    <w:tcW w:w="427" w:type="pct"/>
                    <w:vAlign w:val="center"/>
                  </w:tcPr>
                  <w:p w:rsidR="00696744" w:rsidRPr="00A0098F" w:rsidRDefault="00696744" w:rsidP="00696744">
                    <w:pPr>
                      <w:jc w:val="right"/>
                      <w:rPr>
                        <w:sz w:val="14"/>
                        <w:szCs w:val="14"/>
                      </w:rPr>
                    </w:pPr>
                    <w:r w:rsidRPr="00A0098F">
                      <w:rPr>
                        <w:sz w:val="14"/>
                        <w:szCs w:val="14"/>
                      </w:rPr>
                      <w:t>0</w:t>
                    </w:r>
                  </w:p>
                </w:tc>
                <w:tc>
                  <w:tcPr>
                    <w:tcW w:w="400" w:type="pct"/>
                    <w:vAlign w:val="center"/>
                  </w:tcPr>
                  <w:p w:rsidR="00696744" w:rsidRPr="00A0098F" w:rsidRDefault="00696744" w:rsidP="00696744">
                    <w:pPr>
                      <w:jc w:val="right"/>
                      <w:rPr>
                        <w:sz w:val="14"/>
                        <w:szCs w:val="14"/>
                      </w:rPr>
                    </w:pPr>
                    <w:r w:rsidRPr="00A0098F">
                      <w:rPr>
                        <w:sz w:val="14"/>
                        <w:szCs w:val="14"/>
                      </w:rPr>
                      <w:t>0</w:t>
                    </w:r>
                  </w:p>
                </w:tc>
                <w:tc>
                  <w:tcPr>
                    <w:tcW w:w="427" w:type="pct"/>
                    <w:vAlign w:val="center"/>
                  </w:tcPr>
                  <w:p w:rsidR="00696744" w:rsidRPr="00A0098F" w:rsidRDefault="00696744" w:rsidP="00696744">
                    <w:pPr>
                      <w:jc w:val="right"/>
                      <w:rPr>
                        <w:sz w:val="14"/>
                        <w:szCs w:val="14"/>
                      </w:rPr>
                    </w:pPr>
                    <w:r w:rsidRPr="00A0098F">
                      <w:rPr>
                        <w:sz w:val="14"/>
                        <w:szCs w:val="14"/>
                      </w:rPr>
                      <w:t>0</w:t>
                    </w:r>
                  </w:p>
                </w:tc>
                <w:tc>
                  <w:tcPr>
                    <w:tcW w:w="527" w:type="pct"/>
                    <w:vAlign w:val="center"/>
                  </w:tcPr>
                  <w:p w:rsidR="00696744" w:rsidRPr="00A0098F" w:rsidRDefault="00696744" w:rsidP="00696744">
                    <w:pPr>
                      <w:jc w:val="right"/>
                      <w:rPr>
                        <w:sz w:val="14"/>
                        <w:szCs w:val="14"/>
                      </w:rPr>
                    </w:pPr>
                    <w:r w:rsidRPr="00A0098F">
                      <w:rPr>
                        <w:sz w:val="14"/>
                        <w:szCs w:val="14"/>
                      </w:rPr>
                      <w:t>0</w:t>
                    </w:r>
                  </w:p>
                </w:tc>
                <w:tc>
                  <w:tcPr>
                    <w:tcW w:w="604" w:type="pct"/>
                    <w:vAlign w:val="center"/>
                  </w:tcPr>
                  <w:p w:rsidR="00696744" w:rsidRPr="00A0098F" w:rsidRDefault="00696744" w:rsidP="00696744">
                    <w:pPr>
                      <w:jc w:val="right"/>
                      <w:rPr>
                        <w:sz w:val="14"/>
                        <w:szCs w:val="14"/>
                      </w:rPr>
                    </w:pPr>
                    <w:r w:rsidRPr="00A0098F">
                      <w:rPr>
                        <w:sz w:val="14"/>
                        <w:szCs w:val="14"/>
                      </w:rPr>
                      <w:t>0</w:t>
                    </w:r>
                  </w:p>
                </w:tc>
                <w:tc>
                  <w:tcPr>
                    <w:tcW w:w="503" w:type="pct"/>
                    <w:vAlign w:val="center"/>
                  </w:tcPr>
                  <w:p w:rsidR="00696744" w:rsidRPr="00A0098F" w:rsidRDefault="00696744" w:rsidP="00696744">
                    <w:pPr>
                      <w:jc w:val="right"/>
                      <w:rPr>
                        <w:sz w:val="14"/>
                        <w:szCs w:val="14"/>
                      </w:rPr>
                    </w:pPr>
                    <w:r w:rsidRPr="00A0098F">
                      <w:rPr>
                        <w:sz w:val="14"/>
                        <w:szCs w:val="14"/>
                      </w:rPr>
                      <w:t>0</w:t>
                    </w:r>
                  </w:p>
                </w:tc>
                <w:tc>
                  <w:tcPr>
                    <w:tcW w:w="452" w:type="pct"/>
                    <w:vAlign w:val="center"/>
                  </w:tcPr>
                  <w:p w:rsidR="00696744" w:rsidRPr="00A0098F" w:rsidRDefault="00696744" w:rsidP="00696744">
                    <w:pPr>
                      <w:jc w:val="right"/>
                      <w:rPr>
                        <w:sz w:val="14"/>
                        <w:szCs w:val="14"/>
                      </w:rPr>
                    </w:pPr>
                    <w:r w:rsidRPr="00A0098F">
                      <w:rPr>
                        <w:sz w:val="14"/>
                        <w:szCs w:val="14"/>
                      </w:rPr>
                      <w:t>0</w:t>
                    </w:r>
                  </w:p>
                </w:tc>
                <w:tc>
                  <w:tcPr>
                    <w:tcW w:w="456" w:type="pct"/>
                    <w:vAlign w:val="center"/>
                  </w:tcPr>
                  <w:p w:rsidR="00696744" w:rsidRPr="00A0098F" w:rsidRDefault="00696744" w:rsidP="00696744">
                    <w:pPr>
                      <w:jc w:val="right"/>
                      <w:rPr>
                        <w:sz w:val="14"/>
                        <w:szCs w:val="14"/>
                      </w:rPr>
                    </w:pPr>
                    <w:r w:rsidRPr="00A0098F">
                      <w:rPr>
                        <w:sz w:val="14"/>
                        <w:szCs w:val="14"/>
                      </w:rPr>
                      <w:t>0</w:t>
                    </w:r>
                  </w:p>
                </w:tc>
                <w:tc>
                  <w:tcPr>
                    <w:tcW w:w="481" w:type="pct"/>
                    <w:vAlign w:val="center"/>
                  </w:tcPr>
                  <w:p w:rsidR="00696744" w:rsidRPr="00A0098F" w:rsidRDefault="00696744" w:rsidP="00696744">
                    <w:pPr>
                      <w:jc w:val="right"/>
                      <w:rPr>
                        <w:sz w:val="14"/>
                        <w:szCs w:val="14"/>
                      </w:rPr>
                    </w:pPr>
                    <w:r w:rsidRPr="00A0098F">
                      <w:rPr>
                        <w:sz w:val="14"/>
                        <w:szCs w:val="14"/>
                      </w:rPr>
                      <w:t>0</w:t>
                    </w:r>
                  </w:p>
                </w:tc>
              </w:tr>
              <w:tr w:rsidR="00A0098F" w:rsidTr="00A0098F">
                <w:sdt>
                  <w:sdtPr>
                    <w:rPr>
                      <w:sz w:val="14"/>
                      <w:szCs w:val="14"/>
                    </w:rPr>
                    <w:tag w:val="_PLD_58f2b570df754e85bb72c0f63cdd3f1c"/>
                    <w:id w:val="-898055516"/>
                    <w:lock w:val="sdtLocked"/>
                  </w:sdtPr>
                  <w:sdtContent>
                    <w:tc>
                      <w:tcPr>
                        <w:tcW w:w="723" w:type="pct"/>
                      </w:tcPr>
                      <w:p w:rsidR="00696744" w:rsidRPr="00A0098F" w:rsidRDefault="00696744" w:rsidP="00696744">
                        <w:pPr>
                          <w:rPr>
                            <w:sz w:val="14"/>
                            <w:szCs w:val="14"/>
                          </w:rPr>
                        </w:pPr>
                        <w:r w:rsidRPr="00A0098F">
                          <w:rPr>
                            <w:sz w:val="14"/>
                            <w:szCs w:val="14"/>
                          </w:rPr>
                          <w:t>3．盈余公积弥补亏损</w:t>
                        </w:r>
                      </w:p>
                    </w:tc>
                  </w:sdtContent>
                </w:sdt>
                <w:tc>
                  <w:tcPr>
                    <w:tcW w:w="427" w:type="pct"/>
                    <w:vAlign w:val="center"/>
                  </w:tcPr>
                  <w:p w:rsidR="00696744" w:rsidRPr="00A0098F" w:rsidRDefault="00696744" w:rsidP="00696744">
                    <w:pPr>
                      <w:jc w:val="right"/>
                      <w:rPr>
                        <w:sz w:val="14"/>
                        <w:szCs w:val="14"/>
                      </w:rPr>
                    </w:pPr>
                    <w:r w:rsidRPr="00A0098F">
                      <w:rPr>
                        <w:sz w:val="14"/>
                        <w:szCs w:val="14"/>
                      </w:rPr>
                      <w:t>0</w:t>
                    </w:r>
                  </w:p>
                </w:tc>
                <w:tc>
                  <w:tcPr>
                    <w:tcW w:w="400" w:type="pct"/>
                    <w:vAlign w:val="center"/>
                  </w:tcPr>
                  <w:p w:rsidR="00696744" w:rsidRPr="00A0098F" w:rsidRDefault="00696744" w:rsidP="00696744">
                    <w:pPr>
                      <w:jc w:val="right"/>
                      <w:rPr>
                        <w:sz w:val="14"/>
                        <w:szCs w:val="14"/>
                      </w:rPr>
                    </w:pPr>
                    <w:r w:rsidRPr="00A0098F">
                      <w:rPr>
                        <w:sz w:val="14"/>
                        <w:szCs w:val="14"/>
                      </w:rPr>
                      <w:t>0</w:t>
                    </w:r>
                  </w:p>
                </w:tc>
                <w:tc>
                  <w:tcPr>
                    <w:tcW w:w="427" w:type="pct"/>
                    <w:vAlign w:val="center"/>
                  </w:tcPr>
                  <w:p w:rsidR="00696744" w:rsidRPr="00A0098F" w:rsidRDefault="00696744" w:rsidP="00696744">
                    <w:pPr>
                      <w:jc w:val="right"/>
                      <w:rPr>
                        <w:sz w:val="14"/>
                        <w:szCs w:val="14"/>
                      </w:rPr>
                    </w:pPr>
                    <w:r w:rsidRPr="00A0098F">
                      <w:rPr>
                        <w:sz w:val="14"/>
                        <w:szCs w:val="14"/>
                      </w:rPr>
                      <w:t>0</w:t>
                    </w:r>
                  </w:p>
                </w:tc>
                <w:tc>
                  <w:tcPr>
                    <w:tcW w:w="527" w:type="pct"/>
                    <w:vAlign w:val="center"/>
                  </w:tcPr>
                  <w:p w:rsidR="00696744" w:rsidRPr="00A0098F" w:rsidRDefault="00696744" w:rsidP="00696744">
                    <w:pPr>
                      <w:jc w:val="right"/>
                      <w:rPr>
                        <w:sz w:val="14"/>
                        <w:szCs w:val="14"/>
                      </w:rPr>
                    </w:pPr>
                    <w:r w:rsidRPr="00A0098F">
                      <w:rPr>
                        <w:sz w:val="14"/>
                        <w:szCs w:val="14"/>
                      </w:rPr>
                      <w:t>0</w:t>
                    </w:r>
                  </w:p>
                </w:tc>
                <w:tc>
                  <w:tcPr>
                    <w:tcW w:w="604" w:type="pct"/>
                    <w:vAlign w:val="center"/>
                  </w:tcPr>
                  <w:p w:rsidR="00696744" w:rsidRPr="00A0098F" w:rsidRDefault="00696744" w:rsidP="00696744">
                    <w:pPr>
                      <w:jc w:val="right"/>
                      <w:rPr>
                        <w:sz w:val="14"/>
                        <w:szCs w:val="14"/>
                      </w:rPr>
                    </w:pPr>
                    <w:r w:rsidRPr="00A0098F">
                      <w:rPr>
                        <w:sz w:val="14"/>
                        <w:szCs w:val="14"/>
                      </w:rPr>
                      <w:t>0</w:t>
                    </w:r>
                  </w:p>
                </w:tc>
                <w:tc>
                  <w:tcPr>
                    <w:tcW w:w="503" w:type="pct"/>
                    <w:vAlign w:val="center"/>
                  </w:tcPr>
                  <w:p w:rsidR="00696744" w:rsidRPr="00A0098F" w:rsidRDefault="00696744" w:rsidP="00696744">
                    <w:pPr>
                      <w:jc w:val="right"/>
                      <w:rPr>
                        <w:sz w:val="14"/>
                        <w:szCs w:val="14"/>
                      </w:rPr>
                    </w:pPr>
                    <w:r w:rsidRPr="00A0098F">
                      <w:rPr>
                        <w:sz w:val="14"/>
                        <w:szCs w:val="14"/>
                      </w:rPr>
                      <w:t>0</w:t>
                    </w:r>
                  </w:p>
                </w:tc>
                <w:tc>
                  <w:tcPr>
                    <w:tcW w:w="452" w:type="pct"/>
                    <w:vAlign w:val="center"/>
                  </w:tcPr>
                  <w:p w:rsidR="00696744" w:rsidRPr="00A0098F" w:rsidRDefault="00696744" w:rsidP="00696744">
                    <w:pPr>
                      <w:jc w:val="right"/>
                      <w:rPr>
                        <w:sz w:val="14"/>
                        <w:szCs w:val="14"/>
                      </w:rPr>
                    </w:pPr>
                    <w:r w:rsidRPr="00A0098F">
                      <w:rPr>
                        <w:sz w:val="14"/>
                        <w:szCs w:val="14"/>
                      </w:rPr>
                      <w:t>0</w:t>
                    </w:r>
                  </w:p>
                </w:tc>
                <w:tc>
                  <w:tcPr>
                    <w:tcW w:w="456" w:type="pct"/>
                    <w:vAlign w:val="center"/>
                  </w:tcPr>
                  <w:p w:rsidR="00696744" w:rsidRPr="00A0098F" w:rsidRDefault="00696744" w:rsidP="00696744">
                    <w:pPr>
                      <w:jc w:val="right"/>
                      <w:rPr>
                        <w:sz w:val="14"/>
                        <w:szCs w:val="14"/>
                      </w:rPr>
                    </w:pPr>
                    <w:r w:rsidRPr="00A0098F">
                      <w:rPr>
                        <w:sz w:val="14"/>
                        <w:szCs w:val="14"/>
                      </w:rPr>
                      <w:t>0</w:t>
                    </w:r>
                  </w:p>
                </w:tc>
                <w:tc>
                  <w:tcPr>
                    <w:tcW w:w="481" w:type="pct"/>
                    <w:vAlign w:val="center"/>
                  </w:tcPr>
                  <w:p w:rsidR="00696744" w:rsidRPr="00A0098F" w:rsidRDefault="00696744" w:rsidP="00696744">
                    <w:pPr>
                      <w:jc w:val="right"/>
                      <w:rPr>
                        <w:sz w:val="14"/>
                        <w:szCs w:val="14"/>
                      </w:rPr>
                    </w:pPr>
                    <w:r w:rsidRPr="00A0098F">
                      <w:rPr>
                        <w:sz w:val="14"/>
                        <w:szCs w:val="14"/>
                      </w:rPr>
                      <w:t>0</w:t>
                    </w:r>
                  </w:p>
                </w:tc>
              </w:tr>
              <w:tr w:rsidR="00A0098F" w:rsidTr="00A0098F">
                <w:tc>
                  <w:tcPr>
                    <w:tcW w:w="723" w:type="pct"/>
                  </w:tcPr>
                  <w:sdt>
                    <w:sdtPr>
                      <w:rPr>
                        <w:sz w:val="14"/>
                        <w:szCs w:val="14"/>
                      </w:rPr>
                      <w:tag w:val="_PLD_88022ba02c7c4775ba5e9f75f6b07fa4"/>
                      <w:id w:val="-2086059893"/>
                      <w:lock w:val="sdtLocked"/>
                    </w:sdtPr>
                    <w:sdtContent>
                      <w:p w:rsidR="00696744" w:rsidRPr="00A0098F" w:rsidRDefault="00696744" w:rsidP="00696744">
                        <w:pPr>
                          <w:rPr>
                            <w:sz w:val="14"/>
                            <w:szCs w:val="14"/>
                          </w:rPr>
                        </w:pPr>
                        <w:r w:rsidRPr="00A0098F">
                          <w:rPr>
                            <w:sz w:val="14"/>
                            <w:szCs w:val="14"/>
                          </w:rPr>
                          <w:t>4．设定受益计划变动额结转留存收益</w:t>
                        </w:r>
                      </w:p>
                    </w:sdtContent>
                  </w:sdt>
                </w:tc>
                <w:tc>
                  <w:tcPr>
                    <w:tcW w:w="427" w:type="pct"/>
                    <w:vAlign w:val="center"/>
                  </w:tcPr>
                  <w:p w:rsidR="00696744" w:rsidRPr="00A0098F" w:rsidRDefault="00696744" w:rsidP="00696744">
                    <w:pPr>
                      <w:jc w:val="right"/>
                      <w:rPr>
                        <w:sz w:val="14"/>
                        <w:szCs w:val="14"/>
                      </w:rPr>
                    </w:pPr>
                    <w:r w:rsidRPr="00A0098F">
                      <w:rPr>
                        <w:sz w:val="14"/>
                        <w:szCs w:val="14"/>
                      </w:rPr>
                      <w:t>0</w:t>
                    </w:r>
                  </w:p>
                </w:tc>
                <w:tc>
                  <w:tcPr>
                    <w:tcW w:w="400" w:type="pct"/>
                    <w:vAlign w:val="center"/>
                  </w:tcPr>
                  <w:p w:rsidR="00696744" w:rsidRPr="00A0098F" w:rsidRDefault="00696744" w:rsidP="00696744">
                    <w:pPr>
                      <w:jc w:val="right"/>
                      <w:rPr>
                        <w:sz w:val="14"/>
                        <w:szCs w:val="14"/>
                      </w:rPr>
                    </w:pPr>
                    <w:r w:rsidRPr="00A0098F">
                      <w:rPr>
                        <w:sz w:val="14"/>
                        <w:szCs w:val="14"/>
                      </w:rPr>
                      <w:t>0</w:t>
                    </w:r>
                  </w:p>
                </w:tc>
                <w:tc>
                  <w:tcPr>
                    <w:tcW w:w="427" w:type="pct"/>
                    <w:vAlign w:val="center"/>
                  </w:tcPr>
                  <w:p w:rsidR="00696744" w:rsidRPr="00A0098F" w:rsidRDefault="00696744" w:rsidP="00696744">
                    <w:pPr>
                      <w:jc w:val="right"/>
                      <w:rPr>
                        <w:sz w:val="14"/>
                        <w:szCs w:val="14"/>
                      </w:rPr>
                    </w:pPr>
                    <w:r w:rsidRPr="00A0098F">
                      <w:rPr>
                        <w:sz w:val="14"/>
                        <w:szCs w:val="14"/>
                      </w:rPr>
                      <w:t>0</w:t>
                    </w:r>
                  </w:p>
                </w:tc>
                <w:tc>
                  <w:tcPr>
                    <w:tcW w:w="527" w:type="pct"/>
                    <w:vAlign w:val="center"/>
                  </w:tcPr>
                  <w:p w:rsidR="00696744" w:rsidRPr="00A0098F" w:rsidRDefault="00696744" w:rsidP="00696744">
                    <w:pPr>
                      <w:jc w:val="right"/>
                      <w:rPr>
                        <w:sz w:val="14"/>
                        <w:szCs w:val="14"/>
                      </w:rPr>
                    </w:pPr>
                    <w:r w:rsidRPr="00A0098F">
                      <w:rPr>
                        <w:sz w:val="14"/>
                        <w:szCs w:val="14"/>
                      </w:rPr>
                      <w:t>0</w:t>
                    </w:r>
                  </w:p>
                </w:tc>
                <w:tc>
                  <w:tcPr>
                    <w:tcW w:w="604" w:type="pct"/>
                    <w:vAlign w:val="center"/>
                  </w:tcPr>
                  <w:p w:rsidR="00696744" w:rsidRPr="00A0098F" w:rsidRDefault="00696744" w:rsidP="00696744">
                    <w:pPr>
                      <w:jc w:val="right"/>
                      <w:rPr>
                        <w:sz w:val="14"/>
                        <w:szCs w:val="14"/>
                      </w:rPr>
                    </w:pPr>
                    <w:r w:rsidRPr="00A0098F">
                      <w:rPr>
                        <w:sz w:val="14"/>
                        <w:szCs w:val="14"/>
                      </w:rPr>
                      <w:t>0</w:t>
                    </w:r>
                  </w:p>
                </w:tc>
                <w:tc>
                  <w:tcPr>
                    <w:tcW w:w="503" w:type="pct"/>
                    <w:vAlign w:val="center"/>
                  </w:tcPr>
                  <w:p w:rsidR="00696744" w:rsidRPr="00A0098F" w:rsidRDefault="00696744" w:rsidP="00696744">
                    <w:pPr>
                      <w:jc w:val="right"/>
                      <w:rPr>
                        <w:sz w:val="14"/>
                        <w:szCs w:val="14"/>
                      </w:rPr>
                    </w:pPr>
                    <w:r w:rsidRPr="00A0098F">
                      <w:rPr>
                        <w:sz w:val="14"/>
                        <w:szCs w:val="14"/>
                      </w:rPr>
                      <w:t>0</w:t>
                    </w:r>
                  </w:p>
                </w:tc>
                <w:tc>
                  <w:tcPr>
                    <w:tcW w:w="452" w:type="pct"/>
                    <w:vAlign w:val="center"/>
                  </w:tcPr>
                  <w:p w:rsidR="00696744" w:rsidRPr="00A0098F" w:rsidRDefault="00696744" w:rsidP="00696744">
                    <w:pPr>
                      <w:jc w:val="right"/>
                      <w:rPr>
                        <w:sz w:val="14"/>
                        <w:szCs w:val="14"/>
                      </w:rPr>
                    </w:pPr>
                    <w:r w:rsidRPr="00A0098F">
                      <w:rPr>
                        <w:sz w:val="14"/>
                        <w:szCs w:val="14"/>
                      </w:rPr>
                      <w:t>0</w:t>
                    </w:r>
                  </w:p>
                </w:tc>
                <w:tc>
                  <w:tcPr>
                    <w:tcW w:w="456" w:type="pct"/>
                    <w:vAlign w:val="center"/>
                  </w:tcPr>
                  <w:p w:rsidR="00696744" w:rsidRPr="00A0098F" w:rsidRDefault="00696744" w:rsidP="00696744">
                    <w:pPr>
                      <w:jc w:val="right"/>
                      <w:rPr>
                        <w:sz w:val="14"/>
                        <w:szCs w:val="14"/>
                      </w:rPr>
                    </w:pPr>
                    <w:r w:rsidRPr="00A0098F">
                      <w:rPr>
                        <w:sz w:val="14"/>
                        <w:szCs w:val="14"/>
                      </w:rPr>
                      <w:t>0</w:t>
                    </w:r>
                  </w:p>
                </w:tc>
                <w:tc>
                  <w:tcPr>
                    <w:tcW w:w="481" w:type="pct"/>
                    <w:vAlign w:val="center"/>
                  </w:tcPr>
                  <w:p w:rsidR="00696744" w:rsidRPr="00A0098F" w:rsidRDefault="00696744" w:rsidP="00696744">
                    <w:pPr>
                      <w:jc w:val="right"/>
                      <w:rPr>
                        <w:sz w:val="14"/>
                        <w:szCs w:val="14"/>
                      </w:rPr>
                    </w:pPr>
                    <w:r w:rsidRPr="00A0098F">
                      <w:rPr>
                        <w:sz w:val="14"/>
                        <w:szCs w:val="14"/>
                      </w:rPr>
                      <w:t>0</w:t>
                    </w:r>
                  </w:p>
                </w:tc>
              </w:tr>
              <w:tr w:rsidR="00A0098F" w:rsidTr="00A0098F">
                <w:tc>
                  <w:tcPr>
                    <w:tcW w:w="723" w:type="pct"/>
                  </w:tcPr>
                  <w:sdt>
                    <w:sdtPr>
                      <w:rPr>
                        <w:sz w:val="14"/>
                        <w:szCs w:val="14"/>
                      </w:rPr>
                      <w:tag w:val="_PLD_0259028a18dd4c059a8b77a9e4fe86f9"/>
                      <w:id w:val="1545406697"/>
                      <w:lock w:val="sdtLocked"/>
                    </w:sdtPr>
                    <w:sdtContent>
                      <w:p w:rsidR="00696744" w:rsidRPr="00A0098F" w:rsidRDefault="00696744" w:rsidP="00696744">
                        <w:pPr>
                          <w:rPr>
                            <w:sz w:val="14"/>
                            <w:szCs w:val="14"/>
                          </w:rPr>
                        </w:pPr>
                        <w:r w:rsidRPr="00A0098F">
                          <w:rPr>
                            <w:sz w:val="14"/>
                            <w:szCs w:val="14"/>
                          </w:rPr>
                          <w:t>5．其他综合收益结转留存收益</w:t>
                        </w:r>
                      </w:p>
                    </w:sdtContent>
                  </w:sdt>
                </w:tc>
                <w:tc>
                  <w:tcPr>
                    <w:tcW w:w="427" w:type="pct"/>
                    <w:vAlign w:val="center"/>
                  </w:tcPr>
                  <w:p w:rsidR="00696744" w:rsidRPr="00A0098F" w:rsidRDefault="00696744" w:rsidP="00696744">
                    <w:pPr>
                      <w:jc w:val="right"/>
                      <w:rPr>
                        <w:sz w:val="14"/>
                        <w:szCs w:val="14"/>
                      </w:rPr>
                    </w:pPr>
                    <w:r w:rsidRPr="00A0098F">
                      <w:rPr>
                        <w:sz w:val="14"/>
                        <w:szCs w:val="14"/>
                      </w:rPr>
                      <w:t>0</w:t>
                    </w:r>
                  </w:p>
                </w:tc>
                <w:tc>
                  <w:tcPr>
                    <w:tcW w:w="400" w:type="pct"/>
                    <w:vAlign w:val="center"/>
                  </w:tcPr>
                  <w:p w:rsidR="00696744" w:rsidRPr="00A0098F" w:rsidRDefault="00696744" w:rsidP="00696744">
                    <w:pPr>
                      <w:jc w:val="right"/>
                      <w:rPr>
                        <w:sz w:val="14"/>
                        <w:szCs w:val="14"/>
                      </w:rPr>
                    </w:pPr>
                    <w:r w:rsidRPr="00A0098F">
                      <w:rPr>
                        <w:sz w:val="14"/>
                        <w:szCs w:val="14"/>
                      </w:rPr>
                      <w:t>0</w:t>
                    </w:r>
                  </w:p>
                </w:tc>
                <w:tc>
                  <w:tcPr>
                    <w:tcW w:w="427" w:type="pct"/>
                    <w:vAlign w:val="center"/>
                  </w:tcPr>
                  <w:p w:rsidR="00696744" w:rsidRPr="00A0098F" w:rsidRDefault="00696744" w:rsidP="00696744">
                    <w:pPr>
                      <w:jc w:val="right"/>
                      <w:rPr>
                        <w:sz w:val="14"/>
                        <w:szCs w:val="14"/>
                      </w:rPr>
                    </w:pPr>
                    <w:r w:rsidRPr="00A0098F">
                      <w:rPr>
                        <w:sz w:val="14"/>
                        <w:szCs w:val="14"/>
                      </w:rPr>
                      <w:t>0</w:t>
                    </w:r>
                  </w:p>
                </w:tc>
                <w:tc>
                  <w:tcPr>
                    <w:tcW w:w="527" w:type="pct"/>
                    <w:vAlign w:val="center"/>
                  </w:tcPr>
                  <w:p w:rsidR="00696744" w:rsidRPr="00A0098F" w:rsidRDefault="00696744" w:rsidP="00696744">
                    <w:pPr>
                      <w:jc w:val="right"/>
                      <w:rPr>
                        <w:sz w:val="14"/>
                        <w:szCs w:val="14"/>
                      </w:rPr>
                    </w:pPr>
                    <w:r w:rsidRPr="00A0098F">
                      <w:rPr>
                        <w:sz w:val="14"/>
                        <w:szCs w:val="14"/>
                      </w:rPr>
                      <w:t>0</w:t>
                    </w:r>
                  </w:p>
                </w:tc>
                <w:tc>
                  <w:tcPr>
                    <w:tcW w:w="604" w:type="pct"/>
                    <w:vAlign w:val="center"/>
                  </w:tcPr>
                  <w:p w:rsidR="00696744" w:rsidRPr="00A0098F" w:rsidRDefault="00696744" w:rsidP="00696744">
                    <w:pPr>
                      <w:jc w:val="right"/>
                      <w:rPr>
                        <w:sz w:val="14"/>
                        <w:szCs w:val="14"/>
                      </w:rPr>
                    </w:pPr>
                    <w:r w:rsidRPr="00A0098F">
                      <w:rPr>
                        <w:sz w:val="14"/>
                        <w:szCs w:val="14"/>
                      </w:rPr>
                      <w:t>0</w:t>
                    </w:r>
                  </w:p>
                </w:tc>
                <w:tc>
                  <w:tcPr>
                    <w:tcW w:w="503" w:type="pct"/>
                    <w:vAlign w:val="center"/>
                  </w:tcPr>
                  <w:p w:rsidR="00696744" w:rsidRPr="00A0098F" w:rsidRDefault="00696744" w:rsidP="00696744">
                    <w:pPr>
                      <w:jc w:val="right"/>
                      <w:rPr>
                        <w:sz w:val="14"/>
                        <w:szCs w:val="14"/>
                      </w:rPr>
                    </w:pPr>
                    <w:r w:rsidRPr="00A0098F">
                      <w:rPr>
                        <w:sz w:val="14"/>
                        <w:szCs w:val="14"/>
                      </w:rPr>
                      <w:t>0</w:t>
                    </w:r>
                  </w:p>
                </w:tc>
                <w:tc>
                  <w:tcPr>
                    <w:tcW w:w="452" w:type="pct"/>
                    <w:vAlign w:val="center"/>
                  </w:tcPr>
                  <w:p w:rsidR="00696744" w:rsidRPr="00A0098F" w:rsidRDefault="00696744" w:rsidP="00696744">
                    <w:pPr>
                      <w:jc w:val="right"/>
                      <w:rPr>
                        <w:sz w:val="14"/>
                        <w:szCs w:val="14"/>
                      </w:rPr>
                    </w:pPr>
                    <w:r w:rsidRPr="00A0098F">
                      <w:rPr>
                        <w:sz w:val="14"/>
                        <w:szCs w:val="14"/>
                      </w:rPr>
                      <w:t>0</w:t>
                    </w:r>
                  </w:p>
                </w:tc>
                <w:tc>
                  <w:tcPr>
                    <w:tcW w:w="456" w:type="pct"/>
                    <w:vAlign w:val="center"/>
                  </w:tcPr>
                  <w:p w:rsidR="00696744" w:rsidRPr="00A0098F" w:rsidRDefault="00696744" w:rsidP="00696744">
                    <w:pPr>
                      <w:jc w:val="right"/>
                      <w:rPr>
                        <w:sz w:val="14"/>
                        <w:szCs w:val="14"/>
                      </w:rPr>
                    </w:pPr>
                    <w:r w:rsidRPr="00A0098F">
                      <w:rPr>
                        <w:sz w:val="14"/>
                        <w:szCs w:val="14"/>
                      </w:rPr>
                      <w:t>0</w:t>
                    </w:r>
                  </w:p>
                </w:tc>
                <w:tc>
                  <w:tcPr>
                    <w:tcW w:w="481" w:type="pct"/>
                    <w:vAlign w:val="center"/>
                  </w:tcPr>
                  <w:p w:rsidR="00696744" w:rsidRPr="00A0098F" w:rsidRDefault="00696744" w:rsidP="00696744">
                    <w:pPr>
                      <w:jc w:val="right"/>
                      <w:rPr>
                        <w:sz w:val="14"/>
                        <w:szCs w:val="14"/>
                      </w:rPr>
                    </w:pPr>
                    <w:r w:rsidRPr="00A0098F">
                      <w:rPr>
                        <w:sz w:val="14"/>
                        <w:szCs w:val="14"/>
                      </w:rPr>
                      <w:t>0</w:t>
                    </w:r>
                  </w:p>
                </w:tc>
              </w:tr>
              <w:tr w:rsidR="00A0098F" w:rsidTr="00A0098F">
                <w:sdt>
                  <w:sdtPr>
                    <w:rPr>
                      <w:sz w:val="14"/>
                      <w:szCs w:val="14"/>
                    </w:rPr>
                    <w:tag w:val="_PLD_5844253ac18b45ceaa765e5b2f55d052"/>
                    <w:id w:val="449593106"/>
                    <w:lock w:val="sdtLocked"/>
                  </w:sdtPr>
                  <w:sdtContent>
                    <w:tc>
                      <w:tcPr>
                        <w:tcW w:w="723" w:type="pct"/>
                      </w:tcPr>
                      <w:p w:rsidR="00696744" w:rsidRPr="00A0098F" w:rsidRDefault="00696744" w:rsidP="00696744">
                        <w:pPr>
                          <w:rPr>
                            <w:sz w:val="14"/>
                            <w:szCs w:val="14"/>
                          </w:rPr>
                        </w:pPr>
                        <w:r w:rsidRPr="00A0098F">
                          <w:rPr>
                            <w:sz w:val="14"/>
                            <w:szCs w:val="14"/>
                          </w:rPr>
                          <w:t>6．其他</w:t>
                        </w:r>
                      </w:p>
                    </w:tc>
                  </w:sdtContent>
                </w:sdt>
                <w:tc>
                  <w:tcPr>
                    <w:tcW w:w="427" w:type="pct"/>
                    <w:vAlign w:val="center"/>
                  </w:tcPr>
                  <w:p w:rsidR="00696744" w:rsidRPr="00A0098F" w:rsidRDefault="00696744" w:rsidP="00696744">
                    <w:pPr>
                      <w:jc w:val="right"/>
                      <w:rPr>
                        <w:sz w:val="14"/>
                        <w:szCs w:val="14"/>
                      </w:rPr>
                    </w:pPr>
                    <w:r w:rsidRPr="00A0098F">
                      <w:rPr>
                        <w:sz w:val="14"/>
                        <w:szCs w:val="14"/>
                      </w:rPr>
                      <w:t>0</w:t>
                    </w:r>
                  </w:p>
                </w:tc>
                <w:tc>
                  <w:tcPr>
                    <w:tcW w:w="400" w:type="pct"/>
                    <w:vAlign w:val="center"/>
                  </w:tcPr>
                  <w:p w:rsidR="00696744" w:rsidRPr="00A0098F" w:rsidRDefault="00696744" w:rsidP="00696744">
                    <w:pPr>
                      <w:jc w:val="right"/>
                      <w:rPr>
                        <w:sz w:val="14"/>
                        <w:szCs w:val="14"/>
                      </w:rPr>
                    </w:pPr>
                    <w:r w:rsidRPr="00A0098F">
                      <w:rPr>
                        <w:sz w:val="14"/>
                        <w:szCs w:val="14"/>
                      </w:rPr>
                      <w:t>0</w:t>
                    </w:r>
                  </w:p>
                </w:tc>
                <w:tc>
                  <w:tcPr>
                    <w:tcW w:w="427" w:type="pct"/>
                    <w:vAlign w:val="center"/>
                  </w:tcPr>
                  <w:p w:rsidR="00696744" w:rsidRPr="00A0098F" w:rsidRDefault="00696744" w:rsidP="00696744">
                    <w:pPr>
                      <w:jc w:val="right"/>
                      <w:rPr>
                        <w:sz w:val="14"/>
                        <w:szCs w:val="14"/>
                      </w:rPr>
                    </w:pPr>
                    <w:r w:rsidRPr="00A0098F">
                      <w:rPr>
                        <w:sz w:val="14"/>
                        <w:szCs w:val="14"/>
                      </w:rPr>
                      <w:t>0</w:t>
                    </w:r>
                  </w:p>
                </w:tc>
                <w:tc>
                  <w:tcPr>
                    <w:tcW w:w="527" w:type="pct"/>
                    <w:vAlign w:val="center"/>
                  </w:tcPr>
                  <w:p w:rsidR="00696744" w:rsidRPr="00A0098F" w:rsidRDefault="00696744" w:rsidP="00696744">
                    <w:pPr>
                      <w:jc w:val="right"/>
                      <w:rPr>
                        <w:sz w:val="14"/>
                        <w:szCs w:val="14"/>
                      </w:rPr>
                    </w:pPr>
                    <w:r w:rsidRPr="00A0098F">
                      <w:rPr>
                        <w:sz w:val="14"/>
                        <w:szCs w:val="14"/>
                      </w:rPr>
                      <w:t>0</w:t>
                    </w:r>
                  </w:p>
                </w:tc>
                <w:tc>
                  <w:tcPr>
                    <w:tcW w:w="604" w:type="pct"/>
                    <w:vAlign w:val="center"/>
                  </w:tcPr>
                  <w:p w:rsidR="00696744" w:rsidRPr="00A0098F" w:rsidRDefault="00696744" w:rsidP="00696744">
                    <w:pPr>
                      <w:jc w:val="right"/>
                      <w:rPr>
                        <w:sz w:val="14"/>
                        <w:szCs w:val="14"/>
                      </w:rPr>
                    </w:pPr>
                    <w:r w:rsidRPr="00A0098F">
                      <w:rPr>
                        <w:sz w:val="14"/>
                        <w:szCs w:val="14"/>
                      </w:rPr>
                      <w:t>0</w:t>
                    </w:r>
                  </w:p>
                </w:tc>
                <w:tc>
                  <w:tcPr>
                    <w:tcW w:w="503" w:type="pct"/>
                    <w:vAlign w:val="center"/>
                  </w:tcPr>
                  <w:p w:rsidR="00696744" w:rsidRPr="00A0098F" w:rsidRDefault="00696744" w:rsidP="00696744">
                    <w:pPr>
                      <w:jc w:val="right"/>
                      <w:rPr>
                        <w:sz w:val="14"/>
                        <w:szCs w:val="14"/>
                      </w:rPr>
                    </w:pPr>
                    <w:r w:rsidRPr="00A0098F">
                      <w:rPr>
                        <w:sz w:val="14"/>
                        <w:szCs w:val="14"/>
                      </w:rPr>
                      <w:t>0</w:t>
                    </w:r>
                  </w:p>
                </w:tc>
                <w:tc>
                  <w:tcPr>
                    <w:tcW w:w="452" w:type="pct"/>
                    <w:vAlign w:val="center"/>
                  </w:tcPr>
                  <w:p w:rsidR="00696744" w:rsidRPr="00A0098F" w:rsidRDefault="00696744" w:rsidP="00696744">
                    <w:pPr>
                      <w:jc w:val="right"/>
                      <w:rPr>
                        <w:sz w:val="14"/>
                        <w:szCs w:val="14"/>
                      </w:rPr>
                    </w:pPr>
                    <w:r w:rsidRPr="00A0098F">
                      <w:rPr>
                        <w:sz w:val="14"/>
                        <w:szCs w:val="14"/>
                      </w:rPr>
                      <w:t>0</w:t>
                    </w:r>
                  </w:p>
                </w:tc>
                <w:tc>
                  <w:tcPr>
                    <w:tcW w:w="456" w:type="pct"/>
                    <w:vAlign w:val="center"/>
                  </w:tcPr>
                  <w:p w:rsidR="00696744" w:rsidRPr="00A0098F" w:rsidRDefault="00696744" w:rsidP="00696744">
                    <w:pPr>
                      <w:jc w:val="right"/>
                      <w:rPr>
                        <w:sz w:val="14"/>
                        <w:szCs w:val="14"/>
                      </w:rPr>
                    </w:pPr>
                    <w:r w:rsidRPr="00A0098F">
                      <w:rPr>
                        <w:sz w:val="14"/>
                        <w:szCs w:val="14"/>
                      </w:rPr>
                      <w:t>0</w:t>
                    </w:r>
                  </w:p>
                </w:tc>
                <w:tc>
                  <w:tcPr>
                    <w:tcW w:w="481" w:type="pct"/>
                    <w:vAlign w:val="center"/>
                  </w:tcPr>
                  <w:p w:rsidR="00696744" w:rsidRPr="00A0098F" w:rsidRDefault="00696744" w:rsidP="00696744">
                    <w:pPr>
                      <w:jc w:val="right"/>
                      <w:rPr>
                        <w:sz w:val="14"/>
                        <w:szCs w:val="14"/>
                      </w:rPr>
                    </w:pPr>
                    <w:r w:rsidRPr="00A0098F">
                      <w:rPr>
                        <w:sz w:val="14"/>
                        <w:szCs w:val="14"/>
                      </w:rPr>
                      <w:t>0</w:t>
                    </w:r>
                  </w:p>
                </w:tc>
              </w:tr>
              <w:tr w:rsidR="00A0098F" w:rsidTr="00A0098F">
                <w:sdt>
                  <w:sdtPr>
                    <w:rPr>
                      <w:sz w:val="14"/>
                      <w:szCs w:val="14"/>
                    </w:rPr>
                    <w:tag w:val="_PLD_3bbf2260615f4991a49bda77fd1fc28b"/>
                    <w:id w:val="-278256562"/>
                    <w:lock w:val="sdtLocked"/>
                  </w:sdtPr>
                  <w:sdtContent>
                    <w:tc>
                      <w:tcPr>
                        <w:tcW w:w="723" w:type="pct"/>
                      </w:tcPr>
                      <w:p w:rsidR="00696744" w:rsidRPr="00A0098F" w:rsidRDefault="00696744" w:rsidP="00696744">
                        <w:pPr>
                          <w:rPr>
                            <w:sz w:val="14"/>
                            <w:szCs w:val="14"/>
                          </w:rPr>
                        </w:pPr>
                        <w:r w:rsidRPr="00A0098F">
                          <w:rPr>
                            <w:rFonts w:hint="eastAsia"/>
                            <w:sz w:val="14"/>
                            <w:szCs w:val="14"/>
                          </w:rPr>
                          <w:t>（五）专项储备</w:t>
                        </w:r>
                      </w:p>
                    </w:tc>
                  </w:sdtContent>
                </w:sdt>
                <w:tc>
                  <w:tcPr>
                    <w:tcW w:w="427" w:type="pct"/>
                    <w:vAlign w:val="center"/>
                  </w:tcPr>
                  <w:p w:rsidR="00696744" w:rsidRPr="00A0098F" w:rsidRDefault="00696744" w:rsidP="00696744">
                    <w:pPr>
                      <w:jc w:val="right"/>
                      <w:rPr>
                        <w:sz w:val="14"/>
                        <w:szCs w:val="14"/>
                      </w:rPr>
                    </w:pPr>
                    <w:r w:rsidRPr="00A0098F">
                      <w:rPr>
                        <w:sz w:val="14"/>
                        <w:szCs w:val="14"/>
                      </w:rPr>
                      <w:t>0</w:t>
                    </w:r>
                  </w:p>
                </w:tc>
                <w:tc>
                  <w:tcPr>
                    <w:tcW w:w="400" w:type="pct"/>
                    <w:vAlign w:val="center"/>
                  </w:tcPr>
                  <w:p w:rsidR="00696744" w:rsidRPr="00A0098F" w:rsidRDefault="00696744" w:rsidP="00696744">
                    <w:pPr>
                      <w:jc w:val="right"/>
                      <w:rPr>
                        <w:sz w:val="14"/>
                        <w:szCs w:val="14"/>
                      </w:rPr>
                    </w:pPr>
                    <w:r w:rsidRPr="00A0098F">
                      <w:rPr>
                        <w:sz w:val="14"/>
                        <w:szCs w:val="14"/>
                      </w:rPr>
                      <w:t>0</w:t>
                    </w:r>
                  </w:p>
                </w:tc>
                <w:tc>
                  <w:tcPr>
                    <w:tcW w:w="427" w:type="pct"/>
                    <w:vAlign w:val="center"/>
                  </w:tcPr>
                  <w:p w:rsidR="00696744" w:rsidRPr="00A0098F" w:rsidRDefault="00696744" w:rsidP="00696744">
                    <w:pPr>
                      <w:jc w:val="right"/>
                      <w:rPr>
                        <w:sz w:val="14"/>
                        <w:szCs w:val="14"/>
                      </w:rPr>
                    </w:pPr>
                    <w:r w:rsidRPr="00A0098F">
                      <w:rPr>
                        <w:sz w:val="14"/>
                        <w:szCs w:val="14"/>
                      </w:rPr>
                      <w:t>0</w:t>
                    </w:r>
                  </w:p>
                </w:tc>
                <w:tc>
                  <w:tcPr>
                    <w:tcW w:w="527" w:type="pct"/>
                    <w:vAlign w:val="center"/>
                  </w:tcPr>
                  <w:p w:rsidR="00696744" w:rsidRPr="00A0098F" w:rsidRDefault="00696744" w:rsidP="00696744">
                    <w:pPr>
                      <w:jc w:val="right"/>
                      <w:rPr>
                        <w:sz w:val="14"/>
                        <w:szCs w:val="14"/>
                      </w:rPr>
                    </w:pPr>
                    <w:r w:rsidRPr="00A0098F">
                      <w:rPr>
                        <w:sz w:val="14"/>
                        <w:szCs w:val="14"/>
                      </w:rPr>
                      <w:t>0</w:t>
                    </w:r>
                  </w:p>
                </w:tc>
                <w:tc>
                  <w:tcPr>
                    <w:tcW w:w="604" w:type="pct"/>
                    <w:vAlign w:val="center"/>
                  </w:tcPr>
                  <w:p w:rsidR="00696744" w:rsidRPr="00A0098F" w:rsidRDefault="00696744" w:rsidP="00696744">
                    <w:pPr>
                      <w:jc w:val="right"/>
                      <w:rPr>
                        <w:sz w:val="14"/>
                        <w:szCs w:val="14"/>
                      </w:rPr>
                    </w:pPr>
                    <w:r w:rsidRPr="00A0098F">
                      <w:rPr>
                        <w:sz w:val="14"/>
                        <w:szCs w:val="14"/>
                      </w:rPr>
                      <w:t>192,104,233</w:t>
                    </w:r>
                  </w:p>
                </w:tc>
                <w:tc>
                  <w:tcPr>
                    <w:tcW w:w="503" w:type="pct"/>
                    <w:vAlign w:val="center"/>
                  </w:tcPr>
                  <w:p w:rsidR="00696744" w:rsidRPr="00A0098F" w:rsidRDefault="00696744" w:rsidP="00696744">
                    <w:pPr>
                      <w:jc w:val="right"/>
                      <w:rPr>
                        <w:sz w:val="14"/>
                        <w:szCs w:val="14"/>
                      </w:rPr>
                    </w:pPr>
                    <w:r w:rsidRPr="00A0098F">
                      <w:rPr>
                        <w:sz w:val="14"/>
                        <w:szCs w:val="14"/>
                      </w:rPr>
                      <w:t>0</w:t>
                    </w:r>
                  </w:p>
                </w:tc>
                <w:tc>
                  <w:tcPr>
                    <w:tcW w:w="452" w:type="pct"/>
                    <w:vAlign w:val="center"/>
                  </w:tcPr>
                  <w:p w:rsidR="00696744" w:rsidRPr="00A0098F" w:rsidRDefault="00696744" w:rsidP="00696744">
                    <w:pPr>
                      <w:jc w:val="right"/>
                      <w:rPr>
                        <w:sz w:val="14"/>
                        <w:szCs w:val="14"/>
                      </w:rPr>
                    </w:pPr>
                    <w:r w:rsidRPr="00A0098F">
                      <w:rPr>
                        <w:sz w:val="14"/>
                        <w:szCs w:val="14"/>
                      </w:rPr>
                      <w:t>0</w:t>
                    </w:r>
                  </w:p>
                </w:tc>
                <w:tc>
                  <w:tcPr>
                    <w:tcW w:w="456" w:type="pct"/>
                    <w:vAlign w:val="center"/>
                  </w:tcPr>
                  <w:p w:rsidR="00696744" w:rsidRPr="00A0098F" w:rsidRDefault="00696744" w:rsidP="00696744">
                    <w:pPr>
                      <w:jc w:val="right"/>
                      <w:rPr>
                        <w:sz w:val="14"/>
                        <w:szCs w:val="14"/>
                      </w:rPr>
                    </w:pPr>
                    <w:r w:rsidRPr="00A0098F">
                      <w:rPr>
                        <w:sz w:val="14"/>
                        <w:szCs w:val="14"/>
                      </w:rPr>
                      <w:t>48,908,772</w:t>
                    </w:r>
                  </w:p>
                </w:tc>
                <w:tc>
                  <w:tcPr>
                    <w:tcW w:w="481" w:type="pct"/>
                    <w:vAlign w:val="center"/>
                  </w:tcPr>
                  <w:p w:rsidR="00696744" w:rsidRPr="00A0098F" w:rsidRDefault="00696744" w:rsidP="00696744">
                    <w:pPr>
                      <w:jc w:val="right"/>
                      <w:rPr>
                        <w:sz w:val="14"/>
                        <w:szCs w:val="14"/>
                      </w:rPr>
                    </w:pPr>
                    <w:r w:rsidRPr="00A0098F">
                      <w:rPr>
                        <w:sz w:val="14"/>
                        <w:szCs w:val="14"/>
                      </w:rPr>
                      <w:t>241,013,005</w:t>
                    </w:r>
                  </w:p>
                </w:tc>
              </w:tr>
              <w:tr w:rsidR="00A0098F" w:rsidTr="00A0098F">
                <w:sdt>
                  <w:sdtPr>
                    <w:rPr>
                      <w:sz w:val="14"/>
                      <w:szCs w:val="14"/>
                    </w:rPr>
                    <w:tag w:val="_PLD_f1e833fa15ec452384f3784c7a9b36fe"/>
                    <w:id w:val="73942747"/>
                    <w:lock w:val="sdtLocked"/>
                  </w:sdtPr>
                  <w:sdtContent>
                    <w:tc>
                      <w:tcPr>
                        <w:tcW w:w="723" w:type="pct"/>
                      </w:tcPr>
                      <w:p w:rsidR="00696744" w:rsidRPr="00A0098F" w:rsidRDefault="00696744" w:rsidP="00696744">
                        <w:pPr>
                          <w:rPr>
                            <w:sz w:val="14"/>
                            <w:szCs w:val="14"/>
                          </w:rPr>
                        </w:pPr>
                        <w:r w:rsidRPr="00A0098F">
                          <w:rPr>
                            <w:rFonts w:hint="eastAsia"/>
                            <w:sz w:val="14"/>
                            <w:szCs w:val="14"/>
                          </w:rPr>
                          <w:t>1．本期提取</w:t>
                        </w:r>
                      </w:p>
                    </w:tc>
                  </w:sdtContent>
                </w:sdt>
                <w:tc>
                  <w:tcPr>
                    <w:tcW w:w="427" w:type="pct"/>
                    <w:vAlign w:val="center"/>
                  </w:tcPr>
                  <w:p w:rsidR="00696744" w:rsidRPr="00A0098F" w:rsidRDefault="00696744" w:rsidP="00696744">
                    <w:pPr>
                      <w:jc w:val="right"/>
                      <w:rPr>
                        <w:sz w:val="14"/>
                        <w:szCs w:val="14"/>
                      </w:rPr>
                    </w:pPr>
                    <w:r w:rsidRPr="00A0098F">
                      <w:rPr>
                        <w:sz w:val="14"/>
                        <w:szCs w:val="14"/>
                      </w:rPr>
                      <w:t>0</w:t>
                    </w:r>
                  </w:p>
                </w:tc>
                <w:tc>
                  <w:tcPr>
                    <w:tcW w:w="400" w:type="pct"/>
                    <w:vAlign w:val="center"/>
                  </w:tcPr>
                  <w:p w:rsidR="00696744" w:rsidRPr="00A0098F" w:rsidRDefault="00696744" w:rsidP="00696744">
                    <w:pPr>
                      <w:jc w:val="right"/>
                      <w:rPr>
                        <w:sz w:val="14"/>
                        <w:szCs w:val="14"/>
                      </w:rPr>
                    </w:pPr>
                    <w:r w:rsidRPr="00A0098F">
                      <w:rPr>
                        <w:sz w:val="14"/>
                        <w:szCs w:val="14"/>
                      </w:rPr>
                      <w:t>0</w:t>
                    </w:r>
                  </w:p>
                </w:tc>
                <w:tc>
                  <w:tcPr>
                    <w:tcW w:w="427" w:type="pct"/>
                    <w:vAlign w:val="center"/>
                  </w:tcPr>
                  <w:p w:rsidR="00696744" w:rsidRPr="00A0098F" w:rsidRDefault="00696744" w:rsidP="00696744">
                    <w:pPr>
                      <w:jc w:val="right"/>
                      <w:rPr>
                        <w:sz w:val="14"/>
                        <w:szCs w:val="14"/>
                      </w:rPr>
                    </w:pPr>
                    <w:r w:rsidRPr="00A0098F">
                      <w:rPr>
                        <w:sz w:val="14"/>
                        <w:szCs w:val="14"/>
                      </w:rPr>
                      <w:t>0</w:t>
                    </w:r>
                  </w:p>
                </w:tc>
                <w:tc>
                  <w:tcPr>
                    <w:tcW w:w="527" w:type="pct"/>
                    <w:vAlign w:val="center"/>
                  </w:tcPr>
                  <w:p w:rsidR="00696744" w:rsidRPr="00A0098F" w:rsidRDefault="00696744" w:rsidP="00696744">
                    <w:pPr>
                      <w:jc w:val="right"/>
                      <w:rPr>
                        <w:sz w:val="14"/>
                        <w:szCs w:val="14"/>
                      </w:rPr>
                    </w:pPr>
                    <w:r w:rsidRPr="00A0098F">
                      <w:rPr>
                        <w:sz w:val="14"/>
                        <w:szCs w:val="14"/>
                      </w:rPr>
                      <w:t>0</w:t>
                    </w:r>
                  </w:p>
                </w:tc>
                <w:tc>
                  <w:tcPr>
                    <w:tcW w:w="604" w:type="pct"/>
                    <w:vAlign w:val="center"/>
                  </w:tcPr>
                  <w:p w:rsidR="00696744" w:rsidRPr="00A0098F" w:rsidRDefault="00696744" w:rsidP="00696744">
                    <w:pPr>
                      <w:jc w:val="right"/>
                      <w:rPr>
                        <w:sz w:val="14"/>
                        <w:szCs w:val="14"/>
                      </w:rPr>
                    </w:pPr>
                    <w:r w:rsidRPr="00A0098F">
                      <w:rPr>
                        <w:sz w:val="14"/>
                        <w:szCs w:val="14"/>
                      </w:rPr>
                      <w:t>670,564,433</w:t>
                    </w:r>
                  </w:p>
                </w:tc>
                <w:tc>
                  <w:tcPr>
                    <w:tcW w:w="503" w:type="pct"/>
                    <w:vAlign w:val="center"/>
                  </w:tcPr>
                  <w:p w:rsidR="00696744" w:rsidRPr="00A0098F" w:rsidRDefault="00696744" w:rsidP="00696744">
                    <w:pPr>
                      <w:jc w:val="right"/>
                      <w:rPr>
                        <w:sz w:val="14"/>
                        <w:szCs w:val="14"/>
                      </w:rPr>
                    </w:pPr>
                    <w:r w:rsidRPr="00A0098F">
                      <w:rPr>
                        <w:sz w:val="14"/>
                        <w:szCs w:val="14"/>
                      </w:rPr>
                      <w:t>0</w:t>
                    </w:r>
                  </w:p>
                </w:tc>
                <w:tc>
                  <w:tcPr>
                    <w:tcW w:w="452" w:type="pct"/>
                    <w:vAlign w:val="center"/>
                  </w:tcPr>
                  <w:p w:rsidR="00696744" w:rsidRPr="00A0098F" w:rsidRDefault="00696744" w:rsidP="00696744">
                    <w:pPr>
                      <w:jc w:val="right"/>
                      <w:rPr>
                        <w:sz w:val="14"/>
                        <w:szCs w:val="14"/>
                      </w:rPr>
                    </w:pPr>
                    <w:r w:rsidRPr="00A0098F">
                      <w:rPr>
                        <w:sz w:val="14"/>
                        <w:szCs w:val="14"/>
                      </w:rPr>
                      <w:t>0</w:t>
                    </w:r>
                  </w:p>
                </w:tc>
                <w:tc>
                  <w:tcPr>
                    <w:tcW w:w="456" w:type="pct"/>
                    <w:vAlign w:val="center"/>
                  </w:tcPr>
                  <w:p w:rsidR="00696744" w:rsidRPr="00A0098F" w:rsidRDefault="00696744" w:rsidP="00696744">
                    <w:pPr>
                      <w:jc w:val="right"/>
                      <w:rPr>
                        <w:sz w:val="14"/>
                        <w:szCs w:val="14"/>
                      </w:rPr>
                    </w:pPr>
                    <w:r w:rsidRPr="00A0098F">
                      <w:rPr>
                        <w:sz w:val="14"/>
                        <w:szCs w:val="14"/>
                      </w:rPr>
                      <w:t>49,309,007</w:t>
                    </w:r>
                  </w:p>
                </w:tc>
                <w:tc>
                  <w:tcPr>
                    <w:tcW w:w="481" w:type="pct"/>
                    <w:vAlign w:val="center"/>
                  </w:tcPr>
                  <w:p w:rsidR="00696744" w:rsidRPr="00A0098F" w:rsidRDefault="00696744" w:rsidP="00696744">
                    <w:pPr>
                      <w:jc w:val="right"/>
                      <w:rPr>
                        <w:sz w:val="14"/>
                        <w:szCs w:val="14"/>
                      </w:rPr>
                    </w:pPr>
                    <w:r w:rsidRPr="00A0098F">
                      <w:rPr>
                        <w:sz w:val="14"/>
                        <w:szCs w:val="14"/>
                      </w:rPr>
                      <w:t>719,873,440</w:t>
                    </w:r>
                  </w:p>
                </w:tc>
              </w:tr>
              <w:tr w:rsidR="00A0098F" w:rsidTr="00A0098F">
                <w:sdt>
                  <w:sdtPr>
                    <w:rPr>
                      <w:sz w:val="14"/>
                      <w:szCs w:val="14"/>
                    </w:rPr>
                    <w:tag w:val="_PLD_301fc21ab7954268be9851ddd0cf2d8a"/>
                    <w:id w:val="-1888489856"/>
                    <w:lock w:val="sdtLocked"/>
                  </w:sdtPr>
                  <w:sdtContent>
                    <w:tc>
                      <w:tcPr>
                        <w:tcW w:w="723" w:type="pct"/>
                      </w:tcPr>
                      <w:p w:rsidR="00696744" w:rsidRPr="00A0098F" w:rsidRDefault="00696744" w:rsidP="00696744">
                        <w:pPr>
                          <w:rPr>
                            <w:sz w:val="14"/>
                            <w:szCs w:val="14"/>
                          </w:rPr>
                        </w:pPr>
                        <w:r w:rsidRPr="00A0098F">
                          <w:rPr>
                            <w:rFonts w:hint="eastAsia"/>
                            <w:sz w:val="14"/>
                            <w:szCs w:val="14"/>
                          </w:rPr>
                          <w:t>2．本期使用</w:t>
                        </w:r>
                      </w:p>
                    </w:tc>
                  </w:sdtContent>
                </w:sdt>
                <w:tc>
                  <w:tcPr>
                    <w:tcW w:w="427" w:type="pct"/>
                    <w:vAlign w:val="center"/>
                  </w:tcPr>
                  <w:p w:rsidR="00696744" w:rsidRPr="00A0098F" w:rsidRDefault="00696744" w:rsidP="00696744">
                    <w:pPr>
                      <w:jc w:val="right"/>
                      <w:rPr>
                        <w:sz w:val="14"/>
                        <w:szCs w:val="14"/>
                      </w:rPr>
                    </w:pPr>
                    <w:r w:rsidRPr="00A0098F">
                      <w:rPr>
                        <w:sz w:val="14"/>
                        <w:szCs w:val="14"/>
                      </w:rPr>
                      <w:t>0</w:t>
                    </w:r>
                  </w:p>
                </w:tc>
                <w:tc>
                  <w:tcPr>
                    <w:tcW w:w="400" w:type="pct"/>
                    <w:vAlign w:val="center"/>
                  </w:tcPr>
                  <w:p w:rsidR="00696744" w:rsidRPr="00A0098F" w:rsidRDefault="00696744" w:rsidP="00696744">
                    <w:pPr>
                      <w:jc w:val="right"/>
                      <w:rPr>
                        <w:sz w:val="14"/>
                        <w:szCs w:val="14"/>
                      </w:rPr>
                    </w:pPr>
                    <w:r w:rsidRPr="00A0098F">
                      <w:rPr>
                        <w:sz w:val="14"/>
                        <w:szCs w:val="14"/>
                      </w:rPr>
                      <w:t>0</w:t>
                    </w:r>
                  </w:p>
                </w:tc>
                <w:tc>
                  <w:tcPr>
                    <w:tcW w:w="427" w:type="pct"/>
                    <w:vAlign w:val="center"/>
                  </w:tcPr>
                  <w:p w:rsidR="00696744" w:rsidRPr="00A0098F" w:rsidRDefault="00696744" w:rsidP="00696744">
                    <w:pPr>
                      <w:jc w:val="right"/>
                      <w:rPr>
                        <w:sz w:val="14"/>
                        <w:szCs w:val="14"/>
                      </w:rPr>
                    </w:pPr>
                    <w:r w:rsidRPr="00A0098F">
                      <w:rPr>
                        <w:sz w:val="14"/>
                        <w:szCs w:val="14"/>
                      </w:rPr>
                      <w:t>0</w:t>
                    </w:r>
                  </w:p>
                </w:tc>
                <w:tc>
                  <w:tcPr>
                    <w:tcW w:w="527" w:type="pct"/>
                    <w:vAlign w:val="center"/>
                  </w:tcPr>
                  <w:p w:rsidR="00696744" w:rsidRPr="00A0098F" w:rsidRDefault="00696744" w:rsidP="00696744">
                    <w:pPr>
                      <w:jc w:val="right"/>
                      <w:rPr>
                        <w:sz w:val="14"/>
                        <w:szCs w:val="14"/>
                      </w:rPr>
                    </w:pPr>
                    <w:r w:rsidRPr="00A0098F">
                      <w:rPr>
                        <w:sz w:val="14"/>
                        <w:szCs w:val="14"/>
                      </w:rPr>
                      <w:t>0</w:t>
                    </w:r>
                  </w:p>
                </w:tc>
                <w:tc>
                  <w:tcPr>
                    <w:tcW w:w="604" w:type="pct"/>
                    <w:vAlign w:val="center"/>
                  </w:tcPr>
                  <w:p w:rsidR="00696744" w:rsidRPr="00A0098F" w:rsidRDefault="00696744" w:rsidP="00696744">
                    <w:pPr>
                      <w:jc w:val="right"/>
                      <w:rPr>
                        <w:sz w:val="14"/>
                        <w:szCs w:val="14"/>
                      </w:rPr>
                    </w:pPr>
                    <w:r w:rsidRPr="00A0098F">
                      <w:rPr>
                        <w:sz w:val="14"/>
                        <w:szCs w:val="14"/>
                      </w:rPr>
                      <w:t>-478,460,200</w:t>
                    </w:r>
                  </w:p>
                </w:tc>
                <w:tc>
                  <w:tcPr>
                    <w:tcW w:w="503" w:type="pct"/>
                    <w:vAlign w:val="center"/>
                  </w:tcPr>
                  <w:p w:rsidR="00696744" w:rsidRPr="00A0098F" w:rsidRDefault="00696744" w:rsidP="00696744">
                    <w:pPr>
                      <w:jc w:val="right"/>
                      <w:rPr>
                        <w:sz w:val="14"/>
                        <w:szCs w:val="14"/>
                      </w:rPr>
                    </w:pPr>
                    <w:r w:rsidRPr="00A0098F">
                      <w:rPr>
                        <w:sz w:val="14"/>
                        <w:szCs w:val="14"/>
                      </w:rPr>
                      <w:t>0</w:t>
                    </w:r>
                  </w:p>
                </w:tc>
                <w:tc>
                  <w:tcPr>
                    <w:tcW w:w="452" w:type="pct"/>
                    <w:vAlign w:val="center"/>
                  </w:tcPr>
                  <w:p w:rsidR="00696744" w:rsidRPr="00A0098F" w:rsidRDefault="00696744" w:rsidP="00696744">
                    <w:pPr>
                      <w:jc w:val="right"/>
                      <w:rPr>
                        <w:sz w:val="14"/>
                        <w:szCs w:val="14"/>
                      </w:rPr>
                    </w:pPr>
                    <w:r w:rsidRPr="00A0098F">
                      <w:rPr>
                        <w:sz w:val="14"/>
                        <w:szCs w:val="14"/>
                      </w:rPr>
                      <w:t>0</w:t>
                    </w:r>
                  </w:p>
                </w:tc>
                <w:tc>
                  <w:tcPr>
                    <w:tcW w:w="456" w:type="pct"/>
                    <w:vAlign w:val="center"/>
                  </w:tcPr>
                  <w:p w:rsidR="00696744" w:rsidRPr="00A0098F" w:rsidRDefault="00696744" w:rsidP="00696744">
                    <w:pPr>
                      <w:jc w:val="right"/>
                      <w:rPr>
                        <w:sz w:val="14"/>
                        <w:szCs w:val="14"/>
                      </w:rPr>
                    </w:pPr>
                    <w:r w:rsidRPr="00A0098F">
                      <w:rPr>
                        <w:sz w:val="14"/>
                        <w:szCs w:val="14"/>
                      </w:rPr>
                      <w:t>-400,235</w:t>
                    </w:r>
                  </w:p>
                </w:tc>
                <w:tc>
                  <w:tcPr>
                    <w:tcW w:w="481" w:type="pct"/>
                    <w:vAlign w:val="center"/>
                  </w:tcPr>
                  <w:p w:rsidR="00696744" w:rsidRPr="00A0098F" w:rsidRDefault="00696744" w:rsidP="00696744">
                    <w:pPr>
                      <w:jc w:val="right"/>
                      <w:rPr>
                        <w:sz w:val="14"/>
                        <w:szCs w:val="14"/>
                      </w:rPr>
                    </w:pPr>
                    <w:r w:rsidRPr="00A0098F">
                      <w:rPr>
                        <w:sz w:val="14"/>
                        <w:szCs w:val="14"/>
                      </w:rPr>
                      <w:t>-478,860,435</w:t>
                    </w:r>
                  </w:p>
                </w:tc>
              </w:tr>
              <w:tr w:rsidR="00A0098F" w:rsidTr="00A0098F">
                <w:sdt>
                  <w:sdtPr>
                    <w:rPr>
                      <w:sz w:val="14"/>
                      <w:szCs w:val="14"/>
                    </w:rPr>
                    <w:tag w:val="_PLD_43b1e5b489b047e98cf38f8c5f130759"/>
                    <w:id w:val="473191869"/>
                    <w:lock w:val="sdtLocked"/>
                  </w:sdtPr>
                  <w:sdtContent>
                    <w:tc>
                      <w:tcPr>
                        <w:tcW w:w="723" w:type="pct"/>
                      </w:tcPr>
                      <w:p w:rsidR="00696744" w:rsidRPr="00A0098F" w:rsidRDefault="00696744" w:rsidP="00696744">
                        <w:pPr>
                          <w:rPr>
                            <w:sz w:val="14"/>
                            <w:szCs w:val="14"/>
                          </w:rPr>
                        </w:pPr>
                        <w:r w:rsidRPr="00A0098F">
                          <w:rPr>
                            <w:rFonts w:hint="eastAsia"/>
                            <w:sz w:val="14"/>
                            <w:szCs w:val="14"/>
                          </w:rPr>
                          <w:t>（六）其他</w:t>
                        </w:r>
                      </w:p>
                    </w:tc>
                  </w:sdtContent>
                </w:sdt>
                <w:tc>
                  <w:tcPr>
                    <w:tcW w:w="427" w:type="pct"/>
                    <w:vAlign w:val="center"/>
                  </w:tcPr>
                  <w:p w:rsidR="00696744" w:rsidRPr="00A0098F" w:rsidRDefault="00696744" w:rsidP="00696744">
                    <w:pPr>
                      <w:jc w:val="right"/>
                      <w:rPr>
                        <w:sz w:val="14"/>
                        <w:szCs w:val="14"/>
                      </w:rPr>
                    </w:pPr>
                    <w:r w:rsidRPr="00A0098F">
                      <w:rPr>
                        <w:sz w:val="14"/>
                        <w:szCs w:val="14"/>
                      </w:rPr>
                      <w:t>0</w:t>
                    </w:r>
                  </w:p>
                </w:tc>
                <w:tc>
                  <w:tcPr>
                    <w:tcW w:w="400" w:type="pct"/>
                    <w:vAlign w:val="center"/>
                  </w:tcPr>
                  <w:p w:rsidR="00696744" w:rsidRPr="00A0098F" w:rsidRDefault="00696744" w:rsidP="00696744">
                    <w:pPr>
                      <w:jc w:val="right"/>
                      <w:rPr>
                        <w:sz w:val="14"/>
                        <w:szCs w:val="14"/>
                      </w:rPr>
                    </w:pPr>
                    <w:r w:rsidRPr="00A0098F">
                      <w:rPr>
                        <w:sz w:val="14"/>
                        <w:szCs w:val="14"/>
                      </w:rPr>
                      <w:t>0</w:t>
                    </w:r>
                  </w:p>
                </w:tc>
                <w:tc>
                  <w:tcPr>
                    <w:tcW w:w="427" w:type="pct"/>
                    <w:vAlign w:val="center"/>
                  </w:tcPr>
                  <w:p w:rsidR="00696744" w:rsidRPr="00A0098F" w:rsidRDefault="00696744" w:rsidP="00696744">
                    <w:pPr>
                      <w:jc w:val="right"/>
                      <w:rPr>
                        <w:sz w:val="14"/>
                        <w:szCs w:val="14"/>
                      </w:rPr>
                    </w:pPr>
                    <w:r w:rsidRPr="00A0098F">
                      <w:rPr>
                        <w:sz w:val="14"/>
                        <w:szCs w:val="14"/>
                      </w:rPr>
                      <w:t>3,073,312</w:t>
                    </w:r>
                  </w:p>
                </w:tc>
                <w:tc>
                  <w:tcPr>
                    <w:tcW w:w="527" w:type="pct"/>
                    <w:vAlign w:val="center"/>
                  </w:tcPr>
                  <w:p w:rsidR="00696744" w:rsidRPr="00A0098F" w:rsidRDefault="00696744" w:rsidP="00696744">
                    <w:pPr>
                      <w:jc w:val="right"/>
                      <w:rPr>
                        <w:sz w:val="14"/>
                        <w:szCs w:val="14"/>
                      </w:rPr>
                    </w:pPr>
                    <w:r w:rsidRPr="00A0098F">
                      <w:rPr>
                        <w:sz w:val="14"/>
                        <w:szCs w:val="14"/>
                      </w:rPr>
                      <w:t>0</w:t>
                    </w:r>
                  </w:p>
                </w:tc>
                <w:tc>
                  <w:tcPr>
                    <w:tcW w:w="604" w:type="pct"/>
                    <w:vAlign w:val="center"/>
                  </w:tcPr>
                  <w:p w:rsidR="00696744" w:rsidRPr="00A0098F" w:rsidRDefault="00696744" w:rsidP="00696744">
                    <w:pPr>
                      <w:jc w:val="right"/>
                      <w:rPr>
                        <w:sz w:val="14"/>
                        <w:szCs w:val="14"/>
                      </w:rPr>
                    </w:pPr>
                    <w:r w:rsidRPr="00A0098F">
                      <w:rPr>
                        <w:sz w:val="14"/>
                        <w:szCs w:val="14"/>
                      </w:rPr>
                      <w:t>0</w:t>
                    </w:r>
                  </w:p>
                </w:tc>
                <w:tc>
                  <w:tcPr>
                    <w:tcW w:w="503" w:type="pct"/>
                    <w:vAlign w:val="center"/>
                  </w:tcPr>
                  <w:p w:rsidR="00696744" w:rsidRPr="00A0098F" w:rsidRDefault="00696744" w:rsidP="00696744">
                    <w:pPr>
                      <w:jc w:val="right"/>
                      <w:rPr>
                        <w:sz w:val="14"/>
                        <w:szCs w:val="14"/>
                      </w:rPr>
                    </w:pPr>
                    <w:r w:rsidRPr="00A0098F">
                      <w:rPr>
                        <w:sz w:val="14"/>
                        <w:szCs w:val="14"/>
                      </w:rPr>
                      <w:t>0</w:t>
                    </w:r>
                  </w:p>
                </w:tc>
                <w:tc>
                  <w:tcPr>
                    <w:tcW w:w="452" w:type="pct"/>
                    <w:vAlign w:val="center"/>
                  </w:tcPr>
                  <w:p w:rsidR="00696744" w:rsidRPr="00A0098F" w:rsidRDefault="00696744" w:rsidP="00696744">
                    <w:pPr>
                      <w:jc w:val="right"/>
                      <w:rPr>
                        <w:sz w:val="14"/>
                        <w:szCs w:val="14"/>
                      </w:rPr>
                    </w:pPr>
                    <w:r w:rsidRPr="00A0098F">
                      <w:rPr>
                        <w:sz w:val="14"/>
                        <w:szCs w:val="14"/>
                      </w:rPr>
                      <w:t>-975,551,218</w:t>
                    </w:r>
                  </w:p>
                </w:tc>
                <w:tc>
                  <w:tcPr>
                    <w:tcW w:w="456" w:type="pct"/>
                    <w:vAlign w:val="center"/>
                  </w:tcPr>
                  <w:p w:rsidR="00696744" w:rsidRPr="00A0098F" w:rsidRDefault="00696744" w:rsidP="00696744">
                    <w:pPr>
                      <w:jc w:val="right"/>
                      <w:rPr>
                        <w:sz w:val="14"/>
                        <w:szCs w:val="14"/>
                      </w:rPr>
                    </w:pPr>
                    <w:r w:rsidRPr="00A0098F">
                      <w:rPr>
                        <w:sz w:val="14"/>
                        <w:szCs w:val="14"/>
                      </w:rPr>
                      <w:t>0</w:t>
                    </w:r>
                  </w:p>
                </w:tc>
                <w:tc>
                  <w:tcPr>
                    <w:tcW w:w="481" w:type="pct"/>
                    <w:vAlign w:val="center"/>
                  </w:tcPr>
                  <w:p w:rsidR="00696744" w:rsidRPr="00A0098F" w:rsidRDefault="00696744" w:rsidP="00696744">
                    <w:pPr>
                      <w:jc w:val="right"/>
                      <w:rPr>
                        <w:sz w:val="14"/>
                        <w:szCs w:val="14"/>
                      </w:rPr>
                    </w:pPr>
                    <w:r w:rsidRPr="00A0098F">
                      <w:rPr>
                        <w:sz w:val="14"/>
                        <w:szCs w:val="14"/>
                      </w:rPr>
                      <w:t>-972,477,906</w:t>
                    </w:r>
                  </w:p>
                </w:tc>
              </w:tr>
              <w:tr w:rsidR="00A0098F" w:rsidTr="00A0098F">
                <w:sdt>
                  <w:sdtPr>
                    <w:rPr>
                      <w:sz w:val="14"/>
                      <w:szCs w:val="14"/>
                    </w:rPr>
                    <w:tag w:val="_PLD_7355d7c321c84166a15737d2581911bf"/>
                    <w:id w:val="-2020456051"/>
                    <w:lock w:val="sdtLocked"/>
                  </w:sdtPr>
                  <w:sdtContent>
                    <w:tc>
                      <w:tcPr>
                        <w:tcW w:w="723" w:type="pct"/>
                      </w:tcPr>
                      <w:p w:rsidR="00696744" w:rsidRPr="00A0098F" w:rsidRDefault="00696744" w:rsidP="00696744">
                        <w:pPr>
                          <w:rPr>
                            <w:sz w:val="14"/>
                            <w:szCs w:val="14"/>
                          </w:rPr>
                        </w:pPr>
                        <w:r w:rsidRPr="00A0098F">
                          <w:rPr>
                            <w:sz w:val="14"/>
                            <w:szCs w:val="14"/>
                          </w:rPr>
                          <w:t>四、本期期末余额</w:t>
                        </w:r>
                      </w:p>
                    </w:tc>
                  </w:sdtContent>
                </w:sdt>
                <w:tc>
                  <w:tcPr>
                    <w:tcW w:w="427" w:type="pct"/>
                    <w:vAlign w:val="center"/>
                  </w:tcPr>
                  <w:p w:rsidR="00696744" w:rsidRPr="00A0098F" w:rsidRDefault="00696744" w:rsidP="00696744">
                    <w:pPr>
                      <w:jc w:val="right"/>
                      <w:rPr>
                        <w:sz w:val="14"/>
                        <w:szCs w:val="14"/>
                      </w:rPr>
                    </w:pPr>
                    <w:r w:rsidRPr="00A0098F">
                      <w:rPr>
                        <w:sz w:val="14"/>
                        <w:szCs w:val="14"/>
                      </w:rPr>
                      <w:t>14,866,908,025</w:t>
                    </w:r>
                  </w:p>
                </w:tc>
                <w:tc>
                  <w:tcPr>
                    <w:tcW w:w="400" w:type="pct"/>
                    <w:vAlign w:val="center"/>
                  </w:tcPr>
                  <w:p w:rsidR="00696744" w:rsidRPr="00A0098F" w:rsidRDefault="00696744" w:rsidP="00696744">
                    <w:pPr>
                      <w:jc w:val="right"/>
                      <w:rPr>
                        <w:sz w:val="14"/>
                        <w:szCs w:val="14"/>
                      </w:rPr>
                    </w:pPr>
                    <w:r w:rsidRPr="00A0098F">
                      <w:rPr>
                        <w:sz w:val="14"/>
                        <w:szCs w:val="14"/>
                      </w:rPr>
                      <w:t>3,358,254,738</w:t>
                    </w:r>
                  </w:p>
                </w:tc>
                <w:tc>
                  <w:tcPr>
                    <w:tcW w:w="427" w:type="pct"/>
                    <w:vAlign w:val="center"/>
                  </w:tcPr>
                  <w:p w:rsidR="00696744" w:rsidRPr="00A0098F" w:rsidRDefault="00696744" w:rsidP="00696744">
                    <w:pPr>
                      <w:jc w:val="right"/>
                      <w:rPr>
                        <w:sz w:val="14"/>
                        <w:szCs w:val="14"/>
                      </w:rPr>
                    </w:pPr>
                    <w:r w:rsidRPr="00A0098F">
                      <w:rPr>
                        <w:sz w:val="14"/>
                        <w:szCs w:val="14"/>
                      </w:rPr>
                      <w:t>23,346,233,399</w:t>
                    </w:r>
                  </w:p>
                </w:tc>
                <w:tc>
                  <w:tcPr>
                    <w:tcW w:w="527" w:type="pct"/>
                    <w:vAlign w:val="center"/>
                  </w:tcPr>
                  <w:p w:rsidR="00696744" w:rsidRPr="00A0098F" w:rsidRDefault="00A0098F" w:rsidP="00696744">
                    <w:pPr>
                      <w:jc w:val="right"/>
                      <w:rPr>
                        <w:sz w:val="14"/>
                        <w:szCs w:val="14"/>
                      </w:rPr>
                    </w:pPr>
                    <w:r w:rsidRPr="00A0098F">
                      <w:rPr>
                        <w:sz w:val="14"/>
                        <w:szCs w:val="14"/>
                      </w:rPr>
                      <w:t>-</w:t>
                    </w:r>
                    <w:r w:rsidR="00696744" w:rsidRPr="00A0098F">
                      <w:rPr>
                        <w:sz w:val="14"/>
                        <w:szCs w:val="14"/>
                      </w:rPr>
                      <w:t>605,338,475</w:t>
                    </w:r>
                  </w:p>
                </w:tc>
                <w:tc>
                  <w:tcPr>
                    <w:tcW w:w="604" w:type="pct"/>
                    <w:vAlign w:val="center"/>
                  </w:tcPr>
                  <w:p w:rsidR="00696744" w:rsidRPr="00A0098F" w:rsidRDefault="00696744" w:rsidP="00696744">
                    <w:pPr>
                      <w:jc w:val="right"/>
                      <w:rPr>
                        <w:sz w:val="14"/>
                        <w:szCs w:val="14"/>
                      </w:rPr>
                    </w:pPr>
                    <w:r w:rsidRPr="00A0098F">
                      <w:rPr>
                        <w:sz w:val="14"/>
                        <w:szCs w:val="14"/>
                      </w:rPr>
                      <w:t>714,295,149</w:t>
                    </w:r>
                  </w:p>
                </w:tc>
                <w:tc>
                  <w:tcPr>
                    <w:tcW w:w="503" w:type="pct"/>
                    <w:vAlign w:val="center"/>
                  </w:tcPr>
                  <w:p w:rsidR="00696744" w:rsidRPr="00A0098F" w:rsidRDefault="00696744" w:rsidP="00696744">
                    <w:pPr>
                      <w:jc w:val="right"/>
                      <w:rPr>
                        <w:sz w:val="14"/>
                        <w:szCs w:val="14"/>
                      </w:rPr>
                    </w:pPr>
                    <w:r w:rsidRPr="00A0098F">
                      <w:rPr>
                        <w:sz w:val="14"/>
                        <w:szCs w:val="14"/>
                      </w:rPr>
                      <w:t>18,321,698,587</w:t>
                    </w:r>
                  </w:p>
                </w:tc>
                <w:tc>
                  <w:tcPr>
                    <w:tcW w:w="452" w:type="pct"/>
                    <w:vAlign w:val="center"/>
                  </w:tcPr>
                  <w:p w:rsidR="00696744" w:rsidRPr="00A0098F" w:rsidRDefault="00696744" w:rsidP="00696744">
                    <w:pPr>
                      <w:jc w:val="right"/>
                      <w:rPr>
                        <w:sz w:val="14"/>
                        <w:szCs w:val="14"/>
                      </w:rPr>
                    </w:pPr>
                    <w:r w:rsidRPr="00A0098F">
                      <w:rPr>
                        <w:sz w:val="14"/>
                        <w:szCs w:val="14"/>
                      </w:rPr>
                      <w:t>64,399,144,806</w:t>
                    </w:r>
                  </w:p>
                </w:tc>
                <w:tc>
                  <w:tcPr>
                    <w:tcW w:w="456" w:type="pct"/>
                    <w:vAlign w:val="center"/>
                  </w:tcPr>
                  <w:p w:rsidR="00696744" w:rsidRPr="00A0098F" w:rsidRDefault="00696744" w:rsidP="00696744">
                    <w:pPr>
                      <w:jc w:val="right"/>
                      <w:rPr>
                        <w:sz w:val="14"/>
                        <w:szCs w:val="14"/>
                      </w:rPr>
                    </w:pPr>
                    <w:r w:rsidRPr="00A0098F">
                      <w:rPr>
                        <w:sz w:val="14"/>
                        <w:szCs w:val="14"/>
                      </w:rPr>
                      <w:t>10,927,289,973</w:t>
                    </w:r>
                  </w:p>
                </w:tc>
                <w:tc>
                  <w:tcPr>
                    <w:tcW w:w="481" w:type="pct"/>
                    <w:vAlign w:val="center"/>
                  </w:tcPr>
                  <w:p w:rsidR="00696744" w:rsidRPr="00A0098F" w:rsidRDefault="00696744" w:rsidP="00696744">
                    <w:pPr>
                      <w:jc w:val="right"/>
                      <w:rPr>
                        <w:sz w:val="14"/>
                        <w:szCs w:val="14"/>
                      </w:rPr>
                    </w:pPr>
                    <w:r w:rsidRPr="00A0098F">
                      <w:rPr>
                        <w:sz w:val="14"/>
                        <w:szCs w:val="14"/>
                      </w:rPr>
                      <w:t>135,328,486,202</w:t>
                    </w:r>
                  </w:p>
                </w:tc>
              </w:tr>
            </w:tbl>
            <w:p w:rsidR="00FE7F64" w:rsidRDefault="00FE7F64">
              <w:pPr>
                <w:snapToGrid w:val="0"/>
                <w:spacing w:line="240" w:lineRule="atLeast"/>
                <w:rPr>
                  <w:szCs w:val="21"/>
                </w:rPr>
              </w:pPr>
            </w:p>
            <w:p w:rsidR="00806678" w:rsidRDefault="00B16377">
              <w:pPr>
                <w:snapToGrid w:val="0"/>
                <w:spacing w:line="240" w:lineRule="atLeast"/>
                <w:rPr>
                  <w:b/>
                  <w:bCs/>
                  <w:color w:val="FF0000"/>
                  <w:szCs w:val="21"/>
                </w:rPr>
              </w:pPr>
              <w:r>
                <w:rPr>
                  <w:rFonts w:hint="eastAsia"/>
                  <w:szCs w:val="21"/>
                </w:rPr>
                <w:t>公司负责</w:t>
              </w:r>
              <w:r>
                <w:rPr>
                  <w:szCs w:val="21"/>
                </w:rPr>
                <w:t>人</w:t>
              </w:r>
              <w:r>
                <w:rPr>
                  <w:rFonts w:hint="eastAsia"/>
                  <w:szCs w:val="21"/>
                </w:rPr>
                <w:t>：</w:t>
              </w:r>
              <w:sdt>
                <w:sdtPr>
                  <w:rPr>
                    <w:rFonts w:hint="eastAsia"/>
                    <w:szCs w:val="21"/>
                  </w:rPr>
                  <w:alias w:val="公司负责人姓名"/>
                  <w:tag w:val="_GBC_076a4a0998a840bab20f0ed83e5bab3d"/>
                  <w:id w:val="-621149223"/>
                  <w:lock w:val="sdtLocked"/>
                  <w:placeholder>
                    <w:docPart w:val="GBC22222222222222222222222222222"/>
                  </w:placeholder>
                  <w:dataBinding w:prefixMappings="xmlns:clcid-mr='clcid-mr'" w:xpath="/*/clcid-mr:GongSiFuZeRenXingMing[not(@periodRef)]" w:storeItemID="{89EBAB94-44A0-46A2-B712-30D997D04A6D}"/>
                  <w:text/>
                </w:sdtPr>
                <w:sdtContent>
                  <w:r w:rsidR="00413527">
                    <w:rPr>
                      <w:rFonts w:hint="eastAsia"/>
                      <w:szCs w:val="21"/>
                    </w:rPr>
                    <w:t xml:space="preserve">戴弘  </w:t>
                  </w:r>
                </w:sdtContent>
              </w:sdt>
              <w:r w:rsidR="00B134C5">
                <w:rPr>
                  <w:rFonts w:hint="eastAsia"/>
                  <w:szCs w:val="21"/>
                </w:rPr>
                <w:t xml:space="preserve">总经理：韩洪臣  </w:t>
              </w:r>
              <w:r>
                <w:rPr>
                  <w:szCs w:val="21"/>
                </w:rPr>
                <w:t>主管会计工作负责人</w:t>
              </w:r>
              <w:r>
                <w:rPr>
                  <w:rFonts w:hint="eastAsia"/>
                  <w:szCs w:val="21"/>
                </w:rPr>
                <w:t>：</w:t>
              </w:r>
              <w:sdt>
                <w:sdtPr>
                  <w:rPr>
                    <w:rFonts w:hint="eastAsia"/>
                    <w:szCs w:val="21"/>
                  </w:rPr>
                  <w:alias w:val="主管会计工作负责人姓名"/>
                  <w:tag w:val="_GBC_5b21002df9e248fa81a6770579ce76cd"/>
                  <w:id w:val="-599181780"/>
                  <w:lock w:val="sdtLocked"/>
                  <w:placeholder>
                    <w:docPart w:val="GBC22222222222222222222222222222"/>
                  </w:placeholder>
                  <w:dataBinding w:prefixMappings="xmlns:clcid-mr='clcid-mr'" w:xpath="/*/clcid-mr:ZhuGuanKuaiJiGongZuoFuZeRenXingMing[not(@periodRef)]" w:storeItemID="{89EBAB94-44A0-46A2-B712-30D997D04A6D}"/>
                  <w:text/>
                </w:sdtPr>
                <w:sdtContent>
                  <w:r w:rsidR="00AD579F">
                    <w:rPr>
                      <w:rFonts w:hint="eastAsia"/>
                      <w:szCs w:val="21"/>
                    </w:rPr>
                    <w:t>田惠民</w:t>
                  </w:r>
                </w:sdtContent>
              </w:sdt>
              <w:r>
                <w:rPr>
                  <w:rFonts w:hint="eastAsia"/>
                  <w:szCs w:val="21"/>
                </w:rPr>
                <w:t xml:space="preserve"> </w:t>
              </w:r>
              <w:r>
                <w:rPr>
                  <w:szCs w:val="21"/>
                </w:rPr>
                <w:t>会计机构负责人</w:t>
              </w:r>
              <w:r>
                <w:rPr>
                  <w:rFonts w:hint="eastAsia"/>
                  <w:szCs w:val="21"/>
                </w:rPr>
                <w:t>：</w:t>
              </w:r>
              <w:sdt>
                <w:sdtPr>
                  <w:rPr>
                    <w:rFonts w:hint="eastAsia"/>
                    <w:szCs w:val="21"/>
                  </w:rPr>
                  <w:alias w:val="会计机构负责人姓名"/>
                  <w:tag w:val="_GBC_6a446d6543174dc48c72d440eefb0b71"/>
                  <w:id w:val="-2006200054"/>
                  <w:lock w:val="sdtLocked"/>
                  <w:placeholder>
                    <w:docPart w:val="GBC22222222222222222222222222222"/>
                  </w:placeholder>
                  <w:dataBinding w:prefixMappings="xmlns:clcid-mr='clcid-mr'" w:xpath="/*/clcid-mr:KuaiJiJiGouFuZeRenXingMing[not(@periodRef)]" w:storeItemID="{89EBAB94-44A0-46A2-B712-30D997D04A6D}"/>
                  <w:text/>
                </w:sdtPr>
                <w:sdtContent>
                  <w:r w:rsidR="00AD579F">
                    <w:rPr>
                      <w:rFonts w:hint="eastAsia"/>
                      <w:szCs w:val="21"/>
                    </w:rPr>
                    <w:t>孙洪涛</w:t>
                  </w:r>
                </w:sdtContent>
              </w:sdt>
            </w:p>
          </w:sdtContent>
        </w:sdt>
        <w:p w:rsidR="00806678" w:rsidRDefault="00806678">
          <w:pPr>
            <w:rPr>
              <w:szCs w:val="21"/>
            </w:rPr>
          </w:pPr>
        </w:p>
        <w:p w:rsidR="00806678" w:rsidRDefault="00806678">
          <w:pPr>
            <w:rPr>
              <w:szCs w:val="21"/>
            </w:rPr>
          </w:pPr>
        </w:p>
        <w:sdt>
          <w:sdtPr>
            <w:rPr>
              <w:b/>
              <w:szCs w:val="21"/>
            </w:rPr>
            <w:tag w:val="_GBC_24560eea01804b8b9d3678736eb60ca8"/>
            <w:id w:val="1499844509"/>
            <w:lock w:val="sdtLocked"/>
            <w:placeholder>
              <w:docPart w:val="GBC22222222222222222222222222222"/>
            </w:placeholder>
          </w:sdtPr>
          <w:sdtEndPr>
            <w:rPr>
              <w:rFonts w:hint="eastAsia"/>
              <w:b w:val="0"/>
            </w:rPr>
          </w:sdtEndPr>
          <w:sdtContent>
            <w:p w:rsidR="00806678" w:rsidRDefault="00B16377" w:rsidP="00684161">
              <w:pPr>
                <w:tabs>
                  <w:tab w:val="left" w:pos="10080"/>
                </w:tabs>
                <w:snapToGrid w:val="0"/>
                <w:spacing w:line="240" w:lineRule="atLeast"/>
                <w:ind w:rightChars="12" w:right="25"/>
                <w:jc w:val="center"/>
                <w:outlineLvl w:val="2"/>
                <w:rPr>
                  <w:b/>
                  <w:szCs w:val="21"/>
                </w:rPr>
              </w:pPr>
              <w:r>
                <w:rPr>
                  <w:b/>
                  <w:szCs w:val="21"/>
                </w:rPr>
                <w:t>母公司</w:t>
              </w:r>
              <w:r>
                <w:rPr>
                  <w:rFonts w:hint="eastAsia"/>
                  <w:b/>
                  <w:szCs w:val="21"/>
                </w:rPr>
                <w:t>所有者权益变动表</w:t>
              </w:r>
            </w:p>
            <w:p w:rsidR="00806678" w:rsidRDefault="00B16377">
              <w:pPr>
                <w:tabs>
                  <w:tab w:val="left" w:pos="10080"/>
                </w:tabs>
                <w:snapToGrid w:val="0"/>
                <w:spacing w:line="240" w:lineRule="atLeast"/>
                <w:ind w:rightChars="12" w:right="25"/>
                <w:jc w:val="center"/>
                <w:rPr>
                  <w:b/>
                  <w:bCs/>
                  <w:szCs w:val="21"/>
                </w:rPr>
              </w:pPr>
              <w:r>
                <w:rPr>
                  <w:szCs w:val="21"/>
                </w:rPr>
                <w:t>2022年</w:t>
              </w:r>
              <w:r>
                <w:rPr>
                  <w:rFonts w:hint="eastAsia"/>
                  <w:szCs w:val="21"/>
                </w:rPr>
                <w:t>1—12</w:t>
              </w:r>
              <w:r>
                <w:rPr>
                  <w:szCs w:val="21"/>
                </w:rPr>
                <w:t>月</w:t>
              </w:r>
            </w:p>
            <w:p w:rsidR="00806678" w:rsidRPr="00A0098F" w:rsidRDefault="00B16377">
              <w:pPr>
                <w:snapToGrid w:val="0"/>
                <w:spacing w:line="240" w:lineRule="atLeast"/>
                <w:jc w:val="right"/>
                <w:rPr>
                  <w:sz w:val="14"/>
                  <w:szCs w:val="14"/>
                </w:rPr>
              </w:pPr>
              <w:r w:rsidRPr="00A0098F">
                <w:rPr>
                  <w:sz w:val="14"/>
                  <w:szCs w:val="14"/>
                </w:rPr>
                <w:t>单位:</w:t>
              </w:r>
              <w:sdt>
                <w:sdtPr>
                  <w:rPr>
                    <w:sz w:val="14"/>
                    <w:szCs w:val="14"/>
                  </w:rPr>
                  <w:alias w:val="单位：母公司股东权益调节表"/>
                  <w:tag w:val="_GBC_048773409e614c6bb753000b028316a5"/>
                  <w:id w:val="95344966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A0098F">
                    <w:rPr>
                      <w:sz w:val="14"/>
                      <w:szCs w:val="14"/>
                    </w:rPr>
                    <w:t>元</w:t>
                  </w:r>
                </w:sdtContent>
              </w:sdt>
              <w:r w:rsidRPr="00A0098F">
                <w:rPr>
                  <w:sz w:val="14"/>
                  <w:szCs w:val="14"/>
                </w:rPr>
                <w:t xml:space="preserve">  币种:</w:t>
              </w:r>
              <w:sdt>
                <w:sdtPr>
                  <w:rPr>
                    <w:sz w:val="14"/>
                    <w:szCs w:val="14"/>
                  </w:rPr>
                  <w:alias w:val="币种：母公司股东权益调节表"/>
                  <w:tag w:val="_GBC_5214b7a188334da286fc3038d017d072"/>
                  <w:id w:val="36625698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A0098F">
                    <w:rPr>
                      <w:sz w:val="14"/>
                      <w:szCs w:val="14"/>
                    </w:rPr>
                    <w:t>人民币</w:t>
                  </w:r>
                </w:sdtContent>
              </w:sdt>
            </w:p>
            <w:tbl>
              <w:tblPr>
                <w:tblW w:w="13960" w:type="dxa"/>
                <w:tblInd w:w="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805"/>
                <w:gridCol w:w="1431"/>
                <w:gridCol w:w="1445"/>
                <w:gridCol w:w="1391"/>
                <w:gridCol w:w="1377"/>
                <w:gridCol w:w="1391"/>
                <w:gridCol w:w="1376"/>
                <w:gridCol w:w="1363"/>
                <w:gridCol w:w="1381"/>
              </w:tblGrid>
              <w:tr w:rsidR="008442C1" w:rsidRPr="00A0098F" w:rsidTr="00E70EC0">
                <w:trPr>
                  <w:trHeight w:val="20"/>
                </w:trPr>
                <w:sdt>
                  <w:sdtPr>
                    <w:rPr>
                      <w:sz w:val="14"/>
                      <w:szCs w:val="14"/>
                    </w:rPr>
                    <w:tag w:val="_PLD_6243181199ca48faaab1b52ea7b6f562"/>
                    <w:id w:val="-833070206"/>
                    <w:lock w:val="sdtLocked"/>
                  </w:sdtPr>
                  <w:sdtContent>
                    <w:tc>
                      <w:tcPr>
                        <w:tcW w:w="2805" w:type="dxa"/>
                        <w:vMerge w:val="restart"/>
                        <w:vAlign w:val="center"/>
                      </w:tcPr>
                      <w:p w:rsidR="008442C1" w:rsidRPr="00A0098F" w:rsidRDefault="008442C1" w:rsidP="00601D47">
                        <w:pPr>
                          <w:adjustRightInd w:val="0"/>
                          <w:snapToGrid w:val="0"/>
                          <w:jc w:val="center"/>
                          <w:rPr>
                            <w:sz w:val="14"/>
                            <w:szCs w:val="14"/>
                          </w:rPr>
                        </w:pPr>
                        <w:r w:rsidRPr="00A0098F">
                          <w:rPr>
                            <w:rFonts w:hint="eastAsia"/>
                            <w:sz w:val="14"/>
                            <w:szCs w:val="14"/>
                          </w:rPr>
                          <w:t>项目</w:t>
                        </w:r>
                      </w:p>
                    </w:tc>
                  </w:sdtContent>
                </w:sdt>
                <w:tc>
                  <w:tcPr>
                    <w:tcW w:w="11155" w:type="dxa"/>
                    <w:gridSpan w:val="8"/>
                    <w:vAlign w:val="center"/>
                  </w:tcPr>
                  <w:p w:rsidR="008442C1" w:rsidRPr="00A0098F" w:rsidRDefault="008442C1" w:rsidP="00601D47">
                    <w:pPr>
                      <w:adjustRightInd w:val="0"/>
                      <w:snapToGrid w:val="0"/>
                      <w:jc w:val="center"/>
                      <w:rPr>
                        <w:sz w:val="14"/>
                        <w:szCs w:val="14"/>
                      </w:rPr>
                    </w:pPr>
                    <w:r w:rsidRPr="00A0098F">
                      <w:rPr>
                        <w:rFonts w:hint="eastAsia"/>
                        <w:sz w:val="14"/>
                        <w:szCs w:val="14"/>
                      </w:rPr>
                      <w:t xml:space="preserve"> </w:t>
                    </w:r>
                    <w:sdt>
                      <w:sdtPr>
                        <w:rPr>
                          <w:rFonts w:hint="eastAsia"/>
                          <w:sz w:val="14"/>
                          <w:szCs w:val="14"/>
                        </w:rPr>
                        <w:tag w:val="_PLD_53ebc36a4faa4485960520df843f0c63"/>
                        <w:id w:val="-365908427"/>
                        <w:lock w:val="sdtLocked"/>
                      </w:sdtPr>
                      <w:sdtContent>
                        <w:r w:rsidRPr="00A0098F">
                          <w:rPr>
                            <w:rFonts w:hint="eastAsia"/>
                            <w:sz w:val="14"/>
                            <w:szCs w:val="14"/>
                          </w:rPr>
                          <w:t>2022年度</w:t>
                        </w:r>
                      </w:sdtContent>
                    </w:sdt>
                  </w:p>
                </w:tc>
              </w:tr>
              <w:tr w:rsidR="008442C1" w:rsidRPr="00A0098F" w:rsidTr="00FE7F64">
                <w:trPr>
                  <w:trHeight w:val="568"/>
                </w:trPr>
                <w:tc>
                  <w:tcPr>
                    <w:tcW w:w="2805" w:type="dxa"/>
                    <w:vMerge/>
                  </w:tcPr>
                  <w:p w:rsidR="008442C1" w:rsidRPr="00A0098F" w:rsidRDefault="008442C1" w:rsidP="00601D47">
                    <w:pPr>
                      <w:adjustRightInd w:val="0"/>
                      <w:snapToGrid w:val="0"/>
                      <w:rPr>
                        <w:sz w:val="14"/>
                        <w:szCs w:val="14"/>
                      </w:rPr>
                    </w:pPr>
                  </w:p>
                </w:tc>
                <w:sdt>
                  <w:sdtPr>
                    <w:rPr>
                      <w:sz w:val="14"/>
                      <w:szCs w:val="14"/>
                    </w:rPr>
                    <w:tag w:val="_PLD_d42b0ce5c44e4777bd36491652f20dd8"/>
                    <w:id w:val="-1722661726"/>
                    <w:lock w:val="sdtLocked"/>
                  </w:sdtPr>
                  <w:sdtContent>
                    <w:tc>
                      <w:tcPr>
                        <w:tcW w:w="1431" w:type="dxa"/>
                        <w:tcBorders>
                          <w:right w:val="single" w:sz="4" w:space="0" w:color="auto"/>
                        </w:tcBorders>
                        <w:vAlign w:val="center"/>
                      </w:tcPr>
                      <w:p w:rsidR="008442C1" w:rsidRPr="00A0098F" w:rsidRDefault="008442C1" w:rsidP="00601D47">
                        <w:pPr>
                          <w:adjustRightInd w:val="0"/>
                          <w:snapToGrid w:val="0"/>
                          <w:jc w:val="center"/>
                          <w:rPr>
                            <w:sz w:val="14"/>
                            <w:szCs w:val="14"/>
                          </w:rPr>
                        </w:pPr>
                        <w:r w:rsidRPr="00A0098F">
                          <w:rPr>
                            <w:sz w:val="14"/>
                            <w:szCs w:val="14"/>
                          </w:rPr>
                          <w:t>实收资本 (或股本)</w:t>
                        </w:r>
                      </w:p>
                    </w:tc>
                  </w:sdtContent>
                </w:sdt>
                <w:sdt>
                  <w:sdtPr>
                    <w:rPr>
                      <w:sz w:val="14"/>
                      <w:szCs w:val="14"/>
                    </w:rPr>
                    <w:tag w:val="_PLD_2b96b9233b354a859329aa59fac6fc9e"/>
                    <w:id w:val="1073316823"/>
                    <w:lock w:val="sdtLocked"/>
                  </w:sdtPr>
                  <w:sdtContent>
                    <w:tc>
                      <w:tcPr>
                        <w:tcW w:w="1445" w:type="dxa"/>
                        <w:tcBorders>
                          <w:left w:val="single" w:sz="4" w:space="0" w:color="auto"/>
                          <w:bottom w:val="single" w:sz="4" w:space="0" w:color="auto"/>
                        </w:tcBorders>
                        <w:vAlign w:val="center"/>
                      </w:tcPr>
                      <w:p w:rsidR="008442C1" w:rsidRPr="00A0098F" w:rsidRDefault="008442C1" w:rsidP="00601D47">
                        <w:pPr>
                          <w:adjustRightInd w:val="0"/>
                          <w:snapToGrid w:val="0"/>
                          <w:jc w:val="center"/>
                          <w:rPr>
                            <w:sz w:val="14"/>
                            <w:szCs w:val="14"/>
                          </w:rPr>
                        </w:pPr>
                        <w:r w:rsidRPr="00A0098F">
                          <w:rPr>
                            <w:rFonts w:hint="eastAsia"/>
                            <w:sz w:val="14"/>
                            <w:szCs w:val="14"/>
                          </w:rPr>
                          <w:t>其他权益工具</w:t>
                        </w:r>
                      </w:p>
                    </w:tc>
                  </w:sdtContent>
                </w:sdt>
                <w:sdt>
                  <w:sdtPr>
                    <w:rPr>
                      <w:sz w:val="14"/>
                      <w:szCs w:val="14"/>
                    </w:rPr>
                    <w:tag w:val="_PLD_dafb11707213467d9f285bde7429767a"/>
                    <w:id w:val="789703714"/>
                    <w:lock w:val="sdtLocked"/>
                  </w:sdtPr>
                  <w:sdtContent>
                    <w:tc>
                      <w:tcPr>
                        <w:tcW w:w="1391" w:type="dxa"/>
                        <w:vAlign w:val="center"/>
                      </w:tcPr>
                      <w:p w:rsidR="008442C1" w:rsidRPr="00A0098F" w:rsidRDefault="008442C1" w:rsidP="00601D47">
                        <w:pPr>
                          <w:adjustRightInd w:val="0"/>
                          <w:snapToGrid w:val="0"/>
                          <w:jc w:val="center"/>
                          <w:rPr>
                            <w:sz w:val="14"/>
                            <w:szCs w:val="14"/>
                          </w:rPr>
                        </w:pPr>
                        <w:r w:rsidRPr="00A0098F">
                          <w:rPr>
                            <w:sz w:val="14"/>
                            <w:szCs w:val="14"/>
                          </w:rPr>
                          <w:t>资本公积</w:t>
                        </w:r>
                      </w:p>
                    </w:tc>
                  </w:sdtContent>
                </w:sdt>
                <w:sdt>
                  <w:sdtPr>
                    <w:rPr>
                      <w:sz w:val="14"/>
                      <w:szCs w:val="14"/>
                    </w:rPr>
                    <w:tag w:val="_PLD_01fd07c61bdc4289ad848770e21829f0"/>
                    <w:id w:val="1739124330"/>
                    <w:lock w:val="sdtLocked"/>
                  </w:sdtPr>
                  <w:sdtContent>
                    <w:tc>
                      <w:tcPr>
                        <w:tcW w:w="1377" w:type="dxa"/>
                        <w:vAlign w:val="center"/>
                      </w:tcPr>
                      <w:p w:rsidR="008442C1" w:rsidRPr="00A0098F" w:rsidRDefault="008442C1" w:rsidP="00601D47">
                        <w:pPr>
                          <w:jc w:val="center"/>
                          <w:rPr>
                            <w:sz w:val="14"/>
                            <w:szCs w:val="14"/>
                          </w:rPr>
                        </w:pPr>
                        <w:r w:rsidRPr="00A0098F">
                          <w:rPr>
                            <w:rFonts w:hint="eastAsia"/>
                            <w:sz w:val="14"/>
                            <w:szCs w:val="14"/>
                          </w:rPr>
                          <w:t>其他综合收益</w:t>
                        </w:r>
                      </w:p>
                    </w:tc>
                  </w:sdtContent>
                </w:sdt>
                <w:sdt>
                  <w:sdtPr>
                    <w:rPr>
                      <w:sz w:val="14"/>
                      <w:szCs w:val="14"/>
                    </w:rPr>
                    <w:tag w:val="_PLD_90a7206226784441ae3a059bd6e2aeb9"/>
                    <w:id w:val="-1084837285"/>
                    <w:lock w:val="sdtLocked"/>
                  </w:sdtPr>
                  <w:sdtContent>
                    <w:tc>
                      <w:tcPr>
                        <w:tcW w:w="1391" w:type="dxa"/>
                        <w:vAlign w:val="center"/>
                      </w:tcPr>
                      <w:p w:rsidR="008442C1" w:rsidRPr="00A0098F" w:rsidRDefault="008442C1" w:rsidP="00601D47">
                        <w:pPr>
                          <w:adjustRightInd w:val="0"/>
                          <w:snapToGrid w:val="0"/>
                          <w:jc w:val="center"/>
                          <w:rPr>
                            <w:sz w:val="14"/>
                            <w:szCs w:val="14"/>
                          </w:rPr>
                        </w:pPr>
                        <w:r w:rsidRPr="00A0098F">
                          <w:rPr>
                            <w:rFonts w:hint="eastAsia"/>
                            <w:sz w:val="14"/>
                            <w:szCs w:val="14"/>
                          </w:rPr>
                          <w:t>专项储备</w:t>
                        </w:r>
                      </w:p>
                    </w:tc>
                  </w:sdtContent>
                </w:sdt>
                <w:sdt>
                  <w:sdtPr>
                    <w:rPr>
                      <w:sz w:val="14"/>
                      <w:szCs w:val="14"/>
                    </w:rPr>
                    <w:tag w:val="_PLD_e9a70df1813948df997635772bea7de3"/>
                    <w:id w:val="-1463728908"/>
                    <w:lock w:val="sdtLocked"/>
                  </w:sdtPr>
                  <w:sdtContent>
                    <w:tc>
                      <w:tcPr>
                        <w:tcW w:w="1376" w:type="dxa"/>
                        <w:vAlign w:val="center"/>
                      </w:tcPr>
                      <w:p w:rsidR="008442C1" w:rsidRPr="00A0098F" w:rsidRDefault="008442C1" w:rsidP="00601D47">
                        <w:pPr>
                          <w:adjustRightInd w:val="0"/>
                          <w:snapToGrid w:val="0"/>
                          <w:jc w:val="center"/>
                          <w:rPr>
                            <w:sz w:val="14"/>
                            <w:szCs w:val="14"/>
                          </w:rPr>
                        </w:pPr>
                        <w:r w:rsidRPr="00A0098F">
                          <w:rPr>
                            <w:sz w:val="14"/>
                            <w:szCs w:val="14"/>
                          </w:rPr>
                          <w:t>盈余公积</w:t>
                        </w:r>
                      </w:p>
                    </w:tc>
                  </w:sdtContent>
                </w:sdt>
                <w:sdt>
                  <w:sdtPr>
                    <w:rPr>
                      <w:sz w:val="14"/>
                      <w:szCs w:val="14"/>
                    </w:rPr>
                    <w:tag w:val="_PLD_9b2be5c2b4a3447c85cf695b1da440fa"/>
                    <w:id w:val="-1724894482"/>
                    <w:lock w:val="sdtLocked"/>
                  </w:sdtPr>
                  <w:sdtContent>
                    <w:tc>
                      <w:tcPr>
                        <w:tcW w:w="1363" w:type="dxa"/>
                        <w:vAlign w:val="center"/>
                      </w:tcPr>
                      <w:p w:rsidR="008442C1" w:rsidRPr="00A0098F" w:rsidRDefault="008442C1" w:rsidP="00601D47">
                        <w:pPr>
                          <w:adjustRightInd w:val="0"/>
                          <w:snapToGrid w:val="0"/>
                          <w:jc w:val="center"/>
                          <w:rPr>
                            <w:sz w:val="14"/>
                            <w:szCs w:val="14"/>
                          </w:rPr>
                        </w:pPr>
                        <w:r w:rsidRPr="00A0098F">
                          <w:rPr>
                            <w:sz w:val="14"/>
                            <w:szCs w:val="14"/>
                          </w:rPr>
                          <w:t>未分配利润</w:t>
                        </w:r>
                      </w:p>
                    </w:tc>
                  </w:sdtContent>
                </w:sdt>
                <w:sdt>
                  <w:sdtPr>
                    <w:rPr>
                      <w:sz w:val="14"/>
                      <w:szCs w:val="14"/>
                    </w:rPr>
                    <w:tag w:val="_PLD_61dd0378fbe645dfb87cfecfbc846206"/>
                    <w:id w:val="576948326"/>
                    <w:lock w:val="sdtLocked"/>
                  </w:sdtPr>
                  <w:sdtContent>
                    <w:tc>
                      <w:tcPr>
                        <w:tcW w:w="1381" w:type="dxa"/>
                        <w:vAlign w:val="center"/>
                      </w:tcPr>
                      <w:p w:rsidR="008442C1" w:rsidRPr="00A0098F" w:rsidRDefault="008442C1" w:rsidP="00601D47">
                        <w:pPr>
                          <w:adjustRightInd w:val="0"/>
                          <w:snapToGrid w:val="0"/>
                          <w:jc w:val="center"/>
                          <w:rPr>
                            <w:sz w:val="14"/>
                            <w:szCs w:val="14"/>
                          </w:rPr>
                        </w:pPr>
                        <w:r w:rsidRPr="00A0098F">
                          <w:rPr>
                            <w:sz w:val="14"/>
                            <w:szCs w:val="14"/>
                          </w:rPr>
                          <w:t>所有者权益合计</w:t>
                        </w:r>
                      </w:p>
                    </w:tc>
                  </w:sdtContent>
                </w:sdt>
              </w:tr>
              <w:tr w:rsidR="00E70EC0" w:rsidRPr="00A0098F" w:rsidTr="00E70EC0">
                <w:trPr>
                  <w:trHeight w:val="20"/>
                </w:trPr>
                <w:sdt>
                  <w:sdtPr>
                    <w:rPr>
                      <w:sz w:val="14"/>
                      <w:szCs w:val="14"/>
                    </w:rPr>
                    <w:tag w:val="_PLD_08f8c5f19f2b42f7ae650f62c6878570"/>
                    <w:id w:val="-1312949751"/>
                    <w:lock w:val="sdtLocked"/>
                  </w:sdtPr>
                  <w:sdtContent>
                    <w:tc>
                      <w:tcPr>
                        <w:tcW w:w="2805" w:type="dxa"/>
                      </w:tcPr>
                      <w:p w:rsidR="00E70EC0" w:rsidRPr="00A0098F" w:rsidRDefault="00E70EC0" w:rsidP="00E70EC0">
                        <w:pPr>
                          <w:rPr>
                            <w:sz w:val="14"/>
                            <w:szCs w:val="14"/>
                          </w:rPr>
                        </w:pPr>
                        <w:r w:rsidRPr="00A0098F">
                          <w:rPr>
                            <w:sz w:val="14"/>
                            <w:szCs w:val="14"/>
                          </w:rPr>
                          <w:t>一、上年</w:t>
                        </w:r>
                        <w:r w:rsidRPr="00A0098F">
                          <w:rPr>
                            <w:rFonts w:hint="eastAsia"/>
                            <w:sz w:val="14"/>
                            <w:szCs w:val="14"/>
                          </w:rPr>
                          <w:t>年</w:t>
                        </w:r>
                        <w:r w:rsidRPr="00A0098F">
                          <w:rPr>
                            <w:sz w:val="14"/>
                            <w:szCs w:val="14"/>
                          </w:rPr>
                          <w:t>末余额</w:t>
                        </w:r>
                      </w:p>
                    </w:tc>
                  </w:sdtContent>
                </w:sdt>
                <w:tc>
                  <w:tcPr>
                    <w:tcW w:w="1431" w:type="dxa"/>
                    <w:tcBorders>
                      <w:right w:val="single" w:sz="4" w:space="0" w:color="auto"/>
                    </w:tcBorders>
                    <w:vAlign w:val="center"/>
                  </w:tcPr>
                  <w:p w:rsidR="00E70EC0" w:rsidRPr="00A0098F" w:rsidRDefault="00E70EC0" w:rsidP="00E70EC0">
                    <w:pPr>
                      <w:jc w:val="right"/>
                      <w:rPr>
                        <w:sz w:val="14"/>
                        <w:szCs w:val="14"/>
                      </w:rPr>
                    </w:pPr>
                    <w:r w:rsidRPr="00A0098F">
                      <w:rPr>
                        <w:sz w:val="14"/>
                        <w:szCs w:val="14"/>
                      </w:rPr>
                      <w:t>14,866,908,025</w:t>
                    </w:r>
                  </w:p>
                </w:tc>
                <w:tc>
                  <w:tcPr>
                    <w:tcW w:w="1445" w:type="dxa"/>
                    <w:tcBorders>
                      <w:left w:val="single" w:sz="4" w:space="0" w:color="auto"/>
                      <w:right w:val="single" w:sz="4" w:space="0" w:color="auto"/>
                    </w:tcBorders>
                    <w:vAlign w:val="center"/>
                  </w:tcPr>
                  <w:p w:rsidR="00E70EC0" w:rsidRPr="00A0098F" w:rsidRDefault="00E70EC0" w:rsidP="00E70EC0">
                    <w:pPr>
                      <w:jc w:val="right"/>
                      <w:rPr>
                        <w:sz w:val="14"/>
                        <w:szCs w:val="14"/>
                      </w:rPr>
                    </w:pPr>
                    <w:r w:rsidRPr="00A0098F">
                      <w:rPr>
                        <w:sz w:val="14"/>
                        <w:szCs w:val="14"/>
                      </w:rPr>
                      <w:t>3,358,254,738</w:t>
                    </w:r>
                  </w:p>
                </w:tc>
                <w:tc>
                  <w:tcPr>
                    <w:tcW w:w="1391" w:type="dxa"/>
                    <w:tcBorders>
                      <w:left w:val="single" w:sz="4" w:space="0" w:color="auto"/>
                    </w:tcBorders>
                    <w:vAlign w:val="center"/>
                  </w:tcPr>
                  <w:p w:rsidR="00E70EC0" w:rsidRPr="00A0098F" w:rsidRDefault="00E70EC0" w:rsidP="00E70EC0">
                    <w:pPr>
                      <w:jc w:val="right"/>
                      <w:rPr>
                        <w:sz w:val="14"/>
                        <w:szCs w:val="14"/>
                      </w:rPr>
                    </w:pPr>
                    <w:r w:rsidRPr="00A0098F">
                      <w:rPr>
                        <w:sz w:val="14"/>
                        <w:szCs w:val="14"/>
                      </w:rPr>
                      <w:t>24,324,651,438</w:t>
                    </w:r>
                  </w:p>
                </w:tc>
                <w:tc>
                  <w:tcPr>
                    <w:tcW w:w="1377" w:type="dxa"/>
                    <w:vAlign w:val="center"/>
                  </w:tcPr>
                  <w:p w:rsidR="00E70EC0" w:rsidRPr="00A0098F" w:rsidRDefault="00E70EC0" w:rsidP="00E70EC0">
                    <w:pPr>
                      <w:jc w:val="right"/>
                      <w:rPr>
                        <w:sz w:val="14"/>
                        <w:szCs w:val="14"/>
                      </w:rPr>
                    </w:pPr>
                    <w:r w:rsidRPr="00A0098F">
                      <w:rPr>
                        <w:sz w:val="14"/>
                        <w:szCs w:val="14"/>
                      </w:rPr>
                      <w:t>-605,162,626</w:t>
                    </w:r>
                  </w:p>
                </w:tc>
                <w:tc>
                  <w:tcPr>
                    <w:tcW w:w="1391" w:type="dxa"/>
                    <w:vAlign w:val="center"/>
                  </w:tcPr>
                  <w:p w:rsidR="00E70EC0" w:rsidRPr="00A0098F" w:rsidRDefault="00E70EC0" w:rsidP="00E70EC0">
                    <w:pPr>
                      <w:jc w:val="right"/>
                      <w:rPr>
                        <w:sz w:val="14"/>
                        <w:szCs w:val="14"/>
                      </w:rPr>
                    </w:pPr>
                    <w:r w:rsidRPr="00A0098F">
                      <w:rPr>
                        <w:sz w:val="14"/>
                        <w:szCs w:val="14"/>
                      </w:rPr>
                      <w:t>668,771,619</w:t>
                    </w:r>
                  </w:p>
                </w:tc>
                <w:tc>
                  <w:tcPr>
                    <w:tcW w:w="1376" w:type="dxa"/>
                    <w:vAlign w:val="center"/>
                  </w:tcPr>
                  <w:p w:rsidR="00E70EC0" w:rsidRPr="00A0098F" w:rsidRDefault="00E70EC0" w:rsidP="00E70EC0">
                    <w:pPr>
                      <w:jc w:val="right"/>
                      <w:rPr>
                        <w:sz w:val="14"/>
                        <w:szCs w:val="14"/>
                      </w:rPr>
                    </w:pPr>
                    <w:r w:rsidRPr="00A0098F">
                      <w:rPr>
                        <w:sz w:val="14"/>
                        <w:szCs w:val="14"/>
                      </w:rPr>
                      <w:t>17,587,107,748</w:t>
                    </w:r>
                  </w:p>
                </w:tc>
                <w:tc>
                  <w:tcPr>
                    <w:tcW w:w="1363" w:type="dxa"/>
                    <w:vAlign w:val="center"/>
                  </w:tcPr>
                  <w:p w:rsidR="00E70EC0" w:rsidRPr="00A0098F" w:rsidRDefault="00E70EC0" w:rsidP="00E70EC0">
                    <w:pPr>
                      <w:jc w:val="right"/>
                      <w:rPr>
                        <w:sz w:val="14"/>
                        <w:szCs w:val="14"/>
                      </w:rPr>
                    </w:pPr>
                    <w:r w:rsidRPr="00A0098F">
                      <w:rPr>
                        <w:sz w:val="14"/>
                        <w:szCs w:val="14"/>
                      </w:rPr>
                      <w:t>65,718,906,558</w:t>
                    </w:r>
                  </w:p>
                </w:tc>
                <w:tc>
                  <w:tcPr>
                    <w:tcW w:w="1381" w:type="dxa"/>
                    <w:vAlign w:val="center"/>
                  </w:tcPr>
                  <w:p w:rsidR="00E70EC0" w:rsidRPr="00A0098F" w:rsidRDefault="00E70EC0" w:rsidP="00E70EC0">
                    <w:pPr>
                      <w:jc w:val="right"/>
                      <w:rPr>
                        <w:sz w:val="14"/>
                        <w:szCs w:val="14"/>
                      </w:rPr>
                    </w:pPr>
                    <w:r w:rsidRPr="00A0098F">
                      <w:rPr>
                        <w:sz w:val="14"/>
                        <w:szCs w:val="14"/>
                      </w:rPr>
                      <w:t>125,919,437,500</w:t>
                    </w:r>
                  </w:p>
                </w:tc>
              </w:tr>
              <w:tr w:rsidR="00E70EC0" w:rsidRPr="00A0098F" w:rsidTr="00601D47">
                <w:trPr>
                  <w:trHeight w:val="20"/>
                </w:trPr>
                <w:sdt>
                  <w:sdtPr>
                    <w:rPr>
                      <w:sz w:val="14"/>
                      <w:szCs w:val="14"/>
                    </w:rPr>
                    <w:tag w:val="_PLD_abc6effbbaad4f92a93b112da199425f"/>
                    <w:id w:val="534853348"/>
                    <w:lock w:val="sdtLocked"/>
                  </w:sdtPr>
                  <w:sdtContent>
                    <w:tc>
                      <w:tcPr>
                        <w:tcW w:w="2805" w:type="dxa"/>
                      </w:tcPr>
                      <w:p w:rsidR="00E70EC0" w:rsidRPr="00A0098F" w:rsidRDefault="00E70EC0" w:rsidP="00E70EC0">
                        <w:pPr>
                          <w:rPr>
                            <w:sz w:val="14"/>
                            <w:szCs w:val="14"/>
                          </w:rPr>
                        </w:pPr>
                        <w:r w:rsidRPr="00A0098F">
                          <w:rPr>
                            <w:sz w:val="14"/>
                            <w:szCs w:val="14"/>
                          </w:rPr>
                          <w:t>二、本年</w:t>
                        </w:r>
                        <w:r w:rsidRPr="00A0098F">
                          <w:rPr>
                            <w:rFonts w:hint="eastAsia"/>
                            <w:sz w:val="14"/>
                            <w:szCs w:val="14"/>
                          </w:rPr>
                          <w:t>期</w:t>
                        </w:r>
                        <w:r w:rsidRPr="00A0098F">
                          <w:rPr>
                            <w:sz w:val="14"/>
                            <w:szCs w:val="14"/>
                          </w:rPr>
                          <w:t>初余额</w:t>
                        </w:r>
                      </w:p>
                    </w:tc>
                  </w:sdtContent>
                </w:sdt>
                <w:tc>
                  <w:tcPr>
                    <w:tcW w:w="1431" w:type="dxa"/>
                    <w:tcBorders>
                      <w:right w:val="single" w:sz="4" w:space="0" w:color="auto"/>
                    </w:tcBorders>
                    <w:vAlign w:val="center"/>
                  </w:tcPr>
                  <w:p w:rsidR="00E70EC0" w:rsidRPr="00A0098F" w:rsidRDefault="00E70EC0" w:rsidP="00E70EC0">
                    <w:pPr>
                      <w:jc w:val="right"/>
                      <w:rPr>
                        <w:sz w:val="14"/>
                        <w:szCs w:val="14"/>
                      </w:rPr>
                    </w:pPr>
                    <w:r w:rsidRPr="00A0098F">
                      <w:rPr>
                        <w:sz w:val="14"/>
                        <w:szCs w:val="14"/>
                      </w:rPr>
                      <w:t>14,866,908,025</w:t>
                    </w:r>
                  </w:p>
                </w:tc>
                <w:tc>
                  <w:tcPr>
                    <w:tcW w:w="1445" w:type="dxa"/>
                    <w:tcBorders>
                      <w:left w:val="single" w:sz="4" w:space="0" w:color="auto"/>
                      <w:right w:val="single" w:sz="4" w:space="0" w:color="auto"/>
                    </w:tcBorders>
                    <w:vAlign w:val="center"/>
                  </w:tcPr>
                  <w:p w:rsidR="00E70EC0" w:rsidRPr="00A0098F" w:rsidRDefault="00E70EC0" w:rsidP="00E70EC0">
                    <w:pPr>
                      <w:jc w:val="right"/>
                      <w:rPr>
                        <w:sz w:val="14"/>
                        <w:szCs w:val="14"/>
                      </w:rPr>
                    </w:pPr>
                    <w:r w:rsidRPr="00A0098F">
                      <w:rPr>
                        <w:sz w:val="14"/>
                        <w:szCs w:val="14"/>
                      </w:rPr>
                      <w:t>3,358,254,738</w:t>
                    </w:r>
                  </w:p>
                </w:tc>
                <w:tc>
                  <w:tcPr>
                    <w:tcW w:w="1391" w:type="dxa"/>
                    <w:tcBorders>
                      <w:left w:val="single" w:sz="4" w:space="0" w:color="auto"/>
                    </w:tcBorders>
                    <w:vAlign w:val="center"/>
                  </w:tcPr>
                  <w:p w:rsidR="00E70EC0" w:rsidRPr="00A0098F" w:rsidRDefault="00E70EC0" w:rsidP="00E70EC0">
                    <w:pPr>
                      <w:jc w:val="right"/>
                      <w:rPr>
                        <w:sz w:val="14"/>
                        <w:szCs w:val="14"/>
                      </w:rPr>
                    </w:pPr>
                    <w:r w:rsidRPr="00A0098F">
                      <w:rPr>
                        <w:sz w:val="14"/>
                        <w:szCs w:val="14"/>
                      </w:rPr>
                      <w:t>24,324,651,438</w:t>
                    </w:r>
                  </w:p>
                </w:tc>
                <w:tc>
                  <w:tcPr>
                    <w:tcW w:w="1377" w:type="dxa"/>
                    <w:vAlign w:val="center"/>
                  </w:tcPr>
                  <w:p w:rsidR="00E70EC0" w:rsidRPr="00A0098F" w:rsidRDefault="00E70EC0" w:rsidP="00E70EC0">
                    <w:pPr>
                      <w:jc w:val="right"/>
                      <w:rPr>
                        <w:sz w:val="14"/>
                        <w:szCs w:val="14"/>
                      </w:rPr>
                    </w:pPr>
                    <w:r w:rsidRPr="00A0098F">
                      <w:rPr>
                        <w:sz w:val="14"/>
                        <w:szCs w:val="14"/>
                      </w:rPr>
                      <w:t>-605,162,626</w:t>
                    </w:r>
                  </w:p>
                </w:tc>
                <w:tc>
                  <w:tcPr>
                    <w:tcW w:w="1391" w:type="dxa"/>
                    <w:vAlign w:val="center"/>
                  </w:tcPr>
                  <w:p w:rsidR="00E70EC0" w:rsidRPr="00A0098F" w:rsidRDefault="00E70EC0" w:rsidP="00E70EC0">
                    <w:pPr>
                      <w:jc w:val="right"/>
                      <w:rPr>
                        <w:sz w:val="14"/>
                        <w:szCs w:val="14"/>
                      </w:rPr>
                    </w:pPr>
                    <w:r w:rsidRPr="00A0098F">
                      <w:rPr>
                        <w:sz w:val="14"/>
                        <w:szCs w:val="14"/>
                      </w:rPr>
                      <w:t>668,771,619</w:t>
                    </w:r>
                  </w:p>
                </w:tc>
                <w:tc>
                  <w:tcPr>
                    <w:tcW w:w="1376" w:type="dxa"/>
                    <w:vAlign w:val="center"/>
                  </w:tcPr>
                  <w:p w:rsidR="00E70EC0" w:rsidRPr="00A0098F" w:rsidRDefault="00E70EC0" w:rsidP="00E70EC0">
                    <w:pPr>
                      <w:jc w:val="right"/>
                      <w:rPr>
                        <w:sz w:val="14"/>
                        <w:szCs w:val="14"/>
                      </w:rPr>
                    </w:pPr>
                    <w:r w:rsidRPr="00A0098F">
                      <w:rPr>
                        <w:sz w:val="14"/>
                        <w:szCs w:val="14"/>
                      </w:rPr>
                      <w:t>17,587,107,748</w:t>
                    </w:r>
                  </w:p>
                </w:tc>
                <w:tc>
                  <w:tcPr>
                    <w:tcW w:w="1363" w:type="dxa"/>
                    <w:vAlign w:val="center"/>
                  </w:tcPr>
                  <w:p w:rsidR="00E70EC0" w:rsidRPr="00A0098F" w:rsidRDefault="00E70EC0" w:rsidP="00E70EC0">
                    <w:pPr>
                      <w:jc w:val="right"/>
                      <w:rPr>
                        <w:sz w:val="14"/>
                        <w:szCs w:val="14"/>
                      </w:rPr>
                    </w:pPr>
                    <w:r w:rsidRPr="00A0098F">
                      <w:rPr>
                        <w:sz w:val="14"/>
                        <w:szCs w:val="14"/>
                      </w:rPr>
                      <w:t>65,718,906,558</w:t>
                    </w:r>
                  </w:p>
                </w:tc>
                <w:tc>
                  <w:tcPr>
                    <w:tcW w:w="1381" w:type="dxa"/>
                    <w:vAlign w:val="center"/>
                  </w:tcPr>
                  <w:p w:rsidR="00E70EC0" w:rsidRPr="00A0098F" w:rsidRDefault="00E70EC0" w:rsidP="00E70EC0">
                    <w:pPr>
                      <w:jc w:val="right"/>
                      <w:rPr>
                        <w:sz w:val="14"/>
                        <w:szCs w:val="14"/>
                      </w:rPr>
                    </w:pPr>
                    <w:r w:rsidRPr="00A0098F">
                      <w:rPr>
                        <w:sz w:val="14"/>
                        <w:szCs w:val="14"/>
                      </w:rPr>
                      <w:t>125,919,437,500</w:t>
                    </w:r>
                  </w:p>
                </w:tc>
              </w:tr>
              <w:tr w:rsidR="00E70EC0" w:rsidRPr="00A0098F" w:rsidTr="00601D47">
                <w:trPr>
                  <w:trHeight w:val="20"/>
                </w:trPr>
                <w:sdt>
                  <w:sdtPr>
                    <w:rPr>
                      <w:sz w:val="14"/>
                      <w:szCs w:val="14"/>
                    </w:rPr>
                    <w:tag w:val="_PLD_22eea8f5bd284adbb011ea489737927b"/>
                    <w:id w:val="436332100"/>
                    <w:lock w:val="sdtLocked"/>
                  </w:sdtPr>
                  <w:sdtContent>
                    <w:tc>
                      <w:tcPr>
                        <w:tcW w:w="2805" w:type="dxa"/>
                      </w:tcPr>
                      <w:p w:rsidR="00E70EC0" w:rsidRPr="00A0098F" w:rsidRDefault="00E70EC0" w:rsidP="00E70EC0">
                        <w:pPr>
                          <w:rPr>
                            <w:sz w:val="14"/>
                            <w:szCs w:val="14"/>
                          </w:rPr>
                        </w:pPr>
                        <w:r w:rsidRPr="00A0098F">
                          <w:rPr>
                            <w:sz w:val="14"/>
                            <w:szCs w:val="14"/>
                          </w:rPr>
                          <w:t>三、本</w:t>
                        </w:r>
                        <w:r w:rsidRPr="00A0098F">
                          <w:rPr>
                            <w:rFonts w:hint="eastAsia"/>
                            <w:sz w:val="14"/>
                            <w:szCs w:val="14"/>
                          </w:rPr>
                          <w:t>期</w:t>
                        </w:r>
                        <w:r w:rsidRPr="00A0098F">
                          <w:rPr>
                            <w:sz w:val="14"/>
                            <w:szCs w:val="14"/>
                          </w:rPr>
                          <w:t>增减变动金额（减少以“－”号填列）</w:t>
                        </w:r>
                      </w:p>
                    </w:tc>
                  </w:sdtContent>
                </w:sdt>
                <w:tc>
                  <w:tcPr>
                    <w:tcW w:w="1431" w:type="dxa"/>
                    <w:tcBorders>
                      <w:right w:val="single" w:sz="4" w:space="0" w:color="auto"/>
                    </w:tcBorders>
                    <w:vAlign w:val="center"/>
                  </w:tcPr>
                  <w:p w:rsidR="00E70EC0" w:rsidRPr="00A0098F" w:rsidRDefault="00E70EC0" w:rsidP="00E70EC0">
                    <w:pPr>
                      <w:jc w:val="right"/>
                      <w:rPr>
                        <w:sz w:val="14"/>
                        <w:szCs w:val="14"/>
                      </w:rPr>
                    </w:pPr>
                    <w:r w:rsidRPr="00A0098F">
                      <w:rPr>
                        <w:sz w:val="14"/>
                        <w:szCs w:val="14"/>
                      </w:rPr>
                      <w:t>37,882</w:t>
                    </w:r>
                  </w:p>
                </w:tc>
                <w:tc>
                  <w:tcPr>
                    <w:tcW w:w="1445" w:type="dxa"/>
                    <w:tcBorders>
                      <w:left w:val="single" w:sz="4" w:space="0" w:color="auto"/>
                    </w:tcBorders>
                    <w:vAlign w:val="center"/>
                  </w:tcPr>
                  <w:p w:rsidR="00E70EC0" w:rsidRPr="00A0098F" w:rsidRDefault="00E70EC0" w:rsidP="00E70EC0">
                    <w:pPr>
                      <w:jc w:val="right"/>
                      <w:rPr>
                        <w:sz w:val="14"/>
                        <w:szCs w:val="14"/>
                      </w:rPr>
                    </w:pPr>
                    <w:r w:rsidRPr="00A0098F">
                      <w:rPr>
                        <w:sz w:val="14"/>
                        <w:szCs w:val="14"/>
                      </w:rPr>
                      <w:t>-27,601</w:t>
                    </w:r>
                  </w:p>
                </w:tc>
                <w:tc>
                  <w:tcPr>
                    <w:tcW w:w="1391" w:type="dxa"/>
                    <w:vAlign w:val="center"/>
                  </w:tcPr>
                  <w:p w:rsidR="00E70EC0" w:rsidRPr="00A0098F" w:rsidRDefault="00E70EC0" w:rsidP="00E70EC0">
                    <w:pPr>
                      <w:jc w:val="right"/>
                      <w:rPr>
                        <w:sz w:val="14"/>
                        <w:szCs w:val="14"/>
                      </w:rPr>
                    </w:pPr>
                    <w:r w:rsidRPr="00A0098F">
                      <w:rPr>
                        <w:sz w:val="14"/>
                        <w:szCs w:val="14"/>
                      </w:rPr>
                      <w:t>3,725,182</w:t>
                    </w:r>
                  </w:p>
                </w:tc>
                <w:tc>
                  <w:tcPr>
                    <w:tcW w:w="1377" w:type="dxa"/>
                    <w:vAlign w:val="center"/>
                  </w:tcPr>
                  <w:p w:rsidR="00E70EC0" w:rsidRPr="00A0098F" w:rsidRDefault="00E70EC0" w:rsidP="00E70EC0">
                    <w:pPr>
                      <w:jc w:val="right"/>
                      <w:rPr>
                        <w:sz w:val="14"/>
                        <w:szCs w:val="14"/>
                      </w:rPr>
                    </w:pPr>
                    <w:r w:rsidRPr="00A0098F">
                      <w:rPr>
                        <w:sz w:val="14"/>
                        <w:szCs w:val="14"/>
                      </w:rPr>
                      <w:t>-93,092,001</w:t>
                    </w:r>
                  </w:p>
                </w:tc>
                <w:tc>
                  <w:tcPr>
                    <w:tcW w:w="1391" w:type="dxa"/>
                    <w:vAlign w:val="center"/>
                  </w:tcPr>
                  <w:p w:rsidR="00E70EC0" w:rsidRPr="00A0098F" w:rsidRDefault="00E70EC0" w:rsidP="00E70EC0">
                    <w:pPr>
                      <w:jc w:val="right"/>
                      <w:rPr>
                        <w:sz w:val="14"/>
                        <w:szCs w:val="14"/>
                      </w:rPr>
                    </w:pPr>
                    <w:r w:rsidRPr="00A0098F">
                      <w:rPr>
                        <w:sz w:val="14"/>
                        <w:szCs w:val="14"/>
                      </w:rPr>
                      <w:t>18,945,346</w:t>
                    </w:r>
                  </w:p>
                </w:tc>
                <w:tc>
                  <w:tcPr>
                    <w:tcW w:w="1376" w:type="dxa"/>
                    <w:vAlign w:val="center"/>
                  </w:tcPr>
                  <w:p w:rsidR="00E70EC0" w:rsidRPr="00A0098F" w:rsidRDefault="00E70EC0" w:rsidP="00E70EC0">
                    <w:pPr>
                      <w:jc w:val="right"/>
                      <w:rPr>
                        <w:sz w:val="14"/>
                        <w:szCs w:val="14"/>
                      </w:rPr>
                    </w:pPr>
                    <w:r w:rsidRPr="00A0098F">
                      <w:rPr>
                        <w:sz w:val="14"/>
                        <w:szCs w:val="14"/>
                      </w:rPr>
                      <w:t>1,090,644,564</w:t>
                    </w:r>
                  </w:p>
                </w:tc>
                <w:tc>
                  <w:tcPr>
                    <w:tcW w:w="1363" w:type="dxa"/>
                    <w:vAlign w:val="center"/>
                  </w:tcPr>
                  <w:p w:rsidR="00E70EC0" w:rsidRPr="00A0098F" w:rsidRDefault="00E70EC0" w:rsidP="00E70EC0">
                    <w:pPr>
                      <w:jc w:val="right"/>
                      <w:rPr>
                        <w:sz w:val="14"/>
                        <w:szCs w:val="14"/>
                      </w:rPr>
                    </w:pPr>
                    <w:r w:rsidRPr="00A0098F">
                      <w:rPr>
                        <w:sz w:val="14"/>
                        <w:szCs w:val="14"/>
                      </w:rPr>
                      <w:t>2,537,661,311</w:t>
                    </w:r>
                  </w:p>
                </w:tc>
                <w:tc>
                  <w:tcPr>
                    <w:tcW w:w="1381" w:type="dxa"/>
                    <w:vAlign w:val="center"/>
                  </w:tcPr>
                  <w:p w:rsidR="00E70EC0" w:rsidRPr="00A0098F" w:rsidRDefault="00E70EC0" w:rsidP="00E70EC0">
                    <w:pPr>
                      <w:jc w:val="right"/>
                      <w:rPr>
                        <w:sz w:val="14"/>
                        <w:szCs w:val="14"/>
                      </w:rPr>
                    </w:pPr>
                    <w:r w:rsidRPr="00A0098F">
                      <w:rPr>
                        <w:sz w:val="14"/>
                        <w:szCs w:val="14"/>
                      </w:rPr>
                      <w:t>3,557,894,683</w:t>
                    </w:r>
                  </w:p>
                </w:tc>
              </w:tr>
              <w:tr w:rsidR="00E70EC0" w:rsidRPr="00A0098F" w:rsidTr="00601D47">
                <w:trPr>
                  <w:trHeight w:val="20"/>
                </w:trPr>
                <w:sdt>
                  <w:sdtPr>
                    <w:rPr>
                      <w:sz w:val="14"/>
                      <w:szCs w:val="14"/>
                    </w:rPr>
                    <w:tag w:val="_PLD_16bc7260292e4c19ad140bdfdf1ee46c"/>
                    <w:id w:val="958534467"/>
                    <w:lock w:val="sdtLocked"/>
                  </w:sdtPr>
                  <w:sdtContent>
                    <w:tc>
                      <w:tcPr>
                        <w:tcW w:w="2805" w:type="dxa"/>
                      </w:tcPr>
                      <w:p w:rsidR="00E70EC0" w:rsidRPr="00A0098F" w:rsidRDefault="00E70EC0" w:rsidP="00E70EC0">
                        <w:pPr>
                          <w:rPr>
                            <w:sz w:val="14"/>
                            <w:szCs w:val="14"/>
                          </w:rPr>
                        </w:pPr>
                        <w:r w:rsidRPr="00A0098F">
                          <w:rPr>
                            <w:rFonts w:hint="eastAsia"/>
                            <w:sz w:val="14"/>
                            <w:szCs w:val="14"/>
                          </w:rPr>
                          <w:t>（一）综合收益总额</w:t>
                        </w:r>
                      </w:p>
                    </w:tc>
                  </w:sdtContent>
                </w:sdt>
                <w:tc>
                  <w:tcPr>
                    <w:tcW w:w="1431" w:type="dxa"/>
                    <w:tcBorders>
                      <w:right w:val="single" w:sz="4" w:space="0" w:color="auto"/>
                    </w:tcBorders>
                    <w:vAlign w:val="center"/>
                  </w:tcPr>
                  <w:p w:rsidR="00E70EC0" w:rsidRPr="00A0098F" w:rsidRDefault="00E70EC0" w:rsidP="00E70EC0">
                    <w:pPr>
                      <w:jc w:val="right"/>
                      <w:rPr>
                        <w:sz w:val="14"/>
                        <w:szCs w:val="14"/>
                      </w:rPr>
                    </w:pPr>
                    <w:r w:rsidRPr="00A0098F">
                      <w:rPr>
                        <w:sz w:val="14"/>
                        <w:szCs w:val="14"/>
                      </w:rPr>
                      <w:t>0</w:t>
                    </w:r>
                  </w:p>
                </w:tc>
                <w:tc>
                  <w:tcPr>
                    <w:tcW w:w="1445" w:type="dxa"/>
                    <w:tcBorders>
                      <w:left w:val="single" w:sz="4" w:space="0" w:color="auto"/>
                    </w:tcBorders>
                    <w:vAlign w:val="center"/>
                  </w:tcPr>
                  <w:p w:rsidR="00E70EC0" w:rsidRPr="00A0098F" w:rsidRDefault="00E70EC0" w:rsidP="00E70EC0">
                    <w:pPr>
                      <w:jc w:val="right"/>
                      <w:rPr>
                        <w:sz w:val="14"/>
                        <w:szCs w:val="14"/>
                      </w:rPr>
                    </w:pPr>
                    <w:r w:rsidRPr="00A0098F">
                      <w:rPr>
                        <w:sz w:val="14"/>
                        <w:szCs w:val="14"/>
                      </w:rPr>
                      <w:t>0</w:t>
                    </w:r>
                  </w:p>
                </w:tc>
                <w:tc>
                  <w:tcPr>
                    <w:tcW w:w="1391" w:type="dxa"/>
                    <w:vAlign w:val="center"/>
                  </w:tcPr>
                  <w:p w:rsidR="00E70EC0" w:rsidRPr="00A0098F" w:rsidRDefault="00E70EC0" w:rsidP="00E70EC0">
                    <w:pPr>
                      <w:jc w:val="right"/>
                      <w:rPr>
                        <w:sz w:val="14"/>
                        <w:szCs w:val="14"/>
                      </w:rPr>
                    </w:pPr>
                    <w:r w:rsidRPr="00A0098F">
                      <w:rPr>
                        <w:sz w:val="14"/>
                        <w:szCs w:val="14"/>
                      </w:rPr>
                      <w:t>0</w:t>
                    </w:r>
                  </w:p>
                </w:tc>
                <w:tc>
                  <w:tcPr>
                    <w:tcW w:w="1377" w:type="dxa"/>
                    <w:vAlign w:val="center"/>
                  </w:tcPr>
                  <w:p w:rsidR="00E70EC0" w:rsidRPr="00A0098F" w:rsidRDefault="00E70EC0" w:rsidP="00E70EC0">
                    <w:pPr>
                      <w:jc w:val="right"/>
                      <w:rPr>
                        <w:sz w:val="14"/>
                        <w:szCs w:val="14"/>
                      </w:rPr>
                    </w:pPr>
                    <w:r w:rsidRPr="00A0098F">
                      <w:rPr>
                        <w:sz w:val="14"/>
                        <w:szCs w:val="14"/>
                      </w:rPr>
                      <w:t>-93,092,001</w:t>
                    </w:r>
                  </w:p>
                </w:tc>
                <w:tc>
                  <w:tcPr>
                    <w:tcW w:w="1391" w:type="dxa"/>
                    <w:vAlign w:val="center"/>
                  </w:tcPr>
                  <w:p w:rsidR="00E70EC0" w:rsidRPr="00A0098F" w:rsidRDefault="00E70EC0" w:rsidP="00E70EC0">
                    <w:pPr>
                      <w:jc w:val="right"/>
                      <w:rPr>
                        <w:sz w:val="14"/>
                        <w:szCs w:val="14"/>
                      </w:rPr>
                    </w:pPr>
                    <w:r w:rsidRPr="00A0098F">
                      <w:rPr>
                        <w:sz w:val="14"/>
                        <w:szCs w:val="14"/>
                      </w:rPr>
                      <w:t>0</w:t>
                    </w:r>
                  </w:p>
                </w:tc>
                <w:tc>
                  <w:tcPr>
                    <w:tcW w:w="1376" w:type="dxa"/>
                    <w:vAlign w:val="center"/>
                  </w:tcPr>
                  <w:p w:rsidR="00E70EC0" w:rsidRPr="00A0098F" w:rsidRDefault="00E70EC0" w:rsidP="00E70EC0">
                    <w:pPr>
                      <w:jc w:val="right"/>
                      <w:rPr>
                        <w:sz w:val="14"/>
                        <w:szCs w:val="14"/>
                      </w:rPr>
                    </w:pPr>
                    <w:r w:rsidRPr="00A0098F">
                      <w:rPr>
                        <w:sz w:val="14"/>
                        <w:szCs w:val="14"/>
                      </w:rPr>
                      <w:t>0</w:t>
                    </w:r>
                  </w:p>
                </w:tc>
                <w:tc>
                  <w:tcPr>
                    <w:tcW w:w="1363" w:type="dxa"/>
                    <w:vAlign w:val="center"/>
                  </w:tcPr>
                  <w:p w:rsidR="00E70EC0" w:rsidRPr="00A0098F" w:rsidRDefault="00E70EC0" w:rsidP="00E70EC0">
                    <w:pPr>
                      <w:jc w:val="right"/>
                      <w:rPr>
                        <w:sz w:val="14"/>
                        <w:szCs w:val="14"/>
                      </w:rPr>
                    </w:pPr>
                    <w:r w:rsidRPr="00A0098F">
                      <w:rPr>
                        <w:sz w:val="14"/>
                        <w:szCs w:val="14"/>
                      </w:rPr>
                      <w:t>10,906,455,851</w:t>
                    </w:r>
                  </w:p>
                </w:tc>
                <w:tc>
                  <w:tcPr>
                    <w:tcW w:w="1381" w:type="dxa"/>
                    <w:vAlign w:val="center"/>
                  </w:tcPr>
                  <w:p w:rsidR="00E70EC0" w:rsidRPr="00A0098F" w:rsidRDefault="00E70EC0" w:rsidP="00E70EC0">
                    <w:pPr>
                      <w:jc w:val="right"/>
                      <w:rPr>
                        <w:sz w:val="14"/>
                        <w:szCs w:val="14"/>
                      </w:rPr>
                    </w:pPr>
                    <w:r w:rsidRPr="00A0098F">
                      <w:rPr>
                        <w:sz w:val="14"/>
                        <w:szCs w:val="14"/>
                      </w:rPr>
                      <w:t>10,813,363,850</w:t>
                    </w:r>
                  </w:p>
                </w:tc>
              </w:tr>
              <w:tr w:rsidR="00E70EC0" w:rsidRPr="00A0098F" w:rsidTr="00601D47">
                <w:trPr>
                  <w:trHeight w:val="20"/>
                </w:trPr>
                <w:sdt>
                  <w:sdtPr>
                    <w:rPr>
                      <w:sz w:val="14"/>
                      <w:szCs w:val="14"/>
                    </w:rPr>
                    <w:tag w:val="_PLD_878006a38fe64d8788706ec54fa4a47b"/>
                    <w:id w:val="922377005"/>
                    <w:lock w:val="sdtLocked"/>
                  </w:sdtPr>
                  <w:sdtContent>
                    <w:tc>
                      <w:tcPr>
                        <w:tcW w:w="2805" w:type="dxa"/>
                      </w:tcPr>
                      <w:p w:rsidR="00E70EC0" w:rsidRPr="00A0098F" w:rsidRDefault="00E70EC0" w:rsidP="00E70EC0">
                        <w:pPr>
                          <w:rPr>
                            <w:sz w:val="14"/>
                            <w:szCs w:val="14"/>
                          </w:rPr>
                        </w:pPr>
                        <w:r w:rsidRPr="00A0098F">
                          <w:rPr>
                            <w:sz w:val="14"/>
                            <w:szCs w:val="14"/>
                          </w:rPr>
                          <w:t>（</w:t>
                        </w:r>
                        <w:r w:rsidRPr="00A0098F">
                          <w:rPr>
                            <w:rFonts w:hint="eastAsia"/>
                            <w:sz w:val="14"/>
                            <w:szCs w:val="14"/>
                          </w:rPr>
                          <w:t>二</w:t>
                        </w:r>
                        <w:r w:rsidRPr="00A0098F">
                          <w:rPr>
                            <w:sz w:val="14"/>
                            <w:szCs w:val="14"/>
                          </w:rPr>
                          <w:t>）所有者投入和减少资本</w:t>
                        </w:r>
                      </w:p>
                    </w:tc>
                  </w:sdtContent>
                </w:sdt>
                <w:tc>
                  <w:tcPr>
                    <w:tcW w:w="1431" w:type="dxa"/>
                    <w:tcBorders>
                      <w:right w:val="single" w:sz="4" w:space="0" w:color="auto"/>
                    </w:tcBorders>
                    <w:vAlign w:val="center"/>
                  </w:tcPr>
                  <w:p w:rsidR="00E70EC0" w:rsidRPr="00A0098F" w:rsidRDefault="00E70EC0" w:rsidP="00E70EC0">
                    <w:pPr>
                      <w:jc w:val="right"/>
                      <w:rPr>
                        <w:sz w:val="14"/>
                        <w:szCs w:val="14"/>
                      </w:rPr>
                    </w:pPr>
                    <w:r w:rsidRPr="00A0098F">
                      <w:rPr>
                        <w:sz w:val="14"/>
                        <w:szCs w:val="14"/>
                      </w:rPr>
                      <w:t>37,882</w:t>
                    </w:r>
                  </w:p>
                </w:tc>
                <w:tc>
                  <w:tcPr>
                    <w:tcW w:w="1445" w:type="dxa"/>
                    <w:tcBorders>
                      <w:left w:val="single" w:sz="4" w:space="0" w:color="auto"/>
                    </w:tcBorders>
                    <w:vAlign w:val="center"/>
                  </w:tcPr>
                  <w:p w:rsidR="00E70EC0" w:rsidRPr="00A0098F" w:rsidRDefault="00E70EC0" w:rsidP="00E70EC0">
                    <w:pPr>
                      <w:jc w:val="right"/>
                      <w:rPr>
                        <w:sz w:val="14"/>
                        <w:szCs w:val="14"/>
                      </w:rPr>
                    </w:pPr>
                    <w:r w:rsidRPr="00A0098F">
                      <w:rPr>
                        <w:sz w:val="14"/>
                        <w:szCs w:val="14"/>
                      </w:rPr>
                      <w:t>-27,601</w:t>
                    </w:r>
                  </w:p>
                </w:tc>
                <w:tc>
                  <w:tcPr>
                    <w:tcW w:w="1391" w:type="dxa"/>
                    <w:vAlign w:val="center"/>
                  </w:tcPr>
                  <w:p w:rsidR="00E70EC0" w:rsidRPr="00A0098F" w:rsidRDefault="00E70EC0" w:rsidP="00E70EC0">
                    <w:pPr>
                      <w:jc w:val="right"/>
                      <w:rPr>
                        <w:sz w:val="14"/>
                        <w:szCs w:val="14"/>
                      </w:rPr>
                    </w:pPr>
                    <w:r w:rsidRPr="00A0098F">
                      <w:rPr>
                        <w:sz w:val="14"/>
                        <w:szCs w:val="14"/>
                      </w:rPr>
                      <w:t>236,727</w:t>
                    </w:r>
                  </w:p>
                </w:tc>
                <w:tc>
                  <w:tcPr>
                    <w:tcW w:w="1377" w:type="dxa"/>
                    <w:vAlign w:val="center"/>
                  </w:tcPr>
                  <w:p w:rsidR="00E70EC0" w:rsidRPr="00A0098F" w:rsidRDefault="00E70EC0" w:rsidP="00E70EC0">
                    <w:pPr>
                      <w:jc w:val="right"/>
                      <w:rPr>
                        <w:sz w:val="14"/>
                        <w:szCs w:val="14"/>
                      </w:rPr>
                    </w:pPr>
                    <w:r w:rsidRPr="00A0098F">
                      <w:rPr>
                        <w:sz w:val="14"/>
                        <w:szCs w:val="14"/>
                      </w:rPr>
                      <w:t>0</w:t>
                    </w:r>
                  </w:p>
                </w:tc>
                <w:tc>
                  <w:tcPr>
                    <w:tcW w:w="1391" w:type="dxa"/>
                    <w:vAlign w:val="center"/>
                  </w:tcPr>
                  <w:p w:rsidR="00E70EC0" w:rsidRPr="00A0098F" w:rsidRDefault="00E70EC0" w:rsidP="00E70EC0">
                    <w:pPr>
                      <w:jc w:val="right"/>
                      <w:rPr>
                        <w:sz w:val="14"/>
                        <w:szCs w:val="14"/>
                      </w:rPr>
                    </w:pPr>
                    <w:r w:rsidRPr="00A0098F">
                      <w:rPr>
                        <w:sz w:val="14"/>
                        <w:szCs w:val="14"/>
                      </w:rPr>
                      <w:t>0</w:t>
                    </w:r>
                  </w:p>
                </w:tc>
                <w:tc>
                  <w:tcPr>
                    <w:tcW w:w="1376" w:type="dxa"/>
                    <w:vAlign w:val="center"/>
                  </w:tcPr>
                  <w:p w:rsidR="00E70EC0" w:rsidRPr="00A0098F" w:rsidRDefault="00E70EC0" w:rsidP="00E70EC0">
                    <w:pPr>
                      <w:jc w:val="right"/>
                      <w:rPr>
                        <w:sz w:val="14"/>
                        <w:szCs w:val="14"/>
                      </w:rPr>
                    </w:pPr>
                    <w:r w:rsidRPr="00A0098F">
                      <w:rPr>
                        <w:sz w:val="14"/>
                        <w:szCs w:val="14"/>
                      </w:rPr>
                      <w:t>0</w:t>
                    </w:r>
                  </w:p>
                </w:tc>
                <w:tc>
                  <w:tcPr>
                    <w:tcW w:w="1363" w:type="dxa"/>
                    <w:vAlign w:val="center"/>
                  </w:tcPr>
                  <w:p w:rsidR="00E70EC0" w:rsidRPr="00A0098F" w:rsidRDefault="00E70EC0" w:rsidP="00E70EC0">
                    <w:pPr>
                      <w:jc w:val="right"/>
                      <w:rPr>
                        <w:sz w:val="14"/>
                        <w:szCs w:val="14"/>
                      </w:rPr>
                    </w:pPr>
                    <w:r w:rsidRPr="00A0098F">
                      <w:rPr>
                        <w:sz w:val="14"/>
                        <w:szCs w:val="14"/>
                      </w:rPr>
                      <w:t>0</w:t>
                    </w:r>
                  </w:p>
                </w:tc>
                <w:tc>
                  <w:tcPr>
                    <w:tcW w:w="1381" w:type="dxa"/>
                    <w:vAlign w:val="center"/>
                  </w:tcPr>
                  <w:p w:rsidR="00E70EC0" w:rsidRPr="00A0098F" w:rsidRDefault="00E70EC0" w:rsidP="00E70EC0">
                    <w:pPr>
                      <w:jc w:val="right"/>
                      <w:rPr>
                        <w:sz w:val="14"/>
                        <w:szCs w:val="14"/>
                      </w:rPr>
                    </w:pPr>
                    <w:r w:rsidRPr="00A0098F">
                      <w:rPr>
                        <w:sz w:val="14"/>
                        <w:szCs w:val="14"/>
                      </w:rPr>
                      <w:t>247,008</w:t>
                    </w:r>
                  </w:p>
                </w:tc>
              </w:tr>
              <w:tr w:rsidR="000871F7" w:rsidRPr="00A0098F" w:rsidTr="00601D47">
                <w:trPr>
                  <w:trHeight w:val="20"/>
                </w:trPr>
                <w:sdt>
                  <w:sdtPr>
                    <w:rPr>
                      <w:sz w:val="14"/>
                      <w:szCs w:val="14"/>
                    </w:rPr>
                    <w:tag w:val="_PLD_87b7ce2356df4876b71161948845f6e6"/>
                    <w:id w:val="354555968"/>
                    <w:lock w:val="sdtLocked"/>
                  </w:sdtPr>
                  <w:sdtContent>
                    <w:tc>
                      <w:tcPr>
                        <w:tcW w:w="2805" w:type="dxa"/>
                      </w:tcPr>
                      <w:p w:rsidR="000871F7" w:rsidRPr="00A0098F" w:rsidRDefault="000871F7" w:rsidP="000871F7">
                        <w:pPr>
                          <w:rPr>
                            <w:sz w:val="14"/>
                            <w:szCs w:val="14"/>
                          </w:rPr>
                        </w:pPr>
                        <w:r w:rsidRPr="00A0098F">
                          <w:rPr>
                            <w:rFonts w:hint="eastAsia"/>
                            <w:sz w:val="14"/>
                            <w:szCs w:val="14"/>
                          </w:rPr>
                          <w:t>1．所有者投入的普通股</w:t>
                        </w:r>
                      </w:p>
                    </w:tc>
                  </w:sdtContent>
                </w:sdt>
                <w:tc>
                  <w:tcPr>
                    <w:tcW w:w="1431" w:type="dxa"/>
                    <w:tcBorders>
                      <w:right w:val="single" w:sz="4" w:space="0" w:color="auto"/>
                    </w:tcBorders>
                    <w:vAlign w:val="center"/>
                  </w:tcPr>
                  <w:p w:rsidR="000871F7" w:rsidRPr="000871F7" w:rsidRDefault="000871F7" w:rsidP="000871F7">
                    <w:pPr>
                      <w:jc w:val="right"/>
                      <w:rPr>
                        <w:sz w:val="14"/>
                        <w:szCs w:val="14"/>
                      </w:rPr>
                    </w:pPr>
                    <w:r w:rsidRPr="000871F7">
                      <w:rPr>
                        <w:sz w:val="14"/>
                        <w:szCs w:val="14"/>
                      </w:rPr>
                      <w:t>0</w:t>
                    </w:r>
                  </w:p>
                </w:tc>
                <w:tc>
                  <w:tcPr>
                    <w:tcW w:w="1445" w:type="dxa"/>
                    <w:tcBorders>
                      <w:left w:val="single" w:sz="4" w:space="0" w:color="auto"/>
                    </w:tcBorders>
                    <w:vAlign w:val="center"/>
                  </w:tcPr>
                  <w:p w:rsidR="000871F7" w:rsidRPr="000871F7" w:rsidRDefault="000871F7" w:rsidP="000871F7">
                    <w:pPr>
                      <w:jc w:val="right"/>
                      <w:rPr>
                        <w:sz w:val="14"/>
                        <w:szCs w:val="14"/>
                      </w:rPr>
                    </w:pPr>
                    <w:r w:rsidRPr="000871F7">
                      <w:rPr>
                        <w:sz w:val="14"/>
                        <w:szCs w:val="14"/>
                      </w:rPr>
                      <w:t>0</w:t>
                    </w:r>
                  </w:p>
                </w:tc>
                <w:tc>
                  <w:tcPr>
                    <w:tcW w:w="1391" w:type="dxa"/>
                    <w:vAlign w:val="center"/>
                  </w:tcPr>
                  <w:p w:rsidR="000871F7" w:rsidRPr="000871F7" w:rsidRDefault="000871F7" w:rsidP="000871F7">
                    <w:pPr>
                      <w:jc w:val="right"/>
                      <w:rPr>
                        <w:sz w:val="14"/>
                        <w:szCs w:val="14"/>
                      </w:rPr>
                    </w:pPr>
                    <w:r w:rsidRPr="000871F7">
                      <w:rPr>
                        <w:sz w:val="14"/>
                        <w:szCs w:val="14"/>
                      </w:rPr>
                      <w:t>0</w:t>
                    </w:r>
                  </w:p>
                </w:tc>
                <w:tc>
                  <w:tcPr>
                    <w:tcW w:w="1377" w:type="dxa"/>
                    <w:vAlign w:val="center"/>
                  </w:tcPr>
                  <w:p w:rsidR="000871F7" w:rsidRPr="000871F7" w:rsidRDefault="000871F7" w:rsidP="000871F7">
                    <w:pPr>
                      <w:jc w:val="right"/>
                      <w:rPr>
                        <w:sz w:val="14"/>
                        <w:szCs w:val="14"/>
                      </w:rPr>
                    </w:pPr>
                    <w:r w:rsidRPr="000871F7">
                      <w:rPr>
                        <w:sz w:val="14"/>
                        <w:szCs w:val="14"/>
                      </w:rPr>
                      <w:t>0</w:t>
                    </w:r>
                  </w:p>
                </w:tc>
                <w:tc>
                  <w:tcPr>
                    <w:tcW w:w="1391" w:type="dxa"/>
                    <w:vAlign w:val="center"/>
                  </w:tcPr>
                  <w:p w:rsidR="000871F7" w:rsidRPr="000871F7" w:rsidRDefault="000871F7" w:rsidP="000871F7">
                    <w:pPr>
                      <w:jc w:val="right"/>
                      <w:rPr>
                        <w:sz w:val="14"/>
                        <w:szCs w:val="14"/>
                      </w:rPr>
                    </w:pPr>
                    <w:r w:rsidRPr="000871F7">
                      <w:rPr>
                        <w:sz w:val="14"/>
                        <w:szCs w:val="14"/>
                      </w:rPr>
                      <w:t>0</w:t>
                    </w:r>
                  </w:p>
                </w:tc>
                <w:tc>
                  <w:tcPr>
                    <w:tcW w:w="1376" w:type="dxa"/>
                    <w:vAlign w:val="center"/>
                  </w:tcPr>
                  <w:p w:rsidR="000871F7" w:rsidRPr="000871F7" w:rsidRDefault="000871F7" w:rsidP="000871F7">
                    <w:pPr>
                      <w:jc w:val="right"/>
                      <w:rPr>
                        <w:sz w:val="14"/>
                        <w:szCs w:val="14"/>
                      </w:rPr>
                    </w:pPr>
                    <w:r w:rsidRPr="000871F7">
                      <w:rPr>
                        <w:sz w:val="14"/>
                        <w:szCs w:val="14"/>
                      </w:rPr>
                      <w:t>0</w:t>
                    </w:r>
                  </w:p>
                </w:tc>
                <w:tc>
                  <w:tcPr>
                    <w:tcW w:w="1363" w:type="dxa"/>
                    <w:vAlign w:val="center"/>
                  </w:tcPr>
                  <w:p w:rsidR="000871F7" w:rsidRPr="000871F7" w:rsidRDefault="000871F7" w:rsidP="000871F7">
                    <w:pPr>
                      <w:jc w:val="right"/>
                      <w:rPr>
                        <w:sz w:val="14"/>
                        <w:szCs w:val="14"/>
                      </w:rPr>
                    </w:pPr>
                    <w:r w:rsidRPr="000871F7">
                      <w:rPr>
                        <w:sz w:val="14"/>
                        <w:szCs w:val="14"/>
                      </w:rPr>
                      <w:t>0</w:t>
                    </w:r>
                  </w:p>
                </w:tc>
                <w:tc>
                  <w:tcPr>
                    <w:tcW w:w="1381" w:type="dxa"/>
                    <w:vAlign w:val="center"/>
                  </w:tcPr>
                  <w:p w:rsidR="000871F7" w:rsidRPr="000871F7" w:rsidRDefault="000871F7" w:rsidP="000871F7">
                    <w:pPr>
                      <w:jc w:val="right"/>
                      <w:rPr>
                        <w:sz w:val="14"/>
                        <w:szCs w:val="14"/>
                      </w:rPr>
                    </w:pPr>
                    <w:r w:rsidRPr="000871F7">
                      <w:rPr>
                        <w:sz w:val="14"/>
                        <w:szCs w:val="14"/>
                      </w:rPr>
                      <w:t>0</w:t>
                    </w:r>
                  </w:p>
                </w:tc>
              </w:tr>
              <w:tr w:rsidR="000871F7" w:rsidRPr="000871F7" w:rsidTr="00601D47">
                <w:trPr>
                  <w:trHeight w:val="20"/>
                </w:trPr>
                <w:sdt>
                  <w:sdtPr>
                    <w:rPr>
                      <w:sz w:val="14"/>
                      <w:szCs w:val="14"/>
                    </w:rPr>
                    <w:tag w:val="_PLD_364b722055ed48639a8a73b5223e270d"/>
                    <w:id w:val="-1697689005"/>
                    <w:lock w:val="sdtLocked"/>
                  </w:sdtPr>
                  <w:sdtContent>
                    <w:tc>
                      <w:tcPr>
                        <w:tcW w:w="2805" w:type="dxa"/>
                      </w:tcPr>
                      <w:p w:rsidR="000871F7" w:rsidRPr="00A0098F" w:rsidRDefault="000871F7" w:rsidP="000871F7">
                        <w:pPr>
                          <w:rPr>
                            <w:sz w:val="14"/>
                            <w:szCs w:val="14"/>
                          </w:rPr>
                        </w:pPr>
                        <w:r w:rsidRPr="00A0098F">
                          <w:rPr>
                            <w:rFonts w:hint="eastAsia"/>
                            <w:sz w:val="14"/>
                            <w:szCs w:val="14"/>
                          </w:rPr>
                          <w:t>2．其他权益工具持有者投入资本</w:t>
                        </w:r>
                      </w:p>
                    </w:tc>
                  </w:sdtContent>
                </w:sdt>
                <w:tc>
                  <w:tcPr>
                    <w:tcW w:w="1431" w:type="dxa"/>
                    <w:tcBorders>
                      <w:right w:val="single" w:sz="4" w:space="0" w:color="auto"/>
                    </w:tcBorders>
                    <w:vAlign w:val="center"/>
                  </w:tcPr>
                  <w:p w:rsidR="000871F7" w:rsidRPr="000871F7" w:rsidRDefault="000871F7" w:rsidP="000871F7">
                    <w:pPr>
                      <w:jc w:val="right"/>
                      <w:rPr>
                        <w:sz w:val="14"/>
                        <w:szCs w:val="14"/>
                      </w:rPr>
                    </w:pPr>
                    <w:r w:rsidRPr="000871F7">
                      <w:rPr>
                        <w:sz w:val="14"/>
                        <w:szCs w:val="14"/>
                      </w:rPr>
                      <w:t>37,882</w:t>
                    </w:r>
                  </w:p>
                </w:tc>
                <w:tc>
                  <w:tcPr>
                    <w:tcW w:w="1445" w:type="dxa"/>
                    <w:tcBorders>
                      <w:left w:val="single" w:sz="4" w:space="0" w:color="auto"/>
                    </w:tcBorders>
                    <w:vAlign w:val="center"/>
                  </w:tcPr>
                  <w:p w:rsidR="000871F7" w:rsidRPr="000871F7" w:rsidRDefault="000871F7" w:rsidP="000871F7">
                    <w:pPr>
                      <w:jc w:val="right"/>
                      <w:rPr>
                        <w:sz w:val="14"/>
                        <w:szCs w:val="14"/>
                      </w:rPr>
                    </w:pPr>
                    <w:r w:rsidRPr="000871F7">
                      <w:rPr>
                        <w:sz w:val="14"/>
                        <w:szCs w:val="14"/>
                      </w:rPr>
                      <w:t>-27,601</w:t>
                    </w:r>
                  </w:p>
                </w:tc>
                <w:tc>
                  <w:tcPr>
                    <w:tcW w:w="1391" w:type="dxa"/>
                    <w:vAlign w:val="center"/>
                  </w:tcPr>
                  <w:p w:rsidR="000871F7" w:rsidRPr="000871F7" w:rsidRDefault="000871F7" w:rsidP="000871F7">
                    <w:pPr>
                      <w:jc w:val="right"/>
                      <w:rPr>
                        <w:sz w:val="14"/>
                        <w:szCs w:val="14"/>
                      </w:rPr>
                    </w:pPr>
                    <w:r w:rsidRPr="000871F7">
                      <w:rPr>
                        <w:sz w:val="14"/>
                        <w:szCs w:val="14"/>
                      </w:rPr>
                      <w:t>236,727</w:t>
                    </w:r>
                  </w:p>
                </w:tc>
                <w:tc>
                  <w:tcPr>
                    <w:tcW w:w="1377" w:type="dxa"/>
                    <w:vAlign w:val="center"/>
                  </w:tcPr>
                  <w:p w:rsidR="000871F7" w:rsidRPr="000871F7" w:rsidRDefault="000871F7" w:rsidP="000871F7">
                    <w:pPr>
                      <w:jc w:val="right"/>
                      <w:rPr>
                        <w:sz w:val="14"/>
                        <w:szCs w:val="14"/>
                      </w:rPr>
                    </w:pPr>
                    <w:r w:rsidRPr="000871F7">
                      <w:rPr>
                        <w:sz w:val="14"/>
                        <w:szCs w:val="14"/>
                      </w:rPr>
                      <w:t>0</w:t>
                    </w:r>
                  </w:p>
                </w:tc>
                <w:tc>
                  <w:tcPr>
                    <w:tcW w:w="1391" w:type="dxa"/>
                    <w:vAlign w:val="center"/>
                  </w:tcPr>
                  <w:p w:rsidR="000871F7" w:rsidRPr="000871F7" w:rsidRDefault="000871F7" w:rsidP="000871F7">
                    <w:pPr>
                      <w:jc w:val="right"/>
                      <w:rPr>
                        <w:sz w:val="14"/>
                        <w:szCs w:val="14"/>
                      </w:rPr>
                    </w:pPr>
                    <w:r w:rsidRPr="000871F7">
                      <w:rPr>
                        <w:sz w:val="14"/>
                        <w:szCs w:val="14"/>
                      </w:rPr>
                      <w:t>0</w:t>
                    </w:r>
                  </w:p>
                </w:tc>
                <w:tc>
                  <w:tcPr>
                    <w:tcW w:w="1376" w:type="dxa"/>
                    <w:vAlign w:val="center"/>
                  </w:tcPr>
                  <w:p w:rsidR="000871F7" w:rsidRPr="000871F7" w:rsidRDefault="000871F7" w:rsidP="000871F7">
                    <w:pPr>
                      <w:jc w:val="right"/>
                      <w:rPr>
                        <w:sz w:val="14"/>
                        <w:szCs w:val="14"/>
                      </w:rPr>
                    </w:pPr>
                    <w:r w:rsidRPr="000871F7">
                      <w:rPr>
                        <w:sz w:val="14"/>
                        <w:szCs w:val="14"/>
                      </w:rPr>
                      <w:t>0</w:t>
                    </w:r>
                  </w:p>
                </w:tc>
                <w:tc>
                  <w:tcPr>
                    <w:tcW w:w="1363" w:type="dxa"/>
                    <w:vAlign w:val="center"/>
                  </w:tcPr>
                  <w:p w:rsidR="000871F7" w:rsidRPr="000871F7" w:rsidRDefault="000871F7" w:rsidP="000871F7">
                    <w:pPr>
                      <w:jc w:val="right"/>
                      <w:rPr>
                        <w:sz w:val="14"/>
                        <w:szCs w:val="14"/>
                      </w:rPr>
                    </w:pPr>
                    <w:r w:rsidRPr="000871F7">
                      <w:rPr>
                        <w:sz w:val="14"/>
                        <w:szCs w:val="14"/>
                      </w:rPr>
                      <w:t>0</w:t>
                    </w:r>
                  </w:p>
                </w:tc>
                <w:tc>
                  <w:tcPr>
                    <w:tcW w:w="1381" w:type="dxa"/>
                    <w:vAlign w:val="center"/>
                  </w:tcPr>
                  <w:p w:rsidR="000871F7" w:rsidRPr="000871F7" w:rsidRDefault="000871F7" w:rsidP="000871F7">
                    <w:pPr>
                      <w:jc w:val="right"/>
                      <w:rPr>
                        <w:sz w:val="14"/>
                        <w:szCs w:val="14"/>
                      </w:rPr>
                    </w:pPr>
                    <w:r w:rsidRPr="000871F7">
                      <w:rPr>
                        <w:sz w:val="14"/>
                        <w:szCs w:val="14"/>
                      </w:rPr>
                      <w:t>247,008</w:t>
                    </w:r>
                  </w:p>
                </w:tc>
              </w:tr>
              <w:tr w:rsidR="000871F7" w:rsidRPr="00A0098F" w:rsidTr="00601D47">
                <w:trPr>
                  <w:trHeight w:val="20"/>
                </w:trPr>
                <w:sdt>
                  <w:sdtPr>
                    <w:rPr>
                      <w:sz w:val="14"/>
                      <w:szCs w:val="14"/>
                    </w:rPr>
                    <w:tag w:val="_PLD_224ee219054e4248b57b186593db85a6"/>
                    <w:id w:val="-1821103187"/>
                    <w:lock w:val="sdtLocked"/>
                  </w:sdtPr>
                  <w:sdtContent>
                    <w:tc>
                      <w:tcPr>
                        <w:tcW w:w="2805" w:type="dxa"/>
                      </w:tcPr>
                      <w:p w:rsidR="000871F7" w:rsidRPr="00A0098F" w:rsidRDefault="000871F7" w:rsidP="000871F7">
                        <w:pPr>
                          <w:rPr>
                            <w:sz w:val="14"/>
                            <w:szCs w:val="14"/>
                          </w:rPr>
                        </w:pPr>
                        <w:r w:rsidRPr="00A0098F">
                          <w:rPr>
                            <w:rFonts w:hint="eastAsia"/>
                            <w:sz w:val="14"/>
                            <w:szCs w:val="14"/>
                          </w:rPr>
                          <w:t>3</w:t>
                        </w:r>
                        <w:r w:rsidRPr="00A0098F">
                          <w:rPr>
                            <w:sz w:val="14"/>
                            <w:szCs w:val="14"/>
                          </w:rPr>
                          <w:t>．股份支付计入所有者权益的金额</w:t>
                        </w:r>
                      </w:p>
                    </w:tc>
                  </w:sdtContent>
                </w:sdt>
                <w:tc>
                  <w:tcPr>
                    <w:tcW w:w="1431" w:type="dxa"/>
                    <w:tcBorders>
                      <w:right w:val="single" w:sz="4" w:space="0" w:color="auto"/>
                    </w:tcBorders>
                    <w:vAlign w:val="center"/>
                  </w:tcPr>
                  <w:p w:rsidR="000871F7" w:rsidRPr="00A0098F" w:rsidRDefault="000871F7" w:rsidP="000871F7">
                    <w:pPr>
                      <w:jc w:val="right"/>
                      <w:rPr>
                        <w:sz w:val="14"/>
                        <w:szCs w:val="14"/>
                      </w:rPr>
                    </w:pPr>
                    <w:r w:rsidRPr="00A0098F">
                      <w:rPr>
                        <w:sz w:val="14"/>
                        <w:szCs w:val="14"/>
                      </w:rPr>
                      <w:t>0</w:t>
                    </w:r>
                  </w:p>
                </w:tc>
                <w:tc>
                  <w:tcPr>
                    <w:tcW w:w="1445" w:type="dxa"/>
                    <w:tcBorders>
                      <w:left w:val="single" w:sz="4" w:space="0" w:color="auto"/>
                    </w:tcBorders>
                    <w:vAlign w:val="center"/>
                  </w:tcPr>
                  <w:p w:rsidR="000871F7" w:rsidRPr="00A0098F" w:rsidRDefault="000871F7" w:rsidP="000871F7">
                    <w:pPr>
                      <w:jc w:val="right"/>
                      <w:rPr>
                        <w:sz w:val="14"/>
                        <w:szCs w:val="14"/>
                      </w:rPr>
                    </w:pPr>
                    <w:r w:rsidRPr="00A0098F">
                      <w:rPr>
                        <w:sz w:val="14"/>
                        <w:szCs w:val="14"/>
                      </w:rPr>
                      <w:t>0</w:t>
                    </w:r>
                  </w:p>
                </w:tc>
                <w:tc>
                  <w:tcPr>
                    <w:tcW w:w="1391" w:type="dxa"/>
                    <w:vAlign w:val="center"/>
                  </w:tcPr>
                  <w:p w:rsidR="000871F7" w:rsidRPr="00A0098F" w:rsidRDefault="000871F7" w:rsidP="000871F7">
                    <w:pPr>
                      <w:jc w:val="right"/>
                      <w:rPr>
                        <w:sz w:val="14"/>
                        <w:szCs w:val="14"/>
                      </w:rPr>
                    </w:pPr>
                    <w:r w:rsidRPr="00A0098F">
                      <w:rPr>
                        <w:sz w:val="14"/>
                        <w:szCs w:val="14"/>
                      </w:rPr>
                      <w:t>0</w:t>
                    </w:r>
                  </w:p>
                </w:tc>
                <w:tc>
                  <w:tcPr>
                    <w:tcW w:w="1377" w:type="dxa"/>
                    <w:vAlign w:val="center"/>
                  </w:tcPr>
                  <w:p w:rsidR="000871F7" w:rsidRPr="00A0098F" w:rsidRDefault="000871F7" w:rsidP="000871F7">
                    <w:pPr>
                      <w:jc w:val="right"/>
                      <w:rPr>
                        <w:sz w:val="14"/>
                        <w:szCs w:val="14"/>
                      </w:rPr>
                    </w:pPr>
                    <w:r w:rsidRPr="00A0098F">
                      <w:rPr>
                        <w:sz w:val="14"/>
                        <w:szCs w:val="14"/>
                      </w:rPr>
                      <w:t>0</w:t>
                    </w:r>
                  </w:p>
                </w:tc>
                <w:tc>
                  <w:tcPr>
                    <w:tcW w:w="1391" w:type="dxa"/>
                    <w:vAlign w:val="center"/>
                  </w:tcPr>
                  <w:p w:rsidR="000871F7" w:rsidRPr="00A0098F" w:rsidRDefault="000871F7" w:rsidP="000871F7">
                    <w:pPr>
                      <w:jc w:val="right"/>
                      <w:rPr>
                        <w:sz w:val="14"/>
                        <w:szCs w:val="14"/>
                      </w:rPr>
                    </w:pPr>
                    <w:r w:rsidRPr="00A0098F">
                      <w:rPr>
                        <w:sz w:val="14"/>
                        <w:szCs w:val="14"/>
                      </w:rPr>
                      <w:t>0</w:t>
                    </w:r>
                  </w:p>
                </w:tc>
                <w:tc>
                  <w:tcPr>
                    <w:tcW w:w="1376" w:type="dxa"/>
                    <w:vAlign w:val="center"/>
                  </w:tcPr>
                  <w:p w:rsidR="000871F7" w:rsidRPr="00A0098F" w:rsidRDefault="000871F7" w:rsidP="000871F7">
                    <w:pPr>
                      <w:jc w:val="right"/>
                      <w:rPr>
                        <w:sz w:val="14"/>
                        <w:szCs w:val="14"/>
                      </w:rPr>
                    </w:pPr>
                    <w:r w:rsidRPr="00A0098F">
                      <w:rPr>
                        <w:sz w:val="14"/>
                        <w:szCs w:val="14"/>
                      </w:rPr>
                      <w:t>0</w:t>
                    </w:r>
                  </w:p>
                </w:tc>
                <w:tc>
                  <w:tcPr>
                    <w:tcW w:w="1363" w:type="dxa"/>
                    <w:vAlign w:val="center"/>
                  </w:tcPr>
                  <w:p w:rsidR="000871F7" w:rsidRPr="00A0098F" w:rsidRDefault="000871F7" w:rsidP="000871F7">
                    <w:pPr>
                      <w:jc w:val="right"/>
                      <w:rPr>
                        <w:sz w:val="14"/>
                        <w:szCs w:val="14"/>
                      </w:rPr>
                    </w:pPr>
                    <w:r w:rsidRPr="00A0098F">
                      <w:rPr>
                        <w:sz w:val="14"/>
                        <w:szCs w:val="14"/>
                      </w:rPr>
                      <w:t>0</w:t>
                    </w:r>
                  </w:p>
                </w:tc>
                <w:tc>
                  <w:tcPr>
                    <w:tcW w:w="1381" w:type="dxa"/>
                    <w:vAlign w:val="center"/>
                  </w:tcPr>
                  <w:p w:rsidR="000871F7" w:rsidRPr="00A0098F" w:rsidRDefault="000871F7" w:rsidP="000871F7">
                    <w:pPr>
                      <w:jc w:val="right"/>
                      <w:rPr>
                        <w:sz w:val="14"/>
                        <w:szCs w:val="14"/>
                      </w:rPr>
                    </w:pPr>
                    <w:r w:rsidRPr="00A0098F">
                      <w:rPr>
                        <w:sz w:val="14"/>
                        <w:szCs w:val="14"/>
                      </w:rPr>
                      <w:t>0</w:t>
                    </w:r>
                  </w:p>
                </w:tc>
              </w:tr>
              <w:tr w:rsidR="000871F7" w:rsidRPr="00A0098F" w:rsidTr="00601D47">
                <w:trPr>
                  <w:trHeight w:val="20"/>
                </w:trPr>
                <w:sdt>
                  <w:sdtPr>
                    <w:rPr>
                      <w:sz w:val="14"/>
                      <w:szCs w:val="14"/>
                    </w:rPr>
                    <w:tag w:val="_PLD_2bb07b8c813f401e9b889121fc03b9bd"/>
                    <w:id w:val="-376398020"/>
                    <w:lock w:val="sdtLocked"/>
                  </w:sdtPr>
                  <w:sdtContent>
                    <w:tc>
                      <w:tcPr>
                        <w:tcW w:w="2805" w:type="dxa"/>
                      </w:tcPr>
                      <w:p w:rsidR="000871F7" w:rsidRPr="00A0098F" w:rsidRDefault="000871F7" w:rsidP="000871F7">
                        <w:pPr>
                          <w:rPr>
                            <w:sz w:val="14"/>
                            <w:szCs w:val="14"/>
                          </w:rPr>
                        </w:pPr>
                        <w:r w:rsidRPr="00A0098F">
                          <w:rPr>
                            <w:rFonts w:hint="eastAsia"/>
                            <w:sz w:val="14"/>
                            <w:szCs w:val="14"/>
                          </w:rPr>
                          <w:t>4</w:t>
                        </w:r>
                        <w:r w:rsidRPr="00A0098F">
                          <w:rPr>
                            <w:sz w:val="14"/>
                            <w:szCs w:val="14"/>
                          </w:rPr>
                          <w:t>．其他</w:t>
                        </w:r>
                      </w:p>
                    </w:tc>
                  </w:sdtContent>
                </w:sdt>
                <w:tc>
                  <w:tcPr>
                    <w:tcW w:w="1431" w:type="dxa"/>
                    <w:tcBorders>
                      <w:right w:val="single" w:sz="4" w:space="0" w:color="auto"/>
                    </w:tcBorders>
                    <w:vAlign w:val="center"/>
                  </w:tcPr>
                  <w:p w:rsidR="000871F7" w:rsidRPr="00A0098F" w:rsidRDefault="000871F7" w:rsidP="000871F7">
                    <w:pPr>
                      <w:jc w:val="right"/>
                      <w:rPr>
                        <w:sz w:val="14"/>
                        <w:szCs w:val="14"/>
                      </w:rPr>
                    </w:pPr>
                    <w:r w:rsidRPr="00A0098F">
                      <w:rPr>
                        <w:sz w:val="14"/>
                        <w:szCs w:val="14"/>
                      </w:rPr>
                      <w:t>0</w:t>
                    </w:r>
                  </w:p>
                </w:tc>
                <w:tc>
                  <w:tcPr>
                    <w:tcW w:w="1445" w:type="dxa"/>
                    <w:tcBorders>
                      <w:left w:val="single" w:sz="4" w:space="0" w:color="auto"/>
                    </w:tcBorders>
                    <w:vAlign w:val="center"/>
                  </w:tcPr>
                  <w:p w:rsidR="000871F7" w:rsidRPr="00A0098F" w:rsidRDefault="000871F7" w:rsidP="000871F7">
                    <w:pPr>
                      <w:jc w:val="right"/>
                      <w:rPr>
                        <w:sz w:val="14"/>
                        <w:szCs w:val="14"/>
                      </w:rPr>
                    </w:pPr>
                    <w:r w:rsidRPr="00A0098F">
                      <w:rPr>
                        <w:sz w:val="14"/>
                        <w:szCs w:val="14"/>
                      </w:rPr>
                      <w:t>0</w:t>
                    </w:r>
                  </w:p>
                </w:tc>
                <w:tc>
                  <w:tcPr>
                    <w:tcW w:w="1391" w:type="dxa"/>
                    <w:vAlign w:val="center"/>
                  </w:tcPr>
                  <w:p w:rsidR="000871F7" w:rsidRPr="00A0098F" w:rsidRDefault="000871F7" w:rsidP="000871F7">
                    <w:pPr>
                      <w:jc w:val="right"/>
                      <w:rPr>
                        <w:sz w:val="14"/>
                        <w:szCs w:val="14"/>
                      </w:rPr>
                    </w:pPr>
                    <w:r w:rsidRPr="00A0098F">
                      <w:rPr>
                        <w:sz w:val="14"/>
                        <w:szCs w:val="14"/>
                      </w:rPr>
                      <w:t>0</w:t>
                    </w:r>
                  </w:p>
                </w:tc>
                <w:tc>
                  <w:tcPr>
                    <w:tcW w:w="1377" w:type="dxa"/>
                    <w:vAlign w:val="center"/>
                  </w:tcPr>
                  <w:p w:rsidR="000871F7" w:rsidRPr="00A0098F" w:rsidRDefault="000871F7" w:rsidP="000871F7">
                    <w:pPr>
                      <w:jc w:val="right"/>
                      <w:rPr>
                        <w:sz w:val="14"/>
                        <w:szCs w:val="14"/>
                      </w:rPr>
                    </w:pPr>
                    <w:r w:rsidRPr="00A0098F">
                      <w:rPr>
                        <w:sz w:val="14"/>
                        <w:szCs w:val="14"/>
                      </w:rPr>
                      <w:t>0</w:t>
                    </w:r>
                  </w:p>
                </w:tc>
                <w:tc>
                  <w:tcPr>
                    <w:tcW w:w="1391" w:type="dxa"/>
                    <w:vAlign w:val="center"/>
                  </w:tcPr>
                  <w:p w:rsidR="000871F7" w:rsidRPr="00A0098F" w:rsidRDefault="000871F7" w:rsidP="000871F7">
                    <w:pPr>
                      <w:jc w:val="right"/>
                      <w:rPr>
                        <w:sz w:val="14"/>
                        <w:szCs w:val="14"/>
                      </w:rPr>
                    </w:pPr>
                    <w:r w:rsidRPr="00A0098F">
                      <w:rPr>
                        <w:sz w:val="14"/>
                        <w:szCs w:val="14"/>
                      </w:rPr>
                      <w:t>0</w:t>
                    </w:r>
                  </w:p>
                </w:tc>
                <w:tc>
                  <w:tcPr>
                    <w:tcW w:w="1376" w:type="dxa"/>
                    <w:vAlign w:val="center"/>
                  </w:tcPr>
                  <w:p w:rsidR="000871F7" w:rsidRPr="00A0098F" w:rsidRDefault="000871F7" w:rsidP="000871F7">
                    <w:pPr>
                      <w:jc w:val="right"/>
                      <w:rPr>
                        <w:sz w:val="14"/>
                        <w:szCs w:val="14"/>
                      </w:rPr>
                    </w:pPr>
                    <w:r w:rsidRPr="00A0098F">
                      <w:rPr>
                        <w:sz w:val="14"/>
                        <w:szCs w:val="14"/>
                      </w:rPr>
                      <w:t>0</w:t>
                    </w:r>
                  </w:p>
                </w:tc>
                <w:tc>
                  <w:tcPr>
                    <w:tcW w:w="1363" w:type="dxa"/>
                    <w:vAlign w:val="center"/>
                  </w:tcPr>
                  <w:p w:rsidR="000871F7" w:rsidRPr="00A0098F" w:rsidRDefault="000871F7" w:rsidP="000871F7">
                    <w:pPr>
                      <w:jc w:val="right"/>
                      <w:rPr>
                        <w:sz w:val="14"/>
                        <w:szCs w:val="14"/>
                      </w:rPr>
                    </w:pPr>
                    <w:r w:rsidRPr="00A0098F">
                      <w:rPr>
                        <w:sz w:val="14"/>
                        <w:szCs w:val="14"/>
                      </w:rPr>
                      <w:t>0</w:t>
                    </w:r>
                  </w:p>
                </w:tc>
                <w:tc>
                  <w:tcPr>
                    <w:tcW w:w="1381" w:type="dxa"/>
                    <w:vAlign w:val="center"/>
                  </w:tcPr>
                  <w:p w:rsidR="000871F7" w:rsidRPr="00A0098F" w:rsidRDefault="000871F7" w:rsidP="000871F7">
                    <w:pPr>
                      <w:jc w:val="right"/>
                      <w:rPr>
                        <w:sz w:val="14"/>
                        <w:szCs w:val="14"/>
                      </w:rPr>
                    </w:pPr>
                    <w:r w:rsidRPr="00A0098F">
                      <w:rPr>
                        <w:sz w:val="14"/>
                        <w:szCs w:val="14"/>
                      </w:rPr>
                      <w:t>0</w:t>
                    </w:r>
                  </w:p>
                </w:tc>
              </w:tr>
              <w:tr w:rsidR="000871F7" w:rsidRPr="00A0098F" w:rsidTr="00601D47">
                <w:trPr>
                  <w:trHeight w:val="20"/>
                </w:trPr>
                <w:sdt>
                  <w:sdtPr>
                    <w:rPr>
                      <w:sz w:val="14"/>
                      <w:szCs w:val="14"/>
                    </w:rPr>
                    <w:tag w:val="_PLD_b280cf7ceeaa4dd8b4b782055ca20607"/>
                    <w:id w:val="494540052"/>
                    <w:lock w:val="sdtLocked"/>
                  </w:sdtPr>
                  <w:sdtContent>
                    <w:tc>
                      <w:tcPr>
                        <w:tcW w:w="2805" w:type="dxa"/>
                      </w:tcPr>
                      <w:p w:rsidR="000871F7" w:rsidRPr="00A0098F" w:rsidRDefault="000871F7" w:rsidP="000871F7">
                        <w:pPr>
                          <w:rPr>
                            <w:sz w:val="14"/>
                            <w:szCs w:val="14"/>
                          </w:rPr>
                        </w:pPr>
                        <w:r w:rsidRPr="00A0098F">
                          <w:rPr>
                            <w:sz w:val="14"/>
                            <w:szCs w:val="14"/>
                          </w:rPr>
                          <w:t>（</w:t>
                        </w:r>
                        <w:r w:rsidRPr="00A0098F">
                          <w:rPr>
                            <w:rFonts w:hint="eastAsia"/>
                            <w:sz w:val="14"/>
                            <w:szCs w:val="14"/>
                          </w:rPr>
                          <w:t>三</w:t>
                        </w:r>
                        <w:r w:rsidRPr="00A0098F">
                          <w:rPr>
                            <w:sz w:val="14"/>
                            <w:szCs w:val="14"/>
                          </w:rPr>
                          <w:t>）利润分配</w:t>
                        </w:r>
                      </w:p>
                    </w:tc>
                  </w:sdtContent>
                </w:sdt>
                <w:tc>
                  <w:tcPr>
                    <w:tcW w:w="1431" w:type="dxa"/>
                    <w:tcBorders>
                      <w:right w:val="single" w:sz="4" w:space="0" w:color="auto"/>
                    </w:tcBorders>
                    <w:vAlign w:val="center"/>
                  </w:tcPr>
                  <w:p w:rsidR="000871F7" w:rsidRPr="00A0098F" w:rsidRDefault="000871F7" w:rsidP="000871F7">
                    <w:pPr>
                      <w:jc w:val="right"/>
                      <w:rPr>
                        <w:sz w:val="14"/>
                        <w:szCs w:val="14"/>
                      </w:rPr>
                    </w:pPr>
                    <w:r w:rsidRPr="00A0098F">
                      <w:rPr>
                        <w:sz w:val="14"/>
                        <w:szCs w:val="14"/>
                      </w:rPr>
                      <w:t>0</w:t>
                    </w:r>
                  </w:p>
                </w:tc>
                <w:tc>
                  <w:tcPr>
                    <w:tcW w:w="1445" w:type="dxa"/>
                    <w:tcBorders>
                      <w:left w:val="single" w:sz="4" w:space="0" w:color="auto"/>
                    </w:tcBorders>
                    <w:vAlign w:val="center"/>
                  </w:tcPr>
                  <w:p w:rsidR="000871F7" w:rsidRPr="00A0098F" w:rsidRDefault="000871F7" w:rsidP="000871F7">
                    <w:pPr>
                      <w:jc w:val="right"/>
                      <w:rPr>
                        <w:sz w:val="14"/>
                        <w:szCs w:val="14"/>
                      </w:rPr>
                    </w:pPr>
                    <w:r w:rsidRPr="00A0098F">
                      <w:rPr>
                        <w:sz w:val="14"/>
                        <w:szCs w:val="14"/>
                      </w:rPr>
                      <w:t>0</w:t>
                    </w:r>
                  </w:p>
                </w:tc>
                <w:tc>
                  <w:tcPr>
                    <w:tcW w:w="1391" w:type="dxa"/>
                    <w:vAlign w:val="center"/>
                  </w:tcPr>
                  <w:p w:rsidR="000871F7" w:rsidRPr="00A0098F" w:rsidRDefault="000871F7" w:rsidP="000871F7">
                    <w:pPr>
                      <w:jc w:val="right"/>
                      <w:rPr>
                        <w:sz w:val="14"/>
                        <w:szCs w:val="14"/>
                      </w:rPr>
                    </w:pPr>
                    <w:r w:rsidRPr="00A0098F">
                      <w:rPr>
                        <w:sz w:val="14"/>
                        <w:szCs w:val="14"/>
                      </w:rPr>
                      <w:t>0</w:t>
                    </w:r>
                  </w:p>
                </w:tc>
                <w:tc>
                  <w:tcPr>
                    <w:tcW w:w="1377" w:type="dxa"/>
                    <w:vAlign w:val="center"/>
                  </w:tcPr>
                  <w:p w:rsidR="000871F7" w:rsidRPr="00A0098F" w:rsidRDefault="000871F7" w:rsidP="000871F7">
                    <w:pPr>
                      <w:jc w:val="right"/>
                      <w:rPr>
                        <w:sz w:val="14"/>
                        <w:szCs w:val="14"/>
                      </w:rPr>
                    </w:pPr>
                    <w:r w:rsidRPr="00A0098F">
                      <w:rPr>
                        <w:sz w:val="14"/>
                        <w:szCs w:val="14"/>
                      </w:rPr>
                      <w:t>0</w:t>
                    </w:r>
                  </w:p>
                </w:tc>
                <w:tc>
                  <w:tcPr>
                    <w:tcW w:w="1391" w:type="dxa"/>
                    <w:vAlign w:val="center"/>
                  </w:tcPr>
                  <w:p w:rsidR="000871F7" w:rsidRPr="00A0098F" w:rsidRDefault="000871F7" w:rsidP="000871F7">
                    <w:pPr>
                      <w:jc w:val="right"/>
                      <w:rPr>
                        <w:sz w:val="14"/>
                        <w:szCs w:val="14"/>
                      </w:rPr>
                    </w:pPr>
                    <w:r w:rsidRPr="00A0098F">
                      <w:rPr>
                        <w:sz w:val="14"/>
                        <w:szCs w:val="14"/>
                      </w:rPr>
                      <w:t>0</w:t>
                    </w:r>
                  </w:p>
                </w:tc>
                <w:tc>
                  <w:tcPr>
                    <w:tcW w:w="1376" w:type="dxa"/>
                    <w:vAlign w:val="center"/>
                  </w:tcPr>
                  <w:p w:rsidR="000871F7" w:rsidRPr="00A0098F" w:rsidRDefault="000871F7" w:rsidP="000871F7">
                    <w:pPr>
                      <w:jc w:val="right"/>
                      <w:rPr>
                        <w:sz w:val="14"/>
                        <w:szCs w:val="14"/>
                      </w:rPr>
                    </w:pPr>
                    <w:r w:rsidRPr="00A0098F">
                      <w:rPr>
                        <w:sz w:val="14"/>
                        <w:szCs w:val="14"/>
                      </w:rPr>
                      <w:t>1,090,644,564</w:t>
                    </w:r>
                  </w:p>
                </w:tc>
                <w:tc>
                  <w:tcPr>
                    <w:tcW w:w="1363" w:type="dxa"/>
                    <w:vAlign w:val="center"/>
                  </w:tcPr>
                  <w:p w:rsidR="000871F7" w:rsidRPr="00A0098F" w:rsidRDefault="000871F7" w:rsidP="000871F7">
                    <w:pPr>
                      <w:jc w:val="right"/>
                      <w:rPr>
                        <w:sz w:val="14"/>
                        <w:szCs w:val="14"/>
                      </w:rPr>
                    </w:pPr>
                    <w:r w:rsidRPr="00A0098F">
                      <w:rPr>
                        <w:sz w:val="14"/>
                        <w:szCs w:val="14"/>
                      </w:rPr>
                      <w:t>-8,226,769,435</w:t>
                    </w:r>
                  </w:p>
                </w:tc>
                <w:tc>
                  <w:tcPr>
                    <w:tcW w:w="1381" w:type="dxa"/>
                    <w:vAlign w:val="center"/>
                  </w:tcPr>
                  <w:p w:rsidR="000871F7" w:rsidRPr="00A0098F" w:rsidRDefault="000871F7" w:rsidP="000871F7">
                    <w:pPr>
                      <w:jc w:val="right"/>
                      <w:rPr>
                        <w:sz w:val="14"/>
                        <w:szCs w:val="14"/>
                      </w:rPr>
                    </w:pPr>
                    <w:r w:rsidRPr="00A0098F">
                      <w:rPr>
                        <w:sz w:val="14"/>
                        <w:szCs w:val="14"/>
                      </w:rPr>
                      <w:t>-7,136,124,871</w:t>
                    </w:r>
                  </w:p>
                </w:tc>
              </w:tr>
              <w:tr w:rsidR="000871F7" w:rsidRPr="00A0098F" w:rsidTr="00601D47">
                <w:trPr>
                  <w:trHeight w:val="20"/>
                </w:trPr>
                <w:sdt>
                  <w:sdtPr>
                    <w:rPr>
                      <w:sz w:val="14"/>
                      <w:szCs w:val="14"/>
                    </w:rPr>
                    <w:tag w:val="_PLD_bae08be416ce4c01886da1cc65a38bd8"/>
                    <w:id w:val="-581676459"/>
                    <w:lock w:val="sdtLocked"/>
                  </w:sdtPr>
                  <w:sdtContent>
                    <w:tc>
                      <w:tcPr>
                        <w:tcW w:w="2805" w:type="dxa"/>
                      </w:tcPr>
                      <w:p w:rsidR="000871F7" w:rsidRPr="00A0098F" w:rsidRDefault="000871F7" w:rsidP="000871F7">
                        <w:pPr>
                          <w:rPr>
                            <w:sz w:val="14"/>
                            <w:szCs w:val="14"/>
                          </w:rPr>
                        </w:pPr>
                        <w:r w:rsidRPr="00A0098F">
                          <w:rPr>
                            <w:sz w:val="14"/>
                            <w:szCs w:val="14"/>
                          </w:rPr>
                          <w:t>1．提取盈余公积</w:t>
                        </w:r>
                      </w:p>
                    </w:tc>
                  </w:sdtContent>
                </w:sdt>
                <w:tc>
                  <w:tcPr>
                    <w:tcW w:w="1431" w:type="dxa"/>
                    <w:tcBorders>
                      <w:right w:val="single" w:sz="4" w:space="0" w:color="auto"/>
                    </w:tcBorders>
                    <w:vAlign w:val="center"/>
                  </w:tcPr>
                  <w:p w:rsidR="000871F7" w:rsidRPr="00A0098F" w:rsidRDefault="000871F7" w:rsidP="000871F7">
                    <w:pPr>
                      <w:jc w:val="right"/>
                      <w:rPr>
                        <w:sz w:val="14"/>
                        <w:szCs w:val="14"/>
                      </w:rPr>
                    </w:pPr>
                    <w:r w:rsidRPr="00A0098F">
                      <w:rPr>
                        <w:sz w:val="14"/>
                        <w:szCs w:val="14"/>
                      </w:rPr>
                      <w:t>0</w:t>
                    </w:r>
                  </w:p>
                </w:tc>
                <w:tc>
                  <w:tcPr>
                    <w:tcW w:w="1445" w:type="dxa"/>
                    <w:tcBorders>
                      <w:left w:val="single" w:sz="4" w:space="0" w:color="auto"/>
                    </w:tcBorders>
                    <w:vAlign w:val="center"/>
                  </w:tcPr>
                  <w:p w:rsidR="000871F7" w:rsidRPr="00A0098F" w:rsidRDefault="000871F7" w:rsidP="000871F7">
                    <w:pPr>
                      <w:jc w:val="right"/>
                      <w:rPr>
                        <w:sz w:val="14"/>
                        <w:szCs w:val="14"/>
                      </w:rPr>
                    </w:pPr>
                    <w:r w:rsidRPr="00A0098F">
                      <w:rPr>
                        <w:sz w:val="14"/>
                        <w:szCs w:val="14"/>
                      </w:rPr>
                      <w:t>0</w:t>
                    </w:r>
                  </w:p>
                </w:tc>
                <w:tc>
                  <w:tcPr>
                    <w:tcW w:w="1391" w:type="dxa"/>
                    <w:vAlign w:val="center"/>
                  </w:tcPr>
                  <w:p w:rsidR="000871F7" w:rsidRPr="00A0098F" w:rsidRDefault="000871F7" w:rsidP="000871F7">
                    <w:pPr>
                      <w:jc w:val="right"/>
                      <w:rPr>
                        <w:sz w:val="14"/>
                        <w:szCs w:val="14"/>
                      </w:rPr>
                    </w:pPr>
                    <w:r w:rsidRPr="00A0098F">
                      <w:rPr>
                        <w:sz w:val="14"/>
                        <w:szCs w:val="14"/>
                      </w:rPr>
                      <w:t>0</w:t>
                    </w:r>
                  </w:p>
                </w:tc>
                <w:tc>
                  <w:tcPr>
                    <w:tcW w:w="1377" w:type="dxa"/>
                    <w:vAlign w:val="center"/>
                  </w:tcPr>
                  <w:p w:rsidR="000871F7" w:rsidRPr="00A0098F" w:rsidRDefault="000871F7" w:rsidP="000871F7">
                    <w:pPr>
                      <w:jc w:val="right"/>
                      <w:rPr>
                        <w:sz w:val="14"/>
                        <w:szCs w:val="14"/>
                      </w:rPr>
                    </w:pPr>
                    <w:r w:rsidRPr="00A0098F">
                      <w:rPr>
                        <w:sz w:val="14"/>
                        <w:szCs w:val="14"/>
                      </w:rPr>
                      <w:t>0</w:t>
                    </w:r>
                  </w:p>
                </w:tc>
                <w:tc>
                  <w:tcPr>
                    <w:tcW w:w="1391" w:type="dxa"/>
                    <w:vAlign w:val="center"/>
                  </w:tcPr>
                  <w:p w:rsidR="000871F7" w:rsidRPr="00A0098F" w:rsidRDefault="000871F7" w:rsidP="000871F7">
                    <w:pPr>
                      <w:jc w:val="right"/>
                      <w:rPr>
                        <w:sz w:val="14"/>
                        <w:szCs w:val="14"/>
                      </w:rPr>
                    </w:pPr>
                    <w:r w:rsidRPr="00A0098F">
                      <w:rPr>
                        <w:sz w:val="14"/>
                        <w:szCs w:val="14"/>
                      </w:rPr>
                      <w:t>0</w:t>
                    </w:r>
                  </w:p>
                </w:tc>
                <w:tc>
                  <w:tcPr>
                    <w:tcW w:w="1376" w:type="dxa"/>
                    <w:vAlign w:val="center"/>
                  </w:tcPr>
                  <w:p w:rsidR="000871F7" w:rsidRPr="00A0098F" w:rsidRDefault="000871F7" w:rsidP="000871F7">
                    <w:pPr>
                      <w:jc w:val="right"/>
                      <w:rPr>
                        <w:sz w:val="14"/>
                        <w:szCs w:val="14"/>
                      </w:rPr>
                    </w:pPr>
                    <w:r w:rsidRPr="00A0098F">
                      <w:rPr>
                        <w:sz w:val="14"/>
                        <w:szCs w:val="14"/>
                      </w:rPr>
                      <w:t>1,090,644,564</w:t>
                    </w:r>
                  </w:p>
                </w:tc>
                <w:tc>
                  <w:tcPr>
                    <w:tcW w:w="1363" w:type="dxa"/>
                    <w:vAlign w:val="center"/>
                  </w:tcPr>
                  <w:p w:rsidR="000871F7" w:rsidRPr="00A0098F" w:rsidRDefault="000871F7" w:rsidP="000871F7">
                    <w:pPr>
                      <w:jc w:val="right"/>
                      <w:rPr>
                        <w:sz w:val="14"/>
                        <w:szCs w:val="14"/>
                      </w:rPr>
                    </w:pPr>
                    <w:r w:rsidRPr="00A0098F">
                      <w:rPr>
                        <w:sz w:val="14"/>
                        <w:szCs w:val="14"/>
                      </w:rPr>
                      <w:t>-1,090,644,564</w:t>
                    </w:r>
                  </w:p>
                </w:tc>
                <w:tc>
                  <w:tcPr>
                    <w:tcW w:w="1381" w:type="dxa"/>
                    <w:vAlign w:val="center"/>
                  </w:tcPr>
                  <w:p w:rsidR="000871F7" w:rsidRPr="00A0098F" w:rsidRDefault="000871F7" w:rsidP="000871F7">
                    <w:pPr>
                      <w:jc w:val="right"/>
                      <w:rPr>
                        <w:sz w:val="14"/>
                        <w:szCs w:val="14"/>
                      </w:rPr>
                    </w:pPr>
                    <w:r w:rsidRPr="00A0098F">
                      <w:rPr>
                        <w:sz w:val="14"/>
                        <w:szCs w:val="14"/>
                      </w:rPr>
                      <w:t>0</w:t>
                    </w:r>
                  </w:p>
                </w:tc>
              </w:tr>
              <w:tr w:rsidR="000871F7" w:rsidRPr="00A0098F" w:rsidTr="00601D47">
                <w:trPr>
                  <w:trHeight w:val="20"/>
                </w:trPr>
                <w:sdt>
                  <w:sdtPr>
                    <w:rPr>
                      <w:sz w:val="14"/>
                      <w:szCs w:val="14"/>
                    </w:rPr>
                    <w:tag w:val="_PLD_4deac8941f8344f99337c17d7e8feb6f"/>
                    <w:id w:val="-628559898"/>
                    <w:lock w:val="sdtLocked"/>
                  </w:sdtPr>
                  <w:sdtContent>
                    <w:tc>
                      <w:tcPr>
                        <w:tcW w:w="2805" w:type="dxa"/>
                      </w:tcPr>
                      <w:p w:rsidR="000871F7" w:rsidRPr="00A0098F" w:rsidRDefault="000871F7" w:rsidP="000871F7">
                        <w:pPr>
                          <w:rPr>
                            <w:sz w:val="14"/>
                            <w:szCs w:val="14"/>
                          </w:rPr>
                        </w:pPr>
                        <w:r w:rsidRPr="00A0098F">
                          <w:rPr>
                            <w:rFonts w:hint="eastAsia"/>
                            <w:sz w:val="14"/>
                            <w:szCs w:val="14"/>
                          </w:rPr>
                          <w:t>2</w:t>
                        </w:r>
                        <w:r w:rsidRPr="00A0098F">
                          <w:rPr>
                            <w:sz w:val="14"/>
                            <w:szCs w:val="14"/>
                          </w:rPr>
                          <w:t>．对所有者（或股东）的分配</w:t>
                        </w:r>
                      </w:p>
                    </w:tc>
                  </w:sdtContent>
                </w:sdt>
                <w:tc>
                  <w:tcPr>
                    <w:tcW w:w="1431" w:type="dxa"/>
                    <w:tcBorders>
                      <w:right w:val="single" w:sz="4" w:space="0" w:color="auto"/>
                    </w:tcBorders>
                    <w:vAlign w:val="center"/>
                  </w:tcPr>
                  <w:p w:rsidR="000871F7" w:rsidRPr="00A0098F" w:rsidRDefault="000871F7" w:rsidP="000871F7">
                    <w:pPr>
                      <w:jc w:val="right"/>
                      <w:rPr>
                        <w:sz w:val="14"/>
                        <w:szCs w:val="14"/>
                      </w:rPr>
                    </w:pPr>
                    <w:r w:rsidRPr="00A0098F">
                      <w:rPr>
                        <w:sz w:val="14"/>
                        <w:szCs w:val="14"/>
                      </w:rPr>
                      <w:t>0</w:t>
                    </w:r>
                  </w:p>
                </w:tc>
                <w:tc>
                  <w:tcPr>
                    <w:tcW w:w="1445" w:type="dxa"/>
                    <w:tcBorders>
                      <w:left w:val="single" w:sz="4" w:space="0" w:color="auto"/>
                    </w:tcBorders>
                    <w:vAlign w:val="center"/>
                  </w:tcPr>
                  <w:p w:rsidR="000871F7" w:rsidRPr="00A0098F" w:rsidRDefault="000871F7" w:rsidP="000871F7">
                    <w:pPr>
                      <w:jc w:val="right"/>
                      <w:rPr>
                        <w:sz w:val="14"/>
                        <w:szCs w:val="14"/>
                      </w:rPr>
                    </w:pPr>
                    <w:r w:rsidRPr="00A0098F">
                      <w:rPr>
                        <w:sz w:val="14"/>
                        <w:szCs w:val="14"/>
                      </w:rPr>
                      <w:t>0</w:t>
                    </w:r>
                  </w:p>
                </w:tc>
                <w:tc>
                  <w:tcPr>
                    <w:tcW w:w="1391" w:type="dxa"/>
                    <w:vAlign w:val="center"/>
                  </w:tcPr>
                  <w:p w:rsidR="000871F7" w:rsidRPr="00A0098F" w:rsidRDefault="000871F7" w:rsidP="000871F7">
                    <w:pPr>
                      <w:jc w:val="right"/>
                      <w:rPr>
                        <w:sz w:val="14"/>
                        <w:szCs w:val="14"/>
                      </w:rPr>
                    </w:pPr>
                    <w:r w:rsidRPr="00A0098F">
                      <w:rPr>
                        <w:sz w:val="14"/>
                        <w:szCs w:val="14"/>
                      </w:rPr>
                      <w:t>0</w:t>
                    </w:r>
                  </w:p>
                </w:tc>
                <w:tc>
                  <w:tcPr>
                    <w:tcW w:w="1377" w:type="dxa"/>
                    <w:vAlign w:val="center"/>
                  </w:tcPr>
                  <w:p w:rsidR="000871F7" w:rsidRPr="00A0098F" w:rsidRDefault="000871F7" w:rsidP="000871F7">
                    <w:pPr>
                      <w:jc w:val="right"/>
                      <w:rPr>
                        <w:sz w:val="14"/>
                        <w:szCs w:val="14"/>
                      </w:rPr>
                    </w:pPr>
                    <w:r w:rsidRPr="00A0098F">
                      <w:rPr>
                        <w:sz w:val="14"/>
                        <w:szCs w:val="14"/>
                      </w:rPr>
                      <w:t>0</w:t>
                    </w:r>
                  </w:p>
                </w:tc>
                <w:tc>
                  <w:tcPr>
                    <w:tcW w:w="1391" w:type="dxa"/>
                    <w:vAlign w:val="center"/>
                  </w:tcPr>
                  <w:p w:rsidR="000871F7" w:rsidRPr="00A0098F" w:rsidRDefault="000871F7" w:rsidP="000871F7">
                    <w:pPr>
                      <w:jc w:val="right"/>
                      <w:rPr>
                        <w:sz w:val="14"/>
                        <w:szCs w:val="14"/>
                      </w:rPr>
                    </w:pPr>
                    <w:r w:rsidRPr="00A0098F">
                      <w:rPr>
                        <w:sz w:val="14"/>
                        <w:szCs w:val="14"/>
                      </w:rPr>
                      <w:t>0</w:t>
                    </w:r>
                  </w:p>
                </w:tc>
                <w:tc>
                  <w:tcPr>
                    <w:tcW w:w="1376" w:type="dxa"/>
                    <w:vAlign w:val="center"/>
                  </w:tcPr>
                  <w:p w:rsidR="000871F7" w:rsidRPr="00A0098F" w:rsidRDefault="000871F7" w:rsidP="000871F7">
                    <w:pPr>
                      <w:jc w:val="right"/>
                      <w:rPr>
                        <w:sz w:val="14"/>
                        <w:szCs w:val="14"/>
                      </w:rPr>
                    </w:pPr>
                    <w:r w:rsidRPr="00A0098F">
                      <w:rPr>
                        <w:sz w:val="14"/>
                        <w:szCs w:val="14"/>
                      </w:rPr>
                      <w:t>0</w:t>
                    </w:r>
                  </w:p>
                </w:tc>
                <w:tc>
                  <w:tcPr>
                    <w:tcW w:w="1363" w:type="dxa"/>
                    <w:vAlign w:val="center"/>
                  </w:tcPr>
                  <w:p w:rsidR="000871F7" w:rsidRPr="00A0098F" w:rsidRDefault="000871F7" w:rsidP="000871F7">
                    <w:pPr>
                      <w:jc w:val="right"/>
                      <w:rPr>
                        <w:sz w:val="14"/>
                        <w:szCs w:val="14"/>
                      </w:rPr>
                    </w:pPr>
                    <w:r w:rsidRPr="00A0098F">
                      <w:rPr>
                        <w:sz w:val="14"/>
                        <w:szCs w:val="14"/>
                      </w:rPr>
                      <w:t>-7,136,124,871</w:t>
                    </w:r>
                  </w:p>
                </w:tc>
                <w:tc>
                  <w:tcPr>
                    <w:tcW w:w="1381" w:type="dxa"/>
                    <w:vAlign w:val="center"/>
                  </w:tcPr>
                  <w:p w:rsidR="000871F7" w:rsidRPr="00A0098F" w:rsidRDefault="000871F7" w:rsidP="000871F7">
                    <w:pPr>
                      <w:jc w:val="right"/>
                      <w:rPr>
                        <w:sz w:val="14"/>
                        <w:szCs w:val="14"/>
                      </w:rPr>
                    </w:pPr>
                    <w:r w:rsidRPr="00A0098F">
                      <w:rPr>
                        <w:sz w:val="14"/>
                        <w:szCs w:val="14"/>
                      </w:rPr>
                      <w:t>-7,136,124,871</w:t>
                    </w:r>
                  </w:p>
                </w:tc>
              </w:tr>
              <w:tr w:rsidR="000871F7" w:rsidRPr="00A0098F" w:rsidTr="00601D47">
                <w:trPr>
                  <w:trHeight w:val="20"/>
                </w:trPr>
                <w:sdt>
                  <w:sdtPr>
                    <w:rPr>
                      <w:sz w:val="14"/>
                      <w:szCs w:val="14"/>
                    </w:rPr>
                    <w:tag w:val="_PLD_ff58a7e98f194ea88a1175d96b9527b1"/>
                    <w:id w:val="-949924864"/>
                    <w:lock w:val="sdtLocked"/>
                  </w:sdtPr>
                  <w:sdtContent>
                    <w:tc>
                      <w:tcPr>
                        <w:tcW w:w="2805" w:type="dxa"/>
                      </w:tcPr>
                      <w:p w:rsidR="000871F7" w:rsidRPr="00A0098F" w:rsidRDefault="000871F7" w:rsidP="000871F7">
                        <w:pPr>
                          <w:rPr>
                            <w:sz w:val="14"/>
                            <w:szCs w:val="14"/>
                          </w:rPr>
                        </w:pPr>
                        <w:r w:rsidRPr="00A0098F">
                          <w:rPr>
                            <w:rFonts w:hint="eastAsia"/>
                            <w:sz w:val="14"/>
                            <w:szCs w:val="14"/>
                          </w:rPr>
                          <w:t>3</w:t>
                        </w:r>
                        <w:r w:rsidRPr="00A0098F">
                          <w:rPr>
                            <w:sz w:val="14"/>
                            <w:szCs w:val="14"/>
                          </w:rPr>
                          <w:t>．其他</w:t>
                        </w:r>
                      </w:p>
                    </w:tc>
                  </w:sdtContent>
                </w:sdt>
                <w:tc>
                  <w:tcPr>
                    <w:tcW w:w="1431" w:type="dxa"/>
                    <w:tcBorders>
                      <w:right w:val="single" w:sz="4" w:space="0" w:color="auto"/>
                    </w:tcBorders>
                    <w:vAlign w:val="center"/>
                  </w:tcPr>
                  <w:p w:rsidR="000871F7" w:rsidRPr="00A0098F" w:rsidRDefault="000871F7" w:rsidP="000871F7">
                    <w:pPr>
                      <w:jc w:val="right"/>
                      <w:rPr>
                        <w:sz w:val="14"/>
                        <w:szCs w:val="14"/>
                      </w:rPr>
                    </w:pPr>
                    <w:r w:rsidRPr="00A0098F">
                      <w:rPr>
                        <w:sz w:val="14"/>
                        <w:szCs w:val="14"/>
                      </w:rPr>
                      <w:t>0</w:t>
                    </w:r>
                  </w:p>
                </w:tc>
                <w:tc>
                  <w:tcPr>
                    <w:tcW w:w="1445" w:type="dxa"/>
                    <w:tcBorders>
                      <w:left w:val="single" w:sz="4" w:space="0" w:color="auto"/>
                    </w:tcBorders>
                    <w:vAlign w:val="center"/>
                  </w:tcPr>
                  <w:p w:rsidR="000871F7" w:rsidRPr="00A0098F" w:rsidRDefault="000871F7" w:rsidP="000871F7">
                    <w:pPr>
                      <w:jc w:val="right"/>
                      <w:rPr>
                        <w:sz w:val="14"/>
                        <w:szCs w:val="14"/>
                      </w:rPr>
                    </w:pPr>
                    <w:r w:rsidRPr="00A0098F">
                      <w:rPr>
                        <w:sz w:val="14"/>
                        <w:szCs w:val="14"/>
                      </w:rPr>
                      <w:t>0</w:t>
                    </w:r>
                  </w:p>
                </w:tc>
                <w:tc>
                  <w:tcPr>
                    <w:tcW w:w="1391" w:type="dxa"/>
                    <w:vAlign w:val="center"/>
                  </w:tcPr>
                  <w:p w:rsidR="000871F7" w:rsidRPr="00A0098F" w:rsidRDefault="000871F7" w:rsidP="000871F7">
                    <w:pPr>
                      <w:jc w:val="right"/>
                      <w:rPr>
                        <w:sz w:val="14"/>
                        <w:szCs w:val="14"/>
                      </w:rPr>
                    </w:pPr>
                    <w:r w:rsidRPr="00A0098F">
                      <w:rPr>
                        <w:sz w:val="14"/>
                        <w:szCs w:val="14"/>
                      </w:rPr>
                      <w:t>0</w:t>
                    </w:r>
                  </w:p>
                </w:tc>
                <w:tc>
                  <w:tcPr>
                    <w:tcW w:w="1377" w:type="dxa"/>
                    <w:vAlign w:val="center"/>
                  </w:tcPr>
                  <w:p w:rsidR="000871F7" w:rsidRPr="00A0098F" w:rsidRDefault="000871F7" w:rsidP="000871F7">
                    <w:pPr>
                      <w:jc w:val="right"/>
                      <w:rPr>
                        <w:sz w:val="14"/>
                        <w:szCs w:val="14"/>
                      </w:rPr>
                    </w:pPr>
                    <w:r w:rsidRPr="00A0098F">
                      <w:rPr>
                        <w:sz w:val="14"/>
                        <w:szCs w:val="14"/>
                      </w:rPr>
                      <w:t>0</w:t>
                    </w:r>
                  </w:p>
                </w:tc>
                <w:tc>
                  <w:tcPr>
                    <w:tcW w:w="1391" w:type="dxa"/>
                    <w:vAlign w:val="center"/>
                  </w:tcPr>
                  <w:p w:rsidR="000871F7" w:rsidRPr="00A0098F" w:rsidRDefault="000871F7" w:rsidP="000871F7">
                    <w:pPr>
                      <w:jc w:val="right"/>
                      <w:rPr>
                        <w:sz w:val="14"/>
                        <w:szCs w:val="14"/>
                      </w:rPr>
                    </w:pPr>
                    <w:r w:rsidRPr="00A0098F">
                      <w:rPr>
                        <w:sz w:val="14"/>
                        <w:szCs w:val="14"/>
                      </w:rPr>
                      <w:t>0</w:t>
                    </w:r>
                  </w:p>
                </w:tc>
                <w:tc>
                  <w:tcPr>
                    <w:tcW w:w="1376" w:type="dxa"/>
                    <w:vAlign w:val="center"/>
                  </w:tcPr>
                  <w:p w:rsidR="000871F7" w:rsidRPr="00A0098F" w:rsidRDefault="000871F7" w:rsidP="000871F7">
                    <w:pPr>
                      <w:jc w:val="right"/>
                      <w:rPr>
                        <w:sz w:val="14"/>
                        <w:szCs w:val="14"/>
                      </w:rPr>
                    </w:pPr>
                    <w:r w:rsidRPr="00A0098F">
                      <w:rPr>
                        <w:sz w:val="14"/>
                        <w:szCs w:val="14"/>
                      </w:rPr>
                      <w:t>0</w:t>
                    </w:r>
                  </w:p>
                </w:tc>
                <w:tc>
                  <w:tcPr>
                    <w:tcW w:w="1363" w:type="dxa"/>
                    <w:vAlign w:val="center"/>
                  </w:tcPr>
                  <w:p w:rsidR="000871F7" w:rsidRPr="00A0098F" w:rsidRDefault="000871F7" w:rsidP="000871F7">
                    <w:pPr>
                      <w:jc w:val="right"/>
                      <w:rPr>
                        <w:sz w:val="14"/>
                        <w:szCs w:val="14"/>
                      </w:rPr>
                    </w:pPr>
                    <w:r w:rsidRPr="00A0098F">
                      <w:rPr>
                        <w:sz w:val="14"/>
                        <w:szCs w:val="14"/>
                      </w:rPr>
                      <w:t>0</w:t>
                    </w:r>
                  </w:p>
                </w:tc>
                <w:tc>
                  <w:tcPr>
                    <w:tcW w:w="1381" w:type="dxa"/>
                    <w:vAlign w:val="center"/>
                  </w:tcPr>
                  <w:p w:rsidR="000871F7" w:rsidRPr="00A0098F" w:rsidRDefault="000871F7" w:rsidP="000871F7">
                    <w:pPr>
                      <w:jc w:val="right"/>
                      <w:rPr>
                        <w:sz w:val="14"/>
                        <w:szCs w:val="14"/>
                      </w:rPr>
                    </w:pPr>
                    <w:r w:rsidRPr="00A0098F">
                      <w:rPr>
                        <w:sz w:val="14"/>
                        <w:szCs w:val="14"/>
                      </w:rPr>
                      <w:t>0</w:t>
                    </w:r>
                  </w:p>
                </w:tc>
              </w:tr>
              <w:tr w:rsidR="000871F7" w:rsidRPr="00A0098F" w:rsidTr="00601D47">
                <w:trPr>
                  <w:trHeight w:val="20"/>
                </w:trPr>
                <w:sdt>
                  <w:sdtPr>
                    <w:rPr>
                      <w:sz w:val="14"/>
                      <w:szCs w:val="14"/>
                    </w:rPr>
                    <w:tag w:val="_PLD_8938fb7f04ef4f54b6183645ffa42f40"/>
                    <w:id w:val="-44770060"/>
                    <w:lock w:val="sdtLocked"/>
                  </w:sdtPr>
                  <w:sdtContent>
                    <w:tc>
                      <w:tcPr>
                        <w:tcW w:w="2805" w:type="dxa"/>
                      </w:tcPr>
                      <w:p w:rsidR="000871F7" w:rsidRPr="00A0098F" w:rsidRDefault="000871F7" w:rsidP="000871F7">
                        <w:pPr>
                          <w:rPr>
                            <w:sz w:val="14"/>
                            <w:szCs w:val="14"/>
                          </w:rPr>
                        </w:pPr>
                        <w:r w:rsidRPr="00A0098F">
                          <w:rPr>
                            <w:sz w:val="14"/>
                            <w:szCs w:val="14"/>
                          </w:rPr>
                          <w:t>（</w:t>
                        </w:r>
                        <w:r w:rsidRPr="00A0098F">
                          <w:rPr>
                            <w:rFonts w:hint="eastAsia"/>
                            <w:sz w:val="14"/>
                            <w:szCs w:val="14"/>
                          </w:rPr>
                          <w:t>四</w:t>
                        </w:r>
                        <w:r w:rsidRPr="00A0098F">
                          <w:rPr>
                            <w:sz w:val="14"/>
                            <w:szCs w:val="14"/>
                          </w:rPr>
                          <w:t>）所有者权益内部结转</w:t>
                        </w:r>
                      </w:p>
                    </w:tc>
                  </w:sdtContent>
                </w:sdt>
                <w:tc>
                  <w:tcPr>
                    <w:tcW w:w="1431" w:type="dxa"/>
                    <w:tcBorders>
                      <w:right w:val="single" w:sz="4" w:space="0" w:color="auto"/>
                    </w:tcBorders>
                    <w:vAlign w:val="center"/>
                  </w:tcPr>
                  <w:p w:rsidR="000871F7" w:rsidRPr="00A0098F" w:rsidRDefault="000871F7" w:rsidP="000871F7">
                    <w:pPr>
                      <w:jc w:val="right"/>
                      <w:rPr>
                        <w:sz w:val="14"/>
                        <w:szCs w:val="14"/>
                      </w:rPr>
                    </w:pPr>
                    <w:r w:rsidRPr="00A0098F">
                      <w:rPr>
                        <w:sz w:val="14"/>
                        <w:szCs w:val="14"/>
                      </w:rPr>
                      <w:t>0</w:t>
                    </w:r>
                  </w:p>
                </w:tc>
                <w:tc>
                  <w:tcPr>
                    <w:tcW w:w="1445" w:type="dxa"/>
                    <w:tcBorders>
                      <w:left w:val="single" w:sz="4" w:space="0" w:color="auto"/>
                    </w:tcBorders>
                    <w:vAlign w:val="center"/>
                  </w:tcPr>
                  <w:p w:rsidR="000871F7" w:rsidRPr="00A0098F" w:rsidRDefault="000871F7" w:rsidP="000871F7">
                    <w:pPr>
                      <w:jc w:val="right"/>
                      <w:rPr>
                        <w:sz w:val="14"/>
                        <w:szCs w:val="14"/>
                      </w:rPr>
                    </w:pPr>
                    <w:r w:rsidRPr="00A0098F">
                      <w:rPr>
                        <w:sz w:val="14"/>
                        <w:szCs w:val="14"/>
                      </w:rPr>
                      <w:t>0</w:t>
                    </w:r>
                  </w:p>
                </w:tc>
                <w:tc>
                  <w:tcPr>
                    <w:tcW w:w="1391" w:type="dxa"/>
                    <w:vAlign w:val="center"/>
                  </w:tcPr>
                  <w:p w:rsidR="000871F7" w:rsidRPr="00A0098F" w:rsidRDefault="000871F7" w:rsidP="000871F7">
                    <w:pPr>
                      <w:jc w:val="right"/>
                      <w:rPr>
                        <w:sz w:val="14"/>
                        <w:szCs w:val="14"/>
                      </w:rPr>
                    </w:pPr>
                    <w:r w:rsidRPr="00A0098F">
                      <w:rPr>
                        <w:sz w:val="14"/>
                        <w:szCs w:val="14"/>
                      </w:rPr>
                      <w:t>0</w:t>
                    </w:r>
                  </w:p>
                </w:tc>
                <w:tc>
                  <w:tcPr>
                    <w:tcW w:w="1377" w:type="dxa"/>
                    <w:vAlign w:val="center"/>
                  </w:tcPr>
                  <w:p w:rsidR="000871F7" w:rsidRPr="00A0098F" w:rsidRDefault="000871F7" w:rsidP="000871F7">
                    <w:pPr>
                      <w:jc w:val="right"/>
                      <w:rPr>
                        <w:sz w:val="14"/>
                        <w:szCs w:val="14"/>
                      </w:rPr>
                    </w:pPr>
                    <w:r w:rsidRPr="00A0098F">
                      <w:rPr>
                        <w:sz w:val="14"/>
                        <w:szCs w:val="14"/>
                      </w:rPr>
                      <w:t>0</w:t>
                    </w:r>
                  </w:p>
                </w:tc>
                <w:tc>
                  <w:tcPr>
                    <w:tcW w:w="1391" w:type="dxa"/>
                    <w:vAlign w:val="center"/>
                  </w:tcPr>
                  <w:p w:rsidR="000871F7" w:rsidRPr="00A0098F" w:rsidRDefault="000871F7" w:rsidP="000871F7">
                    <w:pPr>
                      <w:jc w:val="right"/>
                      <w:rPr>
                        <w:sz w:val="14"/>
                        <w:szCs w:val="14"/>
                      </w:rPr>
                    </w:pPr>
                    <w:r w:rsidRPr="00A0098F">
                      <w:rPr>
                        <w:sz w:val="14"/>
                        <w:szCs w:val="14"/>
                      </w:rPr>
                      <w:t>0</w:t>
                    </w:r>
                  </w:p>
                </w:tc>
                <w:tc>
                  <w:tcPr>
                    <w:tcW w:w="1376" w:type="dxa"/>
                    <w:vAlign w:val="center"/>
                  </w:tcPr>
                  <w:p w:rsidR="000871F7" w:rsidRPr="00A0098F" w:rsidRDefault="000871F7" w:rsidP="000871F7">
                    <w:pPr>
                      <w:jc w:val="right"/>
                      <w:rPr>
                        <w:sz w:val="14"/>
                        <w:szCs w:val="14"/>
                      </w:rPr>
                    </w:pPr>
                    <w:r w:rsidRPr="00A0098F">
                      <w:rPr>
                        <w:sz w:val="14"/>
                        <w:szCs w:val="14"/>
                      </w:rPr>
                      <w:t>0</w:t>
                    </w:r>
                  </w:p>
                </w:tc>
                <w:tc>
                  <w:tcPr>
                    <w:tcW w:w="1363" w:type="dxa"/>
                    <w:vAlign w:val="center"/>
                  </w:tcPr>
                  <w:p w:rsidR="000871F7" w:rsidRPr="00A0098F" w:rsidRDefault="000871F7" w:rsidP="000871F7">
                    <w:pPr>
                      <w:jc w:val="right"/>
                      <w:rPr>
                        <w:sz w:val="14"/>
                        <w:szCs w:val="14"/>
                      </w:rPr>
                    </w:pPr>
                    <w:r w:rsidRPr="00A0098F">
                      <w:rPr>
                        <w:sz w:val="14"/>
                        <w:szCs w:val="14"/>
                      </w:rPr>
                      <w:t>0</w:t>
                    </w:r>
                  </w:p>
                </w:tc>
                <w:tc>
                  <w:tcPr>
                    <w:tcW w:w="1381" w:type="dxa"/>
                    <w:vAlign w:val="center"/>
                  </w:tcPr>
                  <w:p w:rsidR="000871F7" w:rsidRPr="00A0098F" w:rsidRDefault="000871F7" w:rsidP="000871F7">
                    <w:pPr>
                      <w:jc w:val="right"/>
                      <w:rPr>
                        <w:sz w:val="14"/>
                        <w:szCs w:val="14"/>
                      </w:rPr>
                    </w:pPr>
                    <w:r w:rsidRPr="00A0098F">
                      <w:rPr>
                        <w:sz w:val="14"/>
                        <w:szCs w:val="14"/>
                      </w:rPr>
                      <w:t>0</w:t>
                    </w:r>
                  </w:p>
                </w:tc>
              </w:tr>
              <w:tr w:rsidR="000871F7" w:rsidRPr="00A0098F" w:rsidTr="00601D47">
                <w:trPr>
                  <w:trHeight w:val="20"/>
                </w:trPr>
                <w:sdt>
                  <w:sdtPr>
                    <w:rPr>
                      <w:sz w:val="14"/>
                      <w:szCs w:val="14"/>
                    </w:rPr>
                    <w:tag w:val="_PLD_805f473e3b5c4efd99b4c472dc99ddb5"/>
                    <w:id w:val="-110977332"/>
                    <w:lock w:val="sdtLocked"/>
                  </w:sdtPr>
                  <w:sdtContent>
                    <w:tc>
                      <w:tcPr>
                        <w:tcW w:w="2805" w:type="dxa"/>
                      </w:tcPr>
                      <w:p w:rsidR="000871F7" w:rsidRPr="00A0098F" w:rsidRDefault="000871F7" w:rsidP="000871F7">
                        <w:pPr>
                          <w:rPr>
                            <w:sz w:val="14"/>
                            <w:szCs w:val="14"/>
                          </w:rPr>
                        </w:pPr>
                        <w:r w:rsidRPr="00A0098F">
                          <w:rPr>
                            <w:sz w:val="14"/>
                            <w:szCs w:val="14"/>
                          </w:rPr>
                          <w:t>1．资本公积转增资本（或股本）</w:t>
                        </w:r>
                      </w:p>
                    </w:tc>
                  </w:sdtContent>
                </w:sdt>
                <w:tc>
                  <w:tcPr>
                    <w:tcW w:w="1431" w:type="dxa"/>
                    <w:tcBorders>
                      <w:right w:val="single" w:sz="4" w:space="0" w:color="auto"/>
                    </w:tcBorders>
                    <w:vAlign w:val="center"/>
                  </w:tcPr>
                  <w:p w:rsidR="000871F7" w:rsidRPr="00A0098F" w:rsidRDefault="000871F7" w:rsidP="000871F7">
                    <w:pPr>
                      <w:jc w:val="right"/>
                      <w:rPr>
                        <w:sz w:val="14"/>
                        <w:szCs w:val="14"/>
                      </w:rPr>
                    </w:pPr>
                    <w:r w:rsidRPr="00A0098F">
                      <w:rPr>
                        <w:sz w:val="14"/>
                        <w:szCs w:val="14"/>
                      </w:rPr>
                      <w:t>0</w:t>
                    </w:r>
                  </w:p>
                </w:tc>
                <w:tc>
                  <w:tcPr>
                    <w:tcW w:w="1445" w:type="dxa"/>
                    <w:tcBorders>
                      <w:left w:val="single" w:sz="4" w:space="0" w:color="auto"/>
                    </w:tcBorders>
                    <w:vAlign w:val="center"/>
                  </w:tcPr>
                  <w:p w:rsidR="000871F7" w:rsidRPr="00A0098F" w:rsidRDefault="000871F7" w:rsidP="000871F7">
                    <w:pPr>
                      <w:jc w:val="right"/>
                      <w:rPr>
                        <w:sz w:val="14"/>
                        <w:szCs w:val="14"/>
                      </w:rPr>
                    </w:pPr>
                    <w:r w:rsidRPr="00A0098F">
                      <w:rPr>
                        <w:sz w:val="14"/>
                        <w:szCs w:val="14"/>
                      </w:rPr>
                      <w:t>0</w:t>
                    </w:r>
                  </w:p>
                </w:tc>
                <w:tc>
                  <w:tcPr>
                    <w:tcW w:w="1391" w:type="dxa"/>
                    <w:vAlign w:val="center"/>
                  </w:tcPr>
                  <w:p w:rsidR="000871F7" w:rsidRPr="00A0098F" w:rsidRDefault="000871F7" w:rsidP="000871F7">
                    <w:pPr>
                      <w:jc w:val="right"/>
                      <w:rPr>
                        <w:sz w:val="14"/>
                        <w:szCs w:val="14"/>
                      </w:rPr>
                    </w:pPr>
                    <w:r w:rsidRPr="00A0098F">
                      <w:rPr>
                        <w:sz w:val="14"/>
                        <w:szCs w:val="14"/>
                      </w:rPr>
                      <w:t>0</w:t>
                    </w:r>
                  </w:p>
                </w:tc>
                <w:tc>
                  <w:tcPr>
                    <w:tcW w:w="1377" w:type="dxa"/>
                    <w:vAlign w:val="center"/>
                  </w:tcPr>
                  <w:p w:rsidR="000871F7" w:rsidRPr="00A0098F" w:rsidRDefault="000871F7" w:rsidP="000871F7">
                    <w:pPr>
                      <w:jc w:val="right"/>
                      <w:rPr>
                        <w:sz w:val="14"/>
                        <w:szCs w:val="14"/>
                      </w:rPr>
                    </w:pPr>
                    <w:r w:rsidRPr="00A0098F">
                      <w:rPr>
                        <w:sz w:val="14"/>
                        <w:szCs w:val="14"/>
                      </w:rPr>
                      <w:t>0</w:t>
                    </w:r>
                  </w:p>
                </w:tc>
                <w:tc>
                  <w:tcPr>
                    <w:tcW w:w="1391" w:type="dxa"/>
                    <w:vAlign w:val="center"/>
                  </w:tcPr>
                  <w:p w:rsidR="000871F7" w:rsidRPr="00A0098F" w:rsidRDefault="000871F7" w:rsidP="000871F7">
                    <w:pPr>
                      <w:jc w:val="right"/>
                      <w:rPr>
                        <w:sz w:val="14"/>
                        <w:szCs w:val="14"/>
                      </w:rPr>
                    </w:pPr>
                    <w:r w:rsidRPr="00A0098F">
                      <w:rPr>
                        <w:sz w:val="14"/>
                        <w:szCs w:val="14"/>
                      </w:rPr>
                      <w:t>0</w:t>
                    </w:r>
                  </w:p>
                </w:tc>
                <w:tc>
                  <w:tcPr>
                    <w:tcW w:w="1376" w:type="dxa"/>
                    <w:vAlign w:val="center"/>
                  </w:tcPr>
                  <w:p w:rsidR="000871F7" w:rsidRPr="00A0098F" w:rsidRDefault="000871F7" w:rsidP="000871F7">
                    <w:pPr>
                      <w:jc w:val="right"/>
                      <w:rPr>
                        <w:sz w:val="14"/>
                        <w:szCs w:val="14"/>
                      </w:rPr>
                    </w:pPr>
                    <w:r w:rsidRPr="00A0098F">
                      <w:rPr>
                        <w:sz w:val="14"/>
                        <w:szCs w:val="14"/>
                      </w:rPr>
                      <w:t>0</w:t>
                    </w:r>
                  </w:p>
                </w:tc>
                <w:tc>
                  <w:tcPr>
                    <w:tcW w:w="1363" w:type="dxa"/>
                    <w:vAlign w:val="center"/>
                  </w:tcPr>
                  <w:p w:rsidR="000871F7" w:rsidRPr="00A0098F" w:rsidRDefault="000871F7" w:rsidP="000871F7">
                    <w:pPr>
                      <w:jc w:val="right"/>
                      <w:rPr>
                        <w:sz w:val="14"/>
                        <w:szCs w:val="14"/>
                      </w:rPr>
                    </w:pPr>
                    <w:r w:rsidRPr="00A0098F">
                      <w:rPr>
                        <w:sz w:val="14"/>
                        <w:szCs w:val="14"/>
                      </w:rPr>
                      <w:t>0</w:t>
                    </w:r>
                  </w:p>
                </w:tc>
                <w:tc>
                  <w:tcPr>
                    <w:tcW w:w="1381" w:type="dxa"/>
                    <w:vAlign w:val="center"/>
                  </w:tcPr>
                  <w:p w:rsidR="000871F7" w:rsidRPr="00A0098F" w:rsidRDefault="000871F7" w:rsidP="000871F7">
                    <w:pPr>
                      <w:jc w:val="right"/>
                      <w:rPr>
                        <w:sz w:val="14"/>
                        <w:szCs w:val="14"/>
                      </w:rPr>
                    </w:pPr>
                    <w:r w:rsidRPr="00A0098F">
                      <w:rPr>
                        <w:sz w:val="14"/>
                        <w:szCs w:val="14"/>
                      </w:rPr>
                      <w:t>0</w:t>
                    </w:r>
                  </w:p>
                </w:tc>
              </w:tr>
              <w:tr w:rsidR="000871F7" w:rsidRPr="00A0098F" w:rsidTr="00601D47">
                <w:trPr>
                  <w:trHeight w:val="20"/>
                </w:trPr>
                <w:sdt>
                  <w:sdtPr>
                    <w:rPr>
                      <w:sz w:val="14"/>
                      <w:szCs w:val="14"/>
                    </w:rPr>
                    <w:tag w:val="_PLD_c2dd17db22d54e02ba5942412d96f3ac"/>
                    <w:id w:val="1266579406"/>
                    <w:lock w:val="sdtLocked"/>
                  </w:sdtPr>
                  <w:sdtContent>
                    <w:tc>
                      <w:tcPr>
                        <w:tcW w:w="2805" w:type="dxa"/>
                      </w:tcPr>
                      <w:p w:rsidR="000871F7" w:rsidRPr="00A0098F" w:rsidRDefault="000871F7" w:rsidP="000871F7">
                        <w:pPr>
                          <w:rPr>
                            <w:sz w:val="14"/>
                            <w:szCs w:val="14"/>
                          </w:rPr>
                        </w:pPr>
                        <w:r w:rsidRPr="00A0098F">
                          <w:rPr>
                            <w:sz w:val="14"/>
                            <w:szCs w:val="14"/>
                          </w:rPr>
                          <w:t>2．盈余公积转增资本（或股本）</w:t>
                        </w:r>
                      </w:p>
                    </w:tc>
                  </w:sdtContent>
                </w:sdt>
                <w:tc>
                  <w:tcPr>
                    <w:tcW w:w="1431" w:type="dxa"/>
                    <w:tcBorders>
                      <w:right w:val="single" w:sz="4" w:space="0" w:color="auto"/>
                    </w:tcBorders>
                    <w:vAlign w:val="center"/>
                  </w:tcPr>
                  <w:p w:rsidR="000871F7" w:rsidRPr="00A0098F" w:rsidRDefault="000871F7" w:rsidP="000871F7">
                    <w:pPr>
                      <w:jc w:val="right"/>
                      <w:rPr>
                        <w:sz w:val="14"/>
                        <w:szCs w:val="14"/>
                      </w:rPr>
                    </w:pPr>
                    <w:r w:rsidRPr="00A0098F">
                      <w:rPr>
                        <w:sz w:val="14"/>
                        <w:szCs w:val="14"/>
                      </w:rPr>
                      <w:t>0</w:t>
                    </w:r>
                  </w:p>
                </w:tc>
                <w:tc>
                  <w:tcPr>
                    <w:tcW w:w="1445" w:type="dxa"/>
                    <w:tcBorders>
                      <w:left w:val="single" w:sz="4" w:space="0" w:color="auto"/>
                    </w:tcBorders>
                    <w:vAlign w:val="center"/>
                  </w:tcPr>
                  <w:p w:rsidR="000871F7" w:rsidRPr="00A0098F" w:rsidRDefault="000871F7" w:rsidP="000871F7">
                    <w:pPr>
                      <w:jc w:val="right"/>
                      <w:rPr>
                        <w:sz w:val="14"/>
                        <w:szCs w:val="14"/>
                      </w:rPr>
                    </w:pPr>
                    <w:r w:rsidRPr="00A0098F">
                      <w:rPr>
                        <w:sz w:val="14"/>
                        <w:szCs w:val="14"/>
                      </w:rPr>
                      <w:t>0</w:t>
                    </w:r>
                  </w:p>
                </w:tc>
                <w:tc>
                  <w:tcPr>
                    <w:tcW w:w="1391" w:type="dxa"/>
                    <w:vAlign w:val="center"/>
                  </w:tcPr>
                  <w:p w:rsidR="000871F7" w:rsidRPr="00A0098F" w:rsidRDefault="000871F7" w:rsidP="000871F7">
                    <w:pPr>
                      <w:jc w:val="right"/>
                      <w:rPr>
                        <w:sz w:val="14"/>
                        <w:szCs w:val="14"/>
                      </w:rPr>
                    </w:pPr>
                    <w:r w:rsidRPr="00A0098F">
                      <w:rPr>
                        <w:sz w:val="14"/>
                        <w:szCs w:val="14"/>
                      </w:rPr>
                      <w:t>0</w:t>
                    </w:r>
                  </w:p>
                </w:tc>
                <w:tc>
                  <w:tcPr>
                    <w:tcW w:w="1377" w:type="dxa"/>
                    <w:vAlign w:val="center"/>
                  </w:tcPr>
                  <w:p w:rsidR="000871F7" w:rsidRPr="00A0098F" w:rsidRDefault="000871F7" w:rsidP="000871F7">
                    <w:pPr>
                      <w:jc w:val="right"/>
                      <w:rPr>
                        <w:sz w:val="14"/>
                        <w:szCs w:val="14"/>
                      </w:rPr>
                    </w:pPr>
                    <w:r w:rsidRPr="00A0098F">
                      <w:rPr>
                        <w:sz w:val="14"/>
                        <w:szCs w:val="14"/>
                      </w:rPr>
                      <w:t>0</w:t>
                    </w:r>
                  </w:p>
                </w:tc>
                <w:tc>
                  <w:tcPr>
                    <w:tcW w:w="1391" w:type="dxa"/>
                    <w:vAlign w:val="center"/>
                  </w:tcPr>
                  <w:p w:rsidR="000871F7" w:rsidRPr="00A0098F" w:rsidRDefault="000871F7" w:rsidP="000871F7">
                    <w:pPr>
                      <w:jc w:val="right"/>
                      <w:rPr>
                        <w:sz w:val="14"/>
                        <w:szCs w:val="14"/>
                      </w:rPr>
                    </w:pPr>
                    <w:r w:rsidRPr="00A0098F">
                      <w:rPr>
                        <w:sz w:val="14"/>
                        <w:szCs w:val="14"/>
                      </w:rPr>
                      <w:t>0</w:t>
                    </w:r>
                  </w:p>
                </w:tc>
                <w:tc>
                  <w:tcPr>
                    <w:tcW w:w="1376" w:type="dxa"/>
                    <w:vAlign w:val="center"/>
                  </w:tcPr>
                  <w:p w:rsidR="000871F7" w:rsidRPr="00A0098F" w:rsidRDefault="000871F7" w:rsidP="000871F7">
                    <w:pPr>
                      <w:jc w:val="right"/>
                      <w:rPr>
                        <w:sz w:val="14"/>
                        <w:szCs w:val="14"/>
                      </w:rPr>
                    </w:pPr>
                    <w:r w:rsidRPr="00A0098F">
                      <w:rPr>
                        <w:sz w:val="14"/>
                        <w:szCs w:val="14"/>
                      </w:rPr>
                      <w:t>0</w:t>
                    </w:r>
                  </w:p>
                </w:tc>
                <w:tc>
                  <w:tcPr>
                    <w:tcW w:w="1363" w:type="dxa"/>
                    <w:vAlign w:val="center"/>
                  </w:tcPr>
                  <w:p w:rsidR="000871F7" w:rsidRPr="00A0098F" w:rsidRDefault="000871F7" w:rsidP="000871F7">
                    <w:pPr>
                      <w:jc w:val="right"/>
                      <w:rPr>
                        <w:sz w:val="14"/>
                        <w:szCs w:val="14"/>
                      </w:rPr>
                    </w:pPr>
                    <w:r w:rsidRPr="00A0098F">
                      <w:rPr>
                        <w:sz w:val="14"/>
                        <w:szCs w:val="14"/>
                      </w:rPr>
                      <w:t>0</w:t>
                    </w:r>
                  </w:p>
                </w:tc>
                <w:tc>
                  <w:tcPr>
                    <w:tcW w:w="1381" w:type="dxa"/>
                    <w:vAlign w:val="center"/>
                  </w:tcPr>
                  <w:p w:rsidR="000871F7" w:rsidRPr="00A0098F" w:rsidRDefault="000871F7" w:rsidP="000871F7">
                    <w:pPr>
                      <w:jc w:val="right"/>
                      <w:rPr>
                        <w:sz w:val="14"/>
                        <w:szCs w:val="14"/>
                      </w:rPr>
                    </w:pPr>
                    <w:r w:rsidRPr="00A0098F">
                      <w:rPr>
                        <w:sz w:val="14"/>
                        <w:szCs w:val="14"/>
                      </w:rPr>
                      <w:t>0</w:t>
                    </w:r>
                  </w:p>
                </w:tc>
              </w:tr>
              <w:tr w:rsidR="000871F7" w:rsidRPr="00A0098F" w:rsidTr="00601D47">
                <w:trPr>
                  <w:trHeight w:val="20"/>
                </w:trPr>
                <w:sdt>
                  <w:sdtPr>
                    <w:rPr>
                      <w:sz w:val="14"/>
                      <w:szCs w:val="14"/>
                    </w:rPr>
                    <w:tag w:val="_PLD_de8855f6aaf94578a33d614865e23362"/>
                    <w:id w:val="2102603182"/>
                    <w:lock w:val="sdtLocked"/>
                  </w:sdtPr>
                  <w:sdtContent>
                    <w:tc>
                      <w:tcPr>
                        <w:tcW w:w="2805" w:type="dxa"/>
                      </w:tcPr>
                      <w:p w:rsidR="000871F7" w:rsidRPr="00A0098F" w:rsidRDefault="000871F7" w:rsidP="000871F7">
                        <w:pPr>
                          <w:rPr>
                            <w:sz w:val="14"/>
                            <w:szCs w:val="14"/>
                          </w:rPr>
                        </w:pPr>
                        <w:r w:rsidRPr="00A0098F">
                          <w:rPr>
                            <w:sz w:val="14"/>
                            <w:szCs w:val="14"/>
                          </w:rPr>
                          <w:t>3．盈余公积弥补亏损</w:t>
                        </w:r>
                      </w:p>
                    </w:tc>
                  </w:sdtContent>
                </w:sdt>
                <w:tc>
                  <w:tcPr>
                    <w:tcW w:w="1431" w:type="dxa"/>
                    <w:tcBorders>
                      <w:right w:val="single" w:sz="4" w:space="0" w:color="auto"/>
                    </w:tcBorders>
                    <w:vAlign w:val="center"/>
                  </w:tcPr>
                  <w:p w:rsidR="000871F7" w:rsidRPr="00A0098F" w:rsidRDefault="000871F7" w:rsidP="000871F7">
                    <w:pPr>
                      <w:jc w:val="right"/>
                      <w:rPr>
                        <w:sz w:val="14"/>
                        <w:szCs w:val="14"/>
                      </w:rPr>
                    </w:pPr>
                    <w:r w:rsidRPr="00A0098F">
                      <w:rPr>
                        <w:sz w:val="14"/>
                        <w:szCs w:val="14"/>
                      </w:rPr>
                      <w:t>0</w:t>
                    </w:r>
                  </w:p>
                </w:tc>
                <w:tc>
                  <w:tcPr>
                    <w:tcW w:w="1445" w:type="dxa"/>
                    <w:tcBorders>
                      <w:left w:val="single" w:sz="4" w:space="0" w:color="auto"/>
                    </w:tcBorders>
                    <w:vAlign w:val="center"/>
                  </w:tcPr>
                  <w:p w:rsidR="000871F7" w:rsidRPr="00A0098F" w:rsidRDefault="000871F7" w:rsidP="000871F7">
                    <w:pPr>
                      <w:jc w:val="right"/>
                      <w:rPr>
                        <w:sz w:val="14"/>
                        <w:szCs w:val="14"/>
                      </w:rPr>
                    </w:pPr>
                    <w:r w:rsidRPr="00A0098F">
                      <w:rPr>
                        <w:sz w:val="14"/>
                        <w:szCs w:val="14"/>
                      </w:rPr>
                      <w:t>0</w:t>
                    </w:r>
                  </w:p>
                </w:tc>
                <w:tc>
                  <w:tcPr>
                    <w:tcW w:w="1391" w:type="dxa"/>
                    <w:vAlign w:val="center"/>
                  </w:tcPr>
                  <w:p w:rsidR="000871F7" w:rsidRPr="00A0098F" w:rsidRDefault="000871F7" w:rsidP="000871F7">
                    <w:pPr>
                      <w:jc w:val="right"/>
                      <w:rPr>
                        <w:sz w:val="14"/>
                        <w:szCs w:val="14"/>
                      </w:rPr>
                    </w:pPr>
                    <w:r w:rsidRPr="00A0098F">
                      <w:rPr>
                        <w:sz w:val="14"/>
                        <w:szCs w:val="14"/>
                      </w:rPr>
                      <w:t>0</w:t>
                    </w:r>
                  </w:p>
                </w:tc>
                <w:tc>
                  <w:tcPr>
                    <w:tcW w:w="1377" w:type="dxa"/>
                    <w:vAlign w:val="center"/>
                  </w:tcPr>
                  <w:p w:rsidR="000871F7" w:rsidRPr="00A0098F" w:rsidRDefault="000871F7" w:rsidP="000871F7">
                    <w:pPr>
                      <w:jc w:val="right"/>
                      <w:rPr>
                        <w:sz w:val="14"/>
                        <w:szCs w:val="14"/>
                      </w:rPr>
                    </w:pPr>
                    <w:r w:rsidRPr="00A0098F">
                      <w:rPr>
                        <w:sz w:val="14"/>
                        <w:szCs w:val="14"/>
                      </w:rPr>
                      <w:t>0</w:t>
                    </w:r>
                  </w:p>
                </w:tc>
                <w:tc>
                  <w:tcPr>
                    <w:tcW w:w="1391" w:type="dxa"/>
                    <w:vAlign w:val="center"/>
                  </w:tcPr>
                  <w:p w:rsidR="000871F7" w:rsidRPr="00A0098F" w:rsidRDefault="000871F7" w:rsidP="000871F7">
                    <w:pPr>
                      <w:jc w:val="right"/>
                      <w:rPr>
                        <w:sz w:val="14"/>
                        <w:szCs w:val="14"/>
                      </w:rPr>
                    </w:pPr>
                    <w:r w:rsidRPr="00A0098F">
                      <w:rPr>
                        <w:sz w:val="14"/>
                        <w:szCs w:val="14"/>
                      </w:rPr>
                      <w:t>0</w:t>
                    </w:r>
                  </w:p>
                </w:tc>
                <w:tc>
                  <w:tcPr>
                    <w:tcW w:w="1376" w:type="dxa"/>
                    <w:vAlign w:val="center"/>
                  </w:tcPr>
                  <w:p w:rsidR="000871F7" w:rsidRPr="00A0098F" w:rsidRDefault="000871F7" w:rsidP="000871F7">
                    <w:pPr>
                      <w:jc w:val="right"/>
                      <w:rPr>
                        <w:sz w:val="14"/>
                        <w:szCs w:val="14"/>
                      </w:rPr>
                    </w:pPr>
                    <w:r w:rsidRPr="00A0098F">
                      <w:rPr>
                        <w:sz w:val="14"/>
                        <w:szCs w:val="14"/>
                      </w:rPr>
                      <w:t>0</w:t>
                    </w:r>
                  </w:p>
                </w:tc>
                <w:tc>
                  <w:tcPr>
                    <w:tcW w:w="1363" w:type="dxa"/>
                    <w:vAlign w:val="center"/>
                  </w:tcPr>
                  <w:p w:rsidR="000871F7" w:rsidRPr="00A0098F" w:rsidRDefault="000871F7" w:rsidP="000871F7">
                    <w:pPr>
                      <w:jc w:val="right"/>
                      <w:rPr>
                        <w:sz w:val="14"/>
                        <w:szCs w:val="14"/>
                      </w:rPr>
                    </w:pPr>
                    <w:r w:rsidRPr="00A0098F">
                      <w:rPr>
                        <w:sz w:val="14"/>
                        <w:szCs w:val="14"/>
                      </w:rPr>
                      <w:t>0</w:t>
                    </w:r>
                  </w:p>
                </w:tc>
                <w:tc>
                  <w:tcPr>
                    <w:tcW w:w="1381" w:type="dxa"/>
                    <w:vAlign w:val="center"/>
                  </w:tcPr>
                  <w:p w:rsidR="000871F7" w:rsidRPr="00A0098F" w:rsidRDefault="000871F7" w:rsidP="000871F7">
                    <w:pPr>
                      <w:jc w:val="right"/>
                      <w:rPr>
                        <w:sz w:val="14"/>
                        <w:szCs w:val="14"/>
                      </w:rPr>
                    </w:pPr>
                    <w:r w:rsidRPr="00A0098F">
                      <w:rPr>
                        <w:sz w:val="14"/>
                        <w:szCs w:val="14"/>
                      </w:rPr>
                      <w:t>0</w:t>
                    </w:r>
                  </w:p>
                </w:tc>
              </w:tr>
              <w:tr w:rsidR="000871F7" w:rsidRPr="00A0098F" w:rsidTr="00601D47">
                <w:trPr>
                  <w:trHeight w:val="20"/>
                </w:trPr>
                <w:tc>
                  <w:tcPr>
                    <w:tcW w:w="2805" w:type="dxa"/>
                  </w:tcPr>
                  <w:sdt>
                    <w:sdtPr>
                      <w:rPr>
                        <w:sz w:val="14"/>
                        <w:szCs w:val="14"/>
                      </w:rPr>
                      <w:tag w:val="_PLD_0a2eca501c544dfc9dfd8d666c32970b"/>
                      <w:id w:val="1333024634"/>
                      <w:lock w:val="sdtLocked"/>
                    </w:sdtPr>
                    <w:sdtContent>
                      <w:p w:rsidR="000871F7" w:rsidRPr="00A0098F" w:rsidRDefault="000871F7" w:rsidP="000871F7">
                        <w:pPr>
                          <w:rPr>
                            <w:sz w:val="14"/>
                            <w:szCs w:val="14"/>
                          </w:rPr>
                        </w:pPr>
                        <w:r w:rsidRPr="00A0098F">
                          <w:rPr>
                            <w:sz w:val="14"/>
                            <w:szCs w:val="14"/>
                          </w:rPr>
                          <w:t>4．设定受益计划变动额结转留存收益</w:t>
                        </w:r>
                      </w:p>
                    </w:sdtContent>
                  </w:sdt>
                </w:tc>
                <w:tc>
                  <w:tcPr>
                    <w:tcW w:w="1431" w:type="dxa"/>
                    <w:tcBorders>
                      <w:right w:val="single" w:sz="4" w:space="0" w:color="auto"/>
                    </w:tcBorders>
                    <w:vAlign w:val="center"/>
                  </w:tcPr>
                  <w:p w:rsidR="000871F7" w:rsidRPr="00A0098F" w:rsidRDefault="000871F7" w:rsidP="000871F7">
                    <w:pPr>
                      <w:jc w:val="right"/>
                      <w:rPr>
                        <w:sz w:val="14"/>
                        <w:szCs w:val="14"/>
                      </w:rPr>
                    </w:pPr>
                    <w:r w:rsidRPr="00A0098F">
                      <w:rPr>
                        <w:sz w:val="14"/>
                        <w:szCs w:val="14"/>
                      </w:rPr>
                      <w:t>0</w:t>
                    </w:r>
                  </w:p>
                </w:tc>
                <w:tc>
                  <w:tcPr>
                    <w:tcW w:w="1445" w:type="dxa"/>
                    <w:tcBorders>
                      <w:left w:val="single" w:sz="4" w:space="0" w:color="auto"/>
                    </w:tcBorders>
                    <w:vAlign w:val="center"/>
                  </w:tcPr>
                  <w:p w:rsidR="000871F7" w:rsidRPr="00A0098F" w:rsidRDefault="000871F7" w:rsidP="000871F7">
                    <w:pPr>
                      <w:jc w:val="right"/>
                      <w:rPr>
                        <w:sz w:val="14"/>
                        <w:szCs w:val="14"/>
                      </w:rPr>
                    </w:pPr>
                    <w:r w:rsidRPr="00A0098F">
                      <w:rPr>
                        <w:sz w:val="14"/>
                        <w:szCs w:val="14"/>
                      </w:rPr>
                      <w:t>0</w:t>
                    </w:r>
                  </w:p>
                </w:tc>
                <w:tc>
                  <w:tcPr>
                    <w:tcW w:w="1391" w:type="dxa"/>
                    <w:vAlign w:val="center"/>
                  </w:tcPr>
                  <w:p w:rsidR="000871F7" w:rsidRPr="00A0098F" w:rsidRDefault="000871F7" w:rsidP="000871F7">
                    <w:pPr>
                      <w:jc w:val="right"/>
                      <w:rPr>
                        <w:sz w:val="14"/>
                        <w:szCs w:val="14"/>
                      </w:rPr>
                    </w:pPr>
                    <w:r w:rsidRPr="00A0098F">
                      <w:rPr>
                        <w:sz w:val="14"/>
                        <w:szCs w:val="14"/>
                      </w:rPr>
                      <w:t>0</w:t>
                    </w:r>
                  </w:p>
                </w:tc>
                <w:tc>
                  <w:tcPr>
                    <w:tcW w:w="1377" w:type="dxa"/>
                    <w:vAlign w:val="center"/>
                  </w:tcPr>
                  <w:p w:rsidR="000871F7" w:rsidRPr="00A0098F" w:rsidRDefault="000871F7" w:rsidP="000871F7">
                    <w:pPr>
                      <w:jc w:val="right"/>
                      <w:rPr>
                        <w:sz w:val="14"/>
                        <w:szCs w:val="14"/>
                      </w:rPr>
                    </w:pPr>
                    <w:r w:rsidRPr="00A0098F">
                      <w:rPr>
                        <w:sz w:val="14"/>
                        <w:szCs w:val="14"/>
                      </w:rPr>
                      <w:t>0</w:t>
                    </w:r>
                  </w:p>
                </w:tc>
                <w:tc>
                  <w:tcPr>
                    <w:tcW w:w="1391" w:type="dxa"/>
                    <w:vAlign w:val="center"/>
                  </w:tcPr>
                  <w:p w:rsidR="000871F7" w:rsidRPr="00A0098F" w:rsidRDefault="000871F7" w:rsidP="000871F7">
                    <w:pPr>
                      <w:jc w:val="right"/>
                      <w:rPr>
                        <w:sz w:val="14"/>
                        <w:szCs w:val="14"/>
                      </w:rPr>
                    </w:pPr>
                    <w:r w:rsidRPr="00A0098F">
                      <w:rPr>
                        <w:sz w:val="14"/>
                        <w:szCs w:val="14"/>
                      </w:rPr>
                      <w:t>0</w:t>
                    </w:r>
                  </w:p>
                </w:tc>
                <w:tc>
                  <w:tcPr>
                    <w:tcW w:w="1376" w:type="dxa"/>
                    <w:vAlign w:val="center"/>
                  </w:tcPr>
                  <w:p w:rsidR="000871F7" w:rsidRPr="00A0098F" w:rsidRDefault="000871F7" w:rsidP="000871F7">
                    <w:pPr>
                      <w:jc w:val="right"/>
                      <w:rPr>
                        <w:sz w:val="14"/>
                        <w:szCs w:val="14"/>
                      </w:rPr>
                    </w:pPr>
                    <w:r w:rsidRPr="00A0098F">
                      <w:rPr>
                        <w:sz w:val="14"/>
                        <w:szCs w:val="14"/>
                      </w:rPr>
                      <w:t>0</w:t>
                    </w:r>
                  </w:p>
                </w:tc>
                <w:tc>
                  <w:tcPr>
                    <w:tcW w:w="1363" w:type="dxa"/>
                    <w:vAlign w:val="center"/>
                  </w:tcPr>
                  <w:p w:rsidR="000871F7" w:rsidRPr="00A0098F" w:rsidRDefault="000871F7" w:rsidP="000871F7">
                    <w:pPr>
                      <w:jc w:val="right"/>
                      <w:rPr>
                        <w:sz w:val="14"/>
                        <w:szCs w:val="14"/>
                      </w:rPr>
                    </w:pPr>
                    <w:r w:rsidRPr="00A0098F">
                      <w:rPr>
                        <w:sz w:val="14"/>
                        <w:szCs w:val="14"/>
                      </w:rPr>
                      <w:t>0</w:t>
                    </w:r>
                  </w:p>
                </w:tc>
                <w:tc>
                  <w:tcPr>
                    <w:tcW w:w="1381" w:type="dxa"/>
                    <w:vAlign w:val="center"/>
                  </w:tcPr>
                  <w:p w:rsidR="000871F7" w:rsidRPr="00A0098F" w:rsidRDefault="000871F7" w:rsidP="000871F7">
                    <w:pPr>
                      <w:jc w:val="right"/>
                      <w:rPr>
                        <w:sz w:val="14"/>
                        <w:szCs w:val="14"/>
                      </w:rPr>
                    </w:pPr>
                    <w:r w:rsidRPr="00A0098F">
                      <w:rPr>
                        <w:sz w:val="14"/>
                        <w:szCs w:val="14"/>
                      </w:rPr>
                      <w:t>0</w:t>
                    </w:r>
                  </w:p>
                </w:tc>
              </w:tr>
              <w:tr w:rsidR="000871F7" w:rsidRPr="00A0098F" w:rsidTr="00601D47">
                <w:trPr>
                  <w:trHeight w:val="20"/>
                </w:trPr>
                <w:tc>
                  <w:tcPr>
                    <w:tcW w:w="2805" w:type="dxa"/>
                  </w:tcPr>
                  <w:sdt>
                    <w:sdtPr>
                      <w:rPr>
                        <w:sz w:val="14"/>
                        <w:szCs w:val="14"/>
                      </w:rPr>
                      <w:tag w:val="_PLD_e2c794a3876347288864cf2ea4ed53e5"/>
                      <w:id w:val="1671522833"/>
                      <w:lock w:val="sdtLocked"/>
                    </w:sdtPr>
                    <w:sdtContent>
                      <w:p w:rsidR="000871F7" w:rsidRPr="00A0098F" w:rsidRDefault="000871F7" w:rsidP="000871F7">
                        <w:pPr>
                          <w:rPr>
                            <w:sz w:val="14"/>
                            <w:szCs w:val="14"/>
                          </w:rPr>
                        </w:pPr>
                        <w:r w:rsidRPr="00A0098F">
                          <w:rPr>
                            <w:sz w:val="14"/>
                            <w:szCs w:val="14"/>
                          </w:rPr>
                          <w:t>5．其他综合收益结转留存收益</w:t>
                        </w:r>
                      </w:p>
                    </w:sdtContent>
                  </w:sdt>
                </w:tc>
                <w:tc>
                  <w:tcPr>
                    <w:tcW w:w="1431" w:type="dxa"/>
                    <w:tcBorders>
                      <w:right w:val="single" w:sz="4" w:space="0" w:color="auto"/>
                    </w:tcBorders>
                    <w:vAlign w:val="center"/>
                  </w:tcPr>
                  <w:p w:rsidR="000871F7" w:rsidRPr="00A0098F" w:rsidRDefault="000871F7" w:rsidP="000871F7">
                    <w:pPr>
                      <w:jc w:val="right"/>
                      <w:rPr>
                        <w:sz w:val="14"/>
                        <w:szCs w:val="14"/>
                      </w:rPr>
                    </w:pPr>
                    <w:r w:rsidRPr="00A0098F">
                      <w:rPr>
                        <w:sz w:val="14"/>
                        <w:szCs w:val="14"/>
                      </w:rPr>
                      <w:t>0</w:t>
                    </w:r>
                  </w:p>
                </w:tc>
                <w:tc>
                  <w:tcPr>
                    <w:tcW w:w="1445" w:type="dxa"/>
                    <w:tcBorders>
                      <w:left w:val="single" w:sz="4" w:space="0" w:color="auto"/>
                    </w:tcBorders>
                    <w:vAlign w:val="center"/>
                  </w:tcPr>
                  <w:p w:rsidR="000871F7" w:rsidRPr="00A0098F" w:rsidRDefault="000871F7" w:rsidP="000871F7">
                    <w:pPr>
                      <w:jc w:val="right"/>
                      <w:rPr>
                        <w:sz w:val="14"/>
                        <w:szCs w:val="14"/>
                      </w:rPr>
                    </w:pPr>
                    <w:r w:rsidRPr="00A0098F">
                      <w:rPr>
                        <w:sz w:val="14"/>
                        <w:szCs w:val="14"/>
                      </w:rPr>
                      <w:t>0</w:t>
                    </w:r>
                  </w:p>
                </w:tc>
                <w:tc>
                  <w:tcPr>
                    <w:tcW w:w="1391" w:type="dxa"/>
                    <w:vAlign w:val="center"/>
                  </w:tcPr>
                  <w:p w:rsidR="000871F7" w:rsidRPr="00A0098F" w:rsidRDefault="000871F7" w:rsidP="000871F7">
                    <w:pPr>
                      <w:jc w:val="right"/>
                      <w:rPr>
                        <w:sz w:val="14"/>
                        <w:szCs w:val="14"/>
                      </w:rPr>
                    </w:pPr>
                    <w:r w:rsidRPr="00A0098F">
                      <w:rPr>
                        <w:sz w:val="14"/>
                        <w:szCs w:val="14"/>
                      </w:rPr>
                      <w:t>0</w:t>
                    </w:r>
                  </w:p>
                </w:tc>
                <w:tc>
                  <w:tcPr>
                    <w:tcW w:w="1377" w:type="dxa"/>
                    <w:vAlign w:val="center"/>
                  </w:tcPr>
                  <w:p w:rsidR="000871F7" w:rsidRPr="00A0098F" w:rsidRDefault="000871F7" w:rsidP="000871F7">
                    <w:pPr>
                      <w:jc w:val="right"/>
                      <w:rPr>
                        <w:sz w:val="14"/>
                        <w:szCs w:val="14"/>
                      </w:rPr>
                    </w:pPr>
                    <w:r w:rsidRPr="00A0098F">
                      <w:rPr>
                        <w:sz w:val="14"/>
                        <w:szCs w:val="14"/>
                      </w:rPr>
                      <w:t>0</w:t>
                    </w:r>
                  </w:p>
                </w:tc>
                <w:tc>
                  <w:tcPr>
                    <w:tcW w:w="1391" w:type="dxa"/>
                    <w:vAlign w:val="center"/>
                  </w:tcPr>
                  <w:p w:rsidR="000871F7" w:rsidRPr="00A0098F" w:rsidRDefault="000871F7" w:rsidP="000871F7">
                    <w:pPr>
                      <w:jc w:val="right"/>
                      <w:rPr>
                        <w:sz w:val="14"/>
                        <w:szCs w:val="14"/>
                      </w:rPr>
                    </w:pPr>
                    <w:r w:rsidRPr="00A0098F">
                      <w:rPr>
                        <w:sz w:val="14"/>
                        <w:szCs w:val="14"/>
                      </w:rPr>
                      <w:t>0</w:t>
                    </w:r>
                  </w:p>
                </w:tc>
                <w:tc>
                  <w:tcPr>
                    <w:tcW w:w="1376" w:type="dxa"/>
                    <w:vAlign w:val="center"/>
                  </w:tcPr>
                  <w:p w:rsidR="000871F7" w:rsidRPr="00A0098F" w:rsidRDefault="000871F7" w:rsidP="000871F7">
                    <w:pPr>
                      <w:jc w:val="right"/>
                      <w:rPr>
                        <w:sz w:val="14"/>
                        <w:szCs w:val="14"/>
                      </w:rPr>
                    </w:pPr>
                    <w:r w:rsidRPr="00A0098F">
                      <w:rPr>
                        <w:sz w:val="14"/>
                        <w:szCs w:val="14"/>
                      </w:rPr>
                      <w:t>0</w:t>
                    </w:r>
                  </w:p>
                </w:tc>
                <w:tc>
                  <w:tcPr>
                    <w:tcW w:w="1363" w:type="dxa"/>
                    <w:vAlign w:val="center"/>
                  </w:tcPr>
                  <w:p w:rsidR="000871F7" w:rsidRPr="00A0098F" w:rsidRDefault="000871F7" w:rsidP="000871F7">
                    <w:pPr>
                      <w:jc w:val="right"/>
                      <w:rPr>
                        <w:sz w:val="14"/>
                        <w:szCs w:val="14"/>
                      </w:rPr>
                    </w:pPr>
                    <w:r w:rsidRPr="00A0098F">
                      <w:rPr>
                        <w:sz w:val="14"/>
                        <w:szCs w:val="14"/>
                      </w:rPr>
                      <w:t>0</w:t>
                    </w:r>
                  </w:p>
                </w:tc>
                <w:tc>
                  <w:tcPr>
                    <w:tcW w:w="1381" w:type="dxa"/>
                    <w:vAlign w:val="center"/>
                  </w:tcPr>
                  <w:p w:rsidR="000871F7" w:rsidRPr="00A0098F" w:rsidRDefault="000871F7" w:rsidP="000871F7">
                    <w:pPr>
                      <w:jc w:val="right"/>
                      <w:rPr>
                        <w:sz w:val="14"/>
                        <w:szCs w:val="14"/>
                      </w:rPr>
                    </w:pPr>
                    <w:r w:rsidRPr="00A0098F">
                      <w:rPr>
                        <w:sz w:val="14"/>
                        <w:szCs w:val="14"/>
                      </w:rPr>
                      <w:t>0</w:t>
                    </w:r>
                  </w:p>
                </w:tc>
              </w:tr>
              <w:tr w:rsidR="000871F7" w:rsidRPr="00A0098F" w:rsidTr="00601D47">
                <w:trPr>
                  <w:trHeight w:val="20"/>
                </w:trPr>
                <w:tc>
                  <w:tcPr>
                    <w:tcW w:w="2805" w:type="dxa"/>
                  </w:tcPr>
                  <w:sdt>
                    <w:sdtPr>
                      <w:rPr>
                        <w:sz w:val="14"/>
                        <w:szCs w:val="14"/>
                      </w:rPr>
                      <w:tag w:val="_PLD_921b15a12ec54658b00654a6a398aa0c"/>
                      <w:id w:val="617575745"/>
                      <w:lock w:val="sdtLocked"/>
                    </w:sdtPr>
                    <w:sdtContent>
                      <w:p w:rsidR="000871F7" w:rsidRPr="00A0098F" w:rsidRDefault="000871F7" w:rsidP="000871F7">
                        <w:pPr>
                          <w:rPr>
                            <w:sz w:val="14"/>
                            <w:szCs w:val="14"/>
                          </w:rPr>
                        </w:pPr>
                        <w:r w:rsidRPr="00A0098F">
                          <w:rPr>
                            <w:sz w:val="14"/>
                            <w:szCs w:val="14"/>
                          </w:rPr>
                          <w:t>6．其他</w:t>
                        </w:r>
                      </w:p>
                    </w:sdtContent>
                  </w:sdt>
                </w:tc>
                <w:tc>
                  <w:tcPr>
                    <w:tcW w:w="1431" w:type="dxa"/>
                    <w:tcBorders>
                      <w:right w:val="single" w:sz="4" w:space="0" w:color="auto"/>
                    </w:tcBorders>
                    <w:vAlign w:val="center"/>
                  </w:tcPr>
                  <w:p w:rsidR="000871F7" w:rsidRPr="00A0098F" w:rsidRDefault="000871F7" w:rsidP="000871F7">
                    <w:pPr>
                      <w:jc w:val="right"/>
                      <w:rPr>
                        <w:sz w:val="14"/>
                        <w:szCs w:val="14"/>
                      </w:rPr>
                    </w:pPr>
                    <w:r w:rsidRPr="00A0098F">
                      <w:rPr>
                        <w:sz w:val="14"/>
                        <w:szCs w:val="14"/>
                      </w:rPr>
                      <w:t>0</w:t>
                    </w:r>
                  </w:p>
                </w:tc>
                <w:tc>
                  <w:tcPr>
                    <w:tcW w:w="1445" w:type="dxa"/>
                    <w:tcBorders>
                      <w:left w:val="single" w:sz="4" w:space="0" w:color="auto"/>
                    </w:tcBorders>
                    <w:vAlign w:val="center"/>
                  </w:tcPr>
                  <w:p w:rsidR="000871F7" w:rsidRPr="00A0098F" w:rsidRDefault="000871F7" w:rsidP="000871F7">
                    <w:pPr>
                      <w:jc w:val="right"/>
                      <w:rPr>
                        <w:sz w:val="14"/>
                        <w:szCs w:val="14"/>
                      </w:rPr>
                    </w:pPr>
                    <w:r w:rsidRPr="00A0098F">
                      <w:rPr>
                        <w:sz w:val="14"/>
                        <w:szCs w:val="14"/>
                      </w:rPr>
                      <w:t>0</w:t>
                    </w:r>
                  </w:p>
                </w:tc>
                <w:tc>
                  <w:tcPr>
                    <w:tcW w:w="1391" w:type="dxa"/>
                    <w:vAlign w:val="center"/>
                  </w:tcPr>
                  <w:p w:rsidR="000871F7" w:rsidRPr="00A0098F" w:rsidRDefault="000871F7" w:rsidP="000871F7">
                    <w:pPr>
                      <w:jc w:val="right"/>
                      <w:rPr>
                        <w:sz w:val="14"/>
                        <w:szCs w:val="14"/>
                      </w:rPr>
                    </w:pPr>
                    <w:r w:rsidRPr="00A0098F">
                      <w:rPr>
                        <w:sz w:val="14"/>
                        <w:szCs w:val="14"/>
                      </w:rPr>
                      <w:t>0</w:t>
                    </w:r>
                  </w:p>
                </w:tc>
                <w:tc>
                  <w:tcPr>
                    <w:tcW w:w="1377" w:type="dxa"/>
                    <w:vAlign w:val="center"/>
                  </w:tcPr>
                  <w:p w:rsidR="000871F7" w:rsidRPr="00A0098F" w:rsidRDefault="000871F7" w:rsidP="000871F7">
                    <w:pPr>
                      <w:jc w:val="right"/>
                      <w:rPr>
                        <w:sz w:val="14"/>
                        <w:szCs w:val="14"/>
                      </w:rPr>
                    </w:pPr>
                    <w:r w:rsidRPr="00A0098F">
                      <w:rPr>
                        <w:sz w:val="14"/>
                        <w:szCs w:val="14"/>
                      </w:rPr>
                      <w:t>0</w:t>
                    </w:r>
                  </w:p>
                </w:tc>
                <w:tc>
                  <w:tcPr>
                    <w:tcW w:w="1391" w:type="dxa"/>
                    <w:vAlign w:val="center"/>
                  </w:tcPr>
                  <w:p w:rsidR="000871F7" w:rsidRPr="00A0098F" w:rsidRDefault="000871F7" w:rsidP="000871F7">
                    <w:pPr>
                      <w:jc w:val="right"/>
                      <w:rPr>
                        <w:sz w:val="14"/>
                        <w:szCs w:val="14"/>
                      </w:rPr>
                    </w:pPr>
                    <w:r w:rsidRPr="00A0098F">
                      <w:rPr>
                        <w:sz w:val="14"/>
                        <w:szCs w:val="14"/>
                      </w:rPr>
                      <w:t>0</w:t>
                    </w:r>
                  </w:p>
                </w:tc>
                <w:tc>
                  <w:tcPr>
                    <w:tcW w:w="1376" w:type="dxa"/>
                    <w:vAlign w:val="center"/>
                  </w:tcPr>
                  <w:p w:rsidR="000871F7" w:rsidRPr="00A0098F" w:rsidRDefault="000871F7" w:rsidP="000871F7">
                    <w:pPr>
                      <w:jc w:val="right"/>
                      <w:rPr>
                        <w:sz w:val="14"/>
                        <w:szCs w:val="14"/>
                      </w:rPr>
                    </w:pPr>
                    <w:r w:rsidRPr="00A0098F">
                      <w:rPr>
                        <w:sz w:val="14"/>
                        <w:szCs w:val="14"/>
                      </w:rPr>
                      <w:t>0</w:t>
                    </w:r>
                  </w:p>
                </w:tc>
                <w:tc>
                  <w:tcPr>
                    <w:tcW w:w="1363" w:type="dxa"/>
                    <w:vAlign w:val="center"/>
                  </w:tcPr>
                  <w:p w:rsidR="000871F7" w:rsidRPr="00A0098F" w:rsidRDefault="000871F7" w:rsidP="000871F7">
                    <w:pPr>
                      <w:jc w:val="right"/>
                      <w:rPr>
                        <w:sz w:val="14"/>
                        <w:szCs w:val="14"/>
                      </w:rPr>
                    </w:pPr>
                    <w:r w:rsidRPr="00A0098F">
                      <w:rPr>
                        <w:sz w:val="14"/>
                        <w:szCs w:val="14"/>
                      </w:rPr>
                      <w:t>0</w:t>
                    </w:r>
                  </w:p>
                </w:tc>
                <w:tc>
                  <w:tcPr>
                    <w:tcW w:w="1381" w:type="dxa"/>
                    <w:vAlign w:val="center"/>
                  </w:tcPr>
                  <w:p w:rsidR="000871F7" w:rsidRPr="00A0098F" w:rsidRDefault="000871F7" w:rsidP="000871F7">
                    <w:pPr>
                      <w:jc w:val="right"/>
                      <w:rPr>
                        <w:sz w:val="14"/>
                        <w:szCs w:val="14"/>
                      </w:rPr>
                    </w:pPr>
                    <w:r w:rsidRPr="00A0098F">
                      <w:rPr>
                        <w:sz w:val="14"/>
                        <w:szCs w:val="14"/>
                      </w:rPr>
                      <w:t>0</w:t>
                    </w:r>
                  </w:p>
                </w:tc>
              </w:tr>
              <w:tr w:rsidR="000871F7" w:rsidRPr="00A0098F" w:rsidTr="00601D47">
                <w:trPr>
                  <w:trHeight w:val="20"/>
                </w:trPr>
                <w:sdt>
                  <w:sdtPr>
                    <w:rPr>
                      <w:sz w:val="14"/>
                      <w:szCs w:val="14"/>
                    </w:rPr>
                    <w:tag w:val="_PLD_ea236cbce24c48eabfeb2f3f4a19c5a8"/>
                    <w:id w:val="222951249"/>
                    <w:lock w:val="sdtLocked"/>
                  </w:sdtPr>
                  <w:sdtContent>
                    <w:tc>
                      <w:tcPr>
                        <w:tcW w:w="2805" w:type="dxa"/>
                        <w:vAlign w:val="center"/>
                      </w:tcPr>
                      <w:p w:rsidR="000871F7" w:rsidRPr="00A0098F" w:rsidRDefault="000871F7" w:rsidP="000871F7">
                        <w:pPr>
                          <w:rPr>
                            <w:sz w:val="14"/>
                            <w:szCs w:val="14"/>
                          </w:rPr>
                        </w:pPr>
                        <w:r w:rsidRPr="00A0098F">
                          <w:rPr>
                            <w:rFonts w:hint="eastAsia"/>
                            <w:sz w:val="14"/>
                            <w:szCs w:val="14"/>
                          </w:rPr>
                          <w:t>（五）专项储备</w:t>
                        </w:r>
                      </w:p>
                    </w:tc>
                  </w:sdtContent>
                </w:sdt>
                <w:tc>
                  <w:tcPr>
                    <w:tcW w:w="1431" w:type="dxa"/>
                    <w:tcBorders>
                      <w:right w:val="single" w:sz="4" w:space="0" w:color="auto"/>
                    </w:tcBorders>
                    <w:vAlign w:val="center"/>
                  </w:tcPr>
                  <w:p w:rsidR="000871F7" w:rsidRPr="00A0098F" w:rsidRDefault="000871F7" w:rsidP="000871F7">
                    <w:pPr>
                      <w:jc w:val="right"/>
                      <w:rPr>
                        <w:sz w:val="14"/>
                        <w:szCs w:val="14"/>
                      </w:rPr>
                    </w:pPr>
                    <w:r w:rsidRPr="00A0098F">
                      <w:rPr>
                        <w:sz w:val="14"/>
                        <w:szCs w:val="14"/>
                      </w:rPr>
                      <w:t>0</w:t>
                    </w:r>
                  </w:p>
                </w:tc>
                <w:tc>
                  <w:tcPr>
                    <w:tcW w:w="1445" w:type="dxa"/>
                    <w:tcBorders>
                      <w:left w:val="single" w:sz="4" w:space="0" w:color="auto"/>
                    </w:tcBorders>
                    <w:vAlign w:val="center"/>
                  </w:tcPr>
                  <w:p w:rsidR="000871F7" w:rsidRPr="00A0098F" w:rsidRDefault="000871F7" w:rsidP="000871F7">
                    <w:pPr>
                      <w:jc w:val="right"/>
                      <w:rPr>
                        <w:sz w:val="14"/>
                        <w:szCs w:val="14"/>
                      </w:rPr>
                    </w:pPr>
                    <w:r w:rsidRPr="00A0098F">
                      <w:rPr>
                        <w:sz w:val="14"/>
                        <w:szCs w:val="14"/>
                      </w:rPr>
                      <w:t>0</w:t>
                    </w:r>
                  </w:p>
                </w:tc>
                <w:tc>
                  <w:tcPr>
                    <w:tcW w:w="1391" w:type="dxa"/>
                    <w:vAlign w:val="center"/>
                  </w:tcPr>
                  <w:p w:rsidR="000871F7" w:rsidRPr="00A0098F" w:rsidRDefault="000871F7" w:rsidP="000871F7">
                    <w:pPr>
                      <w:jc w:val="right"/>
                      <w:rPr>
                        <w:sz w:val="14"/>
                        <w:szCs w:val="14"/>
                      </w:rPr>
                    </w:pPr>
                    <w:r w:rsidRPr="00A0098F">
                      <w:rPr>
                        <w:sz w:val="14"/>
                        <w:szCs w:val="14"/>
                      </w:rPr>
                      <w:t>0</w:t>
                    </w:r>
                  </w:p>
                </w:tc>
                <w:tc>
                  <w:tcPr>
                    <w:tcW w:w="1377" w:type="dxa"/>
                    <w:vAlign w:val="center"/>
                  </w:tcPr>
                  <w:p w:rsidR="000871F7" w:rsidRPr="00A0098F" w:rsidRDefault="000871F7" w:rsidP="000871F7">
                    <w:pPr>
                      <w:jc w:val="right"/>
                      <w:rPr>
                        <w:sz w:val="14"/>
                        <w:szCs w:val="14"/>
                      </w:rPr>
                    </w:pPr>
                    <w:r w:rsidRPr="00A0098F">
                      <w:rPr>
                        <w:sz w:val="14"/>
                        <w:szCs w:val="14"/>
                      </w:rPr>
                      <w:t>0</w:t>
                    </w:r>
                  </w:p>
                </w:tc>
                <w:tc>
                  <w:tcPr>
                    <w:tcW w:w="1391" w:type="dxa"/>
                    <w:vAlign w:val="center"/>
                  </w:tcPr>
                  <w:p w:rsidR="000871F7" w:rsidRPr="00A0098F" w:rsidRDefault="000871F7" w:rsidP="000871F7">
                    <w:pPr>
                      <w:jc w:val="right"/>
                      <w:rPr>
                        <w:sz w:val="14"/>
                        <w:szCs w:val="14"/>
                      </w:rPr>
                    </w:pPr>
                    <w:r w:rsidRPr="00A0098F">
                      <w:rPr>
                        <w:sz w:val="14"/>
                        <w:szCs w:val="14"/>
                      </w:rPr>
                      <w:t>18,945,346</w:t>
                    </w:r>
                  </w:p>
                </w:tc>
                <w:tc>
                  <w:tcPr>
                    <w:tcW w:w="1376" w:type="dxa"/>
                    <w:vAlign w:val="center"/>
                  </w:tcPr>
                  <w:p w:rsidR="000871F7" w:rsidRPr="00A0098F" w:rsidRDefault="000871F7" w:rsidP="000871F7">
                    <w:pPr>
                      <w:jc w:val="right"/>
                      <w:rPr>
                        <w:sz w:val="14"/>
                        <w:szCs w:val="14"/>
                      </w:rPr>
                    </w:pPr>
                    <w:r w:rsidRPr="00A0098F">
                      <w:rPr>
                        <w:sz w:val="14"/>
                        <w:szCs w:val="14"/>
                      </w:rPr>
                      <w:t>0</w:t>
                    </w:r>
                  </w:p>
                </w:tc>
                <w:tc>
                  <w:tcPr>
                    <w:tcW w:w="1363" w:type="dxa"/>
                    <w:vAlign w:val="center"/>
                  </w:tcPr>
                  <w:p w:rsidR="000871F7" w:rsidRPr="00A0098F" w:rsidRDefault="000871F7" w:rsidP="000871F7">
                    <w:pPr>
                      <w:jc w:val="right"/>
                      <w:rPr>
                        <w:sz w:val="14"/>
                        <w:szCs w:val="14"/>
                      </w:rPr>
                    </w:pPr>
                    <w:r w:rsidRPr="00A0098F">
                      <w:rPr>
                        <w:sz w:val="14"/>
                        <w:szCs w:val="14"/>
                      </w:rPr>
                      <w:t>0</w:t>
                    </w:r>
                  </w:p>
                </w:tc>
                <w:tc>
                  <w:tcPr>
                    <w:tcW w:w="1381" w:type="dxa"/>
                    <w:vAlign w:val="center"/>
                  </w:tcPr>
                  <w:p w:rsidR="000871F7" w:rsidRPr="00A0098F" w:rsidRDefault="000871F7" w:rsidP="000871F7">
                    <w:pPr>
                      <w:jc w:val="right"/>
                      <w:rPr>
                        <w:sz w:val="14"/>
                        <w:szCs w:val="14"/>
                      </w:rPr>
                    </w:pPr>
                    <w:r w:rsidRPr="00A0098F">
                      <w:rPr>
                        <w:sz w:val="14"/>
                        <w:szCs w:val="14"/>
                      </w:rPr>
                      <w:t>18,945,346</w:t>
                    </w:r>
                  </w:p>
                </w:tc>
              </w:tr>
              <w:tr w:rsidR="000871F7" w:rsidRPr="00A0098F" w:rsidTr="00601D47">
                <w:trPr>
                  <w:trHeight w:val="20"/>
                </w:trPr>
                <w:sdt>
                  <w:sdtPr>
                    <w:rPr>
                      <w:sz w:val="14"/>
                      <w:szCs w:val="14"/>
                    </w:rPr>
                    <w:tag w:val="_PLD_f798cf6aa8f24816a06eab77e71e6a42"/>
                    <w:id w:val="1074089507"/>
                    <w:lock w:val="sdtLocked"/>
                  </w:sdtPr>
                  <w:sdtContent>
                    <w:tc>
                      <w:tcPr>
                        <w:tcW w:w="2805" w:type="dxa"/>
                        <w:vAlign w:val="center"/>
                      </w:tcPr>
                      <w:p w:rsidR="000871F7" w:rsidRPr="00A0098F" w:rsidRDefault="000871F7" w:rsidP="000871F7">
                        <w:pPr>
                          <w:rPr>
                            <w:sz w:val="14"/>
                            <w:szCs w:val="14"/>
                          </w:rPr>
                        </w:pPr>
                        <w:r w:rsidRPr="00A0098F">
                          <w:rPr>
                            <w:rFonts w:hint="eastAsia"/>
                            <w:sz w:val="14"/>
                            <w:szCs w:val="14"/>
                          </w:rPr>
                          <w:t>1．本期提取</w:t>
                        </w:r>
                      </w:p>
                    </w:tc>
                  </w:sdtContent>
                </w:sdt>
                <w:tc>
                  <w:tcPr>
                    <w:tcW w:w="1431" w:type="dxa"/>
                    <w:tcBorders>
                      <w:right w:val="single" w:sz="4" w:space="0" w:color="auto"/>
                    </w:tcBorders>
                    <w:vAlign w:val="center"/>
                  </w:tcPr>
                  <w:p w:rsidR="000871F7" w:rsidRPr="00A0098F" w:rsidRDefault="000871F7" w:rsidP="000871F7">
                    <w:pPr>
                      <w:jc w:val="right"/>
                      <w:rPr>
                        <w:sz w:val="14"/>
                        <w:szCs w:val="14"/>
                      </w:rPr>
                    </w:pPr>
                    <w:r w:rsidRPr="00A0098F">
                      <w:rPr>
                        <w:sz w:val="14"/>
                        <w:szCs w:val="14"/>
                      </w:rPr>
                      <w:t>0</w:t>
                    </w:r>
                  </w:p>
                </w:tc>
                <w:tc>
                  <w:tcPr>
                    <w:tcW w:w="1445" w:type="dxa"/>
                    <w:tcBorders>
                      <w:left w:val="single" w:sz="4" w:space="0" w:color="auto"/>
                    </w:tcBorders>
                    <w:vAlign w:val="center"/>
                  </w:tcPr>
                  <w:p w:rsidR="000871F7" w:rsidRPr="00A0098F" w:rsidRDefault="000871F7" w:rsidP="000871F7">
                    <w:pPr>
                      <w:jc w:val="right"/>
                      <w:rPr>
                        <w:sz w:val="14"/>
                        <w:szCs w:val="14"/>
                      </w:rPr>
                    </w:pPr>
                    <w:r w:rsidRPr="00A0098F">
                      <w:rPr>
                        <w:sz w:val="14"/>
                        <w:szCs w:val="14"/>
                      </w:rPr>
                      <w:t>0</w:t>
                    </w:r>
                  </w:p>
                </w:tc>
                <w:tc>
                  <w:tcPr>
                    <w:tcW w:w="1391" w:type="dxa"/>
                    <w:vAlign w:val="center"/>
                  </w:tcPr>
                  <w:p w:rsidR="000871F7" w:rsidRPr="00A0098F" w:rsidRDefault="000871F7" w:rsidP="000871F7">
                    <w:pPr>
                      <w:jc w:val="right"/>
                      <w:rPr>
                        <w:sz w:val="14"/>
                        <w:szCs w:val="14"/>
                      </w:rPr>
                    </w:pPr>
                    <w:r w:rsidRPr="00A0098F">
                      <w:rPr>
                        <w:sz w:val="14"/>
                        <w:szCs w:val="14"/>
                      </w:rPr>
                      <w:t>0</w:t>
                    </w:r>
                  </w:p>
                </w:tc>
                <w:tc>
                  <w:tcPr>
                    <w:tcW w:w="1377" w:type="dxa"/>
                    <w:vAlign w:val="center"/>
                  </w:tcPr>
                  <w:p w:rsidR="000871F7" w:rsidRPr="00A0098F" w:rsidRDefault="000871F7" w:rsidP="000871F7">
                    <w:pPr>
                      <w:jc w:val="right"/>
                      <w:rPr>
                        <w:sz w:val="14"/>
                        <w:szCs w:val="14"/>
                      </w:rPr>
                    </w:pPr>
                    <w:r w:rsidRPr="00A0098F">
                      <w:rPr>
                        <w:sz w:val="14"/>
                        <w:szCs w:val="14"/>
                      </w:rPr>
                      <w:t>0</w:t>
                    </w:r>
                  </w:p>
                </w:tc>
                <w:tc>
                  <w:tcPr>
                    <w:tcW w:w="1391" w:type="dxa"/>
                    <w:vAlign w:val="center"/>
                  </w:tcPr>
                  <w:p w:rsidR="000871F7" w:rsidRPr="00A0098F" w:rsidRDefault="000871F7" w:rsidP="000871F7">
                    <w:pPr>
                      <w:jc w:val="right"/>
                      <w:rPr>
                        <w:sz w:val="14"/>
                        <w:szCs w:val="14"/>
                      </w:rPr>
                    </w:pPr>
                    <w:r w:rsidRPr="00A0098F">
                      <w:rPr>
                        <w:sz w:val="14"/>
                        <w:szCs w:val="14"/>
                      </w:rPr>
                      <w:t>717,290,400</w:t>
                    </w:r>
                  </w:p>
                </w:tc>
                <w:tc>
                  <w:tcPr>
                    <w:tcW w:w="1376" w:type="dxa"/>
                    <w:vAlign w:val="center"/>
                  </w:tcPr>
                  <w:p w:rsidR="000871F7" w:rsidRPr="00A0098F" w:rsidRDefault="000871F7" w:rsidP="000871F7">
                    <w:pPr>
                      <w:jc w:val="right"/>
                      <w:rPr>
                        <w:sz w:val="14"/>
                        <w:szCs w:val="14"/>
                      </w:rPr>
                    </w:pPr>
                    <w:r w:rsidRPr="00A0098F">
                      <w:rPr>
                        <w:sz w:val="14"/>
                        <w:szCs w:val="14"/>
                      </w:rPr>
                      <w:t>0</w:t>
                    </w:r>
                  </w:p>
                </w:tc>
                <w:tc>
                  <w:tcPr>
                    <w:tcW w:w="1363" w:type="dxa"/>
                    <w:vAlign w:val="center"/>
                  </w:tcPr>
                  <w:p w:rsidR="000871F7" w:rsidRPr="00A0098F" w:rsidRDefault="000871F7" w:rsidP="000871F7">
                    <w:pPr>
                      <w:jc w:val="right"/>
                      <w:rPr>
                        <w:sz w:val="14"/>
                        <w:szCs w:val="14"/>
                      </w:rPr>
                    </w:pPr>
                    <w:r w:rsidRPr="00A0098F">
                      <w:rPr>
                        <w:sz w:val="14"/>
                        <w:szCs w:val="14"/>
                      </w:rPr>
                      <w:t>0</w:t>
                    </w:r>
                  </w:p>
                </w:tc>
                <w:tc>
                  <w:tcPr>
                    <w:tcW w:w="1381" w:type="dxa"/>
                    <w:vAlign w:val="center"/>
                  </w:tcPr>
                  <w:p w:rsidR="000871F7" w:rsidRPr="00A0098F" w:rsidRDefault="000871F7" w:rsidP="000871F7">
                    <w:pPr>
                      <w:jc w:val="right"/>
                      <w:rPr>
                        <w:sz w:val="14"/>
                        <w:szCs w:val="14"/>
                      </w:rPr>
                    </w:pPr>
                    <w:r w:rsidRPr="00A0098F">
                      <w:rPr>
                        <w:sz w:val="14"/>
                        <w:szCs w:val="14"/>
                      </w:rPr>
                      <w:t>717,290,400</w:t>
                    </w:r>
                  </w:p>
                </w:tc>
              </w:tr>
              <w:tr w:rsidR="000871F7" w:rsidRPr="00A0098F" w:rsidTr="00601D47">
                <w:trPr>
                  <w:trHeight w:val="20"/>
                </w:trPr>
                <w:sdt>
                  <w:sdtPr>
                    <w:rPr>
                      <w:sz w:val="14"/>
                      <w:szCs w:val="14"/>
                    </w:rPr>
                    <w:tag w:val="_PLD_294f6f5256724757ad52c27b29a0bb7d"/>
                    <w:id w:val="-631719704"/>
                    <w:lock w:val="sdtLocked"/>
                  </w:sdtPr>
                  <w:sdtContent>
                    <w:tc>
                      <w:tcPr>
                        <w:tcW w:w="2805" w:type="dxa"/>
                        <w:vAlign w:val="center"/>
                      </w:tcPr>
                      <w:p w:rsidR="000871F7" w:rsidRPr="00A0098F" w:rsidRDefault="000871F7" w:rsidP="000871F7">
                        <w:pPr>
                          <w:rPr>
                            <w:sz w:val="14"/>
                            <w:szCs w:val="14"/>
                          </w:rPr>
                        </w:pPr>
                        <w:r w:rsidRPr="00A0098F">
                          <w:rPr>
                            <w:rFonts w:hint="eastAsia"/>
                            <w:sz w:val="14"/>
                            <w:szCs w:val="14"/>
                          </w:rPr>
                          <w:t>2．本期使用</w:t>
                        </w:r>
                      </w:p>
                    </w:tc>
                  </w:sdtContent>
                </w:sdt>
                <w:tc>
                  <w:tcPr>
                    <w:tcW w:w="1431" w:type="dxa"/>
                    <w:tcBorders>
                      <w:right w:val="single" w:sz="4" w:space="0" w:color="auto"/>
                    </w:tcBorders>
                    <w:vAlign w:val="center"/>
                  </w:tcPr>
                  <w:p w:rsidR="000871F7" w:rsidRPr="00A0098F" w:rsidRDefault="000871F7" w:rsidP="000871F7">
                    <w:pPr>
                      <w:jc w:val="right"/>
                      <w:rPr>
                        <w:sz w:val="14"/>
                        <w:szCs w:val="14"/>
                      </w:rPr>
                    </w:pPr>
                    <w:r w:rsidRPr="00A0098F">
                      <w:rPr>
                        <w:sz w:val="14"/>
                        <w:szCs w:val="14"/>
                      </w:rPr>
                      <w:t>0</w:t>
                    </w:r>
                  </w:p>
                </w:tc>
                <w:tc>
                  <w:tcPr>
                    <w:tcW w:w="1445" w:type="dxa"/>
                    <w:tcBorders>
                      <w:left w:val="single" w:sz="4" w:space="0" w:color="auto"/>
                    </w:tcBorders>
                    <w:vAlign w:val="center"/>
                  </w:tcPr>
                  <w:p w:rsidR="000871F7" w:rsidRPr="00A0098F" w:rsidRDefault="000871F7" w:rsidP="000871F7">
                    <w:pPr>
                      <w:jc w:val="right"/>
                      <w:rPr>
                        <w:sz w:val="14"/>
                        <w:szCs w:val="14"/>
                      </w:rPr>
                    </w:pPr>
                    <w:r w:rsidRPr="00A0098F">
                      <w:rPr>
                        <w:sz w:val="14"/>
                        <w:szCs w:val="14"/>
                      </w:rPr>
                      <w:t>0</w:t>
                    </w:r>
                  </w:p>
                </w:tc>
                <w:tc>
                  <w:tcPr>
                    <w:tcW w:w="1391" w:type="dxa"/>
                    <w:vAlign w:val="center"/>
                  </w:tcPr>
                  <w:p w:rsidR="000871F7" w:rsidRPr="00A0098F" w:rsidRDefault="000871F7" w:rsidP="000871F7">
                    <w:pPr>
                      <w:jc w:val="right"/>
                      <w:rPr>
                        <w:sz w:val="14"/>
                        <w:szCs w:val="14"/>
                      </w:rPr>
                    </w:pPr>
                    <w:r w:rsidRPr="00A0098F">
                      <w:rPr>
                        <w:sz w:val="14"/>
                        <w:szCs w:val="14"/>
                      </w:rPr>
                      <w:t>0</w:t>
                    </w:r>
                  </w:p>
                </w:tc>
                <w:tc>
                  <w:tcPr>
                    <w:tcW w:w="1377" w:type="dxa"/>
                    <w:vAlign w:val="center"/>
                  </w:tcPr>
                  <w:p w:rsidR="000871F7" w:rsidRPr="00A0098F" w:rsidRDefault="000871F7" w:rsidP="000871F7">
                    <w:pPr>
                      <w:jc w:val="right"/>
                      <w:rPr>
                        <w:sz w:val="14"/>
                        <w:szCs w:val="14"/>
                      </w:rPr>
                    </w:pPr>
                    <w:r w:rsidRPr="00A0098F">
                      <w:rPr>
                        <w:sz w:val="14"/>
                        <w:szCs w:val="14"/>
                      </w:rPr>
                      <w:t>0</w:t>
                    </w:r>
                  </w:p>
                </w:tc>
                <w:tc>
                  <w:tcPr>
                    <w:tcW w:w="1391" w:type="dxa"/>
                    <w:vAlign w:val="center"/>
                  </w:tcPr>
                  <w:p w:rsidR="000871F7" w:rsidRPr="00A0098F" w:rsidRDefault="000871F7" w:rsidP="000871F7">
                    <w:pPr>
                      <w:jc w:val="right"/>
                      <w:rPr>
                        <w:sz w:val="14"/>
                        <w:szCs w:val="14"/>
                      </w:rPr>
                    </w:pPr>
                    <w:r w:rsidRPr="00A0098F">
                      <w:rPr>
                        <w:sz w:val="14"/>
                        <w:szCs w:val="14"/>
                      </w:rPr>
                      <w:t>-698,345,054</w:t>
                    </w:r>
                  </w:p>
                </w:tc>
                <w:tc>
                  <w:tcPr>
                    <w:tcW w:w="1376" w:type="dxa"/>
                    <w:vAlign w:val="center"/>
                  </w:tcPr>
                  <w:p w:rsidR="000871F7" w:rsidRPr="00A0098F" w:rsidRDefault="000871F7" w:rsidP="000871F7">
                    <w:pPr>
                      <w:jc w:val="right"/>
                      <w:rPr>
                        <w:sz w:val="14"/>
                        <w:szCs w:val="14"/>
                      </w:rPr>
                    </w:pPr>
                    <w:r w:rsidRPr="00A0098F">
                      <w:rPr>
                        <w:sz w:val="14"/>
                        <w:szCs w:val="14"/>
                      </w:rPr>
                      <w:t>0</w:t>
                    </w:r>
                  </w:p>
                </w:tc>
                <w:tc>
                  <w:tcPr>
                    <w:tcW w:w="1363" w:type="dxa"/>
                    <w:vAlign w:val="center"/>
                  </w:tcPr>
                  <w:p w:rsidR="000871F7" w:rsidRPr="00A0098F" w:rsidRDefault="000871F7" w:rsidP="000871F7">
                    <w:pPr>
                      <w:jc w:val="right"/>
                      <w:rPr>
                        <w:sz w:val="14"/>
                        <w:szCs w:val="14"/>
                      </w:rPr>
                    </w:pPr>
                    <w:r w:rsidRPr="00A0098F">
                      <w:rPr>
                        <w:sz w:val="14"/>
                        <w:szCs w:val="14"/>
                      </w:rPr>
                      <w:t>0</w:t>
                    </w:r>
                  </w:p>
                </w:tc>
                <w:tc>
                  <w:tcPr>
                    <w:tcW w:w="1381" w:type="dxa"/>
                    <w:vAlign w:val="center"/>
                  </w:tcPr>
                  <w:p w:rsidR="000871F7" w:rsidRPr="00A0098F" w:rsidRDefault="000871F7" w:rsidP="000871F7">
                    <w:pPr>
                      <w:jc w:val="right"/>
                      <w:rPr>
                        <w:sz w:val="14"/>
                        <w:szCs w:val="14"/>
                      </w:rPr>
                    </w:pPr>
                    <w:r w:rsidRPr="00A0098F">
                      <w:rPr>
                        <w:sz w:val="14"/>
                        <w:szCs w:val="14"/>
                      </w:rPr>
                      <w:t>-698,345,054</w:t>
                    </w:r>
                  </w:p>
                </w:tc>
              </w:tr>
              <w:tr w:rsidR="000871F7" w:rsidRPr="00A0098F" w:rsidTr="00601D47">
                <w:trPr>
                  <w:trHeight w:val="20"/>
                </w:trPr>
                <w:sdt>
                  <w:sdtPr>
                    <w:rPr>
                      <w:sz w:val="14"/>
                      <w:szCs w:val="14"/>
                    </w:rPr>
                    <w:tag w:val="_PLD_6633049a29464fd58ed8f9bdc82f6c7b"/>
                    <w:id w:val="307447944"/>
                    <w:lock w:val="sdtLocked"/>
                  </w:sdtPr>
                  <w:sdtContent>
                    <w:tc>
                      <w:tcPr>
                        <w:tcW w:w="2805" w:type="dxa"/>
                      </w:tcPr>
                      <w:p w:rsidR="000871F7" w:rsidRPr="00A0098F" w:rsidRDefault="000871F7" w:rsidP="000871F7">
                        <w:pPr>
                          <w:rPr>
                            <w:sz w:val="14"/>
                            <w:szCs w:val="14"/>
                          </w:rPr>
                        </w:pPr>
                        <w:r w:rsidRPr="00A0098F">
                          <w:rPr>
                            <w:rFonts w:hint="eastAsia"/>
                            <w:sz w:val="14"/>
                            <w:szCs w:val="14"/>
                          </w:rPr>
                          <w:t>（六）其他</w:t>
                        </w:r>
                      </w:p>
                    </w:tc>
                  </w:sdtContent>
                </w:sdt>
                <w:tc>
                  <w:tcPr>
                    <w:tcW w:w="1431" w:type="dxa"/>
                    <w:tcBorders>
                      <w:right w:val="single" w:sz="4" w:space="0" w:color="auto"/>
                    </w:tcBorders>
                    <w:vAlign w:val="center"/>
                  </w:tcPr>
                  <w:p w:rsidR="000871F7" w:rsidRPr="00A0098F" w:rsidRDefault="000871F7" w:rsidP="000871F7">
                    <w:pPr>
                      <w:jc w:val="right"/>
                      <w:rPr>
                        <w:sz w:val="14"/>
                        <w:szCs w:val="14"/>
                      </w:rPr>
                    </w:pPr>
                    <w:r w:rsidRPr="00A0098F">
                      <w:rPr>
                        <w:sz w:val="14"/>
                        <w:szCs w:val="14"/>
                      </w:rPr>
                      <w:t>0</w:t>
                    </w:r>
                  </w:p>
                </w:tc>
                <w:tc>
                  <w:tcPr>
                    <w:tcW w:w="1445" w:type="dxa"/>
                    <w:tcBorders>
                      <w:left w:val="single" w:sz="4" w:space="0" w:color="auto"/>
                    </w:tcBorders>
                    <w:vAlign w:val="center"/>
                  </w:tcPr>
                  <w:p w:rsidR="000871F7" w:rsidRPr="00A0098F" w:rsidRDefault="000871F7" w:rsidP="000871F7">
                    <w:pPr>
                      <w:jc w:val="right"/>
                      <w:rPr>
                        <w:sz w:val="14"/>
                        <w:szCs w:val="14"/>
                      </w:rPr>
                    </w:pPr>
                    <w:r w:rsidRPr="00A0098F">
                      <w:rPr>
                        <w:sz w:val="14"/>
                        <w:szCs w:val="14"/>
                      </w:rPr>
                      <w:t>0</w:t>
                    </w:r>
                  </w:p>
                </w:tc>
                <w:tc>
                  <w:tcPr>
                    <w:tcW w:w="1391" w:type="dxa"/>
                    <w:vAlign w:val="center"/>
                  </w:tcPr>
                  <w:p w:rsidR="000871F7" w:rsidRPr="00A0098F" w:rsidRDefault="000871F7" w:rsidP="000871F7">
                    <w:pPr>
                      <w:jc w:val="right"/>
                      <w:rPr>
                        <w:sz w:val="14"/>
                        <w:szCs w:val="14"/>
                      </w:rPr>
                    </w:pPr>
                    <w:r w:rsidRPr="00A0098F">
                      <w:rPr>
                        <w:sz w:val="14"/>
                        <w:szCs w:val="14"/>
                      </w:rPr>
                      <w:t>3,488,455</w:t>
                    </w:r>
                  </w:p>
                </w:tc>
                <w:tc>
                  <w:tcPr>
                    <w:tcW w:w="1377" w:type="dxa"/>
                    <w:vAlign w:val="center"/>
                  </w:tcPr>
                  <w:p w:rsidR="000871F7" w:rsidRPr="00A0098F" w:rsidRDefault="000871F7" w:rsidP="000871F7">
                    <w:pPr>
                      <w:jc w:val="right"/>
                      <w:rPr>
                        <w:sz w:val="14"/>
                        <w:szCs w:val="14"/>
                      </w:rPr>
                    </w:pPr>
                    <w:r w:rsidRPr="00A0098F">
                      <w:rPr>
                        <w:sz w:val="14"/>
                        <w:szCs w:val="14"/>
                      </w:rPr>
                      <w:t>0</w:t>
                    </w:r>
                  </w:p>
                </w:tc>
                <w:tc>
                  <w:tcPr>
                    <w:tcW w:w="1391" w:type="dxa"/>
                    <w:vAlign w:val="center"/>
                  </w:tcPr>
                  <w:p w:rsidR="000871F7" w:rsidRPr="00A0098F" w:rsidRDefault="000871F7" w:rsidP="000871F7">
                    <w:pPr>
                      <w:jc w:val="right"/>
                      <w:rPr>
                        <w:sz w:val="14"/>
                        <w:szCs w:val="14"/>
                      </w:rPr>
                    </w:pPr>
                    <w:r w:rsidRPr="00A0098F">
                      <w:rPr>
                        <w:sz w:val="14"/>
                        <w:szCs w:val="14"/>
                      </w:rPr>
                      <w:t>0</w:t>
                    </w:r>
                  </w:p>
                </w:tc>
                <w:tc>
                  <w:tcPr>
                    <w:tcW w:w="1376" w:type="dxa"/>
                    <w:vAlign w:val="center"/>
                  </w:tcPr>
                  <w:p w:rsidR="000871F7" w:rsidRPr="00A0098F" w:rsidRDefault="000871F7" w:rsidP="000871F7">
                    <w:pPr>
                      <w:jc w:val="right"/>
                      <w:rPr>
                        <w:sz w:val="14"/>
                        <w:szCs w:val="14"/>
                      </w:rPr>
                    </w:pPr>
                    <w:r w:rsidRPr="00A0098F">
                      <w:rPr>
                        <w:sz w:val="14"/>
                        <w:szCs w:val="14"/>
                      </w:rPr>
                      <w:t>0</w:t>
                    </w:r>
                  </w:p>
                </w:tc>
                <w:tc>
                  <w:tcPr>
                    <w:tcW w:w="1363" w:type="dxa"/>
                    <w:vAlign w:val="center"/>
                  </w:tcPr>
                  <w:p w:rsidR="000871F7" w:rsidRPr="00A0098F" w:rsidRDefault="000871F7" w:rsidP="000871F7">
                    <w:pPr>
                      <w:jc w:val="right"/>
                      <w:rPr>
                        <w:sz w:val="14"/>
                        <w:szCs w:val="14"/>
                      </w:rPr>
                    </w:pPr>
                    <w:r w:rsidRPr="00A0098F">
                      <w:rPr>
                        <w:sz w:val="14"/>
                        <w:szCs w:val="14"/>
                      </w:rPr>
                      <w:t>-142,025,105</w:t>
                    </w:r>
                  </w:p>
                </w:tc>
                <w:tc>
                  <w:tcPr>
                    <w:tcW w:w="1381" w:type="dxa"/>
                    <w:vAlign w:val="center"/>
                  </w:tcPr>
                  <w:p w:rsidR="000871F7" w:rsidRPr="00A0098F" w:rsidRDefault="000871F7" w:rsidP="000871F7">
                    <w:pPr>
                      <w:jc w:val="right"/>
                      <w:rPr>
                        <w:sz w:val="14"/>
                        <w:szCs w:val="14"/>
                      </w:rPr>
                    </w:pPr>
                    <w:r w:rsidRPr="00A0098F">
                      <w:rPr>
                        <w:sz w:val="14"/>
                        <w:szCs w:val="14"/>
                      </w:rPr>
                      <w:t>-138,536,650</w:t>
                    </w:r>
                  </w:p>
                </w:tc>
              </w:tr>
              <w:tr w:rsidR="000871F7" w:rsidRPr="00A0098F" w:rsidTr="00601D47">
                <w:trPr>
                  <w:trHeight w:val="20"/>
                </w:trPr>
                <w:sdt>
                  <w:sdtPr>
                    <w:rPr>
                      <w:sz w:val="14"/>
                      <w:szCs w:val="14"/>
                    </w:rPr>
                    <w:tag w:val="_PLD_0d209cea233c428da026233fffdd75cf"/>
                    <w:id w:val="-878551732"/>
                    <w:lock w:val="sdtLocked"/>
                  </w:sdtPr>
                  <w:sdtContent>
                    <w:tc>
                      <w:tcPr>
                        <w:tcW w:w="2805" w:type="dxa"/>
                      </w:tcPr>
                      <w:p w:rsidR="000871F7" w:rsidRPr="00A0098F" w:rsidRDefault="000871F7" w:rsidP="000871F7">
                        <w:pPr>
                          <w:rPr>
                            <w:sz w:val="14"/>
                            <w:szCs w:val="14"/>
                          </w:rPr>
                        </w:pPr>
                        <w:r w:rsidRPr="00A0098F">
                          <w:rPr>
                            <w:sz w:val="14"/>
                            <w:szCs w:val="14"/>
                          </w:rPr>
                          <w:t>四、本期期末余额</w:t>
                        </w:r>
                      </w:p>
                    </w:tc>
                  </w:sdtContent>
                </w:sdt>
                <w:tc>
                  <w:tcPr>
                    <w:tcW w:w="1431" w:type="dxa"/>
                    <w:tcBorders>
                      <w:right w:val="single" w:sz="4" w:space="0" w:color="auto"/>
                    </w:tcBorders>
                    <w:vAlign w:val="center"/>
                  </w:tcPr>
                  <w:p w:rsidR="000871F7" w:rsidRPr="00A0098F" w:rsidRDefault="000871F7" w:rsidP="000871F7">
                    <w:pPr>
                      <w:jc w:val="right"/>
                      <w:rPr>
                        <w:sz w:val="14"/>
                        <w:szCs w:val="14"/>
                      </w:rPr>
                    </w:pPr>
                    <w:r w:rsidRPr="00A0098F">
                      <w:rPr>
                        <w:sz w:val="14"/>
                        <w:szCs w:val="14"/>
                      </w:rPr>
                      <w:t>14,866,945,907</w:t>
                    </w:r>
                  </w:p>
                </w:tc>
                <w:tc>
                  <w:tcPr>
                    <w:tcW w:w="1445" w:type="dxa"/>
                    <w:tcBorders>
                      <w:left w:val="single" w:sz="4" w:space="0" w:color="auto"/>
                    </w:tcBorders>
                    <w:vAlign w:val="center"/>
                  </w:tcPr>
                  <w:p w:rsidR="000871F7" w:rsidRPr="00A0098F" w:rsidRDefault="000871F7" w:rsidP="000871F7">
                    <w:pPr>
                      <w:jc w:val="right"/>
                      <w:rPr>
                        <w:sz w:val="14"/>
                        <w:szCs w:val="14"/>
                      </w:rPr>
                    </w:pPr>
                    <w:r w:rsidRPr="00A0098F">
                      <w:rPr>
                        <w:sz w:val="14"/>
                        <w:szCs w:val="14"/>
                      </w:rPr>
                      <w:t>3,358,227,137</w:t>
                    </w:r>
                  </w:p>
                </w:tc>
                <w:tc>
                  <w:tcPr>
                    <w:tcW w:w="1391" w:type="dxa"/>
                    <w:vAlign w:val="center"/>
                  </w:tcPr>
                  <w:p w:rsidR="000871F7" w:rsidRPr="00A0098F" w:rsidRDefault="000871F7" w:rsidP="000871F7">
                    <w:pPr>
                      <w:jc w:val="right"/>
                      <w:rPr>
                        <w:sz w:val="14"/>
                        <w:szCs w:val="14"/>
                      </w:rPr>
                    </w:pPr>
                    <w:r w:rsidRPr="00A0098F">
                      <w:rPr>
                        <w:sz w:val="14"/>
                        <w:szCs w:val="14"/>
                      </w:rPr>
                      <w:t>24,328,376,620</w:t>
                    </w:r>
                  </w:p>
                </w:tc>
                <w:tc>
                  <w:tcPr>
                    <w:tcW w:w="1377" w:type="dxa"/>
                    <w:vAlign w:val="center"/>
                  </w:tcPr>
                  <w:p w:rsidR="000871F7" w:rsidRPr="00A0098F" w:rsidRDefault="000871F7" w:rsidP="000871F7">
                    <w:pPr>
                      <w:jc w:val="right"/>
                      <w:rPr>
                        <w:sz w:val="14"/>
                        <w:szCs w:val="14"/>
                      </w:rPr>
                    </w:pPr>
                    <w:r w:rsidRPr="00A0098F">
                      <w:rPr>
                        <w:sz w:val="14"/>
                        <w:szCs w:val="14"/>
                      </w:rPr>
                      <w:t>-698,254,627</w:t>
                    </w:r>
                  </w:p>
                </w:tc>
                <w:tc>
                  <w:tcPr>
                    <w:tcW w:w="1391" w:type="dxa"/>
                    <w:vAlign w:val="center"/>
                  </w:tcPr>
                  <w:p w:rsidR="000871F7" w:rsidRPr="00A0098F" w:rsidRDefault="000871F7" w:rsidP="000871F7">
                    <w:pPr>
                      <w:jc w:val="right"/>
                      <w:rPr>
                        <w:sz w:val="14"/>
                        <w:szCs w:val="14"/>
                      </w:rPr>
                    </w:pPr>
                    <w:r w:rsidRPr="00A0098F">
                      <w:rPr>
                        <w:sz w:val="14"/>
                        <w:szCs w:val="14"/>
                      </w:rPr>
                      <w:t>687,716,965</w:t>
                    </w:r>
                  </w:p>
                </w:tc>
                <w:tc>
                  <w:tcPr>
                    <w:tcW w:w="1376" w:type="dxa"/>
                    <w:vAlign w:val="center"/>
                  </w:tcPr>
                  <w:p w:rsidR="000871F7" w:rsidRPr="00A0098F" w:rsidRDefault="000871F7" w:rsidP="000871F7">
                    <w:pPr>
                      <w:jc w:val="right"/>
                      <w:rPr>
                        <w:sz w:val="14"/>
                        <w:szCs w:val="14"/>
                      </w:rPr>
                    </w:pPr>
                    <w:r w:rsidRPr="00A0098F">
                      <w:rPr>
                        <w:sz w:val="14"/>
                        <w:szCs w:val="14"/>
                      </w:rPr>
                      <w:t>18,677,752,312</w:t>
                    </w:r>
                  </w:p>
                </w:tc>
                <w:tc>
                  <w:tcPr>
                    <w:tcW w:w="1363" w:type="dxa"/>
                    <w:vAlign w:val="center"/>
                  </w:tcPr>
                  <w:p w:rsidR="000871F7" w:rsidRPr="00A0098F" w:rsidRDefault="000871F7" w:rsidP="000871F7">
                    <w:pPr>
                      <w:jc w:val="right"/>
                      <w:rPr>
                        <w:sz w:val="14"/>
                        <w:szCs w:val="14"/>
                      </w:rPr>
                    </w:pPr>
                    <w:r w:rsidRPr="00A0098F">
                      <w:rPr>
                        <w:sz w:val="14"/>
                        <w:szCs w:val="14"/>
                      </w:rPr>
                      <w:t>68,256,567,869</w:t>
                    </w:r>
                  </w:p>
                </w:tc>
                <w:tc>
                  <w:tcPr>
                    <w:tcW w:w="1381" w:type="dxa"/>
                    <w:vAlign w:val="center"/>
                  </w:tcPr>
                  <w:p w:rsidR="000871F7" w:rsidRPr="00A0098F" w:rsidRDefault="000871F7" w:rsidP="000871F7">
                    <w:pPr>
                      <w:jc w:val="right"/>
                      <w:rPr>
                        <w:sz w:val="14"/>
                        <w:szCs w:val="14"/>
                      </w:rPr>
                    </w:pPr>
                    <w:r w:rsidRPr="00A0098F">
                      <w:rPr>
                        <w:sz w:val="14"/>
                        <w:szCs w:val="14"/>
                      </w:rPr>
                      <w:t>129,477,332,183</w:t>
                    </w:r>
                  </w:p>
                </w:tc>
              </w:tr>
            </w:tbl>
            <w:p w:rsidR="00806678" w:rsidRDefault="00806678">
              <w:pPr>
                <w:rPr>
                  <w:sz w:val="14"/>
                  <w:szCs w:val="14"/>
                </w:rPr>
              </w:pPr>
            </w:p>
            <w:p w:rsidR="00FE7F64" w:rsidRDefault="00FE7F64">
              <w:pPr>
                <w:rPr>
                  <w:sz w:val="14"/>
                  <w:szCs w:val="14"/>
                </w:rPr>
                <w:sectPr w:rsidR="00FE7F64" w:rsidSect="00C42143">
                  <w:pgSz w:w="16838" w:h="11906" w:orient="landscape"/>
                  <w:pgMar w:top="1276" w:right="1440" w:bottom="1797" w:left="1525" w:header="856" w:footer="992" w:gutter="0"/>
                  <w:cols w:space="425"/>
                  <w:docGrid w:linePitch="312"/>
                </w:sectPr>
              </w:pPr>
            </w:p>
            <w:p w:rsidR="00FE7F64" w:rsidRPr="00A0098F" w:rsidRDefault="00FE7F64">
              <w:pPr>
                <w:rPr>
                  <w:sz w:val="14"/>
                  <w:szCs w:val="14"/>
                </w:rPr>
              </w:pPr>
            </w:p>
            <w:p w:rsidR="00806678" w:rsidRPr="00A0098F" w:rsidRDefault="00806678">
              <w:pPr>
                <w:rPr>
                  <w:sz w:val="14"/>
                  <w:szCs w:val="14"/>
                </w:rPr>
              </w:pPr>
            </w:p>
            <w:tbl>
              <w:tblPr>
                <w:tblW w:w="13904"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2749"/>
                <w:gridCol w:w="1431"/>
                <w:gridCol w:w="1445"/>
                <w:gridCol w:w="1391"/>
                <w:gridCol w:w="1377"/>
                <w:gridCol w:w="1391"/>
                <w:gridCol w:w="1376"/>
                <w:gridCol w:w="1363"/>
                <w:gridCol w:w="1381"/>
              </w:tblGrid>
              <w:tr w:rsidR="00684161" w:rsidRPr="00A0098F" w:rsidTr="00601D47">
                <w:trPr>
                  <w:trHeight w:val="20"/>
                </w:trPr>
                <w:tc>
                  <w:tcPr>
                    <w:tcW w:w="2749" w:type="dxa"/>
                    <w:vMerge w:val="restart"/>
                    <w:vAlign w:val="center"/>
                  </w:tcPr>
                  <w:sdt>
                    <w:sdtPr>
                      <w:rPr>
                        <w:rFonts w:hint="eastAsia"/>
                        <w:sz w:val="14"/>
                        <w:szCs w:val="14"/>
                      </w:rPr>
                      <w:tag w:val="_PLD_64a794ab75214f6d9d66748804bee4e8"/>
                      <w:id w:val="723179403"/>
                      <w:lock w:val="sdtLocked"/>
                    </w:sdtPr>
                    <w:sdtContent>
                      <w:p w:rsidR="00684161" w:rsidRPr="00A0098F" w:rsidRDefault="00684161" w:rsidP="00601D47">
                        <w:pPr>
                          <w:adjustRightInd w:val="0"/>
                          <w:snapToGrid w:val="0"/>
                          <w:jc w:val="center"/>
                          <w:rPr>
                            <w:sz w:val="14"/>
                            <w:szCs w:val="14"/>
                          </w:rPr>
                        </w:pPr>
                        <w:r w:rsidRPr="00A0098F">
                          <w:rPr>
                            <w:rFonts w:hint="eastAsia"/>
                            <w:sz w:val="14"/>
                            <w:szCs w:val="14"/>
                          </w:rPr>
                          <w:t>项目</w:t>
                        </w:r>
                      </w:p>
                    </w:sdtContent>
                  </w:sdt>
                </w:tc>
                <w:tc>
                  <w:tcPr>
                    <w:tcW w:w="11155" w:type="dxa"/>
                    <w:gridSpan w:val="8"/>
                  </w:tcPr>
                  <w:p w:rsidR="00684161" w:rsidRPr="00A0098F" w:rsidRDefault="00684161" w:rsidP="00601D47">
                    <w:pPr>
                      <w:adjustRightInd w:val="0"/>
                      <w:snapToGrid w:val="0"/>
                      <w:jc w:val="center"/>
                      <w:rPr>
                        <w:sz w:val="14"/>
                        <w:szCs w:val="14"/>
                      </w:rPr>
                    </w:pPr>
                    <w:r w:rsidRPr="00A0098F">
                      <w:rPr>
                        <w:rFonts w:hint="eastAsia"/>
                        <w:sz w:val="14"/>
                        <w:szCs w:val="14"/>
                      </w:rPr>
                      <w:t xml:space="preserve"> </w:t>
                    </w:r>
                    <w:sdt>
                      <w:sdtPr>
                        <w:rPr>
                          <w:rFonts w:hint="eastAsia"/>
                          <w:sz w:val="14"/>
                          <w:szCs w:val="14"/>
                        </w:rPr>
                        <w:tag w:val="_PLD_6226137cffd442dfb505b8cfe7d1f423"/>
                        <w:id w:val="1594737146"/>
                        <w:lock w:val="sdtLocked"/>
                      </w:sdtPr>
                      <w:sdtContent>
                        <w:r w:rsidRPr="00A0098F">
                          <w:rPr>
                            <w:rFonts w:hint="eastAsia"/>
                            <w:sz w:val="14"/>
                            <w:szCs w:val="14"/>
                          </w:rPr>
                          <w:t>2021年度</w:t>
                        </w:r>
                      </w:sdtContent>
                    </w:sdt>
                  </w:p>
                </w:tc>
              </w:tr>
              <w:tr w:rsidR="00684161" w:rsidRPr="00A0098F" w:rsidTr="00601D47">
                <w:trPr>
                  <w:trHeight w:val="315"/>
                </w:trPr>
                <w:tc>
                  <w:tcPr>
                    <w:tcW w:w="2749" w:type="dxa"/>
                    <w:vMerge/>
                  </w:tcPr>
                  <w:p w:rsidR="00684161" w:rsidRPr="00A0098F" w:rsidRDefault="00684161" w:rsidP="00601D47">
                    <w:pPr>
                      <w:adjustRightInd w:val="0"/>
                      <w:snapToGrid w:val="0"/>
                      <w:rPr>
                        <w:sz w:val="14"/>
                        <w:szCs w:val="14"/>
                      </w:rPr>
                    </w:pPr>
                  </w:p>
                </w:tc>
                <w:sdt>
                  <w:sdtPr>
                    <w:rPr>
                      <w:sz w:val="14"/>
                      <w:szCs w:val="14"/>
                    </w:rPr>
                    <w:tag w:val="_PLD_e0e316f064db43a38ddec14c349b4dfa"/>
                    <w:id w:val="84504961"/>
                    <w:lock w:val="sdtLocked"/>
                  </w:sdtPr>
                  <w:sdtContent>
                    <w:tc>
                      <w:tcPr>
                        <w:tcW w:w="1431" w:type="dxa"/>
                        <w:tcBorders>
                          <w:right w:val="single" w:sz="4" w:space="0" w:color="auto"/>
                        </w:tcBorders>
                        <w:vAlign w:val="center"/>
                      </w:tcPr>
                      <w:p w:rsidR="00684161" w:rsidRPr="00A0098F" w:rsidRDefault="00684161" w:rsidP="00601D47">
                        <w:pPr>
                          <w:adjustRightInd w:val="0"/>
                          <w:snapToGrid w:val="0"/>
                          <w:jc w:val="center"/>
                          <w:rPr>
                            <w:sz w:val="14"/>
                            <w:szCs w:val="14"/>
                          </w:rPr>
                        </w:pPr>
                        <w:r w:rsidRPr="00A0098F">
                          <w:rPr>
                            <w:sz w:val="14"/>
                            <w:szCs w:val="14"/>
                          </w:rPr>
                          <w:t>实收资本 (或股本)</w:t>
                        </w:r>
                      </w:p>
                    </w:tc>
                  </w:sdtContent>
                </w:sdt>
                <w:sdt>
                  <w:sdtPr>
                    <w:rPr>
                      <w:sz w:val="14"/>
                      <w:szCs w:val="14"/>
                    </w:rPr>
                    <w:tag w:val="_PLD_2c82747108ee4c518651265b45dbebcd"/>
                    <w:id w:val="-961797984"/>
                    <w:lock w:val="sdtLocked"/>
                  </w:sdtPr>
                  <w:sdtContent>
                    <w:tc>
                      <w:tcPr>
                        <w:tcW w:w="1445" w:type="dxa"/>
                        <w:tcBorders>
                          <w:left w:val="single" w:sz="4" w:space="0" w:color="auto"/>
                          <w:bottom w:val="single" w:sz="4" w:space="0" w:color="auto"/>
                        </w:tcBorders>
                        <w:vAlign w:val="center"/>
                      </w:tcPr>
                      <w:p w:rsidR="00684161" w:rsidRPr="00A0098F" w:rsidRDefault="00684161" w:rsidP="00601D47">
                        <w:pPr>
                          <w:adjustRightInd w:val="0"/>
                          <w:snapToGrid w:val="0"/>
                          <w:jc w:val="center"/>
                          <w:rPr>
                            <w:sz w:val="14"/>
                            <w:szCs w:val="14"/>
                          </w:rPr>
                        </w:pPr>
                        <w:r w:rsidRPr="00A0098F">
                          <w:rPr>
                            <w:rFonts w:hint="eastAsia"/>
                            <w:sz w:val="14"/>
                            <w:szCs w:val="14"/>
                          </w:rPr>
                          <w:t>其他权益工具</w:t>
                        </w:r>
                      </w:p>
                    </w:tc>
                  </w:sdtContent>
                </w:sdt>
                <w:sdt>
                  <w:sdtPr>
                    <w:rPr>
                      <w:sz w:val="14"/>
                      <w:szCs w:val="14"/>
                    </w:rPr>
                    <w:tag w:val="_PLD_c459549b516242be83fce2e92cc794e6"/>
                    <w:id w:val="-159160100"/>
                    <w:lock w:val="sdtLocked"/>
                  </w:sdtPr>
                  <w:sdtContent>
                    <w:tc>
                      <w:tcPr>
                        <w:tcW w:w="1391" w:type="dxa"/>
                        <w:vAlign w:val="center"/>
                      </w:tcPr>
                      <w:p w:rsidR="00684161" w:rsidRPr="00A0098F" w:rsidRDefault="00684161" w:rsidP="00601D47">
                        <w:pPr>
                          <w:adjustRightInd w:val="0"/>
                          <w:snapToGrid w:val="0"/>
                          <w:jc w:val="center"/>
                          <w:rPr>
                            <w:sz w:val="14"/>
                            <w:szCs w:val="14"/>
                          </w:rPr>
                        </w:pPr>
                        <w:r w:rsidRPr="00A0098F">
                          <w:rPr>
                            <w:sz w:val="14"/>
                            <w:szCs w:val="14"/>
                          </w:rPr>
                          <w:t>资本公积</w:t>
                        </w:r>
                      </w:p>
                    </w:tc>
                  </w:sdtContent>
                </w:sdt>
                <w:sdt>
                  <w:sdtPr>
                    <w:rPr>
                      <w:sz w:val="14"/>
                      <w:szCs w:val="14"/>
                    </w:rPr>
                    <w:tag w:val="_PLD_3b870c2efbdc421980e0e6ed21bc828a"/>
                    <w:id w:val="439876247"/>
                    <w:lock w:val="sdtLocked"/>
                  </w:sdtPr>
                  <w:sdtContent>
                    <w:tc>
                      <w:tcPr>
                        <w:tcW w:w="1377" w:type="dxa"/>
                        <w:vAlign w:val="center"/>
                      </w:tcPr>
                      <w:p w:rsidR="00684161" w:rsidRPr="00A0098F" w:rsidRDefault="00684161" w:rsidP="00601D47">
                        <w:pPr>
                          <w:jc w:val="center"/>
                          <w:rPr>
                            <w:sz w:val="14"/>
                            <w:szCs w:val="14"/>
                          </w:rPr>
                        </w:pPr>
                        <w:r w:rsidRPr="00A0098F">
                          <w:rPr>
                            <w:rFonts w:hint="eastAsia"/>
                            <w:sz w:val="14"/>
                            <w:szCs w:val="14"/>
                          </w:rPr>
                          <w:t>其他综合收益</w:t>
                        </w:r>
                      </w:p>
                    </w:tc>
                  </w:sdtContent>
                </w:sdt>
                <w:sdt>
                  <w:sdtPr>
                    <w:rPr>
                      <w:sz w:val="14"/>
                      <w:szCs w:val="14"/>
                    </w:rPr>
                    <w:tag w:val="_PLD_68a9918174cf4752ad67388e59bb3c51"/>
                    <w:id w:val="-201330167"/>
                    <w:lock w:val="sdtLocked"/>
                  </w:sdtPr>
                  <w:sdtContent>
                    <w:tc>
                      <w:tcPr>
                        <w:tcW w:w="1391" w:type="dxa"/>
                        <w:vAlign w:val="center"/>
                      </w:tcPr>
                      <w:p w:rsidR="00684161" w:rsidRPr="00A0098F" w:rsidRDefault="00684161" w:rsidP="00601D47">
                        <w:pPr>
                          <w:adjustRightInd w:val="0"/>
                          <w:snapToGrid w:val="0"/>
                          <w:jc w:val="center"/>
                          <w:rPr>
                            <w:sz w:val="14"/>
                            <w:szCs w:val="14"/>
                          </w:rPr>
                        </w:pPr>
                        <w:r w:rsidRPr="00A0098F">
                          <w:rPr>
                            <w:rFonts w:hint="eastAsia"/>
                            <w:sz w:val="14"/>
                            <w:szCs w:val="14"/>
                          </w:rPr>
                          <w:t>专项储备</w:t>
                        </w:r>
                      </w:p>
                    </w:tc>
                  </w:sdtContent>
                </w:sdt>
                <w:sdt>
                  <w:sdtPr>
                    <w:rPr>
                      <w:sz w:val="14"/>
                      <w:szCs w:val="14"/>
                    </w:rPr>
                    <w:tag w:val="_PLD_eddda9b1710646a5811c9efb65bf8703"/>
                    <w:id w:val="-1258982769"/>
                    <w:lock w:val="sdtLocked"/>
                  </w:sdtPr>
                  <w:sdtContent>
                    <w:tc>
                      <w:tcPr>
                        <w:tcW w:w="1376" w:type="dxa"/>
                        <w:vAlign w:val="center"/>
                      </w:tcPr>
                      <w:p w:rsidR="00684161" w:rsidRPr="00A0098F" w:rsidRDefault="00684161" w:rsidP="00601D47">
                        <w:pPr>
                          <w:adjustRightInd w:val="0"/>
                          <w:snapToGrid w:val="0"/>
                          <w:jc w:val="center"/>
                          <w:rPr>
                            <w:sz w:val="14"/>
                            <w:szCs w:val="14"/>
                          </w:rPr>
                        </w:pPr>
                        <w:r w:rsidRPr="00A0098F">
                          <w:rPr>
                            <w:sz w:val="14"/>
                            <w:szCs w:val="14"/>
                          </w:rPr>
                          <w:t>盈余公积</w:t>
                        </w:r>
                      </w:p>
                    </w:tc>
                  </w:sdtContent>
                </w:sdt>
                <w:sdt>
                  <w:sdtPr>
                    <w:rPr>
                      <w:sz w:val="14"/>
                      <w:szCs w:val="14"/>
                    </w:rPr>
                    <w:tag w:val="_PLD_d210b1f3e63743b7b7ad078da7c00997"/>
                    <w:id w:val="807600713"/>
                    <w:lock w:val="sdtLocked"/>
                  </w:sdtPr>
                  <w:sdtContent>
                    <w:tc>
                      <w:tcPr>
                        <w:tcW w:w="1363" w:type="dxa"/>
                        <w:vAlign w:val="center"/>
                      </w:tcPr>
                      <w:p w:rsidR="00684161" w:rsidRPr="00A0098F" w:rsidRDefault="00684161" w:rsidP="00601D47">
                        <w:pPr>
                          <w:adjustRightInd w:val="0"/>
                          <w:snapToGrid w:val="0"/>
                          <w:jc w:val="center"/>
                          <w:rPr>
                            <w:sz w:val="14"/>
                            <w:szCs w:val="14"/>
                          </w:rPr>
                        </w:pPr>
                        <w:r w:rsidRPr="00A0098F">
                          <w:rPr>
                            <w:sz w:val="14"/>
                            <w:szCs w:val="14"/>
                          </w:rPr>
                          <w:t>未分配利润</w:t>
                        </w:r>
                      </w:p>
                    </w:tc>
                  </w:sdtContent>
                </w:sdt>
                <w:sdt>
                  <w:sdtPr>
                    <w:rPr>
                      <w:sz w:val="14"/>
                      <w:szCs w:val="14"/>
                    </w:rPr>
                    <w:tag w:val="_PLD_d0efa115b304401592a693cab0f3a46a"/>
                    <w:id w:val="-130866479"/>
                    <w:lock w:val="sdtLocked"/>
                  </w:sdtPr>
                  <w:sdtContent>
                    <w:tc>
                      <w:tcPr>
                        <w:tcW w:w="1381" w:type="dxa"/>
                        <w:vAlign w:val="center"/>
                      </w:tcPr>
                      <w:p w:rsidR="00684161" w:rsidRPr="00A0098F" w:rsidRDefault="00684161" w:rsidP="00601D47">
                        <w:pPr>
                          <w:adjustRightInd w:val="0"/>
                          <w:snapToGrid w:val="0"/>
                          <w:jc w:val="center"/>
                          <w:rPr>
                            <w:sz w:val="14"/>
                            <w:szCs w:val="14"/>
                          </w:rPr>
                        </w:pPr>
                        <w:r w:rsidRPr="00A0098F">
                          <w:rPr>
                            <w:sz w:val="14"/>
                            <w:szCs w:val="14"/>
                          </w:rPr>
                          <w:t>所有者权益合计</w:t>
                        </w:r>
                      </w:p>
                    </w:tc>
                  </w:sdtContent>
                </w:sdt>
              </w:tr>
              <w:tr w:rsidR="00684161" w:rsidRPr="00A0098F" w:rsidTr="00601D47">
                <w:trPr>
                  <w:trHeight w:val="20"/>
                </w:trPr>
                <w:sdt>
                  <w:sdtPr>
                    <w:rPr>
                      <w:sz w:val="14"/>
                      <w:szCs w:val="14"/>
                    </w:rPr>
                    <w:tag w:val="_PLD_4b9f68f704bb4acfae62b3d3cbf0d790"/>
                    <w:id w:val="-374160160"/>
                    <w:lock w:val="sdtLocked"/>
                  </w:sdtPr>
                  <w:sdtContent>
                    <w:tc>
                      <w:tcPr>
                        <w:tcW w:w="2749" w:type="dxa"/>
                      </w:tcPr>
                      <w:p w:rsidR="00684161" w:rsidRPr="00A0098F" w:rsidRDefault="00684161" w:rsidP="00601D47">
                        <w:pPr>
                          <w:rPr>
                            <w:sz w:val="14"/>
                            <w:szCs w:val="14"/>
                          </w:rPr>
                        </w:pPr>
                        <w:r w:rsidRPr="00A0098F">
                          <w:rPr>
                            <w:sz w:val="14"/>
                            <w:szCs w:val="14"/>
                          </w:rPr>
                          <w:t>一、上年</w:t>
                        </w:r>
                        <w:r w:rsidRPr="00A0098F">
                          <w:rPr>
                            <w:rFonts w:hint="eastAsia"/>
                            <w:sz w:val="14"/>
                            <w:szCs w:val="14"/>
                          </w:rPr>
                          <w:t>年</w:t>
                        </w:r>
                        <w:r w:rsidRPr="00A0098F">
                          <w:rPr>
                            <w:sz w:val="14"/>
                            <w:szCs w:val="14"/>
                          </w:rPr>
                          <w:t>末余额</w:t>
                        </w:r>
                      </w:p>
                    </w:tc>
                  </w:sdtContent>
                </w:sdt>
                <w:tc>
                  <w:tcPr>
                    <w:tcW w:w="1431" w:type="dxa"/>
                    <w:tcBorders>
                      <w:right w:val="single" w:sz="4" w:space="0" w:color="auto"/>
                    </w:tcBorders>
                    <w:vAlign w:val="center"/>
                  </w:tcPr>
                  <w:p w:rsidR="00684161" w:rsidRPr="00A0098F" w:rsidRDefault="00684161" w:rsidP="00601D47">
                    <w:pPr>
                      <w:jc w:val="right"/>
                      <w:rPr>
                        <w:sz w:val="14"/>
                        <w:szCs w:val="14"/>
                      </w:rPr>
                    </w:pPr>
                    <w:r w:rsidRPr="00A0098F">
                      <w:rPr>
                        <w:sz w:val="14"/>
                        <w:szCs w:val="14"/>
                      </w:rPr>
                      <w:t>14,866,791,491</w:t>
                    </w:r>
                  </w:p>
                </w:tc>
                <w:tc>
                  <w:tcPr>
                    <w:tcW w:w="1445" w:type="dxa"/>
                    <w:tcBorders>
                      <w:left w:val="single" w:sz="4" w:space="0" w:color="auto"/>
                      <w:right w:val="single" w:sz="4" w:space="0" w:color="auto"/>
                    </w:tcBorders>
                    <w:vAlign w:val="center"/>
                  </w:tcPr>
                  <w:p w:rsidR="00684161" w:rsidRPr="00A0098F" w:rsidRDefault="00684161" w:rsidP="00601D47">
                    <w:pPr>
                      <w:jc w:val="right"/>
                      <w:rPr>
                        <w:sz w:val="14"/>
                        <w:szCs w:val="14"/>
                      </w:rPr>
                    </w:pPr>
                    <w:r w:rsidRPr="00A0098F">
                      <w:rPr>
                        <w:sz w:val="14"/>
                        <w:szCs w:val="14"/>
                      </w:rPr>
                      <w:t>3,358,346,883</w:t>
                    </w:r>
                  </w:p>
                </w:tc>
                <w:tc>
                  <w:tcPr>
                    <w:tcW w:w="1391" w:type="dxa"/>
                    <w:tcBorders>
                      <w:left w:val="single" w:sz="4" w:space="0" w:color="auto"/>
                    </w:tcBorders>
                    <w:vAlign w:val="center"/>
                  </w:tcPr>
                  <w:p w:rsidR="00684161" w:rsidRPr="00A0098F" w:rsidRDefault="00684161" w:rsidP="00601D47">
                    <w:pPr>
                      <w:jc w:val="right"/>
                      <w:rPr>
                        <w:sz w:val="14"/>
                        <w:szCs w:val="14"/>
                      </w:rPr>
                    </w:pPr>
                    <w:r w:rsidRPr="00A0098F">
                      <w:rPr>
                        <w:sz w:val="14"/>
                        <w:szCs w:val="14"/>
                      </w:rPr>
                      <w:t>25,029,220,103</w:t>
                    </w:r>
                  </w:p>
                </w:tc>
                <w:tc>
                  <w:tcPr>
                    <w:tcW w:w="1377" w:type="dxa"/>
                    <w:vAlign w:val="center"/>
                  </w:tcPr>
                  <w:p w:rsidR="00684161" w:rsidRPr="00A0098F" w:rsidRDefault="00684161" w:rsidP="00601D47">
                    <w:pPr>
                      <w:jc w:val="right"/>
                      <w:rPr>
                        <w:sz w:val="14"/>
                        <w:szCs w:val="14"/>
                      </w:rPr>
                    </w:pPr>
                    <w:r w:rsidRPr="00A0098F">
                      <w:rPr>
                        <w:sz w:val="14"/>
                        <w:szCs w:val="14"/>
                      </w:rPr>
                      <w:t>-511,829,736</w:t>
                    </w:r>
                  </w:p>
                </w:tc>
                <w:tc>
                  <w:tcPr>
                    <w:tcW w:w="1391" w:type="dxa"/>
                    <w:vAlign w:val="center"/>
                  </w:tcPr>
                  <w:p w:rsidR="00684161" w:rsidRPr="00A0098F" w:rsidRDefault="00684161" w:rsidP="00601D47">
                    <w:pPr>
                      <w:jc w:val="right"/>
                      <w:rPr>
                        <w:sz w:val="14"/>
                        <w:szCs w:val="14"/>
                      </w:rPr>
                    </w:pPr>
                    <w:r w:rsidRPr="00A0098F">
                      <w:rPr>
                        <w:sz w:val="14"/>
                        <w:szCs w:val="14"/>
                      </w:rPr>
                      <w:t>521,271,703</w:t>
                    </w:r>
                  </w:p>
                </w:tc>
                <w:tc>
                  <w:tcPr>
                    <w:tcW w:w="1376" w:type="dxa"/>
                    <w:vAlign w:val="center"/>
                  </w:tcPr>
                  <w:p w:rsidR="00684161" w:rsidRPr="00A0098F" w:rsidRDefault="00684161" w:rsidP="00601D47">
                    <w:pPr>
                      <w:jc w:val="right"/>
                      <w:rPr>
                        <w:sz w:val="14"/>
                        <w:szCs w:val="14"/>
                      </w:rPr>
                    </w:pPr>
                    <w:r w:rsidRPr="00A0098F">
                      <w:rPr>
                        <w:sz w:val="14"/>
                        <w:szCs w:val="14"/>
                      </w:rPr>
                      <w:t>16,399,405,815</w:t>
                    </w:r>
                  </w:p>
                </w:tc>
                <w:tc>
                  <w:tcPr>
                    <w:tcW w:w="1363" w:type="dxa"/>
                    <w:vAlign w:val="center"/>
                  </w:tcPr>
                  <w:p w:rsidR="00684161" w:rsidRPr="00A0098F" w:rsidRDefault="00684161" w:rsidP="00601D47">
                    <w:pPr>
                      <w:jc w:val="right"/>
                      <w:rPr>
                        <w:sz w:val="14"/>
                        <w:szCs w:val="14"/>
                      </w:rPr>
                    </w:pPr>
                    <w:r w:rsidRPr="00A0098F">
                      <w:rPr>
                        <w:sz w:val="14"/>
                        <w:szCs w:val="14"/>
                      </w:rPr>
                      <w:t>63,141,240,084</w:t>
                    </w:r>
                  </w:p>
                </w:tc>
                <w:tc>
                  <w:tcPr>
                    <w:tcW w:w="1381" w:type="dxa"/>
                    <w:vAlign w:val="center"/>
                  </w:tcPr>
                  <w:p w:rsidR="00684161" w:rsidRPr="00A0098F" w:rsidRDefault="00684161" w:rsidP="00601D47">
                    <w:pPr>
                      <w:jc w:val="right"/>
                      <w:rPr>
                        <w:sz w:val="14"/>
                        <w:szCs w:val="14"/>
                      </w:rPr>
                    </w:pPr>
                    <w:r w:rsidRPr="00A0098F">
                      <w:rPr>
                        <w:sz w:val="14"/>
                        <w:szCs w:val="14"/>
                      </w:rPr>
                      <w:t>122,804,446,343</w:t>
                    </w:r>
                  </w:p>
                </w:tc>
              </w:tr>
              <w:tr w:rsidR="00684161" w:rsidRPr="00A0098F" w:rsidTr="00601D47">
                <w:trPr>
                  <w:trHeight w:val="20"/>
                </w:trPr>
                <w:sdt>
                  <w:sdtPr>
                    <w:rPr>
                      <w:sz w:val="14"/>
                      <w:szCs w:val="14"/>
                    </w:rPr>
                    <w:tag w:val="_PLD_4841ceb909a14a2abffb67eeb3435694"/>
                    <w:id w:val="791326327"/>
                    <w:lock w:val="sdtLocked"/>
                  </w:sdtPr>
                  <w:sdtContent>
                    <w:tc>
                      <w:tcPr>
                        <w:tcW w:w="2749" w:type="dxa"/>
                      </w:tcPr>
                      <w:p w:rsidR="00684161" w:rsidRPr="00A0098F" w:rsidRDefault="00684161" w:rsidP="00601D47">
                        <w:pPr>
                          <w:rPr>
                            <w:sz w:val="14"/>
                            <w:szCs w:val="14"/>
                          </w:rPr>
                        </w:pPr>
                        <w:r w:rsidRPr="00A0098F">
                          <w:rPr>
                            <w:sz w:val="14"/>
                            <w:szCs w:val="14"/>
                          </w:rPr>
                          <w:t>二、本年</w:t>
                        </w:r>
                        <w:r w:rsidRPr="00A0098F">
                          <w:rPr>
                            <w:rFonts w:hint="eastAsia"/>
                            <w:sz w:val="14"/>
                            <w:szCs w:val="14"/>
                          </w:rPr>
                          <w:t>期</w:t>
                        </w:r>
                        <w:r w:rsidRPr="00A0098F">
                          <w:rPr>
                            <w:sz w:val="14"/>
                            <w:szCs w:val="14"/>
                          </w:rPr>
                          <w:t>初余额</w:t>
                        </w:r>
                      </w:p>
                    </w:tc>
                  </w:sdtContent>
                </w:sdt>
                <w:tc>
                  <w:tcPr>
                    <w:tcW w:w="1431" w:type="dxa"/>
                    <w:tcBorders>
                      <w:right w:val="single" w:sz="4" w:space="0" w:color="auto"/>
                    </w:tcBorders>
                    <w:vAlign w:val="center"/>
                  </w:tcPr>
                  <w:p w:rsidR="00684161" w:rsidRPr="00A0098F" w:rsidRDefault="00684161" w:rsidP="00601D47">
                    <w:pPr>
                      <w:jc w:val="right"/>
                      <w:rPr>
                        <w:sz w:val="14"/>
                        <w:szCs w:val="14"/>
                      </w:rPr>
                    </w:pPr>
                    <w:r w:rsidRPr="00A0098F">
                      <w:rPr>
                        <w:sz w:val="14"/>
                        <w:szCs w:val="14"/>
                      </w:rPr>
                      <w:t>14,866,791,491</w:t>
                    </w:r>
                  </w:p>
                </w:tc>
                <w:tc>
                  <w:tcPr>
                    <w:tcW w:w="1445" w:type="dxa"/>
                    <w:tcBorders>
                      <w:left w:val="single" w:sz="4" w:space="0" w:color="auto"/>
                      <w:right w:val="single" w:sz="4" w:space="0" w:color="auto"/>
                    </w:tcBorders>
                    <w:vAlign w:val="center"/>
                  </w:tcPr>
                  <w:p w:rsidR="00684161" w:rsidRPr="00A0098F" w:rsidRDefault="00684161" w:rsidP="00601D47">
                    <w:pPr>
                      <w:jc w:val="right"/>
                      <w:rPr>
                        <w:sz w:val="14"/>
                        <w:szCs w:val="14"/>
                      </w:rPr>
                    </w:pPr>
                    <w:r w:rsidRPr="00A0098F">
                      <w:rPr>
                        <w:sz w:val="14"/>
                        <w:szCs w:val="14"/>
                      </w:rPr>
                      <w:t>3,358,346,883</w:t>
                    </w:r>
                  </w:p>
                </w:tc>
                <w:tc>
                  <w:tcPr>
                    <w:tcW w:w="1391" w:type="dxa"/>
                    <w:tcBorders>
                      <w:left w:val="single" w:sz="4" w:space="0" w:color="auto"/>
                    </w:tcBorders>
                    <w:vAlign w:val="center"/>
                  </w:tcPr>
                  <w:p w:rsidR="00684161" w:rsidRPr="00A0098F" w:rsidRDefault="00684161" w:rsidP="00601D47">
                    <w:pPr>
                      <w:jc w:val="right"/>
                      <w:rPr>
                        <w:sz w:val="14"/>
                        <w:szCs w:val="14"/>
                      </w:rPr>
                    </w:pPr>
                    <w:r w:rsidRPr="00A0098F">
                      <w:rPr>
                        <w:sz w:val="14"/>
                        <w:szCs w:val="14"/>
                      </w:rPr>
                      <w:t>25,029,220,103</w:t>
                    </w:r>
                  </w:p>
                </w:tc>
                <w:tc>
                  <w:tcPr>
                    <w:tcW w:w="1377" w:type="dxa"/>
                    <w:vAlign w:val="center"/>
                  </w:tcPr>
                  <w:p w:rsidR="00684161" w:rsidRPr="00A0098F" w:rsidRDefault="00684161" w:rsidP="00601D47">
                    <w:pPr>
                      <w:jc w:val="right"/>
                      <w:rPr>
                        <w:sz w:val="14"/>
                        <w:szCs w:val="14"/>
                      </w:rPr>
                    </w:pPr>
                    <w:r w:rsidRPr="00A0098F">
                      <w:rPr>
                        <w:sz w:val="14"/>
                        <w:szCs w:val="14"/>
                      </w:rPr>
                      <w:t>-511,829,736</w:t>
                    </w:r>
                  </w:p>
                </w:tc>
                <w:tc>
                  <w:tcPr>
                    <w:tcW w:w="1391" w:type="dxa"/>
                    <w:vAlign w:val="center"/>
                  </w:tcPr>
                  <w:p w:rsidR="00684161" w:rsidRPr="00A0098F" w:rsidRDefault="00684161" w:rsidP="00601D47">
                    <w:pPr>
                      <w:jc w:val="right"/>
                      <w:rPr>
                        <w:sz w:val="14"/>
                        <w:szCs w:val="14"/>
                      </w:rPr>
                    </w:pPr>
                    <w:r w:rsidRPr="00A0098F">
                      <w:rPr>
                        <w:sz w:val="14"/>
                        <w:szCs w:val="14"/>
                      </w:rPr>
                      <w:t>521,271,703</w:t>
                    </w:r>
                  </w:p>
                </w:tc>
                <w:tc>
                  <w:tcPr>
                    <w:tcW w:w="1376" w:type="dxa"/>
                    <w:vAlign w:val="center"/>
                  </w:tcPr>
                  <w:p w:rsidR="00684161" w:rsidRPr="00A0098F" w:rsidRDefault="00684161" w:rsidP="00601D47">
                    <w:pPr>
                      <w:jc w:val="right"/>
                      <w:rPr>
                        <w:sz w:val="14"/>
                        <w:szCs w:val="14"/>
                      </w:rPr>
                    </w:pPr>
                    <w:r w:rsidRPr="00A0098F">
                      <w:rPr>
                        <w:sz w:val="14"/>
                        <w:szCs w:val="14"/>
                      </w:rPr>
                      <w:t>16,399,405,815</w:t>
                    </w:r>
                  </w:p>
                </w:tc>
                <w:tc>
                  <w:tcPr>
                    <w:tcW w:w="1363" w:type="dxa"/>
                    <w:vAlign w:val="center"/>
                  </w:tcPr>
                  <w:p w:rsidR="00684161" w:rsidRPr="00A0098F" w:rsidRDefault="00684161" w:rsidP="00601D47">
                    <w:pPr>
                      <w:jc w:val="right"/>
                      <w:rPr>
                        <w:sz w:val="14"/>
                        <w:szCs w:val="14"/>
                      </w:rPr>
                    </w:pPr>
                    <w:r w:rsidRPr="00A0098F">
                      <w:rPr>
                        <w:sz w:val="14"/>
                        <w:szCs w:val="14"/>
                      </w:rPr>
                      <w:t>63,141,240,084</w:t>
                    </w:r>
                  </w:p>
                </w:tc>
                <w:tc>
                  <w:tcPr>
                    <w:tcW w:w="1381" w:type="dxa"/>
                    <w:vAlign w:val="center"/>
                  </w:tcPr>
                  <w:p w:rsidR="00684161" w:rsidRPr="00A0098F" w:rsidRDefault="00684161" w:rsidP="00601D47">
                    <w:pPr>
                      <w:jc w:val="right"/>
                      <w:rPr>
                        <w:sz w:val="14"/>
                        <w:szCs w:val="14"/>
                      </w:rPr>
                    </w:pPr>
                    <w:r w:rsidRPr="00A0098F">
                      <w:rPr>
                        <w:sz w:val="14"/>
                        <w:szCs w:val="14"/>
                      </w:rPr>
                      <w:t>122,804,446,343</w:t>
                    </w:r>
                  </w:p>
                </w:tc>
              </w:tr>
              <w:tr w:rsidR="00684161" w:rsidRPr="00A0098F" w:rsidTr="00601D47">
                <w:trPr>
                  <w:trHeight w:val="20"/>
                </w:trPr>
                <w:sdt>
                  <w:sdtPr>
                    <w:rPr>
                      <w:sz w:val="14"/>
                      <w:szCs w:val="14"/>
                    </w:rPr>
                    <w:tag w:val="_PLD_302909e63784410386a25e7b0c2339c7"/>
                    <w:id w:val="-2116976202"/>
                    <w:lock w:val="sdtLocked"/>
                  </w:sdtPr>
                  <w:sdtContent>
                    <w:tc>
                      <w:tcPr>
                        <w:tcW w:w="2749" w:type="dxa"/>
                      </w:tcPr>
                      <w:p w:rsidR="00684161" w:rsidRPr="00A0098F" w:rsidRDefault="00684161" w:rsidP="00601D47">
                        <w:pPr>
                          <w:rPr>
                            <w:sz w:val="14"/>
                            <w:szCs w:val="14"/>
                          </w:rPr>
                        </w:pPr>
                        <w:r w:rsidRPr="00A0098F">
                          <w:rPr>
                            <w:sz w:val="14"/>
                            <w:szCs w:val="14"/>
                          </w:rPr>
                          <w:t>三、本</w:t>
                        </w:r>
                        <w:r w:rsidRPr="00A0098F">
                          <w:rPr>
                            <w:rFonts w:hint="eastAsia"/>
                            <w:sz w:val="14"/>
                            <w:szCs w:val="14"/>
                          </w:rPr>
                          <w:t>期</w:t>
                        </w:r>
                        <w:r w:rsidRPr="00A0098F">
                          <w:rPr>
                            <w:sz w:val="14"/>
                            <w:szCs w:val="14"/>
                          </w:rPr>
                          <w:t>增减变动金额（减少以“－”号填列）</w:t>
                        </w:r>
                      </w:p>
                    </w:tc>
                  </w:sdtContent>
                </w:sdt>
                <w:tc>
                  <w:tcPr>
                    <w:tcW w:w="1431" w:type="dxa"/>
                    <w:tcBorders>
                      <w:right w:val="single" w:sz="4" w:space="0" w:color="auto"/>
                    </w:tcBorders>
                    <w:vAlign w:val="center"/>
                  </w:tcPr>
                  <w:p w:rsidR="00684161" w:rsidRPr="00A0098F" w:rsidRDefault="00684161" w:rsidP="00601D47">
                    <w:pPr>
                      <w:jc w:val="right"/>
                      <w:rPr>
                        <w:sz w:val="14"/>
                        <w:szCs w:val="14"/>
                      </w:rPr>
                    </w:pPr>
                    <w:r w:rsidRPr="00A0098F">
                      <w:rPr>
                        <w:sz w:val="14"/>
                        <w:szCs w:val="14"/>
                      </w:rPr>
                      <w:t>116,534</w:t>
                    </w:r>
                  </w:p>
                </w:tc>
                <w:tc>
                  <w:tcPr>
                    <w:tcW w:w="1445" w:type="dxa"/>
                    <w:tcBorders>
                      <w:left w:val="single" w:sz="4" w:space="0" w:color="auto"/>
                    </w:tcBorders>
                    <w:vAlign w:val="center"/>
                  </w:tcPr>
                  <w:p w:rsidR="00684161" w:rsidRPr="00A0098F" w:rsidRDefault="00684161" w:rsidP="00601D47">
                    <w:pPr>
                      <w:jc w:val="right"/>
                      <w:rPr>
                        <w:sz w:val="14"/>
                        <w:szCs w:val="14"/>
                      </w:rPr>
                    </w:pPr>
                    <w:r w:rsidRPr="00A0098F">
                      <w:rPr>
                        <w:sz w:val="14"/>
                        <w:szCs w:val="14"/>
                      </w:rPr>
                      <w:t>-92,145</w:t>
                    </w:r>
                  </w:p>
                </w:tc>
                <w:tc>
                  <w:tcPr>
                    <w:tcW w:w="1391" w:type="dxa"/>
                    <w:vAlign w:val="center"/>
                  </w:tcPr>
                  <w:p w:rsidR="00684161" w:rsidRPr="00A0098F" w:rsidRDefault="00684161" w:rsidP="00601D47">
                    <w:pPr>
                      <w:jc w:val="right"/>
                      <w:rPr>
                        <w:sz w:val="14"/>
                        <w:szCs w:val="14"/>
                      </w:rPr>
                    </w:pPr>
                    <w:r w:rsidRPr="00A0098F">
                      <w:rPr>
                        <w:sz w:val="14"/>
                        <w:szCs w:val="14"/>
                      </w:rPr>
                      <w:t>-704,568,665</w:t>
                    </w:r>
                  </w:p>
                </w:tc>
                <w:tc>
                  <w:tcPr>
                    <w:tcW w:w="1377" w:type="dxa"/>
                    <w:vAlign w:val="center"/>
                  </w:tcPr>
                  <w:p w:rsidR="00684161" w:rsidRPr="00A0098F" w:rsidRDefault="00684161" w:rsidP="00601D47">
                    <w:pPr>
                      <w:jc w:val="right"/>
                      <w:rPr>
                        <w:sz w:val="14"/>
                        <w:szCs w:val="14"/>
                      </w:rPr>
                    </w:pPr>
                    <w:r w:rsidRPr="00A0098F">
                      <w:rPr>
                        <w:sz w:val="14"/>
                        <w:szCs w:val="14"/>
                      </w:rPr>
                      <w:t>-93,332,890</w:t>
                    </w:r>
                  </w:p>
                </w:tc>
                <w:tc>
                  <w:tcPr>
                    <w:tcW w:w="1391" w:type="dxa"/>
                    <w:vAlign w:val="center"/>
                  </w:tcPr>
                  <w:p w:rsidR="00684161" w:rsidRPr="00A0098F" w:rsidRDefault="00684161" w:rsidP="00601D47">
                    <w:pPr>
                      <w:jc w:val="right"/>
                      <w:rPr>
                        <w:sz w:val="14"/>
                        <w:szCs w:val="14"/>
                      </w:rPr>
                    </w:pPr>
                    <w:r w:rsidRPr="00A0098F">
                      <w:rPr>
                        <w:sz w:val="14"/>
                        <w:szCs w:val="14"/>
                      </w:rPr>
                      <w:t>147,499,916</w:t>
                    </w:r>
                  </w:p>
                </w:tc>
                <w:tc>
                  <w:tcPr>
                    <w:tcW w:w="1376" w:type="dxa"/>
                    <w:vAlign w:val="center"/>
                  </w:tcPr>
                  <w:p w:rsidR="00684161" w:rsidRPr="00A0098F" w:rsidRDefault="00684161" w:rsidP="00601D47">
                    <w:pPr>
                      <w:jc w:val="right"/>
                      <w:rPr>
                        <w:sz w:val="14"/>
                        <w:szCs w:val="14"/>
                      </w:rPr>
                    </w:pPr>
                    <w:r w:rsidRPr="00A0098F">
                      <w:rPr>
                        <w:sz w:val="14"/>
                        <w:szCs w:val="14"/>
                      </w:rPr>
                      <w:t>1,187,701,933</w:t>
                    </w:r>
                  </w:p>
                </w:tc>
                <w:tc>
                  <w:tcPr>
                    <w:tcW w:w="1363" w:type="dxa"/>
                    <w:vAlign w:val="center"/>
                  </w:tcPr>
                  <w:p w:rsidR="00684161" w:rsidRPr="00A0098F" w:rsidRDefault="00684161" w:rsidP="00601D47">
                    <w:pPr>
                      <w:jc w:val="right"/>
                      <w:rPr>
                        <w:sz w:val="14"/>
                        <w:szCs w:val="14"/>
                      </w:rPr>
                    </w:pPr>
                    <w:r w:rsidRPr="00A0098F">
                      <w:rPr>
                        <w:sz w:val="14"/>
                        <w:szCs w:val="14"/>
                      </w:rPr>
                      <w:t>2,577,666,474</w:t>
                    </w:r>
                  </w:p>
                </w:tc>
                <w:tc>
                  <w:tcPr>
                    <w:tcW w:w="1381" w:type="dxa"/>
                    <w:vAlign w:val="center"/>
                  </w:tcPr>
                  <w:p w:rsidR="00684161" w:rsidRPr="00A0098F" w:rsidRDefault="00684161" w:rsidP="00601D47">
                    <w:pPr>
                      <w:jc w:val="right"/>
                      <w:rPr>
                        <w:sz w:val="14"/>
                        <w:szCs w:val="14"/>
                      </w:rPr>
                    </w:pPr>
                    <w:r w:rsidRPr="00A0098F">
                      <w:rPr>
                        <w:sz w:val="14"/>
                        <w:szCs w:val="14"/>
                      </w:rPr>
                      <w:t>3,114,991,157</w:t>
                    </w:r>
                  </w:p>
                </w:tc>
              </w:tr>
              <w:tr w:rsidR="00684161" w:rsidRPr="00A0098F" w:rsidTr="00601D47">
                <w:trPr>
                  <w:trHeight w:val="20"/>
                </w:trPr>
                <w:sdt>
                  <w:sdtPr>
                    <w:rPr>
                      <w:sz w:val="14"/>
                      <w:szCs w:val="14"/>
                    </w:rPr>
                    <w:tag w:val="_PLD_565b6c314fb34fb6b0c677b992754d48"/>
                    <w:id w:val="1950270054"/>
                    <w:lock w:val="sdtLocked"/>
                  </w:sdtPr>
                  <w:sdtContent>
                    <w:tc>
                      <w:tcPr>
                        <w:tcW w:w="2749" w:type="dxa"/>
                      </w:tcPr>
                      <w:p w:rsidR="00684161" w:rsidRPr="00A0098F" w:rsidRDefault="00684161" w:rsidP="00601D47">
                        <w:pPr>
                          <w:rPr>
                            <w:sz w:val="14"/>
                            <w:szCs w:val="14"/>
                          </w:rPr>
                        </w:pPr>
                        <w:r w:rsidRPr="00A0098F">
                          <w:rPr>
                            <w:rFonts w:hint="eastAsia"/>
                            <w:sz w:val="14"/>
                            <w:szCs w:val="14"/>
                          </w:rPr>
                          <w:t>（一）综合收益总额</w:t>
                        </w:r>
                      </w:p>
                    </w:tc>
                  </w:sdtContent>
                </w:sdt>
                <w:tc>
                  <w:tcPr>
                    <w:tcW w:w="1431" w:type="dxa"/>
                    <w:tcBorders>
                      <w:right w:val="single" w:sz="4" w:space="0" w:color="auto"/>
                    </w:tcBorders>
                    <w:vAlign w:val="center"/>
                  </w:tcPr>
                  <w:p w:rsidR="00684161" w:rsidRPr="00A0098F" w:rsidRDefault="00684161" w:rsidP="00601D47">
                    <w:pPr>
                      <w:jc w:val="right"/>
                      <w:rPr>
                        <w:sz w:val="14"/>
                        <w:szCs w:val="14"/>
                      </w:rPr>
                    </w:pPr>
                    <w:r w:rsidRPr="00A0098F">
                      <w:rPr>
                        <w:sz w:val="14"/>
                        <w:szCs w:val="14"/>
                      </w:rPr>
                      <w:t>0</w:t>
                    </w:r>
                  </w:p>
                </w:tc>
                <w:tc>
                  <w:tcPr>
                    <w:tcW w:w="1445" w:type="dxa"/>
                    <w:tcBorders>
                      <w:left w:val="single" w:sz="4" w:space="0" w:color="auto"/>
                    </w:tcBorders>
                    <w:vAlign w:val="center"/>
                  </w:tcPr>
                  <w:p w:rsidR="00684161" w:rsidRPr="00A0098F" w:rsidRDefault="00684161" w:rsidP="00601D47">
                    <w:pPr>
                      <w:jc w:val="right"/>
                      <w:rPr>
                        <w:sz w:val="14"/>
                        <w:szCs w:val="14"/>
                      </w:rPr>
                    </w:pPr>
                    <w:r w:rsidRPr="00A0098F">
                      <w:rPr>
                        <w:sz w:val="14"/>
                        <w:szCs w:val="14"/>
                      </w:rPr>
                      <w:t>0</w:t>
                    </w:r>
                  </w:p>
                </w:tc>
                <w:tc>
                  <w:tcPr>
                    <w:tcW w:w="1391" w:type="dxa"/>
                    <w:vAlign w:val="center"/>
                  </w:tcPr>
                  <w:p w:rsidR="00684161" w:rsidRPr="00A0098F" w:rsidRDefault="00684161" w:rsidP="00601D47">
                    <w:pPr>
                      <w:jc w:val="right"/>
                      <w:rPr>
                        <w:sz w:val="14"/>
                        <w:szCs w:val="14"/>
                      </w:rPr>
                    </w:pPr>
                    <w:r w:rsidRPr="00A0098F">
                      <w:rPr>
                        <w:sz w:val="14"/>
                        <w:szCs w:val="14"/>
                      </w:rPr>
                      <w:t>0</w:t>
                    </w:r>
                  </w:p>
                </w:tc>
                <w:tc>
                  <w:tcPr>
                    <w:tcW w:w="1377" w:type="dxa"/>
                    <w:vAlign w:val="center"/>
                  </w:tcPr>
                  <w:p w:rsidR="00684161" w:rsidRPr="00A0098F" w:rsidRDefault="00684161" w:rsidP="00601D47">
                    <w:pPr>
                      <w:jc w:val="right"/>
                      <w:rPr>
                        <w:sz w:val="14"/>
                        <w:szCs w:val="14"/>
                      </w:rPr>
                    </w:pPr>
                    <w:r w:rsidRPr="00A0098F">
                      <w:rPr>
                        <w:sz w:val="14"/>
                        <w:szCs w:val="14"/>
                      </w:rPr>
                      <w:t>-93,332,890</w:t>
                    </w:r>
                  </w:p>
                </w:tc>
                <w:tc>
                  <w:tcPr>
                    <w:tcW w:w="1391" w:type="dxa"/>
                    <w:vAlign w:val="center"/>
                  </w:tcPr>
                  <w:p w:rsidR="00684161" w:rsidRPr="00A0098F" w:rsidRDefault="00684161" w:rsidP="00601D47">
                    <w:pPr>
                      <w:jc w:val="right"/>
                      <w:rPr>
                        <w:sz w:val="14"/>
                        <w:szCs w:val="14"/>
                      </w:rPr>
                    </w:pPr>
                    <w:r w:rsidRPr="00A0098F">
                      <w:rPr>
                        <w:sz w:val="14"/>
                        <w:szCs w:val="14"/>
                      </w:rPr>
                      <w:t>0</w:t>
                    </w:r>
                  </w:p>
                </w:tc>
                <w:tc>
                  <w:tcPr>
                    <w:tcW w:w="1376" w:type="dxa"/>
                    <w:vAlign w:val="center"/>
                  </w:tcPr>
                  <w:p w:rsidR="00684161" w:rsidRPr="00A0098F" w:rsidRDefault="00684161" w:rsidP="00601D47">
                    <w:pPr>
                      <w:jc w:val="right"/>
                      <w:rPr>
                        <w:sz w:val="14"/>
                        <w:szCs w:val="14"/>
                      </w:rPr>
                    </w:pPr>
                    <w:r w:rsidRPr="00A0098F">
                      <w:rPr>
                        <w:sz w:val="14"/>
                        <w:szCs w:val="14"/>
                      </w:rPr>
                      <w:t>0</w:t>
                    </w:r>
                  </w:p>
                </w:tc>
                <w:tc>
                  <w:tcPr>
                    <w:tcW w:w="1363" w:type="dxa"/>
                    <w:vAlign w:val="center"/>
                  </w:tcPr>
                  <w:p w:rsidR="00684161" w:rsidRPr="00A0098F" w:rsidRDefault="00684161" w:rsidP="00601D47">
                    <w:pPr>
                      <w:jc w:val="right"/>
                      <w:rPr>
                        <w:sz w:val="14"/>
                        <w:szCs w:val="14"/>
                      </w:rPr>
                    </w:pPr>
                    <w:r w:rsidRPr="00A0098F">
                      <w:rPr>
                        <w:sz w:val="14"/>
                        <w:szCs w:val="14"/>
                      </w:rPr>
                      <w:t>11,877,019,327</w:t>
                    </w:r>
                  </w:p>
                </w:tc>
                <w:tc>
                  <w:tcPr>
                    <w:tcW w:w="1381" w:type="dxa"/>
                    <w:vAlign w:val="center"/>
                  </w:tcPr>
                  <w:p w:rsidR="00684161" w:rsidRPr="00A0098F" w:rsidRDefault="00684161" w:rsidP="00601D47">
                    <w:pPr>
                      <w:jc w:val="right"/>
                      <w:rPr>
                        <w:sz w:val="14"/>
                        <w:szCs w:val="14"/>
                      </w:rPr>
                    </w:pPr>
                    <w:r w:rsidRPr="00A0098F">
                      <w:rPr>
                        <w:sz w:val="14"/>
                        <w:szCs w:val="14"/>
                      </w:rPr>
                      <w:t>11,783,686,437</w:t>
                    </w:r>
                  </w:p>
                </w:tc>
              </w:tr>
              <w:tr w:rsidR="00684161" w:rsidRPr="00A0098F" w:rsidTr="00601D47">
                <w:trPr>
                  <w:trHeight w:val="20"/>
                </w:trPr>
                <w:sdt>
                  <w:sdtPr>
                    <w:rPr>
                      <w:sz w:val="14"/>
                      <w:szCs w:val="14"/>
                    </w:rPr>
                    <w:tag w:val="_PLD_4f759bcfeb8744e79a2c846685bf5bf7"/>
                    <w:id w:val="818694384"/>
                    <w:lock w:val="sdtLocked"/>
                  </w:sdtPr>
                  <w:sdtContent>
                    <w:tc>
                      <w:tcPr>
                        <w:tcW w:w="2749" w:type="dxa"/>
                      </w:tcPr>
                      <w:p w:rsidR="00684161" w:rsidRPr="00A0098F" w:rsidRDefault="00684161" w:rsidP="00601D47">
                        <w:pPr>
                          <w:rPr>
                            <w:sz w:val="14"/>
                            <w:szCs w:val="14"/>
                          </w:rPr>
                        </w:pPr>
                        <w:r w:rsidRPr="00A0098F">
                          <w:rPr>
                            <w:sz w:val="14"/>
                            <w:szCs w:val="14"/>
                          </w:rPr>
                          <w:t>（</w:t>
                        </w:r>
                        <w:r w:rsidRPr="00A0098F">
                          <w:rPr>
                            <w:rFonts w:hint="eastAsia"/>
                            <w:sz w:val="14"/>
                            <w:szCs w:val="14"/>
                          </w:rPr>
                          <w:t>二</w:t>
                        </w:r>
                        <w:r w:rsidRPr="00A0098F">
                          <w:rPr>
                            <w:sz w:val="14"/>
                            <w:szCs w:val="14"/>
                          </w:rPr>
                          <w:t>）所有者投入和减少资本</w:t>
                        </w:r>
                      </w:p>
                    </w:tc>
                  </w:sdtContent>
                </w:sdt>
                <w:tc>
                  <w:tcPr>
                    <w:tcW w:w="1431" w:type="dxa"/>
                    <w:tcBorders>
                      <w:right w:val="single" w:sz="4" w:space="0" w:color="auto"/>
                    </w:tcBorders>
                    <w:vAlign w:val="center"/>
                  </w:tcPr>
                  <w:p w:rsidR="00684161" w:rsidRPr="00A0098F" w:rsidRDefault="00684161" w:rsidP="00601D47">
                    <w:pPr>
                      <w:jc w:val="right"/>
                      <w:rPr>
                        <w:sz w:val="14"/>
                        <w:szCs w:val="14"/>
                      </w:rPr>
                    </w:pPr>
                    <w:r w:rsidRPr="00A0098F">
                      <w:rPr>
                        <w:sz w:val="14"/>
                        <w:szCs w:val="14"/>
                      </w:rPr>
                      <w:t>116,534</w:t>
                    </w:r>
                  </w:p>
                </w:tc>
                <w:tc>
                  <w:tcPr>
                    <w:tcW w:w="1445" w:type="dxa"/>
                    <w:tcBorders>
                      <w:left w:val="single" w:sz="4" w:space="0" w:color="auto"/>
                    </w:tcBorders>
                    <w:vAlign w:val="center"/>
                  </w:tcPr>
                  <w:p w:rsidR="00684161" w:rsidRPr="00A0098F" w:rsidRDefault="00684161" w:rsidP="00601D47">
                    <w:pPr>
                      <w:jc w:val="right"/>
                      <w:rPr>
                        <w:sz w:val="14"/>
                        <w:szCs w:val="14"/>
                      </w:rPr>
                    </w:pPr>
                    <w:r w:rsidRPr="00A0098F">
                      <w:rPr>
                        <w:sz w:val="14"/>
                        <w:szCs w:val="14"/>
                      </w:rPr>
                      <w:t>-92,145</w:t>
                    </w:r>
                  </w:p>
                </w:tc>
                <w:tc>
                  <w:tcPr>
                    <w:tcW w:w="1391" w:type="dxa"/>
                    <w:vAlign w:val="center"/>
                  </w:tcPr>
                  <w:p w:rsidR="00684161" w:rsidRPr="00A0098F" w:rsidRDefault="00684161" w:rsidP="00601D47">
                    <w:pPr>
                      <w:jc w:val="right"/>
                      <w:rPr>
                        <w:sz w:val="14"/>
                        <w:szCs w:val="14"/>
                      </w:rPr>
                    </w:pPr>
                    <w:r w:rsidRPr="00A0098F">
                      <w:rPr>
                        <w:sz w:val="14"/>
                        <w:szCs w:val="14"/>
                      </w:rPr>
                      <w:t>-707,641,977</w:t>
                    </w:r>
                  </w:p>
                </w:tc>
                <w:tc>
                  <w:tcPr>
                    <w:tcW w:w="1377" w:type="dxa"/>
                    <w:vAlign w:val="center"/>
                  </w:tcPr>
                  <w:p w:rsidR="00684161" w:rsidRPr="00A0098F" w:rsidRDefault="00684161" w:rsidP="00601D47">
                    <w:pPr>
                      <w:jc w:val="right"/>
                      <w:rPr>
                        <w:sz w:val="14"/>
                        <w:szCs w:val="14"/>
                      </w:rPr>
                    </w:pPr>
                    <w:r w:rsidRPr="00A0098F">
                      <w:rPr>
                        <w:sz w:val="14"/>
                        <w:szCs w:val="14"/>
                      </w:rPr>
                      <w:t>0</w:t>
                    </w:r>
                  </w:p>
                </w:tc>
                <w:tc>
                  <w:tcPr>
                    <w:tcW w:w="1391" w:type="dxa"/>
                    <w:vAlign w:val="center"/>
                  </w:tcPr>
                  <w:p w:rsidR="00684161" w:rsidRPr="00A0098F" w:rsidRDefault="00684161" w:rsidP="00601D47">
                    <w:pPr>
                      <w:jc w:val="right"/>
                      <w:rPr>
                        <w:sz w:val="14"/>
                        <w:szCs w:val="14"/>
                      </w:rPr>
                    </w:pPr>
                    <w:r w:rsidRPr="00A0098F">
                      <w:rPr>
                        <w:sz w:val="14"/>
                        <w:szCs w:val="14"/>
                      </w:rPr>
                      <w:t>0</w:t>
                    </w:r>
                  </w:p>
                </w:tc>
                <w:tc>
                  <w:tcPr>
                    <w:tcW w:w="1376" w:type="dxa"/>
                    <w:vAlign w:val="center"/>
                  </w:tcPr>
                  <w:p w:rsidR="00684161" w:rsidRPr="00A0098F" w:rsidRDefault="00684161" w:rsidP="00601D47">
                    <w:pPr>
                      <w:jc w:val="right"/>
                      <w:rPr>
                        <w:sz w:val="14"/>
                        <w:szCs w:val="14"/>
                      </w:rPr>
                    </w:pPr>
                    <w:r w:rsidRPr="00A0098F">
                      <w:rPr>
                        <w:sz w:val="14"/>
                        <w:szCs w:val="14"/>
                      </w:rPr>
                      <w:t>0</w:t>
                    </w:r>
                  </w:p>
                </w:tc>
                <w:tc>
                  <w:tcPr>
                    <w:tcW w:w="1363" w:type="dxa"/>
                    <w:vAlign w:val="center"/>
                  </w:tcPr>
                  <w:p w:rsidR="00684161" w:rsidRPr="00A0098F" w:rsidRDefault="00684161" w:rsidP="00601D47">
                    <w:pPr>
                      <w:jc w:val="right"/>
                      <w:rPr>
                        <w:sz w:val="14"/>
                        <w:szCs w:val="14"/>
                      </w:rPr>
                    </w:pPr>
                    <w:r w:rsidRPr="00A0098F">
                      <w:rPr>
                        <w:sz w:val="14"/>
                        <w:szCs w:val="14"/>
                      </w:rPr>
                      <w:t>0</w:t>
                    </w:r>
                  </w:p>
                </w:tc>
                <w:tc>
                  <w:tcPr>
                    <w:tcW w:w="1381" w:type="dxa"/>
                    <w:vAlign w:val="center"/>
                  </w:tcPr>
                  <w:p w:rsidR="00684161" w:rsidRPr="00A0098F" w:rsidRDefault="00684161" w:rsidP="00601D47">
                    <w:pPr>
                      <w:jc w:val="right"/>
                      <w:rPr>
                        <w:sz w:val="14"/>
                        <w:szCs w:val="14"/>
                      </w:rPr>
                    </w:pPr>
                    <w:r w:rsidRPr="00A0098F">
                      <w:rPr>
                        <w:sz w:val="14"/>
                        <w:szCs w:val="14"/>
                      </w:rPr>
                      <w:t>-707,617,588</w:t>
                    </w:r>
                  </w:p>
                </w:tc>
              </w:tr>
              <w:tr w:rsidR="00684161" w:rsidRPr="00A0098F" w:rsidTr="00601D47">
                <w:trPr>
                  <w:trHeight w:val="20"/>
                </w:trPr>
                <w:sdt>
                  <w:sdtPr>
                    <w:rPr>
                      <w:sz w:val="14"/>
                      <w:szCs w:val="14"/>
                    </w:rPr>
                    <w:tag w:val="_PLD_2ca71442ff4441faa275f28e1236357f"/>
                    <w:id w:val="2007470924"/>
                    <w:lock w:val="sdtLocked"/>
                  </w:sdtPr>
                  <w:sdtContent>
                    <w:tc>
                      <w:tcPr>
                        <w:tcW w:w="2749" w:type="dxa"/>
                      </w:tcPr>
                      <w:p w:rsidR="00684161" w:rsidRPr="00A0098F" w:rsidRDefault="00684161" w:rsidP="00601D47">
                        <w:pPr>
                          <w:rPr>
                            <w:sz w:val="14"/>
                            <w:szCs w:val="14"/>
                          </w:rPr>
                        </w:pPr>
                        <w:r w:rsidRPr="00A0098F">
                          <w:rPr>
                            <w:rFonts w:hint="eastAsia"/>
                            <w:sz w:val="14"/>
                            <w:szCs w:val="14"/>
                          </w:rPr>
                          <w:t>1．所有者投入的普通股</w:t>
                        </w:r>
                      </w:p>
                    </w:tc>
                  </w:sdtContent>
                </w:sdt>
                <w:tc>
                  <w:tcPr>
                    <w:tcW w:w="1431" w:type="dxa"/>
                    <w:tcBorders>
                      <w:right w:val="single" w:sz="4" w:space="0" w:color="auto"/>
                    </w:tcBorders>
                  </w:tcPr>
                  <w:p w:rsidR="00684161" w:rsidRPr="00A0098F" w:rsidRDefault="003756CE" w:rsidP="00601D47">
                    <w:pPr>
                      <w:jc w:val="right"/>
                      <w:rPr>
                        <w:sz w:val="14"/>
                        <w:szCs w:val="14"/>
                      </w:rPr>
                    </w:pPr>
                    <w:r>
                      <w:rPr>
                        <w:sz w:val="14"/>
                        <w:szCs w:val="14"/>
                      </w:rPr>
                      <w:t>0</w:t>
                    </w:r>
                  </w:p>
                </w:tc>
                <w:tc>
                  <w:tcPr>
                    <w:tcW w:w="1445" w:type="dxa"/>
                    <w:tcBorders>
                      <w:left w:val="single" w:sz="4" w:space="0" w:color="auto"/>
                    </w:tcBorders>
                  </w:tcPr>
                  <w:p w:rsidR="00684161" w:rsidRPr="00A0098F" w:rsidRDefault="003756CE" w:rsidP="00601D47">
                    <w:pPr>
                      <w:jc w:val="right"/>
                      <w:rPr>
                        <w:sz w:val="14"/>
                        <w:szCs w:val="14"/>
                      </w:rPr>
                    </w:pPr>
                    <w:r>
                      <w:rPr>
                        <w:sz w:val="14"/>
                        <w:szCs w:val="14"/>
                      </w:rPr>
                      <w:t>0</w:t>
                    </w:r>
                  </w:p>
                </w:tc>
                <w:tc>
                  <w:tcPr>
                    <w:tcW w:w="1391" w:type="dxa"/>
                  </w:tcPr>
                  <w:p w:rsidR="00684161" w:rsidRPr="00A0098F" w:rsidRDefault="003756CE" w:rsidP="00601D47">
                    <w:pPr>
                      <w:jc w:val="right"/>
                      <w:rPr>
                        <w:sz w:val="14"/>
                        <w:szCs w:val="14"/>
                      </w:rPr>
                    </w:pPr>
                    <w:r>
                      <w:rPr>
                        <w:sz w:val="14"/>
                        <w:szCs w:val="14"/>
                      </w:rPr>
                      <w:t>0</w:t>
                    </w:r>
                  </w:p>
                </w:tc>
                <w:tc>
                  <w:tcPr>
                    <w:tcW w:w="1377" w:type="dxa"/>
                  </w:tcPr>
                  <w:p w:rsidR="00684161" w:rsidRPr="00A0098F" w:rsidRDefault="003756CE" w:rsidP="00601D47">
                    <w:pPr>
                      <w:jc w:val="right"/>
                      <w:rPr>
                        <w:sz w:val="14"/>
                        <w:szCs w:val="14"/>
                      </w:rPr>
                    </w:pPr>
                    <w:r>
                      <w:rPr>
                        <w:sz w:val="14"/>
                        <w:szCs w:val="14"/>
                      </w:rPr>
                      <w:t>0</w:t>
                    </w:r>
                  </w:p>
                </w:tc>
                <w:tc>
                  <w:tcPr>
                    <w:tcW w:w="1391" w:type="dxa"/>
                  </w:tcPr>
                  <w:p w:rsidR="00684161" w:rsidRPr="00A0098F" w:rsidRDefault="003756CE" w:rsidP="00601D47">
                    <w:pPr>
                      <w:jc w:val="right"/>
                      <w:rPr>
                        <w:sz w:val="14"/>
                        <w:szCs w:val="14"/>
                      </w:rPr>
                    </w:pPr>
                    <w:r>
                      <w:rPr>
                        <w:sz w:val="14"/>
                        <w:szCs w:val="14"/>
                      </w:rPr>
                      <w:t>0</w:t>
                    </w:r>
                  </w:p>
                </w:tc>
                <w:tc>
                  <w:tcPr>
                    <w:tcW w:w="1376" w:type="dxa"/>
                  </w:tcPr>
                  <w:p w:rsidR="00684161" w:rsidRPr="00A0098F" w:rsidRDefault="003756CE" w:rsidP="00601D47">
                    <w:pPr>
                      <w:jc w:val="right"/>
                      <w:rPr>
                        <w:sz w:val="14"/>
                        <w:szCs w:val="14"/>
                      </w:rPr>
                    </w:pPr>
                    <w:r>
                      <w:rPr>
                        <w:sz w:val="14"/>
                        <w:szCs w:val="14"/>
                      </w:rPr>
                      <w:t>0</w:t>
                    </w:r>
                  </w:p>
                </w:tc>
                <w:tc>
                  <w:tcPr>
                    <w:tcW w:w="1363" w:type="dxa"/>
                  </w:tcPr>
                  <w:p w:rsidR="00684161" w:rsidRPr="00A0098F" w:rsidRDefault="003756CE" w:rsidP="00601D47">
                    <w:pPr>
                      <w:jc w:val="right"/>
                      <w:rPr>
                        <w:sz w:val="14"/>
                        <w:szCs w:val="14"/>
                      </w:rPr>
                    </w:pPr>
                    <w:r>
                      <w:rPr>
                        <w:sz w:val="14"/>
                        <w:szCs w:val="14"/>
                      </w:rPr>
                      <w:t>0</w:t>
                    </w:r>
                  </w:p>
                </w:tc>
                <w:tc>
                  <w:tcPr>
                    <w:tcW w:w="1381" w:type="dxa"/>
                  </w:tcPr>
                  <w:p w:rsidR="00684161" w:rsidRPr="00A0098F" w:rsidRDefault="003756CE" w:rsidP="00601D47">
                    <w:pPr>
                      <w:jc w:val="right"/>
                      <w:rPr>
                        <w:sz w:val="14"/>
                        <w:szCs w:val="14"/>
                      </w:rPr>
                    </w:pPr>
                    <w:r>
                      <w:rPr>
                        <w:sz w:val="14"/>
                        <w:szCs w:val="14"/>
                      </w:rPr>
                      <w:t>0</w:t>
                    </w:r>
                  </w:p>
                </w:tc>
              </w:tr>
              <w:tr w:rsidR="00684161" w:rsidRPr="00A0098F" w:rsidTr="00601D47">
                <w:trPr>
                  <w:trHeight w:val="20"/>
                </w:trPr>
                <w:sdt>
                  <w:sdtPr>
                    <w:rPr>
                      <w:sz w:val="14"/>
                      <w:szCs w:val="14"/>
                    </w:rPr>
                    <w:tag w:val="_PLD_c9217abeeb6e46ac8415ee33ff13a461"/>
                    <w:id w:val="916989425"/>
                    <w:lock w:val="sdtLocked"/>
                  </w:sdtPr>
                  <w:sdtContent>
                    <w:tc>
                      <w:tcPr>
                        <w:tcW w:w="2749" w:type="dxa"/>
                      </w:tcPr>
                      <w:p w:rsidR="00684161" w:rsidRPr="00A0098F" w:rsidRDefault="00684161" w:rsidP="00684161">
                        <w:pPr>
                          <w:rPr>
                            <w:sz w:val="14"/>
                            <w:szCs w:val="14"/>
                          </w:rPr>
                        </w:pPr>
                        <w:r w:rsidRPr="00A0098F">
                          <w:rPr>
                            <w:rFonts w:hint="eastAsia"/>
                            <w:sz w:val="14"/>
                            <w:szCs w:val="14"/>
                          </w:rPr>
                          <w:t>2．其他权益工具持有者投入资本</w:t>
                        </w:r>
                      </w:p>
                    </w:tc>
                  </w:sdtContent>
                </w:sdt>
                <w:tc>
                  <w:tcPr>
                    <w:tcW w:w="1431" w:type="dxa"/>
                    <w:tcBorders>
                      <w:right w:val="single" w:sz="4" w:space="0" w:color="auto"/>
                    </w:tcBorders>
                    <w:vAlign w:val="center"/>
                  </w:tcPr>
                  <w:p w:rsidR="00684161" w:rsidRPr="00A0098F" w:rsidRDefault="00684161" w:rsidP="00684161">
                    <w:pPr>
                      <w:jc w:val="right"/>
                      <w:rPr>
                        <w:sz w:val="14"/>
                        <w:szCs w:val="14"/>
                      </w:rPr>
                    </w:pPr>
                    <w:r w:rsidRPr="00A0098F">
                      <w:rPr>
                        <w:sz w:val="14"/>
                        <w:szCs w:val="14"/>
                      </w:rPr>
                      <w:t>116,534</w:t>
                    </w:r>
                  </w:p>
                </w:tc>
                <w:tc>
                  <w:tcPr>
                    <w:tcW w:w="1445" w:type="dxa"/>
                    <w:tcBorders>
                      <w:left w:val="single" w:sz="4" w:space="0" w:color="auto"/>
                    </w:tcBorders>
                    <w:vAlign w:val="center"/>
                  </w:tcPr>
                  <w:p w:rsidR="00684161" w:rsidRPr="00A0098F" w:rsidRDefault="00A0098F" w:rsidP="00684161">
                    <w:pPr>
                      <w:jc w:val="right"/>
                      <w:rPr>
                        <w:sz w:val="14"/>
                        <w:szCs w:val="14"/>
                      </w:rPr>
                    </w:pPr>
                    <w:r w:rsidRPr="00A0098F">
                      <w:rPr>
                        <w:sz w:val="14"/>
                        <w:szCs w:val="14"/>
                      </w:rPr>
                      <w:t>-</w:t>
                    </w:r>
                    <w:r w:rsidR="00684161" w:rsidRPr="00A0098F">
                      <w:rPr>
                        <w:sz w:val="14"/>
                        <w:szCs w:val="14"/>
                      </w:rPr>
                      <w:t>92,145</w:t>
                    </w:r>
                  </w:p>
                </w:tc>
                <w:tc>
                  <w:tcPr>
                    <w:tcW w:w="1391" w:type="dxa"/>
                    <w:vAlign w:val="center"/>
                  </w:tcPr>
                  <w:p w:rsidR="00684161" w:rsidRPr="00A0098F" w:rsidRDefault="00684161" w:rsidP="00684161">
                    <w:pPr>
                      <w:jc w:val="right"/>
                      <w:rPr>
                        <w:sz w:val="14"/>
                        <w:szCs w:val="14"/>
                      </w:rPr>
                    </w:pPr>
                    <w:r w:rsidRPr="00A0098F">
                      <w:rPr>
                        <w:sz w:val="14"/>
                        <w:szCs w:val="14"/>
                      </w:rPr>
                      <w:t>775,407</w:t>
                    </w:r>
                  </w:p>
                </w:tc>
                <w:tc>
                  <w:tcPr>
                    <w:tcW w:w="1377" w:type="dxa"/>
                    <w:vAlign w:val="center"/>
                  </w:tcPr>
                  <w:p w:rsidR="00684161" w:rsidRPr="00A0098F" w:rsidRDefault="00684161" w:rsidP="00684161">
                    <w:pPr>
                      <w:jc w:val="right"/>
                      <w:rPr>
                        <w:sz w:val="14"/>
                        <w:szCs w:val="14"/>
                      </w:rPr>
                    </w:pPr>
                    <w:r w:rsidRPr="00A0098F">
                      <w:rPr>
                        <w:sz w:val="14"/>
                        <w:szCs w:val="14"/>
                      </w:rPr>
                      <w:t>0</w:t>
                    </w:r>
                  </w:p>
                </w:tc>
                <w:tc>
                  <w:tcPr>
                    <w:tcW w:w="1391" w:type="dxa"/>
                    <w:vAlign w:val="center"/>
                  </w:tcPr>
                  <w:p w:rsidR="00684161" w:rsidRPr="00A0098F" w:rsidRDefault="00684161" w:rsidP="00684161">
                    <w:pPr>
                      <w:jc w:val="right"/>
                      <w:rPr>
                        <w:sz w:val="14"/>
                        <w:szCs w:val="14"/>
                      </w:rPr>
                    </w:pPr>
                    <w:r w:rsidRPr="00A0098F">
                      <w:rPr>
                        <w:sz w:val="14"/>
                        <w:szCs w:val="14"/>
                      </w:rPr>
                      <w:t>0</w:t>
                    </w:r>
                  </w:p>
                </w:tc>
                <w:tc>
                  <w:tcPr>
                    <w:tcW w:w="1376" w:type="dxa"/>
                    <w:vAlign w:val="center"/>
                  </w:tcPr>
                  <w:p w:rsidR="00684161" w:rsidRPr="00A0098F" w:rsidRDefault="00684161" w:rsidP="00684161">
                    <w:pPr>
                      <w:jc w:val="right"/>
                      <w:rPr>
                        <w:sz w:val="14"/>
                        <w:szCs w:val="14"/>
                      </w:rPr>
                    </w:pPr>
                    <w:r w:rsidRPr="00A0098F">
                      <w:rPr>
                        <w:sz w:val="14"/>
                        <w:szCs w:val="14"/>
                      </w:rPr>
                      <w:t>0</w:t>
                    </w:r>
                  </w:p>
                </w:tc>
                <w:tc>
                  <w:tcPr>
                    <w:tcW w:w="1363" w:type="dxa"/>
                    <w:vAlign w:val="center"/>
                  </w:tcPr>
                  <w:p w:rsidR="00684161" w:rsidRPr="00A0098F" w:rsidRDefault="00684161" w:rsidP="00684161">
                    <w:pPr>
                      <w:jc w:val="right"/>
                      <w:rPr>
                        <w:sz w:val="14"/>
                        <w:szCs w:val="14"/>
                      </w:rPr>
                    </w:pPr>
                    <w:r w:rsidRPr="00A0098F">
                      <w:rPr>
                        <w:sz w:val="14"/>
                        <w:szCs w:val="14"/>
                      </w:rPr>
                      <w:t>0</w:t>
                    </w:r>
                  </w:p>
                </w:tc>
                <w:tc>
                  <w:tcPr>
                    <w:tcW w:w="1381" w:type="dxa"/>
                    <w:vAlign w:val="center"/>
                  </w:tcPr>
                  <w:p w:rsidR="00684161" w:rsidRPr="00A0098F" w:rsidRDefault="00684161" w:rsidP="00684161">
                    <w:pPr>
                      <w:jc w:val="right"/>
                      <w:rPr>
                        <w:sz w:val="14"/>
                        <w:szCs w:val="14"/>
                      </w:rPr>
                    </w:pPr>
                    <w:r w:rsidRPr="00A0098F">
                      <w:rPr>
                        <w:sz w:val="14"/>
                        <w:szCs w:val="14"/>
                      </w:rPr>
                      <w:t>799,796</w:t>
                    </w:r>
                  </w:p>
                </w:tc>
              </w:tr>
              <w:tr w:rsidR="00684161" w:rsidRPr="00A0098F" w:rsidTr="00601D47">
                <w:trPr>
                  <w:trHeight w:val="20"/>
                </w:trPr>
                <w:sdt>
                  <w:sdtPr>
                    <w:rPr>
                      <w:sz w:val="14"/>
                      <w:szCs w:val="14"/>
                    </w:rPr>
                    <w:tag w:val="_PLD_5b62e12f39a04fa3a5e1647793ab3e5e"/>
                    <w:id w:val="-304320516"/>
                    <w:lock w:val="sdtLocked"/>
                  </w:sdtPr>
                  <w:sdtContent>
                    <w:tc>
                      <w:tcPr>
                        <w:tcW w:w="2749" w:type="dxa"/>
                      </w:tcPr>
                      <w:p w:rsidR="00684161" w:rsidRPr="00A0098F" w:rsidRDefault="00684161" w:rsidP="00684161">
                        <w:pPr>
                          <w:rPr>
                            <w:sz w:val="14"/>
                            <w:szCs w:val="14"/>
                          </w:rPr>
                        </w:pPr>
                        <w:r w:rsidRPr="00A0098F">
                          <w:rPr>
                            <w:rFonts w:hint="eastAsia"/>
                            <w:sz w:val="14"/>
                            <w:szCs w:val="14"/>
                          </w:rPr>
                          <w:t>3</w:t>
                        </w:r>
                        <w:r w:rsidRPr="00A0098F">
                          <w:rPr>
                            <w:sz w:val="14"/>
                            <w:szCs w:val="14"/>
                          </w:rPr>
                          <w:t>．股份支付计入所有者权益的金额</w:t>
                        </w:r>
                      </w:p>
                    </w:tc>
                  </w:sdtContent>
                </w:sdt>
                <w:tc>
                  <w:tcPr>
                    <w:tcW w:w="1431" w:type="dxa"/>
                    <w:tcBorders>
                      <w:right w:val="single" w:sz="4" w:space="0" w:color="auto"/>
                    </w:tcBorders>
                    <w:vAlign w:val="center"/>
                  </w:tcPr>
                  <w:p w:rsidR="00684161" w:rsidRPr="00A0098F" w:rsidRDefault="00684161" w:rsidP="00684161">
                    <w:pPr>
                      <w:jc w:val="right"/>
                      <w:rPr>
                        <w:sz w:val="14"/>
                        <w:szCs w:val="14"/>
                      </w:rPr>
                    </w:pPr>
                    <w:r w:rsidRPr="00A0098F">
                      <w:rPr>
                        <w:sz w:val="14"/>
                        <w:szCs w:val="14"/>
                      </w:rPr>
                      <w:t>0</w:t>
                    </w:r>
                  </w:p>
                </w:tc>
                <w:tc>
                  <w:tcPr>
                    <w:tcW w:w="1445" w:type="dxa"/>
                    <w:tcBorders>
                      <w:left w:val="single" w:sz="4" w:space="0" w:color="auto"/>
                    </w:tcBorders>
                    <w:vAlign w:val="center"/>
                  </w:tcPr>
                  <w:p w:rsidR="00684161" w:rsidRPr="00A0098F" w:rsidRDefault="00684161" w:rsidP="00684161">
                    <w:pPr>
                      <w:jc w:val="right"/>
                      <w:rPr>
                        <w:sz w:val="14"/>
                        <w:szCs w:val="14"/>
                      </w:rPr>
                    </w:pPr>
                    <w:r w:rsidRPr="00A0098F">
                      <w:rPr>
                        <w:sz w:val="14"/>
                        <w:szCs w:val="14"/>
                      </w:rPr>
                      <w:t>0</w:t>
                    </w:r>
                  </w:p>
                </w:tc>
                <w:tc>
                  <w:tcPr>
                    <w:tcW w:w="1391" w:type="dxa"/>
                    <w:vAlign w:val="center"/>
                  </w:tcPr>
                  <w:p w:rsidR="00684161" w:rsidRPr="00A0098F" w:rsidRDefault="00684161" w:rsidP="00684161">
                    <w:pPr>
                      <w:jc w:val="right"/>
                      <w:rPr>
                        <w:sz w:val="14"/>
                        <w:szCs w:val="14"/>
                      </w:rPr>
                    </w:pPr>
                    <w:r w:rsidRPr="00A0098F">
                      <w:rPr>
                        <w:sz w:val="14"/>
                        <w:szCs w:val="14"/>
                      </w:rPr>
                      <w:t>0</w:t>
                    </w:r>
                  </w:p>
                </w:tc>
                <w:tc>
                  <w:tcPr>
                    <w:tcW w:w="1377" w:type="dxa"/>
                    <w:vAlign w:val="center"/>
                  </w:tcPr>
                  <w:p w:rsidR="00684161" w:rsidRPr="00A0098F" w:rsidRDefault="00684161" w:rsidP="00684161">
                    <w:pPr>
                      <w:jc w:val="right"/>
                      <w:rPr>
                        <w:sz w:val="14"/>
                        <w:szCs w:val="14"/>
                      </w:rPr>
                    </w:pPr>
                    <w:r w:rsidRPr="00A0098F">
                      <w:rPr>
                        <w:sz w:val="14"/>
                        <w:szCs w:val="14"/>
                      </w:rPr>
                      <w:t>0</w:t>
                    </w:r>
                  </w:p>
                </w:tc>
                <w:tc>
                  <w:tcPr>
                    <w:tcW w:w="1391" w:type="dxa"/>
                    <w:vAlign w:val="center"/>
                  </w:tcPr>
                  <w:p w:rsidR="00684161" w:rsidRPr="00A0098F" w:rsidRDefault="00684161" w:rsidP="00684161">
                    <w:pPr>
                      <w:jc w:val="right"/>
                      <w:rPr>
                        <w:sz w:val="14"/>
                        <w:szCs w:val="14"/>
                      </w:rPr>
                    </w:pPr>
                    <w:r w:rsidRPr="00A0098F">
                      <w:rPr>
                        <w:sz w:val="14"/>
                        <w:szCs w:val="14"/>
                      </w:rPr>
                      <w:t>0</w:t>
                    </w:r>
                  </w:p>
                </w:tc>
                <w:tc>
                  <w:tcPr>
                    <w:tcW w:w="1376" w:type="dxa"/>
                    <w:vAlign w:val="center"/>
                  </w:tcPr>
                  <w:p w:rsidR="00684161" w:rsidRPr="00A0098F" w:rsidRDefault="00684161" w:rsidP="00684161">
                    <w:pPr>
                      <w:jc w:val="right"/>
                      <w:rPr>
                        <w:sz w:val="14"/>
                        <w:szCs w:val="14"/>
                      </w:rPr>
                    </w:pPr>
                    <w:r w:rsidRPr="00A0098F">
                      <w:rPr>
                        <w:sz w:val="14"/>
                        <w:szCs w:val="14"/>
                      </w:rPr>
                      <w:t>0</w:t>
                    </w:r>
                  </w:p>
                </w:tc>
                <w:tc>
                  <w:tcPr>
                    <w:tcW w:w="1363" w:type="dxa"/>
                    <w:vAlign w:val="center"/>
                  </w:tcPr>
                  <w:p w:rsidR="00684161" w:rsidRPr="00A0098F" w:rsidRDefault="00684161" w:rsidP="00684161">
                    <w:pPr>
                      <w:jc w:val="right"/>
                      <w:rPr>
                        <w:sz w:val="14"/>
                        <w:szCs w:val="14"/>
                      </w:rPr>
                    </w:pPr>
                    <w:r w:rsidRPr="00A0098F">
                      <w:rPr>
                        <w:sz w:val="14"/>
                        <w:szCs w:val="14"/>
                      </w:rPr>
                      <w:t>0</w:t>
                    </w:r>
                  </w:p>
                </w:tc>
                <w:tc>
                  <w:tcPr>
                    <w:tcW w:w="1381" w:type="dxa"/>
                    <w:vAlign w:val="center"/>
                  </w:tcPr>
                  <w:p w:rsidR="00684161" w:rsidRPr="00A0098F" w:rsidRDefault="00684161" w:rsidP="00684161">
                    <w:pPr>
                      <w:jc w:val="right"/>
                      <w:rPr>
                        <w:sz w:val="14"/>
                        <w:szCs w:val="14"/>
                      </w:rPr>
                    </w:pPr>
                    <w:r w:rsidRPr="00A0098F">
                      <w:rPr>
                        <w:sz w:val="14"/>
                        <w:szCs w:val="14"/>
                      </w:rPr>
                      <w:t>0</w:t>
                    </w:r>
                  </w:p>
                </w:tc>
              </w:tr>
              <w:tr w:rsidR="00684161" w:rsidRPr="00A0098F" w:rsidTr="00601D47">
                <w:trPr>
                  <w:trHeight w:val="20"/>
                </w:trPr>
                <w:sdt>
                  <w:sdtPr>
                    <w:rPr>
                      <w:sz w:val="14"/>
                      <w:szCs w:val="14"/>
                    </w:rPr>
                    <w:tag w:val="_PLD_23da88a491b84ef994f7c2c77972c94a"/>
                    <w:id w:val="-1205408500"/>
                    <w:lock w:val="sdtLocked"/>
                  </w:sdtPr>
                  <w:sdtContent>
                    <w:tc>
                      <w:tcPr>
                        <w:tcW w:w="2749" w:type="dxa"/>
                      </w:tcPr>
                      <w:p w:rsidR="00684161" w:rsidRPr="00A0098F" w:rsidRDefault="00684161" w:rsidP="00684161">
                        <w:pPr>
                          <w:rPr>
                            <w:sz w:val="14"/>
                            <w:szCs w:val="14"/>
                          </w:rPr>
                        </w:pPr>
                        <w:r w:rsidRPr="00A0098F">
                          <w:rPr>
                            <w:rFonts w:hint="eastAsia"/>
                            <w:sz w:val="14"/>
                            <w:szCs w:val="14"/>
                          </w:rPr>
                          <w:t>4.同一控制下企业合并影响</w:t>
                        </w:r>
                      </w:p>
                    </w:tc>
                  </w:sdtContent>
                </w:sdt>
                <w:sdt>
                  <w:sdtPr>
                    <w:rPr>
                      <w:sz w:val="14"/>
                      <w:szCs w:val="14"/>
                    </w:rPr>
                    <w:alias w:val="4.同一控制下企业合并影响实收资本 (或股本)"/>
                    <w:tag w:val="_GBC_923de8e749374cc0bf5b98b85edb9d6f"/>
                    <w:id w:val="2133594699"/>
                    <w:lock w:val="sdtLocked"/>
                  </w:sdtPr>
                  <w:sdtContent>
                    <w:tc>
                      <w:tcPr>
                        <w:tcW w:w="1431" w:type="dxa"/>
                        <w:tcBorders>
                          <w:right w:val="single" w:sz="4" w:space="0" w:color="auto"/>
                        </w:tcBorders>
                      </w:tcPr>
                      <w:p w:rsidR="00684161" w:rsidRPr="00A0098F" w:rsidRDefault="00684161" w:rsidP="00684161">
                        <w:pPr>
                          <w:jc w:val="right"/>
                          <w:rPr>
                            <w:sz w:val="14"/>
                            <w:szCs w:val="14"/>
                          </w:rPr>
                        </w:pPr>
                        <w:r w:rsidRPr="00A0098F">
                          <w:rPr>
                            <w:sz w:val="14"/>
                            <w:szCs w:val="14"/>
                          </w:rPr>
                          <w:t>0</w:t>
                        </w:r>
                      </w:p>
                    </w:tc>
                  </w:sdtContent>
                </w:sdt>
                <w:tc>
                  <w:tcPr>
                    <w:tcW w:w="1445" w:type="dxa"/>
                    <w:tcBorders>
                      <w:left w:val="single" w:sz="4" w:space="0" w:color="auto"/>
                    </w:tcBorders>
                  </w:tcPr>
                  <w:p w:rsidR="00684161" w:rsidRPr="00A0098F" w:rsidRDefault="00684161" w:rsidP="00684161">
                    <w:pPr>
                      <w:jc w:val="right"/>
                      <w:rPr>
                        <w:sz w:val="14"/>
                        <w:szCs w:val="14"/>
                      </w:rPr>
                    </w:pPr>
                    <w:r w:rsidRPr="00A0098F">
                      <w:rPr>
                        <w:sz w:val="14"/>
                        <w:szCs w:val="14"/>
                      </w:rPr>
                      <w:t>0</w:t>
                    </w:r>
                  </w:p>
                </w:tc>
                <w:tc>
                  <w:tcPr>
                    <w:tcW w:w="1391" w:type="dxa"/>
                  </w:tcPr>
                  <w:p w:rsidR="00684161" w:rsidRPr="00A0098F" w:rsidRDefault="00F80B6C" w:rsidP="00344018">
                    <w:pPr>
                      <w:ind w:right="-6"/>
                      <w:jc w:val="right"/>
                      <w:rPr>
                        <w:sz w:val="14"/>
                        <w:szCs w:val="14"/>
                      </w:rPr>
                    </w:pPr>
                    <w:sdt>
                      <w:sdtPr>
                        <w:rPr>
                          <w:sz w:val="14"/>
                          <w:szCs w:val="14"/>
                        </w:rPr>
                        <w:alias w:val="4.同一控制下企业合并影响资本公积"/>
                        <w:tag w:val="_GBC_6383953fba8a4a00818bbdcd64850f07"/>
                        <w:id w:val="-670170874"/>
                        <w:lock w:val="sdtLocked"/>
                      </w:sdtPr>
                      <w:sdtContent>
                        <w:r w:rsidR="00684161" w:rsidRPr="00A0098F">
                          <w:rPr>
                            <w:sz w:val="14"/>
                            <w:szCs w:val="14"/>
                          </w:rPr>
                          <w:t>-708,417,384</w:t>
                        </w:r>
                      </w:sdtContent>
                    </w:sdt>
                  </w:p>
                </w:tc>
                <w:sdt>
                  <w:sdtPr>
                    <w:rPr>
                      <w:sz w:val="14"/>
                      <w:szCs w:val="14"/>
                    </w:rPr>
                    <w:alias w:val="4.同一控制下企业合并影响其他综合收益"/>
                    <w:tag w:val="_GBC_4b54f9240a5d488d9733ee6b480ded24"/>
                    <w:id w:val="1824010684"/>
                    <w:lock w:val="sdtLocked"/>
                  </w:sdtPr>
                  <w:sdtContent>
                    <w:tc>
                      <w:tcPr>
                        <w:tcW w:w="1377" w:type="dxa"/>
                      </w:tcPr>
                      <w:p w:rsidR="00684161" w:rsidRPr="00A0098F" w:rsidRDefault="00684161" w:rsidP="00684161">
                        <w:pPr>
                          <w:jc w:val="right"/>
                          <w:rPr>
                            <w:sz w:val="14"/>
                            <w:szCs w:val="14"/>
                          </w:rPr>
                        </w:pPr>
                        <w:r w:rsidRPr="00A0098F">
                          <w:rPr>
                            <w:sz w:val="14"/>
                            <w:szCs w:val="14"/>
                          </w:rPr>
                          <w:t>0</w:t>
                        </w:r>
                      </w:p>
                    </w:tc>
                  </w:sdtContent>
                </w:sdt>
                <w:sdt>
                  <w:sdtPr>
                    <w:rPr>
                      <w:sz w:val="14"/>
                      <w:szCs w:val="14"/>
                    </w:rPr>
                    <w:alias w:val="4.同一控制下企业合并影响专项储备"/>
                    <w:tag w:val="_GBC_0c6fdad397064844a2512d4a831f5cb9"/>
                    <w:id w:val="-387031408"/>
                    <w:lock w:val="sdtLocked"/>
                  </w:sdtPr>
                  <w:sdtContent>
                    <w:tc>
                      <w:tcPr>
                        <w:tcW w:w="1391" w:type="dxa"/>
                      </w:tcPr>
                      <w:p w:rsidR="00684161" w:rsidRPr="00A0098F" w:rsidRDefault="00684161" w:rsidP="00684161">
                        <w:pPr>
                          <w:jc w:val="right"/>
                          <w:rPr>
                            <w:sz w:val="14"/>
                            <w:szCs w:val="14"/>
                          </w:rPr>
                        </w:pPr>
                        <w:r w:rsidRPr="00A0098F">
                          <w:rPr>
                            <w:sz w:val="14"/>
                            <w:szCs w:val="14"/>
                          </w:rPr>
                          <w:t>0</w:t>
                        </w:r>
                      </w:p>
                    </w:tc>
                  </w:sdtContent>
                </w:sdt>
                <w:sdt>
                  <w:sdtPr>
                    <w:rPr>
                      <w:sz w:val="14"/>
                      <w:szCs w:val="14"/>
                    </w:rPr>
                    <w:alias w:val="4.同一控制下企业合并影响盈余公积"/>
                    <w:tag w:val="_GBC_d60dd59bac1647b696384275befac9aa"/>
                    <w:id w:val="-728919171"/>
                    <w:lock w:val="sdtLocked"/>
                  </w:sdtPr>
                  <w:sdtContent>
                    <w:tc>
                      <w:tcPr>
                        <w:tcW w:w="1376" w:type="dxa"/>
                      </w:tcPr>
                      <w:p w:rsidR="00684161" w:rsidRPr="00A0098F" w:rsidRDefault="00684161" w:rsidP="00684161">
                        <w:pPr>
                          <w:jc w:val="right"/>
                          <w:rPr>
                            <w:sz w:val="14"/>
                            <w:szCs w:val="14"/>
                          </w:rPr>
                        </w:pPr>
                        <w:r w:rsidRPr="00A0098F">
                          <w:rPr>
                            <w:sz w:val="14"/>
                            <w:szCs w:val="14"/>
                          </w:rPr>
                          <w:t>0</w:t>
                        </w:r>
                      </w:p>
                    </w:tc>
                  </w:sdtContent>
                </w:sdt>
                <w:sdt>
                  <w:sdtPr>
                    <w:rPr>
                      <w:sz w:val="14"/>
                      <w:szCs w:val="14"/>
                    </w:rPr>
                    <w:alias w:val="4.同一控制下企业合并影响未分配利润"/>
                    <w:tag w:val="_GBC_be13867066804b019fbc64ca993006d7"/>
                    <w:id w:val="-865366073"/>
                    <w:lock w:val="sdtLocked"/>
                  </w:sdtPr>
                  <w:sdtContent>
                    <w:tc>
                      <w:tcPr>
                        <w:tcW w:w="1363" w:type="dxa"/>
                      </w:tcPr>
                      <w:p w:rsidR="00684161" w:rsidRPr="00A0098F" w:rsidRDefault="00684161" w:rsidP="00684161">
                        <w:pPr>
                          <w:jc w:val="right"/>
                          <w:rPr>
                            <w:sz w:val="14"/>
                            <w:szCs w:val="14"/>
                          </w:rPr>
                        </w:pPr>
                        <w:r w:rsidRPr="00A0098F">
                          <w:rPr>
                            <w:sz w:val="14"/>
                            <w:szCs w:val="14"/>
                          </w:rPr>
                          <w:t>0</w:t>
                        </w:r>
                      </w:p>
                    </w:tc>
                  </w:sdtContent>
                </w:sdt>
                <w:sdt>
                  <w:sdtPr>
                    <w:rPr>
                      <w:sz w:val="14"/>
                      <w:szCs w:val="14"/>
                    </w:rPr>
                    <w:alias w:val="4.同一控制下企业合并影响所有者权益合计"/>
                    <w:tag w:val="_GBC_8f634cd3530e40808d921fbf5f4b56cc"/>
                    <w:id w:val="1675678815"/>
                    <w:lock w:val="sdtLocked"/>
                  </w:sdtPr>
                  <w:sdtContent>
                    <w:tc>
                      <w:tcPr>
                        <w:tcW w:w="1381" w:type="dxa"/>
                      </w:tcPr>
                      <w:p w:rsidR="00684161" w:rsidRPr="00A0098F" w:rsidRDefault="00684161" w:rsidP="00684161">
                        <w:pPr>
                          <w:jc w:val="right"/>
                          <w:rPr>
                            <w:sz w:val="14"/>
                            <w:szCs w:val="14"/>
                          </w:rPr>
                        </w:pPr>
                        <w:r w:rsidRPr="00A0098F">
                          <w:rPr>
                            <w:sz w:val="14"/>
                            <w:szCs w:val="14"/>
                          </w:rPr>
                          <w:t>-708,417,384</w:t>
                        </w:r>
                      </w:p>
                    </w:tc>
                  </w:sdtContent>
                </w:sdt>
              </w:tr>
              <w:tr w:rsidR="00684161" w:rsidRPr="00A0098F" w:rsidTr="0083766F">
                <w:trPr>
                  <w:trHeight w:val="55"/>
                </w:trPr>
                <w:sdt>
                  <w:sdtPr>
                    <w:rPr>
                      <w:sz w:val="14"/>
                      <w:szCs w:val="14"/>
                    </w:rPr>
                    <w:tag w:val="_PLD_09a354c759244b168ea7e28904658be8"/>
                    <w:id w:val="-1074121613"/>
                    <w:lock w:val="sdtLocked"/>
                  </w:sdtPr>
                  <w:sdtContent>
                    <w:tc>
                      <w:tcPr>
                        <w:tcW w:w="2749" w:type="dxa"/>
                      </w:tcPr>
                      <w:p w:rsidR="00684161" w:rsidRPr="00A0098F" w:rsidRDefault="00684161" w:rsidP="00684161">
                        <w:pPr>
                          <w:rPr>
                            <w:sz w:val="14"/>
                            <w:szCs w:val="14"/>
                          </w:rPr>
                        </w:pPr>
                        <w:r w:rsidRPr="00A0098F">
                          <w:rPr>
                            <w:sz w:val="14"/>
                            <w:szCs w:val="14"/>
                          </w:rPr>
                          <w:t>5．其他</w:t>
                        </w:r>
                      </w:p>
                    </w:tc>
                  </w:sdtContent>
                </w:sdt>
                <w:tc>
                  <w:tcPr>
                    <w:tcW w:w="1431" w:type="dxa"/>
                    <w:tcBorders>
                      <w:right w:val="single" w:sz="4" w:space="0" w:color="auto"/>
                    </w:tcBorders>
                    <w:vAlign w:val="center"/>
                  </w:tcPr>
                  <w:p w:rsidR="00684161" w:rsidRPr="00A0098F" w:rsidRDefault="00684161" w:rsidP="00684161">
                    <w:pPr>
                      <w:jc w:val="right"/>
                      <w:rPr>
                        <w:sz w:val="14"/>
                        <w:szCs w:val="14"/>
                      </w:rPr>
                    </w:pPr>
                    <w:r w:rsidRPr="00A0098F">
                      <w:rPr>
                        <w:sz w:val="14"/>
                        <w:szCs w:val="14"/>
                      </w:rPr>
                      <w:t>0</w:t>
                    </w:r>
                  </w:p>
                </w:tc>
                <w:tc>
                  <w:tcPr>
                    <w:tcW w:w="1445" w:type="dxa"/>
                    <w:tcBorders>
                      <w:left w:val="single" w:sz="4" w:space="0" w:color="auto"/>
                    </w:tcBorders>
                    <w:vAlign w:val="center"/>
                  </w:tcPr>
                  <w:p w:rsidR="00684161" w:rsidRPr="00A0098F" w:rsidRDefault="00684161" w:rsidP="00684161">
                    <w:pPr>
                      <w:jc w:val="right"/>
                      <w:rPr>
                        <w:sz w:val="14"/>
                        <w:szCs w:val="14"/>
                      </w:rPr>
                    </w:pPr>
                    <w:r w:rsidRPr="00A0098F">
                      <w:rPr>
                        <w:sz w:val="14"/>
                        <w:szCs w:val="14"/>
                      </w:rPr>
                      <w:t>0</w:t>
                    </w:r>
                  </w:p>
                </w:tc>
                <w:tc>
                  <w:tcPr>
                    <w:tcW w:w="1391" w:type="dxa"/>
                    <w:vAlign w:val="center"/>
                  </w:tcPr>
                  <w:p w:rsidR="00684161" w:rsidRPr="00A0098F" w:rsidRDefault="00684161" w:rsidP="00684161">
                    <w:pPr>
                      <w:jc w:val="right"/>
                      <w:rPr>
                        <w:sz w:val="14"/>
                        <w:szCs w:val="14"/>
                      </w:rPr>
                    </w:pPr>
                    <w:r w:rsidRPr="00A0098F">
                      <w:rPr>
                        <w:sz w:val="14"/>
                        <w:szCs w:val="14"/>
                      </w:rPr>
                      <w:t>0</w:t>
                    </w:r>
                  </w:p>
                </w:tc>
                <w:tc>
                  <w:tcPr>
                    <w:tcW w:w="1377" w:type="dxa"/>
                    <w:vAlign w:val="center"/>
                  </w:tcPr>
                  <w:p w:rsidR="00684161" w:rsidRPr="00A0098F" w:rsidRDefault="00684161" w:rsidP="00684161">
                    <w:pPr>
                      <w:jc w:val="right"/>
                      <w:rPr>
                        <w:sz w:val="14"/>
                        <w:szCs w:val="14"/>
                      </w:rPr>
                    </w:pPr>
                    <w:r w:rsidRPr="00A0098F">
                      <w:rPr>
                        <w:sz w:val="14"/>
                        <w:szCs w:val="14"/>
                      </w:rPr>
                      <w:t>0</w:t>
                    </w:r>
                  </w:p>
                </w:tc>
                <w:tc>
                  <w:tcPr>
                    <w:tcW w:w="1391" w:type="dxa"/>
                    <w:vAlign w:val="center"/>
                  </w:tcPr>
                  <w:p w:rsidR="00684161" w:rsidRPr="00A0098F" w:rsidRDefault="00684161" w:rsidP="00684161">
                    <w:pPr>
                      <w:jc w:val="right"/>
                      <w:rPr>
                        <w:sz w:val="14"/>
                        <w:szCs w:val="14"/>
                      </w:rPr>
                    </w:pPr>
                    <w:r w:rsidRPr="00A0098F">
                      <w:rPr>
                        <w:sz w:val="14"/>
                        <w:szCs w:val="14"/>
                      </w:rPr>
                      <w:t>0</w:t>
                    </w:r>
                  </w:p>
                </w:tc>
                <w:tc>
                  <w:tcPr>
                    <w:tcW w:w="1376" w:type="dxa"/>
                    <w:vAlign w:val="center"/>
                  </w:tcPr>
                  <w:p w:rsidR="00684161" w:rsidRPr="00A0098F" w:rsidRDefault="00684161" w:rsidP="00684161">
                    <w:pPr>
                      <w:jc w:val="right"/>
                      <w:rPr>
                        <w:sz w:val="14"/>
                        <w:szCs w:val="14"/>
                      </w:rPr>
                    </w:pPr>
                    <w:r w:rsidRPr="00A0098F">
                      <w:rPr>
                        <w:sz w:val="14"/>
                        <w:szCs w:val="14"/>
                      </w:rPr>
                      <w:t>0</w:t>
                    </w:r>
                  </w:p>
                </w:tc>
                <w:tc>
                  <w:tcPr>
                    <w:tcW w:w="1363" w:type="dxa"/>
                    <w:vAlign w:val="center"/>
                  </w:tcPr>
                  <w:p w:rsidR="00684161" w:rsidRPr="00A0098F" w:rsidRDefault="00684161" w:rsidP="00684161">
                    <w:pPr>
                      <w:jc w:val="right"/>
                      <w:rPr>
                        <w:sz w:val="14"/>
                        <w:szCs w:val="14"/>
                      </w:rPr>
                    </w:pPr>
                    <w:r w:rsidRPr="00A0098F">
                      <w:rPr>
                        <w:sz w:val="14"/>
                        <w:szCs w:val="14"/>
                      </w:rPr>
                      <w:t>0</w:t>
                    </w:r>
                  </w:p>
                </w:tc>
                <w:tc>
                  <w:tcPr>
                    <w:tcW w:w="1381" w:type="dxa"/>
                    <w:vAlign w:val="center"/>
                  </w:tcPr>
                  <w:p w:rsidR="00684161" w:rsidRPr="00A0098F" w:rsidRDefault="00684161" w:rsidP="00684161">
                    <w:pPr>
                      <w:jc w:val="right"/>
                      <w:rPr>
                        <w:sz w:val="14"/>
                        <w:szCs w:val="14"/>
                      </w:rPr>
                    </w:pPr>
                    <w:r w:rsidRPr="00A0098F">
                      <w:rPr>
                        <w:sz w:val="14"/>
                        <w:szCs w:val="14"/>
                      </w:rPr>
                      <w:t>0</w:t>
                    </w:r>
                  </w:p>
                </w:tc>
              </w:tr>
              <w:tr w:rsidR="00684161" w:rsidRPr="00A0098F" w:rsidTr="00601D47">
                <w:trPr>
                  <w:trHeight w:val="20"/>
                </w:trPr>
                <w:sdt>
                  <w:sdtPr>
                    <w:rPr>
                      <w:sz w:val="14"/>
                      <w:szCs w:val="14"/>
                    </w:rPr>
                    <w:tag w:val="_PLD_806901fee79c40f688fa2f02ab1d596d"/>
                    <w:id w:val="2145230806"/>
                    <w:lock w:val="sdtLocked"/>
                  </w:sdtPr>
                  <w:sdtContent>
                    <w:tc>
                      <w:tcPr>
                        <w:tcW w:w="2749" w:type="dxa"/>
                      </w:tcPr>
                      <w:p w:rsidR="00684161" w:rsidRPr="00A0098F" w:rsidRDefault="00684161" w:rsidP="00684161">
                        <w:pPr>
                          <w:rPr>
                            <w:sz w:val="14"/>
                            <w:szCs w:val="14"/>
                          </w:rPr>
                        </w:pPr>
                        <w:r w:rsidRPr="00A0098F">
                          <w:rPr>
                            <w:sz w:val="14"/>
                            <w:szCs w:val="14"/>
                          </w:rPr>
                          <w:t>（</w:t>
                        </w:r>
                        <w:r w:rsidRPr="00A0098F">
                          <w:rPr>
                            <w:rFonts w:hint="eastAsia"/>
                            <w:sz w:val="14"/>
                            <w:szCs w:val="14"/>
                          </w:rPr>
                          <w:t>三</w:t>
                        </w:r>
                        <w:r w:rsidRPr="00A0098F">
                          <w:rPr>
                            <w:sz w:val="14"/>
                            <w:szCs w:val="14"/>
                          </w:rPr>
                          <w:t>）利润分配</w:t>
                        </w:r>
                      </w:p>
                    </w:tc>
                  </w:sdtContent>
                </w:sdt>
                <w:tc>
                  <w:tcPr>
                    <w:tcW w:w="1431" w:type="dxa"/>
                    <w:tcBorders>
                      <w:right w:val="single" w:sz="4" w:space="0" w:color="auto"/>
                    </w:tcBorders>
                    <w:vAlign w:val="center"/>
                  </w:tcPr>
                  <w:p w:rsidR="00684161" w:rsidRPr="00A0098F" w:rsidRDefault="00684161" w:rsidP="00684161">
                    <w:pPr>
                      <w:jc w:val="right"/>
                      <w:rPr>
                        <w:sz w:val="14"/>
                        <w:szCs w:val="14"/>
                      </w:rPr>
                    </w:pPr>
                    <w:r w:rsidRPr="00A0098F">
                      <w:rPr>
                        <w:sz w:val="14"/>
                        <w:szCs w:val="14"/>
                      </w:rPr>
                      <w:t>0</w:t>
                    </w:r>
                  </w:p>
                </w:tc>
                <w:tc>
                  <w:tcPr>
                    <w:tcW w:w="1445" w:type="dxa"/>
                    <w:tcBorders>
                      <w:left w:val="single" w:sz="4" w:space="0" w:color="auto"/>
                    </w:tcBorders>
                    <w:vAlign w:val="center"/>
                  </w:tcPr>
                  <w:p w:rsidR="00684161" w:rsidRPr="00A0098F" w:rsidRDefault="00684161" w:rsidP="00684161">
                    <w:pPr>
                      <w:jc w:val="right"/>
                      <w:rPr>
                        <w:sz w:val="14"/>
                        <w:szCs w:val="14"/>
                      </w:rPr>
                    </w:pPr>
                    <w:r w:rsidRPr="00A0098F">
                      <w:rPr>
                        <w:sz w:val="14"/>
                        <w:szCs w:val="14"/>
                      </w:rPr>
                      <w:t>0</w:t>
                    </w:r>
                  </w:p>
                </w:tc>
                <w:tc>
                  <w:tcPr>
                    <w:tcW w:w="1391" w:type="dxa"/>
                    <w:vAlign w:val="center"/>
                  </w:tcPr>
                  <w:p w:rsidR="00684161" w:rsidRPr="00A0098F" w:rsidRDefault="00684161" w:rsidP="00684161">
                    <w:pPr>
                      <w:jc w:val="right"/>
                      <w:rPr>
                        <w:sz w:val="14"/>
                        <w:szCs w:val="14"/>
                      </w:rPr>
                    </w:pPr>
                    <w:r w:rsidRPr="00A0098F">
                      <w:rPr>
                        <w:sz w:val="14"/>
                        <w:szCs w:val="14"/>
                      </w:rPr>
                      <w:t>0</w:t>
                    </w:r>
                  </w:p>
                </w:tc>
                <w:tc>
                  <w:tcPr>
                    <w:tcW w:w="1377" w:type="dxa"/>
                    <w:vAlign w:val="center"/>
                  </w:tcPr>
                  <w:p w:rsidR="00684161" w:rsidRPr="00A0098F" w:rsidRDefault="00684161" w:rsidP="00684161">
                    <w:pPr>
                      <w:jc w:val="right"/>
                      <w:rPr>
                        <w:sz w:val="14"/>
                        <w:szCs w:val="14"/>
                      </w:rPr>
                    </w:pPr>
                    <w:r w:rsidRPr="00A0098F">
                      <w:rPr>
                        <w:sz w:val="14"/>
                        <w:szCs w:val="14"/>
                      </w:rPr>
                      <w:t>0</w:t>
                    </w:r>
                  </w:p>
                </w:tc>
                <w:tc>
                  <w:tcPr>
                    <w:tcW w:w="1391" w:type="dxa"/>
                    <w:vAlign w:val="center"/>
                  </w:tcPr>
                  <w:p w:rsidR="00684161" w:rsidRPr="00A0098F" w:rsidRDefault="00684161" w:rsidP="00684161">
                    <w:pPr>
                      <w:jc w:val="right"/>
                      <w:rPr>
                        <w:sz w:val="14"/>
                        <w:szCs w:val="14"/>
                      </w:rPr>
                    </w:pPr>
                    <w:r w:rsidRPr="00A0098F">
                      <w:rPr>
                        <w:sz w:val="14"/>
                        <w:szCs w:val="14"/>
                      </w:rPr>
                      <w:t>0</w:t>
                    </w:r>
                  </w:p>
                </w:tc>
                <w:tc>
                  <w:tcPr>
                    <w:tcW w:w="1376" w:type="dxa"/>
                    <w:vAlign w:val="center"/>
                  </w:tcPr>
                  <w:p w:rsidR="00684161" w:rsidRPr="00A0098F" w:rsidRDefault="00684161" w:rsidP="00684161">
                    <w:pPr>
                      <w:jc w:val="right"/>
                      <w:rPr>
                        <w:sz w:val="14"/>
                        <w:szCs w:val="14"/>
                      </w:rPr>
                    </w:pPr>
                    <w:r w:rsidRPr="00A0098F">
                      <w:rPr>
                        <w:sz w:val="14"/>
                        <w:szCs w:val="14"/>
                      </w:rPr>
                      <w:t>1,187,701,933</w:t>
                    </w:r>
                  </w:p>
                </w:tc>
                <w:tc>
                  <w:tcPr>
                    <w:tcW w:w="1363" w:type="dxa"/>
                    <w:vAlign w:val="center"/>
                  </w:tcPr>
                  <w:p w:rsidR="00684161" w:rsidRPr="00A0098F" w:rsidRDefault="00684161" w:rsidP="00684161">
                    <w:pPr>
                      <w:jc w:val="right"/>
                      <w:rPr>
                        <w:sz w:val="14"/>
                        <w:szCs w:val="14"/>
                      </w:rPr>
                    </w:pPr>
                    <w:r w:rsidRPr="00A0098F">
                      <w:rPr>
                        <w:sz w:val="14"/>
                        <w:szCs w:val="14"/>
                      </w:rPr>
                      <w:t>-8,323,801,635</w:t>
                    </w:r>
                  </w:p>
                </w:tc>
                <w:tc>
                  <w:tcPr>
                    <w:tcW w:w="1381" w:type="dxa"/>
                    <w:vAlign w:val="center"/>
                  </w:tcPr>
                  <w:p w:rsidR="00684161" w:rsidRPr="00A0098F" w:rsidRDefault="00684161" w:rsidP="00684161">
                    <w:pPr>
                      <w:jc w:val="right"/>
                      <w:rPr>
                        <w:sz w:val="14"/>
                        <w:szCs w:val="14"/>
                      </w:rPr>
                    </w:pPr>
                    <w:r w:rsidRPr="00A0098F">
                      <w:rPr>
                        <w:sz w:val="14"/>
                        <w:szCs w:val="14"/>
                      </w:rPr>
                      <w:t>-7,136,099,702</w:t>
                    </w:r>
                  </w:p>
                </w:tc>
              </w:tr>
              <w:tr w:rsidR="00F12521" w:rsidRPr="00A0098F" w:rsidTr="00601D47">
                <w:trPr>
                  <w:trHeight w:val="20"/>
                </w:trPr>
                <w:sdt>
                  <w:sdtPr>
                    <w:rPr>
                      <w:sz w:val="14"/>
                      <w:szCs w:val="14"/>
                    </w:rPr>
                    <w:tag w:val="_PLD_5936c2d33e22476597644c98158847c6"/>
                    <w:id w:val="927309079"/>
                    <w:lock w:val="sdtLocked"/>
                  </w:sdtPr>
                  <w:sdtContent>
                    <w:tc>
                      <w:tcPr>
                        <w:tcW w:w="2749" w:type="dxa"/>
                      </w:tcPr>
                      <w:p w:rsidR="00F12521" w:rsidRPr="00A0098F" w:rsidRDefault="00F12521" w:rsidP="00F12521">
                        <w:pPr>
                          <w:rPr>
                            <w:sz w:val="14"/>
                            <w:szCs w:val="14"/>
                          </w:rPr>
                        </w:pPr>
                        <w:r w:rsidRPr="00A0098F">
                          <w:rPr>
                            <w:sz w:val="14"/>
                            <w:szCs w:val="14"/>
                          </w:rPr>
                          <w:t>1．提取盈余公积</w:t>
                        </w:r>
                      </w:p>
                    </w:tc>
                  </w:sdtContent>
                </w:sdt>
                <w:tc>
                  <w:tcPr>
                    <w:tcW w:w="1431" w:type="dxa"/>
                    <w:tcBorders>
                      <w:right w:val="single" w:sz="4" w:space="0" w:color="auto"/>
                    </w:tcBorders>
                    <w:vAlign w:val="center"/>
                  </w:tcPr>
                  <w:p w:rsidR="00F12521" w:rsidRPr="00A0098F" w:rsidRDefault="00F12521" w:rsidP="00F12521">
                    <w:pPr>
                      <w:jc w:val="right"/>
                      <w:rPr>
                        <w:sz w:val="14"/>
                        <w:szCs w:val="14"/>
                      </w:rPr>
                    </w:pPr>
                    <w:r w:rsidRPr="00A0098F">
                      <w:rPr>
                        <w:sz w:val="14"/>
                        <w:szCs w:val="14"/>
                      </w:rPr>
                      <w:t>0</w:t>
                    </w:r>
                  </w:p>
                </w:tc>
                <w:tc>
                  <w:tcPr>
                    <w:tcW w:w="1445" w:type="dxa"/>
                    <w:tcBorders>
                      <w:left w:val="single" w:sz="4" w:space="0" w:color="auto"/>
                    </w:tcBorders>
                    <w:vAlign w:val="center"/>
                  </w:tcPr>
                  <w:p w:rsidR="00F12521" w:rsidRPr="00A0098F" w:rsidRDefault="00F12521" w:rsidP="00F12521">
                    <w:pPr>
                      <w:jc w:val="right"/>
                      <w:rPr>
                        <w:sz w:val="14"/>
                        <w:szCs w:val="14"/>
                      </w:rPr>
                    </w:pPr>
                    <w:r w:rsidRPr="00A0098F">
                      <w:rPr>
                        <w:sz w:val="14"/>
                        <w:szCs w:val="14"/>
                      </w:rPr>
                      <w:t>0</w:t>
                    </w:r>
                  </w:p>
                </w:tc>
                <w:tc>
                  <w:tcPr>
                    <w:tcW w:w="1391" w:type="dxa"/>
                    <w:vAlign w:val="center"/>
                  </w:tcPr>
                  <w:p w:rsidR="00F12521" w:rsidRPr="00A0098F" w:rsidRDefault="00F12521" w:rsidP="00F12521">
                    <w:pPr>
                      <w:jc w:val="right"/>
                      <w:rPr>
                        <w:sz w:val="14"/>
                        <w:szCs w:val="14"/>
                      </w:rPr>
                    </w:pPr>
                    <w:r w:rsidRPr="00A0098F">
                      <w:rPr>
                        <w:sz w:val="14"/>
                        <w:szCs w:val="14"/>
                      </w:rPr>
                      <w:t>0</w:t>
                    </w:r>
                  </w:p>
                </w:tc>
                <w:tc>
                  <w:tcPr>
                    <w:tcW w:w="1377" w:type="dxa"/>
                    <w:vAlign w:val="center"/>
                  </w:tcPr>
                  <w:p w:rsidR="00F12521" w:rsidRPr="00A0098F" w:rsidRDefault="00F12521" w:rsidP="00F12521">
                    <w:pPr>
                      <w:jc w:val="right"/>
                      <w:rPr>
                        <w:sz w:val="14"/>
                        <w:szCs w:val="14"/>
                      </w:rPr>
                    </w:pPr>
                    <w:r w:rsidRPr="00A0098F">
                      <w:rPr>
                        <w:sz w:val="14"/>
                        <w:szCs w:val="14"/>
                      </w:rPr>
                      <w:t>0</w:t>
                    </w:r>
                  </w:p>
                </w:tc>
                <w:tc>
                  <w:tcPr>
                    <w:tcW w:w="1391" w:type="dxa"/>
                    <w:vAlign w:val="center"/>
                  </w:tcPr>
                  <w:p w:rsidR="00F12521" w:rsidRPr="00A0098F" w:rsidRDefault="00F12521" w:rsidP="00F12521">
                    <w:pPr>
                      <w:jc w:val="right"/>
                      <w:rPr>
                        <w:sz w:val="14"/>
                        <w:szCs w:val="14"/>
                      </w:rPr>
                    </w:pPr>
                    <w:r w:rsidRPr="00A0098F">
                      <w:rPr>
                        <w:sz w:val="14"/>
                        <w:szCs w:val="14"/>
                      </w:rPr>
                      <w:t>0</w:t>
                    </w:r>
                  </w:p>
                </w:tc>
                <w:tc>
                  <w:tcPr>
                    <w:tcW w:w="1376" w:type="dxa"/>
                    <w:vAlign w:val="center"/>
                  </w:tcPr>
                  <w:p w:rsidR="00F12521" w:rsidRPr="00A0098F" w:rsidRDefault="00F12521" w:rsidP="00F12521">
                    <w:pPr>
                      <w:jc w:val="right"/>
                      <w:rPr>
                        <w:sz w:val="14"/>
                        <w:szCs w:val="14"/>
                      </w:rPr>
                    </w:pPr>
                    <w:r w:rsidRPr="00A0098F">
                      <w:rPr>
                        <w:sz w:val="14"/>
                        <w:szCs w:val="14"/>
                      </w:rPr>
                      <w:t>1,187,701,933</w:t>
                    </w:r>
                  </w:p>
                </w:tc>
                <w:tc>
                  <w:tcPr>
                    <w:tcW w:w="1363" w:type="dxa"/>
                    <w:vAlign w:val="center"/>
                  </w:tcPr>
                  <w:p w:rsidR="00F12521" w:rsidRPr="00A0098F" w:rsidRDefault="00F12521" w:rsidP="00F12521">
                    <w:pPr>
                      <w:jc w:val="right"/>
                      <w:rPr>
                        <w:sz w:val="14"/>
                        <w:szCs w:val="14"/>
                      </w:rPr>
                    </w:pPr>
                    <w:r w:rsidRPr="00A0098F">
                      <w:rPr>
                        <w:sz w:val="14"/>
                        <w:szCs w:val="14"/>
                      </w:rPr>
                      <w:t>-1,187,701,933</w:t>
                    </w:r>
                  </w:p>
                </w:tc>
                <w:tc>
                  <w:tcPr>
                    <w:tcW w:w="1381" w:type="dxa"/>
                    <w:vAlign w:val="center"/>
                  </w:tcPr>
                  <w:p w:rsidR="00F12521" w:rsidRPr="00A0098F" w:rsidRDefault="00F12521" w:rsidP="00F12521">
                    <w:pPr>
                      <w:jc w:val="right"/>
                      <w:rPr>
                        <w:sz w:val="14"/>
                        <w:szCs w:val="14"/>
                      </w:rPr>
                    </w:pPr>
                    <w:r>
                      <w:rPr>
                        <w:sz w:val="14"/>
                        <w:szCs w:val="14"/>
                      </w:rPr>
                      <w:t>0</w:t>
                    </w:r>
                  </w:p>
                </w:tc>
              </w:tr>
              <w:tr w:rsidR="00021A19" w:rsidRPr="00A0098F" w:rsidTr="00601D47">
                <w:trPr>
                  <w:trHeight w:val="20"/>
                </w:trPr>
                <w:sdt>
                  <w:sdtPr>
                    <w:rPr>
                      <w:sz w:val="14"/>
                      <w:szCs w:val="14"/>
                    </w:rPr>
                    <w:tag w:val="_PLD_210044b047ac492dbe47ba7aedd16fad"/>
                    <w:id w:val="-809554883"/>
                    <w:lock w:val="sdtLocked"/>
                  </w:sdtPr>
                  <w:sdtContent>
                    <w:tc>
                      <w:tcPr>
                        <w:tcW w:w="2749" w:type="dxa"/>
                      </w:tcPr>
                      <w:p w:rsidR="00021A19" w:rsidRPr="00A0098F" w:rsidRDefault="00021A19" w:rsidP="00021A19">
                        <w:pPr>
                          <w:rPr>
                            <w:sz w:val="14"/>
                            <w:szCs w:val="14"/>
                          </w:rPr>
                        </w:pPr>
                        <w:r w:rsidRPr="00A0098F">
                          <w:rPr>
                            <w:rFonts w:hint="eastAsia"/>
                            <w:sz w:val="14"/>
                            <w:szCs w:val="14"/>
                          </w:rPr>
                          <w:t>2</w:t>
                        </w:r>
                        <w:r w:rsidRPr="00A0098F">
                          <w:rPr>
                            <w:sz w:val="14"/>
                            <w:szCs w:val="14"/>
                          </w:rPr>
                          <w:t>．对所有者（或股东）的分配</w:t>
                        </w:r>
                      </w:p>
                    </w:tc>
                  </w:sdtContent>
                </w:sdt>
                <w:tc>
                  <w:tcPr>
                    <w:tcW w:w="1431" w:type="dxa"/>
                    <w:tcBorders>
                      <w:right w:val="single" w:sz="4" w:space="0" w:color="auto"/>
                    </w:tcBorders>
                    <w:vAlign w:val="center"/>
                  </w:tcPr>
                  <w:p w:rsidR="00021A19" w:rsidRPr="00A0098F" w:rsidRDefault="00021A19" w:rsidP="00021A19">
                    <w:pPr>
                      <w:jc w:val="right"/>
                      <w:rPr>
                        <w:sz w:val="14"/>
                        <w:szCs w:val="14"/>
                      </w:rPr>
                    </w:pPr>
                    <w:r w:rsidRPr="00A0098F">
                      <w:rPr>
                        <w:sz w:val="14"/>
                        <w:szCs w:val="14"/>
                      </w:rPr>
                      <w:t>0</w:t>
                    </w:r>
                  </w:p>
                </w:tc>
                <w:tc>
                  <w:tcPr>
                    <w:tcW w:w="1445" w:type="dxa"/>
                    <w:tcBorders>
                      <w:left w:val="single" w:sz="4" w:space="0" w:color="auto"/>
                    </w:tcBorders>
                    <w:vAlign w:val="center"/>
                  </w:tcPr>
                  <w:p w:rsidR="00021A19" w:rsidRPr="00A0098F" w:rsidRDefault="00021A19" w:rsidP="00021A19">
                    <w:pPr>
                      <w:jc w:val="right"/>
                      <w:rPr>
                        <w:sz w:val="14"/>
                        <w:szCs w:val="14"/>
                      </w:rPr>
                    </w:pPr>
                    <w:r w:rsidRPr="00A0098F">
                      <w:rPr>
                        <w:sz w:val="14"/>
                        <w:szCs w:val="14"/>
                      </w:rPr>
                      <w:t>0</w:t>
                    </w:r>
                  </w:p>
                </w:tc>
                <w:tc>
                  <w:tcPr>
                    <w:tcW w:w="1391" w:type="dxa"/>
                    <w:vAlign w:val="center"/>
                  </w:tcPr>
                  <w:p w:rsidR="00021A19" w:rsidRPr="00A0098F" w:rsidRDefault="00021A19" w:rsidP="00021A19">
                    <w:pPr>
                      <w:jc w:val="right"/>
                      <w:rPr>
                        <w:sz w:val="14"/>
                        <w:szCs w:val="14"/>
                      </w:rPr>
                    </w:pPr>
                    <w:r w:rsidRPr="00A0098F">
                      <w:rPr>
                        <w:sz w:val="14"/>
                        <w:szCs w:val="14"/>
                      </w:rPr>
                      <w:t>0</w:t>
                    </w:r>
                  </w:p>
                </w:tc>
                <w:tc>
                  <w:tcPr>
                    <w:tcW w:w="1377" w:type="dxa"/>
                    <w:vAlign w:val="center"/>
                  </w:tcPr>
                  <w:p w:rsidR="00021A19" w:rsidRPr="00A0098F" w:rsidRDefault="00021A19" w:rsidP="00021A19">
                    <w:pPr>
                      <w:jc w:val="right"/>
                      <w:rPr>
                        <w:sz w:val="14"/>
                        <w:szCs w:val="14"/>
                      </w:rPr>
                    </w:pPr>
                    <w:r w:rsidRPr="00A0098F">
                      <w:rPr>
                        <w:sz w:val="14"/>
                        <w:szCs w:val="14"/>
                      </w:rPr>
                      <w:t>0</w:t>
                    </w:r>
                  </w:p>
                </w:tc>
                <w:tc>
                  <w:tcPr>
                    <w:tcW w:w="1391" w:type="dxa"/>
                    <w:vAlign w:val="center"/>
                  </w:tcPr>
                  <w:p w:rsidR="00021A19" w:rsidRPr="00A0098F" w:rsidRDefault="00021A19" w:rsidP="00021A19">
                    <w:pPr>
                      <w:jc w:val="right"/>
                      <w:rPr>
                        <w:sz w:val="14"/>
                        <w:szCs w:val="14"/>
                      </w:rPr>
                    </w:pPr>
                    <w:r w:rsidRPr="00A0098F">
                      <w:rPr>
                        <w:sz w:val="14"/>
                        <w:szCs w:val="14"/>
                      </w:rPr>
                      <w:t>0</w:t>
                    </w:r>
                  </w:p>
                </w:tc>
                <w:tc>
                  <w:tcPr>
                    <w:tcW w:w="1376" w:type="dxa"/>
                    <w:vAlign w:val="center"/>
                  </w:tcPr>
                  <w:p w:rsidR="00021A19" w:rsidRPr="00A0098F" w:rsidRDefault="00021A19" w:rsidP="00021A19">
                    <w:pPr>
                      <w:jc w:val="right"/>
                      <w:rPr>
                        <w:sz w:val="14"/>
                        <w:szCs w:val="14"/>
                      </w:rPr>
                    </w:pPr>
                    <w:r w:rsidRPr="00A0098F">
                      <w:rPr>
                        <w:sz w:val="14"/>
                        <w:szCs w:val="14"/>
                      </w:rPr>
                      <w:t>0</w:t>
                    </w:r>
                  </w:p>
                </w:tc>
                <w:tc>
                  <w:tcPr>
                    <w:tcW w:w="1363" w:type="dxa"/>
                    <w:vAlign w:val="center"/>
                  </w:tcPr>
                  <w:p w:rsidR="00021A19" w:rsidRPr="00A0098F" w:rsidRDefault="00021A19" w:rsidP="00021A19">
                    <w:pPr>
                      <w:jc w:val="right"/>
                      <w:rPr>
                        <w:sz w:val="14"/>
                        <w:szCs w:val="14"/>
                      </w:rPr>
                    </w:pPr>
                    <w:r w:rsidRPr="00A0098F">
                      <w:rPr>
                        <w:sz w:val="14"/>
                        <w:szCs w:val="14"/>
                      </w:rPr>
                      <w:t>-7,136,099,702</w:t>
                    </w:r>
                  </w:p>
                </w:tc>
                <w:tc>
                  <w:tcPr>
                    <w:tcW w:w="1381" w:type="dxa"/>
                    <w:vAlign w:val="center"/>
                  </w:tcPr>
                  <w:p w:rsidR="00021A19" w:rsidRPr="00A0098F" w:rsidRDefault="00021A19" w:rsidP="00021A19">
                    <w:pPr>
                      <w:jc w:val="right"/>
                      <w:rPr>
                        <w:sz w:val="14"/>
                        <w:szCs w:val="14"/>
                      </w:rPr>
                    </w:pPr>
                    <w:r w:rsidRPr="00A0098F">
                      <w:rPr>
                        <w:sz w:val="14"/>
                        <w:szCs w:val="14"/>
                      </w:rPr>
                      <w:t>-7,136,099,702</w:t>
                    </w:r>
                  </w:p>
                </w:tc>
              </w:tr>
              <w:tr w:rsidR="00021A19" w:rsidRPr="00A0098F" w:rsidTr="00601D47">
                <w:trPr>
                  <w:trHeight w:val="20"/>
                </w:trPr>
                <w:sdt>
                  <w:sdtPr>
                    <w:rPr>
                      <w:sz w:val="14"/>
                      <w:szCs w:val="14"/>
                    </w:rPr>
                    <w:tag w:val="_PLD_65affb7384874e8facf889d04ab4dd24"/>
                    <w:id w:val="2090501057"/>
                    <w:lock w:val="sdtLocked"/>
                  </w:sdtPr>
                  <w:sdtContent>
                    <w:tc>
                      <w:tcPr>
                        <w:tcW w:w="2749" w:type="dxa"/>
                      </w:tcPr>
                      <w:p w:rsidR="00021A19" w:rsidRPr="00A0098F" w:rsidRDefault="00021A19" w:rsidP="00021A19">
                        <w:pPr>
                          <w:rPr>
                            <w:sz w:val="14"/>
                            <w:szCs w:val="14"/>
                          </w:rPr>
                        </w:pPr>
                        <w:r w:rsidRPr="00A0098F">
                          <w:rPr>
                            <w:rFonts w:hint="eastAsia"/>
                            <w:sz w:val="14"/>
                            <w:szCs w:val="14"/>
                          </w:rPr>
                          <w:t>3</w:t>
                        </w:r>
                        <w:r w:rsidRPr="00A0098F">
                          <w:rPr>
                            <w:sz w:val="14"/>
                            <w:szCs w:val="14"/>
                          </w:rPr>
                          <w:t>．其他</w:t>
                        </w:r>
                      </w:p>
                    </w:tc>
                  </w:sdtContent>
                </w:sdt>
                <w:tc>
                  <w:tcPr>
                    <w:tcW w:w="1431" w:type="dxa"/>
                    <w:tcBorders>
                      <w:right w:val="single" w:sz="4" w:space="0" w:color="auto"/>
                    </w:tcBorders>
                    <w:vAlign w:val="center"/>
                  </w:tcPr>
                  <w:p w:rsidR="00021A19" w:rsidRPr="00A0098F" w:rsidRDefault="00021A19" w:rsidP="00021A19">
                    <w:pPr>
                      <w:jc w:val="right"/>
                      <w:rPr>
                        <w:sz w:val="14"/>
                        <w:szCs w:val="14"/>
                      </w:rPr>
                    </w:pPr>
                    <w:r w:rsidRPr="00A0098F">
                      <w:rPr>
                        <w:sz w:val="14"/>
                        <w:szCs w:val="14"/>
                      </w:rPr>
                      <w:t>0</w:t>
                    </w:r>
                  </w:p>
                </w:tc>
                <w:tc>
                  <w:tcPr>
                    <w:tcW w:w="1445" w:type="dxa"/>
                    <w:tcBorders>
                      <w:left w:val="single" w:sz="4" w:space="0" w:color="auto"/>
                    </w:tcBorders>
                    <w:vAlign w:val="center"/>
                  </w:tcPr>
                  <w:p w:rsidR="00021A19" w:rsidRPr="00A0098F" w:rsidRDefault="00021A19" w:rsidP="00021A19">
                    <w:pPr>
                      <w:jc w:val="right"/>
                      <w:rPr>
                        <w:sz w:val="14"/>
                        <w:szCs w:val="14"/>
                      </w:rPr>
                    </w:pPr>
                    <w:r w:rsidRPr="00A0098F">
                      <w:rPr>
                        <w:sz w:val="14"/>
                        <w:szCs w:val="14"/>
                      </w:rPr>
                      <w:t>0</w:t>
                    </w:r>
                  </w:p>
                </w:tc>
                <w:tc>
                  <w:tcPr>
                    <w:tcW w:w="1391" w:type="dxa"/>
                    <w:vAlign w:val="center"/>
                  </w:tcPr>
                  <w:p w:rsidR="00021A19" w:rsidRPr="00A0098F" w:rsidRDefault="00021A19" w:rsidP="00021A19">
                    <w:pPr>
                      <w:jc w:val="right"/>
                      <w:rPr>
                        <w:sz w:val="14"/>
                        <w:szCs w:val="14"/>
                      </w:rPr>
                    </w:pPr>
                    <w:r w:rsidRPr="00A0098F">
                      <w:rPr>
                        <w:sz w:val="14"/>
                        <w:szCs w:val="14"/>
                      </w:rPr>
                      <w:t>0</w:t>
                    </w:r>
                  </w:p>
                </w:tc>
                <w:tc>
                  <w:tcPr>
                    <w:tcW w:w="1377" w:type="dxa"/>
                    <w:vAlign w:val="center"/>
                  </w:tcPr>
                  <w:p w:rsidR="00021A19" w:rsidRPr="00A0098F" w:rsidRDefault="00021A19" w:rsidP="00021A19">
                    <w:pPr>
                      <w:jc w:val="right"/>
                      <w:rPr>
                        <w:sz w:val="14"/>
                        <w:szCs w:val="14"/>
                      </w:rPr>
                    </w:pPr>
                    <w:r w:rsidRPr="00A0098F">
                      <w:rPr>
                        <w:sz w:val="14"/>
                        <w:szCs w:val="14"/>
                      </w:rPr>
                      <w:t>0</w:t>
                    </w:r>
                  </w:p>
                </w:tc>
                <w:tc>
                  <w:tcPr>
                    <w:tcW w:w="1391" w:type="dxa"/>
                    <w:vAlign w:val="center"/>
                  </w:tcPr>
                  <w:p w:rsidR="00021A19" w:rsidRPr="00A0098F" w:rsidRDefault="00021A19" w:rsidP="00021A19">
                    <w:pPr>
                      <w:jc w:val="right"/>
                      <w:rPr>
                        <w:sz w:val="14"/>
                        <w:szCs w:val="14"/>
                      </w:rPr>
                    </w:pPr>
                    <w:r w:rsidRPr="00A0098F">
                      <w:rPr>
                        <w:sz w:val="14"/>
                        <w:szCs w:val="14"/>
                      </w:rPr>
                      <w:t>0</w:t>
                    </w:r>
                  </w:p>
                </w:tc>
                <w:tc>
                  <w:tcPr>
                    <w:tcW w:w="1376" w:type="dxa"/>
                    <w:vAlign w:val="center"/>
                  </w:tcPr>
                  <w:p w:rsidR="00021A19" w:rsidRPr="00A0098F" w:rsidRDefault="00021A19" w:rsidP="00021A19">
                    <w:pPr>
                      <w:jc w:val="right"/>
                      <w:rPr>
                        <w:sz w:val="14"/>
                        <w:szCs w:val="14"/>
                      </w:rPr>
                    </w:pPr>
                    <w:r w:rsidRPr="00A0098F">
                      <w:rPr>
                        <w:sz w:val="14"/>
                        <w:szCs w:val="14"/>
                      </w:rPr>
                      <w:t>0</w:t>
                    </w:r>
                  </w:p>
                </w:tc>
                <w:tc>
                  <w:tcPr>
                    <w:tcW w:w="1363" w:type="dxa"/>
                    <w:vAlign w:val="center"/>
                  </w:tcPr>
                  <w:p w:rsidR="00021A19" w:rsidRPr="00A0098F" w:rsidRDefault="00021A19" w:rsidP="00021A19">
                    <w:pPr>
                      <w:jc w:val="right"/>
                      <w:rPr>
                        <w:sz w:val="14"/>
                        <w:szCs w:val="14"/>
                      </w:rPr>
                    </w:pPr>
                    <w:r w:rsidRPr="00A0098F">
                      <w:rPr>
                        <w:sz w:val="14"/>
                        <w:szCs w:val="14"/>
                      </w:rPr>
                      <w:t>0</w:t>
                    </w:r>
                  </w:p>
                </w:tc>
                <w:tc>
                  <w:tcPr>
                    <w:tcW w:w="1381" w:type="dxa"/>
                    <w:vAlign w:val="center"/>
                  </w:tcPr>
                  <w:p w:rsidR="00021A19" w:rsidRPr="00A0098F" w:rsidRDefault="00021A19" w:rsidP="00021A19">
                    <w:pPr>
                      <w:jc w:val="right"/>
                      <w:rPr>
                        <w:sz w:val="14"/>
                        <w:szCs w:val="14"/>
                      </w:rPr>
                    </w:pPr>
                    <w:r w:rsidRPr="00A0098F">
                      <w:rPr>
                        <w:sz w:val="14"/>
                        <w:szCs w:val="14"/>
                      </w:rPr>
                      <w:t>0</w:t>
                    </w:r>
                  </w:p>
                </w:tc>
              </w:tr>
              <w:tr w:rsidR="00021A19" w:rsidRPr="00A0098F" w:rsidTr="00601D47">
                <w:trPr>
                  <w:trHeight w:val="20"/>
                </w:trPr>
                <w:sdt>
                  <w:sdtPr>
                    <w:rPr>
                      <w:sz w:val="14"/>
                      <w:szCs w:val="14"/>
                    </w:rPr>
                    <w:tag w:val="_PLD_ed39015638e6485d9ecad98bd3aaac6b"/>
                    <w:id w:val="-688678770"/>
                    <w:lock w:val="sdtLocked"/>
                  </w:sdtPr>
                  <w:sdtContent>
                    <w:tc>
                      <w:tcPr>
                        <w:tcW w:w="2749" w:type="dxa"/>
                      </w:tcPr>
                      <w:p w:rsidR="00021A19" w:rsidRPr="00A0098F" w:rsidRDefault="00021A19" w:rsidP="00021A19">
                        <w:pPr>
                          <w:rPr>
                            <w:sz w:val="14"/>
                            <w:szCs w:val="14"/>
                          </w:rPr>
                        </w:pPr>
                        <w:r w:rsidRPr="00A0098F">
                          <w:rPr>
                            <w:sz w:val="14"/>
                            <w:szCs w:val="14"/>
                          </w:rPr>
                          <w:t>（</w:t>
                        </w:r>
                        <w:r w:rsidRPr="00A0098F">
                          <w:rPr>
                            <w:rFonts w:hint="eastAsia"/>
                            <w:sz w:val="14"/>
                            <w:szCs w:val="14"/>
                          </w:rPr>
                          <w:t>四</w:t>
                        </w:r>
                        <w:r w:rsidRPr="00A0098F">
                          <w:rPr>
                            <w:sz w:val="14"/>
                            <w:szCs w:val="14"/>
                          </w:rPr>
                          <w:t>）所有者权益内部结转</w:t>
                        </w:r>
                      </w:p>
                    </w:tc>
                  </w:sdtContent>
                </w:sdt>
                <w:tc>
                  <w:tcPr>
                    <w:tcW w:w="1431" w:type="dxa"/>
                    <w:tcBorders>
                      <w:right w:val="single" w:sz="4" w:space="0" w:color="auto"/>
                    </w:tcBorders>
                    <w:vAlign w:val="center"/>
                  </w:tcPr>
                  <w:p w:rsidR="00021A19" w:rsidRPr="00A0098F" w:rsidRDefault="00021A19" w:rsidP="00021A19">
                    <w:pPr>
                      <w:jc w:val="right"/>
                      <w:rPr>
                        <w:sz w:val="14"/>
                        <w:szCs w:val="14"/>
                      </w:rPr>
                    </w:pPr>
                    <w:r w:rsidRPr="00A0098F">
                      <w:rPr>
                        <w:sz w:val="14"/>
                        <w:szCs w:val="14"/>
                      </w:rPr>
                      <w:t>0</w:t>
                    </w:r>
                  </w:p>
                </w:tc>
                <w:tc>
                  <w:tcPr>
                    <w:tcW w:w="1445" w:type="dxa"/>
                    <w:tcBorders>
                      <w:left w:val="single" w:sz="4" w:space="0" w:color="auto"/>
                    </w:tcBorders>
                    <w:vAlign w:val="center"/>
                  </w:tcPr>
                  <w:p w:rsidR="00021A19" w:rsidRPr="00A0098F" w:rsidRDefault="00021A19" w:rsidP="00021A19">
                    <w:pPr>
                      <w:jc w:val="right"/>
                      <w:rPr>
                        <w:sz w:val="14"/>
                        <w:szCs w:val="14"/>
                      </w:rPr>
                    </w:pPr>
                    <w:r w:rsidRPr="00A0098F">
                      <w:rPr>
                        <w:sz w:val="14"/>
                        <w:szCs w:val="14"/>
                      </w:rPr>
                      <w:t>0</w:t>
                    </w:r>
                  </w:p>
                </w:tc>
                <w:tc>
                  <w:tcPr>
                    <w:tcW w:w="1391" w:type="dxa"/>
                    <w:vAlign w:val="center"/>
                  </w:tcPr>
                  <w:p w:rsidR="00021A19" w:rsidRPr="00A0098F" w:rsidRDefault="00021A19" w:rsidP="00021A19">
                    <w:pPr>
                      <w:jc w:val="right"/>
                      <w:rPr>
                        <w:sz w:val="14"/>
                        <w:szCs w:val="14"/>
                      </w:rPr>
                    </w:pPr>
                    <w:r w:rsidRPr="00A0098F">
                      <w:rPr>
                        <w:sz w:val="14"/>
                        <w:szCs w:val="14"/>
                      </w:rPr>
                      <w:t>0</w:t>
                    </w:r>
                  </w:p>
                </w:tc>
                <w:tc>
                  <w:tcPr>
                    <w:tcW w:w="1377" w:type="dxa"/>
                    <w:vAlign w:val="center"/>
                  </w:tcPr>
                  <w:p w:rsidR="00021A19" w:rsidRPr="00A0098F" w:rsidRDefault="00021A19" w:rsidP="00021A19">
                    <w:pPr>
                      <w:jc w:val="right"/>
                      <w:rPr>
                        <w:sz w:val="14"/>
                        <w:szCs w:val="14"/>
                      </w:rPr>
                    </w:pPr>
                    <w:r w:rsidRPr="00A0098F">
                      <w:rPr>
                        <w:sz w:val="14"/>
                        <w:szCs w:val="14"/>
                      </w:rPr>
                      <w:t>0</w:t>
                    </w:r>
                  </w:p>
                </w:tc>
                <w:tc>
                  <w:tcPr>
                    <w:tcW w:w="1391" w:type="dxa"/>
                    <w:vAlign w:val="center"/>
                  </w:tcPr>
                  <w:p w:rsidR="00021A19" w:rsidRPr="00A0098F" w:rsidRDefault="00021A19" w:rsidP="00021A19">
                    <w:pPr>
                      <w:jc w:val="right"/>
                      <w:rPr>
                        <w:sz w:val="14"/>
                        <w:szCs w:val="14"/>
                      </w:rPr>
                    </w:pPr>
                    <w:r w:rsidRPr="00A0098F">
                      <w:rPr>
                        <w:sz w:val="14"/>
                        <w:szCs w:val="14"/>
                      </w:rPr>
                      <w:t>0</w:t>
                    </w:r>
                  </w:p>
                </w:tc>
                <w:tc>
                  <w:tcPr>
                    <w:tcW w:w="1376" w:type="dxa"/>
                    <w:vAlign w:val="center"/>
                  </w:tcPr>
                  <w:p w:rsidR="00021A19" w:rsidRPr="00A0098F" w:rsidRDefault="00021A19" w:rsidP="00021A19">
                    <w:pPr>
                      <w:jc w:val="right"/>
                      <w:rPr>
                        <w:sz w:val="14"/>
                        <w:szCs w:val="14"/>
                      </w:rPr>
                    </w:pPr>
                    <w:r w:rsidRPr="00A0098F">
                      <w:rPr>
                        <w:sz w:val="14"/>
                        <w:szCs w:val="14"/>
                      </w:rPr>
                      <w:t>0</w:t>
                    </w:r>
                  </w:p>
                </w:tc>
                <w:tc>
                  <w:tcPr>
                    <w:tcW w:w="1363" w:type="dxa"/>
                    <w:vAlign w:val="center"/>
                  </w:tcPr>
                  <w:p w:rsidR="00021A19" w:rsidRPr="00A0098F" w:rsidRDefault="00021A19" w:rsidP="00021A19">
                    <w:pPr>
                      <w:jc w:val="right"/>
                      <w:rPr>
                        <w:sz w:val="14"/>
                        <w:szCs w:val="14"/>
                      </w:rPr>
                    </w:pPr>
                    <w:r w:rsidRPr="00A0098F">
                      <w:rPr>
                        <w:sz w:val="14"/>
                        <w:szCs w:val="14"/>
                      </w:rPr>
                      <w:t>0</w:t>
                    </w:r>
                  </w:p>
                </w:tc>
                <w:tc>
                  <w:tcPr>
                    <w:tcW w:w="1381" w:type="dxa"/>
                    <w:vAlign w:val="center"/>
                  </w:tcPr>
                  <w:p w:rsidR="00021A19" w:rsidRPr="00A0098F" w:rsidRDefault="00021A19" w:rsidP="00021A19">
                    <w:pPr>
                      <w:jc w:val="right"/>
                      <w:rPr>
                        <w:sz w:val="14"/>
                        <w:szCs w:val="14"/>
                      </w:rPr>
                    </w:pPr>
                    <w:r w:rsidRPr="00A0098F">
                      <w:rPr>
                        <w:sz w:val="14"/>
                        <w:szCs w:val="14"/>
                      </w:rPr>
                      <w:t>0</w:t>
                    </w:r>
                  </w:p>
                </w:tc>
              </w:tr>
              <w:tr w:rsidR="00021A19" w:rsidRPr="00A0098F" w:rsidTr="00601D47">
                <w:trPr>
                  <w:trHeight w:val="20"/>
                </w:trPr>
                <w:sdt>
                  <w:sdtPr>
                    <w:rPr>
                      <w:sz w:val="14"/>
                      <w:szCs w:val="14"/>
                    </w:rPr>
                    <w:tag w:val="_PLD_16ddc46b3a95453788bdcaaebfae99fa"/>
                    <w:id w:val="-550464218"/>
                    <w:lock w:val="sdtLocked"/>
                  </w:sdtPr>
                  <w:sdtContent>
                    <w:tc>
                      <w:tcPr>
                        <w:tcW w:w="2749" w:type="dxa"/>
                      </w:tcPr>
                      <w:p w:rsidR="00021A19" w:rsidRPr="00A0098F" w:rsidRDefault="00021A19" w:rsidP="00021A19">
                        <w:pPr>
                          <w:rPr>
                            <w:sz w:val="14"/>
                            <w:szCs w:val="14"/>
                          </w:rPr>
                        </w:pPr>
                        <w:r w:rsidRPr="00A0098F">
                          <w:rPr>
                            <w:sz w:val="14"/>
                            <w:szCs w:val="14"/>
                          </w:rPr>
                          <w:t>1．资本公积转增资本（或股本）</w:t>
                        </w:r>
                      </w:p>
                    </w:tc>
                  </w:sdtContent>
                </w:sdt>
                <w:tc>
                  <w:tcPr>
                    <w:tcW w:w="1431" w:type="dxa"/>
                    <w:tcBorders>
                      <w:right w:val="single" w:sz="4" w:space="0" w:color="auto"/>
                    </w:tcBorders>
                    <w:vAlign w:val="center"/>
                  </w:tcPr>
                  <w:p w:rsidR="00021A19" w:rsidRPr="00A0098F" w:rsidRDefault="00021A19" w:rsidP="00021A19">
                    <w:pPr>
                      <w:jc w:val="right"/>
                      <w:rPr>
                        <w:sz w:val="14"/>
                        <w:szCs w:val="14"/>
                      </w:rPr>
                    </w:pPr>
                    <w:r w:rsidRPr="00A0098F">
                      <w:rPr>
                        <w:sz w:val="14"/>
                        <w:szCs w:val="14"/>
                      </w:rPr>
                      <w:t>0</w:t>
                    </w:r>
                  </w:p>
                </w:tc>
                <w:tc>
                  <w:tcPr>
                    <w:tcW w:w="1445" w:type="dxa"/>
                    <w:tcBorders>
                      <w:left w:val="single" w:sz="4" w:space="0" w:color="auto"/>
                    </w:tcBorders>
                    <w:vAlign w:val="center"/>
                  </w:tcPr>
                  <w:p w:rsidR="00021A19" w:rsidRPr="00A0098F" w:rsidRDefault="00021A19" w:rsidP="00021A19">
                    <w:pPr>
                      <w:jc w:val="right"/>
                      <w:rPr>
                        <w:sz w:val="14"/>
                        <w:szCs w:val="14"/>
                      </w:rPr>
                    </w:pPr>
                    <w:r w:rsidRPr="00A0098F">
                      <w:rPr>
                        <w:sz w:val="14"/>
                        <w:szCs w:val="14"/>
                      </w:rPr>
                      <w:t>0</w:t>
                    </w:r>
                  </w:p>
                </w:tc>
                <w:tc>
                  <w:tcPr>
                    <w:tcW w:w="1391" w:type="dxa"/>
                    <w:vAlign w:val="center"/>
                  </w:tcPr>
                  <w:p w:rsidR="00021A19" w:rsidRPr="00A0098F" w:rsidRDefault="00021A19" w:rsidP="00021A19">
                    <w:pPr>
                      <w:jc w:val="right"/>
                      <w:rPr>
                        <w:sz w:val="14"/>
                        <w:szCs w:val="14"/>
                      </w:rPr>
                    </w:pPr>
                    <w:r w:rsidRPr="00A0098F">
                      <w:rPr>
                        <w:sz w:val="14"/>
                        <w:szCs w:val="14"/>
                      </w:rPr>
                      <w:t>0</w:t>
                    </w:r>
                  </w:p>
                </w:tc>
                <w:tc>
                  <w:tcPr>
                    <w:tcW w:w="1377" w:type="dxa"/>
                    <w:vAlign w:val="center"/>
                  </w:tcPr>
                  <w:p w:rsidR="00021A19" w:rsidRPr="00A0098F" w:rsidRDefault="00021A19" w:rsidP="00021A19">
                    <w:pPr>
                      <w:jc w:val="right"/>
                      <w:rPr>
                        <w:sz w:val="14"/>
                        <w:szCs w:val="14"/>
                      </w:rPr>
                    </w:pPr>
                    <w:r w:rsidRPr="00A0098F">
                      <w:rPr>
                        <w:sz w:val="14"/>
                        <w:szCs w:val="14"/>
                      </w:rPr>
                      <w:t>0</w:t>
                    </w:r>
                  </w:p>
                </w:tc>
                <w:tc>
                  <w:tcPr>
                    <w:tcW w:w="1391" w:type="dxa"/>
                    <w:vAlign w:val="center"/>
                  </w:tcPr>
                  <w:p w:rsidR="00021A19" w:rsidRPr="00A0098F" w:rsidRDefault="00021A19" w:rsidP="00021A19">
                    <w:pPr>
                      <w:jc w:val="right"/>
                      <w:rPr>
                        <w:sz w:val="14"/>
                        <w:szCs w:val="14"/>
                      </w:rPr>
                    </w:pPr>
                    <w:r w:rsidRPr="00A0098F">
                      <w:rPr>
                        <w:sz w:val="14"/>
                        <w:szCs w:val="14"/>
                      </w:rPr>
                      <w:t>0</w:t>
                    </w:r>
                  </w:p>
                </w:tc>
                <w:tc>
                  <w:tcPr>
                    <w:tcW w:w="1376" w:type="dxa"/>
                    <w:vAlign w:val="center"/>
                  </w:tcPr>
                  <w:p w:rsidR="00021A19" w:rsidRPr="00A0098F" w:rsidRDefault="00021A19" w:rsidP="00021A19">
                    <w:pPr>
                      <w:jc w:val="right"/>
                      <w:rPr>
                        <w:sz w:val="14"/>
                        <w:szCs w:val="14"/>
                      </w:rPr>
                    </w:pPr>
                    <w:r w:rsidRPr="00A0098F">
                      <w:rPr>
                        <w:sz w:val="14"/>
                        <w:szCs w:val="14"/>
                      </w:rPr>
                      <w:t>0</w:t>
                    </w:r>
                  </w:p>
                </w:tc>
                <w:tc>
                  <w:tcPr>
                    <w:tcW w:w="1363" w:type="dxa"/>
                    <w:vAlign w:val="center"/>
                  </w:tcPr>
                  <w:p w:rsidR="00021A19" w:rsidRPr="00A0098F" w:rsidRDefault="00021A19" w:rsidP="00021A19">
                    <w:pPr>
                      <w:jc w:val="right"/>
                      <w:rPr>
                        <w:sz w:val="14"/>
                        <w:szCs w:val="14"/>
                      </w:rPr>
                    </w:pPr>
                    <w:r w:rsidRPr="00A0098F">
                      <w:rPr>
                        <w:sz w:val="14"/>
                        <w:szCs w:val="14"/>
                      </w:rPr>
                      <w:t>0</w:t>
                    </w:r>
                  </w:p>
                </w:tc>
                <w:tc>
                  <w:tcPr>
                    <w:tcW w:w="1381" w:type="dxa"/>
                    <w:vAlign w:val="center"/>
                  </w:tcPr>
                  <w:p w:rsidR="00021A19" w:rsidRPr="00A0098F" w:rsidRDefault="00021A19" w:rsidP="00021A19">
                    <w:pPr>
                      <w:jc w:val="right"/>
                      <w:rPr>
                        <w:sz w:val="14"/>
                        <w:szCs w:val="14"/>
                      </w:rPr>
                    </w:pPr>
                    <w:r w:rsidRPr="00A0098F">
                      <w:rPr>
                        <w:sz w:val="14"/>
                        <w:szCs w:val="14"/>
                      </w:rPr>
                      <w:t>0</w:t>
                    </w:r>
                  </w:p>
                </w:tc>
              </w:tr>
              <w:tr w:rsidR="00021A19" w:rsidRPr="00A0098F" w:rsidTr="00601D47">
                <w:trPr>
                  <w:trHeight w:val="20"/>
                </w:trPr>
                <w:sdt>
                  <w:sdtPr>
                    <w:rPr>
                      <w:sz w:val="14"/>
                      <w:szCs w:val="14"/>
                    </w:rPr>
                    <w:tag w:val="_PLD_5f2b4bbca85e4693b990e3e25811eeab"/>
                    <w:id w:val="1008180089"/>
                    <w:lock w:val="sdtLocked"/>
                  </w:sdtPr>
                  <w:sdtContent>
                    <w:tc>
                      <w:tcPr>
                        <w:tcW w:w="2749" w:type="dxa"/>
                      </w:tcPr>
                      <w:p w:rsidR="00021A19" w:rsidRPr="00A0098F" w:rsidRDefault="00021A19" w:rsidP="00021A19">
                        <w:pPr>
                          <w:rPr>
                            <w:sz w:val="14"/>
                            <w:szCs w:val="14"/>
                          </w:rPr>
                        </w:pPr>
                        <w:r w:rsidRPr="00A0098F">
                          <w:rPr>
                            <w:sz w:val="14"/>
                            <w:szCs w:val="14"/>
                          </w:rPr>
                          <w:t>2．盈余公积转增资本（或股本）</w:t>
                        </w:r>
                      </w:p>
                    </w:tc>
                  </w:sdtContent>
                </w:sdt>
                <w:tc>
                  <w:tcPr>
                    <w:tcW w:w="1431" w:type="dxa"/>
                    <w:tcBorders>
                      <w:right w:val="single" w:sz="4" w:space="0" w:color="auto"/>
                    </w:tcBorders>
                    <w:vAlign w:val="center"/>
                  </w:tcPr>
                  <w:p w:rsidR="00021A19" w:rsidRPr="00A0098F" w:rsidRDefault="00021A19" w:rsidP="00021A19">
                    <w:pPr>
                      <w:jc w:val="right"/>
                      <w:rPr>
                        <w:sz w:val="14"/>
                        <w:szCs w:val="14"/>
                      </w:rPr>
                    </w:pPr>
                    <w:r w:rsidRPr="00A0098F">
                      <w:rPr>
                        <w:sz w:val="14"/>
                        <w:szCs w:val="14"/>
                      </w:rPr>
                      <w:t>0</w:t>
                    </w:r>
                  </w:p>
                </w:tc>
                <w:tc>
                  <w:tcPr>
                    <w:tcW w:w="1445" w:type="dxa"/>
                    <w:tcBorders>
                      <w:left w:val="single" w:sz="4" w:space="0" w:color="auto"/>
                    </w:tcBorders>
                    <w:vAlign w:val="center"/>
                  </w:tcPr>
                  <w:p w:rsidR="00021A19" w:rsidRPr="00A0098F" w:rsidRDefault="00021A19" w:rsidP="00021A19">
                    <w:pPr>
                      <w:jc w:val="right"/>
                      <w:rPr>
                        <w:sz w:val="14"/>
                        <w:szCs w:val="14"/>
                      </w:rPr>
                    </w:pPr>
                    <w:r w:rsidRPr="00A0098F">
                      <w:rPr>
                        <w:sz w:val="14"/>
                        <w:szCs w:val="14"/>
                      </w:rPr>
                      <w:t>0</w:t>
                    </w:r>
                  </w:p>
                </w:tc>
                <w:tc>
                  <w:tcPr>
                    <w:tcW w:w="1391" w:type="dxa"/>
                    <w:vAlign w:val="center"/>
                  </w:tcPr>
                  <w:p w:rsidR="00021A19" w:rsidRPr="00A0098F" w:rsidRDefault="00021A19" w:rsidP="00021A19">
                    <w:pPr>
                      <w:jc w:val="right"/>
                      <w:rPr>
                        <w:sz w:val="14"/>
                        <w:szCs w:val="14"/>
                      </w:rPr>
                    </w:pPr>
                    <w:r w:rsidRPr="00A0098F">
                      <w:rPr>
                        <w:sz w:val="14"/>
                        <w:szCs w:val="14"/>
                      </w:rPr>
                      <w:t>0</w:t>
                    </w:r>
                  </w:p>
                </w:tc>
                <w:tc>
                  <w:tcPr>
                    <w:tcW w:w="1377" w:type="dxa"/>
                    <w:vAlign w:val="center"/>
                  </w:tcPr>
                  <w:p w:rsidR="00021A19" w:rsidRPr="00A0098F" w:rsidRDefault="00021A19" w:rsidP="00021A19">
                    <w:pPr>
                      <w:jc w:val="right"/>
                      <w:rPr>
                        <w:sz w:val="14"/>
                        <w:szCs w:val="14"/>
                      </w:rPr>
                    </w:pPr>
                    <w:r w:rsidRPr="00A0098F">
                      <w:rPr>
                        <w:sz w:val="14"/>
                        <w:szCs w:val="14"/>
                      </w:rPr>
                      <w:t>0</w:t>
                    </w:r>
                  </w:p>
                </w:tc>
                <w:tc>
                  <w:tcPr>
                    <w:tcW w:w="1391" w:type="dxa"/>
                    <w:vAlign w:val="center"/>
                  </w:tcPr>
                  <w:p w:rsidR="00021A19" w:rsidRPr="00A0098F" w:rsidRDefault="00021A19" w:rsidP="00021A19">
                    <w:pPr>
                      <w:jc w:val="right"/>
                      <w:rPr>
                        <w:sz w:val="14"/>
                        <w:szCs w:val="14"/>
                      </w:rPr>
                    </w:pPr>
                    <w:r w:rsidRPr="00A0098F">
                      <w:rPr>
                        <w:sz w:val="14"/>
                        <w:szCs w:val="14"/>
                      </w:rPr>
                      <w:t>0</w:t>
                    </w:r>
                  </w:p>
                </w:tc>
                <w:tc>
                  <w:tcPr>
                    <w:tcW w:w="1376" w:type="dxa"/>
                    <w:vAlign w:val="center"/>
                  </w:tcPr>
                  <w:p w:rsidR="00021A19" w:rsidRPr="00A0098F" w:rsidRDefault="00021A19" w:rsidP="00021A19">
                    <w:pPr>
                      <w:jc w:val="right"/>
                      <w:rPr>
                        <w:sz w:val="14"/>
                        <w:szCs w:val="14"/>
                      </w:rPr>
                    </w:pPr>
                    <w:r w:rsidRPr="00A0098F">
                      <w:rPr>
                        <w:sz w:val="14"/>
                        <w:szCs w:val="14"/>
                      </w:rPr>
                      <w:t>0</w:t>
                    </w:r>
                  </w:p>
                </w:tc>
                <w:tc>
                  <w:tcPr>
                    <w:tcW w:w="1363" w:type="dxa"/>
                    <w:vAlign w:val="center"/>
                  </w:tcPr>
                  <w:p w:rsidR="00021A19" w:rsidRPr="00A0098F" w:rsidRDefault="00021A19" w:rsidP="00021A19">
                    <w:pPr>
                      <w:jc w:val="right"/>
                      <w:rPr>
                        <w:sz w:val="14"/>
                        <w:szCs w:val="14"/>
                      </w:rPr>
                    </w:pPr>
                    <w:r w:rsidRPr="00A0098F">
                      <w:rPr>
                        <w:sz w:val="14"/>
                        <w:szCs w:val="14"/>
                      </w:rPr>
                      <w:t>0</w:t>
                    </w:r>
                  </w:p>
                </w:tc>
                <w:tc>
                  <w:tcPr>
                    <w:tcW w:w="1381" w:type="dxa"/>
                    <w:vAlign w:val="center"/>
                  </w:tcPr>
                  <w:p w:rsidR="00021A19" w:rsidRPr="00A0098F" w:rsidRDefault="00021A19" w:rsidP="00021A19">
                    <w:pPr>
                      <w:jc w:val="right"/>
                      <w:rPr>
                        <w:sz w:val="14"/>
                        <w:szCs w:val="14"/>
                      </w:rPr>
                    </w:pPr>
                    <w:r w:rsidRPr="00A0098F">
                      <w:rPr>
                        <w:sz w:val="14"/>
                        <w:szCs w:val="14"/>
                      </w:rPr>
                      <w:t>0</w:t>
                    </w:r>
                  </w:p>
                </w:tc>
              </w:tr>
              <w:tr w:rsidR="00021A19" w:rsidRPr="00A0098F" w:rsidTr="00601D47">
                <w:trPr>
                  <w:trHeight w:val="20"/>
                </w:trPr>
                <w:sdt>
                  <w:sdtPr>
                    <w:rPr>
                      <w:sz w:val="14"/>
                      <w:szCs w:val="14"/>
                    </w:rPr>
                    <w:tag w:val="_PLD_15d6c710562e41cc9b0f916bb42a3ecd"/>
                    <w:id w:val="-1007133949"/>
                    <w:lock w:val="sdtLocked"/>
                  </w:sdtPr>
                  <w:sdtContent>
                    <w:tc>
                      <w:tcPr>
                        <w:tcW w:w="2749" w:type="dxa"/>
                      </w:tcPr>
                      <w:p w:rsidR="00021A19" w:rsidRPr="00A0098F" w:rsidRDefault="00021A19" w:rsidP="00021A19">
                        <w:pPr>
                          <w:rPr>
                            <w:sz w:val="14"/>
                            <w:szCs w:val="14"/>
                          </w:rPr>
                        </w:pPr>
                        <w:r w:rsidRPr="00A0098F">
                          <w:rPr>
                            <w:sz w:val="14"/>
                            <w:szCs w:val="14"/>
                          </w:rPr>
                          <w:t>3．盈余公积弥补亏损</w:t>
                        </w:r>
                      </w:p>
                    </w:tc>
                  </w:sdtContent>
                </w:sdt>
                <w:tc>
                  <w:tcPr>
                    <w:tcW w:w="1431" w:type="dxa"/>
                    <w:tcBorders>
                      <w:right w:val="single" w:sz="4" w:space="0" w:color="auto"/>
                    </w:tcBorders>
                    <w:vAlign w:val="center"/>
                  </w:tcPr>
                  <w:p w:rsidR="00021A19" w:rsidRPr="00A0098F" w:rsidRDefault="00021A19" w:rsidP="00021A19">
                    <w:pPr>
                      <w:jc w:val="right"/>
                      <w:rPr>
                        <w:sz w:val="14"/>
                        <w:szCs w:val="14"/>
                      </w:rPr>
                    </w:pPr>
                    <w:r w:rsidRPr="00A0098F">
                      <w:rPr>
                        <w:sz w:val="14"/>
                        <w:szCs w:val="14"/>
                      </w:rPr>
                      <w:t>0</w:t>
                    </w:r>
                  </w:p>
                </w:tc>
                <w:tc>
                  <w:tcPr>
                    <w:tcW w:w="1445" w:type="dxa"/>
                    <w:tcBorders>
                      <w:left w:val="single" w:sz="4" w:space="0" w:color="auto"/>
                    </w:tcBorders>
                    <w:vAlign w:val="center"/>
                  </w:tcPr>
                  <w:p w:rsidR="00021A19" w:rsidRPr="00A0098F" w:rsidRDefault="00021A19" w:rsidP="00021A19">
                    <w:pPr>
                      <w:jc w:val="right"/>
                      <w:rPr>
                        <w:sz w:val="14"/>
                        <w:szCs w:val="14"/>
                      </w:rPr>
                    </w:pPr>
                    <w:r w:rsidRPr="00A0098F">
                      <w:rPr>
                        <w:sz w:val="14"/>
                        <w:szCs w:val="14"/>
                      </w:rPr>
                      <w:t>0</w:t>
                    </w:r>
                  </w:p>
                </w:tc>
                <w:tc>
                  <w:tcPr>
                    <w:tcW w:w="1391" w:type="dxa"/>
                    <w:vAlign w:val="center"/>
                  </w:tcPr>
                  <w:p w:rsidR="00021A19" w:rsidRPr="00A0098F" w:rsidRDefault="00021A19" w:rsidP="00021A19">
                    <w:pPr>
                      <w:jc w:val="right"/>
                      <w:rPr>
                        <w:sz w:val="14"/>
                        <w:szCs w:val="14"/>
                      </w:rPr>
                    </w:pPr>
                    <w:r w:rsidRPr="00A0098F">
                      <w:rPr>
                        <w:sz w:val="14"/>
                        <w:szCs w:val="14"/>
                      </w:rPr>
                      <w:t>0</w:t>
                    </w:r>
                  </w:p>
                </w:tc>
                <w:tc>
                  <w:tcPr>
                    <w:tcW w:w="1377" w:type="dxa"/>
                    <w:vAlign w:val="center"/>
                  </w:tcPr>
                  <w:p w:rsidR="00021A19" w:rsidRPr="00A0098F" w:rsidRDefault="00021A19" w:rsidP="00021A19">
                    <w:pPr>
                      <w:jc w:val="right"/>
                      <w:rPr>
                        <w:sz w:val="14"/>
                        <w:szCs w:val="14"/>
                      </w:rPr>
                    </w:pPr>
                    <w:r w:rsidRPr="00A0098F">
                      <w:rPr>
                        <w:sz w:val="14"/>
                        <w:szCs w:val="14"/>
                      </w:rPr>
                      <w:t>0</w:t>
                    </w:r>
                  </w:p>
                </w:tc>
                <w:tc>
                  <w:tcPr>
                    <w:tcW w:w="1391" w:type="dxa"/>
                    <w:vAlign w:val="center"/>
                  </w:tcPr>
                  <w:p w:rsidR="00021A19" w:rsidRPr="00A0098F" w:rsidRDefault="00021A19" w:rsidP="00021A19">
                    <w:pPr>
                      <w:jc w:val="right"/>
                      <w:rPr>
                        <w:sz w:val="14"/>
                        <w:szCs w:val="14"/>
                      </w:rPr>
                    </w:pPr>
                    <w:r w:rsidRPr="00A0098F">
                      <w:rPr>
                        <w:sz w:val="14"/>
                        <w:szCs w:val="14"/>
                      </w:rPr>
                      <w:t>0</w:t>
                    </w:r>
                  </w:p>
                </w:tc>
                <w:tc>
                  <w:tcPr>
                    <w:tcW w:w="1376" w:type="dxa"/>
                    <w:vAlign w:val="center"/>
                  </w:tcPr>
                  <w:p w:rsidR="00021A19" w:rsidRPr="00A0098F" w:rsidRDefault="00021A19" w:rsidP="00021A19">
                    <w:pPr>
                      <w:jc w:val="right"/>
                      <w:rPr>
                        <w:sz w:val="14"/>
                        <w:szCs w:val="14"/>
                      </w:rPr>
                    </w:pPr>
                    <w:r w:rsidRPr="00A0098F">
                      <w:rPr>
                        <w:sz w:val="14"/>
                        <w:szCs w:val="14"/>
                      </w:rPr>
                      <w:t>0</w:t>
                    </w:r>
                  </w:p>
                </w:tc>
                <w:tc>
                  <w:tcPr>
                    <w:tcW w:w="1363" w:type="dxa"/>
                    <w:vAlign w:val="center"/>
                  </w:tcPr>
                  <w:p w:rsidR="00021A19" w:rsidRPr="00A0098F" w:rsidRDefault="00021A19" w:rsidP="00021A19">
                    <w:pPr>
                      <w:jc w:val="right"/>
                      <w:rPr>
                        <w:sz w:val="14"/>
                        <w:szCs w:val="14"/>
                      </w:rPr>
                    </w:pPr>
                    <w:r w:rsidRPr="00A0098F">
                      <w:rPr>
                        <w:sz w:val="14"/>
                        <w:szCs w:val="14"/>
                      </w:rPr>
                      <w:t>0</w:t>
                    </w:r>
                  </w:p>
                </w:tc>
                <w:tc>
                  <w:tcPr>
                    <w:tcW w:w="1381" w:type="dxa"/>
                    <w:vAlign w:val="center"/>
                  </w:tcPr>
                  <w:p w:rsidR="00021A19" w:rsidRPr="00A0098F" w:rsidRDefault="00021A19" w:rsidP="00021A19">
                    <w:pPr>
                      <w:jc w:val="right"/>
                      <w:rPr>
                        <w:sz w:val="14"/>
                        <w:szCs w:val="14"/>
                      </w:rPr>
                    </w:pPr>
                    <w:r w:rsidRPr="00A0098F">
                      <w:rPr>
                        <w:sz w:val="14"/>
                        <w:szCs w:val="14"/>
                      </w:rPr>
                      <w:t>0</w:t>
                    </w:r>
                  </w:p>
                </w:tc>
              </w:tr>
              <w:tr w:rsidR="00021A19" w:rsidRPr="00A0098F" w:rsidTr="00601D47">
                <w:trPr>
                  <w:trHeight w:val="20"/>
                </w:trPr>
                <w:tc>
                  <w:tcPr>
                    <w:tcW w:w="2749" w:type="dxa"/>
                  </w:tcPr>
                  <w:sdt>
                    <w:sdtPr>
                      <w:rPr>
                        <w:sz w:val="14"/>
                        <w:szCs w:val="14"/>
                      </w:rPr>
                      <w:tag w:val="_PLD_f4cb17050ad540c1b6765bbc5ef1d185"/>
                      <w:id w:val="-546452861"/>
                      <w:lock w:val="sdtLocked"/>
                    </w:sdtPr>
                    <w:sdtContent>
                      <w:p w:rsidR="00021A19" w:rsidRPr="00A0098F" w:rsidRDefault="00021A19" w:rsidP="00021A19">
                        <w:pPr>
                          <w:rPr>
                            <w:sz w:val="14"/>
                            <w:szCs w:val="14"/>
                          </w:rPr>
                        </w:pPr>
                        <w:r w:rsidRPr="00A0098F">
                          <w:rPr>
                            <w:sz w:val="14"/>
                            <w:szCs w:val="14"/>
                          </w:rPr>
                          <w:t>4．设定受益计划变动额结转留存收益</w:t>
                        </w:r>
                      </w:p>
                    </w:sdtContent>
                  </w:sdt>
                </w:tc>
                <w:tc>
                  <w:tcPr>
                    <w:tcW w:w="1431" w:type="dxa"/>
                    <w:tcBorders>
                      <w:right w:val="single" w:sz="4" w:space="0" w:color="auto"/>
                    </w:tcBorders>
                    <w:vAlign w:val="center"/>
                  </w:tcPr>
                  <w:p w:rsidR="00021A19" w:rsidRPr="00A0098F" w:rsidRDefault="00021A19" w:rsidP="00021A19">
                    <w:pPr>
                      <w:jc w:val="right"/>
                      <w:rPr>
                        <w:sz w:val="14"/>
                        <w:szCs w:val="14"/>
                      </w:rPr>
                    </w:pPr>
                    <w:r w:rsidRPr="00A0098F">
                      <w:rPr>
                        <w:sz w:val="14"/>
                        <w:szCs w:val="14"/>
                      </w:rPr>
                      <w:t>0</w:t>
                    </w:r>
                  </w:p>
                </w:tc>
                <w:tc>
                  <w:tcPr>
                    <w:tcW w:w="1445" w:type="dxa"/>
                    <w:tcBorders>
                      <w:left w:val="single" w:sz="4" w:space="0" w:color="auto"/>
                    </w:tcBorders>
                    <w:vAlign w:val="center"/>
                  </w:tcPr>
                  <w:p w:rsidR="00021A19" w:rsidRPr="00A0098F" w:rsidRDefault="00021A19" w:rsidP="00021A19">
                    <w:pPr>
                      <w:jc w:val="right"/>
                      <w:rPr>
                        <w:sz w:val="14"/>
                        <w:szCs w:val="14"/>
                      </w:rPr>
                    </w:pPr>
                    <w:r w:rsidRPr="00A0098F">
                      <w:rPr>
                        <w:sz w:val="14"/>
                        <w:szCs w:val="14"/>
                      </w:rPr>
                      <w:t>0</w:t>
                    </w:r>
                  </w:p>
                </w:tc>
                <w:tc>
                  <w:tcPr>
                    <w:tcW w:w="1391" w:type="dxa"/>
                    <w:vAlign w:val="center"/>
                  </w:tcPr>
                  <w:p w:rsidR="00021A19" w:rsidRPr="00A0098F" w:rsidRDefault="00021A19" w:rsidP="00021A19">
                    <w:pPr>
                      <w:jc w:val="right"/>
                      <w:rPr>
                        <w:sz w:val="14"/>
                        <w:szCs w:val="14"/>
                      </w:rPr>
                    </w:pPr>
                    <w:r w:rsidRPr="00A0098F">
                      <w:rPr>
                        <w:sz w:val="14"/>
                        <w:szCs w:val="14"/>
                      </w:rPr>
                      <w:t>0</w:t>
                    </w:r>
                  </w:p>
                </w:tc>
                <w:tc>
                  <w:tcPr>
                    <w:tcW w:w="1377" w:type="dxa"/>
                    <w:vAlign w:val="center"/>
                  </w:tcPr>
                  <w:p w:rsidR="00021A19" w:rsidRPr="00A0098F" w:rsidRDefault="00021A19" w:rsidP="00021A19">
                    <w:pPr>
                      <w:jc w:val="right"/>
                      <w:rPr>
                        <w:sz w:val="14"/>
                        <w:szCs w:val="14"/>
                      </w:rPr>
                    </w:pPr>
                    <w:r w:rsidRPr="00A0098F">
                      <w:rPr>
                        <w:sz w:val="14"/>
                        <w:szCs w:val="14"/>
                      </w:rPr>
                      <w:t>0</w:t>
                    </w:r>
                  </w:p>
                </w:tc>
                <w:tc>
                  <w:tcPr>
                    <w:tcW w:w="1391" w:type="dxa"/>
                    <w:vAlign w:val="center"/>
                  </w:tcPr>
                  <w:p w:rsidR="00021A19" w:rsidRPr="00A0098F" w:rsidRDefault="00021A19" w:rsidP="00021A19">
                    <w:pPr>
                      <w:jc w:val="right"/>
                      <w:rPr>
                        <w:sz w:val="14"/>
                        <w:szCs w:val="14"/>
                      </w:rPr>
                    </w:pPr>
                    <w:r w:rsidRPr="00A0098F">
                      <w:rPr>
                        <w:sz w:val="14"/>
                        <w:szCs w:val="14"/>
                      </w:rPr>
                      <w:t>0</w:t>
                    </w:r>
                  </w:p>
                </w:tc>
                <w:tc>
                  <w:tcPr>
                    <w:tcW w:w="1376" w:type="dxa"/>
                    <w:vAlign w:val="center"/>
                  </w:tcPr>
                  <w:p w:rsidR="00021A19" w:rsidRPr="00A0098F" w:rsidRDefault="00021A19" w:rsidP="00021A19">
                    <w:pPr>
                      <w:jc w:val="right"/>
                      <w:rPr>
                        <w:sz w:val="14"/>
                        <w:szCs w:val="14"/>
                      </w:rPr>
                    </w:pPr>
                    <w:r w:rsidRPr="00A0098F">
                      <w:rPr>
                        <w:sz w:val="14"/>
                        <w:szCs w:val="14"/>
                      </w:rPr>
                      <w:t>0</w:t>
                    </w:r>
                  </w:p>
                </w:tc>
                <w:tc>
                  <w:tcPr>
                    <w:tcW w:w="1363" w:type="dxa"/>
                    <w:vAlign w:val="center"/>
                  </w:tcPr>
                  <w:p w:rsidR="00021A19" w:rsidRPr="00A0098F" w:rsidRDefault="00021A19" w:rsidP="00021A19">
                    <w:pPr>
                      <w:jc w:val="right"/>
                      <w:rPr>
                        <w:sz w:val="14"/>
                        <w:szCs w:val="14"/>
                      </w:rPr>
                    </w:pPr>
                    <w:r w:rsidRPr="00A0098F">
                      <w:rPr>
                        <w:sz w:val="14"/>
                        <w:szCs w:val="14"/>
                      </w:rPr>
                      <w:t>0</w:t>
                    </w:r>
                  </w:p>
                </w:tc>
                <w:tc>
                  <w:tcPr>
                    <w:tcW w:w="1381" w:type="dxa"/>
                    <w:vAlign w:val="center"/>
                  </w:tcPr>
                  <w:p w:rsidR="00021A19" w:rsidRPr="00A0098F" w:rsidRDefault="00021A19" w:rsidP="00021A19">
                    <w:pPr>
                      <w:jc w:val="right"/>
                      <w:rPr>
                        <w:sz w:val="14"/>
                        <w:szCs w:val="14"/>
                      </w:rPr>
                    </w:pPr>
                    <w:r w:rsidRPr="00A0098F">
                      <w:rPr>
                        <w:sz w:val="14"/>
                        <w:szCs w:val="14"/>
                      </w:rPr>
                      <w:t>0</w:t>
                    </w:r>
                  </w:p>
                </w:tc>
              </w:tr>
              <w:tr w:rsidR="00021A19" w:rsidRPr="00A0098F" w:rsidTr="00601D47">
                <w:trPr>
                  <w:trHeight w:val="20"/>
                </w:trPr>
                <w:tc>
                  <w:tcPr>
                    <w:tcW w:w="2749" w:type="dxa"/>
                  </w:tcPr>
                  <w:sdt>
                    <w:sdtPr>
                      <w:rPr>
                        <w:sz w:val="14"/>
                        <w:szCs w:val="14"/>
                      </w:rPr>
                      <w:tag w:val="_PLD_d570b02e3d674dc1a938a4710387119c"/>
                      <w:id w:val="2021816257"/>
                      <w:lock w:val="sdtLocked"/>
                    </w:sdtPr>
                    <w:sdtContent>
                      <w:p w:rsidR="00021A19" w:rsidRPr="00A0098F" w:rsidRDefault="00021A19" w:rsidP="00021A19">
                        <w:pPr>
                          <w:rPr>
                            <w:sz w:val="14"/>
                            <w:szCs w:val="14"/>
                          </w:rPr>
                        </w:pPr>
                        <w:r w:rsidRPr="00A0098F">
                          <w:rPr>
                            <w:sz w:val="14"/>
                            <w:szCs w:val="14"/>
                          </w:rPr>
                          <w:t>5．其他综合收益结转留存收益</w:t>
                        </w:r>
                      </w:p>
                    </w:sdtContent>
                  </w:sdt>
                </w:tc>
                <w:tc>
                  <w:tcPr>
                    <w:tcW w:w="1431" w:type="dxa"/>
                    <w:tcBorders>
                      <w:right w:val="single" w:sz="4" w:space="0" w:color="auto"/>
                    </w:tcBorders>
                    <w:vAlign w:val="center"/>
                  </w:tcPr>
                  <w:p w:rsidR="00021A19" w:rsidRPr="00A0098F" w:rsidRDefault="00021A19" w:rsidP="00021A19">
                    <w:pPr>
                      <w:jc w:val="right"/>
                      <w:rPr>
                        <w:sz w:val="14"/>
                        <w:szCs w:val="14"/>
                      </w:rPr>
                    </w:pPr>
                    <w:r w:rsidRPr="00A0098F">
                      <w:rPr>
                        <w:sz w:val="14"/>
                        <w:szCs w:val="14"/>
                      </w:rPr>
                      <w:t>0</w:t>
                    </w:r>
                  </w:p>
                </w:tc>
                <w:tc>
                  <w:tcPr>
                    <w:tcW w:w="1445" w:type="dxa"/>
                    <w:tcBorders>
                      <w:left w:val="single" w:sz="4" w:space="0" w:color="auto"/>
                    </w:tcBorders>
                    <w:vAlign w:val="center"/>
                  </w:tcPr>
                  <w:p w:rsidR="00021A19" w:rsidRPr="00A0098F" w:rsidRDefault="00021A19" w:rsidP="00021A19">
                    <w:pPr>
                      <w:jc w:val="right"/>
                      <w:rPr>
                        <w:sz w:val="14"/>
                        <w:szCs w:val="14"/>
                      </w:rPr>
                    </w:pPr>
                    <w:r w:rsidRPr="00A0098F">
                      <w:rPr>
                        <w:sz w:val="14"/>
                        <w:szCs w:val="14"/>
                      </w:rPr>
                      <w:t>0</w:t>
                    </w:r>
                  </w:p>
                </w:tc>
                <w:tc>
                  <w:tcPr>
                    <w:tcW w:w="1391" w:type="dxa"/>
                    <w:vAlign w:val="center"/>
                  </w:tcPr>
                  <w:p w:rsidR="00021A19" w:rsidRPr="00A0098F" w:rsidRDefault="00021A19" w:rsidP="00021A19">
                    <w:pPr>
                      <w:jc w:val="right"/>
                      <w:rPr>
                        <w:sz w:val="14"/>
                        <w:szCs w:val="14"/>
                      </w:rPr>
                    </w:pPr>
                    <w:r w:rsidRPr="00A0098F">
                      <w:rPr>
                        <w:sz w:val="14"/>
                        <w:szCs w:val="14"/>
                      </w:rPr>
                      <w:t>0</w:t>
                    </w:r>
                  </w:p>
                </w:tc>
                <w:tc>
                  <w:tcPr>
                    <w:tcW w:w="1377" w:type="dxa"/>
                    <w:vAlign w:val="center"/>
                  </w:tcPr>
                  <w:p w:rsidR="00021A19" w:rsidRPr="00A0098F" w:rsidRDefault="00021A19" w:rsidP="00021A19">
                    <w:pPr>
                      <w:jc w:val="right"/>
                      <w:rPr>
                        <w:sz w:val="14"/>
                        <w:szCs w:val="14"/>
                      </w:rPr>
                    </w:pPr>
                    <w:r w:rsidRPr="00A0098F">
                      <w:rPr>
                        <w:sz w:val="14"/>
                        <w:szCs w:val="14"/>
                      </w:rPr>
                      <w:t>0</w:t>
                    </w:r>
                  </w:p>
                </w:tc>
                <w:tc>
                  <w:tcPr>
                    <w:tcW w:w="1391" w:type="dxa"/>
                    <w:vAlign w:val="center"/>
                  </w:tcPr>
                  <w:p w:rsidR="00021A19" w:rsidRPr="00A0098F" w:rsidRDefault="00021A19" w:rsidP="00021A19">
                    <w:pPr>
                      <w:jc w:val="right"/>
                      <w:rPr>
                        <w:sz w:val="14"/>
                        <w:szCs w:val="14"/>
                      </w:rPr>
                    </w:pPr>
                    <w:r w:rsidRPr="00A0098F">
                      <w:rPr>
                        <w:sz w:val="14"/>
                        <w:szCs w:val="14"/>
                      </w:rPr>
                      <w:t>0</w:t>
                    </w:r>
                  </w:p>
                </w:tc>
                <w:tc>
                  <w:tcPr>
                    <w:tcW w:w="1376" w:type="dxa"/>
                    <w:vAlign w:val="center"/>
                  </w:tcPr>
                  <w:p w:rsidR="00021A19" w:rsidRPr="00A0098F" w:rsidRDefault="00021A19" w:rsidP="00021A19">
                    <w:pPr>
                      <w:jc w:val="right"/>
                      <w:rPr>
                        <w:sz w:val="14"/>
                        <w:szCs w:val="14"/>
                      </w:rPr>
                    </w:pPr>
                    <w:r w:rsidRPr="00A0098F">
                      <w:rPr>
                        <w:sz w:val="14"/>
                        <w:szCs w:val="14"/>
                      </w:rPr>
                      <w:t>0</w:t>
                    </w:r>
                  </w:p>
                </w:tc>
                <w:tc>
                  <w:tcPr>
                    <w:tcW w:w="1363" w:type="dxa"/>
                    <w:vAlign w:val="center"/>
                  </w:tcPr>
                  <w:p w:rsidR="00021A19" w:rsidRPr="00A0098F" w:rsidRDefault="00021A19" w:rsidP="00021A19">
                    <w:pPr>
                      <w:jc w:val="right"/>
                      <w:rPr>
                        <w:sz w:val="14"/>
                        <w:szCs w:val="14"/>
                      </w:rPr>
                    </w:pPr>
                    <w:r w:rsidRPr="00A0098F">
                      <w:rPr>
                        <w:sz w:val="14"/>
                        <w:szCs w:val="14"/>
                      </w:rPr>
                      <w:t>0</w:t>
                    </w:r>
                  </w:p>
                </w:tc>
                <w:tc>
                  <w:tcPr>
                    <w:tcW w:w="1381" w:type="dxa"/>
                    <w:vAlign w:val="center"/>
                  </w:tcPr>
                  <w:p w:rsidR="00021A19" w:rsidRPr="00A0098F" w:rsidRDefault="00021A19" w:rsidP="00021A19">
                    <w:pPr>
                      <w:jc w:val="right"/>
                      <w:rPr>
                        <w:sz w:val="14"/>
                        <w:szCs w:val="14"/>
                      </w:rPr>
                    </w:pPr>
                    <w:r w:rsidRPr="00A0098F">
                      <w:rPr>
                        <w:sz w:val="14"/>
                        <w:szCs w:val="14"/>
                      </w:rPr>
                      <w:t>0</w:t>
                    </w:r>
                  </w:p>
                </w:tc>
              </w:tr>
              <w:tr w:rsidR="00021A19" w:rsidRPr="00A0098F" w:rsidTr="00601D47">
                <w:trPr>
                  <w:trHeight w:val="20"/>
                </w:trPr>
                <w:tc>
                  <w:tcPr>
                    <w:tcW w:w="2749" w:type="dxa"/>
                  </w:tcPr>
                  <w:sdt>
                    <w:sdtPr>
                      <w:rPr>
                        <w:sz w:val="14"/>
                        <w:szCs w:val="14"/>
                      </w:rPr>
                      <w:tag w:val="_PLD_a5cd874c23c44b928dffd9bc4a74c38d"/>
                      <w:id w:val="-1826049425"/>
                      <w:lock w:val="sdtLocked"/>
                    </w:sdtPr>
                    <w:sdtContent>
                      <w:p w:rsidR="00021A19" w:rsidRPr="00A0098F" w:rsidRDefault="00021A19" w:rsidP="00021A19">
                        <w:pPr>
                          <w:rPr>
                            <w:sz w:val="14"/>
                            <w:szCs w:val="14"/>
                          </w:rPr>
                        </w:pPr>
                        <w:r w:rsidRPr="00A0098F">
                          <w:rPr>
                            <w:sz w:val="14"/>
                            <w:szCs w:val="14"/>
                          </w:rPr>
                          <w:t>6．其他</w:t>
                        </w:r>
                      </w:p>
                    </w:sdtContent>
                  </w:sdt>
                </w:tc>
                <w:tc>
                  <w:tcPr>
                    <w:tcW w:w="1431" w:type="dxa"/>
                    <w:tcBorders>
                      <w:right w:val="single" w:sz="4" w:space="0" w:color="auto"/>
                    </w:tcBorders>
                    <w:vAlign w:val="center"/>
                  </w:tcPr>
                  <w:p w:rsidR="00021A19" w:rsidRPr="00A0098F" w:rsidRDefault="00021A19" w:rsidP="00021A19">
                    <w:pPr>
                      <w:jc w:val="right"/>
                      <w:rPr>
                        <w:sz w:val="14"/>
                        <w:szCs w:val="14"/>
                      </w:rPr>
                    </w:pPr>
                    <w:r w:rsidRPr="00A0098F">
                      <w:rPr>
                        <w:sz w:val="14"/>
                        <w:szCs w:val="14"/>
                      </w:rPr>
                      <w:t>0</w:t>
                    </w:r>
                  </w:p>
                </w:tc>
                <w:tc>
                  <w:tcPr>
                    <w:tcW w:w="1445" w:type="dxa"/>
                    <w:tcBorders>
                      <w:left w:val="single" w:sz="4" w:space="0" w:color="auto"/>
                    </w:tcBorders>
                    <w:vAlign w:val="center"/>
                  </w:tcPr>
                  <w:p w:rsidR="00021A19" w:rsidRPr="00A0098F" w:rsidRDefault="00021A19" w:rsidP="00021A19">
                    <w:pPr>
                      <w:jc w:val="right"/>
                      <w:rPr>
                        <w:sz w:val="14"/>
                        <w:szCs w:val="14"/>
                      </w:rPr>
                    </w:pPr>
                    <w:r w:rsidRPr="00A0098F">
                      <w:rPr>
                        <w:sz w:val="14"/>
                        <w:szCs w:val="14"/>
                      </w:rPr>
                      <w:t>0</w:t>
                    </w:r>
                  </w:p>
                </w:tc>
                <w:tc>
                  <w:tcPr>
                    <w:tcW w:w="1391" w:type="dxa"/>
                    <w:vAlign w:val="center"/>
                  </w:tcPr>
                  <w:p w:rsidR="00021A19" w:rsidRPr="00A0098F" w:rsidRDefault="00021A19" w:rsidP="00021A19">
                    <w:pPr>
                      <w:jc w:val="right"/>
                      <w:rPr>
                        <w:sz w:val="14"/>
                        <w:szCs w:val="14"/>
                      </w:rPr>
                    </w:pPr>
                    <w:r w:rsidRPr="00A0098F">
                      <w:rPr>
                        <w:sz w:val="14"/>
                        <w:szCs w:val="14"/>
                      </w:rPr>
                      <w:t>0</w:t>
                    </w:r>
                  </w:p>
                </w:tc>
                <w:tc>
                  <w:tcPr>
                    <w:tcW w:w="1377" w:type="dxa"/>
                    <w:vAlign w:val="center"/>
                  </w:tcPr>
                  <w:p w:rsidR="00021A19" w:rsidRPr="00A0098F" w:rsidRDefault="00021A19" w:rsidP="00021A19">
                    <w:pPr>
                      <w:jc w:val="right"/>
                      <w:rPr>
                        <w:sz w:val="14"/>
                        <w:szCs w:val="14"/>
                      </w:rPr>
                    </w:pPr>
                    <w:r w:rsidRPr="00A0098F">
                      <w:rPr>
                        <w:sz w:val="14"/>
                        <w:szCs w:val="14"/>
                      </w:rPr>
                      <w:t>0</w:t>
                    </w:r>
                  </w:p>
                </w:tc>
                <w:tc>
                  <w:tcPr>
                    <w:tcW w:w="1391" w:type="dxa"/>
                    <w:vAlign w:val="center"/>
                  </w:tcPr>
                  <w:p w:rsidR="00021A19" w:rsidRPr="00A0098F" w:rsidRDefault="00021A19" w:rsidP="00021A19">
                    <w:pPr>
                      <w:jc w:val="right"/>
                      <w:rPr>
                        <w:sz w:val="14"/>
                        <w:szCs w:val="14"/>
                      </w:rPr>
                    </w:pPr>
                    <w:r w:rsidRPr="00A0098F">
                      <w:rPr>
                        <w:sz w:val="14"/>
                        <w:szCs w:val="14"/>
                      </w:rPr>
                      <w:t>0</w:t>
                    </w:r>
                  </w:p>
                </w:tc>
                <w:tc>
                  <w:tcPr>
                    <w:tcW w:w="1376" w:type="dxa"/>
                    <w:vAlign w:val="center"/>
                  </w:tcPr>
                  <w:p w:rsidR="00021A19" w:rsidRPr="00A0098F" w:rsidRDefault="00021A19" w:rsidP="00021A19">
                    <w:pPr>
                      <w:jc w:val="right"/>
                      <w:rPr>
                        <w:sz w:val="14"/>
                        <w:szCs w:val="14"/>
                      </w:rPr>
                    </w:pPr>
                    <w:r w:rsidRPr="00A0098F">
                      <w:rPr>
                        <w:sz w:val="14"/>
                        <w:szCs w:val="14"/>
                      </w:rPr>
                      <w:t>0</w:t>
                    </w:r>
                  </w:p>
                </w:tc>
                <w:tc>
                  <w:tcPr>
                    <w:tcW w:w="1363" w:type="dxa"/>
                    <w:vAlign w:val="center"/>
                  </w:tcPr>
                  <w:p w:rsidR="00021A19" w:rsidRPr="00A0098F" w:rsidRDefault="00021A19" w:rsidP="00021A19">
                    <w:pPr>
                      <w:jc w:val="right"/>
                      <w:rPr>
                        <w:sz w:val="14"/>
                        <w:szCs w:val="14"/>
                      </w:rPr>
                    </w:pPr>
                    <w:r w:rsidRPr="00A0098F">
                      <w:rPr>
                        <w:sz w:val="14"/>
                        <w:szCs w:val="14"/>
                      </w:rPr>
                      <w:t>0</w:t>
                    </w:r>
                  </w:p>
                </w:tc>
                <w:tc>
                  <w:tcPr>
                    <w:tcW w:w="1381" w:type="dxa"/>
                    <w:vAlign w:val="center"/>
                  </w:tcPr>
                  <w:p w:rsidR="00021A19" w:rsidRPr="00A0098F" w:rsidRDefault="00021A19" w:rsidP="00021A19">
                    <w:pPr>
                      <w:jc w:val="right"/>
                      <w:rPr>
                        <w:sz w:val="14"/>
                        <w:szCs w:val="14"/>
                      </w:rPr>
                    </w:pPr>
                    <w:r w:rsidRPr="00A0098F">
                      <w:rPr>
                        <w:sz w:val="14"/>
                        <w:szCs w:val="14"/>
                      </w:rPr>
                      <w:t>0</w:t>
                    </w:r>
                  </w:p>
                </w:tc>
              </w:tr>
              <w:tr w:rsidR="00021A19" w:rsidRPr="00A0098F" w:rsidTr="00601D47">
                <w:trPr>
                  <w:trHeight w:val="20"/>
                </w:trPr>
                <w:sdt>
                  <w:sdtPr>
                    <w:rPr>
                      <w:sz w:val="14"/>
                      <w:szCs w:val="14"/>
                    </w:rPr>
                    <w:tag w:val="_PLD_b6b13ecec0044452bf1609cb679a8ac5"/>
                    <w:id w:val="-1186140117"/>
                    <w:lock w:val="sdtLocked"/>
                  </w:sdtPr>
                  <w:sdtContent>
                    <w:tc>
                      <w:tcPr>
                        <w:tcW w:w="2749" w:type="dxa"/>
                        <w:vAlign w:val="center"/>
                      </w:tcPr>
                      <w:p w:rsidR="00021A19" w:rsidRPr="00A0098F" w:rsidRDefault="00021A19" w:rsidP="00021A19">
                        <w:pPr>
                          <w:rPr>
                            <w:sz w:val="14"/>
                            <w:szCs w:val="14"/>
                          </w:rPr>
                        </w:pPr>
                        <w:r w:rsidRPr="00A0098F">
                          <w:rPr>
                            <w:rFonts w:hint="eastAsia"/>
                            <w:sz w:val="14"/>
                            <w:szCs w:val="14"/>
                          </w:rPr>
                          <w:t>（五）专项储备</w:t>
                        </w:r>
                      </w:p>
                    </w:tc>
                  </w:sdtContent>
                </w:sdt>
                <w:tc>
                  <w:tcPr>
                    <w:tcW w:w="1431" w:type="dxa"/>
                    <w:tcBorders>
                      <w:right w:val="single" w:sz="4" w:space="0" w:color="auto"/>
                    </w:tcBorders>
                    <w:vAlign w:val="center"/>
                  </w:tcPr>
                  <w:p w:rsidR="00021A19" w:rsidRPr="00A0098F" w:rsidRDefault="00021A19" w:rsidP="00021A19">
                    <w:pPr>
                      <w:jc w:val="right"/>
                      <w:rPr>
                        <w:sz w:val="14"/>
                        <w:szCs w:val="14"/>
                      </w:rPr>
                    </w:pPr>
                    <w:r w:rsidRPr="00A0098F">
                      <w:rPr>
                        <w:sz w:val="14"/>
                        <w:szCs w:val="14"/>
                      </w:rPr>
                      <w:t>0</w:t>
                    </w:r>
                  </w:p>
                </w:tc>
                <w:tc>
                  <w:tcPr>
                    <w:tcW w:w="1445" w:type="dxa"/>
                    <w:tcBorders>
                      <w:left w:val="single" w:sz="4" w:space="0" w:color="auto"/>
                    </w:tcBorders>
                    <w:vAlign w:val="center"/>
                  </w:tcPr>
                  <w:p w:rsidR="00021A19" w:rsidRPr="00A0098F" w:rsidRDefault="00021A19" w:rsidP="00021A19">
                    <w:pPr>
                      <w:jc w:val="right"/>
                      <w:rPr>
                        <w:sz w:val="14"/>
                        <w:szCs w:val="14"/>
                      </w:rPr>
                    </w:pPr>
                    <w:r w:rsidRPr="00A0098F">
                      <w:rPr>
                        <w:sz w:val="14"/>
                        <w:szCs w:val="14"/>
                      </w:rPr>
                      <w:t>0</w:t>
                    </w:r>
                  </w:p>
                </w:tc>
                <w:tc>
                  <w:tcPr>
                    <w:tcW w:w="1391" w:type="dxa"/>
                    <w:vAlign w:val="center"/>
                  </w:tcPr>
                  <w:p w:rsidR="00021A19" w:rsidRPr="00A0098F" w:rsidRDefault="00021A19" w:rsidP="00021A19">
                    <w:pPr>
                      <w:jc w:val="right"/>
                      <w:rPr>
                        <w:sz w:val="14"/>
                        <w:szCs w:val="14"/>
                      </w:rPr>
                    </w:pPr>
                    <w:r w:rsidRPr="00A0098F">
                      <w:rPr>
                        <w:sz w:val="14"/>
                        <w:szCs w:val="14"/>
                      </w:rPr>
                      <w:t>0</w:t>
                    </w:r>
                  </w:p>
                </w:tc>
                <w:tc>
                  <w:tcPr>
                    <w:tcW w:w="1377" w:type="dxa"/>
                    <w:vAlign w:val="center"/>
                  </w:tcPr>
                  <w:p w:rsidR="00021A19" w:rsidRPr="00A0098F" w:rsidRDefault="00021A19" w:rsidP="00021A19">
                    <w:pPr>
                      <w:jc w:val="right"/>
                      <w:rPr>
                        <w:sz w:val="14"/>
                        <w:szCs w:val="14"/>
                      </w:rPr>
                    </w:pPr>
                    <w:r w:rsidRPr="00A0098F">
                      <w:rPr>
                        <w:sz w:val="14"/>
                        <w:szCs w:val="14"/>
                      </w:rPr>
                      <w:t>0</w:t>
                    </w:r>
                  </w:p>
                </w:tc>
                <w:tc>
                  <w:tcPr>
                    <w:tcW w:w="1391" w:type="dxa"/>
                    <w:vAlign w:val="center"/>
                  </w:tcPr>
                  <w:p w:rsidR="00021A19" w:rsidRPr="00A0098F" w:rsidRDefault="00021A19" w:rsidP="00021A19">
                    <w:pPr>
                      <w:jc w:val="right"/>
                      <w:rPr>
                        <w:sz w:val="14"/>
                        <w:szCs w:val="14"/>
                      </w:rPr>
                    </w:pPr>
                    <w:r w:rsidRPr="00A0098F">
                      <w:rPr>
                        <w:sz w:val="14"/>
                        <w:szCs w:val="14"/>
                      </w:rPr>
                      <w:t>147,499,916</w:t>
                    </w:r>
                  </w:p>
                </w:tc>
                <w:tc>
                  <w:tcPr>
                    <w:tcW w:w="1376" w:type="dxa"/>
                    <w:vAlign w:val="center"/>
                  </w:tcPr>
                  <w:p w:rsidR="00021A19" w:rsidRPr="00A0098F" w:rsidRDefault="00021A19" w:rsidP="00021A19">
                    <w:pPr>
                      <w:jc w:val="right"/>
                      <w:rPr>
                        <w:sz w:val="14"/>
                        <w:szCs w:val="14"/>
                      </w:rPr>
                    </w:pPr>
                    <w:r w:rsidRPr="00A0098F">
                      <w:rPr>
                        <w:sz w:val="14"/>
                        <w:szCs w:val="14"/>
                      </w:rPr>
                      <w:t>0</w:t>
                    </w:r>
                  </w:p>
                </w:tc>
                <w:tc>
                  <w:tcPr>
                    <w:tcW w:w="1363" w:type="dxa"/>
                    <w:vAlign w:val="center"/>
                  </w:tcPr>
                  <w:p w:rsidR="00021A19" w:rsidRPr="00A0098F" w:rsidRDefault="00021A19" w:rsidP="00021A19">
                    <w:pPr>
                      <w:jc w:val="right"/>
                      <w:rPr>
                        <w:sz w:val="14"/>
                        <w:szCs w:val="14"/>
                      </w:rPr>
                    </w:pPr>
                    <w:r w:rsidRPr="00A0098F">
                      <w:rPr>
                        <w:sz w:val="14"/>
                        <w:szCs w:val="14"/>
                      </w:rPr>
                      <w:t>0</w:t>
                    </w:r>
                  </w:p>
                </w:tc>
                <w:tc>
                  <w:tcPr>
                    <w:tcW w:w="1381" w:type="dxa"/>
                    <w:vAlign w:val="center"/>
                  </w:tcPr>
                  <w:p w:rsidR="00021A19" w:rsidRPr="00A0098F" w:rsidRDefault="00021A19" w:rsidP="00021A19">
                    <w:pPr>
                      <w:jc w:val="right"/>
                      <w:rPr>
                        <w:sz w:val="14"/>
                        <w:szCs w:val="14"/>
                      </w:rPr>
                    </w:pPr>
                    <w:r w:rsidRPr="00A0098F">
                      <w:rPr>
                        <w:sz w:val="14"/>
                        <w:szCs w:val="14"/>
                      </w:rPr>
                      <w:t>147,499,916</w:t>
                    </w:r>
                  </w:p>
                </w:tc>
              </w:tr>
              <w:tr w:rsidR="00021A19" w:rsidRPr="00A0098F" w:rsidTr="00601D47">
                <w:trPr>
                  <w:trHeight w:val="20"/>
                </w:trPr>
                <w:sdt>
                  <w:sdtPr>
                    <w:rPr>
                      <w:sz w:val="14"/>
                      <w:szCs w:val="14"/>
                    </w:rPr>
                    <w:tag w:val="_PLD_cbede54ab9934d5ea45cda3f59593c28"/>
                    <w:id w:val="395251829"/>
                    <w:lock w:val="sdtLocked"/>
                  </w:sdtPr>
                  <w:sdtContent>
                    <w:tc>
                      <w:tcPr>
                        <w:tcW w:w="2749" w:type="dxa"/>
                        <w:vAlign w:val="center"/>
                      </w:tcPr>
                      <w:p w:rsidR="00021A19" w:rsidRPr="00A0098F" w:rsidRDefault="00021A19" w:rsidP="00021A19">
                        <w:pPr>
                          <w:rPr>
                            <w:sz w:val="14"/>
                            <w:szCs w:val="14"/>
                          </w:rPr>
                        </w:pPr>
                        <w:r w:rsidRPr="00A0098F">
                          <w:rPr>
                            <w:rFonts w:hint="eastAsia"/>
                            <w:sz w:val="14"/>
                            <w:szCs w:val="14"/>
                          </w:rPr>
                          <w:t>1．本期提取</w:t>
                        </w:r>
                      </w:p>
                    </w:tc>
                  </w:sdtContent>
                </w:sdt>
                <w:tc>
                  <w:tcPr>
                    <w:tcW w:w="1431" w:type="dxa"/>
                    <w:tcBorders>
                      <w:right w:val="single" w:sz="4" w:space="0" w:color="auto"/>
                    </w:tcBorders>
                    <w:vAlign w:val="center"/>
                  </w:tcPr>
                  <w:p w:rsidR="00021A19" w:rsidRPr="00A0098F" w:rsidRDefault="00021A19" w:rsidP="00021A19">
                    <w:pPr>
                      <w:jc w:val="right"/>
                      <w:rPr>
                        <w:sz w:val="14"/>
                        <w:szCs w:val="14"/>
                      </w:rPr>
                    </w:pPr>
                    <w:r w:rsidRPr="00A0098F">
                      <w:rPr>
                        <w:sz w:val="14"/>
                        <w:szCs w:val="14"/>
                      </w:rPr>
                      <w:t>0</w:t>
                    </w:r>
                  </w:p>
                </w:tc>
                <w:tc>
                  <w:tcPr>
                    <w:tcW w:w="1445" w:type="dxa"/>
                    <w:tcBorders>
                      <w:left w:val="single" w:sz="4" w:space="0" w:color="auto"/>
                    </w:tcBorders>
                    <w:vAlign w:val="center"/>
                  </w:tcPr>
                  <w:p w:rsidR="00021A19" w:rsidRPr="00A0098F" w:rsidRDefault="00021A19" w:rsidP="00021A19">
                    <w:pPr>
                      <w:jc w:val="right"/>
                      <w:rPr>
                        <w:sz w:val="14"/>
                        <w:szCs w:val="14"/>
                      </w:rPr>
                    </w:pPr>
                    <w:r w:rsidRPr="00A0098F">
                      <w:rPr>
                        <w:sz w:val="14"/>
                        <w:szCs w:val="14"/>
                      </w:rPr>
                      <w:t>0</w:t>
                    </w:r>
                  </w:p>
                </w:tc>
                <w:tc>
                  <w:tcPr>
                    <w:tcW w:w="1391" w:type="dxa"/>
                    <w:vAlign w:val="center"/>
                  </w:tcPr>
                  <w:p w:rsidR="00021A19" w:rsidRPr="00A0098F" w:rsidRDefault="00021A19" w:rsidP="00021A19">
                    <w:pPr>
                      <w:jc w:val="right"/>
                      <w:rPr>
                        <w:sz w:val="14"/>
                        <w:szCs w:val="14"/>
                      </w:rPr>
                    </w:pPr>
                    <w:r w:rsidRPr="00A0098F">
                      <w:rPr>
                        <w:sz w:val="14"/>
                        <w:szCs w:val="14"/>
                      </w:rPr>
                      <w:t>0</w:t>
                    </w:r>
                  </w:p>
                </w:tc>
                <w:tc>
                  <w:tcPr>
                    <w:tcW w:w="1377" w:type="dxa"/>
                    <w:vAlign w:val="center"/>
                  </w:tcPr>
                  <w:p w:rsidR="00021A19" w:rsidRPr="00A0098F" w:rsidRDefault="00021A19" w:rsidP="00021A19">
                    <w:pPr>
                      <w:jc w:val="right"/>
                      <w:rPr>
                        <w:sz w:val="14"/>
                        <w:szCs w:val="14"/>
                      </w:rPr>
                    </w:pPr>
                    <w:r w:rsidRPr="00A0098F">
                      <w:rPr>
                        <w:sz w:val="14"/>
                        <w:szCs w:val="14"/>
                      </w:rPr>
                      <w:t>0</w:t>
                    </w:r>
                  </w:p>
                </w:tc>
                <w:tc>
                  <w:tcPr>
                    <w:tcW w:w="1391" w:type="dxa"/>
                    <w:vAlign w:val="center"/>
                  </w:tcPr>
                  <w:p w:rsidR="00021A19" w:rsidRPr="00A0098F" w:rsidRDefault="00021A19" w:rsidP="00021A19">
                    <w:pPr>
                      <w:jc w:val="right"/>
                      <w:rPr>
                        <w:sz w:val="14"/>
                        <w:szCs w:val="14"/>
                      </w:rPr>
                    </w:pPr>
                    <w:r w:rsidRPr="00A0098F">
                      <w:rPr>
                        <w:sz w:val="14"/>
                        <w:szCs w:val="14"/>
                      </w:rPr>
                      <w:t>623,883,065</w:t>
                    </w:r>
                  </w:p>
                </w:tc>
                <w:tc>
                  <w:tcPr>
                    <w:tcW w:w="1376" w:type="dxa"/>
                    <w:vAlign w:val="center"/>
                  </w:tcPr>
                  <w:p w:rsidR="00021A19" w:rsidRPr="00A0098F" w:rsidRDefault="00021A19" w:rsidP="00021A19">
                    <w:pPr>
                      <w:jc w:val="right"/>
                      <w:rPr>
                        <w:sz w:val="14"/>
                        <w:szCs w:val="14"/>
                      </w:rPr>
                    </w:pPr>
                    <w:r w:rsidRPr="00A0098F">
                      <w:rPr>
                        <w:sz w:val="14"/>
                        <w:szCs w:val="14"/>
                      </w:rPr>
                      <w:t>0</w:t>
                    </w:r>
                  </w:p>
                </w:tc>
                <w:tc>
                  <w:tcPr>
                    <w:tcW w:w="1363" w:type="dxa"/>
                    <w:vAlign w:val="center"/>
                  </w:tcPr>
                  <w:p w:rsidR="00021A19" w:rsidRPr="00A0098F" w:rsidRDefault="00021A19" w:rsidP="00021A19">
                    <w:pPr>
                      <w:jc w:val="right"/>
                      <w:rPr>
                        <w:sz w:val="14"/>
                        <w:szCs w:val="14"/>
                      </w:rPr>
                    </w:pPr>
                    <w:r w:rsidRPr="00A0098F">
                      <w:rPr>
                        <w:sz w:val="14"/>
                        <w:szCs w:val="14"/>
                      </w:rPr>
                      <w:t>0</w:t>
                    </w:r>
                  </w:p>
                </w:tc>
                <w:tc>
                  <w:tcPr>
                    <w:tcW w:w="1381" w:type="dxa"/>
                    <w:vAlign w:val="center"/>
                  </w:tcPr>
                  <w:p w:rsidR="00021A19" w:rsidRPr="00A0098F" w:rsidRDefault="00021A19" w:rsidP="00021A19">
                    <w:pPr>
                      <w:jc w:val="right"/>
                      <w:rPr>
                        <w:sz w:val="14"/>
                        <w:szCs w:val="14"/>
                      </w:rPr>
                    </w:pPr>
                    <w:r w:rsidRPr="00A0098F">
                      <w:rPr>
                        <w:sz w:val="14"/>
                        <w:szCs w:val="14"/>
                      </w:rPr>
                      <w:t>623,883,065</w:t>
                    </w:r>
                  </w:p>
                </w:tc>
              </w:tr>
              <w:tr w:rsidR="00021A19" w:rsidRPr="00A0098F" w:rsidTr="00601D47">
                <w:trPr>
                  <w:trHeight w:val="20"/>
                </w:trPr>
                <w:sdt>
                  <w:sdtPr>
                    <w:rPr>
                      <w:sz w:val="14"/>
                      <w:szCs w:val="14"/>
                    </w:rPr>
                    <w:tag w:val="_PLD_7900abe823e94277be091b3f1c7a54a5"/>
                    <w:id w:val="-1434126569"/>
                    <w:lock w:val="sdtLocked"/>
                  </w:sdtPr>
                  <w:sdtContent>
                    <w:tc>
                      <w:tcPr>
                        <w:tcW w:w="2749" w:type="dxa"/>
                        <w:vAlign w:val="center"/>
                      </w:tcPr>
                      <w:p w:rsidR="00021A19" w:rsidRPr="00A0098F" w:rsidRDefault="00021A19" w:rsidP="00021A19">
                        <w:pPr>
                          <w:rPr>
                            <w:sz w:val="14"/>
                            <w:szCs w:val="14"/>
                          </w:rPr>
                        </w:pPr>
                        <w:r w:rsidRPr="00A0098F">
                          <w:rPr>
                            <w:rFonts w:hint="eastAsia"/>
                            <w:sz w:val="14"/>
                            <w:szCs w:val="14"/>
                          </w:rPr>
                          <w:t>2．本期使用</w:t>
                        </w:r>
                      </w:p>
                    </w:tc>
                  </w:sdtContent>
                </w:sdt>
                <w:tc>
                  <w:tcPr>
                    <w:tcW w:w="1431" w:type="dxa"/>
                    <w:tcBorders>
                      <w:right w:val="single" w:sz="4" w:space="0" w:color="auto"/>
                    </w:tcBorders>
                    <w:vAlign w:val="center"/>
                  </w:tcPr>
                  <w:p w:rsidR="00021A19" w:rsidRPr="00A0098F" w:rsidRDefault="00021A19" w:rsidP="00021A19">
                    <w:pPr>
                      <w:jc w:val="right"/>
                      <w:rPr>
                        <w:sz w:val="14"/>
                        <w:szCs w:val="14"/>
                      </w:rPr>
                    </w:pPr>
                    <w:r w:rsidRPr="00A0098F">
                      <w:rPr>
                        <w:sz w:val="14"/>
                        <w:szCs w:val="14"/>
                      </w:rPr>
                      <w:t>0</w:t>
                    </w:r>
                  </w:p>
                </w:tc>
                <w:tc>
                  <w:tcPr>
                    <w:tcW w:w="1445" w:type="dxa"/>
                    <w:tcBorders>
                      <w:left w:val="single" w:sz="4" w:space="0" w:color="auto"/>
                    </w:tcBorders>
                    <w:vAlign w:val="center"/>
                  </w:tcPr>
                  <w:p w:rsidR="00021A19" w:rsidRPr="00A0098F" w:rsidRDefault="00021A19" w:rsidP="00021A19">
                    <w:pPr>
                      <w:jc w:val="right"/>
                      <w:rPr>
                        <w:sz w:val="14"/>
                        <w:szCs w:val="14"/>
                      </w:rPr>
                    </w:pPr>
                    <w:r w:rsidRPr="00A0098F">
                      <w:rPr>
                        <w:sz w:val="14"/>
                        <w:szCs w:val="14"/>
                      </w:rPr>
                      <w:t>0</w:t>
                    </w:r>
                  </w:p>
                </w:tc>
                <w:tc>
                  <w:tcPr>
                    <w:tcW w:w="1391" w:type="dxa"/>
                    <w:vAlign w:val="center"/>
                  </w:tcPr>
                  <w:p w:rsidR="00021A19" w:rsidRPr="00A0098F" w:rsidRDefault="00021A19" w:rsidP="00021A19">
                    <w:pPr>
                      <w:jc w:val="right"/>
                      <w:rPr>
                        <w:sz w:val="14"/>
                        <w:szCs w:val="14"/>
                      </w:rPr>
                    </w:pPr>
                    <w:r w:rsidRPr="00A0098F">
                      <w:rPr>
                        <w:sz w:val="14"/>
                        <w:szCs w:val="14"/>
                      </w:rPr>
                      <w:t>0</w:t>
                    </w:r>
                  </w:p>
                </w:tc>
                <w:tc>
                  <w:tcPr>
                    <w:tcW w:w="1377" w:type="dxa"/>
                    <w:vAlign w:val="center"/>
                  </w:tcPr>
                  <w:p w:rsidR="00021A19" w:rsidRPr="00A0098F" w:rsidRDefault="00021A19" w:rsidP="00021A19">
                    <w:pPr>
                      <w:jc w:val="right"/>
                      <w:rPr>
                        <w:sz w:val="14"/>
                        <w:szCs w:val="14"/>
                      </w:rPr>
                    </w:pPr>
                    <w:r w:rsidRPr="00A0098F">
                      <w:rPr>
                        <w:sz w:val="14"/>
                        <w:szCs w:val="14"/>
                      </w:rPr>
                      <w:t>0</w:t>
                    </w:r>
                  </w:p>
                </w:tc>
                <w:tc>
                  <w:tcPr>
                    <w:tcW w:w="1391" w:type="dxa"/>
                    <w:vAlign w:val="center"/>
                  </w:tcPr>
                  <w:p w:rsidR="00021A19" w:rsidRPr="00A0098F" w:rsidRDefault="00021A19" w:rsidP="00021A19">
                    <w:pPr>
                      <w:jc w:val="right"/>
                      <w:rPr>
                        <w:sz w:val="14"/>
                        <w:szCs w:val="14"/>
                      </w:rPr>
                    </w:pPr>
                    <w:r w:rsidRPr="00A0098F">
                      <w:rPr>
                        <w:sz w:val="14"/>
                        <w:szCs w:val="14"/>
                      </w:rPr>
                      <w:t>-476,383,149</w:t>
                    </w:r>
                  </w:p>
                </w:tc>
                <w:tc>
                  <w:tcPr>
                    <w:tcW w:w="1376" w:type="dxa"/>
                    <w:vAlign w:val="center"/>
                  </w:tcPr>
                  <w:p w:rsidR="00021A19" w:rsidRPr="00A0098F" w:rsidRDefault="00021A19" w:rsidP="00021A19">
                    <w:pPr>
                      <w:jc w:val="right"/>
                      <w:rPr>
                        <w:sz w:val="14"/>
                        <w:szCs w:val="14"/>
                      </w:rPr>
                    </w:pPr>
                    <w:r w:rsidRPr="00A0098F">
                      <w:rPr>
                        <w:sz w:val="14"/>
                        <w:szCs w:val="14"/>
                      </w:rPr>
                      <w:t>0</w:t>
                    </w:r>
                  </w:p>
                </w:tc>
                <w:tc>
                  <w:tcPr>
                    <w:tcW w:w="1363" w:type="dxa"/>
                    <w:vAlign w:val="center"/>
                  </w:tcPr>
                  <w:p w:rsidR="00021A19" w:rsidRPr="00A0098F" w:rsidRDefault="00021A19" w:rsidP="00021A19">
                    <w:pPr>
                      <w:jc w:val="right"/>
                      <w:rPr>
                        <w:sz w:val="14"/>
                        <w:szCs w:val="14"/>
                      </w:rPr>
                    </w:pPr>
                    <w:r w:rsidRPr="00A0098F">
                      <w:rPr>
                        <w:sz w:val="14"/>
                        <w:szCs w:val="14"/>
                      </w:rPr>
                      <w:t>0</w:t>
                    </w:r>
                  </w:p>
                </w:tc>
                <w:tc>
                  <w:tcPr>
                    <w:tcW w:w="1381" w:type="dxa"/>
                    <w:vAlign w:val="center"/>
                  </w:tcPr>
                  <w:p w:rsidR="00021A19" w:rsidRPr="00A0098F" w:rsidRDefault="00021A19" w:rsidP="00021A19">
                    <w:pPr>
                      <w:jc w:val="right"/>
                      <w:rPr>
                        <w:sz w:val="14"/>
                        <w:szCs w:val="14"/>
                      </w:rPr>
                    </w:pPr>
                    <w:r w:rsidRPr="00A0098F">
                      <w:rPr>
                        <w:sz w:val="14"/>
                        <w:szCs w:val="14"/>
                      </w:rPr>
                      <w:t>-476,383,149</w:t>
                    </w:r>
                  </w:p>
                </w:tc>
              </w:tr>
              <w:tr w:rsidR="00021A19" w:rsidRPr="00A0098F" w:rsidTr="00601D47">
                <w:trPr>
                  <w:trHeight w:val="20"/>
                </w:trPr>
                <w:sdt>
                  <w:sdtPr>
                    <w:rPr>
                      <w:sz w:val="14"/>
                      <w:szCs w:val="14"/>
                    </w:rPr>
                    <w:tag w:val="_PLD_7cf659a70268475ea7233d8b82adad5a"/>
                    <w:id w:val="-1813547909"/>
                    <w:lock w:val="sdtLocked"/>
                  </w:sdtPr>
                  <w:sdtContent>
                    <w:tc>
                      <w:tcPr>
                        <w:tcW w:w="2749" w:type="dxa"/>
                      </w:tcPr>
                      <w:p w:rsidR="00021A19" w:rsidRPr="00A0098F" w:rsidRDefault="00021A19" w:rsidP="00021A19">
                        <w:pPr>
                          <w:rPr>
                            <w:sz w:val="14"/>
                            <w:szCs w:val="14"/>
                          </w:rPr>
                        </w:pPr>
                        <w:r w:rsidRPr="00A0098F">
                          <w:rPr>
                            <w:rFonts w:hint="eastAsia"/>
                            <w:sz w:val="14"/>
                            <w:szCs w:val="14"/>
                          </w:rPr>
                          <w:t>（六）其他</w:t>
                        </w:r>
                      </w:p>
                    </w:tc>
                  </w:sdtContent>
                </w:sdt>
                <w:tc>
                  <w:tcPr>
                    <w:tcW w:w="1431" w:type="dxa"/>
                    <w:tcBorders>
                      <w:right w:val="single" w:sz="4" w:space="0" w:color="auto"/>
                    </w:tcBorders>
                    <w:vAlign w:val="center"/>
                  </w:tcPr>
                  <w:p w:rsidR="00021A19" w:rsidRPr="00A0098F" w:rsidRDefault="00021A19" w:rsidP="00021A19">
                    <w:pPr>
                      <w:jc w:val="right"/>
                      <w:rPr>
                        <w:sz w:val="14"/>
                        <w:szCs w:val="14"/>
                      </w:rPr>
                    </w:pPr>
                    <w:r w:rsidRPr="00A0098F">
                      <w:rPr>
                        <w:sz w:val="14"/>
                        <w:szCs w:val="14"/>
                      </w:rPr>
                      <w:t>0</w:t>
                    </w:r>
                  </w:p>
                </w:tc>
                <w:tc>
                  <w:tcPr>
                    <w:tcW w:w="1445" w:type="dxa"/>
                    <w:tcBorders>
                      <w:left w:val="single" w:sz="4" w:space="0" w:color="auto"/>
                    </w:tcBorders>
                    <w:vAlign w:val="center"/>
                  </w:tcPr>
                  <w:p w:rsidR="00021A19" w:rsidRPr="00A0098F" w:rsidRDefault="00021A19" w:rsidP="00021A19">
                    <w:pPr>
                      <w:jc w:val="right"/>
                      <w:rPr>
                        <w:sz w:val="14"/>
                        <w:szCs w:val="14"/>
                      </w:rPr>
                    </w:pPr>
                    <w:r w:rsidRPr="00A0098F">
                      <w:rPr>
                        <w:sz w:val="14"/>
                        <w:szCs w:val="14"/>
                      </w:rPr>
                      <w:t>0</w:t>
                    </w:r>
                  </w:p>
                </w:tc>
                <w:tc>
                  <w:tcPr>
                    <w:tcW w:w="1391" w:type="dxa"/>
                    <w:vAlign w:val="center"/>
                  </w:tcPr>
                  <w:p w:rsidR="00021A19" w:rsidRPr="00A0098F" w:rsidRDefault="00021A19" w:rsidP="00021A19">
                    <w:pPr>
                      <w:jc w:val="right"/>
                      <w:rPr>
                        <w:sz w:val="14"/>
                        <w:szCs w:val="14"/>
                      </w:rPr>
                    </w:pPr>
                    <w:r w:rsidRPr="00A0098F">
                      <w:rPr>
                        <w:sz w:val="14"/>
                        <w:szCs w:val="14"/>
                      </w:rPr>
                      <w:t>3,073,312</w:t>
                    </w:r>
                  </w:p>
                </w:tc>
                <w:tc>
                  <w:tcPr>
                    <w:tcW w:w="1377" w:type="dxa"/>
                    <w:vAlign w:val="center"/>
                  </w:tcPr>
                  <w:p w:rsidR="00021A19" w:rsidRPr="00A0098F" w:rsidRDefault="00021A19" w:rsidP="00021A19">
                    <w:pPr>
                      <w:jc w:val="right"/>
                      <w:rPr>
                        <w:sz w:val="14"/>
                        <w:szCs w:val="14"/>
                      </w:rPr>
                    </w:pPr>
                    <w:r w:rsidRPr="00A0098F">
                      <w:rPr>
                        <w:sz w:val="14"/>
                        <w:szCs w:val="14"/>
                      </w:rPr>
                      <w:t>0</w:t>
                    </w:r>
                  </w:p>
                </w:tc>
                <w:tc>
                  <w:tcPr>
                    <w:tcW w:w="1391" w:type="dxa"/>
                    <w:vAlign w:val="center"/>
                  </w:tcPr>
                  <w:p w:rsidR="00021A19" w:rsidRPr="00A0098F" w:rsidRDefault="00021A19" w:rsidP="00021A19">
                    <w:pPr>
                      <w:jc w:val="right"/>
                      <w:rPr>
                        <w:sz w:val="14"/>
                        <w:szCs w:val="14"/>
                      </w:rPr>
                    </w:pPr>
                    <w:r w:rsidRPr="00A0098F">
                      <w:rPr>
                        <w:sz w:val="14"/>
                        <w:szCs w:val="14"/>
                      </w:rPr>
                      <w:t>0</w:t>
                    </w:r>
                  </w:p>
                </w:tc>
                <w:tc>
                  <w:tcPr>
                    <w:tcW w:w="1376" w:type="dxa"/>
                    <w:vAlign w:val="center"/>
                  </w:tcPr>
                  <w:p w:rsidR="00021A19" w:rsidRPr="00A0098F" w:rsidRDefault="00021A19" w:rsidP="00021A19">
                    <w:pPr>
                      <w:jc w:val="right"/>
                      <w:rPr>
                        <w:sz w:val="14"/>
                        <w:szCs w:val="14"/>
                      </w:rPr>
                    </w:pPr>
                    <w:r w:rsidRPr="00A0098F">
                      <w:rPr>
                        <w:sz w:val="14"/>
                        <w:szCs w:val="14"/>
                      </w:rPr>
                      <w:t>0</w:t>
                    </w:r>
                  </w:p>
                </w:tc>
                <w:tc>
                  <w:tcPr>
                    <w:tcW w:w="1363" w:type="dxa"/>
                    <w:vAlign w:val="center"/>
                  </w:tcPr>
                  <w:p w:rsidR="00021A19" w:rsidRPr="00A0098F" w:rsidRDefault="00021A19" w:rsidP="00021A19">
                    <w:pPr>
                      <w:jc w:val="right"/>
                      <w:rPr>
                        <w:sz w:val="14"/>
                        <w:szCs w:val="14"/>
                      </w:rPr>
                    </w:pPr>
                    <w:r w:rsidRPr="00A0098F">
                      <w:rPr>
                        <w:sz w:val="14"/>
                        <w:szCs w:val="14"/>
                      </w:rPr>
                      <w:t>-975,551,218</w:t>
                    </w:r>
                  </w:p>
                </w:tc>
                <w:tc>
                  <w:tcPr>
                    <w:tcW w:w="1381" w:type="dxa"/>
                    <w:vAlign w:val="center"/>
                  </w:tcPr>
                  <w:p w:rsidR="00021A19" w:rsidRPr="00A0098F" w:rsidRDefault="00021A19" w:rsidP="00021A19">
                    <w:pPr>
                      <w:jc w:val="right"/>
                      <w:rPr>
                        <w:sz w:val="14"/>
                        <w:szCs w:val="14"/>
                      </w:rPr>
                    </w:pPr>
                    <w:r w:rsidRPr="00A0098F">
                      <w:rPr>
                        <w:sz w:val="14"/>
                        <w:szCs w:val="14"/>
                      </w:rPr>
                      <w:t>-972,477,906</w:t>
                    </w:r>
                  </w:p>
                </w:tc>
              </w:tr>
              <w:tr w:rsidR="00021A19" w:rsidRPr="00A0098F" w:rsidTr="00601D47">
                <w:trPr>
                  <w:trHeight w:val="20"/>
                </w:trPr>
                <w:sdt>
                  <w:sdtPr>
                    <w:rPr>
                      <w:sz w:val="14"/>
                      <w:szCs w:val="14"/>
                    </w:rPr>
                    <w:tag w:val="_PLD_56eacf5a90be4746898504dda5c8a2c0"/>
                    <w:id w:val="-219975938"/>
                    <w:lock w:val="sdtLocked"/>
                  </w:sdtPr>
                  <w:sdtContent>
                    <w:tc>
                      <w:tcPr>
                        <w:tcW w:w="2749" w:type="dxa"/>
                      </w:tcPr>
                      <w:p w:rsidR="00021A19" w:rsidRPr="00A0098F" w:rsidRDefault="00021A19" w:rsidP="00021A19">
                        <w:pPr>
                          <w:rPr>
                            <w:sz w:val="14"/>
                            <w:szCs w:val="14"/>
                          </w:rPr>
                        </w:pPr>
                        <w:r w:rsidRPr="00A0098F">
                          <w:rPr>
                            <w:sz w:val="14"/>
                            <w:szCs w:val="14"/>
                          </w:rPr>
                          <w:t>四、本期期末余额</w:t>
                        </w:r>
                      </w:p>
                    </w:tc>
                  </w:sdtContent>
                </w:sdt>
                <w:tc>
                  <w:tcPr>
                    <w:tcW w:w="1431" w:type="dxa"/>
                    <w:tcBorders>
                      <w:right w:val="single" w:sz="4" w:space="0" w:color="auto"/>
                    </w:tcBorders>
                    <w:vAlign w:val="center"/>
                  </w:tcPr>
                  <w:p w:rsidR="00021A19" w:rsidRPr="00A0098F" w:rsidRDefault="00021A19" w:rsidP="00021A19">
                    <w:pPr>
                      <w:jc w:val="right"/>
                      <w:rPr>
                        <w:sz w:val="14"/>
                        <w:szCs w:val="14"/>
                      </w:rPr>
                    </w:pPr>
                    <w:r w:rsidRPr="00A0098F">
                      <w:rPr>
                        <w:sz w:val="14"/>
                        <w:szCs w:val="14"/>
                      </w:rPr>
                      <w:t>14,866,908,025</w:t>
                    </w:r>
                  </w:p>
                </w:tc>
                <w:tc>
                  <w:tcPr>
                    <w:tcW w:w="1445" w:type="dxa"/>
                    <w:tcBorders>
                      <w:left w:val="single" w:sz="4" w:space="0" w:color="auto"/>
                    </w:tcBorders>
                    <w:vAlign w:val="center"/>
                  </w:tcPr>
                  <w:p w:rsidR="00021A19" w:rsidRPr="00A0098F" w:rsidRDefault="00021A19" w:rsidP="00021A19">
                    <w:pPr>
                      <w:jc w:val="right"/>
                      <w:rPr>
                        <w:sz w:val="14"/>
                        <w:szCs w:val="14"/>
                      </w:rPr>
                    </w:pPr>
                    <w:r w:rsidRPr="00A0098F">
                      <w:rPr>
                        <w:sz w:val="14"/>
                        <w:szCs w:val="14"/>
                      </w:rPr>
                      <w:t>3,358,254,738</w:t>
                    </w:r>
                  </w:p>
                </w:tc>
                <w:tc>
                  <w:tcPr>
                    <w:tcW w:w="1391" w:type="dxa"/>
                    <w:vAlign w:val="center"/>
                  </w:tcPr>
                  <w:p w:rsidR="00021A19" w:rsidRPr="00A0098F" w:rsidRDefault="00021A19" w:rsidP="00021A19">
                    <w:pPr>
                      <w:jc w:val="right"/>
                      <w:rPr>
                        <w:sz w:val="14"/>
                        <w:szCs w:val="14"/>
                      </w:rPr>
                    </w:pPr>
                    <w:r w:rsidRPr="00A0098F">
                      <w:rPr>
                        <w:sz w:val="14"/>
                        <w:szCs w:val="14"/>
                      </w:rPr>
                      <w:t>24,324,651,438</w:t>
                    </w:r>
                  </w:p>
                </w:tc>
                <w:tc>
                  <w:tcPr>
                    <w:tcW w:w="1377" w:type="dxa"/>
                    <w:vAlign w:val="center"/>
                  </w:tcPr>
                  <w:p w:rsidR="00021A19" w:rsidRPr="00A0098F" w:rsidRDefault="00021A19" w:rsidP="00021A19">
                    <w:pPr>
                      <w:jc w:val="right"/>
                      <w:rPr>
                        <w:sz w:val="14"/>
                        <w:szCs w:val="14"/>
                      </w:rPr>
                    </w:pPr>
                    <w:r w:rsidRPr="00A0098F">
                      <w:rPr>
                        <w:sz w:val="14"/>
                        <w:szCs w:val="14"/>
                      </w:rPr>
                      <w:t>-605,162,626</w:t>
                    </w:r>
                  </w:p>
                </w:tc>
                <w:tc>
                  <w:tcPr>
                    <w:tcW w:w="1391" w:type="dxa"/>
                    <w:vAlign w:val="center"/>
                  </w:tcPr>
                  <w:p w:rsidR="00021A19" w:rsidRPr="00A0098F" w:rsidRDefault="00021A19" w:rsidP="00021A19">
                    <w:pPr>
                      <w:jc w:val="right"/>
                      <w:rPr>
                        <w:sz w:val="14"/>
                        <w:szCs w:val="14"/>
                      </w:rPr>
                    </w:pPr>
                    <w:r w:rsidRPr="00A0098F">
                      <w:rPr>
                        <w:sz w:val="14"/>
                        <w:szCs w:val="14"/>
                      </w:rPr>
                      <w:t>668,771,619</w:t>
                    </w:r>
                  </w:p>
                </w:tc>
                <w:tc>
                  <w:tcPr>
                    <w:tcW w:w="1376" w:type="dxa"/>
                    <w:vAlign w:val="center"/>
                  </w:tcPr>
                  <w:p w:rsidR="00021A19" w:rsidRPr="00A0098F" w:rsidRDefault="00021A19" w:rsidP="00021A19">
                    <w:pPr>
                      <w:jc w:val="right"/>
                      <w:rPr>
                        <w:sz w:val="14"/>
                        <w:szCs w:val="14"/>
                      </w:rPr>
                    </w:pPr>
                    <w:r w:rsidRPr="00A0098F">
                      <w:rPr>
                        <w:sz w:val="14"/>
                        <w:szCs w:val="14"/>
                      </w:rPr>
                      <w:t>17,587,107,748</w:t>
                    </w:r>
                  </w:p>
                </w:tc>
                <w:tc>
                  <w:tcPr>
                    <w:tcW w:w="1363" w:type="dxa"/>
                    <w:vAlign w:val="center"/>
                  </w:tcPr>
                  <w:p w:rsidR="00021A19" w:rsidRPr="00A0098F" w:rsidRDefault="00021A19" w:rsidP="00021A19">
                    <w:pPr>
                      <w:jc w:val="right"/>
                      <w:rPr>
                        <w:sz w:val="14"/>
                        <w:szCs w:val="14"/>
                      </w:rPr>
                    </w:pPr>
                    <w:r w:rsidRPr="00A0098F">
                      <w:rPr>
                        <w:sz w:val="14"/>
                        <w:szCs w:val="14"/>
                      </w:rPr>
                      <w:t>65,718,906,558</w:t>
                    </w:r>
                  </w:p>
                </w:tc>
                <w:tc>
                  <w:tcPr>
                    <w:tcW w:w="1381" w:type="dxa"/>
                    <w:vAlign w:val="center"/>
                  </w:tcPr>
                  <w:p w:rsidR="00021A19" w:rsidRPr="00A0098F" w:rsidRDefault="00021A19" w:rsidP="00021A19">
                    <w:pPr>
                      <w:jc w:val="right"/>
                      <w:rPr>
                        <w:sz w:val="14"/>
                        <w:szCs w:val="14"/>
                      </w:rPr>
                    </w:pPr>
                    <w:r w:rsidRPr="00A0098F">
                      <w:rPr>
                        <w:sz w:val="14"/>
                        <w:szCs w:val="14"/>
                      </w:rPr>
                      <w:t>125,919,437,500</w:t>
                    </w:r>
                  </w:p>
                </w:tc>
              </w:tr>
            </w:tbl>
            <w:p w:rsidR="00FE7F64" w:rsidRDefault="00FE7F64">
              <w:pPr>
                <w:snapToGrid w:val="0"/>
                <w:spacing w:line="240" w:lineRule="atLeast"/>
                <w:rPr>
                  <w:szCs w:val="21"/>
                </w:rPr>
              </w:pPr>
            </w:p>
            <w:p w:rsidR="00806678" w:rsidRDefault="00B16377">
              <w:pPr>
                <w:snapToGrid w:val="0"/>
                <w:spacing w:line="240" w:lineRule="atLeast"/>
                <w:rPr>
                  <w:b/>
                  <w:bCs/>
                  <w:color w:val="FF0000"/>
                  <w:szCs w:val="21"/>
                </w:rPr>
              </w:pPr>
              <w:r>
                <w:rPr>
                  <w:rFonts w:hint="eastAsia"/>
                  <w:szCs w:val="21"/>
                </w:rPr>
                <w:t>公司负责</w:t>
              </w:r>
              <w:r>
                <w:rPr>
                  <w:szCs w:val="21"/>
                </w:rPr>
                <w:t>人</w:t>
              </w:r>
              <w:r>
                <w:rPr>
                  <w:rFonts w:hint="eastAsia"/>
                  <w:szCs w:val="21"/>
                </w:rPr>
                <w:t>：</w:t>
              </w:r>
              <w:sdt>
                <w:sdtPr>
                  <w:rPr>
                    <w:rFonts w:hint="eastAsia"/>
                    <w:szCs w:val="21"/>
                  </w:rPr>
                  <w:alias w:val="公司负责人姓名"/>
                  <w:tag w:val="_GBC_6042a2c12168484781348969a4da3e4c"/>
                  <w:id w:val="1886136825"/>
                  <w:lock w:val="sdtLocked"/>
                  <w:placeholder>
                    <w:docPart w:val="GBC22222222222222222222222222222"/>
                  </w:placeholder>
                  <w:dataBinding w:prefixMappings="xmlns:clcid-mr='clcid-mr'" w:xpath="/*/clcid-mr:GongSiFuZeRenXingMing[not(@periodRef)]" w:storeItemID="{89EBAB94-44A0-46A2-B712-30D997D04A6D}"/>
                  <w:text/>
                </w:sdtPr>
                <w:sdtContent>
                  <w:r w:rsidR="00413527">
                    <w:rPr>
                      <w:rFonts w:hint="eastAsia"/>
                      <w:szCs w:val="21"/>
                    </w:rPr>
                    <w:t xml:space="preserve">戴弘  </w:t>
                  </w:r>
                </w:sdtContent>
              </w:sdt>
              <w:r w:rsidR="00B134C5">
                <w:rPr>
                  <w:rFonts w:hint="eastAsia"/>
                  <w:szCs w:val="21"/>
                </w:rPr>
                <w:t xml:space="preserve">总经理：韩洪臣  </w:t>
              </w:r>
              <w:r>
                <w:rPr>
                  <w:szCs w:val="21"/>
                </w:rPr>
                <w:t>主管会计工作负责人</w:t>
              </w:r>
              <w:r>
                <w:rPr>
                  <w:rFonts w:hint="eastAsia"/>
                  <w:szCs w:val="21"/>
                </w:rPr>
                <w:t>：</w:t>
              </w:r>
              <w:sdt>
                <w:sdtPr>
                  <w:rPr>
                    <w:rFonts w:hint="eastAsia"/>
                    <w:szCs w:val="21"/>
                  </w:rPr>
                  <w:alias w:val="主管会计工作负责人姓名"/>
                  <w:tag w:val="_GBC_3008dab61aca43f0a6d82ef192943e79"/>
                  <w:id w:val="-1758123077"/>
                  <w:lock w:val="sdtLocked"/>
                  <w:placeholder>
                    <w:docPart w:val="GBC22222222222222222222222222222"/>
                  </w:placeholder>
                  <w:dataBinding w:prefixMappings="xmlns:clcid-mr='clcid-mr'" w:xpath="/*/clcid-mr:ZhuGuanKuaiJiGongZuoFuZeRenXingMing[not(@periodRef)]" w:storeItemID="{89EBAB94-44A0-46A2-B712-30D997D04A6D}"/>
                  <w:text/>
                </w:sdtPr>
                <w:sdtContent>
                  <w:r w:rsidR="00AD579F">
                    <w:rPr>
                      <w:rFonts w:hint="eastAsia"/>
                      <w:szCs w:val="21"/>
                    </w:rPr>
                    <w:t>田惠民</w:t>
                  </w:r>
                </w:sdtContent>
              </w:sdt>
              <w:r>
                <w:rPr>
                  <w:rFonts w:hint="eastAsia"/>
                  <w:szCs w:val="21"/>
                </w:rPr>
                <w:t xml:space="preserve"> </w:t>
              </w:r>
              <w:r>
                <w:rPr>
                  <w:szCs w:val="21"/>
                </w:rPr>
                <w:t>会计机构负责人</w:t>
              </w:r>
              <w:r>
                <w:rPr>
                  <w:rFonts w:hint="eastAsia"/>
                  <w:szCs w:val="21"/>
                </w:rPr>
                <w:t>：</w:t>
              </w:r>
              <w:sdt>
                <w:sdtPr>
                  <w:rPr>
                    <w:rFonts w:hint="eastAsia"/>
                    <w:szCs w:val="21"/>
                  </w:rPr>
                  <w:alias w:val="会计机构负责人姓名"/>
                  <w:tag w:val="_GBC_e6c21b270080402ca8dbdc0cab514bde"/>
                  <w:id w:val="-238867869"/>
                  <w:lock w:val="sdtLocked"/>
                  <w:placeholder>
                    <w:docPart w:val="GBC22222222222222222222222222222"/>
                  </w:placeholder>
                  <w:dataBinding w:prefixMappings="xmlns:clcid-mr='clcid-mr'" w:xpath="/*/clcid-mr:KuaiJiJiGouFuZeRenXingMing[not(@periodRef)]" w:storeItemID="{89EBAB94-44A0-46A2-B712-30D997D04A6D}"/>
                  <w:text/>
                </w:sdtPr>
                <w:sdtContent>
                  <w:r w:rsidR="00AD579F">
                    <w:rPr>
                      <w:rFonts w:hint="eastAsia"/>
                      <w:szCs w:val="21"/>
                    </w:rPr>
                    <w:t>孙洪涛</w:t>
                  </w:r>
                </w:sdtContent>
              </w:sdt>
            </w:p>
          </w:sdtContent>
        </w:sdt>
        <w:p w:rsidR="00806678" w:rsidRDefault="00F80B6C">
          <w:pPr>
            <w:rPr>
              <w:color w:val="FF0000"/>
            </w:rPr>
          </w:pPr>
        </w:p>
      </w:sdtContent>
    </w:sdt>
    <w:bookmarkEnd w:id="131" w:displacedByCustomXml="prev"/>
    <w:p w:rsidR="00806678" w:rsidRDefault="00806678">
      <w:pPr>
        <w:snapToGrid w:val="0"/>
        <w:spacing w:line="240" w:lineRule="atLeast"/>
        <w:ind w:rightChars="-73" w:right="-153"/>
        <w:rPr>
          <w:b/>
          <w:bCs/>
          <w:color w:val="FF0000"/>
          <w:szCs w:val="21"/>
        </w:rPr>
      </w:pPr>
    </w:p>
    <w:p w:rsidR="00806678" w:rsidRDefault="00806678">
      <w:pPr>
        <w:snapToGrid w:val="0"/>
        <w:spacing w:line="240" w:lineRule="atLeast"/>
        <w:ind w:rightChars="-73" w:right="-153"/>
        <w:rPr>
          <w:b/>
          <w:bCs/>
          <w:color w:val="FF0000"/>
          <w:szCs w:val="21"/>
        </w:rPr>
      </w:pPr>
    </w:p>
    <w:p w:rsidR="00806678" w:rsidRDefault="00806678">
      <w:pPr>
        <w:snapToGrid w:val="0"/>
        <w:spacing w:line="240" w:lineRule="atLeast"/>
        <w:rPr>
          <w:szCs w:val="21"/>
        </w:rPr>
        <w:sectPr w:rsidR="00806678" w:rsidSect="00C42143">
          <w:pgSz w:w="16838" w:h="11906" w:orient="landscape"/>
          <w:pgMar w:top="1276" w:right="1440" w:bottom="1797" w:left="1525" w:header="856" w:footer="992" w:gutter="0"/>
          <w:cols w:space="425"/>
          <w:docGrid w:linePitch="312"/>
        </w:sectPr>
      </w:pPr>
      <w:bookmarkStart w:id="132" w:name="_Hlk533930396"/>
    </w:p>
    <w:bookmarkEnd w:id="132" w:displacedByCustomXml="next"/>
    <w:sdt>
      <w:sdtPr>
        <w:rPr>
          <w:rFonts w:ascii="宋体" w:hAnsi="宋体" w:cs="宋体"/>
          <w:b w:val="0"/>
          <w:bCs w:val="0"/>
          <w:kern w:val="0"/>
          <w:szCs w:val="24"/>
        </w:rPr>
        <w:alias w:val="模块:公司基本情况"/>
        <w:tag w:val="_GBC_c49d72d4b04e4ead97addb731e9b6458"/>
        <w:id w:val="839962837"/>
        <w:lock w:val="sdtLocked"/>
        <w:placeholder>
          <w:docPart w:val="GBC22222222222222222222222222222"/>
        </w:placeholder>
      </w:sdtPr>
      <w:sdtEndPr>
        <w:rPr>
          <w:rFonts w:cs="Times New Roman" w:hint="eastAsia"/>
          <w:kern w:val="2"/>
        </w:rPr>
      </w:sdtEndPr>
      <w:sdtContent>
        <w:p w:rsidR="00806678" w:rsidRDefault="00B16377" w:rsidP="00FF17C7">
          <w:pPr>
            <w:pStyle w:val="2"/>
            <w:numPr>
              <w:ilvl w:val="0"/>
              <w:numId w:val="37"/>
            </w:numPr>
            <w:rPr>
              <w:rFonts w:ascii="宋体" w:hAnsi="宋体"/>
            </w:rPr>
          </w:pPr>
          <w:r>
            <w:rPr>
              <w:rFonts w:ascii="宋体" w:hAnsi="宋体"/>
            </w:rPr>
            <w:t>公司基本情况</w:t>
          </w:r>
        </w:p>
        <w:p w:rsidR="00806678" w:rsidRDefault="00B16377" w:rsidP="00FF17C7">
          <w:pPr>
            <w:pStyle w:val="3"/>
            <w:numPr>
              <w:ilvl w:val="0"/>
              <w:numId w:val="63"/>
            </w:numPr>
          </w:pPr>
          <w:r>
            <w:rPr>
              <w:rFonts w:hint="eastAsia"/>
            </w:rPr>
            <w:t>公司概况</w:t>
          </w:r>
        </w:p>
        <w:sdt>
          <w:sdtPr>
            <w:rPr>
              <w:rFonts w:hint="eastAsia"/>
              <w:szCs w:val="21"/>
            </w:rPr>
            <w:alias w:val="是否适用：公司概况[双击切换]"/>
            <w:tag w:val="_GBC_7b613deb8c7f4027b73602e5cd1d4a2e"/>
            <w:id w:val="-955021824"/>
            <w:lock w:val="sdtLocked"/>
            <w:placeholder>
              <w:docPart w:val="GBC22222222222222222222222222222"/>
            </w:placeholder>
          </w:sdtPr>
          <w:sdtContent>
            <w:p w:rsidR="00806678" w:rsidRDefault="00F80B6C">
              <w:pPr>
                <w:rPr>
                  <w:szCs w:val="21"/>
                </w:rPr>
              </w:pPr>
              <w:r>
                <w:rPr>
                  <w:szCs w:val="21"/>
                </w:rPr>
                <w:fldChar w:fldCharType="begin"/>
              </w:r>
              <w:r w:rsidR="008A1AE1">
                <w:rPr>
                  <w:szCs w:val="21"/>
                </w:rPr>
                <w:instrText xml:space="preserve"> MACROBUTTON  SnrToggleCheckbox √适用  </w:instrText>
              </w:r>
              <w:r>
                <w:rPr>
                  <w:szCs w:val="21"/>
                </w:rPr>
                <w:fldChar w:fldCharType="end"/>
              </w:r>
              <w:r>
                <w:rPr>
                  <w:szCs w:val="21"/>
                </w:rPr>
                <w:fldChar w:fldCharType="begin"/>
              </w:r>
              <w:r w:rsidR="008A1AE1">
                <w:rPr>
                  <w:szCs w:val="21"/>
                </w:rPr>
                <w:instrText xml:space="preserve"> MACROBUTTON  SnrToggleCheckbox □不适用 </w:instrText>
              </w:r>
              <w:r>
                <w:rPr>
                  <w:szCs w:val="21"/>
                </w:rPr>
                <w:fldChar w:fldCharType="end"/>
              </w:r>
            </w:p>
          </w:sdtContent>
        </w:sdt>
        <w:sdt>
          <w:sdtPr>
            <w:rPr>
              <w:szCs w:val="21"/>
            </w:rPr>
            <w:alias w:val="公司概况"/>
            <w:tag w:val="_GBC_dfec127af3a7441dade8cb0f67119e66"/>
            <w:id w:val="-201175245"/>
            <w:lock w:val="sdtLocked"/>
            <w:placeholder>
              <w:docPart w:val="GBC22222222222222222222222222222"/>
            </w:placeholder>
          </w:sdtPr>
          <w:sdtContent>
            <w:p w:rsidR="008A1AE1" w:rsidRPr="008A1AE1" w:rsidRDefault="008A1AE1" w:rsidP="008A1AE1">
              <w:pPr>
                <w:rPr>
                  <w:szCs w:val="21"/>
                </w:rPr>
              </w:pPr>
              <w:r w:rsidRPr="008A1AE1">
                <w:rPr>
                  <w:rFonts w:hint="eastAsia"/>
                  <w:szCs w:val="21"/>
                </w:rPr>
                <w:t>大秦铁路股份有限公司</w:t>
              </w:r>
              <w:r w:rsidRPr="008A1AE1">
                <w:rPr>
                  <w:szCs w:val="21"/>
                </w:rPr>
                <w:t xml:space="preserve"> (以下称“本公司”) 是依据原中华人民共和国铁道部 (以下称“原铁道部”) 于2004年10月11日签发的铁政法函【2004】550号文《关于重组设立大秦铁路股份有限公司并公开发行A股股票方案的批复》，由北京铁路局作为主发起人，与大同煤矿集团有限责任公司、中国中煤能源集团公司、秦皇岛港务集团有限公司、大唐国际发电股份有限公司、同方投资有限公司和中国华能集团公司等其余六家发起人共同发起设立的股份有限公司，于2004年10月28日正式注册成立，领取注册号为1000001003927号的企业</w:t>
              </w:r>
              <w:r w:rsidRPr="008A1AE1">
                <w:rPr>
                  <w:rFonts w:hint="eastAsia"/>
                  <w:szCs w:val="21"/>
                </w:rPr>
                <w:t>法人营业执照，公司成立时注册资本为人民币</w:t>
              </w:r>
              <w:r w:rsidRPr="008A1AE1">
                <w:rPr>
                  <w:szCs w:val="21"/>
                </w:rPr>
                <w:t>9,946,454,097元，注册地为中华人民共和国山西省大同市，总部地址为中华人民共和国山西省太原市。</w:t>
              </w:r>
            </w:p>
            <w:p w:rsidR="008A1AE1" w:rsidRPr="008A1AE1" w:rsidRDefault="008A1AE1" w:rsidP="008A1AE1">
              <w:pPr>
                <w:rPr>
                  <w:szCs w:val="21"/>
                </w:rPr>
              </w:pPr>
            </w:p>
            <w:p w:rsidR="008A1AE1" w:rsidRPr="008A1AE1" w:rsidRDefault="008A1AE1" w:rsidP="008A1AE1">
              <w:pPr>
                <w:rPr>
                  <w:szCs w:val="21"/>
                </w:rPr>
              </w:pPr>
              <w:r w:rsidRPr="008A1AE1">
                <w:rPr>
                  <w:rFonts w:hint="eastAsia"/>
                  <w:szCs w:val="21"/>
                </w:rPr>
                <w:t>经财政部财建【</w:t>
              </w:r>
              <w:r w:rsidRPr="008A1AE1">
                <w:rPr>
                  <w:szCs w:val="21"/>
                </w:rPr>
                <w:t>2004】371号文《财政部关于大秦铁路股份有限公司 (筹) 国有股权管理有关问题的函》批复，本公司发起人投入资本按65%折股比例折为每股面值为人民币1元的股份计9,946,454,097股，其余人民币5,355,782,976元列入本公司资本公积。</w:t>
              </w:r>
            </w:p>
            <w:p w:rsidR="008A1AE1" w:rsidRPr="008A1AE1" w:rsidRDefault="008A1AE1" w:rsidP="008A1AE1">
              <w:pPr>
                <w:rPr>
                  <w:szCs w:val="21"/>
                </w:rPr>
              </w:pPr>
            </w:p>
            <w:p w:rsidR="008A1AE1" w:rsidRPr="008A1AE1" w:rsidRDefault="008A1AE1" w:rsidP="008A1AE1">
              <w:pPr>
                <w:rPr>
                  <w:szCs w:val="21"/>
                </w:rPr>
              </w:pPr>
              <w:r w:rsidRPr="008A1AE1">
                <w:rPr>
                  <w:rFonts w:hint="eastAsia"/>
                  <w:szCs w:val="21"/>
                </w:rPr>
                <w:t>根据原铁道部的决定，原北京铁路局分立为太原铁路局和北京铁路局，太原铁路局于</w:t>
              </w:r>
              <w:r w:rsidRPr="008A1AE1">
                <w:rPr>
                  <w:szCs w:val="21"/>
                </w:rPr>
                <w:t>2005年4月29日取得企业法人营业执照。分立后，原北京铁路局在本公司的全部股份以及原北京铁路局所属的太原铁路分局、大同铁路分局的全部资产由太原铁路局持有。原北京铁路局及大同铁路分局与本公司签署的一系列协议也由太原铁路局承继。因此本公司的控股股东由原北京铁路局变更为太原铁路局。2017年11月13日，太原铁路局由全民所有制企业变更为有限责任公司，公司名称为“中国铁路太原局集团有限公司”(以下简称“太原局集团公司”) 。</w:t>
              </w:r>
            </w:p>
            <w:p w:rsidR="008A1AE1" w:rsidRPr="008A1AE1" w:rsidRDefault="008A1AE1" w:rsidP="008A1AE1">
              <w:pPr>
                <w:rPr>
                  <w:szCs w:val="21"/>
                </w:rPr>
              </w:pPr>
            </w:p>
            <w:p w:rsidR="008A1AE1" w:rsidRPr="008A1AE1" w:rsidRDefault="008A1AE1" w:rsidP="008A1AE1">
              <w:pPr>
                <w:rPr>
                  <w:szCs w:val="21"/>
                </w:rPr>
              </w:pPr>
              <w:r w:rsidRPr="008A1AE1">
                <w:rPr>
                  <w:rFonts w:hint="eastAsia"/>
                  <w:szCs w:val="21"/>
                </w:rPr>
                <w:t>根据《国务院关于组建中国铁路总公司有关问题的批复》</w:t>
              </w:r>
              <w:r w:rsidRPr="008A1AE1">
                <w:rPr>
                  <w:szCs w:val="21"/>
                </w:rPr>
                <w:t>(国函【2013】47号)，公司实际控制人原铁道部实施“政企分开”，其所属的18个铁路局 (含太原局集团公司、广州铁路集团公司) 、3个专业运输公司及其他企业的权益划入新组建成立的中国铁路总公司。2019年6月18日，中国铁路总公司改制为中国国家铁路集团有限公司 (以下简称“国铁集团”) 。本公司最终控股公司为中国国家铁路集团有限公司。</w:t>
              </w:r>
            </w:p>
            <w:p w:rsidR="008A1AE1" w:rsidRPr="008A1AE1" w:rsidRDefault="008A1AE1" w:rsidP="008A1AE1">
              <w:pPr>
                <w:rPr>
                  <w:szCs w:val="21"/>
                </w:rPr>
              </w:pPr>
            </w:p>
            <w:p w:rsidR="008A1AE1" w:rsidRPr="008A1AE1" w:rsidRDefault="008A1AE1" w:rsidP="008A1AE1">
              <w:pPr>
                <w:rPr>
                  <w:szCs w:val="21"/>
                </w:rPr>
              </w:pPr>
              <w:r w:rsidRPr="008A1AE1">
                <w:rPr>
                  <w:rFonts w:hint="eastAsia"/>
                  <w:szCs w:val="21"/>
                </w:rPr>
                <w:t>中国证券监督管理委员会</w:t>
              </w:r>
              <w:r w:rsidRPr="008A1AE1">
                <w:rPr>
                  <w:szCs w:val="21"/>
                </w:rPr>
                <w:t xml:space="preserve"> (以下称“中国证监会”) 于2006年7月12日出具的《关于核准大秦铁路股份有限公司首次公开发行股票的通知》(证监发行字【2006】42号) 核准本公司发行不超过50亿股人民币普通股 (A股) 股票。本公司于2006年7月27日完成了公开发行3,030,303,030股人民币普通股 (A股) 股票的工作。本公司收到本次募集资金净额 (已扣除承销费用以及其他发行费用合计人民币265,789,676元) 人民币14,734,210,323元，其中，增加股本人民币3,030,303,030</w:t>
              </w:r>
              <w:r w:rsidRPr="008A1AE1">
                <w:rPr>
                  <w:rFonts w:hint="eastAsia"/>
                  <w:szCs w:val="21"/>
                </w:rPr>
                <w:t>元，增加资本公积金人民币</w:t>
              </w:r>
              <w:r w:rsidRPr="008A1AE1">
                <w:rPr>
                  <w:szCs w:val="21"/>
                </w:rPr>
                <w:t>11,703,907,293元。由此，本公司总股本为人民币12,976,757,127元，代表每股人民币1元的普通股12,976,757,127股。</w:t>
              </w:r>
            </w:p>
            <w:p w:rsidR="008A1AE1" w:rsidRPr="008A1AE1" w:rsidRDefault="008A1AE1" w:rsidP="008A1AE1">
              <w:pPr>
                <w:rPr>
                  <w:szCs w:val="21"/>
                </w:rPr>
              </w:pPr>
            </w:p>
            <w:p w:rsidR="008A1AE1" w:rsidRPr="008A1AE1" w:rsidRDefault="008A1AE1" w:rsidP="008A1AE1">
              <w:pPr>
                <w:rPr>
                  <w:szCs w:val="21"/>
                </w:rPr>
              </w:pPr>
              <w:r w:rsidRPr="008A1AE1">
                <w:rPr>
                  <w:rFonts w:hint="eastAsia"/>
                  <w:szCs w:val="21"/>
                </w:rPr>
                <w:t>本公司分别于</w:t>
              </w:r>
              <w:r w:rsidRPr="008A1AE1">
                <w:rPr>
                  <w:szCs w:val="21"/>
                </w:rPr>
                <w:t>2009年11月10日和2009年11月27日召开董事会和临时股东大会并通过决议，采用向不特定对象公开募集股份的方式增发不超过20亿股人民币普通股 (A股)，募集资金用以收购太原局集团公司运输业务的相关资产和负债 (以下称“目标业务”) 及对国能朔黄铁路发展有限责任公司41.16%股权投资 (以下称“朔黄铁路股权”及“收购”)，以现金形式向太原局集团公司支付收购对价327.9亿元，公开增发实际募集资金金额相对于收购对价款不足部分，本公司将通过自筹资金方式补足。本公司于2010年8月30日完成收购</w:t>
              </w:r>
              <w:r w:rsidRPr="008A1AE1">
                <w:rPr>
                  <w:rFonts w:hint="eastAsia"/>
                  <w:szCs w:val="21"/>
                </w:rPr>
                <w:t>对价</w:t>
              </w:r>
              <w:r w:rsidRPr="008A1AE1">
                <w:rPr>
                  <w:szCs w:val="21"/>
                </w:rPr>
                <w:t>50%的价款支付，满足了</w:t>
              </w:r>
              <w:r w:rsidRPr="008A1AE1">
                <w:rPr>
                  <w:szCs w:val="21"/>
                </w:rPr>
                <w:lastRenderedPageBreak/>
                <w:t>本公司与太原局集团公司签订的《资产交易协议》和《资产交易协议之补充协议》中约定的资产交割条件：公司完成50%的目标业务转让价款支付之次日即2010年8月31日为资产交割日。</w:t>
              </w:r>
            </w:p>
            <w:p w:rsidR="008A1AE1" w:rsidRPr="008A1AE1" w:rsidRDefault="008A1AE1" w:rsidP="008A1AE1">
              <w:pPr>
                <w:rPr>
                  <w:szCs w:val="21"/>
                </w:rPr>
              </w:pPr>
            </w:p>
            <w:p w:rsidR="008A1AE1" w:rsidRPr="008A1AE1" w:rsidRDefault="008A1AE1" w:rsidP="008A1AE1">
              <w:pPr>
                <w:rPr>
                  <w:szCs w:val="21"/>
                </w:rPr>
              </w:pPr>
              <w:r w:rsidRPr="008A1AE1">
                <w:rPr>
                  <w:rFonts w:hint="eastAsia"/>
                  <w:szCs w:val="21"/>
                </w:rPr>
                <w:t>经中国证券监督管理委员会证监许可【</w:t>
              </w:r>
              <w:r w:rsidRPr="008A1AE1">
                <w:rPr>
                  <w:szCs w:val="21"/>
                </w:rPr>
                <w:t>2010】953号核准，本公司于2010年10月完成了公开发行1,890,034,364股人民币普通股 (A股) 股票的工作。本公司收到本次募集资金净额 (扣除承销费用以及其他发行费用) 人民币16,219,134,128元，其中，增加股本人民币1,890,034,364元，增加资本公积人民币14,329,099,764元。</w:t>
              </w:r>
            </w:p>
            <w:p w:rsidR="008A1AE1" w:rsidRPr="008A1AE1" w:rsidRDefault="008A1AE1" w:rsidP="008A1AE1">
              <w:pPr>
                <w:rPr>
                  <w:szCs w:val="21"/>
                </w:rPr>
              </w:pPr>
            </w:p>
            <w:p w:rsidR="008A1AE1" w:rsidRPr="008A1AE1" w:rsidRDefault="008A1AE1" w:rsidP="008A1AE1">
              <w:pPr>
                <w:rPr>
                  <w:szCs w:val="21"/>
                </w:rPr>
              </w:pPr>
              <w:r w:rsidRPr="008A1AE1">
                <w:rPr>
                  <w:rFonts w:hint="eastAsia"/>
                  <w:szCs w:val="21"/>
                </w:rPr>
                <w:t>经中国证券监督管理委员会证监许可【</w:t>
              </w:r>
              <w:r w:rsidRPr="008A1AE1">
                <w:rPr>
                  <w:szCs w:val="21"/>
                </w:rPr>
                <w:t>2020】2263 号文核准，本公司于2020年12月14日公开发行了总额为人民币320亿元可转换公司债券 (以下简称“可转债”)，可转债持有人可在可转债发行结束之日起满六个月后的第一个交易日起至可转债到期日止的期间内，即2021年6月18日至2026年12月13日，按照当期转股价格行使将本次可转债转换为本公司股票的权利。截至2022年12月31日止，累计有面值人民币1,141,000元可转债转换成公司股票，因转股形成的股份数量累计为154,416股，增加股本人民币154,416元，增加资本公积人民币1,012,134元。由此，本公司总股本为14,866,945,907元，代表每股人民币1元的普通股14,866,945,907股。</w:t>
              </w:r>
            </w:p>
            <w:p w:rsidR="008A1AE1" w:rsidRPr="008A1AE1" w:rsidRDefault="008A1AE1" w:rsidP="008A1AE1">
              <w:pPr>
                <w:rPr>
                  <w:szCs w:val="21"/>
                </w:rPr>
              </w:pPr>
            </w:p>
            <w:p w:rsidR="008A1AE1" w:rsidRDefault="008A1AE1" w:rsidP="008A1AE1">
              <w:pPr>
                <w:rPr>
                  <w:szCs w:val="21"/>
                </w:rPr>
              </w:pPr>
              <w:r w:rsidRPr="008A1AE1">
                <w:rPr>
                  <w:rFonts w:hint="eastAsia"/>
                  <w:szCs w:val="21"/>
                </w:rPr>
                <w:t>本年度纳入合并范围的主要子公司详见附注</w:t>
              </w:r>
              <w:r w:rsidR="00AD2252">
                <w:rPr>
                  <w:rFonts w:hint="eastAsia"/>
                  <w:szCs w:val="21"/>
                </w:rPr>
                <w:t>九</w:t>
              </w:r>
              <w:r w:rsidRPr="008A1AE1">
                <w:rPr>
                  <w:rFonts w:hint="eastAsia"/>
                  <w:szCs w:val="21"/>
                </w:rPr>
                <w:t>，本公司及子公司以下简称“本集团”。</w:t>
              </w:r>
            </w:p>
            <w:p w:rsidR="008A1AE1" w:rsidRDefault="008A1AE1" w:rsidP="008A1AE1">
              <w:pPr>
                <w:rPr>
                  <w:szCs w:val="21"/>
                </w:rPr>
              </w:pPr>
            </w:p>
            <w:p w:rsidR="008A1AE1" w:rsidRPr="00CD68C6" w:rsidRDefault="008A1AE1" w:rsidP="008A1AE1">
              <w:pPr>
                <w:overflowPunct w:val="0"/>
                <w:adjustRightInd w:val="0"/>
                <w:snapToGrid w:val="0"/>
                <w:rPr>
                  <w:rFonts w:cs="Arial"/>
                  <w:szCs w:val="21"/>
                </w:rPr>
              </w:pPr>
              <w:r w:rsidRPr="00CD68C6">
                <w:rPr>
                  <w:rFonts w:cs="Arial" w:hint="eastAsia"/>
                  <w:szCs w:val="21"/>
                </w:rPr>
                <w:t>本公司主要从事以煤炭运输为主的铁路货物运输业务以及旅客运输业务。铁路运输收费主要包括运价和杂费。运价标准由中华人民共和国发展和改革委员会拟定，报国务院批准。杂费为与旅客、货物运输服务相关的费用，如取送车费、货物暂存费等，资费标准由中国国家铁路集团有限公司规定。</w:t>
              </w:r>
            </w:p>
            <w:p w:rsidR="008A1AE1" w:rsidRPr="00CD68C6" w:rsidRDefault="008A1AE1" w:rsidP="008A1AE1">
              <w:pPr>
                <w:overflowPunct w:val="0"/>
                <w:adjustRightInd w:val="0"/>
                <w:snapToGrid w:val="0"/>
                <w:rPr>
                  <w:rFonts w:cs="Arial"/>
                  <w:szCs w:val="21"/>
                  <w:lang w:val="en-GB"/>
                </w:rPr>
              </w:pPr>
            </w:p>
            <w:p w:rsidR="00806678" w:rsidRPr="00CD68C6" w:rsidRDefault="008A1AE1" w:rsidP="008A1AE1">
              <w:pPr>
                <w:overflowPunct w:val="0"/>
                <w:adjustRightInd w:val="0"/>
                <w:snapToGrid w:val="0"/>
                <w:rPr>
                  <w:rFonts w:cs="Arial"/>
                  <w:szCs w:val="21"/>
                </w:rPr>
              </w:pPr>
              <w:r w:rsidRPr="00CD68C6">
                <w:rPr>
                  <w:rFonts w:cs="Arial" w:hint="eastAsia"/>
                  <w:szCs w:val="21"/>
                </w:rPr>
                <w:t>本财务报表由本公司董事会于</w:t>
              </w:r>
              <w:r w:rsidRPr="00CD68C6">
                <w:rPr>
                  <w:rFonts w:cs="Arial"/>
                  <w:szCs w:val="21"/>
                </w:rPr>
                <w:t>2023</w:t>
              </w:r>
              <w:r w:rsidRPr="00CD68C6">
                <w:rPr>
                  <w:rFonts w:cs="Arial" w:hint="eastAsia"/>
                  <w:szCs w:val="21"/>
                </w:rPr>
                <w:t>年</w:t>
              </w:r>
              <w:r w:rsidRPr="00CD68C6">
                <w:rPr>
                  <w:rFonts w:cs="Arial"/>
                  <w:szCs w:val="21"/>
                </w:rPr>
                <w:t>4</w:t>
              </w:r>
              <w:r w:rsidRPr="00CD68C6">
                <w:rPr>
                  <w:rFonts w:cs="Arial" w:hint="eastAsia"/>
                  <w:szCs w:val="21"/>
                </w:rPr>
                <w:t>月</w:t>
              </w:r>
              <w:r w:rsidRPr="00CD68C6">
                <w:rPr>
                  <w:rFonts w:cs="Arial"/>
                  <w:szCs w:val="21"/>
                </w:rPr>
                <w:t>25</w:t>
              </w:r>
              <w:r w:rsidRPr="00CD68C6">
                <w:rPr>
                  <w:rFonts w:cs="Arial" w:hint="eastAsia"/>
                  <w:szCs w:val="21"/>
                </w:rPr>
                <w:t>日批准报出。</w:t>
              </w:r>
            </w:p>
          </w:sdtContent>
        </w:sdt>
        <w:p w:rsidR="00806678" w:rsidRDefault="00806678">
          <w:pPr>
            <w:rPr>
              <w:szCs w:val="21"/>
            </w:rPr>
          </w:pPr>
        </w:p>
        <w:p w:rsidR="00806678" w:rsidRDefault="00B16377" w:rsidP="00FF17C7">
          <w:pPr>
            <w:pStyle w:val="3"/>
            <w:numPr>
              <w:ilvl w:val="0"/>
              <w:numId w:val="63"/>
            </w:numPr>
            <w:rPr>
              <w:szCs w:val="21"/>
            </w:rPr>
          </w:pPr>
          <w:r>
            <w:rPr>
              <w:rFonts w:hint="eastAsia"/>
              <w:szCs w:val="21"/>
            </w:rPr>
            <w:t>合并财务</w:t>
          </w:r>
          <w:r>
            <w:rPr>
              <w:rFonts w:hint="eastAsia"/>
            </w:rPr>
            <w:t>报表</w:t>
          </w:r>
          <w:r>
            <w:rPr>
              <w:rFonts w:hint="eastAsia"/>
              <w:szCs w:val="21"/>
            </w:rPr>
            <w:t>范围</w:t>
          </w:r>
        </w:p>
        <w:sdt>
          <w:sdtPr>
            <w:rPr>
              <w:rFonts w:hint="eastAsia"/>
              <w:szCs w:val="21"/>
            </w:rPr>
            <w:alias w:val="是否适用：合并财务报表范围[双击切换]"/>
            <w:tag w:val="_GBC_a91e4e947d164f9a9ca7d1c18bebd2db"/>
            <w:id w:val="456149612"/>
            <w:lock w:val="sdtLocked"/>
            <w:placeholder>
              <w:docPart w:val="GBC22222222222222222222222222222"/>
            </w:placeholder>
          </w:sdtPr>
          <w:sdtContent>
            <w:p w:rsidR="00CD68C6" w:rsidRDefault="00F80B6C">
              <w:pPr>
                <w:rPr>
                  <w:szCs w:val="21"/>
                </w:rPr>
              </w:pPr>
              <w:r>
                <w:rPr>
                  <w:szCs w:val="21"/>
                </w:rPr>
                <w:fldChar w:fldCharType="begin"/>
              </w:r>
              <w:r w:rsidR="008A1AE1">
                <w:rPr>
                  <w:szCs w:val="21"/>
                </w:rPr>
                <w:instrText xml:space="preserve"> MACROBUTTON  SnrToggleCheckbox √适用  </w:instrText>
              </w:r>
              <w:r>
                <w:rPr>
                  <w:szCs w:val="21"/>
                </w:rPr>
                <w:fldChar w:fldCharType="end"/>
              </w:r>
              <w:r>
                <w:rPr>
                  <w:szCs w:val="21"/>
                </w:rPr>
                <w:fldChar w:fldCharType="begin"/>
              </w:r>
              <w:r w:rsidR="008A1AE1">
                <w:rPr>
                  <w:szCs w:val="21"/>
                </w:rPr>
                <w:instrText xml:space="preserve"> MACROBUTTON  SnrToggleCheckbox □不适用 </w:instrText>
              </w:r>
              <w:r>
                <w:rPr>
                  <w:szCs w:val="21"/>
                </w:rPr>
                <w:fldChar w:fldCharType="end"/>
              </w:r>
            </w:p>
            <w:p w:rsidR="00806678" w:rsidRDefault="00F80B6C">
              <w:pPr>
                <w:rPr>
                  <w:szCs w:val="21"/>
                </w:rPr>
              </w:pPr>
            </w:p>
          </w:sdtContent>
        </w:sdt>
        <w:sdt>
          <w:sdtPr>
            <w:rPr>
              <w:szCs w:val="21"/>
            </w:rPr>
            <w:alias w:val="本年度合并财务报表范围"/>
            <w:tag w:val="_GBC_696c121eead146fba6371fa5b371b2fc"/>
            <w:id w:val="-544523265"/>
            <w:lock w:val="sdtLocked"/>
            <w:placeholder>
              <w:docPart w:val="GBC22222222222222222222222222222"/>
            </w:placeholder>
          </w:sdtPr>
          <w:sdtContent>
            <w:p w:rsidR="00806678" w:rsidRPr="008A1AE1" w:rsidRDefault="008A1AE1" w:rsidP="008A1AE1">
              <w:pPr>
                <w:pStyle w:val="Default"/>
                <w:rPr>
                  <w:sz w:val="21"/>
                  <w:szCs w:val="21"/>
                </w:rPr>
              </w:pPr>
              <w:r>
                <w:rPr>
                  <w:rFonts w:hint="eastAsia"/>
                  <w:sz w:val="21"/>
                  <w:szCs w:val="21"/>
                </w:rPr>
                <w:t>截至</w:t>
              </w:r>
              <w:r>
                <w:rPr>
                  <w:sz w:val="21"/>
                  <w:szCs w:val="21"/>
                </w:rPr>
                <w:t>202</w:t>
              </w:r>
              <w:r w:rsidR="00E64632">
                <w:rPr>
                  <w:sz w:val="21"/>
                  <w:szCs w:val="21"/>
                </w:rPr>
                <w:t>2</w:t>
              </w:r>
              <w:r>
                <w:rPr>
                  <w:rFonts w:hint="eastAsia"/>
                  <w:sz w:val="21"/>
                  <w:szCs w:val="21"/>
                </w:rPr>
                <w:t>年</w:t>
              </w:r>
              <w:r>
                <w:rPr>
                  <w:sz w:val="21"/>
                  <w:szCs w:val="21"/>
                </w:rPr>
                <w:t>12</w:t>
              </w:r>
              <w:r>
                <w:rPr>
                  <w:rFonts w:hint="eastAsia"/>
                  <w:sz w:val="21"/>
                  <w:szCs w:val="21"/>
                </w:rPr>
                <w:t>月</w:t>
              </w:r>
              <w:r>
                <w:rPr>
                  <w:sz w:val="21"/>
                  <w:szCs w:val="21"/>
                </w:rPr>
                <w:t>31</w:t>
              </w:r>
              <w:r>
                <w:rPr>
                  <w:rFonts w:hint="eastAsia"/>
                  <w:sz w:val="21"/>
                  <w:szCs w:val="21"/>
                </w:rPr>
                <w:t>日止</w:t>
              </w:r>
              <w:r>
                <w:rPr>
                  <w:sz w:val="21"/>
                  <w:szCs w:val="21"/>
                </w:rPr>
                <w:t>12</w:t>
              </w:r>
              <w:r>
                <w:rPr>
                  <w:rFonts w:hint="eastAsia"/>
                  <w:sz w:val="21"/>
                  <w:szCs w:val="21"/>
                </w:rPr>
                <w:t>个月期间纳入合并范围的主要子公司见附注九。</w:t>
              </w:r>
              <w:r>
                <w:rPr>
                  <w:sz w:val="21"/>
                  <w:szCs w:val="21"/>
                </w:rPr>
                <w:t xml:space="preserve"> </w:t>
              </w:r>
            </w:p>
          </w:sdtContent>
        </w:sdt>
        <w:p w:rsidR="00806678" w:rsidRDefault="00F80B6C">
          <w:pPr>
            <w:rPr>
              <w:szCs w:val="21"/>
            </w:rPr>
          </w:pPr>
        </w:p>
      </w:sdtContent>
    </w:sdt>
    <w:p w:rsidR="00806678" w:rsidRDefault="00B16377" w:rsidP="00FF17C7">
      <w:pPr>
        <w:pStyle w:val="2"/>
        <w:numPr>
          <w:ilvl w:val="0"/>
          <w:numId w:val="37"/>
        </w:numPr>
        <w:rPr>
          <w:rFonts w:ascii="宋体" w:hAnsi="宋体"/>
        </w:rPr>
      </w:pPr>
      <w:r>
        <w:rPr>
          <w:rFonts w:ascii="宋体" w:hAnsi="宋体" w:hint="eastAsia"/>
        </w:rPr>
        <w:t>财务报表的编制基础</w:t>
      </w:r>
    </w:p>
    <w:sdt>
      <w:sdtPr>
        <w:rPr>
          <w:rFonts w:asciiTheme="minorHAnsi" w:hAnsiTheme="minorHAnsi" w:cs="宋体"/>
          <w:b w:val="0"/>
          <w:bCs w:val="0"/>
          <w:kern w:val="0"/>
          <w:szCs w:val="22"/>
        </w:rPr>
        <w:alias w:val="模块:财务报表的编制基础"/>
        <w:tag w:val="_GBC_6d12949d3695402592266a78137dcfb5"/>
        <w:id w:val="1637141802"/>
        <w:lock w:val="sdtLocked"/>
        <w:placeholder>
          <w:docPart w:val="GBC22222222222222222222222222222"/>
        </w:placeholder>
      </w:sdtPr>
      <w:sdtEndPr>
        <w:rPr>
          <w:rFonts w:ascii="宋体" w:hAnsi="宋体" w:cs="Times New Roman" w:hint="eastAsia"/>
          <w:kern w:val="2"/>
          <w:szCs w:val="21"/>
        </w:rPr>
      </w:sdtEndPr>
      <w:sdtContent>
        <w:p w:rsidR="00806678" w:rsidRDefault="00B16377" w:rsidP="00FF17C7">
          <w:pPr>
            <w:pStyle w:val="3"/>
            <w:numPr>
              <w:ilvl w:val="0"/>
              <w:numId w:val="38"/>
            </w:numPr>
          </w:pPr>
          <w:r>
            <w:t>编制基础</w:t>
          </w:r>
        </w:p>
        <w:sdt>
          <w:sdtPr>
            <w:rPr>
              <w:rFonts w:hint="eastAsia"/>
              <w:szCs w:val="21"/>
            </w:rPr>
            <w:alias w:val="财务报表的编制基础"/>
            <w:tag w:val="_GBC_1dc2375ed7ab49628f5badf2d5006405"/>
            <w:id w:val="1209836634"/>
            <w:lock w:val="sdtLocked"/>
            <w:placeholder>
              <w:docPart w:val="GBC22222222222222222222222222222"/>
            </w:placeholder>
          </w:sdtPr>
          <w:sdtContent>
            <w:p w:rsidR="00806678" w:rsidRDefault="00B16377">
              <w:pPr>
                <w:rPr>
                  <w:szCs w:val="21"/>
                </w:rPr>
              </w:pPr>
              <w:r>
                <w:rPr>
                  <w:szCs w:val="21"/>
                </w:rPr>
                <w:t>本公司财务报表以持续经营为编制基础。</w:t>
              </w:r>
            </w:p>
          </w:sdtContent>
        </w:sdt>
      </w:sdtContent>
    </w:sdt>
    <w:p w:rsidR="00806678" w:rsidRDefault="00806678">
      <w:pPr>
        <w:rPr>
          <w:szCs w:val="21"/>
        </w:rPr>
      </w:pPr>
    </w:p>
    <w:sdt>
      <w:sdtPr>
        <w:rPr>
          <w:rFonts w:asciiTheme="minorHAnsi" w:hAnsiTheme="minorHAnsi" w:cs="宋体" w:hint="eastAsia"/>
          <w:b w:val="0"/>
          <w:bCs w:val="0"/>
          <w:kern w:val="0"/>
          <w:szCs w:val="22"/>
        </w:rPr>
        <w:alias w:val="模块:持续经营"/>
        <w:tag w:val="_GBC_69ae6baeacb44e8fa17b0b984abbf6ab"/>
        <w:id w:val="-728076048"/>
        <w:lock w:val="sdtLocked"/>
        <w:placeholder>
          <w:docPart w:val="GBC22222222222222222222222222222"/>
        </w:placeholder>
      </w:sdtPr>
      <w:sdtEndPr>
        <w:rPr>
          <w:rFonts w:ascii="宋体" w:hAnsi="宋体" w:cs="Times New Roman"/>
          <w:kern w:val="2"/>
          <w:szCs w:val="21"/>
        </w:rPr>
      </w:sdtEndPr>
      <w:sdtContent>
        <w:p w:rsidR="00806678" w:rsidRDefault="00B16377" w:rsidP="00FF17C7">
          <w:pPr>
            <w:pStyle w:val="3"/>
            <w:numPr>
              <w:ilvl w:val="0"/>
              <w:numId w:val="38"/>
            </w:numPr>
          </w:pPr>
          <w:r>
            <w:rPr>
              <w:rFonts w:hint="eastAsia"/>
            </w:rPr>
            <w:t>持续经营</w:t>
          </w:r>
        </w:p>
        <w:sdt>
          <w:sdtPr>
            <w:rPr>
              <w:rFonts w:hint="eastAsia"/>
              <w:szCs w:val="21"/>
            </w:rPr>
            <w:alias w:val="是否适用：持续经营[双击切换]"/>
            <w:tag w:val="_GBC_fa7177dc4f164e56b4df7bebc60acf50"/>
            <w:id w:val="1198280732"/>
            <w:lock w:val="sdtLocked"/>
            <w:placeholder>
              <w:docPart w:val="GBC22222222222222222222222222222"/>
            </w:placeholder>
          </w:sdtPr>
          <w:sdtContent>
            <w:p w:rsidR="00806678" w:rsidRDefault="00F80B6C">
              <w:pPr>
                <w:rPr>
                  <w:szCs w:val="21"/>
                </w:rPr>
              </w:pPr>
              <w:r>
                <w:rPr>
                  <w:szCs w:val="21"/>
                </w:rPr>
                <w:fldChar w:fldCharType="begin"/>
              </w:r>
              <w:r w:rsidR="008A1AE1">
                <w:rPr>
                  <w:szCs w:val="21"/>
                </w:rPr>
                <w:instrText xml:space="preserve"> MACROBUTTON  SnrToggleCheckbox √适用  </w:instrText>
              </w:r>
              <w:r>
                <w:rPr>
                  <w:szCs w:val="21"/>
                </w:rPr>
                <w:fldChar w:fldCharType="end"/>
              </w:r>
              <w:r>
                <w:rPr>
                  <w:szCs w:val="21"/>
                </w:rPr>
                <w:fldChar w:fldCharType="begin"/>
              </w:r>
              <w:r w:rsidR="008A1AE1">
                <w:rPr>
                  <w:szCs w:val="21"/>
                </w:rPr>
                <w:instrText xml:space="preserve"> MACROBUTTON  SnrToggleCheckbox □不适用 </w:instrText>
              </w:r>
              <w:r>
                <w:rPr>
                  <w:szCs w:val="21"/>
                </w:rPr>
                <w:fldChar w:fldCharType="end"/>
              </w:r>
            </w:p>
          </w:sdtContent>
        </w:sdt>
        <w:sdt>
          <w:sdtPr>
            <w:rPr>
              <w:szCs w:val="21"/>
            </w:rPr>
            <w:alias w:val="持续经营"/>
            <w:tag w:val="_GBC_dc876c24006b428987a041949eb554f3"/>
            <w:id w:val="425929805"/>
            <w:lock w:val="sdtLocked"/>
            <w:placeholder>
              <w:docPart w:val="GBC22222222222222222222222222222"/>
            </w:placeholder>
          </w:sdtPr>
          <w:sdtContent>
            <w:p w:rsidR="00806678" w:rsidRDefault="008A1AE1">
              <w:pPr>
                <w:rPr>
                  <w:szCs w:val="21"/>
                </w:rPr>
              </w:pPr>
              <w:r>
                <w:rPr>
                  <w:rFonts w:hint="eastAsia"/>
                  <w:szCs w:val="21"/>
                </w:rPr>
                <w:t>本公司持续经营能力正常，不存在导致对报告期末起</w:t>
              </w:r>
              <w:r>
                <w:rPr>
                  <w:szCs w:val="21"/>
                </w:rPr>
                <w:t>12</w:t>
              </w:r>
              <w:r>
                <w:rPr>
                  <w:rFonts w:hint="eastAsia"/>
                  <w:szCs w:val="21"/>
                </w:rPr>
                <w:t>个月内的持续经营假设产生重大疑虑的事项或情况。</w:t>
              </w:r>
            </w:p>
          </w:sdtContent>
        </w:sdt>
        <w:p w:rsidR="00806678" w:rsidRDefault="00F80B6C">
          <w:pPr>
            <w:rPr>
              <w:szCs w:val="21"/>
            </w:rPr>
          </w:pPr>
        </w:p>
      </w:sdtContent>
    </w:sdt>
    <w:p w:rsidR="00806678" w:rsidRDefault="00B16377" w:rsidP="00FF17C7">
      <w:pPr>
        <w:pStyle w:val="2"/>
        <w:numPr>
          <w:ilvl w:val="0"/>
          <w:numId w:val="37"/>
        </w:numPr>
        <w:rPr>
          <w:rFonts w:ascii="宋体" w:hAnsi="宋体"/>
        </w:rPr>
      </w:pPr>
      <w:r>
        <w:rPr>
          <w:rFonts w:ascii="宋体" w:hAnsi="宋体" w:hint="eastAsia"/>
        </w:rPr>
        <w:t>重</w:t>
      </w:r>
      <w:r>
        <w:rPr>
          <w:rFonts w:ascii="宋体" w:hAnsi="宋体"/>
        </w:rPr>
        <w:t>要会计政策</w:t>
      </w:r>
      <w:r>
        <w:rPr>
          <w:rFonts w:ascii="宋体" w:hAnsi="宋体" w:hint="eastAsia"/>
        </w:rPr>
        <w:t>及</w:t>
      </w:r>
      <w:r>
        <w:rPr>
          <w:rFonts w:ascii="宋体" w:hAnsi="宋体"/>
        </w:rPr>
        <w:t>会计估计</w:t>
      </w:r>
    </w:p>
    <w:sdt>
      <w:sdtPr>
        <w:alias w:val="模块:具体会计政策和会计估计提示"/>
        <w:tag w:val="_GBC_03d97fea34d045cb980749ccc6860a5a"/>
        <w:id w:val="-198858015"/>
        <w:lock w:val="sdtLocked"/>
        <w:placeholder>
          <w:docPart w:val="GBC22222222222222222222222222222"/>
        </w:placeholder>
      </w:sdtPr>
      <w:sdtContent>
        <w:p w:rsidR="00806678" w:rsidRDefault="00B16377">
          <w:r>
            <w:rPr>
              <w:rFonts w:hint="eastAsia"/>
            </w:rPr>
            <w:t>具体会计政策和会计估计提示：</w:t>
          </w:r>
        </w:p>
        <w:sdt>
          <w:sdtPr>
            <w:alias w:val="是否适用：具体会计政策和会计估计提示[双击切换]"/>
            <w:tag w:val="_GBC_86fd142a599649f8a3574e6ddaba5f71"/>
            <w:id w:val="822169050"/>
            <w:lock w:val="sdtLocked"/>
            <w:placeholder>
              <w:docPart w:val="GBC22222222222222222222222222222"/>
            </w:placeholder>
          </w:sdtPr>
          <w:sdtContent>
            <w:p w:rsidR="00806678" w:rsidRDefault="00F80B6C">
              <w:r>
                <w:fldChar w:fldCharType="begin"/>
              </w:r>
              <w:r w:rsidR="008A1AE1">
                <w:instrText xml:space="preserve">MACROBUTTON  SnrToggleCheckbox √适用 </w:instrText>
              </w:r>
              <w:r>
                <w:fldChar w:fldCharType="end"/>
              </w:r>
              <w:r>
                <w:fldChar w:fldCharType="begin"/>
              </w:r>
              <w:r w:rsidR="008A1AE1">
                <w:instrText xml:space="preserve"> MACROBUTTON  SnrToggleCheckbox □不适用 </w:instrText>
              </w:r>
              <w:r>
                <w:fldChar w:fldCharType="end"/>
              </w:r>
            </w:p>
          </w:sdtContent>
        </w:sdt>
        <w:sdt>
          <w:sdtPr>
            <w:alias w:val="具体会计政策和会计估计提示"/>
            <w:tag w:val="_GBC_caddaeaf0d1a454ab0bede37f0db7782"/>
            <w:id w:val="1857146552"/>
            <w:lock w:val="sdtLocked"/>
            <w:placeholder>
              <w:docPart w:val="GBC22222222222222222222222222222"/>
            </w:placeholder>
          </w:sdtPr>
          <w:sdtContent>
            <w:p w:rsidR="00806678" w:rsidRDefault="008A1AE1" w:rsidP="00CD68C6">
              <w:pPr>
                <w:overflowPunct w:val="0"/>
                <w:adjustRightInd w:val="0"/>
                <w:snapToGrid w:val="0"/>
              </w:pPr>
              <w:r w:rsidRPr="00CD68C6">
                <w:rPr>
                  <w:rFonts w:cs="Arial" w:hint="eastAsia"/>
                  <w:szCs w:val="21"/>
                </w:rPr>
                <w:t>本集团应收款项坏账准备的确认和计量、发出存货的计量、固定资产的折旧、无形资产的摊销以及收入的确认和计量的相关会计政策是根据本集团相关业务经营特点制定的，具体政策参见</w:t>
              </w:r>
              <w:r w:rsidR="00CD68C6" w:rsidRPr="00CD68C6">
                <w:rPr>
                  <w:rFonts w:cs="Arial" w:hint="eastAsia"/>
                  <w:szCs w:val="21"/>
                </w:rPr>
                <w:t>附注五</w:t>
              </w:r>
              <w:r w:rsidR="00CD68C6" w:rsidRPr="00CD68C6">
                <w:rPr>
                  <w:rFonts w:cs="Arial"/>
                  <w:szCs w:val="21"/>
                </w:rPr>
                <w:t>10、附注五15、附注五23(2)、附注五29、附注五38。</w:t>
              </w:r>
            </w:p>
          </w:sdtContent>
        </w:sdt>
        <w:p w:rsidR="00806678" w:rsidRDefault="00F80B6C"/>
      </w:sdtContent>
    </w:sdt>
    <w:sdt>
      <w:sdtPr>
        <w:rPr>
          <w:rFonts w:asciiTheme="minorHAnsi" w:hAnsiTheme="minorHAnsi" w:cs="宋体"/>
          <w:b w:val="0"/>
          <w:bCs w:val="0"/>
          <w:kern w:val="0"/>
          <w:szCs w:val="22"/>
        </w:rPr>
        <w:alias w:val="模块:遵循企业会计准则的声明"/>
        <w:tag w:val="_GBC_a0afbb5b3a444bce84ee78a2a282cb28"/>
        <w:id w:val="-781266163"/>
        <w:lock w:val="sdtLocked"/>
        <w:placeholder>
          <w:docPart w:val="GBC22222222222222222222222222222"/>
        </w:placeholder>
      </w:sdtPr>
      <w:sdtEndPr>
        <w:rPr>
          <w:rFonts w:ascii="宋体" w:hAnsi="宋体" w:cs="Times New Roman" w:hint="eastAsia"/>
          <w:kern w:val="2"/>
          <w:szCs w:val="21"/>
        </w:rPr>
      </w:sdtEndPr>
      <w:sdtContent>
        <w:p w:rsidR="00806678" w:rsidRDefault="00B16377" w:rsidP="00FF17C7">
          <w:pPr>
            <w:pStyle w:val="3"/>
            <w:numPr>
              <w:ilvl w:val="0"/>
              <w:numId w:val="39"/>
            </w:numPr>
          </w:pPr>
          <w:r>
            <w:t>遵循企业会计准则的声明</w:t>
          </w:r>
        </w:p>
        <w:p w:rsidR="00CD68C6" w:rsidRPr="00CD68C6" w:rsidRDefault="00CD68C6" w:rsidP="00CD68C6"/>
        <w:sdt>
          <w:sdtPr>
            <w:rPr>
              <w:rFonts w:hAnsi="宋体" w:hint="eastAsia"/>
              <w:color w:val="auto"/>
              <w:sz w:val="21"/>
              <w:szCs w:val="21"/>
            </w:rPr>
            <w:alias w:val="会计准则和会计制度"/>
            <w:tag w:val="_GBC_a350b889163a4ef3bb500c021e6a6b47"/>
            <w:id w:val="-1902207007"/>
            <w:lock w:val="sdtLocked"/>
            <w:placeholder>
              <w:docPart w:val="GBC22222222222222222222222222222"/>
            </w:placeholder>
          </w:sdtPr>
          <w:sdtContent>
            <w:p w:rsidR="00596D93" w:rsidRDefault="008A1AE1" w:rsidP="008A1AE1">
              <w:pPr>
                <w:pStyle w:val="Default"/>
                <w:rPr>
                  <w:sz w:val="21"/>
                  <w:szCs w:val="21"/>
                </w:rPr>
              </w:pPr>
              <w:r>
                <w:rPr>
                  <w:rFonts w:hint="eastAsia"/>
                  <w:sz w:val="21"/>
                  <w:szCs w:val="21"/>
                </w:rPr>
                <w:t>本财务报表符合中华人民共和国财政部</w:t>
              </w:r>
              <w:r>
                <w:rPr>
                  <w:sz w:val="21"/>
                  <w:szCs w:val="21"/>
                </w:rPr>
                <w:t>(</w:t>
              </w:r>
              <w:r>
                <w:rPr>
                  <w:rFonts w:hint="eastAsia"/>
                  <w:sz w:val="21"/>
                  <w:szCs w:val="21"/>
                </w:rPr>
                <w:t>以下简称</w:t>
              </w:r>
              <w:r>
                <w:rPr>
                  <w:sz w:val="21"/>
                  <w:szCs w:val="21"/>
                </w:rPr>
                <w:t>“</w:t>
              </w:r>
              <w:r>
                <w:rPr>
                  <w:rFonts w:hint="eastAsia"/>
                  <w:sz w:val="21"/>
                  <w:szCs w:val="21"/>
                </w:rPr>
                <w:t>财政部</w:t>
              </w:r>
              <w:r>
                <w:rPr>
                  <w:sz w:val="21"/>
                  <w:szCs w:val="21"/>
                </w:rPr>
                <w:t>”</w:t>
              </w:r>
              <w:r>
                <w:rPr>
                  <w:sz w:val="21"/>
                  <w:szCs w:val="21"/>
                </w:rPr>
                <w:t>)</w:t>
              </w:r>
              <w:r>
                <w:rPr>
                  <w:rFonts w:hint="eastAsia"/>
                  <w:sz w:val="21"/>
                  <w:szCs w:val="21"/>
                </w:rPr>
                <w:t>颁布的企业会计准则的要求，真实、完整地反映了本公司</w:t>
              </w:r>
              <w:r>
                <w:rPr>
                  <w:sz w:val="21"/>
                  <w:szCs w:val="21"/>
                </w:rPr>
                <w:t>2022</w:t>
              </w:r>
              <w:r>
                <w:rPr>
                  <w:rFonts w:hint="eastAsia"/>
                  <w:sz w:val="21"/>
                  <w:szCs w:val="21"/>
                </w:rPr>
                <w:t>年</w:t>
              </w:r>
              <w:r>
                <w:rPr>
                  <w:sz w:val="21"/>
                  <w:szCs w:val="21"/>
                </w:rPr>
                <w:t>12</w:t>
              </w:r>
              <w:r>
                <w:rPr>
                  <w:rFonts w:hint="eastAsia"/>
                  <w:sz w:val="21"/>
                  <w:szCs w:val="21"/>
                </w:rPr>
                <w:t>月</w:t>
              </w:r>
              <w:r>
                <w:rPr>
                  <w:sz w:val="21"/>
                  <w:szCs w:val="21"/>
                </w:rPr>
                <w:t>31</w:t>
              </w:r>
              <w:r>
                <w:rPr>
                  <w:rFonts w:hint="eastAsia"/>
                  <w:sz w:val="21"/>
                  <w:szCs w:val="21"/>
                </w:rPr>
                <w:t>日的合并财务状况和财务状况、</w:t>
              </w:r>
              <w:r>
                <w:rPr>
                  <w:sz w:val="21"/>
                  <w:szCs w:val="21"/>
                </w:rPr>
                <w:t xml:space="preserve">2022 </w:t>
              </w:r>
              <w:r>
                <w:rPr>
                  <w:rFonts w:hint="eastAsia"/>
                  <w:sz w:val="21"/>
                  <w:szCs w:val="21"/>
                </w:rPr>
                <w:t>年度的合并经营成果和经营成果及合并现金流量和现金流量。</w:t>
              </w:r>
              <w:r>
                <w:rPr>
                  <w:sz w:val="21"/>
                  <w:szCs w:val="21"/>
                </w:rPr>
                <w:t xml:space="preserve"> </w:t>
              </w:r>
            </w:p>
            <w:p w:rsidR="00F719EF" w:rsidRDefault="00F719EF" w:rsidP="008A1AE1">
              <w:pPr>
                <w:rPr>
                  <w:szCs w:val="21"/>
                </w:rPr>
              </w:pPr>
            </w:p>
            <w:p w:rsidR="00806678" w:rsidRDefault="008A1AE1" w:rsidP="008A1AE1">
              <w:pPr>
                <w:rPr>
                  <w:szCs w:val="21"/>
                </w:rPr>
              </w:pPr>
              <w:r>
                <w:rPr>
                  <w:rFonts w:hint="eastAsia"/>
                  <w:szCs w:val="21"/>
                </w:rPr>
                <w:t>此外，本公司的财务报表同时符合中国证券监督管理委员会</w:t>
              </w:r>
              <w:r>
                <w:rPr>
                  <w:szCs w:val="21"/>
                </w:rPr>
                <w:t xml:space="preserve"> (</w:t>
              </w:r>
              <w:r>
                <w:rPr>
                  <w:rFonts w:hint="eastAsia"/>
                  <w:szCs w:val="21"/>
                </w:rPr>
                <w:t>以下简称</w:t>
              </w:r>
              <w:r>
                <w:rPr>
                  <w:szCs w:val="21"/>
                </w:rPr>
                <w:t>“</w:t>
              </w:r>
              <w:r>
                <w:rPr>
                  <w:rFonts w:hint="eastAsia"/>
                  <w:szCs w:val="21"/>
                </w:rPr>
                <w:t>证监会</w:t>
              </w:r>
              <w:r>
                <w:rPr>
                  <w:szCs w:val="21"/>
                </w:rPr>
                <w:t xml:space="preserve">”) 2014 </w:t>
              </w:r>
              <w:r>
                <w:rPr>
                  <w:rFonts w:hint="eastAsia"/>
                  <w:szCs w:val="21"/>
                </w:rPr>
                <w:t>年修订的《公开发行证券的公司信息披露编报规则第</w:t>
              </w:r>
              <w:r>
                <w:rPr>
                  <w:szCs w:val="21"/>
                </w:rPr>
                <w:t xml:space="preserve">15 </w:t>
              </w:r>
              <w:r>
                <w:rPr>
                  <w:rFonts w:hint="eastAsia"/>
                  <w:szCs w:val="21"/>
                </w:rPr>
                <w:t>号</w:t>
              </w:r>
              <w:r>
                <w:rPr>
                  <w:szCs w:val="21"/>
                </w:rPr>
                <w:t>——</w:t>
              </w:r>
              <w:r>
                <w:rPr>
                  <w:rFonts w:hint="eastAsia"/>
                  <w:szCs w:val="21"/>
                </w:rPr>
                <w:t>财务报告的一般规定》有关财务报表及其附注的披露要求。</w:t>
              </w:r>
            </w:p>
          </w:sdtContent>
        </w:sdt>
      </w:sdtContent>
    </w:sdt>
    <w:p w:rsidR="00806678" w:rsidRDefault="00806678">
      <w:pPr>
        <w:rPr>
          <w:szCs w:val="21"/>
        </w:rPr>
      </w:pPr>
    </w:p>
    <w:sdt>
      <w:sdtPr>
        <w:rPr>
          <w:rFonts w:ascii="宋体" w:hAnsi="宋体" w:cs="宋体"/>
          <w:b w:val="0"/>
          <w:bCs w:val="0"/>
          <w:kern w:val="0"/>
          <w:szCs w:val="24"/>
        </w:rPr>
        <w:alias w:val="模块:会计期间"/>
        <w:tag w:val="_GBC_2d7f332501c8461ea731797db5588ee5"/>
        <w:id w:val="770594104"/>
        <w:lock w:val="sdtLocked"/>
        <w:placeholder>
          <w:docPart w:val="GBC22222222222222222222222222222"/>
        </w:placeholder>
      </w:sdtPr>
      <w:sdtEndPr>
        <w:rPr>
          <w:rFonts w:hint="eastAsia"/>
          <w:szCs w:val="21"/>
        </w:rPr>
      </w:sdtEndPr>
      <w:sdtContent>
        <w:p w:rsidR="00806678" w:rsidRDefault="00B16377" w:rsidP="00FF17C7">
          <w:pPr>
            <w:pStyle w:val="3"/>
            <w:numPr>
              <w:ilvl w:val="0"/>
              <w:numId w:val="39"/>
            </w:numPr>
          </w:pPr>
          <w:r>
            <w:t>会计期间</w:t>
          </w:r>
        </w:p>
        <w:sdt>
          <w:sdtPr>
            <w:rPr>
              <w:rFonts w:hint="eastAsia"/>
              <w:szCs w:val="21"/>
            </w:rPr>
            <w:alias w:val="会计年度"/>
            <w:tag w:val="_GBC_fc896fba50b143f8a06984831f5d5600"/>
            <w:id w:val="258641710"/>
            <w:lock w:val="sdtLocked"/>
            <w:placeholder>
              <w:docPart w:val="GBC22222222222222222222222222222"/>
            </w:placeholder>
          </w:sdtPr>
          <w:sdtContent>
            <w:p w:rsidR="00806678" w:rsidRDefault="00B16377">
              <w:pPr>
                <w:rPr>
                  <w:szCs w:val="21"/>
                </w:rPr>
              </w:pPr>
              <w:r>
                <w:rPr>
                  <w:szCs w:val="21"/>
                </w:rPr>
                <w:t>本公司会计年度自公历1月1日起至12月31日止。</w:t>
              </w:r>
            </w:p>
          </w:sdtContent>
        </w:sdt>
      </w:sdtContent>
    </w:sdt>
    <w:p w:rsidR="00806678" w:rsidRDefault="00806678">
      <w:pPr>
        <w:rPr>
          <w:szCs w:val="21"/>
        </w:rPr>
      </w:pPr>
    </w:p>
    <w:sdt>
      <w:sdtPr>
        <w:rPr>
          <w:rFonts w:asciiTheme="minorHAnsi" w:hAnsiTheme="minorHAnsi" w:cs="宋体" w:hint="eastAsia"/>
          <w:b w:val="0"/>
          <w:bCs w:val="0"/>
          <w:kern w:val="0"/>
          <w:szCs w:val="22"/>
        </w:rPr>
        <w:alias w:val="模块:营业周期"/>
        <w:tag w:val="_GBC_b045784ca7904d52a060134ffec0d88c"/>
        <w:id w:val="1199902313"/>
        <w:lock w:val="sdtLocked"/>
        <w:placeholder>
          <w:docPart w:val="GBC22222222222222222222222222222"/>
        </w:placeholder>
      </w:sdtPr>
      <w:sdtEndPr>
        <w:rPr>
          <w:rFonts w:ascii="宋体" w:hAnsi="宋体" w:cs="Times New Roman"/>
          <w:kern w:val="2"/>
          <w:szCs w:val="21"/>
        </w:rPr>
      </w:sdtEndPr>
      <w:sdtContent>
        <w:p w:rsidR="00806678" w:rsidRDefault="00B16377" w:rsidP="00FF17C7">
          <w:pPr>
            <w:pStyle w:val="3"/>
            <w:numPr>
              <w:ilvl w:val="0"/>
              <w:numId w:val="39"/>
            </w:numPr>
          </w:pPr>
          <w:r>
            <w:rPr>
              <w:rFonts w:hint="eastAsia"/>
            </w:rPr>
            <w:t>营业周期</w:t>
          </w:r>
        </w:p>
        <w:sdt>
          <w:sdtPr>
            <w:rPr>
              <w:rFonts w:hint="eastAsia"/>
              <w:szCs w:val="21"/>
            </w:rPr>
            <w:alias w:val="是否适用：营业周期[双击切换]"/>
            <w:tag w:val="_GBC_41bd09d0a4bd429996597e58a613259e"/>
            <w:id w:val="-111682097"/>
            <w:lock w:val="sdtLocked"/>
            <w:placeholder>
              <w:docPart w:val="GBC22222222222222222222222222222"/>
            </w:placeholder>
          </w:sdtPr>
          <w:sdtContent>
            <w:p w:rsidR="00806678" w:rsidRDefault="00F80B6C" w:rsidP="008A1AE1">
              <w:pPr>
                <w:rPr>
                  <w:rFonts w:cs="Times New Roman"/>
                  <w:kern w:val="2"/>
                  <w:szCs w:val="21"/>
                </w:rPr>
              </w:pPr>
              <w:r>
                <w:rPr>
                  <w:szCs w:val="21"/>
                </w:rPr>
                <w:fldChar w:fldCharType="begin"/>
              </w:r>
              <w:r w:rsidR="008A1AE1">
                <w:rPr>
                  <w:szCs w:val="21"/>
                </w:rPr>
                <w:instrText xml:space="preserve"> MACROBUTTON  SnrToggleCheckbox □适用  </w:instrText>
              </w:r>
              <w:r>
                <w:rPr>
                  <w:szCs w:val="21"/>
                </w:rPr>
                <w:fldChar w:fldCharType="end"/>
              </w:r>
              <w:r>
                <w:rPr>
                  <w:szCs w:val="21"/>
                </w:rPr>
                <w:fldChar w:fldCharType="begin"/>
              </w:r>
              <w:r w:rsidR="008A1AE1">
                <w:rPr>
                  <w:szCs w:val="21"/>
                </w:rPr>
                <w:instrText xml:space="preserve"> MACROBUTTON  SnrToggleCheckbox √不适用 </w:instrText>
              </w:r>
              <w:r>
                <w:rPr>
                  <w:szCs w:val="21"/>
                </w:rPr>
                <w:fldChar w:fldCharType="end"/>
              </w:r>
            </w:p>
          </w:sdtContent>
        </w:sdt>
        <w:bookmarkStart w:id="133" w:name="_Hlk130925689" w:displacedByCustomXml="next"/>
      </w:sdtContent>
    </w:sdt>
    <w:bookmarkEnd w:id="133" w:displacedByCustomXml="prev"/>
    <w:p w:rsidR="00806678" w:rsidRDefault="00806678">
      <w:pPr>
        <w:rPr>
          <w:szCs w:val="21"/>
        </w:rPr>
      </w:pPr>
    </w:p>
    <w:sdt>
      <w:sdtPr>
        <w:rPr>
          <w:rFonts w:asciiTheme="minorHAnsi" w:hAnsiTheme="minorHAnsi" w:cs="宋体"/>
          <w:b w:val="0"/>
          <w:bCs w:val="0"/>
          <w:kern w:val="0"/>
          <w:szCs w:val="22"/>
        </w:rPr>
        <w:alias w:val="模块:记账本位币"/>
        <w:tag w:val="_GBC_13b1061968754e20bebf2099281ed54f"/>
        <w:id w:val="-2092074216"/>
        <w:lock w:val="sdtLocked"/>
        <w:placeholder>
          <w:docPart w:val="GBC22222222222222222222222222222"/>
        </w:placeholder>
      </w:sdtPr>
      <w:sdtEndPr>
        <w:rPr>
          <w:rFonts w:ascii="宋体" w:hAnsi="宋体" w:cs="Times New Roman" w:hint="eastAsia"/>
          <w:kern w:val="2"/>
          <w:szCs w:val="21"/>
        </w:rPr>
      </w:sdtEndPr>
      <w:sdtContent>
        <w:p w:rsidR="00806678" w:rsidRDefault="00B16377" w:rsidP="00FF17C7">
          <w:pPr>
            <w:pStyle w:val="3"/>
            <w:numPr>
              <w:ilvl w:val="0"/>
              <w:numId w:val="39"/>
            </w:numPr>
          </w:pPr>
          <w:r>
            <w:t>记账本位币</w:t>
          </w:r>
        </w:p>
        <w:sdt>
          <w:sdtPr>
            <w:rPr>
              <w:rFonts w:hint="eastAsia"/>
              <w:szCs w:val="21"/>
            </w:rPr>
            <w:alias w:val="记账本位币"/>
            <w:tag w:val="_GBC_3749a2357eba44e8b968cb41cda75ff1"/>
            <w:id w:val="425082386"/>
            <w:lock w:val="sdtLocked"/>
            <w:placeholder>
              <w:docPart w:val="GBC22222222222222222222222222222"/>
            </w:placeholder>
          </w:sdtPr>
          <w:sdtContent>
            <w:p w:rsidR="00806678" w:rsidRDefault="008A1AE1">
              <w:pPr>
                <w:rPr>
                  <w:szCs w:val="21"/>
                </w:rPr>
              </w:pPr>
              <w:r>
                <w:rPr>
                  <w:rFonts w:hint="eastAsia"/>
                  <w:szCs w:val="21"/>
                </w:rPr>
                <w:t>本公司的记账本位币为人民币，编制财务报表采用的货币为人民币。本公司及子公司选定记账本位币的依据是主要业务收支的计价和结算币种。</w:t>
              </w:r>
            </w:p>
          </w:sdtContent>
        </w:sdt>
        <w:p w:rsidR="00806678" w:rsidRDefault="00F80B6C">
          <w:pPr>
            <w:rPr>
              <w:szCs w:val="21"/>
            </w:rPr>
          </w:pPr>
        </w:p>
      </w:sdtContent>
    </w:sdt>
    <w:sdt>
      <w:sdtPr>
        <w:rPr>
          <w:rFonts w:asciiTheme="minorHAnsi" w:hAnsiTheme="minorHAnsi" w:cs="宋体"/>
          <w:b w:val="0"/>
          <w:bCs w:val="0"/>
          <w:kern w:val="0"/>
          <w:szCs w:val="22"/>
        </w:rPr>
        <w:alias w:val="模块:同一控制下和非同一控制下企业合并的会计处理方法"/>
        <w:tag w:val="_GBC_f44e1e76b2a3457ea36bc088adcbb4c3"/>
        <w:id w:val="-1582130209"/>
        <w:lock w:val="sdtLocked"/>
        <w:placeholder>
          <w:docPart w:val="GBC22222222222222222222222222222"/>
        </w:placeholder>
      </w:sdtPr>
      <w:sdtEndPr>
        <w:rPr>
          <w:rFonts w:ascii="宋体" w:hAnsi="宋体" w:cs="Times New Roman" w:hint="eastAsia"/>
          <w:kern w:val="2"/>
          <w:szCs w:val="21"/>
        </w:rPr>
      </w:sdtEndPr>
      <w:sdtContent>
        <w:p w:rsidR="00806678" w:rsidRDefault="00B16377" w:rsidP="00FF17C7">
          <w:pPr>
            <w:pStyle w:val="3"/>
            <w:numPr>
              <w:ilvl w:val="0"/>
              <w:numId w:val="39"/>
            </w:numPr>
          </w:pPr>
          <w:r>
            <w:t>同一控制下和非同一控制下企业合并的会计处理方法</w:t>
          </w:r>
        </w:p>
        <w:sdt>
          <w:sdtPr>
            <w:rPr>
              <w:rFonts w:hint="eastAsia"/>
              <w:szCs w:val="21"/>
            </w:rPr>
            <w:alias w:val="是否适用：同一控制下和非同一控制下企业合并的会计处理方法[双击切换]"/>
            <w:tag w:val="_GBC_46d00db18b44411d8dd79543c30557e3"/>
            <w:id w:val="-1041359531"/>
            <w:lock w:val="sdtLocked"/>
            <w:placeholder>
              <w:docPart w:val="GBC22222222222222222222222222222"/>
            </w:placeholder>
          </w:sdtPr>
          <w:sdtContent>
            <w:p w:rsidR="00CD68C6" w:rsidRDefault="00F80B6C" w:rsidP="00AA41E7">
              <w:pPr>
                <w:rPr>
                  <w:szCs w:val="21"/>
                </w:rPr>
              </w:pPr>
              <w:r>
                <w:rPr>
                  <w:szCs w:val="21"/>
                </w:rPr>
                <w:fldChar w:fldCharType="begin"/>
              </w:r>
              <w:r w:rsidR="00AA41E7">
                <w:rPr>
                  <w:szCs w:val="21"/>
                </w:rPr>
                <w:instrText xml:space="preserve"> MACROBUTTON  SnrToggleCheckbox √适用  </w:instrText>
              </w:r>
              <w:r>
                <w:rPr>
                  <w:szCs w:val="21"/>
                </w:rPr>
                <w:fldChar w:fldCharType="end"/>
              </w:r>
              <w:r>
                <w:rPr>
                  <w:szCs w:val="21"/>
                </w:rPr>
                <w:fldChar w:fldCharType="begin"/>
              </w:r>
              <w:r w:rsidR="00AA41E7">
                <w:rPr>
                  <w:szCs w:val="21"/>
                </w:rPr>
                <w:instrText xml:space="preserve"> MACROBUTTON  SnrToggleCheckbox □不适用 </w:instrText>
              </w:r>
              <w:r>
                <w:rPr>
                  <w:szCs w:val="21"/>
                </w:rPr>
                <w:fldChar w:fldCharType="end"/>
              </w:r>
            </w:p>
            <w:p w:rsidR="00AA41E7" w:rsidRDefault="00F80B6C" w:rsidP="00AA41E7">
              <w:pPr>
                <w:rPr>
                  <w:szCs w:val="21"/>
                </w:rPr>
              </w:pPr>
            </w:p>
          </w:sdtContent>
        </w:sdt>
        <w:sdt>
          <w:sdtPr>
            <w:rPr>
              <w:rFonts w:hint="eastAsia"/>
              <w:szCs w:val="21"/>
            </w:rPr>
            <w:alias w:val="同一控制下和非同一控制下企业合并的会计处理方法"/>
            <w:tag w:val="_GBC_ef4b9a8d4ac34f45a0f61a23267bcbb8"/>
            <w:id w:val="-1819805542"/>
            <w:lock w:val="sdtLocked"/>
          </w:sdtPr>
          <w:sdtContent>
            <w:p w:rsidR="00AA41E7" w:rsidRPr="00AA41E7" w:rsidRDefault="00AA41E7" w:rsidP="00AA41E7">
              <w:pPr>
                <w:rPr>
                  <w:szCs w:val="21"/>
                </w:rPr>
              </w:pPr>
              <w:r w:rsidRPr="00AA41E7">
                <w:rPr>
                  <w:rFonts w:hint="eastAsia"/>
                  <w:szCs w:val="21"/>
                </w:rPr>
                <w:t>本集团取得对另一个或多个企业</w:t>
              </w:r>
              <w:r w:rsidRPr="00AA41E7">
                <w:rPr>
                  <w:szCs w:val="21"/>
                </w:rPr>
                <w:t xml:space="preserve"> (或一组资产或净资产) 的控制权且其构成业务的，该交易或事项构成企业合并。企业合并分为同一控制下的企业合并和非同一控制下的企业合并。</w:t>
              </w:r>
            </w:p>
            <w:p w:rsidR="00AA41E7" w:rsidRPr="00AA41E7" w:rsidRDefault="00AA41E7" w:rsidP="00AA41E7">
              <w:pPr>
                <w:rPr>
                  <w:szCs w:val="21"/>
                </w:rPr>
              </w:pPr>
            </w:p>
            <w:p w:rsidR="00AA41E7" w:rsidRPr="00AA41E7" w:rsidRDefault="00AA41E7" w:rsidP="00AA41E7">
              <w:pPr>
                <w:rPr>
                  <w:szCs w:val="21"/>
                </w:rPr>
              </w:pPr>
              <w:r w:rsidRPr="00AA41E7">
                <w:rPr>
                  <w:rFonts w:hint="eastAsia"/>
                  <w:szCs w:val="21"/>
                </w:rPr>
                <w:t>对于非同一控制下的交易，购买方在判断取得的资产组合等是否构成一项业务时，将考虑是否选择采用“集中度测试”的简化判断方式。如果该组合通过集中度测试，则判断为不构成业务。如果该组合未通过集中度测试，仍应按照业务条件进行判断。</w:t>
              </w:r>
            </w:p>
            <w:p w:rsidR="00AA41E7" w:rsidRPr="00AA41E7" w:rsidRDefault="00AA41E7" w:rsidP="00AA41E7">
              <w:pPr>
                <w:rPr>
                  <w:szCs w:val="21"/>
                </w:rPr>
              </w:pPr>
            </w:p>
            <w:p w:rsidR="00AA41E7" w:rsidRPr="00AA41E7" w:rsidRDefault="00AA41E7" w:rsidP="00AA41E7">
              <w:pPr>
                <w:rPr>
                  <w:szCs w:val="21"/>
                </w:rPr>
              </w:pPr>
              <w:r w:rsidRPr="00AA41E7">
                <w:rPr>
                  <w:rFonts w:hint="eastAsia"/>
                  <w:szCs w:val="21"/>
                </w:rPr>
                <w:t>当本集团取得了不构成业务的一组资产或净资产时，应将购买成本按购买日所取得各项可辨认资产、负债的相对公允价值基础进行分配，不按照以下企业合并的会计处理方法进行处理。</w:t>
              </w:r>
            </w:p>
            <w:p w:rsidR="00AA41E7" w:rsidRPr="00AA41E7" w:rsidRDefault="00AA41E7" w:rsidP="00AA41E7">
              <w:pPr>
                <w:rPr>
                  <w:szCs w:val="21"/>
                </w:rPr>
              </w:pPr>
            </w:p>
            <w:p w:rsidR="00AA41E7" w:rsidRPr="00AA41E7" w:rsidRDefault="00AA41E7" w:rsidP="00AA41E7">
              <w:pPr>
                <w:rPr>
                  <w:szCs w:val="21"/>
                </w:rPr>
              </w:pPr>
              <w:r w:rsidRPr="00AA41E7">
                <w:rPr>
                  <w:szCs w:val="21"/>
                </w:rPr>
                <w:t>(1)</w:t>
              </w:r>
              <w:r w:rsidRPr="00AA41E7">
                <w:rPr>
                  <w:szCs w:val="21"/>
                </w:rPr>
                <w:tab/>
                <w:t>同一控制下的企业合并</w:t>
              </w:r>
            </w:p>
            <w:p w:rsidR="00AA41E7" w:rsidRPr="00AA41E7" w:rsidRDefault="00AA41E7" w:rsidP="00AA41E7">
              <w:pPr>
                <w:rPr>
                  <w:szCs w:val="21"/>
                </w:rPr>
              </w:pPr>
            </w:p>
            <w:p w:rsidR="00AA41E7" w:rsidRDefault="00AA41E7" w:rsidP="00AA41E7">
              <w:pPr>
                <w:rPr>
                  <w:szCs w:val="21"/>
                </w:rPr>
              </w:pPr>
              <w:r w:rsidRPr="00AA41E7">
                <w:rPr>
                  <w:rFonts w:hint="eastAsia"/>
                  <w:szCs w:val="21"/>
                </w:rPr>
                <w:t>参与合并的企业在合并前后均受同一方或相同的多方最终控制且该控制并非暂时性的，为同一控制下的企业合并。合并方在企业合并中取得的资产和负债，按照合并日在最终控制方合并财务报表中的账面价值计量。取得的净资产账面价值与支付的合并对价账面价值</w:t>
              </w:r>
              <w:r w:rsidRPr="00AA41E7">
                <w:rPr>
                  <w:szCs w:val="21"/>
                </w:rPr>
                <w:t xml:space="preserve"> (或发行股份面值总额) </w:t>
              </w:r>
              <w:r w:rsidRPr="00AA41E7">
                <w:rPr>
                  <w:szCs w:val="21"/>
                </w:rPr>
                <w:lastRenderedPageBreak/>
                <w:t>的差额，调整资本公积中的股本溢价；资本公积中的股本溢价不足冲减的，调整留存收益。为进行企业合并发生的直接相关费用，于发生时计入当期损益。合并日为合并方实际取得对被合并方控制权的日期。</w:t>
              </w:r>
            </w:p>
            <w:p w:rsidR="00CD68C6" w:rsidRPr="00AA41E7" w:rsidRDefault="00CD68C6" w:rsidP="00AA41E7">
              <w:pPr>
                <w:rPr>
                  <w:szCs w:val="21"/>
                </w:rPr>
              </w:pPr>
            </w:p>
            <w:p w:rsidR="00AA41E7" w:rsidRPr="00AA41E7" w:rsidRDefault="00AA41E7" w:rsidP="00AA41E7">
              <w:pPr>
                <w:rPr>
                  <w:szCs w:val="21"/>
                </w:rPr>
              </w:pPr>
              <w:r w:rsidRPr="00AA41E7">
                <w:rPr>
                  <w:szCs w:val="21"/>
                </w:rPr>
                <w:t>(2)</w:t>
              </w:r>
              <w:r w:rsidRPr="00AA41E7">
                <w:rPr>
                  <w:szCs w:val="21"/>
                </w:rPr>
                <w:tab/>
                <w:t>非同一控制下的企业合并</w:t>
              </w:r>
            </w:p>
            <w:p w:rsidR="00AA41E7" w:rsidRPr="00AA41E7" w:rsidRDefault="00AA41E7" w:rsidP="00AA41E7">
              <w:pPr>
                <w:rPr>
                  <w:szCs w:val="21"/>
                </w:rPr>
              </w:pPr>
            </w:p>
            <w:p w:rsidR="00AA41E7" w:rsidRDefault="00AA41E7" w:rsidP="00AA41E7">
              <w:pPr>
                <w:rPr>
                  <w:szCs w:val="21"/>
                </w:rPr>
              </w:pPr>
              <w:r w:rsidRPr="00AA41E7">
                <w:rPr>
                  <w:rFonts w:hint="eastAsia"/>
                  <w:szCs w:val="21"/>
                </w:rPr>
                <w:t>参与合并的各方在合并前后不受同一方或相同的多方最终控制的，为非同一控制下的企业合并。本集团作为购买方，为取得被购买方控制权而付出的资产</w:t>
              </w:r>
              <w:r w:rsidRPr="00AA41E7">
                <w:rPr>
                  <w:szCs w:val="21"/>
                </w:rPr>
                <w:t xml:space="preserve"> (包括购买日之前所持有的被购买方的股权) 、发生或承担的负债以及发行的权益性证券在购买日的公允价值之和，减去合并中取得的被购买方可辨认净资产于购买日公允价值份额的差额，如为正数则确认为商誉；如为负数则计入当期损益。本集团将作为合并对价发行的权益性证券或债务性证券的交易费用，计入权益性证券或债务性证券的初始确认金额。本集团为进行企业合并发生的其他各项直接费用计入当期损益。付出</w:t>
              </w:r>
              <w:r w:rsidRPr="00AA41E7">
                <w:rPr>
                  <w:rFonts w:hint="eastAsia"/>
                  <w:szCs w:val="21"/>
                </w:rPr>
                <w:t>资产的公允价值与其账面价值的差额，计入当期损益。本集团在购买日按公允价值确认所取得的被购买方符合确认条件的各项可辨认资产、负债及或有负债。购买日是指购买方实际取得对被购买方控制权的日期。</w:t>
              </w:r>
            </w:p>
            <w:p w:rsidR="00CD68C6" w:rsidRPr="00AA41E7" w:rsidRDefault="00CD68C6" w:rsidP="00AA41E7">
              <w:pPr>
                <w:rPr>
                  <w:szCs w:val="21"/>
                </w:rPr>
              </w:pPr>
            </w:p>
            <w:p w:rsidR="00AA41E7" w:rsidRDefault="00AA41E7" w:rsidP="00AA41E7">
              <w:r w:rsidRPr="00AA41E7">
                <w:rPr>
                  <w:rFonts w:hint="eastAsia"/>
                  <w:szCs w:val="21"/>
                </w:rPr>
                <w:t>通过多次交易分步实现非同一控制企业合并时，对于购买日之前持有的被购买方的股权，本集团会按照该股权在购买日的公允价值进行重新计量，公允价值与其账面价值的差额计入当期投资收益或其他综合收益。购买日之前持有的被购买方的股权涉及的权益法核算下的以后可重分类进损益的其他综合收益及其他所有者权益变动</w:t>
              </w:r>
              <w:r w:rsidRPr="00AA41E7">
                <w:rPr>
                  <w:szCs w:val="21"/>
                </w:rPr>
                <w:t xml:space="preserve"> (参见附注</w:t>
              </w:r>
              <w:r w:rsidR="00596D93">
                <w:rPr>
                  <w:rFonts w:hint="eastAsia"/>
                  <w:szCs w:val="21"/>
                </w:rPr>
                <w:t>五</w:t>
              </w:r>
              <w:r w:rsidRPr="00AA41E7">
                <w:rPr>
                  <w:szCs w:val="21"/>
                </w:rPr>
                <w:t>、</w:t>
              </w:r>
              <w:r w:rsidR="00596D93">
                <w:rPr>
                  <w:rFonts w:hint="eastAsia"/>
                  <w:szCs w:val="21"/>
                </w:rPr>
                <w:t>2</w:t>
              </w:r>
              <w:r w:rsidR="00596D93">
                <w:rPr>
                  <w:szCs w:val="21"/>
                </w:rPr>
                <w:t>1</w:t>
              </w:r>
              <w:r w:rsidRPr="00AA41E7">
                <w:rPr>
                  <w:szCs w:val="21"/>
                </w:rPr>
                <w:t>(2)(b)) 于购买日转入当期投资收益；购买日之前持有的被购买方的股权为以公允价值计量且其变动计入其他综合收益的权益工具投资的，购买日之前确认的其他综合收益于购买日转入留存收益。</w:t>
              </w:r>
            </w:p>
          </w:sdtContent>
        </w:sdt>
        <w:p w:rsidR="00806678" w:rsidRDefault="00F80B6C" w:rsidP="00AA41E7">
          <w:pPr>
            <w:rPr>
              <w:rFonts w:cs="Times New Roman"/>
              <w:kern w:val="2"/>
              <w:szCs w:val="21"/>
            </w:rPr>
          </w:pPr>
        </w:p>
      </w:sdtContent>
    </w:sdt>
    <w:p w:rsidR="00806678" w:rsidRDefault="00806678">
      <w:pPr>
        <w:rPr>
          <w:szCs w:val="21"/>
        </w:rPr>
      </w:pPr>
    </w:p>
    <w:sdt>
      <w:sdtPr>
        <w:rPr>
          <w:rFonts w:ascii="宋体" w:hAnsi="宋体" w:cs="宋体"/>
          <w:b w:val="0"/>
          <w:bCs w:val="0"/>
          <w:kern w:val="0"/>
          <w:szCs w:val="24"/>
        </w:rPr>
        <w:alias w:val="模块:合并财务报表的编制方法"/>
        <w:tag w:val="_GBC_c23be25e527044f689b710dabd312b04"/>
        <w:id w:val="744612665"/>
        <w:lock w:val="sdtLocked"/>
        <w:placeholder>
          <w:docPart w:val="GBC22222222222222222222222222222"/>
        </w:placeholder>
      </w:sdtPr>
      <w:sdtEndPr>
        <w:rPr>
          <w:rFonts w:hint="eastAsia"/>
          <w:szCs w:val="21"/>
        </w:rPr>
      </w:sdtEndPr>
      <w:sdtContent>
        <w:p w:rsidR="00806678" w:rsidRDefault="00B16377" w:rsidP="00FF17C7">
          <w:pPr>
            <w:pStyle w:val="3"/>
            <w:numPr>
              <w:ilvl w:val="0"/>
              <w:numId w:val="39"/>
            </w:numPr>
          </w:pPr>
          <w:r>
            <w:t>合并财务报表的编制方法</w:t>
          </w:r>
        </w:p>
        <w:sdt>
          <w:sdtPr>
            <w:rPr>
              <w:rFonts w:hint="eastAsia"/>
              <w:szCs w:val="21"/>
            </w:rPr>
            <w:alias w:val="是否适用：合并财务报表的编制方法[双击切换]"/>
            <w:tag w:val="_GBC_d8312ea572e647a59b796bf708b54713"/>
            <w:id w:val="113342161"/>
            <w:lock w:val="sdtLocked"/>
            <w:placeholder>
              <w:docPart w:val="GBC22222222222222222222222222222"/>
            </w:placeholder>
          </w:sdtPr>
          <w:sdtContent>
            <w:p w:rsidR="00CD68C6" w:rsidRDefault="00F80B6C">
              <w:pPr>
                <w:rPr>
                  <w:szCs w:val="21"/>
                </w:rPr>
              </w:pPr>
              <w:r>
                <w:rPr>
                  <w:szCs w:val="21"/>
                </w:rPr>
                <w:fldChar w:fldCharType="begin"/>
              </w:r>
              <w:r w:rsidR="00AA41E7">
                <w:rPr>
                  <w:szCs w:val="21"/>
                </w:rPr>
                <w:instrText xml:space="preserve"> MACROBUTTON  SnrToggleCheckbox √适用  </w:instrText>
              </w:r>
              <w:r>
                <w:rPr>
                  <w:szCs w:val="21"/>
                </w:rPr>
                <w:fldChar w:fldCharType="end"/>
              </w:r>
              <w:r>
                <w:rPr>
                  <w:szCs w:val="21"/>
                </w:rPr>
                <w:fldChar w:fldCharType="begin"/>
              </w:r>
              <w:r w:rsidR="00AA41E7">
                <w:rPr>
                  <w:szCs w:val="21"/>
                </w:rPr>
                <w:instrText xml:space="preserve"> MACROBUTTON  SnrToggleCheckbox □不适用 </w:instrText>
              </w:r>
              <w:r>
                <w:rPr>
                  <w:szCs w:val="21"/>
                </w:rPr>
                <w:fldChar w:fldCharType="end"/>
              </w:r>
            </w:p>
            <w:p w:rsidR="00806678" w:rsidRDefault="00F80B6C">
              <w:pPr>
                <w:rPr>
                  <w:szCs w:val="21"/>
                </w:rPr>
              </w:pPr>
            </w:p>
          </w:sdtContent>
        </w:sdt>
        <w:sdt>
          <w:sdtPr>
            <w:rPr>
              <w:rFonts w:ascii="宋体" w:hAnsi="宋体" w:cs="宋体" w:hint="eastAsia"/>
              <w:b w:val="0"/>
              <w:bCs w:val="0"/>
              <w:kern w:val="0"/>
              <w:szCs w:val="21"/>
            </w:rPr>
            <w:alias w:val="企业合并及合并财务报表的说明"/>
            <w:tag w:val="_GBC_5201beca0c0944939b4a0d8d100d6fcf"/>
            <w:id w:val="315152006"/>
            <w:lock w:val="sdtLocked"/>
            <w:placeholder>
              <w:docPart w:val="GBC22222222222222222222222222222"/>
            </w:placeholder>
          </w:sdtPr>
          <w:sdtContent>
            <w:p w:rsidR="00AA41E7" w:rsidRPr="00C3641E" w:rsidRDefault="00AA41E7" w:rsidP="00AA41E7">
              <w:pPr>
                <w:pStyle w:val="3"/>
                <w:keepNext w:val="0"/>
                <w:widowControl/>
                <w:tabs>
                  <w:tab w:val="left" w:pos="0"/>
                </w:tabs>
                <w:overflowPunct w:val="0"/>
                <w:adjustRightInd w:val="0"/>
                <w:snapToGrid w:val="0"/>
                <w:spacing w:before="0" w:after="0"/>
                <w:rPr>
                  <w:rFonts w:asciiTheme="majorEastAsia" w:eastAsiaTheme="majorEastAsia" w:hAnsiTheme="majorEastAsia" w:cs="Arial"/>
                  <w:b w:val="0"/>
                  <w:kern w:val="0"/>
                  <w:szCs w:val="21"/>
                </w:rPr>
              </w:pPr>
              <w:r w:rsidRPr="00C3641E">
                <w:rPr>
                  <w:rFonts w:asciiTheme="majorEastAsia" w:eastAsiaTheme="majorEastAsia" w:hAnsiTheme="majorEastAsia" w:cs="Arial" w:hint="eastAsia"/>
                  <w:b w:val="0"/>
                  <w:kern w:val="0"/>
                  <w:szCs w:val="21"/>
                </w:rPr>
                <w:t>(1)</w:t>
              </w:r>
              <w:r w:rsidRPr="00C3641E">
                <w:rPr>
                  <w:rFonts w:asciiTheme="majorEastAsia" w:eastAsiaTheme="majorEastAsia" w:hAnsiTheme="majorEastAsia" w:cs="Arial" w:hint="eastAsia"/>
                  <w:b w:val="0"/>
                  <w:kern w:val="0"/>
                  <w:szCs w:val="21"/>
                </w:rPr>
                <w:tab/>
                <w:t>总体原则</w:t>
              </w:r>
            </w:p>
            <w:p w:rsidR="00AA41E7" w:rsidRPr="00C3641E" w:rsidRDefault="00AA41E7" w:rsidP="00AA41E7">
              <w:pPr>
                <w:overflowPunct w:val="0"/>
                <w:adjustRightInd w:val="0"/>
                <w:snapToGrid w:val="0"/>
                <w:rPr>
                  <w:rFonts w:cs="Arial"/>
                  <w:szCs w:val="21"/>
                </w:rPr>
              </w:pPr>
            </w:p>
            <w:p w:rsidR="00AA41E7" w:rsidRPr="00C3641E" w:rsidRDefault="00AA41E7" w:rsidP="00AA41E7">
              <w:pPr>
                <w:overflowPunct w:val="0"/>
                <w:adjustRightInd w:val="0"/>
                <w:snapToGrid w:val="0"/>
                <w:rPr>
                  <w:rFonts w:cs="Arial"/>
                  <w:szCs w:val="21"/>
                  <w:lang w:val="zh-CN"/>
                </w:rPr>
              </w:pPr>
              <w:r w:rsidRPr="00C3641E">
                <w:rPr>
                  <w:rFonts w:cs="Arial" w:hint="eastAsia"/>
                  <w:szCs w:val="21"/>
                </w:rPr>
                <w:t>合并财务报表的合并范围</w:t>
              </w:r>
              <w:r w:rsidRPr="00C3641E">
                <w:rPr>
                  <w:rFonts w:cs="Arial" w:hint="eastAsia"/>
                  <w:szCs w:val="21"/>
                  <w:lang w:val="zh-CN"/>
                </w:rPr>
                <w:t>以控制为基础予以确定，</w:t>
              </w:r>
              <w:r w:rsidRPr="00C3641E">
                <w:rPr>
                  <w:rFonts w:cs="Arial" w:hint="eastAsia"/>
                  <w:szCs w:val="21"/>
                </w:rPr>
                <w:t>包括本公司及本公司控制的子公司。</w:t>
              </w:r>
              <w:r w:rsidRPr="00C3641E">
                <w:rPr>
                  <w:rFonts w:cs="Arial" w:hint="eastAsia"/>
                  <w:szCs w:val="21"/>
                  <w:lang w:val="zh-CN"/>
                </w:rPr>
                <w:t>控制，是指本集团拥有对被投资方的权力，通过参与被投资方的相关活动而享有可变回报，并且有能力运用对被投资方的权力影响其回报金额。在判断本集团是否拥有对被投资方的权力时，本集团仅考虑与被投资方相关的实质性权利 (包括本集团自身所享有的及其他方所享有的实质性权利) 。</w:t>
              </w:r>
              <w:r w:rsidRPr="00C3641E">
                <w:rPr>
                  <w:rFonts w:cs="Arial" w:hint="eastAsia"/>
                  <w:szCs w:val="21"/>
                </w:rPr>
                <w:t>子公司的</w:t>
              </w:r>
              <w:r w:rsidRPr="00C3641E">
                <w:rPr>
                  <w:rFonts w:cs="Arial" w:hint="eastAsia"/>
                  <w:szCs w:val="21"/>
                  <w:lang w:val="zh-CN"/>
                </w:rPr>
                <w:t>财务状况、</w:t>
              </w:r>
              <w:r w:rsidRPr="00C3641E">
                <w:rPr>
                  <w:rFonts w:cs="Arial" w:hint="eastAsia"/>
                  <w:szCs w:val="21"/>
                </w:rPr>
                <w:t>经营成果和</w:t>
              </w:r>
              <w:r w:rsidRPr="00C3641E">
                <w:rPr>
                  <w:rFonts w:cs="Arial" w:hint="eastAsia"/>
                  <w:szCs w:val="21"/>
                  <w:lang w:val="zh-CN"/>
                </w:rPr>
                <w:t>现金流量</w:t>
              </w:r>
              <w:r w:rsidRPr="00C3641E">
                <w:rPr>
                  <w:rFonts w:cs="Arial" w:hint="eastAsia"/>
                  <w:szCs w:val="21"/>
                </w:rPr>
                <w:t>由控制开始日起至控制结束日止包含于合并财务报表中。</w:t>
              </w:r>
            </w:p>
            <w:p w:rsidR="00AA41E7" w:rsidRPr="00C3641E" w:rsidRDefault="00AA41E7" w:rsidP="00AA41E7">
              <w:pPr>
                <w:overflowPunct w:val="0"/>
                <w:adjustRightInd w:val="0"/>
                <w:snapToGrid w:val="0"/>
                <w:rPr>
                  <w:rFonts w:cs="Arial"/>
                  <w:szCs w:val="21"/>
                  <w:lang w:val="zh-CN"/>
                </w:rPr>
              </w:pPr>
            </w:p>
            <w:p w:rsidR="00AA41E7" w:rsidRPr="00C3641E" w:rsidRDefault="00AA41E7" w:rsidP="00AA41E7">
              <w:pPr>
                <w:overflowPunct w:val="0"/>
                <w:adjustRightInd w:val="0"/>
                <w:snapToGrid w:val="0"/>
                <w:rPr>
                  <w:rFonts w:cs="Arial"/>
                  <w:szCs w:val="21"/>
                  <w:lang w:val="zh-CN"/>
                </w:rPr>
              </w:pPr>
              <w:r w:rsidRPr="00C3641E">
                <w:rPr>
                  <w:rFonts w:cs="Arial" w:hint="eastAsia"/>
                  <w:szCs w:val="21"/>
                  <w:lang w:val="zh-CN"/>
                </w:rPr>
                <w:t>子公司少数股东应占的权益、损益和综合收益总额分别在合并资产负债表的股东权益中和合并利润表的净利润及综合收益总额项目后单独列示。</w:t>
              </w:r>
            </w:p>
            <w:p w:rsidR="00AA41E7" w:rsidRPr="00C3641E" w:rsidRDefault="00AA41E7" w:rsidP="00AA41E7">
              <w:pPr>
                <w:overflowPunct w:val="0"/>
                <w:adjustRightInd w:val="0"/>
                <w:snapToGrid w:val="0"/>
                <w:rPr>
                  <w:rFonts w:cs="Arial"/>
                  <w:szCs w:val="21"/>
                </w:rPr>
              </w:pPr>
            </w:p>
            <w:p w:rsidR="00AA41E7" w:rsidRPr="00C3641E" w:rsidRDefault="00AA41E7" w:rsidP="00AA41E7">
              <w:pPr>
                <w:overflowPunct w:val="0"/>
                <w:adjustRightInd w:val="0"/>
                <w:snapToGrid w:val="0"/>
                <w:rPr>
                  <w:rFonts w:cs="Arial"/>
                  <w:szCs w:val="21"/>
                  <w:lang w:val="zh-CN"/>
                </w:rPr>
              </w:pPr>
              <w:r w:rsidRPr="00C3641E">
                <w:rPr>
                  <w:rFonts w:cs="Arial" w:hint="eastAsia"/>
                  <w:szCs w:val="21"/>
                  <w:lang w:val="zh-CN"/>
                </w:rPr>
                <w:t>如果子公司少数股东分担的当期亏损超过了少数股东在该子公司期初所有者权益中所享有的份额的，其余额仍冲减少数股东权益。</w:t>
              </w:r>
            </w:p>
            <w:p w:rsidR="00AA41E7" w:rsidRPr="00C3641E" w:rsidRDefault="00AA41E7" w:rsidP="00AA41E7">
              <w:pPr>
                <w:overflowPunct w:val="0"/>
                <w:adjustRightInd w:val="0"/>
                <w:snapToGrid w:val="0"/>
                <w:rPr>
                  <w:rFonts w:cs="Arial"/>
                  <w:szCs w:val="21"/>
                </w:rPr>
              </w:pPr>
            </w:p>
            <w:p w:rsidR="00AA41E7" w:rsidRPr="00C3641E" w:rsidRDefault="00AA41E7" w:rsidP="00AA41E7">
              <w:pPr>
                <w:overflowPunct w:val="0"/>
                <w:adjustRightInd w:val="0"/>
                <w:snapToGrid w:val="0"/>
                <w:rPr>
                  <w:rFonts w:cs="Arial"/>
                  <w:szCs w:val="21"/>
                </w:rPr>
              </w:pPr>
              <w:r w:rsidRPr="00C3641E">
                <w:rPr>
                  <w:rFonts w:cs="Arial" w:hint="eastAsia"/>
                  <w:szCs w:val="21"/>
                </w:rPr>
                <w:t>当子公司所采用的会计期间或会计政策与本公司不一致时，合并时已按照本公司的会计期间或会计政策对子公司财务报表进行必要的调整。合并时所有集团内部交易及余额，包括未实现内部交易损益均已抵销。集团内部交易发生的未实现损失，有证据表明该损失是相关资产减值损失的，则全额确认该损失。</w:t>
              </w:r>
            </w:p>
            <w:p w:rsidR="00F473E0" w:rsidRPr="00C3641E" w:rsidRDefault="00F473E0" w:rsidP="00AA41E7">
              <w:pPr>
                <w:overflowPunct w:val="0"/>
                <w:adjustRightInd w:val="0"/>
                <w:snapToGrid w:val="0"/>
                <w:rPr>
                  <w:rFonts w:cs="Arial"/>
                  <w:szCs w:val="21"/>
                </w:rPr>
              </w:pPr>
            </w:p>
            <w:p w:rsidR="00AA41E7" w:rsidRPr="00C3641E" w:rsidRDefault="00AA41E7" w:rsidP="00AA41E7">
              <w:pPr>
                <w:pStyle w:val="3"/>
                <w:keepNext w:val="0"/>
                <w:widowControl/>
                <w:tabs>
                  <w:tab w:val="left" w:pos="0"/>
                </w:tabs>
                <w:overflowPunct w:val="0"/>
                <w:adjustRightInd w:val="0"/>
                <w:snapToGrid w:val="0"/>
                <w:spacing w:before="0" w:after="0"/>
                <w:rPr>
                  <w:rFonts w:asciiTheme="majorEastAsia" w:eastAsiaTheme="majorEastAsia" w:hAnsiTheme="majorEastAsia" w:cs="Arial"/>
                  <w:b w:val="0"/>
                  <w:kern w:val="0"/>
                  <w:szCs w:val="21"/>
                </w:rPr>
              </w:pPr>
              <w:r w:rsidRPr="00C3641E">
                <w:rPr>
                  <w:rFonts w:asciiTheme="majorEastAsia" w:eastAsiaTheme="majorEastAsia" w:hAnsiTheme="majorEastAsia" w:cs="Arial" w:hint="eastAsia"/>
                  <w:b w:val="0"/>
                  <w:kern w:val="0"/>
                  <w:szCs w:val="21"/>
                </w:rPr>
                <w:lastRenderedPageBreak/>
                <w:t>(2)</w:t>
              </w:r>
              <w:r w:rsidRPr="00C3641E">
                <w:rPr>
                  <w:rFonts w:asciiTheme="majorEastAsia" w:eastAsiaTheme="majorEastAsia" w:hAnsiTheme="majorEastAsia" w:cs="Arial" w:hint="eastAsia"/>
                  <w:b w:val="0"/>
                  <w:kern w:val="0"/>
                  <w:szCs w:val="21"/>
                </w:rPr>
                <w:tab/>
                <w:t>合并取得子公司</w:t>
              </w:r>
            </w:p>
            <w:p w:rsidR="00AA41E7" w:rsidRPr="00C3641E" w:rsidRDefault="00AA41E7" w:rsidP="00AA41E7">
              <w:pPr>
                <w:overflowPunct w:val="0"/>
                <w:adjustRightInd w:val="0"/>
                <w:snapToGrid w:val="0"/>
                <w:rPr>
                  <w:rFonts w:cs="Arial"/>
                  <w:szCs w:val="21"/>
                </w:rPr>
              </w:pPr>
            </w:p>
            <w:p w:rsidR="00AA41E7" w:rsidRPr="00C3641E" w:rsidRDefault="00AA41E7" w:rsidP="00AA41E7">
              <w:pPr>
                <w:overflowPunct w:val="0"/>
                <w:adjustRightInd w:val="0"/>
                <w:snapToGrid w:val="0"/>
                <w:rPr>
                  <w:rFonts w:cs="Arial"/>
                  <w:szCs w:val="21"/>
                </w:rPr>
              </w:pPr>
              <w:r w:rsidRPr="00C3641E">
                <w:rPr>
                  <w:rFonts w:cs="Arial" w:hint="eastAsia"/>
                  <w:szCs w:val="21"/>
                </w:rPr>
                <w:t>对于通过同一控制下企业合并取得的子公司，在编制合并当期财务报表时，以被合并子公司的各项资产、负债在最终控制方财务报表中的账面价值为基础，视同被合并子公司在本公司最终控制方对其开始实施控制时纳入本公司合并范围，并对合并财务报表的期初数以及前期比较报表进行相应调整。</w:t>
              </w:r>
            </w:p>
            <w:p w:rsidR="00AA41E7" w:rsidRPr="00C3641E" w:rsidRDefault="00AA41E7" w:rsidP="00AA41E7">
              <w:pPr>
                <w:overflowPunct w:val="0"/>
                <w:adjustRightInd w:val="0"/>
                <w:snapToGrid w:val="0"/>
                <w:rPr>
                  <w:rFonts w:cs="Arial"/>
                  <w:szCs w:val="21"/>
                </w:rPr>
              </w:pPr>
            </w:p>
            <w:p w:rsidR="00AA41E7" w:rsidRPr="00C3641E" w:rsidRDefault="00AA41E7" w:rsidP="00AA41E7">
              <w:pPr>
                <w:overflowPunct w:val="0"/>
                <w:adjustRightInd w:val="0"/>
                <w:snapToGrid w:val="0"/>
                <w:rPr>
                  <w:rFonts w:cs="Arial"/>
                  <w:b/>
                  <w:szCs w:val="21"/>
                </w:rPr>
              </w:pPr>
              <w:r w:rsidRPr="00C3641E">
                <w:rPr>
                  <w:rFonts w:cs="Arial" w:hint="eastAsia"/>
                  <w:szCs w:val="21"/>
                </w:rPr>
                <w:t>对于通过非同一控制下企业合并取得的子公司，在编制合并当期财务报表时，以购买日确定的</w:t>
              </w:r>
              <w:r w:rsidRPr="00C3641E">
                <w:rPr>
                  <w:rFonts w:cs="Arial" w:hint="eastAsia"/>
                  <w:szCs w:val="21"/>
                  <w:lang w:val="zh-CN"/>
                </w:rPr>
                <w:t>被购买子公司</w:t>
              </w:r>
              <w:r w:rsidRPr="00C3641E">
                <w:rPr>
                  <w:rFonts w:cs="Arial" w:hint="eastAsia"/>
                  <w:szCs w:val="21"/>
                </w:rPr>
                <w:t>各项可辨认资产、负债的公允价值为基础自购买日起将被购买子公司纳入本公司</w:t>
              </w:r>
              <w:r w:rsidRPr="00C3641E">
                <w:rPr>
                  <w:rFonts w:cs="Arial" w:hint="eastAsia"/>
                  <w:szCs w:val="21"/>
                  <w:lang w:val="zh-CN"/>
                </w:rPr>
                <w:t>合并范围</w:t>
              </w:r>
              <w:r w:rsidRPr="00C3641E">
                <w:rPr>
                  <w:rFonts w:cs="Arial" w:hint="eastAsia"/>
                  <w:szCs w:val="21"/>
                </w:rPr>
                <w:t>。</w:t>
              </w:r>
            </w:p>
            <w:p w:rsidR="00553885" w:rsidRPr="00C3641E" w:rsidRDefault="00553885" w:rsidP="00AA41E7">
              <w:pPr>
                <w:overflowPunct w:val="0"/>
                <w:adjustRightInd w:val="0"/>
                <w:snapToGrid w:val="0"/>
                <w:rPr>
                  <w:rFonts w:cs="Arial"/>
                  <w:bCs/>
                  <w:szCs w:val="21"/>
                </w:rPr>
              </w:pPr>
            </w:p>
            <w:p w:rsidR="00AA41E7" w:rsidRPr="00C3641E" w:rsidRDefault="00AA41E7" w:rsidP="00AA41E7">
              <w:pPr>
                <w:pStyle w:val="3"/>
                <w:keepNext w:val="0"/>
                <w:widowControl/>
                <w:tabs>
                  <w:tab w:val="left" w:pos="0"/>
                </w:tabs>
                <w:overflowPunct w:val="0"/>
                <w:adjustRightInd w:val="0"/>
                <w:snapToGrid w:val="0"/>
                <w:spacing w:before="0" w:after="0"/>
                <w:rPr>
                  <w:rFonts w:asciiTheme="majorEastAsia" w:eastAsiaTheme="majorEastAsia" w:hAnsiTheme="majorEastAsia" w:cs="Arial"/>
                  <w:b w:val="0"/>
                  <w:kern w:val="0"/>
                  <w:szCs w:val="21"/>
                </w:rPr>
              </w:pPr>
              <w:r w:rsidRPr="00C3641E">
                <w:rPr>
                  <w:rFonts w:asciiTheme="majorEastAsia" w:eastAsiaTheme="majorEastAsia" w:hAnsiTheme="majorEastAsia" w:cs="Arial" w:hint="eastAsia"/>
                  <w:b w:val="0"/>
                  <w:kern w:val="0"/>
                  <w:szCs w:val="21"/>
                </w:rPr>
                <w:t>(3)</w:t>
              </w:r>
              <w:r w:rsidRPr="00C3641E">
                <w:rPr>
                  <w:rFonts w:asciiTheme="majorEastAsia" w:eastAsiaTheme="majorEastAsia" w:hAnsiTheme="majorEastAsia" w:cs="Arial" w:hint="eastAsia"/>
                  <w:b w:val="0"/>
                  <w:kern w:val="0"/>
                  <w:szCs w:val="21"/>
                </w:rPr>
                <w:tab/>
                <w:t>处置子公司</w:t>
              </w:r>
            </w:p>
            <w:p w:rsidR="00AA41E7" w:rsidRPr="00C3641E" w:rsidRDefault="00AA41E7" w:rsidP="00AA41E7">
              <w:pPr>
                <w:overflowPunct w:val="0"/>
                <w:adjustRightInd w:val="0"/>
                <w:snapToGrid w:val="0"/>
                <w:rPr>
                  <w:rFonts w:cs="Arial"/>
                  <w:szCs w:val="21"/>
                </w:rPr>
              </w:pPr>
            </w:p>
            <w:p w:rsidR="00AA41E7" w:rsidRPr="00C3641E" w:rsidRDefault="00AA41E7" w:rsidP="00AA41E7">
              <w:pPr>
                <w:overflowPunct w:val="0"/>
                <w:adjustRightInd w:val="0"/>
                <w:snapToGrid w:val="0"/>
                <w:rPr>
                  <w:rFonts w:cs="Arial"/>
                  <w:szCs w:val="21"/>
                  <w:lang w:val="zh-CN"/>
                </w:rPr>
              </w:pPr>
              <w:r w:rsidRPr="00C3641E">
                <w:rPr>
                  <w:rFonts w:cs="Arial" w:hint="eastAsia"/>
                  <w:szCs w:val="21"/>
                  <w:lang w:val="zh-CN"/>
                </w:rPr>
                <w:t>本集团丧失对原有子公司控制权时，由此产生的任何处置收益或损失，计入丧失控制权当期的投资收益。对于剩余股权投资，本集团按照其在丧失控制权日的公允价值进行重新计量，由此产生的任何收益或损失，也计入丧失控制权当期的投资收益。</w:t>
              </w:r>
            </w:p>
            <w:p w:rsidR="00AA41E7" w:rsidRPr="00C3641E" w:rsidRDefault="00AA41E7" w:rsidP="00F473E0">
              <w:pPr>
                <w:pStyle w:val="3"/>
                <w:keepNext w:val="0"/>
                <w:widowControl/>
                <w:tabs>
                  <w:tab w:val="left" w:pos="0"/>
                </w:tabs>
                <w:overflowPunct w:val="0"/>
                <w:adjustRightInd w:val="0"/>
                <w:snapToGrid w:val="0"/>
                <w:spacing w:before="0" w:after="0"/>
                <w:rPr>
                  <w:rFonts w:cs="Arial"/>
                  <w:bCs w:val="0"/>
                  <w:szCs w:val="21"/>
                </w:rPr>
              </w:pPr>
            </w:p>
            <w:p w:rsidR="00AA41E7" w:rsidRPr="00C3641E" w:rsidRDefault="00AA41E7" w:rsidP="00AA41E7">
              <w:pPr>
                <w:pStyle w:val="3"/>
                <w:keepNext w:val="0"/>
                <w:widowControl/>
                <w:tabs>
                  <w:tab w:val="left" w:pos="0"/>
                </w:tabs>
                <w:overflowPunct w:val="0"/>
                <w:adjustRightInd w:val="0"/>
                <w:snapToGrid w:val="0"/>
                <w:spacing w:before="0" w:after="0"/>
                <w:rPr>
                  <w:rFonts w:asciiTheme="majorEastAsia" w:eastAsiaTheme="majorEastAsia" w:hAnsiTheme="majorEastAsia" w:cs="Arial"/>
                  <w:b w:val="0"/>
                  <w:kern w:val="0"/>
                  <w:szCs w:val="21"/>
                </w:rPr>
              </w:pPr>
              <w:r w:rsidRPr="00C3641E">
                <w:rPr>
                  <w:rFonts w:asciiTheme="majorEastAsia" w:eastAsiaTheme="majorEastAsia" w:hAnsiTheme="majorEastAsia" w:cs="Arial" w:hint="eastAsia"/>
                  <w:b w:val="0"/>
                  <w:kern w:val="0"/>
                  <w:szCs w:val="21"/>
                </w:rPr>
                <w:t>(4)</w:t>
              </w:r>
              <w:r w:rsidRPr="00C3641E">
                <w:rPr>
                  <w:rFonts w:asciiTheme="majorEastAsia" w:eastAsiaTheme="majorEastAsia" w:hAnsiTheme="majorEastAsia" w:cs="Arial" w:hint="eastAsia"/>
                  <w:b w:val="0"/>
                  <w:kern w:val="0"/>
                  <w:szCs w:val="21"/>
                </w:rPr>
                <w:tab/>
                <w:t>少数股东权益变动</w:t>
              </w:r>
            </w:p>
            <w:p w:rsidR="00AA41E7" w:rsidRPr="00C3641E" w:rsidRDefault="00AA41E7" w:rsidP="00AA41E7">
              <w:pPr>
                <w:overflowPunct w:val="0"/>
                <w:adjustRightInd w:val="0"/>
                <w:snapToGrid w:val="0"/>
                <w:rPr>
                  <w:rFonts w:cs="Arial"/>
                  <w:szCs w:val="21"/>
                </w:rPr>
              </w:pPr>
            </w:p>
            <w:p w:rsidR="00806678" w:rsidRPr="00553885" w:rsidRDefault="00AA41E7" w:rsidP="00553885">
              <w:pPr>
                <w:overflowPunct w:val="0"/>
                <w:adjustRightInd w:val="0"/>
                <w:snapToGrid w:val="0"/>
                <w:rPr>
                  <w:rFonts w:cs="Arial"/>
                  <w:sz w:val="22"/>
                  <w:szCs w:val="22"/>
                  <w:lang w:val="zh-CN"/>
                </w:rPr>
              </w:pPr>
              <w:r w:rsidRPr="00C3641E">
                <w:rPr>
                  <w:rFonts w:cs="Arial" w:hint="eastAsia"/>
                  <w:szCs w:val="21"/>
                  <w:lang w:val="zh-CN"/>
                </w:rPr>
                <w:t>本公司因购买少数股权新取得的长期股权投资成本与按照新增持股比例计算应享有子公司的净资产份额之间的差额，以及在不丧失控制权的情况下因部分处置对子公司的股权投资而取得的处置价款与处置长期股权投资相对应享有子公司净资产的差额，均调整合并资产负债表中的资本公积 (</w:t>
              </w:r>
              <w:r w:rsidRPr="00C3641E">
                <w:rPr>
                  <w:rFonts w:cs="Arial" w:hint="eastAsia"/>
                  <w:szCs w:val="21"/>
                </w:rPr>
                <w:t>股</w:t>
              </w:r>
              <w:r w:rsidRPr="00C3641E">
                <w:rPr>
                  <w:rFonts w:cs="Arial" w:hint="eastAsia"/>
                  <w:szCs w:val="21"/>
                  <w:lang w:val="zh-CN"/>
                </w:rPr>
                <w:t>本溢价)，资本公积 (</w:t>
              </w:r>
              <w:r w:rsidRPr="00C3641E">
                <w:rPr>
                  <w:rFonts w:cs="Arial" w:hint="eastAsia"/>
                  <w:szCs w:val="21"/>
                </w:rPr>
                <w:t>股</w:t>
              </w:r>
              <w:r w:rsidRPr="00C3641E">
                <w:rPr>
                  <w:rFonts w:cs="Arial" w:hint="eastAsia"/>
                  <w:szCs w:val="21"/>
                  <w:lang w:val="zh-CN"/>
                </w:rPr>
                <w:t>本溢价) 不足冲减的，调整留存收益。</w:t>
              </w:r>
            </w:p>
          </w:sdtContent>
        </w:sdt>
      </w:sdtContent>
    </w:sdt>
    <w:p w:rsidR="00806678" w:rsidRDefault="00806678">
      <w:pPr>
        <w:rPr>
          <w:szCs w:val="21"/>
        </w:rPr>
      </w:pPr>
    </w:p>
    <w:sdt>
      <w:sdtPr>
        <w:rPr>
          <w:rFonts w:ascii="宋体" w:hAnsi="宋体" w:cs="宋体" w:hint="eastAsia"/>
          <w:b w:val="0"/>
          <w:bCs w:val="0"/>
          <w:kern w:val="0"/>
          <w:szCs w:val="21"/>
        </w:rPr>
        <w:alias w:val="模块:合营安排分类及共同经营会计处理方法"/>
        <w:tag w:val="_GBC_a6643877dd0341e39dee12c064dc6fdc"/>
        <w:id w:val="-1683344737"/>
        <w:lock w:val="sdtLocked"/>
        <w:placeholder>
          <w:docPart w:val="GBC22222222222222222222222222222"/>
        </w:placeholder>
      </w:sdtPr>
      <w:sdtEndPr>
        <w:rPr>
          <w:b/>
          <w:bCs/>
        </w:rPr>
      </w:sdtEndPr>
      <w:sdtContent>
        <w:p w:rsidR="00806678" w:rsidRDefault="00B16377" w:rsidP="00FF17C7">
          <w:pPr>
            <w:pStyle w:val="3"/>
            <w:numPr>
              <w:ilvl w:val="0"/>
              <w:numId w:val="39"/>
            </w:numPr>
            <w:rPr>
              <w:szCs w:val="21"/>
            </w:rPr>
          </w:pPr>
          <w:r>
            <w:rPr>
              <w:rFonts w:hint="eastAsia"/>
              <w:szCs w:val="21"/>
            </w:rPr>
            <w:t>合营安排</w:t>
          </w:r>
          <w:r>
            <w:rPr>
              <w:rFonts w:hint="eastAsia"/>
            </w:rPr>
            <w:t>分类</w:t>
          </w:r>
          <w:r>
            <w:rPr>
              <w:rFonts w:hint="eastAsia"/>
              <w:szCs w:val="21"/>
            </w:rPr>
            <w:t>及共同经营会计处理方法</w:t>
          </w:r>
        </w:p>
        <w:sdt>
          <w:sdtPr>
            <w:rPr>
              <w:rFonts w:hint="eastAsia"/>
            </w:rPr>
            <w:alias w:val="是否适用：合营安排分类及共同经营会计处理方法[双击切换]"/>
            <w:tag w:val="_GBC_e5a2f4bbc77f437e880fdd380b417236"/>
            <w:id w:val="-1331440792"/>
            <w:lock w:val="sdtLocked"/>
            <w:placeholder>
              <w:docPart w:val="GBC22222222222222222222222222222"/>
            </w:placeholder>
          </w:sdtPr>
          <w:sdtContent>
            <w:p w:rsidR="00806678" w:rsidRDefault="00F80B6C" w:rsidP="00553885">
              <w:pPr>
                <w:rPr>
                  <w:b/>
                  <w:bCs/>
                  <w:szCs w:val="21"/>
                </w:rPr>
              </w:pPr>
              <w:r>
                <w:fldChar w:fldCharType="begin"/>
              </w:r>
              <w:r w:rsidR="00553885">
                <w:instrText xml:space="preserve"> MACROBUTTON  SnrToggleCheckbox □适用  </w:instrText>
              </w:r>
              <w:r>
                <w:fldChar w:fldCharType="end"/>
              </w:r>
              <w:r>
                <w:fldChar w:fldCharType="begin"/>
              </w:r>
              <w:r w:rsidR="00553885">
                <w:instrText xml:space="preserve"> MACROBUTTON  SnrToggleCheckbox √不适用 </w:instrText>
              </w:r>
              <w:r>
                <w:fldChar w:fldCharType="end"/>
              </w:r>
            </w:p>
          </w:sdtContent>
        </w:sdt>
        <w:bookmarkStart w:id="134" w:name="_Hlk130925990" w:displacedByCustomXml="next"/>
      </w:sdtContent>
    </w:sdt>
    <w:bookmarkEnd w:id="134" w:displacedByCustomXml="prev"/>
    <w:p w:rsidR="00806678" w:rsidRDefault="00806678"/>
    <w:sdt>
      <w:sdtPr>
        <w:rPr>
          <w:rFonts w:ascii="宋体" w:hAnsi="宋体" w:cs="宋体"/>
          <w:b w:val="0"/>
          <w:bCs w:val="0"/>
          <w:kern w:val="0"/>
          <w:szCs w:val="24"/>
        </w:rPr>
        <w:alias w:val="模块:现金及现金等价物的确定标准"/>
        <w:tag w:val="_GBC_9f2dfe6521c4434b9ad3e7bb1a8a52b7"/>
        <w:id w:val="-1885711177"/>
        <w:lock w:val="sdtLocked"/>
        <w:placeholder>
          <w:docPart w:val="GBC22222222222222222222222222222"/>
        </w:placeholder>
      </w:sdtPr>
      <w:sdtEndPr>
        <w:rPr>
          <w:rFonts w:hint="eastAsia"/>
          <w:szCs w:val="21"/>
        </w:rPr>
      </w:sdtEndPr>
      <w:sdtContent>
        <w:p w:rsidR="00806678" w:rsidRDefault="00B16377" w:rsidP="00FF17C7">
          <w:pPr>
            <w:pStyle w:val="3"/>
            <w:numPr>
              <w:ilvl w:val="0"/>
              <w:numId w:val="39"/>
            </w:numPr>
          </w:pPr>
          <w:r>
            <w:t>现金及现金等价物的确定标准</w:t>
          </w:r>
        </w:p>
        <w:sdt>
          <w:sdtPr>
            <w:rPr>
              <w:rFonts w:hint="eastAsia"/>
              <w:szCs w:val="21"/>
            </w:rPr>
            <w:alias w:val="现金及现金等价物的确定标准"/>
            <w:tag w:val="_GBC_54f6bc3e44e840bc85cb3872600823b5"/>
            <w:id w:val="1699581564"/>
            <w:lock w:val="sdtLocked"/>
            <w:placeholder>
              <w:docPart w:val="GBC22222222222222222222222222222"/>
            </w:placeholder>
          </w:sdtPr>
          <w:sdtContent>
            <w:p w:rsidR="00806678" w:rsidRDefault="00B16377">
              <w:pPr>
                <w:rPr>
                  <w:szCs w:val="21"/>
                </w:rPr>
              </w:pPr>
              <w:r>
                <w:rPr>
                  <w:szCs w:val="21"/>
                </w:rPr>
                <w:t>现金等价物是指企业持有的期限短（一般指从购买日起三个月内到期）、流动性强、易于转换为已知金额现金、价值变动风险很小的投资。</w:t>
              </w:r>
            </w:p>
          </w:sdtContent>
        </w:sdt>
      </w:sdtContent>
    </w:sdt>
    <w:p w:rsidR="00806678" w:rsidRDefault="00806678">
      <w:pPr>
        <w:rPr>
          <w:szCs w:val="21"/>
        </w:rPr>
      </w:pPr>
    </w:p>
    <w:sdt>
      <w:sdtPr>
        <w:rPr>
          <w:rFonts w:asciiTheme="minorHAnsi" w:hAnsiTheme="minorHAnsi" w:cs="宋体"/>
          <w:b w:val="0"/>
          <w:bCs w:val="0"/>
          <w:kern w:val="0"/>
          <w:szCs w:val="22"/>
        </w:rPr>
        <w:alias w:val="模块:外币业务和外币报表折算"/>
        <w:tag w:val="_GBC_cff1e1487c3242a8a1be0ce9c2b7a554"/>
        <w:id w:val="1289394554"/>
        <w:lock w:val="sdtLocked"/>
        <w:placeholder>
          <w:docPart w:val="GBC22222222222222222222222222222"/>
        </w:placeholder>
      </w:sdtPr>
      <w:sdtEndPr>
        <w:rPr>
          <w:rFonts w:ascii="宋体" w:hAnsi="宋体" w:cs="Times New Roman" w:hint="eastAsia"/>
          <w:kern w:val="2"/>
          <w:szCs w:val="21"/>
        </w:rPr>
      </w:sdtEndPr>
      <w:sdtContent>
        <w:p w:rsidR="00806678" w:rsidRDefault="00B16377" w:rsidP="00FF17C7">
          <w:pPr>
            <w:pStyle w:val="3"/>
            <w:numPr>
              <w:ilvl w:val="0"/>
              <w:numId w:val="39"/>
            </w:numPr>
          </w:pPr>
          <w:r>
            <w:t>外币业务和外币报表折算</w:t>
          </w:r>
        </w:p>
        <w:sdt>
          <w:sdtPr>
            <w:rPr>
              <w:rFonts w:hint="eastAsia"/>
              <w:szCs w:val="21"/>
            </w:rPr>
            <w:alias w:val="是否适用：外币业务和外币报表折算[双击切换]"/>
            <w:tag w:val="_GBC_9c9def5a1d2241b5a3ee696d03433778"/>
            <w:id w:val="-1081132740"/>
            <w:lock w:val="sdtLocked"/>
            <w:placeholder>
              <w:docPart w:val="GBC22222222222222222222222222222"/>
            </w:placeholder>
          </w:sdtPr>
          <w:sdtContent>
            <w:p w:rsidR="00806678" w:rsidRDefault="00F80B6C" w:rsidP="00553885">
              <w:pPr>
                <w:rPr>
                  <w:rFonts w:cs="Times New Roman"/>
                  <w:kern w:val="2"/>
                  <w:szCs w:val="21"/>
                </w:rPr>
              </w:pPr>
              <w:r>
                <w:rPr>
                  <w:szCs w:val="21"/>
                </w:rPr>
                <w:fldChar w:fldCharType="begin"/>
              </w:r>
              <w:r w:rsidR="00553885">
                <w:rPr>
                  <w:szCs w:val="21"/>
                </w:rPr>
                <w:instrText xml:space="preserve"> MACROBUTTON  SnrToggleCheckbox □适用  </w:instrText>
              </w:r>
              <w:r>
                <w:rPr>
                  <w:szCs w:val="21"/>
                </w:rPr>
                <w:fldChar w:fldCharType="end"/>
              </w:r>
              <w:r>
                <w:rPr>
                  <w:szCs w:val="21"/>
                </w:rPr>
                <w:fldChar w:fldCharType="begin"/>
              </w:r>
              <w:r w:rsidR="00553885">
                <w:rPr>
                  <w:szCs w:val="21"/>
                </w:rPr>
                <w:instrText xml:space="preserve"> MACROBUTTON  SnrToggleCheckbox √不适用 </w:instrText>
              </w:r>
              <w:r>
                <w:rPr>
                  <w:szCs w:val="21"/>
                </w:rPr>
                <w:fldChar w:fldCharType="end"/>
              </w:r>
            </w:p>
          </w:sdtContent>
        </w:sdt>
      </w:sdtContent>
    </w:sdt>
    <w:p w:rsidR="00806678" w:rsidRDefault="00806678">
      <w:pPr>
        <w:rPr>
          <w:szCs w:val="21"/>
        </w:rPr>
      </w:pPr>
    </w:p>
    <w:sdt>
      <w:sdtPr>
        <w:rPr>
          <w:rFonts w:ascii="宋体" w:hAnsi="宋体" w:cs="宋体"/>
          <w:b w:val="0"/>
          <w:bCs w:val="0"/>
          <w:kern w:val="0"/>
          <w:szCs w:val="24"/>
        </w:rPr>
        <w:alias w:val="模块:金融工具"/>
        <w:tag w:val="_GBC_4b3a058b038b41689d379e6a2726a904"/>
        <w:id w:val="-1175177702"/>
        <w:lock w:val="sdtLocked"/>
        <w:placeholder>
          <w:docPart w:val="GBC22222222222222222222222222222"/>
        </w:placeholder>
      </w:sdtPr>
      <w:sdtEndPr>
        <w:rPr>
          <w:rFonts w:hint="eastAsia"/>
          <w:szCs w:val="21"/>
        </w:rPr>
      </w:sdtEndPr>
      <w:sdtContent>
        <w:p w:rsidR="00806678" w:rsidRDefault="00B16377" w:rsidP="00FF17C7">
          <w:pPr>
            <w:pStyle w:val="3"/>
            <w:numPr>
              <w:ilvl w:val="0"/>
              <w:numId w:val="39"/>
            </w:numPr>
          </w:pPr>
          <w:r>
            <w:t>金融工具</w:t>
          </w:r>
        </w:p>
        <w:sdt>
          <w:sdtPr>
            <w:rPr>
              <w:rFonts w:hint="eastAsia"/>
              <w:szCs w:val="21"/>
            </w:rPr>
            <w:alias w:val="是否适用：金融工具_重要会计政策和估计[双击切换]"/>
            <w:tag w:val="_GBC_1537cea503f244c2af870a2a0d5fd7a9"/>
            <w:id w:val="-336768443"/>
            <w:lock w:val="sdtLocked"/>
            <w:placeholder>
              <w:docPart w:val="GBC22222222222222222222222222222"/>
            </w:placeholder>
          </w:sdtPr>
          <w:sdtContent>
            <w:p w:rsidR="00806678" w:rsidRDefault="00F80B6C">
              <w:pPr>
                <w:rPr>
                  <w:szCs w:val="21"/>
                </w:rPr>
              </w:pPr>
              <w:r>
                <w:rPr>
                  <w:szCs w:val="21"/>
                </w:rPr>
                <w:fldChar w:fldCharType="begin"/>
              </w:r>
              <w:r w:rsidR="00553885">
                <w:rPr>
                  <w:szCs w:val="21"/>
                </w:rPr>
                <w:instrText xml:space="preserve"> MACROBUTTON  SnrToggleCheckbox √适用  </w:instrText>
              </w:r>
              <w:r>
                <w:rPr>
                  <w:szCs w:val="21"/>
                </w:rPr>
                <w:fldChar w:fldCharType="end"/>
              </w:r>
              <w:r>
                <w:rPr>
                  <w:szCs w:val="21"/>
                </w:rPr>
                <w:fldChar w:fldCharType="begin"/>
              </w:r>
              <w:r w:rsidR="00553885">
                <w:rPr>
                  <w:szCs w:val="21"/>
                </w:rPr>
                <w:instrText xml:space="preserve"> MACROBUTTON  SnrToggleCheckbox □不适用 </w:instrText>
              </w:r>
              <w:r>
                <w:rPr>
                  <w:szCs w:val="21"/>
                </w:rPr>
                <w:fldChar w:fldCharType="end"/>
              </w:r>
            </w:p>
          </w:sdtContent>
        </w:sdt>
        <w:sdt>
          <w:sdtPr>
            <w:rPr>
              <w:rFonts w:hint="eastAsia"/>
              <w:szCs w:val="21"/>
            </w:rPr>
            <w:alias w:val="金融资产和金融负债的核算方法"/>
            <w:tag w:val="_GBC_b358067bbe2a49bf880c383a5db50d8a"/>
            <w:id w:val="1207913491"/>
            <w:lock w:val="sdtLocked"/>
            <w:placeholder>
              <w:docPart w:val="GBC22222222222222222222222222222"/>
            </w:placeholder>
          </w:sdtPr>
          <w:sdtContent>
            <w:p w:rsidR="005314C2" w:rsidRPr="00C3641E" w:rsidRDefault="005314C2" w:rsidP="005314C2">
              <w:pPr>
                <w:overflowPunct w:val="0"/>
                <w:adjustRightInd w:val="0"/>
                <w:snapToGrid w:val="0"/>
                <w:rPr>
                  <w:rFonts w:cs="Arial"/>
                  <w:szCs w:val="21"/>
                </w:rPr>
              </w:pPr>
              <w:r w:rsidRPr="00C3641E">
                <w:rPr>
                  <w:rFonts w:cs="Arial" w:hint="eastAsia"/>
                  <w:szCs w:val="21"/>
                </w:rPr>
                <w:t>本集团的金融工具包括货币资金、除长期股权投资 (参见附注</w:t>
              </w:r>
              <w:r w:rsidR="000F33A9" w:rsidRPr="00C3641E">
                <w:rPr>
                  <w:rFonts w:cs="Arial" w:hint="eastAsia"/>
                  <w:szCs w:val="21"/>
                </w:rPr>
                <w:t>五</w:t>
              </w:r>
              <w:r w:rsidRPr="00C3641E">
                <w:rPr>
                  <w:rFonts w:cs="Arial" w:hint="eastAsia"/>
                  <w:szCs w:val="21"/>
                </w:rPr>
                <w:t>、</w:t>
              </w:r>
              <w:r w:rsidR="000F33A9" w:rsidRPr="00C3641E">
                <w:rPr>
                  <w:rFonts w:cs="Arial"/>
                  <w:szCs w:val="21"/>
                </w:rPr>
                <w:t>21</w:t>
              </w:r>
              <w:r w:rsidRPr="00C3641E">
                <w:rPr>
                  <w:rFonts w:cs="Arial" w:hint="eastAsia"/>
                  <w:szCs w:val="21"/>
                </w:rPr>
                <w:t>) 以外的股权投资、应收款项、应付款项、借款、应付债券及股本等。</w:t>
              </w:r>
            </w:p>
            <w:p w:rsidR="005314C2" w:rsidRPr="00C3641E" w:rsidRDefault="005314C2" w:rsidP="005314C2">
              <w:pPr>
                <w:overflowPunct w:val="0"/>
                <w:adjustRightInd w:val="0"/>
                <w:snapToGrid w:val="0"/>
                <w:rPr>
                  <w:rFonts w:cs="Arial"/>
                  <w:bCs/>
                  <w:szCs w:val="21"/>
                </w:rPr>
              </w:pPr>
            </w:p>
            <w:p w:rsidR="005314C2" w:rsidRPr="00C3641E" w:rsidRDefault="005314C2" w:rsidP="005314C2">
              <w:pPr>
                <w:pStyle w:val="3"/>
                <w:keepNext w:val="0"/>
                <w:widowControl/>
                <w:tabs>
                  <w:tab w:val="left" w:pos="0"/>
                </w:tabs>
                <w:overflowPunct w:val="0"/>
                <w:adjustRightInd w:val="0"/>
                <w:snapToGrid w:val="0"/>
                <w:spacing w:before="0" w:after="0"/>
                <w:rPr>
                  <w:rFonts w:asciiTheme="majorEastAsia" w:eastAsiaTheme="majorEastAsia" w:hAnsiTheme="majorEastAsia" w:cs="Arial"/>
                  <w:b w:val="0"/>
                  <w:kern w:val="0"/>
                  <w:szCs w:val="21"/>
                </w:rPr>
              </w:pPr>
              <w:r w:rsidRPr="00C3641E">
                <w:rPr>
                  <w:rFonts w:asciiTheme="majorEastAsia" w:eastAsiaTheme="majorEastAsia" w:hAnsiTheme="majorEastAsia" w:cs="Arial" w:hint="eastAsia"/>
                  <w:b w:val="0"/>
                  <w:kern w:val="0"/>
                  <w:szCs w:val="21"/>
                </w:rPr>
                <w:t>(1)</w:t>
              </w:r>
              <w:r w:rsidRPr="00C3641E">
                <w:rPr>
                  <w:rFonts w:asciiTheme="majorEastAsia" w:eastAsiaTheme="majorEastAsia" w:hAnsiTheme="majorEastAsia" w:cs="Arial" w:hint="eastAsia"/>
                  <w:b w:val="0"/>
                  <w:kern w:val="0"/>
                  <w:szCs w:val="21"/>
                </w:rPr>
                <w:tab/>
                <w:t>金融资产及金融负债的确认和初始计量</w:t>
              </w:r>
            </w:p>
            <w:p w:rsidR="005314C2" w:rsidRPr="00C3641E" w:rsidRDefault="005314C2" w:rsidP="005314C2">
              <w:pPr>
                <w:overflowPunct w:val="0"/>
                <w:adjustRightInd w:val="0"/>
                <w:snapToGrid w:val="0"/>
                <w:rPr>
                  <w:rFonts w:cs="Arial"/>
                  <w:szCs w:val="21"/>
                </w:rPr>
              </w:pPr>
            </w:p>
            <w:p w:rsidR="005314C2" w:rsidRPr="00C3641E" w:rsidRDefault="005314C2" w:rsidP="005314C2">
              <w:pPr>
                <w:overflowPunct w:val="0"/>
                <w:adjustRightInd w:val="0"/>
                <w:snapToGrid w:val="0"/>
                <w:rPr>
                  <w:rFonts w:cs="Arial"/>
                  <w:szCs w:val="21"/>
                </w:rPr>
              </w:pPr>
              <w:r w:rsidRPr="00C3641E">
                <w:rPr>
                  <w:rFonts w:cs="Arial" w:hint="eastAsia"/>
                  <w:szCs w:val="21"/>
                </w:rPr>
                <w:t>金融资产和金融负债在本集团成为相关金融工具合同条款的一方时，于资产负债表内确认。</w:t>
              </w:r>
            </w:p>
            <w:p w:rsidR="005314C2" w:rsidRPr="00C3641E" w:rsidRDefault="005314C2" w:rsidP="005314C2">
              <w:pPr>
                <w:overflowPunct w:val="0"/>
                <w:adjustRightInd w:val="0"/>
                <w:snapToGrid w:val="0"/>
                <w:rPr>
                  <w:rFonts w:cs="Arial"/>
                  <w:szCs w:val="21"/>
                </w:rPr>
              </w:pPr>
            </w:p>
            <w:p w:rsidR="005314C2" w:rsidRPr="00C3641E" w:rsidRDefault="005314C2" w:rsidP="005314C2">
              <w:pPr>
                <w:overflowPunct w:val="0"/>
                <w:adjustRightInd w:val="0"/>
                <w:snapToGrid w:val="0"/>
                <w:rPr>
                  <w:rFonts w:cs="Arial"/>
                  <w:szCs w:val="21"/>
                </w:rPr>
              </w:pPr>
              <w:r w:rsidRPr="00C3641E">
                <w:rPr>
                  <w:rFonts w:cs="Arial" w:hint="eastAsia"/>
                  <w:szCs w:val="21"/>
                </w:rPr>
                <w:t>在初始确认时，金融资产及金融负债均以公允价值计量。对于以公允价值计量且其变动计入当期损益的金融资产或金融负债，相关交易费用直接计入当期损益；对于其他类别的金融资产或金融负债，相关交易费用计入初始确认金额。对于不具有重大融资成分的应收账款，本集团按照根据附注</w:t>
              </w:r>
              <w:r w:rsidR="000F33A9" w:rsidRPr="00C3641E">
                <w:rPr>
                  <w:rFonts w:cs="Arial" w:hint="eastAsia"/>
                  <w:szCs w:val="21"/>
                </w:rPr>
                <w:t>五</w:t>
              </w:r>
              <w:r w:rsidRPr="00C3641E">
                <w:rPr>
                  <w:rFonts w:cs="Arial" w:hint="eastAsia"/>
                  <w:szCs w:val="21"/>
                </w:rPr>
                <w:t>、</w:t>
              </w:r>
              <w:r w:rsidR="000F33A9" w:rsidRPr="00C3641E">
                <w:rPr>
                  <w:rFonts w:cs="Arial"/>
                  <w:szCs w:val="21"/>
                </w:rPr>
                <w:t>38</w:t>
              </w:r>
              <w:r w:rsidRPr="00C3641E">
                <w:rPr>
                  <w:rFonts w:cs="Arial" w:hint="eastAsia"/>
                  <w:szCs w:val="21"/>
                </w:rPr>
                <w:t>的会计政策确定的交易价格进行初始计量。</w:t>
              </w:r>
            </w:p>
            <w:p w:rsidR="005314C2" w:rsidRPr="00C3641E" w:rsidRDefault="005314C2" w:rsidP="005314C2">
              <w:pPr>
                <w:overflowPunct w:val="0"/>
                <w:adjustRightInd w:val="0"/>
                <w:snapToGrid w:val="0"/>
                <w:rPr>
                  <w:rFonts w:cs="Arial"/>
                  <w:bCs/>
                  <w:szCs w:val="21"/>
                </w:rPr>
              </w:pPr>
            </w:p>
            <w:p w:rsidR="005314C2" w:rsidRPr="00C3641E" w:rsidRDefault="005314C2" w:rsidP="005314C2">
              <w:pPr>
                <w:pStyle w:val="3"/>
                <w:keepNext w:val="0"/>
                <w:widowControl/>
                <w:tabs>
                  <w:tab w:val="left" w:pos="0"/>
                </w:tabs>
                <w:overflowPunct w:val="0"/>
                <w:adjustRightInd w:val="0"/>
                <w:snapToGrid w:val="0"/>
                <w:spacing w:before="0" w:after="0"/>
                <w:rPr>
                  <w:rFonts w:asciiTheme="majorEastAsia" w:eastAsiaTheme="majorEastAsia" w:hAnsiTheme="majorEastAsia" w:cs="Arial"/>
                  <w:b w:val="0"/>
                  <w:kern w:val="0"/>
                  <w:szCs w:val="21"/>
                </w:rPr>
              </w:pPr>
              <w:r w:rsidRPr="00C3641E">
                <w:rPr>
                  <w:rFonts w:asciiTheme="majorEastAsia" w:eastAsiaTheme="majorEastAsia" w:hAnsiTheme="majorEastAsia" w:cs="Arial" w:hint="eastAsia"/>
                  <w:b w:val="0"/>
                  <w:kern w:val="0"/>
                  <w:szCs w:val="21"/>
                </w:rPr>
                <w:t>(2)</w:t>
              </w:r>
              <w:r w:rsidRPr="00C3641E">
                <w:rPr>
                  <w:rFonts w:asciiTheme="majorEastAsia" w:eastAsiaTheme="majorEastAsia" w:hAnsiTheme="majorEastAsia" w:cs="Arial" w:hint="eastAsia"/>
                  <w:b w:val="0"/>
                  <w:kern w:val="0"/>
                  <w:szCs w:val="21"/>
                </w:rPr>
                <w:tab/>
                <w:t>金融资产的分类和后续计量</w:t>
              </w:r>
            </w:p>
            <w:p w:rsidR="005314C2" w:rsidRPr="00C3641E" w:rsidRDefault="005314C2" w:rsidP="005314C2">
              <w:pPr>
                <w:overflowPunct w:val="0"/>
                <w:adjustRightInd w:val="0"/>
                <w:snapToGrid w:val="0"/>
                <w:rPr>
                  <w:rFonts w:asciiTheme="majorEastAsia" w:eastAsiaTheme="majorEastAsia" w:hAnsiTheme="majorEastAsia" w:cs="Arial"/>
                  <w:szCs w:val="21"/>
                </w:rPr>
              </w:pPr>
            </w:p>
            <w:p w:rsidR="005314C2" w:rsidRPr="00C3641E" w:rsidRDefault="005314C2" w:rsidP="005314C2">
              <w:pPr>
                <w:pStyle w:val="ReportText"/>
                <w:tabs>
                  <w:tab w:val="left" w:pos="567"/>
                </w:tabs>
                <w:autoSpaceDE/>
                <w:autoSpaceDN/>
                <w:snapToGrid w:val="0"/>
                <w:spacing w:before="0" w:line="240" w:lineRule="auto"/>
                <w:ind w:left="567" w:hanging="567"/>
                <w:rPr>
                  <w:rFonts w:asciiTheme="majorEastAsia" w:eastAsiaTheme="majorEastAsia" w:hAnsiTheme="majorEastAsia" w:cs="Arial"/>
                  <w:sz w:val="21"/>
                  <w:szCs w:val="21"/>
                  <w:lang w:eastAsia="zh-CN"/>
                </w:rPr>
              </w:pPr>
              <w:r w:rsidRPr="00C3641E">
                <w:rPr>
                  <w:rFonts w:asciiTheme="majorEastAsia" w:eastAsiaTheme="majorEastAsia" w:hAnsiTheme="majorEastAsia" w:cs="Arial" w:hint="eastAsia"/>
                  <w:sz w:val="21"/>
                  <w:szCs w:val="21"/>
                  <w:lang w:eastAsia="zh-CN"/>
                </w:rPr>
                <w:t>(a)</w:t>
              </w:r>
              <w:r w:rsidRPr="00C3641E">
                <w:rPr>
                  <w:rFonts w:asciiTheme="majorEastAsia" w:eastAsiaTheme="majorEastAsia" w:hAnsiTheme="majorEastAsia" w:cs="Arial" w:hint="eastAsia"/>
                  <w:sz w:val="21"/>
                  <w:szCs w:val="21"/>
                  <w:lang w:eastAsia="zh-CN"/>
                </w:rPr>
                <w:tab/>
                <w:t>本集团金融资产的分类</w:t>
              </w:r>
            </w:p>
            <w:p w:rsidR="005314C2" w:rsidRPr="00C3641E" w:rsidRDefault="005314C2" w:rsidP="005314C2">
              <w:pPr>
                <w:overflowPunct w:val="0"/>
                <w:adjustRightInd w:val="0"/>
                <w:snapToGrid w:val="0"/>
                <w:rPr>
                  <w:rFonts w:cs="Arial"/>
                  <w:szCs w:val="21"/>
                  <w:lang w:val="en-GB"/>
                </w:rPr>
              </w:pPr>
            </w:p>
            <w:p w:rsidR="005314C2" w:rsidRPr="00C3641E" w:rsidRDefault="005314C2" w:rsidP="005314C2">
              <w:pPr>
                <w:overflowPunct w:val="0"/>
                <w:adjustRightInd w:val="0"/>
                <w:snapToGrid w:val="0"/>
                <w:ind w:left="567"/>
                <w:rPr>
                  <w:rFonts w:cs="Arial"/>
                  <w:szCs w:val="21"/>
                </w:rPr>
              </w:pPr>
              <w:r w:rsidRPr="00C3641E">
                <w:rPr>
                  <w:rFonts w:cs="Arial" w:hint="eastAsia"/>
                  <w:szCs w:val="21"/>
                </w:rPr>
                <w:t>本集团通常根据管理金融资产的业务模式和金融资产的合同现金流量特征，在初始确认时将金融资产分为不同类别：以摊余成本计量的金融资产、以公允价值计量且其变动计入其他综合收益的金融资产及以公允价值计量且其变动计入当期损益的金融资产。</w:t>
              </w:r>
            </w:p>
            <w:p w:rsidR="005314C2" w:rsidRPr="00C3641E" w:rsidRDefault="005314C2" w:rsidP="005314C2">
              <w:pPr>
                <w:overflowPunct w:val="0"/>
                <w:adjustRightInd w:val="0"/>
                <w:snapToGrid w:val="0"/>
                <w:rPr>
                  <w:rFonts w:cs="Arial"/>
                  <w:szCs w:val="21"/>
                </w:rPr>
              </w:pPr>
            </w:p>
            <w:p w:rsidR="005314C2" w:rsidRPr="00C3641E" w:rsidRDefault="005314C2" w:rsidP="005314C2">
              <w:pPr>
                <w:overflowPunct w:val="0"/>
                <w:adjustRightInd w:val="0"/>
                <w:snapToGrid w:val="0"/>
                <w:ind w:left="567"/>
                <w:rPr>
                  <w:rFonts w:cs="Arial"/>
                  <w:szCs w:val="21"/>
                </w:rPr>
              </w:pPr>
              <w:r w:rsidRPr="00C3641E">
                <w:rPr>
                  <w:rFonts w:cs="Arial" w:hint="eastAsia"/>
                  <w:szCs w:val="21"/>
                </w:rPr>
                <w:t>除非本集团改变管理金融资产的业务模式，在此情形下，所有受影响的相关金融资产在业务模式发生变更后的首个报告期间的第一天进行重分类，否则金融资产在初始确认后不得进行重分类。</w:t>
              </w:r>
            </w:p>
            <w:p w:rsidR="005314C2" w:rsidRPr="00C3641E" w:rsidRDefault="005314C2" w:rsidP="005314C2">
              <w:pPr>
                <w:overflowPunct w:val="0"/>
                <w:adjustRightInd w:val="0"/>
                <w:snapToGrid w:val="0"/>
                <w:rPr>
                  <w:rFonts w:cs="Arial"/>
                  <w:szCs w:val="21"/>
                </w:rPr>
              </w:pPr>
            </w:p>
            <w:p w:rsidR="005314C2" w:rsidRPr="00C3641E" w:rsidRDefault="005314C2" w:rsidP="005314C2">
              <w:pPr>
                <w:overflowPunct w:val="0"/>
                <w:adjustRightInd w:val="0"/>
                <w:snapToGrid w:val="0"/>
                <w:ind w:left="567"/>
                <w:rPr>
                  <w:rFonts w:cs="Arial"/>
                  <w:szCs w:val="21"/>
                </w:rPr>
              </w:pPr>
              <w:r w:rsidRPr="00C3641E">
                <w:rPr>
                  <w:rFonts w:cs="Arial" w:hint="eastAsia"/>
                  <w:szCs w:val="21"/>
                </w:rPr>
                <w:t>本集团将同时符合下列条件且未被指定为以公允价值计量且其变动计入当期损益的金融资产，分类为以摊余成本计量的金融资产：</w:t>
              </w:r>
            </w:p>
            <w:p w:rsidR="005314C2" w:rsidRPr="00C3641E" w:rsidRDefault="005314C2" w:rsidP="005314C2">
              <w:pPr>
                <w:overflowPunct w:val="0"/>
                <w:adjustRightInd w:val="0"/>
                <w:snapToGrid w:val="0"/>
                <w:rPr>
                  <w:rFonts w:cs="Arial"/>
                  <w:szCs w:val="21"/>
                </w:rPr>
              </w:pPr>
            </w:p>
            <w:p w:rsidR="005314C2" w:rsidRPr="00C3641E" w:rsidRDefault="005314C2" w:rsidP="005314C2">
              <w:pPr>
                <w:pStyle w:val="34"/>
                <w:tabs>
                  <w:tab w:val="left" w:pos="851"/>
                </w:tabs>
                <w:overflowPunct w:val="0"/>
                <w:snapToGrid w:val="0"/>
                <w:ind w:left="851" w:hanging="283"/>
                <w:rPr>
                  <w:rFonts w:cs="Arial"/>
                  <w:sz w:val="21"/>
                  <w:szCs w:val="21"/>
                </w:rPr>
              </w:pPr>
              <w:r w:rsidRPr="00C3641E">
                <w:rPr>
                  <w:rFonts w:cs="Arial" w:hint="eastAsia"/>
                  <w:sz w:val="21"/>
                  <w:szCs w:val="21"/>
                </w:rPr>
                <w:t>-</w:t>
              </w:r>
              <w:r w:rsidRPr="00C3641E">
                <w:rPr>
                  <w:rFonts w:cs="Arial" w:hint="eastAsia"/>
                  <w:sz w:val="21"/>
                  <w:szCs w:val="21"/>
                </w:rPr>
                <w:tab/>
                <w:t>本集团管理该金融资产的业务模式是以收取合同现金流量为目标；</w:t>
              </w:r>
            </w:p>
            <w:p w:rsidR="005314C2" w:rsidRPr="00C3641E" w:rsidRDefault="005314C2" w:rsidP="005314C2">
              <w:pPr>
                <w:pStyle w:val="34"/>
                <w:tabs>
                  <w:tab w:val="left" w:pos="851"/>
                </w:tabs>
                <w:overflowPunct w:val="0"/>
                <w:snapToGrid w:val="0"/>
                <w:ind w:left="851" w:hanging="283"/>
                <w:rPr>
                  <w:rFonts w:cs="Arial"/>
                  <w:sz w:val="21"/>
                  <w:szCs w:val="21"/>
                </w:rPr>
              </w:pPr>
              <w:r w:rsidRPr="00C3641E">
                <w:rPr>
                  <w:rFonts w:cs="Arial" w:hint="eastAsia"/>
                  <w:sz w:val="21"/>
                  <w:szCs w:val="21"/>
                </w:rPr>
                <w:t>-</w:t>
              </w:r>
              <w:r w:rsidRPr="00C3641E">
                <w:rPr>
                  <w:rFonts w:cs="Arial" w:hint="eastAsia"/>
                  <w:sz w:val="21"/>
                  <w:szCs w:val="21"/>
                </w:rPr>
                <w:tab/>
                <w:t>该金融资产的合同条款规定，在特定日期产生的现金流量，仅为对本金和以未偿付本金金额为基础的利息的支付。</w:t>
              </w:r>
            </w:p>
            <w:p w:rsidR="005314C2" w:rsidRPr="00C3641E" w:rsidRDefault="005314C2" w:rsidP="005314C2">
              <w:pPr>
                <w:overflowPunct w:val="0"/>
                <w:adjustRightInd w:val="0"/>
                <w:snapToGrid w:val="0"/>
                <w:rPr>
                  <w:rFonts w:cs="Arial"/>
                  <w:szCs w:val="21"/>
                </w:rPr>
              </w:pPr>
            </w:p>
            <w:p w:rsidR="005314C2" w:rsidRPr="00C3641E" w:rsidRDefault="005314C2" w:rsidP="005314C2">
              <w:pPr>
                <w:overflowPunct w:val="0"/>
                <w:adjustRightInd w:val="0"/>
                <w:snapToGrid w:val="0"/>
                <w:ind w:left="567"/>
                <w:rPr>
                  <w:rFonts w:cs="Arial"/>
                  <w:szCs w:val="21"/>
                </w:rPr>
              </w:pPr>
              <w:r w:rsidRPr="00C3641E">
                <w:rPr>
                  <w:rFonts w:cs="Arial" w:hint="eastAsia"/>
                  <w:szCs w:val="21"/>
                </w:rPr>
                <w:t>本集团将同时符合下列条件且未被指定为以公允价值计量且其变动计入当期损益的金融资产，分类为以公允价值计量且其变动计入其他综合收益的金融资产：</w:t>
              </w:r>
            </w:p>
            <w:p w:rsidR="005314C2" w:rsidRPr="00C3641E" w:rsidRDefault="005314C2" w:rsidP="005314C2">
              <w:pPr>
                <w:overflowPunct w:val="0"/>
                <w:adjustRightInd w:val="0"/>
                <w:snapToGrid w:val="0"/>
                <w:rPr>
                  <w:rFonts w:cs="Arial"/>
                  <w:szCs w:val="21"/>
                </w:rPr>
              </w:pPr>
            </w:p>
            <w:p w:rsidR="005314C2" w:rsidRPr="00C3641E" w:rsidRDefault="005314C2" w:rsidP="005314C2">
              <w:pPr>
                <w:pStyle w:val="34"/>
                <w:tabs>
                  <w:tab w:val="left" w:pos="851"/>
                </w:tabs>
                <w:overflowPunct w:val="0"/>
                <w:snapToGrid w:val="0"/>
                <w:ind w:left="851" w:hanging="283"/>
                <w:rPr>
                  <w:rFonts w:cs="Arial"/>
                  <w:sz w:val="21"/>
                  <w:szCs w:val="21"/>
                </w:rPr>
              </w:pPr>
              <w:r w:rsidRPr="00C3641E">
                <w:rPr>
                  <w:rFonts w:cs="Arial" w:hint="eastAsia"/>
                  <w:sz w:val="21"/>
                  <w:szCs w:val="21"/>
                </w:rPr>
                <w:t>-</w:t>
              </w:r>
              <w:r w:rsidRPr="00C3641E">
                <w:rPr>
                  <w:rFonts w:cs="Arial" w:hint="eastAsia"/>
                  <w:sz w:val="21"/>
                  <w:szCs w:val="21"/>
                </w:rPr>
                <w:tab/>
                <w:t>本集团管理该金融资产的业务模式既以收取合同现金流量为目标又以出售该金融资产为目标；</w:t>
              </w:r>
            </w:p>
            <w:p w:rsidR="005314C2" w:rsidRPr="00C3641E" w:rsidRDefault="005314C2" w:rsidP="005314C2">
              <w:pPr>
                <w:pStyle w:val="34"/>
                <w:tabs>
                  <w:tab w:val="left" w:pos="851"/>
                </w:tabs>
                <w:overflowPunct w:val="0"/>
                <w:snapToGrid w:val="0"/>
                <w:ind w:left="851" w:hanging="283"/>
                <w:rPr>
                  <w:rFonts w:cs="Arial"/>
                  <w:sz w:val="21"/>
                  <w:szCs w:val="21"/>
                </w:rPr>
              </w:pPr>
              <w:r w:rsidRPr="00C3641E">
                <w:rPr>
                  <w:rFonts w:cs="Arial" w:hint="eastAsia"/>
                  <w:sz w:val="21"/>
                  <w:szCs w:val="21"/>
                </w:rPr>
                <w:t>-</w:t>
              </w:r>
              <w:r w:rsidRPr="00C3641E">
                <w:rPr>
                  <w:rFonts w:cs="Arial" w:hint="eastAsia"/>
                  <w:sz w:val="21"/>
                  <w:szCs w:val="21"/>
                </w:rPr>
                <w:tab/>
                <w:t>该金融资产的合同条款规定，在特定日期产生的现金流量，仅为对本金和以未偿付本金金额为基础的利息的支付。</w:t>
              </w:r>
            </w:p>
            <w:p w:rsidR="005314C2" w:rsidRPr="00C3641E" w:rsidRDefault="005314C2" w:rsidP="005314C2">
              <w:pPr>
                <w:overflowPunct w:val="0"/>
                <w:adjustRightInd w:val="0"/>
                <w:snapToGrid w:val="0"/>
                <w:rPr>
                  <w:rFonts w:cs="Arial"/>
                  <w:szCs w:val="21"/>
                </w:rPr>
              </w:pPr>
            </w:p>
            <w:p w:rsidR="005314C2" w:rsidRPr="00C3641E" w:rsidRDefault="005314C2" w:rsidP="005314C2">
              <w:pPr>
                <w:overflowPunct w:val="0"/>
                <w:adjustRightInd w:val="0"/>
                <w:snapToGrid w:val="0"/>
                <w:ind w:left="567"/>
                <w:rPr>
                  <w:rFonts w:cs="Arial"/>
                  <w:szCs w:val="21"/>
                </w:rPr>
              </w:pPr>
              <w:r w:rsidRPr="00C3641E">
                <w:rPr>
                  <w:rFonts w:cs="Arial" w:hint="eastAsia"/>
                  <w:szCs w:val="21"/>
                </w:rPr>
                <w:t>对于非交易性权益工具投资，本集团可在初始确认时将其不可撤销地指定为以公允价值计量且其变动计入其他综合收益的金融资产。该指定在单项投资的基础上作出，且相关投资从发行者的角度符合权益工具的定义。</w:t>
              </w:r>
            </w:p>
            <w:p w:rsidR="005314C2" w:rsidRPr="00C3641E" w:rsidRDefault="005314C2" w:rsidP="005314C2">
              <w:pPr>
                <w:overflowPunct w:val="0"/>
                <w:adjustRightInd w:val="0"/>
                <w:snapToGrid w:val="0"/>
                <w:rPr>
                  <w:rFonts w:cs="Arial"/>
                  <w:szCs w:val="21"/>
                </w:rPr>
              </w:pPr>
            </w:p>
            <w:p w:rsidR="005314C2" w:rsidRPr="00C3641E" w:rsidRDefault="005314C2" w:rsidP="005314C2">
              <w:pPr>
                <w:overflowPunct w:val="0"/>
                <w:adjustRightInd w:val="0"/>
                <w:snapToGrid w:val="0"/>
                <w:ind w:left="567"/>
                <w:rPr>
                  <w:rFonts w:cs="Arial"/>
                  <w:szCs w:val="21"/>
                </w:rPr>
              </w:pPr>
              <w:r w:rsidRPr="00C3641E">
                <w:rPr>
                  <w:rFonts w:cs="Arial" w:hint="eastAsia"/>
                  <w:szCs w:val="21"/>
                </w:rPr>
                <w:t>除上述以摊余成本计量和以公允价值计量且其变动计入其他综合收益的金融资产外，本集团将其余所有的金融资产分类为以公允价值计量且其变动计入当期损益的金融资产。在初始确认时，如果能够消除或显著减少会计错配，本集团可以将本应以摊余成本计量或以公允价值计量且其变动计入其他综合收益的金融资产不可撤销地指定为以公允价值计量且其变动计入当期损益的金融资产。</w:t>
              </w:r>
            </w:p>
            <w:p w:rsidR="005314C2" w:rsidRPr="00C3641E" w:rsidRDefault="005314C2" w:rsidP="005314C2">
              <w:pPr>
                <w:overflowPunct w:val="0"/>
                <w:adjustRightInd w:val="0"/>
                <w:snapToGrid w:val="0"/>
                <w:rPr>
                  <w:rFonts w:cs="Arial"/>
                  <w:szCs w:val="21"/>
                </w:rPr>
              </w:pPr>
            </w:p>
            <w:p w:rsidR="005314C2" w:rsidRPr="00C3641E" w:rsidRDefault="005314C2" w:rsidP="005314C2">
              <w:pPr>
                <w:overflowPunct w:val="0"/>
                <w:adjustRightInd w:val="0"/>
                <w:snapToGrid w:val="0"/>
                <w:ind w:left="567"/>
                <w:rPr>
                  <w:rFonts w:cs="Arial"/>
                  <w:szCs w:val="21"/>
                </w:rPr>
              </w:pPr>
              <w:r w:rsidRPr="00C3641E">
                <w:rPr>
                  <w:rFonts w:cs="Arial" w:hint="eastAsia"/>
                  <w:szCs w:val="21"/>
                </w:rPr>
                <w:t>管理金融资产的业务模式，是指本集团如何管理金融资产以产生现金流量。业务模式决定本集团所管理金融资产现金流量的来源是收取合同现金流量、出售金融资产还是两者兼有。本集团以客观事实为依据、以关键管理人员决定的对金融资产进行管理的特定业务目标为基础，确定管理金融资产的业务模式。</w:t>
              </w:r>
            </w:p>
            <w:p w:rsidR="005314C2" w:rsidRPr="00C3641E" w:rsidRDefault="005314C2" w:rsidP="005314C2">
              <w:pPr>
                <w:overflowPunct w:val="0"/>
                <w:adjustRightInd w:val="0"/>
                <w:snapToGrid w:val="0"/>
                <w:rPr>
                  <w:rFonts w:cs="Arial"/>
                  <w:szCs w:val="21"/>
                </w:rPr>
              </w:pPr>
            </w:p>
            <w:p w:rsidR="005314C2" w:rsidRPr="00C3641E" w:rsidRDefault="005314C2" w:rsidP="005314C2">
              <w:pPr>
                <w:overflowPunct w:val="0"/>
                <w:adjustRightInd w:val="0"/>
                <w:snapToGrid w:val="0"/>
                <w:ind w:left="567"/>
                <w:rPr>
                  <w:rFonts w:cs="Arial"/>
                  <w:szCs w:val="21"/>
                </w:rPr>
              </w:pPr>
              <w:r w:rsidRPr="00C3641E">
                <w:rPr>
                  <w:rFonts w:cs="Arial" w:hint="eastAsia"/>
                  <w:szCs w:val="21"/>
                </w:rPr>
                <w:t>本集团对金融资产的合同现金流量特征进行评估，以确定相关金融资产在特定日期产生的合同现金流量是否仅为对本金和以未偿付本金金额为基础的利息的支付。其中，本金是指金融资产在初始确认时的公允价值；利息包括对货币时间价值、与特定时期未偿付本金金额相关的信用风险、以及其他基本借贷风险、成本和利润的对价。此外，本集团对可能导致金融资产合同现金流量的时间分布或金额发生变更的合同条款进行评估，以确定其是否满足上述合同现金流量特征的要求。</w:t>
              </w:r>
            </w:p>
            <w:p w:rsidR="005314C2" w:rsidRPr="00C3641E" w:rsidRDefault="005314C2" w:rsidP="005314C2">
              <w:pPr>
                <w:overflowPunct w:val="0"/>
                <w:adjustRightInd w:val="0"/>
                <w:snapToGrid w:val="0"/>
                <w:rPr>
                  <w:rFonts w:asciiTheme="majorEastAsia" w:eastAsiaTheme="majorEastAsia" w:hAnsiTheme="majorEastAsia" w:cs="Arial"/>
                  <w:szCs w:val="21"/>
                </w:rPr>
              </w:pPr>
            </w:p>
            <w:p w:rsidR="005314C2" w:rsidRPr="00C3641E" w:rsidRDefault="005314C2" w:rsidP="005314C2">
              <w:pPr>
                <w:pStyle w:val="ReportText"/>
                <w:tabs>
                  <w:tab w:val="left" w:pos="567"/>
                </w:tabs>
                <w:autoSpaceDE/>
                <w:autoSpaceDN/>
                <w:snapToGrid w:val="0"/>
                <w:spacing w:before="0" w:line="240" w:lineRule="auto"/>
                <w:ind w:left="567" w:hanging="567"/>
                <w:rPr>
                  <w:rFonts w:asciiTheme="majorEastAsia" w:eastAsiaTheme="majorEastAsia" w:hAnsiTheme="majorEastAsia" w:cs="Arial"/>
                  <w:sz w:val="21"/>
                  <w:szCs w:val="21"/>
                  <w:lang w:val="en-US" w:eastAsia="zh-CN"/>
                </w:rPr>
              </w:pPr>
              <w:r w:rsidRPr="00C3641E">
                <w:rPr>
                  <w:rFonts w:asciiTheme="majorEastAsia" w:eastAsiaTheme="majorEastAsia" w:hAnsiTheme="majorEastAsia" w:cs="Arial" w:hint="eastAsia"/>
                  <w:sz w:val="21"/>
                  <w:szCs w:val="21"/>
                  <w:lang w:val="en-US" w:eastAsia="zh-CN"/>
                </w:rPr>
                <w:t>(b)</w:t>
              </w:r>
              <w:r w:rsidRPr="00C3641E">
                <w:rPr>
                  <w:rFonts w:asciiTheme="majorEastAsia" w:eastAsiaTheme="majorEastAsia" w:hAnsiTheme="majorEastAsia" w:cs="Arial" w:hint="eastAsia"/>
                  <w:sz w:val="21"/>
                  <w:szCs w:val="21"/>
                  <w:lang w:val="en-US" w:eastAsia="zh-CN"/>
                </w:rPr>
                <w:tab/>
                <w:t>本集团金融资产的后续计量</w:t>
              </w:r>
            </w:p>
            <w:p w:rsidR="005314C2" w:rsidRPr="00C3641E" w:rsidRDefault="005314C2" w:rsidP="005314C2">
              <w:pPr>
                <w:pStyle w:val="ReportText"/>
                <w:tabs>
                  <w:tab w:val="left" w:pos="567"/>
                </w:tabs>
                <w:autoSpaceDE/>
                <w:autoSpaceDN/>
                <w:snapToGrid w:val="0"/>
                <w:spacing w:before="0" w:line="240" w:lineRule="auto"/>
                <w:ind w:left="567" w:hanging="567"/>
                <w:rPr>
                  <w:rFonts w:ascii="宋体" w:eastAsia="宋体" w:hAnsi="宋体" w:cs="Arial"/>
                  <w:sz w:val="21"/>
                  <w:szCs w:val="21"/>
                  <w:lang w:val="en-US" w:eastAsia="zh-CN"/>
                </w:rPr>
              </w:pPr>
            </w:p>
            <w:p w:rsidR="005314C2" w:rsidRPr="00C3641E" w:rsidRDefault="005314C2" w:rsidP="005314C2">
              <w:pPr>
                <w:pStyle w:val="34"/>
                <w:tabs>
                  <w:tab w:val="left" w:pos="851"/>
                </w:tabs>
                <w:overflowPunct w:val="0"/>
                <w:snapToGrid w:val="0"/>
                <w:ind w:left="851" w:hanging="283"/>
                <w:rPr>
                  <w:rFonts w:cs="Arial"/>
                  <w:sz w:val="21"/>
                  <w:szCs w:val="21"/>
                </w:rPr>
              </w:pPr>
              <w:r w:rsidRPr="00C3641E">
                <w:rPr>
                  <w:rFonts w:cs="Arial" w:hint="eastAsia"/>
                  <w:sz w:val="21"/>
                  <w:szCs w:val="21"/>
                </w:rPr>
                <w:t>-</w:t>
              </w:r>
              <w:r w:rsidRPr="00C3641E">
                <w:rPr>
                  <w:rFonts w:cs="Arial" w:hint="eastAsia"/>
                  <w:sz w:val="21"/>
                  <w:szCs w:val="21"/>
                </w:rPr>
                <w:tab/>
                <w:t>以公允价值计量且其变动计入当期损益的金融资产</w:t>
              </w:r>
            </w:p>
            <w:p w:rsidR="005314C2" w:rsidRPr="00C3641E" w:rsidRDefault="005314C2" w:rsidP="005314C2">
              <w:pPr>
                <w:overflowPunct w:val="0"/>
                <w:adjustRightInd w:val="0"/>
                <w:snapToGrid w:val="0"/>
                <w:rPr>
                  <w:rFonts w:cs="Arial"/>
                  <w:szCs w:val="21"/>
                </w:rPr>
              </w:pPr>
            </w:p>
            <w:p w:rsidR="005314C2" w:rsidRPr="00C3641E" w:rsidRDefault="005314C2" w:rsidP="005314C2">
              <w:pPr>
                <w:overflowPunct w:val="0"/>
                <w:adjustRightInd w:val="0"/>
                <w:snapToGrid w:val="0"/>
                <w:ind w:left="851"/>
                <w:rPr>
                  <w:rFonts w:cs="Arial"/>
                  <w:szCs w:val="21"/>
                </w:rPr>
              </w:pPr>
              <w:r w:rsidRPr="00C3641E">
                <w:rPr>
                  <w:rFonts w:cs="Arial" w:hint="eastAsia"/>
                  <w:szCs w:val="21"/>
                </w:rPr>
                <w:t>初始确认后，对于该类金融资产以公允价值进行后续计量，产生的利得或损失 (包括利息和股利收入) 计入当期损益，除非该金融资产属于套期关系的一部分。</w:t>
              </w:r>
            </w:p>
            <w:p w:rsidR="005314C2" w:rsidRPr="00C3641E" w:rsidRDefault="005314C2" w:rsidP="005314C2">
              <w:pPr>
                <w:overflowPunct w:val="0"/>
                <w:adjustRightInd w:val="0"/>
                <w:snapToGrid w:val="0"/>
                <w:rPr>
                  <w:rFonts w:cs="Arial"/>
                  <w:szCs w:val="21"/>
                </w:rPr>
              </w:pPr>
            </w:p>
            <w:p w:rsidR="005314C2" w:rsidRPr="00C3641E" w:rsidRDefault="005314C2" w:rsidP="005314C2">
              <w:pPr>
                <w:pStyle w:val="34"/>
                <w:tabs>
                  <w:tab w:val="left" w:pos="851"/>
                </w:tabs>
                <w:overflowPunct w:val="0"/>
                <w:snapToGrid w:val="0"/>
                <w:ind w:left="851" w:hanging="283"/>
                <w:rPr>
                  <w:rFonts w:cs="Arial"/>
                  <w:sz w:val="21"/>
                  <w:szCs w:val="21"/>
                </w:rPr>
              </w:pPr>
              <w:r w:rsidRPr="00C3641E">
                <w:rPr>
                  <w:rFonts w:cs="Arial" w:hint="eastAsia"/>
                  <w:sz w:val="21"/>
                  <w:szCs w:val="21"/>
                </w:rPr>
                <w:t>-</w:t>
              </w:r>
              <w:r w:rsidRPr="00C3641E">
                <w:rPr>
                  <w:rFonts w:cs="Arial" w:hint="eastAsia"/>
                  <w:sz w:val="21"/>
                  <w:szCs w:val="21"/>
                </w:rPr>
                <w:tab/>
                <w:t>以摊余成本计量的金融资产</w:t>
              </w:r>
            </w:p>
            <w:p w:rsidR="005314C2" w:rsidRPr="00C3641E" w:rsidRDefault="005314C2" w:rsidP="005314C2">
              <w:pPr>
                <w:overflowPunct w:val="0"/>
                <w:adjustRightInd w:val="0"/>
                <w:snapToGrid w:val="0"/>
                <w:rPr>
                  <w:rFonts w:cs="Arial"/>
                  <w:szCs w:val="21"/>
                </w:rPr>
              </w:pPr>
            </w:p>
            <w:p w:rsidR="005314C2" w:rsidRPr="00C3641E" w:rsidRDefault="005314C2" w:rsidP="005314C2">
              <w:pPr>
                <w:overflowPunct w:val="0"/>
                <w:adjustRightInd w:val="0"/>
                <w:snapToGrid w:val="0"/>
                <w:ind w:left="851"/>
                <w:rPr>
                  <w:rFonts w:cs="Arial"/>
                  <w:szCs w:val="21"/>
                </w:rPr>
              </w:pPr>
              <w:r w:rsidRPr="00C3641E">
                <w:rPr>
                  <w:rFonts w:cs="Arial" w:hint="eastAsia"/>
                  <w:szCs w:val="21"/>
                </w:rPr>
                <w:t>初始确认后，对于该类金融资产采用实际利率法以摊余成本计量。以摊余成本计量且不属于任何套期关系的一部分的金融资产所产生的利得或损失，在终止确认、按照实际利率法摊销或确认减值时，计入当期损益。</w:t>
              </w:r>
            </w:p>
            <w:p w:rsidR="005314C2" w:rsidRPr="00C3641E" w:rsidRDefault="005314C2" w:rsidP="005314C2">
              <w:pPr>
                <w:overflowPunct w:val="0"/>
                <w:adjustRightInd w:val="0"/>
                <w:snapToGrid w:val="0"/>
                <w:rPr>
                  <w:rFonts w:cs="Arial"/>
                  <w:szCs w:val="21"/>
                </w:rPr>
              </w:pPr>
            </w:p>
            <w:p w:rsidR="005314C2" w:rsidRPr="00C3641E" w:rsidRDefault="005314C2" w:rsidP="005314C2">
              <w:pPr>
                <w:pStyle w:val="34"/>
                <w:tabs>
                  <w:tab w:val="left" w:pos="851"/>
                </w:tabs>
                <w:overflowPunct w:val="0"/>
                <w:snapToGrid w:val="0"/>
                <w:ind w:left="851" w:hanging="283"/>
                <w:rPr>
                  <w:rFonts w:cs="Arial"/>
                  <w:sz w:val="21"/>
                  <w:szCs w:val="21"/>
                </w:rPr>
              </w:pPr>
              <w:r w:rsidRPr="00C3641E">
                <w:rPr>
                  <w:rFonts w:cs="Arial" w:hint="eastAsia"/>
                  <w:sz w:val="21"/>
                  <w:szCs w:val="21"/>
                </w:rPr>
                <w:t>-</w:t>
              </w:r>
              <w:r w:rsidRPr="00C3641E">
                <w:rPr>
                  <w:rFonts w:cs="Arial" w:hint="eastAsia"/>
                  <w:sz w:val="21"/>
                  <w:szCs w:val="21"/>
                </w:rPr>
                <w:tab/>
                <w:t>以公允价值计量且其变动计入其他综合收益的债权投资</w:t>
              </w:r>
            </w:p>
            <w:p w:rsidR="005314C2" w:rsidRPr="00C3641E" w:rsidRDefault="005314C2" w:rsidP="005314C2">
              <w:pPr>
                <w:overflowPunct w:val="0"/>
                <w:adjustRightInd w:val="0"/>
                <w:snapToGrid w:val="0"/>
                <w:rPr>
                  <w:rFonts w:cs="Arial"/>
                  <w:szCs w:val="21"/>
                </w:rPr>
              </w:pPr>
            </w:p>
            <w:p w:rsidR="005314C2" w:rsidRPr="00C3641E" w:rsidRDefault="005314C2" w:rsidP="005314C2">
              <w:pPr>
                <w:overflowPunct w:val="0"/>
                <w:adjustRightInd w:val="0"/>
                <w:snapToGrid w:val="0"/>
                <w:ind w:left="851"/>
                <w:rPr>
                  <w:rFonts w:cs="Arial"/>
                  <w:szCs w:val="21"/>
                </w:rPr>
              </w:pPr>
              <w:r w:rsidRPr="00C3641E">
                <w:rPr>
                  <w:rFonts w:cs="Arial" w:hint="eastAsia"/>
                  <w:szCs w:val="21"/>
                </w:rPr>
                <w:t>初始确认后，对于该类金融资产以公允价值进行后续计量。采用实际利率法计算的利息、减值损失或利得及汇兑损益计入当期损益，其他利得或损失计入其他综合收益。终止确认时，将之前计入其他综合收益的累计利得或损失从其他综合收益中转出，计入当期损益。</w:t>
              </w:r>
            </w:p>
            <w:p w:rsidR="005314C2" w:rsidRPr="00C3641E" w:rsidRDefault="005314C2" w:rsidP="005314C2">
              <w:pPr>
                <w:overflowPunct w:val="0"/>
                <w:adjustRightInd w:val="0"/>
                <w:snapToGrid w:val="0"/>
                <w:rPr>
                  <w:rFonts w:cs="Arial"/>
                  <w:szCs w:val="21"/>
                </w:rPr>
              </w:pPr>
            </w:p>
            <w:p w:rsidR="005314C2" w:rsidRPr="00C3641E" w:rsidRDefault="005314C2" w:rsidP="005314C2">
              <w:pPr>
                <w:pStyle w:val="34"/>
                <w:tabs>
                  <w:tab w:val="left" w:pos="851"/>
                </w:tabs>
                <w:overflowPunct w:val="0"/>
                <w:snapToGrid w:val="0"/>
                <w:ind w:left="851" w:hanging="283"/>
                <w:rPr>
                  <w:rFonts w:cs="Arial"/>
                  <w:sz w:val="21"/>
                  <w:szCs w:val="21"/>
                </w:rPr>
              </w:pPr>
              <w:r w:rsidRPr="00C3641E">
                <w:rPr>
                  <w:rFonts w:cs="Arial" w:hint="eastAsia"/>
                  <w:sz w:val="21"/>
                  <w:szCs w:val="21"/>
                </w:rPr>
                <w:t>-</w:t>
              </w:r>
              <w:r w:rsidRPr="00C3641E">
                <w:rPr>
                  <w:rFonts w:cs="Arial" w:hint="eastAsia"/>
                  <w:sz w:val="21"/>
                  <w:szCs w:val="21"/>
                </w:rPr>
                <w:tab/>
                <w:t>以公允价值计量且其变动计入其他综合收益的权益工具投资</w:t>
              </w:r>
            </w:p>
            <w:p w:rsidR="005314C2" w:rsidRPr="00C3641E" w:rsidRDefault="005314C2" w:rsidP="005314C2">
              <w:pPr>
                <w:overflowPunct w:val="0"/>
                <w:adjustRightInd w:val="0"/>
                <w:snapToGrid w:val="0"/>
                <w:rPr>
                  <w:rFonts w:cs="Arial"/>
                  <w:szCs w:val="21"/>
                </w:rPr>
              </w:pPr>
            </w:p>
            <w:p w:rsidR="005314C2" w:rsidRPr="00C3641E" w:rsidRDefault="005314C2" w:rsidP="005314C2">
              <w:pPr>
                <w:overflowPunct w:val="0"/>
                <w:adjustRightInd w:val="0"/>
                <w:snapToGrid w:val="0"/>
                <w:ind w:left="851"/>
                <w:rPr>
                  <w:rFonts w:cs="Arial"/>
                  <w:szCs w:val="21"/>
                </w:rPr>
              </w:pPr>
              <w:r w:rsidRPr="00C3641E">
                <w:rPr>
                  <w:rFonts w:cs="Arial" w:hint="eastAsia"/>
                  <w:szCs w:val="21"/>
                </w:rPr>
                <w:t>初始确认后，对于该类金融资产以公允价值进行后续计量。股利收入计入损益，其他利得或损失计入其他综合收益。终止确认时，将之前计入其他综合收益的累计利得或损失从其他综合收益中转出，计入留存收益。</w:t>
              </w:r>
            </w:p>
            <w:p w:rsidR="005314C2" w:rsidRPr="00C3641E" w:rsidRDefault="005314C2" w:rsidP="005314C2">
              <w:pPr>
                <w:overflowPunct w:val="0"/>
                <w:adjustRightInd w:val="0"/>
                <w:snapToGrid w:val="0"/>
                <w:rPr>
                  <w:rFonts w:cs="Arial"/>
                  <w:bCs/>
                  <w:szCs w:val="21"/>
                </w:rPr>
              </w:pPr>
            </w:p>
            <w:p w:rsidR="005314C2" w:rsidRPr="00C3641E" w:rsidRDefault="005314C2" w:rsidP="005314C2">
              <w:pPr>
                <w:pStyle w:val="3"/>
                <w:keepNext w:val="0"/>
                <w:widowControl/>
                <w:tabs>
                  <w:tab w:val="left" w:pos="0"/>
                </w:tabs>
                <w:overflowPunct w:val="0"/>
                <w:adjustRightInd w:val="0"/>
                <w:snapToGrid w:val="0"/>
                <w:spacing w:before="0" w:after="0"/>
                <w:rPr>
                  <w:rFonts w:asciiTheme="majorEastAsia" w:eastAsiaTheme="majorEastAsia" w:hAnsiTheme="majorEastAsia" w:cs="Arial"/>
                  <w:b w:val="0"/>
                  <w:kern w:val="0"/>
                  <w:szCs w:val="21"/>
                </w:rPr>
              </w:pPr>
              <w:r w:rsidRPr="00C3641E">
                <w:rPr>
                  <w:rFonts w:asciiTheme="majorEastAsia" w:eastAsiaTheme="majorEastAsia" w:hAnsiTheme="majorEastAsia" w:cs="Arial" w:hint="eastAsia"/>
                  <w:b w:val="0"/>
                  <w:kern w:val="0"/>
                  <w:szCs w:val="21"/>
                </w:rPr>
                <w:t>(3)</w:t>
              </w:r>
              <w:r w:rsidRPr="00C3641E">
                <w:rPr>
                  <w:rFonts w:asciiTheme="majorEastAsia" w:eastAsiaTheme="majorEastAsia" w:hAnsiTheme="majorEastAsia" w:cs="Arial" w:hint="eastAsia"/>
                  <w:b w:val="0"/>
                  <w:kern w:val="0"/>
                  <w:szCs w:val="21"/>
                </w:rPr>
                <w:tab/>
                <w:t>金融负债的分类和后续计量</w:t>
              </w:r>
            </w:p>
            <w:p w:rsidR="005314C2" w:rsidRPr="00C3641E" w:rsidRDefault="005314C2" w:rsidP="005314C2">
              <w:pPr>
                <w:overflowPunct w:val="0"/>
                <w:adjustRightInd w:val="0"/>
                <w:snapToGrid w:val="0"/>
                <w:spacing w:line="226" w:lineRule="auto"/>
                <w:rPr>
                  <w:rFonts w:cs="Arial"/>
                  <w:szCs w:val="21"/>
                </w:rPr>
              </w:pPr>
            </w:p>
            <w:p w:rsidR="005314C2" w:rsidRPr="00C3641E" w:rsidRDefault="005314C2" w:rsidP="0030014C">
              <w:pPr>
                <w:overflowPunct w:val="0"/>
                <w:adjustRightInd w:val="0"/>
                <w:snapToGrid w:val="0"/>
                <w:spacing w:line="226" w:lineRule="auto"/>
                <w:ind w:left="350"/>
                <w:rPr>
                  <w:rFonts w:cs="Arial"/>
                  <w:szCs w:val="21"/>
                </w:rPr>
              </w:pPr>
              <w:r w:rsidRPr="00C3641E">
                <w:rPr>
                  <w:rFonts w:cs="Arial" w:hint="eastAsia"/>
                  <w:szCs w:val="21"/>
                </w:rPr>
                <w:t>本集团将金融负债分类为以公允价值计量且其变动计入当期损益的金融负债及以摊余成本计量的金融负债。</w:t>
              </w:r>
            </w:p>
            <w:p w:rsidR="005314C2" w:rsidRPr="00C3641E" w:rsidRDefault="005314C2" w:rsidP="005314C2">
              <w:pPr>
                <w:overflowPunct w:val="0"/>
                <w:adjustRightInd w:val="0"/>
                <w:snapToGrid w:val="0"/>
                <w:spacing w:line="226" w:lineRule="auto"/>
                <w:rPr>
                  <w:rFonts w:cs="Arial"/>
                  <w:szCs w:val="21"/>
                </w:rPr>
              </w:pPr>
            </w:p>
            <w:p w:rsidR="005314C2" w:rsidRPr="00C3641E" w:rsidRDefault="005314C2" w:rsidP="005314C2">
              <w:pPr>
                <w:pStyle w:val="34"/>
                <w:tabs>
                  <w:tab w:val="left" w:pos="284"/>
                </w:tabs>
                <w:overflowPunct w:val="0"/>
                <w:snapToGrid w:val="0"/>
                <w:spacing w:line="226" w:lineRule="auto"/>
                <w:ind w:left="284" w:hanging="283"/>
                <w:rPr>
                  <w:rFonts w:cs="Arial"/>
                  <w:sz w:val="21"/>
                  <w:szCs w:val="21"/>
                </w:rPr>
              </w:pPr>
              <w:r w:rsidRPr="00C3641E">
                <w:rPr>
                  <w:rFonts w:eastAsia="微软雅黑" w:cs="Arial" w:hint="eastAsia"/>
                  <w:sz w:val="21"/>
                  <w:szCs w:val="21"/>
                </w:rPr>
                <w:t>-</w:t>
              </w:r>
              <w:r w:rsidRPr="00C3641E">
                <w:rPr>
                  <w:rFonts w:cs="Arial" w:hint="eastAsia"/>
                  <w:sz w:val="21"/>
                  <w:szCs w:val="21"/>
                </w:rPr>
                <w:tab/>
                <w:t>以公允价值计量且其变动计入当期损益的金融负债</w:t>
              </w:r>
            </w:p>
            <w:p w:rsidR="005314C2" w:rsidRPr="00C3641E" w:rsidRDefault="005314C2" w:rsidP="005314C2">
              <w:pPr>
                <w:overflowPunct w:val="0"/>
                <w:adjustRightInd w:val="0"/>
                <w:snapToGrid w:val="0"/>
                <w:spacing w:line="226" w:lineRule="auto"/>
                <w:ind w:left="284"/>
                <w:rPr>
                  <w:rFonts w:cs="Arial"/>
                  <w:szCs w:val="21"/>
                </w:rPr>
              </w:pPr>
            </w:p>
            <w:p w:rsidR="005314C2" w:rsidRPr="00C3641E" w:rsidRDefault="005314C2" w:rsidP="005314C2">
              <w:pPr>
                <w:overflowPunct w:val="0"/>
                <w:adjustRightInd w:val="0"/>
                <w:snapToGrid w:val="0"/>
                <w:spacing w:line="226" w:lineRule="auto"/>
                <w:ind w:left="284"/>
                <w:rPr>
                  <w:rFonts w:cs="Arial"/>
                  <w:szCs w:val="21"/>
                </w:rPr>
              </w:pPr>
              <w:r w:rsidRPr="00C3641E">
                <w:rPr>
                  <w:rFonts w:cs="Arial" w:hint="eastAsia"/>
                  <w:szCs w:val="21"/>
                </w:rPr>
                <w:t>该类金融负债包括交易性金融负债 (含属于金融负债的衍生工具) 和指定为以公允价值计量且其变动计入当期损益的金融负债。</w:t>
              </w:r>
            </w:p>
            <w:p w:rsidR="005314C2" w:rsidRPr="00C3641E" w:rsidRDefault="005314C2" w:rsidP="005314C2">
              <w:pPr>
                <w:overflowPunct w:val="0"/>
                <w:adjustRightInd w:val="0"/>
                <w:snapToGrid w:val="0"/>
                <w:spacing w:line="226" w:lineRule="auto"/>
                <w:ind w:left="284"/>
                <w:rPr>
                  <w:rFonts w:cs="Arial"/>
                  <w:szCs w:val="21"/>
                </w:rPr>
              </w:pPr>
            </w:p>
            <w:p w:rsidR="005314C2" w:rsidRPr="00C3641E" w:rsidRDefault="005314C2" w:rsidP="005314C2">
              <w:pPr>
                <w:overflowPunct w:val="0"/>
                <w:adjustRightInd w:val="0"/>
                <w:snapToGrid w:val="0"/>
                <w:spacing w:line="226" w:lineRule="auto"/>
                <w:ind w:left="284"/>
                <w:rPr>
                  <w:rFonts w:cs="Arial"/>
                  <w:szCs w:val="21"/>
                </w:rPr>
              </w:pPr>
              <w:r w:rsidRPr="00C3641E">
                <w:rPr>
                  <w:rFonts w:cs="Arial" w:hint="eastAsia"/>
                  <w:szCs w:val="21"/>
                </w:rPr>
                <w:t>初始确认后，对于该类金融负债以公允价值进行后续计量，除与套期会计有关外，产生的利得或损失 (包括利息费用) 计入当期损益。</w:t>
              </w:r>
            </w:p>
            <w:p w:rsidR="005314C2" w:rsidRPr="00C3641E" w:rsidRDefault="005314C2" w:rsidP="005314C2">
              <w:pPr>
                <w:overflowPunct w:val="0"/>
                <w:adjustRightInd w:val="0"/>
                <w:snapToGrid w:val="0"/>
                <w:spacing w:line="226" w:lineRule="auto"/>
                <w:ind w:left="284"/>
                <w:rPr>
                  <w:rFonts w:cs="Arial"/>
                  <w:szCs w:val="21"/>
                </w:rPr>
              </w:pPr>
            </w:p>
            <w:p w:rsidR="005314C2" w:rsidRPr="00C3641E" w:rsidRDefault="005314C2" w:rsidP="005314C2">
              <w:pPr>
                <w:pStyle w:val="34"/>
                <w:tabs>
                  <w:tab w:val="left" w:pos="284"/>
                </w:tabs>
                <w:overflowPunct w:val="0"/>
                <w:snapToGrid w:val="0"/>
                <w:spacing w:line="226" w:lineRule="auto"/>
                <w:ind w:left="284" w:hanging="283"/>
                <w:rPr>
                  <w:rFonts w:cs="Arial"/>
                  <w:sz w:val="21"/>
                  <w:szCs w:val="21"/>
                </w:rPr>
              </w:pPr>
              <w:r w:rsidRPr="00C3641E">
                <w:rPr>
                  <w:rFonts w:cs="Arial" w:hint="eastAsia"/>
                  <w:sz w:val="21"/>
                  <w:szCs w:val="21"/>
                </w:rPr>
                <w:t>-</w:t>
              </w:r>
              <w:r w:rsidRPr="00C3641E">
                <w:rPr>
                  <w:rFonts w:cs="Arial" w:hint="eastAsia"/>
                  <w:sz w:val="21"/>
                  <w:szCs w:val="21"/>
                </w:rPr>
                <w:tab/>
                <w:t>以摊余成本计量的金融负债</w:t>
              </w:r>
            </w:p>
            <w:p w:rsidR="005314C2" w:rsidRPr="00C3641E" w:rsidRDefault="005314C2" w:rsidP="005314C2">
              <w:pPr>
                <w:overflowPunct w:val="0"/>
                <w:adjustRightInd w:val="0"/>
                <w:snapToGrid w:val="0"/>
                <w:spacing w:line="226" w:lineRule="auto"/>
                <w:ind w:left="284"/>
                <w:rPr>
                  <w:rFonts w:cs="Arial"/>
                  <w:szCs w:val="21"/>
                </w:rPr>
              </w:pPr>
              <w:r w:rsidRPr="00C3641E">
                <w:rPr>
                  <w:rFonts w:cs="Arial" w:hint="eastAsia"/>
                  <w:szCs w:val="21"/>
                </w:rPr>
                <w:t>初始确认后，对于该类金融负债采用实际利率法以摊余成本计量。</w:t>
              </w:r>
            </w:p>
            <w:p w:rsidR="005314C2" w:rsidRPr="00C3641E" w:rsidRDefault="005314C2" w:rsidP="005314C2">
              <w:pPr>
                <w:overflowPunct w:val="0"/>
                <w:adjustRightInd w:val="0"/>
                <w:snapToGrid w:val="0"/>
                <w:spacing w:line="226" w:lineRule="auto"/>
                <w:ind w:left="284"/>
                <w:rPr>
                  <w:rFonts w:cs="Arial"/>
                  <w:szCs w:val="21"/>
                </w:rPr>
              </w:pPr>
            </w:p>
            <w:p w:rsidR="005314C2" w:rsidRPr="00C3641E" w:rsidRDefault="005314C2" w:rsidP="005314C2">
              <w:pPr>
                <w:pStyle w:val="3"/>
                <w:keepNext w:val="0"/>
                <w:widowControl/>
                <w:tabs>
                  <w:tab w:val="left" w:pos="0"/>
                </w:tabs>
                <w:overflowPunct w:val="0"/>
                <w:adjustRightInd w:val="0"/>
                <w:snapToGrid w:val="0"/>
                <w:spacing w:before="0" w:after="0" w:line="226" w:lineRule="auto"/>
                <w:rPr>
                  <w:rFonts w:asciiTheme="majorEastAsia" w:eastAsiaTheme="majorEastAsia" w:hAnsiTheme="majorEastAsia" w:cs="Arial"/>
                  <w:b w:val="0"/>
                  <w:bCs w:val="0"/>
                  <w:kern w:val="0"/>
                  <w:szCs w:val="21"/>
                </w:rPr>
              </w:pPr>
              <w:r w:rsidRPr="00C3641E">
                <w:rPr>
                  <w:rFonts w:asciiTheme="majorEastAsia" w:eastAsiaTheme="majorEastAsia" w:hAnsiTheme="majorEastAsia" w:cs="Arial" w:hint="eastAsia"/>
                  <w:b w:val="0"/>
                  <w:bCs w:val="0"/>
                  <w:kern w:val="0"/>
                  <w:szCs w:val="21"/>
                </w:rPr>
                <w:t>(4)</w:t>
              </w:r>
              <w:r w:rsidRPr="00C3641E">
                <w:rPr>
                  <w:rFonts w:asciiTheme="majorEastAsia" w:eastAsiaTheme="majorEastAsia" w:hAnsiTheme="majorEastAsia" w:cs="Arial" w:hint="eastAsia"/>
                  <w:b w:val="0"/>
                  <w:bCs w:val="0"/>
                  <w:kern w:val="0"/>
                  <w:szCs w:val="21"/>
                </w:rPr>
                <w:tab/>
                <w:t>抵销</w:t>
              </w:r>
            </w:p>
            <w:p w:rsidR="005314C2" w:rsidRPr="00C3641E" w:rsidRDefault="005314C2" w:rsidP="005314C2">
              <w:pPr>
                <w:overflowPunct w:val="0"/>
                <w:adjustRightInd w:val="0"/>
                <w:snapToGrid w:val="0"/>
                <w:spacing w:line="226" w:lineRule="auto"/>
                <w:rPr>
                  <w:rFonts w:cs="Arial"/>
                  <w:szCs w:val="21"/>
                </w:rPr>
              </w:pPr>
            </w:p>
            <w:p w:rsidR="005314C2" w:rsidRPr="00C3641E" w:rsidRDefault="005314C2" w:rsidP="005314C2">
              <w:pPr>
                <w:overflowPunct w:val="0"/>
                <w:adjustRightInd w:val="0"/>
                <w:snapToGrid w:val="0"/>
                <w:spacing w:line="226" w:lineRule="auto"/>
                <w:rPr>
                  <w:rFonts w:cs="Arial"/>
                  <w:szCs w:val="21"/>
                </w:rPr>
              </w:pPr>
              <w:r w:rsidRPr="00C3641E">
                <w:rPr>
                  <w:rFonts w:cs="Arial" w:hint="eastAsia"/>
                  <w:szCs w:val="21"/>
                </w:rPr>
                <w:t>金融资产和金融负债在资产负债表内分别列示，没有相互抵销。但是，同时满足下列条件的，以相互抵销后的净额在资产负债表内列示：</w:t>
              </w:r>
            </w:p>
            <w:p w:rsidR="005314C2" w:rsidRPr="00C3641E" w:rsidRDefault="005314C2" w:rsidP="005314C2">
              <w:pPr>
                <w:overflowPunct w:val="0"/>
                <w:adjustRightInd w:val="0"/>
                <w:snapToGrid w:val="0"/>
                <w:spacing w:line="226" w:lineRule="auto"/>
                <w:rPr>
                  <w:rFonts w:cs="Arial"/>
                  <w:szCs w:val="21"/>
                </w:rPr>
              </w:pPr>
            </w:p>
            <w:p w:rsidR="005314C2" w:rsidRPr="00C3641E" w:rsidRDefault="005314C2" w:rsidP="005314C2">
              <w:pPr>
                <w:pStyle w:val="34"/>
                <w:tabs>
                  <w:tab w:val="left" w:pos="284"/>
                </w:tabs>
                <w:overflowPunct w:val="0"/>
                <w:snapToGrid w:val="0"/>
                <w:spacing w:line="226" w:lineRule="auto"/>
                <w:ind w:left="284" w:hanging="283"/>
                <w:rPr>
                  <w:rFonts w:cs="Arial"/>
                  <w:sz w:val="21"/>
                  <w:szCs w:val="21"/>
                </w:rPr>
              </w:pPr>
              <w:r w:rsidRPr="00C3641E">
                <w:rPr>
                  <w:rFonts w:cs="Arial" w:hint="eastAsia"/>
                  <w:sz w:val="21"/>
                  <w:szCs w:val="21"/>
                </w:rPr>
                <w:t>-</w:t>
              </w:r>
              <w:r w:rsidRPr="00C3641E">
                <w:rPr>
                  <w:rFonts w:cs="Arial" w:hint="eastAsia"/>
                  <w:sz w:val="21"/>
                  <w:szCs w:val="21"/>
                </w:rPr>
                <w:tab/>
                <w:t>本集团具有抵销已确认金额的法定权利，且该种法定权利是当前可执行的；</w:t>
              </w:r>
            </w:p>
            <w:p w:rsidR="005314C2" w:rsidRPr="00C3641E" w:rsidRDefault="005314C2" w:rsidP="005314C2">
              <w:pPr>
                <w:pStyle w:val="34"/>
                <w:tabs>
                  <w:tab w:val="left" w:pos="284"/>
                </w:tabs>
                <w:overflowPunct w:val="0"/>
                <w:snapToGrid w:val="0"/>
                <w:spacing w:line="226" w:lineRule="auto"/>
                <w:ind w:left="284" w:hanging="283"/>
                <w:rPr>
                  <w:rFonts w:cs="Arial"/>
                  <w:sz w:val="21"/>
                  <w:szCs w:val="21"/>
                </w:rPr>
              </w:pPr>
              <w:r w:rsidRPr="00C3641E">
                <w:rPr>
                  <w:rFonts w:cs="Arial" w:hint="eastAsia"/>
                  <w:sz w:val="21"/>
                  <w:szCs w:val="21"/>
                </w:rPr>
                <w:lastRenderedPageBreak/>
                <w:t>-</w:t>
              </w:r>
              <w:r w:rsidRPr="00C3641E">
                <w:rPr>
                  <w:rFonts w:cs="Arial" w:hint="eastAsia"/>
                  <w:sz w:val="21"/>
                  <w:szCs w:val="21"/>
                </w:rPr>
                <w:tab/>
                <w:t>本集团计划以净额结算，或同时变现该金融资产和清偿该金融负债。</w:t>
              </w:r>
            </w:p>
            <w:p w:rsidR="005314C2" w:rsidRPr="00C3641E" w:rsidRDefault="005314C2" w:rsidP="005314C2">
              <w:pPr>
                <w:overflowPunct w:val="0"/>
                <w:adjustRightInd w:val="0"/>
                <w:snapToGrid w:val="0"/>
                <w:spacing w:line="226" w:lineRule="auto"/>
                <w:rPr>
                  <w:rFonts w:cs="Arial"/>
                  <w:szCs w:val="21"/>
                </w:rPr>
              </w:pPr>
            </w:p>
            <w:p w:rsidR="005314C2" w:rsidRPr="00C3641E" w:rsidRDefault="005314C2" w:rsidP="005314C2">
              <w:pPr>
                <w:pStyle w:val="3"/>
                <w:keepNext w:val="0"/>
                <w:widowControl/>
                <w:tabs>
                  <w:tab w:val="left" w:pos="0"/>
                </w:tabs>
                <w:overflowPunct w:val="0"/>
                <w:adjustRightInd w:val="0"/>
                <w:snapToGrid w:val="0"/>
                <w:spacing w:before="0" w:after="0" w:line="226" w:lineRule="auto"/>
                <w:rPr>
                  <w:rFonts w:asciiTheme="majorEastAsia" w:eastAsiaTheme="majorEastAsia" w:hAnsiTheme="majorEastAsia" w:cs="Arial"/>
                  <w:b w:val="0"/>
                  <w:bCs w:val="0"/>
                  <w:kern w:val="0"/>
                  <w:szCs w:val="21"/>
                </w:rPr>
              </w:pPr>
              <w:r w:rsidRPr="00C3641E">
                <w:rPr>
                  <w:rFonts w:asciiTheme="majorEastAsia" w:eastAsiaTheme="majorEastAsia" w:hAnsiTheme="majorEastAsia" w:cs="Arial" w:hint="eastAsia"/>
                  <w:b w:val="0"/>
                  <w:bCs w:val="0"/>
                  <w:kern w:val="0"/>
                  <w:szCs w:val="21"/>
                </w:rPr>
                <w:t>(5)</w:t>
              </w:r>
              <w:r w:rsidRPr="00C3641E">
                <w:rPr>
                  <w:rFonts w:asciiTheme="majorEastAsia" w:eastAsiaTheme="majorEastAsia" w:hAnsiTheme="majorEastAsia" w:cs="Arial" w:hint="eastAsia"/>
                  <w:b w:val="0"/>
                  <w:bCs w:val="0"/>
                  <w:kern w:val="0"/>
                  <w:szCs w:val="21"/>
                </w:rPr>
                <w:tab/>
                <w:t>金融资产和金融负债的终止确认</w:t>
              </w:r>
            </w:p>
            <w:p w:rsidR="005314C2" w:rsidRPr="00C3641E" w:rsidRDefault="005314C2" w:rsidP="005314C2">
              <w:pPr>
                <w:overflowPunct w:val="0"/>
                <w:adjustRightInd w:val="0"/>
                <w:snapToGrid w:val="0"/>
                <w:spacing w:line="226" w:lineRule="auto"/>
                <w:rPr>
                  <w:rFonts w:cs="Arial"/>
                  <w:szCs w:val="21"/>
                </w:rPr>
              </w:pPr>
            </w:p>
            <w:p w:rsidR="005314C2" w:rsidRPr="00C3641E" w:rsidRDefault="005314C2" w:rsidP="005314C2">
              <w:pPr>
                <w:overflowPunct w:val="0"/>
                <w:adjustRightInd w:val="0"/>
                <w:snapToGrid w:val="0"/>
                <w:spacing w:line="226" w:lineRule="auto"/>
                <w:rPr>
                  <w:rFonts w:cs="Arial"/>
                  <w:szCs w:val="21"/>
                </w:rPr>
              </w:pPr>
              <w:r w:rsidRPr="00C3641E">
                <w:rPr>
                  <w:rFonts w:cs="Arial" w:hint="eastAsia"/>
                  <w:szCs w:val="21"/>
                </w:rPr>
                <w:t>满足下列条件之一时，本集团终止确认该金融资产：</w:t>
              </w:r>
            </w:p>
            <w:p w:rsidR="005314C2" w:rsidRPr="00C3641E" w:rsidRDefault="005314C2" w:rsidP="005314C2">
              <w:pPr>
                <w:overflowPunct w:val="0"/>
                <w:adjustRightInd w:val="0"/>
                <w:snapToGrid w:val="0"/>
                <w:spacing w:line="226" w:lineRule="auto"/>
                <w:rPr>
                  <w:rFonts w:cs="Arial"/>
                  <w:szCs w:val="21"/>
                </w:rPr>
              </w:pPr>
            </w:p>
            <w:p w:rsidR="005314C2" w:rsidRPr="00C3641E" w:rsidRDefault="005314C2" w:rsidP="005314C2">
              <w:pPr>
                <w:pStyle w:val="34"/>
                <w:tabs>
                  <w:tab w:val="left" w:pos="284"/>
                </w:tabs>
                <w:overflowPunct w:val="0"/>
                <w:snapToGrid w:val="0"/>
                <w:spacing w:line="226" w:lineRule="auto"/>
                <w:ind w:left="284" w:hanging="283"/>
                <w:rPr>
                  <w:rFonts w:cs="Arial"/>
                  <w:sz w:val="21"/>
                  <w:szCs w:val="21"/>
                </w:rPr>
              </w:pPr>
              <w:r w:rsidRPr="00C3641E">
                <w:rPr>
                  <w:rFonts w:cs="Arial" w:hint="eastAsia"/>
                  <w:sz w:val="21"/>
                  <w:szCs w:val="21"/>
                </w:rPr>
                <w:t>-</w:t>
              </w:r>
              <w:r w:rsidRPr="00C3641E">
                <w:rPr>
                  <w:rFonts w:cs="Arial" w:hint="eastAsia"/>
                  <w:sz w:val="21"/>
                  <w:szCs w:val="21"/>
                </w:rPr>
                <w:tab/>
                <w:t>收取该金融资产现金流量的合同权利终止；</w:t>
              </w:r>
            </w:p>
            <w:p w:rsidR="005314C2" w:rsidRPr="00C3641E" w:rsidRDefault="005314C2" w:rsidP="005314C2">
              <w:pPr>
                <w:pStyle w:val="34"/>
                <w:tabs>
                  <w:tab w:val="left" w:pos="284"/>
                </w:tabs>
                <w:overflowPunct w:val="0"/>
                <w:snapToGrid w:val="0"/>
                <w:spacing w:line="226" w:lineRule="auto"/>
                <w:ind w:left="284" w:hanging="283"/>
                <w:rPr>
                  <w:rFonts w:cs="Arial"/>
                  <w:sz w:val="21"/>
                  <w:szCs w:val="21"/>
                </w:rPr>
              </w:pPr>
              <w:r w:rsidRPr="00C3641E">
                <w:rPr>
                  <w:rFonts w:cs="Arial" w:hint="eastAsia"/>
                  <w:sz w:val="21"/>
                  <w:szCs w:val="21"/>
                </w:rPr>
                <w:t>-</w:t>
              </w:r>
              <w:r w:rsidRPr="00C3641E">
                <w:rPr>
                  <w:rFonts w:cs="Arial" w:hint="eastAsia"/>
                  <w:sz w:val="21"/>
                  <w:szCs w:val="21"/>
                </w:rPr>
                <w:tab/>
                <w:t>该金融资产已转移，且本集团将金融资产所有权上几乎所有的风险和报酬转移给转入方；</w:t>
              </w:r>
            </w:p>
            <w:p w:rsidR="005314C2" w:rsidRPr="00C3641E" w:rsidRDefault="005314C2" w:rsidP="005314C2">
              <w:pPr>
                <w:pStyle w:val="34"/>
                <w:tabs>
                  <w:tab w:val="left" w:pos="284"/>
                </w:tabs>
                <w:overflowPunct w:val="0"/>
                <w:snapToGrid w:val="0"/>
                <w:spacing w:line="226" w:lineRule="auto"/>
                <w:ind w:left="284" w:hanging="283"/>
                <w:rPr>
                  <w:rFonts w:cs="Arial"/>
                  <w:sz w:val="21"/>
                  <w:szCs w:val="21"/>
                </w:rPr>
              </w:pPr>
              <w:r w:rsidRPr="00C3641E">
                <w:rPr>
                  <w:rFonts w:cs="Arial" w:hint="eastAsia"/>
                  <w:sz w:val="21"/>
                  <w:szCs w:val="21"/>
                </w:rPr>
                <w:t>-</w:t>
              </w:r>
              <w:r w:rsidRPr="00C3641E">
                <w:rPr>
                  <w:rFonts w:cs="Arial" w:hint="eastAsia"/>
                  <w:sz w:val="21"/>
                  <w:szCs w:val="21"/>
                </w:rPr>
                <w:tab/>
                <w:t>该金融资产已转移，虽然本集团既没有转移也没有保留金融资产所有权上几乎所有的风险和报酬，但是未保留对该金融资产的控制。</w:t>
              </w:r>
            </w:p>
            <w:p w:rsidR="005314C2" w:rsidRPr="00C3641E" w:rsidRDefault="005314C2" w:rsidP="005314C2">
              <w:pPr>
                <w:overflowPunct w:val="0"/>
                <w:adjustRightInd w:val="0"/>
                <w:snapToGrid w:val="0"/>
                <w:spacing w:line="226" w:lineRule="auto"/>
                <w:rPr>
                  <w:rFonts w:cs="Arial"/>
                  <w:szCs w:val="21"/>
                </w:rPr>
              </w:pPr>
            </w:p>
            <w:p w:rsidR="005314C2" w:rsidRPr="00C3641E" w:rsidRDefault="005314C2" w:rsidP="005314C2">
              <w:pPr>
                <w:overflowPunct w:val="0"/>
                <w:adjustRightInd w:val="0"/>
                <w:snapToGrid w:val="0"/>
                <w:spacing w:line="226" w:lineRule="auto"/>
                <w:rPr>
                  <w:rFonts w:cs="Arial"/>
                  <w:szCs w:val="21"/>
                </w:rPr>
              </w:pPr>
              <w:r w:rsidRPr="00C3641E">
                <w:rPr>
                  <w:rFonts w:cs="Arial" w:hint="eastAsia"/>
                  <w:szCs w:val="21"/>
                </w:rPr>
                <w:t>金融资产转移整体满足终止确认条件的，本集团将下列两项金额的差额计入当期损益：</w:t>
              </w:r>
            </w:p>
            <w:p w:rsidR="005314C2" w:rsidRPr="00C3641E" w:rsidRDefault="005314C2" w:rsidP="005314C2">
              <w:pPr>
                <w:overflowPunct w:val="0"/>
                <w:adjustRightInd w:val="0"/>
                <w:snapToGrid w:val="0"/>
                <w:spacing w:line="226" w:lineRule="auto"/>
                <w:rPr>
                  <w:rFonts w:cs="Arial"/>
                  <w:szCs w:val="21"/>
                </w:rPr>
              </w:pPr>
            </w:p>
            <w:p w:rsidR="005314C2" w:rsidRPr="00C3641E" w:rsidRDefault="005314C2" w:rsidP="005314C2">
              <w:pPr>
                <w:pStyle w:val="34"/>
                <w:tabs>
                  <w:tab w:val="left" w:pos="284"/>
                </w:tabs>
                <w:overflowPunct w:val="0"/>
                <w:snapToGrid w:val="0"/>
                <w:spacing w:line="226" w:lineRule="auto"/>
                <w:ind w:left="284" w:hanging="283"/>
                <w:rPr>
                  <w:rFonts w:cs="Arial"/>
                  <w:sz w:val="21"/>
                  <w:szCs w:val="21"/>
                </w:rPr>
              </w:pPr>
              <w:r w:rsidRPr="00C3641E">
                <w:rPr>
                  <w:rFonts w:cs="Arial" w:hint="eastAsia"/>
                  <w:sz w:val="21"/>
                  <w:szCs w:val="21"/>
                </w:rPr>
                <w:t>-</w:t>
              </w:r>
              <w:r w:rsidRPr="00C3641E">
                <w:rPr>
                  <w:rFonts w:cs="Arial" w:hint="eastAsia"/>
                  <w:sz w:val="21"/>
                  <w:szCs w:val="21"/>
                </w:rPr>
                <w:tab/>
                <w:t>被转移金融资产在终止确认日的账面价值；</w:t>
              </w:r>
            </w:p>
            <w:p w:rsidR="005314C2" w:rsidRPr="00C3641E" w:rsidRDefault="005314C2" w:rsidP="005314C2">
              <w:pPr>
                <w:pStyle w:val="34"/>
                <w:tabs>
                  <w:tab w:val="left" w:pos="284"/>
                </w:tabs>
                <w:overflowPunct w:val="0"/>
                <w:snapToGrid w:val="0"/>
                <w:spacing w:line="226" w:lineRule="auto"/>
                <w:ind w:left="284" w:hanging="283"/>
                <w:rPr>
                  <w:rFonts w:cs="Arial"/>
                  <w:sz w:val="21"/>
                  <w:szCs w:val="21"/>
                </w:rPr>
              </w:pPr>
              <w:r w:rsidRPr="00C3641E">
                <w:rPr>
                  <w:rFonts w:cs="Arial" w:hint="eastAsia"/>
                  <w:sz w:val="21"/>
                  <w:szCs w:val="21"/>
                </w:rPr>
                <w:t>-</w:t>
              </w:r>
              <w:r w:rsidRPr="00C3641E">
                <w:rPr>
                  <w:rFonts w:cs="Arial" w:hint="eastAsia"/>
                  <w:sz w:val="21"/>
                  <w:szCs w:val="21"/>
                </w:rPr>
                <w:tab/>
                <w:t>因转移金融资产而收到的对价，与原直接计入其他综合收益的公允价值变动累计额中对应终止确认部分的金额 (涉及转移的金融资产为以公允价值计量且其变动计入其他综合收益的债权投资) 之和。</w:t>
              </w:r>
            </w:p>
            <w:p w:rsidR="005314C2" w:rsidRPr="00C3641E" w:rsidRDefault="005314C2" w:rsidP="005314C2">
              <w:pPr>
                <w:overflowPunct w:val="0"/>
                <w:adjustRightInd w:val="0"/>
                <w:snapToGrid w:val="0"/>
                <w:rPr>
                  <w:rFonts w:cs="Arial"/>
                  <w:szCs w:val="21"/>
                </w:rPr>
              </w:pPr>
              <w:r w:rsidRPr="00C3641E">
                <w:rPr>
                  <w:rFonts w:cs="Arial" w:hint="eastAsia"/>
                  <w:szCs w:val="21"/>
                </w:rPr>
                <w:t>金融负债 (或其一部分) 的现时义务已经解除的，本集团终止确认该金融负债 (或该部分金融负债)</w:t>
              </w:r>
              <w:r w:rsidR="00F665FF" w:rsidRPr="00C3641E">
                <w:rPr>
                  <w:rFonts w:cs="Arial" w:hint="eastAsia"/>
                  <w:szCs w:val="21"/>
                </w:rPr>
                <w:t>。</w:t>
              </w:r>
            </w:p>
            <w:p w:rsidR="005314C2" w:rsidRPr="00C3641E" w:rsidRDefault="005314C2" w:rsidP="005314C2">
              <w:pPr>
                <w:overflowPunct w:val="0"/>
                <w:adjustRightInd w:val="0"/>
                <w:snapToGrid w:val="0"/>
                <w:rPr>
                  <w:rFonts w:cs="Arial"/>
                  <w:szCs w:val="21"/>
                </w:rPr>
              </w:pPr>
            </w:p>
            <w:p w:rsidR="005314C2" w:rsidRPr="00C3641E" w:rsidRDefault="00AE62CD" w:rsidP="005314C2">
              <w:pPr>
                <w:overflowPunct w:val="0"/>
                <w:adjustRightInd w:val="0"/>
                <w:snapToGrid w:val="0"/>
                <w:rPr>
                  <w:rFonts w:asciiTheme="majorEastAsia" w:eastAsiaTheme="majorEastAsia" w:hAnsiTheme="majorEastAsia" w:cs="Arial"/>
                  <w:szCs w:val="21"/>
                </w:rPr>
              </w:pPr>
              <w:r w:rsidRPr="00C3641E">
                <w:rPr>
                  <w:rFonts w:asciiTheme="majorEastAsia" w:eastAsiaTheme="majorEastAsia" w:hAnsiTheme="majorEastAsia" w:cs="Arial" w:hint="eastAsia"/>
                  <w:szCs w:val="21"/>
                </w:rPr>
                <w:t>(</w:t>
              </w:r>
              <w:r w:rsidRPr="00C3641E">
                <w:rPr>
                  <w:rFonts w:asciiTheme="majorEastAsia" w:eastAsiaTheme="majorEastAsia" w:hAnsiTheme="majorEastAsia" w:cs="Arial"/>
                  <w:szCs w:val="21"/>
                </w:rPr>
                <w:t>6</w:t>
              </w:r>
              <w:r w:rsidRPr="00C3641E">
                <w:rPr>
                  <w:rFonts w:asciiTheme="majorEastAsia" w:eastAsiaTheme="majorEastAsia" w:hAnsiTheme="majorEastAsia" w:cs="Arial" w:hint="eastAsia"/>
                  <w:szCs w:val="21"/>
                </w:rPr>
                <w:t>)</w:t>
              </w:r>
              <w:r w:rsidR="005314C2" w:rsidRPr="00C3641E">
                <w:rPr>
                  <w:rFonts w:asciiTheme="majorEastAsia" w:eastAsiaTheme="majorEastAsia" w:hAnsiTheme="majorEastAsia" w:cs="Arial" w:hint="eastAsia"/>
                  <w:szCs w:val="21"/>
                </w:rPr>
                <w:t>本集团以预期信用损失为基础，对下列项目进行减值会计处理并确认损失准备：</w:t>
              </w:r>
            </w:p>
            <w:p w:rsidR="005314C2" w:rsidRPr="00C3641E" w:rsidRDefault="005314C2" w:rsidP="005314C2">
              <w:pPr>
                <w:overflowPunct w:val="0"/>
                <w:adjustRightInd w:val="0"/>
                <w:snapToGrid w:val="0"/>
                <w:rPr>
                  <w:rFonts w:cs="Arial"/>
                  <w:szCs w:val="21"/>
                </w:rPr>
              </w:pPr>
            </w:p>
            <w:p w:rsidR="005314C2" w:rsidRPr="00C3641E" w:rsidRDefault="005314C2" w:rsidP="005314C2">
              <w:pPr>
                <w:pStyle w:val="34"/>
                <w:tabs>
                  <w:tab w:val="left" w:pos="284"/>
                </w:tabs>
                <w:overflowPunct w:val="0"/>
                <w:snapToGrid w:val="0"/>
                <w:ind w:left="284" w:hanging="283"/>
                <w:rPr>
                  <w:rFonts w:cs="Arial"/>
                  <w:sz w:val="21"/>
                  <w:szCs w:val="21"/>
                </w:rPr>
              </w:pPr>
              <w:r w:rsidRPr="00C3641E">
                <w:rPr>
                  <w:rFonts w:cs="Arial" w:hint="eastAsia"/>
                  <w:sz w:val="21"/>
                  <w:szCs w:val="21"/>
                </w:rPr>
                <w:t>-</w:t>
              </w:r>
              <w:r w:rsidRPr="00C3641E">
                <w:rPr>
                  <w:rFonts w:cs="Arial" w:hint="eastAsia"/>
                  <w:sz w:val="21"/>
                  <w:szCs w:val="21"/>
                </w:rPr>
                <w:tab/>
                <w:t>以摊余成本计量的金融资产；</w:t>
              </w:r>
            </w:p>
            <w:p w:rsidR="005314C2" w:rsidRPr="00C3641E" w:rsidRDefault="005314C2" w:rsidP="005314C2">
              <w:pPr>
                <w:tabs>
                  <w:tab w:val="left" w:pos="284"/>
                </w:tabs>
                <w:overflowPunct w:val="0"/>
                <w:adjustRightInd w:val="0"/>
                <w:snapToGrid w:val="0"/>
                <w:ind w:left="284" w:hanging="284"/>
                <w:rPr>
                  <w:rFonts w:cs="Arial"/>
                  <w:szCs w:val="21"/>
                </w:rPr>
              </w:pPr>
              <w:r w:rsidRPr="00C3641E">
                <w:rPr>
                  <w:rFonts w:cs="Arial" w:hint="eastAsia"/>
                  <w:szCs w:val="21"/>
                </w:rPr>
                <w:t>-</w:t>
              </w:r>
              <w:r w:rsidRPr="00C3641E">
                <w:rPr>
                  <w:rFonts w:cs="Arial" w:hint="eastAsia"/>
                  <w:szCs w:val="21"/>
                </w:rPr>
                <w:tab/>
                <w:t>合同资产；</w:t>
              </w:r>
            </w:p>
            <w:p w:rsidR="005314C2" w:rsidRPr="00C3641E" w:rsidRDefault="005314C2" w:rsidP="005314C2">
              <w:pPr>
                <w:pStyle w:val="34"/>
                <w:tabs>
                  <w:tab w:val="left" w:pos="284"/>
                </w:tabs>
                <w:overflowPunct w:val="0"/>
                <w:snapToGrid w:val="0"/>
                <w:ind w:left="284" w:hanging="283"/>
                <w:rPr>
                  <w:rFonts w:cs="Arial"/>
                  <w:sz w:val="21"/>
                  <w:szCs w:val="21"/>
                </w:rPr>
              </w:pPr>
              <w:r w:rsidRPr="00C3641E">
                <w:rPr>
                  <w:rFonts w:cs="Arial" w:hint="eastAsia"/>
                  <w:sz w:val="21"/>
                  <w:szCs w:val="21"/>
                </w:rPr>
                <w:t>-</w:t>
              </w:r>
              <w:r w:rsidRPr="00C3641E">
                <w:rPr>
                  <w:rFonts w:cs="Arial" w:hint="eastAsia"/>
                  <w:sz w:val="21"/>
                  <w:szCs w:val="21"/>
                </w:rPr>
                <w:tab/>
                <w:t>以公允价值计量且其变动计入其他综合收益的债权投资。</w:t>
              </w:r>
            </w:p>
            <w:p w:rsidR="005314C2" w:rsidRPr="00C3641E" w:rsidRDefault="005314C2" w:rsidP="005314C2">
              <w:pPr>
                <w:overflowPunct w:val="0"/>
                <w:adjustRightInd w:val="0"/>
                <w:snapToGrid w:val="0"/>
                <w:rPr>
                  <w:rFonts w:cs="Arial"/>
                  <w:szCs w:val="21"/>
                </w:rPr>
              </w:pPr>
            </w:p>
            <w:p w:rsidR="005314C2" w:rsidRPr="00C3641E" w:rsidRDefault="005314C2" w:rsidP="005314C2">
              <w:pPr>
                <w:overflowPunct w:val="0"/>
                <w:adjustRightInd w:val="0"/>
                <w:snapToGrid w:val="0"/>
                <w:rPr>
                  <w:rFonts w:cs="Arial"/>
                  <w:szCs w:val="21"/>
                </w:rPr>
              </w:pPr>
              <w:r w:rsidRPr="00C3641E">
                <w:rPr>
                  <w:rFonts w:cs="Arial" w:hint="eastAsia"/>
                  <w:szCs w:val="21"/>
                </w:rPr>
                <w:t>本集团持有的其他以公允价值计量的金融资产不适用预期信用损失模型，包括以公允价值计量且其变动计入当期损益的债权投资或权益工具投资，指定为以公允价值计量且其变动计入其他综合收益的权益工具投资，以及衍生金融资产。</w:t>
              </w:r>
            </w:p>
            <w:p w:rsidR="005314C2" w:rsidRPr="00C3641E" w:rsidRDefault="005314C2" w:rsidP="005314C2">
              <w:pPr>
                <w:overflowPunct w:val="0"/>
                <w:adjustRightInd w:val="0"/>
                <w:snapToGrid w:val="0"/>
                <w:rPr>
                  <w:rFonts w:cs="Arial"/>
                  <w:szCs w:val="21"/>
                </w:rPr>
              </w:pPr>
            </w:p>
            <w:p w:rsidR="005314C2" w:rsidRPr="00C3641E" w:rsidRDefault="005314C2" w:rsidP="005314C2">
              <w:pPr>
                <w:overflowPunct w:val="0"/>
                <w:adjustRightInd w:val="0"/>
                <w:snapToGrid w:val="0"/>
                <w:rPr>
                  <w:rFonts w:cs="Arial"/>
                  <w:szCs w:val="21"/>
                </w:rPr>
              </w:pPr>
              <w:r w:rsidRPr="00C3641E">
                <w:rPr>
                  <w:rFonts w:cs="Arial" w:hint="eastAsia"/>
                  <w:szCs w:val="21"/>
                </w:rPr>
                <w:t>预期信用损失的计量</w:t>
              </w:r>
            </w:p>
            <w:p w:rsidR="005314C2" w:rsidRPr="00C3641E" w:rsidRDefault="005314C2" w:rsidP="005314C2">
              <w:pPr>
                <w:overflowPunct w:val="0"/>
                <w:adjustRightInd w:val="0"/>
                <w:snapToGrid w:val="0"/>
                <w:rPr>
                  <w:rFonts w:cs="Arial"/>
                  <w:szCs w:val="21"/>
                </w:rPr>
              </w:pPr>
            </w:p>
            <w:p w:rsidR="005314C2" w:rsidRPr="00C3641E" w:rsidRDefault="005314C2" w:rsidP="005314C2">
              <w:pPr>
                <w:overflowPunct w:val="0"/>
                <w:adjustRightInd w:val="0"/>
                <w:snapToGrid w:val="0"/>
                <w:rPr>
                  <w:rFonts w:cs="Arial"/>
                  <w:szCs w:val="21"/>
                </w:rPr>
              </w:pPr>
              <w:r w:rsidRPr="00C3641E">
                <w:rPr>
                  <w:rFonts w:cs="Arial" w:hint="eastAsia"/>
                  <w:szCs w:val="21"/>
                </w:rPr>
                <w:t>预期信用损失，是指以发生违约的风险为权重的金融工具信用损失的加权平均值。信用损失，是指本集团按照原实际利率折现的、根据合同应收的所有合同现金流量与预期收取的所有现金流量之间的差额，即全部现金短缺的现值。</w:t>
              </w:r>
            </w:p>
            <w:p w:rsidR="00F14324" w:rsidRPr="00C3641E" w:rsidRDefault="00F14324" w:rsidP="005314C2">
              <w:pPr>
                <w:overflowPunct w:val="0"/>
                <w:adjustRightInd w:val="0"/>
                <w:snapToGrid w:val="0"/>
                <w:rPr>
                  <w:rFonts w:cs="Arial"/>
                  <w:szCs w:val="21"/>
                </w:rPr>
              </w:pPr>
            </w:p>
            <w:p w:rsidR="005314C2" w:rsidRPr="00C3641E" w:rsidRDefault="005314C2" w:rsidP="005314C2">
              <w:pPr>
                <w:overflowPunct w:val="0"/>
                <w:adjustRightInd w:val="0"/>
                <w:snapToGrid w:val="0"/>
                <w:rPr>
                  <w:rFonts w:cs="Arial"/>
                  <w:szCs w:val="21"/>
                </w:rPr>
              </w:pPr>
              <w:r w:rsidRPr="00C3641E">
                <w:rPr>
                  <w:rFonts w:cs="Arial" w:hint="eastAsia"/>
                  <w:szCs w:val="21"/>
                </w:rPr>
                <w:t>在计量预期信用损失时，本集团需考虑的最长期限为企业面临信用风险的最长合同期限 (包括考虑续约选择权) 。</w:t>
              </w:r>
            </w:p>
            <w:p w:rsidR="005314C2" w:rsidRPr="00C3641E" w:rsidRDefault="005314C2" w:rsidP="005314C2">
              <w:pPr>
                <w:overflowPunct w:val="0"/>
                <w:adjustRightInd w:val="0"/>
                <w:snapToGrid w:val="0"/>
                <w:rPr>
                  <w:rFonts w:cs="Arial"/>
                  <w:szCs w:val="21"/>
                </w:rPr>
              </w:pPr>
              <w:r w:rsidRPr="00C3641E">
                <w:rPr>
                  <w:rFonts w:cs="Arial" w:hint="eastAsia"/>
                  <w:szCs w:val="21"/>
                </w:rPr>
                <w:t>整个存续期预期信用损失，是指因金融工具整个预计存续期内所有可能发生的违约事件而导致的预期信用损失。</w:t>
              </w:r>
            </w:p>
            <w:p w:rsidR="005314C2" w:rsidRPr="00C3641E" w:rsidRDefault="005314C2" w:rsidP="005314C2">
              <w:pPr>
                <w:overflowPunct w:val="0"/>
                <w:adjustRightInd w:val="0"/>
                <w:snapToGrid w:val="0"/>
                <w:rPr>
                  <w:rFonts w:cs="Arial"/>
                  <w:szCs w:val="21"/>
                </w:rPr>
              </w:pPr>
            </w:p>
            <w:p w:rsidR="005314C2" w:rsidRPr="00C3641E" w:rsidRDefault="005314C2" w:rsidP="005314C2">
              <w:pPr>
                <w:overflowPunct w:val="0"/>
                <w:adjustRightInd w:val="0"/>
                <w:snapToGrid w:val="0"/>
                <w:rPr>
                  <w:rFonts w:cs="Arial"/>
                  <w:szCs w:val="21"/>
                </w:rPr>
              </w:pPr>
              <w:r w:rsidRPr="00C3641E">
                <w:rPr>
                  <w:rFonts w:cs="Arial" w:hint="eastAsia"/>
                  <w:szCs w:val="21"/>
                </w:rPr>
                <w:t>未来12个月内预期信用损失，是指因资产负债表日后12个月内 (若金融工具的预计存续期少于12个月，则为预计存续期) 可能发生的金融工具违约事件而导致的预期信用损失，是整个存续期预期信用损失的一部分。</w:t>
              </w:r>
            </w:p>
            <w:p w:rsidR="005314C2" w:rsidRPr="00C3641E" w:rsidRDefault="005314C2" w:rsidP="005314C2">
              <w:pPr>
                <w:overflowPunct w:val="0"/>
                <w:adjustRightInd w:val="0"/>
                <w:snapToGrid w:val="0"/>
                <w:rPr>
                  <w:rFonts w:cs="Arial"/>
                  <w:szCs w:val="21"/>
                </w:rPr>
              </w:pPr>
            </w:p>
            <w:p w:rsidR="005314C2" w:rsidRPr="00C3641E" w:rsidRDefault="005314C2" w:rsidP="005314C2">
              <w:pPr>
                <w:overflowPunct w:val="0"/>
                <w:adjustRightInd w:val="0"/>
                <w:snapToGrid w:val="0"/>
                <w:rPr>
                  <w:rFonts w:cs="Arial"/>
                  <w:szCs w:val="21"/>
                </w:rPr>
              </w:pPr>
              <w:r w:rsidRPr="00C3641E">
                <w:rPr>
                  <w:rFonts w:cs="Arial" w:hint="eastAsia"/>
                  <w:szCs w:val="21"/>
                </w:rPr>
                <w:t>对于应收账款和合同资产，本集团始终按照相当于整个存续期内预期信用损失的金额计量其损失准备。本集团基于历史信用损失经验、使用准备矩阵计算上述金融资产的预期信用损失，相关历</w:t>
              </w:r>
              <w:r w:rsidRPr="00C3641E">
                <w:rPr>
                  <w:rFonts w:cs="Arial" w:hint="eastAsia"/>
                  <w:szCs w:val="21"/>
                </w:rPr>
                <w:lastRenderedPageBreak/>
                <w:t>史经验根据资产负债表日借款人的特定因素、以及对当前状况和未来经济状况预测的评估进行调整。</w:t>
              </w:r>
            </w:p>
            <w:p w:rsidR="005314C2" w:rsidRPr="00C3641E" w:rsidRDefault="005314C2" w:rsidP="005314C2">
              <w:pPr>
                <w:overflowPunct w:val="0"/>
                <w:adjustRightInd w:val="0"/>
                <w:snapToGrid w:val="0"/>
                <w:rPr>
                  <w:rFonts w:cs="Arial"/>
                  <w:szCs w:val="21"/>
                </w:rPr>
              </w:pPr>
            </w:p>
            <w:p w:rsidR="005314C2" w:rsidRPr="00C3641E" w:rsidRDefault="005314C2" w:rsidP="005314C2">
              <w:pPr>
                <w:overflowPunct w:val="0"/>
                <w:adjustRightInd w:val="0"/>
                <w:snapToGrid w:val="0"/>
                <w:rPr>
                  <w:rFonts w:cs="Arial"/>
                  <w:szCs w:val="21"/>
                </w:rPr>
              </w:pPr>
              <w:r w:rsidRPr="00C3641E">
                <w:rPr>
                  <w:rFonts w:cs="Arial" w:hint="eastAsia"/>
                  <w:szCs w:val="21"/>
                </w:rPr>
                <w:t>除应收账款和合同资产外，本集团对满足下列情形的金融工具按照相当于未来12个月内预期信用损失的金额计量其损失准备，对其他金融工具按照相当于整个存续期内预期信用损失的金额计量其损失准备：</w:t>
              </w:r>
            </w:p>
            <w:p w:rsidR="005314C2" w:rsidRPr="00C3641E" w:rsidRDefault="005314C2" w:rsidP="005314C2">
              <w:pPr>
                <w:overflowPunct w:val="0"/>
                <w:adjustRightInd w:val="0"/>
                <w:snapToGrid w:val="0"/>
                <w:rPr>
                  <w:rFonts w:cs="Arial"/>
                  <w:szCs w:val="21"/>
                </w:rPr>
              </w:pPr>
            </w:p>
            <w:p w:rsidR="005314C2" w:rsidRPr="00C3641E" w:rsidRDefault="005314C2" w:rsidP="005314C2">
              <w:pPr>
                <w:pStyle w:val="34"/>
                <w:tabs>
                  <w:tab w:val="left" w:pos="284"/>
                </w:tabs>
                <w:overflowPunct w:val="0"/>
                <w:snapToGrid w:val="0"/>
                <w:ind w:left="284" w:hanging="283"/>
                <w:rPr>
                  <w:rFonts w:cs="Arial"/>
                  <w:sz w:val="21"/>
                  <w:szCs w:val="21"/>
                </w:rPr>
              </w:pPr>
              <w:r w:rsidRPr="00C3641E">
                <w:rPr>
                  <w:rFonts w:cs="Arial" w:hint="eastAsia"/>
                  <w:sz w:val="21"/>
                  <w:szCs w:val="21"/>
                </w:rPr>
                <w:t>-</w:t>
              </w:r>
              <w:r w:rsidRPr="00C3641E">
                <w:rPr>
                  <w:rFonts w:cs="Arial" w:hint="eastAsia"/>
                  <w:sz w:val="21"/>
                  <w:szCs w:val="21"/>
                </w:rPr>
                <w:tab/>
                <w:t>该金融工具在资产负债表日只具有较低的信用风险；或</w:t>
              </w:r>
            </w:p>
            <w:p w:rsidR="005314C2" w:rsidRPr="00C3641E" w:rsidRDefault="005314C2" w:rsidP="005314C2">
              <w:pPr>
                <w:pStyle w:val="34"/>
                <w:tabs>
                  <w:tab w:val="left" w:pos="284"/>
                </w:tabs>
                <w:overflowPunct w:val="0"/>
                <w:snapToGrid w:val="0"/>
                <w:ind w:left="284" w:hanging="283"/>
                <w:rPr>
                  <w:rFonts w:cs="Arial"/>
                  <w:sz w:val="21"/>
                  <w:szCs w:val="21"/>
                </w:rPr>
              </w:pPr>
              <w:r w:rsidRPr="00C3641E">
                <w:rPr>
                  <w:rFonts w:cs="Arial" w:hint="eastAsia"/>
                  <w:sz w:val="21"/>
                  <w:szCs w:val="21"/>
                </w:rPr>
                <w:t>-</w:t>
              </w:r>
              <w:r w:rsidRPr="00C3641E">
                <w:rPr>
                  <w:rFonts w:cs="Arial" w:hint="eastAsia"/>
                  <w:sz w:val="21"/>
                  <w:szCs w:val="21"/>
                </w:rPr>
                <w:tab/>
                <w:t>该金融工具的信用风险自初始确认后并未显著增加。</w:t>
              </w:r>
            </w:p>
            <w:p w:rsidR="005314C2" w:rsidRPr="00C3641E" w:rsidRDefault="005314C2" w:rsidP="005314C2">
              <w:pPr>
                <w:overflowPunct w:val="0"/>
                <w:adjustRightInd w:val="0"/>
                <w:snapToGrid w:val="0"/>
                <w:rPr>
                  <w:rFonts w:cs="Arial"/>
                  <w:szCs w:val="21"/>
                </w:rPr>
              </w:pPr>
            </w:p>
            <w:p w:rsidR="005314C2" w:rsidRPr="00C3641E" w:rsidRDefault="005314C2" w:rsidP="005314C2">
              <w:pPr>
                <w:overflowPunct w:val="0"/>
                <w:adjustRightInd w:val="0"/>
                <w:snapToGrid w:val="0"/>
                <w:rPr>
                  <w:rFonts w:cs="Arial"/>
                  <w:szCs w:val="21"/>
                </w:rPr>
              </w:pPr>
              <w:r w:rsidRPr="00C3641E">
                <w:rPr>
                  <w:rFonts w:cs="Arial" w:hint="eastAsia"/>
                  <w:szCs w:val="21"/>
                </w:rPr>
                <w:t>具有较低的信用风险</w:t>
              </w:r>
            </w:p>
            <w:p w:rsidR="005314C2" w:rsidRPr="00C3641E" w:rsidRDefault="005314C2" w:rsidP="005314C2">
              <w:pPr>
                <w:overflowPunct w:val="0"/>
                <w:adjustRightInd w:val="0"/>
                <w:snapToGrid w:val="0"/>
                <w:rPr>
                  <w:rFonts w:cs="Arial"/>
                  <w:szCs w:val="21"/>
                </w:rPr>
              </w:pPr>
            </w:p>
            <w:p w:rsidR="005314C2" w:rsidRPr="00C3641E" w:rsidRDefault="005314C2" w:rsidP="005314C2">
              <w:pPr>
                <w:overflowPunct w:val="0"/>
                <w:adjustRightInd w:val="0"/>
                <w:snapToGrid w:val="0"/>
                <w:rPr>
                  <w:rFonts w:cs="Arial"/>
                  <w:szCs w:val="21"/>
                </w:rPr>
              </w:pPr>
              <w:r w:rsidRPr="00C3641E">
                <w:rPr>
                  <w:rFonts w:cs="Arial" w:hint="eastAsia"/>
                  <w:szCs w:val="21"/>
                </w:rPr>
                <w:t>如果金融工具的违约风险较低，借款人在短期内履行其合同现金流量义务的能力很强，并且即便较长时期内经济形势和经营环境存在不利变化但未必一定降低借款人履行其合同现金流量义务的能力，该金融工具被视为具有较低的信用风险。</w:t>
              </w:r>
            </w:p>
            <w:p w:rsidR="005314C2" w:rsidRPr="00C3641E" w:rsidRDefault="005314C2" w:rsidP="005314C2">
              <w:pPr>
                <w:overflowPunct w:val="0"/>
                <w:adjustRightInd w:val="0"/>
                <w:snapToGrid w:val="0"/>
                <w:rPr>
                  <w:rFonts w:cs="Arial"/>
                  <w:szCs w:val="21"/>
                </w:rPr>
              </w:pPr>
            </w:p>
            <w:p w:rsidR="005314C2" w:rsidRPr="00C3641E" w:rsidRDefault="005314C2" w:rsidP="005314C2">
              <w:pPr>
                <w:overflowPunct w:val="0"/>
                <w:adjustRightInd w:val="0"/>
                <w:snapToGrid w:val="0"/>
                <w:rPr>
                  <w:rFonts w:cs="Arial"/>
                  <w:szCs w:val="21"/>
                </w:rPr>
              </w:pPr>
              <w:r w:rsidRPr="00C3641E">
                <w:rPr>
                  <w:rFonts w:cs="Arial" w:hint="eastAsia"/>
                  <w:szCs w:val="21"/>
                </w:rPr>
                <w:t>信用风险显著增加</w:t>
              </w:r>
            </w:p>
            <w:p w:rsidR="005314C2" w:rsidRPr="00C3641E" w:rsidRDefault="005314C2" w:rsidP="005314C2">
              <w:pPr>
                <w:overflowPunct w:val="0"/>
                <w:adjustRightInd w:val="0"/>
                <w:snapToGrid w:val="0"/>
                <w:rPr>
                  <w:rFonts w:cs="Arial"/>
                  <w:szCs w:val="21"/>
                </w:rPr>
              </w:pPr>
            </w:p>
            <w:p w:rsidR="005314C2" w:rsidRPr="00C3641E" w:rsidRDefault="005314C2" w:rsidP="005314C2">
              <w:pPr>
                <w:overflowPunct w:val="0"/>
                <w:adjustRightInd w:val="0"/>
                <w:snapToGrid w:val="0"/>
                <w:rPr>
                  <w:rFonts w:cs="Arial"/>
                  <w:szCs w:val="21"/>
                </w:rPr>
              </w:pPr>
              <w:r w:rsidRPr="00C3641E">
                <w:rPr>
                  <w:rFonts w:cs="Arial" w:hint="eastAsia"/>
                  <w:szCs w:val="21"/>
                </w:rPr>
                <w:t>本集团通过比较金融工具在资产负债表日发生违约的风险与在初始确认日发生违约的风险，以评估金融工具的信用风险自初始确认后是否已显著增加。</w:t>
              </w:r>
            </w:p>
            <w:p w:rsidR="005314C2" w:rsidRPr="00C3641E" w:rsidRDefault="005314C2" w:rsidP="005314C2">
              <w:pPr>
                <w:overflowPunct w:val="0"/>
                <w:adjustRightInd w:val="0"/>
                <w:snapToGrid w:val="0"/>
                <w:rPr>
                  <w:rFonts w:cs="Arial"/>
                  <w:szCs w:val="21"/>
                </w:rPr>
              </w:pPr>
              <w:r w:rsidRPr="00C3641E">
                <w:rPr>
                  <w:rFonts w:cs="Arial" w:hint="eastAsia"/>
                  <w:szCs w:val="21"/>
                </w:rPr>
                <w:t xml:space="preserve"> </w:t>
              </w:r>
            </w:p>
            <w:p w:rsidR="005314C2" w:rsidRPr="00C3641E" w:rsidRDefault="005314C2" w:rsidP="005314C2">
              <w:pPr>
                <w:overflowPunct w:val="0"/>
                <w:adjustRightInd w:val="0"/>
                <w:snapToGrid w:val="0"/>
                <w:rPr>
                  <w:rFonts w:cs="Arial"/>
                  <w:szCs w:val="21"/>
                </w:rPr>
              </w:pPr>
              <w:r w:rsidRPr="00C3641E">
                <w:rPr>
                  <w:rFonts w:cs="Arial" w:hint="eastAsia"/>
                  <w:szCs w:val="21"/>
                </w:rPr>
                <w:t>在确定信用风险自初始确认后是否显著增加时，本集团考虑无须付出不必要的额外成本或努力即可获得的合理且有依据的信息，包括前瞻性信息。本集团考虑的信息包括：</w:t>
              </w:r>
            </w:p>
            <w:p w:rsidR="005314C2" w:rsidRPr="00C3641E" w:rsidRDefault="005314C2" w:rsidP="005314C2">
              <w:pPr>
                <w:overflowPunct w:val="0"/>
                <w:adjustRightInd w:val="0"/>
                <w:snapToGrid w:val="0"/>
                <w:rPr>
                  <w:rFonts w:cs="Arial"/>
                  <w:szCs w:val="21"/>
                </w:rPr>
              </w:pPr>
            </w:p>
            <w:p w:rsidR="005314C2" w:rsidRPr="00C3641E" w:rsidRDefault="005314C2" w:rsidP="005314C2">
              <w:pPr>
                <w:pStyle w:val="34"/>
                <w:tabs>
                  <w:tab w:val="left" w:pos="284"/>
                </w:tabs>
                <w:overflowPunct w:val="0"/>
                <w:snapToGrid w:val="0"/>
                <w:ind w:left="284" w:hanging="283"/>
                <w:rPr>
                  <w:rFonts w:cs="Arial"/>
                  <w:sz w:val="21"/>
                  <w:szCs w:val="21"/>
                </w:rPr>
              </w:pPr>
              <w:r w:rsidRPr="00C3641E">
                <w:rPr>
                  <w:rFonts w:eastAsia="微软雅黑" w:cs="Arial" w:hint="eastAsia"/>
                  <w:sz w:val="21"/>
                  <w:szCs w:val="21"/>
                </w:rPr>
                <w:t>-</w:t>
              </w:r>
              <w:r w:rsidRPr="00C3641E">
                <w:rPr>
                  <w:rFonts w:cs="Arial" w:hint="eastAsia"/>
                  <w:sz w:val="21"/>
                  <w:szCs w:val="21"/>
                </w:rPr>
                <w:tab/>
                <w:t>债务人未能按合同到期日支付本金和利息的情况；</w:t>
              </w:r>
            </w:p>
            <w:p w:rsidR="005314C2" w:rsidRPr="00C3641E" w:rsidRDefault="005314C2" w:rsidP="005314C2">
              <w:pPr>
                <w:pStyle w:val="34"/>
                <w:tabs>
                  <w:tab w:val="left" w:pos="284"/>
                </w:tabs>
                <w:overflowPunct w:val="0"/>
                <w:snapToGrid w:val="0"/>
                <w:ind w:left="284" w:hanging="283"/>
                <w:rPr>
                  <w:rFonts w:cs="Arial"/>
                  <w:sz w:val="21"/>
                  <w:szCs w:val="21"/>
                </w:rPr>
              </w:pPr>
              <w:r w:rsidRPr="00C3641E">
                <w:rPr>
                  <w:rFonts w:cs="Arial" w:hint="eastAsia"/>
                  <w:sz w:val="21"/>
                  <w:szCs w:val="21"/>
                </w:rPr>
                <w:t>-</w:t>
              </w:r>
              <w:r w:rsidRPr="00C3641E">
                <w:rPr>
                  <w:rFonts w:cs="Arial" w:hint="eastAsia"/>
                  <w:sz w:val="21"/>
                  <w:szCs w:val="21"/>
                </w:rPr>
                <w:tab/>
                <w:t xml:space="preserve">已发生的或预期的金融工具的外部或内部信用评级 (如有) 的严重恶化； </w:t>
              </w:r>
            </w:p>
            <w:p w:rsidR="005314C2" w:rsidRPr="00C3641E" w:rsidRDefault="005314C2" w:rsidP="005314C2">
              <w:pPr>
                <w:pStyle w:val="34"/>
                <w:tabs>
                  <w:tab w:val="left" w:pos="284"/>
                </w:tabs>
                <w:overflowPunct w:val="0"/>
                <w:snapToGrid w:val="0"/>
                <w:ind w:left="284" w:hanging="283"/>
                <w:rPr>
                  <w:rFonts w:cs="Arial"/>
                  <w:sz w:val="21"/>
                  <w:szCs w:val="21"/>
                </w:rPr>
              </w:pPr>
              <w:r w:rsidRPr="00C3641E">
                <w:rPr>
                  <w:rFonts w:cs="Arial" w:hint="eastAsia"/>
                  <w:sz w:val="21"/>
                  <w:szCs w:val="21"/>
                </w:rPr>
                <w:t>-</w:t>
              </w:r>
              <w:r w:rsidRPr="00C3641E">
                <w:rPr>
                  <w:rFonts w:cs="Arial" w:hint="eastAsia"/>
                  <w:sz w:val="21"/>
                  <w:szCs w:val="21"/>
                </w:rPr>
                <w:tab/>
                <w:t>已发生的或预期的债务人经营成果的严重恶化；</w:t>
              </w:r>
            </w:p>
            <w:p w:rsidR="005314C2" w:rsidRPr="00C3641E" w:rsidRDefault="005314C2" w:rsidP="005314C2">
              <w:pPr>
                <w:pStyle w:val="34"/>
                <w:tabs>
                  <w:tab w:val="left" w:pos="284"/>
                </w:tabs>
                <w:overflowPunct w:val="0"/>
                <w:snapToGrid w:val="0"/>
                <w:ind w:left="284" w:hanging="283"/>
                <w:rPr>
                  <w:rFonts w:cs="Arial"/>
                  <w:sz w:val="21"/>
                  <w:szCs w:val="21"/>
                </w:rPr>
              </w:pPr>
              <w:r w:rsidRPr="00C3641E">
                <w:rPr>
                  <w:rFonts w:cs="Arial" w:hint="eastAsia"/>
                  <w:sz w:val="21"/>
                  <w:szCs w:val="21"/>
                </w:rPr>
                <w:t>-</w:t>
              </w:r>
              <w:r w:rsidRPr="00C3641E">
                <w:rPr>
                  <w:rFonts w:cs="Arial" w:hint="eastAsia"/>
                  <w:sz w:val="21"/>
                  <w:szCs w:val="21"/>
                </w:rPr>
                <w:tab/>
                <w:t>现存的或预期的技术、市场、经济或法律环境变化，并将对债务人对本集团的还款能力产生重大不利影响。</w:t>
              </w:r>
            </w:p>
            <w:p w:rsidR="005314C2" w:rsidRPr="00C3641E" w:rsidRDefault="005314C2" w:rsidP="005314C2">
              <w:pPr>
                <w:overflowPunct w:val="0"/>
                <w:adjustRightInd w:val="0"/>
                <w:snapToGrid w:val="0"/>
                <w:rPr>
                  <w:rFonts w:cs="Arial"/>
                  <w:szCs w:val="21"/>
                </w:rPr>
              </w:pPr>
            </w:p>
            <w:p w:rsidR="005314C2" w:rsidRPr="00C3641E" w:rsidRDefault="005314C2" w:rsidP="005314C2">
              <w:pPr>
                <w:overflowPunct w:val="0"/>
                <w:adjustRightInd w:val="0"/>
                <w:snapToGrid w:val="0"/>
                <w:rPr>
                  <w:rFonts w:cs="Arial"/>
                  <w:szCs w:val="21"/>
                </w:rPr>
              </w:pPr>
              <w:r w:rsidRPr="00C3641E">
                <w:rPr>
                  <w:rFonts w:cs="Arial" w:hint="eastAsia"/>
                  <w:szCs w:val="21"/>
                </w:rPr>
                <w:t>根据金融工具的性质，本集团以单项金融工具或金融工具组合为基础评估信用风险是否显著增加。以金融工具组合为基础进行评估时，本集团可基于共同信用风险特征对金融工具进行分类，例如逾期信息和信用风险评级。</w:t>
              </w:r>
            </w:p>
            <w:p w:rsidR="005314C2" w:rsidRPr="00C3641E" w:rsidRDefault="005314C2" w:rsidP="005314C2">
              <w:pPr>
                <w:overflowPunct w:val="0"/>
                <w:adjustRightInd w:val="0"/>
                <w:snapToGrid w:val="0"/>
                <w:rPr>
                  <w:rFonts w:cs="Arial"/>
                  <w:szCs w:val="21"/>
                </w:rPr>
              </w:pPr>
            </w:p>
            <w:p w:rsidR="00D23AED" w:rsidRPr="00C3641E" w:rsidRDefault="00D23AED" w:rsidP="005314C2">
              <w:pPr>
                <w:overflowPunct w:val="0"/>
                <w:adjustRightInd w:val="0"/>
                <w:snapToGrid w:val="0"/>
                <w:rPr>
                  <w:rFonts w:cs="Arial"/>
                  <w:szCs w:val="21"/>
                </w:rPr>
              </w:pPr>
              <w:r w:rsidRPr="00C3641E">
                <w:rPr>
                  <w:rFonts w:cs="Arial" w:hint="eastAsia"/>
                  <w:szCs w:val="21"/>
                </w:rPr>
                <w:t>已发生信用减值的金融资产</w:t>
              </w:r>
            </w:p>
            <w:p w:rsidR="00D23AED" w:rsidRPr="00C3641E" w:rsidRDefault="00D23AED" w:rsidP="005314C2">
              <w:pPr>
                <w:overflowPunct w:val="0"/>
                <w:adjustRightInd w:val="0"/>
                <w:snapToGrid w:val="0"/>
                <w:rPr>
                  <w:rFonts w:cs="Arial"/>
                  <w:szCs w:val="21"/>
                </w:rPr>
              </w:pPr>
            </w:p>
            <w:p w:rsidR="005314C2" w:rsidRPr="00C3641E" w:rsidRDefault="005314C2" w:rsidP="005314C2">
              <w:pPr>
                <w:overflowPunct w:val="0"/>
                <w:adjustRightInd w:val="0"/>
                <w:snapToGrid w:val="0"/>
                <w:rPr>
                  <w:rFonts w:cs="Arial"/>
                  <w:szCs w:val="21"/>
                </w:rPr>
              </w:pPr>
              <w:r w:rsidRPr="00C3641E">
                <w:rPr>
                  <w:rFonts w:cs="Arial" w:hint="eastAsia"/>
                  <w:szCs w:val="21"/>
                </w:rPr>
                <w:t>本集团在资产负债表日评估以摊余成本计量的金融资产和以公允价值计量且其变动计入其他综合收益的债权投资是否已发生信用减值。当对金融资产预期未来现金流量具有不利影响的一项或多项事件发生时，该金融资产成为已发生信用减值的金融资产。金融资产已发生信用减值的证据包括下列可观察信息：</w:t>
              </w:r>
            </w:p>
            <w:p w:rsidR="005314C2" w:rsidRPr="00C3641E" w:rsidRDefault="005314C2" w:rsidP="005314C2">
              <w:pPr>
                <w:overflowPunct w:val="0"/>
                <w:adjustRightInd w:val="0"/>
                <w:snapToGrid w:val="0"/>
                <w:rPr>
                  <w:rFonts w:cs="Arial"/>
                  <w:szCs w:val="21"/>
                </w:rPr>
              </w:pPr>
            </w:p>
            <w:p w:rsidR="005314C2" w:rsidRPr="00C3641E" w:rsidRDefault="005314C2" w:rsidP="005314C2">
              <w:pPr>
                <w:pStyle w:val="34"/>
                <w:tabs>
                  <w:tab w:val="left" w:pos="284"/>
                </w:tabs>
                <w:overflowPunct w:val="0"/>
                <w:snapToGrid w:val="0"/>
                <w:ind w:left="284" w:hanging="283"/>
                <w:rPr>
                  <w:rFonts w:cs="Arial"/>
                  <w:sz w:val="21"/>
                  <w:szCs w:val="21"/>
                </w:rPr>
              </w:pPr>
              <w:r w:rsidRPr="00C3641E">
                <w:rPr>
                  <w:rFonts w:cs="Arial" w:hint="eastAsia"/>
                  <w:sz w:val="21"/>
                  <w:szCs w:val="21"/>
                </w:rPr>
                <w:t>-</w:t>
              </w:r>
              <w:r w:rsidRPr="00C3641E">
                <w:rPr>
                  <w:rFonts w:cs="Arial" w:hint="eastAsia"/>
                  <w:sz w:val="21"/>
                  <w:szCs w:val="21"/>
                </w:rPr>
                <w:tab/>
                <w:t>发行方或债务人发生重大财务困难；</w:t>
              </w:r>
            </w:p>
            <w:p w:rsidR="005314C2" w:rsidRPr="00C3641E" w:rsidRDefault="005314C2" w:rsidP="005314C2">
              <w:pPr>
                <w:pStyle w:val="34"/>
                <w:tabs>
                  <w:tab w:val="left" w:pos="284"/>
                </w:tabs>
                <w:overflowPunct w:val="0"/>
                <w:snapToGrid w:val="0"/>
                <w:ind w:left="284" w:hanging="283"/>
                <w:rPr>
                  <w:rFonts w:cs="Arial"/>
                  <w:sz w:val="21"/>
                  <w:szCs w:val="21"/>
                </w:rPr>
              </w:pPr>
              <w:r w:rsidRPr="00C3641E">
                <w:rPr>
                  <w:rFonts w:cs="Arial" w:hint="eastAsia"/>
                  <w:sz w:val="21"/>
                  <w:szCs w:val="21"/>
                </w:rPr>
                <w:t>-</w:t>
              </w:r>
              <w:r w:rsidRPr="00C3641E">
                <w:rPr>
                  <w:rFonts w:cs="Arial" w:hint="eastAsia"/>
                  <w:sz w:val="21"/>
                  <w:szCs w:val="21"/>
                </w:rPr>
                <w:tab/>
                <w:t>债务人违反合同，如偿付利息或本金违约或逾期等；</w:t>
              </w:r>
            </w:p>
            <w:p w:rsidR="005314C2" w:rsidRPr="00C3641E" w:rsidRDefault="005314C2" w:rsidP="005314C2">
              <w:pPr>
                <w:pStyle w:val="34"/>
                <w:tabs>
                  <w:tab w:val="left" w:pos="284"/>
                </w:tabs>
                <w:overflowPunct w:val="0"/>
                <w:snapToGrid w:val="0"/>
                <w:ind w:left="284" w:hanging="283"/>
                <w:rPr>
                  <w:rFonts w:cs="Arial"/>
                  <w:sz w:val="21"/>
                  <w:szCs w:val="21"/>
                </w:rPr>
              </w:pPr>
              <w:r w:rsidRPr="00C3641E">
                <w:rPr>
                  <w:rFonts w:cs="Arial" w:hint="eastAsia"/>
                  <w:sz w:val="21"/>
                  <w:szCs w:val="21"/>
                </w:rPr>
                <w:t>-</w:t>
              </w:r>
              <w:r w:rsidRPr="00C3641E">
                <w:rPr>
                  <w:rFonts w:cs="Arial" w:hint="eastAsia"/>
                  <w:sz w:val="21"/>
                  <w:szCs w:val="21"/>
                </w:rPr>
                <w:tab/>
                <w:t>本集团出于与债务人财务困难有关的经济或合同考虑，给予债务人在任何其他情况下都不会做出的让步；</w:t>
              </w:r>
            </w:p>
            <w:p w:rsidR="005314C2" w:rsidRPr="00C3641E" w:rsidRDefault="005314C2" w:rsidP="005314C2">
              <w:pPr>
                <w:pStyle w:val="34"/>
                <w:tabs>
                  <w:tab w:val="left" w:pos="284"/>
                </w:tabs>
                <w:overflowPunct w:val="0"/>
                <w:snapToGrid w:val="0"/>
                <w:ind w:left="284" w:hanging="283"/>
                <w:rPr>
                  <w:rFonts w:cs="Arial"/>
                  <w:sz w:val="21"/>
                  <w:szCs w:val="21"/>
                </w:rPr>
              </w:pPr>
              <w:r w:rsidRPr="00C3641E">
                <w:rPr>
                  <w:rFonts w:cs="Arial" w:hint="eastAsia"/>
                  <w:sz w:val="21"/>
                  <w:szCs w:val="21"/>
                </w:rPr>
                <w:t>-</w:t>
              </w:r>
              <w:r w:rsidRPr="00C3641E">
                <w:rPr>
                  <w:rFonts w:cs="Arial" w:hint="eastAsia"/>
                  <w:sz w:val="21"/>
                  <w:szCs w:val="21"/>
                </w:rPr>
                <w:tab/>
                <w:t>债务人很可能破产或进行其他财务重组；</w:t>
              </w:r>
            </w:p>
            <w:p w:rsidR="005314C2" w:rsidRPr="00C3641E" w:rsidRDefault="005314C2" w:rsidP="005314C2">
              <w:pPr>
                <w:pStyle w:val="34"/>
                <w:tabs>
                  <w:tab w:val="left" w:pos="284"/>
                </w:tabs>
                <w:overflowPunct w:val="0"/>
                <w:snapToGrid w:val="0"/>
                <w:ind w:left="284" w:hanging="283"/>
                <w:rPr>
                  <w:rFonts w:cs="Arial"/>
                  <w:sz w:val="21"/>
                  <w:szCs w:val="21"/>
                </w:rPr>
              </w:pPr>
              <w:r w:rsidRPr="00C3641E">
                <w:rPr>
                  <w:rFonts w:cs="Arial" w:hint="eastAsia"/>
                  <w:sz w:val="21"/>
                  <w:szCs w:val="21"/>
                </w:rPr>
                <w:lastRenderedPageBreak/>
                <w:t>-</w:t>
              </w:r>
              <w:r w:rsidRPr="00C3641E">
                <w:rPr>
                  <w:rFonts w:cs="Arial" w:hint="eastAsia"/>
                  <w:sz w:val="21"/>
                  <w:szCs w:val="21"/>
                </w:rPr>
                <w:tab/>
                <w:t>发行方或债务人财务困难导致该金融资产的活跃市场消失。</w:t>
              </w:r>
            </w:p>
            <w:p w:rsidR="005314C2" w:rsidRPr="00C3641E" w:rsidRDefault="005314C2" w:rsidP="005314C2">
              <w:pPr>
                <w:overflowPunct w:val="0"/>
                <w:adjustRightInd w:val="0"/>
                <w:snapToGrid w:val="0"/>
                <w:rPr>
                  <w:rFonts w:cs="Arial"/>
                  <w:szCs w:val="21"/>
                </w:rPr>
              </w:pPr>
            </w:p>
            <w:p w:rsidR="005314C2" w:rsidRPr="00C3641E" w:rsidRDefault="005314C2" w:rsidP="005314C2">
              <w:pPr>
                <w:overflowPunct w:val="0"/>
                <w:adjustRightInd w:val="0"/>
                <w:snapToGrid w:val="0"/>
                <w:rPr>
                  <w:rFonts w:cs="Arial"/>
                  <w:szCs w:val="21"/>
                </w:rPr>
              </w:pPr>
              <w:r w:rsidRPr="00C3641E">
                <w:rPr>
                  <w:rFonts w:cs="Arial" w:hint="eastAsia"/>
                  <w:szCs w:val="21"/>
                </w:rPr>
                <w:t>预期信用损失准备的列报</w:t>
              </w:r>
            </w:p>
            <w:p w:rsidR="005314C2" w:rsidRPr="00C3641E" w:rsidRDefault="005314C2" w:rsidP="005314C2">
              <w:pPr>
                <w:overflowPunct w:val="0"/>
                <w:adjustRightInd w:val="0"/>
                <w:snapToGrid w:val="0"/>
                <w:rPr>
                  <w:rFonts w:cs="Arial"/>
                  <w:szCs w:val="21"/>
                </w:rPr>
              </w:pPr>
            </w:p>
            <w:p w:rsidR="005314C2" w:rsidRPr="00C3641E" w:rsidRDefault="005314C2" w:rsidP="005314C2">
              <w:pPr>
                <w:overflowPunct w:val="0"/>
                <w:adjustRightInd w:val="0"/>
                <w:snapToGrid w:val="0"/>
                <w:rPr>
                  <w:rFonts w:cs="Arial"/>
                  <w:szCs w:val="21"/>
                </w:rPr>
              </w:pPr>
              <w:r w:rsidRPr="00C3641E">
                <w:rPr>
                  <w:rFonts w:cs="Arial" w:hint="eastAsia"/>
                  <w:szCs w:val="21"/>
                </w:rPr>
                <w:t>为反映金融工具的信用风险自初始确认后的变化，本集团在每个资产负债表日重新计量预期信用损失，由此形成的损失准备的增加或转回金额，应当作为减值损失或利得计入当期损益。对于以摊余成本计量的金融资产，损失准备抵减该金融资产在资产负债表中列示的账面价值；对于以公允价值计量且其变动计入其他综合收益的债权投资，本集团在其他综合收益中确认其损失准备，不抵减该金融资产的账面价值。</w:t>
              </w:r>
            </w:p>
            <w:p w:rsidR="005314C2" w:rsidRPr="00C3641E" w:rsidRDefault="005314C2" w:rsidP="005314C2">
              <w:pPr>
                <w:overflowPunct w:val="0"/>
                <w:adjustRightInd w:val="0"/>
                <w:snapToGrid w:val="0"/>
                <w:rPr>
                  <w:rFonts w:cs="Arial"/>
                  <w:szCs w:val="21"/>
                </w:rPr>
              </w:pPr>
            </w:p>
            <w:p w:rsidR="005314C2" w:rsidRPr="00C3641E" w:rsidRDefault="005314C2" w:rsidP="005314C2">
              <w:pPr>
                <w:overflowPunct w:val="0"/>
                <w:adjustRightInd w:val="0"/>
                <w:snapToGrid w:val="0"/>
                <w:rPr>
                  <w:rFonts w:cs="Arial"/>
                  <w:szCs w:val="21"/>
                </w:rPr>
              </w:pPr>
              <w:r w:rsidRPr="00C3641E">
                <w:rPr>
                  <w:rFonts w:cs="Arial" w:hint="eastAsia"/>
                  <w:szCs w:val="21"/>
                </w:rPr>
                <w:t>核销</w:t>
              </w:r>
            </w:p>
            <w:p w:rsidR="005314C2" w:rsidRPr="00C3641E" w:rsidRDefault="005314C2" w:rsidP="005314C2">
              <w:pPr>
                <w:overflowPunct w:val="0"/>
                <w:adjustRightInd w:val="0"/>
                <w:snapToGrid w:val="0"/>
                <w:rPr>
                  <w:rFonts w:cs="Arial"/>
                  <w:szCs w:val="21"/>
                </w:rPr>
              </w:pPr>
            </w:p>
            <w:p w:rsidR="005314C2" w:rsidRPr="00C3641E" w:rsidRDefault="005314C2" w:rsidP="005314C2">
              <w:pPr>
                <w:overflowPunct w:val="0"/>
                <w:adjustRightInd w:val="0"/>
                <w:snapToGrid w:val="0"/>
                <w:rPr>
                  <w:rFonts w:cs="Arial"/>
                  <w:szCs w:val="21"/>
                </w:rPr>
              </w:pPr>
              <w:r w:rsidRPr="00C3641E">
                <w:rPr>
                  <w:rFonts w:cs="Arial" w:hint="eastAsia"/>
                  <w:szCs w:val="21"/>
                </w:rPr>
                <w:t>如果本集团不再合理预期金融资产合同现金流量能够全部或部分收回，则直接减记该金融资产的账面余额。这种减记构成相关金融资产的终止确认。这种情况通常发生在本集团确定债务人没有资产或收入来源可产生足够的现金流量以偿还将被减记的金额。但是，被减记的金融资产仍可能受到本集团催收到期款项相关执行活动的影响。</w:t>
              </w:r>
            </w:p>
            <w:p w:rsidR="0028188C" w:rsidRPr="00C3641E" w:rsidRDefault="0028188C" w:rsidP="005314C2">
              <w:pPr>
                <w:overflowPunct w:val="0"/>
                <w:adjustRightInd w:val="0"/>
                <w:snapToGrid w:val="0"/>
                <w:rPr>
                  <w:rFonts w:cs="Arial"/>
                  <w:szCs w:val="21"/>
                </w:rPr>
              </w:pPr>
            </w:p>
            <w:p w:rsidR="005314C2" w:rsidRPr="00C3641E" w:rsidRDefault="005314C2" w:rsidP="005314C2">
              <w:pPr>
                <w:overflowPunct w:val="0"/>
                <w:adjustRightInd w:val="0"/>
                <w:snapToGrid w:val="0"/>
                <w:rPr>
                  <w:rFonts w:cs="Arial"/>
                  <w:szCs w:val="21"/>
                </w:rPr>
              </w:pPr>
              <w:r w:rsidRPr="00C3641E">
                <w:rPr>
                  <w:rFonts w:cs="Arial" w:hint="eastAsia"/>
                  <w:szCs w:val="21"/>
                </w:rPr>
                <w:t>已减记的金融资产以后又收回的，作为减值损失的转回计入收回当期的损益。</w:t>
              </w:r>
            </w:p>
            <w:p w:rsidR="005314C2" w:rsidRPr="00C3641E" w:rsidRDefault="005314C2" w:rsidP="005314C2">
              <w:pPr>
                <w:overflowPunct w:val="0"/>
                <w:adjustRightInd w:val="0"/>
                <w:snapToGrid w:val="0"/>
                <w:rPr>
                  <w:rFonts w:cs="Arial"/>
                  <w:bCs/>
                  <w:szCs w:val="21"/>
                </w:rPr>
              </w:pPr>
            </w:p>
            <w:p w:rsidR="005314C2" w:rsidRPr="00C3641E" w:rsidRDefault="005314C2" w:rsidP="005314C2">
              <w:pPr>
                <w:overflowPunct w:val="0"/>
                <w:adjustRightInd w:val="0"/>
                <w:snapToGrid w:val="0"/>
                <w:rPr>
                  <w:rFonts w:asciiTheme="majorEastAsia" w:eastAsiaTheme="majorEastAsia" w:hAnsiTheme="majorEastAsia" w:cs="Arial"/>
                  <w:b/>
                  <w:szCs w:val="21"/>
                </w:rPr>
              </w:pPr>
              <w:r w:rsidRPr="00C3641E">
                <w:rPr>
                  <w:rFonts w:asciiTheme="majorEastAsia" w:eastAsiaTheme="majorEastAsia" w:hAnsiTheme="majorEastAsia" w:cs="Arial" w:hint="eastAsia"/>
                  <w:szCs w:val="21"/>
                </w:rPr>
                <w:t>(7)</w:t>
              </w:r>
              <w:r w:rsidRPr="00C3641E">
                <w:rPr>
                  <w:rFonts w:asciiTheme="majorEastAsia" w:eastAsiaTheme="majorEastAsia" w:hAnsiTheme="majorEastAsia" w:cs="Arial" w:hint="eastAsia"/>
                  <w:szCs w:val="21"/>
                </w:rPr>
                <w:tab/>
                <w:t>权益工具</w:t>
              </w:r>
            </w:p>
            <w:p w:rsidR="005314C2" w:rsidRPr="00C3641E" w:rsidRDefault="005314C2" w:rsidP="005314C2">
              <w:pPr>
                <w:overflowPunct w:val="0"/>
                <w:adjustRightInd w:val="0"/>
                <w:snapToGrid w:val="0"/>
                <w:rPr>
                  <w:rFonts w:cs="Arial"/>
                  <w:szCs w:val="21"/>
                </w:rPr>
              </w:pPr>
            </w:p>
            <w:p w:rsidR="005314C2" w:rsidRPr="00C3641E" w:rsidRDefault="005314C2" w:rsidP="005314C2">
              <w:pPr>
                <w:overflowPunct w:val="0"/>
                <w:adjustRightInd w:val="0"/>
                <w:snapToGrid w:val="0"/>
                <w:rPr>
                  <w:rFonts w:cs="Arial"/>
                  <w:szCs w:val="21"/>
                </w:rPr>
              </w:pPr>
              <w:r w:rsidRPr="00C3641E">
                <w:rPr>
                  <w:rFonts w:cs="Arial" w:hint="eastAsia"/>
                  <w:szCs w:val="21"/>
                </w:rPr>
                <w:t>本公司发行权益工具收到的对价扣除交易费用后，计入股东权益。回购本公司权益工具支付的对价和交易费用，减少股东权益。</w:t>
              </w:r>
            </w:p>
            <w:p w:rsidR="005314C2" w:rsidRPr="00C3641E" w:rsidRDefault="005314C2" w:rsidP="005314C2">
              <w:pPr>
                <w:overflowPunct w:val="0"/>
                <w:adjustRightInd w:val="0"/>
                <w:snapToGrid w:val="0"/>
                <w:rPr>
                  <w:rFonts w:cs="Arial"/>
                  <w:szCs w:val="21"/>
                </w:rPr>
              </w:pPr>
            </w:p>
            <w:p w:rsidR="005314C2" w:rsidRPr="00C3641E" w:rsidRDefault="005314C2" w:rsidP="005314C2">
              <w:pPr>
                <w:overflowPunct w:val="0"/>
                <w:adjustRightInd w:val="0"/>
                <w:snapToGrid w:val="0"/>
                <w:rPr>
                  <w:rFonts w:cs="Arial"/>
                  <w:szCs w:val="21"/>
                </w:rPr>
              </w:pPr>
              <w:r w:rsidRPr="00C3641E">
                <w:rPr>
                  <w:rFonts w:cs="Arial" w:hint="eastAsia"/>
                  <w:szCs w:val="21"/>
                </w:rPr>
                <w:t>回购本公司股份时，回购的股份作为库存股管理，回购股份的全部支出转为库存股成本，同时进行备查登记。库存股不参与利润分配，在资产负债表中作为股东权益的备抵项目列示。</w:t>
              </w:r>
            </w:p>
            <w:p w:rsidR="005314C2" w:rsidRPr="00C3641E" w:rsidRDefault="005314C2" w:rsidP="005314C2">
              <w:pPr>
                <w:overflowPunct w:val="0"/>
                <w:adjustRightInd w:val="0"/>
                <w:snapToGrid w:val="0"/>
                <w:rPr>
                  <w:rFonts w:cs="Arial"/>
                  <w:szCs w:val="21"/>
                </w:rPr>
              </w:pPr>
            </w:p>
            <w:p w:rsidR="005314C2" w:rsidRPr="00C3641E" w:rsidRDefault="005314C2" w:rsidP="005314C2">
              <w:pPr>
                <w:overflowPunct w:val="0"/>
                <w:adjustRightInd w:val="0"/>
                <w:snapToGrid w:val="0"/>
                <w:rPr>
                  <w:rFonts w:cs="Arial"/>
                  <w:szCs w:val="21"/>
                </w:rPr>
              </w:pPr>
              <w:r w:rsidRPr="00C3641E">
                <w:rPr>
                  <w:rFonts w:cs="Arial" w:hint="eastAsia"/>
                  <w:szCs w:val="21"/>
                </w:rPr>
                <w:t>库存股注销时，按注销股票面值总额减少股本，库存股成本超过面值总额的部分，应依次冲减资本公积 (股本溢价) 、盈余公积和未分配利润；库存股成本低于面值总额的，低于面值总额的部分增加资本公积 (股本溢价) 。</w:t>
              </w:r>
            </w:p>
            <w:p w:rsidR="005314C2" w:rsidRPr="00C3641E" w:rsidRDefault="005314C2" w:rsidP="005314C2">
              <w:pPr>
                <w:overflowPunct w:val="0"/>
                <w:adjustRightInd w:val="0"/>
                <w:snapToGrid w:val="0"/>
                <w:rPr>
                  <w:rFonts w:cs="Arial"/>
                  <w:szCs w:val="21"/>
                </w:rPr>
              </w:pPr>
            </w:p>
            <w:p w:rsidR="005314C2" w:rsidRPr="00C3641E" w:rsidRDefault="005314C2" w:rsidP="005314C2">
              <w:pPr>
                <w:overflowPunct w:val="0"/>
                <w:adjustRightInd w:val="0"/>
                <w:snapToGrid w:val="0"/>
                <w:rPr>
                  <w:rFonts w:cs="Arial"/>
                  <w:szCs w:val="21"/>
                </w:rPr>
              </w:pPr>
              <w:r w:rsidRPr="00C3641E">
                <w:rPr>
                  <w:rFonts w:cs="Arial" w:hint="eastAsia"/>
                  <w:szCs w:val="21"/>
                </w:rPr>
                <w:t>库存股转让时，转让收入高于库存股成本的部分，增加资本公积 (股本溢价)；低于库存股成本的部分，依次冲减资本公积 (股本溢价) 、盈余公积、未分配利润。</w:t>
              </w:r>
            </w:p>
            <w:p w:rsidR="005314C2" w:rsidRPr="00C3641E" w:rsidRDefault="005314C2" w:rsidP="005314C2">
              <w:pPr>
                <w:overflowPunct w:val="0"/>
                <w:adjustRightInd w:val="0"/>
                <w:snapToGrid w:val="0"/>
                <w:rPr>
                  <w:rFonts w:cs="Arial"/>
                  <w:bCs/>
                  <w:szCs w:val="21"/>
                </w:rPr>
              </w:pPr>
            </w:p>
            <w:p w:rsidR="005314C2" w:rsidRPr="00C3641E" w:rsidRDefault="005314C2" w:rsidP="005314C2">
              <w:pPr>
                <w:pStyle w:val="3"/>
                <w:keepNext w:val="0"/>
                <w:widowControl/>
                <w:tabs>
                  <w:tab w:val="left" w:pos="0"/>
                </w:tabs>
                <w:overflowPunct w:val="0"/>
                <w:adjustRightInd w:val="0"/>
                <w:snapToGrid w:val="0"/>
                <w:spacing w:before="0" w:after="0"/>
                <w:rPr>
                  <w:rFonts w:asciiTheme="majorEastAsia" w:eastAsiaTheme="majorEastAsia" w:hAnsiTheme="majorEastAsia" w:cs="Arial"/>
                  <w:b w:val="0"/>
                  <w:kern w:val="0"/>
                  <w:szCs w:val="21"/>
                </w:rPr>
              </w:pPr>
              <w:r w:rsidRPr="00C3641E">
                <w:rPr>
                  <w:rFonts w:asciiTheme="majorEastAsia" w:eastAsiaTheme="majorEastAsia" w:hAnsiTheme="majorEastAsia" w:cs="Arial" w:hint="eastAsia"/>
                  <w:b w:val="0"/>
                  <w:kern w:val="0"/>
                  <w:szCs w:val="21"/>
                </w:rPr>
                <w:t>(8)</w:t>
              </w:r>
              <w:r w:rsidRPr="00C3641E">
                <w:rPr>
                  <w:rFonts w:asciiTheme="majorEastAsia" w:eastAsiaTheme="majorEastAsia" w:hAnsiTheme="majorEastAsia" w:cs="Arial" w:hint="eastAsia"/>
                  <w:b w:val="0"/>
                  <w:kern w:val="0"/>
                  <w:szCs w:val="21"/>
                </w:rPr>
                <w:tab/>
                <w:t>可转换工具</w:t>
              </w:r>
            </w:p>
            <w:p w:rsidR="005314C2" w:rsidRPr="00C3641E" w:rsidRDefault="005314C2" w:rsidP="005314C2">
              <w:pPr>
                <w:overflowPunct w:val="0"/>
                <w:adjustRightInd w:val="0"/>
                <w:snapToGrid w:val="0"/>
                <w:ind w:left="284" w:hanging="284"/>
                <w:rPr>
                  <w:rFonts w:cs="Arial"/>
                  <w:szCs w:val="21"/>
                </w:rPr>
              </w:pPr>
              <w:r w:rsidRPr="00C3641E">
                <w:rPr>
                  <w:rFonts w:cs="Arial" w:hint="eastAsia"/>
                  <w:szCs w:val="21"/>
                </w:rPr>
                <w:t>含权益成分的可转换工具</w:t>
              </w:r>
            </w:p>
            <w:p w:rsidR="005314C2" w:rsidRPr="00C3641E" w:rsidRDefault="005314C2" w:rsidP="005314C2">
              <w:pPr>
                <w:overflowPunct w:val="0"/>
                <w:adjustRightInd w:val="0"/>
                <w:snapToGrid w:val="0"/>
                <w:rPr>
                  <w:rFonts w:cs="Arial"/>
                  <w:szCs w:val="21"/>
                </w:rPr>
              </w:pPr>
              <w:r w:rsidRPr="00C3641E">
                <w:rPr>
                  <w:rFonts w:cs="Arial" w:hint="eastAsia"/>
                  <w:szCs w:val="21"/>
                </w:rPr>
                <w:t>对于本集团发行的可转换为权益股份且转换时所发行的股份数量和对价的金额固定的可转换工具，本集团将其作为包含负债和权益成分的复合金融工具。</w:t>
              </w:r>
            </w:p>
            <w:p w:rsidR="005314C2" w:rsidRPr="00C3641E" w:rsidRDefault="005314C2" w:rsidP="005314C2">
              <w:pPr>
                <w:overflowPunct w:val="0"/>
                <w:adjustRightInd w:val="0"/>
                <w:snapToGrid w:val="0"/>
                <w:rPr>
                  <w:rFonts w:cs="Arial"/>
                  <w:szCs w:val="21"/>
                </w:rPr>
              </w:pPr>
            </w:p>
            <w:p w:rsidR="005314C2" w:rsidRPr="00C3641E" w:rsidRDefault="005314C2" w:rsidP="005314C2">
              <w:pPr>
                <w:overflowPunct w:val="0"/>
                <w:adjustRightInd w:val="0"/>
                <w:snapToGrid w:val="0"/>
                <w:rPr>
                  <w:rFonts w:cs="Arial"/>
                  <w:szCs w:val="21"/>
                </w:rPr>
              </w:pPr>
              <w:r w:rsidRPr="00C3641E">
                <w:rPr>
                  <w:rFonts w:cs="Arial" w:hint="eastAsia"/>
                  <w:szCs w:val="21"/>
                </w:rPr>
                <w:t>在初始确认时，本集团将相关负债和权益成分进行分拆，先确定负债成分的公允价值 (包括其中可能包含的非权益性嵌入衍生工具的公允价值)，再从复合金融工具公允价值中扣除负债成分的公允价值，作为权益成分的价值，计入权益。发行复合金融工具发生的交易费用，在负债成分和权益成分之间按照各自占总发行价款的比例进行分摊。</w:t>
              </w:r>
            </w:p>
            <w:p w:rsidR="005314C2" w:rsidRPr="00C3641E" w:rsidRDefault="005314C2" w:rsidP="005314C2">
              <w:pPr>
                <w:overflowPunct w:val="0"/>
                <w:adjustRightInd w:val="0"/>
                <w:snapToGrid w:val="0"/>
                <w:rPr>
                  <w:rFonts w:cs="Arial"/>
                  <w:szCs w:val="21"/>
                </w:rPr>
              </w:pPr>
            </w:p>
            <w:p w:rsidR="005314C2" w:rsidRPr="00C3641E" w:rsidRDefault="005314C2" w:rsidP="005314C2">
              <w:pPr>
                <w:overflowPunct w:val="0"/>
                <w:adjustRightInd w:val="0"/>
                <w:snapToGrid w:val="0"/>
                <w:rPr>
                  <w:rFonts w:cs="Arial"/>
                  <w:szCs w:val="21"/>
                </w:rPr>
              </w:pPr>
              <w:r w:rsidRPr="00C3641E">
                <w:rPr>
                  <w:rFonts w:cs="Arial" w:hint="eastAsia"/>
                  <w:szCs w:val="21"/>
                </w:rPr>
                <w:t>初始确认后，对于没有指定为以公允价值计量且其变动计入当期损益的负债成分，采用实际利率法按摊余成本计量。权益成分在初始计量后不再重新计量。</w:t>
              </w:r>
            </w:p>
            <w:p w:rsidR="005314C2" w:rsidRPr="00C3641E" w:rsidRDefault="005314C2" w:rsidP="005314C2">
              <w:pPr>
                <w:overflowPunct w:val="0"/>
                <w:adjustRightInd w:val="0"/>
                <w:snapToGrid w:val="0"/>
                <w:rPr>
                  <w:rFonts w:cs="Arial"/>
                  <w:szCs w:val="21"/>
                </w:rPr>
              </w:pPr>
            </w:p>
            <w:p w:rsidR="00806678" w:rsidRPr="00F14324" w:rsidRDefault="005314C2" w:rsidP="00F14324">
              <w:pPr>
                <w:overflowPunct w:val="0"/>
                <w:adjustRightInd w:val="0"/>
                <w:snapToGrid w:val="0"/>
                <w:rPr>
                  <w:rFonts w:cs="Arial"/>
                  <w:sz w:val="22"/>
                  <w:szCs w:val="22"/>
                </w:rPr>
              </w:pPr>
              <w:r w:rsidRPr="00C3641E">
                <w:rPr>
                  <w:rFonts w:cs="Arial" w:hint="eastAsia"/>
                  <w:szCs w:val="21"/>
                </w:rPr>
                <w:t>当可转换工具进行转换时，本集团将负债成分和权益成分转至权益相关科目。当可转换工具被赎回时，赎回支付的价款以及发生的交易费用被分配至权益和负债成分。分配价款和交易费用的方</w:t>
              </w:r>
              <w:r w:rsidRPr="00C3641E">
                <w:rPr>
                  <w:rFonts w:cs="Arial" w:hint="eastAsia"/>
                  <w:szCs w:val="21"/>
                </w:rPr>
                <w:lastRenderedPageBreak/>
                <w:t>法与该工具发行时采用的分配方法一致。价款和交易费用分配后，其与权益和负债成分账面价值的差异中，与权益成分相关的计入权益，与负债成分相关的计入损益。</w:t>
              </w:r>
            </w:p>
          </w:sdtContent>
        </w:sdt>
      </w:sdtContent>
    </w:sdt>
    <w:p w:rsidR="00806678" w:rsidRDefault="00806678">
      <w:pPr>
        <w:rPr>
          <w:szCs w:val="21"/>
        </w:rPr>
      </w:pPr>
    </w:p>
    <w:p w:rsidR="00806678" w:rsidRDefault="00B16377" w:rsidP="00FF17C7">
      <w:pPr>
        <w:pStyle w:val="3"/>
        <w:numPr>
          <w:ilvl w:val="0"/>
          <w:numId w:val="39"/>
        </w:numPr>
        <w:rPr>
          <w:rFonts w:ascii="宋体" w:hAnsi="宋体" w:cs="宋体"/>
          <w:kern w:val="0"/>
          <w:szCs w:val="21"/>
        </w:rPr>
      </w:pPr>
      <w:bookmarkStart w:id="135" w:name="_Hlk533667757"/>
      <w:r>
        <w:rPr>
          <w:rFonts w:ascii="宋体" w:hAnsi="宋体" w:cs="宋体" w:hint="eastAsia"/>
          <w:kern w:val="0"/>
          <w:szCs w:val="21"/>
        </w:rPr>
        <w:t>应收票据</w:t>
      </w:r>
    </w:p>
    <w:sdt>
      <w:sdtPr>
        <w:rPr>
          <w:rFonts w:ascii="宋体" w:eastAsia="宋体" w:hAnsi="宋体" w:cs="宋体" w:hint="eastAsia"/>
          <w:b w:val="0"/>
          <w:bCs w:val="0"/>
          <w:kern w:val="0"/>
          <w:szCs w:val="24"/>
        </w:rPr>
        <w:alias w:val="模块:应收票据的预期信用损失的确定方法及会计处理方法"/>
        <w:tag w:val="_SEC_362fa257dbf6485a955cc6289ec1ce23"/>
        <w:id w:val="-734624440"/>
        <w:lock w:val="sdtLocked"/>
        <w:placeholder>
          <w:docPart w:val="GBC22222222222222222222222222222"/>
        </w:placeholder>
      </w:sdtPr>
      <w:sdtEndPr>
        <w:rPr>
          <w:rFonts w:hint="default"/>
          <w:szCs w:val="21"/>
        </w:rPr>
      </w:sdtEndPr>
      <w:sdtContent>
        <w:p w:rsidR="00806678" w:rsidRDefault="00B16377">
          <w:pPr>
            <w:pStyle w:val="4"/>
          </w:pPr>
          <w:r>
            <w:rPr>
              <w:rFonts w:hint="eastAsia"/>
            </w:rPr>
            <w:t>应收票据的预期信用损失的确定方法及会计处理方法</w:t>
          </w:r>
        </w:p>
        <w:sdt>
          <w:sdtPr>
            <w:rPr>
              <w:rFonts w:hint="eastAsia"/>
              <w:szCs w:val="21"/>
            </w:rPr>
            <w:alias w:val="是否适用：应收票据的预期信用损失的确定方法及会计处理方法[双击切换]"/>
            <w:tag w:val="_GBC_69cb5665c8994cf4bd8e8f7caa44c982"/>
            <w:id w:val="-1279177163"/>
            <w:lock w:val="sdtLocked"/>
            <w:placeholder>
              <w:docPart w:val="GBC22222222222222222222222222222"/>
            </w:placeholder>
          </w:sdtPr>
          <w:sdtContent>
            <w:p w:rsidR="00806678" w:rsidRDefault="00F80B6C">
              <w:pPr>
                <w:rPr>
                  <w:szCs w:val="21"/>
                </w:rPr>
              </w:pPr>
              <w:r>
                <w:rPr>
                  <w:szCs w:val="21"/>
                </w:rPr>
                <w:fldChar w:fldCharType="begin"/>
              </w:r>
              <w:r w:rsidR="00F14324">
                <w:rPr>
                  <w:szCs w:val="21"/>
                </w:rPr>
                <w:instrText xml:space="preserve"> MACROBUTTON  SnrToggleCheckbox √适用 </w:instrText>
              </w:r>
              <w:r>
                <w:rPr>
                  <w:szCs w:val="21"/>
                </w:rPr>
                <w:fldChar w:fldCharType="end"/>
              </w:r>
              <w:r>
                <w:rPr>
                  <w:szCs w:val="21"/>
                </w:rPr>
                <w:fldChar w:fldCharType="begin"/>
              </w:r>
              <w:r w:rsidR="00F14324">
                <w:rPr>
                  <w:szCs w:val="21"/>
                </w:rPr>
                <w:instrText xml:space="preserve"> MACROBUTTON  SnrToggleCheckbox □不适用 </w:instrText>
              </w:r>
              <w:r>
                <w:rPr>
                  <w:szCs w:val="21"/>
                </w:rPr>
                <w:fldChar w:fldCharType="end"/>
              </w:r>
            </w:p>
          </w:sdtContent>
        </w:sdt>
        <w:sdt>
          <w:sdtPr>
            <w:rPr>
              <w:rFonts w:hint="eastAsia"/>
              <w:szCs w:val="21"/>
            </w:rPr>
            <w:alias w:val="应收票据的预期信用损失的确定方法及会计处理方法"/>
            <w:tag w:val="_GBC_5b9c425ea6d1479ca1a96a529d2e84ef"/>
            <w:id w:val="1583869266"/>
            <w:lock w:val="sdtLocked"/>
            <w:placeholder>
              <w:docPart w:val="GBC22222222222222222222222222222"/>
            </w:placeholder>
          </w:sdtPr>
          <w:sdtContent>
            <w:p w:rsidR="00806678" w:rsidRDefault="00F14324">
              <w:pPr>
                <w:rPr>
                  <w:szCs w:val="21"/>
                </w:rPr>
              </w:pPr>
              <w:r>
                <w:rPr>
                  <w:rFonts w:hint="eastAsia"/>
                  <w:szCs w:val="21"/>
                </w:rPr>
                <w:t>详见附注五、</w:t>
              </w:r>
              <w:r>
                <w:rPr>
                  <w:szCs w:val="21"/>
                </w:rPr>
                <w:t>10</w:t>
              </w:r>
              <w:r>
                <w:rPr>
                  <w:rFonts w:hint="eastAsia"/>
                  <w:szCs w:val="21"/>
                </w:rPr>
                <w:t>。</w:t>
              </w:r>
            </w:p>
          </w:sdtContent>
        </w:sdt>
        <w:p w:rsidR="00806678" w:rsidRDefault="00F80B6C">
          <w:pPr>
            <w:rPr>
              <w:szCs w:val="21"/>
            </w:rPr>
          </w:pPr>
        </w:p>
      </w:sdtContent>
    </w:sdt>
    <w:bookmarkEnd w:id="135" w:displacedByCustomXml="prev"/>
    <w:bookmarkStart w:id="136" w:name="_Hlk533667783" w:displacedByCustomXml="next"/>
    <w:sdt>
      <w:sdtPr>
        <w:rPr>
          <w:rFonts w:ascii="宋体" w:hAnsi="宋体" w:cs="宋体" w:hint="eastAsia"/>
          <w:b w:val="0"/>
          <w:bCs w:val="0"/>
          <w:kern w:val="0"/>
          <w:szCs w:val="21"/>
        </w:rPr>
        <w:alias w:val="模块:应收账款的预期信用损失的确定方法及会计处理方法"/>
        <w:tag w:val="_SEC_8c5112e0a6de47a6af2fe2c06199a1a9"/>
        <w:id w:val="1137915980"/>
        <w:lock w:val="sdtLocked"/>
        <w:placeholder>
          <w:docPart w:val="GBC22222222222222222222222222222"/>
        </w:placeholder>
      </w:sdtPr>
      <w:sdtEndPr>
        <w:rPr>
          <w:rFonts w:hint="default"/>
        </w:rPr>
      </w:sdtEndPr>
      <w:sdtContent>
        <w:p w:rsidR="00806678" w:rsidRDefault="00B16377" w:rsidP="00FF17C7">
          <w:pPr>
            <w:pStyle w:val="3"/>
            <w:numPr>
              <w:ilvl w:val="0"/>
              <w:numId w:val="39"/>
            </w:numPr>
            <w:rPr>
              <w:rFonts w:ascii="宋体" w:hAnsi="宋体" w:cs="宋体"/>
              <w:kern w:val="0"/>
              <w:szCs w:val="21"/>
            </w:rPr>
          </w:pPr>
          <w:r>
            <w:rPr>
              <w:rFonts w:ascii="宋体" w:hAnsi="宋体" w:cs="宋体" w:hint="eastAsia"/>
              <w:kern w:val="0"/>
              <w:szCs w:val="21"/>
            </w:rPr>
            <w:t>应收账款</w:t>
          </w:r>
        </w:p>
        <w:p w:rsidR="00806678" w:rsidRDefault="00B16377">
          <w:pPr>
            <w:pStyle w:val="4"/>
          </w:pPr>
          <w:r>
            <w:rPr>
              <w:rFonts w:hint="eastAsia"/>
            </w:rPr>
            <w:t>应收账款的预期信用损失的确定方法及会计处理方法</w:t>
          </w:r>
        </w:p>
        <w:sdt>
          <w:sdtPr>
            <w:rPr>
              <w:szCs w:val="21"/>
            </w:rPr>
            <w:alias w:val="是否适用：应收账款的预期信用损失的确定方法及会计处理方法[双击切换]"/>
            <w:tag w:val="_GBC_c7a0f46db952426d9af65139ce1c9b87"/>
            <w:id w:val="891621721"/>
            <w:lock w:val="sdtLocked"/>
            <w:placeholder>
              <w:docPart w:val="GBC22222222222222222222222222222"/>
            </w:placeholder>
          </w:sdtPr>
          <w:sdtContent>
            <w:p w:rsidR="00806678" w:rsidRDefault="00F80B6C">
              <w:pPr>
                <w:rPr>
                  <w:szCs w:val="21"/>
                </w:rPr>
              </w:pPr>
              <w:r>
                <w:rPr>
                  <w:szCs w:val="21"/>
                </w:rPr>
                <w:fldChar w:fldCharType="begin"/>
              </w:r>
              <w:r w:rsidR="00F14324">
                <w:rPr>
                  <w:szCs w:val="21"/>
                </w:rPr>
                <w:instrText xml:space="preserve"> MACROBUTTON  SnrToggleCheckbox √适用 </w:instrText>
              </w:r>
              <w:r>
                <w:rPr>
                  <w:szCs w:val="21"/>
                </w:rPr>
                <w:fldChar w:fldCharType="end"/>
              </w:r>
              <w:r>
                <w:rPr>
                  <w:szCs w:val="21"/>
                </w:rPr>
                <w:fldChar w:fldCharType="begin"/>
              </w:r>
              <w:r w:rsidR="00F14324">
                <w:rPr>
                  <w:szCs w:val="21"/>
                </w:rPr>
                <w:instrText xml:space="preserve"> MACROBUTTON  SnrToggleCheckbox □不适用 </w:instrText>
              </w:r>
              <w:r>
                <w:rPr>
                  <w:szCs w:val="21"/>
                </w:rPr>
                <w:fldChar w:fldCharType="end"/>
              </w:r>
            </w:p>
          </w:sdtContent>
        </w:sdt>
        <w:sdt>
          <w:sdtPr>
            <w:rPr>
              <w:szCs w:val="21"/>
            </w:rPr>
            <w:alias w:val="应收账款的预期信用损失的确定方法及会计处理方法"/>
            <w:tag w:val="_GBC_b61c1c3012c24b9fb0994266a51aa85a"/>
            <w:id w:val="1836026598"/>
            <w:lock w:val="sdtLocked"/>
            <w:placeholder>
              <w:docPart w:val="GBC22222222222222222222222222222"/>
            </w:placeholder>
          </w:sdtPr>
          <w:sdtContent>
            <w:p w:rsidR="00806678" w:rsidRDefault="00F14324">
              <w:pPr>
                <w:rPr>
                  <w:szCs w:val="21"/>
                </w:rPr>
              </w:pPr>
              <w:r>
                <w:rPr>
                  <w:rFonts w:hint="eastAsia"/>
                  <w:szCs w:val="21"/>
                </w:rPr>
                <w:t>详见附注五、</w:t>
              </w:r>
              <w:r>
                <w:rPr>
                  <w:szCs w:val="21"/>
                </w:rPr>
                <w:t>10</w:t>
              </w:r>
              <w:r>
                <w:rPr>
                  <w:rFonts w:hint="eastAsia"/>
                  <w:szCs w:val="21"/>
                </w:rPr>
                <w:t>。</w:t>
              </w:r>
            </w:p>
          </w:sdtContent>
        </w:sdt>
        <w:p w:rsidR="00806678" w:rsidRDefault="00F80B6C">
          <w:pPr>
            <w:rPr>
              <w:szCs w:val="21"/>
            </w:rPr>
          </w:pPr>
        </w:p>
      </w:sdtContent>
    </w:sdt>
    <w:bookmarkEnd w:id="136" w:displacedByCustomXml="prev"/>
    <w:bookmarkStart w:id="137" w:name="_Hlk24102310" w:displacedByCustomXml="next"/>
    <w:sdt>
      <w:sdtPr>
        <w:rPr>
          <w:rFonts w:ascii="宋体" w:hAnsi="宋体" w:cs="宋体"/>
          <w:b w:val="0"/>
          <w:bCs w:val="0"/>
          <w:kern w:val="0"/>
          <w:szCs w:val="24"/>
        </w:rPr>
        <w:alias w:val="模块:应收款项融资"/>
        <w:tag w:val="_SEC_53a8085b738a461ab82c366601a4ec80"/>
        <w:id w:val="1582873437"/>
        <w:lock w:val="sdtLocked"/>
        <w:placeholder>
          <w:docPart w:val="GBC22222222222222222222222222222"/>
        </w:placeholder>
      </w:sdtPr>
      <w:sdtContent>
        <w:p w:rsidR="00806678" w:rsidRDefault="00B16377" w:rsidP="00FF17C7">
          <w:pPr>
            <w:pStyle w:val="3"/>
            <w:numPr>
              <w:ilvl w:val="0"/>
              <w:numId w:val="39"/>
            </w:numPr>
          </w:pPr>
          <w:r>
            <w:rPr>
              <w:rFonts w:hint="eastAsia"/>
            </w:rPr>
            <w:t>应收款项融资</w:t>
          </w:r>
        </w:p>
        <w:sdt>
          <w:sdtPr>
            <w:alias w:val="是否适用：应收款项融资_重要会计政策和估计[双击切换]"/>
            <w:tag w:val="_GBC_0096d3b0df9d4e67bcab21d747dee092"/>
            <w:id w:val="-1240481798"/>
            <w:lock w:val="sdtLocked"/>
            <w:placeholder>
              <w:docPart w:val="GBC22222222222222222222222222222"/>
            </w:placeholder>
          </w:sdtPr>
          <w:sdtContent>
            <w:p w:rsidR="00806678" w:rsidRDefault="00F80B6C">
              <w:r>
                <w:fldChar w:fldCharType="begin"/>
              </w:r>
              <w:r w:rsidR="00F14324">
                <w:instrText xml:space="preserve"> MACROBUTTON  SnrToggleCheckbox √适用 </w:instrText>
              </w:r>
              <w:r>
                <w:fldChar w:fldCharType="end"/>
              </w:r>
              <w:r>
                <w:fldChar w:fldCharType="begin"/>
              </w:r>
              <w:r w:rsidR="00F14324">
                <w:instrText xml:space="preserve"> MACROBUTTON  SnrToggleCheckbox □不适用 </w:instrText>
              </w:r>
              <w:r>
                <w:fldChar w:fldCharType="end"/>
              </w:r>
            </w:p>
          </w:sdtContent>
        </w:sdt>
        <w:sdt>
          <w:sdtPr>
            <w:alias w:val="应收款项融资的核算方法"/>
            <w:tag w:val="_GBC_27b64041746346078945e1a510603b07"/>
            <w:id w:val="-2072798118"/>
            <w:lock w:val="sdtLocked"/>
            <w:placeholder>
              <w:docPart w:val="GBC22222222222222222222222222222"/>
            </w:placeholder>
          </w:sdtPr>
          <w:sdtContent>
            <w:p w:rsidR="00806678" w:rsidRDefault="00F14324">
              <w:r>
                <w:rPr>
                  <w:rFonts w:hint="eastAsia"/>
                  <w:szCs w:val="21"/>
                </w:rPr>
                <w:t>详见附注五、</w:t>
              </w:r>
              <w:r>
                <w:rPr>
                  <w:szCs w:val="21"/>
                </w:rPr>
                <w:t>10</w:t>
              </w:r>
              <w:r>
                <w:rPr>
                  <w:rFonts w:hint="eastAsia"/>
                  <w:szCs w:val="21"/>
                </w:rPr>
                <w:t>。</w:t>
              </w:r>
            </w:p>
          </w:sdtContent>
        </w:sdt>
        <w:p w:rsidR="00806678" w:rsidRDefault="00F80B6C"/>
      </w:sdtContent>
    </w:sdt>
    <w:bookmarkEnd w:id="137" w:displacedByCustomXml="prev"/>
    <w:bookmarkStart w:id="138" w:name="_Hlk533667836" w:displacedByCustomXml="next"/>
    <w:sdt>
      <w:sdtPr>
        <w:rPr>
          <w:rFonts w:ascii="宋体" w:hAnsi="宋体" w:cs="宋体" w:hint="eastAsia"/>
          <w:b w:val="0"/>
          <w:bCs w:val="0"/>
          <w:kern w:val="0"/>
          <w:szCs w:val="21"/>
        </w:rPr>
        <w:alias w:val="模块:其他应收款预期信用损失的确定方法及会计处理方法"/>
        <w:tag w:val="_SEC_ef6a22d43b7f4cfca911abd1cd64c22b"/>
        <w:id w:val="-767387661"/>
        <w:lock w:val="sdtLocked"/>
        <w:placeholder>
          <w:docPart w:val="GBC22222222222222222222222222222"/>
        </w:placeholder>
      </w:sdtPr>
      <w:sdtEndPr>
        <w:rPr>
          <w:rFonts w:hint="default"/>
        </w:rPr>
      </w:sdtEndPr>
      <w:sdtContent>
        <w:p w:rsidR="00806678" w:rsidRDefault="00B16377" w:rsidP="00FF17C7">
          <w:pPr>
            <w:pStyle w:val="3"/>
            <w:numPr>
              <w:ilvl w:val="0"/>
              <w:numId w:val="39"/>
            </w:numPr>
            <w:rPr>
              <w:szCs w:val="21"/>
            </w:rPr>
          </w:pPr>
          <w:r>
            <w:rPr>
              <w:rFonts w:hint="eastAsia"/>
              <w:szCs w:val="21"/>
            </w:rPr>
            <w:t>其他应收款</w:t>
          </w:r>
        </w:p>
        <w:p w:rsidR="00806678" w:rsidRDefault="00B16377">
          <w:pPr>
            <w:pStyle w:val="4"/>
          </w:pPr>
          <w:r>
            <w:rPr>
              <w:rFonts w:hint="eastAsia"/>
            </w:rPr>
            <w:t>其他应收款</w:t>
          </w:r>
          <w:r>
            <w:t>预期信用损失的确定方法</w:t>
          </w:r>
          <w:r>
            <w:rPr>
              <w:rFonts w:ascii="宋体" w:hAnsi="宋体" w:cs="Calibri"/>
              <w:szCs w:val="21"/>
            </w:rPr>
            <w:t>及会计处理方法</w:t>
          </w:r>
        </w:p>
        <w:sdt>
          <w:sdtPr>
            <w:rPr>
              <w:szCs w:val="21"/>
            </w:rPr>
            <w:alias w:val="是否适用：其他应收款预期信用损失的确定方法及会计处理方法[双击切换]"/>
            <w:tag w:val="_GBC_d0c5c796c0ac47848c0907121820cf83"/>
            <w:id w:val="712616041"/>
            <w:lock w:val="sdtLocked"/>
            <w:placeholder>
              <w:docPart w:val="GBC22222222222222222222222222222"/>
            </w:placeholder>
          </w:sdtPr>
          <w:sdtContent>
            <w:p w:rsidR="00806678" w:rsidRDefault="00F80B6C">
              <w:pPr>
                <w:rPr>
                  <w:szCs w:val="21"/>
                </w:rPr>
              </w:pPr>
              <w:r>
                <w:rPr>
                  <w:szCs w:val="21"/>
                </w:rPr>
                <w:fldChar w:fldCharType="begin"/>
              </w:r>
              <w:r w:rsidR="00F14324">
                <w:rPr>
                  <w:szCs w:val="21"/>
                </w:rPr>
                <w:instrText xml:space="preserve"> MACROBUTTON  SnrToggleCheckbox √适用 </w:instrText>
              </w:r>
              <w:r>
                <w:rPr>
                  <w:szCs w:val="21"/>
                </w:rPr>
                <w:fldChar w:fldCharType="end"/>
              </w:r>
              <w:r>
                <w:rPr>
                  <w:szCs w:val="21"/>
                </w:rPr>
                <w:fldChar w:fldCharType="begin"/>
              </w:r>
              <w:r w:rsidR="00F14324">
                <w:rPr>
                  <w:szCs w:val="21"/>
                </w:rPr>
                <w:instrText xml:space="preserve"> MACROBUTTON  SnrToggleCheckbox □不适用 </w:instrText>
              </w:r>
              <w:r>
                <w:rPr>
                  <w:szCs w:val="21"/>
                </w:rPr>
                <w:fldChar w:fldCharType="end"/>
              </w:r>
            </w:p>
          </w:sdtContent>
        </w:sdt>
        <w:p w:rsidR="00806678" w:rsidRDefault="00F80B6C">
          <w:pPr>
            <w:rPr>
              <w:szCs w:val="21"/>
            </w:rPr>
          </w:pPr>
          <w:sdt>
            <w:sdtPr>
              <w:rPr>
                <w:szCs w:val="21"/>
              </w:rPr>
              <w:alias w:val="其他应收款预期信用损失的确定方法及会计处理方法"/>
              <w:tag w:val="_GBC_d89fd8b99fb74b308080a3d007b66530"/>
              <w:id w:val="-1361813336"/>
              <w:lock w:val="sdtLocked"/>
              <w:placeholder>
                <w:docPart w:val="GBC22222222222222222222222222222"/>
              </w:placeholder>
            </w:sdtPr>
            <w:sdtContent>
              <w:r w:rsidR="00F14324">
                <w:rPr>
                  <w:rFonts w:hint="eastAsia"/>
                  <w:szCs w:val="21"/>
                </w:rPr>
                <w:t>详见附注五、</w:t>
              </w:r>
              <w:r w:rsidR="00F14324">
                <w:rPr>
                  <w:szCs w:val="21"/>
                </w:rPr>
                <w:t>10</w:t>
              </w:r>
              <w:r w:rsidR="00F14324">
                <w:rPr>
                  <w:rFonts w:hint="eastAsia"/>
                  <w:szCs w:val="21"/>
                </w:rPr>
                <w:t>。</w:t>
              </w:r>
            </w:sdtContent>
          </w:sdt>
        </w:p>
        <w:p w:rsidR="00806678" w:rsidRDefault="00F80B6C">
          <w:pPr>
            <w:rPr>
              <w:szCs w:val="21"/>
            </w:rPr>
          </w:pPr>
        </w:p>
      </w:sdtContent>
    </w:sdt>
    <w:bookmarkEnd w:id="138" w:displacedByCustomXml="prev"/>
    <w:sdt>
      <w:sdtPr>
        <w:rPr>
          <w:rFonts w:asciiTheme="minorHAnsi" w:hAnsiTheme="minorHAnsi" w:cstheme="minorBidi"/>
          <w:b w:val="0"/>
          <w:bCs w:val="0"/>
          <w:kern w:val="0"/>
          <w:szCs w:val="22"/>
        </w:rPr>
        <w:alias w:val="模块:存货"/>
        <w:tag w:val="_GBC_b0f90fdf6c7749dbb9bd3cde55d5c0c3"/>
        <w:id w:val="-705108549"/>
        <w:lock w:val="sdtLocked"/>
        <w:placeholder>
          <w:docPart w:val="GBC22222222222222222222222222222"/>
        </w:placeholder>
      </w:sdtPr>
      <w:sdtEndPr>
        <w:rPr>
          <w:rFonts w:ascii="宋体" w:hAnsi="宋体" w:cs="Times New Roman"/>
          <w:szCs w:val="21"/>
        </w:rPr>
      </w:sdtEndPr>
      <w:sdtContent>
        <w:p w:rsidR="00806678" w:rsidRDefault="00B16377" w:rsidP="00FF17C7">
          <w:pPr>
            <w:pStyle w:val="3"/>
            <w:numPr>
              <w:ilvl w:val="0"/>
              <w:numId w:val="39"/>
            </w:numPr>
          </w:pPr>
          <w:r>
            <w:t>存货</w:t>
          </w:r>
        </w:p>
        <w:sdt>
          <w:sdtPr>
            <w:rPr>
              <w:rFonts w:hint="eastAsia"/>
              <w:szCs w:val="21"/>
            </w:rPr>
            <w:alias w:val="是否适用：存货_重要会计政策和估计[双击切换]"/>
            <w:tag w:val="_GBC_dcacbe0db27e4ea5b80fa4aefb3bdbac"/>
            <w:id w:val="28539246"/>
            <w:lock w:val="sdtLocked"/>
            <w:placeholder>
              <w:docPart w:val="GBC22222222222222222222222222222"/>
            </w:placeholder>
          </w:sdtPr>
          <w:sdtContent>
            <w:p w:rsidR="000F33A9" w:rsidRDefault="00F80B6C">
              <w:pPr>
                <w:rPr>
                  <w:szCs w:val="21"/>
                </w:rPr>
              </w:pPr>
              <w:r>
                <w:rPr>
                  <w:szCs w:val="21"/>
                </w:rPr>
                <w:fldChar w:fldCharType="begin"/>
              </w:r>
              <w:r w:rsidR="00F14324">
                <w:rPr>
                  <w:szCs w:val="21"/>
                </w:rPr>
                <w:instrText xml:space="preserve"> MACROBUTTON  SnrToggleCheckbox √适用  </w:instrText>
              </w:r>
              <w:r>
                <w:rPr>
                  <w:szCs w:val="21"/>
                </w:rPr>
                <w:fldChar w:fldCharType="end"/>
              </w:r>
              <w:r>
                <w:rPr>
                  <w:szCs w:val="21"/>
                </w:rPr>
                <w:fldChar w:fldCharType="begin"/>
              </w:r>
              <w:r w:rsidR="00F14324">
                <w:rPr>
                  <w:szCs w:val="21"/>
                </w:rPr>
                <w:instrText xml:space="preserve"> MACROBUTTON  SnrToggleCheckbox □不适用 </w:instrText>
              </w:r>
              <w:r>
                <w:rPr>
                  <w:szCs w:val="21"/>
                </w:rPr>
                <w:fldChar w:fldCharType="end"/>
              </w:r>
            </w:p>
            <w:p w:rsidR="00806678" w:rsidRDefault="00F80B6C">
              <w:pPr>
                <w:rPr>
                  <w:szCs w:val="21"/>
                </w:rPr>
              </w:pPr>
            </w:p>
          </w:sdtContent>
        </w:sdt>
        <w:sdt>
          <w:sdtPr>
            <w:rPr>
              <w:rFonts w:ascii="宋体" w:hAnsi="宋体" w:cs="宋体"/>
              <w:b w:val="0"/>
              <w:bCs w:val="0"/>
              <w:kern w:val="0"/>
              <w:sz w:val="16"/>
              <w:szCs w:val="21"/>
            </w:rPr>
            <w:alias w:val="存货的核算方法"/>
            <w:tag w:val="_GBC_553fb8cba06d4979b05ae3dabe788fa6"/>
            <w:id w:val="-753122232"/>
            <w:lock w:val="sdtLocked"/>
            <w:placeholder>
              <w:docPart w:val="GBC22222222222222222222222222222"/>
            </w:placeholder>
          </w:sdtPr>
          <w:sdtEndPr>
            <w:rPr>
              <w:rFonts w:asciiTheme="majorEastAsia" w:eastAsiaTheme="majorEastAsia" w:hAnsiTheme="majorEastAsia"/>
              <w:sz w:val="21"/>
            </w:rPr>
          </w:sdtEndPr>
          <w:sdtContent>
            <w:p w:rsidR="00F14324" w:rsidRPr="00C3641E" w:rsidRDefault="00F14324" w:rsidP="00F14324">
              <w:pPr>
                <w:pStyle w:val="3"/>
                <w:keepNext w:val="0"/>
                <w:widowControl/>
                <w:tabs>
                  <w:tab w:val="left" w:pos="0"/>
                </w:tabs>
                <w:overflowPunct w:val="0"/>
                <w:adjustRightInd w:val="0"/>
                <w:snapToGrid w:val="0"/>
                <w:spacing w:before="0" w:after="0"/>
                <w:rPr>
                  <w:rFonts w:asciiTheme="majorEastAsia" w:eastAsiaTheme="majorEastAsia" w:hAnsiTheme="majorEastAsia" w:cs="Arial"/>
                  <w:b w:val="0"/>
                  <w:kern w:val="0"/>
                  <w:szCs w:val="21"/>
                </w:rPr>
              </w:pPr>
              <w:r w:rsidRPr="00C3641E">
                <w:rPr>
                  <w:rFonts w:asciiTheme="majorEastAsia" w:eastAsiaTheme="majorEastAsia" w:hAnsiTheme="majorEastAsia" w:cs="Arial" w:hint="eastAsia"/>
                  <w:b w:val="0"/>
                  <w:kern w:val="0"/>
                  <w:szCs w:val="21"/>
                </w:rPr>
                <w:t>(1)</w:t>
              </w:r>
              <w:r w:rsidRPr="00C3641E">
                <w:rPr>
                  <w:rFonts w:asciiTheme="majorEastAsia" w:eastAsiaTheme="majorEastAsia" w:hAnsiTheme="majorEastAsia" w:cs="Arial" w:hint="eastAsia"/>
                  <w:b w:val="0"/>
                  <w:kern w:val="0"/>
                  <w:szCs w:val="21"/>
                </w:rPr>
                <w:tab/>
                <w:t>存货的分类</w:t>
              </w:r>
            </w:p>
            <w:p w:rsidR="00F719EF" w:rsidRPr="00C3641E" w:rsidRDefault="00F719EF" w:rsidP="00F719EF">
              <w:pPr>
                <w:rPr>
                  <w:szCs w:val="21"/>
                </w:rPr>
              </w:pPr>
            </w:p>
            <w:p w:rsidR="00F14324" w:rsidRPr="00C3641E" w:rsidRDefault="00F14324" w:rsidP="00F14324">
              <w:pPr>
                <w:overflowPunct w:val="0"/>
                <w:adjustRightInd w:val="0"/>
                <w:snapToGrid w:val="0"/>
                <w:rPr>
                  <w:rFonts w:asciiTheme="majorEastAsia" w:eastAsiaTheme="majorEastAsia" w:hAnsiTheme="majorEastAsia" w:cs="Arial"/>
                  <w:szCs w:val="21"/>
                </w:rPr>
              </w:pPr>
              <w:r w:rsidRPr="00C3641E">
                <w:rPr>
                  <w:rFonts w:asciiTheme="majorEastAsia" w:eastAsiaTheme="majorEastAsia" w:hAnsiTheme="majorEastAsia" w:cs="Arial" w:hint="eastAsia"/>
                  <w:szCs w:val="21"/>
                </w:rPr>
                <w:t>存货包括线上料、库存配件、燃料、一般材料及轨料和其他存货等，按成本与可变现净值孰低计量。</w:t>
              </w:r>
            </w:p>
            <w:p w:rsidR="00F14324" w:rsidRPr="00C3641E" w:rsidRDefault="00F14324" w:rsidP="00F14324">
              <w:pPr>
                <w:overflowPunct w:val="0"/>
                <w:adjustRightInd w:val="0"/>
                <w:snapToGrid w:val="0"/>
                <w:rPr>
                  <w:rFonts w:asciiTheme="majorEastAsia" w:eastAsiaTheme="majorEastAsia" w:hAnsiTheme="majorEastAsia" w:cs="Arial"/>
                  <w:szCs w:val="21"/>
                </w:rPr>
              </w:pPr>
            </w:p>
            <w:p w:rsidR="00F14324" w:rsidRPr="00C3641E" w:rsidRDefault="00F14324" w:rsidP="00F14324">
              <w:pPr>
                <w:overflowPunct w:val="0"/>
                <w:adjustRightInd w:val="0"/>
                <w:snapToGrid w:val="0"/>
                <w:rPr>
                  <w:rFonts w:asciiTheme="majorEastAsia" w:eastAsiaTheme="majorEastAsia" w:hAnsiTheme="majorEastAsia" w:cs="Arial"/>
                  <w:szCs w:val="21"/>
                </w:rPr>
              </w:pPr>
              <w:r w:rsidRPr="00C3641E">
                <w:rPr>
                  <w:rFonts w:asciiTheme="majorEastAsia" w:eastAsiaTheme="majorEastAsia" w:hAnsiTheme="majorEastAsia" w:cs="Arial" w:hint="eastAsia"/>
                  <w:szCs w:val="21"/>
                </w:rPr>
                <w:t>线上料为修理线路专用的材料；库存配件为修理机车、客货车辆等设备所用的各种配件；燃料为机车用柴油和其他燃料；一般材料及轨料为运输生产中除线上料、燃料、库存配件以外的材料。</w:t>
              </w:r>
            </w:p>
            <w:p w:rsidR="00F14324" w:rsidRPr="00C3641E" w:rsidRDefault="00F14324" w:rsidP="00F14324">
              <w:pPr>
                <w:pStyle w:val="34"/>
                <w:overflowPunct w:val="0"/>
                <w:snapToGrid w:val="0"/>
                <w:rPr>
                  <w:rFonts w:asciiTheme="majorEastAsia" w:eastAsiaTheme="majorEastAsia" w:hAnsiTheme="majorEastAsia" w:cs="Arial"/>
                  <w:sz w:val="21"/>
                  <w:szCs w:val="21"/>
                </w:rPr>
              </w:pPr>
            </w:p>
            <w:p w:rsidR="00F14324" w:rsidRPr="00C3641E" w:rsidRDefault="00F14324" w:rsidP="0030014C">
              <w:pPr>
                <w:pStyle w:val="3"/>
                <w:keepNext w:val="0"/>
                <w:widowControl/>
                <w:tabs>
                  <w:tab w:val="left" w:pos="0"/>
                </w:tabs>
                <w:overflowPunct w:val="0"/>
                <w:adjustRightInd w:val="0"/>
                <w:snapToGrid w:val="0"/>
                <w:spacing w:before="0" w:after="0"/>
                <w:rPr>
                  <w:rFonts w:asciiTheme="majorEastAsia" w:eastAsiaTheme="majorEastAsia" w:hAnsiTheme="majorEastAsia" w:cs="Arial"/>
                  <w:b w:val="0"/>
                  <w:kern w:val="0"/>
                  <w:szCs w:val="21"/>
                </w:rPr>
              </w:pPr>
              <w:r w:rsidRPr="00C3641E">
                <w:rPr>
                  <w:rFonts w:asciiTheme="majorEastAsia" w:eastAsiaTheme="majorEastAsia" w:hAnsiTheme="majorEastAsia" w:cs="Arial" w:hint="eastAsia"/>
                  <w:b w:val="0"/>
                  <w:kern w:val="0"/>
                  <w:szCs w:val="21"/>
                </w:rPr>
                <w:t>(2)</w:t>
              </w:r>
              <w:r w:rsidRPr="00C3641E">
                <w:rPr>
                  <w:rFonts w:asciiTheme="majorEastAsia" w:eastAsiaTheme="majorEastAsia" w:hAnsiTheme="majorEastAsia" w:cs="Arial" w:hint="eastAsia"/>
                  <w:b w:val="0"/>
                  <w:kern w:val="0"/>
                  <w:szCs w:val="21"/>
                </w:rPr>
                <w:tab/>
                <w:t>发出存货的计价方法</w:t>
              </w:r>
            </w:p>
            <w:p w:rsidR="0030014C" w:rsidRPr="00C3641E" w:rsidRDefault="0030014C" w:rsidP="0030014C">
              <w:pPr>
                <w:rPr>
                  <w:szCs w:val="21"/>
                </w:rPr>
              </w:pPr>
            </w:p>
            <w:p w:rsidR="00F14324" w:rsidRPr="00C3641E" w:rsidRDefault="00F14324" w:rsidP="00F14324">
              <w:pPr>
                <w:pStyle w:val="34"/>
                <w:overflowPunct w:val="0"/>
                <w:snapToGrid w:val="0"/>
                <w:rPr>
                  <w:rFonts w:asciiTheme="majorEastAsia" w:eastAsiaTheme="majorEastAsia" w:hAnsiTheme="majorEastAsia" w:cs="Arial"/>
                  <w:sz w:val="21"/>
                  <w:szCs w:val="21"/>
                </w:rPr>
              </w:pPr>
              <w:r w:rsidRPr="00C3641E">
                <w:rPr>
                  <w:rFonts w:asciiTheme="majorEastAsia" w:eastAsiaTheme="majorEastAsia" w:hAnsiTheme="majorEastAsia" w:cs="Arial" w:hint="eastAsia"/>
                  <w:sz w:val="21"/>
                  <w:szCs w:val="21"/>
                </w:rPr>
                <w:t>存货于取得时按实际成本入账。发出存货的实际成本采用加权平均法计量。</w:t>
              </w:r>
            </w:p>
            <w:p w:rsidR="00F14324" w:rsidRPr="00C3641E" w:rsidRDefault="00F14324" w:rsidP="00F14324">
              <w:pPr>
                <w:pStyle w:val="34"/>
                <w:overflowPunct w:val="0"/>
                <w:snapToGrid w:val="0"/>
                <w:rPr>
                  <w:rFonts w:asciiTheme="majorEastAsia" w:eastAsiaTheme="majorEastAsia" w:hAnsiTheme="majorEastAsia" w:cs="Arial"/>
                  <w:sz w:val="21"/>
                  <w:szCs w:val="21"/>
                </w:rPr>
              </w:pPr>
            </w:p>
            <w:p w:rsidR="00F14324" w:rsidRPr="00C3641E" w:rsidRDefault="00F14324" w:rsidP="00F14324">
              <w:pPr>
                <w:pStyle w:val="3"/>
                <w:keepNext w:val="0"/>
                <w:widowControl/>
                <w:tabs>
                  <w:tab w:val="left" w:pos="0"/>
                </w:tabs>
                <w:overflowPunct w:val="0"/>
                <w:adjustRightInd w:val="0"/>
                <w:snapToGrid w:val="0"/>
                <w:spacing w:before="0" w:after="0"/>
                <w:rPr>
                  <w:rFonts w:asciiTheme="majorEastAsia" w:eastAsiaTheme="majorEastAsia" w:hAnsiTheme="majorEastAsia" w:cs="Arial"/>
                  <w:b w:val="0"/>
                  <w:kern w:val="0"/>
                  <w:szCs w:val="21"/>
                </w:rPr>
              </w:pPr>
              <w:r w:rsidRPr="00C3641E">
                <w:rPr>
                  <w:rFonts w:asciiTheme="majorEastAsia" w:eastAsiaTheme="majorEastAsia" w:hAnsiTheme="majorEastAsia" w:cs="Arial" w:hint="eastAsia"/>
                  <w:b w:val="0"/>
                  <w:kern w:val="0"/>
                  <w:szCs w:val="21"/>
                </w:rPr>
                <w:t>(3)</w:t>
              </w:r>
              <w:r w:rsidRPr="00C3641E">
                <w:rPr>
                  <w:rFonts w:asciiTheme="majorEastAsia" w:eastAsiaTheme="majorEastAsia" w:hAnsiTheme="majorEastAsia" w:cs="Arial" w:hint="eastAsia"/>
                  <w:b w:val="0"/>
                  <w:kern w:val="0"/>
                  <w:szCs w:val="21"/>
                </w:rPr>
                <w:tab/>
                <w:t>存货可变现净值的确定依据及存货跌价准备的计提方法</w:t>
              </w:r>
            </w:p>
            <w:p w:rsidR="00F14324" w:rsidRPr="00C3641E" w:rsidRDefault="00F14324" w:rsidP="00F14324">
              <w:pPr>
                <w:pStyle w:val="34"/>
                <w:overflowPunct w:val="0"/>
                <w:snapToGrid w:val="0"/>
                <w:rPr>
                  <w:rFonts w:asciiTheme="majorEastAsia" w:eastAsiaTheme="majorEastAsia" w:hAnsiTheme="majorEastAsia" w:cs="Arial"/>
                  <w:sz w:val="21"/>
                  <w:szCs w:val="21"/>
                </w:rPr>
              </w:pPr>
            </w:p>
            <w:p w:rsidR="00F14324" w:rsidRPr="00C3641E" w:rsidRDefault="00F14324" w:rsidP="00F14324">
              <w:pPr>
                <w:overflowPunct w:val="0"/>
                <w:adjustRightInd w:val="0"/>
                <w:snapToGrid w:val="0"/>
                <w:rPr>
                  <w:rFonts w:asciiTheme="majorEastAsia" w:eastAsiaTheme="majorEastAsia" w:hAnsiTheme="majorEastAsia" w:cs="Arial"/>
                  <w:szCs w:val="21"/>
                </w:rPr>
              </w:pPr>
              <w:r w:rsidRPr="00C3641E">
                <w:rPr>
                  <w:rFonts w:asciiTheme="majorEastAsia" w:eastAsiaTheme="majorEastAsia" w:hAnsiTheme="majorEastAsia" w:cs="Arial" w:hint="eastAsia"/>
                  <w:szCs w:val="21"/>
                </w:rPr>
                <w:t>资产负债表日，存货按照成本与可变现净值孰低计量。</w:t>
              </w:r>
            </w:p>
            <w:p w:rsidR="00F14324" w:rsidRPr="00C3641E" w:rsidRDefault="00F14324" w:rsidP="00F14324">
              <w:pPr>
                <w:overflowPunct w:val="0"/>
                <w:adjustRightInd w:val="0"/>
                <w:snapToGrid w:val="0"/>
                <w:rPr>
                  <w:rFonts w:asciiTheme="majorEastAsia" w:eastAsiaTheme="majorEastAsia" w:hAnsiTheme="majorEastAsia" w:cs="Arial"/>
                  <w:szCs w:val="21"/>
                </w:rPr>
              </w:pPr>
            </w:p>
            <w:p w:rsidR="00F14324" w:rsidRPr="00C3641E" w:rsidRDefault="00F14324" w:rsidP="00F14324">
              <w:pPr>
                <w:overflowPunct w:val="0"/>
                <w:adjustRightInd w:val="0"/>
                <w:snapToGrid w:val="0"/>
                <w:rPr>
                  <w:rFonts w:asciiTheme="majorEastAsia" w:eastAsiaTheme="majorEastAsia" w:hAnsiTheme="majorEastAsia" w:cs="Arial"/>
                  <w:szCs w:val="21"/>
                </w:rPr>
              </w:pPr>
              <w:r w:rsidRPr="00C3641E">
                <w:rPr>
                  <w:rFonts w:asciiTheme="majorEastAsia" w:eastAsiaTheme="majorEastAsia" w:hAnsiTheme="majorEastAsia" w:cs="Arial" w:hint="eastAsia"/>
                  <w:szCs w:val="21"/>
                </w:rPr>
                <w:lastRenderedPageBreak/>
                <w:t>可变现净值，是指在日常活动中，存货的估计售价减去至完工时估计将要发生的成本、估计的销售费用以及相关税费后的金额。</w:t>
              </w:r>
            </w:p>
            <w:p w:rsidR="00F14324" w:rsidRPr="00C3641E" w:rsidRDefault="00F14324" w:rsidP="00F14324">
              <w:pPr>
                <w:overflowPunct w:val="0"/>
                <w:adjustRightInd w:val="0"/>
                <w:snapToGrid w:val="0"/>
                <w:rPr>
                  <w:rFonts w:asciiTheme="majorEastAsia" w:eastAsiaTheme="majorEastAsia" w:hAnsiTheme="majorEastAsia" w:cs="Arial"/>
                  <w:szCs w:val="21"/>
                </w:rPr>
              </w:pPr>
            </w:p>
            <w:p w:rsidR="00F14324" w:rsidRPr="00C3641E" w:rsidRDefault="00F14324" w:rsidP="00F14324">
              <w:pPr>
                <w:overflowPunct w:val="0"/>
                <w:adjustRightInd w:val="0"/>
                <w:snapToGrid w:val="0"/>
                <w:rPr>
                  <w:rFonts w:asciiTheme="majorEastAsia" w:eastAsiaTheme="majorEastAsia" w:hAnsiTheme="majorEastAsia" w:cs="Arial"/>
                  <w:szCs w:val="21"/>
                </w:rPr>
              </w:pPr>
              <w:r w:rsidRPr="00C3641E">
                <w:rPr>
                  <w:rFonts w:asciiTheme="majorEastAsia" w:eastAsiaTheme="majorEastAsia" w:hAnsiTheme="majorEastAsia" w:cs="Arial" w:hint="eastAsia"/>
                  <w:szCs w:val="21"/>
                </w:rPr>
                <w:t>按存货类别计算的成本高于其可变现净值的差额，计提存货跌价准备，计入当期损益。</w:t>
              </w:r>
            </w:p>
            <w:p w:rsidR="00F14324" w:rsidRPr="00C3641E" w:rsidRDefault="00F14324" w:rsidP="00F14324">
              <w:pPr>
                <w:overflowPunct w:val="0"/>
                <w:adjustRightInd w:val="0"/>
                <w:snapToGrid w:val="0"/>
                <w:rPr>
                  <w:rFonts w:asciiTheme="majorEastAsia" w:eastAsiaTheme="majorEastAsia" w:hAnsiTheme="majorEastAsia" w:cs="Arial"/>
                  <w:szCs w:val="21"/>
                </w:rPr>
              </w:pPr>
            </w:p>
            <w:p w:rsidR="00F14324" w:rsidRPr="00C3641E" w:rsidRDefault="00F14324" w:rsidP="00F14324">
              <w:pPr>
                <w:pStyle w:val="3"/>
                <w:keepNext w:val="0"/>
                <w:widowControl/>
                <w:tabs>
                  <w:tab w:val="left" w:pos="0"/>
                </w:tabs>
                <w:overflowPunct w:val="0"/>
                <w:adjustRightInd w:val="0"/>
                <w:snapToGrid w:val="0"/>
                <w:spacing w:before="0" w:after="0"/>
                <w:rPr>
                  <w:rFonts w:asciiTheme="majorEastAsia" w:eastAsiaTheme="majorEastAsia" w:hAnsiTheme="majorEastAsia" w:cs="Arial"/>
                  <w:b w:val="0"/>
                  <w:kern w:val="0"/>
                  <w:szCs w:val="21"/>
                </w:rPr>
              </w:pPr>
              <w:r w:rsidRPr="00C3641E">
                <w:rPr>
                  <w:rFonts w:asciiTheme="majorEastAsia" w:eastAsiaTheme="majorEastAsia" w:hAnsiTheme="majorEastAsia" w:cs="Arial" w:hint="eastAsia"/>
                  <w:b w:val="0"/>
                  <w:kern w:val="0"/>
                  <w:szCs w:val="21"/>
                </w:rPr>
                <w:t>(4)</w:t>
              </w:r>
              <w:r w:rsidRPr="00C3641E">
                <w:rPr>
                  <w:rFonts w:asciiTheme="majorEastAsia" w:eastAsiaTheme="majorEastAsia" w:hAnsiTheme="majorEastAsia" w:cs="Arial" w:hint="eastAsia"/>
                  <w:b w:val="0"/>
                  <w:kern w:val="0"/>
                  <w:szCs w:val="21"/>
                </w:rPr>
                <w:tab/>
                <w:t>存货的盘存制度</w:t>
              </w:r>
            </w:p>
            <w:p w:rsidR="00F14324" w:rsidRPr="00C3641E" w:rsidRDefault="00F14324" w:rsidP="00F14324">
              <w:pPr>
                <w:pStyle w:val="34"/>
                <w:overflowPunct w:val="0"/>
                <w:snapToGrid w:val="0"/>
                <w:rPr>
                  <w:rFonts w:asciiTheme="majorEastAsia" w:eastAsiaTheme="majorEastAsia" w:hAnsiTheme="majorEastAsia" w:cs="Arial"/>
                  <w:sz w:val="21"/>
                  <w:szCs w:val="21"/>
                </w:rPr>
              </w:pPr>
            </w:p>
            <w:p w:rsidR="00F14324" w:rsidRPr="00C3641E" w:rsidRDefault="00F14324" w:rsidP="00F14324">
              <w:pPr>
                <w:pStyle w:val="34"/>
                <w:overflowPunct w:val="0"/>
                <w:snapToGrid w:val="0"/>
                <w:rPr>
                  <w:rFonts w:asciiTheme="majorEastAsia" w:eastAsiaTheme="majorEastAsia" w:hAnsiTheme="majorEastAsia" w:cs="Arial"/>
                  <w:sz w:val="21"/>
                  <w:szCs w:val="21"/>
                </w:rPr>
              </w:pPr>
              <w:r w:rsidRPr="00C3641E">
                <w:rPr>
                  <w:rFonts w:asciiTheme="majorEastAsia" w:eastAsiaTheme="majorEastAsia" w:hAnsiTheme="majorEastAsia" w:cs="Arial" w:hint="eastAsia"/>
                  <w:sz w:val="21"/>
                  <w:szCs w:val="21"/>
                </w:rPr>
                <w:t>本集团存货盘存制度为永续盘存制。</w:t>
              </w:r>
            </w:p>
            <w:p w:rsidR="00F14324" w:rsidRPr="00C3641E" w:rsidRDefault="00F14324" w:rsidP="00F14324">
              <w:pPr>
                <w:overflowPunct w:val="0"/>
                <w:adjustRightInd w:val="0"/>
                <w:snapToGrid w:val="0"/>
                <w:rPr>
                  <w:rFonts w:asciiTheme="majorEastAsia" w:eastAsiaTheme="majorEastAsia" w:hAnsiTheme="majorEastAsia" w:cs="Arial"/>
                  <w:szCs w:val="21"/>
                </w:rPr>
              </w:pPr>
            </w:p>
            <w:p w:rsidR="00F14324" w:rsidRPr="00C3641E" w:rsidRDefault="005874B8" w:rsidP="005874B8">
              <w:pPr>
                <w:pStyle w:val="3"/>
                <w:keepNext w:val="0"/>
                <w:widowControl/>
                <w:tabs>
                  <w:tab w:val="left" w:pos="0"/>
                </w:tabs>
                <w:overflowPunct w:val="0"/>
                <w:adjustRightInd w:val="0"/>
                <w:snapToGrid w:val="0"/>
                <w:spacing w:before="0" w:after="0"/>
                <w:rPr>
                  <w:rFonts w:asciiTheme="majorEastAsia" w:eastAsiaTheme="majorEastAsia" w:hAnsiTheme="majorEastAsia" w:cs="Arial"/>
                  <w:b w:val="0"/>
                  <w:kern w:val="0"/>
                  <w:szCs w:val="21"/>
                </w:rPr>
              </w:pPr>
              <w:r w:rsidRPr="00C3641E">
                <w:rPr>
                  <w:rFonts w:asciiTheme="majorEastAsia" w:eastAsiaTheme="majorEastAsia" w:hAnsiTheme="majorEastAsia" w:cs="Arial" w:hint="eastAsia"/>
                  <w:b w:val="0"/>
                  <w:bCs w:val="0"/>
                  <w:kern w:val="0"/>
                  <w:szCs w:val="21"/>
                </w:rPr>
                <w:t>(5</w:t>
              </w:r>
              <w:r w:rsidRPr="00C3641E">
                <w:rPr>
                  <w:rFonts w:asciiTheme="majorEastAsia" w:eastAsiaTheme="majorEastAsia" w:hAnsiTheme="majorEastAsia" w:cs="Arial" w:hint="eastAsia"/>
                  <w:b w:val="0"/>
                  <w:kern w:val="0"/>
                  <w:szCs w:val="21"/>
                </w:rPr>
                <w:t>)</w:t>
              </w:r>
              <w:r w:rsidRPr="00C3641E">
                <w:rPr>
                  <w:rFonts w:asciiTheme="majorEastAsia" w:eastAsiaTheme="majorEastAsia" w:hAnsiTheme="majorEastAsia" w:cs="Arial" w:hint="eastAsia"/>
                  <w:b w:val="0"/>
                  <w:kern w:val="0"/>
                  <w:szCs w:val="21"/>
                </w:rPr>
                <w:tab/>
              </w:r>
              <w:r w:rsidR="00F14324" w:rsidRPr="00C3641E">
                <w:rPr>
                  <w:rFonts w:asciiTheme="majorEastAsia" w:eastAsiaTheme="majorEastAsia" w:hAnsiTheme="majorEastAsia" w:cs="Arial" w:hint="eastAsia"/>
                  <w:b w:val="0"/>
                  <w:kern w:val="0"/>
                  <w:szCs w:val="21"/>
                </w:rPr>
                <w:t>低值易耗品的摊销方法</w:t>
              </w:r>
            </w:p>
            <w:p w:rsidR="005874B8" w:rsidRPr="00C3641E" w:rsidRDefault="005874B8" w:rsidP="005874B8">
              <w:pPr>
                <w:rPr>
                  <w:szCs w:val="21"/>
                </w:rPr>
              </w:pPr>
            </w:p>
            <w:p w:rsidR="00806678" w:rsidRPr="00C3641E" w:rsidRDefault="00F14324" w:rsidP="00F14324">
              <w:pPr>
                <w:pStyle w:val="34"/>
                <w:overflowPunct w:val="0"/>
                <w:snapToGrid w:val="0"/>
                <w:rPr>
                  <w:rFonts w:asciiTheme="majorEastAsia" w:eastAsiaTheme="majorEastAsia" w:hAnsiTheme="majorEastAsia" w:cs="Arial"/>
                  <w:sz w:val="21"/>
                  <w:szCs w:val="21"/>
                </w:rPr>
              </w:pPr>
              <w:r w:rsidRPr="00C3641E">
                <w:rPr>
                  <w:rFonts w:asciiTheme="majorEastAsia" w:eastAsiaTheme="majorEastAsia" w:hAnsiTheme="majorEastAsia" w:cs="Arial" w:hint="eastAsia"/>
                  <w:sz w:val="21"/>
                  <w:szCs w:val="21"/>
                </w:rPr>
                <w:t>低值易耗品及包装物等周转材料采用一次转销法进行摊销，计入相关资产的成本或者当期损益。</w:t>
              </w:r>
            </w:p>
          </w:sdtContent>
        </w:sdt>
        <w:p w:rsidR="00806678" w:rsidRDefault="00F80B6C">
          <w:pPr>
            <w:rPr>
              <w:rFonts w:cs="Times New Roman"/>
              <w:szCs w:val="21"/>
            </w:rPr>
          </w:pPr>
        </w:p>
      </w:sdtContent>
    </w:sdt>
    <w:bookmarkStart w:id="139" w:name="_Hlk533667851" w:displacedByCustomXml="next"/>
    <w:sdt>
      <w:sdtPr>
        <w:rPr>
          <w:rFonts w:ascii="宋体" w:hAnsi="宋体" w:cs="宋体" w:hint="eastAsia"/>
          <w:b w:val="0"/>
          <w:bCs w:val="0"/>
          <w:kern w:val="0"/>
          <w:szCs w:val="21"/>
        </w:rPr>
        <w:alias w:val="模块:合同资产的确认方法和减值测试方法"/>
        <w:tag w:val="_SEC_9bd5a4d97fa44c929350119c9f058793"/>
        <w:id w:val="190495912"/>
        <w:lock w:val="sdtLocked"/>
        <w:placeholder>
          <w:docPart w:val="GBC22222222222222222222222222222"/>
        </w:placeholder>
      </w:sdtPr>
      <w:sdtEndPr>
        <w:rPr>
          <w:rFonts w:hint="default"/>
        </w:rPr>
      </w:sdtEndPr>
      <w:sdtContent>
        <w:p w:rsidR="00806678" w:rsidRDefault="00B16377" w:rsidP="00FF17C7">
          <w:pPr>
            <w:pStyle w:val="3"/>
            <w:numPr>
              <w:ilvl w:val="0"/>
              <w:numId w:val="39"/>
            </w:numPr>
            <w:rPr>
              <w:szCs w:val="21"/>
            </w:rPr>
          </w:pPr>
          <w:r>
            <w:rPr>
              <w:rFonts w:hint="eastAsia"/>
              <w:szCs w:val="21"/>
            </w:rPr>
            <w:t>合同资产</w:t>
          </w:r>
        </w:p>
        <w:p w:rsidR="00806678" w:rsidRDefault="00B16377" w:rsidP="00FF17C7">
          <w:pPr>
            <w:pStyle w:val="4"/>
            <w:numPr>
              <w:ilvl w:val="0"/>
              <w:numId w:val="113"/>
            </w:numPr>
            <w:rPr>
              <w:szCs w:val="21"/>
            </w:rPr>
          </w:pPr>
          <w:r>
            <w:rPr>
              <w:rFonts w:hint="eastAsia"/>
              <w:szCs w:val="21"/>
            </w:rPr>
            <w:t>合同资产的确认方法及标准</w:t>
          </w:r>
        </w:p>
        <w:sdt>
          <w:sdtPr>
            <w:rPr>
              <w:szCs w:val="21"/>
            </w:rPr>
            <w:alias w:val="是否适用：合同资产的确定方法、摊销方法和减值测试方法[双击切换]"/>
            <w:tag w:val="_GBC_1b5df72f15664694ad46f712f5c33e91"/>
            <w:id w:val="873356361"/>
            <w:lock w:val="sdtLocked"/>
            <w:placeholder>
              <w:docPart w:val="GBC22222222222222222222222222222"/>
            </w:placeholder>
          </w:sdtPr>
          <w:sdtContent>
            <w:p w:rsidR="00806678" w:rsidRDefault="00F80B6C" w:rsidP="007D1772">
              <w:pPr>
                <w:rPr>
                  <w:szCs w:val="21"/>
                </w:rPr>
              </w:pPr>
              <w:r>
                <w:rPr>
                  <w:szCs w:val="21"/>
                </w:rPr>
                <w:fldChar w:fldCharType="begin"/>
              </w:r>
              <w:r w:rsidR="007D1772">
                <w:rPr>
                  <w:szCs w:val="21"/>
                </w:rPr>
                <w:instrText xml:space="preserve"> MACROBUTTON  SnrToggleCheckbox □适用 </w:instrText>
              </w:r>
              <w:r>
                <w:rPr>
                  <w:szCs w:val="21"/>
                </w:rPr>
                <w:fldChar w:fldCharType="end"/>
              </w:r>
              <w:r>
                <w:rPr>
                  <w:szCs w:val="21"/>
                </w:rPr>
                <w:fldChar w:fldCharType="begin"/>
              </w:r>
              <w:r w:rsidR="007D1772">
                <w:rPr>
                  <w:szCs w:val="21"/>
                </w:rPr>
                <w:instrText xml:space="preserve"> MACROBUTTON  SnrToggleCheckbox √不适用 </w:instrText>
              </w:r>
              <w:r>
                <w:rPr>
                  <w:szCs w:val="21"/>
                </w:rPr>
                <w:fldChar w:fldCharType="end"/>
              </w:r>
            </w:p>
          </w:sdtContent>
        </w:sdt>
        <w:p w:rsidR="00806678" w:rsidRDefault="00F80B6C">
          <w:pPr>
            <w:rPr>
              <w:szCs w:val="21"/>
            </w:rPr>
          </w:pPr>
        </w:p>
      </w:sdtContent>
    </w:sdt>
    <w:bookmarkEnd w:id="139" w:displacedByCustomXml="prev"/>
    <w:bookmarkStart w:id="140" w:name="_Hlk533667866" w:displacedByCustomXml="next"/>
    <w:sdt>
      <w:sdtPr>
        <w:rPr>
          <w:rFonts w:ascii="宋体" w:eastAsia="宋体" w:hAnsi="宋体" w:cs="宋体" w:hint="eastAsia"/>
          <w:b w:val="0"/>
          <w:bCs w:val="0"/>
          <w:kern w:val="0"/>
          <w:szCs w:val="21"/>
        </w:rPr>
        <w:alias w:val="模块:合同资产预期信用损失的确定方法及会计处理方法"/>
        <w:tag w:val="_SEC_360193ac6f414512ae2c1e2912c3ae6e"/>
        <w:id w:val="728032538"/>
        <w:lock w:val="sdtLocked"/>
        <w:placeholder>
          <w:docPart w:val="GBC22222222222222222222222222222"/>
        </w:placeholder>
      </w:sdtPr>
      <w:sdtEndPr>
        <w:rPr>
          <w:rFonts w:hint="default"/>
        </w:rPr>
      </w:sdtEndPr>
      <w:sdtContent>
        <w:p w:rsidR="00806678" w:rsidRDefault="00B16377" w:rsidP="00FF17C7">
          <w:pPr>
            <w:pStyle w:val="4"/>
            <w:numPr>
              <w:ilvl w:val="0"/>
              <w:numId w:val="113"/>
            </w:numPr>
            <w:rPr>
              <w:szCs w:val="21"/>
            </w:rPr>
          </w:pPr>
          <w:r>
            <w:rPr>
              <w:rFonts w:hint="eastAsia"/>
              <w:szCs w:val="21"/>
            </w:rPr>
            <w:t>合同资产预期信用损失的确定方法及会计处理方法</w:t>
          </w:r>
        </w:p>
        <w:sdt>
          <w:sdtPr>
            <w:rPr>
              <w:szCs w:val="21"/>
            </w:rPr>
            <w:alias w:val="是否适用：合同资产预期信用损失的确定方法及会计处理方法[双击切换]"/>
            <w:tag w:val="_GBC_8c12b6b1febf4f9ab1540f119bcd3247"/>
            <w:id w:val="1201904276"/>
            <w:lock w:val="sdtLocked"/>
            <w:placeholder>
              <w:docPart w:val="GBC22222222222222222222222222222"/>
            </w:placeholder>
          </w:sdtPr>
          <w:sdtContent>
            <w:p w:rsidR="00806678" w:rsidRDefault="00F80B6C" w:rsidP="007D1772">
              <w:pPr>
                <w:rPr>
                  <w:szCs w:val="21"/>
                </w:rPr>
              </w:pPr>
              <w:r>
                <w:rPr>
                  <w:szCs w:val="21"/>
                </w:rPr>
                <w:fldChar w:fldCharType="begin"/>
              </w:r>
              <w:r w:rsidR="007D1772">
                <w:rPr>
                  <w:szCs w:val="21"/>
                </w:rPr>
                <w:instrText xml:space="preserve"> MACROBUTTON  SnrToggleCheckbox □适用 </w:instrText>
              </w:r>
              <w:r>
                <w:rPr>
                  <w:szCs w:val="21"/>
                </w:rPr>
                <w:fldChar w:fldCharType="end"/>
              </w:r>
              <w:r>
                <w:rPr>
                  <w:szCs w:val="21"/>
                </w:rPr>
                <w:fldChar w:fldCharType="begin"/>
              </w:r>
              <w:r w:rsidR="007D1772">
                <w:rPr>
                  <w:szCs w:val="21"/>
                </w:rPr>
                <w:instrText xml:space="preserve"> MACROBUTTON  SnrToggleCheckbox √不适用 </w:instrText>
              </w:r>
              <w:r>
                <w:rPr>
                  <w:szCs w:val="21"/>
                </w:rPr>
                <w:fldChar w:fldCharType="end"/>
              </w:r>
            </w:p>
          </w:sdtContent>
        </w:sdt>
        <w:p w:rsidR="00806678" w:rsidRDefault="00F80B6C">
          <w:pPr>
            <w:rPr>
              <w:szCs w:val="21"/>
            </w:rPr>
          </w:pPr>
        </w:p>
      </w:sdtContent>
    </w:sdt>
    <w:bookmarkEnd w:id="140" w:displacedByCustomXml="prev"/>
    <w:sdt>
      <w:sdtPr>
        <w:rPr>
          <w:rFonts w:ascii="宋体" w:hAnsi="宋体" w:cs="宋体" w:hint="eastAsia"/>
          <w:b w:val="0"/>
          <w:bCs w:val="0"/>
          <w:kern w:val="0"/>
          <w:szCs w:val="21"/>
        </w:rPr>
        <w:alias w:val="模块:持有待售资产"/>
        <w:tag w:val="_GBC_a1a86a762feb43c3bed478ce8a19ae7c"/>
        <w:id w:val="-1368525775"/>
        <w:lock w:val="sdtLocked"/>
        <w:placeholder>
          <w:docPart w:val="GBC22222222222222222222222222222"/>
        </w:placeholder>
      </w:sdtPr>
      <w:sdtContent>
        <w:p w:rsidR="00806678" w:rsidRDefault="00B16377" w:rsidP="00FF17C7">
          <w:pPr>
            <w:pStyle w:val="3"/>
            <w:numPr>
              <w:ilvl w:val="0"/>
              <w:numId w:val="39"/>
            </w:numPr>
            <w:rPr>
              <w:szCs w:val="21"/>
            </w:rPr>
          </w:pPr>
          <w:r>
            <w:rPr>
              <w:rFonts w:hint="eastAsia"/>
            </w:rPr>
            <w:t>持有</w:t>
          </w:r>
          <w:r>
            <w:rPr>
              <w:rFonts w:hint="eastAsia"/>
              <w:szCs w:val="21"/>
            </w:rPr>
            <w:t>待售资产</w:t>
          </w:r>
        </w:p>
        <w:bookmarkStart w:id="141" w:name="_Hlk533151067" w:displacedByCustomXml="next"/>
        <w:sdt>
          <w:sdtPr>
            <w:rPr>
              <w:rFonts w:hint="eastAsia"/>
              <w:szCs w:val="21"/>
            </w:rPr>
            <w:alias w:val="是否适用：划分为持有待售资产_重要会计政策和估计[双击切换]"/>
            <w:tag w:val="_GBC_f860c57547b540e0980c826c493b2d75"/>
            <w:id w:val="-1313564249"/>
            <w:lock w:val="sdtLocked"/>
            <w:placeholder>
              <w:docPart w:val="GBC22222222222222222222222222222"/>
            </w:placeholder>
          </w:sdtPr>
          <w:sdtContent>
            <w:p w:rsidR="000F33A9" w:rsidRDefault="00F80B6C">
              <w:pPr>
                <w:rPr>
                  <w:szCs w:val="21"/>
                </w:rPr>
              </w:pPr>
              <w:r>
                <w:rPr>
                  <w:szCs w:val="21"/>
                </w:rPr>
                <w:fldChar w:fldCharType="begin"/>
              </w:r>
              <w:r w:rsidR="007D1772">
                <w:rPr>
                  <w:szCs w:val="21"/>
                </w:rPr>
                <w:instrText xml:space="preserve"> MACROBUTTON  SnrToggleCheckbox √适用  </w:instrText>
              </w:r>
              <w:r>
                <w:rPr>
                  <w:szCs w:val="21"/>
                </w:rPr>
                <w:fldChar w:fldCharType="end"/>
              </w:r>
              <w:r>
                <w:rPr>
                  <w:szCs w:val="21"/>
                </w:rPr>
                <w:fldChar w:fldCharType="begin"/>
              </w:r>
              <w:r w:rsidR="007D1772">
                <w:rPr>
                  <w:szCs w:val="21"/>
                </w:rPr>
                <w:instrText xml:space="preserve"> MACROBUTTON  SnrToggleCheckbox □不适用 </w:instrText>
              </w:r>
              <w:r>
                <w:rPr>
                  <w:szCs w:val="21"/>
                </w:rPr>
                <w:fldChar w:fldCharType="end"/>
              </w:r>
            </w:p>
            <w:p w:rsidR="00806678" w:rsidRDefault="00F80B6C">
              <w:pPr>
                <w:rPr>
                  <w:szCs w:val="21"/>
                </w:rPr>
              </w:pPr>
            </w:p>
          </w:sdtContent>
        </w:sdt>
        <w:sdt>
          <w:sdtPr>
            <w:rPr>
              <w:rFonts w:asciiTheme="majorEastAsia" w:eastAsiaTheme="majorEastAsia" w:hAnsiTheme="majorEastAsia" w:cs="宋体"/>
              <w:b w:val="0"/>
              <w:bCs w:val="0"/>
              <w:kern w:val="0"/>
              <w:sz w:val="16"/>
              <w:szCs w:val="21"/>
            </w:rPr>
            <w:alias w:val="划分为持有待售资产的确认标准"/>
            <w:tag w:val="_GBC_d8726eddbed2465794ccdff8edd6a7cc"/>
            <w:id w:val="1752152214"/>
            <w:lock w:val="sdtLocked"/>
            <w:placeholder>
              <w:docPart w:val="GBC22222222222222222222222222222"/>
            </w:placeholder>
          </w:sdtPr>
          <w:sdtEndPr>
            <w:rPr>
              <w:rFonts w:ascii="宋体" w:eastAsia="宋体" w:hAnsi="宋体"/>
              <w:sz w:val="21"/>
            </w:rPr>
          </w:sdtEndPr>
          <w:sdtContent>
            <w:p w:rsidR="007D1772" w:rsidRPr="00C3641E" w:rsidRDefault="0030014C" w:rsidP="0030014C">
              <w:pPr>
                <w:pStyle w:val="3"/>
                <w:keepNext w:val="0"/>
                <w:widowControl/>
                <w:tabs>
                  <w:tab w:val="left" w:pos="0"/>
                </w:tabs>
                <w:overflowPunct w:val="0"/>
                <w:adjustRightInd w:val="0"/>
                <w:snapToGrid w:val="0"/>
                <w:spacing w:before="0" w:after="0"/>
                <w:rPr>
                  <w:rFonts w:asciiTheme="majorEastAsia" w:eastAsiaTheme="majorEastAsia" w:hAnsiTheme="majorEastAsia" w:cs="Arial"/>
                  <w:b w:val="0"/>
                  <w:kern w:val="0"/>
                  <w:szCs w:val="21"/>
                </w:rPr>
              </w:pPr>
              <w:r w:rsidRPr="00C3641E">
                <w:rPr>
                  <w:rFonts w:asciiTheme="majorEastAsia" w:eastAsiaTheme="majorEastAsia" w:hAnsiTheme="majorEastAsia" w:cs="Arial" w:hint="eastAsia"/>
                  <w:b w:val="0"/>
                  <w:bCs w:val="0"/>
                  <w:kern w:val="0"/>
                  <w:szCs w:val="21"/>
                </w:rPr>
                <w:t>(1</w:t>
              </w:r>
              <w:r w:rsidRPr="00C3641E">
                <w:rPr>
                  <w:rFonts w:asciiTheme="majorEastAsia" w:eastAsiaTheme="majorEastAsia" w:hAnsiTheme="majorEastAsia" w:cs="宋体"/>
                  <w:b w:val="0"/>
                  <w:bCs w:val="0"/>
                  <w:kern w:val="0"/>
                  <w:szCs w:val="21"/>
                </w:rPr>
                <w:t>)</w:t>
              </w:r>
              <w:r w:rsidRPr="00C3641E">
                <w:rPr>
                  <w:rFonts w:asciiTheme="majorEastAsia" w:eastAsiaTheme="majorEastAsia" w:hAnsiTheme="majorEastAsia" w:cs="宋体"/>
                  <w:b w:val="0"/>
                  <w:bCs w:val="0"/>
                  <w:kern w:val="0"/>
                  <w:szCs w:val="21"/>
                </w:rPr>
                <w:tab/>
              </w:r>
              <w:r w:rsidR="007D1772" w:rsidRPr="00C3641E">
                <w:rPr>
                  <w:rFonts w:asciiTheme="majorEastAsia" w:eastAsiaTheme="majorEastAsia" w:hAnsiTheme="majorEastAsia" w:cs="Arial" w:hint="eastAsia"/>
                  <w:b w:val="0"/>
                  <w:kern w:val="0"/>
                  <w:szCs w:val="21"/>
                </w:rPr>
                <w:t>持有待售</w:t>
              </w:r>
            </w:p>
            <w:p w:rsidR="0030014C" w:rsidRPr="00C3641E" w:rsidRDefault="0030014C" w:rsidP="0030014C">
              <w:pPr>
                <w:rPr>
                  <w:szCs w:val="21"/>
                </w:rPr>
              </w:pPr>
            </w:p>
            <w:p w:rsidR="007D1772" w:rsidRPr="00C3641E" w:rsidRDefault="007D1772" w:rsidP="007D1772">
              <w:pPr>
                <w:pStyle w:val="34"/>
                <w:overflowPunct w:val="0"/>
                <w:snapToGrid w:val="0"/>
                <w:rPr>
                  <w:rFonts w:asciiTheme="majorEastAsia" w:eastAsiaTheme="majorEastAsia" w:hAnsiTheme="majorEastAsia" w:cs="Arial"/>
                  <w:sz w:val="21"/>
                  <w:szCs w:val="21"/>
                </w:rPr>
              </w:pPr>
              <w:r w:rsidRPr="00C3641E">
                <w:rPr>
                  <w:rFonts w:asciiTheme="majorEastAsia" w:eastAsiaTheme="majorEastAsia" w:hAnsiTheme="majorEastAsia" w:cs="Arial" w:hint="eastAsia"/>
                  <w:sz w:val="21"/>
                  <w:szCs w:val="21"/>
                </w:rPr>
                <w:t>本集团主要通过出售而非持续使用一项非流动资产或处置组收回其账面价值时，将该非流动资产或处置组划分为持有待售类别。</w:t>
              </w:r>
            </w:p>
            <w:p w:rsidR="007D1772" w:rsidRPr="00C3641E" w:rsidRDefault="007D1772" w:rsidP="007D1772">
              <w:pPr>
                <w:pStyle w:val="34"/>
                <w:overflowPunct w:val="0"/>
                <w:snapToGrid w:val="0"/>
                <w:rPr>
                  <w:rFonts w:asciiTheme="majorEastAsia" w:eastAsiaTheme="majorEastAsia" w:hAnsiTheme="majorEastAsia" w:cs="Arial"/>
                  <w:sz w:val="21"/>
                  <w:szCs w:val="21"/>
                </w:rPr>
              </w:pPr>
            </w:p>
            <w:p w:rsidR="007D1772" w:rsidRPr="00C3641E" w:rsidRDefault="007D1772" w:rsidP="007D1772">
              <w:pPr>
                <w:pStyle w:val="34"/>
                <w:overflowPunct w:val="0"/>
                <w:snapToGrid w:val="0"/>
                <w:rPr>
                  <w:rFonts w:asciiTheme="majorEastAsia" w:eastAsiaTheme="majorEastAsia" w:hAnsiTheme="majorEastAsia" w:cs="Arial"/>
                  <w:sz w:val="21"/>
                  <w:szCs w:val="21"/>
                </w:rPr>
              </w:pPr>
              <w:r w:rsidRPr="00C3641E">
                <w:rPr>
                  <w:rFonts w:asciiTheme="majorEastAsia" w:eastAsiaTheme="majorEastAsia" w:hAnsiTheme="majorEastAsia" w:cs="Arial" w:hint="eastAsia"/>
                  <w:sz w:val="21"/>
                  <w:szCs w:val="21"/>
                </w:rPr>
                <w:t>处置组，是指在一项交易中作为整体通过出售或其他方式一并处置的一组资产，以及在该交易中转让的与这些资产直接相关的负债。</w:t>
              </w:r>
            </w:p>
            <w:p w:rsidR="007D1772" w:rsidRPr="00C3641E" w:rsidRDefault="007D1772" w:rsidP="007D1772">
              <w:pPr>
                <w:pStyle w:val="34"/>
                <w:overflowPunct w:val="0"/>
                <w:snapToGrid w:val="0"/>
                <w:rPr>
                  <w:rFonts w:asciiTheme="majorEastAsia" w:eastAsiaTheme="majorEastAsia" w:hAnsiTheme="majorEastAsia" w:cs="Arial"/>
                  <w:sz w:val="21"/>
                  <w:szCs w:val="21"/>
                </w:rPr>
              </w:pPr>
              <w:r w:rsidRPr="00C3641E">
                <w:rPr>
                  <w:rFonts w:asciiTheme="majorEastAsia" w:eastAsiaTheme="majorEastAsia" w:hAnsiTheme="majorEastAsia" w:cs="Arial" w:hint="eastAsia"/>
                  <w:sz w:val="21"/>
                  <w:szCs w:val="21"/>
                </w:rPr>
                <w:t>本集团将同时满足下列条件的非流动资产或处置组划分为持有待售类别：</w:t>
              </w:r>
            </w:p>
            <w:p w:rsidR="007D1772" w:rsidRPr="00C3641E" w:rsidRDefault="007D1772" w:rsidP="007D1772">
              <w:pPr>
                <w:pStyle w:val="34"/>
                <w:overflowPunct w:val="0"/>
                <w:snapToGrid w:val="0"/>
                <w:rPr>
                  <w:rFonts w:asciiTheme="majorEastAsia" w:eastAsiaTheme="majorEastAsia" w:hAnsiTheme="majorEastAsia" w:cs="Arial"/>
                  <w:sz w:val="21"/>
                  <w:szCs w:val="21"/>
                </w:rPr>
              </w:pPr>
            </w:p>
            <w:p w:rsidR="007D1772" w:rsidRPr="00C3641E" w:rsidRDefault="007D1772" w:rsidP="007D1772">
              <w:pPr>
                <w:pStyle w:val="34"/>
                <w:tabs>
                  <w:tab w:val="left" w:pos="284"/>
                </w:tabs>
                <w:overflowPunct w:val="0"/>
                <w:snapToGrid w:val="0"/>
                <w:ind w:left="284" w:hanging="283"/>
                <w:rPr>
                  <w:rFonts w:asciiTheme="majorEastAsia" w:eastAsiaTheme="majorEastAsia" w:hAnsiTheme="majorEastAsia" w:cs="Arial"/>
                  <w:sz w:val="21"/>
                  <w:szCs w:val="21"/>
                </w:rPr>
              </w:pPr>
              <w:r w:rsidRPr="00C3641E">
                <w:rPr>
                  <w:rFonts w:asciiTheme="majorEastAsia" w:eastAsiaTheme="majorEastAsia" w:hAnsiTheme="majorEastAsia" w:cs="Arial" w:hint="eastAsia"/>
                  <w:sz w:val="21"/>
                  <w:szCs w:val="21"/>
                </w:rPr>
                <w:t>-</w:t>
              </w:r>
              <w:r w:rsidRPr="00C3641E">
                <w:rPr>
                  <w:rFonts w:asciiTheme="majorEastAsia" w:eastAsiaTheme="majorEastAsia" w:hAnsiTheme="majorEastAsia" w:cs="Arial" w:hint="eastAsia"/>
                  <w:sz w:val="21"/>
                  <w:szCs w:val="21"/>
                </w:rPr>
                <w:tab/>
                <w:t>根据类似交易中出售此类资产或处置组的惯例，该非流动资产或处置组在其当前状况下即可立即出售；</w:t>
              </w:r>
            </w:p>
            <w:p w:rsidR="007D1772" w:rsidRPr="00C3641E" w:rsidRDefault="007D1772" w:rsidP="007D1772">
              <w:pPr>
                <w:pStyle w:val="34"/>
                <w:tabs>
                  <w:tab w:val="left" w:pos="284"/>
                </w:tabs>
                <w:overflowPunct w:val="0"/>
                <w:snapToGrid w:val="0"/>
                <w:ind w:left="284" w:hanging="283"/>
                <w:rPr>
                  <w:rFonts w:asciiTheme="majorEastAsia" w:eastAsiaTheme="majorEastAsia" w:hAnsiTheme="majorEastAsia" w:cs="Arial"/>
                  <w:sz w:val="21"/>
                  <w:szCs w:val="21"/>
                </w:rPr>
              </w:pPr>
              <w:r w:rsidRPr="00C3641E">
                <w:rPr>
                  <w:rFonts w:asciiTheme="majorEastAsia" w:eastAsiaTheme="majorEastAsia" w:hAnsiTheme="majorEastAsia" w:cs="Arial" w:hint="eastAsia"/>
                  <w:sz w:val="21"/>
                  <w:szCs w:val="21"/>
                </w:rPr>
                <w:t>-</w:t>
              </w:r>
              <w:r w:rsidRPr="00C3641E">
                <w:rPr>
                  <w:rFonts w:asciiTheme="majorEastAsia" w:eastAsiaTheme="majorEastAsia" w:hAnsiTheme="majorEastAsia" w:cs="Arial" w:hint="eastAsia"/>
                  <w:sz w:val="21"/>
                  <w:szCs w:val="21"/>
                </w:rPr>
                <w:tab/>
                <w:t>出售极可能发生，即本集团已经就一项出售计划作出决议且已与其他方签订了具有法律约束力的购买协议，预计出售将在一年内完成。</w:t>
              </w:r>
            </w:p>
            <w:p w:rsidR="007D1772" w:rsidRPr="00C3641E" w:rsidRDefault="007D1772" w:rsidP="007D1772">
              <w:pPr>
                <w:pStyle w:val="34"/>
                <w:overflowPunct w:val="0"/>
                <w:snapToGrid w:val="0"/>
                <w:rPr>
                  <w:rFonts w:asciiTheme="majorEastAsia" w:eastAsiaTheme="majorEastAsia" w:hAnsiTheme="majorEastAsia" w:cs="Arial"/>
                  <w:sz w:val="21"/>
                  <w:szCs w:val="21"/>
                </w:rPr>
              </w:pPr>
            </w:p>
            <w:p w:rsidR="007D1772" w:rsidRPr="00C3641E" w:rsidRDefault="007D1772" w:rsidP="007D1772">
              <w:pPr>
                <w:pStyle w:val="34"/>
                <w:overflowPunct w:val="0"/>
                <w:snapToGrid w:val="0"/>
                <w:rPr>
                  <w:rFonts w:asciiTheme="majorEastAsia" w:eastAsiaTheme="majorEastAsia" w:hAnsiTheme="majorEastAsia" w:cs="Arial"/>
                  <w:sz w:val="21"/>
                  <w:szCs w:val="21"/>
                </w:rPr>
              </w:pPr>
              <w:r w:rsidRPr="00C3641E">
                <w:rPr>
                  <w:rFonts w:asciiTheme="majorEastAsia" w:eastAsiaTheme="majorEastAsia" w:hAnsiTheme="majorEastAsia" w:cs="Arial" w:hint="eastAsia"/>
                  <w:sz w:val="21"/>
                  <w:szCs w:val="21"/>
                </w:rPr>
                <w:t>本集团按账面价值与公允价值 (参见附注</w:t>
              </w:r>
              <w:r w:rsidR="00834F7D" w:rsidRPr="00C3641E">
                <w:rPr>
                  <w:rFonts w:asciiTheme="majorEastAsia" w:eastAsiaTheme="majorEastAsia" w:hAnsiTheme="majorEastAsia" w:cs="Arial" w:hint="eastAsia"/>
                  <w:sz w:val="21"/>
                  <w:szCs w:val="21"/>
                </w:rPr>
                <w:t>五</w:t>
              </w:r>
              <w:r w:rsidRPr="00C3641E">
                <w:rPr>
                  <w:rFonts w:asciiTheme="majorEastAsia" w:eastAsiaTheme="majorEastAsia" w:hAnsiTheme="majorEastAsia" w:cs="Arial" w:hint="eastAsia"/>
                  <w:sz w:val="21"/>
                  <w:szCs w:val="21"/>
                </w:rPr>
                <w:t>、</w:t>
              </w:r>
              <w:r w:rsidR="00834F7D" w:rsidRPr="00C3641E">
                <w:rPr>
                  <w:rFonts w:asciiTheme="majorEastAsia" w:eastAsiaTheme="majorEastAsia" w:hAnsiTheme="majorEastAsia" w:cs="Arial" w:hint="eastAsia"/>
                  <w:sz w:val="21"/>
                  <w:szCs w:val="21"/>
                </w:rPr>
                <w:t>4</w:t>
              </w:r>
              <w:r w:rsidR="00834F7D" w:rsidRPr="00C3641E">
                <w:rPr>
                  <w:rFonts w:asciiTheme="majorEastAsia" w:eastAsiaTheme="majorEastAsia" w:hAnsiTheme="majorEastAsia" w:cs="Arial"/>
                  <w:sz w:val="21"/>
                  <w:szCs w:val="21"/>
                </w:rPr>
                <w:t>3</w:t>
              </w:r>
              <w:r w:rsidRPr="00C3641E">
                <w:rPr>
                  <w:rFonts w:asciiTheme="majorEastAsia" w:eastAsiaTheme="majorEastAsia" w:hAnsiTheme="majorEastAsia" w:cs="Arial" w:hint="eastAsia"/>
                  <w:sz w:val="21"/>
                  <w:szCs w:val="21"/>
                </w:rPr>
                <w:t>(4)) 减去出售费用后净额之孰低者对持有待售的非流动资产 (不包括金融资产 (参见附注</w:t>
              </w:r>
              <w:r w:rsidR="00834F7D" w:rsidRPr="00C3641E">
                <w:rPr>
                  <w:rFonts w:asciiTheme="majorEastAsia" w:eastAsiaTheme="majorEastAsia" w:hAnsiTheme="majorEastAsia" w:cs="Arial" w:hint="eastAsia"/>
                  <w:sz w:val="21"/>
                  <w:szCs w:val="21"/>
                </w:rPr>
                <w:t>五</w:t>
              </w:r>
              <w:r w:rsidRPr="00C3641E">
                <w:rPr>
                  <w:rFonts w:asciiTheme="majorEastAsia" w:eastAsiaTheme="majorEastAsia" w:hAnsiTheme="majorEastAsia" w:cs="Arial" w:hint="eastAsia"/>
                  <w:sz w:val="21"/>
                  <w:szCs w:val="21"/>
                </w:rPr>
                <w:t>、</w:t>
              </w:r>
              <w:r w:rsidR="00834F7D" w:rsidRPr="00C3641E">
                <w:rPr>
                  <w:rFonts w:asciiTheme="majorEastAsia" w:eastAsiaTheme="majorEastAsia" w:hAnsiTheme="majorEastAsia" w:cs="Arial"/>
                  <w:sz w:val="21"/>
                  <w:szCs w:val="21"/>
                </w:rPr>
                <w:t>10</w:t>
              </w:r>
              <w:r w:rsidRPr="00C3641E">
                <w:rPr>
                  <w:rFonts w:asciiTheme="majorEastAsia" w:eastAsiaTheme="majorEastAsia" w:hAnsiTheme="majorEastAsia" w:cs="Arial" w:hint="eastAsia"/>
                  <w:sz w:val="21"/>
                  <w:szCs w:val="21"/>
                </w:rPr>
                <w:t>) 、递延所得税资产 (参见附注</w:t>
              </w:r>
              <w:r w:rsidR="00834F7D" w:rsidRPr="00C3641E">
                <w:rPr>
                  <w:rFonts w:asciiTheme="majorEastAsia" w:eastAsiaTheme="majorEastAsia" w:hAnsiTheme="majorEastAsia" w:cs="Arial" w:hint="eastAsia"/>
                  <w:sz w:val="21"/>
                  <w:szCs w:val="21"/>
                </w:rPr>
                <w:t>五</w:t>
              </w:r>
              <w:r w:rsidRPr="00C3641E">
                <w:rPr>
                  <w:rFonts w:asciiTheme="majorEastAsia" w:eastAsiaTheme="majorEastAsia" w:hAnsiTheme="majorEastAsia" w:cs="Arial" w:hint="eastAsia"/>
                  <w:sz w:val="21"/>
                  <w:szCs w:val="21"/>
                </w:rPr>
                <w:t>、</w:t>
              </w:r>
              <w:r w:rsidR="00834F7D" w:rsidRPr="00C3641E">
                <w:rPr>
                  <w:rFonts w:asciiTheme="majorEastAsia" w:eastAsiaTheme="majorEastAsia" w:hAnsiTheme="majorEastAsia" w:cs="Arial"/>
                  <w:sz w:val="21"/>
                  <w:szCs w:val="21"/>
                </w:rPr>
                <w:t>41</w:t>
              </w:r>
              <w:r w:rsidRPr="00C3641E">
                <w:rPr>
                  <w:rFonts w:asciiTheme="majorEastAsia" w:eastAsiaTheme="majorEastAsia" w:hAnsiTheme="majorEastAsia" w:cs="Arial" w:hint="eastAsia"/>
                  <w:sz w:val="21"/>
                  <w:szCs w:val="21"/>
                </w:rPr>
                <w:t>) 进行初始计量和后续计量，账面价值高于公允价值 (参见附注</w:t>
              </w:r>
              <w:r w:rsidR="00834F7D" w:rsidRPr="00C3641E">
                <w:rPr>
                  <w:rFonts w:asciiTheme="majorEastAsia" w:eastAsiaTheme="majorEastAsia" w:hAnsiTheme="majorEastAsia" w:cs="Arial" w:hint="eastAsia"/>
                  <w:sz w:val="21"/>
                  <w:szCs w:val="21"/>
                </w:rPr>
                <w:t>五</w:t>
              </w:r>
              <w:r w:rsidRPr="00C3641E">
                <w:rPr>
                  <w:rFonts w:asciiTheme="majorEastAsia" w:eastAsiaTheme="majorEastAsia" w:hAnsiTheme="majorEastAsia" w:cs="Arial" w:hint="eastAsia"/>
                  <w:sz w:val="21"/>
                  <w:szCs w:val="21"/>
                </w:rPr>
                <w:t>、</w:t>
              </w:r>
              <w:r w:rsidR="00834F7D" w:rsidRPr="00C3641E">
                <w:rPr>
                  <w:rFonts w:asciiTheme="majorEastAsia" w:eastAsiaTheme="majorEastAsia" w:hAnsiTheme="majorEastAsia" w:cs="Arial"/>
                  <w:sz w:val="21"/>
                  <w:szCs w:val="21"/>
                </w:rPr>
                <w:t>43</w:t>
              </w:r>
              <w:r w:rsidRPr="00C3641E">
                <w:rPr>
                  <w:rFonts w:asciiTheme="majorEastAsia" w:eastAsiaTheme="majorEastAsia" w:hAnsiTheme="majorEastAsia" w:cs="Arial" w:hint="eastAsia"/>
                  <w:sz w:val="21"/>
                  <w:szCs w:val="21"/>
                </w:rPr>
                <w:t>(4)) 减去出售费用后净额的差额确认为资产减值损失，计入当期损益。</w:t>
              </w:r>
            </w:p>
            <w:p w:rsidR="007D1772" w:rsidRPr="00C3641E" w:rsidRDefault="007D1772" w:rsidP="007D1772">
              <w:pPr>
                <w:pStyle w:val="34"/>
                <w:overflowPunct w:val="0"/>
                <w:snapToGrid w:val="0"/>
                <w:rPr>
                  <w:rFonts w:asciiTheme="majorEastAsia" w:eastAsiaTheme="majorEastAsia" w:hAnsiTheme="majorEastAsia" w:cs="Arial"/>
                  <w:bCs/>
                  <w:sz w:val="21"/>
                  <w:szCs w:val="21"/>
                </w:rPr>
              </w:pPr>
            </w:p>
            <w:p w:rsidR="007D1772" w:rsidRPr="00C3641E" w:rsidRDefault="007D1772" w:rsidP="007D1772">
              <w:pPr>
                <w:pStyle w:val="3"/>
                <w:keepNext w:val="0"/>
                <w:widowControl/>
                <w:tabs>
                  <w:tab w:val="left" w:pos="0"/>
                </w:tabs>
                <w:overflowPunct w:val="0"/>
                <w:adjustRightInd w:val="0"/>
                <w:snapToGrid w:val="0"/>
                <w:spacing w:before="0" w:after="0"/>
                <w:rPr>
                  <w:rFonts w:asciiTheme="majorEastAsia" w:eastAsiaTheme="majorEastAsia" w:hAnsiTheme="majorEastAsia" w:cs="Arial"/>
                  <w:b w:val="0"/>
                  <w:kern w:val="0"/>
                  <w:szCs w:val="21"/>
                </w:rPr>
              </w:pPr>
              <w:r w:rsidRPr="00C3641E">
                <w:rPr>
                  <w:rFonts w:asciiTheme="majorEastAsia" w:eastAsiaTheme="majorEastAsia" w:hAnsiTheme="majorEastAsia" w:cs="Arial" w:hint="eastAsia"/>
                  <w:b w:val="0"/>
                  <w:kern w:val="0"/>
                  <w:szCs w:val="21"/>
                </w:rPr>
                <w:lastRenderedPageBreak/>
                <w:t>(2)</w:t>
              </w:r>
              <w:r w:rsidRPr="00C3641E">
                <w:rPr>
                  <w:rFonts w:asciiTheme="majorEastAsia" w:eastAsiaTheme="majorEastAsia" w:hAnsiTheme="majorEastAsia" w:cs="Arial" w:hint="eastAsia"/>
                  <w:b w:val="0"/>
                  <w:kern w:val="0"/>
                  <w:szCs w:val="21"/>
                </w:rPr>
                <w:tab/>
                <w:t>终止经营</w:t>
              </w:r>
            </w:p>
            <w:p w:rsidR="007D1772" w:rsidRPr="00C3641E" w:rsidRDefault="007D1772" w:rsidP="007D1772">
              <w:pPr>
                <w:pStyle w:val="34"/>
                <w:tabs>
                  <w:tab w:val="left" w:pos="1022"/>
                </w:tabs>
                <w:overflowPunct w:val="0"/>
                <w:snapToGrid w:val="0"/>
                <w:rPr>
                  <w:rFonts w:asciiTheme="majorEastAsia" w:eastAsiaTheme="majorEastAsia" w:hAnsiTheme="majorEastAsia" w:cs="Arial"/>
                  <w:sz w:val="21"/>
                  <w:szCs w:val="21"/>
                </w:rPr>
              </w:pPr>
            </w:p>
            <w:p w:rsidR="007D1772" w:rsidRPr="00C3641E" w:rsidRDefault="007D1772" w:rsidP="007D1772">
              <w:pPr>
                <w:pStyle w:val="34"/>
                <w:tabs>
                  <w:tab w:val="left" w:pos="1022"/>
                </w:tabs>
                <w:overflowPunct w:val="0"/>
                <w:snapToGrid w:val="0"/>
                <w:rPr>
                  <w:rFonts w:asciiTheme="majorEastAsia" w:eastAsiaTheme="majorEastAsia" w:hAnsiTheme="majorEastAsia" w:cs="Arial"/>
                  <w:sz w:val="21"/>
                  <w:szCs w:val="21"/>
                </w:rPr>
              </w:pPr>
              <w:r w:rsidRPr="00C3641E">
                <w:rPr>
                  <w:rFonts w:asciiTheme="majorEastAsia" w:eastAsiaTheme="majorEastAsia" w:hAnsiTheme="majorEastAsia" w:cs="Arial" w:hint="eastAsia"/>
                  <w:sz w:val="21"/>
                  <w:szCs w:val="21"/>
                </w:rPr>
                <w:t>本集团将满足下列条件之一的、能够单独区分的组成部分，且该组成部分已被本集团处置或划分为持有待售类别的界定为终止经营：</w:t>
              </w:r>
            </w:p>
            <w:p w:rsidR="007D1772" w:rsidRPr="00C3641E" w:rsidRDefault="007D1772" w:rsidP="007D1772">
              <w:pPr>
                <w:pStyle w:val="34"/>
                <w:tabs>
                  <w:tab w:val="left" w:pos="1022"/>
                </w:tabs>
                <w:overflowPunct w:val="0"/>
                <w:snapToGrid w:val="0"/>
                <w:rPr>
                  <w:rFonts w:asciiTheme="majorEastAsia" w:eastAsiaTheme="majorEastAsia" w:hAnsiTheme="majorEastAsia" w:cs="Arial"/>
                  <w:sz w:val="21"/>
                  <w:szCs w:val="21"/>
                </w:rPr>
              </w:pPr>
            </w:p>
            <w:p w:rsidR="007D1772" w:rsidRPr="00C3641E" w:rsidRDefault="007D1772" w:rsidP="007D1772">
              <w:pPr>
                <w:pStyle w:val="34"/>
                <w:tabs>
                  <w:tab w:val="left" w:pos="284"/>
                </w:tabs>
                <w:overflowPunct w:val="0"/>
                <w:snapToGrid w:val="0"/>
                <w:ind w:left="284" w:hanging="284"/>
                <w:rPr>
                  <w:rFonts w:asciiTheme="majorEastAsia" w:eastAsiaTheme="majorEastAsia" w:hAnsiTheme="majorEastAsia" w:cs="Arial"/>
                  <w:sz w:val="21"/>
                  <w:szCs w:val="21"/>
                </w:rPr>
              </w:pPr>
              <w:r w:rsidRPr="00C3641E">
                <w:rPr>
                  <w:rFonts w:asciiTheme="majorEastAsia" w:eastAsiaTheme="majorEastAsia" w:hAnsiTheme="majorEastAsia" w:cs="Arial" w:hint="eastAsia"/>
                  <w:sz w:val="21"/>
                  <w:szCs w:val="21"/>
                </w:rPr>
                <w:t>-</w:t>
              </w:r>
              <w:r w:rsidRPr="00C3641E">
                <w:rPr>
                  <w:rFonts w:asciiTheme="majorEastAsia" w:eastAsiaTheme="majorEastAsia" w:hAnsiTheme="majorEastAsia" w:cs="Arial" w:hint="eastAsia"/>
                  <w:sz w:val="21"/>
                  <w:szCs w:val="21"/>
                </w:rPr>
                <w:tab/>
                <w:t>该组成部分代表一项独立的主要业务或一个单独的主要经营地区；</w:t>
              </w:r>
            </w:p>
            <w:p w:rsidR="007D1772" w:rsidRPr="00C3641E" w:rsidRDefault="007D1772" w:rsidP="007D1772">
              <w:pPr>
                <w:pStyle w:val="34"/>
                <w:tabs>
                  <w:tab w:val="left" w:pos="284"/>
                </w:tabs>
                <w:overflowPunct w:val="0"/>
                <w:snapToGrid w:val="0"/>
                <w:ind w:left="284" w:hanging="284"/>
                <w:rPr>
                  <w:rFonts w:asciiTheme="majorEastAsia" w:eastAsiaTheme="majorEastAsia" w:hAnsiTheme="majorEastAsia" w:cs="Arial"/>
                  <w:sz w:val="21"/>
                  <w:szCs w:val="21"/>
                </w:rPr>
              </w:pPr>
              <w:r w:rsidRPr="00C3641E">
                <w:rPr>
                  <w:rFonts w:asciiTheme="majorEastAsia" w:eastAsiaTheme="majorEastAsia" w:hAnsiTheme="majorEastAsia" w:cs="Arial" w:hint="eastAsia"/>
                  <w:sz w:val="21"/>
                  <w:szCs w:val="21"/>
                </w:rPr>
                <w:t>-</w:t>
              </w:r>
              <w:r w:rsidRPr="00C3641E">
                <w:rPr>
                  <w:rFonts w:asciiTheme="majorEastAsia" w:eastAsiaTheme="majorEastAsia" w:hAnsiTheme="majorEastAsia" w:cs="Arial" w:hint="eastAsia"/>
                  <w:sz w:val="21"/>
                  <w:szCs w:val="21"/>
                </w:rPr>
                <w:tab/>
                <w:t>该组成部分是拟对一项独立的主要业务或一个单独的主要经营地区进行处置的一项相关联计划的一部分；</w:t>
              </w:r>
            </w:p>
            <w:p w:rsidR="007D1772" w:rsidRPr="00C3641E" w:rsidRDefault="007D1772" w:rsidP="007D1772">
              <w:pPr>
                <w:pStyle w:val="34"/>
                <w:tabs>
                  <w:tab w:val="left" w:pos="284"/>
                </w:tabs>
                <w:overflowPunct w:val="0"/>
                <w:snapToGrid w:val="0"/>
                <w:ind w:left="284" w:hanging="284"/>
                <w:rPr>
                  <w:rFonts w:asciiTheme="majorEastAsia" w:eastAsiaTheme="majorEastAsia" w:hAnsiTheme="majorEastAsia" w:cs="Arial"/>
                  <w:sz w:val="21"/>
                  <w:szCs w:val="21"/>
                </w:rPr>
              </w:pPr>
              <w:r w:rsidRPr="00C3641E">
                <w:rPr>
                  <w:rFonts w:asciiTheme="majorEastAsia" w:eastAsiaTheme="majorEastAsia" w:hAnsiTheme="majorEastAsia" w:cs="Arial" w:hint="eastAsia"/>
                  <w:sz w:val="21"/>
                  <w:szCs w:val="21"/>
                </w:rPr>
                <w:t>-</w:t>
              </w:r>
              <w:r w:rsidRPr="00C3641E">
                <w:rPr>
                  <w:rFonts w:asciiTheme="majorEastAsia" w:eastAsiaTheme="majorEastAsia" w:hAnsiTheme="majorEastAsia" w:cs="Arial" w:hint="eastAsia"/>
                  <w:sz w:val="21"/>
                  <w:szCs w:val="21"/>
                </w:rPr>
                <w:tab/>
                <w:t>该组成部分是专为转售而取得的子公司。</w:t>
              </w:r>
            </w:p>
            <w:p w:rsidR="007D1772" w:rsidRPr="00C3641E" w:rsidRDefault="007D1772" w:rsidP="007D1772">
              <w:pPr>
                <w:pStyle w:val="34"/>
                <w:tabs>
                  <w:tab w:val="left" w:pos="1022"/>
                </w:tabs>
                <w:overflowPunct w:val="0"/>
                <w:snapToGrid w:val="0"/>
                <w:rPr>
                  <w:rFonts w:asciiTheme="majorEastAsia" w:eastAsiaTheme="majorEastAsia" w:hAnsiTheme="majorEastAsia" w:cs="Arial"/>
                  <w:sz w:val="21"/>
                  <w:szCs w:val="21"/>
                </w:rPr>
              </w:pPr>
            </w:p>
            <w:p w:rsidR="00806678" w:rsidRPr="00C3641E" w:rsidRDefault="007D1772" w:rsidP="00274E95">
              <w:pPr>
                <w:pStyle w:val="34"/>
                <w:tabs>
                  <w:tab w:val="left" w:pos="1022"/>
                </w:tabs>
                <w:overflowPunct w:val="0"/>
                <w:snapToGrid w:val="0"/>
                <w:rPr>
                  <w:rFonts w:asciiTheme="majorEastAsia" w:eastAsiaTheme="majorEastAsia" w:hAnsiTheme="majorEastAsia" w:cs="Arial"/>
                  <w:sz w:val="21"/>
                  <w:szCs w:val="21"/>
                </w:rPr>
              </w:pPr>
              <w:r w:rsidRPr="00C3641E">
                <w:rPr>
                  <w:rFonts w:asciiTheme="majorEastAsia" w:eastAsiaTheme="majorEastAsia" w:hAnsiTheme="majorEastAsia" w:cs="Arial" w:hint="eastAsia"/>
                  <w:sz w:val="21"/>
                  <w:szCs w:val="21"/>
                </w:rPr>
                <w:t>本集团对于当期列报的终止经营，在当期利润表中分别列示持续经营损益和终止经营损益，并在比较期间的利润表中将原来作为持续经营损益列报的信息重新作为可比会计期间的终止经营损益列报。</w:t>
              </w:r>
            </w:p>
          </w:sdtContent>
        </w:sdt>
        <w:p w:rsidR="00806678" w:rsidRDefault="00F80B6C">
          <w:pPr>
            <w:rPr>
              <w:szCs w:val="21"/>
            </w:rPr>
          </w:pPr>
        </w:p>
      </w:sdtContent>
    </w:sdt>
    <w:bookmarkEnd w:id="141" w:displacedByCustomXml="prev"/>
    <w:bookmarkStart w:id="142" w:name="_Hlk533667896" w:displacedByCustomXml="next"/>
    <w:sdt>
      <w:sdtPr>
        <w:rPr>
          <w:rFonts w:ascii="宋体" w:hAnsi="宋体" w:cs="宋体" w:hint="eastAsia"/>
          <w:b w:val="0"/>
          <w:bCs w:val="0"/>
          <w:kern w:val="0"/>
          <w:szCs w:val="21"/>
        </w:rPr>
        <w:alias w:val="模块:债权投资"/>
        <w:tag w:val="_SEC_e844286f55704dad967ec5918d6d8015"/>
        <w:id w:val="-354727149"/>
        <w:lock w:val="sdtLocked"/>
        <w:placeholder>
          <w:docPart w:val="GBC22222222222222222222222222222"/>
        </w:placeholder>
      </w:sdtPr>
      <w:sdtEndPr>
        <w:rPr>
          <w:rFonts w:hint="default"/>
        </w:rPr>
      </w:sdtEndPr>
      <w:sdtContent>
        <w:p w:rsidR="00806678" w:rsidRDefault="00B16377" w:rsidP="00FF17C7">
          <w:pPr>
            <w:pStyle w:val="3"/>
            <w:numPr>
              <w:ilvl w:val="0"/>
              <w:numId w:val="39"/>
            </w:numPr>
            <w:rPr>
              <w:szCs w:val="21"/>
            </w:rPr>
          </w:pPr>
          <w:r>
            <w:rPr>
              <w:rFonts w:hint="eastAsia"/>
              <w:szCs w:val="21"/>
            </w:rPr>
            <w:t>债权投资</w:t>
          </w:r>
        </w:p>
        <w:p w:rsidR="00806678" w:rsidRDefault="00B16377" w:rsidP="00FF17C7">
          <w:pPr>
            <w:pStyle w:val="4"/>
            <w:numPr>
              <w:ilvl w:val="0"/>
              <w:numId w:val="114"/>
            </w:numPr>
            <w:rPr>
              <w:szCs w:val="21"/>
            </w:rPr>
          </w:pPr>
          <w:r>
            <w:rPr>
              <w:rFonts w:hint="eastAsia"/>
              <w:szCs w:val="21"/>
            </w:rPr>
            <w:t>债权投资预期信用损失的确定方法及会计处理方法</w:t>
          </w:r>
        </w:p>
        <w:sdt>
          <w:sdtPr>
            <w:rPr>
              <w:szCs w:val="21"/>
            </w:rPr>
            <w:alias w:val="是否适用：债权投资预期信用损失的确定方法及会计处理方法[双击切换]"/>
            <w:tag w:val="_GBC_87f8f287520948df93190a69892c32aa"/>
            <w:id w:val="1317377161"/>
            <w:lock w:val="sdtLocked"/>
            <w:placeholder>
              <w:docPart w:val="GBC22222222222222222222222222222"/>
            </w:placeholder>
          </w:sdtPr>
          <w:sdtContent>
            <w:p w:rsidR="00806678" w:rsidRDefault="00F80B6C" w:rsidP="00274E95">
              <w:pPr>
                <w:rPr>
                  <w:szCs w:val="21"/>
                </w:rPr>
              </w:pPr>
              <w:r>
                <w:rPr>
                  <w:szCs w:val="21"/>
                </w:rPr>
                <w:fldChar w:fldCharType="begin"/>
              </w:r>
              <w:r w:rsidR="00274E95">
                <w:rPr>
                  <w:szCs w:val="21"/>
                </w:rPr>
                <w:instrText xml:space="preserve"> MACROBUTTON  SnrToggleCheckbox □适用 </w:instrText>
              </w:r>
              <w:r>
                <w:rPr>
                  <w:szCs w:val="21"/>
                </w:rPr>
                <w:fldChar w:fldCharType="end"/>
              </w:r>
              <w:r>
                <w:rPr>
                  <w:szCs w:val="21"/>
                </w:rPr>
                <w:fldChar w:fldCharType="begin"/>
              </w:r>
              <w:r w:rsidR="00274E95">
                <w:rPr>
                  <w:szCs w:val="21"/>
                </w:rPr>
                <w:instrText xml:space="preserve"> MACROBUTTON  SnrToggleCheckbox √不适用 </w:instrText>
              </w:r>
              <w:r>
                <w:rPr>
                  <w:szCs w:val="21"/>
                </w:rPr>
                <w:fldChar w:fldCharType="end"/>
              </w:r>
            </w:p>
          </w:sdtContent>
        </w:sdt>
        <w:p w:rsidR="00806678" w:rsidRDefault="00F80B6C">
          <w:pPr>
            <w:rPr>
              <w:szCs w:val="21"/>
            </w:rPr>
          </w:pPr>
        </w:p>
      </w:sdtContent>
    </w:sdt>
    <w:bookmarkEnd w:id="142" w:displacedByCustomXml="prev"/>
    <w:bookmarkStart w:id="143" w:name="_Hlk533667949" w:displacedByCustomXml="next"/>
    <w:sdt>
      <w:sdtPr>
        <w:rPr>
          <w:rFonts w:ascii="宋体" w:hAnsi="宋体" w:cs="宋体" w:hint="eastAsia"/>
          <w:b w:val="0"/>
          <w:bCs w:val="0"/>
          <w:kern w:val="0"/>
          <w:szCs w:val="21"/>
        </w:rPr>
        <w:alias w:val="模块:其他债权投资"/>
        <w:tag w:val="_SEC_c45e287df635454da1fc932b5d7bc19c"/>
        <w:id w:val="-1214038480"/>
        <w:lock w:val="sdtLocked"/>
        <w:placeholder>
          <w:docPart w:val="GBC22222222222222222222222222222"/>
        </w:placeholder>
      </w:sdtPr>
      <w:sdtEndPr>
        <w:rPr>
          <w:rFonts w:hint="default"/>
          <w:szCs w:val="24"/>
        </w:rPr>
      </w:sdtEndPr>
      <w:sdtContent>
        <w:p w:rsidR="00806678" w:rsidRDefault="00B16377" w:rsidP="00FF17C7">
          <w:pPr>
            <w:pStyle w:val="3"/>
            <w:numPr>
              <w:ilvl w:val="0"/>
              <w:numId w:val="39"/>
            </w:numPr>
            <w:rPr>
              <w:szCs w:val="21"/>
            </w:rPr>
          </w:pPr>
          <w:r>
            <w:rPr>
              <w:rFonts w:hint="eastAsia"/>
              <w:szCs w:val="21"/>
            </w:rPr>
            <w:t>其他债权投资</w:t>
          </w:r>
        </w:p>
        <w:p w:rsidR="00806678" w:rsidRDefault="00B16377" w:rsidP="00FF17C7">
          <w:pPr>
            <w:pStyle w:val="4"/>
            <w:numPr>
              <w:ilvl w:val="0"/>
              <w:numId w:val="115"/>
            </w:numPr>
          </w:pPr>
          <w:r>
            <w:rPr>
              <w:rFonts w:hint="eastAsia"/>
            </w:rPr>
            <w:t>其他债权投资</w:t>
          </w:r>
          <w:r>
            <w:t>预期信用损失的确定方法</w:t>
          </w:r>
          <w:r>
            <w:rPr>
              <w:rFonts w:ascii="宋体" w:hAnsi="宋体" w:cs="Calibri"/>
              <w:szCs w:val="21"/>
            </w:rPr>
            <w:t>及会计处理方法</w:t>
          </w:r>
        </w:p>
        <w:sdt>
          <w:sdtPr>
            <w:alias w:val="是否适用：其他债权投资预期信用损失的确定方法及会计处理方法[双击切换]"/>
            <w:tag w:val="_GBC_5b7d7522696a4d8e96ffced48fe733e8"/>
            <w:id w:val="-562485501"/>
            <w:lock w:val="sdtLocked"/>
            <w:placeholder>
              <w:docPart w:val="GBC22222222222222222222222222222"/>
            </w:placeholder>
          </w:sdtPr>
          <w:sdtContent>
            <w:p w:rsidR="00806678" w:rsidRDefault="00F80B6C" w:rsidP="00274E95">
              <w:r>
                <w:fldChar w:fldCharType="begin"/>
              </w:r>
              <w:r w:rsidR="00274E95">
                <w:instrText xml:space="preserve"> MACROBUTTON  SnrToggleCheckbox □适用 </w:instrText>
              </w:r>
              <w:r>
                <w:fldChar w:fldCharType="end"/>
              </w:r>
              <w:r>
                <w:fldChar w:fldCharType="begin"/>
              </w:r>
              <w:r w:rsidR="00274E95">
                <w:instrText xml:space="preserve"> MACROBUTTON  SnrToggleCheckbox √不适用 </w:instrText>
              </w:r>
              <w:r>
                <w:fldChar w:fldCharType="end"/>
              </w:r>
            </w:p>
          </w:sdtContent>
        </w:sdt>
        <w:p w:rsidR="00806678" w:rsidRDefault="00F80B6C"/>
      </w:sdtContent>
    </w:sdt>
    <w:bookmarkEnd w:id="143" w:displacedByCustomXml="prev"/>
    <w:bookmarkStart w:id="144" w:name="_Hlk533667970" w:displacedByCustomXml="next"/>
    <w:sdt>
      <w:sdtPr>
        <w:rPr>
          <w:rFonts w:ascii="宋体" w:hAnsi="宋体" w:cs="宋体" w:hint="eastAsia"/>
          <w:b w:val="0"/>
          <w:bCs w:val="0"/>
          <w:kern w:val="0"/>
          <w:szCs w:val="24"/>
        </w:rPr>
        <w:alias w:val="模块:长期应收款"/>
        <w:tag w:val="_SEC_90d4e338ecdf40dbbf3e9d454acdaa20"/>
        <w:id w:val="579341085"/>
        <w:lock w:val="sdtLocked"/>
        <w:placeholder>
          <w:docPart w:val="GBC22222222222222222222222222222"/>
        </w:placeholder>
      </w:sdtPr>
      <w:sdtEndPr>
        <w:rPr>
          <w:rFonts w:hint="default"/>
        </w:rPr>
      </w:sdtEndPr>
      <w:sdtContent>
        <w:p w:rsidR="00806678" w:rsidRDefault="00B16377" w:rsidP="00FF17C7">
          <w:pPr>
            <w:pStyle w:val="3"/>
            <w:numPr>
              <w:ilvl w:val="0"/>
              <w:numId w:val="39"/>
            </w:numPr>
          </w:pPr>
          <w:r>
            <w:rPr>
              <w:rFonts w:hint="eastAsia"/>
            </w:rPr>
            <w:t>长期应收款</w:t>
          </w:r>
        </w:p>
        <w:p w:rsidR="00806678" w:rsidRDefault="00B16377" w:rsidP="00FF17C7">
          <w:pPr>
            <w:pStyle w:val="4"/>
            <w:numPr>
              <w:ilvl w:val="0"/>
              <w:numId w:val="116"/>
            </w:numPr>
          </w:pPr>
          <w:r>
            <w:rPr>
              <w:rFonts w:hint="eastAsia"/>
            </w:rPr>
            <w:t>长期应收款</w:t>
          </w:r>
          <w:r>
            <w:t>预期信用损失的确定方法</w:t>
          </w:r>
          <w:r>
            <w:rPr>
              <w:rFonts w:ascii="宋体" w:hAnsi="宋体" w:cs="Calibri"/>
              <w:szCs w:val="21"/>
            </w:rPr>
            <w:t>及会计处理方法</w:t>
          </w:r>
        </w:p>
        <w:sdt>
          <w:sdtPr>
            <w:alias w:val="是否适用：长期应收款预期信用损失的确定方法及会计处理方法[双击切换]"/>
            <w:tag w:val="_GBC_fa51423384c54160b6a244317cd66743"/>
            <w:id w:val="-1891876903"/>
            <w:lock w:val="sdtLocked"/>
            <w:placeholder>
              <w:docPart w:val="GBC22222222222222222222222222222"/>
            </w:placeholder>
          </w:sdtPr>
          <w:sdtContent>
            <w:p w:rsidR="00806678" w:rsidRDefault="00F80B6C" w:rsidP="00274E95">
              <w:r>
                <w:fldChar w:fldCharType="begin"/>
              </w:r>
              <w:r w:rsidR="00274E95">
                <w:instrText xml:space="preserve"> MACROBUTTON  SnrToggleCheckbox □适用 </w:instrText>
              </w:r>
              <w:r>
                <w:fldChar w:fldCharType="end"/>
              </w:r>
              <w:r>
                <w:fldChar w:fldCharType="begin"/>
              </w:r>
              <w:r w:rsidR="00274E95">
                <w:instrText xml:space="preserve"> MACROBUTTON  SnrToggleCheckbox √不适用 </w:instrText>
              </w:r>
              <w:r>
                <w:fldChar w:fldCharType="end"/>
              </w:r>
            </w:p>
          </w:sdtContent>
        </w:sdt>
        <w:p w:rsidR="00806678" w:rsidRDefault="00F80B6C"/>
      </w:sdtContent>
    </w:sdt>
    <w:bookmarkEnd w:id="144" w:displacedByCustomXml="prev"/>
    <w:sdt>
      <w:sdtPr>
        <w:rPr>
          <w:rFonts w:asciiTheme="minorHAnsi" w:hAnsiTheme="minorHAnsi" w:cstheme="minorBidi"/>
          <w:b w:val="0"/>
          <w:bCs w:val="0"/>
          <w:kern w:val="0"/>
          <w:szCs w:val="22"/>
        </w:rPr>
        <w:alias w:val="模块:长期股权投资"/>
        <w:tag w:val="_GBC_d82c12cf13554acd90dfb7880244798c"/>
        <w:id w:val="502020553"/>
        <w:lock w:val="sdtLocked"/>
        <w:placeholder>
          <w:docPart w:val="GBC22222222222222222222222222222"/>
        </w:placeholder>
      </w:sdtPr>
      <w:sdtEndPr>
        <w:rPr>
          <w:rFonts w:ascii="宋体" w:hAnsi="宋体" w:cs="Times New Roman"/>
          <w:szCs w:val="21"/>
        </w:rPr>
      </w:sdtEndPr>
      <w:sdtContent>
        <w:p w:rsidR="00806678" w:rsidRDefault="00B16377" w:rsidP="00FF17C7">
          <w:pPr>
            <w:pStyle w:val="3"/>
            <w:numPr>
              <w:ilvl w:val="0"/>
              <w:numId w:val="39"/>
            </w:numPr>
          </w:pPr>
          <w:r>
            <w:t>长期股权投资</w:t>
          </w:r>
        </w:p>
        <w:sdt>
          <w:sdtPr>
            <w:rPr>
              <w:rFonts w:hint="eastAsia"/>
              <w:szCs w:val="21"/>
            </w:rPr>
            <w:alias w:val="是否适用：长期股权投资_重要会计政策和估计[双击切换]"/>
            <w:tag w:val="_GBC_990faa4da4e64a5389a573293ba4981b"/>
            <w:id w:val="912589436"/>
            <w:lock w:val="sdtLocked"/>
            <w:placeholder>
              <w:docPart w:val="GBC22222222222222222222222222222"/>
            </w:placeholder>
          </w:sdtPr>
          <w:sdtContent>
            <w:p w:rsidR="000F33A9" w:rsidRDefault="00F80B6C">
              <w:pPr>
                <w:rPr>
                  <w:szCs w:val="21"/>
                </w:rPr>
              </w:pPr>
              <w:r>
                <w:rPr>
                  <w:szCs w:val="21"/>
                </w:rPr>
                <w:fldChar w:fldCharType="begin"/>
              </w:r>
              <w:r w:rsidR="00274E95">
                <w:rPr>
                  <w:szCs w:val="21"/>
                </w:rPr>
                <w:instrText xml:space="preserve"> MACROBUTTON  SnrToggleCheckbox √适用  </w:instrText>
              </w:r>
              <w:r>
                <w:rPr>
                  <w:szCs w:val="21"/>
                </w:rPr>
                <w:fldChar w:fldCharType="end"/>
              </w:r>
              <w:r>
                <w:rPr>
                  <w:szCs w:val="21"/>
                </w:rPr>
                <w:fldChar w:fldCharType="begin"/>
              </w:r>
              <w:r w:rsidR="00274E95">
                <w:rPr>
                  <w:szCs w:val="21"/>
                </w:rPr>
                <w:instrText xml:space="preserve"> MACROBUTTON  SnrToggleCheckbox □不适用 </w:instrText>
              </w:r>
              <w:r>
                <w:rPr>
                  <w:szCs w:val="21"/>
                </w:rPr>
                <w:fldChar w:fldCharType="end"/>
              </w:r>
            </w:p>
            <w:p w:rsidR="00806678" w:rsidRDefault="00F80B6C">
              <w:pPr>
                <w:rPr>
                  <w:szCs w:val="21"/>
                </w:rPr>
              </w:pPr>
            </w:p>
          </w:sdtContent>
        </w:sdt>
        <w:sdt>
          <w:sdtPr>
            <w:rPr>
              <w:szCs w:val="21"/>
            </w:rPr>
            <w:alias w:val="长期股权投资的核算方法"/>
            <w:tag w:val="_GBC_3e77074cd50946b1bccdff9bc1c9556f"/>
            <w:id w:val="835031590"/>
            <w:lock w:val="sdtLocked"/>
            <w:placeholder>
              <w:docPart w:val="GBC22222222222222222222222222222"/>
            </w:placeholder>
          </w:sdtPr>
          <w:sdtContent>
            <w:p w:rsidR="00274E95" w:rsidRPr="00C3641E" w:rsidRDefault="00274E95" w:rsidP="00274E95">
              <w:pPr>
                <w:rPr>
                  <w:szCs w:val="21"/>
                </w:rPr>
              </w:pPr>
              <w:r w:rsidRPr="00C3641E">
                <w:rPr>
                  <w:szCs w:val="21"/>
                </w:rPr>
                <w:t>(1)</w:t>
              </w:r>
              <w:r w:rsidRPr="00C3641E">
                <w:rPr>
                  <w:szCs w:val="21"/>
                </w:rPr>
                <w:tab/>
                <w:t>长期股权投资投资成本确定</w:t>
              </w:r>
            </w:p>
            <w:p w:rsidR="00274E95" w:rsidRPr="00C3641E" w:rsidRDefault="00274E95" w:rsidP="00274E95">
              <w:pPr>
                <w:rPr>
                  <w:szCs w:val="21"/>
                </w:rPr>
              </w:pPr>
            </w:p>
            <w:p w:rsidR="00274E95" w:rsidRPr="00C3641E" w:rsidRDefault="00274E95" w:rsidP="00274E95">
              <w:pPr>
                <w:rPr>
                  <w:szCs w:val="21"/>
                </w:rPr>
              </w:pPr>
              <w:r w:rsidRPr="00C3641E">
                <w:rPr>
                  <w:szCs w:val="21"/>
                </w:rPr>
                <w:t>(a)</w:t>
              </w:r>
              <w:r w:rsidRPr="00C3641E">
                <w:rPr>
                  <w:szCs w:val="21"/>
                </w:rPr>
                <w:tab/>
                <w:t>通过企业合并形成的长期股权投资</w:t>
              </w:r>
            </w:p>
            <w:p w:rsidR="00274E95" w:rsidRPr="00C3641E" w:rsidRDefault="00274E95" w:rsidP="00274E95">
              <w:pPr>
                <w:rPr>
                  <w:szCs w:val="21"/>
                </w:rPr>
              </w:pPr>
            </w:p>
            <w:p w:rsidR="00274E95" w:rsidRPr="00C3641E" w:rsidRDefault="00274E95" w:rsidP="00661D1E">
              <w:pPr>
                <w:pStyle w:val="34"/>
                <w:tabs>
                  <w:tab w:val="left" w:pos="284"/>
                </w:tabs>
                <w:overflowPunct w:val="0"/>
                <w:snapToGrid w:val="0"/>
                <w:ind w:left="284" w:hanging="284"/>
                <w:rPr>
                  <w:rFonts w:asciiTheme="majorEastAsia" w:eastAsiaTheme="majorEastAsia" w:hAnsiTheme="majorEastAsia" w:cs="Arial"/>
                  <w:sz w:val="21"/>
                  <w:szCs w:val="21"/>
                </w:rPr>
              </w:pPr>
              <w:r w:rsidRPr="00C3641E">
                <w:rPr>
                  <w:rFonts w:asciiTheme="majorEastAsia" w:eastAsiaTheme="majorEastAsia" w:hAnsiTheme="majorEastAsia" w:cs="Arial"/>
                  <w:sz w:val="21"/>
                  <w:szCs w:val="21"/>
                </w:rPr>
                <w:t>-</w:t>
              </w:r>
              <w:r w:rsidRPr="00C3641E">
                <w:rPr>
                  <w:rFonts w:asciiTheme="majorEastAsia" w:eastAsiaTheme="majorEastAsia" w:hAnsiTheme="majorEastAsia" w:cs="Arial"/>
                  <w:sz w:val="21"/>
                  <w:szCs w:val="21"/>
                </w:rPr>
                <w:tab/>
                <w:t>对于同一控制下的企业合并形成的对子公司的长期股权投资，本公司按照合并日取得的被合并方所有者权益在最终控制方合并财务报表中的账面价值的份额作为长期股权投资的初始投资成本。长期股权投资初始投资成本与支付对价账面价值之间的差额，调整资本公积中的股本溢价；资本公积中的股本溢价不足冲减时，调整留存收益。通过非一揽子的多次交易分步实现的同一控制下企业合并形成的对子公司的长期股权投资，本公司按上述原则确认的长期股权投资的初始投资成本与达到合并前的长期股权投资账面价值加上合并日进一步取得股份新支付对价的账面价值之和的差</w:t>
              </w:r>
              <w:r w:rsidRPr="00C3641E">
                <w:rPr>
                  <w:rFonts w:asciiTheme="majorEastAsia" w:eastAsiaTheme="majorEastAsia" w:hAnsiTheme="majorEastAsia" w:cs="Arial" w:hint="eastAsia"/>
                  <w:sz w:val="21"/>
                  <w:szCs w:val="21"/>
                </w:rPr>
                <w:t>额，调整资本公积中的股本溢价，资本公积中的股本溢价不足冲减时，调整留存收益。</w:t>
              </w:r>
            </w:p>
            <w:p w:rsidR="00274E95" w:rsidRPr="00C3641E" w:rsidRDefault="00274E95" w:rsidP="00661D1E">
              <w:pPr>
                <w:pStyle w:val="34"/>
                <w:tabs>
                  <w:tab w:val="left" w:pos="284"/>
                </w:tabs>
                <w:overflowPunct w:val="0"/>
                <w:snapToGrid w:val="0"/>
                <w:ind w:left="284" w:hanging="284"/>
                <w:rPr>
                  <w:rFonts w:asciiTheme="majorEastAsia" w:eastAsiaTheme="majorEastAsia" w:hAnsiTheme="majorEastAsia" w:cs="Arial"/>
                  <w:sz w:val="21"/>
                  <w:szCs w:val="21"/>
                </w:rPr>
              </w:pPr>
            </w:p>
            <w:p w:rsidR="00274E95" w:rsidRPr="00C3641E" w:rsidRDefault="00274E95" w:rsidP="00661D1E">
              <w:pPr>
                <w:pStyle w:val="34"/>
                <w:tabs>
                  <w:tab w:val="left" w:pos="284"/>
                </w:tabs>
                <w:overflowPunct w:val="0"/>
                <w:snapToGrid w:val="0"/>
                <w:ind w:left="284" w:hanging="284"/>
                <w:rPr>
                  <w:rFonts w:asciiTheme="majorEastAsia" w:eastAsiaTheme="majorEastAsia" w:hAnsiTheme="majorEastAsia" w:cs="Arial"/>
                  <w:sz w:val="21"/>
                  <w:szCs w:val="21"/>
                </w:rPr>
              </w:pPr>
              <w:r w:rsidRPr="00C3641E">
                <w:rPr>
                  <w:rFonts w:asciiTheme="majorEastAsia" w:eastAsiaTheme="majorEastAsia" w:hAnsiTheme="majorEastAsia" w:cs="Arial"/>
                  <w:sz w:val="21"/>
                  <w:szCs w:val="21"/>
                </w:rPr>
                <w:t>-</w:t>
              </w:r>
              <w:r w:rsidRPr="00C3641E">
                <w:rPr>
                  <w:rFonts w:asciiTheme="majorEastAsia" w:eastAsiaTheme="majorEastAsia" w:hAnsiTheme="majorEastAsia" w:cs="Arial"/>
                  <w:sz w:val="21"/>
                  <w:szCs w:val="21"/>
                </w:rPr>
                <w:tab/>
                <w:t>对于非同一控制下企业合并形成的对子公司的长期股权投资，本公司按照购买日取得对被购买方的控制权而付出的资产、发生或承担的负债以及发行的权益性证券的公允价值，作为该投资的初始投资成本。通过非一揽子的多次交易分步实现的非同一控制下企业合并形成的对子公司的长期股权投资，其初始投资成本为本公司购买日之前所持被购买方的股权投资的账面价值与购买日新增投资成本之和。</w:t>
              </w:r>
            </w:p>
            <w:p w:rsidR="00274E95" w:rsidRPr="00C3641E" w:rsidRDefault="00274E95" w:rsidP="00274E95">
              <w:pPr>
                <w:rPr>
                  <w:szCs w:val="21"/>
                </w:rPr>
              </w:pPr>
            </w:p>
            <w:p w:rsidR="00274E95" w:rsidRPr="00C3641E" w:rsidRDefault="00274E95" w:rsidP="00274E95">
              <w:pPr>
                <w:rPr>
                  <w:szCs w:val="21"/>
                </w:rPr>
              </w:pPr>
              <w:r w:rsidRPr="00C3641E">
                <w:rPr>
                  <w:szCs w:val="21"/>
                </w:rPr>
                <w:t>(b)</w:t>
              </w:r>
              <w:r w:rsidRPr="00C3641E">
                <w:rPr>
                  <w:szCs w:val="21"/>
                </w:rPr>
                <w:tab/>
                <w:t>其他方式取得的长期股权投资</w:t>
              </w:r>
            </w:p>
            <w:p w:rsidR="00274E95" w:rsidRPr="00C3641E" w:rsidRDefault="00274E95" w:rsidP="00274E95">
              <w:pPr>
                <w:rPr>
                  <w:szCs w:val="21"/>
                </w:rPr>
              </w:pPr>
            </w:p>
            <w:p w:rsidR="00274E95" w:rsidRPr="00C3641E" w:rsidRDefault="00274E95" w:rsidP="00661D1E">
              <w:pPr>
                <w:pStyle w:val="34"/>
                <w:tabs>
                  <w:tab w:val="left" w:pos="284"/>
                </w:tabs>
                <w:overflowPunct w:val="0"/>
                <w:snapToGrid w:val="0"/>
                <w:ind w:left="284" w:hanging="284"/>
                <w:rPr>
                  <w:rFonts w:asciiTheme="majorEastAsia" w:eastAsiaTheme="majorEastAsia" w:hAnsiTheme="majorEastAsia" w:cs="Arial"/>
                  <w:sz w:val="21"/>
                  <w:szCs w:val="21"/>
                </w:rPr>
              </w:pPr>
              <w:r w:rsidRPr="00C3641E">
                <w:rPr>
                  <w:rFonts w:asciiTheme="majorEastAsia" w:eastAsiaTheme="majorEastAsia" w:hAnsiTheme="majorEastAsia" w:cs="Arial"/>
                  <w:sz w:val="21"/>
                  <w:szCs w:val="21"/>
                </w:rPr>
                <w:t>-</w:t>
              </w:r>
              <w:r w:rsidRPr="00C3641E">
                <w:rPr>
                  <w:rFonts w:asciiTheme="majorEastAsia" w:eastAsiaTheme="majorEastAsia" w:hAnsiTheme="majorEastAsia" w:cs="Arial"/>
                  <w:sz w:val="21"/>
                  <w:szCs w:val="21"/>
                </w:rPr>
                <w:tab/>
                <w:t>对于通过企业合并以外的其他方式取得的长期股权投资，在初始确认时，对于以支付现金取得的长期股权投资，本集团按照实际支付的购买价款作为初始投资成本；对于发行权益性证券取得的长期股权投资，本集团按照发行权益性证券的公允价值作为初始投资成本。</w:t>
              </w:r>
            </w:p>
            <w:p w:rsidR="00274E95" w:rsidRPr="00C3641E" w:rsidRDefault="00274E95" w:rsidP="00274E95">
              <w:pPr>
                <w:rPr>
                  <w:szCs w:val="21"/>
                </w:rPr>
              </w:pPr>
            </w:p>
            <w:p w:rsidR="00274E95" w:rsidRPr="00C3641E" w:rsidRDefault="00274E95" w:rsidP="00274E95">
              <w:pPr>
                <w:rPr>
                  <w:szCs w:val="21"/>
                </w:rPr>
              </w:pPr>
              <w:r w:rsidRPr="00C3641E">
                <w:rPr>
                  <w:szCs w:val="21"/>
                </w:rPr>
                <w:t>(2)</w:t>
              </w:r>
              <w:r w:rsidRPr="00C3641E">
                <w:rPr>
                  <w:szCs w:val="21"/>
                </w:rPr>
                <w:tab/>
                <w:t>长期股权投资后续计量及损益确认方法</w:t>
              </w:r>
            </w:p>
            <w:p w:rsidR="00274E95" w:rsidRPr="00C3641E" w:rsidRDefault="00274E95" w:rsidP="00274E95">
              <w:pPr>
                <w:rPr>
                  <w:szCs w:val="21"/>
                </w:rPr>
              </w:pPr>
            </w:p>
            <w:p w:rsidR="00274E95" w:rsidRPr="00C3641E" w:rsidRDefault="00274E95" w:rsidP="00274E95">
              <w:pPr>
                <w:rPr>
                  <w:szCs w:val="21"/>
                </w:rPr>
              </w:pPr>
              <w:r w:rsidRPr="00C3641E">
                <w:rPr>
                  <w:szCs w:val="21"/>
                </w:rPr>
                <w:t>(a)</w:t>
              </w:r>
              <w:r w:rsidRPr="00C3641E">
                <w:rPr>
                  <w:szCs w:val="21"/>
                </w:rPr>
                <w:tab/>
                <w:t>对子公司的投资</w:t>
              </w:r>
            </w:p>
            <w:p w:rsidR="00274E95" w:rsidRPr="00C3641E" w:rsidRDefault="00274E95" w:rsidP="00274E95">
              <w:pPr>
                <w:rPr>
                  <w:szCs w:val="21"/>
                </w:rPr>
              </w:pPr>
            </w:p>
            <w:p w:rsidR="00274E95" w:rsidRPr="00274E95" w:rsidRDefault="00274E95" w:rsidP="00274E95">
              <w:pPr>
                <w:rPr>
                  <w:szCs w:val="21"/>
                </w:rPr>
              </w:pPr>
              <w:r w:rsidRPr="00C3641E">
                <w:rPr>
                  <w:rFonts w:hint="eastAsia"/>
                  <w:szCs w:val="21"/>
                </w:rPr>
                <w:t>在本公司个别财务报表中，本公司采用成本法对子公司的长期股权投资进行后续计量，除非投资符合持有待售的条件</w:t>
              </w:r>
              <w:r w:rsidRPr="00C3641E">
                <w:rPr>
                  <w:szCs w:val="21"/>
                </w:rPr>
                <w:t xml:space="preserve"> (参见附注</w:t>
              </w:r>
              <w:r w:rsidR="000F33A9" w:rsidRPr="00C3641E">
                <w:rPr>
                  <w:rFonts w:hint="eastAsia"/>
                  <w:szCs w:val="21"/>
                </w:rPr>
                <w:t>五</w:t>
              </w:r>
              <w:r w:rsidRPr="00C3641E">
                <w:rPr>
                  <w:szCs w:val="21"/>
                </w:rPr>
                <w:t>、</w:t>
              </w:r>
              <w:r w:rsidR="000F33A9" w:rsidRPr="00C3641E">
                <w:rPr>
                  <w:szCs w:val="21"/>
                </w:rPr>
                <w:t>17</w:t>
              </w:r>
              <w:r w:rsidRPr="00C3641E">
                <w:rPr>
                  <w:szCs w:val="21"/>
                </w:rPr>
                <w:t>) 。对被投资单位宣告分派的现金股利或利润由本公司享</w:t>
              </w:r>
              <w:r w:rsidRPr="00274E95">
                <w:rPr>
                  <w:szCs w:val="21"/>
                </w:rPr>
                <w:t>有的部分确认为当期投资收益，但取得投资时实际支付的价款或对价中包含的已宣告但尚未发放的现金股利或利润除外。</w:t>
              </w:r>
            </w:p>
            <w:p w:rsidR="00274E95" w:rsidRPr="00274E95" w:rsidRDefault="00274E95" w:rsidP="00274E95">
              <w:pPr>
                <w:rPr>
                  <w:szCs w:val="21"/>
                </w:rPr>
              </w:pPr>
            </w:p>
            <w:p w:rsidR="00274E95" w:rsidRPr="00274E95" w:rsidRDefault="00274E95" w:rsidP="00C3641E">
              <w:pPr>
                <w:pStyle w:val="34"/>
                <w:tabs>
                  <w:tab w:val="left" w:pos="284"/>
                </w:tabs>
                <w:overflowPunct w:val="0"/>
                <w:snapToGrid w:val="0"/>
                <w:ind w:left="284" w:hanging="284"/>
                <w:rPr>
                  <w:szCs w:val="21"/>
                </w:rPr>
              </w:pPr>
              <w:r w:rsidRPr="00274E95">
                <w:rPr>
                  <w:rFonts w:hint="eastAsia"/>
                  <w:szCs w:val="21"/>
                </w:rPr>
                <w:t>对子公司的投资按照</w:t>
              </w:r>
              <w:r w:rsidRPr="00C3641E">
                <w:rPr>
                  <w:rFonts w:asciiTheme="majorEastAsia" w:eastAsiaTheme="majorEastAsia" w:hAnsiTheme="majorEastAsia" w:cs="Arial" w:hint="eastAsia"/>
                  <w:sz w:val="21"/>
                  <w:szCs w:val="21"/>
                </w:rPr>
                <w:t>成本</w:t>
              </w:r>
              <w:r w:rsidRPr="00274E95">
                <w:rPr>
                  <w:rFonts w:hint="eastAsia"/>
                  <w:szCs w:val="21"/>
                </w:rPr>
                <w:t>减去减值准备后在资产负债表内列示。</w:t>
              </w:r>
            </w:p>
            <w:p w:rsidR="00274E95" w:rsidRPr="00274E95" w:rsidRDefault="00274E95" w:rsidP="00274E95">
              <w:pPr>
                <w:rPr>
                  <w:szCs w:val="21"/>
                </w:rPr>
              </w:pPr>
            </w:p>
            <w:p w:rsidR="00274E95" w:rsidRPr="00274E95" w:rsidRDefault="00274E95" w:rsidP="00274E95">
              <w:pPr>
                <w:rPr>
                  <w:szCs w:val="21"/>
                </w:rPr>
              </w:pPr>
              <w:r w:rsidRPr="00274E95">
                <w:rPr>
                  <w:rFonts w:hint="eastAsia"/>
                  <w:szCs w:val="21"/>
                </w:rPr>
                <w:t>对子公司投资的减值测试方法及减值准备计提方法参见附注</w:t>
              </w:r>
              <w:r w:rsidR="000F33A9">
                <w:rPr>
                  <w:rFonts w:hint="eastAsia"/>
                  <w:szCs w:val="21"/>
                </w:rPr>
                <w:t>五</w:t>
              </w:r>
              <w:r w:rsidRPr="00274E95">
                <w:rPr>
                  <w:rFonts w:hint="eastAsia"/>
                  <w:szCs w:val="21"/>
                </w:rPr>
                <w:t>、</w:t>
              </w:r>
              <w:r w:rsidR="000F33A9">
                <w:rPr>
                  <w:szCs w:val="21"/>
                </w:rPr>
                <w:t>30</w:t>
              </w:r>
              <w:r w:rsidRPr="00274E95">
                <w:rPr>
                  <w:szCs w:val="21"/>
                </w:rPr>
                <w:t>。</w:t>
              </w:r>
            </w:p>
            <w:p w:rsidR="00274E95" w:rsidRPr="00274E95" w:rsidRDefault="00274E95" w:rsidP="00274E95">
              <w:pPr>
                <w:rPr>
                  <w:szCs w:val="21"/>
                </w:rPr>
              </w:pPr>
              <w:r w:rsidRPr="00274E95">
                <w:rPr>
                  <w:rFonts w:hint="eastAsia"/>
                  <w:szCs w:val="21"/>
                </w:rPr>
                <w:t>在本集团合并财务报表中，对子公司按附注</w:t>
              </w:r>
              <w:r w:rsidR="000F33A9">
                <w:rPr>
                  <w:rFonts w:hint="eastAsia"/>
                  <w:szCs w:val="21"/>
                </w:rPr>
                <w:t>五</w:t>
              </w:r>
              <w:r w:rsidRPr="00274E95">
                <w:rPr>
                  <w:rFonts w:hint="eastAsia"/>
                  <w:szCs w:val="21"/>
                </w:rPr>
                <w:t>、</w:t>
              </w:r>
              <w:r w:rsidR="000F33A9">
                <w:rPr>
                  <w:szCs w:val="21"/>
                </w:rPr>
                <w:t>6</w:t>
              </w:r>
              <w:r w:rsidRPr="00274E95">
                <w:rPr>
                  <w:szCs w:val="21"/>
                </w:rPr>
                <w:t>进行处理。</w:t>
              </w:r>
            </w:p>
            <w:p w:rsidR="00274E95" w:rsidRPr="00274E95" w:rsidRDefault="00274E95" w:rsidP="00274E95">
              <w:pPr>
                <w:rPr>
                  <w:szCs w:val="21"/>
                </w:rPr>
              </w:pPr>
            </w:p>
            <w:p w:rsidR="00274E95" w:rsidRPr="00274E95" w:rsidRDefault="00274E95" w:rsidP="00274E95">
              <w:pPr>
                <w:rPr>
                  <w:szCs w:val="21"/>
                </w:rPr>
              </w:pPr>
              <w:r w:rsidRPr="00274E95">
                <w:rPr>
                  <w:szCs w:val="21"/>
                </w:rPr>
                <w:t>(b)</w:t>
              </w:r>
              <w:r w:rsidRPr="00274E95">
                <w:rPr>
                  <w:szCs w:val="21"/>
                </w:rPr>
                <w:tab/>
                <w:t>对合营企业和联营企业的投资</w:t>
              </w:r>
            </w:p>
            <w:p w:rsidR="00274E95" w:rsidRPr="00274E95" w:rsidRDefault="00274E95" w:rsidP="00274E95">
              <w:pPr>
                <w:rPr>
                  <w:szCs w:val="21"/>
                </w:rPr>
              </w:pPr>
            </w:p>
            <w:p w:rsidR="00274E95" w:rsidRPr="00274E95" w:rsidRDefault="00274E95" w:rsidP="00274E95">
              <w:pPr>
                <w:rPr>
                  <w:szCs w:val="21"/>
                </w:rPr>
              </w:pPr>
              <w:r w:rsidRPr="00274E95">
                <w:rPr>
                  <w:rFonts w:hint="eastAsia"/>
                  <w:szCs w:val="21"/>
                </w:rPr>
                <w:t>合营企业指本集团与其他合营方共同控制</w:t>
              </w:r>
              <w:r w:rsidRPr="00274E95">
                <w:rPr>
                  <w:szCs w:val="21"/>
                </w:rPr>
                <w:t xml:space="preserve"> (参见附注</w:t>
              </w:r>
              <w:r w:rsidR="000F33A9">
                <w:rPr>
                  <w:rFonts w:hint="eastAsia"/>
                  <w:szCs w:val="21"/>
                </w:rPr>
                <w:t>五</w:t>
              </w:r>
              <w:r w:rsidRPr="00274E95">
                <w:rPr>
                  <w:szCs w:val="21"/>
                </w:rPr>
                <w:t>、</w:t>
              </w:r>
              <w:r w:rsidR="000F33A9">
                <w:rPr>
                  <w:szCs w:val="21"/>
                </w:rPr>
                <w:t>21</w:t>
              </w:r>
              <w:r w:rsidRPr="00274E95">
                <w:rPr>
                  <w:szCs w:val="21"/>
                </w:rPr>
                <w:t>(3)) 且仅对其净资产享有权利的一项安排。</w:t>
              </w:r>
            </w:p>
            <w:p w:rsidR="00274E95" w:rsidRPr="00274E95" w:rsidRDefault="00274E95" w:rsidP="00274E95">
              <w:pPr>
                <w:rPr>
                  <w:szCs w:val="21"/>
                </w:rPr>
              </w:pPr>
            </w:p>
            <w:p w:rsidR="00274E95" w:rsidRPr="00274E95" w:rsidRDefault="00274E95" w:rsidP="00274E95">
              <w:pPr>
                <w:rPr>
                  <w:szCs w:val="21"/>
                </w:rPr>
              </w:pPr>
              <w:r w:rsidRPr="00274E95">
                <w:rPr>
                  <w:rFonts w:hint="eastAsia"/>
                  <w:szCs w:val="21"/>
                </w:rPr>
                <w:t>联营企业指本集团能够对其施加重大影响</w:t>
              </w:r>
              <w:r w:rsidRPr="00274E95">
                <w:rPr>
                  <w:szCs w:val="21"/>
                </w:rPr>
                <w:t xml:space="preserve"> (参见附注</w:t>
              </w:r>
              <w:r w:rsidR="000F33A9">
                <w:rPr>
                  <w:rFonts w:hint="eastAsia"/>
                  <w:szCs w:val="21"/>
                </w:rPr>
                <w:t>五</w:t>
              </w:r>
              <w:r w:rsidRPr="00274E95">
                <w:rPr>
                  <w:szCs w:val="21"/>
                </w:rPr>
                <w:t>、</w:t>
              </w:r>
              <w:r w:rsidR="000F33A9">
                <w:rPr>
                  <w:szCs w:val="21"/>
                </w:rPr>
                <w:t>21</w:t>
              </w:r>
              <w:r w:rsidRPr="00274E95">
                <w:rPr>
                  <w:szCs w:val="21"/>
                </w:rPr>
                <w:t>(3)) 的企业。</w:t>
              </w:r>
            </w:p>
            <w:p w:rsidR="00274E95" w:rsidRPr="00274E95" w:rsidRDefault="00274E95" w:rsidP="00274E95">
              <w:pPr>
                <w:rPr>
                  <w:szCs w:val="21"/>
                </w:rPr>
              </w:pPr>
            </w:p>
            <w:p w:rsidR="00274E95" w:rsidRPr="00C3641E" w:rsidRDefault="00274E95" w:rsidP="00274E95">
              <w:pPr>
                <w:rPr>
                  <w:szCs w:val="21"/>
                </w:rPr>
              </w:pPr>
              <w:r w:rsidRPr="00C3641E">
                <w:rPr>
                  <w:rFonts w:hint="eastAsia"/>
                  <w:szCs w:val="21"/>
                </w:rPr>
                <w:t>后续计量时，对合营企业和联营企业的长期股权投资采用权益法核算，除非投资符合持有待售的条件</w:t>
              </w:r>
              <w:r w:rsidRPr="00C3641E">
                <w:rPr>
                  <w:szCs w:val="21"/>
                </w:rPr>
                <w:t xml:space="preserve"> (参见附注</w:t>
              </w:r>
              <w:r w:rsidR="000F33A9" w:rsidRPr="00C3641E">
                <w:rPr>
                  <w:rFonts w:hint="eastAsia"/>
                  <w:szCs w:val="21"/>
                </w:rPr>
                <w:t>五</w:t>
              </w:r>
              <w:r w:rsidRPr="00C3641E">
                <w:rPr>
                  <w:szCs w:val="21"/>
                </w:rPr>
                <w:t>、</w:t>
              </w:r>
              <w:r w:rsidR="000F33A9" w:rsidRPr="00C3641E">
                <w:rPr>
                  <w:szCs w:val="21"/>
                </w:rPr>
                <w:t>17</w:t>
              </w:r>
              <w:r w:rsidRPr="00C3641E">
                <w:rPr>
                  <w:szCs w:val="21"/>
                </w:rPr>
                <w:t>) 。</w:t>
              </w:r>
            </w:p>
            <w:p w:rsidR="00274E95" w:rsidRPr="00C3641E" w:rsidRDefault="00274E95" w:rsidP="00274E95">
              <w:pPr>
                <w:rPr>
                  <w:szCs w:val="21"/>
                </w:rPr>
              </w:pPr>
            </w:p>
            <w:p w:rsidR="00274E95" w:rsidRPr="00C3641E" w:rsidRDefault="00274E95" w:rsidP="00274E95">
              <w:pPr>
                <w:rPr>
                  <w:szCs w:val="21"/>
                </w:rPr>
              </w:pPr>
              <w:r w:rsidRPr="00C3641E">
                <w:rPr>
                  <w:rFonts w:hint="eastAsia"/>
                  <w:szCs w:val="21"/>
                </w:rPr>
                <w:t>本集团在采用权益法核算时的具体会计处理包括：</w:t>
              </w:r>
            </w:p>
            <w:p w:rsidR="00274E95" w:rsidRPr="00C3641E" w:rsidRDefault="00274E95" w:rsidP="00274E95">
              <w:pPr>
                <w:rPr>
                  <w:szCs w:val="21"/>
                </w:rPr>
              </w:pPr>
            </w:p>
            <w:p w:rsidR="00274E95" w:rsidRPr="00C3641E" w:rsidRDefault="00274E95" w:rsidP="00B84689">
              <w:pPr>
                <w:pStyle w:val="34"/>
                <w:tabs>
                  <w:tab w:val="left" w:pos="284"/>
                </w:tabs>
                <w:overflowPunct w:val="0"/>
                <w:snapToGrid w:val="0"/>
                <w:spacing w:after="0"/>
                <w:ind w:left="284" w:hanging="284"/>
                <w:rPr>
                  <w:rFonts w:asciiTheme="majorEastAsia" w:eastAsiaTheme="majorEastAsia" w:hAnsiTheme="majorEastAsia" w:cs="Arial"/>
                  <w:sz w:val="21"/>
                  <w:szCs w:val="21"/>
                </w:rPr>
              </w:pPr>
              <w:r w:rsidRPr="00C3641E">
                <w:rPr>
                  <w:rFonts w:asciiTheme="majorEastAsia" w:eastAsiaTheme="majorEastAsia" w:hAnsiTheme="majorEastAsia" w:cs="Arial"/>
                  <w:sz w:val="21"/>
                  <w:szCs w:val="21"/>
                </w:rPr>
                <w:t>-</w:t>
              </w:r>
              <w:r w:rsidRPr="00C3641E">
                <w:rPr>
                  <w:rFonts w:asciiTheme="majorEastAsia" w:eastAsiaTheme="majorEastAsia" w:hAnsiTheme="majorEastAsia" w:cs="Arial"/>
                  <w:sz w:val="21"/>
                  <w:szCs w:val="21"/>
                </w:rPr>
                <w:tab/>
                <w:t>对于长期股权投资的初始投资成本大于投资时应享有被投资单位可辨认净资产公允价值份额的，以前者作为长期股权投资的成本；对于长期股权投资的初始投资成本小于投资时应享有被投资单位可辨认净资产公允价值份额的，以后者作为长期股权投资的成本，长期股权投资的成本与初始投资成本的差额计入当期损益。</w:t>
              </w:r>
            </w:p>
            <w:p w:rsidR="00274E95" w:rsidRPr="00C3641E" w:rsidRDefault="00274E95" w:rsidP="00661D1E">
              <w:pPr>
                <w:pStyle w:val="34"/>
                <w:tabs>
                  <w:tab w:val="left" w:pos="284"/>
                </w:tabs>
                <w:overflowPunct w:val="0"/>
                <w:snapToGrid w:val="0"/>
                <w:ind w:left="284" w:hanging="284"/>
                <w:rPr>
                  <w:rFonts w:asciiTheme="majorEastAsia" w:eastAsiaTheme="majorEastAsia" w:hAnsiTheme="majorEastAsia" w:cs="Arial"/>
                  <w:sz w:val="21"/>
                  <w:szCs w:val="21"/>
                </w:rPr>
              </w:pPr>
            </w:p>
            <w:p w:rsidR="00274E95" w:rsidRPr="00C3641E" w:rsidRDefault="00274E95" w:rsidP="00B84689">
              <w:pPr>
                <w:pStyle w:val="34"/>
                <w:tabs>
                  <w:tab w:val="left" w:pos="284"/>
                </w:tabs>
                <w:overflowPunct w:val="0"/>
                <w:snapToGrid w:val="0"/>
                <w:spacing w:after="0"/>
                <w:ind w:left="284" w:hanging="284"/>
                <w:rPr>
                  <w:rFonts w:asciiTheme="majorEastAsia" w:eastAsiaTheme="majorEastAsia" w:hAnsiTheme="majorEastAsia" w:cs="Arial"/>
                  <w:sz w:val="21"/>
                  <w:szCs w:val="21"/>
                </w:rPr>
              </w:pPr>
              <w:r w:rsidRPr="00C3641E">
                <w:rPr>
                  <w:rFonts w:asciiTheme="majorEastAsia" w:eastAsiaTheme="majorEastAsia" w:hAnsiTheme="majorEastAsia" w:cs="Arial"/>
                  <w:sz w:val="21"/>
                  <w:szCs w:val="21"/>
                </w:rPr>
                <w:lastRenderedPageBreak/>
                <w:t>-</w:t>
              </w:r>
              <w:r w:rsidRPr="00C3641E">
                <w:rPr>
                  <w:rFonts w:asciiTheme="majorEastAsia" w:eastAsiaTheme="majorEastAsia" w:hAnsiTheme="majorEastAsia" w:cs="Arial"/>
                  <w:sz w:val="21"/>
                  <w:szCs w:val="21"/>
                </w:rPr>
                <w:tab/>
                <w:t>取得对合营企业和联营企业投资后，本集团按照应享有或应分担的被投资单位实现的净损益和其他综合收益的份额，分别确认投资损益和其他综合收益并调整长期股权投资的账面价值；按照被投资单位宣告分派的利润或现金股利计算应分得的部分，相应减少长期股权投资的账面价值。对合营企业或联营企业除净损益、其他综合收益和利润分配以外所有者权益的其他变动 (以下简称“其他所有者权益变动”)，本集团按照应享有或应分担的份额计入股东权益，并同时调整长期股权投资的账面价值。</w:t>
              </w:r>
            </w:p>
            <w:p w:rsidR="00274E95" w:rsidRPr="00C3641E" w:rsidRDefault="00274E95" w:rsidP="00274E95">
              <w:pPr>
                <w:rPr>
                  <w:szCs w:val="21"/>
                </w:rPr>
              </w:pPr>
              <w:r w:rsidRPr="00C3641E">
                <w:rPr>
                  <w:szCs w:val="21"/>
                </w:rPr>
                <w:t> </w:t>
              </w:r>
            </w:p>
            <w:p w:rsidR="00274E95" w:rsidRPr="00C3641E" w:rsidRDefault="00274E95" w:rsidP="00B84689">
              <w:pPr>
                <w:pStyle w:val="34"/>
                <w:tabs>
                  <w:tab w:val="left" w:pos="284"/>
                </w:tabs>
                <w:overflowPunct w:val="0"/>
                <w:snapToGrid w:val="0"/>
                <w:spacing w:after="0"/>
                <w:ind w:left="284" w:hanging="284"/>
                <w:rPr>
                  <w:rFonts w:asciiTheme="majorEastAsia" w:eastAsiaTheme="majorEastAsia" w:hAnsiTheme="majorEastAsia" w:cs="Arial"/>
                  <w:sz w:val="21"/>
                  <w:szCs w:val="21"/>
                </w:rPr>
              </w:pPr>
              <w:r w:rsidRPr="00C3641E">
                <w:rPr>
                  <w:rFonts w:asciiTheme="majorEastAsia" w:eastAsiaTheme="majorEastAsia" w:hAnsiTheme="majorEastAsia" w:cs="Arial"/>
                  <w:sz w:val="21"/>
                  <w:szCs w:val="21"/>
                </w:rPr>
                <w:t>-</w:t>
              </w:r>
              <w:r w:rsidRPr="00C3641E">
                <w:rPr>
                  <w:rFonts w:asciiTheme="majorEastAsia" w:eastAsiaTheme="majorEastAsia" w:hAnsiTheme="majorEastAsia" w:cs="Arial"/>
                  <w:sz w:val="21"/>
                  <w:szCs w:val="21"/>
                </w:rPr>
                <w:tab/>
                <w:t>在计算应享有或应分担的被投资单位实现的净损益、其他综合收益及其他所有者权益变动的份额时，本集团以取得投资时被投资单位可辨认净资产公允价值为基础，按照本集团的会计政策或会计期间进行必要调整后确认投资收益和其他综合收益等。本集团与联营企业及合营企业之间内部交易产生的未实现损益按照应享有的比例计算归属于本集团的部分，在权益法核算时予以抵销。内部交易产生的未实现损失，有证据表明该损失是相关资产减值损失的，则全额确认该损失。</w:t>
              </w:r>
            </w:p>
            <w:p w:rsidR="00274E95" w:rsidRPr="00C3641E" w:rsidRDefault="00274E95" w:rsidP="00661D1E">
              <w:pPr>
                <w:pStyle w:val="34"/>
                <w:tabs>
                  <w:tab w:val="left" w:pos="284"/>
                </w:tabs>
                <w:overflowPunct w:val="0"/>
                <w:snapToGrid w:val="0"/>
                <w:ind w:left="284" w:hanging="284"/>
                <w:rPr>
                  <w:rFonts w:asciiTheme="majorEastAsia" w:eastAsiaTheme="majorEastAsia" w:hAnsiTheme="majorEastAsia" w:cs="Arial"/>
                  <w:sz w:val="21"/>
                  <w:szCs w:val="21"/>
                </w:rPr>
              </w:pPr>
            </w:p>
            <w:p w:rsidR="00274E95" w:rsidRPr="00C3641E" w:rsidRDefault="00274E95" w:rsidP="00B84689">
              <w:pPr>
                <w:pStyle w:val="34"/>
                <w:tabs>
                  <w:tab w:val="left" w:pos="284"/>
                </w:tabs>
                <w:overflowPunct w:val="0"/>
                <w:snapToGrid w:val="0"/>
                <w:spacing w:after="0"/>
                <w:ind w:left="284" w:hanging="284"/>
                <w:rPr>
                  <w:rFonts w:asciiTheme="majorEastAsia" w:eastAsiaTheme="majorEastAsia" w:hAnsiTheme="majorEastAsia" w:cs="Arial"/>
                  <w:sz w:val="21"/>
                  <w:szCs w:val="21"/>
                </w:rPr>
              </w:pPr>
              <w:r w:rsidRPr="00C3641E">
                <w:rPr>
                  <w:rFonts w:asciiTheme="majorEastAsia" w:eastAsiaTheme="majorEastAsia" w:hAnsiTheme="majorEastAsia" w:cs="Arial"/>
                  <w:sz w:val="21"/>
                  <w:szCs w:val="21"/>
                </w:rPr>
                <w:t>-</w:t>
              </w:r>
              <w:r w:rsidRPr="00C3641E">
                <w:rPr>
                  <w:rFonts w:asciiTheme="majorEastAsia" w:eastAsiaTheme="majorEastAsia" w:hAnsiTheme="majorEastAsia" w:cs="Arial"/>
                  <w:sz w:val="21"/>
                  <w:szCs w:val="21"/>
                </w:rPr>
                <w:tab/>
                <w:t>本集团对合营企业或联营企业发生的净亏损，除本集团负有承担额外损失义务外，以长期股权投资的账面价值以及其他实质上构成对合营企业或联营企业净投资的长期权益减记至零为限。合营企业或联营企业以后实现净利润的，本集团在收益分享额弥补未确认的亏损分担额后，恢复确认收益分享额。</w:t>
              </w:r>
            </w:p>
            <w:p w:rsidR="00274E95" w:rsidRPr="00C3641E" w:rsidRDefault="00274E95" w:rsidP="00274E95">
              <w:pPr>
                <w:rPr>
                  <w:szCs w:val="21"/>
                </w:rPr>
              </w:pPr>
            </w:p>
            <w:p w:rsidR="00274E95" w:rsidRPr="00C3641E" w:rsidRDefault="00274E95" w:rsidP="00274E95">
              <w:pPr>
                <w:rPr>
                  <w:szCs w:val="21"/>
                </w:rPr>
              </w:pPr>
              <w:r w:rsidRPr="00C3641E">
                <w:rPr>
                  <w:rFonts w:hint="eastAsia"/>
                  <w:szCs w:val="21"/>
                </w:rPr>
                <w:t>本集团对合营企业和联营企业投资的减值测试方法及减值准备计提方法参见附注</w:t>
              </w:r>
              <w:r w:rsidR="000F33A9" w:rsidRPr="00C3641E">
                <w:rPr>
                  <w:rFonts w:hint="eastAsia"/>
                  <w:szCs w:val="21"/>
                </w:rPr>
                <w:t>五</w:t>
              </w:r>
              <w:r w:rsidRPr="00C3641E">
                <w:rPr>
                  <w:rFonts w:hint="eastAsia"/>
                  <w:szCs w:val="21"/>
                </w:rPr>
                <w:t>、</w:t>
              </w:r>
              <w:r w:rsidR="000F33A9" w:rsidRPr="00C3641E">
                <w:rPr>
                  <w:szCs w:val="21"/>
                </w:rPr>
                <w:t>30</w:t>
              </w:r>
              <w:r w:rsidRPr="00C3641E">
                <w:rPr>
                  <w:szCs w:val="21"/>
                </w:rPr>
                <w:t>。</w:t>
              </w:r>
            </w:p>
            <w:p w:rsidR="00274E95" w:rsidRPr="00C3641E" w:rsidRDefault="00274E95" w:rsidP="00274E95">
              <w:pPr>
                <w:rPr>
                  <w:szCs w:val="21"/>
                </w:rPr>
              </w:pPr>
            </w:p>
            <w:p w:rsidR="00274E95" w:rsidRPr="00C3641E" w:rsidRDefault="00274E95" w:rsidP="00274E95">
              <w:pPr>
                <w:rPr>
                  <w:szCs w:val="21"/>
                </w:rPr>
              </w:pPr>
              <w:r w:rsidRPr="00C3641E">
                <w:rPr>
                  <w:szCs w:val="21"/>
                </w:rPr>
                <w:t>(3)</w:t>
              </w:r>
              <w:r w:rsidRPr="00C3641E">
                <w:rPr>
                  <w:szCs w:val="21"/>
                </w:rPr>
                <w:tab/>
                <w:t>确定对被投资单位具有共同控制、重大影响的判断标准</w:t>
              </w:r>
            </w:p>
            <w:p w:rsidR="00274E95" w:rsidRPr="00C3641E" w:rsidRDefault="00274E95" w:rsidP="00274E95">
              <w:pPr>
                <w:rPr>
                  <w:szCs w:val="21"/>
                </w:rPr>
              </w:pPr>
            </w:p>
            <w:p w:rsidR="00274E95" w:rsidRPr="00C3641E" w:rsidRDefault="00274E95" w:rsidP="00274E95">
              <w:pPr>
                <w:rPr>
                  <w:szCs w:val="21"/>
                </w:rPr>
              </w:pPr>
              <w:r w:rsidRPr="00C3641E">
                <w:rPr>
                  <w:rFonts w:hint="eastAsia"/>
                  <w:szCs w:val="21"/>
                </w:rPr>
                <w:t>共同控制指按照相关约定对某项安排所共有的控制，并且该安排的相关活动</w:t>
              </w:r>
              <w:r w:rsidRPr="00C3641E">
                <w:rPr>
                  <w:szCs w:val="21"/>
                </w:rPr>
                <w:t xml:space="preserve"> (即对安排的回报产生重大影响的活动) 必须经过分享控制权的参与方一致同意后才能决策。</w:t>
              </w:r>
            </w:p>
            <w:p w:rsidR="00274E95" w:rsidRPr="00C3641E" w:rsidRDefault="00274E95" w:rsidP="00274E95">
              <w:pPr>
                <w:rPr>
                  <w:szCs w:val="21"/>
                </w:rPr>
              </w:pPr>
              <w:r w:rsidRPr="00C3641E">
                <w:rPr>
                  <w:rFonts w:hint="eastAsia"/>
                  <w:szCs w:val="21"/>
                </w:rPr>
                <w:t>本集团在判断对被投资单位是否存在共同控制时，通常考虑下述事项：</w:t>
              </w:r>
            </w:p>
            <w:p w:rsidR="00274E95" w:rsidRPr="00C3641E" w:rsidRDefault="00274E95" w:rsidP="00274E95">
              <w:pPr>
                <w:rPr>
                  <w:szCs w:val="21"/>
                </w:rPr>
              </w:pPr>
            </w:p>
            <w:p w:rsidR="00274E95" w:rsidRPr="00C3641E" w:rsidRDefault="00274E95" w:rsidP="00B84689">
              <w:pPr>
                <w:rPr>
                  <w:szCs w:val="21"/>
                </w:rPr>
              </w:pPr>
              <w:r w:rsidRPr="00C3641E">
                <w:rPr>
                  <w:szCs w:val="21"/>
                </w:rPr>
                <w:t>-</w:t>
              </w:r>
              <w:r w:rsidRPr="00C3641E">
                <w:rPr>
                  <w:szCs w:val="21"/>
                </w:rPr>
                <w:tab/>
                <w:t>是否任何一个参与方均不能单独控制被投资单位的相关活动；</w:t>
              </w:r>
            </w:p>
            <w:p w:rsidR="003130F1" w:rsidRPr="00C3641E" w:rsidRDefault="00274E95" w:rsidP="00B84689">
              <w:pPr>
                <w:rPr>
                  <w:szCs w:val="21"/>
                </w:rPr>
              </w:pPr>
              <w:r w:rsidRPr="00C3641E">
                <w:rPr>
                  <w:szCs w:val="21"/>
                </w:rPr>
                <w:t>-</w:t>
              </w:r>
              <w:r w:rsidRPr="00C3641E">
                <w:rPr>
                  <w:szCs w:val="21"/>
                </w:rPr>
                <w:tab/>
                <w:t>涉及被投资单位相关活动的决策是否需要分享控制权参与方一致同意。</w:t>
              </w:r>
            </w:p>
            <w:p w:rsidR="003130F1" w:rsidRPr="00C3641E" w:rsidRDefault="003130F1" w:rsidP="00B84689">
              <w:pPr>
                <w:rPr>
                  <w:szCs w:val="21"/>
                </w:rPr>
              </w:pPr>
            </w:p>
            <w:p w:rsidR="00806678" w:rsidRPr="00C3641E" w:rsidRDefault="00274E95" w:rsidP="00B84689">
              <w:pPr>
                <w:rPr>
                  <w:szCs w:val="21"/>
                </w:rPr>
              </w:pPr>
              <w:r w:rsidRPr="00C3641E">
                <w:rPr>
                  <w:rFonts w:hint="eastAsia"/>
                  <w:szCs w:val="21"/>
                </w:rPr>
                <w:t>重大影响指本集团对被投资单位的财务和经营政策有参与决策的权力，但并不能够控制或者</w:t>
              </w:r>
              <w:r w:rsidR="003130F1" w:rsidRPr="00C3641E">
                <w:rPr>
                  <w:rFonts w:hint="eastAsia"/>
                  <w:szCs w:val="21"/>
                </w:rPr>
                <w:t xml:space="preserve"> </w:t>
              </w:r>
              <w:r w:rsidR="003130F1" w:rsidRPr="00C3641E">
                <w:rPr>
                  <w:szCs w:val="21"/>
                </w:rPr>
                <w:t xml:space="preserve"> </w:t>
              </w:r>
              <w:r w:rsidRPr="00C3641E">
                <w:rPr>
                  <w:rFonts w:hint="eastAsia"/>
                  <w:szCs w:val="21"/>
                </w:rPr>
                <w:t>与其他方一起共同控制这些政策的制定。</w:t>
              </w:r>
            </w:p>
          </w:sdtContent>
        </w:sdt>
        <w:p w:rsidR="00806678" w:rsidRDefault="00F80B6C">
          <w:pPr>
            <w:rPr>
              <w:szCs w:val="21"/>
            </w:rPr>
          </w:pPr>
        </w:p>
      </w:sdtContent>
    </w:sdt>
    <w:p w:rsidR="00806678" w:rsidRDefault="00B16377" w:rsidP="00FF17C7">
      <w:pPr>
        <w:pStyle w:val="3"/>
        <w:numPr>
          <w:ilvl w:val="0"/>
          <w:numId w:val="39"/>
        </w:numPr>
      </w:pPr>
      <w:r>
        <w:t>投资性房地产</w:t>
      </w:r>
    </w:p>
    <w:sdt>
      <w:sdtPr>
        <w:rPr>
          <w:rFonts w:hint="eastAsia"/>
        </w:rPr>
        <w:tag w:val="_GBC_6983d9e24ed54c18a335cb0386f36c2c"/>
        <w:id w:val="-292835151"/>
        <w:lock w:val="sdtLocked"/>
        <w:placeholder>
          <w:docPart w:val="GBC22222222222222222222222222222"/>
        </w:placeholder>
      </w:sdtPr>
      <w:sdtEndPr>
        <w:rPr>
          <w:szCs w:val="21"/>
        </w:rPr>
      </w:sdtEndPr>
      <w:sdtContent>
        <w:p w:rsidR="0020440C" w:rsidRDefault="00B16377" w:rsidP="0020440C">
          <w:pPr>
            <w:rPr>
              <w:szCs w:val="21"/>
            </w:rPr>
          </w:pPr>
          <w:r>
            <w:rPr>
              <w:rFonts w:hint="eastAsia"/>
              <w:szCs w:val="21"/>
            </w:rPr>
            <w:t>不适用</w:t>
          </w:r>
        </w:p>
        <w:p w:rsidR="00806678" w:rsidRPr="00A92C5E" w:rsidRDefault="00F80B6C" w:rsidP="0020440C">
          <w:pPr>
            <w:rPr>
              <w:szCs w:val="21"/>
            </w:rPr>
          </w:pPr>
        </w:p>
      </w:sdtContent>
    </w:sdt>
    <w:p w:rsidR="00806678" w:rsidRDefault="00B16377" w:rsidP="00FF17C7">
      <w:pPr>
        <w:pStyle w:val="3"/>
        <w:numPr>
          <w:ilvl w:val="0"/>
          <w:numId w:val="39"/>
        </w:numPr>
      </w:pPr>
      <w:r>
        <w:t>固定资产</w:t>
      </w:r>
    </w:p>
    <w:sdt>
      <w:sdtPr>
        <w:rPr>
          <w:rFonts w:ascii="宋体" w:eastAsia="宋体" w:hAnsi="宋体" w:cs="宋体"/>
          <w:b w:val="0"/>
          <w:bCs w:val="0"/>
          <w:kern w:val="0"/>
          <w:szCs w:val="24"/>
        </w:rPr>
        <w:alias w:val="模块:固定资产确认条件"/>
        <w:tag w:val="_GBC_662771796da549e1b2a02fb7d497f077"/>
        <w:id w:val="953910363"/>
        <w:lock w:val="sdtLocked"/>
        <w:placeholder>
          <w:docPart w:val="GBC22222222222222222222222222222"/>
        </w:placeholder>
      </w:sdtPr>
      <w:sdtEndPr>
        <w:rPr>
          <w:rFonts w:ascii="Times New Roman" w:hAnsi="Times New Roman"/>
        </w:rPr>
      </w:sdtEndPr>
      <w:sdtContent>
        <w:p w:rsidR="00806678" w:rsidRDefault="00B16377" w:rsidP="00FF17C7">
          <w:pPr>
            <w:pStyle w:val="4"/>
            <w:numPr>
              <w:ilvl w:val="0"/>
              <w:numId w:val="40"/>
            </w:numPr>
          </w:pPr>
          <w:r>
            <w:rPr>
              <w:rFonts w:hint="eastAsia"/>
            </w:rPr>
            <w:t>确认条件</w:t>
          </w:r>
        </w:p>
        <w:sdt>
          <w:sdtPr>
            <w:alias w:val="是否适用：固定资产确认条件[双击切换]"/>
            <w:tag w:val="_GBC_4c768c6eca804bab9e4fc027185bcda6"/>
            <w:id w:val="-1227062113"/>
            <w:lock w:val="sdtLocked"/>
            <w:placeholder>
              <w:docPart w:val="GBC22222222222222222222222222222"/>
            </w:placeholder>
          </w:sdtPr>
          <w:sdtContent>
            <w:p w:rsidR="000F33A9" w:rsidRDefault="00F80B6C">
              <w:r>
                <w:fldChar w:fldCharType="begin"/>
              </w:r>
              <w:r w:rsidR="00274E95">
                <w:instrText xml:space="preserve">MACROBUTTON  SnrToggleCheckbox √适用 </w:instrText>
              </w:r>
              <w:r>
                <w:fldChar w:fldCharType="end"/>
              </w:r>
              <w:r>
                <w:fldChar w:fldCharType="begin"/>
              </w:r>
              <w:r w:rsidR="00274E95">
                <w:instrText xml:space="preserve"> MACROBUTTON  SnrToggleCheckbox □不适用 </w:instrText>
              </w:r>
              <w:r>
                <w:fldChar w:fldCharType="end"/>
              </w:r>
            </w:p>
            <w:p w:rsidR="00806678" w:rsidRDefault="00F80B6C"/>
          </w:sdtContent>
        </w:sdt>
        <w:sdt>
          <w:sdtPr>
            <w:rPr>
              <w:bCs/>
              <w:szCs w:val="21"/>
            </w:rPr>
            <w:alias w:val="固定资产确认条件"/>
            <w:tag w:val="_GBC_3044d53470b143fa9477fa34b85d4ec5"/>
            <w:id w:val="143795786"/>
            <w:lock w:val="sdtLocked"/>
            <w:placeholder>
              <w:docPart w:val="GBC22222222222222222222222222222"/>
            </w:placeholder>
          </w:sdtPr>
          <w:sdtEndPr>
            <w:rPr>
              <w:b/>
            </w:rPr>
          </w:sdtEndPr>
          <w:sdtContent>
            <w:p w:rsidR="00274E95" w:rsidRPr="00274E95" w:rsidRDefault="00274E95" w:rsidP="00274E95">
              <w:pPr>
                <w:rPr>
                  <w:bCs/>
                  <w:szCs w:val="21"/>
                </w:rPr>
              </w:pPr>
              <w:r w:rsidRPr="00274E95">
                <w:rPr>
                  <w:rFonts w:hint="eastAsia"/>
                  <w:bCs/>
                  <w:szCs w:val="21"/>
                </w:rPr>
                <w:t>固定资产指本集团为提供劳务或经营管理而持有的，使用寿命超过一个会计年度的有形资产。</w:t>
              </w:r>
            </w:p>
            <w:p w:rsidR="00274E95" w:rsidRPr="00274E95" w:rsidRDefault="00274E95" w:rsidP="00274E95">
              <w:pPr>
                <w:rPr>
                  <w:bCs/>
                  <w:szCs w:val="21"/>
                </w:rPr>
              </w:pPr>
            </w:p>
            <w:p w:rsidR="00274E95" w:rsidRPr="00274E95" w:rsidRDefault="00274E95" w:rsidP="00274E95">
              <w:pPr>
                <w:rPr>
                  <w:bCs/>
                  <w:szCs w:val="21"/>
                </w:rPr>
              </w:pPr>
              <w:r w:rsidRPr="00274E95">
                <w:rPr>
                  <w:rFonts w:hint="eastAsia"/>
                  <w:bCs/>
                  <w:szCs w:val="21"/>
                </w:rPr>
                <w:t>本集团固定资产包括房屋及建筑物、机车车辆、路基、轨道</w:t>
              </w:r>
              <w:r w:rsidRPr="00274E95">
                <w:rPr>
                  <w:bCs/>
                  <w:szCs w:val="21"/>
                </w:rPr>
                <w:t xml:space="preserve"> (钢轨、轨枕、道碴) 、道岔、桥梁、隧道、道口、涵和其他桥隧建筑物等线路资产、通信信号设备、电气化供电系统及机械动力设备等。</w:t>
              </w:r>
            </w:p>
            <w:p w:rsidR="00274E95" w:rsidRPr="00274E95" w:rsidRDefault="00274E95" w:rsidP="00274E95">
              <w:pPr>
                <w:rPr>
                  <w:bCs/>
                  <w:szCs w:val="21"/>
                </w:rPr>
              </w:pPr>
            </w:p>
            <w:p w:rsidR="00274E95" w:rsidRPr="00274E95" w:rsidRDefault="00274E95" w:rsidP="00274E95">
              <w:pPr>
                <w:rPr>
                  <w:bCs/>
                  <w:szCs w:val="21"/>
                </w:rPr>
              </w:pPr>
              <w:r w:rsidRPr="00274E95">
                <w:rPr>
                  <w:rFonts w:hint="eastAsia"/>
                  <w:bCs/>
                  <w:szCs w:val="21"/>
                </w:rPr>
                <w:t>外购固定资产的初始成本包括购买价款、相关税费以及使该资产达到预定可使用状态前所发生的可归属于该项资产的支出。自行建造固定资产按附注</w:t>
              </w:r>
              <w:r w:rsidR="00671192">
                <w:rPr>
                  <w:rFonts w:hint="eastAsia"/>
                  <w:bCs/>
                  <w:szCs w:val="21"/>
                </w:rPr>
                <w:t>五</w:t>
              </w:r>
              <w:r w:rsidRPr="00274E95">
                <w:rPr>
                  <w:rFonts w:hint="eastAsia"/>
                  <w:bCs/>
                  <w:szCs w:val="21"/>
                </w:rPr>
                <w:t>、</w:t>
              </w:r>
              <w:r w:rsidR="00671192">
                <w:rPr>
                  <w:bCs/>
                  <w:szCs w:val="21"/>
                </w:rPr>
                <w:t>2</w:t>
              </w:r>
              <w:r w:rsidR="007E696A">
                <w:rPr>
                  <w:bCs/>
                  <w:szCs w:val="21"/>
                </w:rPr>
                <w:t>4</w:t>
              </w:r>
              <w:r w:rsidRPr="00274E95">
                <w:rPr>
                  <w:bCs/>
                  <w:szCs w:val="21"/>
                </w:rPr>
                <w:t>确定初始成本。公司制改建时，国有股股东投入的固定资产按财政部核准的评估值作为入账价值。</w:t>
              </w:r>
            </w:p>
            <w:p w:rsidR="00274E95" w:rsidRPr="00274E95" w:rsidRDefault="00274E95" w:rsidP="00274E95">
              <w:pPr>
                <w:rPr>
                  <w:bCs/>
                  <w:szCs w:val="21"/>
                </w:rPr>
              </w:pPr>
            </w:p>
            <w:p w:rsidR="00274E95" w:rsidRPr="00274E95" w:rsidRDefault="00274E95" w:rsidP="00274E95">
              <w:pPr>
                <w:rPr>
                  <w:bCs/>
                  <w:szCs w:val="21"/>
                </w:rPr>
              </w:pPr>
              <w:r w:rsidRPr="00274E95">
                <w:rPr>
                  <w:rFonts w:hint="eastAsia"/>
                  <w:bCs/>
                  <w:szCs w:val="21"/>
                </w:rPr>
                <w:t>对于构成固定资产的各组成部分，如果各自具有不同使用寿命或者以不同方式为本集团提供经济利益，适用不同折旧率或折旧方法的，本集团分别将各组成部分确认为单项固定资产。</w:t>
              </w:r>
            </w:p>
            <w:p w:rsidR="00274E95" w:rsidRPr="00274E95" w:rsidRDefault="00274E95" w:rsidP="00274E95">
              <w:pPr>
                <w:rPr>
                  <w:bCs/>
                  <w:szCs w:val="21"/>
                </w:rPr>
              </w:pPr>
            </w:p>
            <w:p w:rsidR="00274E95" w:rsidRPr="00274E95" w:rsidRDefault="00274E95" w:rsidP="00274E95">
              <w:pPr>
                <w:rPr>
                  <w:bCs/>
                  <w:szCs w:val="21"/>
                </w:rPr>
              </w:pPr>
              <w:r w:rsidRPr="00274E95">
                <w:rPr>
                  <w:rFonts w:hint="eastAsia"/>
                  <w:bCs/>
                  <w:szCs w:val="21"/>
                </w:rPr>
                <w:t>对于固定资产的后续支出，包括与更换固定资产某组成部分相关的支出，在与支出相关的经济利益很可能流入本集团时资本化计入固定资产成本，同时将被替换部分的账面价值扣除；与固定资产日常维护相关的支出在发生时计入当期损益。</w:t>
              </w:r>
            </w:p>
            <w:p w:rsidR="00274E95" w:rsidRPr="00274E95" w:rsidRDefault="00274E95" w:rsidP="00274E95">
              <w:pPr>
                <w:rPr>
                  <w:bCs/>
                  <w:szCs w:val="21"/>
                </w:rPr>
              </w:pPr>
            </w:p>
            <w:p w:rsidR="00806678" w:rsidRPr="00274E95" w:rsidRDefault="00274E95" w:rsidP="00274E95">
              <w:pPr>
                <w:rPr>
                  <w:bCs/>
                  <w:szCs w:val="21"/>
                </w:rPr>
              </w:pPr>
              <w:r w:rsidRPr="00274E95">
                <w:rPr>
                  <w:rFonts w:hint="eastAsia"/>
                  <w:bCs/>
                  <w:szCs w:val="21"/>
                </w:rPr>
                <w:t>固定资产以成本减累计折旧及减值准备后在资产负债表内列示。</w:t>
              </w:r>
            </w:p>
          </w:sdtContent>
        </w:sdt>
      </w:sdtContent>
    </w:sdt>
    <w:p w:rsidR="00022F95" w:rsidRDefault="00022F95">
      <w:pPr>
        <w:rPr>
          <w:szCs w:val="21"/>
        </w:rPr>
      </w:pPr>
      <w:r>
        <w:rPr>
          <w:szCs w:val="21"/>
        </w:rPr>
        <w:br w:type="page"/>
      </w:r>
    </w:p>
    <w:sdt>
      <w:sdtPr>
        <w:rPr>
          <w:rFonts w:asciiTheme="minorHAnsi" w:eastAsia="宋体" w:hAnsiTheme="minorHAnsi" w:cstheme="minorBidi"/>
          <w:b w:val="0"/>
          <w:bCs w:val="0"/>
          <w:kern w:val="0"/>
          <w:sz w:val="16"/>
          <w:szCs w:val="22"/>
        </w:rPr>
        <w:alias w:val="模块:固定资产折旧方法"/>
        <w:tag w:val="_GBC_7c749a57d4094b3386978c34c3487e2a"/>
        <w:id w:val="-1911527738"/>
        <w:lock w:val="sdtLocked"/>
        <w:placeholder>
          <w:docPart w:val="GBC22222222222222222222222222222"/>
        </w:placeholder>
      </w:sdtPr>
      <w:sdtEndPr>
        <w:rPr>
          <w:rFonts w:ascii="宋体" w:hAnsi="宋体" w:cs="宋体"/>
          <w:szCs w:val="16"/>
        </w:rPr>
      </w:sdtEndPr>
      <w:sdtContent>
        <w:p w:rsidR="00806678" w:rsidRDefault="00B16377" w:rsidP="00FF17C7">
          <w:pPr>
            <w:pStyle w:val="4"/>
            <w:numPr>
              <w:ilvl w:val="0"/>
              <w:numId w:val="40"/>
            </w:numPr>
          </w:pPr>
          <w:r>
            <w:t>折旧方法</w:t>
          </w:r>
        </w:p>
        <w:sdt>
          <w:sdtPr>
            <w:alias w:val="是否适用：固定资产折旧方法[双击切换]"/>
            <w:tag w:val="_GBC_f89f129fe73045168ebdc30031da9fdd"/>
            <w:id w:val="-1135404166"/>
            <w:lock w:val="sdtLocked"/>
            <w:placeholder>
              <w:docPart w:val="GBC22222222222222222222222222222"/>
            </w:placeholder>
          </w:sdtPr>
          <w:sdtContent>
            <w:p w:rsidR="000F33A9" w:rsidRDefault="00F80B6C">
              <w:r>
                <w:fldChar w:fldCharType="begin"/>
              </w:r>
              <w:r w:rsidR="009C54D9">
                <w:instrText xml:space="preserve">MACROBUTTON  SnrToggleCheckbox √适用 </w:instrText>
              </w:r>
              <w:r>
                <w:fldChar w:fldCharType="end"/>
              </w:r>
              <w:r>
                <w:fldChar w:fldCharType="begin"/>
              </w:r>
              <w:r w:rsidR="009C54D9">
                <w:instrText xml:space="preserve"> MACROBUTTON  SnrToggleCheckbox □不适用 </w:instrText>
              </w:r>
              <w:r>
                <w:fldChar w:fldCharType="end"/>
              </w:r>
            </w:p>
            <w:p w:rsidR="00806678" w:rsidRDefault="00F80B6C"/>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18"/>
            <w:gridCol w:w="1832"/>
            <w:gridCol w:w="1833"/>
            <w:gridCol w:w="1833"/>
            <w:gridCol w:w="1833"/>
          </w:tblGrid>
          <w:tr w:rsidR="00274E95" w:rsidTr="00601D47">
            <w:sdt>
              <w:sdtPr>
                <w:rPr>
                  <w:rFonts w:asciiTheme="majorEastAsia" w:eastAsiaTheme="majorEastAsia" w:hAnsiTheme="majorEastAsia"/>
                </w:rPr>
                <w:tag w:val="_PLD_b93b748ee97a4a8bae6f8263364d91d5"/>
                <w:id w:val="1944639880"/>
                <w:lock w:val="sdtLocked"/>
              </w:sdtPr>
              <w:sdtContent>
                <w:tc>
                  <w:tcPr>
                    <w:tcW w:w="949" w:type="pct"/>
                    <w:vAlign w:val="center"/>
                  </w:tcPr>
                  <w:p w:rsidR="00274E95" w:rsidRPr="000F33A9" w:rsidRDefault="00274E95" w:rsidP="00601D47">
                    <w:pPr>
                      <w:jc w:val="center"/>
                      <w:rPr>
                        <w:rFonts w:asciiTheme="majorEastAsia" w:eastAsiaTheme="majorEastAsia" w:hAnsiTheme="majorEastAsia"/>
                        <w:szCs w:val="21"/>
                      </w:rPr>
                    </w:pPr>
                    <w:r w:rsidRPr="000F33A9">
                      <w:rPr>
                        <w:rFonts w:asciiTheme="majorEastAsia" w:eastAsiaTheme="majorEastAsia" w:hAnsiTheme="majorEastAsia"/>
                        <w:szCs w:val="21"/>
                      </w:rPr>
                      <w:t>类别</w:t>
                    </w:r>
                  </w:p>
                </w:tc>
              </w:sdtContent>
            </w:sdt>
            <w:sdt>
              <w:sdtPr>
                <w:rPr>
                  <w:rFonts w:asciiTheme="majorEastAsia" w:eastAsiaTheme="majorEastAsia" w:hAnsiTheme="majorEastAsia"/>
                </w:rPr>
                <w:tag w:val="_PLD_8eb75a8ba4fb45a3be1c35e2609526fb"/>
                <w:id w:val="-1768844880"/>
                <w:lock w:val="sdtLocked"/>
              </w:sdtPr>
              <w:sdtContent>
                <w:tc>
                  <w:tcPr>
                    <w:tcW w:w="1012" w:type="pct"/>
                    <w:vAlign w:val="center"/>
                  </w:tcPr>
                  <w:p w:rsidR="00274E95" w:rsidRPr="000F33A9" w:rsidRDefault="00274E95" w:rsidP="00601D47">
                    <w:pPr>
                      <w:jc w:val="center"/>
                      <w:rPr>
                        <w:rFonts w:asciiTheme="majorEastAsia" w:eastAsiaTheme="majorEastAsia" w:hAnsiTheme="majorEastAsia"/>
                        <w:szCs w:val="21"/>
                      </w:rPr>
                    </w:pPr>
                    <w:r w:rsidRPr="000F33A9">
                      <w:rPr>
                        <w:rFonts w:asciiTheme="majorEastAsia" w:eastAsiaTheme="majorEastAsia" w:hAnsiTheme="majorEastAsia" w:hint="eastAsia"/>
                        <w:szCs w:val="21"/>
                      </w:rPr>
                      <w:t>折旧方法</w:t>
                    </w:r>
                  </w:p>
                </w:tc>
              </w:sdtContent>
            </w:sdt>
            <w:sdt>
              <w:sdtPr>
                <w:rPr>
                  <w:rFonts w:asciiTheme="majorEastAsia" w:eastAsiaTheme="majorEastAsia" w:hAnsiTheme="majorEastAsia"/>
                </w:rPr>
                <w:tag w:val="_PLD_288e4cb255e44ed98e0c53f336ac01e0"/>
                <w:id w:val="1680845031"/>
                <w:lock w:val="sdtLocked"/>
              </w:sdtPr>
              <w:sdtContent>
                <w:tc>
                  <w:tcPr>
                    <w:tcW w:w="1013" w:type="pct"/>
                    <w:vAlign w:val="center"/>
                  </w:tcPr>
                  <w:p w:rsidR="00274E95" w:rsidRPr="000F33A9" w:rsidRDefault="00274E95" w:rsidP="00601D47">
                    <w:pPr>
                      <w:jc w:val="center"/>
                      <w:rPr>
                        <w:rFonts w:asciiTheme="majorEastAsia" w:eastAsiaTheme="majorEastAsia" w:hAnsiTheme="majorEastAsia"/>
                        <w:szCs w:val="21"/>
                      </w:rPr>
                    </w:pPr>
                    <w:r w:rsidRPr="000F33A9">
                      <w:rPr>
                        <w:rFonts w:asciiTheme="majorEastAsia" w:eastAsiaTheme="majorEastAsia" w:hAnsiTheme="majorEastAsia"/>
                        <w:szCs w:val="21"/>
                      </w:rPr>
                      <w:t>折旧年限（年）</w:t>
                    </w:r>
                  </w:p>
                </w:tc>
              </w:sdtContent>
            </w:sdt>
            <w:sdt>
              <w:sdtPr>
                <w:rPr>
                  <w:rFonts w:asciiTheme="majorEastAsia" w:eastAsiaTheme="majorEastAsia" w:hAnsiTheme="majorEastAsia"/>
                </w:rPr>
                <w:tag w:val="_PLD_b978331f5a784568b426597e450ebc7a"/>
                <w:id w:val="373202548"/>
                <w:lock w:val="sdtLocked"/>
              </w:sdtPr>
              <w:sdtContent>
                <w:tc>
                  <w:tcPr>
                    <w:tcW w:w="1013" w:type="pct"/>
                    <w:vAlign w:val="center"/>
                  </w:tcPr>
                  <w:p w:rsidR="00274E95" w:rsidRPr="000F33A9" w:rsidRDefault="00274E95" w:rsidP="00601D47">
                    <w:pPr>
                      <w:jc w:val="center"/>
                      <w:rPr>
                        <w:rFonts w:asciiTheme="majorEastAsia" w:eastAsiaTheme="majorEastAsia" w:hAnsiTheme="majorEastAsia"/>
                        <w:szCs w:val="21"/>
                      </w:rPr>
                    </w:pPr>
                    <w:r w:rsidRPr="000F33A9">
                      <w:rPr>
                        <w:rFonts w:asciiTheme="majorEastAsia" w:eastAsiaTheme="majorEastAsia" w:hAnsiTheme="majorEastAsia"/>
                        <w:szCs w:val="21"/>
                      </w:rPr>
                      <w:t>残值率</w:t>
                    </w:r>
                  </w:p>
                </w:tc>
              </w:sdtContent>
            </w:sdt>
            <w:sdt>
              <w:sdtPr>
                <w:rPr>
                  <w:rFonts w:asciiTheme="majorEastAsia" w:eastAsiaTheme="majorEastAsia" w:hAnsiTheme="majorEastAsia"/>
                </w:rPr>
                <w:tag w:val="_PLD_02921e2cbb3b427bb4fe2aba2949e56a"/>
                <w:id w:val="989531862"/>
                <w:lock w:val="sdtLocked"/>
              </w:sdtPr>
              <w:sdtContent>
                <w:tc>
                  <w:tcPr>
                    <w:tcW w:w="1013" w:type="pct"/>
                    <w:vAlign w:val="center"/>
                  </w:tcPr>
                  <w:p w:rsidR="00274E95" w:rsidRPr="000F33A9" w:rsidRDefault="00274E95" w:rsidP="00601D47">
                    <w:pPr>
                      <w:jc w:val="center"/>
                      <w:rPr>
                        <w:rFonts w:asciiTheme="majorEastAsia" w:eastAsiaTheme="majorEastAsia" w:hAnsiTheme="majorEastAsia"/>
                        <w:szCs w:val="21"/>
                      </w:rPr>
                    </w:pPr>
                    <w:r w:rsidRPr="000F33A9">
                      <w:rPr>
                        <w:rFonts w:asciiTheme="majorEastAsia" w:eastAsiaTheme="majorEastAsia" w:hAnsiTheme="majorEastAsia"/>
                        <w:szCs w:val="21"/>
                      </w:rPr>
                      <w:t>年折旧率</w:t>
                    </w:r>
                  </w:p>
                </w:tc>
              </w:sdtContent>
            </w:sdt>
          </w:tr>
          <w:sdt>
            <w:sdtPr>
              <w:rPr>
                <w:rFonts w:asciiTheme="majorEastAsia" w:eastAsiaTheme="majorEastAsia" w:hAnsiTheme="majorEastAsia"/>
                <w:kern w:val="2"/>
                <w:szCs w:val="21"/>
              </w:rPr>
              <w:alias w:val="其他固定资产计价、折旧、减值方法"/>
              <w:tag w:val="_GBC_f1ad6125c5d74d2a98f593d2ba574474"/>
              <w:id w:val="1642082279"/>
              <w:lock w:val="sdtLocked"/>
            </w:sdtPr>
            <w:sdtContent>
              <w:tr w:rsidR="00274E95" w:rsidTr="00601D47">
                <w:tc>
                  <w:tcPr>
                    <w:tcW w:w="949" w:type="pct"/>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rPr>
                      <w:t>房屋及建筑物</w:t>
                    </w:r>
                  </w:p>
                </w:tc>
                <w:tc>
                  <w:tcPr>
                    <w:tcW w:w="1012" w:type="pct"/>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hint="eastAsia"/>
                        <w:szCs w:val="21"/>
                      </w:rPr>
                      <w:t>年限平均法</w:t>
                    </w:r>
                  </w:p>
                </w:tc>
                <w:tc>
                  <w:tcPr>
                    <w:tcW w:w="1013" w:type="pct"/>
                  </w:tcPr>
                  <w:p w:rsidR="00274E95" w:rsidRPr="000F33A9" w:rsidRDefault="00274E95" w:rsidP="00601D47">
                    <w:pPr>
                      <w:rPr>
                        <w:rFonts w:asciiTheme="majorEastAsia" w:eastAsiaTheme="majorEastAsia" w:hAnsiTheme="majorEastAsia"/>
                        <w:szCs w:val="21"/>
                      </w:rPr>
                    </w:pPr>
                    <w:r w:rsidRPr="000F33A9">
                      <w:rPr>
                        <w:rFonts w:ascii="微软雅黑" w:eastAsia="微软雅黑" w:hAnsi="微软雅黑" w:cs="微软雅黑" w:hint="eastAsia"/>
                      </w:rPr>
                      <w:t> </w:t>
                    </w:r>
                  </w:p>
                </w:tc>
                <w:tc>
                  <w:tcPr>
                    <w:tcW w:w="1013" w:type="pct"/>
                  </w:tcPr>
                  <w:p w:rsidR="00274E95" w:rsidRPr="000F33A9" w:rsidRDefault="00274E95" w:rsidP="00601D47">
                    <w:pPr>
                      <w:rPr>
                        <w:rFonts w:asciiTheme="majorEastAsia" w:eastAsiaTheme="majorEastAsia" w:hAnsiTheme="majorEastAsia"/>
                        <w:szCs w:val="21"/>
                      </w:rPr>
                    </w:pPr>
                  </w:p>
                </w:tc>
                <w:tc>
                  <w:tcPr>
                    <w:tcW w:w="1013" w:type="pct"/>
                  </w:tcPr>
                  <w:p w:rsidR="00274E95" w:rsidRPr="000F33A9" w:rsidRDefault="00274E95" w:rsidP="00601D47">
                    <w:pPr>
                      <w:rPr>
                        <w:rFonts w:asciiTheme="majorEastAsia" w:eastAsiaTheme="majorEastAsia" w:hAnsiTheme="majorEastAsia"/>
                        <w:szCs w:val="21"/>
                      </w:rPr>
                    </w:pPr>
                    <w:r w:rsidRPr="000F33A9">
                      <w:rPr>
                        <w:rFonts w:ascii="微软雅黑" w:eastAsia="微软雅黑" w:hAnsi="微软雅黑" w:cs="微软雅黑" w:hint="eastAsia"/>
                      </w:rPr>
                      <w:t> </w:t>
                    </w:r>
                  </w:p>
                </w:tc>
              </w:tr>
            </w:sdtContent>
          </w:sdt>
          <w:sdt>
            <w:sdtPr>
              <w:rPr>
                <w:rFonts w:asciiTheme="majorEastAsia" w:eastAsiaTheme="majorEastAsia" w:hAnsiTheme="majorEastAsia"/>
                <w:kern w:val="2"/>
                <w:szCs w:val="21"/>
              </w:rPr>
              <w:alias w:val="其他固定资产计价、折旧、减值方法"/>
              <w:tag w:val="_GBC_f1ad6125c5d74d2a98f593d2ba574474"/>
              <w:id w:val="92373235"/>
              <w:lock w:val="sdtLocked"/>
            </w:sdtPr>
            <w:sdtContent>
              <w:tr w:rsidR="00274E95" w:rsidTr="00601D47">
                <w:tc>
                  <w:tcPr>
                    <w:tcW w:w="949" w:type="pct"/>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rPr>
                      <w:t>其中：一般房屋</w:t>
                    </w:r>
                  </w:p>
                </w:tc>
                <w:tc>
                  <w:tcPr>
                    <w:tcW w:w="1012" w:type="pct"/>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hint="eastAsia"/>
                        <w:szCs w:val="21"/>
                      </w:rPr>
                      <w:t>年限平均法</w:t>
                    </w:r>
                  </w:p>
                </w:tc>
                <w:tc>
                  <w:tcPr>
                    <w:tcW w:w="1013" w:type="pct"/>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rPr>
                      <w:t>38</w:t>
                    </w:r>
                  </w:p>
                </w:tc>
                <w:tc>
                  <w:tcPr>
                    <w:tcW w:w="1013" w:type="pct"/>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rPr>
                      <w:t>5</w:t>
                    </w:r>
                  </w:p>
                </w:tc>
                <w:tc>
                  <w:tcPr>
                    <w:tcW w:w="1013" w:type="pct"/>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rPr>
                      <w:t>2.5</w:t>
                    </w:r>
                  </w:p>
                </w:tc>
              </w:tr>
            </w:sdtContent>
          </w:sdt>
          <w:sdt>
            <w:sdtPr>
              <w:rPr>
                <w:rFonts w:asciiTheme="majorEastAsia" w:eastAsiaTheme="majorEastAsia" w:hAnsiTheme="majorEastAsia"/>
                <w:kern w:val="2"/>
                <w:szCs w:val="21"/>
              </w:rPr>
              <w:alias w:val="其他固定资产计价、折旧、减值方法"/>
              <w:tag w:val="_GBC_f1ad6125c5d74d2a98f593d2ba574474"/>
              <w:id w:val="1279611027"/>
              <w:lock w:val="sdtLocked"/>
            </w:sdtPr>
            <w:sdtContent>
              <w:tr w:rsidR="00274E95" w:rsidTr="00601D47">
                <w:tc>
                  <w:tcPr>
                    <w:tcW w:w="949" w:type="pct"/>
                  </w:tcPr>
                  <w:p w:rsidR="00274E95" w:rsidRPr="000F33A9" w:rsidRDefault="00274E95" w:rsidP="00601D47">
                    <w:pPr>
                      <w:rPr>
                        <w:rFonts w:asciiTheme="majorEastAsia" w:eastAsiaTheme="majorEastAsia" w:hAnsiTheme="majorEastAsia"/>
                        <w:kern w:val="2"/>
                        <w:szCs w:val="21"/>
                      </w:rPr>
                    </w:pPr>
                    <w:r w:rsidRPr="000F33A9">
                      <w:rPr>
                        <w:rFonts w:asciiTheme="majorEastAsia" w:eastAsiaTheme="majorEastAsia" w:hAnsiTheme="majorEastAsia"/>
                      </w:rPr>
                      <w:t>受腐蚀生产用房</w:t>
                    </w:r>
                  </w:p>
                </w:tc>
                <w:tc>
                  <w:tcPr>
                    <w:tcW w:w="1012" w:type="pct"/>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hint="eastAsia"/>
                        <w:szCs w:val="21"/>
                      </w:rPr>
                      <w:t>年限平均法</w:t>
                    </w:r>
                  </w:p>
                </w:tc>
                <w:tc>
                  <w:tcPr>
                    <w:tcW w:w="1013" w:type="pct"/>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rPr>
                      <w:t>20</w:t>
                    </w:r>
                  </w:p>
                </w:tc>
                <w:tc>
                  <w:tcPr>
                    <w:tcW w:w="1013" w:type="pct"/>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rPr>
                      <w:t>5</w:t>
                    </w:r>
                  </w:p>
                </w:tc>
                <w:tc>
                  <w:tcPr>
                    <w:tcW w:w="1013" w:type="pct"/>
                  </w:tcPr>
                  <w:p w:rsidR="00274E95" w:rsidRPr="000F33A9" w:rsidRDefault="00274E95" w:rsidP="00601D47">
                    <w:pPr>
                      <w:rPr>
                        <w:rFonts w:asciiTheme="majorEastAsia" w:eastAsiaTheme="majorEastAsia" w:hAnsiTheme="majorEastAsia"/>
                        <w:kern w:val="2"/>
                        <w:szCs w:val="21"/>
                      </w:rPr>
                    </w:pPr>
                    <w:r w:rsidRPr="000F33A9">
                      <w:rPr>
                        <w:rFonts w:asciiTheme="majorEastAsia" w:eastAsiaTheme="majorEastAsia" w:hAnsiTheme="majorEastAsia"/>
                      </w:rPr>
                      <w:t>4.75</w:t>
                    </w:r>
                  </w:p>
                </w:tc>
              </w:tr>
            </w:sdtContent>
          </w:sdt>
          <w:sdt>
            <w:sdtPr>
              <w:rPr>
                <w:rFonts w:asciiTheme="majorEastAsia" w:eastAsiaTheme="majorEastAsia" w:hAnsiTheme="majorEastAsia"/>
                <w:kern w:val="2"/>
                <w:szCs w:val="21"/>
              </w:rPr>
              <w:alias w:val="其他固定资产计价、折旧、减值方法"/>
              <w:tag w:val="_GBC_f1ad6125c5d74d2a98f593d2ba574474"/>
              <w:id w:val="2007631660"/>
              <w:lock w:val="sdtLocked"/>
            </w:sdtPr>
            <w:sdtContent>
              <w:tr w:rsidR="00274E95" w:rsidTr="00601D47">
                <w:tc>
                  <w:tcPr>
                    <w:tcW w:w="949" w:type="pct"/>
                  </w:tcPr>
                  <w:p w:rsidR="00274E95" w:rsidRPr="000F33A9" w:rsidRDefault="00274E95" w:rsidP="00601D47">
                    <w:pPr>
                      <w:rPr>
                        <w:rFonts w:asciiTheme="majorEastAsia" w:eastAsiaTheme="majorEastAsia" w:hAnsiTheme="majorEastAsia"/>
                        <w:kern w:val="2"/>
                        <w:szCs w:val="21"/>
                      </w:rPr>
                    </w:pPr>
                    <w:r w:rsidRPr="000F33A9">
                      <w:rPr>
                        <w:rFonts w:asciiTheme="majorEastAsia" w:eastAsiaTheme="majorEastAsia" w:hAnsiTheme="majorEastAsia"/>
                      </w:rPr>
                      <w:t>受强腐蚀生产用房</w:t>
                    </w:r>
                  </w:p>
                </w:tc>
                <w:tc>
                  <w:tcPr>
                    <w:tcW w:w="1012" w:type="pct"/>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hint="eastAsia"/>
                        <w:szCs w:val="21"/>
                      </w:rPr>
                      <w:t>年限平均法</w:t>
                    </w:r>
                  </w:p>
                </w:tc>
                <w:tc>
                  <w:tcPr>
                    <w:tcW w:w="1013" w:type="pct"/>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rPr>
                      <w:t>10</w:t>
                    </w:r>
                  </w:p>
                </w:tc>
                <w:tc>
                  <w:tcPr>
                    <w:tcW w:w="1013" w:type="pct"/>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rPr>
                      <w:t>5</w:t>
                    </w:r>
                  </w:p>
                </w:tc>
                <w:tc>
                  <w:tcPr>
                    <w:tcW w:w="1013" w:type="pct"/>
                  </w:tcPr>
                  <w:p w:rsidR="00274E95" w:rsidRPr="000F33A9" w:rsidRDefault="00274E95" w:rsidP="00601D47">
                    <w:pPr>
                      <w:rPr>
                        <w:rFonts w:asciiTheme="majorEastAsia" w:eastAsiaTheme="majorEastAsia" w:hAnsiTheme="majorEastAsia"/>
                        <w:kern w:val="2"/>
                        <w:szCs w:val="21"/>
                      </w:rPr>
                    </w:pPr>
                    <w:r w:rsidRPr="000F33A9">
                      <w:rPr>
                        <w:rFonts w:asciiTheme="majorEastAsia" w:eastAsiaTheme="majorEastAsia" w:hAnsiTheme="majorEastAsia"/>
                      </w:rPr>
                      <w:t>9.5</w:t>
                    </w:r>
                  </w:p>
                </w:tc>
              </w:tr>
            </w:sdtContent>
          </w:sdt>
          <w:sdt>
            <w:sdtPr>
              <w:rPr>
                <w:rFonts w:asciiTheme="majorEastAsia" w:eastAsiaTheme="majorEastAsia" w:hAnsiTheme="majorEastAsia"/>
                <w:kern w:val="2"/>
                <w:szCs w:val="21"/>
              </w:rPr>
              <w:alias w:val="其他固定资产计价、折旧、减值方法"/>
              <w:tag w:val="_GBC_f1ad6125c5d74d2a98f593d2ba574474"/>
              <w:id w:val="1999455940"/>
              <w:lock w:val="sdtLocked"/>
            </w:sdtPr>
            <w:sdtContent>
              <w:tr w:rsidR="00274E95" w:rsidTr="00601D47">
                <w:tc>
                  <w:tcPr>
                    <w:tcW w:w="949" w:type="pct"/>
                  </w:tcPr>
                  <w:p w:rsidR="00274E95" w:rsidRPr="000F33A9" w:rsidRDefault="00274E95" w:rsidP="00601D47">
                    <w:pPr>
                      <w:rPr>
                        <w:rFonts w:asciiTheme="majorEastAsia" w:eastAsiaTheme="majorEastAsia" w:hAnsiTheme="majorEastAsia"/>
                        <w:kern w:val="2"/>
                        <w:szCs w:val="21"/>
                      </w:rPr>
                    </w:pPr>
                    <w:r w:rsidRPr="000F33A9">
                      <w:rPr>
                        <w:rFonts w:asciiTheme="majorEastAsia" w:eastAsiaTheme="majorEastAsia" w:hAnsiTheme="majorEastAsia"/>
                      </w:rPr>
                      <w:t>简易房</w:t>
                    </w:r>
                  </w:p>
                </w:tc>
                <w:tc>
                  <w:tcPr>
                    <w:tcW w:w="1012" w:type="pct"/>
                    <w:vAlign w:val="center"/>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rPr>
                      <w:t>年限平均</w:t>
                    </w:r>
                    <w:r w:rsidRPr="000F33A9">
                      <w:rPr>
                        <w:rFonts w:asciiTheme="majorEastAsia" w:eastAsiaTheme="majorEastAsia" w:hAnsiTheme="majorEastAsia" w:cs="PMingLiU" w:hint="eastAsia"/>
                      </w:rPr>
                      <w:t>法</w:t>
                    </w:r>
                  </w:p>
                </w:tc>
                <w:tc>
                  <w:tcPr>
                    <w:tcW w:w="1013" w:type="pct"/>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rPr>
                      <w:t>8</w:t>
                    </w:r>
                  </w:p>
                </w:tc>
                <w:tc>
                  <w:tcPr>
                    <w:tcW w:w="1013" w:type="pct"/>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rPr>
                      <w:t>5.04</w:t>
                    </w:r>
                  </w:p>
                </w:tc>
                <w:tc>
                  <w:tcPr>
                    <w:tcW w:w="1013" w:type="pct"/>
                  </w:tcPr>
                  <w:p w:rsidR="00274E95" w:rsidRPr="000F33A9" w:rsidRDefault="00274E95" w:rsidP="00601D47">
                    <w:pPr>
                      <w:rPr>
                        <w:rFonts w:asciiTheme="majorEastAsia" w:eastAsiaTheme="majorEastAsia" w:hAnsiTheme="majorEastAsia"/>
                        <w:kern w:val="2"/>
                        <w:szCs w:val="21"/>
                      </w:rPr>
                    </w:pPr>
                    <w:r w:rsidRPr="000F33A9">
                      <w:rPr>
                        <w:rFonts w:asciiTheme="majorEastAsia" w:eastAsiaTheme="majorEastAsia" w:hAnsiTheme="majorEastAsia"/>
                      </w:rPr>
                      <w:t>11.87</w:t>
                    </w:r>
                  </w:p>
                </w:tc>
              </w:tr>
            </w:sdtContent>
          </w:sdt>
          <w:sdt>
            <w:sdtPr>
              <w:rPr>
                <w:rFonts w:asciiTheme="majorEastAsia" w:eastAsiaTheme="majorEastAsia" w:hAnsiTheme="majorEastAsia"/>
                <w:kern w:val="2"/>
                <w:szCs w:val="21"/>
              </w:rPr>
              <w:alias w:val="其他固定资产计价、折旧、减值方法"/>
              <w:tag w:val="_GBC_f1ad6125c5d74d2a98f593d2ba574474"/>
              <w:id w:val="592671509"/>
              <w:lock w:val="sdtLocked"/>
            </w:sdtPr>
            <w:sdtContent>
              <w:tr w:rsidR="00274E95" w:rsidTr="00601D47">
                <w:tc>
                  <w:tcPr>
                    <w:tcW w:w="949" w:type="pct"/>
                  </w:tcPr>
                  <w:p w:rsidR="00274E95" w:rsidRPr="000F33A9" w:rsidRDefault="00274E95" w:rsidP="00601D47">
                    <w:pPr>
                      <w:rPr>
                        <w:rFonts w:asciiTheme="majorEastAsia" w:eastAsiaTheme="majorEastAsia" w:hAnsiTheme="majorEastAsia"/>
                        <w:kern w:val="2"/>
                        <w:szCs w:val="21"/>
                      </w:rPr>
                    </w:pPr>
                    <w:r w:rsidRPr="000F33A9">
                      <w:rPr>
                        <w:rFonts w:asciiTheme="majorEastAsia" w:eastAsiaTheme="majorEastAsia" w:hAnsiTheme="majorEastAsia"/>
                      </w:rPr>
                      <w:t>建筑物</w:t>
                    </w:r>
                  </w:p>
                </w:tc>
                <w:tc>
                  <w:tcPr>
                    <w:tcW w:w="1012" w:type="pct"/>
                    <w:vAlign w:val="center"/>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cs="PMingLiU" w:hint="eastAsia"/>
                      </w:rPr>
                      <w:t>年限平均法</w:t>
                    </w:r>
                  </w:p>
                </w:tc>
                <w:tc>
                  <w:tcPr>
                    <w:tcW w:w="1013" w:type="pct"/>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rPr>
                      <w:t>20</w:t>
                    </w:r>
                  </w:p>
                </w:tc>
                <w:tc>
                  <w:tcPr>
                    <w:tcW w:w="1013" w:type="pct"/>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rPr>
                      <w:t>5</w:t>
                    </w:r>
                  </w:p>
                </w:tc>
                <w:tc>
                  <w:tcPr>
                    <w:tcW w:w="1013" w:type="pct"/>
                  </w:tcPr>
                  <w:p w:rsidR="00274E95" w:rsidRPr="000F33A9" w:rsidRDefault="00274E95" w:rsidP="00601D47">
                    <w:pPr>
                      <w:rPr>
                        <w:rFonts w:asciiTheme="majorEastAsia" w:eastAsiaTheme="majorEastAsia" w:hAnsiTheme="majorEastAsia"/>
                        <w:kern w:val="2"/>
                        <w:szCs w:val="21"/>
                      </w:rPr>
                    </w:pPr>
                    <w:r w:rsidRPr="000F33A9">
                      <w:rPr>
                        <w:rFonts w:asciiTheme="majorEastAsia" w:eastAsiaTheme="majorEastAsia" w:hAnsiTheme="majorEastAsia"/>
                      </w:rPr>
                      <w:t>4.75</w:t>
                    </w:r>
                  </w:p>
                </w:tc>
              </w:tr>
            </w:sdtContent>
          </w:sdt>
          <w:sdt>
            <w:sdtPr>
              <w:rPr>
                <w:rFonts w:asciiTheme="majorEastAsia" w:eastAsiaTheme="majorEastAsia" w:hAnsiTheme="majorEastAsia"/>
                <w:kern w:val="2"/>
                <w:szCs w:val="21"/>
              </w:rPr>
              <w:alias w:val="其他固定资产计价、折旧、减值方法"/>
              <w:tag w:val="_GBC_f1ad6125c5d74d2a98f593d2ba574474"/>
              <w:id w:val="1071781370"/>
              <w:lock w:val="sdtLocked"/>
            </w:sdtPr>
            <w:sdtContent>
              <w:tr w:rsidR="00274E95" w:rsidTr="00601D47">
                <w:tc>
                  <w:tcPr>
                    <w:tcW w:w="949" w:type="pct"/>
                  </w:tcPr>
                  <w:p w:rsidR="00274E95" w:rsidRPr="000F33A9" w:rsidRDefault="00274E95" w:rsidP="00601D47">
                    <w:pPr>
                      <w:rPr>
                        <w:rFonts w:asciiTheme="majorEastAsia" w:eastAsiaTheme="majorEastAsia" w:hAnsiTheme="majorEastAsia"/>
                        <w:kern w:val="2"/>
                        <w:szCs w:val="21"/>
                      </w:rPr>
                    </w:pPr>
                    <w:r w:rsidRPr="000F33A9">
                      <w:rPr>
                        <w:rFonts w:asciiTheme="majorEastAsia" w:eastAsiaTheme="majorEastAsia" w:hAnsiTheme="majorEastAsia"/>
                      </w:rPr>
                      <w:t>机车车辆</w:t>
                    </w:r>
                  </w:p>
                </w:tc>
                <w:tc>
                  <w:tcPr>
                    <w:tcW w:w="1012" w:type="pct"/>
                    <w:vAlign w:val="center"/>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cs="PMingLiU" w:hint="eastAsia"/>
                      </w:rPr>
                      <w:t>年限平均法</w:t>
                    </w:r>
                  </w:p>
                </w:tc>
                <w:tc>
                  <w:tcPr>
                    <w:tcW w:w="1013" w:type="pct"/>
                  </w:tcPr>
                  <w:p w:rsidR="00274E95" w:rsidRPr="000F33A9" w:rsidRDefault="00274E95" w:rsidP="00601D47">
                    <w:pPr>
                      <w:rPr>
                        <w:rFonts w:asciiTheme="majorEastAsia" w:eastAsiaTheme="majorEastAsia" w:hAnsiTheme="majorEastAsia"/>
                        <w:szCs w:val="21"/>
                      </w:rPr>
                    </w:pPr>
                    <w:r w:rsidRPr="000F33A9">
                      <w:rPr>
                        <w:rFonts w:ascii="微软雅黑" w:eastAsia="微软雅黑" w:hAnsi="微软雅黑" w:cs="微软雅黑" w:hint="eastAsia"/>
                      </w:rPr>
                      <w:t> </w:t>
                    </w:r>
                  </w:p>
                </w:tc>
                <w:tc>
                  <w:tcPr>
                    <w:tcW w:w="1013" w:type="pct"/>
                  </w:tcPr>
                  <w:p w:rsidR="00274E95" w:rsidRPr="000F33A9" w:rsidRDefault="00274E95" w:rsidP="00601D47">
                    <w:pPr>
                      <w:rPr>
                        <w:rFonts w:asciiTheme="majorEastAsia" w:eastAsiaTheme="majorEastAsia" w:hAnsiTheme="majorEastAsia"/>
                        <w:szCs w:val="21"/>
                      </w:rPr>
                    </w:pPr>
                  </w:p>
                </w:tc>
                <w:tc>
                  <w:tcPr>
                    <w:tcW w:w="1013" w:type="pct"/>
                  </w:tcPr>
                  <w:p w:rsidR="00274E95" w:rsidRPr="000F33A9" w:rsidRDefault="00274E95" w:rsidP="00601D47">
                    <w:pPr>
                      <w:rPr>
                        <w:rFonts w:asciiTheme="majorEastAsia" w:eastAsiaTheme="majorEastAsia" w:hAnsiTheme="majorEastAsia"/>
                        <w:kern w:val="2"/>
                        <w:szCs w:val="21"/>
                      </w:rPr>
                    </w:pPr>
                    <w:r w:rsidRPr="000F33A9">
                      <w:rPr>
                        <w:rFonts w:ascii="微软雅黑" w:eastAsia="微软雅黑" w:hAnsi="微软雅黑" w:cs="微软雅黑" w:hint="eastAsia"/>
                      </w:rPr>
                      <w:t> </w:t>
                    </w:r>
                  </w:p>
                </w:tc>
              </w:tr>
            </w:sdtContent>
          </w:sdt>
          <w:sdt>
            <w:sdtPr>
              <w:rPr>
                <w:rFonts w:asciiTheme="majorEastAsia" w:eastAsiaTheme="majorEastAsia" w:hAnsiTheme="majorEastAsia"/>
                <w:kern w:val="2"/>
                <w:szCs w:val="21"/>
              </w:rPr>
              <w:alias w:val="其他固定资产计价、折旧、减值方法"/>
              <w:tag w:val="_GBC_f1ad6125c5d74d2a98f593d2ba574474"/>
              <w:id w:val="1782371583"/>
              <w:lock w:val="sdtLocked"/>
            </w:sdtPr>
            <w:sdtContent>
              <w:tr w:rsidR="00274E95" w:rsidTr="00601D47">
                <w:tc>
                  <w:tcPr>
                    <w:tcW w:w="949" w:type="pct"/>
                  </w:tcPr>
                  <w:p w:rsidR="00274E95" w:rsidRPr="000F33A9" w:rsidRDefault="00274E95" w:rsidP="00601D47">
                    <w:pPr>
                      <w:rPr>
                        <w:rFonts w:asciiTheme="majorEastAsia" w:eastAsiaTheme="majorEastAsia" w:hAnsiTheme="majorEastAsia"/>
                        <w:kern w:val="2"/>
                        <w:szCs w:val="21"/>
                      </w:rPr>
                    </w:pPr>
                    <w:r w:rsidRPr="000F33A9">
                      <w:rPr>
                        <w:rFonts w:asciiTheme="majorEastAsia" w:eastAsiaTheme="majorEastAsia" w:hAnsiTheme="majorEastAsia"/>
                      </w:rPr>
                      <w:t>其中：机车、货车及客车等</w:t>
                    </w:r>
                  </w:p>
                </w:tc>
                <w:tc>
                  <w:tcPr>
                    <w:tcW w:w="1012" w:type="pct"/>
                    <w:vAlign w:val="center"/>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cs="PMingLiU" w:hint="eastAsia"/>
                      </w:rPr>
                      <w:t>年限平均法</w:t>
                    </w:r>
                  </w:p>
                </w:tc>
                <w:tc>
                  <w:tcPr>
                    <w:tcW w:w="1013" w:type="pct"/>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rPr>
                      <w:t>16 - 30</w:t>
                    </w:r>
                  </w:p>
                </w:tc>
                <w:tc>
                  <w:tcPr>
                    <w:tcW w:w="1013" w:type="pct"/>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rPr>
                      <w:t>4 - 5.12</w:t>
                    </w:r>
                  </w:p>
                </w:tc>
                <w:tc>
                  <w:tcPr>
                    <w:tcW w:w="1013" w:type="pct"/>
                  </w:tcPr>
                  <w:p w:rsidR="00274E95" w:rsidRPr="000F33A9" w:rsidRDefault="00274E95" w:rsidP="00601D47">
                    <w:pPr>
                      <w:rPr>
                        <w:rFonts w:asciiTheme="majorEastAsia" w:eastAsiaTheme="majorEastAsia" w:hAnsiTheme="majorEastAsia"/>
                        <w:kern w:val="2"/>
                        <w:szCs w:val="21"/>
                      </w:rPr>
                    </w:pPr>
                    <w:r w:rsidRPr="000F33A9">
                      <w:rPr>
                        <w:rFonts w:asciiTheme="majorEastAsia" w:eastAsiaTheme="majorEastAsia" w:hAnsiTheme="majorEastAsia"/>
                      </w:rPr>
                      <w:t>3.2 - 5.93</w:t>
                    </w:r>
                  </w:p>
                </w:tc>
              </w:tr>
            </w:sdtContent>
          </w:sdt>
          <w:sdt>
            <w:sdtPr>
              <w:rPr>
                <w:rFonts w:asciiTheme="majorEastAsia" w:eastAsiaTheme="majorEastAsia" w:hAnsiTheme="majorEastAsia"/>
                <w:kern w:val="2"/>
                <w:szCs w:val="21"/>
              </w:rPr>
              <w:alias w:val="其他固定资产计价、折旧、减值方法"/>
              <w:tag w:val="_GBC_f1ad6125c5d74d2a98f593d2ba574474"/>
              <w:id w:val="-1591232568"/>
              <w:lock w:val="sdtLocked"/>
            </w:sdtPr>
            <w:sdtContent>
              <w:tr w:rsidR="00274E95" w:rsidTr="00601D47">
                <w:tc>
                  <w:tcPr>
                    <w:tcW w:w="949" w:type="pct"/>
                  </w:tcPr>
                  <w:p w:rsidR="00274E95" w:rsidRPr="000F33A9" w:rsidRDefault="00274E95" w:rsidP="00601D47">
                    <w:pPr>
                      <w:rPr>
                        <w:rFonts w:asciiTheme="majorEastAsia" w:eastAsiaTheme="majorEastAsia" w:hAnsiTheme="majorEastAsia"/>
                        <w:kern w:val="2"/>
                        <w:szCs w:val="21"/>
                      </w:rPr>
                    </w:pPr>
                    <w:r w:rsidRPr="000F33A9">
                      <w:rPr>
                        <w:rFonts w:asciiTheme="majorEastAsia" w:eastAsiaTheme="majorEastAsia" w:hAnsiTheme="majorEastAsia"/>
                      </w:rPr>
                      <w:t>动车组</w:t>
                    </w:r>
                  </w:p>
                </w:tc>
                <w:tc>
                  <w:tcPr>
                    <w:tcW w:w="1012" w:type="pct"/>
                    <w:vAlign w:val="center"/>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rPr>
                      <w:t>年限平均</w:t>
                    </w:r>
                    <w:r w:rsidRPr="000F33A9">
                      <w:rPr>
                        <w:rFonts w:asciiTheme="majorEastAsia" w:eastAsiaTheme="majorEastAsia" w:hAnsiTheme="majorEastAsia" w:cs="PMingLiU" w:hint="eastAsia"/>
                      </w:rPr>
                      <w:t>法</w:t>
                    </w:r>
                  </w:p>
                </w:tc>
                <w:tc>
                  <w:tcPr>
                    <w:tcW w:w="1013" w:type="pct"/>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rPr>
                      <w:t>20 - 30</w:t>
                    </w:r>
                  </w:p>
                </w:tc>
                <w:tc>
                  <w:tcPr>
                    <w:tcW w:w="1013" w:type="pct"/>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rPr>
                      <w:t>4</w:t>
                    </w:r>
                  </w:p>
                </w:tc>
                <w:tc>
                  <w:tcPr>
                    <w:tcW w:w="1013" w:type="pct"/>
                  </w:tcPr>
                  <w:p w:rsidR="00274E95" w:rsidRPr="000F33A9" w:rsidRDefault="00274E95" w:rsidP="00601D47">
                    <w:pPr>
                      <w:rPr>
                        <w:rFonts w:asciiTheme="majorEastAsia" w:eastAsiaTheme="majorEastAsia" w:hAnsiTheme="majorEastAsia"/>
                        <w:kern w:val="2"/>
                        <w:szCs w:val="21"/>
                      </w:rPr>
                    </w:pPr>
                    <w:r w:rsidRPr="000F33A9">
                      <w:rPr>
                        <w:rFonts w:asciiTheme="majorEastAsia" w:eastAsiaTheme="majorEastAsia" w:hAnsiTheme="majorEastAsia"/>
                      </w:rPr>
                      <w:t>3.2 - 4.8</w:t>
                    </w:r>
                  </w:p>
                </w:tc>
              </w:tr>
            </w:sdtContent>
          </w:sdt>
          <w:sdt>
            <w:sdtPr>
              <w:rPr>
                <w:rFonts w:asciiTheme="majorEastAsia" w:eastAsiaTheme="majorEastAsia" w:hAnsiTheme="majorEastAsia"/>
                <w:kern w:val="2"/>
                <w:szCs w:val="21"/>
              </w:rPr>
              <w:alias w:val="其他固定资产计价、折旧、减值方法"/>
              <w:tag w:val="_GBC_f1ad6125c5d74d2a98f593d2ba574474"/>
              <w:id w:val="-943149114"/>
              <w:lock w:val="sdtLocked"/>
            </w:sdtPr>
            <w:sdtContent>
              <w:tr w:rsidR="00274E95" w:rsidTr="00601D47">
                <w:tc>
                  <w:tcPr>
                    <w:tcW w:w="949" w:type="pct"/>
                  </w:tcPr>
                  <w:p w:rsidR="00274E95" w:rsidRPr="000F33A9" w:rsidRDefault="00274E95" w:rsidP="00601D47">
                    <w:pPr>
                      <w:rPr>
                        <w:rFonts w:asciiTheme="majorEastAsia" w:eastAsiaTheme="majorEastAsia" w:hAnsiTheme="majorEastAsia"/>
                        <w:kern w:val="2"/>
                        <w:szCs w:val="21"/>
                      </w:rPr>
                    </w:pPr>
                    <w:r w:rsidRPr="000F33A9">
                      <w:rPr>
                        <w:rFonts w:asciiTheme="majorEastAsia" w:eastAsiaTheme="majorEastAsia" w:hAnsiTheme="majorEastAsia"/>
                      </w:rPr>
                      <w:t>机车车辆高价互换配件</w:t>
                    </w:r>
                  </w:p>
                </w:tc>
                <w:tc>
                  <w:tcPr>
                    <w:tcW w:w="1012" w:type="pct"/>
                    <w:vAlign w:val="center"/>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cs="PMingLiU" w:hint="eastAsia"/>
                      </w:rPr>
                      <w:t>年限平均法</w:t>
                    </w:r>
                  </w:p>
                </w:tc>
                <w:tc>
                  <w:tcPr>
                    <w:tcW w:w="1013" w:type="pct"/>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rPr>
                      <w:t>5 - 10</w:t>
                    </w:r>
                  </w:p>
                </w:tc>
                <w:tc>
                  <w:tcPr>
                    <w:tcW w:w="1013" w:type="pct"/>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rPr>
                      <w:t>5 - 5.04</w:t>
                    </w:r>
                  </w:p>
                </w:tc>
                <w:tc>
                  <w:tcPr>
                    <w:tcW w:w="1013" w:type="pct"/>
                  </w:tcPr>
                  <w:p w:rsidR="00274E95" w:rsidRPr="000F33A9" w:rsidRDefault="00274E95" w:rsidP="00601D47">
                    <w:pPr>
                      <w:rPr>
                        <w:rFonts w:asciiTheme="majorEastAsia" w:eastAsiaTheme="majorEastAsia" w:hAnsiTheme="majorEastAsia"/>
                        <w:kern w:val="2"/>
                        <w:szCs w:val="21"/>
                      </w:rPr>
                    </w:pPr>
                    <w:r w:rsidRPr="000F33A9">
                      <w:rPr>
                        <w:rFonts w:asciiTheme="majorEastAsia" w:eastAsiaTheme="majorEastAsia" w:hAnsiTheme="majorEastAsia"/>
                      </w:rPr>
                      <w:t>9.5 - 19</w:t>
                    </w:r>
                  </w:p>
                </w:tc>
              </w:tr>
            </w:sdtContent>
          </w:sdt>
          <w:sdt>
            <w:sdtPr>
              <w:rPr>
                <w:rFonts w:asciiTheme="majorEastAsia" w:eastAsiaTheme="majorEastAsia" w:hAnsiTheme="majorEastAsia"/>
                <w:kern w:val="2"/>
                <w:szCs w:val="21"/>
              </w:rPr>
              <w:alias w:val="其他固定资产计价、折旧、减值方法"/>
              <w:tag w:val="_GBC_f1ad6125c5d74d2a98f593d2ba574474"/>
              <w:id w:val="-1497802939"/>
              <w:lock w:val="sdtLocked"/>
            </w:sdtPr>
            <w:sdtContent>
              <w:tr w:rsidR="00274E95" w:rsidTr="00601D47">
                <w:tc>
                  <w:tcPr>
                    <w:tcW w:w="949" w:type="pct"/>
                  </w:tcPr>
                  <w:p w:rsidR="00274E95" w:rsidRPr="000F33A9" w:rsidRDefault="00274E95" w:rsidP="00601D47">
                    <w:pPr>
                      <w:rPr>
                        <w:rFonts w:asciiTheme="majorEastAsia" w:eastAsiaTheme="majorEastAsia" w:hAnsiTheme="majorEastAsia"/>
                        <w:kern w:val="2"/>
                        <w:szCs w:val="21"/>
                      </w:rPr>
                    </w:pPr>
                    <w:r w:rsidRPr="000F33A9">
                      <w:rPr>
                        <w:rFonts w:asciiTheme="majorEastAsia" w:eastAsiaTheme="majorEastAsia" w:hAnsiTheme="majorEastAsia"/>
                      </w:rPr>
                      <w:t>路基</w:t>
                    </w:r>
                  </w:p>
                </w:tc>
                <w:tc>
                  <w:tcPr>
                    <w:tcW w:w="1012" w:type="pct"/>
                    <w:vAlign w:val="center"/>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cs="PMingLiU" w:hint="eastAsia"/>
                      </w:rPr>
                      <w:t>年限平均法</w:t>
                    </w:r>
                  </w:p>
                </w:tc>
                <w:tc>
                  <w:tcPr>
                    <w:tcW w:w="1013" w:type="pct"/>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rPr>
                      <w:t>100</w:t>
                    </w:r>
                  </w:p>
                </w:tc>
                <w:tc>
                  <w:tcPr>
                    <w:tcW w:w="1013" w:type="pct"/>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rPr>
                      <w:t>5</w:t>
                    </w:r>
                  </w:p>
                </w:tc>
                <w:tc>
                  <w:tcPr>
                    <w:tcW w:w="1013" w:type="pct"/>
                  </w:tcPr>
                  <w:p w:rsidR="00274E95" w:rsidRPr="000F33A9" w:rsidRDefault="00274E95" w:rsidP="00601D47">
                    <w:pPr>
                      <w:rPr>
                        <w:rFonts w:asciiTheme="majorEastAsia" w:eastAsiaTheme="majorEastAsia" w:hAnsiTheme="majorEastAsia"/>
                        <w:kern w:val="2"/>
                        <w:szCs w:val="21"/>
                      </w:rPr>
                    </w:pPr>
                    <w:r w:rsidRPr="000F33A9">
                      <w:rPr>
                        <w:rFonts w:asciiTheme="majorEastAsia" w:eastAsiaTheme="majorEastAsia" w:hAnsiTheme="majorEastAsia"/>
                      </w:rPr>
                      <w:t>0.95</w:t>
                    </w:r>
                  </w:p>
                </w:tc>
              </w:tr>
            </w:sdtContent>
          </w:sdt>
          <w:sdt>
            <w:sdtPr>
              <w:rPr>
                <w:rFonts w:asciiTheme="majorEastAsia" w:eastAsiaTheme="majorEastAsia" w:hAnsiTheme="majorEastAsia"/>
                <w:kern w:val="2"/>
                <w:szCs w:val="21"/>
              </w:rPr>
              <w:alias w:val="其他固定资产计价、折旧、减值方法"/>
              <w:tag w:val="_GBC_f1ad6125c5d74d2a98f593d2ba574474"/>
              <w:id w:val="1105926141"/>
              <w:lock w:val="sdtLocked"/>
            </w:sdtPr>
            <w:sdtContent>
              <w:tr w:rsidR="00274E95" w:rsidTr="00601D47">
                <w:tc>
                  <w:tcPr>
                    <w:tcW w:w="949" w:type="pct"/>
                  </w:tcPr>
                  <w:p w:rsidR="00274E95" w:rsidRPr="000F33A9" w:rsidRDefault="00274E95" w:rsidP="00601D47">
                    <w:pPr>
                      <w:rPr>
                        <w:rFonts w:asciiTheme="majorEastAsia" w:eastAsiaTheme="majorEastAsia" w:hAnsiTheme="majorEastAsia"/>
                        <w:kern w:val="2"/>
                        <w:szCs w:val="21"/>
                      </w:rPr>
                    </w:pPr>
                    <w:r w:rsidRPr="000F33A9">
                      <w:rPr>
                        <w:rFonts w:asciiTheme="majorEastAsia" w:eastAsiaTheme="majorEastAsia" w:hAnsiTheme="majorEastAsia"/>
                      </w:rPr>
                      <w:t>轨道 (钢轨、轨枕、道碴)</w:t>
                    </w:r>
                  </w:p>
                </w:tc>
                <w:tc>
                  <w:tcPr>
                    <w:tcW w:w="1012" w:type="pct"/>
                    <w:vAlign w:val="center"/>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cs="PMingLiU" w:hint="eastAsia"/>
                      </w:rPr>
                      <w:t>年限平均法</w:t>
                    </w:r>
                  </w:p>
                </w:tc>
                <w:tc>
                  <w:tcPr>
                    <w:tcW w:w="1013" w:type="pct"/>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rPr>
                      <w:t>25 - 45</w:t>
                    </w:r>
                  </w:p>
                </w:tc>
                <w:tc>
                  <w:tcPr>
                    <w:tcW w:w="1013" w:type="pct"/>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rPr>
                      <w:t>5 - 7</w:t>
                    </w:r>
                  </w:p>
                </w:tc>
                <w:tc>
                  <w:tcPr>
                    <w:tcW w:w="1013" w:type="pct"/>
                  </w:tcPr>
                  <w:p w:rsidR="00274E95" w:rsidRPr="000F33A9" w:rsidRDefault="00274E95" w:rsidP="00601D47">
                    <w:pPr>
                      <w:rPr>
                        <w:rFonts w:asciiTheme="majorEastAsia" w:eastAsiaTheme="majorEastAsia" w:hAnsiTheme="majorEastAsia"/>
                        <w:kern w:val="2"/>
                        <w:szCs w:val="21"/>
                      </w:rPr>
                    </w:pPr>
                    <w:r w:rsidRPr="000F33A9">
                      <w:rPr>
                        <w:rFonts w:asciiTheme="majorEastAsia" w:eastAsiaTheme="majorEastAsia" w:hAnsiTheme="majorEastAsia"/>
                      </w:rPr>
                      <w:t>2.07 - 3.8</w:t>
                    </w:r>
                  </w:p>
                </w:tc>
              </w:tr>
            </w:sdtContent>
          </w:sdt>
          <w:sdt>
            <w:sdtPr>
              <w:rPr>
                <w:rFonts w:asciiTheme="majorEastAsia" w:eastAsiaTheme="majorEastAsia" w:hAnsiTheme="majorEastAsia"/>
                <w:kern w:val="2"/>
                <w:szCs w:val="21"/>
              </w:rPr>
              <w:alias w:val="其他固定资产计价、折旧、减值方法"/>
              <w:tag w:val="_GBC_f1ad6125c5d74d2a98f593d2ba574474"/>
              <w:id w:val="-2001793531"/>
              <w:lock w:val="sdtLocked"/>
            </w:sdtPr>
            <w:sdtContent>
              <w:tr w:rsidR="00274E95" w:rsidTr="00601D47">
                <w:tc>
                  <w:tcPr>
                    <w:tcW w:w="949" w:type="pct"/>
                  </w:tcPr>
                  <w:p w:rsidR="00274E95" w:rsidRPr="000F33A9" w:rsidRDefault="00274E95" w:rsidP="00601D47">
                    <w:pPr>
                      <w:rPr>
                        <w:rFonts w:asciiTheme="majorEastAsia" w:eastAsiaTheme="majorEastAsia" w:hAnsiTheme="majorEastAsia"/>
                        <w:kern w:val="2"/>
                        <w:szCs w:val="21"/>
                      </w:rPr>
                    </w:pPr>
                    <w:r w:rsidRPr="000F33A9">
                      <w:rPr>
                        <w:rFonts w:asciiTheme="majorEastAsia" w:eastAsiaTheme="majorEastAsia" w:hAnsiTheme="majorEastAsia"/>
                      </w:rPr>
                      <w:t>道岔</w:t>
                    </w:r>
                  </w:p>
                </w:tc>
                <w:tc>
                  <w:tcPr>
                    <w:tcW w:w="1012" w:type="pct"/>
                    <w:vAlign w:val="center"/>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rPr>
                      <w:t>年限平均</w:t>
                    </w:r>
                    <w:r w:rsidRPr="000F33A9">
                      <w:rPr>
                        <w:rFonts w:asciiTheme="majorEastAsia" w:eastAsiaTheme="majorEastAsia" w:hAnsiTheme="majorEastAsia" w:cs="PMingLiU" w:hint="eastAsia"/>
                      </w:rPr>
                      <w:t>法</w:t>
                    </w:r>
                  </w:p>
                </w:tc>
                <w:tc>
                  <w:tcPr>
                    <w:tcW w:w="1013" w:type="pct"/>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rPr>
                      <w:t>15 - 20</w:t>
                    </w:r>
                  </w:p>
                </w:tc>
                <w:tc>
                  <w:tcPr>
                    <w:tcW w:w="1013" w:type="pct"/>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rPr>
                      <w:t>2 - 5</w:t>
                    </w:r>
                  </w:p>
                </w:tc>
                <w:tc>
                  <w:tcPr>
                    <w:tcW w:w="1013" w:type="pct"/>
                  </w:tcPr>
                  <w:p w:rsidR="00274E95" w:rsidRPr="000F33A9" w:rsidRDefault="00274E95" w:rsidP="00601D47">
                    <w:pPr>
                      <w:rPr>
                        <w:rFonts w:asciiTheme="majorEastAsia" w:eastAsiaTheme="majorEastAsia" w:hAnsiTheme="majorEastAsia"/>
                        <w:kern w:val="2"/>
                        <w:szCs w:val="21"/>
                      </w:rPr>
                    </w:pPr>
                    <w:r w:rsidRPr="000F33A9">
                      <w:rPr>
                        <w:rFonts w:asciiTheme="majorEastAsia" w:eastAsiaTheme="majorEastAsia" w:hAnsiTheme="majorEastAsia"/>
                      </w:rPr>
                      <w:t>4.75 - 6.53</w:t>
                    </w:r>
                  </w:p>
                </w:tc>
              </w:tr>
            </w:sdtContent>
          </w:sdt>
          <w:sdt>
            <w:sdtPr>
              <w:rPr>
                <w:rFonts w:asciiTheme="majorEastAsia" w:eastAsiaTheme="majorEastAsia" w:hAnsiTheme="majorEastAsia"/>
                <w:kern w:val="2"/>
                <w:szCs w:val="21"/>
              </w:rPr>
              <w:alias w:val="其他固定资产计价、折旧、减值方法"/>
              <w:tag w:val="_GBC_f1ad6125c5d74d2a98f593d2ba574474"/>
              <w:id w:val="712933959"/>
              <w:lock w:val="sdtLocked"/>
            </w:sdtPr>
            <w:sdtContent>
              <w:tr w:rsidR="00274E95" w:rsidTr="00601D47">
                <w:tc>
                  <w:tcPr>
                    <w:tcW w:w="949" w:type="pct"/>
                  </w:tcPr>
                  <w:p w:rsidR="00274E95" w:rsidRPr="000F33A9" w:rsidRDefault="00274E95" w:rsidP="00601D47">
                    <w:pPr>
                      <w:rPr>
                        <w:rFonts w:asciiTheme="majorEastAsia" w:eastAsiaTheme="majorEastAsia" w:hAnsiTheme="majorEastAsia"/>
                        <w:kern w:val="2"/>
                        <w:szCs w:val="21"/>
                      </w:rPr>
                    </w:pPr>
                    <w:r w:rsidRPr="000F33A9">
                      <w:rPr>
                        <w:rFonts w:asciiTheme="majorEastAsia" w:eastAsiaTheme="majorEastAsia" w:hAnsiTheme="majorEastAsia"/>
                      </w:rPr>
                      <w:t>桥梁</w:t>
                    </w:r>
                  </w:p>
                </w:tc>
                <w:tc>
                  <w:tcPr>
                    <w:tcW w:w="1012" w:type="pct"/>
                    <w:vAlign w:val="center"/>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cs="PMingLiU" w:hint="eastAsia"/>
                      </w:rPr>
                      <w:t>年限平均法</w:t>
                    </w:r>
                  </w:p>
                </w:tc>
                <w:tc>
                  <w:tcPr>
                    <w:tcW w:w="1013" w:type="pct"/>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rPr>
                      <w:t>65</w:t>
                    </w:r>
                  </w:p>
                </w:tc>
                <w:tc>
                  <w:tcPr>
                    <w:tcW w:w="1013" w:type="pct"/>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rPr>
                      <w:t>5.1</w:t>
                    </w:r>
                  </w:p>
                </w:tc>
                <w:tc>
                  <w:tcPr>
                    <w:tcW w:w="1013" w:type="pct"/>
                  </w:tcPr>
                  <w:p w:rsidR="00274E95" w:rsidRPr="000F33A9" w:rsidRDefault="00274E95" w:rsidP="00601D47">
                    <w:pPr>
                      <w:rPr>
                        <w:rFonts w:asciiTheme="majorEastAsia" w:eastAsiaTheme="majorEastAsia" w:hAnsiTheme="majorEastAsia"/>
                        <w:kern w:val="2"/>
                        <w:szCs w:val="21"/>
                      </w:rPr>
                    </w:pPr>
                    <w:r w:rsidRPr="000F33A9">
                      <w:rPr>
                        <w:rFonts w:asciiTheme="majorEastAsia" w:eastAsiaTheme="majorEastAsia" w:hAnsiTheme="majorEastAsia"/>
                      </w:rPr>
                      <w:t>1.46</w:t>
                    </w:r>
                  </w:p>
                </w:tc>
              </w:tr>
            </w:sdtContent>
          </w:sdt>
          <w:sdt>
            <w:sdtPr>
              <w:rPr>
                <w:rFonts w:asciiTheme="majorEastAsia" w:eastAsiaTheme="majorEastAsia" w:hAnsiTheme="majorEastAsia"/>
                <w:kern w:val="2"/>
                <w:szCs w:val="21"/>
              </w:rPr>
              <w:alias w:val="其他固定资产计价、折旧、减值方法"/>
              <w:tag w:val="_GBC_f1ad6125c5d74d2a98f593d2ba574474"/>
              <w:id w:val="682952420"/>
              <w:lock w:val="sdtLocked"/>
            </w:sdtPr>
            <w:sdtContent>
              <w:tr w:rsidR="00274E95" w:rsidTr="00601D47">
                <w:tc>
                  <w:tcPr>
                    <w:tcW w:w="949" w:type="pct"/>
                  </w:tcPr>
                  <w:p w:rsidR="00274E95" w:rsidRPr="000F33A9" w:rsidRDefault="00274E95" w:rsidP="00601D47">
                    <w:pPr>
                      <w:rPr>
                        <w:rFonts w:asciiTheme="majorEastAsia" w:eastAsiaTheme="majorEastAsia" w:hAnsiTheme="majorEastAsia"/>
                        <w:kern w:val="2"/>
                        <w:szCs w:val="21"/>
                      </w:rPr>
                    </w:pPr>
                    <w:r w:rsidRPr="000F33A9">
                      <w:rPr>
                        <w:rFonts w:asciiTheme="majorEastAsia" w:eastAsiaTheme="majorEastAsia" w:hAnsiTheme="majorEastAsia"/>
                      </w:rPr>
                      <w:t>隧道</w:t>
                    </w:r>
                  </w:p>
                </w:tc>
                <w:tc>
                  <w:tcPr>
                    <w:tcW w:w="1012" w:type="pct"/>
                    <w:vAlign w:val="center"/>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cs="PMingLiU" w:hint="eastAsia"/>
                      </w:rPr>
                      <w:t>年限平均法</w:t>
                    </w:r>
                  </w:p>
                </w:tc>
                <w:tc>
                  <w:tcPr>
                    <w:tcW w:w="1013" w:type="pct"/>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rPr>
                      <w:t>80</w:t>
                    </w:r>
                  </w:p>
                </w:tc>
                <w:tc>
                  <w:tcPr>
                    <w:tcW w:w="1013" w:type="pct"/>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rPr>
                      <w:t>5.6</w:t>
                    </w:r>
                  </w:p>
                </w:tc>
                <w:tc>
                  <w:tcPr>
                    <w:tcW w:w="1013" w:type="pct"/>
                  </w:tcPr>
                  <w:p w:rsidR="00274E95" w:rsidRPr="000F33A9" w:rsidRDefault="00274E95" w:rsidP="00601D47">
                    <w:pPr>
                      <w:rPr>
                        <w:rFonts w:asciiTheme="majorEastAsia" w:eastAsiaTheme="majorEastAsia" w:hAnsiTheme="majorEastAsia"/>
                        <w:kern w:val="2"/>
                        <w:szCs w:val="21"/>
                      </w:rPr>
                    </w:pPr>
                    <w:r w:rsidRPr="000F33A9">
                      <w:rPr>
                        <w:rFonts w:asciiTheme="majorEastAsia" w:eastAsiaTheme="majorEastAsia" w:hAnsiTheme="majorEastAsia"/>
                      </w:rPr>
                      <w:t>1.18</w:t>
                    </w:r>
                  </w:p>
                </w:tc>
              </w:tr>
            </w:sdtContent>
          </w:sdt>
          <w:sdt>
            <w:sdtPr>
              <w:rPr>
                <w:rFonts w:asciiTheme="majorEastAsia" w:eastAsiaTheme="majorEastAsia" w:hAnsiTheme="majorEastAsia"/>
                <w:kern w:val="2"/>
                <w:szCs w:val="21"/>
              </w:rPr>
              <w:alias w:val="其他固定资产计价、折旧、减值方法"/>
              <w:tag w:val="_GBC_f1ad6125c5d74d2a98f593d2ba574474"/>
              <w:id w:val="-1719115035"/>
              <w:lock w:val="sdtLocked"/>
            </w:sdtPr>
            <w:sdtContent>
              <w:tr w:rsidR="00274E95" w:rsidTr="00601D47">
                <w:tc>
                  <w:tcPr>
                    <w:tcW w:w="949" w:type="pct"/>
                  </w:tcPr>
                  <w:p w:rsidR="00274E95" w:rsidRPr="000F33A9" w:rsidRDefault="00274E95" w:rsidP="00601D47">
                    <w:pPr>
                      <w:rPr>
                        <w:rFonts w:asciiTheme="majorEastAsia" w:eastAsiaTheme="majorEastAsia" w:hAnsiTheme="majorEastAsia"/>
                        <w:kern w:val="2"/>
                        <w:szCs w:val="21"/>
                      </w:rPr>
                    </w:pPr>
                    <w:r w:rsidRPr="000F33A9">
                      <w:rPr>
                        <w:rFonts w:asciiTheme="majorEastAsia" w:eastAsiaTheme="majorEastAsia" w:hAnsiTheme="majorEastAsia"/>
                      </w:rPr>
                      <w:t>道口</w:t>
                    </w:r>
                  </w:p>
                </w:tc>
                <w:tc>
                  <w:tcPr>
                    <w:tcW w:w="1012" w:type="pct"/>
                    <w:vAlign w:val="center"/>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cs="PMingLiU" w:hint="eastAsia"/>
                      </w:rPr>
                      <w:t>年限平均法</w:t>
                    </w:r>
                  </w:p>
                </w:tc>
                <w:tc>
                  <w:tcPr>
                    <w:tcW w:w="1013" w:type="pct"/>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rPr>
                      <w:t>45</w:t>
                    </w:r>
                  </w:p>
                </w:tc>
                <w:tc>
                  <w:tcPr>
                    <w:tcW w:w="1013" w:type="pct"/>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rPr>
                      <w:t>5.05</w:t>
                    </w:r>
                  </w:p>
                </w:tc>
                <w:tc>
                  <w:tcPr>
                    <w:tcW w:w="1013" w:type="pct"/>
                  </w:tcPr>
                  <w:p w:rsidR="00274E95" w:rsidRPr="000F33A9" w:rsidRDefault="00274E95" w:rsidP="00601D47">
                    <w:pPr>
                      <w:rPr>
                        <w:rFonts w:asciiTheme="majorEastAsia" w:eastAsiaTheme="majorEastAsia" w:hAnsiTheme="majorEastAsia"/>
                        <w:kern w:val="2"/>
                        <w:szCs w:val="21"/>
                      </w:rPr>
                    </w:pPr>
                    <w:r w:rsidRPr="000F33A9">
                      <w:rPr>
                        <w:rFonts w:asciiTheme="majorEastAsia" w:eastAsiaTheme="majorEastAsia" w:hAnsiTheme="majorEastAsia"/>
                      </w:rPr>
                      <w:t>2.11</w:t>
                    </w:r>
                  </w:p>
                </w:tc>
              </w:tr>
            </w:sdtContent>
          </w:sdt>
          <w:sdt>
            <w:sdtPr>
              <w:rPr>
                <w:rFonts w:asciiTheme="majorEastAsia" w:eastAsiaTheme="majorEastAsia" w:hAnsiTheme="majorEastAsia"/>
                <w:kern w:val="2"/>
                <w:szCs w:val="21"/>
              </w:rPr>
              <w:alias w:val="其他固定资产计价、折旧、减值方法"/>
              <w:tag w:val="_GBC_f1ad6125c5d74d2a98f593d2ba574474"/>
              <w:id w:val="1155490365"/>
              <w:lock w:val="sdtLocked"/>
            </w:sdtPr>
            <w:sdtContent>
              <w:tr w:rsidR="00274E95" w:rsidTr="00601D47">
                <w:tc>
                  <w:tcPr>
                    <w:tcW w:w="949" w:type="pct"/>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rPr>
                      <w:t>涵和其他桥隧建筑物</w:t>
                    </w:r>
                  </w:p>
                </w:tc>
                <w:tc>
                  <w:tcPr>
                    <w:tcW w:w="1012" w:type="pct"/>
                    <w:vAlign w:val="center"/>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rPr>
                      <w:t>年限平均</w:t>
                    </w:r>
                    <w:r w:rsidRPr="000F33A9">
                      <w:rPr>
                        <w:rFonts w:asciiTheme="majorEastAsia" w:eastAsiaTheme="majorEastAsia" w:hAnsiTheme="majorEastAsia" w:cs="PMingLiU" w:hint="eastAsia"/>
                      </w:rPr>
                      <w:t>法</w:t>
                    </w:r>
                  </w:p>
                </w:tc>
                <w:tc>
                  <w:tcPr>
                    <w:tcW w:w="1013" w:type="pct"/>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rPr>
                      <w:t>45 - 55</w:t>
                    </w:r>
                  </w:p>
                </w:tc>
                <w:tc>
                  <w:tcPr>
                    <w:tcW w:w="1013" w:type="pct"/>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rPr>
                      <w:t>5.05 - 6.5</w:t>
                    </w:r>
                  </w:p>
                </w:tc>
                <w:tc>
                  <w:tcPr>
                    <w:tcW w:w="1013" w:type="pct"/>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rPr>
                      <w:t>1.7 - 2.11</w:t>
                    </w:r>
                  </w:p>
                </w:tc>
              </w:tr>
            </w:sdtContent>
          </w:sdt>
          <w:sdt>
            <w:sdtPr>
              <w:rPr>
                <w:rFonts w:asciiTheme="majorEastAsia" w:eastAsiaTheme="majorEastAsia" w:hAnsiTheme="majorEastAsia"/>
                <w:kern w:val="2"/>
                <w:szCs w:val="21"/>
              </w:rPr>
              <w:alias w:val="其他固定资产计价、折旧、减值方法"/>
              <w:tag w:val="_GBC_f1ad6125c5d74d2a98f593d2ba574474"/>
              <w:id w:val="620271681"/>
              <w:lock w:val="sdtLocked"/>
            </w:sdtPr>
            <w:sdtContent>
              <w:tr w:rsidR="00274E95" w:rsidTr="00601D47">
                <w:tc>
                  <w:tcPr>
                    <w:tcW w:w="949" w:type="pct"/>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rPr>
                      <w:t>防护林</w:t>
                    </w:r>
                  </w:p>
                </w:tc>
                <w:tc>
                  <w:tcPr>
                    <w:tcW w:w="1012" w:type="pct"/>
                    <w:vAlign w:val="center"/>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cs="PMingLiU" w:hint="eastAsia"/>
                      </w:rPr>
                      <w:t>年限平均法</w:t>
                    </w:r>
                  </w:p>
                </w:tc>
                <w:tc>
                  <w:tcPr>
                    <w:tcW w:w="1013" w:type="pct"/>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rPr>
                      <w:t>45</w:t>
                    </w:r>
                  </w:p>
                </w:tc>
                <w:tc>
                  <w:tcPr>
                    <w:tcW w:w="1013" w:type="pct"/>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rPr>
                      <w:t>5.05</w:t>
                    </w:r>
                  </w:p>
                </w:tc>
                <w:tc>
                  <w:tcPr>
                    <w:tcW w:w="1013" w:type="pct"/>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rPr>
                      <w:t>2.11</w:t>
                    </w:r>
                  </w:p>
                </w:tc>
              </w:tr>
            </w:sdtContent>
          </w:sdt>
          <w:sdt>
            <w:sdtPr>
              <w:rPr>
                <w:rFonts w:asciiTheme="majorEastAsia" w:eastAsiaTheme="majorEastAsia" w:hAnsiTheme="majorEastAsia"/>
                <w:kern w:val="2"/>
                <w:szCs w:val="21"/>
              </w:rPr>
              <w:alias w:val="其他固定资产计价、折旧、减值方法"/>
              <w:tag w:val="_GBC_f1ad6125c5d74d2a98f593d2ba574474"/>
              <w:id w:val="1163135522"/>
              <w:lock w:val="sdtLocked"/>
            </w:sdtPr>
            <w:sdtContent>
              <w:tr w:rsidR="00274E95" w:rsidTr="00601D47">
                <w:tc>
                  <w:tcPr>
                    <w:tcW w:w="949" w:type="pct"/>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rPr>
                      <w:t>线路隔离网</w:t>
                    </w:r>
                  </w:p>
                </w:tc>
                <w:tc>
                  <w:tcPr>
                    <w:tcW w:w="1012" w:type="pct"/>
                    <w:vAlign w:val="center"/>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cs="PMingLiU" w:hint="eastAsia"/>
                      </w:rPr>
                      <w:t>年限平均法</w:t>
                    </w:r>
                  </w:p>
                </w:tc>
                <w:tc>
                  <w:tcPr>
                    <w:tcW w:w="1013" w:type="pct"/>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rPr>
                      <w:t>15</w:t>
                    </w:r>
                  </w:p>
                </w:tc>
                <w:tc>
                  <w:tcPr>
                    <w:tcW w:w="1013" w:type="pct"/>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rPr>
                      <w:t>5.05</w:t>
                    </w:r>
                  </w:p>
                </w:tc>
                <w:tc>
                  <w:tcPr>
                    <w:tcW w:w="1013" w:type="pct"/>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rPr>
                      <w:t>6.33</w:t>
                    </w:r>
                  </w:p>
                </w:tc>
              </w:tr>
            </w:sdtContent>
          </w:sdt>
          <w:sdt>
            <w:sdtPr>
              <w:rPr>
                <w:rFonts w:asciiTheme="majorEastAsia" w:eastAsiaTheme="majorEastAsia" w:hAnsiTheme="majorEastAsia"/>
                <w:kern w:val="2"/>
                <w:szCs w:val="21"/>
              </w:rPr>
              <w:alias w:val="其他固定资产计价、折旧、减值方法"/>
              <w:tag w:val="_GBC_f1ad6125c5d74d2a98f593d2ba574474"/>
              <w:id w:val="300121050"/>
              <w:lock w:val="sdtLocked"/>
            </w:sdtPr>
            <w:sdtContent>
              <w:tr w:rsidR="00274E95" w:rsidTr="00601D47">
                <w:tc>
                  <w:tcPr>
                    <w:tcW w:w="949" w:type="pct"/>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rPr>
                      <w:t>通信信号设备</w:t>
                    </w:r>
                  </w:p>
                </w:tc>
                <w:tc>
                  <w:tcPr>
                    <w:tcW w:w="1012" w:type="pct"/>
                    <w:vAlign w:val="center"/>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cs="PMingLiU" w:hint="eastAsia"/>
                      </w:rPr>
                      <w:t>年限平均法</w:t>
                    </w:r>
                  </w:p>
                </w:tc>
                <w:tc>
                  <w:tcPr>
                    <w:tcW w:w="1013" w:type="pct"/>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rPr>
                      <w:t>8</w:t>
                    </w:r>
                  </w:p>
                </w:tc>
                <w:tc>
                  <w:tcPr>
                    <w:tcW w:w="1013" w:type="pct"/>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rPr>
                      <w:t>5.04</w:t>
                    </w:r>
                  </w:p>
                </w:tc>
                <w:tc>
                  <w:tcPr>
                    <w:tcW w:w="1013" w:type="pct"/>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rPr>
                      <w:t>11.87</w:t>
                    </w:r>
                  </w:p>
                </w:tc>
              </w:tr>
            </w:sdtContent>
          </w:sdt>
          <w:sdt>
            <w:sdtPr>
              <w:rPr>
                <w:rFonts w:asciiTheme="majorEastAsia" w:eastAsiaTheme="majorEastAsia" w:hAnsiTheme="majorEastAsia"/>
                <w:kern w:val="2"/>
                <w:szCs w:val="21"/>
              </w:rPr>
              <w:alias w:val="其他固定资产计价、折旧、减值方法"/>
              <w:tag w:val="_GBC_f1ad6125c5d74d2a98f593d2ba574474"/>
              <w:id w:val="-1218203097"/>
              <w:lock w:val="sdtLocked"/>
            </w:sdtPr>
            <w:sdtContent>
              <w:tr w:rsidR="00274E95" w:rsidTr="00601D47">
                <w:tc>
                  <w:tcPr>
                    <w:tcW w:w="949" w:type="pct"/>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rPr>
                      <w:t>电气化供电系统</w:t>
                    </w:r>
                  </w:p>
                </w:tc>
                <w:tc>
                  <w:tcPr>
                    <w:tcW w:w="1012" w:type="pct"/>
                    <w:vAlign w:val="center"/>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rPr>
                      <w:t>年限平均</w:t>
                    </w:r>
                    <w:r w:rsidRPr="000F33A9">
                      <w:rPr>
                        <w:rFonts w:asciiTheme="majorEastAsia" w:eastAsiaTheme="majorEastAsia" w:hAnsiTheme="majorEastAsia" w:cs="PMingLiU" w:hint="eastAsia"/>
                      </w:rPr>
                      <w:t>法</w:t>
                    </w:r>
                  </w:p>
                </w:tc>
                <w:tc>
                  <w:tcPr>
                    <w:tcW w:w="1013" w:type="pct"/>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rPr>
                      <w:t>8</w:t>
                    </w:r>
                  </w:p>
                </w:tc>
                <w:tc>
                  <w:tcPr>
                    <w:tcW w:w="1013" w:type="pct"/>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rPr>
                      <w:t>5.04</w:t>
                    </w:r>
                  </w:p>
                </w:tc>
                <w:tc>
                  <w:tcPr>
                    <w:tcW w:w="1013" w:type="pct"/>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rPr>
                      <w:t>11.87</w:t>
                    </w:r>
                  </w:p>
                </w:tc>
              </w:tr>
            </w:sdtContent>
          </w:sdt>
          <w:sdt>
            <w:sdtPr>
              <w:rPr>
                <w:rFonts w:asciiTheme="majorEastAsia" w:eastAsiaTheme="majorEastAsia" w:hAnsiTheme="majorEastAsia"/>
                <w:kern w:val="2"/>
                <w:szCs w:val="21"/>
              </w:rPr>
              <w:alias w:val="其他固定资产计价、折旧、减值方法"/>
              <w:tag w:val="_GBC_f1ad6125c5d74d2a98f593d2ba574474"/>
              <w:id w:val="-397674443"/>
              <w:lock w:val="sdtLocked"/>
            </w:sdtPr>
            <w:sdtContent>
              <w:tr w:rsidR="00274E95" w:rsidTr="00601D47">
                <w:tc>
                  <w:tcPr>
                    <w:tcW w:w="949" w:type="pct"/>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rPr>
                      <w:t>机械动力设备</w:t>
                    </w:r>
                  </w:p>
                </w:tc>
                <w:tc>
                  <w:tcPr>
                    <w:tcW w:w="1012" w:type="pct"/>
                    <w:vAlign w:val="center"/>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cs="PMingLiU" w:hint="eastAsia"/>
                      </w:rPr>
                      <w:t>年限平均法</w:t>
                    </w:r>
                  </w:p>
                </w:tc>
                <w:tc>
                  <w:tcPr>
                    <w:tcW w:w="1013" w:type="pct"/>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rPr>
                      <w:t>10</w:t>
                    </w:r>
                  </w:p>
                </w:tc>
                <w:tc>
                  <w:tcPr>
                    <w:tcW w:w="1013" w:type="pct"/>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rPr>
                      <w:t>5</w:t>
                    </w:r>
                  </w:p>
                </w:tc>
                <w:tc>
                  <w:tcPr>
                    <w:tcW w:w="1013" w:type="pct"/>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rPr>
                      <w:t>9.5</w:t>
                    </w:r>
                  </w:p>
                </w:tc>
              </w:tr>
            </w:sdtContent>
          </w:sdt>
          <w:sdt>
            <w:sdtPr>
              <w:rPr>
                <w:rFonts w:asciiTheme="majorEastAsia" w:eastAsiaTheme="majorEastAsia" w:hAnsiTheme="majorEastAsia"/>
                <w:kern w:val="2"/>
                <w:szCs w:val="21"/>
              </w:rPr>
              <w:alias w:val="其他固定资产计价、折旧、减值方法"/>
              <w:tag w:val="_GBC_f1ad6125c5d74d2a98f593d2ba574474"/>
              <w:id w:val="2093348329"/>
              <w:lock w:val="sdtLocked"/>
            </w:sdtPr>
            <w:sdtContent>
              <w:tr w:rsidR="00274E95" w:rsidTr="00601D47">
                <w:tc>
                  <w:tcPr>
                    <w:tcW w:w="949" w:type="pct"/>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rPr>
                      <w:t>运输设备</w:t>
                    </w:r>
                  </w:p>
                </w:tc>
                <w:tc>
                  <w:tcPr>
                    <w:tcW w:w="1012" w:type="pct"/>
                    <w:vAlign w:val="center"/>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cs="PMingLiU" w:hint="eastAsia"/>
                      </w:rPr>
                      <w:t>年限平均法</w:t>
                    </w:r>
                  </w:p>
                </w:tc>
                <w:tc>
                  <w:tcPr>
                    <w:tcW w:w="1013" w:type="pct"/>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rPr>
                      <w:t>8</w:t>
                    </w:r>
                  </w:p>
                </w:tc>
                <w:tc>
                  <w:tcPr>
                    <w:tcW w:w="1013" w:type="pct"/>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rPr>
                      <w:t>5.04</w:t>
                    </w:r>
                  </w:p>
                </w:tc>
                <w:tc>
                  <w:tcPr>
                    <w:tcW w:w="1013" w:type="pct"/>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rPr>
                      <w:t>11.87</w:t>
                    </w:r>
                  </w:p>
                </w:tc>
              </w:tr>
            </w:sdtContent>
          </w:sdt>
          <w:sdt>
            <w:sdtPr>
              <w:rPr>
                <w:rFonts w:asciiTheme="majorEastAsia" w:eastAsiaTheme="majorEastAsia" w:hAnsiTheme="majorEastAsia"/>
                <w:kern w:val="2"/>
                <w:szCs w:val="21"/>
              </w:rPr>
              <w:alias w:val="其他固定资产计价、折旧、减值方法"/>
              <w:tag w:val="_GBC_f1ad6125c5d74d2a98f593d2ba574474"/>
              <w:id w:val="1240220282"/>
              <w:lock w:val="sdtLocked"/>
            </w:sdtPr>
            <w:sdtContent>
              <w:tr w:rsidR="00274E95" w:rsidTr="00601D47">
                <w:tc>
                  <w:tcPr>
                    <w:tcW w:w="949" w:type="pct"/>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rPr>
                      <w:t>传导设备</w:t>
                    </w:r>
                  </w:p>
                </w:tc>
                <w:tc>
                  <w:tcPr>
                    <w:tcW w:w="1012" w:type="pct"/>
                    <w:vAlign w:val="center"/>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cs="PMingLiU" w:hint="eastAsia"/>
                      </w:rPr>
                      <w:t>年限平均法</w:t>
                    </w:r>
                  </w:p>
                </w:tc>
                <w:tc>
                  <w:tcPr>
                    <w:tcW w:w="1013" w:type="pct"/>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rPr>
                      <w:t>20</w:t>
                    </w:r>
                  </w:p>
                </w:tc>
                <w:tc>
                  <w:tcPr>
                    <w:tcW w:w="1013" w:type="pct"/>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rPr>
                      <w:t>5</w:t>
                    </w:r>
                  </w:p>
                </w:tc>
                <w:tc>
                  <w:tcPr>
                    <w:tcW w:w="1013" w:type="pct"/>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rPr>
                      <w:t>4.75</w:t>
                    </w:r>
                  </w:p>
                </w:tc>
              </w:tr>
            </w:sdtContent>
          </w:sdt>
          <w:sdt>
            <w:sdtPr>
              <w:rPr>
                <w:rFonts w:asciiTheme="majorEastAsia" w:eastAsiaTheme="majorEastAsia" w:hAnsiTheme="majorEastAsia"/>
                <w:kern w:val="2"/>
                <w:szCs w:val="21"/>
              </w:rPr>
              <w:alias w:val="其他固定资产计价、折旧、减值方法"/>
              <w:tag w:val="_GBC_f1ad6125c5d74d2a98f593d2ba574474"/>
              <w:id w:val="-1797366065"/>
              <w:lock w:val="sdtLocked"/>
            </w:sdtPr>
            <w:sdtContent>
              <w:tr w:rsidR="00274E95" w:rsidTr="00601D47">
                <w:tc>
                  <w:tcPr>
                    <w:tcW w:w="949" w:type="pct"/>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rPr>
                      <w:t>仪器仪表</w:t>
                    </w:r>
                  </w:p>
                </w:tc>
                <w:tc>
                  <w:tcPr>
                    <w:tcW w:w="1012" w:type="pct"/>
                    <w:vAlign w:val="center"/>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rPr>
                      <w:t>年限平均</w:t>
                    </w:r>
                    <w:r w:rsidRPr="000F33A9">
                      <w:rPr>
                        <w:rFonts w:asciiTheme="majorEastAsia" w:eastAsiaTheme="majorEastAsia" w:hAnsiTheme="majorEastAsia" w:cs="PMingLiU" w:hint="eastAsia"/>
                      </w:rPr>
                      <w:t>法</w:t>
                    </w:r>
                  </w:p>
                </w:tc>
                <w:tc>
                  <w:tcPr>
                    <w:tcW w:w="1013" w:type="pct"/>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rPr>
                      <w:t>8</w:t>
                    </w:r>
                  </w:p>
                </w:tc>
                <w:tc>
                  <w:tcPr>
                    <w:tcW w:w="1013" w:type="pct"/>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rPr>
                      <w:t>5.04</w:t>
                    </w:r>
                  </w:p>
                </w:tc>
                <w:tc>
                  <w:tcPr>
                    <w:tcW w:w="1013" w:type="pct"/>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rPr>
                      <w:t>11.87</w:t>
                    </w:r>
                  </w:p>
                </w:tc>
              </w:tr>
            </w:sdtContent>
          </w:sdt>
          <w:sdt>
            <w:sdtPr>
              <w:rPr>
                <w:rFonts w:asciiTheme="majorEastAsia" w:eastAsiaTheme="majorEastAsia" w:hAnsiTheme="majorEastAsia"/>
                <w:kern w:val="2"/>
                <w:szCs w:val="21"/>
              </w:rPr>
              <w:alias w:val="其他固定资产计价、折旧、减值方法"/>
              <w:tag w:val="_GBC_f1ad6125c5d74d2a98f593d2ba574474"/>
              <w:id w:val="-1803142157"/>
              <w:lock w:val="sdtLocked"/>
            </w:sdtPr>
            <w:sdtContent>
              <w:tr w:rsidR="00274E95" w:rsidTr="00601D47">
                <w:tc>
                  <w:tcPr>
                    <w:tcW w:w="949" w:type="pct"/>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rPr>
                      <w:t>信息技术设备</w:t>
                    </w:r>
                  </w:p>
                </w:tc>
                <w:tc>
                  <w:tcPr>
                    <w:tcW w:w="1012" w:type="pct"/>
                    <w:vAlign w:val="center"/>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cs="PMingLiU" w:hint="eastAsia"/>
                      </w:rPr>
                      <w:t>年限平均法</w:t>
                    </w:r>
                  </w:p>
                </w:tc>
                <w:tc>
                  <w:tcPr>
                    <w:tcW w:w="1013" w:type="pct"/>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rPr>
                      <w:t>5</w:t>
                    </w:r>
                  </w:p>
                </w:tc>
                <w:tc>
                  <w:tcPr>
                    <w:tcW w:w="1013" w:type="pct"/>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rPr>
                      <w:t>5</w:t>
                    </w:r>
                  </w:p>
                </w:tc>
                <w:tc>
                  <w:tcPr>
                    <w:tcW w:w="1013" w:type="pct"/>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rPr>
                      <w:t>19</w:t>
                    </w:r>
                  </w:p>
                </w:tc>
              </w:tr>
            </w:sdtContent>
          </w:sdt>
          <w:sdt>
            <w:sdtPr>
              <w:rPr>
                <w:rFonts w:asciiTheme="majorEastAsia" w:eastAsiaTheme="majorEastAsia" w:hAnsiTheme="majorEastAsia"/>
                <w:kern w:val="2"/>
                <w:szCs w:val="21"/>
              </w:rPr>
              <w:alias w:val="其他固定资产计价、折旧、减值方法"/>
              <w:tag w:val="_GBC_f1ad6125c5d74d2a98f593d2ba574474"/>
              <w:id w:val="880293680"/>
              <w:lock w:val="sdtLocked"/>
            </w:sdtPr>
            <w:sdtContent>
              <w:tr w:rsidR="00274E95" w:rsidTr="00601D47">
                <w:tc>
                  <w:tcPr>
                    <w:tcW w:w="949" w:type="pct"/>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rPr>
                      <w:t>工具及器具</w:t>
                    </w:r>
                  </w:p>
                </w:tc>
                <w:tc>
                  <w:tcPr>
                    <w:tcW w:w="1012" w:type="pct"/>
                    <w:vAlign w:val="center"/>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cs="PMingLiU" w:hint="eastAsia"/>
                      </w:rPr>
                      <w:t>年限平均法</w:t>
                    </w:r>
                  </w:p>
                </w:tc>
                <w:tc>
                  <w:tcPr>
                    <w:tcW w:w="1013" w:type="pct"/>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rPr>
                      <w:t>5</w:t>
                    </w:r>
                  </w:p>
                </w:tc>
                <w:tc>
                  <w:tcPr>
                    <w:tcW w:w="1013" w:type="pct"/>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rPr>
                      <w:t>5</w:t>
                    </w:r>
                  </w:p>
                </w:tc>
                <w:tc>
                  <w:tcPr>
                    <w:tcW w:w="1013" w:type="pct"/>
                  </w:tcPr>
                  <w:p w:rsidR="00274E95" w:rsidRPr="000F33A9" w:rsidRDefault="00274E95" w:rsidP="00601D47">
                    <w:pPr>
                      <w:rPr>
                        <w:rFonts w:asciiTheme="majorEastAsia" w:eastAsiaTheme="majorEastAsia" w:hAnsiTheme="majorEastAsia"/>
                        <w:szCs w:val="21"/>
                      </w:rPr>
                    </w:pPr>
                    <w:r w:rsidRPr="000F33A9">
                      <w:rPr>
                        <w:rFonts w:asciiTheme="majorEastAsia" w:eastAsiaTheme="majorEastAsia" w:hAnsiTheme="majorEastAsia"/>
                      </w:rPr>
                      <w:t>19</w:t>
                    </w:r>
                  </w:p>
                </w:tc>
              </w:tr>
            </w:sdtContent>
          </w:sdt>
        </w:tbl>
        <w:p w:rsidR="00202129" w:rsidRDefault="00202129" w:rsidP="00202129">
          <w:pPr>
            <w:pStyle w:val="34"/>
            <w:overflowPunct w:val="0"/>
            <w:snapToGrid w:val="0"/>
            <w:ind w:left="567" w:hanging="567"/>
            <w:rPr>
              <w:rFonts w:asciiTheme="majorEastAsia" w:eastAsiaTheme="majorEastAsia" w:hAnsiTheme="majorEastAsia" w:cs="Arial"/>
              <w:sz w:val="22"/>
              <w:szCs w:val="22"/>
            </w:rPr>
          </w:pPr>
        </w:p>
        <w:p w:rsidR="00202129" w:rsidRPr="00C3641E" w:rsidRDefault="00202129" w:rsidP="006A1966">
          <w:pPr>
            <w:pStyle w:val="34"/>
            <w:overflowPunct w:val="0"/>
            <w:snapToGrid w:val="0"/>
            <w:rPr>
              <w:rFonts w:asciiTheme="majorEastAsia" w:eastAsiaTheme="majorEastAsia" w:hAnsiTheme="majorEastAsia" w:cs="Arial"/>
              <w:sz w:val="21"/>
              <w:szCs w:val="21"/>
            </w:rPr>
          </w:pPr>
          <w:r w:rsidRPr="00C3641E">
            <w:rPr>
              <w:rFonts w:asciiTheme="majorEastAsia" w:eastAsiaTheme="majorEastAsia" w:hAnsiTheme="majorEastAsia" w:cs="Arial" w:hint="eastAsia"/>
              <w:sz w:val="21"/>
              <w:szCs w:val="21"/>
            </w:rPr>
            <w:t>注：本集团将固定资产的成本扣除预计净残值和累计减值准备后在其使用寿命内按年限平均法计提折旧，除非固定资产符合持有待售的条件</w:t>
          </w:r>
          <w:r w:rsidR="000F33A9" w:rsidRPr="00C3641E">
            <w:rPr>
              <w:rFonts w:asciiTheme="majorEastAsia" w:eastAsiaTheme="majorEastAsia" w:hAnsiTheme="majorEastAsia" w:cs="Arial" w:hint="eastAsia"/>
              <w:sz w:val="21"/>
              <w:szCs w:val="21"/>
            </w:rPr>
            <w:t>，具体</w:t>
          </w:r>
          <w:r w:rsidRPr="00C3641E">
            <w:rPr>
              <w:rFonts w:asciiTheme="majorEastAsia" w:eastAsiaTheme="majorEastAsia" w:hAnsiTheme="majorEastAsia" w:cs="Arial" w:hint="eastAsia"/>
              <w:sz w:val="21"/>
              <w:szCs w:val="21"/>
            </w:rPr>
            <w:t>参见附注</w:t>
          </w:r>
          <w:r w:rsidR="000F33A9" w:rsidRPr="00C3641E">
            <w:rPr>
              <w:rFonts w:asciiTheme="majorEastAsia" w:eastAsiaTheme="majorEastAsia" w:hAnsiTheme="majorEastAsia" w:cs="Arial" w:hint="eastAsia"/>
              <w:sz w:val="21"/>
              <w:szCs w:val="21"/>
            </w:rPr>
            <w:t>五</w:t>
          </w:r>
          <w:r w:rsidRPr="00C3641E">
            <w:rPr>
              <w:rFonts w:asciiTheme="majorEastAsia" w:eastAsiaTheme="majorEastAsia" w:hAnsiTheme="majorEastAsia" w:cs="Arial" w:hint="eastAsia"/>
              <w:sz w:val="21"/>
              <w:szCs w:val="21"/>
            </w:rPr>
            <w:t>、</w:t>
          </w:r>
          <w:r w:rsidR="005D3BDC" w:rsidRPr="00C3641E">
            <w:rPr>
              <w:rFonts w:asciiTheme="majorEastAsia" w:eastAsiaTheme="majorEastAsia" w:hAnsiTheme="majorEastAsia" w:cs="Arial" w:hint="eastAsia"/>
              <w:sz w:val="21"/>
              <w:szCs w:val="21"/>
            </w:rPr>
            <w:t>1</w:t>
          </w:r>
          <w:r w:rsidR="005D3BDC" w:rsidRPr="00C3641E">
            <w:rPr>
              <w:rFonts w:asciiTheme="majorEastAsia" w:eastAsiaTheme="majorEastAsia" w:hAnsiTheme="majorEastAsia" w:cs="Arial"/>
              <w:sz w:val="21"/>
              <w:szCs w:val="21"/>
            </w:rPr>
            <w:t>7</w:t>
          </w:r>
          <w:r w:rsidRPr="00C3641E">
            <w:rPr>
              <w:rFonts w:asciiTheme="majorEastAsia" w:eastAsiaTheme="majorEastAsia" w:hAnsiTheme="majorEastAsia" w:cs="Arial" w:hint="eastAsia"/>
              <w:sz w:val="21"/>
              <w:szCs w:val="21"/>
            </w:rPr>
            <w:t>。</w:t>
          </w:r>
        </w:p>
        <w:p w:rsidR="00202129" w:rsidRPr="00C3641E" w:rsidRDefault="00202129" w:rsidP="00202129">
          <w:pPr>
            <w:overflowPunct w:val="0"/>
            <w:adjustRightInd w:val="0"/>
            <w:snapToGrid w:val="0"/>
            <w:ind w:left="567"/>
            <w:rPr>
              <w:rFonts w:asciiTheme="majorEastAsia" w:eastAsiaTheme="majorEastAsia" w:hAnsiTheme="majorEastAsia" w:cs="Arial"/>
              <w:szCs w:val="21"/>
            </w:rPr>
          </w:pPr>
        </w:p>
        <w:p w:rsidR="00202129" w:rsidRPr="00C3641E" w:rsidRDefault="00202129" w:rsidP="006A1966">
          <w:pPr>
            <w:pStyle w:val="34"/>
            <w:overflowPunct w:val="0"/>
            <w:snapToGrid w:val="0"/>
            <w:rPr>
              <w:rFonts w:asciiTheme="majorEastAsia" w:eastAsiaTheme="majorEastAsia" w:hAnsiTheme="majorEastAsia" w:cs="Arial"/>
              <w:sz w:val="21"/>
              <w:szCs w:val="21"/>
            </w:rPr>
          </w:pPr>
          <w:r w:rsidRPr="00C3641E">
            <w:rPr>
              <w:rFonts w:asciiTheme="majorEastAsia" w:eastAsiaTheme="majorEastAsia" w:hAnsiTheme="majorEastAsia" w:cs="Arial" w:hint="eastAsia"/>
              <w:sz w:val="21"/>
              <w:szCs w:val="21"/>
            </w:rPr>
            <w:t>本集团至少在每年年度终了对固定资产的使用寿命、预计净残值和折旧方法进行复核。</w:t>
          </w:r>
        </w:p>
        <w:p w:rsidR="00202129" w:rsidRPr="004869C8" w:rsidRDefault="00202129" w:rsidP="004869C8">
          <w:pPr>
            <w:rPr>
              <w:bCs/>
              <w:szCs w:val="21"/>
            </w:rPr>
          </w:pPr>
          <w:r w:rsidRPr="004869C8">
            <w:rPr>
              <w:rFonts w:hint="eastAsia"/>
              <w:bCs/>
              <w:szCs w:val="21"/>
            </w:rPr>
            <w:lastRenderedPageBreak/>
            <w:t>减值测试方法及减值准备计提方法</w:t>
          </w:r>
          <w:r w:rsidR="000F33A9" w:rsidRPr="004869C8">
            <w:rPr>
              <w:rFonts w:hint="eastAsia"/>
              <w:bCs/>
              <w:szCs w:val="21"/>
            </w:rPr>
            <w:t>（</w:t>
          </w:r>
          <w:r w:rsidRPr="004869C8">
            <w:rPr>
              <w:rFonts w:hint="eastAsia"/>
              <w:bCs/>
              <w:szCs w:val="21"/>
            </w:rPr>
            <w:t>参见附注</w:t>
          </w:r>
          <w:r w:rsidR="000F33A9" w:rsidRPr="004869C8">
            <w:rPr>
              <w:rFonts w:hint="eastAsia"/>
              <w:bCs/>
              <w:szCs w:val="21"/>
            </w:rPr>
            <w:t>五</w:t>
          </w:r>
          <w:r w:rsidRPr="004869C8">
            <w:rPr>
              <w:rFonts w:hint="eastAsia"/>
              <w:bCs/>
              <w:szCs w:val="21"/>
            </w:rPr>
            <w:t>、</w:t>
          </w:r>
          <w:r w:rsidR="006A1966" w:rsidRPr="004869C8">
            <w:rPr>
              <w:bCs/>
              <w:szCs w:val="21"/>
            </w:rPr>
            <w:t>30</w:t>
          </w:r>
          <w:r w:rsidR="000F33A9" w:rsidRPr="004869C8">
            <w:rPr>
              <w:rFonts w:hint="eastAsia"/>
              <w:bCs/>
              <w:szCs w:val="21"/>
            </w:rPr>
            <w:t>）</w:t>
          </w:r>
          <w:r w:rsidRPr="004869C8">
            <w:rPr>
              <w:rFonts w:hint="eastAsia"/>
              <w:bCs/>
              <w:szCs w:val="21"/>
            </w:rPr>
            <w:t>。</w:t>
          </w:r>
        </w:p>
        <w:p w:rsidR="00202129" w:rsidRPr="004869C8" w:rsidRDefault="00202129" w:rsidP="004869C8">
          <w:pPr>
            <w:rPr>
              <w:bCs/>
              <w:szCs w:val="21"/>
            </w:rPr>
          </w:pPr>
        </w:p>
        <w:p w:rsidR="00202129" w:rsidRPr="004869C8" w:rsidRDefault="00202129" w:rsidP="004869C8">
          <w:pPr>
            <w:rPr>
              <w:bCs/>
              <w:szCs w:val="21"/>
            </w:rPr>
          </w:pPr>
          <w:r w:rsidRPr="004869C8">
            <w:rPr>
              <w:rFonts w:hint="eastAsia"/>
              <w:bCs/>
              <w:szCs w:val="21"/>
            </w:rPr>
            <w:t>固定资产处置</w:t>
          </w:r>
        </w:p>
        <w:p w:rsidR="004869C8" w:rsidRPr="004869C8" w:rsidRDefault="004869C8" w:rsidP="004869C8">
          <w:pPr>
            <w:rPr>
              <w:bCs/>
              <w:szCs w:val="21"/>
            </w:rPr>
          </w:pPr>
        </w:p>
        <w:p w:rsidR="00202129" w:rsidRPr="004869C8" w:rsidRDefault="00202129" w:rsidP="004869C8">
          <w:pPr>
            <w:rPr>
              <w:bCs/>
              <w:szCs w:val="21"/>
            </w:rPr>
          </w:pPr>
          <w:r w:rsidRPr="004869C8">
            <w:rPr>
              <w:rFonts w:hint="eastAsia"/>
              <w:bCs/>
              <w:szCs w:val="21"/>
            </w:rPr>
            <w:t>固定资产满足下述条件之一时，本集团会予以终止确认。</w:t>
          </w:r>
        </w:p>
        <w:p w:rsidR="006A1966" w:rsidRPr="004869C8" w:rsidRDefault="006A1966" w:rsidP="004869C8">
          <w:pPr>
            <w:rPr>
              <w:bCs/>
              <w:szCs w:val="21"/>
            </w:rPr>
          </w:pPr>
        </w:p>
        <w:p w:rsidR="006A1966" w:rsidRPr="004869C8" w:rsidRDefault="00202129" w:rsidP="004869C8">
          <w:pPr>
            <w:rPr>
              <w:bCs/>
              <w:szCs w:val="21"/>
            </w:rPr>
          </w:pPr>
          <w:r w:rsidRPr="004869C8">
            <w:rPr>
              <w:rFonts w:hint="eastAsia"/>
              <w:bCs/>
              <w:szCs w:val="21"/>
            </w:rPr>
            <w:t>-</w:t>
          </w:r>
          <w:r w:rsidRPr="004869C8">
            <w:rPr>
              <w:rFonts w:hint="eastAsia"/>
              <w:bCs/>
              <w:szCs w:val="21"/>
            </w:rPr>
            <w:tab/>
            <w:t>固定资产处于处置状态；</w:t>
          </w:r>
        </w:p>
        <w:p w:rsidR="00202129" w:rsidRPr="004869C8" w:rsidRDefault="00202129" w:rsidP="004869C8">
          <w:pPr>
            <w:rPr>
              <w:bCs/>
              <w:szCs w:val="21"/>
            </w:rPr>
          </w:pPr>
          <w:r w:rsidRPr="004869C8">
            <w:rPr>
              <w:rFonts w:hint="eastAsia"/>
              <w:bCs/>
              <w:szCs w:val="21"/>
            </w:rPr>
            <w:t>-</w:t>
          </w:r>
          <w:r w:rsidRPr="004869C8">
            <w:rPr>
              <w:rFonts w:hint="eastAsia"/>
              <w:bCs/>
              <w:szCs w:val="21"/>
            </w:rPr>
            <w:tab/>
            <w:t>该固定资产预期通过使用或处置不能产生经济利益。</w:t>
          </w:r>
        </w:p>
        <w:p w:rsidR="006A1966" w:rsidRPr="004869C8" w:rsidRDefault="006A1966" w:rsidP="004869C8">
          <w:pPr>
            <w:rPr>
              <w:bCs/>
              <w:szCs w:val="21"/>
            </w:rPr>
          </w:pPr>
        </w:p>
        <w:p w:rsidR="00022F95" w:rsidRPr="004869C8" w:rsidRDefault="00202129" w:rsidP="004869C8">
          <w:pPr>
            <w:rPr>
              <w:bCs/>
              <w:szCs w:val="21"/>
            </w:rPr>
          </w:pPr>
          <w:r w:rsidRPr="004869C8">
            <w:rPr>
              <w:rFonts w:hint="eastAsia"/>
              <w:bCs/>
              <w:szCs w:val="21"/>
            </w:rPr>
            <w:t>报废或处置固定资产项目所产生的损益为处置所得款项净额与项目账面金额之间的差额，并于报废或处置日在损益中确认。</w:t>
          </w:r>
        </w:p>
        <w:p w:rsidR="00806678" w:rsidRPr="00022F95" w:rsidRDefault="00F80B6C" w:rsidP="00022F95">
          <w:pPr>
            <w:pStyle w:val="34"/>
            <w:overflowPunct w:val="0"/>
            <w:snapToGrid w:val="0"/>
            <w:rPr>
              <w:rFonts w:asciiTheme="majorEastAsia" w:eastAsiaTheme="majorEastAsia" w:hAnsiTheme="majorEastAsia" w:cs="Arial"/>
              <w:sz w:val="22"/>
              <w:szCs w:val="22"/>
            </w:rPr>
          </w:pPr>
        </w:p>
      </w:sdtContent>
    </w:sdt>
    <w:sdt>
      <w:sdtPr>
        <w:rPr>
          <w:rFonts w:asciiTheme="minorHAnsi" w:eastAsia="宋体" w:hAnsiTheme="minorHAnsi" w:cs="宋体"/>
          <w:b w:val="0"/>
          <w:bCs w:val="0"/>
          <w:kern w:val="0"/>
          <w:szCs w:val="22"/>
        </w:rPr>
        <w:alias w:val="模块:固定资产计价和折旧方法及减值准备的计提方法"/>
        <w:tag w:val="_GBC_a1560089c32f441f92e145c3cdc25289"/>
        <w:id w:val="-866439436"/>
        <w:lock w:val="sdtLocked"/>
        <w:placeholder>
          <w:docPart w:val="GBC22222222222222222222222222222"/>
        </w:placeholder>
      </w:sdtPr>
      <w:sdtEndPr>
        <w:rPr>
          <w:rFonts w:ascii="Times New Roman" w:hAnsi="Times New Roman" w:cs="Times New Roman" w:hint="eastAsia"/>
          <w:kern w:val="2"/>
          <w:szCs w:val="24"/>
        </w:rPr>
      </w:sdtEndPr>
      <w:sdtContent>
        <w:p w:rsidR="00806678" w:rsidRDefault="00B16377" w:rsidP="00FF17C7">
          <w:pPr>
            <w:pStyle w:val="4"/>
            <w:numPr>
              <w:ilvl w:val="0"/>
              <w:numId w:val="40"/>
            </w:numPr>
          </w:pPr>
          <w:r>
            <w:rPr>
              <w:rFonts w:hint="eastAsia"/>
            </w:rPr>
            <w:t>融资租入固定资产的认定依据、计价和折旧方法</w:t>
          </w:r>
        </w:p>
        <w:sdt>
          <w:sdtPr>
            <w:rPr>
              <w:rFonts w:hint="eastAsia"/>
              <w:szCs w:val="21"/>
            </w:rPr>
            <w:alias w:val="是否适用：融资租入固定资产的认定依据、计价和折旧方法[双击切换]"/>
            <w:tag w:val="_GBC_bd21629c9c534b4fb4447eeb15e0bc7e"/>
            <w:id w:val="-370064918"/>
            <w:lock w:val="sdtLocked"/>
            <w:placeholder>
              <w:docPart w:val="GBC22222222222222222222222222222"/>
            </w:placeholder>
          </w:sdtPr>
          <w:sdtContent>
            <w:p w:rsidR="00806678" w:rsidRDefault="00F80B6C" w:rsidP="0049364B">
              <w:pPr>
                <w:rPr>
                  <w:szCs w:val="21"/>
                </w:rPr>
              </w:pPr>
              <w:r>
                <w:rPr>
                  <w:szCs w:val="21"/>
                </w:rPr>
                <w:fldChar w:fldCharType="begin"/>
              </w:r>
              <w:r w:rsidR="0049364B">
                <w:rPr>
                  <w:szCs w:val="21"/>
                </w:rPr>
                <w:instrText xml:space="preserve"> MACROBUTTON  SnrToggleCheckbox □适用  </w:instrText>
              </w:r>
              <w:r>
                <w:rPr>
                  <w:szCs w:val="21"/>
                </w:rPr>
                <w:fldChar w:fldCharType="end"/>
              </w:r>
              <w:r>
                <w:rPr>
                  <w:szCs w:val="21"/>
                </w:rPr>
                <w:fldChar w:fldCharType="begin"/>
              </w:r>
              <w:r w:rsidR="0049364B">
                <w:rPr>
                  <w:szCs w:val="21"/>
                </w:rPr>
                <w:instrText xml:space="preserve"> MACROBUTTON  SnrToggleCheckbox √不适用 </w:instrText>
              </w:r>
              <w:r>
                <w:rPr>
                  <w:szCs w:val="21"/>
                </w:rPr>
                <w:fldChar w:fldCharType="end"/>
              </w:r>
            </w:p>
          </w:sdtContent>
        </w:sdt>
        <w:p w:rsidR="00806678" w:rsidRDefault="00F80B6C">
          <w:pPr>
            <w:rPr>
              <w:szCs w:val="21"/>
            </w:rPr>
          </w:pPr>
        </w:p>
      </w:sdtContent>
    </w:sdt>
    <w:sdt>
      <w:sdtPr>
        <w:rPr>
          <w:rFonts w:ascii="宋体" w:hAnsi="宋体" w:cs="宋体"/>
          <w:b w:val="0"/>
          <w:bCs w:val="0"/>
          <w:kern w:val="0"/>
          <w:sz w:val="16"/>
          <w:szCs w:val="24"/>
        </w:rPr>
        <w:alias w:val="模块:在建工程会计处理方法"/>
        <w:tag w:val="_GBC_3eb5f960df3e47f0a4bf3af0bc67ca96"/>
        <w:id w:val="1047951829"/>
        <w:lock w:val="sdtLocked"/>
        <w:placeholder>
          <w:docPart w:val="GBC22222222222222222222222222222"/>
        </w:placeholder>
      </w:sdtPr>
      <w:sdtEndPr>
        <w:rPr>
          <w:rFonts w:hint="eastAsia"/>
          <w:szCs w:val="21"/>
        </w:rPr>
      </w:sdtEndPr>
      <w:sdtContent>
        <w:p w:rsidR="00806678" w:rsidRDefault="00B16377" w:rsidP="00FF17C7">
          <w:pPr>
            <w:pStyle w:val="3"/>
            <w:numPr>
              <w:ilvl w:val="0"/>
              <w:numId w:val="39"/>
            </w:numPr>
          </w:pPr>
          <w:r>
            <w:t>在建工程</w:t>
          </w:r>
        </w:p>
        <w:sdt>
          <w:sdtPr>
            <w:rPr>
              <w:rFonts w:hint="eastAsia"/>
              <w:szCs w:val="21"/>
            </w:rPr>
            <w:alias w:val="是否适用：在建工程_重要会计政策和估计[双击切换]"/>
            <w:tag w:val="_GBC_00730441e5ea4f57b3cd3ff1ecc5c1bd"/>
            <w:id w:val="2100593817"/>
            <w:lock w:val="sdtLocked"/>
            <w:placeholder>
              <w:docPart w:val="GBC22222222222222222222222222222"/>
            </w:placeholder>
          </w:sdtPr>
          <w:sdtContent>
            <w:p w:rsidR="000F33A9" w:rsidRDefault="00F80B6C">
              <w:pPr>
                <w:rPr>
                  <w:szCs w:val="21"/>
                </w:rPr>
              </w:pPr>
              <w:r>
                <w:rPr>
                  <w:szCs w:val="21"/>
                </w:rPr>
                <w:fldChar w:fldCharType="begin"/>
              </w:r>
              <w:r w:rsidR="0049364B">
                <w:rPr>
                  <w:szCs w:val="21"/>
                </w:rPr>
                <w:instrText xml:space="preserve"> MACROBUTTON  SnrToggleCheckbox √适用  </w:instrText>
              </w:r>
              <w:r>
                <w:rPr>
                  <w:szCs w:val="21"/>
                </w:rPr>
                <w:fldChar w:fldCharType="end"/>
              </w:r>
              <w:r>
                <w:rPr>
                  <w:szCs w:val="21"/>
                </w:rPr>
                <w:fldChar w:fldCharType="begin"/>
              </w:r>
              <w:r w:rsidR="0049364B">
                <w:rPr>
                  <w:szCs w:val="21"/>
                </w:rPr>
                <w:instrText xml:space="preserve"> MACROBUTTON  SnrToggleCheckbox □不适用 </w:instrText>
              </w:r>
              <w:r>
                <w:rPr>
                  <w:szCs w:val="21"/>
                </w:rPr>
                <w:fldChar w:fldCharType="end"/>
              </w:r>
            </w:p>
            <w:p w:rsidR="00806678" w:rsidRDefault="00F80B6C">
              <w:pPr>
                <w:rPr>
                  <w:szCs w:val="21"/>
                </w:rPr>
              </w:pPr>
            </w:p>
          </w:sdtContent>
        </w:sdt>
        <w:sdt>
          <w:sdtPr>
            <w:rPr>
              <w:rFonts w:hint="eastAsia"/>
              <w:sz w:val="21"/>
              <w:szCs w:val="21"/>
            </w:rPr>
            <w:alias w:val="在建工程核算方法"/>
            <w:tag w:val="_GBC_ed79f983df814c58add61776fe84c76e"/>
            <w:id w:val="-1588924519"/>
            <w:lock w:val="sdtLocked"/>
            <w:placeholder>
              <w:docPart w:val="GBC22222222222222222222222222222"/>
            </w:placeholder>
          </w:sdtPr>
          <w:sdtEndPr>
            <w:rPr>
              <w:sz w:val="16"/>
            </w:rPr>
          </w:sdtEndPr>
          <w:sdtContent>
            <w:p w:rsidR="0049364B" w:rsidRPr="00B11F75" w:rsidRDefault="0049364B" w:rsidP="00B15D4C">
              <w:pPr>
                <w:pStyle w:val="34"/>
                <w:overflowPunct w:val="0"/>
                <w:snapToGrid w:val="0"/>
                <w:spacing w:after="0"/>
                <w:rPr>
                  <w:rFonts w:asciiTheme="majorEastAsia" w:eastAsiaTheme="majorEastAsia" w:hAnsiTheme="majorEastAsia" w:cs="Arial"/>
                  <w:sz w:val="21"/>
                  <w:szCs w:val="21"/>
                </w:rPr>
              </w:pPr>
              <w:r w:rsidRPr="00B11F75">
                <w:rPr>
                  <w:rFonts w:asciiTheme="majorEastAsia" w:eastAsiaTheme="majorEastAsia" w:hAnsiTheme="majorEastAsia" w:cs="Arial" w:hint="eastAsia"/>
                  <w:sz w:val="21"/>
                  <w:szCs w:val="21"/>
                </w:rPr>
                <w:t>自行建造的固定资产的成本包括工程用物资、直接人工、符合资本化条件的借款费用</w:t>
              </w:r>
              <w:r w:rsidRPr="00B11F75">
                <w:rPr>
                  <w:rFonts w:asciiTheme="majorEastAsia" w:eastAsiaTheme="majorEastAsia" w:hAnsiTheme="majorEastAsia" w:cs="Arial"/>
                  <w:sz w:val="21"/>
                  <w:szCs w:val="21"/>
                </w:rPr>
                <w:t xml:space="preserve"> (参见附注</w:t>
              </w:r>
              <w:r w:rsidR="000F33A9" w:rsidRPr="00B11F75">
                <w:rPr>
                  <w:rFonts w:asciiTheme="majorEastAsia" w:eastAsiaTheme="majorEastAsia" w:hAnsiTheme="majorEastAsia" w:cs="Arial" w:hint="eastAsia"/>
                  <w:sz w:val="21"/>
                  <w:szCs w:val="21"/>
                </w:rPr>
                <w:t>五</w:t>
              </w:r>
              <w:r w:rsidRPr="00B11F75">
                <w:rPr>
                  <w:rFonts w:asciiTheme="majorEastAsia" w:eastAsiaTheme="majorEastAsia" w:hAnsiTheme="majorEastAsia" w:cs="Arial"/>
                  <w:sz w:val="21"/>
                  <w:szCs w:val="21"/>
                </w:rPr>
                <w:t>、</w:t>
              </w:r>
              <w:r w:rsidR="000F33A9" w:rsidRPr="00B11F75">
                <w:rPr>
                  <w:rFonts w:asciiTheme="majorEastAsia" w:eastAsiaTheme="majorEastAsia" w:hAnsiTheme="majorEastAsia" w:cs="Arial" w:hint="eastAsia"/>
                  <w:sz w:val="21"/>
                  <w:szCs w:val="21"/>
                </w:rPr>
                <w:t>2</w:t>
              </w:r>
              <w:r w:rsidR="000F33A9" w:rsidRPr="00B11F75">
                <w:rPr>
                  <w:rFonts w:asciiTheme="majorEastAsia" w:eastAsiaTheme="majorEastAsia" w:hAnsiTheme="majorEastAsia" w:cs="Arial"/>
                  <w:sz w:val="21"/>
                  <w:szCs w:val="21"/>
                </w:rPr>
                <w:t>5</w:t>
              </w:r>
              <w:r w:rsidRPr="00B11F75">
                <w:rPr>
                  <w:rFonts w:asciiTheme="majorEastAsia" w:eastAsiaTheme="majorEastAsia" w:hAnsiTheme="majorEastAsia" w:cs="Arial"/>
                  <w:sz w:val="21"/>
                  <w:szCs w:val="21"/>
                </w:rPr>
                <w:t>) 和使该项资产达到预定可使用状态前所发生的必要支出。</w:t>
              </w:r>
            </w:p>
            <w:p w:rsidR="0049364B" w:rsidRPr="00B11F75" w:rsidRDefault="0049364B" w:rsidP="00B15D4C">
              <w:pPr>
                <w:pStyle w:val="34"/>
                <w:overflowPunct w:val="0"/>
                <w:snapToGrid w:val="0"/>
                <w:spacing w:after="0"/>
                <w:rPr>
                  <w:rFonts w:asciiTheme="majorEastAsia" w:eastAsiaTheme="majorEastAsia" w:hAnsiTheme="majorEastAsia" w:cs="Arial"/>
                  <w:sz w:val="21"/>
                  <w:szCs w:val="21"/>
                </w:rPr>
              </w:pPr>
            </w:p>
            <w:p w:rsidR="0049364B" w:rsidRPr="00B11F75" w:rsidRDefault="0049364B" w:rsidP="00B15D4C">
              <w:pPr>
                <w:pStyle w:val="34"/>
                <w:overflowPunct w:val="0"/>
                <w:snapToGrid w:val="0"/>
                <w:spacing w:after="0"/>
                <w:rPr>
                  <w:rFonts w:asciiTheme="majorEastAsia" w:eastAsiaTheme="majorEastAsia" w:hAnsiTheme="majorEastAsia" w:cs="Arial"/>
                  <w:sz w:val="21"/>
                  <w:szCs w:val="21"/>
                </w:rPr>
              </w:pPr>
              <w:r w:rsidRPr="00B11F75">
                <w:rPr>
                  <w:rFonts w:asciiTheme="majorEastAsia" w:eastAsiaTheme="majorEastAsia" w:hAnsiTheme="majorEastAsia" w:cs="Arial" w:hint="eastAsia"/>
                  <w:sz w:val="21"/>
                  <w:szCs w:val="21"/>
                </w:rPr>
                <w:t>自行建造的固定资产于达到预定可使用状态时转入固定资产，此前列于在建工程，且不计提折旧。</w:t>
              </w:r>
            </w:p>
            <w:p w:rsidR="0049364B" w:rsidRPr="00B11F75" w:rsidRDefault="0049364B" w:rsidP="00B15D4C">
              <w:pPr>
                <w:pStyle w:val="34"/>
                <w:overflowPunct w:val="0"/>
                <w:snapToGrid w:val="0"/>
                <w:spacing w:after="0"/>
                <w:rPr>
                  <w:rFonts w:asciiTheme="majorEastAsia" w:eastAsiaTheme="majorEastAsia" w:hAnsiTheme="majorEastAsia" w:cs="Arial"/>
                  <w:sz w:val="21"/>
                  <w:szCs w:val="21"/>
                </w:rPr>
              </w:pPr>
            </w:p>
            <w:p w:rsidR="0049364B" w:rsidRPr="00B11F75" w:rsidRDefault="0049364B" w:rsidP="00B15D4C">
              <w:pPr>
                <w:pStyle w:val="34"/>
                <w:overflowPunct w:val="0"/>
                <w:snapToGrid w:val="0"/>
                <w:spacing w:after="0"/>
                <w:rPr>
                  <w:rFonts w:asciiTheme="majorEastAsia" w:eastAsiaTheme="majorEastAsia" w:hAnsiTheme="majorEastAsia" w:cs="Arial"/>
                  <w:sz w:val="21"/>
                  <w:szCs w:val="21"/>
                </w:rPr>
              </w:pPr>
              <w:r w:rsidRPr="00B11F75">
                <w:rPr>
                  <w:rFonts w:asciiTheme="majorEastAsia" w:eastAsiaTheme="majorEastAsia" w:hAnsiTheme="majorEastAsia" w:cs="Arial" w:hint="eastAsia"/>
                  <w:sz w:val="21"/>
                  <w:szCs w:val="21"/>
                </w:rPr>
                <w:t>在建工程以成本减减值准备</w:t>
              </w:r>
              <w:r w:rsidRPr="00B11F75">
                <w:rPr>
                  <w:rFonts w:asciiTheme="majorEastAsia" w:eastAsiaTheme="majorEastAsia" w:hAnsiTheme="majorEastAsia" w:cs="Arial"/>
                  <w:sz w:val="21"/>
                  <w:szCs w:val="21"/>
                </w:rPr>
                <w:t xml:space="preserve"> (参见附注</w:t>
              </w:r>
              <w:r w:rsidR="000F33A9" w:rsidRPr="00B11F75">
                <w:rPr>
                  <w:rFonts w:asciiTheme="majorEastAsia" w:eastAsiaTheme="majorEastAsia" w:hAnsiTheme="majorEastAsia" w:cs="Arial" w:hint="eastAsia"/>
                  <w:sz w:val="21"/>
                  <w:szCs w:val="21"/>
                </w:rPr>
                <w:t>五</w:t>
              </w:r>
              <w:r w:rsidRPr="00B11F75">
                <w:rPr>
                  <w:rFonts w:asciiTheme="majorEastAsia" w:eastAsiaTheme="majorEastAsia" w:hAnsiTheme="majorEastAsia" w:cs="Arial"/>
                  <w:sz w:val="21"/>
                  <w:szCs w:val="21"/>
                </w:rPr>
                <w:t>、</w:t>
              </w:r>
              <w:r w:rsidR="000F33A9" w:rsidRPr="00B11F75">
                <w:rPr>
                  <w:rFonts w:asciiTheme="majorEastAsia" w:eastAsiaTheme="majorEastAsia" w:hAnsiTheme="majorEastAsia" w:cs="Arial"/>
                  <w:sz w:val="21"/>
                  <w:szCs w:val="21"/>
                </w:rPr>
                <w:t>30</w:t>
              </w:r>
              <w:r w:rsidRPr="00B11F75">
                <w:rPr>
                  <w:rFonts w:asciiTheme="majorEastAsia" w:eastAsiaTheme="majorEastAsia" w:hAnsiTheme="majorEastAsia" w:cs="Arial"/>
                  <w:sz w:val="21"/>
                  <w:szCs w:val="21"/>
                </w:rPr>
                <w:t>) 在资产负债表内列示。</w:t>
              </w:r>
            </w:p>
            <w:p w:rsidR="0049364B" w:rsidRPr="00B11F75" w:rsidRDefault="0049364B" w:rsidP="00B15D4C">
              <w:pPr>
                <w:pStyle w:val="34"/>
                <w:overflowPunct w:val="0"/>
                <w:snapToGrid w:val="0"/>
                <w:spacing w:after="0"/>
                <w:rPr>
                  <w:rFonts w:asciiTheme="majorEastAsia" w:eastAsiaTheme="majorEastAsia" w:hAnsiTheme="majorEastAsia" w:cs="Arial"/>
                  <w:sz w:val="21"/>
                  <w:szCs w:val="21"/>
                </w:rPr>
              </w:pPr>
            </w:p>
            <w:p w:rsidR="00806678" w:rsidRPr="00701E09" w:rsidRDefault="0049364B" w:rsidP="00B15D4C">
              <w:pPr>
                <w:pStyle w:val="34"/>
                <w:overflowPunct w:val="0"/>
                <w:snapToGrid w:val="0"/>
                <w:spacing w:after="0"/>
                <w:rPr>
                  <w:rFonts w:asciiTheme="majorEastAsia" w:eastAsiaTheme="majorEastAsia" w:hAnsiTheme="majorEastAsia" w:cs="Arial"/>
                  <w:sz w:val="22"/>
                  <w:szCs w:val="22"/>
                </w:rPr>
              </w:pPr>
              <w:r w:rsidRPr="00B11F75">
                <w:rPr>
                  <w:rFonts w:asciiTheme="majorEastAsia" w:eastAsiaTheme="majorEastAsia" w:hAnsiTheme="majorEastAsia" w:cs="Arial" w:hint="eastAsia"/>
                  <w:sz w:val="21"/>
                  <w:szCs w:val="21"/>
                </w:rPr>
                <w:t>企业将固定资产达到预定可使用状态前产出的产品或副产品对外销售，按照《企业会计准则第</w:t>
              </w:r>
              <w:r w:rsidRPr="00B11F75">
                <w:rPr>
                  <w:rFonts w:asciiTheme="majorEastAsia" w:eastAsiaTheme="majorEastAsia" w:hAnsiTheme="majorEastAsia" w:cs="Arial"/>
                  <w:sz w:val="21"/>
                  <w:szCs w:val="21"/>
                </w:rPr>
                <w:t>14号——收入》、《企业会计准则第1号——存货》等规定，对相关的收入和成本分别进行会计处理，计入当期损益。</w:t>
              </w:r>
            </w:p>
          </w:sdtContent>
        </w:sdt>
      </w:sdtContent>
    </w:sdt>
    <w:p w:rsidR="00806678" w:rsidRDefault="00806678">
      <w:pPr>
        <w:rPr>
          <w:szCs w:val="21"/>
        </w:rPr>
      </w:pPr>
    </w:p>
    <w:sdt>
      <w:sdtPr>
        <w:rPr>
          <w:rFonts w:asciiTheme="minorHAnsi" w:hAnsiTheme="minorHAnsi" w:cs="宋体"/>
          <w:b w:val="0"/>
          <w:bCs w:val="0"/>
          <w:kern w:val="0"/>
          <w:sz w:val="16"/>
          <w:szCs w:val="22"/>
        </w:rPr>
        <w:alias w:val="模块:借款费用会计处理方法"/>
        <w:tag w:val="_GBC_e3e4d07ea08d4589a9293563ea655b42"/>
        <w:id w:val="-1477900277"/>
        <w:lock w:val="sdtLocked"/>
        <w:placeholder>
          <w:docPart w:val="GBC22222222222222222222222222222"/>
        </w:placeholder>
      </w:sdtPr>
      <w:sdtEndPr>
        <w:rPr>
          <w:rFonts w:ascii="宋体" w:hAnsi="宋体" w:cs="Times New Roman" w:hint="eastAsia"/>
          <w:kern w:val="2"/>
          <w:sz w:val="21"/>
          <w:szCs w:val="21"/>
        </w:rPr>
      </w:sdtEndPr>
      <w:sdtContent>
        <w:p w:rsidR="00806678" w:rsidRDefault="00B16377" w:rsidP="00FF17C7">
          <w:pPr>
            <w:pStyle w:val="3"/>
            <w:numPr>
              <w:ilvl w:val="0"/>
              <w:numId w:val="39"/>
            </w:numPr>
          </w:pPr>
          <w:r>
            <w:t>借款费用</w:t>
          </w:r>
        </w:p>
        <w:sdt>
          <w:sdtPr>
            <w:rPr>
              <w:rFonts w:hint="eastAsia"/>
              <w:szCs w:val="21"/>
            </w:rPr>
            <w:alias w:val="是否适用：借款费用_重要会计政策和估计[双击切换]"/>
            <w:tag w:val="_GBC_84ea3b60fd54474487b81f25f176d989"/>
            <w:id w:val="-882021006"/>
            <w:lock w:val="sdtLocked"/>
            <w:placeholder>
              <w:docPart w:val="GBC22222222222222222222222222222"/>
            </w:placeholder>
          </w:sdtPr>
          <w:sdtContent>
            <w:p w:rsidR="000F33A9" w:rsidRDefault="00F80B6C">
              <w:pPr>
                <w:rPr>
                  <w:szCs w:val="21"/>
                </w:rPr>
              </w:pPr>
              <w:r>
                <w:rPr>
                  <w:szCs w:val="21"/>
                </w:rPr>
                <w:fldChar w:fldCharType="begin"/>
              </w:r>
              <w:r w:rsidR="00010EF1">
                <w:rPr>
                  <w:szCs w:val="21"/>
                </w:rPr>
                <w:instrText xml:space="preserve"> MACROBUTTON  SnrToggleCheckbox √适用  </w:instrText>
              </w:r>
              <w:r>
                <w:rPr>
                  <w:szCs w:val="21"/>
                </w:rPr>
                <w:fldChar w:fldCharType="end"/>
              </w:r>
              <w:r>
                <w:rPr>
                  <w:szCs w:val="21"/>
                </w:rPr>
                <w:fldChar w:fldCharType="begin"/>
              </w:r>
              <w:r w:rsidR="00010EF1">
                <w:rPr>
                  <w:szCs w:val="21"/>
                </w:rPr>
                <w:instrText xml:space="preserve"> MACROBUTTON  SnrToggleCheckbox □不适用 </w:instrText>
              </w:r>
              <w:r>
                <w:rPr>
                  <w:szCs w:val="21"/>
                </w:rPr>
                <w:fldChar w:fldCharType="end"/>
              </w:r>
            </w:p>
            <w:p w:rsidR="00806678" w:rsidRDefault="00F80B6C">
              <w:pPr>
                <w:rPr>
                  <w:szCs w:val="21"/>
                </w:rPr>
              </w:pPr>
            </w:p>
          </w:sdtContent>
        </w:sdt>
        <w:sdt>
          <w:sdtPr>
            <w:rPr>
              <w:rFonts w:asciiTheme="majorEastAsia" w:eastAsiaTheme="majorEastAsia" w:hAnsiTheme="majorEastAsia" w:hint="eastAsia"/>
              <w:sz w:val="21"/>
              <w:szCs w:val="21"/>
            </w:rPr>
            <w:alias w:val="借款费用的会计处理方法"/>
            <w:tag w:val="_GBC_2101c32d32c64f39a8b8fcd2b72dbb0a"/>
            <w:id w:val="791020216"/>
            <w:lock w:val="sdtLocked"/>
            <w:placeholder>
              <w:docPart w:val="GBC22222222222222222222222222222"/>
            </w:placeholder>
          </w:sdtPr>
          <w:sdtEndPr>
            <w:rPr>
              <w:rFonts w:ascii="宋体" w:eastAsia="宋体" w:hAnsi="宋体"/>
            </w:rPr>
          </w:sdtEndPr>
          <w:sdtContent>
            <w:p w:rsidR="00010EF1" w:rsidRPr="00B11F75" w:rsidRDefault="00010EF1" w:rsidP="00010EF1">
              <w:pPr>
                <w:pStyle w:val="34"/>
                <w:overflowPunct w:val="0"/>
                <w:snapToGrid w:val="0"/>
                <w:rPr>
                  <w:rFonts w:asciiTheme="majorEastAsia" w:eastAsiaTheme="majorEastAsia" w:hAnsiTheme="majorEastAsia" w:cs="Arial"/>
                  <w:sz w:val="21"/>
                  <w:szCs w:val="21"/>
                </w:rPr>
              </w:pPr>
              <w:r w:rsidRPr="00B11F75">
                <w:rPr>
                  <w:rFonts w:asciiTheme="majorEastAsia" w:eastAsiaTheme="majorEastAsia" w:hAnsiTheme="majorEastAsia" w:cs="Arial" w:hint="eastAsia"/>
                  <w:sz w:val="21"/>
                  <w:szCs w:val="21"/>
                </w:rPr>
                <w:t>本集团发生的可直接归属于符合资本化条件的资产的购建的借款费用，予以资本化并计入相关资产的成本，其他借款费用均于发生当期确认为财务费用。</w:t>
              </w:r>
            </w:p>
            <w:p w:rsidR="00010EF1" w:rsidRPr="00B11F75" w:rsidRDefault="00010EF1" w:rsidP="00010EF1">
              <w:pPr>
                <w:overflowPunct w:val="0"/>
                <w:adjustRightInd w:val="0"/>
                <w:snapToGrid w:val="0"/>
                <w:rPr>
                  <w:rFonts w:asciiTheme="majorEastAsia" w:eastAsiaTheme="majorEastAsia" w:hAnsiTheme="majorEastAsia" w:cs="Arial"/>
                  <w:szCs w:val="21"/>
                </w:rPr>
              </w:pPr>
            </w:p>
            <w:p w:rsidR="00010EF1" w:rsidRPr="00B11F75" w:rsidRDefault="00010EF1" w:rsidP="00010EF1">
              <w:pPr>
                <w:pStyle w:val="34"/>
                <w:overflowPunct w:val="0"/>
                <w:snapToGrid w:val="0"/>
                <w:rPr>
                  <w:rFonts w:asciiTheme="majorEastAsia" w:eastAsiaTheme="majorEastAsia" w:hAnsiTheme="majorEastAsia" w:cs="Arial"/>
                  <w:sz w:val="21"/>
                  <w:szCs w:val="21"/>
                </w:rPr>
              </w:pPr>
              <w:r w:rsidRPr="00B11F75">
                <w:rPr>
                  <w:rFonts w:asciiTheme="majorEastAsia" w:eastAsiaTheme="majorEastAsia" w:hAnsiTheme="majorEastAsia" w:cs="Arial" w:hint="eastAsia"/>
                  <w:sz w:val="21"/>
                  <w:szCs w:val="21"/>
                </w:rPr>
                <w:t>在资本化期间内，本集团按照下列方法确定每一会计期间的利息资本化金额 (包括折价或溢价的摊销)：</w:t>
              </w:r>
            </w:p>
            <w:p w:rsidR="00010EF1" w:rsidRPr="00B11F75" w:rsidRDefault="00010EF1" w:rsidP="00010EF1">
              <w:pPr>
                <w:pStyle w:val="34"/>
                <w:overflowPunct w:val="0"/>
                <w:snapToGrid w:val="0"/>
                <w:rPr>
                  <w:rFonts w:asciiTheme="majorEastAsia" w:eastAsiaTheme="majorEastAsia" w:hAnsiTheme="majorEastAsia" w:cs="Arial"/>
                  <w:sz w:val="21"/>
                  <w:szCs w:val="21"/>
                </w:rPr>
              </w:pPr>
            </w:p>
            <w:p w:rsidR="00010EF1" w:rsidRPr="00C3641E" w:rsidRDefault="00010EF1" w:rsidP="00C3641E">
              <w:pPr>
                <w:pStyle w:val="34"/>
                <w:tabs>
                  <w:tab w:val="left" w:pos="284"/>
                </w:tabs>
                <w:overflowPunct w:val="0"/>
                <w:snapToGrid w:val="0"/>
                <w:spacing w:after="0"/>
                <w:ind w:left="284" w:hanging="284"/>
                <w:rPr>
                  <w:rFonts w:asciiTheme="majorEastAsia" w:eastAsiaTheme="majorEastAsia" w:hAnsiTheme="majorEastAsia" w:cs="Arial"/>
                  <w:sz w:val="21"/>
                  <w:szCs w:val="21"/>
                </w:rPr>
              </w:pPr>
              <w:r w:rsidRPr="00C3641E">
                <w:rPr>
                  <w:rFonts w:asciiTheme="majorEastAsia" w:eastAsiaTheme="majorEastAsia" w:hAnsiTheme="majorEastAsia" w:cs="Arial" w:hint="eastAsia"/>
                  <w:sz w:val="21"/>
                  <w:szCs w:val="21"/>
                </w:rPr>
                <w:t>-</w:t>
              </w:r>
              <w:r w:rsidRPr="00C3641E">
                <w:rPr>
                  <w:rFonts w:asciiTheme="majorEastAsia" w:eastAsiaTheme="majorEastAsia" w:hAnsiTheme="majorEastAsia" w:cs="Arial" w:hint="eastAsia"/>
                  <w:sz w:val="21"/>
                  <w:szCs w:val="21"/>
                </w:rPr>
                <w:tab/>
                <w:t>对于为购建符合资本化条件的资产而借入的专门借款，本集团以专门借款按实际利率计算的当期利息费用，减去将尚未动用的借款资金存入银行取得的利息收入或进行暂时性投资取得的投资收益后的金额确定专门借款应予资本化的利息金额。</w:t>
              </w:r>
            </w:p>
            <w:p w:rsidR="00010EF1" w:rsidRPr="00C3641E" w:rsidRDefault="00010EF1" w:rsidP="00C3641E">
              <w:pPr>
                <w:pStyle w:val="34"/>
                <w:tabs>
                  <w:tab w:val="left" w:pos="284"/>
                </w:tabs>
                <w:overflowPunct w:val="0"/>
                <w:snapToGrid w:val="0"/>
                <w:spacing w:after="0"/>
                <w:ind w:left="284" w:hanging="284"/>
                <w:rPr>
                  <w:rFonts w:asciiTheme="majorEastAsia" w:eastAsiaTheme="majorEastAsia" w:hAnsiTheme="majorEastAsia" w:cs="Arial"/>
                  <w:sz w:val="21"/>
                  <w:szCs w:val="21"/>
                </w:rPr>
              </w:pPr>
              <w:r w:rsidRPr="00C3641E">
                <w:rPr>
                  <w:rFonts w:asciiTheme="majorEastAsia" w:eastAsiaTheme="majorEastAsia" w:hAnsiTheme="majorEastAsia" w:cs="Arial" w:hint="eastAsia"/>
                  <w:sz w:val="21"/>
                  <w:szCs w:val="21"/>
                </w:rPr>
                <w:t>-</w:t>
              </w:r>
              <w:r w:rsidRPr="00C3641E">
                <w:rPr>
                  <w:rFonts w:asciiTheme="majorEastAsia" w:eastAsiaTheme="majorEastAsia" w:hAnsiTheme="majorEastAsia" w:cs="Arial" w:hint="eastAsia"/>
                  <w:sz w:val="21"/>
                  <w:szCs w:val="21"/>
                </w:rPr>
                <w:tab/>
                <w:t>对于为购建符合资本化条件的资产而占用的一般借款，本集团根据累计资产支出超过专门借款部分的资产支出的加权平均数乘以所占用一般借款的资本化率，计算确定一般借款应予资本化的利息金额。资本化率是根据一般借款加权平均的实际利率计算确定。</w:t>
              </w:r>
            </w:p>
            <w:p w:rsidR="00010EF1" w:rsidRPr="00B11F75" w:rsidRDefault="00010EF1" w:rsidP="00B11F75">
              <w:pPr>
                <w:rPr>
                  <w:bCs/>
                  <w:szCs w:val="21"/>
                </w:rPr>
              </w:pPr>
            </w:p>
            <w:p w:rsidR="00010EF1" w:rsidRPr="00B11F75" w:rsidRDefault="00010EF1" w:rsidP="00B11F75">
              <w:pPr>
                <w:rPr>
                  <w:bCs/>
                  <w:szCs w:val="21"/>
                </w:rPr>
              </w:pPr>
              <w:r w:rsidRPr="00B11F75">
                <w:rPr>
                  <w:rFonts w:hint="eastAsia"/>
                  <w:bCs/>
                  <w:szCs w:val="21"/>
                </w:rPr>
                <w:t>本集团确定借款的实际利率时，是将借款在预期存续期间或适用的更短期间内的未来现金流量，折现为该借款初始确认时确定的金额所使用的利率。</w:t>
              </w:r>
            </w:p>
            <w:p w:rsidR="00010EF1" w:rsidRPr="00B11F75" w:rsidRDefault="00010EF1" w:rsidP="00B11F75">
              <w:pPr>
                <w:rPr>
                  <w:bCs/>
                  <w:szCs w:val="21"/>
                </w:rPr>
              </w:pPr>
            </w:p>
            <w:p w:rsidR="00806678" w:rsidRPr="00010EF1" w:rsidRDefault="00010EF1" w:rsidP="00B11F75">
              <w:pPr>
                <w:rPr>
                  <w:rFonts w:asciiTheme="majorEastAsia" w:eastAsiaTheme="majorEastAsia" w:hAnsiTheme="majorEastAsia" w:cs="Arial"/>
                  <w:sz w:val="22"/>
                  <w:szCs w:val="22"/>
                </w:rPr>
              </w:pPr>
              <w:r w:rsidRPr="00B11F75">
                <w:rPr>
                  <w:rFonts w:hint="eastAsia"/>
                  <w:bCs/>
                  <w:szCs w:val="21"/>
                </w:rPr>
                <w:t>资本化期间是指本集团从借款费用开始资本化时点到停止资本化时点的期间，借款费用暂停资本化的期间不包括在内。当资本支出和借款费用已经发生及为使资产达到预定可使用状态所必要的购建活动已经开始时，借款费用开始资本化。当购建符合资本化条件的资产达到预定可使用状态时，借款费用停止资本化。对于符合资本化条件的资产在购建过程中发生非正常中断、且中断时间连续超过3个月的，本集团暂停借款费用的资本化。</w:t>
              </w:r>
            </w:p>
          </w:sdtContent>
        </w:sdt>
      </w:sdtContent>
    </w:sdt>
    <w:p w:rsidR="00806678" w:rsidRDefault="00806678">
      <w:pPr>
        <w:rPr>
          <w:szCs w:val="21"/>
        </w:rPr>
      </w:pPr>
    </w:p>
    <w:sdt>
      <w:sdtPr>
        <w:rPr>
          <w:rFonts w:asciiTheme="minorHAnsi" w:hAnsiTheme="minorHAnsi" w:cs="宋体"/>
          <w:b w:val="0"/>
          <w:bCs w:val="0"/>
          <w:kern w:val="0"/>
          <w:szCs w:val="22"/>
        </w:rPr>
        <w:alias w:val="模块:生物资产会计处理方法"/>
        <w:tag w:val="_GBC_0b83f813710f436286429917c8c39567"/>
        <w:id w:val="-1531411801"/>
        <w:lock w:val="sdtLocked"/>
        <w:placeholder>
          <w:docPart w:val="GBC22222222222222222222222222222"/>
        </w:placeholder>
      </w:sdtPr>
      <w:sdtEndPr>
        <w:rPr>
          <w:rFonts w:ascii="宋体" w:hAnsi="宋体" w:cs="Times New Roman" w:hint="eastAsia"/>
          <w:kern w:val="2"/>
          <w:szCs w:val="21"/>
        </w:rPr>
      </w:sdtEndPr>
      <w:sdtContent>
        <w:p w:rsidR="00806678" w:rsidRDefault="00B16377" w:rsidP="00FF17C7">
          <w:pPr>
            <w:pStyle w:val="3"/>
            <w:numPr>
              <w:ilvl w:val="0"/>
              <w:numId w:val="39"/>
            </w:numPr>
          </w:pPr>
          <w:r>
            <w:t>生物资产</w:t>
          </w:r>
        </w:p>
        <w:sdt>
          <w:sdtPr>
            <w:rPr>
              <w:rFonts w:hint="eastAsia"/>
              <w:szCs w:val="21"/>
            </w:rPr>
            <w:alias w:val="是否适用：生物资产_重要会计政策和估计[双击切换]"/>
            <w:tag w:val="_GBC_f511e8d0a6dc417eb1d10eeecb5b05a5"/>
            <w:id w:val="1071622327"/>
            <w:lock w:val="sdtLocked"/>
            <w:placeholder>
              <w:docPart w:val="GBC22222222222222222222222222222"/>
            </w:placeholder>
          </w:sdtPr>
          <w:sdtContent>
            <w:p w:rsidR="00806678" w:rsidRDefault="00F80B6C" w:rsidP="002D35C3">
              <w:pPr>
                <w:rPr>
                  <w:rFonts w:cs="Times New Roman"/>
                  <w:kern w:val="2"/>
                  <w:szCs w:val="21"/>
                </w:rPr>
              </w:pPr>
              <w:r>
                <w:rPr>
                  <w:szCs w:val="21"/>
                </w:rPr>
                <w:fldChar w:fldCharType="begin"/>
              </w:r>
              <w:r w:rsidR="002D35C3">
                <w:rPr>
                  <w:szCs w:val="21"/>
                </w:rPr>
                <w:instrText xml:space="preserve"> MACROBUTTON  SnrToggleCheckbox □适用  </w:instrText>
              </w:r>
              <w:r>
                <w:rPr>
                  <w:szCs w:val="21"/>
                </w:rPr>
                <w:fldChar w:fldCharType="end"/>
              </w:r>
              <w:r>
                <w:rPr>
                  <w:szCs w:val="21"/>
                </w:rPr>
                <w:fldChar w:fldCharType="begin"/>
              </w:r>
              <w:r w:rsidR="002D35C3">
                <w:rPr>
                  <w:szCs w:val="21"/>
                </w:rPr>
                <w:instrText xml:space="preserve"> MACROBUTTON  SnrToggleCheckbox √不适用 </w:instrText>
              </w:r>
              <w:r>
                <w:rPr>
                  <w:szCs w:val="21"/>
                </w:rPr>
                <w:fldChar w:fldCharType="end"/>
              </w:r>
            </w:p>
          </w:sdtContent>
        </w:sdt>
      </w:sdtContent>
    </w:sdt>
    <w:p w:rsidR="00806678" w:rsidRDefault="00806678">
      <w:pPr>
        <w:rPr>
          <w:szCs w:val="21"/>
        </w:rPr>
      </w:pPr>
    </w:p>
    <w:sdt>
      <w:sdtPr>
        <w:rPr>
          <w:rFonts w:asciiTheme="minorHAnsi" w:hAnsiTheme="minorHAnsi" w:cs="宋体"/>
          <w:b w:val="0"/>
          <w:bCs w:val="0"/>
          <w:kern w:val="0"/>
          <w:szCs w:val="22"/>
        </w:rPr>
        <w:alias w:val="模块:油气资产会计处理方法"/>
        <w:tag w:val="_GBC_ed738d1d51d04aad8efd3fb3e88bf021"/>
        <w:id w:val="1465319608"/>
        <w:lock w:val="sdtLocked"/>
        <w:placeholder>
          <w:docPart w:val="GBC22222222222222222222222222222"/>
        </w:placeholder>
      </w:sdtPr>
      <w:sdtEndPr>
        <w:rPr>
          <w:rFonts w:ascii="宋体" w:hAnsi="宋体" w:cs="Times New Roman" w:hint="eastAsia"/>
          <w:kern w:val="2"/>
          <w:szCs w:val="21"/>
        </w:rPr>
      </w:sdtEndPr>
      <w:sdtContent>
        <w:p w:rsidR="00806678" w:rsidRDefault="00B16377" w:rsidP="00FF17C7">
          <w:pPr>
            <w:pStyle w:val="3"/>
            <w:numPr>
              <w:ilvl w:val="0"/>
              <w:numId w:val="39"/>
            </w:numPr>
          </w:pPr>
          <w:r>
            <w:t>油气资产</w:t>
          </w:r>
        </w:p>
        <w:sdt>
          <w:sdtPr>
            <w:rPr>
              <w:rFonts w:hint="eastAsia"/>
              <w:szCs w:val="21"/>
            </w:rPr>
            <w:alias w:val="是否适用：油气资产_重要会计政策和估计[双击切换]"/>
            <w:tag w:val="_GBC_fb60dd1d8d2346fb9b2e461875c070c9"/>
            <w:id w:val="-1043287651"/>
            <w:lock w:val="sdtLocked"/>
            <w:placeholder>
              <w:docPart w:val="GBC22222222222222222222222222222"/>
            </w:placeholder>
          </w:sdtPr>
          <w:sdtContent>
            <w:p w:rsidR="00806678" w:rsidRDefault="00F80B6C" w:rsidP="002D35C3">
              <w:pPr>
                <w:rPr>
                  <w:rFonts w:cs="Times New Roman"/>
                  <w:kern w:val="2"/>
                  <w:szCs w:val="21"/>
                </w:rPr>
              </w:pPr>
              <w:r>
                <w:rPr>
                  <w:szCs w:val="21"/>
                </w:rPr>
                <w:fldChar w:fldCharType="begin"/>
              </w:r>
              <w:r w:rsidR="002D35C3">
                <w:rPr>
                  <w:szCs w:val="21"/>
                </w:rPr>
                <w:instrText xml:space="preserve"> MACROBUTTON  SnrToggleCheckbox □适用  </w:instrText>
              </w:r>
              <w:r>
                <w:rPr>
                  <w:szCs w:val="21"/>
                </w:rPr>
                <w:fldChar w:fldCharType="end"/>
              </w:r>
              <w:r>
                <w:rPr>
                  <w:szCs w:val="21"/>
                </w:rPr>
                <w:fldChar w:fldCharType="begin"/>
              </w:r>
              <w:r w:rsidR="002D35C3">
                <w:rPr>
                  <w:szCs w:val="21"/>
                </w:rPr>
                <w:instrText xml:space="preserve"> MACROBUTTON  SnrToggleCheckbox √不适用 </w:instrText>
              </w:r>
              <w:r>
                <w:rPr>
                  <w:szCs w:val="21"/>
                </w:rPr>
                <w:fldChar w:fldCharType="end"/>
              </w:r>
            </w:p>
          </w:sdtContent>
        </w:sdt>
      </w:sdtContent>
    </w:sdt>
    <w:p w:rsidR="00806678" w:rsidRDefault="00806678">
      <w:pPr>
        <w:rPr>
          <w:szCs w:val="21"/>
        </w:rPr>
      </w:pPr>
    </w:p>
    <w:bookmarkStart w:id="145" w:name="_Hlk24378536" w:displacedByCustomXml="next"/>
    <w:sdt>
      <w:sdtPr>
        <w:rPr>
          <w:rFonts w:ascii="宋体" w:hAnsi="宋体" w:cs="宋体"/>
          <w:b w:val="0"/>
          <w:bCs w:val="0"/>
          <w:kern w:val="0"/>
          <w:szCs w:val="21"/>
        </w:rPr>
        <w:alias w:val="模块:使用权资产"/>
        <w:tag w:val="_SEC_c609e6522cb94604b2ba3e771a8bd22e"/>
        <w:id w:val="189183755"/>
        <w:lock w:val="sdtLocked"/>
        <w:placeholder>
          <w:docPart w:val="GBC22222222222222222222222222222"/>
        </w:placeholder>
      </w:sdtPr>
      <w:sdtContent>
        <w:p w:rsidR="00806678" w:rsidRDefault="00B16377" w:rsidP="00FF17C7">
          <w:pPr>
            <w:pStyle w:val="3"/>
            <w:numPr>
              <w:ilvl w:val="0"/>
              <w:numId w:val="39"/>
            </w:numPr>
            <w:rPr>
              <w:szCs w:val="21"/>
            </w:rPr>
          </w:pPr>
          <w:r>
            <w:rPr>
              <w:rFonts w:hint="eastAsia"/>
              <w:szCs w:val="21"/>
            </w:rPr>
            <w:t>使用权资产</w:t>
          </w:r>
        </w:p>
        <w:sdt>
          <w:sdtPr>
            <w:rPr>
              <w:szCs w:val="21"/>
            </w:rPr>
            <w:alias w:val="是否适用：使用权资产_重要会计政策和估计[双击切换]"/>
            <w:tag w:val="_GBC_d5fa1c5f8f2e496ba11642eb8ee9d382"/>
            <w:id w:val="-1864890109"/>
            <w:lock w:val="sdtLocked"/>
            <w:placeholder>
              <w:docPart w:val="GBC22222222222222222222222222222"/>
            </w:placeholder>
          </w:sdtPr>
          <w:sdtContent>
            <w:p w:rsidR="00806678" w:rsidRDefault="00F80B6C">
              <w:pPr>
                <w:rPr>
                  <w:szCs w:val="21"/>
                </w:rPr>
              </w:pPr>
              <w:r>
                <w:rPr>
                  <w:szCs w:val="21"/>
                </w:rPr>
                <w:fldChar w:fldCharType="begin"/>
              </w:r>
              <w:r w:rsidR="002D35C3">
                <w:rPr>
                  <w:szCs w:val="21"/>
                </w:rPr>
                <w:instrText xml:space="preserve"> MACROBUTTON  SnrToggleCheckbox √适用 </w:instrText>
              </w:r>
              <w:r>
                <w:rPr>
                  <w:szCs w:val="21"/>
                </w:rPr>
                <w:fldChar w:fldCharType="end"/>
              </w:r>
              <w:r>
                <w:rPr>
                  <w:szCs w:val="21"/>
                </w:rPr>
                <w:fldChar w:fldCharType="begin"/>
              </w:r>
              <w:r w:rsidR="002D35C3">
                <w:rPr>
                  <w:szCs w:val="21"/>
                </w:rPr>
                <w:instrText xml:space="preserve"> MACROBUTTON  SnrToggleCheckbox □不适用 </w:instrText>
              </w:r>
              <w:r>
                <w:rPr>
                  <w:szCs w:val="21"/>
                </w:rPr>
                <w:fldChar w:fldCharType="end"/>
              </w:r>
            </w:p>
          </w:sdtContent>
        </w:sdt>
        <w:sdt>
          <w:sdtPr>
            <w:rPr>
              <w:szCs w:val="21"/>
            </w:rPr>
            <w:alias w:val="使用权资产的核算方法"/>
            <w:tag w:val="_GBC_b0f7701b37f24dbe8f59289a41676ba7"/>
            <w:id w:val="-2108719831"/>
            <w:lock w:val="sdtLocked"/>
            <w:placeholder>
              <w:docPart w:val="GBC22222222222222222222222222222"/>
            </w:placeholder>
          </w:sdtPr>
          <w:sdtContent>
            <w:p w:rsidR="00806678" w:rsidRDefault="002D35C3">
              <w:pPr>
                <w:rPr>
                  <w:szCs w:val="21"/>
                </w:rPr>
              </w:pPr>
              <w:r>
                <w:rPr>
                  <w:rFonts w:hint="eastAsia"/>
                  <w:szCs w:val="21"/>
                </w:rPr>
                <w:t>详见附注五、</w:t>
              </w:r>
              <w:r>
                <w:rPr>
                  <w:szCs w:val="21"/>
                </w:rPr>
                <w:t>42(3)</w:t>
              </w:r>
              <w:r>
                <w:rPr>
                  <w:rFonts w:hint="eastAsia"/>
                  <w:szCs w:val="21"/>
                </w:rPr>
                <w:t>。</w:t>
              </w:r>
            </w:p>
          </w:sdtContent>
        </w:sdt>
        <w:p w:rsidR="00806678" w:rsidRDefault="00F80B6C">
          <w:pPr>
            <w:rPr>
              <w:szCs w:val="21"/>
            </w:rPr>
          </w:pPr>
        </w:p>
      </w:sdtContent>
    </w:sdt>
    <w:bookmarkEnd w:id="145" w:displacedByCustomXml="prev"/>
    <w:sdt>
      <w:sdtPr>
        <w:rPr>
          <w:rFonts w:asciiTheme="minorHAnsi" w:hAnsiTheme="minorHAnsi" w:cs="宋体"/>
          <w:b w:val="0"/>
          <w:bCs w:val="0"/>
          <w:kern w:val="0"/>
          <w:szCs w:val="22"/>
        </w:rPr>
        <w:alias w:val="模块:无形资产会计处理方法"/>
        <w:tag w:val="_GBC_0a8b293ff9e94173b2e385f4ef2a8c89"/>
        <w:id w:val="1218404151"/>
        <w:lock w:val="sdtLocked"/>
        <w:placeholder>
          <w:docPart w:val="GBC22222222222222222222222222222"/>
        </w:placeholder>
      </w:sdtPr>
      <w:sdtEndPr>
        <w:rPr>
          <w:rFonts w:ascii="宋体" w:hAnsi="宋体" w:cs="Times New Roman" w:hint="eastAsia"/>
          <w:kern w:val="2"/>
          <w:szCs w:val="21"/>
        </w:rPr>
      </w:sdtEndPr>
      <w:sdtContent>
        <w:p w:rsidR="00806678" w:rsidRDefault="00B16377" w:rsidP="00FF17C7">
          <w:pPr>
            <w:pStyle w:val="3"/>
            <w:numPr>
              <w:ilvl w:val="0"/>
              <w:numId w:val="39"/>
            </w:numPr>
          </w:pPr>
          <w:r>
            <w:t>无形资产</w:t>
          </w:r>
        </w:p>
        <w:p w:rsidR="00806678" w:rsidRDefault="00B16377" w:rsidP="00FF17C7">
          <w:pPr>
            <w:pStyle w:val="4"/>
            <w:numPr>
              <w:ilvl w:val="3"/>
              <w:numId w:val="41"/>
            </w:numPr>
            <w:ind w:left="426" w:hanging="426"/>
          </w:pPr>
          <w:r>
            <w:rPr>
              <w:rFonts w:hint="eastAsia"/>
            </w:rPr>
            <w:t>计价方法、使用寿命、减值测试</w:t>
          </w:r>
        </w:p>
        <w:sdt>
          <w:sdtPr>
            <w:alias w:val="是否适用：无形资产计价方法、使用寿命、减值测试[双击切换]"/>
            <w:tag w:val="_GBC_40df8c87b47d48bbbf73a71cc533a892"/>
            <w:id w:val="1336814441"/>
            <w:lock w:val="sdtLocked"/>
            <w:placeholder>
              <w:docPart w:val="GBC22222222222222222222222222222"/>
            </w:placeholder>
          </w:sdtPr>
          <w:sdtContent>
            <w:p w:rsidR="000F33A9" w:rsidRDefault="00F80B6C">
              <w:r>
                <w:fldChar w:fldCharType="begin"/>
              </w:r>
              <w:r w:rsidR="002D35C3">
                <w:instrText xml:space="preserve">MACROBUTTON  SnrToggleCheckbox √适用 </w:instrText>
              </w:r>
              <w:r>
                <w:fldChar w:fldCharType="end"/>
              </w:r>
              <w:r>
                <w:fldChar w:fldCharType="begin"/>
              </w:r>
              <w:r w:rsidR="002D35C3">
                <w:instrText xml:space="preserve"> MACROBUTTON  SnrToggleCheckbox □不适用 </w:instrText>
              </w:r>
              <w:r>
                <w:fldChar w:fldCharType="end"/>
              </w:r>
            </w:p>
            <w:p w:rsidR="00806678" w:rsidRDefault="00F80B6C"/>
          </w:sdtContent>
        </w:sdt>
        <w:sdt>
          <w:sdtPr>
            <w:rPr>
              <w:rFonts w:asciiTheme="majorEastAsia" w:eastAsiaTheme="majorEastAsia" w:hAnsiTheme="majorEastAsia"/>
              <w:szCs w:val="21"/>
            </w:rPr>
            <w:alias w:val="无形资产计价方法、使用寿命、减值测试"/>
            <w:tag w:val="_GBC_a9e64b18f452482eb6674ec605618dcc"/>
            <w:id w:val="-470597226"/>
            <w:lock w:val="sdtLocked"/>
            <w:placeholder>
              <w:docPart w:val="GBC22222222222222222222222222222"/>
            </w:placeholder>
          </w:sdtPr>
          <w:sdtEndPr>
            <w:rPr>
              <w:sz w:val="21"/>
            </w:rPr>
          </w:sdtEndPr>
          <w:sdtContent>
            <w:p w:rsidR="002D35C3" w:rsidRPr="00C3641E" w:rsidRDefault="002D35C3" w:rsidP="002D35C3">
              <w:pPr>
                <w:pStyle w:val="34"/>
                <w:overflowPunct w:val="0"/>
                <w:snapToGrid w:val="0"/>
                <w:rPr>
                  <w:rFonts w:asciiTheme="majorEastAsia" w:eastAsiaTheme="majorEastAsia" w:hAnsiTheme="majorEastAsia" w:cs="Arial"/>
                  <w:sz w:val="21"/>
                  <w:szCs w:val="21"/>
                </w:rPr>
              </w:pPr>
              <w:r w:rsidRPr="00C3641E">
                <w:rPr>
                  <w:rFonts w:asciiTheme="majorEastAsia" w:eastAsiaTheme="majorEastAsia" w:hAnsiTheme="majorEastAsia" w:cs="Arial" w:hint="eastAsia"/>
                  <w:sz w:val="21"/>
                  <w:szCs w:val="21"/>
                </w:rPr>
                <w:t>无形资产以成本减累计摊销 (仅限于使用寿命有限的无形资产) 及减值准备 (参见附注</w:t>
              </w:r>
              <w:r w:rsidR="000F33A9" w:rsidRPr="00C3641E">
                <w:rPr>
                  <w:rFonts w:asciiTheme="majorEastAsia" w:eastAsiaTheme="majorEastAsia" w:hAnsiTheme="majorEastAsia" w:cs="Arial" w:hint="eastAsia"/>
                  <w:sz w:val="21"/>
                  <w:szCs w:val="21"/>
                </w:rPr>
                <w:t>五</w:t>
              </w:r>
              <w:r w:rsidRPr="00C3641E">
                <w:rPr>
                  <w:rFonts w:asciiTheme="majorEastAsia" w:eastAsiaTheme="majorEastAsia" w:hAnsiTheme="majorEastAsia" w:cs="Arial" w:hint="eastAsia"/>
                  <w:sz w:val="21"/>
                  <w:szCs w:val="21"/>
                </w:rPr>
                <w:t>、</w:t>
              </w:r>
              <w:r w:rsidR="000F33A9" w:rsidRPr="00C3641E">
                <w:rPr>
                  <w:rFonts w:asciiTheme="majorEastAsia" w:eastAsiaTheme="majorEastAsia" w:hAnsiTheme="majorEastAsia" w:cs="Arial"/>
                  <w:sz w:val="21"/>
                  <w:szCs w:val="21"/>
                </w:rPr>
                <w:t>30</w:t>
              </w:r>
              <w:r w:rsidRPr="00C3641E">
                <w:rPr>
                  <w:rFonts w:asciiTheme="majorEastAsia" w:eastAsiaTheme="majorEastAsia" w:hAnsiTheme="majorEastAsia" w:cs="Arial" w:hint="eastAsia"/>
                  <w:sz w:val="21"/>
                  <w:szCs w:val="21"/>
                </w:rPr>
                <w:t>) 后在资产负债表内列示。对于使用寿命有限的无形资产，本集团将无形资产的成本扣除预计净残值和累计减值准备后按直线法在预计使用寿命期内摊销，除非该无形资产符合持有待售的条件。公司改制时国有股股东投入的无形资产，按财政部核准的评估值作为入账价值。</w:t>
              </w:r>
            </w:p>
            <w:p w:rsidR="002D35C3" w:rsidRPr="00C3641E" w:rsidRDefault="002D35C3" w:rsidP="002D35C3">
              <w:pPr>
                <w:pStyle w:val="34"/>
                <w:overflowPunct w:val="0"/>
                <w:snapToGrid w:val="0"/>
                <w:rPr>
                  <w:rFonts w:asciiTheme="majorEastAsia" w:eastAsiaTheme="majorEastAsia" w:hAnsiTheme="majorEastAsia" w:cs="Arial"/>
                  <w:sz w:val="21"/>
                  <w:szCs w:val="21"/>
                </w:rPr>
              </w:pPr>
            </w:p>
            <w:p w:rsidR="002D35C3" w:rsidRPr="00C3641E" w:rsidRDefault="002D35C3" w:rsidP="002D35C3">
              <w:pPr>
                <w:pStyle w:val="34"/>
                <w:overflowPunct w:val="0"/>
                <w:snapToGrid w:val="0"/>
                <w:rPr>
                  <w:rFonts w:asciiTheme="majorEastAsia" w:eastAsiaTheme="majorEastAsia" w:hAnsiTheme="majorEastAsia" w:cs="Arial"/>
                  <w:sz w:val="21"/>
                  <w:szCs w:val="21"/>
                </w:rPr>
              </w:pPr>
              <w:r w:rsidRPr="00C3641E">
                <w:rPr>
                  <w:rFonts w:asciiTheme="majorEastAsia" w:eastAsiaTheme="majorEastAsia" w:hAnsiTheme="majorEastAsia" w:cs="Arial" w:hint="eastAsia"/>
                  <w:sz w:val="21"/>
                  <w:szCs w:val="21"/>
                </w:rPr>
                <w:t>主要无形资产的摊销年限为：</w:t>
              </w:r>
            </w:p>
            <w:tbl>
              <w:tblPr>
                <w:tblW w:w="8789" w:type="dxa"/>
                <w:tblInd w:w="5" w:type="dxa"/>
                <w:tblLayout w:type="fixed"/>
                <w:tblCellMar>
                  <w:left w:w="0" w:type="dxa"/>
                  <w:right w:w="28" w:type="dxa"/>
                </w:tblCellMar>
                <w:tblLook w:val="04A0"/>
              </w:tblPr>
              <w:tblGrid>
                <w:gridCol w:w="1835"/>
                <w:gridCol w:w="6954"/>
              </w:tblGrid>
              <w:tr w:rsidR="002D35C3" w:rsidRPr="00C3641E" w:rsidTr="002D35C3">
                <w:trPr>
                  <w:trHeight w:val="357"/>
                </w:trPr>
                <w:tc>
                  <w:tcPr>
                    <w:tcW w:w="1835" w:type="dxa"/>
                    <w:vAlign w:val="bottom"/>
                  </w:tcPr>
                  <w:p w:rsidR="002D35C3" w:rsidRPr="00C3641E" w:rsidRDefault="002D35C3" w:rsidP="00601D47">
                    <w:pPr>
                      <w:snapToGrid w:val="0"/>
                      <w:rPr>
                        <w:rFonts w:asciiTheme="majorEastAsia" w:eastAsiaTheme="majorEastAsia" w:hAnsiTheme="majorEastAsia"/>
                        <w:szCs w:val="21"/>
                      </w:rPr>
                    </w:pPr>
                    <w:r w:rsidRPr="00C3641E">
                      <w:rPr>
                        <w:rFonts w:asciiTheme="majorEastAsia" w:eastAsiaTheme="majorEastAsia" w:hAnsiTheme="majorEastAsia"/>
                        <w:szCs w:val="21"/>
                        <w:u w:val="single"/>
                      </w:rPr>
                      <w:t>项目</w:t>
                    </w:r>
                  </w:p>
                </w:tc>
                <w:tc>
                  <w:tcPr>
                    <w:tcW w:w="6954" w:type="dxa"/>
                    <w:vAlign w:val="bottom"/>
                  </w:tcPr>
                  <w:p w:rsidR="002D35C3" w:rsidRPr="00C3641E" w:rsidRDefault="002D35C3" w:rsidP="00601D47">
                    <w:pPr>
                      <w:snapToGrid w:val="0"/>
                      <w:jc w:val="right"/>
                      <w:rPr>
                        <w:rFonts w:asciiTheme="majorEastAsia" w:eastAsiaTheme="majorEastAsia" w:hAnsiTheme="majorEastAsia"/>
                        <w:szCs w:val="21"/>
                      </w:rPr>
                    </w:pPr>
                    <w:r w:rsidRPr="00C3641E">
                      <w:rPr>
                        <w:rFonts w:asciiTheme="majorEastAsia" w:eastAsiaTheme="majorEastAsia" w:hAnsiTheme="majorEastAsia"/>
                        <w:szCs w:val="21"/>
                        <w:u w:val="single"/>
                      </w:rPr>
                      <w:t>摊销年限 (年)</w:t>
                    </w:r>
                  </w:p>
                </w:tc>
              </w:tr>
              <w:tr w:rsidR="002D35C3" w:rsidRPr="00C3641E" w:rsidTr="002D35C3">
                <w:trPr>
                  <w:trHeight w:val="361"/>
                </w:trPr>
                <w:tc>
                  <w:tcPr>
                    <w:tcW w:w="1835" w:type="dxa"/>
                    <w:vAlign w:val="bottom"/>
                  </w:tcPr>
                  <w:p w:rsidR="002D35C3" w:rsidRPr="00C3641E" w:rsidRDefault="002D35C3" w:rsidP="00601D47">
                    <w:pPr>
                      <w:snapToGrid w:val="0"/>
                      <w:rPr>
                        <w:rFonts w:asciiTheme="majorEastAsia" w:eastAsiaTheme="majorEastAsia" w:hAnsiTheme="majorEastAsia"/>
                        <w:szCs w:val="21"/>
                      </w:rPr>
                    </w:pPr>
                    <w:r w:rsidRPr="00C3641E">
                      <w:rPr>
                        <w:rFonts w:ascii="微软雅黑" w:eastAsia="微软雅黑" w:hAnsi="微软雅黑" w:cs="微软雅黑" w:hint="eastAsia"/>
                        <w:szCs w:val="21"/>
                      </w:rPr>
                      <w:t> </w:t>
                    </w:r>
                  </w:p>
                </w:tc>
                <w:tc>
                  <w:tcPr>
                    <w:tcW w:w="6954" w:type="dxa"/>
                    <w:vAlign w:val="bottom"/>
                  </w:tcPr>
                  <w:p w:rsidR="002D35C3" w:rsidRPr="00C3641E" w:rsidRDefault="002D35C3" w:rsidP="00601D47">
                    <w:pPr>
                      <w:snapToGrid w:val="0"/>
                      <w:jc w:val="right"/>
                      <w:rPr>
                        <w:rFonts w:asciiTheme="majorEastAsia" w:eastAsiaTheme="majorEastAsia" w:hAnsiTheme="majorEastAsia"/>
                        <w:szCs w:val="21"/>
                      </w:rPr>
                    </w:pPr>
                    <w:r w:rsidRPr="00C3641E">
                      <w:rPr>
                        <w:rFonts w:ascii="微软雅黑" w:eastAsia="微软雅黑" w:hAnsi="微软雅黑" w:cs="微软雅黑" w:hint="eastAsia"/>
                        <w:szCs w:val="21"/>
                      </w:rPr>
                      <w:t> </w:t>
                    </w:r>
                  </w:p>
                </w:tc>
              </w:tr>
              <w:tr w:rsidR="002D35C3" w:rsidRPr="00C3641E" w:rsidTr="002D35C3">
                <w:trPr>
                  <w:trHeight w:val="371"/>
                </w:trPr>
                <w:tc>
                  <w:tcPr>
                    <w:tcW w:w="1835" w:type="dxa"/>
                    <w:vAlign w:val="bottom"/>
                  </w:tcPr>
                  <w:p w:rsidR="002D35C3" w:rsidRPr="00C3641E" w:rsidRDefault="002D35C3" w:rsidP="00601D47">
                    <w:pPr>
                      <w:snapToGrid w:val="0"/>
                      <w:rPr>
                        <w:rFonts w:asciiTheme="majorEastAsia" w:eastAsiaTheme="majorEastAsia" w:hAnsiTheme="majorEastAsia"/>
                        <w:szCs w:val="21"/>
                      </w:rPr>
                    </w:pPr>
                    <w:r w:rsidRPr="00C3641E">
                      <w:rPr>
                        <w:rFonts w:asciiTheme="majorEastAsia" w:eastAsiaTheme="majorEastAsia" w:hAnsiTheme="majorEastAsia"/>
                        <w:szCs w:val="21"/>
                      </w:rPr>
                      <w:t>土地使用权</w:t>
                    </w:r>
                  </w:p>
                </w:tc>
                <w:tc>
                  <w:tcPr>
                    <w:tcW w:w="6954" w:type="dxa"/>
                    <w:vAlign w:val="bottom"/>
                  </w:tcPr>
                  <w:p w:rsidR="002D35C3" w:rsidRPr="00C3641E" w:rsidRDefault="002D35C3" w:rsidP="00601D47">
                    <w:pPr>
                      <w:snapToGrid w:val="0"/>
                      <w:jc w:val="right"/>
                      <w:rPr>
                        <w:rFonts w:asciiTheme="majorEastAsia" w:eastAsiaTheme="majorEastAsia" w:hAnsiTheme="majorEastAsia"/>
                        <w:szCs w:val="21"/>
                      </w:rPr>
                    </w:pPr>
                    <w:r w:rsidRPr="00C3641E">
                      <w:rPr>
                        <w:rFonts w:asciiTheme="majorEastAsia" w:eastAsiaTheme="majorEastAsia" w:hAnsiTheme="majorEastAsia"/>
                        <w:szCs w:val="21"/>
                      </w:rPr>
                      <w:t>50年</w:t>
                    </w:r>
                  </w:p>
                </w:tc>
              </w:tr>
            </w:tbl>
            <w:p w:rsidR="002D35C3" w:rsidRPr="00C3641E" w:rsidRDefault="002D35C3" w:rsidP="002D35C3">
              <w:pPr>
                <w:pStyle w:val="34"/>
                <w:overflowPunct w:val="0"/>
                <w:snapToGrid w:val="0"/>
                <w:rPr>
                  <w:rFonts w:asciiTheme="majorEastAsia" w:eastAsiaTheme="majorEastAsia" w:hAnsiTheme="majorEastAsia" w:cs="Arial"/>
                  <w:sz w:val="21"/>
                  <w:szCs w:val="21"/>
                </w:rPr>
              </w:pPr>
              <w:r w:rsidRPr="00C3641E">
                <w:rPr>
                  <w:rFonts w:asciiTheme="majorEastAsia" w:eastAsiaTheme="majorEastAsia" w:hAnsiTheme="majorEastAsia" w:cs="Arial" w:hint="eastAsia"/>
                  <w:sz w:val="21"/>
                  <w:szCs w:val="21"/>
                </w:rPr>
                <w:t>外购土地及建筑物的价款难以在土地使用权与建筑物之间合理分配的，全部作为固定资产。</w:t>
              </w:r>
            </w:p>
            <w:p w:rsidR="002D35C3" w:rsidRPr="00C3641E" w:rsidRDefault="002D35C3" w:rsidP="002D35C3">
              <w:pPr>
                <w:overflowPunct w:val="0"/>
                <w:adjustRightInd w:val="0"/>
                <w:snapToGrid w:val="0"/>
                <w:rPr>
                  <w:rFonts w:asciiTheme="majorEastAsia" w:eastAsiaTheme="majorEastAsia" w:hAnsiTheme="majorEastAsia" w:cs="Arial"/>
                  <w:szCs w:val="21"/>
                </w:rPr>
              </w:pPr>
            </w:p>
            <w:p w:rsidR="00806678" w:rsidRPr="00C3641E" w:rsidRDefault="002D35C3" w:rsidP="002D35C3">
              <w:pPr>
                <w:pStyle w:val="34"/>
                <w:overflowPunct w:val="0"/>
                <w:snapToGrid w:val="0"/>
                <w:rPr>
                  <w:rFonts w:asciiTheme="majorEastAsia" w:eastAsiaTheme="majorEastAsia" w:hAnsiTheme="majorEastAsia" w:cs="Arial"/>
                  <w:sz w:val="21"/>
                  <w:szCs w:val="21"/>
                </w:rPr>
              </w:pPr>
              <w:r w:rsidRPr="00C3641E">
                <w:rPr>
                  <w:rFonts w:asciiTheme="majorEastAsia" w:eastAsiaTheme="majorEastAsia" w:hAnsiTheme="majorEastAsia" w:cs="Arial" w:hint="eastAsia"/>
                  <w:sz w:val="21"/>
                  <w:szCs w:val="21"/>
                </w:rPr>
                <w:t>本集团将无法预见未来经济利益期限的无形资产视为使用寿命不确定的无形资产，并对这类无形资产不予摊销。</w:t>
              </w:r>
            </w:p>
          </w:sdtContent>
        </w:sdt>
        <w:p w:rsidR="00806678" w:rsidRDefault="00B16377" w:rsidP="00FF17C7">
          <w:pPr>
            <w:pStyle w:val="4"/>
            <w:numPr>
              <w:ilvl w:val="3"/>
              <w:numId w:val="41"/>
            </w:numPr>
            <w:ind w:left="426" w:hanging="426"/>
          </w:pPr>
          <w:r>
            <w:rPr>
              <w:rFonts w:hint="eastAsia"/>
            </w:rPr>
            <w:t>内部研究开发支出会计政策</w:t>
          </w:r>
        </w:p>
        <w:sdt>
          <w:sdtPr>
            <w:alias w:val="是否适用：无形资产内部研究开发支出会计政策[双击切换]"/>
            <w:tag w:val="_GBC_8f6b939ea36a42808f60b7c024994f2b"/>
            <w:id w:val="270979609"/>
            <w:lock w:val="sdtLocked"/>
            <w:placeholder>
              <w:docPart w:val="GBC22222222222222222222222222222"/>
            </w:placeholder>
          </w:sdtPr>
          <w:sdtContent>
            <w:p w:rsidR="000F33A9" w:rsidRDefault="00F80B6C">
              <w:r>
                <w:fldChar w:fldCharType="begin"/>
              </w:r>
              <w:r w:rsidR="002D35C3">
                <w:instrText xml:space="preserve">MACROBUTTON  SnrToggleCheckbox √适用 </w:instrText>
              </w:r>
              <w:r>
                <w:fldChar w:fldCharType="end"/>
              </w:r>
              <w:r>
                <w:fldChar w:fldCharType="begin"/>
              </w:r>
              <w:r w:rsidR="002D35C3">
                <w:instrText xml:space="preserve"> MACROBUTTON  SnrToggleCheckbox □不适用 </w:instrText>
              </w:r>
              <w:r>
                <w:fldChar w:fldCharType="end"/>
              </w:r>
            </w:p>
            <w:p w:rsidR="00806678" w:rsidRDefault="00F80B6C"/>
          </w:sdtContent>
        </w:sdt>
        <w:sdt>
          <w:sdtPr>
            <w:rPr>
              <w:sz w:val="21"/>
              <w:szCs w:val="21"/>
            </w:rPr>
            <w:alias w:val="无形资产内部研究、开发支出会计政策"/>
            <w:tag w:val="_GBC_af7b1338d88344dfb8cd34ed66bfe672"/>
            <w:id w:val="1637218676"/>
            <w:lock w:val="sdtLocked"/>
            <w:placeholder>
              <w:docPart w:val="GBC22222222222222222222222222222"/>
            </w:placeholder>
          </w:sdtPr>
          <w:sdtContent>
            <w:p w:rsidR="002D35C3" w:rsidRPr="002D35C3" w:rsidRDefault="002D35C3" w:rsidP="002D35C3">
              <w:pPr>
                <w:pStyle w:val="34"/>
                <w:overflowPunct w:val="0"/>
                <w:snapToGrid w:val="0"/>
                <w:rPr>
                  <w:rFonts w:asciiTheme="majorEastAsia" w:eastAsiaTheme="majorEastAsia" w:hAnsiTheme="majorEastAsia" w:cs="Arial"/>
                  <w:sz w:val="22"/>
                  <w:szCs w:val="22"/>
                </w:rPr>
              </w:pPr>
              <w:r w:rsidRPr="002D35C3">
                <w:rPr>
                  <w:rFonts w:asciiTheme="majorEastAsia" w:eastAsiaTheme="majorEastAsia" w:hAnsiTheme="majorEastAsia" w:cs="Arial" w:hint="eastAsia"/>
                  <w:sz w:val="22"/>
                  <w:szCs w:val="22"/>
                </w:rPr>
                <w:t>本集团内部研究开发项目的支出分为研究阶段支出和开发阶段支出。</w:t>
              </w:r>
            </w:p>
            <w:p w:rsidR="002D35C3" w:rsidRDefault="002D35C3" w:rsidP="002D35C3">
              <w:pPr>
                <w:pStyle w:val="34"/>
                <w:overflowPunct w:val="0"/>
                <w:snapToGrid w:val="0"/>
                <w:rPr>
                  <w:rFonts w:asciiTheme="majorEastAsia" w:eastAsiaTheme="majorEastAsia" w:hAnsiTheme="majorEastAsia" w:cs="Arial"/>
                  <w:sz w:val="22"/>
                  <w:szCs w:val="22"/>
                </w:rPr>
              </w:pPr>
              <w:r w:rsidRPr="002D35C3">
                <w:rPr>
                  <w:rFonts w:asciiTheme="majorEastAsia" w:eastAsiaTheme="majorEastAsia" w:hAnsiTheme="majorEastAsia" w:cs="Arial" w:hint="eastAsia"/>
                  <w:sz w:val="22"/>
                  <w:szCs w:val="22"/>
                </w:rPr>
                <w:lastRenderedPageBreak/>
                <w:t>研究阶段的支出，于发生时计入当期损益。开发阶段的支出，如果开发形成的某项产品或工序等在技术和商业上可行，而且本集团有充足的资源和意向完成开发工作，并且开发阶段支出能够可靠计量，则开发阶段的支出便会予以资本化。资本化开发支出按成本减减值准备 (参见附注</w:t>
              </w:r>
              <w:r w:rsidR="007D0F35">
                <w:rPr>
                  <w:rFonts w:asciiTheme="majorEastAsia" w:eastAsiaTheme="majorEastAsia" w:hAnsiTheme="majorEastAsia" w:cs="Arial" w:hint="eastAsia"/>
                  <w:sz w:val="22"/>
                  <w:szCs w:val="22"/>
                </w:rPr>
                <w:t>五</w:t>
              </w:r>
              <w:r w:rsidRPr="002D35C3">
                <w:rPr>
                  <w:rFonts w:asciiTheme="majorEastAsia" w:eastAsiaTheme="majorEastAsia" w:hAnsiTheme="majorEastAsia" w:cs="Arial" w:hint="eastAsia"/>
                  <w:sz w:val="22"/>
                  <w:szCs w:val="22"/>
                </w:rPr>
                <w:t>、</w:t>
              </w:r>
              <w:r w:rsidR="007D0F35">
                <w:rPr>
                  <w:rFonts w:asciiTheme="majorEastAsia" w:eastAsiaTheme="majorEastAsia" w:hAnsiTheme="majorEastAsia" w:cs="Arial"/>
                  <w:sz w:val="22"/>
                  <w:szCs w:val="22"/>
                </w:rPr>
                <w:t>30</w:t>
              </w:r>
              <w:r w:rsidRPr="002D35C3">
                <w:rPr>
                  <w:rFonts w:asciiTheme="majorEastAsia" w:eastAsiaTheme="majorEastAsia" w:hAnsiTheme="majorEastAsia" w:cs="Arial" w:hint="eastAsia"/>
                  <w:sz w:val="22"/>
                  <w:szCs w:val="22"/>
                </w:rPr>
                <w:t>) 在资产负债表内列示。其他开发费用则在其产生的期间内确认为费用。</w:t>
              </w:r>
            </w:p>
            <w:p w:rsidR="00806678" w:rsidRPr="002D35C3" w:rsidRDefault="002D35C3" w:rsidP="002D35C3">
              <w:pPr>
                <w:overflowPunct w:val="0"/>
                <w:adjustRightInd w:val="0"/>
                <w:snapToGrid w:val="0"/>
                <w:rPr>
                  <w:rFonts w:cs="Arial"/>
                  <w:bCs/>
                  <w:sz w:val="22"/>
                  <w:szCs w:val="22"/>
                </w:rPr>
              </w:pPr>
              <w:r w:rsidRPr="00453761">
                <w:rPr>
                  <w:rFonts w:cs="Arial" w:hint="eastAsia"/>
                  <w:bCs/>
                  <w:sz w:val="22"/>
                  <w:szCs w:val="22"/>
                </w:rPr>
                <w:t>企业对于研发过程中产出的产品或副产品对外销售，按照《企业会计准则第14号——收入》、《企业会计准则第1号——存货》等规定，对相关的收入和成本分别进行会计处理，计入当期损益。</w:t>
              </w:r>
            </w:p>
          </w:sdtContent>
        </w:sdt>
      </w:sdtContent>
    </w:sdt>
    <w:p w:rsidR="00806678" w:rsidRDefault="00806678"/>
    <w:sdt>
      <w:sdtPr>
        <w:rPr>
          <w:rFonts w:ascii="宋体" w:hAnsi="宋体" w:cs="宋体" w:hint="eastAsia"/>
          <w:b w:val="0"/>
          <w:bCs w:val="0"/>
          <w:kern w:val="0"/>
          <w:szCs w:val="21"/>
        </w:rPr>
        <w:alias w:val="模块:非金融长期资产减值"/>
        <w:tag w:val="_GBC_da2f3f0531094e5e9dcd987c45223bec"/>
        <w:id w:val="-738017837"/>
        <w:lock w:val="sdtLocked"/>
        <w:placeholder>
          <w:docPart w:val="GBC22222222222222222222222222222"/>
        </w:placeholder>
      </w:sdtPr>
      <w:sdtContent>
        <w:p w:rsidR="00806678" w:rsidRPr="005D3BDC" w:rsidRDefault="005D3BDC" w:rsidP="00FF17C7">
          <w:pPr>
            <w:pStyle w:val="3"/>
            <w:numPr>
              <w:ilvl w:val="0"/>
              <w:numId w:val="39"/>
            </w:numPr>
            <w:rPr>
              <w:szCs w:val="21"/>
            </w:rPr>
          </w:pPr>
          <w:r w:rsidRPr="005D3BDC">
            <w:rPr>
              <w:rFonts w:ascii="宋体" w:hAnsi="宋体" w:cs="宋体" w:hint="eastAsia"/>
              <w:kern w:val="0"/>
              <w:szCs w:val="21"/>
            </w:rPr>
            <w:t>除存货及金融资产外的其他资产减值</w:t>
          </w:r>
        </w:p>
        <w:sdt>
          <w:sdtPr>
            <w:rPr>
              <w:rFonts w:hint="eastAsia"/>
              <w:szCs w:val="21"/>
            </w:rPr>
            <w:alias w:val="是否适用：长期资产减值_重要会计政策和估计[双击切换]"/>
            <w:tag w:val="_GBC_e9110d6af45c4c0d808e2f284fadf642"/>
            <w:id w:val="1333258692"/>
            <w:lock w:val="sdtLocked"/>
            <w:placeholder>
              <w:docPart w:val="GBC22222222222222222222222222222"/>
            </w:placeholder>
          </w:sdtPr>
          <w:sdtContent>
            <w:p w:rsidR="00806678" w:rsidRDefault="00F80B6C">
              <w:pPr>
                <w:rPr>
                  <w:szCs w:val="21"/>
                </w:rPr>
              </w:pPr>
              <w:r>
                <w:rPr>
                  <w:szCs w:val="21"/>
                </w:rPr>
                <w:fldChar w:fldCharType="begin"/>
              </w:r>
              <w:r w:rsidR="003F1EB0">
                <w:rPr>
                  <w:szCs w:val="21"/>
                </w:rPr>
                <w:instrText xml:space="preserve"> MACROBUTTON  SnrToggleCheckbox √适用  </w:instrText>
              </w:r>
              <w:r>
                <w:rPr>
                  <w:szCs w:val="21"/>
                </w:rPr>
                <w:fldChar w:fldCharType="end"/>
              </w:r>
              <w:r>
                <w:rPr>
                  <w:szCs w:val="21"/>
                </w:rPr>
                <w:fldChar w:fldCharType="begin"/>
              </w:r>
              <w:r w:rsidR="003F1EB0">
                <w:rPr>
                  <w:szCs w:val="21"/>
                </w:rPr>
                <w:instrText xml:space="preserve"> MACROBUTTON  SnrToggleCheckbox □不适用 </w:instrText>
              </w:r>
              <w:r>
                <w:rPr>
                  <w:szCs w:val="21"/>
                </w:rPr>
                <w:fldChar w:fldCharType="end"/>
              </w:r>
            </w:p>
          </w:sdtContent>
        </w:sdt>
        <w:sdt>
          <w:sdtPr>
            <w:rPr>
              <w:rFonts w:asciiTheme="majorEastAsia" w:eastAsiaTheme="majorEastAsia" w:hAnsiTheme="majorEastAsia" w:cs="宋体" w:hint="eastAsia"/>
              <w:b w:val="0"/>
              <w:bCs w:val="0"/>
              <w:kern w:val="0"/>
              <w:sz w:val="16"/>
              <w:szCs w:val="21"/>
            </w:rPr>
            <w:alias w:val="非金融长期资产减值测试方法及会计处理方法"/>
            <w:tag w:val="_GBC_0a065c1269a846f6923598a2c1fc4269"/>
            <w:id w:val="878979310"/>
            <w:lock w:val="sdtLocked"/>
            <w:placeholder>
              <w:docPart w:val="GBC22222222222222222222222222222"/>
            </w:placeholder>
          </w:sdtPr>
          <w:sdtEndPr>
            <w:rPr>
              <w:rFonts w:ascii="宋体" w:eastAsia="宋体" w:hAnsi="宋体"/>
              <w:sz w:val="21"/>
            </w:rPr>
          </w:sdtEndPr>
          <w:sdtContent>
            <w:p w:rsidR="003F1EB0" w:rsidRPr="00C3641E" w:rsidRDefault="003F1EB0" w:rsidP="00B22EDD">
              <w:pPr>
                <w:pStyle w:val="3"/>
                <w:keepNext w:val="0"/>
                <w:widowControl/>
                <w:tabs>
                  <w:tab w:val="left" w:pos="0"/>
                </w:tabs>
                <w:overflowPunct w:val="0"/>
                <w:adjustRightInd w:val="0"/>
                <w:snapToGrid w:val="0"/>
                <w:spacing w:before="0" w:after="0"/>
                <w:rPr>
                  <w:rFonts w:asciiTheme="majorEastAsia" w:eastAsiaTheme="majorEastAsia" w:hAnsiTheme="majorEastAsia" w:cs="Arial"/>
                  <w:b w:val="0"/>
                  <w:kern w:val="0"/>
                  <w:szCs w:val="21"/>
                </w:rPr>
              </w:pPr>
            </w:p>
            <w:p w:rsidR="003F1EB0" w:rsidRPr="00C3641E" w:rsidRDefault="00B22EDD" w:rsidP="003F1EB0">
              <w:pPr>
                <w:pStyle w:val="34"/>
                <w:overflowPunct w:val="0"/>
                <w:snapToGrid w:val="0"/>
                <w:rPr>
                  <w:rFonts w:asciiTheme="majorEastAsia" w:eastAsiaTheme="majorEastAsia" w:hAnsiTheme="majorEastAsia" w:cs="Arial"/>
                  <w:sz w:val="21"/>
                  <w:szCs w:val="21"/>
                </w:rPr>
              </w:pPr>
              <w:r w:rsidRPr="00C3641E">
                <w:rPr>
                  <w:rFonts w:asciiTheme="majorEastAsia" w:eastAsiaTheme="majorEastAsia" w:hAnsiTheme="majorEastAsia" w:cs="Arial" w:hint="eastAsia"/>
                  <w:sz w:val="21"/>
                  <w:szCs w:val="21"/>
                </w:rPr>
                <w:t>本集团在资产负债表日根据内部及外部信息以确定下列资产是否存在减值的迹象，包括：</w:t>
              </w:r>
            </w:p>
            <w:p w:rsidR="003F1EB0" w:rsidRPr="00C3641E" w:rsidRDefault="003F1EB0" w:rsidP="003F1EB0">
              <w:pPr>
                <w:pStyle w:val="34"/>
                <w:tabs>
                  <w:tab w:val="left" w:pos="284"/>
                </w:tabs>
                <w:overflowPunct w:val="0"/>
                <w:snapToGrid w:val="0"/>
                <w:ind w:left="284" w:hanging="284"/>
                <w:rPr>
                  <w:rFonts w:asciiTheme="majorEastAsia" w:eastAsiaTheme="majorEastAsia" w:hAnsiTheme="majorEastAsia" w:cs="Arial"/>
                  <w:sz w:val="21"/>
                  <w:szCs w:val="21"/>
                </w:rPr>
              </w:pPr>
              <w:r w:rsidRPr="00C3641E">
                <w:rPr>
                  <w:rFonts w:asciiTheme="majorEastAsia" w:eastAsiaTheme="majorEastAsia" w:hAnsiTheme="majorEastAsia" w:cs="Arial" w:hint="eastAsia"/>
                  <w:sz w:val="21"/>
                  <w:szCs w:val="21"/>
                </w:rPr>
                <w:t>-</w:t>
              </w:r>
              <w:r w:rsidRPr="00C3641E">
                <w:rPr>
                  <w:rFonts w:asciiTheme="majorEastAsia" w:eastAsiaTheme="majorEastAsia" w:hAnsiTheme="majorEastAsia" w:cs="Arial" w:hint="eastAsia"/>
                  <w:sz w:val="21"/>
                  <w:szCs w:val="21"/>
                </w:rPr>
                <w:tab/>
                <w:t>固定资产</w:t>
              </w:r>
            </w:p>
            <w:p w:rsidR="003F1EB0" w:rsidRPr="00C3641E" w:rsidRDefault="003F1EB0" w:rsidP="003F1EB0">
              <w:pPr>
                <w:pStyle w:val="34"/>
                <w:tabs>
                  <w:tab w:val="left" w:pos="284"/>
                </w:tabs>
                <w:overflowPunct w:val="0"/>
                <w:snapToGrid w:val="0"/>
                <w:ind w:left="284" w:hanging="284"/>
                <w:rPr>
                  <w:rFonts w:asciiTheme="majorEastAsia" w:eastAsiaTheme="majorEastAsia" w:hAnsiTheme="majorEastAsia" w:cs="Arial"/>
                  <w:sz w:val="21"/>
                  <w:szCs w:val="21"/>
                </w:rPr>
              </w:pPr>
              <w:r w:rsidRPr="00C3641E">
                <w:rPr>
                  <w:rFonts w:asciiTheme="majorEastAsia" w:eastAsiaTheme="majorEastAsia" w:hAnsiTheme="majorEastAsia" w:cs="Arial" w:hint="eastAsia"/>
                  <w:sz w:val="21"/>
                  <w:szCs w:val="21"/>
                </w:rPr>
                <w:t>-</w:t>
              </w:r>
              <w:r w:rsidRPr="00C3641E">
                <w:rPr>
                  <w:rFonts w:asciiTheme="majorEastAsia" w:eastAsiaTheme="majorEastAsia" w:hAnsiTheme="majorEastAsia" w:cs="Arial" w:hint="eastAsia"/>
                  <w:sz w:val="21"/>
                  <w:szCs w:val="21"/>
                </w:rPr>
                <w:tab/>
                <w:t>在建工程</w:t>
              </w:r>
            </w:p>
            <w:p w:rsidR="003F1EB0" w:rsidRPr="00C3641E" w:rsidRDefault="003F1EB0" w:rsidP="003F1EB0">
              <w:pPr>
                <w:pStyle w:val="34"/>
                <w:tabs>
                  <w:tab w:val="left" w:pos="284"/>
                </w:tabs>
                <w:overflowPunct w:val="0"/>
                <w:snapToGrid w:val="0"/>
                <w:ind w:left="284" w:hanging="284"/>
                <w:rPr>
                  <w:rFonts w:asciiTheme="majorEastAsia" w:eastAsiaTheme="majorEastAsia" w:hAnsiTheme="majorEastAsia" w:cs="Arial"/>
                  <w:sz w:val="21"/>
                  <w:szCs w:val="21"/>
                </w:rPr>
              </w:pPr>
              <w:r w:rsidRPr="00C3641E">
                <w:rPr>
                  <w:rFonts w:asciiTheme="majorEastAsia" w:eastAsiaTheme="majorEastAsia" w:hAnsiTheme="majorEastAsia" w:cs="Arial" w:hint="eastAsia"/>
                  <w:sz w:val="21"/>
                  <w:szCs w:val="21"/>
                </w:rPr>
                <w:t>-</w:t>
              </w:r>
              <w:r w:rsidRPr="00C3641E">
                <w:rPr>
                  <w:rFonts w:asciiTheme="majorEastAsia" w:eastAsiaTheme="majorEastAsia" w:hAnsiTheme="majorEastAsia" w:cs="Arial" w:hint="eastAsia"/>
                  <w:sz w:val="21"/>
                  <w:szCs w:val="21"/>
                </w:rPr>
                <w:tab/>
                <w:t>使用权资产</w:t>
              </w:r>
            </w:p>
            <w:p w:rsidR="003F1EB0" w:rsidRPr="00C3641E" w:rsidRDefault="003F1EB0" w:rsidP="003F1EB0">
              <w:pPr>
                <w:pStyle w:val="34"/>
                <w:tabs>
                  <w:tab w:val="left" w:pos="284"/>
                </w:tabs>
                <w:overflowPunct w:val="0"/>
                <w:snapToGrid w:val="0"/>
                <w:ind w:left="284" w:hanging="284"/>
                <w:rPr>
                  <w:rFonts w:asciiTheme="majorEastAsia" w:eastAsiaTheme="majorEastAsia" w:hAnsiTheme="majorEastAsia" w:cs="Arial"/>
                  <w:sz w:val="21"/>
                  <w:szCs w:val="21"/>
                </w:rPr>
              </w:pPr>
              <w:r w:rsidRPr="00C3641E">
                <w:rPr>
                  <w:rFonts w:asciiTheme="majorEastAsia" w:eastAsiaTheme="majorEastAsia" w:hAnsiTheme="majorEastAsia" w:cs="Arial" w:hint="eastAsia"/>
                  <w:sz w:val="21"/>
                  <w:szCs w:val="21"/>
                </w:rPr>
                <w:t>-</w:t>
              </w:r>
              <w:r w:rsidRPr="00C3641E">
                <w:rPr>
                  <w:rFonts w:asciiTheme="majorEastAsia" w:eastAsiaTheme="majorEastAsia" w:hAnsiTheme="majorEastAsia" w:cs="Arial" w:hint="eastAsia"/>
                  <w:sz w:val="21"/>
                  <w:szCs w:val="21"/>
                </w:rPr>
                <w:tab/>
                <w:t>无形资产</w:t>
              </w:r>
            </w:p>
            <w:p w:rsidR="003F1EB0" w:rsidRPr="00C3641E" w:rsidRDefault="003F1EB0" w:rsidP="003F1EB0">
              <w:pPr>
                <w:pStyle w:val="34"/>
                <w:tabs>
                  <w:tab w:val="left" w:pos="284"/>
                </w:tabs>
                <w:overflowPunct w:val="0"/>
                <w:snapToGrid w:val="0"/>
                <w:ind w:left="284" w:hanging="284"/>
                <w:rPr>
                  <w:rFonts w:asciiTheme="majorEastAsia" w:eastAsiaTheme="majorEastAsia" w:hAnsiTheme="majorEastAsia" w:cs="Arial"/>
                  <w:sz w:val="21"/>
                  <w:szCs w:val="21"/>
                </w:rPr>
              </w:pPr>
              <w:r w:rsidRPr="00C3641E">
                <w:rPr>
                  <w:rFonts w:asciiTheme="majorEastAsia" w:eastAsiaTheme="majorEastAsia" w:hAnsiTheme="majorEastAsia" w:cs="Arial" w:hint="eastAsia"/>
                  <w:sz w:val="21"/>
                  <w:szCs w:val="21"/>
                </w:rPr>
                <w:t>-</w:t>
              </w:r>
              <w:r w:rsidRPr="00C3641E">
                <w:rPr>
                  <w:rFonts w:asciiTheme="majorEastAsia" w:eastAsiaTheme="majorEastAsia" w:hAnsiTheme="majorEastAsia" w:cs="Arial" w:hint="eastAsia"/>
                  <w:sz w:val="21"/>
                  <w:szCs w:val="21"/>
                </w:rPr>
                <w:tab/>
                <w:t>长期股权投资</w:t>
              </w:r>
            </w:p>
            <w:p w:rsidR="003F1EB0" w:rsidRPr="00C3641E" w:rsidRDefault="003F1EB0" w:rsidP="003F1EB0">
              <w:pPr>
                <w:pStyle w:val="34"/>
                <w:tabs>
                  <w:tab w:val="left" w:pos="284"/>
                </w:tabs>
                <w:overflowPunct w:val="0"/>
                <w:snapToGrid w:val="0"/>
                <w:ind w:left="284" w:hanging="284"/>
                <w:rPr>
                  <w:rFonts w:asciiTheme="majorEastAsia" w:eastAsiaTheme="majorEastAsia" w:hAnsiTheme="majorEastAsia" w:cs="Arial"/>
                  <w:sz w:val="21"/>
                  <w:szCs w:val="21"/>
                </w:rPr>
              </w:pPr>
              <w:r w:rsidRPr="00C3641E">
                <w:rPr>
                  <w:rFonts w:asciiTheme="majorEastAsia" w:eastAsiaTheme="majorEastAsia" w:hAnsiTheme="majorEastAsia" w:cs="Arial" w:hint="eastAsia"/>
                  <w:sz w:val="21"/>
                  <w:szCs w:val="21"/>
                </w:rPr>
                <w:t>-</w:t>
              </w:r>
              <w:r w:rsidRPr="00C3641E">
                <w:rPr>
                  <w:rFonts w:asciiTheme="majorEastAsia" w:eastAsiaTheme="majorEastAsia" w:hAnsiTheme="majorEastAsia" w:cs="Arial" w:hint="eastAsia"/>
                  <w:sz w:val="21"/>
                  <w:szCs w:val="21"/>
                </w:rPr>
                <w:tab/>
                <w:t>长期待摊费用等</w:t>
              </w:r>
            </w:p>
            <w:p w:rsidR="003F1EB0" w:rsidRPr="00C3641E" w:rsidRDefault="003F1EB0" w:rsidP="003F1EB0">
              <w:pPr>
                <w:pStyle w:val="34"/>
                <w:overflowPunct w:val="0"/>
                <w:snapToGrid w:val="0"/>
                <w:rPr>
                  <w:rFonts w:asciiTheme="majorEastAsia" w:eastAsiaTheme="majorEastAsia" w:hAnsiTheme="majorEastAsia" w:cs="Arial"/>
                  <w:sz w:val="21"/>
                  <w:szCs w:val="21"/>
                </w:rPr>
              </w:pPr>
            </w:p>
            <w:p w:rsidR="003F1EB0" w:rsidRPr="00C3641E" w:rsidRDefault="003F1EB0" w:rsidP="003F1EB0">
              <w:pPr>
                <w:pStyle w:val="34"/>
                <w:overflowPunct w:val="0"/>
                <w:snapToGrid w:val="0"/>
                <w:rPr>
                  <w:rFonts w:asciiTheme="majorEastAsia" w:eastAsiaTheme="majorEastAsia" w:hAnsiTheme="majorEastAsia" w:cs="Arial"/>
                  <w:sz w:val="21"/>
                  <w:szCs w:val="21"/>
                </w:rPr>
              </w:pPr>
              <w:r w:rsidRPr="00C3641E">
                <w:rPr>
                  <w:rFonts w:asciiTheme="majorEastAsia" w:eastAsiaTheme="majorEastAsia" w:hAnsiTheme="majorEastAsia" w:cs="Arial" w:hint="eastAsia"/>
                  <w:sz w:val="21"/>
                  <w:szCs w:val="21"/>
                </w:rPr>
                <w:t>本集团对存在减值迹象的资产进行减值测试，估计资产的可收回金额。此外，无论是否存在减值迹象，本集团至少每年对尚未达到可使用状态的无形资产估计其可收回金额，于每年年度终了对使用寿命不确定的无形资产估计其可收回金额。</w:t>
              </w:r>
            </w:p>
            <w:p w:rsidR="003F1EB0" w:rsidRPr="00C3641E" w:rsidRDefault="003F1EB0" w:rsidP="003F1EB0">
              <w:pPr>
                <w:pStyle w:val="34"/>
                <w:overflowPunct w:val="0"/>
                <w:snapToGrid w:val="0"/>
                <w:rPr>
                  <w:rFonts w:asciiTheme="majorEastAsia" w:eastAsiaTheme="majorEastAsia" w:hAnsiTheme="majorEastAsia" w:cs="Arial"/>
                  <w:sz w:val="21"/>
                  <w:szCs w:val="21"/>
                </w:rPr>
              </w:pPr>
            </w:p>
            <w:p w:rsidR="003F1EB0" w:rsidRPr="00C3641E" w:rsidRDefault="003F1EB0" w:rsidP="003F1EB0">
              <w:pPr>
                <w:pStyle w:val="34"/>
                <w:overflowPunct w:val="0"/>
                <w:snapToGrid w:val="0"/>
                <w:rPr>
                  <w:rFonts w:asciiTheme="majorEastAsia" w:eastAsiaTheme="majorEastAsia" w:hAnsiTheme="majorEastAsia" w:cs="Arial"/>
                  <w:sz w:val="21"/>
                  <w:szCs w:val="21"/>
                </w:rPr>
              </w:pPr>
              <w:r w:rsidRPr="00C3641E">
                <w:rPr>
                  <w:rFonts w:asciiTheme="majorEastAsia" w:eastAsiaTheme="majorEastAsia" w:hAnsiTheme="majorEastAsia" w:cs="Arial" w:hint="eastAsia"/>
                  <w:sz w:val="21"/>
                  <w:szCs w:val="21"/>
                </w:rPr>
                <w:t>可收回金额是指资产 (或资产组、资产组组合，下同) 的公允价值 (参见附注</w:t>
              </w:r>
              <w:r w:rsidR="008C237C" w:rsidRPr="00C3641E">
                <w:rPr>
                  <w:rFonts w:asciiTheme="majorEastAsia" w:eastAsiaTheme="majorEastAsia" w:hAnsiTheme="majorEastAsia" w:cs="Arial" w:hint="eastAsia"/>
                  <w:sz w:val="21"/>
                  <w:szCs w:val="21"/>
                </w:rPr>
                <w:t>五</w:t>
              </w:r>
              <w:r w:rsidRPr="00C3641E">
                <w:rPr>
                  <w:rFonts w:asciiTheme="majorEastAsia" w:eastAsiaTheme="majorEastAsia" w:hAnsiTheme="majorEastAsia" w:cs="Arial" w:hint="eastAsia"/>
                  <w:sz w:val="21"/>
                  <w:szCs w:val="21"/>
                </w:rPr>
                <w:t>、</w:t>
              </w:r>
              <w:r w:rsidR="008C237C" w:rsidRPr="00C3641E">
                <w:rPr>
                  <w:rFonts w:asciiTheme="majorEastAsia" w:eastAsiaTheme="majorEastAsia" w:hAnsiTheme="majorEastAsia" w:cs="Arial" w:hint="eastAsia"/>
                  <w:sz w:val="21"/>
                  <w:szCs w:val="21"/>
                </w:rPr>
                <w:t>4</w:t>
              </w:r>
              <w:r w:rsidR="008C237C" w:rsidRPr="00C3641E">
                <w:rPr>
                  <w:rFonts w:asciiTheme="majorEastAsia" w:eastAsiaTheme="majorEastAsia" w:hAnsiTheme="majorEastAsia" w:cs="Arial"/>
                  <w:sz w:val="21"/>
                  <w:szCs w:val="21"/>
                </w:rPr>
                <w:t>3</w:t>
              </w:r>
              <w:r w:rsidRPr="00C3641E">
                <w:rPr>
                  <w:rFonts w:asciiTheme="majorEastAsia" w:eastAsiaTheme="majorEastAsia" w:hAnsiTheme="majorEastAsia" w:cs="Arial" w:hint="eastAsia"/>
                  <w:sz w:val="21"/>
                  <w:szCs w:val="21"/>
                </w:rPr>
                <w:t>(4)) 减去处置费用后的净额与资产预计未来现金流量的现值两者之间较高者。</w:t>
              </w:r>
            </w:p>
            <w:p w:rsidR="003F1EB0" w:rsidRPr="00C3641E" w:rsidRDefault="003F1EB0" w:rsidP="003F1EB0">
              <w:pPr>
                <w:pStyle w:val="34"/>
                <w:overflowPunct w:val="0"/>
                <w:snapToGrid w:val="0"/>
                <w:rPr>
                  <w:rFonts w:asciiTheme="majorEastAsia" w:eastAsiaTheme="majorEastAsia" w:hAnsiTheme="majorEastAsia" w:cs="Arial"/>
                  <w:sz w:val="21"/>
                  <w:szCs w:val="21"/>
                </w:rPr>
              </w:pPr>
            </w:p>
            <w:p w:rsidR="003F1EB0" w:rsidRPr="00C3641E" w:rsidRDefault="003F1EB0" w:rsidP="003F1EB0">
              <w:pPr>
                <w:pStyle w:val="34"/>
                <w:overflowPunct w:val="0"/>
                <w:snapToGrid w:val="0"/>
                <w:rPr>
                  <w:rFonts w:asciiTheme="majorEastAsia" w:eastAsiaTheme="majorEastAsia" w:hAnsiTheme="majorEastAsia" w:cs="Arial"/>
                  <w:sz w:val="21"/>
                  <w:szCs w:val="21"/>
                </w:rPr>
              </w:pPr>
              <w:r w:rsidRPr="00C3641E">
                <w:rPr>
                  <w:rFonts w:asciiTheme="majorEastAsia" w:eastAsiaTheme="majorEastAsia" w:hAnsiTheme="majorEastAsia" w:cs="Arial" w:hint="eastAsia"/>
                  <w:sz w:val="21"/>
                  <w:szCs w:val="21"/>
                </w:rPr>
                <w:t>资产组由创造现金流入相关的资产组成，是可以认定的最小资产组合，其产生的现金流入基本上独立于其他资产或者资产组。</w:t>
              </w:r>
            </w:p>
            <w:p w:rsidR="003F1EB0" w:rsidRPr="00C3641E" w:rsidRDefault="003F1EB0" w:rsidP="003F1EB0">
              <w:pPr>
                <w:pStyle w:val="34"/>
                <w:overflowPunct w:val="0"/>
                <w:snapToGrid w:val="0"/>
                <w:rPr>
                  <w:rFonts w:asciiTheme="majorEastAsia" w:eastAsiaTheme="majorEastAsia" w:hAnsiTheme="majorEastAsia" w:cs="Arial"/>
                  <w:sz w:val="21"/>
                  <w:szCs w:val="21"/>
                </w:rPr>
              </w:pPr>
            </w:p>
            <w:p w:rsidR="003F1EB0" w:rsidRPr="00C3641E" w:rsidRDefault="003F1EB0" w:rsidP="00C3641E">
              <w:pPr>
                <w:pStyle w:val="34"/>
                <w:tabs>
                  <w:tab w:val="left" w:pos="284"/>
                </w:tabs>
                <w:overflowPunct w:val="0"/>
                <w:snapToGrid w:val="0"/>
                <w:spacing w:after="0"/>
                <w:ind w:left="284" w:hanging="284"/>
                <w:rPr>
                  <w:rFonts w:asciiTheme="majorEastAsia" w:eastAsiaTheme="majorEastAsia" w:hAnsiTheme="majorEastAsia" w:cs="Arial"/>
                  <w:sz w:val="21"/>
                  <w:szCs w:val="21"/>
                </w:rPr>
              </w:pPr>
              <w:r w:rsidRPr="00C3641E">
                <w:rPr>
                  <w:rFonts w:asciiTheme="majorEastAsia" w:eastAsiaTheme="majorEastAsia" w:hAnsiTheme="majorEastAsia" w:cs="Arial" w:hint="eastAsia"/>
                  <w:sz w:val="21"/>
                  <w:szCs w:val="21"/>
                </w:rPr>
                <w:t>资产预计未来现金流量的现值，按照资产在持续使用过程中和最终处置时所产生的预计未来现金流量，选择恰当的税前折现率对其进行折现后的金额加以确定。</w:t>
              </w:r>
            </w:p>
            <w:p w:rsidR="003F1EB0" w:rsidRPr="00C3641E" w:rsidRDefault="003F1EB0" w:rsidP="003F1EB0">
              <w:pPr>
                <w:overflowPunct w:val="0"/>
                <w:adjustRightInd w:val="0"/>
                <w:snapToGrid w:val="0"/>
                <w:rPr>
                  <w:rFonts w:asciiTheme="majorEastAsia" w:eastAsiaTheme="majorEastAsia" w:hAnsiTheme="majorEastAsia" w:cs="Arial"/>
                  <w:szCs w:val="21"/>
                </w:rPr>
              </w:pPr>
            </w:p>
            <w:p w:rsidR="003F1EB0" w:rsidRPr="00C3641E" w:rsidRDefault="003F1EB0" w:rsidP="003F1EB0">
              <w:pPr>
                <w:pStyle w:val="34"/>
                <w:overflowPunct w:val="0"/>
                <w:snapToGrid w:val="0"/>
                <w:rPr>
                  <w:rFonts w:asciiTheme="majorEastAsia" w:eastAsiaTheme="majorEastAsia" w:hAnsiTheme="majorEastAsia" w:cs="Arial"/>
                  <w:sz w:val="21"/>
                  <w:szCs w:val="21"/>
                </w:rPr>
              </w:pPr>
              <w:r w:rsidRPr="00C3641E">
                <w:rPr>
                  <w:rFonts w:asciiTheme="majorEastAsia" w:eastAsiaTheme="majorEastAsia" w:hAnsiTheme="majorEastAsia" w:cs="Arial" w:hint="eastAsia"/>
                  <w:sz w:val="21"/>
                  <w:szCs w:val="21"/>
                </w:rPr>
                <w:t>可收回金额的估计结果表明，资产的可收回金额低于其账面价值的，资产的账面价值会减记至可收回金额，减记的金额确认为资产减值损失，计入当期损益，同时计提相应的资产减值准备。与资产组或者资产组组合相关的减值损失，先抵减分摊至该资产组或者资产组组合中商誉的账面价值，再根据资产组或者资产组组合中除商誉之外的其他各项资产的账面价值所占比重，按比例抵减其他各项资产的账面价值，但抵减后的各资产的账面价值不得低于该资产的公允价值减去处置费用后的净额 (如可确定的) 、该资产预计未来现金流量的现值 (如可确定的) 和零三者之中最高者。</w:t>
              </w:r>
            </w:p>
            <w:p w:rsidR="00806678" w:rsidRPr="00C3641E" w:rsidRDefault="003F1EB0" w:rsidP="003F1EB0">
              <w:pPr>
                <w:pStyle w:val="34"/>
                <w:overflowPunct w:val="0"/>
                <w:snapToGrid w:val="0"/>
                <w:rPr>
                  <w:rFonts w:asciiTheme="majorEastAsia" w:eastAsiaTheme="majorEastAsia" w:hAnsiTheme="majorEastAsia" w:cs="Arial"/>
                  <w:sz w:val="21"/>
                  <w:szCs w:val="21"/>
                </w:rPr>
              </w:pPr>
              <w:r w:rsidRPr="00C3641E">
                <w:rPr>
                  <w:rFonts w:asciiTheme="majorEastAsia" w:eastAsiaTheme="majorEastAsia" w:hAnsiTheme="majorEastAsia" w:cs="Arial" w:hint="eastAsia"/>
                  <w:sz w:val="21"/>
                  <w:szCs w:val="21"/>
                </w:rPr>
                <w:t>资产减值损失一经确认，在以后会计期间不会转回。</w:t>
              </w:r>
            </w:p>
          </w:sdtContent>
        </w:sdt>
        <w:p w:rsidR="00806678" w:rsidRDefault="00F80B6C">
          <w:pPr>
            <w:rPr>
              <w:szCs w:val="21"/>
            </w:rPr>
          </w:pPr>
        </w:p>
      </w:sdtContent>
    </w:sdt>
    <w:sdt>
      <w:sdtPr>
        <w:rPr>
          <w:rFonts w:asciiTheme="minorHAnsi" w:hAnsiTheme="minorHAnsi" w:cs="宋体"/>
          <w:b w:val="0"/>
          <w:bCs w:val="0"/>
          <w:kern w:val="0"/>
          <w:sz w:val="16"/>
          <w:szCs w:val="22"/>
        </w:rPr>
        <w:alias w:val="模块:长期待摊费用会计处理方法"/>
        <w:tag w:val="_GBC_fffe6f948ebb468ba812d16acce5c0b9"/>
        <w:id w:val="1646937539"/>
        <w:lock w:val="sdtLocked"/>
        <w:placeholder>
          <w:docPart w:val="GBC22222222222222222222222222222"/>
        </w:placeholder>
      </w:sdtPr>
      <w:sdtEndPr>
        <w:rPr>
          <w:rFonts w:ascii="宋体" w:hAnsi="宋体" w:cs="Times New Roman" w:hint="eastAsia"/>
          <w:kern w:val="2"/>
          <w:szCs w:val="21"/>
        </w:rPr>
      </w:sdtEndPr>
      <w:sdtContent>
        <w:p w:rsidR="00806678" w:rsidRDefault="00B16377" w:rsidP="00FF17C7">
          <w:pPr>
            <w:pStyle w:val="3"/>
            <w:numPr>
              <w:ilvl w:val="0"/>
              <w:numId w:val="39"/>
            </w:numPr>
          </w:pPr>
          <w:r>
            <w:t>长期待摊费用</w:t>
          </w:r>
        </w:p>
        <w:sdt>
          <w:sdtPr>
            <w:rPr>
              <w:rFonts w:hint="eastAsia"/>
              <w:szCs w:val="21"/>
            </w:rPr>
            <w:alias w:val="是否适用：长期待摊费用_重要会计政策和估计[双击切换]"/>
            <w:tag w:val="_GBC_5f2bbee5e66644d489f8d74ae8f96539"/>
            <w:id w:val="376058473"/>
            <w:lock w:val="sdtLocked"/>
            <w:placeholder>
              <w:docPart w:val="GBC22222222222222222222222222222"/>
            </w:placeholder>
          </w:sdtPr>
          <w:sdtContent>
            <w:p w:rsidR="007D0F35" w:rsidRDefault="00F80B6C">
              <w:pPr>
                <w:rPr>
                  <w:szCs w:val="21"/>
                </w:rPr>
              </w:pPr>
              <w:r>
                <w:rPr>
                  <w:szCs w:val="21"/>
                </w:rPr>
                <w:fldChar w:fldCharType="begin"/>
              </w:r>
              <w:r w:rsidR="003F1EB0">
                <w:rPr>
                  <w:szCs w:val="21"/>
                </w:rPr>
                <w:instrText xml:space="preserve"> MACROBUTTON  SnrToggleCheckbox √适用  </w:instrText>
              </w:r>
              <w:r>
                <w:rPr>
                  <w:szCs w:val="21"/>
                </w:rPr>
                <w:fldChar w:fldCharType="end"/>
              </w:r>
              <w:r>
                <w:rPr>
                  <w:szCs w:val="21"/>
                </w:rPr>
                <w:fldChar w:fldCharType="begin"/>
              </w:r>
              <w:r w:rsidR="003F1EB0">
                <w:rPr>
                  <w:szCs w:val="21"/>
                </w:rPr>
                <w:instrText xml:space="preserve"> MACROBUTTON  SnrToggleCheckbox □不适用 </w:instrText>
              </w:r>
              <w:r>
                <w:rPr>
                  <w:szCs w:val="21"/>
                </w:rPr>
                <w:fldChar w:fldCharType="end"/>
              </w:r>
            </w:p>
            <w:p w:rsidR="00806678" w:rsidRDefault="00F80B6C">
              <w:pPr>
                <w:rPr>
                  <w:szCs w:val="21"/>
                </w:rPr>
              </w:pPr>
            </w:p>
          </w:sdtContent>
        </w:sdt>
        <w:sdt>
          <w:sdtPr>
            <w:rPr>
              <w:rFonts w:hint="eastAsia"/>
              <w:szCs w:val="21"/>
            </w:rPr>
            <w:alias w:val="开办费、长期待摊费用摊销方法"/>
            <w:tag w:val="_GBC_a0e2b7a5a9454eaea97ca201421d7dde"/>
            <w:id w:val="706994660"/>
            <w:lock w:val="sdtLocked"/>
            <w:placeholder>
              <w:docPart w:val="GBC22222222222222222222222222222"/>
            </w:placeholder>
          </w:sdtPr>
          <w:sdtContent>
            <w:p w:rsidR="007D0F35" w:rsidRDefault="003F1EB0" w:rsidP="003F1EB0">
              <w:pPr>
                <w:pStyle w:val="34"/>
                <w:overflowPunct w:val="0"/>
                <w:snapToGrid w:val="0"/>
                <w:rPr>
                  <w:rFonts w:asciiTheme="majorEastAsia" w:eastAsiaTheme="majorEastAsia" w:hAnsiTheme="majorEastAsia" w:cs="Arial"/>
                  <w:sz w:val="22"/>
                  <w:szCs w:val="22"/>
                </w:rPr>
              </w:pPr>
              <w:r w:rsidRPr="003F1EB0">
                <w:rPr>
                  <w:rFonts w:asciiTheme="majorEastAsia" w:eastAsiaTheme="majorEastAsia" w:hAnsiTheme="majorEastAsia" w:cs="Arial" w:hint="eastAsia"/>
                  <w:sz w:val="22"/>
                  <w:szCs w:val="22"/>
                </w:rPr>
                <w:t>长期待摊费用指已经发生但应由本期和以后各期负担的分摊期限在一年以上的各项费用，按预计受益期间分期平均摊销，并以实际支出减去累计摊销后的净额列示。</w:t>
              </w:r>
            </w:p>
            <w:p w:rsidR="00806678" w:rsidRPr="003F1EB0" w:rsidRDefault="00F80B6C" w:rsidP="003F1EB0">
              <w:pPr>
                <w:pStyle w:val="34"/>
                <w:overflowPunct w:val="0"/>
                <w:snapToGrid w:val="0"/>
                <w:rPr>
                  <w:rFonts w:asciiTheme="majorEastAsia" w:eastAsiaTheme="majorEastAsia" w:hAnsiTheme="majorEastAsia" w:cs="Arial"/>
                  <w:sz w:val="22"/>
                  <w:szCs w:val="22"/>
                </w:rPr>
              </w:pPr>
            </w:p>
          </w:sdtContent>
        </w:sdt>
      </w:sdtContent>
    </w:sdt>
    <w:bookmarkStart w:id="146" w:name="_Hlk533668008" w:displacedByCustomXml="next"/>
    <w:sdt>
      <w:sdtPr>
        <w:rPr>
          <w:rFonts w:ascii="宋体" w:hAnsi="宋体" w:cs="宋体" w:hint="eastAsia"/>
          <w:b w:val="0"/>
          <w:bCs w:val="0"/>
          <w:kern w:val="0"/>
          <w:szCs w:val="21"/>
        </w:rPr>
        <w:alias w:val="模块:合同负债"/>
        <w:tag w:val="_SEC_cf70b80a8aab43fe9ea65f35584a808d"/>
        <w:id w:val="-437454175"/>
        <w:lock w:val="sdtLocked"/>
        <w:placeholder>
          <w:docPart w:val="GBC22222222222222222222222222222"/>
        </w:placeholder>
      </w:sdtPr>
      <w:sdtEndPr>
        <w:rPr>
          <w:rFonts w:hint="default"/>
        </w:rPr>
      </w:sdtEndPr>
      <w:sdtContent>
        <w:p w:rsidR="00806678" w:rsidRDefault="00B16377" w:rsidP="00FF17C7">
          <w:pPr>
            <w:pStyle w:val="3"/>
            <w:numPr>
              <w:ilvl w:val="0"/>
              <w:numId w:val="39"/>
            </w:numPr>
            <w:rPr>
              <w:szCs w:val="21"/>
            </w:rPr>
          </w:pPr>
          <w:r>
            <w:rPr>
              <w:rFonts w:hint="eastAsia"/>
              <w:szCs w:val="21"/>
            </w:rPr>
            <w:t>合同负债</w:t>
          </w:r>
        </w:p>
        <w:p w:rsidR="00806678" w:rsidRDefault="00B16377" w:rsidP="00FF17C7">
          <w:pPr>
            <w:pStyle w:val="4"/>
            <w:numPr>
              <w:ilvl w:val="3"/>
              <w:numId w:val="74"/>
            </w:numPr>
            <w:ind w:left="426" w:hanging="426"/>
            <w:rPr>
              <w:szCs w:val="21"/>
            </w:rPr>
          </w:pPr>
          <w:r>
            <w:rPr>
              <w:rFonts w:hint="eastAsia"/>
              <w:szCs w:val="21"/>
            </w:rPr>
            <w:t>合同负债的确认方法</w:t>
          </w:r>
        </w:p>
        <w:sdt>
          <w:sdtPr>
            <w:rPr>
              <w:szCs w:val="21"/>
            </w:rPr>
            <w:alias w:val="是否适用：合同负债的确定方法、摊销方法和减值测试方法[双击切换]"/>
            <w:tag w:val="_GBC_1d0f6a0a7f304d3f94158c9d73a7239a"/>
            <w:id w:val="1417132613"/>
            <w:lock w:val="sdtLocked"/>
            <w:placeholder>
              <w:docPart w:val="GBC22222222222222222222222222222"/>
            </w:placeholder>
          </w:sdtPr>
          <w:sdtContent>
            <w:p w:rsidR="00806678" w:rsidRDefault="00F80B6C">
              <w:pPr>
                <w:rPr>
                  <w:szCs w:val="21"/>
                </w:rPr>
              </w:pPr>
              <w:r>
                <w:rPr>
                  <w:szCs w:val="21"/>
                </w:rPr>
                <w:fldChar w:fldCharType="begin"/>
              </w:r>
              <w:r w:rsidR="003F1EB0">
                <w:rPr>
                  <w:szCs w:val="21"/>
                </w:rPr>
                <w:instrText xml:space="preserve"> MACROBUTTON  SnrToggleCheckbox √适用 </w:instrText>
              </w:r>
              <w:r>
                <w:rPr>
                  <w:szCs w:val="21"/>
                </w:rPr>
                <w:fldChar w:fldCharType="end"/>
              </w:r>
              <w:r>
                <w:rPr>
                  <w:szCs w:val="21"/>
                </w:rPr>
                <w:fldChar w:fldCharType="begin"/>
              </w:r>
              <w:r w:rsidR="003F1EB0">
                <w:rPr>
                  <w:szCs w:val="21"/>
                </w:rPr>
                <w:instrText xml:space="preserve"> MACROBUTTON  SnrToggleCheckbox □不适用 </w:instrText>
              </w:r>
              <w:r>
                <w:rPr>
                  <w:szCs w:val="21"/>
                </w:rPr>
                <w:fldChar w:fldCharType="end"/>
              </w:r>
            </w:p>
          </w:sdtContent>
        </w:sdt>
        <w:p w:rsidR="00806678" w:rsidRPr="008C237C" w:rsidRDefault="00F80B6C">
          <w:pPr>
            <w:rPr>
              <w:sz w:val="22"/>
              <w:szCs w:val="22"/>
            </w:rPr>
          </w:pPr>
          <w:sdt>
            <w:sdtPr>
              <w:rPr>
                <w:sz w:val="22"/>
                <w:szCs w:val="22"/>
              </w:rPr>
              <w:alias w:val="合同负债的确定方法、摊销方法和减值测试方法"/>
              <w:tag w:val="_GBC_0555b9144f6c494282d03f175d2fa19d"/>
              <w:id w:val="-1998029040"/>
              <w:lock w:val="sdtLocked"/>
              <w:placeholder>
                <w:docPart w:val="GBC22222222222222222222222222222"/>
              </w:placeholder>
            </w:sdtPr>
            <w:sdtContent>
              <w:r w:rsidR="003F1EB0" w:rsidRPr="008C237C">
                <w:rPr>
                  <w:rFonts w:hint="eastAsia"/>
                  <w:sz w:val="22"/>
                  <w:szCs w:val="22"/>
                </w:rPr>
                <w:t>详见附注五、</w:t>
              </w:r>
              <w:r w:rsidR="003F1EB0" w:rsidRPr="008C237C">
                <w:rPr>
                  <w:sz w:val="22"/>
                  <w:szCs w:val="22"/>
                </w:rPr>
                <w:t>38</w:t>
              </w:r>
              <w:r w:rsidR="003F1EB0" w:rsidRPr="008C237C">
                <w:rPr>
                  <w:rFonts w:hint="eastAsia"/>
                  <w:sz w:val="22"/>
                  <w:szCs w:val="22"/>
                </w:rPr>
                <w:t>。</w:t>
              </w:r>
            </w:sdtContent>
          </w:sdt>
        </w:p>
        <w:p w:rsidR="00806678" w:rsidRDefault="00F80B6C">
          <w:pPr>
            <w:rPr>
              <w:szCs w:val="21"/>
            </w:rPr>
          </w:pPr>
        </w:p>
      </w:sdtContent>
    </w:sdt>
    <w:bookmarkEnd w:id="146" w:displacedByCustomXml="prev"/>
    <w:sdt>
      <w:sdtPr>
        <w:rPr>
          <w:rFonts w:asciiTheme="minorHAnsi" w:hAnsiTheme="minorHAnsi" w:cstheme="minorBidi" w:hint="eastAsia"/>
          <w:b w:val="0"/>
          <w:bCs w:val="0"/>
          <w:kern w:val="0"/>
          <w:szCs w:val="22"/>
        </w:rPr>
        <w:alias w:val="模块:职工薪酬"/>
        <w:tag w:val="_GBC_8ec8855eb4d5447ab785e4bd4b0b73aa"/>
        <w:id w:val="363726078"/>
        <w:lock w:val="sdtLocked"/>
        <w:placeholder>
          <w:docPart w:val="GBC22222222222222222222222222222"/>
        </w:placeholder>
      </w:sdtPr>
      <w:sdtEndPr>
        <w:rPr>
          <w:rFonts w:ascii="宋体" w:hAnsi="宋体" w:cs="Times New Roman"/>
          <w:szCs w:val="21"/>
        </w:rPr>
      </w:sdtEndPr>
      <w:sdtContent>
        <w:p w:rsidR="00806678" w:rsidRDefault="00B16377" w:rsidP="00FF17C7">
          <w:pPr>
            <w:pStyle w:val="3"/>
            <w:numPr>
              <w:ilvl w:val="0"/>
              <w:numId w:val="39"/>
            </w:numPr>
          </w:pPr>
          <w:r>
            <w:rPr>
              <w:rFonts w:hint="eastAsia"/>
            </w:rPr>
            <w:t>职工薪酬</w:t>
          </w:r>
        </w:p>
        <w:p w:rsidR="00806678" w:rsidRDefault="00B16377" w:rsidP="00FF17C7">
          <w:pPr>
            <w:pStyle w:val="4"/>
            <w:numPr>
              <w:ilvl w:val="3"/>
              <w:numId w:val="117"/>
            </w:numPr>
            <w:ind w:left="426" w:hanging="426"/>
          </w:pPr>
          <w:r>
            <w:rPr>
              <w:rFonts w:hint="eastAsia"/>
            </w:rPr>
            <w:t>短期薪酬的会计处理方法</w:t>
          </w:r>
        </w:p>
        <w:sdt>
          <w:sdtPr>
            <w:rPr>
              <w:rFonts w:hint="eastAsia"/>
              <w:szCs w:val="21"/>
            </w:rPr>
            <w:alias w:val="是否适用：短期薪酬的会计处理方法[双击切换]"/>
            <w:tag w:val="_GBC_efadddc5ff4a48fb9432574c3528c6b3"/>
            <w:id w:val="-2066474927"/>
            <w:lock w:val="sdtLocked"/>
            <w:placeholder>
              <w:docPart w:val="GBC22222222222222222222222222222"/>
            </w:placeholder>
          </w:sdtPr>
          <w:sdtContent>
            <w:p w:rsidR="007D0F35" w:rsidRDefault="00F80B6C">
              <w:pPr>
                <w:rPr>
                  <w:szCs w:val="21"/>
                </w:rPr>
              </w:pPr>
              <w:r>
                <w:rPr>
                  <w:szCs w:val="21"/>
                </w:rPr>
                <w:fldChar w:fldCharType="begin"/>
              </w:r>
              <w:r w:rsidR="003F1EB0">
                <w:rPr>
                  <w:szCs w:val="21"/>
                </w:rPr>
                <w:instrText xml:space="preserve"> MACROBUTTON  SnrToggleCheckbox √适用  </w:instrText>
              </w:r>
              <w:r>
                <w:rPr>
                  <w:szCs w:val="21"/>
                </w:rPr>
                <w:fldChar w:fldCharType="end"/>
              </w:r>
              <w:r>
                <w:rPr>
                  <w:szCs w:val="21"/>
                </w:rPr>
                <w:fldChar w:fldCharType="begin"/>
              </w:r>
              <w:r w:rsidR="003F1EB0">
                <w:rPr>
                  <w:szCs w:val="21"/>
                </w:rPr>
                <w:instrText xml:space="preserve"> MACROBUTTON  SnrToggleCheckbox □不适用 </w:instrText>
              </w:r>
              <w:r>
                <w:rPr>
                  <w:szCs w:val="21"/>
                </w:rPr>
                <w:fldChar w:fldCharType="end"/>
              </w:r>
            </w:p>
            <w:p w:rsidR="00806678" w:rsidRDefault="00F80B6C">
              <w:pPr>
                <w:rPr>
                  <w:szCs w:val="21"/>
                </w:rPr>
              </w:pPr>
            </w:p>
          </w:sdtContent>
        </w:sdt>
        <w:sdt>
          <w:sdtPr>
            <w:rPr>
              <w:szCs w:val="21"/>
            </w:rPr>
            <w:alias w:val="短期薪酬的会计处理方法"/>
            <w:tag w:val="_GBC_8fdf44b194ac45fb945d36b9896df796"/>
            <w:id w:val="496006619"/>
            <w:lock w:val="sdtLocked"/>
            <w:placeholder>
              <w:docPart w:val="GBC22222222222222222222222222222"/>
            </w:placeholder>
          </w:sdtPr>
          <w:sdtContent>
            <w:p w:rsidR="00806678" w:rsidRPr="003F1EB0" w:rsidRDefault="003F1EB0" w:rsidP="003F1EB0">
              <w:pPr>
                <w:pStyle w:val="34"/>
                <w:overflowPunct w:val="0"/>
                <w:snapToGrid w:val="0"/>
                <w:rPr>
                  <w:rFonts w:asciiTheme="majorEastAsia" w:eastAsiaTheme="majorEastAsia" w:hAnsiTheme="majorEastAsia" w:cs="Arial"/>
                  <w:sz w:val="22"/>
                  <w:szCs w:val="22"/>
                </w:rPr>
              </w:pPr>
              <w:r w:rsidRPr="003F1EB0">
                <w:rPr>
                  <w:rFonts w:asciiTheme="majorEastAsia" w:eastAsiaTheme="majorEastAsia" w:hAnsiTheme="majorEastAsia" w:cs="Arial" w:hint="eastAsia"/>
                  <w:sz w:val="22"/>
                  <w:szCs w:val="22"/>
                </w:rPr>
                <w:t>本集团在职工提供服务的会计期间，将实际发生或按规定的基准和比例计提的职工工资、奖金、医疗保险费、工伤保险费和生育保险费等社会保险费和住房公积金，确认为负债，并计入当期损益或相关资产成本。</w:t>
              </w:r>
            </w:p>
          </w:sdtContent>
        </w:sdt>
        <w:p w:rsidR="00806678" w:rsidRDefault="00B16377" w:rsidP="00FF17C7">
          <w:pPr>
            <w:pStyle w:val="4"/>
            <w:numPr>
              <w:ilvl w:val="3"/>
              <w:numId w:val="117"/>
            </w:numPr>
            <w:ind w:left="426" w:hanging="426"/>
          </w:pPr>
          <w:r>
            <w:rPr>
              <w:rFonts w:hint="eastAsia"/>
            </w:rPr>
            <w:t>离职后福利的会计处理方法</w:t>
          </w:r>
        </w:p>
        <w:sdt>
          <w:sdtPr>
            <w:rPr>
              <w:rFonts w:hint="eastAsia"/>
              <w:szCs w:val="21"/>
            </w:rPr>
            <w:alias w:val="是否适用：离职后福利的会计处理方法[双击切换]"/>
            <w:tag w:val="_GBC_64248844b1544474ae8d85d08e7479af"/>
            <w:id w:val="473418287"/>
            <w:lock w:val="sdtLocked"/>
            <w:placeholder>
              <w:docPart w:val="GBC22222222222222222222222222222"/>
            </w:placeholder>
          </w:sdtPr>
          <w:sdtContent>
            <w:p w:rsidR="007D0F35" w:rsidRDefault="00F80B6C">
              <w:pPr>
                <w:rPr>
                  <w:szCs w:val="21"/>
                </w:rPr>
              </w:pPr>
              <w:r>
                <w:rPr>
                  <w:szCs w:val="21"/>
                </w:rPr>
                <w:fldChar w:fldCharType="begin"/>
              </w:r>
              <w:r w:rsidR="003F1EB0">
                <w:rPr>
                  <w:szCs w:val="21"/>
                </w:rPr>
                <w:instrText xml:space="preserve"> MACROBUTTON  SnrToggleCheckbox √适用  </w:instrText>
              </w:r>
              <w:r>
                <w:rPr>
                  <w:szCs w:val="21"/>
                </w:rPr>
                <w:fldChar w:fldCharType="end"/>
              </w:r>
              <w:r>
                <w:rPr>
                  <w:szCs w:val="21"/>
                </w:rPr>
                <w:fldChar w:fldCharType="begin"/>
              </w:r>
              <w:r w:rsidR="003F1EB0">
                <w:rPr>
                  <w:szCs w:val="21"/>
                </w:rPr>
                <w:instrText xml:space="preserve"> MACROBUTTON  SnrToggleCheckbox □不适用 </w:instrText>
              </w:r>
              <w:r>
                <w:rPr>
                  <w:szCs w:val="21"/>
                </w:rPr>
                <w:fldChar w:fldCharType="end"/>
              </w:r>
            </w:p>
            <w:p w:rsidR="00806678" w:rsidRDefault="00F80B6C">
              <w:pPr>
                <w:rPr>
                  <w:szCs w:val="21"/>
                </w:rPr>
              </w:pPr>
            </w:p>
          </w:sdtContent>
        </w:sdt>
        <w:sdt>
          <w:sdtPr>
            <w:rPr>
              <w:szCs w:val="21"/>
            </w:rPr>
            <w:alias w:val="离职后福利的会计处理方法"/>
            <w:tag w:val="_GBC_3b0bafa6ef784ba99c829e2f60cf828e"/>
            <w:id w:val="-1439362009"/>
            <w:lock w:val="sdtLocked"/>
            <w:placeholder>
              <w:docPart w:val="GBC22222222222222222222222222222"/>
            </w:placeholder>
          </w:sdtPr>
          <w:sdtContent>
            <w:p w:rsidR="003F1EB0" w:rsidRPr="003F1EB0" w:rsidRDefault="003F1EB0" w:rsidP="003F1EB0">
              <w:pPr>
                <w:rPr>
                  <w:szCs w:val="21"/>
                </w:rPr>
              </w:pPr>
              <w:r w:rsidRPr="003F1EB0">
                <w:rPr>
                  <w:szCs w:val="21"/>
                </w:rPr>
                <w:t>(</w:t>
              </w:r>
              <w:r>
                <w:rPr>
                  <w:rFonts w:hint="eastAsia"/>
                  <w:szCs w:val="21"/>
                </w:rPr>
                <w:t>a</w:t>
              </w:r>
              <w:r w:rsidRPr="003F1EB0">
                <w:rPr>
                  <w:szCs w:val="21"/>
                </w:rPr>
                <w:t>)</w:t>
              </w:r>
              <w:r w:rsidRPr="003F1EB0">
                <w:rPr>
                  <w:szCs w:val="21"/>
                </w:rPr>
                <w:tab/>
                <w:t>离职后福利 - 设定提存计划</w:t>
              </w:r>
            </w:p>
            <w:p w:rsidR="003F1EB0" w:rsidRPr="003F1EB0" w:rsidRDefault="003F1EB0" w:rsidP="003F1EB0">
              <w:pPr>
                <w:rPr>
                  <w:szCs w:val="21"/>
                </w:rPr>
              </w:pPr>
            </w:p>
            <w:p w:rsidR="003F1EB0" w:rsidRPr="003F1EB0" w:rsidRDefault="003F1EB0" w:rsidP="003F1EB0">
              <w:pPr>
                <w:rPr>
                  <w:szCs w:val="21"/>
                </w:rPr>
              </w:pPr>
              <w:r w:rsidRPr="003F1EB0">
                <w:rPr>
                  <w:rFonts w:hint="eastAsia"/>
                  <w:szCs w:val="21"/>
                </w:rPr>
                <w:t>基本养老保险</w:t>
              </w:r>
            </w:p>
            <w:p w:rsidR="003F1EB0" w:rsidRPr="003F1EB0" w:rsidRDefault="003F1EB0" w:rsidP="003F1EB0">
              <w:pPr>
                <w:rPr>
                  <w:szCs w:val="21"/>
                </w:rPr>
              </w:pPr>
            </w:p>
            <w:p w:rsidR="003F1EB0" w:rsidRPr="003F1EB0" w:rsidRDefault="003F1EB0" w:rsidP="003F1EB0">
              <w:pPr>
                <w:rPr>
                  <w:szCs w:val="21"/>
                </w:rPr>
              </w:pPr>
              <w:r w:rsidRPr="003F1EB0">
                <w:rPr>
                  <w:rFonts w:hint="eastAsia"/>
                  <w:szCs w:val="21"/>
                </w:rPr>
                <w:t>本集团所参与的设定提存计划是按照中国有关法规要求，本集团职工参加的由政府机构设立管理的社会保障体系中的基本养老保险。基本养老保险的缴费金额按国家规定的基准和比例计算。本集团在职工提供服务的会计期间，将应缴存的金额确认为负债，并计入当期损益或相关资产成本。</w:t>
              </w:r>
            </w:p>
            <w:p w:rsidR="003F1EB0" w:rsidRPr="003F1EB0" w:rsidRDefault="003F1EB0" w:rsidP="003F1EB0">
              <w:pPr>
                <w:rPr>
                  <w:szCs w:val="21"/>
                </w:rPr>
              </w:pPr>
            </w:p>
            <w:p w:rsidR="003F1EB0" w:rsidRPr="003F1EB0" w:rsidRDefault="003F1EB0" w:rsidP="003F1EB0">
              <w:pPr>
                <w:rPr>
                  <w:szCs w:val="21"/>
                </w:rPr>
              </w:pPr>
              <w:r w:rsidRPr="003F1EB0">
                <w:rPr>
                  <w:rFonts w:hint="eastAsia"/>
                  <w:szCs w:val="21"/>
                </w:rPr>
                <w:t>企业年金计划</w:t>
              </w:r>
            </w:p>
            <w:p w:rsidR="003F1EB0" w:rsidRPr="003F1EB0" w:rsidRDefault="003F1EB0" w:rsidP="003F1EB0">
              <w:pPr>
                <w:rPr>
                  <w:szCs w:val="21"/>
                </w:rPr>
              </w:pPr>
              <w:r w:rsidRPr="003F1EB0">
                <w:rPr>
                  <w:rFonts w:hint="eastAsia"/>
                  <w:szCs w:val="21"/>
                </w:rPr>
                <w:t>根据第二届董事会第六次和第七次会议通过的建立企业年金制度的决议，本集团于</w:t>
              </w:r>
              <w:r w:rsidRPr="003F1EB0">
                <w:rPr>
                  <w:szCs w:val="21"/>
                </w:rPr>
                <w:t>2008年7月1日起开始计提企业年金。根据《大秦铁路股份有限公司企业年金方案》，企业年金由企业和职工个人共同缴纳。企业缴费从成本 (费用) 中列支；职工个人缴费根据工龄确定，并根据本集团职工工资增长情况适时予以调整。本集团企业年金计划采用理事会受托管理模式，委托企业年金理事会管理企业年金基金。</w:t>
              </w:r>
            </w:p>
            <w:p w:rsidR="003F1EB0" w:rsidRPr="003F1EB0" w:rsidRDefault="003F1EB0" w:rsidP="003F1EB0">
              <w:pPr>
                <w:rPr>
                  <w:szCs w:val="21"/>
                </w:rPr>
              </w:pPr>
            </w:p>
            <w:p w:rsidR="003F1EB0" w:rsidRPr="003F1EB0" w:rsidRDefault="003F1EB0" w:rsidP="003F1EB0">
              <w:pPr>
                <w:rPr>
                  <w:szCs w:val="21"/>
                </w:rPr>
              </w:pPr>
              <w:r w:rsidRPr="003F1EB0">
                <w:rPr>
                  <w:szCs w:val="21"/>
                </w:rPr>
                <w:t>(</w:t>
              </w:r>
              <w:r>
                <w:rPr>
                  <w:rFonts w:hint="eastAsia"/>
                  <w:szCs w:val="21"/>
                </w:rPr>
                <w:t>b</w:t>
              </w:r>
              <w:r w:rsidRPr="003F1EB0">
                <w:rPr>
                  <w:szCs w:val="21"/>
                </w:rPr>
                <w:t>)</w:t>
              </w:r>
              <w:r w:rsidRPr="003F1EB0">
                <w:rPr>
                  <w:szCs w:val="21"/>
                </w:rPr>
                <w:tab/>
                <w:t>离职后福利 - 设定受益计划</w:t>
              </w:r>
            </w:p>
            <w:p w:rsidR="003F1EB0" w:rsidRPr="003F1EB0" w:rsidRDefault="003F1EB0" w:rsidP="003F1EB0">
              <w:pPr>
                <w:rPr>
                  <w:szCs w:val="21"/>
                </w:rPr>
              </w:pPr>
            </w:p>
            <w:p w:rsidR="003F1EB0" w:rsidRPr="003F1EB0" w:rsidRDefault="003F1EB0" w:rsidP="003F1EB0">
              <w:pPr>
                <w:rPr>
                  <w:szCs w:val="21"/>
                </w:rPr>
              </w:pPr>
              <w:r w:rsidRPr="003F1EB0">
                <w:rPr>
                  <w:rFonts w:hint="eastAsia"/>
                  <w:szCs w:val="21"/>
                </w:rPr>
                <w:t>本集团的设定受益计划是企业承担的对离退休员工及在职员工支付其未来退休后国家规定的保险制度以外的补充退休福利。</w:t>
              </w:r>
            </w:p>
            <w:p w:rsidR="003F1EB0" w:rsidRPr="003F1EB0" w:rsidRDefault="003F1EB0" w:rsidP="003F1EB0">
              <w:pPr>
                <w:rPr>
                  <w:szCs w:val="21"/>
                </w:rPr>
              </w:pPr>
            </w:p>
            <w:p w:rsidR="003F1EB0" w:rsidRPr="003F1EB0" w:rsidRDefault="003F1EB0" w:rsidP="003F1EB0">
              <w:pPr>
                <w:rPr>
                  <w:szCs w:val="21"/>
                </w:rPr>
              </w:pPr>
              <w:r w:rsidRPr="003F1EB0">
                <w:rPr>
                  <w:rFonts w:hint="eastAsia"/>
                  <w:szCs w:val="21"/>
                </w:rPr>
                <w:lastRenderedPageBreak/>
                <w:t>本集团根据预期累计福利单位法，采用无偏且相互一致的精算假设对有关人口统计变量和财务变量等做出估计，计量设定受益计划所产生的义务，然后将其予以折现后的现值确认为一项设定受益计划负债。</w:t>
              </w:r>
            </w:p>
            <w:p w:rsidR="003F1EB0" w:rsidRPr="003F1EB0" w:rsidRDefault="003F1EB0" w:rsidP="003F1EB0">
              <w:pPr>
                <w:rPr>
                  <w:szCs w:val="21"/>
                </w:rPr>
              </w:pPr>
            </w:p>
            <w:p w:rsidR="008C237C" w:rsidRDefault="003F1EB0">
              <w:pPr>
                <w:rPr>
                  <w:szCs w:val="21"/>
                </w:rPr>
              </w:pPr>
              <w:r w:rsidRPr="003F1EB0">
                <w:rPr>
                  <w:rFonts w:hint="eastAsia"/>
                  <w:szCs w:val="21"/>
                </w:rPr>
                <w:t>本集团将设定受益计划产生的福利义务归属于职工提供服务的期间，对属于服务成本和设定受益计划负债的利息费用计入当期损益或相关资产成本，对属于重新计量设定受益计划负债所产生的变动计入其他综合收益。</w:t>
              </w:r>
            </w:p>
            <w:p w:rsidR="00806678" w:rsidRDefault="00F80B6C">
              <w:pPr>
                <w:rPr>
                  <w:szCs w:val="21"/>
                </w:rPr>
              </w:pPr>
            </w:p>
          </w:sdtContent>
        </w:sdt>
        <w:p w:rsidR="00806678" w:rsidRDefault="00B16377" w:rsidP="00FF17C7">
          <w:pPr>
            <w:pStyle w:val="4"/>
            <w:numPr>
              <w:ilvl w:val="3"/>
              <w:numId w:val="117"/>
            </w:numPr>
            <w:ind w:left="426" w:hanging="426"/>
          </w:pPr>
          <w:r>
            <w:rPr>
              <w:rFonts w:hint="eastAsia"/>
            </w:rPr>
            <w:t>辞退福利的会计处理方法</w:t>
          </w:r>
        </w:p>
        <w:sdt>
          <w:sdtPr>
            <w:rPr>
              <w:rFonts w:hint="eastAsia"/>
              <w:szCs w:val="21"/>
            </w:rPr>
            <w:alias w:val="是否适用：辞退福利的会计处理方法[双击切换]"/>
            <w:tag w:val="_GBC_7a3bf6905df64c658fb0148a81f2964d"/>
            <w:id w:val="-2025476993"/>
            <w:lock w:val="sdtLocked"/>
            <w:placeholder>
              <w:docPart w:val="GBC22222222222222222222222222222"/>
            </w:placeholder>
          </w:sdtPr>
          <w:sdtContent>
            <w:p w:rsidR="008C237C" w:rsidRDefault="00F80B6C">
              <w:pPr>
                <w:rPr>
                  <w:szCs w:val="21"/>
                </w:rPr>
              </w:pPr>
              <w:r>
                <w:rPr>
                  <w:szCs w:val="21"/>
                </w:rPr>
                <w:fldChar w:fldCharType="begin"/>
              </w:r>
              <w:r w:rsidR="003F1EB0">
                <w:rPr>
                  <w:szCs w:val="21"/>
                </w:rPr>
                <w:instrText xml:space="preserve"> MACROBUTTON  SnrToggleCheckbox √适用  </w:instrText>
              </w:r>
              <w:r>
                <w:rPr>
                  <w:szCs w:val="21"/>
                </w:rPr>
                <w:fldChar w:fldCharType="end"/>
              </w:r>
              <w:r>
                <w:rPr>
                  <w:szCs w:val="21"/>
                </w:rPr>
                <w:fldChar w:fldCharType="begin"/>
              </w:r>
              <w:r w:rsidR="003F1EB0">
                <w:rPr>
                  <w:szCs w:val="21"/>
                </w:rPr>
                <w:instrText xml:space="preserve"> MACROBUTTON  SnrToggleCheckbox □不适用 </w:instrText>
              </w:r>
              <w:r>
                <w:rPr>
                  <w:szCs w:val="21"/>
                </w:rPr>
                <w:fldChar w:fldCharType="end"/>
              </w:r>
            </w:p>
            <w:p w:rsidR="00806678" w:rsidRDefault="00F80B6C">
              <w:pPr>
                <w:rPr>
                  <w:szCs w:val="21"/>
                </w:rPr>
              </w:pPr>
            </w:p>
          </w:sdtContent>
        </w:sdt>
        <w:sdt>
          <w:sdtPr>
            <w:rPr>
              <w:szCs w:val="21"/>
            </w:rPr>
            <w:alias w:val="辞退福利的会计处理方法"/>
            <w:tag w:val="_GBC_a93705fb60b24bceb25c88a68ed87432"/>
            <w:id w:val="1510564558"/>
            <w:lock w:val="sdtLocked"/>
            <w:placeholder>
              <w:docPart w:val="GBC22222222222222222222222222222"/>
            </w:placeholder>
          </w:sdtPr>
          <w:sdtContent>
            <w:p w:rsidR="003F1EB0" w:rsidRPr="003F1EB0" w:rsidRDefault="003F1EB0" w:rsidP="003F1EB0">
              <w:pPr>
                <w:rPr>
                  <w:szCs w:val="21"/>
                </w:rPr>
              </w:pPr>
              <w:r w:rsidRPr="003F1EB0">
                <w:rPr>
                  <w:rFonts w:hint="eastAsia"/>
                  <w:szCs w:val="21"/>
                </w:rPr>
                <w:t>本集团在职工劳动合同到期之前解除与职工的劳动关系，或者为鼓励职工自愿接受裁减而提出给予补偿的建议，在下列两者孰早日，确认辞退福利产生的负债，同时计入当期损益：</w:t>
              </w:r>
            </w:p>
            <w:p w:rsidR="003F1EB0" w:rsidRPr="003F1EB0" w:rsidRDefault="003F1EB0" w:rsidP="003F1EB0">
              <w:pPr>
                <w:rPr>
                  <w:szCs w:val="21"/>
                </w:rPr>
              </w:pPr>
            </w:p>
            <w:p w:rsidR="003F1EB0" w:rsidRPr="003F1EB0" w:rsidRDefault="003F1EB0" w:rsidP="003F1EB0">
              <w:pPr>
                <w:rPr>
                  <w:szCs w:val="21"/>
                </w:rPr>
              </w:pPr>
              <w:r w:rsidRPr="003F1EB0">
                <w:rPr>
                  <w:szCs w:val="21"/>
                </w:rPr>
                <w:t>-</w:t>
              </w:r>
              <w:r w:rsidRPr="003F1EB0">
                <w:rPr>
                  <w:szCs w:val="21"/>
                </w:rPr>
                <w:tab/>
                <w:t>本集团不能单方面撤回因解除劳动关系计划或裁减建议所提供的辞退福利时；</w:t>
              </w:r>
            </w:p>
            <w:p w:rsidR="00806678" w:rsidRDefault="003F1EB0" w:rsidP="003F1EB0">
              <w:pPr>
                <w:rPr>
                  <w:szCs w:val="21"/>
                </w:rPr>
              </w:pPr>
              <w:r w:rsidRPr="003F1EB0">
                <w:rPr>
                  <w:szCs w:val="21"/>
                </w:rPr>
                <w:t>-</w:t>
              </w:r>
              <w:r w:rsidRPr="003F1EB0">
                <w:rPr>
                  <w:szCs w:val="21"/>
                </w:rPr>
                <w:tab/>
                <w:t>本集团有详细、正式的涉及支付辞退福利的重组计划；并且，该重组计划已开始实施，或已向受其影响的各方通告了该计划的主要内容，从而使各方形成了对本集团将实施重组的合理预期时。</w:t>
              </w:r>
            </w:p>
          </w:sdtContent>
        </w:sdt>
        <w:p w:rsidR="00806678" w:rsidRDefault="00806678">
          <w:pPr>
            <w:rPr>
              <w:szCs w:val="21"/>
            </w:rPr>
          </w:pPr>
        </w:p>
        <w:p w:rsidR="00806678" w:rsidRDefault="00B16377" w:rsidP="00FF17C7">
          <w:pPr>
            <w:pStyle w:val="4"/>
            <w:numPr>
              <w:ilvl w:val="3"/>
              <w:numId w:val="117"/>
            </w:numPr>
            <w:ind w:left="426" w:hanging="426"/>
          </w:pPr>
          <w:r>
            <w:rPr>
              <w:rFonts w:hint="eastAsia"/>
            </w:rPr>
            <w:t>其他长期职工福利的会计处理方法</w:t>
          </w:r>
        </w:p>
        <w:sdt>
          <w:sdtPr>
            <w:rPr>
              <w:rFonts w:hint="eastAsia"/>
              <w:szCs w:val="21"/>
            </w:rPr>
            <w:alias w:val="是否适用：其他长期职工福利的会计处理方法[双击切换]"/>
            <w:tag w:val="_GBC_94d434167e154a30ad2071a069525a71"/>
            <w:id w:val="2120788660"/>
            <w:lock w:val="sdtLocked"/>
            <w:placeholder>
              <w:docPart w:val="GBC22222222222222222222222222222"/>
            </w:placeholder>
          </w:sdtPr>
          <w:sdtContent>
            <w:p w:rsidR="00806678" w:rsidRDefault="00F80B6C" w:rsidP="003F1EB0">
              <w:pPr>
                <w:rPr>
                  <w:rFonts w:cs="Times New Roman"/>
                  <w:szCs w:val="21"/>
                </w:rPr>
              </w:pPr>
              <w:r>
                <w:rPr>
                  <w:szCs w:val="21"/>
                </w:rPr>
                <w:fldChar w:fldCharType="begin"/>
              </w:r>
              <w:r w:rsidR="003F1EB0">
                <w:rPr>
                  <w:szCs w:val="21"/>
                </w:rPr>
                <w:instrText xml:space="preserve"> MACROBUTTON  SnrToggleCheckbox □适用  </w:instrText>
              </w:r>
              <w:r>
                <w:rPr>
                  <w:szCs w:val="21"/>
                </w:rPr>
                <w:fldChar w:fldCharType="end"/>
              </w:r>
              <w:r>
                <w:rPr>
                  <w:szCs w:val="21"/>
                </w:rPr>
                <w:fldChar w:fldCharType="begin"/>
              </w:r>
              <w:r w:rsidR="003F1EB0">
                <w:rPr>
                  <w:szCs w:val="21"/>
                </w:rPr>
                <w:instrText xml:space="preserve"> MACROBUTTON  SnrToggleCheckbox √不适用 </w:instrText>
              </w:r>
              <w:r>
                <w:rPr>
                  <w:szCs w:val="21"/>
                </w:rPr>
                <w:fldChar w:fldCharType="end"/>
              </w:r>
            </w:p>
          </w:sdtContent>
        </w:sdt>
      </w:sdtContent>
    </w:sdt>
    <w:p w:rsidR="00806678" w:rsidRDefault="00806678">
      <w:pPr>
        <w:rPr>
          <w:rFonts w:cs="Times New Roman"/>
          <w:szCs w:val="21"/>
        </w:rPr>
      </w:pPr>
    </w:p>
    <w:bookmarkStart w:id="147" w:name="_Hlk24102406" w:displacedByCustomXml="next"/>
    <w:sdt>
      <w:sdtPr>
        <w:rPr>
          <w:rFonts w:ascii="宋体" w:hAnsi="宋体" w:cs="宋体"/>
          <w:b w:val="0"/>
          <w:bCs w:val="0"/>
          <w:kern w:val="0"/>
          <w:szCs w:val="21"/>
        </w:rPr>
        <w:alias w:val="模块:租赁负债"/>
        <w:tag w:val="_SEC_59f78615a7b840fb9a34d42105d99413"/>
        <w:id w:val="-1154681975"/>
        <w:lock w:val="sdtLocked"/>
        <w:placeholder>
          <w:docPart w:val="GBC22222222222222222222222222222"/>
        </w:placeholder>
      </w:sdtPr>
      <w:sdtContent>
        <w:p w:rsidR="00806678" w:rsidRDefault="00B16377" w:rsidP="00FF17C7">
          <w:pPr>
            <w:pStyle w:val="3"/>
            <w:numPr>
              <w:ilvl w:val="0"/>
              <w:numId w:val="39"/>
            </w:numPr>
            <w:rPr>
              <w:szCs w:val="21"/>
            </w:rPr>
          </w:pPr>
          <w:r>
            <w:rPr>
              <w:rFonts w:hint="eastAsia"/>
              <w:szCs w:val="21"/>
            </w:rPr>
            <w:t>租赁负债</w:t>
          </w:r>
        </w:p>
        <w:sdt>
          <w:sdtPr>
            <w:alias w:val="是否适用：租赁负债_重要会计政策和估计[双击切换]"/>
            <w:tag w:val="_GBC_035c8438d4994b9aa7f1e8e70adec79d"/>
            <w:id w:val="-353650838"/>
            <w:lock w:val="sdtLocked"/>
            <w:placeholder>
              <w:docPart w:val="GBC22222222222222222222222222222"/>
            </w:placeholder>
          </w:sdtPr>
          <w:sdtContent>
            <w:p w:rsidR="00806678" w:rsidRDefault="00F80B6C">
              <w:r>
                <w:fldChar w:fldCharType="begin"/>
              </w:r>
              <w:r w:rsidR="003F1EB0">
                <w:instrText xml:space="preserve"> MACROBUTTON  SnrToggleCheckbox √适用 </w:instrText>
              </w:r>
              <w:r>
                <w:fldChar w:fldCharType="end"/>
              </w:r>
              <w:r>
                <w:fldChar w:fldCharType="begin"/>
              </w:r>
              <w:r w:rsidR="003F1EB0">
                <w:instrText xml:space="preserve"> MACROBUTTON  SnrToggleCheckbox □不适用 </w:instrText>
              </w:r>
              <w:r>
                <w:fldChar w:fldCharType="end"/>
              </w:r>
            </w:p>
          </w:sdtContent>
        </w:sdt>
        <w:sdt>
          <w:sdtPr>
            <w:rPr>
              <w:rFonts w:hint="eastAsia"/>
            </w:rPr>
            <w:alias w:val="租赁负债的核算方法"/>
            <w:tag w:val="_GBC_0926be58d3434b5cbc922e1cb39d077e"/>
            <w:id w:val="-1082214004"/>
            <w:lock w:val="sdtLocked"/>
            <w:placeholder>
              <w:docPart w:val="GBC22222222222222222222222222222"/>
            </w:placeholder>
          </w:sdtPr>
          <w:sdtContent>
            <w:p w:rsidR="00806678" w:rsidRDefault="003F1EB0">
              <w:pPr>
                <w:rPr>
                  <w:szCs w:val="21"/>
                </w:rPr>
              </w:pPr>
              <w:r w:rsidRPr="003F1EB0">
                <w:rPr>
                  <w:rFonts w:hint="eastAsia"/>
                </w:rPr>
                <w:t>详见附注五、</w:t>
              </w:r>
              <w:r w:rsidRPr="003F1EB0">
                <w:t>42(3)。</w:t>
              </w:r>
            </w:p>
          </w:sdtContent>
        </w:sdt>
      </w:sdtContent>
    </w:sdt>
    <w:bookmarkEnd w:id="147" w:displacedByCustomXml="prev"/>
    <w:p w:rsidR="00806678" w:rsidRDefault="00806678"/>
    <w:sdt>
      <w:sdtPr>
        <w:rPr>
          <w:rFonts w:ascii="宋体" w:hAnsi="宋体" w:cs="宋体"/>
          <w:b w:val="0"/>
          <w:bCs w:val="0"/>
          <w:kern w:val="0"/>
          <w:szCs w:val="24"/>
        </w:rPr>
        <w:alias w:val="模块:预计负债会计处理方法"/>
        <w:tag w:val="_GBC_b5b71a4d3cc1425c80f55e751e7e18c2"/>
        <w:id w:val="-1086690114"/>
        <w:lock w:val="sdtLocked"/>
        <w:placeholder>
          <w:docPart w:val="GBC22222222222222222222222222222"/>
        </w:placeholder>
      </w:sdtPr>
      <w:sdtEndPr>
        <w:rPr>
          <w:rFonts w:hint="eastAsia"/>
          <w:szCs w:val="21"/>
        </w:rPr>
      </w:sdtEndPr>
      <w:sdtContent>
        <w:p w:rsidR="00806678" w:rsidRDefault="00B16377" w:rsidP="00FF17C7">
          <w:pPr>
            <w:pStyle w:val="3"/>
            <w:numPr>
              <w:ilvl w:val="0"/>
              <w:numId w:val="39"/>
            </w:numPr>
          </w:pPr>
          <w:r>
            <w:t>预计负债</w:t>
          </w:r>
        </w:p>
        <w:sdt>
          <w:sdtPr>
            <w:rPr>
              <w:rFonts w:hint="eastAsia"/>
              <w:szCs w:val="21"/>
            </w:rPr>
            <w:alias w:val="是否适用：预计负债_重要会计政策和估计[双击切换]"/>
            <w:tag w:val="_GBC_546a7423773c46d2b57f08fc5fdbc638"/>
            <w:id w:val="265896199"/>
            <w:lock w:val="sdtLocked"/>
            <w:placeholder>
              <w:docPart w:val="GBC22222222222222222222222222222"/>
            </w:placeholder>
          </w:sdtPr>
          <w:sdtContent>
            <w:p w:rsidR="00806678" w:rsidRDefault="00F80B6C" w:rsidP="003F1EB0">
              <w:pPr>
                <w:rPr>
                  <w:szCs w:val="21"/>
                </w:rPr>
              </w:pPr>
              <w:r>
                <w:rPr>
                  <w:szCs w:val="21"/>
                </w:rPr>
                <w:fldChar w:fldCharType="begin"/>
              </w:r>
              <w:r w:rsidR="003F1EB0">
                <w:rPr>
                  <w:szCs w:val="21"/>
                </w:rPr>
                <w:instrText xml:space="preserve"> MACROBUTTON  SnrToggleCheckbox □适用  </w:instrText>
              </w:r>
              <w:r>
                <w:rPr>
                  <w:szCs w:val="21"/>
                </w:rPr>
                <w:fldChar w:fldCharType="end"/>
              </w:r>
              <w:r>
                <w:rPr>
                  <w:szCs w:val="21"/>
                </w:rPr>
                <w:fldChar w:fldCharType="begin"/>
              </w:r>
              <w:r w:rsidR="003F1EB0">
                <w:rPr>
                  <w:szCs w:val="21"/>
                </w:rPr>
                <w:instrText xml:space="preserve"> MACROBUTTON  SnrToggleCheckbox √不适用 </w:instrText>
              </w:r>
              <w:r>
                <w:rPr>
                  <w:szCs w:val="21"/>
                </w:rPr>
                <w:fldChar w:fldCharType="end"/>
              </w:r>
            </w:p>
          </w:sdtContent>
        </w:sdt>
      </w:sdtContent>
    </w:sdt>
    <w:p w:rsidR="00806678" w:rsidRDefault="00806678">
      <w:pPr>
        <w:rPr>
          <w:szCs w:val="21"/>
        </w:rPr>
      </w:pPr>
    </w:p>
    <w:sdt>
      <w:sdtPr>
        <w:rPr>
          <w:rFonts w:asciiTheme="minorHAnsi" w:hAnsiTheme="minorHAnsi" w:cstheme="minorBidi" w:hint="eastAsia"/>
          <w:b w:val="0"/>
          <w:bCs w:val="0"/>
          <w:kern w:val="0"/>
          <w:szCs w:val="22"/>
        </w:rPr>
        <w:alias w:val="模块:股份支付"/>
        <w:tag w:val="_GBC_5300d3ce4b5f4c1690fe13bde0a610e3"/>
        <w:id w:val="1350289357"/>
        <w:lock w:val="sdtLocked"/>
        <w:placeholder>
          <w:docPart w:val="GBC22222222222222222222222222222"/>
        </w:placeholder>
      </w:sdtPr>
      <w:sdtEndPr>
        <w:rPr>
          <w:rFonts w:ascii="宋体" w:hAnsi="宋体" w:cs="Times New Roman"/>
          <w:szCs w:val="21"/>
        </w:rPr>
      </w:sdtEndPr>
      <w:sdtContent>
        <w:p w:rsidR="00806678" w:rsidRDefault="00B16377" w:rsidP="00FF17C7">
          <w:pPr>
            <w:pStyle w:val="3"/>
            <w:numPr>
              <w:ilvl w:val="0"/>
              <w:numId w:val="39"/>
            </w:numPr>
          </w:pPr>
          <w:r>
            <w:rPr>
              <w:rFonts w:hint="eastAsia"/>
            </w:rPr>
            <w:t>股份支付</w:t>
          </w:r>
        </w:p>
        <w:sdt>
          <w:sdtPr>
            <w:rPr>
              <w:rFonts w:hint="eastAsia"/>
              <w:szCs w:val="21"/>
            </w:rPr>
            <w:alias w:val="是否适用：股份支付_重要会计政策和估计[双击切换]"/>
            <w:tag w:val="_GBC_7741eb89da65434190830ba1cd87e4dc"/>
            <w:id w:val="-146052333"/>
            <w:lock w:val="sdtLocked"/>
            <w:placeholder>
              <w:docPart w:val="GBC22222222222222222222222222222"/>
            </w:placeholder>
          </w:sdtPr>
          <w:sdtContent>
            <w:p w:rsidR="00806678" w:rsidRDefault="00F80B6C" w:rsidP="003F1EB0">
              <w:pPr>
                <w:rPr>
                  <w:szCs w:val="21"/>
                </w:rPr>
              </w:pPr>
              <w:r>
                <w:rPr>
                  <w:szCs w:val="21"/>
                </w:rPr>
                <w:fldChar w:fldCharType="begin"/>
              </w:r>
              <w:r w:rsidR="003F1EB0">
                <w:rPr>
                  <w:szCs w:val="21"/>
                </w:rPr>
                <w:instrText xml:space="preserve"> MACROBUTTON  SnrToggleCheckbox □适用  </w:instrText>
              </w:r>
              <w:r>
                <w:rPr>
                  <w:szCs w:val="21"/>
                </w:rPr>
                <w:fldChar w:fldCharType="end"/>
              </w:r>
              <w:r>
                <w:rPr>
                  <w:szCs w:val="21"/>
                </w:rPr>
                <w:fldChar w:fldCharType="begin"/>
              </w:r>
              <w:r w:rsidR="003F1EB0">
                <w:rPr>
                  <w:szCs w:val="21"/>
                </w:rPr>
                <w:instrText xml:space="preserve"> MACROBUTTON  SnrToggleCheckbox √不适用 </w:instrText>
              </w:r>
              <w:r>
                <w:rPr>
                  <w:szCs w:val="21"/>
                </w:rPr>
                <w:fldChar w:fldCharType="end"/>
              </w:r>
            </w:p>
          </w:sdtContent>
        </w:sdt>
      </w:sdtContent>
    </w:sdt>
    <w:p w:rsidR="00806678" w:rsidRDefault="00806678">
      <w:pPr>
        <w:rPr>
          <w:szCs w:val="21"/>
        </w:rPr>
      </w:pPr>
    </w:p>
    <w:sdt>
      <w:sdtPr>
        <w:rPr>
          <w:rFonts w:asciiTheme="minorHAnsi" w:hAnsiTheme="minorHAnsi" w:cstheme="minorBidi" w:hint="eastAsia"/>
          <w:b w:val="0"/>
          <w:bCs w:val="0"/>
          <w:kern w:val="0"/>
          <w:szCs w:val="22"/>
        </w:rPr>
        <w:alias w:val="模块:优先股、永续债"/>
        <w:tag w:val="_GBC_d3c9524999e647d78f354bb216cfb1aa"/>
        <w:id w:val="366881843"/>
        <w:lock w:val="sdtLocked"/>
        <w:placeholder>
          <w:docPart w:val="GBC22222222222222222222222222222"/>
        </w:placeholder>
      </w:sdtPr>
      <w:sdtEndPr>
        <w:rPr>
          <w:rFonts w:ascii="宋体" w:hAnsi="宋体" w:cs="Times New Roman"/>
          <w:szCs w:val="21"/>
        </w:rPr>
      </w:sdtEndPr>
      <w:sdtContent>
        <w:p w:rsidR="00806678" w:rsidRDefault="00B16377" w:rsidP="00FF17C7">
          <w:pPr>
            <w:pStyle w:val="3"/>
            <w:numPr>
              <w:ilvl w:val="0"/>
              <w:numId w:val="39"/>
            </w:numPr>
          </w:pPr>
          <w:r>
            <w:rPr>
              <w:rFonts w:hint="eastAsia"/>
            </w:rPr>
            <w:t>优先股、永续债等其他金融工具</w:t>
          </w:r>
        </w:p>
        <w:sdt>
          <w:sdtPr>
            <w:rPr>
              <w:rFonts w:hint="eastAsia"/>
              <w:szCs w:val="21"/>
            </w:rPr>
            <w:alias w:val="是否适用：优先股、永续债等其他金融工具[双击切换]"/>
            <w:tag w:val="_GBC_00e1aed4ff2c40d6bda73971e87d6eb8"/>
            <w:id w:val="-1671939228"/>
            <w:lock w:val="sdtLocked"/>
            <w:placeholder>
              <w:docPart w:val="GBC22222222222222222222222222222"/>
            </w:placeholder>
          </w:sdtPr>
          <w:sdtContent>
            <w:p w:rsidR="00806678" w:rsidRDefault="00F80B6C" w:rsidP="003F1EB0">
              <w:pPr>
                <w:rPr>
                  <w:szCs w:val="21"/>
                </w:rPr>
              </w:pPr>
              <w:r>
                <w:rPr>
                  <w:szCs w:val="21"/>
                </w:rPr>
                <w:fldChar w:fldCharType="begin"/>
              </w:r>
              <w:r w:rsidR="003F1EB0">
                <w:rPr>
                  <w:szCs w:val="21"/>
                </w:rPr>
                <w:instrText xml:space="preserve"> MACROBUTTON  SnrToggleCheckbox □适用  </w:instrText>
              </w:r>
              <w:r>
                <w:rPr>
                  <w:szCs w:val="21"/>
                </w:rPr>
                <w:fldChar w:fldCharType="end"/>
              </w:r>
              <w:r>
                <w:rPr>
                  <w:szCs w:val="21"/>
                </w:rPr>
                <w:fldChar w:fldCharType="begin"/>
              </w:r>
              <w:r w:rsidR="003F1EB0">
                <w:rPr>
                  <w:szCs w:val="21"/>
                </w:rPr>
                <w:instrText xml:space="preserve"> MACROBUTTON  SnrToggleCheckbox √不适用 </w:instrText>
              </w:r>
              <w:r>
                <w:rPr>
                  <w:szCs w:val="21"/>
                </w:rPr>
                <w:fldChar w:fldCharType="end"/>
              </w:r>
            </w:p>
          </w:sdtContent>
        </w:sdt>
      </w:sdtContent>
    </w:sdt>
    <w:p w:rsidR="00806678" w:rsidRDefault="00806678">
      <w:pPr>
        <w:rPr>
          <w:szCs w:val="21"/>
        </w:rPr>
      </w:pPr>
    </w:p>
    <w:bookmarkStart w:id="148" w:name="_Hlk533668053" w:displacedByCustomXml="next"/>
    <w:sdt>
      <w:sdtPr>
        <w:rPr>
          <w:rFonts w:ascii="宋体" w:hAnsi="宋体" w:cs="宋体" w:hint="eastAsia"/>
          <w:b w:val="0"/>
          <w:bCs w:val="0"/>
          <w:kern w:val="0"/>
          <w:szCs w:val="21"/>
        </w:rPr>
        <w:alias w:val="模块:收入确认和计量所采用的会计政策"/>
        <w:tag w:val="_SEC_61f33e672a394985bb61a08db1fab3a1"/>
        <w:id w:val="25769259"/>
        <w:lock w:val="sdtLocked"/>
        <w:placeholder>
          <w:docPart w:val="GBC22222222222222222222222222222"/>
        </w:placeholder>
      </w:sdtPr>
      <w:sdtEndPr>
        <w:rPr>
          <w:rFonts w:hint="default"/>
        </w:rPr>
      </w:sdtEndPr>
      <w:sdtContent>
        <w:p w:rsidR="00806678" w:rsidRDefault="00B16377" w:rsidP="00FF17C7">
          <w:pPr>
            <w:pStyle w:val="3"/>
            <w:numPr>
              <w:ilvl w:val="0"/>
              <w:numId w:val="39"/>
            </w:numPr>
            <w:rPr>
              <w:szCs w:val="21"/>
            </w:rPr>
          </w:pPr>
          <w:r>
            <w:rPr>
              <w:rFonts w:hint="eastAsia"/>
              <w:szCs w:val="21"/>
            </w:rPr>
            <w:t>收入</w:t>
          </w:r>
        </w:p>
        <w:p w:rsidR="00806678" w:rsidRDefault="00B16377" w:rsidP="00FF17C7">
          <w:pPr>
            <w:pStyle w:val="4"/>
            <w:numPr>
              <w:ilvl w:val="3"/>
              <w:numId w:val="118"/>
            </w:numPr>
            <w:ind w:left="426" w:hanging="426"/>
            <w:rPr>
              <w:szCs w:val="21"/>
            </w:rPr>
          </w:pPr>
          <w:r>
            <w:rPr>
              <w:rFonts w:hint="eastAsia"/>
              <w:szCs w:val="21"/>
            </w:rPr>
            <w:t>收入确认和计量所采用的会计政策</w:t>
          </w:r>
        </w:p>
        <w:sdt>
          <w:sdtPr>
            <w:rPr>
              <w:szCs w:val="21"/>
            </w:rPr>
            <w:alias w:val="是否适用：收入确认和计量所采用的会计政策[双击切换]"/>
            <w:tag w:val="_GBC_58b9f76eca7b4d9d8e5c5dfd0fba5c09"/>
            <w:id w:val="322248355"/>
            <w:lock w:val="sdtLocked"/>
            <w:placeholder>
              <w:docPart w:val="GBC22222222222222222222222222222"/>
            </w:placeholder>
          </w:sdtPr>
          <w:sdtContent>
            <w:p w:rsidR="008C237C" w:rsidRDefault="00F80B6C">
              <w:pPr>
                <w:rPr>
                  <w:szCs w:val="21"/>
                </w:rPr>
              </w:pPr>
              <w:r>
                <w:rPr>
                  <w:szCs w:val="21"/>
                </w:rPr>
                <w:fldChar w:fldCharType="begin"/>
              </w:r>
              <w:r w:rsidR="003F1EB0">
                <w:rPr>
                  <w:szCs w:val="21"/>
                </w:rPr>
                <w:instrText xml:space="preserve"> MACROBUTTON  SnrToggleCheckbox √适用 </w:instrText>
              </w:r>
              <w:r>
                <w:rPr>
                  <w:szCs w:val="21"/>
                </w:rPr>
                <w:fldChar w:fldCharType="end"/>
              </w:r>
              <w:r>
                <w:rPr>
                  <w:szCs w:val="21"/>
                </w:rPr>
                <w:fldChar w:fldCharType="begin"/>
              </w:r>
              <w:r w:rsidR="003F1EB0">
                <w:rPr>
                  <w:szCs w:val="21"/>
                </w:rPr>
                <w:instrText xml:space="preserve"> MACROBUTTON  SnrToggleCheckbox □不适用 </w:instrText>
              </w:r>
              <w:r>
                <w:rPr>
                  <w:szCs w:val="21"/>
                </w:rPr>
                <w:fldChar w:fldCharType="end"/>
              </w:r>
            </w:p>
            <w:p w:rsidR="00806678" w:rsidRDefault="00F80B6C">
              <w:pPr>
                <w:rPr>
                  <w:szCs w:val="21"/>
                </w:rPr>
              </w:pPr>
            </w:p>
          </w:sdtContent>
        </w:sdt>
        <w:sdt>
          <w:sdtPr>
            <w:rPr>
              <w:szCs w:val="21"/>
            </w:rPr>
            <w:alias w:val="收入确认和计量所采用的会计政策"/>
            <w:tag w:val="_GBC_9ba2713a8f0a44ef9a4ee890aa13e0fb"/>
            <w:id w:val="853386850"/>
            <w:lock w:val="sdtLocked"/>
            <w:placeholder>
              <w:docPart w:val="GBC22222222222222222222222222222"/>
            </w:placeholder>
          </w:sdtPr>
          <w:sdtContent>
            <w:p w:rsidR="003F1EB0" w:rsidRPr="003F1EB0" w:rsidRDefault="003F1EB0" w:rsidP="003F1EB0">
              <w:pPr>
                <w:rPr>
                  <w:szCs w:val="21"/>
                </w:rPr>
              </w:pPr>
              <w:r w:rsidRPr="003F1EB0">
                <w:rPr>
                  <w:rFonts w:hint="eastAsia"/>
                  <w:szCs w:val="21"/>
                </w:rPr>
                <w:t>收入是本集团在日常活动中形成的、会导致股东权益增加且与股东投入资本无关的经济利益的总流入。</w:t>
              </w:r>
              <w:r w:rsidRPr="003F1EB0">
                <w:rPr>
                  <w:szCs w:val="21"/>
                </w:rPr>
                <w:t xml:space="preserve"> </w:t>
              </w:r>
            </w:p>
            <w:p w:rsidR="003F1EB0" w:rsidRPr="003F1EB0" w:rsidRDefault="003F1EB0" w:rsidP="003F1EB0">
              <w:pPr>
                <w:rPr>
                  <w:szCs w:val="21"/>
                </w:rPr>
              </w:pPr>
            </w:p>
            <w:p w:rsidR="003F1EB0" w:rsidRPr="003F1EB0" w:rsidRDefault="003F1EB0" w:rsidP="003F1EB0">
              <w:pPr>
                <w:rPr>
                  <w:szCs w:val="21"/>
                </w:rPr>
              </w:pPr>
              <w:r w:rsidRPr="003F1EB0">
                <w:rPr>
                  <w:rFonts w:hint="eastAsia"/>
                  <w:szCs w:val="21"/>
                </w:rPr>
                <w:t>本集团在履行了合同中的履约义务，即在客户取得相关商品或服务的控制权时，确认收入。</w:t>
              </w:r>
              <w:r w:rsidRPr="003F1EB0">
                <w:rPr>
                  <w:szCs w:val="21"/>
                </w:rPr>
                <w:t xml:space="preserve"> </w:t>
              </w:r>
            </w:p>
            <w:p w:rsidR="003F1EB0" w:rsidRPr="003F1EB0" w:rsidRDefault="003F1EB0" w:rsidP="003F1EB0">
              <w:pPr>
                <w:rPr>
                  <w:szCs w:val="21"/>
                </w:rPr>
              </w:pPr>
            </w:p>
            <w:p w:rsidR="003F1EB0" w:rsidRPr="003F1EB0" w:rsidRDefault="003F1EB0" w:rsidP="003F1EB0">
              <w:pPr>
                <w:rPr>
                  <w:szCs w:val="21"/>
                </w:rPr>
              </w:pPr>
              <w:r w:rsidRPr="003F1EB0">
                <w:rPr>
                  <w:rFonts w:hint="eastAsia"/>
                  <w:szCs w:val="21"/>
                </w:rPr>
                <w:t>合同中包含两项或多项履约义务的，本集团在合同开始日，按照各单项履约义务所承诺商品或服务的单独售价的相对比例，将交易价格分摊至各单项履约义务，按照分摊至各单项履约义务的交易价格计量收入。单独售价，是指本集团向客户单独销售商品或提供服务的价格。单独售价无法直接观察的，本集团综合考虑能够合理取得的全部相关信息，并最大限度地采用可观察的输入值估计单独售价。</w:t>
              </w:r>
            </w:p>
            <w:p w:rsidR="003F1EB0" w:rsidRPr="003F1EB0" w:rsidRDefault="003F1EB0" w:rsidP="003F1EB0">
              <w:pPr>
                <w:rPr>
                  <w:szCs w:val="21"/>
                </w:rPr>
              </w:pPr>
            </w:p>
            <w:p w:rsidR="003F1EB0" w:rsidRPr="003F1EB0" w:rsidRDefault="003F1EB0" w:rsidP="003F1EB0">
              <w:pPr>
                <w:rPr>
                  <w:szCs w:val="21"/>
                </w:rPr>
              </w:pPr>
              <w:r w:rsidRPr="003F1EB0">
                <w:rPr>
                  <w:rFonts w:hint="eastAsia"/>
                  <w:szCs w:val="21"/>
                </w:rPr>
                <w:t>附有客户额外购买选择权</w:t>
              </w:r>
              <w:r w:rsidRPr="003F1EB0">
                <w:rPr>
                  <w:szCs w:val="21"/>
                </w:rPr>
                <w:t xml:space="preserve"> (例如客户奖励积分) 的合同，本集团评估该选择权是否向客户提供了一项重大权利。提供重大权利的，本集团将其作为单项履约义务，在客户未来行使购买选择权取得相关商品或服务的控制权时，或者该选择权失效时，确认相应的收入。客户额外购买选择权的单独售价无法直接观察的，本集团综合考虑客户行使和不行使该选择权所能获得的折扣的差异、客户行使该选择权的可能性等全部相关信息后予以估计。</w:t>
              </w:r>
            </w:p>
            <w:p w:rsidR="003F1EB0" w:rsidRPr="003F1EB0" w:rsidRDefault="003F1EB0" w:rsidP="003F1EB0">
              <w:pPr>
                <w:rPr>
                  <w:szCs w:val="21"/>
                </w:rPr>
              </w:pPr>
            </w:p>
            <w:p w:rsidR="003F1EB0" w:rsidRPr="003F1EB0" w:rsidRDefault="003F1EB0" w:rsidP="003F1EB0">
              <w:pPr>
                <w:rPr>
                  <w:szCs w:val="21"/>
                </w:rPr>
              </w:pPr>
              <w:r w:rsidRPr="003F1EB0">
                <w:rPr>
                  <w:rFonts w:hint="eastAsia"/>
                  <w:szCs w:val="21"/>
                </w:rPr>
                <w:t>交易价格是本集团因向客户转让商品或服务而预期有权收取的对价金额，不包括代第三方收取的款项。本集团确认的交易价格不超过在相关不确定性消除时累计已确认收入极可能不会发生重大转回的金额。合同中存在重大融资成分的，本集团按照假定客户在取得商品或服务控制权时即以现金支付的应付金额确定交易价格。该交易价格与合同对价之间的差额，在合同期间内采用实际利率法摊销。</w:t>
              </w:r>
            </w:p>
            <w:p w:rsidR="003F1EB0" w:rsidRPr="003F1EB0" w:rsidRDefault="003F1EB0" w:rsidP="003F1EB0">
              <w:pPr>
                <w:rPr>
                  <w:szCs w:val="21"/>
                </w:rPr>
              </w:pPr>
            </w:p>
            <w:p w:rsidR="003F1EB0" w:rsidRPr="003F1EB0" w:rsidRDefault="003F1EB0" w:rsidP="003F1EB0">
              <w:pPr>
                <w:rPr>
                  <w:szCs w:val="21"/>
                </w:rPr>
              </w:pPr>
              <w:r w:rsidRPr="003F1EB0">
                <w:rPr>
                  <w:rFonts w:hint="eastAsia"/>
                  <w:szCs w:val="21"/>
                </w:rPr>
                <w:t>满足下列条件之一时，本集团属于在某一段时间内履行履约义务，否则，属于在某一时点履行履约义务：</w:t>
              </w:r>
            </w:p>
            <w:p w:rsidR="003F1EB0" w:rsidRPr="003F1EB0" w:rsidRDefault="003F1EB0" w:rsidP="003F1EB0">
              <w:pPr>
                <w:rPr>
                  <w:szCs w:val="21"/>
                </w:rPr>
              </w:pPr>
            </w:p>
            <w:p w:rsidR="003F1EB0" w:rsidRPr="003F1EB0" w:rsidRDefault="003F1EB0" w:rsidP="003F1EB0">
              <w:pPr>
                <w:rPr>
                  <w:szCs w:val="21"/>
                </w:rPr>
              </w:pPr>
              <w:r w:rsidRPr="003F1EB0">
                <w:rPr>
                  <w:szCs w:val="21"/>
                </w:rPr>
                <w:t>-</w:t>
              </w:r>
              <w:r w:rsidRPr="003F1EB0">
                <w:rPr>
                  <w:szCs w:val="21"/>
                </w:rPr>
                <w:tab/>
                <w:t>客户在本集团履约的同时即取得并消耗本集团履约所带来的经济利益；</w:t>
              </w:r>
            </w:p>
            <w:p w:rsidR="003F1EB0" w:rsidRPr="003F1EB0" w:rsidRDefault="003F1EB0" w:rsidP="003F1EB0">
              <w:pPr>
                <w:rPr>
                  <w:szCs w:val="21"/>
                </w:rPr>
              </w:pPr>
              <w:r w:rsidRPr="003F1EB0">
                <w:rPr>
                  <w:szCs w:val="21"/>
                </w:rPr>
                <w:t>-</w:t>
              </w:r>
              <w:r w:rsidRPr="003F1EB0">
                <w:rPr>
                  <w:szCs w:val="21"/>
                </w:rPr>
                <w:tab/>
                <w:t>客户能够控制本集团履约过程中在建的商品；</w:t>
              </w:r>
            </w:p>
            <w:p w:rsidR="003F1EB0" w:rsidRPr="003F1EB0" w:rsidRDefault="003F1EB0" w:rsidP="003F1EB0">
              <w:pPr>
                <w:rPr>
                  <w:szCs w:val="21"/>
                </w:rPr>
              </w:pPr>
              <w:r w:rsidRPr="003F1EB0">
                <w:rPr>
                  <w:szCs w:val="21"/>
                </w:rPr>
                <w:t>-</w:t>
              </w:r>
              <w:r w:rsidRPr="003F1EB0">
                <w:rPr>
                  <w:szCs w:val="21"/>
                </w:rPr>
                <w:tab/>
                <w:t>本集团履约过程中所产出的商品具有不可替代用途，且本集团在整个合同期间内有权就累计至今已完成的履约部分收取款项。</w:t>
              </w:r>
            </w:p>
            <w:p w:rsidR="003F1EB0" w:rsidRPr="003F1EB0" w:rsidRDefault="003F1EB0" w:rsidP="003F1EB0">
              <w:pPr>
                <w:rPr>
                  <w:szCs w:val="21"/>
                </w:rPr>
              </w:pPr>
            </w:p>
            <w:p w:rsidR="003F1EB0" w:rsidRPr="003F1EB0" w:rsidRDefault="003F1EB0" w:rsidP="003F1EB0">
              <w:pPr>
                <w:rPr>
                  <w:szCs w:val="21"/>
                </w:rPr>
              </w:pPr>
              <w:r w:rsidRPr="003F1EB0">
                <w:rPr>
                  <w:rFonts w:hint="eastAsia"/>
                  <w:szCs w:val="21"/>
                </w:rPr>
                <w:t>对于在某一时段内履行的履约义务，本集团在该段时间内按照履约进度确认收入。履约进度不能合理确定时，本集团已经发生的成本预计能够得到补偿的，按照已经发生的成本金额确认收入，直到履约进度能够合理确定为止。</w:t>
              </w:r>
            </w:p>
            <w:p w:rsidR="003F1EB0" w:rsidRPr="003F1EB0" w:rsidRDefault="003F1EB0" w:rsidP="003F1EB0">
              <w:pPr>
                <w:rPr>
                  <w:szCs w:val="21"/>
                </w:rPr>
              </w:pPr>
            </w:p>
            <w:p w:rsidR="003F1EB0" w:rsidRPr="003F1EB0" w:rsidRDefault="003F1EB0" w:rsidP="003F1EB0">
              <w:pPr>
                <w:rPr>
                  <w:szCs w:val="21"/>
                </w:rPr>
              </w:pPr>
              <w:r w:rsidRPr="003F1EB0">
                <w:rPr>
                  <w:rFonts w:hint="eastAsia"/>
                  <w:szCs w:val="21"/>
                </w:rPr>
                <w:t>对于在某一时点履行的履约义务，本集团在客户取得相关商品或服务控制权时点确认收入。在判断客户是否已取得商品或服务控制权时，本集团会考虑下列迹象：</w:t>
              </w:r>
            </w:p>
            <w:p w:rsidR="003F1EB0" w:rsidRPr="003F1EB0" w:rsidRDefault="003F1EB0" w:rsidP="003F1EB0">
              <w:pPr>
                <w:rPr>
                  <w:szCs w:val="21"/>
                </w:rPr>
              </w:pPr>
            </w:p>
            <w:p w:rsidR="003F1EB0" w:rsidRPr="003F1EB0" w:rsidRDefault="003F1EB0" w:rsidP="003F1EB0">
              <w:pPr>
                <w:rPr>
                  <w:szCs w:val="21"/>
                </w:rPr>
              </w:pPr>
              <w:r w:rsidRPr="003F1EB0">
                <w:rPr>
                  <w:szCs w:val="21"/>
                </w:rPr>
                <w:t>-</w:t>
              </w:r>
              <w:r w:rsidRPr="003F1EB0">
                <w:rPr>
                  <w:szCs w:val="21"/>
                </w:rPr>
                <w:tab/>
                <w:t>本集团就该商品或服务享有现时收款权利；</w:t>
              </w:r>
            </w:p>
            <w:p w:rsidR="003F1EB0" w:rsidRPr="003F1EB0" w:rsidRDefault="003F1EB0" w:rsidP="003F1EB0">
              <w:pPr>
                <w:rPr>
                  <w:szCs w:val="21"/>
                </w:rPr>
              </w:pPr>
              <w:r w:rsidRPr="003F1EB0">
                <w:rPr>
                  <w:szCs w:val="21"/>
                </w:rPr>
                <w:t>-</w:t>
              </w:r>
              <w:r w:rsidRPr="003F1EB0">
                <w:rPr>
                  <w:szCs w:val="21"/>
                </w:rPr>
                <w:tab/>
                <w:t>本集团已将该商品的实物转移给客户；</w:t>
              </w:r>
            </w:p>
            <w:p w:rsidR="003F1EB0" w:rsidRPr="003F1EB0" w:rsidRDefault="003F1EB0" w:rsidP="003F1EB0">
              <w:pPr>
                <w:rPr>
                  <w:szCs w:val="21"/>
                </w:rPr>
              </w:pPr>
              <w:r w:rsidRPr="003F1EB0">
                <w:rPr>
                  <w:szCs w:val="21"/>
                </w:rPr>
                <w:t>-</w:t>
              </w:r>
              <w:r w:rsidRPr="003F1EB0">
                <w:rPr>
                  <w:szCs w:val="21"/>
                </w:rPr>
                <w:tab/>
                <w:t>本集团已将该商品的法定所有权或所有权上的主要风险和报酬转移给客户；</w:t>
              </w:r>
            </w:p>
            <w:p w:rsidR="003F1EB0" w:rsidRPr="003F1EB0" w:rsidRDefault="003F1EB0" w:rsidP="003F1EB0">
              <w:pPr>
                <w:rPr>
                  <w:szCs w:val="21"/>
                </w:rPr>
              </w:pPr>
              <w:r w:rsidRPr="003F1EB0">
                <w:rPr>
                  <w:szCs w:val="21"/>
                </w:rPr>
                <w:t>-</w:t>
              </w:r>
              <w:r w:rsidRPr="003F1EB0">
                <w:rPr>
                  <w:szCs w:val="21"/>
                </w:rPr>
                <w:tab/>
                <w:t>客户已接受该商品或服务等。</w:t>
              </w:r>
            </w:p>
            <w:p w:rsidR="003F1EB0" w:rsidRPr="003F1EB0" w:rsidRDefault="003F1EB0" w:rsidP="003F1EB0">
              <w:pPr>
                <w:rPr>
                  <w:szCs w:val="21"/>
                </w:rPr>
              </w:pPr>
            </w:p>
            <w:p w:rsidR="003F1EB0" w:rsidRPr="003F1EB0" w:rsidRDefault="003F1EB0" w:rsidP="003F1EB0">
              <w:pPr>
                <w:rPr>
                  <w:szCs w:val="21"/>
                </w:rPr>
              </w:pPr>
              <w:r w:rsidRPr="003F1EB0">
                <w:rPr>
                  <w:rFonts w:hint="eastAsia"/>
                  <w:szCs w:val="21"/>
                </w:rPr>
                <w:t>本集团根据在向客户转让商品或服务前是否拥有对该商品或服务的控制权，来判断本集团从事交易时的身份是主要责任人还是代理人。本集团在向客户转让商品或服务前能够控制该商品或服务的，本集团为主要责任人，按照已收或应收对价总额确认收入；否则，本集团为代理人，按照预</w:t>
              </w:r>
              <w:r w:rsidRPr="003F1EB0">
                <w:rPr>
                  <w:rFonts w:hint="eastAsia"/>
                  <w:szCs w:val="21"/>
                </w:rPr>
                <w:lastRenderedPageBreak/>
                <w:t>期有权收取的佣金或手续费的金额确认收入，该金额按照已收或应收对价总额扣除应支付给其他相关方的价款后的净额，或者按照既定的佣金金额或比例等确定。</w:t>
              </w:r>
            </w:p>
            <w:p w:rsidR="003F1EB0" w:rsidRPr="003F1EB0" w:rsidRDefault="003F1EB0" w:rsidP="003F1EB0">
              <w:pPr>
                <w:rPr>
                  <w:szCs w:val="21"/>
                </w:rPr>
              </w:pPr>
            </w:p>
            <w:p w:rsidR="003F1EB0" w:rsidRPr="003F1EB0" w:rsidRDefault="003F1EB0" w:rsidP="003F1EB0">
              <w:pPr>
                <w:rPr>
                  <w:szCs w:val="21"/>
                </w:rPr>
              </w:pPr>
              <w:r w:rsidRPr="003F1EB0">
                <w:rPr>
                  <w:rFonts w:hint="eastAsia"/>
                  <w:szCs w:val="21"/>
                </w:rPr>
                <w:t>本集团已向客户转让商品或服务而有权收取对价的权利</w:t>
              </w:r>
              <w:r w:rsidRPr="003F1EB0">
                <w:rPr>
                  <w:szCs w:val="21"/>
                </w:rPr>
                <w:t xml:space="preserve"> (且该权利取决于时间流逝之外的其他因素) 作为合同资产列示，合同资产以预期信用损失为基础计提减值 (参见附注</w:t>
              </w:r>
              <w:r w:rsidR="008C237C">
                <w:rPr>
                  <w:rFonts w:hint="eastAsia"/>
                  <w:szCs w:val="21"/>
                </w:rPr>
                <w:t>五</w:t>
              </w:r>
              <w:r w:rsidRPr="003F1EB0">
                <w:rPr>
                  <w:szCs w:val="21"/>
                </w:rPr>
                <w:t>、</w:t>
              </w:r>
              <w:r w:rsidR="008C237C">
                <w:rPr>
                  <w:szCs w:val="21"/>
                </w:rPr>
                <w:t>10</w:t>
              </w:r>
              <w:r w:rsidRPr="003F1EB0">
                <w:rPr>
                  <w:szCs w:val="21"/>
                </w:rPr>
                <w:t>(6)) 。本集团拥有的、无条件 (仅取决于时间流逝) 向客户收取对价的权利作为应收款项列示。本集团已收或应收客户对价而应向客户转让商品或服务的义务作为合同负债列示。</w:t>
              </w:r>
            </w:p>
            <w:p w:rsidR="003F1EB0" w:rsidRPr="003F1EB0" w:rsidRDefault="003F1EB0" w:rsidP="003F1EB0">
              <w:pPr>
                <w:rPr>
                  <w:szCs w:val="21"/>
                </w:rPr>
              </w:pPr>
            </w:p>
            <w:p w:rsidR="003F1EB0" w:rsidRPr="003F1EB0" w:rsidRDefault="003F1EB0" w:rsidP="003F1EB0">
              <w:pPr>
                <w:rPr>
                  <w:szCs w:val="21"/>
                </w:rPr>
              </w:pPr>
              <w:r w:rsidRPr="003F1EB0">
                <w:rPr>
                  <w:rFonts w:hint="eastAsia"/>
                  <w:szCs w:val="21"/>
                </w:rPr>
                <w:t>与本集团取得收入的主要活动相关的具体会计政策描述如下：</w:t>
              </w:r>
            </w:p>
            <w:p w:rsidR="003F1EB0" w:rsidRPr="003F1EB0" w:rsidRDefault="003F1EB0" w:rsidP="003F1EB0">
              <w:pPr>
                <w:rPr>
                  <w:szCs w:val="21"/>
                </w:rPr>
              </w:pPr>
            </w:p>
            <w:p w:rsidR="003F1EB0" w:rsidRPr="003F1EB0" w:rsidRDefault="003F1EB0" w:rsidP="003F1EB0">
              <w:pPr>
                <w:rPr>
                  <w:szCs w:val="21"/>
                </w:rPr>
              </w:pPr>
              <w:r w:rsidRPr="003F1EB0">
                <w:rPr>
                  <w:szCs w:val="21"/>
                </w:rPr>
                <w:t>(1)</w:t>
              </w:r>
              <w:r w:rsidRPr="003F1EB0">
                <w:rPr>
                  <w:szCs w:val="21"/>
                </w:rPr>
                <w:tab/>
                <w:t>提供铁路运输服务</w:t>
              </w:r>
            </w:p>
            <w:p w:rsidR="003F1EB0" w:rsidRPr="003F1EB0" w:rsidRDefault="003F1EB0" w:rsidP="003F1EB0">
              <w:pPr>
                <w:rPr>
                  <w:szCs w:val="21"/>
                </w:rPr>
              </w:pPr>
            </w:p>
            <w:p w:rsidR="003F1EB0" w:rsidRPr="003F1EB0" w:rsidRDefault="003F1EB0" w:rsidP="003F1EB0">
              <w:pPr>
                <w:rPr>
                  <w:szCs w:val="21"/>
                </w:rPr>
              </w:pPr>
              <w:r w:rsidRPr="003F1EB0">
                <w:rPr>
                  <w:rFonts w:hint="eastAsia"/>
                  <w:szCs w:val="21"/>
                </w:rPr>
                <w:t>本集团提供铁路货物运输、旅客运输及其他服务。铁路货物及旅客运输服务根据已完成劳务的进度在一段时间内确认收入。</w:t>
              </w:r>
            </w:p>
            <w:p w:rsidR="003F1EB0" w:rsidRPr="003F1EB0" w:rsidRDefault="003F1EB0" w:rsidP="003F1EB0">
              <w:pPr>
                <w:rPr>
                  <w:szCs w:val="21"/>
                </w:rPr>
              </w:pPr>
            </w:p>
            <w:p w:rsidR="003F1EB0" w:rsidRPr="003F1EB0" w:rsidRDefault="003F1EB0" w:rsidP="003F1EB0">
              <w:pPr>
                <w:rPr>
                  <w:szCs w:val="21"/>
                </w:rPr>
              </w:pPr>
              <w:r w:rsidRPr="003F1EB0">
                <w:rPr>
                  <w:rFonts w:hint="eastAsia"/>
                  <w:szCs w:val="21"/>
                </w:rPr>
                <w:t>本集团根据提供客运服务和奖励积分各自单独售价的相对比例对提供客运服务取得的款项进行分摊，按照分摊至实际提供客运服务的交易价格确认收入，并将顾客未使用的奖励积分的余额予以递延，并在积分兑换或到期时确认为收入。</w:t>
              </w:r>
            </w:p>
            <w:p w:rsidR="003F1EB0" w:rsidRPr="003F1EB0" w:rsidRDefault="003F1EB0" w:rsidP="003F1EB0">
              <w:pPr>
                <w:rPr>
                  <w:szCs w:val="21"/>
                </w:rPr>
              </w:pPr>
            </w:p>
            <w:p w:rsidR="003F1EB0" w:rsidRPr="003F1EB0" w:rsidRDefault="003F1EB0" w:rsidP="003F1EB0">
              <w:pPr>
                <w:rPr>
                  <w:szCs w:val="21"/>
                </w:rPr>
              </w:pPr>
              <w:r w:rsidRPr="003F1EB0">
                <w:rPr>
                  <w:szCs w:val="21"/>
                </w:rPr>
                <w:t>(2)</w:t>
              </w:r>
              <w:r w:rsidRPr="003F1EB0">
                <w:rPr>
                  <w:szCs w:val="21"/>
                </w:rPr>
                <w:tab/>
                <w:t>销售商品收入</w:t>
              </w:r>
            </w:p>
            <w:p w:rsidR="003F1EB0" w:rsidRPr="003F1EB0" w:rsidRDefault="003F1EB0" w:rsidP="003F1EB0">
              <w:pPr>
                <w:rPr>
                  <w:szCs w:val="21"/>
                </w:rPr>
              </w:pPr>
            </w:p>
            <w:p w:rsidR="003F1EB0" w:rsidRPr="003F1EB0" w:rsidRDefault="003F1EB0" w:rsidP="003F1EB0">
              <w:pPr>
                <w:rPr>
                  <w:szCs w:val="21"/>
                </w:rPr>
              </w:pPr>
              <w:r w:rsidRPr="003F1EB0">
                <w:rPr>
                  <w:rFonts w:hint="eastAsia"/>
                  <w:szCs w:val="21"/>
                </w:rPr>
                <w:t>本集团在履行了合同中的履约义务，即在客户取得相关商品控制权时确认收入。</w:t>
              </w:r>
            </w:p>
            <w:p w:rsidR="003F1EB0" w:rsidRPr="003F1EB0" w:rsidRDefault="003F1EB0" w:rsidP="003F1EB0">
              <w:pPr>
                <w:rPr>
                  <w:szCs w:val="21"/>
                </w:rPr>
              </w:pPr>
            </w:p>
            <w:p w:rsidR="003F1EB0" w:rsidRPr="003F1EB0" w:rsidRDefault="003F1EB0" w:rsidP="003F1EB0">
              <w:pPr>
                <w:rPr>
                  <w:szCs w:val="21"/>
                </w:rPr>
              </w:pPr>
              <w:r w:rsidRPr="003F1EB0">
                <w:rPr>
                  <w:szCs w:val="21"/>
                </w:rPr>
                <w:t>(3)</w:t>
              </w:r>
              <w:r w:rsidRPr="003F1EB0">
                <w:rPr>
                  <w:szCs w:val="21"/>
                </w:rPr>
                <w:tab/>
                <w:t>提供铁路运营服务</w:t>
              </w:r>
            </w:p>
            <w:p w:rsidR="003F1EB0" w:rsidRPr="003F1EB0" w:rsidRDefault="003F1EB0" w:rsidP="003F1EB0">
              <w:pPr>
                <w:rPr>
                  <w:szCs w:val="21"/>
                </w:rPr>
              </w:pPr>
            </w:p>
            <w:p w:rsidR="00806678" w:rsidRDefault="003F1EB0">
              <w:pPr>
                <w:rPr>
                  <w:szCs w:val="21"/>
                </w:rPr>
              </w:pPr>
              <w:r w:rsidRPr="003F1EB0">
                <w:rPr>
                  <w:rFonts w:hint="eastAsia"/>
                  <w:szCs w:val="21"/>
                </w:rPr>
                <w:t>本集团受其他铁路系统内企业的委托，提供受托线路范围内的运输设备、设施维护等代管代维修服务，按照已完成劳务的进度在一段时间内确认收入。</w:t>
              </w:r>
            </w:p>
          </w:sdtContent>
        </w:sdt>
        <w:p w:rsidR="00806678" w:rsidRDefault="00F80B6C">
          <w:pPr>
            <w:rPr>
              <w:szCs w:val="21"/>
            </w:rPr>
          </w:pPr>
        </w:p>
      </w:sdtContent>
    </w:sdt>
    <w:bookmarkEnd w:id="148" w:displacedByCustomXml="prev"/>
    <w:bookmarkStart w:id="149" w:name="_Hlk533668087" w:displacedByCustomXml="next"/>
    <w:sdt>
      <w:sdtPr>
        <w:rPr>
          <w:rFonts w:ascii="宋体" w:eastAsia="宋体" w:hAnsi="宋体" w:cs="宋体" w:hint="eastAsia"/>
          <w:b w:val="0"/>
          <w:bCs w:val="0"/>
          <w:kern w:val="0"/>
          <w:szCs w:val="21"/>
        </w:rPr>
        <w:alias w:val="模块:同类业务采用不同经营模式导致收入确认会计政策存在差异的情况"/>
        <w:tag w:val="_SEC_502969bc54cf47dd9cfa68a9ddc4e556"/>
        <w:id w:val="1780446981"/>
        <w:lock w:val="sdtLocked"/>
        <w:placeholder>
          <w:docPart w:val="GBC22222222222222222222222222222"/>
        </w:placeholder>
      </w:sdtPr>
      <w:sdtEndPr>
        <w:rPr>
          <w:rFonts w:hint="default"/>
        </w:rPr>
      </w:sdtEndPr>
      <w:sdtContent>
        <w:p w:rsidR="00806678" w:rsidRDefault="00B16377" w:rsidP="00FF17C7">
          <w:pPr>
            <w:pStyle w:val="4"/>
            <w:numPr>
              <w:ilvl w:val="3"/>
              <w:numId w:val="118"/>
            </w:numPr>
            <w:ind w:left="426" w:hanging="426"/>
            <w:rPr>
              <w:szCs w:val="21"/>
            </w:rPr>
          </w:pPr>
          <w:r>
            <w:rPr>
              <w:rFonts w:ascii="宋体" w:eastAsia="宋体" w:hAnsi="宋体" w:cs="宋体" w:hint="eastAsia"/>
              <w:bCs w:val="0"/>
              <w:kern w:val="0"/>
              <w:szCs w:val="21"/>
            </w:rPr>
            <w:t>同类业务采用不同经营模式导致收入确认会计政策存在差异的情况</w:t>
          </w:r>
        </w:p>
        <w:sdt>
          <w:sdtPr>
            <w:rPr>
              <w:szCs w:val="21"/>
            </w:rPr>
            <w:alias w:val="是否适用：同类业务采用不同经营模式导致收入确认会计政策存在差异的情况[双击切换]"/>
            <w:tag w:val="_GBC_778cfed951bb4cf4997e2d67e4b1e3a9"/>
            <w:id w:val="-1445065268"/>
            <w:lock w:val="sdtLocked"/>
            <w:placeholder>
              <w:docPart w:val="GBC22222222222222222222222222222"/>
            </w:placeholder>
          </w:sdtPr>
          <w:sdtContent>
            <w:p w:rsidR="00806678" w:rsidRDefault="00F80B6C" w:rsidP="003F1EB0">
              <w:pPr>
                <w:rPr>
                  <w:szCs w:val="21"/>
                </w:rPr>
              </w:pPr>
              <w:r>
                <w:rPr>
                  <w:szCs w:val="21"/>
                </w:rPr>
                <w:fldChar w:fldCharType="begin"/>
              </w:r>
              <w:r w:rsidR="003F1EB0">
                <w:rPr>
                  <w:szCs w:val="21"/>
                </w:rPr>
                <w:instrText xml:space="preserve"> MACROBUTTON  SnrToggleCheckbox □适用 </w:instrText>
              </w:r>
              <w:r>
                <w:rPr>
                  <w:szCs w:val="21"/>
                </w:rPr>
                <w:fldChar w:fldCharType="end"/>
              </w:r>
              <w:r>
                <w:rPr>
                  <w:szCs w:val="21"/>
                </w:rPr>
                <w:fldChar w:fldCharType="begin"/>
              </w:r>
              <w:r w:rsidR="003F1EB0">
                <w:rPr>
                  <w:szCs w:val="21"/>
                </w:rPr>
                <w:instrText xml:space="preserve"> MACROBUTTON  SnrToggleCheckbox √不适用 </w:instrText>
              </w:r>
              <w:r>
                <w:rPr>
                  <w:szCs w:val="21"/>
                </w:rPr>
                <w:fldChar w:fldCharType="end"/>
              </w:r>
            </w:p>
          </w:sdtContent>
        </w:sdt>
        <w:p w:rsidR="00806678" w:rsidRDefault="00F80B6C">
          <w:pPr>
            <w:rPr>
              <w:szCs w:val="21"/>
            </w:rPr>
          </w:pPr>
        </w:p>
      </w:sdtContent>
    </w:sdt>
    <w:bookmarkEnd w:id="149" w:displacedByCustomXml="prev"/>
    <w:bookmarkStart w:id="150" w:name="_Hlk533668133" w:displacedByCustomXml="next"/>
    <w:sdt>
      <w:sdtPr>
        <w:rPr>
          <w:rFonts w:ascii="宋体" w:hAnsi="宋体" w:cs="宋体" w:hint="eastAsia"/>
          <w:b w:val="0"/>
          <w:bCs w:val="0"/>
          <w:kern w:val="0"/>
          <w:szCs w:val="21"/>
        </w:rPr>
        <w:alias w:val="模块:合同成本"/>
        <w:tag w:val="_SEC_27ff142af5d04d4aac9aad3af48e3716"/>
        <w:id w:val="-330994375"/>
        <w:lock w:val="sdtLocked"/>
        <w:placeholder>
          <w:docPart w:val="GBC22222222222222222222222222222"/>
        </w:placeholder>
      </w:sdtPr>
      <w:sdtEndPr>
        <w:rPr>
          <w:rFonts w:hint="default"/>
        </w:rPr>
      </w:sdtEndPr>
      <w:sdtContent>
        <w:p w:rsidR="00806678" w:rsidRDefault="00B16377" w:rsidP="00FF17C7">
          <w:pPr>
            <w:pStyle w:val="3"/>
            <w:numPr>
              <w:ilvl w:val="0"/>
              <w:numId w:val="39"/>
            </w:numPr>
            <w:rPr>
              <w:szCs w:val="21"/>
            </w:rPr>
          </w:pPr>
          <w:r>
            <w:rPr>
              <w:rFonts w:hint="eastAsia"/>
              <w:szCs w:val="21"/>
            </w:rPr>
            <w:t>合同成本</w:t>
          </w:r>
        </w:p>
        <w:sdt>
          <w:sdtPr>
            <w:alias w:val="是否适用：合同成本_重要会计政策和估计[双击切换]"/>
            <w:tag w:val="_GBC_c5b4accd569d48e8a81ed05eb0bf64fb"/>
            <w:id w:val="-1347100689"/>
            <w:lock w:val="sdtLocked"/>
            <w:placeholder>
              <w:docPart w:val="GBC22222222222222222222222222222"/>
            </w:placeholder>
          </w:sdtPr>
          <w:sdtContent>
            <w:p w:rsidR="008C237C" w:rsidRDefault="00F80B6C" w:rsidP="003F1EB0">
              <w:r>
                <w:fldChar w:fldCharType="begin"/>
              </w:r>
              <w:r w:rsidR="003F1EB0">
                <w:instrText xml:space="preserve"> MACROBUTTON  SnrToggleCheckbox √适用 </w:instrText>
              </w:r>
              <w:r>
                <w:fldChar w:fldCharType="end"/>
              </w:r>
              <w:r>
                <w:fldChar w:fldCharType="begin"/>
              </w:r>
              <w:r w:rsidR="003F1EB0">
                <w:instrText xml:space="preserve"> MACROBUTTON  SnrToggleCheckbox □不适用 </w:instrText>
              </w:r>
              <w:r>
                <w:fldChar w:fldCharType="end"/>
              </w:r>
            </w:p>
            <w:p w:rsidR="00806678" w:rsidRDefault="00F80B6C" w:rsidP="003F1EB0"/>
          </w:sdtContent>
        </w:sdt>
        <w:sdt>
          <w:sdtPr>
            <w:alias w:val="合同成本_重要会计政策和估计"/>
            <w:tag w:val="_GBC_74258d199b3d4540b8df00b35751b505"/>
            <w:id w:val="1911038079"/>
            <w:lock w:val="sdtLocked"/>
          </w:sdtPr>
          <w:sdtContent>
            <w:p w:rsidR="00BE588C" w:rsidRDefault="00BE588C" w:rsidP="00BE588C">
              <w:r>
                <w:rPr>
                  <w:rFonts w:hint="eastAsia"/>
                </w:rPr>
                <w:t>合同成本包括为取得合同发生的增量成本及合同履约成本。</w:t>
              </w:r>
            </w:p>
            <w:p w:rsidR="00BE588C" w:rsidRDefault="00BE588C" w:rsidP="00BE588C"/>
            <w:p w:rsidR="00BE588C" w:rsidRDefault="00BE588C" w:rsidP="00BE588C">
              <w:r>
                <w:rPr>
                  <w:rFonts w:hint="eastAsia"/>
                </w:rPr>
                <w:t>为取得合同发生的增量成本是指本集团不取得合同就不会发生的成本</w:t>
              </w:r>
              <w:r>
                <w:t xml:space="preserve"> (如销售佣金等) 。该成本预期能够收回的，本集团将其作为合同取得成本确认为一项资产。本集团为取得合同发生的、除预期能够收回的增量成本之外的其他支出于发生时计入当期损益。</w:t>
              </w:r>
            </w:p>
            <w:p w:rsidR="00BE588C" w:rsidRDefault="00BE588C" w:rsidP="00BE588C"/>
            <w:p w:rsidR="00BE588C" w:rsidRDefault="00BE588C" w:rsidP="00BE588C">
              <w:r>
                <w:rPr>
                  <w:rFonts w:hint="eastAsia"/>
                </w:rPr>
                <w:t>为履行合同发生的成本，不属于存货等其他企业会计准则规范范围且同时满足下列条件的，本集团将其作为合同履约成本确认为一项资产：</w:t>
              </w:r>
            </w:p>
            <w:p w:rsidR="00BE588C" w:rsidRDefault="00BE588C" w:rsidP="00BE588C"/>
            <w:p w:rsidR="00BE588C" w:rsidRDefault="00BE588C" w:rsidP="00BE588C">
              <w:r>
                <w:lastRenderedPageBreak/>
                <w:t>-</w:t>
              </w:r>
              <w:r>
                <w:tab/>
                <w:t>该成本与一份当前或预期取得的合同直接相关，包括直接人工、直接材料、制造费用 (或类似费用) 、明确由客户承担的成本以及仅因该合同而发生的其他成本；</w:t>
              </w:r>
            </w:p>
            <w:p w:rsidR="00BE588C" w:rsidRDefault="00BE588C" w:rsidP="00BE588C">
              <w:r>
                <w:t>-</w:t>
              </w:r>
              <w:r>
                <w:tab/>
                <w:t>该成本增加了本集团未来用于履行履约义务的资源；</w:t>
              </w:r>
            </w:p>
            <w:p w:rsidR="00BE588C" w:rsidRDefault="00BE588C" w:rsidP="00BE588C">
              <w:r>
                <w:t>-</w:t>
              </w:r>
              <w:r>
                <w:tab/>
                <w:t>该成本预期能够收回。</w:t>
              </w:r>
            </w:p>
            <w:p w:rsidR="00BE588C" w:rsidRDefault="00BE588C" w:rsidP="00BE588C"/>
            <w:p w:rsidR="00BE588C" w:rsidRDefault="00BE588C" w:rsidP="00BE588C">
              <w:r>
                <w:rPr>
                  <w:rFonts w:hint="eastAsia"/>
                </w:rPr>
                <w:t>合同取得成本确认的资产和合同履约成本确认的资产</w:t>
              </w:r>
              <w:r>
                <w:t xml:space="preserve"> (以下简称“与合同成本有关的资产”) 采用与该资产相关的商品或服务收入确认相同的基础进行摊销，计入当期损益。合同取得成本确认的资产摊销期限不超过一年的，在发生时计入当期损益。</w:t>
              </w:r>
            </w:p>
            <w:p w:rsidR="00BE588C" w:rsidRDefault="00BE588C" w:rsidP="00BE588C"/>
            <w:p w:rsidR="00BE588C" w:rsidRDefault="00BE588C" w:rsidP="00BE588C">
              <w:r>
                <w:rPr>
                  <w:rFonts w:hint="eastAsia"/>
                </w:rPr>
                <w:t>当与合同成本有关的资产的账面价值高于下列两项的差额时，本集团对超出部分计提减值准备，并确认为资产减值损失：</w:t>
              </w:r>
            </w:p>
            <w:p w:rsidR="00BE588C" w:rsidRDefault="00BE588C" w:rsidP="00BE588C"/>
            <w:p w:rsidR="00BE588C" w:rsidRDefault="00BE588C" w:rsidP="00BE588C">
              <w:r>
                <w:t>-</w:t>
              </w:r>
              <w:r>
                <w:tab/>
                <w:t>本集团因转让与该资产相关的商品或服务预期能够取得的剩余对价；</w:t>
              </w:r>
            </w:p>
            <w:p w:rsidR="003F1EB0" w:rsidRDefault="00BE588C" w:rsidP="00601D47">
              <w:r>
                <w:t>-</w:t>
              </w:r>
              <w:r>
                <w:tab/>
                <w:t>为转让该相关商品或服务估计将要发生的成本。</w:t>
              </w:r>
            </w:p>
          </w:sdtContent>
        </w:sdt>
        <w:p w:rsidR="00806678" w:rsidRDefault="00F80B6C">
          <w:pPr>
            <w:rPr>
              <w:szCs w:val="21"/>
            </w:rPr>
          </w:pPr>
        </w:p>
      </w:sdtContent>
    </w:sdt>
    <w:bookmarkEnd w:id="150" w:displacedByCustomXml="prev"/>
    <w:bookmarkStart w:id="151" w:name="_Hlk533668149" w:displacedByCustomXml="next"/>
    <w:sdt>
      <w:sdtPr>
        <w:rPr>
          <w:rFonts w:ascii="宋体" w:hAnsi="宋体" w:cs="宋体"/>
          <w:b w:val="0"/>
          <w:bCs w:val="0"/>
          <w:kern w:val="0"/>
          <w:szCs w:val="24"/>
        </w:rPr>
        <w:alias w:val="模块:政府补助会计处理方法"/>
        <w:tag w:val="_GBC_b03bd816e50b42ae97b660897ca33234"/>
        <w:id w:val="-1856723588"/>
        <w:lock w:val="sdtLocked"/>
        <w:placeholder>
          <w:docPart w:val="GBC22222222222222222222222222222"/>
        </w:placeholder>
      </w:sdtPr>
      <w:sdtEndPr>
        <w:rPr>
          <w:b/>
          <w:bCs/>
          <w:szCs w:val="21"/>
        </w:rPr>
      </w:sdtEndPr>
      <w:sdtContent>
        <w:p w:rsidR="00806678" w:rsidRDefault="00B16377" w:rsidP="00FF17C7">
          <w:pPr>
            <w:pStyle w:val="3"/>
            <w:numPr>
              <w:ilvl w:val="0"/>
              <w:numId w:val="39"/>
            </w:numPr>
          </w:pPr>
          <w:r>
            <w:t>政府补助</w:t>
          </w:r>
        </w:p>
        <w:sdt>
          <w:sdtPr>
            <w:alias w:val="是否适用：政府补助_重要会计政策和估计[双击切换]"/>
            <w:tag w:val="_GBC_d8ac76c6a68c49fb952fadc0e46c9ef4"/>
            <w:id w:val="-1895878804"/>
            <w:lock w:val="sdtLocked"/>
            <w:placeholder>
              <w:docPart w:val="GBC22222222222222222222222222222"/>
            </w:placeholder>
          </w:sdtPr>
          <w:sdtContent>
            <w:p w:rsidR="008C237C" w:rsidRDefault="00F80B6C">
              <w:r>
                <w:fldChar w:fldCharType="begin"/>
              </w:r>
              <w:r w:rsidR="00BE588C">
                <w:instrText xml:space="preserve"> MACROBUTTON  SnrToggleCheckbox √适用 </w:instrText>
              </w:r>
              <w:r>
                <w:fldChar w:fldCharType="end"/>
              </w:r>
              <w:r>
                <w:fldChar w:fldCharType="begin"/>
              </w:r>
              <w:r w:rsidR="00BE588C">
                <w:instrText xml:space="preserve"> MACROBUTTON  SnrToggleCheckbox □不适用 </w:instrText>
              </w:r>
              <w:r>
                <w:fldChar w:fldCharType="end"/>
              </w:r>
            </w:p>
            <w:p w:rsidR="00806678" w:rsidRDefault="00F80B6C"/>
          </w:sdtContent>
        </w:sdt>
        <w:sdt>
          <w:sdtPr>
            <w:alias w:val="政府补助_重要会计政策和估计"/>
            <w:tag w:val="_GBC_cbcbe4da2edd4cf1b6108f1c89e035f7"/>
            <w:id w:val="-390042907"/>
            <w:lock w:val="sdtLocked"/>
            <w:placeholder>
              <w:docPart w:val="GBC22222222222222222222222222222"/>
            </w:placeholder>
          </w:sdtPr>
          <w:sdtContent>
            <w:p w:rsidR="00BE588C" w:rsidRDefault="00BE588C" w:rsidP="00BE588C">
              <w:r>
                <w:rPr>
                  <w:rFonts w:hint="eastAsia"/>
                </w:rPr>
                <w:t>政府补助是本集团从政府无偿取得的货币性资产或非货币性资产，但不包括政府以投资者身份向本集团投入的资本。</w:t>
              </w:r>
            </w:p>
            <w:p w:rsidR="00BE588C" w:rsidRDefault="00BE588C" w:rsidP="00BE588C"/>
            <w:p w:rsidR="00BE588C" w:rsidRDefault="00BE588C" w:rsidP="00BE588C">
              <w:r>
                <w:rPr>
                  <w:rFonts w:hint="eastAsia"/>
                </w:rPr>
                <w:t>政府补助在能够满足政府补助所附条件，并能够收到时，予以确认。</w:t>
              </w:r>
            </w:p>
            <w:p w:rsidR="00BE588C" w:rsidRDefault="00BE588C" w:rsidP="00BE588C"/>
            <w:p w:rsidR="00BE588C" w:rsidRDefault="00BE588C" w:rsidP="00BE588C">
              <w:r>
                <w:rPr>
                  <w:rFonts w:hint="eastAsia"/>
                </w:rPr>
                <w:t>政府补助为货币性资产的，按照收到或应收的金额计量。政府补助为非货币性资产的，按照公允价值计量。</w:t>
              </w:r>
            </w:p>
            <w:p w:rsidR="00BE588C" w:rsidRDefault="00BE588C" w:rsidP="00BE588C"/>
            <w:p w:rsidR="00BE588C" w:rsidRDefault="00BE588C" w:rsidP="00BE588C">
              <w:r>
                <w:rPr>
                  <w:rFonts w:hint="eastAsia"/>
                </w:rPr>
                <w:t>本集团取得的、用于购建或以其他方式形成长期资产的政府补助作为与资产相关的政府补助。本集团取得的与资产相关之外的其他政府补助作为与收益相关的政府补助。与资产相关的政府补助，本集团将其确认为递延收益，并在相关资产使用寿命内按照合理、系统的方法分期计入其他收益或营业外收入。</w:t>
              </w:r>
            </w:p>
            <w:p w:rsidR="00BE588C" w:rsidRDefault="00BE588C" w:rsidP="00BE588C"/>
            <w:p w:rsidR="00806678" w:rsidRDefault="00BE588C" w:rsidP="00BE588C">
              <w:r>
                <w:rPr>
                  <w:rFonts w:hint="eastAsia"/>
                </w:rPr>
                <w:t>与收益相关的政府补助，如果用于补偿本集团以后期间的相关成本费用或损失的，本集团将其确认为递延收益，并在确认相关成本费用或损失的期间，计入其他收益或营业外收入；如果用于补偿本集团已发生的相关成本费用或损失的，则直接计入其他收益或营业外收入。</w:t>
              </w:r>
            </w:p>
          </w:sdtContent>
        </w:sdt>
        <w:p w:rsidR="00806678" w:rsidRDefault="00F80B6C"/>
      </w:sdtContent>
    </w:sdt>
    <w:bookmarkEnd w:id="151" w:displacedByCustomXml="prev"/>
    <w:sdt>
      <w:sdtPr>
        <w:rPr>
          <w:rFonts w:asciiTheme="minorHAnsi" w:hAnsiTheme="minorHAnsi" w:cs="宋体"/>
          <w:b w:val="0"/>
          <w:bCs w:val="0"/>
          <w:kern w:val="0"/>
          <w:szCs w:val="22"/>
        </w:rPr>
        <w:alias w:val="模块:递延所得税资产/递延所得税负债会计处理方法"/>
        <w:tag w:val="_GBC_01f1973e44f24cd99b90200f8205be13"/>
        <w:id w:val="-330139030"/>
        <w:lock w:val="sdtLocked"/>
        <w:placeholder>
          <w:docPart w:val="GBC22222222222222222222222222222"/>
        </w:placeholder>
      </w:sdtPr>
      <w:sdtEndPr>
        <w:rPr>
          <w:rFonts w:ascii="宋体" w:hAnsi="宋体" w:cs="Times New Roman" w:hint="eastAsia"/>
          <w:kern w:val="2"/>
          <w:szCs w:val="21"/>
        </w:rPr>
      </w:sdtEndPr>
      <w:sdtContent>
        <w:p w:rsidR="00806678" w:rsidRDefault="00B16377" w:rsidP="00FF17C7">
          <w:pPr>
            <w:pStyle w:val="3"/>
            <w:numPr>
              <w:ilvl w:val="0"/>
              <w:numId w:val="39"/>
            </w:numPr>
          </w:pPr>
          <w:r>
            <w:t>递延所得税资产</w:t>
          </w:r>
          <w:r>
            <w:t>/</w:t>
          </w:r>
          <w:r>
            <w:t>递延所得税负债</w:t>
          </w:r>
        </w:p>
        <w:sdt>
          <w:sdtPr>
            <w:rPr>
              <w:rFonts w:hint="eastAsia"/>
              <w:szCs w:val="21"/>
            </w:rPr>
            <w:alias w:val="是否适用：所得税的会计处理方法[双击切换]"/>
            <w:tag w:val="_GBC_7e8295f4559b44568e5d37a6a605588c"/>
            <w:id w:val="1605538260"/>
            <w:lock w:val="sdtLocked"/>
            <w:placeholder>
              <w:docPart w:val="GBC22222222222222222222222222222"/>
            </w:placeholder>
          </w:sdtPr>
          <w:sdtContent>
            <w:p w:rsidR="00806678" w:rsidRDefault="00F80B6C">
              <w:pPr>
                <w:rPr>
                  <w:szCs w:val="21"/>
                </w:rPr>
              </w:pPr>
              <w:r>
                <w:rPr>
                  <w:szCs w:val="21"/>
                </w:rPr>
                <w:fldChar w:fldCharType="begin"/>
              </w:r>
              <w:r w:rsidR="00BE588C">
                <w:rPr>
                  <w:szCs w:val="21"/>
                </w:rPr>
                <w:instrText xml:space="preserve"> MACROBUTTON  SnrToggleCheckbox √适用  </w:instrText>
              </w:r>
              <w:r>
                <w:rPr>
                  <w:szCs w:val="21"/>
                </w:rPr>
                <w:fldChar w:fldCharType="end"/>
              </w:r>
              <w:r>
                <w:rPr>
                  <w:szCs w:val="21"/>
                </w:rPr>
                <w:fldChar w:fldCharType="begin"/>
              </w:r>
              <w:r w:rsidR="00BE588C">
                <w:rPr>
                  <w:szCs w:val="21"/>
                </w:rPr>
                <w:instrText xml:space="preserve"> MACROBUTTON  SnrToggleCheckbox □不适用 </w:instrText>
              </w:r>
              <w:r>
                <w:rPr>
                  <w:szCs w:val="21"/>
                </w:rPr>
                <w:fldChar w:fldCharType="end"/>
              </w:r>
            </w:p>
          </w:sdtContent>
        </w:sdt>
        <w:sdt>
          <w:sdtPr>
            <w:rPr>
              <w:rFonts w:hint="eastAsia"/>
              <w:szCs w:val="21"/>
            </w:rPr>
            <w:alias w:val="所得税的会计处理方法"/>
            <w:tag w:val="_GBC_545dd84ed2b9458fa5e2b87aa1e1cc1c"/>
            <w:id w:val="-285895802"/>
            <w:lock w:val="sdtLocked"/>
            <w:placeholder>
              <w:docPart w:val="GBC22222222222222222222222222222"/>
            </w:placeholder>
          </w:sdtPr>
          <w:sdtContent>
            <w:p w:rsidR="00BE588C" w:rsidRDefault="00BE588C" w:rsidP="00BE588C">
              <w:pPr>
                <w:rPr>
                  <w:szCs w:val="21"/>
                </w:rPr>
              </w:pPr>
              <w:r w:rsidRPr="00BE588C">
                <w:rPr>
                  <w:rFonts w:hint="eastAsia"/>
                  <w:szCs w:val="21"/>
                </w:rPr>
                <w:t>除因企业合并和直接计入所有者权益</w:t>
              </w:r>
              <w:r w:rsidRPr="00BE588C">
                <w:rPr>
                  <w:szCs w:val="21"/>
                </w:rPr>
                <w:t xml:space="preserve"> (包括其他综合收益) 的交易或者事项产生的所得税外，本集团将当期所得税和递延所得税计入当期损益。</w:t>
              </w:r>
            </w:p>
            <w:p w:rsidR="00BE588C" w:rsidRPr="00BE588C" w:rsidRDefault="00BE588C" w:rsidP="00BE588C">
              <w:pPr>
                <w:rPr>
                  <w:szCs w:val="21"/>
                </w:rPr>
              </w:pPr>
            </w:p>
            <w:p w:rsidR="00BE588C" w:rsidRDefault="00BE588C" w:rsidP="00BE588C">
              <w:pPr>
                <w:rPr>
                  <w:szCs w:val="21"/>
                </w:rPr>
              </w:pPr>
              <w:r w:rsidRPr="00BE588C">
                <w:rPr>
                  <w:rFonts w:hint="eastAsia"/>
                  <w:szCs w:val="21"/>
                </w:rPr>
                <w:t>当期所得税是按本年度应税所得额，根据税法规定的税率计算的预期应交所得税，加上以往年度应付所得税的调整。</w:t>
              </w:r>
            </w:p>
            <w:p w:rsidR="00BE588C" w:rsidRPr="00BE588C" w:rsidRDefault="00BE588C" w:rsidP="00BE588C">
              <w:pPr>
                <w:rPr>
                  <w:szCs w:val="21"/>
                </w:rPr>
              </w:pPr>
            </w:p>
            <w:p w:rsidR="00BE588C" w:rsidRPr="00BE588C" w:rsidRDefault="00BE588C" w:rsidP="00BE588C">
              <w:pPr>
                <w:rPr>
                  <w:szCs w:val="21"/>
                </w:rPr>
              </w:pPr>
              <w:r w:rsidRPr="00BE588C">
                <w:rPr>
                  <w:rFonts w:hint="eastAsia"/>
                  <w:szCs w:val="21"/>
                </w:rPr>
                <w:lastRenderedPageBreak/>
                <w:t>资产负债表日，如果本集团拥有以净额结算的法定权利并且意图以净额结算或取得资产、清偿负债同时进行时，那么当期所得税资产及当期所得税负债以抵销后的净额列示。</w:t>
              </w:r>
            </w:p>
            <w:p w:rsidR="00BE588C" w:rsidRPr="00BE588C" w:rsidRDefault="00BE588C" w:rsidP="00BE588C">
              <w:pPr>
                <w:rPr>
                  <w:szCs w:val="21"/>
                </w:rPr>
              </w:pPr>
              <w:r w:rsidRPr="00BE588C">
                <w:rPr>
                  <w:rFonts w:hint="eastAsia"/>
                  <w:szCs w:val="21"/>
                </w:rPr>
                <w:t>递延所得税资产与递延所得税负债分别根据可抵扣暂时性差异和应纳税暂时性差异确定。暂时性差异是指资产或负债的账面价值与其计税基础之间的差额，包括能够结转以后年度的可抵扣亏损和税款抵减。递延所得税资产的确认以很可能取得用来抵扣可抵扣暂时性差异的应纳税所得额为限。</w:t>
              </w:r>
            </w:p>
            <w:p w:rsidR="00BE588C" w:rsidRDefault="00BE588C" w:rsidP="00BE588C">
              <w:pPr>
                <w:rPr>
                  <w:szCs w:val="21"/>
                </w:rPr>
              </w:pPr>
              <w:r w:rsidRPr="00BE588C">
                <w:rPr>
                  <w:rFonts w:hint="eastAsia"/>
                  <w:szCs w:val="21"/>
                </w:rPr>
                <w:t>如果不属于企业合并交易且交易发生时既不影响会计利润也不影响应纳税所得额</w:t>
              </w:r>
              <w:r w:rsidRPr="00BE588C">
                <w:rPr>
                  <w:szCs w:val="21"/>
                </w:rPr>
                <w:t xml:space="preserve"> (或可抵扣亏损)，则该项交易中产生的暂时性差异不会产生递延所得税。商誉的初始确认导致的暂时性差异也不产生相关的递延所得税。</w:t>
              </w:r>
            </w:p>
            <w:p w:rsidR="00BE588C" w:rsidRPr="00BE588C" w:rsidRDefault="00BE588C" w:rsidP="00BE588C">
              <w:pPr>
                <w:rPr>
                  <w:szCs w:val="21"/>
                </w:rPr>
              </w:pPr>
            </w:p>
            <w:p w:rsidR="00BE588C" w:rsidRPr="00BE588C" w:rsidRDefault="00BE588C" w:rsidP="00BE588C">
              <w:pPr>
                <w:rPr>
                  <w:szCs w:val="21"/>
                </w:rPr>
              </w:pPr>
              <w:r w:rsidRPr="00BE588C">
                <w:rPr>
                  <w:rFonts w:hint="eastAsia"/>
                  <w:szCs w:val="21"/>
                </w:rPr>
                <w:t>资产负债表日，本集团根据递延所得税资产和负债的预期收回或结算方式，依据已颁布的税法规定，按照预期收回该资产或清偿该负债期间的适用税率计量该递延所得税资产和负债的账面金额。</w:t>
              </w:r>
            </w:p>
            <w:p w:rsidR="00BE588C" w:rsidRDefault="00BE588C" w:rsidP="00BE588C">
              <w:pPr>
                <w:rPr>
                  <w:szCs w:val="21"/>
                </w:rPr>
              </w:pPr>
              <w:r w:rsidRPr="00BE588C">
                <w:rPr>
                  <w:rFonts w:hint="eastAsia"/>
                  <w:szCs w:val="21"/>
                </w:rPr>
                <w:t>资产负债表日，本集团对递延所得税资产的账面价值进行复核。如果未来期间很可能无法获得足够的应纳税所得额用以抵扣递延所得税资产的利益，则减记递延所得税资产的账面价值。在很可能获得足够的应纳税所得额时，减记的金额予以转回。</w:t>
              </w:r>
            </w:p>
            <w:p w:rsidR="00BE588C" w:rsidRPr="00BE588C" w:rsidRDefault="00BE588C" w:rsidP="00BE588C">
              <w:pPr>
                <w:rPr>
                  <w:szCs w:val="21"/>
                </w:rPr>
              </w:pPr>
            </w:p>
            <w:p w:rsidR="00BE588C" w:rsidRDefault="00BE588C" w:rsidP="00BE588C">
              <w:pPr>
                <w:rPr>
                  <w:szCs w:val="21"/>
                </w:rPr>
              </w:pPr>
              <w:r w:rsidRPr="00BE588C">
                <w:rPr>
                  <w:rFonts w:hint="eastAsia"/>
                  <w:szCs w:val="21"/>
                </w:rPr>
                <w:t>资产负债表日，递延所得税资产及递延所得税负债在同时满足以下条件时以抵销后的净额列示：</w:t>
              </w:r>
            </w:p>
            <w:p w:rsidR="00BE588C" w:rsidRPr="00BE588C" w:rsidRDefault="00BE588C" w:rsidP="00BE588C">
              <w:pPr>
                <w:rPr>
                  <w:szCs w:val="21"/>
                </w:rPr>
              </w:pPr>
            </w:p>
            <w:p w:rsidR="00BE588C" w:rsidRDefault="00BE588C" w:rsidP="00BE588C">
              <w:pPr>
                <w:rPr>
                  <w:szCs w:val="21"/>
                </w:rPr>
              </w:pPr>
              <w:r w:rsidRPr="00BE588C">
                <w:rPr>
                  <w:szCs w:val="21"/>
                </w:rPr>
                <w:t>- 纳税主体拥有以净额结算当期所得税资产及当期所得税负债的法定权利；</w:t>
              </w:r>
            </w:p>
            <w:p w:rsidR="00BE588C" w:rsidRDefault="00BE588C" w:rsidP="00BE588C">
              <w:pPr>
                <w:rPr>
                  <w:szCs w:val="21"/>
                </w:rPr>
              </w:pPr>
            </w:p>
            <w:p w:rsidR="00806678" w:rsidRDefault="00BE588C" w:rsidP="00BE588C">
              <w:pPr>
                <w:rPr>
                  <w:szCs w:val="21"/>
                </w:rPr>
              </w:pPr>
              <w:r>
                <w:rPr>
                  <w:szCs w:val="21"/>
                </w:rPr>
                <w:t xml:space="preserve">- </w:t>
              </w:r>
              <w:r>
                <w:rPr>
                  <w:rFonts w:hint="eastAsia"/>
                  <w:szCs w:val="21"/>
                </w:rPr>
                <w:t>递延所得税资产及递延所得税负债是与同一税收征管部门对同一纳税主体征收的所得税相关或者是对不同的纳税主体相关，但在未来每一具有重要性的递延所得税资产及负债转回的期间内，涉及的纳税主体意图以净额结算当期所得税资产和负债或是同时取得资产、清偿负债。</w:t>
              </w:r>
            </w:p>
          </w:sdtContent>
        </w:sdt>
      </w:sdtContent>
    </w:sdt>
    <w:p w:rsidR="00806678" w:rsidRDefault="00806678">
      <w:pPr>
        <w:rPr>
          <w:szCs w:val="21"/>
        </w:rPr>
      </w:pPr>
    </w:p>
    <w:p w:rsidR="00806678" w:rsidRDefault="00B16377" w:rsidP="00FF17C7">
      <w:pPr>
        <w:pStyle w:val="3"/>
        <w:numPr>
          <w:ilvl w:val="0"/>
          <w:numId w:val="39"/>
        </w:numPr>
      </w:pPr>
      <w:r>
        <w:t>租赁</w:t>
      </w:r>
    </w:p>
    <w:sdt>
      <w:sdtPr>
        <w:rPr>
          <w:rFonts w:ascii="宋体" w:eastAsia="宋体" w:hAnsi="宋体" w:cs="宋体" w:hint="eastAsia"/>
          <w:b w:val="0"/>
          <w:bCs w:val="0"/>
          <w:kern w:val="0"/>
          <w:szCs w:val="24"/>
        </w:rPr>
        <w:alias w:val="模块:经营租赁的会计处理方法  "/>
        <w:tag w:val="_SEC_665d95d9f6c04c32831b2a4fc303e11c"/>
        <w:id w:val="-192158250"/>
        <w:lock w:val="sdtLocked"/>
        <w:placeholder>
          <w:docPart w:val="GBC22222222222222222222222222222"/>
        </w:placeholder>
      </w:sdtPr>
      <w:sdtEndPr>
        <w:rPr>
          <w:rFonts w:hint="default"/>
          <w:szCs w:val="21"/>
        </w:rPr>
      </w:sdtEndPr>
      <w:sdtContent>
        <w:p w:rsidR="00806678" w:rsidRDefault="00B16377" w:rsidP="00FF17C7">
          <w:pPr>
            <w:pStyle w:val="4"/>
            <w:numPr>
              <w:ilvl w:val="3"/>
              <w:numId w:val="75"/>
            </w:numPr>
            <w:ind w:left="426" w:hanging="426"/>
          </w:pPr>
          <w:r>
            <w:rPr>
              <w:rFonts w:hint="eastAsia"/>
            </w:rPr>
            <w:t>经营租赁的会计处理方法</w:t>
          </w:r>
        </w:p>
        <w:sdt>
          <w:sdtPr>
            <w:rPr>
              <w:rFonts w:hint="eastAsia"/>
              <w:szCs w:val="21"/>
            </w:rPr>
            <w:alias w:val="是否适用：经营租赁的会计处理方法[双击切换]"/>
            <w:tag w:val="_GBC_95cb2bae8f5047ec8fbc3c0ebf30481e"/>
            <w:id w:val="-657837179"/>
            <w:lock w:val="sdtLocked"/>
            <w:placeholder>
              <w:docPart w:val="GBC22222222222222222222222222222"/>
            </w:placeholder>
          </w:sdtPr>
          <w:sdtContent>
            <w:p w:rsidR="00806678" w:rsidRDefault="00F80B6C" w:rsidP="00C1672E">
              <w:pPr>
                <w:rPr>
                  <w:szCs w:val="21"/>
                </w:rPr>
              </w:pPr>
              <w:r>
                <w:rPr>
                  <w:szCs w:val="21"/>
                </w:rPr>
                <w:fldChar w:fldCharType="begin"/>
              </w:r>
              <w:r w:rsidR="00C1672E">
                <w:rPr>
                  <w:szCs w:val="21"/>
                </w:rPr>
                <w:instrText xml:space="preserve"> MACROBUTTON  SnrToggleCheckbox □适用  </w:instrText>
              </w:r>
              <w:r>
                <w:rPr>
                  <w:szCs w:val="21"/>
                </w:rPr>
                <w:fldChar w:fldCharType="end"/>
              </w:r>
              <w:r>
                <w:rPr>
                  <w:szCs w:val="21"/>
                </w:rPr>
                <w:fldChar w:fldCharType="begin"/>
              </w:r>
              <w:r w:rsidR="00C1672E">
                <w:rPr>
                  <w:szCs w:val="21"/>
                </w:rPr>
                <w:instrText xml:space="preserve"> MACROBUTTON  SnrToggleCheckbox √不适用 </w:instrText>
              </w:r>
              <w:r>
                <w:rPr>
                  <w:szCs w:val="21"/>
                </w:rPr>
                <w:fldChar w:fldCharType="end"/>
              </w:r>
            </w:p>
          </w:sdtContent>
        </w:sdt>
        <w:p w:rsidR="00806678" w:rsidRDefault="00F80B6C">
          <w:pPr>
            <w:rPr>
              <w:szCs w:val="21"/>
            </w:rPr>
          </w:pPr>
        </w:p>
      </w:sdtContent>
    </w:sdt>
    <w:sdt>
      <w:sdtPr>
        <w:rPr>
          <w:rFonts w:ascii="宋体" w:eastAsia="宋体" w:hAnsi="宋体" w:cs="宋体" w:hint="eastAsia"/>
          <w:b w:val="0"/>
          <w:bCs w:val="0"/>
          <w:kern w:val="0"/>
          <w:szCs w:val="24"/>
        </w:rPr>
        <w:alias w:val="模块:融资租赁的会计处理方法  "/>
        <w:tag w:val="_SEC_4631e38dda7d4704843f77e4a8e70808"/>
        <w:id w:val="1614710929"/>
        <w:lock w:val="sdtLocked"/>
        <w:placeholder>
          <w:docPart w:val="GBC22222222222222222222222222222"/>
        </w:placeholder>
      </w:sdtPr>
      <w:sdtEndPr>
        <w:rPr>
          <w:rFonts w:hint="default"/>
          <w:szCs w:val="21"/>
        </w:rPr>
      </w:sdtEndPr>
      <w:sdtContent>
        <w:p w:rsidR="00806678" w:rsidRDefault="00B16377" w:rsidP="00FF17C7">
          <w:pPr>
            <w:pStyle w:val="4"/>
            <w:numPr>
              <w:ilvl w:val="3"/>
              <w:numId w:val="75"/>
            </w:numPr>
            <w:ind w:left="426" w:hanging="426"/>
          </w:pPr>
          <w:r>
            <w:rPr>
              <w:rFonts w:hint="eastAsia"/>
            </w:rPr>
            <w:t>融资租赁的会计处理方法</w:t>
          </w:r>
        </w:p>
        <w:sdt>
          <w:sdtPr>
            <w:rPr>
              <w:rFonts w:hint="eastAsia"/>
              <w:szCs w:val="21"/>
            </w:rPr>
            <w:alias w:val="是否适用：融资租赁的会计处理方法[双击切换]"/>
            <w:tag w:val="_GBC_8645a1f3c69c48ed8ae3aadf85145de8"/>
            <w:id w:val="844750459"/>
            <w:lock w:val="sdtLocked"/>
            <w:placeholder>
              <w:docPart w:val="GBC22222222222222222222222222222"/>
            </w:placeholder>
          </w:sdtPr>
          <w:sdtContent>
            <w:p w:rsidR="00806678" w:rsidRDefault="00F80B6C" w:rsidP="00C1672E">
              <w:pPr>
                <w:rPr>
                  <w:szCs w:val="21"/>
                </w:rPr>
              </w:pPr>
              <w:r>
                <w:rPr>
                  <w:szCs w:val="21"/>
                </w:rPr>
                <w:fldChar w:fldCharType="begin"/>
              </w:r>
              <w:r w:rsidR="00C1672E">
                <w:rPr>
                  <w:szCs w:val="21"/>
                </w:rPr>
                <w:instrText xml:space="preserve"> MACROBUTTON  SnrToggleCheckbox □适用  </w:instrText>
              </w:r>
              <w:r>
                <w:rPr>
                  <w:szCs w:val="21"/>
                </w:rPr>
                <w:fldChar w:fldCharType="end"/>
              </w:r>
              <w:r>
                <w:rPr>
                  <w:szCs w:val="21"/>
                </w:rPr>
                <w:fldChar w:fldCharType="begin"/>
              </w:r>
              <w:r w:rsidR="00C1672E">
                <w:rPr>
                  <w:szCs w:val="21"/>
                </w:rPr>
                <w:instrText xml:space="preserve"> MACROBUTTON  SnrToggleCheckbox √不适用 </w:instrText>
              </w:r>
              <w:r>
                <w:rPr>
                  <w:szCs w:val="21"/>
                </w:rPr>
                <w:fldChar w:fldCharType="end"/>
              </w:r>
            </w:p>
          </w:sdtContent>
        </w:sdt>
        <w:p w:rsidR="00806678" w:rsidRDefault="00F80B6C">
          <w:pPr>
            <w:rPr>
              <w:szCs w:val="21"/>
            </w:rPr>
          </w:pPr>
        </w:p>
      </w:sdtContent>
    </w:sdt>
    <w:bookmarkStart w:id="152" w:name="_Hlk23952334" w:displacedByCustomXml="next"/>
    <w:sdt>
      <w:sdtPr>
        <w:rPr>
          <w:rFonts w:ascii="宋体" w:eastAsia="宋体" w:hAnsi="宋体" w:cs="宋体" w:hint="eastAsia"/>
          <w:b w:val="0"/>
          <w:bCs w:val="0"/>
          <w:kern w:val="0"/>
          <w:szCs w:val="24"/>
        </w:rPr>
        <w:alias w:val="模块:新租赁准则下租赁的确定方法及会计处理方法  ____"/>
        <w:tag w:val="_SEC_3c4d5ea1c121414c9a99ab28798ae32c"/>
        <w:id w:val="548193941"/>
        <w:lock w:val="sdtLocked"/>
        <w:placeholder>
          <w:docPart w:val="GBC22222222222222222222222222222"/>
        </w:placeholder>
      </w:sdtPr>
      <w:sdtEndPr>
        <w:rPr>
          <w:color w:val="333399"/>
        </w:rPr>
      </w:sdtEndPr>
      <w:sdtContent>
        <w:p w:rsidR="00806678" w:rsidRDefault="00B16377" w:rsidP="00FF17C7">
          <w:pPr>
            <w:pStyle w:val="4"/>
            <w:numPr>
              <w:ilvl w:val="3"/>
              <w:numId w:val="75"/>
            </w:numPr>
            <w:ind w:left="426" w:hanging="426"/>
          </w:pPr>
          <w:r>
            <w:rPr>
              <w:rFonts w:hint="eastAsia"/>
            </w:rPr>
            <w:t>新租赁准则下租赁的确定方法及会计处理方法</w:t>
          </w:r>
        </w:p>
        <w:sdt>
          <w:sdtPr>
            <w:rPr>
              <w:szCs w:val="21"/>
            </w:rPr>
            <w:alias w:val="是否适用：新租赁准则下租赁的确定方法及会计处理方法[双击切换]"/>
            <w:tag w:val="_GBC_629d4f8551af489f8cef75276ff5cdd4"/>
            <w:id w:val="1305503526"/>
            <w:lock w:val="sdtLocked"/>
            <w:placeholder>
              <w:docPart w:val="GBC22222222222222222222222222222"/>
            </w:placeholder>
          </w:sdtPr>
          <w:sdtContent>
            <w:p w:rsidR="00806678" w:rsidRDefault="00F80B6C">
              <w:pPr>
                <w:rPr>
                  <w:szCs w:val="21"/>
                </w:rPr>
              </w:pPr>
              <w:r>
                <w:rPr>
                  <w:szCs w:val="21"/>
                </w:rPr>
                <w:fldChar w:fldCharType="begin"/>
              </w:r>
              <w:r w:rsidR="00C1672E">
                <w:rPr>
                  <w:szCs w:val="21"/>
                </w:rPr>
                <w:instrText xml:space="preserve"> MACROBUTTON  SnrToggleCheckbox √适用 </w:instrText>
              </w:r>
              <w:r>
                <w:rPr>
                  <w:szCs w:val="21"/>
                </w:rPr>
                <w:fldChar w:fldCharType="end"/>
              </w:r>
              <w:r>
                <w:rPr>
                  <w:szCs w:val="21"/>
                </w:rPr>
                <w:fldChar w:fldCharType="begin"/>
              </w:r>
              <w:r w:rsidR="00C1672E">
                <w:rPr>
                  <w:szCs w:val="21"/>
                </w:rPr>
                <w:instrText xml:space="preserve"> MACROBUTTON  SnrToggleCheckbox □不适用 </w:instrText>
              </w:r>
              <w:r>
                <w:rPr>
                  <w:szCs w:val="21"/>
                </w:rPr>
                <w:fldChar w:fldCharType="end"/>
              </w:r>
            </w:p>
          </w:sdtContent>
        </w:sdt>
        <w:sdt>
          <w:sdtPr>
            <w:rPr>
              <w:szCs w:val="21"/>
            </w:rPr>
            <w:alias w:val="新租赁准则下租赁的确定方法及会计处理方法的说明 "/>
            <w:tag w:val="_GBC_e51bc3b9831d4ea98846993b475a211c"/>
            <w:id w:val="-1342924990"/>
            <w:lock w:val="sdtLocked"/>
            <w:placeholder>
              <w:docPart w:val="GBC22222222222222222222222222222"/>
            </w:placeholder>
          </w:sdtPr>
          <w:sdtContent>
            <w:p w:rsidR="00C1672E" w:rsidRDefault="00C1672E" w:rsidP="00C1672E">
              <w:pPr>
                <w:rPr>
                  <w:szCs w:val="21"/>
                </w:rPr>
              </w:pPr>
              <w:r w:rsidRPr="00C1672E">
                <w:rPr>
                  <w:rFonts w:hint="eastAsia"/>
                  <w:szCs w:val="21"/>
                </w:rPr>
                <w:t>租赁，是指在一定期间内，出租人将资产的使用权让与承租人以获取对价的合同。</w:t>
              </w:r>
            </w:p>
            <w:p w:rsidR="00C1672E" w:rsidRPr="00C1672E" w:rsidRDefault="00C1672E" w:rsidP="00C1672E">
              <w:pPr>
                <w:rPr>
                  <w:szCs w:val="21"/>
                </w:rPr>
              </w:pPr>
            </w:p>
            <w:p w:rsidR="00C1672E" w:rsidRDefault="00C1672E" w:rsidP="00C1672E">
              <w:pPr>
                <w:rPr>
                  <w:szCs w:val="21"/>
                </w:rPr>
              </w:pPr>
              <w:r w:rsidRPr="00C1672E">
                <w:rPr>
                  <w:rFonts w:hint="eastAsia"/>
                  <w:szCs w:val="21"/>
                </w:rPr>
                <w:t>在合同开始日，本集团评估合同是否为租赁或者包含租赁。如果合同中一方让渡了在一定期间内控制一项或多项已识别资产使用的权利以换取对价，则该合同为租赁或者包含租赁。</w:t>
              </w:r>
            </w:p>
            <w:p w:rsidR="00C1672E" w:rsidRPr="00C1672E" w:rsidRDefault="00C1672E" w:rsidP="00C1672E">
              <w:pPr>
                <w:rPr>
                  <w:szCs w:val="21"/>
                </w:rPr>
              </w:pPr>
            </w:p>
            <w:p w:rsidR="00C1672E" w:rsidRDefault="00C1672E" w:rsidP="00C1672E">
              <w:pPr>
                <w:rPr>
                  <w:szCs w:val="21"/>
                </w:rPr>
              </w:pPr>
              <w:r w:rsidRPr="00C1672E">
                <w:rPr>
                  <w:rFonts w:hint="eastAsia"/>
                  <w:szCs w:val="21"/>
                </w:rPr>
                <w:t>为确定合同是否让渡了在一定期间内控制已识别资产使用的权利，本集团进行如下评估：</w:t>
              </w:r>
            </w:p>
            <w:p w:rsidR="00C1672E" w:rsidRPr="00C1672E" w:rsidRDefault="00C1672E" w:rsidP="00C1672E">
              <w:pPr>
                <w:rPr>
                  <w:szCs w:val="21"/>
                </w:rPr>
              </w:pPr>
            </w:p>
            <w:p w:rsidR="00C1672E" w:rsidRDefault="00C1672E" w:rsidP="00C1672E">
              <w:pPr>
                <w:rPr>
                  <w:szCs w:val="21"/>
                </w:rPr>
              </w:pPr>
              <w:r w:rsidRPr="00C1672E">
                <w:rPr>
                  <w:szCs w:val="21"/>
                </w:rPr>
                <w:t>- 合同是否涉及已识别资产的使用。已识别资产可能由合同明确指定或在资产可供客户使用时隐性指定，并且该资产在物理上可区分，或者如果资产的某部分产能或其他部分在物理上不可区分</w:t>
              </w:r>
              <w:r w:rsidRPr="00C1672E">
                <w:rPr>
                  <w:szCs w:val="21"/>
                </w:rPr>
                <w:lastRenderedPageBreak/>
                <w:t>但实质上代表了该资产的全部产能，从而使客户获得因使用该资产所产生的几乎全部经济利益。如果资产的供应方在整个使用期间拥有对该资产的实质性替换权，则该资产不属于已识别资产；</w:t>
              </w:r>
            </w:p>
            <w:p w:rsidR="00C1672E" w:rsidRPr="00C1672E" w:rsidRDefault="00C1672E" w:rsidP="00C1672E">
              <w:pPr>
                <w:rPr>
                  <w:szCs w:val="21"/>
                </w:rPr>
              </w:pPr>
            </w:p>
            <w:p w:rsidR="00C1672E" w:rsidRPr="00C1672E" w:rsidRDefault="00C1672E" w:rsidP="00C1672E">
              <w:pPr>
                <w:rPr>
                  <w:szCs w:val="21"/>
                </w:rPr>
              </w:pPr>
              <w:r w:rsidRPr="00C1672E">
                <w:rPr>
                  <w:szCs w:val="21"/>
                </w:rPr>
                <w:t>- 承租人是否有权获得在使用期间内因使用已识别资产所产生的几乎全部经济利益；</w:t>
              </w:r>
            </w:p>
            <w:p w:rsidR="00C1672E" w:rsidRDefault="00C1672E" w:rsidP="00C1672E">
              <w:pPr>
                <w:rPr>
                  <w:szCs w:val="21"/>
                </w:rPr>
              </w:pPr>
              <w:r w:rsidRPr="00C1672E">
                <w:rPr>
                  <w:szCs w:val="21"/>
                </w:rPr>
                <w:t>- 承租人是否有权在该使用期间主导已识别资产的使用。</w:t>
              </w:r>
            </w:p>
            <w:p w:rsidR="00CC2902" w:rsidRPr="00C1672E" w:rsidRDefault="00CC2902" w:rsidP="00C1672E">
              <w:pPr>
                <w:rPr>
                  <w:szCs w:val="21"/>
                </w:rPr>
              </w:pPr>
            </w:p>
            <w:p w:rsidR="00C1672E" w:rsidRDefault="00C1672E" w:rsidP="00C1672E">
              <w:pPr>
                <w:rPr>
                  <w:szCs w:val="21"/>
                </w:rPr>
              </w:pPr>
              <w:r w:rsidRPr="00C1672E">
                <w:rPr>
                  <w:rFonts w:hint="eastAsia"/>
                  <w:szCs w:val="21"/>
                </w:rPr>
                <w:t>合同中同时包含多项单独租赁的，承租人和出租人将合同予以分拆，并分别各项单独租赁进行会计处理。合同中同时包含租赁和非租赁部分的，承租人和出租人将租赁和非租赁部分进行分拆。在分拆合同包含的租赁和非租赁部分时，承租人按照各租赁部分单独价格及非租赁部分的单独价格之和的相对比例分摊合同对价。出租人按附注五、</w:t>
              </w:r>
              <w:r w:rsidRPr="00C1672E">
                <w:rPr>
                  <w:szCs w:val="21"/>
                </w:rPr>
                <w:t>38所述会计政策中关于交易价格分摊的规定分摊合同对价。</w:t>
              </w:r>
            </w:p>
            <w:p w:rsidR="00C1672E" w:rsidRDefault="00C1672E" w:rsidP="00C1672E">
              <w:pPr>
                <w:rPr>
                  <w:szCs w:val="21"/>
                </w:rPr>
              </w:pPr>
            </w:p>
            <w:p w:rsidR="00C1672E" w:rsidRDefault="00C1672E" w:rsidP="00C1672E">
              <w:pPr>
                <w:rPr>
                  <w:szCs w:val="21"/>
                </w:rPr>
              </w:pPr>
              <w:r w:rsidRPr="00C1672E">
                <w:rPr>
                  <w:szCs w:val="21"/>
                </w:rPr>
                <w:t>(1) 本集团作为承租人</w:t>
              </w:r>
            </w:p>
            <w:p w:rsidR="00C1672E" w:rsidRPr="00C1672E" w:rsidRDefault="00C1672E" w:rsidP="00C1672E">
              <w:pPr>
                <w:rPr>
                  <w:szCs w:val="21"/>
                </w:rPr>
              </w:pPr>
            </w:p>
            <w:p w:rsidR="00C1672E" w:rsidRDefault="00C1672E" w:rsidP="00C1672E">
              <w:pPr>
                <w:rPr>
                  <w:szCs w:val="21"/>
                </w:rPr>
              </w:pPr>
              <w:r w:rsidRPr="00C1672E">
                <w:rPr>
                  <w:rFonts w:hint="eastAsia"/>
                  <w:szCs w:val="21"/>
                </w:rPr>
                <w:t>在租赁期开始日，本集团对租赁确认使用权资产和租赁负债。使用权资产按照成本进行初始计量，包括租赁负债的初始计量金额、在租赁期开始日或之前支付的租赁付款额</w:t>
              </w:r>
              <w:r w:rsidRPr="00C1672E">
                <w:rPr>
                  <w:szCs w:val="21"/>
                </w:rPr>
                <w:t xml:space="preserve"> (扣除已享受的租赁激励相关金额)，发生的初始直接费用以及为拆卸及移除租赁资产、复原租赁资产所在场地或将租赁资产恢复至租赁条款约定状态预计将发生的成本。</w:t>
              </w:r>
            </w:p>
            <w:p w:rsidR="00C1672E" w:rsidRDefault="00C1672E" w:rsidP="00C1672E">
              <w:pPr>
                <w:rPr>
                  <w:szCs w:val="21"/>
                </w:rPr>
              </w:pPr>
            </w:p>
            <w:p w:rsidR="00C1672E" w:rsidRDefault="00C1672E" w:rsidP="00C1672E">
              <w:pPr>
                <w:rPr>
                  <w:szCs w:val="21"/>
                </w:rPr>
              </w:pPr>
              <w:r w:rsidRPr="00C1672E">
                <w:rPr>
                  <w:rFonts w:hint="eastAsia"/>
                  <w:szCs w:val="21"/>
                </w:rPr>
                <w:t>本集团使用直线法对使用权资产计提折旧。对能够合理确定租赁期届满时取得租赁资产所有权的，本集团在租赁资产剩余使用寿命内计提折旧。否则，租赁资产在租赁期与租赁资产剩余使用寿命两者孰短的期间内计提折旧。使用权资产按附注五、</w:t>
              </w:r>
              <w:r w:rsidRPr="00C1672E">
                <w:rPr>
                  <w:szCs w:val="21"/>
                </w:rPr>
                <w:t>30所述的会计政策计提减值准备。</w:t>
              </w:r>
            </w:p>
            <w:p w:rsidR="00C1672E" w:rsidRPr="00C1672E" w:rsidRDefault="00C1672E" w:rsidP="00C1672E">
              <w:pPr>
                <w:rPr>
                  <w:szCs w:val="21"/>
                </w:rPr>
              </w:pPr>
            </w:p>
            <w:p w:rsidR="00C1672E" w:rsidRPr="00C1672E" w:rsidRDefault="00C1672E" w:rsidP="00C1672E">
              <w:pPr>
                <w:rPr>
                  <w:szCs w:val="21"/>
                </w:rPr>
              </w:pPr>
              <w:r w:rsidRPr="00C1672E">
                <w:rPr>
                  <w:rFonts w:hint="eastAsia"/>
                  <w:szCs w:val="21"/>
                </w:rPr>
                <w:t>租赁负债按照租赁期开始日尚未支付的租赁付款额的现值进行初始计量，折现率为租赁内含利率。无法确定租赁内含利率的，采用本集团增量借款利率作为折现率。</w:t>
              </w:r>
            </w:p>
            <w:p w:rsidR="00C1672E" w:rsidRDefault="00C1672E" w:rsidP="00C1672E">
              <w:pPr>
                <w:rPr>
                  <w:szCs w:val="21"/>
                </w:rPr>
              </w:pPr>
              <w:r w:rsidRPr="00C1672E">
                <w:rPr>
                  <w:rFonts w:hint="eastAsia"/>
                  <w:szCs w:val="21"/>
                </w:rPr>
                <w:t>本集团按照固定的周期性利率计算租赁负债在租赁期内各期间的利息费用，并计入当期损益或相关资产成本。未纳入租赁负债计量的可变租赁付款额在实际发生时计入当期损益或相关资产成本。</w:t>
              </w:r>
            </w:p>
            <w:p w:rsidR="00C1672E" w:rsidRPr="00C1672E" w:rsidRDefault="00C1672E" w:rsidP="00C1672E">
              <w:pPr>
                <w:rPr>
                  <w:szCs w:val="21"/>
                </w:rPr>
              </w:pPr>
            </w:p>
            <w:p w:rsidR="00C1672E" w:rsidRPr="00C1672E" w:rsidRDefault="00C1672E" w:rsidP="00C1672E">
              <w:pPr>
                <w:rPr>
                  <w:szCs w:val="21"/>
                </w:rPr>
              </w:pPr>
              <w:r w:rsidRPr="00C1672E">
                <w:rPr>
                  <w:rFonts w:hint="eastAsia"/>
                  <w:szCs w:val="21"/>
                </w:rPr>
                <w:t>租赁期开始日后，发生下列情形的，本集团按照变动后租赁付款额的现值重新计量租赁负债：</w:t>
              </w:r>
            </w:p>
            <w:p w:rsidR="00C1672E" w:rsidRPr="00C1672E" w:rsidRDefault="00C1672E" w:rsidP="00C1672E">
              <w:pPr>
                <w:rPr>
                  <w:szCs w:val="21"/>
                </w:rPr>
              </w:pPr>
              <w:r w:rsidRPr="00C1672E">
                <w:rPr>
                  <w:szCs w:val="21"/>
                </w:rPr>
                <w:t>- 根据担保余值预计的应付金额发生变动；</w:t>
              </w:r>
            </w:p>
            <w:p w:rsidR="00C1672E" w:rsidRPr="00C1672E" w:rsidRDefault="00C1672E" w:rsidP="00C1672E">
              <w:pPr>
                <w:rPr>
                  <w:szCs w:val="21"/>
                </w:rPr>
              </w:pPr>
              <w:r w:rsidRPr="00C1672E">
                <w:rPr>
                  <w:szCs w:val="21"/>
                </w:rPr>
                <w:t>- 用于确定租赁付款额的指数或比率发生变动；</w:t>
              </w:r>
            </w:p>
            <w:p w:rsidR="00C1672E" w:rsidRDefault="00C1672E" w:rsidP="00C1672E">
              <w:pPr>
                <w:rPr>
                  <w:szCs w:val="21"/>
                </w:rPr>
              </w:pPr>
              <w:r w:rsidRPr="00C1672E">
                <w:rPr>
                  <w:szCs w:val="21"/>
                </w:rPr>
                <w:t>- 本集团对购买选择权、续租选择权或终止租赁选择权的评估结果发生变化，或续租选择权或终止租赁选择权的实际行使情况与原评估结果不一致。</w:t>
              </w:r>
            </w:p>
            <w:p w:rsidR="00C1672E" w:rsidRDefault="00C1672E" w:rsidP="00C1672E">
              <w:pPr>
                <w:rPr>
                  <w:szCs w:val="21"/>
                </w:rPr>
              </w:pPr>
              <w:r w:rsidRPr="00C1672E">
                <w:rPr>
                  <w:rFonts w:hint="eastAsia"/>
                  <w:szCs w:val="21"/>
                </w:rPr>
                <w:t>在对租赁负债进行重新计量时，本集团相应调整使用权资产的账面价值。使用权资产的账面价值已调减至零，但租赁负债仍需进一步调减的，本集团将剩余金额计入当期损益。</w:t>
              </w:r>
            </w:p>
            <w:p w:rsidR="00C1672E" w:rsidRDefault="00C1672E" w:rsidP="00C1672E">
              <w:pPr>
                <w:rPr>
                  <w:szCs w:val="21"/>
                </w:rPr>
              </w:pPr>
            </w:p>
            <w:p w:rsidR="00C1672E" w:rsidRDefault="00C1672E" w:rsidP="00C1672E">
              <w:pPr>
                <w:rPr>
                  <w:szCs w:val="21"/>
                </w:rPr>
              </w:pPr>
              <w:r w:rsidRPr="00C1672E">
                <w:rPr>
                  <w:rFonts w:hint="eastAsia"/>
                  <w:szCs w:val="21"/>
                </w:rPr>
                <w:t>本集团已选择对短期租赁</w:t>
              </w:r>
              <w:r w:rsidRPr="00C1672E">
                <w:rPr>
                  <w:szCs w:val="21"/>
                </w:rPr>
                <w:t>(租赁期不超过12个月的租赁)和低价值资产租赁不确认使用权资产和租赁负债，并将相关的租赁付款额在租赁期内各个期间按照直线法计入当期损益或相关资产成本。</w:t>
              </w:r>
            </w:p>
            <w:p w:rsidR="00C1672E" w:rsidRPr="00C1672E" w:rsidRDefault="00C1672E" w:rsidP="00C1672E">
              <w:pPr>
                <w:rPr>
                  <w:szCs w:val="21"/>
                </w:rPr>
              </w:pPr>
            </w:p>
            <w:p w:rsidR="00C1672E" w:rsidRPr="00C1672E" w:rsidRDefault="00C1672E" w:rsidP="00C1672E">
              <w:pPr>
                <w:rPr>
                  <w:szCs w:val="21"/>
                </w:rPr>
              </w:pPr>
              <w:r w:rsidRPr="00C1672E">
                <w:rPr>
                  <w:szCs w:val="21"/>
                </w:rPr>
                <w:t>(2</w:t>
              </w:r>
              <w:r>
                <w:rPr>
                  <w:szCs w:val="21"/>
                </w:rPr>
                <w:t>)</w:t>
              </w:r>
              <w:r w:rsidRPr="00C1672E">
                <w:rPr>
                  <w:szCs w:val="21"/>
                </w:rPr>
                <w:t>本集团作为出租人</w:t>
              </w:r>
            </w:p>
            <w:p w:rsidR="00C1672E" w:rsidRPr="00C1672E" w:rsidRDefault="00C1672E" w:rsidP="00C1672E"/>
            <w:p w:rsidR="00C1672E" w:rsidRDefault="00C1672E" w:rsidP="00C1672E">
              <w:pPr>
                <w:rPr>
                  <w:szCs w:val="21"/>
                </w:rPr>
              </w:pPr>
              <w:r w:rsidRPr="00C1672E">
                <w:rPr>
                  <w:rFonts w:hint="eastAsia"/>
                  <w:szCs w:val="21"/>
                </w:rPr>
                <w:t>在租赁开始日，本集团将租赁分为融资租赁和经营租赁。融资租赁是指无论所有权最终是否转移但实质上转移了与租赁资产所有权有关的几乎全部风险和报酬的租赁。经营租赁是指除融资租赁以外的其他租赁。</w:t>
              </w:r>
            </w:p>
            <w:p w:rsidR="00C1672E" w:rsidRPr="00C1672E" w:rsidRDefault="00C1672E" w:rsidP="00C1672E">
              <w:pPr>
                <w:rPr>
                  <w:szCs w:val="21"/>
                </w:rPr>
              </w:pPr>
            </w:p>
            <w:p w:rsidR="00C1672E" w:rsidRDefault="00C1672E" w:rsidP="00C1672E">
              <w:pPr>
                <w:rPr>
                  <w:szCs w:val="21"/>
                </w:rPr>
              </w:pPr>
              <w:r w:rsidRPr="00C1672E">
                <w:rPr>
                  <w:rFonts w:hint="eastAsia"/>
                  <w:szCs w:val="21"/>
                </w:rPr>
                <w:t>本集团作为转租出租人时，基于原租赁产生的使用权资产，而不是原租赁的标的资产，对转租赁进行分类。如果原租赁为短期租赁且本集团选择对原租赁应用上述短期租赁的简化处理，本集团将该转租赁分类为经营租赁。</w:t>
              </w:r>
            </w:p>
            <w:p w:rsidR="00C1672E" w:rsidRPr="00C1672E" w:rsidRDefault="00C1672E" w:rsidP="00C1672E">
              <w:pPr>
                <w:rPr>
                  <w:szCs w:val="21"/>
                </w:rPr>
              </w:pPr>
            </w:p>
            <w:p w:rsidR="00C1672E" w:rsidRDefault="00C1672E" w:rsidP="00C1672E">
              <w:pPr>
                <w:rPr>
                  <w:szCs w:val="21"/>
                </w:rPr>
              </w:pPr>
              <w:r w:rsidRPr="00C1672E">
                <w:rPr>
                  <w:rFonts w:hint="eastAsia"/>
                  <w:szCs w:val="21"/>
                </w:rPr>
                <w:t>融资租赁下，在租赁期开始日，本集团对融资租赁确认应收融资租赁款，并终止确认融资租赁资产。</w:t>
              </w:r>
              <w:r w:rsidR="0057729D">
                <w:rPr>
                  <w:rFonts w:hint="eastAsia"/>
                  <w:szCs w:val="21"/>
                </w:rPr>
                <w:t xml:space="preserve"> </w:t>
              </w:r>
              <w:r w:rsidRPr="00C1672E">
                <w:rPr>
                  <w:rFonts w:hint="eastAsia"/>
                  <w:szCs w:val="21"/>
                </w:rPr>
                <w:t>本集团对应收融资租赁款进行初始计量时，将租赁投资净额作为应收融资租赁款的入账价值。租赁投资净额为未担保余值和租赁期开始日尚未收到的租赁收款额按照租赁内含利率折现的现值之和。</w:t>
              </w:r>
            </w:p>
            <w:p w:rsidR="00C1672E" w:rsidRDefault="00C1672E" w:rsidP="00C1672E">
              <w:pPr>
                <w:rPr>
                  <w:szCs w:val="21"/>
                </w:rPr>
              </w:pPr>
            </w:p>
            <w:p w:rsidR="00C1672E" w:rsidRDefault="00C1672E" w:rsidP="00C1672E">
              <w:pPr>
                <w:rPr>
                  <w:szCs w:val="21"/>
                </w:rPr>
              </w:pPr>
              <w:r w:rsidRPr="00C1672E">
                <w:rPr>
                  <w:rFonts w:hint="eastAsia"/>
                  <w:szCs w:val="21"/>
                </w:rPr>
                <w:t>本集团按照固定的周期性利率计算并确认租赁期内各个期间的利息收入。应收融资租赁款的终止确认和减值按附注五、</w:t>
              </w:r>
              <w:r w:rsidRPr="00C1672E">
                <w:rPr>
                  <w:szCs w:val="21"/>
                </w:rPr>
                <w:t>10所述的会计政策进行会计处理。未纳入租赁投资净额计量的可变租赁付款额在实际发生时计入当期损益。</w:t>
              </w:r>
            </w:p>
            <w:p w:rsidR="00C1672E" w:rsidRDefault="00C1672E" w:rsidP="00C1672E">
              <w:pPr>
                <w:rPr>
                  <w:szCs w:val="21"/>
                </w:rPr>
              </w:pPr>
            </w:p>
            <w:p w:rsidR="00806678" w:rsidRDefault="00C1672E" w:rsidP="00C1672E">
              <w:pPr>
                <w:rPr>
                  <w:szCs w:val="21"/>
                </w:rPr>
              </w:pPr>
              <w:r w:rsidRPr="00C1672E">
                <w:rPr>
                  <w:rFonts w:hint="eastAsia"/>
                  <w:szCs w:val="21"/>
                </w:rPr>
                <w:t>经营租赁的租赁收款额在租赁期内按直线法确认为租金收入。本集团将其发生的与经营租赁有关的初始直接费用予以资本化，在租赁期内按照与租金收入确认相同的基础进行分摊，分期计入当期损益。未计入租赁收款额的可变租赁付款额在实际发生时计入当期损益。</w:t>
              </w:r>
            </w:p>
          </w:sdtContent>
        </w:sdt>
      </w:sdtContent>
    </w:sdt>
    <w:bookmarkEnd w:id="152" w:displacedByCustomXml="prev"/>
    <w:p w:rsidR="00806678" w:rsidRDefault="00806678">
      <w:pPr>
        <w:rPr>
          <w:szCs w:val="21"/>
        </w:rPr>
      </w:pPr>
    </w:p>
    <w:sdt>
      <w:sdtPr>
        <w:rPr>
          <w:rFonts w:asciiTheme="minorHAnsi" w:hAnsiTheme="minorHAnsi" w:cstheme="minorBidi" w:hint="eastAsia"/>
          <w:b w:val="0"/>
          <w:bCs w:val="0"/>
          <w:kern w:val="0"/>
          <w:szCs w:val="22"/>
        </w:rPr>
        <w:alias w:val="模块:其他重要的会计政策和会计估计"/>
        <w:tag w:val="_GBC_208440ea3a0f4676970b3672c3cdf96f"/>
        <w:id w:val="-376307636"/>
        <w:lock w:val="sdtLocked"/>
        <w:placeholder>
          <w:docPart w:val="GBC22222222222222222222222222222"/>
        </w:placeholder>
      </w:sdtPr>
      <w:sdtEndPr>
        <w:rPr>
          <w:rFonts w:ascii="宋体" w:hAnsi="宋体" w:cs="Times New Roman"/>
          <w:szCs w:val="21"/>
        </w:rPr>
      </w:sdtEndPr>
      <w:sdtContent>
        <w:p w:rsidR="00806678" w:rsidRDefault="00B16377" w:rsidP="00FF17C7">
          <w:pPr>
            <w:pStyle w:val="3"/>
            <w:numPr>
              <w:ilvl w:val="0"/>
              <w:numId w:val="39"/>
            </w:numPr>
          </w:pPr>
          <w:r>
            <w:rPr>
              <w:rFonts w:hint="eastAsia"/>
            </w:rPr>
            <w:t>其他重要的会计政策和会计估计</w:t>
          </w:r>
        </w:p>
        <w:sdt>
          <w:sdtPr>
            <w:rPr>
              <w:rFonts w:hint="eastAsia"/>
              <w:szCs w:val="21"/>
            </w:rPr>
            <w:alias w:val="是否适用：其他重要的会计政策和会计估计[双击切换]"/>
            <w:tag w:val="_GBC_b463c26b00e64f799c5b85b2c1c805fb"/>
            <w:id w:val="1274053418"/>
            <w:lock w:val="sdtLocked"/>
            <w:placeholder>
              <w:docPart w:val="GBC22222222222222222222222222222"/>
            </w:placeholder>
          </w:sdtPr>
          <w:sdtContent>
            <w:p w:rsidR="00806678" w:rsidRDefault="00F80B6C">
              <w:pPr>
                <w:rPr>
                  <w:szCs w:val="21"/>
                </w:rPr>
              </w:pPr>
              <w:r>
                <w:rPr>
                  <w:szCs w:val="21"/>
                </w:rPr>
                <w:fldChar w:fldCharType="begin"/>
              </w:r>
              <w:r w:rsidR="00A304A1">
                <w:rPr>
                  <w:szCs w:val="21"/>
                </w:rPr>
                <w:instrText xml:space="preserve"> MACROBUTTON  SnrToggleCheckbox √适用  </w:instrText>
              </w:r>
              <w:r>
                <w:rPr>
                  <w:szCs w:val="21"/>
                </w:rPr>
                <w:fldChar w:fldCharType="end"/>
              </w:r>
              <w:r>
                <w:rPr>
                  <w:szCs w:val="21"/>
                </w:rPr>
                <w:fldChar w:fldCharType="begin"/>
              </w:r>
              <w:r w:rsidR="00A304A1">
                <w:rPr>
                  <w:szCs w:val="21"/>
                </w:rPr>
                <w:instrText xml:space="preserve"> MACROBUTTON  SnrToggleCheckbox □不适用 </w:instrText>
              </w:r>
              <w:r>
                <w:rPr>
                  <w:szCs w:val="21"/>
                </w:rPr>
                <w:fldChar w:fldCharType="end"/>
              </w:r>
            </w:p>
          </w:sdtContent>
        </w:sdt>
        <w:sdt>
          <w:sdtPr>
            <w:rPr>
              <w:rFonts w:hint="eastAsia"/>
              <w:szCs w:val="21"/>
            </w:rPr>
            <w:alias w:val="其他主要会计政策会计估计和会计报表的编制方法"/>
            <w:tag w:val="_GBC_5cf318d9d3d148c4af010cce77bc955d"/>
            <w:id w:val="2101981048"/>
            <w:lock w:val="sdtLocked"/>
            <w:placeholder>
              <w:docPart w:val="GBC22222222222222222222222222222"/>
            </w:placeholder>
          </w:sdtPr>
          <w:sdtContent>
            <w:p w:rsidR="00A304A1" w:rsidRPr="00A304A1" w:rsidRDefault="00A304A1" w:rsidP="00A304A1">
              <w:pPr>
                <w:rPr>
                  <w:szCs w:val="21"/>
                </w:rPr>
              </w:pPr>
              <w:r w:rsidRPr="00A304A1">
                <w:rPr>
                  <w:szCs w:val="21"/>
                </w:rPr>
                <w:t>(1)</w:t>
              </w:r>
              <w:r w:rsidRPr="00A304A1">
                <w:rPr>
                  <w:szCs w:val="21"/>
                </w:rPr>
                <w:tab/>
                <w:t>股利分配</w:t>
              </w:r>
            </w:p>
            <w:p w:rsidR="00A304A1" w:rsidRPr="00A304A1" w:rsidRDefault="00A304A1" w:rsidP="00A304A1">
              <w:pPr>
                <w:rPr>
                  <w:szCs w:val="21"/>
                </w:rPr>
              </w:pPr>
            </w:p>
            <w:p w:rsidR="00A304A1" w:rsidRPr="00A304A1" w:rsidRDefault="00A304A1" w:rsidP="00A304A1">
              <w:pPr>
                <w:rPr>
                  <w:szCs w:val="21"/>
                </w:rPr>
              </w:pPr>
              <w:r w:rsidRPr="00A304A1">
                <w:rPr>
                  <w:rFonts w:hint="eastAsia"/>
                  <w:szCs w:val="21"/>
                </w:rPr>
                <w:t>资产负债表日后，经审议批准的利润分配方案中拟分配的股利或利润，不确认为资产负债表日的负债，在附注中单独披露。</w:t>
              </w:r>
            </w:p>
            <w:p w:rsidR="00A304A1" w:rsidRPr="00A304A1" w:rsidRDefault="00A304A1" w:rsidP="00A304A1">
              <w:pPr>
                <w:rPr>
                  <w:szCs w:val="21"/>
                </w:rPr>
              </w:pPr>
            </w:p>
            <w:p w:rsidR="00A304A1" w:rsidRPr="00A304A1" w:rsidRDefault="00A304A1" w:rsidP="00A304A1">
              <w:pPr>
                <w:rPr>
                  <w:szCs w:val="21"/>
                </w:rPr>
              </w:pPr>
              <w:r w:rsidRPr="00A304A1">
                <w:rPr>
                  <w:szCs w:val="21"/>
                </w:rPr>
                <w:t>(2)</w:t>
              </w:r>
              <w:r w:rsidRPr="00A304A1">
                <w:rPr>
                  <w:szCs w:val="21"/>
                </w:rPr>
                <w:tab/>
                <w:t>安全生产费</w:t>
              </w:r>
            </w:p>
            <w:p w:rsidR="00A304A1" w:rsidRPr="00A304A1" w:rsidRDefault="00A304A1" w:rsidP="00A304A1">
              <w:pPr>
                <w:rPr>
                  <w:szCs w:val="21"/>
                </w:rPr>
              </w:pPr>
            </w:p>
            <w:p w:rsidR="00A304A1" w:rsidRPr="00A304A1" w:rsidRDefault="00A304A1" w:rsidP="00A304A1">
              <w:pPr>
                <w:rPr>
                  <w:szCs w:val="21"/>
                </w:rPr>
              </w:pPr>
              <w:r w:rsidRPr="00A304A1">
                <w:rPr>
                  <w:rFonts w:hint="eastAsia"/>
                  <w:szCs w:val="21"/>
                </w:rPr>
                <w:t>根据</w:t>
              </w:r>
              <w:r w:rsidRPr="00A304A1">
                <w:rPr>
                  <w:szCs w:val="21"/>
                </w:rPr>
                <w:t>2022年11月21日财政部和应急部关于印发《企业安全生产费用提取和使用管理办法》的通知 (财资【2022】136号文)，本集团从事交通运输行业，需以上年度的营业收入为计提依据，按照一定的计提比例提取安全生产费。</w:t>
              </w:r>
            </w:p>
            <w:p w:rsidR="00A304A1" w:rsidRPr="00A304A1" w:rsidRDefault="00A304A1" w:rsidP="00A304A1">
              <w:pPr>
                <w:rPr>
                  <w:szCs w:val="21"/>
                </w:rPr>
              </w:pPr>
            </w:p>
            <w:p w:rsidR="00A304A1" w:rsidRPr="00A304A1" w:rsidRDefault="00A304A1" w:rsidP="00A304A1">
              <w:pPr>
                <w:rPr>
                  <w:szCs w:val="21"/>
                </w:rPr>
              </w:pPr>
              <w:r w:rsidRPr="00A304A1">
                <w:rPr>
                  <w:rFonts w:hint="eastAsia"/>
                  <w:szCs w:val="21"/>
                </w:rPr>
                <w:t>安全生产费主要用于完善、改造和维护安全防护设备及设施支出。安全生产费在提取时计入相关产品的成本或当期损益，同时记入专项储备科目。在使用时，对在规定使用范围内的费用性支出，于费用发生时直接冲减专项储备；属于资本性支出的，通过在建工程科目归集所发生的支出，待项目完工达到预定可使用状态时转入固定资产，按照形成固定资产的成本冲减专项储备，同时确认相应金额的累计折旧，该固定资产以后期间不再计提折旧。</w:t>
              </w:r>
            </w:p>
            <w:p w:rsidR="003D7184" w:rsidRDefault="003D7184" w:rsidP="00A304A1">
              <w:pPr>
                <w:rPr>
                  <w:szCs w:val="21"/>
                </w:rPr>
              </w:pPr>
            </w:p>
            <w:p w:rsidR="00A304A1" w:rsidRPr="00A304A1" w:rsidRDefault="00A304A1" w:rsidP="00A304A1">
              <w:pPr>
                <w:rPr>
                  <w:szCs w:val="21"/>
                </w:rPr>
              </w:pPr>
              <w:r w:rsidRPr="00A304A1">
                <w:rPr>
                  <w:szCs w:val="21"/>
                </w:rPr>
                <w:t>(3)</w:t>
              </w:r>
              <w:r w:rsidRPr="00A304A1">
                <w:rPr>
                  <w:szCs w:val="21"/>
                </w:rPr>
                <w:tab/>
                <w:t>分部报告</w:t>
              </w:r>
            </w:p>
            <w:p w:rsidR="00A304A1" w:rsidRPr="00A304A1" w:rsidRDefault="00A304A1" w:rsidP="00A304A1">
              <w:pPr>
                <w:rPr>
                  <w:szCs w:val="21"/>
                </w:rPr>
              </w:pPr>
            </w:p>
            <w:p w:rsidR="00A304A1" w:rsidRPr="00A304A1" w:rsidRDefault="00A304A1" w:rsidP="00A304A1">
              <w:pPr>
                <w:rPr>
                  <w:szCs w:val="21"/>
                </w:rPr>
              </w:pPr>
              <w:r w:rsidRPr="00A304A1">
                <w:rPr>
                  <w:rFonts w:hint="eastAsia"/>
                  <w:szCs w:val="21"/>
                </w:rPr>
                <w:t>本集团以内部组织结构、管理要求、内部报告制度为依据确定经营分部。如果两个或多个经营分部存在相似经济特征且同时在各单项产品或劳务的性质、生产过程的性质、产品或劳务的客户类型、销售产品或提供劳务的方式、生产产品及提供劳务受法律及行政法规的影响等方面具有相同或相似性的，可以合并为一个经营分部。本集团以经营分部为基础考虑重要性原则后确定报告分部。</w:t>
              </w:r>
            </w:p>
            <w:p w:rsidR="00A304A1" w:rsidRPr="00A304A1" w:rsidRDefault="00A304A1" w:rsidP="00A304A1">
              <w:pPr>
                <w:rPr>
                  <w:szCs w:val="21"/>
                </w:rPr>
              </w:pPr>
            </w:p>
            <w:p w:rsidR="00A304A1" w:rsidRPr="00A304A1" w:rsidRDefault="00A304A1" w:rsidP="00A304A1">
              <w:pPr>
                <w:rPr>
                  <w:szCs w:val="21"/>
                </w:rPr>
              </w:pPr>
              <w:r w:rsidRPr="00A304A1">
                <w:rPr>
                  <w:rFonts w:hint="eastAsia"/>
                  <w:szCs w:val="21"/>
                </w:rPr>
                <w:t>本集团主要从事铁路客</w:t>
              </w:r>
              <w:r w:rsidRPr="00A304A1">
                <w:rPr>
                  <w:szCs w:val="21"/>
                </w:rPr>
                <w:t xml:space="preserve"> / 货运输业务，全部服务均在中华人民共和国境内提供。本集团管理层并不单独核算客 / 货运业务在日常经营活动中发生的成本、费用，也未单独评价客 / 货运业务的经营成果，因此不需提供分部报告。</w:t>
              </w:r>
            </w:p>
            <w:p w:rsidR="00A304A1" w:rsidRPr="00A304A1" w:rsidRDefault="00A304A1" w:rsidP="00A304A1">
              <w:pPr>
                <w:rPr>
                  <w:szCs w:val="21"/>
                </w:rPr>
              </w:pPr>
            </w:p>
            <w:p w:rsidR="00A304A1" w:rsidRPr="00A304A1" w:rsidRDefault="00A304A1" w:rsidP="00A304A1">
              <w:pPr>
                <w:rPr>
                  <w:szCs w:val="21"/>
                </w:rPr>
              </w:pPr>
              <w:r w:rsidRPr="00A304A1">
                <w:rPr>
                  <w:szCs w:val="21"/>
                </w:rPr>
                <w:t>(4)</w:t>
              </w:r>
              <w:r w:rsidRPr="00A304A1">
                <w:rPr>
                  <w:szCs w:val="21"/>
                </w:rPr>
                <w:tab/>
                <w:t>公允价值</w:t>
              </w:r>
            </w:p>
            <w:p w:rsidR="00A304A1" w:rsidRPr="00A304A1" w:rsidRDefault="00A304A1" w:rsidP="00A304A1">
              <w:pPr>
                <w:rPr>
                  <w:szCs w:val="21"/>
                </w:rPr>
              </w:pPr>
            </w:p>
            <w:p w:rsidR="00A304A1" w:rsidRPr="00A304A1" w:rsidRDefault="00A304A1" w:rsidP="00A304A1">
              <w:pPr>
                <w:rPr>
                  <w:szCs w:val="21"/>
                </w:rPr>
              </w:pPr>
              <w:r w:rsidRPr="00A304A1">
                <w:rPr>
                  <w:rFonts w:hint="eastAsia"/>
                  <w:szCs w:val="21"/>
                </w:rPr>
                <w:t>除特别声明外，本集团按下述原则计量公允价值：</w:t>
              </w:r>
            </w:p>
            <w:p w:rsidR="00A304A1" w:rsidRPr="00A304A1" w:rsidRDefault="00A304A1" w:rsidP="00A304A1">
              <w:pPr>
                <w:rPr>
                  <w:szCs w:val="21"/>
                </w:rPr>
              </w:pPr>
            </w:p>
            <w:p w:rsidR="00A304A1" w:rsidRPr="00A304A1" w:rsidRDefault="00A304A1" w:rsidP="00A304A1">
              <w:pPr>
                <w:rPr>
                  <w:szCs w:val="21"/>
                </w:rPr>
              </w:pPr>
              <w:r w:rsidRPr="00A304A1">
                <w:rPr>
                  <w:rFonts w:hint="eastAsia"/>
                  <w:szCs w:val="21"/>
                </w:rPr>
                <w:t>公允价值是指市场参与者在计量日发生的有序交易中，出售一项资产所能收到或者转移一项负债所需支付的价格。</w:t>
              </w:r>
            </w:p>
            <w:p w:rsidR="00A304A1" w:rsidRPr="00A304A1" w:rsidRDefault="00A304A1" w:rsidP="00A304A1">
              <w:pPr>
                <w:rPr>
                  <w:szCs w:val="21"/>
                </w:rPr>
              </w:pPr>
            </w:p>
            <w:p w:rsidR="00A304A1" w:rsidRPr="00A304A1" w:rsidRDefault="00A304A1" w:rsidP="00A304A1">
              <w:pPr>
                <w:rPr>
                  <w:szCs w:val="21"/>
                </w:rPr>
              </w:pPr>
              <w:r w:rsidRPr="00A304A1">
                <w:rPr>
                  <w:rFonts w:hint="eastAsia"/>
                  <w:szCs w:val="21"/>
                </w:rPr>
                <w:t>本集团估计公允价值时，考虑市场参与者在计量日对相关资产或负债进行定价时考虑的特征</w:t>
              </w:r>
              <w:r w:rsidRPr="00A304A1">
                <w:rPr>
                  <w:szCs w:val="21"/>
                </w:rPr>
                <w:t xml:space="preserve"> (包括资产状况及所在位置、对资产出售或者使用的限制等)，并采用在当前情况下适用并且有足够可利用数据和其他信息支持的估值技术。使用的估值技术主要包括市场法、收益法和成本法。</w:t>
              </w:r>
            </w:p>
            <w:p w:rsidR="00A304A1" w:rsidRPr="00A304A1" w:rsidRDefault="00A304A1" w:rsidP="00A304A1">
              <w:pPr>
                <w:rPr>
                  <w:szCs w:val="21"/>
                </w:rPr>
              </w:pPr>
            </w:p>
            <w:p w:rsidR="00A304A1" w:rsidRPr="00A304A1" w:rsidRDefault="00A304A1" w:rsidP="00A304A1">
              <w:pPr>
                <w:rPr>
                  <w:szCs w:val="21"/>
                </w:rPr>
              </w:pPr>
              <w:r w:rsidRPr="00A304A1">
                <w:rPr>
                  <w:szCs w:val="21"/>
                </w:rPr>
                <w:t>(5)</w:t>
              </w:r>
              <w:r w:rsidRPr="00A304A1">
                <w:rPr>
                  <w:szCs w:val="21"/>
                </w:rPr>
                <w:tab/>
                <w:t>关联方</w:t>
              </w:r>
            </w:p>
            <w:p w:rsidR="00A304A1" w:rsidRPr="00A304A1" w:rsidRDefault="00A304A1" w:rsidP="00A304A1">
              <w:pPr>
                <w:rPr>
                  <w:szCs w:val="21"/>
                </w:rPr>
              </w:pPr>
            </w:p>
            <w:p w:rsidR="00A304A1" w:rsidRPr="00A304A1" w:rsidRDefault="00A304A1" w:rsidP="00A304A1">
              <w:pPr>
                <w:rPr>
                  <w:szCs w:val="21"/>
                </w:rPr>
              </w:pPr>
              <w:r w:rsidRPr="00A304A1">
                <w:rPr>
                  <w:rFonts w:hint="eastAsia"/>
                  <w:szCs w:val="21"/>
                </w:rPr>
                <w:t>一方控制、共同控制另一方或对另一方施加重大影响，以及两方或两方以上同受一方控制、共同控制的，构成关联方。关联方可为个人或企业。仅仅同受国家控制而不存在其他关联方关系的企业，不构成关联方。</w:t>
              </w:r>
            </w:p>
            <w:p w:rsidR="00A304A1" w:rsidRPr="00A304A1" w:rsidRDefault="00A304A1" w:rsidP="00A304A1">
              <w:pPr>
                <w:rPr>
                  <w:szCs w:val="21"/>
                </w:rPr>
              </w:pPr>
            </w:p>
            <w:p w:rsidR="00A304A1" w:rsidRPr="00A304A1" w:rsidRDefault="00A304A1" w:rsidP="00A304A1">
              <w:pPr>
                <w:rPr>
                  <w:szCs w:val="21"/>
                </w:rPr>
              </w:pPr>
              <w:r w:rsidRPr="00A304A1">
                <w:rPr>
                  <w:rFonts w:hint="eastAsia"/>
                  <w:szCs w:val="21"/>
                </w:rPr>
                <w:t>此外，本公司同时根据证监会颁布的《上市公司信息披露管理办法》确定本集团或本公司的关联方。</w:t>
              </w:r>
            </w:p>
            <w:p w:rsidR="00A304A1" w:rsidRPr="00A304A1" w:rsidRDefault="00A304A1" w:rsidP="00A304A1">
              <w:pPr>
                <w:rPr>
                  <w:szCs w:val="21"/>
                </w:rPr>
              </w:pPr>
            </w:p>
            <w:p w:rsidR="00A304A1" w:rsidRPr="00A304A1" w:rsidRDefault="00A304A1" w:rsidP="00A304A1">
              <w:pPr>
                <w:rPr>
                  <w:szCs w:val="21"/>
                </w:rPr>
              </w:pPr>
              <w:r w:rsidRPr="00A304A1">
                <w:rPr>
                  <w:szCs w:val="21"/>
                </w:rPr>
                <w:t>(6)</w:t>
              </w:r>
              <w:r w:rsidRPr="00A304A1">
                <w:rPr>
                  <w:szCs w:val="21"/>
                </w:rPr>
                <w:tab/>
                <w:t>主要会计估计和判断</w:t>
              </w:r>
            </w:p>
            <w:p w:rsidR="00A304A1" w:rsidRPr="00A304A1" w:rsidRDefault="00A304A1" w:rsidP="00A304A1">
              <w:pPr>
                <w:rPr>
                  <w:szCs w:val="21"/>
                </w:rPr>
              </w:pPr>
            </w:p>
            <w:p w:rsidR="00A304A1" w:rsidRPr="00A304A1" w:rsidRDefault="00A304A1" w:rsidP="00A304A1">
              <w:pPr>
                <w:rPr>
                  <w:szCs w:val="21"/>
                </w:rPr>
              </w:pPr>
              <w:r w:rsidRPr="00A304A1">
                <w:rPr>
                  <w:rFonts w:hint="eastAsia"/>
                  <w:szCs w:val="21"/>
                </w:rPr>
                <w:t>编制财务报表时，本集团管理层需要运用估计和假设，这些估计和假设会对会计政策的应用及资产、负债、收入及费用的金额产生影响。实际情况可能与这些估计不同。本集团管理层对估计涉及的关键假设和不确定因素的判断进行持续评估，会计估计变更的影响在变更当期和未来期间予以确认。</w:t>
              </w:r>
            </w:p>
            <w:p w:rsidR="00A304A1" w:rsidRPr="00A304A1" w:rsidRDefault="00A304A1" w:rsidP="00A304A1">
              <w:pPr>
                <w:rPr>
                  <w:szCs w:val="21"/>
                </w:rPr>
              </w:pPr>
            </w:p>
            <w:p w:rsidR="00A304A1" w:rsidRPr="00A304A1" w:rsidRDefault="00A304A1" w:rsidP="00A304A1">
              <w:pPr>
                <w:rPr>
                  <w:szCs w:val="21"/>
                </w:rPr>
              </w:pPr>
              <w:r w:rsidRPr="00A304A1">
                <w:rPr>
                  <w:szCs w:val="21"/>
                </w:rPr>
                <w:t>(i)</w:t>
              </w:r>
              <w:r w:rsidRPr="00A304A1">
                <w:rPr>
                  <w:szCs w:val="21"/>
                </w:rPr>
                <w:tab/>
                <w:t>主要会计估计</w:t>
              </w:r>
            </w:p>
            <w:p w:rsidR="00A304A1" w:rsidRPr="00A304A1" w:rsidRDefault="00A304A1" w:rsidP="00A304A1">
              <w:pPr>
                <w:rPr>
                  <w:szCs w:val="21"/>
                </w:rPr>
              </w:pPr>
              <w:r w:rsidRPr="00A304A1">
                <w:rPr>
                  <w:rFonts w:hint="eastAsia"/>
                  <w:szCs w:val="21"/>
                </w:rPr>
                <w:t>除固定资产及无形资产等资产的折旧及摊销</w:t>
              </w:r>
              <w:r w:rsidRPr="00A304A1">
                <w:rPr>
                  <w:szCs w:val="21"/>
                </w:rPr>
                <w:t xml:space="preserve"> (参见附注</w:t>
              </w:r>
              <w:r w:rsidR="008C237C">
                <w:rPr>
                  <w:rFonts w:hint="eastAsia"/>
                  <w:szCs w:val="21"/>
                </w:rPr>
                <w:t>五</w:t>
              </w:r>
              <w:r w:rsidRPr="00A304A1">
                <w:rPr>
                  <w:szCs w:val="21"/>
                </w:rPr>
                <w:t>、</w:t>
              </w:r>
              <w:r w:rsidR="008C237C">
                <w:rPr>
                  <w:rFonts w:hint="eastAsia"/>
                  <w:szCs w:val="21"/>
                </w:rPr>
                <w:t>2</w:t>
              </w:r>
              <w:r w:rsidR="008C237C">
                <w:rPr>
                  <w:szCs w:val="21"/>
                </w:rPr>
                <w:t>3</w:t>
              </w:r>
              <w:r w:rsidRPr="00A304A1">
                <w:rPr>
                  <w:szCs w:val="21"/>
                </w:rPr>
                <w:t>(2) 和</w:t>
              </w:r>
              <w:r w:rsidR="008C237C">
                <w:rPr>
                  <w:szCs w:val="21"/>
                </w:rPr>
                <w:t>29</w:t>
              </w:r>
              <w:r w:rsidRPr="00A304A1">
                <w:rPr>
                  <w:szCs w:val="21"/>
                </w:rPr>
                <w:t>) 和各类资产减值 (参见附注</w:t>
              </w:r>
              <w:r w:rsidR="008C237C">
                <w:rPr>
                  <w:rFonts w:hint="eastAsia"/>
                  <w:szCs w:val="21"/>
                </w:rPr>
                <w:t>七</w:t>
              </w:r>
              <w:r w:rsidRPr="00A304A1">
                <w:rPr>
                  <w:szCs w:val="21"/>
                </w:rPr>
                <w:t>、</w:t>
              </w:r>
              <w:r w:rsidR="008C237C">
                <w:rPr>
                  <w:szCs w:val="21"/>
                </w:rPr>
                <w:t>5</w:t>
              </w:r>
              <w:r w:rsidRPr="00A304A1">
                <w:rPr>
                  <w:szCs w:val="21"/>
                </w:rPr>
                <w:t>、</w:t>
              </w:r>
              <w:r w:rsidR="008C237C">
                <w:rPr>
                  <w:rFonts w:hint="eastAsia"/>
                  <w:szCs w:val="21"/>
                </w:rPr>
                <w:t>8</w:t>
              </w:r>
              <w:r w:rsidRPr="00A304A1">
                <w:rPr>
                  <w:szCs w:val="21"/>
                </w:rPr>
                <w:t>和</w:t>
              </w:r>
              <w:r w:rsidR="008C237C">
                <w:rPr>
                  <w:szCs w:val="21"/>
                </w:rPr>
                <w:t>21</w:t>
              </w:r>
              <w:r w:rsidRPr="00A304A1">
                <w:rPr>
                  <w:szCs w:val="21"/>
                </w:rPr>
                <w:t>以及附注十</w:t>
              </w:r>
              <w:r w:rsidR="008C237C">
                <w:rPr>
                  <w:rFonts w:hint="eastAsia"/>
                  <w:szCs w:val="21"/>
                </w:rPr>
                <w:t>七</w:t>
              </w:r>
              <w:r w:rsidRPr="00A304A1">
                <w:rPr>
                  <w:szCs w:val="21"/>
                </w:rPr>
                <w:t>、1和2) 涉及的会计估计外，其他主要的会计估计如下：</w:t>
              </w:r>
            </w:p>
            <w:p w:rsidR="00A304A1" w:rsidRPr="00A304A1" w:rsidRDefault="00A304A1" w:rsidP="00A304A1">
              <w:pPr>
                <w:rPr>
                  <w:szCs w:val="21"/>
                </w:rPr>
              </w:pPr>
            </w:p>
            <w:p w:rsidR="00A304A1" w:rsidRPr="00A304A1" w:rsidRDefault="00A304A1" w:rsidP="00A304A1">
              <w:pPr>
                <w:rPr>
                  <w:szCs w:val="21"/>
                </w:rPr>
              </w:pPr>
              <w:r w:rsidRPr="00A304A1">
                <w:rPr>
                  <w:rFonts w:hint="eastAsia"/>
                  <w:szCs w:val="21"/>
                </w:rPr>
                <w:t>附注</w:t>
              </w:r>
              <w:r w:rsidR="008C237C">
                <w:rPr>
                  <w:rFonts w:hint="eastAsia"/>
                  <w:szCs w:val="21"/>
                </w:rPr>
                <w:t>七</w:t>
              </w:r>
              <w:r w:rsidRPr="00A304A1">
                <w:rPr>
                  <w:rFonts w:hint="eastAsia"/>
                  <w:szCs w:val="21"/>
                </w:rPr>
                <w:t>、</w:t>
              </w:r>
              <w:r w:rsidR="008C237C">
                <w:rPr>
                  <w:szCs w:val="21"/>
                </w:rPr>
                <w:t>30</w:t>
              </w:r>
              <w:r w:rsidRPr="00A304A1">
                <w:rPr>
                  <w:szCs w:val="21"/>
                </w:rPr>
                <w:t>：递延所得税资产的确认；</w:t>
              </w:r>
            </w:p>
            <w:p w:rsidR="00A304A1" w:rsidRPr="00A304A1" w:rsidRDefault="00A304A1" w:rsidP="00A304A1">
              <w:pPr>
                <w:rPr>
                  <w:szCs w:val="21"/>
                </w:rPr>
              </w:pPr>
              <w:r w:rsidRPr="00A304A1">
                <w:rPr>
                  <w:rFonts w:hint="eastAsia"/>
                  <w:szCs w:val="21"/>
                </w:rPr>
                <w:t>附注</w:t>
              </w:r>
              <w:r w:rsidR="008C237C">
                <w:rPr>
                  <w:rFonts w:hint="eastAsia"/>
                  <w:szCs w:val="21"/>
                </w:rPr>
                <w:t>七</w:t>
              </w:r>
              <w:r w:rsidRPr="00A304A1">
                <w:rPr>
                  <w:rFonts w:hint="eastAsia"/>
                  <w:szCs w:val="21"/>
                </w:rPr>
                <w:t>、</w:t>
              </w:r>
              <w:r w:rsidR="008C237C">
                <w:rPr>
                  <w:szCs w:val="21"/>
                </w:rPr>
                <w:t>49</w:t>
              </w:r>
              <w:r w:rsidRPr="00A304A1">
                <w:rPr>
                  <w:szCs w:val="21"/>
                </w:rPr>
                <w:t>：设定受益计划类的离职后福利；</w:t>
              </w:r>
            </w:p>
            <w:p w:rsidR="00A304A1" w:rsidRPr="00A304A1" w:rsidRDefault="00A304A1" w:rsidP="00A304A1">
              <w:pPr>
                <w:rPr>
                  <w:szCs w:val="21"/>
                </w:rPr>
              </w:pPr>
              <w:r w:rsidRPr="00A304A1">
                <w:rPr>
                  <w:rFonts w:hint="eastAsia"/>
                  <w:szCs w:val="21"/>
                </w:rPr>
                <w:t>附注</w:t>
              </w:r>
              <w:r w:rsidR="008C237C">
                <w:rPr>
                  <w:rFonts w:hint="eastAsia"/>
                  <w:szCs w:val="21"/>
                </w:rPr>
                <w:t>十一</w:t>
              </w:r>
              <w:r w:rsidRPr="00A304A1">
                <w:rPr>
                  <w:rFonts w:hint="eastAsia"/>
                  <w:szCs w:val="21"/>
                </w:rPr>
                <w:t>：金融工具的公允价值估值。</w:t>
              </w:r>
            </w:p>
            <w:p w:rsidR="00A304A1" w:rsidRPr="00A304A1" w:rsidRDefault="00A304A1" w:rsidP="00A304A1">
              <w:pPr>
                <w:rPr>
                  <w:szCs w:val="21"/>
                </w:rPr>
              </w:pPr>
            </w:p>
            <w:p w:rsidR="00A304A1" w:rsidRPr="00A304A1" w:rsidRDefault="00A304A1" w:rsidP="00A304A1">
              <w:pPr>
                <w:rPr>
                  <w:szCs w:val="21"/>
                </w:rPr>
              </w:pPr>
              <w:r w:rsidRPr="00A304A1">
                <w:rPr>
                  <w:szCs w:val="21"/>
                </w:rPr>
                <w:t>(ii)</w:t>
              </w:r>
              <w:r w:rsidRPr="00A304A1">
                <w:rPr>
                  <w:szCs w:val="21"/>
                </w:rPr>
                <w:tab/>
                <w:t>主要会计判断</w:t>
              </w:r>
            </w:p>
            <w:p w:rsidR="00A304A1" w:rsidRPr="00A304A1" w:rsidRDefault="00A304A1" w:rsidP="00A304A1">
              <w:pPr>
                <w:rPr>
                  <w:szCs w:val="21"/>
                </w:rPr>
              </w:pPr>
            </w:p>
            <w:p w:rsidR="00A304A1" w:rsidRPr="00A304A1" w:rsidRDefault="00A304A1" w:rsidP="00A304A1">
              <w:pPr>
                <w:rPr>
                  <w:szCs w:val="21"/>
                </w:rPr>
              </w:pPr>
              <w:r w:rsidRPr="00A304A1">
                <w:rPr>
                  <w:rFonts w:hint="eastAsia"/>
                  <w:szCs w:val="21"/>
                </w:rPr>
                <w:t>本集团在运用会计政策过程中做出的重要判断如下：</w:t>
              </w:r>
            </w:p>
            <w:p w:rsidR="00A304A1" w:rsidRPr="00A304A1" w:rsidRDefault="00A304A1" w:rsidP="00A304A1">
              <w:pPr>
                <w:rPr>
                  <w:szCs w:val="21"/>
                </w:rPr>
              </w:pPr>
            </w:p>
            <w:p w:rsidR="00806678" w:rsidRDefault="00A304A1" w:rsidP="00A304A1">
              <w:pPr>
                <w:rPr>
                  <w:szCs w:val="21"/>
                </w:rPr>
              </w:pPr>
              <w:r w:rsidRPr="00A304A1">
                <w:rPr>
                  <w:rFonts w:hint="eastAsia"/>
                  <w:szCs w:val="21"/>
                </w:rPr>
                <w:lastRenderedPageBreak/>
                <w:t>附注</w:t>
              </w:r>
              <w:r w:rsidR="008C237C">
                <w:rPr>
                  <w:rFonts w:hint="eastAsia"/>
                  <w:szCs w:val="21"/>
                </w:rPr>
                <w:t>七</w:t>
              </w:r>
              <w:r w:rsidRPr="00A304A1">
                <w:rPr>
                  <w:rFonts w:hint="eastAsia"/>
                  <w:szCs w:val="21"/>
                </w:rPr>
                <w:t>、</w:t>
              </w:r>
              <w:r w:rsidR="008C237C">
                <w:rPr>
                  <w:szCs w:val="21"/>
                </w:rPr>
                <w:t>46</w:t>
              </w:r>
              <w:r w:rsidRPr="00A304A1">
                <w:rPr>
                  <w:szCs w:val="21"/>
                </w:rPr>
                <w:t>和附注</w:t>
              </w:r>
              <w:r w:rsidR="008C237C">
                <w:rPr>
                  <w:rFonts w:hint="eastAsia"/>
                  <w:szCs w:val="21"/>
                </w:rPr>
                <w:t>七</w:t>
              </w:r>
              <w:r w:rsidRPr="00A304A1">
                <w:rPr>
                  <w:szCs w:val="21"/>
                </w:rPr>
                <w:t>、</w:t>
              </w:r>
              <w:r w:rsidR="008C237C">
                <w:rPr>
                  <w:szCs w:val="21"/>
                </w:rPr>
                <w:t>54</w:t>
              </w:r>
              <w:r w:rsidRPr="00A304A1">
                <w:rPr>
                  <w:szCs w:val="21"/>
                </w:rPr>
                <w:t xml:space="preserve"> – 可转换工具等其他金融工具划分为金融负债或权益工具。</w:t>
              </w:r>
            </w:p>
          </w:sdtContent>
        </w:sdt>
      </w:sdtContent>
    </w:sdt>
    <w:p w:rsidR="00806678" w:rsidRDefault="00806678">
      <w:pPr>
        <w:rPr>
          <w:szCs w:val="21"/>
        </w:rPr>
      </w:pPr>
    </w:p>
    <w:p w:rsidR="00806678" w:rsidRDefault="00B16377" w:rsidP="00FF17C7">
      <w:pPr>
        <w:pStyle w:val="3"/>
        <w:numPr>
          <w:ilvl w:val="0"/>
          <w:numId w:val="39"/>
        </w:numPr>
      </w:pPr>
      <w:r>
        <w:rPr>
          <w:rFonts w:hint="eastAsia"/>
        </w:rPr>
        <w:t>重要</w:t>
      </w:r>
      <w:r>
        <w:t>会计政策</w:t>
      </w:r>
      <w:r>
        <w:rPr>
          <w:rFonts w:hint="eastAsia"/>
        </w:rPr>
        <w:t>和</w:t>
      </w:r>
      <w:r>
        <w:t>会计估计的变更</w:t>
      </w:r>
    </w:p>
    <w:p w:rsidR="00806678" w:rsidRDefault="00B16377" w:rsidP="00FF17C7">
      <w:pPr>
        <w:pStyle w:val="4"/>
        <w:numPr>
          <w:ilvl w:val="3"/>
          <w:numId w:val="76"/>
        </w:numPr>
        <w:ind w:left="426" w:hanging="426"/>
      </w:pPr>
      <w:r>
        <w:rPr>
          <w:rFonts w:hint="eastAsia"/>
        </w:rPr>
        <w:t>重要</w:t>
      </w:r>
      <w:r>
        <w:t>会计政策变更</w:t>
      </w:r>
    </w:p>
    <w:sdt>
      <w:sdtPr>
        <w:rPr>
          <w:szCs w:val="21"/>
        </w:rPr>
        <w:alias w:val="是否适用：重要会计政策变更[双击切换]"/>
        <w:tag w:val="_GBC_f1ebc580f60c4d30a80747190ffbec4f"/>
        <w:id w:val="-1546521859"/>
        <w:lock w:val="sdtContentLocked"/>
        <w:placeholder>
          <w:docPart w:val="GBC22222222222222222222222222222"/>
        </w:placeholder>
      </w:sdtPr>
      <w:sdtContent>
        <w:p w:rsidR="00FD2AE9" w:rsidRDefault="00F80B6C" w:rsidP="00FD2AE9">
          <w:r>
            <w:rPr>
              <w:szCs w:val="21"/>
            </w:rPr>
            <w:fldChar w:fldCharType="begin"/>
          </w:r>
          <w:r w:rsidR="00FD2AE9">
            <w:rPr>
              <w:szCs w:val="21"/>
            </w:rPr>
            <w:instrText xml:space="preserve">MACROBUTTON  SnrToggleCheckbox √适用 </w:instrText>
          </w:r>
          <w:r>
            <w:rPr>
              <w:szCs w:val="21"/>
            </w:rPr>
            <w:fldChar w:fldCharType="end"/>
          </w:r>
          <w:r>
            <w:rPr>
              <w:szCs w:val="21"/>
            </w:rPr>
            <w:fldChar w:fldCharType="begin"/>
          </w:r>
          <w:r w:rsidR="00FD2AE9">
            <w:rPr>
              <w:szCs w:val="21"/>
            </w:rPr>
            <w:instrText xml:space="preserve"> MACROBUTTON  SnrToggleCheckbox □不适用 </w:instrText>
          </w:r>
          <w:r>
            <w:rPr>
              <w:szCs w:val="21"/>
            </w:rPr>
            <w:fldChar w:fldCharType="end"/>
          </w:r>
        </w:p>
      </w:sdtContent>
    </w:sdt>
    <w:sdt>
      <w:sdtPr>
        <w:rPr>
          <w:rFonts w:hint="eastAsia"/>
          <w:szCs w:val="21"/>
        </w:rPr>
        <w:alias w:val="模块:会计政策变更"/>
        <w:tag w:val="_GBC_0e06dc657bb8435eb065c6bd60685496"/>
        <w:id w:val="-711030687"/>
        <w:lock w:val="sdtLocked"/>
      </w:sdtPr>
      <w:sdtEndPr>
        <w:rPr>
          <w:rFonts w:ascii="Times New Roman" w:hAnsi="Times New Roman" w:cs="Times New Roman"/>
          <w:kern w:val="2"/>
        </w:rPr>
      </w:sdtEndPr>
      <w:sdtContent>
        <w:sdt>
          <w:sdtPr>
            <w:rPr>
              <w:szCs w:val="21"/>
            </w:rPr>
            <w:alias w:val="会计政策的变更的其他说明"/>
            <w:tag w:val="_GBC_93e2fc5a38cb45958eae783eee8d98c3"/>
            <w:id w:val="-442069565"/>
            <w:lock w:val="sdtLocked"/>
          </w:sdtPr>
          <w:sdtContent>
            <w:p w:rsidR="00FD2AE9" w:rsidRPr="00FD2AE9" w:rsidRDefault="00FD2AE9" w:rsidP="00FD2AE9">
              <w:pPr>
                <w:rPr>
                  <w:szCs w:val="21"/>
                </w:rPr>
              </w:pPr>
              <w:r w:rsidRPr="00FD2AE9">
                <w:rPr>
                  <w:rFonts w:hint="eastAsia"/>
                  <w:szCs w:val="21"/>
                </w:rPr>
                <w:t>本集团于</w:t>
              </w:r>
              <w:r w:rsidRPr="00FD2AE9">
                <w:rPr>
                  <w:szCs w:val="21"/>
                </w:rPr>
                <w:t>2022年度执行了财政部于近年颁布的以下企业会计准则相关规定及指引，主要包括：</w:t>
              </w:r>
            </w:p>
            <w:p w:rsidR="00FD2AE9" w:rsidRPr="00FD2AE9" w:rsidRDefault="00FD2AE9" w:rsidP="00FD2AE9">
              <w:pPr>
                <w:rPr>
                  <w:szCs w:val="21"/>
                </w:rPr>
              </w:pPr>
            </w:p>
            <w:p w:rsidR="00FD2AE9" w:rsidRPr="00FD2AE9" w:rsidRDefault="00FD2AE9" w:rsidP="00FD2AE9">
              <w:pPr>
                <w:rPr>
                  <w:szCs w:val="21"/>
                </w:rPr>
              </w:pPr>
              <w:r w:rsidRPr="00FD2AE9">
                <w:rPr>
                  <w:szCs w:val="21"/>
                </w:rPr>
                <w:t>-</w:t>
              </w:r>
              <w:r w:rsidRPr="00FD2AE9">
                <w:rPr>
                  <w:szCs w:val="21"/>
                </w:rPr>
                <w:tab/>
                <w:t>《企业会计准则解释第15号》(财会[2021]35号)(“解释第15号”)中“关于企业将固定资产达到预定可使用状态前或者研发过程中产出的产品或副产品对外销售的会计处理” (“试运行销售的会计处理”)的规定；</w:t>
              </w:r>
            </w:p>
            <w:p w:rsidR="00FD2AE9" w:rsidRPr="00FD2AE9" w:rsidRDefault="00FD2AE9" w:rsidP="00FD2AE9">
              <w:pPr>
                <w:rPr>
                  <w:szCs w:val="21"/>
                </w:rPr>
              </w:pPr>
              <w:r w:rsidRPr="00FD2AE9">
                <w:rPr>
                  <w:szCs w:val="21"/>
                </w:rPr>
                <w:t>-</w:t>
              </w:r>
              <w:r w:rsidRPr="00FD2AE9">
                <w:rPr>
                  <w:szCs w:val="21"/>
                </w:rPr>
                <w:tab/>
                <w:t>解释第15号中“关于亏损合同的判断”的规定；</w:t>
              </w:r>
            </w:p>
            <w:p w:rsidR="00FD2AE9" w:rsidRPr="00FD2AE9" w:rsidRDefault="00FD2AE9" w:rsidP="00FD2AE9">
              <w:pPr>
                <w:rPr>
                  <w:szCs w:val="21"/>
                </w:rPr>
              </w:pPr>
              <w:r w:rsidRPr="00FD2AE9">
                <w:rPr>
                  <w:szCs w:val="21"/>
                </w:rPr>
                <w:t>-</w:t>
              </w:r>
              <w:r w:rsidRPr="00FD2AE9">
                <w:rPr>
                  <w:szCs w:val="21"/>
                </w:rPr>
                <w:tab/>
                <w:t>《关于适用&lt;新冠肺炎疫情相关租金减让会计处理规定&gt;相关问题的通知》(财会[2022]13号)；</w:t>
              </w:r>
            </w:p>
            <w:p w:rsidR="00FD2AE9" w:rsidRPr="00FD2AE9" w:rsidRDefault="00FD2AE9" w:rsidP="00FD2AE9">
              <w:pPr>
                <w:rPr>
                  <w:szCs w:val="21"/>
                </w:rPr>
              </w:pPr>
              <w:r w:rsidRPr="00FD2AE9">
                <w:rPr>
                  <w:szCs w:val="21"/>
                </w:rPr>
                <w:t>-</w:t>
              </w:r>
              <w:r w:rsidRPr="00FD2AE9">
                <w:rPr>
                  <w:szCs w:val="21"/>
                </w:rPr>
                <w:tab/>
                <w:t>《企业会计准则解释第16号》(财会〔2022〕31号) (“解释第16号”) 中“关于发行方分类为权益工具的金融工具相关股利的所得税影响的会计处理“的规定；及</w:t>
              </w:r>
            </w:p>
            <w:p w:rsidR="00FD2AE9" w:rsidRPr="00FD2AE9" w:rsidRDefault="00FD2AE9" w:rsidP="00FD2AE9">
              <w:pPr>
                <w:rPr>
                  <w:szCs w:val="21"/>
                </w:rPr>
              </w:pPr>
              <w:r w:rsidRPr="00FD2AE9">
                <w:rPr>
                  <w:szCs w:val="21"/>
                </w:rPr>
                <w:t>-</w:t>
              </w:r>
              <w:r w:rsidRPr="00FD2AE9">
                <w:rPr>
                  <w:szCs w:val="21"/>
                </w:rPr>
                <w:tab/>
                <w:t>解释第16号中“关于企业将以现金结算的股份支付修改为以权益结算的股份支付的会计处理</w:t>
              </w:r>
              <w:r w:rsidR="006E43A5">
                <w:rPr>
                  <w:rFonts w:hint="eastAsia"/>
                  <w:szCs w:val="21"/>
                </w:rPr>
                <w:t>”</w:t>
              </w:r>
              <w:r w:rsidRPr="00FD2AE9">
                <w:rPr>
                  <w:szCs w:val="21"/>
                </w:rPr>
                <w:t>的规定。</w:t>
              </w:r>
            </w:p>
            <w:p w:rsidR="00FD2AE9" w:rsidRPr="00FD2AE9" w:rsidRDefault="00FD2AE9" w:rsidP="00FD2AE9">
              <w:pPr>
                <w:rPr>
                  <w:szCs w:val="21"/>
                </w:rPr>
              </w:pPr>
            </w:p>
            <w:p w:rsidR="00FD2AE9" w:rsidRPr="00FD2AE9" w:rsidRDefault="00FD2AE9" w:rsidP="00FD2AE9">
              <w:pPr>
                <w:rPr>
                  <w:szCs w:val="21"/>
                </w:rPr>
              </w:pPr>
              <w:r w:rsidRPr="00FD2AE9">
                <w:rPr>
                  <w:szCs w:val="21"/>
                </w:rPr>
                <w:t>(a)</w:t>
              </w:r>
              <w:r w:rsidRPr="00FD2AE9">
                <w:rPr>
                  <w:szCs w:val="21"/>
                </w:rPr>
                <w:tab/>
                <w:t>试运行销售的会计处理规定</w:t>
              </w:r>
            </w:p>
            <w:p w:rsidR="00FD2AE9" w:rsidRPr="00FD2AE9" w:rsidRDefault="00FD2AE9" w:rsidP="00FD2AE9">
              <w:pPr>
                <w:rPr>
                  <w:szCs w:val="21"/>
                </w:rPr>
              </w:pPr>
            </w:p>
            <w:p w:rsidR="00FD2AE9" w:rsidRPr="00FD2AE9" w:rsidRDefault="00FD2AE9" w:rsidP="00FD2AE9">
              <w:pPr>
                <w:rPr>
                  <w:szCs w:val="21"/>
                </w:rPr>
              </w:pPr>
              <w:r w:rsidRPr="00FD2AE9">
                <w:rPr>
                  <w:rFonts w:hint="eastAsia"/>
                  <w:szCs w:val="21"/>
                </w:rPr>
                <w:t>根据解释第</w:t>
              </w:r>
              <w:r w:rsidRPr="00FD2AE9">
                <w:rPr>
                  <w:szCs w:val="21"/>
                </w:rPr>
                <w:t>15号的规定，本集团将固定资产达到预定可使用状态前以及研发过程中产出的产品或副产品对外销售(以下统称“试运行销售”)取得的收入和成本，按照《企业会计准则第14号——收入》、《企业会计准则第1号——存货》等规定分别进行会计处理，计入当期损益，而不再将试运行销售相关收入抵销相关成本后的净额冲减固定资产成本或者研发支出。</w:t>
              </w:r>
            </w:p>
            <w:p w:rsidR="00FD2AE9" w:rsidRPr="00FD2AE9" w:rsidRDefault="00FD2AE9" w:rsidP="00FD2AE9">
              <w:pPr>
                <w:rPr>
                  <w:szCs w:val="21"/>
                </w:rPr>
              </w:pPr>
            </w:p>
            <w:p w:rsidR="00FD2AE9" w:rsidRPr="00FD2AE9" w:rsidRDefault="00FD2AE9" w:rsidP="00FD2AE9">
              <w:pPr>
                <w:rPr>
                  <w:szCs w:val="21"/>
                </w:rPr>
              </w:pPr>
              <w:r w:rsidRPr="00FD2AE9">
                <w:rPr>
                  <w:rFonts w:hint="eastAsia"/>
                  <w:szCs w:val="21"/>
                </w:rPr>
                <w:t>采用该规定未对本集团的财务状况及经营成果产生重大影响。</w:t>
              </w:r>
            </w:p>
            <w:p w:rsidR="00FD2AE9" w:rsidRPr="00FD2AE9" w:rsidRDefault="00FD2AE9" w:rsidP="00FD2AE9">
              <w:pPr>
                <w:rPr>
                  <w:szCs w:val="21"/>
                </w:rPr>
              </w:pPr>
              <w:r w:rsidRPr="00FD2AE9">
                <w:rPr>
                  <w:szCs w:val="21"/>
                </w:rPr>
                <w:t>(b)</w:t>
              </w:r>
              <w:r>
                <w:rPr>
                  <w:szCs w:val="21"/>
                </w:rPr>
                <w:tab/>
              </w:r>
              <w:r w:rsidRPr="00FD2AE9">
                <w:rPr>
                  <w:szCs w:val="21"/>
                </w:rPr>
                <w:t>关于亏损合同的判断规定</w:t>
              </w:r>
            </w:p>
            <w:p w:rsidR="00FD2AE9" w:rsidRPr="00FD2AE9" w:rsidRDefault="00FD2AE9" w:rsidP="00FD2AE9">
              <w:pPr>
                <w:rPr>
                  <w:szCs w:val="21"/>
                </w:rPr>
              </w:pPr>
            </w:p>
            <w:p w:rsidR="00FD2AE9" w:rsidRPr="00FD2AE9" w:rsidRDefault="00FD2AE9" w:rsidP="00FD2AE9">
              <w:pPr>
                <w:rPr>
                  <w:szCs w:val="21"/>
                </w:rPr>
              </w:pPr>
              <w:r w:rsidRPr="00FD2AE9">
                <w:rPr>
                  <w:rFonts w:hint="eastAsia"/>
                  <w:szCs w:val="21"/>
                </w:rPr>
                <w:t>根据解释第</w:t>
              </w:r>
              <w:r w:rsidRPr="00FD2AE9">
                <w:rPr>
                  <w:szCs w:val="21"/>
                </w:rPr>
                <w:t>15号的规定，本集团在判断亏损合同时，估计履行合同的成本中应包括履行合同的增量成本和与履行合同直接相关的其他成本的分摊金额。</w:t>
              </w:r>
            </w:p>
            <w:p w:rsidR="00FD2AE9" w:rsidRPr="00FD2AE9" w:rsidRDefault="00FD2AE9" w:rsidP="00FD2AE9">
              <w:pPr>
                <w:rPr>
                  <w:szCs w:val="21"/>
                </w:rPr>
              </w:pPr>
            </w:p>
            <w:p w:rsidR="00FD2AE9" w:rsidRDefault="00FD2AE9" w:rsidP="00FD2AE9">
              <w:pPr>
                <w:rPr>
                  <w:szCs w:val="21"/>
                </w:rPr>
              </w:pPr>
              <w:r w:rsidRPr="00FD2AE9">
                <w:rPr>
                  <w:rFonts w:hint="eastAsia"/>
                  <w:szCs w:val="21"/>
                </w:rPr>
                <w:t>采用该规定未对本集团的财务状况及经营成果产生重大影响。</w:t>
              </w:r>
            </w:p>
            <w:p w:rsidR="00FD2AE9" w:rsidRPr="00FD2AE9" w:rsidRDefault="00FD2AE9" w:rsidP="00FD2AE9">
              <w:pPr>
                <w:rPr>
                  <w:szCs w:val="21"/>
                </w:rPr>
              </w:pPr>
              <w:r w:rsidRPr="00FD2AE9">
                <w:rPr>
                  <w:szCs w:val="21"/>
                </w:rPr>
                <w:t>(c)</w:t>
              </w:r>
              <w:r>
                <w:rPr>
                  <w:szCs w:val="21"/>
                </w:rPr>
                <w:tab/>
              </w:r>
              <w:r w:rsidRPr="00FD2AE9">
                <w:rPr>
                  <w:szCs w:val="21"/>
                </w:rPr>
                <w:t>财会[2022]13号</w:t>
              </w:r>
            </w:p>
            <w:p w:rsidR="00FD2AE9" w:rsidRPr="00FD2AE9" w:rsidRDefault="00FD2AE9" w:rsidP="00FD2AE9">
              <w:pPr>
                <w:rPr>
                  <w:szCs w:val="21"/>
                </w:rPr>
              </w:pPr>
              <w:r w:rsidRPr="00FD2AE9">
                <w:rPr>
                  <w:rFonts w:hint="eastAsia"/>
                  <w:szCs w:val="21"/>
                </w:rPr>
                <w:t>《新冠肺炎疫情相关租金减让会计处理规定》</w:t>
              </w:r>
              <w:r w:rsidRPr="00FD2AE9">
                <w:rPr>
                  <w:szCs w:val="21"/>
                </w:rPr>
                <w:t>(财会[2020]10号)对于满足一定条件的，由新冠肺炎疫情直接引发的租金减让提供了简化方法。根据财会[2022]13号的规定，对于2022年6月30日之后应付租赁付款额的减让可以继续执行财会[2020]10号的简化方法。</w:t>
              </w:r>
            </w:p>
            <w:p w:rsidR="00FD2AE9" w:rsidRPr="00FD2AE9" w:rsidRDefault="00FD2AE9" w:rsidP="00FD2AE9">
              <w:pPr>
                <w:rPr>
                  <w:szCs w:val="21"/>
                </w:rPr>
              </w:pPr>
            </w:p>
            <w:p w:rsidR="00FD2AE9" w:rsidRPr="00FD2AE9" w:rsidRDefault="00FD2AE9" w:rsidP="00FD2AE9">
              <w:pPr>
                <w:rPr>
                  <w:szCs w:val="21"/>
                </w:rPr>
              </w:pPr>
              <w:r w:rsidRPr="00FD2AE9">
                <w:rPr>
                  <w:rFonts w:hint="eastAsia"/>
                  <w:szCs w:val="21"/>
                </w:rPr>
                <w:t>采用该规定未对本集团的财务状况及经营成果产生重大影响。</w:t>
              </w:r>
            </w:p>
            <w:p w:rsidR="00FD2AE9" w:rsidRPr="00FD2AE9" w:rsidRDefault="00FD2AE9" w:rsidP="00FD2AE9">
              <w:pPr>
                <w:rPr>
                  <w:szCs w:val="21"/>
                </w:rPr>
              </w:pPr>
            </w:p>
            <w:p w:rsidR="00FD2AE9" w:rsidRPr="00FD2AE9" w:rsidRDefault="00FD2AE9" w:rsidP="00FD2AE9">
              <w:pPr>
                <w:rPr>
                  <w:szCs w:val="21"/>
                </w:rPr>
              </w:pPr>
              <w:r w:rsidRPr="00FD2AE9">
                <w:rPr>
                  <w:szCs w:val="21"/>
                </w:rPr>
                <w:t>(d)</w:t>
              </w:r>
              <w:r>
                <w:rPr>
                  <w:szCs w:val="21"/>
                </w:rPr>
                <w:tab/>
              </w:r>
              <w:r w:rsidRPr="00FD2AE9">
                <w:rPr>
                  <w:szCs w:val="21"/>
                </w:rPr>
                <w:t>发行方分类为权益工具的金融工具相关股利的所得税影响的会计处理规定</w:t>
              </w:r>
            </w:p>
            <w:p w:rsidR="00FD2AE9" w:rsidRPr="00FD2AE9" w:rsidRDefault="00FD2AE9" w:rsidP="00FD2AE9">
              <w:pPr>
                <w:rPr>
                  <w:szCs w:val="21"/>
                </w:rPr>
              </w:pPr>
            </w:p>
            <w:p w:rsidR="00FD2AE9" w:rsidRPr="00FD2AE9" w:rsidRDefault="00FD2AE9" w:rsidP="00FD2AE9">
              <w:pPr>
                <w:rPr>
                  <w:szCs w:val="21"/>
                </w:rPr>
              </w:pPr>
              <w:r w:rsidRPr="00FD2AE9">
                <w:rPr>
                  <w:rFonts w:hint="eastAsia"/>
                  <w:szCs w:val="21"/>
                </w:rPr>
                <w:t>根据解释第</w:t>
              </w:r>
              <w:r w:rsidRPr="00FD2AE9">
                <w:rPr>
                  <w:szCs w:val="21"/>
                </w:rPr>
                <w:t>16号的规定，对于按照《企业会计准则第37号——金融工具列报》等规定分类为权益工具的金融工具 (如分类为权益工具的永续债等)，相关股利支出按照税收政策相关规定在企业所得税税前扣除的，本集团作为发行方在确认应付股利时，确认与股利相关的所得税影响。对于</w:t>
              </w:r>
              <w:r w:rsidRPr="00FD2AE9">
                <w:rPr>
                  <w:szCs w:val="21"/>
                </w:rPr>
                <w:lastRenderedPageBreak/>
                <w:t xml:space="preserve">所分配的利润来源于以前产生损益的交易或事项，该股利的所得税影响计入当期损益；对于所分配的利润来源于以前确认在所有者权益中的交易或事项，该股利的所得税影响计入所有者权益项目。 </w:t>
              </w:r>
            </w:p>
            <w:p w:rsidR="00FD2AE9" w:rsidRPr="00FD2AE9" w:rsidRDefault="00FD2AE9" w:rsidP="00FD2AE9">
              <w:pPr>
                <w:rPr>
                  <w:szCs w:val="21"/>
                </w:rPr>
              </w:pPr>
            </w:p>
            <w:p w:rsidR="00FD2AE9" w:rsidRPr="00FD2AE9" w:rsidRDefault="00FD2AE9" w:rsidP="00FD2AE9">
              <w:pPr>
                <w:rPr>
                  <w:szCs w:val="21"/>
                </w:rPr>
              </w:pPr>
              <w:r w:rsidRPr="00FD2AE9">
                <w:rPr>
                  <w:rFonts w:hint="eastAsia"/>
                  <w:szCs w:val="21"/>
                </w:rPr>
                <w:t>采用该规定未对本集团的财务状况及经营成果产生重大影响。</w:t>
              </w:r>
            </w:p>
            <w:p w:rsidR="00FD2AE9" w:rsidRPr="00FD2AE9" w:rsidRDefault="00FD2AE9" w:rsidP="00FD2AE9">
              <w:pPr>
                <w:rPr>
                  <w:szCs w:val="21"/>
                </w:rPr>
              </w:pPr>
            </w:p>
            <w:p w:rsidR="00FD2AE9" w:rsidRPr="00FD2AE9" w:rsidRDefault="00FD2AE9" w:rsidP="00FD2AE9">
              <w:pPr>
                <w:rPr>
                  <w:szCs w:val="21"/>
                </w:rPr>
              </w:pPr>
              <w:r w:rsidRPr="00FD2AE9">
                <w:rPr>
                  <w:szCs w:val="21"/>
                </w:rPr>
                <w:t>(e)</w:t>
              </w:r>
              <w:r>
                <w:rPr>
                  <w:szCs w:val="21"/>
                </w:rPr>
                <w:tab/>
              </w:r>
              <w:r w:rsidRPr="00FD2AE9">
                <w:rPr>
                  <w:szCs w:val="21"/>
                </w:rPr>
                <w:t>企业将以现金结算的股份支付修改为以权益结算的股份支付的会计处理规定</w:t>
              </w:r>
            </w:p>
            <w:p w:rsidR="00FD2AE9" w:rsidRPr="00FD2AE9" w:rsidRDefault="00FD2AE9" w:rsidP="00FD2AE9">
              <w:pPr>
                <w:rPr>
                  <w:szCs w:val="21"/>
                </w:rPr>
              </w:pPr>
            </w:p>
            <w:p w:rsidR="00FD2AE9" w:rsidRPr="00FD2AE9" w:rsidRDefault="00FD2AE9" w:rsidP="00FD2AE9">
              <w:pPr>
                <w:rPr>
                  <w:szCs w:val="21"/>
                </w:rPr>
              </w:pPr>
              <w:r w:rsidRPr="00FD2AE9">
                <w:rPr>
                  <w:rFonts w:hint="eastAsia"/>
                  <w:szCs w:val="21"/>
                </w:rPr>
                <w:t>根据解释第</w:t>
              </w:r>
              <w:r w:rsidRPr="00FD2AE9">
                <w:rPr>
                  <w:szCs w:val="21"/>
                </w:rPr>
                <w:t>16号的规定，本集团修改以现金结算的股份支付协议中的条款和条件，使其成为以权益结算的股份支付的，在修改日，本集团按照所授予权益工具当日的公允价值计量以权益结算的股份支付，将已取得的服务计入资本公积，同时终止确认以现金结算的股份支付在修改日已确认的负债，两者之间的差额计入当期损益。对于修改延长或缩短了等待期的，本集团按照修改后的等待期进行上述会计处理。</w:t>
              </w:r>
            </w:p>
            <w:p w:rsidR="00FD2AE9" w:rsidRPr="00FD2AE9" w:rsidRDefault="00FD2AE9" w:rsidP="00FD2AE9">
              <w:pPr>
                <w:rPr>
                  <w:szCs w:val="21"/>
                </w:rPr>
              </w:pPr>
            </w:p>
            <w:p w:rsidR="00FD2AE9" w:rsidRDefault="00FD2AE9" w:rsidP="00FD2AE9">
              <w:r w:rsidRPr="00FD2AE9">
                <w:rPr>
                  <w:rFonts w:hint="eastAsia"/>
                  <w:szCs w:val="21"/>
                </w:rPr>
                <w:t>采用该规定未对本集团的财务状况及经营成果产生重大影响。</w:t>
              </w:r>
            </w:p>
          </w:sdtContent>
        </w:sdt>
      </w:sdtContent>
    </w:sdt>
    <w:p w:rsidR="00A304A1" w:rsidRDefault="00A304A1">
      <w:pPr>
        <w:rPr>
          <w:szCs w:val="21"/>
        </w:rPr>
      </w:pPr>
    </w:p>
    <w:p w:rsidR="00806678" w:rsidRDefault="00B16377" w:rsidP="00FF17C7">
      <w:pPr>
        <w:pStyle w:val="4"/>
        <w:numPr>
          <w:ilvl w:val="3"/>
          <w:numId w:val="76"/>
        </w:numPr>
        <w:ind w:left="426" w:hanging="426"/>
      </w:pPr>
      <w:r>
        <w:rPr>
          <w:rFonts w:hint="eastAsia"/>
        </w:rPr>
        <w:t>重要</w:t>
      </w:r>
      <w:r>
        <w:t>会计估计变更</w:t>
      </w:r>
    </w:p>
    <w:sdt>
      <w:sdtPr>
        <w:alias w:val="是否适用：重要会计估计变更[双击切换]"/>
        <w:tag w:val="_GBC_902f08bd36774074945386d2d1f9b67d"/>
        <w:id w:val="1051656543"/>
        <w:lock w:val="sdtLocked"/>
        <w:placeholder>
          <w:docPart w:val="GBC22222222222222222222222222222"/>
        </w:placeholder>
      </w:sdtPr>
      <w:sdtContent>
        <w:p w:rsidR="00A304A1" w:rsidRDefault="00F80B6C" w:rsidP="00A304A1">
          <w:pPr>
            <w:rPr>
              <w:szCs w:val="21"/>
            </w:rPr>
          </w:pPr>
          <w:r>
            <w:fldChar w:fldCharType="begin"/>
          </w:r>
          <w:r w:rsidR="00A304A1">
            <w:instrText xml:space="preserve">MACROBUTTON  SnrToggleCheckbox □适用 </w:instrText>
          </w:r>
          <w:r>
            <w:fldChar w:fldCharType="end"/>
          </w:r>
          <w:r>
            <w:fldChar w:fldCharType="begin"/>
          </w:r>
          <w:r w:rsidR="00A304A1">
            <w:instrText xml:space="preserve"> MACROBUTTON  SnrToggleCheckbox √不适用 </w:instrText>
          </w:r>
          <w:r>
            <w:fldChar w:fldCharType="end"/>
          </w:r>
        </w:p>
      </w:sdtContent>
    </w:sdt>
    <w:p w:rsidR="00A304A1" w:rsidRDefault="00A304A1">
      <w:pPr>
        <w:rPr>
          <w:szCs w:val="21"/>
        </w:rPr>
      </w:pPr>
    </w:p>
    <w:bookmarkStart w:id="153" w:name="_Hlk24100246" w:displacedByCustomXml="next"/>
    <w:sdt>
      <w:sdtPr>
        <w:rPr>
          <w:rFonts w:ascii="宋体" w:eastAsia="宋体" w:hAnsi="宋体" w:cs="宋体"/>
          <w:b w:val="0"/>
          <w:bCs w:val="0"/>
          <w:kern w:val="0"/>
          <w:szCs w:val="24"/>
        </w:rPr>
        <w:alias w:val="选项模块:首次执行新金融工具准则、新收入准则、新租赁准则调整首次执行当年年初财务报表相关项目情况"/>
        <w:tag w:val="_SEC_26cb0ff2f40c4cec8cc5f95eaa49a269"/>
        <w:id w:val="1462688033"/>
        <w:lock w:val="sdtLocked"/>
        <w:placeholder>
          <w:docPart w:val="GBC22222222222222222222222222222"/>
        </w:placeholder>
      </w:sdtPr>
      <w:sdtEndPr>
        <w:rPr>
          <w:szCs w:val="21"/>
        </w:rPr>
      </w:sdtEndPr>
      <w:sdtContent>
        <w:bookmarkStart w:id="154" w:name="_Hlk10465969" w:displacedByCustomXml="prev"/>
        <w:bookmarkEnd w:id="154" w:displacedByCustomXml="prev"/>
        <w:p w:rsidR="00806678" w:rsidRDefault="00B16377" w:rsidP="00FF17C7">
          <w:pPr>
            <w:pStyle w:val="4"/>
            <w:numPr>
              <w:ilvl w:val="3"/>
              <w:numId w:val="76"/>
            </w:numPr>
            <w:ind w:left="426" w:hanging="426"/>
          </w:pPr>
          <w:r>
            <w:rPr>
              <w:rFonts w:ascii="Times New Roman" w:hAnsi="Times New Roman"/>
            </w:rPr>
            <w:t>2022</w:t>
          </w:r>
          <w:r>
            <w:t>年</w:t>
          </w:r>
          <w:r>
            <w:rPr>
              <w:rFonts w:hint="eastAsia"/>
            </w:rPr>
            <w:t>起首次执行新会计准则或准则解释等涉及调整首次执行当年年初的财务报表</w:t>
          </w:r>
        </w:p>
        <w:sdt>
          <w:sdtPr>
            <w:rPr>
              <w:rFonts w:hint="eastAsia"/>
            </w:rPr>
            <w:alias w:val="是否适用：首次执行新金融工具准则或新收入准则调整首次执行当年年初财务报表相关项目情况[双击切换]"/>
            <w:tag w:val="_GBC_e1701479a1654e0d9f4b2ffb99c13db0"/>
            <w:id w:val="1529222755"/>
            <w:lock w:val="sdtLocked"/>
            <w:placeholder>
              <w:docPart w:val="GBC22222222222222222222222222222"/>
            </w:placeholder>
          </w:sdtPr>
          <w:sdtContent>
            <w:p w:rsidR="00FD2AE9" w:rsidRDefault="00F80B6C" w:rsidP="00FD2AE9">
              <w:r>
                <w:fldChar w:fldCharType="begin"/>
              </w:r>
              <w:r w:rsidR="00FD2AE9">
                <w:instrText xml:space="preserve"> MACROBUTTON  SnrToggleCheckbox □适用 </w:instrText>
              </w:r>
              <w:r>
                <w:fldChar w:fldCharType="end"/>
              </w:r>
              <w:r>
                <w:fldChar w:fldCharType="begin"/>
              </w:r>
              <w:r w:rsidR="00FD2AE9">
                <w:instrText xml:space="preserve"> MACROBUTTON  SnrToggleCheckbox √不适用 </w:instrText>
              </w:r>
              <w:r>
                <w:fldChar w:fldCharType="end"/>
              </w:r>
            </w:p>
          </w:sdtContent>
        </w:sdt>
        <w:p w:rsidR="00806678" w:rsidRDefault="00F80B6C">
          <w:pPr>
            <w:rPr>
              <w:szCs w:val="21"/>
            </w:rPr>
          </w:pPr>
        </w:p>
      </w:sdtContent>
    </w:sdt>
    <w:bookmarkEnd w:id="153" w:displacedByCustomXml="prev"/>
    <w:sdt>
      <w:sdtPr>
        <w:rPr>
          <w:rFonts w:asciiTheme="minorHAnsi" w:hAnsiTheme="minorHAnsi" w:cstheme="minorBidi" w:hint="eastAsia"/>
          <w:b w:val="0"/>
          <w:bCs w:val="0"/>
          <w:kern w:val="0"/>
          <w:szCs w:val="22"/>
        </w:rPr>
        <w:alias w:val="模块:其他"/>
        <w:tag w:val="_GBC_f9189f2c315949f484bded540173f7a8"/>
        <w:id w:val="-1357881275"/>
        <w:lock w:val="sdtLocked"/>
        <w:placeholder>
          <w:docPart w:val="GBC22222222222222222222222222222"/>
        </w:placeholder>
      </w:sdtPr>
      <w:sdtEndPr>
        <w:rPr>
          <w:rFonts w:ascii="宋体" w:hAnsi="宋体" w:cs="Times New Roman"/>
          <w:szCs w:val="21"/>
        </w:rPr>
      </w:sdtEndPr>
      <w:sdtContent>
        <w:p w:rsidR="00806678" w:rsidRDefault="00B16377" w:rsidP="00FF17C7">
          <w:pPr>
            <w:pStyle w:val="3"/>
            <w:numPr>
              <w:ilvl w:val="0"/>
              <w:numId w:val="39"/>
            </w:numPr>
          </w:pPr>
          <w:r>
            <w:rPr>
              <w:rFonts w:hint="eastAsia"/>
            </w:rPr>
            <w:t>其他</w:t>
          </w:r>
        </w:p>
        <w:sdt>
          <w:sdtPr>
            <w:rPr>
              <w:rFonts w:hint="eastAsia"/>
              <w:szCs w:val="21"/>
            </w:rPr>
            <w:alias w:val="是否适用：公司主要会计政策、会计估计和前期差错的其他说明[双击切换]"/>
            <w:tag w:val="_GBC_bcb348c2b015461e9de30ce69ad888ae"/>
            <w:id w:val="183945872"/>
            <w:lock w:val="sdtLocked"/>
            <w:placeholder>
              <w:docPart w:val="GBC22222222222222222222222222222"/>
            </w:placeholder>
          </w:sdtPr>
          <w:sdtContent>
            <w:p w:rsidR="00806678" w:rsidRDefault="00F80B6C" w:rsidP="00A304A1">
              <w:pPr>
                <w:rPr>
                  <w:szCs w:val="21"/>
                </w:rPr>
              </w:pPr>
              <w:r>
                <w:rPr>
                  <w:szCs w:val="21"/>
                </w:rPr>
                <w:fldChar w:fldCharType="begin"/>
              </w:r>
              <w:r w:rsidR="00A304A1">
                <w:rPr>
                  <w:szCs w:val="21"/>
                </w:rPr>
                <w:instrText xml:space="preserve"> MACROBUTTON  SnrToggleCheckbox □适用  </w:instrText>
              </w:r>
              <w:r>
                <w:rPr>
                  <w:szCs w:val="21"/>
                </w:rPr>
                <w:fldChar w:fldCharType="end"/>
              </w:r>
              <w:r>
                <w:rPr>
                  <w:szCs w:val="21"/>
                </w:rPr>
                <w:fldChar w:fldCharType="begin"/>
              </w:r>
              <w:r w:rsidR="00A304A1">
                <w:rPr>
                  <w:szCs w:val="21"/>
                </w:rPr>
                <w:instrText xml:space="preserve"> MACROBUTTON  SnrToggleCheckbox √不适用 </w:instrText>
              </w:r>
              <w:r>
                <w:rPr>
                  <w:szCs w:val="21"/>
                </w:rPr>
                <w:fldChar w:fldCharType="end"/>
              </w:r>
            </w:p>
          </w:sdtContent>
        </w:sdt>
        <w:p w:rsidR="00806678" w:rsidRDefault="00F80B6C">
          <w:pPr>
            <w:rPr>
              <w:szCs w:val="21"/>
            </w:rPr>
          </w:pPr>
        </w:p>
      </w:sdtContent>
    </w:sdt>
    <w:p w:rsidR="00806678" w:rsidRDefault="00B16377" w:rsidP="00FF17C7">
      <w:pPr>
        <w:pStyle w:val="2"/>
        <w:numPr>
          <w:ilvl w:val="0"/>
          <w:numId w:val="37"/>
        </w:numPr>
        <w:rPr>
          <w:rFonts w:ascii="宋体" w:hAnsi="宋体"/>
        </w:rPr>
      </w:pPr>
      <w:r>
        <w:rPr>
          <w:rFonts w:ascii="宋体" w:hAnsi="宋体" w:hint="eastAsia"/>
        </w:rPr>
        <w:t>税项</w:t>
      </w:r>
    </w:p>
    <w:sdt>
      <w:sdtPr>
        <w:rPr>
          <w:rFonts w:asciiTheme="minorHAnsi" w:hAnsiTheme="minorHAnsi" w:cs="宋体"/>
          <w:b w:val="0"/>
          <w:bCs w:val="0"/>
          <w:kern w:val="0"/>
          <w:szCs w:val="22"/>
        </w:rPr>
        <w:alias w:val="模块:主要税种及税率"/>
        <w:tag w:val="_GBC_21c965fa52af49a9865023fb4e05671a"/>
        <w:id w:val="1883745031"/>
        <w:lock w:val="sdtLocked"/>
        <w:placeholder>
          <w:docPart w:val="GBC22222222222222222222222222222"/>
        </w:placeholder>
      </w:sdtPr>
      <w:sdtEndPr>
        <w:rPr>
          <w:rFonts w:ascii="宋体" w:hAnsi="宋体"/>
          <w:szCs w:val="24"/>
        </w:rPr>
      </w:sdtEndPr>
      <w:sdtContent>
        <w:p w:rsidR="00806678" w:rsidRDefault="00B16377" w:rsidP="00FF17C7">
          <w:pPr>
            <w:pStyle w:val="3"/>
            <w:numPr>
              <w:ilvl w:val="0"/>
              <w:numId w:val="42"/>
            </w:numPr>
            <w:tabs>
              <w:tab w:val="left" w:pos="546"/>
            </w:tabs>
          </w:pPr>
          <w:r>
            <w:t>主要税种及税率</w:t>
          </w:r>
        </w:p>
        <w:p w:rsidR="00806678" w:rsidRDefault="00B16377">
          <w:r>
            <w:t>主要税种及税率</w:t>
          </w:r>
          <w:r>
            <w:rPr>
              <w:rFonts w:hint="eastAsia"/>
            </w:rPr>
            <w:t>情况</w:t>
          </w:r>
        </w:p>
        <w:sdt>
          <w:sdtPr>
            <w:alias w:val="是否适用：主要税种及税率情况 [双击切换]"/>
            <w:tag w:val="_GBC_f900f926144b41b9ba020b5a24aff3c0"/>
            <w:id w:val="-1226841782"/>
            <w:lock w:val="sdtLocked"/>
            <w:placeholder>
              <w:docPart w:val="GBC22222222222222222222222222222"/>
            </w:placeholder>
          </w:sdtPr>
          <w:sdtContent>
            <w:p w:rsidR="008C237C" w:rsidRDefault="00F80B6C">
              <w:r>
                <w:fldChar w:fldCharType="begin"/>
              </w:r>
              <w:r w:rsidR="009C54D9">
                <w:instrText xml:space="preserve">MACROBUTTON  SnrToggleCheckbox √适用 </w:instrText>
              </w:r>
              <w:r>
                <w:fldChar w:fldCharType="end"/>
              </w:r>
              <w:r>
                <w:fldChar w:fldCharType="begin"/>
              </w:r>
              <w:r w:rsidR="009C54D9">
                <w:instrText xml:space="preserve"> MACROBUTTON  SnrToggleCheckbox □不适用 </w:instrText>
              </w:r>
              <w:r>
                <w:fldChar w:fldCharType="end"/>
              </w:r>
            </w:p>
            <w:p w:rsidR="00806678" w:rsidRDefault="00F80B6C"/>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82"/>
            <w:gridCol w:w="3422"/>
            <w:gridCol w:w="2845"/>
          </w:tblGrid>
          <w:tr w:rsidR="00994634" w:rsidTr="00EF1D36">
            <w:sdt>
              <w:sdtPr>
                <w:tag w:val="_PLD_b5758c089ae1414f99b1cc36321c29a1"/>
                <w:id w:val="1206903876"/>
                <w:lock w:val="sdtLocked"/>
              </w:sdtPr>
              <w:sdtContent>
                <w:tc>
                  <w:tcPr>
                    <w:tcW w:w="1537" w:type="pct"/>
                    <w:vAlign w:val="center"/>
                  </w:tcPr>
                  <w:p w:rsidR="00994634" w:rsidRDefault="00994634" w:rsidP="00601D47">
                    <w:pPr>
                      <w:jc w:val="center"/>
                      <w:rPr>
                        <w:szCs w:val="21"/>
                      </w:rPr>
                    </w:pPr>
                    <w:r>
                      <w:rPr>
                        <w:szCs w:val="21"/>
                      </w:rPr>
                      <w:t>税种</w:t>
                    </w:r>
                  </w:p>
                </w:tc>
              </w:sdtContent>
            </w:sdt>
            <w:sdt>
              <w:sdtPr>
                <w:tag w:val="_PLD_0e1599c84a4d47cc8f6f9b3d3069a1bd"/>
                <w:id w:val="1797868866"/>
                <w:lock w:val="sdtLocked"/>
              </w:sdtPr>
              <w:sdtContent>
                <w:tc>
                  <w:tcPr>
                    <w:tcW w:w="1891" w:type="pct"/>
                    <w:vAlign w:val="center"/>
                  </w:tcPr>
                  <w:p w:rsidR="00994634" w:rsidRDefault="00994634" w:rsidP="00601D47">
                    <w:pPr>
                      <w:jc w:val="center"/>
                      <w:rPr>
                        <w:szCs w:val="21"/>
                      </w:rPr>
                    </w:pPr>
                    <w:r>
                      <w:rPr>
                        <w:szCs w:val="21"/>
                      </w:rPr>
                      <w:t>计税依据</w:t>
                    </w:r>
                  </w:p>
                </w:tc>
              </w:sdtContent>
            </w:sdt>
            <w:sdt>
              <w:sdtPr>
                <w:tag w:val="_PLD_74e07bcec6714b078c64caa53447462a"/>
                <w:id w:val="651097190"/>
                <w:lock w:val="sdtLocked"/>
              </w:sdtPr>
              <w:sdtContent>
                <w:tc>
                  <w:tcPr>
                    <w:tcW w:w="1572" w:type="pct"/>
                    <w:vAlign w:val="center"/>
                  </w:tcPr>
                  <w:p w:rsidR="00994634" w:rsidRDefault="00994634" w:rsidP="00601D47">
                    <w:pPr>
                      <w:jc w:val="center"/>
                      <w:rPr>
                        <w:szCs w:val="21"/>
                      </w:rPr>
                    </w:pPr>
                    <w:r>
                      <w:rPr>
                        <w:szCs w:val="21"/>
                      </w:rPr>
                      <w:t>税率</w:t>
                    </w:r>
                  </w:p>
                </w:tc>
              </w:sdtContent>
            </w:sdt>
          </w:tr>
          <w:tr w:rsidR="00994634" w:rsidTr="00EF1D36">
            <w:tc>
              <w:tcPr>
                <w:tcW w:w="1537" w:type="pct"/>
              </w:tcPr>
              <w:p w:rsidR="00994634" w:rsidRDefault="00994634" w:rsidP="00601D47">
                <w:pPr>
                  <w:rPr>
                    <w:szCs w:val="21"/>
                  </w:rPr>
                </w:pPr>
                <w:r>
                  <w:rPr>
                    <w:szCs w:val="21"/>
                  </w:rPr>
                  <w:t>增值税</w:t>
                </w:r>
              </w:p>
            </w:tc>
            <w:tc>
              <w:tcPr>
                <w:tcW w:w="1891" w:type="pct"/>
              </w:tcPr>
              <w:p w:rsidR="00994634" w:rsidRDefault="00EF1D36" w:rsidP="00601D47">
                <w:pPr>
                  <w:rPr>
                    <w:szCs w:val="21"/>
                  </w:rPr>
                </w:pPr>
                <w:r w:rsidRPr="00EF1D36">
                  <w:rPr>
                    <w:rFonts w:hint="eastAsia"/>
                    <w:szCs w:val="21"/>
                  </w:rPr>
                  <w:t>按税法规定计算的销售货物和应税劳务收入为基础计算销项税额，在扣除当期允许抵扣的进项税额后，差额部分为应交增值税</w:t>
                </w:r>
              </w:p>
            </w:tc>
            <w:tc>
              <w:tcPr>
                <w:tcW w:w="1572" w:type="pct"/>
                <w:vAlign w:val="center"/>
              </w:tcPr>
              <w:p w:rsidR="00994634" w:rsidRDefault="00994634" w:rsidP="00514D88">
                <w:pPr>
                  <w:jc w:val="right"/>
                  <w:rPr>
                    <w:szCs w:val="21"/>
                  </w:rPr>
                </w:pPr>
                <w:r w:rsidRPr="00994634">
                  <w:rPr>
                    <w:szCs w:val="21"/>
                  </w:rPr>
                  <w:t>6%、9%或13%</w:t>
                </w:r>
              </w:p>
            </w:tc>
          </w:tr>
          <w:tr w:rsidR="00994634" w:rsidTr="00EF1D36">
            <w:tc>
              <w:tcPr>
                <w:tcW w:w="1537" w:type="pct"/>
              </w:tcPr>
              <w:p w:rsidR="00994634" w:rsidRDefault="00994634" w:rsidP="00601D47">
                <w:pPr>
                  <w:rPr>
                    <w:szCs w:val="21"/>
                  </w:rPr>
                </w:pPr>
                <w:r>
                  <w:rPr>
                    <w:szCs w:val="21"/>
                  </w:rPr>
                  <w:t>城市维护建设税</w:t>
                </w:r>
              </w:p>
            </w:tc>
            <w:tc>
              <w:tcPr>
                <w:tcW w:w="1891" w:type="pct"/>
              </w:tcPr>
              <w:p w:rsidR="00994634" w:rsidRDefault="00994634" w:rsidP="00601D47">
                <w:pPr>
                  <w:rPr>
                    <w:szCs w:val="21"/>
                  </w:rPr>
                </w:pPr>
                <w:r w:rsidRPr="00994634">
                  <w:rPr>
                    <w:rFonts w:hint="eastAsia"/>
                    <w:szCs w:val="21"/>
                  </w:rPr>
                  <w:t>按实际缴纳的增值税计征</w:t>
                </w:r>
              </w:p>
            </w:tc>
            <w:tc>
              <w:tcPr>
                <w:tcW w:w="1572" w:type="pct"/>
                <w:vAlign w:val="center"/>
              </w:tcPr>
              <w:p w:rsidR="00994634" w:rsidRDefault="00994634" w:rsidP="00514D88">
                <w:pPr>
                  <w:tabs>
                    <w:tab w:val="left" w:pos="787"/>
                  </w:tabs>
                  <w:jc w:val="right"/>
                  <w:rPr>
                    <w:szCs w:val="21"/>
                  </w:rPr>
                </w:pPr>
                <w:r w:rsidRPr="00994634">
                  <w:rPr>
                    <w:szCs w:val="21"/>
                  </w:rPr>
                  <w:t>5%或7%</w:t>
                </w:r>
              </w:p>
            </w:tc>
          </w:tr>
          <w:tr w:rsidR="00994634" w:rsidTr="00EF1D36">
            <w:tc>
              <w:tcPr>
                <w:tcW w:w="1537" w:type="pct"/>
              </w:tcPr>
              <w:p w:rsidR="00994634" w:rsidRDefault="00994634" w:rsidP="00601D47">
                <w:pPr>
                  <w:rPr>
                    <w:szCs w:val="21"/>
                  </w:rPr>
                </w:pPr>
                <w:r>
                  <w:rPr>
                    <w:szCs w:val="21"/>
                  </w:rPr>
                  <w:t>企业所得税</w:t>
                </w:r>
              </w:p>
            </w:tc>
            <w:tc>
              <w:tcPr>
                <w:tcW w:w="1891" w:type="pct"/>
              </w:tcPr>
              <w:p w:rsidR="00994634" w:rsidRDefault="00994634" w:rsidP="00601D47">
                <w:pPr>
                  <w:tabs>
                    <w:tab w:val="left" w:pos="931"/>
                  </w:tabs>
                  <w:rPr>
                    <w:szCs w:val="21"/>
                  </w:rPr>
                </w:pPr>
                <w:r w:rsidRPr="00994634">
                  <w:rPr>
                    <w:rFonts w:hint="eastAsia"/>
                    <w:szCs w:val="21"/>
                  </w:rPr>
                  <w:t>按应纳税所得额计征</w:t>
                </w:r>
              </w:p>
            </w:tc>
            <w:tc>
              <w:tcPr>
                <w:tcW w:w="1572" w:type="pct"/>
                <w:vAlign w:val="center"/>
              </w:tcPr>
              <w:p w:rsidR="00994634" w:rsidRDefault="00994634" w:rsidP="00514D88">
                <w:pPr>
                  <w:jc w:val="right"/>
                  <w:rPr>
                    <w:szCs w:val="21"/>
                  </w:rPr>
                </w:pPr>
                <w:r w:rsidRPr="00994634">
                  <w:rPr>
                    <w:szCs w:val="21"/>
                  </w:rPr>
                  <w:t>25%</w:t>
                </w:r>
              </w:p>
            </w:tc>
          </w:tr>
          <w:tr w:rsidR="00994634" w:rsidTr="00EF1D36">
            <w:tc>
              <w:tcPr>
                <w:tcW w:w="1537" w:type="pct"/>
              </w:tcPr>
              <w:p w:rsidR="00994634" w:rsidRDefault="00994634" w:rsidP="00994634">
                <w:pPr>
                  <w:rPr>
                    <w:szCs w:val="21"/>
                  </w:rPr>
                </w:pPr>
                <w:r>
                  <w:t>教育费附加</w:t>
                </w:r>
              </w:p>
            </w:tc>
            <w:tc>
              <w:tcPr>
                <w:tcW w:w="1891" w:type="pct"/>
                <w:vAlign w:val="center"/>
              </w:tcPr>
              <w:p w:rsidR="00994634" w:rsidRDefault="00994634" w:rsidP="00994634">
                <w:pPr>
                  <w:rPr>
                    <w:szCs w:val="21"/>
                  </w:rPr>
                </w:pPr>
                <w:r>
                  <w:t>按实际缴纳的增值税计</w:t>
                </w:r>
                <w:r>
                  <w:rPr>
                    <w:rFonts w:ascii="PMingLiU" w:eastAsia="PMingLiU" w:hAnsi="PMingLiU" w:cs="PMingLiU" w:hint="eastAsia"/>
                  </w:rPr>
                  <w:t>征</w:t>
                </w:r>
              </w:p>
            </w:tc>
            <w:tc>
              <w:tcPr>
                <w:tcW w:w="1572" w:type="pct"/>
                <w:vAlign w:val="center"/>
              </w:tcPr>
              <w:p w:rsidR="00994634" w:rsidRDefault="00994634" w:rsidP="00514D88">
                <w:pPr>
                  <w:jc w:val="right"/>
                  <w:rPr>
                    <w:szCs w:val="21"/>
                  </w:rPr>
                </w:pPr>
                <w:r>
                  <w:t>3%</w:t>
                </w:r>
              </w:p>
            </w:tc>
          </w:tr>
          <w:tr w:rsidR="00994634" w:rsidTr="00EF1D36">
            <w:tc>
              <w:tcPr>
                <w:tcW w:w="1537" w:type="pct"/>
              </w:tcPr>
              <w:p w:rsidR="00994634" w:rsidRDefault="00994634" w:rsidP="00994634">
                <w:pPr>
                  <w:rPr>
                    <w:szCs w:val="21"/>
                  </w:rPr>
                </w:pPr>
                <w:r>
                  <w:t>地方教育费附加</w:t>
                </w:r>
              </w:p>
            </w:tc>
            <w:tc>
              <w:tcPr>
                <w:tcW w:w="1891" w:type="pct"/>
                <w:vAlign w:val="center"/>
              </w:tcPr>
              <w:p w:rsidR="00994634" w:rsidRDefault="00994634" w:rsidP="00994634">
                <w:pPr>
                  <w:rPr>
                    <w:szCs w:val="21"/>
                  </w:rPr>
                </w:pPr>
                <w:r>
                  <w:rPr>
                    <w:rFonts w:ascii="PMingLiU" w:eastAsia="PMingLiU" w:hAnsi="PMingLiU" w:cs="PMingLiU" w:hint="eastAsia"/>
                  </w:rPr>
                  <w:t>按实际缴纳的增值税计征</w:t>
                </w:r>
              </w:p>
            </w:tc>
            <w:tc>
              <w:tcPr>
                <w:tcW w:w="1572" w:type="pct"/>
                <w:vAlign w:val="center"/>
              </w:tcPr>
              <w:p w:rsidR="00994634" w:rsidRDefault="00994634" w:rsidP="00514D88">
                <w:pPr>
                  <w:jc w:val="right"/>
                  <w:rPr>
                    <w:szCs w:val="21"/>
                  </w:rPr>
                </w:pPr>
                <w:r>
                  <w:t>2%</w:t>
                </w:r>
              </w:p>
            </w:tc>
          </w:tr>
        </w:tbl>
        <w:p w:rsidR="00514D88" w:rsidRDefault="00514D88" w:rsidP="00514D88">
          <w:pPr>
            <w:rPr>
              <w:szCs w:val="21"/>
              <w:lang w:val="en-GB"/>
            </w:rPr>
          </w:pPr>
        </w:p>
        <w:p w:rsidR="00514D88" w:rsidRPr="00514D88" w:rsidRDefault="00514D88" w:rsidP="00514D88">
          <w:pPr>
            <w:rPr>
              <w:szCs w:val="21"/>
              <w:lang w:val="en-GB"/>
            </w:rPr>
          </w:pPr>
          <w:r w:rsidRPr="00514D88">
            <w:rPr>
              <w:rFonts w:hint="eastAsia"/>
              <w:szCs w:val="21"/>
              <w:lang w:val="en-GB"/>
            </w:rPr>
            <w:lastRenderedPageBreak/>
            <w:t>本集团铁路运输服务收入适用的增值税率为</w:t>
          </w:r>
          <w:r w:rsidRPr="00514D88">
            <w:rPr>
              <w:szCs w:val="21"/>
              <w:lang w:val="en-GB"/>
            </w:rPr>
            <w:t>9%；铁路运输相关的物流辅助服务收入适用的增值税税率为6%，国际运输服务收入适用增值税零税率，向境外单位提供物流辅助服务 (仓储服务除外) 免征增值税。</w:t>
          </w:r>
        </w:p>
        <w:p w:rsidR="00514D88" w:rsidRPr="00514D88" w:rsidRDefault="00514D88" w:rsidP="00514D88">
          <w:pPr>
            <w:rPr>
              <w:szCs w:val="21"/>
              <w:lang w:val="en-GB"/>
            </w:rPr>
          </w:pPr>
        </w:p>
        <w:p w:rsidR="00514D88" w:rsidRPr="00514D88" w:rsidRDefault="00514D88" w:rsidP="00514D88">
          <w:pPr>
            <w:rPr>
              <w:szCs w:val="21"/>
              <w:lang w:val="en-GB"/>
            </w:rPr>
          </w:pPr>
          <w:r w:rsidRPr="00514D88">
            <w:rPr>
              <w:rFonts w:hint="eastAsia"/>
              <w:szCs w:val="21"/>
              <w:lang w:val="en-GB"/>
            </w:rPr>
            <w:t>除下述享受税收优惠的子公司外，本公司及其余子公司本年度适用的所得税税率为</w:t>
          </w:r>
          <w:r w:rsidRPr="00514D88">
            <w:rPr>
              <w:szCs w:val="21"/>
              <w:lang w:val="en-GB"/>
            </w:rPr>
            <w:t>25% (2021年：25%) 。</w:t>
          </w:r>
        </w:p>
        <w:p w:rsidR="00514D88" w:rsidRPr="00514D88" w:rsidRDefault="00514D88" w:rsidP="00514D88">
          <w:pPr>
            <w:rPr>
              <w:szCs w:val="21"/>
              <w:lang w:val="en-GB"/>
            </w:rPr>
          </w:pPr>
        </w:p>
        <w:p w:rsidR="00806678" w:rsidRDefault="00B16377">
          <w:pPr>
            <w:rPr>
              <w:szCs w:val="21"/>
            </w:rPr>
          </w:pPr>
          <w:r>
            <w:rPr>
              <w:rFonts w:hint="eastAsia"/>
              <w:szCs w:val="21"/>
            </w:rPr>
            <w:t>存在不同企业所得税税率纳税主体的，披露情况说明</w:t>
          </w:r>
        </w:p>
        <w:sdt>
          <w:sdtPr>
            <w:rPr>
              <w:szCs w:val="21"/>
            </w:rPr>
            <w:alias w:val="是否适用：存在不同企业所得税税率纳税主体的，披露情况说明[双击切换]"/>
            <w:tag w:val="_GBC_f117cb1e9d6f4e82900861637cf6a799"/>
            <w:id w:val="-1284344997"/>
            <w:lock w:val="sdtLocked"/>
            <w:placeholder>
              <w:docPart w:val="GBC22222222222222222222222222222"/>
            </w:placeholder>
          </w:sdtPr>
          <w:sdtContent>
            <w:p w:rsidR="008C237C" w:rsidRDefault="00F80B6C" w:rsidP="00514D88">
              <w:pPr>
                <w:rPr>
                  <w:szCs w:val="21"/>
                </w:rPr>
              </w:pPr>
              <w:r>
                <w:rPr>
                  <w:szCs w:val="21"/>
                </w:rPr>
                <w:fldChar w:fldCharType="begin"/>
              </w:r>
              <w:r w:rsidR="00514D88">
                <w:rPr>
                  <w:szCs w:val="21"/>
                </w:rPr>
                <w:instrText xml:space="preserve">MACROBUTTON  SnrToggleCheckbox □适用 </w:instrText>
              </w:r>
              <w:r>
                <w:rPr>
                  <w:szCs w:val="21"/>
                </w:rPr>
                <w:fldChar w:fldCharType="end"/>
              </w:r>
              <w:r>
                <w:rPr>
                  <w:szCs w:val="21"/>
                </w:rPr>
                <w:fldChar w:fldCharType="begin"/>
              </w:r>
              <w:r w:rsidR="00514D88">
                <w:rPr>
                  <w:szCs w:val="21"/>
                </w:rPr>
                <w:instrText xml:space="preserve"> MACROBUTTON  SnrToggleCheckbox √不适用 </w:instrText>
              </w:r>
              <w:r>
                <w:rPr>
                  <w:szCs w:val="21"/>
                </w:rPr>
                <w:fldChar w:fldCharType="end"/>
              </w:r>
            </w:p>
            <w:p w:rsidR="00806678" w:rsidRDefault="00F80B6C" w:rsidP="00514D88"/>
          </w:sdtContent>
        </w:sdt>
      </w:sdtContent>
    </w:sdt>
    <w:sdt>
      <w:sdtPr>
        <w:rPr>
          <w:rFonts w:ascii="宋体" w:hAnsi="宋体" w:cs="宋体"/>
          <w:b w:val="0"/>
          <w:bCs w:val="0"/>
          <w:kern w:val="0"/>
          <w:sz w:val="24"/>
          <w:szCs w:val="22"/>
        </w:rPr>
        <w:alias w:val="模块:税收优惠及批文"/>
        <w:tag w:val="_GBC_8efa381cc976417f9135f0c744d05452"/>
        <w:id w:val="295649871"/>
        <w:lock w:val="sdtLocked"/>
        <w:placeholder>
          <w:docPart w:val="GBC22222222222222222222222222222"/>
        </w:placeholder>
      </w:sdtPr>
      <w:sdtEndPr>
        <w:rPr>
          <w:rFonts w:asciiTheme="minorEastAsia" w:eastAsiaTheme="minorEastAsia" w:hAnsiTheme="minorEastAsia" w:cs="Times New Roman" w:hint="eastAsia"/>
          <w:kern w:val="2"/>
          <w:sz w:val="21"/>
          <w:szCs w:val="21"/>
        </w:rPr>
      </w:sdtEndPr>
      <w:sdtContent>
        <w:p w:rsidR="00806678" w:rsidRDefault="00B16377" w:rsidP="00FF17C7">
          <w:pPr>
            <w:pStyle w:val="3"/>
            <w:numPr>
              <w:ilvl w:val="0"/>
              <w:numId w:val="42"/>
            </w:numPr>
            <w:tabs>
              <w:tab w:val="left" w:pos="546"/>
            </w:tabs>
          </w:pPr>
          <w:r>
            <w:t>税收优惠</w:t>
          </w:r>
        </w:p>
        <w:sdt>
          <w:sdtPr>
            <w:rPr>
              <w:rFonts w:hint="eastAsia"/>
              <w:szCs w:val="21"/>
            </w:rPr>
            <w:alias w:val="是否适用：税收优惠[双击切换]"/>
            <w:tag w:val="_GBC_7b649dcf8ab54475bffc51edb3c33588"/>
            <w:id w:val="-1431038144"/>
            <w:lock w:val="sdtLocked"/>
            <w:placeholder>
              <w:docPart w:val="GBC22222222222222222222222222222"/>
            </w:placeholder>
          </w:sdtPr>
          <w:sdtContent>
            <w:p w:rsidR="00806678" w:rsidRDefault="00F80B6C">
              <w:pPr>
                <w:rPr>
                  <w:szCs w:val="21"/>
                </w:rPr>
              </w:pPr>
              <w:r>
                <w:rPr>
                  <w:szCs w:val="21"/>
                </w:rPr>
                <w:fldChar w:fldCharType="begin"/>
              </w:r>
              <w:r w:rsidR="00514D88">
                <w:rPr>
                  <w:szCs w:val="21"/>
                </w:rPr>
                <w:instrText xml:space="preserve"> MACROBUTTON  SnrToggleCheckbox √适用  </w:instrText>
              </w:r>
              <w:r>
                <w:rPr>
                  <w:szCs w:val="21"/>
                </w:rPr>
                <w:fldChar w:fldCharType="end"/>
              </w:r>
              <w:r>
                <w:rPr>
                  <w:szCs w:val="21"/>
                </w:rPr>
                <w:fldChar w:fldCharType="begin"/>
              </w:r>
              <w:r w:rsidR="00514D88">
                <w:rPr>
                  <w:szCs w:val="21"/>
                </w:rPr>
                <w:instrText xml:space="preserve"> MACROBUTTON  SnrToggleCheckbox □不适用 </w:instrText>
              </w:r>
              <w:r>
                <w:rPr>
                  <w:szCs w:val="21"/>
                </w:rPr>
                <w:fldChar w:fldCharType="end"/>
              </w:r>
            </w:p>
          </w:sdtContent>
        </w:sdt>
        <w:sdt>
          <w:sdtPr>
            <w:rPr>
              <w:rFonts w:hint="eastAsia"/>
              <w:szCs w:val="21"/>
            </w:rPr>
            <w:alias w:val="优惠税赋及批文"/>
            <w:tag w:val="_GBC_3bbdacdaa3ba421fb8a81b9bda047bb4"/>
            <w:id w:val="-1711325921"/>
            <w:lock w:val="sdtLocked"/>
            <w:placeholder>
              <w:docPart w:val="GBC22222222222222222222222222222"/>
            </w:placeholder>
          </w:sdtPr>
          <w:sdtContent>
            <w:p w:rsidR="00806678" w:rsidRDefault="00514D88">
              <w:pPr>
                <w:rPr>
                  <w:szCs w:val="21"/>
                </w:rPr>
              </w:pPr>
              <w:r w:rsidRPr="00514D88">
                <w:rPr>
                  <w:rFonts w:hint="eastAsia"/>
                  <w:szCs w:val="21"/>
                </w:rPr>
                <w:t>根据《财政部、国家税务总局关于实施小微企业普惠性税收减免政策的通知》</w:t>
              </w:r>
              <w:r w:rsidRPr="00514D88">
                <w:rPr>
                  <w:szCs w:val="21"/>
                </w:rPr>
                <w:t>(财税【2019】13号)，本公司之子公司山西中鼎寰宇物流有限公司、山西中鼎安顺物业服务有限公司、山西中鼎恒美物流有限公司为符合条件的小型微利企业，其所得减按12.5%计入应纳税所得额，按20%的税率缴纳企业所得税。</w:t>
              </w:r>
            </w:p>
          </w:sdtContent>
        </w:sdt>
        <w:p w:rsidR="00806678" w:rsidRDefault="00F80B6C">
          <w:pPr>
            <w:rPr>
              <w:rFonts w:asciiTheme="minorEastAsia" w:eastAsiaTheme="minorEastAsia" w:hAnsiTheme="minorEastAsia"/>
              <w:szCs w:val="21"/>
            </w:rPr>
          </w:pPr>
        </w:p>
      </w:sdtContent>
    </w:sdt>
    <w:sdt>
      <w:sdtPr>
        <w:rPr>
          <w:rFonts w:ascii="宋体" w:hAnsi="宋体" w:cs="宋体"/>
          <w:b w:val="0"/>
          <w:bCs w:val="0"/>
          <w:kern w:val="0"/>
          <w:sz w:val="24"/>
          <w:szCs w:val="22"/>
        </w:rPr>
        <w:alias w:val="模块:其他说明"/>
        <w:tag w:val="_GBC_9fdef48633e142f68e18dc5da08c2deb"/>
        <w:id w:val="-1527163541"/>
        <w:lock w:val="sdtLocked"/>
        <w:placeholder>
          <w:docPart w:val="GBC22222222222222222222222222222"/>
        </w:placeholder>
      </w:sdtPr>
      <w:sdtEndPr>
        <w:rPr>
          <w:rFonts w:ascii="Times New Roman" w:hAnsi="Times New Roman" w:cs="Times New Roman" w:hint="eastAsia"/>
          <w:kern w:val="2"/>
          <w:sz w:val="21"/>
          <w:szCs w:val="21"/>
        </w:rPr>
      </w:sdtEndPr>
      <w:sdtContent>
        <w:p w:rsidR="00806678" w:rsidRDefault="00B16377" w:rsidP="00FF17C7">
          <w:pPr>
            <w:pStyle w:val="3"/>
            <w:numPr>
              <w:ilvl w:val="0"/>
              <w:numId w:val="42"/>
            </w:numPr>
            <w:tabs>
              <w:tab w:val="left" w:pos="546"/>
            </w:tabs>
            <w:rPr>
              <w:rFonts w:asciiTheme="minorEastAsia" w:eastAsiaTheme="minorEastAsia" w:hAnsiTheme="minorEastAsia"/>
            </w:rPr>
          </w:pPr>
          <w:r>
            <w:t>其他</w:t>
          </w:r>
        </w:p>
        <w:sdt>
          <w:sdtPr>
            <w:rPr>
              <w:rFonts w:hint="eastAsia"/>
              <w:szCs w:val="21"/>
            </w:rPr>
            <w:alias w:val="是否适用：税项说明[双击切换]"/>
            <w:tag w:val="_GBC_cb15d487e8d84ad7877bd8820156d381"/>
            <w:id w:val="1903090711"/>
            <w:lock w:val="sdtLocked"/>
            <w:placeholder>
              <w:docPart w:val="GBC22222222222222222222222222222"/>
            </w:placeholder>
          </w:sdtPr>
          <w:sdtContent>
            <w:p w:rsidR="00806678" w:rsidRDefault="00F80B6C" w:rsidP="00514D88">
              <w:pPr>
                <w:rPr>
                  <w:szCs w:val="21"/>
                </w:rPr>
              </w:pPr>
              <w:r>
                <w:rPr>
                  <w:szCs w:val="21"/>
                </w:rPr>
                <w:fldChar w:fldCharType="begin"/>
              </w:r>
              <w:r w:rsidR="00514D88">
                <w:rPr>
                  <w:szCs w:val="21"/>
                </w:rPr>
                <w:instrText xml:space="preserve"> MACROBUTTON  SnrToggleCheckbox □适用  </w:instrText>
              </w:r>
              <w:r>
                <w:rPr>
                  <w:szCs w:val="21"/>
                </w:rPr>
                <w:fldChar w:fldCharType="end"/>
              </w:r>
              <w:r>
                <w:rPr>
                  <w:szCs w:val="21"/>
                </w:rPr>
                <w:fldChar w:fldCharType="begin"/>
              </w:r>
              <w:r w:rsidR="00514D88">
                <w:rPr>
                  <w:szCs w:val="21"/>
                </w:rPr>
                <w:instrText xml:space="preserve"> MACROBUTTON  SnrToggleCheckbox √不适用 </w:instrText>
              </w:r>
              <w:r>
                <w:rPr>
                  <w:szCs w:val="21"/>
                </w:rPr>
                <w:fldChar w:fldCharType="end"/>
              </w:r>
            </w:p>
          </w:sdtContent>
        </w:sdt>
      </w:sdtContent>
    </w:sdt>
    <w:p w:rsidR="00806678" w:rsidRDefault="00806678"/>
    <w:p w:rsidR="00806678" w:rsidRDefault="00B16377" w:rsidP="00FF17C7">
      <w:pPr>
        <w:pStyle w:val="2"/>
        <w:numPr>
          <w:ilvl w:val="0"/>
          <w:numId w:val="37"/>
        </w:numPr>
      </w:pPr>
      <w:r>
        <w:rPr>
          <w:rFonts w:hint="eastAsia"/>
        </w:rPr>
        <w:t>合并财务报表项目注释</w:t>
      </w:r>
    </w:p>
    <w:sdt>
      <w:sdtPr>
        <w:rPr>
          <w:rFonts w:ascii="宋体" w:hAnsi="宋体" w:cs="宋体" w:hint="eastAsia"/>
          <w:b w:val="0"/>
          <w:bCs w:val="0"/>
          <w:kern w:val="0"/>
          <w:szCs w:val="21"/>
        </w:rPr>
        <w:alias w:val="模块:货币资金"/>
        <w:tag w:val="_GBC_e001074b3db146e59ba240ad8dd14b68"/>
        <w:id w:val="-1175949840"/>
        <w:lock w:val="sdtLocked"/>
        <w:placeholder>
          <w:docPart w:val="GBC22222222222222222222222222222"/>
        </w:placeholder>
      </w:sdtPr>
      <w:sdtContent>
        <w:p w:rsidR="00806678" w:rsidRDefault="00B16377" w:rsidP="00FF17C7">
          <w:pPr>
            <w:pStyle w:val="3"/>
            <w:numPr>
              <w:ilvl w:val="0"/>
              <w:numId w:val="18"/>
            </w:numPr>
            <w:rPr>
              <w:szCs w:val="21"/>
            </w:rPr>
          </w:pPr>
          <w:r>
            <w:rPr>
              <w:szCs w:val="21"/>
            </w:rPr>
            <w:t>货币资金</w:t>
          </w:r>
        </w:p>
        <w:sdt>
          <w:sdtPr>
            <w:rPr>
              <w:rFonts w:hint="eastAsia"/>
              <w:szCs w:val="21"/>
            </w:rPr>
            <w:alias w:val="是否适用：货币资金[双击切换]"/>
            <w:tag w:val="_GBC_7583a9a918ef405ba2d26448cc628ff5"/>
            <w:id w:val="840664115"/>
            <w:lock w:val="sdtLocked"/>
            <w:placeholder>
              <w:docPart w:val="GBC22222222222222222222222222222"/>
            </w:placeholder>
          </w:sdtPr>
          <w:sdtContent>
            <w:p w:rsidR="00806678" w:rsidRDefault="00F80B6C">
              <w:pPr>
                <w:snapToGrid w:val="0"/>
                <w:spacing w:line="240" w:lineRule="atLeast"/>
                <w:rPr>
                  <w:szCs w:val="21"/>
                </w:rPr>
              </w:pPr>
              <w:r>
                <w:rPr>
                  <w:szCs w:val="21"/>
                </w:rPr>
                <w:fldChar w:fldCharType="begin"/>
              </w:r>
              <w:r w:rsidR="009C54D9">
                <w:rPr>
                  <w:szCs w:val="21"/>
                </w:rPr>
                <w:instrText xml:space="preserve"> MACROBUTTON  SnrToggleCheckbox √适用  </w:instrText>
              </w:r>
              <w:r>
                <w:rPr>
                  <w:szCs w:val="21"/>
                </w:rPr>
                <w:fldChar w:fldCharType="end"/>
              </w:r>
              <w:r>
                <w:rPr>
                  <w:szCs w:val="21"/>
                </w:rPr>
                <w:fldChar w:fldCharType="begin"/>
              </w:r>
              <w:r w:rsidR="009C54D9">
                <w:rPr>
                  <w:szCs w:val="21"/>
                </w:rPr>
                <w:instrText xml:space="preserve"> MACROBUTTON  SnrToggleCheckbox □不适用 </w:instrText>
              </w:r>
              <w:r>
                <w:rPr>
                  <w:szCs w:val="21"/>
                </w:rPr>
                <w:fldChar w:fldCharType="end"/>
              </w:r>
            </w:p>
          </w:sdtContent>
        </w:sdt>
        <w:p w:rsidR="00806678" w:rsidRDefault="00B16377">
          <w:pPr>
            <w:snapToGrid w:val="0"/>
            <w:spacing w:line="240" w:lineRule="atLeast"/>
            <w:jc w:val="right"/>
            <w:rPr>
              <w:szCs w:val="21"/>
            </w:rPr>
          </w:pPr>
          <w:r>
            <w:rPr>
              <w:rFonts w:hint="eastAsia"/>
              <w:szCs w:val="21"/>
            </w:rPr>
            <w:t>单位：</w:t>
          </w:r>
          <w:sdt>
            <w:sdtPr>
              <w:rPr>
                <w:rFonts w:hint="eastAsia"/>
                <w:szCs w:val="21"/>
              </w:rPr>
              <w:alias w:val="单位：财务附注：货币资金"/>
              <w:tag w:val="_GBC_837f4fb04cac4b8aa6bed7dc457a1486"/>
              <w:id w:val="130974911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货币资金"/>
              <w:tag w:val="_GBC_6a1d907ad1af44b1a90a92ac03d51b34"/>
              <w:id w:val="79063369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3090"/>
            <w:gridCol w:w="2835"/>
            <w:gridCol w:w="3134"/>
          </w:tblGrid>
          <w:tr w:rsidR="00806678" w:rsidTr="00786402">
            <w:trPr>
              <w:cantSplit/>
            </w:trPr>
            <w:sdt>
              <w:sdtPr>
                <w:tag w:val="_PLD_640e7daf451b4f14ba49162bfbbd1e72"/>
                <w:id w:val="-1673406537"/>
                <w:lock w:val="sdtLocked"/>
              </w:sdtPr>
              <w:sdtContent>
                <w:tc>
                  <w:tcPr>
                    <w:tcW w:w="1705" w:type="pct"/>
                    <w:shd w:val="clear" w:color="auto" w:fill="auto"/>
                    <w:vAlign w:val="center"/>
                  </w:tcPr>
                  <w:p w:rsidR="00806678" w:rsidRDefault="00B16377">
                    <w:pPr>
                      <w:autoSpaceDE w:val="0"/>
                      <w:autoSpaceDN w:val="0"/>
                      <w:adjustRightInd w:val="0"/>
                      <w:snapToGrid w:val="0"/>
                      <w:spacing w:line="240" w:lineRule="atLeast"/>
                      <w:jc w:val="center"/>
                      <w:rPr>
                        <w:szCs w:val="21"/>
                      </w:rPr>
                    </w:pPr>
                    <w:r>
                      <w:rPr>
                        <w:rFonts w:hint="eastAsia"/>
                        <w:szCs w:val="21"/>
                      </w:rPr>
                      <w:t>项目</w:t>
                    </w:r>
                  </w:p>
                </w:tc>
              </w:sdtContent>
            </w:sdt>
            <w:sdt>
              <w:sdtPr>
                <w:tag w:val="_PLD_79d1e78073b542bda1ea85bf8925b2cd"/>
                <w:id w:val="-348258712"/>
                <w:lock w:val="sdtLocked"/>
              </w:sdtPr>
              <w:sdtContent>
                <w:tc>
                  <w:tcPr>
                    <w:tcW w:w="1565" w:type="pct"/>
                    <w:shd w:val="clear" w:color="auto" w:fill="auto"/>
                    <w:vAlign w:val="center"/>
                  </w:tcPr>
                  <w:p w:rsidR="00806678" w:rsidRDefault="00B16377">
                    <w:pPr>
                      <w:autoSpaceDE w:val="0"/>
                      <w:autoSpaceDN w:val="0"/>
                      <w:adjustRightInd w:val="0"/>
                      <w:snapToGrid w:val="0"/>
                      <w:spacing w:line="240" w:lineRule="atLeast"/>
                      <w:jc w:val="center"/>
                      <w:rPr>
                        <w:szCs w:val="21"/>
                      </w:rPr>
                    </w:pPr>
                    <w:r>
                      <w:rPr>
                        <w:rFonts w:hint="eastAsia"/>
                        <w:szCs w:val="21"/>
                      </w:rPr>
                      <w:t>期末余额</w:t>
                    </w:r>
                  </w:p>
                </w:tc>
              </w:sdtContent>
            </w:sdt>
            <w:sdt>
              <w:sdtPr>
                <w:tag w:val="_PLD_725adef951424bb094850d632de69fd0"/>
                <w:id w:val="1221323995"/>
                <w:lock w:val="sdtLocked"/>
              </w:sdtPr>
              <w:sdtContent>
                <w:tc>
                  <w:tcPr>
                    <w:tcW w:w="1730" w:type="pct"/>
                    <w:shd w:val="clear" w:color="auto" w:fill="auto"/>
                    <w:vAlign w:val="center"/>
                  </w:tcPr>
                  <w:p w:rsidR="00806678" w:rsidRDefault="00B16377">
                    <w:pPr>
                      <w:autoSpaceDE w:val="0"/>
                      <w:autoSpaceDN w:val="0"/>
                      <w:adjustRightInd w:val="0"/>
                      <w:snapToGrid w:val="0"/>
                      <w:spacing w:line="240" w:lineRule="atLeast"/>
                      <w:jc w:val="center"/>
                      <w:rPr>
                        <w:szCs w:val="21"/>
                      </w:rPr>
                    </w:pPr>
                    <w:r>
                      <w:rPr>
                        <w:rFonts w:hint="eastAsia"/>
                        <w:szCs w:val="21"/>
                      </w:rPr>
                      <w:t>期初余额</w:t>
                    </w:r>
                  </w:p>
                </w:tc>
              </w:sdtContent>
            </w:sdt>
          </w:tr>
          <w:tr w:rsidR="00806678" w:rsidTr="00786402">
            <w:trPr>
              <w:cantSplit/>
            </w:trPr>
            <w:sdt>
              <w:sdtPr>
                <w:tag w:val="_PLD_55b07f50e1e44a558dc393086d2f0e7f"/>
                <w:id w:val="-153217978"/>
                <w:lock w:val="sdtLocked"/>
              </w:sdtPr>
              <w:sdtContent>
                <w:tc>
                  <w:tcPr>
                    <w:tcW w:w="1705" w:type="pct"/>
                    <w:shd w:val="clear" w:color="auto" w:fill="auto"/>
                  </w:tcPr>
                  <w:p w:rsidR="00806678" w:rsidRDefault="00B16377">
                    <w:pPr>
                      <w:autoSpaceDE w:val="0"/>
                      <w:autoSpaceDN w:val="0"/>
                      <w:adjustRightInd w:val="0"/>
                      <w:snapToGrid w:val="0"/>
                      <w:spacing w:line="240" w:lineRule="atLeast"/>
                      <w:rPr>
                        <w:szCs w:val="21"/>
                      </w:rPr>
                    </w:pPr>
                    <w:r>
                      <w:rPr>
                        <w:rFonts w:hint="eastAsia"/>
                        <w:szCs w:val="21"/>
                      </w:rPr>
                      <w:t>库存现金</w:t>
                    </w:r>
                  </w:p>
                </w:tc>
              </w:sdtContent>
            </w:sdt>
            <w:tc>
              <w:tcPr>
                <w:tcW w:w="1565" w:type="pct"/>
                <w:shd w:val="clear" w:color="auto" w:fill="auto"/>
              </w:tcPr>
              <w:p w:rsidR="00806678" w:rsidRDefault="00B3400E">
                <w:pPr>
                  <w:autoSpaceDE w:val="0"/>
                  <w:autoSpaceDN w:val="0"/>
                  <w:adjustRightInd w:val="0"/>
                  <w:snapToGrid w:val="0"/>
                  <w:spacing w:line="240" w:lineRule="atLeast"/>
                  <w:jc w:val="right"/>
                  <w:rPr>
                    <w:szCs w:val="21"/>
                  </w:rPr>
                </w:pPr>
                <w:r>
                  <w:rPr>
                    <w:szCs w:val="21"/>
                  </w:rPr>
                  <w:t>0</w:t>
                </w:r>
              </w:p>
            </w:tc>
            <w:tc>
              <w:tcPr>
                <w:tcW w:w="1730" w:type="pct"/>
                <w:shd w:val="clear" w:color="auto" w:fill="auto"/>
              </w:tcPr>
              <w:p w:rsidR="00806678" w:rsidRDefault="00B3400E">
                <w:pPr>
                  <w:autoSpaceDE w:val="0"/>
                  <w:autoSpaceDN w:val="0"/>
                  <w:adjustRightInd w:val="0"/>
                  <w:snapToGrid w:val="0"/>
                  <w:spacing w:line="240" w:lineRule="atLeast"/>
                  <w:jc w:val="right"/>
                  <w:rPr>
                    <w:szCs w:val="21"/>
                  </w:rPr>
                </w:pPr>
                <w:r>
                  <w:rPr>
                    <w:szCs w:val="21"/>
                  </w:rPr>
                  <w:t>0</w:t>
                </w:r>
              </w:p>
            </w:tc>
          </w:tr>
          <w:tr w:rsidR="00806678" w:rsidTr="00786402">
            <w:trPr>
              <w:cantSplit/>
            </w:trPr>
            <w:sdt>
              <w:sdtPr>
                <w:tag w:val="_PLD_29d0fc45c2044da8ab0120f52fea8366"/>
                <w:id w:val="324561448"/>
                <w:lock w:val="sdtLocked"/>
              </w:sdtPr>
              <w:sdtContent>
                <w:tc>
                  <w:tcPr>
                    <w:tcW w:w="1705" w:type="pct"/>
                    <w:shd w:val="clear" w:color="auto" w:fill="auto"/>
                  </w:tcPr>
                  <w:p w:rsidR="00806678" w:rsidRDefault="00B16377">
                    <w:pPr>
                      <w:autoSpaceDE w:val="0"/>
                      <w:autoSpaceDN w:val="0"/>
                      <w:adjustRightInd w:val="0"/>
                      <w:snapToGrid w:val="0"/>
                      <w:spacing w:line="240" w:lineRule="atLeast"/>
                      <w:rPr>
                        <w:szCs w:val="21"/>
                      </w:rPr>
                    </w:pPr>
                    <w:r>
                      <w:rPr>
                        <w:rFonts w:hint="eastAsia"/>
                        <w:szCs w:val="21"/>
                      </w:rPr>
                      <w:t>银行存款</w:t>
                    </w:r>
                  </w:p>
                </w:tc>
              </w:sdtContent>
            </w:sdt>
            <w:tc>
              <w:tcPr>
                <w:tcW w:w="1565" w:type="pct"/>
                <w:shd w:val="clear" w:color="auto" w:fill="auto"/>
              </w:tcPr>
              <w:p w:rsidR="00806678" w:rsidRDefault="00B3400E">
                <w:pPr>
                  <w:autoSpaceDE w:val="0"/>
                  <w:autoSpaceDN w:val="0"/>
                  <w:adjustRightInd w:val="0"/>
                  <w:snapToGrid w:val="0"/>
                  <w:spacing w:line="240" w:lineRule="atLeast"/>
                  <w:jc w:val="right"/>
                  <w:rPr>
                    <w:szCs w:val="21"/>
                  </w:rPr>
                </w:pPr>
                <w:r>
                  <w:rPr>
                    <w:szCs w:val="21"/>
                  </w:rPr>
                  <w:t>62,595,731,431</w:t>
                </w:r>
              </w:p>
            </w:tc>
            <w:tc>
              <w:tcPr>
                <w:tcW w:w="1730" w:type="pct"/>
                <w:shd w:val="clear" w:color="auto" w:fill="auto"/>
              </w:tcPr>
              <w:p w:rsidR="00806678" w:rsidRDefault="00B3400E">
                <w:pPr>
                  <w:autoSpaceDE w:val="0"/>
                  <w:autoSpaceDN w:val="0"/>
                  <w:adjustRightInd w:val="0"/>
                  <w:snapToGrid w:val="0"/>
                  <w:spacing w:line="240" w:lineRule="atLeast"/>
                  <w:jc w:val="right"/>
                  <w:rPr>
                    <w:szCs w:val="21"/>
                  </w:rPr>
                </w:pPr>
                <w:r>
                  <w:rPr>
                    <w:szCs w:val="21"/>
                  </w:rPr>
                  <w:t>59,402,657,866</w:t>
                </w:r>
              </w:p>
            </w:tc>
          </w:tr>
          <w:tr w:rsidR="00806678" w:rsidTr="00786402">
            <w:trPr>
              <w:cantSplit/>
            </w:trPr>
            <w:sdt>
              <w:sdtPr>
                <w:tag w:val="_PLD_c1e18aed267f4e76a33b93512faddc98"/>
                <w:id w:val="-374704104"/>
                <w:lock w:val="sdtLocked"/>
              </w:sdtPr>
              <w:sdtContent>
                <w:tc>
                  <w:tcPr>
                    <w:tcW w:w="1705" w:type="pct"/>
                    <w:shd w:val="clear" w:color="auto" w:fill="auto"/>
                  </w:tcPr>
                  <w:p w:rsidR="00806678" w:rsidRDefault="00B16377">
                    <w:pPr>
                      <w:autoSpaceDE w:val="0"/>
                      <w:autoSpaceDN w:val="0"/>
                      <w:adjustRightInd w:val="0"/>
                      <w:snapToGrid w:val="0"/>
                      <w:spacing w:line="240" w:lineRule="atLeast"/>
                      <w:rPr>
                        <w:szCs w:val="21"/>
                      </w:rPr>
                    </w:pPr>
                    <w:r>
                      <w:rPr>
                        <w:rFonts w:hint="eastAsia"/>
                        <w:szCs w:val="21"/>
                      </w:rPr>
                      <w:t>其他货币资金</w:t>
                    </w:r>
                  </w:p>
                </w:tc>
              </w:sdtContent>
            </w:sdt>
            <w:tc>
              <w:tcPr>
                <w:tcW w:w="1565" w:type="pct"/>
                <w:shd w:val="clear" w:color="auto" w:fill="auto"/>
              </w:tcPr>
              <w:p w:rsidR="00806678" w:rsidRDefault="00B3400E">
                <w:pPr>
                  <w:autoSpaceDE w:val="0"/>
                  <w:autoSpaceDN w:val="0"/>
                  <w:adjustRightInd w:val="0"/>
                  <w:snapToGrid w:val="0"/>
                  <w:spacing w:line="240" w:lineRule="atLeast"/>
                  <w:jc w:val="right"/>
                  <w:rPr>
                    <w:szCs w:val="21"/>
                  </w:rPr>
                </w:pPr>
                <w:r w:rsidRPr="00B3400E">
                  <w:rPr>
                    <w:szCs w:val="21"/>
                  </w:rPr>
                  <w:t>7,765,953</w:t>
                </w:r>
              </w:p>
            </w:tc>
            <w:tc>
              <w:tcPr>
                <w:tcW w:w="1730" w:type="pct"/>
                <w:shd w:val="clear" w:color="auto" w:fill="auto"/>
              </w:tcPr>
              <w:p w:rsidR="00806678" w:rsidRDefault="00B3400E">
                <w:pPr>
                  <w:autoSpaceDE w:val="0"/>
                  <w:autoSpaceDN w:val="0"/>
                  <w:adjustRightInd w:val="0"/>
                  <w:snapToGrid w:val="0"/>
                  <w:spacing w:line="240" w:lineRule="atLeast"/>
                  <w:jc w:val="right"/>
                  <w:rPr>
                    <w:szCs w:val="21"/>
                  </w:rPr>
                </w:pPr>
                <w:r w:rsidRPr="00B3400E">
                  <w:rPr>
                    <w:szCs w:val="21"/>
                  </w:rPr>
                  <w:t>13,635,214</w:t>
                </w:r>
              </w:p>
            </w:tc>
          </w:tr>
          <w:tr w:rsidR="00B3400E" w:rsidTr="00786402">
            <w:trPr>
              <w:cantSplit/>
            </w:trPr>
            <w:sdt>
              <w:sdtPr>
                <w:tag w:val="_PLD_4aea35e6574448b9a1396c2c1b22290f"/>
                <w:id w:val="-1773464981"/>
                <w:lock w:val="sdtLocked"/>
              </w:sdtPr>
              <w:sdtContent>
                <w:tc>
                  <w:tcPr>
                    <w:tcW w:w="1705" w:type="pct"/>
                    <w:shd w:val="clear" w:color="auto" w:fill="auto"/>
                    <w:vAlign w:val="center"/>
                  </w:tcPr>
                  <w:p w:rsidR="00B3400E" w:rsidRDefault="00B3400E" w:rsidP="00B3400E">
                    <w:pPr>
                      <w:autoSpaceDE w:val="0"/>
                      <w:autoSpaceDN w:val="0"/>
                      <w:adjustRightInd w:val="0"/>
                      <w:snapToGrid w:val="0"/>
                      <w:spacing w:line="240" w:lineRule="atLeast"/>
                      <w:rPr>
                        <w:szCs w:val="21"/>
                      </w:rPr>
                    </w:pPr>
                    <w:r>
                      <w:rPr>
                        <w:rFonts w:hint="eastAsia"/>
                        <w:szCs w:val="21"/>
                      </w:rPr>
                      <w:t>合计</w:t>
                    </w:r>
                  </w:p>
                </w:tc>
              </w:sdtContent>
            </w:sdt>
            <w:tc>
              <w:tcPr>
                <w:tcW w:w="1565" w:type="pct"/>
                <w:shd w:val="clear" w:color="auto" w:fill="auto"/>
                <w:vAlign w:val="center"/>
              </w:tcPr>
              <w:p w:rsidR="00B3400E" w:rsidRDefault="00B3400E" w:rsidP="00B3400E">
                <w:pPr>
                  <w:autoSpaceDE w:val="0"/>
                  <w:autoSpaceDN w:val="0"/>
                  <w:adjustRightInd w:val="0"/>
                  <w:snapToGrid w:val="0"/>
                  <w:spacing w:line="240" w:lineRule="atLeast"/>
                  <w:jc w:val="right"/>
                  <w:rPr>
                    <w:szCs w:val="21"/>
                  </w:rPr>
                </w:pPr>
                <w:r>
                  <w:t>62,603,497,384</w:t>
                </w:r>
              </w:p>
            </w:tc>
            <w:tc>
              <w:tcPr>
                <w:tcW w:w="1730" w:type="pct"/>
                <w:shd w:val="clear" w:color="auto" w:fill="auto"/>
                <w:vAlign w:val="center"/>
              </w:tcPr>
              <w:p w:rsidR="00B3400E" w:rsidRDefault="00B3400E" w:rsidP="00B3400E">
                <w:pPr>
                  <w:autoSpaceDE w:val="0"/>
                  <w:autoSpaceDN w:val="0"/>
                  <w:adjustRightInd w:val="0"/>
                  <w:snapToGrid w:val="0"/>
                  <w:spacing w:line="240" w:lineRule="atLeast"/>
                  <w:jc w:val="right"/>
                  <w:rPr>
                    <w:szCs w:val="21"/>
                  </w:rPr>
                </w:pPr>
                <w:r>
                  <w:t>59,416,293,080</w:t>
                </w:r>
              </w:p>
            </w:tc>
          </w:tr>
          <w:tr w:rsidR="00B3400E" w:rsidTr="00786402">
            <w:trPr>
              <w:cantSplit/>
            </w:trPr>
            <w:sdt>
              <w:sdtPr>
                <w:tag w:val="_PLD_bde21157aed743d5a01686780a359fcc"/>
                <w:id w:val="-783726987"/>
                <w:lock w:val="sdtLocked"/>
              </w:sdtPr>
              <w:sdtContent>
                <w:tc>
                  <w:tcPr>
                    <w:tcW w:w="1705" w:type="pct"/>
                    <w:shd w:val="clear" w:color="auto" w:fill="auto"/>
                  </w:tcPr>
                  <w:p w:rsidR="00B3400E" w:rsidRDefault="00B3400E" w:rsidP="00B3400E">
                    <w:pPr>
                      <w:autoSpaceDE w:val="0"/>
                      <w:autoSpaceDN w:val="0"/>
                      <w:adjustRightInd w:val="0"/>
                      <w:snapToGrid w:val="0"/>
                      <w:spacing w:line="240" w:lineRule="atLeast"/>
                      <w:ind w:firstLineChars="100" w:firstLine="210"/>
                      <w:jc w:val="center"/>
                      <w:rPr>
                        <w:szCs w:val="21"/>
                      </w:rPr>
                    </w:pPr>
                    <w:r>
                      <w:rPr>
                        <w:rFonts w:hint="eastAsia"/>
                        <w:szCs w:val="21"/>
                      </w:rPr>
                      <w:t>其中：存放在境外的款项总额</w:t>
                    </w:r>
                  </w:p>
                </w:tc>
              </w:sdtContent>
            </w:sdt>
            <w:tc>
              <w:tcPr>
                <w:tcW w:w="1565" w:type="pct"/>
                <w:shd w:val="clear" w:color="auto" w:fill="auto"/>
              </w:tcPr>
              <w:p w:rsidR="00B3400E" w:rsidRDefault="00B3400E" w:rsidP="00B3400E">
                <w:pPr>
                  <w:autoSpaceDE w:val="0"/>
                  <w:autoSpaceDN w:val="0"/>
                  <w:adjustRightInd w:val="0"/>
                  <w:snapToGrid w:val="0"/>
                  <w:spacing w:line="240" w:lineRule="atLeast"/>
                  <w:jc w:val="right"/>
                  <w:rPr>
                    <w:szCs w:val="21"/>
                  </w:rPr>
                </w:pPr>
                <w:r>
                  <w:rPr>
                    <w:szCs w:val="21"/>
                  </w:rPr>
                  <w:t>0</w:t>
                </w:r>
              </w:p>
            </w:tc>
            <w:tc>
              <w:tcPr>
                <w:tcW w:w="1730" w:type="pct"/>
                <w:shd w:val="clear" w:color="auto" w:fill="auto"/>
              </w:tcPr>
              <w:p w:rsidR="00B3400E" w:rsidRDefault="00B3400E" w:rsidP="00B3400E">
                <w:pPr>
                  <w:autoSpaceDE w:val="0"/>
                  <w:autoSpaceDN w:val="0"/>
                  <w:adjustRightInd w:val="0"/>
                  <w:snapToGrid w:val="0"/>
                  <w:spacing w:line="240" w:lineRule="atLeast"/>
                  <w:jc w:val="right"/>
                  <w:rPr>
                    <w:szCs w:val="21"/>
                  </w:rPr>
                </w:pPr>
                <w:r>
                  <w:rPr>
                    <w:szCs w:val="21"/>
                  </w:rPr>
                  <w:t>0</w:t>
                </w:r>
              </w:p>
            </w:tc>
          </w:tr>
          <w:tr w:rsidR="00B3400E" w:rsidTr="00786402">
            <w:trPr>
              <w:cantSplit/>
            </w:trPr>
            <w:tc>
              <w:tcPr>
                <w:tcW w:w="1705" w:type="pct"/>
                <w:shd w:val="clear" w:color="auto" w:fill="auto"/>
              </w:tcPr>
              <w:sdt>
                <w:sdtPr>
                  <w:rPr>
                    <w:rFonts w:hint="eastAsia"/>
                    <w:color w:val="FF0000"/>
                  </w:rPr>
                  <w:tag w:val="_PLD_42f986b776434fa68dd7d6c75e9619b4"/>
                  <w:id w:val="882679338"/>
                  <w:lock w:val="sdtLocked"/>
                </w:sdtPr>
                <w:sdtEndPr>
                  <w:rPr>
                    <w:color w:val="auto"/>
                  </w:rPr>
                </w:sdtEndPr>
                <w:sdtContent>
                  <w:p w:rsidR="00B3400E" w:rsidRDefault="00B3400E" w:rsidP="00B3400E">
                    <w:pPr>
                      <w:autoSpaceDE w:val="0"/>
                      <w:autoSpaceDN w:val="0"/>
                      <w:adjustRightInd w:val="0"/>
                      <w:snapToGrid w:val="0"/>
                      <w:spacing w:line="240" w:lineRule="atLeast"/>
                      <w:ind w:firstLineChars="100" w:firstLine="210"/>
                      <w:jc w:val="center"/>
                    </w:pPr>
                    <w:r w:rsidRPr="00C85D2E">
                      <w:rPr>
                        <w:rFonts w:hint="eastAsia"/>
                      </w:rPr>
                      <w:t>存放财务公司存款</w:t>
                    </w:r>
                  </w:p>
                </w:sdtContent>
              </w:sdt>
            </w:tc>
            <w:tc>
              <w:tcPr>
                <w:tcW w:w="1565" w:type="pct"/>
                <w:shd w:val="clear" w:color="auto" w:fill="auto"/>
              </w:tcPr>
              <w:p w:rsidR="00B3400E" w:rsidRDefault="000E2134" w:rsidP="00B3400E">
                <w:pPr>
                  <w:tabs>
                    <w:tab w:val="left" w:pos="2350"/>
                  </w:tabs>
                  <w:autoSpaceDE w:val="0"/>
                  <w:autoSpaceDN w:val="0"/>
                  <w:adjustRightInd w:val="0"/>
                  <w:snapToGrid w:val="0"/>
                  <w:spacing w:line="240" w:lineRule="atLeast"/>
                  <w:jc w:val="right"/>
                  <w:rPr>
                    <w:szCs w:val="21"/>
                  </w:rPr>
                </w:pPr>
                <w:r w:rsidRPr="000E2134">
                  <w:rPr>
                    <w:szCs w:val="21"/>
                  </w:rPr>
                  <w:t>1,140,453,517</w:t>
                </w:r>
              </w:p>
            </w:tc>
            <w:tc>
              <w:tcPr>
                <w:tcW w:w="1730" w:type="pct"/>
                <w:shd w:val="clear" w:color="auto" w:fill="auto"/>
              </w:tcPr>
              <w:p w:rsidR="00B3400E" w:rsidRDefault="000E2134" w:rsidP="000E2134">
                <w:pPr>
                  <w:autoSpaceDE w:val="0"/>
                  <w:autoSpaceDN w:val="0"/>
                  <w:adjustRightInd w:val="0"/>
                  <w:snapToGrid w:val="0"/>
                  <w:spacing w:line="240" w:lineRule="atLeast"/>
                  <w:jc w:val="right"/>
                  <w:rPr>
                    <w:szCs w:val="21"/>
                  </w:rPr>
                </w:pPr>
                <w:r w:rsidRPr="000E2134">
                  <w:rPr>
                    <w:szCs w:val="21"/>
                  </w:rPr>
                  <w:t>309,117,358</w:t>
                </w:r>
              </w:p>
            </w:tc>
          </w:tr>
        </w:tbl>
        <w:p w:rsidR="00C24992" w:rsidRDefault="00C24992">
          <w:pPr>
            <w:rPr>
              <w:szCs w:val="21"/>
            </w:rPr>
          </w:pPr>
        </w:p>
        <w:p w:rsidR="00806678" w:rsidRDefault="00B16377">
          <w:pPr>
            <w:rPr>
              <w:szCs w:val="21"/>
            </w:rPr>
          </w:pPr>
          <w:r>
            <w:rPr>
              <w:rFonts w:hint="eastAsia"/>
              <w:szCs w:val="21"/>
            </w:rPr>
            <w:t>其他说明</w:t>
          </w:r>
        </w:p>
        <w:sdt>
          <w:sdtPr>
            <w:rPr>
              <w:szCs w:val="21"/>
            </w:rPr>
            <w:alias w:val="货币资金的说明"/>
            <w:tag w:val="_GBC_672a863055084dfabbc1ba40f04a68b4"/>
            <w:id w:val="350304343"/>
            <w:lock w:val="sdtLocked"/>
            <w:placeholder>
              <w:docPart w:val="GBC22222222222222222222222222222"/>
            </w:placeholder>
          </w:sdtPr>
          <w:sdtContent>
            <w:p w:rsidR="00C85D2E" w:rsidRDefault="00C85D2E" w:rsidP="00B3400E">
              <w:pPr>
                <w:rPr>
                  <w:szCs w:val="21"/>
                </w:rPr>
              </w:pPr>
            </w:p>
            <w:p w:rsidR="00B3400E" w:rsidRPr="00B3400E" w:rsidRDefault="00B3400E" w:rsidP="00B3400E">
              <w:pPr>
                <w:rPr>
                  <w:szCs w:val="21"/>
                </w:rPr>
              </w:pPr>
              <w:r w:rsidRPr="00B3400E">
                <w:rPr>
                  <w:rFonts w:hint="eastAsia"/>
                  <w:szCs w:val="21"/>
                </w:rPr>
                <w:t>于</w:t>
              </w:r>
              <w:r w:rsidRPr="00B3400E">
                <w:rPr>
                  <w:szCs w:val="21"/>
                </w:rPr>
                <w:t>2022年12月31日，本集团无存放在境外的货币资金 (2021年12月31日：无) 。</w:t>
              </w:r>
            </w:p>
            <w:p w:rsidR="00B3400E" w:rsidRPr="00B3400E" w:rsidRDefault="00B3400E" w:rsidP="00B3400E">
              <w:pPr>
                <w:rPr>
                  <w:szCs w:val="21"/>
                </w:rPr>
              </w:pPr>
            </w:p>
            <w:p w:rsidR="00806678" w:rsidRDefault="00B3400E" w:rsidP="00B3400E">
              <w:pPr>
                <w:rPr>
                  <w:szCs w:val="21"/>
                </w:rPr>
              </w:pPr>
              <w:r w:rsidRPr="00B3400E">
                <w:rPr>
                  <w:rFonts w:hint="eastAsia"/>
                  <w:szCs w:val="21"/>
                </w:rPr>
                <w:t>注</w:t>
              </w:r>
              <w:r w:rsidRPr="00B3400E">
                <w:rPr>
                  <w:szCs w:val="21"/>
                </w:rPr>
                <w:t>1：</w:t>
              </w:r>
              <w:r w:rsidRPr="00B3400E">
                <w:rPr>
                  <w:szCs w:val="21"/>
                </w:rPr>
                <w:tab/>
                <w:t>于2022年12月31日，本集团的货币资金中包括代管其他单位的资金人民币174,308,616元 (2021年12月31日：人民币146,779,402元)，请参见附注</w:t>
              </w:r>
              <w:r w:rsidR="008C237C">
                <w:rPr>
                  <w:rFonts w:hint="eastAsia"/>
                  <w:szCs w:val="21"/>
                </w:rPr>
                <w:t>七</w:t>
              </w:r>
              <w:r w:rsidRPr="00B3400E">
                <w:rPr>
                  <w:szCs w:val="21"/>
                </w:rPr>
                <w:t>、</w:t>
              </w:r>
              <w:r w:rsidR="008C237C">
                <w:rPr>
                  <w:rFonts w:hint="eastAsia"/>
                  <w:szCs w:val="21"/>
                </w:rPr>
                <w:t>4</w:t>
              </w:r>
              <w:r w:rsidR="008C237C">
                <w:rPr>
                  <w:szCs w:val="21"/>
                </w:rPr>
                <w:t>1</w:t>
              </w:r>
              <w:r w:rsidRPr="00B3400E">
                <w:rPr>
                  <w:szCs w:val="21"/>
                </w:rPr>
                <w:t xml:space="preserve"> 。</w:t>
              </w:r>
            </w:p>
          </w:sdtContent>
        </w:sdt>
      </w:sdtContent>
    </w:sdt>
    <w:p w:rsidR="00806678" w:rsidRDefault="00806678">
      <w:pPr>
        <w:rPr>
          <w:szCs w:val="21"/>
        </w:rPr>
      </w:pPr>
    </w:p>
    <w:sdt>
      <w:sdtPr>
        <w:rPr>
          <w:rFonts w:ascii="宋体" w:hAnsi="宋体" w:cs="宋体" w:hint="eastAsia"/>
          <w:b w:val="0"/>
          <w:bCs w:val="0"/>
          <w:kern w:val="0"/>
          <w:szCs w:val="21"/>
        </w:rPr>
        <w:alias w:val="模块:交易性金融资产"/>
        <w:tag w:val="_SEC_5d6c5a8a108d4b628932fa3be459b540"/>
        <w:id w:val="-732077031"/>
        <w:lock w:val="sdtLocked"/>
        <w:placeholder>
          <w:docPart w:val="GBC22222222222222222222222222222"/>
        </w:placeholder>
      </w:sdtPr>
      <w:sdtContent>
        <w:p w:rsidR="00806678" w:rsidRDefault="00B16377" w:rsidP="00FF17C7">
          <w:pPr>
            <w:pStyle w:val="3"/>
            <w:numPr>
              <w:ilvl w:val="0"/>
              <w:numId w:val="18"/>
            </w:numPr>
            <w:rPr>
              <w:szCs w:val="21"/>
            </w:rPr>
          </w:pPr>
          <w:r>
            <w:rPr>
              <w:rFonts w:hint="eastAsia"/>
              <w:szCs w:val="21"/>
            </w:rPr>
            <w:t>交易性金融资产</w:t>
          </w:r>
        </w:p>
        <w:sdt>
          <w:sdtPr>
            <w:alias w:val="是否适用：交易性金融资产[双击切换]"/>
            <w:tag w:val="_GBC_c852c730c6fa4a3e8930f5cbbab9909f"/>
            <w:id w:val="1686161844"/>
            <w:lock w:val="sdtLocked"/>
            <w:placeholder>
              <w:docPart w:val="GBC22222222222222222222222222222"/>
            </w:placeholder>
          </w:sdtPr>
          <w:sdtContent>
            <w:p w:rsidR="00246CB1" w:rsidRDefault="00F80B6C" w:rsidP="00246CB1">
              <w:pPr>
                <w:rPr>
                  <w:szCs w:val="21"/>
                </w:rPr>
              </w:pPr>
              <w:r>
                <w:fldChar w:fldCharType="begin"/>
              </w:r>
              <w:r w:rsidR="00246CB1">
                <w:instrText xml:space="preserve"> MACROBUTTON  SnrToggleCheckbox □适用 </w:instrText>
              </w:r>
              <w:r>
                <w:fldChar w:fldCharType="end"/>
              </w:r>
              <w:r>
                <w:fldChar w:fldCharType="begin"/>
              </w:r>
              <w:r w:rsidR="00246CB1">
                <w:instrText xml:space="preserve"> MACROBUTTON  SnrToggleCheckbox √不适用 </w:instrText>
              </w:r>
              <w:r>
                <w:fldChar w:fldCharType="end"/>
              </w:r>
            </w:p>
          </w:sdtContent>
        </w:sdt>
        <w:p w:rsidR="00806678" w:rsidRDefault="00F80B6C">
          <w:pPr>
            <w:rPr>
              <w:szCs w:val="21"/>
            </w:rPr>
          </w:pPr>
        </w:p>
      </w:sdtContent>
    </w:sdt>
    <w:sdt>
      <w:sdtPr>
        <w:rPr>
          <w:rFonts w:ascii="宋体" w:hAnsi="宋体" w:cs="宋体" w:hint="eastAsia"/>
          <w:b w:val="0"/>
          <w:bCs w:val="0"/>
          <w:kern w:val="0"/>
          <w:szCs w:val="21"/>
        </w:rPr>
        <w:alias w:val="模块:衍生金融资产"/>
        <w:tag w:val="_SEC_2f4f1660c2f84fe39c4b376a5cc1b1a7"/>
        <w:id w:val="-991403218"/>
        <w:lock w:val="sdtLocked"/>
        <w:placeholder>
          <w:docPart w:val="GBC22222222222222222222222222222"/>
        </w:placeholder>
      </w:sdtPr>
      <w:sdtContent>
        <w:p w:rsidR="00806678" w:rsidRDefault="00B16377" w:rsidP="00FF17C7">
          <w:pPr>
            <w:pStyle w:val="3"/>
            <w:numPr>
              <w:ilvl w:val="0"/>
              <w:numId w:val="18"/>
            </w:numPr>
            <w:rPr>
              <w:szCs w:val="21"/>
            </w:rPr>
          </w:pPr>
          <w:r>
            <w:rPr>
              <w:rFonts w:hint="eastAsia"/>
              <w:szCs w:val="21"/>
            </w:rPr>
            <w:t>衍生金融资产</w:t>
          </w:r>
        </w:p>
        <w:sdt>
          <w:sdtPr>
            <w:alias w:val="是否适用：衍生金融资产[双击切换]"/>
            <w:tag w:val="_GBC_d17bfaab262c4a499d0afca62045c5e0"/>
            <w:id w:val="938344528"/>
            <w:lock w:val="sdtLocked"/>
            <w:placeholder>
              <w:docPart w:val="GBC22222222222222222222222222222"/>
            </w:placeholder>
          </w:sdtPr>
          <w:sdtContent>
            <w:p w:rsidR="00806678" w:rsidRDefault="00F80B6C" w:rsidP="00246CB1">
              <w:pPr>
                <w:rPr>
                  <w:szCs w:val="21"/>
                </w:rPr>
              </w:pPr>
              <w:r>
                <w:fldChar w:fldCharType="begin"/>
              </w:r>
              <w:r w:rsidR="00246CB1">
                <w:instrText xml:space="preserve">MACROBUTTON  SnrToggleCheckbox □适用 </w:instrText>
              </w:r>
              <w:r>
                <w:fldChar w:fldCharType="end"/>
              </w:r>
              <w:r>
                <w:fldChar w:fldCharType="begin"/>
              </w:r>
              <w:r w:rsidR="00246CB1">
                <w:instrText xml:space="preserve"> MACROBUTTON  SnrToggleCheckbox √不适用 </w:instrText>
              </w:r>
              <w:r>
                <w:fldChar w:fldCharType="end"/>
              </w:r>
            </w:p>
          </w:sdtContent>
        </w:sdt>
      </w:sdtContent>
    </w:sdt>
    <w:p w:rsidR="00806678" w:rsidRDefault="00B16377" w:rsidP="00FF17C7">
      <w:pPr>
        <w:pStyle w:val="3"/>
        <w:numPr>
          <w:ilvl w:val="0"/>
          <w:numId w:val="18"/>
        </w:numPr>
        <w:rPr>
          <w:rFonts w:ascii="宋体" w:hAnsi="宋体" w:cs="宋体"/>
          <w:kern w:val="0"/>
          <w:szCs w:val="21"/>
        </w:rPr>
      </w:pPr>
      <w:r>
        <w:rPr>
          <w:rFonts w:ascii="宋体" w:hAnsi="宋体" w:cs="宋体" w:hint="eastAsia"/>
          <w:kern w:val="0"/>
          <w:szCs w:val="21"/>
        </w:rPr>
        <w:t>应收票据</w:t>
      </w:r>
    </w:p>
    <w:sdt>
      <w:sdtPr>
        <w:rPr>
          <w:rFonts w:ascii="宋体" w:eastAsia="宋体" w:hAnsi="宋体" w:cs="宋体" w:hint="eastAsia"/>
          <w:b w:val="0"/>
          <w:bCs w:val="0"/>
          <w:kern w:val="0"/>
          <w:szCs w:val="24"/>
        </w:rPr>
        <w:alias w:val="模块:应收票据分类列示"/>
        <w:tag w:val="_SEC_4f1c8160429242738fa8e81ef0aab280"/>
        <w:id w:val="-1219818493"/>
        <w:lock w:val="sdtLocked"/>
        <w:placeholder>
          <w:docPart w:val="GBC22222222222222222222222222222"/>
        </w:placeholder>
      </w:sdtPr>
      <w:sdtEndPr>
        <w:rPr>
          <w:rFonts w:hint="default"/>
          <w:szCs w:val="21"/>
        </w:rPr>
      </w:sdtEndPr>
      <w:sdtContent>
        <w:p w:rsidR="00806678" w:rsidRDefault="00B16377" w:rsidP="00FF17C7">
          <w:pPr>
            <w:pStyle w:val="4"/>
            <w:numPr>
              <w:ilvl w:val="3"/>
              <w:numId w:val="71"/>
            </w:numPr>
            <w:ind w:left="426" w:hanging="426"/>
          </w:pPr>
          <w:r>
            <w:rPr>
              <w:rFonts w:hint="eastAsia"/>
            </w:rPr>
            <w:t>应收票据分类列示</w:t>
          </w:r>
        </w:p>
        <w:sdt>
          <w:sdtPr>
            <w:alias w:val="是否适用：应收票据分类列示[双击切换]"/>
            <w:tag w:val="_GBC_bdf010020d484a01ae60c52d7465a06a"/>
            <w:id w:val="2030215109"/>
            <w:lock w:val="sdtLocked"/>
            <w:placeholder>
              <w:docPart w:val="GBC22222222222222222222222222222"/>
            </w:placeholder>
          </w:sdtPr>
          <w:sdtContent>
            <w:p w:rsidR="00806678" w:rsidRDefault="00F80B6C" w:rsidP="00246CB1">
              <w:pPr>
                <w:rPr>
                  <w:szCs w:val="21"/>
                </w:rPr>
              </w:pPr>
              <w:r>
                <w:fldChar w:fldCharType="begin"/>
              </w:r>
              <w:r w:rsidR="00246CB1">
                <w:instrText xml:space="preserve">MACROBUTTON  SnrToggleCheckbox □适用 </w:instrText>
              </w:r>
              <w:r>
                <w:fldChar w:fldCharType="end"/>
              </w:r>
              <w:r>
                <w:fldChar w:fldCharType="begin"/>
              </w:r>
              <w:r w:rsidR="00246CB1">
                <w:instrText xml:space="preserve"> MACROBUTTON  SnrToggleCheckbox √不适用 </w:instrText>
              </w:r>
              <w:r>
                <w:fldChar w:fldCharType="end"/>
              </w:r>
            </w:p>
          </w:sdtContent>
        </w:sdt>
      </w:sdtContent>
    </w:sdt>
    <w:sdt>
      <w:sdtPr>
        <w:rPr>
          <w:rFonts w:ascii="宋体" w:eastAsia="宋体" w:hAnsi="宋体" w:cs="宋体"/>
          <w:b w:val="0"/>
          <w:bCs w:val="0"/>
          <w:kern w:val="0"/>
          <w:szCs w:val="24"/>
        </w:rPr>
        <w:alias w:val="模块:期末公司已质押的应收票据"/>
        <w:tag w:val="_SEC_aafb834414ab47688643694210fed9bf"/>
        <w:id w:val="1186632058"/>
        <w:lock w:val="sdtLocked"/>
        <w:placeholder>
          <w:docPart w:val="GBC22222222222222222222222222222"/>
        </w:placeholder>
      </w:sdtPr>
      <w:sdtEndPr>
        <w:rPr>
          <w:szCs w:val="21"/>
        </w:rPr>
      </w:sdtEndPr>
      <w:sdtContent>
        <w:p w:rsidR="00806678" w:rsidRDefault="00B16377" w:rsidP="00FF17C7">
          <w:pPr>
            <w:pStyle w:val="4"/>
            <w:numPr>
              <w:ilvl w:val="3"/>
              <w:numId w:val="71"/>
            </w:numPr>
            <w:ind w:left="426" w:hanging="426"/>
          </w:pPr>
          <w:r>
            <w:t>期末公司已</w:t>
          </w:r>
          <w:r>
            <w:rPr>
              <w:rFonts w:hint="eastAsia"/>
            </w:rPr>
            <w:t>质押</w:t>
          </w:r>
          <w:r>
            <w:t>的应收票据</w:t>
          </w:r>
        </w:p>
        <w:sdt>
          <w:sdtPr>
            <w:alias w:val="是否适用：期末公司已质押的应收票据[双击切换]"/>
            <w:tag w:val="_GBC_5281ffb2b9304a49a6db0c913bbaac53"/>
            <w:id w:val="742835362"/>
            <w:lock w:val="sdtLocked"/>
            <w:placeholder>
              <w:docPart w:val="GBC22222222222222222222222222222"/>
            </w:placeholder>
          </w:sdtPr>
          <w:sdtContent>
            <w:p w:rsidR="00806678" w:rsidRDefault="00F80B6C" w:rsidP="00246CB1">
              <w:pPr>
                <w:rPr>
                  <w:szCs w:val="21"/>
                </w:rPr>
              </w:pPr>
              <w:r>
                <w:fldChar w:fldCharType="begin"/>
              </w:r>
              <w:r w:rsidR="00246CB1">
                <w:instrText xml:space="preserve">MACROBUTTON  SnrToggleCheckbox □适用 </w:instrText>
              </w:r>
              <w:r>
                <w:fldChar w:fldCharType="end"/>
              </w:r>
              <w:r>
                <w:fldChar w:fldCharType="begin"/>
              </w:r>
              <w:r w:rsidR="00246CB1">
                <w:instrText xml:space="preserve"> MACROBUTTON  SnrToggleCheckbox √不适用 </w:instrText>
              </w:r>
              <w:r>
                <w:fldChar w:fldCharType="end"/>
              </w:r>
            </w:p>
          </w:sdtContent>
        </w:sdt>
      </w:sdtContent>
    </w:sdt>
    <w:sdt>
      <w:sdtPr>
        <w:rPr>
          <w:rFonts w:ascii="宋体" w:eastAsia="宋体" w:hAnsi="宋体" w:cs="宋体" w:hint="eastAsia"/>
          <w:b w:val="0"/>
          <w:bCs w:val="0"/>
          <w:kern w:val="0"/>
          <w:szCs w:val="24"/>
        </w:rPr>
        <w:alias w:val="模块:期末公司已背书或贴现且在资产负债表日尚未到期的应收票据"/>
        <w:tag w:val="_SEC_45d50989d4a042519489cf69f1b044ed"/>
        <w:id w:val="417984836"/>
        <w:lock w:val="sdtLocked"/>
        <w:placeholder>
          <w:docPart w:val="GBC22222222222222222222222222222"/>
        </w:placeholder>
      </w:sdtPr>
      <w:sdtEndPr>
        <w:rPr>
          <w:rFonts w:ascii="Times New Roman" w:hAnsi="Times New Roman" w:hint="default"/>
        </w:rPr>
      </w:sdtEndPr>
      <w:sdtContent>
        <w:p w:rsidR="00806678" w:rsidRDefault="00B16377" w:rsidP="00FF17C7">
          <w:pPr>
            <w:pStyle w:val="4"/>
            <w:numPr>
              <w:ilvl w:val="3"/>
              <w:numId w:val="71"/>
            </w:numPr>
            <w:ind w:left="426" w:hanging="426"/>
          </w:pPr>
          <w:r>
            <w:rPr>
              <w:rFonts w:hint="eastAsia"/>
            </w:rPr>
            <w:t>期末公司已背书或贴现且在资产负债表日尚未到期的应收票据</w:t>
          </w:r>
        </w:p>
        <w:sdt>
          <w:sdtPr>
            <w:alias w:val="是否适用：期末公司已背书或贴现且在资产负债表日尚未到期的应收票据[双击切换]"/>
            <w:tag w:val="_GBC_fcf5deb5a8d847f0b643987adde9a558"/>
            <w:id w:val="-378244810"/>
            <w:lock w:val="sdtLocked"/>
            <w:placeholder>
              <w:docPart w:val="GBC22222222222222222222222222222"/>
            </w:placeholder>
          </w:sdtPr>
          <w:sdtContent>
            <w:p w:rsidR="00806678" w:rsidRDefault="00F80B6C" w:rsidP="00246CB1">
              <w:pPr>
                <w:rPr>
                  <w:rFonts w:ascii="Times New Roman" w:hAnsi="Times New Roman" w:cs="Times New Roman"/>
                  <w:kern w:val="2"/>
                </w:rPr>
              </w:pPr>
              <w:r>
                <w:fldChar w:fldCharType="begin"/>
              </w:r>
              <w:r w:rsidR="00246CB1">
                <w:instrText xml:space="preserve">MACROBUTTON  SnrToggleCheckbox □适用 </w:instrText>
              </w:r>
              <w:r>
                <w:fldChar w:fldCharType="end"/>
              </w:r>
              <w:r>
                <w:fldChar w:fldCharType="begin"/>
              </w:r>
              <w:r w:rsidR="00246CB1">
                <w:instrText xml:space="preserve"> MACROBUTTON  SnrToggleCheckbox √不适用 </w:instrText>
              </w:r>
              <w:r>
                <w:fldChar w:fldCharType="end"/>
              </w:r>
            </w:p>
          </w:sdtContent>
        </w:sdt>
      </w:sdtContent>
    </w:sdt>
    <w:sdt>
      <w:sdtPr>
        <w:rPr>
          <w:rFonts w:ascii="宋体" w:eastAsia="宋体" w:hAnsi="宋体" w:cs="宋体" w:hint="eastAsia"/>
          <w:b w:val="0"/>
          <w:bCs w:val="0"/>
          <w:kern w:val="0"/>
          <w:szCs w:val="24"/>
        </w:rPr>
        <w:alias w:val="模块:期末公司因出票人未履约而将其转应收账款的票据"/>
        <w:tag w:val="_SEC_c28e226da8c4479fa309249d7ef50c92"/>
        <w:id w:val="1309978599"/>
        <w:lock w:val="sdtLocked"/>
        <w:placeholder>
          <w:docPart w:val="GBC22222222222222222222222222222"/>
        </w:placeholder>
      </w:sdtPr>
      <w:sdtEndPr>
        <w:rPr>
          <w:rFonts w:asciiTheme="minorHAnsi" w:hAnsiTheme="minorHAnsi" w:cstheme="minorBidi" w:hint="default"/>
          <w:szCs w:val="22"/>
        </w:rPr>
      </w:sdtEndPr>
      <w:sdtContent>
        <w:p w:rsidR="00806678" w:rsidRDefault="00B16377" w:rsidP="00FF17C7">
          <w:pPr>
            <w:pStyle w:val="4"/>
            <w:numPr>
              <w:ilvl w:val="3"/>
              <w:numId w:val="71"/>
            </w:numPr>
            <w:ind w:left="426" w:hanging="426"/>
          </w:pPr>
          <w:r>
            <w:rPr>
              <w:rFonts w:hint="eastAsia"/>
            </w:rPr>
            <w:t>期末公司因出票人未履约而将其转应收账款的票据</w:t>
          </w:r>
        </w:p>
        <w:sdt>
          <w:sdtPr>
            <w:alias w:val="是否适用：期末公司因出票人未履约而将其转应收账款的票据[双击切换]"/>
            <w:tag w:val="_GBC_9ce8db6863a54a2bbc116604b226d86c"/>
            <w:id w:val="2143771125"/>
            <w:lock w:val="sdtLocked"/>
            <w:placeholder>
              <w:docPart w:val="GBC22222222222222222222222222222"/>
            </w:placeholder>
          </w:sdtPr>
          <w:sdtContent>
            <w:p w:rsidR="00806678" w:rsidRDefault="00F80B6C" w:rsidP="00246CB1">
              <w:pPr>
                <w:rPr>
                  <w:rFonts w:asciiTheme="minorHAnsi" w:hAnsiTheme="minorHAnsi" w:cstheme="minorBidi"/>
                  <w:b/>
                  <w:bCs/>
                  <w:szCs w:val="22"/>
                </w:rPr>
              </w:pPr>
              <w:r>
                <w:fldChar w:fldCharType="begin"/>
              </w:r>
              <w:r w:rsidR="00246CB1">
                <w:instrText xml:space="preserve">MACROBUTTON  SnrToggleCheckbox □适用 </w:instrText>
              </w:r>
              <w:r>
                <w:fldChar w:fldCharType="end"/>
              </w:r>
              <w:r>
                <w:fldChar w:fldCharType="begin"/>
              </w:r>
              <w:r w:rsidR="00246CB1">
                <w:instrText xml:space="preserve"> MACROBUTTON  SnrToggleCheckbox √不适用 </w:instrText>
              </w:r>
              <w:r>
                <w:fldChar w:fldCharType="end"/>
              </w:r>
            </w:p>
          </w:sdtContent>
        </w:sdt>
      </w:sdtContent>
    </w:sdt>
    <w:bookmarkStart w:id="155" w:name="_Hlk533596246" w:displacedByCustomXml="next"/>
    <w:sdt>
      <w:sdtPr>
        <w:rPr>
          <w:rFonts w:ascii="宋体" w:eastAsia="宋体" w:hAnsi="宋体" w:cs="宋体"/>
          <w:b w:val="0"/>
          <w:bCs w:val="0"/>
          <w:kern w:val="0"/>
          <w:szCs w:val="24"/>
        </w:rPr>
        <w:alias w:val="模块:按坏账计提方法分类披露"/>
        <w:tag w:val="_SEC_63927a21dd56431cb79b634520f50ece"/>
        <w:id w:val="526057288"/>
        <w:lock w:val="sdtLocked"/>
        <w:placeholder>
          <w:docPart w:val="GBC22222222222222222222222222222"/>
        </w:placeholder>
      </w:sdtPr>
      <w:sdtContent>
        <w:p w:rsidR="00806678" w:rsidRDefault="00B16377" w:rsidP="00FF17C7">
          <w:pPr>
            <w:pStyle w:val="4"/>
            <w:numPr>
              <w:ilvl w:val="3"/>
              <w:numId w:val="71"/>
            </w:numPr>
            <w:ind w:left="426" w:hanging="426"/>
          </w:pPr>
          <w:r>
            <w:t>按坏账计提方法分类披露</w:t>
          </w:r>
        </w:p>
        <w:sdt>
          <w:sdtPr>
            <w:alias w:val="是否适用：应收票据按坏账计提方法分类披露[双击切换]"/>
            <w:tag w:val="_GBC_806abc31b942462ba4b46f92c99312a5"/>
            <w:id w:val="1528454635"/>
            <w:lock w:val="sdtLocked"/>
            <w:placeholder>
              <w:docPart w:val="GBC22222222222222222222222222222"/>
            </w:placeholder>
          </w:sdtPr>
          <w:sdtContent>
            <w:p w:rsidR="00806678" w:rsidRDefault="00F80B6C" w:rsidP="00246CB1">
              <w:r>
                <w:fldChar w:fldCharType="begin"/>
              </w:r>
              <w:r w:rsidR="00246CB1">
                <w:instrText xml:space="preserve"> MACROBUTTON  SnrToggleCheckbox □适用 </w:instrText>
              </w:r>
              <w:r>
                <w:fldChar w:fldCharType="end"/>
              </w:r>
              <w:r>
                <w:fldChar w:fldCharType="begin"/>
              </w:r>
              <w:r w:rsidR="00246CB1">
                <w:instrText xml:space="preserve"> MACROBUTTON  SnrToggleCheckbox √不适用 </w:instrText>
              </w:r>
              <w:r>
                <w:fldChar w:fldCharType="end"/>
              </w:r>
            </w:p>
          </w:sdtContent>
        </w:sdt>
      </w:sdtContent>
    </w:sdt>
    <w:bookmarkEnd w:id="155" w:displacedByCustomXml="prev"/>
    <w:sdt>
      <w:sdtPr>
        <w:rPr>
          <w:rFonts w:hint="eastAsia"/>
        </w:rPr>
        <w:alias w:val="模块:按单项计提坏账准备"/>
        <w:tag w:val="_SEC_2e0b02c8d30f4e60bebed0d7a5a961af"/>
        <w:id w:val="-986774867"/>
        <w:lock w:val="sdtLocked"/>
        <w:placeholder>
          <w:docPart w:val="GBC22222222222222222222222222222"/>
        </w:placeholder>
      </w:sdtPr>
      <w:sdtEndPr>
        <w:rPr>
          <w:rFonts w:hint="default"/>
          <w:szCs w:val="21"/>
        </w:rPr>
      </w:sdtEndPr>
      <w:sdtContent>
        <w:p w:rsidR="00806678" w:rsidRDefault="00B16377">
          <w:r>
            <w:rPr>
              <w:rFonts w:hint="eastAsia"/>
            </w:rPr>
            <w:t>按单项计提坏账准备：</w:t>
          </w:r>
        </w:p>
        <w:sdt>
          <w:sdtPr>
            <w:rPr>
              <w:rFonts w:hint="eastAsia"/>
            </w:rPr>
            <w:alias w:val="是否适用：按单项计提坏账准备的应收票据详细情况[双击切换]"/>
            <w:tag w:val="_GBC_9f41f638de8f4c42b9d00ca6755931fb"/>
            <w:id w:val="744689714"/>
            <w:lock w:val="sdtLocked"/>
            <w:placeholder>
              <w:docPart w:val="GBC22222222222222222222222222222"/>
            </w:placeholder>
          </w:sdtPr>
          <w:sdtContent>
            <w:p w:rsidR="00806678" w:rsidRDefault="00F80B6C">
              <w:pPr>
                <w:rPr>
                  <w:szCs w:val="21"/>
                </w:rPr>
              </w:pPr>
              <w:r>
                <w:fldChar w:fldCharType="begin"/>
              </w:r>
              <w:r w:rsidR="00246CB1">
                <w:instrText xml:space="preserve"> MACROBUTTON  SnrToggleCheckbox □适用 </w:instrText>
              </w:r>
              <w:r>
                <w:fldChar w:fldCharType="end"/>
              </w:r>
              <w:r>
                <w:fldChar w:fldCharType="begin"/>
              </w:r>
              <w:r w:rsidR="00246CB1">
                <w:instrText xml:space="preserve"> MACROBUTTON  SnrToggleCheckbox √不适用 </w:instrText>
              </w:r>
              <w:r>
                <w:fldChar w:fldCharType="end"/>
              </w:r>
            </w:p>
          </w:sdtContent>
        </w:sdt>
        <w:bookmarkStart w:id="156" w:name="_Hlk533597423" w:displacedByCustomXml="next"/>
      </w:sdtContent>
    </w:sdt>
    <w:bookmarkEnd w:id="156" w:displacedByCustomXml="prev"/>
    <w:sdt>
      <w:sdtPr>
        <w:rPr>
          <w:rFonts w:asciiTheme="minorHAnsi" w:hAnsiTheme="minorHAnsi" w:cstheme="minorBidi" w:hint="eastAsia"/>
          <w:bCs/>
          <w:szCs w:val="22"/>
        </w:rPr>
        <w:tag w:val="_PLD_c5822df72e094b5083c45a32639c6995"/>
        <w:id w:val="404574646"/>
        <w:lock w:val="sdtLocked"/>
        <w:placeholder>
          <w:docPart w:val="GBC22222222222222222222222222222"/>
        </w:placeholder>
      </w:sdtPr>
      <w:sdtContent>
        <w:p w:rsidR="00806678" w:rsidRDefault="00B16377">
          <w:pPr>
            <w:rPr>
              <w:rFonts w:asciiTheme="minorHAnsi" w:hAnsiTheme="minorHAnsi" w:cstheme="minorBidi"/>
              <w:bCs/>
              <w:szCs w:val="22"/>
            </w:rPr>
          </w:pPr>
          <w:r>
            <w:rPr>
              <w:rFonts w:asciiTheme="minorHAnsi" w:hAnsiTheme="minorHAnsi" w:cstheme="minorBidi" w:hint="eastAsia"/>
              <w:bCs/>
              <w:szCs w:val="22"/>
            </w:rPr>
            <w:t>按组合计提坏账准备：</w:t>
          </w:r>
        </w:p>
      </w:sdtContent>
    </w:sdt>
    <w:sdt>
      <w:sdtPr>
        <w:rPr>
          <w:rFonts w:asciiTheme="minorHAnsi" w:hAnsiTheme="minorHAnsi" w:cstheme="minorBidi" w:hint="eastAsia"/>
          <w:bCs/>
          <w:szCs w:val="22"/>
        </w:rPr>
        <w:alias w:val="是否适用：按组合计提坏账准备的应收票据详细情况[双击切换]"/>
        <w:tag w:val="_GBC_6007da8f43a241c5b804069722b7b005"/>
        <w:id w:val="-2057613197"/>
        <w:lock w:val="sdtLocked"/>
        <w:placeholder>
          <w:docPart w:val="GBC22222222222222222222222222222"/>
        </w:placeholder>
      </w:sdtPr>
      <w:sdtContent>
        <w:p w:rsidR="00806678" w:rsidRDefault="00F80B6C">
          <w:pPr>
            <w:rPr>
              <w:rFonts w:asciiTheme="minorHAnsi" w:hAnsiTheme="minorHAnsi" w:cstheme="minorBidi"/>
              <w:b/>
              <w:bCs/>
              <w:szCs w:val="22"/>
            </w:rPr>
          </w:pPr>
          <w:r>
            <w:rPr>
              <w:rFonts w:cstheme="minorBidi"/>
              <w:bCs/>
              <w:szCs w:val="22"/>
            </w:rPr>
            <w:fldChar w:fldCharType="begin"/>
          </w:r>
          <w:r w:rsidR="00246CB1">
            <w:rPr>
              <w:rFonts w:cstheme="minorBidi"/>
              <w:bCs/>
              <w:szCs w:val="22"/>
            </w:rPr>
            <w:instrText xml:space="preserve"> MACROBUTTON  SnrToggleCheckbox □适用 </w:instrText>
          </w:r>
          <w:r>
            <w:rPr>
              <w:rFonts w:cstheme="minorBidi"/>
              <w:bCs/>
              <w:szCs w:val="22"/>
            </w:rPr>
            <w:fldChar w:fldCharType="end"/>
          </w:r>
          <w:r>
            <w:rPr>
              <w:rFonts w:cstheme="minorBidi"/>
              <w:bCs/>
              <w:szCs w:val="22"/>
            </w:rPr>
            <w:fldChar w:fldCharType="begin"/>
          </w:r>
          <w:r w:rsidR="00246CB1">
            <w:rPr>
              <w:rFonts w:cstheme="minorBidi"/>
              <w:bCs/>
              <w:szCs w:val="22"/>
            </w:rPr>
            <w:instrText xml:space="preserve"> MACROBUTTON  SnrToggleCheckbox √不适用 </w:instrText>
          </w:r>
          <w:r>
            <w:rPr>
              <w:rFonts w:cstheme="minorBidi"/>
              <w:bCs/>
              <w:szCs w:val="22"/>
            </w:rPr>
            <w:fldChar w:fldCharType="end"/>
          </w:r>
        </w:p>
      </w:sdtContent>
    </w:sdt>
    <w:sdt>
      <w:sdtPr>
        <w:rPr>
          <w:rFonts w:cstheme="minorBidi" w:hint="eastAsia"/>
          <w:bCs/>
          <w:szCs w:val="22"/>
        </w:rPr>
        <w:alias w:val="模块:如按预期信用损失一般模型计提坏账准备，请参照其他应收款披露"/>
        <w:tag w:val="_SEC_04c40b625aee4c7d8e38c7f456e27b56"/>
        <w:id w:val="1385447345"/>
        <w:lock w:val="sdtLocked"/>
        <w:placeholder>
          <w:docPart w:val="GBC22222222222222222222222222222"/>
        </w:placeholder>
      </w:sdtPr>
      <w:sdtEndPr>
        <w:rPr>
          <w:rFonts w:asciiTheme="minorHAnsi" w:hAnsiTheme="minorHAnsi"/>
          <w:b/>
        </w:rPr>
      </w:sdtEndPr>
      <w:sdtContent>
        <w:p w:rsidR="00806678" w:rsidRDefault="00B16377">
          <w:pPr>
            <w:rPr>
              <w:rFonts w:cstheme="minorBidi"/>
              <w:bCs/>
              <w:szCs w:val="22"/>
            </w:rPr>
          </w:pPr>
          <w:r>
            <w:rPr>
              <w:rFonts w:cstheme="minorBidi" w:hint="eastAsia"/>
              <w:bCs/>
              <w:szCs w:val="22"/>
            </w:rPr>
            <w:t>如按预期信用损失一般模型计提坏账准备，请参照其他应收款披露：</w:t>
          </w:r>
        </w:p>
        <w:sdt>
          <w:sdtPr>
            <w:rPr>
              <w:rFonts w:cstheme="minorBidi"/>
              <w:bCs/>
              <w:szCs w:val="22"/>
            </w:rPr>
            <w:alias w:val="是否适用：应收票据按预期信用损失一般模型计提坏账准备[双击切换]"/>
            <w:tag w:val="_GBC_21b4909badcd4ef7bc61b6478d0fd727"/>
            <w:id w:val="657734214"/>
            <w:lock w:val="sdtLocked"/>
            <w:placeholder>
              <w:docPart w:val="GBC22222222222222222222222222222"/>
            </w:placeholder>
          </w:sdtPr>
          <w:sdtContent>
            <w:p w:rsidR="00806678" w:rsidRPr="00246CB1" w:rsidRDefault="00F80B6C">
              <w:pPr>
                <w:rPr>
                  <w:rFonts w:cstheme="minorBidi"/>
                  <w:bCs/>
                  <w:szCs w:val="22"/>
                </w:rPr>
              </w:pPr>
              <w:r>
                <w:rPr>
                  <w:rFonts w:cstheme="minorBidi"/>
                  <w:bCs/>
                  <w:szCs w:val="22"/>
                </w:rPr>
                <w:fldChar w:fldCharType="begin"/>
              </w:r>
              <w:r w:rsidR="00246CB1">
                <w:rPr>
                  <w:rFonts w:cstheme="minorBidi"/>
                  <w:bCs/>
                  <w:szCs w:val="22"/>
                </w:rPr>
                <w:instrText xml:space="preserve"> MACROBUTTON  SnrToggleCheckbox □适用 </w:instrText>
              </w:r>
              <w:r>
                <w:rPr>
                  <w:rFonts w:cstheme="minorBidi"/>
                  <w:bCs/>
                  <w:szCs w:val="22"/>
                </w:rPr>
                <w:fldChar w:fldCharType="end"/>
              </w:r>
              <w:r>
                <w:rPr>
                  <w:rFonts w:cstheme="minorBidi"/>
                  <w:bCs/>
                  <w:szCs w:val="22"/>
                </w:rPr>
                <w:fldChar w:fldCharType="begin"/>
              </w:r>
              <w:r w:rsidR="00246CB1">
                <w:rPr>
                  <w:rFonts w:cstheme="minorBidi"/>
                  <w:bCs/>
                  <w:szCs w:val="22"/>
                </w:rPr>
                <w:instrText xml:space="preserve"> MACROBUTTON  SnrToggleCheckbox √不适用 </w:instrText>
              </w:r>
              <w:r>
                <w:rPr>
                  <w:rFonts w:cstheme="minorBidi"/>
                  <w:bCs/>
                  <w:szCs w:val="22"/>
                </w:rPr>
                <w:fldChar w:fldCharType="end"/>
              </w:r>
            </w:p>
          </w:sdtContent>
        </w:sdt>
      </w:sdtContent>
    </w:sdt>
    <w:bookmarkStart w:id="157" w:name="_Hlk532980547" w:displacedByCustomXml="next"/>
    <w:sdt>
      <w:sdtPr>
        <w:rPr>
          <w:rFonts w:ascii="宋体" w:eastAsia="宋体" w:hAnsi="宋体" w:cs="宋体" w:hint="eastAsia"/>
          <w:b w:val="0"/>
          <w:bCs w:val="0"/>
          <w:kern w:val="0"/>
          <w:szCs w:val="24"/>
        </w:rPr>
        <w:alias w:val="模块:应收票据坏账准备的情况"/>
        <w:tag w:val="_SEC_3dab029b25824ad8a8695b0e58b6c454"/>
        <w:id w:val="-1374694775"/>
        <w:lock w:val="sdtLocked"/>
        <w:placeholder>
          <w:docPart w:val="GBC22222222222222222222222222222"/>
        </w:placeholder>
      </w:sdtPr>
      <w:sdtEndPr>
        <w:rPr>
          <w:rFonts w:asciiTheme="minorHAnsi" w:hAnsiTheme="minorHAnsi" w:cstheme="minorBidi" w:hint="default"/>
          <w:szCs w:val="22"/>
        </w:rPr>
      </w:sdtEndPr>
      <w:sdtContent>
        <w:p w:rsidR="00806678" w:rsidRDefault="00B16377" w:rsidP="00FF17C7">
          <w:pPr>
            <w:pStyle w:val="4"/>
            <w:numPr>
              <w:ilvl w:val="3"/>
              <w:numId w:val="71"/>
            </w:numPr>
            <w:ind w:left="426" w:hanging="426"/>
          </w:pPr>
          <w:r>
            <w:rPr>
              <w:rFonts w:hint="eastAsia"/>
            </w:rPr>
            <w:t>坏账准备的情况</w:t>
          </w:r>
        </w:p>
        <w:sdt>
          <w:sdtPr>
            <w:alias w:val="是否适用：应收票据坏账准备情况[双击切换]"/>
            <w:tag w:val="_GBC_3c7b44ae9e3b4aa6a67012163093206f"/>
            <w:id w:val="1994919001"/>
            <w:lock w:val="sdtLocked"/>
            <w:placeholder>
              <w:docPart w:val="GBC22222222222222222222222222222"/>
            </w:placeholder>
          </w:sdtPr>
          <w:sdtContent>
            <w:p w:rsidR="00806678" w:rsidRDefault="00F80B6C">
              <w:pPr>
                <w:rPr>
                  <w:rFonts w:asciiTheme="minorHAnsi" w:hAnsiTheme="minorHAnsi" w:cstheme="minorBidi"/>
                  <w:b/>
                  <w:bCs/>
                  <w:szCs w:val="22"/>
                </w:rPr>
              </w:pPr>
              <w:r>
                <w:fldChar w:fldCharType="begin"/>
              </w:r>
              <w:r w:rsidR="00246CB1">
                <w:instrText xml:space="preserve"> MACROBUTTON  SnrToggleCheckbox □适用 </w:instrText>
              </w:r>
              <w:r>
                <w:fldChar w:fldCharType="end"/>
              </w:r>
              <w:r>
                <w:fldChar w:fldCharType="begin"/>
              </w:r>
              <w:r w:rsidR="00246CB1">
                <w:instrText xml:space="preserve"> MACROBUTTON  SnrToggleCheckbox √不适用 </w:instrText>
              </w:r>
              <w:r>
                <w:fldChar w:fldCharType="end"/>
              </w:r>
            </w:p>
          </w:sdtContent>
        </w:sdt>
      </w:sdtContent>
    </w:sdt>
    <w:bookmarkEnd w:id="157" w:displacedByCustomXml="prev"/>
    <w:bookmarkStart w:id="158" w:name="_Hlk532982011" w:displacedByCustomXml="next"/>
    <w:sdt>
      <w:sdtPr>
        <w:rPr>
          <w:rFonts w:ascii="宋体" w:eastAsia="宋体" w:hAnsi="宋体" w:cs="宋体" w:hint="eastAsia"/>
          <w:b w:val="0"/>
          <w:bCs w:val="0"/>
          <w:kern w:val="0"/>
          <w:szCs w:val="24"/>
        </w:rPr>
        <w:alias w:val="模块:本期实际核销的应收票据情况"/>
        <w:tag w:val="_SEC_3428d5e0a1974f66bdc18edf0b310417"/>
        <w:id w:val="-1316644370"/>
        <w:lock w:val="sdtLocked"/>
        <w:placeholder>
          <w:docPart w:val="GBC22222222222222222222222222222"/>
        </w:placeholder>
      </w:sdtPr>
      <w:sdtEndPr>
        <w:rPr>
          <w:rFonts w:asciiTheme="minorHAnsi" w:hAnsiTheme="minorHAnsi" w:cstheme="minorBidi" w:hint="default"/>
          <w:szCs w:val="22"/>
        </w:rPr>
      </w:sdtEndPr>
      <w:sdtContent>
        <w:p w:rsidR="00806678" w:rsidRDefault="00B16377" w:rsidP="00FF17C7">
          <w:pPr>
            <w:pStyle w:val="4"/>
            <w:numPr>
              <w:ilvl w:val="3"/>
              <w:numId w:val="71"/>
            </w:numPr>
            <w:ind w:left="426" w:hanging="426"/>
          </w:pPr>
          <w:r>
            <w:rPr>
              <w:rFonts w:hint="eastAsia"/>
            </w:rPr>
            <w:t>本期实际核销的应收票据情况</w:t>
          </w:r>
        </w:p>
        <w:sdt>
          <w:sdtPr>
            <w:alias w:val="是否适用：实际核销的应收票据[双击切换]"/>
            <w:tag w:val="_GBC_a0d8af67abfc4a1698fd198064d3b108"/>
            <w:id w:val="-732698059"/>
            <w:lock w:val="sdtLocked"/>
            <w:placeholder>
              <w:docPart w:val="GBC22222222222222222222222222222"/>
            </w:placeholder>
          </w:sdtPr>
          <w:sdtContent>
            <w:p w:rsidR="00806678" w:rsidRPr="00246CB1" w:rsidRDefault="00F80B6C">
              <w:pPr>
                <w:rPr>
                  <w:rFonts w:asciiTheme="minorHAnsi" w:hAnsiTheme="minorHAnsi" w:cstheme="minorBidi"/>
                  <w:bCs/>
                  <w:szCs w:val="22"/>
                </w:rPr>
              </w:pPr>
              <w:r>
                <w:fldChar w:fldCharType="begin"/>
              </w:r>
              <w:r w:rsidR="00246CB1">
                <w:instrText xml:space="preserve"> MACROBUTTON  SnrToggleCheckbox □适用 </w:instrText>
              </w:r>
              <w:r>
                <w:fldChar w:fldCharType="end"/>
              </w:r>
              <w:r>
                <w:fldChar w:fldCharType="begin"/>
              </w:r>
              <w:r w:rsidR="00246CB1">
                <w:instrText xml:space="preserve"> MACROBUTTON  SnrToggleCheckbox √不适用 </w:instrText>
              </w:r>
              <w:r>
                <w:fldChar w:fldCharType="end"/>
              </w:r>
            </w:p>
          </w:sdtContent>
        </w:sdt>
      </w:sdtContent>
    </w:sdt>
    <w:bookmarkEnd w:id="158" w:displacedByCustomXml="prev"/>
    <w:sdt>
      <w:sdtPr>
        <w:rPr>
          <w:rFonts w:asciiTheme="minorHAnsi" w:hAnsiTheme="minorHAnsi" w:cstheme="minorBidi" w:hint="eastAsia"/>
          <w:b/>
          <w:bCs/>
          <w:szCs w:val="22"/>
        </w:rPr>
        <w:alias w:val="模块:应收票据其他说明"/>
        <w:tag w:val="_SEC_9045c8983bbe475395a63669d8f42a68"/>
        <w:id w:val="-1408304231"/>
        <w:lock w:val="sdtLocked"/>
        <w:placeholder>
          <w:docPart w:val="GBC22222222222222222222222222222"/>
        </w:placeholder>
      </w:sdtPr>
      <w:sdtEndPr>
        <w:rPr>
          <w:rFonts w:ascii="Times New Roman" w:hAnsi="Times New Roman" w:cs="Times New Roman" w:hint="default"/>
          <w:b w:val="0"/>
          <w:bCs w:val="0"/>
          <w:szCs w:val="24"/>
        </w:rPr>
      </w:sdtEndPr>
      <w:sdtContent>
        <w:p w:rsidR="00806678" w:rsidRDefault="00B16377">
          <w:r>
            <w:rPr>
              <w:rFonts w:hint="eastAsia"/>
            </w:rPr>
            <w:t>其他说明</w:t>
          </w:r>
        </w:p>
        <w:sdt>
          <w:sdtPr>
            <w:alias w:val="是否适用：应收票据的说明[双击切换]"/>
            <w:tag w:val="_GBC_dc21e09520924a5db7020ba029631550"/>
            <w:id w:val="-1454239386"/>
            <w:lock w:val="sdtLocked"/>
            <w:placeholder>
              <w:docPart w:val="GBC22222222222222222222222222222"/>
            </w:placeholder>
          </w:sdtPr>
          <w:sdtContent>
            <w:p w:rsidR="00C24992" w:rsidRDefault="00F80B6C" w:rsidP="00246CB1">
              <w:pPr>
                <w:sectPr w:rsidR="00C24992" w:rsidSect="00F41343">
                  <w:pgSz w:w="11906" w:h="16838"/>
                  <w:pgMar w:top="1440" w:right="1797" w:bottom="1525" w:left="1276" w:header="856" w:footer="992" w:gutter="0"/>
                  <w:cols w:space="425"/>
                  <w:docGrid w:type="lines" w:linePitch="312"/>
                </w:sectPr>
              </w:pPr>
              <w:r>
                <w:fldChar w:fldCharType="begin"/>
              </w:r>
              <w:r w:rsidR="00246CB1">
                <w:instrText xml:space="preserve">MACROBUTTON  SnrToggleCheckbox □适用 </w:instrText>
              </w:r>
              <w:r>
                <w:fldChar w:fldCharType="end"/>
              </w:r>
              <w:r>
                <w:fldChar w:fldCharType="begin"/>
              </w:r>
              <w:r w:rsidR="00246CB1">
                <w:instrText xml:space="preserve"> MACROBUTTON  SnrToggleCheckbox √不适用 </w:instrText>
              </w:r>
              <w:r>
                <w:fldChar w:fldCharType="end"/>
              </w:r>
            </w:p>
            <w:p w:rsidR="00806678" w:rsidRPr="008D723D" w:rsidRDefault="00F80B6C" w:rsidP="00246CB1"/>
          </w:sdtContent>
        </w:sdt>
      </w:sdtContent>
    </w:sdt>
    <w:p w:rsidR="00806678" w:rsidRDefault="00B16377" w:rsidP="00FF17C7">
      <w:pPr>
        <w:pStyle w:val="3"/>
        <w:numPr>
          <w:ilvl w:val="0"/>
          <w:numId w:val="18"/>
        </w:numPr>
        <w:rPr>
          <w:rFonts w:ascii="宋体" w:hAnsi="宋体" w:cs="宋体"/>
          <w:kern w:val="0"/>
          <w:szCs w:val="21"/>
        </w:rPr>
      </w:pPr>
      <w:r>
        <w:rPr>
          <w:rFonts w:ascii="宋体" w:hAnsi="宋体" w:cs="宋体" w:hint="eastAsia"/>
          <w:kern w:val="0"/>
          <w:szCs w:val="21"/>
        </w:rPr>
        <w:t>应收账款</w:t>
      </w:r>
    </w:p>
    <w:sdt>
      <w:sdtPr>
        <w:rPr>
          <w:rFonts w:ascii="宋体" w:eastAsia="宋体" w:hAnsi="宋体" w:cs="宋体" w:hint="eastAsia"/>
          <w:b w:val="0"/>
          <w:bCs w:val="0"/>
          <w:kern w:val="0"/>
          <w:szCs w:val="24"/>
        </w:rPr>
        <w:alias w:val="模块:按账龄披露"/>
        <w:tag w:val="_SEC_839f797b2ddf4a12a40452a1e747a584"/>
        <w:id w:val="1676988399"/>
        <w:lock w:val="sdtLocked"/>
        <w:placeholder>
          <w:docPart w:val="GBC22222222222222222222222222222"/>
        </w:placeholder>
      </w:sdtPr>
      <w:sdtContent>
        <w:p w:rsidR="00806678" w:rsidRDefault="00B16377" w:rsidP="00FF17C7">
          <w:pPr>
            <w:pStyle w:val="4"/>
            <w:numPr>
              <w:ilvl w:val="3"/>
              <w:numId w:val="44"/>
            </w:numPr>
            <w:ind w:left="426" w:hanging="426"/>
          </w:pPr>
          <w:r>
            <w:rPr>
              <w:rFonts w:hint="eastAsia"/>
            </w:rPr>
            <w:t>按账龄披露</w:t>
          </w:r>
        </w:p>
        <w:sdt>
          <w:sdtPr>
            <w:rPr>
              <w:rFonts w:hint="eastAsia"/>
              <w:szCs w:val="21"/>
            </w:rPr>
            <w:alias w:val="是否适用：组合中，按账龄分析法计提坏账准备的应收账款[双击切换]"/>
            <w:tag w:val="_GBC_f6086903419d448ab27bc2735b69674a"/>
            <w:id w:val="-1177813502"/>
            <w:lock w:val="sdtLocked"/>
            <w:placeholder>
              <w:docPart w:val="GBC22222222222222222222222222222"/>
            </w:placeholder>
          </w:sdtPr>
          <w:sdtContent>
            <w:p w:rsidR="00806678" w:rsidRDefault="00F80B6C">
              <w:pPr>
                <w:rPr>
                  <w:szCs w:val="21"/>
                </w:rPr>
              </w:pPr>
              <w:r>
                <w:rPr>
                  <w:szCs w:val="21"/>
                </w:rPr>
                <w:fldChar w:fldCharType="begin"/>
              </w:r>
              <w:r w:rsidR="00246CB1">
                <w:rPr>
                  <w:szCs w:val="21"/>
                </w:rPr>
                <w:instrText xml:space="preserve">MACROBUTTON  SnrToggleCheckbox √适用 </w:instrText>
              </w:r>
              <w:r>
                <w:rPr>
                  <w:szCs w:val="21"/>
                </w:rPr>
                <w:fldChar w:fldCharType="end"/>
              </w:r>
              <w:r>
                <w:rPr>
                  <w:szCs w:val="21"/>
                </w:rPr>
                <w:fldChar w:fldCharType="begin"/>
              </w:r>
              <w:r w:rsidR="00246CB1">
                <w:rPr>
                  <w:szCs w:val="21"/>
                </w:rPr>
                <w:instrText xml:space="preserve"> MACROBUTTON  SnrToggleCheckbox □不适用 </w:instrText>
              </w:r>
              <w:r>
                <w:rPr>
                  <w:szCs w:val="21"/>
                </w:rPr>
                <w:fldChar w:fldCharType="end"/>
              </w:r>
            </w:p>
          </w:sdtContent>
        </w:sdt>
        <w:p w:rsidR="00806678" w:rsidRDefault="00B16377">
          <w:pPr>
            <w:jc w:val="right"/>
            <w:rPr>
              <w:szCs w:val="21"/>
            </w:rPr>
          </w:pPr>
          <w:r>
            <w:rPr>
              <w:rFonts w:hint="eastAsia"/>
              <w:szCs w:val="21"/>
            </w:rPr>
            <w:t>单位：</w:t>
          </w:r>
          <w:sdt>
            <w:sdtPr>
              <w:rPr>
                <w:rFonts w:hint="eastAsia"/>
                <w:szCs w:val="21"/>
              </w:rPr>
              <w:alias w:val="单位：财务附注：单项金额不重大但按信用风险特征组合后该组合的风险较大的应收账款"/>
              <w:tag w:val="_GBC_eeeef14b591e4a8d839681ee71744810"/>
              <w:id w:val="-2132214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单项金额不重大但按信用风险特征组合后该组合的风险较大的应收账款"/>
              <w:tag w:val="_GBC_380b2c118777445781c47a562212f944"/>
              <w:id w:val="91998962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65"/>
            <w:gridCol w:w="2747"/>
            <w:gridCol w:w="2937"/>
          </w:tblGrid>
          <w:tr w:rsidR="00FA50FC" w:rsidTr="00DB008B">
            <w:trPr>
              <w:cantSplit/>
            </w:trPr>
            <w:sdt>
              <w:sdtPr>
                <w:tag w:val="_PLD_987827fb8f754c15801979884cb78127"/>
                <w:id w:val="1776513888"/>
                <w:lock w:val="sdtLocked"/>
              </w:sdtPr>
              <w:sdtContent>
                <w:tc>
                  <w:tcPr>
                    <w:tcW w:w="1859" w:type="pct"/>
                    <w:tcBorders>
                      <w:top w:val="single" w:sz="4" w:space="0" w:color="auto"/>
                      <w:left w:val="single" w:sz="4" w:space="0" w:color="auto"/>
                      <w:bottom w:val="single" w:sz="4" w:space="0" w:color="auto"/>
                      <w:right w:val="single" w:sz="4" w:space="0" w:color="auto"/>
                    </w:tcBorders>
                    <w:vAlign w:val="center"/>
                  </w:tcPr>
                  <w:p w:rsidR="00FA50FC" w:rsidRDefault="00FA50FC" w:rsidP="00DB008B">
                    <w:pPr>
                      <w:jc w:val="center"/>
                      <w:rPr>
                        <w:szCs w:val="21"/>
                      </w:rPr>
                    </w:pPr>
                    <w:r>
                      <w:rPr>
                        <w:rFonts w:hint="eastAsia"/>
                        <w:szCs w:val="21"/>
                      </w:rPr>
                      <w:t>账龄</w:t>
                    </w:r>
                  </w:p>
                </w:tc>
              </w:sdtContent>
            </w:sdt>
            <w:tc>
              <w:tcPr>
                <w:tcW w:w="1518" w:type="pct"/>
                <w:tcBorders>
                  <w:top w:val="single" w:sz="4" w:space="0" w:color="auto"/>
                  <w:left w:val="single" w:sz="4" w:space="0" w:color="auto"/>
                  <w:bottom w:val="single" w:sz="4" w:space="0" w:color="auto"/>
                  <w:right w:val="single" w:sz="4" w:space="0" w:color="auto"/>
                </w:tcBorders>
                <w:vAlign w:val="center"/>
              </w:tcPr>
              <w:p w:rsidR="00FA50FC" w:rsidRDefault="00FA50FC" w:rsidP="00DB008B">
                <w:pPr>
                  <w:rPr>
                    <w:szCs w:val="21"/>
                  </w:rPr>
                </w:pPr>
                <w:r w:rsidRPr="00FA50FC">
                  <w:rPr>
                    <w:rFonts w:hint="eastAsia"/>
                    <w:szCs w:val="21"/>
                  </w:rPr>
                  <w:t>期末账面余额</w:t>
                </w:r>
              </w:p>
            </w:tc>
            <w:tc>
              <w:tcPr>
                <w:tcW w:w="1623" w:type="pct"/>
                <w:tcBorders>
                  <w:top w:val="single" w:sz="4" w:space="0" w:color="auto"/>
                  <w:left w:val="single" w:sz="4" w:space="0" w:color="auto"/>
                  <w:bottom w:val="single" w:sz="4" w:space="0" w:color="auto"/>
                  <w:right w:val="single" w:sz="4" w:space="0" w:color="auto"/>
                </w:tcBorders>
                <w:vAlign w:val="center"/>
              </w:tcPr>
              <w:p w:rsidR="00FA50FC" w:rsidRDefault="00FA50FC" w:rsidP="00DB008B">
                <w:pPr>
                  <w:jc w:val="center"/>
                  <w:rPr>
                    <w:szCs w:val="21"/>
                  </w:rPr>
                </w:pPr>
                <w:r>
                  <w:rPr>
                    <w:rFonts w:hint="eastAsia"/>
                    <w:szCs w:val="21"/>
                  </w:rPr>
                  <w:t>期初账面余额</w:t>
                </w:r>
              </w:p>
            </w:tc>
          </w:tr>
          <w:tr w:rsidR="00FA50FC" w:rsidTr="00DB008B">
            <w:trPr>
              <w:cantSplit/>
            </w:trPr>
            <w:sdt>
              <w:sdtPr>
                <w:tag w:val="_PLD_311560db02fd4399b97a79d7c7fe4ca3"/>
                <w:id w:val="-1570800057"/>
                <w:lock w:val="sdtLocked"/>
              </w:sdtPr>
              <w:sdtContent>
                <w:tc>
                  <w:tcPr>
                    <w:tcW w:w="4999" w:type="pct"/>
                    <w:gridSpan w:val="3"/>
                    <w:tcBorders>
                      <w:top w:val="single" w:sz="4" w:space="0" w:color="auto"/>
                      <w:left w:val="single" w:sz="4" w:space="0" w:color="auto"/>
                      <w:bottom w:val="single" w:sz="4" w:space="0" w:color="auto"/>
                      <w:right w:val="single" w:sz="4" w:space="0" w:color="auto"/>
                    </w:tcBorders>
                  </w:tcPr>
                  <w:p w:rsidR="00FA50FC" w:rsidRDefault="00FA50FC" w:rsidP="00DB008B">
                    <w:pPr>
                      <w:rPr>
                        <w:color w:val="FF0000"/>
                        <w:szCs w:val="21"/>
                      </w:rPr>
                    </w:pPr>
                    <w:r>
                      <w:rPr>
                        <w:rFonts w:hint="eastAsia"/>
                        <w:szCs w:val="21"/>
                      </w:rPr>
                      <w:t>1年以内</w:t>
                    </w:r>
                  </w:p>
                </w:tc>
              </w:sdtContent>
            </w:sdt>
          </w:tr>
          <w:tr w:rsidR="00FA50FC" w:rsidTr="00DB008B">
            <w:trPr>
              <w:cantSplit/>
            </w:trPr>
            <w:sdt>
              <w:sdtPr>
                <w:tag w:val="_PLD_785750c92d5d486990596d8d5b2f4a1f"/>
                <w:id w:val="-1017006599"/>
                <w:lock w:val="sdtLocked"/>
              </w:sdtPr>
              <w:sdtContent>
                <w:tc>
                  <w:tcPr>
                    <w:tcW w:w="4999" w:type="pct"/>
                    <w:gridSpan w:val="3"/>
                    <w:tcBorders>
                      <w:top w:val="single" w:sz="4" w:space="0" w:color="auto"/>
                      <w:left w:val="single" w:sz="4" w:space="0" w:color="auto"/>
                      <w:bottom w:val="single" w:sz="4" w:space="0" w:color="auto"/>
                      <w:right w:val="single" w:sz="4" w:space="0" w:color="auto"/>
                    </w:tcBorders>
                  </w:tcPr>
                  <w:p w:rsidR="00FA50FC" w:rsidRDefault="00FA50FC" w:rsidP="00DB008B">
                    <w:pPr>
                      <w:rPr>
                        <w:szCs w:val="21"/>
                      </w:rPr>
                    </w:pPr>
                    <w:r>
                      <w:rPr>
                        <w:rFonts w:hint="eastAsia"/>
                        <w:szCs w:val="21"/>
                      </w:rPr>
                      <w:t>其中：1年以内分项</w:t>
                    </w:r>
                  </w:p>
                </w:tc>
              </w:sdtContent>
            </w:sdt>
          </w:tr>
          <w:sdt>
            <w:sdtPr>
              <w:rPr>
                <w:szCs w:val="21"/>
              </w:rPr>
              <w:alias w:val="一年以内应收账款金额明细"/>
              <w:tag w:val="_TUP_5db7a5c2674d42d3bac3cb2e10590f73"/>
              <w:id w:val="-2043120642"/>
              <w:lock w:val="sdtLocked"/>
            </w:sdtPr>
            <w:sdtContent>
              <w:tr w:rsidR="00FA50FC" w:rsidTr="00DB008B">
                <w:trPr>
                  <w:cantSplit/>
                </w:trPr>
                <w:tc>
                  <w:tcPr>
                    <w:tcW w:w="1859" w:type="pct"/>
                    <w:tcBorders>
                      <w:top w:val="single" w:sz="4" w:space="0" w:color="auto"/>
                      <w:left w:val="single" w:sz="4" w:space="0" w:color="auto"/>
                      <w:bottom w:val="single" w:sz="4" w:space="0" w:color="auto"/>
                      <w:right w:val="single" w:sz="4" w:space="0" w:color="auto"/>
                    </w:tcBorders>
                  </w:tcPr>
                  <w:p w:rsidR="00FA50FC" w:rsidRDefault="00FA50FC" w:rsidP="00DB008B">
                    <w:pPr>
                      <w:rPr>
                        <w:szCs w:val="21"/>
                      </w:rPr>
                    </w:pPr>
                    <w:r w:rsidRPr="000F40E8">
                      <w:rPr>
                        <w:szCs w:val="21"/>
                      </w:rPr>
                      <w:t>1年以内</w:t>
                    </w:r>
                  </w:p>
                </w:tc>
                <w:tc>
                  <w:tcPr>
                    <w:tcW w:w="1518" w:type="pct"/>
                    <w:tcBorders>
                      <w:top w:val="single" w:sz="4" w:space="0" w:color="auto"/>
                      <w:left w:val="single" w:sz="4" w:space="0" w:color="auto"/>
                      <w:bottom w:val="single" w:sz="4" w:space="0" w:color="auto"/>
                      <w:right w:val="single" w:sz="4" w:space="0" w:color="auto"/>
                    </w:tcBorders>
                    <w:vAlign w:val="center"/>
                  </w:tcPr>
                  <w:p w:rsidR="00FA50FC" w:rsidRDefault="00FA50FC" w:rsidP="00DB008B">
                    <w:pPr>
                      <w:jc w:val="right"/>
                      <w:rPr>
                        <w:szCs w:val="21"/>
                      </w:rPr>
                    </w:pPr>
                    <w:r w:rsidRPr="00FA50FC">
                      <w:t>6,282,398,631</w:t>
                    </w:r>
                  </w:p>
                </w:tc>
                <w:sdt>
                  <w:sdtPr>
                    <w:alias w:val="期初账面余额"/>
                    <w:tag w:val="_GBC_ee4c052be40b49988567c6d877dbde50"/>
                    <w:id w:val="923152449"/>
                    <w:lock w:val="sdtLocked"/>
                  </w:sdtPr>
                  <w:sdtContent>
                    <w:tc>
                      <w:tcPr>
                        <w:tcW w:w="1623" w:type="pct"/>
                        <w:tcBorders>
                          <w:top w:val="single" w:sz="4" w:space="0" w:color="auto"/>
                          <w:left w:val="single" w:sz="4" w:space="0" w:color="auto"/>
                          <w:bottom w:val="single" w:sz="4" w:space="0" w:color="auto"/>
                          <w:right w:val="single" w:sz="4" w:space="0" w:color="auto"/>
                        </w:tcBorders>
                      </w:tcPr>
                      <w:p w:rsidR="00FA50FC" w:rsidRDefault="00FA50FC" w:rsidP="00DB008B">
                        <w:pPr>
                          <w:jc w:val="right"/>
                          <w:rPr>
                            <w:szCs w:val="21"/>
                          </w:rPr>
                        </w:pPr>
                        <w:r w:rsidRPr="000F40E8">
                          <w:t>3,630,291,072</w:t>
                        </w:r>
                      </w:p>
                    </w:tc>
                  </w:sdtContent>
                </w:sdt>
              </w:tr>
            </w:sdtContent>
          </w:sdt>
          <w:tr w:rsidR="00FA50FC" w:rsidTr="00DB008B">
            <w:trPr>
              <w:cantSplit/>
            </w:trPr>
            <w:sdt>
              <w:sdtPr>
                <w:tag w:val="_PLD_885917f15d1a46499cb812cd100e3cf1"/>
                <w:id w:val="578261175"/>
                <w:lock w:val="sdtLocked"/>
              </w:sdtPr>
              <w:sdtContent>
                <w:tc>
                  <w:tcPr>
                    <w:tcW w:w="1859" w:type="pct"/>
                    <w:tcBorders>
                      <w:top w:val="single" w:sz="4" w:space="0" w:color="auto"/>
                      <w:left w:val="single" w:sz="4" w:space="0" w:color="auto"/>
                      <w:bottom w:val="single" w:sz="4" w:space="0" w:color="auto"/>
                      <w:right w:val="single" w:sz="4" w:space="0" w:color="auto"/>
                    </w:tcBorders>
                  </w:tcPr>
                  <w:p w:rsidR="00FA50FC" w:rsidRDefault="00FA50FC" w:rsidP="00DB008B">
                    <w:pPr>
                      <w:rPr>
                        <w:szCs w:val="21"/>
                      </w:rPr>
                    </w:pPr>
                    <w:r>
                      <w:rPr>
                        <w:rFonts w:hint="eastAsia"/>
                        <w:szCs w:val="21"/>
                      </w:rPr>
                      <w:t>1年以内小计</w:t>
                    </w:r>
                  </w:p>
                </w:tc>
              </w:sdtContent>
            </w:sdt>
            <w:tc>
              <w:tcPr>
                <w:tcW w:w="1518" w:type="pct"/>
                <w:tcBorders>
                  <w:top w:val="single" w:sz="4" w:space="0" w:color="auto"/>
                  <w:left w:val="single" w:sz="4" w:space="0" w:color="auto"/>
                  <w:bottom w:val="single" w:sz="4" w:space="0" w:color="auto"/>
                  <w:right w:val="single" w:sz="4" w:space="0" w:color="auto"/>
                </w:tcBorders>
                <w:vAlign w:val="center"/>
              </w:tcPr>
              <w:p w:rsidR="00FA50FC" w:rsidRDefault="00FA50FC" w:rsidP="00DB008B">
                <w:pPr>
                  <w:jc w:val="right"/>
                  <w:rPr>
                    <w:szCs w:val="21"/>
                  </w:rPr>
                </w:pPr>
                <w:r w:rsidRPr="00FA50FC">
                  <w:t>6,282,398,631</w:t>
                </w:r>
              </w:p>
            </w:tc>
            <w:tc>
              <w:tcPr>
                <w:tcW w:w="1623" w:type="pct"/>
                <w:tcBorders>
                  <w:top w:val="single" w:sz="4" w:space="0" w:color="auto"/>
                  <w:left w:val="single" w:sz="4" w:space="0" w:color="auto"/>
                  <w:bottom w:val="single" w:sz="4" w:space="0" w:color="auto"/>
                  <w:right w:val="single" w:sz="4" w:space="0" w:color="auto"/>
                </w:tcBorders>
                <w:vAlign w:val="center"/>
              </w:tcPr>
              <w:p w:rsidR="00FA50FC" w:rsidRDefault="00FA50FC" w:rsidP="00DB008B">
                <w:pPr>
                  <w:jc w:val="right"/>
                  <w:rPr>
                    <w:szCs w:val="21"/>
                  </w:rPr>
                </w:pPr>
                <w:r>
                  <w:t>3,630,291,072</w:t>
                </w:r>
              </w:p>
            </w:tc>
          </w:tr>
          <w:tr w:rsidR="00FA50FC" w:rsidTr="00DB008B">
            <w:trPr>
              <w:cantSplit/>
            </w:trPr>
            <w:sdt>
              <w:sdtPr>
                <w:tag w:val="_PLD_686411641a5e42038a85ce6c435c5e58"/>
                <w:id w:val="1025287079"/>
                <w:lock w:val="sdtLocked"/>
              </w:sdtPr>
              <w:sdtContent>
                <w:tc>
                  <w:tcPr>
                    <w:tcW w:w="1859" w:type="pct"/>
                    <w:tcBorders>
                      <w:top w:val="single" w:sz="4" w:space="0" w:color="auto"/>
                      <w:left w:val="single" w:sz="4" w:space="0" w:color="auto"/>
                      <w:bottom w:val="single" w:sz="4" w:space="0" w:color="auto"/>
                      <w:right w:val="single" w:sz="4" w:space="0" w:color="auto"/>
                    </w:tcBorders>
                  </w:tcPr>
                  <w:p w:rsidR="00FA50FC" w:rsidRDefault="00FA50FC" w:rsidP="00DB008B">
                    <w:pPr>
                      <w:rPr>
                        <w:szCs w:val="21"/>
                      </w:rPr>
                    </w:pPr>
                    <w:r>
                      <w:rPr>
                        <w:rFonts w:hint="eastAsia"/>
                        <w:szCs w:val="21"/>
                      </w:rPr>
                      <w:t>1至2年</w:t>
                    </w:r>
                  </w:p>
                </w:tc>
              </w:sdtContent>
            </w:sdt>
            <w:tc>
              <w:tcPr>
                <w:tcW w:w="1518" w:type="pct"/>
                <w:tcBorders>
                  <w:top w:val="single" w:sz="4" w:space="0" w:color="auto"/>
                  <w:left w:val="single" w:sz="4" w:space="0" w:color="auto"/>
                  <w:bottom w:val="single" w:sz="4" w:space="0" w:color="auto"/>
                  <w:right w:val="single" w:sz="4" w:space="0" w:color="auto"/>
                </w:tcBorders>
                <w:vAlign w:val="center"/>
              </w:tcPr>
              <w:p w:rsidR="00FA50FC" w:rsidRDefault="00FA50FC" w:rsidP="00DB008B">
                <w:pPr>
                  <w:jc w:val="right"/>
                  <w:rPr>
                    <w:szCs w:val="21"/>
                  </w:rPr>
                </w:pPr>
                <w:r w:rsidRPr="00FA50FC">
                  <w:t>1,226,013,394</w:t>
                </w:r>
              </w:p>
            </w:tc>
            <w:tc>
              <w:tcPr>
                <w:tcW w:w="1623" w:type="pct"/>
                <w:tcBorders>
                  <w:top w:val="single" w:sz="4" w:space="0" w:color="auto"/>
                  <w:left w:val="single" w:sz="4" w:space="0" w:color="auto"/>
                  <w:bottom w:val="single" w:sz="4" w:space="0" w:color="auto"/>
                  <w:right w:val="single" w:sz="4" w:space="0" w:color="auto"/>
                </w:tcBorders>
                <w:vAlign w:val="center"/>
              </w:tcPr>
              <w:p w:rsidR="00FA50FC" w:rsidRDefault="00FA50FC" w:rsidP="00DB008B">
                <w:pPr>
                  <w:jc w:val="right"/>
                  <w:rPr>
                    <w:szCs w:val="21"/>
                  </w:rPr>
                </w:pPr>
                <w:r>
                  <w:t>1,390,455,181</w:t>
                </w:r>
              </w:p>
            </w:tc>
          </w:tr>
          <w:tr w:rsidR="00FA50FC" w:rsidTr="00DB008B">
            <w:trPr>
              <w:cantSplit/>
            </w:trPr>
            <w:sdt>
              <w:sdtPr>
                <w:tag w:val="_PLD_1d32a9d5ef5b4ddca6ca917435b115ac"/>
                <w:id w:val="1571381970"/>
                <w:lock w:val="sdtLocked"/>
              </w:sdtPr>
              <w:sdtContent>
                <w:tc>
                  <w:tcPr>
                    <w:tcW w:w="1859" w:type="pct"/>
                    <w:tcBorders>
                      <w:top w:val="single" w:sz="4" w:space="0" w:color="auto"/>
                      <w:left w:val="single" w:sz="4" w:space="0" w:color="auto"/>
                      <w:bottom w:val="single" w:sz="4" w:space="0" w:color="auto"/>
                      <w:right w:val="single" w:sz="4" w:space="0" w:color="auto"/>
                    </w:tcBorders>
                  </w:tcPr>
                  <w:p w:rsidR="00FA50FC" w:rsidRDefault="00FA50FC" w:rsidP="00DB008B">
                    <w:pPr>
                      <w:rPr>
                        <w:szCs w:val="21"/>
                      </w:rPr>
                    </w:pPr>
                    <w:r>
                      <w:rPr>
                        <w:rFonts w:hint="eastAsia"/>
                        <w:szCs w:val="21"/>
                      </w:rPr>
                      <w:t>2至3年</w:t>
                    </w:r>
                  </w:p>
                </w:tc>
              </w:sdtContent>
            </w:sdt>
            <w:tc>
              <w:tcPr>
                <w:tcW w:w="1518" w:type="pct"/>
                <w:tcBorders>
                  <w:top w:val="single" w:sz="4" w:space="0" w:color="auto"/>
                  <w:left w:val="single" w:sz="4" w:space="0" w:color="auto"/>
                  <w:bottom w:val="single" w:sz="4" w:space="0" w:color="auto"/>
                  <w:right w:val="single" w:sz="4" w:space="0" w:color="auto"/>
                </w:tcBorders>
                <w:vAlign w:val="center"/>
              </w:tcPr>
              <w:p w:rsidR="00FA50FC" w:rsidRDefault="00FA50FC" w:rsidP="00DB008B">
                <w:pPr>
                  <w:jc w:val="right"/>
                  <w:rPr>
                    <w:szCs w:val="21"/>
                  </w:rPr>
                </w:pPr>
                <w:r w:rsidRPr="00FA50FC">
                  <w:t>585,552,963</w:t>
                </w:r>
              </w:p>
            </w:tc>
            <w:tc>
              <w:tcPr>
                <w:tcW w:w="1623" w:type="pct"/>
                <w:tcBorders>
                  <w:top w:val="single" w:sz="4" w:space="0" w:color="auto"/>
                  <w:left w:val="single" w:sz="4" w:space="0" w:color="auto"/>
                  <w:bottom w:val="single" w:sz="4" w:space="0" w:color="auto"/>
                  <w:right w:val="single" w:sz="4" w:space="0" w:color="auto"/>
                </w:tcBorders>
                <w:vAlign w:val="center"/>
              </w:tcPr>
              <w:p w:rsidR="00FA50FC" w:rsidRDefault="00FA50FC" w:rsidP="00DB008B">
                <w:pPr>
                  <w:jc w:val="right"/>
                  <w:rPr>
                    <w:szCs w:val="21"/>
                  </w:rPr>
                </w:pPr>
                <w:r>
                  <w:t>911,651,845</w:t>
                </w:r>
              </w:p>
            </w:tc>
          </w:tr>
          <w:tr w:rsidR="00FA50FC" w:rsidTr="00DB008B">
            <w:trPr>
              <w:cantSplit/>
            </w:trPr>
            <w:sdt>
              <w:sdtPr>
                <w:tag w:val="_PLD_2be2a569e4bb439bbdda34aec0746396"/>
                <w:id w:val="-700474370"/>
                <w:lock w:val="sdtLocked"/>
              </w:sdtPr>
              <w:sdtContent>
                <w:tc>
                  <w:tcPr>
                    <w:tcW w:w="1859" w:type="pct"/>
                    <w:tcBorders>
                      <w:top w:val="single" w:sz="4" w:space="0" w:color="auto"/>
                      <w:left w:val="single" w:sz="4" w:space="0" w:color="auto"/>
                      <w:bottom w:val="single" w:sz="4" w:space="0" w:color="auto"/>
                      <w:right w:val="single" w:sz="4" w:space="0" w:color="auto"/>
                    </w:tcBorders>
                  </w:tcPr>
                  <w:p w:rsidR="00FA50FC" w:rsidRDefault="00FA50FC" w:rsidP="00DB008B">
                    <w:pPr>
                      <w:rPr>
                        <w:szCs w:val="21"/>
                      </w:rPr>
                    </w:pPr>
                    <w:r>
                      <w:rPr>
                        <w:rFonts w:hint="eastAsia"/>
                        <w:szCs w:val="21"/>
                      </w:rPr>
                      <w:t>3年以上</w:t>
                    </w:r>
                  </w:p>
                </w:tc>
              </w:sdtContent>
            </w:sdt>
            <w:tc>
              <w:tcPr>
                <w:tcW w:w="1518" w:type="pct"/>
                <w:tcBorders>
                  <w:top w:val="single" w:sz="4" w:space="0" w:color="auto"/>
                  <w:left w:val="single" w:sz="4" w:space="0" w:color="auto"/>
                  <w:bottom w:val="single" w:sz="4" w:space="0" w:color="auto"/>
                  <w:right w:val="single" w:sz="4" w:space="0" w:color="auto"/>
                </w:tcBorders>
                <w:vAlign w:val="center"/>
              </w:tcPr>
              <w:p w:rsidR="00FA50FC" w:rsidRDefault="00FA50FC" w:rsidP="00DB008B">
                <w:pPr>
                  <w:jc w:val="right"/>
                  <w:rPr>
                    <w:szCs w:val="21"/>
                  </w:rPr>
                </w:pPr>
              </w:p>
            </w:tc>
            <w:tc>
              <w:tcPr>
                <w:tcW w:w="1623" w:type="pct"/>
                <w:tcBorders>
                  <w:top w:val="single" w:sz="4" w:space="0" w:color="auto"/>
                  <w:left w:val="single" w:sz="4" w:space="0" w:color="auto"/>
                  <w:bottom w:val="single" w:sz="4" w:space="0" w:color="auto"/>
                  <w:right w:val="single" w:sz="4" w:space="0" w:color="auto"/>
                </w:tcBorders>
                <w:vAlign w:val="center"/>
              </w:tcPr>
              <w:p w:rsidR="00FA50FC" w:rsidRDefault="00FA50FC" w:rsidP="00DB008B">
                <w:pPr>
                  <w:jc w:val="right"/>
                  <w:rPr>
                    <w:szCs w:val="21"/>
                  </w:rPr>
                </w:pPr>
              </w:p>
            </w:tc>
          </w:tr>
          <w:tr w:rsidR="00FA50FC" w:rsidTr="00DB008B">
            <w:trPr>
              <w:cantSplit/>
            </w:trPr>
            <w:sdt>
              <w:sdtPr>
                <w:tag w:val="_PLD_51c1587433fc4304af214a25996abcb0"/>
                <w:id w:val="-502117949"/>
                <w:lock w:val="sdtLocked"/>
              </w:sdtPr>
              <w:sdtContent>
                <w:tc>
                  <w:tcPr>
                    <w:tcW w:w="1859" w:type="pct"/>
                    <w:tcBorders>
                      <w:top w:val="single" w:sz="4" w:space="0" w:color="auto"/>
                      <w:left w:val="single" w:sz="4" w:space="0" w:color="auto"/>
                      <w:bottom w:val="single" w:sz="4" w:space="0" w:color="auto"/>
                      <w:right w:val="single" w:sz="4" w:space="0" w:color="auto"/>
                    </w:tcBorders>
                  </w:tcPr>
                  <w:p w:rsidR="00FA50FC" w:rsidRDefault="00FA50FC" w:rsidP="00DB008B">
                    <w:pPr>
                      <w:rPr>
                        <w:szCs w:val="21"/>
                      </w:rPr>
                    </w:pPr>
                    <w:r>
                      <w:rPr>
                        <w:rFonts w:hint="eastAsia"/>
                        <w:szCs w:val="21"/>
                      </w:rPr>
                      <w:t>3至4年</w:t>
                    </w:r>
                  </w:p>
                </w:tc>
              </w:sdtContent>
            </w:sdt>
            <w:tc>
              <w:tcPr>
                <w:tcW w:w="1518" w:type="pct"/>
                <w:tcBorders>
                  <w:top w:val="single" w:sz="4" w:space="0" w:color="auto"/>
                  <w:left w:val="single" w:sz="4" w:space="0" w:color="auto"/>
                  <w:bottom w:val="single" w:sz="4" w:space="0" w:color="auto"/>
                  <w:right w:val="single" w:sz="4" w:space="0" w:color="auto"/>
                </w:tcBorders>
                <w:vAlign w:val="center"/>
              </w:tcPr>
              <w:p w:rsidR="00FA50FC" w:rsidRDefault="00FA50FC" w:rsidP="00DB008B">
                <w:pPr>
                  <w:jc w:val="right"/>
                  <w:rPr>
                    <w:szCs w:val="21"/>
                  </w:rPr>
                </w:pPr>
                <w:r w:rsidRPr="00FA50FC">
                  <w:t>36,226,770</w:t>
                </w:r>
              </w:p>
            </w:tc>
            <w:tc>
              <w:tcPr>
                <w:tcW w:w="1623" w:type="pct"/>
                <w:tcBorders>
                  <w:top w:val="single" w:sz="4" w:space="0" w:color="auto"/>
                  <w:left w:val="single" w:sz="4" w:space="0" w:color="auto"/>
                  <w:bottom w:val="single" w:sz="4" w:space="0" w:color="auto"/>
                  <w:right w:val="single" w:sz="4" w:space="0" w:color="auto"/>
                </w:tcBorders>
                <w:vAlign w:val="center"/>
              </w:tcPr>
              <w:p w:rsidR="00FA50FC" w:rsidRDefault="00FA50FC" w:rsidP="00DB008B">
                <w:pPr>
                  <w:jc w:val="right"/>
                  <w:rPr>
                    <w:szCs w:val="21"/>
                  </w:rPr>
                </w:pPr>
                <w:r>
                  <w:t>573,678,456</w:t>
                </w:r>
              </w:p>
            </w:tc>
          </w:tr>
          <w:tr w:rsidR="00FA50FC" w:rsidTr="00DB008B">
            <w:trPr>
              <w:cantSplit/>
            </w:trPr>
            <w:sdt>
              <w:sdtPr>
                <w:tag w:val="_PLD_783f5edc09cf4689bf1bab196aa7d963"/>
                <w:id w:val="-1158228214"/>
                <w:lock w:val="sdtLocked"/>
              </w:sdtPr>
              <w:sdtContent>
                <w:tc>
                  <w:tcPr>
                    <w:tcW w:w="1859" w:type="pct"/>
                    <w:tcBorders>
                      <w:top w:val="single" w:sz="4" w:space="0" w:color="auto"/>
                      <w:left w:val="single" w:sz="4" w:space="0" w:color="auto"/>
                      <w:bottom w:val="single" w:sz="4" w:space="0" w:color="auto"/>
                      <w:right w:val="single" w:sz="4" w:space="0" w:color="auto"/>
                    </w:tcBorders>
                  </w:tcPr>
                  <w:p w:rsidR="00FA50FC" w:rsidRDefault="00FA50FC" w:rsidP="00DB008B">
                    <w:pPr>
                      <w:rPr>
                        <w:szCs w:val="21"/>
                      </w:rPr>
                    </w:pPr>
                    <w:r>
                      <w:rPr>
                        <w:rFonts w:hint="eastAsia"/>
                        <w:szCs w:val="21"/>
                      </w:rPr>
                      <w:t>4至5年</w:t>
                    </w:r>
                  </w:p>
                </w:tc>
              </w:sdtContent>
            </w:sdt>
            <w:tc>
              <w:tcPr>
                <w:tcW w:w="1518" w:type="pct"/>
                <w:tcBorders>
                  <w:top w:val="single" w:sz="4" w:space="0" w:color="auto"/>
                  <w:left w:val="single" w:sz="4" w:space="0" w:color="auto"/>
                  <w:bottom w:val="single" w:sz="4" w:space="0" w:color="auto"/>
                  <w:right w:val="single" w:sz="4" w:space="0" w:color="auto"/>
                </w:tcBorders>
                <w:vAlign w:val="center"/>
              </w:tcPr>
              <w:p w:rsidR="00FA50FC" w:rsidRDefault="00FA50FC" w:rsidP="00DB008B">
                <w:pPr>
                  <w:jc w:val="right"/>
                  <w:rPr>
                    <w:szCs w:val="21"/>
                  </w:rPr>
                </w:pPr>
                <w:r w:rsidRPr="00FA50FC">
                  <w:t>34,590,710</w:t>
                </w:r>
              </w:p>
            </w:tc>
            <w:tc>
              <w:tcPr>
                <w:tcW w:w="1623" w:type="pct"/>
                <w:tcBorders>
                  <w:top w:val="single" w:sz="4" w:space="0" w:color="auto"/>
                  <w:left w:val="single" w:sz="4" w:space="0" w:color="auto"/>
                  <w:bottom w:val="single" w:sz="4" w:space="0" w:color="auto"/>
                  <w:right w:val="single" w:sz="4" w:space="0" w:color="auto"/>
                </w:tcBorders>
                <w:vAlign w:val="center"/>
              </w:tcPr>
              <w:p w:rsidR="00FA50FC" w:rsidRDefault="00FA50FC" w:rsidP="00DB008B">
                <w:pPr>
                  <w:jc w:val="right"/>
                  <w:rPr>
                    <w:szCs w:val="21"/>
                  </w:rPr>
                </w:pPr>
                <w:r>
                  <w:t>30,345,500</w:t>
                </w:r>
              </w:p>
            </w:tc>
          </w:tr>
          <w:tr w:rsidR="00FA50FC" w:rsidTr="00DB008B">
            <w:trPr>
              <w:cantSplit/>
            </w:trPr>
            <w:sdt>
              <w:sdtPr>
                <w:tag w:val="_PLD_35d4b8083f1340abbb03a5509bd8e56c"/>
                <w:id w:val="1577402207"/>
                <w:lock w:val="sdtLocked"/>
              </w:sdtPr>
              <w:sdtContent>
                <w:tc>
                  <w:tcPr>
                    <w:tcW w:w="1859" w:type="pct"/>
                    <w:tcBorders>
                      <w:top w:val="single" w:sz="4" w:space="0" w:color="auto"/>
                      <w:left w:val="single" w:sz="4" w:space="0" w:color="auto"/>
                      <w:bottom w:val="single" w:sz="4" w:space="0" w:color="auto"/>
                      <w:right w:val="single" w:sz="4" w:space="0" w:color="auto"/>
                    </w:tcBorders>
                  </w:tcPr>
                  <w:p w:rsidR="00FA50FC" w:rsidRDefault="00FA50FC" w:rsidP="00DB008B">
                    <w:pPr>
                      <w:rPr>
                        <w:szCs w:val="21"/>
                      </w:rPr>
                    </w:pPr>
                    <w:r>
                      <w:rPr>
                        <w:rFonts w:hint="eastAsia"/>
                        <w:szCs w:val="21"/>
                      </w:rPr>
                      <w:t>5年以上</w:t>
                    </w:r>
                  </w:p>
                </w:tc>
              </w:sdtContent>
            </w:sdt>
            <w:tc>
              <w:tcPr>
                <w:tcW w:w="1518" w:type="pct"/>
                <w:tcBorders>
                  <w:top w:val="single" w:sz="4" w:space="0" w:color="auto"/>
                  <w:left w:val="single" w:sz="4" w:space="0" w:color="auto"/>
                  <w:bottom w:val="single" w:sz="4" w:space="0" w:color="auto"/>
                  <w:right w:val="single" w:sz="4" w:space="0" w:color="auto"/>
                </w:tcBorders>
                <w:vAlign w:val="center"/>
              </w:tcPr>
              <w:p w:rsidR="00FA50FC" w:rsidRDefault="00FA50FC" w:rsidP="00DB008B">
                <w:pPr>
                  <w:jc w:val="right"/>
                  <w:rPr>
                    <w:szCs w:val="21"/>
                  </w:rPr>
                </w:pPr>
                <w:r w:rsidRPr="00FA50FC">
                  <w:t>43,183,851</w:t>
                </w:r>
              </w:p>
            </w:tc>
            <w:tc>
              <w:tcPr>
                <w:tcW w:w="1623" w:type="pct"/>
                <w:tcBorders>
                  <w:top w:val="single" w:sz="4" w:space="0" w:color="auto"/>
                  <w:left w:val="single" w:sz="4" w:space="0" w:color="auto"/>
                  <w:bottom w:val="single" w:sz="4" w:space="0" w:color="auto"/>
                  <w:right w:val="single" w:sz="4" w:space="0" w:color="auto"/>
                </w:tcBorders>
                <w:vAlign w:val="center"/>
              </w:tcPr>
              <w:p w:rsidR="00FA50FC" w:rsidRDefault="00FA50FC" w:rsidP="00DB008B">
                <w:pPr>
                  <w:jc w:val="right"/>
                  <w:rPr>
                    <w:szCs w:val="21"/>
                  </w:rPr>
                </w:pPr>
                <w:r>
                  <w:t>43,263,482</w:t>
                </w:r>
              </w:p>
            </w:tc>
          </w:tr>
          <w:tr w:rsidR="00FA50FC" w:rsidTr="00DB008B">
            <w:trPr>
              <w:cantSplit/>
            </w:trPr>
            <w:sdt>
              <w:sdtPr>
                <w:tag w:val="_PLD_4228da7212b54dbabe98902b22a02f1a"/>
                <w:id w:val="62927572"/>
                <w:lock w:val="sdtLocked"/>
              </w:sdtPr>
              <w:sdtContent>
                <w:tc>
                  <w:tcPr>
                    <w:tcW w:w="1859" w:type="pct"/>
                    <w:tcBorders>
                      <w:top w:val="single" w:sz="4" w:space="0" w:color="auto"/>
                      <w:left w:val="single" w:sz="4" w:space="0" w:color="auto"/>
                      <w:bottom w:val="single" w:sz="4" w:space="0" w:color="auto"/>
                      <w:right w:val="single" w:sz="4" w:space="0" w:color="auto"/>
                    </w:tcBorders>
                    <w:vAlign w:val="center"/>
                  </w:tcPr>
                  <w:p w:rsidR="00FA50FC" w:rsidRDefault="00FA50FC" w:rsidP="00DB008B">
                    <w:pPr>
                      <w:jc w:val="center"/>
                      <w:rPr>
                        <w:szCs w:val="21"/>
                      </w:rPr>
                    </w:pPr>
                    <w:r>
                      <w:rPr>
                        <w:rFonts w:hint="eastAsia"/>
                        <w:szCs w:val="21"/>
                      </w:rPr>
                      <w:t>合计</w:t>
                    </w:r>
                  </w:p>
                </w:tc>
              </w:sdtContent>
            </w:sdt>
            <w:tc>
              <w:tcPr>
                <w:tcW w:w="1518" w:type="pct"/>
                <w:tcBorders>
                  <w:top w:val="single" w:sz="4" w:space="0" w:color="auto"/>
                  <w:left w:val="single" w:sz="4" w:space="0" w:color="auto"/>
                  <w:bottom w:val="single" w:sz="4" w:space="0" w:color="auto"/>
                  <w:right w:val="single" w:sz="4" w:space="0" w:color="auto"/>
                </w:tcBorders>
                <w:vAlign w:val="center"/>
              </w:tcPr>
              <w:p w:rsidR="00FA50FC" w:rsidRDefault="00FA50FC" w:rsidP="00DB008B">
                <w:pPr>
                  <w:jc w:val="right"/>
                  <w:rPr>
                    <w:szCs w:val="21"/>
                  </w:rPr>
                </w:pPr>
                <w:r>
                  <w:t>8,207,966,319</w:t>
                </w:r>
              </w:p>
            </w:tc>
            <w:tc>
              <w:tcPr>
                <w:tcW w:w="1623" w:type="pct"/>
                <w:tcBorders>
                  <w:top w:val="single" w:sz="4" w:space="0" w:color="auto"/>
                  <w:left w:val="single" w:sz="4" w:space="0" w:color="auto"/>
                  <w:bottom w:val="single" w:sz="4" w:space="0" w:color="auto"/>
                  <w:right w:val="single" w:sz="4" w:space="0" w:color="auto"/>
                </w:tcBorders>
              </w:tcPr>
              <w:p w:rsidR="00FA50FC" w:rsidRDefault="00FA50FC" w:rsidP="00DB008B">
                <w:pPr>
                  <w:jc w:val="right"/>
                  <w:rPr>
                    <w:szCs w:val="21"/>
                  </w:rPr>
                </w:pPr>
                <w:r w:rsidRPr="000F40E8">
                  <w:rPr>
                    <w:szCs w:val="21"/>
                  </w:rPr>
                  <w:t>6,579,685,536</w:t>
                </w:r>
              </w:p>
            </w:tc>
          </w:tr>
        </w:tbl>
        <w:p w:rsidR="00E623D9" w:rsidRDefault="00E623D9">
          <w:pPr>
            <w:rPr>
              <w:szCs w:val="21"/>
            </w:rPr>
          </w:pPr>
        </w:p>
        <w:p w:rsidR="008D723D" w:rsidRDefault="000F40E8">
          <w:pPr>
            <w:rPr>
              <w:szCs w:val="21"/>
            </w:rPr>
            <w:sectPr w:rsidR="008D723D" w:rsidSect="00F41343">
              <w:pgSz w:w="11906" w:h="16838"/>
              <w:pgMar w:top="1440" w:right="1797" w:bottom="1525" w:left="1276" w:header="856" w:footer="992" w:gutter="0"/>
              <w:cols w:space="425"/>
              <w:docGrid w:type="lines" w:linePitch="312"/>
            </w:sectPr>
          </w:pPr>
          <w:r>
            <w:rPr>
              <w:rFonts w:hint="eastAsia"/>
              <w:szCs w:val="21"/>
            </w:rPr>
            <w:t>账龄自应收账款确认日起开始计</w:t>
          </w:r>
          <w:r w:rsidR="00BA7B42">
            <w:rPr>
              <w:rFonts w:hint="eastAsia"/>
              <w:szCs w:val="21"/>
            </w:rPr>
            <w:t>算</w:t>
          </w:r>
          <w:r w:rsidR="00484873">
            <w:rPr>
              <w:rFonts w:hint="eastAsia"/>
              <w:szCs w:val="21"/>
            </w:rPr>
            <w:t>。</w:t>
          </w:r>
        </w:p>
        <w:p w:rsidR="00F7745C" w:rsidRDefault="00F80B6C" w:rsidP="00F7745C"/>
      </w:sdtContent>
    </w:sdt>
    <w:bookmarkStart w:id="159" w:name="_Hlk533601584" w:displacedByCustomXml="prev"/>
    <w:sdt>
      <w:sdtPr>
        <w:rPr>
          <w:rFonts w:hint="eastAsia"/>
          <w:b/>
          <w:bCs/>
        </w:rPr>
        <w:alias w:val="模块:按坏账计提方法分类披露"/>
        <w:tag w:val="_SEC_d442ddfe6a1a43ab9b3b8367ba47ed02"/>
        <w:id w:val="1421134637"/>
        <w:lock w:val="sdtLocked"/>
        <w:placeholder>
          <w:docPart w:val="GBC22222222222222222222222222222"/>
        </w:placeholder>
      </w:sdtPr>
      <w:sdtEndPr>
        <w:rPr>
          <w:rFonts w:hint="default"/>
          <w:b w:val="0"/>
          <w:bCs w:val="0"/>
        </w:rPr>
      </w:sdtEndPr>
      <w:sdtContent>
        <w:p w:rsidR="00806678" w:rsidRPr="00226069" w:rsidRDefault="00226069" w:rsidP="00041946">
          <w:pPr>
            <w:rPr>
              <w:b/>
              <w:bCs/>
            </w:rPr>
          </w:pPr>
          <w:r>
            <w:rPr>
              <w:rFonts w:hint="eastAsia"/>
              <w:b/>
              <w:bCs/>
            </w:rPr>
            <w:t>(</w:t>
          </w:r>
          <w:r w:rsidRPr="00226069">
            <w:rPr>
              <w:rFonts w:hint="eastAsia"/>
              <w:b/>
              <w:bCs/>
            </w:rPr>
            <w:t>2</w:t>
          </w:r>
          <w:r>
            <w:rPr>
              <w:rFonts w:hint="eastAsia"/>
              <w:b/>
              <w:bCs/>
            </w:rPr>
            <w:t>)</w:t>
          </w:r>
          <w:r>
            <w:rPr>
              <w:b/>
              <w:bCs/>
            </w:rPr>
            <w:t>.</w:t>
          </w:r>
          <w:r w:rsidR="00B16377" w:rsidRPr="00226069">
            <w:rPr>
              <w:rFonts w:hint="eastAsia"/>
              <w:b/>
              <w:bCs/>
            </w:rPr>
            <w:t>按坏账计提方法分类披露</w:t>
          </w:r>
        </w:p>
        <w:sdt>
          <w:sdtPr>
            <w:alias w:val="是否适用：应收账款分类披露[双击切换]"/>
            <w:tag w:val="_GBC_5532cbb0484a40fcb185be4bb8709d46"/>
            <w:id w:val="-827745491"/>
            <w:lock w:val="sdtLocked"/>
            <w:placeholder>
              <w:docPart w:val="GBC22222222222222222222222222222"/>
            </w:placeholder>
          </w:sdtPr>
          <w:sdtContent>
            <w:p w:rsidR="00806678" w:rsidRDefault="00F80B6C">
              <w:r>
                <w:fldChar w:fldCharType="begin"/>
              </w:r>
              <w:r w:rsidR="00B0531C">
                <w:instrText xml:space="preserve"> MACROBUTTON  SnrToggleCheckbox √适用 </w:instrText>
              </w:r>
              <w:r>
                <w:fldChar w:fldCharType="end"/>
              </w:r>
              <w:r>
                <w:fldChar w:fldCharType="begin"/>
              </w:r>
              <w:r w:rsidR="00B0531C">
                <w:instrText xml:space="preserve"> MACROBUTTON  SnrToggleCheckbox □不适用 </w:instrText>
              </w:r>
              <w:r>
                <w:fldChar w:fldCharType="end"/>
              </w:r>
            </w:p>
          </w:sdtContent>
        </w:sdt>
        <w:p w:rsidR="00806678" w:rsidRDefault="00B16377">
          <w:pPr>
            <w:pStyle w:val="a9"/>
            <w:autoSpaceDE w:val="0"/>
            <w:autoSpaceDN w:val="0"/>
            <w:adjustRightInd w:val="0"/>
            <w:ind w:left="425" w:right="105" w:firstLineChars="0" w:firstLine="0"/>
            <w:jc w:val="right"/>
            <w:rPr>
              <w:szCs w:val="21"/>
            </w:rPr>
          </w:pPr>
          <w:r>
            <w:rPr>
              <w:rFonts w:hint="eastAsia"/>
              <w:szCs w:val="21"/>
            </w:rPr>
            <w:t>单位：</w:t>
          </w:r>
          <w:sdt>
            <w:sdtPr>
              <w:rPr>
                <w:rFonts w:hint="eastAsia"/>
                <w:szCs w:val="21"/>
              </w:rPr>
              <w:alias w:val="单位：财务附注：应收账款按种类披露"/>
              <w:tag w:val="_GBC_9672a88fa94c441f9769b560659b37f6"/>
              <w:id w:val="112350572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财务附注：应收账款按种类披露"/>
              <w:tag w:val="_GBC_45ed90b2e73740bfa8c1f5d7d12ff35e"/>
              <w:id w:val="172101469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25"/>
            <w:gridCol w:w="1794"/>
            <w:gridCol w:w="853"/>
            <w:gridCol w:w="1961"/>
            <w:gridCol w:w="752"/>
            <w:gridCol w:w="1584"/>
            <w:gridCol w:w="1581"/>
            <w:gridCol w:w="549"/>
            <w:gridCol w:w="1372"/>
            <w:gridCol w:w="637"/>
            <w:gridCol w:w="1581"/>
          </w:tblGrid>
          <w:tr w:rsidR="007B4CFA" w:rsidTr="004D5142">
            <w:trPr>
              <w:cantSplit/>
              <w:trHeight w:val="259"/>
            </w:trPr>
            <w:sdt>
              <w:sdtPr>
                <w:tag w:val="_PLD_f8d5a19b9b724da98e30475a6df20be9"/>
                <w:id w:val="-778486925"/>
                <w:lock w:val="sdtLocked"/>
              </w:sdtPr>
              <w:sdtContent>
                <w:tc>
                  <w:tcPr>
                    <w:tcW w:w="506" w:type="pct"/>
                    <w:vMerge w:val="restart"/>
                    <w:tcBorders>
                      <w:top w:val="single" w:sz="4" w:space="0" w:color="auto"/>
                      <w:left w:val="single" w:sz="4" w:space="0" w:color="auto"/>
                      <w:right w:val="single" w:sz="4" w:space="0" w:color="auto"/>
                    </w:tcBorders>
                    <w:vAlign w:val="center"/>
                  </w:tcPr>
                  <w:p w:rsidR="007B4CFA" w:rsidRDefault="007B4CFA" w:rsidP="00DB008B">
                    <w:pPr>
                      <w:jc w:val="center"/>
                      <w:rPr>
                        <w:szCs w:val="21"/>
                      </w:rPr>
                    </w:pPr>
                    <w:r>
                      <w:rPr>
                        <w:rFonts w:hint="eastAsia"/>
                        <w:szCs w:val="21"/>
                      </w:rPr>
                      <w:t>类别</w:t>
                    </w:r>
                  </w:p>
                </w:tc>
              </w:sdtContent>
            </w:sdt>
            <w:sdt>
              <w:sdtPr>
                <w:tag w:val="_PLD_8e6cd64a5cc84d259bab748be3f49169"/>
                <w:id w:val="14894993"/>
                <w:lock w:val="sdtLocked"/>
              </w:sdtPr>
              <w:sdtContent>
                <w:tc>
                  <w:tcPr>
                    <w:tcW w:w="2465" w:type="pct"/>
                    <w:gridSpan w:val="5"/>
                    <w:tcBorders>
                      <w:top w:val="single" w:sz="4" w:space="0" w:color="auto"/>
                      <w:left w:val="single" w:sz="4" w:space="0" w:color="auto"/>
                      <w:right w:val="single" w:sz="4" w:space="0" w:color="auto"/>
                    </w:tcBorders>
                    <w:vAlign w:val="center"/>
                  </w:tcPr>
                  <w:p w:rsidR="007B4CFA" w:rsidRDefault="007B4CFA" w:rsidP="00DB008B">
                    <w:pPr>
                      <w:autoSpaceDE w:val="0"/>
                      <w:autoSpaceDN w:val="0"/>
                      <w:adjustRightInd w:val="0"/>
                      <w:snapToGrid w:val="0"/>
                      <w:spacing w:line="240" w:lineRule="atLeast"/>
                      <w:jc w:val="center"/>
                      <w:rPr>
                        <w:szCs w:val="21"/>
                      </w:rPr>
                    </w:pPr>
                    <w:r>
                      <w:rPr>
                        <w:rFonts w:hint="eastAsia"/>
                        <w:szCs w:val="21"/>
                      </w:rPr>
                      <w:t>期末余额</w:t>
                    </w:r>
                  </w:p>
                </w:tc>
              </w:sdtContent>
            </w:sdt>
            <w:sdt>
              <w:sdtPr>
                <w:tag w:val="_PLD_f3718624b866493ab3b8d8edadf10560"/>
                <w:id w:val="-607120376"/>
                <w:lock w:val="sdtLocked"/>
              </w:sdtPr>
              <w:sdtContent>
                <w:tc>
                  <w:tcPr>
                    <w:tcW w:w="2029" w:type="pct"/>
                    <w:gridSpan w:val="5"/>
                    <w:tcBorders>
                      <w:top w:val="single" w:sz="4" w:space="0" w:color="auto"/>
                      <w:left w:val="single" w:sz="4" w:space="0" w:color="auto"/>
                      <w:right w:val="single" w:sz="4" w:space="0" w:color="auto"/>
                    </w:tcBorders>
                    <w:vAlign w:val="center"/>
                  </w:tcPr>
                  <w:p w:rsidR="007B4CFA" w:rsidRDefault="007B4CFA" w:rsidP="00DB008B">
                    <w:pPr>
                      <w:autoSpaceDE w:val="0"/>
                      <w:autoSpaceDN w:val="0"/>
                      <w:adjustRightInd w:val="0"/>
                      <w:snapToGrid w:val="0"/>
                      <w:spacing w:line="240" w:lineRule="atLeast"/>
                      <w:jc w:val="center"/>
                      <w:rPr>
                        <w:szCs w:val="21"/>
                      </w:rPr>
                    </w:pPr>
                    <w:r>
                      <w:rPr>
                        <w:rFonts w:hint="eastAsia"/>
                        <w:szCs w:val="21"/>
                      </w:rPr>
                      <w:t>期初余额</w:t>
                    </w:r>
                  </w:p>
                </w:tc>
              </w:sdtContent>
            </w:sdt>
          </w:tr>
          <w:tr w:rsidR="007B4CFA" w:rsidTr="004D5142">
            <w:trPr>
              <w:cantSplit/>
              <w:trHeight w:val="227"/>
            </w:trPr>
            <w:tc>
              <w:tcPr>
                <w:tcW w:w="506" w:type="pct"/>
                <w:vMerge/>
                <w:tcBorders>
                  <w:left w:val="single" w:sz="4" w:space="0" w:color="auto"/>
                  <w:right w:val="single" w:sz="4" w:space="0" w:color="auto"/>
                </w:tcBorders>
                <w:vAlign w:val="center"/>
              </w:tcPr>
              <w:p w:rsidR="007B4CFA" w:rsidRDefault="007B4CFA" w:rsidP="00DB008B">
                <w:pPr>
                  <w:rPr>
                    <w:szCs w:val="21"/>
                  </w:rPr>
                </w:pPr>
              </w:p>
            </w:tc>
            <w:sdt>
              <w:sdtPr>
                <w:tag w:val="_PLD_696c52ce758e49deb616a7fb8df8ee20"/>
                <w:id w:val="-1175646178"/>
                <w:lock w:val="sdtLocked"/>
              </w:sdtPr>
              <w:sdtContent>
                <w:tc>
                  <w:tcPr>
                    <w:tcW w:w="940" w:type="pct"/>
                    <w:gridSpan w:val="2"/>
                    <w:tcBorders>
                      <w:top w:val="single" w:sz="4" w:space="0" w:color="auto"/>
                      <w:left w:val="single" w:sz="4" w:space="0" w:color="auto"/>
                      <w:bottom w:val="single" w:sz="4" w:space="0" w:color="auto"/>
                      <w:right w:val="single" w:sz="4" w:space="0" w:color="auto"/>
                    </w:tcBorders>
                    <w:vAlign w:val="center"/>
                  </w:tcPr>
                  <w:p w:rsidR="007B4CFA" w:rsidRDefault="007B4CFA" w:rsidP="00DB008B">
                    <w:pPr>
                      <w:jc w:val="center"/>
                      <w:rPr>
                        <w:szCs w:val="21"/>
                      </w:rPr>
                    </w:pPr>
                    <w:r>
                      <w:rPr>
                        <w:rFonts w:hint="eastAsia"/>
                        <w:szCs w:val="21"/>
                      </w:rPr>
                      <w:t>账面余额</w:t>
                    </w:r>
                  </w:p>
                </w:tc>
              </w:sdtContent>
            </w:sdt>
            <w:sdt>
              <w:sdtPr>
                <w:tag w:val="_PLD_1ca261fa1763424688ba2be8550f43e1"/>
                <w:id w:val="-1498422287"/>
                <w:lock w:val="sdtLocked"/>
              </w:sdtPr>
              <w:sdtContent>
                <w:tc>
                  <w:tcPr>
                    <w:tcW w:w="963" w:type="pct"/>
                    <w:gridSpan w:val="2"/>
                    <w:tcBorders>
                      <w:top w:val="single" w:sz="4" w:space="0" w:color="auto"/>
                      <w:left w:val="single" w:sz="4" w:space="0" w:color="auto"/>
                      <w:bottom w:val="single" w:sz="4" w:space="0" w:color="auto"/>
                      <w:right w:val="single" w:sz="4" w:space="0" w:color="auto"/>
                    </w:tcBorders>
                    <w:vAlign w:val="center"/>
                  </w:tcPr>
                  <w:p w:rsidR="007B4CFA" w:rsidRDefault="007B4CFA" w:rsidP="00DB008B">
                    <w:pPr>
                      <w:jc w:val="center"/>
                      <w:rPr>
                        <w:szCs w:val="21"/>
                      </w:rPr>
                    </w:pPr>
                    <w:r>
                      <w:rPr>
                        <w:rFonts w:hint="eastAsia"/>
                        <w:szCs w:val="21"/>
                      </w:rPr>
                      <w:t>坏账准备</w:t>
                    </w:r>
                  </w:p>
                </w:tc>
              </w:sdtContent>
            </w:sdt>
            <w:sdt>
              <w:sdtPr>
                <w:tag w:val="_PLD_caaf7fb85a4a432890635f2eb9c38cd5"/>
                <w:id w:val="228961618"/>
                <w:lock w:val="sdtLocked"/>
              </w:sdtPr>
              <w:sdtContent>
                <w:tc>
                  <w:tcPr>
                    <w:tcW w:w="561" w:type="pct"/>
                    <w:vMerge w:val="restart"/>
                    <w:tcBorders>
                      <w:top w:val="single" w:sz="4" w:space="0" w:color="auto"/>
                      <w:left w:val="single" w:sz="4" w:space="0" w:color="auto"/>
                      <w:right w:val="single" w:sz="4" w:space="0" w:color="auto"/>
                    </w:tcBorders>
                    <w:vAlign w:val="center"/>
                  </w:tcPr>
                  <w:p w:rsidR="007B4CFA" w:rsidRDefault="007B4CFA" w:rsidP="00DB008B">
                    <w:pPr>
                      <w:jc w:val="center"/>
                      <w:rPr>
                        <w:szCs w:val="21"/>
                      </w:rPr>
                    </w:pPr>
                    <w:r>
                      <w:rPr>
                        <w:rFonts w:hint="eastAsia"/>
                        <w:szCs w:val="21"/>
                      </w:rPr>
                      <w:t>账面</w:t>
                    </w:r>
                  </w:p>
                  <w:p w:rsidR="007B4CFA" w:rsidRDefault="007B4CFA" w:rsidP="00DB008B">
                    <w:pPr>
                      <w:jc w:val="center"/>
                      <w:rPr>
                        <w:szCs w:val="21"/>
                      </w:rPr>
                    </w:pPr>
                    <w:r>
                      <w:rPr>
                        <w:rFonts w:hint="eastAsia"/>
                        <w:szCs w:val="21"/>
                      </w:rPr>
                      <w:t>价值</w:t>
                    </w:r>
                  </w:p>
                </w:tc>
              </w:sdtContent>
            </w:sdt>
            <w:sdt>
              <w:sdtPr>
                <w:tag w:val="_PLD_f01498a5d6634d7ab63dd393e266902a"/>
                <w:id w:val="-2022302546"/>
                <w:lock w:val="sdtLocked"/>
              </w:sdtPr>
              <w:sdtContent>
                <w:tc>
                  <w:tcPr>
                    <w:tcW w:w="756" w:type="pct"/>
                    <w:gridSpan w:val="2"/>
                    <w:tcBorders>
                      <w:top w:val="single" w:sz="4" w:space="0" w:color="auto"/>
                      <w:left w:val="single" w:sz="4" w:space="0" w:color="auto"/>
                      <w:right w:val="single" w:sz="4" w:space="0" w:color="auto"/>
                    </w:tcBorders>
                    <w:vAlign w:val="center"/>
                  </w:tcPr>
                  <w:p w:rsidR="007B4CFA" w:rsidRDefault="007B4CFA" w:rsidP="00DB008B">
                    <w:pPr>
                      <w:jc w:val="center"/>
                      <w:rPr>
                        <w:szCs w:val="21"/>
                      </w:rPr>
                    </w:pPr>
                    <w:r>
                      <w:rPr>
                        <w:rFonts w:hint="eastAsia"/>
                        <w:szCs w:val="21"/>
                      </w:rPr>
                      <w:t>账面余额</w:t>
                    </w:r>
                  </w:p>
                </w:tc>
              </w:sdtContent>
            </w:sdt>
            <w:sdt>
              <w:sdtPr>
                <w:tag w:val="_PLD_e9336373677a4e1781b6e81f705c1bec"/>
                <w:id w:val="2063437295"/>
                <w:lock w:val="sdtLocked"/>
              </w:sdtPr>
              <w:sdtContent>
                <w:tc>
                  <w:tcPr>
                    <w:tcW w:w="712" w:type="pct"/>
                    <w:gridSpan w:val="2"/>
                    <w:tcBorders>
                      <w:top w:val="single" w:sz="4" w:space="0" w:color="auto"/>
                      <w:left w:val="single" w:sz="4" w:space="0" w:color="auto"/>
                      <w:right w:val="single" w:sz="4" w:space="0" w:color="auto"/>
                    </w:tcBorders>
                    <w:vAlign w:val="center"/>
                  </w:tcPr>
                  <w:p w:rsidR="007B4CFA" w:rsidRDefault="007B4CFA" w:rsidP="00DB008B">
                    <w:pPr>
                      <w:jc w:val="center"/>
                      <w:rPr>
                        <w:szCs w:val="21"/>
                      </w:rPr>
                    </w:pPr>
                    <w:r>
                      <w:rPr>
                        <w:rFonts w:hint="eastAsia"/>
                        <w:szCs w:val="21"/>
                      </w:rPr>
                      <w:t>坏账准备</w:t>
                    </w:r>
                  </w:p>
                </w:tc>
              </w:sdtContent>
            </w:sdt>
            <w:sdt>
              <w:sdtPr>
                <w:tag w:val="_PLD_09bacc527e7b4910a0c82606fe4a5754"/>
                <w:id w:val="1618409638"/>
                <w:lock w:val="sdtLocked"/>
              </w:sdtPr>
              <w:sdtContent>
                <w:tc>
                  <w:tcPr>
                    <w:tcW w:w="561" w:type="pct"/>
                    <w:vMerge w:val="restart"/>
                    <w:tcBorders>
                      <w:top w:val="single" w:sz="4" w:space="0" w:color="auto"/>
                      <w:left w:val="single" w:sz="4" w:space="0" w:color="auto"/>
                      <w:right w:val="single" w:sz="4" w:space="0" w:color="auto"/>
                    </w:tcBorders>
                    <w:vAlign w:val="center"/>
                  </w:tcPr>
                  <w:p w:rsidR="007B4CFA" w:rsidRDefault="007B4CFA" w:rsidP="00DB008B">
                    <w:pPr>
                      <w:jc w:val="center"/>
                      <w:rPr>
                        <w:szCs w:val="21"/>
                      </w:rPr>
                    </w:pPr>
                    <w:r>
                      <w:rPr>
                        <w:rFonts w:hint="eastAsia"/>
                        <w:szCs w:val="21"/>
                      </w:rPr>
                      <w:t>账面</w:t>
                    </w:r>
                  </w:p>
                  <w:p w:rsidR="007B4CFA" w:rsidRDefault="007B4CFA" w:rsidP="00DB008B">
                    <w:pPr>
                      <w:jc w:val="center"/>
                      <w:rPr>
                        <w:szCs w:val="21"/>
                      </w:rPr>
                    </w:pPr>
                    <w:r>
                      <w:rPr>
                        <w:rFonts w:hint="eastAsia"/>
                        <w:szCs w:val="21"/>
                      </w:rPr>
                      <w:t>价值</w:t>
                    </w:r>
                  </w:p>
                </w:tc>
              </w:sdtContent>
            </w:sdt>
          </w:tr>
          <w:tr w:rsidR="007B4CFA" w:rsidTr="004D5142">
            <w:trPr>
              <w:cantSplit/>
              <w:trHeight w:val="375"/>
            </w:trPr>
            <w:tc>
              <w:tcPr>
                <w:tcW w:w="506" w:type="pct"/>
                <w:vMerge/>
                <w:tcBorders>
                  <w:left w:val="single" w:sz="4" w:space="0" w:color="auto"/>
                  <w:bottom w:val="single" w:sz="4" w:space="0" w:color="auto"/>
                  <w:right w:val="single" w:sz="4" w:space="0" w:color="auto"/>
                </w:tcBorders>
                <w:vAlign w:val="center"/>
              </w:tcPr>
              <w:p w:rsidR="007B4CFA" w:rsidRDefault="007B4CFA" w:rsidP="00DB008B">
                <w:pPr>
                  <w:rPr>
                    <w:szCs w:val="21"/>
                  </w:rPr>
                </w:pPr>
              </w:p>
            </w:tc>
            <w:sdt>
              <w:sdtPr>
                <w:tag w:val="_PLD_9a908e63a38c4885ae2f80c1b860b93a"/>
                <w:id w:val="1638134681"/>
                <w:lock w:val="sdtLocked"/>
              </w:sdtPr>
              <w:sdtContent>
                <w:tc>
                  <w:tcPr>
                    <w:tcW w:w="637" w:type="pct"/>
                    <w:tcBorders>
                      <w:left w:val="single" w:sz="4" w:space="0" w:color="auto"/>
                      <w:bottom w:val="single" w:sz="4" w:space="0" w:color="auto"/>
                      <w:right w:val="single" w:sz="4" w:space="0" w:color="auto"/>
                    </w:tcBorders>
                    <w:vAlign w:val="center"/>
                  </w:tcPr>
                  <w:p w:rsidR="007B4CFA" w:rsidRDefault="007B4CFA" w:rsidP="00DB008B">
                    <w:pPr>
                      <w:jc w:val="center"/>
                      <w:rPr>
                        <w:szCs w:val="21"/>
                      </w:rPr>
                    </w:pPr>
                    <w:r>
                      <w:rPr>
                        <w:rFonts w:hint="eastAsia"/>
                        <w:szCs w:val="21"/>
                      </w:rPr>
                      <w:t>金额</w:t>
                    </w:r>
                  </w:p>
                </w:tc>
              </w:sdtContent>
            </w:sdt>
            <w:sdt>
              <w:sdtPr>
                <w:tag w:val="_PLD_df211ff0344e48aa8266bff852c13d4a"/>
                <w:id w:val="-1424185727"/>
                <w:lock w:val="sdtLocked"/>
              </w:sdtPr>
              <w:sdtContent>
                <w:tc>
                  <w:tcPr>
                    <w:tcW w:w="303" w:type="pct"/>
                    <w:tcBorders>
                      <w:left w:val="single" w:sz="4" w:space="0" w:color="auto"/>
                      <w:bottom w:val="single" w:sz="4" w:space="0" w:color="auto"/>
                      <w:right w:val="single" w:sz="4" w:space="0" w:color="auto"/>
                    </w:tcBorders>
                    <w:vAlign w:val="center"/>
                  </w:tcPr>
                  <w:p w:rsidR="007B4CFA" w:rsidRDefault="007B4CFA" w:rsidP="00DB008B">
                    <w:pPr>
                      <w:jc w:val="center"/>
                      <w:rPr>
                        <w:szCs w:val="21"/>
                      </w:rPr>
                    </w:pPr>
                    <w:r>
                      <w:rPr>
                        <w:rFonts w:hint="eastAsia"/>
                        <w:szCs w:val="21"/>
                      </w:rPr>
                      <w:t>比例</w:t>
                    </w:r>
                    <w:r>
                      <w:rPr>
                        <w:szCs w:val="21"/>
                      </w:rPr>
                      <w:t>(%)</w:t>
                    </w:r>
                  </w:p>
                </w:tc>
              </w:sdtContent>
            </w:sdt>
            <w:sdt>
              <w:sdtPr>
                <w:tag w:val="_PLD_bc7278fbd5c542a3abfb9a55090a49e0"/>
                <w:id w:val="137316010"/>
                <w:lock w:val="sdtLocked"/>
              </w:sdtPr>
              <w:sdtContent>
                <w:tc>
                  <w:tcPr>
                    <w:tcW w:w="696" w:type="pct"/>
                    <w:tcBorders>
                      <w:left w:val="single" w:sz="4" w:space="0" w:color="auto"/>
                      <w:bottom w:val="single" w:sz="4" w:space="0" w:color="auto"/>
                      <w:right w:val="single" w:sz="4" w:space="0" w:color="auto"/>
                    </w:tcBorders>
                    <w:vAlign w:val="center"/>
                  </w:tcPr>
                  <w:p w:rsidR="007B4CFA" w:rsidRDefault="007B4CFA" w:rsidP="00DB008B">
                    <w:pPr>
                      <w:jc w:val="center"/>
                      <w:rPr>
                        <w:szCs w:val="21"/>
                      </w:rPr>
                    </w:pPr>
                    <w:r>
                      <w:rPr>
                        <w:rFonts w:hint="eastAsia"/>
                        <w:szCs w:val="21"/>
                      </w:rPr>
                      <w:t>金额</w:t>
                    </w:r>
                  </w:p>
                </w:tc>
              </w:sdtContent>
            </w:sdt>
            <w:sdt>
              <w:sdtPr>
                <w:tag w:val="_PLD_98f107e07b5b44938d61d6b0984d9e2b"/>
                <w:id w:val="705377947"/>
                <w:lock w:val="sdtLocked"/>
              </w:sdtPr>
              <w:sdtContent>
                <w:tc>
                  <w:tcPr>
                    <w:tcW w:w="267" w:type="pct"/>
                    <w:tcBorders>
                      <w:left w:val="single" w:sz="4" w:space="0" w:color="auto"/>
                      <w:bottom w:val="single" w:sz="4" w:space="0" w:color="auto"/>
                      <w:right w:val="single" w:sz="4" w:space="0" w:color="auto"/>
                    </w:tcBorders>
                    <w:vAlign w:val="center"/>
                  </w:tcPr>
                  <w:p w:rsidR="007B4CFA" w:rsidRDefault="007B4CFA" w:rsidP="00DB008B">
                    <w:pPr>
                      <w:jc w:val="center"/>
                      <w:rPr>
                        <w:szCs w:val="21"/>
                      </w:rPr>
                    </w:pPr>
                    <w:r>
                      <w:rPr>
                        <w:rFonts w:hint="eastAsia"/>
                        <w:szCs w:val="21"/>
                      </w:rPr>
                      <w:t>计提比例</w:t>
                    </w:r>
                    <w:r>
                      <w:rPr>
                        <w:szCs w:val="21"/>
                      </w:rPr>
                      <w:t>(%)</w:t>
                    </w:r>
                  </w:p>
                </w:tc>
              </w:sdtContent>
            </w:sdt>
            <w:tc>
              <w:tcPr>
                <w:tcW w:w="561" w:type="pct"/>
                <w:vMerge/>
                <w:tcBorders>
                  <w:left w:val="single" w:sz="4" w:space="0" w:color="auto"/>
                  <w:bottom w:val="single" w:sz="4" w:space="0" w:color="auto"/>
                  <w:right w:val="single" w:sz="4" w:space="0" w:color="auto"/>
                </w:tcBorders>
                <w:vAlign w:val="center"/>
              </w:tcPr>
              <w:p w:rsidR="007B4CFA" w:rsidRDefault="007B4CFA" w:rsidP="00DB008B">
                <w:pPr>
                  <w:jc w:val="center"/>
                  <w:rPr>
                    <w:szCs w:val="21"/>
                  </w:rPr>
                </w:pPr>
              </w:p>
            </w:tc>
            <w:sdt>
              <w:sdtPr>
                <w:tag w:val="_PLD_27c35a851bfc461b93652bdd1c4da46e"/>
                <w:id w:val="559520719"/>
                <w:lock w:val="sdtLocked"/>
              </w:sdtPr>
              <w:sdtContent>
                <w:tc>
                  <w:tcPr>
                    <w:tcW w:w="561" w:type="pct"/>
                    <w:tcBorders>
                      <w:left w:val="single" w:sz="4" w:space="0" w:color="auto"/>
                      <w:bottom w:val="single" w:sz="4" w:space="0" w:color="auto"/>
                      <w:right w:val="single" w:sz="4" w:space="0" w:color="auto"/>
                    </w:tcBorders>
                    <w:vAlign w:val="center"/>
                  </w:tcPr>
                  <w:p w:rsidR="007B4CFA" w:rsidRDefault="007B4CFA" w:rsidP="00DB008B">
                    <w:pPr>
                      <w:jc w:val="center"/>
                      <w:rPr>
                        <w:szCs w:val="21"/>
                      </w:rPr>
                    </w:pPr>
                    <w:r>
                      <w:rPr>
                        <w:rFonts w:hint="eastAsia"/>
                        <w:szCs w:val="21"/>
                      </w:rPr>
                      <w:t>金额</w:t>
                    </w:r>
                  </w:p>
                </w:tc>
              </w:sdtContent>
            </w:sdt>
            <w:sdt>
              <w:sdtPr>
                <w:tag w:val="_PLD_8cdcb4d0cfc74ea299eeda00998b7eed"/>
                <w:id w:val="-1315872916"/>
                <w:lock w:val="sdtLocked"/>
              </w:sdtPr>
              <w:sdtContent>
                <w:tc>
                  <w:tcPr>
                    <w:tcW w:w="194" w:type="pct"/>
                    <w:tcBorders>
                      <w:left w:val="single" w:sz="4" w:space="0" w:color="auto"/>
                      <w:bottom w:val="single" w:sz="4" w:space="0" w:color="auto"/>
                      <w:right w:val="single" w:sz="4" w:space="0" w:color="auto"/>
                    </w:tcBorders>
                    <w:vAlign w:val="center"/>
                  </w:tcPr>
                  <w:p w:rsidR="007B4CFA" w:rsidRDefault="007B4CFA" w:rsidP="00DB008B">
                    <w:pPr>
                      <w:jc w:val="center"/>
                      <w:rPr>
                        <w:szCs w:val="21"/>
                      </w:rPr>
                    </w:pPr>
                    <w:r>
                      <w:rPr>
                        <w:rFonts w:hint="eastAsia"/>
                        <w:szCs w:val="21"/>
                      </w:rPr>
                      <w:t>比例</w:t>
                    </w:r>
                    <w:r>
                      <w:rPr>
                        <w:szCs w:val="21"/>
                      </w:rPr>
                      <w:t>(%)</w:t>
                    </w:r>
                  </w:p>
                </w:tc>
              </w:sdtContent>
            </w:sdt>
            <w:sdt>
              <w:sdtPr>
                <w:tag w:val="_PLD_205ec069d7004eaba20d3af25a7dfeda"/>
                <w:id w:val="90213715"/>
                <w:lock w:val="sdtLocked"/>
              </w:sdtPr>
              <w:sdtContent>
                <w:tc>
                  <w:tcPr>
                    <w:tcW w:w="487" w:type="pct"/>
                    <w:tcBorders>
                      <w:left w:val="single" w:sz="4" w:space="0" w:color="auto"/>
                      <w:bottom w:val="single" w:sz="4" w:space="0" w:color="auto"/>
                      <w:right w:val="single" w:sz="4" w:space="0" w:color="auto"/>
                    </w:tcBorders>
                    <w:vAlign w:val="center"/>
                  </w:tcPr>
                  <w:p w:rsidR="007B4CFA" w:rsidRDefault="007B4CFA" w:rsidP="00DB008B">
                    <w:pPr>
                      <w:jc w:val="center"/>
                      <w:rPr>
                        <w:szCs w:val="21"/>
                      </w:rPr>
                    </w:pPr>
                    <w:r>
                      <w:rPr>
                        <w:rFonts w:hint="eastAsia"/>
                        <w:szCs w:val="21"/>
                      </w:rPr>
                      <w:t>金额</w:t>
                    </w:r>
                  </w:p>
                </w:tc>
              </w:sdtContent>
            </w:sdt>
            <w:sdt>
              <w:sdtPr>
                <w:tag w:val="_PLD_cee6517bce154e26a5f2a917cc143a54"/>
                <w:id w:val="-11301779"/>
                <w:lock w:val="sdtLocked"/>
              </w:sdtPr>
              <w:sdtContent>
                <w:tc>
                  <w:tcPr>
                    <w:tcW w:w="226" w:type="pct"/>
                    <w:tcBorders>
                      <w:left w:val="single" w:sz="4" w:space="0" w:color="auto"/>
                      <w:bottom w:val="single" w:sz="4" w:space="0" w:color="auto"/>
                      <w:right w:val="single" w:sz="4" w:space="0" w:color="auto"/>
                    </w:tcBorders>
                    <w:vAlign w:val="center"/>
                  </w:tcPr>
                  <w:p w:rsidR="007B4CFA" w:rsidRDefault="007B4CFA" w:rsidP="00DB008B">
                    <w:pPr>
                      <w:jc w:val="center"/>
                      <w:rPr>
                        <w:szCs w:val="21"/>
                      </w:rPr>
                    </w:pPr>
                    <w:r>
                      <w:rPr>
                        <w:rFonts w:hint="eastAsia"/>
                        <w:szCs w:val="21"/>
                      </w:rPr>
                      <w:t>计提比例</w:t>
                    </w:r>
                    <w:r>
                      <w:rPr>
                        <w:szCs w:val="21"/>
                      </w:rPr>
                      <w:t>(%)</w:t>
                    </w:r>
                  </w:p>
                </w:tc>
              </w:sdtContent>
            </w:sdt>
            <w:tc>
              <w:tcPr>
                <w:tcW w:w="561" w:type="pct"/>
                <w:vMerge/>
                <w:tcBorders>
                  <w:left w:val="single" w:sz="4" w:space="0" w:color="auto"/>
                  <w:bottom w:val="single" w:sz="4" w:space="0" w:color="auto"/>
                  <w:right w:val="single" w:sz="4" w:space="0" w:color="auto"/>
                </w:tcBorders>
              </w:tcPr>
              <w:p w:rsidR="007B4CFA" w:rsidRDefault="007B4CFA" w:rsidP="00DB008B">
                <w:pPr>
                  <w:jc w:val="center"/>
                  <w:rPr>
                    <w:szCs w:val="21"/>
                  </w:rPr>
                </w:pPr>
              </w:p>
            </w:tc>
          </w:tr>
          <w:tr w:rsidR="007B4CFA" w:rsidTr="004D5142">
            <w:trPr>
              <w:cantSplit/>
            </w:trPr>
            <w:sdt>
              <w:sdtPr>
                <w:tag w:val="_PLD_d8ed1eba357f4adab0a97ff43996a2d9"/>
                <w:id w:val="-2097089350"/>
                <w:lock w:val="sdtLocked"/>
              </w:sdtPr>
              <w:sdtContent>
                <w:tc>
                  <w:tcPr>
                    <w:tcW w:w="506" w:type="pct"/>
                    <w:tcBorders>
                      <w:top w:val="single" w:sz="4" w:space="0" w:color="auto"/>
                      <w:left w:val="single" w:sz="4" w:space="0" w:color="auto"/>
                      <w:bottom w:val="single" w:sz="4" w:space="0" w:color="auto"/>
                      <w:right w:val="single" w:sz="4" w:space="0" w:color="auto"/>
                    </w:tcBorders>
                  </w:tcPr>
                  <w:p w:rsidR="007B4CFA" w:rsidRDefault="007B4CFA" w:rsidP="00DB008B">
                    <w:pPr>
                      <w:rPr>
                        <w:szCs w:val="21"/>
                      </w:rPr>
                    </w:pPr>
                    <w:r>
                      <w:rPr>
                        <w:rFonts w:hint="eastAsia"/>
                        <w:szCs w:val="21"/>
                      </w:rPr>
                      <w:t>按组合计提坏账准备</w:t>
                    </w:r>
                  </w:p>
                </w:tc>
              </w:sdtContent>
            </w:sdt>
            <w:tc>
              <w:tcPr>
                <w:tcW w:w="637" w:type="pct"/>
                <w:tcBorders>
                  <w:top w:val="single" w:sz="4" w:space="0" w:color="auto"/>
                  <w:left w:val="single" w:sz="4" w:space="0" w:color="auto"/>
                  <w:bottom w:val="single" w:sz="4" w:space="0" w:color="auto"/>
                  <w:right w:val="single" w:sz="4" w:space="0" w:color="auto"/>
                </w:tcBorders>
                <w:vAlign w:val="center"/>
              </w:tcPr>
              <w:p w:rsidR="007B4CFA" w:rsidRDefault="007B4CFA" w:rsidP="00DB008B">
                <w:pPr>
                  <w:jc w:val="right"/>
                  <w:rPr>
                    <w:szCs w:val="21"/>
                  </w:rPr>
                </w:pPr>
                <w:r>
                  <w:rPr>
                    <w:szCs w:val="21"/>
                  </w:rPr>
                  <w:t>8,207,966,319</w:t>
                </w:r>
              </w:p>
            </w:tc>
            <w:tc>
              <w:tcPr>
                <w:tcW w:w="303" w:type="pct"/>
                <w:tcBorders>
                  <w:top w:val="single" w:sz="4" w:space="0" w:color="auto"/>
                  <w:left w:val="single" w:sz="4" w:space="0" w:color="auto"/>
                  <w:bottom w:val="single" w:sz="4" w:space="0" w:color="auto"/>
                  <w:right w:val="single" w:sz="4" w:space="0" w:color="auto"/>
                </w:tcBorders>
                <w:vAlign w:val="center"/>
              </w:tcPr>
              <w:p w:rsidR="007B4CFA" w:rsidRDefault="007B4CFA" w:rsidP="004D5142">
                <w:pPr>
                  <w:tabs>
                    <w:tab w:val="left" w:pos="211"/>
                  </w:tabs>
                  <w:jc w:val="center"/>
                  <w:rPr>
                    <w:szCs w:val="21"/>
                  </w:rPr>
                </w:pPr>
                <w:r w:rsidRPr="008D723D">
                  <w:rPr>
                    <w:szCs w:val="21"/>
                  </w:rPr>
                  <w:t>100</w:t>
                </w:r>
              </w:p>
            </w:tc>
            <w:tc>
              <w:tcPr>
                <w:tcW w:w="696" w:type="pct"/>
                <w:tcBorders>
                  <w:top w:val="single" w:sz="4" w:space="0" w:color="auto"/>
                  <w:left w:val="single" w:sz="4" w:space="0" w:color="auto"/>
                  <w:bottom w:val="single" w:sz="4" w:space="0" w:color="auto"/>
                  <w:right w:val="single" w:sz="4" w:space="0" w:color="auto"/>
                </w:tcBorders>
                <w:vAlign w:val="center"/>
              </w:tcPr>
              <w:p w:rsidR="007B4CFA" w:rsidRDefault="007B4CFA" w:rsidP="00DB008B">
                <w:pPr>
                  <w:jc w:val="right"/>
                  <w:rPr>
                    <w:szCs w:val="21"/>
                  </w:rPr>
                </w:pPr>
                <w:r>
                  <w:rPr>
                    <w:szCs w:val="21"/>
                  </w:rPr>
                  <w:t>211,450,084</w:t>
                </w:r>
              </w:p>
            </w:tc>
            <w:tc>
              <w:tcPr>
                <w:tcW w:w="267" w:type="pct"/>
                <w:tcBorders>
                  <w:top w:val="single" w:sz="4" w:space="0" w:color="auto"/>
                  <w:left w:val="single" w:sz="4" w:space="0" w:color="auto"/>
                  <w:bottom w:val="single" w:sz="4" w:space="0" w:color="auto"/>
                  <w:right w:val="single" w:sz="4" w:space="0" w:color="auto"/>
                </w:tcBorders>
                <w:vAlign w:val="center"/>
              </w:tcPr>
              <w:p w:rsidR="007B4CFA" w:rsidRDefault="007B4CFA" w:rsidP="00DB008B">
                <w:pPr>
                  <w:jc w:val="right"/>
                  <w:rPr>
                    <w:szCs w:val="21"/>
                  </w:rPr>
                </w:pPr>
                <w:r w:rsidRPr="008D723D">
                  <w:rPr>
                    <w:szCs w:val="21"/>
                  </w:rPr>
                  <w:t>2.58</w:t>
                </w:r>
              </w:p>
            </w:tc>
            <w:tc>
              <w:tcPr>
                <w:tcW w:w="561" w:type="pct"/>
                <w:tcBorders>
                  <w:top w:val="single" w:sz="4" w:space="0" w:color="auto"/>
                  <w:left w:val="single" w:sz="4" w:space="0" w:color="auto"/>
                  <w:bottom w:val="single" w:sz="4" w:space="0" w:color="auto"/>
                  <w:right w:val="single" w:sz="4" w:space="0" w:color="auto"/>
                </w:tcBorders>
                <w:vAlign w:val="center"/>
              </w:tcPr>
              <w:p w:rsidR="007B4CFA" w:rsidRPr="008D723D" w:rsidRDefault="007B4CFA" w:rsidP="00DB008B">
                <w:pPr>
                  <w:jc w:val="right"/>
                  <w:rPr>
                    <w:szCs w:val="21"/>
                  </w:rPr>
                </w:pPr>
                <w:r>
                  <w:rPr>
                    <w:szCs w:val="21"/>
                  </w:rPr>
                  <w:t>7,996,516,235</w:t>
                </w:r>
              </w:p>
            </w:tc>
            <w:tc>
              <w:tcPr>
                <w:tcW w:w="561" w:type="pct"/>
                <w:tcBorders>
                  <w:top w:val="single" w:sz="4" w:space="0" w:color="auto"/>
                  <w:left w:val="single" w:sz="4" w:space="0" w:color="auto"/>
                  <w:bottom w:val="single" w:sz="4" w:space="0" w:color="auto"/>
                  <w:right w:val="single" w:sz="4" w:space="0" w:color="auto"/>
                </w:tcBorders>
                <w:vAlign w:val="center"/>
              </w:tcPr>
              <w:p w:rsidR="007B4CFA" w:rsidRDefault="007B4CFA" w:rsidP="007B4CFA">
                <w:pPr>
                  <w:jc w:val="right"/>
                  <w:rPr>
                    <w:szCs w:val="21"/>
                  </w:rPr>
                </w:pPr>
                <w:r>
                  <w:rPr>
                    <w:szCs w:val="21"/>
                  </w:rPr>
                  <w:t>6,579,685,536</w:t>
                </w:r>
              </w:p>
            </w:tc>
            <w:tc>
              <w:tcPr>
                <w:tcW w:w="194" w:type="pct"/>
                <w:tcBorders>
                  <w:top w:val="single" w:sz="4" w:space="0" w:color="auto"/>
                  <w:left w:val="single" w:sz="4" w:space="0" w:color="auto"/>
                  <w:bottom w:val="single" w:sz="4" w:space="0" w:color="auto"/>
                  <w:right w:val="single" w:sz="4" w:space="0" w:color="auto"/>
                </w:tcBorders>
                <w:vAlign w:val="center"/>
              </w:tcPr>
              <w:p w:rsidR="007B4CFA" w:rsidRDefault="007B4CFA" w:rsidP="007B4CFA">
                <w:pPr>
                  <w:jc w:val="right"/>
                  <w:rPr>
                    <w:szCs w:val="21"/>
                  </w:rPr>
                </w:pPr>
                <w:r>
                  <w:rPr>
                    <w:szCs w:val="21"/>
                  </w:rPr>
                  <w:t>100</w:t>
                </w:r>
              </w:p>
            </w:tc>
            <w:tc>
              <w:tcPr>
                <w:tcW w:w="487" w:type="pct"/>
                <w:tcBorders>
                  <w:top w:val="single" w:sz="4" w:space="0" w:color="auto"/>
                  <w:left w:val="single" w:sz="4" w:space="0" w:color="auto"/>
                  <w:bottom w:val="single" w:sz="4" w:space="0" w:color="auto"/>
                  <w:right w:val="single" w:sz="4" w:space="0" w:color="auto"/>
                </w:tcBorders>
                <w:vAlign w:val="center"/>
              </w:tcPr>
              <w:p w:rsidR="007B4CFA" w:rsidRDefault="007B4CFA" w:rsidP="007B4CFA">
                <w:pPr>
                  <w:jc w:val="right"/>
                  <w:rPr>
                    <w:szCs w:val="21"/>
                  </w:rPr>
                </w:pPr>
                <w:r>
                  <w:rPr>
                    <w:szCs w:val="21"/>
                  </w:rPr>
                  <w:t>381,663,083</w:t>
                </w:r>
              </w:p>
            </w:tc>
            <w:tc>
              <w:tcPr>
                <w:tcW w:w="226" w:type="pct"/>
                <w:tcBorders>
                  <w:top w:val="single" w:sz="4" w:space="0" w:color="auto"/>
                  <w:left w:val="single" w:sz="4" w:space="0" w:color="auto"/>
                  <w:bottom w:val="single" w:sz="4" w:space="0" w:color="auto"/>
                  <w:right w:val="single" w:sz="4" w:space="0" w:color="auto"/>
                </w:tcBorders>
                <w:vAlign w:val="center"/>
              </w:tcPr>
              <w:p w:rsidR="007B4CFA" w:rsidRDefault="007B4CFA" w:rsidP="007B4CFA">
                <w:pPr>
                  <w:jc w:val="right"/>
                  <w:rPr>
                    <w:szCs w:val="21"/>
                  </w:rPr>
                </w:pPr>
                <w:r>
                  <w:rPr>
                    <w:szCs w:val="21"/>
                  </w:rPr>
                  <w:t>5.80</w:t>
                </w:r>
              </w:p>
            </w:tc>
            <w:tc>
              <w:tcPr>
                <w:tcW w:w="561" w:type="pct"/>
                <w:tcBorders>
                  <w:top w:val="single" w:sz="4" w:space="0" w:color="auto"/>
                  <w:left w:val="single" w:sz="4" w:space="0" w:color="auto"/>
                  <w:bottom w:val="single" w:sz="4" w:space="0" w:color="auto"/>
                  <w:right w:val="single" w:sz="4" w:space="0" w:color="auto"/>
                </w:tcBorders>
                <w:vAlign w:val="center"/>
              </w:tcPr>
              <w:p w:rsidR="007B4CFA" w:rsidRDefault="007B4CFA" w:rsidP="007B4CFA">
                <w:pPr>
                  <w:jc w:val="right"/>
                  <w:rPr>
                    <w:szCs w:val="21"/>
                  </w:rPr>
                </w:pPr>
                <w:r>
                  <w:rPr>
                    <w:szCs w:val="21"/>
                  </w:rPr>
                  <w:t>6,198,022,453</w:t>
                </w:r>
              </w:p>
            </w:tc>
          </w:tr>
          <w:tr w:rsidR="007B4CFA" w:rsidTr="00DB008B">
            <w:trPr>
              <w:cantSplit/>
            </w:trPr>
            <w:sdt>
              <w:sdtPr>
                <w:tag w:val="_PLD_ce0cfa8fc80147608db7db4b7ce1db69"/>
                <w:id w:val="-239327416"/>
                <w:lock w:val="sdtLocked"/>
              </w:sdtPr>
              <w:sdtContent>
                <w:tc>
                  <w:tcPr>
                    <w:tcW w:w="5000" w:type="pct"/>
                    <w:gridSpan w:val="11"/>
                    <w:tcBorders>
                      <w:top w:val="single" w:sz="4" w:space="0" w:color="auto"/>
                      <w:left w:val="single" w:sz="4" w:space="0" w:color="auto"/>
                      <w:bottom w:val="single" w:sz="4" w:space="0" w:color="auto"/>
                      <w:right w:val="single" w:sz="4" w:space="0" w:color="auto"/>
                    </w:tcBorders>
                  </w:tcPr>
                  <w:p w:rsidR="007B4CFA" w:rsidRDefault="007B4CFA" w:rsidP="00DB008B">
                    <w:pPr>
                      <w:rPr>
                        <w:szCs w:val="21"/>
                      </w:rPr>
                    </w:pPr>
                    <w:r>
                      <w:rPr>
                        <w:rFonts w:hint="eastAsia"/>
                        <w:szCs w:val="21"/>
                      </w:rPr>
                      <w:t>其中：</w:t>
                    </w:r>
                  </w:p>
                </w:tc>
              </w:sdtContent>
            </w:sdt>
          </w:tr>
          <w:sdt>
            <w:sdtPr>
              <w:rPr>
                <w:szCs w:val="21"/>
              </w:rPr>
              <w:alias w:val="按组合计提坏账准备的应收账款明细"/>
              <w:tag w:val="_TUP_6a5136aa27f94b1e8c86df4585d9c3ea"/>
              <w:id w:val="691885076"/>
              <w:lock w:val="sdtLocked"/>
            </w:sdtPr>
            <w:sdtContent>
              <w:tr w:rsidR="007B4CFA" w:rsidTr="004D5142">
                <w:trPr>
                  <w:cantSplit/>
                </w:trPr>
                <w:sdt>
                  <w:sdtPr>
                    <w:rPr>
                      <w:szCs w:val="21"/>
                    </w:rPr>
                    <w:alias w:val="按组合计提坏账准备的应收账款明细-组合名称"/>
                    <w:tag w:val="_GBC_a216a551f9d54c89b88dad6bcecd942d"/>
                    <w:id w:val="1193807434"/>
                    <w:lock w:val="sdtLocked"/>
                  </w:sdtPr>
                  <w:sdtContent>
                    <w:tc>
                      <w:tcPr>
                        <w:tcW w:w="506" w:type="pct"/>
                        <w:tcBorders>
                          <w:top w:val="single" w:sz="4" w:space="0" w:color="auto"/>
                          <w:left w:val="single" w:sz="4" w:space="0" w:color="auto"/>
                          <w:bottom w:val="single" w:sz="4" w:space="0" w:color="auto"/>
                          <w:right w:val="single" w:sz="4" w:space="0" w:color="auto"/>
                        </w:tcBorders>
                      </w:tcPr>
                      <w:p w:rsidR="007B4CFA" w:rsidRDefault="007B4CFA" w:rsidP="00DB008B">
                        <w:pPr>
                          <w:jc w:val="both"/>
                          <w:rPr>
                            <w:color w:val="808080"/>
                            <w:szCs w:val="21"/>
                          </w:rPr>
                        </w:pPr>
                        <w:r>
                          <w:rPr>
                            <w:rFonts w:hint="eastAsia"/>
                            <w:szCs w:val="21"/>
                          </w:rPr>
                          <w:t>组合一</w:t>
                        </w:r>
                      </w:p>
                    </w:tc>
                  </w:sdtContent>
                </w:sdt>
                <w:tc>
                  <w:tcPr>
                    <w:tcW w:w="637" w:type="pct"/>
                    <w:tcBorders>
                      <w:top w:val="single" w:sz="4" w:space="0" w:color="auto"/>
                      <w:left w:val="single" w:sz="4" w:space="0" w:color="auto"/>
                      <w:bottom w:val="single" w:sz="4" w:space="0" w:color="auto"/>
                      <w:right w:val="single" w:sz="4" w:space="0" w:color="auto"/>
                    </w:tcBorders>
                    <w:vAlign w:val="center"/>
                  </w:tcPr>
                  <w:p w:rsidR="007B4CFA" w:rsidRDefault="007B4CFA" w:rsidP="00DB008B">
                    <w:pPr>
                      <w:jc w:val="right"/>
                      <w:rPr>
                        <w:szCs w:val="21"/>
                      </w:rPr>
                    </w:pPr>
                    <w:r>
                      <w:t>7,862,163,786</w:t>
                    </w:r>
                  </w:p>
                </w:tc>
                <w:tc>
                  <w:tcPr>
                    <w:tcW w:w="303" w:type="pct"/>
                    <w:tcBorders>
                      <w:top w:val="single" w:sz="4" w:space="0" w:color="auto"/>
                      <w:left w:val="single" w:sz="4" w:space="0" w:color="auto"/>
                      <w:bottom w:val="single" w:sz="4" w:space="0" w:color="auto"/>
                      <w:right w:val="single" w:sz="4" w:space="0" w:color="auto"/>
                    </w:tcBorders>
                    <w:vAlign w:val="center"/>
                  </w:tcPr>
                  <w:p w:rsidR="007B4CFA" w:rsidRDefault="007B4CFA" w:rsidP="004D5142">
                    <w:pPr>
                      <w:jc w:val="right"/>
                      <w:rPr>
                        <w:szCs w:val="21"/>
                      </w:rPr>
                    </w:pPr>
                    <w:r>
                      <w:t>96</w:t>
                    </w:r>
                  </w:p>
                </w:tc>
                <w:tc>
                  <w:tcPr>
                    <w:tcW w:w="696" w:type="pct"/>
                    <w:tcBorders>
                      <w:top w:val="single" w:sz="4" w:space="0" w:color="auto"/>
                      <w:left w:val="single" w:sz="4" w:space="0" w:color="auto"/>
                      <w:bottom w:val="single" w:sz="4" w:space="0" w:color="auto"/>
                      <w:right w:val="single" w:sz="4" w:space="0" w:color="auto"/>
                    </w:tcBorders>
                    <w:vAlign w:val="center"/>
                  </w:tcPr>
                  <w:p w:rsidR="007B4CFA" w:rsidRDefault="007B4CFA" w:rsidP="00DB008B">
                    <w:pPr>
                      <w:jc w:val="right"/>
                      <w:rPr>
                        <w:szCs w:val="21"/>
                      </w:rPr>
                    </w:pPr>
                    <w:r>
                      <w:t>198,273,726</w:t>
                    </w:r>
                  </w:p>
                </w:tc>
                <w:tc>
                  <w:tcPr>
                    <w:tcW w:w="267" w:type="pct"/>
                    <w:tcBorders>
                      <w:top w:val="single" w:sz="4" w:space="0" w:color="auto"/>
                      <w:left w:val="single" w:sz="4" w:space="0" w:color="auto"/>
                      <w:bottom w:val="single" w:sz="4" w:space="0" w:color="auto"/>
                      <w:right w:val="single" w:sz="4" w:space="0" w:color="auto"/>
                    </w:tcBorders>
                    <w:vAlign w:val="center"/>
                  </w:tcPr>
                  <w:p w:rsidR="007B4CFA" w:rsidRDefault="007B4CFA" w:rsidP="00DB008B">
                    <w:pPr>
                      <w:jc w:val="right"/>
                      <w:rPr>
                        <w:szCs w:val="21"/>
                      </w:rPr>
                    </w:pPr>
                    <w:r>
                      <w:t>2.52</w:t>
                    </w:r>
                  </w:p>
                </w:tc>
                <w:tc>
                  <w:tcPr>
                    <w:tcW w:w="561" w:type="pct"/>
                    <w:tcBorders>
                      <w:top w:val="single" w:sz="4" w:space="0" w:color="auto"/>
                      <w:left w:val="single" w:sz="4" w:space="0" w:color="auto"/>
                      <w:bottom w:val="single" w:sz="4" w:space="0" w:color="auto"/>
                      <w:right w:val="single" w:sz="4" w:space="0" w:color="auto"/>
                    </w:tcBorders>
                    <w:vAlign w:val="center"/>
                  </w:tcPr>
                  <w:p w:rsidR="007B4CFA" w:rsidRDefault="007B4CFA" w:rsidP="00DB008B">
                    <w:pPr>
                      <w:jc w:val="right"/>
                      <w:rPr>
                        <w:szCs w:val="21"/>
                      </w:rPr>
                    </w:pPr>
                    <w:r>
                      <w:t>7,663,890,060</w:t>
                    </w:r>
                  </w:p>
                </w:tc>
                <w:tc>
                  <w:tcPr>
                    <w:tcW w:w="561" w:type="pct"/>
                    <w:tcBorders>
                      <w:top w:val="single" w:sz="4" w:space="0" w:color="auto"/>
                      <w:left w:val="single" w:sz="4" w:space="0" w:color="auto"/>
                      <w:bottom w:val="single" w:sz="4" w:space="0" w:color="auto"/>
                      <w:right w:val="single" w:sz="4" w:space="0" w:color="auto"/>
                    </w:tcBorders>
                    <w:vAlign w:val="center"/>
                  </w:tcPr>
                  <w:p w:rsidR="007B4CFA" w:rsidRDefault="007B4CFA" w:rsidP="00DB008B">
                    <w:pPr>
                      <w:jc w:val="right"/>
                      <w:rPr>
                        <w:szCs w:val="21"/>
                      </w:rPr>
                    </w:pPr>
                    <w:r>
                      <w:t>6,309,354,154</w:t>
                    </w:r>
                  </w:p>
                </w:tc>
                <w:tc>
                  <w:tcPr>
                    <w:tcW w:w="194" w:type="pct"/>
                    <w:tcBorders>
                      <w:top w:val="single" w:sz="4" w:space="0" w:color="auto"/>
                      <w:left w:val="single" w:sz="4" w:space="0" w:color="auto"/>
                      <w:bottom w:val="single" w:sz="4" w:space="0" w:color="auto"/>
                      <w:right w:val="single" w:sz="4" w:space="0" w:color="auto"/>
                    </w:tcBorders>
                    <w:vAlign w:val="center"/>
                  </w:tcPr>
                  <w:p w:rsidR="007B4CFA" w:rsidRDefault="007B4CFA" w:rsidP="00DB008B">
                    <w:pPr>
                      <w:jc w:val="right"/>
                      <w:rPr>
                        <w:szCs w:val="21"/>
                      </w:rPr>
                    </w:pPr>
                    <w:r>
                      <w:t>96</w:t>
                    </w:r>
                  </w:p>
                </w:tc>
                <w:tc>
                  <w:tcPr>
                    <w:tcW w:w="487" w:type="pct"/>
                    <w:tcBorders>
                      <w:top w:val="single" w:sz="4" w:space="0" w:color="auto"/>
                      <w:left w:val="single" w:sz="4" w:space="0" w:color="auto"/>
                      <w:bottom w:val="single" w:sz="4" w:space="0" w:color="auto"/>
                      <w:right w:val="single" w:sz="4" w:space="0" w:color="auto"/>
                    </w:tcBorders>
                    <w:vAlign w:val="center"/>
                  </w:tcPr>
                  <w:p w:rsidR="007B4CFA" w:rsidRDefault="007B4CFA" w:rsidP="00DB008B">
                    <w:pPr>
                      <w:jc w:val="right"/>
                      <w:rPr>
                        <w:szCs w:val="21"/>
                      </w:rPr>
                    </w:pPr>
                    <w:r>
                      <w:t>366,758,933</w:t>
                    </w:r>
                  </w:p>
                </w:tc>
                <w:tc>
                  <w:tcPr>
                    <w:tcW w:w="226" w:type="pct"/>
                    <w:tcBorders>
                      <w:top w:val="single" w:sz="4" w:space="0" w:color="auto"/>
                      <w:left w:val="single" w:sz="4" w:space="0" w:color="auto"/>
                      <w:bottom w:val="single" w:sz="4" w:space="0" w:color="auto"/>
                      <w:right w:val="single" w:sz="4" w:space="0" w:color="auto"/>
                    </w:tcBorders>
                    <w:vAlign w:val="center"/>
                  </w:tcPr>
                  <w:p w:rsidR="007B4CFA" w:rsidRDefault="007B4CFA" w:rsidP="00DB008B">
                    <w:pPr>
                      <w:jc w:val="right"/>
                      <w:rPr>
                        <w:szCs w:val="21"/>
                      </w:rPr>
                    </w:pPr>
                    <w:r>
                      <w:t>5.81</w:t>
                    </w:r>
                  </w:p>
                </w:tc>
                <w:tc>
                  <w:tcPr>
                    <w:tcW w:w="561" w:type="pct"/>
                    <w:tcBorders>
                      <w:top w:val="single" w:sz="4" w:space="0" w:color="auto"/>
                      <w:left w:val="single" w:sz="4" w:space="0" w:color="auto"/>
                      <w:bottom w:val="single" w:sz="4" w:space="0" w:color="auto"/>
                      <w:right w:val="single" w:sz="4" w:space="0" w:color="auto"/>
                    </w:tcBorders>
                  </w:tcPr>
                  <w:p w:rsidR="007B4CFA" w:rsidRDefault="007B4CFA" w:rsidP="00DB008B">
                    <w:pPr>
                      <w:jc w:val="right"/>
                      <w:rPr>
                        <w:szCs w:val="21"/>
                      </w:rPr>
                    </w:pPr>
                    <w:r>
                      <w:t>5,942,595,221</w:t>
                    </w:r>
                  </w:p>
                </w:tc>
              </w:tr>
            </w:sdtContent>
          </w:sdt>
          <w:sdt>
            <w:sdtPr>
              <w:rPr>
                <w:szCs w:val="21"/>
              </w:rPr>
              <w:alias w:val="按组合计提坏账准备的应收账款明细"/>
              <w:tag w:val="_TUP_6a5136aa27f94b1e8c86df4585d9c3ea"/>
              <w:id w:val="-1926792590"/>
              <w:lock w:val="sdtLocked"/>
            </w:sdtPr>
            <w:sdtContent>
              <w:tr w:rsidR="007B4CFA" w:rsidTr="004D5142">
                <w:trPr>
                  <w:cantSplit/>
                </w:trPr>
                <w:sdt>
                  <w:sdtPr>
                    <w:rPr>
                      <w:szCs w:val="21"/>
                    </w:rPr>
                    <w:alias w:val="按组合计提坏账准备的应收账款明细-组合名称"/>
                    <w:tag w:val="_GBC_a216a551f9d54c89b88dad6bcecd942d"/>
                    <w:id w:val="-805694251"/>
                    <w:lock w:val="sdtLocked"/>
                  </w:sdtPr>
                  <w:sdtContent>
                    <w:tc>
                      <w:tcPr>
                        <w:tcW w:w="506" w:type="pct"/>
                        <w:tcBorders>
                          <w:top w:val="single" w:sz="4" w:space="0" w:color="auto"/>
                          <w:left w:val="single" w:sz="4" w:space="0" w:color="auto"/>
                          <w:bottom w:val="single" w:sz="4" w:space="0" w:color="auto"/>
                          <w:right w:val="single" w:sz="4" w:space="0" w:color="auto"/>
                        </w:tcBorders>
                      </w:tcPr>
                      <w:p w:rsidR="007B4CFA" w:rsidRDefault="007B4CFA" w:rsidP="00DB008B">
                        <w:pPr>
                          <w:jc w:val="both"/>
                          <w:rPr>
                            <w:color w:val="808080"/>
                            <w:szCs w:val="21"/>
                          </w:rPr>
                        </w:pPr>
                        <w:r>
                          <w:rPr>
                            <w:rFonts w:hint="eastAsia"/>
                            <w:szCs w:val="21"/>
                          </w:rPr>
                          <w:t>组合二</w:t>
                        </w:r>
                      </w:p>
                    </w:tc>
                  </w:sdtContent>
                </w:sdt>
                <w:tc>
                  <w:tcPr>
                    <w:tcW w:w="637" w:type="pct"/>
                    <w:tcBorders>
                      <w:top w:val="single" w:sz="4" w:space="0" w:color="auto"/>
                      <w:left w:val="single" w:sz="4" w:space="0" w:color="auto"/>
                      <w:bottom w:val="single" w:sz="4" w:space="0" w:color="auto"/>
                      <w:right w:val="single" w:sz="4" w:space="0" w:color="auto"/>
                    </w:tcBorders>
                    <w:vAlign w:val="center"/>
                  </w:tcPr>
                  <w:p w:rsidR="007B4CFA" w:rsidRDefault="007B4CFA" w:rsidP="00DB008B">
                    <w:pPr>
                      <w:jc w:val="right"/>
                      <w:rPr>
                        <w:szCs w:val="21"/>
                      </w:rPr>
                    </w:pPr>
                    <w:r>
                      <w:t>345,802,533</w:t>
                    </w:r>
                  </w:p>
                </w:tc>
                <w:tc>
                  <w:tcPr>
                    <w:tcW w:w="303" w:type="pct"/>
                    <w:tcBorders>
                      <w:top w:val="single" w:sz="4" w:space="0" w:color="auto"/>
                      <w:left w:val="single" w:sz="4" w:space="0" w:color="auto"/>
                      <w:bottom w:val="single" w:sz="4" w:space="0" w:color="auto"/>
                      <w:right w:val="single" w:sz="4" w:space="0" w:color="auto"/>
                    </w:tcBorders>
                    <w:vAlign w:val="center"/>
                  </w:tcPr>
                  <w:p w:rsidR="007B4CFA" w:rsidRDefault="007B4CFA" w:rsidP="004D5142">
                    <w:pPr>
                      <w:jc w:val="right"/>
                      <w:rPr>
                        <w:szCs w:val="21"/>
                      </w:rPr>
                    </w:pPr>
                    <w:r>
                      <w:t>4</w:t>
                    </w:r>
                  </w:p>
                </w:tc>
                <w:tc>
                  <w:tcPr>
                    <w:tcW w:w="696" w:type="pct"/>
                    <w:tcBorders>
                      <w:top w:val="single" w:sz="4" w:space="0" w:color="auto"/>
                      <w:left w:val="single" w:sz="4" w:space="0" w:color="auto"/>
                      <w:bottom w:val="single" w:sz="4" w:space="0" w:color="auto"/>
                      <w:right w:val="single" w:sz="4" w:space="0" w:color="auto"/>
                    </w:tcBorders>
                    <w:vAlign w:val="center"/>
                  </w:tcPr>
                  <w:p w:rsidR="007B4CFA" w:rsidRDefault="007B4CFA" w:rsidP="00DB008B">
                    <w:pPr>
                      <w:jc w:val="right"/>
                      <w:rPr>
                        <w:szCs w:val="21"/>
                      </w:rPr>
                    </w:pPr>
                    <w:r>
                      <w:t>13,176,358</w:t>
                    </w:r>
                  </w:p>
                </w:tc>
                <w:tc>
                  <w:tcPr>
                    <w:tcW w:w="267" w:type="pct"/>
                    <w:tcBorders>
                      <w:top w:val="single" w:sz="4" w:space="0" w:color="auto"/>
                      <w:left w:val="single" w:sz="4" w:space="0" w:color="auto"/>
                      <w:bottom w:val="single" w:sz="4" w:space="0" w:color="auto"/>
                      <w:right w:val="single" w:sz="4" w:space="0" w:color="auto"/>
                    </w:tcBorders>
                    <w:vAlign w:val="center"/>
                  </w:tcPr>
                  <w:p w:rsidR="007B4CFA" w:rsidRDefault="007B4CFA" w:rsidP="00DB008B">
                    <w:pPr>
                      <w:jc w:val="right"/>
                      <w:rPr>
                        <w:szCs w:val="21"/>
                      </w:rPr>
                    </w:pPr>
                    <w:r>
                      <w:t>3.81</w:t>
                    </w:r>
                  </w:p>
                </w:tc>
                <w:tc>
                  <w:tcPr>
                    <w:tcW w:w="561" w:type="pct"/>
                    <w:tcBorders>
                      <w:top w:val="single" w:sz="4" w:space="0" w:color="auto"/>
                      <w:left w:val="single" w:sz="4" w:space="0" w:color="auto"/>
                      <w:bottom w:val="single" w:sz="4" w:space="0" w:color="auto"/>
                      <w:right w:val="single" w:sz="4" w:space="0" w:color="auto"/>
                    </w:tcBorders>
                    <w:vAlign w:val="center"/>
                  </w:tcPr>
                  <w:p w:rsidR="007B4CFA" w:rsidRDefault="007B4CFA" w:rsidP="00DB008B">
                    <w:pPr>
                      <w:jc w:val="right"/>
                      <w:rPr>
                        <w:szCs w:val="21"/>
                      </w:rPr>
                    </w:pPr>
                    <w:r>
                      <w:t>332,626,175</w:t>
                    </w:r>
                  </w:p>
                </w:tc>
                <w:tc>
                  <w:tcPr>
                    <w:tcW w:w="561" w:type="pct"/>
                    <w:tcBorders>
                      <w:top w:val="single" w:sz="4" w:space="0" w:color="auto"/>
                      <w:left w:val="single" w:sz="4" w:space="0" w:color="auto"/>
                      <w:bottom w:val="single" w:sz="4" w:space="0" w:color="auto"/>
                      <w:right w:val="single" w:sz="4" w:space="0" w:color="auto"/>
                    </w:tcBorders>
                    <w:vAlign w:val="center"/>
                  </w:tcPr>
                  <w:p w:rsidR="007B4CFA" w:rsidRDefault="007B4CFA" w:rsidP="00DB008B">
                    <w:pPr>
                      <w:jc w:val="right"/>
                      <w:rPr>
                        <w:szCs w:val="21"/>
                      </w:rPr>
                    </w:pPr>
                    <w:r>
                      <w:t>270,331,382</w:t>
                    </w:r>
                  </w:p>
                </w:tc>
                <w:tc>
                  <w:tcPr>
                    <w:tcW w:w="194" w:type="pct"/>
                    <w:tcBorders>
                      <w:top w:val="single" w:sz="4" w:space="0" w:color="auto"/>
                      <w:left w:val="single" w:sz="4" w:space="0" w:color="auto"/>
                      <w:bottom w:val="single" w:sz="4" w:space="0" w:color="auto"/>
                      <w:right w:val="single" w:sz="4" w:space="0" w:color="auto"/>
                    </w:tcBorders>
                    <w:vAlign w:val="center"/>
                  </w:tcPr>
                  <w:p w:rsidR="007B4CFA" w:rsidRDefault="007B4CFA" w:rsidP="00DB008B">
                    <w:pPr>
                      <w:jc w:val="right"/>
                      <w:rPr>
                        <w:szCs w:val="21"/>
                      </w:rPr>
                    </w:pPr>
                    <w:r>
                      <w:t>4</w:t>
                    </w:r>
                  </w:p>
                </w:tc>
                <w:tc>
                  <w:tcPr>
                    <w:tcW w:w="487" w:type="pct"/>
                    <w:tcBorders>
                      <w:top w:val="single" w:sz="4" w:space="0" w:color="auto"/>
                      <w:left w:val="single" w:sz="4" w:space="0" w:color="auto"/>
                      <w:bottom w:val="single" w:sz="4" w:space="0" w:color="auto"/>
                      <w:right w:val="single" w:sz="4" w:space="0" w:color="auto"/>
                    </w:tcBorders>
                    <w:vAlign w:val="center"/>
                  </w:tcPr>
                  <w:p w:rsidR="007B4CFA" w:rsidRDefault="007B4CFA" w:rsidP="00DB008B">
                    <w:pPr>
                      <w:jc w:val="right"/>
                      <w:rPr>
                        <w:szCs w:val="21"/>
                      </w:rPr>
                    </w:pPr>
                    <w:r>
                      <w:t>14,904,150</w:t>
                    </w:r>
                  </w:p>
                </w:tc>
                <w:tc>
                  <w:tcPr>
                    <w:tcW w:w="226" w:type="pct"/>
                    <w:tcBorders>
                      <w:top w:val="single" w:sz="4" w:space="0" w:color="auto"/>
                      <w:left w:val="single" w:sz="4" w:space="0" w:color="auto"/>
                      <w:bottom w:val="single" w:sz="4" w:space="0" w:color="auto"/>
                      <w:right w:val="single" w:sz="4" w:space="0" w:color="auto"/>
                    </w:tcBorders>
                    <w:vAlign w:val="center"/>
                  </w:tcPr>
                  <w:p w:rsidR="007B4CFA" w:rsidRDefault="007B4CFA" w:rsidP="00DB008B">
                    <w:pPr>
                      <w:jc w:val="right"/>
                      <w:rPr>
                        <w:szCs w:val="21"/>
                      </w:rPr>
                    </w:pPr>
                    <w:r>
                      <w:t>5.51</w:t>
                    </w:r>
                  </w:p>
                </w:tc>
                <w:tc>
                  <w:tcPr>
                    <w:tcW w:w="561" w:type="pct"/>
                    <w:tcBorders>
                      <w:top w:val="single" w:sz="4" w:space="0" w:color="auto"/>
                      <w:left w:val="single" w:sz="4" w:space="0" w:color="auto"/>
                      <w:bottom w:val="single" w:sz="4" w:space="0" w:color="auto"/>
                      <w:right w:val="single" w:sz="4" w:space="0" w:color="auto"/>
                    </w:tcBorders>
                  </w:tcPr>
                  <w:p w:rsidR="007B4CFA" w:rsidRDefault="007B4CFA" w:rsidP="00DB008B">
                    <w:pPr>
                      <w:jc w:val="right"/>
                      <w:rPr>
                        <w:szCs w:val="21"/>
                      </w:rPr>
                    </w:pPr>
                    <w:r>
                      <w:t>255,427,232</w:t>
                    </w:r>
                  </w:p>
                </w:tc>
              </w:tr>
            </w:sdtContent>
          </w:sdt>
          <w:tr w:rsidR="007B4CFA" w:rsidTr="004D5142">
            <w:trPr>
              <w:cantSplit/>
            </w:trPr>
            <w:sdt>
              <w:sdtPr>
                <w:tag w:val="_PLD_d1cfb21816ea4c1f9d462c84b34cd380"/>
                <w:id w:val="-709648101"/>
                <w:lock w:val="sdtLocked"/>
              </w:sdtPr>
              <w:sdtContent>
                <w:tc>
                  <w:tcPr>
                    <w:tcW w:w="506" w:type="pct"/>
                    <w:tcBorders>
                      <w:top w:val="single" w:sz="4" w:space="0" w:color="auto"/>
                      <w:left w:val="single" w:sz="4" w:space="0" w:color="auto"/>
                      <w:bottom w:val="single" w:sz="4" w:space="0" w:color="auto"/>
                      <w:right w:val="single" w:sz="4" w:space="0" w:color="auto"/>
                    </w:tcBorders>
                    <w:vAlign w:val="center"/>
                  </w:tcPr>
                  <w:p w:rsidR="007B4CFA" w:rsidRDefault="007B4CFA" w:rsidP="00DB008B">
                    <w:pPr>
                      <w:autoSpaceDE w:val="0"/>
                      <w:autoSpaceDN w:val="0"/>
                      <w:adjustRightInd w:val="0"/>
                      <w:jc w:val="center"/>
                      <w:rPr>
                        <w:szCs w:val="21"/>
                      </w:rPr>
                    </w:pPr>
                    <w:r>
                      <w:rPr>
                        <w:rFonts w:hint="eastAsia"/>
                        <w:szCs w:val="21"/>
                      </w:rPr>
                      <w:t>合计</w:t>
                    </w:r>
                  </w:p>
                </w:tc>
              </w:sdtContent>
            </w:sdt>
            <w:tc>
              <w:tcPr>
                <w:tcW w:w="637" w:type="pct"/>
                <w:tcBorders>
                  <w:top w:val="single" w:sz="4" w:space="0" w:color="auto"/>
                  <w:left w:val="single" w:sz="4" w:space="0" w:color="auto"/>
                  <w:bottom w:val="single" w:sz="4" w:space="0" w:color="auto"/>
                  <w:right w:val="single" w:sz="4" w:space="0" w:color="auto"/>
                </w:tcBorders>
              </w:tcPr>
              <w:p w:rsidR="007B4CFA" w:rsidRDefault="000D47EE" w:rsidP="00DB008B">
                <w:pPr>
                  <w:jc w:val="right"/>
                  <w:rPr>
                    <w:szCs w:val="21"/>
                  </w:rPr>
                </w:pPr>
                <w:r>
                  <w:rPr>
                    <w:szCs w:val="21"/>
                  </w:rPr>
                  <w:t>8,207,966,319</w:t>
                </w:r>
              </w:p>
            </w:tc>
            <w:tc>
              <w:tcPr>
                <w:tcW w:w="303" w:type="pct"/>
                <w:tcBorders>
                  <w:top w:val="single" w:sz="4" w:space="0" w:color="auto"/>
                  <w:left w:val="single" w:sz="4" w:space="0" w:color="auto"/>
                  <w:bottom w:val="single" w:sz="4" w:space="0" w:color="auto"/>
                  <w:right w:val="single" w:sz="4" w:space="0" w:color="auto"/>
                </w:tcBorders>
              </w:tcPr>
              <w:p w:rsidR="007B4CFA" w:rsidRDefault="007B4CFA" w:rsidP="00DB008B">
                <w:pPr>
                  <w:jc w:val="center"/>
                  <w:rPr>
                    <w:szCs w:val="21"/>
                  </w:rPr>
                </w:pPr>
                <w:r>
                  <w:rPr>
                    <w:rFonts w:hint="eastAsia"/>
                    <w:szCs w:val="21"/>
                  </w:rPr>
                  <w:t>/</w:t>
                </w:r>
              </w:p>
            </w:tc>
            <w:tc>
              <w:tcPr>
                <w:tcW w:w="696" w:type="pct"/>
                <w:tcBorders>
                  <w:top w:val="single" w:sz="4" w:space="0" w:color="auto"/>
                  <w:left w:val="single" w:sz="4" w:space="0" w:color="auto"/>
                  <w:bottom w:val="single" w:sz="4" w:space="0" w:color="auto"/>
                  <w:right w:val="single" w:sz="4" w:space="0" w:color="auto"/>
                </w:tcBorders>
              </w:tcPr>
              <w:p w:rsidR="007B4CFA" w:rsidRDefault="005242F6" w:rsidP="00DB008B">
                <w:pPr>
                  <w:jc w:val="right"/>
                  <w:rPr>
                    <w:szCs w:val="21"/>
                  </w:rPr>
                </w:pPr>
                <w:r>
                  <w:rPr>
                    <w:szCs w:val="21"/>
                  </w:rPr>
                  <w:t>211,450,084</w:t>
                </w:r>
              </w:p>
            </w:tc>
            <w:tc>
              <w:tcPr>
                <w:tcW w:w="267" w:type="pct"/>
                <w:tcBorders>
                  <w:top w:val="single" w:sz="4" w:space="0" w:color="auto"/>
                  <w:left w:val="single" w:sz="4" w:space="0" w:color="auto"/>
                  <w:bottom w:val="single" w:sz="4" w:space="0" w:color="auto"/>
                  <w:right w:val="single" w:sz="4" w:space="0" w:color="auto"/>
                </w:tcBorders>
              </w:tcPr>
              <w:p w:rsidR="007B4CFA" w:rsidRDefault="007B4CFA" w:rsidP="00DB008B">
                <w:pPr>
                  <w:jc w:val="center"/>
                  <w:rPr>
                    <w:szCs w:val="21"/>
                  </w:rPr>
                </w:pPr>
                <w:r>
                  <w:rPr>
                    <w:rFonts w:hint="eastAsia"/>
                    <w:szCs w:val="21"/>
                  </w:rPr>
                  <w:t>/</w:t>
                </w:r>
              </w:p>
            </w:tc>
            <w:tc>
              <w:tcPr>
                <w:tcW w:w="561" w:type="pct"/>
                <w:tcBorders>
                  <w:top w:val="single" w:sz="4" w:space="0" w:color="auto"/>
                  <w:left w:val="single" w:sz="4" w:space="0" w:color="auto"/>
                  <w:bottom w:val="single" w:sz="4" w:space="0" w:color="auto"/>
                  <w:right w:val="single" w:sz="4" w:space="0" w:color="auto"/>
                </w:tcBorders>
              </w:tcPr>
              <w:p w:rsidR="007B4CFA" w:rsidRDefault="005242F6" w:rsidP="00DB008B">
                <w:pPr>
                  <w:jc w:val="right"/>
                  <w:rPr>
                    <w:szCs w:val="21"/>
                  </w:rPr>
                </w:pPr>
                <w:r>
                  <w:rPr>
                    <w:szCs w:val="21"/>
                  </w:rPr>
                  <w:t>7,996,516,235</w:t>
                </w:r>
              </w:p>
            </w:tc>
            <w:tc>
              <w:tcPr>
                <w:tcW w:w="561" w:type="pct"/>
                <w:tcBorders>
                  <w:top w:val="single" w:sz="4" w:space="0" w:color="auto"/>
                  <w:left w:val="single" w:sz="4" w:space="0" w:color="auto"/>
                  <w:bottom w:val="single" w:sz="4" w:space="0" w:color="auto"/>
                  <w:right w:val="single" w:sz="4" w:space="0" w:color="auto"/>
                </w:tcBorders>
              </w:tcPr>
              <w:p w:rsidR="007B4CFA" w:rsidRDefault="007B4CFA" w:rsidP="00DB008B">
                <w:pPr>
                  <w:jc w:val="right"/>
                  <w:rPr>
                    <w:szCs w:val="21"/>
                  </w:rPr>
                </w:pPr>
                <w:r>
                  <w:rPr>
                    <w:szCs w:val="21"/>
                  </w:rPr>
                  <w:t>6,579,685,536</w:t>
                </w:r>
              </w:p>
            </w:tc>
            <w:tc>
              <w:tcPr>
                <w:tcW w:w="194" w:type="pct"/>
                <w:tcBorders>
                  <w:top w:val="single" w:sz="4" w:space="0" w:color="auto"/>
                  <w:left w:val="single" w:sz="4" w:space="0" w:color="auto"/>
                  <w:bottom w:val="single" w:sz="4" w:space="0" w:color="auto"/>
                  <w:right w:val="single" w:sz="4" w:space="0" w:color="auto"/>
                </w:tcBorders>
              </w:tcPr>
              <w:p w:rsidR="007B4CFA" w:rsidRDefault="007B4CFA" w:rsidP="00DB008B">
                <w:pPr>
                  <w:jc w:val="center"/>
                  <w:rPr>
                    <w:szCs w:val="21"/>
                  </w:rPr>
                </w:pPr>
                <w:r>
                  <w:rPr>
                    <w:rFonts w:hint="eastAsia"/>
                    <w:szCs w:val="21"/>
                  </w:rPr>
                  <w:t>/</w:t>
                </w:r>
              </w:p>
            </w:tc>
            <w:tc>
              <w:tcPr>
                <w:tcW w:w="487" w:type="pct"/>
                <w:tcBorders>
                  <w:top w:val="single" w:sz="4" w:space="0" w:color="auto"/>
                  <w:left w:val="single" w:sz="4" w:space="0" w:color="auto"/>
                  <w:bottom w:val="single" w:sz="4" w:space="0" w:color="auto"/>
                  <w:right w:val="single" w:sz="4" w:space="0" w:color="auto"/>
                </w:tcBorders>
              </w:tcPr>
              <w:p w:rsidR="007B4CFA" w:rsidRDefault="007B4CFA" w:rsidP="00DB008B">
                <w:pPr>
                  <w:jc w:val="right"/>
                  <w:rPr>
                    <w:szCs w:val="21"/>
                  </w:rPr>
                </w:pPr>
                <w:r>
                  <w:rPr>
                    <w:szCs w:val="21"/>
                  </w:rPr>
                  <w:t>381,663,083</w:t>
                </w:r>
              </w:p>
            </w:tc>
            <w:tc>
              <w:tcPr>
                <w:tcW w:w="226" w:type="pct"/>
                <w:tcBorders>
                  <w:top w:val="single" w:sz="4" w:space="0" w:color="auto"/>
                  <w:left w:val="single" w:sz="4" w:space="0" w:color="auto"/>
                  <w:bottom w:val="single" w:sz="4" w:space="0" w:color="auto"/>
                  <w:right w:val="single" w:sz="4" w:space="0" w:color="auto"/>
                </w:tcBorders>
              </w:tcPr>
              <w:p w:rsidR="007B4CFA" w:rsidRDefault="007B4CFA" w:rsidP="00DB008B">
                <w:pPr>
                  <w:jc w:val="center"/>
                  <w:rPr>
                    <w:szCs w:val="21"/>
                  </w:rPr>
                </w:pPr>
                <w:r>
                  <w:rPr>
                    <w:rFonts w:hint="eastAsia"/>
                    <w:szCs w:val="21"/>
                  </w:rPr>
                  <w:t>/</w:t>
                </w:r>
              </w:p>
            </w:tc>
            <w:tc>
              <w:tcPr>
                <w:tcW w:w="561" w:type="pct"/>
                <w:tcBorders>
                  <w:top w:val="single" w:sz="4" w:space="0" w:color="auto"/>
                  <w:left w:val="single" w:sz="4" w:space="0" w:color="auto"/>
                  <w:bottom w:val="single" w:sz="4" w:space="0" w:color="auto"/>
                  <w:right w:val="single" w:sz="4" w:space="0" w:color="auto"/>
                </w:tcBorders>
              </w:tcPr>
              <w:p w:rsidR="007B4CFA" w:rsidRDefault="007B4CFA" w:rsidP="00DB008B">
                <w:pPr>
                  <w:jc w:val="right"/>
                  <w:rPr>
                    <w:szCs w:val="21"/>
                  </w:rPr>
                </w:pPr>
                <w:r>
                  <w:rPr>
                    <w:szCs w:val="21"/>
                  </w:rPr>
                  <w:t>6,198,022,453</w:t>
                </w:r>
              </w:p>
            </w:tc>
          </w:tr>
        </w:tbl>
        <w:p w:rsidR="00226069" w:rsidRDefault="00226069">
          <w:pPr>
            <w:sectPr w:rsidR="00226069" w:rsidSect="008D723D">
              <w:pgSz w:w="16838" w:h="11906" w:orient="landscape"/>
              <w:pgMar w:top="1276" w:right="1440" w:bottom="1797" w:left="1525" w:header="856" w:footer="992" w:gutter="0"/>
              <w:cols w:space="425"/>
              <w:docGrid w:type="lines" w:linePitch="312"/>
            </w:sectPr>
          </w:pPr>
        </w:p>
        <w:p w:rsidR="00806678" w:rsidRDefault="00F80B6C"/>
      </w:sdtContent>
    </w:sdt>
    <w:bookmarkEnd w:id="159" w:displacedByCustomXml="prev"/>
    <w:sdt>
      <w:sdtPr>
        <w:rPr>
          <w:rFonts w:hint="eastAsia"/>
          <w:szCs w:val="21"/>
        </w:rPr>
        <w:alias w:val="模块:按单项计提坏账准备"/>
        <w:tag w:val="_SEC_ef7cfc3c8ebf4f0dbd12a60dde63ca04"/>
        <w:id w:val="-1687350779"/>
        <w:lock w:val="sdtLocked"/>
        <w:placeholder>
          <w:docPart w:val="GBC22222222222222222222222222222"/>
        </w:placeholder>
      </w:sdtPr>
      <w:sdtEndPr>
        <w:rPr>
          <w:rFonts w:hint="default"/>
          <w:szCs w:val="24"/>
        </w:rPr>
      </w:sdtEndPr>
      <w:sdtContent>
        <w:bookmarkStart w:id="160" w:name="_Hlk533606785" w:displacedByCustomXml="prev"/>
        <w:p w:rsidR="00806678" w:rsidRDefault="00B16377">
          <w:pPr>
            <w:rPr>
              <w:szCs w:val="21"/>
            </w:rPr>
          </w:pPr>
          <w:r>
            <w:rPr>
              <w:rFonts w:hint="eastAsia"/>
              <w:szCs w:val="21"/>
            </w:rPr>
            <w:t>按单项计提坏账准备：</w:t>
          </w:r>
        </w:p>
        <w:sdt>
          <w:sdtPr>
            <w:rPr>
              <w:rFonts w:hint="eastAsia"/>
            </w:rPr>
            <w:alias w:val="是否适用：按单项计提坏账准备的应收账款详细情况[双击切换]"/>
            <w:tag w:val="_GBC_1add32cead514597854ff8ba7f5bf59e"/>
            <w:id w:val="-1561086170"/>
            <w:lock w:val="sdtLocked"/>
            <w:placeholder>
              <w:docPart w:val="GBC22222222222222222222222222222"/>
            </w:placeholder>
          </w:sdtPr>
          <w:sdtContent>
            <w:p w:rsidR="00B0531C" w:rsidRDefault="00F80B6C" w:rsidP="00B0531C">
              <w:pPr>
                <w:rPr>
                  <w:szCs w:val="21"/>
                </w:rPr>
              </w:pPr>
              <w:r>
                <w:fldChar w:fldCharType="begin"/>
              </w:r>
              <w:r w:rsidR="00B0531C">
                <w:instrText xml:space="preserve"> MACROBUTTON  SnrToggleCheckbox □适用 </w:instrText>
              </w:r>
              <w:r>
                <w:fldChar w:fldCharType="end"/>
              </w:r>
              <w:r>
                <w:fldChar w:fldCharType="begin"/>
              </w:r>
              <w:r w:rsidR="00B0531C">
                <w:instrText xml:space="preserve"> MACROBUTTON  SnrToggleCheckbox √不适用 </w:instrText>
              </w:r>
              <w:r>
                <w:fldChar w:fldCharType="end"/>
              </w:r>
            </w:p>
          </w:sdtContent>
        </w:sdt>
        <w:p w:rsidR="00806678" w:rsidRDefault="00F80B6C"/>
        <w:bookmarkEnd w:id="160" w:displacedByCustomXml="next"/>
      </w:sdtContent>
    </w:sdt>
    <w:sdt>
      <w:sdtPr>
        <w:rPr>
          <w:rFonts w:hint="eastAsia"/>
          <w:szCs w:val="21"/>
        </w:rPr>
        <w:tag w:val="_PLD_21b31dda4e9f44bd901ccb9e126e1392"/>
        <w:id w:val="-1946986156"/>
        <w:lock w:val="sdtLocked"/>
        <w:placeholder>
          <w:docPart w:val="GBC22222222222222222222222222222"/>
        </w:placeholder>
      </w:sdtPr>
      <w:sdtContent>
        <w:p w:rsidR="00806678" w:rsidRDefault="00B16377">
          <w:pPr>
            <w:rPr>
              <w:szCs w:val="21"/>
            </w:rPr>
          </w:pPr>
          <w:r>
            <w:rPr>
              <w:rFonts w:hint="eastAsia"/>
              <w:szCs w:val="21"/>
            </w:rPr>
            <w:t>按组合计提坏账准备：</w:t>
          </w:r>
        </w:p>
      </w:sdtContent>
    </w:sdt>
    <w:sdt>
      <w:sdtPr>
        <w:rPr>
          <w:rFonts w:hint="eastAsia"/>
        </w:rPr>
        <w:alias w:val="是否适用：按组合计提坏账准备的应收账款详细情况[双击切换]"/>
        <w:tag w:val="_GBC_600909a2591c4c1187685fb640783e4a"/>
        <w:id w:val="1848909585"/>
        <w:lock w:val="sdtContentLocked"/>
        <w:placeholder>
          <w:docPart w:val="GBC22222222222222222222222222222"/>
        </w:placeholder>
      </w:sdtPr>
      <w:sdtContent>
        <w:p w:rsidR="00806678" w:rsidRDefault="00F80B6C">
          <w:r>
            <w:fldChar w:fldCharType="begin"/>
          </w:r>
          <w:r w:rsidR="00B0531C">
            <w:instrText xml:space="preserve"> MACROBUTTON  SnrToggleCheckbox √适用 </w:instrText>
          </w:r>
          <w:r>
            <w:fldChar w:fldCharType="end"/>
          </w:r>
          <w:r>
            <w:fldChar w:fldCharType="begin"/>
          </w:r>
          <w:r w:rsidR="00B0531C">
            <w:instrText xml:space="preserve"> MACROBUTTON  SnrToggleCheckbox □不适用 </w:instrText>
          </w:r>
          <w:r>
            <w:fldChar w:fldCharType="end"/>
          </w:r>
        </w:p>
      </w:sdtContent>
    </w:sdt>
    <w:bookmarkStart w:id="161" w:name="_Hlk533607573" w:displacedByCustomXml="next"/>
    <w:sdt>
      <w:sdtPr>
        <w:rPr>
          <w:rFonts w:hint="eastAsia"/>
          <w:szCs w:val="21"/>
        </w:rPr>
        <w:alias w:val="模块:按组合计提坏账准备"/>
        <w:tag w:val="_SEC_04cea84e35a1467eb05df185ad69482a@c09e200284fc8dbf"/>
        <w:id w:val="73171432"/>
        <w:lock w:val="sdtLocked"/>
        <w:placeholder>
          <w:docPart w:val="GBC22222222222222222222222222222"/>
        </w:placeholder>
      </w:sdtPr>
      <w:sdtEndPr>
        <w:rPr>
          <w:rFonts w:hint="default"/>
          <w:szCs w:val="24"/>
        </w:rPr>
      </w:sdtEndPr>
      <w:sdtContent>
        <w:p w:rsidR="00806678" w:rsidRDefault="00B16377">
          <w:pPr>
            <w:rPr>
              <w:szCs w:val="21"/>
            </w:rPr>
          </w:pPr>
          <w:r>
            <w:rPr>
              <w:rFonts w:hint="eastAsia"/>
              <w:szCs w:val="21"/>
            </w:rPr>
            <w:t>组合计提项目：</w:t>
          </w:r>
          <w:sdt>
            <w:sdtPr>
              <w:rPr>
                <w:rFonts w:hint="eastAsia"/>
                <w:szCs w:val="21"/>
              </w:rPr>
              <w:alias w:val="按组合计提坏账准备的应收账款明细-组合名称"/>
              <w:tag w:val="_GBC_a99af83acd7e492a99d5eed2536b8adb"/>
              <w:id w:val="-1024634188"/>
              <w:lock w:val="sdtLocked"/>
              <w:placeholder>
                <w:docPart w:val="GBC22222222222222222222222222222"/>
              </w:placeholder>
              <w:comboBox>
                <w:listItem w:displayText="组合一" w:value="组合一"/>
                <w:listItem w:displayText="组合二" w:value="组合二"/>
              </w:comboBox>
            </w:sdtPr>
            <w:sdtContent>
              <w:r w:rsidR="008D723D">
                <w:rPr>
                  <w:rFonts w:hint="eastAsia"/>
                  <w:szCs w:val="21"/>
                </w:rPr>
                <w:t>组合一</w:t>
              </w:r>
            </w:sdtContent>
          </w:sdt>
        </w:p>
        <w:p w:rsidR="00806678" w:rsidRDefault="00B16377">
          <w:pPr>
            <w:autoSpaceDE w:val="0"/>
            <w:autoSpaceDN w:val="0"/>
            <w:adjustRightInd w:val="0"/>
            <w:ind w:left="5880" w:right="105"/>
            <w:jc w:val="right"/>
            <w:rPr>
              <w:szCs w:val="21"/>
            </w:rPr>
          </w:pPr>
          <w:r>
            <w:rPr>
              <w:rFonts w:hint="eastAsia"/>
              <w:szCs w:val="21"/>
            </w:rPr>
            <w:t>单位：</w:t>
          </w:r>
          <w:sdt>
            <w:sdtPr>
              <w:rPr>
                <w:rFonts w:hint="eastAsia"/>
                <w:szCs w:val="21"/>
              </w:rPr>
              <w:alias w:val="单位：按组合计提坏账准备的应收账款详细情况"/>
              <w:tag w:val="_GBC_048426f3fbc6488d9ff13660d47dce88"/>
              <w:id w:val="7394165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按组合计提坏账准备的应收账款详细情况"/>
              <w:tag w:val="_GBC_2a89eacddb4842daa40a2883ae740824"/>
              <w:id w:val="-125744457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96"/>
            <w:gridCol w:w="2309"/>
            <w:gridCol w:w="2351"/>
            <w:gridCol w:w="2293"/>
          </w:tblGrid>
          <w:tr w:rsidR="00806678" w:rsidTr="00175145">
            <w:sdt>
              <w:sdtPr>
                <w:tag w:val="_PLD_76fac25a376f4d4b884d95c8c8b4cdbd"/>
                <w:id w:val="-1032879877"/>
                <w:lock w:val="sdtLocked"/>
              </w:sdtPr>
              <w:sdtContent>
                <w:tc>
                  <w:tcPr>
                    <w:tcW w:w="1158" w:type="pct"/>
                    <w:vMerge w:val="restart"/>
                    <w:vAlign w:val="center"/>
                  </w:tcPr>
                  <w:p w:rsidR="00806678" w:rsidRDefault="00B16377">
                    <w:pPr>
                      <w:jc w:val="center"/>
                      <w:rPr>
                        <w:szCs w:val="21"/>
                      </w:rPr>
                    </w:pPr>
                    <w:r>
                      <w:rPr>
                        <w:rFonts w:hint="eastAsia"/>
                        <w:szCs w:val="21"/>
                      </w:rPr>
                      <w:t>名称</w:t>
                    </w:r>
                  </w:p>
                </w:tc>
              </w:sdtContent>
            </w:sdt>
            <w:sdt>
              <w:sdtPr>
                <w:tag w:val="_PLD_2ea73da2ba22410090605fad4228c06a"/>
                <w:id w:val="2037779865"/>
                <w:lock w:val="sdtLocked"/>
              </w:sdtPr>
              <w:sdtContent>
                <w:tc>
                  <w:tcPr>
                    <w:tcW w:w="3842" w:type="pct"/>
                    <w:gridSpan w:val="3"/>
                    <w:vAlign w:val="center"/>
                  </w:tcPr>
                  <w:p w:rsidR="00806678" w:rsidRDefault="00B16377">
                    <w:pPr>
                      <w:jc w:val="center"/>
                      <w:rPr>
                        <w:szCs w:val="21"/>
                      </w:rPr>
                    </w:pPr>
                    <w:r>
                      <w:rPr>
                        <w:rFonts w:hint="eastAsia"/>
                        <w:szCs w:val="21"/>
                      </w:rPr>
                      <w:t>期末余额</w:t>
                    </w:r>
                  </w:p>
                </w:tc>
              </w:sdtContent>
            </w:sdt>
          </w:tr>
          <w:tr w:rsidR="00806678" w:rsidTr="00175145">
            <w:tc>
              <w:tcPr>
                <w:tcW w:w="1158" w:type="pct"/>
                <w:vMerge/>
              </w:tcPr>
              <w:p w:rsidR="00806678" w:rsidRDefault="00806678">
                <w:pPr>
                  <w:jc w:val="center"/>
                  <w:rPr>
                    <w:szCs w:val="21"/>
                  </w:rPr>
                </w:pPr>
              </w:p>
            </w:tc>
            <w:sdt>
              <w:sdtPr>
                <w:tag w:val="_PLD_841eb33e3b60464dbe6b3cefac602503"/>
                <w:id w:val="-431206275"/>
                <w:lock w:val="sdtLocked"/>
              </w:sdtPr>
              <w:sdtContent>
                <w:tc>
                  <w:tcPr>
                    <w:tcW w:w="1276" w:type="pct"/>
                    <w:vAlign w:val="center"/>
                  </w:tcPr>
                  <w:p w:rsidR="00806678" w:rsidRDefault="00B16377">
                    <w:pPr>
                      <w:jc w:val="center"/>
                      <w:rPr>
                        <w:szCs w:val="21"/>
                      </w:rPr>
                    </w:pPr>
                    <w:r>
                      <w:rPr>
                        <w:rFonts w:hint="eastAsia"/>
                        <w:szCs w:val="21"/>
                      </w:rPr>
                      <w:t>应收账款</w:t>
                    </w:r>
                  </w:p>
                </w:tc>
              </w:sdtContent>
            </w:sdt>
            <w:sdt>
              <w:sdtPr>
                <w:tag w:val="_PLD_b28da65f0aac478c80ab20a817d350ac"/>
                <w:id w:val="486593832"/>
                <w:lock w:val="sdtLocked"/>
              </w:sdtPr>
              <w:sdtContent>
                <w:tc>
                  <w:tcPr>
                    <w:tcW w:w="1299" w:type="pct"/>
                    <w:vAlign w:val="center"/>
                  </w:tcPr>
                  <w:p w:rsidR="00806678" w:rsidRDefault="00B16377">
                    <w:pPr>
                      <w:jc w:val="center"/>
                      <w:rPr>
                        <w:szCs w:val="21"/>
                      </w:rPr>
                    </w:pPr>
                    <w:r>
                      <w:rPr>
                        <w:rFonts w:hint="eastAsia"/>
                        <w:szCs w:val="21"/>
                      </w:rPr>
                      <w:t>坏账准备</w:t>
                    </w:r>
                  </w:p>
                </w:tc>
              </w:sdtContent>
            </w:sdt>
            <w:sdt>
              <w:sdtPr>
                <w:tag w:val="_PLD_98321f537bf94701b17705eae6c543e2"/>
                <w:id w:val="-880784095"/>
                <w:lock w:val="sdtLocked"/>
              </w:sdtPr>
              <w:sdtContent>
                <w:tc>
                  <w:tcPr>
                    <w:tcW w:w="1267" w:type="pct"/>
                    <w:vAlign w:val="center"/>
                  </w:tcPr>
                  <w:p w:rsidR="00806678" w:rsidRDefault="00B16377">
                    <w:pPr>
                      <w:jc w:val="center"/>
                      <w:rPr>
                        <w:szCs w:val="21"/>
                      </w:rPr>
                    </w:pPr>
                    <w:r>
                      <w:rPr>
                        <w:szCs w:val="21"/>
                      </w:rPr>
                      <w:t>计提比例</w:t>
                    </w:r>
                    <w:r>
                      <w:rPr>
                        <w:rFonts w:hint="eastAsia"/>
                        <w:szCs w:val="21"/>
                      </w:rPr>
                      <w:t>（%）</w:t>
                    </w:r>
                  </w:p>
                </w:tc>
              </w:sdtContent>
            </w:sdt>
          </w:tr>
          <w:sdt>
            <w:sdtPr>
              <w:rPr>
                <w:szCs w:val="21"/>
              </w:rPr>
              <w:alias w:val="按组合计提坏账准备的应收账款详细名称明细"/>
              <w:tag w:val="_TUP_5014630afd484c5d916b4275ea3f536a"/>
              <w:id w:val="-1344314670"/>
              <w:lock w:val="sdtLocked"/>
            </w:sdtPr>
            <w:sdtContent>
              <w:tr w:rsidR="00806678" w:rsidTr="00175145">
                <w:tc>
                  <w:tcPr>
                    <w:tcW w:w="1158" w:type="pct"/>
                  </w:tcPr>
                  <w:p w:rsidR="00806678" w:rsidRDefault="008D723D">
                    <w:pPr>
                      <w:rPr>
                        <w:szCs w:val="21"/>
                      </w:rPr>
                    </w:pPr>
                    <w:r>
                      <w:rPr>
                        <w:rFonts w:hint="eastAsia"/>
                        <w:szCs w:val="21"/>
                      </w:rPr>
                      <w:t>组合一</w:t>
                    </w:r>
                  </w:p>
                </w:tc>
                <w:tc>
                  <w:tcPr>
                    <w:tcW w:w="1276" w:type="pct"/>
                  </w:tcPr>
                  <w:p w:rsidR="00806678" w:rsidRDefault="008D723D">
                    <w:pPr>
                      <w:jc w:val="right"/>
                      <w:rPr>
                        <w:szCs w:val="21"/>
                      </w:rPr>
                    </w:pPr>
                    <w:r w:rsidRPr="008D723D">
                      <w:rPr>
                        <w:szCs w:val="21"/>
                      </w:rPr>
                      <w:t>7,862,163,786</w:t>
                    </w:r>
                  </w:p>
                </w:tc>
                <w:tc>
                  <w:tcPr>
                    <w:tcW w:w="1299" w:type="pct"/>
                  </w:tcPr>
                  <w:p w:rsidR="00806678" w:rsidRDefault="008D723D">
                    <w:pPr>
                      <w:jc w:val="right"/>
                      <w:rPr>
                        <w:szCs w:val="21"/>
                      </w:rPr>
                    </w:pPr>
                    <w:r w:rsidRPr="008D723D">
                      <w:rPr>
                        <w:szCs w:val="21"/>
                      </w:rPr>
                      <w:t>198,273,726</w:t>
                    </w:r>
                  </w:p>
                </w:tc>
                <w:tc>
                  <w:tcPr>
                    <w:tcW w:w="1267" w:type="pct"/>
                  </w:tcPr>
                  <w:p w:rsidR="00806678" w:rsidRDefault="008D723D">
                    <w:pPr>
                      <w:jc w:val="right"/>
                      <w:rPr>
                        <w:szCs w:val="21"/>
                      </w:rPr>
                    </w:pPr>
                    <w:r w:rsidRPr="008D723D">
                      <w:rPr>
                        <w:szCs w:val="21"/>
                      </w:rPr>
                      <w:t>2.52</w:t>
                    </w:r>
                  </w:p>
                </w:tc>
              </w:tr>
            </w:sdtContent>
          </w:sdt>
          <w:tr w:rsidR="008D723D" w:rsidTr="00601D47">
            <w:sdt>
              <w:sdtPr>
                <w:tag w:val="_PLD_569640e16f174d97a13c86bcebc1c4b9"/>
                <w:id w:val="801033243"/>
                <w:lock w:val="sdtLocked"/>
              </w:sdtPr>
              <w:sdtContent>
                <w:tc>
                  <w:tcPr>
                    <w:tcW w:w="1158" w:type="pct"/>
                    <w:vAlign w:val="center"/>
                  </w:tcPr>
                  <w:p w:rsidR="008D723D" w:rsidRDefault="008D723D" w:rsidP="008D723D">
                    <w:pPr>
                      <w:jc w:val="center"/>
                      <w:rPr>
                        <w:szCs w:val="21"/>
                      </w:rPr>
                    </w:pPr>
                    <w:r>
                      <w:rPr>
                        <w:rFonts w:hint="eastAsia"/>
                        <w:szCs w:val="21"/>
                      </w:rPr>
                      <w:t>合计</w:t>
                    </w:r>
                  </w:p>
                </w:tc>
              </w:sdtContent>
            </w:sdt>
            <w:tc>
              <w:tcPr>
                <w:tcW w:w="1276" w:type="pct"/>
                <w:vAlign w:val="center"/>
              </w:tcPr>
              <w:p w:rsidR="008D723D" w:rsidRDefault="008D723D" w:rsidP="008D723D">
                <w:pPr>
                  <w:jc w:val="right"/>
                  <w:rPr>
                    <w:szCs w:val="21"/>
                  </w:rPr>
                </w:pPr>
                <w:r>
                  <w:t>7,862,163,786</w:t>
                </w:r>
              </w:p>
            </w:tc>
            <w:tc>
              <w:tcPr>
                <w:tcW w:w="1299" w:type="pct"/>
                <w:vAlign w:val="center"/>
              </w:tcPr>
              <w:p w:rsidR="008D723D" w:rsidRDefault="008D723D" w:rsidP="008D723D">
                <w:pPr>
                  <w:jc w:val="right"/>
                  <w:rPr>
                    <w:szCs w:val="21"/>
                  </w:rPr>
                </w:pPr>
                <w:r>
                  <w:t>198,273,726</w:t>
                </w:r>
              </w:p>
            </w:tc>
            <w:tc>
              <w:tcPr>
                <w:tcW w:w="1267" w:type="pct"/>
                <w:vAlign w:val="center"/>
              </w:tcPr>
              <w:p w:rsidR="008D723D" w:rsidRDefault="008D723D" w:rsidP="008D723D">
                <w:pPr>
                  <w:jc w:val="right"/>
                  <w:rPr>
                    <w:szCs w:val="21"/>
                  </w:rPr>
                </w:pPr>
                <w:r>
                  <w:t>2.52</w:t>
                </w:r>
              </w:p>
            </w:tc>
          </w:tr>
        </w:tbl>
        <w:p w:rsidR="00806678" w:rsidRDefault="00F80B6C"/>
      </w:sdtContent>
    </w:sdt>
    <w:bookmarkEnd w:id="161" w:displacedByCustomXml="prev"/>
    <w:sdt>
      <w:sdtPr>
        <w:alias w:val="模块:按组合计提坏账准备"/>
        <w:tag w:val="_SEC_04cea84e35a1467eb05df185ad69482a"/>
        <w:id w:val="1654491605"/>
        <w:lock w:val="sdtLocked"/>
      </w:sdtPr>
      <w:sdtContent>
        <w:p w:rsidR="00F67896" w:rsidRDefault="00F67896">
          <w:pPr>
            <w:rPr>
              <w:szCs w:val="21"/>
            </w:rPr>
          </w:pPr>
          <w:r>
            <w:rPr>
              <w:rFonts w:hint="eastAsia"/>
              <w:szCs w:val="21"/>
            </w:rPr>
            <w:t>组合计提项目：</w:t>
          </w:r>
          <w:sdt>
            <w:sdtPr>
              <w:rPr>
                <w:rFonts w:hint="eastAsia"/>
                <w:szCs w:val="21"/>
              </w:rPr>
              <w:alias w:val="按组合计提坏账准备的应收账款明细-组合名称"/>
              <w:tag w:val="_GBC_a99af83acd7e492a99d5eed2536b8adb"/>
              <w:id w:val="539563120"/>
              <w:lock w:val="sdtLocked"/>
              <w:comboBox>
                <w:listItem w:displayText="组合一" w:value="组合一"/>
                <w:listItem w:displayText="组合二" w:value="组合二"/>
              </w:comboBox>
            </w:sdtPr>
            <w:sdtContent>
              <w:r>
                <w:rPr>
                  <w:rFonts w:hint="eastAsia"/>
                  <w:szCs w:val="21"/>
                </w:rPr>
                <w:t>组合二</w:t>
              </w:r>
            </w:sdtContent>
          </w:sdt>
        </w:p>
        <w:p w:rsidR="00F67896" w:rsidRDefault="00F67896">
          <w:pPr>
            <w:autoSpaceDE w:val="0"/>
            <w:autoSpaceDN w:val="0"/>
            <w:adjustRightInd w:val="0"/>
            <w:ind w:left="5880" w:right="105"/>
            <w:jc w:val="right"/>
            <w:rPr>
              <w:szCs w:val="21"/>
            </w:rPr>
          </w:pPr>
          <w:r>
            <w:rPr>
              <w:rFonts w:hint="eastAsia"/>
              <w:szCs w:val="21"/>
            </w:rPr>
            <w:t>单位：</w:t>
          </w:r>
          <w:sdt>
            <w:sdtPr>
              <w:rPr>
                <w:rFonts w:hint="eastAsia"/>
                <w:szCs w:val="21"/>
              </w:rPr>
              <w:alias w:val="单位：按组合计提坏账准备的应收账款详细情况"/>
              <w:tag w:val="_GBC_048426f3fbc6488d9ff13660d47dce88"/>
              <w:id w:val="1206995027"/>
              <w:lock w:val="sdtLocked"/>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按组合计提坏账准备的应收账款详细情况"/>
              <w:tag w:val="_GBC_2a89eacddb4842daa40a2883ae740824"/>
              <w:id w:val="-504441825"/>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96"/>
            <w:gridCol w:w="2309"/>
            <w:gridCol w:w="2351"/>
            <w:gridCol w:w="2293"/>
          </w:tblGrid>
          <w:tr w:rsidR="00F67896" w:rsidTr="00175145">
            <w:sdt>
              <w:sdtPr>
                <w:tag w:val="_PLD_76fac25a376f4d4b884d95c8c8b4cdbd"/>
                <w:id w:val="213552347"/>
                <w:lock w:val="sdtLocked"/>
              </w:sdtPr>
              <w:sdtContent>
                <w:tc>
                  <w:tcPr>
                    <w:tcW w:w="1158" w:type="pct"/>
                    <w:vMerge w:val="restart"/>
                    <w:vAlign w:val="center"/>
                  </w:tcPr>
                  <w:p w:rsidR="00F67896" w:rsidRDefault="00F67896">
                    <w:pPr>
                      <w:jc w:val="center"/>
                      <w:rPr>
                        <w:szCs w:val="21"/>
                      </w:rPr>
                    </w:pPr>
                    <w:r>
                      <w:rPr>
                        <w:rFonts w:hint="eastAsia"/>
                        <w:szCs w:val="21"/>
                      </w:rPr>
                      <w:t>名称</w:t>
                    </w:r>
                  </w:p>
                </w:tc>
              </w:sdtContent>
            </w:sdt>
            <w:sdt>
              <w:sdtPr>
                <w:tag w:val="_PLD_2ea73da2ba22410090605fad4228c06a"/>
                <w:id w:val="502165355"/>
                <w:lock w:val="sdtLocked"/>
              </w:sdtPr>
              <w:sdtContent>
                <w:tc>
                  <w:tcPr>
                    <w:tcW w:w="3842" w:type="pct"/>
                    <w:gridSpan w:val="3"/>
                    <w:vAlign w:val="center"/>
                  </w:tcPr>
                  <w:p w:rsidR="00F67896" w:rsidRDefault="00F67896">
                    <w:pPr>
                      <w:jc w:val="center"/>
                      <w:rPr>
                        <w:szCs w:val="21"/>
                      </w:rPr>
                    </w:pPr>
                    <w:r>
                      <w:rPr>
                        <w:rFonts w:hint="eastAsia"/>
                        <w:szCs w:val="21"/>
                      </w:rPr>
                      <w:t>期末余额</w:t>
                    </w:r>
                  </w:p>
                </w:tc>
              </w:sdtContent>
            </w:sdt>
          </w:tr>
          <w:tr w:rsidR="00F67896" w:rsidTr="00175145">
            <w:tc>
              <w:tcPr>
                <w:tcW w:w="1158" w:type="pct"/>
                <w:vMerge/>
              </w:tcPr>
              <w:p w:rsidR="00F67896" w:rsidRDefault="00F67896">
                <w:pPr>
                  <w:jc w:val="center"/>
                  <w:rPr>
                    <w:szCs w:val="21"/>
                  </w:rPr>
                </w:pPr>
              </w:p>
            </w:tc>
            <w:sdt>
              <w:sdtPr>
                <w:tag w:val="_PLD_841eb33e3b60464dbe6b3cefac602503"/>
                <w:id w:val="-1015694519"/>
                <w:lock w:val="sdtLocked"/>
              </w:sdtPr>
              <w:sdtContent>
                <w:tc>
                  <w:tcPr>
                    <w:tcW w:w="1276" w:type="pct"/>
                    <w:vAlign w:val="center"/>
                  </w:tcPr>
                  <w:p w:rsidR="00F67896" w:rsidRDefault="00F67896">
                    <w:pPr>
                      <w:jc w:val="center"/>
                      <w:rPr>
                        <w:szCs w:val="21"/>
                      </w:rPr>
                    </w:pPr>
                    <w:r>
                      <w:rPr>
                        <w:rFonts w:hint="eastAsia"/>
                        <w:szCs w:val="21"/>
                      </w:rPr>
                      <w:t>应收账款</w:t>
                    </w:r>
                  </w:p>
                </w:tc>
              </w:sdtContent>
            </w:sdt>
            <w:sdt>
              <w:sdtPr>
                <w:tag w:val="_PLD_b28da65f0aac478c80ab20a817d350ac"/>
                <w:id w:val="1084653614"/>
                <w:lock w:val="sdtLocked"/>
              </w:sdtPr>
              <w:sdtContent>
                <w:tc>
                  <w:tcPr>
                    <w:tcW w:w="1299" w:type="pct"/>
                    <w:vAlign w:val="center"/>
                  </w:tcPr>
                  <w:p w:rsidR="00F67896" w:rsidRDefault="00F67896">
                    <w:pPr>
                      <w:jc w:val="center"/>
                      <w:rPr>
                        <w:szCs w:val="21"/>
                      </w:rPr>
                    </w:pPr>
                    <w:r>
                      <w:rPr>
                        <w:rFonts w:hint="eastAsia"/>
                        <w:szCs w:val="21"/>
                      </w:rPr>
                      <w:t>坏账准备</w:t>
                    </w:r>
                  </w:p>
                </w:tc>
              </w:sdtContent>
            </w:sdt>
            <w:sdt>
              <w:sdtPr>
                <w:tag w:val="_PLD_98321f537bf94701b17705eae6c543e2"/>
                <w:id w:val="-1370765251"/>
                <w:lock w:val="sdtLocked"/>
              </w:sdtPr>
              <w:sdtContent>
                <w:tc>
                  <w:tcPr>
                    <w:tcW w:w="1267" w:type="pct"/>
                    <w:vAlign w:val="center"/>
                  </w:tcPr>
                  <w:p w:rsidR="00F67896" w:rsidRDefault="00F67896">
                    <w:pPr>
                      <w:jc w:val="center"/>
                      <w:rPr>
                        <w:szCs w:val="21"/>
                      </w:rPr>
                    </w:pPr>
                    <w:r>
                      <w:rPr>
                        <w:szCs w:val="21"/>
                      </w:rPr>
                      <w:t>计提比例</w:t>
                    </w:r>
                    <w:r>
                      <w:rPr>
                        <w:rFonts w:hint="eastAsia"/>
                        <w:szCs w:val="21"/>
                      </w:rPr>
                      <w:t>（%）</w:t>
                    </w:r>
                  </w:p>
                </w:tc>
              </w:sdtContent>
            </w:sdt>
          </w:tr>
          <w:sdt>
            <w:sdtPr>
              <w:rPr>
                <w:szCs w:val="21"/>
              </w:rPr>
              <w:alias w:val="按组合计提坏账准备的应收账款详细名称明细"/>
              <w:tag w:val="_TUP_5014630afd484c5d916b4275ea3f536a"/>
              <w:id w:val="551044357"/>
              <w:lock w:val="sdtLocked"/>
            </w:sdtPr>
            <w:sdtContent>
              <w:tr w:rsidR="00F67896" w:rsidTr="00175145">
                <w:tc>
                  <w:tcPr>
                    <w:tcW w:w="1158" w:type="pct"/>
                  </w:tcPr>
                  <w:p w:rsidR="00F67896" w:rsidRDefault="00F67896">
                    <w:pPr>
                      <w:rPr>
                        <w:szCs w:val="21"/>
                      </w:rPr>
                    </w:pPr>
                    <w:r>
                      <w:rPr>
                        <w:rFonts w:hint="eastAsia"/>
                        <w:szCs w:val="21"/>
                      </w:rPr>
                      <w:t>组合二</w:t>
                    </w:r>
                  </w:p>
                </w:tc>
                <w:tc>
                  <w:tcPr>
                    <w:tcW w:w="1276" w:type="pct"/>
                  </w:tcPr>
                  <w:p w:rsidR="00F67896" w:rsidRDefault="00F67896">
                    <w:pPr>
                      <w:jc w:val="right"/>
                      <w:rPr>
                        <w:szCs w:val="21"/>
                      </w:rPr>
                    </w:pPr>
                    <w:r w:rsidRPr="00F67896">
                      <w:rPr>
                        <w:szCs w:val="21"/>
                      </w:rPr>
                      <w:t>345,802,533</w:t>
                    </w:r>
                  </w:p>
                </w:tc>
                <w:tc>
                  <w:tcPr>
                    <w:tcW w:w="1299" w:type="pct"/>
                  </w:tcPr>
                  <w:p w:rsidR="00F67896" w:rsidRDefault="00F67896">
                    <w:pPr>
                      <w:jc w:val="right"/>
                      <w:rPr>
                        <w:szCs w:val="21"/>
                      </w:rPr>
                    </w:pPr>
                    <w:r w:rsidRPr="00F67896">
                      <w:rPr>
                        <w:szCs w:val="21"/>
                      </w:rPr>
                      <w:t>13,176,358</w:t>
                    </w:r>
                  </w:p>
                </w:tc>
                <w:tc>
                  <w:tcPr>
                    <w:tcW w:w="1267" w:type="pct"/>
                  </w:tcPr>
                  <w:p w:rsidR="00F67896" w:rsidRDefault="00F67896">
                    <w:pPr>
                      <w:jc w:val="right"/>
                      <w:rPr>
                        <w:szCs w:val="21"/>
                      </w:rPr>
                    </w:pPr>
                    <w:r w:rsidRPr="00F67896">
                      <w:rPr>
                        <w:szCs w:val="21"/>
                      </w:rPr>
                      <w:t>3.81</w:t>
                    </w:r>
                  </w:p>
                </w:tc>
              </w:tr>
            </w:sdtContent>
          </w:sdt>
          <w:tr w:rsidR="00F67896" w:rsidTr="00601D47">
            <w:sdt>
              <w:sdtPr>
                <w:tag w:val="_PLD_569640e16f174d97a13c86bcebc1c4b9"/>
                <w:id w:val="546186156"/>
                <w:lock w:val="sdtLocked"/>
              </w:sdtPr>
              <w:sdtContent>
                <w:tc>
                  <w:tcPr>
                    <w:tcW w:w="1158" w:type="pct"/>
                    <w:vAlign w:val="center"/>
                  </w:tcPr>
                  <w:p w:rsidR="00F67896" w:rsidRDefault="00F67896" w:rsidP="00F67896">
                    <w:pPr>
                      <w:jc w:val="center"/>
                      <w:rPr>
                        <w:szCs w:val="21"/>
                      </w:rPr>
                    </w:pPr>
                    <w:r>
                      <w:rPr>
                        <w:rFonts w:hint="eastAsia"/>
                        <w:szCs w:val="21"/>
                      </w:rPr>
                      <w:t>合计</w:t>
                    </w:r>
                  </w:p>
                </w:tc>
              </w:sdtContent>
            </w:sdt>
            <w:tc>
              <w:tcPr>
                <w:tcW w:w="1276" w:type="pct"/>
                <w:vAlign w:val="center"/>
              </w:tcPr>
              <w:p w:rsidR="00F67896" w:rsidRDefault="00F67896" w:rsidP="00F67896">
                <w:pPr>
                  <w:jc w:val="right"/>
                  <w:rPr>
                    <w:szCs w:val="21"/>
                  </w:rPr>
                </w:pPr>
                <w:r>
                  <w:t>345,802,533</w:t>
                </w:r>
              </w:p>
            </w:tc>
            <w:tc>
              <w:tcPr>
                <w:tcW w:w="1299" w:type="pct"/>
                <w:vAlign w:val="center"/>
              </w:tcPr>
              <w:p w:rsidR="00F67896" w:rsidRDefault="00F67896" w:rsidP="00F67896">
                <w:pPr>
                  <w:jc w:val="right"/>
                  <w:rPr>
                    <w:szCs w:val="21"/>
                  </w:rPr>
                </w:pPr>
                <w:r>
                  <w:t>13,176,358</w:t>
                </w:r>
              </w:p>
            </w:tc>
            <w:tc>
              <w:tcPr>
                <w:tcW w:w="1267" w:type="pct"/>
                <w:vAlign w:val="center"/>
              </w:tcPr>
              <w:p w:rsidR="00F67896" w:rsidRDefault="00F67896" w:rsidP="00F67896">
                <w:pPr>
                  <w:jc w:val="right"/>
                  <w:rPr>
                    <w:szCs w:val="21"/>
                  </w:rPr>
                </w:pPr>
                <w:r>
                  <w:t>3.81</w:t>
                </w:r>
              </w:p>
            </w:tc>
          </w:tr>
        </w:tbl>
        <w:p w:rsidR="00041946" w:rsidRDefault="00041946">
          <w:pPr>
            <w:rPr>
              <w:szCs w:val="21"/>
            </w:rPr>
          </w:pPr>
        </w:p>
        <w:p w:rsidR="00F67896" w:rsidRDefault="00F67896">
          <w:pPr>
            <w:rPr>
              <w:szCs w:val="21"/>
            </w:rPr>
          </w:pPr>
          <w:r>
            <w:rPr>
              <w:rFonts w:hint="eastAsia"/>
              <w:szCs w:val="21"/>
            </w:rPr>
            <w:t>按组合计提坏账的确认标准及说明：</w:t>
          </w:r>
        </w:p>
        <w:sdt>
          <w:sdtPr>
            <w:rPr>
              <w:szCs w:val="21"/>
            </w:rPr>
            <w:alias w:val="是否适用：按组合计提坏账准备的应收账款确认标准[双击切换]"/>
            <w:tag w:val="_GBC_d256dc36994548098f599f5c34cca3f5"/>
            <w:id w:val="-799914030"/>
            <w:lock w:val="sdtLocked"/>
          </w:sdtPr>
          <w:sdtContent>
            <w:p w:rsidR="00F67896" w:rsidRDefault="00F80B6C">
              <w:pPr>
                <w:rPr>
                  <w:szCs w:val="21"/>
                </w:rPr>
              </w:pPr>
              <w:r>
                <w:rPr>
                  <w:szCs w:val="21"/>
                </w:rPr>
                <w:fldChar w:fldCharType="begin"/>
              </w:r>
              <w:r w:rsidR="00F67896">
                <w:rPr>
                  <w:szCs w:val="21"/>
                </w:rPr>
                <w:instrText xml:space="preserve"> MACROBUTTON  SnrToggleCheckbox √适用 </w:instrText>
              </w:r>
              <w:r>
                <w:rPr>
                  <w:szCs w:val="21"/>
                </w:rPr>
                <w:fldChar w:fldCharType="end"/>
              </w:r>
              <w:r>
                <w:rPr>
                  <w:szCs w:val="21"/>
                </w:rPr>
                <w:fldChar w:fldCharType="begin"/>
              </w:r>
              <w:r w:rsidR="00F67896">
                <w:rPr>
                  <w:szCs w:val="21"/>
                </w:rPr>
                <w:instrText xml:space="preserve"> MACROBUTTON  SnrToggleCheckbox □不适用 </w:instrText>
              </w:r>
              <w:r>
                <w:rPr>
                  <w:szCs w:val="21"/>
                </w:rPr>
                <w:fldChar w:fldCharType="end"/>
              </w:r>
            </w:p>
          </w:sdtContent>
        </w:sdt>
        <w:sdt>
          <w:sdtPr>
            <w:rPr>
              <w:szCs w:val="21"/>
            </w:rPr>
            <w:alias w:val="按组合计提坏账准备的应收账款确认标准"/>
            <w:tag w:val="_GBC_de87dc97da314f0992885eb51709e885"/>
            <w:id w:val="-2073111744"/>
            <w:lock w:val="sdtLocked"/>
          </w:sdtPr>
          <w:sdtContent>
            <w:p w:rsidR="00F67896" w:rsidRDefault="00F67896" w:rsidP="00F67896">
              <w:pPr>
                <w:rPr>
                  <w:szCs w:val="21"/>
                </w:rPr>
              </w:pPr>
              <w:r w:rsidRPr="00F67896">
                <w:rPr>
                  <w:rFonts w:hint="eastAsia"/>
                  <w:szCs w:val="21"/>
                </w:rPr>
                <w:t>本集团依据信用风险特征将应收账款划分为若干组合，在组合基础上计算预期信用损失，确定组合的标准如下：</w:t>
              </w:r>
            </w:p>
            <w:p w:rsidR="00F67896" w:rsidRPr="00F67896" w:rsidRDefault="00F67896" w:rsidP="00F67896">
              <w:pPr>
                <w:rPr>
                  <w:szCs w:val="21"/>
                </w:rPr>
              </w:pPr>
            </w:p>
            <w:p w:rsidR="00F67896" w:rsidRDefault="00F67896" w:rsidP="00F67896">
              <w:pPr>
                <w:rPr>
                  <w:szCs w:val="21"/>
                </w:rPr>
              </w:pPr>
              <w:r w:rsidRPr="00F67896">
                <w:rPr>
                  <w:rFonts w:hint="eastAsia"/>
                  <w:szCs w:val="21"/>
                </w:rPr>
                <w:t>组合一：国铁集团及其下属单位</w:t>
              </w:r>
            </w:p>
            <w:p w:rsidR="00F67896" w:rsidRPr="00F67896" w:rsidRDefault="00F67896" w:rsidP="00F67896">
              <w:pPr>
                <w:rPr>
                  <w:szCs w:val="21"/>
                </w:rPr>
              </w:pPr>
            </w:p>
            <w:p w:rsidR="00F67896" w:rsidRDefault="00F67896" w:rsidP="00F67896">
              <w:pPr>
                <w:rPr>
                  <w:szCs w:val="21"/>
                </w:rPr>
              </w:pPr>
              <w:r w:rsidRPr="00F67896">
                <w:rPr>
                  <w:rFonts w:hint="eastAsia"/>
                  <w:szCs w:val="21"/>
                </w:rPr>
                <w:t>组合二：应收非关联方</w:t>
              </w:r>
            </w:p>
            <w:p w:rsidR="00F67896" w:rsidRPr="00F67896" w:rsidRDefault="00F67896" w:rsidP="00F67896">
              <w:pPr>
                <w:rPr>
                  <w:szCs w:val="21"/>
                </w:rPr>
              </w:pPr>
            </w:p>
            <w:p w:rsidR="00F67896" w:rsidRDefault="00F67896" w:rsidP="00F67896">
              <w:pPr>
                <w:rPr>
                  <w:szCs w:val="21"/>
                </w:rPr>
              </w:pPr>
              <w:r w:rsidRPr="00F67896">
                <w:rPr>
                  <w:rFonts w:hint="eastAsia"/>
                  <w:szCs w:val="21"/>
                </w:rPr>
                <w:t>本集团始终按照相当于整个存续期内预期信用损失的金额计量应收账款的减值准备。</w:t>
              </w:r>
            </w:p>
            <w:p w:rsidR="00F67896" w:rsidRPr="00F67896" w:rsidRDefault="00F67896" w:rsidP="00F67896">
              <w:pPr>
                <w:rPr>
                  <w:szCs w:val="21"/>
                </w:rPr>
              </w:pPr>
            </w:p>
            <w:p w:rsidR="00F67896" w:rsidRDefault="00F67896" w:rsidP="00F67896">
              <w:pPr>
                <w:rPr>
                  <w:szCs w:val="21"/>
                </w:rPr>
              </w:pPr>
              <w:r w:rsidRPr="00F67896">
                <w:rPr>
                  <w:rFonts w:hint="eastAsia"/>
                  <w:szCs w:val="21"/>
                </w:rPr>
                <w:t>按照本集团应收账款坏账准备的会计政策，管理层基于历史信用损失经验计算应收账款的预期信用损失，相关历史经验根据资产负债表日借款人的特定因素、以及对当前状况和未来经济状况预测的评估进行调整。</w:t>
              </w:r>
            </w:p>
          </w:sdtContent>
        </w:sdt>
        <w:p w:rsidR="00F67896" w:rsidRDefault="00F80B6C" w:rsidP="00F67896"/>
      </w:sdtContent>
    </w:sdt>
    <w:bookmarkStart w:id="162" w:name="_Hlk534616257" w:displacedByCustomXml="next"/>
    <w:sdt>
      <w:sdtPr>
        <w:alias w:val="模块:如按照一般预计信用损失模型计提坏账，请参照其他应收款的披露方式披露"/>
        <w:tag w:val="_SEC_54bb5413eca24d3ab39af65d518cb352"/>
        <w:id w:val="-1295599872"/>
        <w:lock w:val="sdtLocked"/>
        <w:placeholder>
          <w:docPart w:val="GBC22222222222222222222222222222"/>
        </w:placeholder>
      </w:sdtPr>
      <w:sdtContent>
        <w:p w:rsidR="00806678" w:rsidRDefault="00B16377">
          <w:r>
            <w:rPr>
              <w:rFonts w:hint="eastAsia"/>
            </w:rPr>
            <w:t>如按预期信用损失一般模型计提坏账准备，请参照其他应收款披露：</w:t>
          </w:r>
        </w:p>
        <w:sdt>
          <w:sdtPr>
            <w:alias w:val="是否适用：应收账款按一般预计信用损失模型计提坏账[双击切换]"/>
            <w:tag w:val="_GBC_45e093109b4846789884ca855c80af01"/>
            <w:id w:val="-480538127"/>
            <w:lock w:val="sdtLocked"/>
            <w:placeholder>
              <w:docPart w:val="GBC22222222222222222222222222222"/>
            </w:placeholder>
          </w:sdtPr>
          <w:sdtContent>
            <w:p w:rsidR="00806678" w:rsidRDefault="00F80B6C" w:rsidP="00F67896">
              <w:r>
                <w:fldChar w:fldCharType="begin"/>
              </w:r>
              <w:r w:rsidR="00F67896">
                <w:instrText xml:space="preserve"> MACROBUTTON  SnrToggleCheckbox □适用 </w:instrText>
              </w:r>
              <w:r>
                <w:fldChar w:fldCharType="end"/>
              </w:r>
              <w:r>
                <w:fldChar w:fldCharType="begin"/>
              </w:r>
              <w:r w:rsidR="00F67896">
                <w:instrText xml:space="preserve"> MACROBUTTON  SnrToggleCheckbox √不适用 </w:instrText>
              </w:r>
              <w:r>
                <w:fldChar w:fldCharType="end"/>
              </w:r>
            </w:p>
          </w:sdtContent>
        </w:sdt>
        <w:p w:rsidR="00806678" w:rsidRDefault="00F80B6C"/>
      </w:sdtContent>
    </w:sdt>
    <w:bookmarkEnd w:id="162" w:displacedByCustomXml="prev"/>
    <w:bookmarkStart w:id="163" w:name="_Hlk532991911" w:displacedByCustomXml="next"/>
    <w:sdt>
      <w:sdtPr>
        <w:rPr>
          <w:rFonts w:ascii="宋体" w:eastAsia="宋体" w:hAnsi="宋体" w:cs="宋体" w:hint="eastAsia"/>
          <w:b w:val="0"/>
          <w:bCs w:val="0"/>
          <w:kern w:val="0"/>
          <w:szCs w:val="22"/>
        </w:rPr>
        <w:alias w:val="模块:应收账款坏账准备的情况"/>
        <w:tag w:val="_SEC_06b1384525ce4743a061a4c6762d5977"/>
        <w:id w:val="-1552528169"/>
        <w:lock w:val="sdtLocked"/>
        <w:placeholder>
          <w:docPart w:val="GBC22222222222222222222222222222"/>
        </w:placeholder>
      </w:sdtPr>
      <w:sdtEndPr>
        <w:rPr>
          <w:rFonts w:ascii="Calibri" w:hAnsi="Calibri" w:cs="Times New Roman" w:hint="default"/>
          <w:kern w:val="2"/>
          <w:szCs w:val="21"/>
        </w:rPr>
      </w:sdtEndPr>
      <w:sdtContent>
        <w:p w:rsidR="00806678" w:rsidRPr="00226069" w:rsidRDefault="00226069" w:rsidP="00226069">
          <w:pPr>
            <w:pStyle w:val="4"/>
          </w:pPr>
          <w:r>
            <w:rPr>
              <w:rFonts w:ascii="宋体" w:eastAsia="宋体" w:hAnsi="宋体" w:cs="宋体"/>
              <w:kern w:val="0"/>
              <w:szCs w:val="22"/>
            </w:rPr>
            <w:t>(</w:t>
          </w:r>
          <w:r w:rsidRPr="00226069">
            <w:rPr>
              <w:rFonts w:ascii="宋体" w:eastAsia="宋体" w:hAnsi="宋体" w:cs="宋体"/>
              <w:kern w:val="0"/>
              <w:szCs w:val="22"/>
            </w:rPr>
            <w:t>3</w:t>
          </w:r>
          <w:r>
            <w:rPr>
              <w:rFonts w:ascii="宋体" w:eastAsia="宋体" w:hAnsi="宋体" w:cs="宋体" w:hint="eastAsia"/>
              <w:kern w:val="0"/>
              <w:szCs w:val="22"/>
            </w:rPr>
            <w:t>)</w:t>
          </w:r>
          <w:r>
            <w:rPr>
              <w:rFonts w:ascii="宋体" w:eastAsia="宋体" w:hAnsi="宋体" w:cs="宋体"/>
              <w:kern w:val="0"/>
              <w:szCs w:val="22"/>
            </w:rPr>
            <w:t>.</w:t>
          </w:r>
          <w:r w:rsidR="00B16377" w:rsidRPr="00226069">
            <w:rPr>
              <w:rFonts w:hint="eastAsia"/>
            </w:rPr>
            <w:t>坏账准备的情况</w:t>
          </w:r>
        </w:p>
        <w:sdt>
          <w:sdtPr>
            <w:alias w:val="是否适用：应收账款坏账准备[双击切换]"/>
            <w:tag w:val="_GBC_9f417fa21150444abc4efab15ee99d53"/>
            <w:id w:val="-1212652124"/>
            <w:lock w:val="sdtLocked"/>
            <w:placeholder>
              <w:docPart w:val="GBC22222222222222222222222222222"/>
            </w:placeholder>
          </w:sdtPr>
          <w:sdtContent>
            <w:p w:rsidR="00806678" w:rsidRDefault="00F80B6C">
              <w:r>
                <w:fldChar w:fldCharType="begin"/>
              </w:r>
              <w:r w:rsidR="00F67896">
                <w:instrText xml:space="preserve"> MACROBUTTON  SnrToggleCheckbox √适用 </w:instrText>
              </w:r>
              <w:r>
                <w:fldChar w:fldCharType="end"/>
              </w:r>
              <w:r>
                <w:fldChar w:fldCharType="begin"/>
              </w:r>
              <w:r w:rsidR="00F67896">
                <w:instrText xml:space="preserve"> MACROBUTTON  SnrToggleCheckbox □不适用 </w:instrText>
              </w:r>
              <w:r>
                <w:fldChar w:fldCharType="end"/>
              </w:r>
            </w:p>
          </w:sdtContent>
        </w:sdt>
        <w:p w:rsidR="00806678" w:rsidRDefault="00B16377">
          <w:pPr>
            <w:pStyle w:val="a9"/>
            <w:snapToGrid w:val="0"/>
            <w:spacing w:line="240" w:lineRule="atLeast"/>
            <w:ind w:left="425" w:firstLineChars="0" w:firstLine="0"/>
            <w:jc w:val="right"/>
            <w:rPr>
              <w:szCs w:val="21"/>
            </w:rPr>
          </w:pPr>
          <w:r>
            <w:rPr>
              <w:rFonts w:hint="eastAsia"/>
              <w:szCs w:val="21"/>
            </w:rPr>
            <w:t>单位：</w:t>
          </w:r>
          <w:sdt>
            <w:sdtPr>
              <w:rPr>
                <w:rFonts w:hint="eastAsia"/>
                <w:szCs w:val="21"/>
              </w:rPr>
              <w:alias w:val="单位：应收账款坏账准备"/>
              <w:tag w:val="_GBC_c27d9b760b54449682d5a777e36369c3"/>
              <w:id w:val="-180908656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应收账款坏账准备"/>
              <w:tag w:val="_GBC_0ea3ceddf10d4313a5111e5088ac98cf"/>
              <w:id w:val="-132096260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tblPr>
          <w:tblGrid>
            <w:gridCol w:w="1380"/>
            <w:gridCol w:w="1381"/>
            <w:gridCol w:w="1248"/>
            <w:gridCol w:w="1381"/>
            <w:gridCol w:w="1145"/>
            <w:gridCol w:w="1143"/>
            <w:gridCol w:w="1381"/>
          </w:tblGrid>
          <w:tr w:rsidR="00806678" w:rsidTr="00A23D14">
            <w:sdt>
              <w:sdtPr>
                <w:tag w:val="_PLD_4744c2787819466dad3d228aea9d34a1"/>
                <w:id w:val="-2071799176"/>
                <w:lock w:val="sdtLocked"/>
              </w:sdtPr>
              <w:sdtContent>
                <w:tc>
                  <w:tcPr>
                    <w:tcW w:w="762" w:type="pct"/>
                    <w:vMerge w:val="restart"/>
                    <w:shd w:val="clear" w:color="auto" w:fill="FFFFFF"/>
                    <w:vAlign w:val="center"/>
                  </w:tcPr>
                  <w:p w:rsidR="00806678" w:rsidRDefault="00B16377">
                    <w:pPr>
                      <w:widowControl w:val="0"/>
                      <w:jc w:val="center"/>
                    </w:pPr>
                    <w:r>
                      <w:t>类别</w:t>
                    </w:r>
                  </w:p>
                </w:tc>
              </w:sdtContent>
            </w:sdt>
            <w:sdt>
              <w:sdtPr>
                <w:tag w:val="_PLD_c730e797b90345869cdb1a0f449d27c4"/>
                <w:id w:val="-1793505142"/>
                <w:lock w:val="sdtLocked"/>
              </w:sdtPr>
              <w:sdtContent>
                <w:tc>
                  <w:tcPr>
                    <w:tcW w:w="762" w:type="pct"/>
                    <w:vMerge w:val="restart"/>
                    <w:shd w:val="clear" w:color="auto" w:fill="FFFFFF"/>
                    <w:vAlign w:val="center"/>
                  </w:tcPr>
                  <w:p w:rsidR="00806678" w:rsidRDefault="00B16377">
                    <w:pPr>
                      <w:widowControl w:val="0"/>
                      <w:jc w:val="center"/>
                    </w:pPr>
                    <w:r>
                      <w:t>期初余额</w:t>
                    </w:r>
                  </w:p>
                </w:tc>
              </w:sdtContent>
            </w:sdt>
            <w:sdt>
              <w:sdtPr>
                <w:tag w:val="_PLD_b648ee5a72ff43aabfa5e5467354f612"/>
                <w:id w:val="397028763"/>
                <w:lock w:val="sdtLocked"/>
              </w:sdtPr>
              <w:sdtContent>
                <w:tc>
                  <w:tcPr>
                    <w:tcW w:w="2714" w:type="pct"/>
                    <w:gridSpan w:val="4"/>
                    <w:shd w:val="clear" w:color="auto" w:fill="FFFFFF"/>
                    <w:vAlign w:val="center"/>
                  </w:tcPr>
                  <w:p w:rsidR="00806678" w:rsidRDefault="00B16377">
                    <w:pPr>
                      <w:widowControl w:val="0"/>
                      <w:jc w:val="center"/>
                    </w:pPr>
                    <w:r>
                      <w:rPr>
                        <w:rFonts w:hint="eastAsia"/>
                      </w:rPr>
                      <w:t>本期变动</w:t>
                    </w:r>
                    <w:r>
                      <w:t>金额</w:t>
                    </w:r>
                  </w:p>
                </w:tc>
              </w:sdtContent>
            </w:sdt>
            <w:sdt>
              <w:sdtPr>
                <w:tag w:val="_PLD_670842119a0446778c0343318379e7bb"/>
                <w:id w:val="-497498110"/>
                <w:lock w:val="sdtLocked"/>
              </w:sdtPr>
              <w:sdtContent>
                <w:tc>
                  <w:tcPr>
                    <w:tcW w:w="762" w:type="pct"/>
                    <w:vMerge w:val="restart"/>
                    <w:shd w:val="clear" w:color="auto" w:fill="FFFFFF"/>
                    <w:vAlign w:val="center"/>
                  </w:tcPr>
                  <w:p w:rsidR="00806678" w:rsidRDefault="00B16377">
                    <w:pPr>
                      <w:widowControl w:val="0"/>
                      <w:jc w:val="center"/>
                    </w:pPr>
                    <w:r>
                      <w:t>期末余额</w:t>
                    </w:r>
                  </w:p>
                </w:tc>
              </w:sdtContent>
            </w:sdt>
          </w:tr>
          <w:tr w:rsidR="00806678" w:rsidTr="00A23D14">
            <w:tc>
              <w:tcPr>
                <w:tcW w:w="762" w:type="pct"/>
                <w:vMerge/>
                <w:shd w:val="clear" w:color="auto" w:fill="FFFFFF"/>
              </w:tcPr>
              <w:p w:rsidR="00806678" w:rsidRDefault="00806678">
                <w:pPr>
                  <w:widowControl w:val="0"/>
                  <w:jc w:val="center"/>
                </w:pPr>
              </w:p>
            </w:tc>
            <w:tc>
              <w:tcPr>
                <w:tcW w:w="762" w:type="pct"/>
                <w:vMerge/>
                <w:shd w:val="clear" w:color="auto" w:fill="FFFFFF"/>
              </w:tcPr>
              <w:p w:rsidR="00806678" w:rsidRDefault="00806678">
                <w:pPr>
                  <w:widowControl w:val="0"/>
                  <w:jc w:val="center"/>
                </w:pPr>
              </w:p>
            </w:tc>
            <w:sdt>
              <w:sdtPr>
                <w:tag w:val="_PLD_9f89b7b6eb974ea9b6438eecb96ab8d7"/>
                <w:id w:val="1819618855"/>
                <w:lock w:val="sdtLocked"/>
              </w:sdtPr>
              <w:sdtContent>
                <w:tc>
                  <w:tcPr>
                    <w:tcW w:w="689" w:type="pct"/>
                    <w:shd w:val="clear" w:color="auto" w:fill="FFFFFF"/>
                    <w:vAlign w:val="center"/>
                  </w:tcPr>
                  <w:p w:rsidR="00806678" w:rsidRDefault="00B16377">
                    <w:pPr>
                      <w:widowControl w:val="0"/>
                      <w:jc w:val="center"/>
                    </w:pPr>
                    <w:r>
                      <w:t>计提</w:t>
                    </w:r>
                  </w:p>
                </w:tc>
              </w:sdtContent>
            </w:sdt>
            <w:sdt>
              <w:sdtPr>
                <w:tag w:val="_PLD_d83025520e1c49cb905bac81a5fe67a9"/>
                <w:id w:val="-706564919"/>
                <w:lock w:val="sdtLocked"/>
              </w:sdtPr>
              <w:sdtContent>
                <w:tc>
                  <w:tcPr>
                    <w:tcW w:w="762" w:type="pct"/>
                    <w:shd w:val="clear" w:color="auto" w:fill="FFFFFF"/>
                    <w:vAlign w:val="center"/>
                  </w:tcPr>
                  <w:p w:rsidR="00806678" w:rsidRDefault="00B16377">
                    <w:pPr>
                      <w:widowControl w:val="0"/>
                      <w:jc w:val="center"/>
                    </w:pPr>
                    <w:r>
                      <w:rPr>
                        <w:rFonts w:hint="eastAsia"/>
                      </w:rPr>
                      <w:t>收回或转回</w:t>
                    </w:r>
                  </w:p>
                </w:tc>
              </w:sdtContent>
            </w:sdt>
            <w:tc>
              <w:tcPr>
                <w:tcW w:w="632" w:type="pct"/>
                <w:shd w:val="clear" w:color="auto" w:fill="FFFFFF"/>
                <w:vAlign w:val="center"/>
              </w:tcPr>
              <w:sdt>
                <w:sdtPr>
                  <w:rPr>
                    <w:rFonts w:hint="eastAsia"/>
                  </w:rPr>
                  <w:tag w:val="_PLD_43341cdf094c434589f9f5a4eeb8fb4a"/>
                  <w:id w:val="-1810855434"/>
                  <w:lock w:val="sdtLocked"/>
                </w:sdtPr>
                <w:sdtContent>
                  <w:p w:rsidR="00806678" w:rsidRDefault="00B16377">
                    <w:pPr>
                      <w:widowControl w:val="0"/>
                      <w:jc w:val="center"/>
                    </w:pPr>
                    <w:r>
                      <w:rPr>
                        <w:rFonts w:hint="eastAsia"/>
                      </w:rPr>
                      <w:t>转销或核</w:t>
                    </w:r>
                    <w:r>
                      <w:rPr>
                        <w:rFonts w:hint="eastAsia"/>
                      </w:rPr>
                      <w:lastRenderedPageBreak/>
                      <w:t>销</w:t>
                    </w:r>
                  </w:p>
                </w:sdtContent>
              </w:sdt>
            </w:tc>
            <w:tc>
              <w:tcPr>
                <w:tcW w:w="630" w:type="pct"/>
                <w:shd w:val="clear" w:color="auto" w:fill="FFFFFF"/>
                <w:vAlign w:val="center"/>
              </w:tcPr>
              <w:sdt>
                <w:sdtPr>
                  <w:rPr>
                    <w:rFonts w:hint="eastAsia"/>
                  </w:rPr>
                  <w:tag w:val="_PLD_4105509cd7cf412981897dd91879a014"/>
                  <w:id w:val="1479266751"/>
                  <w:lock w:val="sdtLocked"/>
                </w:sdtPr>
                <w:sdtContent>
                  <w:p w:rsidR="00806678" w:rsidRDefault="00B16377">
                    <w:pPr>
                      <w:widowControl w:val="0"/>
                      <w:jc w:val="center"/>
                    </w:pPr>
                    <w:r>
                      <w:rPr>
                        <w:rFonts w:hint="eastAsia"/>
                      </w:rPr>
                      <w:t>其他变动</w:t>
                    </w:r>
                  </w:p>
                </w:sdtContent>
              </w:sdt>
            </w:tc>
            <w:tc>
              <w:tcPr>
                <w:tcW w:w="762" w:type="pct"/>
                <w:vMerge/>
                <w:shd w:val="clear" w:color="auto" w:fill="FFFFFF"/>
              </w:tcPr>
              <w:p w:rsidR="00806678" w:rsidRDefault="00806678">
                <w:pPr>
                  <w:widowControl w:val="0"/>
                  <w:jc w:val="right"/>
                </w:pPr>
              </w:p>
            </w:tc>
          </w:tr>
          <w:sdt>
            <w:sdtPr>
              <w:alias w:val="应收账款坏账准备明细"/>
              <w:tag w:val="_TUP_4d2ca40f09c3444db0881ad461ba816f"/>
              <w:id w:val="-1200240581"/>
              <w:lock w:val="sdtLocked"/>
            </w:sdtPr>
            <w:sdtContent>
              <w:tr w:rsidR="00806678" w:rsidTr="00A23D14">
                <w:tc>
                  <w:tcPr>
                    <w:tcW w:w="762" w:type="pct"/>
                    <w:shd w:val="clear" w:color="auto" w:fill="auto"/>
                  </w:tcPr>
                  <w:p w:rsidR="00806678" w:rsidRDefault="00A23D14">
                    <w:pPr>
                      <w:widowControl w:val="0"/>
                    </w:pPr>
                    <w:r>
                      <w:rPr>
                        <w:rFonts w:hint="eastAsia"/>
                      </w:rPr>
                      <w:t>坏账准备</w:t>
                    </w:r>
                  </w:p>
                </w:tc>
                <w:tc>
                  <w:tcPr>
                    <w:tcW w:w="762" w:type="pct"/>
                    <w:shd w:val="clear" w:color="auto" w:fill="auto"/>
                  </w:tcPr>
                  <w:p w:rsidR="00806678" w:rsidRPr="00A23D14" w:rsidRDefault="00A23D14" w:rsidP="00A23D14">
                    <w:pPr>
                      <w:pStyle w:val="Default"/>
                      <w:jc w:val="right"/>
                      <w:rPr>
                        <w:szCs w:val="21"/>
                      </w:rPr>
                    </w:pPr>
                    <w:r>
                      <w:rPr>
                        <w:sz w:val="21"/>
                        <w:szCs w:val="21"/>
                      </w:rPr>
                      <w:t xml:space="preserve">381,663,083 </w:t>
                    </w:r>
                  </w:p>
                </w:tc>
                <w:tc>
                  <w:tcPr>
                    <w:tcW w:w="689" w:type="pct"/>
                    <w:shd w:val="clear" w:color="auto" w:fill="auto"/>
                  </w:tcPr>
                  <w:p w:rsidR="00806678" w:rsidRDefault="00A23D14">
                    <w:pPr>
                      <w:widowControl w:val="0"/>
                      <w:jc w:val="right"/>
                    </w:pPr>
                    <w:r w:rsidRPr="00A23D14">
                      <w:t>95,330</w:t>
                    </w:r>
                  </w:p>
                </w:tc>
                <w:tc>
                  <w:tcPr>
                    <w:tcW w:w="762" w:type="pct"/>
                    <w:shd w:val="clear" w:color="auto" w:fill="auto"/>
                  </w:tcPr>
                  <w:p w:rsidR="00806678" w:rsidRDefault="00A23D14">
                    <w:pPr>
                      <w:widowControl w:val="0"/>
                      <w:jc w:val="right"/>
                    </w:pPr>
                    <w:r w:rsidRPr="00A23D14">
                      <w:t>169,903,798</w:t>
                    </w:r>
                  </w:p>
                </w:tc>
                <w:tc>
                  <w:tcPr>
                    <w:tcW w:w="632" w:type="pct"/>
                  </w:tcPr>
                  <w:p w:rsidR="00806678" w:rsidRDefault="00A23D14">
                    <w:pPr>
                      <w:widowControl w:val="0"/>
                      <w:jc w:val="right"/>
                    </w:pPr>
                    <w:r w:rsidRPr="00A23D14">
                      <w:t>404,531</w:t>
                    </w:r>
                  </w:p>
                </w:tc>
                <w:tc>
                  <w:tcPr>
                    <w:tcW w:w="630" w:type="pct"/>
                  </w:tcPr>
                  <w:p w:rsidR="00806678" w:rsidRDefault="00A23D14">
                    <w:pPr>
                      <w:widowControl w:val="0"/>
                      <w:jc w:val="right"/>
                    </w:pPr>
                    <w:r>
                      <w:t>0</w:t>
                    </w:r>
                  </w:p>
                </w:tc>
                <w:tc>
                  <w:tcPr>
                    <w:tcW w:w="762" w:type="pct"/>
                    <w:shd w:val="clear" w:color="auto" w:fill="auto"/>
                  </w:tcPr>
                  <w:p w:rsidR="00806678" w:rsidRDefault="00527537">
                    <w:pPr>
                      <w:widowControl w:val="0"/>
                      <w:jc w:val="right"/>
                    </w:pPr>
                    <w:r>
                      <w:t>211,450,084</w:t>
                    </w:r>
                  </w:p>
                </w:tc>
              </w:tr>
            </w:sdtContent>
          </w:sdt>
          <w:tr w:rsidR="00A23D14" w:rsidTr="00A23D14">
            <w:sdt>
              <w:sdtPr>
                <w:tag w:val="_PLD_9caf6a7eb01942a3a4ce4362ff8d2240"/>
                <w:id w:val="-328216514"/>
                <w:lock w:val="sdtLocked"/>
              </w:sdtPr>
              <w:sdtContent>
                <w:tc>
                  <w:tcPr>
                    <w:tcW w:w="762" w:type="pct"/>
                    <w:shd w:val="clear" w:color="auto" w:fill="auto"/>
                  </w:tcPr>
                  <w:p w:rsidR="00A23D14" w:rsidRDefault="00A23D14" w:rsidP="00A23D14">
                    <w:pPr>
                      <w:widowControl w:val="0"/>
                      <w:jc w:val="center"/>
                    </w:pPr>
                    <w:r>
                      <w:rPr>
                        <w:rFonts w:hint="eastAsia"/>
                      </w:rPr>
                      <w:t>合计</w:t>
                    </w:r>
                  </w:p>
                </w:tc>
              </w:sdtContent>
            </w:sdt>
            <w:tc>
              <w:tcPr>
                <w:tcW w:w="762" w:type="pct"/>
                <w:shd w:val="clear" w:color="auto" w:fill="auto"/>
                <w:vAlign w:val="center"/>
              </w:tcPr>
              <w:p w:rsidR="00A23D14" w:rsidRDefault="00A23D14" w:rsidP="00A23D14">
                <w:pPr>
                  <w:widowControl w:val="0"/>
                  <w:jc w:val="right"/>
                </w:pPr>
                <w:r>
                  <w:t>381,663,083</w:t>
                </w:r>
              </w:p>
            </w:tc>
            <w:tc>
              <w:tcPr>
                <w:tcW w:w="689" w:type="pct"/>
                <w:shd w:val="clear" w:color="auto" w:fill="auto"/>
                <w:vAlign w:val="center"/>
              </w:tcPr>
              <w:p w:rsidR="00A23D14" w:rsidRDefault="00A23D14" w:rsidP="00A23D14">
                <w:pPr>
                  <w:widowControl w:val="0"/>
                  <w:jc w:val="right"/>
                </w:pPr>
                <w:r>
                  <w:t>95,330</w:t>
                </w:r>
              </w:p>
            </w:tc>
            <w:tc>
              <w:tcPr>
                <w:tcW w:w="762" w:type="pct"/>
                <w:shd w:val="clear" w:color="auto" w:fill="auto"/>
                <w:vAlign w:val="center"/>
              </w:tcPr>
              <w:p w:rsidR="00A23D14" w:rsidRDefault="00A23D14" w:rsidP="00A23D14">
                <w:pPr>
                  <w:widowControl w:val="0"/>
                  <w:jc w:val="right"/>
                </w:pPr>
                <w:r>
                  <w:t>169,903,798</w:t>
                </w:r>
              </w:p>
            </w:tc>
            <w:tc>
              <w:tcPr>
                <w:tcW w:w="632" w:type="pct"/>
                <w:vAlign w:val="center"/>
              </w:tcPr>
              <w:p w:rsidR="00A23D14" w:rsidRDefault="00A23D14" w:rsidP="00A23D14">
                <w:pPr>
                  <w:widowControl w:val="0"/>
                  <w:jc w:val="right"/>
                </w:pPr>
                <w:r>
                  <w:t>404,531</w:t>
                </w:r>
              </w:p>
            </w:tc>
            <w:tc>
              <w:tcPr>
                <w:tcW w:w="630" w:type="pct"/>
                <w:vAlign w:val="center"/>
              </w:tcPr>
              <w:p w:rsidR="00A23D14" w:rsidRDefault="00A23D14" w:rsidP="00A23D14">
                <w:pPr>
                  <w:widowControl w:val="0"/>
                  <w:jc w:val="right"/>
                </w:pPr>
                <w:r>
                  <w:t>0</w:t>
                </w:r>
              </w:p>
            </w:tc>
            <w:tc>
              <w:tcPr>
                <w:tcW w:w="762" w:type="pct"/>
                <w:shd w:val="clear" w:color="auto" w:fill="auto"/>
                <w:vAlign w:val="center"/>
              </w:tcPr>
              <w:p w:rsidR="00A23D14" w:rsidRDefault="00527537" w:rsidP="00A23D14">
                <w:pPr>
                  <w:widowControl w:val="0"/>
                  <w:jc w:val="right"/>
                </w:pPr>
                <w:r w:rsidRPr="00527537">
                  <w:t>211,450,084</w:t>
                </w:r>
              </w:p>
            </w:tc>
          </w:tr>
        </w:tbl>
        <w:p w:rsidR="00806678" w:rsidRDefault="00F80B6C">
          <w:pPr>
            <w:pStyle w:val="af7"/>
          </w:pPr>
        </w:p>
      </w:sdtContent>
    </w:sdt>
    <w:bookmarkEnd w:id="163" w:displacedByCustomXml="prev"/>
    <w:sdt>
      <w:sdtPr>
        <w:rPr>
          <w:rFonts w:asciiTheme="minorHAnsi" w:hAnsiTheme="minorHAnsi"/>
          <w:b/>
          <w:bCs/>
          <w:szCs w:val="22"/>
        </w:rPr>
        <w:alias w:val="模块:本期坏账准备收回或转回金额重要的"/>
        <w:tag w:val="_SEC_3a74ab07636f4f7aaaa3aefe56fdcd36"/>
        <w:id w:val="-67803435"/>
        <w:lock w:val="sdtLocked"/>
        <w:placeholder>
          <w:docPart w:val="GBC22222222222222222222222222222"/>
        </w:placeholder>
      </w:sdtPr>
      <w:sdtEndPr>
        <w:rPr>
          <w:rFonts w:ascii="Times New Roman" w:hAnsi="Times New Roman" w:cs="Times New Roman"/>
          <w:b w:val="0"/>
          <w:bCs w:val="0"/>
          <w:kern w:val="2"/>
          <w:szCs w:val="24"/>
        </w:rPr>
      </w:sdtEndPr>
      <w:sdtContent>
        <w:p w:rsidR="00806678" w:rsidRDefault="00B16377">
          <w:r>
            <w:rPr>
              <w:rFonts w:hint="eastAsia"/>
            </w:rPr>
            <w:t>其中本期坏账准备收回或转回金额重要的：</w:t>
          </w:r>
        </w:p>
        <w:sdt>
          <w:sdtPr>
            <w:alias w:val="是否适用：其中本期坏账准备收回或转回金额重要的[双击切换]"/>
            <w:tag w:val="_GBC_6da74212535e450f9d1465f00dddd00b"/>
            <w:id w:val="49199804"/>
            <w:lock w:val="sdtLocked"/>
            <w:placeholder>
              <w:docPart w:val="GBC22222222222222222222222222222"/>
            </w:placeholder>
          </w:sdtPr>
          <w:sdtContent>
            <w:p w:rsidR="00226069" w:rsidRDefault="00F80B6C" w:rsidP="00A23D14">
              <w:r>
                <w:fldChar w:fldCharType="begin"/>
              </w:r>
              <w:r w:rsidR="00A23D14">
                <w:instrText xml:space="preserve">MACROBUTTON  SnrToggleCheckbox □适用 </w:instrText>
              </w:r>
              <w:r>
                <w:fldChar w:fldCharType="end"/>
              </w:r>
              <w:r>
                <w:fldChar w:fldCharType="begin"/>
              </w:r>
              <w:r w:rsidR="00A23D14">
                <w:instrText xml:space="preserve"> MACROBUTTON  SnrToggleCheckbox √不适用 </w:instrText>
              </w:r>
              <w:r>
                <w:fldChar w:fldCharType="end"/>
              </w:r>
            </w:p>
            <w:p w:rsidR="00806678" w:rsidRDefault="00F80B6C" w:rsidP="00A23D14"/>
          </w:sdtContent>
        </w:sdt>
      </w:sdtContent>
    </w:sdt>
    <w:sdt>
      <w:sdtPr>
        <w:rPr>
          <w:rFonts w:ascii="Times New Roman" w:eastAsia="宋体" w:hAnsi="Times New Roman" w:cs="宋体" w:hint="eastAsia"/>
          <w:b w:val="0"/>
          <w:bCs w:val="0"/>
          <w:kern w:val="0"/>
          <w:szCs w:val="24"/>
        </w:rPr>
        <w:alias w:val="模块:本报告期实际核销的应收账款情况"/>
        <w:tag w:val="_SEC_232653caa33f43eface8372ffe3a60eb"/>
        <w:id w:val="2128802048"/>
        <w:lock w:val="sdtLocked"/>
        <w:placeholder>
          <w:docPart w:val="GBC22222222222222222222222222222"/>
        </w:placeholder>
      </w:sdtPr>
      <w:sdtEndPr>
        <w:rPr>
          <w:rFonts w:ascii="宋体" w:hAnsi="宋体" w:hint="default"/>
        </w:rPr>
      </w:sdtEndPr>
      <w:sdtContent>
        <w:p w:rsidR="00806678" w:rsidRPr="00226069" w:rsidRDefault="00226069" w:rsidP="00226069">
          <w:pPr>
            <w:pStyle w:val="4"/>
            <w:rPr>
              <w:rFonts w:ascii="宋体" w:eastAsia="宋体" w:hAnsi="宋体" w:cs="宋体"/>
              <w:kern w:val="0"/>
              <w:szCs w:val="22"/>
            </w:rPr>
          </w:pPr>
          <w:r>
            <w:rPr>
              <w:rFonts w:ascii="宋体" w:eastAsia="宋体" w:hAnsi="宋体" w:cs="宋体" w:hint="eastAsia"/>
              <w:kern w:val="0"/>
              <w:szCs w:val="22"/>
            </w:rPr>
            <w:t>(</w:t>
          </w:r>
          <w:r w:rsidRPr="00226069">
            <w:rPr>
              <w:rFonts w:ascii="宋体" w:eastAsia="宋体" w:hAnsi="宋体" w:cs="宋体" w:hint="eastAsia"/>
              <w:kern w:val="0"/>
              <w:szCs w:val="22"/>
            </w:rPr>
            <w:t>4</w:t>
          </w:r>
          <w:r>
            <w:rPr>
              <w:rFonts w:ascii="宋体" w:eastAsia="宋体" w:hAnsi="宋体" w:cs="宋体" w:hint="eastAsia"/>
              <w:kern w:val="0"/>
              <w:szCs w:val="22"/>
            </w:rPr>
            <w:t>)</w:t>
          </w:r>
          <w:r>
            <w:rPr>
              <w:rFonts w:ascii="宋体" w:eastAsia="宋体" w:hAnsi="宋体" w:cs="宋体"/>
              <w:kern w:val="0"/>
              <w:szCs w:val="22"/>
            </w:rPr>
            <w:t>.</w:t>
          </w:r>
          <w:r w:rsidR="00B16377" w:rsidRPr="00226069">
            <w:rPr>
              <w:rFonts w:ascii="宋体" w:eastAsia="宋体" w:hAnsi="宋体" w:cs="宋体"/>
              <w:kern w:val="0"/>
              <w:szCs w:val="22"/>
            </w:rPr>
            <w:t>本期实际核销的应收</w:t>
          </w:r>
          <w:r w:rsidR="00B16377" w:rsidRPr="00226069">
            <w:rPr>
              <w:rFonts w:ascii="宋体" w:eastAsia="宋体" w:hAnsi="宋体" w:cs="宋体" w:hint="eastAsia"/>
              <w:kern w:val="0"/>
              <w:szCs w:val="22"/>
            </w:rPr>
            <w:t>账款</w:t>
          </w:r>
          <w:r w:rsidR="00B16377" w:rsidRPr="00226069">
            <w:rPr>
              <w:rFonts w:ascii="宋体" w:eastAsia="宋体" w:hAnsi="宋体" w:cs="宋体"/>
              <w:kern w:val="0"/>
              <w:szCs w:val="22"/>
            </w:rPr>
            <w:t>情况</w:t>
          </w:r>
        </w:p>
        <w:sdt>
          <w:sdtPr>
            <w:alias w:val="是否适用：本期实际核销的应收账款情况[双击切换]"/>
            <w:tag w:val="_GBC_a6ff40b990b34b00968a4938eac82a74"/>
            <w:id w:val="-1722900336"/>
            <w:lock w:val="sdtLocked"/>
            <w:placeholder>
              <w:docPart w:val="GBC22222222222222222222222222222"/>
            </w:placeholder>
          </w:sdtPr>
          <w:sdtContent>
            <w:p w:rsidR="00806678" w:rsidRDefault="00F80B6C">
              <w:r>
                <w:fldChar w:fldCharType="begin"/>
              </w:r>
              <w:r w:rsidR="00A23D14">
                <w:instrText xml:space="preserve">MACROBUTTON  SnrToggleCheckbox √适用 </w:instrText>
              </w:r>
              <w:r>
                <w:fldChar w:fldCharType="end"/>
              </w:r>
              <w:r>
                <w:fldChar w:fldCharType="begin"/>
              </w:r>
              <w:r w:rsidR="00A23D14">
                <w:instrText xml:space="preserve"> MACROBUTTON  SnrToggleCheckbox □不适用 </w:instrText>
              </w:r>
              <w:r>
                <w:fldChar w:fldCharType="end"/>
              </w:r>
            </w:p>
          </w:sdtContent>
        </w:sdt>
        <w:p w:rsidR="00806678" w:rsidRDefault="00B16377">
          <w:pPr>
            <w:jc w:val="right"/>
            <w:rPr>
              <w:szCs w:val="21"/>
            </w:rPr>
          </w:pPr>
          <w:r>
            <w:rPr>
              <w:rFonts w:hint="eastAsia"/>
              <w:szCs w:val="21"/>
            </w:rPr>
            <w:t>单位：</w:t>
          </w:r>
          <w:sdt>
            <w:sdtPr>
              <w:rPr>
                <w:rFonts w:hint="eastAsia"/>
                <w:szCs w:val="21"/>
              </w:rPr>
              <w:alias w:val="单位：财务附注：本报告期实际核销的应收款项情况"/>
              <w:tag w:val="_GBC_120829dd17474bb7a477e3113cdeaa92"/>
              <w:id w:val="-12739770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本报告期实际核销的应收款项情况"/>
              <w:tag w:val="_GBC_23c46b534069436795b165d258eb279c"/>
              <w:id w:val="-187245003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73"/>
            <w:gridCol w:w="4776"/>
          </w:tblGrid>
          <w:tr w:rsidR="00806678" w:rsidTr="0091107D">
            <w:sdt>
              <w:sdtPr>
                <w:tag w:val="_PLD_b31b4d2de9bc4878bfaf030b4ac7f864"/>
                <w:id w:val="-399987192"/>
                <w:lock w:val="sdtLocked"/>
              </w:sdtPr>
              <w:sdtContent>
                <w:tc>
                  <w:tcPr>
                    <w:tcW w:w="2361" w:type="pct"/>
                    <w:vAlign w:val="center"/>
                  </w:tcPr>
                  <w:p w:rsidR="00806678" w:rsidRDefault="00B16377">
                    <w:pPr>
                      <w:jc w:val="center"/>
                      <w:rPr>
                        <w:szCs w:val="21"/>
                      </w:rPr>
                    </w:pPr>
                    <w:r>
                      <w:rPr>
                        <w:rFonts w:hint="eastAsia"/>
                        <w:szCs w:val="21"/>
                      </w:rPr>
                      <w:t>项目</w:t>
                    </w:r>
                  </w:p>
                </w:tc>
              </w:sdtContent>
            </w:sdt>
            <w:sdt>
              <w:sdtPr>
                <w:tag w:val="_PLD_8157ba5967c14e4e821de564c4546b40"/>
                <w:id w:val="-741324682"/>
                <w:lock w:val="sdtLocked"/>
              </w:sdtPr>
              <w:sdtContent>
                <w:tc>
                  <w:tcPr>
                    <w:tcW w:w="2639" w:type="pct"/>
                  </w:tcPr>
                  <w:p w:rsidR="00806678" w:rsidRDefault="00B16377">
                    <w:pPr>
                      <w:jc w:val="center"/>
                      <w:rPr>
                        <w:szCs w:val="21"/>
                      </w:rPr>
                    </w:pPr>
                    <w:r>
                      <w:rPr>
                        <w:rFonts w:hint="eastAsia"/>
                        <w:szCs w:val="21"/>
                      </w:rPr>
                      <w:t>核销金额</w:t>
                    </w:r>
                  </w:p>
                </w:tc>
              </w:sdtContent>
            </w:sdt>
          </w:tr>
          <w:tr w:rsidR="00806678" w:rsidTr="0091107D">
            <w:sdt>
              <w:sdtPr>
                <w:tag w:val="_PLD_b67ec5fad5c041b0b22a2350bc5cdb48"/>
                <w:id w:val="443349613"/>
                <w:lock w:val="sdtLocked"/>
              </w:sdtPr>
              <w:sdtContent>
                <w:tc>
                  <w:tcPr>
                    <w:tcW w:w="2361" w:type="pct"/>
                  </w:tcPr>
                  <w:p w:rsidR="00806678" w:rsidRDefault="00B16377">
                    <w:pPr>
                      <w:rPr>
                        <w:szCs w:val="21"/>
                      </w:rPr>
                    </w:pPr>
                    <w:r>
                      <w:rPr>
                        <w:rFonts w:hint="eastAsia"/>
                        <w:szCs w:val="21"/>
                      </w:rPr>
                      <w:t>实际核销的应收账款</w:t>
                    </w:r>
                  </w:p>
                </w:tc>
              </w:sdtContent>
            </w:sdt>
            <w:tc>
              <w:tcPr>
                <w:tcW w:w="2639" w:type="pct"/>
              </w:tcPr>
              <w:p w:rsidR="00806678" w:rsidRDefault="00184169">
                <w:pPr>
                  <w:jc w:val="right"/>
                  <w:rPr>
                    <w:szCs w:val="21"/>
                  </w:rPr>
                </w:pPr>
                <w:r w:rsidRPr="00184169">
                  <w:rPr>
                    <w:szCs w:val="21"/>
                  </w:rPr>
                  <w:t>404,531</w:t>
                </w:r>
              </w:p>
            </w:tc>
          </w:tr>
        </w:tbl>
        <w:p w:rsidR="00806678" w:rsidRDefault="00806678">
          <w:pPr>
            <w:rPr>
              <w:szCs w:val="21"/>
            </w:rPr>
          </w:pPr>
        </w:p>
        <w:p w:rsidR="00806678" w:rsidRDefault="00B16377">
          <w:pPr>
            <w:rPr>
              <w:szCs w:val="21"/>
            </w:rPr>
          </w:pPr>
          <w:r>
            <w:rPr>
              <w:rFonts w:hint="eastAsia"/>
              <w:szCs w:val="21"/>
            </w:rPr>
            <w:t>其中重要的应收账款核销情况</w:t>
          </w:r>
        </w:p>
        <w:sdt>
          <w:sdtPr>
            <w:rPr>
              <w:szCs w:val="21"/>
            </w:rPr>
            <w:alias w:val="是否适用：其中重要的应收账款核销情况[双击切换]"/>
            <w:tag w:val="_GBC_3c12c3e5b4fd4acda2beb7a5cacacd97"/>
            <w:id w:val="1756317609"/>
            <w:lock w:val="sdtLocked"/>
            <w:placeholder>
              <w:docPart w:val="GBC22222222222222222222222222222"/>
            </w:placeholder>
          </w:sdtPr>
          <w:sdtContent>
            <w:p w:rsidR="00184169" w:rsidRDefault="00F80B6C" w:rsidP="00184169">
              <w:pPr>
                <w:rPr>
                  <w:szCs w:val="21"/>
                </w:rPr>
              </w:pPr>
              <w:r>
                <w:rPr>
                  <w:szCs w:val="21"/>
                </w:rPr>
                <w:fldChar w:fldCharType="begin"/>
              </w:r>
              <w:r w:rsidR="00184169">
                <w:rPr>
                  <w:szCs w:val="21"/>
                </w:rPr>
                <w:instrText xml:space="preserve">MACROBUTTON  SnrToggleCheckbox □适用 </w:instrText>
              </w:r>
              <w:r>
                <w:rPr>
                  <w:szCs w:val="21"/>
                </w:rPr>
                <w:fldChar w:fldCharType="end"/>
              </w:r>
              <w:r>
                <w:rPr>
                  <w:szCs w:val="21"/>
                </w:rPr>
                <w:fldChar w:fldCharType="begin"/>
              </w:r>
              <w:r w:rsidR="00184169">
                <w:rPr>
                  <w:szCs w:val="21"/>
                </w:rPr>
                <w:instrText xml:space="preserve"> MACROBUTTON  SnrToggleCheckbox √不适用 </w:instrText>
              </w:r>
              <w:r>
                <w:rPr>
                  <w:szCs w:val="21"/>
                </w:rPr>
                <w:fldChar w:fldCharType="end"/>
              </w:r>
            </w:p>
          </w:sdtContent>
        </w:sdt>
        <w:p w:rsidR="00806678" w:rsidRDefault="00B16377">
          <w:pPr>
            <w:snapToGrid w:val="0"/>
            <w:spacing w:line="240" w:lineRule="atLeast"/>
            <w:rPr>
              <w:szCs w:val="21"/>
            </w:rPr>
          </w:pPr>
          <w:r>
            <w:rPr>
              <w:rFonts w:hint="eastAsia"/>
              <w:szCs w:val="21"/>
            </w:rPr>
            <w:t>应收账款核销说明：</w:t>
          </w:r>
        </w:p>
        <w:sdt>
          <w:sdtPr>
            <w:rPr>
              <w:szCs w:val="21"/>
            </w:rPr>
            <w:alias w:val="是否适用：应收账款核销说明[双击切换]"/>
            <w:tag w:val="_GBC_e00d0b458c1b4b5f99d670e3f2a2b2e2"/>
            <w:id w:val="2109076033"/>
            <w:lock w:val="sdtLocked"/>
            <w:placeholder>
              <w:docPart w:val="GBC22222222222222222222222222222"/>
            </w:placeholder>
          </w:sdtPr>
          <w:sdtContent>
            <w:p w:rsidR="00806678" w:rsidRDefault="00F80B6C" w:rsidP="00184169">
              <w:pPr>
                <w:snapToGrid w:val="0"/>
                <w:spacing w:line="240" w:lineRule="atLeast"/>
              </w:pPr>
              <w:r>
                <w:rPr>
                  <w:szCs w:val="21"/>
                </w:rPr>
                <w:fldChar w:fldCharType="begin"/>
              </w:r>
              <w:r w:rsidR="00184169">
                <w:rPr>
                  <w:szCs w:val="21"/>
                </w:rPr>
                <w:instrText xml:space="preserve">MACROBUTTON  SnrToggleCheckbox □适用 </w:instrText>
              </w:r>
              <w:r>
                <w:rPr>
                  <w:szCs w:val="21"/>
                </w:rPr>
                <w:fldChar w:fldCharType="end"/>
              </w:r>
              <w:r>
                <w:rPr>
                  <w:szCs w:val="21"/>
                </w:rPr>
                <w:fldChar w:fldCharType="begin"/>
              </w:r>
              <w:r w:rsidR="00184169">
                <w:rPr>
                  <w:szCs w:val="21"/>
                </w:rPr>
                <w:instrText xml:space="preserve"> MACROBUTTON  SnrToggleCheckbox √不适用 </w:instrText>
              </w:r>
              <w:r>
                <w:rPr>
                  <w:szCs w:val="21"/>
                </w:rPr>
                <w:fldChar w:fldCharType="end"/>
              </w:r>
            </w:p>
          </w:sdtContent>
        </w:sdt>
      </w:sdtContent>
    </w:sdt>
    <w:p w:rsidR="00806678" w:rsidRDefault="00806678"/>
    <w:sdt>
      <w:sdtPr>
        <w:rPr>
          <w:rFonts w:ascii="Times New Roman" w:eastAsia="宋体" w:hAnsi="Times New Roman" w:cs="宋体" w:hint="eastAsia"/>
          <w:b w:val="0"/>
          <w:bCs w:val="0"/>
          <w:kern w:val="0"/>
          <w:szCs w:val="24"/>
        </w:rPr>
        <w:alias w:val="模块:按欠款方归集的期末余额前五名的应收账款情况："/>
        <w:tag w:val="_SEC_71c89f02128446e2b4ea3a2dfb767bd2"/>
        <w:id w:val="689804886"/>
        <w:lock w:val="sdtLocked"/>
        <w:placeholder>
          <w:docPart w:val="GBC22222222222222222222222222222"/>
        </w:placeholder>
      </w:sdtPr>
      <w:sdtContent>
        <w:p w:rsidR="00806678" w:rsidRPr="00226069" w:rsidRDefault="00226069" w:rsidP="00226069">
          <w:pPr>
            <w:pStyle w:val="4"/>
            <w:rPr>
              <w:rFonts w:ascii="宋体" w:eastAsia="宋体" w:hAnsi="宋体" w:cs="宋体"/>
              <w:kern w:val="0"/>
              <w:szCs w:val="22"/>
            </w:rPr>
          </w:pPr>
          <w:r w:rsidRPr="00226069">
            <w:rPr>
              <w:rFonts w:ascii="宋体" w:eastAsia="宋体" w:hAnsi="宋体" w:cs="宋体"/>
              <w:kern w:val="0"/>
              <w:szCs w:val="22"/>
            </w:rPr>
            <w:t>(5).</w:t>
          </w:r>
          <w:r w:rsidR="00B16377" w:rsidRPr="00226069">
            <w:rPr>
              <w:rFonts w:ascii="宋体" w:eastAsia="宋体" w:hAnsi="宋体" w:cs="宋体" w:hint="eastAsia"/>
              <w:kern w:val="0"/>
              <w:szCs w:val="22"/>
            </w:rPr>
            <w:t>按欠款方归集的期末余额前五名的应收账款情况</w:t>
          </w:r>
        </w:p>
        <w:sdt>
          <w:sdtPr>
            <w:rPr>
              <w:rFonts w:hint="eastAsia"/>
              <w:szCs w:val="21"/>
            </w:rPr>
            <w:alias w:val="是否适用：按欠款方归集的期末余额前五名的应收账款情况[双击切换]"/>
            <w:tag w:val="_GBC_384d0a1c7eac41bb9693117cbe9c7e5b"/>
            <w:id w:val="-1294215865"/>
            <w:lock w:val="sdtLocked"/>
            <w:placeholder>
              <w:docPart w:val="GBC22222222222222222222222222222"/>
            </w:placeholder>
          </w:sdtPr>
          <w:sdtContent>
            <w:p w:rsidR="00806678" w:rsidRDefault="00F80B6C">
              <w:pPr>
                <w:snapToGrid w:val="0"/>
                <w:spacing w:line="240" w:lineRule="atLeast"/>
                <w:rPr>
                  <w:szCs w:val="21"/>
                </w:rPr>
              </w:pPr>
              <w:r>
                <w:rPr>
                  <w:szCs w:val="21"/>
                </w:rPr>
                <w:fldChar w:fldCharType="begin"/>
              </w:r>
              <w:r w:rsidR="00184169">
                <w:rPr>
                  <w:szCs w:val="21"/>
                </w:rPr>
                <w:instrText xml:space="preserve"> MACROBUTTON  SnrToggleCheckbox √适用  </w:instrText>
              </w:r>
              <w:r>
                <w:rPr>
                  <w:szCs w:val="21"/>
                </w:rPr>
                <w:fldChar w:fldCharType="end"/>
              </w:r>
              <w:r>
                <w:rPr>
                  <w:szCs w:val="21"/>
                </w:rPr>
                <w:fldChar w:fldCharType="begin"/>
              </w:r>
              <w:r w:rsidR="00184169">
                <w:rPr>
                  <w:szCs w:val="21"/>
                </w:rPr>
                <w:instrText xml:space="preserve"> MACROBUTTON  SnrToggleCheckbox □不适用 </w:instrText>
              </w:r>
              <w:r>
                <w:rPr>
                  <w:szCs w:val="21"/>
                </w:rPr>
                <w:fldChar w:fldCharType="end"/>
              </w:r>
            </w:p>
          </w:sdtContent>
        </w:sdt>
        <w:p w:rsidR="00806678" w:rsidRDefault="00B16377">
          <w:pPr>
            <w:snapToGrid w:val="0"/>
            <w:spacing w:line="240" w:lineRule="atLeast"/>
            <w:jc w:val="right"/>
            <w:rPr>
              <w:szCs w:val="21"/>
            </w:rPr>
          </w:pPr>
          <w:r>
            <w:rPr>
              <w:rFonts w:hint="eastAsia"/>
              <w:szCs w:val="21"/>
            </w:rPr>
            <w:t>单位：</w:t>
          </w:r>
          <w:sdt>
            <w:sdtPr>
              <w:rPr>
                <w:szCs w:val="21"/>
              </w:rPr>
              <w:alias w:val="单位：财务附注：应收账款前五名欠款情况"/>
              <w:tag w:val="_GBC_95040abe54a0489f8b830082545a50f5"/>
              <w:id w:val="-1163772087"/>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szCs w:val="21"/>
                </w:rPr>
                <w:t>元</w:t>
              </w:r>
            </w:sdtContent>
          </w:sdt>
          <w:r>
            <w:rPr>
              <w:rFonts w:hint="eastAsia"/>
              <w:szCs w:val="21"/>
            </w:rPr>
            <w:t xml:space="preserve">  币种：</w:t>
          </w:r>
          <w:sdt>
            <w:sdtPr>
              <w:rPr>
                <w:rFonts w:hint="eastAsia"/>
                <w:szCs w:val="21"/>
              </w:rPr>
              <w:alias w:val="币种：财务附注：应收账款前五名欠款情况"/>
              <w:tag w:val="_GBC_2e7ff062f76c406d86d744597244f24c"/>
              <w:id w:val="-16972136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42"/>
            <w:gridCol w:w="1703"/>
            <w:gridCol w:w="2135"/>
            <w:gridCol w:w="2258"/>
          </w:tblGrid>
          <w:tr w:rsidR="00806678" w:rsidTr="00184169">
            <w:trPr>
              <w:cantSplit/>
            </w:trPr>
            <w:sdt>
              <w:sdtPr>
                <w:rPr>
                  <w:rFonts w:hint="eastAsia"/>
                  <w:szCs w:val="21"/>
                </w:rPr>
                <w:tag w:val="_PLD_393da722a1e6440ebfe654baf23b690e"/>
                <w:id w:val="-672789460"/>
                <w:lock w:val="sdtLocked"/>
              </w:sdtPr>
              <w:sdtContent>
                <w:tc>
                  <w:tcPr>
                    <w:tcW w:w="1628" w:type="pct"/>
                    <w:vAlign w:val="center"/>
                  </w:tcPr>
                  <w:p w:rsidR="00806678" w:rsidRDefault="00B16377">
                    <w:pPr>
                      <w:ind w:right="105"/>
                      <w:jc w:val="center"/>
                      <w:rPr>
                        <w:szCs w:val="21"/>
                      </w:rPr>
                    </w:pPr>
                    <w:r>
                      <w:rPr>
                        <w:rFonts w:hint="eastAsia"/>
                        <w:szCs w:val="21"/>
                      </w:rPr>
                      <w:t>单位名称</w:t>
                    </w:r>
                  </w:p>
                </w:tc>
              </w:sdtContent>
            </w:sdt>
            <w:sdt>
              <w:sdtPr>
                <w:rPr>
                  <w:rFonts w:hint="eastAsia"/>
                  <w:szCs w:val="21"/>
                </w:rPr>
                <w:tag w:val="_PLD_e14b89c8ccbc4e1fbb83ed437d4f7c27"/>
                <w:id w:val="1746987457"/>
                <w:lock w:val="sdtLocked"/>
              </w:sdtPr>
              <w:sdtContent>
                <w:tc>
                  <w:tcPr>
                    <w:tcW w:w="942" w:type="pct"/>
                    <w:vAlign w:val="center"/>
                  </w:tcPr>
                  <w:p w:rsidR="00806678" w:rsidRDefault="00B16377">
                    <w:pPr>
                      <w:ind w:right="73"/>
                      <w:jc w:val="center"/>
                      <w:rPr>
                        <w:szCs w:val="21"/>
                      </w:rPr>
                    </w:pPr>
                    <w:r>
                      <w:rPr>
                        <w:rFonts w:hint="eastAsia"/>
                        <w:szCs w:val="21"/>
                      </w:rPr>
                      <w:t>期末余额</w:t>
                    </w:r>
                  </w:p>
                </w:tc>
              </w:sdtContent>
            </w:sdt>
            <w:sdt>
              <w:sdtPr>
                <w:rPr>
                  <w:rFonts w:hint="eastAsia"/>
                  <w:szCs w:val="21"/>
                </w:rPr>
                <w:tag w:val="_PLD_fe3fe9e0c6444bbca9de49f2f86ff256"/>
                <w:id w:val="-776948639"/>
                <w:lock w:val="sdtLocked"/>
              </w:sdtPr>
              <w:sdtEndPr>
                <w:rPr>
                  <w:rFonts w:hint="default"/>
                </w:rPr>
              </w:sdtEndPr>
              <w:sdtContent>
                <w:tc>
                  <w:tcPr>
                    <w:tcW w:w="1181" w:type="pct"/>
                    <w:vAlign w:val="center"/>
                  </w:tcPr>
                  <w:p w:rsidR="00806678" w:rsidRDefault="00B16377">
                    <w:pPr>
                      <w:jc w:val="center"/>
                      <w:rPr>
                        <w:szCs w:val="21"/>
                      </w:rPr>
                    </w:pPr>
                    <w:r>
                      <w:rPr>
                        <w:rFonts w:hint="eastAsia"/>
                        <w:szCs w:val="21"/>
                      </w:rPr>
                      <w:t>占应收账款期末余额合计数的比例(</w:t>
                    </w:r>
                    <w:r>
                      <w:rPr>
                        <w:szCs w:val="21"/>
                      </w:rPr>
                      <w:t>%)</w:t>
                    </w:r>
                  </w:p>
                </w:tc>
              </w:sdtContent>
            </w:sdt>
            <w:sdt>
              <w:sdtPr>
                <w:rPr>
                  <w:rFonts w:hint="eastAsia"/>
                  <w:szCs w:val="21"/>
                </w:rPr>
                <w:tag w:val="_PLD_e198f1b6108c4fccacfc45ea46e8ff41"/>
                <w:id w:val="-554084469"/>
                <w:lock w:val="sdtLocked"/>
              </w:sdtPr>
              <w:sdtContent>
                <w:tc>
                  <w:tcPr>
                    <w:tcW w:w="1250" w:type="pct"/>
                    <w:vAlign w:val="center"/>
                  </w:tcPr>
                  <w:p w:rsidR="00806678" w:rsidRDefault="00B16377">
                    <w:pPr>
                      <w:jc w:val="center"/>
                      <w:rPr>
                        <w:szCs w:val="21"/>
                      </w:rPr>
                    </w:pPr>
                    <w:r>
                      <w:rPr>
                        <w:rFonts w:hint="eastAsia"/>
                        <w:szCs w:val="21"/>
                      </w:rPr>
                      <w:t>坏账准备期末余额</w:t>
                    </w:r>
                  </w:p>
                </w:tc>
              </w:sdtContent>
            </w:sdt>
          </w:tr>
          <w:sdt>
            <w:sdtPr>
              <w:rPr>
                <w:szCs w:val="21"/>
              </w:rPr>
              <w:alias w:val="应收账款欠款户"/>
              <w:tag w:val="_TUP_71de566abd764904906a55741ffee786"/>
              <w:id w:val="2075843684"/>
              <w:lock w:val="sdtLocked"/>
            </w:sdtPr>
            <w:sdtContent>
              <w:tr w:rsidR="00806678" w:rsidTr="00184169">
                <w:trPr>
                  <w:cantSplit/>
                </w:trPr>
                <w:tc>
                  <w:tcPr>
                    <w:tcW w:w="1628" w:type="pct"/>
                  </w:tcPr>
                  <w:p w:rsidR="00806678" w:rsidRDefault="00184169">
                    <w:pPr>
                      <w:ind w:right="105"/>
                      <w:rPr>
                        <w:szCs w:val="21"/>
                      </w:rPr>
                    </w:pPr>
                    <w:r w:rsidRPr="00184169">
                      <w:rPr>
                        <w:rFonts w:hint="eastAsia"/>
                        <w:szCs w:val="21"/>
                      </w:rPr>
                      <w:t>余额前五名的应收账款总额</w:t>
                    </w:r>
                  </w:p>
                </w:tc>
                <w:tc>
                  <w:tcPr>
                    <w:tcW w:w="942" w:type="pct"/>
                  </w:tcPr>
                  <w:p w:rsidR="00806678" w:rsidRDefault="00184169">
                    <w:pPr>
                      <w:ind w:right="73"/>
                      <w:jc w:val="right"/>
                      <w:rPr>
                        <w:szCs w:val="21"/>
                      </w:rPr>
                    </w:pPr>
                    <w:r w:rsidRPr="00184169">
                      <w:rPr>
                        <w:szCs w:val="21"/>
                      </w:rPr>
                      <w:t>7,542,685,198</w:t>
                    </w:r>
                  </w:p>
                </w:tc>
                <w:tc>
                  <w:tcPr>
                    <w:tcW w:w="1181" w:type="pct"/>
                  </w:tcPr>
                  <w:p w:rsidR="00806678" w:rsidRDefault="00184169">
                    <w:pPr>
                      <w:jc w:val="right"/>
                      <w:rPr>
                        <w:szCs w:val="21"/>
                      </w:rPr>
                    </w:pPr>
                    <w:r w:rsidRPr="00184169">
                      <w:rPr>
                        <w:szCs w:val="21"/>
                      </w:rPr>
                      <w:t>92%</w:t>
                    </w:r>
                  </w:p>
                </w:tc>
                <w:tc>
                  <w:tcPr>
                    <w:tcW w:w="1250" w:type="pct"/>
                  </w:tcPr>
                  <w:p w:rsidR="00806678" w:rsidRDefault="00184169">
                    <w:pPr>
                      <w:jc w:val="right"/>
                      <w:rPr>
                        <w:szCs w:val="21"/>
                      </w:rPr>
                    </w:pPr>
                    <w:r w:rsidRPr="00184169">
                      <w:rPr>
                        <w:szCs w:val="21"/>
                      </w:rPr>
                      <w:t>197,011,651</w:t>
                    </w:r>
                  </w:p>
                </w:tc>
              </w:tr>
            </w:sdtContent>
          </w:sdt>
          <w:tr w:rsidR="00184169" w:rsidTr="00184169">
            <w:trPr>
              <w:cantSplit/>
            </w:trPr>
            <w:tc>
              <w:tcPr>
                <w:tcW w:w="1628" w:type="pct"/>
              </w:tcPr>
              <w:sdt>
                <w:sdtPr>
                  <w:rPr>
                    <w:rFonts w:hint="eastAsia"/>
                    <w:szCs w:val="21"/>
                  </w:rPr>
                  <w:tag w:val="_PLD_80106d3884164c6c84de375c8603e8dc"/>
                  <w:id w:val="-402299812"/>
                  <w:lock w:val="sdtLocked"/>
                </w:sdtPr>
                <w:sdtContent>
                  <w:p w:rsidR="00184169" w:rsidRDefault="00184169" w:rsidP="00184169">
                    <w:pPr>
                      <w:ind w:right="105"/>
                      <w:jc w:val="center"/>
                      <w:rPr>
                        <w:szCs w:val="21"/>
                      </w:rPr>
                    </w:pPr>
                    <w:r>
                      <w:rPr>
                        <w:rFonts w:hint="eastAsia"/>
                        <w:szCs w:val="21"/>
                      </w:rPr>
                      <w:t>合计</w:t>
                    </w:r>
                  </w:p>
                </w:sdtContent>
              </w:sdt>
            </w:tc>
            <w:tc>
              <w:tcPr>
                <w:tcW w:w="942" w:type="pct"/>
                <w:vAlign w:val="center"/>
              </w:tcPr>
              <w:p w:rsidR="00184169" w:rsidRDefault="00184169" w:rsidP="00184169">
                <w:pPr>
                  <w:ind w:right="73"/>
                  <w:jc w:val="right"/>
                  <w:rPr>
                    <w:szCs w:val="21"/>
                  </w:rPr>
                </w:pPr>
                <w:r>
                  <w:t>7,542,685,198</w:t>
                </w:r>
              </w:p>
            </w:tc>
            <w:tc>
              <w:tcPr>
                <w:tcW w:w="1181" w:type="pct"/>
                <w:vAlign w:val="center"/>
              </w:tcPr>
              <w:p w:rsidR="00184169" w:rsidRDefault="00184169" w:rsidP="00184169">
                <w:pPr>
                  <w:jc w:val="right"/>
                  <w:rPr>
                    <w:szCs w:val="21"/>
                  </w:rPr>
                </w:pPr>
                <w:r>
                  <w:t>92%</w:t>
                </w:r>
              </w:p>
            </w:tc>
            <w:tc>
              <w:tcPr>
                <w:tcW w:w="1250" w:type="pct"/>
                <w:vAlign w:val="center"/>
              </w:tcPr>
              <w:p w:rsidR="00184169" w:rsidRDefault="00184169" w:rsidP="00184169">
                <w:pPr>
                  <w:jc w:val="right"/>
                  <w:rPr>
                    <w:szCs w:val="21"/>
                  </w:rPr>
                </w:pPr>
                <w:r>
                  <w:t>197,011,651</w:t>
                </w:r>
              </w:p>
            </w:tc>
          </w:tr>
        </w:tbl>
        <w:p w:rsidR="00806678" w:rsidRDefault="00806678">
          <w:pPr>
            <w:snapToGrid w:val="0"/>
            <w:spacing w:line="240" w:lineRule="atLeast"/>
            <w:rPr>
              <w:szCs w:val="21"/>
            </w:rPr>
          </w:pPr>
        </w:p>
        <w:p w:rsidR="00806678" w:rsidRDefault="00B16377">
          <w:pPr>
            <w:snapToGrid w:val="0"/>
            <w:spacing w:line="240" w:lineRule="atLeast"/>
            <w:rPr>
              <w:szCs w:val="21"/>
            </w:rPr>
          </w:pPr>
          <w:r>
            <w:rPr>
              <w:rFonts w:hint="eastAsia"/>
              <w:szCs w:val="21"/>
            </w:rPr>
            <w:t>其他说明</w:t>
          </w:r>
        </w:p>
        <w:sdt>
          <w:sdtPr>
            <w:rPr>
              <w:szCs w:val="21"/>
            </w:rPr>
            <w:alias w:val="按欠款方归集的期末余额前五名的应收账款情况的说明"/>
            <w:tag w:val="_GBC_c00993263f034b6b95498635f166760d"/>
            <w:id w:val="-1225296383"/>
            <w:lock w:val="sdtLocked"/>
            <w:placeholder>
              <w:docPart w:val="GBC22222222222222222222222222222"/>
            </w:placeholder>
          </w:sdtPr>
          <w:sdtContent>
            <w:p w:rsidR="00806678" w:rsidRDefault="00DD76FC">
              <w:pPr>
                <w:snapToGrid w:val="0"/>
                <w:spacing w:line="240" w:lineRule="atLeast"/>
                <w:rPr>
                  <w:szCs w:val="21"/>
                </w:rPr>
              </w:pPr>
              <w:r>
                <w:rPr>
                  <w:rFonts w:hint="eastAsia"/>
                  <w:szCs w:val="21"/>
                </w:rPr>
                <w:t>无</w:t>
              </w:r>
            </w:p>
          </w:sdtContent>
        </w:sdt>
        <w:p w:rsidR="00806678" w:rsidRDefault="00F80B6C">
          <w:pPr>
            <w:snapToGrid w:val="0"/>
            <w:spacing w:line="240" w:lineRule="atLeast"/>
            <w:rPr>
              <w:szCs w:val="21"/>
            </w:rPr>
          </w:pPr>
        </w:p>
      </w:sdtContent>
    </w:sdt>
    <w:sdt>
      <w:sdtPr>
        <w:rPr>
          <w:rFonts w:ascii="Times New Roman" w:eastAsia="宋体" w:hAnsi="Times New Roman" w:cs="宋体" w:hint="eastAsia"/>
          <w:b w:val="0"/>
          <w:bCs w:val="0"/>
          <w:kern w:val="0"/>
          <w:szCs w:val="24"/>
        </w:rPr>
        <w:alias w:val="模块:因金融资产转移而终止确认的应收账款"/>
        <w:tag w:val="_SEC_c714bd6e3e0e4f269266374f899ea672"/>
        <w:id w:val="1744218192"/>
        <w:lock w:val="sdtLocked"/>
        <w:placeholder>
          <w:docPart w:val="GBC22222222222222222222222222222"/>
        </w:placeholder>
      </w:sdtPr>
      <w:sdtContent>
        <w:p w:rsidR="00806678" w:rsidRPr="00226069" w:rsidRDefault="00226069" w:rsidP="00226069">
          <w:pPr>
            <w:pStyle w:val="4"/>
            <w:rPr>
              <w:rFonts w:ascii="宋体" w:eastAsia="宋体" w:hAnsi="宋体" w:cs="宋体"/>
              <w:kern w:val="0"/>
              <w:szCs w:val="22"/>
            </w:rPr>
          </w:pPr>
          <w:r w:rsidRPr="00226069">
            <w:rPr>
              <w:rFonts w:ascii="宋体" w:eastAsia="宋体" w:hAnsi="宋体" w:cs="宋体"/>
              <w:kern w:val="0"/>
              <w:szCs w:val="22"/>
            </w:rPr>
            <w:t>(6).</w:t>
          </w:r>
          <w:r w:rsidR="00B16377" w:rsidRPr="00226069">
            <w:rPr>
              <w:rFonts w:ascii="宋体" w:eastAsia="宋体" w:hAnsi="宋体" w:cs="宋体" w:hint="eastAsia"/>
              <w:kern w:val="0"/>
              <w:szCs w:val="22"/>
            </w:rPr>
            <w:t>因金融资产转移而终止确认的应收账款</w:t>
          </w:r>
        </w:p>
        <w:sdt>
          <w:sdtPr>
            <w:rPr>
              <w:rFonts w:hint="eastAsia"/>
              <w:szCs w:val="21"/>
            </w:rPr>
            <w:alias w:val="是否适用：因金融资产转移而终止确认的应收账款[双击切换]"/>
            <w:tag w:val="_GBC_dfb8423e0ae348dfb33933d73bade44c"/>
            <w:id w:val="-322431901"/>
            <w:lock w:val="sdtLocked"/>
            <w:placeholder>
              <w:docPart w:val="GBC22222222222222222222222222222"/>
            </w:placeholder>
          </w:sdtPr>
          <w:sdtContent>
            <w:p w:rsidR="00806678" w:rsidRDefault="00F80B6C" w:rsidP="00DD76FC">
              <w:pPr>
                <w:snapToGrid w:val="0"/>
                <w:spacing w:line="240" w:lineRule="atLeast"/>
                <w:rPr>
                  <w:szCs w:val="21"/>
                </w:rPr>
              </w:pPr>
              <w:r>
                <w:rPr>
                  <w:szCs w:val="21"/>
                </w:rPr>
                <w:fldChar w:fldCharType="begin"/>
              </w:r>
              <w:r w:rsidR="00DD76FC">
                <w:rPr>
                  <w:szCs w:val="21"/>
                </w:rPr>
                <w:instrText xml:space="preserve"> MACROBUTTON  SnrToggleCheckbox □适用  </w:instrText>
              </w:r>
              <w:r>
                <w:rPr>
                  <w:szCs w:val="21"/>
                </w:rPr>
                <w:fldChar w:fldCharType="end"/>
              </w:r>
              <w:r>
                <w:rPr>
                  <w:szCs w:val="21"/>
                </w:rPr>
                <w:fldChar w:fldCharType="begin"/>
              </w:r>
              <w:r w:rsidR="00DD76FC">
                <w:rPr>
                  <w:szCs w:val="21"/>
                </w:rPr>
                <w:instrText xml:space="preserve"> MACROBUTTON  SnrToggleCheckbox √不适用 </w:instrText>
              </w:r>
              <w:r>
                <w:rPr>
                  <w:szCs w:val="21"/>
                </w:rPr>
                <w:fldChar w:fldCharType="end"/>
              </w:r>
            </w:p>
          </w:sdtContent>
        </w:sdt>
        <w:p w:rsidR="00806678" w:rsidRDefault="00F80B6C">
          <w:pPr>
            <w:snapToGrid w:val="0"/>
            <w:spacing w:line="240" w:lineRule="atLeast"/>
            <w:rPr>
              <w:rFonts w:ascii="Times New Roman" w:hAnsi="Times New Roman"/>
            </w:rPr>
          </w:pPr>
        </w:p>
      </w:sdtContent>
    </w:sdt>
    <w:sdt>
      <w:sdtPr>
        <w:rPr>
          <w:rFonts w:ascii="Times New Roman" w:eastAsia="宋体" w:hAnsi="Times New Roman" w:cs="宋体" w:hint="eastAsia"/>
          <w:b w:val="0"/>
          <w:bCs w:val="0"/>
          <w:kern w:val="0"/>
          <w:szCs w:val="24"/>
        </w:rPr>
        <w:alias w:val="模块:转移应收账款且继续涉入的，分项列示继续涉入形成的资产、负债的金额"/>
        <w:tag w:val="_SEC_304899e10c75409c8a53fa6208e46b9c"/>
        <w:id w:val="444196540"/>
        <w:lock w:val="sdtLocked"/>
        <w:placeholder>
          <w:docPart w:val="GBC22222222222222222222222222222"/>
        </w:placeholder>
      </w:sdtPr>
      <w:sdtContent>
        <w:p w:rsidR="00806678" w:rsidRPr="00226069" w:rsidRDefault="00226069" w:rsidP="00226069">
          <w:pPr>
            <w:pStyle w:val="4"/>
            <w:rPr>
              <w:rFonts w:ascii="宋体" w:eastAsia="宋体" w:hAnsi="宋体" w:cs="宋体"/>
              <w:kern w:val="0"/>
              <w:szCs w:val="22"/>
            </w:rPr>
          </w:pPr>
          <w:r w:rsidRPr="00226069">
            <w:rPr>
              <w:rFonts w:ascii="宋体" w:eastAsia="宋体" w:hAnsi="宋体" w:cs="宋体"/>
              <w:kern w:val="0"/>
              <w:szCs w:val="22"/>
            </w:rPr>
            <w:t>(7).</w:t>
          </w:r>
          <w:r w:rsidR="00B16377" w:rsidRPr="00226069">
            <w:rPr>
              <w:rFonts w:ascii="宋体" w:eastAsia="宋体" w:hAnsi="宋体" w:cs="宋体" w:hint="eastAsia"/>
              <w:kern w:val="0"/>
              <w:szCs w:val="22"/>
            </w:rPr>
            <w:t>转移应收账款且继续涉入形成的资产、负债金额</w:t>
          </w:r>
        </w:p>
        <w:sdt>
          <w:sdtPr>
            <w:rPr>
              <w:rFonts w:hint="eastAsia"/>
            </w:rPr>
            <w:alias w:val="是否适用：转移应收账款且继续涉入形成的资产、负债金额[双击切换]"/>
            <w:tag w:val="_GBC_b2ae4888f2a44724852098ef5926692e"/>
            <w:id w:val="1558747376"/>
            <w:lock w:val="sdtLocked"/>
            <w:placeholder>
              <w:docPart w:val="GBC22222222222222222222222222222"/>
            </w:placeholder>
          </w:sdtPr>
          <w:sdtContent>
            <w:p w:rsidR="00806678" w:rsidRDefault="00F80B6C" w:rsidP="00DD76FC">
              <w:pPr>
                <w:snapToGrid w:val="0"/>
                <w:spacing w:line="240" w:lineRule="atLeast"/>
                <w:rPr>
                  <w:rFonts w:ascii="Times New Roman" w:hAnsi="Times New Roman"/>
                </w:rPr>
              </w:pPr>
              <w:r>
                <w:fldChar w:fldCharType="begin"/>
              </w:r>
              <w:r w:rsidR="00DD76FC">
                <w:instrText xml:space="preserve"> MACROBUTTON  SnrToggleCheckbox □适用  </w:instrText>
              </w:r>
              <w:r>
                <w:fldChar w:fldCharType="end"/>
              </w:r>
              <w:r>
                <w:fldChar w:fldCharType="begin"/>
              </w:r>
              <w:r w:rsidR="00DD76FC">
                <w:instrText xml:space="preserve"> MACROBUTTON  SnrToggleCheckbox √不适用 </w:instrText>
              </w:r>
              <w:r>
                <w:fldChar w:fldCharType="end"/>
              </w:r>
            </w:p>
          </w:sdtContent>
        </w:sdt>
      </w:sdtContent>
    </w:sdt>
    <w:p w:rsidR="00806678" w:rsidRDefault="00806678">
      <w:pPr>
        <w:snapToGrid w:val="0"/>
        <w:spacing w:line="240" w:lineRule="atLeast"/>
        <w:ind w:leftChars="-50" w:left="-105"/>
        <w:rPr>
          <w:rFonts w:ascii="Times New Roman" w:hAnsi="Times New Roman"/>
        </w:rPr>
      </w:pPr>
    </w:p>
    <w:sdt>
      <w:sdtPr>
        <w:rPr>
          <w:rFonts w:ascii="Times New Roman" w:hAnsi="Times New Roman" w:hint="eastAsia"/>
          <w:b/>
          <w:bCs/>
        </w:rPr>
        <w:alias w:val="模块:应收账款其他说明"/>
        <w:tag w:val="_SEC_46308b28e0464ca38e1d9a9e55371ee9"/>
        <w:id w:val="1028917340"/>
        <w:lock w:val="sdtLocked"/>
        <w:placeholder>
          <w:docPart w:val="GBC22222222222222222222222222222"/>
        </w:placeholder>
      </w:sdtPr>
      <w:sdtEndPr>
        <w:rPr>
          <w:rFonts w:hint="default"/>
          <w:b w:val="0"/>
          <w:bCs w:val="0"/>
        </w:rPr>
      </w:sdtEndPr>
      <w:sdtContent>
        <w:p w:rsidR="00806678" w:rsidRDefault="00B16377">
          <w:pPr>
            <w:snapToGrid w:val="0"/>
            <w:spacing w:line="240" w:lineRule="atLeast"/>
          </w:pPr>
          <w:r>
            <w:rPr>
              <w:rFonts w:hint="eastAsia"/>
            </w:rPr>
            <w:t>其他</w:t>
          </w:r>
          <w:r>
            <w:t>说明：</w:t>
          </w:r>
        </w:p>
        <w:sdt>
          <w:sdtPr>
            <w:rPr>
              <w:rFonts w:hint="eastAsia"/>
            </w:rPr>
            <w:alias w:val="是否适用：应收账款其他说明[双击切换]"/>
            <w:tag w:val="_GBC_c8da833d28234be8913330da9ab8f46c"/>
            <w:id w:val="323328739"/>
            <w:lock w:val="sdtLocked"/>
            <w:placeholder>
              <w:docPart w:val="GBC22222222222222222222222222222"/>
            </w:placeholder>
          </w:sdtPr>
          <w:sdtContent>
            <w:p w:rsidR="00806678" w:rsidRDefault="00F80B6C" w:rsidP="00DD76FC">
              <w:pPr>
                <w:snapToGrid w:val="0"/>
                <w:spacing w:line="240" w:lineRule="atLeast"/>
              </w:pPr>
              <w:r>
                <w:fldChar w:fldCharType="begin"/>
              </w:r>
              <w:r w:rsidR="00DD76FC">
                <w:instrText xml:space="preserve"> MACROBUTTON  SnrToggleCheckbox □适用  </w:instrText>
              </w:r>
              <w:r>
                <w:fldChar w:fldCharType="end"/>
              </w:r>
              <w:r>
                <w:fldChar w:fldCharType="begin"/>
              </w:r>
              <w:r w:rsidR="00DD76FC">
                <w:instrText xml:space="preserve"> MACROBUTTON  SnrToggleCheckbox √不适用 </w:instrText>
              </w:r>
              <w:r>
                <w:fldChar w:fldCharType="end"/>
              </w:r>
            </w:p>
          </w:sdtContent>
        </w:sdt>
      </w:sdtContent>
    </w:sdt>
    <w:p w:rsidR="00806678" w:rsidRDefault="00806678">
      <w:pPr>
        <w:rPr>
          <w:szCs w:val="21"/>
        </w:rPr>
      </w:pPr>
    </w:p>
    <w:bookmarkStart w:id="164" w:name="_Hlk24102175" w:displacedByCustomXml="next"/>
    <w:sdt>
      <w:sdtPr>
        <w:rPr>
          <w:rFonts w:ascii="宋体" w:hAnsi="宋体" w:cs="宋体"/>
          <w:b w:val="0"/>
          <w:bCs w:val="0"/>
          <w:kern w:val="0"/>
          <w:szCs w:val="21"/>
        </w:rPr>
        <w:alias w:val="模块:应收款项融资"/>
        <w:tag w:val="_SEC_27b579e617f043faa86b5afdc54a44ce"/>
        <w:id w:val="-271323515"/>
        <w:lock w:val="sdtLocked"/>
        <w:placeholder>
          <w:docPart w:val="GBC22222222222222222222222222222"/>
        </w:placeholder>
      </w:sdtPr>
      <w:sdtContent>
        <w:p w:rsidR="00806678" w:rsidRDefault="00B16377" w:rsidP="00FF17C7">
          <w:pPr>
            <w:pStyle w:val="3"/>
            <w:numPr>
              <w:ilvl w:val="0"/>
              <w:numId w:val="18"/>
            </w:numPr>
            <w:rPr>
              <w:szCs w:val="21"/>
            </w:rPr>
          </w:pPr>
          <w:r>
            <w:rPr>
              <w:rFonts w:hint="eastAsia"/>
              <w:szCs w:val="21"/>
            </w:rPr>
            <w:t>应收款项融资</w:t>
          </w:r>
        </w:p>
        <w:sdt>
          <w:sdtPr>
            <w:rPr>
              <w:szCs w:val="21"/>
            </w:rPr>
            <w:alias w:val="是否适用：应收款项融资[双击切换]"/>
            <w:tag w:val="_GBC_e38b7d767cdd4e9f8dd5f7f6ea2330da"/>
            <w:id w:val="881904402"/>
            <w:lock w:val="sdtLocked"/>
            <w:placeholder>
              <w:docPart w:val="GBC22222222222222222222222222222"/>
            </w:placeholder>
          </w:sdtPr>
          <w:sdtContent>
            <w:p w:rsidR="00806678" w:rsidRDefault="00F80B6C">
              <w:pPr>
                <w:rPr>
                  <w:szCs w:val="21"/>
                </w:rPr>
              </w:pPr>
              <w:r>
                <w:rPr>
                  <w:szCs w:val="21"/>
                </w:rPr>
                <w:fldChar w:fldCharType="begin"/>
              </w:r>
              <w:r w:rsidR="00DD76FC">
                <w:rPr>
                  <w:szCs w:val="21"/>
                </w:rPr>
                <w:instrText xml:space="preserve"> MACROBUTTON  SnrToggleCheckbox √适用 </w:instrText>
              </w:r>
              <w:r>
                <w:rPr>
                  <w:szCs w:val="21"/>
                </w:rPr>
                <w:fldChar w:fldCharType="end"/>
              </w:r>
              <w:r>
                <w:rPr>
                  <w:szCs w:val="21"/>
                </w:rPr>
                <w:fldChar w:fldCharType="begin"/>
              </w:r>
              <w:r w:rsidR="00DD76FC">
                <w:rPr>
                  <w:szCs w:val="21"/>
                </w:rPr>
                <w:instrText xml:space="preserve"> MACROBUTTON  SnrToggleCheckbox □不适用 </w:instrText>
              </w:r>
              <w:r>
                <w:rPr>
                  <w:szCs w:val="21"/>
                </w:rPr>
                <w:fldChar w:fldCharType="end"/>
              </w:r>
            </w:p>
          </w:sdtContent>
        </w:sdt>
        <w:p w:rsidR="00806678" w:rsidRDefault="00B16377">
          <w:pPr>
            <w:ind w:left="420" w:right="-98"/>
            <w:jc w:val="right"/>
          </w:pPr>
          <w:r>
            <w:rPr>
              <w:rFonts w:hint="eastAsia"/>
            </w:rPr>
            <w:t xml:space="preserve">  单位：</w:t>
          </w:r>
          <w:sdt>
            <w:sdtPr>
              <w:rPr>
                <w:rFonts w:hint="eastAsia"/>
              </w:rPr>
              <w:alias w:val="单位：应收款项融资"/>
              <w:tag w:val="_GBC_718fb908b95f48ec84742dfac4338fd4"/>
              <w:id w:val="83534673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应收款项融资"/>
              <w:tag w:val="_GBC_e0c43db94ecc4e51b884c86496138ea2"/>
              <w:id w:val="-14505069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3245"/>
            <w:gridCol w:w="2897"/>
            <w:gridCol w:w="2907"/>
          </w:tblGrid>
          <w:tr w:rsidR="00AE6229" w:rsidTr="00AE6229">
            <w:bookmarkStart w:id="165" w:name="_Hlk13057555" w:displacedByCustomXml="next"/>
            <w:bookmarkStart w:id="166" w:name="_Hlk12969247" w:displacedByCustomXml="next"/>
            <w:sdt>
              <w:sdtPr>
                <w:tag w:val="_PLD_03e528ffb61e4b53acdd40b3208f06a9"/>
                <w:id w:val="-310555703"/>
                <w:lock w:val="sdtLocked"/>
              </w:sdtPr>
              <w:sdtContent>
                <w:tc>
                  <w:tcPr>
                    <w:tcW w:w="1793" w:type="pct"/>
                    <w:shd w:val="clear" w:color="auto" w:fill="auto"/>
                    <w:vAlign w:val="center"/>
                  </w:tcPr>
                  <w:p w:rsidR="00AE6229" w:rsidRDefault="00AE6229" w:rsidP="00601D47">
                    <w:pPr>
                      <w:jc w:val="center"/>
                      <w:rPr>
                        <w:szCs w:val="21"/>
                      </w:rPr>
                    </w:pPr>
                    <w:r>
                      <w:rPr>
                        <w:rFonts w:hint="eastAsia"/>
                        <w:szCs w:val="21"/>
                      </w:rPr>
                      <w:t>项目</w:t>
                    </w:r>
                  </w:p>
                </w:tc>
              </w:sdtContent>
            </w:sdt>
            <w:sdt>
              <w:sdtPr>
                <w:tag w:val="_PLD_8d81c1822e774f6081deb29ea5466dc8"/>
                <w:id w:val="-1490167682"/>
                <w:lock w:val="sdtLocked"/>
              </w:sdtPr>
              <w:sdtContent>
                <w:tc>
                  <w:tcPr>
                    <w:tcW w:w="1601" w:type="pct"/>
                    <w:tcBorders>
                      <w:bottom w:val="single" w:sz="6" w:space="0" w:color="auto"/>
                    </w:tcBorders>
                    <w:shd w:val="clear" w:color="auto" w:fill="auto"/>
                    <w:vAlign w:val="center"/>
                  </w:tcPr>
                  <w:p w:rsidR="00AE6229" w:rsidRDefault="00AE6229" w:rsidP="00601D47">
                    <w:pPr>
                      <w:autoSpaceDE w:val="0"/>
                      <w:autoSpaceDN w:val="0"/>
                      <w:adjustRightInd w:val="0"/>
                      <w:snapToGrid w:val="0"/>
                      <w:spacing w:line="240" w:lineRule="atLeast"/>
                      <w:jc w:val="center"/>
                      <w:rPr>
                        <w:szCs w:val="21"/>
                      </w:rPr>
                    </w:pPr>
                    <w:r>
                      <w:rPr>
                        <w:rFonts w:hint="eastAsia"/>
                        <w:szCs w:val="21"/>
                      </w:rPr>
                      <w:t>期末余额</w:t>
                    </w:r>
                  </w:p>
                </w:tc>
              </w:sdtContent>
            </w:sdt>
            <w:sdt>
              <w:sdtPr>
                <w:tag w:val="_PLD_c1ad8d0386f942b4b74733e3287ad275"/>
                <w:id w:val="-752350423"/>
                <w:lock w:val="sdtLocked"/>
              </w:sdtPr>
              <w:sdtContent>
                <w:tc>
                  <w:tcPr>
                    <w:tcW w:w="1606" w:type="pct"/>
                    <w:shd w:val="clear" w:color="auto" w:fill="auto"/>
                    <w:vAlign w:val="center"/>
                  </w:tcPr>
                  <w:p w:rsidR="00AE6229" w:rsidRDefault="00AE6229" w:rsidP="00601D47">
                    <w:pPr>
                      <w:autoSpaceDE w:val="0"/>
                      <w:autoSpaceDN w:val="0"/>
                      <w:adjustRightInd w:val="0"/>
                      <w:snapToGrid w:val="0"/>
                      <w:spacing w:line="240" w:lineRule="atLeast"/>
                      <w:jc w:val="center"/>
                      <w:rPr>
                        <w:szCs w:val="21"/>
                      </w:rPr>
                    </w:pPr>
                    <w:r>
                      <w:rPr>
                        <w:rFonts w:hint="eastAsia"/>
                        <w:szCs w:val="21"/>
                      </w:rPr>
                      <w:t>期初余额</w:t>
                    </w:r>
                  </w:p>
                </w:tc>
              </w:sdtContent>
            </w:sdt>
          </w:tr>
          <w:sdt>
            <w:sdtPr>
              <w:rPr>
                <w:szCs w:val="21"/>
              </w:rPr>
              <w:alias w:val="应收款项融资明细"/>
              <w:tag w:val="_TUP_940e825e314d45c5b84fafdc8bddaee8"/>
              <w:id w:val="1860393674"/>
              <w:lock w:val="sdtLocked"/>
            </w:sdtPr>
            <w:sdtContent>
              <w:tr w:rsidR="00AE6229" w:rsidTr="00AE6229">
                <w:tc>
                  <w:tcPr>
                    <w:tcW w:w="1793" w:type="pct"/>
                    <w:shd w:val="clear" w:color="auto" w:fill="auto"/>
                  </w:tcPr>
                  <w:p w:rsidR="00AE6229" w:rsidRDefault="00AE6229" w:rsidP="00601D47">
                    <w:pPr>
                      <w:autoSpaceDE w:val="0"/>
                      <w:autoSpaceDN w:val="0"/>
                      <w:adjustRightInd w:val="0"/>
                      <w:rPr>
                        <w:szCs w:val="21"/>
                      </w:rPr>
                    </w:pPr>
                    <w:r>
                      <w:rPr>
                        <w:szCs w:val="21"/>
                      </w:rPr>
                      <w:t>银行承兑汇票</w:t>
                    </w:r>
                  </w:p>
                </w:tc>
                <w:tc>
                  <w:tcPr>
                    <w:tcW w:w="1601" w:type="pct"/>
                    <w:tcBorders>
                      <w:top w:val="single" w:sz="6" w:space="0" w:color="auto"/>
                      <w:bottom w:val="single" w:sz="6" w:space="0" w:color="auto"/>
                    </w:tcBorders>
                    <w:shd w:val="clear" w:color="auto" w:fill="auto"/>
                  </w:tcPr>
                  <w:p w:rsidR="00AE6229" w:rsidRDefault="00AE6229" w:rsidP="00601D47">
                    <w:pPr>
                      <w:jc w:val="right"/>
                      <w:rPr>
                        <w:szCs w:val="21"/>
                      </w:rPr>
                    </w:pPr>
                    <w:r>
                      <w:t>374,668,679</w:t>
                    </w:r>
                  </w:p>
                </w:tc>
                <w:tc>
                  <w:tcPr>
                    <w:tcW w:w="1606" w:type="pct"/>
                    <w:shd w:val="clear" w:color="auto" w:fill="auto"/>
                  </w:tcPr>
                  <w:p w:rsidR="00AE6229" w:rsidRDefault="00AE6229" w:rsidP="00601D47">
                    <w:pPr>
                      <w:jc w:val="right"/>
                      <w:rPr>
                        <w:szCs w:val="21"/>
                      </w:rPr>
                    </w:pPr>
                    <w:r>
                      <w:t>454,271,185</w:t>
                    </w:r>
                  </w:p>
                </w:tc>
              </w:tr>
            </w:sdtContent>
          </w:sdt>
          <w:tr w:rsidR="00AE6229" w:rsidTr="00AE6229">
            <w:sdt>
              <w:sdtPr>
                <w:tag w:val="_PLD_c114cbc8272a41bb85c22331b0e83096"/>
                <w:id w:val="-255829390"/>
                <w:lock w:val="sdtLocked"/>
              </w:sdtPr>
              <w:sdtContent>
                <w:tc>
                  <w:tcPr>
                    <w:tcW w:w="1793" w:type="pct"/>
                    <w:shd w:val="clear" w:color="auto" w:fill="auto"/>
                    <w:vAlign w:val="center"/>
                  </w:tcPr>
                  <w:p w:rsidR="00AE6229" w:rsidRDefault="00AE6229" w:rsidP="00AE6229">
                    <w:pPr>
                      <w:jc w:val="center"/>
                      <w:rPr>
                        <w:szCs w:val="21"/>
                      </w:rPr>
                    </w:pPr>
                    <w:r>
                      <w:rPr>
                        <w:rFonts w:hint="eastAsia"/>
                        <w:szCs w:val="21"/>
                      </w:rPr>
                      <w:t>合计</w:t>
                    </w:r>
                  </w:p>
                </w:tc>
              </w:sdtContent>
            </w:sdt>
            <w:tc>
              <w:tcPr>
                <w:tcW w:w="1601" w:type="pct"/>
                <w:tcBorders>
                  <w:top w:val="single" w:sz="6" w:space="0" w:color="auto"/>
                  <w:bottom w:val="single" w:sz="4" w:space="0" w:color="auto"/>
                </w:tcBorders>
                <w:shd w:val="clear" w:color="auto" w:fill="auto"/>
                <w:vAlign w:val="center"/>
              </w:tcPr>
              <w:p w:rsidR="00AE6229" w:rsidRDefault="00AE6229" w:rsidP="00AE6229">
                <w:pPr>
                  <w:jc w:val="right"/>
                  <w:rPr>
                    <w:szCs w:val="21"/>
                  </w:rPr>
                </w:pPr>
                <w:r>
                  <w:t>374,668,679</w:t>
                </w:r>
              </w:p>
            </w:tc>
            <w:tc>
              <w:tcPr>
                <w:tcW w:w="1606" w:type="pct"/>
                <w:shd w:val="clear" w:color="auto" w:fill="auto"/>
                <w:vAlign w:val="center"/>
              </w:tcPr>
              <w:p w:rsidR="00AE6229" w:rsidRDefault="00AE6229" w:rsidP="00AE6229">
                <w:pPr>
                  <w:jc w:val="right"/>
                  <w:rPr>
                    <w:szCs w:val="21"/>
                  </w:rPr>
                </w:pPr>
                <w:r>
                  <w:t>454,271,185</w:t>
                </w:r>
              </w:p>
            </w:tc>
          </w:tr>
        </w:tbl>
        <w:p w:rsidR="00806678" w:rsidRDefault="00B16377">
          <w:pPr>
            <w:rPr>
              <w:szCs w:val="21"/>
            </w:rPr>
          </w:pPr>
          <w:r>
            <w:rPr>
              <w:rFonts w:hint="eastAsia"/>
            </w:rPr>
            <w:lastRenderedPageBreak/>
            <w:t>应收款项融资本期增减变动及公允价值变动情况</w:t>
          </w:r>
          <w:r>
            <w:rPr>
              <w:szCs w:val="21"/>
            </w:rPr>
            <w:t>：</w:t>
          </w:r>
        </w:p>
        <w:sdt>
          <w:sdtPr>
            <w:rPr>
              <w:rFonts w:hint="eastAsia"/>
            </w:rPr>
            <w:alias w:val="是否适用：应收款项融资本期增减变动及公允价值变动情况[双击切换]"/>
            <w:tag w:val="_GBC_1265a117176c43939de7d6d1e043f692"/>
            <w:id w:val="666749924"/>
            <w:lock w:val="sdtLocked"/>
            <w:placeholder>
              <w:docPart w:val="GBC22222222222222222222222222222"/>
            </w:placeholder>
          </w:sdtPr>
          <w:sdtContent>
            <w:p w:rsidR="00806678" w:rsidRDefault="00F80B6C">
              <w:r>
                <w:fldChar w:fldCharType="begin"/>
              </w:r>
              <w:r w:rsidR="00AE6229">
                <w:instrText xml:space="preserve"> MACROBUTTON  SnrToggleCheckbox √适用 </w:instrText>
              </w:r>
              <w:r>
                <w:fldChar w:fldCharType="end"/>
              </w:r>
              <w:r>
                <w:fldChar w:fldCharType="begin"/>
              </w:r>
              <w:r w:rsidR="00AE6229">
                <w:instrText xml:space="preserve"> MACROBUTTON  SnrToggleCheckbox □不适用 </w:instrText>
              </w:r>
              <w:r>
                <w:fldChar w:fldCharType="end"/>
              </w:r>
            </w:p>
          </w:sdtContent>
        </w:sdt>
        <w:sdt>
          <w:sdtPr>
            <w:alias w:val="应收款项融资本期增减变动及公允价值变动情况"/>
            <w:tag w:val="_GBC_700eec67c70943f6b1187ef40ea2b404"/>
            <w:id w:val="615262128"/>
            <w:lock w:val="sdtLocked"/>
            <w:placeholder>
              <w:docPart w:val="GBC22222222222222222222222222222"/>
            </w:placeholder>
          </w:sdtPr>
          <w:sdtContent>
            <w:p w:rsidR="00806678" w:rsidRDefault="00AE6229">
              <w:r w:rsidRPr="00AE6229">
                <w:rPr>
                  <w:rFonts w:hint="eastAsia"/>
                </w:rPr>
                <w:t>详见附注十</w:t>
              </w:r>
              <w:r w:rsidR="00205D87">
                <w:rPr>
                  <w:rFonts w:hint="eastAsia"/>
                </w:rPr>
                <w:t>一、</w:t>
              </w:r>
              <w:r w:rsidRPr="00AE6229">
                <w:t>1和4。</w:t>
              </w:r>
            </w:p>
          </w:sdtContent>
        </w:sdt>
        <w:bookmarkEnd w:id="165"/>
        <w:p w:rsidR="00806678" w:rsidRDefault="00B16377">
          <w:r>
            <w:rPr>
              <w:rFonts w:hint="eastAsia"/>
            </w:rPr>
            <w:t>如按预期信用损失一般模型计提坏账准备，请参照其他应收款披露</w:t>
          </w:r>
          <w:r>
            <w:rPr>
              <w:szCs w:val="21"/>
            </w:rPr>
            <w:t>：</w:t>
          </w:r>
        </w:p>
        <w:sdt>
          <w:sdtPr>
            <w:alias w:val="是否适用：应收款项融资预期信用损失的确定方法及会计处理方法[双击切换]"/>
            <w:tag w:val="_GBC_a10a2347420a40cfafa111a546252535"/>
            <w:id w:val="-1922252254"/>
            <w:lock w:val="sdtLocked"/>
            <w:placeholder>
              <w:docPart w:val="GBC22222222222222222222222222222"/>
            </w:placeholder>
          </w:sdtPr>
          <w:sdtContent>
            <w:p w:rsidR="00806678" w:rsidRDefault="00F80B6C" w:rsidP="00486694">
              <w:r>
                <w:fldChar w:fldCharType="begin"/>
              </w:r>
              <w:r w:rsidR="00486694">
                <w:instrText xml:space="preserve"> MACROBUTTON  SnrToggleCheckbox □适用 </w:instrText>
              </w:r>
              <w:r>
                <w:fldChar w:fldCharType="end"/>
              </w:r>
              <w:r>
                <w:fldChar w:fldCharType="begin"/>
              </w:r>
              <w:r w:rsidR="00486694">
                <w:instrText xml:space="preserve"> MACROBUTTON  SnrToggleCheckbox √不适用 </w:instrText>
              </w:r>
              <w:r>
                <w:fldChar w:fldCharType="end"/>
              </w:r>
            </w:p>
          </w:sdtContent>
        </w:sdt>
        <w:bookmarkEnd w:id="166"/>
        <w:p w:rsidR="00806678" w:rsidRDefault="00806678"/>
        <w:p w:rsidR="00806678" w:rsidRDefault="00B16377">
          <w:r>
            <w:rPr>
              <w:rFonts w:hint="eastAsia"/>
            </w:rPr>
            <w:t>其他</w:t>
          </w:r>
          <w:r>
            <w:t>说明</w:t>
          </w:r>
          <w:r>
            <w:rPr>
              <w:rFonts w:hint="eastAsia"/>
            </w:rPr>
            <w:t>：</w:t>
          </w:r>
        </w:p>
        <w:bookmarkStart w:id="167" w:name="_Hlk13057390" w:displacedByCustomXml="next"/>
        <w:sdt>
          <w:sdtPr>
            <w:rPr>
              <w:rFonts w:hint="eastAsia"/>
            </w:rPr>
            <w:alias w:val="是否适用：应收款项融资其他说明[双击切换]"/>
            <w:tag w:val="_GBC_19d5ef5dfbe64f2d98d9ab83a2e48c14"/>
            <w:id w:val="-162479674"/>
            <w:lock w:val="sdtLocked"/>
            <w:placeholder>
              <w:docPart w:val="GBC22222222222222222222222222222"/>
            </w:placeholder>
          </w:sdtPr>
          <w:sdtContent>
            <w:p w:rsidR="00787510" w:rsidRDefault="00F80B6C">
              <w:r>
                <w:fldChar w:fldCharType="begin"/>
              </w:r>
              <w:r w:rsidR="00486694">
                <w:instrText xml:space="preserve"> MACROBUTTON  SnrToggleCheckbox √适用 </w:instrText>
              </w:r>
              <w:r>
                <w:fldChar w:fldCharType="end"/>
              </w:r>
              <w:r>
                <w:fldChar w:fldCharType="begin"/>
              </w:r>
              <w:r w:rsidR="00486694">
                <w:instrText xml:space="preserve"> MACROBUTTON  SnrToggleCheckbox □不适用 </w:instrText>
              </w:r>
              <w:r>
                <w:fldChar w:fldCharType="end"/>
              </w:r>
            </w:p>
            <w:p w:rsidR="00806678" w:rsidRDefault="00F80B6C"/>
          </w:sdtContent>
        </w:sdt>
        <w:bookmarkEnd w:id="167" w:displacedByCustomXml="next"/>
        <w:sdt>
          <w:sdtPr>
            <w:rPr>
              <w:rFonts w:hint="eastAsia"/>
              <w:szCs w:val="21"/>
            </w:rPr>
            <w:alias w:val="应收款项融资其他说明"/>
            <w:tag w:val="_GBC_608e828d52814b6da9669fa32e97e5e1"/>
            <w:id w:val="204222861"/>
            <w:lock w:val="sdtLocked"/>
            <w:placeholder>
              <w:docPart w:val="GBC22222222222222222222222222222"/>
            </w:placeholder>
          </w:sdtPr>
          <w:sdtContent>
            <w:p w:rsidR="00486694" w:rsidRPr="00486694" w:rsidRDefault="00486694" w:rsidP="00486694">
              <w:pPr>
                <w:rPr>
                  <w:rFonts w:cs="Arial"/>
                  <w:sz w:val="22"/>
                  <w:szCs w:val="22"/>
                </w:rPr>
              </w:pPr>
              <w:r w:rsidRPr="00486694">
                <w:rPr>
                  <w:rFonts w:cs="Arial" w:hint="eastAsia"/>
                  <w:sz w:val="22"/>
                  <w:szCs w:val="22"/>
                </w:rPr>
                <w:t>本集团无单项计提减值准备的银行承兑汇票。于</w:t>
              </w:r>
              <w:r w:rsidRPr="00486694">
                <w:rPr>
                  <w:rFonts w:cs="Arial"/>
                  <w:sz w:val="22"/>
                  <w:szCs w:val="22"/>
                </w:rPr>
                <w:t>2022年12月31日，本集团按照整个存续期预期信用损失计量坏账准备，本集团认为所持有的银行承兑汇票不存在重大信用风险，不会因银行违约而产生重大损失。</w:t>
              </w:r>
            </w:p>
            <w:p w:rsidR="00486694" w:rsidRPr="00486694" w:rsidRDefault="00486694" w:rsidP="00486694">
              <w:pPr>
                <w:overflowPunct w:val="0"/>
                <w:adjustRightInd w:val="0"/>
                <w:snapToGrid w:val="0"/>
                <w:rPr>
                  <w:rFonts w:cs="Arial"/>
                  <w:sz w:val="22"/>
                  <w:szCs w:val="22"/>
                </w:rPr>
              </w:pPr>
            </w:p>
            <w:p w:rsidR="00486694" w:rsidRPr="00486694" w:rsidRDefault="00486694" w:rsidP="00486694">
              <w:pPr>
                <w:overflowPunct w:val="0"/>
                <w:adjustRightInd w:val="0"/>
                <w:snapToGrid w:val="0"/>
                <w:rPr>
                  <w:rFonts w:cs="Arial"/>
                  <w:sz w:val="22"/>
                  <w:szCs w:val="22"/>
                </w:rPr>
              </w:pPr>
              <w:r w:rsidRPr="00486694">
                <w:rPr>
                  <w:rFonts w:cs="Arial" w:hint="eastAsia"/>
                  <w:sz w:val="22"/>
                  <w:szCs w:val="22"/>
                </w:rPr>
                <w:t>于</w:t>
              </w:r>
              <w:r w:rsidRPr="00486694">
                <w:rPr>
                  <w:rFonts w:cs="Arial"/>
                  <w:sz w:val="22"/>
                  <w:szCs w:val="22"/>
                </w:rPr>
                <w:t>2022年12月31日，本集团质押的银行承兑汇票为人民币142,000,000元。</w:t>
              </w:r>
            </w:p>
            <w:p w:rsidR="00486694" w:rsidRPr="00486694" w:rsidRDefault="00486694" w:rsidP="00486694">
              <w:pPr>
                <w:overflowPunct w:val="0"/>
                <w:adjustRightInd w:val="0"/>
                <w:snapToGrid w:val="0"/>
                <w:rPr>
                  <w:rFonts w:cs="Arial"/>
                  <w:sz w:val="22"/>
                  <w:szCs w:val="22"/>
                </w:rPr>
              </w:pPr>
            </w:p>
            <w:p w:rsidR="00486694" w:rsidRPr="00486694" w:rsidRDefault="00486694" w:rsidP="00486694">
              <w:pPr>
                <w:overflowPunct w:val="0"/>
                <w:adjustRightInd w:val="0"/>
                <w:snapToGrid w:val="0"/>
                <w:rPr>
                  <w:rFonts w:cs="Arial"/>
                  <w:sz w:val="22"/>
                  <w:szCs w:val="22"/>
                </w:rPr>
              </w:pPr>
              <w:r w:rsidRPr="00486694">
                <w:rPr>
                  <w:rFonts w:cs="Arial" w:hint="eastAsia"/>
                  <w:sz w:val="22"/>
                  <w:szCs w:val="22"/>
                </w:rPr>
                <w:t>于</w:t>
              </w:r>
              <w:r w:rsidRPr="00486694">
                <w:rPr>
                  <w:rFonts w:cs="Arial"/>
                  <w:sz w:val="22"/>
                  <w:szCs w:val="22"/>
                </w:rPr>
                <w:t>2022年12月31日，本集团已背书已贴现但尚未到期的银行承兑汇票信息如下：</w:t>
              </w:r>
            </w:p>
            <w:p w:rsidR="00486694" w:rsidRDefault="00486694" w:rsidP="00486694">
              <w:pPr>
                <w:rPr>
                  <w:szCs w:val="21"/>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28" w:type="dxa"/>
                </w:tblCellMar>
                <w:tblLook w:val="04A0"/>
              </w:tblPr>
              <w:tblGrid>
                <w:gridCol w:w="4480"/>
                <w:gridCol w:w="2193"/>
                <w:gridCol w:w="2193"/>
              </w:tblGrid>
              <w:tr w:rsidR="00E832DF" w:rsidTr="00E832DF">
                <w:trPr>
                  <w:trHeight w:val="260"/>
                  <w:jc w:val="right"/>
                </w:trPr>
                <w:tc>
                  <w:tcPr>
                    <w:tcW w:w="2525" w:type="pct"/>
                    <w:vAlign w:val="bottom"/>
                  </w:tcPr>
                  <w:p w:rsidR="00E832DF" w:rsidRPr="008C237C" w:rsidRDefault="00E832DF" w:rsidP="00612529">
                    <w:pPr>
                      <w:snapToGrid w:val="0"/>
                      <w:jc w:val="center"/>
                    </w:pPr>
                    <w:r>
                      <w:rPr>
                        <w:rFonts w:hint="eastAsia"/>
                      </w:rPr>
                      <w:t>项目</w:t>
                    </w:r>
                  </w:p>
                </w:tc>
                <w:tc>
                  <w:tcPr>
                    <w:tcW w:w="1237" w:type="pct"/>
                    <w:vAlign w:val="bottom"/>
                  </w:tcPr>
                  <w:p w:rsidR="00E832DF" w:rsidRPr="008C237C" w:rsidRDefault="00E832DF" w:rsidP="00612529">
                    <w:pPr>
                      <w:snapToGrid w:val="0"/>
                      <w:jc w:val="center"/>
                    </w:pPr>
                    <w:r>
                      <w:rPr>
                        <w:rFonts w:hint="eastAsia"/>
                      </w:rPr>
                      <w:t>期末</w:t>
                    </w:r>
                    <w:r w:rsidRPr="008C237C">
                      <w:t>终止确认</w:t>
                    </w:r>
                    <w:r>
                      <w:rPr>
                        <w:rFonts w:hint="eastAsia"/>
                      </w:rPr>
                      <w:t>金额</w:t>
                    </w:r>
                  </w:p>
                </w:tc>
                <w:tc>
                  <w:tcPr>
                    <w:tcW w:w="1237" w:type="pct"/>
                  </w:tcPr>
                  <w:p w:rsidR="00E832DF" w:rsidRDefault="00E832DF" w:rsidP="00612529">
                    <w:pPr>
                      <w:snapToGrid w:val="0"/>
                      <w:jc w:val="center"/>
                    </w:pPr>
                    <w:r w:rsidRPr="00E832DF">
                      <w:rPr>
                        <w:rFonts w:hint="eastAsia"/>
                      </w:rPr>
                      <w:t>期末</w:t>
                    </w:r>
                    <w:r>
                      <w:rPr>
                        <w:rFonts w:hint="eastAsia"/>
                      </w:rPr>
                      <w:t>未</w:t>
                    </w:r>
                    <w:r w:rsidRPr="00E832DF">
                      <w:rPr>
                        <w:rFonts w:hint="eastAsia"/>
                      </w:rPr>
                      <w:t>终止确认金额</w:t>
                    </w:r>
                  </w:p>
                </w:tc>
              </w:tr>
              <w:tr w:rsidR="00E832DF" w:rsidTr="00E832DF">
                <w:trPr>
                  <w:trHeight w:val="260"/>
                  <w:jc w:val="right"/>
                </w:trPr>
                <w:tc>
                  <w:tcPr>
                    <w:tcW w:w="2525" w:type="pct"/>
                    <w:vAlign w:val="bottom"/>
                  </w:tcPr>
                  <w:p w:rsidR="00E832DF" w:rsidRPr="008C237C" w:rsidRDefault="00E832DF" w:rsidP="00612529">
                    <w:pPr>
                      <w:snapToGrid w:val="0"/>
                    </w:pPr>
                    <w:r w:rsidRPr="008C237C">
                      <w:t>银行承兑汇票</w:t>
                    </w:r>
                  </w:p>
                </w:tc>
                <w:tc>
                  <w:tcPr>
                    <w:tcW w:w="1237" w:type="pct"/>
                    <w:vAlign w:val="bottom"/>
                  </w:tcPr>
                  <w:p w:rsidR="00E832DF" w:rsidRPr="008C237C" w:rsidRDefault="00E832DF" w:rsidP="00612529">
                    <w:pPr>
                      <w:snapToGrid w:val="0"/>
                      <w:jc w:val="right"/>
                    </w:pPr>
                    <w:r w:rsidRPr="008C237C">
                      <w:t>699,186,331</w:t>
                    </w:r>
                  </w:p>
                </w:tc>
                <w:tc>
                  <w:tcPr>
                    <w:tcW w:w="1237" w:type="pct"/>
                  </w:tcPr>
                  <w:p w:rsidR="00E832DF" w:rsidRPr="008C237C" w:rsidRDefault="00E832DF" w:rsidP="00612529">
                    <w:pPr>
                      <w:snapToGrid w:val="0"/>
                      <w:jc w:val="right"/>
                    </w:pPr>
                    <w:r>
                      <w:t>0</w:t>
                    </w:r>
                  </w:p>
                </w:tc>
              </w:tr>
              <w:tr w:rsidR="00E832DF" w:rsidTr="00E832DF">
                <w:trPr>
                  <w:trHeight w:val="260"/>
                  <w:jc w:val="right"/>
                </w:trPr>
                <w:tc>
                  <w:tcPr>
                    <w:tcW w:w="2525" w:type="pct"/>
                    <w:vAlign w:val="bottom"/>
                  </w:tcPr>
                  <w:p w:rsidR="00E832DF" w:rsidRPr="008C237C" w:rsidRDefault="00E832DF" w:rsidP="00612529">
                    <w:pPr>
                      <w:snapToGrid w:val="0"/>
                    </w:pPr>
                    <w:r w:rsidRPr="008C237C">
                      <w:rPr>
                        <w:rFonts w:hint="eastAsia"/>
                      </w:rPr>
                      <w:t>合计</w:t>
                    </w:r>
                  </w:p>
                </w:tc>
                <w:tc>
                  <w:tcPr>
                    <w:tcW w:w="1237" w:type="pct"/>
                    <w:vAlign w:val="bottom"/>
                  </w:tcPr>
                  <w:p w:rsidR="00E832DF" w:rsidRPr="008C237C" w:rsidRDefault="00E832DF" w:rsidP="00612529">
                    <w:pPr>
                      <w:snapToGrid w:val="0"/>
                      <w:jc w:val="right"/>
                    </w:pPr>
                    <w:r w:rsidRPr="008C237C">
                      <w:t>699,186,331</w:t>
                    </w:r>
                  </w:p>
                </w:tc>
                <w:tc>
                  <w:tcPr>
                    <w:tcW w:w="1237" w:type="pct"/>
                  </w:tcPr>
                  <w:p w:rsidR="00E832DF" w:rsidRPr="008C237C" w:rsidRDefault="00E832DF" w:rsidP="00612529">
                    <w:pPr>
                      <w:snapToGrid w:val="0"/>
                      <w:jc w:val="right"/>
                    </w:pPr>
                    <w:r>
                      <w:t>0</w:t>
                    </w:r>
                  </w:p>
                </w:tc>
              </w:tr>
            </w:tbl>
            <w:p w:rsidR="00486694" w:rsidRDefault="00486694" w:rsidP="00486694">
              <w:pPr>
                <w:overflowPunct w:val="0"/>
                <w:adjustRightInd w:val="0"/>
                <w:snapToGrid w:val="0"/>
                <w:rPr>
                  <w:rFonts w:cs="Arial"/>
                  <w:sz w:val="22"/>
                  <w:szCs w:val="22"/>
                </w:rPr>
              </w:pPr>
            </w:p>
            <w:p w:rsidR="00806678" w:rsidRPr="00486694" w:rsidRDefault="00486694" w:rsidP="00486694">
              <w:pPr>
                <w:overflowPunct w:val="0"/>
                <w:adjustRightInd w:val="0"/>
                <w:snapToGrid w:val="0"/>
                <w:rPr>
                  <w:rFonts w:cs="Arial"/>
                  <w:bCs/>
                  <w:sz w:val="22"/>
                  <w:szCs w:val="22"/>
                </w:rPr>
              </w:pPr>
              <w:r w:rsidRPr="005A55D1">
                <w:rPr>
                  <w:rFonts w:cs="Arial" w:hint="eastAsia"/>
                  <w:sz w:val="22"/>
                  <w:szCs w:val="22"/>
                </w:rPr>
                <w:t>于202</w:t>
              </w:r>
              <w:r w:rsidRPr="005A55D1">
                <w:rPr>
                  <w:rFonts w:cs="Arial"/>
                  <w:sz w:val="22"/>
                  <w:szCs w:val="22"/>
                </w:rPr>
                <w:t>2</w:t>
              </w:r>
              <w:r w:rsidRPr="005A55D1">
                <w:rPr>
                  <w:rFonts w:cs="Arial" w:hint="eastAsia"/>
                  <w:sz w:val="22"/>
                  <w:szCs w:val="22"/>
                </w:rPr>
                <w:t>年12月31日，附有追索权已背书但尚未到期且已终止确认的银行承兑</w:t>
              </w:r>
              <w:r w:rsidRPr="00B201EB">
                <w:rPr>
                  <w:rFonts w:cs="Arial" w:hint="eastAsia"/>
                  <w:sz w:val="22"/>
                  <w:szCs w:val="22"/>
                </w:rPr>
                <w:t>汇票为</w:t>
              </w:r>
              <w:r w:rsidR="00B201EB" w:rsidRPr="00B201EB">
                <w:rPr>
                  <w:rFonts w:cs="Arial" w:hint="eastAsia"/>
                  <w:sz w:val="22"/>
                  <w:szCs w:val="22"/>
                </w:rPr>
                <w:t>人民币</w:t>
              </w:r>
              <w:r>
                <w:rPr>
                  <w:rFonts w:cs="Arial"/>
                  <w:sz w:val="22"/>
                  <w:szCs w:val="22"/>
                </w:rPr>
                <w:t>658</w:t>
              </w:r>
              <w:r w:rsidRPr="00AC6CAA">
                <w:rPr>
                  <w:rFonts w:cs="Arial"/>
                  <w:sz w:val="22"/>
                  <w:szCs w:val="22"/>
                </w:rPr>
                <w:t>,</w:t>
              </w:r>
              <w:r>
                <w:rPr>
                  <w:rFonts w:cs="Arial"/>
                  <w:sz w:val="22"/>
                  <w:szCs w:val="22"/>
                </w:rPr>
                <w:t>943</w:t>
              </w:r>
              <w:r w:rsidRPr="00AC6CAA">
                <w:rPr>
                  <w:rFonts w:cs="Arial"/>
                  <w:sz w:val="22"/>
                  <w:szCs w:val="22"/>
                </w:rPr>
                <w:t>,</w:t>
              </w:r>
              <w:r>
                <w:rPr>
                  <w:rFonts w:cs="Arial"/>
                  <w:sz w:val="22"/>
                  <w:szCs w:val="22"/>
                </w:rPr>
                <w:t>372</w:t>
              </w:r>
              <w:r w:rsidRPr="005A55D1">
                <w:rPr>
                  <w:rFonts w:cs="Arial" w:hint="eastAsia"/>
                  <w:sz w:val="22"/>
                  <w:szCs w:val="22"/>
                </w:rPr>
                <w:t>元，已贴现但尚未到期且已终止确认的的银行承兑汇票为人民币</w:t>
              </w:r>
              <w:r>
                <w:rPr>
                  <w:rFonts w:cs="Arial"/>
                  <w:sz w:val="22"/>
                  <w:szCs w:val="22"/>
                </w:rPr>
                <w:t>40</w:t>
              </w:r>
              <w:r w:rsidRPr="00AC6CAA">
                <w:rPr>
                  <w:rFonts w:cs="Arial"/>
                  <w:sz w:val="22"/>
                  <w:szCs w:val="22"/>
                </w:rPr>
                <w:t>,</w:t>
              </w:r>
              <w:r>
                <w:rPr>
                  <w:rFonts w:cs="Arial"/>
                  <w:sz w:val="22"/>
                  <w:szCs w:val="22"/>
                </w:rPr>
                <w:t>242</w:t>
              </w:r>
              <w:r w:rsidRPr="00AC6CAA">
                <w:rPr>
                  <w:rFonts w:cs="Arial"/>
                  <w:sz w:val="22"/>
                  <w:szCs w:val="22"/>
                </w:rPr>
                <w:t>,</w:t>
              </w:r>
              <w:r>
                <w:rPr>
                  <w:rFonts w:cs="Arial"/>
                  <w:sz w:val="22"/>
                  <w:szCs w:val="22"/>
                </w:rPr>
                <w:t>959</w:t>
              </w:r>
              <w:r w:rsidRPr="005A55D1">
                <w:rPr>
                  <w:rFonts w:cs="Arial" w:hint="eastAsia"/>
                  <w:sz w:val="22"/>
                  <w:szCs w:val="22"/>
                </w:rPr>
                <w:t>元，本集团管理层认为，其与票据所有权相关的风险和报酬均已转移，符合终止确认的条件，因此于财务报表中予以终止确认。</w:t>
              </w:r>
            </w:p>
          </w:sdtContent>
        </w:sdt>
        <w:p w:rsidR="00806678" w:rsidRDefault="00F80B6C">
          <w:pPr>
            <w:rPr>
              <w:szCs w:val="21"/>
            </w:rPr>
          </w:pPr>
        </w:p>
      </w:sdtContent>
    </w:sdt>
    <w:bookmarkEnd w:id="164" w:displacedByCustomXml="prev"/>
    <w:p w:rsidR="00806678" w:rsidRDefault="00B16377" w:rsidP="00FF17C7">
      <w:pPr>
        <w:pStyle w:val="3"/>
        <w:numPr>
          <w:ilvl w:val="0"/>
          <w:numId w:val="18"/>
        </w:numPr>
      </w:pPr>
      <w:r>
        <w:rPr>
          <w:rFonts w:hint="eastAsia"/>
        </w:rPr>
        <w:t>预付款项</w:t>
      </w:r>
    </w:p>
    <w:sdt>
      <w:sdtPr>
        <w:rPr>
          <w:rFonts w:asciiTheme="minorHAnsi" w:eastAsia="宋体" w:hAnsiTheme="minorHAnsi" w:cs="宋体" w:hint="eastAsia"/>
          <w:b w:val="0"/>
          <w:bCs w:val="0"/>
          <w:kern w:val="0"/>
          <w:szCs w:val="22"/>
        </w:rPr>
        <w:alias w:val="模块:预付款项按账龄列示"/>
        <w:tag w:val="_SEC_c3a77c7d5fc54cf3891eeb30bc294643"/>
        <w:id w:val="-221370187"/>
        <w:lock w:val="sdtLocked"/>
        <w:placeholder>
          <w:docPart w:val="GBC22222222222222222222222222222"/>
        </w:placeholder>
      </w:sdtPr>
      <w:sdtEndPr>
        <w:rPr>
          <w:rFonts w:ascii="宋体" w:hAnsi="宋体" w:hint="default"/>
          <w:szCs w:val="24"/>
        </w:rPr>
      </w:sdtEndPr>
      <w:sdtContent>
        <w:p w:rsidR="00806678" w:rsidRDefault="00B16377" w:rsidP="00FF17C7">
          <w:pPr>
            <w:pStyle w:val="4"/>
            <w:numPr>
              <w:ilvl w:val="3"/>
              <w:numId w:val="77"/>
            </w:numPr>
            <w:ind w:left="426" w:hanging="426"/>
          </w:pPr>
          <w:r>
            <w:rPr>
              <w:rFonts w:hint="eastAsia"/>
            </w:rPr>
            <w:t>预付款项按账龄列示</w:t>
          </w:r>
        </w:p>
        <w:sdt>
          <w:sdtPr>
            <w:rPr>
              <w:rFonts w:hint="eastAsia"/>
            </w:rPr>
            <w:alias w:val="是否适用：预付款项按账龄列示[双击切换]"/>
            <w:tag w:val="_GBC_9c50af2eedb44a33921bab4a9f5ef35c"/>
            <w:id w:val="-434363730"/>
            <w:lock w:val="sdtLocked"/>
            <w:placeholder>
              <w:docPart w:val="GBC22222222222222222222222222222"/>
            </w:placeholder>
          </w:sdtPr>
          <w:sdtContent>
            <w:p w:rsidR="00806678" w:rsidRDefault="00F80B6C">
              <w:r>
                <w:fldChar w:fldCharType="begin"/>
              </w:r>
              <w:r w:rsidR="00486694">
                <w:instrText xml:space="preserve"> MACROBUTTON  SnrToggleCheckbox √适用  </w:instrText>
              </w:r>
              <w:r>
                <w:fldChar w:fldCharType="end"/>
              </w:r>
              <w:r>
                <w:fldChar w:fldCharType="begin"/>
              </w:r>
              <w:r w:rsidR="00486694">
                <w:instrText xml:space="preserve"> MACROBUTTON  SnrToggleCheckbox □不适用 </w:instrText>
              </w:r>
              <w:r>
                <w:fldChar w:fldCharType="end"/>
              </w:r>
            </w:p>
          </w:sdtContent>
        </w:sdt>
        <w:p w:rsidR="00806678" w:rsidRDefault="00B16377">
          <w:pPr>
            <w:jc w:val="right"/>
            <w:rPr>
              <w:b/>
              <w:szCs w:val="21"/>
            </w:rPr>
          </w:pPr>
          <w:r>
            <w:rPr>
              <w:rFonts w:hint="eastAsia"/>
              <w:szCs w:val="21"/>
            </w:rPr>
            <w:t>单位：</w:t>
          </w:r>
          <w:sdt>
            <w:sdtPr>
              <w:rPr>
                <w:rFonts w:hint="eastAsia"/>
                <w:szCs w:val="21"/>
              </w:rPr>
              <w:alias w:val="单位：财务附注：预付账款账龄"/>
              <w:tag w:val="_GBC_25e874c523c14d528beabbdb96c27981"/>
              <w:id w:val="8758740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预付账款账龄"/>
              <w:tag w:val="_GBC_5fd49f072b7e406886d7d66537c647e5"/>
              <w:id w:val="139893055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1386"/>
            <w:gridCol w:w="1926"/>
            <w:gridCol w:w="1911"/>
            <w:gridCol w:w="1910"/>
            <w:gridCol w:w="1926"/>
          </w:tblGrid>
          <w:tr w:rsidR="00806678" w:rsidTr="004D2237">
            <w:trPr>
              <w:cantSplit/>
              <w:trHeight w:val="237"/>
            </w:trPr>
            <w:sdt>
              <w:sdtPr>
                <w:tag w:val="_PLD_497c76328aa14442bd9ed8d02efaffdc"/>
                <w:id w:val="287941733"/>
                <w:lock w:val="sdtLocked"/>
              </w:sdtPr>
              <w:sdtContent>
                <w:tc>
                  <w:tcPr>
                    <w:tcW w:w="765" w:type="pct"/>
                    <w:vMerge w:val="restart"/>
                    <w:vAlign w:val="center"/>
                  </w:tcPr>
                  <w:p w:rsidR="00806678" w:rsidRDefault="00B16377">
                    <w:pPr>
                      <w:ind w:right="5"/>
                      <w:jc w:val="center"/>
                      <w:rPr>
                        <w:szCs w:val="21"/>
                      </w:rPr>
                    </w:pPr>
                    <w:r>
                      <w:rPr>
                        <w:rFonts w:hint="eastAsia"/>
                        <w:szCs w:val="21"/>
                      </w:rPr>
                      <w:t>账龄</w:t>
                    </w:r>
                  </w:p>
                </w:tc>
              </w:sdtContent>
            </w:sdt>
            <w:sdt>
              <w:sdtPr>
                <w:tag w:val="_PLD_3c7cef9fd55549768916decb59114918"/>
                <w:id w:val="484522377"/>
                <w:lock w:val="sdtLocked"/>
              </w:sdtPr>
              <w:sdtContent>
                <w:tc>
                  <w:tcPr>
                    <w:tcW w:w="2118" w:type="pct"/>
                    <w:gridSpan w:val="2"/>
                    <w:vAlign w:val="center"/>
                  </w:tcPr>
                  <w:p w:rsidR="00806678" w:rsidRDefault="00B16377">
                    <w:pPr>
                      <w:ind w:right="5"/>
                      <w:jc w:val="center"/>
                      <w:rPr>
                        <w:szCs w:val="21"/>
                      </w:rPr>
                    </w:pPr>
                    <w:r>
                      <w:rPr>
                        <w:rFonts w:hint="eastAsia"/>
                        <w:szCs w:val="21"/>
                      </w:rPr>
                      <w:t>期末余额</w:t>
                    </w:r>
                  </w:p>
                </w:tc>
              </w:sdtContent>
            </w:sdt>
            <w:sdt>
              <w:sdtPr>
                <w:tag w:val="_PLD_3338d9aea932468fa8faa1bef2db4526"/>
                <w:id w:val="-1854637584"/>
                <w:lock w:val="sdtLocked"/>
              </w:sdtPr>
              <w:sdtContent>
                <w:tc>
                  <w:tcPr>
                    <w:tcW w:w="2117" w:type="pct"/>
                    <w:gridSpan w:val="2"/>
                    <w:vAlign w:val="center"/>
                  </w:tcPr>
                  <w:p w:rsidR="00806678" w:rsidRDefault="00B16377">
                    <w:pPr>
                      <w:ind w:right="5"/>
                      <w:jc w:val="center"/>
                      <w:rPr>
                        <w:szCs w:val="21"/>
                      </w:rPr>
                    </w:pPr>
                    <w:r>
                      <w:rPr>
                        <w:rFonts w:hint="eastAsia"/>
                        <w:szCs w:val="21"/>
                      </w:rPr>
                      <w:t>期初余额</w:t>
                    </w:r>
                  </w:p>
                </w:tc>
              </w:sdtContent>
            </w:sdt>
          </w:tr>
          <w:tr w:rsidR="00806678" w:rsidTr="004D2237">
            <w:trPr>
              <w:cantSplit/>
            </w:trPr>
            <w:tc>
              <w:tcPr>
                <w:tcW w:w="765" w:type="pct"/>
                <w:vMerge/>
              </w:tcPr>
              <w:p w:rsidR="00806678" w:rsidRDefault="00806678">
                <w:pPr>
                  <w:rPr>
                    <w:szCs w:val="21"/>
                  </w:rPr>
                </w:pPr>
              </w:p>
            </w:tc>
            <w:sdt>
              <w:sdtPr>
                <w:tag w:val="_PLD_2b1b05d61c574fe485d979f04a81c8c9"/>
                <w:id w:val="921292027"/>
                <w:lock w:val="sdtLocked"/>
              </w:sdtPr>
              <w:sdtContent>
                <w:tc>
                  <w:tcPr>
                    <w:tcW w:w="1063" w:type="pct"/>
                    <w:vAlign w:val="center"/>
                  </w:tcPr>
                  <w:p w:rsidR="00806678" w:rsidRDefault="00B16377">
                    <w:pPr>
                      <w:ind w:right="5"/>
                      <w:jc w:val="center"/>
                      <w:rPr>
                        <w:szCs w:val="21"/>
                      </w:rPr>
                    </w:pPr>
                    <w:r>
                      <w:rPr>
                        <w:rFonts w:hint="eastAsia"/>
                        <w:szCs w:val="21"/>
                      </w:rPr>
                      <w:t>金额</w:t>
                    </w:r>
                  </w:p>
                </w:tc>
              </w:sdtContent>
            </w:sdt>
            <w:sdt>
              <w:sdtPr>
                <w:tag w:val="_PLD_7faf25028eff45ce8c6bf33a9060f296"/>
                <w:id w:val="399180209"/>
                <w:lock w:val="sdtLocked"/>
              </w:sdtPr>
              <w:sdtContent>
                <w:tc>
                  <w:tcPr>
                    <w:tcW w:w="1055" w:type="pct"/>
                    <w:vAlign w:val="center"/>
                  </w:tcPr>
                  <w:p w:rsidR="00806678" w:rsidRDefault="00B16377">
                    <w:pPr>
                      <w:ind w:right="5"/>
                      <w:jc w:val="center"/>
                      <w:rPr>
                        <w:szCs w:val="21"/>
                      </w:rPr>
                    </w:pPr>
                    <w:r>
                      <w:rPr>
                        <w:rFonts w:hint="eastAsia"/>
                        <w:szCs w:val="21"/>
                      </w:rPr>
                      <w:t>比例</w:t>
                    </w:r>
                    <w:r>
                      <w:rPr>
                        <w:szCs w:val="21"/>
                      </w:rPr>
                      <w:t>(%)</w:t>
                    </w:r>
                  </w:p>
                </w:tc>
              </w:sdtContent>
            </w:sdt>
            <w:sdt>
              <w:sdtPr>
                <w:tag w:val="_PLD_56219e7f20ba4e60b1a3edd32c1c534e"/>
                <w:id w:val="1028763060"/>
                <w:lock w:val="sdtLocked"/>
              </w:sdtPr>
              <w:sdtContent>
                <w:tc>
                  <w:tcPr>
                    <w:tcW w:w="1054" w:type="pct"/>
                    <w:vAlign w:val="center"/>
                  </w:tcPr>
                  <w:p w:rsidR="00806678" w:rsidRDefault="00B16377">
                    <w:pPr>
                      <w:ind w:right="5"/>
                      <w:jc w:val="center"/>
                      <w:rPr>
                        <w:szCs w:val="21"/>
                      </w:rPr>
                    </w:pPr>
                    <w:r>
                      <w:rPr>
                        <w:rFonts w:hint="eastAsia"/>
                        <w:szCs w:val="21"/>
                      </w:rPr>
                      <w:t>金额</w:t>
                    </w:r>
                  </w:p>
                </w:tc>
              </w:sdtContent>
            </w:sdt>
            <w:sdt>
              <w:sdtPr>
                <w:tag w:val="_PLD_430fca228ced43ada83018b2091f7abf"/>
                <w:id w:val="1096368060"/>
                <w:lock w:val="sdtLocked"/>
              </w:sdtPr>
              <w:sdtContent>
                <w:tc>
                  <w:tcPr>
                    <w:tcW w:w="1063" w:type="pct"/>
                    <w:vAlign w:val="center"/>
                  </w:tcPr>
                  <w:p w:rsidR="00806678" w:rsidRDefault="00B16377">
                    <w:pPr>
                      <w:ind w:right="5"/>
                      <w:jc w:val="center"/>
                      <w:rPr>
                        <w:szCs w:val="21"/>
                      </w:rPr>
                    </w:pPr>
                    <w:r>
                      <w:rPr>
                        <w:rFonts w:hint="eastAsia"/>
                        <w:szCs w:val="21"/>
                      </w:rPr>
                      <w:t>比例</w:t>
                    </w:r>
                    <w:r>
                      <w:rPr>
                        <w:szCs w:val="21"/>
                      </w:rPr>
                      <w:t>(%)</w:t>
                    </w:r>
                  </w:p>
                </w:tc>
              </w:sdtContent>
            </w:sdt>
          </w:tr>
          <w:tr w:rsidR="00806678" w:rsidTr="004D2237">
            <w:trPr>
              <w:cantSplit/>
              <w:trHeight w:val="99"/>
            </w:trPr>
            <w:sdt>
              <w:sdtPr>
                <w:tag w:val="_PLD_174778f02a0244e0b2b8c44129503d0e"/>
                <w:id w:val="1477023709"/>
                <w:lock w:val="sdtLocked"/>
              </w:sdtPr>
              <w:sdtContent>
                <w:tc>
                  <w:tcPr>
                    <w:tcW w:w="765" w:type="pct"/>
                  </w:tcPr>
                  <w:p w:rsidR="00806678" w:rsidRDefault="00B16377">
                    <w:pPr>
                      <w:ind w:right="5"/>
                      <w:rPr>
                        <w:szCs w:val="21"/>
                      </w:rPr>
                    </w:pPr>
                    <w:r>
                      <w:rPr>
                        <w:rFonts w:hint="eastAsia"/>
                        <w:szCs w:val="21"/>
                      </w:rPr>
                      <w:t>1年以内</w:t>
                    </w:r>
                  </w:p>
                </w:tc>
              </w:sdtContent>
            </w:sdt>
            <w:tc>
              <w:tcPr>
                <w:tcW w:w="1063" w:type="pct"/>
              </w:tcPr>
              <w:p w:rsidR="00806678" w:rsidRDefault="008444C7">
                <w:pPr>
                  <w:ind w:right="5"/>
                  <w:jc w:val="right"/>
                  <w:rPr>
                    <w:szCs w:val="21"/>
                  </w:rPr>
                </w:pPr>
                <w:r>
                  <w:rPr>
                    <w:szCs w:val="21"/>
                  </w:rPr>
                  <w:t>323,249,853</w:t>
                </w:r>
              </w:p>
            </w:tc>
            <w:tc>
              <w:tcPr>
                <w:tcW w:w="1055" w:type="pct"/>
              </w:tcPr>
              <w:p w:rsidR="00806678" w:rsidRDefault="008444C7">
                <w:pPr>
                  <w:ind w:right="5"/>
                  <w:jc w:val="right"/>
                  <w:rPr>
                    <w:szCs w:val="21"/>
                  </w:rPr>
                </w:pPr>
                <w:r w:rsidRPr="008444C7">
                  <w:rPr>
                    <w:szCs w:val="21"/>
                  </w:rPr>
                  <w:t>100</w:t>
                </w:r>
              </w:p>
            </w:tc>
            <w:tc>
              <w:tcPr>
                <w:tcW w:w="1054" w:type="pct"/>
              </w:tcPr>
              <w:p w:rsidR="00806678" w:rsidRDefault="008444C7">
                <w:pPr>
                  <w:ind w:right="5"/>
                  <w:jc w:val="right"/>
                  <w:rPr>
                    <w:szCs w:val="21"/>
                  </w:rPr>
                </w:pPr>
                <w:r>
                  <w:rPr>
                    <w:szCs w:val="21"/>
                  </w:rPr>
                  <w:t>170,685,250</w:t>
                </w:r>
              </w:p>
            </w:tc>
            <w:tc>
              <w:tcPr>
                <w:tcW w:w="1063" w:type="pct"/>
              </w:tcPr>
              <w:p w:rsidR="00806678" w:rsidRDefault="008444C7" w:rsidP="008444C7">
                <w:pPr>
                  <w:ind w:right="5"/>
                  <w:jc w:val="right"/>
                  <w:rPr>
                    <w:szCs w:val="21"/>
                  </w:rPr>
                </w:pPr>
                <w:r>
                  <w:rPr>
                    <w:szCs w:val="21"/>
                  </w:rPr>
                  <w:t>100</w:t>
                </w:r>
              </w:p>
            </w:tc>
          </w:tr>
          <w:tr w:rsidR="00806678" w:rsidTr="004D2237">
            <w:trPr>
              <w:cantSplit/>
            </w:trPr>
            <w:sdt>
              <w:sdtPr>
                <w:tag w:val="_PLD_4b385111cb5344928917e1906f5b2ab9"/>
                <w:id w:val="1284155148"/>
                <w:lock w:val="sdtLocked"/>
              </w:sdtPr>
              <w:sdtContent>
                <w:tc>
                  <w:tcPr>
                    <w:tcW w:w="765" w:type="pct"/>
                  </w:tcPr>
                  <w:p w:rsidR="00806678" w:rsidRDefault="00B16377">
                    <w:pPr>
                      <w:ind w:right="5"/>
                      <w:rPr>
                        <w:szCs w:val="21"/>
                      </w:rPr>
                    </w:pPr>
                    <w:r>
                      <w:rPr>
                        <w:rFonts w:hint="eastAsia"/>
                        <w:szCs w:val="21"/>
                      </w:rPr>
                      <w:t>1至2年</w:t>
                    </w:r>
                  </w:p>
                </w:tc>
              </w:sdtContent>
            </w:sdt>
            <w:tc>
              <w:tcPr>
                <w:tcW w:w="1063" w:type="pct"/>
              </w:tcPr>
              <w:p w:rsidR="00806678" w:rsidRDefault="00806678">
                <w:pPr>
                  <w:ind w:right="5"/>
                  <w:jc w:val="right"/>
                  <w:rPr>
                    <w:szCs w:val="21"/>
                  </w:rPr>
                </w:pPr>
              </w:p>
            </w:tc>
            <w:tc>
              <w:tcPr>
                <w:tcW w:w="1055" w:type="pct"/>
              </w:tcPr>
              <w:p w:rsidR="00806678" w:rsidRDefault="00806678">
                <w:pPr>
                  <w:ind w:right="5"/>
                  <w:jc w:val="right"/>
                  <w:rPr>
                    <w:szCs w:val="21"/>
                  </w:rPr>
                </w:pPr>
              </w:p>
            </w:tc>
            <w:tc>
              <w:tcPr>
                <w:tcW w:w="1054" w:type="pct"/>
              </w:tcPr>
              <w:p w:rsidR="00806678" w:rsidRDefault="00806678">
                <w:pPr>
                  <w:ind w:right="5"/>
                  <w:jc w:val="right"/>
                  <w:rPr>
                    <w:szCs w:val="21"/>
                  </w:rPr>
                </w:pPr>
              </w:p>
            </w:tc>
            <w:tc>
              <w:tcPr>
                <w:tcW w:w="1063" w:type="pct"/>
              </w:tcPr>
              <w:p w:rsidR="00806678" w:rsidRDefault="00806678">
                <w:pPr>
                  <w:ind w:right="5"/>
                  <w:jc w:val="right"/>
                  <w:rPr>
                    <w:szCs w:val="21"/>
                  </w:rPr>
                </w:pPr>
              </w:p>
            </w:tc>
          </w:tr>
          <w:tr w:rsidR="00806678" w:rsidTr="004D2237">
            <w:trPr>
              <w:cantSplit/>
            </w:trPr>
            <w:sdt>
              <w:sdtPr>
                <w:tag w:val="_PLD_eea945633abf49e9bb136b919b3abb21"/>
                <w:id w:val="-820736584"/>
                <w:lock w:val="sdtLocked"/>
              </w:sdtPr>
              <w:sdtContent>
                <w:tc>
                  <w:tcPr>
                    <w:tcW w:w="765" w:type="pct"/>
                  </w:tcPr>
                  <w:p w:rsidR="00806678" w:rsidRDefault="00B16377">
                    <w:pPr>
                      <w:ind w:right="5"/>
                      <w:rPr>
                        <w:szCs w:val="21"/>
                      </w:rPr>
                    </w:pPr>
                    <w:r>
                      <w:rPr>
                        <w:rFonts w:hint="eastAsia"/>
                        <w:szCs w:val="21"/>
                      </w:rPr>
                      <w:t>2至3年</w:t>
                    </w:r>
                  </w:p>
                </w:tc>
              </w:sdtContent>
            </w:sdt>
            <w:tc>
              <w:tcPr>
                <w:tcW w:w="1063" w:type="pct"/>
              </w:tcPr>
              <w:p w:rsidR="00806678" w:rsidRDefault="00806678">
                <w:pPr>
                  <w:ind w:right="5"/>
                  <w:jc w:val="right"/>
                  <w:rPr>
                    <w:szCs w:val="21"/>
                  </w:rPr>
                </w:pPr>
              </w:p>
            </w:tc>
            <w:tc>
              <w:tcPr>
                <w:tcW w:w="1055" w:type="pct"/>
              </w:tcPr>
              <w:p w:rsidR="00806678" w:rsidRDefault="00806678">
                <w:pPr>
                  <w:ind w:right="5"/>
                  <w:jc w:val="right"/>
                  <w:rPr>
                    <w:szCs w:val="21"/>
                  </w:rPr>
                </w:pPr>
              </w:p>
            </w:tc>
            <w:tc>
              <w:tcPr>
                <w:tcW w:w="1054" w:type="pct"/>
              </w:tcPr>
              <w:p w:rsidR="00806678" w:rsidRDefault="00806678">
                <w:pPr>
                  <w:ind w:right="5"/>
                  <w:jc w:val="right"/>
                  <w:rPr>
                    <w:szCs w:val="21"/>
                  </w:rPr>
                </w:pPr>
              </w:p>
            </w:tc>
            <w:tc>
              <w:tcPr>
                <w:tcW w:w="1063" w:type="pct"/>
              </w:tcPr>
              <w:p w:rsidR="00806678" w:rsidRDefault="00806678">
                <w:pPr>
                  <w:ind w:right="5"/>
                  <w:jc w:val="right"/>
                  <w:rPr>
                    <w:szCs w:val="21"/>
                  </w:rPr>
                </w:pPr>
              </w:p>
            </w:tc>
          </w:tr>
          <w:tr w:rsidR="00806678" w:rsidTr="004D2237">
            <w:trPr>
              <w:cantSplit/>
            </w:trPr>
            <w:sdt>
              <w:sdtPr>
                <w:tag w:val="_PLD_62c62dab318848a98f90bfda1a77337c"/>
                <w:id w:val="437801218"/>
                <w:lock w:val="sdtLocked"/>
              </w:sdtPr>
              <w:sdtContent>
                <w:tc>
                  <w:tcPr>
                    <w:tcW w:w="765" w:type="pct"/>
                  </w:tcPr>
                  <w:p w:rsidR="00806678" w:rsidRDefault="00B16377">
                    <w:pPr>
                      <w:ind w:right="5"/>
                      <w:rPr>
                        <w:szCs w:val="21"/>
                      </w:rPr>
                    </w:pPr>
                    <w:r>
                      <w:rPr>
                        <w:rFonts w:hint="eastAsia"/>
                        <w:szCs w:val="21"/>
                      </w:rPr>
                      <w:t>3年以上</w:t>
                    </w:r>
                  </w:p>
                </w:tc>
              </w:sdtContent>
            </w:sdt>
            <w:tc>
              <w:tcPr>
                <w:tcW w:w="1063" w:type="pct"/>
              </w:tcPr>
              <w:p w:rsidR="00806678" w:rsidRDefault="00806678">
                <w:pPr>
                  <w:ind w:right="5"/>
                  <w:jc w:val="right"/>
                  <w:rPr>
                    <w:szCs w:val="21"/>
                  </w:rPr>
                </w:pPr>
              </w:p>
            </w:tc>
            <w:tc>
              <w:tcPr>
                <w:tcW w:w="1055" w:type="pct"/>
              </w:tcPr>
              <w:p w:rsidR="00806678" w:rsidRDefault="00806678">
                <w:pPr>
                  <w:ind w:right="5"/>
                  <w:jc w:val="right"/>
                  <w:rPr>
                    <w:szCs w:val="21"/>
                  </w:rPr>
                </w:pPr>
              </w:p>
            </w:tc>
            <w:tc>
              <w:tcPr>
                <w:tcW w:w="1054" w:type="pct"/>
              </w:tcPr>
              <w:p w:rsidR="00806678" w:rsidRDefault="00806678">
                <w:pPr>
                  <w:ind w:right="5"/>
                  <w:jc w:val="right"/>
                  <w:rPr>
                    <w:szCs w:val="21"/>
                  </w:rPr>
                </w:pPr>
              </w:p>
            </w:tc>
            <w:tc>
              <w:tcPr>
                <w:tcW w:w="1063" w:type="pct"/>
              </w:tcPr>
              <w:p w:rsidR="00806678" w:rsidRDefault="00806678">
                <w:pPr>
                  <w:ind w:right="5"/>
                  <w:jc w:val="right"/>
                  <w:rPr>
                    <w:szCs w:val="21"/>
                  </w:rPr>
                </w:pPr>
              </w:p>
            </w:tc>
          </w:tr>
          <w:tr w:rsidR="008444C7" w:rsidTr="00601D47">
            <w:trPr>
              <w:cantSplit/>
            </w:trPr>
            <w:sdt>
              <w:sdtPr>
                <w:tag w:val="_PLD_a51bfbd8cae641f4b76a376fea94ac53"/>
                <w:id w:val="304282436"/>
                <w:lock w:val="sdtLocked"/>
              </w:sdtPr>
              <w:sdtContent>
                <w:tc>
                  <w:tcPr>
                    <w:tcW w:w="765" w:type="pct"/>
                  </w:tcPr>
                  <w:p w:rsidR="008444C7" w:rsidRDefault="008444C7" w:rsidP="008444C7">
                    <w:pPr>
                      <w:ind w:right="5"/>
                      <w:jc w:val="center"/>
                      <w:rPr>
                        <w:szCs w:val="21"/>
                      </w:rPr>
                    </w:pPr>
                    <w:r>
                      <w:rPr>
                        <w:rFonts w:hint="eastAsia"/>
                        <w:szCs w:val="21"/>
                      </w:rPr>
                      <w:t>合计</w:t>
                    </w:r>
                  </w:p>
                </w:tc>
              </w:sdtContent>
            </w:sdt>
            <w:tc>
              <w:tcPr>
                <w:tcW w:w="1063" w:type="pct"/>
                <w:vAlign w:val="center"/>
              </w:tcPr>
              <w:p w:rsidR="008444C7" w:rsidRDefault="008444C7" w:rsidP="008444C7">
                <w:pPr>
                  <w:ind w:right="5"/>
                  <w:jc w:val="right"/>
                  <w:rPr>
                    <w:szCs w:val="21"/>
                  </w:rPr>
                </w:pPr>
                <w:r>
                  <w:t>323,249,853</w:t>
                </w:r>
              </w:p>
            </w:tc>
            <w:tc>
              <w:tcPr>
                <w:tcW w:w="1055" w:type="pct"/>
                <w:vAlign w:val="center"/>
              </w:tcPr>
              <w:p w:rsidR="008444C7" w:rsidRDefault="008444C7" w:rsidP="008444C7">
                <w:pPr>
                  <w:ind w:right="5"/>
                  <w:jc w:val="right"/>
                  <w:rPr>
                    <w:szCs w:val="21"/>
                  </w:rPr>
                </w:pPr>
                <w:r>
                  <w:t>100</w:t>
                </w:r>
              </w:p>
            </w:tc>
            <w:tc>
              <w:tcPr>
                <w:tcW w:w="1054" w:type="pct"/>
                <w:vAlign w:val="center"/>
              </w:tcPr>
              <w:p w:rsidR="008444C7" w:rsidRDefault="008444C7" w:rsidP="008444C7">
                <w:pPr>
                  <w:ind w:right="5"/>
                  <w:jc w:val="right"/>
                  <w:rPr>
                    <w:szCs w:val="21"/>
                  </w:rPr>
                </w:pPr>
                <w:r>
                  <w:t>170,685,250</w:t>
                </w:r>
              </w:p>
            </w:tc>
            <w:tc>
              <w:tcPr>
                <w:tcW w:w="1063" w:type="pct"/>
                <w:vAlign w:val="center"/>
              </w:tcPr>
              <w:p w:rsidR="008444C7" w:rsidRDefault="008444C7" w:rsidP="008444C7">
                <w:pPr>
                  <w:ind w:right="5"/>
                  <w:jc w:val="right"/>
                  <w:rPr>
                    <w:szCs w:val="21"/>
                  </w:rPr>
                </w:pPr>
                <w:r>
                  <w:t>100</w:t>
                </w:r>
              </w:p>
            </w:tc>
          </w:tr>
        </w:tbl>
        <w:p w:rsidR="004D49D4" w:rsidRDefault="004D49D4"/>
        <w:p w:rsidR="00806678" w:rsidRDefault="00B16377">
          <w:pPr>
            <w:rPr>
              <w:szCs w:val="21"/>
            </w:rPr>
          </w:pPr>
          <w:r>
            <w:t>账</w:t>
          </w:r>
          <w:r>
            <w:rPr>
              <w:rFonts w:hint="eastAsia"/>
              <w:szCs w:val="21"/>
            </w:rPr>
            <w:t>龄超过1年且金额重要的预付款项未及时结算原因</w:t>
          </w:r>
          <w:r>
            <w:rPr>
              <w:szCs w:val="21"/>
            </w:rPr>
            <w:t>的说明：</w:t>
          </w:r>
        </w:p>
        <w:sdt>
          <w:sdtPr>
            <w:rPr>
              <w:rFonts w:hint="eastAsia"/>
            </w:rPr>
            <w:alias w:val="账龄超过1年且金额重要的预付款项未及时结算原因的说明"/>
            <w:tag w:val="_GBC_21bfefabbdb8489685d0bb3ee64c2ca5"/>
            <w:id w:val="-1290819941"/>
            <w:lock w:val="sdtLocked"/>
            <w:placeholder>
              <w:docPart w:val="GBC22222222222222222222222222222"/>
            </w:placeholder>
          </w:sdtPr>
          <w:sdtContent>
            <w:p w:rsidR="00806678" w:rsidRDefault="008444C7">
              <w:r>
                <w:rPr>
                  <w:rFonts w:hint="eastAsia"/>
                </w:rPr>
                <w:t>无</w:t>
              </w:r>
            </w:p>
          </w:sdtContent>
        </w:sdt>
        <w:p w:rsidR="00806678" w:rsidRDefault="00F80B6C"/>
      </w:sdtContent>
    </w:sdt>
    <w:sdt>
      <w:sdtPr>
        <w:rPr>
          <w:rFonts w:ascii="宋体" w:eastAsia="宋体" w:hAnsi="宋体" w:cs="宋体" w:hint="eastAsia"/>
          <w:b w:val="0"/>
          <w:bCs w:val="0"/>
          <w:kern w:val="0"/>
          <w:szCs w:val="24"/>
        </w:rPr>
        <w:alias w:val="模块:预付款项金额前五名单位情况"/>
        <w:tag w:val="_SEC_8a85592946074248a7ee474e6adb363e"/>
        <w:id w:val="-1015217928"/>
        <w:lock w:val="sdtLocked"/>
        <w:placeholder>
          <w:docPart w:val="GBC22222222222222222222222222222"/>
        </w:placeholder>
      </w:sdtPr>
      <w:sdtEndPr>
        <w:rPr>
          <w:rFonts w:ascii="Times New Roman" w:hAnsi="Times New Roman"/>
        </w:rPr>
      </w:sdtEndPr>
      <w:sdtContent>
        <w:p w:rsidR="00806678" w:rsidRDefault="00B16377" w:rsidP="00FF17C7">
          <w:pPr>
            <w:pStyle w:val="4"/>
            <w:numPr>
              <w:ilvl w:val="3"/>
              <w:numId w:val="77"/>
            </w:numPr>
            <w:ind w:left="426" w:hanging="426"/>
            <w:rPr>
              <w:szCs w:val="21"/>
            </w:rPr>
          </w:pPr>
          <w:r>
            <w:rPr>
              <w:rFonts w:hint="eastAsia"/>
            </w:rPr>
            <w:t>按预付对象归集的期末余额前五名的预付款情况</w:t>
          </w:r>
        </w:p>
        <w:sdt>
          <w:sdtPr>
            <w:rPr>
              <w:rFonts w:hint="eastAsia"/>
              <w:szCs w:val="21"/>
            </w:rPr>
            <w:alias w:val="是否适用：按预付对象归集的期末余额前五名的预付款情况[双击切换]"/>
            <w:tag w:val="_GBC_6359dc471e0a406c8706681c2db6e149"/>
            <w:id w:val="1039553985"/>
            <w:lock w:val="sdtLocked"/>
            <w:placeholder>
              <w:docPart w:val="GBC22222222222222222222222222222"/>
            </w:placeholder>
          </w:sdtPr>
          <w:sdtContent>
            <w:p w:rsidR="00806678" w:rsidRDefault="00F80B6C">
              <w:pPr>
                <w:snapToGrid w:val="0"/>
                <w:spacing w:line="240" w:lineRule="atLeast"/>
                <w:rPr>
                  <w:szCs w:val="21"/>
                </w:rPr>
              </w:pPr>
              <w:r>
                <w:rPr>
                  <w:szCs w:val="21"/>
                </w:rPr>
                <w:fldChar w:fldCharType="begin"/>
              </w:r>
              <w:r w:rsidR="009C54D9">
                <w:rPr>
                  <w:szCs w:val="21"/>
                </w:rPr>
                <w:instrText xml:space="preserve"> MACROBUTTON  SnrToggleCheckbox √适用  </w:instrText>
              </w:r>
              <w:r>
                <w:rPr>
                  <w:szCs w:val="21"/>
                </w:rPr>
                <w:fldChar w:fldCharType="end"/>
              </w:r>
              <w:r>
                <w:rPr>
                  <w:szCs w:val="21"/>
                </w:rPr>
                <w:fldChar w:fldCharType="begin"/>
              </w:r>
              <w:r w:rsidR="009C54D9">
                <w:rPr>
                  <w:szCs w:val="21"/>
                </w:rPr>
                <w:instrText xml:space="preserve"> MACROBUTTON  SnrToggleCheckbox □不适用 </w:instrText>
              </w:r>
              <w:r>
                <w:rPr>
                  <w:szCs w:val="21"/>
                </w:rPr>
                <w:fldChar w:fldCharType="end"/>
              </w:r>
            </w:p>
          </w:sdtContent>
        </w:sdt>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34"/>
            <w:gridCol w:w="1486"/>
            <w:gridCol w:w="2059"/>
            <w:gridCol w:w="1330"/>
            <w:gridCol w:w="1929"/>
          </w:tblGrid>
          <w:tr w:rsidR="00182112" w:rsidTr="00182112">
            <w:trPr>
              <w:cantSplit/>
            </w:trPr>
            <w:sdt>
              <w:sdtPr>
                <w:rPr>
                  <w:rFonts w:hint="eastAsia"/>
                  <w:szCs w:val="21"/>
                </w:rPr>
                <w:tag w:val="_PLD_0ab17d7ae0014b6192c9dd0e6d3d3a25"/>
                <w:id w:val="1608007892"/>
                <w:lock w:val="sdtLocked"/>
              </w:sdtPr>
              <w:sdtContent>
                <w:tc>
                  <w:tcPr>
                    <w:tcW w:w="1236" w:type="pct"/>
                    <w:vAlign w:val="center"/>
                  </w:tcPr>
                  <w:p w:rsidR="00182112" w:rsidRDefault="00182112" w:rsidP="00601D47">
                    <w:pPr>
                      <w:ind w:right="105"/>
                      <w:jc w:val="center"/>
                      <w:rPr>
                        <w:szCs w:val="21"/>
                      </w:rPr>
                    </w:pPr>
                    <w:r>
                      <w:rPr>
                        <w:rFonts w:hint="eastAsia"/>
                        <w:szCs w:val="21"/>
                      </w:rPr>
                      <w:t>单位名称</w:t>
                    </w:r>
                  </w:p>
                </w:tc>
              </w:sdtContent>
            </w:sdt>
            <w:sdt>
              <w:sdtPr>
                <w:rPr>
                  <w:rFonts w:hint="eastAsia"/>
                  <w:szCs w:val="21"/>
                </w:rPr>
                <w:tag w:val="_PLD_cdd4a1e632c94d14908eb36a620946a9"/>
                <w:id w:val="1588722641"/>
                <w:lock w:val="sdtLocked"/>
              </w:sdtPr>
              <w:sdtContent>
                <w:tc>
                  <w:tcPr>
                    <w:tcW w:w="822" w:type="pct"/>
                    <w:vAlign w:val="center"/>
                  </w:tcPr>
                  <w:p w:rsidR="00182112" w:rsidRDefault="00182112" w:rsidP="00601D47">
                    <w:pPr>
                      <w:ind w:right="73"/>
                      <w:jc w:val="center"/>
                      <w:rPr>
                        <w:szCs w:val="21"/>
                      </w:rPr>
                    </w:pPr>
                    <w:r>
                      <w:rPr>
                        <w:rFonts w:hint="eastAsia"/>
                        <w:szCs w:val="21"/>
                      </w:rPr>
                      <w:t>期末余额</w:t>
                    </w:r>
                  </w:p>
                </w:tc>
              </w:sdtContent>
            </w:sdt>
            <w:sdt>
              <w:sdtPr>
                <w:rPr>
                  <w:rFonts w:hint="eastAsia"/>
                  <w:szCs w:val="21"/>
                </w:rPr>
                <w:tag w:val="_PLD_c9db34035f63426095900b82cc8a8131"/>
                <w:id w:val="-134871247"/>
                <w:lock w:val="sdtLocked"/>
              </w:sdtPr>
              <w:sdtEndPr>
                <w:rPr>
                  <w:rFonts w:hint="default"/>
                </w:rPr>
              </w:sdtEndPr>
              <w:sdtContent>
                <w:tc>
                  <w:tcPr>
                    <w:tcW w:w="1139" w:type="pct"/>
                    <w:vAlign w:val="center"/>
                  </w:tcPr>
                  <w:p w:rsidR="00182112" w:rsidRDefault="00182112" w:rsidP="00601D47">
                    <w:pPr>
                      <w:jc w:val="center"/>
                      <w:rPr>
                        <w:szCs w:val="21"/>
                      </w:rPr>
                    </w:pPr>
                    <w:r>
                      <w:rPr>
                        <w:rFonts w:hint="eastAsia"/>
                        <w:szCs w:val="21"/>
                      </w:rPr>
                      <w:t>占预付款项期末余额合计数的比例(</w:t>
                    </w:r>
                    <w:r>
                      <w:rPr>
                        <w:szCs w:val="21"/>
                      </w:rPr>
                      <w:t>%)</w:t>
                    </w:r>
                  </w:p>
                </w:tc>
              </w:sdtContent>
            </w:sdt>
            <w:tc>
              <w:tcPr>
                <w:tcW w:w="736" w:type="pct"/>
                <w:vAlign w:val="center"/>
              </w:tcPr>
              <w:p w:rsidR="00182112" w:rsidRDefault="00182112" w:rsidP="00601D47">
                <w:pPr>
                  <w:jc w:val="center"/>
                  <w:rPr>
                    <w:szCs w:val="21"/>
                  </w:rPr>
                </w:pPr>
                <w:r>
                  <w:rPr>
                    <w:rFonts w:hint="eastAsia"/>
                    <w:szCs w:val="21"/>
                  </w:rPr>
                  <w:t>期初余额</w:t>
                </w:r>
              </w:p>
            </w:tc>
            <w:tc>
              <w:tcPr>
                <w:tcW w:w="1067" w:type="pct"/>
                <w:vAlign w:val="center"/>
              </w:tcPr>
              <w:p w:rsidR="00182112" w:rsidRDefault="00182112" w:rsidP="00182112">
                <w:pPr>
                  <w:ind w:right="-110"/>
                  <w:jc w:val="center"/>
                  <w:rPr>
                    <w:szCs w:val="21"/>
                  </w:rPr>
                </w:pPr>
                <w:r w:rsidRPr="00182112">
                  <w:rPr>
                    <w:rFonts w:hint="eastAsia"/>
                    <w:szCs w:val="21"/>
                  </w:rPr>
                  <w:t>占预付款项期末余额合计数的比例</w:t>
                </w:r>
                <w:r w:rsidRPr="00182112">
                  <w:rPr>
                    <w:szCs w:val="21"/>
                  </w:rPr>
                  <w:t>(%)</w:t>
                </w:r>
              </w:p>
            </w:tc>
          </w:tr>
          <w:sdt>
            <w:sdtPr>
              <w:rPr>
                <w:szCs w:val="21"/>
              </w:rPr>
              <w:alias w:val="预付帐款欠款户"/>
              <w:tag w:val="_TUP_93f51bbe2cf24bbea15847f5b49a356b"/>
              <w:id w:val="264038230"/>
              <w:lock w:val="sdtLocked"/>
            </w:sdtPr>
            <w:sdtContent>
              <w:tr w:rsidR="00182112" w:rsidTr="00182112">
                <w:trPr>
                  <w:cantSplit/>
                </w:trPr>
                <w:tc>
                  <w:tcPr>
                    <w:tcW w:w="1236" w:type="pct"/>
                  </w:tcPr>
                  <w:p w:rsidR="00182112" w:rsidRPr="00182112" w:rsidRDefault="00182112" w:rsidP="00182112">
                    <w:pPr>
                      <w:ind w:right="-106"/>
                    </w:pPr>
                    <w:r>
                      <w:rPr>
                        <w:sz w:val="16"/>
                      </w:rPr>
                      <w:t>余额前五名的预付款项总额</w:t>
                    </w:r>
                  </w:p>
                </w:tc>
                <w:tc>
                  <w:tcPr>
                    <w:tcW w:w="822" w:type="pct"/>
                  </w:tcPr>
                  <w:p w:rsidR="00182112" w:rsidRDefault="00182112" w:rsidP="00601D47">
                    <w:pPr>
                      <w:tabs>
                        <w:tab w:val="left" w:pos="787"/>
                      </w:tabs>
                      <w:ind w:right="73"/>
                      <w:jc w:val="right"/>
                      <w:rPr>
                        <w:szCs w:val="21"/>
                      </w:rPr>
                    </w:pPr>
                    <w:r>
                      <w:rPr>
                        <w:szCs w:val="21"/>
                      </w:rPr>
                      <w:t>239,274,819</w:t>
                    </w:r>
                  </w:p>
                </w:tc>
                <w:tc>
                  <w:tcPr>
                    <w:tcW w:w="1139" w:type="pct"/>
                  </w:tcPr>
                  <w:p w:rsidR="00182112" w:rsidRDefault="00182112" w:rsidP="00601D47">
                    <w:pPr>
                      <w:jc w:val="right"/>
                      <w:rPr>
                        <w:szCs w:val="21"/>
                      </w:rPr>
                    </w:pPr>
                    <w:r>
                      <w:rPr>
                        <w:szCs w:val="21"/>
                      </w:rPr>
                      <w:t>74%</w:t>
                    </w:r>
                  </w:p>
                </w:tc>
                <w:sdt>
                  <w:sdtPr>
                    <w:alias w:val="期初余额"/>
                    <w:tag w:val="_GBC_740967137d1141589754fb5f9b9b285e"/>
                    <w:id w:val="921993683"/>
                    <w:lock w:val="sdtLocked"/>
                  </w:sdtPr>
                  <w:sdtContent>
                    <w:tc>
                      <w:tcPr>
                        <w:tcW w:w="736" w:type="pct"/>
                      </w:tcPr>
                      <w:p w:rsidR="00182112" w:rsidRDefault="00182112" w:rsidP="00601D47">
                        <w:pPr>
                          <w:jc w:val="right"/>
                          <w:rPr>
                            <w:szCs w:val="21"/>
                          </w:rPr>
                        </w:pPr>
                        <w:r w:rsidRPr="00182112">
                          <w:t>77,895,728</w:t>
                        </w:r>
                      </w:p>
                    </w:tc>
                  </w:sdtContent>
                </w:sdt>
                <w:tc>
                  <w:tcPr>
                    <w:tcW w:w="1067" w:type="pct"/>
                  </w:tcPr>
                  <w:p w:rsidR="00182112" w:rsidRDefault="00182112" w:rsidP="00601D47">
                    <w:pPr>
                      <w:jc w:val="right"/>
                      <w:rPr>
                        <w:szCs w:val="21"/>
                      </w:rPr>
                    </w:pPr>
                    <w:r>
                      <w:rPr>
                        <w:szCs w:val="21"/>
                      </w:rPr>
                      <w:t>46%</w:t>
                    </w:r>
                  </w:p>
                </w:tc>
              </w:tr>
            </w:sdtContent>
          </w:sdt>
        </w:tbl>
        <w:p w:rsidR="00086A28" w:rsidRDefault="00086A28">
          <w:pPr>
            <w:snapToGrid w:val="0"/>
            <w:spacing w:line="240" w:lineRule="atLeast"/>
            <w:rPr>
              <w:szCs w:val="21"/>
            </w:rPr>
          </w:pPr>
        </w:p>
        <w:p w:rsidR="00806678" w:rsidRDefault="00B16377">
          <w:pPr>
            <w:snapToGrid w:val="0"/>
            <w:spacing w:line="240" w:lineRule="atLeast"/>
            <w:rPr>
              <w:szCs w:val="21"/>
            </w:rPr>
          </w:pPr>
          <w:r>
            <w:rPr>
              <w:rFonts w:hint="eastAsia"/>
              <w:szCs w:val="21"/>
            </w:rPr>
            <w:t>其他说明</w:t>
          </w:r>
        </w:p>
        <w:sdt>
          <w:sdtPr>
            <w:rPr>
              <w:szCs w:val="21"/>
            </w:rPr>
            <w:alias w:val="按预付对象归集的期末余额前五名的预付款情况的说明"/>
            <w:tag w:val="_GBC_01cbdc0115484d88931f2dbcc9e0aa2b"/>
            <w:id w:val="1631986934"/>
            <w:lock w:val="sdtLocked"/>
            <w:placeholder>
              <w:docPart w:val="GBC22222222222222222222222222222"/>
            </w:placeholder>
          </w:sdtPr>
          <w:sdtContent>
            <w:p w:rsidR="00806678" w:rsidRDefault="00086A28">
              <w:pPr>
                <w:snapToGrid w:val="0"/>
                <w:spacing w:line="240" w:lineRule="atLeast"/>
                <w:rPr>
                  <w:szCs w:val="21"/>
                </w:rPr>
              </w:pPr>
              <w:r>
                <w:rPr>
                  <w:rFonts w:hint="eastAsia"/>
                  <w:szCs w:val="21"/>
                </w:rPr>
                <w:t>无</w:t>
              </w:r>
            </w:p>
          </w:sdtContent>
        </w:sdt>
        <w:p w:rsidR="00806678" w:rsidRDefault="00F80B6C">
          <w:pPr>
            <w:snapToGrid w:val="0"/>
            <w:spacing w:line="240" w:lineRule="atLeast"/>
            <w:rPr>
              <w:szCs w:val="21"/>
            </w:rPr>
          </w:pPr>
        </w:p>
      </w:sdtContent>
    </w:sdt>
    <w:sdt>
      <w:sdtPr>
        <w:rPr>
          <w:rFonts w:ascii="Times New Roman" w:hAnsi="Times New Roman" w:hint="eastAsia"/>
          <w:b/>
          <w:bCs/>
        </w:rPr>
        <w:alias w:val="模块:预付款项的说明"/>
        <w:tag w:val="_SEC_b4786b512c5648f09f6aeb396ccb9ee7"/>
        <w:id w:val="1139772657"/>
        <w:lock w:val="sdtLocked"/>
        <w:placeholder>
          <w:docPart w:val="GBC22222222222222222222222222222"/>
        </w:placeholder>
      </w:sdtPr>
      <w:sdtEndPr>
        <w:rPr>
          <w:rFonts w:hint="default"/>
          <w:b w:val="0"/>
          <w:bCs w:val="0"/>
        </w:rPr>
      </w:sdtEndPr>
      <w:sdtContent>
        <w:p w:rsidR="00806678" w:rsidRDefault="00B16377">
          <w:r>
            <w:rPr>
              <w:rFonts w:hint="eastAsia"/>
            </w:rPr>
            <w:t>其他说明</w:t>
          </w:r>
        </w:p>
        <w:sdt>
          <w:sdtPr>
            <w:rPr>
              <w:rFonts w:hint="eastAsia"/>
              <w:szCs w:val="21"/>
            </w:rPr>
            <w:alias w:val="是否适用：预付帐款的说明[双击切换]"/>
            <w:tag w:val="_GBC_292d88b78b6d439981e508e0126d8061"/>
            <w:id w:val="-738391026"/>
            <w:lock w:val="sdtLocked"/>
            <w:placeholder>
              <w:docPart w:val="GBC22222222222222222222222222222"/>
            </w:placeholder>
          </w:sdtPr>
          <w:sdtContent>
            <w:p w:rsidR="00806678" w:rsidRDefault="00F80B6C" w:rsidP="00086A28">
              <w:pPr>
                <w:rPr>
                  <w:szCs w:val="21"/>
                </w:rPr>
              </w:pPr>
              <w:r>
                <w:rPr>
                  <w:szCs w:val="21"/>
                </w:rPr>
                <w:fldChar w:fldCharType="begin"/>
              </w:r>
              <w:r w:rsidR="00086A28">
                <w:rPr>
                  <w:szCs w:val="21"/>
                </w:rPr>
                <w:instrText xml:space="preserve"> MACROBUTTON  SnrToggleCheckbox □适用  </w:instrText>
              </w:r>
              <w:r>
                <w:rPr>
                  <w:szCs w:val="21"/>
                </w:rPr>
                <w:fldChar w:fldCharType="end"/>
              </w:r>
              <w:r>
                <w:rPr>
                  <w:szCs w:val="21"/>
                </w:rPr>
                <w:fldChar w:fldCharType="begin"/>
              </w:r>
              <w:r w:rsidR="00086A28">
                <w:rPr>
                  <w:szCs w:val="21"/>
                </w:rPr>
                <w:instrText xml:space="preserve"> MACROBUTTON  SnrToggleCheckbox √不适用 </w:instrText>
              </w:r>
              <w:r>
                <w:rPr>
                  <w:szCs w:val="21"/>
                </w:rPr>
                <w:fldChar w:fldCharType="end"/>
              </w:r>
            </w:p>
          </w:sdtContent>
        </w:sdt>
      </w:sdtContent>
    </w:sdt>
    <w:p w:rsidR="00806678" w:rsidRDefault="00806678">
      <w:pPr>
        <w:rPr>
          <w:szCs w:val="21"/>
        </w:rPr>
      </w:pPr>
    </w:p>
    <w:p w:rsidR="00806678" w:rsidRDefault="00B16377" w:rsidP="00FF17C7">
      <w:pPr>
        <w:pStyle w:val="3"/>
        <w:numPr>
          <w:ilvl w:val="0"/>
          <w:numId w:val="18"/>
        </w:numPr>
      </w:pPr>
      <w:r>
        <w:rPr>
          <w:rFonts w:hint="eastAsia"/>
        </w:rPr>
        <w:t>其他应收款</w:t>
      </w:r>
    </w:p>
    <w:bookmarkStart w:id="168" w:name="_Hlk532906090" w:displacedByCustomXml="next"/>
    <w:sdt>
      <w:sdtPr>
        <w:rPr>
          <w:rFonts w:ascii="宋体" w:eastAsia="宋体" w:hAnsi="宋体" w:cs="宋体" w:hint="eastAsia"/>
          <w:b w:val="0"/>
          <w:bCs w:val="0"/>
          <w:kern w:val="0"/>
          <w:szCs w:val="24"/>
        </w:rPr>
        <w:alias w:val="模块:其他应收款分类列示"/>
        <w:tag w:val="_SEC_832356e7ad3a4fd389aa33f3370163f0"/>
        <w:id w:val="-1749569563"/>
        <w:lock w:val="sdtLocked"/>
        <w:placeholder>
          <w:docPart w:val="GBC22222222222222222222222222222"/>
        </w:placeholder>
      </w:sdtPr>
      <w:sdtEndPr>
        <w:rPr>
          <w:rFonts w:hint="default"/>
        </w:rPr>
      </w:sdtEndPr>
      <w:sdtContent>
        <w:p w:rsidR="00806678" w:rsidRDefault="00B16377">
          <w:pPr>
            <w:pStyle w:val="4"/>
          </w:pPr>
          <w:r>
            <w:rPr>
              <w:rFonts w:ascii="宋体" w:eastAsia="宋体" w:hAnsi="宋体" w:cs="宋体" w:hint="eastAsia"/>
              <w:kern w:val="0"/>
              <w:szCs w:val="24"/>
            </w:rPr>
            <w:t>项目列示</w:t>
          </w:r>
        </w:p>
        <w:sdt>
          <w:sdtPr>
            <w:alias w:val="是否适用：其他应收款分类列示[双击切换]"/>
            <w:tag w:val="_GBC_5cf24a2049f64010a4df1f0db5a97234"/>
            <w:id w:val="-1998492792"/>
            <w:lock w:val="sdtLocked"/>
            <w:placeholder>
              <w:docPart w:val="GBC22222222222222222222222222222"/>
            </w:placeholder>
          </w:sdtPr>
          <w:sdtContent>
            <w:p w:rsidR="00806678" w:rsidRDefault="00F80B6C">
              <w:r>
                <w:fldChar w:fldCharType="begin"/>
              </w:r>
              <w:r w:rsidR="001B7BB2">
                <w:instrText xml:space="preserve"> MACROBUTTON  SnrToggleCheckbox √适用 </w:instrText>
              </w:r>
              <w:r>
                <w:fldChar w:fldCharType="end"/>
              </w:r>
              <w:r>
                <w:fldChar w:fldCharType="begin"/>
              </w:r>
              <w:r w:rsidR="001B7BB2">
                <w:instrText xml:space="preserve"> MACROBUTTON  SnrToggleCheckbox □不适用 </w:instrText>
              </w:r>
              <w:r>
                <w:fldChar w:fldCharType="end"/>
              </w:r>
            </w:p>
          </w:sdtContent>
        </w:sdt>
        <w:p w:rsidR="00806678" w:rsidRDefault="00B16377">
          <w:pPr>
            <w:jc w:val="right"/>
            <w:rPr>
              <w:szCs w:val="21"/>
            </w:rPr>
          </w:pPr>
          <w:r>
            <w:rPr>
              <w:rFonts w:hint="eastAsia"/>
              <w:szCs w:val="21"/>
            </w:rPr>
            <w:t>单位：</w:t>
          </w:r>
          <w:sdt>
            <w:sdtPr>
              <w:rPr>
                <w:rFonts w:hint="eastAsia"/>
                <w:szCs w:val="21"/>
              </w:rPr>
              <w:alias w:val="单位：其他应收款分类列示"/>
              <w:tag w:val="_GBC_7f9aa6546943491ca0ac8585be1822b5"/>
              <w:id w:val="124099466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其他应收款分类列示"/>
              <w:tag w:val="_GBC_04bd5c819b004daf9b35f05cdd98046d"/>
              <w:id w:val="164046018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3196"/>
            <w:gridCol w:w="2939"/>
            <w:gridCol w:w="2924"/>
          </w:tblGrid>
          <w:tr w:rsidR="00806678" w:rsidTr="00556C7A">
            <w:trPr>
              <w:cantSplit/>
            </w:trPr>
            <w:sdt>
              <w:sdtPr>
                <w:tag w:val="_PLD_4377dcbf8fc04365884311b6628ee70c"/>
                <w:id w:val="1163972077"/>
                <w:lock w:val="sdtLocked"/>
              </w:sdtPr>
              <w:sdtContent>
                <w:tc>
                  <w:tcPr>
                    <w:tcW w:w="1764" w:type="pct"/>
                    <w:vAlign w:val="center"/>
                  </w:tcPr>
                  <w:p w:rsidR="00806678" w:rsidRDefault="00B16377">
                    <w:pPr>
                      <w:jc w:val="center"/>
                      <w:rPr>
                        <w:szCs w:val="21"/>
                      </w:rPr>
                    </w:pPr>
                    <w:r>
                      <w:rPr>
                        <w:rFonts w:hint="eastAsia"/>
                        <w:szCs w:val="21"/>
                      </w:rPr>
                      <w:t>项目</w:t>
                    </w:r>
                  </w:p>
                </w:tc>
              </w:sdtContent>
            </w:sdt>
            <w:sdt>
              <w:sdtPr>
                <w:tag w:val="_PLD_9eed799cfa4b445abd6bf2c21c8e53d1"/>
                <w:id w:val="1996453010"/>
                <w:lock w:val="sdtLocked"/>
              </w:sdtPr>
              <w:sdtContent>
                <w:tc>
                  <w:tcPr>
                    <w:tcW w:w="1622" w:type="pct"/>
                    <w:vAlign w:val="center"/>
                  </w:tcPr>
                  <w:p w:rsidR="00806678" w:rsidRDefault="00B16377">
                    <w:pPr>
                      <w:jc w:val="center"/>
                      <w:rPr>
                        <w:szCs w:val="21"/>
                      </w:rPr>
                    </w:pPr>
                    <w:r>
                      <w:rPr>
                        <w:rFonts w:hint="eastAsia"/>
                        <w:szCs w:val="21"/>
                      </w:rPr>
                      <w:t>期末余额</w:t>
                    </w:r>
                  </w:p>
                </w:tc>
              </w:sdtContent>
            </w:sdt>
            <w:sdt>
              <w:sdtPr>
                <w:tag w:val="_PLD_200365ee1196470e91075b949a7f5552"/>
                <w:id w:val="1294021529"/>
                <w:lock w:val="sdtLocked"/>
              </w:sdtPr>
              <w:sdtContent>
                <w:tc>
                  <w:tcPr>
                    <w:tcW w:w="1614" w:type="pct"/>
                    <w:vAlign w:val="center"/>
                  </w:tcPr>
                  <w:p w:rsidR="00806678" w:rsidRDefault="00B16377">
                    <w:pPr>
                      <w:jc w:val="center"/>
                      <w:rPr>
                        <w:szCs w:val="21"/>
                      </w:rPr>
                    </w:pPr>
                    <w:r>
                      <w:rPr>
                        <w:rFonts w:hint="eastAsia"/>
                        <w:szCs w:val="21"/>
                      </w:rPr>
                      <w:t>期初余额</w:t>
                    </w:r>
                  </w:p>
                </w:tc>
              </w:sdtContent>
            </w:sdt>
          </w:tr>
          <w:tr w:rsidR="00806678" w:rsidTr="00556C7A">
            <w:trPr>
              <w:cantSplit/>
            </w:trPr>
            <w:sdt>
              <w:sdtPr>
                <w:tag w:val="_PLD_d057e8dff1234d46846699dd5feb85cb"/>
                <w:id w:val="1215630728"/>
                <w:lock w:val="sdtLocked"/>
              </w:sdtPr>
              <w:sdtContent>
                <w:tc>
                  <w:tcPr>
                    <w:tcW w:w="1764" w:type="pct"/>
                  </w:tcPr>
                  <w:p w:rsidR="00806678" w:rsidRDefault="00B16377">
                    <w:pPr>
                      <w:ind w:right="5"/>
                      <w:rPr>
                        <w:szCs w:val="21"/>
                      </w:rPr>
                    </w:pPr>
                    <w:r>
                      <w:rPr>
                        <w:rFonts w:hint="eastAsia"/>
                        <w:szCs w:val="21"/>
                      </w:rPr>
                      <w:t>应收利息</w:t>
                    </w:r>
                  </w:p>
                </w:tc>
              </w:sdtContent>
            </w:sdt>
            <w:tc>
              <w:tcPr>
                <w:tcW w:w="1622" w:type="pct"/>
              </w:tcPr>
              <w:p w:rsidR="00806678" w:rsidRDefault="00A835BD">
                <w:pPr>
                  <w:ind w:right="5"/>
                  <w:jc w:val="right"/>
                  <w:rPr>
                    <w:szCs w:val="21"/>
                  </w:rPr>
                </w:pPr>
                <w:r>
                  <w:rPr>
                    <w:szCs w:val="21"/>
                  </w:rPr>
                  <w:t>0</w:t>
                </w:r>
              </w:p>
            </w:tc>
            <w:tc>
              <w:tcPr>
                <w:tcW w:w="1614" w:type="pct"/>
              </w:tcPr>
              <w:p w:rsidR="00806678" w:rsidRDefault="00A835BD">
                <w:pPr>
                  <w:ind w:right="5"/>
                  <w:jc w:val="right"/>
                  <w:rPr>
                    <w:szCs w:val="21"/>
                  </w:rPr>
                </w:pPr>
                <w:r>
                  <w:rPr>
                    <w:szCs w:val="21"/>
                  </w:rPr>
                  <w:t>0</w:t>
                </w:r>
              </w:p>
            </w:tc>
          </w:tr>
          <w:tr w:rsidR="00A835BD" w:rsidTr="00DB008B">
            <w:trPr>
              <w:cantSplit/>
            </w:trPr>
            <w:sdt>
              <w:sdtPr>
                <w:tag w:val="_PLD_0a7e2171c2154f80a555ff0bce99834b"/>
                <w:id w:val="1770576753"/>
                <w:lock w:val="sdtLocked"/>
              </w:sdtPr>
              <w:sdtContent>
                <w:tc>
                  <w:tcPr>
                    <w:tcW w:w="1764" w:type="pct"/>
                  </w:tcPr>
                  <w:p w:rsidR="00A835BD" w:rsidRDefault="00A835BD" w:rsidP="00A835BD">
                    <w:pPr>
                      <w:ind w:right="5"/>
                      <w:rPr>
                        <w:szCs w:val="21"/>
                      </w:rPr>
                    </w:pPr>
                    <w:r>
                      <w:rPr>
                        <w:rFonts w:hint="eastAsia"/>
                        <w:szCs w:val="21"/>
                      </w:rPr>
                      <w:t>应收股利</w:t>
                    </w:r>
                  </w:p>
                </w:tc>
              </w:sdtContent>
            </w:sdt>
            <w:tc>
              <w:tcPr>
                <w:tcW w:w="1622" w:type="pct"/>
                <w:vAlign w:val="center"/>
              </w:tcPr>
              <w:p w:rsidR="00A835BD" w:rsidRDefault="00A835BD" w:rsidP="00A835BD">
                <w:pPr>
                  <w:ind w:right="5"/>
                  <w:jc w:val="right"/>
                  <w:rPr>
                    <w:szCs w:val="21"/>
                  </w:rPr>
                </w:pPr>
                <w:r>
                  <w:t>2,406,670,308</w:t>
                </w:r>
              </w:p>
            </w:tc>
            <w:tc>
              <w:tcPr>
                <w:tcW w:w="1614" w:type="pct"/>
                <w:vAlign w:val="center"/>
              </w:tcPr>
              <w:p w:rsidR="00A835BD" w:rsidRDefault="00A835BD" w:rsidP="00A835BD">
                <w:pPr>
                  <w:ind w:right="5"/>
                  <w:jc w:val="right"/>
                  <w:rPr>
                    <w:szCs w:val="21"/>
                  </w:rPr>
                </w:pPr>
                <w:r>
                  <w:t>0</w:t>
                </w:r>
              </w:p>
            </w:tc>
          </w:tr>
          <w:tr w:rsidR="00A835BD" w:rsidTr="00DB008B">
            <w:trPr>
              <w:cantSplit/>
            </w:trPr>
            <w:sdt>
              <w:sdtPr>
                <w:tag w:val="_PLD_2110eaa82be949499badb3b40511c6e3"/>
                <w:id w:val="-237719512"/>
                <w:lock w:val="sdtLocked"/>
              </w:sdtPr>
              <w:sdtContent>
                <w:tc>
                  <w:tcPr>
                    <w:tcW w:w="1764" w:type="pct"/>
                  </w:tcPr>
                  <w:p w:rsidR="00A835BD" w:rsidRDefault="00A835BD" w:rsidP="00A835BD">
                    <w:pPr>
                      <w:ind w:right="5"/>
                      <w:rPr>
                        <w:szCs w:val="21"/>
                      </w:rPr>
                    </w:pPr>
                    <w:r>
                      <w:rPr>
                        <w:rFonts w:hint="eastAsia"/>
                        <w:szCs w:val="21"/>
                      </w:rPr>
                      <w:t>其他应收款</w:t>
                    </w:r>
                  </w:p>
                </w:tc>
              </w:sdtContent>
            </w:sdt>
            <w:tc>
              <w:tcPr>
                <w:tcW w:w="1622" w:type="pct"/>
                <w:vAlign w:val="center"/>
              </w:tcPr>
              <w:p w:rsidR="00A835BD" w:rsidRDefault="00A835BD" w:rsidP="00A835BD">
                <w:pPr>
                  <w:ind w:right="5"/>
                  <w:jc w:val="right"/>
                  <w:rPr>
                    <w:szCs w:val="21"/>
                  </w:rPr>
                </w:pPr>
                <w:r>
                  <w:t>1,752,670,141</w:t>
                </w:r>
              </w:p>
            </w:tc>
            <w:tc>
              <w:tcPr>
                <w:tcW w:w="1614" w:type="pct"/>
                <w:vAlign w:val="center"/>
              </w:tcPr>
              <w:p w:rsidR="00A835BD" w:rsidRDefault="00A835BD" w:rsidP="00A835BD">
                <w:pPr>
                  <w:ind w:right="5"/>
                  <w:jc w:val="right"/>
                  <w:rPr>
                    <w:szCs w:val="21"/>
                  </w:rPr>
                </w:pPr>
                <w:r>
                  <w:t>3,162,653,687</w:t>
                </w:r>
              </w:p>
            </w:tc>
          </w:tr>
          <w:tr w:rsidR="00A835BD" w:rsidTr="00DB008B">
            <w:trPr>
              <w:cantSplit/>
            </w:trPr>
            <w:sdt>
              <w:sdtPr>
                <w:tag w:val="_PLD_3e5832c53835461581fdc41cd6b8f81f"/>
                <w:id w:val="1698884690"/>
                <w:lock w:val="sdtLocked"/>
              </w:sdtPr>
              <w:sdtContent>
                <w:tc>
                  <w:tcPr>
                    <w:tcW w:w="1764" w:type="pct"/>
                  </w:tcPr>
                  <w:p w:rsidR="00A835BD" w:rsidRDefault="00A835BD" w:rsidP="00A835BD">
                    <w:pPr>
                      <w:autoSpaceDE w:val="0"/>
                      <w:autoSpaceDN w:val="0"/>
                      <w:adjustRightInd w:val="0"/>
                      <w:rPr>
                        <w:szCs w:val="21"/>
                      </w:rPr>
                    </w:pPr>
                    <w:r>
                      <w:rPr>
                        <w:rFonts w:hint="eastAsia"/>
                        <w:szCs w:val="21"/>
                      </w:rPr>
                      <w:t>合计</w:t>
                    </w:r>
                  </w:p>
                </w:tc>
              </w:sdtContent>
            </w:sdt>
            <w:tc>
              <w:tcPr>
                <w:tcW w:w="1622" w:type="pct"/>
                <w:vAlign w:val="center"/>
              </w:tcPr>
              <w:p w:rsidR="00A835BD" w:rsidRDefault="00A835BD" w:rsidP="00A835BD">
                <w:pPr>
                  <w:jc w:val="right"/>
                  <w:rPr>
                    <w:szCs w:val="21"/>
                  </w:rPr>
                </w:pPr>
                <w:r>
                  <w:t>4,159,340,449</w:t>
                </w:r>
              </w:p>
            </w:tc>
            <w:tc>
              <w:tcPr>
                <w:tcW w:w="1614" w:type="pct"/>
                <w:vAlign w:val="center"/>
              </w:tcPr>
              <w:p w:rsidR="00A835BD" w:rsidRDefault="00A835BD" w:rsidP="00A835BD">
                <w:pPr>
                  <w:jc w:val="right"/>
                  <w:rPr>
                    <w:szCs w:val="21"/>
                  </w:rPr>
                </w:pPr>
                <w:r>
                  <w:t>3,162,653,687</w:t>
                </w:r>
              </w:p>
            </w:tc>
          </w:tr>
        </w:tbl>
        <w:p w:rsidR="00806678" w:rsidRDefault="00F80B6C"/>
        <w:bookmarkEnd w:id="168" w:displacedByCustomXml="next"/>
      </w:sdtContent>
    </w:sdt>
    <w:bookmarkStart w:id="169" w:name="_Hlk532906097" w:displacedByCustomXml="next"/>
    <w:sdt>
      <w:sdtPr>
        <w:rPr>
          <w:rFonts w:hint="eastAsia"/>
          <w:szCs w:val="21"/>
        </w:rPr>
        <w:alias w:val="模块:其他应收款分类列示其他说明"/>
        <w:tag w:val="_SEC_9f746d8f63c24963bbf193ceb3ce319d"/>
        <w:id w:val="-19630296"/>
        <w:lock w:val="sdtLocked"/>
        <w:placeholder>
          <w:docPart w:val="GBC22222222222222222222222222222"/>
        </w:placeholder>
      </w:sdtPr>
      <w:sdtEndPr>
        <w:rPr>
          <w:rFonts w:hint="default"/>
        </w:rPr>
      </w:sdtEndPr>
      <w:sdtContent>
        <w:p w:rsidR="00806678" w:rsidRDefault="00B16377">
          <w:pPr>
            <w:rPr>
              <w:szCs w:val="21"/>
            </w:rPr>
          </w:pPr>
          <w:r>
            <w:rPr>
              <w:rFonts w:hint="eastAsia"/>
              <w:szCs w:val="21"/>
            </w:rPr>
            <w:t>其他说明：</w:t>
          </w:r>
          <w:bookmarkEnd w:id="169"/>
        </w:p>
        <w:sdt>
          <w:sdtPr>
            <w:rPr>
              <w:szCs w:val="21"/>
            </w:rPr>
            <w:alias w:val="是否适用：其他应收款分类列示其他说明[双击切换]"/>
            <w:tag w:val="_GBC_87a25d8043fc4fcfac6a8c802b58dfc7"/>
            <w:id w:val="1673836016"/>
            <w:lock w:val="sdtLocked"/>
            <w:placeholder>
              <w:docPart w:val="GBC22222222222222222222222222222"/>
            </w:placeholder>
          </w:sdtPr>
          <w:sdtContent>
            <w:p w:rsidR="00806678" w:rsidRDefault="00F80B6C" w:rsidP="00A835BD">
              <w:pPr>
                <w:rPr>
                  <w:szCs w:val="21"/>
                </w:rPr>
              </w:pPr>
              <w:r>
                <w:rPr>
                  <w:szCs w:val="21"/>
                </w:rPr>
                <w:fldChar w:fldCharType="begin"/>
              </w:r>
              <w:r w:rsidR="00A835BD">
                <w:rPr>
                  <w:szCs w:val="21"/>
                </w:rPr>
                <w:instrText xml:space="preserve"> MACROBUTTON  SnrToggleCheckbox □适用 </w:instrText>
              </w:r>
              <w:r>
                <w:rPr>
                  <w:szCs w:val="21"/>
                </w:rPr>
                <w:fldChar w:fldCharType="end"/>
              </w:r>
              <w:r>
                <w:rPr>
                  <w:szCs w:val="21"/>
                </w:rPr>
                <w:fldChar w:fldCharType="begin"/>
              </w:r>
              <w:r w:rsidR="00A835BD">
                <w:rPr>
                  <w:szCs w:val="21"/>
                </w:rPr>
                <w:instrText xml:space="preserve"> MACROBUTTON  SnrToggleCheckbox √不适用 </w:instrText>
              </w:r>
              <w:r>
                <w:rPr>
                  <w:szCs w:val="21"/>
                </w:rPr>
                <w:fldChar w:fldCharType="end"/>
              </w:r>
            </w:p>
          </w:sdtContent>
        </w:sdt>
        <w:p w:rsidR="00806678" w:rsidRDefault="00F80B6C">
          <w:pPr>
            <w:rPr>
              <w:szCs w:val="21"/>
            </w:rPr>
          </w:pPr>
        </w:p>
      </w:sdtContent>
    </w:sdt>
    <w:p w:rsidR="00806678" w:rsidRDefault="00B16377">
      <w:pPr>
        <w:pStyle w:val="4"/>
        <w:ind w:left="360" w:hanging="360"/>
      </w:pPr>
      <w:r>
        <w:rPr>
          <w:rFonts w:hint="eastAsia"/>
        </w:rPr>
        <w:t>应收利息</w:t>
      </w:r>
    </w:p>
    <w:sdt>
      <w:sdtPr>
        <w:rPr>
          <w:rFonts w:asciiTheme="minorHAnsi" w:eastAsia="宋体" w:hAnsiTheme="minorHAnsi" w:cs="宋体" w:hint="eastAsia"/>
          <w:b w:val="0"/>
          <w:bCs w:val="0"/>
          <w:kern w:val="0"/>
          <w:szCs w:val="22"/>
        </w:rPr>
        <w:alias w:val="模块:应收利息"/>
        <w:tag w:val="_SEC_e7556b18b03f4947b14c0b36c675ff06"/>
        <w:id w:val="-1121224807"/>
        <w:lock w:val="sdtLocked"/>
        <w:placeholder>
          <w:docPart w:val="GBC22222222222222222222222222222"/>
        </w:placeholder>
      </w:sdtPr>
      <w:sdtEndPr>
        <w:rPr>
          <w:rFonts w:ascii="Times New Roman" w:hAnsi="Times New Roman" w:cs="Times New Roman"/>
          <w:kern w:val="2"/>
          <w:szCs w:val="24"/>
        </w:rPr>
      </w:sdtEndPr>
      <w:sdtContent>
        <w:p w:rsidR="00806678" w:rsidRDefault="00B16377" w:rsidP="00FF17C7">
          <w:pPr>
            <w:pStyle w:val="4"/>
            <w:numPr>
              <w:ilvl w:val="3"/>
              <w:numId w:val="78"/>
            </w:numPr>
            <w:ind w:left="426" w:hanging="426"/>
          </w:pPr>
          <w:r>
            <w:rPr>
              <w:rFonts w:hint="eastAsia"/>
            </w:rPr>
            <w:t>应收利息分类</w:t>
          </w:r>
        </w:p>
        <w:sdt>
          <w:sdtPr>
            <w:alias w:val="是否适用：应收利息分类[双击切换]"/>
            <w:tag w:val="_GBC_83217ec91e3240eeb9ff337eca1b11bb"/>
            <w:id w:val="-71499521"/>
            <w:lock w:val="sdtLocked"/>
            <w:placeholder>
              <w:docPart w:val="GBC22222222222222222222222222222"/>
            </w:placeholder>
          </w:sdtPr>
          <w:sdtContent>
            <w:p w:rsidR="00806678" w:rsidRDefault="00F80B6C" w:rsidP="001B7BB2">
              <w:pPr>
                <w:rPr>
                  <w:szCs w:val="21"/>
                </w:rPr>
              </w:pPr>
              <w:r>
                <w:fldChar w:fldCharType="begin"/>
              </w:r>
              <w:r w:rsidR="001B7BB2">
                <w:instrText xml:space="preserve">MACROBUTTON  SnrToggleCheckbox □适用 </w:instrText>
              </w:r>
              <w:r>
                <w:fldChar w:fldCharType="end"/>
              </w:r>
              <w:r>
                <w:fldChar w:fldCharType="begin"/>
              </w:r>
              <w:r w:rsidR="001B7BB2">
                <w:instrText xml:space="preserve"> MACROBUTTON  SnrToggleCheckbox √不适用 </w:instrText>
              </w:r>
              <w:r>
                <w:fldChar w:fldCharType="end"/>
              </w:r>
            </w:p>
          </w:sdtContent>
        </w:sdt>
      </w:sdtContent>
    </w:sdt>
    <w:sdt>
      <w:sdtPr>
        <w:rPr>
          <w:rFonts w:ascii="宋体" w:eastAsia="宋体" w:hAnsi="宋体" w:cs="宋体" w:hint="eastAsia"/>
          <w:b w:val="0"/>
          <w:bCs w:val="0"/>
          <w:kern w:val="0"/>
          <w:szCs w:val="24"/>
        </w:rPr>
        <w:alias w:val="模块:逾期利息"/>
        <w:tag w:val="_SEC_2b1aed9928154ce3b72406656569e1a0"/>
        <w:id w:val="-958025595"/>
        <w:lock w:val="sdtLocked"/>
        <w:placeholder>
          <w:docPart w:val="GBC22222222222222222222222222222"/>
        </w:placeholder>
      </w:sdtPr>
      <w:sdtEndPr>
        <w:rPr>
          <w:rFonts w:hint="default"/>
        </w:rPr>
      </w:sdtEndPr>
      <w:sdtContent>
        <w:p w:rsidR="00806678" w:rsidRDefault="00B16377" w:rsidP="00FF17C7">
          <w:pPr>
            <w:pStyle w:val="4"/>
            <w:numPr>
              <w:ilvl w:val="3"/>
              <w:numId w:val="78"/>
            </w:numPr>
            <w:ind w:left="426" w:hanging="426"/>
          </w:pPr>
          <w:r>
            <w:rPr>
              <w:rFonts w:hint="eastAsia"/>
            </w:rPr>
            <w:t>重要逾期利息</w:t>
          </w:r>
        </w:p>
        <w:sdt>
          <w:sdtPr>
            <w:alias w:val="是否适用：重要逾期利息[双击切换]"/>
            <w:tag w:val="_GBC_4720cbb6fd9144c2b14ef7120e6159be"/>
            <w:id w:val="-1449771947"/>
            <w:lock w:val="sdtLocked"/>
            <w:placeholder>
              <w:docPart w:val="GBC22222222222222222222222222222"/>
            </w:placeholder>
          </w:sdtPr>
          <w:sdtContent>
            <w:p w:rsidR="00806678" w:rsidRDefault="00F80B6C" w:rsidP="001B7BB2">
              <w:r>
                <w:fldChar w:fldCharType="begin"/>
              </w:r>
              <w:r w:rsidR="001B7BB2">
                <w:instrText xml:space="preserve">MACROBUTTON  SnrToggleCheckbox □适用 </w:instrText>
              </w:r>
              <w:r>
                <w:fldChar w:fldCharType="end"/>
              </w:r>
              <w:r>
                <w:fldChar w:fldCharType="begin"/>
              </w:r>
              <w:r w:rsidR="001B7BB2">
                <w:instrText xml:space="preserve"> MACROBUTTON  SnrToggleCheckbox √不适用 </w:instrText>
              </w:r>
              <w:r>
                <w:fldChar w:fldCharType="end"/>
              </w:r>
            </w:p>
          </w:sdtContent>
        </w:sdt>
      </w:sdtContent>
    </w:sdt>
    <w:bookmarkStart w:id="170" w:name="_Hlk533867290" w:displacedByCustomXml="next"/>
    <w:sdt>
      <w:sdtPr>
        <w:rPr>
          <w:rFonts w:ascii="宋体" w:eastAsia="宋体" w:hAnsi="宋体" w:cs="宋体" w:hint="eastAsia"/>
          <w:b w:val="0"/>
          <w:bCs w:val="0"/>
          <w:kern w:val="0"/>
          <w:szCs w:val="21"/>
        </w:rPr>
        <w:alias w:val="模块:坏账准备计提情况"/>
        <w:tag w:val="_SEC_d2c4f1952afe44258e5612ef28731834"/>
        <w:id w:val="-1337377164"/>
        <w:lock w:val="sdtLocked"/>
        <w:placeholder>
          <w:docPart w:val="GBC22222222222222222222222222222"/>
        </w:placeholder>
      </w:sdtPr>
      <w:sdtContent>
        <w:p w:rsidR="00806678" w:rsidRDefault="00B16377" w:rsidP="00FF17C7">
          <w:pPr>
            <w:pStyle w:val="4"/>
            <w:numPr>
              <w:ilvl w:val="3"/>
              <w:numId w:val="78"/>
            </w:numPr>
            <w:ind w:left="426" w:hanging="426"/>
            <w:rPr>
              <w:szCs w:val="21"/>
            </w:rPr>
          </w:pPr>
          <w:r>
            <w:rPr>
              <w:rFonts w:ascii="宋体" w:eastAsia="宋体" w:hAnsi="宋体" w:cs="宋体" w:hint="eastAsia"/>
              <w:bCs w:val="0"/>
              <w:kern w:val="0"/>
              <w:szCs w:val="21"/>
            </w:rPr>
            <w:t>坏账准备计提情况</w:t>
          </w:r>
        </w:p>
        <w:sdt>
          <w:sdtPr>
            <w:rPr>
              <w:szCs w:val="21"/>
            </w:rPr>
            <w:alias w:val="是否适用：应收利息坏账准备调节表[双击切换]"/>
            <w:tag w:val="_GBC_2926f106217b4c11a5fe606b79f60d83"/>
            <w:id w:val="-1636327436"/>
            <w:lock w:val="sdtLocked"/>
            <w:placeholder>
              <w:docPart w:val="GBC22222222222222222222222222222"/>
            </w:placeholder>
          </w:sdtPr>
          <w:sdtContent>
            <w:p w:rsidR="00806678" w:rsidRDefault="00F80B6C" w:rsidP="001B7BB2">
              <w:pPr>
                <w:rPr>
                  <w:szCs w:val="21"/>
                </w:rPr>
              </w:pPr>
              <w:r>
                <w:rPr>
                  <w:szCs w:val="21"/>
                </w:rPr>
                <w:fldChar w:fldCharType="begin"/>
              </w:r>
              <w:r w:rsidR="001B7BB2">
                <w:rPr>
                  <w:szCs w:val="21"/>
                </w:rPr>
                <w:instrText xml:space="preserve"> MACROBUTTON  SnrToggleCheckbox □适用 </w:instrText>
              </w:r>
              <w:r>
                <w:rPr>
                  <w:szCs w:val="21"/>
                </w:rPr>
                <w:fldChar w:fldCharType="end"/>
              </w:r>
              <w:r>
                <w:rPr>
                  <w:szCs w:val="21"/>
                </w:rPr>
                <w:fldChar w:fldCharType="begin"/>
              </w:r>
              <w:r w:rsidR="001B7BB2">
                <w:rPr>
                  <w:szCs w:val="21"/>
                </w:rPr>
                <w:instrText xml:space="preserve"> MACROBUTTON  SnrToggleCheckbox √不适用 </w:instrText>
              </w:r>
              <w:r>
                <w:rPr>
                  <w:szCs w:val="21"/>
                </w:rPr>
                <w:fldChar w:fldCharType="end"/>
              </w:r>
            </w:p>
          </w:sdtContent>
        </w:sdt>
      </w:sdtContent>
    </w:sdt>
    <w:bookmarkEnd w:id="170" w:displacedByCustomXml="prev"/>
    <w:sdt>
      <w:sdtPr>
        <w:rPr>
          <w:rFonts w:hint="eastAsia"/>
          <w:b/>
          <w:bCs/>
        </w:rPr>
        <w:alias w:val="模块:应收利息的说明"/>
        <w:tag w:val="_SEC_f928a6e9e75047f3b72b49250b05ba14"/>
        <w:id w:val="-840008444"/>
        <w:lock w:val="sdtLocked"/>
        <w:placeholder>
          <w:docPart w:val="GBC22222222222222222222222222222"/>
        </w:placeholder>
      </w:sdtPr>
      <w:sdtEndPr>
        <w:rPr>
          <w:rFonts w:hint="default"/>
          <w:b w:val="0"/>
          <w:bCs w:val="0"/>
          <w:szCs w:val="21"/>
        </w:rPr>
      </w:sdtEndPr>
      <w:sdtContent>
        <w:p w:rsidR="00806678" w:rsidRDefault="00B16377">
          <w:r>
            <w:rPr>
              <w:rFonts w:hint="eastAsia"/>
            </w:rPr>
            <w:t>其他说明：</w:t>
          </w:r>
        </w:p>
        <w:sdt>
          <w:sdtPr>
            <w:rPr>
              <w:rFonts w:hint="eastAsia"/>
              <w:szCs w:val="21"/>
            </w:rPr>
            <w:alias w:val="是否适用：应收利息的说明[双击切换]"/>
            <w:tag w:val="_GBC_353af20a1db84c639b0e03e660c37a48"/>
            <w:id w:val="1325011021"/>
            <w:lock w:val="sdtLocked"/>
            <w:placeholder>
              <w:docPart w:val="GBC22222222222222222222222222222"/>
            </w:placeholder>
          </w:sdtPr>
          <w:sdtContent>
            <w:p w:rsidR="00806678" w:rsidRDefault="00F80B6C" w:rsidP="001B7BB2">
              <w:pPr>
                <w:rPr>
                  <w:szCs w:val="21"/>
                </w:rPr>
              </w:pPr>
              <w:r>
                <w:rPr>
                  <w:szCs w:val="21"/>
                </w:rPr>
                <w:fldChar w:fldCharType="begin"/>
              </w:r>
              <w:r w:rsidR="001B7BB2">
                <w:rPr>
                  <w:szCs w:val="21"/>
                </w:rPr>
                <w:instrText xml:space="preserve"> MACROBUTTON  SnrToggleCheckbox □适用  </w:instrText>
              </w:r>
              <w:r>
                <w:rPr>
                  <w:szCs w:val="21"/>
                </w:rPr>
                <w:fldChar w:fldCharType="end"/>
              </w:r>
              <w:r>
                <w:rPr>
                  <w:szCs w:val="21"/>
                </w:rPr>
                <w:fldChar w:fldCharType="begin"/>
              </w:r>
              <w:r w:rsidR="001B7BB2">
                <w:rPr>
                  <w:szCs w:val="21"/>
                </w:rPr>
                <w:instrText xml:space="preserve"> MACROBUTTON  SnrToggleCheckbox √不适用 </w:instrText>
              </w:r>
              <w:r>
                <w:rPr>
                  <w:szCs w:val="21"/>
                </w:rPr>
                <w:fldChar w:fldCharType="end"/>
              </w:r>
            </w:p>
          </w:sdtContent>
        </w:sdt>
      </w:sdtContent>
    </w:sdt>
    <w:p w:rsidR="00806678" w:rsidRDefault="00806678">
      <w:pPr>
        <w:rPr>
          <w:szCs w:val="21"/>
        </w:rPr>
      </w:pPr>
    </w:p>
    <w:p w:rsidR="00806678" w:rsidRDefault="00B16377">
      <w:pPr>
        <w:pStyle w:val="4"/>
        <w:ind w:left="360" w:hanging="360"/>
      </w:pPr>
      <w:r>
        <w:rPr>
          <w:rFonts w:hint="eastAsia"/>
        </w:rPr>
        <w:t>应收股利</w:t>
      </w:r>
    </w:p>
    <w:sdt>
      <w:sdtPr>
        <w:rPr>
          <w:rFonts w:asciiTheme="minorHAnsi" w:eastAsia="宋体" w:hAnsiTheme="minorHAnsi" w:cstheme="minorBidi" w:hint="eastAsia"/>
          <w:b w:val="0"/>
          <w:bCs w:val="0"/>
          <w:kern w:val="0"/>
          <w:szCs w:val="22"/>
        </w:rPr>
        <w:alias w:val="模块:应收股利"/>
        <w:tag w:val="_SEC_531f695428244731b7e3fcf9986e03c5"/>
        <w:id w:val="410284409"/>
        <w:lock w:val="sdtLocked"/>
        <w:placeholder>
          <w:docPart w:val="GBC22222222222222222222222222222"/>
        </w:placeholder>
      </w:sdtPr>
      <w:sdtEndPr>
        <w:rPr>
          <w:rFonts w:ascii="Times New Roman" w:hAnsi="Times New Roman" w:cs="Times New Roman"/>
          <w:szCs w:val="24"/>
        </w:rPr>
      </w:sdtEndPr>
      <w:sdtContent>
        <w:p w:rsidR="00806678" w:rsidRDefault="00B16377" w:rsidP="00FF17C7">
          <w:pPr>
            <w:pStyle w:val="4"/>
            <w:numPr>
              <w:ilvl w:val="3"/>
              <w:numId w:val="43"/>
            </w:numPr>
            <w:ind w:left="426" w:hanging="426"/>
          </w:pPr>
          <w:r>
            <w:rPr>
              <w:rFonts w:hint="eastAsia"/>
            </w:rPr>
            <w:t>应收股利</w:t>
          </w:r>
        </w:p>
        <w:sdt>
          <w:sdtPr>
            <w:alias w:val="是否适用：应收股利[双击切换]"/>
            <w:tag w:val="_GBC_c0f7b0360a644690b0472107042df17a"/>
            <w:id w:val="2121493844"/>
            <w:lock w:val="sdtLocked"/>
            <w:placeholder>
              <w:docPart w:val="GBC22222222222222222222222222222"/>
            </w:placeholder>
          </w:sdtPr>
          <w:sdtContent>
            <w:p w:rsidR="00806678" w:rsidRDefault="00F80B6C">
              <w:r>
                <w:fldChar w:fldCharType="begin"/>
              </w:r>
              <w:r w:rsidR="001B7BB2">
                <w:instrText xml:space="preserve">MACROBUTTON  SnrToggleCheckbox √适用 </w:instrText>
              </w:r>
              <w:r>
                <w:fldChar w:fldCharType="end"/>
              </w:r>
              <w:r>
                <w:fldChar w:fldCharType="begin"/>
              </w:r>
              <w:r w:rsidR="001B7BB2">
                <w:instrText xml:space="preserve"> MACROBUTTON  SnrToggleCheckbox □不适用 </w:instrText>
              </w:r>
              <w:r>
                <w:fldChar w:fldCharType="end"/>
              </w:r>
            </w:p>
          </w:sdtContent>
        </w:sdt>
        <w:p w:rsidR="00806678" w:rsidRDefault="00B16377">
          <w:pPr>
            <w:jc w:val="right"/>
            <w:rPr>
              <w:szCs w:val="21"/>
            </w:rPr>
          </w:pPr>
          <w:r>
            <w:rPr>
              <w:rFonts w:hint="eastAsia"/>
              <w:szCs w:val="21"/>
            </w:rPr>
            <w:t>单位：</w:t>
          </w:r>
          <w:sdt>
            <w:sdtPr>
              <w:rPr>
                <w:rFonts w:hint="eastAsia"/>
                <w:szCs w:val="21"/>
              </w:rPr>
              <w:alias w:val="单位：财务附注：应收股利"/>
              <w:tag w:val="_GBC_50f835a1df1e48409cac94b31300ae2b"/>
              <w:id w:val="-68475138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应收股利"/>
              <w:tag w:val="_GBC_51a26d58ea414110b611fe682d0ba316"/>
              <w:id w:val="-144529902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13"/>
            <w:gridCol w:w="2811"/>
            <w:gridCol w:w="2825"/>
          </w:tblGrid>
          <w:tr w:rsidR="00A835BD" w:rsidTr="00DB008B">
            <w:sdt>
              <w:sdtPr>
                <w:tag w:val="_PLD_39a83912b1814ce587a6aa2bfcc20d43"/>
                <w:id w:val="284854444"/>
                <w:lock w:val="sdtLocked"/>
              </w:sdtPr>
              <w:sdtContent>
                <w:tc>
                  <w:tcPr>
                    <w:tcW w:w="1886" w:type="pct"/>
                    <w:vAlign w:val="center"/>
                  </w:tcPr>
                  <w:p w:rsidR="00A835BD" w:rsidRDefault="00A835BD" w:rsidP="00DB008B">
                    <w:pPr>
                      <w:jc w:val="center"/>
                      <w:rPr>
                        <w:szCs w:val="21"/>
                      </w:rPr>
                    </w:pPr>
                    <w:r>
                      <w:rPr>
                        <w:rFonts w:hint="eastAsia"/>
                        <w:szCs w:val="21"/>
                      </w:rPr>
                      <w:t>项目(或被投资单位)</w:t>
                    </w:r>
                  </w:p>
                </w:tc>
              </w:sdtContent>
            </w:sdt>
            <w:sdt>
              <w:sdtPr>
                <w:tag w:val="_PLD_de504ddfb0d74b04930d73922e81793f"/>
                <w:id w:val="-1829898276"/>
                <w:lock w:val="sdtLocked"/>
              </w:sdtPr>
              <w:sdtContent>
                <w:tc>
                  <w:tcPr>
                    <w:tcW w:w="1553" w:type="pct"/>
                    <w:vAlign w:val="center"/>
                  </w:tcPr>
                  <w:p w:rsidR="00A835BD" w:rsidRDefault="00A835BD" w:rsidP="00DB008B">
                    <w:pPr>
                      <w:jc w:val="center"/>
                      <w:rPr>
                        <w:szCs w:val="21"/>
                      </w:rPr>
                    </w:pPr>
                    <w:r>
                      <w:rPr>
                        <w:rFonts w:hint="eastAsia"/>
                        <w:szCs w:val="21"/>
                      </w:rPr>
                      <w:t>期末余额</w:t>
                    </w:r>
                  </w:p>
                </w:tc>
              </w:sdtContent>
            </w:sdt>
            <w:sdt>
              <w:sdtPr>
                <w:tag w:val="_PLD_06fe10e4c67542f3ae16fdf0e6912fbc"/>
                <w:id w:val="688641657"/>
                <w:lock w:val="sdtLocked"/>
              </w:sdtPr>
              <w:sdtContent>
                <w:tc>
                  <w:tcPr>
                    <w:tcW w:w="1561" w:type="pct"/>
                    <w:vAlign w:val="center"/>
                  </w:tcPr>
                  <w:p w:rsidR="00A835BD" w:rsidRDefault="00A835BD" w:rsidP="00DB008B">
                    <w:pPr>
                      <w:jc w:val="center"/>
                      <w:rPr>
                        <w:szCs w:val="21"/>
                      </w:rPr>
                    </w:pPr>
                    <w:r>
                      <w:rPr>
                        <w:rFonts w:hint="eastAsia"/>
                        <w:szCs w:val="21"/>
                      </w:rPr>
                      <w:t>期初余额</w:t>
                    </w:r>
                  </w:p>
                </w:tc>
              </w:sdtContent>
            </w:sdt>
          </w:tr>
          <w:sdt>
            <w:sdtPr>
              <w:rPr>
                <w:rFonts w:hint="eastAsia"/>
                <w:kern w:val="2"/>
                <w:szCs w:val="21"/>
              </w:rPr>
              <w:alias w:val="应收股利明细"/>
              <w:tag w:val="_TUP_6fa5fa06ba054fe58d8bb861a8ec252d"/>
              <w:id w:val="1449193798"/>
              <w:lock w:val="sdtLocked"/>
            </w:sdtPr>
            <w:sdtContent>
              <w:tr w:rsidR="00A835BD" w:rsidTr="00DB008B">
                <w:tc>
                  <w:tcPr>
                    <w:tcW w:w="1886" w:type="pct"/>
                  </w:tcPr>
                  <w:p w:rsidR="00A835BD" w:rsidRDefault="00A835BD" w:rsidP="00DB008B">
                    <w:pPr>
                      <w:rPr>
                        <w:szCs w:val="21"/>
                      </w:rPr>
                    </w:pPr>
                    <w:r>
                      <w:rPr>
                        <w:kern w:val="2"/>
                        <w:szCs w:val="21"/>
                      </w:rPr>
                      <w:t>应收联营公司股利</w:t>
                    </w:r>
                  </w:p>
                </w:tc>
                <w:tc>
                  <w:tcPr>
                    <w:tcW w:w="1553" w:type="pct"/>
                  </w:tcPr>
                  <w:p w:rsidR="00A835BD" w:rsidRDefault="00A835BD" w:rsidP="00DB008B">
                    <w:pPr>
                      <w:jc w:val="right"/>
                      <w:rPr>
                        <w:szCs w:val="21"/>
                      </w:rPr>
                    </w:pPr>
                    <w:r>
                      <w:t>2,406,670,308</w:t>
                    </w:r>
                  </w:p>
                </w:tc>
                <w:tc>
                  <w:tcPr>
                    <w:tcW w:w="1561" w:type="pct"/>
                  </w:tcPr>
                  <w:p w:rsidR="00A835BD" w:rsidRDefault="00A835BD" w:rsidP="00DB008B">
                    <w:pPr>
                      <w:jc w:val="right"/>
                      <w:rPr>
                        <w:szCs w:val="21"/>
                      </w:rPr>
                    </w:pPr>
                    <w:r>
                      <w:t>0</w:t>
                    </w:r>
                  </w:p>
                </w:tc>
              </w:tr>
            </w:sdtContent>
          </w:sdt>
          <w:tr w:rsidR="00A835BD" w:rsidTr="00DB008B">
            <w:sdt>
              <w:sdtPr>
                <w:tag w:val="_PLD_b33ce87f87a24aca97031067ec2e10eb"/>
                <w:id w:val="1722016263"/>
                <w:lock w:val="sdtLocked"/>
              </w:sdtPr>
              <w:sdtContent>
                <w:tc>
                  <w:tcPr>
                    <w:tcW w:w="1886" w:type="pct"/>
                    <w:vAlign w:val="center"/>
                  </w:tcPr>
                  <w:p w:rsidR="00A835BD" w:rsidRDefault="00A835BD" w:rsidP="00A835BD">
                    <w:pPr>
                      <w:jc w:val="center"/>
                      <w:rPr>
                        <w:szCs w:val="21"/>
                      </w:rPr>
                    </w:pPr>
                    <w:r>
                      <w:rPr>
                        <w:rFonts w:hint="eastAsia"/>
                        <w:szCs w:val="21"/>
                      </w:rPr>
                      <w:t>合计</w:t>
                    </w:r>
                  </w:p>
                </w:tc>
              </w:sdtContent>
            </w:sdt>
            <w:tc>
              <w:tcPr>
                <w:tcW w:w="1553" w:type="pct"/>
                <w:vAlign w:val="center"/>
              </w:tcPr>
              <w:p w:rsidR="00A835BD" w:rsidRDefault="00A835BD" w:rsidP="00A835BD">
                <w:pPr>
                  <w:jc w:val="right"/>
                  <w:rPr>
                    <w:szCs w:val="21"/>
                  </w:rPr>
                </w:pPr>
                <w:r>
                  <w:t>2,406,670,308</w:t>
                </w:r>
              </w:p>
            </w:tc>
            <w:tc>
              <w:tcPr>
                <w:tcW w:w="1561" w:type="pct"/>
                <w:vAlign w:val="center"/>
              </w:tcPr>
              <w:p w:rsidR="00A835BD" w:rsidRDefault="00A835BD" w:rsidP="00A835BD">
                <w:pPr>
                  <w:jc w:val="right"/>
                  <w:rPr>
                    <w:szCs w:val="21"/>
                  </w:rPr>
                </w:pPr>
                <w:r>
                  <w:t>0</w:t>
                </w:r>
              </w:p>
            </w:tc>
          </w:tr>
        </w:tbl>
        <w:p w:rsidR="00806678" w:rsidRDefault="00F80B6C">
          <w:pPr>
            <w:rPr>
              <w:szCs w:val="21"/>
            </w:rPr>
          </w:pPr>
        </w:p>
      </w:sdtContent>
    </w:sdt>
    <w:sdt>
      <w:sdtPr>
        <w:rPr>
          <w:rFonts w:asciiTheme="minorHAnsi" w:eastAsia="宋体" w:hAnsiTheme="minorHAnsi" w:cstheme="minorBidi" w:hint="eastAsia"/>
          <w:b w:val="0"/>
          <w:bCs w:val="0"/>
          <w:kern w:val="0"/>
          <w:szCs w:val="22"/>
        </w:rPr>
        <w:alias w:val="模块:应收股利"/>
        <w:tag w:val="_SEC_9503084ad1734739bb1a74f5476ec07c"/>
        <w:id w:val="1426149031"/>
        <w:lock w:val="sdtLocked"/>
        <w:placeholder>
          <w:docPart w:val="GBC22222222222222222222222222222"/>
        </w:placeholder>
      </w:sdtPr>
      <w:sdtEndPr>
        <w:rPr>
          <w:rFonts w:ascii="宋体" w:hAnsi="宋体" w:cs="宋体" w:hint="default"/>
          <w:szCs w:val="24"/>
        </w:rPr>
      </w:sdtEndPr>
      <w:sdtContent>
        <w:p w:rsidR="00806678" w:rsidRDefault="00B16377" w:rsidP="00FF17C7">
          <w:pPr>
            <w:pStyle w:val="4"/>
            <w:numPr>
              <w:ilvl w:val="3"/>
              <w:numId w:val="43"/>
            </w:numPr>
            <w:ind w:left="426" w:hanging="426"/>
          </w:pPr>
          <w:r>
            <w:rPr>
              <w:rFonts w:hint="eastAsia"/>
            </w:rPr>
            <w:t>重要的账龄超过1年的应收股利</w:t>
          </w:r>
        </w:p>
        <w:p w:rsidR="00806678" w:rsidRDefault="00F80B6C" w:rsidP="00A835BD">
          <w:sdt>
            <w:sdtPr>
              <w:rPr>
                <w:rFonts w:hint="eastAsia"/>
                <w:szCs w:val="21"/>
              </w:rPr>
              <w:alias w:val="是否适用：重要的账龄超过1年的应收股利[双击切换]"/>
              <w:tag w:val="_GBC_d46c4e6d2f2e4e20b430a619bde9abe8"/>
              <w:id w:val="100460296"/>
              <w:lock w:val="sdtLocked"/>
              <w:placeholder>
                <w:docPart w:val="GBC22222222222222222222222222222"/>
              </w:placeholder>
            </w:sdtPr>
            <w:sdtContent>
              <w:r>
                <w:rPr>
                  <w:szCs w:val="21"/>
                </w:rPr>
                <w:fldChar w:fldCharType="begin"/>
              </w:r>
              <w:r w:rsidR="00A835BD">
                <w:rPr>
                  <w:szCs w:val="21"/>
                </w:rPr>
                <w:instrText xml:space="preserve">MACROBUTTON  SnrToggleCheckbox □适用 </w:instrText>
              </w:r>
              <w:r>
                <w:rPr>
                  <w:szCs w:val="21"/>
                </w:rPr>
                <w:fldChar w:fldCharType="end"/>
              </w:r>
              <w:r>
                <w:rPr>
                  <w:szCs w:val="21"/>
                </w:rPr>
                <w:fldChar w:fldCharType="begin"/>
              </w:r>
              <w:r w:rsidR="00A835BD">
                <w:rPr>
                  <w:szCs w:val="21"/>
                </w:rPr>
                <w:instrText xml:space="preserve"> MACROBUTTON  SnrToggleCheckbox √不适用 </w:instrText>
              </w:r>
              <w:r>
                <w:rPr>
                  <w:szCs w:val="21"/>
                </w:rPr>
                <w:fldChar w:fldCharType="end"/>
              </w:r>
            </w:sdtContent>
          </w:sdt>
        </w:p>
      </w:sdtContent>
    </w:sdt>
    <w:bookmarkStart w:id="171" w:name="_Hlk533421146" w:displacedByCustomXml="next"/>
    <w:sdt>
      <w:sdtPr>
        <w:rPr>
          <w:rFonts w:ascii="宋体" w:eastAsia="宋体" w:hAnsi="宋体" w:cs="宋体" w:hint="eastAsia"/>
          <w:b w:val="0"/>
          <w:bCs w:val="0"/>
          <w:kern w:val="0"/>
          <w:szCs w:val="24"/>
        </w:rPr>
        <w:alias w:val="模块:坏账准备计提情况"/>
        <w:tag w:val="_SEC_bfa6d1d8f0d04386aa81c3673c519221"/>
        <w:id w:val="344370068"/>
        <w:lock w:val="sdtLocked"/>
        <w:placeholder>
          <w:docPart w:val="GBC22222222222222222222222222222"/>
        </w:placeholder>
      </w:sdtPr>
      <w:sdtEndPr>
        <w:rPr>
          <w:szCs w:val="21"/>
        </w:rPr>
      </w:sdtEndPr>
      <w:sdtContent>
        <w:p w:rsidR="00806678" w:rsidRDefault="00B16377" w:rsidP="00FF17C7">
          <w:pPr>
            <w:pStyle w:val="4"/>
            <w:numPr>
              <w:ilvl w:val="3"/>
              <w:numId w:val="43"/>
            </w:numPr>
            <w:ind w:left="426" w:hanging="426"/>
          </w:pPr>
          <w:r>
            <w:rPr>
              <w:rFonts w:ascii="宋体" w:eastAsia="宋体" w:hAnsi="宋体" w:cs="宋体" w:hint="eastAsia"/>
              <w:bCs w:val="0"/>
              <w:kern w:val="0"/>
              <w:szCs w:val="24"/>
            </w:rPr>
            <w:t>坏账准备计提情况</w:t>
          </w:r>
        </w:p>
        <w:sdt>
          <w:sdtPr>
            <w:alias w:val="是否适用：应收股利坏账准备调节表[双击切换]"/>
            <w:tag w:val="_GBC_847cf15503744e02b8ac7395c17d2da6"/>
            <w:id w:val="985198071"/>
            <w:lock w:val="sdtLocked"/>
            <w:placeholder>
              <w:docPart w:val="GBC22222222222222222222222222222"/>
            </w:placeholder>
          </w:sdtPr>
          <w:sdtContent>
            <w:p w:rsidR="00806678" w:rsidRDefault="00F80B6C" w:rsidP="001B7BB2">
              <w:pPr>
                <w:rPr>
                  <w:szCs w:val="21"/>
                </w:rPr>
              </w:pPr>
              <w:r>
                <w:fldChar w:fldCharType="begin"/>
              </w:r>
              <w:r w:rsidR="001B7BB2">
                <w:instrText xml:space="preserve"> MACROBUTTON  SnrToggleCheckbox □适用 </w:instrText>
              </w:r>
              <w:r>
                <w:fldChar w:fldCharType="end"/>
              </w:r>
              <w:r>
                <w:fldChar w:fldCharType="begin"/>
              </w:r>
              <w:r w:rsidR="001B7BB2">
                <w:instrText xml:space="preserve"> MACROBUTTON  SnrToggleCheckbox √不适用 </w:instrText>
              </w:r>
              <w:r>
                <w:fldChar w:fldCharType="end"/>
              </w:r>
            </w:p>
          </w:sdtContent>
        </w:sdt>
      </w:sdtContent>
    </w:sdt>
    <w:bookmarkEnd w:id="171" w:displacedByCustomXml="prev"/>
    <w:sdt>
      <w:sdtPr>
        <w:rPr>
          <w:rFonts w:hint="eastAsia"/>
          <w:szCs w:val="21"/>
        </w:rPr>
        <w:alias w:val="模块:应收股利的说明"/>
        <w:tag w:val="_SEC_e50f0bae57ac4f97bb5148c612a8ca48"/>
        <w:id w:val="-1672329285"/>
        <w:lock w:val="sdtLocked"/>
        <w:placeholder>
          <w:docPart w:val="GBC22222222222222222222222222222"/>
        </w:placeholder>
      </w:sdtPr>
      <w:sdtEndPr>
        <w:rPr>
          <w:rFonts w:hint="default"/>
        </w:rPr>
      </w:sdtEndPr>
      <w:sdtContent>
        <w:p w:rsidR="00806678" w:rsidRDefault="00B16377">
          <w:pPr>
            <w:rPr>
              <w:szCs w:val="21"/>
            </w:rPr>
          </w:pPr>
          <w:r>
            <w:rPr>
              <w:rFonts w:hint="eastAsia"/>
              <w:szCs w:val="21"/>
            </w:rPr>
            <w:t>其他说明：</w:t>
          </w:r>
        </w:p>
        <w:sdt>
          <w:sdtPr>
            <w:rPr>
              <w:szCs w:val="21"/>
            </w:rPr>
            <w:alias w:val="是否适用：应收股利的说明[双击切换]"/>
            <w:tag w:val="_GBC_22314d2cdf794d5f90af92f13665da22"/>
            <w:id w:val="-1916233341"/>
            <w:lock w:val="sdtLocked"/>
            <w:placeholder>
              <w:docPart w:val="GBC22222222222222222222222222222"/>
            </w:placeholder>
          </w:sdtPr>
          <w:sdtContent>
            <w:p w:rsidR="00E06B8A" w:rsidRDefault="00F80B6C" w:rsidP="001B7BB2">
              <w:pPr>
                <w:rPr>
                  <w:szCs w:val="21"/>
                </w:rPr>
              </w:pPr>
              <w:r>
                <w:rPr>
                  <w:szCs w:val="21"/>
                </w:rPr>
                <w:fldChar w:fldCharType="begin"/>
              </w:r>
              <w:r w:rsidR="001B7BB2">
                <w:rPr>
                  <w:szCs w:val="21"/>
                </w:rPr>
                <w:instrText xml:space="preserve">MACROBUTTON  SnrToggleCheckbox □适用 </w:instrText>
              </w:r>
              <w:r>
                <w:rPr>
                  <w:szCs w:val="21"/>
                </w:rPr>
                <w:fldChar w:fldCharType="end"/>
              </w:r>
              <w:r>
                <w:rPr>
                  <w:szCs w:val="21"/>
                </w:rPr>
                <w:fldChar w:fldCharType="begin"/>
              </w:r>
              <w:r w:rsidR="001B7BB2">
                <w:rPr>
                  <w:szCs w:val="21"/>
                </w:rPr>
                <w:instrText xml:space="preserve"> MACROBUTTON  SnrToggleCheckbox √不适用 </w:instrText>
              </w:r>
              <w:r>
                <w:rPr>
                  <w:szCs w:val="21"/>
                </w:rPr>
                <w:fldChar w:fldCharType="end"/>
              </w:r>
            </w:p>
            <w:p w:rsidR="00806678" w:rsidRDefault="00F80B6C" w:rsidP="001B7BB2">
              <w:pPr>
                <w:rPr>
                  <w:szCs w:val="21"/>
                </w:rPr>
              </w:pPr>
            </w:p>
          </w:sdtContent>
        </w:sdt>
      </w:sdtContent>
    </w:sdt>
    <w:p w:rsidR="008370A9" w:rsidRPr="00E06B8A" w:rsidRDefault="00B16377" w:rsidP="00E06B8A">
      <w:pPr>
        <w:pStyle w:val="4"/>
        <w:ind w:left="360" w:hanging="360"/>
      </w:pPr>
      <w:r>
        <w:rPr>
          <w:rFonts w:hint="eastAsia"/>
        </w:rPr>
        <w:t>其他应收款</w:t>
      </w:r>
      <w:bookmarkStart w:id="172" w:name="_Hlk533421204"/>
    </w:p>
    <w:sdt>
      <w:sdtPr>
        <w:rPr>
          <w:rFonts w:ascii="宋体" w:eastAsia="宋体" w:hAnsi="宋体" w:cs="宋体" w:hint="eastAsia"/>
          <w:b w:val="0"/>
          <w:bCs w:val="0"/>
          <w:kern w:val="0"/>
          <w:szCs w:val="24"/>
        </w:rPr>
        <w:alias w:val="模块:按账龄披露"/>
        <w:tag w:val="_SEC_9cd4f6309fba4b598ec2f3a0a4e083ad"/>
        <w:id w:val="-1947303265"/>
        <w:lock w:val="sdtLocked"/>
        <w:placeholder>
          <w:docPart w:val="GBC22222222222222222222222222222"/>
        </w:placeholder>
      </w:sdtPr>
      <w:sdtContent>
        <w:p w:rsidR="008370A9" w:rsidRPr="00606798" w:rsidRDefault="008370A9" w:rsidP="00E06B8A">
          <w:pPr>
            <w:pStyle w:val="4"/>
            <w:snapToGrid w:val="0"/>
            <w:ind w:left="426"/>
          </w:pPr>
        </w:p>
        <w:p w:rsidR="002252B6" w:rsidRDefault="002252B6" w:rsidP="00FF17C7">
          <w:pPr>
            <w:pStyle w:val="4"/>
            <w:numPr>
              <w:ilvl w:val="3"/>
              <w:numId w:val="45"/>
            </w:numPr>
            <w:ind w:left="426" w:hanging="426"/>
            <w:rPr>
              <w:szCs w:val="21"/>
            </w:rPr>
          </w:pPr>
          <w:r>
            <w:rPr>
              <w:rFonts w:hint="eastAsia"/>
              <w:szCs w:val="21"/>
            </w:rPr>
            <w:t>客户类别</w:t>
          </w:r>
        </w:p>
        <w:p w:rsidR="008370A9" w:rsidRDefault="008370A9" w:rsidP="008370A9">
          <w:r w:rsidRPr="008370A9">
            <w:rPr>
              <w:rFonts w:hint="eastAsia"/>
            </w:rPr>
            <w:t>√适用</w:t>
          </w:r>
          <w:r w:rsidRPr="008370A9">
            <w:t xml:space="preserve"> □不适用</w:t>
          </w:r>
        </w:p>
        <w:p w:rsidR="008370A9" w:rsidRPr="008370A9" w:rsidRDefault="008370A9" w:rsidP="008370A9"/>
        <w:tbl>
          <w:tblPr>
            <w:tblStyle w:val="a6"/>
            <w:tblW w:w="0" w:type="auto"/>
            <w:tblLook w:val="04A0"/>
          </w:tblPr>
          <w:tblGrid>
            <w:gridCol w:w="3874"/>
            <w:gridCol w:w="2911"/>
            <w:gridCol w:w="2264"/>
          </w:tblGrid>
          <w:tr w:rsidR="00B1194A" w:rsidTr="00B1194A">
            <w:tc>
              <w:tcPr>
                <w:tcW w:w="3874" w:type="dxa"/>
              </w:tcPr>
              <w:p w:rsidR="00B1194A" w:rsidRDefault="00B1194A" w:rsidP="004B4952">
                <w:r>
                  <w:t>客户类别</w:t>
                </w:r>
              </w:p>
            </w:tc>
            <w:tc>
              <w:tcPr>
                <w:tcW w:w="2911" w:type="dxa"/>
                <w:vAlign w:val="center"/>
              </w:tcPr>
              <w:p w:rsidR="00B1194A" w:rsidRDefault="00B1194A" w:rsidP="004B4952">
                <w:pPr>
                  <w:jc w:val="center"/>
                </w:pPr>
                <w:r>
                  <w:t>期末账面余额</w:t>
                </w:r>
              </w:p>
            </w:tc>
            <w:tc>
              <w:tcPr>
                <w:tcW w:w="2264" w:type="dxa"/>
                <w:vAlign w:val="center"/>
              </w:tcPr>
              <w:p w:rsidR="00B1194A" w:rsidRDefault="00B1194A" w:rsidP="004B4952">
                <w:pPr>
                  <w:jc w:val="center"/>
                </w:pPr>
                <w:r>
                  <w:t>期初账面余额</w:t>
                </w:r>
              </w:p>
            </w:tc>
          </w:tr>
          <w:tr w:rsidR="00B1194A" w:rsidTr="00B1194A">
            <w:tc>
              <w:tcPr>
                <w:tcW w:w="3874" w:type="dxa"/>
              </w:tcPr>
              <w:p w:rsidR="00B1194A" w:rsidRDefault="00B1194A" w:rsidP="004B4952">
                <w:r>
                  <w:t>国铁集团及其下属单位</w:t>
                </w:r>
              </w:p>
            </w:tc>
            <w:tc>
              <w:tcPr>
                <w:tcW w:w="2911" w:type="dxa"/>
                <w:vAlign w:val="center"/>
              </w:tcPr>
              <w:p w:rsidR="00B1194A" w:rsidRDefault="00B1194A" w:rsidP="004B4952">
                <w:pPr>
                  <w:jc w:val="right"/>
                </w:pPr>
                <w:r>
                  <w:t>1,708,191,620</w:t>
                </w:r>
              </w:p>
            </w:tc>
            <w:tc>
              <w:tcPr>
                <w:tcW w:w="2264" w:type="dxa"/>
                <w:vAlign w:val="center"/>
              </w:tcPr>
              <w:p w:rsidR="00B1194A" w:rsidRDefault="00B1194A" w:rsidP="004B4952">
                <w:pPr>
                  <w:jc w:val="right"/>
                </w:pPr>
                <w:r>
                  <w:t>3,115,756,702</w:t>
                </w:r>
              </w:p>
            </w:tc>
          </w:tr>
          <w:tr w:rsidR="00B1194A" w:rsidTr="00B1194A">
            <w:tc>
              <w:tcPr>
                <w:tcW w:w="3874" w:type="dxa"/>
              </w:tcPr>
              <w:p w:rsidR="00B1194A" w:rsidRDefault="00B1194A" w:rsidP="004B4952">
                <w:r>
                  <w:t>其他</w:t>
                </w:r>
              </w:p>
            </w:tc>
            <w:tc>
              <w:tcPr>
                <w:tcW w:w="2911" w:type="dxa"/>
                <w:vAlign w:val="center"/>
              </w:tcPr>
              <w:p w:rsidR="00B1194A" w:rsidRDefault="00B1194A" w:rsidP="004B4952">
                <w:pPr>
                  <w:jc w:val="right"/>
                </w:pPr>
                <w:r>
                  <w:t>45,099,696</w:t>
                </w:r>
              </w:p>
            </w:tc>
            <w:tc>
              <w:tcPr>
                <w:tcW w:w="2264" w:type="dxa"/>
                <w:vAlign w:val="center"/>
              </w:tcPr>
              <w:p w:rsidR="00B1194A" w:rsidRDefault="00B1194A" w:rsidP="004B4952">
                <w:pPr>
                  <w:jc w:val="right"/>
                </w:pPr>
                <w:r>
                  <w:t>52,215,491</w:t>
                </w:r>
              </w:p>
            </w:tc>
          </w:tr>
          <w:tr w:rsidR="00B1194A" w:rsidTr="00B1194A">
            <w:tc>
              <w:tcPr>
                <w:tcW w:w="3874" w:type="dxa"/>
              </w:tcPr>
              <w:p w:rsidR="00B1194A" w:rsidRDefault="00B1194A" w:rsidP="004B4952">
                <w:r>
                  <w:t>减：坏账准备</w:t>
                </w:r>
              </w:p>
            </w:tc>
            <w:tc>
              <w:tcPr>
                <w:tcW w:w="2911" w:type="dxa"/>
                <w:vAlign w:val="center"/>
              </w:tcPr>
              <w:p w:rsidR="00B1194A" w:rsidRDefault="00B1194A" w:rsidP="004B4952">
                <w:pPr>
                  <w:jc w:val="right"/>
                </w:pPr>
                <w:r>
                  <w:t>621,175</w:t>
                </w:r>
              </w:p>
            </w:tc>
            <w:tc>
              <w:tcPr>
                <w:tcW w:w="2264" w:type="dxa"/>
                <w:vAlign w:val="center"/>
              </w:tcPr>
              <w:p w:rsidR="00B1194A" w:rsidRDefault="00B1194A" w:rsidP="004B4952">
                <w:pPr>
                  <w:jc w:val="right"/>
                </w:pPr>
                <w:r>
                  <w:t>5,318,506</w:t>
                </w:r>
              </w:p>
            </w:tc>
          </w:tr>
          <w:tr w:rsidR="00B1194A" w:rsidTr="00B1194A">
            <w:tc>
              <w:tcPr>
                <w:tcW w:w="3874" w:type="dxa"/>
              </w:tcPr>
              <w:p w:rsidR="00B1194A" w:rsidRDefault="00B1194A" w:rsidP="004B4952">
                <w:r>
                  <w:t>合计</w:t>
                </w:r>
              </w:p>
            </w:tc>
            <w:tc>
              <w:tcPr>
                <w:tcW w:w="2911" w:type="dxa"/>
                <w:vAlign w:val="center"/>
              </w:tcPr>
              <w:p w:rsidR="00B1194A" w:rsidRDefault="00B1194A" w:rsidP="004B4952">
                <w:pPr>
                  <w:jc w:val="right"/>
                </w:pPr>
                <w:r>
                  <w:t>1,752,670,141</w:t>
                </w:r>
              </w:p>
            </w:tc>
            <w:tc>
              <w:tcPr>
                <w:tcW w:w="2264" w:type="dxa"/>
                <w:vAlign w:val="center"/>
              </w:tcPr>
              <w:p w:rsidR="00B1194A" w:rsidRDefault="00B1194A" w:rsidP="004B4952">
                <w:pPr>
                  <w:jc w:val="right"/>
                </w:pPr>
                <w:r>
                  <w:t>3,162,653,687</w:t>
                </w:r>
              </w:p>
            </w:tc>
          </w:tr>
        </w:tbl>
        <w:p w:rsidR="00A810A8" w:rsidRPr="00A810A8" w:rsidRDefault="00A810A8" w:rsidP="00A810A8"/>
        <w:p w:rsidR="00806678" w:rsidRDefault="00B16377" w:rsidP="00FF17C7">
          <w:pPr>
            <w:pStyle w:val="4"/>
            <w:numPr>
              <w:ilvl w:val="3"/>
              <w:numId w:val="45"/>
            </w:numPr>
            <w:ind w:left="426" w:hanging="426"/>
          </w:pPr>
          <w:r>
            <w:rPr>
              <w:rFonts w:hint="eastAsia"/>
            </w:rPr>
            <w:t>按账龄披露</w:t>
          </w:r>
          <w:bookmarkEnd w:id="172"/>
        </w:p>
        <w:sdt>
          <w:sdtPr>
            <w:rPr>
              <w:rFonts w:hint="eastAsia"/>
              <w:szCs w:val="21"/>
            </w:rPr>
            <w:alias w:val="是否适用：组合中，按账龄分析法计提坏账准备的其他应收账款[双击切换]"/>
            <w:tag w:val="_GBC_b46a4e720a884c40b402c5b30a4f4432"/>
            <w:id w:val="1738898727"/>
            <w:lock w:val="sdtLocked"/>
            <w:placeholder>
              <w:docPart w:val="GBC22222222222222222222222222222"/>
            </w:placeholder>
          </w:sdtPr>
          <w:sdtContent>
            <w:p w:rsidR="00806678" w:rsidRDefault="00F80B6C">
              <w:pPr>
                <w:rPr>
                  <w:szCs w:val="21"/>
                </w:rPr>
              </w:pPr>
              <w:r>
                <w:rPr>
                  <w:szCs w:val="21"/>
                </w:rPr>
                <w:fldChar w:fldCharType="begin"/>
              </w:r>
              <w:r w:rsidR="002A4D9D">
                <w:rPr>
                  <w:szCs w:val="21"/>
                </w:rPr>
                <w:instrText xml:space="preserve">MACROBUTTON  SnrToggleCheckbox √适用 </w:instrText>
              </w:r>
              <w:r>
                <w:rPr>
                  <w:szCs w:val="21"/>
                </w:rPr>
                <w:fldChar w:fldCharType="end"/>
              </w:r>
              <w:r>
                <w:rPr>
                  <w:szCs w:val="21"/>
                </w:rPr>
                <w:fldChar w:fldCharType="begin"/>
              </w:r>
              <w:r w:rsidR="002A4D9D">
                <w:rPr>
                  <w:szCs w:val="21"/>
                </w:rPr>
                <w:instrText xml:space="preserve"> MACROBUTTON  SnrToggleCheckbox □不适用 </w:instrText>
              </w:r>
              <w:r>
                <w:rPr>
                  <w:szCs w:val="21"/>
                </w:rPr>
                <w:fldChar w:fldCharType="end"/>
              </w:r>
            </w:p>
          </w:sdtContent>
        </w:sdt>
        <w:p w:rsidR="00806678" w:rsidRDefault="00B16377">
          <w:pPr>
            <w:jc w:val="right"/>
            <w:rPr>
              <w:szCs w:val="21"/>
            </w:rPr>
          </w:pPr>
          <w:r>
            <w:rPr>
              <w:rFonts w:hint="eastAsia"/>
              <w:szCs w:val="21"/>
            </w:rPr>
            <w:t>单位：</w:t>
          </w:r>
          <w:sdt>
            <w:sdtPr>
              <w:rPr>
                <w:rFonts w:hint="eastAsia"/>
                <w:szCs w:val="21"/>
              </w:rPr>
              <w:alias w:val="单位：财务附注：单项金额不重大但按信用风险特征组合后该组合的风险较大的其他应收账款"/>
              <w:tag w:val="_GBC_6ca37718de0645da8a1de40ee1bb1597"/>
              <w:id w:val="-180060299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单项金额不重大但按信用风险特征组合后该组合的风险较大的其他应收账款"/>
              <w:tag w:val="_GBC_eccd3e1ac8d04ff882b9e0189e7dd629"/>
              <w:id w:val="45322013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3861"/>
            <w:gridCol w:w="2915"/>
            <w:gridCol w:w="2283"/>
          </w:tblGrid>
          <w:tr w:rsidR="00E307D6" w:rsidTr="00E307D6">
            <w:trPr>
              <w:cantSplit/>
            </w:trPr>
            <w:sdt>
              <w:sdtPr>
                <w:tag w:val="_PLD_3693c274d2774e098d4e6f0b6ce787c4"/>
                <w:id w:val="1487285673"/>
                <w:lock w:val="sdtLocked"/>
              </w:sdtPr>
              <w:sdtContent>
                <w:tc>
                  <w:tcPr>
                    <w:tcW w:w="2131" w:type="pct"/>
                    <w:tcBorders>
                      <w:top w:val="single" w:sz="4" w:space="0" w:color="auto"/>
                      <w:left w:val="single" w:sz="4" w:space="0" w:color="auto"/>
                      <w:bottom w:val="single" w:sz="4" w:space="0" w:color="auto"/>
                      <w:right w:val="single" w:sz="4" w:space="0" w:color="auto"/>
                    </w:tcBorders>
                    <w:vAlign w:val="center"/>
                  </w:tcPr>
                  <w:p w:rsidR="00E307D6" w:rsidRDefault="00E307D6" w:rsidP="00DB008B">
                    <w:pPr>
                      <w:jc w:val="center"/>
                      <w:rPr>
                        <w:szCs w:val="21"/>
                      </w:rPr>
                    </w:pPr>
                    <w:r>
                      <w:rPr>
                        <w:rFonts w:hint="eastAsia"/>
                        <w:szCs w:val="21"/>
                      </w:rPr>
                      <w:t>账龄</w:t>
                    </w:r>
                  </w:p>
                </w:tc>
              </w:sdtContent>
            </w:sdt>
            <w:sdt>
              <w:sdtPr>
                <w:tag w:val="_PLD_592d3cc76c64401da21e664b374ad045"/>
                <w:id w:val="-297615276"/>
                <w:lock w:val="sdtLocked"/>
              </w:sdtPr>
              <w:sdtContent>
                <w:tc>
                  <w:tcPr>
                    <w:tcW w:w="1609" w:type="pct"/>
                    <w:tcBorders>
                      <w:top w:val="single" w:sz="4" w:space="0" w:color="auto"/>
                      <w:left w:val="single" w:sz="4" w:space="0" w:color="auto"/>
                      <w:bottom w:val="single" w:sz="4" w:space="0" w:color="auto"/>
                      <w:right w:val="single" w:sz="4" w:space="0" w:color="auto"/>
                    </w:tcBorders>
                    <w:vAlign w:val="center"/>
                  </w:tcPr>
                  <w:p w:rsidR="00E307D6" w:rsidRDefault="00E307D6" w:rsidP="00DB008B">
                    <w:pPr>
                      <w:jc w:val="center"/>
                      <w:rPr>
                        <w:szCs w:val="21"/>
                      </w:rPr>
                    </w:pPr>
                    <w:r>
                      <w:rPr>
                        <w:rFonts w:hint="eastAsia"/>
                        <w:szCs w:val="21"/>
                      </w:rPr>
                      <w:t>期末账面余额</w:t>
                    </w:r>
                  </w:p>
                </w:tc>
              </w:sdtContent>
            </w:sdt>
            <w:tc>
              <w:tcPr>
                <w:tcW w:w="1260" w:type="pct"/>
                <w:tcBorders>
                  <w:top w:val="single" w:sz="4" w:space="0" w:color="auto"/>
                  <w:left w:val="single" w:sz="4" w:space="0" w:color="auto"/>
                  <w:bottom w:val="single" w:sz="4" w:space="0" w:color="auto"/>
                  <w:right w:val="single" w:sz="4" w:space="0" w:color="auto"/>
                </w:tcBorders>
                <w:vAlign w:val="center"/>
              </w:tcPr>
              <w:p w:rsidR="00E307D6" w:rsidRDefault="00E307D6" w:rsidP="00DB008B">
                <w:pPr>
                  <w:jc w:val="center"/>
                  <w:rPr>
                    <w:szCs w:val="21"/>
                  </w:rPr>
                </w:pPr>
                <w:r>
                  <w:rPr>
                    <w:rFonts w:hint="eastAsia"/>
                    <w:szCs w:val="21"/>
                  </w:rPr>
                  <w:t>期初账面余额</w:t>
                </w:r>
              </w:p>
            </w:tc>
          </w:tr>
          <w:tr w:rsidR="00E307D6" w:rsidTr="00E307D6">
            <w:trPr>
              <w:cantSplit/>
            </w:trPr>
            <w:sdt>
              <w:sdtPr>
                <w:tag w:val="_PLD_6947d7a3e56e4c59be970f76736c65e3"/>
                <w:id w:val="991605563"/>
                <w:lock w:val="sdtLocked"/>
              </w:sdtPr>
              <w:sdtContent>
                <w:tc>
                  <w:tcPr>
                    <w:tcW w:w="5000" w:type="pct"/>
                    <w:gridSpan w:val="3"/>
                    <w:tcBorders>
                      <w:top w:val="single" w:sz="4" w:space="0" w:color="auto"/>
                      <w:left w:val="single" w:sz="4" w:space="0" w:color="auto"/>
                      <w:bottom w:val="single" w:sz="4" w:space="0" w:color="auto"/>
                      <w:right w:val="single" w:sz="4" w:space="0" w:color="auto"/>
                    </w:tcBorders>
                  </w:tcPr>
                  <w:p w:rsidR="00E307D6" w:rsidRDefault="00E307D6" w:rsidP="00DB008B">
                    <w:pPr>
                      <w:rPr>
                        <w:color w:val="FF0000"/>
                        <w:szCs w:val="21"/>
                      </w:rPr>
                    </w:pPr>
                    <w:r>
                      <w:rPr>
                        <w:rFonts w:hint="eastAsia"/>
                        <w:szCs w:val="21"/>
                      </w:rPr>
                      <w:t>1年以内</w:t>
                    </w:r>
                  </w:p>
                </w:tc>
              </w:sdtContent>
            </w:sdt>
          </w:tr>
          <w:tr w:rsidR="00E307D6" w:rsidTr="00E307D6">
            <w:trPr>
              <w:cantSplit/>
            </w:trPr>
            <w:sdt>
              <w:sdtPr>
                <w:tag w:val="_PLD_b7cf536363dd4da2bae7017806fba883"/>
                <w:id w:val="902960447"/>
                <w:lock w:val="sdtLocked"/>
              </w:sdtPr>
              <w:sdtContent>
                <w:tc>
                  <w:tcPr>
                    <w:tcW w:w="5000" w:type="pct"/>
                    <w:gridSpan w:val="3"/>
                    <w:tcBorders>
                      <w:top w:val="single" w:sz="4" w:space="0" w:color="auto"/>
                      <w:left w:val="single" w:sz="4" w:space="0" w:color="auto"/>
                      <w:bottom w:val="single" w:sz="4" w:space="0" w:color="auto"/>
                      <w:right w:val="single" w:sz="4" w:space="0" w:color="auto"/>
                    </w:tcBorders>
                  </w:tcPr>
                  <w:p w:rsidR="00E307D6" w:rsidRDefault="00E307D6" w:rsidP="00DB008B">
                    <w:pPr>
                      <w:rPr>
                        <w:szCs w:val="21"/>
                      </w:rPr>
                    </w:pPr>
                    <w:r>
                      <w:rPr>
                        <w:rFonts w:hint="eastAsia"/>
                        <w:szCs w:val="21"/>
                      </w:rPr>
                      <w:t>其中：1年以内分项</w:t>
                    </w:r>
                  </w:p>
                </w:tc>
              </w:sdtContent>
            </w:sdt>
          </w:tr>
          <w:tr w:rsidR="00E307D6" w:rsidTr="00DB008B">
            <w:trPr>
              <w:cantSplit/>
            </w:trPr>
            <w:sdt>
              <w:sdtPr>
                <w:tag w:val="_PLD_f0ea7052fc724634bba2abea66f07723"/>
                <w:id w:val="-895749683"/>
                <w:lock w:val="sdtLocked"/>
              </w:sdtPr>
              <w:sdtContent>
                <w:tc>
                  <w:tcPr>
                    <w:tcW w:w="2131" w:type="pct"/>
                    <w:tcBorders>
                      <w:top w:val="single" w:sz="4" w:space="0" w:color="auto"/>
                      <w:left w:val="single" w:sz="4" w:space="0" w:color="auto"/>
                      <w:bottom w:val="single" w:sz="4" w:space="0" w:color="auto"/>
                      <w:right w:val="single" w:sz="4" w:space="0" w:color="auto"/>
                    </w:tcBorders>
                  </w:tcPr>
                  <w:p w:rsidR="00E307D6" w:rsidRDefault="00E307D6" w:rsidP="00E307D6">
                    <w:pPr>
                      <w:rPr>
                        <w:szCs w:val="21"/>
                      </w:rPr>
                    </w:pPr>
                    <w:r>
                      <w:rPr>
                        <w:rFonts w:hint="eastAsia"/>
                        <w:szCs w:val="21"/>
                      </w:rPr>
                      <w:t>1年以内小计</w:t>
                    </w:r>
                  </w:p>
                </w:tc>
              </w:sdtContent>
            </w:sdt>
            <w:tc>
              <w:tcPr>
                <w:tcW w:w="1609" w:type="pct"/>
                <w:tcBorders>
                  <w:top w:val="single" w:sz="4" w:space="0" w:color="auto"/>
                  <w:left w:val="single" w:sz="4" w:space="0" w:color="auto"/>
                  <w:bottom w:val="single" w:sz="4" w:space="0" w:color="auto"/>
                  <w:right w:val="single" w:sz="4" w:space="0" w:color="auto"/>
                </w:tcBorders>
                <w:vAlign w:val="center"/>
              </w:tcPr>
              <w:p w:rsidR="00E307D6" w:rsidRDefault="00E307D6" w:rsidP="00E307D6">
                <w:pPr>
                  <w:jc w:val="right"/>
                  <w:rPr>
                    <w:szCs w:val="21"/>
                  </w:rPr>
                </w:pPr>
                <w:r>
                  <w:t>1,566,169,778</w:t>
                </w:r>
              </w:p>
            </w:tc>
            <w:tc>
              <w:tcPr>
                <w:tcW w:w="1260" w:type="pct"/>
                <w:tcBorders>
                  <w:top w:val="single" w:sz="4" w:space="0" w:color="auto"/>
                  <w:left w:val="single" w:sz="4" w:space="0" w:color="auto"/>
                  <w:bottom w:val="single" w:sz="4" w:space="0" w:color="auto"/>
                  <w:right w:val="single" w:sz="4" w:space="0" w:color="auto"/>
                </w:tcBorders>
                <w:vAlign w:val="center"/>
              </w:tcPr>
              <w:p w:rsidR="00E307D6" w:rsidRDefault="00E307D6" w:rsidP="00E307D6">
                <w:pPr>
                  <w:jc w:val="right"/>
                  <w:rPr>
                    <w:szCs w:val="21"/>
                  </w:rPr>
                </w:pPr>
                <w:r>
                  <w:t>3,013,281,042</w:t>
                </w:r>
              </w:p>
            </w:tc>
          </w:tr>
          <w:tr w:rsidR="00E307D6" w:rsidTr="00E307D6">
            <w:trPr>
              <w:cantSplit/>
            </w:trPr>
            <w:sdt>
              <w:sdtPr>
                <w:tag w:val="_PLD_98586cfb9fec441587daa5f6317031cb"/>
                <w:id w:val="1373104890"/>
                <w:lock w:val="sdtLocked"/>
              </w:sdtPr>
              <w:sdtContent>
                <w:tc>
                  <w:tcPr>
                    <w:tcW w:w="2131" w:type="pct"/>
                    <w:tcBorders>
                      <w:top w:val="single" w:sz="4" w:space="0" w:color="auto"/>
                      <w:left w:val="single" w:sz="4" w:space="0" w:color="auto"/>
                      <w:bottom w:val="single" w:sz="4" w:space="0" w:color="auto"/>
                      <w:right w:val="single" w:sz="4" w:space="0" w:color="auto"/>
                    </w:tcBorders>
                  </w:tcPr>
                  <w:p w:rsidR="00E307D6" w:rsidRDefault="00E307D6" w:rsidP="00E307D6">
                    <w:pPr>
                      <w:rPr>
                        <w:szCs w:val="21"/>
                      </w:rPr>
                    </w:pPr>
                    <w:r>
                      <w:rPr>
                        <w:rFonts w:hint="eastAsia"/>
                        <w:szCs w:val="21"/>
                      </w:rPr>
                      <w:t>1至2年</w:t>
                    </w:r>
                  </w:p>
                </w:tc>
              </w:sdtContent>
            </w:sdt>
            <w:tc>
              <w:tcPr>
                <w:tcW w:w="1609" w:type="pct"/>
                <w:tcBorders>
                  <w:top w:val="single" w:sz="4" w:space="0" w:color="auto"/>
                  <w:left w:val="single" w:sz="4" w:space="0" w:color="auto"/>
                  <w:bottom w:val="single" w:sz="4" w:space="0" w:color="auto"/>
                  <w:right w:val="single" w:sz="4" w:space="0" w:color="auto"/>
                </w:tcBorders>
                <w:vAlign w:val="center"/>
              </w:tcPr>
              <w:p w:rsidR="00E307D6" w:rsidRDefault="00E307D6" w:rsidP="00E307D6">
                <w:pPr>
                  <w:jc w:val="right"/>
                  <w:rPr>
                    <w:szCs w:val="21"/>
                  </w:rPr>
                </w:pPr>
                <w:r>
                  <w:t>126,543,885</w:t>
                </w:r>
              </w:p>
            </w:tc>
            <w:tc>
              <w:tcPr>
                <w:tcW w:w="1260" w:type="pct"/>
                <w:tcBorders>
                  <w:top w:val="single" w:sz="4" w:space="0" w:color="auto"/>
                  <w:left w:val="single" w:sz="4" w:space="0" w:color="auto"/>
                  <w:bottom w:val="single" w:sz="4" w:space="0" w:color="auto"/>
                  <w:right w:val="single" w:sz="4" w:space="0" w:color="auto"/>
                </w:tcBorders>
                <w:vAlign w:val="center"/>
              </w:tcPr>
              <w:p w:rsidR="00E307D6" w:rsidRDefault="00E307D6" w:rsidP="00E307D6">
                <w:pPr>
                  <w:jc w:val="right"/>
                  <w:rPr>
                    <w:szCs w:val="21"/>
                  </w:rPr>
                </w:pPr>
                <w:r>
                  <w:t>52,636,886</w:t>
                </w:r>
              </w:p>
            </w:tc>
          </w:tr>
          <w:tr w:rsidR="00E307D6" w:rsidTr="00E307D6">
            <w:trPr>
              <w:cantSplit/>
            </w:trPr>
            <w:sdt>
              <w:sdtPr>
                <w:tag w:val="_PLD_c7dfbea412634188b20a56b875d5c1a0"/>
                <w:id w:val="2074307704"/>
                <w:lock w:val="sdtLocked"/>
              </w:sdtPr>
              <w:sdtContent>
                <w:tc>
                  <w:tcPr>
                    <w:tcW w:w="2131" w:type="pct"/>
                    <w:tcBorders>
                      <w:top w:val="single" w:sz="4" w:space="0" w:color="auto"/>
                      <w:left w:val="single" w:sz="4" w:space="0" w:color="auto"/>
                      <w:bottom w:val="single" w:sz="4" w:space="0" w:color="auto"/>
                      <w:right w:val="single" w:sz="4" w:space="0" w:color="auto"/>
                    </w:tcBorders>
                  </w:tcPr>
                  <w:p w:rsidR="00E307D6" w:rsidRDefault="00E307D6" w:rsidP="00E307D6">
                    <w:pPr>
                      <w:rPr>
                        <w:szCs w:val="21"/>
                      </w:rPr>
                    </w:pPr>
                    <w:r>
                      <w:rPr>
                        <w:rFonts w:hint="eastAsia"/>
                        <w:szCs w:val="21"/>
                      </w:rPr>
                      <w:t>2至3年</w:t>
                    </w:r>
                  </w:p>
                </w:tc>
              </w:sdtContent>
            </w:sdt>
            <w:tc>
              <w:tcPr>
                <w:tcW w:w="1609" w:type="pct"/>
                <w:tcBorders>
                  <w:top w:val="single" w:sz="4" w:space="0" w:color="auto"/>
                  <w:left w:val="single" w:sz="4" w:space="0" w:color="auto"/>
                  <w:bottom w:val="single" w:sz="4" w:space="0" w:color="auto"/>
                  <w:right w:val="single" w:sz="4" w:space="0" w:color="auto"/>
                </w:tcBorders>
                <w:vAlign w:val="center"/>
              </w:tcPr>
              <w:p w:rsidR="00E307D6" w:rsidRDefault="00E307D6" w:rsidP="00E307D6">
                <w:pPr>
                  <w:jc w:val="right"/>
                  <w:rPr>
                    <w:szCs w:val="21"/>
                  </w:rPr>
                </w:pPr>
                <w:r>
                  <w:t>35,638,403</w:t>
                </w:r>
              </w:p>
            </w:tc>
            <w:tc>
              <w:tcPr>
                <w:tcW w:w="1260" w:type="pct"/>
                <w:tcBorders>
                  <w:top w:val="single" w:sz="4" w:space="0" w:color="auto"/>
                  <w:left w:val="single" w:sz="4" w:space="0" w:color="auto"/>
                  <w:bottom w:val="single" w:sz="4" w:space="0" w:color="auto"/>
                  <w:right w:val="single" w:sz="4" w:space="0" w:color="auto"/>
                </w:tcBorders>
                <w:vAlign w:val="center"/>
              </w:tcPr>
              <w:p w:rsidR="00E307D6" w:rsidRDefault="00E307D6" w:rsidP="00E307D6">
                <w:pPr>
                  <w:jc w:val="right"/>
                  <w:rPr>
                    <w:szCs w:val="21"/>
                  </w:rPr>
                </w:pPr>
                <w:r>
                  <w:t>30,083,062</w:t>
                </w:r>
              </w:p>
            </w:tc>
          </w:tr>
          <w:tr w:rsidR="00E307D6" w:rsidTr="00E307D6">
            <w:trPr>
              <w:cantSplit/>
            </w:trPr>
            <w:sdt>
              <w:sdtPr>
                <w:tag w:val="_PLD_7dbeac7b61054fb5aa2ba4792e03ec86"/>
                <w:id w:val="2029053841"/>
                <w:lock w:val="sdtLocked"/>
              </w:sdtPr>
              <w:sdtContent>
                <w:tc>
                  <w:tcPr>
                    <w:tcW w:w="2131" w:type="pct"/>
                    <w:tcBorders>
                      <w:top w:val="single" w:sz="4" w:space="0" w:color="auto"/>
                      <w:left w:val="single" w:sz="4" w:space="0" w:color="auto"/>
                      <w:bottom w:val="single" w:sz="4" w:space="0" w:color="auto"/>
                      <w:right w:val="single" w:sz="4" w:space="0" w:color="auto"/>
                    </w:tcBorders>
                  </w:tcPr>
                  <w:p w:rsidR="00E307D6" w:rsidRDefault="00E307D6" w:rsidP="00E307D6">
                    <w:pPr>
                      <w:rPr>
                        <w:szCs w:val="21"/>
                      </w:rPr>
                    </w:pPr>
                    <w:r>
                      <w:rPr>
                        <w:rFonts w:hint="eastAsia"/>
                        <w:szCs w:val="21"/>
                      </w:rPr>
                      <w:t>3年以上</w:t>
                    </w:r>
                  </w:p>
                </w:tc>
              </w:sdtContent>
            </w:sdt>
            <w:tc>
              <w:tcPr>
                <w:tcW w:w="1609" w:type="pct"/>
                <w:tcBorders>
                  <w:top w:val="single" w:sz="4" w:space="0" w:color="auto"/>
                  <w:left w:val="single" w:sz="4" w:space="0" w:color="auto"/>
                  <w:bottom w:val="single" w:sz="4" w:space="0" w:color="auto"/>
                  <w:right w:val="single" w:sz="4" w:space="0" w:color="auto"/>
                </w:tcBorders>
              </w:tcPr>
              <w:p w:rsidR="00E307D6" w:rsidRDefault="00E307D6" w:rsidP="00E307D6">
                <w:pPr>
                  <w:jc w:val="right"/>
                  <w:rPr>
                    <w:szCs w:val="21"/>
                  </w:rPr>
                </w:pPr>
              </w:p>
            </w:tc>
            <w:tc>
              <w:tcPr>
                <w:tcW w:w="1260" w:type="pct"/>
                <w:tcBorders>
                  <w:top w:val="single" w:sz="4" w:space="0" w:color="auto"/>
                  <w:left w:val="single" w:sz="4" w:space="0" w:color="auto"/>
                  <w:bottom w:val="single" w:sz="4" w:space="0" w:color="auto"/>
                  <w:right w:val="single" w:sz="4" w:space="0" w:color="auto"/>
                </w:tcBorders>
              </w:tcPr>
              <w:p w:rsidR="00E307D6" w:rsidRDefault="00E307D6" w:rsidP="00E307D6">
                <w:pPr>
                  <w:jc w:val="right"/>
                  <w:rPr>
                    <w:szCs w:val="21"/>
                  </w:rPr>
                </w:pPr>
              </w:p>
            </w:tc>
          </w:tr>
          <w:tr w:rsidR="00E307D6" w:rsidTr="00E307D6">
            <w:trPr>
              <w:cantSplit/>
            </w:trPr>
            <w:sdt>
              <w:sdtPr>
                <w:tag w:val="_PLD_1219b34745ba43bd8890e188ec4fd1f5"/>
                <w:id w:val="-1222818550"/>
                <w:lock w:val="sdtLocked"/>
              </w:sdtPr>
              <w:sdtContent>
                <w:tc>
                  <w:tcPr>
                    <w:tcW w:w="2131" w:type="pct"/>
                    <w:tcBorders>
                      <w:top w:val="single" w:sz="4" w:space="0" w:color="auto"/>
                      <w:left w:val="single" w:sz="4" w:space="0" w:color="auto"/>
                      <w:bottom w:val="single" w:sz="4" w:space="0" w:color="auto"/>
                      <w:right w:val="single" w:sz="4" w:space="0" w:color="auto"/>
                    </w:tcBorders>
                  </w:tcPr>
                  <w:p w:rsidR="00E307D6" w:rsidRDefault="00E307D6" w:rsidP="00E307D6">
                    <w:pPr>
                      <w:rPr>
                        <w:szCs w:val="21"/>
                      </w:rPr>
                    </w:pPr>
                    <w:r>
                      <w:rPr>
                        <w:rFonts w:hint="eastAsia"/>
                        <w:szCs w:val="21"/>
                      </w:rPr>
                      <w:t>3至4年</w:t>
                    </w:r>
                  </w:p>
                </w:tc>
              </w:sdtContent>
            </w:sdt>
            <w:tc>
              <w:tcPr>
                <w:tcW w:w="1609" w:type="pct"/>
                <w:tcBorders>
                  <w:top w:val="single" w:sz="4" w:space="0" w:color="auto"/>
                  <w:left w:val="single" w:sz="4" w:space="0" w:color="auto"/>
                  <w:bottom w:val="single" w:sz="4" w:space="0" w:color="auto"/>
                  <w:right w:val="single" w:sz="4" w:space="0" w:color="auto"/>
                </w:tcBorders>
                <w:vAlign w:val="center"/>
              </w:tcPr>
              <w:p w:rsidR="00E307D6" w:rsidRDefault="00E307D6" w:rsidP="00E307D6">
                <w:pPr>
                  <w:jc w:val="right"/>
                  <w:rPr>
                    <w:szCs w:val="21"/>
                  </w:rPr>
                </w:pPr>
                <w:r>
                  <w:t>24,275,104</w:t>
                </w:r>
              </w:p>
            </w:tc>
            <w:tc>
              <w:tcPr>
                <w:tcW w:w="1260" w:type="pct"/>
                <w:tcBorders>
                  <w:top w:val="single" w:sz="4" w:space="0" w:color="auto"/>
                  <w:left w:val="single" w:sz="4" w:space="0" w:color="auto"/>
                  <w:bottom w:val="single" w:sz="4" w:space="0" w:color="auto"/>
                  <w:right w:val="single" w:sz="4" w:space="0" w:color="auto"/>
                </w:tcBorders>
                <w:vAlign w:val="center"/>
              </w:tcPr>
              <w:p w:rsidR="00E307D6" w:rsidRDefault="00E307D6" w:rsidP="00E307D6">
                <w:pPr>
                  <w:jc w:val="right"/>
                  <w:rPr>
                    <w:szCs w:val="21"/>
                  </w:rPr>
                </w:pPr>
                <w:r>
                  <w:rPr>
                    <w:szCs w:val="21"/>
                  </w:rPr>
                  <w:t>67,031,103</w:t>
                </w:r>
              </w:p>
            </w:tc>
          </w:tr>
          <w:tr w:rsidR="00E307D6" w:rsidTr="00E307D6">
            <w:trPr>
              <w:cantSplit/>
            </w:trPr>
            <w:sdt>
              <w:sdtPr>
                <w:tag w:val="_PLD_139aa65599744a2ba97edb44895346cd"/>
                <w:id w:val="-71436306"/>
                <w:lock w:val="sdtLocked"/>
              </w:sdtPr>
              <w:sdtContent>
                <w:tc>
                  <w:tcPr>
                    <w:tcW w:w="2131" w:type="pct"/>
                    <w:tcBorders>
                      <w:top w:val="single" w:sz="4" w:space="0" w:color="auto"/>
                      <w:left w:val="single" w:sz="4" w:space="0" w:color="auto"/>
                      <w:bottom w:val="single" w:sz="4" w:space="0" w:color="auto"/>
                      <w:right w:val="single" w:sz="4" w:space="0" w:color="auto"/>
                    </w:tcBorders>
                  </w:tcPr>
                  <w:p w:rsidR="00E307D6" w:rsidRDefault="00E307D6" w:rsidP="00E307D6">
                    <w:pPr>
                      <w:rPr>
                        <w:szCs w:val="21"/>
                      </w:rPr>
                    </w:pPr>
                    <w:r>
                      <w:rPr>
                        <w:rFonts w:hint="eastAsia"/>
                        <w:szCs w:val="21"/>
                      </w:rPr>
                      <w:t>4至5年</w:t>
                    </w:r>
                  </w:p>
                </w:tc>
              </w:sdtContent>
            </w:sdt>
            <w:tc>
              <w:tcPr>
                <w:tcW w:w="1609" w:type="pct"/>
                <w:tcBorders>
                  <w:top w:val="single" w:sz="4" w:space="0" w:color="auto"/>
                  <w:left w:val="single" w:sz="4" w:space="0" w:color="auto"/>
                  <w:bottom w:val="single" w:sz="4" w:space="0" w:color="auto"/>
                  <w:right w:val="single" w:sz="4" w:space="0" w:color="auto"/>
                </w:tcBorders>
                <w:vAlign w:val="center"/>
              </w:tcPr>
              <w:p w:rsidR="00E307D6" w:rsidRDefault="00E307D6" w:rsidP="00E307D6">
                <w:pPr>
                  <w:jc w:val="right"/>
                  <w:rPr>
                    <w:szCs w:val="21"/>
                  </w:rPr>
                </w:pPr>
                <w:r>
                  <w:t>226,314</w:t>
                </w:r>
              </w:p>
            </w:tc>
            <w:tc>
              <w:tcPr>
                <w:tcW w:w="1260" w:type="pct"/>
                <w:tcBorders>
                  <w:top w:val="single" w:sz="4" w:space="0" w:color="auto"/>
                  <w:left w:val="single" w:sz="4" w:space="0" w:color="auto"/>
                  <w:bottom w:val="single" w:sz="4" w:space="0" w:color="auto"/>
                  <w:right w:val="single" w:sz="4" w:space="0" w:color="auto"/>
                </w:tcBorders>
                <w:vAlign w:val="center"/>
              </w:tcPr>
              <w:p w:rsidR="00E307D6" w:rsidRDefault="00E307D6" w:rsidP="00E307D6">
                <w:pPr>
                  <w:jc w:val="right"/>
                  <w:rPr>
                    <w:szCs w:val="21"/>
                  </w:rPr>
                </w:pPr>
                <w:r>
                  <w:rPr>
                    <w:szCs w:val="21"/>
                  </w:rPr>
                  <w:t>0</w:t>
                </w:r>
              </w:p>
            </w:tc>
          </w:tr>
          <w:tr w:rsidR="00E307D6" w:rsidTr="00E307D6">
            <w:trPr>
              <w:cantSplit/>
            </w:trPr>
            <w:sdt>
              <w:sdtPr>
                <w:tag w:val="_PLD_7ea221e85abe4d948804f7b8cb9abd12"/>
                <w:id w:val="-15163708"/>
                <w:lock w:val="sdtLocked"/>
              </w:sdtPr>
              <w:sdtContent>
                <w:tc>
                  <w:tcPr>
                    <w:tcW w:w="2131" w:type="pct"/>
                    <w:tcBorders>
                      <w:top w:val="single" w:sz="4" w:space="0" w:color="auto"/>
                      <w:left w:val="single" w:sz="4" w:space="0" w:color="auto"/>
                      <w:bottom w:val="single" w:sz="4" w:space="0" w:color="auto"/>
                      <w:right w:val="single" w:sz="4" w:space="0" w:color="auto"/>
                    </w:tcBorders>
                  </w:tcPr>
                  <w:p w:rsidR="00E307D6" w:rsidRDefault="00E307D6" w:rsidP="00E307D6">
                    <w:pPr>
                      <w:rPr>
                        <w:szCs w:val="21"/>
                      </w:rPr>
                    </w:pPr>
                    <w:r>
                      <w:rPr>
                        <w:rFonts w:hint="eastAsia"/>
                        <w:szCs w:val="21"/>
                      </w:rPr>
                      <w:t>5年以上</w:t>
                    </w:r>
                  </w:p>
                </w:tc>
              </w:sdtContent>
            </w:sdt>
            <w:tc>
              <w:tcPr>
                <w:tcW w:w="1609" w:type="pct"/>
                <w:tcBorders>
                  <w:top w:val="single" w:sz="4" w:space="0" w:color="auto"/>
                  <w:left w:val="single" w:sz="4" w:space="0" w:color="auto"/>
                  <w:bottom w:val="single" w:sz="4" w:space="0" w:color="auto"/>
                  <w:right w:val="single" w:sz="4" w:space="0" w:color="auto"/>
                </w:tcBorders>
                <w:vAlign w:val="center"/>
              </w:tcPr>
              <w:p w:rsidR="00E307D6" w:rsidRDefault="00E307D6" w:rsidP="00E307D6">
                <w:pPr>
                  <w:jc w:val="right"/>
                  <w:rPr>
                    <w:szCs w:val="21"/>
                  </w:rPr>
                </w:pPr>
                <w:r>
                  <w:t>437,832</w:t>
                </w:r>
              </w:p>
            </w:tc>
            <w:tc>
              <w:tcPr>
                <w:tcW w:w="1260" w:type="pct"/>
                <w:tcBorders>
                  <w:top w:val="single" w:sz="4" w:space="0" w:color="auto"/>
                  <w:left w:val="single" w:sz="4" w:space="0" w:color="auto"/>
                  <w:bottom w:val="single" w:sz="4" w:space="0" w:color="auto"/>
                  <w:right w:val="single" w:sz="4" w:space="0" w:color="auto"/>
                </w:tcBorders>
                <w:vAlign w:val="center"/>
              </w:tcPr>
              <w:p w:rsidR="00E307D6" w:rsidRDefault="00E307D6" w:rsidP="00E307D6">
                <w:pPr>
                  <w:jc w:val="right"/>
                  <w:rPr>
                    <w:szCs w:val="21"/>
                  </w:rPr>
                </w:pPr>
                <w:r>
                  <w:rPr>
                    <w:szCs w:val="21"/>
                  </w:rPr>
                  <w:t>4,940,100</w:t>
                </w:r>
              </w:p>
            </w:tc>
          </w:tr>
          <w:sdt>
            <w:sdtPr>
              <w:alias w:val="按账龄分析法计提坏账准备的其他应收款明细"/>
              <w:tag w:val="_TUP_ee38dddc16a8427aa70aa7b0949306f1"/>
              <w:id w:val="-2109420203"/>
              <w:lock w:val="sdtLocked"/>
            </w:sdtPr>
            <w:sdtEndPr>
              <w:rPr>
                <w:szCs w:val="21"/>
              </w:rPr>
            </w:sdtEndPr>
            <w:sdtContent>
              <w:tr w:rsidR="00E307D6" w:rsidTr="00E307D6">
                <w:trPr>
                  <w:cantSplit/>
                </w:trPr>
                <w:tc>
                  <w:tcPr>
                    <w:tcW w:w="2131" w:type="pct"/>
                    <w:tcBorders>
                      <w:top w:val="single" w:sz="4" w:space="0" w:color="auto"/>
                      <w:left w:val="single" w:sz="4" w:space="0" w:color="auto"/>
                      <w:bottom w:val="single" w:sz="4" w:space="0" w:color="auto"/>
                      <w:right w:val="single" w:sz="4" w:space="0" w:color="auto"/>
                    </w:tcBorders>
                  </w:tcPr>
                  <w:p w:rsidR="00E307D6" w:rsidRDefault="00E307D6" w:rsidP="00E307D6">
                    <w:r>
                      <w:t>减：坏账准备</w:t>
                    </w:r>
                  </w:p>
                </w:tc>
                <w:tc>
                  <w:tcPr>
                    <w:tcW w:w="1609" w:type="pct"/>
                    <w:tcBorders>
                      <w:top w:val="single" w:sz="4" w:space="0" w:color="auto"/>
                      <w:left w:val="single" w:sz="4" w:space="0" w:color="auto"/>
                      <w:bottom w:val="single" w:sz="4" w:space="0" w:color="auto"/>
                      <w:right w:val="single" w:sz="4" w:space="0" w:color="auto"/>
                    </w:tcBorders>
                  </w:tcPr>
                  <w:p w:rsidR="00E307D6" w:rsidRDefault="00E307D6" w:rsidP="00E307D6">
                    <w:pPr>
                      <w:jc w:val="right"/>
                      <w:rPr>
                        <w:szCs w:val="21"/>
                      </w:rPr>
                    </w:pPr>
                    <w:r w:rsidRPr="00E307D6">
                      <w:rPr>
                        <w:szCs w:val="21"/>
                      </w:rPr>
                      <w:t>621,175</w:t>
                    </w:r>
                  </w:p>
                </w:tc>
                <w:tc>
                  <w:tcPr>
                    <w:tcW w:w="1260" w:type="pct"/>
                    <w:tcBorders>
                      <w:top w:val="single" w:sz="4" w:space="0" w:color="auto"/>
                      <w:left w:val="single" w:sz="4" w:space="0" w:color="auto"/>
                      <w:bottom w:val="single" w:sz="4" w:space="0" w:color="auto"/>
                      <w:right w:val="single" w:sz="4" w:space="0" w:color="auto"/>
                    </w:tcBorders>
                  </w:tcPr>
                  <w:sdt>
                    <w:sdtPr>
                      <w:alias w:val="期初账面余额"/>
                      <w:tag w:val="_GBC_a4b2cd1d40bf407389f96411aa57b2f6"/>
                      <w:id w:val="-647663086"/>
                      <w:lock w:val="sdtLocked"/>
                    </w:sdtPr>
                    <w:sdtContent>
                      <w:p w:rsidR="00E307D6" w:rsidRPr="00E307D6" w:rsidRDefault="00E307D6" w:rsidP="00E307D6">
                        <w:pPr>
                          <w:jc w:val="right"/>
                        </w:pPr>
                        <w:r w:rsidRPr="001F185D">
                          <w:rPr>
                            <w:sz w:val="22"/>
                          </w:rPr>
                          <w:t>5,318,506</w:t>
                        </w:r>
                      </w:p>
                    </w:sdtContent>
                  </w:sdt>
                </w:tc>
              </w:tr>
            </w:sdtContent>
          </w:sdt>
          <w:tr w:rsidR="00E307D6" w:rsidTr="00E307D6">
            <w:trPr>
              <w:cantSplit/>
            </w:trPr>
            <w:sdt>
              <w:sdtPr>
                <w:tag w:val="_PLD_86909243a0c54a05a7001e5799415551"/>
                <w:id w:val="-1912226128"/>
                <w:lock w:val="sdtLocked"/>
              </w:sdtPr>
              <w:sdtContent>
                <w:tc>
                  <w:tcPr>
                    <w:tcW w:w="2131" w:type="pct"/>
                    <w:tcBorders>
                      <w:top w:val="single" w:sz="4" w:space="0" w:color="auto"/>
                      <w:left w:val="single" w:sz="4" w:space="0" w:color="auto"/>
                      <w:bottom w:val="single" w:sz="4" w:space="0" w:color="auto"/>
                      <w:right w:val="single" w:sz="4" w:space="0" w:color="auto"/>
                    </w:tcBorders>
                    <w:vAlign w:val="center"/>
                  </w:tcPr>
                  <w:p w:rsidR="00E307D6" w:rsidRDefault="00E307D6" w:rsidP="00E307D6">
                    <w:pPr>
                      <w:jc w:val="center"/>
                      <w:rPr>
                        <w:szCs w:val="21"/>
                      </w:rPr>
                    </w:pPr>
                    <w:r>
                      <w:rPr>
                        <w:rFonts w:hint="eastAsia"/>
                        <w:szCs w:val="21"/>
                      </w:rPr>
                      <w:t>合计</w:t>
                    </w:r>
                  </w:p>
                </w:tc>
              </w:sdtContent>
            </w:sdt>
            <w:tc>
              <w:tcPr>
                <w:tcW w:w="1609" w:type="pct"/>
                <w:tcBorders>
                  <w:top w:val="single" w:sz="4" w:space="0" w:color="auto"/>
                  <w:left w:val="single" w:sz="4" w:space="0" w:color="auto"/>
                  <w:bottom w:val="single" w:sz="4" w:space="0" w:color="auto"/>
                  <w:right w:val="single" w:sz="4" w:space="0" w:color="auto"/>
                </w:tcBorders>
                <w:vAlign w:val="center"/>
              </w:tcPr>
              <w:p w:rsidR="00E307D6" w:rsidRDefault="005C582D" w:rsidP="00E307D6">
                <w:pPr>
                  <w:jc w:val="right"/>
                  <w:rPr>
                    <w:szCs w:val="21"/>
                  </w:rPr>
                </w:pPr>
                <w:r w:rsidRPr="005C582D">
                  <w:t>1,752,670,141</w:t>
                </w:r>
              </w:p>
            </w:tc>
            <w:tc>
              <w:tcPr>
                <w:tcW w:w="1260" w:type="pct"/>
                <w:tcBorders>
                  <w:top w:val="single" w:sz="4" w:space="0" w:color="auto"/>
                  <w:left w:val="single" w:sz="4" w:space="0" w:color="auto"/>
                  <w:bottom w:val="single" w:sz="4" w:space="0" w:color="auto"/>
                  <w:right w:val="single" w:sz="4" w:space="0" w:color="auto"/>
                </w:tcBorders>
                <w:vAlign w:val="center"/>
              </w:tcPr>
              <w:p w:rsidR="00E307D6" w:rsidRDefault="00E307D6" w:rsidP="00E307D6">
                <w:pPr>
                  <w:jc w:val="right"/>
                  <w:rPr>
                    <w:szCs w:val="21"/>
                  </w:rPr>
                </w:pPr>
                <w:r>
                  <w:rPr>
                    <w:szCs w:val="21"/>
                  </w:rPr>
                  <w:t>3,162,653,687</w:t>
                </w:r>
              </w:p>
            </w:tc>
          </w:tr>
        </w:tbl>
        <w:p w:rsidR="00CD0A66" w:rsidRDefault="00CD0A66" w:rsidP="00CD0A66">
          <w:pPr>
            <w:overflowPunct w:val="0"/>
            <w:adjustRightInd w:val="0"/>
            <w:snapToGrid w:val="0"/>
            <w:rPr>
              <w:rFonts w:cs="Arial"/>
              <w:sz w:val="22"/>
              <w:lang w:val="en-GB"/>
            </w:rPr>
          </w:pPr>
        </w:p>
        <w:p w:rsidR="00CD0A66" w:rsidRPr="001F185D" w:rsidRDefault="00CD0A66" w:rsidP="00CD0A66">
          <w:pPr>
            <w:overflowPunct w:val="0"/>
            <w:adjustRightInd w:val="0"/>
            <w:snapToGrid w:val="0"/>
            <w:rPr>
              <w:rFonts w:cs="Arial"/>
              <w:sz w:val="22"/>
              <w:lang w:val="en-GB"/>
            </w:rPr>
          </w:pPr>
          <w:r w:rsidRPr="001F185D">
            <w:rPr>
              <w:rFonts w:cs="Arial" w:hint="eastAsia"/>
              <w:sz w:val="22"/>
              <w:lang w:val="en-GB"/>
            </w:rPr>
            <w:t>账龄自其他应收款确认日起开始计算。</w:t>
          </w:r>
        </w:p>
        <w:p w:rsidR="0013024B" w:rsidRDefault="0013024B">
          <w:pPr>
            <w:sectPr w:rsidR="0013024B" w:rsidSect="00F41343">
              <w:pgSz w:w="11906" w:h="16838"/>
              <w:pgMar w:top="1440" w:right="1797" w:bottom="1525" w:left="1276" w:header="856" w:footer="992" w:gutter="0"/>
              <w:cols w:space="425"/>
              <w:docGrid w:type="lines" w:linePitch="312"/>
            </w:sectPr>
          </w:pPr>
        </w:p>
        <w:p w:rsidR="0013024B" w:rsidRDefault="0013024B" w:rsidP="00FF17C7">
          <w:pPr>
            <w:pStyle w:val="4"/>
            <w:numPr>
              <w:ilvl w:val="3"/>
              <w:numId w:val="45"/>
            </w:numPr>
            <w:ind w:left="426" w:hanging="426"/>
            <w:rPr>
              <w:szCs w:val="21"/>
            </w:rPr>
          </w:pPr>
          <w:r>
            <w:rPr>
              <w:rFonts w:hint="eastAsia"/>
              <w:szCs w:val="21"/>
            </w:rPr>
            <w:lastRenderedPageBreak/>
            <w:t>按坏账</w:t>
          </w:r>
          <w:r w:rsidRPr="0013024B">
            <w:rPr>
              <w:rFonts w:hint="eastAsia"/>
            </w:rPr>
            <w:t>准备</w:t>
          </w:r>
          <w:r>
            <w:rPr>
              <w:rFonts w:hint="eastAsia"/>
              <w:szCs w:val="21"/>
            </w:rPr>
            <w:t>计提方法分类披露</w:t>
          </w:r>
        </w:p>
        <w:p w:rsidR="0013024B" w:rsidRDefault="0013024B" w:rsidP="0013024B"/>
        <w:tbl>
          <w:tblPr>
            <w:tblW w:w="1400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28" w:type="dxa"/>
            </w:tblCellMar>
            <w:tblLook w:val="04A0"/>
          </w:tblPr>
          <w:tblGrid>
            <w:gridCol w:w="3446"/>
            <w:gridCol w:w="1055"/>
            <w:gridCol w:w="1055"/>
            <w:gridCol w:w="1055"/>
            <w:gridCol w:w="1055"/>
            <w:gridCol w:w="1056"/>
            <w:gridCol w:w="1056"/>
            <w:gridCol w:w="1056"/>
            <w:gridCol w:w="1056"/>
            <w:gridCol w:w="1056"/>
            <w:gridCol w:w="1056"/>
          </w:tblGrid>
          <w:tr w:rsidR="008370A9" w:rsidRPr="00606798" w:rsidTr="008370A9">
            <w:trPr>
              <w:jc w:val="right"/>
            </w:trPr>
            <w:tc>
              <w:tcPr>
                <w:tcW w:w="3446" w:type="dxa"/>
                <w:vMerge w:val="restart"/>
                <w:vAlign w:val="center"/>
              </w:tcPr>
              <w:p w:rsidR="008370A9" w:rsidRPr="00606798" w:rsidRDefault="008370A9" w:rsidP="008370A9">
                <w:pPr>
                  <w:snapToGrid w:val="0"/>
                  <w:ind w:left="142" w:hanging="142"/>
                  <w:jc w:val="center"/>
                </w:pPr>
                <w:bookmarkStart w:id="173" w:name="_Hlk132121000"/>
                <w:r w:rsidRPr="00606798">
                  <w:rPr>
                    <w:rFonts w:ascii="微软雅黑" w:eastAsia="微软雅黑" w:hAnsi="微软雅黑" w:cs="微软雅黑" w:hint="eastAsia"/>
                    <w:sz w:val="14"/>
                  </w:rPr>
                  <w:t>  </w:t>
                </w:r>
                <w:r w:rsidRPr="00606798">
                  <w:rPr>
                    <w:sz w:val="14"/>
                  </w:rPr>
                  <w:t>类别</w:t>
                </w:r>
              </w:p>
            </w:tc>
            <w:tc>
              <w:tcPr>
                <w:tcW w:w="5276" w:type="dxa"/>
                <w:gridSpan w:val="5"/>
                <w:vAlign w:val="bottom"/>
              </w:tcPr>
              <w:p w:rsidR="008370A9" w:rsidRPr="00606798" w:rsidRDefault="0080659B" w:rsidP="00DB008B">
                <w:pPr>
                  <w:snapToGrid w:val="0"/>
                  <w:jc w:val="center"/>
                </w:pPr>
                <w:r>
                  <w:rPr>
                    <w:rFonts w:hint="eastAsia"/>
                    <w:sz w:val="14"/>
                  </w:rPr>
                  <w:t>期末余额</w:t>
                </w:r>
                <w:r w:rsidR="008370A9" w:rsidRPr="00606798">
                  <w:rPr>
                    <w:sz w:val="14"/>
                  </w:rPr>
                  <w:t>年</w:t>
                </w:r>
              </w:p>
            </w:tc>
            <w:tc>
              <w:tcPr>
                <w:tcW w:w="5280" w:type="dxa"/>
                <w:gridSpan w:val="5"/>
                <w:vAlign w:val="bottom"/>
              </w:tcPr>
              <w:p w:rsidR="008370A9" w:rsidRPr="0080659B" w:rsidRDefault="0080659B" w:rsidP="00DB008B">
                <w:pPr>
                  <w:snapToGrid w:val="0"/>
                  <w:jc w:val="center"/>
                  <w:rPr>
                    <w:sz w:val="14"/>
                    <w:szCs w:val="14"/>
                  </w:rPr>
                </w:pPr>
                <w:r w:rsidRPr="0080659B">
                  <w:rPr>
                    <w:rFonts w:hint="eastAsia"/>
                    <w:sz w:val="14"/>
                    <w:szCs w:val="14"/>
                  </w:rPr>
                  <w:t>期初余额</w:t>
                </w:r>
              </w:p>
            </w:tc>
          </w:tr>
          <w:tr w:rsidR="00526EE2" w:rsidRPr="00606798" w:rsidTr="00526EE2">
            <w:trPr>
              <w:jc w:val="right"/>
            </w:trPr>
            <w:tc>
              <w:tcPr>
                <w:tcW w:w="3446" w:type="dxa"/>
                <w:vMerge/>
                <w:vAlign w:val="bottom"/>
              </w:tcPr>
              <w:p w:rsidR="00526EE2" w:rsidRPr="00606798" w:rsidRDefault="00526EE2" w:rsidP="00DB008B">
                <w:pPr>
                  <w:snapToGrid w:val="0"/>
                  <w:ind w:left="142" w:hanging="142"/>
                </w:pPr>
              </w:p>
            </w:tc>
            <w:tc>
              <w:tcPr>
                <w:tcW w:w="2110" w:type="dxa"/>
                <w:gridSpan w:val="2"/>
                <w:vAlign w:val="bottom"/>
              </w:tcPr>
              <w:p w:rsidR="00526EE2" w:rsidRPr="00606798" w:rsidRDefault="00526EE2" w:rsidP="00C736E9">
                <w:pPr>
                  <w:snapToGrid w:val="0"/>
                  <w:jc w:val="center"/>
                </w:pPr>
                <w:r w:rsidRPr="00606798">
                  <w:rPr>
                    <w:sz w:val="14"/>
                  </w:rPr>
                  <w:t>账面余额</w:t>
                </w:r>
              </w:p>
            </w:tc>
            <w:tc>
              <w:tcPr>
                <w:tcW w:w="2110" w:type="dxa"/>
                <w:gridSpan w:val="2"/>
                <w:vAlign w:val="bottom"/>
              </w:tcPr>
              <w:p w:rsidR="00526EE2" w:rsidRPr="00606798" w:rsidRDefault="00526EE2" w:rsidP="00C736E9">
                <w:pPr>
                  <w:snapToGrid w:val="0"/>
                  <w:jc w:val="center"/>
                </w:pPr>
                <w:r w:rsidRPr="00606798">
                  <w:rPr>
                    <w:sz w:val="14"/>
                  </w:rPr>
                  <w:t>坏账准备</w:t>
                </w:r>
              </w:p>
            </w:tc>
            <w:tc>
              <w:tcPr>
                <w:tcW w:w="1056" w:type="dxa"/>
                <w:vMerge w:val="restart"/>
                <w:vAlign w:val="center"/>
              </w:tcPr>
              <w:p w:rsidR="00526EE2" w:rsidRPr="00606798" w:rsidRDefault="00526EE2" w:rsidP="00526EE2">
                <w:pPr>
                  <w:snapToGrid w:val="0"/>
                  <w:jc w:val="center"/>
                </w:pPr>
                <w:r w:rsidRPr="00606798">
                  <w:rPr>
                    <w:sz w:val="14"/>
                  </w:rPr>
                  <w:t>账面价值</w:t>
                </w:r>
              </w:p>
            </w:tc>
            <w:tc>
              <w:tcPr>
                <w:tcW w:w="2112" w:type="dxa"/>
                <w:gridSpan w:val="2"/>
                <w:vAlign w:val="bottom"/>
              </w:tcPr>
              <w:p w:rsidR="00526EE2" w:rsidRPr="00606798" w:rsidRDefault="00526EE2" w:rsidP="00C736E9">
                <w:pPr>
                  <w:snapToGrid w:val="0"/>
                  <w:jc w:val="center"/>
                </w:pPr>
                <w:r w:rsidRPr="00606798">
                  <w:rPr>
                    <w:sz w:val="14"/>
                  </w:rPr>
                  <w:t>账面余额</w:t>
                </w:r>
              </w:p>
            </w:tc>
            <w:tc>
              <w:tcPr>
                <w:tcW w:w="2112" w:type="dxa"/>
                <w:gridSpan w:val="2"/>
                <w:vAlign w:val="bottom"/>
              </w:tcPr>
              <w:p w:rsidR="00526EE2" w:rsidRPr="00606798" w:rsidRDefault="00526EE2" w:rsidP="00C736E9">
                <w:pPr>
                  <w:snapToGrid w:val="0"/>
                  <w:jc w:val="center"/>
                </w:pPr>
                <w:r w:rsidRPr="00606798">
                  <w:rPr>
                    <w:sz w:val="14"/>
                  </w:rPr>
                  <w:t>坏账准备</w:t>
                </w:r>
              </w:p>
            </w:tc>
            <w:tc>
              <w:tcPr>
                <w:tcW w:w="1056" w:type="dxa"/>
                <w:vMerge w:val="restart"/>
                <w:vAlign w:val="center"/>
              </w:tcPr>
              <w:p w:rsidR="00526EE2" w:rsidRPr="00606798" w:rsidRDefault="00526EE2" w:rsidP="00C736E9">
                <w:pPr>
                  <w:snapToGrid w:val="0"/>
                  <w:jc w:val="center"/>
                </w:pPr>
                <w:r w:rsidRPr="00606798">
                  <w:rPr>
                    <w:sz w:val="14"/>
                  </w:rPr>
                  <w:t>账面价值 </w:t>
                </w:r>
              </w:p>
            </w:tc>
          </w:tr>
          <w:tr w:rsidR="00526EE2" w:rsidRPr="00606798" w:rsidTr="00606798">
            <w:trPr>
              <w:jc w:val="right"/>
            </w:trPr>
            <w:tc>
              <w:tcPr>
                <w:tcW w:w="3446" w:type="dxa"/>
                <w:vMerge/>
                <w:vAlign w:val="bottom"/>
              </w:tcPr>
              <w:p w:rsidR="00526EE2" w:rsidRPr="00606798" w:rsidRDefault="00526EE2" w:rsidP="00DB008B">
                <w:pPr>
                  <w:snapToGrid w:val="0"/>
                  <w:ind w:left="142" w:hanging="142"/>
                </w:pPr>
              </w:p>
            </w:tc>
            <w:tc>
              <w:tcPr>
                <w:tcW w:w="1055" w:type="dxa"/>
                <w:vAlign w:val="bottom"/>
              </w:tcPr>
              <w:p w:rsidR="00526EE2" w:rsidRPr="00606798" w:rsidRDefault="00526EE2" w:rsidP="00C736E9">
                <w:pPr>
                  <w:snapToGrid w:val="0"/>
                  <w:jc w:val="center"/>
                </w:pPr>
                <w:r w:rsidRPr="00606798">
                  <w:rPr>
                    <w:sz w:val="14"/>
                  </w:rPr>
                  <w:t>金额</w:t>
                </w:r>
              </w:p>
            </w:tc>
            <w:tc>
              <w:tcPr>
                <w:tcW w:w="1055" w:type="dxa"/>
                <w:vAlign w:val="bottom"/>
              </w:tcPr>
              <w:p w:rsidR="00526EE2" w:rsidRPr="00606798" w:rsidRDefault="00526EE2" w:rsidP="00C736E9">
                <w:pPr>
                  <w:snapToGrid w:val="0"/>
                  <w:jc w:val="center"/>
                </w:pPr>
                <w:r w:rsidRPr="00606798">
                  <w:rPr>
                    <w:sz w:val="14"/>
                  </w:rPr>
                  <w:t>比例 (%)</w:t>
                </w:r>
              </w:p>
            </w:tc>
            <w:tc>
              <w:tcPr>
                <w:tcW w:w="1055" w:type="dxa"/>
                <w:vAlign w:val="bottom"/>
              </w:tcPr>
              <w:p w:rsidR="00526EE2" w:rsidRPr="00606798" w:rsidRDefault="00526EE2" w:rsidP="00C736E9">
                <w:pPr>
                  <w:snapToGrid w:val="0"/>
                  <w:jc w:val="center"/>
                </w:pPr>
                <w:r w:rsidRPr="00606798">
                  <w:rPr>
                    <w:sz w:val="14"/>
                  </w:rPr>
                  <w:t>金额</w:t>
                </w:r>
              </w:p>
            </w:tc>
            <w:tc>
              <w:tcPr>
                <w:tcW w:w="1055" w:type="dxa"/>
                <w:vAlign w:val="bottom"/>
              </w:tcPr>
              <w:p w:rsidR="00526EE2" w:rsidRPr="00606798" w:rsidRDefault="0080659B" w:rsidP="00C736E9">
                <w:pPr>
                  <w:snapToGrid w:val="0"/>
                  <w:jc w:val="center"/>
                </w:pPr>
                <w:r>
                  <w:rPr>
                    <w:rFonts w:hint="eastAsia"/>
                    <w:sz w:val="14"/>
                  </w:rPr>
                  <w:t>计提</w:t>
                </w:r>
                <w:r w:rsidR="00526EE2" w:rsidRPr="008370A9">
                  <w:rPr>
                    <w:rFonts w:hint="eastAsia"/>
                    <w:sz w:val="14"/>
                  </w:rPr>
                  <w:t>比例</w:t>
                </w:r>
                <w:r w:rsidR="00526EE2" w:rsidRPr="008370A9">
                  <w:rPr>
                    <w:sz w:val="14"/>
                  </w:rPr>
                  <w:t xml:space="preserve"> (%)</w:t>
                </w:r>
              </w:p>
            </w:tc>
            <w:tc>
              <w:tcPr>
                <w:tcW w:w="1056" w:type="dxa"/>
                <w:vMerge/>
                <w:vAlign w:val="bottom"/>
              </w:tcPr>
              <w:p w:rsidR="00526EE2" w:rsidRPr="00606798" w:rsidRDefault="00526EE2" w:rsidP="00C736E9">
                <w:pPr>
                  <w:snapToGrid w:val="0"/>
                  <w:jc w:val="center"/>
                </w:pPr>
              </w:p>
            </w:tc>
            <w:tc>
              <w:tcPr>
                <w:tcW w:w="1056" w:type="dxa"/>
                <w:vAlign w:val="bottom"/>
              </w:tcPr>
              <w:p w:rsidR="00526EE2" w:rsidRPr="00606798" w:rsidRDefault="00526EE2" w:rsidP="00C736E9">
                <w:pPr>
                  <w:snapToGrid w:val="0"/>
                  <w:jc w:val="center"/>
                </w:pPr>
                <w:r w:rsidRPr="00606798">
                  <w:rPr>
                    <w:sz w:val="14"/>
                  </w:rPr>
                  <w:t>金额</w:t>
                </w:r>
              </w:p>
            </w:tc>
            <w:tc>
              <w:tcPr>
                <w:tcW w:w="1056" w:type="dxa"/>
                <w:vAlign w:val="bottom"/>
              </w:tcPr>
              <w:p w:rsidR="00526EE2" w:rsidRPr="00606798" w:rsidRDefault="00526EE2" w:rsidP="00C736E9">
                <w:pPr>
                  <w:snapToGrid w:val="0"/>
                  <w:jc w:val="center"/>
                </w:pPr>
                <w:r w:rsidRPr="008370A9">
                  <w:rPr>
                    <w:rFonts w:hint="eastAsia"/>
                    <w:sz w:val="14"/>
                  </w:rPr>
                  <w:t>比例</w:t>
                </w:r>
                <w:r w:rsidRPr="008370A9">
                  <w:rPr>
                    <w:sz w:val="14"/>
                  </w:rPr>
                  <w:t xml:space="preserve"> (%)</w:t>
                </w:r>
              </w:p>
            </w:tc>
            <w:tc>
              <w:tcPr>
                <w:tcW w:w="1056" w:type="dxa"/>
                <w:vAlign w:val="bottom"/>
              </w:tcPr>
              <w:p w:rsidR="00526EE2" w:rsidRPr="00606798" w:rsidRDefault="00526EE2" w:rsidP="00C736E9">
                <w:pPr>
                  <w:snapToGrid w:val="0"/>
                  <w:jc w:val="center"/>
                </w:pPr>
                <w:r w:rsidRPr="00606798">
                  <w:rPr>
                    <w:sz w:val="14"/>
                  </w:rPr>
                  <w:t>金额</w:t>
                </w:r>
              </w:p>
            </w:tc>
            <w:tc>
              <w:tcPr>
                <w:tcW w:w="1056" w:type="dxa"/>
                <w:vAlign w:val="bottom"/>
              </w:tcPr>
              <w:p w:rsidR="00526EE2" w:rsidRPr="00606798" w:rsidRDefault="0080659B" w:rsidP="00C736E9">
                <w:pPr>
                  <w:snapToGrid w:val="0"/>
                  <w:jc w:val="center"/>
                </w:pPr>
                <w:r>
                  <w:rPr>
                    <w:rFonts w:hint="eastAsia"/>
                    <w:sz w:val="14"/>
                  </w:rPr>
                  <w:t>计提</w:t>
                </w:r>
                <w:r w:rsidR="00526EE2" w:rsidRPr="008370A9">
                  <w:rPr>
                    <w:rFonts w:hint="eastAsia"/>
                    <w:sz w:val="14"/>
                  </w:rPr>
                  <w:t>比例</w:t>
                </w:r>
                <w:r w:rsidR="00526EE2" w:rsidRPr="008370A9">
                  <w:rPr>
                    <w:sz w:val="14"/>
                  </w:rPr>
                  <w:t xml:space="preserve"> (%)</w:t>
                </w:r>
              </w:p>
            </w:tc>
            <w:tc>
              <w:tcPr>
                <w:tcW w:w="1056" w:type="dxa"/>
                <w:vMerge/>
                <w:vAlign w:val="bottom"/>
              </w:tcPr>
              <w:p w:rsidR="00526EE2" w:rsidRPr="00606798" w:rsidRDefault="00526EE2" w:rsidP="00C736E9">
                <w:pPr>
                  <w:snapToGrid w:val="0"/>
                  <w:jc w:val="center"/>
                </w:pPr>
              </w:p>
            </w:tc>
          </w:tr>
          <w:tr w:rsidR="0013024B" w:rsidRPr="00606798" w:rsidTr="00606798">
            <w:trPr>
              <w:jc w:val="right"/>
            </w:trPr>
            <w:tc>
              <w:tcPr>
                <w:tcW w:w="3446" w:type="dxa"/>
                <w:vAlign w:val="bottom"/>
              </w:tcPr>
              <w:p w:rsidR="0013024B" w:rsidRPr="00606798" w:rsidRDefault="0013024B" w:rsidP="00DB008B">
                <w:pPr>
                  <w:snapToGrid w:val="0"/>
                  <w:ind w:left="142" w:hanging="142"/>
                </w:pPr>
                <w:r w:rsidRPr="00606798">
                  <w:rPr>
                    <w:sz w:val="14"/>
                  </w:rPr>
                  <w:t>按单项计提坏账准备</w:t>
                </w:r>
              </w:p>
            </w:tc>
            <w:tc>
              <w:tcPr>
                <w:tcW w:w="1055" w:type="dxa"/>
                <w:vAlign w:val="bottom"/>
              </w:tcPr>
              <w:p w:rsidR="0013024B" w:rsidRPr="00606798" w:rsidRDefault="0013024B" w:rsidP="00DB008B">
                <w:pPr>
                  <w:snapToGrid w:val="0"/>
                  <w:jc w:val="right"/>
                </w:pPr>
                <w:r w:rsidRPr="00606798">
                  <w:rPr>
                    <w:sz w:val="14"/>
                  </w:rPr>
                  <w:t>226,314</w:t>
                </w:r>
              </w:p>
            </w:tc>
            <w:tc>
              <w:tcPr>
                <w:tcW w:w="1055" w:type="dxa"/>
                <w:vAlign w:val="bottom"/>
              </w:tcPr>
              <w:p w:rsidR="0013024B" w:rsidRPr="00606798" w:rsidRDefault="0013024B" w:rsidP="00DB008B">
                <w:pPr>
                  <w:snapToGrid w:val="0"/>
                  <w:jc w:val="right"/>
                </w:pPr>
                <w:r w:rsidRPr="00606798">
                  <w:rPr>
                    <w:sz w:val="14"/>
                  </w:rPr>
                  <w:t>0</w:t>
                </w:r>
              </w:p>
            </w:tc>
            <w:tc>
              <w:tcPr>
                <w:tcW w:w="1055" w:type="dxa"/>
                <w:vAlign w:val="bottom"/>
              </w:tcPr>
              <w:p w:rsidR="0013024B" w:rsidRPr="00606798" w:rsidRDefault="0013024B" w:rsidP="00DB008B">
                <w:pPr>
                  <w:snapToGrid w:val="0"/>
                  <w:jc w:val="right"/>
                </w:pPr>
                <w:r w:rsidRPr="00606798">
                  <w:rPr>
                    <w:sz w:val="14"/>
                  </w:rPr>
                  <w:t>226,314</w:t>
                </w:r>
              </w:p>
            </w:tc>
            <w:tc>
              <w:tcPr>
                <w:tcW w:w="1055" w:type="dxa"/>
                <w:vAlign w:val="bottom"/>
              </w:tcPr>
              <w:p w:rsidR="0013024B" w:rsidRPr="00606798" w:rsidRDefault="0013024B" w:rsidP="00DB008B">
                <w:pPr>
                  <w:snapToGrid w:val="0"/>
                  <w:jc w:val="right"/>
                </w:pPr>
                <w:r w:rsidRPr="00606798">
                  <w:rPr>
                    <w:sz w:val="14"/>
                  </w:rPr>
                  <w:t>100</w:t>
                </w:r>
              </w:p>
            </w:tc>
            <w:tc>
              <w:tcPr>
                <w:tcW w:w="1056" w:type="dxa"/>
                <w:vAlign w:val="bottom"/>
              </w:tcPr>
              <w:p w:rsidR="0013024B" w:rsidRPr="00606798" w:rsidRDefault="00606798" w:rsidP="00DB008B">
                <w:pPr>
                  <w:snapToGrid w:val="0"/>
                  <w:jc w:val="right"/>
                </w:pPr>
                <w:r>
                  <w:rPr>
                    <w:sz w:val="14"/>
                  </w:rPr>
                  <w:t>0</w:t>
                </w:r>
              </w:p>
            </w:tc>
            <w:tc>
              <w:tcPr>
                <w:tcW w:w="1056" w:type="dxa"/>
                <w:vAlign w:val="bottom"/>
              </w:tcPr>
              <w:p w:rsidR="0013024B" w:rsidRPr="00606798" w:rsidRDefault="0013024B" w:rsidP="00DB008B">
                <w:pPr>
                  <w:snapToGrid w:val="0"/>
                  <w:jc w:val="right"/>
                </w:pPr>
                <w:r w:rsidRPr="00606798">
                  <w:rPr>
                    <w:sz w:val="14"/>
                  </w:rPr>
                  <w:t>226,314</w:t>
                </w:r>
              </w:p>
            </w:tc>
            <w:tc>
              <w:tcPr>
                <w:tcW w:w="1056" w:type="dxa"/>
                <w:vAlign w:val="bottom"/>
              </w:tcPr>
              <w:p w:rsidR="0013024B" w:rsidRPr="00606798" w:rsidRDefault="00606798" w:rsidP="00DB008B">
                <w:pPr>
                  <w:snapToGrid w:val="0"/>
                  <w:jc w:val="right"/>
                </w:pPr>
                <w:r>
                  <w:rPr>
                    <w:sz w:val="14"/>
                  </w:rPr>
                  <w:t>0</w:t>
                </w:r>
              </w:p>
            </w:tc>
            <w:tc>
              <w:tcPr>
                <w:tcW w:w="1056" w:type="dxa"/>
                <w:vAlign w:val="bottom"/>
              </w:tcPr>
              <w:p w:rsidR="0013024B" w:rsidRPr="00606798" w:rsidRDefault="0013024B" w:rsidP="00DB008B">
                <w:pPr>
                  <w:snapToGrid w:val="0"/>
                  <w:jc w:val="right"/>
                </w:pPr>
                <w:r w:rsidRPr="00606798">
                  <w:rPr>
                    <w:sz w:val="14"/>
                  </w:rPr>
                  <w:t>226,314</w:t>
                </w:r>
              </w:p>
            </w:tc>
            <w:tc>
              <w:tcPr>
                <w:tcW w:w="1056" w:type="dxa"/>
                <w:vAlign w:val="bottom"/>
              </w:tcPr>
              <w:p w:rsidR="0013024B" w:rsidRPr="00606798" w:rsidRDefault="0013024B" w:rsidP="00DB008B">
                <w:pPr>
                  <w:snapToGrid w:val="0"/>
                  <w:jc w:val="right"/>
                </w:pPr>
                <w:r w:rsidRPr="00606798">
                  <w:rPr>
                    <w:sz w:val="14"/>
                  </w:rPr>
                  <w:t>100</w:t>
                </w:r>
              </w:p>
            </w:tc>
            <w:tc>
              <w:tcPr>
                <w:tcW w:w="1056" w:type="dxa"/>
                <w:vAlign w:val="bottom"/>
              </w:tcPr>
              <w:p w:rsidR="0013024B" w:rsidRPr="00606798" w:rsidRDefault="0013024B" w:rsidP="00DB008B">
                <w:pPr>
                  <w:snapToGrid w:val="0"/>
                  <w:jc w:val="right"/>
                </w:pPr>
                <w:r w:rsidRPr="00606798">
                  <w:rPr>
                    <w:sz w:val="14"/>
                  </w:rPr>
                  <w:t>0</w:t>
                </w:r>
              </w:p>
            </w:tc>
          </w:tr>
          <w:tr w:rsidR="0013024B" w:rsidRPr="00606798" w:rsidTr="00606798">
            <w:trPr>
              <w:jc w:val="right"/>
            </w:trPr>
            <w:tc>
              <w:tcPr>
                <w:tcW w:w="3446" w:type="dxa"/>
                <w:vAlign w:val="bottom"/>
              </w:tcPr>
              <w:p w:rsidR="0013024B" w:rsidRPr="00606798" w:rsidRDefault="0013024B" w:rsidP="00DB008B">
                <w:pPr>
                  <w:snapToGrid w:val="0"/>
                  <w:ind w:left="142" w:hanging="142"/>
                </w:pPr>
                <w:r w:rsidRPr="00606798">
                  <w:rPr>
                    <w:sz w:val="14"/>
                  </w:rPr>
                  <w:t>按组合计提坏账准备</w:t>
                </w:r>
              </w:p>
            </w:tc>
            <w:tc>
              <w:tcPr>
                <w:tcW w:w="1055" w:type="dxa"/>
                <w:vAlign w:val="bottom"/>
              </w:tcPr>
              <w:p w:rsidR="0013024B" w:rsidRPr="00606798" w:rsidRDefault="0013024B" w:rsidP="00DB008B">
                <w:pPr>
                  <w:snapToGrid w:val="0"/>
                  <w:jc w:val="right"/>
                </w:pPr>
                <w:r w:rsidRPr="00606798">
                  <w:rPr>
                    <w:sz w:val="14"/>
                  </w:rPr>
                  <w:t>1,753,065,002</w:t>
                </w:r>
              </w:p>
            </w:tc>
            <w:tc>
              <w:tcPr>
                <w:tcW w:w="1055" w:type="dxa"/>
                <w:vAlign w:val="bottom"/>
              </w:tcPr>
              <w:p w:rsidR="0013024B" w:rsidRPr="00606798" w:rsidRDefault="0013024B" w:rsidP="00DB008B">
                <w:pPr>
                  <w:snapToGrid w:val="0"/>
                  <w:jc w:val="right"/>
                </w:pPr>
                <w:r w:rsidRPr="00606798">
                  <w:rPr>
                    <w:sz w:val="14"/>
                  </w:rPr>
                  <w:t>100</w:t>
                </w:r>
              </w:p>
            </w:tc>
            <w:tc>
              <w:tcPr>
                <w:tcW w:w="1055" w:type="dxa"/>
                <w:vAlign w:val="bottom"/>
              </w:tcPr>
              <w:p w:rsidR="0013024B" w:rsidRPr="00606798" w:rsidRDefault="0013024B" w:rsidP="00DB008B">
                <w:pPr>
                  <w:snapToGrid w:val="0"/>
                  <w:jc w:val="right"/>
                </w:pPr>
                <w:r w:rsidRPr="00606798">
                  <w:rPr>
                    <w:sz w:val="14"/>
                  </w:rPr>
                  <w:t>394,861</w:t>
                </w:r>
              </w:p>
            </w:tc>
            <w:tc>
              <w:tcPr>
                <w:tcW w:w="1055" w:type="dxa"/>
                <w:vAlign w:val="bottom"/>
              </w:tcPr>
              <w:p w:rsidR="0013024B" w:rsidRPr="00606798" w:rsidRDefault="0013024B" w:rsidP="00DB008B">
                <w:pPr>
                  <w:snapToGrid w:val="0"/>
                  <w:jc w:val="right"/>
                </w:pPr>
                <w:r w:rsidRPr="00606798">
                  <w:rPr>
                    <w:sz w:val="14"/>
                  </w:rPr>
                  <w:t>0.02</w:t>
                </w:r>
              </w:p>
            </w:tc>
            <w:tc>
              <w:tcPr>
                <w:tcW w:w="1056" w:type="dxa"/>
                <w:vAlign w:val="bottom"/>
              </w:tcPr>
              <w:p w:rsidR="0013024B" w:rsidRPr="00606798" w:rsidRDefault="0013024B" w:rsidP="00DB008B">
                <w:pPr>
                  <w:snapToGrid w:val="0"/>
                  <w:jc w:val="right"/>
                </w:pPr>
                <w:r w:rsidRPr="00606798">
                  <w:rPr>
                    <w:sz w:val="14"/>
                  </w:rPr>
                  <w:t>1,752,670,141</w:t>
                </w:r>
              </w:p>
            </w:tc>
            <w:tc>
              <w:tcPr>
                <w:tcW w:w="1056" w:type="dxa"/>
                <w:vAlign w:val="bottom"/>
              </w:tcPr>
              <w:p w:rsidR="0013024B" w:rsidRPr="00606798" w:rsidRDefault="0013024B" w:rsidP="00DB008B">
                <w:pPr>
                  <w:snapToGrid w:val="0"/>
                  <w:jc w:val="right"/>
                </w:pPr>
                <w:r w:rsidRPr="00606798">
                  <w:rPr>
                    <w:sz w:val="14"/>
                  </w:rPr>
                  <w:t>3,167,745,879</w:t>
                </w:r>
              </w:p>
            </w:tc>
            <w:tc>
              <w:tcPr>
                <w:tcW w:w="1056" w:type="dxa"/>
                <w:vAlign w:val="bottom"/>
              </w:tcPr>
              <w:p w:rsidR="0013024B" w:rsidRPr="00606798" w:rsidRDefault="0013024B" w:rsidP="00DB008B">
                <w:pPr>
                  <w:snapToGrid w:val="0"/>
                  <w:jc w:val="right"/>
                </w:pPr>
                <w:r w:rsidRPr="00606798">
                  <w:rPr>
                    <w:sz w:val="14"/>
                  </w:rPr>
                  <w:t>100</w:t>
                </w:r>
              </w:p>
            </w:tc>
            <w:tc>
              <w:tcPr>
                <w:tcW w:w="1056" w:type="dxa"/>
                <w:vAlign w:val="bottom"/>
              </w:tcPr>
              <w:p w:rsidR="0013024B" w:rsidRPr="00606798" w:rsidRDefault="0013024B" w:rsidP="00DB008B">
                <w:pPr>
                  <w:snapToGrid w:val="0"/>
                  <w:jc w:val="right"/>
                </w:pPr>
                <w:r w:rsidRPr="00606798">
                  <w:rPr>
                    <w:sz w:val="14"/>
                  </w:rPr>
                  <w:t>5,092,192</w:t>
                </w:r>
              </w:p>
            </w:tc>
            <w:tc>
              <w:tcPr>
                <w:tcW w:w="1056" w:type="dxa"/>
                <w:vAlign w:val="bottom"/>
              </w:tcPr>
              <w:p w:rsidR="0013024B" w:rsidRPr="00606798" w:rsidRDefault="0013024B" w:rsidP="00DB008B">
                <w:pPr>
                  <w:snapToGrid w:val="0"/>
                  <w:jc w:val="right"/>
                </w:pPr>
                <w:r w:rsidRPr="00606798">
                  <w:rPr>
                    <w:sz w:val="14"/>
                  </w:rPr>
                  <w:t>0.16</w:t>
                </w:r>
              </w:p>
            </w:tc>
            <w:tc>
              <w:tcPr>
                <w:tcW w:w="1056" w:type="dxa"/>
                <w:vAlign w:val="bottom"/>
              </w:tcPr>
              <w:p w:rsidR="0013024B" w:rsidRPr="00606798" w:rsidRDefault="0013024B" w:rsidP="00DB008B">
                <w:pPr>
                  <w:snapToGrid w:val="0"/>
                  <w:jc w:val="right"/>
                </w:pPr>
                <w:r w:rsidRPr="00606798">
                  <w:rPr>
                    <w:sz w:val="14"/>
                  </w:rPr>
                  <w:t>3,162,653,687</w:t>
                </w:r>
              </w:p>
            </w:tc>
          </w:tr>
          <w:tr w:rsidR="008370A9" w:rsidRPr="00606798" w:rsidTr="00606798">
            <w:trPr>
              <w:jc w:val="right"/>
            </w:trPr>
            <w:tc>
              <w:tcPr>
                <w:tcW w:w="3446" w:type="dxa"/>
                <w:vAlign w:val="bottom"/>
              </w:tcPr>
              <w:p w:rsidR="008370A9" w:rsidRPr="00606798" w:rsidRDefault="008370A9" w:rsidP="00DB008B">
                <w:pPr>
                  <w:snapToGrid w:val="0"/>
                  <w:ind w:left="142" w:hanging="142"/>
                  <w:rPr>
                    <w:sz w:val="14"/>
                  </w:rPr>
                </w:pPr>
                <w:r>
                  <w:rPr>
                    <w:rFonts w:hint="eastAsia"/>
                    <w:sz w:val="14"/>
                  </w:rPr>
                  <w:t>其中：</w:t>
                </w:r>
              </w:p>
            </w:tc>
            <w:tc>
              <w:tcPr>
                <w:tcW w:w="1055" w:type="dxa"/>
                <w:vAlign w:val="bottom"/>
              </w:tcPr>
              <w:p w:rsidR="008370A9" w:rsidRPr="00606798" w:rsidRDefault="008370A9" w:rsidP="00DB008B">
                <w:pPr>
                  <w:snapToGrid w:val="0"/>
                  <w:jc w:val="right"/>
                  <w:rPr>
                    <w:sz w:val="14"/>
                  </w:rPr>
                </w:pPr>
              </w:p>
            </w:tc>
            <w:tc>
              <w:tcPr>
                <w:tcW w:w="1055" w:type="dxa"/>
                <w:vAlign w:val="bottom"/>
              </w:tcPr>
              <w:p w:rsidR="008370A9" w:rsidRPr="00606798" w:rsidRDefault="008370A9" w:rsidP="00DB008B">
                <w:pPr>
                  <w:snapToGrid w:val="0"/>
                  <w:jc w:val="right"/>
                  <w:rPr>
                    <w:sz w:val="14"/>
                  </w:rPr>
                </w:pPr>
              </w:p>
            </w:tc>
            <w:tc>
              <w:tcPr>
                <w:tcW w:w="1055" w:type="dxa"/>
                <w:vAlign w:val="bottom"/>
              </w:tcPr>
              <w:p w:rsidR="008370A9" w:rsidRPr="00606798" w:rsidRDefault="008370A9" w:rsidP="00DB008B">
                <w:pPr>
                  <w:snapToGrid w:val="0"/>
                  <w:jc w:val="right"/>
                  <w:rPr>
                    <w:sz w:val="14"/>
                  </w:rPr>
                </w:pPr>
              </w:p>
            </w:tc>
            <w:tc>
              <w:tcPr>
                <w:tcW w:w="1055" w:type="dxa"/>
                <w:vAlign w:val="bottom"/>
              </w:tcPr>
              <w:p w:rsidR="008370A9" w:rsidRPr="00606798" w:rsidRDefault="008370A9" w:rsidP="00DB008B">
                <w:pPr>
                  <w:snapToGrid w:val="0"/>
                  <w:jc w:val="right"/>
                  <w:rPr>
                    <w:sz w:val="14"/>
                  </w:rPr>
                </w:pPr>
              </w:p>
            </w:tc>
            <w:tc>
              <w:tcPr>
                <w:tcW w:w="1056" w:type="dxa"/>
                <w:vAlign w:val="bottom"/>
              </w:tcPr>
              <w:p w:rsidR="008370A9" w:rsidRPr="00606798" w:rsidRDefault="008370A9" w:rsidP="00DB008B">
                <w:pPr>
                  <w:snapToGrid w:val="0"/>
                  <w:jc w:val="right"/>
                  <w:rPr>
                    <w:sz w:val="14"/>
                  </w:rPr>
                </w:pPr>
              </w:p>
            </w:tc>
            <w:tc>
              <w:tcPr>
                <w:tcW w:w="1056" w:type="dxa"/>
                <w:vAlign w:val="bottom"/>
              </w:tcPr>
              <w:p w:rsidR="008370A9" w:rsidRPr="00606798" w:rsidRDefault="008370A9" w:rsidP="00DB008B">
                <w:pPr>
                  <w:snapToGrid w:val="0"/>
                  <w:jc w:val="right"/>
                  <w:rPr>
                    <w:sz w:val="14"/>
                  </w:rPr>
                </w:pPr>
              </w:p>
            </w:tc>
            <w:tc>
              <w:tcPr>
                <w:tcW w:w="1056" w:type="dxa"/>
                <w:vAlign w:val="bottom"/>
              </w:tcPr>
              <w:p w:rsidR="008370A9" w:rsidRPr="00606798" w:rsidRDefault="008370A9" w:rsidP="00DB008B">
                <w:pPr>
                  <w:snapToGrid w:val="0"/>
                  <w:jc w:val="right"/>
                  <w:rPr>
                    <w:sz w:val="14"/>
                  </w:rPr>
                </w:pPr>
              </w:p>
            </w:tc>
            <w:tc>
              <w:tcPr>
                <w:tcW w:w="1056" w:type="dxa"/>
                <w:vAlign w:val="bottom"/>
              </w:tcPr>
              <w:p w:rsidR="008370A9" w:rsidRPr="00606798" w:rsidRDefault="008370A9" w:rsidP="00DB008B">
                <w:pPr>
                  <w:snapToGrid w:val="0"/>
                  <w:jc w:val="right"/>
                  <w:rPr>
                    <w:sz w:val="14"/>
                  </w:rPr>
                </w:pPr>
              </w:p>
            </w:tc>
            <w:tc>
              <w:tcPr>
                <w:tcW w:w="1056" w:type="dxa"/>
                <w:vAlign w:val="bottom"/>
              </w:tcPr>
              <w:p w:rsidR="008370A9" w:rsidRPr="00606798" w:rsidRDefault="008370A9" w:rsidP="00DB008B">
                <w:pPr>
                  <w:snapToGrid w:val="0"/>
                  <w:jc w:val="right"/>
                  <w:rPr>
                    <w:sz w:val="14"/>
                  </w:rPr>
                </w:pPr>
              </w:p>
            </w:tc>
            <w:tc>
              <w:tcPr>
                <w:tcW w:w="1056" w:type="dxa"/>
                <w:vAlign w:val="bottom"/>
              </w:tcPr>
              <w:p w:rsidR="008370A9" w:rsidRPr="00606798" w:rsidRDefault="008370A9" w:rsidP="00DB008B">
                <w:pPr>
                  <w:snapToGrid w:val="0"/>
                  <w:jc w:val="right"/>
                  <w:rPr>
                    <w:sz w:val="14"/>
                  </w:rPr>
                </w:pPr>
              </w:p>
            </w:tc>
          </w:tr>
          <w:tr w:rsidR="0013024B" w:rsidRPr="00606798" w:rsidTr="00606798">
            <w:trPr>
              <w:jc w:val="right"/>
            </w:trPr>
            <w:tc>
              <w:tcPr>
                <w:tcW w:w="3446" w:type="dxa"/>
                <w:vAlign w:val="bottom"/>
              </w:tcPr>
              <w:p w:rsidR="0013024B" w:rsidRPr="00606798" w:rsidRDefault="0013024B" w:rsidP="00DB008B">
                <w:pPr>
                  <w:snapToGrid w:val="0"/>
                  <w:ind w:left="283" w:hanging="142"/>
                </w:pPr>
                <w:r w:rsidRPr="00606798">
                  <w:rPr>
                    <w:sz w:val="14"/>
                  </w:rPr>
                  <w:t>- 组合一</w:t>
                </w:r>
              </w:p>
            </w:tc>
            <w:tc>
              <w:tcPr>
                <w:tcW w:w="1055" w:type="dxa"/>
                <w:vAlign w:val="bottom"/>
              </w:tcPr>
              <w:p w:rsidR="0013024B" w:rsidRPr="00606798" w:rsidRDefault="0013024B" w:rsidP="00DB008B">
                <w:pPr>
                  <w:snapToGrid w:val="0"/>
                  <w:jc w:val="right"/>
                  <w:rPr>
                    <w:sz w:val="14"/>
                  </w:rPr>
                </w:pPr>
                <w:r w:rsidRPr="00606798">
                  <w:rPr>
                    <w:sz w:val="14"/>
                  </w:rPr>
                  <w:t>1,708,191,620</w:t>
                </w:r>
              </w:p>
            </w:tc>
            <w:tc>
              <w:tcPr>
                <w:tcW w:w="1055" w:type="dxa"/>
                <w:vAlign w:val="bottom"/>
              </w:tcPr>
              <w:p w:rsidR="0013024B" w:rsidRPr="00606798" w:rsidRDefault="0013024B" w:rsidP="00DB008B">
                <w:pPr>
                  <w:snapToGrid w:val="0"/>
                  <w:jc w:val="right"/>
                </w:pPr>
                <w:r w:rsidRPr="00606798">
                  <w:rPr>
                    <w:sz w:val="14"/>
                  </w:rPr>
                  <w:t>97</w:t>
                </w:r>
              </w:p>
            </w:tc>
            <w:tc>
              <w:tcPr>
                <w:tcW w:w="1055" w:type="dxa"/>
                <w:vAlign w:val="bottom"/>
              </w:tcPr>
              <w:p w:rsidR="0013024B" w:rsidRPr="00606798" w:rsidRDefault="0013024B" w:rsidP="00DB008B">
                <w:pPr>
                  <w:snapToGrid w:val="0"/>
                  <w:jc w:val="right"/>
                </w:pPr>
                <w:r w:rsidRPr="00606798">
                  <w:rPr>
                    <w:sz w:val="14"/>
                  </w:rPr>
                  <w:t>0</w:t>
                </w:r>
              </w:p>
            </w:tc>
            <w:tc>
              <w:tcPr>
                <w:tcW w:w="1055" w:type="dxa"/>
                <w:vAlign w:val="bottom"/>
              </w:tcPr>
              <w:p w:rsidR="0013024B" w:rsidRPr="00606798" w:rsidRDefault="0013024B" w:rsidP="00DB008B">
                <w:pPr>
                  <w:snapToGrid w:val="0"/>
                  <w:jc w:val="right"/>
                </w:pPr>
                <w:r w:rsidRPr="00606798">
                  <w:rPr>
                    <w:sz w:val="14"/>
                  </w:rPr>
                  <w:t>0</w:t>
                </w:r>
              </w:p>
            </w:tc>
            <w:tc>
              <w:tcPr>
                <w:tcW w:w="1056" w:type="dxa"/>
                <w:vAlign w:val="bottom"/>
              </w:tcPr>
              <w:p w:rsidR="0013024B" w:rsidRPr="00606798" w:rsidRDefault="0013024B" w:rsidP="00DB008B">
                <w:pPr>
                  <w:snapToGrid w:val="0"/>
                  <w:jc w:val="right"/>
                </w:pPr>
                <w:r w:rsidRPr="00606798">
                  <w:rPr>
                    <w:sz w:val="14"/>
                  </w:rPr>
                  <w:t>1,708,191,620</w:t>
                </w:r>
              </w:p>
            </w:tc>
            <w:tc>
              <w:tcPr>
                <w:tcW w:w="1056" w:type="dxa"/>
                <w:vAlign w:val="bottom"/>
              </w:tcPr>
              <w:p w:rsidR="0013024B" w:rsidRPr="00606798" w:rsidRDefault="0013024B" w:rsidP="00DB008B">
                <w:pPr>
                  <w:snapToGrid w:val="0"/>
                  <w:jc w:val="right"/>
                </w:pPr>
                <w:r w:rsidRPr="00606798">
                  <w:rPr>
                    <w:sz w:val="14"/>
                  </w:rPr>
                  <w:t>3,115,756,702</w:t>
                </w:r>
              </w:p>
            </w:tc>
            <w:tc>
              <w:tcPr>
                <w:tcW w:w="1056" w:type="dxa"/>
                <w:vAlign w:val="bottom"/>
              </w:tcPr>
              <w:p w:rsidR="0013024B" w:rsidRPr="00606798" w:rsidRDefault="0013024B" w:rsidP="00DB008B">
                <w:pPr>
                  <w:snapToGrid w:val="0"/>
                  <w:jc w:val="right"/>
                </w:pPr>
                <w:r w:rsidRPr="00606798">
                  <w:rPr>
                    <w:sz w:val="14"/>
                  </w:rPr>
                  <w:t>98</w:t>
                </w:r>
              </w:p>
            </w:tc>
            <w:tc>
              <w:tcPr>
                <w:tcW w:w="1056" w:type="dxa"/>
                <w:vAlign w:val="bottom"/>
              </w:tcPr>
              <w:p w:rsidR="0013024B" w:rsidRPr="00606798" w:rsidRDefault="00606798" w:rsidP="00DB008B">
                <w:pPr>
                  <w:snapToGrid w:val="0"/>
                  <w:jc w:val="right"/>
                </w:pPr>
                <w:r>
                  <w:rPr>
                    <w:sz w:val="14"/>
                  </w:rPr>
                  <w:t>0</w:t>
                </w:r>
              </w:p>
            </w:tc>
            <w:tc>
              <w:tcPr>
                <w:tcW w:w="1056" w:type="dxa"/>
                <w:vAlign w:val="bottom"/>
              </w:tcPr>
              <w:p w:rsidR="0013024B" w:rsidRPr="00606798" w:rsidRDefault="00606798" w:rsidP="00DB008B">
                <w:pPr>
                  <w:snapToGrid w:val="0"/>
                  <w:jc w:val="right"/>
                </w:pPr>
                <w:r>
                  <w:rPr>
                    <w:sz w:val="14"/>
                  </w:rPr>
                  <w:t>0</w:t>
                </w:r>
              </w:p>
            </w:tc>
            <w:tc>
              <w:tcPr>
                <w:tcW w:w="1056" w:type="dxa"/>
                <w:vAlign w:val="bottom"/>
              </w:tcPr>
              <w:p w:rsidR="0013024B" w:rsidRPr="00606798" w:rsidRDefault="0013024B" w:rsidP="00DB008B">
                <w:pPr>
                  <w:snapToGrid w:val="0"/>
                  <w:jc w:val="right"/>
                </w:pPr>
                <w:r w:rsidRPr="00606798">
                  <w:rPr>
                    <w:sz w:val="14"/>
                  </w:rPr>
                  <w:t>3,115,756,702</w:t>
                </w:r>
              </w:p>
            </w:tc>
          </w:tr>
          <w:tr w:rsidR="0013024B" w:rsidRPr="00606798" w:rsidTr="00606798">
            <w:trPr>
              <w:jc w:val="right"/>
            </w:trPr>
            <w:tc>
              <w:tcPr>
                <w:tcW w:w="3446" w:type="dxa"/>
                <w:vAlign w:val="bottom"/>
              </w:tcPr>
              <w:p w:rsidR="0013024B" w:rsidRPr="00606798" w:rsidRDefault="0013024B" w:rsidP="00DB008B">
                <w:pPr>
                  <w:snapToGrid w:val="0"/>
                  <w:ind w:left="283" w:hanging="142"/>
                </w:pPr>
                <w:r w:rsidRPr="00606798">
                  <w:rPr>
                    <w:sz w:val="14"/>
                  </w:rPr>
                  <w:t>- 组合二</w:t>
                </w:r>
              </w:p>
            </w:tc>
            <w:tc>
              <w:tcPr>
                <w:tcW w:w="1055" w:type="dxa"/>
                <w:vAlign w:val="bottom"/>
              </w:tcPr>
              <w:p w:rsidR="0013024B" w:rsidRPr="00606798" w:rsidRDefault="0013024B" w:rsidP="00DB008B">
                <w:pPr>
                  <w:snapToGrid w:val="0"/>
                  <w:jc w:val="right"/>
                  <w:rPr>
                    <w:sz w:val="14"/>
                  </w:rPr>
                </w:pPr>
                <w:r w:rsidRPr="00606798">
                  <w:rPr>
                    <w:sz w:val="14"/>
                  </w:rPr>
                  <w:t>44,873,382</w:t>
                </w:r>
              </w:p>
            </w:tc>
            <w:tc>
              <w:tcPr>
                <w:tcW w:w="1055" w:type="dxa"/>
                <w:vAlign w:val="bottom"/>
              </w:tcPr>
              <w:p w:rsidR="0013024B" w:rsidRPr="00606798" w:rsidRDefault="0013024B" w:rsidP="00DB008B">
                <w:pPr>
                  <w:snapToGrid w:val="0"/>
                  <w:jc w:val="right"/>
                </w:pPr>
                <w:r w:rsidRPr="00606798">
                  <w:rPr>
                    <w:sz w:val="14"/>
                  </w:rPr>
                  <w:t>3</w:t>
                </w:r>
              </w:p>
            </w:tc>
            <w:tc>
              <w:tcPr>
                <w:tcW w:w="1055" w:type="dxa"/>
                <w:vAlign w:val="bottom"/>
              </w:tcPr>
              <w:p w:rsidR="0013024B" w:rsidRPr="00606798" w:rsidRDefault="0013024B" w:rsidP="00DB008B">
                <w:pPr>
                  <w:snapToGrid w:val="0"/>
                  <w:jc w:val="right"/>
                </w:pPr>
                <w:r w:rsidRPr="00606798">
                  <w:rPr>
                    <w:sz w:val="14"/>
                  </w:rPr>
                  <w:t>394,861</w:t>
                </w:r>
              </w:p>
            </w:tc>
            <w:tc>
              <w:tcPr>
                <w:tcW w:w="1055" w:type="dxa"/>
                <w:vAlign w:val="bottom"/>
              </w:tcPr>
              <w:p w:rsidR="0013024B" w:rsidRPr="00606798" w:rsidRDefault="0013024B" w:rsidP="00DB008B">
                <w:pPr>
                  <w:snapToGrid w:val="0"/>
                  <w:jc w:val="right"/>
                </w:pPr>
                <w:r w:rsidRPr="00606798">
                  <w:rPr>
                    <w:sz w:val="14"/>
                  </w:rPr>
                  <w:t>0.88</w:t>
                </w:r>
              </w:p>
            </w:tc>
            <w:tc>
              <w:tcPr>
                <w:tcW w:w="1056" w:type="dxa"/>
                <w:vAlign w:val="bottom"/>
              </w:tcPr>
              <w:p w:rsidR="0013024B" w:rsidRPr="00606798" w:rsidRDefault="0013024B" w:rsidP="00DB008B">
                <w:pPr>
                  <w:snapToGrid w:val="0"/>
                  <w:jc w:val="right"/>
                </w:pPr>
                <w:r w:rsidRPr="00606798">
                  <w:rPr>
                    <w:sz w:val="14"/>
                  </w:rPr>
                  <w:t>44,478,521</w:t>
                </w:r>
              </w:p>
            </w:tc>
            <w:tc>
              <w:tcPr>
                <w:tcW w:w="1056" w:type="dxa"/>
                <w:vAlign w:val="bottom"/>
              </w:tcPr>
              <w:p w:rsidR="0013024B" w:rsidRPr="00606798" w:rsidRDefault="0013024B" w:rsidP="00DB008B">
                <w:pPr>
                  <w:snapToGrid w:val="0"/>
                  <w:jc w:val="right"/>
                </w:pPr>
                <w:r w:rsidRPr="00606798">
                  <w:rPr>
                    <w:sz w:val="14"/>
                  </w:rPr>
                  <w:t>51,989,177</w:t>
                </w:r>
              </w:p>
            </w:tc>
            <w:tc>
              <w:tcPr>
                <w:tcW w:w="1056" w:type="dxa"/>
                <w:vAlign w:val="bottom"/>
              </w:tcPr>
              <w:p w:rsidR="0013024B" w:rsidRPr="00606798" w:rsidRDefault="0013024B" w:rsidP="00DB008B">
                <w:pPr>
                  <w:snapToGrid w:val="0"/>
                  <w:jc w:val="right"/>
                </w:pPr>
                <w:r w:rsidRPr="00606798">
                  <w:rPr>
                    <w:sz w:val="14"/>
                  </w:rPr>
                  <w:t>2</w:t>
                </w:r>
              </w:p>
            </w:tc>
            <w:tc>
              <w:tcPr>
                <w:tcW w:w="1056" w:type="dxa"/>
                <w:vAlign w:val="bottom"/>
              </w:tcPr>
              <w:p w:rsidR="0013024B" w:rsidRPr="00606798" w:rsidRDefault="0013024B" w:rsidP="00DB008B">
                <w:pPr>
                  <w:snapToGrid w:val="0"/>
                  <w:jc w:val="right"/>
                </w:pPr>
                <w:r w:rsidRPr="00606798">
                  <w:rPr>
                    <w:sz w:val="14"/>
                  </w:rPr>
                  <w:t>5,092,192</w:t>
                </w:r>
              </w:p>
            </w:tc>
            <w:tc>
              <w:tcPr>
                <w:tcW w:w="1056" w:type="dxa"/>
                <w:vAlign w:val="bottom"/>
              </w:tcPr>
              <w:p w:rsidR="0013024B" w:rsidRPr="00606798" w:rsidRDefault="0013024B" w:rsidP="00DB008B">
                <w:pPr>
                  <w:snapToGrid w:val="0"/>
                  <w:jc w:val="right"/>
                </w:pPr>
                <w:r w:rsidRPr="00606798">
                  <w:rPr>
                    <w:sz w:val="14"/>
                  </w:rPr>
                  <w:t>9.79</w:t>
                </w:r>
              </w:p>
            </w:tc>
            <w:tc>
              <w:tcPr>
                <w:tcW w:w="1056" w:type="dxa"/>
                <w:vAlign w:val="bottom"/>
              </w:tcPr>
              <w:p w:rsidR="0013024B" w:rsidRPr="00606798" w:rsidRDefault="0013024B" w:rsidP="00DB008B">
                <w:pPr>
                  <w:snapToGrid w:val="0"/>
                  <w:jc w:val="right"/>
                </w:pPr>
                <w:r w:rsidRPr="00606798">
                  <w:rPr>
                    <w:sz w:val="14"/>
                  </w:rPr>
                  <w:t>46,896,985</w:t>
                </w:r>
              </w:p>
            </w:tc>
          </w:tr>
          <w:tr w:rsidR="0013024B" w:rsidRPr="00606798" w:rsidTr="00606798">
            <w:trPr>
              <w:jc w:val="right"/>
            </w:trPr>
            <w:tc>
              <w:tcPr>
                <w:tcW w:w="3446" w:type="dxa"/>
                <w:vAlign w:val="bottom"/>
              </w:tcPr>
              <w:p w:rsidR="0013024B" w:rsidRPr="00606798" w:rsidRDefault="0013024B" w:rsidP="00DB008B">
                <w:pPr>
                  <w:snapToGrid w:val="0"/>
                  <w:ind w:left="142" w:hanging="142"/>
                </w:pPr>
                <w:r w:rsidRPr="00606798">
                  <w:rPr>
                    <w:sz w:val="14"/>
                  </w:rPr>
                  <w:t>合计</w:t>
                </w:r>
              </w:p>
            </w:tc>
            <w:tc>
              <w:tcPr>
                <w:tcW w:w="1055" w:type="dxa"/>
                <w:vAlign w:val="bottom"/>
              </w:tcPr>
              <w:p w:rsidR="0013024B" w:rsidRPr="00606798" w:rsidRDefault="0013024B" w:rsidP="00DB008B">
                <w:pPr>
                  <w:snapToGrid w:val="0"/>
                  <w:jc w:val="right"/>
                </w:pPr>
                <w:r w:rsidRPr="00606798">
                  <w:rPr>
                    <w:sz w:val="14"/>
                  </w:rPr>
                  <w:t>1,753,291,316</w:t>
                </w:r>
              </w:p>
            </w:tc>
            <w:tc>
              <w:tcPr>
                <w:tcW w:w="1055" w:type="dxa"/>
                <w:vAlign w:val="bottom"/>
              </w:tcPr>
              <w:p w:rsidR="0013024B" w:rsidRPr="00606798" w:rsidRDefault="0013024B" w:rsidP="00DB008B">
                <w:pPr>
                  <w:snapToGrid w:val="0"/>
                  <w:jc w:val="right"/>
                </w:pPr>
                <w:r w:rsidRPr="00606798">
                  <w:rPr>
                    <w:sz w:val="14"/>
                  </w:rPr>
                  <w:t>/</w:t>
                </w:r>
              </w:p>
            </w:tc>
            <w:tc>
              <w:tcPr>
                <w:tcW w:w="1055" w:type="dxa"/>
                <w:vAlign w:val="bottom"/>
              </w:tcPr>
              <w:p w:rsidR="0013024B" w:rsidRPr="00606798" w:rsidRDefault="0013024B" w:rsidP="00DB008B">
                <w:pPr>
                  <w:snapToGrid w:val="0"/>
                  <w:jc w:val="right"/>
                </w:pPr>
                <w:r w:rsidRPr="00606798">
                  <w:rPr>
                    <w:sz w:val="14"/>
                  </w:rPr>
                  <w:t>621,175</w:t>
                </w:r>
              </w:p>
            </w:tc>
            <w:tc>
              <w:tcPr>
                <w:tcW w:w="1055" w:type="dxa"/>
                <w:vAlign w:val="bottom"/>
              </w:tcPr>
              <w:p w:rsidR="0013024B" w:rsidRPr="00606798" w:rsidRDefault="0013024B" w:rsidP="00DB008B">
                <w:pPr>
                  <w:snapToGrid w:val="0"/>
                  <w:jc w:val="right"/>
                </w:pPr>
                <w:r w:rsidRPr="00606798">
                  <w:rPr>
                    <w:sz w:val="14"/>
                  </w:rPr>
                  <w:t>/</w:t>
                </w:r>
              </w:p>
            </w:tc>
            <w:tc>
              <w:tcPr>
                <w:tcW w:w="1056" w:type="dxa"/>
                <w:vAlign w:val="bottom"/>
              </w:tcPr>
              <w:p w:rsidR="0013024B" w:rsidRPr="00606798" w:rsidRDefault="0013024B" w:rsidP="00DB008B">
                <w:pPr>
                  <w:snapToGrid w:val="0"/>
                  <w:jc w:val="right"/>
                </w:pPr>
                <w:r w:rsidRPr="00606798">
                  <w:rPr>
                    <w:sz w:val="14"/>
                  </w:rPr>
                  <w:t>1,752,670,141</w:t>
                </w:r>
              </w:p>
            </w:tc>
            <w:tc>
              <w:tcPr>
                <w:tcW w:w="1056" w:type="dxa"/>
                <w:vAlign w:val="bottom"/>
              </w:tcPr>
              <w:p w:rsidR="0013024B" w:rsidRPr="00606798" w:rsidRDefault="0013024B" w:rsidP="00DB008B">
                <w:pPr>
                  <w:snapToGrid w:val="0"/>
                  <w:jc w:val="right"/>
                </w:pPr>
                <w:r w:rsidRPr="00606798">
                  <w:rPr>
                    <w:sz w:val="14"/>
                  </w:rPr>
                  <w:t>3,167,972,193</w:t>
                </w:r>
              </w:p>
            </w:tc>
            <w:tc>
              <w:tcPr>
                <w:tcW w:w="1056" w:type="dxa"/>
                <w:vAlign w:val="bottom"/>
              </w:tcPr>
              <w:p w:rsidR="0013024B" w:rsidRPr="00606798" w:rsidRDefault="0013024B" w:rsidP="00DB008B">
                <w:pPr>
                  <w:snapToGrid w:val="0"/>
                  <w:jc w:val="right"/>
                </w:pPr>
                <w:r w:rsidRPr="00606798">
                  <w:rPr>
                    <w:sz w:val="14"/>
                  </w:rPr>
                  <w:t>/</w:t>
                </w:r>
              </w:p>
            </w:tc>
            <w:tc>
              <w:tcPr>
                <w:tcW w:w="1056" w:type="dxa"/>
                <w:vAlign w:val="bottom"/>
              </w:tcPr>
              <w:p w:rsidR="0013024B" w:rsidRPr="00606798" w:rsidRDefault="0013024B" w:rsidP="00DB008B">
                <w:pPr>
                  <w:snapToGrid w:val="0"/>
                  <w:jc w:val="right"/>
                </w:pPr>
                <w:r w:rsidRPr="00606798">
                  <w:rPr>
                    <w:sz w:val="14"/>
                  </w:rPr>
                  <w:t>5,318,506</w:t>
                </w:r>
              </w:p>
            </w:tc>
            <w:tc>
              <w:tcPr>
                <w:tcW w:w="1056" w:type="dxa"/>
                <w:vAlign w:val="bottom"/>
              </w:tcPr>
              <w:p w:rsidR="0013024B" w:rsidRPr="00606798" w:rsidRDefault="0013024B" w:rsidP="00DB008B">
                <w:pPr>
                  <w:snapToGrid w:val="0"/>
                  <w:jc w:val="right"/>
                </w:pPr>
                <w:r w:rsidRPr="00606798">
                  <w:rPr>
                    <w:sz w:val="14"/>
                  </w:rPr>
                  <w:t>/</w:t>
                </w:r>
              </w:p>
            </w:tc>
            <w:tc>
              <w:tcPr>
                <w:tcW w:w="1056" w:type="dxa"/>
                <w:vAlign w:val="bottom"/>
              </w:tcPr>
              <w:p w:rsidR="0013024B" w:rsidRPr="00606798" w:rsidRDefault="0013024B" w:rsidP="00DB008B">
                <w:pPr>
                  <w:snapToGrid w:val="0"/>
                  <w:jc w:val="right"/>
                </w:pPr>
                <w:r w:rsidRPr="00606798">
                  <w:rPr>
                    <w:sz w:val="14"/>
                  </w:rPr>
                  <w:t>3,162,653,687</w:t>
                </w:r>
              </w:p>
            </w:tc>
          </w:tr>
          <w:bookmarkEnd w:id="173"/>
        </w:tbl>
        <w:p w:rsidR="0013024B" w:rsidRDefault="0013024B" w:rsidP="0013024B">
          <w:pPr>
            <w:sectPr w:rsidR="0013024B" w:rsidSect="0013024B">
              <w:pgSz w:w="16838" w:h="11906" w:orient="landscape"/>
              <w:pgMar w:top="1276" w:right="1440" w:bottom="1797" w:left="1525" w:header="856" w:footer="992" w:gutter="0"/>
              <w:cols w:space="425"/>
              <w:docGrid w:type="lines" w:linePitch="312"/>
            </w:sectPr>
          </w:pPr>
        </w:p>
        <w:p w:rsidR="00806678" w:rsidRDefault="00F80B6C"/>
      </w:sdtContent>
    </w:sdt>
    <w:sdt>
      <w:sdtPr>
        <w:rPr>
          <w:rFonts w:ascii="宋体" w:eastAsia="宋体" w:hAnsi="宋体" w:cs="宋体" w:hint="eastAsia"/>
          <w:b w:val="0"/>
          <w:bCs w:val="0"/>
          <w:kern w:val="0"/>
          <w:szCs w:val="24"/>
        </w:rPr>
        <w:alias w:val="模块:按款项性质分类情况"/>
        <w:tag w:val="_SEC_8efe5956682a453f8d45e3b621bac05e"/>
        <w:id w:val="-1510293271"/>
        <w:lock w:val="sdtLocked"/>
        <w:placeholder>
          <w:docPart w:val="GBC22222222222222222222222222222"/>
        </w:placeholder>
      </w:sdtPr>
      <w:sdtEndPr>
        <w:rPr>
          <w:rFonts w:hint="default"/>
        </w:rPr>
      </w:sdtEndPr>
      <w:sdtContent>
        <w:p w:rsidR="00806678" w:rsidRDefault="00B16377" w:rsidP="00FF17C7">
          <w:pPr>
            <w:pStyle w:val="4"/>
            <w:numPr>
              <w:ilvl w:val="3"/>
              <w:numId w:val="45"/>
            </w:numPr>
            <w:ind w:left="426" w:hanging="426"/>
          </w:pPr>
          <w:r>
            <w:rPr>
              <w:rFonts w:hint="eastAsia"/>
            </w:rPr>
            <w:t>按款项性质分类情况</w:t>
          </w:r>
        </w:p>
        <w:p w:rsidR="00806678" w:rsidRDefault="00F80B6C">
          <w:sdt>
            <w:sdtPr>
              <w:alias w:val="是否适用：其他应收款按款项性质分类情况[双击切换]"/>
              <w:tag w:val="_GBC_f8f8208812d5412eb0a2fdddf1a9d330"/>
              <w:id w:val="-1473288414"/>
              <w:lock w:val="sdtLocked"/>
              <w:placeholder>
                <w:docPart w:val="GBC22222222222222222222222222222"/>
              </w:placeholder>
            </w:sdtPr>
            <w:sdtContent>
              <w:r>
                <w:fldChar w:fldCharType="begin"/>
              </w:r>
              <w:r w:rsidR="002A4D9D">
                <w:instrText xml:space="preserve">MACROBUTTON  SnrToggleCheckbox √适用 </w:instrText>
              </w:r>
              <w:r>
                <w:fldChar w:fldCharType="end"/>
              </w:r>
              <w:r>
                <w:fldChar w:fldCharType="begin"/>
              </w:r>
              <w:r w:rsidR="002A4D9D">
                <w:instrText xml:space="preserve"> MACROBUTTON  SnrToggleCheckbox □不适用 </w:instrText>
              </w:r>
              <w:r>
                <w:fldChar w:fldCharType="end"/>
              </w:r>
            </w:sdtContent>
          </w:sdt>
        </w:p>
        <w:p w:rsidR="00806678" w:rsidRDefault="00B16377">
          <w:pPr>
            <w:ind w:firstLineChars="3100" w:firstLine="6510"/>
          </w:pPr>
          <w:r>
            <w:rPr>
              <w:rFonts w:hint="eastAsia"/>
            </w:rPr>
            <w:t>单位：</w:t>
          </w:r>
          <w:sdt>
            <w:sdtPr>
              <w:rPr>
                <w:rFonts w:hint="eastAsia"/>
              </w:rPr>
              <w:alias w:val="单位：财务附注：其他应收款按款项性质分类情况"/>
              <w:tag w:val="_GBC_6e3e3b79e1a6467e8f5cdcabc0a95e4a"/>
              <w:id w:val="3237863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其他应收款按款项性质分类情况"/>
              <w:tag w:val="_GBC_09f3d6bcff8b483f9de34a3ddb25bad4"/>
              <w:id w:val="3237864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76"/>
            <w:gridCol w:w="2981"/>
            <w:gridCol w:w="2992"/>
          </w:tblGrid>
          <w:tr w:rsidR="00CD0A66" w:rsidTr="00DB008B">
            <w:sdt>
              <w:sdtPr>
                <w:tag w:val="_PLD_e3e4ae09c73a4371a49803278d537455"/>
                <w:id w:val="-792896140"/>
                <w:lock w:val="sdtLocked"/>
              </w:sdtPr>
              <w:sdtContent>
                <w:tc>
                  <w:tcPr>
                    <w:tcW w:w="1700" w:type="pct"/>
                    <w:shd w:val="clear" w:color="auto" w:fill="auto"/>
                    <w:vAlign w:val="center"/>
                  </w:tcPr>
                  <w:p w:rsidR="00CD0A66" w:rsidRDefault="00CD0A66" w:rsidP="00DB008B">
                    <w:pPr>
                      <w:jc w:val="center"/>
                    </w:pPr>
                    <w:r>
                      <w:rPr>
                        <w:rFonts w:hint="eastAsia"/>
                      </w:rPr>
                      <w:t>款项性质</w:t>
                    </w:r>
                  </w:p>
                </w:tc>
              </w:sdtContent>
            </w:sdt>
            <w:sdt>
              <w:sdtPr>
                <w:tag w:val="_PLD_166416173edb4a39b34c47c78d0dc766"/>
                <w:id w:val="1906172311"/>
                <w:lock w:val="sdtLocked"/>
              </w:sdtPr>
              <w:sdtContent>
                <w:tc>
                  <w:tcPr>
                    <w:tcW w:w="1647" w:type="pct"/>
                    <w:shd w:val="clear" w:color="auto" w:fill="auto"/>
                    <w:vAlign w:val="center"/>
                  </w:tcPr>
                  <w:p w:rsidR="00CD0A66" w:rsidRDefault="00CD0A66" w:rsidP="00DB008B">
                    <w:pPr>
                      <w:jc w:val="center"/>
                    </w:pPr>
                    <w:r>
                      <w:rPr>
                        <w:rFonts w:hint="eastAsia"/>
                      </w:rPr>
                      <w:t>期末账面余额</w:t>
                    </w:r>
                  </w:p>
                </w:tc>
              </w:sdtContent>
            </w:sdt>
            <w:sdt>
              <w:sdtPr>
                <w:tag w:val="_PLD_a78baace40634aeaaff4786c955e1f60"/>
                <w:id w:val="-1752490401"/>
                <w:lock w:val="sdtLocked"/>
              </w:sdtPr>
              <w:sdtContent>
                <w:tc>
                  <w:tcPr>
                    <w:tcW w:w="1653" w:type="pct"/>
                    <w:shd w:val="clear" w:color="auto" w:fill="auto"/>
                    <w:vAlign w:val="center"/>
                  </w:tcPr>
                  <w:p w:rsidR="00CD0A66" w:rsidRDefault="00CD0A66" w:rsidP="00DB008B">
                    <w:pPr>
                      <w:jc w:val="center"/>
                    </w:pPr>
                    <w:r>
                      <w:rPr>
                        <w:rFonts w:hint="eastAsia"/>
                      </w:rPr>
                      <w:t>期初账面余额</w:t>
                    </w:r>
                  </w:p>
                </w:tc>
              </w:sdtContent>
            </w:sdt>
          </w:tr>
          <w:sdt>
            <w:sdtPr>
              <w:rPr>
                <w:rFonts w:hint="eastAsia"/>
              </w:rPr>
              <w:alias w:val="其他应收款按款项性质分类情况明细"/>
              <w:tag w:val="_TUP_57a46f72357b45e3ae87e72e625249f6"/>
              <w:id w:val="1923295166"/>
              <w:lock w:val="sdtLocked"/>
            </w:sdtPr>
            <w:sdtContent>
              <w:tr w:rsidR="00CD0A66" w:rsidTr="00DB008B">
                <w:tc>
                  <w:tcPr>
                    <w:tcW w:w="1700" w:type="pct"/>
                    <w:shd w:val="clear" w:color="auto" w:fill="auto"/>
                  </w:tcPr>
                  <w:p w:rsidR="00CD0A66" w:rsidRDefault="00CD0A66" w:rsidP="00DB008B">
                    <w:r>
                      <w:t>增值税流转</w:t>
                    </w:r>
                  </w:p>
                </w:tc>
                <w:tc>
                  <w:tcPr>
                    <w:tcW w:w="1647" w:type="pct"/>
                    <w:shd w:val="clear" w:color="auto" w:fill="auto"/>
                    <w:vAlign w:val="center"/>
                  </w:tcPr>
                  <w:p w:rsidR="00CD0A66" w:rsidRDefault="00CD0A66" w:rsidP="00DB008B">
                    <w:pPr>
                      <w:jc w:val="right"/>
                    </w:pPr>
                    <w:r>
                      <w:t>1,021,448,134</w:t>
                    </w:r>
                  </w:p>
                </w:tc>
                <w:tc>
                  <w:tcPr>
                    <w:tcW w:w="1653" w:type="pct"/>
                    <w:shd w:val="clear" w:color="auto" w:fill="auto"/>
                  </w:tcPr>
                  <w:p w:rsidR="00CD0A66" w:rsidRDefault="00CD0A66" w:rsidP="00DB008B">
                    <w:pPr>
                      <w:jc w:val="right"/>
                    </w:pPr>
                    <w:r>
                      <w:t>1,657,553,430</w:t>
                    </w:r>
                  </w:p>
                </w:tc>
              </w:tr>
            </w:sdtContent>
          </w:sdt>
          <w:sdt>
            <w:sdtPr>
              <w:rPr>
                <w:rFonts w:hint="eastAsia"/>
              </w:rPr>
              <w:alias w:val="其他应收款按款项性质分类情况明细"/>
              <w:tag w:val="_TUP_57a46f72357b45e3ae87e72e625249f6"/>
              <w:id w:val="-20312841"/>
              <w:lock w:val="sdtLocked"/>
            </w:sdtPr>
            <w:sdtContent>
              <w:tr w:rsidR="00CD0A66" w:rsidTr="00DB008B">
                <w:tc>
                  <w:tcPr>
                    <w:tcW w:w="1700" w:type="pct"/>
                    <w:shd w:val="clear" w:color="auto" w:fill="auto"/>
                  </w:tcPr>
                  <w:p w:rsidR="00CD0A66" w:rsidRDefault="00CD0A66" w:rsidP="00DB008B">
                    <w:r>
                      <w:t>应收三供一业补助资金 (注1)</w:t>
                    </w:r>
                  </w:p>
                </w:tc>
                <w:tc>
                  <w:tcPr>
                    <w:tcW w:w="1647" w:type="pct"/>
                    <w:shd w:val="clear" w:color="auto" w:fill="auto"/>
                    <w:vAlign w:val="center"/>
                  </w:tcPr>
                  <w:p w:rsidR="00CD0A66" w:rsidRDefault="00CD0A66" w:rsidP="00DB008B">
                    <w:pPr>
                      <w:jc w:val="right"/>
                    </w:pPr>
                    <w:r>
                      <w:t>245,414,448</w:t>
                    </w:r>
                  </w:p>
                </w:tc>
                <w:tc>
                  <w:tcPr>
                    <w:tcW w:w="1653" w:type="pct"/>
                    <w:shd w:val="clear" w:color="auto" w:fill="auto"/>
                  </w:tcPr>
                  <w:p w:rsidR="00CD0A66" w:rsidRDefault="00CD0A66" w:rsidP="00DB008B">
                    <w:pPr>
                      <w:jc w:val="right"/>
                    </w:pPr>
                    <w:r>
                      <w:t>1,148,241,033</w:t>
                    </w:r>
                  </w:p>
                </w:tc>
              </w:tr>
            </w:sdtContent>
          </w:sdt>
          <w:sdt>
            <w:sdtPr>
              <w:rPr>
                <w:rFonts w:hint="eastAsia"/>
              </w:rPr>
              <w:alias w:val="其他应收款按款项性质分类情况明细"/>
              <w:tag w:val="_TUP_57a46f72357b45e3ae87e72e625249f6"/>
              <w:id w:val="-1370763646"/>
              <w:lock w:val="sdtLocked"/>
            </w:sdtPr>
            <w:sdtContent>
              <w:tr w:rsidR="00CD0A66" w:rsidTr="00DB008B">
                <w:tc>
                  <w:tcPr>
                    <w:tcW w:w="1700" w:type="pct"/>
                    <w:shd w:val="clear" w:color="auto" w:fill="auto"/>
                  </w:tcPr>
                  <w:p w:rsidR="00CD0A66" w:rsidRDefault="00CD0A66" w:rsidP="00DB008B">
                    <w:r>
                      <w:t>其他</w:t>
                    </w:r>
                  </w:p>
                </w:tc>
                <w:tc>
                  <w:tcPr>
                    <w:tcW w:w="1647" w:type="pct"/>
                    <w:shd w:val="clear" w:color="auto" w:fill="auto"/>
                    <w:vAlign w:val="center"/>
                  </w:tcPr>
                  <w:p w:rsidR="00CD0A66" w:rsidRDefault="00CD0A66" w:rsidP="00DB008B">
                    <w:pPr>
                      <w:jc w:val="right"/>
                    </w:pPr>
                    <w:r>
                      <w:t>486,428,734</w:t>
                    </w:r>
                  </w:p>
                </w:tc>
                <w:tc>
                  <w:tcPr>
                    <w:tcW w:w="1653" w:type="pct"/>
                    <w:shd w:val="clear" w:color="auto" w:fill="auto"/>
                  </w:tcPr>
                  <w:p w:rsidR="00CD0A66" w:rsidRDefault="00CD0A66" w:rsidP="00DB008B">
                    <w:pPr>
                      <w:jc w:val="right"/>
                    </w:pPr>
                    <w:r>
                      <w:t>362,177,730</w:t>
                    </w:r>
                  </w:p>
                </w:tc>
              </w:tr>
            </w:sdtContent>
          </w:sdt>
          <w:sdt>
            <w:sdtPr>
              <w:rPr>
                <w:rFonts w:hint="eastAsia"/>
              </w:rPr>
              <w:alias w:val="其他应收款按款项性质分类情况明细"/>
              <w:tag w:val="_TUP_57a46f72357b45e3ae87e72e625249f6"/>
              <w:id w:val="-1142186419"/>
              <w:lock w:val="sdtLocked"/>
            </w:sdtPr>
            <w:sdtContent>
              <w:tr w:rsidR="00CD0A66" w:rsidTr="00DB008B">
                <w:tc>
                  <w:tcPr>
                    <w:tcW w:w="1700" w:type="pct"/>
                    <w:shd w:val="clear" w:color="auto" w:fill="auto"/>
                  </w:tcPr>
                  <w:p w:rsidR="00CD0A66" w:rsidRDefault="00CD0A66" w:rsidP="00DB008B">
                    <w:r>
                      <w:t>减：坏账准备</w:t>
                    </w:r>
                  </w:p>
                </w:tc>
                <w:tc>
                  <w:tcPr>
                    <w:tcW w:w="1647" w:type="pct"/>
                    <w:shd w:val="clear" w:color="auto" w:fill="auto"/>
                  </w:tcPr>
                  <w:p w:rsidR="00CD0A66" w:rsidRDefault="00CD0A66" w:rsidP="00DB008B">
                    <w:pPr>
                      <w:jc w:val="right"/>
                    </w:pPr>
                    <w:r>
                      <w:t>621,175</w:t>
                    </w:r>
                  </w:p>
                </w:tc>
                <w:tc>
                  <w:tcPr>
                    <w:tcW w:w="1653" w:type="pct"/>
                    <w:shd w:val="clear" w:color="auto" w:fill="auto"/>
                  </w:tcPr>
                  <w:p w:rsidR="00CD0A66" w:rsidRDefault="00CD0A66" w:rsidP="00DB008B">
                    <w:pPr>
                      <w:jc w:val="right"/>
                    </w:pPr>
                    <w:r>
                      <w:t>5,318,506</w:t>
                    </w:r>
                  </w:p>
                </w:tc>
              </w:tr>
            </w:sdtContent>
          </w:sdt>
          <w:tr w:rsidR="00CD0A66" w:rsidTr="00DB008B">
            <w:sdt>
              <w:sdtPr>
                <w:tag w:val="_PLD_caa65b7047104096987b4ba036051976"/>
                <w:id w:val="1082326360"/>
                <w:lock w:val="sdtLocked"/>
              </w:sdtPr>
              <w:sdtContent>
                <w:tc>
                  <w:tcPr>
                    <w:tcW w:w="1700" w:type="pct"/>
                    <w:shd w:val="clear" w:color="auto" w:fill="auto"/>
                  </w:tcPr>
                  <w:p w:rsidR="00CD0A66" w:rsidRDefault="00CD0A66" w:rsidP="00CD0A66">
                    <w:pPr>
                      <w:jc w:val="center"/>
                    </w:pPr>
                    <w:r>
                      <w:t>合计</w:t>
                    </w:r>
                  </w:p>
                </w:tc>
              </w:sdtContent>
            </w:sdt>
            <w:tc>
              <w:tcPr>
                <w:tcW w:w="1647" w:type="pct"/>
                <w:shd w:val="clear" w:color="auto" w:fill="auto"/>
                <w:vAlign w:val="center"/>
              </w:tcPr>
              <w:p w:rsidR="00CD0A66" w:rsidRDefault="00CD0A66" w:rsidP="00CD0A66">
                <w:pPr>
                  <w:jc w:val="right"/>
                </w:pPr>
                <w:r>
                  <w:t>1,752,670,141</w:t>
                </w:r>
              </w:p>
            </w:tc>
            <w:tc>
              <w:tcPr>
                <w:tcW w:w="1653" w:type="pct"/>
                <w:shd w:val="clear" w:color="auto" w:fill="auto"/>
                <w:vAlign w:val="center"/>
              </w:tcPr>
              <w:p w:rsidR="00CD0A66" w:rsidRDefault="00CD0A66" w:rsidP="00CD0A66">
                <w:pPr>
                  <w:jc w:val="right"/>
                </w:pPr>
                <w:r>
                  <w:t>3,162,653,687</w:t>
                </w:r>
              </w:p>
            </w:tc>
          </w:tr>
        </w:tbl>
        <w:p w:rsidR="002252B6" w:rsidRDefault="002252B6" w:rsidP="002252B6">
          <w:pPr>
            <w:overflowPunct w:val="0"/>
            <w:adjustRightInd w:val="0"/>
            <w:snapToGrid w:val="0"/>
            <w:ind w:left="709" w:hanging="709"/>
            <w:rPr>
              <w:rFonts w:cs="Arial"/>
              <w:sz w:val="22"/>
              <w:szCs w:val="22"/>
            </w:rPr>
          </w:pPr>
        </w:p>
        <w:p w:rsidR="002252B6" w:rsidRPr="001F185D" w:rsidRDefault="002252B6" w:rsidP="002252B6">
          <w:pPr>
            <w:overflowPunct w:val="0"/>
            <w:adjustRightInd w:val="0"/>
            <w:snapToGrid w:val="0"/>
            <w:ind w:left="709" w:hanging="709"/>
            <w:rPr>
              <w:rFonts w:cs="Arial"/>
              <w:sz w:val="22"/>
              <w:szCs w:val="22"/>
            </w:rPr>
          </w:pPr>
          <w:r w:rsidRPr="001F185D">
            <w:rPr>
              <w:rFonts w:cs="Arial" w:hint="eastAsia"/>
              <w:sz w:val="22"/>
              <w:szCs w:val="22"/>
            </w:rPr>
            <w:t>注1：</w:t>
          </w:r>
          <w:r w:rsidRPr="001F185D">
            <w:rPr>
              <w:rFonts w:cs="Arial" w:hint="eastAsia"/>
              <w:sz w:val="22"/>
              <w:szCs w:val="22"/>
            </w:rPr>
            <w:tab/>
            <w:t>如附注</w:t>
          </w:r>
          <w:r w:rsidR="008370A9">
            <w:rPr>
              <w:rFonts w:cs="Arial" w:hint="eastAsia"/>
              <w:sz w:val="22"/>
              <w:szCs w:val="22"/>
            </w:rPr>
            <w:t>七</w:t>
          </w:r>
          <w:r w:rsidRPr="001F185D">
            <w:rPr>
              <w:rFonts w:cs="Arial" w:hint="eastAsia"/>
              <w:sz w:val="22"/>
              <w:szCs w:val="22"/>
            </w:rPr>
            <w:t>、</w:t>
          </w:r>
          <w:r w:rsidR="008370A9">
            <w:rPr>
              <w:rFonts w:cs="Arial"/>
              <w:sz w:val="22"/>
              <w:szCs w:val="22"/>
            </w:rPr>
            <w:t>13</w:t>
          </w:r>
          <w:r w:rsidRPr="001F185D">
            <w:rPr>
              <w:rFonts w:cs="Arial" w:hint="eastAsia"/>
              <w:sz w:val="22"/>
              <w:szCs w:val="22"/>
            </w:rPr>
            <w:t>所述，于202</w:t>
          </w:r>
          <w:r w:rsidRPr="001F185D">
            <w:rPr>
              <w:rFonts w:cs="Arial"/>
              <w:sz w:val="22"/>
              <w:szCs w:val="22"/>
            </w:rPr>
            <w:t>2</w:t>
          </w:r>
          <w:r w:rsidRPr="001F185D">
            <w:rPr>
              <w:rFonts w:cs="Arial" w:hint="eastAsia"/>
              <w:sz w:val="22"/>
              <w:szCs w:val="22"/>
            </w:rPr>
            <w:t>年12月31日，本公司应收与“三供一业”分离移交相关的中央财政补助资金人民币</w:t>
          </w:r>
          <w:r w:rsidRPr="001F185D">
            <w:rPr>
              <w:rFonts w:cs="Arial"/>
              <w:sz w:val="22"/>
              <w:szCs w:val="22"/>
            </w:rPr>
            <w:t>245,414,448</w:t>
          </w:r>
          <w:r w:rsidRPr="001F185D">
            <w:rPr>
              <w:rFonts w:cs="Arial" w:hint="eastAsia"/>
              <w:sz w:val="22"/>
              <w:szCs w:val="22"/>
            </w:rPr>
            <w:t>元</w:t>
          </w:r>
          <w:r w:rsidR="00E768BC">
            <w:rPr>
              <w:rFonts w:cs="Arial" w:hint="eastAsia"/>
              <w:sz w:val="22"/>
              <w:szCs w:val="22"/>
            </w:rPr>
            <w:t>（2</w:t>
          </w:r>
          <w:r w:rsidR="00E768BC">
            <w:rPr>
              <w:rFonts w:cs="Arial"/>
              <w:sz w:val="22"/>
              <w:szCs w:val="22"/>
            </w:rPr>
            <w:t>021</w:t>
          </w:r>
          <w:r w:rsidR="00E768BC">
            <w:rPr>
              <w:rFonts w:cs="Arial" w:hint="eastAsia"/>
              <w:sz w:val="22"/>
              <w:szCs w:val="22"/>
            </w:rPr>
            <w:t>年：人民币1,1</w:t>
          </w:r>
          <w:r w:rsidR="00E768BC">
            <w:rPr>
              <w:rFonts w:cs="Arial"/>
              <w:sz w:val="22"/>
              <w:szCs w:val="22"/>
            </w:rPr>
            <w:t>48</w:t>
          </w:r>
          <w:r w:rsidR="00E768BC">
            <w:rPr>
              <w:rFonts w:cs="Arial" w:hint="eastAsia"/>
              <w:sz w:val="22"/>
              <w:szCs w:val="22"/>
            </w:rPr>
            <w:t>,2</w:t>
          </w:r>
          <w:r w:rsidR="00E768BC">
            <w:rPr>
              <w:rFonts w:cs="Arial"/>
              <w:sz w:val="22"/>
              <w:szCs w:val="22"/>
            </w:rPr>
            <w:t>41</w:t>
          </w:r>
          <w:r w:rsidR="00E768BC">
            <w:rPr>
              <w:rFonts w:cs="Arial" w:hint="eastAsia"/>
              <w:sz w:val="22"/>
              <w:szCs w:val="22"/>
            </w:rPr>
            <w:t>,0</w:t>
          </w:r>
          <w:r w:rsidR="00E768BC">
            <w:rPr>
              <w:rFonts w:cs="Arial"/>
              <w:sz w:val="22"/>
              <w:szCs w:val="22"/>
            </w:rPr>
            <w:t>33</w:t>
          </w:r>
          <w:r w:rsidR="00E768BC">
            <w:rPr>
              <w:rFonts w:cs="Arial" w:hint="eastAsia"/>
              <w:sz w:val="22"/>
              <w:szCs w:val="22"/>
            </w:rPr>
            <w:t>元）</w:t>
          </w:r>
          <w:r w:rsidRPr="001F185D">
            <w:rPr>
              <w:rFonts w:cs="Arial" w:hint="eastAsia"/>
              <w:sz w:val="22"/>
              <w:szCs w:val="22"/>
            </w:rPr>
            <w:t>。</w:t>
          </w:r>
        </w:p>
        <w:p w:rsidR="00806678" w:rsidRDefault="00F80B6C"/>
      </w:sdtContent>
    </w:sdt>
    <w:bookmarkStart w:id="174" w:name="_Hlk533867880" w:displacedByCustomXml="next"/>
    <w:sdt>
      <w:sdtPr>
        <w:rPr>
          <w:rFonts w:ascii="宋体" w:eastAsia="宋体" w:hAnsi="宋体" w:cs="宋体" w:hint="eastAsia"/>
          <w:b w:val="0"/>
          <w:bCs w:val="0"/>
          <w:kern w:val="0"/>
          <w:szCs w:val="24"/>
        </w:rPr>
        <w:alias w:val="模块:坏账准备计提情况"/>
        <w:tag w:val="_SEC_cb69c8378cb54035bc6be62addb6389d"/>
        <w:id w:val="-697315209"/>
        <w:lock w:val="sdtLocked"/>
        <w:placeholder>
          <w:docPart w:val="GBC22222222222222222222222222222"/>
        </w:placeholder>
      </w:sdtPr>
      <w:sdtEndPr>
        <w:rPr>
          <w:rFonts w:hint="default"/>
        </w:rPr>
      </w:sdtEndPr>
      <w:sdtContent>
        <w:p w:rsidR="00806678" w:rsidRDefault="00B16377" w:rsidP="00FF17C7">
          <w:pPr>
            <w:pStyle w:val="4"/>
            <w:numPr>
              <w:ilvl w:val="3"/>
              <w:numId w:val="45"/>
            </w:numPr>
            <w:ind w:left="426" w:hanging="426"/>
          </w:pPr>
          <w:r>
            <w:rPr>
              <w:rFonts w:ascii="宋体" w:eastAsia="宋体" w:hAnsi="宋体" w:cs="宋体" w:hint="eastAsia"/>
              <w:bCs w:val="0"/>
              <w:kern w:val="0"/>
              <w:szCs w:val="24"/>
            </w:rPr>
            <w:t>坏账准备计提情况</w:t>
          </w:r>
        </w:p>
        <w:sdt>
          <w:sdtPr>
            <w:rPr>
              <w:szCs w:val="21"/>
            </w:rPr>
            <w:alias w:val="是否适用：其他应收款坏账准备调节表[双击切换]"/>
            <w:tag w:val="_GBC_89d7c1af9f504137a919fea1a314fa80"/>
            <w:id w:val="363024559"/>
            <w:lock w:val="sdtLocked"/>
            <w:placeholder>
              <w:docPart w:val="GBC22222222222222222222222222222"/>
            </w:placeholder>
          </w:sdtPr>
          <w:sdtContent>
            <w:p w:rsidR="00806678" w:rsidRDefault="00F80B6C">
              <w:r>
                <w:rPr>
                  <w:szCs w:val="21"/>
                </w:rPr>
                <w:fldChar w:fldCharType="begin"/>
              </w:r>
              <w:r w:rsidR="00BA3A42">
                <w:rPr>
                  <w:szCs w:val="21"/>
                </w:rPr>
                <w:instrText xml:space="preserve"> MACROBUTTON  SnrToggleCheckbox √适用 </w:instrText>
              </w:r>
              <w:r>
                <w:rPr>
                  <w:szCs w:val="21"/>
                </w:rPr>
                <w:fldChar w:fldCharType="end"/>
              </w:r>
              <w:r>
                <w:rPr>
                  <w:szCs w:val="21"/>
                </w:rPr>
                <w:fldChar w:fldCharType="begin"/>
              </w:r>
              <w:r w:rsidR="00BA3A42">
                <w:rPr>
                  <w:szCs w:val="21"/>
                </w:rPr>
                <w:instrText xml:space="preserve"> MACROBUTTON  SnrToggleCheckbox □不适用 </w:instrText>
              </w:r>
              <w:r>
                <w:rPr>
                  <w:szCs w:val="21"/>
                </w:rPr>
                <w:fldChar w:fldCharType="end"/>
              </w:r>
            </w:p>
          </w:sdtContent>
        </w:sdt>
        <w:p w:rsidR="00806678" w:rsidRDefault="00B16377">
          <w:pPr>
            <w:autoSpaceDE w:val="0"/>
            <w:autoSpaceDN w:val="0"/>
            <w:adjustRightInd w:val="0"/>
            <w:ind w:rightChars="50" w:right="105"/>
            <w:jc w:val="right"/>
            <w:rPr>
              <w:szCs w:val="21"/>
            </w:rPr>
          </w:pPr>
          <w:r>
            <w:rPr>
              <w:rFonts w:hint="eastAsia"/>
              <w:szCs w:val="21"/>
            </w:rPr>
            <w:t>单位：</w:t>
          </w:r>
          <w:sdt>
            <w:sdtPr>
              <w:rPr>
                <w:rFonts w:hint="eastAsia"/>
                <w:szCs w:val="21"/>
              </w:rPr>
              <w:alias w:val="单位：其他应收款坏账准备调节表"/>
              <w:tag w:val="_GBC_1e902dc07fc44240af1ff69475733c28"/>
              <w:id w:val="-199509414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其他应收款坏账准备调节表"/>
              <w:tag w:val="_GBC_5e93354ddb8841df82a0d16f2f5b44ae"/>
              <w:id w:val="-112839074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07"/>
            <w:gridCol w:w="1486"/>
            <w:gridCol w:w="1698"/>
            <w:gridCol w:w="1918"/>
            <w:gridCol w:w="1640"/>
          </w:tblGrid>
          <w:tr w:rsidR="00806678" w:rsidTr="00BA3A42">
            <w:sdt>
              <w:sdtPr>
                <w:tag w:val="_PLD_2f734c3456a843bda898d16924c52045"/>
                <w:id w:val="-869608991"/>
                <w:lock w:val="sdtLocked"/>
              </w:sdtPr>
              <w:sdtContent>
                <w:tc>
                  <w:tcPr>
                    <w:tcW w:w="1275" w:type="pct"/>
                    <w:vMerge w:val="restart"/>
                    <w:vAlign w:val="center"/>
                  </w:tcPr>
                  <w:p w:rsidR="00806678" w:rsidRDefault="00B16377">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坏账准备</w:t>
                    </w:r>
                  </w:p>
                </w:tc>
              </w:sdtContent>
            </w:sdt>
            <w:sdt>
              <w:sdtPr>
                <w:tag w:val="_PLD_cc2d5e47d032466f8f32fd4edec15e33"/>
                <w:id w:val="286330152"/>
                <w:lock w:val="sdtLocked"/>
              </w:sdtPr>
              <w:sdtContent>
                <w:tc>
                  <w:tcPr>
                    <w:tcW w:w="821" w:type="pct"/>
                    <w:vAlign w:val="center"/>
                  </w:tcPr>
                  <w:p w:rsidR="00806678" w:rsidRDefault="00B16377">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第一阶段</w:t>
                    </w:r>
                  </w:p>
                </w:tc>
              </w:sdtContent>
            </w:sdt>
            <w:sdt>
              <w:sdtPr>
                <w:tag w:val="_PLD_f7ffd31ab3534493bb75ab7d04c0c751"/>
                <w:id w:val="248232836"/>
                <w:lock w:val="sdtLocked"/>
              </w:sdtPr>
              <w:sdtContent>
                <w:tc>
                  <w:tcPr>
                    <w:tcW w:w="938" w:type="pct"/>
                    <w:vAlign w:val="center"/>
                  </w:tcPr>
                  <w:p w:rsidR="00806678" w:rsidRDefault="00B16377">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第二阶段</w:t>
                    </w:r>
                  </w:p>
                </w:tc>
              </w:sdtContent>
            </w:sdt>
            <w:sdt>
              <w:sdtPr>
                <w:tag w:val="_PLD_b787de87168848159cb3a46726196c34"/>
                <w:id w:val="220485366"/>
                <w:lock w:val="sdtLocked"/>
              </w:sdtPr>
              <w:sdtContent>
                <w:tc>
                  <w:tcPr>
                    <w:tcW w:w="1060" w:type="pct"/>
                    <w:vAlign w:val="center"/>
                  </w:tcPr>
                  <w:p w:rsidR="00806678" w:rsidRDefault="00B16377">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第三阶段</w:t>
                    </w:r>
                  </w:p>
                </w:tc>
              </w:sdtContent>
            </w:sdt>
            <w:sdt>
              <w:sdtPr>
                <w:tag w:val="_PLD_3b31af1f922741a8874346a86f3e2d25"/>
                <w:id w:val="2026444115"/>
                <w:lock w:val="sdtLocked"/>
              </w:sdtPr>
              <w:sdtContent>
                <w:tc>
                  <w:tcPr>
                    <w:tcW w:w="906" w:type="pct"/>
                    <w:vMerge w:val="restart"/>
                    <w:vAlign w:val="center"/>
                  </w:tcPr>
                  <w:p w:rsidR="00806678" w:rsidRDefault="00B16377">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合计</w:t>
                    </w:r>
                  </w:p>
                </w:tc>
              </w:sdtContent>
            </w:sdt>
          </w:tr>
          <w:tr w:rsidR="00806678" w:rsidTr="00BA3A42">
            <w:tc>
              <w:tcPr>
                <w:tcW w:w="1275" w:type="pct"/>
                <w:vMerge/>
                <w:vAlign w:val="center"/>
              </w:tcPr>
              <w:p w:rsidR="00806678" w:rsidRDefault="00806678">
                <w:pPr>
                  <w:jc w:val="center"/>
                  <w:rPr>
                    <w:color w:val="008000"/>
                    <w:szCs w:val="21"/>
                  </w:rPr>
                </w:pPr>
              </w:p>
            </w:tc>
            <w:sdt>
              <w:sdtPr>
                <w:tag w:val="_PLD_7158bbb0fd6b45478d53b382f0c1a5e9"/>
                <w:id w:val="1854523292"/>
                <w:lock w:val="sdtLocked"/>
              </w:sdtPr>
              <w:sdtContent>
                <w:tc>
                  <w:tcPr>
                    <w:tcW w:w="821" w:type="pct"/>
                    <w:vAlign w:val="center"/>
                  </w:tcPr>
                  <w:p w:rsidR="00806678" w:rsidRDefault="00B16377">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未来12个月预期信用损失</w:t>
                    </w:r>
                  </w:p>
                </w:tc>
              </w:sdtContent>
            </w:sdt>
            <w:sdt>
              <w:sdtPr>
                <w:tag w:val="_PLD_a456fd5785a44d89b944d155197986fc"/>
                <w:id w:val="122813148"/>
                <w:lock w:val="sdtLocked"/>
              </w:sdtPr>
              <w:sdtContent>
                <w:tc>
                  <w:tcPr>
                    <w:tcW w:w="938" w:type="pct"/>
                    <w:vAlign w:val="center"/>
                  </w:tcPr>
                  <w:p w:rsidR="00806678" w:rsidRDefault="00B16377">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整个存续期预期信用损失(未发生信用减值)</w:t>
                    </w:r>
                  </w:p>
                </w:tc>
              </w:sdtContent>
            </w:sdt>
            <w:sdt>
              <w:sdtPr>
                <w:tag w:val="_PLD_fb9265a3aa334f7ab93242b9630540b0"/>
                <w:id w:val="920678089"/>
                <w:lock w:val="sdtLocked"/>
              </w:sdtPr>
              <w:sdtContent>
                <w:tc>
                  <w:tcPr>
                    <w:tcW w:w="1060" w:type="pct"/>
                    <w:vAlign w:val="center"/>
                  </w:tcPr>
                  <w:p w:rsidR="00806678" w:rsidRDefault="00B16377">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整个存续期预期信用损失(已发生信用减值)</w:t>
                    </w:r>
                  </w:p>
                </w:tc>
              </w:sdtContent>
            </w:sdt>
            <w:tc>
              <w:tcPr>
                <w:tcW w:w="906" w:type="pct"/>
                <w:vMerge/>
              </w:tcPr>
              <w:p w:rsidR="00806678" w:rsidRDefault="00806678">
                <w:pPr>
                  <w:jc w:val="center"/>
                  <w:rPr>
                    <w:color w:val="008000"/>
                    <w:szCs w:val="21"/>
                  </w:rPr>
                </w:pPr>
              </w:p>
            </w:tc>
          </w:tr>
          <w:tr w:rsidR="00806678" w:rsidTr="00BA3A42">
            <w:sdt>
              <w:sdtPr>
                <w:tag w:val="_PLD_8cd531a2160845bdb7fe60aabffc13e4"/>
                <w:id w:val="1666972137"/>
                <w:lock w:val="sdtLocked"/>
              </w:sdtPr>
              <w:sdtContent>
                <w:tc>
                  <w:tcPr>
                    <w:tcW w:w="1275" w:type="pct"/>
                    <w:vAlign w:val="center"/>
                  </w:tcPr>
                  <w:p w:rsidR="00806678" w:rsidRDefault="00B16377">
                    <w:pPr>
                      <w:pStyle w:val="TableParagraph"/>
                      <w:spacing w:after="0" w:line="240" w:lineRule="auto"/>
                      <w:jc w:val="both"/>
                      <w:rPr>
                        <w:rFonts w:ascii="宋体" w:eastAsia="宋体" w:hAnsi="宋体" w:cs="宋体"/>
                        <w:sz w:val="21"/>
                        <w:szCs w:val="21"/>
                        <w:lang w:eastAsia="zh-CN"/>
                      </w:rPr>
                    </w:pPr>
                    <w:r>
                      <w:rPr>
                        <w:rFonts w:ascii="宋体" w:eastAsia="宋体" w:hAnsi="宋体" w:cs="宋体"/>
                        <w:sz w:val="21"/>
                        <w:szCs w:val="21"/>
                        <w:lang w:eastAsia="zh-CN"/>
                      </w:rPr>
                      <w:t>2022年</w:t>
                    </w:r>
                    <w:r>
                      <w:rPr>
                        <w:rFonts w:ascii="宋体" w:eastAsia="宋体" w:hAnsi="宋体" w:cs="宋体" w:hint="eastAsia"/>
                        <w:sz w:val="21"/>
                        <w:szCs w:val="21"/>
                        <w:lang w:eastAsia="zh-CN"/>
                      </w:rPr>
                      <w:t>1月1日余额</w:t>
                    </w:r>
                  </w:p>
                </w:tc>
              </w:sdtContent>
            </w:sdt>
            <w:tc>
              <w:tcPr>
                <w:tcW w:w="821" w:type="pct"/>
              </w:tcPr>
              <w:p w:rsidR="00806678" w:rsidRDefault="00F03041">
                <w:pPr>
                  <w:jc w:val="right"/>
                  <w:rPr>
                    <w:szCs w:val="21"/>
                  </w:rPr>
                </w:pPr>
                <w:r>
                  <w:rPr>
                    <w:szCs w:val="21"/>
                  </w:rPr>
                  <w:t>5,092,192</w:t>
                </w:r>
              </w:p>
            </w:tc>
            <w:tc>
              <w:tcPr>
                <w:tcW w:w="938" w:type="pct"/>
              </w:tcPr>
              <w:p w:rsidR="00806678" w:rsidRDefault="00F03041">
                <w:pPr>
                  <w:jc w:val="right"/>
                  <w:rPr>
                    <w:szCs w:val="21"/>
                  </w:rPr>
                </w:pPr>
                <w:r>
                  <w:rPr>
                    <w:szCs w:val="21"/>
                  </w:rPr>
                  <w:t>0</w:t>
                </w:r>
              </w:p>
            </w:tc>
            <w:tc>
              <w:tcPr>
                <w:tcW w:w="1060" w:type="pct"/>
              </w:tcPr>
              <w:p w:rsidR="00806678" w:rsidRDefault="00F03041">
                <w:pPr>
                  <w:jc w:val="right"/>
                  <w:rPr>
                    <w:szCs w:val="21"/>
                  </w:rPr>
                </w:pPr>
                <w:r>
                  <w:rPr>
                    <w:szCs w:val="21"/>
                  </w:rPr>
                  <w:t>226,314</w:t>
                </w:r>
              </w:p>
            </w:tc>
            <w:tc>
              <w:tcPr>
                <w:tcW w:w="906" w:type="pct"/>
              </w:tcPr>
              <w:p w:rsidR="00806678" w:rsidRDefault="00F03041">
                <w:pPr>
                  <w:jc w:val="right"/>
                  <w:rPr>
                    <w:szCs w:val="21"/>
                  </w:rPr>
                </w:pPr>
                <w:r>
                  <w:rPr>
                    <w:szCs w:val="21"/>
                  </w:rPr>
                  <w:t>5,318,506</w:t>
                </w:r>
              </w:p>
            </w:tc>
          </w:tr>
          <w:tr w:rsidR="00806678" w:rsidTr="00BA3A42">
            <w:sdt>
              <w:sdtPr>
                <w:tag w:val="_PLD_7b0d3a23ad1544a18a9869d1d72a93c9"/>
                <w:id w:val="-802995068"/>
                <w:lock w:val="sdtLocked"/>
              </w:sdtPr>
              <w:sdtContent>
                <w:tc>
                  <w:tcPr>
                    <w:tcW w:w="1275" w:type="pct"/>
                    <w:vAlign w:val="center"/>
                  </w:tcPr>
                  <w:p w:rsidR="00806678" w:rsidRDefault="00B16377">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2022年1月1日余额在本期</w:t>
                    </w:r>
                  </w:p>
                </w:tc>
              </w:sdtContent>
            </w:sdt>
            <w:tc>
              <w:tcPr>
                <w:tcW w:w="821" w:type="pct"/>
              </w:tcPr>
              <w:p w:rsidR="00806678" w:rsidRDefault="00806678">
                <w:pPr>
                  <w:jc w:val="right"/>
                  <w:rPr>
                    <w:szCs w:val="21"/>
                  </w:rPr>
                </w:pPr>
              </w:p>
            </w:tc>
            <w:tc>
              <w:tcPr>
                <w:tcW w:w="938" w:type="pct"/>
              </w:tcPr>
              <w:p w:rsidR="00806678" w:rsidRDefault="00806678">
                <w:pPr>
                  <w:jc w:val="right"/>
                  <w:rPr>
                    <w:szCs w:val="21"/>
                  </w:rPr>
                </w:pPr>
              </w:p>
            </w:tc>
            <w:tc>
              <w:tcPr>
                <w:tcW w:w="1060" w:type="pct"/>
              </w:tcPr>
              <w:p w:rsidR="00806678" w:rsidRDefault="00806678">
                <w:pPr>
                  <w:jc w:val="right"/>
                  <w:rPr>
                    <w:szCs w:val="21"/>
                  </w:rPr>
                </w:pPr>
              </w:p>
            </w:tc>
            <w:tc>
              <w:tcPr>
                <w:tcW w:w="906" w:type="pct"/>
              </w:tcPr>
              <w:p w:rsidR="00806678" w:rsidRDefault="00806678">
                <w:pPr>
                  <w:jc w:val="right"/>
                  <w:rPr>
                    <w:szCs w:val="21"/>
                  </w:rPr>
                </w:pPr>
              </w:p>
            </w:tc>
          </w:tr>
          <w:tr w:rsidR="00806678" w:rsidTr="00BA3A42">
            <w:sdt>
              <w:sdtPr>
                <w:tag w:val="_PLD_91b88a7d25c34d119c6142c0bbed7fd5"/>
                <w:id w:val="-708097957"/>
                <w:lock w:val="sdtLocked"/>
              </w:sdtPr>
              <w:sdtContent>
                <w:tc>
                  <w:tcPr>
                    <w:tcW w:w="1275" w:type="pct"/>
                    <w:vAlign w:val="center"/>
                  </w:tcPr>
                  <w:p w:rsidR="00806678" w:rsidRDefault="00B16377">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--转入第二阶段</w:t>
                    </w:r>
                  </w:p>
                </w:tc>
              </w:sdtContent>
            </w:sdt>
            <w:tc>
              <w:tcPr>
                <w:tcW w:w="821" w:type="pct"/>
              </w:tcPr>
              <w:p w:rsidR="00806678" w:rsidRDefault="00806678">
                <w:pPr>
                  <w:jc w:val="right"/>
                  <w:rPr>
                    <w:szCs w:val="21"/>
                  </w:rPr>
                </w:pPr>
              </w:p>
            </w:tc>
            <w:tc>
              <w:tcPr>
                <w:tcW w:w="938" w:type="pct"/>
              </w:tcPr>
              <w:p w:rsidR="00806678" w:rsidRDefault="00806678">
                <w:pPr>
                  <w:jc w:val="right"/>
                  <w:rPr>
                    <w:szCs w:val="21"/>
                  </w:rPr>
                </w:pPr>
              </w:p>
            </w:tc>
            <w:tc>
              <w:tcPr>
                <w:tcW w:w="1060" w:type="pct"/>
              </w:tcPr>
              <w:p w:rsidR="00806678" w:rsidRDefault="00806678">
                <w:pPr>
                  <w:jc w:val="right"/>
                  <w:rPr>
                    <w:szCs w:val="21"/>
                  </w:rPr>
                </w:pPr>
              </w:p>
            </w:tc>
            <w:tc>
              <w:tcPr>
                <w:tcW w:w="906" w:type="pct"/>
              </w:tcPr>
              <w:p w:rsidR="00806678" w:rsidRDefault="00806678">
                <w:pPr>
                  <w:jc w:val="right"/>
                  <w:rPr>
                    <w:szCs w:val="21"/>
                  </w:rPr>
                </w:pPr>
              </w:p>
            </w:tc>
          </w:tr>
          <w:tr w:rsidR="00806678" w:rsidTr="00BA3A42">
            <w:sdt>
              <w:sdtPr>
                <w:tag w:val="_PLD_4a0ac02ca5544c61af90e0b74b6d9772"/>
                <w:id w:val="802890961"/>
                <w:lock w:val="sdtLocked"/>
              </w:sdtPr>
              <w:sdtContent>
                <w:tc>
                  <w:tcPr>
                    <w:tcW w:w="1275" w:type="pct"/>
                    <w:vAlign w:val="center"/>
                  </w:tcPr>
                  <w:p w:rsidR="00806678" w:rsidRDefault="00B16377">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--转入第三阶段</w:t>
                    </w:r>
                  </w:p>
                </w:tc>
              </w:sdtContent>
            </w:sdt>
            <w:tc>
              <w:tcPr>
                <w:tcW w:w="821" w:type="pct"/>
              </w:tcPr>
              <w:p w:rsidR="00806678" w:rsidRDefault="00806678">
                <w:pPr>
                  <w:jc w:val="right"/>
                  <w:rPr>
                    <w:szCs w:val="21"/>
                  </w:rPr>
                </w:pPr>
              </w:p>
            </w:tc>
            <w:tc>
              <w:tcPr>
                <w:tcW w:w="938" w:type="pct"/>
              </w:tcPr>
              <w:p w:rsidR="00806678" w:rsidRDefault="00806678">
                <w:pPr>
                  <w:jc w:val="right"/>
                  <w:rPr>
                    <w:szCs w:val="21"/>
                  </w:rPr>
                </w:pPr>
              </w:p>
            </w:tc>
            <w:tc>
              <w:tcPr>
                <w:tcW w:w="1060" w:type="pct"/>
              </w:tcPr>
              <w:p w:rsidR="00806678" w:rsidRDefault="00806678">
                <w:pPr>
                  <w:jc w:val="right"/>
                  <w:rPr>
                    <w:szCs w:val="21"/>
                  </w:rPr>
                </w:pPr>
              </w:p>
            </w:tc>
            <w:tc>
              <w:tcPr>
                <w:tcW w:w="906" w:type="pct"/>
              </w:tcPr>
              <w:p w:rsidR="00806678" w:rsidRDefault="00806678">
                <w:pPr>
                  <w:jc w:val="right"/>
                  <w:rPr>
                    <w:szCs w:val="21"/>
                  </w:rPr>
                </w:pPr>
              </w:p>
            </w:tc>
          </w:tr>
          <w:tr w:rsidR="00806678" w:rsidTr="00BA3A42">
            <w:sdt>
              <w:sdtPr>
                <w:tag w:val="_PLD_62efa972943f414d8c2725b439187276"/>
                <w:id w:val="-1213422728"/>
                <w:lock w:val="sdtLocked"/>
              </w:sdtPr>
              <w:sdtContent>
                <w:tc>
                  <w:tcPr>
                    <w:tcW w:w="1275" w:type="pct"/>
                    <w:vAlign w:val="center"/>
                  </w:tcPr>
                  <w:p w:rsidR="00806678" w:rsidRDefault="00B16377">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--转回第二阶段</w:t>
                    </w:r>
                  </w:p>
                </w:tc>
              </w:sdtContent>
            </w:sdt>
            <w:tc>
              <w:tcPr>
                <w:tcW w:w="821" w:type="pct"/>
              </w:tcPr>
              <w:p w:rsidR="00806678" w:rsidRDefault="00806678">
                <w:pPr>
                  <w:jc w:val="right"/>
                  <w:rPr>
                    <w:szCs w:val="21"/>
                  </w:rPr>
                </w:pPr>
              </w:p>
            </w:tc>
            <w:tc>
              <w:tcPr>
                <w:tcW w:w="938" w:type="pct"/>
              </w:tcPr>
              <w:p w:rsidR="00806678" w:rsidRDefault="00806678">
                <w:pPr>
                  <w:jc w:val="right"/>
                  <w:rPr>
                    <w:szCs w:val="21"/>
                  </w:rPr>
                </w:pPr>
              </w:p>
            </w:tc>
            <w:tc>
              <w:tcPr>
                <w:tcW w:w="1060" w:type="pct"/>
              </w:tcPr>
              <w:p w:rsidR="00806678" w:rsidRDefault="00806678">
                <w:pPr>
                  <w:jc w:val="right"/>
                  <w:rPr>
                    <w:szCs w:val="21"/>
                  </w:rPr>
                </w:pPr>
              </w:p>
            </w:tc>
            <w:tc>
              <w:tcPr>
                <w:tcW w:w="906" w:type="pct"/>
              </w:tcPr>
              <w:p w:rsidR="00806678" w:rsidRDefault="00806678">
                <w:pPr>
                  <w:jc w:val="right"/>
                  <w:rPr>
                    <w:szCs w:val="21"/>
                  </w:rPr>
                </w:pPr>
              </w:p>
            </w:tc>
          </w:tr>
          <w:tr w:rsidR="00806678" w:rsidTr="00BA3A42">
            <w:sdt>
              <w:sdtPr>
                <w:tag w:val="_PLD_f0038f03e6744de690d37930402c226c"/>
                <w:id w:val="-1648809834"/>
                <w:lock w:val="sdtLocked"/>
              </w:sdtPr>
              <w:sdtContent>
                <w:tc>
                  <w:tcPr>
                    <w:tcW w:w="1275" w:type="pct"/>
                    <w:vAlign w:val="center"/>
                  </w:tcPr>
                  <w:p w:rsidR="00806678" w:rsidRDefault="00B16377">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--转回第一阶段</w:t>
                    </w:r>
                  </w:p>
                </w:tc>
              </w:sdtContent>
            </w:sdt>
            <w:tc>
              <w:tcPr>
                <w:tcW w:w="821" w:type="pct"/>
              </w:tcPr>
              <w:p w:rsidR="00806678" w:rsidRDefault="00806678">
                <w:pPr>
                  <w:jc w:val="right"/>
                  <w:rPr>
                    <w:szCs w:val="21"/>
                  </w:rPr>
                </w:pPr>
              </w:p>
            </w:tc>
            <w:tc>
              <w:tcPr>
                <w:tcW w:w="938" w:type="pct"/>
              </w:tcPr>
              <w:p w:rsidR="00806678" w:rsidRDefault="00806678">
                <w:pPr>
                  <w:jc w:val="right"/>
                  <w:rPr>
                    <w:szCs w:val="21"/>
                  </w:rPr>
                </w:pPr>
              </w:p>
            </w:tc>
            <w:tc>
              <w:tcPr>
                <w:tcW w:w="1060" w:type="pct"/>
              </w:tcPr>
              <w:p w:rsidR="00806678" w:rsidRDefault="00806678">
                <w:pPr>
                  <w:jc w:val="right"/>
                  <w:rPr>
                    <w:szCs w:val="21"/>
                  </w:rPr>
                </w:pPr>
              </w:p>
            </w:tc>
            <w:tc>
              <w:tcPr>
                <w:tcW w:w="906" w:type="pct"/>
              </w:tcPr>
              <w:p w:rsidR="00806678" w:rsidRDefault="00806678">
                <w:pPr>
                  <w:jc w:val="right"/>
                  <w:rPr>
                    <w:szCs w:val="21"/>
                  </w:rPr>
                </w:pPr>
              </w:p>
            </w:tc>
          </w:tr>
          <w:tr w:rsidR="00F03041" w:rsidTr="00BA3A42">
            <w:sdt>
              <w:sdtPr>
                <w:tag w:val="_PLD_7e61e1cc37624ad4a01baf228fb5e144"/>
                <w:id w:val="-1541730639"/>
                <w:lock w:val="sdtLocked"/>
              </w:sdtPr>
              <w:sdtContent>
                <w:tc>
                  <w:tcPr>
                    <w:tcW w:w="1275" w:type="pct"/>
                    <w:vAlign w:val="center"/>
                  </w:tcPr>
                  <w:p w:rsidR="00F03041" w:rsidRDefault="00F03041" w:rsidP="00F03041">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本期计提</w:t>
                    </w:r>
                  </w:p>
                </w:tc>
              </w:sdtContent>
            </w:sdt>
            <w:tc>
              <w:tcPr>
                <w:tcW w:w="821" w:type="pct"/>
              </w:tcPr>
              <w:p w:rsidR="00F03041" w:rsidRDefault="00F03041" w:rsidP="00F03041">
                <w:pPr>
                  <w:jc w:val="right"/>
                  <w:rPr>
                    <w:szCs w:val="21"/>
                  </w:rPr>
                </w:pPr>
                <w:r>
                  <w:rPr>
                    <w:szCs w:val="21"/>
                  </w:rPr>
                  <w:t>7,566</w:t>
                </w:r>
              </w:p>
            </w:tc>
            <w:tc>
              <w:tcPr>
                <w:tcW w:w="938" w:type="pct"/>
              </w:tcPr>
              <w:p w:rsidR="00F03041" w:rsidRDefault="00F03041" w:rsidP="00F03041">
                <w:pPr>
                  <w:jc w:val="right"/>
                  <w:rPr>
                    <w:szCs w:val="21"/>
                  </w:rPr>
                </w:pPr>
              </w:p>
            </w:tc>
            <w:tc>
              <w:tcPr>
                <w:tcW w:w="1060" w:type="pct"/>
              </w:tcPr>
              <w:p w:rsidR="00F03041" w:rsidRDefault="00F03041" w:rsidP="00F03041">
                <w:pPr>
                  <w:jc w:val="right"/>
                  <w:rPr>
                    <w:szCs w:val="21"/>
                  </w:rPr>
                </w:pPr>
              </w:p>
            </w:tc>
            <w:tc>
              <w:tcPr>
                <w:tcW w:w="906" w:type="pct"/>
                <w:vAlign w:val="center"/>
              </w:tcPr>
              <w:p w:rsidR="00F03041" w:rsidRDefault="00F03041" w:rsidP="00F03041">
                <w:pPr>
                  <w:jc w:val="right"/>
                  <w:rPr>
                    <w:szCs w:val="21"/>
                  </w:rPr>
                </w:pPr>
                <w:r>
                  <w:t>7,566</w:t>
                </w:r>
              </w:p>
            </w:tc>
          </w:tr>
          <w:tr w:rsidR="00F03041" w:rsidTr="00BA3A42">
            <w:tc>
              <w:tcPr>
                <w:tcW w:w="1275" w:type="pct"/>
                <w:vAlign w:val="center"/>
              </w:tcPr>
              <w:sdt>
                <w:sdtPr>
                  <w:rPr>
                    <w:rFonts w:asciiTheme="minorEastAsia" w:eastAsiaTheme="minorEastAsia" w:hAnsiTheme="minorEastAsia" w:hint="eastAsia"/>
                    <w:sz w:val="21"/>
                    <w:szCs w:val="21"/>
                    <w:lang w:eastAsia="zh-CN"/>
                  </w:rPr>
                  <w:tag w:val="_PLD_6b80e34bd4ec459eb98282e241521353"/>
                  <w:id w:val="-1334992565"/>
                  <w:lock w:val="sdtLocked"/>
                </w:sdtPr>
                <w:sdtContent>
                  <w:p w:rsidR="00F03041" w:rsidRDefault="00F03041" w:rsidP="00F03041">
                    <w:pPr>
                      <w:pStyle w:val="TableParagraph"/>
                      <w:spacing w:after="0" w:line="240" w:lineRule="auto"/>
                      <w:jc w:val="both"/>
                      <w:rPr>
                        <w:rFonts w:asciiTheme="minorEastAsia" w:eastAsiaTheme="minorEastAsia" w:hAnsiTheme="minorEastAsia"/>
                        <w:sz w:val="21"/>
                        <w:szCs w:val="21"/>
                      </w:rPr>
                    </w:pPr>
                    <w:r>
                      <w:rPr>
                        <w:rFonts w:asciiTheme="minorEastAsia" w:eastAsiaTheme="minorEastAsia" w:hAnsiTheme="minorEastAsia" w:hint="eastAsia"/>
                        <w:sz w:val="21"/>
                        <w:szCs w:val="21"/>
                        <w:lang w:eastAsia="zh-CN"/>
                      </w:rPr>
                      <w:t>本期转回</w:t>
                    </w:r>
                  </w:p>
                </w:sdtContent>
              </w:sdt>
            </w:tc>
            <w:tc>
              <w:tcPr>
                <w:tcW w:w="821" w:type="pct"/>
              </w:tcPr>
              <w:p w:rsidR="00F03041" w:rsidRDefault="00F03041" w:rsidP="00F03041">
                <w:pPr>
                  <w:jc w:val="right"/>
                  <w:rPr>
                    <w:szCs w:val="21"/>
                  </w:rPr>
                </w:pPr>
                <w:r>
                  <w:rPr>
                    <w:szCs w:val="21"/>
                  </w:rPr>
                  <w:t>-</w:t>
                </w:r>
                <w:r w:rsidRPr="00F03041">
                  <w:rPr>
                    <w:szCs w:val="21"/>
                  </w:rPr>
                  <w:t>4,704,897</w:t>
                </w:r>
              </w:p>
            </w:tc>
            <w:tc>
              <w:tcPr>
                <w:tcW w:w="938" w:type="pct"/>
              </w:tcPr>
              <w:p w:rsidR="00F03041" w:rsidRDefault="00F03041" w:rsidP="00F03041">
                <w:pPr>
                  <w:jc w:val="right"/>
                  <w:rPr>
                    <w:szCs w:val="21"/>
                  </w:rPr>
                </w:pPr>
              </w:p>
            </w:tc>
            <w:tc>
              <w:tcPr>
                <w:tcW w:w="1060" w:type="pct"/>
              </w:tcPr>
              <w:p w:rsidR="00F03041" w:rsidRDefault="00F03041" w:rsidP="00F03041">
                <w:pPr>
                  <w:jc w:val="right"/>
                  <w:rPr>
                    <w:szCs w:val="21"/>
                  </w:rPr>
                </w:pPr>
              </w:p>
            </w:tc>
            <w:tc>
              <w:tcPr>
                <w:tcW w:w="906" w:type="pct"/>
                <w:vAlign w:val="center"/>
              </w:tcPr>
              <w:p w:rsidR="00F03041" w:rsidRDefault="00F03041" w:rsidP="00F03041">
                <w:pPr>
                  <w:jc w:val="right"/>
                  <w:rPr>
                    <w:szCs w:val="21"/>
                  </w:rPr>
                </w:pPr>
                <w:r>
                  <w:t>-4,704,897</w:t>
                </w:r>
              </w:p>
            </w:tc>
          </w:tr>
          <w:tr w:rsidR="00F03041" w:rsidTr="00BA3A42">
            <w:sdt>
              <w:sdtPr>
                <w:tag w:val="_PLD_a512e024183e41b89e975a5495c29146"/>
                <w:id w:val="-309792455"/>
                <w:lock w:val="sdtLocked"/>
              </w:sdtPr>
              <w:sdtContent>
                <w:tc>
                  <w:tcPr>
                    <w:tcW w:w="1275" w:type="pct"/>
                    <w:vAlign w:val="center"/>
                  </w:tcPr>
                  <w:p w:rsidR="00F03041" w:rsidRDefault="00F03041" w:rsidP="00F03041">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本期转销</w:t>
                    </w:r>
                  </w:p>
                </w:tc>
              </w:sdtContent>
            </w:sdt>
            <w:tc>
              <w:tcPr>
                <w:tcW w:w="821" w:type="pct"/>
              </w:tcPr>
              <w:p w:rsidR="00F03041" w:rsidRDefault="00F03041" w:rsidP="00F03041">
                <w:pPr>
                  <w:jc w:val="right"/>
                  <w:rPr>
                    <w:szCs w:val="21"/>
                  </w:rPr>
                </w:pPr>
              </w:p>
            </w:tc>
            <w:tc>
              <w:tcPr>
                <w:tcW w:w="938" w:type="pct"/>
              </w:tcPr>
              <w:p w:rsidR="00F03041" w:rsidRDefault="00F03041" w:rsidP="00F03041">
                <w:pPr>
                  <w:jc w:val="right"/>
                  <w:rPr>
                    <w:szCs w:val="21"/>
                  </w:rPr>
                </w:pPr>
              </w:p>
            </w:tc>
            <w:tc>
              <w:tcPr>
                <w:tcW w:w="1060" w:type="pct"/>
              </w:tcPr>
              <w:p w:rsidR="00F03041" w:rsidRDefault="00F03041" w:rsidP="00F03041">
                <w:pPr>
                  <w:jc w:val="right"/>
                  <w:rPr>
                    <w:szCs w:val="21"/>
                  </w:rPr>
                </w:pPr>
              </w:p>
            </w:tc>
            <w:tc>
              <w:tcPr>
                <w:tcW w:w="906" w:type="pct"/>
              </w:tcPr>
              <w:p w:rsidR="00F03041" w:rsidRDefault="00F03041" w:rsidP="00F03041">
                <w:pPr>
                  <w:jc w:val="right"/>
                  <w:rPr>
                    <w:szCs w:val="21"/>
                  </w:rPr>
                </w:pPr>
              </w:p>
            </w:tc>
          </w:tr>
          <w:tr w:rsidR="00F03041" w:rsidTr="00BA3A42">
            <w:tc>
              <w:tcPr>
                <w:tcW w:w="1275" w:type="pct"/>
                <w:vAlign w:val="center"/>
              </w:tcPr>
              <w:sdt>
                <w:sdtPr>
                  <w:rPr>
                    <w:rFonts w:asciiTheme="minorEastAsia" w:eastAsiaTheme="minorEastAsia" w:hAnsiTheme="minorEastAsia" w:hint="eastAsia"/>
                    <w:sz w:val="21"/>
                    <w:szCs w:val="21"/>
                    <w:lang w:eastAsia="zh-CN"/>
                  </w:rPr>
                  <w:tag w:val="_PLD_6a963864c33f4d739f3df592fe49d94d"/>
                  <w:id w:val="-817263163"/>
                  <w:lock w:val="sdtLocked"/>
                </w:sdtPr>
                <w:sdtContent>
                  <w:p w:rsidR="00F03041" w:rsidRDefault="00F03041" w:rsidP="00F03041">
                    <w:pPr>
                      <w:pStyle w:val="TableParagraph"/>
                      <w:spacing w:after="0" w:line="240" w:lineRule="auto"/>
                      <w:jc w:val="both"/>
                      <w:rPr>
                        <w:rFonts w:asciiTheme="minorEastAsia" w:eastAsiaTheme="minorEastAsia" w:hAnsiTheme="minorEastAsia"/>
                        <w:sz w:val="21"/>
                        <w:szCs w:val="21"/>
                      </w:rPr>
                    </w:pPr>
                    <w:r>
                      <w:rPr>
                        <w:rFonts w:asciiTheme="minorEastAsia" w:eastAsiaTheme="minorEastAsia" w:hAnsiTheme="minorEastAsia" w:hint="eastAsia"/>
                        <w:sz w:val="21"/>
                        <w:szCs w:val="21"/>
                        <w:lang w:eastAsia="zh-CN"/>
                      </w:rPr>
                      <w:t>本期核销</w:t>
                    </w:r>
                  </w:p>
                </w:sdtContent>
              </w:sdt>
            </w:tc>
            <w:tc>
              <w:tcPr>
                <w:tcW w:w="821" w:type="pct"/>
              </w:tcPr>
              <w:p w:rsidR="00F03041" w:rsidRDefault="00F03041" w:rsidP="00F03041">
                <w:pPr>
                  <w:jc w:val="right"/>
                  <w:rPr>
                    <w:szCs w:val="21"/>
                  </w:rPr>
                </w:pPr>
              </w:p>
            </w:tc>
            <w:tc>
              <w:tcPr>
                <w:tcW w:w="938" w:type="pct"/>
              </w:tcPr>
              <w:p w:rsidR="00F03041" w:rsidRDefault="00F03041" w:rsidP="00F03041">
                <w:pPr>
                  <w:jc w:val="right"/>
                  <w:rPr>
                    <w:szCs w:val="21"/>
                  </w:rPr>
                </w:pPr>
              </w:p>
            </w:tc>
            <w:tc>
              <w:tcPr>
                <w:tcW w:w="1060" w:type="pct"/>
              </w:tcPr>
              <w:p w:rsidR="00F03041" w:rsidRDefault="00F03041" w:rsidP="00F03041">
                <w:pPr>
                  <w:jc w:val="right"/>
                  <w:rPr>
                    <w:szCs w:val="21"/>
                  </w:rPr>
                </w:pPr>
              </w:p>
            </w:tc>
            <w:tc>
              <w:tcPr>
                <w:tcW w:w="906" w:type="pct"/>
              </w:tcPr>
              <w:p w:rsidR="00F03041" w:rsidRDefault="00F03041" w:rsidP="00F03041">
                <w:pPr>
                  <w:jc w:val="right"/>
                  <w:rPr>
                    <w:szCs w:val="21"/>
                  </w:rPr>
                </w:pPr>
              </w:p>
            </w:tc>
          </w:tr>
          <w:tr w:rsidR="00F03041" w:rsidTr="00BA3A42">
            <w:sdt>
              <w:sdtPr>
                <w:tag w:val="_PLD_865c7fe8f91f451bb10f09ac268aab0b"/>
                <w:id w:val="2127030682"/>
                <w:lock w:val="sdtLocked"/>
              </w:sdtPr>
              <w:sdtContent>
                <w:tc>
                  <w:tcPr>
                    <w:tcW w:w="1275" w:type="pct"/>
                    <w:vAlign w:val="center"/>
                  </w:tcPr>
                  <w:p w:rsidR="00F03041" w:rsidRDefault="00F03041" w:rsidP="00F03041">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其他变动</w:t>
                    </w:r>
                  </w:p>
                </w:tc>
              </w:sdtContent>
            </w:sdt>
            <w:tc>
              <w:tcPr>
                <w:tcW w:w="821" w:type="pct"/>
              </w:tcPr>
              <w:p w:rsidR="00F03041" w:rsidRDefault="00F03041" w:rsidP="00F03041">
                <w:pPr>
                  <w:jc w:val="right"/>
                  <w:rPr>
                    <w:szCs w:val="21"/>
                  </w:rPr>
                </w:pPr>
              </w:p>
            </w:tc>
            <w:tc>
              <w:tcPr>
                <w:tcW w:w="938" w:type="pct"/>
              </w:tcPr>
              <w:p w:rsidR="00F03041" w:rsidRDefault="00F03041" w:rsidP="00F03041">
                <w:pPr>
                  <w:jc w:val="right"/>
                  <w:rPr>
                    <w:szCs w:val="21"/>
                  </w:rPr>
                </w:pPr>
              </w:p>
            </w:tc>
            <w:tc>
              <w:tcPr>
                <w:tcW w:w="1060" w:type="pct"/>
              </w:tcPr>
              <w:p w:rsidR="00F03041" w:rsidRDefault="00F03041" w:rsidP="00F03041">
                <w:pPr>
                  <w:jc w:val="right"/>
                  <w:rPr>
                    <w:szCs w:val="21"/>
                  </w:rPr>
                </w:pPr>
              </w:p>
            </w:tc>
            <w:tc>
              <w:tcPr>
                <w:tcW w:w="906" w:type="pct"/>
              </w:tcPr>
              <w:p w:rsidR="00F03041" w:rsidRDefault="00F03041" w:rsidP="00F03041">
                <w:pPr>
                  <w:jc w:val="right"/>
                  <w:rPr>
                    <w:szCs w:val="21"/>
                  </w:rPr>
                </w:pPr>
              </w:p>
            </w:tc>
          </w:tr>
          <w:tr w:rsidR="00F03041" w:rsidTr="00BA3A42">
            <w:sdt>
              <w:sdtPr>
                <w:tag w:val="_PLD_84db8ea6bcbe40539b73b34fcc95a640"/>
                <w:id w:val="310836712"/>
                <w:lock w:val="sdtLocked"/>
              </w:sdtPr>
              <w:sdtContent>
                <w:tc>
                  <w:tcPr>
                    <w:tcW w:w="1275" w:type="pct"/>
                    <w:vAlign w:val="center"/>
                  </w:tcPr>
                  <w:p w:rsidR="00F03041" w:rsidRDefault="00F03041" w:rsidP="00F03041">
                    <w:pPr>
                      <w:pStyle w:val="TableParagraph"/>
                      <w:spacing w:after="0" w:line="240" w:lineRule="auto"/>
                      <w:rPr>
                        <w:rFonts w:ascii="宋体" w:eastAsia="宋体" w:hAnsi="宋体" w:cs="宋体"/>
                        <w:sz w:val="21"/>
                        <w:szCs w:val="21"/>
                        <w:lang w:eastAsia="zh-CN"/>
                      </w:rPr>
                    </w:pPr>
                    <w:r>
                      <w:rPr>
                        <w:rFonts w:ascii="宋体" w:eastAsia="宋体" w:hAnsi="宋体" w:cs="宋体"/>
                        <w:sz w:val="21"/>
                        <w:szCs w:val="21"/>
                        <w:lang w:eastAsia="zh-CN"/>
                      </w:rPr>
                      <w:t>2022年12月31日</w:t>
                    </w:r>
                    <w:r>
                      <w:rPr>
                        <w:rFonts w:ascii="宋体" w:eastAsia="宋体" w:hAnsi="宋体" w:cs="宋体" w:hint="eastAsia"/>
                        <w:sz w:val="21"/>
                        <w:szCs w:val="21"/>
                        <w:lang w:eastAsia="zh-CN"/>
                      </w:rPr>
                      <w:t>余额</w:t>
                    </w:r>
                  </w:p>
                </w:tc>
              </w:sdtContent>
            </w:sdt>
            <w:tc>
              <w:tcPr>
                <w:tcW w:w="821" w:type="pct"/>
              </w:tcPr>
              <w:p w:rsidR="00F03041" w:rsidRDefault="00F03041" w:rsidP="00F03041">
                <w:pPr>
                  <w:jc w:val="right"/>
                  <w:rPr>
                    <w:szCs w:val="21"/>
                  </w:rPr>
                </w:pPr>
                <w:r>
                  <w:rPr>
                    <w:szCs w:val="21"/>
                  </w:rPr>
                  <w:t>394,861</w:t>
                </w:r>
              </w:p>
            </w:tc>
            <w:tc>
              <w:tcPr>
                <w:tcW w:w="938" w:type="pct"/>
              </w:tcPr>
              <w:p w:rsidR="00F03041" w:rsidRDefault="00492C01" w:rsidP="00F03041">
                <w:pPr>
                  <w:jc w:val="right"/>
                  <w:rPr>
                    <w:szCs w:val="21"/>
                  </w:rPr>
                </w:pPr>
                <w:r>
                  <w:rPr>
                    <w:szCs w:val="21"/>
                  </w:rPr>
                  <w:t>0</w:t>
                </w:r>
              </w:p>
            </w:tc>
            <w:tc>
              <w:tcPr>
                <w:tcW w:w="1060" w:type="pct"/>
              </w:tcPr>
              <w:p w:rsidR="00F03041" w:rsidRDefault="00F03041" w:rsidP="00F03041">
                <w:pPr>
                  <w:jc w:val="right"/>
                  <w:rPr>
                    <w:szCs w:val="21"/>
                  </w:rPr>
                </w:pPr>
                <w:r>
                  <w:rPr>
                    <w:szCs w:val="21"/>
                  </w:rPr>
                  <w:t>226,314</w:t>
                </w:r>
              </w:p>
            </w:tc>
            <w:tc>
              <w:tcPr>
                <w:tcW w:w="906" w:type="pct"/>
                <w:vAlign w:val="center"/>
              </w:tcPr>
              <w:p w:rsidR="00F03041" w:rsidRDefault="00F03041" w:rsidP="00F03041">
                <w:pPr>
                  <w:tabs>
                    <w:tab w:val="left" w:pos="1277"/>
                  </w:tabs>
                  <w:jc w:val="right"/>
                  <w:rPr>
                    <w:szCs w:val="21"/>
                  </w:rPr>
                </w:pPr>
                <w:r>
                  <w:rPr>
                    <w:szCs w:val="21"/>
                  </w:rPr>
                  <w:t>621,175</w:t>
                </w:r>
              </w:p>
            </w:tc>
          </w:tr>
        </w:tbl>
        <w:p w:rsidR="00806678" w:rsidRDefault="00806678"/>
        <w:p w:rsidR="00806678" w:rsidRDefault="00B16377">
          <w:pPr>
            <w:pStyle w:val="af7"/>
          </w:pPr>
          <w:r>
            <w:rPr>
              <w:rFonts w:hint="eastAsia"/>
            </w:rPr>
            <w:t>对本期发生损失准备变动的其他应收款账面余额显著变动的情况说明：</w:t>
          </w:r>
        </w:p>
        <w:sdt>
          <w:sdtPr>
            <w:alias w:val="是否适用：其他应收款本期发生损失准备变动且账面余额显著变动的情况说明[双击切换]"/>
            <w:tag w:val="_GBC_58fcdf70fc84477da132c3f4817c5321"/>
            <w:id w:val="321093743"/>
            <w:lock w:val="sdtLocked"/>
            <w:placeholder>
              <w:docPart w:val="GBC22222222222222222222222222222"/>
            </w:placeholder>
          </w:sdtPr>
          <w:sdtContent>
            <w:p w:rsidR="00806678" w:rsidRDefault="00F80B6C" w:rsidP="0013024B">
              <w:r>
                <w:fldChar w:fldCharType="begin"/>
              </w:r>
              <w:r w:rsidR="0013024B">
                <w:instrText xml:space="preserve"> MACROBUTTON  SnrToggleCheckbox □适用 </w:instrText>
              </w:r>
              <w:r>
                <w:fldChar w:fldCharType="end"/>
              </w:r>
              <w:r>
                <w:fldChar w:fldCharType="begin"/>
              </w:r>
              <w:r w:rsidR="0013024B">
                <w:instrText xml:space="preserve"> MACROBUTTON  SnrToggleCheckbox √不适用 </w:instrText>
              </w:r>
              <w:r>
                <w:fldChar w:fldCharType="end"/>
              </w:r>
            </w:p>
          </w:sdtContent>
        </w:sdt>
        <w:p w:rsidR="00806678" w:rsidRDefault="00F80B6C"/>
      </w:sdtContent>
    </w:sdt>
    <w:bookmarkEnd w:id="174" w:displacedByCustomXml="next"/>
    <w:bookmarkStart w:id="175" w:name="_Hlk534806817" w:displacedByCustomXml="next"/>
    <w:sdt>
      <w:sdtPr>
        <w:alias w:val="模块:本期坏账准备计提金额以及评估金融工具的信用风险是否显著增加的采用依据"/>
        <w:tag w:val="_SEC_45844149369c46558d6ab8922854ba5c"/>
        <w:id w:val="-635874185"/>
        <w:lock w:val="sdtLocked"/>
        <w:placeholder>
          <w:docPart w:val="GBC22222222222222222222222222222"/>
        </w:placeholder>
      </w:sdtPr>
      <w:sdtContent>
        <w:p w:rsidR="00806678" w:rsidRDefault="00B16377">
          <w:r>
            <w:rPr>
              <w:rFonts w:hint="eastAsia"/>
            </w:rPr>
            <w:t>本期坏账准备计提金额以及评估金融工具的信用风险是否显著增加的采用依据：</w:t>
          </w:r>
        </w:p>
        <w:sdt>
          <w:sdtPr>
            <w:alias w:val="是否适用：其他应收款本期坏账准备计提金额以及评估金融工具的信用风险显著增加的采用依据[双击切换]"/>
            <w:tag w:val="_GBC_443438be92c7443db5842cb1e5d811cd"/>
            <w:id w:val="989834487"/>
            <w:lock w:val="sdtLocked"/>
            <w:placeholder>
              <w:docPart w:val="GBC22222222222222222222222222222"/>
            </w:placeholder>
          </w:sdtPr>
          <w:sdtContent>
            <w:p w:rsidR="00806678" w:rsidRDefault="00F80B6C" w:rsidP="00612A49">
              <w:r>
                <w:fldChar w:fldCharType="begin"/>
              </w:r>
              <w:r w:rsidR="00612A49">
                <w:instrText xml:space="preserve"> MACROBUTTON  SnrToggleCheckbox □适用 </w:instrText>
              </w:r>
              <w:r>
                <w:fldChar w:fldCharType="end"/>
              </w:r>
              <w:r>
                <w:fldChar w:fldCharType="begin"/>
              </w:r>
              <w:r w:rsidR="00612A49">
                <w:instrText xml:space="preserve"> MACROBUTTON  SnrToggleCheckbox √不适用 </w:instrText>
              </w:r>
              <w:r>
                <w:fldChar w:fldCharType="end"/>
              </w:r>
            </w:p>
          </w:sdtContent>
        </w:sdt>
        <w:p w:rsidR="00806678" w:rsidRDefault="00F80B6C"/>
      </w:sdtContent>
    </w:sdt>
    <w:bookmarkEnd w:id="175" w:displacedByCustomXml="prev"/>
    <w:bookmarkStart w:id="176" w:name="_Hlk532831394" w:displacedByCustomXml="next"/>
    <w:sdt>
      <w:sdtPr>
        <w:rPr>
          <w:rFonts w:ascii="宋体" w:eastAsia="宋体" w:hAnsi="宋体" w:cs="宋体" w:hint="eastAsia"/>
          <w:b w:val="0"/>
          <w:bCs w:val="0"/>
          <w:kern w:val="0"/>
          <w:szCs w:val="24"/>
        </w:rPr>
        <w:alias w:val="模块:其他应收款坏账准备的情况"/>
        <w:tag w:val="_SEC_a0703d114f284b949a0f05190dd2265b"/>
        <w:id w:val="-1484309638"/>
        <w:lock w:val="sdtLocked"/>
        <w:placeholder>
          <w:docPart w:val="GBC22222222222222222222222222222"/>
        </w:placeholder>
      </w:sdtPr>
      <w:sdtEndPr>
        <w:rPr>
          <w:rFonts w:hint="default"/>
        </w:rPr>
      </w:sdtEndPr>
      <w:sdtContent>
        <w:p w:rsidR="00806678" w:rsidRDefault="00B16377" w:rsidP="00FF17C7">
          <w:pPr>
            <w:pStyle w:val="4"/>
            <w:numPr>
              <w:ilvl w:val="3"/>
              <w:numId w:val="45"/>
            </w:numPr>
            <w:ind w:left="426" w:hanging="426"/>
          </w:pPr>
          <w:r>
            <w:rPr>
              <w:rFonts w:hint="eastAsia"/>
            </w:rPr>
            <w:t>坏账准备的情况</w:t>
          </w:r>
        </w:p>
        <w:sdt>
          <w:sdtPr>
            <w:alias w:val="是否适用：其他应收款坏账准备[双击切换]"/>
            <w:tag w:val="_GBC_524ff4c8c6e549ef8e2bf00ca72ddbb6"/>
            <w:id w:val="-1947608601"/>
            <w:lock w:val="sdtLocked"/>
            <w:placeholder>
              <w:docPart w:val="GBC22222222222222222222222222222"/>
            </w:placeholder>
          </w:sdtPr>
          <w:sdtContent>
            <w:p w:rsidR="00806678" w:rsidRDefault="00F80B6C" w:rsidP="0013024B">
              <w:r>
                <w:fldChar w:fldCharType="begin"/>
              </w:r>
              <w:r w:rsidR="0013024B">
                <w:instrText xml:space="preserve"> MACROBUTTON  SnrToggleCheckbox □适用 </w:instrText>
              </w:r>
              <w:r>
                <w:fldChar w:fldCharType="end"/>
              </w:r>
              <w:r>
                <w:fldChar w:fldCharType="begin"/>
              </w:r>
              <w:r w:rsidR="0013024B">
                <w:instrText xml:space="preserve"> MACROBUTTON  SnrToggleCheckbox √不适用 </w:instrText>
              </w:r>
              <w:r>
                <w:fldChar w:fldCharType="end"/>
              </w:r>
            </w:p>
          </w:sdtContent>
        </w:sdt>
      </w:sdtContent>
    </w:sdt>
    <w:bookmarkEnd w:id="176" w:displacedByCustomXml="next"/>
    <w:sdt>
      <w:sdtPr>
        <w:rPr>
          <w:rFonts w:asciiTheme="minorHAnsi" w:eastAsia="宋体" w:hAnsiTheme="minorHAnsi" w:cs="宋体" w:hint="eastAsia"/>
          <w:b w:val="0"/>
          <w:bCs w:val="0"/>
          <w:kern w:val="0"/>
          <w:szCs w:val="22"/>
        </w:rPr>
        <w:alias w:val="模块:本报告期实际核销的其他应收款情况"/>
        <w:tag w:val="_SEC_41a6e023af3e46b9a7c491c4e27287af"/>
        <w:id w:val="1653175795"/>
        <w:lock w:val="sdtLocked"/>
        <w:placeholder>
          <w:docPart w:val="GBC22222222222222222222222222222"/>
        </w:placeholder>
      </w:sdtPr>
      <w:sdtEndPr>
        <w:rPr>
          <w:rFonts w:ascii="Times New Roman" w:hAnsi="Times New Roman" w:cs="Times New Roman"/>
          <w:kern w:val="2"/>
          <w:szCs w:val="24"/>
        </w:rPr>
      </w:sdtEndPr>
      <w:sdtContent>
        <w:p w:rsidR="00806678" w:rsidRDefault="00B16377" w:rsidP="00FF17C7">
          <w:pPr>
            <w:pStyle w:val="4"/>
            <w:numPr>
              <w:ilvl w:val="3"/>
              <w:numId w:val="45"/>
            </w:numPr>
            <w:ind w:left="426" w:hanging="426"/>
          </w:pPr>
          <w:r>
            <w:rPr>
              <w:rFonts w:hint="eastAsia"/>
            </w:rPr>
            <w:t>本期实际核销的其他应收款情况</w:t>
          </w:r>
        </w:p>
        <w:sdt>
          <w:sdtPr>
            <w:alias w:val="是否适用：本期实际核销的其他应收款情况[双击切换]"/>
            <w:tag w:val="_GBC_2ce86125d6b94b148fa674141e6497b1"/>
            <w:id w:val="-1945365049"/>
            <w:lock w:val="sdtLocked"/>
            <w:placeholder>
              <w:docPart w:val="GBC22222222222222222222222222222"/>
            </w:placeholder>
          </w:sdtPr>
          <w:sdtContent>
            <w:p w:rsidR="0013024B" w:rsidRDefault="00F80B6C" w:rsidP="0013024B">
              <w:pPr>
                <w:rPr>
                  <w:szCs w:val="21"/>
                </w:rPr>
              </w:pPr>
              <w:r>
                <w:fldChar w:fldCharType="begin"/>
              </w:r>
              <w:r w:rsidR="0013024B">
                <w:instrText xml:space="preserve">MACROBUTTON  SnrToggleCheckbox □适用 </w:instrText>
              </w:r>
              <w:r>
                <w:fldChar w:fldCharType="end"/>
              </w:r>
              <w:r>
                <w:fldChar w:fldCharType="begin"/>
              </w:r>
              <w:r w:rsidR="0013024B">
                <w:instrText xml:space="preserve"> MACROBUTTON  SnrToggleCheckbox √不适用 </w:instrText>
              </w:r>
              <w:r>
                <w:fldChar w:fldCharType="end"/>
              </w:r>
            </w:p>
          </w:sdtContent>
        </w:sdt>
        <w:p w:rsidR="00806678" w:rsidRDefault="00F80B6C">
          <w:pPr>
            <w:snapToGrid w:val="0"/>
            <w:spacing w:line="240" w:lineRule="atLeast"/>
            <w:rPr>
              <w:szCs w:val="21"/>
            </w:rPr>
          </w:pPr>
        </w:p>
      </w:sdtContent>
    </w:sdt>
    <w:sdt>
      <w:sdtPr>
        <w:rPr>
          <w:rFonts w:ascii="宋体" w:eastAsia="宋体" w:hAnsi="宋体" w:cs="宋体" w:hint="eastAsia"/>
          <w:b w:val="0"/>
          <w:bCs w:val="0"/>
          <w:kern w:val="0"/>
          <w:szCs w:val="24"/>
        </w:rPr>
        <w:alias w:val="模块:按欠款方归集的期末余额其中前五名的其他应收款单位情况"/>
        <w:tag w:val="_SEC_5bc3cdcc54c14afd8dfbd379ebf214df"/>
        <w:id w:val="538477021"/>
        <w:lock w:val="sdtLocked"/>
        <w:placeholder>
          <w:docPart w:val="GBC22222222222222222222222222222"/>
        </w:placeholder>
      </w:sdtPr>
      <w:sdtEndPr>
        <w:rPr>
          <w:rFonts w:hint="default"/>
        </w:rPr>
      </w:sdtEndPr>
      <w:sdtContent>
        <w:p w:rsidR="00806678" w:rsidRDefault="00B16377" w:rsidP="00FF17C7">
          <w:pPr>
            <w:pStyle w:val="4"/>
            <w:numPr>
              <w:ilvl w:val="3"/>
              <w:numId w:val="45"/>
            </w:numPr>
            <w:ind w:left="426" w:hanging="426"/>
          </w:pPr>
          <w:r>
            <w:rPr>
              <w:rFonts w:hint="eastAsia"/>
            </w:rPr>
            <w:t>按欠款方归集的期末余额前五名的其他应收款情况</w:t>
          </w:r>
        </w:p>
        <w:sdt>
          <w:sdtPr>
            <w:alias w:val="是否适用：按欠款方归集的期末余额前五名的其他应收款情况[双击切换]"/>
            <w:tag w:val="_GBC_0b74443f29a947149aa61439ac83ec9a"/>
            <w:id w:val="1354923614"/>
            <w:lock w:val="sdtLocked"/>
            <w:placeholder>
              <w:docPart w:val="GBC22222222222222222222222222222"/>
            </w:placeholder>
          </w:sdtPr>
          <w:sdtContent>
            <w:p w:rsidR="0013024B" w:rsidRDefault="00F80B6C" w:rsidP="002A4D9D">
              <w:r>
                <w:fldChar w:fldCharType="begin"/>
              </w:r>
              <w:r w:rsidR="0013024B">
                <w:instrText xml:space="preserve">MACROBUTTON  SnrToggleCheckbox √适用 </w:instrText>
              </w:r>
              <w:r>
                <w:fldChar w:fldCharType="end"/>
              </w:r>
              <w:r>
                <w:fldChar w:fldCharType="begin"/>
              </w:r>
              <w:r w:rsidR="0013024B">
                <w:instrText xml:space="preserve"> MACROBUTTON  SnrToggleCheckbox □不适用 </w:instrText>
              </w:r>
              <w:r>
                <w:fldChar w:fldCharType="end"/>
              </w:r>
            </w:p>
          </w:sdtContent>
        </w:sdt>
        <w:p w:rsidR="0013024B" w:rsidRDefault="0013024B" w:rsidP="00DB008B">
          <w:pPr>
            <w:jc w:val="right"/>
          </w:pPr>
          <w:r>
            <w:rPr>
              <w:rFonts w:hint="eastAsia"/>
            </w:rPr>
            <w:t>单位：</w:t>
          </w:r>
          <w:sdt>
            <w:sdtPr>
              <w:rPr>
                <w:rFonts w:hint="eastAsia"/>
              </w:rPr>
              <w:alias w:val="单位财务附注：其他应收账款前五名欠款情况"/>
              <w:tag w:val="_GBC_06f7a71e039445228d80a5741df4c4f7"/>
              <w:id w:val="1292861917"/>
              <w:lock w:val="sdtLocked"/>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其他应收账款前五名欠款情况"/>
              <w:tag w:val="_GBC_54cf5f95e62e4f5f8ccb31731efadf32"/>
              <w:id w:val="1733419128"/>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10"/>
            <w:gridCol w:w="1591"/>
            <w:gridCol w:w="1670"/>
            <w:gridCol w:w="1135"/>
            <w:gridCol w:w="1842"/>
            <w:gridCol w:w="1001"/>
          </w:tblGrid>
          <w:tr w:rsidR="00BA3A42" w:rsidTr="00E768BC">
            <w:trPr>
              <w:cantSplit/>
            </w:trPr>
            <w:sdt>
              <w:sdtPr>
                <w:rPr>
                  <w:rFonts w:asciiTheme="majorEastAsia" w:eastAsiaTheme="majorEastAsia" w:hAnsiTheme="majorEastAsia"/>
                  <w:sz w:val="18"/>
                  <w:szCs w:val="18"/>
                </w:rPr>
                <w:tag w:val="_PLD_f30fc2dc8886472699c892f0395ab05e"/>
                <w:id w:val="-1693140698"/>
                <w:lock w:val="sdtLocked"/>
              </w:sdtPr>
              <w:sdtContent>
                <w:tc>
                  <w:tcPr>
                    <w:tcW w:w="1000" w:type="pct"/>
                    <w:vAlign w:val="center"/>
                  </w:tcPr>
                  <w:p w:rsidR="00612A49" w:rsidRPr="00E768BC" w:rsidRDefault="00612A49" w:rsidP="00DB008B">
                    <w:pPr>
                      <w:ind w:right="105"/>
                      <w:jc w:val="center"/>
                      <w:rPr>
                        <w:rFonts w:asciiTheme="majorEastAsia" w:eastAsiaTheme="majorEastAsia" w:hAnsiTheme="majorEastAsia"/>
                        <w:sz w:val="18"/>
                        <w:szCs w:val="18"/>
                      </w:rPr>
                    </w:pPr>
                    <w:r w:rsidRPr="00E768BC">
                      <w:rPr>
                        <w:rFonts w:asciiTheme="majorEastAsia" w:eastAsiaTheme="majorEastAsia" w:hAnsiTheme="majorEastAsia" w:hint="eastAsia"/>
                        <w:sz w:val="18"/>
                        <w:szCs w:val="18"/>
                      </w:rPr>
                      <w:t>单位名称</w:t>
                    </w:r>
                  </w:p>
                </w:tc>
              </w:sdtContent>
            </w:sdt>
            <w:sdt>
              <w:sdtPr>
                <w:rPr>
                  <w:rFonts w:asciiTheme="majorEastAsia" w:eastAsiaTheme="majorEastAsia" w:hAnsiTheme="majorEastAsia"/>
                  <w:sz w:val="18"/>
                  <w:szCs w:val="18"/>
                </w:rPr>
                <w:tag w:val="_PLD_44129b8132114de2a4d33c4acb8af98f"/>
                <w:id w:val="1432396219"/>
                <w:lock w:val="sdtLocked"/>
              </w:sdtPr>
              <w:sdtContent>
                <w:tc>
                  <w:tcPr>
                    <w:tcW w:w="879" w:type="pct"/>
                    <w:vAlign w:val="center"/>
                  </w:tcPr>
                  <w:p w:rsidR="00612A49" w:rsidRPr="00E768BC" w:rsidRDefault="00612A49" w:rsidP="00DB008B">
                    <w:pPr>
                      <w:ind w:right="73"/>
                      <w:jc w:val="center"/>
                      <w:rPr>
                        <w:rFonts w:asciiTheme="majorEastAsia" w:eastAsiaTheme="majorEastAsia" w:hAnsiTheme="majorEastAsia"/>
                        <w:sz w:val="18"/>
                        <w:szCs w:val="18"/>
                      </w:rPr>
                    </w:pPr>
                    <w:r w:rsidRPr="00E768BC">
                      <w:rPr>
                        <w:rFonts w:asciiTheme="majorEastAsia" w:eastAsiaTheme="majorEastAsia" w:hAnsiTheme="majorEastAsia" w:hint="eastAsia"/>
                        <w:sz w:val="18"/>
                        <w:szCs w:val="18"/>
                      </w:rPr>
                      <w:t>款项的性质</w:t>
                    </w:r>
                  </w:p>
                </w:tc>
              </w:sdtContent>
            </w:sdt>
            <w:sdt>
              <w:sdtPr>
                <w:rPr>
                  <w:rFonts w:asciiTheme="majorEastAsia" w:eastAsiaTheme="majorEastAsia" w:hAnsiTheme="majorEastAsia"/>
                  <w:sz w:val="18"/>
                  <w:szCs w:val="18"/>
                </w:rPr>
                <w:tag w:val="_PLD_1bc905abb4bf4c679b9fbe0a7587d651"/>
                <w:id w:val="-740868589"/>
                <w:lock w:val="sdtLocked"/>
              </w:sdtPr>
              <w:sdtContent>
                <w:tc>
                  <w:tcPr>
                    <w:tcW w:w="923" w:type="pct"/>
                    <w:vAlign w:val="center"/>
                  </w:tcPr>
                  <w:p w:rsidR="00612A49" w:rsidRPr="00E768BC" w:rsidRDefault="00612A49" w:rsidP="00DB008B">
                    <w:pPr>
                      <w:ind w:right="73"/>
                      <w:jc w:val="center"/>
                      <w:rPr>
                        <w:rFonts w:asciiTheme="majorEastAsia" w:eastAsiaTheme="majorEastAsia" w:hAnsiTheme="majorEastAsia"/>
                        <w:sz w:val="18"/>
                        <w:szCs w:val="18"/>
                      </w:rPr>
                    </w:pPr>
                    <w:r w:rsidRPr="00E768BC">
                      <w:rPr>
                        <w:rFonts w:asciiTheme="majorEastAsia" w:eastAsiaTheme="majorEastAsia" w:hAnsiTheme="majorEastAsia" w:hint="eastAsia"/>
                        <w:sz w:val="18"/>
                        <w:szCs w:val="18"/>
                      </w:rPr>
                      <w:t>期末余额</w:t>
                    </w:r>
                  </w:p>
                </w:tc>
              </w:sdtContent>
            </w:sdt>
            <w:sdt>
              <w:sdtPr>
                <w:rPr>
                  <w:rFonts w:asciiTheme="majorEastAsia" w:eastAsiaTheme="majorEastAsia" w:hAnsiTheme="majorEastAsia"/>
                  <w:sz w:val="18"/>
                  <w:szCs w:val="18"/>
                </w:rPr>
                <w:tag w:val="_PLD_d9231de346f74815b1bc7c82527b1ef5"/>
                <w:id w:val="-1565247155"/>
                <w:lock w:val="sdtLocked"/>
              </w:sdtPr>
              <w:sdtContent>
                <w:tc>
                  <w:tcPr>
                    <w:tcW w:w="627" w:type="pct"/>
                    <w:vAlign w:val="center"/>
                  </w:tcPr>
                  <w:p w:rsidR="00612A49" w:rsidRPr="00E768BC" w:rsidRDefault="00612A49" w:rsidP="00DB008B">
                    <w:pPr>
                      <w:ind w:right="73"/>
                      <w:jc w:val="center"/>
                      <w:rPr>
                        <w:rFonts w:asciiTheme="majorEastAsia" w:eastAsiaTheme="majorEastAsia" w:hAnsiTheme="majorEastAsia"/>
                        <w:sz w:val="18"/>
                        <w:szCs w:val="18"/>
                      </w:rPr>
                    </w:pPr>
                    <w:r w:rsidRPr="00E768BC">
                      <w:rPr>
                        <w:rFonts w:asciiTheme="majorEastAsia" w:eastAsiaTheme="majorEastAsia" w:hAnsiTheme="majorEastAsia" w:hint="eastAsia"/>
                        <w:sz w:val="18"/>
                        <w:szCs w:val="18"/>
                      </w:rPr>
                      <w:t>账龄</w:t>
                    </w:r>
                  </w:p>
                </w:tc>
              </w:sdtContent>
            </w:sdt>
            <w:sdt>
              <w:sdtPr>
                <w:rPr>
                  <w:rFonts w:asciiTheme="majorEastAsia" w:eastAsiaTheme="majorEastAsia" w:hAnsiTheme="majorEastAsia"/>
                  <w:sz w:val="18"/>
                  <w:szCs w:val="18"/>
                </w:rPr>
                <w:tag w:val="_PLD_055b75c0a3cf450e995ac7e13fdc0c08"/>
                <w:id w:val="2130973203"/>
                <w:lock w:val="sdtLocked"/>
              </w:sdtPr>
              <w:sdtContent>
                <w:tc>
                  <w:tcPr>
                    <w:tcW w:w="1018" w:type="pct"/>
                    <w:vAlign w:val="center"/>
                  </w:tcPr>
                  <w:p w:rsidR="00612A49" w:rsidRPr="00E768BC" w:rsidRDefault="00612A49" w:rsidP="00DB008B">
                    <w:pPr>
                      <w:jc w:val="center"/>
                      <w:rPr>
                        <w:rFonts w:asciiTheme="majorEastAsia" w:eastAsiaTheme="majorEastAsia" w:hAnsiTheme="majorEastAsia"/>
                        <w:sz w:val="18"/>
                        <w:szCs w:val="18"/>
                      </w:rPr>
                    </w:pPr>
                    <w:r w:rsidRPr="00E768BC">
                      <w:rPr>
                        <w:rFonts w:asciiTheme="majorEastAsia" w:eastAsiaTheme="majorEastAsia" w:hAnsiTheme="majorEastAsia" w:hint="eastAsia"/>
                        <w:sz w:val="18"/>
                        <w:szCs w:val="18"/>
                      </w:rPr>
                      <w:t>占其他应收款期末余额合计数的比例(</w:t>
                    </w:r>
                    <w:r w:rsidRPr="00E768BC">
                      <w:rPr>
                        <w:rFonts w:asciiTheme="majorEastAsia" w:eastAsiaTheme="majorEastAsia" w:hAnsiTheme="majorEastAsia"/>
                        <w:sz w:val="18"/>
                        <w:szCs w:val="18"/>
                      </w:rPr>
                      <w:t>%)</w:t>
                    </w:r>
                  </w:p>
                </w:tc>
              </w:sdtContent>
            </w:sdt>
            <w:sdt>
              <w:sdtPr>
                <w:rPr>
                  <w:rFonts w:asciiTheme="majorEastAsia" w:eastAsiaTheme="majorEastAsia" w:hAnsiTheme="majorEastAsia"/>
                  <w:sz w:val="18"/>
                  <w:szCs w:val="18"/>
                </w:rPr>
                <w:tag w:val="_PLD_a7951a260c094fc8b8b64f2d1e6a933e"/>
                <w:id w:val="-1149126657"/>
                <w:lock w:val="sdtLocked"/>
              </w:sdtPr>
              <w:sdtContent>
                <w:tc>
                  <w:tcPr>
                    <w:tcW w:w="554" w:type="pct"/>
                    <w:vAlign w:val="center"/>
                  </w:tcPr>
                  <w:p w:rsidR="00612A49" w:rsidRPr="00E768BC" w:rsidRDefault="00612A49" w:rsidP="00DB008B">
                    <w:pPr>
                      <w:jc w:val="center"/>
                      <w:rPr>
                        <w:rFonts w:asciiTheme="majorEastAsia" w:eastAsiaTheme="majorEastAsia" w:hAnsiTheme="majorEastAsia"/>
                        <w:sz w:val="18"/>
                        <w:szCs w:val="18"/>
                      </w:rPr>
                    </w:pPr>
                    <w:r w:rsidRPr="00E768BC">
                      <w:rPr>
                        <w:rFonts w:asciiTheme="majorEastAsia" w:eastAsiaTheme="majorEastAsia" w:hAnsiTheme="majorEastAsia" w:hint="eastAsia"/>
                        <w:sz w:val="18"/>
                        <w:szCs w:val="18"/>
                      </w:rPr>
                      <w:t>坏账准备</w:t>
                    </w:r>
                  </w:p>
                  <w:p w:rsidR="00612A49" w:rsidRPr="00E768BC" w:rsidRDefault="00612A49" w:rsidP="00DB008B">
                    <w:pPr>
                      <w:jc w:val="center"/>
                      <w:rPr>
                        <w:rFonts w:asciiTheme="majorEastAsia" w:eastAsiaTheme="majorEastAsia" w:hAnsiTheme="majorEastAsia"/>
                        <w:sz w:val="18"/>
                        <w:szCs w:val="18"/>
                      </w:rPr>
                    </w:pPr>
                    <w:r w:rsidRPr="00E768BC">
                      <w:rPr>
                        <w:rFonts w:asciiTheme="majorEastAsia" w:eastAsiaTheme="majorEastAsia" w:hAnsiTheme="majorEastAsia" w:hint="eastAsia"/>
                        <w:sz w:val="18"/>
                        <w:szCs w:val="18"/>
                      </w:rPr>
                      <w:t>期末余额</w:t>
                    </w:r>
                  </w:p>
                </w:tc>
              </w:sdtContent>
            </w:sdt>
          </w:tr>
          <w:sdt>
            <w:sdtPr>
              <w:rPr>
                <w:rFonts w:asciiTheme="majorEastAsia" w:eastAsiaTheme="majorEastAsia" w:hAnsiTheme="majorEastAsia" w:hint="eastAsia"/>
                <w:sz w:val="18"/>
                <w:szCs w:val="18"/>
              </w:rPr>
              <w:alias w:val="其他应收款欠款户"/>
              <w:tag w:val="_TUP_c8d734adc8624e66860d3c0f01d5cb6b"/>
              <w:id w:val="683253126"/>
              <w:lock w:val="sdtLocked"/>
            </w:sdtPr>
            <w:sdtEndPr>
              <w:rPr>
                <w:rFonts w:hint="default"/>
              </w:rPr>
            </w:sdtEndPr>
            <w:sdtContent>
              <w:tr w:rsidR="00BA3A42" w:rsidTr="00E768BC">
                <w:trPr>
                  <w:cantSplit/>
                </w:trPr>
                <w:tc>
                  <w:tcPr>
                    <w:tcW w:w="1000" w:type="pct"/>
                  </w:tcPr>
                  <w:p w:rsidR="00612A49" w:rsidRPr="00E768BC" w:rsidRDefault="00612A49" w:rsidP="00612A49">
                    <w:pPr>
                      <w:ind w:right="105"/>
                      <w:rPr>
                        <w:rFonts w:asciiTheme="majorEastAsia" w:eastAsiaTheme="majorEastAsia" w:hAnsiTheme="majorEastAsia"/>
                        <w:sz w:val="18"/>
                        <w:szCs w:val="18"/>
                      </w:rPr>
                    </w:pPr>
                    <w:r w:rsidRPr="00E768BC">
                      <w:rPr>
                        <w:rFonts w:asciiTheme="majorEastAsia" w:eastAsiaTheme="majorEastAsia" w:hAnsiTheme="majorEastAsia"/>
                        <w:sz w:val="18"/>
                        <w:szCs w:val="18"/>
                      </w:rPr>
                      <w:t>中国铁路太原局集团有限公司</w:t>
                    </w:r>
                  </w:p>
                </w:tc>
                <w:tc>
                  <w:tcPr>
                    <w:tcW w:w="879" w:type="pct"/>
                    <w:vAlign w:val="center"/>
                  </w:tcPr>
                  <w:p w:rsidR="00612A49" w:rsidRPr="00E768BC" w:rsidRDefault="00612A49" w:rsidP="00612A49">
                    <w:pPr>
                      <w:ind w:right="73"/>
                      <w:rPr>
                        <w:rFonts w:asciiTheme="majorEastAsia" w:eastAsiaTheme="majorEastAsia" w:hAnsiTheme="majorEastAsia"/>
                        <w:sz w:val="18"/>
                        <w:szCs w:val="18"/>
                      </w:rPr>
                    </w:pPr>
                    <w:r w:rsidRPr="00E768BC">
                      <w:rPr>
                        <w:rFonts w:asciiTheme="majorEastAsia" w:eastAsiaTheme="majorEastAsia" w:hAnsiTheme="majorEastAsia"/>
                        <w:sz w:val="18"/>
                        <w:szCs w:val="18"/>
                      </w:rPr>
                      <w:t>增值税流转、“三供一业”中央财政补助资金</w:t>
                    </w:r>
                    <w:r w:rsidRPr="00E768BC">
                      <w:rPr>
                        <w:rFonts w:asciiTheme="majorEastAsia" w:eastAsiaTheme="majorEastAsia" w:hAnsiTheme="majorEastAsia" w:cs="PMingLiU" w:hint="eastAsia"/>
                        <w:sz w:val="18"/>
                        <w:szCs w:val="18"/>
                      </w:rPr>
                      <w:t>等</w:t>
                    </w:r>
                  </w:p>
                </w:tc>
                <w:tc>
                  <w:tcPr>
                    <w:tcW w:w="923" w:type="pct"/>
                    <w:vAlign w:val="center"/>
                  </w:tcPr>
                  <w:p w:rsidR="00612A49" w:rsidRPr="00E768BC" w:rsidRDefault="00612A49" w:rsidP="00612A49">
                    <w:pPr>
                      <w:ind w:right="73"/>
                      <w:jc w:val="right"/>
                      <w:rPr>
                        <w:rFonts w:asciiTheme="majorEastAsia" w:eastAsiaTheme="majorEastAsia" w:hAnsiTheme="majorEastAsia"/>
                        <w:sz w:val="18"/>
                        <w:szCs w:val="18"/>
                      </w:rPr>
                    </w:pPr>
                    <w:r w:rsidRPr="00E768BC">
                      <w:rPr>
                        <w:rFonts w:asciiTheme="majorEastAsia" w:eastAsiaTheme="majorEastAsia" w:hAnsiTheme="majorEastAsia"/>
                        <w:sz w:val="18"/>
                        <w:szCs w:val="18"/>
                      </w:rPr>
                      <w:t>1,698,284,014</w:t>
                    </w:r>
                  </w:p>
                </w:tc>
                <w:tc>
                  <w:tcPr>
                    <w:tcW w:w="627" w:type="pct"/>
                    <w:vAlign w:val="center"/>
                  </w:tcPr>
                  <w:p w:rsidR="00612A49" w:rsidRPr="00E768BC" w:rsidRDefault="00612A49" w:rsidP="008370A9">
                    <w:pPr>
                      <w:ind w:right="73"/>
                      <w:jc w:val="center"/>
                      <w:rPr>
                        <w:rFonts w:asciiTheme="majorEastAsia" w:eastAsiaTheme="majorEastAsia" w:hAnsiTheme="majorEastAsia"/>
                        <w:sz w:val="18"/>
                        <w:szCs w:val="18"/>
                      </w:rPr>
                    </w:pPr>
                    <w:r w:rsidRPr="00E768BC">
                      <w:rPr>
                        <w:rFonts w:asciiTheme="majorEastAsia" w:eastAsiaTheme="majorEastAsia" w:hAnsiTheme="majorEastAsia"/>
                        <w:sz w:val="18"/>
                        <w:szCs w:val="18"/>
                      </w:rPr>
                      <w:t>三年以</w:t>
                    </w:r>
                    <w:r w:rsidRPr="00E768BC">
                      <w:rPr>
                        <w:rFonts w:asciiTheme="majorEastAsia" w:eastAsiaTheme="majorEastAsia" w:hAnsiTheme="majorEastAsia" w:cs="PMingLiU" w:hint="eastAsia"/>
                        <w:sz w:val="18"/>
                        <w:szCs w:val="18"/>
                      </w:rPr>
                      <w:t>内</w:t>
                    </w:r>
                  </w:p>
                </w:tc>
                <w:tc>
                  <w:tcPr>
                    <w:tcW w:w="1018" w:type="pct"/>
                    <w:vAlign w:val="center"/>
                  </w:tcPr>
                  <w:p w:rsidR="00612A49" w:rsidRPr="00E768BC" w:rsidRDefault="00612A49" w:rsidP="00612A49">
                    <w:pPr>
                      <w:jc w:val="right"/>
                      <w:rPr>
                        <w:rFonts w:asciiTheme="majorEastAsia" w:eastAsiaTheme="majorEastAsia" w:hAnsiTheme="majorEastAsia"/>
                        <w:sz w:val="18"/>
                        <w:szCs w:val="18"/>
                      </w:rPr>
                    </w:pPr>
                    <w:r w:rsidRPr="00E768BC">
                      <w:rPr>
                        <w:rFonts w:asciiTheme="majorEastAsia" w:eastAsiaTheme="majorEastAsia" w:hAnsiTheme="majorEastAsia"/>
                        <w:sz w:val="18"/>
                        <w:szCs w:val="18"/>
                      </w:rPr>
                      <w:t>96.86</w:t>
                    </w:r>
                  </w:p>
                </w:tc>
                <w:tc>
                  <w:tcPr>
                    <w:tcW w:w="554" w:type="pct"/>
                  </w:tcPr>
                  <w:p w:rsidR="00612A49" w:rsidRPr="00E768BC" w:rsidRDefault="00612A49" w:rsidP="00612A49">
                    <w:pPr>
                      <w:jc w:val="right"/>
                      <w:rPr>
                        <w:rFonts w:asciiTheme="majorEastAsia" w:eastAsiaTheme="majorEastAsia" w:hAnsiTheme="majorEastAsia"/>
                        <w:sz w:val="18"/>
                        <w:szCs w:val="18"/>
                      </w:rPr>
                    </w:pPr>
                    <w:r w:rsidRPr="00E768BC">
                      <w:rPr>
                        <w:rFonts w:asciiTheme="majorEastAsia" w:eastAsiaTheme="majorEastAsia" w:hAnsiTheme="majorEastAsia"/>
                        <w:sz w:val="18"/>
                        <w:szCs w:val="18"/>
                      </w:rPr>
                      <w:t>0</w:t>
                    </w:r>
                  </w:p>
                </w:tc>
              </w:tr>
            </w:sdtContent>
          </w:sdt>
          <w:sdt>
            <w:sdtPr>
              <w:rPr>
                <w:rFonts w:asciiTheme="majorEastAsia" w:eastAsiaTheme="majorEastAsia" w:hAnsiTheme="majorEastAsia" w:hint="eastAsia"/>
                <w:sz w:val="18"/>
                <w:szCs w:val="18"/>
              </w:rPr>
              <w:alias w:val="其他应收款欠款户"/>
              <w:tag w:val="_TUP_c8d734adc8624e66860d3c0f01d5cb6b"/>
              <w:id w:val="-1860806765"/>
              <w:lock w:val="sdtLocked"/>
            </w:sdtPr>
            <w:sdtEndPr>
              <w:rPr>
                <w:rFonts w:hint="default"/>
              </w:rPr>
            </w:sdtEndPr>
            <w:sdtContent>
              <w:tr w:rsidR="00BA3A42" w:rsidTr="00E768BC">
                <w:trPr>
                  <w:cantSplit/>
                </w:trPr>
                <w:tc>
                  <w:tcPr>
                    <w:tcW w:w="1000" w:type="pct"/>
                  </w:tcPr>
                  <w:p w:rsidR="00612A49" w:rsidRPr="00E768BC" w:rsidRDefault="00612A49" w:rsidP="00612A49">
                    <w:pPr>
                      <w:ind w:right="105"/>
                      <w:rPr>
                        <w:rFonts w:asciiTheme="majorEastAsia" w:eastAsiaTheme="majorEastAsia" w:hAnsiTheme="majorEastAsia"/>
                        <w:sz w:val="18"/>
                        <w:szCs w:val="18"/>
                      </w:rPr>
                    </w:pPr>
                    <w:r w:rsidRPr="00E768BC">
                      <w:rPr>
                        <w:rFonts w:asciiTheme="majorEastAsia" w:eastAsiaTheme="majorEastAsia" w:hAnsiTheme="majorEastAsia"/>
                        <w:sz w:val="18"/>
                        <w:szCs w:val="18"/>
                      </w:rPr>
                      <w:t>中铁十四局集团有限公司昌源河抢险工程项目部</w:t>
                    </w:r>
                  </w:p>
                </w:tc>
                <w:tc>
                  <w:tcPr>
                    <w:tcW w:w="879" w:type="pct"/>
                    <w:vAlign w:val="center"/>
                  </w:tcPr>
                  <w:p w:rsidR="00612A49" w:rsidRPr="00E768BC" w:rsidRDefault="00612A49" w:rsidP="00612A49">
                    <w:pPr>
                      <w:ind w:right="73"/>
                      <w:rPr>
                        <w:rFonts w:asciiTheme="majorEastAsia" w:eastAsiaTheme="majorEastAsia" w:hAnsiTheme="majorEastAsia"/>
                        <w:sz w:val="18"/>
                        <w:szCs w:val="18"/>
                      </w:rPr>
                    </w:pPr>
                    <w:r w:rsidRPr="00E768BC">
                      <w:rPr>
                        <w:rFonts w:asciiTheme="majorEastAsia" w:eastAsiaTheme="majorEastAsia" w:hAnsiTheme="majorEastAsia" w:cs="PMingLiU" w:hint="eastAsia"/>
                        <w:sz w:val="18"/>
                        <w:szCs w:val="18"/>
                      </w:rPr>
                      <w:t>代垫款项</w:t>
                    </w:r>
                  </w:p>
                </w:tc>
                <w:tc>
                  <w:tcPr>
                    <w:tcW w:w="923" w:type="pct"/>
                    <w:vAlign w:val="center"/>
                  </w:tcPr>
                  <w:p w:rsidR="00612A49" w:rsidRPr="00E768BC" w:rsidRDefault="00612A49" w:rsidP="00612A49">
                    <w:pPr>
                      <w:ind w:right="73"/>
                      <w:jc w:val="right"/>
                      <w:rPr>
                        <w:rFonts w:asciiTheme="majorEastAsia" w:eastAsiaTheme="majorEastAsia" w:hAnsiTheme="majorEastAsia"/>
                        <w:sz w:val="18"/>
                        <w:szCs w:val="18"/>
                      </w:rPr>
                    </w:pPr>
                    <w:r w:rsidRPr="00E768BC">
                      <w:rPr>
                        <w:rFonts w:asciiTheme="majorEastAsia" w:eastAsiaTheme="majorEastAsia" w:hAnsiTheme="majorEastAsia"/>
                        <w:sz w:val="18"/>
                        <w:szCs w:val="18"/>
                      </w:rPr>
                      <w:t>4,844,395</w:t>
                    </w:r>
                  </w:p>
                </w:tc>
                <w:tc>
                  <w:tcPr>
                    <w:tcW w:w="627" w:type="pct"/>
                    <w:vAlign w:val="center"/>
                  </w:tcPr>
                  <w:p w:rsidR="00612A49" w:rsidRPr="00E768BC" w:rsidRDefault="00612A49" w:rsidP="008370A9">
                    <w:pPr>
                      <w:ind w:right="73"/>
                      <w:jc w:val="center"/>
                      <w:rPr>
                        <w:rFonts w:asciiTheme="majorEastAsia" w:eastAsiaTheme="majorEastAsia" w:hAnsiTheme="majorEastAsia"/>
                        <w:sz w:val="18"/>
                        <w:szCs w:val="18"/>
                      </w:rPr>
                    </w:pPr>
                    <w:r w:rsidRPr="00E768BC">
                      <w:rPr>
                        <w:rFonts w:asciiTheme="majorEastAsia" w:eastAsiaTheme="majorEastAsia" w:hAnsiTheme="majorEastAsia" w:cs="PMingLiU" w:hint="eastAsia"/>
                        <w:sz w:val="18"/>
                        <w:szCs w:val="18"/>
                      </w:rPr>
                      <w:t>一年以内</w:t>
                    </w:r>
                  </w:p>
                </w:tc>
                <w:tc>
                  <w:tcPr>
                    <w:tcW w:w="1018" w:type="pct"/>
                    <w:vAlign w:val="center"/>
                  </w:tcPr>
                  <w:p w:rsidR="00612A49" w:rsidRPr="00E768BC" w:rsidRDefault="00612A49" w:rsidP="00612A49">
                    <w:pPr>
                      <w:jc w:val="right"/>
                      <w:rPr>
                        <w:rFonts w:asciiTheme="majorEastAsia" w:eastAsiaTheme="majorEastAsia" w:hAnsiTheme="majorEastAsia"/>
                        <w:sz w:val="18"/>
                        <w:szCs w:val="18"/>
                      </w:rPr>
                    </w:pPr>
                    <w:r w:rsidRPr="00E768BC">
                      <w:rPr>
                        <w:rFonts w:asciiTheme="majorEastAsia" w:eastAsiaTheme="majorEastAsia" w:hAnsiTheme="majorEastAsia"/>
                        <w:sz w:val="18"/>
                        <w:szCs w:val="18"/>
                      </w:rPr>
                      <w:t>0.28</w:t>
                    </w:r>
                  </w:p>
                </w:tc>
                <w:tc>
                  <w:tcPr>
                    <w:tcW w:w="554" w:type="pct"/>
                  </w:tcPr>
                  <w:p w:rsidR="00612A49" w:rsidRPr="00E768BC" w:rsidRDefault="00612A49" w:rsidP="00612A49">
                    <w:pPr>
                      <w:jc w:val="right"/>
                      <w:rPr>
                        <w:rFonts w:asciiTheme="majorEastAsia" w:eastAsiaTheme="majorEastAsia" w:hAnsiTheme="majorEastAsia"/>
                        <w:sz w:val="18"/>
                        <w:szCs w:val="18"/>
                      </w:rPr>
                    </w:pPr>
                    <w:r w:rsidRPr="00E768BC">
                      <w:rPr>
                        <w:rFonts w:asciiTheme="majorEastAsia" w:eastAsiaTheme="majorEastAsia" w:hAnsiTheme="majorEastAsia"/>
                        <w:sz w:val="18"/>
                        <w:szCs w:val="18"/>
                      </w:rPr>
                      <w:t>0</w:t>
                    </w:r>
                  </w:p>
                </w:tc>
              </w:tr>
            </w:sdtContent>
          </w:sdt>
          <w:sdt>
            <w:sdtPr>
              <w:rPr>
                <w:rFonts w:asciiTheme="majorEastAsia" w:eastAsiaTheme="majorEastAsia" w:hAnsiTheme="majorEastAsia" w:hint="eastAsia"/>
                <w:sz w:val="18"/>
                <w:szCs w:val="18"/>
              </w:rPr>
              <w:alias w:val="其他应收款欠款户"/>
              <w:tag w:val="_TUP_c8d734adc8624e66860d3c0f01d5cb6b"/>
              <w:id w:val="-93790334"/>
              <w:lock w:val="sdtLocked"/>
            </w:sdtPr>
            <w:sdtEndPr>
              <w:rPr>
                <w:rFonts w:hint="default"/>
              </w:rPr>
            </w:sdtEndPr>
            <w:sdtContent>
              <w:tr w:rsidR="00BA3A42" w:rsidTr="00E768BC">
                <w:trPr>
                  <w:cantSplit/>
                </w:trPr>
                <w:tc>
                  <w:tcPr>
                    <w:tcW w:w="1000" w:type="pct"/>
                  </w:tcPr>
                  <w:p w:rsidR="00612A49" w:rsidRPr="00E768BC" w:rsidRDefault="00612A49" w:rsidP="00612A49">
                    <w:pPr>
                      <w:ind w:right="105"/>
                      <w:rPr>
                        <w:rFonts w:asciiTheme="majorEastAsia" w:eastAsiaTheme="majorEastAsia" w:hAnsiTheme="majorEastAsia"/>
                        <w:sz w:val="18"/>
                        <w:szCs w:val="18"/>
                      </w:rPr>
                    </w:pPr>
                    <w:r w:rsidRPr="00E768BC">
                      <w:rPr>
                        <w:rFonts w:asciiTheme="majorEastAsia" w:eastAsiaTheme="majorEastAsia" w:hAnsiTheme="majorEastAsia"/>
                        <w:sz w:val="18"/>
                        <w:szCs w:val="18"/>
                      </w:rPr>
                      <w:t>中铁物轨道科技服务集团有限公司</w:t>
                    </w:r>
                  </w:p>
                </w:tc>
                <w:tc>
                  <w:tcPr>
                    <w:tcW w:w="879" w:type="pct"/>
                    <w:vAlign w:val="center"/>
                  </w:tcPr>
                  <w:p w:rsidR="00612A49" w:rsidRPr="00E768BC" w:rsidRDefault="00612A49" w:rsidP="00612A49">
                    <w:pPr>
                      <w:ind w:right="73"/>
                      <w:rPr>
                        <w:rFonts w:asciiTheme="majorEastAsia" w:eastAsiaTheme="majorEastAsia" w:hAnsiTheme="majorEastAsia"/>
                        <w:sz w:val="18"/>
                        <w:szCs w:val="18"/>
                      </w:rPr>
                    </w:pPr>
                    <w:r w:rsidRPr="00E768BC">
                      <w:rPr>
                        <w:rFonts w:asciiTheme="majorEastAsia" w:eastAsiaTheme="majorEastAsia" w:hAnsiTheme="majorEastAsia" w:cs="PMingLiU" w:hint="eastAsia"/>
                        <w:sz w:val="18"/>
                        <w:szCs w:val="18"/>
                      </w:rPr>
                      <w:t>代垫款项</w:t>
                    </w:r>
                  </w:p>
                </w:tc>
                <w:tc>
                  <w:tcPr>
                    <w:tcW w:w="923" w:type="pct"/>
                    <w:vAlign w:val="center"/>
                  </w:tcPr>
                  <w:p w:rsidR="00612A49" w:rsidRPr="00E768BC" w:rsidRDefault="00612A49" w:rsidP="00612A49">
                    <w:pPr>
                      <w:ind w:right="73"/>
                      <w:jc w:val="right"/>
                      <w:rPr>
                        <w:rFonts w:asciiTheme="majorEastAsia" w:eastAsiaTheme="majorEastAsia" w:hAnsiTheme="majorEastAsia"/>
                        <w:sz w:val="18"/>
                        <w:szCs w:val="18"/>
                      </w:rPr>
                    </w:pPr>
                    <w:r w:rsidRPr="00E768BC">
                      <w:rPr>
                        <w:rFonts w:asciiTheme="majorEastAsia" w:eastAsiaTheme="majorEastAsia" w:hAnsiTheme="majorEastAsia"/>
                        <w:sz w:val="18"/>
                        <w:szCs w:val="18"/>
                      </w:rPr>
                      <w:t>2,867,107</w:t>
                    </w:r>
                  </w:p>
                </w:tc>
                <w:tc>
                  <w:tcPr>
                    <w:tcW w:w="627" w:type="pct"/>
                    <w:vAlign w:val="center"/>
                  </w:tcPr>
                  <w:p w:rsidR="00612A49" w:rsidRPr="00E768BC" w:rsidRDefault="00612A49" w:rsidP="008370A9">
                    <w:pPr>
                      <w:ind w:right="73"/>
                      <w:jc w:val="center"/>
                      <w:rPr>
                        <w:rFonts w:asciiTheme="majorEastAsia" w:eastAsiaTheme="majorEastAsia" w:hAnsiTheme="majorEastAsia"/>
                        <w:sz w:val="18"/>
                        <w:szCs w:val="18"/>
                      </w:rPr>
                    </w:pPr>
                    <w:r w:rsidRPr="00E768BC">
                      <w:rPr>
                        <w:rFonts w:asciiTheme="majorEastAsia" w:eastAsiaTheme="majorEastAsia" w:hAnsiTheme="majorEastAsia" w:cs="PMingLiU" w:hint="eastAsia"/>
                        <w:sz w:val="18"/>
                        <w:szCs w:val="18"/>
                      </w:rPr>
                      <w:t>二年以内</w:t>
                    </w:r>
                  </w:p>
                </w:tc>
                <w:tc>
                  <w:tcPr>
                    <w:tcW w:w="1018" w:type="pct"/>
                    <w:vAlign w:val="center"/>
                  </w:tcPr>
                  <w:p w:rsidR="00612A49" w:rsidRPr="00E768BC" w:rsidRDefault="00612A49" w:rsidP="00612A49">
                    <w:pPr>
                      <w:jc w:val="right"/>
                      <w:rPr>
                        <w:rFonts w:asciiTheme="majorEastAsia" w:eastAsiaTheme="majorEastAsia" w:hAnsiTheme="majorEastAsia"/>
                        <w:sz w:val="18"/>
                        <w:szCs w:val="18"/>
                      </w:rPr>
                    </w:pPr>
                    <w:r w:rsidRPr="00E768BC">
                      <w:rPr>
                        <w:rFonts w:asciiTheme="majorEastAsia" w:eastAsiaTheme="majorEastAsia" w:hAnsiTheme="majorEastAsia"/>
                        <w:sz w:val="18"/>
                        <w:szCs w:val="18"/>
                      </w:rPr>
                      <w:t>0.16</w:t>
                    </w:r>
                  </w:p>
                </w:tc>
                <w:tc>
                  <w:tcPr>
                    <w:tcW w:w="554" w:type="pct"/>
                  </w:tcPr>
                  <w:p w:rsidR="00612A49" w:rsidRPr="00E768BC" w:rsidRDefault="00612A49" w:rsidP="00612A49">
                    <w:pPr>
                      <w:jc w:val="right"/>
                      <w:rPr>
                        <w:rFonts w:asciiTheme="majorEastAsia" w:eastAsiaTheme="majorEastAsia" w:hAnsiTheme="majorEastAsia"/>
                        <w:sz w:val="18"/>
                        <w:szCs w:val="18"/>
                      </w:rPr>
                    </w:pPr>
                    <w:r w:rsidRPr="00E768BC">
                      <w:rPr>
                        <w:rFonts w:asciiTheme="majorEastAsia" w:eastAsiaTheme="majorEastAsia" w:hAnsiTheme="majorEastAsia"/>
                        <w:sz w:val="18"/>
                        <w:szCs w:val="18"/>
                      </w:rPr>
                      <w:t>0</w:t>
                    </w:r>
                  </w:p>
                </w:tc>
              </w:tr>
            </w:sdtContent>
          </w:sdt>
          <w:sdt>
            <w:sdtPr>
              <w:rPr>
                <w:rFonts w:asciiTheme="majorEastAsia" w:eastAsiaTheme="majorEastAsia" w:hAnsiTheme="majorEastAsia" w:hint="eastAsia"/>
                <w:sz w:val="18"/>
                <w:szCs w:val="18"/>
              </w:rPr>
              <w:alias w:val="其他应收款欠款户"/>
              <w:tag w:val="_TUP_c8d734adc8624e66860d3c0f01d5cb6b"/>
              <w:id w:val="-555390394"/>
              <w:lock w:val="sdtLocked"/>
            </w:sdtPr>
            <w:sdtEndPr>
              <w:rPr>
                <w:rFonts w:hint="default"/>
              </w:rPr>
            </w:sdtEndPr>
            <w:sdtContent>
              <w:tr w:rsidR="00BA3A42" w:rsidTr="00E768BC">
                <w:trPr>
                  <w:cantSplit/>
                </w:trPr>
                <w:tc>
                  <w:tcPr>
                    <w:tcW w:w="1000" w:type="pct"/>
                  </w:tcPr>
                  <w:p w:rsidR="00612A49" w:rsidRPr="00E768BC" w:rsidRDefault="00612A49" w:rsidP="00612A49">
                    <w:pPr>
                      <w:ind w:right="105"/>
                      <w:rPr>
                        <w:rFonts w:asciiTheme="majorEastAsia" w:eastAsiaTheme="majorEastAsia" w:hAnsiTheme="majorEastAsia"/>
                        <w:sz w:val="18"/>
                        <w:szCs w:val="18"/>
                      </w:rPr>
                    </w:pPr>
                    <w:r w:rsidRPr="00E768BC">
                      <w:rPr>
                        <w:rFonts w:asciiTheme="majorEastAsia" w:eastAsiaTheme="majorEastAsia" w:hAnsiTheme="majorEastAsia"/>
                        <w:sz w:val="18"/>
                        <w:szCs w:val="18"/>
                      </w:rPr>
                      <w:t>国网山西省电力公司太原供电公司</w:t>
                    </w:r>
                  </w:p>
                </w:tc>
                <w:tc>
                  <w:tcPr>
                    <w:tcW w:w="879" w:type="pct"/>
                    <w:vAlign w:val="center"/>
                  </w:tcPr>
                  <w:p w:rsidR="00612A49" w:rsidRPr="00E768BC" w:rsidRDefault="00612A49" w:rsidP="00612A49">
                    <w:pPr>
                      <w:ind w:right="73"/>
                      <w:rPr>
                        <w:rFonts w:asciiTheme="majorEastAsia" w:eastAsiaTheme="majorEastAsia" w:hAnsiTheme="majorEastAsia"/>
                        <w:sz w:val="18"/>
                        <w:szCs w:val="18"/>
                      </w:rPr>
                    </w:pPr>
                    <w:r w:rsidRPr="00E768BC">
                      <w:rPr>
                        <w:rFonts w:asciiTheme="majorEastAsia" w:eastAsiaTheme="majorEastAsia" w:hAnsiTheme="majorEastAsia" w:cs="PMingLiU" w:hint="eastAsia"/>
                        <w:sz w:val="18"/>
                        <w:szCs w:val="18"/>
                      </w:rPr>
                      <w:t>用电保证金</w:t>
                    </w:r>
                  </w:p>
                </w:tc>
                <w:tc>
                  <w:tcPr>
                    <w:tcW w:w="923" w:type="pct"/>
                    <w:vAlign w:val="center"/>
                  </w:tcPr>
                  <w:p w:rsidR="00612A49" w:rsidRPr="00E768BC" w:rsidRDefault="00612A49" w:rsidP="00612A49">
                    <w:pPr>
                      <w:ind w:right="73"/>
                      <w:jc w:val="right"/>
                      <w:rPr>
                        <w:rFonts w:asciiTheme="majorEastAsia" w:eastAsiaTheme="majorEastAsia" w:hAnsiTheme="majorEastAsia"/>
                        <w:sz w:val="18"/>
                        <w:szCs w:val="18"/>
                      </w:rPr>
                    </w:pPr>
                    <w:r w:rsidRPr="00E768BC">
                      <w:rPr>
                        <w:rFonts w:asciiTheme="majorEastAsia" w:eastAsiaTheme="majorEastAsia" w:hAnsiTheme="majorEastAsia"/>
                        <w:sz w:val="18"/>
                        <w:szCs w:val="18"/>
                      </w:rPr>
                      <w:t>2,017,663</w:t>
                    </w:r>
                  </w:p>
                </w:tc>
                <w:tc>
                  <w:tcPr>
                    <w:tcW w:w="627" w:type="pct"/>
                    <w:vAlign w:val="center"/>
                  </w:tcPr>
                  <w:p w:rsidR="00612A49" w:rsidRPr="00E768BC" w:rsidRDefault="00612A49" w:rsidP="008370A9">
                    <w:pPr>
                      <w:ind w:right="73"/>
                      <w:jc w:val="center"/>
                      <w:rPr>
                        <w:rFonts w:asciiTheme="majorEastAsia" w:eastAsiaTheme="majorEastAsia" w:hAnsiTheme="majorEastAsia"/>
                        <w:sz w:val="18"/>
                        <w:szCs w:val="18"/>
                      </w:rPr>
                    </w:pPr>
                    <w:r w:rsidRPr="00E768BC">
                      <w:rPr>
                        <w:rFonts w:asciiTheme="majorEastAsia" w:eastAsiaTheme="majorEastAsia" w:hAnsiTheme="majorEastAsia" w:cs="PMingLiU" w:hint="eastAsia"/>
                        <w:sz w:val="18"/>
                        <w:szCs w:val="18"/>
                      </w:rPr>
                      <w:t>二年以内</w:t>
                    </w:r>
                  </w:p>
                </w:tc>
                <w:tc>
                  <w:tcPr>
                    <w:tcW w:w="1018" w:type="pct"/>
                    <w:vAlign w:val="center"/>
                  </w:tcPr>
                  <w:p w:rsidR="00612A49" w:rsidRPr="00E768BC" w:rsidRDefault="00612A49" w:rsidP="00612A49">
                    <w:pPr>
                      <w:jc w:val="right"/>
                      <w:rPr>
                        <w:rFonts w:asciiTheme="majorEastAsia" w:eastAsiaTheme="majorEastAsia" w:hAnsiTheme="majorEastAsia"/>
                        <w:sz w:val="18"/>
                        <w:szCs w:val="18"/>
                      </w:rPr>
                    </w:pPr>
                    <w:r w:rsidRPr="00E768BC">
                      <w:rPr>
                        <w:rFonts w:asciiTheme="majorEastAsia" w:eastAsiaTheme="majorEastAsia" w:hAnsiTheme="majorEastAsia"/>
                        <w:sz w:val="18"/>
                        <w:szCs w:val="18"/>
                      </w:rPr>
                      <w:t>0.12</w:t>
                    </w:r>
                  </w:p>
                </w:tc>
                <w:tc>
                  <w:tcPr>
                    <w:tcW w:w="554" w:type="pct"/>
                  </w:tcPr>
                  <w:p w:rsidR="00612A49" w:rsidRPr="00E768BC" w:rsidRDefault="00612A49" w:rsidP="00612A49">
                    <w:pPr>
                      <w:jc w:val="right"/>
                      <w:rPr>
                        <w:rFonts w:asciiTheme="majorEastAsia" w:eastAsiaTheme="majorEastAsia" w:hAnsiTheme="majorEastAsia"/>
                        <w:sz w:val="18"/>
                        <w:szCs w:val="18"/>
                      </w:rPr>
                    </w:pPr>
                    <w:r w:rsidRPr="00E768BC">
                      <w:rPr>
                        <w:rFonts w:asciiTheme="majorEastAsia" w:eastAsiaTheme="majorEastAsia" w:hAnsiTheme="majorEastAsia"/>
                        <w:sz w:val="18"/>
                        <w:szCs w:val="18"/>
                      </w:rPr>
                      <w:t>0</w:t>
                    </w:r>
                  </w:p>
                </w:tc>
              </w:tr>
            </w:sdtContent>
          </w:sdt>
          <w:sdt>
            <w:sdtPr>
              <w:rPr>
                <w:rFonts w:asciiTheme="majorEastAsia" w:eastAsiaTheme="majorEastAsia" w:hAnsiTheme="majorEastAsia" w:hint="eastAsia"/>
                <w:sz w:val="18"/>
                <w:szCs w:val="18"/>
              </w:rPr>
              <w:alias w:val="其他应收款欠款户"/>
              <w:tag w:val="_TUP_c8d734adc8624e66860d3c0f01d5cb6b"/>
              <w:id w:val="1742288686"/>
              <w:lock w:val="sdtLocked"/>
            </w:sdtPr>
            <w:sdtEndPr>
              <w:rPr>
                <w:rFonts w:hint="default"/>
              </w:rPr>
            </w:sdtEndPr>
            <w:sdtContent>
              <w:tr w:rsidR="00BA3A42" w:rsidTr="00E768BC">
                <w:trPr>
                  <w:cantSplit/>
                </w:trPr>
                <w:tc>
                  <w:tcPr>
                    <w:tcW w:w="1000" w:type="pct"/>
                  </w:tcPr>
                  <w:p w:rsidR="00612A49" w:rsidRPr="00E768BC" w:rsidRDefault="00612A49" w:rsidP="00612A49">
                    <w:pPr>
                      <w:ind w:right="105"/>
                      <w:rPr>
                        <w:rFonts w:asciiTheme="majorEastAsia" w:eastAsiaTheme="majorEastAsia" w:hAnsiTheme="majorEastAsia"/>
                        <w:sz w:val="18"/>
                        <w:szCs w:val="18"/>
                      </w:rPr>
                    </w:pPr>
                    <w:r w:rsidRPr="00E768BC">
                      <w:rPr>
                        <w:rFonts w:asciiTheme="majorEastAsia" w:eastAsiaTheme="majorEastAsia" w:hAnsiTheme="majorEastAsia"/>
                        <w:sz w:val="18"/>
                        <w:szCs w:val="18"/>
                      </w:rPr>
                      <w:t>大同市云冈能源发展有限公司</w:t>
                    </w:r>
                  </w:p>
                </w:tc>
                <w:tc>
                  <w:tcPr>
                    <w:tcW w:w="879" w:type="pct"/>
                    <w:vAlign w:val="center"/>
                  </w:tcPr>
                  <w:p w:rsidR="00612A49" w:rsidRPr="00E768BC" w:rsidRDefault="00612A49" w:rsidP="00612A49">
                    <w:pPr>
                      <w:ind w:right="73"/>
                      <w:rPr>
                        <w:rFonts w:asciiTheme="majorEastAsia" w:eastAsiaTheme="majorEastAsia" w:hAnsiTheme="majorEastAsia"/>
                        <w:sz w:val="18"/>
                        <w:szCs w:val="18"/>
                      </w:rPr>
                    </w:pPr>
                    <w:r w:rsidRPr="00E768BC">
                      <w:rPr>
                        <w:rFonts w:asciiTheme="majorEastAsia" w:eastAsiaTheme="majorEastAsia" w:hAnsiTheme="majorEastAsia" w:cs="PMingLiU" w:hint="eastAsia"/>
                        <w:sz w:val="18"/>
                        <w:szCs w:val="18"/>
                      </w:rPr>
                      <w:t>代垫款项</w:t>
                    </w:r>
                  </w:p>
                </w:tc>
                <w:tc>
                  <w:tcPr>
                    <w:tcW w:w="923" w:type="pct"/>
                    <w:vAlign w:val="center"/>
                  </w:tcPr>
                  <w:p w:rsidR="00612A49" w:rsidRPr="00E768BC" w:rsidRDefault="00612A49" w:rsidP="00612A49">
                    <w:pPr>
                      <w:ind w:right="73"/>
                      <w:jc w:val="right"/>
                      <w:rPr>
                        <w:rFonts w:asciiTheme="majorEastAsia" w:eastAsiaTheme="majorEastAsia" w:hAnsiTheme="majorEastAsia"/>
                        <w:sz w:val="18"/>
                        <w:szCs w:val="18"/>
                      </w:rPr>
                    </w:pPr>
                    <w:r w:rsidRPr="00E768BC">
                      <w:rPr>
                        <w:rFonts w:asciiTheme="majorEastAsia" w:eastAsiaTheme="majorEastAsia" w:hAnsiTheme="majorEastAsia"/>
                        <w:sz w:val="18"/>
                        <w:szCs w:val="18"/>
                      </w:rPr>
                      <w:t>669,980</w:t>
                    </w:r>
                  </w:p>
                </w:tc>
                <w:tc>
                  <w:tcPr>
                    <w:tcW w:w="627" w:type="pct"/>
                    <w:vAlign w:val="center"/>
                  </w:tcPr>
                  <w:p w:rsidR="00612A49" w:rsidRPr="00E768BC" w:rsidRDefault="00612A49" w:rsidP="008370A9">
                    <w:pPr>
                      <w:ind w:right="73"/>
                      <w:jc w:val="center"/>
                      <w:rPr>
                        <w:rFonts w:asciiTheme="majorEastAsia" w:eastAsiaTheme="majorEastAsia" w:hAnsiTheme="majorEastAsia"/>
                        <w:sz w:val="18"/>
                        <w:szCs w:val="18"/>
                      </w:rPr>
                    </w:pPr>
                    <w:r w:rsidRPr="00E768BC">
                      <w:rPr>
                        <w:rFonts w:asciiTheme="majorEastAsia" w:eastAsiaTheme="majorEastAsia" w:hAnsiTheme="majorEastAsia" w:cs="PMingLiU" w:hint="eastAsia"/>
                        <w:sz w:val="18"/>
                        <w:szCs w:val="18"/>
                      </w:rPr>
                      <w:t>一年以内</w:t>
                    </w:r>
                  </w:p>
                </w:tc>
                <w:tc>
                  <w:tcPr>
                    <w:tcW w:w="1018" w:type="pct"/>
                    <w:vAlign w:val="center"/>
                  </w:tcPr>
                  <w:p w:rsidR="00612A49" w:rsidRPr="00E768BC" w:rsidRDefault="00612A49" w:rsidP="00612A49">
                    <w:pPr>
                      <w:jc w:val="right"/>
                      <w:rPr>
                        <w:rFonts w:asciiTheme="majorEastAsia" w:eastAsiaTheme="majorEastAsia" w:hAnsiTheme="majorEastAsia"/>
                        <w:sz w:val="18"/>
                        <w:szCs w:val="18"/>
                      </w:rPr>
                    </w:pPr>
                    <w:r w:rsidRPr="00E768BC">
                      <w:rPr>
                        <w:rFonts w:asciiTheme="majorEastAsia" w:eastAsiaTheme="majorEastAsia" w:hAnsiTheme="majorEastAsia"/>
                        <w:sz w:val="18"/>
                        <w:szCs w:val="18"/>
                      </w:rPr>
                      <w:t>0.04</w:t>
                    </w:r>
                  </w:p>
                </w:tc>
                <w:tc>
                  <w:tcPr>
                    <w:tcW w:w="554" w:type="pct"/>
                  </w:tcPr>
                  <w:p w:rsidR="00612A49" w:rsidRPr="00E768BC" w:rsidRDefault="00612A49" w:rsidP="00612A49">
                    <w:pPr>
                      <w:jc w:val="right"/>
                      <w:rPr>
                        <w:rFonts w:asciiTheme="majorEastAsia" w:eastAsiaTheme="majorEastAsia" w:hAnsiTheme="majorEastAsia"/>
                        <w:sz w:val="18"/>
                        <w:szCs w:val="18"/>
                      </w:rPr>
                    </w:pPr>
                    <w:r w:rsidRPr="00E768BC">
                      <w:rPr>
                        <w:rFonts w:asciiTheme="majorEastAsia" w:eastAsiaTheme="majorEastAsia" w:hAnsiTheme="majorEastAsia"/>
                        <w:sz w:val="18"/>
                        <w:szCs w:val="18"/>
                      </w:rPr>
                      <w:t>0</w:t>
                    </w:r>
                  </w:p>
                </w:tc>
              </w:tr>
            </w:sdtContent>
          </w:sdt>
          <w:tr w:rsidR="00BA3A42" w:rsidTr="00E768BC">
            <w:trPr>
              <w:cantSplit/>
            </w:trPr>
            <w:sdt>
              <w:sdtPr>
                <w:rPr>
                  <w:rFonts w:asciiTheme="majorEastAsia" w:eastAsiaTheme="majorEastAsia" w:hAnsiTheme="majorEastAsia"/>
                  <w:sz w:val="18"/>
                  <w:szCs w:val="18"/>
                </w:rPr>
                <w:tag w:val="_PLD_14deb9938e6642aa874e012c75286fee"/>
                <w:id w:val="-99037984"/>
                <w:lock w:val="sdtLocked"/>
              </w:sdtPr>
              <w:sdtContent>
                <w:tc>
                  <w:tcPr>
                    <w:tcW w:w="1000" w:type="pct"/>
                  </w:tcPr>
                  <w:p w:rsidR="00612A49" w:rsidRPr="00E768BC" w:rsidRDefault="00612A49" w:rsidP="00612A49">
                    <w:pPr>
                      <w:ind w:right="105"/>
                      <w:jc w:val="center"/>
                      <w:rPr>
                        <w:rFonts w:asciiTheme="majorEastAsia" w:eastAsiaTheme="majorEastAsia" w:hAnsiTheme="majorEastAsia"/>
                        <w:sz w:val="18"/>
                        <w:szCs w:val="18"/>
                      </w:rPr>
                    </w:pPr>
                    <w:r w:rsidRPr="00E768BC">
                      <w:rPr>
                        <w:rFonts w:asciiTheme="majorEastAsia" w:eastAsiaTheme="majorEastAsia" w:hAnsiTheme="majorEastAsia" w:hint="eastAsia"/>
                        <w:sz w:val="18"/>
                        <w:szCs w:val="18"/>
                      </w:rPr>
                      <w:t>合计</w:t>
                    </w:r>
                  </w:p>
                </w:tc>
              </w:sdtContent>
            </w:sdt>
            <w:tc>
              <w:tcPr>
                <w:tcW w:w="879" w:type="pct"/>
              </w:tcPr>
              <w:p w:rsidR="00612A49" w:rsidRPr="00E768BC" w:rsidRDefault="00612A49" w:rsidP="00612A49">
                <w:pPr>
                  <w:ind w:right="73"/>
                  <w:jc w:val="center"/>
                  <w:rPr>
                    <w:rFonts w:asciiTheme="majorEastAsia" w:eastAsiaTheme="majorEastAsia" w:hAnsiTheme="majorEastAsia"/>
                    <w:sz w:val="18"/>
                    <w:szCs w:val="18"/>
                  </w:rPr>
                </w:pPr>
                <w:r w:rsidRPr="00E768BC">
                  <w:rPr>
                    <w:rFonts w:asciiTheme="majorEastAsia" w:eastAsiaTheme="majorEastAsia" w:hAnsiTheme="majorEastAsia"/>
                    <w:sz w:val="18"/>
                    <w:szCs w:val="18"/>
                  </w:rPr>
                  <w:t>/</w:t>
                </w:r>
              </w:p>
            </w:tc>
            <w:tc>
              <w:tcPr>
                <w:tcW w:w="923" w:type="pct"/>
              </w:tcPr>
              <w:p w:rsidR="00612A49" w:rsidRPr="00E768BC" w:rsidRDefault="00612A49" w:rsidP="00612A49">
                <w:pPr>
                  <w:ind w:right="73"/>
                  <w:jc w:val="right"/>
                  <w:rPr>
                    <w:rFonts w:asciiTheme="majorEastAsia" w:eastAsiaTheme="majorEastAsia" w:hAnsiTheme="majorEastAsia"/>
                    <w:sz w:val="18"/>
                    <w:szCs w:val="18"/>
                  </w:rPr>
                </w:pPr>
                <w:r w:rsidRPr="00E768BC">
                  <w:rPr>
                    <w:rFonts w:asciiTheme="majorEastAsia" w:eastAsiaTheme="majorEastAsia" w:hAnsiTheme="majorEastAsia"/>
                    <w:sz w:val="18"/>
                    <w:szCs w:val="18"/>
                  </w:rPr>
                  <w:t>1,708,683,159</w:t>
                </w:r>
              </w:p>
            </w:tc>
            <w:tc>
              <w:tcPr>
                <w:tcW w:w="627" w:type="pct"/>
                <w:vAlign w:val="center"/>
              </w:tcPr>
              <w:p w:rsidR="00612A49" w:rsidRPr="00E768BC" w:rsidRDefault="00612A49" w:rsidP="008370A9">
                <w:pPr>
                  <w:ind w:right="73"/>
                  <w:jc w:val="center"/>
                  <w:rPr>
                    <w:rFonts w:asciiTheme="majorEastAsia" w:eastAsiaTheme="majorEastAsia" w:hAnsiTheme="majorEastAsia"/>
                    <w:sz w:val="18"/>
                    <w:szCs w:val="18"/>
                  </w:rPr>
                </w:pPr>
                <w:r w:rsidRPr="00E768BC">
                  <w:rPr>
                    <w:rFonts w:asciiTheme="majorEastAsia" w:eastAsiaTheme="majorEastAsia" w:hAnsiTheme="majorEastAsia"/>
                    <w:sz w:val="18"/>
                    <w:szCs w:val="18"/>
                  </w:rPr>
                  <w:t>/</w:t>
                </w:r>
              </w:p>
            </w:tc>
            <w:tc>
              <w:tcPr>
                <w:tcW w:w="1018" w:type="pct"/>
                <w:vAlign w:val="center"/>
              </w:tcPr>
              <w:p w:rsidR="00612A49" w:rsidRPr="00E768BC" w:rsidRDefault="00612A49" w:rsidP="00612A49">
                <w:pPr>
                  <w:tabs>
                    <w:tab w:val="left" w:pos="1401"/>
                  </w:tabs>
                  <w:jc w:val="right"/>
                  <w:rPr>
                    <w:rFonts w:asciiTheme="majorEastAsia" w:eastAsiaTheme="majorEastAsia" w:hAnsiTheme="majorEastAsia"/>
                    <w:sz w:val="18"/>
                    <w:szCs w:val="18"/>
                  </w:rPr>
                </w:pPr>
                <w:r w:rsidRPr="00E768BC">
                  <w:rPr>
                    <w:rFonts w:asciiTheme="majorEastAsia" w:eastAsiaTheme="majorEastAsia" w:hAnsiTheme="majorEastAsia"/>
                    <w:sz w:val="18"/>
                    <w:szCs w:val="18"/>
                  </w:rPr>
                  <w:t>97.46</w:t>
                </w:r>
              </w:p>
            </w:tc>
            <w:tc>
              <w:tcPr>
                <w:tcW w:w="554" w:type="pct"/>
              </w:tcPr>
              <w:p w:rsidR="00612A49" w:rsidRPr="00E768BC" w:rsidRDefault="00612A49" w:rsidP="00612A49">
                <w:pPr>
                  <w:jc w:val="right"/>
                  <w:rPr>
                    <w:rFonts w:asciiTheme="majorEastAsia" w:eastAsiaTheme="majorEastAsia" w:hAnsiTheme="majorEastAsia"/>
                    <w:sz w:val="18"/>
                    <w:szCs w:val="18"/>
                  </w:rPr>
                </w:pPr>
                <w:r w:rsidRPr="00E768BC">
                  <w:rPr>
                    <w:rFonts w:asciiTheme="majorEastAsia" w:eastAsiaTheme="majorEastAsia" w:hAnsiTheme="majorEastAsia"/>
                    <w:sz w:val="18"/>
                    <w:szCs w:val="18"/>
                  </w:rPr>
                  <w:t>0</w:t>
                </w:r>
              </w:p>
            </w:tc>
          </w:tr>
        </w:tbl>
        <w:p w:rsidR="00806678" w:rsidRDefault="00F80B6C" w:rsidP="002A4D9D"/>
      </w:sdtContent>
    </w:sdt>
    <w:sdt>
      <w:sdtPr>
        <w:rPr>
          <w:rFonts w:ascii="宋体" w:eastAsia="宋体" w:hAnsi="宋体" w:cs="宋体" w:hint="eastAsia"/>
          <w:b w:val="0"/>
          <w:bCs w:val="0"/>
          <w:kern w:val="0"/>
          <w:szCs w:val="24"/>
        </w:rPr>
        <w:alias w:val="模块:按应收金额确认的政府补助"/>
        <w:tag w:val="_SEC_7f884e5815904873b956a469c8376ddc"/>
        <w:id w:val="-670017398"/>
        <w:lock w:val="sdtLocked"/>
        <w:placeholder>
          <w:docPart w:val="GBC22222222222222222222222222222"/>
        </w:placeholder>
      </w:sdtPr>
      <w:sdtEndPr>
        <w:rPr>
          <w:rFonts w:ascii="Times New Roman" w:hAnsi="Times New Roman"/>
        </w:rPr>
      </w:sdtEndPr>
      <w:sdtContent>
        <w:p w:rsidR="00806678" w:rsidRDefault="00B16377" w:rsidP="00FF17C7">
          <w:pPr>
            <w:pStyle w:val="4"/>
            <w:numPr>
              <w:ilvl w:val="3"/>
              <w:numId w:val="45"/>
            </w:numPr>
            <w:ind w:left="426" w:hanging="426"/>
          </w:pPr>
          <w:r>
            <w:rPr>
              <w:rFonts w:hint="eastAsia"/>
            </w:rPr>
            <w:t>涉及政府补助的应收款项</w:t>
          </w:r>
        </w:p>
        <w:sdt>
          <w:sdtPr>
            <w:alias w:val="是否适用：涉及政府补助的应收款项[双击切换]"/>
            <w:tag w:val="_GBC_827b87f85d804f17ad2db9164b31e41a"/>
            <w:id w:val="1600992348"/>
            <w:lock w:val="sdtLocked"/>
            <w:placeholder>
              <w:docPart w:val="GBC22222222222222222222222222222"/>
            </w:placeholder>
          </w:sdtPr>
          <w:sdtContent>
            <w:p w:rsidR="00806678" w:rsidRPr="008370A9" w:rsidRDefault="00F80B6C" w:rsidP="008370A9">
              <w:r>
                <w:fldChar w:fldCharType="begin"/>
              </w:r>
              <w:r w:rsidR="002A4D9D">
                <w:instrText xml:space="preserve">MACROBUTTON  SnrToggleCheckbox □适用 </w:instrText>
              </w:r>
              <w:r>
                <w:fldChar w:fldCharType="end"/>
              </w:r>
              <w:r>
                <w:fldChar w:fldCharType="begin"/>
              </w:r>
              <w:r w:rsidR="002A4D9D">
                <w:instrText xml:space="preserve"> MACROBUTTON  SnrToggleCheckbox √不适用 </w:instrText>
              </w:r>
              <w:r>
                <w:fldChar w:fldCharType="end"/>
              </w:r>
            </w:p>
          </w:sdtContent>
        </w:sdt>
      </w:sdtContent>
    </w:sdt>
    <w:sdt>
      <w:sdtPr>
        <w:rPr>
          <w:rFonts w:ascii="Times New Roman" w:eastAsia="宋体" w:hAnsi="Times New Roman" w:cs="宋体"/>
          <w:b w:val="0"/>
          <w:bCs w:val="0"/>
          <w:kern w:val="0"/>
          <w:szCs w:val="24"/>
        </w:rPr>
        <w:alias w:val="模块:因金融资产转移而终止确认的其他应收款"/>
        <w:tag w:val="_SEC_b4e92d47ce454acbba1241413cf48897"/>
        <w:id w:val="821615080"/>
        <w:lock w:val="sdtLocked"/>
        <w:placeholder>
          <w:docPart w:val="GBC22222222222222222222222222222"/>
        </w:placeholder>
      </w:sdtPr>
      <w:sdtContent>
        <w:p w:rsidR="00806678" w:rsidRDefault="00B16377" w:rsidP="00FF17C7">
          <w:pPr>
            <w:pStyle w:val="4"/>
            <w:numPr>
              <w:ilvl w:val="3"/>
              <w:numId w:val="45"/>
            </w:numPr>
            <w:ind w:left="426" w:hanging="426"/>
          </w:pPr>
          <w:r>
            <w:rPr>
              <w:rFonts w:hint="eastAsia"/>
            </w:rPr>
            <w:t>因金融资产转移而终止确认的其他应收款</w:t>
          </w:r>
        </w:p>
        <w:sdt>
          <w:sdtPr>
            <w:rPr>
              <w:rFonts w:hint="eastAsia"/>
              <w:szCs w:val="21"/>
            </w:rPr>
            <w:alias w:val="是否适用：因金融资产转移而终止确认的其他应收款[双击切换]"/>
            <w:tag w:val="_GBC_2356c87f6afd4bf2abba2685572831dc"/>
            <w:id w:val="-1941821148"/>
            <w:lock w:val="sdtLocked"/>
            <w:placeholder>
              <w:docPart w:val="GBC22222222222222222222222222222"/>
            </w:placeholder>
          </w:sdtPr>
          <w:sdtContent>
            <w:p w:rsidR="00806678" w:rsidRDefault="00F80B6C" w:rsidP="008370A9">
              <w:pPr>
                <w:ind w:right="57"/>
                <w:rPr>
                  <w:szCs w:val="21"/>
                </w:rPr>
              </w:pPr>
              <w:r>
                <w:rPr>
                  <w:szCs w:val="21"/>
                </w:rPr>
                <w:fldChar w:fldCharType="begin"/>
              </w:r>
              <w:r w:rsidR="008370A9">
                <w:rPr>
                  <w:szCs w:val="21"/>
                </w:rPr>
                <w:instrText xml:space="preserve"> MACROBUTTON  SnrToggleCheckbox □适用  </w:instrText>
              </w:r>
              <w:r>
                <w:rPr>
                  <w:szCs w:val="21"/>
                </w:rPr>
                <w:fldChar w:fldCharType="end"/>
              </w:r>
              <w:r>
                <w:rPr>
                  <w:szCs w:val="21"/>
                </w:rPr>
                <w:fldChar w:fldCharType="begin"/>
              </w:r>
              <w:r w:rsidR="008370A9">
                <w:rPr>
                  <w:szCs w:val="21"/>
                </w:rPr>
                <w:instrText xml:space="preserve"> MACROBUTTON  SnrToggleCheckbox √不适用 </w:instrText>
              </w:r>
              <w:r>
                <w:rPr>
                  <w:szCs w:val="21"/>
                </w:rPr>
                <w:fldChar w:fldCharType="end"/>
              </w:r>
            </w:p>
          </w:sdtContent>
        </w:sdt>
      </w:sdtContent>
    </w:sdt>
    <w:sdt>
      <w:sdtPr>
        <w:rPr>
          <w:rFonts w:ascii="Times New Roman" w:eastAsia="宋体" w:hAnsi="Times New Roman" w:cs="宋体" w:hint="eastAsia"/>
          <w:b w:val="0"/>
          <w:bCs w:val="0"/>
          <w:kern w:val="0"/>
          <w:szCs w:val="24"/>
        </w:rPr>
        <w:alias w:val="模块:转移其他应收款且继续涉入形成的资产、负债金额的说明"/>
        <w:tag w:val="_SEC_92e24bbe4f564b40858a76aac5222baf"/>
        <w:id w:val="-764066619"/>
        <w:lock w:val="sdtLocked"/>
        <w:placeholder>
          <w:docPart w:val="GBC22222222222222222222222222222"/>
        </w:placeholder>
      </w:sdtPr>
      <w:sdtContent>
        <w:p w:rsidR="00806678" w:rsidRDefault="00B16377" w:rsidP="00FF17C7">
          <w:pPr>
            <w:pStyle w:val="4"/>
            <w:numPr>
              <w:ilvl w:val="3"/>
              <w:numId w:val="45"/>
            </w:numPr>
            <w:ind w:left="426" w:hanging="426"/>
          </w:pPr>
          <w:r>
            <w:rPr>
              <w:rFonts w:hint="eastAsia"/>
            </w:rPr>
            <w:t>转移其他应收款且继续涉入形成的资产、负债的金额</w:t>
          </w:r>
        </w:p>
        <w:sdt>
          <w:sdtPr>
            <w:rPr>
              <w:rFonts w:hint="eastAsia"/>
              <w:szCs w:val="21"/>
            </w:rPr>
            <w:alias w:val="是否适用：转移其他应收款且继续涉入形成的资产、负债的金额[双击切换]"/>
            <w:tag w:val="_GBC_6da3b3dd704e45689d462a159df53651"/>
            <w:id w:val="-758443993"/>
            <w:lock w:val="sdtLocked"/>
            <w:placeholder>
              <w:docPart w:val="GBC22222222222222222222222222222"/>
            </w:placeholder>
          </w:sdtPr>
          <w:sdtContent>
            <w:p w:rsidR="00806678" w:rsidRDefault="00F80B6C">
              <w:pPr>
                <w:rPr>
                  <w:szCs w:val="21"/>
                </w:rPr>
              </w:pPr>
              <w:r>
                <w:rPr>
                  <w:szCs w:val="21"/>
                </w:rPr>
                <w:fldChar w:fldCharType="begin"/>
              </w:r>
              <w:r w:rsidR="002A4D9D">
                <w:rPr>
                  <w:szCs w:val="21"/>
                </w:rPr>
                <w:instrText xml:space="preserve"> MACROBUTTON  SnrToggleCheckbox □适用  </w:instrText>
              </w:r>
              <w:r>
                <w:rPr>
                  <w:szCs w:val="21"/>
                </w:rPr>
                <w:fldChar w:fldCharType="end"/>
              </w:r>
              <w:r>
                <w:rPr>
                  <w:szCs w:val="21"/>
                </w:rPr>
                <w:fldChar w:fldCharType="begin"/>
              </w:r>
              <w:r w:rsidR="002A4D9D">
                <w:rPr>
                  <w:szCs w:val="21"/>
                </w:rPr>
                <w:instrText xml:space="preserve"> MACROBUTTON  SnrToggleCheckbox √不适用 </w:instrText>
              </w:r>
              <w:r>
                <w:rPr>
                  <w:szCs w:val="21"/>
                </w:rPr>
                <w:fldChar w:fldCharType="end"/>
              </w:r>
            </w:p>
          </w:sdtContent>
        </w:sdt>
      </w:sdtContent>
    </w:sdt>
    <w:sdt>
      <w:sdtPr>
        <w:rPr>
          <w:rFonts w:ascii="Times New Roman" w:hAnsi="Times New Roman" w:hint="eastAsia"/>
          <w:b/>
          <w:bCs/>
        </w:rPr>
        <w:alias w:val="模块:其他应收款其他说明"/>
        <w:tag w:val="_SEC_ca3c9a9eec87490e8f1dd55c9f575f92"/>
        <w:id w:val="1421299523"/>
        <w:lock w:val="sdtLocked"/>
        <w:placeholder>
          <w:docPart w:val="GBC22222222222222222222222222222"/>
        </w:placeholder>
      </w:sdtPr>
      <w:sdtEndPr>
        <w:rPr>
          <w:b w:val="0"/>
          <w:bCs w:val="0"/>
        </w:rPr>
      </w:sdtEndPr>
      <w:sdtContent>
        <w:p w:rsidR="00806678" w:rsidRDefault="00B16377">
          <w:r>
            <w:rPr>
              <w:rFonts w:hint="eastAsia"/>
            </w:rPr>
            <w:t>其他</w:t>
          </w:r>
          <w:r>
            <w:t>说明：</w:t>
          </w:r>
        </w:p>
        <w:sdt>
          <w:sdtPr>
            <w:rPr>
              <w:rFonts w:hint="eastAsia"/>
              <w:szCs w:val="21"/>
            </w:rPr>
            <w:alias w:val="是否适用：其他应收款的其他说明[双击切换]"/>
            <w:tag w:val="_GBC_f19370687b664bbeafd6d2809311f81e"/>
            <w:id w:val="-318582408"/>
            <w:lock w:val="sdtLocked"/>
            <w:placeholder>
              <w:docPart w:val="GBC22222222222222222222222222222"/>
            </w:placeholder>
          </w:sdtPr>
          <w:sdtContent>
            <w:p w:rsidR="00806678" w:rsidRDefault="00F80B6C" w:rsidP="002A4D9D">
              <w:pPr>
                <w:rPr>
                  <w:szCs w:val="21"/>
                </w:rPr>
              </w:pPr>
              <w:r>
                <w:rPr>
                  <w:szCs w:val="21"/>
                </w:rPr>
                <w:fldChar w:fldCharType="begin"/>
              </w:r>
              <w:r w:rsidR="002A4D9D">
                <w:rPr>
                  <w:szCs w:val="21"/>
                </w:rPr>
                <w:instrText xml:space="preserve"> MACROBUTTON  SnrToggleCheckbox □适用  </w:instrText>
              </w:r>
              <w:r>
                <w:rPr>
                  <w:szCs w:val="21"/>
                </w:rPr>
                <w:fldChar w:fldCharType="end"/>
              </w:r>
              <w:r>
                <w:rPr>
                  <w:szCs w:val="21"/>
                </w:rPr>
                <w:fldChar w:fldCharType="begin"/>
              </w:r>
              <w:r w:rsidR="002A4D9D">
                <w:rPr>
                  <w:szCs w:val="21"/>
                </w:rPr>
                <w:instrText xml:space="preserve"> MACROBUTTON  SnrToggleCheckbox √不适用 </w:instrText>
              </w:r>
              <w:r>
                <w:rPr>
                  <w:szCs w:val="21"/>
                </w:rPr>
                <w:fldChar w:fldCharType="end"/>
              </w:r>
            </w:p>
          </w:sdtContent>
        </w:sdt>
      </w:sdtContent>
    </w:sdt>
    <w:p w:rsidR="00C1715E" w:rsidRDefault="00C1715E">
      <w:pPr>
        <w:rPr>
          <w:szCs w:val="21"/>
        </w:rPr>
      </w:pPr>
    </w:p>
    <w:p w:rsidR="00806678" w:rsidRDefault="00B16377" w:rsidP="00FF17C7">
      <w:pPr>
        <w:pStyle w:val="3"/>
        <w:numPr>
          <w:ilvl w:val="0"/>
          <w:numId w:val="18"/>
        </w:numPr>
      </w:pPr>
      <w:r>
        <w:rPr>
          <w:rFonts w:hint="eastAsia"/>
        </w:rPr>
        <w:t>存货</w:t>
      </w:r>
    </w:p>
    <w:bookmarkStart w:id="177" w:name="_Hlk24116366" w:displacedByCustomXml="next"/>
    <w:bookmarkStart w:id="178" w:name="_Hlk532992451" w:displacedByCustomXml="next"/>
    <w:sdt>
      <w:sdtPr>
        <w:rPr>
          <w:rFonts w:asciiTheme="minorHAnsi" w:eastAsia="宋体" w:hAnsiTheme="minorHAnsi" w:cs="宋体" w:hint="eastAsia"/>
          <w:b w:val="0"/>
          <w:bCs w:val="0"/>
          <w:kern w:val="0"/>
          <w:szCs w:val="22"/>
        </w:rPr>
        <w:alias w:val="模块:存货分类 "/>
        <w:tag w:val="_SEC_db208c50ef2347fc8318ac3ce516f8f3"/>
        <w:id w:val="1356232942"/>
        <w:lock w:val="sdtLocked"/>
        <w:placeholder>
          <w:docPart w:val="GBC22222222222222222222222222222"/>
        </w:placeholder>
      </w:sdtPr>
      <w:sdtEndPr>
        <w:rPr>
          <w:rFonts w:ascii="宋体" w:hAnsi="宋体"/>
          <w:szCs w:val="21"/>
        </w:rPr>
      </w:sdtEndPr>
      <w:sdtContent>
        <w:p w:rsidR="00806678" w:rsidRDefault="00B16377" w:rsidP="00FF17C7">
          <w:pPr>
            <w:pStyle w:val="4"/>
            <w:numPr>
              <w:ilvl w:val="3"/>
              <w:numId w:val="79"/>
            </w:numPr>
            <w:ind w:left="426" w:hanging="426"/>
          </w:pPr>
          <w:r>
            <w:rPr>
              <w:rFonts w:hint="eastAsia"/>
            </w:rPr>
            <w:t>存货分类</w:t>
          </w:r>
        </w:p>
        <w:sdt>
          <w:sdtPr>
            <w:alias w:val="是否适用：存货分类[双击切换]"/>
            <w:tag w:val="_GBC_357bbe1b1f034d20ba175209243f1121"/>
            <w:id w:val="-482073240"/>
            <w:lock w:val="sdtLocked"/>
            <w:placeholder>
              <w:docPart w:val="GBC22222222222222222222222222222"/>
            </w:placeholder>
          </w:sdtPr>
          <w:sdtContent>
            <w:p w:rsidR="00806678" w:rsidRDefault="00F80B6C">
              <w:r>
                <w:fldChar w:fldCharType="begin"/>
              </w:r>
              <w:r w:rsidR="009C54D9">
                <w:instrText xml:space="preserve">MACROBUTTON  SnrToggleCheckbox √适用 </w:instrText>
              </w:r>
              <w:r>
                <w:fldChar w:fldCharType="end"/>
              </w:r>
              <w:r>
                <w:fldChar w:fldCharType="begin"/>
              </w:r>
              <w:r w:rsidR="009C54D9">
                <w:instrText xml:space="preserve"> MACROBUTTON  SnrToggleCheckbox □不适用 </w:instrText>
              </w:r>
              <w:r>
                <w:fldChar w:fldCharType="end"/>
              </w:r>
            </w:p>
          </w:sdtContent>
        </w:sdt>
        <w:p w:rsidR="00806678" w:rsidRDefault="00B16377" w:rsidP="00492C01">
          <w:pPr>
            <w:jc w:val="right"/>
            <w:rPr>
              <w:szCs w:val="21"/>
            </w:rPr>
          </w:pPr>
          <w:r>
            <w:rPr>
              <w:rFonts w:hint="eastAsia"/>
              <w:szCs w:val="21"/>
            </w:rPr>
            <w:t>单位：</w:t>
          </w:r>
          <w:sdt>
            <w:sdtPr>
              <w:rPr>
                <w:rFonts w:hint="eastAsia"/>
                <w:szCs w:val="21"/>
              </w:rPr>
              <w:alias w:val="单位：财务附注：存货分类"/>
              <w:tag w:val="_GBC_d8d041ff281d42b2825673de12d9cf99"/>
              <w:id w:val="-158723005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存货分类"/>
              <w:tag w:val="_GBC_dfe02fee4d9a4b77b46c5afad867d464"/>
              <w:id w:val="-34656597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64"/>
            <w:gridCol w:w="1261"/>
            <w:gridCol w:w="1270"/>
            <w:gridCol w:w="1542"/>
            <w:gridCol w:w="1292"/>
            <w:gridCol w:w="1135"/>
            <w:gridCol w:w="1285"/>
          </w:tblGrid>
          <w:tr w:rsidR="00DE6DE5" w:rsidTr="00DE6DE5">
            <w:trPr>
              <w:cantSplit/>
            </w:trPr>
            <w:sdt>
              <w:sdtPr>
                <w:rPr>
                  <w:sz w:val="16"/>
                  <w:szCs w:val="16"/>
                </w:rPr>
                <w:tag w:val="_PLD_c7ef81863f9f475b86b8ee43ac7e9274"/>
                <w:id w:val="320091520"/>
                <w:lock w:val="sdtLocked"/>
              </w:sdtPr>
              <w:sdtContent>
                <w:tc>
                  <w:tcPr>
                    <w:tcW w:w="698" w:type="pct"/>
                    <w:vMerge w:val="restart"/>
                    <w:vAlign w:val="center"/>
                  </w:tcPr>
                  <w:p w:rsidR="00DE6DE5" w:rsidRPr="00DE6DE5" w:rsidRDefault="00DE6DE5" w:rsidP="00601D47">
                    <w:pPr>
                      <w:jc w:val="center"/>
                      <w:rPr>
                        <w:sz w:val="16"/>
                        <w:szCs w:val="16"/>
                      </w:rPr>
                    </w:pPr>
                    <w:r w:rsidRPr="00DE6DE5">
                      <w:rPr>
                        <w:rFonts w:hint="eastAsia"/>
                        <w:sz w:val="16"/>
                        <w:szCs w:val="16"/>
                      </w:rPr>
                      <w:t>项目</w:t>
                    </w:r>
                  </w:p>
                </w:tc>
              </w:sdtContent>
            </w:sdt>
            <w:sdt>
              <w:sdtPr>
                <w:rPr>
                  <w:sz w:val="16"/>
                  <w:szCs w:val="16"/>
                </w:rPr>
                <w:tag w:val="_PLD_68fbd4316a69442d924038f565882f99"/>
                <w:id w:val="-800691721"/>
                <w:lock w:val="sdtLocked"/>
              </w:sdtPr>
              <w:sdtContent>
                <w:tc>
                  <w:tcPr>
                    <w:tcW w:w="2251" w:type="pct"/>
                    <w:gridSpan w:val="3"/>
                    <w:vAlign w:val="center"/>
                  </w:tcPr>
                  <w:p w:rsidR="00DE6DE5" w:rsidRPr="00DE6DE5" w:rsidRDefault="00DE6DE5" w:rsidP="00601D47">
                    <w:pPr>
                      <w:jc w:val="center"/>
                      <w:rPr>
                        <w:sz w:val="16"/>
                        <w:szCs w:val="16"/>
                      </w:rPr>
                    </w:pPr>
                    <w:r w:rsidRPr="00DE6DE5">
                      <w:rPr>
                        <w:rFonts w:hint="eastAsia"/>
                        <w:sz w:val="16"/>
                        <w:szCs w:val="16"/>
                      </w:rPr>
                      <w:t>期末余额</w:t>
                    </w:r>
                  </w:p>
                </w:tc>
              </w:sdtContent>
            </w:sdt>
            <w:sdt>
              <w:sdtPr>
                <w:rPr>
                  <w:sz w:val="16"/>
                  <w:szCs w:val="16"/>
                </w:rPr>
                <w:tag w:val="_PLD_39f6313de32c45ce95b6a2ef18238d4a"/>
                <w:id w:val="2056738153"/>
                <w:lock w:val="sdtLocked"/>
              </w:sdtPr>
              <w:sdtContent>
                <w:tc>
                  <w:tcPr>
                    <w:tcW w:w="2051" w:type="pct"/>
                    <w:gridSpan w:val="3"/>
                    <w:vAlign w:val="center"/>
                  </w:tcPr>
                  <w:p w:rsidR="00DE6DE5" w:rsidRPr="00DE6DE5" w:rsidRDefault="00DE6DE5" w:rsidP="00601D47">
                    <w:pPr>
                      <w:jc w:val="center"/>
                      <w:rPr>
                        <w:sz w:val="16"/>
                        <w:szCs w:val="16"/>
                      </w:rPr>
                    </w:pPr>
                    <w:r w:rsidRPr="00DE6DE5">
                      <w:rPr>
                        <w:rFonts w:hint="eastAsia"/>
                        <w:sz w:val="16"/>
                        <w:szCs w:val="16"/>
                      </w:rPr>
                      <w:t>期初余额</w:t>
                    </w:r>
                  </w:p>
                </w:tc>
              </w:sdtContent>
            </w:sdt>
          </w:tr>
          <w:tr w:rsidR="00DE6DE5" w:rsidTr="00DE6DE5">
            <w:trPr>
              <w:cantSplit/>
            </w:trPr>
            <w:tc>
              <w:tcPr>
                <w:tcW w:w="698" w:type="pct"/>
                <w:vMerge/>
              </w:tcPr>
              <w:p w:rsidR="00DE6DE5" w:rsidRPr="00DE6DE5" w:rsidRDefault="00DE6DE5" w:rsidP="00601D47">
                <w:pPr>
                  <w:ind w:right="5"/>
                  <w:jc w:val="center"/>
                  <w:rPr>
                    <w:sz w:val="16"/>
                    <w:szCs w:val="16"/>
                  </w:rPr>
                </w:pPr>
              </w:p>
            </w:tc>
            <w:sdt>
              <w:sdtPr>
                <w:rPr>
                  <w:sz w:val="16"/>
                  <w:szCs w:val="16"/>
                </w:rPr>
                <w:tag w:val="_PLD_73436d894fc444d5b519a3b75a689324"/>
                <w:id w:val="-234157635"/>
                <w:lock w:val="sdtLocked"/>
              </w:sdtPr>
              <w:sdtContent>
                <w:tc>
                  <w:tcPr>
                    <w:tcW w:w="697" w:type="pct"/>
                    <w:vAlign w:val="center"/>
                  </w:tcPr>
                  <w:p w:rsidR="00DE6DE5" w:rsidRPr="00DE6DE5" w:rsidRDefault="00DE6DE5" w:rsidP="00601D47">
                    <w:pPr>
                      <w:ind w:right="5"/>
                      <w:jc w:val="center"/>
                      <w:rPr>
                        <w:sz w:val="16"/>
                        <w:szCs w:val="16"/>
                      </w:rPr>
                    </w:pPr>
                    <w:r w:rsidRPr="00DE6DE5">
                      <w:rPr>
                        <w:rFonts w:hint="eastAsia"/>
                        <w:sz w:val="16"/>
                        <w:szCs w:val="16"/>
                      </w:rPr>
                      <w:t>账面余额</w:t>
                    </w:r>
                  </w:p>
                </w:tc>
              </w:sdtContent>
            </w:sdt>
            <w:tc>
              <w:tcPr>
                <w:tcW w:w="702" w:type="pct"/>
                <w:vAlign w:val="center"/>
              </w:tcPr>
              <w:p w:rsidR="00DE6DE5" w:rsidRPr="00DE6DE5" w:rsidRDefault="00F80B6C" w:rsidP="00DE6DE5">
                <w:pPr>
                  <w:ind w:right="38"/>
                  <w:jc w:val="center"/>
                  <w:rPr>
                    <w:sz w:val="16"/>
                    <w:szCs w:val="16"/>
                  </w:rPr>
                </w:pPr>
                <w:sdt>
                  <w:sdtPr>
                    <w:rPr>
                      <w:sz w:val="16"/>
                      <w:szCs w:val="16"/>
                    </w:rPr>
                    <w:tag w:val="_PLD_09cd496fa8624ad4a9538b5b209e6d5a"/>
                    <w:id w:val="-562642865"/>
                    <w:lock w:val="sdtLocked"/>
                  </w:sdtPr>
                  <w:sdtContent>
                    <w:r w:rsidR="00DE6DE5" w:rsidRPr="00DE6DE5">
                      <w:rPr>
                        <w:rFonts w:hint="eastAsia"/>
                        <w:sz w:val="16"/>
                        <w:szCs w:val="16"/>
                      </w:rPr>
                      <w:t>存货跌价准备</w:t>
                    </w:r>
                    <w:r w:rsidR="00DE6DE5" w:rsidRPr="00DE6DE5">
                      <w:rPr>
                        <w:sz w:val="16"/>
                        <w:szCs w:val="16"/>
                      </w:rPr>
                      <w:t>/合同履约成本减值准备</w:t>
                    </w:r>
                  </w:sdtContent>
                </w:sdt>
              </w:p>
            </w:tc>
            <w:sdt>
              <w:sdtPr>
                <w:rPr>
                  <w:sz w:val="16"/>
                  <w:szCs w:val="16"/>
                </w:rPr>
                <w:tag w:val="_PLD_2c7532c412cf491899c310ef9902157e"/>
                <w:id w:val="-89394455"/>
                <w:lock w:val="sdtLocked"/>
              </w:sdtPr>
              <w:sdtContent>
                <w:tc>
                  <w:tcPr>
                    <w:tcW w:w="852" w:type="pct"/>
                    <w:vAlign w:val="center"/>
                  </w:tcPr>
                  <w:p w:rsidR="00DE6DE5" w:rsidRPr="00DE6DE5" w:rsidRDefault="00DE6DE5" w:rsidP="00601D47">
                    <w:pPr>
                      <w:ind w:right="5"/>
                      <w:jc w:val="center"/>
                      <w:rPr>
                        <w:sz w:val="16"/>
                        <w:szCs w:val="16"/>
                      </w:rPr>
                    </w:pPr>
                    <w:r w:rsidRPr="00DE6DE5">
                      <w:rPr>
                        <w:rFonts w:hint="eastAsia"/>
                        <w:sz w:val="16"/>
                        <w:szCs w:val="16"/>
                      </w:rPr>
                      <w:t>账面价值</w:t>
                    </w:r>
                  </w:p>
                </w:tc>
              </w:sdtContent>
            </w:sdt>
            <w:sdt>
              <w:sdtPr>
                <w:rPr>
                  <w:sz w:val="16"/>
                  <w:szCs w:val="16"/>
                </w:rPr>
                <w:tag w:val="_PLD_6c2924a6d3da466f96c5c2e2f2d81de1"/>
                <w:id w:val="970865733"/>
                <w:lock w:val="sdtLocked"/>
              </w:sdtPr>
              <w:sdtContent>
                <w:tc>
                  <w:tcPr>
                    <w:tcW w:w="714" w:type="pct"/>
                    <w:vAlign w:val="center"/>
                  </w:tcPr>
                  <w:p w:rsidR="00DE6DE5" w:rsidRPr="00DE6DE5" w:rsidRDefault="00DE6DE5" w:rsidP="00601D47">
                    <w:pPr>
                      <w:ind w:right="5"/>
                      <w:jc w:val="center"/>
                      <w:rPr>
                        <w:sz w:val="16"/>
                        <w:szCs w:val="16"/>
                      </w:rPr>
                    </w:pPr>
                    <w:r w:rsidRPr="00DE6DE5">
                      <w:rPr>
                        <w:rFonts w:hint="eastAsia"/>
                        <w:sz w:val="16"/>
                        <w:szCs w:val="16"/>
                      </w:rPr>
                      <w:t>账面余额</w:t>
                    </w:r>
                  </w:p>
                </w:tc>
              </w:sdtContent>
            </w:sdt>
            <w:tc>
              <w:tcPr>
                <w:tcW w:w="627" w:type="pct"/>
                <w:vAlign w:val="center"/>
              </w:tcPr>
              <w:p w:rsidR="00DE6DE5" w:rsidRPr="00DE6DE5" w:rsidRDefault="00F80B6C" w:rsidP="00DE6DE5">
                <w:pPr>
                  <w:ind w:right="-104"/>
                  <w:jc w:val="center"/>
                  <w:rPr>
                    <w:sz w:val="16"/>
                    <w:szCs w:val="16"/>
                  </w:rPr>
                </w:pPr>
                <w:sdt>
                  <w:sdtPr>
                    <w:rPr>
                      <w:sz w:val="16"/>
                      <w:szCs w:val="16"/>
                    </w:rPr>
                    <w:tag w:val="_PLD_e5df78ba36d146dfb7eedab7ddd98031"/>
                    <w:id w:val="2127653254"/>
                    <w:lock w:val="sdtLocked"/>
                  </w:sdtPr>
                  <w:sdtContent>
                    <w:r w:rsidR="00DE6DE5" w:rsidRPr="00DE6DE5">
                      <w:rPr>
                        <w:rFonts w:hint="eastAsia"/>
                        <w:sz w:val="16"/>
                        <w:szCs w:val="16"/>
                      </w:rPr>
                      <w:t>存货跌价准备</w:t>
                    </w:r>
                    <w:r w:rsidR="00DE6DE5" w:rsidRPr="00DE6DE5">
                      <w:rPr>
                        <w:sz w:val="16"/>
                        <w:szCs w:val="16"/>
                      </w:rPr>
                      <w:t>/合同履约成本减值准备</w:t>
                    </w:r>
                  </w:sdtContent>
                </w:sdt>
              </w:p>
            </w:tc>
            <w:sdt>
              <w:sdtPr>
                <w:rPr>
                  <w:sz w:val="16"/>
                  <w:szCs w:val="16"/>
                </w:rPr>
                <w:tag w:val="_PLD_ba07e513b5504e03b2dcef7d8421fa16"/>
                <w:id w:val="-1714484249"/>
                <w:lock w:val="sdtLocked"/>
              </w:sdtPr>
              <w:sdtContent>
                <w:tc>
                  <w:tcPr>
                    <w:tcW w:w="711" w:type="pct"/>
                    <w:vAlign w:val="center"/>
                  </w:tcPr>
                  <w:p w:rsidR="00DE6DE5" w:rsidRPr="00DE6DE5" w:rsidRDefault="00DE6DE5" w:rsidP="00601D47">
                    <w:pPr>
                      <w:ind w:right="5"/>
                      <w:jc w:val="center"/>
                      <w:rPr>
                        <w:sz w:val="16"/>
                        <w:szCs w:val="16"/>
                      </w:rPr>
                    </w:pPr>
                    <w:r w:rsidRPr="00DE6DE5">
                      <w:rPr>
                        <w:rFonts w:hint="eastAsia"/>
                        <w:sz w:val="16"/>
                        <w:szCs w:val="16"/>
                      </w:rPr>
                      <w:t>账面价值</w:t>
                    </w:r>
                  </w:p>
                </w:tc>
              </w:sdtContent>
            </w:sdt>
          </w:tr>
          <w:tr w:rsidR="00DE6DE5" w:rsidTr="00DE6DE5">
            <w:trPr>
              <w:cantSplit/>
            </w:trPr>
            <w:tc>
              <w:tcPr>
                <w:tcW w:w="698" w:type="pct"/>
              </w:tcPr>
              <w:p w:rsidR="00DE6DE5" w:rsidRPr="00DE6DE5" w:rsidRDefault="00DE6DE5" w:rsidP="00DE6DE5">
                <w:pPr>
                  <w:ind w:right="-184"/>
                  <w:rPr>
                    <w:sz w:val="16"/>
                    <w:szCs w:val="16"/>
                  </w:rPr>
                </w:pPr>
                <w:r w:rsidRPr="00DE6DE5">
                  <w:rPr>
                    <w:sz w:val="16"/>
                    <w:szCs w:val="16"/>
                  </w:rPr>
                  <w:t>一般材料及轨料</w:t>
                </w:r>
              </w:p>
            </w:tc>
            <w:tc>
              <w:tcPr>
                <w:tcW w:w="697" w:type="pct"/>
                <w:vAlign w:val="center"/>
              </w:tcPr>
              <w:p w:rsidR="00DE6DE5" w:rsidRPr="00DE6DE5" w:rsidRDefault="00DE6DE5" w:rsidP="00DE6DE5">
                <w:pPr>
                  <w:ind w:right="5"/>
                  <w:jc w:val="right"/>
                  <w:rPr>
                    <w:sz w:val="16"/>
                    <w:szCs w:val="16"/>
                  </w:rPr>
                </w:pPr>
                <w:r w:rsidRPr="00DE6DE5">
                  <w:rPr>
                    <w:sz w:val="16"/>
                    <w:szCs w:val="16"/>
                  </w:rPr>
                  <w:t>1,268,900,252</w:t>
                </w:r>
              </w:p>
            </w:tc>
            <w:tc>
              <w:tcPr>
                <w:tcW w:w="702" w:type="pct"/>
              </w:tcPr>
              <w:p w:rsidR="00DE6DE5" w:rsidRPr="00DE6DE5" w:rsidRDefault="00DE6DE5" w:rsidP="00DE6DE5">
                <w:pPr>
                  <w:ind w:right="5"/>
                  <w:jc w:val="right"/>
                  <w:rPr>
                    <w:sz w:val="16"/>
                    <w:szCs w:val="16"/>
                  </w:rPr>
                </w:pPr>
                <w:r w:rsidRPr="00DE6DE5">
                  <w:rPr>
                    <w:sz w:val="16"/>
                    <w:szCs w:val="16"/>
                  </w:rPr>
                  <w:t>0</w:t>
                </w:r>
              </w:p>
            </w:tc>
            <w:tc>
              <w:tcPr>
                <w:tcW w:w="852" w:type="pct"/>
                <w:vAlign w:val="center"/>
              </w:tcPr>
              <w:p w:rsidR="00DE6DE5" w:rsidRPr="00DE6DE5" w:rsidRDefault="00DE6DE5" w:rsidP="00DE6DE5">
                <w:pPr>
                  <w:ind w:right="5"/>
                  <w:jc w:val="right"/>
                  <w:rPr>
                    <w:sz w:val="16"/>
                    <w:szCs w:val="16"/>
                  </w:rPr>
                </w:pPr>
                <w:r w:rsidRPr="00DE6DE5">
                  <w:rPr>
                    <w:sz w:val="16"/>
                    <w:szCs w:val="16"/>
                  </w:rPr>
                  <w:t>1,268,900,252</w:t>
                </w:r>
              </w:p>
            </w:tc>
            <w:tc>
              <w:tcPr>
                <w:tcW w:w="714" w:type="pct"/>
                <w:vAlign w:val="center"/>
              </w:tcPr>
              <w:p w:rsidR="00DE6DE5" w:rsidRPr="00DE6DE5" w:rsidRDefault="00DE6DE5" w:rsidP="00DE6DE5">
                <w:pPr>
                  <w:ind w:right="5"/>
                  <w:jc w:val="right"/>
                  <w:rPr>
                    <w:sz w:val="16"/>
                    <w:szCs w:val="16"/>
                  </w:rPr>
                </w:pPr>
                <w:r w:rsidRPr="00DE6DE5">
                  <w:rPr>
                    <w:sz w:val="16"/>
                    <w:szCs w:val="16"/>
                  </w:rPr>
                  <w:t>1,167,772,319</w:t>
                </w:r>
              </w:p>
            </w:tc>
            <w:tc>
              <w:tcPr>
                <w:tcW w:w="627" w:type="pct"/>
                <w:vAlign w:val="center"/>
              </w:tcPr>
              <w:p w:rsidR="00DE6DE5" w:rsidRPr="00DE6DE5" w:rsidRDefault="00DE6DE5" w:rsidP="00DE6DE5">
                <w:pPr>
                  <w:ind w:right="5"/>
                  <w:jc w:val="right"/>
                  <w:rPr>
                    <w:sz w:val="16"/>
                    <w:szCs w:val="16"/>
                  </w:rPr>
                </w:pPr>
                <w:r w:rsidRPr="00DE6DE5">
                  <w:rPr>
                    <w:sz w:val="16"/>
                    <w:szCs w:val="16"/>
                  </w:rPr>
                  <w:t>0</w:t>
                </w:r>
              </w:p>
            </w:tc>
            <w:tc>
              <w:tcPr>
                <w:tcW w:w="711" w:type="pct"/>
                <w:vAlign w:val="center"/>
              </w:tcPr>
              <w:p w:rsidR="00DE6DE5" w:rsidRPr="00DE6DE5" w:rsidRDefault="00DE6DE5" w:rsidP="00DE6DE5">
                <w:pPr>
                  <w:ind w:right="5"/>
                  <w:jc w:val="right"/>
                  <w:rPr>
                    <w:sz w:val="16"/>
                    <w:szCs w:val="16"/>
                  </w:rPr>
                </w:pPr>
                <w:r w:rsidRPr="00DE6DE5">
                  <w:rPr>
                    <w:sz w:val="16"/>
                    <w:szCs w:val="16"/>
                  </w:rPr>
                  <w:t>1,167,772,319</w:t>
                </w:r>
              </w:p>
            </w:tc>
          </w:tr>
          <w:tr w:rsidR="00DE6DE5" w:rsidTr="00DE6DE5">
            <w:trPr>
              <w:cantSplit/>
            </w:trPr>
            <w:tc>
              <w:tcPr>
                <w:tcW w:w="698" w:type="pct"/>
              </w:tcPr>
              <w:p w:rsidR="00DE6DE5" w:rsidRPr="00DE6DE5" w:rsidRDefault="00DE6DE5" w:rsidP="00DE6DE5">
                <w:pPr>
                  <w:ind w:right="5"/>
                  <w:rPr>
                    <w:sz w:val="16"/>
                    <w:szCs w:val="16"/>
                  </w:rPr>
                </w:pPr>
                <w:r w:rsidRPr="00DE6DE5">
                  <w:rPr>
                    <w:sz w:val="16"/>
                    <w:szCs w:val="16"/>
                  </w:rPr>
                  <w:t>线上料</w:t>
                </w:r>
              </w:p>
            </w:tc>
            <w:tc>
              <w:tcPr>
                <w:tcW w:w="697" w:type="pct"/>
                <w:vAlign w:val="center"/>
              </w:tcPr>
              <w:p w:rsidR="00DE6DE5" w:rsidRPr="00DE6DE5" w:rsidRDefault="00DE6DE5" w:rsidP="00DE6DE5">
                <w:pPr>
                  <w:ind w:right="5"/>
                  <w:jc w:val="right"/>
                  <w:rPr>
                    <w:sz w:val="16"/>
                    <w:szCs w:val="16"/>
                  </w:rPr>
                </w:pPr>
                <w:r w:rsidRPr="00DE6DE5">
                  <w:rPr>
                    <w:sz w:val="16"/>
                    <w:szCs w:val="16"/>
                  </w:rPr>
                  <w:t>264,275,162</w:t>
                </w:r>
              </w:p>
            </w:tc>
            <w:tc>
              <w:tcPr>
                <w:tcW w:w="702" w:type="pct"/>
              </w:tcPr>
              <w:p w:rsidR="00DE6DE5" w:rsidRPr="00DE6DE5" w:rsidRDefault="00DE6DE5" w:rsidP="00DE6DE5">
                <w:pPr>
                  <w:ind w:right="5"/>
                  <w:jc w:val="right"/>
                  <w:rPr>
                    <w:sz w:val="16"/>
                    <w:szCs w:val="16"/>
                  </w:rPr>
                </w:pPr>
                <w:r w:rsidRPr="00DE6DE5">
                  <w:rPr>
                    <w:sz w:val="16"/>
                    <w:szCs w:val="16"/>
                  </w:rPr>
                  <w:t>0</w:t>
                </w:r>
              </w:p>
            </w:tc>
            <w:tc>
              <w:tcPr>
                <w:tcW w:w="852" w:type="pct"/>
                <w:vAlign w:val="center"/>
              </w:tcPr>
              <w:p w:rsidR="00DE6DE5" w:rsidRPr="00DE6DE5" w:rsidRDefault="00DE6DE5" w:rsidP="00DE6DE5">
                <w:pPr>
                  <w:ind w:right="5"/>
                  <w:jc w:val="right"/>
                  <w:rPr>
                    <w:sz w:val="16"/>
                    <w:szCs w:val="16"/>
                  </w:rPr>
                </w:pPr>
                <w:r w:rsidRPr="00DE6DE5">
                  <w:rPr>
                    <w:sz w:val="16"/>
                    <w:szCs w:val="16"/>
                  </w:rPr>
                  <w:t>264,275,162</w:t>
                </w:r>
              </w:p>
            </w:tc>
            <w:tc>
              <w:tcPr>
                <w:tcW w:w="714" w:type="pct"/>
                <w:vAlign w:val="center"/>
              </w:tcPr>
              <w:p w:rsidR="00DE6DE5" w:rsidRPr="00DE6DE5" w:rsidRDefault="00DE6DE5" w:rsidP="00DE6DE5">
                <w:pPr>
                  <w:ind w:right="5"/>
                  <w:jc w:val="right"/>
                  <w:rPr>
                    <w:sz w:val="16"/>
                    <w:szCs w:val="16"/>
                  </w:rPr>
                </w:pPr>
                <w:r w:rsidRPr="00DE6DE5">
                  <w:rPr>
                    <w:sz w:val="16"/>
                    <w:szCs w:val="16"/>
                  </w:rPr>
                  <w:t>275,871,840</w:t>
                </w:r>
              </w:p>
            </w:tc>
            <w:tc>
              <w:tcPr>
                <w:tcW w:w="627" w:type="pct"/>
                <w:vAlign w:val="center"/>
              </w:tcPr>
              <w:p w:rsidR="00DE6DE5" w:rsidRPr="00DE6DE5" w:rsidRDefault="00DE6DE5" w:rsidP="00DE6DE5">
                <w:pPr>
                  <w:ind w:right="5"/>
                  <w:jc w:val="right"/>
                  <w:rPr>
                    <w:sz w:val="16"/>
                    <w:szCs w:val="16"/>
                  </w:rPr>
                </w:pPr>
                <w:r w:rsidRPr="00DE6DE5">
                  <w:rPr>
                    <w:sz w:val="16"/>
                    <w:szCs w:val="16"/>
                  </w:rPr>
                  <w:t>0</w:t>
                </w:r>
              </w:p>
            </w:tc>
            <w:tc>
              <w:tcPr>
                <w:tcW w:w="711" w:type="pct"/>
                <w:vAlign w:val="center"/>
              </w:tcPr>
              <w:p w:rsidR="00DE6DE5" w:rsidRPr="00DE6DE5" w:rsidRDefault="00DE6DE5" w:rsidP="00DE6DE5">
                <w:pPr>
                  <w:ind w:right="5"/>
                  <w:jc w:val="right"/>
                  <w:rPr>
                    <w:sz w:val="16"/>
                    <w:szCs w:val="16"/>
                  </w:rPr>
                </w:pPr>
                <w:r w:rsidRPr="00DE6DE5">
                  <w:rPr>
                    <w:sz w:val="16"/>
                    <w:szCs w:val="16"/>
                  </w:rPr>
                  <w:t>275,871,840</w:t>
                </w:r>
              </w:p>
            </w:tc>
          </w:tr>
          <w:tr w:rsidR="00DE6DE5" w:rsidTr="00DE6DE5">
            <w:trPr>
              <w:cantSplit/>
            </w:trPr>
            <w:tc>
              <w:tcPr>
                <w:tcW w:w="698" w:type="pct"/>
              </w:tcPr>
              <w:p w:rsidR="00DE6DE5" w:rsidRPr="00DE6DE5" w:rsidRDefault="00DE6DE5" w:rsidP="00DE6DE5">
                <w:pPr>
                  <w:ind w:right="5"/>
                  <w:rPr>
                    <w:sz w:val="16"/>
                    <w:szCs w:val="16"/>
                  </w:rPr>
                </w:pPr>
                <w:r w:rsidRPr="00DE6DE5">
                  <w:rPr>
                    <w:sz w:val="16"/>
                    <w:szCs w:val="16"/>
                  </w:rPr>
                  <w:t>库存配件</w:t>
                </w:r>
              </w:p>
            </w:tc>
            <w:tc>
              <w:tcPr>
                <w:tcW w:w="697" w:type="pct"/>
                <w:vAlign w:val="center"/>
              </w:tcPr>
              <w:p w:rsidR="00DE6DE5" w:rsidRPr="00DE6DE5" w:rsidRDefault="00DE6DE5" w:rsidP="00DE6DE5">
                <w:pPr>
                  <w:ind w:right="5"/>
                  <w:jc w:val="right"/>
                  <w:rPr>
                    <w:sz w:val="16"/>
                    <w:szCs w:val="16"/>
                  </w:rPr>
                </w:pPr>
                <w:r w:rsidRPr="00DE6DE5">
                  <w:rPr>
                    <w:sz w:val="16"/>
                    <w:szCs w:val="16"/>
                  </w:rPr>
                  <w:t>293,238,840</w:t>
                </w:r>
              </w:p>
            </w:tc>
            <w:tc>
              <w:tcPr>
                <w:tcW w:w="702" w:type="pct"/>
                <w:vAlign w:val="center"/>
              </w:tcPr>
              <w:p w:rsidR="00DE6DE5" w:rsidRPr="00DE6DE5" w:rsidRDefault="00DE6DE5" w:rsidP="00DE6DE5">
                <w:pPr>
                  <w:ind w:right="5"/>
                  <w:jc w:val="right"/>
                  <w:rPr>
                    <w:sz w:val="16"/>
                    <w:szCs w:val="16"/>
                  </w:rPr>
                </w:pPr>
                <w:r w:rsidRPr="00DE6DE5">
                  <w:rPr>
                    <w:sz w:val="16"/>
                    <w:szCs w:val="16"/>
                  </w:rPr>
                  <w:t>0</w:t>
                </w:r>
              </w:p>
            </w:tc>
            <w:tc>
              <w:tcPr>
                <w:tcW w:w="852" w:type="pct"/>
                <w:vAlign w:val="center"/>
              </w:tcPr>
              <w:p w:rsidR="00DE6DE5" w:rsidRPr="00DE6DE5" w:rsidRDefault="00DE6DE5" w:rsidP="00DE6DE5">
                <w:pPr>
                  <w:ind w:right="5"/>
                  <w:jc w:val="right"/>
                  <w:rPr>
                    <w:sz w:val="16"/>
                    <w:szCs w:val="16"/>
                  </w:rPr>
                </w:pPr>
                <w:r w:rsidRPr="00DE6DE5">
                  <w:rPr>
                    <w:sz w:val="16"/>
                    <w:szCs w:val="16"/>
                  </w:rPr>
                  <w:t>293,238,840</w:t>
                </w:r>
              </w:p>
            </w:tc>
            <w:tc>
              <w:tcPr>
                <w:tcW w:w="714" w:type="pct"/>
                <w:vAlign w:val="center"/>
              </w:tcPr>
              <w:p w:rsidR="00DE6DE5" w:rsidRPr="00DE6DE5" w:rsidRDefault="00DE6DE5" w:rsidP="00DE6DE5">
                <w:pPr>
                  <w:ind w:right="5"/>
                  <w:jc w:val="right"/>
                  <w:rPr>
                    <w:sz w:val="16"/>
                    <w:szCs w:val="16"/>
                  </w:rPr>
                </w:pPr>
                <w:r w:rsidRPr="00DE6DE5">
                  <w:rPr>
                    <w:sz w:val="16"/>
                    <w:szCs w:val="16"/>
                  </w:rPr>
                  <w:t>236,341,079</w:t>
                </w:r>
              </w:p>
            </w:tc>
            <w:tc>
              <w:tcPr>
                <w:tcW w:w="627" w:type="pct"/>
                <w:vAlign w:val="center"/>
              </w:tcPr>
              <w:p w:rsidR="00DE6DE5" w:rsidRPr="00DE6DE5" w:rsidRDefault="00DE6DE5" w:rsidP="00DE6DE5">
                <w:pPr>
                  <w:ind w:right="5"/>
                  <w:jc w:val="right"/>
                  <w:rPr>
                    <w:sz w:val="16"/>
                    <w:szCs w:val="16"/>
                  </w:rPr>
                </w:pPr>
                <w:r w:rsidRPr="00DE6DE5">
                  <w:rPr>
                    <w:sz w:val="16"/>
                    <w:szCs w:val="16"/>
                  </w:rPr>
                  <w:t>0</w:t>
                </w:r>
              </w:p>
            </w:tc>
            <w:tc>
              <w:tcPr>
                <w:tcW w:w="711" w:type="pct"/>
                <w:vAlign w:val="center"/>
              </w:tcPr>
              <w:p w:rsidR="00DE6DE5" w:rsidRPr="00DE6DE5" w:rsidRDefault="00DE6DE5" w:rsidP="00DE6DE5">
                <w:pPr>
                  <w:ind w:right="5"/>
                  <w:jc w:val="right"/>
                  <w:rPr>
                    <w:sz w:val="16"/>
                    <w:szCs w:val="16"/>
                  </w:rPr>
                </w:pPr>
                <w:r w:rsidRPr="00DE6DE5">
                  <w:rPr>
                    <w:sz w:val="16"/>
                    <w:szCs w:val="16"/>
                  </w:rPr>
                  <w:t>236,341,079</w:t>
                </w:r>
              </w:p>
            </w:tc>
          </w:tr>
          <w:tr w:rsidR="00DE6DE5" w:rsidTr="00DE6DE5">
            <w:trPr>
              <w:cantSplit/>
            </w:trPr>
            <w:tc>
              <w:tcPr>
                <w:tcW w:w="698" w:type="pct"/>
              </w:tcPr>
              <w:p w:rsidR="00DE6DE5" w:rsidRPr="00DE6DE5" w:rsidRDefault="00DE6DE5" w:rsidP="00DE6DE5">
                <w:pPr>
                  <w:ind w:right="5"/>
                  <w:rPr>
                    <w:sz w:val="16"/>
                    <w:szCs w:val="16"/>
                  </w:rPr>
                </w:pPr>
                <w:r w:rsidRPr="00DE6DE5">
                  <w:rPr>
                    <w:sz w:val="16"/>
                    <w:szCs w:val="16"/>
                  </w:rPr>
                  <w:t>燃料及其他</w:t>
                </w:r>
              </w:p>
            </w:tc>
            <w:tc>
              <w:tcPr>
                <w:tcW w:w="697" w:type="pct"/>
                <w:vAlign w:val="center"/>
              </w:tcPr>
              <w:p w:rsidR="00DE6DE5" w:rsidRPr="00DE6DE5" w:rsidRDefault="00DE6DE5" w:rsidP="00DE6DE5">
                <w:pPr>
                  <w:ind w:right="5"/>
                  <w:jc w:val="right"/>
                  <w:rPr>
                    <w:sz w:val="16"/>
                    <w:szCs w:val="16"/>
                  </w:rPr>
                </w:pPr>
                <w:r w:rsidRPr="00DE6DE5">
                  <w:rPr>
                    <w:sz w:val="16"/>
                    <w:szCs w:val="16"/>
                  </w:rPr>
                  <w:t>10,241,841</w:t>
                </w:r>
              </w:p>
            </w:tc>
            <w:tc>
              <w:tcPr>
                <w:tcW w:w="702" w:type="pct"/>
                <w:vAlign w:val="center"/>
              </w:tcPr>
              <w:p w:rsidR="00DE6DE5" w:rsidRPr="00DE6DE5" w:rsidRDefault="00DE6DE5" w:rsidP="00DE6DE5">
                <w:pPr>
                  <w:ind w:right="5"/>
                  <w:jc w:val="right"/>
                  <w:rPr>
                    <w:sz w:val="16"/>
                    <w:szCs w:val="16"/>
                  </w:rPr>
                </w:pPr>
                <w:r w:rsidRPr="00DE6DE5">
                  <w:rPr>
                    <w:sz w:val="16"/>
                    <w:szCs w:val="16"/>
                  </w:rPr>
                  <w:t>0</w:t>
                </w:r>
              </w:p>
            </w:tc>
            <w:tc>
              <w:tcPr>
                <w:tcW w:w="852" w:type="pct"/>
                <w:vAlign w:val="center"/>
              </w:tcPr>
              <w:p w:rsidR="00DE6DE5" w:rsidRPr="00DE6DE5" w:rsidRDefault="00DE6DE5" w:rsidP="00DE6DE5">
                <w:pPr>
                  <w:ind w:right="5"/>
                  <w:jc w:val="right"/>
                  <w:rPr>
                    <w:sz w:val="16"/>
                    <w:szCs w:val="16"/>
                  </w:rPr>
                </w:pPr>
                <w:r w:rsidRPr="00DE6DE5">
                  <w:rPr>
                    <w:sz w:val="16"/>
                    <w:szCs w:val="16"/>
                  </w:rPr>
                  <w:t>10,241,841</w:t>
                </w:r>
              </w:p>
            </w:tc>
            <w:tc>
              <w:tcPr>
                <w:tcW w:w="714" w:type="pct"/>
                <w:vAlign w:val="center"/>
              </w:tcPr>
              <w:p w:rsidR="00DE6DE5" w:rsidRPr="00DE6DE5" w:rsidRDefault="00DE6DE5" w:rsidP="00DE6DE5">
                <w:pPr>
                  <w:ind w:right="5"/>
                  <w:jc w:val="right"/>
                  <w:rPr>
                    <w:sz w:val="16"/>
                    <w:szCs w:val="16"/>
                  </w:rPr>
                </w:pPr>
                <w:r w:rsidRPr="00DE6DE5">
                  <w:rPr>
                    <w:sz w:val="16"/>
                    <w:szCs w:val="16"/>
                  </w:rPr>
                  <w:t>12,641,549</w:t>
                </w:r>
              </w:p>
            </w:tc>
            <w:tc>
              <w:tcPr>
                <w:tcW w:w="627" w:type="pct"/>
                <w:vAlign w:val="center"/>
              </w:tcPr>
              <w:p w:rsidR="00DE6DE5" w:rsidRPr="00DE6DE5" w:rsidRDefault="00DE6DE5" w:rsidP="00DE6DE5">
                <w:pPr>
                  <w:ind w:right="5"/>
                  <w:jc w:val="right"/>
                  <w:rPr>
                    <w:sz w:val="16"/>
                    <w:szCs w:val="16"/>
                  </w:rPr>
                </w:pPr>
                <w:r w:rsidRPr="00DE6DE5">
                  <w:rPr>
                    <w:sz w:val="16"/>
                    <w:szCs w:val="16"/>
                  </w:rPr>
                  <w:t>0</w:t>
                </w:r>
              </w:p>
            </w:tc>
            <w:tc>
              <w:tcPr>
                <w:tcW w:w="711" w:type="pct"/>
                <w:vAlign w:val="center"/>
              </w:tcPr>
              <w:p w:rsidR="00DE6DE5" w:rsidRPr="00DE6DE5" w:rsidRDefault="00DE6DE5" w:rsidP="00DE6DE5">
                <w:pPr>
                  <w:ind w:right="5"/>
                  <w:jc w:val="right"/>
                  <w:rPr>
                    <w:sz w:val="16"/>
                    <w:szCs w:val="16"/>
                  </w:rPr>
                </w:pPr>
                <w:r w:rsidRPr="00DE6DE5">
                  <w:rPr>
                    <w:sz w:val="16"/>
                    <w:szCs w:val="16"/>
                  </w:rPr>
                  <w:t>12,641,549</w:t>
                </w:r>
              </w:p>
            </w:tc>
          </w:tr>
          <w:tr w:rsidR="00DE6DE5" w:rsidTr="00DE6DE5">
            <w:trPr>
              <w:cantSplit/>
            </w:trPr>
            <w:tc>
              <w:tcPr>
                <w:tcW w:w="698" w:type="pct"/>
              </w:tcPr>
              <w:p w:rsidR="00DE6DE5" w:rsidRPr="00DE6DE5" w:rsidRDefault="00DE6DE5" w:rsidP="00DE6DE5">
                <w:pPr>
                  <w:ind w:right="5"/>
                  <w:jc w:val="center"/>
                  <w:rPr>
                    <w:sz w:val="16"/>
                    <w:szCs w:val="16"/>
                  </w:rPr>
                </w:pPr>
                <w:r w:rsidRPr="00DE6DE5">
                  <w:rPr>
                    <w:rFonts w:hint="eastAsia"/>
                    <w:sz w:val="16"/>
                    <w:szCs w:val="16"/>
                  </w:rPr>
                  <w:t>合计</w:t>
                </w:r>
              </w:p>
            </w:tc>
            <w:tc>
              <w:tcPr>
                <w:tcW w:w="697" w:type="pct"/>
              </w:tcPr>
              <w:p w:rsidR="00DE6DE5" w:rsidRPr="00DE6DE5" w:rsidRDefault="00DE6DE5" w:rsidP="00DE6DE5">
                <w:pPr>
                  <w:ind w:right="5"/>
                  <w:jc w:val="right"/>
                  <w:rPr>
                    <w:sz w:val="16"/>
                    <w:szCs w:val="16"/>
                  </w:rPr>
                </w:pPr>
                <w:r w:rsidRPr="00DE6DE5">
                  <w:rPr>
                    <w:sz w:val="16"/>
                    <w:szCs w:val="16"/>
                  </w:rPr>
                  <w:t>1,836,656,095</w:t>
                </w:r>
              </w:p>
            </w:tc>
            <w:tc>
              <w:tcPr>
                <w:tcW w:w="702" w:type="pct"/>
              </w:tcPr>
              <w:p w:rsidR="00DE6DE5" w:rsidRPr="00DE6DE5" w:rsidRDefault="00DE6DE5" w:rsidP="00DE6DE5">
                <w:pPr>
                  <w:ind w:right="5"/>
                  <w:jc w:val="right"/>
                  <w:rPr>
                    <w:sz w:val="16"/>
                    <w:szCs w:val="16"/>
                  </w:rPr>
                </w:pPr>
                <w:r w:rsidRPr="00DE6DE5">
                  <w:rPr>
                    <w:sz w:val="16"/>
                    <w:szCs w:val="16"/>
                  </w:rPr>
                  <w:t>0</w:t>
                </w:r>
              </w:p>
            </w:tc>
            <w:tc>
              <w:tcPr>
                <w:tcW w:w="852" w:type="pct"/>
              </w:tcPr>
              <w:p w:rsidR="00DE6DE5" w:rsidRPr="00DE6DE5" w:rsidRDefault="00DE6DE5" w:rsidP="00DE6DE5">
                <w:pPr>
                  <w:ind w:right="5"/>
                  <w:jc w:val="right"/>
                  <w:rPr>
                    <w:sz w:val="16"/>
                    <w:szCs w:val="16"/>
                  </w:rPr>
                </w:pPr>
                <w:r w:rsidRPr="00DE6DE5">
                  <w:rPr>
                    <w:sz w:val="16"/>
                    <w:szCs w:val="16"/>
                  </w:rPr>
                  <w:t>1,836,656,095</w:t>
                </w:r>
              </w:p>
            </w:tc>
            <w:tc>
              <w:tcPr>
                <w:tcW w:w="714" w:type="pct"/>
              </w:tcPr>
              <w:p w:rsidR="00DE6DE5" w:rsidRPr="00DE6DE5" w:rsidRDefault="00DE6DE5" w:rsidP="00DE6DE5">
                <w:pPr>
                  <w:ind w:right="5"/>
                  <w:jc w:val="right"/>
                  <w:rPr>
                    <w:sz w:val="16"/>
                    <w:szCs w:val="16"/>
                  </w:rPr>
                </w:pPr>
                <w:r w:rsidRPr="00DE6DE5">
                  <w:rPr>
                    <w:sz w:val="16"/>
                    <w:szCs w:val="16"/>
                  </w:rPr>
                  <w:t>1,692,626,787</w:t>
                </w:r>
              </w:p>
            </w:tc>
            <w:tc>
              <w:tcPr>
                <w:tcW w:w="627" w:type="pct"/>
              </w:tcPr>
              <w:p w:rsidR="00DE6DE5" w:rsidRPr="00DE6DE5" w:rsidRDefault="00DE6DE5" w:rsidP="00DE6DE5">
                <w:pPr>
                  <w:ind w:right="5"/>
                  <w:jc w:val="right"/>
                  <w:rPr>
                    <w:sz w:val="16"/>
                    <w:szCs w:val="16"/>
                  </w:rPr>
                </w:pPr>
                <w:r w:rsidRPr="00DE6DE5">
                  <w:rPr>
                    <w:sz w:val="16"/>
                    <w:szCs w:val="16"/>
                  </w:rPr>
                  <w:t>0</w:t>
                </w:r>
              </w:p>
            </w:tc>
            <w:tc>
              <w:tcPr>
                <w:tcW w:w="711" w:type="pct"/>
              </w:tcPr>
              <w:p w:rsidR="00DE6DE5" w:rsidRPr="00DE6DE5" w:rsidRDefault="00DE6DE5" w:rsidP="00DE6DE5">
                <w:pPr>
                  <w:ind w:right="5"/>
                  <w:jc w:val="right"/>
                  <w:rPr>
                    <w:sz w:val="16"/>
                    <w:szCs w:val="16"/>
                  </w:rPr>
                </w:pPr>
                <w:r w:rsidRPr="00DE6DE5">
                  <w:rPr>
                    <w:sz w:val="16"/>
                    <w:szCs w:val="16"/>
                  </w:rPr>
                  <w:t>1,692,626,787</w:t>
                </w:r>
              </w:p>
            </w:tc>
          </w:tr>
        </w:tbl>
        <w:p w:rsidR="00806678" w:rsidRPr="008370A9" w:rsidRDefault="00F80B6C" w:rsidP="008370A9">
          <w:pPr>
            <w:rPr>
              <w:szCs w:val="21"/>
            </w:rPr>
          </w:pPr>
        </w:p>
      </w:sdtContent>
    </w:sdt>
    <w:bookmarkEnd w:id="177" w:displacedByCustomXml="prev"/>
    <w:bookmarkEnd w:id="178" w:displacedByCustomXml="prev"/>
    <w:bookmarkStart w:id="179" w:name="_Hlk533079150" w:displacedByCustomXml="next"/>
    <w:sdt>
      <w:sdtPr>
        <w:rPr>
          <w:rFonts w:ascii="宋体" w:eastAsia="宋体" w:hAnsi="宋体" w:cs="宋体" w:hint="eastAsia"/>
          <w:b w:val="0"/>
          <w:bCs w:val="0"/>
          <w:kern w:val="0"/>
          <w:szCs w:val="24"/>
        </w:rPr>
        <w:alias w:val="模块:存货跌价准备"/>
        <w:tag w:val="_SEC_f5d204839da647b4984ba81ca9593f3b"/>
        <w:id w:val="-298533690"/>
        <w:lock w:val="sdtLocked"/>
        <w:placeholder>
          <w:docPart w:val="GBC22222222222222222222222222222"/>
        </w:placeholder>
      </w:sdtPr>
      <w:sdtEndPr>
        <w:rPr>
          <w:rFonts w:ascii="Times New Roman" w:hAnsi="Times New Roman"/>
        </w:rPr>
      </w:sdtEndPr>
      <w:sdtContent>
        <w:sdt>
          <w:sdtPr>
            <w:rPr>
              <w:b w:val="0"/>
              <w:bCs w:val="0"/>
            </w:rPr>
            <w:tag w:val="_PLD_b03e65bc536a43eab5570263a106c71d"/>
            <w:id w:val="-1230226630"/>
            <w:lock w:val="sdtLocked"/>
            <w:placeholder>
              <w:docPart w:val="GBC22222222222222222222222222222"/>
            </w:placeholder>
          </w:sdtPr>
          <w:sdtContent>
            <w:p w:rsidR="00806678" w:rsidRDefault="00B16377" w:rsidP="00FF17C7">
              <w:pPr>
                <w:pStyle w:val="4"/>
                <w:numPr>
                  <w:ilvl w:val="3"/>
                  <w:numId w:val="79"/>
                </w:numPr>
                <w:ind w:left="426" w:hanging="426"/>
                <w:rPr>
                  <w:b w:val="0"/>
                  <w:bCs w:val="0"/>
                </w:rPr>
              </w:pPr>
              <w:r>
                <w:t>存货跌价准备及合同履约成本减值准备</w:t>
              </w:r>
            </w:p>
          </w:sdtContent>
        </w:sdt>
        <w:sdt>
          <w:sdtPr>
            <w:alias w:val="是否适用：存货跌价准备[双击切换]"/>
            <w:tag w:val="_GBC_c61866b530ae491eb21bee1edd36619e"/>
            <w:id w:val="-1339076578"/>
            <w:lock w:val="sdtLocked"/>
            <w:placeholder>
              <w:docPart w:val="GBC22222222222222222222222222222"/>
            </w:placeholder>
          </w:sdtPr>
          <w:sdtContent>
            <w:p w:rsidR="00806678" w:rsidRDefault="00F80B6C" w:rsidP="00DE6DE5">
              <w:r>
                <w:fldChar w:fldCharType="begin"/>
              </w:r>
              <w:r w:rsidR="00DE6DE5">
                <w:instrText xml:space="preserve">MACROBUTTON  SnrToggleCheckbox □适用 </w:instrText>
              </w:r>
              <w:r>
                <w:fldChar w:fldCharType="end"/>
              </w:r>
              <w:r>
                <w:fldChar w:fldCharType="begin"/>
              </w:r>
              <w:r w:rsidR="00DE6DE5">
                <w:instrText xml:space="preserve"> MACROBUTTON  SnrToggleCheckbox √不适用 </w:instrText>
              </w:r>
              <w:r>
                <w:fldChar w:fldCharType="end"/>
              </w:r>
            </w:p>
          </w:sdtContent>
        </w:sdt>
      </w:sdtContent>
    </w:sdt>
    <w:bookmarkEnd w:id="179" w:displacedByCustomXml="prev"/>
    <w:sdt>
      <w:sdtPr>
        <w:rPr>
          <w:rFonts w:ascii="宋体" w:eastAsia="宋体" w:hAnsi="宋体" w:cs="宋体" w:hint="eastAsia"/>
          <w:b w:val="0"/>
          <w:bCs w:val="0"/>
          <w:kern w:val="0"/>
          <w:szCs w:val="24"/>
        </w:rPr>
        <w:alias w:val="模块:存货期末余额含有借款费用资本化金额的说明"/>
        <w:tag w:val="_SEC_d2aec934b2134662ac27a795f9f8441b"/>
        <w:id w:val="-758985506"/>
        <w:lock w:val="sdtLocked"/>
        <w:placeholder>
          <w:docPart w:val="GBC22222222222222222222222222222"/>
        </w:placeholder>
      </w:sdtPr>
      <w:sdtEndPr>
        <w:rPr>
          <w:rFonts w:ascii="Times New Roman" w:hAnsi="Times New Roman"/>
        </w:rPr>
      </w:sdtEndPr>
      <w:sdtContent>
        <w:p w:rsidR="00806678" w:rsidRDefault="00B16377" w:rsidP="00FF17C7">
          <w:pPr>
            <w:pStyle w:val="4"/>
            <w:numPr>
              <w:ilvl w:val="3"/>
              <w:numId w:val="79"/>
            </w:numPr>
            <w:ind w:left="426" w:hanging="426"/>
          </w:pPr>
          <w:r>
            <w:rPr>
              <w:rFonts w:hint="eastAsia"/>
            </w:rPr>
            <w:t>存货期末余额含有借款费用资本化金额的说明</w:t>
          </w:r>
        </w:p>
        <w:sdt>
          <w:sdtPr>
            <w:rPr>
              <w:rFonts w:hint="eastAsia"/>
            </w:rPr>
            <w:alias w:val="是否适用：存货期末余额含有借款费用资本化金额的说明[双击切换]"/>
            <w:tag w:val="_GBC_ff19f47f98f34678926b471a6f0d6b3f"/>
            <w:id w:val="-494643783"/>
            <w:lock w:val="sdtLocked"/>
            <w:placeholder>
              <w:docPart w:val="GBC22222222222222222222222222222"/>
            </w:placeholder>
          </w:sdtPr>
          <w:sdtContent>
            <w:p w:rsidR="00806678" w:rsidRDefault="00F80B6C">
              <w:r>
                <w:fldChar w:fldCharType="begin"/>
              </w:r>
              <w:r w:rsidR="00DE6DE5">
                <w:instrText xml:space="preserve"> MACROBUTTON  SnrToggleCheckbox □适用  </w:instrText>
              </w:r>
              <w:r>
                <w:fldChar w:fldCharType="end"/>
              </w:r>
              <w:r>
                <w:fldChar w:fldCharType="begin"/>
              </w:r>
              <w:r w:rsidR="00DE6DE5">
                <w:instrText xml:space="preserve"> MACROBUTTON  SnrToggleCheckbox √不适用 </w:instrText>
              </w:r>
              <w:r>
                <w:fldChar w:fldCharType="end"/>
              </w:r>
            </w:p>
          </w:sdtContent>
        </w:sdt>
      </w:sdtContent>
    </w:sdt>
    <w:sdt>
      <w:sdtPr>
        <w:rPr>
          <w:rFonts w:ascii="宋体" w:eastAsia="宋体" w:hAnsi="宋体" w:cs="宋体" w:hint="eastAsia"/>
          <w:b w:val="0"/>
          <w:bCs w:val="0"/>
          <w:kern w:val="0"/>
          <w:szCs w:val="24"/>
        </w:rPr>
        <w:alias w:val="模块:合同履约成本本期摊销金额的说明"/>
        <w:tag w:val="_SEC_4d5b81a46b124a7fbda36ca1f8fc6761"/>
        <w:id w:val="1258405277"/>
        <w:lock w:val="sdtLocked"/>
        <w:placeholder>
          <w:docPart w:val="GBC22222222222222222222222222222"/>
        </w:placeholder>
      </w:sdtPr>
      <w:sdtContent>
        <w:p w:rsidR="00806678" w:rsidRDefault="00B16377" w:rsidP="00FF17C7">
          <w:pPr>
            <w:pStyle w:val="4"/>
            <w:numPr>
              <w:ilvl w:val="3"/>
              <w:numId w:val="79"/>
            </w:numPr>
            <w:ind w:left="426" w:hanging="426"/>
          </w:pPr>
          <w:r>
            <w:rPr>
              <w:rFonts w:hint="eastAsia"/>
            </w:rPr>
            <w:t>合同履约成本本期摊销金额的说明</w:t>
          </w:r>
        </w:p>
        <w:sdt>
          <w:sdtPr>
            <w:alias w:val="是否适用：合同履约成本本期摊销金额的说明[双击切换]"/>
            <w:tag w:val="_GBC_7532d5a15e3d45fa8d69ad2921659b13"/>
            <w:id w:val="-3901370"/>
            <w:lock w:val="sdtLocked"/>
            <w:placeholder>
              <w:docPart w:val="GBC22222222222222222222222222222"/>
            </w:placeholder>
          </w:sdtPr>
          <w:sdtContent>
            <w:p w:rsidR="00806678" w:rsidRDefault="00F80B6C">
              <w:r>
                <w:fldChar w:fldCharType="begin"/>
              </w:r>
              <w:r w:rsidR="00DE6DE5">
                <w:instrText xml:space="preserve"> MACROBUTTON  SnrToggleCheckbox □适用 </w:instrText>
              </w:r>
              <w:r>
                <w:fldChar w:fldCharType="end"/>
              </w:r>
              <w:r>
                <w:fldChar w:fldCharType="begin"/>
              </w:r>
              <w:r w:rsidR="00DE6DE5">
                <w:instrText xml:space="preserve"> MACROBUTTON  SnrToggleCheckbox √不适用 </w:instrText>
              </w:r>
              <w:r>
                <w:fldChar w:fldCharType="end"/>
              </w:r>
            </w:p>
          </w:sdtContent>
        </w:sdt>
      </w:sdtContent>
    </w:sdt>
    <w:sdt>
      <w:sdtPr>
        <w:rPr>
          <w:rFonts w:hint="eastAsia"/>
        </w:rPr>
        <w:alias w:val="模块:存货其他说明"/>
        <w:tag w:val="_SEC_68a62211b3d64c9c8661fa3d3a6d8409"/>
        <w:id w:val="1594512733"/>
        <w:lock w:val="sdtLocked"/>
        <w:placeholder>
          <w:docPart w:val="GBC22222222222222222222222222222"/>
        </w:placeholder>
      </w:sdtPr>
      <w:sdtEndPr>
        <w:rPr>
          <w:rFonts w:ascii="Times New Roman" w:hAnsi="Times New Roman"/>
        </w:rPr>
      </w:sdtEndPr>
      <w:sdtContent>
        <w:p w:rsidR="00806678" w:rsidRDefault="00B16377">
          <w:r>
            <w:rPr>
              <w:rFonts w:hint="eastAsia"/>
            </w:rPr>
            <w:t>其他说明</w:t>
          </w:r>
        </w:p>
        <w:sdt>
          <w:sdtPr>
            <w:rPr>
              <w:rFonts w:hint="eastAsia"/>
            </w:rPr>
            <w:alias w:val="是否适用：建造合同形成的已完工未结算资产的其他说明[双击切换]"/>
            <w:tag w:val="_GBC_441099179b66496e99c8de04f24782ad"/>
            <w:id w:val="-831219275"/>
            <w:lock w:val="sdtLocked"/>
            <w:placeholder>
              <w:docPart w:val="GBC22222222222222222222222222222"/>
            </w:placeholder>
          </w:sdtPr>
          <w:sdtContent>
            <w:p w:rsidR="00806678" w:rsidRDefault="00F80B6C" w:rsidP="00DE6DE5">
              <w:r>
                <w:fldChar w:fldCharType="begin"/>
              </w:r>
              <w:r w:rsidR="00DE6DE5">
                <w:instrText xml:space="preserve"> MACROBUTTON  SnrToggleCheckbox □适用  </w:instrText>
              </w:r>
              <w:r>
                <w:fldChar w:fldCharType="end"/>
              </w:r>
              <w:r>
                <w:fldChar w:fldCharType="begin"/>
              </w:r>
              <w:r w:rsidR="00DE6DE5">
                <w:instrText xml:space="preserve"> MACROBUTTON  SnrToggleCheckbox √不适用 </w:instrText>
              </w:r>
              <w:r>
                <w:fldChar w:fldCharType="end"/>
              </w:r>
            </w:p>
          </w:sdtContent>
        </w:sdt>
        <w:p w:rsidR="00806678" w:rsidRDefault="00F80B6C">
          <w:pPr>
            <w:rPr>
              <w:rFonts w:ascii="Times New Roman" w:hAnsi="Times New Roman"/>
            </w:rPr>
          </w:pPr>
        </w:p>
      </w:sdtContent>
    </w:sdt>
    <w:bookmarkStart w:id="180" w:name="_Hlk533409560" w:displacedByCustomXml="next"/>
    <w:sdt>
      <w:sdtPr>
        <w:rPr>
          <w:rFonts w:ascii="宋体" w:hAnsi="宋体" w:cs="宋体" w:hint="eastAsia"/>
          <w:b w:val="0"/>
          <w:bCs w:val="0"/>
          <w:kern w:val="0"/>
          <w:szCs w:val="24"/>
        </w:rPr>
        <w:alias w:val="模块:合同资产情况"/>
        <w:tag w:val="_SEC_815287361ca746f4be20e0fedf7c209d"/>
        <w:id w:val="365952691"/>
        <w:lock w:val="sdtLocked"/>
        <w:placeholder>
          <w:docPart w:val="GBC22222222222222222222222222222"/>
        </w:placeholder>
      </w:sdtPr>
      <w:sdtContent>
        <w:p w:rsidR="00806678" w:rsidRDefault="00B16377" w:rsidP="00FF17C7">
          <w:pPr>
            <w:pStyle w:val="3"/>
            <w:numPr>
              <w:ilvl w:val="0"/>
              <w:numId w:val="18"/>
            </w:numPr>
            <w:tabs>
              <w:tab w:val="left" w:pos="504"/>
            </w:tabs>
          </w:pPr>
          <w:r>
            <w:rPr>
              <w:rFonts w:hint="eastAsia"/>
            </w:rPr>
            <w:t>合同资产</w:t>
          </w:r>
        </w:p>
        <w:p w:rsidR="00806678" w:rsidRDefault="00B16377" w:rsidP="00FF17C7">
          <w:pPr>
            <w:pStyle w:val="4"/>
            <w:numPr>
              <w:ilvl w:val="3"/>
              <w:numId w:val="80"/>
            </w:numPr>
            <w:ind w:left="426" w:hanging="426"/>
          </w:pPr>
          <w:bookmarkStart w:id="181" w:name="_Hlk532992678"/>
          <w:r>
            <w:rPr>
              <w:rFonts w:hint="eastAsia"/>
            </w:rPr>
            <w:t>合同资产情况</w:t>
          </w:r>
        </w:p>
        <w:sdt>
          <w:sdtPr>
            <w:alias w:val="是否适用：合同资产情况[双击切换]"/>
            <w:tag w:val="_GBC_71da29cd2c0f4ec4a2849d6760e0ec90"/>
            <w:id w:val="1281530460"/>
            <w:lock w:val="sdtLocked"/>
            <w:placeholder>
              <w:docPart w:val="GBC22222222222222222222222222222"/>
            </w:placeholder>
          </w:sdtPr>
          <w:sdtContent>
            <w:p w:rsidR="00806678" w:rsidRDefault="00F80B6C" w:rsidP="00DE6DE5">
              <w:r>
                <w:fldChar w:fldCharType="begin"/>
              </w:r>
              <w:r w:rsidR="00DE6DE5">
                <w:instrText xml:space="preserve"> MACROBUTTON  SnrToggleCheckbox □适用 </w:instrText>
              </w:r>
              <w:r>
                <w:fldChar w:fldCharType="end"/>
              </w:r>
              <w:r>
                <w:fldChar w:fldCharType="begin"/>
              </w:r>
              <w:r w:rsidR="00DE6DE5">
                <w:instrText xml:space="preserve"> MACROBUTTON  SnrToggleCheckbox √不适用 </w:instrText>
              </w:r>
              <w:r>
                <w:fldChar w:fldCharType="end"/>
              </w:r>
            </w:p>
          </w:sdtContent>
        </w:sdt>
      </w:sdtContent>
    </w:sdt>
    <w:bookmarkEnd w:id="181" w:displacedByCustomXml="next"/>
    <w:bookmarkEnd w:id="180" w:displacedByCustomXml="next"/>
    <w:bookmarkStart w:id="182" w:name="_Hlk532993169" w:displacedByCustomXml="next"/>
    <w:sdt>
      <w:sdtPr>
        <w:rPr>
          <w:rFonts w:ascii="宋体" w:eastAsia="宋体" w:hAnsi="宋体" w:cs="宋体" w:hint="eastAsia"/>
          <w:b w:val="0"/>
          <w:bCs w:val="0"/>
          <w:kern w:val="0"/>
          <w:szCs w:val="24"/>
        </w:rPr>
        <w:alias w:val="模块:报告期内账面价值发生重大变动的金额和原因"/>
        <w:tag w:val="_SEC_c92b1cbb8a324c50a897bfb29d008812"/>
        <w:id w:val="-710421416"/>
        <w:lock w:val="sdtLocked"/>
        <w:placeholder>
          <w:docPart w:val="GBC22222222222222222222222222222"/>
        </w:placeholder>
      </w:sdtPr>
      <w:sdtContent>
        <w:p w:rsidR="00806678" w:rsidRDefault="00B16377" w:rsidP="00FF17C7">
          <w:pPr>
            <w:pStyle w:val="4"/>
            <w:numPr>
              <w:ilvl w:val="3"/>
              <w:numId w:val="80"/>
            </w:numPr>
            <w:ind w:left="426" w:hanging="426"/>
          </w:pPr>
          <w:r>
            <w:rPr>
              <w:rFonts w:hint="eastAsia"/>
            </w:rPr>
            <w:t>报告期内账面价值发生重大变动的金额和原因</w:t>
          </w:r>
        </w:p>
        <w:sdt>
          <w:sdtPr>
            <w:rPr>
              <w:szCs w:val="21"/>
            </w:rPr>
            <w:alias w:val="是否适用：合同资产账面价值发生重大变动[双击切换]"/>
            <w:tag w:val="_GBC_d707053a57f34cbab810279b617bfcc7"/>
            <w:id w:val="-1967423694"/>
            <w:lock w:val="sdtLocked"/>
            <w:placeholder>
              <w:docPart w:val="GBC22222222222222222222222222222"/>
            </w:placeholder>
          </w:sdtPr>
          <w:sdtContent>
            <w:p w:rsidR="00806678" w:rsidRDefault="00F80B6C" w:rsidP="00DE6DE5">
              <w:r>
                <w:rPr>
                  <w:szCs w:val="21"/>
                </w:rPr>
                <w:fldChar w:fldCharType="begin"/>
              </w:r>
              <w:r w:rsidR="00DE6DE5">
                <w:rPr>
                  <w:szCs w:val="21"/>
                </w:rPr>
                <w:instrText xml:space="preserve"> MACROBUTTON  SnrToggleCheckbox □适用 </w:instrText>
              </w:r>
              <w:r>
                <w:rPr>
                  <w:szCs w:val="21"/>
                </w:rPr>
                <w:fldChar w:fldCharType="end"/>
              </w:r>
              <w:r>
                <w:rPr>
                  <w:szCs w:val="21"/>
                </w:rPr>
                <w:fldChar w:fldCharType="begin"/>
              </w:r>
              <w:r w:rsidR="00DE6DE5">
                <w:rPr>
                  <w:szCs w:val="21"/>
                </w:rPr>
                <w:instrText xml:space="preserve"> MACROBUTTON  SnrToggleCheckbox √不适用 </w:instrText>
              </w:r>
              <w:r>
                <w:rPr>
                  <w:szCs w:val="21"/>
                </w:rPr>
                <w:fldChar w:fldCharType="end"/>
              </w:r>
            </w:p>
          </w:sdtContent>
        </w:sdt>
      </w:sdtContent>
    </w:sdt>
    <w:bookmarkEnd w:id="182" w:displacedByCustomXml="next"/>
    <w:bookmarkStart w:id="183" w:name="_Hlk533847869" w:displacedByCustomXml="next"/>
    <w:sdt>
      <w:sdtPr>
        <w:rPr>
          <w:rFonts w:ascii="宋体" w:eastAsia="宋体" w:hAnsi="宋体" w:cs="宋体" w:hint="eastAsia"/>
          <w:b w:val="0"/>
          <w:bCs w:val="0"/>
          <w:kern w:val="0"/>
          <w:szCs w:val="21"/>
        </w:rPr>
        <w:alias w:val="模块:本期合同资产计提减值准备情况"/>
        <w:tag w:val="_SEC_5ad264313cea4d8a8ec9ff73b52c45f4"/>
        <w:id w:val="1113557966"/>
        <w:lock w:val="sdtLocked"/>
        <w:placeholder>
          <w:docPart w:val="GBC22222222222222222222222222222"/>
        </w:placeholder>
      </w:sdtPr>
      <w:sdtEndPr>
        <w:rPr>
          <w:rFonts w:hint="default"/>
        </w:rPr>
      </w:sdtEndPr>
      <w:sdtContent>
        <w:p w:rsidR="00806678" w:rsidRDefault="00B16377" w:rsidP="00FF17C7">
          <w:pPr>
            <w:pStyle w:val="4"/>
            <w:numPr>
              <w:ilvl w:val="3"/>
              <w:numId w:val="80"/>
            </w:numPr>
            <w:ind w:left="426" w:hanging="426"/>
            <w:rPr>
              <w:szCs w:val="21"/>
            </w:rPr>
          </w:pPr>
          <w:r>
            <w:rPr>
              <w:rFonts w:hint="eastAsia"/>
              <w:szCs w:val="21"/>
            </w:rPr>
            <w:t>本期合同资产计提减值准备情况</w:t>
          </w:r>
        </w:p>
        <w:sdt>
          <w:sdtPr>
            <w:rPr>
              <w:szCs w:val="21"/>
            </w:rPr>
            <w:alias w:val="是否适用：合同资产减值准备[双击切换]"/>
            <w:tag w:val="_GBC_7a32a2cf2788460d8c760b8ac21cef48"/>
            <w:id w:val="-410542572"/>
            <w:lock w:val="sdtLocked"/>
            <w:placeholder>
              <w:docPart w:val="GBC22222222222222222222222222222"/>
            </w:placeholder>
          </w:sdtPr>
          <w:sdtContent>
            <w:p w:rsidR="00806678" w:rsidRDefault="00F80B6C" w:rsidP="00DE6DE5">
              <w:pPr>
                <w:autoSpaceDE w:val="0"/>
                <w:autoSpaceDN w:val="0"/>
                <w:adjustRightInd w:val="0"/>
                <w:ind w:rightChars="50" w:right="105"/>
                <w:rPr>
                  <w:szCs w:val="21"/>
                </w:rPr>
              </w:pPr>
              <w:r>
                <w:rPr>
                  <w:szCs w:val="21"/>
                </w:rPr>
                <w:fldChar w:fldCharType="begin"/>
              </w:r>
              <w:r w:rsidR="00DE6DE5">
                <w:rPr>
                  <w:szCs w:val="21"/>
                </w:rPr>
                <w:instrText xml:space="preserve"> MACROBUTTON  SnrToggleCheckbox □适用 </w:instrText>
              </w:r>
              <w:r>
                <w:rPr>
                  <w:szCs w:val="21"/>
                </w:rPr>
                <w:fldChar w:fldCharType="end"/>
              </w:r>
              <w:r>
                <w:rPr>
                  <w:szCs w:val="21"/>
                </w:rPr>
                <w:fldChar w:fldCharType="begin"/>
              </w:r>
              <w:r w:rsidR="00DE6DE5">
                <w:rPr>
                  <w:szCs w:val="21"/>
                </w:rPr>
                <w:instrText xml:space="preserve"> MACROBUTTON  SnrToggleCheckbox √不适用 </w:instrText>
              </w:r>
              <w:r>
                <w:rPr>
                  <w:szCs w:val="21"/>
                </w:rPr>
                <w:fldChar w:fldCharType="end"/>
              </w:r>
            </w:p>
          </w:sdtContent>
        </w:sdt>
        <w:p w:rsidR="00806678" w:rsidRDefault="00B16377">
          <w:pPr>
            <w:autoSpaceDE w:val="0"/>
            <w:autoSpaceDN w:val="0"/>
            <w:adjustRightInd w:val="0"/>
            <w:ind w:rightChars="50" w:right="105"/>
            <w:rPr>
              <w:szCs w:val="21"/>
            </w:rPr>
          </w:pPr>
          <w:r>
            <w:rPr>
              <w:rFonts w:hint="eastAsia"/>
              <w:szCs w:val="21"/>
            </w:rPr>
            <w:t>如按预期信用损失一般模型计提坏账准备，请参照其他应收款披露：</w:t>
          </w:r>
        </w:p>
        <w:p w:rsidR="00806678" w:rsidRDefault="00F80B6C">
          <w:pPr>
            <w:autoSpaceDE w:val="0"/>
            <w:autoSpaceDN w:val="0"/>
            <w:adjustRightInd w:val="0"/>
            <w:ind w:rightChars="50" w:right="105"/>
            <w:rPr>
              <w:szCs w:val="21"/>
            </w:rPr>
          </w:pPr>
          <w:sdt>
            <w:sdtPr>
              <w:rPr>
                <w:szCs w:val="21"/>
              </w:rPr>
              <w:alias w:val="是否适用：合同资产按一般预计信用损失模型计提坏账[双击切换]"/>
              <w:tag w:val="_GBC_fd4eb6ea21ba4cfcb06df32dcdb0abfb"/>
              <w:id w:val="807210674"/>
              <w:lock w:val="sdtLocked"/>
              <w:placeholder>
                <w:docPart w:val="GBC22222222222222222222222222222"/>
              </w:placeholder>
            </w:sdtPr>
            <w:sdtContent>
              <w:r>
                <w:rPr>
                  <w:szCs w:val="21"/>
                </w:rPr>
                <w:fldChar w:fldCharType="begin"/>
              </w:r>
              <w:r w:rsidR="00DE6DE5">
                <w:rPr>
                  <w:szCs w:val="21"/>
                </w:rPr>
                <w:instrText xml:space="preserve"> MACROBUTTON  SnrToggleCheckbox □适用 </w:instrText>
              </w:r>
              <w:r>
                <w:rPr>
                  <w:szCs w:val="21"/>
                </w:rPr>
                <w:fldChar w:fldCharType="end"/>
              </w:r>
              <w:r>
                <w:rPr>
                  <w:szCs w:val="21"/>
                </w:rPr>
                <w:fldChar w:fldCharType="begin"/>
              </w:r>
              <w:r w:rsidR="00DE6DE5">
                <w:rPr>
                  <w:szCs w:val="21"/>
                </w:rPr>
                <w:instrText xml:space="preserve"> MACROBUTTON  SnrToggleCheckbox √不适用 </w:instrText>
              </w:r>
              <w:r>
                <w:rPr>
                  <w:szCs w:val="21"/>
                </w:rPr>
                <w:fldChar w:fldCharType="end"/>
              </w:r>
            </w:sdtContent>
          </w:sdt>
        </w:p>
      </w:sdtContent>
    </w:sdt>
    <w:bookmarkEnd w:id="183" w:displacedByCustomXml="prev"/>
    <w:sdt>
      <w:sdtPr>
        <w:rPr>
          <w:rFonts w:hint="eastAsia"/>
          <w:szCs w:val="21"/>
        </w:rPr>
        <w:alias w:val="模块:合同资产其他说明"/>
        <w:tag w:val="_SEC_258cf02a2dfe4d43b5c502f3869566d2"/>
        <w:id w:val="944814442"/>
        <w:lock w:val="sdtLocked"/>
        <w:placeholder>
          <w:docPart w:val="GBC22222222222222222222222222222"/>
        </w:placeholder>
      </w:sdtPr>
      <w:sdtEndPr>
        <w:rPr>
          <w:rFonts w:hint="default"/>
          <w:szCs w:val="24"/>
        </w:rPr>
      </w:sdtEndPr>
      <w:sdtContent>
        <w:p w:rsidR="00806678" w:rsidRDefault="00B16377">
          <w:pPr>
            <w:rPr>
              <w:szCs w:val="21"/>
            </w:rPr>
          </w:pPr>
          <w:r>
            <w:rPr>
              <w:rFonts w:hint="eastAsia"/>
              <w:szCs w:val="21"/>
            </w:rPr>
            <w:t>其他说明：</w:t>
          </w:r>
        </w:p>
        <w:sdt>
          <w:sdtPr>
            <w:rPr>
              <w:szCs w:val="21"/>
            </w:rPr>
            <w:alias w:val="是否适用：合同资产其他说明[双击切换]"/>
            <w:tag w:val="_GBC_92ce0006559b479d93e7dbde6e8efca4"/>
            <w:id w:val="-703562463"/>
            <w:lock w:val="sdtLocked"/>
            <w:placeholder>
              <w:docPart w:val="GBC22222222222222222222222222222"/>
            </w:placeholder>
          </w:sdtPr>
          <w:sdtContent>
            <w:p w:rsidR="00806678" w:rsidRDefault="00F80B6C" w:rsidP="00DE6DE5">
              <w:r>
                <w:rPr>
                  <w:szCs w:val="21"/>
                </w:rPr>
                <w:fldChar w:fldCharType="begin"/>
              </w:r>
              <w:r w:rsidR="00DE6DE5">
                <w:rPr>
                  <w:szCs w:val="21"/>
                </w:rPr>
                <w:instrText xml:space="preserve"> MACROBUTTON  SnrToggleCheckbox □适用 </w:instrText>
              </w:r>
              <w:r>
                <w:rPr>
                  <w:szCs w:val="21"/>
                </w:rPr>
                <w:fldChar w:fldCharType="end"/>
              </w:r>
              <w:r>
                <w:rPr>
                  <w:szCs w:val="21"/>
                </w:rPr>
                <w:fldChar w:fldCharType="begin"/>
              </w:r>
              <w:r w:rsidR="00DE6DE5">
                <w:rPr>
                  <w:szCs w:val="21"/>
                </w:rPr>
                <w:instrText xml:space="preserve"> MACROBUTTON  SnrToggleCheckbox √不适用 </w:instrText>
              </w:r>
              <w:r>
                <w:rPr>
                  <w:szCs w:val="21"/>
                </w:rPr>
                <w:fldChar w:fldCharType="end"/>
              </w:r>
            </w:p>
          </w:sdtContent>
        </w:sdt>
        <w:p w:rsidR="00806678" w:rsidRDefault="00F80B6C"/>
      </w:sdtContent>
    </w:sdt>
    <w:bookmarkStart w:id="184" w:name="_Hlk24380621" w:displacedByCustomXml="next"/>
    <w:sdt>
      <w:sdtPr>
        <w:rPr>
          <w:rFonts w:ascii="宋体" w:hAnsi="宋体" w:cs="宋体"/>
          <w:b w:val="0"/>
          <w:bCs w:val="0"/>
          <w:kern w:val="0"/>
          <w:szCs w:val="24"/>
        </w:rPr>
        <w:alias w:val="模块:"/>
        <w:tag w:val="_SEC_b6937eac78c94ad8b39ce1ee1104d8c4"/>
        <w:id w:val="826564817"/>
        <w:lock w:val="sdtLocked"/>
        <w:placeholder>
          <w:docPart w:val="GBC22222222222222222222222222222"/>
        </w:placeholder>
      </w:sdtPr>
      <w:sdtContent>
        <w:p w:rsidR="00806678" w:rsidRDefault="00B16377" w:rsidP="00FF17C7">
          <w:pPr>
            <w:pStyle w:val="3"/>
            <w:numPr>
              <w:ilvl w:val="0"/>
              <w:numId w:val="18"/>
            </w:numPr>
            <w:tabs>
              <w:tab w:val="left" w:pos="504"/>
            </w:tabs>
          </w:pPr>
          <w:r>
            <w:rPr>
              <w:rFonts w:hint="eastAsia"/>
            </w:rPr>
            <w:t>持有待售资产</w:t>
          </w:r>
        </w:p>
        <w:sdt>
          <w:sdtPr>
            <w:alias w:val="是否适用：划分为持有待售的资产[双击切换]"/>
            <w:tag w:val="_GBC_78f2c13384374d8eb0edd5d62d86bc52"/>
            <w:id w:val="-1794042096"/>
            <w:lock w:val="sdtLocked"/>
            <w:placeholder>
              <w:docPart w:val="GBC22222222222222222222222222222"/>
            </w:placeholder>
          </w:sdtPr>
          <w:sdtContent>
            <w:p w:rsidR="00806678" w:rsidRDefault="00F80B6C">
              <w:r>
                <w:fldChar w:fldCharType="begin"/>
              </w:r>
              <w:r w:rsidR="00DE6DE5">
                <w:instrText xml:space="preserve"> MACROBUTTON  SnrToggleCheckbox □适用 </w:instrText>
              </w:r>
              <w:r>
                <w:fldChar w:fldCharType="end"/>
              </w:r>
              <w:r>
                <w:fldChar w:fldCharType="begin"/>
              </w:r>
              <w:r w:rsidR="00DE6DE5">
                <w:instrText xml:space="preserve"> MACROBUTTON  SnrToggleCheckbox √不适用 </w:instrText>
              </w:r>
              <w:r>
                <w:fldChar w:fldCharType="end"/>
              </w:r>
            </w:p>
          </w:sdtContent>
        </w:sdt>
        <w:p w:rsidR="00806678" w:rsidRDefault="00F80B6C"/>
      </w:sdtContent>
    </w:sdt>
    <w:bookmarkEnd w:id="184" w:displacedByCustomXml="prev"/>
    <w:bookmarkStart w:id="185" w:name="_Hlk533608872" w:displacedByCustomXml="next"/>
    <w:sdt>
      <w:sdtPr>
        <w:rPr>
          <w:rFonts w:ascii="宋体" w:hAnsi="宋体" w:cs="宋体" w:hint="eastAsia"/>
          <w:b w:val="0"/>
          <w:bCs w:val="0"/>
          <w:kern w:val="0"/>
          <w:szCs w:val="24"/>
        </w:rPr>
        <w:alias w:val="模块:一年内到期的非流动资产"/>
        <w:tag w:val="_SEC_96b35c860772417291874bfe65770128"/>
        <w:id w:val="1718465949"/>
        <w:lock w:val="sdtLocked"/>
        <w:placeholder>
          <w:docPart w:val="GBC22222222222222222222222222222"/>
        </w:placeholder>
      </w:sdtPr>
      <w:sdtEndPr>
        <w:rPr>
          <w:rFonts w:hint="default"/>
        </w:rPr>
      </w:sdtEndPr>
      <w:sdtContent>
        <w:p w:rsidR="00806678" w:rsidRDefault="00B16377" w:rsidP="00FF17C7">
          <w:pPr>
            <w:pStyle w:val="3"/>
            <w:numPr>
              <w:ilvl w:val="0"/>
              <w:numId w:val="18"/>
            </w:numPr>
            <w:tabs>
              <w:tab w:val="left" w:pos="504"/>
            </w:tabs>
          </w:pPr>
          <w:r>
            <w:rPr>
              <w:rFonts w:hint="eastAsia"/>
            </w:rPr>
            <w:t>一年内到期的非流动资产</w:t>
          </w:r>
        </w:p>
        <w:sdt>
          <w:sdtPr>
            <w:alias w:val="是否适用：一年内到期的非流动资产[双击切换]"/>
            <w:tag w:val="_GBC_ed2c28c8d4014bbb85fa424cc20fe6d7"/>
            <w:id w:val="2002388410"/>
            <w:lock w:val="sdtLocked"/>
            <w:placeholder>
              <w:docPart w:val="GBC22222222222222222222222222222"/>
            </w:placeholder>
          </w:sdtPr>
          <w:sdtContent>
            <w:p w:rsidR="00806678" w:rsidRDefault="00F80B6C" w:rsidP="00DB7089">
              <w:r>
                <w:fldChar w:fldCharType="begin"/>
              </w:r>
              <w:r w:rsidR="00DB7089">
                <w:instrText xml:space="preserve">MACROBUTTON  SnrToggleCheckbox □适用 </w:instrText>
              </w:r>
              <w:r>
                <w:fldChar w:fldCharType="end"/>
              </w:r>
              <w:r>
                <w:fldChar w:fldCharType="begin"/>
              </w:r>
              <w:r w:rsidR="00DB7089">
                <w:instrText xml:space="preserve"> MACROBUTTON  SnrToggleCheckbox √不适用 </w:instrText>
              </w:r>
              <w:r>
                <w:fldChar w:fldCharType="end"/>
              </w:r>
            </w:p>
          </w:sdtContent>
        </w:sdt>
      </w:sdtContent>
    </w:sdt>
    <w:sdt>
      <w:sdtPr>
        <w:rPr>
          <w:rFonts w:hint="eastAsia"/>
        </w:rPr>
        <w:alias w:val="模块:一年内到期的非流动资产期末重要的债权投资"/>
        <w:tag w:val="_SEC_cb1f0c52ccb6441287eb043720aaedbf"/>
        <w:id w:val="779771018"/>
        <w:lock w:val="sdtLocked"/>
        <w:placeholder>
          <w:docPart w:val="GBC22222222222222222222222222222"/>
        </w:placeholder>
      </w:sdtPr>
      <w:sdtEndPr>
        <w:rPr>
          <w:rFonts w:hint="default"/>
        </w:rPr>
      </w:sdtEndPr>
      <w:sdtContent>
        <w:p w:rsidR="00806678" w:rsidRDefault="00B16377">
          <w:pPr>
            <w:ind w:right="210"/>
          </w:pPr>
          <w:r>
            <w:rPr>
              <w:rFonts w:hint="eastAsia"/>
            </w:rPr>
            <w:t>期末重要的债权投资和其他债权投资：</w:t>
          </w:r>
        </w:p>
        <w:sdt>
          <w:sdtPr>
            <w:alias w:val="是否适用：一年内到期的非流动资产中重要的债权投资[双击切换]"/>
            <w:tag w:val="_GBC_0d470517aa78473bb3de8fe6fa7eda38"/>
            <w:id w:val="-1948002412"/>
            <w:lock w:val="sdtLocked"/>
            <w:placeholder>
              <w:docPart w:val="GBC22222222222222222222222222222"/>
            </w:placeholder>
          </w:sdtPr>
          <w:sdtContent>
            <w:p w:rsidR="00806678" w:rsidRDefault="00F80B6C" w:rsidP="00DB7089">
              <w:pPr>
                <w:ind w:right="210"/>
              </w:pPr>
              <w:r>
                <w:fldChar w:fldCharType="begin"/>
              </w:r>
              <w:r w:rsidR="00DB7089">
                <w:instrText xml:space="preserve"> MACROBUTTON  SnrToggleCheckbox □适用 </w:instrText>
              </w:r>
              <w:r>
                <w:fldChar w:fldCharType="end"/>
              </w:r>
              <w:r>
                <w:fldChar w:fldCharType="begin"/>
              </w:r>
              <w:r w:rsidR="00DB7089">
                <w:instrText xml:space="preserve"> MACROBUTTON  SnrToggleCheckbox √不适用 </w:instrText>
              </w:r>
              <w:r>
                <w:fldChar w:fldCharType="end"/>
              </w:r>
            </w:p>
          </w:sdtContent>
        </w:sdt>
      </w:sdtContent>
    </w:sdt>
    <w:sdt>
      <w:sdtPr>
        <w:rPr>
          <w:rFonts w:hint="eastAsia"/>
        </w:rPr>
        <w:alias w:val="模块:一年内到期的非流动资产其他说明"/>
        <w:tag w:val="_SEC_5007efc3f00c4111a777e47f97d502e5"/>
        <w:id w:val="-1052776080"/>
        <w:lock w:val="sdtLocked"/>
        <w:placeholder>
          <w:docPart w:val="GBC22222222222222222222222222222"/>
        </w:placeholder>
      </w:sdtPr>
      <w:sdtEndPr>
        <w:rPr>
          <w:rFonts w:hint="default"/>
        </w:rPr>
      </w:sdtEndPr>
      <w:sdtContent>
        <w:p w:rsidR="00806678" w:rsidRDefault="00B16377">
          <w:pPr>
            <w:ind w:right="210"/>
            <w:rPr>
              <w:szCs w:val="21"/>
            </w:rPr>
          </w:pPr>
          <w:r>
            <w:rPr>
              <w:rFonts w:hint="eastAsia"/>
            </w:rPr>
            <w:t>其他</w:t>
          </w:r>
          <w:r>
            <w:rPr>
              <w:rFonts w:hint="eastAsia"/>
              <w:szCs w:val="21"/>
            </w:rPr>
            <w:t>说明</w:t>
          </w:r>
        </w:p>
        <w:sdt>
          <w:sdtPr>
            <w:alias w:val="一年内到期的非流动资产其他说明"/>
            <w:tag w:val="_GBC_aebddb0e62fa4ec48ab98b4bc4575935"/>
            <w:id w:val="-1198846358"/>
            <w:lock w:val="sdtLocked"/>
            <w:placeholder>
              <w:docPart w:val="GBC22222222222222222222222222222"/>
            </w:placeholder>
          </w:sdtPr>
          <w:sdtContent>
            <w:p w:rsidR="00806678" w:rsidRDefault="00DB7089">
              <w:pPr>
                <w:ind w:right="210"/>
              </w:pPr>
              <w:r>
                <w:rPr>
                  <w:rFonts w:hint="eastAsia"/>
                </w:rPr>
                <w:t>无</w:t>
              </w:r>
            </w:p>
          </w:sdtContent>
        </w:sdt>
        <w:p w:rsidR="00806678" w:rsidRDefault="00F80B6C">
          <w:pPr>
            <w:ind w:right="210"/>
          </w:pPr>
        </w:p>
        <w:bookmarkEnd w:id="185" w:displacedByCustomXml="next"/>
      </w:sdtContent>
    </w:sdt>
    <w:bookmarkStart w:id="186" w:name="_Hlk533609053" w:displacedByCustomXml="next"/>
    <w:sdt>
      <w:sdtPr>
        <w:rPr>
          <w:rFonts w:ascii="宋体" w:hAnsi="宋体" w:cs="宋体" w:hint="eastAsia"/>
          <w:b w:val="0"/>
          <w:bCs w:val="0"/>
          <w:kern w:val="0"/>
          <w:szCs w:val="24"/>
        </w:rPr>
        <w:alias w:val="模块:其他流动资产"/>
        <w:tag w:val="_SEC_76a189d16ac5453184dfe42bd0fa9e73"/>
        <w:id w:val="1461462614"/>
        <w:lock w:val="sdtLocked"/>
        <w:placeholder>
          <w:docPart w:val="GBC22222222222222222222222222222"/>
        </w:placeholder>
      </w:sdtPr>
      <w:sdtContent>
        <w:p w:rsidR="00806678" w:rsidRDefault="00B16377" w:rsidP="00FF17C7">
          <w:pPr>
            <w:pStyle w:val="3"/>
            <w:numPr>
              <w:ilvl w:val="0"/>
              <w:numId w:val="18"/>
            </w:numPr>
            <w:tabs>
              <w:tab w:val="left" w:pos="504"/>
            </w:tabs>
          </w:pPr>
          <w:r>
            <w:rPr>
              <w:rFonts w:hint="eastAsia"/>
            </w:rPr>
            <w:t>其他流动资产</w:t>
          </w:r>
        </w:p>
        <w:sdt>
          <w:sdtPr>
            <w:alias w:val="是否适用：其他流动资产[双击切换]"/>
            <w:tag w:val="_GBC_49fe7514f24d4f7fbf009ae51ff98d5a"/>
            <w:id w:val="447282077"/>
            <w:lock w:val="sdtLocked"/>
            <w:placeholder>
              <w:docPart w:val="GBC22222222222222222222222222222"/>
            </w:placeholder>
          </w:sdtPr>
          <w:sdtContent>
            <w:p w:rsidR="00806678" w:rsidRDefault="00F80B6C">
              <w:r>
                <w:fldChar w:fldCharType="begin"/>
              </w:r>
              <w:r w:rsidR="00DB7089">
                <w:instrText xml:space="preserve">MACROBUTTON  SnrToggleCheckbox √适用 </w:instrText>
              </w:r>
              <w:r>
                <w:fldChar w:fldCharType="end"/>
              </w:r>
              <w:r>
                <w:fldChar w:fldCharType="begin"/>
              </w:r>
              <w:r w:rsidR="00DB7089">
                <w:instrText xml:space="preserve"> MACROBUTTON  SnrToggleCheckbox □不适用 </w:instrText>
              </w:r>
              <w:r>
                <w:fldChar w:fldCharType="end"/>
              </w:r>
            </w:p>
          </w:sdtContent>
        </w:sdt>
        <w:p w:rsidR="00806678" w:rsidRDefault="00B16377">
          <w:pPr>
            <w:jc w:val="right"/>
          </w:pPr>
          <w:r>
            <w:rPr>
              <w:rFonts w:hint="eastAsia"/>
            </w:rPr>
            <w:t>单位：</w:t>
          </w:r>
          <w:sdt>
            <w:sdtPr>
              <w:rPr>
                <w:rFonts w:hint="eastAsia"/>
              </w:rPr>
              <w:alias w:val="单位：其他流动资产"/>
              <w:tag w:val="_GBC_8aa27294471c4172ba97de2c15d029c6"/>
              <w:id w:val="8751657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其他流动资产"/>
              <w:tag w:val="_GBC_8e1e40ac44704231aa91fcfbbccbd924"/>
              <w:id w:val="44875201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87"/>
            <w:gridCol w:w="2917"/>
            <w:gridCol w:w="2845"/>
          </w:tblGrid>
          <w:tr w:rsidR="00D05FE1" w:rsidTr="00601D47">
            <w:sdt>
              <w:sdtPr>
                <w:tag w:val="_PLD_a34f889fb3794268b1f04c9534377486"/>
                <w:id w:val="-966357936"/>
                <w:lock w:val="sdtLocked"/>
              </w:sdtPr>
              <w:sdtContent>
                <w:tc>
                  <w:tcPr>
                    <w:tcW w:w="1816" w:type="pct"/>
                    <w:shd w:val="clear" w:color="auto" w:fill="auto"/>
                    <w:vAlign w:val="center"/>
                  </w:tcPr>
                  <w:p w:rsidR="00D05FE1" w:rsidRDefault="00D05FE1" w:rsidP="00601D47">
                    <w:pPr>
                      <w:jc w:val="center"/>
                      <w:rPr>
                        <w:szCs w:val="21"/>
                      </w:rPr>
                    </w:pPr>
                    <w:r>
                      <w:rPr>
                        <w:rFonts w:hint="eastAsia"/>
                        <w:szCs w:val="21"/>
                      </w:rPr>
                      <w:t>项目</w:t>
                    </w:r>
                  </w:p>
                </w:tc>
              </w:sdtContent>
            </w:sdt>
            <w:sdt>
              <w:sdtPr>
                <w:tag w:val="_PLD_97b9b7e912e14a06b24f532e76914900"/>
                <w:id w:val="1250319707"/>
                <w:lock w:val="sdtLocked"/>
              </w:sdtPr>
              <w:sdtContent>
                <w:tc>
                  <w:tcPr>
                    <w:tcW w:w="1612" w:type="pct"/>
                    <w:shd w:val="clear" w:color="auto" w:fill="auto"/>
                    <w:vAlign w:val="center"/>
                  </w:tcPr>
                  <w:p w:rsidR="00D05FE1" w:rsidRDefault="00D05FE1" w:rsidP="00601D47">
                    <w:pPr>
                      <w:jc w:val="center"/>
                      <w:rPr>
                        <w:szCs w:val="21"/>
                      </w:rPr>
                    </w:pPr>
                    <w:r>
                      <w:rPr>
                        <w:rFonts w:hint="eastAsia"/>
                        <w:szCs w:val="21"/>
                      </w:rPr>
                      <w:t>期末余额</w:t>
                    </w:r>
                  </w:p>
                </w:tc>
              </w:sdtContent>
            </w:sdt>
            <w:sdt>
              <w:sdtPr>
                <w:tag w:val="_PLD_c02c94d4c7614f3cadd2972514fb87f4"/>
                <w:id w:val="-727839722"/>
                <w:lock w:val="sdtLocked"/>
              </w:sdtPr>
              <w:sdtContent>
                <w:tc>
                  <w:tcPr>
                    <w:tcW w:w="1572" w:type="pct"/>
                    <w:shd w:val="clear" w:color="auto" w:fill="auto"/>
                    <w:vAlign w:val="center"/>
                  </w:tcPr>
                  <w:p w:rsidR="00D05FE1" w:rsidRDefault="00D05FE1" w:rsidP="00601D47">
                    <w:pPr>
                      <w:jc w:val="center"/>
                      <w:rPr>
                        <w:szCs w:val="21"/>
                      </w:rPr>
                    </w:pPr>
                    <w:r>
                      <w:rPr>
                        <w:rFonts w:hint="eastAsia"/>
                        <w:szCs w:val="21"/>
                      </w:rPr>
                      <w:t>期初余额</w:t>
                    </w:r>
                  </w:p>
                </w:tc>
              </w:sdtContent>
            </w:sdt>
          </w:tr>
          <w:sdt>
            <w:sdtPr>
              <w:rPr>
                <w:rFonts w:hint="eastAsia"/>
                <w:szCs w:val="21"/>
              </w:rPr>
              <w:alias w:val="其他流动资产明细"/>
              <w:tag w:val="_TUP_03a79c0b3d284671976e8b90399a3019"/>
              <w:id w:val="9190063"/>
              <w:lock w:val="sdtLocked"/>
            </w:sdtPr>
            <w:sdtContent>
              <w:tr w:rsidR="00D05FE1" w:rsidTr="00601D47">
                <w:tc>
                  <w:tcPr>
                    <w:tcW w:w="1816" w:type="pct"/>
                    <w:shd w:val="clear" w:color="auto" w:fill="auto"/>
                  </w:tcPr>
                  <w:p w:rsidR="00D05FE1" w:rsidRDefault="00D05FE1" w:rsidP="00601D47">
                    <w:pPr>
                      <w:snapToGrid w:val="0"/>
                      <w:ind w:leftChars="-51" w:left="-107"/>
                      <w:rPr>
                        <w:szCs w:val="21"/>
                      </w:rPr>
                    </w:pPr>
                    <w:r>
                      <w:t>应交增值税借方余额</w:t>
                    </w:r>
                  </w:p>
                </w:tc>
                <w:tc>
                  <w:tcPr>
                    <w:tcW w:w="1612" w:type="pct"/>
                    <w:shd w:val="clear" w:color="auto" w:fill="auto"/>
                    <w:vAlign w:val="center"/>
                  </w:tcPr>
                  <w:p w:rsidR="00D05FE1" w:rsidRDefault="00D05FE1" w:rsidP="00601D47">
                    <w:pPr>
                      <w:snapToGrid w:val="0"/>
                      <w:jc w:val="right"/>
                      <w:rPr>
                        <w:szCs w:val="21"/>
                      </w:rPr>
                    </w:pPr>
                    <w:r>
                      <w:t>112,795,226</w:t>
                    </w:r>
                  </w:p>
                </w:tc>
                <w:tc>
                  <w:tcPr>
                    <w:tcW w:w="1572" w:type="pct"/>
                    <w:shd w:val="clear" w:color="auto" w:fill="auto"/>
                  </w:tcPr>
                  <w:p w:rsidR="00D05FE1" w:rsidRDefault="00D05FE1" w:rsidP="00601D47">
                    <w:pPr>
                      <w:snapToGrid w:val="0"/>
                      <w:jc w:val="right"/>
                      <w:rPr>
                        <w:szCs w:val="21"/>
                      </w:rPr>
                    </w:pPr>
                    <w:r>
                      <w:t>112,967,739</w:t>
                    </w:r>
                  </w:p>
                </w:tc>
              </w:tr>
            </w:sdtContent>
          </w:sdt>
          <w:sdt>
            <w:sdtPr>
              <w:rPr>
                <w:rFonts w:hint="eastAsia"/>
                <w:szCs w:val="21"/>
              </w:rPr>
              <w:alias w:val="其他流动资产明细"/>
              <w:tag w:val="_TUP_03a79c0b3d284671976e8b90399a3019"/>
              <w:id w:val="-1469663647"/>
              <w:lock w:val="sdtLocked"/>
            </w:sdtPr>
            <w:sdtContent>
              <w:tr w:rsidR="00D05FE1" w:rsidTr="00601D47">
                <w:tc>
                  <w:tcPr>
                    <w:tcW w:w="1816" w:type="pct"/>
                    <w:shd w:val="clear" w:color="auto" w:fill="auto"/>
                  </w:tcPr>
                  <w:p w:rsidR="00D05FE1" w:rsidRDefault="00D05FE1" w:rsidP="00601D47">
                    <w:pPr>
                      <w:snapToGrid w:val="0"/>
                      <w:ind w:leftChars="-51" w:left="-107"/>
                      <w:rPr>
                        <w:szCs w:val="21"/>
                      </w:rPr>
                    </w:pPr>
                    <w:r>
                      <w:t>待认证进项税额</w:t>
                    </w:r>
                  </w:p>
                </w:tc>
                <w:tc>
                  <w:tcPr>
                    <w:tcW w:w="1612" w:type="pct"/>
                    <w:shd w:val="clear" w:color="auto" w:fill="auto"/>
                    <w:vAlign w:val="center"/>
                  </w:tcPr>
                  <w:p w:rsidR="00D05FE1" w:rsidRDefault="00D05FE1" w:rsidP="00601D47">
                    <w:pPr>
                      <w:snapToGrid w:val="0"/>
                      <w:jc w:val="right"/>
                      <w:rPr>
                        <w:szCs w:val="21"/>
                      </w:rPr>
                    </w:pPr>
                    <w:r>
                      <w:t>173,862,563</w:t>
                    </w:r>
                  </w:p>
                </w:tc>
                <w:tc>
                  <w:tcPr>
                    <w:tcW w:w="1572" w:type="pct"/>
                    <w:shd w:val="clear" w:color="auto" w:fill="auto"/>
                  </w:tcPr>
                  <w:p w:rsidR="00D05FE1" w:rsidRDefault="00D05FE1" w:rsidP="00601D47">
                    <w:pPr>
                      <w:snapToGrid w:val="0"/>
                      <w:jc w:val="right"/>
                      <w:rPr>
                        <w:szCs w:val="21"/>
                      </w:rPr>
                    </w:pPr>
                    <w:r>
                      <w:t>103,573,520</w:t>
                    </w:r>
                  </w:p>
                </w:tc>
              </w:tr>
            </w:sdtContent>
          </w:sdt>
          <w:sdt>
            <w:sdtPr>
              <w:rPr>
                <w:rFonts w:hint="eastAsia"/>
                <w:szCs w:val="21"/>
              </w:rPr>
              <w:alias w:val="其他流动资产明细"/>
              <w:tag w:val="_TUP_03a79c0b3d284671976e8b90399a3019"/>
              <w:id w:val="333581572"/>
              <w:lock w:val="sdtLocked"/>
            </w:sdtPr>
            <w:sdtContent>
              <w:tr w:rsidR="00D05FE1" w:rsidTr="00601D47">
                <w:tc>
                  <w:tcPr>
                    <w:tcW w:w="1816" w:type="pct"/>
                    <w:shd w:val="clear" w:color="auto" w:fill="auto"/>
                  </w:tcPr>
                  <w:p w:rsidR="00D05FE1" w:rsidRDefault="00D05FE1" w:rsidP="00601D47">
                    <w:pPr>
                      <w:snapToGrid w:val="0"/>
                      <w:ind w:leftChars="-51" w:left="-107"/>
                      <w:rPr>
                        <w:szCs w:val="21"/>
                      </w:rPr>
                    </w:pPr>
                    <w:r>
                      <w:t>三供一业维修改造支出 (注1)</w:t>
                    </w:r>
                  </w:p>
                </w:tc>
                <w:tc>
                  <w:tcPr>
                    <w:tcW w:w="1612" w:type="pct"/>
                    <w:shd w:val="clear" w:color="auto" w:fill="auto"/>
                    <w:vAlign w:val="center"/>
                  </w:tcPr>
                  <w:p w:rsidR="00D05FE1" w:rsidRDefault="00D05FE1" w:rsidP="00601D47">
                    <w:pPr>
                      <w:snapToGrid w:val="0"/>
                      <w:jc w:val="right"/>
                      <w:rPr>
                        <w:szCs w:val="21"/>
                      </w:rPr>
                    </w:pPr>
                    <w:r>
                      <w:t>323,759,553</w:t>
                    </w:r>
                  </w:p>
                </w:tc>
                <w:tc>
                  <w:tcPr>
                    <w:tcW w:w="1572" w:type="pct"/>
                    <w:shd w:val="clear" w:color="auto" w:fill="auto"/>
                  </w:tcPr>
                  <w:p w:rsidR="00D05FE1" w:rsidRDefault="00D05FE1" w:rsidP="00601D47">
                    <w:pPr>
                      <w:snapToGrid w:val="0"/>
                      <w:jc w:val="right"/>
                      <w:rPr>
                        <w:szCs w:val="21"/>
                      </w:rPr>
                    </w:pPr>
                    <w:r>
                      <w:t>710,766,191</w:t>
                    </w:r>
                  </w:p>
                </w:tc>
              </w:tr>
            </w:sdtContent>
          </w:sdt>
          <w:sdt>
            <w:sdtPr>
              <w:rPr>
                <w:rFonts w:hint="eastAsia"/>
                <w:szCs w:val="21"/>
              </w:rPr>
              <w:alias w:val="其他流动资产明细"/>
              <w:tag w:val="_TUP_03a79c0b3d284671976e8b90399a3019"/>
              <w:id w:val="-1455863063"/>
              <w:lock w:val="sdtLocked"/>
            </w:sdtPr>
            <w:sdtContent>
              <w:tr w:rsidR="00D05FE1" w:rsidTr="00601D47">
                <w:tc>
                  <w:tcPr>
                    <w:tcW w:w="1816" w:type="pct"/>
                    <w:shd w:val="clear" w:color="auto" w:fill="auto"/>
                  </w:tcPr>
                  <w:p w:rsidR="00D05FE1" w:rsidRDefault="00D05FE1" w:rsidP="00601D47">
                    <w:pPr>
                      <w:snapToGrid w:val="0"/>
                      <w:ind w:leftChars="-51" w:left="-107"/>
                      <w:rPr>
                        <w:szCs w:val="21"/>
                      </w:rPr>
                    </w:pPr>
                    <w:r>
                      <w:t>其他</w:t>
                    </w:r>
                  </w:p>
                </w:tc>
                <w:tc>
                  <w:tcPr>
                    <w:tcW w:w="1612" w:type="pct"/>
                    <w:shd w:val="clear" w:color="auto" w:fill="auto"/>
                    <w:vAlign w:val="center"/>
                  </w:tcPr>
                  <w:p w:rsidR="00D05FE1" w:rsidRDefault="00D05FE1" w:rsidP="00601D47">
                    <w:pPr>
                      <w:snapToGrid w:val="0"/>
                      <w:jc w:val="right"/>
                      <w:rPr>
                        <w:szCs w:val="21"/>
                      </w:rPr>
                    </w:pPr>
                    <w:r>
                      <w:t>128,239,885</w:t>
                    </w:r>
                  </w:p>
                </w:tc>
                <w:tc>
                  <w:tcPr>
                    <w:tcW w:w="1572" w:type="pct"/>
                    <w:shd w:val="clear" w:color="auto" w:fill="auto"/>
                  </w:tcPr>
                  <w:p w:rsidR="00D05FE1" w:rsidRDefault="00D05FE1" w:rsidP="00601D47">
                    <w:pPr>
                      <w:snapToGrid w:val="0"/>
                      <w:jc w:val="right"/>
                      <w:rPr>
                        <w:szCs w:val="21"/>
                      </w:rPr>
                    </w:pPr>
                    <w:r>
                      <w:t>110,183,263</w:t>
                    </w:r>
                  </w:p>
                </w:tc>
              </w:tr>
            </w:sdtContent>
          </w:sdt>
          <w:tr w:rsidR="00D05FE1" w:rsidTr="00601D47">
            <w:sdt>
              <w:sdtPr>
                <w:tag w:val="_PLD_e465e07d25cf4e809cbdbfd02cac01c7"/>
                <w:id w:val="726728233"/>
                <w:lock w:val="sdtLocked"/>
              </w:sdtPr>
              <w:sdtContent>
                <w:tc>
                  <w:tcPr>
                    <w:tcW w:w="1816" w:type="pct"/>
                    <w:shd w:val="clear" w:color="auto" w:fill="auto"/>
                    <w:vAlign w:val="center"/>
                  </w:tcPr>
                  <w:p w:rsidR="00D05FE1" w:rsidRDefault="00D05FE1" w:rsidP="00601D47">
                    <w:pPr>
                      <w:snapToGrid w:val="0"/>
                      <w:ind w:leftChars="-51" w:left="-107"/>
                      <w:jc w:val="center"/>
                      <w:rPr>
                        <w:szCs w:val="21"/>
                      </w:rPr>
                    </w:pPr>
                    <w:r>
                      <w:rPr>
                        <w:rFonts w:hint="eastAsia"/>
                        <w:szCs w:val="21"/>
                      </w:rPr>
                      <w:t>合计</w:t>
                    </w:r>
                  </w:p>
                </w:tc>
              </w:sdtContent>
            </w:sdt>
            <w:tc>
              <w:tcPr>
                <w:tcW w:w="1612" w:type="pct"/>
                <w:shd w:val="clear" w:color="auto" w:fill="auto"/>
              </w:tcPr>
              <w:p w:rsidR="00D05FE1" w:rsidRDefault="00D05FE1" w:rsidP="00601D47">
                <w:pPr>
                  <w:snapToGrid w:val="0"/>
                  <w:jc w:val="right"/>
                  <w:rPr>
                    <w:szCs w:val="21"/>
                  </w:rPr>
                </w:pPr>
                <w:r>
                  <w:rPr>
                    <w:szCs w:val="21"/>
                  </w:rPr>
                  <w:t>738,657,227</w:t>
                </w:r>
              </w:p>
            </w:tc>
            <w:tc>
              <w:tcPr>
                <w:tcW w:w="1572" w:type="pct"/>
                <w:shd w:val="clear" w:color="auto" w:fill="auto"/>
              </w:tcPr>
              <w:p w:rsidR="00D05FE1" w:rsidRDefault="00D05FE1" w:rsidP="00601D47">
                <w:pPr>
                  <w:snapToGrid w:val="0"/>
                  <w:jc w:val="right"/>
                  <w:rPr>
                    <w:szCs w:val="21"/>
                  </w:rPr>
                </w:pPr>
                <w:r>
                  <w:rPr>
                    <w:szCs w:val="21"/>
                  </w:rPr>
                  <w:t>1,037,490,713</w:t>
                </w:r>
              </w:p>
            </w:tc>
          </w:tr>
        </w:tbl>
        <w:p w:rsidR="008370A9" w:rsidRDefault="008370A9"/>
        <w:p w:rsidR="00806678" w:rsidRDefault="00B16377">
          <w:r>
            <w:rPr>
              <w:rFonts w:hint="eastAsia"/>
            </w:rPr>
            <w:t>其他说明</w:t>
          </w:r>
        </w:p>
        <w:p w:rsidR="00C24C2F" w:rsidRDefault="00C24C2F"/>
        <w:sdt>
          <w:sdtPr>
            <w:rPr>
              <w:rFonts w:hint="eastAsia"/>
            </w:rPr>
            <w:alias w:val="其他流动资产说明"/>
            <w:tag w:val="_GBC_6b66243025624716a85c25ca534f7d52"/>
            <w:id w:val="1061597833"/>
            <w:lock w:val="sdtLocked"/>
            <w:placeholder>
              <w:docPart w:val="GBC22222222222222222222222222222"/>
            </w:placeholder>
          </w:sdtPr>
          <w:sdtEndPr>
            <w:rPr>
              <w:sz w:val="22"/>
              <w:szCs w:val="22"/>
            </w:rPr>
          </w:sdtEndPr>
          <w:sdtContent>
            <w:p w:rsidR="00D05FE1" w:rsidRDefault="00D05FE1" w:rsidP="008370A9">
              <w:pPr>
                <w:jc w:val="both"/>
                <w:rPr>
                  <w:sz w:val="22"/>
                  <w:szCs w:val="22"/>
                </w:rPr>
              </w:pPr>
              <w:r w:rsidRPr="00D05FE1">
                <w:rPr>
                  <w:rFonts w:hint="eastAsia"/>
                  <w:sz w:val="22"/>
                  <w:szCs w:val="22"/>
                </w:rPr>
                <w:t>注</w:t>
              </w:r>
              <w:r w:rsidRPr="00D05FE1">
                <w:rPr>
                  <w:sz w:val="22"/>
                  <w:szCs w:val="22"/>
                </w:rPr>
                <w:t>1：</w:t>
              </w:r>
              <w:r w:rsidRPr="00D05FE1">
                <w:rPr>
                  <w:sz w:val="22"/>
                  <w:szCs w:val="22"/>
                </w:rPr>
                <w:tab/>
                <w:t>根据《国务院办公厅转发国务院国资委、财政部关于国有企业职工家属区“三供一业”分离移交工作指导意见的通知》(国办发【2016】45号) 、《中国铁路总公司关于做好“三供一业”分离移交工作的通知》(铁总运【2016】180号) 等文件的规定，本公司于2018年启动“三供一业”分离移交工作，对职工家属区供水、供电、供热 (供气) 和物业管理 (统称“三供一业”) 实施分离移交。</w:t>
              </w:r>
            </w:p>
            <w:p w:rsidR="00D05FE1" w:rsidRPr="00D05FE1" w:rsidRDefault="00D05FE1" w:rsidP="008370A9">
              <w:pPr>
                <w:jc w:val="both"/>
                <w:rPr>
                  <w:sz w:val="22"/>
                  <w:szCs w:val="22"/>
                </w:rPr>
              </w:pPr>
            </w:p>
            <w:p w:rsidR="00806678" w:rsidRPr="00D05FE1" w:rsidRDefault="00D05FE1" w:rsidP="008370A9">
              <w:pPr>
                <w:jc w:val="both"/>
                <w:rPr>
                  <w:sz w:val="22"/>
                  <w:szCs w:val="22"/>
                </w:rPr>
              </w:pPr>
              <w:r w:rsidRPr="00D05FE1">
                <w:rPr>
                  <w:rFonts w:cs="Arial" w:hint="eastAsia"/>
                  <w:sz w:val="22"/>
                  <w:szCs w:val="22"/>
                </w:rPr>
                <w:t>于2022年12月31日，本公司“三供一业”维修改造支出累计为人民币2,668,187,657元，其中累计已达到分离移交完成条件的维修改造支出累计为人民币2,344,428,104元。2022年，本公司根据《国铁集团办公厅转发财政部、国资委关于中央企业和原中央下放企业职工家属区“三供一业”分离移交中央财政补助资金清算的通知》(铁办财〔2019〕47号)文件要求，将应由本公司承担的部分维修改造支出人民币142,025,105元冲减所有者权益，将应由中央财政补贴的部分人民币245,414,448元，于2022年12月31日确认为对国铁集团及其下属单位的其他应收款。截至2022年12月31日，本公司剩余预付维修改造支出余额为人民币323,759,553元(2021年12月31日：人民币710,766,191元)，待达到分离移交完成条件后进行相应处理。</w:t>
              </w:r>
            </w:p>
          </w:sdtContent>
        </w:sdt>
        <w:p w:rsidR="00806678" w:rsidRDefault="00F80B6C"/>
      </w:sdtContent>
    </w:sdt>
    <w:bookmarkEnd w:id="186" w:displacedByCustomXml="prev"/>
    <w:bookmarkStart w:id="187" w:name="_Hlk533409588" w:displacedByCustomXml="next"/>
    <w:sdt>
      <w:sdtPr>
        <w:rPr>
          <w:rFonts w:ascii="宋体" w:hAnsi="宋体" w:cs="宋体" w:hint="eastAsia"/>
          <w:b w:val="0"/>
          <w:bCs w:val="0"/>
          <w:kern w:val="0"/>
          <w:szCs w:val="24"/>
        </w:rPr>
        <w:alias w:val="模块:债权投资情况"/>
        <w:tag w:val="_SEC_14d51d39f7d5436a8f41f898c206e930"/>
        <w:id w:val="-511219759"/>
        <w:lock w:val="sdtLocked"/>
        <w:placeholder>
          <w:docPart w:val="GBC22222222222222222222222222222"/>
        </w:placeholder>
      </w:sdtPr>
      <w:sdtEndPr>
        <w:rPr>
          <w:szCs w:val="21"/>
        </w:rPr>
      </w:sdtEndPr>
      <w:sdtContent>
        <w:p w:rsidR="00806678" w:rsidRDefault="00B16377" w:rsidP="00FF17C7">
          <w:pPr>
            <w:pStyle w:val="3"/>
            <w:numPr>
              <w:ilvl w:val="0"/>
              <w:numId w:val="18"/>
            </w:numPr>
            <w:tabs>
              <w:tab w:val="left" w:pos="504"/>
            </w:tabs>
          </w:pPr>
          <w:r>
            <w:rPr>
              <w:rFonts w:hint="eastAsia"/>
            </w:rPr>
            <w:t>债权投资</w:t>
          </w:r>
        </w:p>
        <w:p w:rsidR="00806678" w:rsidRDefault="00B16377" w:rsidP="00FF17C7">
          <w:pPr>
            <w:pStyle w:val="4"/>
            <w:numPr>
              <w:ilvl w:val="3"/>
              <w:numId w:val="81"/>
            </w:numPr>
            <w:ind w:left="426" w:hanging="426"/>
          </w:pPr>
          <w:bookmarkStart w:id="188" w:name="_Hlk532993723"/>
          <w:r>
            <w:rPr>
              <w:rFonts w:hint="eastAsia"/>
            </w:rPr>
            <w:t>债权投资情况</w:t>
          </w:r>
        </w:p>
        <w:sdt>
          <w:sdtPr>
            <w:alias w:val="是否适用：以摊余成本计量的长期债权投资[双击切换]"/>
            <w:tag w:val="_GBC_dbc7f90615cc46578228904cb4aa1cff"/>
            <w:id w:val="-1424871765"/>
            <w:lock w:val="sdtLocked"/>
            <w:placeholder>
              <w:docPart w:val="GBC22222222222222222222222222222"/>
            </w:placeholder>
          </w:sdtPr>
          <w:sdtContent>
            <w:p w:rsidR="00806678" w:rsidRDefault="00F80B6C" w:rsidP="00D05FE1">
              <w:pPr>
                <w:rPr>
                  <w:szCs w:val="21"/>
                </w:rPr>
              </w:pPr>
              <w:r>
                <w:fldChar w:fldCharType="begin"/>
              </w:r>
              <w:r w:rsidR="00D05FE1">
                <w:instrText xml:space="preserve"> MACROBUTTON  SnrToggleCheckbox □适用 </w:instrText>
              </w:r>
              <w:r>
                <w:fldChar w:fldCharType="end"/>
              </w:r>
              <w:r>
                <w:fldChar w:fldCharType="begin"/>
              </w:r>
              <w:r w:rsidR="00D05FE1">
                <w:instrText xml:space="preserve"> MACROBUTTON  SnrToggleCheckbox √不适用 </w:instrText>
              </w:r>
              <w:r>
                <w:fldChar w:fldCharType="end"/>
              </w:r>
            </w:p>
          </w:sdtContent>
        </w:sdt>
      </w:sdtContent>
    </w:sdt>
    <w:bookmarkStart w:id="189" w:name="_Hlk532994191" w:displacedByCustomXml="next"/>
    <w:sdt>
      <w:sdtPr>
        <w:rPr>
          <w:rFonts w:ascii="宋体" w:eastAsia="宋体" w:hAnsi="宋体" w:cs="宋体" w:hint="eastAsia"/>
          <w:b w:val="0"/>
          <w:bCs w:val="0"/>
          <w:kern w:val="0"/>
          <w:szCs w:val="24"/>
        </w:rPr>
        <w:alias w:val="模块:期末重要的债权投资"/>
        <w:tag w:val="_SEC_9590e8ecc5d3406198e45c28b530ea74"/>
        <w:id w:val="806754286"/>
        <w:lock w:val="sdtLocked"/>
        <w:placeholder>
          <w:docPart w:val="GBC22222222222222222222222222222"/>
        </w:placeholder>
      </w:sdtPr>
      <w:sdtEndPr>
        <w:rPr>
          <w:szCs w:val="21"/>
        </w:rPr>
      </w:sdtEndPr>
      <w:sdtContent>
        <w:p w:rsidR="00806678" w:rsidRDefault="00B16377" w:rsidP="00FF17C7">
          <w:pPr>
            <w:pStyle w:val="4"/>
            <w:numPr>
              <w:ilvl w:val="3"/>
              <w:numId w:val="81"/>
            </w:numPr>
            <w:ind w:left="426" w:hanging="426"/>
          </w:pPr>
          <w:r>
            <w:rPr>
              <w:rFonts w:hint="eastAsia"/>
            </w:rPr>
            <w:t>期末重要的债权投资</w:t>
          </w:r>
        </w:p>
        <w:sdt>
          <w:sdtPr>
            <w:alias w:val="是否适用：重要的债权投资[双击切换]"/>
            <w:tag w:val="_GBC_ca6db275ff8944c2900ec34693d6ebf6"/>
            <w:id w:val="1729872352"/>
            <w:lock w:val="sdtLocked"/>
            <w:placeholder>
              <w:docPart w:val="GBC22222222222222222222222222222"/>
            </w:placeholder>
          </w:sdtPr>
          <w:sdtContent>
            <w:p w:rsidR="00806678" w:rsidRDefault="00F80B6C" w:rsidP="00D05FE1">
              <w:pPr>
                <w:rPr>
                  <w:szCs w:val="21"/>
                </w:rPr>
              </w:pPr>
              <w:r>
                <w:fldChar w:fldCharType="begin"/>
              </w:r>
              <w:r w:rsidR="00D05FE1">
                <w:instrText xml:space="preserve"> MACROBUTTON  SnrToggleCheckbox □适用 </w:instrText>
              </w:r>
              <w:r>
                <w:fldChar w:fldCharType="end"/>
              </w:r>
              <w:r>
                <w:fldChar w:fldCharType="begin"/>
              </w:r>
              <w:r w:rsidR="00D05FE1">
                <w:instrText xml:space="preserve"> MACROBUTTON  SnrToggleCheckbox √不适用 </w:instrText>
              </w:r>
              <w:r>
                <w:fldChar w:fldCharType="end"/>
              </w:r>
            </w:p>
          </w:sdtContent>
        </w:sdt>
      </w:sdtContent>
    </w:sdt>
    <w:bookmarkEnd w:id="189" w:displacedByCustomXml="prev"/>
    <w:bookmarkEnd w:id="188" w:displacedByCustomXml="next"/>
    <w:bookmarkEnd w:id="187" w:displacedByCustomXml="next"/>
    <w:bookmarkStart w:id="190" w:name="_Hlk533872317" w:displacedByCustomXml="next"/>
    <w:sdt>
      <w:sdtPr>
        <w:rPr>
          <w:rFonts w:ascii="宋体" w:eastAsia="宋体" w:hAnsi="宋体" w:cs="宋体" w:hint="eastAsia"/>
          <w:b w:val="0"/>
          <w:bCs w:val="0"/>
          <w:kern w:val="0"/>
          <w:szCs w:val="24"/>
        </w:rPr>
        <w:alias w:val="模块:减值准备计提情况"/>
        <w:tag w:val="_SEC_5933b4ff0aa1441d91a30454dd600143"/>
        <w:id w:val="709076283"/>
        <w:lock w:val="sdtLocked"/>
        <w:placeholder>
          <w:docPart w:val="GBC22222222222222222222222222222"/>
        </w:placeholder>
      </w:sdtPr>
      <w:sdtEndPr>
        <w:rPr>
          <w:szCs w:val="21"/>
        </w:rPr>
      </w:sdtEndPr>
      <w:sdtContent>
        <w:p w:rsidR="00806678" w:rsidRDefault="00B16377" w:rsidP="00FF17C7">
          <w:pPr>
            <w:pStyle w:val="4"/>
            <w:numPr>
              <w:ilvl w:val="3"/>
              <w:numId w:val="81"/>
            </w:numPr>
            <w:ind w:left="426" w:hanging="426"/>
          </w:pPr>
          <w:r>
            <w:rPr>
              <w:rFonts w:ascii="宋体" w:eastAsia="宋体" w:hAnsi="宋体" w:cs="宋体" w:hint="eastAsia"/>
              <w:bCs w:val="0"/>
              <w:kern w:val="0"/>
              <w:szCs w:val="24"/>
            </w:rPr>
            <w:t>减值准备计提情况</w:t>
          </w:r>
        </w:p>
        <w:sdt>
          <w:sdtPr>
            <w:alias w:val="是否适用：债权投资减值准备调节表[双击切换]"/>
            <w:tag w:val="_GBC_686136d6dd874d559865e7aa5dd1a835"/>
            <w:id w:val="1895469357"/>
            <w:lock w:val="sdtLocked"/>
            <w:placeholder>
              <w:docPart w:val="GBC22222222222222222222222222222"/>
            </w:placeholder>
          </w:sdtPr>
          <w:sdtContent>
            <w:p w:rsidR="00806678" w:rsidRDefault="00F80B6C" w:rsidP="00D05FE1">
              <w:pPr>
                <w:rPr>
                  <w:szCs w:val="21"/>
                </w:rPr>
              </w:pPr>
              <w:r>
                <w:fldChar w:fldCharType="begin"/>
              </w:r>
              <w:r w:rsidR="00D05FE1">
                <w:instrText xml:space="preserve"> MACROBUTTON  SnrToggleCheckbox □适用 </w:instrText>
              </w:r>
              <w:r>
                <w:fldChar w:fldCharType="end"/>
              </w:r>
              <w:r>
                <w:fldChar w:fldCharType="begin"/>
              </w:r>
              <w:r w:rsidR="00D05FE1">
                <w:instrText xml:space="preserve"> MACROBUTTON  SnrToggleCheckbox √不适用 </w:instrText>
              </w:r>
              <w:r>
                <w:fldChar w:fldCharType="end"/>
              </w:r>
            </w:p>
          </w:sdtContent>
        </w:sdt>
      </w:sdtContent>
    </w:sdt>
    <w:bookmarkEnd w:id="190" w:displacedByCustomXml="prev"/>
    <w:sdt>
      <w:sdtPr>
        <w:rPr>
          <w:rFonts w:ascii="宋体" w:hAnsi="宋体" w:cs="宋体" w:hint="eastAsia"/>
          <w:b/>
          <w:bCs/>
          <w:kern w:val="0"/>
          <w:szCs w:val="24"/>
        </w:rPr>
        <w:alias w:val="模块:本期减值准备计提金额以及评估金融工具的信用风险是否显著增加的采用依据"/>
        <w:tag w:val="_SEC_040e62d42619437596c68d45a7cf057c"/>
        <w:id w:val="-1726683901"/>
        <w:lock w:val="sdtLocked"/>
        <w:placeholder>
          <w:docPart w:val="GBC22222222222222222222222222222"/>
        </w:placeholder>
      </w:sdtPr>
      <w:sdtEndPr>
        <w:rPr>
          <w:rFonts w:hint="default"/>
          <w:b w:val="0"/>
          <w:bCs w:val="0"/>
        </w:rPr>
      </w:sdtEndPr>
      <w:sdtContent>
        <w:p w:rsidR="00806678" w:rsidRDefault="00B16377">
          <w:pPr>
            <w:pStyle w:val="af7"/>
          </w:pPr>
          <w:r>
            <w:rPr>
              <w:rFonts w:hint="eastAsia"/>
            </w:rPr>
            <w:t>本</w:t>
          </w:r>
          <w:r>
            <w:t>期减</w:t>
          </w:r>
          <w:r>
            <w:rPr>
              <w:rFonts w:hint="eastAsia"/>
            </w:rPr>
            <w:t>值</w:t>
          </w:r>
          <w:r>
            <w:t>准备计提金额以及评估金融工具的</w:t>
          </w:r>
          <w:r>
            <w:rPr>
              <w:rFonts w:hint="eastAsia"/>
            </w:rPr>
            <w:t>信用风险是否显著增加的采用依据</w:t>
          </w:r>
        </w:p>
        <w:sdt>
          <w:sdtPr>
            <w:rPr>
              <w:szCs w:val="21"/>
            </w:rPr>
            <w:alias w:val="是否适用：债权投资减值准备计提金额以及评估金融工具的信用风险显著增加的采用依据[双击切换]"/>
            <w:tag w:val="_GBC_799f699e556f4272acd7681b17e4ede5"/>
            <w:id w:val="-1630628657"/>
            <w:lock w:val="sdtLocked"/>
            <w:placeholder>
              <w:docPart w:val="GBC22222222222222222222222222222"/>
            </w:placeholder>
          </w:sdtPr>
          <w:sdtContent>
            <w:p w:rsidR="00806678" w:rsidRDefault="00F80B6C">
              <w:r>
                <w:rPr>
                  <w:szCs w:val="21"/>
                </w:rPr>
                <w:fldChar w:fldCharType="begin"/>
              </w:r>
              <w:r w:rsidR="00D05FE1">
                <w:rPr>
                  <w:szCs w:val="21"/>
                </w:rPr>
                <w:instrText xml:space="preserve"> MACROBUTTON  SnrToggleCheckbox □适用 </w:instrText>
              </w:r>
              <w:r>
                <w:rPr>
                  <w:szCs w:val="21"/>
                </w:rPr>
                <w:fldChar w:fldCharType="end"/>
              </w:r>
              <w:r>
                <w:rPr>
                  <w:szCs w:val="21"/>
                </w:rPr>
                <w:fldChar w:fldCharType="begin"/>
              </w:r>
              <w:r w:rsidR="00D05FE1">
                <w:rPr>
                  <w:szCs w:val="21"/>
                </w:rPr>
                <w:instrText xml:space="preserve"> MACROBUTTON  SnrToggleCheckbox √不适用 </w:instrText>
              </w:r>
              <w:r>
                <w:rPr>
                  <w:szCs w:val="21"/>
                </w:rPr>
                <w:fldChar w:fldCharType="end"/>
              </w:r>
            </w:p>
          </w:sdtContent>
        </w:sdt>
      </w:sdtContent>
    </w:sdt>
    <w:sdt>
      <w:sdtPr>
        <w:rPr>
          <w:rFonts w:hint="eastAsia"/>
          <w:szCs w:val="21"/>
        </w:rPr>
        <w:alias w:val="模块:债券投资其他说明"/>
        <w:tag w:val="_SEC_81d8c27b48964e40adc85851e95f5fe8"/>
        <w:id w:val="-1061637796"/>
        <w:lock w:val="sdtLocked"/>
        <w:placeholder>
          <w:docPart w:val="GBC22222222222222222222222222222"/>
        </w:placeholder>
      </w:sdtPr>
      <w:sdtEndPr>
        <w:rPr>
          <w:rFonts w:hint="default"/>
          <w:szCs w:val="24"/>
        </w:rPr>
      </w:sdtEndPr>
      <w:sdtContent>
        <w:p w:rsidR="00806678" w:rsidRDefault="00B16377">
          <w:pPr>
            <w:rPr>
              <w:szCs w:val="21"/>
            </w:rPr>
          </w:pPr>
          <w:r>
            <w:rPr>
              <w:rFonts w:hint="eastAsia"/>
              <w:szCs w:val="21"/>
            </w:rPr>
            <w:t>其他说明</w:t>
          </w:r>
        </w:p>
        <w:sdt>
          <w:sdtPr>
            <w:alias w:val="是否适用：债权投资其他说明[双击切换]"/>
            <w:tag w:val="_GBC_17cf4c675aec4f36816c24c079df205c"/>
            <w:id w:val="714779473"/>
            <w:lock w:val="sdtLocked"/>
            <w:placeholder>
              <w:docPart w:val="GBC22222222222222222222222222222"/>
            </w:placeholder>
          </w:sdtPr>
          <w:sdtContent>
            <w:p w:rsidR="00D05FE1" w:rsidRDefault="00F80B6C">
              <w:pPr>
                <w:ind w:right="210"/>
              </w:pPr>
              <w:r>
                <w:fldChar w:fldCharType="begin"/>
              </w:r>
              <w:r w:rsidR="00D05FE1">
                <w:instrText xml:space="preserve"> MACROBUTTON  SnrToggleCheckbox □适用 </w:instrText>
              </w:r>
              <w:r>
                <w:fldChar w:fldCharType="end"/>
              </w:r>
              <w:r>
                <w:fldChar w:fldCharType="begin"/>
              </w:r>
              <w:r w:rsidR="00D05FE1">
                <w:instrText xml:space="preserve"> MACROBUTTON  SnrToggleCheckbox √不适用 </w:instrText>
              </w:r>
              <w:r>
                <w:fldChar w:fldCharType="end"/>
              </w:r>
            </w:p>
            <w:p w:rsidR="00806678" w:rsidRDefault="00F80B6C">
              <w:pPr>
                <w:ind w:right="210"/>
              </w:pPr>
            </w:p>
          </w:sdtContent>
        </w:sdt>
      </w:sdtContent>
    </w:sdt>
    <w:sdt>
      <w:sdtPr>
        <w:rPr>
          <w:rFonts w:ascii="宋体" w:hAnsi="宋体" w:cs="宋体" w:hint="eastAsia"/>
          <w:b w:val="0"/>
          <w:bCs w:val="0"/>
          <w:kern w:val="0"/>
          <w:szCs w:val="24"/>
        </w:rPr>
        <w:alias w:val="模块:其他债权投资情况"/>
        <w:tag w:val="_SEC_45dbf962086b4d8eb08561c0bbb52ee7"/>
        <w:id w:val="536860347"/>
        <w:lock w:val="sdtLocked"/>
        <w:placeholder>
          <w:docPart w:val="GBC22222222222222222222222222222"/>
        </w:placeholder>
      </w:sdtPr>
      <w:sdtEndPr>
        <w:rPr>
          <w:rFonts w:hint="default"/>
        </w:rPr>
      </w:sdtEndPr>
      <w:sdtContent>
        <w:p w:rsidR="00806678" w:rsidRDefault="00B16377" w:rsidP="00FF17C7">
          <w:pPr>
            <w:pStyle w:val="3"/>
            <w:numPr>
              <w:ilvl w:val="0"/>
              <w:numId w:val="18"/>
            </w:numPr>
            <w:tabs>
              <w:tab w:val="left" w:pos="504"/>
            </w:tabs>
          </w:pPr>
          <w:r>
            <w:rPr>
              <w:rFonts w:hint="eastAsia"/>
            </w:rPr>
            <w:t>其他债权投资</w:t>
          </w:r>
        </w:p>
        <w:p w:rsidR="00806678" w:rsidRDefault="00B16377" w:rsidP="00FF17C7">
          <w:pPr>
            <w:pStyle w:val="4"/>
            <w:numPr>
              <w:ilvl w:val="3"/>
              <w:numId w:val="82"/>
            </w:numPr>
            <w:ind w:left="426" w:hanging="426"/>
          </w:pPr>
          <w:r>
            <w:rPr>
              <w:rFonts w:hint="eastAsia"/>
            </w:rPr>
            <w:t>其他债权投资情况</w:t>
          </w:r>
        </w:p>
        <w:sdt>
          <w:sdtPr>
            <w:alias w:val="是否适用：其他债权投资情况[双击切换]"/>
            <w:tag w:val="_GBC_23599130a9db43be881f1fb4a46d3b7e"/>
            <w:id w:val="273759638"/>
            <w:lock w:val="sdtLocked"/>
            <w:placeholder>
              <w:docPart w:val="GBC22222222222222222222222222222"/>
            </w:placeholder>
          </w:sdtPr>
          <w:sdtContent>
            <w:p w:rsidR="00806678" w:rsidRDefault="00F80B6C" w:rsidP="00D05FE1">
              <w:pPr>
                <w:ind w:right="210"/>
              </w:pPr>
              <w:r>
                <w:fldChar w:fldCharType="begin"/>
              </w:r>
              <w:r w:rsidR="00D05FE1">
                <w:instrText xml:space="preserve"> MACROBUTTON  SnrToggleCheckbox □适用 </w:instrText>
              </w:r>
              <w:r>
                <w:fldChar w:fldCharType="end"/>
              </w:r>
              <w:r>
                <w:fldChar w:fldCharType="begin"/>
              </w:r>
              <w:r w:rsidR="00D05FE1">
                <w:instrText xml:space="preserve"> MACROBUTTON  SnrToggleCheckbox √不适用 </w:instrText>
              </w:r>
              <w:r>
                <w:fldChar w:fldCharType="end"/>
              </w:r>
            </w:p>
          </w:sdtContent>
        </w:sdt>
      </w:sdtContent>
    </w:sdt>
    <w:bookmarkStart w:id="191" w:name="_Hlk533848078" w:displacedByCustomXml="next"/>
    <w:sdt>
      <w:sdtPr>
        <w:rPr>
          <w:rFonts w:ascii="宋体" w:eastAsia="宋体" w:hAnsi="宋体" w:cs="宋体" w:hint="eastAsia"/>
          <w:b w:val="0"/>
          <w:bCs w:val="0"/>
          <w:kern w:val="0"/>
          <w:szCs w:val="24"/>
        </w:rPr>
        <w:alias w:val="模块:期末重要的其他债权投资"/>
        <w:tag w:val="_SEC_44eeb7a9a2664cfb8bc2bf6709356388"/>
        <w:id w:val="-1706560343"/>
        <w:lock w:val="sdtLocked"/>
        <w:placeholder>
          <w:docPart w:val="GBC22222222222222222222222222222"/>
        </w:placeholder>
      </w:sdtPr>
      <w:sdtEndPr>
        <w:rPr>
          <w:rFonts w:hint="default"/>
        </w:rPr>
      </w:sdtEndPr>
      <w:sdtContent>
        <w:p w:rsidR="00806678" w:rsidRDefault="00B16377" w:rsidP="00FF17C7">
          <w:pPr>
            <w:pStyle w:val="4"/>
            <w:numPr>
              <w:ilvl w:val="3"/>
              <w:numId w:val="82"/>
            </w:numPr>
            <w:ind w:left="426" w:hanging="426"/>
          </w:pPr>
          <w:r>
            <w:rPr>
              <w:rFonts w:hint="eastAsia"/>
            </w:rPr>
            <w:t>期末重要的其他债权投资</w:t>
          </w:r>
        </w:p>
        <w:sdt>
          <w:sdtPr>
            <w:alias w:val="是否适用：重要的其他债权投资[双击切换]"/>
            <w:tag w:val="_GBC_bb82f40f19284b2489199fbaa477b35c"/>
            <w:id w:val="1401405949"/>
            <w:lock w:val="sdtLocked"/>
            <w:placeholder>
              <w:docPart w:val="GBC22222222222222222222222222222"/>
            </w:placeholder>
          </w:sdtPr>
          <w:sdtContent>
            <w:p w:rsidR="00806678" w:rsidRDefault="00F80B6C" w:rsidP="00D05FE1">
              <w:pPr>
                <w:ind w:right="210"/>
              </w:pPr>
              <w:r>
                <w:fldChar w:fldCharType="begin"/>
              </w:r>
              <w:r w:rsidR="00D05FE1">
                <w:instrText xml:space="preserve"> MACROBUTTON  SnrToggleCheckbox □适用 </w:instrText>
              </w:r>
              <w:r>
                <w:fldChar w:fldCharType="end"/>
              </w:r>
              <w:r>
                <w:fldChar w:fldCharType="begin"/>
              </w:r>
              <w:r w:rsidR="00D05FE1">
                <w:instrText xml:space="preserve"> MACROBUTTON  SnrToggleCheckbox √不适用 </w:instrText>
              </w:r>
              <w:r>
                <w:fldChar w:fldCharType="end"/>
              </w:r>
            </w:p>
          </w:sdtContent>
        </w:sdt>
      </w:sdtContent>
    </w:sdt>
    <w:bookmarkEnd w:id="191" w:displacedByCustomXml="prev"/>
    <w:bookmarkStart w:id="192" w:name="_Hlk533872678" w:displacedByCustomXml="next"/>
    <w:sdt>
      <w:sdtPr>
        <w:rPr>
          <w:rFonts w:ascii="宋体" w:eastAsia="宋体" w:hAnsi="宋体" w:cs="宋体" w:hint="eastAsia"/>
          <w:b w:val="0"/>
          <w:bCs w:val="0"/>
          <w:kern w:val="0"/>
          <w:szCs w:val="24"/>
        </w:rPr>
        <w:alias w:val="模块:减值准备计提情况"/>
        <w:tag w:val="_SEC_43c61e1bfcad49d9a2d7d8b43d392735"/>
        <w:id w:val="-869134765"/>
        <w:lock w:val="sdtLocked"/>
        <w:placeholder>
          <w:docPart w:val="GBC22222222222222222222222222222"/>
        </w:placeholder>
      </w:sdtPr>
      <w:sdtEndPr>
        <w:rPr>
          <w:szCs w:val="21"/>
        </w:rPr>
      </w:sdtEndPr>
      <w:sdtContent>
        <w:p w:rsidR="00806678" w:rsidRDefault="00B16377" w:rsidP="00FF17C7">
          <w:pPr>
            <w:pStyle w:val="4"/>
            <w:numPr>
              <w:ilvl w:val="3"/>
              <w:numId w:val="82"/>
            </w:numPr>
            <w:ind w:left="426" w:hanging="426"/>
          </w:pPr>
          <w:r>
            <w:rPr>
              <w:rFonts w:ascii="宋体" w:eastAsia="宋体" w:hAnsi="宋体" w:cs="宋体" w:hint="eastAsia"/>
              <w:bCs w:val="0"/>
              <w:kern w:val="0"/>
              <w:szCs w:val="24"/>
            </w:rPr>
            <w:t>减值准备计提情况</w:t>
          </w:r>
        </w:p>
        <w:sdt>
          <w:sdtPr>
            <w:alias w:val="是否适用：其他债权投资减值准备调节表[双击切换]"/>
            <w:tag w:val="_GBC_4fb0e145a1004885abb87d20ed68a2ed"/>
            <w:id w:val="-555165306"/>
            <w:lock w:val="sdtLocked"/>
            <w:placeholder>
              <w:docPart w:val="GBC22222222222222222222222222222"/>
            </w:placeholder>
          </w:sdtPr>
          <w:sdtContent>
            <w:p w:rsidR="00806678" w:rsidRDefault="00F80B6C">
              <w:r>
                <w:fldChar w:fldCharType="begin"/>
              </w:r>
              <w:r w:rsidR="00D05FE1">
                <w:instrText xml:space="preserve"> MACROBUTTON  SnrToggleCheckbox □适用 </w:instrText>
              </w:r>
              <w:r>
                <w:fldChar w:fldCharType="end"/>
              </w:r>
              <w:r>
                <w:fldChar w:fldCharType="begin"/>
              </w:r>
              <w:r w:rsidR="00D05FE1">
                <w:instrText xml:space="preserve"> MACROBUTTON  SnrToggleCheckbox √不适用 </w:instrText>
              </w:r>
              <w:r>
                <w:fldChar w:fldCharType="end"/>
              </w:r>
            </w:p>
          </w:sdtContent>
        </w:sdt>
      </w:sdtContent>
    </w:sdt>
    <w:bookmarkEnd w:id="192" w:displacedByCustomXml="next"/>
    <w:bookmarkStart w:id="193" w:name="_Hlk533848073" w:displacedByCustomXml="next"/>
    <w:sdt>
      <w:sdtPr>
        <w:rPr>
          <w:rFonts w:ascii="宋体" w:hAnsi="宋体" w:cs="宋体" w:hint="eastAsia"/>
          <w:b/>
          <w:bCs/>
          <w:kern w:val="0"/>
          <w:szCs w:val="24"/>
        </w:rPr>
        <w:alias w:val="模块:本期减值准备计提金额以及评估金融工具的信用风险是否显著增加的..."/>
        <w:tag w:val="_SEC_dd9ad0da12d84bd799c60de7b6243679"/>
        <w:id w:val="448750890"/>
        <w:lock w:val="sdtLocked"/>
        <w:placeholder>
          <w:docPart w:val="GBC22222222222222222222222222222"/>
        </w:placeholder>
      </w:sdtPr>
      <w:sdtEndPr>
        <w:rPr>
          <w:rFonts w:hint="default"/>
          <w:b w:val="0"/>
          <w:bCs w:val="0"/>
        </w:rPr>
      </w:sdtEndPr>
      <w:sdtContent>
        <w:p w:rsidR="00806678" w:rsidRDefault="00B16377">
          <w:pPr>
            <w:pStyle w:val="af7"/>
          </w:pPr>
          <w:r>
            <w:rPr>
              <w:rFonts w:hint="eastAsia"/>
            </w:rPr>
            <w:t>本期减值准备计提金额以及评估金融工具的信用风险是否显著增加的采用依据</w:t>
          </w:r>
        </w:p>
        <w:sdt>
          <w:sdtPr>
            <w:alias w:val="是否适用：其他债权投资本期坏账准备计提金额以及评估金融工具的信用风险显著增加的采用依据[双击切换]"/>
            <w:tag w:val="_GBC_e7060850bcfb44fb91c77f959b237378"/>
            <w:id w:val="842364429"/>
            <w:lock w:val="sdtLocked"/>
            <w:placeholder>
              <w:docPart w:val="GBC22222222222222222222222222222"/>
            </w:placeholder>
          </w:sdtPr>
          <w:sdtContent>
            <w:p w:rsidR="00806678" w:rsidRDefault="00F80B6C">
              <w:pPr>
                <w:ind w:right="210"/>
              </w:pPr>
              <w:r>
                <w:fldChar w:fldCharType="begin"/>
              </w:r>
              <w:r w:rsidR="00D05FE1">
                <w:instrText xml:space="preserve"> MACROBUTTON  SnrToggleCheckbox □适用 </w:instrText>
              </w:r>
              <w:r>
                <w:fldChar w:fldCharType="end"/>
              </w:r>
              <w:r>
                <w:fldChar w:fldCharType="begin"/>
              </w:r>
              <w:r w:rsidR="00D05FE1">
                <w:instrText xml:space="preserve"> MACROBUTTON  SnrToggleCheckbox √不适用 </w:instrText>
              </w:r>
              <w:r>
                <w:fldChar w:fldCharType="end"/>
              </w:r>
            </w:p>
          </w:sdtContent>
        </w:sdt>
      </w:sdtContent>
    </w:sdt>
    <w:bookmarkEnd w:id="193" w:displacedByCustomXml="prev"/>
    <w:bookmarkStart w:id="194" w:name="_Hlk533848097" w:displacedByCustomXml="next"/>
    <w:sdt>
      <w:sdtPr>
        <w:rPr>
          <w:rFonts w:hint="eastAsia"/>
        </w:rPr>
        <w:alias w:val="模块:其他债权投资其他说明"/>
        <w:tag w:val="_SEC_dc2e57efff8f4436957f51feebac7226"/>
        <w:id w:val="-1208401649"/>
        <w:lock w:val="sdtLocked"/>
        <w:placeholder>
          <w:docPart w:val="GBC22222222222222222222222222222"/>
        </w:placeholder>
      </w:sdtPr>
      <w:sdtEndPr>
        <w:rPr>
          <w:rFonts w:hint="default"/>
        </w:rPr>
      </w:sdtEndPr>
      <w:sdtContent>
        <w:p w:rsidR="00806678" w:rsidRDefault="00B16377">
          <w:r>
            <w:rPr>
              <w:rFonts w:hint="eastAsia"/>
            </w:rPr>
            <w:t>其他说明：</w:t>
          </w:r>
          <w:bookmarkEnd w:id="194"/>
        </w:p>
        <w:sdt>
          <w:sdtPr>
            <w:alias w:val="是否适用：其他债权投资其他说明[双击切换]"/>
            <w:tag w:val="_GBC_ce8084fd599f45febc44624db662adaa"/>
            <w:id w:val="839354787"/>
            <w:lock w:val="sdtLocked"/>
            <w:placeholder>
              <w:docPart w:val="GBC22222222222222222222222222222"/>
            </w:placeholder>
          </w:sdtPr>
          <w:sdtContent>
            <w:p w:rsidR="00806678" w:rsidRDefault="00F80B6C" w:rsidP="00D05FE1">
              <w:r>
                <w:fldChar w:fldCharType="begin"/>
              </w:r>
              <w:r w:rsidR="00D05FE1">
                <w:instrText xml:space="preserve"> MACROBUTTON  SnrToggleCheckbox □适用 </w:instrText>
              </w:r>
              <w:r>
                <w:fldChar w:fldCharType="end"/>
              </w:r>
              <w:r>
                <w:fldChar w:fldCharType="begin"/>
              </w:r>
              <w:r w:rsidR="00D05FE1">
                <w:instrText xml:space="preserve"> MACROBUTTON  SnrToggleCheckbox √不适用 </w:instrText>
              </w:r>
              <w:r>
                <w:fldChar w:fldCharType="end"/>
              </w:r>
            </w:p>
          </w:sdtContent>
        </w:sdt>
        <w:p w:rsidR="00806678" w:rsidRDefault="00F80B6C"/>
      </w:sdtContent>
    </w:sdt>
    <w:p w:rsidR="00806678" w:rsidRDefault="00B16377" w:rsidP="00FF17C7">
      <w:pPr>
        <w:pStyle w:val="3"/>
        <w:numPr>
          <w:ilvl w:val="0"/>
          <w:numId w:val="18"/>
        </w:numPr>
        <w:tabs>
          <w:tab w:val="left" w:pos="504"/>
        </w:tabs>
        <w:rPr>
          <w:rFonts w:ascii="宋体" w:hAnsi="宋体"/>
          <w:szCs w:val="21"/>
        </w:rPr>
      </w:pPr>
      <w:r>
        <w:rPr>
          <w:rFonts w:ascii="宋体" w:hAnsi="宋体" w:hint="eastAsia"/>
          <w:szCs w:val="21"/>
        </w:rPr>
        <w:t>长期应收款</w:t>
      </w:r>
    </w:p>
    <w:sdt>
      <w:sdtPr>
        <w:rPr>
          <w:rFonts w:ascii="宋体" w:eastAsia="宋体" w:hAnsi="宋体" w:cs="宋体" w:hint="eastAsia"/>
          <w:b w:val="0"/>
          <w:bCs w:val="0"/>
          <w:kern w:val="0"/>
          <w:szCs w:val="24"/>
        </w:rPr>
        <w:alias w:val="模块:长期应收款"/>
        <w:tag w:val="_SEC_03910fcb1d7b4c9e888090eddf49d0f5"/>
        <w:id w:val="466400646"/>
        <w:lock w:val="sdtLocked"/>
        <w:placeholder>
          <w:docPart w:val="GBC22222222222222222222222222222"/>
        </w:placeholder>
      </w:sdtPr>
      <w:sdtEndPr>
        <w:rPr>
          <w:rFonts w:hint="default"/>
          <w:color w:val="FF0000"/>
          <w:szCs w:val="21"/>
        </w:rPr>
      </w:sdtEndPr>
      <w:sdtContent>
        <w:p w:rsidR="00806678" w:rsidRDefault="00B16377" w:rsidP="00FF17C7">
          <w:pPr>
            <w:pStyle w:val="4"/>
            <w:numPr>
              <w:ilvl w:val="3"/>
              <w:numId w:val="83"/>
            </w:numPr>
            <w:ind w:left="426" w:hanging="426"/>
          </w:pPr>
          <w:r>
            <w:rPr>
              <w:rFonts w:hint="eastAsia"/>
            </w:rPr>
            <w:t>长期应收款情况</w:t>
          </w:r>
        </w:p>
        <w:sdt>
          <w:sdtPr>
            <w:alias w:val="是否适用：长期应收款情况[双击切换]"/>
            <w:tag w:val="_GBC_0c54e576828240c482e58c8a9f7cd173"/>
            <w:id w:val="-2082364011"/>
            <w:lock w:val="sdtLocked"/>
            <w:placeholder>
              <w:docPart w:val="GBC22222222222222222222222222222"/>
            </w:placeholder>
          </w:sdtPr>
          <w:sdtContent>
            <w:p w:rsidR="00806678" w:rsidRDefault="00F80B6C" w:rsidP="00D05FE1">
              <w:pPr>
                <w:rPr>
                  <w:color w:val="FF0000"/>
                  <w:szCs w:val="21"/>
                </w:rPr>
              </w:pPr>
              <w:r>
                <w:fldChar w:fldCharType="begin"/>
              </w:r>
              <w:r w:rsidR="00D05FE1">
                <w:instrText xml:space="preserve">MACROBUTTON  SnrToggleCheckbox □适用 </w:instrText>
              </w:r>
              <w:r>
                <w:fldChar w:fldCharType="end"/>
              </w:r>
              <w:r>
                <w:fldChar w:fldCharType="begin"/>
              </w:r>
              <w:r w:rsidR="00D05FE1">
                <w:instrText xml:space="preserve"> MACROBUTTON  SnrToggleCheckbox √不适用 </w:instrText>
              </w:r>
              <w:r>
                <w:fldChar w:fldCharType="end"/>
              </w:r>
            </w:p>
          </w:sdtContent>
        </w:sdt>
      </w:sdtContent>
    </w:sdt>
    <w:bookmarkStart w:id="195" w:name="_Hlk533872428" w:displacedByCustomXml="next"/>
    <w:sdt>
      <w:sdtPr>
        <w:rPr>
          <w:rFonts w:ascii="宋体" w:eastAsia="宋体" w:hAnsi="宋体" w:cs="宋体" w:hint="eastAsia"/>
          <w:b w:val="0"/>
          <w:bCs w:val="0"/>
          <w:kern w:val="0"/>
          <w:szCs w:val="21"/>
        </w:rPr>
        <w:alias w:val="模块:按减值计提方法分类披露"/>
        <w:tag w:val="_SEC_e3a77e97bfdc4d80b28798b16620a97a"/>
        <w:id w:val="913443646"/>
        <w:lock w:val="sdtLocked"/>
        <w:placeholder>
          <w:docPart w:val="GBC22222222222222222222222222222"/>
        </w:placeholder>
      </w:sdtPr>
      <w:sdtEndPr>
        <w:rPr>
          <w:rFonts w:hint="default"/>
        </w:rPr>
      </w:sdtEndPr>
      <w:sdtContent>
        <w:p w:rsidR="00806678" w:rsidRDefault="00B16377" w:rsidP="00FF17C7">
          <w:pPr>
            <w:pStyle w:val="4"/>
            <w:numPr>
              <w:ilvl w:val="3"/>
              <w:numId w:val="83"/>
            </w:numPr>
            <w:ind w:left="426" w:hanging="426"/>
            <w:rPr>
              <w:szCs w:val="21"/>
            </w:rPr>
          </w:pPr>
          <w:r>
            <w:rPr>
              <w:rFonts w:ascii="宋体" w:eastAsia="宋体" w:hAnsi="宋体" w:cs="宋体" w:hint="eastAsia"/>
              <w:bCs w:val="0"/>
              <w:kern w:val="0"/>
              <w:szCs w:val="21"/>
            </w:rPr>
            <w:t>坏账准备计提情况</w:t>
          </w:r>
        </w:p>
        <w:sdt>
          <w:sdtPr>
            <w:alias w:val="是否适用：长期应收款坏账准备调节表[双击切换]"/>
            <w:tag w:val="_GBC_83c414b79fa243258be4f4c6998e475c"/>
            <w:id w:val="1768805350"/>
            <w:lock w:val="sdtLocked"/>
            <w:placeholder>
              <w:docPart w:val="GBC22222222222222222222222222222"/>
            </w:placeholder>
          </w:sdtPr>
          <w:sdtContent>
            <w:p w:rsidR="00806678" w:rsidRDefault="00F80B6C">
              <w:pPr>
                <w:rPr>
                  <w:szCs w:val="21"/>
                </w:rPr>
              </w:pPr>
              <w:r>
                <w:fldChar w:fldCharType="begin"/>
              </w:r>
              <w:r w:rsidR="00D05FE1">
                <w:instrText xml:space="preserve"> MACROBUTTON  SnrToggleCheckbox □适用 </w:instrText>
              </w:r>
              <w:r>
                <w:fldChar w:fldCharType="end"/>
              </w:r>
              <w:r>
                <w:fldChar w:fldCharType="begin"/>
              </w:r>
              <w:r w:rsidR="00D05FE1">
                <w:instrText xml:space="preserve"> MACROBUTTON  SnrToggleCheckbox √不适用 </w:instrText>
              </w:r>
              <w:r>
                <w:fldChar w:fldCharType="end"/>
              </w:r>
            </w:p>
          </w:sdtContent>
        </w:sdt>
      </w:sdtContent>
    </w:sdt>
    <w:bookmarkEnd w:id="195" w:displacedByCustomXml="prev"/>
    <w:sdt>
      <w:sdtPr>
        <w:rPr>
          <w:rFonts w:ascii="宋体" w:hAnsi="宋体" w:cs="宋体" w:hint="eastAsia"/>
          <w:b/>
          <w:bCs/>
          <w:kern w:val="0"/>
          <w:szCs w:val="24"/>
        </w:rPr>
        <w:alias w:val="模块:本期坏账准备计提金额以及评估金融工具的信用风险是否显著增加的..."/>
        <w:tag w:val="_SEC_cac91801a7df45b898da28991af8099b"/>
        <w:id w:val="123123039"/>
        <w:lock w:val="sdtLocked"/>
        <w:placeholder>
          <w:docPart w:val="GBC22222222222222222222222222222"/>
        </w:placeholder>
      </w:sdtPr>
      <w:sdtEndPr>
        <w:rPr>
          <w:rFonts w:hint="default"/>
          <w:b w:val="0"/>
          <w:bCs w:val="0"/>
          <w:szCs w:val="21"/>
        </w:rPr>
      </w:sdtEndPr>
      <w:sdtContent>
        <w:p w:rsidR="00806678" w:rsidRDefault="00B16377">
          <w:pPr>
            <w:pStyle w:val="af7"/>
          </w:pPr>
          <w:r>
            <w:rPr>
              <w:rFonts w:hint="eastAsia"/>
            </w:rPr>
            <w:t>本期坏账准备计提金额以及评估金融工具的信用风险是否显著增加的采用依据</w:t>
          </w:r>
        </w:p>
        <w:sdt>
          <w:sdtPr>
            <w:rPr>
              <w:szCs w:val="21"/>
            </w:rPr>
            <w:alias w:val="是否适用：长期应收款坏账准备计提金额以及评估金融工具的信用风险显著增加的采用依据[双击切换]"/>
            <w:tag w:val="_GBC_ceed52ae8ff44f9ca03fb80cb11f18fc"/>
            <w:id w:val="-928961495"/>
            <w:lock w:val="sdtLocked"/>
            <w:placeholder>
              <w:docPart w:val="GBC22222222222222222222222222222"/>
            </w:placeholder>
          </w:sdtPr>
          <w:sdtContent>
            <w:p w:rsidR="00806678" w:rsidRDefault="00F80B6C">
              <w:pPr>
                <w:rPr>
                  <w:szCs w:val="21"/>
                </w:rPr>
              </w:pPr>
              <w:r>
                <w:rPr>
                  <w:szCs w:val="21"/>
                </w:rPr>
                <w:fldChar w:fldCharType="begin"/>
              </w:r>
              <w:r w:rsidR="00D05FE1">
                <w:rPr>
                  <w:szCs w:val="21"/>
                </w:rPr>
                <w:instrText xml:space="preserve"> MACROBUTTON  SnrToggleCheckbox □适用 </w:instrText>
              </w:r>
              <w:r>
                <w:rPr>
                  <w:szCs w:val="21"/>
                </w:rPr>
                <w:fldChar w:fldCharType="end"/>
              </w:r>
              <w:r>
                <w:rPr>
                  <w:szCs w:val="21"/>
                </w:rPr>
                <w:fldChar w:fldCharType="begin"/>
              </w:r>
              <w:r w:rsidR="00D05FE1">
                <w:rPr>
                  <w:szCs w:val="21"/>
                </w:rPr>
                <w:instrText xml:space="preserve"> MACROBUTTON  SnrToggleCheckbox √不适用 </w:instrText>
              </w:r>
              <w:r>
                <w:rPr>
                  <w:szCs w:val="21"/>
                </w:rPr>
                <w:fldChar w:fldCharType="end"/>
              </w:r>
            </w:p>
          </w:sdtContent>
        </w:sdt>
      </w:sdtContent>
    </w:sdt>
    <w:sdt>
      <w:sdtPr>
        <w:rPr>
          <w:rFonts w:ascii="宋体" w:eastAsia="宋体" w:hAnsi="宋体" w:cs="宋体" w:hint="eastAsia"/>
          <w:b w:val="0"/>
          <w:bCs w:val="0"/>
          <w:kern w:val="0"/>
          <w:szCs w:val="24"/>
        </w:rPr>
        <w:alias w:val="模块:因金融资产转移而终止确认的长期应收款"/>
        <w:tag w:val="_SEC_c0276803b0764169b1c7aa5897007892"/>
        <w:id w:val="1513034725"/>
        <w:lock w:val="sdtLocked"/>
        <w:placeholder>
          <w:docPart w:val="GBC22222222222222222222222222222"/>
        </w:placeholder>
      </w:sdtPr>
      <w:sdtEndPr>
        <w:rPr>
          <w:szCs w:val="21"/>
        </w:rPr>
      </w:sdtEndPr>
      <w:sdtContent>
        <w:p w:rsidR="00806678" w:rsidRDefault="00B16377" w:rsidP="00FF17C7">
          <w:pPr>
            <w:pStyle w:val="4"/>
            <w:numPr>
              <w:ilvl w:val="3"/>
              <w:numId w:val="83"/>
            </w:numPr>
            <w:ind w:left="426" w:hanging="426"/>
          </w:pPr>
          <w:r>
            <w:rPr>
              <w:rFonts w:hint="eastAsia"/>
            </w:rPr>
            <w:t>因金融资产转移而终止确认的长期应收款</w:t>
          </w:r>
        </w:p>
        <w:sdt>
          <w:sdtPr>
            <w:rPr>
              <w:rFonts w:hint="eastAsia"/>
              <w:szCs w:val="21"/>
            </w:rPr>
            <w:alias w:val="是否适用：因金融资产转移而终止确认的长期应收款[双击切换]"/>
            <w:tag w:val="_GBC_c0cc1b0fa63a42388ec14f0e562c85ce"/>
            <w:id w:val="-241028531"/>
            <w:lock w:val="sdtLocked"/>
            <w:placeholder>
              <w:docPart w:val="GBC22222222222222222222222222222"/>
            </w:placeholder>
          </w:sdtPr>
          <w:sdtContent>
            <w:p w:rsidR="00806678" w:rsidRDefault="00F80B6C">
              <w:pPr>
                <w:rPr>
                  <w:szCs w:val="21"/>
                </w:rPr>
              </w:pPr>
              <w:r>
                <w:rPr>
                  <w:szCs w:val="21"/>
                </w:rPr>
                <w:fldChar w:fldCharType="begin"/>
              </w:r>
              <w:r w:rsidR="00D05FE1">
                <w:rPr>
                  <w:szCs w:val="21"/>
                </w:rPr>
                <w:instrText xml:space="preserve"> MACROBUTTON  SnrToggleCheckbox □适用  </w:instrText>
              </w:r>
              <w:r>
                <w:rPr>
                  <w:szCs w:val="21"/>
                </w:rPr>
                <w:fldChar w:fldCharType="end"/>
              </w:r>
              <w:r>
                <w:rPr>
                  <w:szCs w:val="21"/>
                </w:rPr>
                <w:fldChar w:fldCharType="begin"/>
              </w:r>
              <w:r w:rsidR="00D05FE1">
                <w:rPr>
                  <w:szCs w:val="21"/>
                </w:rPr>
                <w:instrText xml:space="preserve"> MACROBUTTON  SnrToggleCheckbox √不适用 </w:instrText>
              </w:r>
              <w:r>
                <w:rPr>
                  <w:szCs w:val="21"/>
                </w:rPr>
                <w:fldChar w:fldCharType="end"/>
              </w:r>
            </w:p>
          </w:sdtContent>
        </w:sdt>
      </w:sdtContent>
    </w:sdt>
    <w:sdt>
      <w:sdtPr>
        <w:rPr>
          <w:rFonts w:ascii="宋体" w:eastAsia="宋体" w:hAnsi="宋体" w:cs="宋体" w:hint="eastAsia"/>
          <w:b w:val="0"/>
          <w:bCs w:val="0"/>
          <w:kern w:val="0"/>
          <w:szCs w:val="24"/>
        </w:rPr>
        <w:alias w:val="模块:转移长期应收款且继续涉入形成的资产、负债金额"/>
        <w:tag w:val="_SEC_89a60922f7cb457c9329be8065df91e2"/>
        <w:id w:val="-2097929310"/>
        <w:lock w:val="sdtLocked"/>
        <w:placeholder>
          <w:docPart w:val="GBC22222222222222222222222222222"/>
        </w:placeholder>
      </w:sdtPr>
      <w:sdtContent>
        <w:p w:rsidR="00806678" w:rsidRDefault="00B16377" w:rsidP="00FF17C7">
          <w:pPr>
            <w:pStyle w:val="4"/>
            <w:numPr>
              <w:ilvl w:val="3"/>
              <w:numId w:val="83"/>
            </w:numPr>
            <w:ind w:left="426" w:hanging="426"/>
          </w:pPr>
          <w:r>
            <w:rPr>
              <w:rFonts w:hint="eastAsia"/>
            </w:rPr>
            <w:t>转移长期应收款且继续涉入形成的资产、负债金额</w:t>
          </w:r>
        </w:p>
        <w:sdt>
          <w:sdtPr>
            <w:rPr>
              <w:rFonts w:hint="eastAsia"/>
            </w:rPr>
            <w:alias w:val="是否适用：转移长期应收款且继续涉入形成的资产、负债金额[双击切换]"/>
            <w:tag w:val="_GBC_b65043ea15084e829077a8e4973ebd74"/>
            <w:id w:val="-314178485"/>
            <w:lock w:val="sdtLocked"/>
            <w:placeholder>
              <w:docPart w:val="GBC22222222222222222222222222222"/>
            </w:placeholder>
          </w:sdtPr>
          <w:sdtContent>
            <w:p w:rsidR="00806678" w:rsidRDefault="00F80B6C">
              <w:r>
                <w:fldChar w:fldCharType="begin"/>
              </w:r>
              <w:r w:rsidR="00D05FE1">
                <w:instrText xml:space="preserve"> MACROBUTTON  SnrToggleCheckbox □适用  </w:instrText>
              </w:r>
              <w:r>
                <w:fldChar w:fldCharType="end"/>
              </w:r>
              <w:r>
                <w:fldChar w:fldCharType="begin"/>
              </w:r>
              <w:r w:rsidR="00D05FE1">
                <w:instrText xml:space="preserve"> MACROBUTTON  SnrToggleCheckbox √不适用 </w:instrText>
              </w:r>
              <w:r>
                <w:fldChar w:fldCharType="end"/>
              </w:r>
            </w:p>
          </w:sdtContent>
        </w:sdt>
      </w:sdtContent>
    </w:sdt>
    <w:sdt>
      <w:sdtPr>
        <w:rPr>
          <w:rFonts w:hint="eastAsia"/>
          <w:szCs w:val="21"/>
        </w:rPr>
        <w:alias w:val="模块:长期应收款的其他说明"/>
        <w:tag w:val="_SEC_2121861ee4514c94a9ddd15a509ae12d"/>
        <w:id w:val="546418013"/>
        <w:lock w:val="sdtLocked"/>
        <w:placeholder>
          <w:docPart w:val="GBC22222222222222222222222222222"/>
        </w:placeholder>
      </w:sdtPr>
      <w:sdtContent>
        <w:p w:rsidR="00806678" w:rsidRDefault="00B16377">
          <w:pPr>
            <w:rPr>
              <w:szCs w:val="21"/>
            </w:rPr>
          </w:pPr>
          <w:r>
            <w:rPr>
              <w:rFonts w:hint="eastAsia"/>
              <w:szCs w:val="21"/>
            </w:rPr>
            <w:t>其他说明</w:t>
          </w:r>
        </w:p>
        <w:sdt>
          <w:sdtPr>
            <w:rPr>
              <w:szCs w:val="21"/>
            </w:rPr>
            <w:alias w:val="是否适用：长期应收款的其他说明[双击切换]"/>
            <w:tag w:val="_GBC_374ef9a861254142b9ef8519d87eb5ac"/>
            <w:id w:val="-1513137398"/>
            <w:lock w:val="sdtLocked"/>
            <w:placeholder>
              <w:docPart w:val="GBC22222222222222222222222222222"/>
            </w:placeholder>
          </w:sdtPr>
          <w:sdtContent>
            <w:p w:rsidR="00806678" w:rsidRDefault="00F80B6C" w:rsidP="00D05FE1">
              <w:pPr>
                <w:rPr>
                  <w:szCs w:val="21"/>
                </w:rPr>
              </w:pPr>
              <w:r>
                <w:rPr>
                  <w:szCs w:val="21"/>
                </w:rPr>
                <w:fldChar w:fldCharType="begin"/>
              </w:r>
              <w:r w:rsidR="00D05FE1">
                <w:rPr>
                  <w:szCs w:val="21"/>
                </w:rPr>
                <w:instrText xml:space="preserve">MACROBUTTON  SnrToggleCheckbox □适用 </w:instrText>
              </w:r>
              <w:r>
                <w:rPr>
                  <w:szCs w:val="21"/>
                </w:rPr>
                <w:fldChar w:fldCharType="end"/>
              </w:r>
              <w:r>
                <w:rPr>
                  <w:szCs w:val="21"/>
                </w:rPr>
                <w:fldChar w:fldCharType="begin"/>
              </w:r>
              <w:r w:rsidR="00D05FE1">
                <w:rPr>
                  <w:szCs w:val="21"/>
                </w:rPr>
                <w:instrText xml:space="preserve"> MACROBUTTON  SnrToggleCheckbox √不适用 </w:instrText>
              </w:r>
              <w:r>
                <w:rPr>
                  <w:szCs w:val="21"/>
                </w:rPr>
                <w:fldChar w:fldCharType="end"/>
              </w:r>
            </w:p>
          </w:sdtContent>
        </w:sdt>
        <w:p w:rsidR="00D05FE1" w:rsidRDefault="00D05FE1">
          <w:pPr>
            <w:rPr>
              <w:szCs w:val="21"/>
            </w:rPr>
            <w:sectPr w:rsidR="00D05FE1" w:rsidSect="00F41343">
              <w:pgSz w:w="11906" w:h="16838"/>
              <w:pgMar w:top="1440" w:right="1797" w:bottom="1525" w:left="1276" w:header="856" w:footer="992" w:gutter="0"/>
              <w:cols w:space="425"/>
              <w:docGrid w:type="lines" w:linePitch="312"/>
            </w:sectPr>
          </w:pPr>
        </w:p>
        <w:p w:rsidR="00806678" w:rsidRDefault="00F80B6C">
          <w:pPr>
            <w:rPr>
              <w:szCs w:val="21"/>
            </w:rPr>
          </w:pPr>
        </w:p>
      </w:sdtContent>
    </w:sdt>
    <w:p w:rsidR="00806678" w:rsidRDefault="00B16377" w:rsidP="00FF17C7">
      <w:pPr>
        <w:pStyle w:val="3"/>
        <w:numPr>
          <w:ilvl w:val="0"/>
          <w:numId w:val="18"/>
        </w:numPr>
        <w:tabs>
          <w:tab w:val="left" w:pos="504"/>
        </w:tabs>
        <w:rPr>
          <w:rFonts w:ascii="宋体" w:hAnsi="宋体"/>
          <w:szCs w:val="21"/>
        </w:rPr>
      </w:pPr>
      <w:r>
        <w:rPr>
          <w:rFonts w:ascii="宋体" w:hAnsi="宋体" w:hint="eastAsia"/>
          <w:szCs w:val="21"/>
        </w:rPr>
        <w:t>长期股权投资</w:t>
      </w:r>
    </w:p>
    <w:p w:rsidR="00806678" w:rsidRDefault="00F80B6C">
      <w:sdt>
        <w:sdtPr>
          <w:rPr>
            <w:rFonts w:hint="eastAsia"/>
          </w:rPr>
          <w:alias w:val="是否适用：长期股权投资[双击切换]"/>
          <w:tag w:val="_GBC_94e2c461d3d34280a0a5f1e908656d3e"/>
          <w:id w:val="-62107777"/>
          <w:lock w:val="sdtContentLocked"/>
          <w:placeholder>
            <w:docPart w:val="GBC22222222222222222222222222222"/>
          </w:placeholder>
        </w:sdtPr>
        <w:sdtContent>
          <w:r>
            <w:fldChar w:fldCharType="begin"/>
          </w:r>
          <w:r w:rsidR="00D05FE1">
            <w:instrText xml:space="preserve">MACROBUTTON  SnrToggleCheckbox √适用 </w:instrText>
          </w:r>
          <w:r>
            <w:fldChar w:fldCharType="end"/>
          </w:r>
          <w:r>
            <w:fldChar w:fldCharType="begin"/>
          </w:r>
          <w:r w:rsidR="00D05FE1">
            <w:instrText xml:space="preserve"> MACROBUTTON  SnrToggleCheckbox □不适用 </w:instrText>
          </w:r>
          <w:r>
            <w:fldChar w:fldCharType="end"/>
          </w:r>
        </w:sdtContent>
      </w:sdt>
    </w:p>
    <w:sdt>
      <w:sdtPr>
        <w:rPr>
          <w:rFonts w:hint="eastAsia"/>
          <w:szCs w:val="21"/>
        </w:rPr>
        <w:alias w:val="模块:长期股权投资"/>
        <w:tag w:val="_SEC_07adbbba1b734992ad3a62949a0cb211"/>
        <w:id w:val="1732424999"/>
        <w:lock w:val="sdtLocked"/>
        <w:placeholder>
          <w:docPart w:val="GBC22222222222222222222222222222"/>
        </w:placeholder>
      </w:sdtPr>
      <w:sdtContent>
        <w:p w:rsidR="00806678" w:rsidRDefault="00B16377">
          <w:pPr>
            <w:jc w:val="right"/>
            <w:rPr>
              <w:szCs w:val="21"/>
            </w:rPr>
          </w:pPr>
          <w:r>
            <w:rPr>
              <w:rFonts w:hint="eastAsia"/>
              <w:szCs w:val="21"/>
            </w:rPr>
            <w:t>单位：</w:t>
          </w:r>
          <w:sdt>
            <w:sdtPr>
              <w:rPr>
                <w:rFonts w:hint="eastAsia"/>
                <w:szCs w:val="21"/>
              </w:rPr>
              <w:alias w:val="单位：财务附注：长期股权投资"/>
              <w:tag w:val="_GBC_9ef1128bd666425898c1d0386f4940f0"/>
              <w:id w:val="104503760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长期股权投资"/>
              <w:tag w:val="_GBC_3839232c7f594f79a27ec799cde377b3"/>
              <w:id w:val="-78427802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1276"/>
            <w:gridCol w:w="566"/>
            <w:gridCol w:w="710"/>
            <w:gridCol w:w="1276"/>
            <w:gridCol w:w="992"/>
            <w:gridCol w:w="1276"/>
            <w:gridCol w:w="1274"/>
            <w:gridCol w:w="1136"/>
            <w:gridCol w:w="952"/>
            <w:gridCol w:w="1212"/>
            <w:gridCol w:w="1043"/>
          </w:tblGrid>
          <w:tr w:rsidR="007D687C" w:rsidRPr="007D687C" w:rsidTr="00F77554">
            <w:sdt>
              <w:sdtPr>
                <w:rPr>
                  <w:sz w:val="14"/>
                  <w:szCs w:val="14"/>
                </w:rPr>
                <w:tag w:val="_PLD_904000e8ce384d4988e09c22d5f8f725"/>
                <w:id w:val="1880810263"/>
                <w:lock w:val="sdtLocked"/>
              </w:sdtPr>
              <w:sdtContent>
                <w:tc>
                  <w:tcPr>
                    <w:tcW w:w="843" w:type="pct"/>
                    <w:vMerge w:val="restart"/>
                    <w:tcBorders>
                      <w:top w:val="single" w:sz="4" w:space="0" w:color="auto"/>
                      <w:left w:val="single" w:sz="4" w:space="0" w:color="auto"/>
                      <w:right w:val="single" w:sz="4" w:space="0" w:color="auto"/>
                    </w:tcBorders>
                    <w:shd w:val="clear" w:color="auto" w:fill="auto"/>
                    <w:vAlign w:val="center"/>
                  </w:tcPr>
                  <w:p w:rsidR="007D687C" w:rsidRPr="007D687C" w:rsidRDefault="007D687C" w:rsidP="00601D47">
                    <w:pPr>
                      <w:jc w:val="center"/>
                      <w:rPr>
                        <w:sz w:val="14"/>
                        <w:szCs w:val="14"/>
                      </w:rPr>
                    </w:pPr>
                    <w:r w:rsidRPr="007D687C">
                      <w:rPr>
                        <w:rFonts w:hint="eastAsia"/>
                        <w:sz w:val="14"/>
                        <w:szCs w:val="14"/>
                      </w:rPr>
                      <w:t>被投资单位</w:t>
                    </w:r>
                  </w:p>
                </w:tc>
              </w:sdtContent>
            </w:sdt>
            <w:sdt>
              <w:sdtPr>
                <w:rPr>
                  <w:sz w:val="14"/>
                  <w:szCs w:val="14"/>
                </w:rPr>
                <w:tag w:val="_PLD_2325481f20324f949b4d5af7cfe3ea45"/>
                <w:id w:val="1154108209"/>
                <w:lock w:val="sdtLocked"/>
              </w:sdtPr>
              <w:sdtContent>
                <w:tc>
                  <w:tcPr>
                    <w:tcW w:w="453" w:type="pct"/>
                    <w:vMerge w:val="restart"/>
                    <w:tcBorders>
                      <w:top w:val="single" w:sz="4" w:space="0" w:color="auto"/>
                      <w:left w:val="single" w:sz="4" w:space="0" w:color="auto"/>
                      <w:right w:val="single" w:sz="4" w:space="0" w:color="auto"/>
                    </w:tcBorders>
                    <w:shd w:val="clear" w:color="auto" w:fill="auto"/>
                    <w:vAlign w:val="center"/>
                  </w:tcPr>
                  <w:p w:rsidR="007D687C" w:rsidRPr="007D687C" w:rsidRDefault="007D687C" w:rsidP="00601D47">
                    <w:pPr>
                      <w:jc w:val="center"/>
                      <w:rPr>
                        <w:sz w:val="14"/>
                        <w:szCs w:val="14"/>
                      </w:rPr>
                    </w:pPr>
                    <w:r w:rsidRPr="007D687C">
                      <w:rPr>
                        <w:rFonts w:hint="eastAsia"/>
                        <w:sz w:val="14"/>
                        <w:szCs w:val="14"/>
                      </w:rPr>
                      <w:t>期初</w:t>
                    </w:r>
                  </w:p>
                  <w:p w:rsidR="007D687C" w:rsidRPr="007D687C" w:rsidRDefault="007D687C" w:rsidP="00601D47">
                    <w:pPr>
                      <w:jc w:val="center"/>
                      <w:rPr>
                        <w:sz w:val="14"/>
                        <w:szCs w:val="14"/>
                      </w:rPr>
                    </w:pPr>
                    <w:r w:rsidRPr="007D687C">
                      <w:rPr>
                        <w:rFonts w:hint="eastAsia"/>
                        <w:sz w:val="14"/>
                        <w:szCs w:val="14"/>
                      </w:rPr>
                      <w:t>余额</w:t>
                    </w:r>
                  </w:p>
                </w:tc>
              </w:sdtContent>
            </w:sdt>
            <w:sdt>
              <w:sdtPr>
                <w:rPr>
                  <w:sz w:val="14"/>
                  <w:szCs w:val="14"/>
                </w:rPr>
                <w:tag w:val="_PLD_62e0836260734d34965d8070b1a6f2dd"/>
                <w:id w:val="-443844043"/>
                <w:lock w:val="sdtLocked"/>
              </w:sdtPr>
              <w:sdtContent>
                <w:tc>
                  <w:tcPr>
                    <w:tcW w:w="2904"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601D47">
                    <w:pPr>
                      <w:jc w:val="center"/>
                      <w:rPr>
                        <w:sz w:val="14"/>
                        <w:szCs w:val="14"/>
                      </w:rPr>
                    </w:pPr>
                    <w:r w:rsidRPr="007D687C">
                      <w:rPr>
                        <w:rFonts w:hint="eastAsia"/>
                        <w:sz w:val="14"/>
                        <w:szCs w:val="14"/>
                      </w:rPr>
                      <w:t>本期增减变动</w:t>
                    </w:r>
                  </w:p>
                </w:tc>
              </w:sdtContent>
            </w:sdt>
            <w:sdt>
              <w:sdtPr>
                <w:rPr>
                  <w:sz w:val="14"/>
                  <w:szCs w:val="14"/>
                </w:rPr>
                <w:tag w:val="_PLD_7b9429fc29b64f4c83eea02ed0cad7ba"/>
                <w:id w:val="-1563706992"/>
                <w:lock w:val="sdtLocked"/>
              </w:sdtPr>
              <w:sdtContent>
                <w:tc>
                  <w:tcPr>
                    <w:tcW w:w="430" w:type="pct"/>
                    <w:vMerge w:val="restart"/>
                    <w:tcBorders>
                      <w:top w:val="single" w:sz="4" w:space="0" w:color="auto"/>
                      <w:left w:val="single" w:sz="4" w:space="0" w:color="auto"/>
                      <w:right w:val="single" w:sz="4" w:space="0" w:color="auto"/>
                    </w:tcBorders>
                    <w:shd w:val="clear" w:color="auto" w:fill="auto"/>
                    <w:vAlign w:val="center"/>
                  </w:tcPr>
                  <w:p w:rsidR="007D687C" w:rsidRPr="007D687C" w:rsidRDefault="007D687C" w:rsidP="00601D47">
                    <w:pPr>
                      <w:jc w:val="center"/>
                      <w:rPr>
                        <w:sz w:val="14"/>
                        <w:szCs w:val="14"/>
                      </w:rPr>
                    </w:pPr>
                    <w:r w:rsidRPr="007D687C">
                      <w:rPr>
                        <w:rFonts w:hint="eastAsia"/>
                        <w:sz w:val="14"/>
                        <w:szCs w:val="14"/>
                      </w:rPr>
                      <w:t>期末</w:t>
                    </w:r>
                  </w:p>
                  <w:p w:rsidR="007D687C" w:rsidRPr="007D687C" w:rsidRDefault="007D687C" w:rsidP="00601D47">
                    <w:pPr>
                      <w:jc w:val="center"/>
                      <w:rPr>
                        <w:sz w:val="14"/>
                        <w:szCs w:val="14"/>
                      </w:rPr>
                    </w:pPr>
                    <w:r w:rsidRPr="007D687C">
                      <w:rPr>
                        <w:rFonts w:hint="eastAsia"/>
                        <w:sz w:val="14"/>
                        <w:szCs w:val="14"/>
                      </w:rPr>
                      <w:t>余额</w:t>
                    </w:r>
                  </w:p>
                </w:tc>
              </w:sdtContent>
            </w:sdt>
            <w:sdt>
              <w:sdtPr>
                <w:rPr>
                  <w:sz w:val="14"/>
                  <w:szCs w:val="14"/>
                </w:rPr>
                <w:tag w:val="_PLD_79298dc466f54a239357520005d5d0d6"/>
                <w:id w:val="1013886275"/>
                <w:lock w:val="sdtLocked"/>
              </w:sdtPr>
              <w:sdtContent>
                <w:tc>
                  <w:tcPr>
                    <w:tcW w:w="370" w:type="pct"/>
                    <w:vMerge w:val="restart"/>
                    <w:tcBorders>
                      <w:top w:val="single" w:sz="4" w:space="0" w:color="auto"/>
                      <w:left w:val="single" w:sz="4" w:space="0" w:color="auto"/>
                      <w:right w:val="single" w:sz="4" w:space="0" w:color="auto"/>
                    </w:tcBorders>
                    <w:shd w:val="clear" w:color="auto" w:fill="auto"/>
                    <w:vAlign w:val="center"/>
                  </w:tcPr>
                  <w:p w:rsidR="007D687C" w:rsidRPr="007D687C" w:rsidRDefault="007D687C" w:rsidP="00601D47">
                    <w:pPr>
                      <w:jc w:val="center"/>
                      <w:rPr>
                        <w:sz w:val="14"/>
                        <w:szCs w:val="14"/>
                      </w:rPr>
                    </w:pPr>
                    <w:r w:rsidRPr="007D687C">
                      <w:rPr>
                        <w:rFonts w:hint="eastAsia"/>
                        <w:sz w:val="14"/>
                        <w:szCs w:val="14"/>
                      </w:rPr>
                      <w:t>减值准备期末余额</w:t>
                    </w:r>
                  </w:p>
                </w:tc>
              </w:sdtContent>
            </w:sdt>
          </w:tr>
          <w:tr w:rsidR="007D687C" w:rsidRPr="007D687C" w:rsidTr="00F77554">
            <w:tc>
              <w:tcPr>
                <w:tcW w:w="843" w:type="pct"/>
                <w:vMerge/>
                <w:tcBorders>
                  <w:left w:val="single" w:sz="4" w:space="0" w:color="auto"/>
                  <w:bottom w:val="single" w:sz="4" w:space="0" w:color="auto"/>
                  <w:right w:val="single" w:sz="4" w:space="0" w:color="auto"/>
                </w:tcBorders>
                <w:shd w:val="clear" w:color="auto" w:fill="auto"/>
              </w:tcPr>
              <w:p w:rsidR="007D687C" w:rsidRPr="007D687C" w:rsidRDefault="007D687C" w:rsidP="00601D47">
                <w:pPr>
                  <w:jc w:val="center"/>
                  <w:rPr>
                    <w:sz w:val="14"/>
                    <w:szCs w:val="14"/>
                  </w:rPr>
                </w:pPr>
              </w:p>
            </w:tc>
            <w:tc>
              <w:tcPr>
                <w:tcW w:w="453" w:type="pct"/>
                <w:vMerge/>
                <w:tcBorders>
                  <w:left w:val="single" w:sz="4" w:space="0" w:color="auto"/>
                  <w:bottom w:val="single" w:sz="4" w:space="0" w:color="auto"/>
                  <w:right w:val="single" w:sz="4" w:space="0" w:color="auto"/>
                </w:tcBorders>
                <w:shd w:val="clear" w:color="auto" w:fill="auto"/>
              </w:tcPr>
              <w:p w:rsidR="007D687C" w:rsidRPr="007D687C" w:rsidRDefault="007D687C" w:rsidP="00601D47">
                <w:pPr>
                  <w:jc w:val="center"/>
                  <w:rPr>
                    <w:sz w:val="14"/>
                    <w:szCs w:val="14"/>
                  </w:rPr>
                </w:pPr>
              </w:p>
            </w:tc>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601D47">
                <w:pPr>
                  <w:jc w:val="center"/>
                  <w:rPr>
                    <w:sz w:val="14"/>
                    <w:szCs w:val="14"/>
                  </w:rPr>
                </w:pPr>
                <w:r w:rsidRPr="007D687C">
                  <w:rPr>
                    <w:rFonts w:hint="eastAsia"/>
                    <w:sz w:val="14"/>
                    <w:szCs w:val="14"/>
                  </w:rPr>
                  <w:t>本年增加</w:t>
                </w:r>
              </w:p>
            </w:tc>
            <w:sdt>
              <w:sdtPr>
                <w:rPr>
                  <w:sz w:val="14"/>
                  <w:szCs w:val="14"/>
                </w:rPr>
                <w:tag w:val="_PLD_095046b604db44b8b22c0d62f18b7d7b"/>
                <w:id w:val="1106002487"/>
                <w:lock w:val="sdtLocked"/>
              </w:sdtPr>
              <w:sdtContent>
                <w:tc>
                  <w:tcPr>
                    <w:tcW w:w="252"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601D47">
                    <w:pPr>
                      <w:jc w:val="center"/>
                      <w:rPr>
                        <w:sz w:val="14"/>
                        <w:szCs w:val="14"/>
                      </w:rPr>
                    </w:pPr>
                    <w:r w:rsidRPr="007D687C">
                      <w:rPr>
                        <w:rFonts w:hint="eastAsia"/>
                        <w:sz w:val="14"/>
                        <w:szCs w:val="14"/>
                      </w:rPr>
                      <w:t>减少投资</w:t>
                    </w:r>
                  </w:p>
                </w:tc>
              </w:sdtContent>
            </w:sdt>
            <w:sdt>
              <w:sdtPr>
                <w:rPr>
                  <w:sz w:val="14"/>
                  <w:szCs w:val="14"/>
                </w:rPr>
                <w:tag w:val="_PLD_6b1aa2f12a4b43c9acfdfe03af1b69b5"/>
                <w:id w:val="2139227094"/>
                <w:lock w:val="sdtLocked"/>
              </w:sdtPr>
              <w:sdtContent>
                <w:tc>
                  <w:tcPr>
                    <w:tcW w:w="453"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601D47">
                    <w:pPr>
                      <w:jc w:val="center"/>
                      <w:rPr>
                        <w:sz w:val="14"/>
                        <w:szCs w:val="14"/>
                      </w:rPr>
                    </w:pPr>
                    <w:r w:rsidRPr="007D687C">
                      <w:rPr>
                        <w:rFonts w:hint="eastAsia"/>
                        <w:sz w:val="14"/>
                        <w:szCs w:val="14"/>
                      </w:rPr>
                      <w:t>权益法下确认的投资损益</w:t>
                    </w:r>
                  </w:p>
                </w:tc>
              </w:sdtContent>
            </w:sdt>
            <w:sdt>
              <w:sdtPr>
                <w:rPr>
                  <w:sz w:val="14"/>
                  <w:szCs w:val="14"/>
                </w:rPr>
                <w:tag w:val="_PLD_7843f54d0d14415a8d81c3e768bcd483"/>
                <w:id w:val="1863552938"/>
                <w:lock w:val="sdtLocked"/>
              </w:sdtPr>
              <w:sdtContent>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601D47">
                    <w:pPr>
                      <w:jc w:val="center"/>
                      <w:rPr>
                        <w:sz w:val="14"/>
                        <w:szCs w:val="14"/>
                      </w:rPr>
                    </w:pPr>
                    <w:r w:rsidRPr="007D687C">
                      <w:rPr>
                        <w:rFonts w:hint="eastAsia"/>
                        <w:sz w:val="14"/>
                        <w:szCs w:val="14"/>
                      </w:rPr>
                      <w:t>其他综合收益调整</w:t>
                    </w:r>
                  </w:p>
                </w:tc>
              </w:sdtContent>
            </w:sdt>
            <w:sdt>
              <w:sdtPr>
                <w:rPr>
                  <w:sz w:val="14"/>
                  <w:szCs w:val="14"/>
                </w:rPr>
                <w:tag w:val="_PLD_dd698127723b4ea0815eca9ac49240a1"/>
                <w:id w:val="-815569626"/>
                <w:lock w:val="sdtLocked"/>
              </w:sdtPr>
              <w:sdtContent>
                <w:tc>
                  <w:tcPr>
                    <w:tcW w:w="453"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601D47">
                    <w:pPr>
                      <w:jc w:val="center"/>
                      <w:rPr>
                        <w:sz w:val="14"/>
                        <w:szCs w:val="14"/>
                      </w:rPr>
                    </w:pPr>
                    <w:r w:rsidRPr="007D687C">
                      <w:rPr>
                        <w:rFonts w:hint="eastAsia"/>
                        <w:sz w:val="14"/>
                        <w:szCs w:val="14"/>
                      </w:rPr>
                      <w:t>其他权益变动</w:t>
                    </w:r>
                  </w:p>
                </w:tc>
              </w:sdtContent>
            </w:sdt>
            <w:sdt>
              <w:sdtPr>
                <w:rPr>
                  <w:sz w:val="14"/>
                  <w:szCs w:val="14"/>
                </w:rPr>
                <w:tag w:val="_PLD_6d37a876ad014b7ba59d452d3d7f5f15"/>
                <w:id w:val="-994876282"/>
                <w:lock w:val="sdtLocked"/>
              </w:sdtPr>
              <w:sdtContent>
                <w:tc>
                  <w:tcPr>
                    <w:tcW w:w="452"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601D47">
                    <w:pPr>
                      <w:jc w:val="center"/>
                      <w:rPr>
                        <w:sz w:val="14"/>
                        <w:szCs w:val="14"/>
                      </w:rPr>
                    </w:pPr>
                    <w:r w:rsidRPr="007D687C">
                      <w:rPr>
                        <w:rFonts w:hint="eastAsia"/>
                        <w:sz w:val="14"/>
                        <w:szCs w:val="14"/>
                      </w:rPr>
                      <w:t>宣告发放现金股利或利润</w:t>
                    </w:r>
                  </w:p>
                </w:tc>
              </w:sdtContent>
            </w:sdt>
            <w:sdt>
              <w:sdtPr>
                <w:rPr>
                  <w:sz w:val="14"/>
                  <w:szCs w:val="14"/>
                </w:rPr>
                <w:tag w:val="_PLD_050d96d5e62f42b9bb4f13a2ca047503"/>
                <w:id w:val="-942608764"/>
                <w:lock w:val="sdtLocked"/>
              </w:sdtPr>
              <w:sdtContent>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601D47">
                    <w:pPr>
                      <w:jc w:val="center"/>
                      <w:rPr>
                        <w:sz w:val="14"/>
                        <w:szCs w:val="14"/>
                      </w:rPr>
                    </w:pPr>
                    <w:r w:rsidRPr="007D687C">
                      <w:rPr>
                        <w:rFonts w:hint="eastAsia"/>
                        <w:sz w:val="14"/>
                        <w:szCs w:val="14"/>
                      </w:rPr>
                      <w:t>计提减值准备</w:t>
                    </w:r>
                  </w:p>
                </w:tc>
              </w:sdtContent>
            </w:sdt>
            <w:sdt>
              <w:sdtPr>
                <w:rPr>
                  <w:sz w:val="14"/>
                  <w:szCs w:val="14"/>
                </w:rPr>
                <w:tag w:val="_PLD_add111e25b4543c48121d495919f2030"/>
                <w:id w:val="-1280798250"/>
                <w:lock w:val="sdtLocked"/>
              </w:sdtPr>
              <w:sdtContent>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601D47">
                    <w:pPr>
                      <w:jc w:val="center"/>
                      <w:rPr>
                        <w:sz w:val="14"/>
                        <w:szCs w:val="14"/>
                      </w:rPr>
                    </w:pPr>
                    <w:r w:rsidRPr="007D687C">
                      <w:rPr>
                        <w:rFonts w:hint="eastAsia"/>
                        <w:sz w:val="14"/>
                        <w:szCs w:val="14"/>
                      </w:rPr>
                      <w:t>其他</w:t>
                    </w:r>
                  </w:p>
                </w:tc>
              </w:sdtContent>
            </w:sdt>
            <w:tc>
              <w:tcPr>
                <w:tcW w:w="430" w:type="pct"/>
                <w:vMerge/>
                <w:tcBorders>
                  <w:left w:val="single" w:sz="4" w:space="0" w:color="auto"/>
                  <w:bottom w:val="single" w:sz="4" w:space="0" w:color="auto"/>
                  <w:right w:val="single" w:sz="4" w:space="0" w:color="auto"/>
                </w:tcBorders>
                <w:shd w:val="clear" w:color="auto" w:fill="auto"/>
                <w:vAlign w:val="center"/>
              </w:tcPr>
              <w:p w:rsidR="007D687C" w:rsidRPr="007D687C" w:rsidRDefault="007D687C" w:rsidP="00601D47">
                <w:pPr>
                  <w:jc w:val="center"/>
                  <w:rPr>
                    <w:sz w:val="14"/>
                    <w:szCs w:val="14"/>
                  </w:rPr>
                </w:pPr>
              </w:p>
            </w:tc>
            <w:tc>
              <w:tcPr>
                <w:tcW w:w="370" w:type="pct"/>
                <w:vMerge/>
                <w:tcBorders>
                  <w:left w:val="single" w:sz="4" w:space="0" w:color="auto"/>
                  <w:bottom w:val="single" w:sz="4" w:space="0" w:color="auto"/>
                  <w:right w:val="single" w:sz="4" w:space="0" w:color="auto"/>
                </w:tcBorders>
                <w:shd w:val="clear" w:color="auto" w:fill="auto"/>
                <w:vAlign w:val="center"/>
              </w:tcPr>
              <w:p w:rsidR="007D687C" w:rsidRPr="007D687C" w:rsidRDefault="007D687C" w:rsidP="00601D47">
                <w:pPr>
                  <w:jc w:val="center"/>
                  <w:rPr>
                    <w:sz w:val="14"/>
                    <w:szCs w:val="14"/>
                  </w:rPr>
                </w:pPr>
              </w:p>
            </w:tc>
          </w:tr>
          <w:tr w:rsidR="007D687C" w:rsidRPr="007D687C" w:rsidTr="00601D47">
            <w:sdt>
              <w:sdtPr>
                <w:rPr>
                  <w:sz w:val="14"/>
                  <w:szCs w:val="14"/>
                </w:rPr>
                <w:tag w:val="_PLD_35b755e14b594e4c91e0b7c9ecb32e60"/>
                <w:id w:val="799810858"/>
                <w:lock w:val="sdtLocked"/>
              </w:sdtPr>
              <w:sdtContent>
                <w:tc>
                  <w:tcPr>
                    <w:tcW w:w="5000" w:type="pct"/>
                    <w:gridSpan w:val="12"/>
                    <w:tcBorders>
                      <w:top w:val="single" w:sz="4" w:space="0" w:color="auto"/>
                      <w:left w:val="single" w:sz="4" w:space="0" w:color="auto"/>
                      <w:bottom w:val="single" w:sz="4" w:space="0" w:color="auto"/>
                      <w:right w:val="single" w:sz="4" w:space="0" w:color="auto"/>
                    </w:tcBorders>
                    <w:shd w:val="clear" w:color="auto" w:fill="auto"/>
                  </w:tcPr>
                  <w:p w:rsidR="007D687C" w:rsidRPr="007D687C" w:rsidRDefault="007D687C" w:rsidP="00601D47">
                    <w:pPr>
                      <w:jc w:val="both"/>
                      <w:rPr>
                        <w:sz w:val="14"/>
                        <w:szCs w:val="14"/>
                      </w:rPr>
                    </w:pPr>
                    <w:r w:rsidRPr="007D687C">
                      <w:rPr>
                        <w:rFonts w:hint="eastAsia"/>
                        <w:sz w:val="14"/>
                        <w:szCs w:val="14"/>
                      </w:rPr>
                      <w:t>一、合营企业</w:t>
                    </w:r>
                  </w:p>
                </w:tc>
              </w:sdtContent>
            </w:sdt>
          </w:tr>
          <w:sdt>
            <w:sdtPr>
              <w:rPr>
                <w:sz w:val="14"/>
                <w:szCs w:val="14"/>
              </w:rPr>
              <w:alias w:val="合营企业投资信息明细"/>
              <w:tag w:val="_TUP_c75e58945b574362871fd5ee9d3f2706"/>
              <w:id w:val="2029365485"/>
              <w:lock w:val="sdtLocked"/>
            </w:sdtPr>
            <w:sdtContent>
              <w:tr w:rsidR="007D687C" w:rsidRPr="007D687C" w:rsidTr="00492C01">
                <w:tc>
                  <w:tcPr>
                    <w:tcW w:w="843" w:type="pct"/>
                    <w:tcBorders>
                      <w:top w:val="single" w:sz="4" w:space="0" w:color="auto"/>
                      <w:left w:val="single" w:sz="4" w:space="0" w:color="auto"/>
                      <w:bottom w:val="single" w:sz="4" w:space="0" w:color="auto"/>
                      <w:right w:val="single" w:sz="4" w:space="0" w:color="auto"/>
                    </w:tcBorders>
                    <w:shd w:val="clear" w:color="auto" w:fill="auto"/>
                  </w:tcPr>
                  <w:p w:rsidR="007D687C" w:rsidRPr="007D687C" w:rsidRDefault="007D687C" w:rsidP="00601D47">
                    <w:pPr>
                      <w:rPr>
                        <w:sz w:val="14"/>
                        <w:szCs w:val="14"/>
                      </w:rPr>
                    </w:pPr>
                    <w:r w:rsidRPr="007D687C">
                      <w:rPr>
                        <w:rFonts w:hint="eastAsia"/>
                        <w:sz w:val="14"/>
                        <w:szCs w:val="14"/>
                      </w:rPr>
                      <w:t>山西晋龙四方轨道车辆设备有限公司</w:t>
                    </w:r>
                    <w:r w:rsidRPr="007D687C">
                      <w:rPr>
                        <w:sz w:val="14"/>
                        <w:szCs w:val="14"/>
                      </w:rPr>
                      <w:t xml:space="preserve"> (注1)</w:t>
                    </w:r>
                  </w:p>
                </w:tc>
                <w:tc>
                  <w:tcPr>
                    <w:tcW w:w="453"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5,973,745</w:t>
                    </w:r>
                  </w:p>
                </w:tc>
                <w:sdt>
                  <w:sdtPr>
                    <w:rPr>
                      <w:sz w:val="14"/>
                      <w:szCs w:val="14"/>
                    </w:rPr>
                    <w:alias w:val="本年增加"/>
                    <w:tag w:val="_GBC_1d5c3d04f8fd470a9c2bb03648d3fe1f"/>
                    <w:id w:val="424622045"/>
                    <w:lock w:val="sdtLocked"/>
                  </w:sdtPr>
                  <w:sdtContent>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0</w:t>
                        </w:r>
                      </w:p>
                    </w:tc>
                  </w:sdtContent>
                </w:sdt>
                <w:tc>
                  <w:tcPr>
                    <w:tcW w:w="252"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0</w:t>
                    </w:r>
                  </w:p>
                </w:tc>
                <w:tc>
                  <w:tcPr>
                    <w:tcW w:w="453"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307,914</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0</w:t>
                    </w:r>
                  </w:p>
                </w:tc>
                <w:tc>
                  <w:tcPr>
                    <w:tcW w:w="453"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0</w:t>
                    </w:r>
                  </w:p>
                </w:tc>
                <w:tc>
                  <w:tcPr>
                    <w:tcW w:w="452"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-1,871,946</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0</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0</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4,409,713</w:t>
                    </w: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0</w:t>
                    </w:r>
                  </w:p>
                </w:tc>
              </w:tr>
            </w:sdtContent>
          </w:sdt>
          <w:tr w:rsidR="007D687C" w:rsidRPr="007D687C" w:rsidTr="00492C01">
            <w:sdt>
              <w:sdtPr>
                <w:rPr>
                  <w:sz w:val="14"/>
                  <w:szCs w:val="14"/>
                </w:rPr>
                <w:tag w:val="_PLD_295bd2e13c884c579b2866f1b3e0ad4a"/>
                <w:id w:val="-507840935"/>
                <w:lock w:val="sdtLocked"/>
              </w:sdtPr>
              <w:sdtContent>
                <w:tc>
                  <w:tcPr>
                    <w:tcW w:w="843" w:type="pct"/>
                    <w:tcBorders>
                      <w:top w:val="single" w:sz="4" w:space="0" w:color="auto"/>
                      <w:left w:val="single" w:sz="4" w:space="0" w:color="auto"/>
                      <w:bottom w:val="single" w:sz="4" w:space="0" w:color="auto"/>
                      <w:right w:val="single" w:sz="4" w:space="0" w:color="auto"/>
                    </w:tcBorders>
                    <w:shd w:val="clear" w:color="auto" w:fill="auto"/>
                  </w:tcPr>
                  <w:p w:rsidR="007D687C" w:rsidRPr="007D687C" w:rsidRDefault="007D687C" w:rsidP="00601D47">
                    <w:pPr>
                      <w:jc w:val="both"/>
                      <w:rPr>
                        <w:sz w:val="14"/>
                        <w:szCs w:val="14"/>
                      </w:rPr>
                    </w:pPr>
                    <w:r w:rsidRPr="007D687C">
                      <w:rPr>
                        <w:rFonts w:hint="eastAsia"/>
                        <w:sz w:val="14"/>
                        <w:szCs w:val="14"/>
                      </w:rPr>
                      <w:t>小计</w:t>
                    </w:r>
                  </w:p>
                </w:tc>
              </w:sdtContent>
            </w:sdt>
            <w:tc>
              <w:tcPr>
                <w:tcW w:w="453"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5,973,745</w:t>
                </w:r>
              </w:p>
            </w:tc>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0</w:t>
                </w:r>
              </w:p>
            </w:tc>
            <w:tc>
              <w:tcPr>
                <w:tcW w:w="252"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0</w:t>
                </w:r>
              </w:p>
            </w:tc>
            <w:tc>
              <w:tcPr>
                <w:tcW w:w="453"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307,914</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0</w:t>
                </w:r>
              </w:p>
            </w:tc>
            <w:tc>
              <w:tcPr>
                <w:tcW w:w="453"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0</w:t>
                </w:r>
              </w:p>
            </w:tc>
            <w:tc>
              <w:tcPr>
                <w:tcW w:w="452"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-1,871,946</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0</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0</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4,409,713</w:t>
                </w: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0</w:t>
                </w:r>
              </w:p>
            </w:tc>
          </w:tr>
          <w:tr w:rsidR="007D687C" w:rsidRPr="007D687C" w:rsidTr="00601D47">
            <w:sdt>
              <w:sdtPr>
                <w:rPr>
                  <w:sz w:val="14"/>
                  <w:szCs w:val="14"/>
                </w:rPr>
                <w:tag w:val="_PLD_2c448562bca04f23a9ec97848768cd82"/>
                <w:id w:val="836731181"/>
                <w:lock w:val="sdtLocked"/>
              </w:sdtPr>
              <w:sdtContent>
                <w:tc>
                  <w:tcPr>
                    <w:tcW w:w="5000" w:type="pct"/>
                    <w:gridSpan w:val="12"/>
                    <w:tcBorders>
                      <w:top w:val="single" w:sz="4" w:space="0" w:color="auto"/>
                      <w:left w:val="single" w:sz="4" w:space="0" w:color="auto"/>
                      <w:bottom w:val="single" w:sz="4" w:space="0" w:color="auto"/>
                      <w:right w:val="single" w:sz="4" w:space="0" w:color="auto"/>
                    </w:tcBorders>
                    <w:shd w:val="clear" w:color="auto" w:fill="auto"/>
                  </w:tcPr>
                  <w:p w:rsidR="007D687C" w:rsidRPr="007D687C" w:rsidRDefault="007D687C" w:rsidP="00601D47">
                    <w:pPr>
                      <w:jc w:val="both"/>
                      <w:rPr>
                        <w:sz w:val="14"/>
                        <w:szCs w:val="14"/>
                      </w:rPr>
                    </w:pPr>
                    <w:r w:rsidRPr="007D687C">
                      <w:rPr>
                        <w:rFonts w:hint="eastAsia"/>
                        <w:sz w:val="14"/>
                        <w:szCs w:val="14"/>
                      </w:rPr>
                      <w:t>二、联营企业</w:t>
                    </w:r>
                  </w:p>
                </w:tc>
              </w:sdtContent>
            </w:sdt>
          </w:tr>
          <w:sdt>
            <w:sdtPr>
              <w:rPr>
                <w:rFonts w:hint="eastAsia"/>
                <w:sz w:val="14"/>
                <w:szCs w:val="14"/>
              </w:rPr>
              <w:alias w:val="联营企业投资信息明细"/>
              <w:tag w:val="_TUP_9536e771f46d491bae43945d896c883f"/>
              <w:id w:val="1927992020"/>
              <w:lock w:val="sdtLocked"/>
            </w:sdtPr>
            <w:sdtEndPr>
              <w:rPr>
                <w:rFonts w:hint="default"/>
              </w:rPr>
            </w:sdtEndPr>
            <w:sdtContent>
              <w:tr w:rsidR="007D687C" w:rsidRPr="007D687C" w:rsidTr="00492C01">
                <w:tc>
                  <w:tcPr>
                    <w:tcW w:w="843" w:type="pct"/>
                    <w:tcBorders>
                      <w:top w:val="single" w:sz="4" w:space="0" w:color="auto"/>
                      <w:left w:val="single" w:sz="4" w:space="0" w:color="auto"/>
                      <w:bottom w:val="single" w:sz="4" w:space="0" w:color="auto"/>
                      <w:right w:val="single" w:sz="4" w:space="0" w:color="auto"/>
                    </w:tcBorders>
                    <w:shd w:val="clear" w:color="auto" w:fill="auto"/>
                  </w:tcPr>
                  <w:p w:rsidR="007D687C" w:rsidRPr="007D687C" w:rsidRDefault="007D687C" w:rsidP="007D687C">
                    <w:pPr>
                      <w:jc w:val="both"/>
                      <w:rPr>
                        <w:sz w:val="14"/>
                        <w:szCs w:val="14"/>
                      </w:rPr>
                    </w:pPr>
                    <w:r w:rsidRPr="007D687C">
                      <w:rPr>
                        <w:sz w:val="14"/>
                        <w:szCs w:val="14"/>
                      </w:rPr>
                      <w:t>国能朔黄铁路发展有限责任公司 * (注2)</w:t>
                    </w:r>
                  </w:p>
                </w:tc>
                <w:tc>
                  <w:tcPr>
                    <w:tcW w:w="453"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21,321,587,130</w:t>
                    </w:r>
                  </w:p>
                </w:tc>
                <w:sdt>
                  <w:sdtPr>
                    <w:rPr>
                      <w:sz w:val="14"/>
                      <w:szCs w:val="14"/>
                    </w:rPr>
                    <w:alias w:val="本年增加"/>
                    <w:tag w:val="_GBC_d57cd81dfcb5445dab427e60d5751a6a"/>
                    <w:id w:val="98303853"/>
                    <w:lock w:val="sdtLocked"/>
                  </w:sdtPr>
                  <w:sdtContent>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0</w:t>
                        </w:r>
                      </w:p>
                    </w:tc>
                  </w:sdtContent>
                </w:sdt>
                <w:tc>
                  <w:tcPr>
                    <w:tcW w:w="252"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0</w:t>
                    </w:r>
                  </w:p>
                </w:tc>
                <w:tc>
                  <w:tcPr>
                    <w:tcW w:w="453"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2,680,015,510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0</w:t>
                    </w:r>
                  </w:p>
                </w:tc>
                <w:tc>
                  <w:tcPr>
                    <w:tcW w:w="453"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0</w:t>
                    </w:r>
                  </w:p>
                </w:tc>
                <w:tc>
                  <w:tcPr>
                    <w:tcW w:w="452"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-5,278,613,854</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0</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0</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18,722,988,786</w:t>
                    </w: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0</w:t>
                    </w:r>
                  </w:p>
                </w:tc>
              </w:tr>
            </w:sdtContent>
          </w:sdt>
          <w:sdt>
            <w:sdtPr>
              <w:rPr>
                <w:rFonts w:hint="eastAsia"/>
                <w:sz w:val="14"/>
                <w:szCs w:val="14"/>
              </w:rPr>
              <w:alias w:val="联营企业投资信息明细"/>
              <w:tag w:val="_TUP_9536e771f46d491bae43945d896c883f"/>
              <w:id w:val="1342354795"/>
              <w:lock w:val="sdtLocked"/>
            </w:sdtPr>
            <w:sdtEndPr>
              <w:rPr>
                <w:rFonts w:hint="default"/>
              </w:rPr>
            </w:sdtEndPr>
            <w:sdtContent>
              <w:tr w:rsidR="007D687C" w:rsidRPr="007D687C" w:rsidTr="00492C01">
                <w:tc>
                  <w:tcPr>
                    <w:tcW w:w="843" w:type="pct"/>
                    <w:tcBorders>
                      <w:top w:val="single" w:sz="4" w:space="0" w:color="auto"/>
                      <w:left w:val="single" w:sz="4" w:space="0" w:color="auto"/>
                      <w:bottom w:val="single" w:sz="4" w:space="0" w:color="auto"/>
                      <w:right w:val="single" w:sz="4" w:space="0" w:color="auto"/>
                    </w:tcBorders>
                    <w:shd w:val="clear" w:color="auto" w:fill="auto"/>
                  </w:tcPr>
                  <w:p w:rsidR="007D687C" w:rsidRPr="007D687C" w:rsidRDefault="007D687C" w:rsidP="007D687C">
                    <w:pPr>
                      <w:jc w:val="both"/>
                      <w:rPr>
                        <w:sz w:val="14"/>
                        <w:szCs w:val="14"/>
                      </w:rPr>
                    </w:pPr>
                    <w:r w:rsidRPr="007D687C">
                      <w:rPr>
                        <w:sz w:val="14"/>
                        <w:szCs w:val="14"/>
                      </w:rPr>
                      <w:t>浩吉铁路股份有限公司* (注3)</w:t>
                    </w:r>
                  </w:p>
                </w:tc>
                <w:tc>
                  <w:tcPr>
                    <w:tcW w:w="453"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5,148,932,173</w:t>
                    </w:r>
                  </w:p>
                </w:tc>
                <w:sdt>
                  <w:sdtPr>
                    <w:rPr>
                      <w:sz w:val="14"/>
                      <w:szCs w:val="14"/>
                    </w:rPr>
                    <w:alias w:val="本年增加"/>
                    <w:tag w:val="_GBC_d57cd81dfcb5445dab427e60d5751a6a"/>
                    <w:id w:val="-2116750575"/>
                    <w:lock w:val="sdtLocked"/>
                  </w:sdtPr>
                  <w:sdtContent>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0</w:t>
                        </w:r>
                      </w:p>
                    </w:tc>
                  </w:sdtContent>
                </w:sdt>
                <w:tc>
                  <w:tcPr>
                    <w:tcW w:w="252"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0</w:t>
                    </w:r>
                  </w:p>
                </w:tc>
                <w:tc>
                  <w:tcPr>
                    <w:tcW w:w="453"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25,343,568</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0</w:t>
                    </w:r>
                  </w:p>
                </w:tc>
                <w:tc>
                  <w:tcPr>
                    <w:tcW w:w="453"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3,488,455</w:t>
                    </w:r>
                  </w:p>
                </w:tc>
                <w:tc>
                  <w:tcPr>
                    <w:tcW w:w="452"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0</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0</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0</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5,177,764,196</w:t>
                    </w: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0</w:t>
                    </w:r>
                  </w:p>
                </w:tc>
              </w:tr>
            </w:sdtContent>
          </w:sdt>
          <w:sdt>
            <w:sdtPr>
              <w:rPr>
                <w:rFonts w:hint="eastAsia"/>
                <w:sz w:val="14"/>
                <w:szCs w:val="14"/>
              </w:rPr>
              <w:alias w:val="联营企业投资信息明细"/>
              <w:tag w:val="_TUP_9536e771f46d491bae43945d896c883f"/>
              <w:id w:val="528696725"/>
              <w:lock w:val="sdtLocked"/>
            </w:sdtPr>
            <w:sdtEndPr>
              <w:rPr>
                <w:rFonts w:hint="default"/>
              </w:rPr>
            </w:sdtEndPr>
            <w:sdtContent>
              <w:tr w:rsidR="007D687C" w:rsidRPr="007D687C" w:rsidTr="00492C01">
                <w:tc>
                  <w:tcPr>
                    <w:tcW w:w="843" w:type="pct"/>
                    <w:tcBorders>
                      <w:top w:val="single" w:sz="4" w:space="0" w:color="auto"/>
                      <w:left w:val="single" w:sz="4" w:space="0" w:color="auto"/>
                      <w:bottom w:val="single" w:sz="4" w:space="0" w:color="auto"/>
                      <w:right w:val="single" w:sz="4" w:space="0" w:color="auto"/>
                    </w:tcBorders>
                    <w:shd w:val="clear" w:color="auto" w:fill="auto"/>
                  </w:tcPr>
                  <w:p w:rsidR="007D687C" w:rsidRPr="007D687C" w:rsidRDefault="007D687C" w:rsidP="007D687C">
                    <w:pPr>
                      <w:jc w:val="both"/>
                      <w:rPr>
                        <w:sz w:val="14"/>
                        <w:szCs w:val="14"/>
                      </w:rPr>
                    </w:pPr>
                    <w:r w:rsidRPr="007D687C">
                      <w:rPr>
                        <w:sz w:val="14"/>
                        <w:szCs w:val="14"/>
                      </w:rPr>
                      <w:t>唐港铁路装卸有限责任公司 (注4)</w:t>
                    </w:r>
                  </w:p>
                </w:tc>
                <w:tc>
                  <w:tcPr>
                    <w:tcW w:w="453"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1,264,777</w:t>
                    </w:r>
                  </w:p>
                </w:tc>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0</w:t>
                    </w:r>
                  </w:p>
                </w:tc>
                <w:tc>
                  <w:tcPr>
                    <w:tcW w:w="252"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0</w:t>
                    </w:r>
                  </w:p>
                </w:tc>
                <w:tc>
                  <w:tcPr>
                    <w:tcW w:w="453"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228,046</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0</w:t>
                    </w:r>
                  </w:p>
                </w:tc>
                <w:tc>
                  <w:tcPr>
                    <w:tcW w:w="453"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0</w:t>
                    </w:r>
                  </w:p>
                </w:tc>
                <w:tc>
                  <w:tcPr>
                    <w:tcW w:w="452"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-565,318</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0</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0</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927,505</w:t>
                    </w: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0</w:t>
                    </w:r>
                  </w:p>
                </w:tc>
              </w:tr>
            </w:sdtContent>
          </w:sdt>
          <w:sdt>
            <w:sdtPr>
              <w:rPr>
                <w:rFonts w:hint="eastAsia"/>
                <w:sz w:val="14"/>
                <w:szCs w:val="14"/>
              </w:rPr>
              <w:alias w:val="联营企业投资信息明细"/>
              <w:tag w:val="_TUP_9536e771f46d491bae43945d896c883f"/>
              <w:id w:val="-1137264406"/>
              <w:lock w:val="sdtLocked"/>
            </w:sdtPr>
            <w:sdtEndPr>
              <w:rPr>
                <w:rFonts w:hint="default"/>
              </w:rPr>
            </w:sdtEndPr>
            <w:sdtContent>
              <w:tr w:rsidR="007D687C" w:rsidRPr="007D687C" w:rsidTr="00492C01">
                <w:tc>
                  <w:tcPr>
                    <w:tcW w:w="843" w:type="pct"/>
                    <w:tcBorders>
                      <w:top w:val="single" w:sz="4" w:space="0" w:color="auto"/>
                      <w:left w:val="single" w:sz="4" w:space="0" w:color="auto"/>
                      <w:bottom w:val="single" w:sz="4" w:space="0" w:color="auto"/>
                      <w:right w:val="single" w:sz="4" w:space="0" w:color="auto"/>
                    </w:tcBorders>
                    <w:shd w:val="clear" w:color="auto" w:fill="auto"/>
                  </w:tcPr>
                  <w:p w:rsidR="007D687C" w:rsidRPr="007D687C" w:rsidRDefault="007D687C" w:rsidP="007D687C">
                    <w:pPr>
                      <w:jc w:val="both"/>
                      <w:rPr>
                        <w:sz w:val="14"/>
                        <w:szCs w:val="14"/>
                      </w:rPr>
                    </w:pPr>
                    <w:r w:rsidRPr="007D687C">
                      <w:rPr>
                        <w:sz w:val="14"/>
                        <w:szCs w:val="14"/>
                      </w:rPr>
                      <w:t>曹妃甸港港铁物流有限公司 (注4)</w:t>
                    </w:r>
                  </w:p>
                </w:tc>
                <w:tc>
                  <w:tcPr>
                    <w:tcW w:w="453"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23,408,804</w:t>
                    </w:r>
                  </w:p>
                </w:tc>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0</w:t>
                    </w:r>
                  </w:p>
                </w:tc>
                <w:tc>
                  <w:tcPr>
                    <w:tcW w:w="252"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0</w:t>
                    </w:r>
                  </w:p>
                </w:tc>
                <w:tc>
                  <w:tcPr>
                    <w:tcW w:w="453"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-5,740,885</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0</w:t>
                    </w:r>
                  </w:p>
                </w:tc>
                <w:tc>
                  <w:tcPr>
                    <w:tcW w:w="453"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0</w:t>
                    </w:r>
                  </w:p>
                </w:tc>
                <w:tc>
                  <w:tcPr>
                    <w:tcW w:w="452"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0</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0</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0</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17,667,919</w:t>
                    </w: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0</w:t>
                    </w:r>
                  </w:p>
                </w:tc>
              </w:tr>
            </w:sdtContent>
          </w:sdt>
          <w:sdt>
            <w:sdtPr>
              <w:rPr>
                <w:rFonts w:hint="eastAsia"/>
                <w:sz w:val="14"/>
                <w:szCs w:val="14"/>
              </w:rPr>
              <w:alias w:val="联营企业投资信息明细"/>
              <w:tag w:val="_TUP_9536e771f46d491bae43945d896c883f"/>
              <w:id w:val="1161433981"/>
              <w:lock w:val="sdtLocked"/>
            </w:sdtPr>
            <w:sdtEndPr>
              <w:rPr>
                <w:rFonts w:hint="default"/>
              </w:rPr>
            </w:sdtEndPr>
            <w:sdtContent>
              <w:tr w:rsidR="007D687C" w:rsidRPr="007D687C" w:rsidTr="00492C01">
                <w:tc>
                  <w:tcPr>
                    <w:tcW w:w="843" w:type="pct"/>
                    <w:tcBorders>
                      <w:top w:val="single" w:sz="4" w:space="0" w:color="auto"/>
                      <w:left w:val="single" w:sz="4" w:space="0" w:color="auto"/>
                      <w:bottom w:val="single" w:sz="4" w:space="0" w:color="auto"/>
                      <w:right w:val="single" w:sz="4" w:space="0" w:color="auto"/>
                    </w:tcBorders>
                    <w:shd w:val="clear" w:color="auto" w:fill="auto"/>
                  </w:tcPr>
                  <w:p w:rsidR="007D687C" w:rsidRPr="007D687C" w:rsidRDefault="007D687C" w:rsidP="007D687C">
                    <w:pPr>
                      <w:jc w:val="both"/>
                      <w:rPr>
                        <w:sz w:val="14"/>
                        <w:szCs w:val="14"/>
                      </w:rPr>
                    </w:pPr>
                    <w:r w:rsidRPr="007D687C">
                      <w:rPr>
                        <w:sz w:val="14"/>
                        <w:szCs w:val="14"/>
                      </w:rPr>
                      <w:t>曹妃甸港 (内蒙古) 包头内陆港有限公司 (注4)</w:t>
                    </w:r>
                  </w:p>
                </w:tc>
                <w:tc>
                  <w:tcPr>
                    <w:tcW w:w="453"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989,516</w:t>
                    </w:r>
                  </w:p>
                </w:tc>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0</w:t>
                    </w:r>
                  </w:p>
                </w:tc>
                <w:tc>
                  <w:tcPr>
                    <w:tcW w:w="252"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0</w:t>
                    </w:r>
                  </w:p>
                </w:tc>
                <w:tc>
                  <w:tcPr>
                    <w:tcW w:w="453"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23,420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0</w:t>
                    </w:r>
                  </w:p>
                </w:tc>
                <w:tc>
                  <w:tcPr>
                    <w:tcW w:w="453"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0</w:t>
                    </w:r>
                  </w:p>
                </w:tc>
                <w:tc>
                  <w:tcPr>
                    <w:tcW w:w="452"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0</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0</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0</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1,012,936</w:t>
                    </w: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0</w:t>
                    </w:r>
                  </w:p>
                </w:tc>
              </w:tr>
            </w:sdtContent>
          </w:sdt>
          <w:sdt>
            <w:sdtPr>
              <w:rPr>
                <w:rFonts w:hint="eastAsia"/>
                <w:sz w:val="14"/>
                <w:szCs w:val="14"/>
              </w:rPr>
              <w:alias w:val="联营企业投资信息明细"/>
              <w:tag w:val="_TUP_9536e771f46d491bae43945d896c883f"/>
              <w:id w:val="-28967179"/>
              <w:lock w:val="sdtLocked"/>
            </w:sdtPr>
            <w:sdtEndPr>
              <w:rPr>
                <w:rFonts w:hint="default"/>
              </w:rPr>
            </w:sdtEndPr>
            <w:sdtContent>
              <w:tr w:rsidR="007D687C" w:rsidRPr="007D687C" w:rsidTr="00492C01">
                <w:tc>
                  <w:tcPr>
                    <w:tcW w:w="843" w:type="pct"/>
                    <w:tcBorders>
                      <w:top w:val="single" w:sz="4" w:space="0" w:color="auto"/>
                      <w:left w:val="single" w:sz="4" w:space="0" w:color="auto"/>
                      <w:bottom w:val="single" w:sz="4" w:space="0" w:color="auto"/>
                      <w:right w:val="single" w:sz="4" w:space="0" w:color="auto"/>
                    </w:tcBorders>
                    <w:shd w:val="clear" w:color="auto" w:fill="auto"/>
                  </w:tcPr>
                  <w:p w:rsidR="007D687C" w:rsidRPr="007D687C" w:rsidRDefault="007D687C" w:rsidP="007D687C">
                    <w:pPr>
                      <w:jc w:val="both"/>
                      <w:rPr>
                        <w:sz w:val="14"/>
                        <w:szCs w:val="14"/>
                      </w:rPr>
                    </w:pPr>
                    <w:r w:rsidRPr="007D687C">
                      <w:rPr>
                        <w:sz w:val="14"/>
                        <w:szCs w:val="14"/>
                      </w:rPr>
                      <w:t>其他</w:t>
                    </w:r>
                  </w:p>
                </w:tc>
                <w:tc>
                  <w:tcPr>
                    <w:tcW w:w="453"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12,775,050</w:t>
                    </w:r>
                  </w:p>
                </w:tc>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0</w:t>
                    </w:r>
                  </w:p>
                </w:tc>
                <w:tc>
                  <w:tcPr>
                    <w:tcW w:w="252"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0</w:t>
                    </w:r>
                  </w:p>
                </w:tc>
                <w:tc>
                  <w:tcPr>
                    <w:tcW w:w="453"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1,768,669</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0</w:t>
                    </w:r>
                  </w:p>
                </w:tc>
                <w:tc>
                  <w:tcPr>
                    <w:tcW w:w="453"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0</w:t>
                    </w:r>
                  </w:p>
                </w:tc>
                <w:tc>
                  <w:tcPr>
                    <w:tcW w:w="452"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-939,170</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0</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0</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13,604,549</w:t>
                    </w: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0</w:t>
                    </w:r>
                  </w:p>
                </w:tc>
              </w:tr>
            </w:sdtContent>
          </w:sdt>
          <w:tr w:rsidR="007D687C" w:rsidRPr="007D687C" w:rsidTr="00492C01">
            <w:sdt>
              <w:sdtPr>
                <w:rPr>
                  <w:sz w:val="14"/>
                  <w:szCs w:val="14"/>
                </w:rPr>
                <w:tag w:val="_PLD_01d10d53c021416d9099f27f6145f507"/>
                <w:id w:val="1845129934"/>
                <w:lock w:val="sdtLocked"/>
              </w:sdtPr>
              <w:sdtContent>
                <w:tc>
                  <w:tcPr>
                    <w:tcW w:w="843"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220391">
                    <w:pPr>
                      <w:jc w:val="center"/>
                      <w:rPr>
                        <w:sz w:val="14"/>
                        <w:szCs w:val="14"/>
                      </w:rPr>
                    </w:pPr>
                    <w:r w:rsidRPr="007D687C">
                      <w:rPr>
                        <w:rFonts w:hint="eastAsia"/>
                        <w:sz w:val="14"/>
                        <w:szCs w:val="14"/>
                      </w:rPr>
                      <w:t>小计</w:t>
                    </w:r>
                  </w:p>
                </w:tc>
              </w:sdtContent>
            </w:sdt>
            <w:tc>
              <w:tcPr>
                <w:tcW w:w="453"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26,508,957,450</w:t>
                </w:r>
              </w:p>
            </w:tc>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0</w:t>
                </w:r>
              </w:p>
            </w:tc>
            <w:tc>
              <w:tcPr>
                <w:tcW w:w="252"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0</w:t>
                </w:r>
              </w:p>
            </w:tc>
            <w:tc>
              <w:tcPr>
                <w:tcW w:w="453"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2,701,638,328</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0</w:t>
                </w:r>
              </w:p>
            </w:tc>
            <w:tc>
              <w:tcPr>
                <w:tcW w:w="453"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E7404C" w:rsidP="00492C01">
                <w:pPr>
                  <w:jc w:val="right"/>
                  <w:rPr>
                    <w:sz w:val="14"/>
                    <w:szCs w:val="14"/>
                  </w:rPr>
                </w:pPr>
                <w:r>
                  <w:rPr>
                    <w:sz w:val="14"/>
                    <w:szCs w:val="14"/>
                  </w:rPr>
                  <w:t>3,488,455</w:t>
                </w:r>
              </w:p>
            </w:tc>
            <w:tc>
              <w:tcPr>
                <w:tcW w:w="452"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snapToGrid w:val="0"/>
                  <w:jc w:val="right"/>
                  <w:rPr>
                    <w:sz w:val="14"/>
                    <w:szCs w:val="14"/>
                  </w:rPr>
                </w:pPr>
                <w:r w:rsidRPr="007D687C">
                  <w:rPr>
                    <w:sz w:val="14"/>
                    <w:szCs w:val="14"/>
                  </w:rPr>
                  <w:t>-5,280,118,342</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0</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0</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23,933,965,891</w:t>
                </w: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0</w:t>
                </w:r>
              </w:p>
            </w:tc>
          </w:tr>
          <w:tr w:rsidR="007D687C" w:rsidRPr="007D687C" w:rsidTr="00492C01">
            <w:sdt>
              <w:sdtPr>
                <w:rPr>
                  <w:sz w:val="14"/>
                  <w:szCs w:val="14"/>
                </w:rPr>
                <w:tag w:val="_PLD_e1b492ac76a6486cbdda41e1180ee125"/>
                <w:id w:val="-1694527559"/>
                <w:lock w:val="sdtLocked"/>
              </w:sdtPr>
              <w:sdtContent>
                <w:tc>
                  <w:tcPr>
                    <w:tcW w:w="843"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7D687C">
                    <w:pPr>
                      <w:jc w:val="center"/>
                      <w:rPr>
                        <w:sz w:val="14"/>
                        <w:szCs w:val="14"/>
                      </w:rPr>
                    </w:pPr>
                    <w:r w:rsidRPr="007D687C">
                      <w:rPr>
                        <w:rFonts w:hint="eastAsia"/>
                        <w:sz w:val="14"/>
                        <w:szCs w:val="14"/>
                      </w:rPr>
                      <w:t>合计</w:t>
                    </w:r>
                  </w:p>
                </w:tc>
              </w:sdtContent>
            </w:sdt>
            <w:tc>
              <w:tcPr>
                <w:tcW w:w="453"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26,514,931,195</w:t>
                </w:r>
              </w:p>
            </w:tc>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0</w:t>
                </w:r>
              </w:p>
            </w:tc>
            <w:tc>
              <w:tcPr>
                <w:tcW w:w="252"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0</w:t>
                </w:r>
              </w:p>
            </w:tc>
            <w:tc>
              <w:tcPr>
                <w:tcW w:w="453"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5A2201" w:rsidP="00492C01">
                <w:pPr>
                  <w:jc w:val="right"/>
                  <w:rPr>
                    <w:sz w:val="14"/>
                    <w:szCs w:val="14"/>
                  </w:rPr>
                </w:pPr>
                <w:r w:rsidRPr="005A2201">
                  <w:rPr>
                    <w:sz w:val="14"/>
                    <w:szCs w:val="14"/>
                  </w:rPr>
                  <w:t>2,701,946,242</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0</w:t>
                </w:r>
              </w:p>
            </w:tc>
            <w:tc>
              <w:tcPr>
                <w:tcW w:w="453"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556C" w:rsidP="00492C01">
                <w:pPr>
                  <w:jc w:val="right"/>
                  <w:rPr>
                    <w:sz w:val="14"/>
                    <w:szCs w:val="14"/>
                  </w:rPr>
                </w:pPr>
                <w:r w:rsidRPr="007D556C">
                  <w:rPr>
                    <w:sz w:val="14"/>
                    <w:szCs w:val="14"/>
                  </w:rPr>
                  <w:t>3,488,455</w:t>
                </w:r>
              </w:p>
            </w:tc>
            <w:tc>
              <w:tcPr>
                <w:tcW w:w="452"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snapToGrid w:val="0"/>
                  <w:jc w:val="right"/>
                  <w:rPr>
                    <w:sz w:val="14"/>
                    <w:szCs w:val="14"/>
                  </w:rPr>
                </w:pPr>
                <w:r w:rsidRPr="007D687C">
                  <w:rPr>
                    <w:sz w:val="14"/>
                    <w:szCs w:val="14"/>
                  </w:rPr>
                  <w:t>-5,281,990,288</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0</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0</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23,938,375,604</w:t>
                </w: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rsidR="007D687C" w:rsidRPr="007D687C" w:rsidRDefault="007D687C" w:rsidP="00492C01">
                <w:pPr>
                  <w:jc w:val="right"/>
                  <w:rPr>
                    <w:sz w:val="14"/>
                    <w:szCs w:val="14"/>
                  </w:rPr>
                </w:pPr>
                <w:r w:rsidRPr="007D687C">
                  <w:rPr>
                    <w:sz w:val="14"/>
                    <w:szCs w:val="14"/>
                  </w:rPr>
                  <w:t>0</w:t>
                </w:r>
              </w:p>
            </w:tc>
          </w:tr>
        </w:tbl>
        <w:p w:rsidR="008370A9" w:rsidRDefault="008370A9">
          <w:pPr>
            <w:snapToGrid w:val="0"/>
            <w:spacing w:line="240" w:lineRule="atLeast"/>
            <w:rPr>
              <w:szCs w:val="21"/>
            </w:rPr>
          </w:pPr>
        </w:p>
        <w:p w:rsidR="008370A9" w:rsidRDefault="008370A9">
          <w:pPr>
            <w:snapToGrid w:val="0"/>
            <w:spacing w:line="240" w:lineRule="atLeast"/>
            <w:rPr>
              <w:szCs w:val="21"/>
            </w:rPr>
          </w:pPr>
        </w:p>
        <w:p w:rsidR="00806678" w:rsidRDefault="00B16377">
          <w:pPr>
            <w:snapToGrid w:val="0"/>
            <w:spacing w:line="240" w:lineRule="atLeast"/>
            <w:rPr>
              <w:szCs w:val="21"/>
            </w:rPr>
          </w:pPr>
          <w:r>
            <w:rPr>
              <w:rFonts w:hint="eastAsia"/>
              <w:szCs w:val="21"/>
            </w:rPr>
            <w:t>其他说明</w:t>
          </w:r>
        </w:p>
        <w:sdt>
          <w:sdtPr>
            <w:rPr>
              <w:rFonts w:hint="eastAsia"/>
              <w:szCs w:val="21"/>
            </w:rPr>
            <w:tag w:val="_SEC_3a311bd4f3f14e4ea06367dc28b85743"/>
            <w:id w:val="-2057769429"/>
            <w:lock w:val="sdtLocked"/>
            <w:placeholder>
              <w:docPart w:val="GBC22222222222222222222222222222"/>
            </w:placeholder>
          </w:sdtPr>
          <w:sdtEndPr>
            <w:rPr>
              <w:rFonts w:hint="default"/>
            </w:rPr>
          </w:sdtEndPr>
          <w:sdtContent>
            <w:sdt>
              <w:sdtPr>
                <w:rPr>
                  <w:szCs w:val="21"/>
                </w:rPr>
                <w:alias w:val="长期股票投资的说明"/>
                <w:tag w:val="_GBC_4023b747651f4831814ee17f68bb62d6"/>
                <w:id w:val="-1810239208"/>
                <w:lock w:val="sdtLocked"/>
                <w:placeholder>
                  <w:docPart w:val="GBC22222222222222222222222222222"/>
                </w:placeholder>
              </w:sdtPr>
              <w:sdtContent>
                <w:p w:rsidR="00AD44EF" w:rsidRDefault="00AD44EF" w:rsidP="00453FC6">
                  <w:pPr>
                    <w:snapToGrid w:val="0"/>
                    <w:spacing w:line="240" w:lineRule="atLeast"/>
                    <w:rPr>
                      <w:sz w:val="22"/>
                      <w:szCs w:val="22"/>
                    </w:rPr>
                  </w:pPr>
                </w:p>
                <w:p w:rsidR="00AD44EF" w:rsidRDefault="00AD44EF" w:rsidP="00453FC6">
                  <w:pPr>
                    <w:snapToGrid w:val="0"/>
                    <w:spacing w:line="240" w:lineRule="atLeast"/>
                    <w:rPr>
                      <w:sz w:val="22"/>
                      <w:szCs w:val="22"/>
                    </w:rPr>
                  </w:pPr>
                </w:p>
                <w:p w:rsidR="0036726C" w:rsidRDefault="0036726C" w:rsidP="00453FC6">
                  <w:pPr>
                    <w:snapToGrid w:val="0"/>
                    <w:spacing w:line="240" w:lineRule="atLeast"/>
                    <w:rPr>
                      <w:sz w:val="22"/>
                      <w:szCs w:val="22"/>
                    </w:rPr>
                  </w:pPr>
                </w:p>
                <w:p w:rsidR="00492C01" w:rsidRDefault="00492C01" w:rsidP="00453FC6">
                  <w:pPr>
                    <w:snapToGrid w:val="0"/>
                    <w:spacing w:line="240" w:lineRule="atLeast"/>
                    <w:rPr>
                      <w:sz w:val="22"/>
                      <w:szCs w:val="22"/>
                    </w:rPr>
                  </w:pPr>
                </w:p>
                <w:p w:rsidR="00AD44EF" w:rsidRDefault="00AD44EF" w:rsidP="00453FC6">
                  <w:pPr>
                    <w:snapToGrid w:val="0"/>
                    <w:spacing w:line="240" w:lineRule="atLeast"/>
                    <w:rPr>
                      <w:sz w:val="22"/>
                      <w:szCs w:val="22"/>
                    </w:rPr>
                  </w:pPr>
                  <w:r w:rsidRPr="00AD44EF">
                    <w:rPr>
                      <w:sz w:val="22"/>
                      <w:szCs w:val="22"/>
                    </w:rPr>
                    <w:t>在合营企业和联营企业中的权益相关信息见附注九、3。</w:t>
                  </w:r>
                </w:p>
                <w:p w:rsidR="00AD44EF" w:rsidRDefault="00AD44EF" w:rsidP="00453FC6">
                  <w:pPr>
                    <w:snapToGrid w:val="0"/>
                    <w:spacing w:line="240" w:lineRule="atLeast"/>
                    <w:rPr>
                      <w:sz w:val="22"/>
                      <w:szCs w:val="22"/>
                    </w:rPr>
                  </w:pPr>
                </w:p>
                <w:p w:rsidR="00AD44EF" w:rsidRDefault="00AD44EF" w:rsidP="00453FC6">
                  <w:pPr>
                    <w:snapToGrid w:val="0"/>
                    <w:spacing w:line="240" w:lineRule="atLeast"/>
                    <w:rPr>
                      <w:sz w:val="22"/>
                      <w:szCs w:val="22"/>
                    </w:rPr>
                  </w:pPr>
                  <w:r w:rsidRPr="00AD44EF">
                    <w:rPr>
                      <w:sz w:val="22"/>
                      <w:szCs w:val="22"/>
                    </w:rPr>
                    <w:t>“*”标示之公司为本公司直接投资的联营企业。</w:t>
                  </w:r>
                </w:p>
                <w:p w:rsidR="00453FC6" w:rsidRPr="00453FC6" w:rsidRDefault="00453FC6" w:rsidP="00453FC6">
                  <w:pPr>
                    <w:snapToGrid w:val="0"/>
                    <w:spacing w:line="240" w:lineRule="atLeast"/>
                    <w:rPr>
                      <w:sz w:val="22"/>
                      <w:szCs w:val="22"/>
                    </w:rPr>
                  </w:pPr>
                  <w:r w:rsidRPr="00453FC6">
                    <w:rPr>
                      <w:rFonts w:hint="eastAsia"/>
                      <w:sz w:val="22"/>
                      <w:szCs w:val="22"/>
                    </w:rPr>
                    <w:t>注</w:t>
                  </w:r>
                  <w:r w:rsidRPr="00453FC6">
                    <w:rPr>
                      <w:sz w:val="22"/>
                      <w:szCs w:val="22"/>
                    </w:rPr>
                    <w:t>1：</w:t>
                  </w:r>
                  <w:r w:rsidRPr="00453FC6">
                    <w:rPr>
                      <w:sz w:val="22"/>
                      <w:szCs w:val="22"/>
                    </w:rPr>
                    <w:tab/>
                    <w:t>于2015年12月，本公司通过子公司间接持有山西晋龙四方轨道车辆设备有限公司50%的股权，以货币资金形式出资人民币3,000,000元。青岛南车四方销售服务有限公司以货币资金出资人民币3,000,000元，持有剩余50%股权。</w:t>
                  </w:r>
                </w:p>
                <w:p w:rsidR="00453FC6" w:rsidRPr="00453FC6" w:rsidRDefault="00453FC6" w:rsidP="00453FC6">
                  <w:pPr>
                    <w:snapToGrid w:val="0"/>
                    <w:spacing w:line="240" w:lineRule="atLeast"/>
                    <w:rPr>
                      <w:sz w:val="22"/>
                      <w:szCs w:val="22"/>
                    </w:rPr>
                  </w:pPr>
                </w:p>
                <w:p w:rsidR="00453FC6" w:rsidRPr="00453FC6" w:rsidRDefault="00453FC6" w:rsidP="00453FC6">
                  <w:pPr>
                    <w:snapToGrid w:val="0"/>
                    <w:spacing w:line="240" w:lineRule="atLeast"/>
                    <w:rPr>
                      <w:sz w:val="22"/>
                      <w:szCs w:val="22"/>
                    </w:rPr>
                  </w:pPr>
                  <w:r w:rsidRPr="00453FC6">
                    <w:rPr>
                      <w:rFonts w:hint="eastAsia"/>
                      <w:sz w:val="22"/>
                      <w:szCs w:val="22"/>
                    </w:rPr>
                    <w:t>注</w:t>
                  </w:r>
                  <w:r w:rsidRPr="00453FC6">
                    <w:rPr>
                      <w:sz w:val="22"/>
                      <w:szCs w:val="22"/>
                    </w:rPr>
                    <w:t>2：</w:t>
                  </w:r>
                  <w:r w:rsidRPr="00453FC6">
                    <w:rPr>
                      <w:sz w:val="22"/>
                      <w:szCs w:val="22"/>
                    </w:rPr>
                    <w:tab/>
                    <w:t>本集团于2010年8月31日取得国能朔黄铁路发展有限责任公司 (以下简称“朔黄铁路”) 41.16%的股权并采用权益法核算，初始投资成本为人民币14,059,721,496元。</w:t>
                  </w:r>
                </w:p>
                <w:p w:rsidR="00453FC6" w:rsidRPr="00453FC6" w:rsidRDefault="00453FC6" w:rsidP="00453FC6">
                  <w:pPr>
                    <w:snapToGrid w:val="0"/>
                    <w:spacing w:line="240" w:lineRule="atLeast"/>
                    <w:rPr>
                      <w:sz w:val="22"/>
                      <w:szCs w:val="22"/>
                    </w:rPr>
                  </w:pPr>
                </w:p>
                <w:p w:rsidR="00453FC6" w:rsidRPr="00453FC6" w:rsidRDefault="00453FC6" w:rsidP="00453FC6">
                  <w:pPr>
                    <w:snapToGrid w:val="0"/>
                    <w:spacing w:line="240" w:lineRule="atLeast"/>
                    <w:rPr>
                      <w:sz w:val="22"/>
                      <w:szCs w:val="22"/>
                    </w:rPr>
                  </w:pPr>
                  <w:r w:rsidRPr="00453FC6">
                    <w:rPr>
                      <w:rFonts w:hint="eastAsia"/>
                      <w:sz w:val="22"/>
                      <w:szCs w:val="22"/>
                    </w:rPr>
                    <w:t>注</w:t>
                  </w:r>
                  <w:r w:rsidRPr="00453FC6">
                    <w:rPr>
                      <w:sz w:val="22"/>
                      <w:szCs w:val="22"/>
                    </w:rPr>
                    <w:t>3：</w:t>
                  </w:r>
                  <w:r w:rsidRPr="00453FC6">
                    <w:rPr>
                      <w:sz w:val="22"/>
                      <w:szCs w:val="22"/>
                    </w:rPr>
                    <w:tab/>
                    <w:t>本集团于2019年1月23日对浩吉铁路股份有限公司 (以下简称“浩吉铁路”) 出资人民币2,000,000,000元，取得浩吉铁路3.34%股权；于2019年11月19日对浩吉铁路继续增资人民币3,985,000,000元，累计取得浩吉铁路10%股权并采用权益法核算，初始投资成本合计为人民币5,985,000,000元。</w:t>
                  </w:r>
                </w:p>
                <w:p w:rsidR="00453FC6" w:rsidRPr="00453FC6" w:rsidRDefault="00453FC6" w:rsidP="00453FC6">
                  <w:pPr>
                    <w:snapToGrid w:val="0"/>
                    <w:spacing w:line="240" w:lineRule="atLeast"/>
                    <w:rPr>
                      <w:sz w:val="22"/>
                      <w:szCs w:val="22"/>
                    </w:rPr>
                  </w:pPr>
                </w:p>
                <w:p w:rsidR="00D05FE1" w:rsidRDefault="00453FC6" w:rsidP="00453FC6">
                  <w:pPr>
                    <w:snapToGrid w:val="0"/>
                    <w:spacing w:line="240" w:lineRule="atLeast"/>
                    <w:rPr>
                      <w:szCs w:val="21"/>
                    </w:rPr>
                    <w:sectPr w:rsidR="00D05FE1" w:rsidSect="00D05FE1">
                      <w:pgSz w:w="16838" w:h="11906" w:orient="landscape"/>
                      <w:pgMar w:top="1276" w:right="1440" w:bottom="1797" w:left="1525" w:header="856" w:footer="992" w:gutter="0"/>
                      <w:cols w:space="425"/>
                      <w:docGrid w:type="lines" w:linePitch="312"/>
                    </w:sectPr>
                  </w:pPr>
                  <w:r w:rsidRPr="00453FC6">
                    <w:rPr>
                      <w:rFonts w:hint="eastAsia"/>
                      <w:sz w:val="22"/>
                      <w:szCs w:val="22"/>
                    </w:rPr>
                    <w:t>注</w:t>
                  </w:r>
                  <w:r w:rsidRPr="00453FC6">
                    <w:rPr>
                      <w:sz w:val="22"/>
                      <w:szCs w:val="22"/>
                    </w:rPr>
                    <w:t>4：</w:t>
                  </w:r>
                  <w:r w:rsidRPr="00453FC6">
                    <w:rPr>
                      <w:sz w:val="22"/>
                      <w:szCs w:val="22"/>
                    </w:rPr>
                    <w:tab/>
                    <w:t>本公司通过子公司唐港铁路有限责任公司间接持有唐港铁路装卸有限责任公司30%的股权，间接持有曹妃甸港港铁物流有限公司30%的股权，间接持有曹妃甸港 (内蒙古) 包头内陆港有限公司20%的股权。</w:t>
                  </w:r>
                </w:p>
              </w:sdtContent>
            </w:sdt>
            <w:p w:rsidR="00806678" w:rsidRDefault="00F80B6C">
              <w:pPr>
                <w:snapToGrid w:val="0"/>
                <w:spacing w:line="240" w:lineRule="atLeast"/>
                <w:rPr>
                  <w:szCs w:val="21"/>
                </w:rPr>
              </w:pPr>
            </w:p>
          </w:sdtContent>
        </w:sdt>
      </w:sdtContent>
    </w:sdt>
    <w:bookmarkStart w:id="196" w:name="_Hlk533409702" w:displacedByCustomXml="next"/>
    <w:sdt>
      <w:sdtPr>
        <w:rPr>
          <w:rFonts w:hint="eastAsia"/>
          <w:b w:val="0"/>
          <w:bCs w:val="0"/>
          <w:szCs w:val="21"/>
        </w:rPr>
        <w:alias w:val="模块:其他权益工具投资情况"/>
        <w:tag w:val="_SEC_28824f064b6848578824ba80aeb4ac54"/>
        <w:id w:val="-266476680"/>
        <w:lock w:val="sdtLocked"/>
        <w:placeholder>
          <w:docPart w:val="GBC22222222222222222222222222222"/>
        </w:placeholder>
      </w:sdtPr>
      <w:sdtEndPr>
        <w:rPr>
          <w:rFonts w:hint="default"/>
          <w:szCs w:val="22"/>
        </w:rPr>
      </w:sdtEndPr>
      <w:sdtContent>
        <w:p w:rsidR="00806678" w:rsidRDefault="00B16377" w:rsidP="00FF17C7">
          <w:pPr>
            <w:pStyle w:val="3"/>
            <w:numPr>
              <w:ilvl w:val="0"/>
              <w:numId w:val="18"/>
            </w:numPr>
            <w:tabs>
              <w:tab w:val="left" w:pos="504"/>
            </w:tabs>
            <w:rPr>
              <w:szCs w:val="21"/>
            </w:rPr>
          </w:pPr>
          <w:r>
            <w:rPr>
              <w:rFonts w:hint="eastAsia"/>
              <w:szCs w:val="21"/>
            </w:rPr>
            <w:t>其他权益工具投资</w:t>
          </w:r>
        </w:p>
        <w:p w:rsidR="00806678" w:rsidRDefault="00B16377" w:rsidP="00FF17C7">
          <w:pPr>
            <w:pStyle w:val="4"/>
            <w:numPr>
              <w:ilvl w:val="3"/>
              <w:numId w:val="84"/>
            </w:numPr>
            <w:ind w:left="426" w:hanging="426"/>
          </w:pPr>
          <w:bookmarkStart w:id="197" w:name="_Hlk532994936"/>
          <w:r>
            <w:rPr>
              <w:rFonts w:hint="eastAsia"/>
            </w:rPr>
            <w:t>其他权益工具投资情况</w:t>
          </w:r>
        </w:p>
        <w:sdt>
          <w:sdtPr>
            <w:alias w:val="是否适用：其他权益工具投资情况[双击切换]"/>
            <w:tag w:val="_GBC_d086d5c38ce84090b98eac90481c97aa"/>
            <w:id w:val="-1939905249"/>
            <w:lock w:val="sdtLocked"/>
            <w:placeholder>
              <w:docPart w:val="GBC22222222222222222222222222222"/>
            </w:placeholder>
          </w:sdtPr>
          <w:sdtContent>
            <w:p w:rsidR="00806678" w:rsidRDefault="00F80B6C">
              <w:r>
                <w:fldChar w:fldCharType="begin"/>
              </w:r>
              <w:r w:rsidR="00453FC6">
                <w:instrText xml:space="preserve"> MACROBUTTON  SnrToggleCheckbox √适用 </w:instrText>
              </w:r>
              <w:r>
                <w:fldChar w:fldCharType="end"/>
              </w:r>
              <w:r>
                <w:fldChar w:fldCharType="begin"/>
              </w:r>
              <w:r w:rsidR="00453FC6">
                <w:instrText xml:space="preserve"> MACROBUTTON  SnrToggleCheckbox □不适用 </w:instrText>
              </w:r>
              <w:r>
                <w:fldChar w:fldCharType="end"/>
              </w:r>
            </w:p>
          </w:sdtContent>
        </w:sdt>
        <w:p w:rsidR="00806678" w:rsidRDefault="00B16377">
          <w:pPr>
            <w:autoSpaceDE w:val="0"/>
            <w:autoSpaceDN w:val="0"/>
            <w:adjustRightInd w:val="0"/>
            <w:ind w:left="5880" w:right="105"/>
            <w:jc w:val="right"/>
            <w:rPr>
              <w:szCs w:val="21"/>
            </w:rPr>
          </w:pPr>
          <w:r>
            <w:rPr>
              <w:rFonts w:hint="eastAsia"/>
              <w:szCs w:val="21"/>
            </w:rPr>
            <w:t>单位：</w:t>
          </w:r>
          <w:sdt>
            <w:sdtPr>
              <w:rPr>
                <w:rFonts w:hint="eastAsia"/>
                <w:szCs w:val="21"/>
              </w:rPr>
              <w:alias w:val="单位：其他权益工具投资情况"/>
              <w:tag w:val="_GBC_afada4c07d144e589675aeac548ff1d0"/>
              <w:id w:val="-70502023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其他权益工具投资情况"/>
              <w:tag w:val="_GBC_b0fd0da2e6914f91b6f9923463f182a5"/>
              <w:id w:val="-200041181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3650"/>
            <w:gridCol w:w="2688"/>
            <w:gridCol w:w="2711"/>
          </w:tblGrid>
          <w:tr w:rsidR="00806678" w:rsidTr="008378FA">
            <w:sdt>
              <w:sdtPr>
                <w:tag w:val="_PLD_61c0544752ba493aaf375242547dccc6"/>
                <w:id w:val="-1747872037"/>
                <w:lock w:val="sdtLocked"/>
              </w:sdtPr>
              <w:sdtContent>
                <w:tc>
                  <w:tcPr>
                    <w:tcW w:w="2017" w:type="pct"/>
                    <w:shd w:val="clear" w:color="auto" w:fill="auto"/>
                    <w:vAlign w:val="center"/>
                  </w:tcPr>
                  <w:p w:rsidR="00806678" w:rsidRDefault="00B16377">
                    <w:pPr>
                      <w:jc w:val="center"/>
                      <w:rPr>
                        <w:szCs w:val="21"/>
                      </w:rPr>
                    </w:pPr>
                    <w:r>
                      <w:rPr>
                        <w:rFonts w:hint="eastAsia"/>
                        <w:szCs w:val="21"/>
                      </w:rPr>
                      <w:t>项目</w:t>
                    </w:r>
                  </w:p>
                </w:tc>
              </w:sdtContent>
            </w:sdt>
            <w:sdt>
              <w:sdtPr>
                <w:tag w:val="_PLD_af37ba7740d949a3a0293ffb3c90c81e"/>
                <w:id w:val="-1418477164"/>
                <w:lock w:val="sdtLocked"/>
              </w:sdtPr>
              <w:sdtContent>
                <w:tc>
                  <w:tcPr>
                    <w:tcW w:w="1485" w:type="pct"/>
                    <w:tcBorders>
                      <w:bottom w:val="single" w:sz="6" w:space="0" w:color="auto"/>
                    </w:tcBorders>
                    <w:shd w:val="clear" w:color="auto" w:fill="auto"/>
                    <w:vAlign w:val="center"/>
                  </w:tcPr>
                  <w:p w:rsidR="00806678" w:rsidRDefault="00B16377">
                    <w:pPr>
                      <w:autoSpaceDE w:val="0"/>
                      <w:autoSpaceDN w:val="0"/>
                      <w:adjustRightInd w:val="0"/>
                      <w:snapToGrid w:val="0"/>
                      <w:spacing w:line="240" w:lineRule="atLeast"/>
                      <w:jc w:val="center"/>
                      <w:rPr>
                        <w:szCs w:val="21"/>
                      </w:rPr>
                    </w:pPr>
                    <w:r>
                      <w:rPr>
                        <w:rFonts w:hint="eastAsia"/>
                        <w:szCs w:val="21"/>
                      </w:rPr>
                      <w:t>期末余额</w:t>
                    </w:r>
                  </w:p>
                </w:tc>
              </w:sdtContent>
            </w:sdt>
            <w:sdt>
              <w:sdtPr>
                <w:tag w:val="_PLD_158bc18d839846e78ca4a9687f119e16"/>
                <w:id w:val="-1324660550"/>
                <w:lock w:val="sdtLocked"/>
              </w:sdtPr>
              <w:sdtContent>
                <w:tc>
                  <w:tcPr>
                    <w:tcW w:w="1498" w:type="pct"/>
                    <w:shd w:val="clear" w:color="auto" w:fill="auto"/>
                    <w:vAlign w:val="center"/>
                  </w:tcPr>
                  <w:p w:rsidR="00806678" w:rsidRDefault="00B16377">
                    <w:pPr>
                      <w:autoSpaceDE w:val="0"/>
                      <w:autoSpaceDN w:val="0"/>
                      <w:adjustRightInd w:val="0"/>
                      <w:snapToGrid w:val="0"/>
                      <w:spacing w:line="240" w:lineRule="atLeast"/>
                      <w:jc w:val="center"/>
                      <w:rPr>
                        <w:szCs w:val="21"/>
                      </w:rPr>
                    </w:pPr>
                    <w:r>
                      <w:rPr>
                        <w:rFonts w:hint="eastAsia"/>
                        <w:szCs w:val="21"/>
                      </w:rPr>
                      <w:t>期初余额</w:t>
                    </w:r>
                  </w:p>
                </w:tc>
              </w:sdtContent>
            </w:sdt>
          </w:tr>
          <w:sdt>
            <w:sdtPr>
              <w:rPr>
                <w:szCs w:val="21"/>
              </w:rPr>
              <w:alias w:val="其他权益工具投资明细"/>
              <w:tag w:val="_TUP_2181011c68774147afbfcb817f7459e8"/>
              <w:id w:val="-736863426"/>
              <w:lock w:val="sdtLocked"/>
            </w:sdtPr>
            <w:sdtContent>
              <w:tr w:rsidR="00806678" w:rsidTr="008378FA">
                <w:tc>
                  <w:tcPr>
                    <w:tcW w:w="2017" w:type="pct"/>
                    <w:shd w:val="clear" w:color="auto" w:fill="auto"/>
                    <w:vAlign w:val="center"/>
                  </w:tcPr>
                  <w:p w:rsidR="00806678" w:rsidRDefault="00453FC6">
                    <w:pPr>
                      <w:rPr>
                        <w:szCs w:val="21"/>
                      </w:rPr>
                    </w:pPr>
                    <w:r w:rsidRPr="00453FC6">
                      <w:rPr>
                        <w:rFonts w:hint="eastAsia"/>
                        <w:szCs w:val="21"/>
                      </w:rPr>
                      <w:t>秦皇岛港股份有限公司</w:t>
                    </w:r>
                  </w:p>
                </w:tc>
                <w:tc>
                  <w:tcPr>
                    <w:tcW w:w="1485" w:type="pct"/>
                    <w:tcBorders>
                      <w:top w:val="single" w:sz="6" w:space="0" w:color="auto"/>
                      <w:bottom w:val="single" w:sz="6" w:space="0" w:color="auto"/>
                    </w:tcBorders>
                    <w:shd w:val="clear" w:color="auto" w:fill="auto"/>
                  </w:tcPr>
                  <w:p w:rsidR="00806678" w:rsidRDefault="00453FC6">
                    <w:pPr>
                      <w:jc w:val="right"/>
                      <w:rPr>
                        <w:szCs w:val="21"/>
                      </w:rPr>
                    </w:pPr>
                    <w:r w:rsidRPr="00453FC6">
                      <w:rPr>
                        <w:szCs w:val="21"/>
                      </w:rPr>
                      <w:t>117,562,500</w:t>
                    </w:r>
                  </w:p>
                </w:tc>
                <w:tc>
                  <w:tcPr>
                    <w:tcW w:w="1498" w:type="pct"/>
                    <w:shd w:val="clear" w:color="auto" w:fill="auto"/>
                  </w:tcPr>
                  <w:p w:rsidR="00806678" w:rsidRDefault="00453FC6">
                    <w:pPr>
                      <w:jc w:val="right"/>
                      <w:rPr>
                        <w:szCs w:val="21"/>
                      </w:rPr>
                    </w:pPr>
                    <w:r w:rsidRPr="00453FC6">
                      <w:rPr>
                        <w:szCs w:val="21"/>
                      </w:rPr>
                      <w:t>118,845,000</w:t>
                    </w:r>
                  </w:p>
                </w:tc>
              </w:tr>
            </w:sdtContent>
          </w:sdt>
          <w:tr w:rsidR="00453FC6" w:rsidTr="00601D47">
            <w:sdt>
              <w:sdtPr>
                <w:tag w:val="_PLD_0c37c3458bef418a8d30226250a27be8"/>
                <w:id w:val="1744143800"/>
                <w:lock w:val="sdtLocked"/>
              </w:sdtPr>
              <w:sdtContent>
                <w:tc>
                  <w:tcPr>
                    <w:tcW w:w="2017" w:type="pct"/>
                    <w:shd w:val="clear" w:color="auto" w:fill="auto"/>
                    <w:vAlign w:val="center"/>
                  </w:tcPr>
                  <w:p w:rsidR="00453FC6" w:rsidRDefault="00453FC6" w:rsidP="00453FC6">
                    <w:pPr>
                      <w:jc w:val="center"/>
                      <w:rPr>
                        <w:szCs w:val="21"/>
                      </w:rPr>
                    </w:pPr>
                    <w:r>
                      <w:rPr>
                        <w:rFonts w:hint="eastAsia"/>
                        <w:szCs w:val="21"/>
                      </w:rPr>
                      <w:t>合计</w:t>
                    </w:r>
                  </w:p>
                </w:tc>
              </w:sdtContent>
            </w:sdt>
            <w:tc>
              <w:tcPr>
                <w:tcW w:w="1485" w:type="pct"/>
                <w:tcBorders>
                  <w:top w:val="single" w:sz="6" w:space="0" w:color="auto"/>
                  <w:bottom w:val="single" w:sz="4" w:space="0" w:color="auto"/>
                </w:tcBorders>
                <w:shd w:val="clear" w:color="auto" w:fill="auto"/>
                <w:vAlign w:val="center"/>
              </w:tcPr>
              <w:p w:rsidR="00453FC6" w:rsidRDefault="00453FC6" w:rsidP="00453FC6">
                <w:pPr>
                  <w:jc w:val="right"/>
                  <w:rPr>
                    <w:szCs w:val="21"/>
                  </w:rPr>
                </w:pPr>
                <w:r>
                  <w:t>117,562,500</w:t>
                </w:r>
              </w:p>
            </w:tc>
            <w:tc>
              <w:tcPr>
                <w:tcW w:w="1498" w:type="pct"/>
                <w:shd w:val="clear" w:color="auto" w:fill="auto"/>
                <w:vAlign w:val="center"/>
              </w:tcPr>
              <w:p w:rsidR="00453FC6" w:rsidRDefault="00453FC6" w:rsidP="00453FC6">
                <w:pPr>
                  <w:jc w:val="right"/>
                  <w:rPr>
                    <w:szCs w:val="21"/>
                  </w:rPr>
                </w:pPr>
                <w:r>
                  <w:t>118,845,000</w:t>
                </w:r>
              </w:p>
            </w:tc>
          </w:tr>
        </w:tbl>
        <w:p w:rsidR="00806678" w:rsidRDefault="00F80B6C">
          <w:pPr>
            <w:pStyle w:val="41"/>
            <w:ind w:firstLineChars="0" w:firstLine="0"/>
          </w:pPr>
        </w:p>
        <w:bookmarkEnd w:id="197" w:displacedByCustomXml="next"/>
        <w:bookmarkEnd w:id="196" w:displacedByCustomXml="next"/>
      </w:sdtContent>
    </w:sdt>
    <w:bookmarkStart w:id="198" w:name="_Hlk532995211" w:displacedByCustomXml="next"/>
    <w:bookmarkStart w:id="199" w:name="_Hlk533938157" w:displacedByCustomXml="next"/>
    <w:sdt>
      <w:sdtPr>
        <w:rPr>
          <w:rFonts w:ascii="宋体" w:eastAsia="宋体" w:hAnsi="宋体" w:cs="宋体" w:hint="eastAsia"/>
          <w:b w:val="0"/>
          <w:bCs w:val="0"/>
          <w:kern w:val="0"/>
          <w:szCs w:val="24"/>
        </w:rPr>
        <w:alias w:val="模块:非交易性权益工具投资的情况"/>
        <w:tag w:val="_SEC_a20f5a6c87a7486f84aaaae7561d335d"/>
        <w:id w:val="1941792613"/>
        <w:lock w:val="sdtLocked"/>
        <w:placeholder>
          <w:docPart w:val="GBC22222222222222222222222222222"/>
        </w:placeholder>
      </w:sdtPr>
      <w:sdtEndPr>
        <w:rPr>
          <w:rFonts w:hint="default"/>
          <w:color w:val="333333"/>
          <w:szCs w:val="21"/>
        </w:rPr>
      </w:sdtEndPr>
      <w:sdtContent>
        <w:p w:rsidR="00806678" w:rsidRDefault="00B16377" w:rsidP="00FF17C7">
          <w:pPr>
            <w:pStyle w:val="4"/>
            <w:numPr>
              <w:ilvl w:val="3"/>
              <w:numId w:val="84"/>
            </w:numPr>
            <w:ind w:left="426" w:hanging="426"/>
          </w:pPr>
          <w:r>
            <w:rPr>
              <w:rFonts w:hint="eastAsia"/>
            </w:rPr>
            <w:t>非交易性权益工具投资的情况</w:t>
          </w:r>
        </w:p>
        <w:sdt>
          <w:sdtPr>
            <w:alias w:val="是否适用：非交易性权益工具投资情况[双击切换]"/>
            <w:tag w:val="_GBC_bc9bd0cb64e149f2b6adad5701cc1e11"/>
            <w:id w:val="-1002122434"/>
            <w:lock w:val="sdtLocked"/>
            <w:placeholder>
              <w:docPart w:val="GBC22222222222222222222222222222"/>
            </w:placeholder>
          </w:sdtPr>
          <w:sdtContent>
            <w:p w:rsidR="00806678" w:rsidRDefault="00F80B6C">
              <w:r>
                <w:fldChar w:fldCharType="begin"/>
              </w:r>
              <w:r w:rsidR="00453FC6">
                <w:instrText xml:space="preserve"> MACROBUTTON  SnrToggleCheckbox √适用 </w:instrText>
              </w:r>
              <w:r>
                <w:fldChar w:fldCharType="end"/>
              </w:r>
              <w:r>
                <w:fldChar w:fldCharType="begin"/>
              </w:r>
              <w:r w:rsidR="00453FC6">
                <w:instrText xml:space="preserve"> MACROBUTTON  SnrToggleCheckbox □不适用 </w:instrText>
              </w:r>
              <w:r>
                <w:fldChar w:fldCharType="end"/>
              </w:r>
            </w:p>
          </w:sdtContent>
        </w:sdt>
        <w:p w:rsidR="00806678" w:rsidRDefault="00B16377">
          <w:pPr>
            <w:jc w:val="right"/>
          </w:pPr>
          <w:r>
            <w:rPr>
              <w:rFonts w:hint="eastAsia"/>
            </w:rPr>
            <w:t>单位：</w:t>
          </w:r>
          <w:sdt>
            <w:sdtPr>
              <w:rPr>
                <w:rFonts w:hint="eastAsia"/>
              </w:rPr>
              <w:alias w:val="单位：非交易性权益工具投资情况"/>
              <w:tag w:val="_GBC_9670ecff60f2406d8385b0f2c027b86c"/>
              <w:id w:val="4387702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非交易性权益工具投资情况"/>
              <w:tag w:val="_GBC_cbf8d67c95ab4933810717f60ee72c1d"/>
              <w:id w:val="-46227144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9"/>
            <w:gridCol w:w="1278"/>
            <w:gridCol w:w="1267"/>
            <w:gridCol w:w="1068"/>
            <w:gridCol w:w="1064"/>
            <w:gridCol w:w="1383"/>
            <w:gridCol w:w="1180"/>
          </w:tblGrid>
          <w:tr w:rsidR="00806678" w:rsidTr="00453FC6">
            <w:sdt>
              <w:sdtPr>
                <w:tag w:val="_PLD_d32b13a51bd44decbda9442ed04c7052"/>
                <w:id w:val="1192261634"/>
                <w:lock w:val="sdtLocked"/>
              </w:sdtPr>
              <w:sdtContent>
                <w:tc>
                  <w:tcPr>
                    <w:tcW w:w="1000" w:type="pct"/>
                    <w:vAlign w:val="center"/>
                  </w:tcPr>
                  <w:p w:rsidR="00806678" w:rsidRDefault="00B16377">
                    <w:pPr>
                      <w:jc w:val="center"/>
                      <w:rPr>
                        <w:szCs w:val="21"/>
                      </w:rPr>
                    </w:pPr>
                    <w:r>
                      <w:rPr>
                        <w:rFonts w:hint="eastAsia"/>
                        <w:szCs w:val="21"/>
                      </w:rPr>
                      <w:t>项目</w:t>
                    </w:r>
                  </w:p>
                </w:tc>
              </w:sdtContent>
            </w:sdt>
            <w:sdt>
              <w:sdtPr>
                <w:tag w:val="_PLD_ceede5be033846a09865ec1dc028fc4f"/>
                <w:id w:val="759484597"/>
                <w:lock w:val="sdtLocked"/>
              </w:sdtPr>
              <w:sdtContent>
                <w:tc>
                  <w:tcPr>
                    <w:tcW w:w="706" w:type="pct"/>
                    <w:vAlign w:val="center"/>
                  </w:tcPr>
                  <w:p w:rsidR="00806678" w:rsidRDefault="00B16377">
                    <w:pPr>
                      <w:jc w:val="center"/>
                      <w:rPr>
                        <w:szCs w:val="21"/>
                      </w:rPr>
                    </w:pPr>
                    <w:r>
                      <w:rPr>
                        <w:rFonts w:hint="eastAsia"/>
                        <w:szCs w:val="21"/>
                      </w:rPr>
                      <w:t>本期确认的股利收入</w:t>
                    </w:r>
                  </w:p>
                </w:tc>
              </w:sdtContent>
            </w:sdt>
            <w:sdt>
              <w:sdtPr>
                <w:tag w:val="_PLD_201f3d1b1dc448f3b0c2fdecd4f1f963"/>
                <w:id w:val="216096871"/>
                <w:lock w:val="sdtLocked"/>
              </w:sdtPr>
              <w:sdtContent>
                <w:tc>
                  <w:tcPr>
                    <w:tcW w:w="700" w:type="pct"/>
                    <w:vAlign w:val="center"/>
                  </w:tcPr>
                  <w:p w:rsidR="00806678" w:rsidRDefault="00B16377">
                    <w:pPr>
                      <w:jc w:val="center"/>
                      <w:rPr>
                        <w:szCs w:val="21"/>
                      </w:rPr>
                    </w:pPr>
                    <w:r>
                      <w:rPr>
                        <w:rFonts w:hint="eastAsia"/>
                        <w:szCs w:val="21"/>
                      </w:rPr>
                      <w:t>累计利得</w:t>
                    </w:r>
                  </w:p>
                </w:tc>
              </w:sdtContent>
            </w:sdt>
            <w:sdt>
              <w:sdtPr>
                <w:tag w:val="_PLD_e20f4109e8114e79b32bd683e1f624f9"/>
                <w:id w:val="-1239316761"/>
                <w:lock w:val="sdtLocked"/>
              </w:sdtPr>
              <w:sdtContent>
                <w:tc>
                  <w:tcPr>
                    <w:tcW w:w="590" w:type="pct"/>
                    <w:vAlign w:val="center"/>
                  </w:tcPr>
                  <w:p w:rsidR="00806678" w:rsidRDefault="00B16377">
                    <w:pPr>
                      <w:jc w:val="center"/>
                      <w:rPr>
                        <w:szCs w:val="21"/>
                      </w:rPr>
                    </w:pPr>
                    <w:r>
                      <w:rPr>
                        <w:rFonts w:hint="eastAsia"/>
                        <w:szCs w:val="21"/>
                      </w:rPr>
                      <w:t>累计损失</w:t>
                    </w:r>
                  </w:p>
                </w:tc>
              </w:sdtContent>
            </w:sdt>
            <w:sdt>
              <w:sdtPr>
                <w:tag w:val="_PLD_8f2134a1b3ec43ccb867568cb56a86de"/>
                <w:id w:val="-1293745217"/>
                <w:lock w:val="sdtLocked"/>
              </w:sdtPr>
              <w:sdtContent>
                <w:tc>
                  <w:tcPr>
                    <w:tcW w:w="588" w:type="pct"/>
                    <w:vAlign w:val="center"/>
                  </w:tcPr>
                  <w:p w:rsidR="00806678" w:rsidRDefault="00B16377">
                    <w:pPr>
                      <w:jc w:val="center"/>
                      <w:rPr>
                        <w:szCs w:val="21"/>
                      </w:rPr>
                    </w:pPr>
                    <w:r>
                      <w:rPr>
                        <w:rFonts w:hint="eastAsia"/>
                        <w:szCs w:val="21"/>
                      </w:rPr>
                      <w:t>其他综合收益转入留存收益的金额</w:t>
                    </w:r>
                  </w:p>
                </w:tc>
              </w:sdtContent>
            </w:sdt>
            <w:sdt>
              <w:sdtPr>
                <w:tag w:val="_PLD_b5c711ea1e6845a1b26fb2c13357882c"/>
                <w:id w:val="-1333682296"/>
                <w:lock w:val="sdtLocked"/>
              </w:sdtPr>
              <w:sdtContent>
                <w:tc>
                  <w:tcPr>
                    <w:tcW w:w="764" w:type="pct"/>
                  </w:tcPr>
                  <w:p w:rsidR="00806678" w:rsidRDefault="00B16377">
                    <w:pPr>
                      <w:jc w:val="center"/>
                    </w:pPr>
                    <w:r>
                      <w:rPr>
                        <w:rFonts w:hint="eastAsia"/>
                      </w:rPr>
                      <w:t>指定为以公允价值计量且其变动计入其他综合收益的原因</w:t>
                    </w:r>
                  </w:p>
                </w:tc>
              </w:sdtContent>
            </w:sdt>
            <w:sdt>
              <w:sdtPr>
                <w:tag w:val="_PLD_79b8ac256625407da48ae35b42e73f12"/>
                <w:id w:val="-88312518"/>
                <w:lock w:val="sdtLocked"/>
              </w:sdtPr>
              <w:sdtContent>
                <w:tc>
                  <w:tcPr>
                    <w:tcW w:w="652" w:type="pct"/>
                    <w:vAlign w:val="center"/>
                  </w:tcPr>
                  <w:p w:rsidR="00806678" w:rsidRDefault="00B16377">
                    <w:pPr>
                      <w:jc w:val="center"/>
                      <w:rPr>
                        <w:szCs w:val="21"/>
                      </w:rPr>
                    </w:pPr>
                    <w:r>
                      <w:rPr>
                        <w:rFonts w:hint="eastAsia"/>
                      </w:rPr>
                      <w:t>其他综合收益转入留存收益的原因</w:t>
                    </w:r>
                  </w:p>
                </w:tc>
              </w:sdtContent>
            </w:sdt>
          </w:tr>
          <w:sdt>
            <w:sdtPr>
              <w:rPr>
                <w:szCs w:val="21"/>
              </w:rPr>
              <w:alias w:val="非交易性权益工具投资明细"/>
              <w:tag w:val="_TUP_991c5e505207476aa32a4523b109f5f5"/>
              <w:id w:val="153418462"/>
              <w:lock w:val="sdtLocked"/>
            </w:sdtPr>
            <w:sdtContent>
              <w:tr w:rsidR="00806678" w:rsidTr="00453FC6">
                <w:tc>
                  <w:tcPr>
                    <w:tcW w:w="1000" w:type="pct"/>
                  </w:tcPr>
                  <w:p w:rsidR="00806678" w:rsidRDefault="00453FC6">
                    <w:pPr>
                      <w:rPr>
                        <w:szCs w:val="21"/>
                      </w:rPr>
                    </w:pPr>
                    <w:r w:rsidRPr="00453FC6">
                      <w:rPr>
                        <w:rFonts w:hint="eastAsia"/>
                        <w:szCs w:val="21"/>
                      </w:rPr>
                      <w:t>秦皇岛港股份有限公司</w:t>
                    </w:r>
                  </w:p>
                </w:tc>
                <w:tc>
                  <w:tcPr>
                    <w:tcW w:w="706" w:type="pct"/>
                  </w:tcPr>
                  <w:p w:rsidR="00806678" w:rsidRDefault="00453FC6">
                    <w:pPr>
                      <w:jc w:val="right"/>
                      <w:rPr>
                        <w:szCs w:val="21"/>
                      </w:rPr>
                    </w:pPr>
                    <w:r w:rsidRPr="00453FC6">
                      <w:rPr>
                        <w:szCs w:val="21"/>
                      </w:rPr>
                      <w:t>2,394,000</w:t>
                    </w:r>
                  </w:p>
                </w:tc>
                <w:tc>
                  <w:tcPr>
                    <w:tcW w:w="700" w:type="pct"/>
                  </w:tcPr>
                  <w:p w:rsidR="00806678" w:rsidRDefault="00453FC6">
                    <w:pPr>
                      <w:jc w:val="right"/>
                      <w:rPr>
                        <w:szCs w:val="21"/>
                      </w:rPr>
                    </w:pPr>
                    <w:r w:rsidRPr="00453FC6">
                      <w:rPr>
                        <w:szCs w:val="21"/>
                      </w:rPr>
                      <w:t>52,403,803</w:t>
                    </w:r>
                  </w:p>
                </w:tc>
                <w:tc>
                  <w:tcPr>
                    <w:tcW w:w="590" w:type="pct"/>
                  </w:tcPr>
                  <w:p w:rsidR="00806678" w:rsidRDefault="00453FC6">
                    <w:pPr>
                      <w:jc w:val="right"/>
                      <w:rPr>
                        <w:szCs w:val="21"/>
                      </w:rPr>
                    </w:pPr>
                    <w:r>
                      <w:rPr>
                        <w:szCs w:val="21"/>
                      </w:rPr>
                      <w:t>0</w:t>
                    </w:r>
                  </w:p>
                </w:tc>
                <w:tc>
                  <w:tcPr>
                    <w:tcW w:w="588" w:type="pct"/>
                  </w:tcPr>
                  <w:p w:rsidR="00806678" w:rsidRDefault="00453FC6">
                    <w:pPr>
                      <w:jc w:val="right"/>
                      <w:rPr>
                        <w:szCs w:val="21"/>
                      </w:rPr>
                    </w:pPr>
                    <w:r>
                      <w:rPr>
                        <w:szCs w:val="21"/>
                      </w:rPr>
                      <w:t>0</w:t>
                    </w:r>
                  </w:p>
                </w:tc>
                <w:tc>
                  <w:tcPr>
                    <w:tcW w:w="764" w:type="pct"/>
                  </w:tcPr>
                  <w:p w:rsidR="00806678" w:rsidRDefault="00453FC6" w:rsidP="00453FC6">
                    <w:pPr>
                      <w:rPr>
                        <w:szCs w:val="21"/>
                      </w:rPr>
                    </w:pPr>
                    <w:r w:rsidRPr="00453FC6">
                      <w:rPr>
                        <w:rFonts w:hint="eastAsia"/>
                        <w:szCs w:val="21"/>
                      </w:rPr>
                      <w:t>出于战略目的而计划长期持有</w:t>
                    </w:r>
                  </w:p>
                </w:tc>
                <w:tc>
                  <w:tcPr>
                    <w:tcW w:w="652" w:type="pct"/>
                  </w:tcPr>
                  <w:p w:rsidR="00806678" w:rsidRDefault="00453FC6">
                    <w:pPr>
                      <w:rPr>
                        <w:szCs w:val="21"/>
                      </w:rPr>
                    </w:pPr>
                    <w:r>
                      <w:rPr>
                        <w:rFonts w:hint="eastAsia"/>
                        <w:szCs w:val="21"/>
                      </w:rPr>
                      <w:t>/</w:t>
                    </w:r>
                  </w:p>
                </w:tc>
              </w:tr>
            </w:sdtContent>
          </w:sdt>
        </w:tbl>
        <w:p w:rsidR="00806678" w:rsidRDefault="00F80B6C">
          <w:pPr>
            <w:rPr>
              <w:color w:val="333333"/>
              <w:szCs w:val="21"/>
            </w:rPr>
          </w:pPr>
        </w:p>
        <w:bookmarkEnd w:id="198" w:displacedByCustomXml="next"/>
      </w:sdtContent>
    </w:sdt>
    <w:bookmarkEnd w:id="199" w:displacedByCustomXml="prev"/>
    <w:sdt>
      <w:sdtPr>
        <w:rPr>
          <w:rFonts w:hint="eastAsia"/>
        </w:rPr>
        <w:alias w:val="模块:其他权益工具投资其他说明"/>
        <w:tag w:val="_SEC_646eb5e4608348a5bc5c6dea7ef6971a"/>
        <w:id w:val="348534464"/>
        <w:lock w:val="sdtLocked"/>
        <w:placeholder>
          <w:docPart w:val="GBC22222222222222222222222222222"/>
        </w:placeholder>
      </w:sdtPr>
      <w:sdtEndPr>
        <w:rPr>
          <w:rFonts w:hint="default"/>
          <w:szCs w:val="21"/>
        </w:rPr>
      </w:sdtEndPr>
      <w:sdtContent>
        <w:p w:rsidR="00806678" w:rsidRDefault="00B16377">
          <w:r>
            <w:rPr>
              <w:rFonts w:hint="eastAsia"/>
            </w:rPr>
            <w:t>其他</w:t>
          </w:r>
          <w:r>
            <w:t>说明</w:t>
          </w:r>
          <w:r>
            <w:rPr>
              <w:rFonts w:hint="eastAsia"/>
            </w:rPr>
            <w:t>：</w:t>
          </w:r>
        </w:p>
        <w:sdt>
          <w:sdtPr>
            <w:alias w:val="是否适用：其他权益工具投资其他说明[双击切换]"/>
            <w:tag w:val="_GBC_217dff5073ff4a12b86d342292038452"/>
            <w:id w:val="-1237774846"/>
            <w:lock w:val="sdtLocked"/>
            <w:placeholder>
              <w:docPart w:val="GBC22222222222222222222222222222"/>
            </w:placeholder>
          </w:sdtPr>
          <w:sdtContent>
            <w:p w:rsidR="00806678" w:rsidRDefault="00F80B6C" w:rsidP="00453FC6">
              <w:pPr>
                <w:rPr>
                  <w:szCs w:val="21"/>
                </w:rPr>
              </w:pPr>
              <w:r>
                <w:fldChar w:fldCharType="begin"/>
              </w:r>
              <w:r w:rsidR="00453FC6">
                <w:instrText xml:space="preserve"> MACROBUTTON  SnrToggleCheckbox □适用 </w:instrText>
              </w:r>
              <w:r>
                <w:fldChar w:fldCharType="end"/>
              </w:r>
              <w:r>
                <w:fldChar w:fldCharType="begin"/>
              </w:r>
              <w:r w:rsidR="00453FC6">
                <w:instrText xml:space="preserve"> MACROBUTTON  SnrToggleCheckbox √不适用 </w:instrText>
              </w:r>
              <w:r>
                <w:fldChar w:fldCharType="end"/>
              </w:r>
            </w:p>
          </w:sdtContent>
        </w:sdt>
        <w:p w:rsidR="00806678" w:rsidRDefault="00F80B6C">
          <w:pPr>
            <w:snapToGrid w:val="0"/>
            <w:spacing w:line="240" w:lineRule="atLeast"/>
            <w:rPr>
              <w:szCs w:val="21"/>
            </w:rPr>
          </w:pPr>
        </w:p>
      </w:sdtContent>
    </w:sdt>
    <w:bookmarkStart w:id="200" w:name="_Hlk533409746" w:displacedByCustomXml="next"/>
    <w:sdt>
      <w:sdtPr>
        <w:rPr>
          <w:rFonts w:ascii="宋体" w:hAnsi="宋体" w:cs="宋体" w:hint="eastAsia"/>
          <w:b w:val="0"/>
          <w:bCs w:val="0"/>
          <w:kern w:val="0"/>
          <w:szCs w:val="21"/>
        </w:rPr>
        <w:alias w:val="模块:其他非流动金融资产"/>
        <w:tag w:val="_SEC_d085182d12d941b88dd5666cf5452533"/>
        <w:id w:val="1605225434"/>
        <w:lock w:val="sdtLocked"/>
        <w:placeholder>
          <w:docPart w:val="GBC22222222222222222222222222222"/>
        </w:placeholder>
      </w:sdtPr>
      <w:sdtEndPr>
        <w:rPr>
          <w:rFonts w:hint="default"/>
          <w:szCs w:val="24"/>
        </w:rPr>
      </w:sdtEndPr>
      <w:sdtContent>
        <w:p w:rsidR="00806678" w:rsidRDefault="00B16377" w:rsidP="00FF17C7">
          <w:pPr>
            <w:pStyle w:val="3"/>
            <w:numPr>
              <w:ilvl w:val="0"/>
              <w:numId w:val="18"/>
            </w:numPr>
            <w:tabs>
              <w:tab w:val="left" w:pos="504"/>
            </w:tabs>
            <w:rPr>
              <w:szCs w:val="21"/>
            </w:rPr>
          </w:pPr>
          <w:r>
            <w:rPr>
              <w:rFonts w:hint="eastAsia"/>
              <w:szCs w:val="21"/>
            </w:rPr>
            <w:t>其他非流动金融资产</w:t>
          </w:r>
        </w:p>
        <w:sdt>
          <w:sdtPr>
            <w:alias w:val="是否适用：其他非流动金融资产[双击切换]"/>
            <w:tag w:val="_GBC_6b599068045d444b87b686a3b6690bf1"/>
            <w:id w:val="867652191"/>
            <w:lock w:val="sdtLocked"/>
            <w:placeholder>
              <w:docPart w:val="GBC22222222222222222222222222222"/>
            </w:placeholder>
          </w:sdtPr>
          <w:sdtContent>
            <w:p w:rsidR="00806678" w:rsidRDefault="00F80B6C" w:rsidP="00453FC6">
              <w:r>
                <w:fldChar w:fldCharType="begin"/>
              </w:r>
              <w:r w:rsidR="00453FC6">
                <w:instrText xml:space="preserve"> MACROBUTTON  SnrToggleCheckbox □适用 </w:instrText>
              </w:r>
              <w:r>
                <w:fldChar w:fldCharType="end"/>
              </w:r>
              <w:r>
                <w:fldChar w:fldCharType="begin"/>
              </w:r>
              <w:r w:rsidR="00453FC6">
                <w:instrText xml:space="preserve"> MACROBUTTON  SnrToggleCheckbox √不适用 </w:instrText>
              </w:r>
              <w:r>
                <w:fldChar w:fldCharType="end"/>
              </w:r>
            </w:p>
          </w:sdtContent>
        </w:sdt>
      </w:sdtContent>
    </w:sdt>
    <w:bookmarkEnd w:id="200" w:displacedByCustomXml="next"/>
    <w:sdt>
      <w:sdtPr>
        <w:rPr>
          <w:rFonts w:hint="eastAsia"/>
        </w:rPr>
        <w:alias w:val="模块:其他非流动金融资产其他说明"/>
        <w:tag w:val="_SEC_93f7cfdc7a9549c68b787aff064a41f3"/>
        <w:id w:val="-1977137727"/>
        <w:lock w:val="sdtLocked"/>
        <w:placeholder>
          <w:docPart w:val="GBC22222222222222222222222222222"/>
        </w:placeholder>
      </w:sdtPr>
      <w:sdtEndPr>
        <w:rPr>
          <w:rFonts w:hint="default"/>
          <w:szCs w:val="21"/>
        </w:rPr>
      </w:sdtEndPr>
      <w:sdtContent>
        <w:p w:rsidR="00806678" w:rsidRDefault="00B16377">
          <w:r>
            <w:rPr>
              <w:rFonts w:hint="eastAsia"/>
            </w:rPr>
            <w:t>其他</w:t>
          </w:r>
          <w:r>
            <w:t>说明</w:t>
          </w:r>
          <w:r>
            <w:rPr>
              <w:rFonts w:hint="eastAsia"/>
            </w:rPr>
            <w:t>：</w:t>
          </w:r>
        </w:p>
        <w:sdt>
          <w:sdtPr>
            <w:rPr>
              <w:szCs w:val="21"/>
            </w:rPr>
            <w:alias w:val="是否适用：其他非流动金融资产其他说明[双击切换]"/>
            <w:tag w:val="_GBC_037912ebdd3b4e80b4b66cf88f8cb3e7"/>
            <w:id w:val="40488981"/>
            <w:lock w:val="sdtLocked"/>
            <w:placeholder>
              <w:docPart w:val="GBC22222222222222222222222222222"/>
            </w:placeholder>
          </w:sdtPr>
          <w:sdtContent>
            <w:p w:rsidR="00806678" w:rsidRDefault="00F80B6C" w:rsidP="00453FC6">
              <w:pPr>
                <w:rPr>
                  <w:szCs w:val="21"/>
                </w:rPr>
              </w:pPr>
              <w:r>
                <w:rPr>
                  <w:szCs w:val="21"/>
                </w:rPr>
                <w:fldChar w:fldCharType="begin"/>
              </w:r>
              <w:r w:rsidR="00453FC6">
                <w:rPr>
                  <w:szCs w:val="21"/>
                </w:rPr>
                <w:instrText xml:space="preserve"> MACROBUTTON  SnrToggleCheckbox □适用 </w:instrText>
              </w:r>
              <w:r>
                <w:rPr>
                  <w:szCs w:val="21"/>
                </w:rPr>
                <w:fldChar w:fldCharType="end"/>
              </w:r>
              <w:r>
                <w:rPr>
                  <w:szCs w:val="21"/>
                </w:rPr>
                <w:fldChar w:fldCharType="begin"/>
              </w:r>
              <w:r w:rsidR="00453FC6">
                <w:rPr>
                  <w:szCs w:val="21"/>
                </w:rPr>
                <w:instrText xml:space="preserve"> MACROBUTTON  SnrToggleCheckbox √不适用 </w:instrText>
              </w:r>
              <w:r>
                <w:rPr>
                  <w:szCs w:val="21"/>
                </w:rPr>
                <w:fldChar w:fldCharType="end"/>
              </w:r>
            </w:p>
          </w:sdtContent>
        </w:sdt>
        <w:p w:rsidR="00806678" w:rsidRDefault="00F80B6C">
          <w:pPr>
            <w:snapToGrid w:val="0"/>
            <w:spacing w:line="240" w:lineRule="atLeast"/>
            <w:rPr>
              <w:szCs w:val="21"/>
            </w:rPr>
          </w:pPr>
        </w:p>
      </w:sdtContent>
    </w:sdt>
    <w:p w:rsidR="00806678" w:rsidRDefault="00B16377" w:rsidP="00FF17C7">
      <w:pPr>
        <w:pStyle w:val="3"/>
        <w:numPr>
          <w:ilvl w:val="0"/>
          <w:numId w:val="18"/>
        </w:numPr>
        <w:tabs>
          <w:tab w:val="left" w:pos="504"/>
        </w:tabs>
        <w:rPr>
          <w:rFonts w:ascii="宋体" w:hAnsi="宋体"/>
          <w:szCs w:val="21"/>
        </w:rPr>
      </w:pPr>
      <w:r>
        <w:rPr>
          <w:rFonts w:ascii="宋体" w:hAnsi="宋体" w:hint="eastAsia"/>
          <w:szCs w:val="21"/>
        </w:rPr>
        <w:t>投资性房地产</w:t>
      </w:r>
    </w:p>
    <w:p w:rsidR="00806678" w:rsidRDefault="00B16377">
      <w:r>
        <w:t>投资性房地产</w:t>
      </w:r>
      <w:r>
        <w:rPr>
          <w:rFonts w:hint="eastAsia"/>
        </w:rPr>
        <w:t>计量模式</w:t>
      </w:r>
    </w:p>
    <w:sdt>
      <w:sdtPr>
        <w:rPr>
          <w:rFonts w:hint="eastAsia"/>
        </w:rPr>
        <w:tag w:val="_SEC_a051cc5b16ae41feb35dbabfee3cadf5"/>
        <w:id w:val="1767804344"/>
        <w:lock w:val="sdtLocked"/>
        <w:placeholder>
          <w:docPart w:val="GBC22222222222222222222222222222"/>
        </w:placeholder>
      </w:sdtPr>
      <w:sdtEndPr>
        <w:rPr>
          <w:rFonts w:cstheme="minorBidi"/>
          <w:kern w:val="2"/>
          <w:szCs w:val="21"/>
        </w:rPr>
      </w:sdtEndPr>
      <w:sdtContent>
        <w:p w:rsidR="00B1561D" w:rsidRDefault="00B1561D" w:rsidP="004B4952">
          <w:pPr>
            <w:ind w:right="283"/>
            <w:rPr>
              <w:szCs w:val="21"/>
            </w:rPr>
          </w:pPr>
          <w:r>
            <w:rPr>
              <w:rFonts w:hint="eastAsia"/>
              <w:szCs w:val="21"/>
            </w:rPr>
            <w:t>不</w:t>
          </w:r>
          <w:sdt>
            <w:sdtPr>
              <w:rPr>
                <w:rFonts w:hint="eastAsia"/>
                <w:szCs w:val="21"/>
              </w:rPr>
              <w:tag w:val="_PLD_7a7d0f2fe5d842cc9e995195f6b5e433"/>
              <w:id w:val="646867597"/>
              <w:lock w:val="sdtLocked"/>
            </w:sdtPr>
            <w:sdtContent>
              <w:r>
                <w:rPr>
                  <w:rFonts w:hint="eastAsia"/>
                  <w:szCs w:val="21"/>
                </w:rPr>
                <w:t>适</w:t>
              </w:r>
            </w:sdtContent>
          </w:sdt>
          <w:r>
            <w:rPr>
              <w:rFonts w:hint="eastAsia"/>
              <w:szCs w:val="21"/>
            </w:rPr>
            <w:t>用</w:t>
          </w:r>
        </w:p>
        <w:p w:rsidR="00806678" w:rsidRPr="001B04FD" w:rsidRDefault="00F80B6C" w:rsidP="0020440C">
          <w:pPr>
            <w:ind w:right="283"/>
            <w:rPr>
              <w:szCs w:val="21"/>
            </w:rPr>
          </w:pPr>
        </w:p>
      </w:sdtContent>
    </w:sdt>
    <w:sdt>
      <w:sdtPr>
        <w:rPr>
          <w:rFonts w:ascii="宋体" w:hAnsi="宋体" w:cs="宋体" w:hint="eastAsia"/>
          <w:b w:val="0"/>
          <w:bCs w:val="0"/>
          <w:kern w:val="0"/>
          <w:szCs w:val="21"/>
        </w:rPr>
        <w:alias w:val="模块:固定资产"/>
        <w:tag w:val="_SEC_5a2e9b07ae1e469294cb2be5aaf61c28"/>
        <w:id w:val="-171488884"/>
        <w:lock w:val="sdtLocked"/>
        <w:placeholder>
          <w:docPart w:val="GBC22222222222222222222222222222"/>
        </w:placeholder>
      </w:sdtPr>
      <w:sdtEndPr>
        <w:rPr>
          <w:rFonts w:hint="default"/>
          <w:szCs w:val="24"/>
        </w:rPr>
      </w:sdtEndPr>
      <w:sdtContent>
        <w:p w:rsidR="00806678" w:rsidRDefault="00B16377" w:rsidP="00FF17C7">
          <w:pPr>
            <w:pStyle w:val="3"/>
            <w:numPr>
              <w:ilvl w:val="0"/>
              <w:numId w:val="18"/>
            </w:numPr>
            <w:tabs>
              <w:tab w:val="left" w:pos="504"/>
            </w:tabs>
            <w:rPr>
              <w:rFonts w:ascii="宋体" w:hAnsi="宋体"/>
              <w:szCs w:val="21"/>
            </w:rPr>
          </w:pPr>
          <w:r>
            <w:rPr>
              <w:rFonts w:ascii="宋体" w:hAnsi="宋体" w:hint="eastAsia"/>
              <w:szCs w:val="21"/>
            </w:rPr>
            <w:t>固定资产</w:t>
          </w:r>
        </w:p>
        <w:p w:rsidR="00806678" w:rsidRDefault="00B16377">
          <w:pPr>
            <w:pStyle w:val="4"/>
          </w:pPr>
          <w:bookmarkStart w:id="201" w:name="_Hlk532907583"/>
          <w:r>
            <w:rPr>
              <w:rFonts w:hint="eastAsia"/>
            </w:rPr>
            <w:t>项目列示</w:t>
          </w:r>
        </w:p>
        <w:sdt>
          <w:sdtPr>
            <w:alias w:val="是否适用：固定资产分类列示[双击切换]"/>
            <w:tag w:val="_GBC_aa56cf68790e4b9d866b3ea7d6d8073d"/>
            <w:id w:val="-1475679241"/>
            <w:lock w:val="sdtLocked"/>
            <w:placeholder>
              <w:docPart w:val="GBC22222222222222222222222222222"/>
            </w:placeholder>
          </w:sdtPr>
          <w:sdtContent>
            <w:p w:rsidR="00806678" w:rsidRDefault="00F80B6C" w:rsidP="00453FC6">
              <w:pPr>
                <w:rPr>
                  <w:b/>
                </w:rPr>
              </w:pPr>
              <w:r>
                <w:fldChar w:fldCharType="begin"/>
              </w:r>
              <w:r w:rsidR="00453FC6">
                <w:instrText xml:space="preserve"> MACROBUTTON  SnrToggleCheckbox □适用 </w:instrText>
              </w:r>
              <w:r>
                <w:fldChar w:fldCharType="end"/>
              </w:r>
              <w:r>
                <w:fldChar w:fldCharType="begin"/>
              </w:r>
              <w:r w:rsidR="00453FC6">
                <w:instrText xml:space="preserve"> MACROBUTTON  SnrToggleCheckbox √不适用 </w:instrText>
              </w:r>
              <w:r>
                <w:fldChar w:fldCharType="end"/>
              </w:r>
            </w:p>
          </w:sdtContent>
        </w:sdt>
        <w:bookmarkEnd w:id="201" w:displacedByCustomXml="next"/>
      </w:sdtContent>
    </w:sdt>
    <w:sdt>
      <w:sdtPr>
        <w:rPr>
          <w:rFonts w:hint="eastAsia"/>
          <w:szCs w:val="21"/>
        </w:rPr>
        <w:alias w:val="模块:固定资产分类列示其他说明"/>
        <w:tag w:val="_SEC_5797700860144c4b9ca0b9b62b2dc148"/>
        <w:id w:val="1490828281"/>
        <w:lock w:val="sdtLocked"/>
        <w:placeholder>
          <w:docPart w:val="GBC22222222222222222222222222222"/>
        </w:placeholder>
      </w:sdtPr>
      <w:sdtEndPr>
        <w:rPr>
          <w:rFonts w:hint="default"/>
        </w:rPr>
      </w:sdtEndPr>
      <w:sdtContent>
        <w:p w:rsidR="00806678" w:rsidRDefault="00B16377">
          <w:pPr>
            <w:rPr>
              <w:szCs w:val="21"/>
            </w:rPr>
          </w:pPr>
          <w:r>
            <w:rPr>
              <w:rFonts w:hint="eastAsia"/>
              <w:szCs w:val="21"/>
            </w:rPr>
            <w:t>其他说明：</w:t>
          </w:r>
        </w:p>
        <w:sdt>
          <w:sdtPr>
            <w:rPr>
              <w:szCs w:val="21"/>
            </w:rPr>
            <w:alias w:val="是否适用：固定资产分类列示其他说明[双击切换]"/>
            <w:tag w:val="_GBC_242c272ba3a1435aacea1f45ade5a2e0"/>
            <w:id w:val="-1318874210"/>
            <w:lock w:val="sdtLocked"/>
            <w:placeholder>
              <w:docPart w:val="GBC22222222222222222222222222222"/>
            </w:placeholder>
          </w:sdtPr>
          <w:sdtContent>
            <w:p w:rsidR="00453FC6" w:rsidRDefault="00F80B6C" w:rsidP="00453FC6">
              <w:r>
                <w:rPr>
                  <w:szCs w:val="21"/>
                </w:rPr>
                <w:fldChar w:fldCharType="begin"/>
              </w:r>
              <w:r w:rsidR="00453FC6">
                <w:rPr>
                  <w:szCs w:val="21"/>
                </w:rPr>
                <w:instrText xml:space="preserve"> MACROBUTTON  SnrToggleCheckbox □适用 </w:instrText>
              </w:r>
              <w:r>
                <w:rPr>
                  <w:szCs w:val="21"/>
                </w:rPr>
                <w:fldChar w:fldCharType="end"/>
              </w:r>
              <w:r>
                <w:rPr>
                  <w:szCs w:val="21"/>
                </w:rPr>
                <w:fldChar w:fldCharType="begin"/>
              </w:r>
              <w:r w:rsidR="00453FC6">
                <w:rPr>
                  <w:szCs w:val="21"/>
                </w:rPr>
                <w:instrText xml:space="preserve"> MACROBUTTON  SnrToggleCheckbox √不适用 </w:instrText>
              </w:r>
              <w:r>
                <w:rPr>
                  <w:szCs w:val="21"/>
                </w:rPr>
                <w:fldChar w:fldCharType="end"/>
              </w:r>
            </w:p>
          </w:sdtContent>
        </w:sdt>
        <w:p w:rsidR="00806678" w:rsidRDefault="00F80B6C" w:rsidP="00453FC6">
          <w:pPr>
            <w:rPr>
              <w:szCs w:val="21"/>
            </w:rPr>
          </w:pPr>
        </w:p>
      </w:sdtContent>
    </w:sdt>
    <w:p w:rsidR="000A517F" w:rsidRDefault="000A517F">
      <w:pPr>
        <w:rPr>
          <w:szCs w:val="21"/>
        </w:rPr>
        <w:sectPr w:rsidR="000A517F" w:rsidSect="00F41343">
          <w:pgSz w:w="11906" w:h="16838"/>
          <w:pgMar w:top="1440" w:right="1797" w:bottom="1525" w:left="1276" w:header="856" w:footer="992" w:gutter="0"/>
          <w:cols w:space="425"/>
          <w:docGrid w:type="lines" w:linePitch="312"/>
        </w:sectPr>
      </w:pPr>
    </w:p>
    <w:p w:rsidR="00806678" w:rsidRDefault="00806678">
      <w:pPr>
        <w:rPr>
          <w:szCs w:val="21"/>
        </w:rPr>
      </w:pPr>
    </w:p>
    <w:p w:rsidR="00806678" w:rsidRDefault="00B16377">
      <w:pPr>
        <w:pStyle w:val="4"/>
        <w:ind w:left="360" w:hanging="360"/>
      </w:pPr>
      <w:r>
        <w:rPr>
          <w:rFonts w:hint="eastAsia"/>
        </w:rPr>
        <w:t>固定资产</w:t>
      </w:r>
    </w:p>
    <w:sdt>
      <w:sdtPr>
        <w:rPr>
          <w:rFonts w:ascii="宋体" w:eastAsia="宋体" w:hAnsi="宋体" w:cs="宋体" w:hint="eastAsia"/>
          <w:b w:val="0"/>
          <w:bCs w:val="0"/>
          <w:kern w:val="0"/>
          <w:szCs w:val="24"/>
        </w:rPr>
        <w:alias w:val="模块:固定资产情况"/>
        <w:tag w:val="_SEC_b17fc34a023f4384a425600555740cb6"/>
        <w:id w:val="-1268379422"/>
        <w:lock w:val="sdtLocked"/>
        <w:placeholder>
          <w:docPart w:val="GBC22222222222222222222222222222"/>
        </w:placeholder>
      </w:sdtPr>
      <w:sdtEndPr>
        <w:rPr>
          <w:rFonts w:cstheme="minorBidi"/>
          <w:kern w:val="2"/>
          <w:szCs w:val="21"/>
        </w:rPr>
      </w:sdtEndPr>
      <w:sdtContent>
        <w:p w:rsidR="00806678" w:rsidRDefault="00B16377" w:rsidP="00FF17C7">
          <w:pPr>
            <w:pStyle w:val="4"/>
            <w:numPr>
              <w:ilvl w:val="3"/>
              <w:numId w:val="85"/>
            </w:numPr>
            <w:ind w:left="426" w:hanging="426"/>
          </w:pPr>
          <w:r>
            <w:rPr>
              <w:rFonts w:hint="eastAsia"/>
            </w:rPr>
            <w:t>固定资产情况</w:t>
          </w:r>
        </w:p>
        <w:sdt>
          <w:sdtPr>
            <w:alias w:val="是否适用：固定资产情况[双击切换]"/>
            <w:tag w:val="_GBC_a44afb7019ae43b7a273970cf76154a3"/>
            <w:id w:val="250170551"/>
            <w:lock w:val="sdtLocked"/>
            <w:placeholder>
              <w:docPart w:val="GBC22222222222222222222222222222"/>
            </w:placeholder>
          </w:sdtPr>
          <w:sdtContent>
            <w:p w:rsidR="00806678" w:rsidRDefault="00F80B6C">
              <w:r>
                <w:fldChar w:fldCharType="begin"/>
              </w:r>
              <w:r w:rsidR="00453FC6">
                <w:instrText xml:space="preserve">MACROBUTTON  SnrToggleCheckbox √适用 </w:instrText>
              </w:r>
              <w:r>
                <w:fldChar w:fldCharType="end"/>
              </w:r>
              <w:r>
                <w:fldChar w:fldCharType="begin"/>
              </w:r>
              <w:r w:rsidR="00453FC6">
                <w:instrText xml:space="preserve"> MACROBUTTON  SnrToggleCheckbox □不适用 </w:instrText>
              </w:r>
              <w:r>
                <w:fldChar w:fldCharType="end"/>
              </w:r>
            </w:p>
          </w:sdtContent>
        </w:sdt>
        <w:p w:rsidR="00806678" w:rsidRDefault="00B16377">
          <w:pPr>
            <w:autoSpaceDE w:val="0"/>
            <w:autoSpaceDN w:val="0"/>
            <w:adjustRightInd w:val="0"/>
            <w:jc w:val="right"/>
            <w:rPr>
              <w:szCs w:val="21"/>
            </w:rPr>
          </w:pPr>
          <w:r>
            <w:rPr>
              <w:rFonts w:hint="eastAsia"/>
              <w:szCs w:val="21"/>
            </w:rPr>
            <w:t>单位：</w:t>
          </w:r>
          <w:sdt>
            <w:sdtPr>
              <w:rPr>
                <w:rFonts w:hint="eastAsia"/>
                <w:szCs w:val="21"/>
              </w:rPr>
              <w:alias w:val="单位：财务附注：固定资产情况"/>
              <w:tag w:val="_GBC_6aff6dff3e7c47e2891bcccce5ef5b8c"/>
              <w:id w:val="-29236982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固定资产情况"/>
              <w:tag w:val="_GBC_acfb726ad8bc4e37a6326a98b903d495"/>
              <w:id w:val="110746741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161" w:type="pct"/>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tblPr>
          <w:tblGrid>
            <w:gridCol w:w="1843"/>
            <w:gridCol w:w="1132"/>
            <w:gridCol w:w="1132"/>
            <w:gridCol w:w="1278"/>
            <w:gridCol w:w="1132"/>
            <w:gridCol w:w="1135"/>
            <w:gridCol w:w="1129"/>
            <w:gridCol w:w="1074"/>
            <w:gridCol w:w="1176"/>
            <w:gridCol w:w="1176"/>
            <w:gridCol w:w="1176"/>
            <w:gridCol w:w="1170"/>
          </w:tblGrid>
          <w:tr w:rsidR="00E27B33" w:rsidTr="00B1561D">
            <w:sdt>
              <w:sdtPr>
                <w:rPr>
                  <w:sz w:val="12"/>
                  <w:szCs w:val="12"/>
                </w:rPr>
                <w:tag w:val="_PLD_0431b88b9ff14ebb90e5715c273e1c1d"/>
                <w:id w:val="1960218949"/>
                <w:lock w:val="sdtLocked"/>
              </w:sdtPr>
              <w:sdtContent>
                <w:tc>
                  <w:tcPr>
                    <w:tcW w:w="633" w:type="pct"/>
                    <w:shd w:val="clear" w:color="auto" w:fill="auto"/>
                    <w:vAlign w:val="center"/>
                  </w:tcPr>
                  <w:p w:rsidR="00213BC9" w:rsidRPr="00213BC9" w:rsidRDefault="00213BC9" w:rsidP="00601D47">
                    <w:pPr>
                      <w:jc w:val="center"/>
                      <w:rPr>
                        <w:sz w:val="12"/>
                        <w:szCs w:val="12"/>
                      </w:rPr>
                    </w:pPr>
                    <w:r w:rsidRPr="00213BC9">
                      <w:rPr>
                        <w:rFonts w:hint="eastAsia"/>
                        <w:sz w:val="12"/>
                        <w:szCs w:val="12"/>
                      </w:rPr>
                      <w:t>项目</w:t>
                    </w:r>
                  </w:p>
                </w:tc>
              </w:sdtContent>
            </w:sdt>
            <w:sdt>
              <w:sdtPr>
                <w:rPr>
                  <w:rFonts w:hint="eastAsia"/>
                  <w:sz w:val="12"/>
                  <w:szCs w:val="12"/>
                </w:rPr>
                <w:alias w:val="固定资产情况明细-项目名称"/>
                <w:tag w:val="_GBC_d421638fcfb34bbba0e548b4cb719a06"/>
                <w:id w:val="1760494365"/>
                <w:lock w:val="sdtLocked"/>
                <w:text/>
              </w:sdtPr>
              <w:sdtContent>
                <w:tc>
                  <w:tcPr>
                    <w:tcW w:w="389" w:type="pct"/>
                    <w:shd w:val="clear" w:color="auto" w:fill="auto"/>
                    <w:vAlign w:val="center"/>
                  </w:tcPr>
                  <w:p w:rsidR="00213BC9" w:rsidRPr="00213BC9" w:rsidRDefault="00213BC9" w:rsidP="00601D47">
                    <w:pPr>
                      <w:jc w:val="center"/>
                      <w:rPr>
                        <w:sz w:val="12"/>
                        <w:szCs w:val="12"/>
                      </w:rPr>
                    </w:pPr>
                    <w:r w:rsidRPr="00213BC9">
                      <w:rPr>
                        <w:rFonts w:hint="eastAsia"/>
                        <w:sz w:val="12"/>
                        <w:szCs w:val="12"/>
                      </w:rPr>
                      <w:t>房屋及建筑物</w:t>
                    </w:r>
                  </w:p>
                </w:tc>
              </w:sdtContent>
            </w:sdt>
            <w:sdt>
              <w:sdtPr>
                <w:rPr>
                  <w:rFonts w:hint="eastAsia"/>
                  <w:sz w:val="12"/>
                  <w:szCs w:val="12"/>
                </w:rPr>
                <w:alias w:val="固定资产情况明细-项目名称"/>
                <w:tag w:val="_GBC_d421638fcfb34bbba0e548b4cb719a06"/>
                <w:id w:val="-1186670830"/>
                <w:lock w:val="sdtLocked"/>
                <w:text/>
              </w:sdtPr>
              <w:sdtContent>
                <w:tc>
                  <w:tcPr>
                    <w:tcW w:w="389" w:type="pct"/>
                    <w:shd w:val="clear" w:color="auto" w:fill="auto"/>
                    <w:vAlign w:val="center"/>
                  </w:tcPr>
                  <w:p w:rsidR="00213BC9" w:rsidRPr="00213BC9" w:rsidRDefault="00213BC9" w:rsidP="00601D47">
                    <w:pPr>
                      <w:jc w:val="center"/>
                      <w:rPr>
                        <w:sz w:val="12"/>
                        <w:szCs w:val="12"/>
                      </w:rPr>
                    </w:pPr>
                    <w:r w:rsidRPr="00213BC9">
                      <w:rPr>
                        <w:rFonts w:hint="eastAsia"/>
                        <w:sz w:val="12"/>
                        <w:szCs w:val="12"/>
                      </w:rPr>
                      <w:t>机车车辆</w:t>
                    </w:r>
                  </w:p>
                </w:tc>
              </w:sdtContent>
            </w:sdt>
            <w:sdt>
              <w:sdtPr>
                <w:rPr>
                  <w:rFonts w:hint="eastAsia"/>
                  <w:sz w:val="12"/>
                  <w:szCs w:val="12"/>
                </w:rPr>
                <w:alias w:val="固定资产情况明细-项目名称"/>
                <w:tag w:val="_GBC_d421638fcfb34bbba0e548b4cb719a06"/>
                <w:id w:val="822315094"/>
                <w:lock w:val="sdtLocked"/>
                <w:text/>
              </w:sdtPr>
              <w:sdtContent>
                <w:tc>
                  <w:tcPr>
                    <w:tcW w:w="439" w:type="pct"/>
                    <w:shd w:val="clear" w:color="auto" w:fill="auto"/>
                    <w:vAlign w:val="center"/>
                  </w:tcPr>
                  <w:p w:rsidR="00213BC9" w:rsidRPr="00213BC9" w:rsidRDefault="00213BC9" w:rsidP="00601D47">
                    <w:pPr>
                      <w:jc w:val="center"/>
                      <w:rPr>
                        <w:sz w:val="12"/>
                        <w:szCs w:val="12"/>
                      </w:rPr>
                    </w:pPr>
                    <w:r w:rsidRPr="00213BC9">
                      <w:rPr>
                        <w:rFonts w:hint="eastAsia"/>
                        <w:sz w:val="12"/>
                        <w:szCs w:val="12"/>
                      </w:rPr>
                      <w:t>路基、桥梁、隧道、道口、涵、轨道、道岔和其他线路资产</w:t>
                    </w:r>
                  </w:p>
                </w:tc>
              </w:sdtContent>
            </w:sdt>
            <w:sdt>
              <w:sdtPr>
                <w:rPr>
                  <w:rFonts w:hint="eastAsia"/>
                  <w:sz w:val="12"/>
                  <w:szCs w:val="12"/>
                </w:rPr>
                <w:alias w:val="固定资产情况明细-项目名称"/>
                <w:tag w:val="_GBC_d421638fcfb34bbba0e548b4cb719a06"/>
                <w:id w:val="-1497947572"/>
                <w:lock w:val="sdtLocked"/>
                <w:text/>
              </w:sdtPr>
              <w:sdtContent>
                <w:tc>
                  <w:tcPr>
                    <w:tcW w:w="389" w:type="pct"/>
                    <w:shd w:val="clear" w:color="auto" w:fill="auto"/>
                    <w:vAlign w:val="center"/>
                  </w:tcPr>
                  <w:p w:rsidR="00213BC9" w:rsidRPr="00213BC9" w:rsidRDefault="00213BC9" w:rsidP="00601D47">
                    <w:pPr>
                      <w:jc w:val="center"/>
                      <w:rPr>
                        <w:sz w:val="12"/>
                        <w:szCs w:val="12"/>
                      </w:rPr>
                    </w:pPr>
                    <w:r w:rsidRPr="00213BC9">
                      <w:rPr>
                        <w:rFonts w:hint="eastAsia"/>
                        <w:sz w:val="12"/>
                        <w:szCs w:val="12"/>
                      </w:rPr>
                      <w:t>通信信号设备</w:t>
                    </w:r>
                  </w:p>
                </w:tc>
              </w:sdtContent>
            </w:sdt>
            <w:sdt>
              <w:sdtPr>
                <w:rPr>
                  <w:rFonts w:hint="eastAsia"/>
                  <w:sz w:val="12"/>
                  <w:szCs w:val="12"/>
                </w:rPr>
                <w:alias w:val="固定资产情况明细-项目名称"/>
                <w:tag w:val="_GBC_d421638fcfb34bbba0e548b4cb719a06"/>
                <w:id w:val="206850613"/>
                <w:lock w:val="sdtLocked"/>
                <w:text/>
              </w:sdtPr>
              <w:sdtContent>
                <w:tc>
                  <w:tcPr>
                    <w:tcW w:w="390" w:type="pct"/>
                    <w:shd w:val="clear" w:color="auto" w:fill="auto"/>
                    <w:vAlign w:val="center"/>
                  </w:tcPr>
                  <w:p w:rsidR="00213BC9" w:rsidRPr="00213BC9" w:rsidRDefault="00213BC9" w:rsidP="00601D47">
                    <w:pPr>
                      <w:jc w:val="center"/>
                      <w:rPr>
                        <w:sz w:val="12"/>
                        <w:szCs w:val="12"/>
                      </w:rPr>
                    </w:pPr>
                    <w:r w:rsidRPr="00213BC9">
                      <w:rPr>
                        <w:rFonts w:hint="eastAsia"/>
                        <w:sz w:val="12"/>
                        <w:szCs w:val="12"/>
                      </w:rPr>
                      <w:t>电气化供电系统</w:t>
                    </w:r>
                  </w:p>
                </w:tc>
              </w:sdtContent>
            </w:sdt>
            <w:sdt>
              <w:sdtPr>
                <w:rPr>
                  <w:rFonts w:hint="eastAsia"/>
                  <w:sz w:val="12"/>
                  <w:szCs w:val="12"/>
                </w:rPr>
                <w:alias w:val="固定资产情况明细-项目名称"/>
                <w:tag w:val="_GBC_d421638fcfb34bbba0e548b4cb719a06"/>
                <w:id w:val="956288582"/>
                <w:lock w:val="sdtLocked"/>
                <w:text/>
              </w:sdtPr>
              <w:sdtContent>
                <w:tc>
                  <w:tcPr>
                    <w:tcW w:w="388" w:type="pct"/>
                    <w:shd w:val="clear" w:color="auto" w:fill="auto"/>
                    <w:vAlign w:val="center"/>
                  </w:tcPr>
                  <w:p w:rsidR="00213BC9" w:rsidRPr="00213BC9" w:rsidRDefault="00213BC9" w:rsidP="00601D47">
                    <w:pPr>
                      <w:jc w:val="center"/>
                      <w:rPr>
                        <w:sz w:val="12"/>
                        <w:szCs w:val="12"/>
                      </w:rPr>
                    </w:pPr>
                    <w:r w:rsidRPr="00213BC9">
                      <w:rPr>
                        <w:rFonts w:hint="eastAsia"/>
                        <w:sz w:val="12"/>
                        <w:szCs w:val="12"/>
                      </w:rPr>
                      <w:t>机械动力设备</w:t>
                    </w:r>
                  </w:p>
                </w:tc>
              </w:sdtContent>
            </w:sdt>
            <w:sdt>
              <w:sdtPr>
                <w:rPr>
                  <w:rFonts w:hint="eastAsia"/>
                  <w:sz w:val="12"/>
                  <w:szCs w:val="12"/>
                </w:rPr>
                <w:alias w:val="固定资产情况明细-项目名称"/>
                <w:tag w:val="_GBC_d421638fcfb34bbba0e548b4cb719a06"/>
                <w:id w:val="-1467731147"/>
                <w:lock w:val="sdtLocked"/>
                <w:text/>
              </w:sdtPr>
              <w:sdtContent>
                <w:tc>
                  <w:tcPr>
                    <w:tcW w:w="369" w:type="pct"/>
                    <w:shd w:val="clear" w:color="auto" w:fill="auto"/>
                    <w:vAlign w:val="center"/>
                  </w:tcPr>
                  <w:p w:rsidR="00213BC9" w:rsidRPr="00213BC9" w:rsidRDefault="00213BC9" w:rsidP="00601D47">
                    <w:pPr>
                      <w:jc w:val="center"/>
                      <w:rPr>
                        <w:sz w:val="12"/>
                        <w:szCs w:val="12"/>
                      </w:rPr>
                    </w:pPr>
                    <w:r w:rsidRPr="00213BC9">
                      <w:rPr>
                        <w:rFonts w:hint="eastAsia"/>
                        <w:sz w:val="12"/>
                        <w:szCs w:val="12"/>
                      </w:rPr>
                      <w:t>运输设备</w:t>
                    </w:r>
                  </w:p>
                </w:tc>
              </w:sdtContent>
            </w:sdt>
            <w:sdt>
              <w:sdtPr>
                <w:rPr>
                  <w:rFonts w:hint="eastAsia"/>
                  <w:sz w:val="12"/>
                  <w:szCs w:val="12"/>
                </w:rPr>
                <w:alias w:val="固定资产情况明细-项目名称"/>
                <w:tag w:val="_GBC_d421638fcfb34bbba0e548b4cb719a06"/>
                <w:id w:val="-1144891416"/>
                <w:lock w:val="sdtLocked"/>
                <w:text/>
              </w:sdtPr>
              <w:sdtContent>
                <w:tc>
                  <w:tcPr>
                    <w:tcW w:w="404" w:type="pct"/>
                    <w:shd w:val="clear" w:color="auto" w:fill="auto"/>
                    <w:vAlign w:val="center"/>
                  </w:tcPr>
                  <w:p w:rsidR="00213BC9" w:rsidRPr="00213BC9" w:rsidRDefault="00213BC9" w:rsidP="00601D47">
                    <w:pPr>
                      <w:jc w:val="center"/>
                      <w:rPr>
                        <w:sz w:val="12"/>
                        <w:szCs w:val="12"/>
                      </w:rPr>
                    </w:pPr>
                    <w:r w:rsidRPr="00213BC9">
                      <w:rPr>
                        <w:rFonts w:hint="eastAsia"/>
                        <w:sz w:val="12"/>
                        <w:szCs w:val="12"/>
                      </w:rPr>
                      <w:t>传导设备</w:t>
                    </w:r>
                  </w:p>
                </w:tc>
              </w:sdtContent>
            </w:sdt>
            <w:sdt>
              <w:sdtPr>
                <w:rPr>
                  <w:rFonts w:hint="eastAsia"/>
                  <w:sz w:val="12"/>
                  <w:szCs w:val="12"/>
                </w:rPr>
                <w:alias w:val="固定资产情况明细-项目名称"/>
                <w:tag w:val="_GBC_d421638fcfb34bbba0e548b4cb719a06"/>
                <w:id w:val="-1060710113"/>
                <w:lock w:val="sdtLocked"/>
                <w:text/>
              </w:sdtPr>
              <w:sdtContent>
                <w:tc>
                  <w:tcPr>
                    <w:tcW w:w="404" w:type="pct"/>
                    <w:shd w:val="clear" w:color="auto" w:fill="auto"/>
                    <w:vAlign w:val="center"/>
                  </w:tcPr>
                  <w:p w:rsidR="00213BC9" w:rsidRPr="00213BC9" w:rsidRDefault="00213BC9" w:rsidP="00601D47">
                    <w:pPr>
                      <w:jc w:val="center"/>
                      <w:rPr>
                        <w:sz w:val="12"/>
                        <w:szCs w:val="12"/>
                      </w:rPr>
                    </w:pPr>
                    <w:r w:rsidRPr="00213BC9">
                      <w:rPr>
                        <w:rFonts w:hint="eastAsia"/>
                        <w:sz w:val="12"/>
                        <w:szCs w:val="12"/>
                      </w:rPr>
                      <w:t>仪器仪表及信息技术设备</w:t>
                    </w:r>
                  </w:p>
                </w:tc>
              </w:sdtContent>
            </w:sdt>
            <w:sdt>
              <w:sdtPr>
                <w:rPr>
                  <w:rFonts w:hint="eastAsia"/>
                  <w:sz w:val="12"/>
                  <w:szCs w:val="12"/>
                </w:rPr>
                <w:alias w:val="固定资产情况明细-项目名称"/>
                <w:tag w:val="_GBC_d421638fcfb34bbba0e548b4cb719a06"/>
                <w:id w:val="-601721422"/>
                <w:lock w:val="sdtLocked"/>
                <w:text/>
              </w:sdtPr>
              <w:sdtContent>
                <w:tc>
                  <w:tcPr>
                    <w:tcW w:w="404" w:type="pct"/>
                    <w:shd w:val="clear" w:color="auto" w:fill="auto"/>
                    <w:vAlign w:val="center"/>
                  </w:tcPr>
                  <w:p w:rsidR="00213BC9" w:rsidRPr="00213BC9" w:rsidRDefault="00213BC9" w:rsidP="00601D47">
                    <w:pPr>
                      <w:jc w:val="center"/>
                      <w:rPr>
                        <w:sz w:val="12"/>
                        <w:szCs w:val="12"/>
                      </w:rPr>
                    </w:pPr>
                    <w:r w:rsidRPr="00213BC9">
                      <w:rPr>
                        <w:rFonts w:hint="eastAsia"/>
                        <w:sz w:val="12"/>
                        <w:szCs w:val="12"/>
                      </w:rPr>
                      <w:t>工具及器具</w:t>
                    </w:r>
                  </w:p>
                </w:tc>
              </w:sdtContent>
            </w:sdt>
            <w:sdt>
              <w:sdtPr>
                <w:rPr>
                  <w:sz w:val="12"/>
                  <w:szCs w:val="12"/>
                </w:rPr>
                <w:tag w:val="_PLD_44989fc4cd3d46cc990c4d1941405a11"/>
                <w:id w:val="-1955778319"/>
                <w:lock w:val="sdtLocked"/>
              </w:sdtPr>
              <w:sdtContent>
                <w:tc>
                  <w:tcPr>
                    <w:tcW w:w="401" w:type="pct"/>
                    <w:shd w:val="clear" w:color="auto" w:fill="auto"/>
                    <w:vAlign w:val="center"/>
                  </w:tcPr>
                  <w:p w:rsidR="00213BC9" w:rsidRPr="00213BC9" w:rsidRDefault="00213BC9" w:rsidP="00601D47">
                    <w:pPr>
                      <w:jc w:val="center"/>
                      <w:rPr>
                        <w:sz w:val="12"/>
                        <w:szCs w:val="12"/>
                      </w:rPr>
                    </w:pPr>
                    <w:r w:rsidRPr="00213BC9">
                      <w:rPr>
                        <w:rFonts w:hint="eastAsia"/>
                        <w:sz w:val="12"/>
                        <w:szCs w:val="12"/>
                      </w:rPr>
                      <w:t>合计</w:t>
                    </w:r>
                  </w:p>
                </w:tc>
              </w:sdtContent>
            </w:sdt>
          </w:tr>
          <w:tr w:rsidR="00213BC9" w:rsidTr="00B1561D">
            <w:trPr>
              <w:gridAfter w:val="11"/>
              <w:wAfter w:w="4367" w:type="pct"/>
            </w:trPr>
            <w:sdt>
              <w:sdtPr>
                <w:rPr>
                  <w:sz w:val="12"/>
                  <w:szCs w:val="12"/>
                </w:rPr>
                <w:tag w:val="_PLD_baa91289996942f0a3579319b339b24d"/>
                <w:id w:val="-706954340"/>
                <w:lock w:val="sdtLocked"/>
              </w:sdtPr>
              <w:sdtContent>
                <w:tc>
                  <w:tcPr>
                    <w:tcW w:w="633" w:type="pct"/>
                    <w:shd w:val="clear" w:color="auto" w:fill="auto"/>
                  </w:tcPr>
                  <w:p w:rsidR="00213BC9" w:rsidRPr="00213BC9" w:rsidRDefault="00213BC9" w:rsidP="00601D47">
                    <w:pPr>
                      <w:rPr>
                        <w:sz w:val="12"/>
                        <w:szCs w:val="12"/>
                      </w:rPr>
                    </w:pPr>
                    <w:r w:rsidRPr="00213BC9">
                      <w:rPr>
                        <w:rFonts w:hint="eastAsia"/>
                        <w:sz w:val="12"/>
                        <w:szCs w:val="12"/>
                      </w:rPr>
                      <w:t>一、账面原值：</w:t>
                    </w:r>
                  </w:p>
                </w:tc>
              </w:sdtContent>
            </w:sdt>
          </w:tr>
          <w:tr w:rsidR="00E27B33" w:rsidTr="00B1561D">
            <w:sdt>
              <w:sdtPr>
                <w:rPr>
                  <w:sz w:val="12"/>
                  <w:szCs w:val="12"/>
                </w:rPr>
                <w:tag w:val="_PLD_8e55a39d9b04404cba08570c8d73eda8"/>
                <w:id w:val="-1500034334"/>
                <w:lock w:val="sdtLocked"/>
              </w:sdtPr>
              <w:sdtContent>
                <w:tc>
                  <w:tcPr>
                    <w:tcW w:w="633" w:type="pct"/>
                    <w:shd w:val="clear" w:color="auto" w:fill="auto"/>
                  </w:tcPr>
                  <w:p w:rsidR="00213BC9" w:rsidRPr="00213BC9" w:rsidRDefault="00213BC9" w:rsidP="00601D47">
                    <w:pPr>
                      <w:ind w:firstLineChars="200" w:firstLine="240"/>
                      <w:rPr>
                        <w:sz w:val="12"/>
                        <w:szCs w:val="12"/>
                      </w:rPr>
                    </w:pPr>
                    <w:r w:rsidRPr="00213BC9">
                      <w:rPr>
                        <w:sz w:val="12"/>
                        <w:szCs w:val="12"/>
                      </w:rPr>
                      <w:t>1.</w:t>
                    </w:r>
                    <w:r w:rsidRPr="00213BC9">
                      <w:rPr>
                        <w:rFonts w:hint="eastAsia"/>
                        <w:sz w:val="12"/>
                        <w:szCs w:val="12"/>
                      </w:rPr>
                      <w:t>期初余额</w:t>
                    </w:r>
                  </w:p>
                </w:tc>
              </w:sdtContent>
            </w:sdt>
            <w:tc>
              <w:tcPr>
                <w:tcW w:w="389" w:type="pct"/>
                <w:shd w:val="clear" w:color="auto" w:fill="auto"/>
                <w:vAlign w:val="center"/>
              </w:tcPr>
              <w:p w:rsidR="00213BC9" w:rsidRPr="00213BC9" w:rsidRDefault="00213BC9" w:rsidP="00601D47">
                <w:pPr>
                  <w:jc w:val="right"/>
                  <w:rPr>
                    <w:sz w:val="12"/>
                    <w:szCs w:val="12"/>
                  </w:rPr>
                </w:pPr>
                <w:r w:rsidRPr="00213BC9">
                  <w:rPr>
                    <w:sz w:val="12"/>
                    <w:szCs w:val="12"/>
                  </w:rPr>
                  <w:t>13,011,181,058</w:t>
                </w:r>
              </w:p>
            </w:tc>
            <w:tc>
              <w:tcPr>
                <w:tcW w:w="389" w:type="pct"/>
                <w:shd w:val="clear" w:color="auto" w:fill="auto"/>
                <w:vAlign w:val="center"/>
              </w:tcPr>
              <w:p w:rsidR="00213BC9" w:rsidRPr="00213BC9" w:rsidRDefault="00213BC9" w:rsidP="00601D47">
                <w:pPr>
                  <w:jc w:val="right"/>
                  <w:rPr>
                    <w:sz w:val="12"/>
                    <w:szCs w:val="12"/>
                  </w:rPr>
                </w:pPr>
                <w:r w:rsidRPr="00213BC9">
                  <w:rPr>
                    <w:sz w:val="12"/>
                    <w:szCs w:val="12"/>
                  </w:rPr>
                  <w:t>44,817,398,448</w:t>
                </w:r>
              </w:p>
            </w:tc>
            <w:tc>
              <w:tcPr>
                <w:tcW w:w="439" w:type="pct"/>
                <w:shd w:val="clear" w:color="auto" w:fill="auto"/>
                <w:vAlign w:val="center"/>
              </w:tcPr>
              <w:p w:rsidR="00213BC9" w:rsidRPr="00213BC9" w:rsidRDefault="00213BC9" w:rsidP="00601D47">
                <w:pPr>
                  <w:jc w:val="right"/>
                  <w:rPr>
                    <w:sz w:val="12"/>
                    <w:szCs w:val="12"/>
                  </w:rPr>
                </w:pPr>
                <w:r w:rsidRPr="00213BC9">
                  <w:rPr>
                    <w:sz w:val="12"/>
                    <w:szCs w:val="12"/>
                  </w:rPr>
                  <w:t>58,357,629,471</w:t>
                </w:r>
              </w:p>
            </w:tc>
            <w:tc>
              <w:tcPr>
                <w:tcW w:w="389" w:type="pct"/>
                <w:shd w:val="clear" w:color="auto" w:fill="auto"/>
                <w:vAlign w:val="center"/>
              </w:tcPr>
              <w:p w:rsidR="00213BC9" w:rsidRPr="00213BC9" w:rsidRDefault="00213BC9" w:rsidP="00601D47">
                <w:pPr>
                  <w:jc w:val="right"/>
                  <w:rPr>
                    <w:sz w:val="12"/>
                    <w:szCs w:val="12"/>
                  </w:rPr>
                </w:pPr>
                <w:r w:rsidRPr="00213BC9">
                  <w:rPr>
                    <w:sz w:val="12"/>
                    <w:szCs w:val="12"/>
                  </w:rPr>
                  <w:t>9,211,507,700</w:t>
                </w:r>
              </w:p>
            </w:tc>
            <w:tc>
              <w:tcPr>
                <w:tcW w:w="390" w:type="pct"/>
                <w:shd w:val="clear" w:color="auto" w:fill="auto"/>
                <w:vAlign w:val="center"/>
              </w:tcPr>
              <w:p w:rsidR="00213BC9" w:rsidRPr="00213BC9" w:rsidRDefault="00213BC9" w:rsidP="00601D47">
                <w:pPr>
                  <w:jc w:val="right"/>
                  <w:rPr>
                    <w:sz w:val="12"/>
                    <w:szCs w:val="12"/>
                  </w:rPr>
                </w:pPr>
                <w:r w:rsidRPr="00213BC9">
                  <w:rPr>
                    <w:sz w:val="12"/>
                    <w:szCs w:val="12"/>
                  </w:rPr>
                  <w:t>7,834,480,297</w:t>
                </w:r>
              </w:p>
            </w:tc>
            <w:tc>
              <w:tcPr>
                <w:tcW w:w="388" w:type="pct"/>
                <w:shd w:val="clear" w:color="auto" w:fill="auto"/>
                <w:vAlign w:val="center"/>
              </w:tcPr>
              <w:p w:rsidR="00213BC9" w:rsidRPr="00213BC9" w:rsidRDefault="00213BC9" w:rsidP="00601D47">
                <w:pPr>
                  <w:jc w:val="right"/>
                  <w:rPr>
                    <w:sz w:val="12"/>
                    <w:szCs w:val="12"/>
                  </w:rPr>
                </w:pPr>
                <w:r w:rsidRPr="00213BC9">
                  <w:rPr>
                    <w:sz w:val="12"/>
                    <w:szCs w:val="12"/>
                  </w:rPr>
                  <w:t>2,040,288,597</w:t>
                </w:r>
              </w:p>
            </w:tc>
            <w:tc>
              <w:tcPr>
                <w:tcW w:w="369" w:type="pct"/>
                <w:shd w:val="clear" w:color="auto" w:fill="auto"/>
                <w:vAlign w:val="center"/>
              </w:tcPr>
              <w:p w:rsidR="00213BC9" w:rsidRPr="00213BC9" w:rsidRDefault="00213BC9" w:rsidP="00601D47">
                <w:pPr>
                  <w:jc w:val="right"/>
                  <w:rPr>
                    <w:sz w:val="12"/>
                    <w:szCs w:val="12"/>
                  </w:rPr>
                </w:pPr>
                <w:r w:rsidRPr="00213BC9">
                  <w:rPr>
                    <w:sz w:val="12"/>
                    <w:szCs w:val="12"/>
                  </w:rPr>
                  <w:t>873,152,045</w:t>
                </w:r>
              </w:p>
            </w:tc>
            <w:tc>
              <w:tcPr>
                <w:tcW w:w="404" w:type="pct"/>
                <w:shd w:val="clear" w:color="auto" w:fill="auto"/>
                <w:vAlign w:val="center"/>
              </w:tcPr>
              <w:p w:rsidR="00213BC9" w:rsidRPr="00213BC9" w:rsidRDefault="00213BC9" w:rsidP="00601D47">
                <w:pPr>
                  <w:jc w:val="right"/>
                  <w:rPr>
                    <w:sz w:val="12"/>
                    <w:szCs w:val="12"/>
                  </w:rPr>
                </w:pPr>
                <w:r w:rsidRPr="00213BC9">
                  <w:rPr>
                    <w:sz w:val="12"/>
                    <w:szCs w:val="12"/>
                  </w:rPr>
                  <w:t>3,147,230,480</w:t>
                </w:r>
              </w:p>
            </w:tc>
            <w:tc>
              <w:tcPr>
                <w:tcW w:w="404" w:type="pct"/>
                <w:shd w:val="clear" w:color="auto" w:fill="auto"/>
                <w:vAlign w:val="center"/>
              </w:tcPr>
              <w:p w:rsidR="00213BC9" w:rsidRPr="00213BC9" w:rsidRDefault="00213BC9" w:rsidP="00601D47">
                <w:pPr>
                  <w:jc w:val="right"/>
                  <w:rPr>
                    <w:sz w:val="12"/>
                    <w:szCs w:val="12"/>
                  </w:rPr>
                </w:pPr>
                <w:r w:rsidRPr="00213BC9">
                  <w:rPr>
                    <w:sz w:val="12"/>
                    <w:szCs w:val="12"/>
                  </w:rPr>
                  <w:t>4,350,389,716</w:t>
                </w:r>
              </w:p>
            </w:tc>
            <w:tc>
              <w:tcPr>
                <w:tcW w:w="404" w:type="pct"/>
                <w:shd w:val="clear" w:color="auto" w:fill="auto"/>
                <w:vAlign w:val="center"/>
              </w:tcPr>
              <w:p w:rsidR="00213BC9" w:rsidRPr="00213BC9" w:rsidRDefault="00213BC9" w:rsidP="00601D47">
                <w:pPr>
                  <w:jc w:val="right"/>
                  <w:rPr>
                    <w:sz w:val="12"/>
                    <w:szCs w:val="12"/>
                  </w:rPr>
                </w:pPr>
                <w:r w:rsidRPr="00213BC9">
                  <w:rPr>
                    <w:sz w:val="12"/>
                    <w:szCs w:val="12"/>
                  </w:rPr>
                  <w:t>804,283,315</w:t>
                </w:r>
              </w:p>
            </w:tc>
            <w:tc>
              <w:tcPr>
                <w:tcW w:w="401" w:type="pct"/>
                <w:shd w:val="clear" w:color="auto" w:fill="auto"/>
                <w:vAlign w:val="center"/>
              </w:tcPr>
              <w:p w:rsidR="00213BC9" w:rsidRPr="00213BC9" w:rsidRDefault="00213BC9" w:rsidP="00601D47">
                <w:pPr>
                  <w:jc w:val="right"/>
                  <w:rPr>
                    <w:sz w:val="12"/>
                    <w:szCs w:val="12"/>
                  </w:rPr>
                </w:pPr>
                <w:r w:rsidRPr="00213BC9">
                  <w:rPr>
                    <w:sz w:val="12"/>
                    <w:szCs w:val="12"/>
                  </w:rPr>
                  <w:t>144,447,541,127</w:t>
                </w:r>
              </w:p>
            </w:tc>
          </w:tr>
          <w:tr w:rsidR="00E27B33" w:rsidTr="00B1561D">
            <w:sdt>
              <w:sdtPr>
                <w:rPr>
                  <w:sz w:val="12"/>
                  <w:szCs w:val="12"/>
                </w:rPr>
                <w:tag w:val="_PLD_5d0a6e7657e6410e9c0550f674185af8"/>
                <w:id w:val="114181243"/>
                <w:lock w:val="sdtLocked"/>
              </w:sdtPr>
              <w:sdtContent>
                <w:tc>
                  <w:tcPr>
                    <w:tcW w:w="633" w:type="pct"/>
                    <w:shd w:val="clear" w:color="auto" w:fill="auto"/>
                  </w:tcPr>
                  <w:p w:rsidR="00213BC9" w:rsidRPr="00213BC9" w:rsidRDefault="00213BC9" w:rsidP="00601D47">
                    <w:pPr>
                      <w:ind w:firstLineChars="200" w:firstLine="240"/>
                      <w:rPr>
                        <w:sz w:val="12"/>
                        <w:szCs w:val="12"/>
                      </w:rPr>
                    </w:pPr>
                    <w:r w:rsidRPr="00213BC9">
                      <w:rPr>
                        <w:sz w:val="12"/>
                        <w:szCs w:val="12"/>
                      </w:rPr>
                      <w:t>2.</w:t>
                    </w:r>
                    <w:r w:rsidRPr="00213BC9">
                      <w:rPr>
                        <w:rFonts w:hint="eastAsia"/>
                        <w:sz w:val="12"/>
                        <w:szCs w:val="12"/>
                      </w:rPr>
                      <w:t>本期增加金额</w:t>
                    </w:r>
                  </w:p>
                </w:tc>
              </w:sdtContent>
            </w:sdt>
            <w:tc>
              <w:tcPr>
                <w:tcW w:w="389" w:type="pct"/>
                <w:shd w:val="clear" w:color="auto" w:fill="auto"/>
                <w:vAlign w:val="center"/>
              </w:tcPr>
              <w:p w:rsidR="00213BC9" w:rsidRPr="00213BC9" w:rsidRDefault="00213BC9" w:rsidP="00601D47">
                <w:pPr>
                  <w:jc w:val="right"/>
                  <w:rPr>
                    <w:sz w:val="12"/>
                    <w:szCs w:val="12"/>
                  </w:rPr>
                </w:pPr>
                <w:r w:rsidRPr="00213BC9">
                  <w:rPr>
                    <w:sz w:val="12"/>
                    <w:szCs w:val="12"/>
                  </w:rPr>
                  <w:t>427,201,971</w:t>
                </w:r>
              </w:p>
            </w:tc>
            <w:tc>
              <w:tcPr>
                <w:tcW w:w="389" w:type="pct"/>
                <w:shd w:val="clear" w:color="auto" w:fill="auto"/>
                <w:vAlign w:val="center"/>
              </w:tcPr>
              <w:p w:rsidR="00213BC9" w:rsidRPr="00213BC9" w:rsidRDefault="00213BC9" w:rsidP="00601D47">
                <w:pPr>
                  <w:jc w:val="right"/>
                  <w:rPr>
                    <w:sz w:val="12"/>
                    <w:szCs w:val="12"/>
                  </w:rPr>
                </w:pPr>
                <w:r w:rsidRPr="00213BC9">
                  <w:rPr>
                    <w:sz w:val="12"/>
                    <w:szCs w:val="12"/>
                  </w:rPr>
                  <w:t>5,249,739,315</w:t>
                </w:r>
              </w:p>
            </w:tc>
            <w:tc>
              <w:tcPr>
                <w:tcW w:w="439" w:type="pct"/>
                <w:shd w:val="clear" w:color="auto" w:fill="auto"/>
                <w:vAlign w:val="center"/>
              </w:tcPr>
              <w:p w:rsidR="00213BC9" w:rsidRPr="00213BC9" w:rsidRDefault="00213BC9" w:rsidP="00601D47">
                <w:pPr>
                  <w:jc w:val="right"/>
                  <w:rPr>
                    <w:sz w:val="12"/>
                    <w:szCs w:val="12"/>
                  </w:rPr>
                </w:pPr>
                <w:r w:rsidRPr="00213BC9">
                  <w:rPr>
                    <w:sz w:val="12"/>
                    <w:szCs w:val="12"/>
                  </w:rPr>
                  <w:t>3,960,739,913</w:t>
                </w:r>
              </w:p>
            </w:tc>
            <w:tc>
              <w:tcPr>
                <w:tcW w:w="389" w:type="pct"/>
                <w:shd w:val="clear" w:color="auto" w:fill="auto"/>
                <w:vAlign w:val="center"/>
              </w:tcPr>
              <w:p w:rsidR="00213BC9" w:rsidRPr="00213BC9" w:rsidRDefault="00213BC9" w:rsidP="00601D47">
                <w:pPr>
                  <w:jc w:val="right"/>
                  <w:rPr>
                    <w:sz w:val="12"/>
                    <w:szCs w:val="12"/>
                  </w:rPr>
                </w:pPr>
                <w:r w:rsidRPr="00213BC9">
                  <w:rPr>
                    <w:sz w:val="12"/>
                    <w:szCs w:val="12"/>
                  </w:rPr>
                  <w:t>324,491,304</w:t>
                </w:r>
              </w:p>
            </w:tc>
            <w:tc>
              <w:tcPr>
                <w:tcW w:w="390" w:type="pct"/>
                <w:shd w:val="clear" w:color="auto" w:fill="auto"/>
                <w:vAlign w:val="center"/>
              </w:tcPr>
              <w:p w:rsidR="00213BC9" w:rsidRPr="00213BC9" w:rsidRDefault="00213BC9" w:rsidP="00601D47">
                <w:pPr>
                  <w:jc w:val="right"/>
                  <w:rPr>
                    <w:sz w:val="12"/>
                    <w:szCs w:val="12"/>
                  </w:rPr>
                </w:pPr>
                <w:r w:rsidRPr="00213BC9">
                  <w:rPr>
                    <w:sz w:val="12"/>
                    <w:szCs w:val="12"/>
                  </w:rPr>
                  <w:t>229,085,713</w:t>
                </w:r>
              </w:p>
            </w:tc>
            <w:tc>
              <w:tcPr>
                <w:tcW w:w="388" w:type="pct"/>
                <w:shd w:val="clear" w:color="auto" w:fill="auto"/>
                <w:vAlign w:val="center"/>
              </w:tcPr>
              <w:p w:rsidR="00213BC9" w:rsidRPr="00213BC9" w:rsidRDefault="00213BC9" w:rsidP="00601D47">
                <w:pPr>
                  <w:jc w:val="right"/>
                  <w:rPr>
                    <w:sz w:val="12"/>
                    <w:szCs w:val="12"/>
                  </w:rPr>
                </w:pPr>
                <w:r w:rsidRPr="00213BC9">
                  <w:rPr>
                    <w:sz w:val="12"/>
                    <w:szCs w:val="12"/>
                  </w:rPr>
                  <w:t>168,189,306</w:t>
                </w:r>
              </w:p>
            </w:tc>
            <w:tc>
              <w:tcPr>
                <w:tcW w:w="369" w:type="pct"/>
                <w:shd w:val="clear" w:color="auto" w:fill="auto"/>
                <w:vAlign w:val="center"/>
              </w:tcPr>
              <w:p w:rsidR="00213BC9" w:rsidRPr="00213BC9" w:rsidRDefault="00213BC9" w:rsidP="00601D47">
                <w:pPr>
                  <w:jc w:val="right"/>
                  <w:rPr>
                    <w:sz w:val="12"/>
                    <w:szCs w:val="12"/>
                  </w:rPr>
                </w:pPr>
                <w:r w:rsidRPr="00213BC9">
                  <w:rPr>
                    <w:sz w:val="12"/>
                    <w:szCs w:val="12"/>
                  </w:rPr>
                  <w:t>80,535,539</w:t>
                </w:r>
              </w:p>
            </w:tc>
            <w:tc>
              <w:tcPr>
                <w:tcW w:w="404" w:type="pct"/>
                <w:shd w:val="clear" w:color="auto" w:fill="auto"/>
                <w:vAlign w:val="center"/>
              </w:tcPr>
              <w:p w:rsidR="00213BC9" w:rsidRPr="00213BC9" w:rsidRDefault="00213BC9" w:rsidP="00601D47">
                <w:pPr>
                  <w:jc w:val="right"/>
                  <w:rPr>
                    <w:sz w:val="12"/>
                    <w:szCs w:val="12"/>
                  </w:rPr>
                </w:pPr>
                <w:r w:rsidRPr="00213BC9">
                  <w:rPr>
                    <w:sz w:val="12"/>
                    <w:szCs w:val="12"/>
                  </w:rPr>
                  <w:t>68,869,180</w:t>
                </w:r>
              </w:p>
            </w:tc>
            <w:tc>
              <w:tcPr>
                <w:tcW w:w="404" w:type="pct"/>
                <w:shd w:val="clear" w:color="auto" w:fill="auto"/>
                <w:vAlign w:val="center"/>
              </w:tcPr>
              <w:p w:rsidR="00213BC9" w:rsidRPr="00213BC9" w:rsidRDefault="00213BC9" w:rsidP="00601D47">
                <w:pPr>
                  <w:jc w:val="right"/>
                  <w:rPr>
                    <w:sz w:val="12"/>
                    <w:szCs w:val="12"/>
                  </w:rPr>
                </w:pPr>
                <w:r w:rsidRPr="00213BC9">
                  <w:rPr>
                    <w:sz w:val="12"/>
                    <w:szCs w:val="12"/>
                  </w:rPr>
                  <w:t>231,576,553</w:t>
                </w:r>
              </w:p>
            </w:tc>
            <w:tc>
              <w:tcPr>
                <w:tcW w:w="404" w:type="pct"/>
                <w:shd w:val="clear" w:color="auto" w:fill="auto"/>
                <w:vAlign w:val="center"/>
              </w:tcPr>
              <w:p w:rsidR="00213BC9" w:rsidRPr="00213BC9" w:rsidRDefault="00213BC9" w:rsidP="00601D47">
                <w:pPr>
                  <w:jc w:val="right"/>
                  <w:rPr>
                    <w:sz w:val="12"/>
                    <w:szCs w:val="12"/>
                  </w:rPr>
                </w:pPr>
                <w:r w:rsidRPr="00213BC9">
                  <w:rPr>
                    <w:sz w:val="12"/>
                    <w:szCs w:val="12"/>
                  </w:rPr>
                  <w:t>64,574,660</w:t>
                </w:r>
              </w:p>
            </w:tc>
            <w:tc>
              <w:tcPr>
                <w:tcW w:w="401" w:type="pct"/>
                <w:shd w:val="clear" w:color="auto" w:fill="auto"/>
                <w:vAlign w:val="center"/>
              </w:tcPr>
              <w:p w:rsidR="00213BC9" w:rsidRPr="00213BC9" w:rsidRDefault="00213BC9" w:rsidP="00601D47">
                <w:pPr>
                  <w:jc w:val="right"/>
                  <w:rPr>
                    <w:sz w:val="12"/>
                    <w:szCs w:val="12"/>
                  </w:rPr>
                </w:pPr>
                <w:r w:rsidRPr="00213BC9">
                  <w:rPr>
                    <w:sz w:val="12"/>
                    <w:szCs w:val="12"/>
                  </w:rPr>
                  <w:t>10,805,003,454</w:t>
                </w:r>
              </w:p>
            </w:tc>
          </w:tr>
          <w:tr w:rsidR="00E27B33" w:rsidTr="00B1561D">
            <w:sdt>
              <w:sdtPr>
                <w:rPr>
                  <w:sz w:val="12"/>
                  <w:szCs w:val="12"/>
                </w:rPr>
                <w:tag w:val="_PLD_21acfc7c80ed4c8898e7254bc3a221c4"/>
                <w:id w:val="-2048513066"/>
                <w:lock w:val="sdtLocked"/>
              </w:sdtPr>
              <w:sdtContent>
                <w:tc>
                  <w:tcPr>
                    <w:tcW w:w="633" w:type="pct"/>
                    <w:shd w:val="clear" w:color="auto" w:fill="auto"/>
                  </w:tcPr>
                  <w:p w:rsidR="00213BC9" w:rsidRPr="00213BC9" w:rsidRDefault="00213BC9" w:rsidP="00601D47">
                    <w:pPr>
                      <w:ind w:firstLineChars="300" w:firstLine="360"/>
                      <w:rPr>
                        <w:sz w:val="12"/>
                        <w:szCs w:val="12"/>
                      </w:rPr>
                    </w:pPr>
                    <w:r w:rsidRPr="00213BC9">
                      <w:rPr>
                        <w:rFonts w:hint="eastAsia"/>
                        <w:sz w:val="12"/>
                        <w:szCs w:val="12"/>
                      </w:rPr>
                      <w:t>（1）购置</w:t>
                    </w:r>
                  </w:p>
                </w:tc>
              </w:sdtContent>
            </w:sdt>
            <w:tc>
              <w:tcPr>
                <w:tcW w:w="389" w:type="pct"/>
                <w:shd w:val="clear" w:color="auto" w:fill="auto"/>
                <w:vAlign w:val="center"/>
              </w:tcPr>
              <w:p w:rsidR="00213BC9" w:rsidRPr="00213BC9" w:rsidRDefault="00213BC9" w:rsidP="00601D47">
                <w:pPr>
                  <w:jc w:val="right"/>
                  <w:rPr>
                    <w:sz w:val="12"/>
                    <w:szCs w:val="12"/>
                  </w:rPr>
                </w:pPr>
                <w:r w:rsidRPr="00213BC9">
                  <w:rPr>
                    <w:sz w:val="12"/>
                    <w:szCs w:val="12"/>
                  </w:rPr>
                  <w:t>52,083,062</w:t>
                </w:r>
              </w:p>
            </w:tc>
            <w:tc>
              <w:tcPr>
                <w:tcW w:w="389" w:type="pct"/>
                <w:shd w:val="clear" w:color="auto" w:fill="auto"/>
                <w:vAlign w:val="center"/>
              </w:tcPr>
              <w:p w:rsidR="00213BC9" w:rsidRPr="00213BC9" w:rsidRDefault="00213BC9" w:rsidP="00601D47">
                <w:pPr>
                  <w:jc w:val="right"/>
                  <w:rPr>
                    <w:sz w:val="12"/>
                    <w:szCs w:val="12"/>
                  </w:rPr>
                </w:pPr>
                <w:r w:rsidRPr="00213BC9">
                  <w:rPr>
                    <w:sz w:val="12"/>
                    <w:szCs w:val="12"/>
                  </w:rPr>
                  <w:t>602,421,447</w:t>
                </w:r>
              </w:p>
            </w:tc>
            <w:tc>
              <w:tcPr>
                <w:tcW w:w="439" w:type="pct"/>
                <w:shd w:val="clear" w:color="auto" w:fill="auto"/>
                <w:vAlign w:val="center"/>
              </w:tcPr>
              <w:p w:rsidR="00213BC9" w:rsidRPr="00213BC9" w:rsidRDefault="00213BC9" w:rsidP="00601D47">
                <w:pPr>
                  <w:jc w:val="right"/>
                  <w:rPr>
                    <w:sz w:val="12"/>
                    <w:szCs w:val="12"/>
                  </w:rPr>
                </w:pPr>
                <w:r w:rsidRPr="00213BC9">
                  <w:rPr>
                    <w:sz w:val="12"/>
                    <w:szCs w:val="12"/>
                  </w:rPr>
                  <w:t>119,304,927</w:t>
                </w:r>
              </w:p>
            </w:tc>
            <w:tc>
              <w:tcPr>
                <w:tcW w:w="389" w:type="pct"/>
                <w:shd w:val="clear" w:color="auto" w:fill="auto"/>
                <w:vAlign w:val="center"/>
              </w:tcPr>
              <w:p w:rsidR="00213BC9" w:rsidRPr="00213BC9" w:rsidRDefault="00213BC9" w:rsidP="00601D47">
                <w:pPr>
                  <w:jc w:val="right"/>
                  <w:rPr>
                    <w:sz w:val="12"/>
                    <w:szCs w:val="12"/>
                  </w:rPr>
                </w:pPr>
                <w:r w:rsidRPr="00213BC9">
                  <w:rPr>
                    <w:sz w:val="12"/>
                    <w:szCs w:val="12"/>
                  </w:rPr>
                  <w:t>5,174,898</w:t>
                </w:r>
              </w:p>
            </w:tc>
            <w:tc>
              <w:tcPr>
                <w:tcW w:w="390" w:type="pct"/>
                <w:shd w:val="clear" w:color="auto" w:fill="auto"/>
                <w:vAlign w:val="center"/>
              </w:tcPr>
              <w:p w:rsidR="00213BC9" w:rsidRPr="00213BC9" w:rsidRDefault="00213BC9" w:rsidP="00601D47">
                <w:pPr>
                  <w:jc w:val="right"/>
                  <w:rPr>
                    <w:sz w:val="12"/>
                    <w:szCs w:val="12"/>
                  </w:rPr>
                </w:pPr>
                <w:r w:rsidRPr="00213BC9">
                  <w:rPr>
                    <w:sz w:val="12"/>
                    <w:szCs w:val="12"/>
                  </w:rPr>
                  <w:t>52,488,127</w:t>
                </w:r>
              </w:p>
            </w:tc>
            <w:tc>
              <w:tcPr>
                <w:tcW w:w="388" w:type="pct"/>
                <w:shd w:val="clear" w:color="auto" w:fill="auto"/>
                <w:vAlign w:val="center"/>
              </w:tcPr>
              <w:p w:rsidR="00213BC9" w:rsidRPr="00213BC9" w:rsidRDefault="00213BC9" w:rsidP="00601D47">
                <w:pPr>
                  <w:jc w:val="right"/>
                  <w:rPr>
                    <w:sz w:val="12"/>
                    <w:szCs w:val="12"/>
                  </w:rPr>
                </w:pPr>
                <w:r w:rsidRPr="00213BC9">
                  <w:rPr>
                    <w:sz w:val="12"/>
                    <w:szCs w:val="12"/>
                  </w:rPr>
                  <w:t>98,479,558</w:t>
                </w:r>
              </w:p>
            </w:tc>
            <w:tc>
              <w:tcPr>
                <w:tcW w:w="369" w:type="pct"/>
                <w:shd w:val="clear" w:color="auto" w:fill="auto"/>
                <w:vAlign w:val="center"/>
              </w:tcPr>
              <w:p w:rsidR="00213BC9" w:rsidRPr="00213BC9" w:rsidRDefault="00213BC9" w:rsidP="00601D47">
                <w:pPr>
                  <w:jc w:val="right"/>
                  <w:rPr>
                    <w:sz w:val="12"/>
                    <w:szCs w:val="12"/>
                  </w:rPr>
                </w:pPr>
                <w:r w:rsidRPr="00213BC9">
                  <w:rPr>
                    <w:sz w:val="12"/>
                    <w:szCs w:val="12"/>
                  </w:rPr>
                  <w:t>23,716,889</w:t>
                </w:r>
              </w:p>
            </w:tc>
            <w:tc>
              <w:tcPr>
                <w:tcW w:w="404" w:type="pct"/>
                <w:shd w:val="clear" w:color="auto" w:fill="auto"/>
                <w:vAlign w:val="center"/>
              </w:tcPr>
              <w:p w:rsidR="00213BC9" w:rsidRPr="00213BC9" w:rsidRDefault="00213BC9" w:rsidP="00601D47">
                <w:pPr>
                  <w:jc w:val="right"/>
                  <w:rPr>
                    <w:sz w:val="12"/>
                    <w:szCs w:val="12"/>
                  </w:rPr>
                </w:pPr>
                <w:r w:rsidRPr="00213BC9">
                  <w:rPr>
                    <w:sz w:val="12"/>
                    <w:szCs w:val="12"/>
                  </w:rPr>
                  <w:t>6,119,445</w:t>
                </w:r>
              </w:p>
            </w:tc>
            <w:tc>
              <w:tcPr>
                <w:tcW w:w="404" w:type="pct"/>
                <w:shd w:val="clear" w:color="auto" w:fill="auto"/>
                <w:vAlign w:val="center"/>
              </w:tcPr>
              <w:p w:rsidR="00213BC9" w:rsidRPr="00213BC9" w:rsidRDefault="00213BC9" w:rsidP="00601D47">
                <w:pPr>
                  <w:jc w:val="right"/>
                  <w:rPr>
                    <w:sz w:val="12"/>
                    <w:szCs w:val="12"/>
                  </w:rPr>
                </w:pPr>
                <w:r w:rsidRPr="00213BC9">
                  <w:rPr>
                    <w:sz w:val="12"/>
                    <w:szCs w:val="12"/>
                  </w:rPr>
                  <w:t>139,843,828</w:t>
                </w:r>
              </w:p>
            </w:tc>
            <w:tc>
              <w:tcPr>
                <w:tcW w:w="404" w:type="pct"/>
                <w:shd w:val="clear" w:color="auto" w:fill="auto"/>
                <w:vAlign w:val="center"/>
              </w:tcPr>
              <w:p w:rsidR="00213BC9" w:rsidRPr="00213BC9" w:rsidRDefault="00213BC9" w:rsidP="00601D47">
                <w:pPr>
                  <w:jc w:val="right"/>
                  <w:rPr>
                    <w:sz w:val="12"/>
                    <w:szCs w:val="12"/>
                  </w:rPr>
                </w:pPr>
                <w:r w:rsidRPr="00213BC9">
                  <w:rPr>
                    <w:sz w:val="12"/>
                    <w:szCs w:val="12"/>
                  </w:rPr>
                  <w:t>24,955,715</w:t>
                </w:r>
              </w:p>
            </w:tc>
            <w:tc>
              <w:tcPr>
                <w:tcW w:w="401" w:type="pct"/>
                <w:shd w:val="clear" w:color="auto" w:fill="auto"/>
                <w:vAlign w:val="center"/>
              </w:tcPr>
              <w:p w:rsidR="00213BC9" w:rsidRPr="00213BC9" w:rsidRDefault="00213BC9" w:rsidP="00601D47">
                <w:pPr>
                  <w:jc w:val="right"/>
                  <w:rPr>
                    <w:sz w:val="12"/>
                    <w:szCs w:val="12"/>
                  </w:rPr>
                </w:pPr>
                <w:r w:rsidRPr="00213BC9">
                  <w:rPr>
                    <w:sz w:val="12"/>
                    <w:szCs w:val="12"/>
                  </w:rPr>
                  <w:t>1,124,587,896</w:t>
                </w:r>
              </w:p>
            </w:tc>
          </w:tr>
          <w:tr w:rsidR="00E27B33" w:rsidTr="00B1561D">
            <w:sdt>
              <w:sdtPr>
                <w:rPr>
                  <w:sz w:val="12"/>
                  <w:szCs w:val="12"/>
                </w:rPr>
                <w:tag w:val="_PLD_c4fb45cabc464177bb10403e2ec415b1"/>
                <w:id w:val="11190580"/>
                <w:lock w:val="sdtLocked"/>
              </w:sdtPr>
              <w:sdtContent>
                <w:tc>
                  <w:tcPr>
                    <w:tcW w:w="633" w:type="pct"/>
                    <w:shd w:val="clear" w:color="auto" w:fill="auto"/>
                  </w:tcPr>
                  <w:p w:rsidR="00213BC9" w:rsidRPr="00213BC9" w:rsidRDefault="00213BC9" w:rsidP="00601D47">
                    <w:pPr>
                      <w:ind w:firstLineChars="300" w:firstLine="360"/>
                      <w:rPr>
                        <w:sz w:val="12"/>
                        <w:szCs w:val="12"/>
                      </w:rPr>
                    </w:pPr>
                    <w:r w:rsidRPr="00213BC9">
                      <w:rPr>
                        <w:rFonts w:hint="eastAsia"/>
                        <w:sz w:val="12"/>
                        <w:szCs w:val="12"/>
                      </w:rPr>
                      <w:t>（2）在建工程转入</w:t>
                    </w:r>
                  </w:p>
                </w:tc>
              </w:sdtContent>
            </w:sdt>
            <w:tc>
              <w:tcPr>
                <w:tcW w:w="389" w:type="pct"/>
                <w:shd w:val="clear" w:color="auto" w:fill="auto"/>
                <w:vAlign w:val="center"/>
              </w:tcPr>
              <w:p w:rsidR="00213BC9" w:rsidRPr="00213BC9" w:rsidRDefault="00213BC9" w:rsidP="00601D47">
                <w:pPr>
                  <w:jc w:val="right"/>
                  <w:rPr>
                    <w:sz w:val="12"/>
                    <w:szCs w:val="12"/>
                  </w:rPr>
                </w:pPr>
                <w:r w:rsidRPr="00213BC9">
                  <w:rPr>
                    <w:sz w:val="12"/>
                    <w:szCs w:val="12"/>
                  </w:rPr>
                  <w:t>376,766,841</w:t>
                </w:r>
              </w:p>
            </w:tc>
            <w:tc>
              <w:tcPr>
                <w:tcW w:w="389" w:type="pct"/>
                <w:shd w:val="clear" w:color="auto" w:fill="auto"/>
                <w:vAlign w:val="center"/>
              </w:tcPr>
              <w:p w:rsidR="00213BC9" w:rsidRPr="00213BC9" w:rsidRDefault="00213BC9" w:rsidP="00601D47">
                <w:pPr>
                  <w:jc w:val="right"/>
                  <w:rPr>
                    <w:sz w:val="12"/>
                    <w:szCs w:val="12"/>
                  </w:rPr>
                </w:pPr>
                <w:r w:rsidRPr="00213BC9">
                  <w:rPr>
                    <w:sz w:val="12"/>
                    <w:szCs w:val="12"/>
                  </w:rPr>
                  <w:t>4,647,317,868</w:t>
                </w:r>
              </w:p>
            </w:tc>
            <w:tc>
              <w:tcPr>
                <w:tcW w:w="439" w:type="pct"/>
                <w:shd w:val="clear" w:color="auto" w:fill="auto"/>
                <w:vAlign w:val="center"/>
              </w:tcPr>
              <w:p w:rsidR="00213BC9" w:rsidRPr="00213BC9" w:rsidRDefault="00213BC9" w:rsidP="00601D47">
                <w:pPr>
                  <w:jc w:val="right"/>
                  <w:rPr>
                    <w:sz w:val="12"/>
                    <w:szCs w:val="12"/>
                  </w:rPr>
                </w:pPr>
                <w:r w:rsidRPr="00213BC9">
                  <w:rPr>
                    <w:sz w:val="12"/>
                    <w:szCs w:val="12"/>
                  </w:rPr>
                  <w:t>3,841,434,986</w:t>
                </w:r>
              </w:p>
            </w:tc>
            <w:tc>
              <w:tcPr>
                <w:tcW w:w="389" w:type="pct"/>
                <w:shd w:val="clear" w:color="auto" w:fill="auto"/>
                <w:vAlign w:val="center"/>
              </w:tcPr>
              <w:p w:rsidR="00213BC9" w:rsidRPr="00213BC9" w:rsidRDefault="00213BC9" w:rsidP="00601D47">
                <w:pPr>
                  <w:jc w:val="right"/>
                  <w:rPr>
                    <w:sz w:val="12"/>
                    <w:szCs w:val="12"/>
                  </w:rPr>
                </w:pPr>
                <w:r w:rsidRPr="00213BC9">
                  <w:rPr>
                    <w:sz w:val="12"/>
                    <w:szCs w:val="12"/>
                  </w:rPr>
                  <w:t>319,316,406</w:t>
                </w:r>
              </w:p>
            </w:tc>
            <w:tc>
              <w:tcPr>
                <w:tcW w:w="390" w:type="pct"/>
                <w:shd w:val="clear" w:color="auto" w:fill="auto"/>
                <w:vAlign w:val="center"/>
              </w:tcPr>
              <w:p w:rsidR="00213BC9" w:rsidRPr="00213BC9" w:rsidRDefault="00213BC9" w:rsidP="00601D47">
                <w:pPr>
                  <w:jc w:val="right"/>
                  <w:rPr>
                    <w:sz w:val="12"/>
                    <w:szCs w:val="12"/>
                  </w:rPr>
                </w:pPr>
                <w:r w:rsidRPr="00213BC9">
                  <w:rPr>
                    <w:sz w:val="12"/>
                    <w:szCs w:val="12"/>
                  </w:rPr>
                  <w:t>176,432,186</w:t>
                </w:r>
              </w:p>
            </w:tc>
            <w:tc>
              <w:tcPr>
                <w:tcW w:w="388" w:type="pct"/>
                <w:shd w:val="clear" w:color="auto" w:fill="auto"/>
                <w:vAlign w:val="center"/>
              </w:tcPr>
              <w:p w:rsidR="00213BC9" w:rsidRPr="00213BC9" w:rsidRDefault="00213BC9" w:rsidP="00601D47">
                <w:pPr>
                  <w:jc w:val="right"/>
                  <w:rPr>
                    <w:sz w:val="12"/>
                    <w:szCs w:val="12"/>
                  </w:rPr>
                </w:pPr>
                <w:r w:rsidRPr="00213BC9">
                  <w:rPr>
                    <w:sz w:val="12"/>
                    <w:szCs w:val="12"/>
                  </w:rPr>
                  <w:t>69,209,748</w:t>
                </w:r>
              </w:p>
            </w:tc>
            <w:tc>
              <w:tcPr>
                <w:tcW w:w="369" w:type="pct"/>
                <w:shd w:val="clear" w:color="auto" w:fill="auto"/>
                <w:vAlign w:val="center"/>
              </w:tcPr>
              <w:p w:rsidR="00213BC9" w:rsidRPr="00213BC9" w:rsidRDefault="00213BC9" w:rsidP="00601D47">
                <w:pPr>
                  <w:jc w:val="right"/>
                  <w:rPr>
                    <w:sz w:val="12"/>
                    <w:szCs w:val="12"/>
                  </w:rPr>
                </w:pPr>
                <w:r w:rsidRPr="00213BC9">
                  <w:rPr>
                    <w:sz w:val="12"/>
                    <w:szCs w:val="12"/>
                  </w:rPr>
                  <w:t>56,304,050</w:t>
                </w:r>
              </w:p>
            </w:tc>
            <w:tc>
              <w:tcPr>
                <w:tcW w:w="404" w:type="pct"/>
                <w:shd w:val="clear" w:color="auto" w:fill="auto"/>
                <w:vAlign w:val="center"/>
              </w:tcPr>
              <w:p w:rsidR="00213BC9" w:rsidRPr="00213BC9" w:rsidRDefault="00213BC9" w:rsidP="00601D47">
                <w:pPr>
                  <w:jc w:val="right"/>
                  <w:rPr>
                    <w:sz w:val="12"/>
                    <w:szCs w:val="12"/>
                  </w:rPr>
                </w:pPr>
                <w:r w:rsidRPr="00213BC9">
                  <w:rPr>
                    <w:sz w:val="12"/>
                    <w:szCs w:val="12"/>
                  </w:rPr>
                  <w:t>63,429,735</w:t>
                </w:r>
              </w:p>
            </w:tc>
            <w:tc>
              <w:tcPr>
                <w:tcW w:w="404" w:type="pct"/>
                <w:shd w:val="clear" w:color="auto" w:fill="auto"/>
                <w:vAlign w:val="center"/>
              </w:tcPr>
              <w:p w:rsidR="00213BC9" w:rsidRPr="00213BC9" w:rsidRDefault="00213BC9" w:rsidP="00601D47">
                <w:pPr>
                  <w:jc w:val="right"/>
                  <w:rPr>
                    <w:sz w:val="12"/>
                    <w:szCs w:val="12"/>
                  </w:rPr>
                </w:pPr>
                <w:r w:rsidRPr="00213BC9">
                  <w:rPr>
                    <w:sz w:val="12"/>
                    <w:szCs w:val="12"/>
                  </w:rPr>
                  <w:t>90,237,883</w:t>
                </w:r>
              </w:p>
            </w:tc>
            <w:tc>
              <w:tcPr>
                <w:tcW w:w="404" w:type="pct"/>
                <w:shd w:val="clear" w:color="auto" w:fill="auto"/>
                <w:vAlign w:val="center"/>
              </w:tcPr>
              <w:p w:rsidR="00213BC9" w:rsidRPr="00213BC9" w:rsidRDefault="00213BC9" w:rsidP="00601D47">
                <w:pPr>
                  <w:jc w:val="right"/>
                  <w:rPr>
                    <w:sz w:val="12"/>
                    <w:szCs w:val="12"/>
                  </w:rPr>
                </w:pPr>
                <w:r w:rsidRPr="00213BC9">
                  <w:rPr>
                    <w:sz w:val="12"/>
                    <w:szCs w:val="12"/>
                  </w:rPr>
                  <w:t>39,965,855</w:t>
                </w:r>
              </w:p>
            </w:tc>
            <w:tc>
              <w:tcPr>
                <w:tcW w:w="401" w:type="pct"/>
                <w:shd w:val="clear" w:color="auto" w:fill="auto"/>
                <w:vAlign w:val="center"/>
              </w:tcPr>
              <w:p w:rsidR="00213BC9" w:rsidRPr="00213BC9" w:rsidRDefault="00213BC9" w:rsidP="00601D47">
                <w:pPr>
                  <w:jc w:val="right"/>
                  <w:rPr>
                    <w:sz w:val="12"/>
                    <w:szCs w:val="12"/>
                  </w:rPr>
                </w:pPr>
                <w:r w:rsidRPr="00213BC9">
                  <w:rPr>
                    <w:sz w:val="12"/>
                    <w:szCs w:val="12"/>
                  </w:rPr>
                  <w:t>9,680,415,558</w:t>
                </w:r>
              </w:p>
            </w:tc>
          </w:tr>
          <w:tr w:rsidR="00E27B33" w:rsidTr="00B1561D">
            <w:sdt>
              <w:sdtPr>
                <w:rPr>
                  <w:sz w:val="12"/>
                  <w:szCs w:val="12"/>
                </w:rPr>
                <w:tag w:val="_PLD_726d6f59ad1c442a86cca9c28703f954"/>
                <w:id w:val="1221632468"/>
                <w:lock w:val="sdtLocked"/>
              </w:sdtPr>
              <w:sdtContent>
                <w:tc>
                  <w:tcPr>
                    <w:tcW w:w="633" w:type="pct"/>
                    <w:shd w:val="clear" w:color="auto" w:fill="auto"/>
                  </w:tcPr>
                  <w:p w:rsidR="00213BC9" w:rsidRPr="00213BC9" w:rsidRDefault="00213BC9" w:rsidP="00601D47">
                    <w:pPr>
                      <w:ind w:firstLineChars="300" w:firstLine="360"/>
                      <w:rPr>
                        <w:sz w:val="12"/>
                        <w:szCs w:val="12"/>
                      </w:rPr>
                    </w:pPr>
                    <w:r w:rsidRPr="00213BC9">
                      <w:rPr>
                        <w:rFonts w:hint="eastAsia"/>
                        <w:sz w:val="12"/>
                        <w:szCs w:val="12"/>
                      </w:rPr>
                      <w:t>（3）企业合并增加</w:t>
                    </w:r>
                  </w:p>
                </w:tc>
              </w:sdtContent>
            </w:sdt>
            <w:tc>
              <w:tcPr>
                <w:tcW w:w="389" w:type="pct"/>
                <w:shd w:val="clear" w:color="auto" w:fill="auto"/>
                <w:vAlign w:val="center"/>
              </w:tcPr>
              <w:p w:rsidR="00213BC9" w:rsidRPr="00213BC9" w:rsidRDefault="00213BC9" w:rsidP="00601D47">
                <w:pPr>
                  <w:jc w:val="right"/>
                  <w:rPr>
                    <w:sz w:val="12"/>
                    <w:szCs w:val="12"/>
                  </w:rPr>
                </w:pPr>
                <w:r w:rsidRPr="00213BC9">
                  <w:rPr>
                    <w:sz w:val="12"/>
                    <w:szCs w:val="12"/>
                  </w:rPr>
                  <w:t>0</w:t>
                </w:r>
              </w:p>
            </w:tc>
            <w:tc>
              <w:tcPr>
                <w:tcW w:w="389" w:type="pct"/>
                <w:shd w:val="clear" w:color="auto" w:fill="auto"/>
                <w:vAlign w:val="center"/>
              </w:tcPr>
              <w:p w:rsidR="00213BC9" w:rsidRPr="00213BC9" w:rsidRDefault="00213BC9" w:rsidP="00601D47">
                <w:pPr>
                  <w:jc w:val="right"/>
                  <w:rPr>
                    <w:sz w:val="12"/>
                    <w:szCs w:val="12"/>
                  </w:rPr>
                </w:pPr>
                <w:r w:rsidRPr="00213BC9">
                  <w:rPr>
                    <w:sz w:val="12"/>
                    <w:szCs w:val="12"/>
                  </w:rPr>
                  <w:t>0</w:t>
                </w:r>
              </w:p>
            </w:tc>
            <w:tc>
              <w:tcPr>
                <w:tcW w:w="439" w:type="pct"/>
                <w:shd w:val="clear" w:color="auto" w:fill="auto"/>
                <w:vAlign w:val="center"/>
              </w:tcPr>
              <w:p w:rsidR="00213BC9" w:rsidRPr="00213BC9" w:rsidRDefault="00213BC9" w:rsidP="00601D47">
                <w:pPr>
                  <w:jc w:val="right"/>
                  <w:rPr>
                    <w:sz w:val="12"/>
                    <w:szCs w:val="12"/>
                  </w:rPr>
                </w:pPr>
                <w:r w:rsidRPr="00213BC9">
                  <w:rPr>
                    <w:sz w:val="12"/>
                    <w:szCs w:val="12"/>
                  </w:rPr>
                  <w:t>0</w:t>
                </w:r>
              </w:p>
            </w:tc>
            <w:tc>
              <w:tcPr>
                <w:tcW w:w="389" w:type="pct"/>
                <w:shd w:val="clear" w:color="auto" w:fill="auto"/>
                <w:vAlign w:val="center"/>
              </w:tcPr>
              <w:p w:rsidR="00213BC9" w:rsidRPr="00213BC9" w:rsidRDefault="00213BC9" w:rsidP="00601D47">
                <w:pPr>
                  <w:jc w:val="right"/>
                  <w:rPr>
                    <w:sz w:val="12"/>
                    <w:szCs w:val="12"/>
                  </w:rPr>
                </w:pPr>
                <w:r w:rsidRPr="00213BC9">
                  <w:rPr>
                    <w:sz w:val="12"/>
                    <w:szCs w:val="12"/>
                  </w:rPr>
                  <w:t>0</w:t>
                </w:r>
              </w:p>
            </w:tc>
            <w:tc>
              <w:tcPr>
                <w:tcW w:w="390" w:type="pct"/>
                <w:shd w:val="clear" w:color="auto" w:fill="auto"/>
                <w:vAlign w:val="center"/>
              </w:tcPr>
              <w:p w:rsidR="00213BC9" w:rsidRPr="00213BC9" w:rsidRDefault="00213BC9" w:rsidP="00601D47">
                <w:pPr>
                  <w:jc w:val="right"/>
                  <w:rPr>
                    <w:sz w:val="12"/>
                    <w:szCs w:val="12"/>
                  </w:rPr>
                </w:pPr>
                <w:r w:rsidRPr="00213BC9">
                  <w:rPr>
                    <w:sz w:val="12"/>
                    <w:szCs w:val="12"/>
                  </w:rPr>
                  <w:t>0</w:t>
                </w:r>
              </w:p>
            </w:tc>
            <w:tc>
              <w:tcPr>
                <w:tcW w:w="388" w:type="pct"/>
                <w:shd w:val="clear" w:color="auto" w:fill="auto"/>
                <w:vAlign w:val="center"/>
              </w:tcPr>
              <w:p w:rsidR="00213BC9" w:rsidRPr="00213BC9" w:rsidRDefault="00213BC9" w:rsidP="00601D47">
                <w:pPr>
                  <w:jc w:val="right"/>
                  <w:rPr>
                    <w:sz w:val="12"/>
                    <w:szCs w:val="12"/>
                  </w:rPr>
                </w:pPr>
                <w:r w:rsidRPr="00213BC9">
                  <w:rPr>
                    <w:sz w:val="12"/>
                    <w:szCs w:val="12"/>
                  </w:rPr>
                  <w:t>0</w:t>
                </w:r>
              </w:p>
            </w:tc>
            <w:tc>
              <w:tcPr>
                <w:tcW w:w="369" w:type="pct"/>
                <w:shd w:val="clear" w:color="auto" w:fill="auto"/>
                <w:vAlign w:val="center"/>
              </w:tcPr>
              <w:p w:rsidR="00213BC9" w:rsidRPr="00213BC9" w:rsidRDefault="00213BC9" w:rsidP="00601D47">
                <w:pPr>
                  <w:jc w:val="right"/>
                  <w:rPr>
                    <w:sz w:val="12"/>
                    <w:szCs w:val="12"/>
                  </w:rPr>
                </w:pPr>
                <w:r w:rsidRPr="00213BC9">
                  <w:rPr>
                    <w:sz w:val="12"/>
                    <w:szCs w:val="12"/>
                  </w:rPr>
                  <w:t>0</w:t>
                </w:r>
              </w:p>
            </w:tc>
            <w:tc>
              <w:tcPr>
                <w:tcW w:w="404" w:type="pct"/>
                <w:shd w:val="clear" w:color="auto" w:fill="auto"/>
                <w:vAlign w:val="center"/>
              </w:tcPr>
              <w:p w:rsidR="00213BC9" w:rsidRPr="00213BC9" w:rsidRDefault="00213BC9" w:rsidP="00601D47">
                <w:pPr>
                  <w:jc w:val="right"/>
                  <w:rPr>
                    <w:sz w:val="12"/>
                    <w:szCs w:val="12"/>
                  </w:rPr>
                </w:pPr>
                <w:r w:rsidRPr="00213BC9">
                  <w:rPr>
                    <w:sz w:val="12"/>
                    <w:szCs w:val="12"/>
                  </w:rPr>
                  <w:t>0</w:t>
                </w:r>
              </w:p>
            </w:tc>
            <w:tc>
              <w:tcPr>
                <w:tcW w:w="404" w:type="pct"/>
                <w:shd w:val="clear" w:color="auto" w:fill="auto"/>
                <w:vAlign w:val="center"/>
              </w:tcPr>
              <w:p w:rsidR="00213BC9" w:rsidRPr="00213BC9" w:rsidRDefault="00213BC9" w:rsidP="00601D47">
                <w:pPr>
                  <w:jc w:val="right"/>
                  <w:rPr>
                    <w:sz w:val="12"/>
                    <w:szCs w:val="12"/>
                  </w:rPr>
                </w:pPr>
                <w:r w:rsidRPr="00213BC9">
                  <w:rPr>
                    <w:sz w:val="12"/>
                    <w:szCs w:val="12"/>
                  </w:rPr>
                  <w:t>0</w:t>
                </w:r>
              </w:p>
            </w:tc>
            <w:tc>
              <w:tcPr>
                <w:tcW w:w="404" w:type="pct"/>
                <w:shd w:val="clear" w:color="auto" w:fill="auto"/>
                <w:vAlign w:val="center"/>
              </w:tcPr>
              <w:p w:rsidR="00213BC9" w:rsidRPr="00213BC9" w:rsidRDefault="00213BC9" w:rsidP="00601D47">
                <w:pPr>
                  <w:jc w:val="right"/>
                  <w:rPr>
                    <w:sz w:val="12"/>
                    <w:szCs w:val="12"/>
                  </w:rPr>
                </w:pPr>
                <w:r w:rsidRPr="00213BC9">
                  <w:rPr>
                    <w:sz w:val="12"/>
                    <w:szCs w:val="12"/>
                  </w:rPr>
                  <w:t>0</w:t>
                </w:r>
              </w:p>
            </w:tc>
            <w:tc>
              <w:tcPr>
                <w:tcW w:w="401" w:type="pct"/>
                <w:shd w:val="clear" w:color="auto" w:fill="auto"/>
                <w:vAlign w:val="center"/>
              </w:tcPr>
              <w:p w:rsidR="00213BC9" w:rsidRPr="00213BC9" w:rsidRDefault="00213BC9" w:rsidP="00601D47">
                <w:pPr>
                  <w:jc w:val="right"/>
                  <w:rPr>
                    <w:sz w:val="12"/>
                    <w:szCs w:val="12"/>
                  </w:rPr>
                </w:pPr>
                <w:r w:rsidRPr="00213BC9">
                  <w:rPr>
                    <w:sz w:val="12"/>
                    <w:szCs w:val="12"/>
                  </w:rPr>
                  <w:t>0</w:t>
                </w:r>
              </w:p>
            </w:tc>
          </w:tr>
          <w:tr w:rsidR="00E27B33" w:rsidTr="00B1561D">
            <w:sdt>
              <w:sdtPr>
                <w:rPr>
                  <w:sz w:val="12"/>
                  <w:szCs w:val="12"/>
                </w:rPr>
                <w:alias w:val="固定资产账面原值增加项目名称"/>
                <w:tag w:val="_GBC_6e5477dc1f51417fb72841d3b7f273bd"/>
                <w:id w:val="-1706787696"/>
                <w:lock w:val="sdtLocked"/>
              </w:sdtPr>
              <w:sdtContent>
                <w:tc>
                  <w:tcPr>
                    <w:tcW w:w="633" w:type="pct"/>
                    <w:shd w:val="clear" w:color="auto" w:fill="auto"/>
                  </w:tcPr>
                  <w:p w:rsidR="00213BC9" w:rsidRPr="00213BC9" w:rsidRDefault="00213BC9" w:rsidP="00350A0C">
                    <w:pPr>
                      <w:ind w:firstLineChars="379" w:firstLine="455"/>
                      <w:rPr>
                        <w:sz w:val="12"/>
                        <w:szCs w:val="12"/>
                      </w:rPr>
                    </w:pPr>
                    <w:r w:rsidRPr="00213BC9">
                      <w:rPr>
                        <w:sz w:val="12"/>
                        <w:szCs w:val="12"/>
                      </w:rPr>
                      <w:t>(4)</w:t>
                    </w:r>
                    <w:r w:rsidRPr="00213BC9">
                      <w:rPr>
                        <w:rFonts w:hint="eastAsia"/>
                        <w:sz w:val="12"/>
                        <w:szCs w:val="12"/>
                      </w:rPr>
                      <w:t>重分类</w:t>
                    </w:r>
                  </w:p>
                </w:tc>
              </w:sdtContent>
            </w:sdt>
            <w:sdt>
              <w:sdtPr>
                <w:rPr>
                  <w:sz w:val="12"/>
                  <w:szCs w:val="12"/>
                </w:rPr>
                <w:alias w:val="固定资产账面原值增加项目金额"/>
                <w:tag w:val="_GBC_4a8efbc39f04483fb64867a5d5e98d88"/>
                <w:id w:val="245692915"/>
                <w:lock w:val="sdtLocked"/>
              </w:sdtPr>
              <w:sdtContent>
                <w:tc>
                  <w:tcPr>
                    <w:tcW w:w="389" w:type="pct"/>
                    <w:shd w:val="clear" w:color="auto" w:fill="auto"/>
                    <w:vAlign w:val="center"/>
                  </w:tcPr>
                  <w:p w:rsidR="00213BC9" w:rsidRPr="00213BC9" w:rsidRDefault="00213BC9" w:rsidP="00601D47">
                    <w:pPr>
                      <w:jc w:val="right"/>
                      <w:rPr>
                        <w:sz w:val="12"/>
                        <w:szCs w:val="12"/>
                      </w:rPr>
                    </w:pPr>
                    <w:r w:rsidRPr="00213BC9">
                      <w:rPr>
                        <w:sz w:val="12"/>
                        <w:szCs w:val="12"/>
                      </w:rPr>
                      <w:t>-1,647,932</w:t>
                    </w:r>
                  </w:p>
                </w:tc>
              </w:sdtContent>
            </w:sdt>
            <w:sdt>
              <w:sdtPr>
                <w:rPr>
                  <w:sz w:val="12"/>
                  <w:szCs w:val="12"/>
                </w:rPr>
                <w:alias w:val="固定资产账面原值增加项目金额"/>
                <w:tag w:val="_GBC_4a8efbc39f04483fb64867a5d5e98d88"/>
                <w:id w:val="1045556127"/>
                <w:lock w:val="sdtLocked"/>
              </w:sdtPr>
              <w:sdtContent>
                <w:tc>
                  <w:tcPr>
                    <w:tcW w:w="389" w:type="pct"/>
                    <w:shd w:val="clear" w:color="auto" w:fill="auto"/>
                    <w:vAlign w:val="center"/>
                  </w:tcPr>
                  <w:p w:rsidR="00213BC9" w:rsidRPr="00213BC9" w:rsidRDefault="00213BC9" w:rsidP="00601D47">
                    <w:pPr>
                      <w:jc w:val="right"/>
                      <w:rPr>
                        <w:sz w:val="12"/>
                        <w:szCs w:val="12"/>
                      </w:rPr>
                    </w:pPr>
                    <w:r w:rsidRPr="00213BC9">
                      <w:rPr>
                        <w:sz w:val="12"/>
                        <w:szCs w:val="12"/>
                      </w:rPr>
                      <w:t>0</w:t>
                    </w:r>
                  </w:p>
                </w:tc>
              </w:sdtContent>
            </w:sdt>
            <w:sdt>
              <w:sdtPr>
                <w:rPr>
                  <w:sz w:val="12"/>
                  <w:szCs w:val="12"/>
                </w:rPr>
                <w:alias w:val="固定资产账面原值增加项目金额"/>
                <w:tag w:val="_GBC_4a8efbc39f04483fb64867a5d5e98d88"/>
                <w:id w:val="-1408683373"/>
                <w:lock w:val="sdtLocked"/>
              </w:sdtPr>
              <w:sdtContent>
                <w:tc>
                  <w:tcPr>
                    <w:tcW w:w="439" w:type="pct"/>
                    <w:shd w:val="clear" w:color="auto" w:fill="auto"/>
                    <w:vAlign w:val="center"/>
                  </w:tcPr>
                  <w:p w:rsidR="00213BC9" w:rsidRPr="00213BC9" w:rsidRDefault="00213BC9" w:rsidP="00601D47">
                    <w:pPr>
                      <w:jc w:val="right"/>
                      <w:rPr>
                        <w:sz w:val="12"/>
                        <w:szCs w:val="12"/>
                      </w:rPr>
                    </w:pPr>
                    <w:r w:rsidRPr="00213BC9">
                      <w:rPr>
                        <w:sz w:val="12"/>
                        <w:szCs w:val="12"/>
                      </w:rPr>
                      <w:t>0</w:t>
                    </w:r>
                  </w:p>
                </w:tc>
              </w:sdtContent>
            </w:sdt>
            <w:sdt>
              <w:sdtPr>
                <w:rPr>
                  <w:sz w:val="12"/>
                  <w:szCs w:val="12"/>
                </w:rPr>
                <w:alias w:val="固定资产账面原值增加项目金额"/>
                <w:tag w:val="_GBC_4a8efbc39f04483fb64867a5d5e98d88"/>
                <w:id w:val="-1917231445"/>
                <w:lock w:val="sdtLocked"/>
              </w:sdtPr>
              <w:sdtContent>
                <w:tc>
                  <w:tcPr>
                    <w:tcW w:w="389" w:type="pct"/>
                    <w:shd w:val="clear" w:color="auto" w:fill="auto"/>
                    <w:vAlign w:val="center"/>
                  </w:tcPr>
                  <w:p w:rsidR="00213BC9" w:rsidRPr="00213BC9" w:rsidRDefault="00213BC9" w:rsidP="00601D47">
                    <w:pPr>
                      <w:jc w:val="right"/>
                      <w:rPr>
                        <w:sz w:val="12"/>
                        <w:szCs w:val="12"/>
                      </w:rPr>
                    </w:pPr>
                    <w:r w:rsidRPr="00213BC9">
                      <w:rPr>
                        <w:sz w:val="12"/>
                        <w:szCs w:val="12"/>
                      </w:rPr>
                      <w:t>0</w:t>
                    </w:r>
                  </w:p>
                </w:tc>
              </w:sdtContent>
            </w:sdt>
            <w:sdt>
              <w:sdtPr>
                <w:rPr>
                  <w:sz w:val="12"/>
                  <w:szCs w:val="12"/>
                </w:rPr>
                <w:alias w:val="固定资产账面原值增加项目金额"/>
                <w:tag w:val="_GBC_4a8efbc39f04483fb64867a5d5e98d88"/>
                <w:id w:val="510642039"/>
                <w:lock w:val="sdtLocked"/>
              </w:sdtPr>
              <w:sdtContent>
                <w:tc>
                  <w:tcPr>
                    <w:tcW w:w="390" w:type="pct"/>
                    <w:shd w:val="clear" w:color="auto" w:fill="auto"/>
                    <w:vAlign w:val="center"/>
                  </w:tcPr>
                  <w:p w:rsidR="00213BC9" w:rsidRPr="00213BC9" w:rsidRDefault="00213BC9" w:rsidP="00601D47">
                    <w:pPr>
                      <w:jc w:val="right"/>
                      <w:rPr>
                        <w:sz w:val="12"/>
                        <w:szCs w:val="12"/>
                      </w:rPr>
                    </w:pPr>
                    <w:r w:rsidRPr="00213BC9">
                      <w:rPr>
                        <w:sz w:val="12"/>
                        <w:szCs w:val="12"/>
                      </w:rPr>
                      <w:t>165,400</w:t>
                    </w:r>
                  </w:p>
                </w:tc>
              </w:sdtContent>
            </w:sdt>
            <w:sdt>
              <w:sdtPr>
                <w:rPr>
                  <w:sz w:val="12"/>
                  <w:szCs w:val="12"/>
                </w:rPr>
                <w:alias w:val="固定资产账面原值增加项目金额"/>
                <w:tag w:val="_GBC_4a8efbc39f04483fb64867a5d5e98d88"/>
                <w:id w:val="-2008661281"/>
                <w:lock w:val="sdtLocked"/>
              </w:sdtPr>
              <w:sdtContent>
                <w:tc>
                  <w:tcPr>
                    <w:tcW w:w="388" w:type="pct"/>
                    <w:shd w:val="clear" w:color="auto" w:fill="auto"/>
                    <w:vAlign w:val="center"/>
                  </w:tcPr>
                  <w:p w:rsidR="00213BC9" w:rsidRPr="00213BC9" w:rsidRDefault="00213BC9" w:rsidP="00601D47">
                    <w:pPr>
                      <w:jc w:val="right"/>
                      <w:rPr>
                        <w:sz w:val="12"/>
                        <w:szCs w:val="12"/>
                      </w:rPr>
                    </w:pPr>
                    <w:r w:rsidRPr="00213BC9">
                      <w:rPr>
                        <w:sz w:val="12"/>
                        <w:szCs w:val="12"/>
                      </w:rPr>
                      <w:t>500,000</w:t>
                    </w:r>
                  </w:p>
                </w:tc>
              </w:sdtContent>
            </w:sdt>
            <w:sdt>
              <w:sdtPr>
                <w:rPr>
                  <w:sz w:val="12"/>
                  <w:szCs w:val="12"/>
                </w:rPr>
                <w:alias w:val="固定资产账面原值增加项目金额"/>
                <w:tag w:val="_GBC_4a8efbc39f04483fb64867a5d5e98d88"/>
                <w:id w:val="-1141960012"/>
                <w:lock w:val="sdtLocked"/>
              </w:sdtPr>
              <w:sdtContent>
                <w:tc>
                  <w:tcPr>
                    <w:tcW w:w="369" w:type="pct"/>
                    <w:shd w:val="clear" w:color="auto" w:fill="auto"/>
                    <w:vAlign w:val="center"/>
                  </w:tcPr>
                  <w:p w:rsidR="00213BC9" w:rsidRPr="00213BC9" w:rsidRDefault="00213BC9" w:rsidP="00601D47">
                    <w:pPr>
                      <w:jc w:val="right"/>
                      <w:rPr>
                        <w:sz w:val="12"/>
                        <w:szCs w:val="12"/>
                      </w:rPr>
                    </w:pPr>
                    <w:r w:rsidRPr="00213BC9">
                      <w:rPr>
                        <w:sz w:val="12"/>
                        <w:szCs w:val="12"/>
                      </w:rPr>
                      <w:t>514,600</w:t>
                    </w:r>
                  </w:p>
                </w:tc>
              </w:sdtContent>
            </w:sdt>
            <w:sdt>
              <w:sdtPr>
                <w:rPr>
                  <w:sz w:val="12"/>
                  <w:szCs w:val="12"/>
                </w:rPr>
                <w:alias w:val="固定资产账面原值增加项目金额"/>
                <w:tag w:val="_GBC_4a8efbc39f04483fb64867a5d5e98d88"/>
                <w:id w:val="-624153386"/>
                <w:lock w:val="sdtLocked"/>
              </w:sdtPr>
              <w:sdtContent>
                <w:tc>
                  <w:tcPr>
                    <w:tcW w:w="404" w:type="pct"/>
                    <w:shd w:val="clear" w:color="auto" w:fill="auto"/>
                    <w:vAlign w:val="center"/>
                  </w:tcPr>
                  <w:p w:rsidR="00213BC9" w:rsidRPr="00213BC9" w:rsidRDefault="00213BC9" w:rsidP="00601D47">
                    <w:pPr>
                      <w:jc w:val="right"/>
                      <w:rPr>
                        <w:sz w:val="12"/>
                        <w:szCs w:val="12"/>
                      </w:rPr>
                    </w:pPr>
                    <w:r w:rsidRPr="00213BC9">
                      <w:rPr>
                        <w:sz w:val="12"/>
                        <w:szCs w:val="12"/>
                      </w:rPr>
                      <w:t>-680,000</w:t>
                    </w:r>
                  </w:p>
                </w:tc>
              </w:sdtContent>
            </w:sdt>
            <w:sdt>
              <w:sdtPr>
                <w:rPr>
                  <w:sz w:val="12"/>
                  <w:szCs w:val="12"/>
                </w:rPr>
                <w:alias w:val="固定资产账面原值增加项目金额"/>
                <w:tag w:val="_GBC_4a8efbc39f04483fb64867a5d5e98d88"/>
                <w:id w:val="1371189450"/>
                <w:lock w:val="sdtLocked"/>
              </w:sdtPr>
              <w:sdtContent>
                <w:tc>
                  <w:tcPr>
                    <w:tcW w:w="404" w:type="pct"/>
                    <w:shd w:val="clear" w:color="auto" w:fill="auto"/>
                    <w:vAlign w:val="center"/>
                  </w:tcPr>
                  <w:p w:rsidR="00213BC9" w:rsidRPr="00213BC9" w:rsidRDefault="00213BC9" w:rsidP="00601D47">
                    <w:pPr>
                      <w:jc w:val="right"/>
                      <w:rPr>
                        <w:sz w:val="12"/>
                        <w:szCs w:val="12"/>
                      </w:rPr>
                    </w:pPr>
                    <w:r w:rsidRPr="00213BC9">
                      <w:rPr>
                        <w:sz w:val="12"/>
                        <w:szCs w:val="12"/>
                      </w:rPr>
                      <w:t>1,494,842</w:t>
                    </w:r>
                  </w:p>
                </w:tc>
              </w:sdtContent>
            </w:sdt>
            <w:sdt>
              <w:sdtPr>
                <w:rPr>
                  <w:sz w:val="12"/>
                  <w:szCs w:val="12"/>
                </w:rPr>
                <w:alias w:val="固定资产账面原值增加项目金额"/>
                <w:tag w:val="_GBC_4a8efbc39f04483fb64867a5d5e98d88"/>
                <w:id w:val="-1549906364"/>
                <w:lock w:val="sdtLocked"/>
              </w:sdtPr>
              <w:sdtContent>
                <w:tc>
                  <w:tcPr>
                    <w:tcW w:w="404" w:type="pct"/>
                    <w:shd w:val="clear" w:color="auto" w:fill="auto"/>
                    <w:vAlign w:val="center"/>
                  </w:tcPr>
                  <w:p w:rsidR="00213BC9" w:rsidRPr="00213BC9" w:rsidRDefault="00213BC9" w:rsidP="00601D47">
                    <w:pPr>
                      <w:jc w:val="right"/>
                      <w:rPr>
                        <w:sz w:val="12"/>
                        <w:szCs w:val="12"/>
                      </w:rPr>
                    </w:pPr>
                    <w:r w:rsidRPr="00213BC9">
                      <w:rPr>
                        <w:sz w:val="12"/>
                        <w:szCs w:val="12"/>
                      </w:rPr>
                      <w:t>-346,910</w:t>
                    </w:r>
                  </w:p>
                </w:tc>
              </w:sdtContent>
            </w:sdt>
            <w:sdt>
              <w:sdtPr>
                <w:rPr>
                  <w:sz w:val="12"/>
                  <w:szCs w:val="12"/>
                </w:rPr>
                <w:alias w:val="固定资产账面原值增加项目合计金额"/>
                <w:tag w:val="_GBC_644f201b97ec4c45a852c12643d6ff5c"/>
                <w:id w:val="-905920985"/>
                <w:lock w:val="sdtLocked"/>
              </w:sdtPr>
              <w:sdtContent>
                <w:tc>
                  <w:tcPr>
                    <w:tcW w:w="401" w:type="pct"/>
                    <w:shd w:val="clear" w:color="auto" w:fill="auto"/>
                    <w:vAlign w:val="center"/>
                  </w:tcPr>
                  <w:p w:rsidR="00213BC9" w:rsidRPr="00213BC9" w:rsidRDefault="00213BC9" w:rsidP="00601D47">
                    <w:pPr>
                      <w:jc w:val="right"/>
                      <w:rPr>
                        <w:sz w:val="12"/>
                        <w:szCs w:val="12"/>
                      </w:rPr>
                    </w:pPr>
                    <w:r w:rsidRPr="00213BC9">
                      <w:rPr>
                        <w:sz w:val="12"/>
                        <w:szCs w:val="12"/>
                      </w:rPr>
                      <w:t>0</w:t>
                    </w:r>
                  </w:p>
                </w:tc>
              </w:sdtContent>
            </w:sdt>
          </w:tr>
          <w:tr w:rsidR="00E27B33" w:rsidTr="00B1561D">
            <w:sdt>
              <w:sdtPr>
                <w:rPr>
                  <w:sz w:val="12"/>
                  <w:szCs w:val="12"/>
                </w:rPr>
                <w:tag w:val="_PLD_82105b7a23294bcc97fa2c9d341d5e29"/>
                <w:id w:val="1370728363"/>
                <w:lock w:val="sdtLocked"/>
              </w:sdtPr>
              <w:sdtContent>
                <w:tc>
                  <w:tcPr>
                    <w:tcW w:w="633" w:type="pct"/>
                    <w:shd w:val="clear" w:color="auto" w:fill="auto"/>
                  </w:tcPr>
                  <w:p w:rsidR="00213BC9" w:rsidRPr="00213BC9" w:rsidRDefault="00213BC9" w:rsidP="00601D47">
                    <w:pPr>
                      <w:ind w:firstLineChars="202" w:firstLine="242"/>
                      <w:rPr>
                        <w:sz w:val="12"/>
                        <w:szCs w:val="12"/>
                      </w:rPr>
                    </w:pPr>
                    <w:r w:rsidRPr="00213BC9">
                      <w:rPr>
                        <w:rFonts w:hint="eastAsia"/>
                        <w:sz w:val="12"/>
                        <w:szCs w:val="12"/>
                      </w:rPr>
                      <w:t>3.本期减少金额</w:t>
                    </w:r>
                  </w:p>
                </w:tc>
              </w:sdtContent>
            </w:sdt>
            <w:tc>
              <w:tcPr>
                <w:tcW w:w="389" w:type="pct"/>
                <w:shd w:val="clear" w:color="auto" w:fill="auto"/>
                <w:vAlign w:val="center"/>
              </w:tcPr>
              <w:p w:rsidR="00213BC9" w:rsidRPr="00213BC9" w:rsidRDefault="00213BC9" w:rsidP="00601D47">
                <w:pPr>
                  <w:jc w:val="right"/>
                  <w:rPr>
                    <w:sz w:val="12"/>
                    <w:szCs w:val="12"/>
                  </w:rPr>
                </w:pPr>
                <w:r w:rsidRPr="00213BC9">
                  <w:rPr>
                    <w:sz w:val="12"/>
                    <w:szCs w:val="12"/>
                  </w:rPr>
                  <w:t>273,678,551</w:t>
                </w:r>
              </w:p>
            </w:tc>
            <w:tc>
              <w:tcPr>
                <w:tcW w:w="389" w:type="pct"/>
                <w:shd w:val="clear" w:color="auto" w:fill="auto"/>
                <w:vAlign w:val="center"/>
              </w:tcPr>
              <w:p w:rsidR="00213BC9" w:rsidRPr="00213BC9" w:rsidRDefault="00213BC9" w:rsidP="00601D47">
                <w:pPr>
                  <w:jc w:val="right"/>
                  <w:rPr>
                    <w:sz w:val="12"/>
                    <w:szCs w:val="12"/>
                  </w:rPr>
                </w:pPr>
                <w:r w:rsidRPr="00213BC9">
                  <w:rPr>
                    <w:sz w:val="12"/>
                    <w:szCs w:val="12"/>
                  </w:rPr>
                  <w:t>7,762,430,629</w:t>
                </w:r>
              </w:p>
            </w:tc>
            <w:tc>
              <w:tcPr>
                <w:tcW w:w="439" w:type="pct"/>
                <w:shd w:val="clear" w:color="auto" w:fill="auto"/>
                <w:vAlign w:val="center"/>
              </w:tcPr>
              <w:p w:rsidR="00213BC9" w:rsidRPr="00213BC9" w:rsidRDefault="00213BC9" w:rsidP="00601D47">
                <w:pPr>
                  <w:jc w:val="right"/>
                  <w:rPr>
                    <w:sz w:val="12"/>
                    <w:szCs w:val="12"/>
                  </w:rPr>
                </w:pPr>
                <w:r w:rsidRPr="00213BC9">
                  <w:rPr>
                    <w:sz w:val="12"/>
                    <w:szCs w:val="12"/>
                  </w:rPr>
                  <w:t>2,709,222,389</w:t>
                </w:r>
              </w:p>
            </w:tc>
            <w:tc>
              <w:tcPr>
                <w:tcW w:w="389" w:type="pct"/>
                <w:shd w:val="clear" w:color="auto" w:fill="auto"/>
                <w:vAlign w:val="center"/>
              </w:tcPr>
              <w:p w:rsidR="00213BC9" w:rsidRPr="00213BC9" w:rsidRDefault="00213BC9" w:rsidP="00601D47">
                <w:pPr>
                  <w:jc w:val="right"/>
                  <w:rPr>
                    <w:sz w:val="12"/>
                    <w:szCs w:val="12"/>
                  </w:rPr>
                </w:pPr>
                <w:r w:rsidRPr="00213BC9">
                  <w:rPr>
                    <w:sz w:val="12"/>
                    <w:szCs w:val="12"/>
                  </w:rPr>
                  <w:t>71,801,322</w:t>
                </w:r>
              </w:p>
            </w:tc>
            <w:tc>
              <w:tcPr>
                <w:tcW w:w="390" w:type="pct"/>
                <w:shd w:val="clear" w:color="auto" w:fill="auto"/>
                <w:vAlign w:val="center"/>
              </w:tcPr>
              <w:p w:rsidR="00213BC9" w:rsidRPr="00213BC9" w:rsidRDefault="00213BC9" w:rsidP="00601D47">
                <w:pPr>
                  <w:jc w:val="right"/>
                  <w:rPr>
                    <w:sz w:val="12"/>
                    <w:szCs w:val="12"/>
                  </w:rPr>
                </w:pPr>
                <w:r w:rsidRPr="00213BC9">
                  <w:rPr>
                    <w:sz w:val="12"/>
                    <w:szCs w:val="12"/>
                  </w:rPr>
                  <w:t>447,031,367</w:t>
                </w:r>
              </w:p>
            </w:tc>
            <w:tc>
              <w:tcPr>
                <w:tcW w:w="388" w:type="pct"/>
                <w:shd w:val="clear" w:color="auto" w:fill="auto"/>
                <w:vAlign w:val="center"/>
              </w:tcPr>
              <w:p w:rsidR="00213BC9" w:rsidRPr="00213BC9" w:rsidRDefault="00213BC9" w:rsidP="00601D47">
                <w:pPr>
                  <w:jc w:val="right"/>
                  <w:rPr>
                    <w:sz w:val="12"/>
                    <w:szCs w:val="12"/>
                  </w:rPr>
                </w:pPr>
                <w:r w:rsidRPr="00213BC9">
                  <w:rPr>
                    <w:sz w:val="12"/>
                    <w:szCs w:val="12"/>
                  </w:rPr>
                  <w:t>217,570,283</w:t>
                </w:r>
              </w:p>
            </w:tc>
            <w:tc>
              <w:tcPr>
                <w:tcW w:w="369" w:type="pct"/>
                <w:shd w:val="clear" w:color="auto" w:fill="auto"/>
                <w:vAlign w:val="center"/>
              </w:tcPr>
              <w:p w:rsidR="00213BC9" w:rsidRPr="00213BC9" w:rsidRDefault="00213BC9" w:rsidP="00601D47">
                <w:pPr>
                  <w:jc w:val="right"/>
                  <w:rPr>
                    <w:sz w:val="12"/>
                    <w:szCs w:val="12"/>
                  </w:rPr>
                </w:pPr>
                <w:r w:rsidRPr="00213BC9">
                  <w:rPr>
                    <w:sz w:val="12"/>
                    <w:szCs w:val="12"/>
                  </w:rPr>
                  <w:t>97,495,229</w:t>
                </w:r>
              </w:p>
            </w:tc>
            <w:tc>
              <w:tcPr>
                <w:tcW w:w="404" w:type="pct"/>
                <w:shd w:val="clear" w:color="auto" w:fill="auto"/>
                <w:vAlign w:val="center"/>
              </w:tcPr>
              <w:p w:rsidR="00213BC9" w:rsidRPr="00213BC9" w:rsidRDefault="00213BC9" w:rsidP="00601D47">
                <w:pPr>
                  <w:jc w:val="right"/>
                  <w:rPr>
                    <w:sz w:val="12"/>
                    <w:szCs w:val="12"/>
                  </w:rPr>
                </w:pPr>
                <w:r w:rsidRPr="00213BC9">
                  <w:rPr>
                    <w:sz w:val="12"/>
                    <w:szCs w:val="12"/>
                  </w:rPr>
                  <w:t>68,612,577</w:t>
                </w:r>
              </w:p>
            </w:tc>
            <w:tc>
              <w:tcPr>
                <w:tcW w:w="404" w:type="pct"/>
                <w:shd w:val="clear" w:color="auto" w:fill="auto"/>
                <w:vAlign w:val="center"/>
              </w:tcPr>
              <w:p w:rsidR="00213BC9" w:rsidRPr="00213BC9" w:rsidRDefault="00213BC9" w:rsidP="00601D47">
                <w:pPr>
                  <w:jc w:val="right"/>
                  <w:rPr>
                    <w:sz w:val="12"/>
                    <w:szCs w:val="12"/>
                  </w:rPr>
                </w:pPr>
                <w:r w:rsidRPr="00213BC9">
                  <w:rPr>
                    <w:sz w:val="12"/>
                    <w:szCs w:val="12"/>
                  </w:rPr>
                  <w:t>121,722,529</w:t>
                </w:r>
              </w:p>
            </w:tc>
            <w:tc>
              <w:tcPr>
                <w:tcW w:w="404" w:type="pct"/>
                <w:shd w:val="clear" w:color="auto" w:fill="auto"/>
                <w:vAlign w:val="center"/>
              </w:tcPr>
              <w:p w:rsidR="00213BC9" w:rsidRPr="00213BC9" w:rsidRDefault="00213BC9" w:rsidP="00601D47">
                <w:pPr>
                  <w:jc w:val="right"/>
                  <w:rPr>
                    <w:sz w:val="12"/>
                    <w:szCs w:val="12"/>
                  </w:rPr>
                </w:pPr>
                <w:r w:rsidRPr="00213BC9">
                  <w:rPr>
                    <w:sz w:val="12"/>
                    <w:szCs w:val="12"/>
                  </w:rPr>
                  <w:t>32,019,668</w:t>
                </w:r>
              </w:p>
            </w:tc>
            <w:tc>
              <w:tcPr>
                <w:tcW w:w="401" w:type="pct"/>
                <w:shd w:val="clear" w:color="auto" w:fill="auto"/>
                <w:vAlign w:val="center"/>
              </w:tcPr>
              <w:p w:rsidR="00213BC9" w:rsidRPr="00213BC9" w:rsidRDefault="00213BC9" w:rsidP="00601D47">
                <w:pPr>
                  <w:jc w:val="right"/>
                  <w:rPr>
                    <w:sz w:val="12"/>
                    <w:szCs w:val="12"/>
                  </w:rPr>
                </w:pPr>
                <w:r w:rsidRPr="00213BC9">
                  <w:rPr>
                    <w:sz w:val="12"/>
                    <w:szCs w:val="12"/>
                  </w:rPr>
                  <w:t>11,801,584,544</w:t>
                </w:r>
              </w:p>
            </w:tc>
          </w:tr>
          <w:tr w:rsidR="00E27B33" w:rsidTr="00B1561D">
            <w:sdt>
              <w:sdtPr>
                <w:rPr>
                  <w:sz w:val="12"/>
                  <w:szCs w:val="12"/>
                </w:rPr>
                <w:tag w:val="_PLD_ff1592931fc24cf7bf5faee8eae2abb5"/>
                <w:id w:val="-1486931979"/>
                <w:lock w:val="sdtLocked"/>
              </w:sdtPr>
              <w:sdtContent>
                <w:tc>
                  <w:tcPr>
                    <w:tcW w:w="633" w:type="pct"/>
                    <w:shd w:val="clear" w:color="auto" w:fill="auto"/>
                  </w:tcPr>
                  <w:p w:rsidR="00213BC9" w:rsidRPr="00213BC9" w:rsidRDefault="00213BC9" w:rsidP="00601D47">
                    <w:pPr>
                      <w:ind w:firstLineChars="300" w:firstLine="360"/>
                      <w:rPr>
                        <w:sz w:val="12"/>
                        <w:szCs w:val="12"/>
                      </w:rPr>
                    </w:pPr>
                    <w:r w:rsidRPr="00213BC9">
                      <w:rPr>
                        <w:rFonts w:hint="eastAsia"/>
                        <w:sz w:val="12"/>
                        <w:szCs w:val="12"/>
                      </w:rPr>
                      <w:t>（1）处置或报废</w:t>
                    </w:r>
                  </w:p>
                </w:tc>
              </w:sdtContent>
            </w:sdt>
            <w:tc>
              <w:tcPr>
                <w:tcW w:w="389" w:type="pct"/>
                <w:shd w:val="clear" w:color="auto" w:fill="auto"/>
                <w:vAlign w:val="center"/>
              </w:tcPr>
              <w:p w:rsidR="00213BC9" w:rsidRPr="00213BC9" w:rsidRDefault="00213BC9" w:rsidP="00601D47">
                <w:pPr>
                  <w:jc w:val="right"/>
                  <w:rPr>
                    <w:sz w:val="12"/>
                    <w:szCs w:val="12"/>
                  </w:rPr>
                </w:pPr>
                <w:r w:rsidRPr="00213BC9">
                  <w:rPr>
                    <w:sz w:val="12"/>
                    <w:szCs w:val="12"/>
                  </w:rPr>
                  <w:t>35,753,179</w:t>
                </w:r>
              </w:p>
            </w:tc>
            <w:tc>
              <w:tcPr>
                <w:tcW w:w="389" w:type="pct"/>
                <w:shd w:val="clear" w:color="auto" w:fill="auto"/>
                <w:vAlign w:val="center"/>
              </w:tcPr>
              <w:p w:rsidR="00213BC9" w:rsidRPr="00213BC9" w:rsidRDefault="00213BC9" w:rsidP="00601D47">
                <w:pPr>
                  <w:jc w:val="right"/>
                  <w:rPr>
                    <w:sz w:val="12"/>
                    <w:szCs w:val="12"/>
                  </w:rPr>
                </w:pPr>
                <w:r w:rsidRPr="00213BC9">
                  <w:rPr>
                    <w:sz w:val="12"/>
                    <w:szCs w:val="12"/>
                  </w:rPr>
                  <w:t>83,559,318</w:t>
                </w:r>
              </w:p>
            </w:tc>
            <w:tc>
              <w:tcPr>
                <w:tcW w:w="439" w:type="pct"/>
                <w:shd w:val="clear" w:color="auto" w:fill="auto"/>
                <w:vAlign w:val="center"/>
              </w:tcPr>
              <w:p w:rsidR="00213BC9" w:rsidRPr="00213BC9" w:rsidRDefault="00213BC9" w:rsidP="00601D47">
                <w:pPr>
                  <w:jc w:val="right"/>
                  <w:rPr>
                    <w:sz w:val="12"/>
                    <w:szCs w:val="12"/>
                  </w:rPr>
                </w:pPr>
                <w:r w:rsidRPr="00213BC9">
                  <w:rPr>
                    <w:sz w:val="12"/>
                    <w:szCs w:val="12"/>
                  </w:rPr>
                  <w:t>39,763,857</w:t>
                </w:r>
              </w:p>
            </w:tc>
            <w:tc>
              <w:tcPr>
                <w:tcW w:w="389" w:type="pct"/>
                <w:shd w:val="clear" w:color="auto" w:fill="auto"/>
                <w:vAlign w:val="center"/>
              </w:tcPr>
              <w:p w:rsidR="00213BC9" w:rsidRPr="00213BC9" w:rsidRDefault="00213BC9" w:rsidP="00601D47">
                <w:pPr>
                  <w:jc w:val="right"/>
                  <w:rPr>
                    <w:sz w:val="12"/>
                    <w:szCs w:val="12"/>
                  </w:rPr>
                </w:pPr>
                <w:r w:rsidRPr="00213BC9">
                  <w:rPr>
                    <w:sz w:val="12"/>
                    <w:szCs w:val="12"/>
                  </w:rPr>
                  <w:t>26,492,240</w:t>
                </w:r>
              </w:p>
            </w:tc>
            <w:tc>
              <w:tcPr>
                <w:tcW w:w="390" w:type="pct"/>
                <w:shd w:val="clear" w:color="auto" w:fill="auto"/>
                <w:vAlign w:val="center"/>
              </w:tcPr>
              <w:p w:rsidR="00213BC9" w:rsidRPr="00213BC9" w:rsidRDefault="00213BC9" w:rsidP="00601D47">
                <w:pPr>
                  <w:jc w:val="right"/>
                  <w:rPr>
                    <w:sz w:val="12"/>
                    <w:szCs w:val="12"/>
                  </w:rPr>
                </w:pPr>
                <w:r w:rsidRPr="00213BC9">
                  <w:rPr>
                    <w:sz w:val="12"/>
                    <w:szCs w:val="12"/>
                  </w:rPr>
                  <w:t>67,158,530</w:t>
                </w:r>
              </w:p>
            </w:tc>
            <w:tc>
              <w:tcPr>
                <w:tcW w:w="388" w:type="pct"/>
                <w:shd w:val="clear" w:color="auto" w:fill="auto"/>
                <w:vAlign w:val="center"/>
              </w:tcPr>
              <w:p w:rsidR="00213BC9" w:rsidRPr="00213BC9" w:rsidRDefault="00213BC9" w:rsidP="00601D47">
                <w:pPr>
                  <w:jc w:val="right"/>
                  <w:rPr>
                    <w:sz w:val="12"/>
                    <w:szCs w:val="12"/>
                  </w:rPr>
                </w:pPr>
                <w:r w:rsidRPr="00213BC9">
                  <w:rPr>
                    <w:sz w:val="12"/>
                    <w:szCs w:val="12"/>
                  </w:rPr>
                  <w:t>170,341,511</w:t>
                </w:r>
              </w:p>
            </w:tc>
            <w:tc>
              <w:tcPr>
                <w:tcW w:w="369" w:type="pct"/>
                <w:shd w:val="clear" w:color="auto" w:fill="auto"/>
                <w:vAlign w:val="center"/>
              </w:tcPr>
              <w:p w:rsidR="00213BC9" w:rsidRPr="00213BC9" w:rsidRDefault="00213BC9" w:rsidP="00601D47">
                <w:pPr>
                  <w:jc w:val="right"/>
                  <w:rPr>
                    <w:sz w:val="12"/>
                    <w:szCs w:val="12"/>
                  </w:rPr>
                </w:pPr>
                <w:r w:rsidRPr="00213BC9">
                  <w:rPr>
                    <w:sz w:val="12"/>
                    <w:szCs w:val="12"/>
                  </w:rPr>
                  <w:t>81,285,572</w:t>
                </w:r>
              </w:p>
            </w:tc>
            <w:tc>
              <w:tcPr>
                <w:tcW w:w="404" w:type="pct"/>
                <w:shd w:val="clear" w:color="auto" w:fill="auto"/>
                <w:vAlign w:val="center"/>
              </w:tcPr>
              <w:p w:rsidR="00213BC9" w:rsidRPr="00213BC9" w:rsidRDefault="00213BC9" w:rsidP="00601D47">
                <w:pPr>
                  <w:jc w:val="right"/>
                  <w:rPr>
                    <w:sz w:val="12"/>
                    <w:szCs w:val="12"/>
                  </w:rPr>
                </w:pPr>
                <w:r w:rsidRPr="00213BC9">
                  <w:rPr>
                    <w:sz w:val="12"/>
                    <w:szCs w:val="12"/>
                  </w:rPr>
                  <w:t>5,051,311</w:t>
                </w:r>
              </w:p>
            </w:tc>
            <w:tc>
              <w:tcPr>
                <w:tcW w:w="404" w:type="pct"/>
                <w:shd w:val="clear" w:color="auto" w:fill="auto"/>
                <w:vAlign w:val="center"/>
              </w:tcPr>
              <w:p w:rsidR="00213BC9" w:rsidRPr="00213BC9" w:rsidRDefault="00213BC9" w:rsidP="00601D47">
                <w:pPr>
                  <w:jc w:val="right"/>
                  <w:rPr>
                    <w:sz w:val="12"/>
                    <w:szCs w:val="12"/>
                  </w:rPr>
                </w:pPr>
                <w:r w:rsidRPr="00213BC9">
                  <w:rPr>
                    <w:sz w:val="12"/>
                    <w:szCs w:val="12"/>
                  </w:rPr>
                  <w:t>102,536,894</w:t>
                </w:r>
              </w:p>
            </w:tc>
            <w:tc>
              <w:tcPr>
                <w:tcW w:w="404" w:type="pct"/>
                <w:shd w:val="clear" w:color="auto" w:fill="auto"/>
                <w:vAlign w:val="center"/>
              </w:tcPr>
              <w:p w:rsidR="00213BC9" w:rsidRPr="00213BC9" w:rsidRDefault="00213BC9" w:rsidP="00601D47">
                <w:pPr>
                  <w:jc w:val="right"/>
                  <w:rPr>
                    <w:sz w:val="12"/>
                    <w:szCs w:val="12"/>
                  </w:rPr>
                </w:pPr>
                <w:r w:rsidRPr="00213BC9">
                  <w:rPr>
                    <w:sz w:val="12"/>
                    <w:szCs w:val="12"/>
                  </w:rPr>
                  <w:t>21,815,563</w:t>
                </w:r>
              </w:p>
            </w:tc>
            <w:tc>
              <w:tcPr>
                <w:tcW w:w="401" w:type="pct"/>
                <w:shd w:val="clear" w:color="auto" w:fill="auto"/>
                <w:vAlign w:val="center"/>
              </w:tcPr>
              <w:p w:rsidR="00213BC9" w:rsidRPr="00213BC9" w:rsidRDefault="00213BC9" w:rsidP="00601D47">
                <w:pPr>
                  <w:jc w:val="right"/>
                  <w:rPr>
                    <w:sz w:val="12"/>
                    <w:szCs w:val="12"/>
                  </w:rPr>
                </w:pPr>
                <w:r w:rsidRPr="00213BC9">
                  <w:rPr>
                    <w:sz w:val="12"/>
                    <w:szCs w:val="12"/>
                  </w:rPr>
                  <w:t>633,757,975</w:t>
                </w:r>
              </w:p>
            </w:tc>
          </w:tr>
          <w:tr w:rsidR="00E27B33" w:rsidTr="00B1561D">
            <w:sdt>
              <w:sdtPr>
                <w:rPr>
                  <w:rFonts w:hint="eastAsia"/>
                  <w:sz w:val="12"/>
                  <w:szCs w:val="12"/>
                </w:rPr>
                <w:alias w:val="固定资产账面原值减少项目名称"/>
                <w:tag w:val="_GBC_bf0a28cbddd8409cb7657fa18a522437"/>
                <w:id w:val="-98265722"/>
                <w:lock w:val="sdtLocked"/>
              </w:sdtPr>
              <w:sdtContent>
                <w:tc>
                  <w:tcPr>
                    <w:tcW w:w="633" w:type="pct"/>
                    <w:shd w:val="clear" w:color="auto" w:fill="auto"/>
                    <w:vAlign w:val="center"/>
                  </w:tcPr>
                  <w:p w:rsidR="00213BC9" w:rsidRPr="00213BC9" w:rsidRDefault="00213BC9" w:rsidP="00601D47">
                    <w:pPr>
                      <w:ind w:firstLineChars="300" w:firstLine="360"/>
                      <w:rPr>
                        <w:sz w:val="12"/>
                        <w:szCs w:val="12"/>
                      </w:rPr>
                    </w:pPr>
                    <w:r w:rsidRPr="00213BC9">
                      <w:rPr>
                        <w:rFonts w:hint="eastAsia"/>
                        <w:sz w:val="12"/>
                        <w:szCs w:val="12"/>
                      </w:rPr>
                      <w:t>（2）大修转入在建工程</w:t>
                    </w:r>
                  </w:p>
                </w:tc>
              </w:sdtContent>
            </w:sdt>
            <w:sdt>
              <w:sdtPr>
                <w:rPr>
                  <w:rFonts w:hint="eastAsia"/>
                  <w:sz w:val="12"/>
                  <w:szCs w:val="12"/>
                </w:rPr>
                <w:alias w:val="固定资产账面原值减少项目金额"/>
                <w:tag w:val="_GBC_5be4d3b49a5c4a68a0d236b2da08d9af"/>
                <w:id w:val="-1527707822"/>
                <w:lock w:val="sdtLocked"/>
              </w:sdtPr>
              <w:sdtContent>
                <w:tc>
                  <w:tcPr>
                    <w:tcW w:w="389" w:type="pct"/>
                    <w:shd w:val="clear" w:color="auto" w:fill="auto"/>
                    <w:vAlign w:val="center"/>
                  </w:tcPr>
                  <w:p w:rsidR="00213BC9" w:rsidRPr="00213BC9" w:rsidRDefault="00213BC9" w:rsidP="00601D47">
                    <w:pPr>
                      <w:jc w:val="right"/>
                      <w:rPr>
                        <w:sz w:val="12"/>
                        <w:szCs w:val="12"/>
                      </w:rPr>
                    </w:pPr>
                    <w:r w:rsidRPr="00213BC9">
                      <w:rPr>
                        <w:rFonts w:hint="eastAsia"/>
                        <w:sz w:val="12"/>
                        <w:szCs w:val="12"/>
                      </w:rPr>
                      <w:t>224,633,390</w:t>
                    </w:r>
                  </w:p>
                </w:tc>
              </w:sdtContent>
            </w:sdt>
            <w:sdt>
              <w:sdtPr>
                <w:rPr>
                  <w:rFonts w:hint="eastAsia"/>
                  <w:sz w:val="12"/>
                  <w:szCs w:val="12"/>
                </w:rPr>
                <w:alias w:val="固定资产账面原值减少项目金额"/>
                <w:tag w:val="_GBC_5be4d3b49a5c4a68a0d236b2da08d9af"/>
                <w:id w:val="383219580"/>
                <w:lock w:val="sdtLocked"/>
              </w:sdtPr>
              <w:sdtContent>
                <w:tc>
                  <w:tcPr>
                    <w:tcW w:w="389" w:type="pct"/>
                    <w:shd w:val="clear" w:color="auto" w:fill="auto"/>
                    <w:vAlign w:val="center"/>
                  </w:tcPr>
                  <w:p w:rsidR="00213BC9" w:rsidRPr="00213BC9" w:rsidRDefault="00213BC9" w:rsidP="00601D47">
                    <w:pPr>
                      <w:jc w:val="right"/>
                      <w:rPr>
                        <w:sz w:val="12"/>
                        <w:szCs w:val="12"/>
                      </w:rPr>
                    </w:pPr>
                    <w:r w:rsidRPr="00213BC9">
                      <w:rPr>
                        <w:rFonts w:hint="eastAsia"/>
                        <w:sz w:val="12"/>
                        <w:szCs w:val="12"/>
                      </w:rPr>
                      <w:t>6,596,955,210</w:t>
                    </w:r>
                  </w:p>
                </w:tc>
              </w:sdtContent>
            </w:sdt>
            <w:sdt>
              <w:sdtPr>
                <w:rPr>
                  <w:rFonts w:hint="eastAsia"/>
                  <w:sz w:val="12"/>
                  <w:szCs w:val="12"/>
                </w:rPr>
                <w:alias w:val="固定资产账面原值减少项目金额"/>
                <w:tag w:val="_GBC_5be4d3b49a5c4a68a0d236b2da08d9af"/>
                <w:id w:val="1003245247"/>
                <w:lock w:val="sdtLocked"/>
              </w:sdtPr>
              <w:sdtContent>
                <w:tc>
                  <w:tcPr>
                    <w:tcW w:w="439" w:type="pct"/>
                    <w:shd w:val="clear" w:color="auto" w:fill="auto"/>
                    <w:vAlign w:val="center"/>
                  </w:tcPr>
                  <w:p w:rsidR="00213BC9" w:rsidRPr="00213BC9" w:rsidRDefault="00213BC9" w:rsidP="00601D47">
                    <w:pPr>
                      <w:jc w:val="right"/>
                      <w:rPr>
                        <w:sz w:val="12"/>
                        <w:szCs w:val="12"/>
                      </w:rPr>
                    </w:pPr>
                    <w:r w:rsidRPr="00213BC9">
                      <w:rPr>
                        <w:rFonts w:hint="eastAsia"/>
                        <w:sz w:val="12"/>
                        <w:szCs w:val="12"/>
                      </w:rPr>
                      <w:t>2,563,242,092</w:t>
                    </w:r>
                  </w:p>
                </w:tc>
              </w:sdtContent>
            </w:sdt>
            <w:sdt>
              <w:sdtPr>
                <w:rPr>
                  <w:rFonts w:hint="eastAsia"/>
                  <w:sz w:val="12"/>
                  <w:szCs w:val="12"/>
                </w:rPr>
                <w:alias w:val="固定资产账面原值减少项目金额"/>
                <w:tag w:val="_GBC_5be4d3b49a5c4a68a0d236b2da08d9af"/>
                <w:id w:val="953059811"/>
                <w:lock w:val="sdtLocked"/>
              </w:sdtPr>
              <w:sdtContent>
                <w:tc>
                  <w:tcPr>
                    <w:tcW w:w="389" w:type="pct"/>
                    <w:shd w:val="clear" w:color="auto" w:fill="auto"/>
                    <w:vAlign w:val="center"/>
                  </w:tcPr>
                  <w:p w:rsidR="00213BC9" w:rsidRPr="00213BC9" w:rsidRDefault="00213BC9" w:rsidP="00601D47">
                    <w:pPr>
                      <w:jc w:val="right"/>
                      <w:rPr>
                        <w:sz w:val="12"/>
                        <w:szCs w:val="12"/>
                      </w:rPr>
                    </w:pPr>
                    <w:r w:rsidRPr="00213BC9">
                      <w:rPr>
                        <w:rFonts w:hint="eastAsia"/>
                        <w:sz w:val="12"/>
                        <w:szCs w:val="12"/>
                      </w:rPr>
                      <w:t>40,411,408</w:t>
                    </w:r>
                  </w:p>
                </w:tc>
              </w:sdtContent>
            </w:sdt>
            <w:sdt>
              <w:sdtPr>
                <w:rPr>
                  <w:rFonts w:hint="eastAsia"/>
                  <w:sz w:val="12"/>
                  <w:szCs w:val="12"/>
                </w:rPr>
                <w:alias w:val="固定资产账面原值减少项目金额"/>
                <w:tag w:val="_GBC_5be4d3b49a5c4a68a0d236b2da08d9af"/>
                <w:id w:val="961387638"/>
                <w:lock w:val="sdtLocked"/>
              </w:sdtPr>
              <w:sdtContent>
                <w:tc>
                  <w:tcPr>
                    <w:tcW w:w="390" w:type="pct"/>
                    <w:shd w:val="clear" w:color="auto" w:fill="auto"/>
                    <w:vAlign w:val="center"/>
                  </w:tcPr>
                  <w:p w:rsidR="00213BC9" w:rsidRPr="00213BC9" w:rsidRDefault="00213BC9" w:rsidP="00601D47">
                    <w:pPr>
                      <w:jc w:val="right"/>
                      <w:rPr>
                        <w:sz w:val="12"/>
                        <w:szCs w:val="12"/>
                      </w:rPr>
                    </w:pPr>
                    <w:r w:rsidRPr="00213BC9">
                      <w:rPr>
                        <w:rFonts w:hint="eastAsia"/>
                        <w:sz w:val="12"/>
                        <w:szCs w:val="12"/>
                      </w:rPr>
                      <w:t>369,523,150</w:t>
                    </w:r>
                  </w:p>
                </w:tc>
              </w:sdtContent>
            </w:sdt>
            <w:sdt>
              <w:sdtPr>
                <w:rPr>
                  <w:rFonts w:hint="eastAsia"/>
                  <w:sz w:val="12"/>
                  <w:szCs w:val="12"/>
                </w:rPr>
                <w:alias w:val="固定资产账面原值减少项目金额"/>
                <w:tag w:val="_GBC_5be4d3b49a5c4a68a0d236b2da08d9af"/>
                <w:id w:val="-1062947675"/>
                <w:lock w:val="sdtLocked"/>
              </w:sdtPr>
              <w:sdtContent>
                <w:tc>
                  <w:tcPr>
                    <w:tcW w:w="388" w:type="pct"/>
                    <w:shd w:val="clear" w:color="auto" w:fill="auto"/>
                    <w:vAlign w:val="center"/>
                  </w:tcPr>
                  <w:p w:rsidR="00213BC9" w:rsidRPr="00213BC9" w:rsidRDefault="00213BC9" w:rsidP="00601D47">
                    <w:pPr>
                      <w:jc w:val="right"/>
                      <w:rPr>
                        <w:sz w:val="12"/>
                        <w:szCs w:val="12"/>
                      </w:rPr>
                    </w:pPr>
                    <w:r w:rsidRPr="00213BC9">
                      <w:rPr>
                        <w:rFonts w:hint="eastAsia"/>
                        <w:sz w:val="12"/>
                        <w:szCs w:val="12"/>
                      </w:rPr>
                      <w:t>43,497,069</w:t>
                    </w:r>
                  </w:p>
                </w:tc>
              </w:sdtContent>
            </w:sdt>
            <w:sdt>
              <w:sdtPr>
                <w:rPr>
                  <w:rFonts w:hint="eastAsia"/>
                  <w:sz w:val="12"/>
                  <w:szCs w:val="12"/>
                </w:rPr>
                <w:alias w:val="固定资产账面原值减少项目金额"/>
                <w:tag w:val="_GBC_5be4d3b49a5c4a68a0d236b2da08d9af"/>
                <w:id w:val="1890057893"/>
                <w:lock w:val="sdtLocked"/>
              </w:sdtPr>
              <w:sdtContent>
                <w:tc>
                  <w:tcPr>
                    <w:tcW w:w="369" w:type="pct"/>
                    <w:shd w:val="clear" w:color="auto" w:fill="auto"/>
                    <w:vAlign w:val="center"/>
                  </w:tcPr>
                  <w:p w:rsidR="00213BC9" w:rsidRPr="00213BC9" w:rsidRDefault="00213BC9" w:rsidP="00601D47">
                    <w:pPr>
                      <w:jc w:val="right"/>
                      <w:rPr>
                        <w:sz w:val="12"/>
                        <w:szCs w:val="12"/>
                      </w:rPr>
                    </w:pPr>
                    <w:r w:rsidRPr="00213BC9">
                      <w:rPr>
                        <w:rFonts w:hint="eastAsia"/>
                        <w:sz w:val="12"/>
                        <w:szCs w:val="12"/>
                      </w:rPr>
                      <w:t>14,583,477</w:t>
                    </w:r>
                  </w:p>
                </w:tc>
              </w:sdtContent>
            </w:sdt>
            <w:sdt>
              <w:sdtPr>
                <w:rPr>
                  <w:rFonts w:hint="eastAsia"/>
                  <w:sz w:val="12"/>
                  <w:szCs w:val="12"/>
                </w:rPr>
                <w:alias w:val="固定资产账面原值减少项目金额"/>
                <w:tag w:val="_GBC_5be4d3b49a5c4a68a0d236b2da08d9af"/>
                <w:id w:val="1699359703"/>
                <w:lock w:val="sdtLocked"/>
              </w:sdtPr>
              <w:sdtContent>
                <w:tc>
                  <w:tcPr>
                    <w:tcW w:w="404" w:type="pct"/>
                    <w:shd w:val="clear" w:color="auto" w:fill="auto"/>
                    <w:vAlign w:val="center"/>
                  </w:tcPr>
                  <w:p w:rsidR="00213BC9" w:rsidRPr="00213BC9" w:rsidRDefault="00213BC9" w:rsidP="00601D47">
                    <w:pPr>
                      <w:jc w:val="right"/>
                      <w:rPr>
                        <w:sz w:val="12"/>
                        <w:szCs w:val="12"/>
                      </w:rPr>
                    </w:pPr>
                    <w:r w:rsidRPr="00213BC9">
                      <w:rPr>
                        <w:rFonts w:hint="eastAsia"/>
                        <w:sz w:val="12"/>
                        <w:szCs w:val="12"/>
                      </w:rPr>
                      <w:t>61,913,705</w:t>
                    </w:r>
                  </w:p>
                </w:tc>
              </w:sdtContent>
            </w:sdt>
            <w:sdt>
              <w:sdtPr>
                <w:rPr>
                  <w:rFonts w:hint="eastAsia"/>
                  <w:sz w:val="12"/>
                  <w:szCs w:val="12"/>
                </w:rPr>
                <w:alias w:val="固定资产账面原值减少项目金额"/>
                <w:tag w:val="_GBC_5be4d3b49a5c4a68a0d236b2da08d9af"/>
                <w:id w:val="704146049"/>
                <w:lock w:val="sdtLocked"/>
              </w:sdtPr>
              <w:sdtContent>
                <w:tc>
                  <w:tcPr>
                    <w:tcW w:w="404" w:type="pct"/>
                    <w:shd w:val="clear" w:color="auto" w:fill="auto"/>
                    <w:vAlign w:val="center"/>
                  </w:tcPr>
                  <w:p w:rsidR="00213BC9" w:rsidRPr="00213BC9" w:rsidRDefault="00213BC9" w:rsidP="00601D47">
                    <w:pPr>
                      <w:jc w:val="right"/>
                      <w:rPr>
                        <w:sz w:val="12"/>
                        <w:szCs w:val="12"/>
                      </w:rPr>
                    </w:pPr>
                    <w:r w:rsidRPr="00213BC9">
                      <w:rPr>
                        <w:rFonts w:hint="eastAsia"/>
                        <w:sz w:val="12"/>
                        <w:szCs w:val="12"/>
                      </w:rPr>
                      <w:t>18,578,587</w:t>
                    </w:r>
                  </w:p>
                </w:tc>
              </w:sdtContent>
            </w:sdt>
            <w:sdt>
              <w:sdtPr>
                <w:rPr>
                  <w:rFonts w:hint="eastAsia"/>
                  <w:sz w:val="12"/>
                  <w:szCs w:val="12"/>
                </w:rPr>
                <w:alias w:val="固定资产账面原值减少项目金额"/>
                <w:tag w:val="_GBC_5be4d3b49a5c4a68a0d236b2da08d9af"/>
                <w:id w:val="728271984"/>
                <w:lock w:val="sdtLocked"/>
              </w:sdtPr>
              <w:sdtContent>
                <w:tc>
                  <w:tcPr>
                    <w:tcW w:w="404" w:type="pct"/>
                    <w:shd w:val="clear" w:color="auto" w:fill="auto"/>
                    <w:vAlign w:val="center"/>
                  </w:tcPr>
                  <w:p w:rsidR="00213BC9" w:rsidRPr="00213BC9" w:rsidRDefault="00213BC9" w:rsidP="00601D47">
                    <w:pPr>
                      <w:jc w:val="right"/>
                      <w:rPr>
                        <w:sz w:val="12"/>
                        <w:szCs w:val="12"/>
                      </w:rPr>
                    </w:pPr>
                    <w:r w:rsidRPr="00213BC9">
                      <w:rPr>
                        <w:rFonts w:hint="eastAsia"/>
                        <w:sz w:val="12"/>
                        <w:szCs w:val="12"/>
                      </w:rPr>
                      <w:t>9,706,418</w:t>
                    </w:r>
                  </w:p>
                </w:tc>
              </w:sdtContent>
            </w:sdt>
            <w:sdt>
              <w:sdtPr>
                <w:rPr>
                  <w:rFonts w:hint="eastAsia"/>
                  <w:sz w:val="12"/>
                  <w:szCs w:val="12"/>
                </w:rPr>
                <w:alias w:val="固定资产账面原值减少项目合计金额"/>
                <w:tag w:val="_GBC_9b93e9d244ff4453b139d8a42865ba80"/>
                <w:id w:val="202440686"/>
                <w:lock w:val="sdtLocked"/>
              </w:sdtPr>
              <w:sdtContent>
                <w:tc>
                  <w:tcPr>
                    <w:tcW w:w="401" w:type="pct"/>
                    <w:shd w:val="clear" w:color="auto" w:fill="auto"/>
                    <w:vAlign w:val="center"/>
                  </w:tcPr>
                  <w:p w:rsidR="00213BC9" w:rsidRPr="00213BC9" w:rsidRDefault="00213BC9" w:rsidP="00601D47">
                    <w:pPr>
                      <w:jc w:val="right"/>
                      <w:rPr>
                        <w:sz w:val="12"/>
                        <w:szCs w:val="12"/>
                      </w:rPr>
                    </w:pPr>
                    <w:r w:rsidRPr="00213BC9">
                      <w:rPr>
                        <w:rFonts w:hint="eastAsia"/>
                        <w:sz w:val="12"/>
                        <w:szCs w:val="12"/>
                      </w:rPr>
                      <w:t>9,943,044,506</w:t>
                    </w:r>
                  </w:p>
                </w:tc>
              </w:sdtContent>
            </w:sdt>
          </w:tr>
          <w:tr w:rsidR="00E27B33" w:rsidTr="00B1561D">
            <w:sdt>
              <w:sdtPr>
                <w:rPr>
                  <w:rFonts w:hint="eastAsia"/>
                  <w:sz w:val="12"/>
                  <w:szCs w:val="12"/>
                </w:rPr>
                <w:alias w:val="固定资产账面原值减少项目名称"/>
                <w:tag w:val="_GBC_bf0a28cbddd8409cb7657fa18a522437"/>
                <w:id w:val="-858504026"/>
                <w:lock w:val="sdtLocked"/>
              </w:sdtPr>
              <w:sdtContent>
                <w:tc>
                  <w:tcPr>
                    <w:tcW w:w="633" w:type="pct"/>
                    <w:shd w:val="clear" w:color="auto" w:fill="auto"/>
                    <w:vAlign w:val="center"/>
                  </w:tcPr>
                  <w:p w:rsidR="00213BC9" w:rsidRPr="00213BC9" w:rsidRDefault="00213BC9" w:rsidP="00601D47">
                    <w:pPr>
                      <w:ind w:firstLineChars="300" w:firstLine="360"/>
                      <w:rPr>
                        <w:sz w:val="12"/>
                        <w:szCs w:val="12"/>
                      </w:rPr>
                    </w:pPr>
                    <w:r w:rsidRPr="00213BC9">
                      <w:rPr>
                        <w:rFonts w:hint="eastAsia"/>
                        <w:sz w:val="12"/>
                        <w:szCs w:val="12"/>
                      </w:rPr>
                      <w:t>（3）大修转入成本</w:t>
                    </w:r>
                  </w:p>
                </w:tc>
              </w:sdtContent>
            </w:sdt>
            <w:sdt>
              <w:sdtPr>
                <w:rPr>
                  <w:rFonts w:hint="eastAsia"/>
                  <w:sz w:val="12"/>
                  <w:szCs w:val="12"/>
                </w:rPr>
                <w:alias w:val="固定资产账面原值减少项目金额"/>
                <w:tag w:val="_GBC_5be4d3b49a5c4a68a0d236b2da08d9af"/>
                <w:id w:val="-474295046"/>
                <w:lock w:val="sdtLocked"/>
              </w:sdtPr>
              <w:sdtContent>
                <w:tc>
                  <w:tcPr>
                    <w:tcW w:w="389" w:type="pct"/>
                    <w:shd w:val="clear" w:color="auto" w:fill="auto"/>
                    <w:vAlign w:val="center"/>
                  </w:tcPr>
                  <w:p w:rsidR="00213BC9" w:rsidRPr="00213BC9" w:rsidRDefault="00213BC9" w:rsidP="00601D47">
                    <w:pPr>
                      <w:jc w:val="right"/>
                      <w:rPr>
                        <w:sz w:val="12"/>
                        <w:szCs w:val="12"/>
                      </w:rPr>
                    </w:pPr>
                    <w:r w:rsidRPr="00213BC9">
                      <w:rPr>
                        <w:rFonts w:hint="eastAsia"/>
                        <w:sz w:val="12"/>
                        <w:szCs w:val="12"/>
                      </w:rPr>
                      <w:t>13,291,982</w:t>
                    </w:r>
                  </w:p>
                </w:tc>
              </w:sdtContent>
            </w:sdt>
            <w:sdt>
              <w:sdtPr>
                <w:rPr>
                  <w:rFonts w:hint="eastAsia"/>
                  <w:sz w:val="12"/>
                  <w:szCs w:val="12"/>
                </w:rPr>
                <w:alias w:val="固定资产账面原值减少项目金额"/>
                <w:tag w:val="_GBC_5be4d3b49a5c4a68a0d236b2da08d9af"/>
                <w:id w:val="-476610867"/>
                <w:lock w:val="sdtLocked"/>
              </w:sdtPr>
              <w:sdtContent>
                <w:tc>
                  <w:tcPr>
                    <w:tcW w:w="389" w:type="pct"/>
                    <w:shd w:val="clear" w:color="auto" w:fill="auto"/>
                    <w:vAlign w:val="center"/>
                  </w:tcPr>
                  <w:p w:rsidR="00213BC9" w:rsidRPr="00213BC9" w:rsidRDefault="00213BC9" w:rsidP="00601D47">
                    <w:pPr>
                      <w:jc w:val="right"/>
                      <w:rPr>
                        <w:sz w:val="12"/>
                        <w:szCs w:val="12"/>
                      </w:rPr>
                    </w:pPr>
                    <w:r w:rsidRPr="00213BC9">
                      <w:rPr>
                        <w:rFonts w:hint="eastAsia"/>
                        <w:sz w:val="12"/>
                        <w:szCs w:val="12"/>
                      </w:rPr>
                      <w:t>1,081,916,101</w:t>
                    </w:r>
                  </w:p>
                </w:tc>
              </w:sdtContent>
            </w:sdt>
            <w:sdt>
              <w:sdtPr>
                <w:rPr>
                  <w:rFonts w:hint="eastAsia"/>
                  <w:sz w:val="12"/>
                  <w:szCs w:val="12"/>
                </w:rPr>
                <w:alias w:val="固定资产账面原值减少项目金额"/>
                <w:tag w:val="_GBC_5be4d3b49a5c4a68a0d236b2da08d9af"/>
                <w:id w:val="-851651571"/>
                <w:lock w:val="sdtLocked"/>
              </w:sdtPr>
              <w:sdtContent>
                <w:tc>
                  <w:tcPr>
                    <w:tcW w:w="439" w:type="pct"/>
                    <w:shd w:val="clear" w:color="auto" w:fill="auto"/>
                    <w:vAlign w:val="center"/>
                  </w:tcPr>
                  <w:p w:rsidR="00213BC9" w:rsidRPr="00213BC9" w:rsidRDefault="00213BC9" w:rsidP="00601D47">
                    <w:pPr>
                      <w:jc w:val="right"/>
                      <w:rPr>
                        <w:sz w:val="12"/>
                        <w:szCs w:val="12"/>
                      </w:rPr>
                    </w:pPr>
                    <w:r w:rsidRPr="00213BC9">
                      <w:rPr>
                        <w:rFonts w:hint="eastAsia"/>
                        <w:sz w:val="12"/>
                        <w:szCs w:val="12"/>
                      </w:rPr>
                      <w:t>106,216,440</w:t>
                    </w:r>
                  </w:p>
                </w:tc>
              </w:sdtContent>
            </w:sdt>
            <w:sdt>
              <w:sdtPr>
                <w:rPr>
                  <w:rFonts w:hint="eastAsia"/>
                  <w:sz w:val="12"/>
                  <w:szCs w:val="12"/>
                </w:rPr>
                <w:alias w:val="固定资产账面原值减少项目金额"/>
                <w:tag w:val="_GBC_5be4d3b49a5c4a68a0d236b2da08d9af"/>
                <w:id w:val="1560202136"/>
                <w:lock w:val="sdtLocked"/>
              </w:sdtPr>
              <w:sdtContent>
                <w:tc>
                  <w:tcPr>
                    <w:tcW w:w="389" w:type="pct"/>
                    <w:shd w:val="clear" w:color="auto" w:fill="auto"/>
                    <w:vAlign w:val="center"/>
                  </w:tcPr>
                  <w:p w:rsidR="00213BC9" w:rsidRPr="00213BC9" w:rsidRDefault="00213BC9" w:rsidP="00601D47">
                    <w:pPr>
                      <w:jc w:val="right"/>
                      <w:rPr>
                        <w:sz w:val="12"/>
                        <w:szCs w:val="12"/>
                      </w:rPr>
                    </w:pPr>
                    <w:r w:rsidRPr="00213BC9">
                      <w:rPr>
                        <w:rFonts w:hint="eastAsia"/>
                        <w:sz w:val="12"/>
                        <w:szCs w:val="12"/>
                      </w:rPr>
                      <w:t>4,897,674</w:t>
                    </w:r>
                  </w:p>
                </w:tc>
              </w:sdtContent>
            </w:sdt>
            <w:sdt>
              <w:sdtPr>
                <w:rPr>
                  <w:rFonts w:hint="eastAsia"/>
                  <w:sz w:val="12"/>
                  <w:szCs w:val="12"/>
                </w:rPr>
                <w:alias w:val="固定资产账面原值减少项目金额"/>
                <w:tag w:val="_GBC_5be4d3b49a5c4a68a0d236b2da08d9af"/>
                <w:id w:val="-271325599"/>
                <w:lock w:val="sdtLocked"/>
              </w:sdtPr>
              <w:sdtContent>
                <w:tc>
                  <w:tcPr>
                    <w:tcW w:w="390" w:type="pct"/>
                    <w:shd w:val="clear" w:color="auto" w:fill="auto"/>
                    <w:vAlign w:val="center"/>
                  </w:tcPr>
                  <w:p w:rsidR="00213BC9" w:rsidRPr="00213BC9" w:rsidRDefault="00213BC9" w:rsidP="00601D47">
                    <w:pPr>
                      <w:jc w:val="right"/>
                      <w:rPr>
                        <w:sz w:val="12"/>
                        <w:szCs w:val="12"/>
                      </w:rPr>
                    </w:pPr>
                    <w:r w:rsidRPr="00213BC9">
                      <w:rPr>
                        <w:rFonts w:hint="eastAsia"/>
                        <w:sz w:val="12"/>
                        <w:szCs w:val="12"/>
                      </w:rPr>
                      <w:t>10,349,687</w:t>
                    </w:r>
                  </w:p>
                </w:tc>
              </w:sdtContent>
            </w:sdt>
            <w:sdt>
              <w:sdtPr>
                <w:rPr>
                  <w:rFonts w:hint="eastAsia"/>
                  <w:sz w:val="12"/>
                  <w:szCs w:val="12"/>
                </w:rPr>
                <w:alias w:val="固定资产账面原值减少项目金额"/>
                <w:tag w:val="_GBC_5be4d3b49a5c4a68a0d236b2da08d9af"/>
                <w:id w:val="2043945648"/>
                <w:lock w:val="sdtLocked"/>
              </w:sdtPr>
              <w:sdtContent>
                <w:tc>
                  <w:tcPr>
                    <w:tcW w:w="388" w:type="pct"/>
                    <w:shd w:val="clear" w:color="auto" w:fill="auto"/>
                    <w:vAlign w:val="center"/>
                  </w:tcPr>
                  <w:p w:rsidR="00213BC9" w:rsidRPr="00213BC9" w:rsidRDefault="00213BC9" w:rsidP="00601D47">
                    <w:pPr>
                      <w:jc w:val="right"/>
                      <w:rPr>
                        <w:sz w:val="12"/>
                        <w:szCs w:val="12"/>
                      </w:rPr>
                    </w:pPr>
                    <w:r w:rsidRPr="00213BC9">
                      <w:rPr>
                        <w:rFonts w:hint="eastAsia"/>
                        <w:sz w:val="12"/>
                        <w:szCs w:val="12"/>
                      </w:rPr>
                      <w:t>3,731,703</w:t>
                    </w:r>
                  </w:p>
                </w:tc>
              </w:sdtContent>
            </w:sdt>
            <w:sdt>
              <w:sdtPr>
                <w:rPr>
                  <w:rFonts w:hint="eastAsia"/>
                  <w:sz w:val="12"/>
                  <w:szCs w:val="12"/>
                </w:rPr>
                <w:alias w:val="固定资产账面原值减少项目金额"/>
                <w:tag w:val="_GBC_5be4d3b49a5c4a68a0d236b2da08d9af"/>
                <w:id w:val="112252446"/>
                <w:lock w:val="sdtLocked"/>
              </w:sdtPr>
              <w:sdtContent>
                <w:tc>
                  <w:tcPr>
                    <w:tcW w:w="369" w:type="pct"/>
                    <w:shd w:val="clear" w:color="auto" w:fill="auto"/>
                    <w:vAlign w:val="center"/>
                  </w:tcPr>
                  <w:p w:rsidR="00213BC9" w:rsidRPr="00213BC9" w:rsidRDefault="00213BC9" w:rsidP="00601D47">
                    <w:pPr>
                      <w:jc w:val="right"/>
                      <w:rPr>
                        <w:sz w:val="12"/>
                        <w:szCs w:val="12"/>
                      </w:rPr>
                    </w:pPr>
                    <w:r w:rsidRPr="00213BC9">
                      <w:rPr>
                        <w:rFonts w:hint="eastAsia"/>
                        <w:sz w:val="12"/>
                        <w:szCs w:val="12"/>
                      </w:rPr>
                      <w:t>1,626,180</w:t>
                    </w:r>
                  </w:p>
                </w:tc>
              </w:sdtContent>
            </w:sdt>
            <w:sdt>
              <w:sdtPr>
                <w:rPr>
                  <w:rFonts w:hint="eastAsia"/>
                  <w:sz w:val="12"/>
                  <w:szCs w:val="12"/>
                </w:rPr>
                <w:alias w:val="固定资产账面原值减少项目金额"/>
                <w:tag w:val="_GBC_5be4d3b49a5c4a68a0d236b2da08d9af"/>
                <w:id w:val="-1502339085"/>
                <w:lock w:val="sdtLocked"/>
              </w:sdtPr>
              <w:sdtContent>
                <w:tc>
                  <w:tcPr>
                    <w:tcW w:w="404" w:type="pct"/>
                    <w:shd w:val="clear" w:color="auto" w:fill="auto"/>
                    <w:vAlign w:val="center"/>
                  </w:tcPr>
                  <w:p w:rsidR="00213BC9" w:rsidRPr="00213BC9" w:rsidRDefault="00213BC9" w:rsidP="00601D47">
                    <w:pPr>
                      <w:jc w:val="right"/>
                      <w:rPr>
                        <w:sz w:val="12"/>
                        <w:szCs w:val="12"/>
                      </w:rPr>
                    </w:pPr>
                    <w:r w:rsidRPr="00213BC9">
                      <w:rPr>
                        <w:rFonts w:hint="eastAsia"/>
                        <w:sz w:val="12"/>
                        <w:szCs w:val="12"/>
                      </w:rPr>
                      <w:t>1,647,561</w:t>
                    </w:r>
                  </w:p>
                </w:tc>
              </w:sdtContent>
            </w:sdt>
            <w:sdt>
              <w:sdtPr>
                <w:rPr>
                  <w:rFonts w:hint="eastAsia"/>
                  <w:sz w:val="12"/>
                  <w:szCs w:val="12"/>
                </w:rPr>
                <w:alias w:val="固定资产账面原值减少项目金额"/>
                <w:tag w:val="_GBC_5be4d3b49a5c4a68a0d236b2da08d9af"/>
                <w:id w:val="-113916131"/>
                <w:lock w:val="sdtLocked"/>
              </w:sdtPr>
              <w:sdtContent>
                <w:tc>
                  <w:tcPr>
                    <w:tcW w:w="404" w:type="pct"/>
                    <w:shd w:val="clear" w:color="auto" w:fill="auto"/>
                    <w:vAlign w:val="center"/>
                  </w:tcPr>
                  <w:p w:rsidR="00213BC9" w:rsidRPr="00213BC9" w:rsidRDefault="00213BC9" w:rsidP="00601D47">
                    <w:pPr>
                      <w:jc w:val="right"/>
                      <w:rPr>
                        <w:sz w:val="12"/>
                        <w:szCs w:val="12"/>
                      </w:rPr>
                    </w:pPr>
                    <w:r w:rsidRPr="00213BC9">
                      <w:rPr>
                        <w:rFonts w:hint="eastAsia"/>
                        <w:sz w:val="12"/>
                        <w:szCs w:val="12"/>
                      </w:rPr>
                      <w:t>607,048</w:t>
                    </w:r>
                  </w:p>
                </w:tc>
              </w:sdtContent>
            </w:sdt>
            <w:sdt>
              <w:sdtPr>
                <w:rPr>
                  <w:rFonts w:hint="eastAsia"/>
                  <w:sz w:val="12"/>
                  <w:szCs w:val="12"/>
                </w:rPr>
                <w:alias w:val="固定资产账面原值减少项目金额"/>
                <w:tag w:val="_GBC_5be4d3b49a5c4a68a0d236b2da08d9af"/>
                <w:id w:val="444048941"/>
                <w:lock w:val="sdtLocked"/>
              </w:sdtPr>
              <w:sdtContent>
                <w:tc>
                  <w:tcPr>
                    <w:tcW w:w="404" w:type="pct"/>
                    <w:shd w:val="clear" w:color="auto" w:fill="auto"/>
                    <w:vAlign w:val="center"/>
                  </w:tcPr>
                  <w:p w:rsidR="00213BC9" w:rsidRPr="00213BC9" w:rsidRDefault="00213BC9" w:rsidP="00601D47">
                    <w:pPr>
                      <w:jc w:val="right"/>
                      <w:rPr>
                        <w:sz w:val="12"/>
                        <w:szCs w:val="12"/>
                      </w:rPr>
                    </w:pPr>
                    <w:r w:rsidRPr="00213BC9">
                      <w:rPr>
                        <w:rFonts w:hint="eastAsia"/>
                        <w:sz w:val="12"/>
                        <w:szCs w:val="12"/>
                      </w:rPr>
                      <w:t>497,687</w:t>
                    </w:r>
                  </w:p>
                </w:tc>
              </w:sdtContent>
            </w:sdt>
            <w:sdt>
              <w:sdtPr>
                <w:rPr>
                  <w:rFonts w:hint="eastAsia"/>
                  <w:sz w:val="12"/>
                  <w:szCs w:val="12"/>
                </w:rPr>
                <w:alias w:val="固定资产账面原值减少项目合计金额"/>
                <w:tag w:val="_GBC_9b93e9d244ff4453b139d8a42865ba80"/>
                <w:id w:val="1932007795"/>
                <w:lock w:val="sdtLocked"/>
              </w:sdtPr>
              <w:sdtContent>
                <w:tc>
                  <w:tcPr>
                    <w:tcW w:w="401" w:type="pct"/>
                    <w:shd w:val="clear" w:color="auto" w:fill="auto"/>
                    <w:vAlign w:val="center"/>
                  </w:tcPr>
                  <w:p w:rsidR="00213BC9" w:rsidRPr="00213BC9" w:rsidRDefault="00213BC9" w:rsidP="00601D47">
                    <w:pPr>
                      <w:jc w:val="right"/>
                      <w:rPr>
                        <w:sz w:val="12"/>
                        <w:szCs w:val="12"/>
                      </w:rPr>
                    </w:pPr>
                    <w:r w:rsidRPr="00213BC9">
                      <w:rPr>
                        <w:rFonts w:hint="eastAsia"/>
                        <w:sz w:val="12"/>
                        <w:szCs w:val="12"/>
                      </w:rPr>
                      <w:t>1,224,782,063</w:t>
                    </w:r>
                  </w:p>
                </w:tc>
              </w:sdtContent>
            </w:sdt>
          </w:tr>
          <w:tr w:rsidR="00E27B33" w:rsidTr="00B1561D">
            <w:sdt>
              <w:sdtPr>
                <w:rPr>
                  <w:sz w:val="12"/>
                  <w:szCs w:val="12"/>
                </w:rPr>
                <w:tag w:val="_PLD_3fb9f6c6a0b842188aea461d99c9adab"/>
                <w:id w:val="-1743329453"/>
                <w:lock w:val="sdtLocked"/>
              </w:sdtPr>
              <w:sdtContent>
                <w:tc>
                  <w:tcPr>
                    <w:tcW w:w="633" w:type="pct"/>
                    <w:shd w:val="clear" w:color="auto" w:fill="auto"/>
                  </w:tcPr>
                  <w:p w:rsidR="00213BC9" w:rsidRPr="00213BC9" w:rsidRDefault="00213BC9" w:rsidP="00601D47">
                    <w:pPr>
                      <w:ind w:firstLineChars="200" w:firstLine="240"/>
                      <w:rPr>
                        <w:sz w:val="12"/>
                        <w:szCs w:val="12"/>
                      </w:rPr>
                    </w:pPr>
                    <w:r w:rsidRPr="00213BC9">
                      <w:rPr>
                        <w:rFonts w:hint="eastAsia"/>
                        <w:sz w:val="12"/>
                        <w:szCs w:val="12"/>
                      </w:rPr>
                      <w:t>4.期末余额</w:t>
                    </w:r>
                  </w:p>
                </w:tc>
              </w:sdtContent>
            </w:sdt>
            <w:tc>
              <w:tcPr>
                <w:tcW w:w="389" w:type="pct"/>
                <w:shd w:val="clear" w:color="auto" w:fill="auto"/>
                <w:vAlign w:val="center"/>
              </w:tcPr>
              <w:p w:rsidR="00213BC9" w:rsidRPr="00213BC9" w:rsidRDefault="00213BC9" w:rsidP="00601D47">
                <w:pPr>
                  <w:jc w:val="right"/>
                  <w:rPr>
                    <w:sz w:val="12"/>
                    <w:szCs w:val="12"/>
                  </w:rPr>
                </w:pPr>
                <w:r w:rsidRPr="00213BC9">
                  <w:rPr>
                    <w:sz w:val="12"/>
                    <w:szCs w:val="12"/>
                  </w:rPr>
                  <w:t>13,164,704,478</w:t>
                </w:r>
              </w:p>
            </w:tc>
            <w:tc>
              <w:tcPr>
                <w:tcW w:w="389" w:type="pct"/>
                <w:shd w:val="clear" w:color="auto" w:fill="auto"/>
                <w:vAlign w:val="center"/>
              </w:tcPr>
              <w:p w:rsidR="00213BC9" w:rsidRPr="00213BC9" w:rsidRDefault="00213BC9" w:rsidP="00601D47">
                <w:pPr>
                  <w:jc w:val="right"/>
                  <w:rPr>
                    <w:sz w:val="12"/>
                    <w:szCs w:val="12"/>
                  </w:rPr>
                </w:pPr>
                <w:r w:rsidRPr="00213BC9">
                  <w:rPr>
                    <w:sz w:val="12"/>
                    <w:szCs w:val="12"/>
                  </w:rPr>
                  <w:t>42,304,707,134</w:t>
                </w:r>
              </w:p>
            </w:tc>
            <w:tc>
              <w:tcPr>
                <w:tcW w:w="439" w:type="pct"/>
                <w:shd w:val="clear" w:color="auto" w:fill="auto"/>
                <w:vAlign w:val="center"/>
              </w:tcPr>
              <w:p w:rsidR="00213BC9" w:rsidRPr="00213BC9" w:rsidRDefault="00213BC9" w:rsidP="00601D47">
                <w:pPr>
                  <w:jc w:val="right"/>
                  <w:rPr>
                    <w:sz w:val="12"/>
                    <w:szCs w:val="12"/>
                  </w:rPr>
                </w:pPr>
                <w:r w:rsidRPr="00213BC9">
                  <w:rPr>
                    <w:sz w:val="12"/>
                    <w:szCs w:val="12"/>
                  </w:rPr>
                  <w:t>59,609,146,995</w:t>
                </w:r>
              </w:p>
            </w:tc>
            <w:tc>
              <w:tcPr>
                <w:tcW w:w="389" w:type="pct"/>
                <w:shd w:val="clear" w:color="auto" w:fill="auto"/>
                <w:vAlign w:val="center"/>
              </w:tcPr>
              <w:p w:rsidR="00213BC9" w:rsidRPr="00213BC9" w:rsidRDefault="00213BC9" w:rsidP="00601D47">
                <w:pPr>
                  <w:jc w:val="right"/>
                  <w:rPr>
                    <w:sz w:val="12"/>
                    <w:szCs w:val="12"/>
                  </w:rPr>
                </w:pPr>
                <w:r w:rsidRPr="00213BC9">
                  <w:rPr>
                    <w:sz w:val="12"/>
                    <w:szCs w:val="12"/>
                  </w:rPr>
                  <w:t>9,464,197,682</w:t>
                </w:r>
              </w:p>
            </w:tc>
            <w:tc>
              <w:tcPr>
                <w:tcW w:w="390" w:type="pct"/>
                <w:shd w:val="clear" w:color="auto" w:fill="auto"/>
                <w:vAlign w:val="center"/>
              </w:tcPr>
              <w:p w:rsidR="00213BC9" w:rsidRPr="00213BC9" w:rsidRDefault="00213BC9" w:rsidP="00601D47">
                <w:pPr>
                  <w:jc w:val="right"/>
                  <w:rPr>
                    <w:sz w:val="12"/>
                    <w:szCs w:val="12"/>
                  </w:rPr>
                </w:pPr>
                <w:r w:rsidRPr="00213BC9">
                  <w:rPr>
                    <w:sz w:val="12"/>
                    <w:szCs w:val="12"/>
                  </w:rPr>
                  <w:t>7,616,534,643</w:t>
                </w:r>
              </w:p>
            </w:tc>
            <w:tc>
              <w:tcPr>
                <w:tcW w:w="388" w:type="pct"/>
                <w:shd w:val="clear" w:color="auto" w:fill="auto"/>
                <w:vAlign w:val="center"/>
              </w:tcPr>
              <w:p w:rsidR="00213BC9" w:rsidRPr="00213BC9" w:rsidRDefault="00213BC9" w:rsidP="00601D47">
                <w:pPr>
                  <w:jc w:val="right"/>
                  <w:rPr>
                    <w:sz w:val="12"/>
                    <w:szCs w:val="12"/>
                  </w:rPr>
                </w:pPr>
                <w:r w:rsidRPr="00213BC9">
                  <w:rPr>
                    <w:sz w:val="12"/>
                    <w:szCs w:val="12"/>
                  </w:rPr>
                  <w:t>1,990,907,620</w:t>
                </w:r>
              </w:p>
            </w:tc>
            <w:tc>
              <w:tcPr>
                <w:tcW w:w="369" w:type="pct"/>
                <w:shd w:val="clear" w:color="auto" w:fill="auto"/>
                <w:vAlign w:val="center"/>
              </w:tcPr>
              <w:p w:rsidR="00213BC9" w:rsidRPr="00213BC9" w:rsidRDefault="00213BC9" w:rsidP="00601D47">
                <w:pPr>
                  <w:jc w:val="right"/>
                  <w:rPr>
                    <w:sz w:val="12"/>
                    <w:szCs w:val="12"/>
                  </w:rPr>
                </w:pPr>
                <w:r w:rsidRPr="00213BC9">
                  <w:rPr>
                    <w:sz w:val="12"/>
                    <w:szCs w:val="12"/>
                  </w:rPr>
                  <w:t>856,192,355</w:t>
                </w:r>
              </w:p>
            </w:tc>
            <w:tc>
              <w:tcPr>
                <w:tcW w:w="404" w:type="pct"/>
                <w:shd w:val="clear" w:color="auto" w:fill="auto"/>
                <w:vAlign w:val="center"/>
              </w:tcPr>
              <w:p w:rsidR="00213BC9" w:rsidRPr="00213BC9" w:rsidRDefault="00213BC9" w:rsidP="00601D47">
                <w:pPr>
                  <w:jc w:val="right"/>
                  <w:rPr>
                    <w:sz w:val="12"/>
                    <w:szCs w:val="12"/>
                  </w:rPr>
                </w:pPr>
                <w:r w:rsidRPr="00213BC9">
                  <w:rPr>
                    <w:sz w:val="12"/>
                    <w:szCs w:val="12"/>
                  </w:rPr>
                  <w:t>3,147,487,083</w:t>
                </w:r>
              </w:p>
            </w:tc>
            <w:tc>
              <w:tcPr>
                <w:tcW w:w="404" w:type="pct"/>
                <w:shd w:val="clear" w:color="auto" w:fill="auto"/>
                <w:vAlign w:val="center"/>
              </w:tcPr>
              <w:p w:rsidR="00213BC9" w:rsidRPr="00213BC9" w:rsidRDefault="00213BC9" w:rsidP="00601D47">
                <w:pPr>
                  <w:jc w:val="right"/>
                  <w:rPr>
                    <w:sz w:val="12"/>
                    <w:szCs w:val="12"/>
                  </w:rPr>
                </w:pPr>
                <w:r w:rsidRPr="00213BC9">
                  <w:rPr>
                    <w:sz w:val="12"/>
                    <w:szCs w:val="12"/>
                  </w:rPr>
                  <w:t>4,460,243,740</w:t>
                </w:r>
              </w:p>
            </w:tc>
            <w:tc>
              <w:tcPr>
                <w:tcW w:w="404" w:type="pct"/>
                <w:shd w:val="clear" w:color="auto" w:fill="auto"/>
                <w:vAlign w:val="center"/>
              </w:tcPr>
              <w:p w:rsidR="00213BC9" w:rsidRPr="00213BC9" w:rsidRDefault="00213BC9" w:rsidP="00601D47">
                <w:pPr>
                  <w:jc w:val="right"/>
                  <w:rPr>
                    <w:sz w:val="12"/>
                    <w:szCs w:val="12"/>
                  </w:rPr>
                </w:pPr>
                <w:r w:rsidRPr="00213BC9">
                  <w:rPr>
                    <w:sz w:val="12"/>
                    <w:szCs w:val="12"/>
                  </w:rPr>
                  <w:t>836,838,307</w:t>
                </w:r>
              </w:p>
            </w:tc>
            <w:tc>
              <w:tcPr>
                <w:tcW w:w="401" w:type="pct"/>
                <w:shd w:val="clear" w:color="auto" w:fill="auto"/>
                <w:vAlign w:val="center"/>
              </w:tcPr>
              <w:p w:rsidR="00213BC9" w:rsidRPr="00213BC9" w:rsidRDefault="00213BC9" w:rsidP="00601D47">
                <w:pPr>
                  <w:jc w:val="right"/>
                  <w:rPr>
                    <w:sz w:val="12"/>
                    <w:szCs w:val="12"/>
                  </w:rPr>
                </w:pPr>
                <w:r w:rsidRPr="00213BC9">
                  <w:rPr>
                    <w:sz w:val="12"/>
                    <w:szCs w:val="12"/>
                  </w:rPr>
                  <w:t>143,450,960,037</w:t>
                </w:r>
              </w:p>
            </w:tc>
          </w:tr>
          <w:tr w:rsidR="00213BC9" w:rsidTr="00B1561D">
            <w:trPr>
              <w:gridAfter w:val="11"/>
              <w:wAfter w:w="4367" w:type="pct"/>
            </w:trPr>
            <w:sdt>
              <w:sdtPr>
                <w:rPr>
                  <w:sz w:val="12"/>
                  <w:szCs w:val="12"/>
                </w:rPr>
                <w:tag w:val="_PLD_14f44e7a4341414ca27a4047f9622e44"/>
                <w:id w:val="-776019920"/>
                <w:lock w:val="sdtLocked"/>
              </w:sdtPr>
              <w:sdtContent>
                <w:tc>
                  <w:tcPr>
                    <w:tcW w:w="633" w:type="pct"/>
                    <w:shd w:val="clear" w:color="auto" w:fill="auto"/>
                  </w:tcPr>
                  <w:p w:rsidR="00213BC9" w:rsidRPr="00213BC9" w:rsidRDefault="00213BC9" w:rsidP="00601D47">
                    <w:pPr>
                      <w:rPr>
                        <w:sz w:val="12"/>
                        <w:szCs w:val="12"/>
                      </w:rPr>
                    </w:pPr>
                    <w:r w:rsidRPr="00213BC9">
                      <w:rPr>
                        <w:rFonts w:hint="eastAsia"/>
                        <w:sz w:val="12"/>
                        <w:szCs w:val="12"/>
                      </w:rPr>
                      <w:t>二、累计折旧</w:t>
                    </w:r>
                  </w:p>
                </w:tc>
              </w:sdtContent>
            </w:sdt>
          </w:tr>
          <w:tr w:rsidR="00E27B33" w:rsidTr="00B1561D">
            <w:sdt>
              <w:sdtPr>
                <w:rPr>
                  <w:sz w:val="12"/>
                  <w:szCs w:val="12"/>
                </w:rPr>
                <w:tag w:val="_PLD_bdfb76068a2a4a95ab0a3bcf1b094bf2"/>
                <w:id w:val="151569048"/>
                <w:lock w:val="sdtLocked"/>
              </w:sdtPr>
              <w:sdtContent>
                <w:tc>
                  <w:tcPr>
                    <w:tcW w:w="633" w:type="pct"/>
                    <w:shd w:val="clear" w:color="auto" w:fill="auto"/>
                  </w:tcPr>
                  <w:p w:rsidR="00213BC9" w:rsidRPr="00213BC9" w:rsidRDefault="00213BC9" w:rsidP="00601D47">
                    <w:pPr>
                      <w:ind w:firstLineChars="200" w:firstLine="240"/>
                      <w:rPr>
                        <w:sz w:val="12"/>
                        <w:szCs w:val="12"/>
                      </w:rPr>
                    </w:pPr>
                    <w:r w:rsidRPr="00213BC9">
                      <w:rPr>
                        <w:sz w:val="12"/>
                        <w:szCs w:val="12"/>
                      </w:rPr>
                      <w:t>1.</w:t>
                    </w:r>
                    <w:r w:rsidRPr="00213BC9">
                      <w:rPr>
                        <w:rFonts w:hint="eastAsia"/>
                        <w:sz w:val="12"/>
                        <w:szCs w:val="12"/>
                      </w:rPr>
                      <w:t>期初余额</w:t>
                    </w:r>
                  </w:p>
                </w:tc>
              </w:sdtContent>
            </w:sdt>
            <w:tc>
              <w:tcPr>
                <w:tcW w:w="389" w:type="pct"/>
                <w:shd w:val="clear" w:color="auto" w:fill="auto"/>
                <w:vAlign w:val="center"/>
              </w:tcPr>
              <w:p w:rsidR="00213BC9" w:rsidRPr="00213BC9" w:rsidRDefault="00213BC9" w:rsidP="00601D47">
                <w:pPr>
                  <w:jc w:val="right"/>
                  <w:rPr>
                    <w:sz w:val="12"/>
                    <w:szCs w:val="12"/>
                  </w:rPr>
                </w:pPr>
                <w:r w:rsidRPr="00213BC9">
                  <w:rPr>
                    <w:sz w:val="12"/>
                    <w:szCs w:val="12"/>
                  </w:rPr>
                  <w:t>3,952,819,468</w:t>
                </w:r>
              </w:p>
            </w:tc>
            <w:tc>
              <w:tcPr>
                <w:tcW w:w="389" w:type="pct"/>
                <w:shd w:val="clear" w:color="auto" w:fill="auto"/>
                <w:vAlign w:val="center"/>
              </w:tcPr>
              <w:p w:rsidR="00213BC9" w:rsidRPr="00213BC9" w:rsidRDefault="00213BC9" w:rsidP="00601D47">
                <w:pPr>
                  <w:jc w:val="right"/>
                  <w:rPr>
                    <w:sz w:val="12"/>
                    <w:szCs w:val="12"/>
                  </w:rPr>
                </w:pPr>
                <w:r w:rsidRPr="00213BC9">
                  <w:rPr>
                    <w:sz w:val="12"/>
                    <w:szCs w:val="12"/>
                  </w:rPr>
                  <w:t>18,918,859,948</w:t>
                </w:r>
              </w:p>
            </w:tc>
            <w:tc>
              <w:tcPr>
                <w:tcW w:w="439" w:type="pct"/>
                <w:shd w:val="clear" w:color="auto" w:fill="auto"/>
                <w:vAlign w:val="center"/>
              </w:tcPr>
              <w:p w:rsidR="00213BC9" w:rsidRPr="00213BC9" w:rsidRDefault="00213BC9" w:rsidP="00601D47">
                <w:pPr>
                  <w:jc w:val="right"/>
                  <w:rPr>
                    <w:sz w:val="12"/>
                    <w:szCs w:val="12"/>
                  </w:rPr>
                </w:pPr>
                <w:r w:rsidRPr="00213BC9">
                  <w:rPr>
                    <w:sz w:val="12"/>
                    <w:szCs w:val="12"/>
                  </w:rPr>
                  <w:t>13,206,895,546</w:t>
                </w:r>
              </w:p>
            </w:tc>
            <w:tc>
              <w:tcPr>
                <w:tcW w:w="389" w:type="pct"/>
                <w:shd w:val="clear" w:color="auto" w:fill="auto"/>
                <w:vAlign w:val="center"/>
              </w:tcPr>
              <w:p w:rsidR="00213BC9" w:rsidRPr="00213BC9" w:rsidRDefault="00213BC9" w:rsidP="00601D47">
                <w:pPr>
                  <w:jc w:val="right"/>
                  <w:rPr>
                    <w:sz w:val="12"/>
                    <w:szCs w:val="12"/>
                  </w:rPr>
                </w:pPr>
                <w:r w:rsidRPr="00213BC9">
                  <w:rPr>
                    <w:sz w:val="12"/>
                    <w:szCs w:val="12"/>
                  </w:rPr>
                  <w:t>7,052,548,305</w:t>
                </w:r>
              </w:p>
            </w:tc>
            <w:tc>
              <w:tcPr>
                <w:tcW w:w="390" w:type="pct"/>
                <w:shd w:val="clear" w:color="auto" w:fill="auto"/>
                <w:vAlign w:val="center"/>
              </w:tcPr>
              <w:p w:rsidR="00213BC9" w:rsidRPr="00213BC9" w:rsidRDefault="00213BC9" w:rsidP="00601D47">
                <w:pPr>
                  <w:jc w:val="right"/>
                  <w:rPr>
                    <w:sz w:val="12"/>
                    <w:szCs w:val="12"/>
                  </w:rPr>
                </w:pPr>
                <w:r w:rsidRPr="00213BC9">
                  <w:rPr>
                    <w:sz w:val="12"/>
                    <w:szCs w:val="12"/>
                  </w:rPr>
                  <w:t>6,499,854,658</w:t>
                </w:r>
              </w:p>
            </w:tc>
            <w:tc>
              <w:tcPr>
                <w:tcW w:w="388" w:type="pct"/>
                <w:shd w:val="clear" w:color="auto" w:fill="auto"/>
                <w:vAlign w:val="center"/>
              </w:tcPr>
              <w:p w:rsidR="00213BC9" w:rsidRPr="00213BC9" w:rsidRDefault="00213BC9" w:rsidP="00601D47">
                <w:pPr>
                  <w:jc w:val="right"/>
                  <w:rPr>
                    <w:sz w:val="12"/>
                    <w:szCs w:val="12"/>
                  </w:rPr>
                </w:pPr>
                <w:r w:rsidRPr="00213BC9">
                  <w:rPr>
                    <w:sz w:val="12"/>
                    <w:szCs w:val="12"/>
                  </w:rPr>
                  <w:t>1,273,187,306</w:t>
                </w:r>
              </w:p>
            </w:tc>
            <w:tc>
              <w:tcPr>
                <w:tcW w:w="369" w:type="pct"/>
                <w:shd w:val="clear" w:color="auto" w:fill="auto"/>
                <w:vAlign w:val="center"/>
              </w:tcPr>
              <w:p w:rsidR="00213BC9" w:rsidRPr="00213BC9" w:rsidRDefault="00213BC9" w:rsidP="00601D47">
                <w:pPr>
                  <w:jc w:val="right"/>
                  <w:rPr>
                    <w:sz w:val="12"/>
                    <w:szCs w:val="12"/>
                  </w:rPr>
                </w:pPr>
                <w:r w:rsidRPr="00213BC9">
                  <w:rPr>
                    <w:sz w:val="12"/>
                    <w:szCs w:val="12"/>
                  </w:rPr>
                  <w:t>625,551,285</w:t>
                </w:r>
              </w:p>
            </w:tc>
            <w:tc>
              <w:tcPr>
                <w:tcW w:w="404" w:type="pct"/>
                <w:shd w:val="clear" w:color="auto" w:fill="auto"/>
                <w:vAlign w:val="center"/>
              </w:tcPr>
              <w:p w:rsidR="00213BC9" w:rsidRPr="00213BC9" w:rsidRDefault="00213BC9" w:rsidP="00601D47">
                <w:pPr>
                  <w:jc w:val="right"/>
                  <w:rPr>
                    <w:sz w:val="12"/>
                    <w:szCs w:val="12"/>
                  </w:rPr>
                </w:pPr>
                <w:r w:rsidRPr="00213BC9">
                  <w:rPr>
                    <w:sz w:val="12"/>
                    <w:szCs w:val="12"/>
                  </w:rPr>
                  <w:t>1,722,607,625</w:t>
                </w:r>
              </w:p>
            </w:tc>
            <w:tc>
              <w:tcPr>
                <w:tcW w:w="404" w:type="pct"/>
                <w:shd w:val="clear" w:color="auto" w:fill="auto"/>
                <w:vAlign w:val="center"/>
              </w:tcPr>
              <w:p w:rsidR="00213BC9" w:rsidRPr="00213BC9" w:rsidRDefault="00213BC9" w:rsidP="00601D47">
                <w:pPr>
                  <w:jc w:val="right"/>
                  <w:rPr>
                    <w:sz w:val="12"/>
                    <w:szCs w:val="12"/>
                  </w:rPr>
                </w:pPr>
                <w:r w:rsidRPr="00213BC9">
                  <w:rPr>
                    <w:sz w:val="12"/>
                    <w:szCs w:val="12"/>
                  </w:rPr>
                  <w:t>3,652,772,506</w:t>
                </w:r>
              </w:p>
            </w:tc>
            <w:tc>
              <w:tcPr>
                <w:tcW w:w="404" w:type="pct"/>
                <w:shd w:val="clear" w:color="auto" w:fill="auto"/>
                <w:vAlign w:val="center"/>
              </w:tcPr>
              <w:p w:rsidR="00213BC9" w:rsidRPr="00213BC9" w:rsidRDefault="00213BC9" w:rsidP="00601D47">
                <w:pPr>
                  <w:jc w:val="right"/>
                  <w:rPr>
                    <w:sz w:val="12"/>
                    <w:szCs w:val="12"/>
                  </w:rPr>
                </w:pPr>
                <w:r w:rsidRPr="00213BC9">
                  <w:rPr>
                    <w:sz w:val="12"/>
                    <w:szCs w:val="12"/>
                  </w:rPr>
                  <w:t>593,289,248</w:t>
                </w:r>
              </w:p>
            </w:tc>
            <w:tc>
              <w:tcPr>
                <w:tcW w:w="401" w:type="pct"/>
                <w:shd w:val="clear" w:color="auto" w:fill="auto"/>
                <w:vAlign w:val="center"/>
              </w:tcPr>
              <w:p w:rsidR="00213BC9" w:rsidRPr="00213BC9" w:rsidRDefault="00213BC9" w:rsidP="00601D47">
                <w:pPr>
                  <w:jc w:val="right"/>
                  <w:rPr>
                    <w:sz w:val="12"/>
                    <w:szCs w:val="12"/>
                  </w:rPr>
                </w:pPr>
                <w:r w:rsidRPr="00213BC9">
                  <w:rPr>
                    <w:sz w:val="12"/>
                    <w:szCs w:val="12"/>
                  </w:rPr>
                  <w:t>57,498,385,895</w:t>
                </w:r>
              </w:p>
            </w:tc>
          </w:tr>
          <w:tr w:rsidR="00E27B33" w:rsidTr="00B1561D">
            <w:sdt>
              <w:sdtPr>
                <w:rPr>
                  <w:sz w:val="12"/>
                  <w:szCs w:val="12"/>
                </w:rPr>
                <w:tag w:val="_PLD_ac9d6720c4e84ec2b82637a9bc7e4a54"/>
                <w:id w:val="-1319335263"/>
                <w:lock w:val="sdtLocked"/>
              </w:sdtPr>
              <w:sdtContent>
                <w:tc>
                  <w:tcPr>
                    <w:tcW w:w="633" w:type="pct"/>
                    <w:shd w:val="clear" w:color="auto" w:fill="auto"/>
                  </w:tcPr>
                  <w:p w:rsidR="00213BC9" w:rsidRPr="00213BC9" w:rsidRDefault="00213BC9" w:rsidP="00601D47">
                    <w:pPr>
                      <w:ind w:firstLineChars="200" w:firstLine="240"/>
                      <w:rPr>
                        <w:sz w:val="12"/>
                        <w:szCs w:val="12"/>
                      </w:rPr>
                    </w:pPr>
                    <w:r w:rsidRPr="00213BC9">
                      <w:rPr>
                        <w:sz w:val="12"/>
                        <w:szCs w:val="12"/>
                      </w:rPr>
                      <w:t>2.</w:t>
                    </w:r>
                    <w:r w:rsidRPr="00213BC9">
                      <w:rPr>
                        <w:rFonts w:hint="eastAsia"/>
                        <w:sz w:val="12"/>
                        <w:szCs w:val="12"/>
                      </w:rPr>
                      <w:t>本期增加金额</w:t>
                    </w:r>
                  </w:p>
                </w:tc>
              </w:sdtContent>
            </w:sdt>
            <w:tc>
              <w:tcPr>
                <w:tcW w:w="389" w:type="pct"/>
                <w:shd w:val="clear" w:color="auto" w:fill="auto"/>
                <w:vAlign w:val="center"/>
              </w:tcPr>
              <w:p w:rsidR="00213BC9" w:rsidRPr="00213BC9" w:rsidRDefault="00213BC9" w:rsidP="00601D47">
                <w:pPr>
                  <w:jc w:val="right"/>
                  <w:rPr>
                    <w:sz w:val="12"/>
                    <w:szCs w:val="12"/>
                  </w:rPr>
                </w:pPr>
                <w:r w:rsidRPr="00213BC9">
                  <w:rPr>
                    <w:sz w:val="12"/>
                    <w:szCs w:val="12"/>
                  </w:rPr>
                  <w:t>463,562,688</w:t>
                </w:r>
              </w:p>
            </w:tc>
            <w:tc>
              <w:tcPr>
                <w:tcW w:w="389" w:type="pct"/>
                <w:shd w:val="clear" w:color="auto" w:fill="auto"/>
                <w:vAlign w:val="center"/>
              </w:tcPr>
              <w:p w:rsidR="00213BC9" w:rsidRPr="00213BC9" w:rsidRDefault="00213BC9" w:rsidP="00601D47">
                <w:pPr>
                  <w:jc w:val="right"/>
                  <w:rPr>
                    <w:sz w:val="12"/>
                    <w:szCs w:val="12"/>
                  </w:rPr>
                </w:pPr>
                <w:r w:rsidRPr="00213BC9">
                  <w:rPr>
                    <w:sz w:val="12"/>
                    <w:szCs w:val="12"/>
                  </w:rPr>
                  <w:t>1,449,661,974</w:t>
                </w:r>
              </w:p>
            </w:tc>
            <w:tc>
              <w:tcPr>
                <w:tcW w:w="439" w:type="pct"/>
                <w:shd w:val="clear" w:color="auto" w:fill="auto"/>
                <w:vAlign w:val="center"/>
              </w:tcPr>
              <w:p w:rsidR="00213BC9" w:rsidRPr="00213BC9" w:rsidRDefault="00213BC9" w:rsidP="00601D47">
                <w:pPr>
                  <w:jc w:val="right"/>
                  <w:rPr>
                    <w:sz w:val="12"/>
                    <w:szCs w:val="12"/>
                  </w:rPr>
                </w:pPr>
                <w:r w:rsidRPr="00213BC9">
                  <w:rPr>
                    <w:sz w:val="12"/>
                    <w:szCs w:val="12"/>
                  </w:rPr>
                  <w:t>1,400,377,044</w:t>
                </w:r>
              </w:p>
            </w:tc>
            <w:tc>
              <w:tcPr>
                <w:tcW w:w="389" w:type="pct"/>
                <w:shd w:val="clear" w:color="auto" w:fill="auto"/>
                <w:vAlign w:val="center"/>
              </w:tcPr>
              <w:p w:rsidR="00213BC9" w:rsidRPr="00213BC9" w:rsidRDefault="00213BC9" w:rsidP="00601D47">
                <w:pPr>
                  <w:jc w:val="right"/>
                  <w:rPr>
                    <w:sz w:val="12"/>
                    <w:szCs w:val="12"/>
                  </w:rPr>
                </w:pPr>
                <w:r w:rsidRPr="00213BC9">
                  <w:rPr>
                    <w:sz w:val="12"/>
                    <w:szCs w:val="12"/>
                  </w:rPr>
                  <w:t>578,875,865</w:t>
                </w:r>
              </w:p>
            </w:tc>
            <w:tc>
              <w:tcPr>
                <w:tcW w:w="390" w:type="pct"/>
                <w:shd w:val="clear" w:color="auto" w:fill="auto"/>
                <w:vAlign w:val="center"/>
              </w:tcPr>
              <w:p w:rsidR="00213BC9" w:rsidRPr="00213BC9" w:rsidRDefault="00213BC9" w:rsidP="00601D47">
                <w:pPr>
                  <w:jc w:val="right"/>
                  <w:rPr>
                    <w:sz w:val="12"/>
                    <w:szCs w:val="12"/>
                  </w:rPr>
                </w:pPr>
                <w:r w:rsidRPr="00213BC9">
                  <w:rPr>
                    <w:sz w:val="12"/>
                    <w:szCs w:val="12"/>
                  </w:rPr>
                  <w:t>287,265,043</w:t>
                </w:r>
              </w:p>
            </w:tc>
            <w:tc>
              <w:tcPr>
                <w:tcW w:w="388" w:type="pct"/>
                <w:shd w:val="clear" w:color="auto" w:fill="auto"/>
                <w:vAlign w:val="center"/>
              </w:tcPr>
              <w:p w:rsidR="00213BC9" w:rsidRPr="00213BC9" w:rsidRDefault="00213BC9" w:rsidP="00601D47">
                <w:pPr>
                  <w:jc w:val="right"/>
                  <w:rPr>
                    <w:sz w:val="12"/>
                    <w:szCs w:val="12"/>
                  </w:rPr>
                </w:pPr>
                <w:r w:rsidRPr="00213BC9">
                  <w:rPr>
                    <w:sz w:val="12"/>
                    <w:szCs w:val="12"/>
                  </w:rPr>
                  <w:t>162,096,813</w:t>
                </w:r>
              </w:p>
            </w:tc>
            <w:tc>
              <w:tcPr>
                <w:tcW w:w="369" w:type="pct"/>
                <w:shd w:val="clear" w:color="auto" w:fill="auto"/>
                <w:vAlign w:val="center"/>
              </w:tcPr>
              <w:p w:rsidR="00213BC9" w:rsidRPr="00213BC9" w:rsidRDefault="00213BC9" w:rsidP="00601D47">
                <w:pPr>
                  <w:jc w:val="right"/>
                  <w:rPr>
                    <w:sz w:val="12"/>
                    <w:szCs w:val="12"/>
                  </w:rPr>
                </w:pPr>
                <w:r w:rsidRPr="00213BC9">
                  <w:rPr>
                    <w:sz w:val="12"/>
                    <w:szCs w:val="12"/>
                  </w:rPr>
                  <w:t>55,099,869</w:t>
                </w:r>
              </w:p>
            </w:tc>
            <w:tc>
              <w:tcPr>
                <w:tcW w:w="404" w:type="pct"/>
                <w:shd w:val="clear" w:color="auto" w:fill="auto"/>
                <w:vAlign w:val="center"/>
              </w:tcPr>
              <w:p w:rsidR="00213BC9" w:rsidRPr="00213BC9" w:rsidRDefault="00213BC9" w:rsidP="00601D47">
                <w:pPr>
                  <w:jc w:val="right"/>
                  <w:rPr>
                    <w:sz w:val="12"/>
                    <w:szCs w:val="12"/>
                  </w:rPr>
                </w:pPr>
                <w:r w:rsidRPr="00213BC9">
                  <w:rPr>
                    <w:sz w:val="12"/>
                    <w:szCs w:val="12"/>
                  </w:rPr>
                  <w:t>110,806,451</w:t>
                </w:r>
              </w:p>
            </w:tc>
            <w:tc>
              <w:tcPr>
                <w:tcW w:w="404" w:type="pct"/>
                <w:shd w:val="clear" w:color="auto" w:fill="auto"/>
                <w:vAlign w:val="center"/>
              </w:tcPr>
              <w:p w:rsidR="00213BC9" w:rsidRPr="00213BC9" w:rsidRDefault="00213BC9" w:rsidP="00601D47">
                <w:pPr>
                  <w:jc w:val="right"/>
                  <w:rPr>
                    <w:sz w:val="12"/>
                    <w:szCs w:val="12"/>
                  </w:rPr>
                </w:pPr>
                <w:r w:rsidRPr="00213BC9">
                  <w:rPr>
                    <w:sz w:val="12"/>
                    <w:szCs w:val="12"/>
                  </w:rPr>
                  <w:t>280,329,876</w:t>
                </w:r>
              </w:p>
            </w:tc>
            <w:tc>
              <w:tcPr>
                <w:tcW w:w="404" w:type="pct"/>
                <w:shd w:val="clear" w:color="auto" w:fill="auto"/>
                <w:vAlign w:val="center"/>
              </w:tcPr>
              <w:p w:rsidR="00213BC9" w:rsidRPr="00213BC9" w:rsidRDefault="00213BC9" w:rsidP="00601D47">
                <w:pPr>
                  <w:jc w:val="right"/>
                  <w:rPr>
                    <w:sz w:val="12"/>
                    <w:szCs w:val="12"/>
                  </w:rPr>
                </w:pPr>
                <w:r w:rsidRPr="00213BC9">
                  <w:rPr>
                    <w:sz w:val="12"/>
                    <w:szCs w:val="12"/>
                  </w:rPr>
                  <w:t>90,493,076</w:t>
                </w:r>
              </w:p>
            </w:tc>
            <w:tc>
              <w:tcPr>
                <w:tcW w:w="401" w:type="pct"/>
                <w:shd w:val="clear" w:color="auto" w:fill="auto"/>
                <w:vAlign w:val="center"/>
              </w:tcPr>
              <w:p w:rsidR="00213BC9" w:rsidRPr="00213BC9" w:rsidRDefault="00213BC9" w:rsidP="00601D47">
                <w:pPr>
                  <w:jc w:val="right"/>
                  <w:rPr>
                    <w:sz w:val="12"/>
                    <w:szCs w:val="12"/>
                  </w:rPr>
                </w:pPr>
                <w:r w:rsidRPr="00213BC9">
                  <w:rPr>
                    <w:sz w:val="12"/>
                    <w:szCs w:val="12"/>
                  </w:rPr>
                  <w:t>4,878,568,699</w:t>
                </w:r>
              </w:p>
            </w:tc>
          </w:tr>
          <w:tr w:rsidR="00E27B33" w:rsidTr="00B1561D">
            <w:sdt>
              <w:sdtPr>
                <w:rPr>
                  <w:sz w:val="12"/>
                  <w:szCs w:val="12"/>
                </w:rPr>
                <w:tag w:val="_PLD_4b899f8229be463181a7e6a6c1cb2337"/>
                <w:id w:val="-1729220017"/>
                <w:lock w:val="sdtLocked"/>
              </w:sdtPr>
              <w:sdtContent>
                <w:tc>
                  <w:tcPr>
                    <w:tcW w:w="633" w:type="pct"/>
                    <w:shd w:val="clear" w:color="auto" w:fill="auto"/>
                  </w:tcPr>
                  <w:p w:rsidR="00213BC9" w:rsidRPr="00213BC9" w:rsidRDefault="00213BC9" w:rsidP="00601D47">
                    <w:pPr>
                      <w:ind w:firstLineChars="300" w:firstLine="360"/>
                      <w:rPr>
                        <w:sz w:val="12"/>
                        <w:szCs w:val="12"/>
                      </w:rPr>
                    </w:pPr>
                    <w:r w:rsidRPr="00213BC9">
                      <w:rPr>
                        <w:rFonts w:hint="eastAsia"/>
                        <w:sz w:val="12"/>
                        <w:szCs w:val="12"/>
                      </w:rPr>
                      <w:t>（1）计提</w:t>
                    </w:r>
                  </w:p>
                </w:tc>
              </w:sdtContent>
            </w:sdt>
            <w:tc>
              <w:tcPr>
                <w:tcW w:w="389" w:type="pct"/>
                <w:shd w:val="clear" w:color="auto" w:fill="auto"/>
                <w:vAlign w:val="center"/>
              </w:tcPr>
              <w:p w:rsidR="00213BC9" w:rsidRPr="00213BC9" w:rsidRDefault="00213BC9" w:rsidP="00601D47">
                <w:pPr>
                  <w:jc w:val="right"/>
                  <w:rPr>
                    <w:sz w:val="12"/>
                    <w:szCs w:val="12"/>
                  </w:rPr>
                </w:pPr>
                <w:r w:rsidRPr="00213BC9">
                  <w:rPr>
                    <w:sz w:val="12"/>
                    <w:szCs w:val="12"/>
                  </w:rPr>
                  <w:t>463,934,771</w:t>
                </w:r>
              </w:p>
            </w:tc>
            <w:tc>
              <w:tcPr>
                <w:tcW w:w="389" w:type="pct"/>
                <w:shd w:val="clear" w:color="auto" w:fill="auto"/>
                <w:vAlign w:val="center"/>
              </w:tcPr>
              <w:p w:rsidR="00213BC9" w:rsidRPr="00213BC9" w:rsidRDefault="00213BC9" w:rsidP="00601D47">
                <w:pPr>
                  <w:jc w:val="right"/>
                  <w:rPr>
                    <w:sz w:val="12"/>
                    <w:szCs w:val="12"/>
                  </w:rPr>
                </w:pPr>
                <w:r w:rsidRPr="00213BC9">
                  <w:rPr>
                    <w:sz w:val="12"/>
                    <w:szCs w:val="12"/>
                  </w:rPr>
                  <w:t>1,449,661,974</w:t>
                </w:r>
              </w:p>
            </w:tc>
            <w:tc>
              <w:tcPr>
                <w:tcW w:w="439" w:type="pct"/>
                <w:shd w:val="clear" w:color="auto" w:fill="auto"/>
                <w:vAlign w:val="center"/>
              </w:tcPr>
              <w:p w:rsidR="00213BC9" w:rsidRPr="00213BC9" w:rsidRDefault="00213BC9" w:rsidP="00601D47">
                <w:pPr>
                  <w:jc w:val="right"/>
                  <w:rPr>
                    <w:sz w:val="12"/>
                    <w:szCs w:val="12"/>
                  </w:rPr>
                </w:pPr>
                <w:r w:rsidRPr="00213BC9">
                  <w:rPr>
                    <w:sz w:val="12"/>
                    <w:szCs w:val="12"/>
                  </w:rPr>
                  <w:t>1,400,377,044</w:t>
                </w:r>
              </w:p>
            </w:tc>
            <w:tc>
              <w:tcPr>
                <w:tcW w:w="389" w:type="pct"/>
                <w:shd w:val="clear" w:color="auto" w:fill="auto"/>
                <w:vAlign w:val="center"/>
              </w:tcPr>
              <w:p w:rsidR="00213BC9" w:rsidRPr="00213BC9" w:rsidRDefault="00213BC9" w:rsidP="00601D47">
                <w:pPr>
                  <w:jc w:val="right"/>
                  <w:rPr>
                    <w:sz w:val="12"/>
                    <w:szCs w:val="12"/>
                  </w:rPr>
                </w:pPr>
                <w:r w:rsidRPr="00213BC9">
                  <w:rPr>
                    <w:sz w:val="12"/>
                    <w:szCs w:val="12"/>
                  </w:rPr>
                  <w:t>578,875,865</w:t>
                </w:r>
              </w:p>
            </w:tc>
            <w:tc>
              <w:tcPr>
                <w:tcW w:w="390" w:type="pct"/>
                <w:shd w:val="clear" w:color="auto" w:fill="auto"/>
                <w:vAlign w:val="center"/>
              </w:tcPr>
              <w:p w:rsidR="00213BC9" w:rsidRPr="00213BC9" w:rsidRDefault="00213BC9" w:rsidP="00601D47">
                <w:pPr>
                  <w:jc w:val="right"/>
                  <w:rPr>
                    <w:sz w:val="12"/>
                    <w:szCs w:val="12"/>
                  </w:rPr>
                </w:pPr>
                <w:r w:rsidRPr="00213BC9">
                  <w:rPr>
                    <w:sz w:val="12"/>
                    <w:szCs w:val="12"/>
                  </w:rPr>
                  <w:t>287,224,603</w:t>
                </w:r>
              </w:p>
            </w:tc>
            <w:tc>
              <w:tcPr>
                <w:tcW w:w="388" w:type="pct"/>
                <w:shd w:val="clear" w:color="auto" w:fill="auto"/>
                <w:vAlign w:val="center"/>
              </w:tcPr>
              <w:p w:rsidR="00213BC9" w:rsidRPr="00213BC9" w:rsidRDefault="00213BC9" w:rsidP="00601D47">
                <w:pPr>
                  <w:jc w:val="right"/>
                  <w:rPr>
                    <w:sz w:val="12"/>
                    <w:szCs w:val="12"/>
                  </w:rPr>
                </w:pPr>
                <w:r w:rsidRPr="00213BC9">
                  <w:rPr>
                    <w:sz w:val="12"/>
                    <w:szCs w:val="12"/>
                  </w:rPr>
                  <w:t>161,724,730</w:t>
                </w:r>
              </w:p>
            </w:tc>
            <w:tc>
              <w:tcPr>
                <w:tcW w:w="369" w:type="pct"/>
                <w:shd w:val="clear" w:color="auto" w:fill="auto"/>
                <w:vAlign w:val="center"/>
              </w:tcPr>
              <w:p w:rsidR="00213BC9" w:rsidRPr="00213BC9" w:rsidRDefault="00213BC9" w:rsidP="00601D47">
                <w:pPr>
                  <w:jc w:val="right"/>
                  <w:rPr>
                    <w:sz w:val="12"/>
                    <w:szCs w:val="12"/>
                  </w:rPr>
                </w:pPr>
                <w:r w:rsidRPr="00213BC9">
                  <w:rPr>
                    <w:sz w:val="12"/>
                    <w:szCs w:val="12"/>
                  </w:rPr>
                  <w:t>54,728,484</w:t>
                </w:r>
              </w:p>
            </w:tc>
            <w:tc>
              <w:tcPr>
                <w:tcW w:w="404" w:type="pct"/>
                <w:shd w:val="clear" w:color="auto" w:fill="auto"/>
                <w:vAlign w:val="center"/>
              </w:tcPr>
              <w:p w:rsidR="00213BC9" w:rsidRPr="00213BC9" w:rsidRDefault="00213BC9" w:rsidP="00601D47">
                <w:pPr>
                  <w:jc w:val="right"/>
                  <w:rPr>
                    <w:sz w:val="12"/>
                    <w:szCs w:val="12"/>
                  </w:rPr>
                </w:pPr>
                <w:r w:rsidRPr="00213BC9">
                  <w:rPr>
                    <w:sz w:val="12"/>
                    <w:szCs w:val="12"/>
                  </w:rPr>
                  <w:t>111,218,276</w:t>
                </w:r>
              </w:p>
            </w:tc>
            <w:tc>
              <w:tcPr>
                <w:tcW w:w="404" w:type="pct"/>
                <w:shd w:val="clear" w:color="auto" w:fill="auto"/>
                <w:vAlign w:val="center"/>
              </w:tcPr>
              <w:p w:rsidR="00213BC9" w:rsidRPr="00213BC9" w:rsidRDefault="00213BC9" w:rsidP="00601D47">
                <w:pPr>
                  <w:jc w:val="right"/>
                  <w:rPr>
                    <w:sz w:val="12"/>
                    <w:szCs w:val="12"/>
                  </w:rPr>
                </w:pPr>
                <w:r w:rsidRPr="00213BC9">
                  <w:rPr>
                    <w:sz w:val="12"/>
                    <w:szCs w:val="12"/>
                  </w:rPr>
                  <w:t>280,302,378</w:t>
                </w:r>
              </w:p>
            </w:tc>
            <w:tc>
              <w:tcPr>
                <w:tcW w:w="404" w:type="pct"/>
                <w:shd w:val="clear" w:color="auto" w:fill="auto"/>
                <w:vAlign w:val="center"/>
              </w:tcPr>
              <w:p w:rsidR="00213BC9" w:rsidRPr="00213BC9" w:rsidRDefault="00213BC9" w:rsidP="00601D47">
                <w:pPr>
                  <w:jc w:val="right"/>
                  <w:rPr>
                    <w:sz w:val="12"/>
                    <w:szCs w:val="12"/>
                  </w:rPr>
                </w:pPr>
                <w:r w:rsidRPr="00213BC9">
                  <w:rPr>
                    <w:sz w:val="12"/>
                    <w:szCs w:val="12"/>
                  </w:rPr>
                  <w:t>90,520,574</w:t>
                </w:r>
              </w:p>
            </w:tc>
            <w:tc>
              <w:tcPr>
                <w:tcW w:w="401" w:type="pct"/>
                <w:shd w:val="clear" w:color="auto" w:fill="auto"/>
                <w:vAlign w:val="center"/>
              </w:tcPr>
              <w:p w:rsidR="00213BC9" w:rsidRPr="00213BC9" w:rsidRDefault="00213BC9" w:rsidP="00601D47">
                <w:pPr>
                  <w:jc w:val="right"/>
                  <w:rPr>
                    <w:sz w:val="12"/>
                    <w:szCs w:val="12"/>
                  </w:rPr>
                </w:pPr>
                <w:r w:rsidRPr="00213BC9">
                  <w:rPr>
                    <w:sz w:val="12"/>
                    <w:szCs w:val="12"/>
                  </w:rPr>
                  <w:t>4,878,568,699</w:t>
                </w:r>
              </w:p>
            </w:tc>
          </w:tr>
          <w:tr w:rsidR="00E27B33" w:rsidTr="00B1561D">
            <w:sdt>
              <w:sdtPr>
                <w:rPr>
                  <w:rFonts w:hint="eastAsia"/>
                  <w:sz w:val="12"/>
                  <w:szCs w:val="12"/>
                </w:rPr>
                <w:alias w:val="固定资产累计折旧增加项目名称"/>
                <w:tag w:val="_GBC_c82e46f282074bcd8f0977f9e064b7a6"/>
                <w:id w:val="1113867801"/>
                <w:lock w:val="sdtLocked"/>
              </w:sdtPr>
              <w:sdtContent>
                <w:tc>
                  <w:tcPr>
                    <w:tcW w:w="633" w:type="pct"/>
                    <w:shd w:val="clear" w:color="auto" w:fill="auto"/>
                  </w:tcPr>
                  <w:p w:rsidR="00213BC9" w:rsidRPr="00213BC9" w:rsidRDefault="00213BC9" w:rsidP="00601D47">
                    <w:pPr>
                      <w:ind w:firstLineChars="300" w:firstLine="360"/>
                      <w:rPr>
                        <w:sz w:val="12"/>
                        <w:szCs w:val="12"/>
                      </w:rPr>
                    </w:pPr>
                    <w:r w:rsidRPr="00213BC9">
                      <w:rPr>
                        <w:rFonts w:hint="eastAsia"/>
                        <w:sz w:val="12"/>
                        <w:szCs w:val="12"/>
                      </w:rPr>
                      <w:t>（2）重分类</w:t>
                    </w:r>
                  </w:p>
                </w:tc>
              </w:sdtContent>
            </w:sdt>
            <w:sdt>
              <w:sdtPr>
                <w:rPr>
                  <w:rFonts w:hint="eastAsia"/>
                  <w:sz w:val="12"/>
                  <w:szCs w:val="12"/>
                </w:rPr>
                <w:alias w:val="固定资产累计折旧增加项目金额"/>
                <w:tag w:val="_GBC_d8c6bc4179c24d4497d3b866e522ee51"/>
                <w:id w:val="1852451241"/>
                <w:lock w:val="sdtLocked"/>
              </w:sdtPr>
              <w:sdtContent>
                <w:tc>
                  <w:tcPr>
                    <w:tcW w:w="389" w:type="pct"/>
                    <w:shd w:val="clear" w:color="auto" w:fill="auto"/>
                  </w:tcPr>
                  <w:p w:rsidR="00213BC9" w:rsidRPr="00213BC9" w:rsidRDefault="006340F2" w:rsidP="00601D47">
                    <w:pPr>
                      <w:jc w:val="right"/>
                      <w:rPr>
                        <w:sz w:val="12"/>
                        <w:szCs w:val="12"/>
                      </w:rPr>
                    </w:pPr>
                    <w:r>
                      <w:rPr>
                        <w:sz w:val="12"/>
                        <w:szCs w:val="12"/>
                      </w:rPr>
                      <w:t>-</w:t>
                    </w:r>
                    <w:r w:rsidR="00213BC9" w:rsidRPr="00213BC9">
                      <w:rPr>
                        <w:rFonts w:hint="eastAsia"/>
                        <w:sz w:val="12"/>
                        <w:szCs w:val="12"/>
                      </w:rPr>
                      <w:t>372,083</w:t>
                    </w:r>
                  </w:p>
                </w:tc>
              </w:sdtContent>
            </w:sdt>
            <w:sdt>
              <w:sdtPr>
                <w:rPr>
                  <w:rFonts w:hint="eastAsia"/>
                  <w:sz w:val="12"/>
                  <w:szCs w:val="12"/>
                </w:rPr>
                <w:alias w:val="固定资产累计折旧增加项目金额"/>
                <w:tag w:val="_GBC_d8c6bc4179c24d4497d3b866e522ee51"/>
                <w:id w:val="-2105105475"/>
                <w:lock w:val="sdtLocked"/>
              </w:sdtPr>
              <w:sdtContent>
                <w:tc>
                  <w:tcPr>
                    <w:tcW w:w="389" w:type="pct"/>
                    <w:shd w:val="clear" w:color="auto" w:fill="auto"/>
                  </w:tcPr>
                  <w:p w:rsidR="00213BC9" w:rsidRPr="00213BC9" w:rsidRDefault="00213BC9" w:rsidP="00601D47">
                    <w:pPr>
                      <w:jc w:val="right"/>
                      <w:rPr>
                        <w:sz w:val="12"/>
                        <w:szCs w:val="12"/>
                      </w:rPr>
                    </w:pPr>
                    <w:r w:rsidRPr="00213BC9">
                      <w:rPr>
                        <w:rFonts w:hint="eastAsia"/>
                        <w:sz w:val="12"/>
                        <w:szCs w:val="12"/>
                      </w:rPr>
                      <w:t>0</w:t>
                    </w:r>
                  </w:p>
                </w:tc>
              </w:sdtContent>
            </w:sdt>
            <w:sdt>
              <w:sdtPr>
                <w:rPr>
                  <w:rFonts w:hint="eastAsia"/>
                  <w:sz w:val="12"/>
                  <w:szCs w:val="12"/>
                </w:rPr>
                <w:alias w:val="固定资产累计折旧增加项目金额"/>
                <w:tag w:val="_GBC_d8c6bc4179c24d4497d3b866e522ee51"/>
                <w:id w:val="-495416567"/>
                <w:lock w:val="sdtLocked"/>
              </w:sdtPr>
              <w:sdtContent>
                <w:tc>
                  <w:tcPr>
                    <w:tcW w:w="439" w:type="pct"/>
                    <w:shd w:val="clear" w:color="auto" w:fill="auto"/>
                  </w:tcPr>
                  <w:p w:rsidR="00213BC9" w:rsidRPr="00213BC9" w:rsidRDefault="00213BC9" w:rsidP="00601D47">
                    <w:pPr>
                      <w:jc w:val="right"/>
                      <w:rPr>
                        <w:sz w:val="12"/>
                        <w:szCs w:val="12"/>
                      </w:rPr>
                    </w:pPr>
                    <w:r w:rsidRPr="00213BC9">
                      <w:rPr>
                        <w:rFonts w:hint="eastAsia"/>
                        <w:sz w:val="12"/>
                        <w:szCs w:val="12"/>
                      </w:rPr>
                      <w:t>0</w:t>
                    </w:r>
                  </w:p>
                </w:tc>
              </w:sdtContent>
            </w:sdt>
            <w:sdt>
              <w:sdtPr>
                <w:rPr>
                  <w:rFonts w:hint="eastAsia"/>
                  <w:sz w:val="12"/>
                  <w:szCs w:val="12"/>
                </w:rPr>
                <w:alias w:val="固定资产累计折旧增加项目金额"/>
                <w:tag w:val="_GBC_d8c6bc4179c24d4497d3b866e522ee51"/>
                <w:id w:val="664293798"/>
                <w:lock w:val="sdtLocked"/>
              </w:sdtPr>
              <w:sdtContent>
                <w:tc>
                  <w:tcPr>
                    <w:tcW w:w="389" w:type="pct"/>
                    <w:shd w:val="clear" w:color="auto" w:fill="auto"/>
                  </w:tcPr>
                  <w:p w:rsidR="00213BC9" w:rsidRPr="00213BC9" w:rsidRDefault="00213BC9" w:rsidP="00601D47">
                    <w:pPr>
                      <w:jc w:val="right"/>
                      <w:rPr>
                        <w:sz w:val="12"/>
                        <w:szCs w:val="12"/>
                      </w:rPr>
                    </w:pPr>
                    <w:r w:rsidRPr="00213BC9">
                      <w:rPr>
                        <w:rFonts w:hint="eastAsia"/>
                        <w:sz w:val="12"/>
                        <w:szCs w:val="12"/>
                      </w:rPr>
                      <w:t>0</w:t>
                    </w:r>
                  </w:p>
                </w:tc>
              </w:sdtContent>
            </w:sdt>
            <w:sdt>
              <w:sdtPr>
                <w:rPr>
                  <w:rFonts w:hint="eastAsia"/>
                  <w:sz w:val="12"/>
                  <w:szCs w:val="12"/>
                </w:rPr>
                <w:alias w:val="固定资产累计折旧增加项目金额"/>
                <w:tag w:val="_GBC_d8c6bc4179c24d4497d3b866e522ee51"/>
                <w:id w:val="-1694837751"/>
                <w:lock w:val="sdtLocked"/>
              </w:sdtPr>
              <w:sdtContent>
                <w:tc>
                  <w:tcPr>
                    <w:tcW w:w="390" w:type="pct"/>
                    <w:shd w:val="clear" w:color="auto" w:fill="auto"/>
                  </w:tcPr>
                  <w:p w:rsidR="00213BC9" w:rsidRPr="00213BC9" w:rsidRDefault="00213BC9" w:rsidP="00601D47">
                    <w:pPr>
                      <w:jc w:val="right"/>
                      <w:rPr>
                        <w:sz w:val="12"/>
                        <w:szCs w:val="12"/>
                      </w:rPr>
                    </w:pPr>
                    <w:r w:rsidRPr="00213BC9">
                      <w:rPr>
                        <w:rFonts w:hint="eastAsia"/>
                        <w:sz w:val="12"/>
                        <w:szCs w:val="12"/>
                      </w:rPr>
                      <w:t>40,440</w:t>
                    </w:r>
                  </w:p>
                </w:tc>
              </w:sdtContent>
            </w:sdt>
            <w:sdt>
              <w:sdtPr>
                <w:rPr>
                  <w:rFonts w:hint="eastAsia"/>
                  <w:sz w:val="12"/>
                  <w:szCs w:val="12"/>
                </w:rPr>
                <w:alias w:val="固定资产累计折旧增加项目金额"/>
                <w:tag w:val="_GBC_d8c6bc4179c24d4497d3b866e522ee51"/>
                <w:id w:val="-741173433"/>
                <w:lock w:val="sdtLocked"/>
              </w:sdtPr>
              <w:sdtContent>
                <w:tc>
                  <w:tcPr>
                    <w:tcW w:w="388" w:type="pct"/>
                    <w:shd w:val="clear" w:color="auto" w:fill="auto"/>
                  </w:tcPr>
                  <w:p w:rsidR="00213BC9" w:rsidRPr="00213BC9" w:rsidRDefault="00213BC9" w:rsidP="00601D47">
                    <w:pPr>
                      <w:jc w:val="right"/>
                      <w:rPr>
                        <w:sz w:val="12"/>
                        <w:szCs w:val="12"/>
                      </w:rPr>
                    </w:pPr>
                    <w:r w:rsidRPr="00213BC9">
                      <w:rPr>
                        <w:rFonts w:hint="eastAsia"/>
                        <w:sz w:val="12"/>
                        <w:szCs w:val="12"/>
                      </w:rPr>
                      <w:t>372,083</w:t>
                    </w:r>
                  </w:p>
                </w:tc>
              </w:sdtContent>
            </w:sdt>
            <w:sdt>
              <w:sdtPr>
                <w:rPr>
                  <w:rFonts w:hint="eastAsia"/>
                  <w:sz w:val="12"/>
                  <w:szCs w:val="12"/>
                </w:rPr>
                <w:alias w:val="固定资产累计折旧增加项目金额"/>
                <w:tag w:val="_GBC_d8c6bc4179c24d4497d3b866e522ee51"/>
                <w:id w:val="-574900747"/>
                <w:lock w:val="sdtLocked"/>
              </w:sdtPr>
              <w:sdtContent>
                <w:tc>
                  <w:tcPr>
                    <w:tcW w:w="369" w:type="pct"/>
                    <w:shd w:val="clear" w:color="auto" w:fill="auto"/>
                  </w:tcPr>
                  <w:p w:rsidR="00213BC9" w:rsidRPr="00213BC9" w:rsidRDefault="00213BC9" w:rsidP="00601D47">
                    <w:pPr>
                      <w:jc w:val="right"/>
                      <w:rPr>
                        <w:sz w:val="12"/>
                        <w:szCs w:val="12"/>
                      </w:rPr>
                    </w:pPr>
                    <w:r w:rsidRPr="00213BC9">
                      <w:rPr>
                        <w:rFonts w:hint="eastAsia"/>
                        <w:sz w:val="12"/>
                        <w:szCs w:val="12"/>
                      </w:rPr>
                      <w:t>371,385</w:t>
                    </w:r>
                  </w:p>
                </w:tc>
              </w:sdtContent>
            </w:sdt>
            <w:sdt>
              <w:sdtPr>
                <w:rPr>
                  <w:rFonts w:hint="eastAsia"/>
                  <w:sz w:val="12"/>
                  <w:szCs w:val="12"/>
                </w:rPr>
                <w:alias w:val="固定资产累计折旧增加项目金额"/>
                <w:tag w:val="_GBC_d8c6bc4179c24d4497d3b866e522ee51"/>
                <w:id w:val="-749968216"/>
                <w:lock w:val="sdtLocked"/>
              </w:sdtPr>
              <w:sdtContent>
                <w:tc>
                  <w:tcPr>
                    <w:tcW w:w="404" w:type="pct"/>
                    <w:shd w:val="clear" w:color="auto" w:fill="auto"/>
                  </w:tcPr>
                  <w:p w:rsidR="00213BC9" w:rsidRPr="00213BC9" w:rsidRDefault="006340F2" w:rsidP="00601D47">
                    <w:pPr>
                      <w:jc w:val="right"/>
                      <w:rPr>
                        <w:sz w:val="12"/>
                        <w:szCs w:val="12"/>
                      </w:rPr>
                    </w:pPr>
                    <w:r>
                      <w:rPr>
                        <w:sz w:val="12"/>
                        <w:szCs w:val="12"/>
                      </w:rPr>
                      <w:t>-</w:t>
                    </w:r>
                    <w:r w:rsidR="00213BC9" w:rsidRPr="00213BC9">
                      <w:rPr>
                        <w:rFonts w:hint="eastAsia"/>
                        <w:sz w:val="12"/>
                        <w:szCs w:val="12"/>
                      </w:rPr>
                      <w:t>411,825</w:t>
                    </w:r>
                  </w:p>
                </w:tc>
              </w:sdtContent>
            </w:sdt>
            <w:sdt>
              <w:sdtPr>
                <w:rPr>
                  <w:rFonts w:hint="eastAsia"/>
                  <w:sz w:val="12"/>
                  <w:szCs w:val="12"/>
                </w:rPr>
                <w:alias w:val="固定资产累计折旧增加项目金额"/>
                <w:tag w:val="_GBC_d8c6bc4179c24d4497d3b866e522ee51"/>
                <w:id w:val="-960499675"/>
                <w:lock w:val="sdtLocked"/>
              </w:sdtPr>
              <w:sdtContent>
                <w:tc>
                  <w:tcPr>
                    <w:tcW w:w="404" w:type="pct"/>
                    <w:shd w:val="clear" w:color="auto" w:fill="auto"/>
                  </w:tcPr>
                  <w:p w:rsidR="00213BC9" w:rsidRPr="00213BC9" w:rsidRDefault="00213BC9" w:rsidP="00601D47">
                    <w:pPr>
                      <w:jc w:val="right"/>
                      <w:rPr>
                        <w:sz w:val="12"/>
                        <w:szCs w:val="12"/>
                      </w:rPr>
                    </w:pPr>
                    <w:r w:rsidRPr="00213BC9">
                      <w:rPr>
                        <w:rFonts w:hint="eastAsia"/>
                        <w:sz w:val="12"/>
                        <w:szCs w:val="12"/>
                      </w:rPr>
                      <w:t>27,498</w:t>
                    </w:r>
                  </w:p>
                </w:tc>
              </w:sdtContent>
            </w:sdt>
            <w:sdt>
              <w:sdtPr>
                <w:rPr>
                  <w:rFonts w:hint="eastAsia"/>
                  <w:sz w:val="12"/>
                  <w:szCs w:val="12"/>
                </w:rPr>
                <w:alias w:val="固定资产累计折旧增加项目金额"/>
                <w:tag w:val="_GBC_d8c6bc4179c24d4497d3b866e522ee51"/>
                <w:id w:val="988683413"/>
                <w:lock w:val="sdtLocked"/>
              </w:sdtPr>
              <w:sdtContent>
                <w:tc>
                  <w:tcPr>
                    <w:tcW w:w="404" w:type="pct"/>
                    <w:shd w:val="clear" w:color="auto" w:fill="auto"/>
                  </w:tcPr>
                  <w:p w:rsidR="00213BC9" w:rsidRPr="00213BC9" w:rsidRDefault="006340F2" w:rsidP="00601D47">
                    <w:pPr>
                      <w:jc w:val="right"/>
                      <w:rPr>
                        <w:sz w:val="12"/>
                        <w:szCs w:val="12"/>
                      </w:rPr>
                    </w:pPr>
                    <w:r>
                      <w:rPr>
                        <w:sz w:val="12"/>
                        <w:szCs w:val="12"/>
                      </w:rPr>
                      <w:t>-</w:t>
                    </w:r>
                    <w:r w:rsidR="00213BC9" w:rsidRPr="00213BC9">
                      <w:rPr>
                        <w:rFonts w:hint="eastAsia"/>
                        <w:sz w:val="12"/>
                        <w:szCs w:val="12"/>
                      </w:rPr>
                      <w:t>27,498</w:t>
                    </w:r>
                  </w:p>
                </w:tc>
              </w:sdtContent>
            </w:sdt>
            <w:sdt>
              <w:sdtPr>
                <w:rPr>
                  <w:rFonts w:hint="eastAsia"/>
                  <w:sz w:val="12"/>
                  <w:szCs w:val="12"/>
                </w:rPr>
                <w:alias w:val="固定资产累计折旧增加项目合计金额"/>
                <w:tag w:val="_GBC_7b368febd98d43528833b386ded680f2"/>
                <w:id w:val="-554388439"/>
                <w:lock w:val="sdtLocked"/>
              </w:sdtPr>
              <w:sdtContent>
                <w:tc>
                  <w:tcPr>
                    <w:tcW w:w="401" w:type="pct"/>
                    <w:shd w:val="clear" w:color="auto" w:fill="auto"/>
                  </w:tcPr>
                  <w:p w:rsidR="00213BC9" w:rsidRPr="00213BC9" w:rsidRDefault="00213BC9" w:rsidP="00601D47">
                    <w:pPr>
                      <w:jc w:val="right"/>
                      <w:rPr>
                        <w:sz w:val="12"/>
                        <w:szCs w:val="12"/>
                      </w:rPr>
                    </w:pPr>
                    <w:r w:rsidRPr="00213BC9">
                      <w:rPr>
                        <w:rFonts w:hint="eastAsia"/>
                        <w:sz w:val="12"/>
                        <w:szCs w:val="12"/>
                      </w:rPr>
                      <w:t>0</w:t>
                    </w:r>
                  </w:p>
                </w:tc>
              </w:sdtContent>
            </w:sdt>
          </w:tr>
          <w:tr w:rsidR="00E27B33" w:rsidTr="00B1561D">
            <w:sdt>
              <w:sdtPr>
                <w:rPr>
                  <w:sz w:val="12"/>
                  <w:szCs w:val="12"/>
                </w:rPr>
                <w:tag w:val="_PLD_1a8a0c2973de4a7c99ed0dd69c4a85fa"/>
                <w:id w:val="-600576379"/>
                <w:lock w:val="sdtLocked"/>
              </w:sdtPr>
              <w:sdtContent>
                <w:tc>
                  <w:tcPr>
                    <w:tcW w:w="633" w:type="pct"/>
                    <w:shd w:val="clear" w:color="auto" w:fill="auto"/>
                  </w:tcPr>
                  <w:p w:rsidR="00213BC9" w:rsidRPr="00213BC9" w:rsidRDefault="00213BC9" w:rsidP="00601D47">
                    <w:pPr>
                      <w:ind w:firstLineChars="200" w:firstLine="240"/>
                      <w:rPr>
                        <w:sz w:val="12"/>
                        <w:szCs w:val="12"/>
                      </w:rPr>
                    </w:pPr>
                    <w:r w:rsidRPr="00213BC9">
                      <w:rPr>
                        <w:rFonts w:hint="eastAsia"/>
                        <w:sz w:val="12"/>
                        <w:szCs w:val="12"/>
                      </w:rPr>
                      <w:t>3.本期减少金额</w:t>
                    </w:r>
                  </w:p>
                </w:tc>
              </w:sdtContent>
            </w:sdt>
            <w:tc>
              <w:tcPr>
                <w:tcW w:w="389" w:type="pct"/>
                <w:shd w:val="clear" w:color="auto" w:fill="auto"/>
                <w:vAlign w:val="center"/>
              </w:tcPr>
              <w:p w:rsidR="00213BC9" w:rsidRPr="00213BC9" w:rsidRDefault="00213BC9" w:rsidP="00601D47">
                <w:pPr>
                  <w:jc w:val="right"/>
                  <w:rPr>
                    <w:sz w:val="12"/>
                    <w:szCs w:val="12"/>
                  </w:rPr>
                </w:pPr>
                <w:r w:rsidRPr="00213BC9">
                  <w:rPr>
                    <w:sz w:val="12"/>
                    <w:szCs w:val="12"/>
                  </w:rPr>
                  <w:t>110,837,641</w:t>
                </w:r>
              </w:p>
            </w:tc>
            <w:tc>
              <w:tcPr>
                <w:tcW w:w="389" w:type="pct"/>
                <w:shd w:val="clear" w:color="auto" w:fill="auto"/>
                <w:vAlign w:val="center"/>
              </w:tcPr>
              <w:p w:rsidR="00213BC9" w:rsidRPr="00213BC9" w:rsidRDefault="00213BC9" w:rsidP="00601D47">
                <w:pPr>
                  <w:jc w:val="right"/>
                  <w:rPr>
                    <w:sz w:val="12"/>
                    <w:szCs w:val="12"/>
                  </w:rPr>
                </w:pPr>
                <w:r w:rsidRPr="00213BC9">
                  <w:rPr>
                    <w:sz w:val="12"/>
                    <w:szCs w:val="12"/>
                  </w:rPr>
                  <w:t>4,520,374,562</w:t>
                </w:r>
              </w:p>
            </w:tc>
            <w:tc>
              <w:tcPr>
                <w:tcW w:w="439" w:type="pct"/>
                <w:shd w:val="clear" w:color="auto" w:fill="auto"/>
                <w:vAlign w:val="center"/>
              </w:tcPr>
              <w:p w:rsidR="00213BC9" w:rsidRPr="00213BC9" w:rsidRDefault="00213BC9" w:rsidP="00601D47">
                <w:pPr>
                  <w:jc w:val="right"/>
                  <w:rPr>
                    <w:sz w:val="12"/>
                    <w:szCs w:val="12"/>
                  </w:rPr>
                </w:pPr>
                <w:r w:rsidRPr="00213BC9">
                  <w:rPr>
                    <w:sz w:val="12"/>
                    <w:szCs w:val="12"/>
                  </w:rPr>
                  <w:t>502,740,506</w:t>
                </w:r>
              </w:p>
            </w:tc>
            <w:tc>
              <w:tcPr>
                <w:tcW w:w="389" w:type="pct"/>
                <w:shd w:val="clear" w:color="auto" w:fill="auto"/>
                <w:vAlign w:val="center"/>
              </w:tcPr>
              <w:p w:rsidR="00213BC9" w:rsidRPr="00213BC9" w:rsidRDefault="00213BC9" w:rsidP="00601D47">
                <w:pPr>
                  <w:jc w:val="right"/>
                  <w:rPr>
                    <w:sz w:val="12"/>
                    <w:szCs w:val="12"/>
                  </w:rPr>
                </w:pPr>
                <w:r w:rsidRPr="00213BC9">
                  <w:rPr>
                    <w:sz w:val="12"/>
                    <w:szCs w:val="12"/>
                  </w:rPr>
                  <w:t>64,838,236</w:t>
                </w:r>
              </w:p>
            </w:tc>
            <w:tc>
              <w:tcPr>
                <w:tcW w:w="390" w:type="pct"/>
                <w:shd w:val="clear" w:color="auto" w:fill="auto"/>
                <w:vAlign w:val="center"/>
              </w:tcPr>
              <w:p w:rsidR="00213BC9" w:rsidRPr="00213BC9" w:rsidRDefault="00213BC9" w:rsidP="00601D47">
                <w:pPr>
                  <w:jc w:val="right"/>
                  <w:rPr>
                    <w:sz w:val="12"/>
                    <w:szCs w:val="12"/>
                  </w:rPr>
                </w:pPr>
                <w:r w:rsidRPr="00213BC9">
                  <w:rPr>
                    <w:sz w:val="12"/>
                    <w:szCs w:val="12"/>
                  </w:rPr>
                  <w:t>407,541,316</w:t>
                </w:r>
              </w:p>
            </w:tc>
            <w:tc>
              <w:tcPr>
                <w:tcW w:w="388" w:type="pct"/>
                <w:shd w:val="clear" w:color="auto" w:fill="auto"/>
                <w:vAlign w:val="center"/>
              </w:tcPr>
              <w:p w:rsidR="00213BC9" w:rsidRPr="00213BC9" w:rsidRDefault="00213BC9" w:rsidP="00601D47">
                <w:pPr>
                  <w:jc w:val="right"/>
                  <w:rPr>
                    <w:sz w:val="12"/>
                    <w:szCs w:val="12"/>
                  </w:rPr>
                </w:pPr>
                <w:r w:rsidRPr="00213BC9">
                  <w:rPr>
                    <w:sz w:val="12"/>
                    <w:szCs w:val="12"/>
                  </w:rPr>
                  <w:t>138,075,742</w:t>
                </w:r>
              </w:p>
            </w:tc>
            <w:tc>
              <w:tcPr>
                <w:tcW w:w="369" w:type="pct"/>
                <w:shd w:val="clear" w:color="auto" w:fill="auto"/>
                <w:vAlign w:val="center"/>
              </w:tcPr>
              <w:p w:rsidR="00213BC9" w:rsidRPr="00213BC9" w:rsidRDefault="00213BC9" w:rsidP="00601D47">
                <w:pPr>
                  <w:jc w:val="right"/>
                  <w:rPr>
                    <w:sz w:val="12"/>
                    <w:szCs w:val="12"/>
                  </w:rPr>
                </w:pPr>
                <w:r w:rsidRPr="00213BC9">
                  <w:rPr>
                    <w:sz w:val="12"/>
                    <w:szCs w:val="12"/>
                  </w:rPr>
                  <w:t>90,752,217</w:t>
                </w:r>
              </w:p>
            </w:tc>
            <w:tc>
              <w:tcPr>
                <w:tcW w:w="404" w:type="pct"/>
                <w:shd w:val="clear" w:color="auto" w:fill="auto"/>
                <w:vAlign w:val="center"/>
              </w:tcPr>
              <w:p w:rsidR="00213BC9" w:rsidRPr="00213BC9" w:rsidRDefault="00213BC9" w:rsidP="00601D47">
                <w:pPr>
                  <w:jc w:val="right"/>
                  <w:rPr>
                    <w:sz w:val="12"/>
                    <w:szCs w:val="12"/>
                  </w:rPr>
                </w:pPr>
                <w:r w:rsidRPr="00213BC9">
                  <w:rPr>
                    <w:sz w:val="12"/>
                    <w:szCs w:val="12"/>
                  </w:rPr>
                  <w:t>59,686,937</w:t>
                </w:r>
              </w:p>
            </w:tc>
            <w:tc>
              <w:tcPr>
                <w:tcW w:w="404" w:type="pct"/>
                <w:shd w:val="clear" w:color="auto" w:fill="auto"/>
                <w:vAlign w:val="center"/>
              </w:tcPr>
              <w:p w:rsidR="00213BC9" w:rsidRPr="00213BC9" w:rsidRDefault="00213BC9" w:rsidP="00601D47">
                <w:pPr>
                  <w:jc w:val="right"/>
                  <w:rPr>
                    <w:sz w:val="12"/>
                    <w:szCs w:val="12"/>
                  </w:rPr>
                </w:pPr>
                <w:r w:rsidRPr="00213BC9">
                  <w:rPr>
                    <w:sz w:val="12"/>
                    <w:szCs w:val="12"/>
                  </w:rPr>
                  <w:t>115,314,996</w:t>
                </w:r>
              </w:p>
            </w:tc>
            <w:tc>
              <w:tcPr>
                <w:tcW w:w="404" w:type="pct"/>
                <w:shd w:val="clear" w:color="auto" w:fill="auto"/>
                <w:vAlign w:val="center"/>
              </w:tcPr>
              <w:p w:rsidR="00213BC9" w:rsidRPr="00213BC9" w:rsidRDefault="00213BC9" w:rsidP="00601D47">
                <w:pPr>
                  <w:jc w:val="right"/>
                  <w:rPr>
                    <w:sz w:val="12"/>
                    <w:szCs w:val="12"/>
                  </w:rPr>
                </w:pPr>
                <w:r w:rsidRPr="00213BC9">
                  <w:rPr>
                    <w:sz w:val="12"/>
                    <w:szCs w:val="12"/>
                  </w:rPr>
                  <w:t>27,987,918</w:t>
                </w:r>
              </w:p>
            </w:tc>
            <w:tc>
              <w:tcPr>
                <w:tcW w:w="401" w:type="pct"/>
                <w:shd w:val="clear" w:color="auto" w:fill="auto"/>
                <w:vAlign w:val="center"/>
              </w:tcPr>
              <w:p w:rsidR="00213BC9" w:rsidRPr="00213BC9" w:rsidRDefault="00213BC9" w:rsidP="00601D47">
                <w:pPr>
                  <w:jc w:val="right"/>
                  <w:rPr>
                    <w:sz w:val="12"/>
                    <w:szCs w:val="12"/>
                  </w:rPr>
                </w:pPr>
                <w:r w:rsidRPr="00213BC9">
                  <w:rPr>
                    <w:sz w:val="12"/>
                    <w:szCs w:val="12"/>
                  </w:rPr>
                  <w:t>6,038,150,071</w:t>
                </w:r>
              </w:p>
            </w:tc>
          </w:tr>
          <w:tr w:rsidR="00E27B33" w:rsidTr="00B1561D">
            <w:sdt>
              <w:sdtPr>
                <w:rPr>
                  <w:sz w:val="12"/>
                  <w:szCs w:val="12"/>
                </w:rPr>
                <w:tag w:val="_PLD_051549d56ef94d0f864893f6bcd12368"/>
                <w:id w:val="-809783107"/>
                <w:lock w:val="sdtLocked"/>
              </w:sdtPr>
              <w:sdtContent>
                <w:tc>
                  <w:tcPr>
                    <w:tcW w:w="633" w:type="pct"/>
                    <w:shd w:val="clear" w:color="auto" w:fill="auto"/>
                  </w:tcPr>
                  <w:p w:rsidR="00213BC9" w:rsidRPr="00213BC9" w:rsidRDefault="00213BC9" w:rsidP="00601D47">
                    <w:pPr>
                      <w:ind w:firstLineChars="300" w:firstLine="360"/>
                      <w:rPr>
                        <w:sz w:val="12"/>
                        <w:szCs w:val="12"/>
                      </w:rPr>
                    </w:pPr>
                    <w:r w:rsidRPr="00213BC9">
                      <w:rPr>
                        <w:rFonts w:hint="eastAsia"/>
                        <w:sz w:val="12"/>
                        <w:szCs w:val="12"/>
                      </w:rPr>
                      <w:t>（1）处置或报废</w:t>
                    </w:r>
                  </w:p>
                </w:tc>
              </w:sdtContent>
            </w:sdt>
            <w:tc>
              <w:tcPr>
                <w:tcW w:w="389" w:type="pct"/>
                <w:shd w:val="clear" w:color="auto" w:fill="auto"/>
                <w:vAlign w:val="center"/>
              </w:tcPr>
              <w:p w:rsidR="00213BC9" w:rsidRPr="00213BC9" w:rsidRDefault="00213BC9" w:rsidP="00601D47">
                <w:pPr>
                  <w:jc w:val="right"/>
                  <w:rPr>
                    <w:sz w:val="12"/>
                    <w:szCs w:val="12"/>
                  </w:rPr>
                </w:pPr>
                <w:r w:rsidRPr="00213BC9">
                  <w:rPr>
                    <w:sz w:val="12"/>
                    <w:szCs w:val="12"/>
                  </w:rPr>
                  <w:t>23,100,279</w:t>
                </w:r>
              </w:p>
            </w:tc>
            <w:tc>
              <w:tcPr>
                <w:tcW w:w="389" w:type="pct"/>
                <w:shd w:val="clear" w:color="auto" w:fill="auto"/>
                <w:vAlign w:val="center"/>
              </w:tcPr>
              <w:p w:rsidR="00213BC9" w:rsidRPr="00213BC9" w:rsidRDefault="00213BC9" w:rsidP="00601D47">
                <w:pPr>
                  <w:jc w:val="right"/>
                  <w:rPr>
                    <w:sz w:val="12"/>
                    <w:szCs w:val="12"/>
                  </w:rPr>
                </w:pPr>
                <w:r w:rsidRPr="00213BC9">
                  <w:rPr>
                    <w:sz w:val="12"/>
                    <w:szCs w:val="12"/>
                  </w:rPr>
                  <w:t>74,438,111</w:t>
                </w:r>
              </w:p>
            </w:tc>
            <w:tc>
              <w:tcPr>
                <w:tcW w:w="439" w:type="pct"/>
                <w:shd w:val="clear" w:color="auto" w:fill="auto"/>
                <w:vAlign w:val="center"/>
              </w:tcPr>
              <w:p w:rsidR="00213BC9" w:rsidRPr="00213BC9" w:rsidRDefault="00213BC9" w:rsidP="00601D47">
                <w:pPr>
                  <w:jc w:val="right"/>
                  <w:rPr>
                    <w:sz w:val="12"/>
                    <w:szCs w:val="12"/>
                  </w:rPr>
                </w:pPr>
                <w:r w:rsidRPr="00213BC9">
                  <w:rPr>
                    <w:sz w:val="12"/>
                    <w:szCs w:val="12"/>
                  </w:rPr>
                  <w:t>32,070,635</w:t>
                </w:r>
              </w:p>
            </w:tc>
            <w:tc>
              <w:tcPr>
                <w:tcW w:w="389" w:type="pct"/>
                <w:shd w:val="clear" w:color="auto" w:fill="auto"/>
                <w:vAlign w:val="center"/>
              </w:tcPr>
              <w:p w:rsidR="00213BC9" w:rsidRPr="00213BC9" w:rsidRDefault="00213BC9" w:rsidP="00601D47">
                <w:pPr>
                  <w:jc w:val="right"/>
                  <w:rPr>
                    <w:sz w:val="12"/>
                    <w:szCs w:val="12"/>
                  </w:rPr>
                </w:pPr>
                <w:r w:rsidRPr="00213BC9">
                  <w:rPr>
                    <w:sz w:val="12"/>
                    <w:szCs w:val="12"/>
                  </w:rPr>
                  <w:t>24,376,266</w:t>
                </w:r>
              </w:p>
            </w:tc>
            <w:tc>
              <w:tcPr>
                <w:tcW w:w="390" w:type="pct"/>
                <w:shd w:val="clear" w:color="auto" w:fill="auto"/>
                <w:vAlign w:val="center"/>
              </w:tcPr>
              <w:p w:rsidR="00213BC9" w:rsidRPr="00213BC9" w:rsidRDefault="00213BC9" w:rsidP="00601D47">
                <w:pPr>
                  <w:jc w:val="right"/>
                  <w:rPr>
                    <w:sz w:val="12"/>
                    <w:szCs w:val="12"/>
                  </w:rPr>
                </w:pPr>
                <w:r w:rsidRPr="00213BC9">
                  <w:rPr>
                    <w:sz w:val="12"/>
                    <w:szCs w:val="12"/>
                  </w:rPr>
                  <w:t>57,835,701</w:t>
                </w:r>
              </w:p>
            </w:tc>
            <w:tc>
              <w:tcPr>
                <w:tcW w:w="388" w:type="pct"/>
                <w:shd w:val="clear" w:color="auto" w:fill="auto"/>
                <w:vAlign w:val="center"/>
              </w:tcPr>
              <w:p w:rsidR="00213BC9" w:rsidRPr="00213BC9" w:rsidRDefault="00213BC9" w:rsidP="00601D47">
                <w:pPr>
                  <w:jc w:val="right"/>
                  <w:rPr>
                    <w:sz w:val="12"/>
                    <w:szCs w:val="12"/>
                  </w:rPr>
                </w:pPr>
                <w:r w:rsidRPr="00213BC9">
                  <w:rPr>
                    <w:sz w:val="12"/>
                    <w:szCs w:val="12"/>
                  </w:rPr>
                  <w:t>99,137,216</w:t>
                </w:r>
              </w:p>
            </w:tc>
            <w:tc>
              <w:tcPr>
                <w:tcW w:w="369" w:type="pct"/>
                <w:shd w:val="clear" w:color="auto" w:fill="auto"/>
                <w:vAlign w:val="center"/>
              </w:tcPr>
              <w:p w:rsidR="00213BC9" w:rsidRPr="00213BC9" w:rsidRDefault="00213BC9" w:rsidP="00601D47">
                <w:pPr>
                  <w:jc w:val="right"/>
                  <w:rPr>
                    <w:sz w:val="12"/>
                    <w:szCs w:val="12"/>
                  </w:rPr>
                </w:pPr>
                <w:r w:rsidRPr="00213BC9">
                  <w:rPr>
                    <w:sz w:val="12"/>
                    <w:szCs w:val="12"/>
                  </w:rPr>
                  <w:t>75,488,999</w:t>
                </w:r>
              </w:p>
            </w:tc>
            <w:tc>
              <w:tcPr>
                <w:tcW w:w="404" w:type="pct"/>
                <w:shd w:val="clear" w:color="auto" w:fill="auto"/>
                <w:vAlign w:val="center"/>
              </w:tcPr>
              <w:p w:rsidR="00213BC9" w:rsidRPr="00213BC9" w:rsidRDefault="00213BC9" w:rsidP="00601D47">
                <w:pPr>
                  <w:jc w:val="right"/>
                  <w:rPr>
                    <w:sz w:val="12"/>
                    <w:szCs w:val="12"/>
                  </w:rPr>
                </w:pPr>
                <w:r w:rsidRPr="00213BC9">
                  <w:rPr>
                    <w:sz w:val="12"/>
                    <w:szCs w:val="12"/>
                  </w:rPr>
                  <w:t>3,036,272</w:t>
                </w:r>
              </w:p>
            </w:tc>
            <w:tc>
              <w:tcPr>
                <w:tcW w:w="404" w:type="pct"/>
                <w:shd w:val="clear" w:color="auto" w:fill="auto"/>
                <w:vAlign w:val="center"/>
              </w:tcPr>
              <w:p w:rsidR="00213BC9" w:rsidRPr="00213BC9" w:rsidRDefault="00213BC9" w:rsidP="00601D47">
                <w:pPr>
                  <w:jc w:val="right"/>
                  <w:rPr>
                    <w:sz w:val="12"/>
                    <w:szCs w:val="12"/>
                  </w:rPr>
                </w:pPr>
                <w:r w:rsidRPr="00213BC9">
                  <w:rPr>
                    <w:sz w:val="12"/>
                    <w:szCs w:val="12"/>
                  </w:rPr>
                  <w:t>97,335,423</w:t>
                </w:r>
              </w:p>
            </w:tc>
            <w:tc>
              <w:tcPr>
                <w:tcW w:w="404" w:type="pct"/>
                <w:shd w:val="clear" w:color="auto" w:fill="auto"/>
                <w:vAlign w:val="center"/>
              </w:tcPr>
              <w:p w:rsidR="00213BC9" w:rsidRPr="00213BC9" w:rsidRDefault="00213BC9" w:rsidP="00601D47">
                <w:pPr>
                  <w:jc w:val="right"/>
                  <w:rPr>
                    <w:sz w:val="12"/>
                    <w:szCs w:val="12"/>
                  </w:rPr>
                </w:pPr>
                <w:r w:rsidRPr="00213BC9">
                  <w:rPr>
                    <w:sz w:val="12"/>
                    <w:szCs w:val="12"/>
                  </w:rPr>
                  <w:t>20,284,448</w:t>
                </w:r>
              </w:p>
            </w:tc>
            <w:tc>
              <w:tcPr>
                <w:tcW w:w="401" w:type="pct"/>
                <w:shd w:val="clear" w:color="auto" w:fill="auto"/>
                <w:vAlign w:val="center"/>
              </w:tcPr>
              <w:p w:rsidR="00213BC9" w:rsidRPr="00213BC9" w:rsidRDefault="00213BC9" w:rsidP="00601D47">
                <w:pPr>
                  <w:jc w:val="right"/>
                  <w:rPr>
                    <w:sz w:val="12"/>
                    <w:szCs w:val="12"/>
                  </w:rPr>
                </w:pPr>
                <w:r w:rsidRPr="00213BC9">
                  <w:rPr>
                    <w:sz w:val="12"/>
                    <w:szCs w:val="12"/>
                  </w:rPr>
                  <w:t>507,103,350</w:t>
                </w:r>
              </w:p>
            </w:tc>
          </w:tr>
          <w:tr w:rsidR="00E27B33" w:rsidTr="00B1561D">
            <w:sdt>
              <w:sdtPr>
                <w:rPr>
                  <w:rFonts w:hint="eastAsia"/>
                  <w:sz w:val="12"/>
                  <w:szCs w:val="12"/>
                </w:rPr>
                <w:alias w:val="固定资产累计折旧减少项目名称"/>
                <w:tag w:val="_GBC_20eae31762484d0a9c046fa65503339a"/>
                <w:id w:val="-1698683476"/>
                <w:lock w:val="sdtLocked"/>
              </w:sdtPr>
              <w:sdtContent>
                <w:tc>
                  <w:tcPr>
                    <w:tcW w:w="633" w:type="pct"/>
                    <w:shd w:val="clear" w:color="auto" w:fill="auto"/>
                  </w:tcPr>
                  <w:p w:rsidR="00213BC9" w:rsidRPr="00213BC9" w:rsidRDefault="00213BC9" w:rsidP="00601D47">
                    <w:pPr>
                      <w:ind w:firstLineChars="300" w:firstLine="360"/>
                      <w:rPr>
                        <w:sz w:val="12"/>
                        <w:szCs w:val="12"/>
                      </w:rPr>
                    </w:pPr>
                    <w:r w:rsidRPr="00213BC9">
                      <w:rPr>
                        <w:rFonts w:hint="eastAsia"/>
                        <w:sz w:val="12"/>
                        <w:szCs w:val="12"/>
                      </w:rPr>
                      <w:t>（2）大修转入在建工程</w:t>
                    </w:r>
                  </w:p>
                </w:tc>
              </w:sdtContent>
            </w:sdt>
            <w:sdt>
              <w:sdtPr>
                <w:rPr>
                  <w:rFonts w:hint="eastAsia"/>
                  <w:sz w:val="12"/>
                  <w:szCs w:val="12"/>
                </w:rPr>
                <w:alias w:val="固定资产累计折旧减少项目金额"/>
                <w:tag w:val="_GBC_50575111ca3b4086b584bb25daa7a51a"/>
                <w:id w:val="-1762051610"/>
                <w:lock w:val="sdtLocked"/>
              </w:sdtPr>
              <w:sdtContent>
                <w:tc>
                  <w:tcPr>
                    <w:tcW w:w="389" w:type="pct"/>
                    <w:shd w:val="clear" w:color="auto" w:fill="auto"/>
                  </w:tcPr>
                  <w:p w:rsidR="00213BC9" w:rsidRPr="00213BC9" w:rsidRDefault="00213BC9" w:rsidP="00601D47">
                    <w:pPr>
                      <w:jc w:val="right"/>
                      <w:rPr>
                        <w:sz w:val="12"/>
                        <w:szCs w:val="12"/>
                      </w:rPr>
                    </w:pPr>
                    <w:r w:rsidRPr="00213BC9">
                      <w:rPr>
                        <w:rFonts w:hint="eastAsia"/>
                        <w:sz w:val="12"/>
                        <w:szCs w:val="12"/>
                      </w:rPr>
                      <w:t>82,279,344</w:t>
                    </w:r>
                  </w:p>
                </w:tc>
              </w:sdtContent>
            </w:sdt>
            <w:sdt>
              <w:sdtPr>
                <w:rPr>
                  <w:rFonts w:hint="eastAsia"/>
                  <w:sz w:val="12"/>
                  <w:szCs w:val="12"/>
                </w:rPr>
                <w:alias w:val="固定资产累计折旧减少项目金额"/>
                <w:tag w:val="_GBC_50575111ca3b4086b584bb25daa7a51a"/>
                <w:id w:val="2077078957"/>
                <w:lock w:val="sdtLocked"/>
              </w:sdtPr>
              <w:sdtContent>
                <w:tc>
                  <w:tcPr>
                    <w:tcW w:w="389" w:type="pct"/>
                    <w:shd w:val="clear" w:color="auto" w:fill="auto"/>
                  </w:tcPr>
                  <w:p w:rsidR="00213BC9" w:rsidRPr="00213BC9" w:rsidRDefault="00213BC9" w:rsidP="00601D47">
                    <w:pPr>
                      <w:jc w:val="right"/>
                      <w:rPr>
                        <w:sz w:val="12"/>
                        <w:szCs w:val="12"/>
                      </w:rPr>
                    </w:pPr>
                    <w:r w:rsidRPr="00213BC9">
                      <w:rPr>
                        <w:rFonts w:hint="eastAsia"/>
                        <w:sz w:val="12"/>
                        <w:szCs w:val="12"/>
                      </w:rPr>
                      <w:t>3,770,051,164</w:t>
                    </w:r>
                  </w:p>
                </w:tc>
              </w:sdtContent>
            </w:sdt>
            <w:sdt>
              <w:sdtPr>
                <w:rPr>
                  <w:rFonts w:hint="eastAsia"/>
                  <w:sz w:val="12"/>
                  <w:szCs w:val="12"/>
                </w:rPr>
                <w:alias w:val="固定资产累计折旧减少项目金额"/>
                <w:tag w:val="_GBC_50575111ca3b4086b584bb25daa7a51a"/>
                <w:id w:val="275605630"/>
                <w:lock w:val="sdtLocked"/>
              </w:sdtPr>
              <w:sdtContent>
                <w:tc>
                  <w:tcPr>
                    <w:tcW w:w="439" w:type="pct"/>
                    <w:shd w:val="clear" w:color="auto" w:fill="auto"/>
                  </w:tcPr>
                  <w:p w:rsidR="00213BC9" w:rsidRPr="00213BC9" w:rsidRDefault="00213BC9" w:rsidP="00601D47">
                    <w:pPr>
                      <w:jc w:val="right"/>
                      <w:rPr>
                        <w:sz w:val="12"/>
                        <w:szCs w:val="12"/>
                      </w:rPr>
                    </w:pPr>
                    <w:r w:rsidRPr="00213BC9">
                      <w:rPr>
                        <w:rFonts w:hint="eastAsia"/>
                        <w:sz w:val="12"/>
                        <w:szCs w:val="12"/>
                      </w:rPr>
                      <w:t>448,787,732</w:t>
                    </w:r>
                  </w:p>
                </w:tc>
              </w:sdtContent>
            </w:sdt>
            <w:sdt>
              <w:sdtPr>
                <w:rPr>
                  <w:rFonts w:hint="eastAsia"/>
                  <w:sz w:val="12"/>
                  <w:szCs w:val="12"/>
                </w:rPr>
                <w:alias w:val="固定资产累计折旧减少项目金额"/>
                <w:tag w:val="_GBC_50575111ca3b4086b584bb25daa7a51a"/>
                <w:id w:val="244541004"/>
                <w:lock w:val="sdtLocked"/>
              </w:sdtPr>
              <w:sdtContent>
                <w:tc>
                  <w:tcPr>
                    <w:tcW w:w="389" w:type="pct"/>
                    <w:shd w:val="clear" w:color="auto" w:fill="auto"/>
                  </w:tcPr>
                  <w:p w:rsidR="00213BC9" w:rsidRPr="00213BC9" w:rsidRDefault="00213BC9" w:rsidP="00601D47">
                    <w:pPr>
                      <w:jc w:val="right"/>
                      <w:rPr>
                        <w:sz w:val="12"/>
                        <w:szCs w:val="12"/>
                      </w:rPr>
                    </w:pPr>
                    <w:r w:rsidRPr="00213BC9">
                      <w:rPr>
                        <w:rFonts w:hint="eastAsia"/>
                        <w:sz w:val="12"/>
                        <w:szCs w:val="12"/>
                      </w:rPr>
                      <w:t>36,154,407</w:t>
                    </w:r>
                  </w:p>
                </w:tc>
              </w:sdtContent>
            </w:sdt>
            <w:sdt>
              <w:sdtPr>
                <w:rPr>
                  <w:rFonts w:hint="eastAsia"/>
                  <w:sz w:val="12"/>
                  <w:szCs w:val="12"/>
                </w:rPr>
                <w:alias w:val="固定资产累计折旧减少项目金额"/>
                <w:tag w:val="_GBC_50575111ca3b4086b584bb25daa7a51a"/>
                <w:id w:val="-608509214"/>
                <w:lock w:val="sdtLocked"/>
              </w:sdtPr>
              <w:sdtContent>
                <w:tc>
                  <w:tcPr>
                    <w:tcW w:w="390" w:type="pct"/>
                    <w:shd w:val="clear" w:color="auto" w:fill="auto"/>
                  </w:tcPr>
                  <w:p w:rsidR="00213BC9" w:rsidRPr="00213BC9" w:rsidRDefault="00213BC9" w:rsidP="00601D47">
                    <w:pPr>
                      <w:jc w:val="right"/>
                      <w:rPr>
                        <w:sz w:val="12"/>
                        <w:szCs w:val="12"/>
                      </w:rPr>
                    </w:pPr>
                    <w:r w:rsidRPr="00213BC9">
                      <w:rPr>
                        <w:rFonts w:hint="eastAsia"/>
                        <w:sz w:val="12"/>
                        <w:szCs w:val="12"/>
                      </w:rPr>
                      <w:t>340,111,430</w:t>
                    </w:r>
                  </w:p>
                </w:tc>
              </w:sdtContent>
            </w:sdt>
            <w:sdt>
              <w:sdtPr>
                <w:rPr>
                  <w:rFonts w:hint="eastAsia"/>
                  <w:sz w:val="12"/>
                  <w:szCs w:val="12"/>
                </w:rPr>
                <w:alias w:val="固定资产累计折旧减少项目金额"/>
                <w:tag w:val="_GBC_50575111ca3b4086b584bb25daa7a51a"/>
                <w:id w:val="1948423208"/>
                <w:lock w:val="sdtLocked"/>
              </w:sdtPr>
              <w:sdtContent>
                <w:tc>
                  <w:tcPr>
                    <w:tcW w:w="388" w:type="pct"/>
                    <w:shd w:val="clear" w:color="auto" w:fill="auto"/>
                  </w:tcPr>
                  <w:p w:rsidR="00213BC9" w:rsidRPr="00213BC9" w:rsidRDefault="00213BC9" w:rsidP="00601D47">
                    <w:pPr>
                      <w:jc w:val="right"/>
                      <w:rPr>
                        <w:sz w:val="12"/>
                        <w:szCs w:val="12"/>
                      </w:rPr>
                    </w:pPr>
                    <w:r w:rsidRPr="00213BC9">
                      <w:rPr>
                        <w:rFonts w:hint="eastAsia"/>
                        <w:sz w:val="12"/>
                        <w:szCs w:val="12"/>
                      </w:rPr>
                      <w:t>35,687,454</w:t>
                    </w:r>
                  </w:p>
                </w:tc>
              </w:sdtContent>
            </w:sdt>
            <w:sdt>
              <w:sdtPr>
                <w:rPr>
                  <w:rFonts w:hint="eastAsia"/>
                  <w:sz w:val="12"/>
                  <w:szCs w:val="12"/>
                </w:rPr>
                <w:alias w:val="固定资产累计折旧减少项目金额"/>
                <w:tag w:val="_GBC_50575111ca3b4086b584bb25daa7a51a"/>
                <w:id w:val="482512875"/>
                <w:lock w:val="sdtLocked"/>
              </w:sdtPr>
              <w:sdtContent>
                <w:tc>
                  <w:tcPr>
                    <w:tcW w:w="369" w:type="pct"/>
                    <w:shd w:val="clear" w:color="auto" w:fill="auto"/>
                  </w:tcPr>
                  <w:p w:rsidR="00213BC9" w:rsidRPr="00213BC9" w:rsidRDefault="00213BC9" w:rsidP="00601D47">
                    <w:pPr>
                      <w:jc w:val="right"/>
                      <w:rPr>
                        <w:sz w:val="12"/>
                        <w:szCs w:val="12"/>
                      </w:rPr>
                    </w:pPr>
                    <w:r w:rsidRPr="00213BC9">
                      <w:rPr>
                        <w:rFonts w:hint="eastAsia"/>
                        <w:sz w:val="12"/>
                        <w:szCs w:val="12"/>
                      </w:rPr>
                      <w:t>13,721,317</w:t>
                    </w:r>
                  </w:p>
                </w:tc>
              </w:sdtContent>
            </w:sdt>
            <w:sdt>
              <w:sdtPr>
                <w:rPr>
                  <w:rFonts w:hint="eastAsia"/>
                  <w:sz w:val="12"/>
                  <w:szCs w:val="12"/>
                </w:rPr>
                <w:alias w:val="固定资产累计折旧减少项目金额"/>
                <w:tag w:val="_GBC_50575111ca3b4086b584bb25daa7a51a"/>
                <w:id w:val="-1877840857"/>
                <w:lock w:val="sdtLocked"/>
              </w:sdtPr>
              <w:sdtContent>
                <w:tc>
                  <w:tcPr>
                    <w:tcW w:w="404" w:type="pct"/>
                    <w:shd w:val="clear" w:color="auto" w:fill="auto"/>
                  </w:tcPr>
                  <w:p w:rsidR="00213BC9" w:rsidRPr="00213BC9" w:rsidRDefault="00213BC9" w:rsidP="00601D47">
                    <w:pPr>
                      <w:jc w:val="right"/>
                      <w:rPr>
                        <w:sz w:val="12"/>
                        <w:szCs w:val="12"/>
                      </w:rPr>
                    </w:pPr>
                    <w:r w:rsidRPr="00213BC9">
                      <w:rPr>
                        <w:rFonts w:hint="eastAsia"/>
                        <w:sz w:val="12"/>
                        <w:szCs w:val="12"/>
                      </w:rPr>
                      <w:t>55,291,362</w:t>
                    </w:r>
                  </w:p>
                </w:tc>
              </w:sdtContent>
            </w:sdt>
            <w:sdt>
              <w:sdtPr>
                <w:rPr>
                  <w:rFonts w:hint="eastAsia"/>
                  <w:sz w:val="12"/>
                  <w:szCs w:val="12"/>
                </w:rPr>
                <w:alias w:val="固定资产累计折旧减少项目金额"/>
                <w:tag w:val="_GBC_50575111ca3b4086b584bb25daa7a51a"/>
                <w:id w:val="-2144644625"/>
                <w:lock w:val="sdtLocked"/>
              </w:sdtPr>
              <w:sdtContent>
                <w:tc>
                  <w:tcPr>
                    <w:tcW w:w="404" w:type="pct"/>
                    <w:shd w:val="clear" w:color="auto" w:fill="auto"/>
                  </w:tcPr>
                  <w:p w:rsidR="00213BC9" w:rsidRPr="00213BC9" w:rsidRDefault="00213BC9" w:rsidP="00601D47">
                    <w:pPr>
                      <w:jc w:val="right"/>
                      <w:rPr>
                        <w:sz w:val="12"/>
                        <w:szCs w:val="12"/>
                      </w:rPr>
                    </w:pPr>
                    <w:r w:rsidRPr="00213BC9">
                      <w:rPr>
                        <w:rFonts w:hint="eastAsia"/>
                        <w:sz w:val="12"/>
                        <w:szCs w:val="12"/>
                      </w:rPr>
                      <w:t>17,406,295</w:t>
                    </w:r>
                  </w:p>
                </w:tc>
              </w:sdtContent>
            </w:sdt>
            <w:sdt>
              <w:sdtPr>
                <w:rPr>
                  <w:rFonts w:hint="eastAsia"/>
                  <w:sz w:val="12"/>
                  <w:szCs w:val="12"/>
                </w:rPr>
                <w:alias w:val="固定资产累计折旧减少项目金额"/>
                <w:tag w:val="_GBC_50575111ca3b4086b584bb25daa7a51a"/>
                <w:id w:val="-1517840535"/>
                <w:lock w:val="sdtLocked"/>
              </w:sdtPr>
              <w:sdtContent>
                <w:tc>
                  <w:tcPr>
                    <w:tcW w:w="404" w:type="pct"/>
                    <w:shd w:val="clear" w:color="auto" w:fill="auto"/>
                  </w:tcPr>
                  <w:p w:rsidR="00213BC9" w:rsidRPr="00213BC9" w:rsidRDefault="00213BC9" w:rsidP="00601D47">
                    <w:pPr>
                      <w:jc w:val="right"/>
                      <w:rPr>
                        <w:sz w:val="12"/>
                        <w:szCs w:val="12"/>
                      </w:rPr>
                    </w:pPr>
                    <w:r w:rsidRPr="00213BC9">
                      <w:rPr>
                        <w:rFonts w:hint="eastAsia"/>
                        <w:sz w:val="12"/>
                        <w:szCs w:val="12"/>
                      </w:rPr>
                      <w:t>7,352,656</w:t>
                    </w:r>
                  </w:p>
                </w:tc>
              </w:sdtContent>
            </w:sdt>
            <w:sdt>
              <w:sdtPr>
                <w:rPr>
                  <w:rFonts w:hint="eastAsia"/>
                  <w:sz w:val="12"/>
                  <w:szCs w:val="12"/>
                </w:rPr>
                <w:alias w:val="固定资产累计折旧减少项目合计金额"/>
                <w:tag w:val="_GBC_ba854a525e15473181c1dd92dc7af67e"/>
                <w:id w:val="-278270916"/>
                <w:lock w:val="sdtLocked"/>
              </w:sdtPr>
              <w:sdtContent>
                <w:tc>
                  <w:tcPr>
                    <w:tcW w:w="401" w:type="pct"/>
                    <w:shd w:val="clear" w:color="auto" w:fill="auto"/>
                  </w:tcPr>
                  <w:p w:rsidR="00213BC9" w:rsidRPr="00213BC9" w:rsidRDefault="00213BC9" w:rsidP="00601D47">
                    <w:pPr>
                      <w:jc w:val="right"/>
                      <w:rPr>
                        <w:sz w:val="12"/>
                        <w:szCs w:val="12"/>
                      </w:rPr>
                    </w:pPr>
                    <w:r w:rsidRPr="00213BC9">
                      <w:rPr>
                        <w:rFonts w:hint="eastAsia"/>
                        <w:sz w:val="12"/>
                        <w:szCs w:val="12"/>
                      </w:rPr>
                      <w:t>4,806,843,161</w:t>
                    </w:r>
                  </w:p>
                </w:tc>
              </w:sdtContent>
            </w:sdt>
          </w:tr>
          <w:tr w:rsidR="00E27B33" w:rsidTr="00B1561D">
            <w:sdt>
              <w:sdtPr>
                <w:rPr>
                  <w:rFonts w:hint="eastAsia"/>
                  <w:sz w:val="12"/>
                  <w:szCs w:val="12"/>
                </w:rPr>
                <w:alias w:val="固定资产累计折旧减少项目名称"/>
                <w:tag w:val="_GBC_20eae31762484d0a9c046fa65503339a"/>
                <w:id w:val="480588106"/>
                <w:lock w:val="sdtLocked"/>
              </w:sdtPr>
              <w:sdtContent>
                <w:tc>
                  <w:tcPr>
                    <w:tcW w:w="633" w:type="pct"/>
                    <w:shd w:val="clear" w:color="auto" w:fill="auto"/>
                  </w:tcPr>
                  <w:p w:rsidR="00213BC9" w:rsidRPr="00213BC9" w:rsidRDefault="00213BC9" w:rsidP="00601D47">
                    <w:pPr>
                      <w:ind w:firstLineChars="300" w:firstLine="360"/>
                      <w:rPr>
                        <w:sz w:val="12"/>
                        <w:szCs w:val="12"/>
                      </w:rPr>
                    </w:pPr>
                    <w:r w:rsidRPr="00213BC9">
                      <w:rPr>
                        <w:rFonts w:hint="eastAsia"/>
                        <w:sz w:val="12"/>
                        <w:szCs w:val="12"/>
                      </w:rPr>
                      <w:t>（3）大修转入成本</w:t>
                    </w:r>
                  </w:p>
                </w:tc>
              </w:sdtContent>
            </w:sdt>
            <w:sdt>
              <w:sdtPr>
                <w:rPr>
                  <w:rFonts w:hint="eastAsia"/>
                  <w:sz w:val="12"/>
                  <w:szCs w:val="12"/>
                </w:rPr>
                <w:alias w:val="固定资产累计折旧减少项目金额"/>
                <w:tag w:val="_GBC_50575111ca3b4086b584bb25daa7a51a"/>
                <w:id w:val="753938525"/>
                <w:lock w:val="sdtLocked"/>
              </w:sdtPr>
              <w:sdtContent>
                <w:tc>
                  <w:tcPr>
                    <w:tcW w:w="389" w:type="pct"/>
                    <w:shd w:val="clear" w:color="auto" w:fill="auto"/>
                  </w:tcPr>
                  <w:p w:rsidR="00213BC9" w:rsidRPr="00213BC9" w:rsidRDefault="00213BC9" w:rsidP="00601D47">
                    <w:pPr>
                      <w:jc w:val="right"/>
                      <w:rPr>
                        <w:sz w:val="12"/>
                        <w:szCs w:val="12"/>
                      </w:rPr>
                    </w:pPr>
                    <w:r w:rsidRPr="00213BC9">
                      <w:rPr>
                        <w:rFonts w:hint="eastAsia"/>
                        <w:sz w:val="12"/>
                        <w:szCs w:val="12"/>
                      </w:rPr>
                      <w:t>5,458,018</w:t>
                    </w:r>
                  </w:p>
                </w:tc>
              </w:sdtContent>
            </w:sdt>
            <w:sdt>
              <w:sdtPr>
                <w:rPr>
                  <w:rFonts w:hint="eastAsia"/>
                  <w:sz w:val="12"/>
                  <w:szCs w:val="12"/>
                </w:rPr>
                <w:alias w:val="固定资产累计折旧减少项目金额"/>
                <w:tag w:val="_GBC_50575111ca3b4086b584bb25daa7a51a"/>
                <w:id w:val="-1054307527"/>
                <w:lock w:val="sdtLocked"/>
              </w:sdtPr>
              <w:sdtContent>
                <w:tc>
                  <w:tcPr>
                    <w:tcW w:w="389" w:type="pct"/>
                    <w:shd w:val="clear" w:color="auto" w:fill="auto"/>
                  </w:tcPr>
                  <w:p w:rsidR="00213BC9" w:rsidRPr="00213BC9" w:rsidRDefault="00213BC9" w:rsidP="00601D47">
                    <w:pPr>
                      <w:jc w:val="right"/>
                      <w:rPr>
                        <w:sz w:val="12"/>
                        <w:szCs w:val="12"/>
                      </w:rPr>
                    </w:pPr>
                    <w:r w:rsidRPr="00213BC9">
                      <w:rPr>
                        <w:rFonts w:hint="eastAsia"/>
                        <w:sz w:val="12"/>
                        <w:szCs w:val="12"/>
                      </w:rPr>
                      <w:t>675,885,287</w:t>
                    </w:r>
                  </w:p>
                </w:tc>
              </w:sdtContent>
            </w:sdt>
            <w:sdt>
              <w:sdtPr>
                <w:rPr>
                  <w:rFonts w:hint="eastAsia"/>
                  <w:sz w:val="12"/>
                  <w:szCs w:val="12"/>
                </w:rPr>
                <w:alias w:val="固定资产累计折旧减少项目金额"/>
                <w:tag w:val="_GBC_50575111ca3b4086b584bb25daa7a51a"/>
                <w:id w:val="1736350094"/>
                <w:lock w:val="sdtLocked"/>
              </w:sdtPr>
              <w:sdtContent>
                <w:tc>
                  <w:tcPr>
                    <w:tcW w:w="439" w:type="pct"/>
                    <w:shd w:val="clear" w:color="auto" w:fill="auto"/>
                  </w:tcPr>
                  <w:p w:rsidR="00213BC9" w:rsidRPr="00213BC9" w:rsidRDefault="00213BC9" w:rsidP="00601D47">
                    <w:pPr>
                      <w:jc w:val="right"/>
                      <w:rPr>
                        <w:sz w:val="12"/>
                        <w:szCs w:val="12"/>
                      </w:rPr>
                    </w:pPr>
                    <w:r w:rsidRPr="00213BC9">
                      <w:rPr>
                        <w:rFonts w:hint="eastAsia"/>
                        <w:sz w:val="12"/>
                        <w:szCs w:val="12"/>
                      </w:rPr>
                      <w:t>21,882,139</w:t>
                    </w:r>
                  </w:p>
                </w:tc>
              </w:sdtContent>
            </w:sdt>
            <w:sdt>
              <w:sdtPr>
                <w:rPr>
                  <w:rFonts w:hint="eastAsia"/>
                  <w:sz w:val="12"/>
                  <w:szCs w:val="12"/>
                </w:rPr>
                <w:alias w:val="固定资产累计折旧减少项目金额"/>
                <w:tag w:val="_GBC_50575111ca3b4086b584bb25daa7a51a"/>
                <w:id w:val="1323229103"/>
                <w:lock w:val="sdtLocked"/>
              </w:sdtPr>
              <w:sdtContent>
                <w:tc>
                  <w:tcPr>
                    <w:tcW w:w="389" w:type="pct"/>
                    <w:shd w:val="clear" w:color="auto" w:fill="auto"/>
                  </w:tcPr>
                  <w:p w:rsidR="00213BC9" w:rsidRPr="00213BC9" w:rsidRDefault="00213BC9" w:rsidP="00601D47">
                    <w:pPr>
                      <w:jc w:val="right"/>
                      <w:rPr>
                        <w:sz w:val="12"/>
                        <w:szCs w:val="12"/>
                      </w:rPr>
                    </w:pPr>
                    <w:r w:rsidRPr="00213BC9">
                      <w:rPr>
                        <w:rFonts w:hint="eastAsia"/>
                        <w:sz w:val="12"/>
                        <w:szCs w:val="12"/>
                      </w:rPr>
                      <w:t>4,307,563</w:t>
                    </w:r>
                  </w:p>
                </w:tc>
              </w:sdtContent>
            </w:sdt>
            <w:sdt>
              <w:sdtPr>
                <w:rPr>
                  <w:rFonts w:hint="eastAsia"/>
                  <w:sz w:val="12"/>
                  <w:szCs w:val="12"/>
                </w:rPr>
                <w:alias w:val="固定资产累计折旧减少项目金额"/>
                <w:tag w:val="_GBC_50575111ca3b4086b584bb25daa7a51a"/>
                <w:id w:val="-1650280368"/>
                <w:lock w:val="sdtLocked"/>
              </w:sdtPr>
              <w:sdtContent>
                <w:tc>
                  <w:tcPr>
                    <w:tcW w:w="390" w:type="pct"/>
                    <w:shd w:val="clear" w:color="auto" w:fill="auto"/>
                  </w:tcPr>
                  <w:p w:rsidR="00213BC9" w:rsidRPr="00213BC9" w:rsidRDefault="00213BC9" w:rsidP="00601D47">
                    <w:pPr>
                      <w:jc w:val="right"/>
                      <w:rPr>
                        <w:sz w:val="12"/>
                        <w:szCs w:val="12"/>
                      </w:rPr>
                    </w:pPr>
                    <w:r w:rsidRPr="00213BC9">
                      <w:rPr>
                        <w:rFonts w:hint="eastAsia"/>
                        <w:sz w:val="12"/>
                        <w:szCs w:val="12"/>
                      </w:rPr>
                      <w:t>9,594,185</w:t>
                    </w:r>
                  </w:p>
                </w:tc>
              </w:sdtContent>
            </w:sdt>
            <w:sdt>
              <w:sdtPr>
                <w:rPr>
                  <w:rFonts w:hint="eastAsia"/>
                  <w:sz w:val="12"/>
                  <w:szCs w:val="12"/>
                </w:rPr>
                <w:alias w:val="固定资产累计折旧减少项目金额"/>
                <w:tag w:val="_GBC_50575111ca3b4086b584bb25daa7a51a"/>
                <w:id w:val="791877320"/>
                <w:lock w:val="sdtLocked"/>
              </w:sdtPr>
              <w:sdtContent>
                <w:tc>
                  <w:tcPr>
                    <w:tcW w:w="388" w:type="pct"/>
                    <w:shd w:val="clear" w:color="auto" w:fill="auto"/>
                  </w:tcPr>
                  <w:p w:rsidR="00213BC9" w:rsidRPr="00213BC9" w:rsidRDefault="00213BC9" w:rsidP="00601D47">
                    <w:pPr>
                      <w:jc w:val="right"/>
                      <w:rPr>
                        <w:sz w:val="12"/>
                        <w:szCs w:val="12"/>
                      </w:rPr>
                    </w:pPr>
                    <w:r w:rsidRPr="00213BC9">
                      <w:rPr>
                        <w:rFonts w:hint="eastAsia"/>
                        <w:sz w:val="12"/>
                        <w:szCs w:val="12"/>
                      </w:rPr>
                      <w:t>3,251,072</w:t>
                    </w:r>
                  </w:p>
                </w:tc>
              </w:sdtContent>
            </w:sdt>
            <w:sdt>
              <w:sdtPr>
                <w:rPr>
                  <w:rFonts w:hint="eastAsia"/>
                  <w:sz w:val="12"/>
                  <w:szCs w:val="12"/>
                </w:rPr>
                <w:alias w:val="固定资产累计折旧减少项目金额"/>
                <w:tag w:val="_GBC_50575111ca3b4086b584bb25daa7a51a"/>
                <w:id w:val="955219526"/>
                <w:lock w:val="sdtLocked"/>
              </w:sdtPr>
              <w:sdtContent>
                <w:tc>
                  <w:tcPr>
                    <w:tcW w:w="369" w:type="pct"/>
                    <w:shd w:val="clear" w:color="auto" w:fill="auto"/>
                  </w:tcPr>
                  <w:p w:rsidR="00213BC9" w:rsidRPr="00213BC9" w:rsidRDefault="00213BC9" w:rsidP="00601D47">
                    <w:pPr>
                      <w:jc w:val="right"/>
                      <w:rPr>
                        <w:sz w:val="12"/>
                        <w:szCs w:val="12"/>
                      </w:rPr>
                    </w:pPr>
                    <w:r w:rsidRPr="00213BC9">
                      <w:rPr>
                        <w:rFonts w:hint="eastAsia"/>
                        <w:sz w:val="12"/>
                        <w:szCs w:val="12"/>
                      </w:rPr>
                      <w:t>1,541,901</w:t>
                    </w:r>
                  </w:p>
                </w:tc>
              </w:sdtContent>
            </w:sdt>
            <w:sdt>
              <w:sdtPr>
                <w:rPr>
                  <w:rFonts w:hint="eastAsia"/>
                  <w:sz w:val="12"/>
                  <w:szCs w:val="12"/>
                </w:rPr>
                <w:alias w:val="固定资产累计折旧减少项目金额"/>
                <w:tag w:val="_GBC_50575111ca3b4086b584bb25daa7a51a"/>
                <w:id w:val="-1845467409"/>
                <w:lock w:val="sdtLocked"/>
              </w:sdtPr>
              <w:sdtContent>
                <w:tc>
                  <w:tcPr>
                    <w:tcW w:w="404" w:type="pct"/>
                    <w:shd w:val="clear" w:color="auto" w:fill="auto"/>
                  </w:tcPr>
                  <w:p w:rsidR="00213BC9" w:rsidRPr="00213BC9" w:rsidRDefault="00213BC9" w:rsidP="00601D47">
                    <w:pPr>
                      <w:jc w:val="right"/>
                      <w:rPr>
                        <w:sz w:val="12"/>
                        <w:szCs w:val="12"/>
                      </w:rPr>
                    </w:pPr>
                    <w:r w:rsidRPr="00213BC9">
                      <w:rPr>
                        <w:rFonts w:hint="eastAsia"/>
                        <w:sz w:val="12"/>
                        <w:szCs w:val="12"/>
                      </w:rPr>
                      <w:t>1,359,303</w:t>
                    </w:r>
                  </w:p>
                </w:tc>
              </w:sdtContent>
            </w:sdt>
            <w:sdt>
              <w:sdtPr>
                <w:rPr>
                  <w:rFonts w:hint="eastAsia"/>
                  <w:sz w:val="12"/>
                  <w:szCs w:val="12"/>
                </w:rPr>
                <w:alias w:val="固定资产累计折旧减少项目金额"/>
                <w:tag w:val="_GBC_50575111ca3b4086b584bb25daa7a51a"/>
                <w:id w:val="1055120415"/>
                <w:lock w:val="sdtLocked"/>
              </w:sdtPr>
              <w:sdtContent>
                <w:tc>
                  <w:tcPr>
                    <w:tcW w:w="404" w:type="pct"/>
                    <w:shd w:val="clear" w:color="auto" w:fill="auto"/>
                  </w:tcPr>
                  <w:p w:rsidR="00213BC9" w:rsidRPr="00213BC9" w:rsidRDefault="00213BC9" w:rsidP="00601D47">
                    <w:pPr>
                      <w:jc w:val="right"/>
                      <w:rPr>
                        <w:sz w:val="12"/>
                        <w:szCs w:val="12"/>
                      </w:rPr>
                    </w:pPr>
                    <w:r w:rsidRPr="00213BC9">
                      <w:rPr>
                        <w:rFonts w:hint="eastAsia"/>
                        <w:sz w:val="12"/>
                        <w:szCs w:val="12"/>
                      </w:rPr>
                      <w:t>573,278</w:t>
                    </w:r>
                  </w:p>
                </w:tc>
              </w:sdtContent>
            </w:sdt>
            <w:sdt>
              <w:sdtPr>
                <w:rPr>
                  <w:rFonts w:hint="eastAsia"/>
                  <w:sz w:val="12"/>
                  <w:szCs w:val="12"/>
                </w:rPr>
                <w:alias w:val="固定资产累计折旧减少项目金额"/>
                <w:tag w:val="_GBC_50575111ca3b4086b584bb25daa7a51a"/>
                <w:id w:val="-245968108"/>
                <w:lock w:val="sdtLocked"/>
              </w:sdtPr>
              <w:sdtContent>
                <w:tc>
                  <w:tcPr>
                    <w:tcW w:w="404" w:type="pct"/>
                    <w:shd w:val="clear" w:color="auto" w:fill="auto"/>
                  </w:tcPr>
                  <w:p w:rsidR="00213BC9" w:rsidRPr="00213BC9" w:rsidRDefault="00213BC9" w:rsidP="00601D47">
                    <w:pPr>
                      <w:jc w:val="right"/>
                      <w:rPr>
                        <w:sz w:val="12"/>
                        <w:szCs w:val="12"/>
                      </w:rPr>
                    </w:pPr>
                    <w:r w:rsidRPr="00213BC9">
                      <w:rPr>
                        <w:rFonts w:hint="eastAsia"/>
                        <w:sz w:val="12"/>
                        <w:szCs w:val="12"/>
                      </w:rPr>
                      <w:t>350,814</w:t>
                    </w:r>
                  </w:p>
                </w:tc>
              </w:sdtContent>
            </w:sdt>
            <w:sdt>
              <w:sdtPr>
                <w:rPr>
                  <w:rFonts w:hint="eastAsia"/>
                  <w:sz w:val="12"/>
                  <w:szCs w:val="12"/>
                </w:rPr>
                <w:alias w:val="固定资产累计折旧减少项目合计金额"/>
                <w:tag w:val="_GBC_ba854a525e15473181c1dd92dc7af67e"/>
                <w:id w:val="460540927"/>
                <w:lock w:val="sdtLocked"/>
              </w:sdtPr>
              <w:sdtContent>
                <w:tc>
                  <w:tcPr>
                    <w:tcW w:w="401" w:type="pct"/>
                    <w:shd w:val="clear" w:color="auto" w:fill="auto"/>
                  </w:tcPr>
                  <w:p w:rsidR="00213BC9" w:rsidRPr="00213BC9" w:rsidRDefault="00213BC9" w:rsidP="00601D47">
                    <w:pPr>
                      <w:jc w:val="right"/>
                      <w:rPr>
                        <w:sz w:val="12"/>
                        <w:szCs w:val="12"/>
                      </w:rPr>
                    </w:pPr>
                    <w:r w:rsidRPr="00213BC9">
                      <w:rPr>
                        <w:rFonts w:hint="eastAsia"/>
                        <w:sz w:val="12"/>
                        <w:szCs w:val="12"/>
                      </w:rPr>
                      <w:t>724,203,560</w:t>
                    </w:r>
                  </w:p>
                </w:tc>
              </w:sdtContent>
            </w:sdt>
          </w:tr>
          <w:tr w:rsidR="00E27B33" w:rsidTr="00B1561D">
            <w:sdt>
              <w:sdtPr>
                <w:rPr>
                  <w:sz w:val="12"/>
                  <w:szCs w:val="12"/>
                </w:rPr>
                <w:tag w:val="_PLD_461cd300a56d4a1d8e530b3c2f9767bf"/>
                <w:id w:val="-1010063542"/>
                <w:lock w:val="sdtLocked"/>
              </w:sdtPr>
              <w:sdtContent>
                <w:tc>
                  <w:tcPr>
                    <w:tcW w:w="633" w:type="pct"/>
                    <w:shd w:val="clear" w:color="auto" w:fill="auto"/>
                  </w:tcPr>
                  <w:p w:rsidR="00213BC9" w:rsidRPr="00213BC9" w:rsidRDefault="00213BC9" w:rsidP="00213BC9">
                    <w:pPr>
                      <w:ind w:firstLineChars="200" w:firstLine="240"/>
                      <w:rPr>
                        <w:sz w:val="12"/>
                        <w:szCs w:val="12"/>
                      </w:rPr>
                    </w:pPr>
                    <w:r w:rsidRPr="00213BC9">
                      <w:rPr>
                        <w:rFonts w:hint="eastAsia"/>
                        <w:sz w:val="12"/>
                        <w:szCs w:val="12"/>
                      </w:rPr>
                      <w:t>4.期末余额</w:t>
                    </w:r>
                  </w:p>
                </w:tc>
              </w:sdtContent>
            </w:sdt>
            <w:tc>
              <w:tcPr>
                <w:tcW w:w="389" w:type="pct"/>
                <w:shd w:val="clear" w:color="auto" w:fill="auto"/>
                <w:vAlign w:val="center"/>
              </w:tcPr>
              <w:p w:rsidR="00213BC9" w:rsidRPr="00213BC9" w:rsidRDefault="00213BC9" w:rsidP="00213BC9">
                <w:pPr>
                  <w:jc w:val="right"/>
                  <w:rPr>
                    <w:sz w:val="12"/>
                    <w:szCs w:val="12"/>
                  </w:rPr>
                </w:pPr>
                <w:r w:rsidRPr="00213BC9">
                  <w:rPr>
                    <w:sz w:val="12"/>
                    <w:szCs w:val="12"/>
                  </w:rPr>
                  <w:t>4,305,544,515</w:t>
                </w:r>
              </w:p>
            </w:tc>
            <w:tc>
              <w:tcPr>
                <w:tcW w:w="389" w:type="pct"/>
                <w:shd w:val="clear" w:color="auto" w:fill="auto"/>
                <w:vAlign w:val="center"/>
              </w:tcPr>
              <w:p w:rsidR="00213BC9" w:rsidRPr="00213BC9" w:rsidRDefault="00213BC9" w:rsidP="00213BC9">
                <w:pPr>
                  <w:jc w:val="right"/>
                  <w:rPr>
                    <w:sz w:val="12"/>
                    <w:szCs w:val="12"/>
                  </w:rPr>
                </w:pPr>
                <w:r w:rsidRPr="00213BC9">
                  <w:rPr>
                    <w:sz w:val="12"/>
                    <w:szCs w:val="12"/>
                  </w:rPr>
                  <w:t>15,848,147,360</w:t>
                </w:r>
              </w:p>
            </w:tc>
            <w:tc>
              <w:tcPr>
                <w:tcW w:w="439" w:type="pct"/>
                <w:shd w:val="clear" w:color="auto" w:fill="auto"/>
                <w:vAlign w:val="center"/>
              </w:tcPr>
              <w:p w:rsidR="00213BC9" w:rsidRPr="00213BC9" w:rsidRDefault="00213BC9" w:rsidP="00213BC9">
                <w:pPr>
                  <w:jc w:val="right"/>
                  <w:rPr>
                    <w:sz w:val="12"/>
                    <w:szCs w:val="12"/>
                  </w:rPr>
                </w:pPr>
                <w:r w:rsidRPr="00213BC9">
                  <w:rPr>
                    <w:sz w:val="12"/>
                    <w:szCs w:val="12"/>
                  </w:rPr>
                  <w:t>14,104,532,084</w:t>
                </w:r>
              </w:p>
            </w:tc>
            <w:tc>
              <w:tcPr>
                <w:tcW w:w="389" w:type="pct"/>
                <w:shd w:val="clear" w:color="auto" w:fill="auto"/>
                <w:vAlign w:val="center"/>
              </w:tcPr>
              <w:p w:rsidR="00213BC9" w:rsidRPr="00213BC9" w:rsidRDefault="00213BC9" w:rsidP="00213BC9">
                <w:pPr>
                  <w:jc w:val="right"/>
                  <w:rPr>
                    <w:sz w:val="12"/>
                    <w:szCs w:val="12"/>
                  </w:rPr>
                </w:pPr>
                <w:r w:rsidRPr="00213BC9">
                  <w:rPr>
                    <w:sz w:val="12"/>
                    <w:szCs w:val="12"/>
                  </w:rPr>
                  <w:t>7,566,585,934</w:t>
                </w:r>
              </w:p>
            </w:tc>
            <w:tc>
              <w:tcPr>
                <w:tcW w:w="390" w:type="pct"/>
                <w:shd w:val="clear" w:color="auto" w:fill="auto"/>
                <w:vAlign w:val="center"/>
              </w:tcPr>
              <w:p w:rsidR="00213BC9" w:rsidRPr="00213BC9" w:rsidRDefault="00213BC9" w:rsidP="00213BC9">
                <w:pPr>
                  <w:jc w:val="right"/>
                  <w:rPr>
                    <w:sz w:val="12"/>
                    <w:szCs w:val="12"/>
                  </w:rPr>
                </w:pPr>
                <w:r w:rsidRPr="00213BC9">
                  <w:rPr>
                    <w:sz w:val="12"/>
                    <w:szCs w:val="12"/>
                  </w:rPr>
                  <w:t>6,379,578,385</w:t>
                </w:r>
              </w:p>
            </w:tc>
            <w:tc>
              <w:tcPr>
                <w:tcW w:w="388" w:type="pct"/>
                <w:shd w:val="clear" w:color="auto" w:fill="auto"/>
                <w:vAlign w:val="center"/>
              </w:tcPr>
              <w:p w:rsidR="00213BC9" w:rsidRPr="00213BC9" w:rsidRDefault="00213BC9" w:rsidP="00213BC9">
                <w:pPr>
                  <w:jc w:val="right"/>
                  <w:rPr>
                    <w:sz w:val="12"/>
                    <w:szCs w:val="12"/>
                  </w:rPr>
                </w:pPr>
                <w:r w:rsidRPr="00213BC9">
                  <w:rPr>
                    <w:sz w:val="12"/>
                    <w:szCs w:val="12"/>
                  </w:rPr>
                  <w:t>1,297,208,377</w:t>
                </w:r>
              </w:p>
            </w:tc>
            <w:tc>
              <w:tcPr>
                <w:tcW w:w="369" w:type="pct"/>
                <w:shd w:val="clear" w:color="auto" w:fill="auto"/>
                <w:vAlign w:val="center"/>
              </w:tcPr>
              <w:p w:rsidR="00213BC9" w:rsidRPr="00213BC9" w:rsidRDefault="00213BC9" w:rsidP="00213BC9">
                <w:pPr>
                  <w:jc w:val="right"/>
                  <w:rPr>
                    <w:sz w:val="12"/>
                    <w:szCs w:val="12"/>
                  </w:rPr>
                </w:pPr>
                <w:r w:rsidRPr="00213BC9">
                  <w:rPr>
                    <w:sz w:val="12"/>
                    <w:szCs w:val="12"/>
                  </w:rPr>
                  <w:t>589,898,937</w:t>
                </w:r>
              </w:p>
            </w:tc>
            <w:tc>
              <w:tcPr>
                <w:tcW w:w="404" w:type="pct"/>
                <w:shd w:val="clear" w:color="auto" w:fill="auto"/>
                <w:vAlign w:val="center"/>
              </w:tcPr>
              <w:p w:rsidR="00213BC9" w:rsidRPr="00213BC9" w:rsidRDefault="00213BC9" w:rsidP="00213BC9">
                <w:pPr>
                  <w:jc w:val="right"/>
                  <w:rPr>
                    <w:sz w:val="12"/>
                    <w:szCs w:val="12"/>
                  </w:rPr>
                </w:pPr>
                <w:r w:rsidRPr="00213BC9">
                  <w:rPr>
                    <w:sz w:val="12"/>
                    <w:szCs w:val="12"/>
                  </w:rPr>
                  <w:t>1,773,727,139</w:t>
                </w:r>
              </w:p>
            </w:tc>
            <w:tc>
              <w:tcPr>
                <w:tcW w:w="404" w:type="pct"/>
                <w:shd w:val="clear" w:color="auto" w:fill="auto"/>
                <w:vAlign w:val="center"/>
              </w:tcPr>
              <w:p w:rsidR="00213BC9" w:rsidRPr="00213BC9" w:rsidRDefault="00213BC9" w:rsidP="00213BC9">
                <w:pPr>
                  <w:jc w:val="right"/>
                  <w:rPr>
                    <w:sz w:val="12"/>
                    <w:szCs w:val="12"/>
                  </w:rPr>
                </w:pPr>
                <w:r w:rsidRPr="00213BC9">
                  <w:rPr>
                    <w:sz w:val="12"/>
                    <w:szCs w:val="12"/>
                  </w:rPr>
                  <w:t>3,817,787,386</w:t>
                </w:r>
              </w:p>
            </w:tc>
            <w:tc>
              <w:tcPr>
                <w:tcW w:w="404" w:type="pct"/>
                <w:shd w:val="clear" w:color="auto" w:fill="auto"/>
                <w:vAlign w:val="center"/>
              </w:tcPr>
              <w:p w:rsidR="00213BC9" w:rsidRPr="00213BC9" w:rsidRDefault="00213BC9" w:rsidP="00213BC9">
                <w:pPr>
                  <w:jc w:val="right"/>
                  <w:rPr>
                    <w:sz w:val="12"/>
                    <w:szCs w:val="12"/>
                  </w:rPr>
                </w:pPr>
                <w:r w:rsidRPr="00213BC9">
                  <w:rPr>
                    <w:sz w:val="12"/>
                    <w:szCs w:val="12"/>
                  </w:rPr>
                  <w:t>655,794,406</w:t>
                </w:r>
              </w:p>
            </w:tc>
            <w:tc>
              <w:tcPr>
                <w:tcW w:w="401" w:type="pct"/>
                <w:shd w:val="clear" w:color="auto" w:fill="auto"/>
                <w:vAlign w:val="center"/>
              </w:tcPr>
              <w:p w:rsidR="00213BC9" w:rsidRPr="00213BC9" w:rsidRDefault="00213BC9" w:rsidP="00213BC9">
                <w:pPr>
                  <w:jc w:val="right"/>
                  <w:rPr>
                    <w:sz w:val="12"/>
                    <w:szCs w:val="12"/>
                  </w:rPr>
                </w:pPr>
                <w:r w:rsidRPr="00213BC9">
                  <w:rPr>
                    <w:sz w:val="12"/>
                    <w:szCs w:val="12"/>
                  </w:rPr>
                  <w:t>56,338,804,523</w:t>
                </w:r>
              </w:p>
            </w:tc>
          </w:tr>
          <w:tr w:rsidR="00213BC9" w:rsidTr="00B1561D">
            <w:trPr>
              <w:gridAfter w:val="11"/>
              <w:wAfter w:w="4367" w:type="pct"/>
            </w:trPr>
            <w:sdt>
              <w:sdtPr>
                <w:rPr>
                  <w:sz w:val="12"/>
                  <w:szCs w:val="12"/>
                </w:rPr>
                <w:tag w:val="_PLD_b98cd9e8075a44b28b16fc9fd4c3c81f"/>
                <w:id w:val="-1026178741"/>
                <w:lock w:val="sdtLocked"/>
              </w:sdtPr>
              <w:sdtContent>
                <w:tc>
                  <w:tcPr>
                    <w:tcW w:w="633" w:type="pct"/>
                    <w:shd w:val="clear" w:color="auto" w:fill="auto"/>
                  </w:tcPr>
                  <w:p w:rsidR="00213BC9" w:rsidRPr="00213BC9" w:rsidRDefault="00213BC9" w:rsidP="00213BC9">
                    <w:pPr>
                      <w:rPr>
                        <w:sz w:val="12"/>
                        <w:szCs w:val="12"/>
                      </w:rPr>
                    </w:pPr>
                    <w:r w:rsidRPr="00213BC9">
                      <w:rPr>
                        <w:rFonts w:hint="eastAsia"/>
                        <w:sz w:val="12"/>
                        <w:szCs w:val="12"/>
                      </w:rPr>
                      <w:t>三、减值准备</w:t>
                    </w:r>
                  </w:p>
                </w:tc>
              </w:sdtContent>
            </w:sdt>
          </w:tr>
          <w:tr w:rsidR="0023721B" w:rsidTr="00B1561D">
            <w:sdt>
              <w:sdtPr>
                <w:rPr>
                  <w:sz w:val="12"/>
                  <w:szCs w:val="12"/>
                </w:rPr>
                <w:tag w:val="_PLD_56eded0ad9c34a2dabfd9ced3cc4cb08"/>
                <w:id w:val="-764073510"/>
                <w:lock w:val="sdtLocked"/>
              </w:sdtPr>
              <w:sdtContent>
                <w:tc>
                  <w:tcPr>
                    <w:tcW w:w="633" w:type="pct"/>
                    <w:shd w:val="clear" w:color="auto" w:fill="auto"/>
                  </w:tcPr>
                  <w:p w:rsidR="0023721B" w:rsidRPr="00213BC9" w:rsidRDefault="0023721B" w:rsidP="0023721B">
                    <w:pPr>
                      <w:ind w:firstLineChars="200" w:firstLine="240"/>
                      <w:rPr>
                        <w:sz w:val="12"/>
                        <w:szCs w:val="12"/>
                      </w:rPr>
                    </w:pPr>
                    <w:r w:rsidRPr="00213BC9">
                      <w:rPr>
                        <w:sz w:val="12"/>
                        <w:szCs w:val="12"/>
                      </w:rPr>
                      <w:t>1.</w:t>
                    </w:r>
                    <w:r w:rsidRPr="00213BC9">
                      <w:rPr>
                        <w:rFonts w:hint="eastAsia"/>
                        <w:sz w:val="12"/>
                        <w:szCs w:val="12"/>
                      </w:rPr>
                      <w:t>期初余额</w:t>
                    </w:r>
                  </w:p>
                </w:tc>
              </w:sdtContent>
            </w:sdt>
            <w:tc>
              <w:tcPr>
                <w:tcW w:w="389" w:type="pct"/>
                <w:shd w:val="clear" w:color="auto" w:fill="auto"/>
                <w:vAlign w:val="center"/>
              </w:tcPr>
              <w:p w:rsidR="0023721B" w:rsidRPr="0023721B" w:rsidRDefault="0023721B" w:rsidP="0023721B">
                <w:pPr>
                  <w:jc w:val="right"/>
                  <w:rPr>
                    <w:sz w:val="12"/>
                    <w:szCs w:val="12"/>
                  </w:rPr>
                </w:pPr>
                <w:r w:rsidRPr="0023721B">
                  <w:rPr>
                    <w:sz w:val="12"/>
                    <w:szCs w:val="12"/>
                  </w:rPr>
                  <w:t>672,252</w:t>
                </w:r>
              </w:p>
            </w:tc>
            <w:tc>
              <w:tcPr>
                <w:tcW w:w="389" w:type="pct"/>
                <w:shd w:val="clear" w:color="auto" w:fill="auto"/>
                <w:vAlign w:val="center"/>
              </w:tcPr>
              <w:p w:rsidR="0023721B" w:rsidRPr="0023721B" w:rsidRDefault="0023721B" w:rsidP="0023721B">
                <w:pPr>
                  <w:jc w:val="right"/>
                  <w:rPr>
                    <w:sz w:val="12"/>
                    <w:szCs w:val="12"/>
                  </w:rPr>
                </w:pPr>
                <w:r w:rsidRPr="0023721B">
                  <w:rPr>
                    <w:sz w:val="12"/>
                    <w:szCs w:val="12"/>
                  </w:rPr>
                  <w:t>0</w:t>
                </w:r>
              </w:p>
            </w:tc>
            <w:tc>
              <w:tcPr>
                <w:tcW w:w="439" w:type="pct"/>
                <w:shd w:val="clear" w:color="auto" w:fill="auto"/>
                <w:vAlign w:val="center"/>
              </w:tcPr>
              <w:p w:rsidR="0023721B" w:rsidRPr="0023721B" w:rsidRDefault="0023721B" w:rsidP="0023721B">
                <w:pPr>
                  <w:jc w:val="right"/>
                  <w:rPr>
                    <w:sz w:val="12"/>
                    <w:szCs w:val="12"/>
                  </w:rPr>
                </w:pPr>
                <w:r w:rsidRPr="0023721B">
                  <w:rPr>
                    <w:sz w:val="12"/>
                    <w:szCs w:val="12"/>
                  </w:rPr>
                  <w:t>49,168,780</w:t>
                </w:r>
              </w:p>
            </w:tc>
            <w:tc>
              <w:tcPr>
                <w:tcW w:w="389" w:type="pct"/>
                <w:shd w:val="clear" w:color="auto" w:fill="auto"/>
                <w:vAlign w:val="center"/>
              </w:tcPr>
              <w:p w:rsidR="0023721B" w:rsidRPr="0023721B" w:rsidRDefault="0023721B" w:rsidP="0023721B">
                <w:pPr>
                  <w:jc w:val="right"/>
                  <w:rPr>
                    <w:sz w:val="12"/>
                    <w:szCs w:val="12"/>
                  </w:rPr>
                </w:pPr>
                <w:r w:rsidRPr="0023721B">
                  <w:rPr>
                    <w:sz w:val="12"/>
                    <w:szCs w:val="12"/>
                  </w:rPr>
                  <w:t>0</w:t>
                </w:r>
              </w:p>
            </w:tc>
            <w:tc>
              <w:tcPr>
                <w:tcW w:w="390" w:type="pct"/>
                <w:shd w:val="clear" w:color="auto" w:fill="auto"/>
                <w:vAlign w:val="center"/>
              </w:tcPr>
              <w:p w:rsidR="0023721B" w:rsidRPr="0023721B" w:rsidRDefault="0023721B" w:rsidP="0023721B">
                <w:pPr>
                  <w:jc w:val="right"/>
                  <w:rPr>
                    <w:sz w:val="12"/>
                    <w:szCs w:val="12"/>
                  </w:rPr>
                </w:pPr>
                <w:r w:rsidRPr="0023721B">
                  <w:rPr>
                    <w:sz w:val="12"/>
                    <w:szCs w:val="12"/>
                  </w:rPr>
                  <w:t>0</w:t>
                </w:r>
              </w:p>
            </w:tc>
            <w:tc>
              <w:tcPr>
                <w:tcW w:w="388" w:type="pct"/>
                <w:shd w:val="clear" w:color="auto" w:fill="auto"/>
                <w:vAlign w:val="center"/>
              </w:tcPr>
              <w:p w:rsidR="0023721B" w:rsidRPr="0023721B" w:rsidRDefault="0023721B" w:rsidP="0023721B">
                <w:pPr>
                  <w:jc w:val="right"/>
                  <w:rPr>
                    <w:sz w:val="12"/>
                    <w:szCs w:val="12"/>
                  </w:rPr>
                </w:pPr>
                <w:r w:rsidRPr="0023721B">
                  <w:rPr>
                    <w:sz w:val="12"/>
                    <w:szCs w:val="12"/>
                  </w:rPr>
                  <w:t>0</w:t>
                </w:r>
              </w:p>
            </w:tc>
            <w:tc>
              <w:tcPr>
                <w:tcW w:w="369" w:type="pct"/>
                <w:shd w:val="clear" w:color="auto" w:fill="auto"/>
                <w:vAlign w:val="center"/>
              </w:tcPr>
              <w:p w:rsidR="0023721B" w:rsidRPr="0023721B" w:rsidRDefault="0023721B" w:rsidP="0023721B">
                <w:pPr>
                  <w:jc w:val="right"/>
                  <w:rPr>
                    <w:sz w:val="12"/>
                    <w:szCs w:val="12"/>
                  </w:rPr>
                </w:pPr>
                <w:r w:rsidRPr="0023721B">
                  <w:rPr>
                    <w:sz w:val="12"/>
                    <w:szCs w:val="12"/>
                  </w:rPr>
                  <w:t>0</w:t>
                </w:r>
              </w:p>
            </w:tc>
            <w:tc>
              <w:tcPr>
                <w:tcW w:w="404" w:type="pct"/>
                <w:shd w:val="clear" w:color="auto" w:fill="auto"/>
                <w:vAlign w:val="center"/>
              </w:tcPr>
              <w:p w:rsidR="0023721B" w:rsidRPr="0023721B" w:rsidRDefault="0023721B" w:rsidP="0023721B">
                <w:pPr>
                  <w:jc w:val="right"/>
                  <w:rPr>
                    <w:sz w:val="12"/>
                    <w:szCs w:val="12"/>
                  </w:rPr>
                </w:pPr>
                <w:r w:rsidRPr="0023721B">
                  <w:rPr>
                    <w:sz w:val="12"/>
                    <w:szCs w:val="12"/>
                  </w:rPr>
                  <w:t>0</w:t>
                </w:r>
              </w:p>
            </w:tc>
            <w:tc>
              <w:tcPr>
                <w:tcW w:w="404" w:type="pct"/>
                <w:shd w:val="clear" w:color="auto" w:fill="auto"/>
                <w:vAlign w:val="center"/>
              </w:tcPr>
              <w:p w:rsidR="0023721B" w:rsidRPr="0023721B" w:rsidRDefault="0023721B" w:rsidP="0023721B">
                <w:pPr>
                  <w:jc w:val="right"/>
                  <w:rPr>
                    <w:sz w:val="12"/>
                    <w:szCs w:val="12"/>
                  </w:rPr>
                </w:pPr>
                <w:r w:rsidRPr="0023721B">
                  <w:rPr>
                    <w:sz w:val="12"/>
                    <w:szCs w:val="12"/>
                  </w:rPr>
                  <w:t>0</w:t>
                </w:r>
              </w:p>
            </w:tc>
            <w:tc>
              <w:tcPr>
                <w:tcW w:w="404" w:type="pct"/>
                <w:shd w:val="clear" w:color="auto" w:fill="auto"/>
                <w:vAlign w:val="center"/>
              </w:tcPr>
              <w:p w:rsidR="0023721B" w:rsidRPr="0023721B" w:rsidRDefault="0023721B" w:rsidP="0023721B">
                <w:pPr>
                  <w:jc w:val="right"/>
                  <w:rPr>
                    <w:sz w:val="12"/>
                    <w:szCs w:val="12"/>
                  </w:rPr>
                </w:pPr>
                <w:r w:rsidRPr="0023721B">
                  <w:rPr>
                    <w:sz w:val="12"/>
                    <w:szCs w:val="12"/>
                  </w:rPr>
                  <w:t>0</w:t>
                </w:r>
              </w:p>
            </w:tc>
            <w:tc>
              <w:tcPr>
                <w:tcW w:w="401" w:type="pct"/>
                <w:shd w:val="clear" w:color="auto" w:fill="auto"/>
                <w:vAlign w:val="center"/>
              </w:tcPr>
              <w:p w:rsidR="0023721B" w:rsidRPr="0023721B" w:rsidRDefault="0023721B" w:rsidP="0023721B">
                <w:pPr>
                  <w:jc w:val="right"/>
                  <w:rPr>
                    <w:sz w:val="12"/>
                    <w:szCs w:val="12"/>
                  </w:rPr>
                </w:pPr>
                <w:r w:rsidRPr="0023721B">
                  <w:rPr>
                    <w:sz w:val="12"/>
                    <w:szCs w:val="12"/>
                  </w:rPr>
                  <w:t>49,841,032</w:t>
                </w:r>
              </w:p>
            </w:tc>
          </w:tr>
          <w:tr w:rsidR="0023721B" w:rsidTr="00B1561D">
            <w:sdt>
              <w:sdtPr>
                <w:rPr>
                  <w:sz w:val="12"/>
                  <w:szCs w:val="12"/>
                </w:rPr>
                <w:tag w:val="_PLD_e23909e3deca4ed3b3374e1998a20d9d"/>
                <w:id w:val="-655843299"/>
                <w:lock w:val="sdtLocked"/>
              </w:sdtPr>
              <w:sdtContent>
                <w:tc>
                  <w:tcPr>
                    <w:tcW w:w="633" w:type="pct"/>
                    <w:shd w:val="clear" w:color="auto" w:fill="auto"/>
                  </w:tcPr>
                  <w:p w:rsidR="0023721B" w:rsidRPr="00213BC9" w:rsidRDefault="0023721B" w:rsidP="0023721B">
                    <w:pPr>
                      <w:ind w:firstLineChars="200" w:firstLine="240"/>
                      <w:rPr>
                        <w:sz w:val="12"/>
                        <w:szCs w:val="12"/>
                      </w:rPr>
                    </w:pPr>
                    <w:r w:rsidRPr="00213BC9">
                      <w:rPr>
                        <w:sz w:val="12"/>
                        <w:szCs w:val="12"/>
                      </w:rPr>
                      <w:t>2.</w:t>
                    </w:r>
                    <w:r w:rsidRPr="00213BC9">
                      <w:rPr>
                        <w:rFonts w:hint="eastAsia"/>
                        <w:sz w:val="12"/>
                        <w:szCs w:val="12"/>
                      </w:rPr>
                      <w:t>本期增加金额</w:t>
                    </w:r>
                  </w:p>
                </w:tc>
              </w:sdtContent>
            </w:sdt>
            <w:tc>
              <w:tcPr>
                <w:tcW w:w="389" w:type="pct"/>
                <w:shd w:val="clear" w:color="auto" w:fill="auto"/>
                <w:vAlign w:val="center"/>
              </w:tcPr>
              <w:p w:rsidR="0023721B" w:rsidRPr="0023721B" w:rsidRDefault="0023721B" w:rsidP="0023721B">
                <w:pPr>
                  <w:jc w:val="right"/>
                  <w:rPr>
                    <w:sz w:val="12"/>
                    <w:szCs w:val="12"/>
                  </w:rPr>
                </w:pPr>
                <w:r w:rsidRPr="0023721B">
                  <w:rPr>
                    <w:sz w:val="12"/>
                    <w:szCs w:val="12"/>
                  </w:rPr>
                  <w:t>0</w:t>
                </w:r>
              </w:p>
            </w:tc>
            <w:tc>
              <w:tcPr>
                <w:tcW w:w="389" w:type="pct"/>
                <w:shd w:val="clear" w:color="auto" w:fill="auto"/>
                <w:vAlign w:val="center"/>
              </w:tcPr>
              <w:p w:rsidR="0023721B" w:rsidRPr="0023721B" w:rsidRDefault="0023721B" w:rsidP="0023721B">
                <w:pPr>
                  <w:jc w:val="right"/>
                  <w:rPr>
                    <w:sz w:val="12"/>
                    <w:szCs w:val="12"/>
                  </w:rPr>
                </w:pPr>
                <w:r w:rsidRPr="0023721B">
                  <w:rPr>
                    <w:sz w:val="12"/>
                    <w:szCs w:val="12"/>
                  </w:rPr>
                  <w:t>0</w:t>
                </w:r>
              </w:p>
            </w:tc>
            <w:tc>
              <w:tcPr>
                <w:tcW w:w="439" w:type="pct"/>
                <w:shd w:val="clear" w:color="auto" w:fill="auto"/>
                <w:vAlign w:val="center"/>
              </w:tcPr>
              <w:p w:rsidR="0023721B" w:rsidRPr="0023721B" w:rsidRDefault="0023721B" w:rsidP="0023721B">
                <w:pPr>
                  <w:jc w:val="right"/>
                  <w:rPr>
                    <w:sz w:val="12"/>
                    <w:szCs w:val="12"/>
                  </w:rPr>
                </w:pPr>
                <w:r w:rsidRPr="0023721B">
                  <w:rPr>
                    <w:sz w:val="12"/>
                    <w:szCs w:val="12"/>
                  </w:rPr>
                  <w:t>0</w:t>
                </w:r>
              </w:p>
            </w:tc>
            <w:tc>
              <w:tcPr>
                <w:tcW w:w="389" w:type="pct"/>
                <w:shd w:val="clear" w:color="auto" w:fill="auto"/>
                <w:vAlign w:val="center"/>
              </w:tcPr>
              <w:p w:rsidR="0023721B" w:rsidRPr="0023721B" w:rsidRDefault="0023721B" w:rsidP="0023721B">
                <w:pPr>
                  <w:jc w:val="right"/>
                  <w:rPr>
                    <w:sz w:val="12"/>
                    <w:szCs w:val="12"/>
                  </w:rPr>
                </w:pPr>
                <w:r w:rsidRPr="0023721B">
                  <w:rPr>
                    <w:sz w:val="12"/>
                    <w:szCs w:val="12"/>
                  </w:rPr>
                  <w:t>0</w:t>
                </w:r>
              </w:p>
            </w:tc>
            <w:tc>
              <w:tcPr>
                <w:tcW w:w="390" w:type="pct"/>
                <w:shd w:val="clear" w:color="auto" w:fill="auto"/>
                <w:vAlign w:val="center"/>
              </w:tcPr>
              <w:p w:rsidR="0023721B" w:rsidRPr="0023721B" w:rsidRDefault="0023721B" w:rsidP="0023721B">
                <w:pPr>
                  <w:jc w:val="right"/>
                  <w:rPr>
                    <w:sz w:val="12"/>
                    <w:szCs w:val="12"/>
                  </w:rPr>
                </w:pPr>
                <w:r w:rsidRPr="0023721B">
                  <w:rPr>
                    <w:sz w:val="12"/>
                    <w:szCs w:val="12"/>
                  </w:rPr>
                  <w:t>0</w:t>
                </w:r>
              </w:p>
            </w:tc>
            <w:tc>
              <w:tcPr>
                <w:tcW w:w="388" w:type="pct"/>
                <w:shd w:val="clear" w:color="auto" w:fill="auto"/>
                <w:vAlign w:val="center"/>
              </w:tcPr>
              <w:p w:rsidR="0023721B" w:rsidRPr="0023721B" w:rsidRDefault="0023721B" w:rsidP="0023721B">
                <w:pPr>
                  <w:jc w:val="right"/>
                  <w:rPr>
                    <w:sz w:val="12"/>
                    <w:szCs w:val="12"/>
                  </w:rPr>
                </w:pPr>
                <w:r w:rsidRPr="0023721B">
                  <w:rPr>
                    <w:sz w:val="12"/>
                    <w:szCs w:val="12"/>
                  </w:rPr>
                  <w:t>0</w:t>
                </w:r>
              </w:p>
            </w:tc>
            <w:tc>
              <w:tcPr>
                <w:tcW w:w="369" w:type="pct"/>
                <w:shd w:val="clear" w:color="auto" w:fill="auto"/>
                <w:vAlign w:val="center"/>
              </w:tcPr>
              <w:p w:rsidR="0023721B" w:rsidRPr="0023721B" w:rsidRDefault="0023721B" w:rsidP="0023721B">
                <w:pPr>
                  <w:jc w:val="right"/>
                  <w:rPr>
                    <w:sz w:val="12"/>
                    <w:szCs w:val="12"/>
                  </w:rPr>
                </w:pPr>
                <w:r w:rsidRPr="0023721B">
                  <w:rPr>
                    <w:sz w:val="12"/>
                    <w:szCs w:val="12"/>
                  </w:rPr>
                  <w:t>0</w:t>
                </w:r>
              </w:p>
            </w:tc>
            <w:tc>
              <w:tcPr>
                <w:tcW w:w="404" w:type="pct"/>
                <w:shd w:val="clear" w:color="auto" w:fill="auto"/>
                <w:vAlign w:val="center"/>
              </w:tcPr>
              <w:p w:rsidR="0023721B" w:rsidRPr="0023721B" w:rsidRDefault="0023721B" w:rsidP="0023721B">
                <w:pPr>
                  <w:jc w:val="right"/>
                  <w:rPr>
                    <w:sz w:val="12"/>
                    <w:szCs w:val="12"/>
                  </w:rPr>
                </w:pPr>
                <w:r w:rsidRPr="0023721B">
                  <w:rPr>
                    <w:sz w:val="12"/>
                    <w:szCs w:val="12"/>
                  </w:rPr>
                  <w:t>0</w:t>
                </w:r>
              </w:p>
            </w:tc>
            <w:tc>
              <w:tcPr>
                <w:tcW w:w="404" w:type="pct"/>
                <w:shd w:val="clear" w:color="auto" w:fill="auto"/>
                <w:vAlign w:val="center"/>
              </w:tcPr>
              <w:p w:rsidR="0023721B" w:rsidRPr="0023721B" w:rsidRDefault="0023721B" w:rsidP="0023721B">
                <w:pPr>
                  <w:jc w:val="right"/>
                  <w:rPr>
                    <w:sz w:val="12"/>
                    <w:szCs w:val="12"/>
                  </w:rPr>
                </w:pPr>
                <w:r w:rsidRPr="0023721B">
                  <w:rPr>
                    <w:sz w:val="12"/>
                    <w:szCs w:val="12"/>
                  </w:rPr>
                  <w:t>0</w:t>
                </w:r>
              </w:p>
            </w:tc>
            <w:tc>
              <w:tcPr>
                <w:tcW w:w="404" w:type="pct"/>
                <w:shd w:val="clear" w:color="auto" w:fill="auto"/>
                <w:vAlign w:val="center"/>
              </w:tcPr>
              <w:p w:rsidR="0023721B" w:rsidRPr="0023721B" w:rsidRDefault="0023721B" w:rsidP="0023721B">
                <w:pPr>
                  <w:jc w:val="right"/>
                  <w:rPr>
                    <w:sz w:val="12"/>
                    <w:szCs w:val="12"/>
                  </w:rPr>
                </w:pPr>
                <w:r w:rsidRPr="0023721B">
                  <w:rPr>
                    <w:sz w:val="12"/>
                    <w:szCs w:val="12"/>
                  </w:rPr>
                  <w:t>0</w:t>
                </w:r>
              </w:p>
            </w:tc>
            <w:tc>
              <w:tcPr>
                <w:tcW w:w="401" w:type="pct"/>
                <w:shd w:val="clear" w:color="auto" w:fill="auto"/>
                <w:vAlign w:val="center"/>
              </w:tcPr>
              <w:p w:rsidR="0023721B" w:rsidRPr="0023721B" w:rsidRDefault="0023721B" w:rsidP="0023721B">
                <w:pPr>
                  <w:jc w:val="right"/>
                  <w:rPr>
                    <w:sz w:val="12"/>
                    <w:szCs w:val="12"/>
                  </w:rPr>
                </w:pPr>
                <w:r w:rsidRPr="0023721B">
                  <w:rPr>
                    <w:sz w:val="12"/>
                    <w:szCs w:val="12"/>
                  </w:rPr>
                  <w:t>0</w:t>
                </w:r>
              </w:p>
            </w:tc>
          </w:tr>
          <w:tr w:rsidR="0023721B" w:rsidTr="00B1561D">
            <w:sdt>
              <w:sdtPr>
                <w:rPr>
                  <w:sz w:val="12"/>
                  <w:szCs w:val="12"/>
                </w:rPr>
                <w:tag w:val="_PLD_e9d33a6c6b2d4aff8a6ac53a9ce1b167"/>
                <w:id w:val="-382711167"/>
                <w:lock w:val="sdtLocked"/>
              </w:sdtPr>
              <w:sdtContent>
                <w:tc>
                  <w:tcPr>
                    <w:tcW w:w="633" w:type="pct"/>
                    <w:shd w:val="clear" w:color="auto" w:fill="auto"/>
                  </w:tcPr>
                  <w:p w:rsidR="0023721B" w:rsidRPr="00213BC9" w:rsidRDefault="0023721B" w:rsidP="0023721B">
                    <w:pPr>
                      <w:ind w:firstLineChars="300" w:firstLine="360"/>
                      <w:rPr>
                        <w:sz w:val="12"/>
                        <w:szCs w:val="12"/>
                      </w:rPr>
                    </w:pPr>
                    <w:r w:rsidRPr="00213BC9">
                      <w:rPr>
                        <w:rFonts w:hint="eastAsia"/>
                        <w:sz w:val="12"/>
                        <w:szCs w:val="12"/>
                      </w:rPr>
                      <w:t>（1）计提</w:t>
                    </w:r>
                  </w:p>
                </w:tc>
              </w:sdtContent>
            </w:sdt>
            <w:tc>
              <w:tcPr>
                <w:tcW w:w="389" w:type="pct"/>
                <w:shd w:val="clear" w:color="auto" w:fill="auto"/>
                <w:vAlign w:val="center"/>
              </w:tcPr>
              <w:p w:rsidR="0023721B" w:rsidRPr="0023721B" w:rsidRDefault="0023721B" w:rsidP="0023721B">
                <w:pPr>
                  <w:jc w:val="right"/>
                  <w:rPr>
                    <w:sz w:val="12"/>
                    <w:szCs w:val="12"/>
                  </w:rPr>
                </w:pPr>
                <w:r w:rsidRPr="0023721B">
                  <w:rPr>
                    <w:sz w:val="12"/>
                    <w:szCs w:val="12"/>
                  </w:rPr>
                  <w:t>0</w:t>
                </w:r>
              </w:p>
            </w:tc>
            <w:tc>
              <w:tcPr>
                <w:tcW w:w="389" w:type="pct"/>
                <w:shd w:val="clear" w:color="auto" w:fill="auto"/>
                <w:vAlign w:val="center"/>
              </w:tcPr>
              <w:p w:rsidR="0023721B" w:rsidRPr="0023721B" w:rsidRDefault="0023721B" w:rsidP="0023721B">
                <w:pPr>
                  <w:jc w:val="right"/>
                  <w:rPr>
                    <w:sz w:val="12"/>
                    <w:szCs w:val="12"/>
                  </w:rPr>
                </w:pPr>
                <w:r w:rsidRPr="0023721B">
                  <w:rPr>
                    <w:sz w:val="12"/>
                    <w:szCs w:val="12"/>
                  </w:rPr>
                  <w:t>0</w:t>
                </w:r>
              </w:p>
            </w:tc>
            <w:tc>
              <w:tcPr>
                <w:tcW w:w="439" w:type="pct"/>
                <w:shd w:val="clear" w:color="auto" w:fill="auto"/>
                <w:vAlign w:val="center"/>
              </w:tcPr>
              <w:p w:rsidR="0023721B" w:rsidRPr="0023721B" w:rsidRDefault="0023721B" w:rsidP="0023721B">
                <w:pPr>
                  <w:jc w:val="right"/>
                  <w:rPr>
                    <w:sz w:val="12"/>
                    <w:szCs w:val="12"/>
                  </w:rPr>
                </w:pPr>
                <w:r w:rsidRPr="0023721B">
                  <w:rPr>
                    <w:sz w:val="12"/>
                    <w:szCs w:val="12"/>
                  </w:rPr>
                  <w:t>0</w:t>
                </w:r>
              </w:p>
            </w:tc>
            <w:tc>
              <w:tcPr>
                <w:tcW w:w="389" w:type="pct"/>
                <w:shd w:val="clear" w:color="auto" w:fill="auto"/>
                <w:vAlign w:val="center"/>
              </w:tcPr>
              <w:p w:rsidR="0023721B" w:rsidRPr="0023721B" w:rsidRDefault="0023721B" w:rsidP="0023721B">
                <w:pPr>
                  <w:jc w:val="right"/>
                  <w:rPr>
                    <w:sz w:val="12"/>
                    <w:szCs w:val="12"/>
                  </w:rPr>
                </w:pPr>
                <w:r w:rsidRPr="0023721B">
                  <w:rPr>
                    <w:sz w:val="12"/>
                    <w:szCs w:val="12"/>
                  </w:rPr>
                  <w:t>0</w:t>
                </w:r>
              </w:p>
            </w:tc>
            <w:tc>
              <w:tcPr>
                <w:tcW w:w="390" w:type="pct"/>
                <w:shd w:val="clear" w:color="auto" w:fill="auto"/>
                <w:vAlign w:val="center"/>
              </w:tcPr>
              <w:p w:rsidR="0023721B" w:rsidRPr="0023721B" w:rsidRDefault="0023721B" w:rsidP="0023721B">
                <w:pPr>
                  <w:jc w:val="right"/>
                  <w:rPr>
                    <w:sz w:val="12"/>
                    <w:szCs w:val="12"/>
                  </w:rPr>
                </w:pPr>
                <w:r w:rsidRPr="0023721B">
                  <w:rPr>
                    <w:sz w:val="12"/>
                    <w:szCs w:val="12"/>
                  </w:rPr>
                  <w:t>0</w:t>
                </w:r>
              </w:p>
            </w:tc>
            <w:tc>
              <w:tcPr>
                <w:tcW w:w="388" w:type="pct"/>
                <w:shd w:val="clear" w:color="auto" w:fill="auto"/>
                <w:vAlign w:val="center"/>
              </w:tcPr>
              <w:p w:rsidR="0023721B" w:rsidRPr="0023721B" w:rsidRDefault="0023721B" w:rsidP="0023721B">
                <w:pPr>
                  <w:jc w:val="right"/>
                  <w:rPr>
                    <w:sz w:val="12"/>
                    <w:szCs w:val="12"/>
                  </w:rPr>
                </w:pPr>
                <w:r w:rsidRPr="0023721B">
                  <w:rPr>
                    <w:sz w:val="12"/>
                    <w:szCs w:val="12"/>
                  </w:rPr>
                  <w:t>0</w:t>
                </w:r>
              </w:p>
            </w:tc>
            <w:tc>
              <w:tcPr>
                <w:tcW w:w="369" w:type="pct"/>
                <w:shd w:val="clear" w:color="auto" w:fill="auto"/>
                <w:vAlign w:val="center"/>
              </w:tcPr>
              <w:p w:rsidR="0023721B" w:rsidRPr="0023721B" w:rsidRDefault="0023721B" w:rsidP="0023721B">
                <w:pPr>
                  <w:jc w:val="right"/>
                  <w:rPr>
                    <w:sz w:val="12"/>
                    <w:szCs w:val="12"/>
                  </w:rPr>
                </w:pPr>
                <w:r w:rsidRPr="0023721B">
                  <w:rPr>
                    <w:sz w:val="12"/>
                    <w:szCs w:val="12"/>
                  </w:rPr>
                  <w:t>0</w:t>
                </w:r>
              </w:p>
            </w:tc>
            <w:tc>
              <w:tcPr>
                <w:tcW w:w="404" w:type="pct"/>
                <w:shd w:val="clear" w:color="auto" w:fill="auto"/>
                <w:vAlign w:val="center"/>
              </w:tcPr>
              <w:p w:rsidR="0023721B" w:rsidRPr="0023721B" w:rsidRDefault="0023721B" w:rsidP="0023721B">
                <w:pPr>
                  <w:jc w:val="right"/>
                  <w:rPr>
                    <w:sz w:val="12"/>
                    <w:szCs w:val="12"/>
                  </w:rPr>
                </w:pPr>
                <w:r w:rsidRPr="0023721B">
                  <w:rPr>
                    <w:sz w:val="12"/>
                    <w:szCs w:val="12"/>
                  </w:rPr>
                  <w:t>0</w:t>
                </w:r>
              </w:p>
            </w:tc>
            <w:tc>
              <w:tcPr>
                <w:tcW w:w="404" w:type="pct"/>
                <w:shd w:val="clear" w:color="auto" w:fill="auto"/>
                <w:vAlign w:val="center"/>
              </w:tcPr>
              <w:p w:rsidR="0023721B" w:rsidRPr="0023721B" w:rsidRDefault="0023721B" w:rsidP="0023721B">
                <w:pPr>
                  <w:jc w:val="right"/>
                  <w:rPr>
                    <w:sz w:val="12"/>
                    <w:szCs w:val="12"/>
                  </w:rPr>
                </w:pPr>
                <w:r w:rsidRPr="0023721B">
                  <w:rPr>
                    <w:sz w:val="12"/>
                    <w:szCs w:val="12"/>
                  </w:rPr>
                  <w:t>0</w:t>
                </w:r>
              </w:p>
            </w:tc>
            <w:tc>
              <w:tcPr>
                <w:tcW w:w="404" w:type="pct"/>
                <w:shd w:val="clear" w:color="auto" w:fill="auto"/>
                <w:vAlign w:val="center"/>
              </w:tcPr>
              <w:p w:rsidR="0023721B" w:rsidRPr="0023721B" w:rsidRDefault="0023721B" w:rsidP="0023721B">
                <w:pPr>
                  <w:jc w:val="right"/>
                  <w:rPr>
                    <w:sz w:val="12"/>
                    <w:szCs w:val="12"/>
                  </w:rPr>
                </w:pPr>
                <w:r w:rsidRPr="0023721B">
                  <w:rPr>
                    <w:sz w:val="12"/>
                    <w:szCs w:val="12"/>
                  </w:rPr>
                  <w:t>0</w:t>
                </w:r>
              </w:p>
            </w:tc>
            <w:tc>
              <w:tcPr>
                <w:tcW w:w="401" w:type="pct"/>
                <w:shd w:val="clear" w:color="auto" w:fill="auto"/>
                <w:vAlign w:val="center"/>
              </w:tcPr>
              <w:p w:rsidR="0023721B" w:rsidRPr="0023721B" w:rsidRDefault="0023721B" w:rsidP="0023721B">
                <w:pPr>
                  <w:jc w:val="right"/>
                  <w:rPr>
                    <w:sz w:val="12"/>
                    <w:szCs w:val="12"/>
                  </w:rPr>
                </w:pPr>
                <w:r w:rsidRPr="0023721B">
                  <w:rPr>
                    <w:sz w:val="12"/>
                    <w:szCs w:val="12"/>
                  </w:rPr>
                  <w:t>0</w:t>
                </w:r>
              </w:p>
            </w:tc>
          </w:tr>
          <w:tr w:rsidR="0023721B" w:rsidTr="00B1561D">
            <w:sdt>
              <w:sdtPr>
                <w:rPr>
                  <w:sz w:val="12"/>
                  <w:szCs w:val="12"/>
                </w:rPr>
                <w:tag w:val="_PLD_773acace40cf4e2b82acb417897e72ef"/>
                <w:id w:val="2146080416"/>
                <w:lock w:val="sdtLocked"/>
              </w:sdtPr>
              <w:sdtContent>
                <w:tc>
                  <w:tcPr>
                    <w:tcW w:w="633" w:type="pct"/>
                    <w:shd w:val="clear" w:color="auto" w:fill="auto"/>
                  </w:tcPr>
                  <w:p w:rsidR="0023721B" w:rsidRPr="00213BC9" w:rsidRDefault="0023721B" w:rsidP="0023721B">
                    <w:pPr>
                      <w:ind w:firstLineChars="200" w:firstLine="240"/>
                      <w:rPr>
                        <w:sz w:val="12"/>
                        <w:szCs w:val="12"/>
                      </w:rPr>
                    </w:pPr>
                    <w:r w:rsidRPr="00213BC9">
                      <w:rPr>
                        <w:rFonts w:hint="eastAsia"/>
                        <w:sz w:val="12"/>
                        <w:szCs w:val="12"/>
                      </w:rPr>
                      <w:t>3.本期减少金额</w:t>
                    </w:r>
                  </w:p>
                </w:tc>
              </w:sdtContent>
            </w:sdt>
            <w:tc>
              <w:tcPr>
                <w:tcW w:w="389" w:type="pct"/>
                <w:shd w:val="clear" w:color="auto" w:fill="auto"/>
                <w:vAlign w:val="center"/>
              </w:tcPr>
              <w:p w:rsidR="0023721B" w:rsidRPr="0023721B" w:rsidRDefault="0023721B" w:rsidP="0023721B">
                <w:pPr>
                  <w:jc w:val="right"/>
                  <w:rPr>
                    <w:sz w:val="12"/>
                    <w:szCs w:val="12"/>
                  </w:rPr>
                </w:pPr>
                <w:r w:rsidRPr="0023721B">
                  <w:rPr>
                    <w:sz w:val="12"/>
                    <w:szCs w:val="12"/>
                  </w:rPr>
                  <w:t>0</w:t>
                </w:r>
              </w:p>
            </w:tc>
            <w:tc>
              <w:tcPr>
                <w:tcW w:w="389" w:type="pct"/>
                <w:shd w:val="clear" w:color="auto" w:fill="auto"/>
                <w:vAlign w:val="center"/>
              </w:tcPr>
              <w:p w:rsidR="0023721B" w:rsidRPr="0023721B" w:rsidRDefault="0023721B" w:rsidP="0023721B">
                <w:pPr>
                  <w:jc w:val="right"/>
                  <w:rPr>
                    <w:sz w:val="12"/>
                    <w:szCs w:val="12"/>
                  </w:rPr>
                </w:pPr>
                <w:r w:rsidRPr="0023721B">
                  <w:rPr>
                    <w:sz w:val="12"/>
                    <w:szCs w:val="12"/>
                  </w:rPr>
                  <w:t>0</w:t>
                </w:r>
              </w:p>
            </w:tc>
            <w:tc>
              <w:tcPr>
                <w:tcW w:w="439" w:type="pct"/>
                <w:shd w:val="clear" w:color="auto" w:fill="auto"/>
                <w:vAlign w:val="center"/>
              </w:tcPr>
              <w:p w:rsidR="0023721B" w:rsidRPr="0023721B" w:rsidRDefault="0023721B" w:rsidP="0023721B">
                <w:pPr>
                  <w:jc w:val="right"/>
                  <w:rPr>
                    <w:sz w:val="12"/>
                    <w:szCs w:val="12"/>
                  </w:rPr>
                </w:pPr>
                <w:r w:rsidRPr="0023721B">
                  <w:rPr>
                    <w:sz w:val="12"/>
                    <w:szCs w:val="12"/>
                  </w:rPr>
                  <w:t>0</w:t>
                </w:r>
              </w:p>
            </w:tc>
            <w:tc>
              <w:tcPr>
                <w:tcW w:w="389" w:type="pct"/>
                <w:shd w:val="clear" w:color="auto" w:fill="auto"/>
                <w:vAlign w:val="center"/>
              </w:tcPr>
              <w:p w:rsidR="0023721B" w:rsidRPr="0023721B" w:rsidRDefault="0023721B" w:rsidP="0023721B">
                <w:pPr>
                  <w:jc w:val="right"/>
                  <w:rPr>
                    <w:sz w:val="12"/>
                    <w:szCs w:val="12"/>
                  </w:rPr>
                </w:pPr>
                <w:r w:rsidRPr="0023721B">
                  <w:rPr>
                    <w:sz w:val="12"/>
                    <w:szCs w:val="12"/>
                  </w:rPr>
                  <w:t>0</w:t>
                </w:r>
              </w:p>
            </w:tc>
            <w:tc>
              <w:tcPr>
                <w:tcW w:w="390" w:type="pct"/>
                <w:shd w:val="clear" w:color="auto" w:fill="auto"/>
                <w:vAlign w:val="center"/>
              </w:tcPr>
              <w:p w:rsidR="0023721B" w:rsidRPr="0023721B" w:rsidRDefault="0023721B" w:rsidP="0023721B">
                <w:pPr>
                  <w:jc w:val="right"/>
                  <w:rPr>
                    <w:sz w:val="12"/>
                    <w:szCs w:val="12"/>
                  </w:rPr>
                </w:pPr>
                <w:r w:rsidRPr="0023721B">
                  <w:rPr>
                    <w:sz w:val="12"/>
                    <w:szCs w:val="12"/>
                  </w:rPr>
                  <w:t>0</w:t>
                </w:r>
              </w:p>
            </w:tc>
            <w:tc>
              <w:tcPr>
                <w:tcW w:w="388" w:type="pct"/>
                <w:shd w:val="clear" w:color="auto" w:fill="auto"/>
                <w:vAlign w:val="center"/>
              </w:tcPr>
              <w:p w:rsidR="0023721B" w:rsidRPr="0023721B" w:rsidRDefault="0023721B" w:rsidP="0023721B">
                <w:pPr>
                  <w:jc w:val="right"/>
                  <w:rPr>
                    <w:sz w:val="12"/>
                    <w:szCs w:val="12"/>
                  </w:rPr>
                </w:pPr>
                <w:r w:rsidRPr="0023721B">
                  <w:rPr>
                    <w:sz w:val="12"/>
                    <w:szCs w:val="12"/>
                  </w:rPr>
                  <w:t>0</w:t>
                </w:r>
              </w:p>
            </w:tc>
            <w:tc>
              <w:tcPr>
                <w:tcW w:w="369" w:type="pct"/>
                <w:shd w:val="clear" w:color="auto" w:fill="auto"/>
                <w:vAlign w:val="center"/>
              </w:tcPr>
              <w:p w:rsidR="0023721B" w:rsidRPr="0023721B" w:rsidRDefault="0023721B" w:rsidP="0023721B">
                <w:pPr>
                  <w:jc w:val="right"/>
                  <w:rPr>
                    <w:sz w:val="12"/>
                    <w:szCs w:val="12"/>
                  </w:rPr>
                </w:pPr>
                <w:r w:rsidRPr="0023721B">
                  <w:rPr>
                    <w:sz w:val="12"/>
                    <w:szCs w:val="12"/>
                  </w:rPr>
                  <w:t>0</w:t>
                </w:r>
              </w:p>
            </w:tc>
            <w:tc>
              <w:tcPr>
                <w:tcW w:w="404" w:type="pct"/>
                <w:shd w:val="clear" w:color="auto" w:fill="auto"/>
                <w:vAlign w:val="center"/>
              </w:tcPr>
              <w:p w:rsidR="0023721B" w:rsidRPr="0023721B" w:rsidRDefault="0023721B" w:rsidP="0023721B">
                <w:pPr>
                  <w:jc w:val="right"/>
                  <w:rPr>
                    <w:sz w:val="12"/>
                    <w:szCs w:val="12"/>
                  </w:rPr>
                </w:pPr>
                <w:r w:rsidRPr="0023721B">
                  <w:rPr>
                    <w:sz w:val="12"/>
                    <w:szCs w:val="12"/>
                  </w:rPr>
                  <w:t>0</w:t>
                </w:r>
              </w:p>
            </w:tc>
            <w:tc>
              <w:tcPr>
                <w:tcW w:w="404" w:type="pct"/>
                <w:shd w:val="clear" w:color="auto" w:fill="auto"/>
                <w:vAlign w:val="center"/>
              </w:tcPr>
              <w:p w:rsidR="0023721B" w:rsidRPr="0023721B" w:rsidRDefault="0023721B" w:rsidP="0023721B">
                <w:pPr>
                  <w:jc w:val="right"/>
                  <w:rPr>
                    <w:sz w:val="12"/>
                    <w:szCs w:val="12"/>
                  </w:rPr>
                </w:pPr>
                <w:r w:rsidRPr="0023721B">
                  <w:rPr>
                    <w:sz w:val="12"/>
                    <w:szCs w:val="12"/>
                  </w:rPr>
                  <w:t>0</w:t>
                </w:r>
              </w:p>
            </w:tc>
            <w:tc>
              <w:tcPr>
                <w:tcW w:w="404" w:type="pct"/>
                <w:shd w:val="clear" w:color="auto" w:fill="auto"/>
                <w:vAlign w:val="center"/>
              </w:tcPr>
              <w:p w:rsidR="0023721B" w:rsidRPr="0023721B" w:rsidRDefault="0023721B" w:rsidP="0023721B">
                <w:pPr>
                  <w:jc w:val="right"/>
                  <w:rPr>
                    <w:sz w:val="12"/>
                    <w:szCs w:val="12"/>
                  </w:rPr>
                </w:pPr>
                <w:r w:rsidRPr="0023721B">
                  <w:rPr>
                    <w:sz w:val="12"/>
                    <w:szCs w:val="12"/>
                  </w:rPr>
                  <w:t>0</w:t>
                </w:r>
              </w:p>
            </w:tc>
            <w:tc>
              <w:tcPr>
                <w:tcW w:w="401" w:type="pct"/>
                <w:shd w:val="clear" w:color="auto" w:fill="auto"/>
                <w:vAlign w:val="center"/>
              </w:tcPr>
              <w:p w:rsidR="0023721B" w:rsidRPr="0023721B" w:rsidRDefault="0023721B" w:rsidP="0023721B">
                <w:pPr>
                  <w:jc w:val="right"/>
                  <w:rPr>
                    <w:sz w:val="12"/>
                    <w:szCs w:val="12"/>
                  </w:rPr>
                </w:pPr>
                <w:r w:rsidRPr="0023721B">
                  <w:rPr>
                    <w:sz w:val="12"/>
                    <w:szCs w:val="12"/>
                  </w:rPr>
                  <w:t>0</w:t>
                </w:r>
              </w:p>
            </w:tc>
          </w:tr>
          <w:tr w:rsidR="0023721B" w:rsidTr="00B1561D">
            <w:sdt>
              <w:sdtPr>
                <w:rPr>
                  <w:sz w:val="12"/>
                  <w:szCs w:val="12"/>
                </w:rPr>
                <w:tag w:val="_PLD_be1108cdf7ba464f9f4ecab9aa198103"/>
                <w:id w:val="-458411089"/>
                <w:lock w:val="sdtLocked"/>
              </w:sdtPr>
              <w:sdtContent>
                <w:tc>
                  <w:tcPr>
                    <w:tcW w:w="633" w:type="pct"/>
                    <w:shd w:val="clear" w:color="auto" w:fill="auto"/>
                  </w:tcPr>
                  <w:p w:rsidR="0023721B" w:rsidRPr="00213BC9" w:rsidRDefault="0023721B" w:rsidP="0023721B">
                    <w:pPr>
                      <w:ind w:firstLineChars="300" w:firstLine="360"/>
                      <w:rPr>
                        <w:sz w:val="12"/>
                        <w:szCs w:val="12"/>
                      </w:rPr>
                    </w:pPr>
                    <w:r w:rsidRPr="00213BC9">
                      <w:rPr>
                        <w:rFonts w:hint="eastAsia"/>
                        <w:sz w:val="12"/>
                        <w:szCs w:val="12"/>
                      </w:rPr>
                      <w:t>（1）处置或报废</w:t>
                    </w:r>
                  </w:p>
                </w:tc>
              </w:sdtContent>
            </w:sdt>
            <w:tc>
              <w:tcPr>
                <w:tcW w:w="389" w:type="pct"/>
                <w:shd w:val="clear" w:color="auto" w:fill="auto"/>
                <w:vAlign w:val="center"/>
              </w:tcPr>
              <w:p w:rsidR="0023721B" w:rsidRPr="0023721B" w:rsidRDefault="0023721B" w:rsidP="0023721B">
                <w:pPr>
                  <w:jc w:val="right"/>
                  <w:rPr>
                    <w:sz w:val="12"/>
                    <w:szCs w:val="12"/>
                  </w:rPr>
                </w:pPr>
                <w:r w:rsidRPr="0023721B">
                  <w:rPr>
                    <w:sz w:val="12"/>
                    <w:szCs w:val="12"/>
                  </w:rPr>
                  <w:t>0</w:t>
                </w:r>
              </w:p>
            </w:tc>
            <w:tc>
              <w:tcPr>
                <w:tcW w:w="389" w:type="pct"/>
                <w:shd w:val="clear" w:color="auto" w:fill="auto"/>
                <w:vAlign w:val="center"/>
              </w:tcPr>
              <w:p w:rsidR="0023721B" w:rsidRPr="0023721B" w:rsidRDefault="0023721B" w:rsidP="0023721B">
                <w:pPr>
                  <w:jc w:val="right"/>
                  <w:rPr>
                    <w:sz w:val="12"/>
                    <w:szCs w:val="12"/>
                  </w:rPr>
                </w:pPr>
                <w:r w:rsidRPr="0023721B">
                  <w:rPr>
                    <w:sz w:val="12"/>
                    <w:szCs w:val="12"/>
                  </w:rPr>
                  <w:t>0</w:t>
                </w:r>
              </w:p>
            </w:tc>
            <w:tc>
              <w:tcPr>
                <w:tcW w:w="439" w:type="pct"/>
                <w:shd w:val="clear" w:color="auto" w:fill="auto"/>
                <w:vAlign w:val="center"/>
              </w:tcPr>
              <w:p w:rsidR="0023721B" w:rsidRPr="0023721B" w:rsidRDefault="0023721B" w:rsidP="0023721B">
                <w:pPr>
                  <w:jc w:val="right"/>
                  <w:rPr>
                    <w:sz w:val="12"/>
                    <w:szCs w:val="12"/>
                  </w:rPr>
                </w:pPr>
                <w:r w:rsidRPr="0023721B">
                  <w:rPr>
                    <w:sz w:val="12"/>
                    <w:szCs w:val="12"/>
                  </w:rPr>
                  <w:t>0</w:t>
                </w:r>
              </w:p>
            </w:tc>
            <w:tc>
              <w:tcPr>
                <w:tcW w:w="389" w:type="pct"/>
                <w:shd w:val="clear" w:color="auto" w:fill="auto"/>
                <w:vAlign w:val="center"/>
              </w:tcPr>
              <w:p w:rsidR="0023721B" w:rsidRPr="0023721B" w:rsidRDefault="0023721B" w:rsidP="0023721B">
                <w:pPr>
                  <w:jc w:val="right"/>
                  <w:rPr>
                    <w:sz w:val="12"/>
                    <w:szCs w:val="12"/>
                  </w:rPr>
                </w:pPr>
                <w:r w:rsidRPr="0023721B">
                  <w:rPr>
                    <w:sz w:val="12"/>
                    <w:szCs w:val="12"/>
                  </w:rPr>
                  <w:t>0</w:t>
                </w:r>
              </w:p>
            </w:tc>
            <w:tc>
              <w:tcPr>
                <w:tcW w:w="390" w:type="pct"/>
                <w:shd w:val="clear" w:color="auto" w:fill="auto"/>
                <w:vAlign w:val="center"/>
              </w:tcPr>
              <w:p w:rsidR="0023721B" w:rsidRPr="0023721B" w:rsidRDefault="0023721B" w:rsidP="0023721B">
                <w:pPr>
                  <w:jc w:val="right"/>
                  <w:rPr>
                    <w:sz w:val="12"/>
                    <w:szCs w:val="12"/>
                  </w:rPr>
                </w:pPr>
                <w:r w:rsidRPr="0023721B">
                  <w:rPr>
                    <w:sz w:val="12"/>
                    <w:szCs w:val="12"/>
                  </w:rPr>
                  <w:t>0</w:t>
                </w:r>
              </w:p>
            </w:tc>
            <w:tc>
              <w:tcPr>
                <w:tcW w:w="388" w:type="pct"/>
                <w:shd w:val="clear" w:color="auto" w:fill="auto"/>
                <w:vAlign w:val="center"/>
              </w:tcPr>
              <w:p w:rsidR="0023721B" w:rsidRPr="0023721B" w:rsidRDefault="0023721B" w:rsidP="0023721B">
                <w:pPr>
                  <w:jc w:val="right"/>
                  <w:rPr>
                    <w:sz w:val="12"/>
                    <w:szCs w:val="12"/>
                  </w:rPr>
                </w:pPr>
                <w:r w:rsidRPr="0023721B">
                  <w:rPr>
                    <w:sz w:val="12"/>
                    <w:szCs w:val="12"/>
                  </w:rPr>
                  <w:t>0</w:t>
                </w:r>
              </w:p>
            </w:tc>
            <w:tc>
              <w:tcPr>
                <w:tcW w:w="369" w:type="pct"/>
                <w:shd w:val="clear" w:color="auto" w:fill="auto"/>
                <w:vAlign w:val="center"/>
              </w:tcPr>
              <w:p w:rsidR="0023721B" w:rsidRPr="0023721B" w:rsidRDefault="0023721B" w:rsidP="0023721B">
                <w:pPr>
                  <w:jc w:val="right"/>
                  <w:rPr>
                    <w:sz w:val="12"/>
                    <w:szCs w:val="12"/>
                  </w:rPr>
                </w:pPr>
                <w:r w:rsidRPr="0023721B">
                  <w:rPr>
                    <w:sz w:val="12"/>
                    <w:szCs w:val="12"/>
                  </w:rPr>
                  <w:t>0</w:t>
                </w:r>
              </w:p>
            </w:tc>
            <w:tc>
              <w:tcPr>
                <w:tcW w:w="404" w:type="pct"/>
                <w:shd w:val="clear" w:color="auto" w:fill="auto"/>
                <w:vAlign w:val="center"/>
              </w:tcPr>
              <w:p w:rsidR="0023721B" w:rsidRPr="0023721B" w:rsidRDefault="0023721B" w:rsidP="0023721B">
                <w:pPr>
                  <w:jc w:val="right"/>
                  <w:rPr>
                    <w:sz w:val="12"/>
                    <w:szCs w:val="12"/>
                  </w:rPr>
                </w:pPr>
                <w:r w:rsidRPr="0023721B">
                  <w:rPr>
                    <w:sz w:val="12"/>
                    <w:szCs w:val="12"/>
                  </w:rPr>
                  <w:t>0</w:t>
                </w:r>
              </w:p>
            </w:tc>
            <w:tc>
              <w:tcPr>
                <w:tcW w:w="404" w:type="pct"/>
                <w:shd w:val="clear" w:color="auto" w:fill="auto"/>
                <w:vAlign w:val="center"/>
              </w:tcPr>
              <w:p w:rsidR="0023721B" w:rsidRPr="0023721B" w:rsidRDefault="0023721B" w:rsidP="0023721B">
                <w:pPr>
                  <w:jc w:val="right"/>
                  <w:rPr>
                    <w:sz w:val="12"/>
                    <w:szCs w:val="12"/>
                  </w:rPr>
                </w:pPr>
                <w:r w:rsidRPr="0023721B">
                  <w:rPr>
                    <w:sz w:val="12"/>
                    <w:szCs w:val="12"/>
                  </w:rPr>
                  <w:t>0</w:t>
                </w:r>
              </w:p>
            </w:tc>
            <w:tc>
              <w:tcPr>
                <w:tcW w:w="404" w:type="pct"/>
                <w:shd w:val="clear" w:color="auto" w:fill="auto"/>
                <w:vAlign w:val="center"/>
              </w:tcPr>
              <w:p w:rsidR="0023721B" w:rsidRPr="0023721B" w:rsidRDefault="0023721B" w:rsidP="0023721B">
                <w:pPr>
                  <w:jc w:val="right"/>
                  <w:rPr>
                    <w:sz w:val="12"/>
                    <w:szCs w:val="12"/>
                  </w:rPr>
                </w:pPr>
                <w:r w:rsidRPr="0023721B">
                  <w:rPr>
                    <w:sz w:val="12"/>
                    <w:szCs w:val="12"/>
                  </w:rPr>
                  <w:t>0</w:t>
                </w:r>
              </w:p>
            </w:tc>
            <w:tc>
              <w:tcPr>
                <w:tcW w:w="401" w:type="pct"/>
                <w:shd w:val="clear" w:color="auto" w:fill="auto"/>
                <w:vAlign w:val="center"/>
              </w:tcPr>
              <w:p w:rsidR="0023721B" w:rsidRPr="0023721B" w:rsidRDefault="0023721B" w:rsidP="0023721B">
                <w:pPr>
                  <w:jc w:val="right"/>
                  <w:rPr>
                    <w:sz w:val="12"/>
                    <w:szCs w:val="12"/>
                  </w:rPr>
                </w:pPr>
                <w:r w:rsidRPr="0023721B">
                  <w:rPr>
                    <w:sz w:val="12"/>
                    <w:szCs w:val="12"/>
                  </w:rPr>
                  <w:t>0</w:t>
                </w:r>
              </w:p>
            </w:tc>
          </w:tr>
          <w:tr w:rsidR="0023721B" w:rsidTr="00B1561D">
            <w:sdt>
              <w:sdtPr>
                <w:rPr>
                  <w:sz w:val="12"/>
                  <w:szCs w:val="12"/>
                </w:rPr>
                <w:tag w:val="_PLD_e5054a8d4a114197af28793eadccad9b"/>
                <w:id w:val="65310508"/>
                <w:lock w:val="sdtLocked"/>
              </w:sdtPr>
              <w:sdtContent>
                <w:tc>
                  <w:tcPr>
                    <w:tcW w:w="633" w:type="pct"/>
                    <w:shd w:val="clear" w:color="auto" w:fill="auto"/>
                  </w:tcPr>
                  <w:p w:rsidR="0023721B" w:rsidRPr="00213BC9" w:rsidRDefault="0023721B" w:rsidP="0023721B">
                    <w:pPr>
                      <w:ind w:firstLineChars="200" w:firstLine="240"/>
                      <w:rPr>
                        <w:sz w:val="12"/>
                        <w:szCs w:val="12"/>
                      </w:rPr>
                    </w:pPr>
                    <w:r w:rsidRPr="00213BC9">
                      <w:rPr>
                        <w:rFonts w:hint="eastAsia"/>
                        <w:sz w:val="12"/>
                        <w:szCs w:val="12"/>
                      </w:rPr>
                      <w:t>4.期末余额</w:t>
                    </w:r>
                  </w:p>
                </w:tc>
              </w:sdtContent>
            </w:sdt>
            <w:tc>
              <w:tcPr>
                <w:tcW w:w="389" w:type="pct"/>
                <w:shd w:val="clear" w:color="auto" w:fill="auto"/>
                <w:vAlign w:val="center"/>
              </w:tcPr>
              <w:p w:rsidR="0023721B" w:rsidRPr="0023721B" w:rsidRDefault="0023721B" w:rsidP="0023721B">
                <w:pPr>
                  <w:jc w:val="right"/>
                  <w:rPr>
                    <w:sz w:val="12"/>
                    <w:szCs w:val="12"/>
                  </w:rPr>
                </w:pPr>
                <w:r w:rsidRPr="0023721B">
                  <w:rPr>
                    <w:sz w:val="12"/>
                    <w:szCs w:val="12"/>
                  </w:rPr>
                  <w:t>672,252</w:t>
                </w:r>
              </w:p>
            </w:tc>
            <w:tc>
              <w:tcPr>
                <w:tcW w:w="389" w:type="pct"/>
                <w:shd w:val="clear" w:color="auto" w:fill="auto"/>
                <w:vAlign w:val="center"/>
              </w:tcPr>
              <w:p w:rsidR="0023721B" w:rsidRPr="0023721B" w:rsidRDefault="005237FC" w:rsidP="0023721B">
                <w:pPr>
                  <w:jc w:val="right"/>
                  <w:rPr>
                    <w:sz w:val="12"/>
                    <w:szCs w:val="12"/>
                  </w:rPr>
                </w:pPr>
                <w:r>
                  <w:rPr>
                    <w:sz w:val="12"/>
                    <w:szCs w:val="12"/>
                  </w:rPr>
                  <w:t>0</w:t>
                </w:r>
              </w:p>
            </w:tc>
            <w:tc>
              <w:tcPr>
                <w:tcW w:w="439" w:type="pct"/>
                <w:shd w:val="clear" w:color="auto" w:fill="auto"/>
                <w:vAlign w:val="center"/>
              </w:tcPr>
              <w:p w:rsidR="0023721B" w:rsidRPr="0023721B" w:rsidRDefault="0023721B" w:rsidP="0023721B">
                <w:pPr>
                  <w:jc w:val="right"/>
                  <w:rPr>
                    <w:sz w:val="12"/>
                    <w:szCs w:val="12"/>
                  </w:rPr>
                </w:pPr>
                <w:r w:rsidRPr="0023721B">
                  <w:rPr>
                    <w:sz w:val="12"/>
                    <w:szCs w:val="12"/>
                  </w:rPr>
                  <w:t>49,168,780</w:t>
                </w:r>
              </w:p>
            </w:tc>
            <w:tc>
              <w:tcPr>
                <w:tcW w:w="389" w:type="pct"/>
                <w:shd w:val="clear" w:color="auto" w:fill="auto"/>
                <w:vAlign w:val="center"/>
              </w:tcPr>
              <w:p w:rsidR="0023721B" w:rsidRPr="0023721B" w:rsidRDefault="005237FC" w:rsidP="0023721B">
                <w:pPr>
                  <w:jc w:val="right"/>
                  <w:rPr>
                    <w:sz w:val="12"/>
                    <w:szCs w:val="12"/>
                  </w:rPr>
                </w:pPr>
                <w:r>
                  <w:rPr>
                    <w:sz w:val="12"/>
                    <w:szCs w:val="12"/>
                  </w:rPr>
                  <w:t>0</w:t>
                </w:r>
              </w:p>
            </w:tc>
            <w:tc>
              <w:tcPr>
                <w:tcW w:w="390" w:type="pct"/>
                <w:shd w:val="clear" w:color="auto" w:fill="auto"/>
                <w:vAlign w:val="center"/>
              </w:tcPr>
              <w:p w:rsidR="0023721B" w:rsidRPr="0023721B" w:rsidRDefault="005237FC" w:rsidP="0023721B">
                <w:pPr>
                  <w:jc w:val="right"/>
                  <w:rPr>
                    <w:sz w:val="12"/>
                    <w:szCs w:val="12"/>
                  </w:rPr>
                </w:pPr>
                <w:r>
                  <w:rPr>
                    <w:sz w:val="12"/>
                    <w:szCs w:val="12"/>
                  </w:rPr>
                  <w:t>0</w:t>
                </w:r>
              </w:p>
            </w:tc>
            <w:tc>
              <w:tcPr>
                <w:tcW w:w="388" w:type="pct"/>
                <w:shd w:val="clear" w:color="auto" w:fill="auto"/>
                <w:vAlign w:val="center"/>
              </w:tcPr>
              <w:p w:rsidR="0023721B" w:rsidRPr="0023721B" w:rsidRDefault="005237FC" w:rsidP="0023721B">
                <w:pPr>
                  <w:jc w:val="right"/>
                  <w:rPr>
                    <w:sz w:val="12"/>
                    <w:szCs w:val="12"/>
                  </w:rPr>
                </w:pPr>
                <w:r>
                  <w:rPr>
                    <w:sz w:val="12"/>
                    <w:szCs w:val="12"/>
                  </w:rPr>
                  <w:t>0</w:t>
                </w:r>
              </w:p>
            </w:tc>
            <w:tc>
              <w:tcPr>
                <w:tcW w:w="369" w:type="pct"/>
                <w:shd w:val="clear" w:color="auto" w:fill="auto"/>
                <w:vAlign w:val="center"/>
              </w:tcPr>
              <w:p w:rsidR="0023721B" w:rsidRPr="0023721B" w:rsidRDefault="005237FC" w:rsidP="0023721B">
                <w:pPr>
                  <w:jc w:val="right"/>
                  <w:rPr>
                    <w:sz w:val="12"/>
                    <w:szCs w:val="12"/>
                  </w:rPr>
                </w:pPr>
                <w:r>
                  <w:rPr>
                    <w:sz w:val="12"/>
                    <w:szCs w:val="12"/>
                  </w:rPr>
                  <w:t>0</w:t>
                </w:r>
              </w:p>
            </w:tc>
            <w:tc>
              <w:tcPr>
                <w:tcW w:w="404" w:type="pct"/>
                <w:shd w:val="clear" w:color="auto" w:fill="auto"/>
                <w:vAlign w:val="center"/>
              </w:tcPr>
              <w:p w:rsidR="0023721B" w:rsidRPr="0023721B" w:rsidRDefault="005237FC" w:rsidP="0023721B">
                <w:pPr>
                  <w:jc w:val="right"/>
                  <w:rPr>
                    <w:sz w:val="12"/>
                    <w:szCs w:val="12"/>
                  </w:rPr>
                </w:pPr>
                <w:r>
                  <w:rPr>
                    <w:sz w:val="12"/>
                    <w:szCs w:val="12"/>
                  </w:rPr>
                  <w:t>0</w:t>
                </w:r>
              </w:p>
            </w:tc>
            <w:tc>
              <w:tcPr>
                <w:tcW w:w="404" w:type="pct"/>
                <w:shd w:val="clear" w:color="auto" w:fill="auto"/>
                <w:vAlign w:val="center"/>
              </w:tcPr>
              <w:p w:rsidR="0023721B" w:rsidRPr="0023721B" w:rsidRDefault="005237FC" w:rsidP="0023721B">
                <w:pPr>
                  <w:jc w:val="right"/>
                  <w:rPr>
                    <w:sz w:val="12"/>
                    <w:szCs w:val="12"/>
                  </w:rPr>
                </w:pPr>
                <w:r>
                  <w:rPr>
                    <w:sz w:val="12"/>
                    <w:szCs w:val="12"/>
                  </w:rPr>
                  <w:t>0</w:t>
                </w:r>
              </w:p>
            </w:tc>
            <w:tc>
              <w:tcPr>
                <w:tcW w:w="404" w:type="pct"/>
                <w:shd w:val="clear" w:color="auto" w:fill="auto"/>
                <w:vAlign w:val="center"/>
              </w:tcPr>
              <w:p w:rsidR="0023721B" w:rsidRPr="0023721B" w:rsidRDefault="005237FC" w:rsidP="0023721B">
                <w:pPr>
                  <w:jc w:val="right"/>
                  <w:rPr>
                    <w:sz w:val="12"/>
                    <w:szCs w:val="12"/>
                  </w:rPr>
                </w:pPr>
                <w:r>
                  <w:rPr>
                    <w:sz w:val="12"/>
                    <w:szCs w:val="12"/>
                  </w:rPr>
                  <w:t>0</w:t>
                </w:r>
              </w:p>
            </w:tc>
            <w:tc>
              <w:tcPr>
                <w:tcW w:w="401" w:type="pct"/>
                <w:shd w:val="clear" w:color="auto" w:fill="auto"/>
                <w:vAlign w:val="center"/>
              </w:tcPr>
              <w:p w:rsidR="0023721B" w:rsidRPr="0023721B" w:rsidRDefault="0023721B" w:rsidP="0023721B">
                <w:pPr>
                  <w:jc w:val="right"/>
                  <w:rPr>
                    <w:sz w:val="12"/>
                    <w:szCs w:val="12"/>
                  </w:rPr>
                </w:pPr>
                <w:r w:rsidRPr="0023721B">
                  <w:rPr>
                    <w:sz w:val="12"/>
                    <w:szCs w:val="12"/>
                  </w:rPr>
                  <w:t>49,841,032</w:t>
                </w:r>
              </w:p>
            </w:tc>
          </w:tr>
          <w:tr w:rsidR="0023721B" w:rsidRPr="0023721B" w:rsidTr="00B1561D">
            <w:trPr>
              <w:gridAfter w:val="11"/>
              <w:wAfter w:w="4367" w:type="pct"/>
            </w:trPr>
            <w:sdt>
              <w:sdtPr>
                <w:rPr>
                  <w:sz w:val="12"/>
                  <w:szCs w:val="12"/>
                </w:rPr>
                <w:tag w:val="_PLD_e1d51c426bd84ffbb9a1a19b00d3b374"/>
                <w:id w:val="-323348415"/>
                <w:lock w:val="sdtLocked"/>
              </w:sdtPr>
              <w:sdtContent>
                <w:tc>
                  <w:tcPr>
                    <w:tcW w:w="633" w:type="pct"/>
                    <w:shd w:val="clear" w:color="auto" w:fill="auto"/>
                  </w:tcPr>
                  <w:p w:rsidR="0023721B" w:rsidRPr="00213BC9" w:rsidRDefault="0023721B" w:rsidP="0023721B">
                    <w:pPr>
                      <w:rPr>
                        <w:sz w:val="12"/>
                        <w:szCs w:val="12"/>
                      </w:rPr>
                    </w:pPr>
                    <w:r w:rsidRPr="00213BC9">
                      <w:rPr>
                        <w:rFonts w:hint="eastAsia"/>
                        <w:sz w:val="12"/>
                        <w:szCs w:val="12"/>
                      </w:rPr>
                      <w:t>四、账面价值</w:t>
                    </w:r>
                  </w:p>
                </w:tc>
              </w:sdtContent>
            </w:sdt>
          </w:tr>
          <w:tr w:rsidR="0023721B" w:rsidTr="00B1561D">
            <w:sdt>
              <w:sdtPr>
                <w:rPr>
                  <w:sz w:val="12"/>
                  <w:szCs w:val="12"/>
                </w:rPr>
                <w:tag w:val="_PLD_438ac9fdebc24597a2bc032145166ee7"/>
                <w:id w:val="-828357281"/>
                <w:lock w:val="sdtLocked"/>
              </w:sdtPr>
              <w:sdtContent>
                <w:tc>
                  <w:tcPr>
                    <w:tcW w:w="633" w:type="pct"/>
                    <w:shd w:val="clear" w:color="auto" w:fill="auto"/>
                  </w:tcPr>
                  <w:p w:rsidR="0023721B" w:rsidRPr="00213BC9" w:rsidRDefault="0023721B" w:rsidP="0023721B">
                    <w:pPr>
                      <w:ind w:firstLineChars="200" w:firstLine="240"/>
                      <w:rPr>
                        <w:sz w:val="12"/>
                        <w:szCs w:val="12"/>
                      </w:rPr>
                    </w:pPr>
                    <w:r w:rsidRPr="00213BC9">
                      <w:rPr>
                        <w:rFonts w:hint="eastAsia"/>
                        <w:sz w:val="12"/>
                        <w:szCs w:val="12"/>
                      </w:rPr>
                      <w:t>1.期末账面价值</w:t>
                    </w:r>
                  </w:p>
                </w:tc>
              </w:sdtContent>
            </w:sdt>
            <w:tc>
              <w:tcPr>
                <w:tcW w:w="389" w:type="pct"/>
                <w:shd w:val="clear" w:color="auto" w:fill="auto"/>
                <w:vAlign w:val="center"/>
              </w:tcPr>
              <w:p w:rsidR="0023721B" w:rsidRPr="0023721B" w:rsidRDefault="0023721B" w:rsidP="0023721B">
                <w:pPr>
                  <w:jc w:val="right"/>
                  <w:rPr>
                    <w:sz w:val="12"/>
                    <w:szCs w:val="12"/>
                  </w:rPr>
                </w:pPr>
                <w:r w:rsidRPr="0023721B">
                  <w:rPr>
                    <w:sz w:val="12"/>
                    <w:szCs w:val="12"/>
                  </w:rPr>
                  <w:t>8,858,487,711</w:t>
                </w:r>
              </w:p>
            </w:tc>
            <w:tc>
              <w:tcPr>
                <w:tcW w:w="389" w:type="pct"/>
                <w:shd w:val="clear" w:color="auto" w:fill="auto"/>
                <w:vAlign w:val="center"/>
              </w:tcPr>
              <w:p w:rsidR="0023721B" w:rsidRPr="0023721B" w:rsidRDefault="0023721B" w:rsidP="0023721B">
                <w:pPr>
                  <w:jc w:val="right"/>
                  <w:rPr>
                    <w:sz w:val="12"/>
                    <w:szCs w:val="12"/>
                  </w:rPr>
                </w:pPr>
                <w:r w:rsidRPr="0023721B">
                  <w:rPr>
                    <w:sz w:val="12"/>
                    <w:szCs w:val="12"/>
                  </w:rPr>
                  <w:t>26,456,559,774</w:t>
                </w:r>
              </w:p>
            </w:tc>
            <w:tc>
              <w:tcPr>
                <w:tcW w:w="439" w:type="pct"/>
                <w:shd w:val="clear" w:color="auto" w:fill="auto"/>
                <w:vAlign w:val="center"/>
              </w:tcPr>
              <w:p w:rsidR="0023721B" w:rsidRPr="0023721B" w:rsidRDefault="0023721B" w:rsidP="0023721B">
                <w:pPr>
                  <w:jc w:val="right"/>
                  <w:rPr>
                    <w:sz w:val="12"/>
                    <w:szCs w:val="12"/>
                  </w:rPr>
                </w:pPr>
                <w:r w:rsidRPr="0023721B">
                  <w:rPr>
                    <w:sz w:val="12"/>
                    <w:szCs w:val="12"/>
                  </w:rPr>
                  <w:t>45,455,446,131</w:t>
                </w:r>
              </w:p>
            </w:tc>
            <w:tc>
              <w:tcPr>
                <w:tcW w:w="389" w:type="pct"/>
                <w:shd w:val="clear" w:color="auto" w:fill="auto"/>
                <w:vAlign w:val="center"/>
              </w:tcPr>
              <w:p w:rsidR="0023721B" w:rsidRPr="0023721B" w:rsidRDefault="0023721B" w:rsidP="0023721B">
                <w:pPr>
                  <w:jc w:val="right"/>
                  <w:rPr>
                    <w:sz w:val="12"/>
                    <w:szCs w:val="12"/>
                  </w:rPr>
                </w:pPr>
                <w:r w:rsidRPr="0023721B">
                  <w:rPr>
                    <w:sz w:val="12"/>
                    <w:szCs w:val="12"/>
                  </w:rPr>
                  <w:t>1,897,611,748</w:t>
                </w:r>
              </w:p>
            </w:tc>
            <w:tc>
              <w:tcPr>
                <w:tcW w:w="390" w:type="pct"/>
                <w:shd w:val="clear" w:color="auto" w:fill="auto"/>
                <w:vAlign w:val="center"/>
              </w:tcPr>
              <w:p w:rsidR="0023721B" w:rsidRPr="0023721B" w:rsidRDefault="0023721B" w:rsidP="0023721B">
                <w:pPr>
                  <w:jc w:val="right"/>
                  <w:rPr>
                    <w:sz w:val="12"/>
                    <w:szCs w:val="12"/>
                  </w:rPr>
                </w:pPr>
                <w:r w:rsidRPr="0023721B">
                  <w:rPr>
                    <w:sz w:val="12"/>
                    <w:szCs w:val="12"/>
                  </w:rPr>
                  <w:t>1,236,956,258</w:t>
                </w:r>
              </w:p>
            </w:tc>
            <w:tc>
              <w:tcPr>
                <w:tcW w:w="388" w:type="pct"/>
                <w:shd w:val="clear" w:color="auto" w:fill="auto"/>
                <w:vAlign w:val="center"/>
              </w:tcPr>
              <w:p w:rsidR="0023721B" w:rsidRPr="0023721B" w:rsidRDefault="0023721B" w:rsidP="0023721B">
                <w:pPr>
                  <w:jc w:val="right"/>
                  <w:rPr>
                    <w:sz w:val="12"/>
                    <w:szCs w:val="12"/>
                  </w:rPr>
                </w:pPr>
                <w:r w:rsidRPr="0023721B">
                  <w:rPr>
                    <w:sz w:val="12"/>
                    <w:szCs w:val="12"/>
                  </w:rPr>
                  <w:t>693,699,243</w:t>
                </w:r>
              </w:p>
            </w:tc>
            <w:tc>
              <w:tcPr>
                <w:tcW w:w="369" w:type="pct"/>
                <w:shd w:val="clear" w:color="auto" w:fill="auto"/>
                <w:vAlign w:val="center"/>
              </w:tcPr>
              <w:p w:rsidR="0023721B" w:rsidRPr="0023721B" w:rsidRDefault="0023721B" w:rsidP="0023721B">
                <w:pPr>
                  <w:jc w:val="right"/>
                  <w:rPr>
                    <w:sz w:val="12"/>
                    <w:szCs w:val="12"/>
                  </w:rPr>
                </w:pPr>
                <w:r w:rsidRPr="0023721B">
                  <w:rPr>
                    <w:sz w:val="12"/>
                    <w:szCs w:val="12"/>
                  </w:rPr>
                  <w:t>266,293,418</w:t>
                </w:r>
              </w:p>
            </w:tc>
            <w:tc>
              <w:tcPr>
                <w:tcW w:w="404" w:type="pct"/>
                <w:shd w:val="clear" w:color="auto" w:fill="auto"/>
                <w:vAlign w:val="center"/>
              </w:tcPr>
              <w:p w:rsidR="0023721B" w:rsidRPr="0023721B" w:rsidRDefault="0023721B" w:rsidP="0023721B">
                <w:pPr>
                  <w:jc w:val="right"/>
                  <w:rPr>
                    <w:sz w:val="12"/>
                    <w:szCs w:val="12"/>
                  </w:rPr>
                </w:pPr>
                <w:r w:rsidRPr="0023721B">
                  <w:rPr>
                    <w:sz w:val="12"/>
                    <w:szCs w:val="12"/>
                  </w:rPr>
                  <w:t>1,373,759,944</w:t>
                </w:r>
              </w:p>
            </w:tc>
            <w:tc>
              <w:tcPr>
                <w:tcW w:w="404" w:type="pct"/>
                <w:shd w:val="clear" w:color="auto" w:fill="auto"/>
                <w:vAlign w:val="center"/>
              </w:tcPr>
              <w:p w:rsidR="0023721B" w:rsidRPr="0023721B" w:rsidRDefault="0023721B" w:rsidP="0023721B">
                <w:pPr>
                  <w:jc w:val="right"/>
                  <w:rPr>
                    <w:sz w:val="12"/>
                    <w:szCs w:val="12"/>
                  </w:rPr>
                </w:pPr>
                <w:r w:rsidRPr="0023721B">
                  <w:rPr>
                    <w:sz w:val="12"/>
                    <w:szCs w:val="12"/>
                  </w:rPr>
                  <w:t>642,456,354</w:t>
                </w:r>
              </w:p>
            </w:tc>
            <w:tc>
              <w:tcPr>
                <w:tcW w:w="404" w:type="pct"/>
                <w:shd w:val="clear" w:color="auto" w:fill="auto"/>
                <w:vAlign w:val="center"/>
              </w:tcPr>
              <w:p w:rsidR="0023721B" w:rsidRPr="0023721B" w:rsidRDefault="0023721B" w:rsidP="0023721B">
                <w:pPr>
                  <w:jc w:val="right"/>
                  <w:rPr>
                    <w:sz w:val="12"/>
                    <w:szCs w:val="12"/>
                  </w:rPr>
                </w:pPr>
                <w:r w:rsidRPr="0023721B">
                  <w:rPr>
                    <w:sz w:val="12"/>
                    <w:szCs w:val="12"/>
                  </w:rPr>
                  <w:t>181,043,901</w:t>
                </w:r>
              </w:p>
            </w:tc>
            <w:tc>
              <w:tcPr>
                <w:tcW w:w="401" w:type="pct"/>
                <w:shd w:val="clear" w:color="auto" w:fill="auto"/>
                <w:vAlign w:val="center"/>
              </w:tcPr>
              <w:p w:rsidR="0023721B" w:rsidRPr="0023721B" w:rsidRDefault="0023721B" w:rsidP="0023721B">
                <w:pPr>
                  <w:jc w:val="right"/>
                  <w:rPr>
                    <w:sz w:val="12"/>
                    <w:szCs w:val="12"/>
                  </w:rPr>
                </w:pPr>
                <w:r w:rsidRPr="0023721B">
                  <w:rPr>
                    <w:sz w:val="12"/>
                    <w:szCs w:val="12"/>
                  </w:rPr>
                  <w:t>87,062,314,482</w:t>
                </w:r>
              </w:p>
            </w:tc>
          </w:tr>
          <w:tr w:rsidR="0023721B" w:rsidTr="00B1561D">
            <w:sdt>
              <w:sdtPr>
                <w:rPr>
                  <w:sz w:val="12"/>
                  <w:szCs w:val="12"/>
                </w:rPr>
                <w:tag w:val="_PLD_a86278e1e7584f56b206aaea009ce23d"/>
                <w:id w:val="-1337379981"/>
                <w:lock w:val="sdtLocked"/>
              </w:sdtPr>
              <w:sdtContent>
                <w:tc>
                  <w:tcPr>
                    <w:tcW w:w="633" w:type="pct"/>
                    <w:shd w:val="clear" w:color="auto" w:fill="auto"/>
                  </w:tcPr>
                  <w:p w:rsidR="0023721B" w:rsidRPr="00213BC9" w:rsidRDefault="0023721B" w:rsidP="0023721B">
                    <w:pPr>
                      <w:ind w:firstLineChars="200" w:firstLine="240"/>
                      <w:rPr>
                        <w:sz w:val="12"/>
                        <w:szCs w:val="12"/>
                      </w:rPr>
                    </w:pPr>
                    <w:r w:rsidRPr="00213BC9">
                      <w:rPr>
                        <w:rFonts w:hint="eastAsia"/>
                        <w:sz w:val="12"/>
                        <w:szCs w:val="12"/>
                      </w:rPr>
                      <w:t>2.期初账面价值</w:t>
                    </w:r>
                  </w:p>
                </w:tc>
              </w:sdtContent>
            </w:sdt>
            <w:tc>
              <w:tcPr>
                <w:tcW w:w="389" w:type="pct"/>
                <w:shd w:val="clear" w:color="auto" w:fill="auto"/>
                <w:vAlign w:val="center"/>
              </w:tcPr>
              <w:p w:rsidR="0023721B" w:rsidRPr="0023721B" w:rsidRDefault="0023721B" w:rsidP="0023721B">
                <w:pPr>
                  <w:jc w:val="right"/>
                  <w:rPr>
                    <w:sz w:val="12"/>
                    <w:szCs w:val="12"/>
                  </w:rPr>
                </w:pPr>
                <w:r w:rsidRPr="0023721B">
                  <w:rPr>
                    <w:sz w:val="12"/>
                    <w:szCs w:val="12"/>
                  </w:rPr>
                  <w:t>9,057,689,338</w:t>
                </w:r>
              </w:p>
            </w:tc>
            <w:tc>
              <w:tcPr>
                <w:tcW w:w="389" w:type="pct"/>
                <w:shd w:val="clear" w:color="auto" w:fill="auto"/>
                <w:vAlign w:val="center"/>
              </w:tcPr>
              <w:p w:rsidR="0023721B" w:rsidRPr="0023721B" w:rsidRDefault="0023721B" w:rsidP="0023721B">
                <w:pPr>
                  <w:jc w:val="right"/>
                  <w:rPr>
                    <w:sz w:val="12"/>
                    <w:szCs w:val="12"/>
                  </w:rPr>
                </w:pPr>
                <w:r w:rsidRPr="0023721B">
                  <w:rPr>
                    <w:sz w:val="12"/>
                    <w:szCs w:val="12"/>
                  </w:rPr>
                  <w:t>25,898,538,500</w:t>
                </w:r>
              </w:p>
            </w:tc>
            <w:tc>
              <w:tcPr>
                <w:tcW w:w="439" w:type="pct"/>
                <w:shd w:val="clear" w:color="auto" w:fill="auto"/>
                <w:vAlign w:val="center"/>
              </w:tcPr>
              <w:p w:rsidR="0023721B" w:rsidRPr="0023721B" w:rsidRDefault="0023721B" w:rsidP="0023721B">
                <w:pPr>
                  <w:jc w:val="right"/>
                  <w:rPr>
                    <w:sz w:val="12"/>
                    <w:szCs w:val="12"/>
                  </w:rPr>
                </w:pPr>
                <w:r w:rsidRPr="0023721B">
                  <w:rPr>
                    <w:sz w:val="12"/>
                    <w:szCs w:val="12"/>
                  </w:rPr>
                  <w:t>45,101,565,145</w:t>
                </w:r>
              </w:p>
            </w:tc>
            <w:tc>
              <w:tcPr>
                <w:tcW w:w="389" w:type="pct"/>
                <w:shd w:val="clear" w:color="auto" w:fill="auto"/>
                <w:vAlign w:val="center"/>
              </w:tcPr>
              <w:p w:rsidR="0023721B" w:rsidRPr="0023721B" w:rsidRDefault="0023721B" w:rsidP="0023721B">
                <w:pPr>
                  <w:jc w:val="right"/>
                  <w:rPr>
                    <w:sz w:val="12"/>
                    <w:szCs w:val="12"/>
                  </w:rPr>
                </w:pPr>
                <w:r w:rsidRPr="0023721B">
                  <w:rPr>
                    <w:sz w:val="12"/>
                    <w:szCs w:val="12"/>
                  </w:rPr>
                  <w:t>2,158,959,395</w:t>
                </w:r>
              </w:p>
            </w:tc>
            <w:tc>
              <w:tcPr>
                <w:tcW w:w="390" w:type="pct"/>
                <w:shd w:val="clear" w:color="auto" w:fill="auto"/>
                <w:vAlign w:val="center"/>
              </w:tcPr>
              <w:p w:rsidR="0023721B" w:rsidRPr="0023721B" w:rsidRDefault="0023721B" w:rsidP="0023721B">
                <w:pPr>
                  <w:jc w:val="right"/>
                  <w:rPr>
                    <w:sz w:val="12"/>
                    <w:szCs w:val="12"/>
                  </w:rPr>
                </w:pPr>
                <w:r w:rsidRPr="0023721B">
                  <w:rPr>
                    <w:sz w:val="12"/>
                    <w:szCs w:val="12"/>
                  </w:rPr>
                  <w:t>1,334,625,639</w:t>
                </w:r>
              </w:p>
            </w:tc>
            <w:tc>
              <w:tcPr>
                <w:tcW w:w="388" w:type="pct"/>
                <w:shd w:val="clear" w:color="auto" w:fill="auto"/>
                <w:vAlign w:val="center"/>
              </w:tcPr>
              <w:p w:rsidR="0023721B" w:rsidRPr="0023721B" w:rsidRDefault="0023721B" w:rsidP="0023721B">
                <w:pPr>
                  <w:jc w:val="right"/>
                  <w:rPr>
                    <w:sz w:val="12"/>
                    <w:szCs w:val="12"/>
                  </w:rPr>
                </w:pPr>
                <w:r w:rsidRPr="0023721B">
                  <w:rPr>
                    <w:sz w:val="12"/>
                    <w:szCs w:val="12"/>
                  </w:rPr>
                  <w:t>767,101,291</w:t>
                </w:r>
              </w:p>
            </w:tc>
            <w:tc>
              <w:tcPr>
                <w:tcW w:w="369" w:type="pct"/>
                <w:shd w:val="clear" w:color="auto" w:fill="auto"/>
                <w:vAlign w:val="center"/>
              </w:tcPr>
              <w:p w:rsidR="0023721B" w:rsidRPr="0023721B" w:rsidRDefault="0023721B" w:rsidP="0023721B">
                <w:pPr>
                  <w:jc w:val="right"/>
                  <w:rPr>
                    <w:sz w:val="12"/>
                    <w:szCs w:val="12"/>
                  </w:rPr>
                </w:pPr>
                <w:r w:rsidRPr="0023721B">
                  <w:rPr>
                    <w:sz w:val="12"/>
                    <w:szCs w:val="12"/>
                  </w:rPr>
                  <w:t>247,600,760</w:t>
                </w:r>
              </w:p>
            </w:tc>
            <w:tc>
              <w:tcPr>
                <w:tcW w:w="404" w:type="pct"/>
                <w:shd w:val="clear" w:color="auto" w:fill="auto"/>
                <w:vAlign w:val="center"/>
              </w:tcPr>
              <w:p w:rsidR="0023721B" w:rsidRPr="0023721B" w:rsidRDefault="0023721B" w:rsidP="0023721B">
                <w:pPr>
                  <w:jc w:val="right"/>
                  <w:rPr>
                    <w:sz w:val="12"/>
                    <w:szCs w:val="12"/>
                  </w:rPr>
                </w:pPr>
                <w:r w:rsidRPr="0023721B">
                  <w:rPr>
                    <w:sz w:val="12"/>
                    <w:szCs w:val="12"/>
                  </w:rPr>
                  <w:t>1,424,622,855</w:t>
                </w:r>
              </w:p>
            </w:tc>
            <w:tc>
              <w:tcPr>
                <w:tcW w:w="404" w:type="pct"/>
                <w:shd w:val="clear" w:color="auto" w:fill="auto"/>
                <w:vAlign w:val="center"/>
              </w:tcPr>
              <w:p w:rsidR="0023721B" w:rsidRPr="0023721B" w:rsidRDefault="0023721B" w:rsidP="0023721B">
                <w:pPr>
                  <w:jc w:val="right"/>
                  <w:rPr>
                    <w:sz w:val="12"/>
                    <w:szCs w:val="12"/>
                  </w:rPr>
                </w:pPr>
                <w:r w:rsidRPr="0023721B">
                  <w:rPr>
                    <w:sz w:val="12"/>
                    <w:szCs w:val="12"/>
                  </w:rPr>
                  <w:t>697,617,210</w:t>
                </w:r>
              </w:p>
            </w:tc>
            <w:tc>
              <w:tcPr>
                <w:tcW w:w="404" w:type="pct"/>
                <w:shd w:val="clear" w:color="auto" w:fill="auto"/>
                <w:vAlign w:val="center"/>
              </w:tcPr>
              <w:p w:rsidR="0023721B" w:rsidRPr="0023721B" w:rsidRDefault="0023721B" w:rsidP="0023721B">
                <w:pPr>
                  <w:jc w:val="right"/>
                  <w:rPr>
                    <w:sz w:val="12"/>
                    <w:szCs w:val="12"/>
                  </w:rPr>
                </w:pPr>
                <w:r w:rsidRPr="0023721B">
                  <w:rPr>
                    <w:sz w:val="12"/>
                    <w:szCs w:val="12"/>
                  </w:rPr>
                  <w:t>210,994,067</w:t>
                </w:r>
              </w:p>
            </w:tc>
            <w:tc>
              <w:tcPr>
                <w:tcW w:w="401" w:type="pct"/>
                <w:shd w:val="clear" w:color="auto" w:fill="auto"/>
                <w:vAlign w:val="center"/>
              </w:tcPr>
              <w:p w:rsidR="0023721B" w:rsidRPr="0023721B" w:rsidRDefault="0023721B" w:rsidP="0023721B">
                <w:pPr>
                  <w:jc w:val="right"/>
                  <w:rPr>
                    <w:sz w:val="12"/>
                    <w:szCs w:val="12"/>
                  </w:rPr>
                </w:pPr>
                <w:r w:rsidRPr="0023721B">
                  <w:rPr>
                    <w:sz w:val="12"/>
                    <w:szCs w:val="12"/>
                  </w:rPr>
                  <w:t>86,899,314,200</w:t>
                </w:r>
              </w:p>
            </w:tc>
          </w:tr>
        </w:tbl>
        <w:p w:rsidR="000A517F" w:rsidRDefault="000A517F">
          <w:pPr>
            <w:rPr>
              <w:szCs w:val="21"/>
            </w:rPr>
            <w:sectPr w:rsidR="000A517F" w:rsidSect="000A517F">
              <w:pgSz w:w="16838" w:h="11906" w:orient="landscape"/>
              <w:pgMar w:top="1276" w:right="1440" w:bottom="1797" w:left="1525" w:header="856" w:footer="992" w:gutter="0"/>
              <w:cols w:space="425"/>
              <w:docGrid w:type="lines" w:linePitch="312"/>
            </w:sectPr>
          </w:pPr>
        </w:p>
        <w:p w:rsidR="00806678" w:rsidRDefault="00F80B6C">
          <w:pPr>
            <w:rPr>
              <w:szCs w:val="21"/>
            </w:rPr>
          </w:pPr>
        </w:p>
      </w:sdtContent>
    </w:sdt>
    <w:sdt>
      <w:sdtPr>
        <w:rPr>
          <w:rFonts w:ascii="宋体" w:eastAsia="宋体" w:hAnsi="宋体" w:cs="宋体" w:hint="eastAsia"/>
          <w:b w:val="0"/>
          <w:bCs w:val="0"/>
          <w:kern w:val="0"/>
          <w:szCs w:val="24"/>
        </w:rPr>
        <w:alias w:val="模块:暂时闲置的固定资产情况"/>
        <w:tag w:val="_SEC_784fb493affa41d8985f9e8a71213cf9"/>
        <w:id w:val="1545488515"/>
        <w:lock w:val="sdtLocked"/>
        <w:placeholder>
          <w:docPart w:val="GBC22222222222222222222222222222"/>
        </w:placeholder>
      </w:sdtPr>
      <w:sdtEndPr>
        <w:rPr>
          <w:rFonts w:hint="default"/>
        </w:rPr>
      </w:sdtEndPr>
      <w:sdtContent>
        <w:p w:rsidR="00806678" w:rsidRDefault="00B16377" w:rsidP="00FF17C7">
          <w:pPr>
            <w:pStyle w:val="4"/>
            <w:numPr>
              <w:ilvl w:val="3"/>
              <w:numId w:val="85"/>
            </w:numPr>
            <w:ind w:left="426" w:hanging="426"/>
          </w:pPr>
          <w:r>
            <w:rPr>
              <w:rFonts w:hint="eastAsia"/>
            </w:rPr>
            <w:t>暂时闲置的固定资产情况</w:t>
          </w:r>
        </w:p>
        <w:sdt>
          <w:sdtPr>
            <w:alias w:val="是否适用：暂时闲置的固定资产情况[双击切换]"/>
            <w:tag w:val="_GBC_2fdfdf37e427442eb50e14c905c59fbe"/>
            <w:id w:val="1337738535"/>
            <w:lock w:val="sdtLocked"/>
            <w:placeholder>
              <w:docPart w:val="GBC22222222222222222222222222222"/>
            </w:placeholder>
          </w:sdtPr>
          <w:sdtContent>
            <w:p w:rsidR="00806678" w:rsidRDefault="00F80B6C" w:rsidP="006654E2">
              <w:r>
                <w:fldChar w:fldCharType="begin"/>
              </w:r>
              <w:r w:rsidR="006654E2">
                <w:instrText xml:space="preserve">MACROBUTTON  SnrToggleCheckbox □适用 </w:instrText>
              </w:r>
              <w:r>
                <w:fldChar w:fldCharType="end"/>
              </w:r>
              <w:r>
                <w:fldChar w:fldCharType="begin"/>
              </w:r>
              <w:r w:rsidR="006654E2">
                <w:instrText xml:space="preserve"> MACROBUTTON  SnrToggleCheckbox √不适用 </w:instrText>
              </w:r>
              <w:r>
                <w:fldChar w:fldCharType="end"/>
              </w:r>
            </w:p>
          </w:sdtContent>
        </w:sdt>
      </w:sdtContent>
    </w:sdt>
    <w:sdt>
      <w:sdtPr>
        <w:rPr>
          <w:rFonts w:ascii="宋体" w:eastAsia="宋体" w:hAnsi="宋体" w:cs="宋体" w:hint="eastAsia"/>
          <w:b w:val="0"/>
          <w:bCs w:val="0"/>
          <w:kern w:val="0"/>
          <w:szCs w:val="24"/>
        </w:rPr>
        <w:alias w:val="模块:通过融资租赁租入的固定资产情况"/>
        <w:tag w:val="_SEC_c3ab5ff0dac4435c868c4dc1a729acc7"/>
        <w:id w:val="208766952"/>
        <w:lock w:val="sdtLocked"/>
        <w:placeholder>
          <w:docPart w:val="GBC22222222222222222222222222222"/>
        </w:placeholder>
      </w:sdtPr>
      <w:sdtEndPr>
        <w:rPr>
          <w:rFonts w:hint="default"/>
        </w:rPr>
      </w:sdtEndPr>
      <w:sdtContent>
        <w:p w:rsidR="00806678" w:rsidRDefault="00B16377" w:rsidP="00FF17C7">
          <w:pPr>
            <w:pStyle w:val="4"/>
            <w:numPr>
              <w:ilvl w:val="3"/>
              <w:numId w:val="85"/>
            </w:numPr>
            <w:ind w:left="426" w:hanging="426"/>
          </w:pPr>
          <w:r>
            <w:rPr>
              <w:rFonts w:hint="eastAsia"/>
            </w:rPr>
            <w:t>通过融资租赁租入的固定资产情况</w:t>
          </w:r>
        </w:p>
        <w:sdt>
          <w:sdtPr>
            <w:alias w:val="是否适用：通过融资租赁租入的固定资产情况[双击切换]"/>
            <w:tag w:val="_GBC_d9da2ba422d647b4952839f1b49e1721"/>
            <w:id w:val="1200131463"/>
            <w:lock w:val="sdtLocked"/>
            <w:placeholder>
              <w:docPart w:val="GBC22222222222222222222222222222"/>
            </w:placeholder>
          </w:sdtPr>
          <w:sdtContent>
            <w:p w:rsidR="00806678" w:rsidRDefault="00F80B6C" w:rsidP="001D289D">
              <w:r>
                <w:fldChar w:fldCharType="begin"/>
              </w:r>
              <w:r w:rsidR="001D289D">
                <w:instrText xml:space="preserve">MACROBUTTON  SnrToggleCheckbox □适用 </w:instrText>
              </w:r>
              <w:r>
                <w:fldChar w:fldCharType="end"/>
              </w:r>
              <w:r>
                <w:fldChar w:fldCharType="begin"/>
              </w:r>
              <w:r w:rsidR="001D289D">
                <w:instrText xml:space="preserve"> MACROBUTTON  SnrToggleCheckbox √不适用 </w:instrText>
              </w:r>
              <w:r>
                <w:fldChar w:fldCharType="end"/>
              </w:r>
            </w:p>
          </w:sdtContent>
        </w:sdt>
      </w:sdtContent>
    </w:sdt>
    <w:sdt>
      <w:sdtPr>
        <w:rPr>
          <w:rFonts w:ascii="宋体" w:eastAsia="宋体" w:hAnsi="宋体" w:cs="宋体" w:hint="eastAsia"/>
          <w:b w:val="0"/>
          <w:bCs w:val="0"/>
          <w:kern w:val="0"/>
          <w:szCs w:val="24"/>
        </w:rPr>
        <w:alias w:val="模块:通过经营租赁租出的固定资产"/>
        <w:tag w:val="_SEC_1de7436e811c4703bed7fb7f0316bba2"/>
        <w:id w:val="-246885952"/>
        <w:lock w:val="sdtLocked"/>
        <w:placeholder>
          <w:docPart w:val="GBC22222222222222222222222222222"/>
        </w:placeholder>
      </w:sdtPr>
      <w:sdtEndPr>
        <w:rPr>
          <w:rFonts w:hint="default"/>
          <w:szCs w:val="21"/>
        </w:rPr>
      </w:sdtEndPr>
      <w:sdtContent>
        <w:p w:rsidR="00806678" w:rsidRDefault="00B16377" w:rsidP="00FF17C7">
          <w:pPr>
            <w:pStyle w:val="4"/>
            <w:numPr>
              <w:ilvl w:val="3"/>
              <w:numId w:val="85"/>
            </w:numPr>
            <w:ind w:left="426" w:hanging="426"/>
          </w:pPr>
          <w:r>
            <w:rPr>
              <w:rFonts w:hint="eastAsia"/>
            </w:rPr>
            <w:t>通过经营租赁租出的固定资产</w:t>
          </w:r>
        </w:p>
        <w:sdt>
          <w:sdtPr>
            <w:alias w:val="是否适用：通过经营租赁租出的固定资产[双击切换]"/>
            <w:tag w:val="_GBC_c2ddde62aad742b6997b43c9077b5c4b"/>
            <w:id w:val="-985777001"/>
            <w:lock w:val="sdtLocked"/>
            <w:placeholder>
              <w:docPart w:val="GBC22222222222222222222222222222"/>
            </w:placeholder>
          </w:sdtPr>
          <w:sdtContent>
            <w:p w:rsidR="00806678" w:rsidRDefault="00F80B6C">
              <w:r>
                <w:fldChar w:fldCharType="begin"/>
              </w:r>
              <w:r w:rsidR="009C54D9">
                <w:instrText xml:space="preserve">MACROBUTTON  SnrToggleCheckbox √适用 </w:instrText>
              </w:r>
              <w:r>
                <w:fldChar w:fldCharType="end"/>
              </w:r>
              <w:r>
                <w:fldChar w:fldCharType="begin"/>
              </w:r>
              <w:r w:rsidR="009C54D9">
                <w:instrText xml:space="preserve"> MACROBUTTON  SnrToggleCheckbox □不适用 </w:instrText>
              </w:r>
              <w:r>
                <w:fldChar w:fldCharType="end"/>
              </w:r>
            </w:p>
          </w:sdtContent>
        </w:sdt>
        <w:p w:rsidR="00806678" w:rsidRDefault="00B16377">
          <w:pPr>
            <w:jc w:val="right"/>
            <w:rPr>
              <w:color w:val="FF0000"/>
              <w:szCs w:val="21"/>
            </w:rPr>
          </w:pPr>
          <w:r>
            <w:rPr>
              <w:rFonts w:hint="eastAsia"/>
              <w:szCs w:val="21"/>
            </w:rPr>
            <w:t>单位：</w:t>
          </w:r>
          <w:sdt>
            <w:sdtPr>
              <w:rPr>
                <w:rFonts w:hint="eastAsia"/>
                <w:szCs w:val="21"/>
              </w:rPr>
              <w:alias w:val="单位：财务附注：通过经营租赁租出的固定资产"/>
              <w:tag w:val="_GBC_a5639cab25124e40a3a709f767bb31f5"/>
              <w:id w:val="71293402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通过经营租赁租出的固定资产"/>
              <w:tag w:val="_GBC_86c375c2858c4fd3a9a1149366376325"/>
              <w:id w:val="143439814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153"/>
            <w:gridCol w:w="4896"/>
          </w:tblGrid>
          <w:tr w:rsidR="00806678" w:rsidTr="00DE1C41">
            <w:sdt>
              <w:sdtPr>
                <w:tag w:val="_PLD_f35f56116f2549ddbf0e3623eed6359d"/>
                <w:id w:val="-583145089"/>
                <w:lock w:val="sdtLocked"/>
              </w:sdtPr>
              <w:sdtContent>
                <w:tc>
                  <w:tcPr>
                    <w:tcW w:w="2295" w:type="pct"/>
                    <w:tcBorders>
                      <w:top w:val="single" w:sz="4" w:space="0" w:color="auto"/>
                      <w:left w:val="single" w:sz="4" w:space="0" w:color="auto"/>
                      <w:bottom w:val="single" w:sz="4" w:space="0" w:color="auto"/>
                      <w:right w:val="single" w:sz="4" w:space="0" w:color="auto"/>
                    </w:tcBorders>
                    <w:vAlign w:val="center"/>
                  </w:tcPr>
                  <w:p w:rsidR="00806678" w:rsidRDefault="00B16377">
                    <w:pPr>
                      <w:jc w:val="center"/>
                      <w:rPr>
                        <w:szCs w:val="21"/>
                      </w:rPr>
                    </w:pPr>
                    <w:r>
                      <w:rPr>
                        <w:rFonts w:hint="eastAsia"/>
                        <w:szCs w:val="21"/>
                      </w:rPr>
                      <w:t>项目</w:t>
                    </w:r>
                  </w:p>
                </w:tc>
              </w:sdtContent>
            </w:sdt>
            <w:sdt>
              <w:sdtPr>
                <w:tag w:val="_PLD_b998d1682a784108a43b71971c110733"/>
                <w:id w:val="602381101"/>
                <w:lock w:val="sdtLocked"/>
              </w:sdtPr>
              <w:sdtContent>
                <w:tc>
                  <w:tcPr>
                    <w:tcW w:w="2705" w:type="pct"/>
                    <w:tcBorders>
                      <w:top w:val="single" w:sz="4" w:space="0" w:color="auto"/>
                      <w:left w:val="single" w:sz="4" w:space="0" w:color="auto"/>
                      <w:bottom w:val="single" w:sz="4" w:space="0" w:color="auto"/>
                      <w:right w:val="single" w:sz="4" w:space="0" w:color="auto"/>
                    </w:tcBorders>
                    <w:vAlign w:val="center"/>
                  </w:tcPr>
                  <w:p w:rsidR="00806678" w:rsidRDefault="00B16377">
                    <w:pPr>
                      <w:jc w:val="center"/>
                      <w:rPr>
                        <w:szCs w:val="21"/>
                      </w:rPr>
                    </w:pPr>
                    <w:r>
                      <w:rPr>
                        <w:rFonts w:hint="eastAsia"/>
                        <w:szCs w:val="21"/>
                      </w:rPr>
                      <w:t>期末账面价值</w:t>
                    </w:r>
                  </w:p>
                </w:tc>
              </w:sdtContent>
            </w:sdt>
          </w:tr>
          <w:sdt>
            <w:sdtPr>
              <w:rPr>
                <w:szCs w:val="21"/>
              </w:rPr>
              <w:alias w:val="通过经营租赁租出的的固定资产明细"/>
              <w:tag w:val="_TUP_bed833799d464ed28b9980f029485db3"/>
              <w:id w:val="-878008716"/>
              <w:lock w:val="sdtLocked"/>
            </w:sdtPr>
            <w:sdtContent>
              <w:tr w:rsidR="00806678" w:rsidTr="00DE1C41">
                <w:tc>
                  <w:tcPr>
                    <w:tcW w:w="2295" w:type="pct"/>
                    <w:tcBorders>
                      <w:top w:val="single" w:sz="4" w:space="0" w:color="auto"/>
                      <w:left w:val="single" w:sz="4" w:space="0" w:color="auto"/>
                      <w:bottom w:val="single" w:sz="4" w:space="0" w:color="auto"/>
                      <w:right w:val="single" w:sz="4" w:space="0" w:color="auto"/>
                    </w:tcBorders>
                  </w:tcPr>
                  <w:p w:rsidR="00806678" w:rsidRDefault="00821113" w:rsidP="00821113">
                    <w:pPr>
                      <w:rPr>
                        <w:szCs w:val="21"/>
                      </w:rPr>
                    </w:pPr>
                    <w:r>
                      <w:rPr>
                        <w:rFonts w:hint="eastAsia"/>
                        <w:szCs w:val="21"/>
                      </w:rPr>
                      <w:t>机车和房屋</w:t>
                    </w:r>
                    <w:r>
                      <w:rPr>
                        <w:szCs w:val="21"/>
                      </w:rPr>
                      <w:t xml:space="preserve"> </w:t>
                    </w:r>
                  </w:p>
                </w:tc>
                <w:tc>
                  <w:tcPr>
                    <w:tcW w:w="2705" w:type="pct"/>
                    <w:tcBorders>
                      <w:top w:val="single" w:sz="4" w:space="0" w:color="auto"/>
                      <w:left w:val="single" w:sz="4" w:space="0" w:color="auto"/>
                      <w:bottom w:val="single" w:sz="4" w:space="0" w:color="auto"/>
                      <w:right w:val="single" w:sz="4" w:space="0" w:color="auto"/>
                    </w:tcBorders>
                  </w:tcPr>
                  <w:p w:rsidR="00806678" w:rsidRDefault="00821113">
                    <w:pPr>
                      <w:jc w:val="right"/>
                      <w:rPr>
                        <w:szCs w:val="21"/>
                      </w:rPr>
                    </w:pPr>
                    <w:r w:rsidRPr="00821113">
                      <w:rPr>
                        <w:szCs w:val="21"/>
                      </w:rPr>
                      <w:t>1,173,996,748</w:t>
                    </w:r>
                  </w:p>
                </w:tc>
              </w:tr>
            </w:sdtContent>
          </w:sdt>
        </w:tbl>
        <w:p w:rsidR="008370A9" w:rsidRDefault="008370A9">
          <w:pPr>
            <w:rPr>
              <w:color w:val="FF0000"/>
              <w:szCs w:val="21"/>
            </w:rPr>
          </w:pPr>
        </w:p>
        <w:p w:rsidR="00A34ACA" w:rsidRDefault="008370A9">
          <w:pPr>
            <w:rPr>
              <w:szCs w:val="21"/>
            </w:rPr>
          </w:pPr>
          <w:r w:rsidRPr="008370A9">
            <w:rPr>
              <w:rFonts w:hint="eastAsia"/>
              <w:szCs w:val="21"/>
            </w:rPr>
            <w:t>于</w:t>
          </w:r>
          <w:r w:rsidRPr="008370A9">
            <w:rPr>
              <w:szCs w:val="21"/>
            </w:rPr>
            <w:t>2022年12月31日，本集团通过经营租赁租出的固定资产为机车和房屋，账面净值为人民币1,173,996,748元 (202</w:t>
          </w:r>
          <w:r w:rsidR="00492C01">
            <w:rPr>
              <w:szCs w:val="21"/>
            </w:rPr>
            <w:t>1</w:t>
          </w:r>
          <w:r w:rsidRPr="008370A9">
            <w:rPr>
              <w:szCs w:val="21"/>
            </w:rPr>
            <w:t>年12月31日：人民币1,239,795,861元) 。</w:t>
          </w:r>
        </w:p>
        <w:p w:rsidR="00806678" w:rsidRPr="008370A9" w:rsidRDefault="00F80B6C">
          <w:pPr>
            <w:rPr>
              <w:szCs w:val="21"/>
            </w:rPr>
          </w:pPr>
        </w:p>
      </w:sdtContent>
    </w:sdt>
    <w:sdt>
      <w:sdtPr>
        <w:rPr>
          <w:rFonts w:ascii="宋体" w:eastAsia="宋体" w:hAnsi="宋体" w:cs="宋体" w:hint="eastAsia"/>
          <w:b w:val="0"/>
          <w:bCs w:val="0"/>
          <w:kern w:val="0"/>
          <w:szCs w:val="24"/>
        </w:rPr>
        <w:alias w:val="模块:未办妥产权证书的固定资产情况"/>
        <w:tag w:val="_SEC_c2e9651d58cd49b88e40954aae3cbf5b"/>
        <w:id w:val="-42686539"/>
        <w:lock w:val="sdtLocked"/>
        <w:placeholder>
          <w:docPart w:val="GBC22222222222222222222222222222"/>
        </w:placeholder>
      </w:sdtPr>
      <w:sdtEndPr>
        <w:rPr>
          <w:rFonts w:hint="default"/>
        </w:rPr>
      </w:sdtEndPr>
      <w:sdtContent>
        <w:p w:rsidR="00806678" w:rsidRDefault="00B16377" w:rsidP="00FF17C7">
          <w:pPr>
            <w:pStyle w:val="4"/>
            <w:numPr>
              <w:ilvl w:val="3"/>
              <w:numId w:val="85"/>
            </w:numPr>
            <w:ind w:left="426" w:hanging="426"/>
          </w:pPr>
          <w:r>
            <w:rPr>
              <w:rFonts w:hint="eastAsia"/>
            </w:rPr>
            <w:t>未办妥产权证书的固定资产情况</w:t>
          </w:r>
        </w:p>
        <w:p w:rsidR="00806678" w:rsidRDefault="00F80B6C">
          <w:sdt>
            <w:sdtPr>
              <w:alias w:val="是否适用：未办妥产权证书的固定资产情况[双击切换]"/>
              <w:tag w:val="_GBC_46625a97c34c4326af56ee4f005058fb"/>
              <w:id w:val="391701963"/>
              <w:lock w:val="sdtLocked"/>
              <w:placeholder>
                <w:docPart w:val="GBC22222222222222222222222222222"/>
              </w:placeholder>
            </w:sdtPr>
            <w:sdtContent>
              <w:r>
                <w:fldChar w:fldCharType="begin"/>
              </w:r>
              <w:r w:rsidR="00C30270">
                <w:instrText xml:space="preserve">MACROBUTTON  SnrToggleCheckbox √适用 </w:instrText>
              </w:r>
              <w:r>
                <w:fldChar w:fldCharType="end"/>
              </w:r>
              <w:r>
                <w:fldChar w:fldCharType="begin"/>
              </w:r>
              <w:r w:rsidR="00C30270">
                <w:instrText xml:space="preserve"> MACROBUTTON  SnrToggleCheckbox □不适用 </w:instrText>
              </w:r>
              <w:r>
                <w:fldChar w:fldCharType="end"/>
              </w:r>
            </w:sdtContent>
          </w:sdt>
        </w:p>
        <w:p w:rsidR="00806678" w:rsidRDefault="00B16377">
          <w:pPr>
            <w:jc w:val="right"/>
          </w:pPr>
          <w:r>
            <w:rPr>
              <w:rFonts w:hint="eastAsia"/>
            </w:rPr>
            <w:t>单位：</w:t>
          </w:r>
          <w:sdt>
            <w:sdtPr>
              <w:rPr>
                <w:rFonts w:hint="eastAsia"/>
              </w:rPr>
              <w:alias w:val="单位：财务附注：未办妥产权证书的固定资产情况"/>
              <w:tag w:val="_GBC_af0b65f779a444509a345fcc235c4e13"/>
              <w:id w:val="290565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E768BC">
                <w:rPr>
                  <w:rFonts w:hint="eastAsia"/>
                </w:rPr>
                <w:t>亿元</w:t>
              </w:r>
            </w:sdtContent>
          </w:sdt>
          <w:r>
            <w:rPr>
              <w:rFonts w:hint="eastAsia"/>
            </w:rPr>
            <w:t xml:space="preserve">  币种：</w:t>
          </w:r>
          <w:sdt>
            <w:sdtPr>
              <w:rPr>
                <w:rFonts w:hint="eastAsia"/>
              </w:rPr>
              <w:alias w:val="币种：财务附注：未办妥产权证书的固定资产情况"/>
              <w:tag w:val="_GBC_8b4f91db9e314b61ac2d85b092fd5832"/>
              <w:id w:val="290566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48"/>
            <w:gridCol w:w="3042"/>
            <w:gridCol w:w="3059"/>
          </w:tblGrid>
          <w:tr w:rsidR="00806678" w:rsidTr="00DE1C41">
            <w:sdt>
              <w:sdtPr>
                <w:tag w:val="_PLD_3112d13ed7a04a10bce803acc672660e"/>
                <w:id w:val="1693412916"/>
                <w:lock w:val="sdtLocked"/>
              </w:sdtPr>
              <w:sdtContent>
                <w:tc>
                  <w:tcPr>
                    <w:tcW w:w="1629" w:type="pct"/>
                    <w:vAlign w:val="center"/>
                  </w:tcPr>
                  <w:p w:rsidR="00806678" w:rsidRDefault="00B16377">
                    <w:pPr>
                      <w:jc w:val="center"/>
                      <w:rPr>
                        <w:szCs w:val="21"/>
                      </w:rPr>
                    </w:pPr>
                    <w:r>
                      <w:rPr>
                        <w:rFonts w:hint="eastAsia"/>
                        <w:szCs w:val="21"/>
                      </w:rPr>
                      <w:t>项目</w:t>
                    </w:r>
                  </w:p>
                </w:tc>
              </w:sdtContent>
            </w:sdt>
            <w:sdt>
              <w:sdtPr>
                <w:tag w:val="_PLD_5fca73223de74724a06b56d07c06e26b"/>
                <w:id w:val="412981417"/>
                <w:lock w:val="sdtLocked"/>
              </w:sdtPr>
              <w:sdtContent>
                <w:tc>
                  <w:tcPr>
                    <w:tcW w:w="1681" w:type="pct"/>
                    <w:vAlign w:val="center"/>
                  </w:tcPr>
                  <w:p w:rsidR="00806678" w:rsidRDefault="00B16377">
                    <w:pPr>
                      <w:jc w:val="center"/>
                      <w:rPr>
                        <w:szCs w:val="21"/>
                      </w:rPr>
                    </w:pPr>
                    <w:r>
                      <w:rPr>
                        <w:rFonts w:hint="eastAsia"/>
                        <w:szCs w:val="21"/>
                      </w:rPr>
                      <w:t>账面价值</w:t>
                    </w:r>
                  </w:p>
                </w:tc>
              </w:sdtContent>
            </w:sdt>
            <w:sdt>
              <w:sdtPr>
                <w:tag w:val="_PLD_0f07869ee4694758ae54754a2afb45dd"/>
                <w:id w:val="-253367123"/>
                <w:lock w:val="sdtLocked"/>
              </w:sdtPr>
              <w:sdtContent>
                <w:tc>
                  <w:tcPr>
                    <w:tcW w:w="1690" w:type="pct"/>
                    <w:vAlign w:val="center"/>
                  </w:tcPr>
                  <w:p w:rsidR="00806678" w:rsidRDefault="00B16377">
                    <w:pPr>
                      <w:jc w:val="center"/>
                      <w:rPr>
                        <w:szCs w:val="21"/>
                      </w:rPr>
                    </w:pPr>
                    <w:r>
                      <w:rPr>
                        <w:rFonts w:hint="eastAsia"/>
                        <w:szCs w:val="21"/>
                      </w:rPr>
                      <w:t>未办妥产权证书的原因</w:t>
                    </w:r>
                  </w:p>
                </w:tc>
              </w:sdtContent>
            </w:sdt>
          </w:tr>
          <w:sdt>
            <w:sdtPr>
              <w:rPr>
                <w:rFonts w:hint="eastAsia"/>
                <w:szCs w:val="21"/>
              </w:rPr>
              <w:alias w:val="未办妥产权证书的固定资产情况明细"/>
              <w:tag w:val="_TUP_9737667686884195a6223f7e0d1c45ed"/>
              <w:id w:val="-96484423"/>
              <w:lock w:val="sdtLocked"/>
            </w:sdtPr>
            <w:sdtContent>
              <w:tr w:rsidR="00806678" w:rsidTr="00DE1C41">
                <w:tc>
                  <w:tcPr>
                    <w:tcW w:w="1629" w:type="pct"/>
                  </w:tcPr>
                  <w:p w:rsidR="00806678" w:rsidRDefault="00C30270" w:rsidP="00C30270">
                    <w:pPr>
                      <w:rPr>
                        <w:szCs w:val="21"/>
                      </w:rPr>
                    </w:pPr>
                    <w:r>
                      <w:rPr>
                        <w:rFonts w:hint="eastAsia"/>
                        <w:szCs w:val="21"/>
                      </w:rPr>
                      <w:t>房屋</w:t>
                    </w:r>
                    <w:r>
                      <w:rPr>
                        <w:szCs w:val="21"/>
                      </w:rPr>
                      <w:t xml:space="preserve"> </w:t>
                    </w:r>
                  </w:p>
                </w:tc>
                <w:tc>
                  <w:tcPr>
                    <w:tcW w:w="1681" w:type="pct"/>
                  </w:tcPr>
                  <w:p w:rsidR="00806678" w:rsidRDefault="00C30270">
                    <w:pPr>
                      <w:jc w:val="right"/>
                      <w:rPr>
                        <w:szCs w:val="21"/>
                      </w:rPr>
                    </w:pPr>
                    <w:r w:rsidRPr="00C30270">
                      <w:rPr>
                        <w:szCs w:val="21"/>
                      </w:rPr>
                      <w:t>19.26</w:t>
                    </w:r>
                  </w:p>
                </w:tc>
                <w:tc>
                  <w:tcPr>
                    <w:tcW w:w="1690" w:type="pct"/>
                  </w:tcPr>
                  <w:p w:rsidR="00806678" w:rsidRDefault="00C30270" w:rsidP="00C30270">
                    <w:pPr>
                      <w:jc w:val="right"/>
                      <w:rPr>
                        <w:szCs w:val="21"/>
                      </w:rPr>
                    </w:pPr>
                    <w:r>
                      <w:rPr>
                        <w:rFonts w:hint="eastAsia"/>
                        <w:szCs w:val="21"/>
                      </w:rPr>
                      <w:t>/</w:t>
                    </w:r>
                  </w:p>
                </w:tc>
              </w:tr>
            </w:sdtContent>
          </w:sdt>
        </w:tbl>
        <w:p w:rsidR="00806678" w:rsidRDefault="00F80B6C"/>
      </w:sdtContent>
    </w:sdt>
    <w:sdt>
      <w:sdtPr>
        <w:rPr>
          <w:rFonts w:hint="eastAsia"/>
          <w:szCs w:val="21"/>
        </w:rPr>
        <w:alias w:val="模块:固定资产说明"/>
        <w:tag w:val="_SEC_7134408257214aea8ca71da966442d44"/>
        <w:id w:val="-496268237"/>
        <w:lock w:val="sdtLocked"/>
        <w:placeholder>
          <w:docPart w:val="GBC22222222222222222222222222222"/>
        </w:placeholder>
      </w:sdtPr>
      <w:sdtEndPr>
        <w:rPr>
          <w:rFonts w:hint="default"/>
        </w:rPr>
      </w:sdtEndPr>
      <w:sdtContent>
        <w:p w:rsidR="00806678" w:rsidRDefault="00B16377">
          <w:pPr>
            <w:rPr>
              <w:szCs w:val="21"/>
            </w:rPr>
          </w:pPr>
          <w:r>
            <w:rPr>
              <w:rFonts w:hint="eastAsia"/>
              <w:szCs w:val="21"/>
            </w:rPr>
            <w:t>其他说明：</w:t>
          </w:r>
        </w:p>
        <w:sdt>
          <w:sdtPr>
            <w:rPr>
              <w:szCs w:val="21"/>
            </w:rPr>
            <w:alias w:val="是否适用：固定资产的说明[双击切换]"/>
            <w:tag w:val="_GBC_a7ec4df8fd354d7d9980e0f731a85e12"/>
            <w:id w:val="-685517927"/>
            <w:lock w:val="sdtLocked"/>
            <w:placeholder>
              <w:docPart w:val="GBC22222222222222222222222222222"/>
            </w:placeholder>
          </w:sdtPr>
          <w:sdtContent>
            <w:p w:rsidR="008370A9" w:rsidRDefault="00F80B6C">
              <w:pPr>
                <w:rPr>
                  <w:szCs w:val="21"/>
                </w:rPr>
              </w:pPr>
              <w:r>
                <w:rPr>
                  <w:szCs w:val="21"/>
                </w:rPr>
                <w:fldChar w:fldCharType="begin"/>
              </w:r>
              <w:r w:rsidR="00C30270">
                <w:rPr>
                  <w:szCs w:val="21"/>
                </w:rPr>
                <w:instrText xml:space="preserve">MACROBUTTON  SnrToggleCheckbox √适用 </w:instrText>
              </w:r>
              <w:r>
                <w:rPr>
                  <w:szCs w:val="21"/>
                </w:rPr>
                <w:fldChar w:fldCharType="end"/>
              </w:r>
              <w:r>
                <w:rPr>
                  <w:szCs w:val="21"/>
                </w:rPr>
                <w:fldChar w:fldCharType="begin"/>
              </w:r>
              <w:r w:rsidR="00C30270">
                <w:rPr>
                  <w:szCs w:val="21"/>
                </w:rPr>
                <w:instrText xml:space="preserve"> MACROBUTTON  SnrToggleCheckbox □不适用 </w:instrText>
              </w:r>
              <w:r>
                <w:rPr>
                  <w:szCs w:val="21"/>
                </w:rPr>
                <w:fldChar w:fldCharType="end"/>
              </w:r>
            </w:p>
            <w:p w:rsidR="00806678" w:rsidRDefault="00F80B6C">
              <w:pPr>
                <w:rPr>
                  <w:szCs w:val="21"/>
                </w:rPr>
              </w:pPr>
            </w:p>
          </w:sdtContent>
        </w:sdt>
        <w:sdt>
          <w:sdtPr>
            <w:rPr>
              <w:szCs w:val="21"/>
            </w:rPr>
            <w:alias w:val="固定资产的说明"/>
            <w:tag w:val="_GBC_05d821e825d142b09cd4d570493bae83"/>
            <w:id w:val="1056431802"/>
            <w:lock w:val="sdtLocked"/>
            <w:placeholder>
              <w:docPart w:val="GBC22222222222222222222222222222"/>
            </w:placeholder>
          </w:sdtPr>
          <w:sdtContent>
            <w:p w:rsidR="00C30270" w:rsidRDefault="00C30270" w:rsidP="008370A9">
              <w:pPr>
                <w:ind w:left="709" w:hanging="709"/>
                <w:rPr>
                  <w:szCs w:val="21"/>
                </w:rPr>
              </w:pPr>
              <w:r w:rsidRPr="00C30270">
                <w:rPr>
                  <w:rFonts w:hint="eastAsia"/>
                  <w:szCs w:val="21"/>
                </w:rPr>
                <w:t>注</w:t>
              </w:r>
              <w:r w:rsidRPr="00C30270">
                <w:rPr>
                  <w:szCs w:val="21"/>
                </w:rPr>
                <w:t>1：</w:t>
              </w:r>
              <w:r w:rsidRPr="00C30270">
                <w:rPr>
                  <w:szCs w:val="21"/>
                </w:rPr>
                <w:tab/>
              </w:r>
              <w:r w:rsidRPr="008370A9">
                <w:rPr>
                  <w:rFonts w:cs="Arial"/>
                  <w:sz w:val="22"/>
                  <w:szCs w:val="22"/>
                  <w:lang w:val="en-GB"/>
                </w:rPr>
                <w:t>于2022年12月31日，净值约为人民币12.61亿元 (原值人民币233.25亿元) 的固定资产已提足折旧但仍在继续使用 (于2021年12月31日，净值约为人民币12.26亿元 (原值人民币208.94亿元))。</w:t>
              </w:r>
            </w:p>
            <w:p w:rsidR="00C30270" w:rsidRDefault="00C30270">
              <w:pPr>
                <w:rPr>
                  <w:szCs w:val="21"/>
                </w:rPr>
              </w:pPr>
            </w:p>
            <w:p w:rsidR="00C30270" w:rsidRDefault="00C30270" w:rsidP="00C30270">
              <w:pPr>
                <w:overflowPunct w:val="0"/>
                <w:adjustRightInd w:val="0"/>
                <w:snapToGrid w:val="0"/>
                <w:ind w:left="709" w:hanging="709"/>
                <w:rPr>
                  <w:rFonts w:cs="Arial"/>
                  <w:sz w:val="22"/>
                  <w:szCs w:val="22"/>
                  <w:lang w:val="en-GB"/>
                </w:rPr>
              </w:pPr>
              <w:r w:rsidRPr="005A55D1">
                <w:rPr>
                  <w:rFonts w:cs="Arial" w:hint="eastAsia"/>
                  <w:sz w:val="22"/>
                  <w:szCs w:val="22"/>
                  <w:lang w:val="en-GB"/>
                </w:rPr>
                <w:t>注2：</w:t>
              </w:r>
              <w:r w:rsidRPr="005A55D1">
                <w:rPr>
                  <w:rFonts w:cs="Arial" w:hint="eastAsia"/>
                  <w:sz w:val="22"/>
                  <w:szCs w:val="22"/>
                  <w:lang w:val="en-GB"/>
                </w:rPr>
                <w:tab/>
              </w:r>
              <w:r w:rsidRPr="00F151B2">
                <w:rPr>
                  <w:rFonts w:cs="Arial" w:hint="eastAsia"/>
                  <w:sz w:val="22"/>
                  <w:szCs w:val="22"/>
                  <w:lang w:val="en-GB"/>
                </w:rPr>
                <w:t>2022年1至12月固定资产计提的折旧金额为人民币4,878,568,699元 (202</w:t>
              </w:r>
              <w:r>
                <w:rPr>
                  <w:rFonts w:cs="Arial"/>
                  <w:sz w:val="22"/>
                  <w:szCs w:val="22"/>
                  <w:lang w:val="en-GB"/>
                </w:rPr>
                <w:t>1</w:t>
              </w:r>
              <w:r w:rsidRPr="00F151B2">
                <w:rPr>
                  <w:rFonts w:cs="Arial" w:hint="eastAsia"/>
                  <w:sz w:val="22"/>
                  <w:szCs w:val="22"/>
                  <w:lang w:val="en-GB"/>
                </w:rPr>
                <w:t>年1至12月：人民币</w:t>
              </w:r>
              <w:r w:rsidRPr="00AA3570">
                <w:rPr>
                  <w:rFonts w:cs="Arial" w:hint="eastAsia"/>
                  <w:sz w:val="22"/>
                  <w:szCs w:val="22"/>
                  <w:lang w:val="en-GB"/>
                </w:rPr>
                <w:t>4,728,965,866</w:t>
              </w:r>
              <w:r w:rsidRPr="00F151B2">
                <w:rPr>
                  <w:rFonts w:cs="Arial" w:hint="eastAsia"/>
                  <w:sz w:val="22"/>
                  <w:szCs w:val="22"/>
                  <w:lang w:val="en-GB"/>
                </w:rPr>
                <w:t>元) 。其中，本集团本年度使用安全生产费购置固定资产人民币453,902,216元</w:t>
              </w:r>
              <w:r>
                <w:rPr>
                  <w:rFonts w:cs="Arial" w:hint="eastAsia"/>
                  <w:sz w:val="22"/>
                  <w:szCs w:val="22"/>
                  <w:lang w:val="en-GB"/>
                </w:rPr>
                <w:t>（2</w:t>
              </w:r>
              <w:r>
                <w:rPr>
                  <w:rFonts w:cs="Arial"/>
                  <w:sz w:val="22"/>
                  <w:szCs w:val="22"/>
                  <w:lang w:val="en-GB"/>
                </w:rPr>
                <w:t>021</w:t>
              </w:r>
              <w:r>
                <w:rPr>
                  <w:rFonts w:cs="Arial" w:hint="eastAsia"/>
                  <w:sz w:val="22"/>
                  <w:szCs w:val="22"/>
                  <w:lang w:val="en-GB"/>
                </w:rPr>
                <w:t>年：人民币</w:t>
              </w:r>
              <w:r w:rsidRPr="00AA3570">
                <w:rPr>
                  <w:rFonts w:cs="Arial" w:hint="eastAsia"/>
                  <w:sz w:val="22"/>
                  <w:szCs w:val="22"/>
                  <w:lang w:val="en-GB"/>
                </w:rPr>
                <w:t>209,240,517元</w:t>
              </w:r>
              <w:r>
                <w:rPr>
                  <w:rFonts w:cs="Arial" w:hint="eastAsia"/>
                  <w:sz w:val="22"/>
                  <w:szCs w:val="22"/>
                  <w:lang w:val="en-GB"/>
                </w:rPr>
                <w:t>）</w:t>
              </w:r>
              <w:r w:rsidRPr="00F151B2">
                <w:rPr>
                  <w:rFonts w:cs="Arial" w:hint="eastAsia"/>
                  <w:sz w:val="22"/>
                  <w:szCs w:val="22"/>
                  <w:lang w:val="en-GB"/>
                </w:rPr>
                <w:t>，按照相关固定资产的成本冲减专项储备，同时确认相应金额的累计折旧，相关固定资产以后期间不再计提折旧。</w:t>
              </w:r>
            </w:p>
            <w:p w:rsidR="008370A9" w:rsidRPr="005A55D1" w:rsidRDefault="008370A9" w:rsidP="00C30270">
              <w:pPr>
                <w:overflowPunct w:val="0"/>
                <w:adjustRightInd w:val="0"/>
                <w:snapToGrid w:val="0"/>
                <w:ind w:left="709" w:hanging="709"/>
                <w:rPr>
                  <w:rFonts w:cs="Arial"/>
                  <w:sz w:val="22"/>
                  <w:szCs w:val="22"/>
                  <w:lang w:val="en-GB"/>
                </w:rPr>
              </w:pPr>
            </w:p>
            <w:p w:rsidR="00C30270" w:rsidRDefault="00C30270">
              <w:pPr>
                <w:rPr>
                  <w:rFonts w:cs="Arial"/>
                  <w:sz w:val="22"/>
                  <w:szCs w:val="22"/>
                  <w:lang w:val="en-GB"/>
                </w:rPr>
              </w:pPr>
              <w:r w:rsidRPr="005A55D1">
                <w:rPr>
                  <w:rFonts w:cs="Arial" w:hint="eastAsia"/>
                  <w:sz w:val="22"/>
                  <w:szCs w:val="22"/>
                  <w:lang w:val="en-GB"/>
                </w:rPr>
                <w:t>注3：</w:t>
              </w:r>
              <w:r w:rsidR="00A34ACA">
                <w:rPr>
                  <w:rFonts w:cs="Arial" w:hint="eastAsia"/>
                  <w:sz w:val="22"/>
                  <w:szCs w:val="22"/>
                  <w:lang w:val="en-GB"/>
                </w:rPr>
                <w:t xml:space="preserve"> </w:t>
              </w:r>
              <w:r w:rsidRPr="005A55D1">
                <w:rPr>
                  <w:rFonts w:cs="Arial" w:hint="eastAsia"/>
                  <w:sz w:val="22"/>
                  <w:szCs w:val="22"/>
                  <w:lang w:val="en-GB"/>
                </w:rPr>
                <w:t>于202</w:t>
              </w:r>
              <w:r w:rsidRPr="005A55D1">
                <w:rPr>
                  <w:rFonts w:cs="Arial"/>
                  <w:sz w:val="22"/>
                  <w:szCs w:val="22"/>
                  <w:lang w:val="en-GB"/>
                </w:rPr>
                <w:t>2</w:t>
              </w:r>
              <w:r w:rsidRPr="005A55D1">
                <w:rPr>
                  <w:rFonts w:cs="Arial" w:hint="eastAsia"/>
                  <w:sz w:val="22"/>
                  <w:szCs w:val="22"/>
                  <w:lang w:val="en-GB"/>
                </w:rPr>
                <w:t>年12月31日，本集团固定资产未设置抵押 (202</w:t>
              </w:r>
              <w:r w:rsidRPr="005A55D1">
                <w:rPr>
                  <w:rFonts w:cs="Arial"/>
                  <w:sz w:val="22"/>
                  <w:szCs w:val="22"/>
                  <w:lang w:val="en-GB"/>
                </w:rPr>
                <w:t>1</w:t>
              </w:r>
              <w:r w:rsidRPr="005A55D1">
                <w:rPr>
                  <w:rFonts w:cs="Arial" w:hint="eastAsia"/>
                  <w:sz w:val="22"/>
                  <w:szCs w:val="22"/>
                  <w:lang w:val="en-GB"/>
                </w:rPr>
                <w:t>年12月31日：无) 。</w:t>
              </w:r>
            </w:p>
            <w:p w:rsidR="00C30270" w:rsidRDefault="00C30270">
              <w:pPr>
                <w:rPr>
                  <w:szCs w:val="21"/>
                </w:rPr>
              </w:pPr>
            </w:p>
            <w:p w:rsidR="00C30270" w:rsidRDefault="00C30270" w:rsidP="00C30270">
              <w:pPr>
                <w:overflowPunct w:val="0"/>
                <w:adjustRightInd w:val="0"/>
                <w:snapToGrid w:val="0"/>
                <w:ind w:left="709" w:hanging="709"/>
                <w:rPr>
                  <w:rFonts w:cs="Arial"/>
                  <w:sz w:val="22"/>
                  <w:szCs w:val="22"/>
                  <w:lang w:val="en-GB"/>
                </w:rPr>
              </w:pPr>
              <w:r w:rsidRPr="005A55D1">
                <w:rPr>
                  <w:rFonts w:cs="Arial" w:hint="eastAsia"/>
                  <w:sz w:val="22"/>
                  <w:szCs w:val="22"/>
                  <w:lang w:val="en-GB"/>
                </w:rPr>
                <w:t>注4：</w:t>
              </w:r>
              <w:r w:rsidRPr="005A55D1">
                <w:rPr>
                  <w:rFonts w:cs="Arial" w:hint="eastAsia"/>
                  <w:sz w:val="22"/>
                  <w:szCs w:val="22"/>
                  <w:lang w:val="en-GB"/>
                </w:rPr>
                <w:tab/>
              </w:r>
              <w:r w:rsidRPr="00F151B2">
                <w:rPr>
                  <w:rFonts w:cs="Arial" w:hint="eastAsia"/>
                  <w:sz w:val="22"/>
                  <w:szCs w:val="22"/>
                  <w:lang w:val="en-GB"/>
                </w:rPr>
                <w:t>2022年1至12月，本集团固定资产中有部分货车在本集团管区外执行运输任务，确认国铁集团及其下属单位货车使用费收入约人民币277,934,677元 (2021年1至12月：人民币239,702,215元) (附注</w:t>
              </w:r>
              <w:r>
                <w:rPr>
                  <w:rFonts w:cs="Arial" w:hint="eastAsia"/>
                  <w:sz w:val="22"/>
                  <w:szCs w:val="22"/>
                  <w:lang w:val="en-GB"/>
                </w:rPr>
                <w:t>十二</w:t>
              </w:r>
              <w:r w:rsidRPr="00F151B2">
                <w:rPr>
                  <w:rFonts w:cs="Arial" w:hint="eastAsia"/>
                  <w:sz w:val="22"/>
                  <w:szCs w:val="22"/>
                  <w:lang w:val="en-GB"/>
                </w:rPr>
                <w:t>、5(</w:t>
              </w:r>
              <w:r>
                <w:rPr>
                  <w:rFonts w:cs="Arial"/>
                  <w:sz w:val="22"/>
                  <w:szCs w:val="22"/>
                  <w:lang w:val="en-GB"/>
                </w:rPr>
                <w:t>1</w:t>
              </w:r>
              <w:r w:rsidRPr="00F151B2">
                <w:rPr>
                  <w:rFonts w:cs="Arial" w:hint="eastAsia"/>
                  <w:sz w:val="22"/>
                  <w:szCs w:val="22"/>
                  <w:lang w:val="en-GB"/>
                </w:rPr>
                <w:t>)) 。</w:t>
              </w:r>
            </w:p>
            <w:p w:rsidR="00C30270" w:rsidRPr="005A55D1" w:rsidRDefault="00C30270" w:rsidP="00C30270">
              <w:pPr>
                <w:overflowPunct w:val="0"/>
                <w:adjustRightInd w:val="0"/>
                <w:snapToGrid w:val="0"/>
                <w:ind w:left="709" w:hanging="709"/>
                <w:rPr>
                  <w:rFonts w:cs="Arial"/>
                  <w:sz w:val="22"/>
                  <w:szCs w:val="22"/>
                  <w:lang w:val="en-GB"/>
                </w:rPr>
              </w:pPr>
            </w:p>
            <w:p w:rsidR="00C30270" w:rsidRPr="005A55D1" w:rsidRDefault="00C30270" w:rsidP="00C30270">
              <w:pPr>
                <w:overflowPunct w:val="0"/>
                <w:adjustRightInd w:val="0"/>
                <w:snapToGrid w:val="0"/>
                <w:ind w:left="709" w:hanging="709"/>
                <w:rPr>
                  <w:rFonts w:cs="Arial"/>
                  <w:sz w:val="22"/>
                  <w:szCs w:val="22"/>
                  <w:lang w:val="en-GB"/>
                </w:rPr>
              </w:pPr>
              <w:r w:rsidRPr="005A55D1">
                <w:rPr>
                  <w:rFonts w:cs="Arial" w:hint="eastAsia"/>
                  <w:sz w:val="22"/>
                  <w:szCs w:val="22"/>
                  <w:lang w:val="en-GB"/>
                </w:rPr>
                <w:t>注5：</w:t>
              </w:r>
              <w:r w:rsidRPr="005A55D1">
                <w:rPr>
                  <w:rFonts w:cs="Arial" w:hint="eastAsia"/>
                  <w:sz w:val="22"/>
                  <w:szCs w:val="22"/>
                  <w:lang w:val="en-GB"/>
                </w:rPr>
                <w:tab/>
                <w:t>于202</w:t>
              </w:r>
              <w:r w:rsidRPr="005A55D1">
                <w:rPr>
                  <w:rFonts w:cs="Arial"/>
                  <w:sz w:val="22"/>
                  <w:szCs w:val="22"/>
                  <w:lang w:val="en-GB"/>
                </w:rPr>
                <w:t>2</w:t>
              </w:r>
              <w:r w:rsidRPr="005A55D1">
                <w:rPr>
                  <w:rFonts w:cs="Arial" w:hint="eastAsia"/>
                  <w:sz w:val="22"/>
                  <w:szCs w:val="22"/>
                  <w:lang w:val="en-GB"/>
                </w:rPr>
                <w:t>年12月31日，本集团无暂时闲置的重大固定资产 (202</w:t>
              </w:r>
              <w:r w:rsidRPr="005A55D1">
                <w:rPr>
                  <w:rFonts w:cs="Arial"/>
                  <w:sz w:val="22"/>
                  <w:szCs w:val="22"/>
                  <w:lang w:val="en-GB"/>
                </w:rPr>
                <w:t>1</w:t>
              </w:r>
              <w:r w:rsidRPr="005A55D1">
                <w:rPr>
                  <w:rFonts w:cs="Arial" w:hint="eastAsia"/>
                  <w:sz w:val="22"/>
                  <w:szCs w:val="22"/>
                  <w:lang w:val="en-GB"/>
                </w:rPr>
                <w:t>年12月31日：无) 。</w:t>
              </w:r>
            </w:p>
            <w:p w:rsidR="00806678" w:rsidRDefault="00F80B6C">
              <w:pPr>
                <w:rPr>
                  <w:szCs w:val="21"/>
                </w:rPr>
              </w:pPr>
            </w:p>
          </w:sdtContent>
        </w:sdt>
      </w:sdtContent>
    </w:sdt>
    <w:p w:rsidR="00806678" w:rsidRDefault="00806678">
      <w:pPr>
        <w:rPr>
          <w:szCs w:val="21"/>
        </w:rPr>
      </w:pPr>
    </w:p>
    <w:sdt>
      <w:sdtPr>
        <w:rPr>
          <w:rFonts w:ascii="宋体" w:eastAsia="宋体" w:hAnsi="宋体" w:cs="宋体" w:hint="eastAsia"/>
          <w:b w:val="0"/>
          <w:bCs w:val="0"/>
          <w:kern w:val="0"/>
          <w:szCs w:val="24"/>
        </w:rPr>
        <w:alias w:val="模块:固定资产清理"/>
        <w:tag w:val="_SEC_e623ea972f7d45dc8b0c9f9862e5b400"/>
        <w:id w:val="-522320959"/>
        <w:lock w:val="sdtLocked"/>
        <w:placeholder>
          <w:docPart w:val="GBC22222222222222222222222222222"/>
        </w:placeholder>
      </w:sdtPr>
      <w:sdtEndPr>
        <w:rPr>
          <w:szCs w:val="21"/>
        </w:rPr>
      </w:sdtEndPr>
      <w:sdtContent>
        <w:p w:rsidR="00806678" w:rsidRDefault="00B16377">
          <w:pPr>
            <w:pStyle w:val="4"/>
            <w:ind w:left="360" w:hanging="360"/>
          </w:pPr>
          <w:r>
            <w:rPr>
              <w:rFonts w:hint="eastAsia"/>
            </w:rPr>
            <w:t>固定资产清理</w:t>
          </w:r>
        </w:p>
        <w:sdt>
          <w:sdtPr>
            <w:alias w:val="是否适用：固定资产清理[双击切换]"/>
            <w:tag w:val="_GBC_e3c92a1042004e36882d16145109bd0e"/>
            <w:id w:val="-1579440526"/>
            <w:lock w:val="sdtLocked"/>
            <w:placeholder>
              <w:docPart w:val="GBC22222222222222222222222222222"/>
            </w:placeholder>
          </w:sdtPr>
          <w:sdtContent>
            <w:p w:rsidR="00C30270" w:rsidRDefault="00F80B6C">
              <w:pPr>
                <w:rPr>
                  <w:szCs w:val="21"/>
                </w:rPr>
              </w:pPr>
              <w:r>
                <w:fldChar w:fldCharType="begin"/>
              </w:r>
              <w:r w:rsidR="00C30270">
                <w:instrText xml:space="preserve">MACROBUTTON  SnrToggleCheckbox □适用 </w:instrText>
              </w:r>
              <w:r>
                <w:fldChar w:fldCharType="end"/>
              </w:r>
              <w:r>
                <w:fldChar w:fldCharType="begin"/>
              </w:r>
              <w:r w:rsidR="00C30270">
                <w:instrText xml:space="preserve"> MACROBUTTON  SnrToggleCheckbox √不适用 </w:instrText>
              </w:r>
              <w:r>
                <w:fldChar w:fldCharType="end"/>
              </w:r>
            </w:p>
            <w:p w:rsidR="00806678" w:rsidRDefault="00F80B6C">
              <w:pPr>
                <w:rPr>
                  <w:szCs w:val="21"/>
                </w:rPr>
              </w:pPr>
            </w:p>
          </w:sdtContent>
        </w:sdt>
      </w:sdtContent>
    </w:sdt>
    <w:p w:rsidR="00806678" w:rsidRDefault="00B16377" w:rsidP="00FF17C7">
      <w:pPr>
        <w:pStyle w:val="3"/>
        <w:numPr>
          <w:ilvl w:val="0"/>
          <w:numId w:val="18"/>
        </w:numPr>
        <w:tabs>
          <w:tab w:val="left" w:pos="504"/>
        </w:tabs>
        <w:rPr>
          <w:rFonts w:ascii="宋体" w:hAnsi="宋体"/>
          <w:szCs w:val="21"/>
        </w:rPr>
      </w:pPr>
      <w:r>
        <w:rPr>
          <w:rFonts w:ascii="宋体" w:hAnsi="宋体" w:hint="eastAsia"/>
          <w:szCs w:val="21"/>
        </w:rPr>
        <w:t>在建工程</w:t>
      </w:r>
      <w:bookmarkStart w:id="202" w:name="_Hlk532914352"/>
    </w:p>
    <w:sdt>
      <w:sdtPr>
        <w:rPr>
          <w:rFonts w:ascii="宋体" w:eastAsia="宋体" w:hAnsi="宋体" w:cs="宋体" w:hint="eastAsia"/>
          <w:b w:val="0"/>
          <w:bCs w:val="0"/>
          <w:kern w:val="0"/>
          <w:szCs w:val="24"/>
        </w:rPr>
        <w:alias w:val="模块:在建工程分类列示"/>
        <w:tag w:val="_SEC_1629a0ede2124140bc15f9e5c0174d2b"/>
        <w:id w:val="290636658"/>
        <w:lock w:val="sdtLocked"/>
        <w:placeholder>
          <w:docPart w:val="GBC22222222222222222222222222222"/>
        </w:placeholder>
      </w:sdtPr>
      <w:sdtContent>
        <w:p w:rsidR="00806678" w:rsidRDefault="00B16377">
          <w:pPr>
            <w:pStyle w:val="4"/>
            <w:rPr>
              <w:rFonts w:ascii="宋体" w:hAnsi="宋体"/>
              <w:szCs w:val="21"/>
            </w:rPr>
          </w:pPr>
          <w:r>
            <w:rPr>
              <w:rFonts w:hint="eastAsia"/>
            </w:rPr>
            <w:t>项目列示</w:t>
          </w:r>
        </w:p>
        <w:sdt>
          <w:sdtPr>
            <w:alias w:val="是否适用：在建工程分类列示[双击切换]"/>
            <w:tag w:val="_GBC_c1e2db0ea96a470497d3e7b3545f11ff"/>
            <w:id w:val="-1781246625"/>
            <w:lock w:val="sdtLocked"/>
            <w:placeholder>
              <w:docPart w:val="GBC22222222222222222222222222222"/>
            </w:placeholder>
          </w:sdtPr>
          <w:sdtContent>
            <w:p w:rsidR="00806678" w:rsidRDefault="00F80B6C" w:rsidP="00C30270">
              <w:r>
                <w:fldChar w:fldCharType="begin"/>
              </w:r>
              <w:r w:rsidR="00C30270">
                <w:instrText xml:space="preserve"> MACROBUTTON  SnrToggleCheckbox □适用 </w:instrText>
              </w:r>
              <w:r>
                <w:fldChar w:fldCharType="end"/>
              </w:r>
              <w:r>
                <w:fldChar w:fldCharType="begin"/>
              </w:r>
              <w:r w:rsidR="00C30270">
                <w:instrText xml:space="preserve"> MACROBUTTON  SnrToggleCheckbox √不适用 </w:instrText>
              </w:r>
              <w:r>
                <w:fldChar w:fldCharType="end"/>
              </w:r>
            </w:p>
          </w:sdtContent>
        </w:sdt>
      </w:sdtContent>
    </w:sdt>
    <w:bookmarkEnd w:id="202" w:displacedByCustomXml="prev"/>
    <w:bookmarkStart w:id="203" w:name="_Hlk532915382" w:displacedByCustomXml="next"/>
    <w:sdt>
      <w:sdtPr>
        <w:rPr>
          <w:rFonts w:hint="eastAsia"/>
          <w:szCs w:val="21"/>
        </w:rPr>
        <w:alias w:val="模块:在建工程分类列示其他说明"/>
        <w:tag w:val="_SEC_082962860e3f4336bda3f7cfa776d8ee"/>
        <w:id w:val="-766762870"/>
        <w:lock w:val="sdtLocked"/>
        <w:placeholder>
          <w:docPart w:val="GBC22222222222222222222222222222"/>
        </w:placeholder>
      </w:sdtPr>
      <w:sdtEndPr>
        <w:rPr>
          <w:rFonts w:hint="default"/>
        </w:rPr>
      </w:sdtEndPr>
      <w:sdtContent>
        <w:p w:rsidR="00806678" w:rsidRDefault="00B16377">
          <w:pPr>
            <w:rPr>
              <w:szCs w:val="21"/>
            </w:rPr>
          </w:pPr>
          <w:r>
            <w:rPr>
              <w:rFonts w:hint="eastAsia"/>
              <w:szCs w:val="21"/>
            </w:rPr>
            <w:t>其他说明：</w:t>
          </w:r>
        </w:p>
        <w:sdt>
          <w:sdtPr>
            <w:rPr>
              <w:szCs w:val="21"/>
            </w:rPr>
            <w:alias w:val="是否适用：在建工程分类列示其他说明[双击切换]"/>
            <w:tag w:val="_GBC_97da24841dd24220bc5206311fc28039"/>
            <w:id w:val="1225410810"/>
            <w:lock w:val="sdtLocked"/>
            <w:placeholder>
              <w:docPart w:val="GBC22222222222222222222222222222"/>
            </w:placeholder>
          </w:sdtPr>
          <w:sdtContent>
            <w:p w:rsidR="00806678" w:rsidRDefault="00F80B6C" w:rsidP="00C30270">
              <w:pPr>
                <w:rPr>
                  <w:szCs w:val="21"/>
                </w:rPr>
              </w:pPr>
              <w:r>
                <w:rPr>
                  <w:szCs w:val="21"/>
                </w:rPr>
                <w:fldChar w:fldCharType="begin"/>
              </w:r>
              <w:r w:rsidR="00C30270">
                <w:rPr>
                  <w:szCs w:val="21"/>
                </w:rPr>
                <w:instrText xml:space="preserve"> MACROBUTTON  SnrToggleCheckbox □适用 </w:instrText>
              </w:r>
              <w:r>
                <w:rPr>
                  <w:szCs w:val="21"/>
                </w:rPr>
                <w:fldChar w:fldCharType="end"/>
              </w:r>
              <w:r>
                <w:rPr>
                  <w:szCs w:val="21"/>
                </w:rPr>
                <w:fldChar w:fldCharType="begin"/>
              </w:r>
              <w:r w:rsidR="00C30270">
                <w:rPr>
                  <w:szCs w:val="21"/>
                </w:rPr>
                <w:instrText xml:space="preserve"> MACROBUTTON  SnrToggleCheckbox √不适用 </w:instrText>
              </w:r>
              <w:r>
                <w:rPr>
                  <w:szCs w:val="21"/>
                </w:rPr>
                <w:fldChar w:fldCharType="end"/>
              </w:r>
            </w:p>
          </w:sdtContent>
        </w:sdt>
      </w:sdtContent>
    </w:sdt>
    <w:bookmarkEnd w:id="203" w:displacedByCustomXml="prev"/>
    <w:p w:rsidR="00806678" w:rsidRDefault="00806678">
      <w:pPr>
        <w:rPr>
          <w:szCs w:val="21"/>
        </w:rPr>
      </w:pPr>
    </w:p>
    <w:p w:rsidR="00C30270" w:rsidRDefault="00C30270">
      <w:pPr>
        <w:pStyle w:val="4"/>
        <w:ind w:left="360" w:hanging="360"/>
        <w:sectPr w:rsidR="00C30270" w:rsidSect="00F41343">
          <w:pgSz w:w="11906" w:h="16838"/>
          <w:pgMar w:top="1440" w:right="1797" w:bottom="1525" w:left="1276" w:header="856" w:footer="992" w:gutter="0"/>
          <w:cols w:space="425"/>
          <w:docGrid w:type="lines" w:linePitch="312"/>
        </w:sectPr>
      </w:pPr>
    </w:p>
    <w:p w:rsidR="00806678" w:rsidRDefault="00B16377">
      <w:pPr>
        <w:pStyle w:val="4"/>
        <w:ind w:left="360" w:hanging="360"/>
      </w:pPr>
      <w:r>
        <w:rPr>
          <w:rFonts w:hint="eastAsia"/>
        </w:rPr>
        <w:lastRenderedPageBreak/>
        <w:t>在建工程</w:t>
      </w:r>
    </w:p>
    <w:sdt>
      <w:sdtPr>
        <w:rPr>
          <w:rFonts w:ascii="宋体" w:eastAsia="宋体" w:hAnsi="宋体" w:cs="宋体" w:hint="eastAsia"/>
          <w:b w:val="0"/>
          <w:bCs w:val="0"/>
          <w:kern w:val="0"/>
          <w:szCs w:val="24"/>
        </w:rPr>
        <w:alias w:val="模块:在建工程情况"/>
        <w:tag w:val="_SEC_a02b3ec882b24e089808f0414c70e5ec"/>
        <w:id w:val="1575389774"/>
        <w:lock w:val="sdtLocked"/>
        <w:placeholder>
          <w:docPart w:val="GBC22222222222222222222222222222"/>
        </w:placeholder>
      </w:sdtPr>
      <w:sdtEndPr>
        <w:rPr>
          <w:rFonts w:hint="default"/>
        </w:rPr>
      </w:sdtEndPr>
      <w:sdtContent>
        <w:p w:rsidR="00806678" w:rsidRDefault="00B16377" w:rsidP="00FF17C7">
          <w:pPr>
            <w:pStyle w:val="4"/>
            <w:numPr>
              <w:ilvl w:val="3"/>
              <w:numId w:val="86"/>
            </w:numPr>
            <w:ind w:left="426" w:hanging="426"/>
          </w:pPr>
          <w:r>
            <w:rPr>
              <w:rFonts w:hint="eastAsia"/>
            </w:rPr>
            <w:t>在建工程情况</w:t>
          </w:r>
        </w:p>
        <w:sdt>
          <w:sdtPr>
            <w:alias w:val="是否适用：在建工程情况[双击切换]"/>
            <w:tag w:val="_GBC_3d1e0f4f19d8472c9f5250b0ba025185"/>
            <w:id w:val="-687131426"/>
            <w:lock w:val="sdtLocked"/>
            <w:placeholder>
              <w:docPart w:val="GBC22222222222222222222222222222"/>
            </w:placeholder>
          </w:sdtPr>
          <w:sdtContent>
            <w:p w:rsidR="00806678" w:rsidRDefault="00F80B6C">
              <w:r>
                <w:fldChar w:fldCharType="begin"/>
              </w:r>
              <w:r w:rsidR="009C54D9">
                <w:instrText xml:space="preserve">MACROBUTTON  SnrToggleCheckbox √适用 </w:instrText>
              </w:r>
              <w:r>
                <w:fldChar w:fldCharType="end"/>
              </w:r>
              <w:r>
                <w:fldChar w:fldCharType="begin"/>
              </w:r>
              <w:r w:rsidR="009C54D9">
                <w:instrText xml:space="preserve"> MACROBUTTON  SnrToggleCheckbox □不适用 </w:instrText>
              </w:r>
              <w:r>
                <w:fldChar w:fldCharType="end"/>
              </w:r>
            </w:p>
          </w:sdtContent>
        </w:sdt>
        <w:p w:rsidR="00806678" w:rsidRDefault="00B16377">
          <w:pPr>
            <w:jc w:val="right"/>
            <w:rPr>
              <w:szCs w:val="21"/>
            </w:rPr>
          </w:pPr>
          <w:r>
            <w:rPr>
              <w:rFonts w:hint="eastAsia"/>
              <w:szCs w:val="21"/>
            </w:rPr>
            <w:t>单位：</w:t>
          </w:r>
          <w:sdt>
            <w:sdtPr>
              <w:rPr>
                <w:rFonts w:hint="eastAsia"/>
                <w:szCs w:val="21"/>
              </w:rPr>
              <w:alias w:val="单位：财务附注：在建工程"/>
              <w:tag w:val="_GBC_c20f70bc9d1e4476bd65c1988111664f"/>
              <w:id w:val="-73285347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在建工程"/>
              <w:tag w:val="_GBC_8057969f154445809d2bd47ba3a4ee1d"/>
              <w:id w:val="-195246958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6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06"/>
            <w:gridCol w:w="1863"/>
            <w:gridCol w:w="1863"/>
            <w:gridCol w:w="1843"/>
            <w:gridCol w:w="1840"/>
            <w:gridCol w:w="1863"/>
            <w:gridCol w:w="1886"/>
          </w:tblGrid>
          <w:tr w:rsidR="00C30270" w:rsidTr="00580516">
            <w:trPr>
              <w:cantSplit/>
            </w:trPr>
            <w:sdt>
              <w:sdtPr>
                <w:tag w:val="_PLD_64c6d788b0564cf39dd83135bd94fa33"/>
                <w:id w:val="-2097698904"/>
                <w:lock w:val="sdtLocked"/>
              </w:sdtPr>
              <w:sdtContent>
                <w:tc>
                  <w:tcPr>
                    <w:tcW w:w="1089" w:type="pct"/>
                    <w:vMerge w:val="restart"/>
                    <w:vAlign w:val="center"/>
                  </w:tcPr>
                  <w:p w:rsidR="00C30270" w:rsidRDefault="00C30270" w:rsidP="00601D47">
                    <w:pPr>
                      <w:jc w:val="center"/>
                      <w:rPr>
                        <w:szCs w:val="21"/>
                      </w:rPr>
                    </w:pPr>
                    <w:r>
                      <w:rPr>
                        <w:rFonts w:hint="eastAsia"/>
                        <w:szCs w:val="21"/>
                      </w:rPr>
                      <w:t>项目</w:t>
                    </w:r>
                  </w:p>
                </w:tc>
              </w:sdtContent>
            </w:sdt>
            <w:sdt>
              <w:sdtPr>
                <w:tag w:val="_PLD_0f8aeba685c643d8bbe995cb6221e768"/>
                <w:id w:val="691575639"/>
                <w:lock w:val="sdtLocked"/>
              </w:sdtPr>
              <w:sdtContent>
                <w:tc>
                  <w:tcPr>
                    <w:tcW w:w="1952" w:type="pct"/>
                    <w:gridSpan w:val="3"/>
                    <w:vAlign w:val="center"/>
                  </w:tcPr>
                  <w:p w:rsidR="00C30270" w:rsidRDefault="00C30270" w:rsidP="00601D47">
                    <w:pPr>
                      <w:jc w:val="center"/>
                      <w:rPr>
                        <w:szCs w:val="21"/>
                      </w:rPr>
                    </w:pPr>
                    <w:r>
                      <w:rPr>
                        <w:rFonts w:hint="eastAsia"/>
                        <w:szCs w:val="21"/>
                      </w:rPr>
                      <w:t>期末余额</w:t>
                    </w:r>
                  </w:p>
                </w:tc>
              </w:sdtContent>
            </w:sdt>
            <w:sdt>
              <w:sdtPr>
                <w:tag w:val="_PLD_87e3270219434e9f8494ce0079d505fd"/>
                <w:id w:val="-1470055093"/>
                <w:lock w:val="sdtLocked"/>
              </w:sdtPr>
              <w:sdtContent>
                <w:tc>
                  <w:tcPr>
                    <w:tcW w:w="1959" w:type="pct"/>
                    <w:gridSpan w:val="3"/>
                    <w:vAlign w:val="center"/>
                  </w:tcPr>
                  <w:p w:rsidR="00C30270" w:rsidRDefault="00C30270" w:rsidP="00601D47">
                    <w:pPr>
                      <w:jc w:val="center"/>
                      <w:rPr>
                        <w:szCs w:val="21"/>
                      </w:rPr>
                    </w:pPr>
                    <w:r>
                      <w:rPr>
                        <w:rFonts w:hint="eastAsia"/>
                        <w:szCs w:val="21"/>
                      </w:rPr>
                      <w:t>期初余额</w:t>
                    </w:r>
                  </w:p>
                </w:tc>
              </w:sdtContent>
            </w:sdt>
          </w:tr>
          <w:tr w:rsidR="00C30270" w:rsidTr="00580516">
            <w:trPr>
              <w:cantSplit/>
            </w:trPr>
            <w:tc>
              <w:tcPr>
                <w:tcW w:w="1089" w:type="pct"/>
                <w:vMerge/>
                <w:vAlign w:val="center"/>
              </w:tcPr>
              <w:p w:rsidR="00C30270" w:rsidRDefault="00C30270" w:rsidP="00601D47">
                <w:pPr>
                  <w:tabs>
                    <w:tab w:val="left" w:pos="420"/>
                  </w:tabs>
                  <w:ind w:left="420" w:hanging="420"/>
                  <w:jc w:val="center"/>
                  <w:rPr>
                    <w:szCs w:val="21"/>
                  </w:rPr>
                </w:pPr>
              </w:p>
            </w:tc>
            <w:sdt>
              <w:sdtPr>
                <w:tag w:val="_PLD_38fd2fe6396a41ae994e421a6ad8573a"/>
                <w:id w:val="1560904094"/>
                <w:lock w:val="sdtLocked"/>
              </w:sdtPr>
              <w:sdtContent>
                <w:tc>
                  <w:tcPr>
                    <w:tcW w:w="653" w:type="pct"/>
                    <w:vAlign w:val="center"/>
                  </w:tcPr>
                  <w:p w:rsidR="00C30270" w:rsidRDefault="00C30270" w:rsidP="00601D47">
                    <w:pPr>
                      <w:tabs>
                        <w:tab w:val="left" w:pos="420"/>
                      </w:tabs>
                      <w:ind w:left="420" w:hanging="420"/>
                      <w:jc w:val="center"/>
                      <w:rPr>
                        <w:szCs w:val="21"/>
                      </w:rPr>
                    </w:pPr>
                    <w:r>
                      <w:rPr>
                        <w:rFonts w:hint="eastAsia"/>
                        <w:szCs w:val="21"/>
                      </w:rPr>
                      <w:t>账面余额</w:t>
                    </w:r>
                  </w:p>
                </w:tc>
              </w:sdtContent>
            </w:sdt>
            <w:sdt>
              <w:sdtPr>
                <w:tag w:val="_PLD_efb5f565ae7d43338576e6ba69d207b2"/>
                <w:id w:val="-655068627"/>
                <w:lock w:val="sdtLocked"/>
              </w:sdtPr>
              <w:sdtContent>
                <w:tc>
                  <w:tcPr>
                    <w:tcW w:w="653" w:type="pct"/>
                    <w:vAlign w:val="center"/>
                  </w:tcPr>
                  <w:p w:rsidR="00C30270" w:rsidRDefault="00C30270" w:rsidP="00601D47">
                    <w:pPr>
                      <w:pStyle w:val="11"/>
                      <w:spacing w:line="240" w:lineRule="auto"/>
                      <w:jc w:val="center"/>
                    </w:pPr>
                    <w:r>
                      <w:rPr>
                        <w:rFonts w:hint="eastAsia"/>
                      </w:rPr>
                      <w:t>减值准备</w:t>
                    </w:r>
                  </w:p>
                </w:tc>
              </w:sdtContent>
            </w:sdt>
            <w:sdt>
              <w:sdtPr>
                <w:tag w:val="_PLD_74e2fff2faeb4e10b56ba612a8b3b4e8"/>
                <w:id w:val="-1789500509"/>
                <w:lock w:val="sdtLocked"/>
              </w:sdtPr>
              <w:sdtContent>
                <w:tc>
                  <w:tcPr>
                    <w:tcW w:w="646" w:type="pct"/>
                    <w:vAlign w:val="center"/>
                  </w:tcPr>
                  <w:p w:rsidR="00C30270" w:rsidRDefault="00C30270" w:rsidP="00601D47">
                    <w:pPr>
                      <w:pStyle w:val="11"/>
                      <w:spacing w:line="240" w:lineRule="auto"/>
                      <w:jc w:val="center"/>
                    </w:pPr>
                    <w:r>
                      <w:rPr>
                        <w:rFonts w:hint="eastAsia"/>
                      </w:rPr>
                      <w:t>账面价值</w:t>
                    </w:r>
                  </w:p>
                </w:tc>
              </w:sdtContent>
            </w:sdt>
            <w:sdt>
              <w:sdtPr>
                <w:tag w:val="_PLD_320b5c6e751a40cb8f8d6cb989669680"/>
                <w:id w:val="-1121838473"/>
                <w:lock w:val="sdtLocked"/>
              </w:sdtPr>
              <w:sdtContent>
                <w:tc>
                  <w:tcPr>
                    <w:tcW w:w="645" w:type="pct"/>
                    <w:vAlign w:val="center"/>
                  </w:tcPr>
                  <w:p w:rsidR="00C30270" w:rsidRDefault="00C30270" w:rsidP="00601D47">
                    <w:pPr>
                      <w:tabs>
                        <w:tab w:val="left" w:pos="420"/>
                      </w:tabs>
                      <w:ind w:left="420" w:hanging="420"/>
                      <w:jc w:val="center"/>
                      <w:rPr>
                        <w:szCs w:val="21"/>
                      </w:rPr>
                    </w:pPr>
                    <w:r>
                      <w:rPr>
                        <w:rFonts w:hint="eastAsia"/>
                        <w:szCs w:val="21"/>
                      </w:rPr>
                      <w:t>账面余额</w:t>
                    </w:r>
                  </w:p>
                </w:tc>
              </w:sdtContent>
            </w:sdt>
            <w:sdt>
              <w:sdtPr>
                <w:tag w:val="_PLD_887f924a18a14763b7d38b336e4eca91"/>
                <w:id w:val="-1642496533"/>
                <w:lock w:val="sdtLocked"/>
              </w:sdtPr>
              <w:sdtContent>
                <w:tc>
                  <w:tcPr>
                    <w:tcW w:w="653" w:type="pct"/>
                    <w:vAlign w:val="center"/>
                  </w:tcPr>
                  <w:p w:rsidR="00C30270" w:rsidRDefault="00C30270" w:rsidP="00601D47">
                    <w:pPr>
                      <w:pStyle w:val="11"/>
                      <w:spacing w:line="240" w:lineRule="auto"/>
                      <w:jc w:val="center"/>
                    </w:pPr>
                    <w:r>
                      <w:rPr>
                        <w:rFonts w:hint="eastAsia"/>
                      </w:rPr>
                      <w:t>减值准备</w:t>
                    </w:r>
                  </w:p>
                </w:tc>
              </w:sdtContent>
            </w:sdt>
            <w:sdt>
              <w:sdtPr>
                <w:tag w:val="_PLD_56d3163c60044998bf2f3d80a83c26a6"/>
                <w:id w:val="-365760190"/>
                <w:lock w:val="sdtLocked"/>
              </w:sdtPr>
              <w:sdtContent>
                <w:tc>
                  <w:tcPr>
                    <w:tcW w:w="661" w:type="pct"/>
                    <w:vAlign w:val="center"/>
                  </w:tcPr>
                  <w:p w:rsidR="00C30270" w:rsidRDefault="00C30270" w:rsidP="00601D47">
                    <w:pPr>
                      <w:pStyle w:val="11"/>
                      <w:spacing w:line="240" w:lineRule="auto"/>
                      <w:jc w:val="center"/>
                    </w:pPr>
                    <w:r>
                      <w:rPr>
                        <w:rFonts w:hint="eastAsia"/>
                      </w:rPr>
                      <w:t>账面价值</w:t>
                    </w:r>
                  </w:p>
                </w:tc>
              </w:sdtContent>
            </w:sdt>
          </w:tr>
          <w:sdt>
            <w:sdtPr>
              <w:rPr>
                <w:szCs w:val="21"/>
              </w:rPr>
              <w:alias w:val="在建工程情况明细"/>
              <w:tag w:val="_TUP_33657c285bed467db1f9c5ec10046bbf"/>
              <w:id w:val="-834683015"/>
              <w:lock w:val="sdtLocked"/>
            </w:sdtPr>
            <w:sdtContent>
              <w:tr w:rsidR="00C30270" w:rsidTr="00E9665D">
                <w:trPr>
                  <w:cantSplit/>
                </w:trPr>
                <w:tc>
                  <w:tcPr>
                    <w:tcW w:w="1089" w:type="pct"/>
                  </w:tcPr>
                  <w:p w:rsidR="00C30270" w:rsidRDefault="00C30270" w:rsidP="00601D47">
                    <w:pPr>
                      <w:rPr>
                        <w:szCs w:val="21"/>
                      </w:rPr>
                    </w:pPr>
                    <w:r>
                      <w:t>太原南站综合调度楼及列车换乘中心建设工程</w:t>
                    </w:r>
                  </w:p>
                </w:tc>
                <w:tc>
                  <w:tcPr>
                    <w:tcW w:w="653" w:type="pct"/>
                    <w:vAlign w:val="center"/>
                  </w:tcPr>
                  <w:p w:rsidR="00C30270" w:rsidRDefault="00C30270" w:rsidP="00E9665D">
                    <w:pPr>
                      <w:ind w:right="105"/>
                      <w:jc w:val="right"/>
                      <w:rPr>
                        <w:szCs w:val="21"/>
                      </w:rPr>
                    </w:pPr>
                    <w:r>
                      <w:t>488,499,084</w:t>
                    </w:r>
                  </w:p>
                </w:tc>
                <w:tc>
                  <w:tcPr>
                    <w:tcW w:w="653" w:type="pct"/>
                    <w:vAlign w:val="center"/>
                  </w:tcPr>
                  <w:p w:rsidR="00C30270" w:rsidRDefault="00C30270" w:rsidP="00E9665D">
                    <w:pPr>
                      <w:ind w:right="73"/>
                      <w:jc w:val="right"/>
                      <w:rPr>
                        <w:szCs w:val="21"/>
                      </w:rPr>
                    </w:pPr>
                    <w:r>
                      <w:rPr>
                        <w:szCs w:val="21"/>
                      </w:rPr>
                      <w:t>0</w:t>
                    </w:r>
                  </w:p>
                </w:tc>
                <w:tc>
                  <w:tcPr>
                    <w:tcW w:w="646" w:type="pct"/>
                    <w:vAlign w:val="center"/>
                  </w:tcPr>
                  <w:p w:rsidR="00C30270" w:rsidRDefault="00C30270" w:rsidP="00E9665D">
                    <w:pPr>
                      <w:ind w:right="73"/>
                      <w:jc w:val="right"/>
                      <w:rPr>
                        <w:szCs w:val="21"/>
                      </w:rPr>
                    </w:pPr>
                    <w:r>
                      <w:t>488,499,084</w:t>
                    </w:r>
                  </w:p>
                </w:tc>
                <w:tc>
                  <w:tcPr>
                    <w:tcW w:w="645" w:type="pct"/>
                    <w:vAlign w:val="center"/>
                  </w:tcPr>
                  <w:p w:rsidR="00C30270" w:rsidRDefault="00C30270" w:rsidP="00E9665D">
                    <w:pPr>
                      <w:jc w:val="right"/>
                      <w:rPr>
                        <w:szCs w:val="21"/>
                      </w:rPr>
                    </w:pPr>
                    <w:r>
                      <w:t>360,045,772</w:t>
                    </w:r>
                  </w:p>
                </w:tc>
                <w:tc>
                  <w:tcPr>
                    <w:tcW w:w="653" w:type="pct"/>
                    <w:vAlign w:val="center"/>
                  </w:tcPr>
                  <w:p w:rsidR="00C30270" w:rsidRDefault="00C30270" w:rsidP="00E9665D">
                    <w:pPr>
                      <w:jc w:val="right"/>
                      <w:rPr>
                        <w:szCs w:val="21"/>
                      </w:rPr>
                    </w:pPr>
                    <w:r>
                      <w:t>0</w:t>
                    </w:r>
                  </w:p>
                </w:tc>
                <w:tc>
                  <w:tcPr>
                    <w:tcW w:w="661" w:type="pct"/>
                    <w:vAlign w:val="center"/>
                  </w:tcPr>
                  <w:p w:rsidR="00C30270" w:rsidRDefault="00C30270" w:rsidP="00E9665D">
                    <w:pPr>
                      <w:jc w:val="right"/>
                      <w:rPr>
                        <w:szCs w:val="21"/>
                      </w:rPr>
                    </w:pPr>
                    <w:r>
                      <w:t>360,045,772</w:t>
                    </w:r>
                  </w:p>
                </w:tc>
              </w:tr>
            </w:sdtContent>
          </w:sdt>
          <w:sdt>
            <w:sdtPr>
              <w:rPr>
                <w:szCs w:val="21"/>
              </w:rPr>
              <w:alias w:val="在建工程情况明细"/>
              <w:tag w:val="_TUP_33657c285bed467db1f9c5ec10046bbf"/>
              <w:id w:val="-75516521"/>
              <w:lock w:val="sdtLocked"/>
            </w:sdtPr>
            <w:sdtContent>
              <w:tr w:rsidR="00C30270" w:rsidTr="00E9665D">
                <w:trPr>
                  <w:cantSplit/>
                </w:trPr>
                <w:tc>
                  <w:tcPr>
                    <w:tcW w:w="1089" w:type="pct"/>
                  </w:tcPr>
                  <w:p w:rsidR="00C30270" w:rsidRDefault="00C30270" w:rsidP="00601D47">
                    <w:pPr>
                      <w:rPr>
                        <w:szCs w:val="21"/>
                      </w:rPr>
                    </w:pPr>
                    <w:r>
                      <w:t>南同蒲线侯马至风陵渡段增设噪声防治工程</w:t>
                    </w:r>
                  </w:p>
                </w:tc>
                <w:tc>
                  <w:tcPr>
                    <w:tcW w:w="653" w:type="pct"/>
                    <w:vAlign w:val="center"/>
                  </w:tcPr>
                  <w:p w:rsidR="00C30270" w:rsidRDefault="00C30270" w:rsidP="00E9665D">
                    <w:pPr>
                      <w:ind w:right="105"/>
                      <w:jc w:val="right"/>
                      <w:rPr>
                        <w:szCs w:val="21"/>
                      </w:rPr>
                    </w:pPr>
                    <w:r>
                      <w:t>35,710,155</w:t>
                    </w:r>
                  </w:p>
                </w:tc>
                <w:tc>
                  <w:tcPr>
                    <w:tcW w:w="653" w:type="pct"/>
                    <w:vAlign w:val="center"/>
                  </w:tcPr>
                  <w:p w:rsidR="00C30270" w:rsidRDefault="00C30270" w:rsidP="00E9665D">
                    <w:pPr>
                      <w:ind w:right="73"/>
                      <w:jc w:val="right"/>
                      <w:rPr>
                        <w:szCs w:val="21"/>
                      </w:rPr>
                    </w:pPr>
                    <w:r>
                      <w:rPr>
                        <w:szCs w:val="21"/>
                      </w:rPr>
                      <w:t>0</w:t>
                    </w:r>
                  </w:p>
                </w:tc>
                <w:tc>
                  <w:tcPr>
                    <w:tcW w:w="646" w:type="pct"/>
                    <w:vAlign w:val="center"/>
                  </w:tcPr>
                  <w:p w:rsidR="00C30270" w:rsidRDefault="00C30270" w:rsidP="00E9665D">
                    <w:pPr>
                      <w:ind w:right="73"/>
                      <w:jc w:val="right"/>
                      <w:rPr>
                        <w:szCs w:val="21"/>
                      </w:rPr>
                    </w:pPr>
                    <w:r>
                      <w:t>35,710,155</w:t>
                    </w:r>
                  </w:p>
                </w:tc>
                <w:tc>
                  <w:tcPr>
                    <w:tcW w:w="645" w:type="pct"/>
                    <w:vAlign w:val="center"/>
                  </w:tcPr>
                  <w:p w:rsidR="00C30270" w:rsidRDefault="00C30270" w:rsidP="00E9665D">
                    <w:pPr>
                      <w:jc w:val="right"/>
                      <w:rPr>
                        <w:szCs w:val="21"/>
                      </w:rPr>
                    </w:pPr>
                    <w:r>
                      <w:t>27,296,340</w:t>
                    </w:r>
                  </w:p>
                </w:tc>
                <w:tc>
                  <w:tcPr>
                    <w:tcW w:w="653" w:type="pct"/>
                    <w:vAlign w:val="center"/>
                  </w:tcPr>
                  <w:p w:rsidR="00C30270" w:rsidRDefault="00C30270" w:rsidP="00E9665D">
                    <w:pPr>
                      <w:jc w:val="right"/>
                      <w:rPr>
                        <w:szCs w:val="21"/>
                      </w:rPr>
                    </w:pPr>
                    <w:r>
                      <w:t>0</w:t>
                    </w:r>
                  </w:p>
                </w:tc>
                <w:tc>
                  <w:tcPr>
                    <w:tcW w:w="661" w:type="pct"/>
                    <w:vAlign w:val="center"/>
                  </w:tcPr>
                  <w:p w:rsidR="00C30270" w:rsidRDefault="00C30270" w:rsidP="00E9665D">
                    <w:pPr>
                      <w:jc w:val="right"/>
                      <w:rPr>
                        <w:szCs w:val="21"/>
                      </w:rPr>
                    </w:pPr>
                    <w:r>
                      <w:t>27,296,340</w:t>
                    </w:r>
                  </w:p>
                </w:tc>
              </w:tr>
            </w:sdtContent>
          </w:sdt>
          <w:sdt>
            <w:sdtPr>
              <w:rPr>
                <w:szCs w:val="21"/>
              </w:rPr>
              <w:alias w:val="在建工程情况明细"/>
              <w:tag w:val="_TUP_33657c285bed467db1f9c5ec10046bbf"/>
              <w:id w:val="-972203364"/>
              <w:lock w:val="sdtLocked"/>
            </w:sdtPr>
            <w:sdtContent>
              <w:tr w:rsidR="00C30270" w:rsidTr="00E9665D">
                <w:trPr>
                  <w:cantSplit/>
                </w:trPr>
                <w:tc>
                  <w:tcPr>
                    <w:tcW w:w="1089" w:type="pct"/>
                  </w:tcPr>
                  <w:p w:rsidR="00C30270" w:rsidRDefault="00C30270" w:rsidP="00601D47">
                    <w:pPr>
                      <w:rPr>
                        <w:szCs w:val="21"/>
                      </w:rPr>
                    </w:pPr>
                    <w:r>
                      <w:t>迁安北站道岔改造工程</w:t>
                    </w:r>
                  </w:p>
                </w:tc>
                <w:tc>
                  <w:tcPr>
                    <w:tcW w:w="653" w:type="pct"/>
                    <w:vAlign w:val="center"/>
                  </w:tcPr>
                  <w:p w:rsidR="00C30270" w:rsidRDefault="00C30270" w:rsidP="00E9665D">
                    <w:pPr>
                      <w:ind w:right="105"/>
                      <w:jc w:val="right"/>
                      <w:rPr>
                        <w:szCs w:val="21"/>
                      </w:rPr>
                    </w:pPr>
                    <w:r>
                      <w:t>33,243,189</w:t>
                    </w:r>
                  </w:p>
                </w:tc>
                <w:tc>
                  <w:tcPr>
                    <w:tcW w:w="653" w:type="pct"/>
                    <w:vAlign w:val="center"/>
                  </w:tcPr>
                  <w:p w:rsidR="00C30270" w:rsidRDefault="00C30270" w:rsidP="00E9665D">
                    <w:pPr>
                      <w:ind w:right="73"/>
                      <w:jc w:val="right"/>
                      <w:rPr>
                        <w:szCs w:val="21"/>
                      </w:rPr>
                    </w:pPr>
                    <w:r>
                      <w:rPr>
                        <w:szCs w:val="21"/>
                      </w:rPr>
                      <w:t>0</w:t>
                    </w:r>
                  </w:p>
                </w:tc>
                <w:tc>
                  <w:tcPr>
                    <w:tcW w:w="646" w:type="pct"/>
                    <w:vAlign w:val="center"/>
                  </w:tcPr>
                  <w:p w:rsidR="00C30270" w:rsidRDefault="00C30270" w:rsidP="00E9665D">
                    <w:pPr>
                      <w:ind w:right="73"/>
                      <w:jc w:val="right"/>
                      <w:rPr>
                        <w:szCs w:val="21"/>
                      </w:rPr>
                    </w:pPr>
                    <w:r>
                      <w:t>33,243,189</w:t>
                    </w:r>
                  </w:p>
                </w:tc>
                <w:tc>
                  <w:tcPr>
                    <w:tcW w:w="645" w:type="pct"/>
                    <w:vAlign w:val="center"/>
                  </w:tcPr>
                  <w:p w:rsidR="00C30270" w:rsidRDefault="00C30270" w:rsidP="00E9665D">
                    <w:pPr>
                      <w:jc w:val="right"/>
                      <w:rPr>
                        <w:szCs w:val="21"/>
                      </w:rPr>
                    </w:pPr>
                    <w:r>
                      <w:t>0</w:t>
                    </w:r>
                  </w:p>
                </w:tc>
                <w:tc>
                  <w:tcPr>
                    <w:tcW w:w="653" w:type="pct"/>
                    <w:vAlign w:val="center"/>
                  </w:tcPr>
                  <w:p w:rsidR="00C30270" w:rsidRDefault="00C30270" w:rsidP="00E9665D">
                    <w:pPr>
                      <w:jc w:val="right"/>
                      <w:rPr>
                        <w:szCs w:val="21"/>
                      </w:rPr>
                    </w:pPr>
                    <w:r>
                      <w:t>0</w:t>
                    </w:r>
                  </w:p>
                </w:tc>
                <w:tc>
                  <w:tcPr>
                    <w:tcW w:w="661" w:type="pct"/>
                    <w:vAlign w:val="center"/>
                  </w:tcPr>
                  <w:p w:rsidR="00C30270" w:rsidRDefault="00C30270" w:rsidP="00E9665D">
                    <w:pPr>
                      <w:jc w:val="right"/>
                      <w:rPr>
                        <w:szCs w:val="21"/>
                      </w:rPr>
                    </w:pPr>
                    <w:r>
                      <w:t>0</w:t>
                    </w:r>
                  </w:p>
                </w:tc>
              </w:tr>
            </w:sdtContent>
          </w:sdt>
          <w:sdt>
            <w:sdtPr>
              <w:rPr>
                <w:szCs w:val="21"/>
              </w:rPr>
              <w:alias w:val="在建工程情况明细"/>
              <w:tag w:val="_TUP_33657c285bed467db1f9c5ec10046bbf"/>
              <w:id w:val="1820229844"/>
              <w:lock w:val="sdtLocked"/>
            </w:sdtPr>
            <w:sdtContent>
              <w:tr w:rsidR="00C30270" w:rsidTr="00E9665D">
                <w:trPr>
                  <w:cantSplit/>
                </w:trPr>
                <w:tc>
                  <w:tcPr>
                    <w:tcW w:w="1089" w:type="pct"/>
                  </w:tcPr>
                  <w:p w:rsidR="00C30270" w:rsidRDefault="00C30270" w:rsidP="00601D47">
                    <w:pPr>
                      <w:rPr>
                        <w:szCs w:val="21"/>
                      </w:rPr>
                    </w:pPr>
                    <w:r>
                      <w:t>太原枢纽新建客车存车场工程</w:t>
                    </w:r>
                  </w:p>
                </w:tc>
                <w:tc>
                  <w:tcPr>
                    <w:tcW w:w="653" w:type="pct"/>
                    <w:vAlign w:val="center"/>
                  </w:tcPr>
                  <w:p w:rsidR="00C30270" w:rsidRDefault="00C30270" w:rsidP="00E9665D">
                    <w:pPr>
                      <w:ind w:right="105"/>
                      <w:jc w:val="right"/>
                      <w:rPr>
                        <w:szCs w:val="21"/>
                      </w:rPr>
                    </w:pPr>
                    <w:r>
                      <w:t>26,003,296</w:t>
                    </w:r>
                  </w:p>
                </w:tc>
                <w:tc>
                  <w:tcPr>
                    <w:tcW w:w="653" w:type="pct"/>
                    <w:vAlign w:val="center"/>
                  </w:tcPr>
                  <w:p w:rsidR="00C30270" w:rsidRDefault="00C30270" w:rsidP="00E9665D">
                    <w:pPr>
                      <w:ind w:right="73"/>
                      <w:jc w:val="right"/>
                      <w:rPr>
                        <w:szCs w:val="21"/>
                      </w:rPr>
                    </w:pPr>
                    <w:r>
                      <w:rPr>
                        <w:szCs w:val="21"/>
                      </w:rPr>
                      <w:t>0</w:t>
                    </w:r>
                  </w:p>
                </w:tc>
                <w:tc>
                  <w:tcPr>
                    <w:tcW w:w="646" w:type="pct"/>
                    <w:vAlign w:val="center"/>
                  </w:tcPr>
                  <w:p w:rsidR="00C30270" w:rsidRDefault="00C30270" w:rsidP="00E9665D">
                    <w:pPr>
                      <w:ind w:right="73"/>
                      <w:jc w:val="right"/>
                      <w:rPr>
                        <w:szCs w:val="21"/>
                      </w:rPr>
                    </w:pPr>
                    <w:r>
                      <w:t>26,003,296</w:t>
                    </w:r>
                  </w:p>
                </w:tc>
                <w:tc>
                  <w:tcPr>
                    <w:tcW w:w="645" w:type="pct"/>
                    <w:vAlign w:val="center"/>
                  </w:tcPr>
                  <w:p w:rsidR="00C30270" w:rsidRDefault="00C30270" w:rsidP="00E9665D">
                    <w:pPr>
                      <w:jc w:val="right"/>
                      <w:rPr>
                        <w:szCs w:val="21"/>
                      </w:rPr>
                    </w:pPr>
                    <w:r>
                      <w:t>0</w:t>
                    </w:r>
                  </w:p>
                </w:tc>
                <w:tc>
                  <w:tcPr>
                    <w:tcW w:w="653" w:type="pct"/>
                    <w:vAlign w:val="center"/>
                  </w:tcPr>
                  <w:p w:rsidR="00C30270" w:rsidRDefault="00C30270" w:rsidP="00E9665D">
                    <w:pPr>
                      <w:jc w:val="right"/>
                      <w:rPr>
                        <w:szCs w:val="21"/>
                      </w:rPr>
                    </w:pPr>
                    <w:r>
                      <w:t>0</w:t>
                    </w:r>
                  </w:p>
                </w:tc>
                <w:tc>
                  <w:tcPr>
                    <w:tcW w:w="661" w:type="pct"/>
                    <w:vAlign w:val="center"/>
                  </w:tcPr>
                  <w:p w:rsidR="00C30270" w:rsidRDefault="00C30270" w:rsidP="00E9665D">
                    <w:pPr>
                      <w:jc w:val="right"/>
                      <w:rPr>
                        <w:szCs w:val="21"/>
                      </w:rPr>
                    </w:pPr>
                    <w:r>
                      <w:t>0</w:t>
                    </w:r>
                  </w:p>
                </w:tc>
              </w:tr>
            </w:sdtContent>
          </w:sdt>
          <w:sdt>
            <w:sdtPr>
              <w:rPr>
                <w:szCs w:val="21"/>
              </w:rPr>
              <w:alias w:val="在建工程情况明细"/>
              <w:tag w:val="_TUP_33657c285bed467db1f9c5ec10046bbf"/>
              <w:id w:val="-1777626106"/>
              <w:lock w:val="sdtLocked"/>
            </w:sdtPr>
            <w:sdtContent>
              <w:tr w:rsidR="00C30270" w:rsidTr="00E9665D">
                <w:trPr>
                  <w:cantSplit/>
                </w:trPr>
                <w:tc>
                  <w:tcPr>
                    <w:tcW w:w="1089" w:type="pct"/>
                  </w:tcPr>
                  <w:p w:rsidR="00C30270" w:rsidRDefault="00C30270" w:rsidP="00601D47">
                    <w:pPr>
                      <w:rPr>
                        <w:szCs w:val="21"/>
                      </w:rPr>
                    </w:pPr>
                    <w:r>
                      <w:t>北同蒲线阳曲至南塔底段路基、排水等设施升级改造</w:t>
                    </w:r>
                  </w:p>
                </w:tc>
                <w:tc>
                  <w:tcPr>
                    <w:tcW w:w="653" w:type="pct"/>
                    <w:vAlign w:val="center"/>
                  </w:tcPr>
                  <w:p w:rsidR="00C30270" w:rsidRDefault="00C30270" w:rsidP="00E9665D">
                    <w:pPr>
                      <w:ind w:right="105"/>
                      <w:jc w:val="right"/>
                      <w:rPr>
                        <w:szCs w:val="21"/>
                      </w:rPr>
                    </w:pPr>
                    <w:r>
                      <w:t>23,180,306</w:t>
                    </w:r>
                  </w:p>
                </w:tc>
                <w:tc>
                  <w:tcPr>
                    <w:tcW w:w="653" w:type="pct"/>
                    <w:vAlign w:val="center"/>
                  </w:tcPr>
                  <w:p w:rsidR="00C30270" w:rsidRDefault="00C30270" w:rsidP="00E9665D">
                    <w:pPr>
                      <w:ind w:right="73"/>
                      <w:jc w:val="right"/>
                      <w:rPr>
                        <w:szCs w:val="21"/>
                      </w:rPr>
                    </w:pPr>
                    <w:r>
                      <w:rPr>
                        <w:szCs w:val="21"/>
                      </w:rPr>
                      <w:t>0</w:t>
                    </w:r>
                  </w:p>
                </w:tc>
                <w:tc>
                  <w:tcPr>
                    <w:tcW w:w="646" w:type="pct"/>
                    <w:vAlign w:val="center"/>
                  </w:tcPr>
                  <w:p w:rsidR="00C30270" w:rsidRDefault="00C30270" w:rsidP="00E9665D">
                    <w:pPr>
                      <w:ind w:right="73"/>
                      <w:jc w:val="right"/>
                      <w:rPr>
                        <w:szCs w:val="21"/>
                      </w:rPr>
                    </w:pPr>
                    <w:r>
                      <w:t>23,180,306</w:t>
                    </w:r>
                  </w:p>
                </w:tc>
                <w:tc>
                  <w:tcPr>
                    <w:tcW w:w="645" w:type="pct"/>
                    <w:vAlign w:val="center"/>
                  </w:tcPr>
                  <w:p w:rsidR="00C30270" w:rsidRDefault="00C30270" w:rsidP="00E9665D">
                    <w:pPr>
                      <w:jc w:val="right"/>
                      <w:rPr>
                        <w:szCs w:val="21"/>
                      </w:rPr>
                    </w:pPr>
                    <w:r>
                      <w:t>16,740,943</w:t>
                    </w:r>
                  </w:p>
                </w:tc>
                <w:tc>
                  <w:tcPr>
                    <w:tcW w:w="653" w:type="pct"/>
                    <w:vAlign w:val="center"/>
                  </w:tcPr>
                  <w:p w:rsidR="00C30270" w:rsidRDefault="00C30270" w:rsidP="00E9665D">
                    <w:pPr>
                      <w:jc w:val="right"/>
                      <w:rPr>
                        <w:szCs w:val="21"/>
                      </w:rPr>
                    </w:pPr>
                    <w:r>
                      <w:t>0</w:t>
                    </w:r>
                  </w:p>
                </w:tc>
                <w:tc>
                  <w:tcPr>
                    <w:tcW w:w="661" w:type="pct"/>
                    <w:vAlign w:val="center"/>
                  </w:tcPr>
                  <w:p w:rsidR="00C30270" w:rsidRDefault="00C30270" w:rsidP="00E9665D">
                    <w:pPr>
                      <w:jc w:val="right"/>
                      <w:rPr>
                        <w:szCs w:val="21"/>
                      </w:rPr>
                    </w:pPr>
                    <w:r>
                      <w:t>16,740,943</w:t>
                    </w:r>
                  </w:p>
                </w:tc>
              </w:tr>
            </w:sdtContent>
          </w:sdt>
          <w:sdt>
            <w:sdtPr>
              <w:rPr>
                <w:szCs w:val="21"/>
              </w:rPr>
              <w:alias w:val="在建工程情况明细"/>
              <w:tag w:val="_TUP_33657c285bed467db1f9c5ec10046bbf"/>
              <w:id w:val="4490151"/>
              <w:lock w:val="sdtLocked"/>
            </w:sdtPr>
            <w:sdtContent>
              <w:tr w:rsidR="00C30270" w:rsidTr="00E9665D">
                <w:trPr>
                  <w:cantSplit/>
                </w:trPr>
                <w:tc>
                  <w:tcPr>
                    <w:tcW w:w="1089" w:type="pct"/>
                  </w:tcPr>
                  <w:p w:rsidR="00C30270" w:rsidRDefault="00C30270" w:rsidP="00601D47">
                    <w:pPr>
                      <w:rPr>
                        <w:szCs w:val="21"/>
                      </w:rPr>
                    </w:pPr>
                    <w:r>
                      <w:t>固定资产大修</w:t>
                    </w:r>
                  </w:p>
                </w:tc>
                <w:tc>
                  <w:tcPr>
                    <w:tcW w:w="653" w:type="pct"/>
                    <w:vAlign w:val="center"/>
                  </w:tcPr>
                  <w:p w:rsidR="00C30270" w:rsidRDefault="00C30270" w:rsidP="00E9665D">
                    <w:pPr>
                      <w:ind w:right="105"/>
                      <w:jc w:val="right"/>
                      <w:rPr>
                        <w:szCs w:val="21"/>
                      </w:rPr>
                    </w:pPr>
                    <w:r>
                      <w:t>184,877,045</w:t>
                    </w:r>
                  </w:p>
                </w:tc>
                <w:tc>
                  <w:tcPr>
                    <w:tcW w:w="653" w:type="pct"/>
                    <w:vAlign w:val="center"/>
                  </w:tcPr>
                  <w:p w:rsidR="00C30270" w:rsidRDefault="00C30270" w:rsidP="00E9665D">
                    <w:pPr>
                      <w:ind w:right="73"/>
                      <w:jc w:val="right"/>
                      <w:rPr>
                        <w:szCs w:val="21"/>
                      </w:rPr>
                    </w:pPr>
                    <w:r>
                      <w:rPr>
                        <w:szCs w:val="21"/>
                      </w:rPr>
                      <w:t>0</w:t>
                    </w:r>
                  </w:p>
                </w:tc>
                <w:tc>
                  <w:tcPr>
                    <w:tcW w:w="646" w:type="pct"/>
                    <w:vAlign w:val="center"/>
                  </w:tcPr>
                  <w:p w:rsidR="00C30270" w:rsidRDefault="00C30270" w:rsidP="00E9665D">
                    <w:pPr>
                      <w:ind w:right="73"/>
                      <w:jc w:val="right"/>
                      <w:rPr>
                        <w:szCs w:val="21"/>
                      </w:rPr>
                    </w:pPr>
                    <w:r>
                      <w:t>184,877,045</w:t>
                    </w:r>
                  </w:p>
                </w:tc>
                <w:tc>
                  <w:tcPr>
                    <w:tcW w:w="645" w:type="pct"/>
                    <w:vAlign w:val="center"/>
                  </w:tcPr>
                  <w:p w:rsidR="00C30270" w:rsidRDefault="00C30270" w:rsidP="00E9665D">
                    <w:pPr>
                      <w:jc w:val="right"/>
                      <w:rPr>
                        <w:szCs w:val="21"/>
                      </w:rPr>
                    </w:pPr>
                    <w:r>
                      <w:t>43,691,812</w:t>
                    </w:r>
                  </w:p>
                </w:tc>
                <w:tc>
                  <w:tcPr>
                    <w:tcW w:w="653" w:type="pct"/>
                    <w:vAlign w:val="center"/>
                  </w:tcPr>
                  <w:p w:rsidR="00C30270" w:rsidRDefault="00C30270" w:rsidP="00E9665D">
                    <w:pPr>
                      <w:jc w:val="right"/>
                      <w:rPr>
                        <w:szCs w:val="21"/>
                      </w:rPr>
                    </w:pPr>
                    <w:r>
                      <w:t>0</w:t>
                    </w:r>
                  </w:p>
                </w:tc>
                <w:tc>
                  <w:tcPr>
                    <w:tcW w:w="661" w:type="pct"/>
                    <w:vAlign w:val="center"/>
                  </w:tcPr>
                  <w:p w:rsidR="00C30270" w:rsidRDefault="00C30270" w:rsidP="00E9665D">
                    <w:pPr>
                      <w:jc w:val="right"/>
                      <w:rPr>
                        <w:szCs w:val="21"/>
                      </w:rPr>
                    </w:pPr>
                    <w:r>
                      <w:t>43,691,812</w:t>
                    </w:r>
                  </w:p>
                </w:tc>
              </w:tr>
            </w:sdtContent>
          </w:sdt>
          <w:sdt>
            <w:sdtPr>
              <w:rPr>
                <w:szCs w:val="21"/>
              </w:rPr>
              <w:alias w:val="在建工程情况明细"/>
              <w:tag w:val="_TUP_33657c285bed467db1f9c5ec10046bbf"/>
              <w:id w:val="209231598"/>
              <w:lock w:val="sdtLocked"/>
            </w:sdtPr>
            <w:sdtContent>
              <w:tr w:rsidR="00C30270" w:rsidTr="00E9665D">
                <w:trPr>
                  <w:cantSplit/>
                </w:trPr>
                <w:tc>
                  <w:tcPr>
                    <w:tcW w:w="1089" w:type="pct"/>
                  </w:tcPr>
                  <w:p w:rsidR="00C30270" w:rsidRDefault="00C30270" w:rsidP="00601D47">
                    <w:pPr>
                      <w:rPr>
                        <w:szCs w:val="21"/>
                      </w:rPr>
                    </w:pPr>
                    <w:r>
                      <w:t>其他工程 (注1)</w:t>
                    </w:r>
                  </w:p>
                </w:tc>
                <w:tc>
                  <w:tcPr>
                    <w:tcW w:w="653" w:type="pct"/>
                    <w:vAlign w:val="center"/>
                  </w:tcPr>
                  <w:p w:rsidR="00C30270" w:rsidRDefault="00C30270" w:rsidP="00E9665D">
                    <w:pPr>
                      <w:ind w:right="105"/>
                      <w:jc w:val="right"/>
                      <w:rPr>
                        <w:szCs w:val="21"/>
                      </w:rPr>
                    </w:pPr>
                    <w:r>
                      <w:t>633,781,513</w:t>
                    </w:r>
                  </w:p>
                </w:tc>
                <w:tc>
                  <w:tcPr>
                    <w:tcW w:w="653" w:type="pct"/>
                    <w:vAlign w:val="center"/>
                  </w:tcPr>
                  <w:p w:rsidR="00C30270" w:rsidRDefault="00C30270" w:rsidP="00E9665D">
                    <w:pPr>
                      <w:ind w:right="73"/>
                      <w:jc w:val="right"/>
                      <w:rPr>
                        <w:szCs w:val="21"/>
                      </w:rPr>
                    </w:pPr>
                    <w:r>
                      <w:rPr>
                        <w:szCs w:val="21"/>
                      </w:rPr>
                      <w:t>0</w:t>
                    </w:r>
                  </w:p>
                </w:tc>
                <w:tc>
                  <w:tcPr>
                    <w:tcW w:w="646" w:type="pct"/>
                    <w:vAlign w:val="center"/>
                  </w:tcPr>
                  <w:p w:rsidR="00C30270" w:rsidRDefault="00C30270" w:rsidP="00E9665D">
                    <w:pPr>
                      <w:ind w:right="73"/>
                      <w:jc w:val="right"/>
                      <w:rPr>
                        <w:szCs w:val="21"/>
                      </w:rPr>
                    </w:pPr>
                    <w:r>
                      <w:t>633,781,513</w:t>
                    </w:r>
                  </w:p>
                </w:tc>
                <w:tc>
                  <w:tcPr>
                    <w:tcW w:w="645" w:type="pct"/>
                    <w:vAlign w:val="center"/>
                  </w:tcPr>
                  <w:p w:rsidR="00C30270" w:rsidRDefault="00C30270" w:rsidP="00E9665D">
                    <w:pPr>
                      <w:jc w:val="right"/>
                      <w:rPr>
                        <w:szCs w:val="21"/>
                      </w:rPr>
                    </w:pPr>
                    <w:r>
                      <w:t>292,560,549</w:t>
                    </w:r>
                  </w:p>
                </w:tc>
                <w:tc>
                  <w:tcPr>
                    <w:tcW w:w="653" w:type="pct"/>
                    <w:vAlign w:val="center"/>
                  </w:tcPr>
                  <w:p w:rsidR="00C30270" w:rsidRDefault="00C30270" w:rsidP="00E9665D">
                    <w:pPr>
                      <w:jc w:val="right"/>
                      <w:rPr>
                        <w:szCs w:val="21"/>
                      </w:rPr>
                    </w:pPr>
                    <w:r>
                      <w:t>0</w:t>
                    </w:r>
                  </w:p>
                </w:tc>
                <w:tc>
                  <w:tcPr>
                    <w:tcW w:w="661" w:type="pct"/>
                    <w:vAlign w:val="center"/>
                  </w:tcPr>
                  <w:p w:rsidR="00C30270" w:rsidRDefault="00C30270" w:rsidP="00E9665D">
                    <w:pPr>
                      <w:jc w:val="right"/>
                      <w:rPr>
                        <w:szCs w:val="21"/>
                      </w:rPr>
                    </w:pPr>
                    <w:r>
                      <w:t>292,560,549</w:t>
                    </w:r>
                  </w:p>
                </w:tc>
              </w:tr>
            </w:sdtContent>
          </w:sdt>
          <w:tr w:rsidR="00C30270" w:rsidTr="00E9665D">
            <w:trPr>
              <w:cantSplit/>
            </w:trPr>
            <w:sdt>
              <w:sdtPr>
                <w:tag w:val="_PLD_2783a6d4bf3f487b8ca957822667216c"/>
                <w:id w:val="1982269640"/>
                <w:lock w:val="sdtLocked"/>
              </w:sdtPr>
              <w:sdtContent>
                <w:tc>
                  <w:tcPr>
                    <w:tcW w:w="1089" w:type="pct"/>
                    <w:vAlign w:val="center"/>
                  </w:tcPr>
                  <w:p w:rsidR="00C30270" w:rsidRDefault="00C30270" w:rsidP="00601D47">
                    <w:pPr>
                      <w:jc w:val="center"/>
                      <w:rPr>
                        <w:szCs w:val="21"/>
                      </w:rPr>
                    </w:pPr>
                    <w:r>
                      <w:rPr>
                        <w:rFonts w:hint="eastAsia"/>
                        <w:szCs w:val="21"/>
                      </w:rPr>
                      <w:t>合计</w:t>
                    </w:r>
                  </w:p>
                </w:tc>
              </w:sdtContent>
            </w:sdt>
            <w:tc>
              <w:tcPr>
                <w:tcW w:w="653" w:type="pct"/>
                <w:vAlign w:val="center"/>
              </w:tcPr>
              <w:p w:rsidR="00C30270" w:rsidRDefault="00C30270" w:rsidP="00E9665D">
                <w:pPr>
                  <w:ind w:right="105"/>
                  <w:jc w:val="right"/>
                  <w:rPr>
                    <w:szCs w:val="21"/>
                  </w:rPr>
                </w:pPr>
                <w:r>
                  <w:rPr>
                    <w:szCs w:val="21"/>
                  </w:rPr>
                  <w:t>1,425,294,588</w:t>
                </w:r>
              </w:p>
            </w:tc>
            <w:tc>
              <w:tcPr>
                <w:tcW w:w="653" w:type="pct"/>
                <w:vAlign w:val="center"/>
              </w:tcPr>
              <w:p w:rsidR="00C30270" w:rsidRDefault="00C30270" w:rsidP="00E9665D">
                <w:pPr>
                  <w:ind w:right="73"/>
                  <w:jc w:val="right"/>
                  <w:rPr>
                    <w:szCs w:val="21"/>
                  </w:rPr>
                </w:pPr>
                <w:r>
                  <w:rPr>
                    <w:szCs w:val="21"/>
                  </w:rPr>
                  <w:t>0</w:t>
                </w:r>
              </w:p>
            </w:tc>
            <w:tc>
              <w:tcPr>
                <w:tcW w:w="646" w:type="pct"/>
                <w:vAlign w:val="center"/>
              </w:tcPr>
              <w:p w:rsidR="00C30270" w:rsidRDefault="00C30270" w:rsidP="00E9665D">
                <w:pPr>
                  <w:ind w:right="73"/>
                  <w:jc w:val="right"/>
                  <w:rPr>
                    <w:szCs w:val="21"/>
                  </w:rPr>
                </w:pPr>
                <w:r>
                  <w:t>1,425,294,588</w:t>
                </w:r>
              </w:p>
            </w:tc>
            <w:tc>
              <w:tcPr>
                <w:tcW w:w="645" w:type="pct"/>
                <w:vAlign w:val="center"/>
              </w:tcPr>
              <w:p w:rsidR="00C30270" w:rsidRDefault="00C30270" w:rsidP="00E9665D">
                <w:pPr>
                  <w:jc w:val="right"/>
                  <w:rPr>
                    <w:szCs w:val="21"/>
                  </w:rPr>
                </w:pPr>
                <w:r>
                  <w:t>740,335,416</w:t>
                </w:r>
              </w:p>
            </w:tc>
            <w:tc>
              <w:tcPr>
                <w:tcW w:w="653" w:type="pct"/>
                <w:vAlign w:val="center"/>
              </w:tcPr>
              <w:p w:rsidR="00C30270" w:rsidRDefault="00C30270" w:rsidP="00E9665D">
                <w:pPr>
                  <w:jc w:val="right"/>
                  <w:rPr>
                    <w:szCs w:val="21"/>
                  </w:rPr>
                </w:pPr>
                <w:r>
                  <w:t>0</w:t>
                </w:r>
              </w:p>
            </w:tc>
            <w:tc>
              <w:tcPr>
                <w:tcW w:w="661" w:type="pct"/>
                <w:vAlign w:val="center"/>
              </w:tcPr>
              <w:p w:rsidR="00C30270" w:rsidRDefault="00C30270" w:rsidP="00E9665D">
                <w:pPr>
                  <w:jc w:val="right"/>
                  <w:rPr>
                    <w:szCs w:val="21"/>
                  </w:rPr>
                </w:pPr>
                <w:r>
                  <w:t>740,335,416</w:t>
                </w:r>
              </w:p>
            </w:tc>
          </w:tr>
        </w:tbl>
        <w:p w:rsidR="00C30270" w:rsidRDefault="00C30270"/>
        <w:p w:rsidR="00C30270" w:rsidRDefault="00C30270"/>
        <w:p w:rsidR="00C30270" w:rsidRDefault="00C30270"/>
        <w:p w:rsidR="00C30270" w:rsidRDefault="00C30270"/>
        <w:p w:rsidR="00C30270" w:rsidRDefault="00C30270"/>
        <w:p w:rsidR="00C30270" w:rsidRDefault="00C30270"/>
        <w:p w:rsidR="00C30270" w:rsidRDefault="00C30270"/>
        <w:p w:rsidR="00580516" w:rsidRDefault="00580516"/>
        <w:p w:rsidR="00492C01" w:rsidRDefault="00492C01"/>
        <w:p w:rsidR="00492C01" w:rsidRDefault="00492C01"/>
        <w:p w:rsidR="00806678" w:rsidRDefault="00F80B6C"/>
      </w:sdtContent>
    </w:sdt>
    <w:sdt>
      <w:sdtPr>
        <w:rPr>
          <w:rFonts w:ascii="宋体" w:eastAsia="宋体" w:hAnsi="宋体" w:cs="宋体" w:hint="eastAsia"/>
          <w:b w:val="0"/>
          <w:bCs w:val="0"/>
          <w:kern w:val="0"/>
          <w:szCs w:val="24"/>
        </w:rPr>
        <w:alias w:val="模块:重大在建工程项目变动情况"/>
        <w:tag w:val="_SEC_56f783d4f9274dee9510145d6c965ff7"/>
        <w:id w:val="-2138867891"/>
        <w:lock w:val="sdtLocked"/>
        <w:placeholder>
          <w:docPart w:val="GBC22222222222222222222222222222"/>
        </w:placeholder>
      </w:sdtPr>
      <w:sdtEndPr>
        <w:rPr>
          <w:rFonts w:cstheme="minorBidi" w:hint="default"/>
          <w:szCs w:val="21"/>
        </w:rPr>
      </w:sdtEndPr>
      <w:sdtContent>
        <w:p w:rsidR="00806678" w:rsidRDefault="00B16377" w:rsidP="00FF17C7">
          <w:pPr>
            <w:pStyle w:val="4"/>
            <w:numPr>
              <w:ilvl w:val="3"/>
              <w:numId w:val="86"/>
            </w:numPr>
            <w:ind w:left="426" w:hanging="426"/>
          </w:pPr>
          <w:r>
            <w:rPr>
              <w:rFonts w:hint="eastAsia"/>
            </w:rPr>
            <w:t>重要在建工程项目本期变动情况</w:t>
          </w:r>
        </w:p>
        <w:sdt>
          <w:sdtPr>
            <w:alias w:val="是否适用：重要在建工程项目本期变动情况[双击切换]"/>
            <w:tag w:val="_GBC_964f4529e8234c358a8541e8c4754ec8"/>
            <w:id w:val="2119639636"/>
            <w:lock w:val="sdtLocked"/>
            <w:placeholder>
              <w:docPart w:val="GBC22222222222222222222222222222"/>
            </w:placeholder>
          </w:sdtPr>
          <w:sdtContent>
            <w:p w:rsidR="00806678" w:rsidRDefault="00F80B6C">
              <w:r>
                <w:fldChar w:fldCharType="begin"/>
              </w:r>
              <w:r w:rsidR="009C54D9">
                <w:instrText xml:space="preserve">MACROBUTTON  SnrToggleCheckbox √适用 </w:instrText>
              </w:r>
              <w:r>
                <w:fldChar w:fldCharType="end"/>
              </w:r>
              <w:r>
                <w:fldChar w:fldCharType="begin"/>
              </w:r>
              <w:r w:rsidR="009C54D9">
                <w:instrText xml:space="preserve"> MACROBUTTON  SnrToggleCheckbox □不适用 </w:instrText>
              </w:r>
              <w:r>
                <w:fldChar w:fldCharType="end"/>
              </w:r>
            </w:p>
          </w:sdtContent>
        </w:sdt>
        <w:p w:rsidR="00806678" w:rsidRDefault="00B16377">
          <w:pPr>
            <w:jc w:val="right"/>
            <w:rPr>
              <w:szCs w:val="21"/>
            </w:rPr>
          </w:pPr>
          <w:r>
            <w:rPr>
              <w:rFonts w:hint="eastAsia"/>
              <w:szCs w:val="21"/>
            </w:rPr>
            <w:t>单位：</w:t>
          </w:r>
          <w:sdt>
            <w:sdtPr>
              <w:rPr>
                <w:rFonts w:hint="eastAsia"/>
                <w:szCs w:val="21"/>
              </w:rPr>
              <w:alias w:val="单位：财务附注：在建工程项目变动情况"/>
              <w:tag w:val="_GBC_9057dff5be8544c398fdbd55cff334f7"/>
              <w:id w:val="86973056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在建工程项目变动情况"/>
              <w:tag w:val="_GBC_110e0fe0dd4f471bae83a62e58e88d74"/>
              <w:id w:val="166443209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635" w:type="pct"/>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08"/>
            <w:gridCol w:w="981"/>
            <w:gridCol w:w="962"/>
            <w:gridCol w:w="1129"/>
            <w:gridCol w:w="1146"/>
            <w:gridCol w:w="1122"/>
            <w:gridCol w:w="982"/>
            <w:gridCol w:w="979"/>
            <w:gridCol w:w="996"/>
            <w:gridCol w:w="1101"/>
            <w:gridCol w:w="490"/>
            <w:gridCol w:w="782"/>
            <w:gridCol w:w="842"/>
            <w:gridCol w:w="699"/>
            <w:gridCol w:w="559"/>
          </w:tblGrid>
          <w:tr w:rsidR="00732AC2" w:rsidTr="00E9665D">
            <w:trPr>
              <w:cantSplit/>
            </w:trPr>
            <w:sdt>
              <w:sdtPr>
                <w:rPr>
                  <w:sz w:val="12"/>
                  <w:szCs w:val="12"/>
                </w:rPr>
                <w:tag w:val="_PLD_0072ffbc51294cefbe17dde844d0e5ed"/>
                <w:id w:val="-1835905395"/>
                <w:lock w:val="sdtLocked"/>
              </w:sdtPr>
              <w:sdtContent>
                <w:tc>
                  <w:tcPr>
                    <w:tcW w:w="982" w:type="pct"/>
                    <w:shd w:val="clear" w:color="auto" w:fill="auto"/>
                    <w:vAlign w:val="center"/>
                  </w:tcPr>
                  <w:p w:rsidR="00421C65" w:rsidRPr="00BA6022" w:rsidRDefault="00421C65" w:rsidP="00DB008B">
                    <w:pPr>
                      <w:ind w:right="105"/>
                      <w:jc w:val="center"/>
                      <w:rPr>
                        <w:sz w:val="12"/>
                        <w:szCs w:val="12"/>
                      </w:rPr>
                    </w:pPr>
                    <w:r w:rsidRPr="00BA6022">
                      <w:rPr>
                        <w:rFonts w:hint="eastAsia"/>
                        <w:sz w:val="12"/>
                        <w:szCs w:val="12"/>
                      </w:rPr>
                      <w:t>项目名称</w:t>
                    </w:r>
                  </w:p>
                </w:tc>
              </w:sdtContent>
            </w:sdt>
            <w:sdt>
              <w:sdtPr>
                <w:rPr>
                  <w:sz w:val="12"/>
                  <w:szCs w:val="12"/>
                </w:rPr>
                <w:tag w:val="_PLD_6349ea6a696f4d27b00b071275a38ea5"/>
                <w:id w:val="-931197233"/>
                <w:lock w:val="sdtLocked"/>
              </w:sdtPr>
              <w:sdtContent>
                <w:tc>
                  <w:tcPr>
                    <w:tcW w:w="268" w:type="pct"/>
                    <w:shd w:val="clear" w:color="auto" w:fill="auto"/>
                    <w:vAlign w:val="center"/>
                  </w:tcPr>
                  <w:p w:rsidR="00421C65" w:rsidRPr="00BA6022" w:rsidRDefault="00421C65" w:rsidP="00DB008B">
                    <w:pPr>
                      <w:ind w:right="105"/>
                      <w:jc w:val="center"/>
                      <w:rPr>
                        <w:sz w:val="12"/>
                        <w:szCs w:val="12"/>
                      </w:rPr>
                    </w:pPr>
                    <w:r w:rsidRPr="00BA6022">
                      <w:rPr>
                        <w:rFonts w:hint="eastAsia"/>
                        <w:sz w:val="12"/>
                        <w:szCs w:val="12"/>
                      </w:rPr>
                      <w:t>预算数</w:t>
                    </w:r>
                  </w:p>
                </w:tc>
              </w:sdtContent>
            </w:sdt>
            <w:sdt>
              <w:sdtPr>
                <w:rPr>
                  <w:sz w:val="12"/>
                  <w:szCs w:val="12"/>
                </w:rPr>
                <w:tag w:val="_PLD_392420deb7e94f0a8026947a325da4f4"/>
                <w:id w:val="1606617703"/>
                <w:lock w:val="sdtLocked"/>
              </w:sdtPr>
              <w:sdtContent>
                <w:tc>
                  <w:tcPr>
                    <w:tcW w:w="306" w:type="pct"/>
                    <w:shd w:val="clear" w:color="auto" w:fill="auto"/>
                    <w:vAlign w:val="center"/>
                  </w:tcPr>
                  <w:p w:rsidR="00421C65" w:rsidRPr="00BA6022" w:rsidRDefault="00421C65" w:rsidP="00E9665D">
                    <w:pPr>
                      <w:ind w:right="105"/>
                      <w:jc w:val="center"/>
                      <w:rPr>
                        <w:sz w:val="12"/>
                        <w:szCs w:val="12"/>
                      </w:rPr>
                    </w:pPr>
                    <w:r w:rsidRPr="00BA6022">
                      <w:rPr>
                        <w:rFonts w:hint="eastAsia"/>
                        <w:sz w:val="12"/>
                        <w:szCs w:val="12"/>
                      </w:rPr>
                      <w:t>期初余额</w:t>
                    </w:r>
                  </w:p>
                </w:tc>
              </w:sdtContent>
            </w:sdt>
            <w:sdt>
              <w:sdtPr>
                <w:rPr>
                  <w:sz w:val="12"/>
                  <w:szCs w:val="12"/>
                </w:rPr>
                <w:tag w:val="_PLD_de4faed3465b4da6b8ac35d7e677431c"/>
                <w:id w:val="1837341250"/>
                <w:lock w:val="sdtLocked"/>
              </w:sdtPr>
              <w:sdtContent>
                <w:tc>
                  <w:tcPr>
                    <w:tcW w:w="356" w:type="pct"/>
                    <w:shd w:val="clear" w:color="auto" w:fill="auto"/>
                    <w:vAlign w:val="center"/>
                  </w:tcPr>
                  <w:p w:rsidR="00421C65" w:rsidRPr="00BA6022" w:rsidRDefault="00421C65" w:rsidP="00DB008B">
                    <w:pPr>
                      <w:ind w:right="105"/>
                      <w:jc w:val="center"/>
                      <w:rPr>
                        <w:sz w:val="12"/>
                        <w:szCs w:val="12"/>
                      </w:rPr>
                    </w:pPr>
                    <w:r w:rsidRPr="00BA6022">
                      <w:rPr>
                        <w:rFonts w:hint="eastAsia"/>
                        <w:sz w:val="12"/>
                        <w:szCs w:val="12"/>
                      </w:rPr>
                      <w:t>本期增加金额</w:t>
                    </w:r>
                  </w:p>
                </w:tc>
              </w:sdtContent>
            </w:sdt>
            <w:tc>
              <w:tcPr>
                <w:tcW w:w="366" w:type="pct"/>
                <w:shd w:val="clear" w:color="auto" w:fill="auto"/>
                <w:vAlign w:val="center"/>
              </w:tcPr>
              <w:p w:rsidR="00421C65" w:rsidRPr="00BA6022" w:rsidRDefault="00421C65" w:rsidP="00DB008B">
                <w:pPr>
                  <w:ind w:right="105"/>
                  <w:jc w:val="center"/>
                  <w:rPr>
                    <w:sz w:val="12"/>
                    <w:szCs w:val="12"/>
                  </w:rPr>
                </w:pPr>
                <w:r w:rsidRPr="00BA6022">
                  <w:rPr>
                    <w:rFonts w:hint="eastAsia"/>
                    <w:sz w:val="12"/>
                    <w:szCs w:val="12"/>
                  </w:rPr>
                  <w:t>其中:固定资产净额转入</w:t>
                </w:r>
              </w:p>
            </w:tc>
            <w:sdt>
              <w:sdtPr>
                <w:rPr>
                  <w:sz w:val="12"/>
                  <w:szCs w:val="12"/>
                </w:rPr>
                <w:tag w:val="_PLD_51ce4224316b4f4b99a8fb0c8e4500a5"/>
                <w:id w:val="1055433179"/>
                <w:lock w:val="sdtLocked"/>
              </w:sdtPr>
              <w:sdtContent>
                <w:tc>
                  <w:tcPr>
                    <w:tcW w:w="356" w:type="pct"/>
                    <w:shd w:val="clear" w:color="auto" w:fill="auto"/>
                    <w:vAlign w:val="center"/>
                  </w:tcPr>
                  <w:p w:rsidR="00421C65" w:rsidRPr="00BA6022" w:rsidRDefault="00421C65" w:rsidP="00DB008B">
                    <w:pPr>
                      <w:ind w:right="73"/>
                      <w:jc w:val="center"/>
                      <w:rPr>
                        <w:sz w:val="12"/>
                        <w:szCs w:val="12"/>
                      </w:rPr>
                    </w:pPr>
                    <w:r w:rsidRPr="00BA6022">
                      <w:rPr>
                        <w:rFonts w:hint="eastAsia"/>
                        <w:sz w:val="12"/>
                        <w:szCs w:val="12"/>
                      </w:rPr>
                      <w:t>本期转入固定资产金额</w:t>
                    </w:r>
                  </w:p>
                </w:tc>
              </w:sdtContent>
            </w:sdt>
            <w:tc>
              <w:tcPr>
                <w:tcW w:w="312" w:type="pct"/>
                <w:shd w:val="clear" w:color="auto" w:fill="auto"/>
                <w:vAlign w:val="center"/>
              </w:tcPr>
              <w:p w:rsidR="00421C65" w:rsidRPr="00BA6022" w:rsidRDefault="00421C65" w:rsidP="00DB008B">
                <w:pPr>
                  <w:ind w:right="73"/>
                  <w:jc w:val="center"/>
                  <w:rPr>
                    <w:sz w:val="12"/>
                    <w:szCs w:val="12"/>
                  </w:rPr>
                </w:pPr>
                <w:r w:rsidRPr="00BA6022">
                  <w:rPr>
                    <w:rFonts w:hint="eastAsia"/>
                    <w:sz w:val="12"/>
                    <w:szCs w:val="12"/>
                  </w:rPr>
                  <w:t>本期转入无形资产</w:t>
                </w:r>
              </w:p>
            </w:tc>
            <w:sdt>
              <w:sdtPr>
                <w:rPr>
                  <w:sz w:val="12"/>
                  <w:szCs w:val="12"/>
                </w:rPr>
                <w:tag w:val="_PLD_d80ffbe10b944f57a31723041ffbcbdf"/>
                <w:id w:val="-1059788362"/>
                <w:lock w:val="sdtLocked"/>
              </w:sdtPr>
              <w:sdtContent>
                <w:tc>
                  <w:tcPr>
                    <w:tcW w:w="311" w:type="pct"/>
                    <w:shd w:val="clear" w:color="auto" w:fill="auto"/>
                    <w:vAlign w:val="center"/>
                  </w:tcPr>
                  <w:p w:rsidR="00421C65" w:rsidRPr="00BA6022" w:rsidRDefault="00421C65" w:rsidP="00DB008B">
                    <w:pPr>
                      <w:ind w:right="73"/>
                      <w:jc w:val="center"/>
                      <w:rPr>
                        <w:sz w:val="12"/>
                        <w:szCs w:val="12"/>
                      </w:rPr>
                    </w:pPr>
                    <w:r w:rsidRPr="00BA6022">
                      <w:rPr>
                        <w:rFonts w:hint="eastAsia"/>
                        <w:sz w:val="12"/>
                        <w:szCs w:val="12"/>
                      </w:rPr>
                      <w:t>本期其他减少金额</w:t>
                    </w:r>
                  </w:p>
                </w:tc>
              </w:sdtContent>
            </w:sdt>
            <w:sdt>
              <w:sdtPr>
                <w:rPr>
                  <w:sz w:val="12"/>
                  <w:szCs w:val="12"/>
                </w:rPr>
                <w:tag w:val="_PLD_c8b617c64ad64a03834695d9bc0b8d2f"/>
                <w:id w:val="1602142541"/>
                <w:lock w:val="sdtLocked"/>
              </w:sdtPr>
              <w:sdtContent>
                <w:tc>
                  <w:tcPr>
                    <w:tcW w:w="314" w:type="pct"/>
                    <w:vAlign w:val="center"/>
                  </w:tcPr>
                  <w:p w:rsidR="00421C65" w:rsidRPr="00BA6022" w:rsidRDefault="00421C65" w:rsidP="00DB008B">
                    <w:pPr>
                      <w:jc w:val="center"/>
                      <w:rPr>
                        <w:sz w:val="12"/>
                        <w:szCs w:val="12"/>
                      </w:rPr>
                    </w:pPr>
                    <w:r w:rsidRPr="00BA6022">
                      <w:rPr>
                        <w:rFonts w:hint="eastAsia"/>
                        <w:sz w:val="12"/>
                        <w:szCs w:val="12"/>
                      </w:rPr>
                      <w:t>期末</w:t>
                    </w:r>
                  </w:p>
                  <w:p w:rsidR="00421C65" w:rsidRPr="00BA6022" w:rsidRDefault="00421C65" w:rsidP="00DB008B">
                    <w:pPr>
                      <w:jc w:val="center"/>
                      <w:rPr>
                        <w:sz w:val="12"/>
                        <w:szCs w:val="12"/>
                      </w:rPr>
                    </w:pPr>
                    <w:r w:rsidRPr="00BA6022">
                      <w:rPr>
                        <w:rFonts w:hint="eastAsia"/>
                        <w:sz w:val="12"/>
                        <w:szCs w:val="12"/>
                      </w:rPr>
                      <w:t>余额</w:t>
                    </w:r>
                  </w:p>
                </w:tc>
              </w:sdtContent>
            </w:sdt>
            <w:sdt>
              <w:sdtPr>
                <w:rPr>
                  <w:sz w:val="12"/>
                  <w:szCs w:val="12"/>
                </w:rPr>
                <w:tag w:val="_PLD_738551d97ef741f093f852402c423e47"/>
                <w:id w:val="173542112"/>
                <w:lock w:val="sdtLocked"/>
              </w:sdtPr>
              <w:sdtContent>
                <w:tc>
                  <w:tcPr>
                    <w:tcW w:w="352" w:type="pct"/>
                    <w:shd w:val="clear" w:color="auto" w:fill="auto"/>
                    <w:vAlign w:val="center"/>
                  </w:tcPr>
                  <w:p w:rsidR="00421C65" w:rsidRPr="00BA6022" w:rsidRDefault="00421C65" w:rsidP="00DB008B">
                    <w:pPr>
                      <w:jc w:val="center"/>
                      <w:rPr>
                        <w:sz w:val="12"/>
                        <w:szCs w:val="12"/>
                      </w:rPr>
                    </w:pPr>
                    <w:r w:rsidRPr="00BA6022">
                      <w:rPr>
                        <w:rFonts w:hint="eastAsia"/>
                        <w:sz w:val="12"/>
                        <w:szCs w:val="12"/>
                      </w:rPr>
                      <w:t>工程累计投入占预算比例(%)</w:t>
                    </w:r>
                  </w:p>
                </w:tc>
              </w:sdtContent>
            </w:sdt>
            <w:sdt>
              <w:sdtPr>
                <w:rPr>
                  <w:sz w:val="12"/>
                  <w:szCs w:val="12"/>
                </w:rPr>
                <w:tag w:val="_PLD_0f7f749f98e74f33ae9032c17002d136"/>
                <w:id w:val="1956131584"/>
                <w:lock w:val="sdtLocked"/>
              </w:sdtPr>
              <w:sdtContent>
                <w:tc>
                  <w:tcPr>
                    <w:tcW w:w="157" w:type="pct"/>
                    <w:shd w:val="clear" w:color="auto" w:fill="auto"/>
                    <w:vAlign w:val="center"/>
                  </w:tcPr>
                  <w:p w:rsidR="00421C65" w:rsidRPr="00BA6022" w:rsidRDefault="00421C65" w:rsidP="00DB008B">
                    <w:pPr>
                      <w:jc w:val="center"/>
                      <w:rPr>
                        <w:sz w:val="12"/>
                        <w:szCs w:val="12"/>
                      </w:rPr>
                    </w:pPr>
                    <w:r w:rsidRPr="00BA6022">
                      <w:rPr>
                        <w:rFonts w:hint="eastAsia"/>
                        <w:sz w:val="12"/>
                        <w:szCs w:val="12"/>
                      </w:rPr>
                      <w:t>工程进度</w:t>
                    </w:r>
                  </w:p>
                </w:tc>
              </w:sdtContent>
            </w:sdt>
            <w:sdt>
              <w:sdtPr>
                <w:rPr>
                  <w:sz w:val="12"/>
                  <w:szCs w:val="12"/>
                </w:rPr>
                <w:tag w:val="_PLD_0b58d44121d2475586a13d1ce8eaed0a"/>
                <w:id w:val="-802152867"/>
                <w:lock w:val="sdtLocked"/>
              </w:sdtPr>
              <w:sdtContent>
                <w:tc>
                  <w:tcPr>
                    <w:tcW w:w="249" w:type="pct"/>
                    <w:shd w:val="clear" w:color="auto" w:fill="auto"/>
                    <w:vAlign w:val="center"/>
                  </w:tcPr>
                  <w:p w:rsidR="00421C65" w:rsidRPr="00BA6022" w:rsidRDefault="00421C65" w:rsidP="00DB008B">
                    <w:pPr>
                      <w:jc w:val="center"/>
                      <w:rPr>
                        <w:sz w:val="12"/>
                        <w:szCs w:val="12"/>
                      </w:rPr>
                    </w:pPr>
                    <w:r w:rsidRPr="00BA6022">
                      <w:rPr>
                        <w:rFonts w:hint="eastAsia"/>
                        <w:sz w:val="12"/>
                        <w:szCs w:val="12"/>
                      </w:rPr>
                      <w:t>利息资本化累计金额</w:t>
                    </w:r>
                  </w:p>
                </w:tc>
              </w:sdtContent>
            </w:sdt>
            <w:sdt>
              <w:sdtPr>
                <w:rPr>
                  <w:sz w:val="12"/>
                  <w:szCs w:val="12"/>
                </w:rPr>
                <w:tag w:val="_PLD_2250f692e957437687c2cafcae1d7f81"/>
                <w:id w:val="853158447"/>
                <w:lock w:val="sdtLocked"/>
              </w:sdtPr>
              <w:sdtContent>
                <w:tc>
                  <w:tcPr>
                    <w:tcW w:w="268" w:type="pct"/>
                    <w:shd w:val="clear" w:color="auto" w:fill="auto"/>
                    <w:vAlign w:val="center"/>
                  </w:tcPr>
                  <w:p w:rsidR="00421C65" w:rsidRPr="00BA6022" w:rsidRDefault="00421C65" w:rsidP="00DB008B">
                    <w:pPr>
                      <w:jc w:val="center"/>
                      <w:rPr>
                        <w:sz w:val="12"/>
                        <w:szCs w:val="12"/>
                      </w:rPr>
                    </w:pPr>
                    <w:r w:rsidRPr="00BA6022">
                      <w:rPr>
                        <w:rFonts w:hint="eastAsia"/>
                        <w:sz w:val="12"/>
                        <w:szCs w:val="12"/>
                      </w:rPr>
                      <w:t>其中：本期利息资本化金额</w:t>
                    </w:r>
                  </w:p>
                </w:tc>
              </w:sdtContent>
            </w:sdt>
            <w:sdt>
              <w:sdtPr>
                <w:rPr>
                  <w:sz w:val="12"/>
                  <w:szCs w:val="12"/>
                </w:rPr>
                <w:tag w:val="_PLD_7a9834f354d948e19f071bbf4b5baafe"/>
                <w:id w:val="-1912155985"/>
                <w:lock w:val="sdtLocked"/>
              </w:sdtPr>
              <w:sdtContent>
                <w:tc>
                  <w:tcPr>
                    <w:tcW w:w="223" w:type="pct"/>
                    <w:shd w:val="clear" w:color="auto" w:fill="auto"/>
                    <w:vAlign w:val="center"/>
                  </w:tcPr>
                  <w:p w:rsidR="00421C65" w:rsidRPr="00BA6022" w:rsidRDefault="00421C65" w:rsidP="00DB008B">
                    <w:pPr>
                      <w:jc w:val="center"/>
                      <w:rPr>
                        <w:sz w:val="12"/>
                        <w:szCs w:val="12"/>
                      </w:rPr>
                    </w:pPr>
                    <w:r w:rsidRPr="00BA6022">
                      <w:rPr>
                        <w:rFonts w:hint="eastAsia"/>
                        <w:sz w:val="12"/>
                        <w:szCs w:val="12"/>
                      </w:rPr>
                      <w:t>本期利息资本化率(%)</w:t>
                    </w:r>
                  </w:p>
                </w:tc>
              </w:sdtContent>
            </w:sdt>
            <w:sdt>
              <w:sdtPr>
                <w:rPr>
                  <w:sz w:val="12"/>
                  <w:szCs w:val="12"/>
                </w:rPr>
                <w:tag w:val="_PLD_6015e39597424a7ea59d45da3ff56e99"/>
                <w:id w:val="972024142"/>
                <w:lock w:val="sdtLocked"/>
              </w:sdtPr>
              <w:sdtContent>
                <w:tc>
                  <w:tcPr>
                    <w:tcW w:w="179" w:type="pct"/>
                    <w:shd w:val="clear" w:color="auto" w:fill="auto"/>
                    <w:vAlign w:val="center"/>
                  </w:tcPr>
                  <w:p w:rsidR="00421C65" w:rsidRPr="00BA6022" w:rsidRDefault="00421C65" w:rsidP="00DB008B">
                    <w:pPr>
                      <w:jc w:val="center"/>
                      <w:rPr>
                        <w:sz w:val="12"/>
                        <w:szCs w:val="12"/>
                      </w:rPr>
                    </w:pPr>
                    <w:r w:rsidRPr="00BA6022">
                      <w:rPr>
                        <w:rFonts w:hint="eastAsia"/>
                        <w:sz w:val="12"/>
                        <w:szCs w:val="12"/>
                      </w:rPr>
                      <w:t>资金来源</w:t>
                    </w:r>
                  </w:p>
                </w:tc>
              </w:sdtContent>
            </w:sdt>
          </w:tr>
          <w:sdt>
            <w:sdtPr>
              <w:rPr>
                <w:rFonts w:hint="eastAsia"/>
                <w:sz w:val="12"/>
                <w:szCs w:val="12"/>
              </w:rPr>
              <w:alias w:val="在建工程明细"/>
              <w:tag w:val="_TUP_ddeb799b6fdf45e2b195807d1913c3bb"/>
              <w:id w:val="-81066375"/>
              <w:lock w:val="sdtLocked"/>
            </w:sdtPr>
            <w:sdtContent>
              <w:tr w:rsidR="00732AC2" w:rsidTr="00E9665D">
                <w:trPr>
                  <w:cantSplit/>
                </w:trPr>
                <w:tc>
                  <w:tcPr>
                    <w:tcW w:w="982" w:type="pct"/>
                    <w:shd w:val="clear" w:color="auto" w:fill="auto"/>
                  </w:tcPr>
                  <w:p w:rsidR="00421C65" w:rsidRPr="00BA6022" w:rsidRDefault="00421C65" w:rsidP="00DB008B">
                    <w:pPr>
                      <w:ind w:right="105"/>
                      <w:rPr>
                        <w:sz w:val="12"/>
                        <w:szCs w:val="12"/>
                      </w:rPr>
                    </w:pPr>
                    <w:r w:rsidRPr="00BA6022">
                      <w:rPr>
                        <w:sz w:val="12"/>
                        <w:szCs w:val="12"/>
                      </w:rPr>
                      <w:t>太原南站综合调度楼及列车换乘中心建设工程</w:t>
                    </w:r>
                  </w:p>
                </w:tc>
                <w:tc>
                  <w:tcPr>
                    <w:tcW w:w="268" w:type="pct"/>
                    <w:shd w:val="clear" w:color="auto" w:fill="auto"/>
                    <w:vAlign w:val="center"/>
                  </w:tcPr>
                  <w:p w:rsidR="00421C65" w:rsidRPr="00BA6022" w:rsidRDefault="00421C65" w:rsidP="00E9665D">
                    <w:pPr>
                      <w:ind w:right="105"/>
                      <w:jc w:val="right"/>
                      <w:rPr>
                        <w:sz w:val="12"/>
                        <w:szCs w:val="12"/>
                      </w:rPr>
                    </w:pPr>
                    <w:r w:rsidRPr="00BA6022">
                      <w:rPr>
                        <w:sz w:val="12"/>
                        <w:szCs w:val="12"/>
                      </w:rPr>
                      <w:t>589,176,000</w:t>
                    </w:r>
                  </w:p>
                </w:tc>
                <w:tc>
                  <w:tcPr>
                    <w:tcW w:w="306" w:type="pct"/>
                    <w:shd w:val="clear" w:color="auto" w:fill="auto"/>
                    <w:vAlign w:val="center"/>
                  </w:tcPr>
                  <w:p w:rsidR="00421C65" w:rsidRPr="00BA6022" w:rsidRDefault="00421C65" w:rsidP="00E9665D">
                    <w:pPr>
                      <w:jc w:val="right"/>
                      <w:rPr>
                        <w:sz w:val="12"/>
                        <w:szCs w:val="12"/>
                      </w:rPr>
                    </w:pPr>
                    <w:r w:rsidRPr="00BA6022">
                      <w:rPr>
                        <w:sz w:val="12"/>
                        <w:szCs w:val="12"/>
                      </w:rPr>
                      <w:t>360,045,772</w:t>
                    </w:r>
                  </w:p>
                </w:tc>
                <w:tc>
                  <w:tcPr>
                    <w:tcW w:w="356" w:type="pct"/>
                    <w:shd w:val="clear" w:color="auto" w:fill="auto"/>
                    <w:vAlign w:val="center"/>
                  </w:tcPr>
                  <w:p w:rsidR="00421C65" w:rsidRPr="00BA6022" w:rsidRDefault="00421C65" w:rsidP="00E9665D">
                    <w:pPr>
                      <w:ind w:right="73"/>
                      <w:jc w:val="right"/>
                      <w:rPr>
                        <w:sz w:val="12"/>
                        <w:szCs w:val="12"/>
                      </w:rPr>
                    </w:pPr>
                    <w:r w:rsidRPr="00BA6022">
                      <w:rPr>
                        <w:sz w:val="12"/>
                        <w:szCs w:val="12"/>
                      </w:rPr>
                      <w:t>128,453,312</w:t>
                    </w:r>
                  </w:p>
                </w:tc>
                <w:sdt>
                  <w:sdtPr>
                    <w:rPr>
                      <w:sz w:val="12"/>
                      <w:szCs w:val="12"/>
                    </w:rPr>
                    <w:alias w:val="其中:固定资产净额转入"/>
                    <w:tag w:val="_GBC_c1ae895d803a4257bf9dc4372444b544"/>
                    <w:id w:val="-1350716632"/>
                    <w:lock w:val="sdtLocked"/>
                  </w:sdtPr>
                  <w:sdtContent>
                    <w:tc>
                      <w:tcPr>
                        <w:tcW w:w="366" w:type="pct"/>
                        <w:shd w:val="clear" w:color="auto" w:fill="auto"/>
                        <w:vAlign w:val="center"/>
                      </w:tcPr>
                      <w:p w:rsidR="00421C65" w:rsidRPr="00BA6022" w:rsidRDefault="00421C65" w:rsidP="00E9665D">
                        <w:pPr>
                          <w:ind w:right="73"/>
                          <w:jc w:val="right"/>
                          <w:rPr>
                            <w:sz w:val="12"/>
                            <w:szCs w:val="12"/>
                          </w:rPr>
                        </w:pPr>
                        <w:r w:rsidRPr="00BA6022">
                          <w:rPr>
                            <w:sz w:val="12"/>
                            <w:szCs w:val="12"/>
                          </w:rPr>
                          <w:t>0</w:t>
                        </w:r>
                      </w:p>
                    </w:tc>
                  </w:sdtContent>
                </w:sdt>
                <w:tc>
                  <w:tcPr>
                    <w:tcW w:w="356" w:type="pct"/>
                    <w:shd w:val="clear" w:color="auto" w:fill="auto"/>
                    <w:vAlign w:val="center"/>
                  </w:tcPr>
                  <w:p w:rsidR="00421C65" w:rsidRPr="00BA6022" w:rsidRDefault="00421C65" w:rsidP="00E9665D">
                    <w:pPr>
                      <w:ind w:right="73"/>
                      <w:jc w:val="right"/>
                      <w:rPr>
                        <w:sz w:val="12"/>
                        <w:szCs w:val="12"/>
                      </w:rPr>
                    </w:pPr>
                    <w:r w:rsidRPr="00BA6022">
                      <w:rPr>
                        <w:sz w:val="12"/>
                        <w:szCs w:val="12"/>
                      </w:rPr>
                      <w:t>0</w:t>
                    </w:r>
                  </w:p>
                </w:tc>
                <w:sdt>
                  <w:sdtPr>
                    <w:rPr>
                      <w:sz w:val="12"/>
                      <w:szCs w:val="12"/>
                    </w:rPr>
                    <w:alias w:val="本期转入无形资产"/>
                    <w:tag w:val="_GBC_ee84abaf19624d90b7023794360890cc"/>
                    <w:id w:val="2072776583"/>
                    <w:lock w:val="sdtLocked"/>
                  </w:sdtPr>
                  <w:sdtContent>
                    <w:tc>
                      <w:tcPr>
                        <w:tcW w:w="312" w:type="pct"/>
                        <w:shd w:val="clear" w:color="auto" w:fill="auto"/>
                        <w:vAlign w:val="center"/>
                      </w:tcPr>
                      <w:p w:rsidR="00421C65" w:rsidRPr="00BA6022" w:rsidRDefault="00421C65" w:rsidP="00E9665D">
                        <w:pPr>
                          <w:ind w:right="73"/>
                          <w:jc w:val="right"/>
                          <w:rPr>
                            <w:sz w:val="12"/>
                            <w:szCs w:val="12"/>
                          </w:rPr>
                        </w:pPr>
                        <w:r w:rsidRPr="00BA6022">
                          <w:rPr>
                            <w:sz w:val="12"/>
                            <w:szCs w:val="12"/>
                          </w:rPr>
                          <w:t>0</w:t>
                        </w:r>
                      </w:p>
                    </w:tc>
                  </w:sdtContent>
                </w:sdt>
                <w:tc>
                  <w:tcPr>
                    <w:tcW w:w="311" w:type="pct"/>
                    <w:shd w:val="clear" w:color="auto" w:fill="auto"/>
                    <w:vAlign w:val="center"/>
                  </w:tcPr>
                  <w:p w:rsidR="00421C65" w:rsidRPr="00BA6022" w:rsidRDefault="00421C65" w:rsidP="00E9665D">
                    <w:pPr>
                      <w:jc w:val="right"/>
                      <w:rPr>
                        <w:sz w:val="12"/>
                        <w:szCs w:val="12"/>
                      </w:rPr>
                    </w:pPr>
                    <w:r w:rsidRPr="00BA6022">
                      <w:rPr>
                        <w:sz w:val="12"/>
                        <w:szCs w:val="12"/>
                      </w:rPr>
                      <w:t>0</w:t>
                    </w:r>
                  </w:p>
                </w:tc>
                <w:tc>
                  <w:tcPr>
                    <w:tcW w:w="314" w:type="pct"/>
                    <w:vAlign w:val="center"/>
                  </w:tcPr>
                  <w:p w:rsidR="00421C65" w:rsidRPr="00BA6022" w:rsidRDefault="00421C65" w:rsidP="00E9665D">
                    <w:pPr>
                      <w:jc w:val="right"/>
                      <w:rPr>
                        <w:sz w:val="12"/>
                        <w:szCs w:val="12"/>
                      </w:rPr>
                    </w:pPr>
                    <w:r w:rsidRPr="00BA6022">
                      <w:rPr>
                        <w:sz w:val="12"/>
                        <w:szCs w:val="12"/>
                      </w:rPr>
                      <w:t>488,499,084</w:t>
                    </w:r>
                  </w:p>
                </w:tc>
                <w:tc>
                  <w:tcPr>
                    <w:tcW w:w="352" w:type="pct"/>
                    <w:shd w:val="clear" w:color="auto" w:fill="auto"/>
                    <w:vAlign w:val="center"/>
                  </w:tcPr>
                  <w:p w:rsidR="00421C65" w:rsidRPr="00BA6022" w:rsidRDefault="00421C65" w:rsidP="00E9665D">
                    <w:pPr>
                      <w:jc w:val="right"/>
                      <w:rPr>
                        <w:sz w:val="12"/>
                        <w:szCs w:val="12"/>
                      </w:rPr>
                    </w:pPr>
                    <w:r w:rsidRPr="00BA6022">
                      <w:rPr>
                        <w:sz w:val="12"/>
                        <w:szCs w:val="12"/>
                      </w:rPr>
                      <w:t>83%</w:t>
                    </w:r>
                  </w:p>
                </w:tc>
                <w:tc>
                  <w:tcPr>
                    <w:tcW w:w="157" w:type="pct"/>
                    <w:shd w:val="clear" w:color="auto" w:fill="auto"/>
                    <w:vAlign w:val="center"/>
                  </w:tcPr>
                  <w:p w:rsidR="00421C65" w:rsidRPr="00BA6022" w:rsidRDefault="00421C65" w:rsidP="00E9665D">
                    <w:pPr>
                      <w:jc w:val="right"/>
                      <w:rPr>
                        <w:sz w:val="12"/>
                        <w:szCs w:val="12"/>
                      </w:rPr>
                    </w:pPr>
                    <w:r w:rsidRPr="00BA6022">
                      <w:rPr>
                        <w:sz w:val="12"/>
                        <w:szCs w:val="12"/>
                      </w:rPr>
                      <w:t>83%</w:t>
                    </w:r>
                  </w:p>
                </w:tc>
                <w:tc>
                  <w:tcPr>
                    <w:tcW w:w="249" w:type="pct"/>
                    <w:shd w:val="clear" w:color="auto" w:fill="auto"/>
                    <w:vAlign w:val="center"/>
                  </w:tcPr>
                  <w:p w:rsidR="00421C65" w:rsidRPr="00BA6022" w:rsidRDefault="00421C65" w:rsidP="00E9665D">
                    <w:pPr>
                      <w:jc w:val="right"/>
                      <w:rPr>
                        <w:sz w:val="12"/>
                        <w:szCs w:val="12"/>
                      </w:rPr>
                    </w:pPr>
                    <w:r w:rsidRPr="00BA6022">
                      <w:rPr>
                        <w:sz w:val="12"/>
                        <w:szCs w:val="12"/>
                      </w:rPr>
                      <w:t>0</w:t>
                    </w:r>
                  </w:p>
                </w:tc>
                <w:tc>
                  <w:tcPr>
                    <w:tcW w:w="268" w:type="pct"/>
                    <w:shd w:val="clear" w:color="auto" w:fill="auto"/>
                    <w:vAlign w:val="center"/>
                  </w:tcPr>
                  <w:p w:rsidR="00421C65" w:rsidRPr="00BA6022" w:rsidRDefault="00421C65" w:rsidP="00E9665D">
                    <w:pPr>
                      <w:jc w:val="right"/>
                      <w:rPr>
                        <w:sz w:val="12"/>
                        <w:szCs w:val="12"/>
                      </w:rPr>
                    </w:pPr>
                    <w:r w:rsidRPr="00BA6022">
                      <w:rPr>
                        <w:sz w:val="12"/>
                        <w:szCs w:val="12"/>
                      </w:rPr>
                      <w:t>0</w:t>
                    </w:r>
                  </w:p>
                </w:tc>
                <w:tc>
                  <w:tcPr>
                    <w:tcW w:w="223" w:type="pct"/>
                    <w:shd w:val="clear" w:color="auto" w:fill="auto"/>
                    <w:vAlign w:val="center"/>
                  </w:tcPr>
                  <w:p w:rsidR="00421C65" w:rsidRPr="00BA6022" w:rsidRDefault="00421C65" w:rsidP="00E9665D">
                    <w:pPr>
                      <w:jc w:val="right"/>
                      <w:rPr>
                        <w:sz w:val="12"/>
                        <w:szCs w:val="12"/>
                      </w:rPr>
                    </w:pPr>
                    <w:r w:rsidRPr="00BA6022">
                      <w:rPr>
                        <w:sz w:val="12"/>
                        <w:szCs w:val="12"/>
                      </w:rPr>
                      <w:t>0</w:t>
                    </w:r>
                  </w:p>
                </w:tc>
                <w:tc>
                  <w:tcPr>
                    <w:tcW w:w="179" w:type="pct"/>
                    <w:shd w:val="clear" w:color="auto" w:fill="auto"/>
                    <w:vAlign w:val="center"/>
                  </w:tcPr>
                  <w:p w:rsidR="00421C65" w:rsidRPr="00BA6022" w:rsidRDefault="00421C65" w:rsidP="00E9665D">
                    <w:pPr>
                      <w:jc w:val="right"/>
                      <w:rPr>
                        <w:sz w:val="12"/>
                        <w:szCs w:val="12"/>
                      </w:rPr>
                    </w:pPr>
                    <w:r w:rsidRPr="00BA6022">
                      <w:rPr>
                        <w:sz w:val="12"/>
                        <w:szCs w:val="12"/>
                      </w:rPr>
                      <w:t>自筹</w:t>
                    </w:r>
                  </w:p>
                </w:tc>
              </w:tr>
            </w:sdtContent>
          </w:sdt>
          <w:sdt>
            <w:sdtPr>
              <w:rPr>
                <w:rFonts w:hint="eastAsia"/>
                <w:sz w:val="12"/>
                <w:szCs w:val="12"/>
              </w:rPr>
              <w:alias w:val="在建工程明细"/>
              <w:tag w:val="_TUP_ddeb799b6fdf45e2b195807d1913c3bb"/>
              <w:id w:val="1604228306"/>
              <w:lock w:val="sdtLocked"/>
            </w:sdtPr>
            <w:sdtContent>
              <w:tr w:rsidR="00732AC2" w:rsidTr="00E9665D">
                <w:trPr>
                  <w:cantSplit/>
                </w:trPr>
                <w:tc>
                  <w:tcPr>
                    <w:tcW w:w="982" w:type="pct"/>
                    <w:shd w:val="clear" w:color="auto" w:fill="auto"/>
                  </w:tcPr>
                  <w:p w:rsidR="00421C65" w:rsidRPr="00BA6022" w:rsidRDefault="00421C65" w:rsidP="00421C65">
                    <w:pPr>
                      <w:ind w:right="105"/>
                      <w:rPr>
                        <w:sz w:val="12"/>
                        <w:szCs w:val="12"/>
                      </w:rPr>
                    </w:pPr>
                    <w:r w:rsidRPr="00BA6022">
                      <w:rPr>
                        <w:sz w:val="12"/>
                        <w:szCs w:val="12"/>
                      </w:rPr>
                      <w:t>南同蒲线侯马至风陵渡段增设噪声防治工程</w:t>
                    </w:r>
                  </w:p>
                </w:tc>
                <w:tc>
                  <w:tcPr>
                    <w:tcW w:w="268" w:type="pct"/>
                    <w:shd w:val="clear" w:color="auto" w:fill="auto"/>
                    <w:vAlign w:val="center"/>
                  </w:tcPr>
                  <w:p w:rsidR="00421C65" w:rsidRPr="00BA6022" w:rsidRDefault="0068376A" w:rsidP="00E9665D">
                    <w:pPr>
                      <w:ind w:right="105"/>
                      <w:jc w:val="right"/>
                      <w:rPr>
                        <w:sz w:val="12"/>
                        <w:szCs w:val="12"/>
                      </w:rPr>
                    </w:pPr>
                    <w:r w:rsidRPr="0068376A">
                      <w:rPr>
                        <w:sz w:val="12"/>
                        <w:szCs w:val="12"/>
                      </w:rPr>
                      <w:t>51,018,591</w:t>
                    </w:r>
                  </w:p>
                </w:tc>
                <w:tc>
                  <w:tcPr>
                    <w:tcW w:w="306" w:type="pct"/>
                    <w:shd w:val="clear" w:color="auto" w:fill="auto"/>
                    <w:vAlign w:val="center"/>
                  </w:tcPr>
                  <w:p w:rsidR="00421C65" w:rsidRPr="00BA6022" w:rsidRDefault="00421C65" w:rsidP="00E9665D">
                    <w:pPr>
                      <w:jc w:val="right"/>
                      <w:rPr>
                        <w:sz w:val="12"/>
                        <w:szCs w:val="12"/>
                      </w:rPr>
                    </w:pPr>
                    <w:r w:rsidRPr="00BA6022">
                      <w:rPr>
                        <w:sz w:val="12"/>
                        <w:szCs w:val="12"/>
                      </w:rPr>
                      <w:t>27,296,340</w:t>
                    </w:r>
                  </w:p>
                </w:tc>
                <w:tc>
                  <w:tcPr>
                    <w:tcW w:w="356" w:type="pct"/>
                    <w:shd w:val="clear" w:color="auto" w:fill="auto"/>
                    <w:vAlign w:val="center"/>
                  </w:tcPr>
                  <w:p w:rsidR="00421C65" w:rsidRPr="00BA6022" w:rsidRDefault="00421C65" w:rsidP="00E9665D">
                    <w:pPr>
                      <w:ind w:right="73"/>
                      <w:jc w:val="right"/>
                      <w:rPr>
                        <w:sz w:val="12"/>
                        <w:szCs w:val="12"/>
                      </w:rPr>
                    </w:pPr>
                    <w:r w:rsidRPr="00BA6022">
                      <w:rPr>
                        <w:sz w:val="12"/>
                        <w:szCs w:val="12"/>
                      </w:rPr>
                      <w:t>8,413,815</w:t>
                    </w:r>
                  </w:p>
                </w:tc>
                <w:sdt>
                  <w:sdtPr>
                    <w:rPr>
                      <w:sz w:val="12"/>
                      <w:szCs w:val="12"/>
                    </w:rPr>
                    <w:alias w:val="其中:固定资产净额转入"/>
                    <w:tag w:val="_GBC_c1ae895d803a4257bf9dc4372444b544"/>
                    <w:id w:val="-1523932495"/>
                    <w:lock w:val="sdtLocked"/>
                  </w:sdtPr>
                  <w:sdtContent>
                    <w:tc>
                      <w:tcPr>
                        <w:tcW w:w="366" w:type="pct"/>
                        <w:shd w:val="clear" w:color="auto" w:fill="auto"/>
                        <w:vAlign w:val="center"/>
                      </w:tcPr>
                      <w:p w:rsidR="00421C65" w:rsidRPr="00BA6022" w:rsidRDefault="00421C65" w:rsidP="00E9665D">
                        <w:pPr>
                          <w:ind w:right="73"/>
                          <w:jc w:val="right"/>
                          <w:rPr>
                            <w:sz w:val="12"/>
                            <w:szCs w:val="12"/>
                          </w:rPr>
                        </w:pPr>
                        <w:r w:rsidRPr="00BA6022">
                          <w:rPr>
                            <w:sz w:val="12"/>
                            <w:szCs w:val="12"/>
                          </w:rPr>
                          <w:t>0</w:t>
                        </w:r>
                      </w:p>
                    </w:tc>
                  </w:sdtContent>
                </w:sdt>
                <w:tc>
                  <w:tcPr>
                    <w:tcW w:w="356" w:type="pct"/>
                    <w:shd w:val="clear" w:color="auto" w:fill="auto"/>
                    <w:vAlign w:val="center"/>
                  </w:tcPr>
                  <w:p w:rsidR="00421C65" w:rsidRPr="00BA6022" w:rsidRDefault="00421C65" w:rsidP="00E9665D">
                    <w:pPr>
                      <w:ind w:right="73"/>
                      <w:jc w:val="right"/>
                      <w:rPr>
                        <w:sz w:val="12"/>
                        <w:szCs w:val="12"/>
                      </w:rPr>
                    </w:pPr>
                    <w:r w:rsidRPr="00BA6022">
                      <w:rPr>
                        <w:sz w:val="12"/>
                        <w:szCs w:val="12"/>
                      </w:rPr>
                      <w:t>0</w:t>
                    </w:r>
                  </w:p>
                </w:tc>
                <w:sdt>
                  <w:sdtPr>
                    <w:rPr>
                      <w:sz w:val="12"/>
                      <w:szCs w:val="12"/>
                    </w:rPr>
                    <w:alias w:val="本期转入无形资产"/>
                    <w:tag w:val="_GBC_ee84abaf19624d90b7023794360890cc"/>
                    <w:id w:val="-1159925521"/>
                    <w:lock w:val="sdtLocked"/>
                  </w:sdtPr>
                  <w:sdtContent>
                    <w:tc>
                      <w:tcPr>
                        <w:tcW w:w="312" w:type="pct"/>
                        <w:shd w:val="clear" w:color="auto" w:fill="auto"/>
                        <w:vAlign w:val="center"/>
                      </w:tcPr>
                      <w:p w:rsidR="00421C65" w:rsidRPr="00BA6022" w:rsidRDefault="00421C65" w:rsidP="00E9665D">
                        <w:pPr>
                          <w:ind w:right="73"/>
                          <w:jc w:val="right"/>
                          <w:rPr>
                            <w:sz w:val="12"/>
                            <w:szCs w:val="12"/>
                          </w:rPr>
                        </w:pPr>
                        <w:r w:rsidRPr="00BA6022">
                          <w:rPr>
                            <w:sz w:val="12"/>
                            <w:szCs w:val="12"/>
                          </w:rPr>
                          <w:t>0</w:t>
                        </w:r>
                      </w:p>
                    </w:tc>
                  </w:sdtContent>
                </w:sdt>
                <w:tc>
                  <w:tcPr>
                    <w:tcW w:w="311" w:type="pct"/>
                    <w:shd w:val="clear" w:color="auto" w:fill="auto"/>
                    <w:vAlign w:val="center"/>
                  </w:tcPr>
                  <w:p w:rsidR="00421C65" w:rsidRPr="00BA6022" w:rsidRDefault="00421C65" w:rsidP="00E9665D">
                    <w:pPr>
                      <w:jc w:val="right"/>
                      <w:rPr>
                        <w:sz w:val="12"/>
                        <w:szCs w:val="12"/>
                      </w:rPr>
                    </w:pPr>
                    <w:r w:rsidRPr="00BA6022">
                      <w:rPr>
                        <w:sz w:val="12"/>
                        <w:szCs w:val="12"/>
                      </w:rPr>
                      <w:t>0</w:t>
                    </w:r>
                  </w:p>
                </w:tc>
                <w:tc>
                  <w:tcPr>
                    <w:tcW w:w="314" w:type="pct"/>
                    <w:vAlign w:val="center"/>
                  </w:tcPr>
                  <w:p w:rsidR="00421C65" w:rsidRPr="00BA6022" w:rsidRDefault="00421C65" w:rsidP="00E9665D">
                    <w:pPr>
                      <w:jc w:val="right"/>
                      <w:rPr>
                        <w:sz w:val="12"/>
                        <w:szCs w:val="12"/>
                      </w:rPr>
                    </w:pPr>
                    <w:r w:rsidRPr="00BA6022">
                      <w:rPr>
                        <w:sz w:val="12"/>
                        <w:szCs w:val="12"/>
                      </w:rPr>
                      <w:t>35,710,155</w:t>
                    </w:r>
                  </w:p>
                </w:tc>
                <w:tc>
                  <w:tcPr>
                    <w:tcW w:w="352" w:type="pct"/>
                    <w:shd w:val="clear" w:color="auto" w:fill="auto"/>
                    <w:vAlign w:val="center"/>
                  </w:tcPr>
                  <w:p w:rsidR="00421C65" w:rsidRPr="00BA6022" w:rsidRDefault="0068376A" w:rsidP="00E9665D">
                    <w:pPr>
                      <w:jc w:val="right"/>
                      <w:rPr>
                        <w:sz w:val="12"/>
                        <w:szCs w:val="12"/>
                      </w:rPr>
                    </w:pPr>
                    <w:r w:rsidRPr="0068376A">
                      <w:rPr>
                        <w:sz w:val="12"/>
                        <w:szCs w:val="12"/>
                      </w:rPr>
                      <w:t>70</w:t>
                    </w:r>
                    <w:r w:rsidR="00421C65" w:rsidRPr="0068376A">
                      <w:rPr>
                        <w:sz w:val="12"/>
                        <w:szCs w:val="12"/>
                      </w:rPr>
                      <w:t>%</w:t>
                    </w:r>
                  </w:p>
                </w:tc>
                <w:tc>
                  <w:tcPr>
                    <w:tcW w:w="157" w:type="pct"/>
                    <w:shd w:val="clear" w:color="auto" w:fill="auto"/>
                    <w:vAlign w:val="center"/>
                  </w:tcPr>
                  <w:p w:rsidR="00421C65" w:rsidRPr="00BA6022" w:rsidRDefault="0068376A" w:rsidP="00E9665D">
                    <w:pPr>
                      <w:jc w:val="right"/>
                      <w:rPr>
                        <w:sz w:val="12"/>
                        <w:szCs w:val="12"/>
                      </w:rPr>
                    </w:pPr>
                    <w:r>
                      <w:rPr>
                        <w:sz w:val="12"/>
                        <w:szCs w:val="12"/>
                      </w:rPr>
                      <w:t>70</w:t>
                    </w:r>
                    <w:r w:rsidR="00421C65" w:rsidRPr="00BA6022">
                      <w:rPr>
                        <w:sz w:val="12"/>
                        <w:szCs w:val="12"/>
                      </w:rPr>
                      <w:t>%</w:t>
                    </w:r>
                  </w:p>
                </w:tc>
                <w:tc>
                  <w:tcPr>
                    <w:tcW w:w="249" w:type="pct"/>
                    <w:shd w:val="clear" w:color="auto" w:fill="auto"/>
                    <w:vAlign w:val="center"/>
                  </w:tcPr>
                  <w:p w:rsidR="00421C65" w:rsidRPr="00BA6022" w:rsidRDefault="00421C65" w:rsidP="00E9665D">
                    <w:pPr>
                      <w:jc w:val="right"/>
                      <w:rPr>
                        <w:sz w:val="12"/>
                        <w:szCs w:val="12"/>
                      </w:rPr>
                    </w:pPr>
                    <w:r w:rsidRPr="00BA6022">
                      <w:rPr>
                        <w:sz w:val="12"/>
                        <w:szCs w:val="12"/>
                      </w:rPr>
                      <w:t>0</w:t>
                    </w:r>
                  </w:p>
                </w:tc>
                <w:tc>
                  <w:tcPr>
                    <w:tcW w:w="268" w:type="pct"/>
                    <w:shd w:val="clear" w:color="auto" w:fill="auto"/>
                    <w:vAlign w:val="center"/>
                  </w:tcPr>
                  <w:p w:rsidR="00421C65" w:rsidRPr="00BA6022" w:rsidRDefault="00421C65" w:rsidP="00E9665D">
                    <w:pPr>
                      <w:jc w:val="right"/>
                      <w:rPr>
                        <w:sz w:val="12"/>
                        <w:szCs w:val="12"/>
                      </w:rPr>
                    </w:pPr>
                    <w:r w:rsidRPr="00BA6022">
                      <w:rPr>
                        <w:sz w:val="12"/>
                        <w:szCs w:val="12"/>
                      </w:rPr>
                      <w:t>0</w:t>
                    </w:r>
                  </w:p>
                </w:tc>
                <w:tc>
                  <w:tcPr>
                    <w:tcW w:w="223" w:type="pct"/>
                    <w:shd w:val="clear" w:color="auto" w:fill="auto"/>
                    <w:vAlign w:val="center"/>
                  </w:tcPr>
                  <w:p w:rsidR="00421C65" w:rsidRPr="00BA6022" w:rsidRDefault="00421C65" w:rsidP="00E9665D">
                    <w:pPr>
                      <w:jc w:val="right"/>
                      <w:rPr>
                        <w:sz w:val="12"/>
                        <w:szCs w:val="12"/>
                      </w:rPr>
                    </w:pPr>
                    <w:r w:rsidRPr="00BA6022">
                      <w:rPr>
                        <w:sz w:val="12"/>
                        <w:szCs w:val="12"/>
                      </w:rPr>
                      <w:t>0</w:t>
                    </w:r>
                  </w:p>
                </w:tc>
                <w:tc>
                  <w:tcPr>
                    <w:tcW w:w="179" w:type="pct"/>
                    <w:shd w:val="clear" w:color="auto" w:fill="auto"/>
                    <w:vAlign w:val="center"/>
                  </w:tcPr>
                  <w:p w:rsidR="00421C65" w:rsidRPr="00BA6022" w:rsidRDefault="00421C65" w:rsidP="00E9665D">
                    <w:pPr>
                      <w:jc w:val="right"/>
                      <w:rPr>
                        <w:sz w:val="12"/>
                        <w:szCs w:val="12"/>
                      </w:rPr>
                    </w:pPr>
                    <w:r w:rsidRPr="00BA6022">
                      <w:rPr>
                        <w:sz w:val="12"/>
                        <w:szCs w:val="12"/>
                      </w:rPr>
                      <w:t>自筹</w:t>
                    </w:r>
                  </w:p>
                </w:tc>
              </w:tr>
            </w:sdtContent>
          </w:sdt>
          <w:sdt>
            <w:sdtPr>
              <w:rPr>
                <w:rFonts w:hint="eastAsia"/>
                <w:sz w:val="12"/>
                <w:szCs w:val="12"/>
              </w:rPr>
              <w:alias w:val="在建工程明细"/>
              <w:tag w:val="_TUP_ddeb799b6fdf45e2b195807d1913c3bb"/>
              <w:id w:val="-1925559068"/>
              <w:lock w:val="sdtLocked"/>
            </w:sdtPr>
            <w:sdtContent>
              <w:tr w:rsidR="00732AC2" w:rsidTr="00E9665D">
                <w:trPr>
                  <w:cantSplit/>
                </w:trPr>
                <w:tc>
                  <w:tcPr>
                    <w:tcW w:w="982" w:type="pct"/>
                    <w:shd w:val="clear" w:color="auto" w:fill="auto"/>
                  </w:tcPr>
                  <w:p w:rsidR="00421C65" w:rsidRPr="00BA6022" w:rsidRDefault="00421C65" w:rsidP="00421C65">
                    <w:pPr>
                      <w:ind w:right="105"/>
                      <w:rPr>
                        <w:sz w:val="12"/>
                        <w:szCs w:val="12"/>
                      </w:rPr>
                    </w:pPr>
                    <w:r w:rsidRPr="00BA6022">
                      <w:rPr>
                        <w:sz w:val="12"/>
                        <w:szCs w:val="12"/>
                      </w:rPr>
                      <w:t>迁安北站道岔改造工程</w:t>
                    </w:r>
                  </w:p>
                </w:tc>
                <w:tc>
                  <w:tcPr>
                    <w:tcW w:w="268" w:type="pct"/>
                    <w:shd w:val="clear" w:color="auto" w:fill="auto"/>
                    <w:vAlign w:val="center"/>
                  </w:tcPr>
                  <w:p w:rsidR="00421C65" w:rsidRPr="00BA6022" w:rsidRDefault="00421C65" w:rsidP="00E9665D">
                    <w:pPr>
                      <w:ind w:right="105"/>
                      <w:jc w:val="right"/>
                      <w:rPr>
                        <w:sz w:val="12"/>
                        <w:szCs w:val="12"/>
                      </w:rPr>
                    </w:pPr>
                    <w:r w:rsidRPr="00BA6022">
                      <w:rPr>
                        <w:sz w:val="12"/>
                        <w:szCs w:val="12"/>
                      </w:rPr>
                      <w:t>53,811,000</w:t>
                    </w:r>
                  </w:p>
                </w:tc>
                <w:tc>
                  <w:tcPr>
                    <w:tcW w:w="306" w:type="pct"/>
                    <w:shd w:val="clear" w:color="auto" w:fill="auto"/>
                    <w:vAlign w:val="center"/>
                  </w:tcPr>
                  <w:p w:rsidR="00421C65" w:rsidRPr="00BA6022" w:rsidRDefault="00421C65" w:rsidP="00E9665D">
                    <w:pPr>
                      <w:jc w:val="right"/>
                      <w:rPr>
                        <w:sz w:val="12"/>
                        <w:szCs w:val="12"/>
                      </w:rPr>
                    </w:pPr>
                    <w:r w:rsidRPr="00BA6022">
                      <w:rPr>
                        <w:sz w:val="12"/>
                        <w:szCs w:val="12"/>
                      </w:rPr>
                      <w:t>0</w:t>
                    </w:r>
                  </w:p>
                </w:tc>
                <w:tc>
                  <w:tcPr>
                    <w:tcW w:w="356" w:type="pct"/>
                    <w:shd w:val="clear" w:color="auto" w:fill="auto"/>
                    <w:vAlign w:val="center"/>
                  </w:tcPr>
                  <w:p w:rsidR="00421C65" w:rsidRPr="00BA6022" w:rsidRDefault="00421C65" w:rsidP="00E9665D">
                    <w:pPr>
                      <w:ind w:right="73"/>
                      <w:jc w:val="right"/>
                      <w:rPr>
                        <w:sz w:val="12"/>
                        <w:szCs w:val="12"/>
                      </w:rPr>
                    </w:pPr>
                    <w:r w:rsidRPr="00BA6022">
                      <w:rPr>
                        <w:sz w:val="12"/>
                        <w:szCs w:val="12"/>
                      </w:rPr>
                      <w:t>33,243,189</w:t>
                    </w:r>
                  </w:p>
                </w:tc>
                <w:tc>
                  <w:tcPr>
                    <w:tcW w:w="366" w:type="pct"/>
                    <w:shd w:val="clear" w:color="auto" w:fill="auto"/>
                    <w:vAlign w:val="center"/>
                  </w:tcPr>
                  <w:p w:rsidR="00421C65" w:rsidRPr="00BA6022" w:rsidRDefault="00421C65" w:rsidP="00E9665D">
                    <w:pPr>
                      <w:ind w:right="73"/>
                      <w:jc w:val="right"/>
                      <w:rPr>
                        <w:sz w:val="12"/>
                        <w:szCs w:val="12"/>
                      </w:rPr>
                    </w:pPr>
                    <w:r w:rsidRPr="00BA6022">
                      <w:rPr>
                        <w:sz w:val="12"/>
                        <w:szCs w:val="12"/>
                      </w:rPr>
                      <w:t>0</w:t>
                    </w:r>
                  </w:p>
                </w:tc>
                <w:tc>
                  <w:tcPr>
                    <w:tcW w:w="356" w:type="pct"/>
                    <w:shd w:val="clear" w:color="auto" w:fill="auto"/>
                    <w:vAlign w:val="center"/>
                  </w:tcPr>
                  <w:p w:rsidR="00421C65" w:rsidRPr="00BA6022" w:rsidRDefault="00421C65" w:rsidP="00E9665D">
                    <w:pPr>
                      <w:ind w:right="73"/>
                      <w:jc w:val="right"/>
                      <w:rPr>
                        <w:sz w:val="12"/>
                        <w:szCs w:val="12"/>
                      </w:rPr>
                    </w:pPr>
                    <w:r w:rsidRPr="00BA6022">
                      <w:rPr>
                        <w:sz w:val="12"/>
                        <w:szCs w:val="12"/>
                      </w:rPr>
                      <w:t>0</w:t>
                    </w:r>
                  </w:p>
                </w:tc>
                <w:tc>
                  <w:tcPr>
                    <w:tcW w:w="312" w:type="pct"/>
                    <w:shd w:val="clear" w:color="auto" w:fill="auto"/>
                    <w:vAlign w:val="center"/>
                  </w:tcPr>
                  <w:p w:rsidR="00421C65" w:rsidRPr="00BA6022" w:rsidRDefault="00421C65" w:rsidP="00E9665D">
                    <w:pPr>
                      <w:ind w:right="73"/>
                      <w:jc w:val="right"/>
                      <w:rPr>
                        <w:sz w:val="12"/>
                        <w:szCs w:val="12"/>
                      </w:rPr>
                    </w:pPr>
                    <w:r w:rsidRPr="00BA6022">
                      <w:rPr>
                        <w:sz w:val="12"/>
                        <w:szCs w:val="12"/>
                      </w:rPr>
                      <w:t>0</w:t>
                    </w:r>
                  </w:p>
                </w:tc>
                <w:tc>
                  <w:tcPr>
                    <w:tcW w:w="311" w:type="pct"/>
                    <w:shd w:val="clear" w:color="auto" w:fill="auto"/>
                    <w:vAlign w:val="center"/>
                  </w:tcPr>
                  <w:p w:rsidR="00421C65" w:rsidRPr="00BA6022" w:rsidRDefault="00421C65" w:rsidP="00E9665D">
                    <w:pPr>
                      <w:jc w:val="right"/>
                      <w:rPr>
                        <w:sz w:val="12"/>
                        <w:szCs w:val="12"/>
                      </w:rPr>
                    </w:pPr>
                    <w:r w:rsidRPr="00BA6022">
                      <w:rPr>
                        <w:sz w:val="12"/>
                        <w:szCs w:val="12"/>
                      </w:rPr>
                      <w:t>0</w:t>
                    </w:r>
                  </w:p>
                </w:tc>
                <w:tc>
                  <w:tcPr>
                    <w:tcW w:w="314" w:type="pct"/>
                    <w:vAlign w:val="center"/>
                  </w:tcPr>
                  <w:p w:rsidR="00421C65" w:rsidRPr="00BA6022" w:rsidRDefault="00421C65" w:rsidP="00E9665D">
                    <w:pPr>
                      <w:jc w:val="right"/>
                      <w:rPr>
                        <w:sz w:val="12"/>
                        <w:szCs w:val="12"/>
                      </w:rPr>
                    </w:pPr>
                    <w:r w:rsidRPr="00BA6022">
                      <w:rPr>
                        <w:sz w:val="12"/>
                        <w:szCs w:val="12"/>
                      </w:rPr>
                      <w:t>33,243,189</w:t>
                    </w:r>
                  </w:p>
                </w:tc>
                <w:tc>
                  <w:tcPr>
                    <w:tcW w:w="352" w:type="pct"/>
                    <w:shd w:val="clear" w:color="auto" w:fill="auto"/>
                    <w:vAlign w:val="center"/>
                  </w:tcPr>
                  <w:p w:rsidR="00421C65" w:rsidRPr="00BA6022" w:rsidRDefault="00421C65" w:rsidP="00E9665D">
                    <w:pPr>
                      <w:jc w:val="right"/>
                      <w:rPr>
                        <w:sz w:val="12"/>
                        <w:szCs w:val="12"/>
                      </w:rPr>
                    </w:pPr>
                    <w:r w:rsidRPr="00BA6022">
                      <w:rPr>
                        <w:sz w:val="12"/>
                        <w:szCs w:val="12"/>
                      </w:rPr>
                      <w:t>62%</w:t>
                    </w:r>
                  </w:p>
                </w:tc>
                <w:tc>
                  <w:tcPr>
                    <w:tcW w:w="157" w:type="pct"/>
                    <w:shd w:val="clear" w:color="auto" w:fill="auto"/>
                    <w:vAlign w:val="center"/>
                  </w:tcPr>
                  <w:p w:rsidR="00421C65" w:rsidRPr="00BA6022" w:rsidRDefault="00421C65" w:rsidP="00E9665D">
                    <w:pPr>
                      <w:jc w:val="right"/>
                      <w:rPr>
                        <w:sz w:val="12"/>
                        <w:szCs w:val="12"/>
                      </w:rPr>
                    </w:pPr>
                    <w:r w:rsidRPr="00BA6022">
                      <w:rPr>
                        <w:sz w:val="12"/>
                        <w:szCs w:val="12"/>
                      </w:rPr>
                      <w:t>62%</w:t>
                    </w:r>
                  </w:p>
                </w:tc>
                <w:tc>
                  <w:tcPr>
                    <w:tcW w:w="249" w:type="pct"/>
                    <w:shd w:val="clear" w:color="auto" w:fill="auto"/>
                    <w:vAlign w:val="center"/>
                  </w:tcPr>
                  <w:p w:rsidR="00421C65" w:rsidRPr="00BA6022" w:rsidRDefault="00421C65" w:rsidP="00E9665D">
                    <w:pPr>
                      <w:jc w:val="right"/>
                      <w:rPr>
                        <w:sz w:val="12"/>
                        <w:szCs w:val="12"/>
                      </w:rPr>
                    </w:pPr>
                    <w:r w:rsidRPr="00BA6022">
                      <w:rPr>
                        <w:sz w:val="12"/>
                        <w:szCs w:val="12"/>
                      </w:rPr>
                      <w:t>0</w:t>
                    </w:r>
                  </w:p>
                </w:tc>
                <w:tc>
                  <w:tcPr>
                    <w:tcW w:w="268" w:type="pct"/>
                    <w:shd w:val="clear" w:color="auto" w:fill="auto"/>
                    <w:vAlign w:val="center"/>
                  </w:tcPr>
                  <w:p w:rsidR="00421C65" w:rsidRPr="00BA6022" w:rsidRDefault="00421C65" w:rsidP="00E9665D">
                    <w:pPr>
                      <w:jc w:val="right"/>
                      <w:rPr>
                        <w:sz w:val="12"/>
                        <w:szCs w:val="12"/>
                      </w:rPr>
                    </w:pPr>
                    <w:r w:rsidRPr="00BA6022">
                      <w:rPr>
                        <w:sz w:val="12"/>
                        <w:szCs w:val="12"/>
                      </w:rPr>
                      <w:t>0</w:t>
                    </w:r>
                  </w:p>
                </w:tc>
                <w:tc>
                  <w:tcPr>
                    <w:tcW w:w="223" w:type="pct"/>
                    <w:shd w:val="clear" w:color="auto" w:fill="auto"/>
                    <w:vAlign w:val="center"/>
                  </w:tcPr>
                  <w:p w:rsidR="00421C65" w:rsidRPr="00BA6022" w:rsidRDefault="00421C65" w:rsidP="00E9665D">
                    <w:pPr>
                      <w:jc w:val="right"/>
                      <w:rPr>
                        <w:sz w:val="12"/>
                        <w:szCs w:val="12"/>
                      </w:rPr>
                    </w:pPr>
                    <w:r w:rsidRPr="00BA6022">
                      <w:rPr>
                        <w:sz w:val="12"/>
                        <w:szCs w:val="12"/>
                      </w:rPr>
                      <w:t>0</w:t>
                    </w:r>
                  </w:p>
                </w:tc>
                <w:tc>
                  <w:tcPr>
                    <w:tcW w:w="179" w:type="pct"/>
                    <w:shd w:val="clear" w:color="auto" w:fill="auto"/>
                    <w:vAlign w:val="center"/>
                  </w:tcPr>
                  <w:p w:rsidR="00421C65" w:rsidRPr="00BA6022" w:rsidRDefault="00421C65" w:rsidP="00E9665D">
                    <w:pPr>
                      <w:jc w:val="right"/>
                      <w:rPr>
                        <w:sz w:val="12"/>
                        <w:szCs w:val="12"/>
                      </w:rPr>
                    </w:pPr>
                    <w:r w:rsidRPr="00BA6022">
                      <w:rPr>
                        <w:sz w:val="12"/>
                        <w:szCs w:val="12"/>
                      </w:rPr>
                      <w:t>自筹</w:t>
                    </w:r>
                  </w:p>
                </w:tc>
              </w:tr>
            </w:sdtContent>
          </w:sdt>
          <w:sdt>
            <w:sdtPr>
              <w:rPr>
                <w:rFonts w:hint="eastAsia"/>
                <w:sz w:val="12"/>
                <w:szCs w:val="12"/>
              </w:rPr>
              <w:alias w:val="在建工程明细"/>
              <w:tag w:val="_TUP_ddeb799b6fdf45e2b195807d1913c3bb"/>
              <w:id w:val="512196162"/>
              <w:lock w:val="sdtLocked"/>
            </w:sdtPr>
            <w:sdtContent>
              <w:tr w:rsidR="00732AC2" w:rsidTr="00E9665D">
                <w:trPr>
                  <w:cantSplit/>
                </w:trPr>
                <w:tc>
                  <w:tcPr>
                    <w:tcW w:w="982" w:type="pct"/>
                    <w:shd w:val="clear" w:color="auto" w:fill="auto"/>
                  </w:tcPr>
                  <w:p w:rsidR="00421C65" w:rsidRPr="00BA6022" w:rsidRDefault="00421C65" w:rsidP="00421C65">
                    <w:pPr>
                      <w:ind w:right="105"/>
                      <w:rPr>
                        <w:sz w:val="12"/>
                        <w:szCs w:val="12"/>
                      </w:rPr>
                    </w:pPr>
                    <w:r w:rsidRPr="00BA6022">
                      <w:rPr>
                        <w:sz w:val="12"/>
                        <w:szCs w:val="12"/>
                      </w:rPr>
                      <w:t>太原枢纽新建客车存车场工程</w:t>
                    </w:r>
                  </w:p>
                </w:tc>
                <w:tc>
                  <w:tcPr>
                    <w:tcW w:w="268" w:type="pct"/>
                    <w:shd w:val="clear" w:color="auto" w:fill="auto"/>
                    <w:vAlign w:val="center"/>
                  </w:tcPr>
                  <w:p w:rsidR="00421C65" w:rsidRPr="00BA6022" w:rsidRDefault="00421C65" w:rsidP="00E9665D">
                    <w:pPr>
                      <w:ind w:right="105"/>
                      <w:jc w:val="right"/>
                      <w:rPr>
                        <w:sz w:val="12"/>
                        <w:szCs w:val="12"/>
                      </w:rPr>
                    </w:pPr>
                    <w:r w:rsidRPr="00BA6022">
                      <w:rPr>
                        <w:sz w:val="12"/>
                        <w:szCs w:val="12"/>
                      </w:rPr>
                      <w:t>28,954,000</w:t>
                    </w:r>
                  </w:p>
                </w:tc>
                <w:tc>
                  <w:tcPr>
                    <w:tcW w:w="306" w:type="pct"/>
                    <w:shd w:val="clear" w:color="auto" w:fill="auto"/>
                    <w:vAlign w:val="center"/>
                  </w:tcPr>
                  <w:p w:rsidR="00421C65" w:rsidRPr="00BA6022" w:rsidRDefault="00421C65" w:rsidP="00E9665D">
                    <w:pPr>
                      <w:jc w:val="right"/>
                      <w:rPr>
                        <w:sz w:val="12"/>
                        <w:szCs w:val="12"/>
                      </w:rPr>
                    </w:pPr>
                    <w:r w:rsidRPr="00BA6022">
                      <w:rPr>
                        <w:sz w:val="12"/>
                        <w:szCs w:val="12"/>
                      </w:rPr>
                      <w:t>0</w:t>
                    </w:r>
                  </w:p>
                </w:tc>
                <w:tc>
                  <w:tcPr>
                    <w:tcW w:w="356" w:type="pct"/>
                    <w:shd w:val="clear" w:color="auto" w:fill="auto"/>
                    <w:vAlign w:val="center"/>
                  </w:tcPr>
                  <w:p w:rsidR="00421C65" w:rsidRPr="00BA6022" w:rsidRDefault="00421C65" w:rsidP="00E9665D">
                    <w:pPr>
                      <w:ind w:right="73"/>
                      <w:jc w:val="right"/>
                      <w:rPr>
                        <w:sz w:val="12"/>
                        <w:szCs w:val="12"/>
                      </w:rPr>
                    </w:pPr>
                    <w:r w:rsidRPr="00BA6022">
                      <w:rPr>
                        <w:sz w:val="12"/>
                        <w:szCs w:val="12"/>
                      </w:rPr>
                      <w:t>26,003,296</w:t>
                    </w:r>
                  </w:p>
                </w:tc>
                <w:tc>
                  <w:tcPr>
                    <w:tcW w:w="366" w:type="pct"/>
                    <w:shd w:val="clear" w:color="auto" w:fill="auto"/>
                    <w:vAlign w:val="center"/>
                  </w:tcPr>
                  <w:p w:rsidR="00421C65" w:rsidRPr="00BA6022" w:rsidRDefault="00421C65" w:rsidP="00E9665D">
                    <w:pPr>
                      <w:ind w:right="73"/>
                      <w:jc w:val="right"/>
                      <w:rPr>
                        <w:sz w:val="12"/>
                        <w:szCs w:val="12"/>
                      </w:rPr>
                    </w:pPr>
                    <w:r w:rsidRPr="00BA6022">
                      <w:rPr>
                        <w:sz w:val="12"/>
                        <w:szCs w:val="12"/>
                      </w:rPr>
                      <w:t>0</w:t>
                    </w:r>
                  </w:p>
                </w:tc>
                <w:tc>
                  <w:tcPr>
                    <w:tcW w:w="356" w:type="pct"/>
                    <w:shd w:val="clear" w:color="auto" w:fill="auto"/>
                    <w:vAlign w:val="center"/>
                  </w:tcPr>
                  <w:p w:rsidR="00421C65" w:rsidRPr="00BA6022" w:rsidRDefault="00421C65" w:rsidP="00E9665D">
                    <w:pPr>
                      <w:ind w:right="73"/>
                      <w:jc w:val="right"/>
                      <w:rPr>
                        <w:sz w:val="12"/>
                        <w:szCs w:val="12"/>
                      </w:rPr>
                    </w:pPr>
                    <w:r w:rsidRPr="00BA6022">
                      <w:rPr>
                        <w:sz w:val="12"/>
                        <w:szCs w:val="12"/>
                      </w:rPr>
                      <w:t>0</w:t>
                    </w:r>
                  </w:p>
                </w:tc>
                <w:tc>
                  <w:tcPr>
                    <w:tcW w:w="312" w:type="pct"/>
                    <w:shd w:val="clear" w:color="auto" w:fill="auto"/>
                    <w:vAlign w:val="center"/>
                  </w:tcPr>
                  <w:p w:rsidR="00421C65" w:rsidRPr="00BA6022" w:rsidRDefault="00421C65" w:rsidP="00E9665D">
                    <w:pPr>
                      <w:ind w:right="73"/>
                      <w:jc w:val="right"/>
                      <w:rPr>
                        <w:sz w:val="12"/>
                        <w:szCs w:val="12"/>
                      </w:rPr>
                    </w:pPr>
                    <w:r w:rsidRPr="00BA6022">
                      <w:rPr>
                        <w:sz w:val="12"/>
                        <w:szCs w:val="12"/>
                      </w:rPr>
                      <w:t>0</w:t>
                    </w:r>
                  </w:p>
                </w:tc>
                <w:tc>
                  <w:tcPr>
                    <w:tcW w:w="311" w:type="pct"/>
                    <w:shd w:val="clear" w:color="auto" w:fill="auto"/>
                    <w:vAlign w:val="center"/>
                  </w:tcPr>
                  <w:p w:rsidR="00421C65" w:rsidRPr="00BA6022" w:rsidRDefault="00421C65" w:rsidP="00E9665D">
                    <w:pPr>
                      <w:jc w:val="right"/>
                      <w:rPr>
                        <w:sz w:val="12"/>
                        <w:szCs w:val="12"/>
                      </w:rPr>
                    </w:pPr>
                    <w:r w:rsidRPr="00BA6022">
                      <w:rPr>
                        <w:sz w:val="12"/>
                        <w:szCs w:val="12"/>
                      </w:rPr>
                      <w:t>0</w:t>
                    </w:r>
                  </w:p>
                </w:tc>
                <w:tc>
                  <w:tcPr>
                    <w:tcW w:w="314" w:type="pct"/>
                    <w:vAlign w:val="center"/>
                  </w:tcPr>
                  <w:p w:rsidR="00421C65" w:rsidRPr="00BA6022" w:rsidRDefault="00421C65" w:rsidP="00E9665D">
                    <w:pPr>
                      <w:jc w:val="right"/>
                      <w:rPr>
                        <w:sz w:val="12"/>
                        <w:szCs w:val="12"/>
                      </w:rPr>
                    </w:pPr>
                    <w:r w:rsidRPr="00BA6022">
                      <w:rPr>
                        <w:sz w:val="12"/>
                        <w:szCs w:val="12"/>
                      </w:rPr>
                      <w:t>26,003,296</w:t>
                    </w:r>
                  </w:p>
                </w:tc>
                <w:tc>
                  <w:tcPr>
                    <w:tcW w:w="352" w:type="pct"/>
                    <w:shd w:val="clear" w:color="auto" w:fill="auto"/>
                    <w:vAlign w:val="center"/>
                  </w:tcPr>
                  <w:p w:rsidR="00421C65" w:rsidRPr="00BA6022" w:rsidRDefault="00421C65" w:rsidP="00E9665D">
                    <w:pPr>
                      <w:jc w:val="right"/>
                      <w:rPr>
                        <w:sz w:val="12"/>
                        <w:szCs w:val="12"/>
                      </w:rPr>
                    </w:pPr>
                    <w:r w:rsidRPr="00BA6022">
                      <w:rPr>
                        <w:sz w:val="12"/>
                        <w:szCs w:val="12"/>
                      </w:rPr>
                      <w:t>90%</w:t>
                    </w:r>
                  </w:p>
                </w:tc>
                <w:tc>
                  <w:tcPr>
                    <w:tcW w:w="157" w:type="pct"/>
                    <w:shd w:val="clear" w:color="auto" w:fill="auto"/>
                    <w:vAlign w:val="center"/>
                  </w:tcPr>
                  <w:p w:rsidR="00421C65" w:rsidRPr="00BA6022" w:rsidRDefault="00421C65" w:rsidP="00E9665D">
                    <w:pPr>
                      <w:jc w:val="right"/>
                      <w:rPr>
                        <w:sz w:val="12"/>
                        <w:szCs w:val="12"/>
                      </w:rPr>
                    </w:pPr>
                    <w:r w:rsidRPr="00BA6022">
                      <w:rPr>
                        <w:sz w:val="12"/>
                        <w:szCs w:val="12"/>
                      </w:rPr>
                      <w:t>90%</w:t>
                    </w:r>
                  </w:p>
                </w:tc>
                <w:tc>
                  <w:tcPr>
                    <w:tcW w:w="249" w:type="pct"/>
                    <w:shd w:val="clear" w:color="auto" w:fill="auto"/>
                    <w:vAlign w:val="center"/>
                  </w:tcPr>
                  <w:p w:rsidR="00421C65" w:rsidRPr="00BA6022" w:rsidRDefault="00421C65" w:rsidP="00E9665D">
                    <w:pPr>
                      <w:jc w:val="right"/>
                      <w:rPr>
                        <w:sz w:val="12"/>
                        <w:szCs w:val="12"/>
                      </w:rPr>
                    </w:pPr>
                    <w:r w:rsidRPr="00BA6022">
                      <w:rPr>
                        <w:sz w:val="12"/>
                        <w:szCs w:val="12"/>
                      </w:rPr>
                      <w:t>0</w:t>
                    </w:r>
                  </w:p>
                </w:tc>
                <w:tc>
                  <w:tcPr>
                    <w:tcW w:w="268" w:type="pct"/>
                    <w:shd w:val="clear" w:color="auto" w:fill="auto"/>
                    <w:vAlign w:val="center"/>
                  </w:tcPr>
                  <w:p w:rsidR="00421C65" w:rsidRPr="00BA6022" w:rsidRDefault="00421C65" w:rsidP="00E9665D">
                    <w:pPr>
                      <w:jc w:val="right"/>
                      <w:rPr>
                        <w:sz w:val="12"/>
                        <w:szCs w:val="12"/>
                      </w:rPr>
                    </w:pPr>
                    <w:r w:rsidRPr="00BA6022">
                      <w:rPr>
                        <w:sz w:val="12"/>
                        <w:szCs w:val="12"/>
                      </w:rPr>
                      <w:t>0</w:t>
                    </w:r>
                  </w:p>
                </w:tc>
                <w:tc>
                  <w:tcPr>
                    <w:tcW w:w="223" w:type="pct"/>
                    <w:shd w:val="clear" w:color="auto" w:fill="auto"/>
                    <w:vAlign w:val="center"/>
                  </w:tcPr>
                  <w:p w:rsidR="00421C65" w:rsidRPr="00BA6022" w:rsidRDefault="00421C65" w:rsidP="00E9665D">
                    <w:pPr>
                      <w:jc w:val="right"/>
                      <w:rPr>
                        <w:sz w:val="12"/>
                        <w:szCs w:val="12"/>
                      </w:rPr>
                    </w:pPr>
                    <w:r w:rsidRPr="00BA6022">
                      <w:rPr>
                        <w:sz w:val="12"/>
                        <w:szCs w:val="12"/>
                      </w:rPr>
                      <w:t>0</w:t>
                    </w:r>
                  </w:p>
                </w:tc>
                <w:tc>
                  <w:tcPr>
                    <w:tcW w:w="179" w:type="pct"/>
                    <w:shd w:val="clear" w:color="auto" w:fill="auto"/>
                    <w:vAlign w:val="center"/>
                  </w:tcPr>
                  <w:p w:rsidR="00421C65" w:rsidRPr="00BA6022" w:rsidRDefault="00421C65" w:rsidP="00E9665D">
                    <w:pPr>
                      <w:jc w:val="right"/>
                      <w:rPr>
                        <w:sz w:val="12"/>
                        <w:szCs w:val="12"/>
                      </w:rPr>
                    </w:pPr>
                    <w:r w:rsidRPr="00BA6022">
                      <w:rPr>
                        <w:sz w:val="12"/>
                        <w:szCs w:val="12"/>
                      </w:rPr>
                      <w:t>自筹</w:t>
                    </w:r>
                  </w:p>
                </w:tc>
              </w:tr>
            </w:sdtContent>
          </w:sdt>
          <w:sdt>
            <w:sdtPr>
              <w:rPr>
                <w:rFonts w:hint="eastAsia"/>
                <w:sz w:val="12"/>
                <w:szCs w:val="12"/>
              </w:rPr>
              <w:alias w:val="在建工程明细"/>
              <w:tag w:val="_TUP_ddeb799b6fdf45e2b195807d1913c3bb"/>
              <w:id w:val="63147707"/>
              <w:lock w:val="sdtLocked"/>
            </w:sdtPr>
            <w:sdtContent>
              <w:tr w:rsidR="00732AC2" w:rsidTr="00E9665D">
                <w:trPr>
                  <w:cantSplit/>
                </w:trPr>
                <w:tc>
                  <w:tcPr>
                    <w:tcW w:w="982" w:type="pct"/>
                    <w:shd w:val="clear" w:color="auto" w:fill="auto"/>
                  </w:tcPr>
                  <w:p w:rsidR="00421C65" w:rsidRPr="00BA6022" w:rsidRDefault="00421C65" w:rsidP="00421C65">
                    <w:pPr>
                      <w:ind w:right="105"/>
                      <w:rPr>
                        <w:sz w:val="12"/>
                        <w:szCs w:val="12"/>
                      </w:rPr>
                    </w:pPr>
                    <w:r w:rsidRPr="00BA6022">
                      <w:rPr>
                        <w:sz w:val="12"/>
                        <w:szCs w:val="12"/>
                      </w:rPr>
                      <w:t>北同蒲线阳曲至南塔底段路基、排水等设施升级改造</w:t>
                    </w:r>
                  </w:p>
                </w:tc>
                <w:tc>
                  <w:tcPr>
                    <w:tcW w:w="268" w:type="pct"/>
                    <w:shd w:val="clear" w:color="auto" w:fill="auto"/>
                    <w:vAlign w:val="center"/>
                  </w:tcPr>
                  <w:p w:rsidR="00421C65" w:rsidRPr="00BA6022" w:rsidRDefault="00421C65" w:rsidP="00E9665D">
                    <w:pPr>
                      <w:ind w:right="105"/>
                      <w:jc w:val="right"/>
                      <w:rPr>
                        <w:sz w:val="12"/>
                        <w:szCs w:val="12"/>
                      </w:rPr>
                    </w:pPr>
                    <w:r w:rsidRPr="00BA6022">
                      <w:rPr>
                        <w:sz w:val="12"/>
                        <w:szCs w:val="12"/>
                      </w:rPr>
                      <w:t>30,408,000</w:t>
                    </w:r>
                  </w:p>
                </w:tc>
                <w:tc>
                  <w:tcPr>
                    <w:tcW w:w="306" w:type="pct"/>
                    <w:shd w:val="clear" w:color="auto" w:fill="auto"/>
                    <w:vAlign w:val="center"/>
                  </w:tcPr>
                  <w:p w:rsidR="00421C65" w:rsidRPr="00BA6022" w:rsidRDefault="00421C65" w:rsidP="00E9665D">
                    <w:pPr>
                      <w:jc w:val="right"/>
                      <w:rPr>
                        <w:sz w:val="12"/>
                        <w:szCs w:val="12"/>
                      </w:rPr>
                    </w:pPr>
                    <w:r w:rsidRPr="00BA6022">
                      <w:rPr>
                        <w:sz w:val="12"/>
                        <w:szCs w:val="12"/>
                      </w:rPr>
                      <w:t>16,740,943</w:t>
                    </w:r>
                  </w:p>
                </w:tc>
                <w:tc>
                  <w:tcPr>
                    <w:tcW w:w="356" w:type="pct"/>
                    <w:shd w:val="clear" w:color="auto" w:fill="auto"/>
                    <w:vAlign w:val="center"/>
                  </w:tcPr>
                  <w:p w:rsidR="00421C65" w:rsidRPr="00BA6022" w:rsidRDefault="00421C65" w:rsidP="00E9665D">
                    <w:pPr>
                      <w:ind w:right="73"/>
                      <w:jc w:val="right"/>
                      <w:rPr>
                        <w:sz w:val="12"/>
                        <w:szCs w:val="12"/>
                      </w:rPr>
                    </w:pPr>
                    <w:r w:rsidRPr="00BA6022">
                      <w:rPr>
                        <w:sz w:val="12"/>
                        <w:szCs w:val="12"/>
                      </w:rPr>
                      <w:t>6,439,363</w:t>
                    </w:r>
                  </w:p>
                </w:tc>
                <w:tc>
                  <w:tcPr>
                    <w:tcW w:w="366" w:type="pct"/>
                    <w:shd w:val="clear" w:color="auto" w:fill="auto"/>
                    <w:vAlign w:val="center"/>
                  </w:tcPr>
                  <w:p w:rsidR="00421C65" w:rsidRPr="00BA6022" w:rsidRDefault="00421C65" w:rsidP="00E9665D">
                    <w:pPr>
                      <w:ind w:right="73"/>
                      <w:jc w:val="right"/>
                      <w:rPr>
                        <w:sz w:val="12"/>
                        <w:szCs w:val="12"/>
                      </w:rPr>
                    </w:pPr>
                    <w:r w:rsidRPr="00BA6022">
                      <w:rPr>
                        <w:sz w:val="12"/>
                        <w:szCs w:val="12"/>
                      </w:rPr>
                      <w:t>0</w:t>
                    </w:r>
                  </w:p>
                </w:tc>
                <w:tc>
                  <w:tcPr>
                    <w:tcW w:w="356" w:type="pct"/>
                    <w:shd w:val="clear" w:color="auto" w:fill="auto"/>
                    <w:vAlign w:val="center"/>
                  </w:tcPr>
                  <w:p w:rsidR="00421C65" w:rsidRPr="00BA6022" w:rsidRDefault="00421C65" w:rsidP="00E9665D">
                    <w:pPr>
                      <w:ind w:right="73"/>
                      <w:jc w:val="right"/>
                      <w:rPr>
                        <w:sz w:val="12"/>
                        <w:szCs w:val="12"/>
                      </w:rPr>
                    </w:pPr>
                    <w:r w:rsidRPr="00BA6022">
                      <w:rPr>
                        <w:sz w:val="12"/>
                        <w:szCs w:val="12"/>
                      </w:rPr>
                      <w:t>0</w:t>
                    </w:r>
                  </w:p>
                </w:tc>
                <w:tc>
                  <w:tcPr>
                    <w:tcW w:w="312" w:type="pct"/>
                    <w:shd w:val="clear" w:color="auto" w:fill="auto"/>
                    <w:vAlign w:val="center"/>
                  </w:tcPr>
                  <w:p w:rsidR="00421C65" w:rsidRPr="00BA6022" w:rsidRDefault="00421C65" w:rsidP="00E9665D">
                    <w:pPr>
                      <w:ind w:right="73"/>
                      <w:jc w:val="right"/>
                      <w:rPr>
                        <w:sz w:val="12"/>
                        <w:szCs w:val="12"/>
                      </w:rPr>
                    </w:pPr>
                    <w:r w:rsidRPr="00BA6022">
                      <w:rPr>
                        <w:sz w:val="12"/>
                        <w:szCs w:val="12"/>
                      </w:rPr>
                      <w:t>0</w:t>
                    </w:r>
                  </w:p>
                </w:tc>
                <w:tc>
                  <w:tcPr>
                    <w:tcW w:w="311" w:type="pct"/>
                    <w:shd w:val="clear" w:color="auto" w:fill="auto"/>
                    <w:vAlign w:val="center"/>
                  </w:tcPr>
                  <w:p w:rsidR="00421C65" w:rsidRPr="00BA6022" w:rsidRDefault="00421C65" w:rsidP="00E9665D">
                    <w:pPr>
                      <w:jc w:val="right"/>
                      <w:rPr>
                        <w:sz w:val="12"/>
                        <w:szCs w:val="12"/>
                      </w:rPr>
                    </w:pPr>
                    <w:r w:rsidRPr="00BA6022">
                      <w:rPr>
                        <w:sz w:val="12"/>
                        <w:szCs w:val="12"/>
                      </w:rPr>
                      <w:t>0</w:t>
                    </w:r>
                  </w:p>
                </w:tc>
                <w:tc>
                  <w:tcPr>
                    <w:tcW w:w="314" w:type="pct"/>
                    <w:vAlign w:val="center"/>
                  </w:tcPr>
                  <w:p w:rsidR="00421C65" w:rsidRPr="00BA6022" w:rsidRDefault="00421C65" w:rsidP="00E9665D">
                    <w:pPr>
                      <w:jc w:val="right"/>
                      <w:rPr>
                        <w:sz w:val="12"/>
                        <w:szCs w:val="12"/>
                      </w:rPr>
                    </w:pPr>
                    <w:r w:rsidRPr="00BA6022">
                      <w:rPr>
                        <w:sz w:val="12"/>
                        <w:szCs w:val="12"/>
                      </w:rPr>
                      <w:t>23,180,306</w:t>
                    </w:r>
                  </w:p>
                </w:tc>
                <w:tc>
                  <w:tcPr>
                    <w:tcW w:w="352" w:type="pct"/>
                    <w:shd w:val="clear" w:color="auto" w:fill="auto"/>
                    <w:vAlign w:val="center"/>
                  </w:tcPr>
                  <w:p w:rsidR="00421C65" w:rsidRPr="00BA6022" w:rsidRDefault="00421C65" w:rsidP="00E9665D">
                    <w:pPr>
                      <w:jc w:val="right"/>
                      <w:rPr>
                        <w:sz w:val="12"/>
                        <w:szCs w:val="12"/>
                      </w:rPr>
                    </w:pPr>
                    <w:r w:rsidRPr="00BA6022">
                      <w:rPr>
                        <w:sz w:val="12"/>
                        <w:szCs w:val="12"/>
                      </w:rPr>
                      <w:t>76%</w:t>
                    </w:r>
                  </w:p>
                </w:tc>
                <w:tc>
                  <w:tcPr>
                    <w:tcW w:w="157" w:type="pct"/>
                    <w:shd w:val="clear" w:color="auto" w:fill="auto"/>
                    <w:vAlign w:val="center"/>
                  </w:tcPr>
                  <w:p w:rsidR="00421C65" w:rsidRPr="00BA6022" w:rsidRDefault="00421C65" w:rsidP="00E9665D">
                    <w:pPr>
                      <w:jc w:val="right"/>
                      <w:rPr>
                        <w:sz w:val="12"/>
                        <w:szCs w:val="12"/>
                      </w:rPr>
                    </w:pPr>
                    <w:r w:rsidRPr="00BA6022">
                      <w:rPr>
                        <w:sz w:val="12"/>
                        <w:szCs w:val="12"/>
                      </w:rPr>
                      <w:t>76%</w:t>
                    </w:r>
                  </w:p>
                </w:tc>
                <w:tc>
                  <w:tcPr>
                    <w:tcW w:w="249" w:type="pct"/>
                    <w:shd w:val="clear" w:color="auto" w:fill="auto"/>
                    <w:vAlign w:val="center"/>
                  </w:tcPr>
                  <w:p w:rsidR="00421C65" w:rsidRPr="00BA6022" w:rsidRDefault="00421C65" w:rsidP="00E9665D">
                    <w:pPr>
                      <w:jc w:val="right"/>
                      <w:rPr>
                        <w:sz w:val="12"/>
                        <w:szCs w:val="12"/>
                      </w:rPr>
                    </w:pPr>
                    <w:r w:rsidRPr="00BA6022">
                      <w:rPr>
                        <w:sz w:val="12"/>
                        <w:szCs w:val="12"/>
                      </w:rPr>
                      <w:t>0</w:t>
                    </w:r>
                  </w:p>
                </w:tc>
                <w:tc>
                  <w:tcPr>
                    <w:tcW w:w="268" w:type="pct"/>
                    <w:shd w:val="clear" w:color="auto" w:fill="auto"/>
                    <w:vAlign w:val="center"/>
                  </w:tcPr>
                  <w:p w:rsidR="00421C65" w:rsidRPr="00BA6022" w:rsidRDefault="00421C65" w:rsidP="00E9665D">
                    <w:pPr>
                      <w:jc w:val="right"/>
                      <w:rPr>
                        <w:sz w:val="12"/>
                        <w:szCs w:val="12"/>
                      </w:rPr>
                    </w:pPr>
                    <w:r w:rsidRPr="00BA6022">
                      <w:rPr>
                        <w:sz w:val="12"/>
                        <w:szCs w:val="12"/>
                      </w:rPr>
                      <w:t>0</w:t>
                    </w:r>
                  </w:p>
                </w:tc>
                <w:tc>
                  <w:tcPr>
                    <w:tcW w:w="223" w:type="pct"/>
                    <w:shd w:val="clear" w:color="auto" w:fill="auto"/>
                    <w:vAlign w:val="center"/>
                  </w:tcPr>
                  <w:p w:rsidR="00421C65" w:rsidRPr="00BA6022" w:rsidRDefault="00421C65" w:rsidP="00E9665D">
                    <w:pPr>
                      <w:jc w:val="right"/>
                      <w:rPr>
                        <w:sz w:val="12"/>
                        <w:szCs w:val="12"/>
                      </w:rPr>
                    </w:pPr>
                    <w:r w:rsidRPr="00BA6022">
                      <w:rPr>
                        <w:sz w:val="12"/>
                        <w:szCs w:val="12"/>
                      </w:rPr>
                      <w:t>0</w:t>
                    </w:r>
                  </w:p>
                </w:tc>
                <w:tc>
                  <w:tcPr>
                    <w:tcW w:w="179" w:type="pct"/>
                    <w:shd w:val="clear" w:color="auto" w:fill="auto"/>
                    <w:vAlign w:val="center"/>
                  </w:tcPr>
                  <w:p w:rsidR="00421C65" w:rsidRPr="00BA6022" w:rsidRDefault="00421C65" w:rsidP="00E9665D">
                    <w:pPr>
                      <w:jc w:val="right"/>
                      <w:rPr>
                        <w:sz w:val="12"/>
                        <w:szCs w:val="12"/>
                      </w:rPr>
                    </w:pPr>
                    <w:r w:rsidRPr="00BA6022">
                      <w:rPr>
                        <w:sz w:val="12"/>
                        <w:szCs w:val="12"/>
                      </w:rPr>
                      <w:t>自筹</w:t>
                    </w:r>
                  </w:p>
                </w:tc>
              </w:tr>
            </w:sdtContent>
          </w:sdt>
          <w:sdt>
            <w:sdtPr>
              <w:rPr>
                <w:rFonts w:hint="eastAsia"/>
                <w:sz w:val="12"/>
                <w:szCs w:val="12"/>
              </w:rPr>
              <w:alias w:val="在建工程明细"/>
              <w:tag w:val="_TUP_ddeb799b6fdf45e2b195807d1913c3bb"/>
              <w:id w:val="-54864863"/>
              <w:lock w:val="sdtLocked"/>
            </w:sdtPr>
            <w:sdtContent>
              <w:tr w:rsidR="00732AC2" w:rsidTr="00E9665D">
                <w:trPr>
                  <w:cantSplit/>
                </w:trPr>
                <w:tc>
                  <w:tcPr>
                    <w:tcW w:w="982" w:type="pct"/>
                    <w:shd w:val="clear" w:color="auto" w:fill="auto"/>
                  </w:tcPr>
                  <w:p w:rsidR="00421C65" w:rsidRPr="00BA6022" w:rsidRDefault="00421C65" w:rsidP="00421C65">
                    <w:pPr>
                      <w:ind w:right="105"/>
                      <w:rPr>
                        <w:sz w:val="12"/>
                        <w:szCs w:val="12"/>
                      </w:rPr>
                    </w:pPr>
                    <w:r w:rsidRPr="00BA6022">
                      <w:rPr>
                        <w:sz w:val="12"/>
                        <w:szCs w:val="12"/>
                      </w:rPr>
                      <w:t>固定资产大修</w:t>
                    </w:r>
                  </w:p>
                </w:tc>
                <w:tc>
                  <w:tcPr>
                    <w:tcW w:w="268" w:type="pct"/>
                    <w:shd w:val="clear" w:color="auto" w:fill="auto"/>
                    <w:vAlign w:val="center"/>
                  </w:tcPr>
                  <w:p w:rsidR="00421C65" w:rsidRPr="00BA6022" w:rsidRDefault="00421C65" w:rsidP="00E9665D">
                    <w:pPr>
                      <w:ind w:right="105"/>
                      <w:jc w:val="right"/>
                      <w:rPr>
                        <w:sz w:val="12"/>
                        <w:szCs w:val="12"/>
                      </w:rPr>
                    </w:pPr>
                    <w:r w:rsidRPr="00BA6022">
                      <w:rPr>
                        <w:sz w:val="12"/>
                        <w:szCs w:val="12"/>
                      </w:rPr>
                      <w:t>/</w:t>
                    </w:r>
                  </w:p>
                </w:tc>
                <w:tc>
                  <w:tcPr>
                    <w:tcW w:w="306" w:type="pct"/>
                    <w:shd w:val="clear" w:color="auto" w:fill="auto"/>
                    <w:vAlign w:val="center"/>
                  </w:tcPr>
                  <w:p w:rsidR="00421C65" w:rsidRPr="00BA6022" w:rsidRDefault="00421C65" w:rsidP="00E9665D">
                    <w:pPr>
                      <w:jc w:val="right"/>
                      <w:rPr>
                        <w:sz w:val="12"/>
                        <w:szCs w:val="12"/>
                      </w:rPr>
                    </w:pPr>
                    <w:r w:rsidRPr="00BA6022">
                      <w:rPr>
                        <w:sz w:val="12"/>
                        <w:szCs w:val="12"/>
                      </w:rPr>
                      <w:t>43,691,812</w:t>
                    </w:r>
                  </w:p>
                </w:tc>
                <w:tc>
                  <w:tcPr>
                    <w:tcW w:w="356" w:type="pct"/>
                    <w:shd w:val="clear" w:color="auto" w:fill="auto"/>
                    <w:vAlign w:val="center"/>
                  </w:tcPr>
                  <w:p w:rsidR="00421C65" w:rsidRPr="00BA6022" w:rsidRDefault="00421C65" w:rsidP="00E9665D">
                    <w:pPr>
                      <w:ind w:right="73"/>
                      <w:jc w:val="right"/>
                      <w:rPr>
                        <w:sz w:val="12"/>
                        <w:szCs w:val="12"/>
                      </w:rPr>
                    </w:pPr>
                    <w:r w:rsidRPr="00BA6022">
                      <w:rPr>
                        <w:sz w:val="12"/>
                        <w:szCs w:val="12"/>
                      </w:rPr>
                      <w:t>8,288,581,392</w:t>
                    </w:r>
                  </w:p>
                </w:tc>
                <w:tc>
                  <w:tcPr>
                    <w:tcW w:w="366" w:type="pct"/>
                    <w:shd w:val="clear" w:color="auto" w:fill="auto"/>
                    <w:vAlign w:val="center"/>
                  </w:tcPr>
                  <w:p w:rsidR="00421C65" w:rsidRPr="00BA6022" w:rsidRDefault="00421C65" w:rsidP="00E9665D">
                    <w:pPr>
                      <w:ind w:right="73"/>
                      <w:jc w:val="right"/>
                      <w:rPr>
                        <w:sz w:val="12"/>
                        <w:szCs w:val="12"/>
                      </w:rPr>
                    </w:pPr>
                    <w:r w:rsidRPr="00BA6022">
                      <w:rPr>
                        <w:sz w:val="12"/>
                        <w:szCs w:val="12"/>
                      </w:rPr>
                      <w:t>5,119,682,689</w:t>
                    </w:r>
                  </w:p>
                </w:tc>
                <w:tc>
                  <w:tcPr>
                    <w:tcW w:w="356" w:type="pct"/>
                    <w:shd w:val="clear" w:color="auto" w:fill="auto"/>
                    <w:vAlign w:val="center"/>
                  </w:tcPr>
                  <w:p w:rsidR="00421C65" w:rsidRPr="00BA6022" w:rsidRDefault="00421C65" w:rsidP="00E9665D">
                    <w:pPr>
                      <w:ind w:right="73"/>
                      <w:jc w:val="right"/>
                      <w:rPr>
                        <w:sz w:val="12"/>
                        <w:szCs w:val="12"/>
                      </w:rPr>
                    </w:pPr>
                    <w:r w:rsidRPr="00BA6022">
                      <w:rPr>
                        <w:sz w:val="12"/>
                        <w:szCs w:val="12"/>
                      </w:rPr>
                      <w:t>8,147,396,159</w:t>
                    </w:r>
                  </w:p>
                </w:tc>
                <w:tc>
                  <w:tcPr>
                    <w:tcW w:w="312" w:type="pct"/>
                    <w:shd w:val="clear" w:color="auto" w:fill="auto"/>
                    <w:vAlign w:val="center"/>
                  </w:tcPr>
                  <w:p w:rsidR="00421C65" w:rsidRPr="00BA6022" w:rsidRDefault="00421C65" w:rsidP="00E9665D">
                    <w:pPr>
                      <w:ind w:right="73"/>
                      <w:jc w:val="right"/>
                      <w:rPr>
                        <w:sz w:val="12"/>
                        <w:szCs w:val="12"/>
                      </w:rPr>
                    </w:pPr>
                    <w:r w:rsidRPr="00BA6022">
                      <w:rPr>
                        <w:sz w:val="12"/>
                        <w:szCs w:val="12"/>
                      </w:rPr>
                      <w:t>0</w:t>
                    </w:r>
                  </w:p>
                </w:tc>
                <w:tc>
                  <w:tcPr>
                    <w:tcW w:w="311" w:type="pct"/>
                    <w:shd w:val="clear" w:color="auto" w:fill="auto"/>
                    <w:vAlign w:val="center"/>
                  </w:tcPr>
                  <w:p w:rsidR="00421C65" w:rsidRPr="00BA6022" w:rsidRDefault="00421C65" w:rsidP="00E9665D">
                    <w:pPr>
                      <w:jc w:val="right"/>
                      <w:rPr>
                        <w:sz w:val="12"/>
                        <w:szCs w:val="12"/>
                      </w:rPr>
                    </w:pPr>
                    <w:r w:rsidRPr="00BA6022">
                      <w:rPr>
                        <w:sz w:val="12"/>
                        <w:szCs w:val="12"/>
                      </w:rPr>
                      <w:t>0</w:t>
                    </w:r>
                  </w:p>
                </w:tc>
                <w:tc>
                  <w:tcPr>
                    <w:tcW w:w="314" w:type="pct"/>
                    <w:vAlign w:val="center"/>
                  </w:tcPr>
                  <w:p w:rsidR="00421C65" w:rsidRPr="00BA6022" w:rsidRDefault="00421C65" w:rsidP="00E9665D">
                    <w:pPr>
                      <w:jc w:val="right"/>
                      <w:rPr>
                        <w:sz w:val="12"/>
                        <w:szCs w:val="12"/>
                      </w:rPr>
                    </w:pPr>
                    <w:r w:rsidRPr="00BA6022">
                      <w:rPr>
                        <w:sz w:val="12"/>
                        <w:szCs w:val="12"/>
                      </w:rPr>
                      <w:t>184,877,045</w:t>
                    </w:r>
                  </w:p>
                </w:tc>
                <w:tc>
                  <w:tcPr>
                    <w:tcW w:w="352" w:type="pct"/>
                    <w:shd w:val="clear" w:color="auto" w:fill="auto"/>
                    <w:vAlign w:val="center"/>
                  </w:tcPr>
                  <w:p w:rsidR="00421C65" w:rsidRPr="00BA6022" w:rsidRDefault="00421C65" w:rsidP="00E9665D">
                    <w:pPr>
                      <w:jc w:val="right"/>
                      <w:rPr>
                        <w:sz w:val="12"/>
                        <w:szCs w:val="12"/>
                      </w:rPr>
                    </w:pPr>
                    <w:r w:rsidRPr="00BA6022">
                      <w:rPr>
                        <w:sz w:val="12"/>
                        <w:szCs w:val="12"/>
                      </w:rPr>
                      <w:t>/</w:t>
                    </w:r>
                  </w:p>
                </w:tc>
                <w:tc>
                  <w:tcPr>
                    <w:tcW w:w="157" w:type="pct"/>
                    <w:shd w:val="clear" w:color="auto" w:fill="auto"/>
                    <w:vAlign w:val="center"/>
                  </w:tcPr>
                  <w:p w:rsidR="00421C65" w:rsidRPr="00BA6022" w:rsidRDefault="00421C65" w:rsidP="00E9665D">
                    <w:pPr>
                      <w:jc w:val="right"/>
                      <w:rPr>
                        <w:sz w:val="12"/>
                        <w:szCs w:val="12"/>
                      </w:rPr>
                    </w:pPr>
                    <w:r w:rsidRPr="00BA6022">
                      <w:rPr>
                        <w:sz w:val="12"/>
                        <w:szCs w:val="12"/>
                      </w:rPr>
                      <w:t>/</w:t>
                    </w:r>
                  </w:p>
                </w:tc>
                <w:tc>
                  <w:tcPr>
                    <w:tcW w:w="249" w:type="pct"/>
                    <w:shd w:val="clear" w:color="auto" w:fill="auto"/>
                    <w:vAlign w:val="center"/>
                  </w:tcPr>
                  <w:p w:rsidR="00421C65" w:rsidRPr="00BA6022" w:rsidRDefault="00421C65" w:rsidP="00E9665D">
                    <w:pPr>
                      <w:jc w:val="right"/>
                      <w:rPr>
                        <w:sz w:val="12"/>
                        <w:szCs w:val="12"/>
                      </w:rPr>
                    </w:pPr>
                    <w:r w:rsidRPr="00BA6022">
                      <w:rPr>
                        <w:sz w:val="12"/>
                        <w:szCs w:val="12"/>
                      </w:rPr>
                      <w:t>0</w:t>
                    </w:r>
                  </w:p>
                </w:tc>
                <w:tc>
                  <w:tcPr>
                    <w:tcW w:w="268" w:type="pct"/>
                    <w:shd w:val="clear" w:color="auto" w:fill="auto"/>
                    <w:vAlign w:val="center"/>
                  </w:tcPr>
                  <w:p w:rsidR="00421C65" w:rsidRPr="00BA6022" w:rsidRDefault="00421C65" w:rsidP="00E9665D">
                    <w:pPr>
                      <w:jc w:val="right"/>
                      <w:rPr>
                        <w:sz w:val="12"/>
                        <w:szCs w:val="12"/>
                      </w:rPr>
                    </w:pPr>
                    <w:r w:rsidRPr="00BA6022">
                      <w:rPr>
                        <w:sz w:val="12"/>
                        <w:szCs w:val="12"/>
                      </w:rPr>
                      <w:t>0</w:t>
                    </w:r>
                  </w:p>
                </w:tc>
                <w:tc>
                  <w:tcPr>
                    <w:tcW w:w="223" w:type="pct"/>
                    <w:shd w:val="clear" w:color="auto" w:fill="auto"/>
                    <w:vAlign w:val="center"/>
                  </w:tcPr>
                  <w:p w:rsidR="00421C65" w:rsidRPr="00BA6022" w:rsidRDefault="00421C65" w:rsidP="00E9665D">
                    <w:pPr>
                      <w:jc w:val="right"/>
                      <w:rPr>
                        <w:sz w:val="12"/>
                        <w:szCs w:val="12"/>
                      </w:rPr>
                    </w:pPr>
                    <w:r w:rsidRPr="00BA6022">
                      <w:rPr>
                        <w:sz w:val="12"/>
                        <w:szCs w:val="12"/>
                      </w:rPr>
                      <w:t>0</w:t>
                    </w:r>
                  </w:p>
                </w:tc>
                <w:tc>
                  <w:tcPr>
                    <w:tcW w:w="179" w:type="pct"/>
                    <w:shd w:val="clear" w:color="auto" w:fill="auto"/>
                    <w:vAlign w:val="center"/>
                  </w:tcPr>
                  <w:p w:rsidR="00421C65" w:rsidRPr="00BA6022" w:rsidRDefault="00421C65" w:rsidP="00E9665D">
                    <w:pPr>
                      <w:jc w:val="right"/>
                      <w:rPr>
                        <w:sz w:val="12"/>
                        <w:szCs w:val="12"/>
                      </w:rPr>
                    </w:pPr>
                    <w:r w:rsidRPr="00BA6022">
                      <w:rPr>
                        <w:sz w:val="12"/>
                        <w:szCs w:val="12"/>
                      </w:rPr>
                      <w:t>自筹</w:t>
                    </w:r>
                  </w:p>
                </w:tc>
              </w:tr>
            </w:sdtContent>
          </w:sdt>
          <w:sdt>
            <w:sdtPr>
              <w:rPr>
                <w:rFonts w:hint="eastAsia"/>
                <w:sz w:val="12"/>
                <w:szCs w:val="12"/>
              </w:rPr>
              <w:alias w:val="在建工程明细"/>
              <w:tag w:val="_TUP_ddeb799b6fdf45e2b195807d1913c3bb"/>
              <w:id w:val="1693731377"/>
              <w:lock w:val="sdtLocked"/>
            </w:sdtPr>
            <w:sdtContent>
              <w:tr w:rsidR="00732AC2" w:rsidTr="00E9665D">
                <w:trPr>
                  <w:cantSplit/>
                </w:trPr>
                <w:tc>
                  <w:tcPr>
                    <w:tcW w:w="982" w:type="pct"/>
                    <w:shd w:val="clear" w:color="auto" w:fill="auto"/>
                  </w:tcPr>
                  <w:p w:rsidR="00421C65" w:rsidRPr="00BA6022" w:rsidRDefault="00421C65" w:rsidP="00421C65">
                    <w:pPr>
                      <w:ind w:right="105"/>
                      <w:rPr>
                        <w:sz w:val="12"/>
                        <w:szCs w:val="12"/>
                      </w:rPr>
                    </w:pPr>
                    <w:r w:rsidRPr="00BA6022">
                      <w:rPr>
                        <w:sz w:val="12"/>
                        <w:szCs w:val="12"/>
                      </w:rPr>
                      <w:t>其他工程   (注1)</w:t>
                    </w:r>
                  </w:p>
                </w:tc>
                <w:tc>
                  <w:tcPr>
                    <w:tcW w:w="268" w:type="pct"/>
                    <w:shd w:val="clear" w:color="auto" w:fill="auto"/>
                    <w:vAlign w:val="center"/>
                  </w:tcPr>
                  <w:p w:rsidR="00421C65" w:rsidRPr="00BA6022" w:rsidRDefault="00421C65" w:rsidP="00E9665D">
                    <w:pPr>
                      <w:ind w:right="105"/>
                      <w:jc w:val="right"/>
                      <w:rPr>
                        <w:sz w:val="12"/>
                        <w:szCs w:val="12"/>
                      </w:rPr>
                    </w:pPr>
                    <w:r w:rsidRPr="00BA6022">
                      <w:rPr>
                        <w:sz w:val="12"/>
                        <w:szCs w:val="12"/>
                      </w:rPr>
                      <w:t>/</w:t>
                    </w:r>
                  </w:p>
                </w:tc>
                <w:tc>
                  <w:tcPr>
                    <w:tcW w:w="306" w:type="pct"/>
                    <w:shd w:val="clear" w:color="auto" w:fill="auto"/>
                    <w:vAlign w:val="center"/>
                  </w:tcPr>
                  <w:p w:rsidR="00421C65" w:rsidRPr="00BA6022" w:rsidRDefault="00421C65" w:rsidP="00E9665D">
                    <w:pPr>
                      <w:jc w:val="right"/>
                      <w:rPr>
                        <w:sz w:val="12"/>
                        <w:szCs w:val="12"/>
                      </w:rPr>
                    </w:pPr>
                    <w:r w:rsidRPr="00BA6022">
                      <w:rPr>
                        <w:sz w:val="12"/>
                        <w:szCs w:val="12"/>
                      </w:rPr>
                      <w:t>292,560,549</w:t>
                    </w:r>
                  </w:p>
                </w:tc>
                <w:tc>
                  <w:tcPr>
                    <w:tcW w:w="356" w:type="pct"/>
                    <w:shd w:val="clear" w:color="auto" w:fill="auto"/>
                    <w:vAlign w:val="center"/>
                  </w:tcPr>
                  <w:p w:rsidR="00421C65" w:rsidRPr="00BA6022" w:rsidRDefault="00421C65" w:rsidP="00E9665D">
                    <w:pPr>
                      <w:ind w:right="73"/>
                      <w:jc w:val="right"/>
                      <w:rPr>
                        <w:sz w:val="12"/>
                        <w:szCs w:val="12"/>
                      </w:rPr>
                    </w:pPr>
                    <w:r w:rsidRPr="00BA6022">
                      <w:rPr>
                        <w:sz w:val="12"/>
                        <w:szCs w:val="12"/>
                      </w:rPr>
                      <w:t>1,874,240,363</w:t>
                    </w:r>
                  </w:p>
                </w:tc>
                <w:tc>
                  <w:tcPr>
                    <w:tcW w:w="366" w:type="pct"/>
                    <w:shd w:val="clear" w:color="auto" w:fill="auto"/>
                    <w:vAlign w:val="center"/>
                  </w:tcPr>
                  <w:p w:rsidR="00421C65" w:rsidRPr="00BA6022" w:rsidRDefault="00421C65" w:rsidP="00E9665D">
                    <w:pPr>
                      <w:ind w:right="73"/>
                      <w:jc w:val="right"/>
                      <w:rPr>
                        <w:sz w:val="12"/>
                        <w:szCs w:val="12"/>
                      </w:rPr>
                    </w:pPr>
                    <w:r w:rsidRPr="00BA6022">
                      <w:rPr>
                        <w:sz w:val="12"/>
                        <w:szCs w:val="12"/>
                      </w:rPr>
                      <w:t>16,518,656</w:t>
                    </w:r>
                  </w:p>
                </w:tc>
                <w:tc>
                  <w:tcPr>
                    <w:tcW w:w="356" w:type="pct"/>
                    <w:shd w:val="clear" w:color="auto" w:fill="auto"/>
                    <w:vAlign w:val="center"/>
                  </w:tcPr>
                  <w:p w:rsidR="00421C65" w:rsidRPr="00BA6022" w:rsidRDefault="00421C65" w:rsidP="00E9665D">
                    <w:pPr>
                      <w:ind w:right="73"/>
                      <w:jc w:val="right"/>
                      <w:rPr>
                        <w:sz w:val="12"/>
                        <w:szCs w:val="12"/>
                      </w:rPr>
                    </w:pPr>
                    <w:r w:rsidRPr="00BA6022">
                      <w:rPr>
                        <w:sz w:val="12"/>
                        <w:szCs w:val="12"/>
                      </w:rPr>
                      <w:t>1,533,019,399</w:t>
                    </w:r>
                  </w:p>
                </w:tc>
                <w:tc>
                  <w:tcPr>
                    <w:tcW w:w="312" w:type="pct"/>
                    <w:shd w:val="clear" w:color="auto" w:fill="auto"/>
                    <w:vAlign w:val="center"/>
                  </w:tcPr>
                  <w:p w:rsidR="00421C65" w:rsidRPr="00BA6022" w:rsidRDefault="00421C65" w:rsidP="00E9665D">
                    <w:pPr>
                      <w:ind w:right="73"/>
                      <w:jc w:val="right"/>
                      <w:rPr>
                        <w:sz w:val="12"/>
                        <w:szCs w:val="12"/>
                      </w:rPr>
                    </w:pPr>
                    <w:r w:rsidRPr="00BA6022">
                      <w:rPr>
                        <w:sz w:val="12"/>
                        <w:szCs w:val="12"/>
                      </w:rPr>
                      <w:t>0</w:t>
                    </w:r>
                  </w:p>
                </w:tc>
                <w:tc>
                  <w:tcPr>
                    <w:tcW w:w="311" w:type="pct"/>
                    <w:shd w:val="clear" w:color="auto" w:fill="auto"/>
                    <w:vAlign w:val="center"/>
                  </w:tcPr>
                  <w:p w:rsidR="00421C65" w:rsidRPr="00BA6022" w:rsidRDefault="00421C65" w:rsidP="00E9665D">
                    <w:pPr>
                      <w:jc w:val="right"/>
                      <w:rPr>
                        <w:sz w:val="12"/>
                        <w:szCs w:val="12"/>
                      </w:rPr>
                    </w:pPr>
                    <w:r w:rsidRPr="00BA6022">
                      <w:rPr>
                        <w:sz w:val="12"/>
                        <w:szCs w:val="12"/>
                      </w:rPr>
                      <w:t>0</w:t>
                    </w:r>
                  </w:p>
                </w:tc>
                <w:tc>
                  <w:tcPr>
                    <w:tcW w:w="314" w:type="pct"/>
                    <w:vAlign w:val="center"/>
                  </w:tcPr>
                  <w:p w:rsidR="00421C65" w:rsidRPr="00BA6022" w:rsidRDefault="00421C65" w:rsidP="00E9665D">
                    <w:pPr>
                      <w:jc w:val="right"/>
                      <w:rPr>
                        <w:sz w:val="12"/>
                        <w:szCs w:val="12"/>
                      </w:rPr>
                    </w:pPr>
                    <w:r w:rsidRPr="00BA6022">
                      <w:rPr>
                        <w:sz w:val="12"/>
                        <w:szCs w:val="12"/>
                      </w:rPr>
                      <w:t>633,781,513</w:t>
                    </w:r>
                  </w:p>
                </w:tc>
                <w:tc>
                  <w:tcPr>
                    <w:tcW w:w="352" w:type="pct"/>
                    <w:shd w:val="clear" w:color="auto" w:fill="auto"/>
                    <w:vAlign w:val="center"/>
                  </w:tcPr>
                  <w:p w:rsidR="00421C65" w:rsidRPr="00BA6022" w:rsidRDefault="00421C65" w:rsidP="00E9665D">
                    <w:pPr>
                      <w:jc w:val="right"/>
                      <w:rPr>
                        <w:sz w:val="12"/>
                        <w:szCs w:val="12"/>
                      </w:rPr>
                    </w:pPr>
                    <w:r w:rsidRPr="00BA6022">
                      <w:rPr>
                        <w:sz w:val="12"/>
                        <w:szCs w:val="12"/>
                      </w:rPr>
                      <w:t>/</w:t>
                    </w:r>
                  </w:p>
                </w:tc>
                <w:tc>
                  <w:tcPr>
                    <w:tcW w:w="157" w:type="pct"/>
                    <w:shd w:val="clear" w:color="auto" w:fill="auto"/>
                    <w:vAlign w:val="center"/>
                  </w:tcPr>
                  <w:p w:rsidR="00421C65" w:rsidRPr="00BA6022" w:rsidRDefault="00421C65" w:rsidP="00E9665D">
                    <w:pPr>
                      <w:jc w:val="right"/>
                      <w:rPr>
                        <w:sz w:val="12"/>
                        <w:szCs w:val="12"/>
                      </w:rPr>
                    </w:pPr>
                    <w:r w:rsidRPr="00BA6022">
                      <w:rPr>
                        <w:sz w:val="12"/>
                        <w:szCs w:val="12"/>
                      </w:rPr>
                      <w:t>/</w:t>
                    </w:r>
                  </w:p>
                </w:tc>
                <w:tc>
                  <w:tcPr>
                    <w:tcW w:w="249" w:type="pct"/>
                    <w:shd w:val="clear" w:color="auto" w:fill="auto"/>
                    <w:vAlign w:val="center"/>
                  </w:tcPr>
                  <w:p w:rsidR="00421C65" w:rsidRPr="00BA6022" w:rsidRDefault="00421C65" w:rsidP="00E9665D">
                    <w:pPr>
                      <w:jc w:val="right"/>
                      <w:rPr>
                        <w:sz w:val="12"/>
                        <w:szCs w:val="12"/>
                      </w:rPr>
                    </w:pPr>
                    <w:r w:rsidRPr="00BA6022">
                      <w:rPr>
                        <w:sz w:val="12"/>
                        <w:szCs w:val="12"/>
                      </w:rPr>
                      <w:t>0</w:t>
                    </w:r>
                  </w:p>
                </w:tc>
                <w:tc>
                  <w:tcPr>
                    <w:tcW w:w="268" w:type="pct"/>
                    <w:shd w:val="clear" w:color="auto" w:fill="auto"/>
                    <w:vAlign w:val="center"/>
                  </w:tcPr>
                  <w:p w:rsidR="00421C65" w:rsidRPr="00BA6022" w:rsidRDefault="00421C65" w:rsidP="00E9665D">
                    <w:pPr>
                      <w:jc w:val="right"/>
                      <w:rPr>
                        <w:sz w:val="12"/>
                        <w:szCs w:val="12"/>
                      </w:rPr>
                    </w:pPr>
                    <w:r w:rsidRPr="00BA6022">
                      <w:rPr>
                        <w:sz w:val="12"/>
                        <w:szCs w:val="12"/>
                      </w:rPr>
                      <w:t>0</w:t>
                    </w:r>
                  </w:p>
                </w:tc>
                <w:tc>
                  <w:tcPr>
                    <w:tcW w:w="223" w:type="pct"/>
                    <w:shd w:val="clear" w:color="auto" w:fill="auto"/>
                    <w:vAlign w:val="center"/>
                  </w:tcPr>
                  <w:p w:rsidR="00421C65" w:rsidRPr="00BA6022" w:rsidRDefault="00BA6022" w:rsidP="00E9665D">
                    <w:pPr>
                      <w:jc w:val="right"/>
                      <w:rPr>
                        <w:sz w:val="12"/>
                        <w:szCs w:val="12"/>
                      </w:rPr>
                    </w:pPr>
                    <w:r w:rsidRPr="00BA6022">
                      <w:rPr>
                        <w:sz w:val="12"/>
                        <w:szCs w:val="12"/>
                      </w:rPr>
                      <w:t>0</w:t>
                    </w:r>
                  </w:p>
                </w:tc>
                <w:tc>
                  <w:tcPr>
                    <w:tcW w:w="179" w:type="pct"/>
                    <w:shd w:val="clear" w:color="auto" w:fill="auto"/>
                    <w:vAlign w:val="center"/>
                  </w:tcPr>
                  <w:p w:rsidR="00421C65" w:rsidRPr="00BA6022" w:rsidRDefault="00421C65" w:rsidP="00E9665D">
                    <w:pPr>
                      <w:jc w:val="right"/>
                      <w:rPr>
                        <w:sz w:val="12"/>
                        <w:szCs w:val="12"/>
                      </w:rPr>
                    </w:pPr>
                    <w:r w:rsidRPr="00BA6022">
                      <w:rPr>
                        <w:sz w:val="12"/>
                        <w:szCs w:val="12"/>
                      </w:rPr>
                      <w:t>自筹</w:t>
                    </w:r>
                  </w:p>
                </w:tc>
              </w:tr>
            </w:sdtContent>
          </w:sdt>
          <w:tr w:rsidR="00732AC2" w:rsidTr="00E9665D">
            <w:trPr>
              <w:cantSplit/>
            </w:trPr>
            <w:sdt>
              <w:sdtPr>
                <w:rPr>
                  <w:sz w:val="12"/>
                  <w:szCs w:val="12"/>
                </w:rPr>
                <w:tag w:val="_PLD_2216f6ec60d6481d870ef3195ec544aa"/>
                <w:id w:val="-1917466822"/>
                <w:lock w:val="sdtLocked"/>
              </w:sdtPr>
              <w:sdtContent>
                <w:tc>
                  <w:tcPr>
                    <w:tcW w:w="982" w:type="pct"/>
                    <w:shd w:val="clear" w:color="auto" w:fill="auto"/>
                    <w:vAlign w:val="center"/>
                  </w:tcPr>
                  <w:p w:rsidR="00421C65" w:rsidRPr="00BA6022" w:rsidRDefault="00421C65" w:rsidP="00421C65">
                    <w:pPr>
                      <w:ind w:right="105"/>
                      <w:jc w:val="center"/>
                      <w:rPr>
                        <w:sz w:val="12"/>
                        <w:szCs w:val="12"/>
                      </w:rPr>
                    </w:pPr>
                    <w:r w:rsidRPr="00BA6022">
                      <w:rPr>
                        <w:rFonts w:hint="eastAsia"/>
                        <w:sz w:val="12"/>
                        <w:szCs w:val="12"/>
                      </w:rPr>
                      <w:t>合计</w:t>
                    </w:r>
                  </w:p>
                </w:tc>
              </w:sdtContent>
            </w:sdt>
            <w:tc>
              <w:tcPr>
                <w:tcW w:w="268" w:type="pct"/>
                <w:shd w:val="clear" w:color="auto" w:fill="auto"/>
                <w:vAlign w:val="center"/>
              </w:tcPr>
              <w:p w:rsidR="00421C65" w:rsidRPr="00BA6022" w:rsidRDefault="00094CB6" w:rsidP="00E9665D">
                <w:pPr>
                  <w:ind w:right="105"/>
                  <w:jc w:val="right"/>
                  <w:rPr>
                    <w:sz w:val="12"/>
                    <w:szCs w:val="12"/>
                  </w:rPr>
                </w:pPr>
                <w:r>
                  <w:rPr>
                    <w:sz w:val="12"/>
                    <w:szCs w:val="12"/>
                  </w:rPr>
                  <w:t>753,367,591</w:t>
                </w:r>
              </w:p>
            </w:tc>
            <w:tc>
              <w:tcPr>
                <w:tcW w:w="306" w:type="pct"/>
                <w:shd w:val="clear" w:color="auto" w:fill="auto"/>
                <w:vAlign w:val="center"/>
              </w:tcPr>
              <w:p w:rsidR="00421C65" w:rsidRPr="00BA6022" w:rsidRDefault="00421C65" w:rsidP="00E9665D">
                <w:pPr>
                  <w:jc w:val="right"/>
                  <w:rPr>
                    <w:sz w:val="12"/>
                    <w:szCs w:val="12"/>
                  </w:rPr>
                </w:pPr>
                <w:r w:rsidRPr="00BA6022">
                  <w:rPr>
                    <w:sz w:val="12"/>
                    <w:szCs w:val="12"/>
                  </w:rPr>
                  <w:t>740,335,416</w:t>
                </w:r>
              </w:p>
            </w:tc>
            <w:tc>
              <w:tcPr>
                <w:tcW w:w="356" w:type="pct"/>
                <w:shd w:val="clear" w:color="auto" w:fill="auto"/>
                <w:vAlign w:val="center"/>
              </w:tcPr>
              <w:p w:rsidR="00421C65" w:rsidRPr="00BA6022" w:rsidRDefault="00421C65" w:rsidP="00E9665D">
                <w:pPr>
                  <w:ind w:right="73"/>
                  <w:jc w:val="right"/>
                  <w:rPr>
                    <w:sz w:val="12"/>
                    <w:szCs w:val="12"/>
                  </w:rPr>
                </w:pPr>
                <w:r w:rsidRPr="00BA6022">
                  <w:rPr>
                    <w:sz w:val="12"/>
                    <w:szCs w:val="12"/>
                  </w:rPr>
                  <w:t>10,365,374,730</w:t>
                </w:r>
              </w:p>
            </w:tc>
            <w:tc>
              <w:tcPr>
                <w:tcW w:w="366" w:type="pct"/>
                <w:shd w:val="clear" w:color="auto" w:fill="auto"/>
                <w:vAlign w:val="center"/>
              </w:tcPr>
              <w:p w:rsidR="00421C65" w:rsidRPr="00BA6022" w:rsidRDefault="00421C65" w:rsidP="00E9665D">
                <w:pPr>
                  <w:ind w:right="73"/>
                  <w:jc w:val="right"/>
                  <w:rPr>
                    <w:sz w:val="12"/>
                    <w:szCs w:val="12"/>
                  </w:rPr>
                </w:pPr>
                <w:r w:rsidRPr="00BA6022">
                  <w:rPr>
                    <w:sz w:val="12"/>
                    <w:szCs w:val="12"/>
                  </w:rPr>
                  <w:t>5,136,201,345</w:t>
                </w:r>
              </w:p>
            </w:tc>
            <w:tc>
              <w:tcPr>
                <w:tcW w:w="356" w:type="pct"/>
                <w:shd w:val="clear" w:color="auto" w:fill="auto"/>
                <w:vAlign w:val="center"/>
              </w:tcPr>
              <w:p w:rsidR="00421C65" w:rsidRPr="00BA6022" w:rsidRDefault="00421C65" w:rsidP="00E9665D">
                <w:pPr>
                  <w:ind w:right="73"/>
                  <w:jc w:val="right"/>
                  <w:rPr>
                    <w:sz w:val="12"/>
                    <w:szCs w:val="12"/>
                  </w:rPr>
                </w:pPr>
                <w:r w:rsidRPr="00BA6022">
                  <w:rPr>
                    <w:sz w:val="12"/>
                    <w:szCs w:val="12"/>
                  </w:rPr>
                  <w:t>9,680,415,558</w:t>
                </w:r>
              </w:p>
            </w:tc>
            <w:tc>
              <w:tcPr>
                <w:tcW w:w="312" w:type="pct"/>
                <w:shd w:val="clear" w:color="auto" w:fill="auto"/>
                <w:vAlign w:val="center"/>
              </w:tcPr>
              <w:p w:rsidR="00421C65" w:rsidRPr="00BA6022" w:rsidRDefault="00421C65" w:rsidP="00E9665D">
                <w:pPr>
                  <w:ind w:right="73"/>
                  <w:jc w:val="right"/>
                  <w:rPr>
                    <w:sz w:val="12"/>
                    <w:szCs w:val="12"/>
                  </w:rPr>
                </w:pPr>
                <w:r w:rsidRPr="00BA6022">
                  <w:rPr>
                    <w:sz w:val="12"/>
                    <w:szCs w:val="12"/>
                  </w:rPr>
                  <w:t>0</w:t>
                </w:r>
              </w:p>
            </w:tc>
            <w:tc>
              <w:tcPr>
                <w:tcW w:w="311" w:type="pct"/>
                <w:shd w:val="clear" w:color="auto" w:fill="auto"/>
                <w:vAlign w:val="center"/>
              </w:tcPr>
              <w:p w:rsidR="00421C65" w:rsidRPr="00BA6022" w:rsidRDefault="00421C65" w:rsidP="00E9665D">
                <w:pPr>
                  <w:jc w:val="right"/>
                  <w:rPr>
                    <w:sz w:val="12"/>
                    <w:szCs w:val="12"/>
                  </w:rPr>
                </w:pPr>
                <w:r w:rsidRPr="00BA6022">
                  <w:rPr>
                    <w:sz w:val="12"/>
                    <w:szCs w:val="12"/>
                  </w:rPr>
                  <w:t>0</w:t>
                </w:r>
              </w:p>
            </w:tc>
            <w:tc>
              <w:tcPr>
                <w:tcW w:w="314" w:type="pct"/>
                <w:vAlign w:val="center"/>
              </w:tcPr>
              <w:p w:rsidR="00421C65" w:rsidRPr="00BA6022" w:rsidRDefault="00421C65" w:rsidP="00E9665D">
                <w:pPr>
                  <w:jc w:val="right"/>
                  <w:rPr>
                    <w:sz w:val="12"/>
                    <w:szCs w:val="12"/>
                  </w:rPr>
                </w:pPr>
                <w:r w:rsidRPr="00BA6022">
                  <w:rPr>
                    <w:sz w:val="12"/>
                    <w:szCs w:val="12"/>
                  </w:rPr>
                  <w:t>1,425,294,588</w:t>
                </w:r>
              </w:p>
            </w:tc>
            <w:tc>
              <w:tcPr>
                <w:tcW w:w="352" w:type="pct"/>
                <w:shd w:val="clear" w:color="auto" w:fill="auto"/>
                <w:vAlign w:val="center"/>
              </w:tcPr>
              <w:p w:rsidR="00421C65" w:rsidRPr="00BA6022" w:rsidRDefault="00421C65" w:rsidP="00E9665D">
                <w:pPr>
                  <w:ind w:right="29"/>
                  <w:jc w:val="right"/>
                  <w:rPr>
                    <w:sz w:val="12"/>
                    <w:szCs w:val="12"/>
                  </w:rPr>
                </w:pPr>
                <w:r w:rsidRPr="00BA6022">
                  <w:rPr>
                    <w:sz w:val="12"/>
                    <w:szCs w:val="12"/>
                  </w:rPr>
                  <w:t>/</w:t>
                </w:r>
              </w:p>
            </w:tc>
            <w:tc>
              <w:tcPr>
                <w:tcW w:w="157" w:type="pct"/>
                <w:shd w:val="clear" w:color="auto" w:fill="auto"/>
                <w:vAlign w:val="center"/>
              </w:tcPr>
              <w:p w:rsidR="00421C65" w:rsidRPr="00BA6022" w:rsidRDefault="00421C65" w:rsidP="00E9665D">
                <w:pPr>
                  <w:ind w:left="-277" w:firstLine="221"/>
                  <w:jc w:val="right"/>
                  <w:rPr>
                    <w:sz w:val="12"/>
                    <w:szCs w:val="12"/>
                  </w:rPr>
                </w:pPr>
                <w:r w:rsidRPr="00BA6022">
                  <w:rPr>
                    <w:sz w:val="12"/>
                    <w:szCs w:val="12"/>
                  </w:rPr>
                  <w:t>/</w:t>
                </w:r>
              </w:p>
            </w:tc>
            <w:tc>
              <w:tcPr>
                <w:tcW w:w="249" w:type="pct"/>
                <w:shd w:val="clear" w:color="auto" w:fill="auto"/>
                <w:vAlign w:val="center"/>
              </w:tcPr>
              <w:p w:rsidR="00421C65" w:rsidRPr="00BA6022" w:rsidRDefault="00BA6022" w:rsidP="00E9665D">
                <w:pPr>
                  <w:jc w:val="right"/>
                  <w:rPr>
                    <w:sz w:val="12"/>
                    <w:szCs w:val="12"/>
                  </w:rPr>
                </w:pPr>
                <w:r w:rsidRPr="00BA6022">
                  <w:rPr>
                    <w:sz w:val="12"/>
                    <w:szCs w:val="12"/>
                  </w:rPr>
                  <w:t>0</w:t>
                </w:r>
              </w:p>
            </w:tc>
            <w:tc>
              <w:tcPr>
                <w:tcW w:w="268" w:type="pct"/>
                <w:shd w:val="clear" w:color="auto" w:fill="auto"/>
                <w:vAlign w:val="center"/>
              </w:tcPr>
              <w:p w:rsidR="00421C65" w:rsidRPr="00BA6022" w:rsidRDefault="00BA6022" w:rsidP="00E9665D">
                <w:pPr>
                  <w:jc w:val="right"/>
                  <w:rPr>
                    <w:sz w:val="12"/>
                    <w:szCs w:val="12"/>
                  </w:rPr>
                </w:pPr>
                <w:r w:rsidRPr="00BA6022">
                  <w:rPr>
                    <w:sz w:val="12"/>
                    <w:szCs w:val="12"/>
                  </w:rPr>
                  <w:t>0</w:t>
                </w:r>
              </w:p>
            </w:tc>
            <w:tc>
              <w:tcPr>
                <w:tcW w:w="223" w:type="pct"/>
                <w:shd w:val="clear" w:color="auto" w:fill="auto"/>
                <w:vAlign w:val="center"/>
              </w:tcPr>
              <w:p w:rsidR="00421C65" w:rsidRPr="00BA6022" w:rsidRDefault="00421C65" w:rsidP="00E9665D">
                <w:pPr>
                  <w:ind w:right="40"/>
                  <w:jc w:val="right"/>
                  <w:rPr>
                    <w:sz w:val="12"/>
                    <w:szCs w:val="12"/>
                  </w:rPr>
                </w:pPr>
                <w:r w:rsidRPr="00BA6022">
                  <w:rPr>
                    <w:sz w:val="12"/>
                    <w:szCs w:val="12"/>
                  </w:rPr>
                  <w:t>/</w:t>
                </w:r>
              </w:p>
            </w:tc>
            <w:tc>
              <w:tcPr>
                <w:tcW w:w="179" w:type="pct"/>
                <w:shd w:val="clear" w:color="auto" w:fill="auto"/>
                <w:vAlign w:val="center"/>
              </w:tcPr>
              <w:p w:rsidR="00421C65" w:rsidRPr="00BA6022" w:rsidRDefault="00421C65" w:rsidP="00E9665D">
                <w:pPr>
                  <w:ind w:right="62"/>
                  <w:jc w:val="right"/>
                  <w:rPr>
                    <w:sz w:val="12"/>
                    <w:szCs w:val="12"/>
                  </w:rPr>
                </w:pPr>
                <w:r w:rsidRPr="00BA6022">
                  <w:rPr>
                    <w:sz w:val="12"/>
                    <w:szCs w:val="12"/>
                  </w:rPr>
                  <w:t>/</w:t>
                </w:r>
              </w:p>
            </w:tc>
          </w:tr>
        </w:tbl>
        <w:p w:rsidR="00C30270" w:rsidRDefault="00C30270">
          <w:pPr>
            <w:snapToGrid w:val="0"/>
            <w:spacing w:line="240" w:lineRule="atLeast"/>
            <w:rPr>
              <w:szCs w:val="21"/>
            </w:rPr>
            <w:sectPr w:rsidR="00C30270" w:rsidSect="00C30270">
              <w:pgSz w:w="16838" w:h="11906" w:orient="landscape"/>
              <w:pgMar w:top="1276" w:right="1440" w:bottom="1797" w:left="1525" w:header="856" w:footer="992" w:gutter="0"/>
              <w:cols w:space="425"/>
              <w:docGrid w:type="lines" w:linePitch="312"/>
            </w:sectPr>
          </w:pPr>
        </w:p>
        <w:p w:rsidR="00806678" w:rsidRDefault="00F80B6C">
          <w:pPr>
            <w:snapToGrid w:val="0"/>
            <w:spacing w:line="240" w:lineRule="atLeast"/>
            <w:rPr>
              <w:szCs w:val="21"/>
            </w:rPr>
          </w:pPr>
        </w:p>
      </w:sdtContent>
    </w:sdt>
    <w:sdt>
      <w:sdtPr>
        <w:rPr>
          <w:rFonts w:ascii="宋体" w:eastAsia="宋体" w:hAnsi="宋体" w:cs="宋体" w:hint="eastAsia"/>
          <w:b w:val="0"/>
          <w:bCs w:val="0"/>
          <w:kern w:val="0"/>
          <w:szCs w:val="24"/>
        </w:rPr>
        <w:alias w:val="模块:在建工程减值准备"/>
        <w:tag w:val="_SEC_0ebc618dc5604e8db1776ea7ed9e27ad"/>
        <w:id w:val="1419365466"/>
        <w:lock w:val="sdtLocked"/>
        <w:placeholder>
          <w:docPart w:val="GBC22222222222222222222222222222"/>
        </w:placeholder>
      </w:sdtPr>
      <w:sdtEndPr>
        <w:rPr>
          <w:rFonts w:asciiTheme="minorHAnsi" w:hAnsiTheme="minorHAnsi" w:cstheme="minorBidi"/>
          <w:kern w:val="2"/>
          <w:szCs w:val="22"/>
        </w:rPr>
      </w:sdtEndPr>
      <w:sdtContent>
        <w:p w:rsidR="00806678" w:rsidRDefault="00B16377" w:rsidP="00FF17C7">
          <w:pPr>
            <w:pStyle w:val="4"/>
            <w:numPr>
              <w:ilvl w:val="3"/>
              <w:numId w:val="86"/>
            </w:numPr>
            <w:ind w:left="426" w:hanging="426"/>
          </w:pPr>
          <w:r>
            <w:rPr>
              <w:rFonts w:hint="eastAsia"/>
            </w:rPr>
            <w:t>本期计提在建工程减值准备情况</w:t>
          </w:r>
        </w:p>
        <w:sdt>
          <w:sdtPr>
            <w:alias w:val="是否适用：本期计提在建工程减值准备情况[双击切换]"/>
            <w:tag w:val="_GBC_f0a78e682a314d34a7b55dd88c219307"/>
            <w:id w:val="97759079"/>
            <w:lock w:val="sdtLocked"/>
            <w:placeholder>
              <w:docPart w:val="GBC22222222222222222222222222222"/>
            </w:placeholder>
          </w:sdtPr>
          <w:sdtContent>
            <w:p w:rsidR="00806678" w:rsidRDefault="00F80B6C" w:rsidP="00833C18">
              <w:r>
                <w:fldChar w:fldCharType="begin"/>
              </w:r>
              <w:r w:rsidR="00833C18">
                <w:instrText xml:space="preserve">MACROBUTTON  SnrToggleCheckbox □适用 </w:instrText>
              </w:r>
              <w:r>
                <w:fldChar w:fldCharType="end"/>
              </w:r>
              <w:r>
                <w:fldChar w:fldCharType="begin"/>
              </w:r>
              <w:r w:rsidR="00833C18">
                <w:instrText xml:space="preserve"> MACROBUTTON  SnrToggleCheckbox √不适用 </w:instrText>
              </w:r>
              <w:r>
                <w:fldChar w:fldCharType="end"/>
              </w:r>
            </w:p>
          </w:sdtContent>
        </w:sdt>
      </w:sdtContent>
    </w:sdt>
    <w:sdt>
      <w:sdtPr>
        <w:rPr>
          <w:rFonts w:hint="eastAsia"/>
          <w:szCs w:val="21"/>
        </w:rPr>
        <w:alias w:val="模块:在建工程的说明"/>
        <w:tag w:val="_SEC_557cdec50a6747d28443c626668ac476"/>
        <w:id w:val="-1898663559"/>
        <w:lock w:val="sdtLocked"/>
        <w:placeholder>
          <w:docPart w:val="GBC22222222222222222222222222222"/>
        </w:placeholder>
      </w:sdtPr>
      <w:sdtEndPr>
        <w:rPr>
          <w:rFonts w:hint="default"/>
        </w:rPr>
      </w:sdtEndPr>
      <w:sdtContent>
        <w:p w:rsidR="00806678" w:rsidRDefault="00B16377">
          <w:pPr>
            <w:rPr>
              <w:szCs w:val="21"/>
            </w:rPr>
          </w:pPr>
          <w:r>
            <w:rPr>
              <w:rFonts w:hint="eastAsia"/>
              <w:szCs w:val="21"/>
            </w:rPr>
            <w:t>其他说明</w:t>
          </w:r>
        </w:p>
        <w:sdt>
          <w:sdtPr>
            <w:rPr>
              <w:szCs w:val="21"/>
            </w:rPr>
            <w:alias w:val="是否适用：在建工程的说明[双击切换]"/>
            <w:tag w:val="_GBC_e6220a45d928426882f5c3ad23ff2098"/>
            <w:id w:val="-1551068451"/>
            <w:lock w:val="sdtLocked"/>
            <w:placeholder>
              <w:docPart w:val="GBC22222222222222222222222222222"/>
            </w:placeholder>
          </w:sdtPr>
          <w:sdtContent>
            <w:p w:rsidR="00732AC2" w:rsidRDefault="00F80B6C">
              <w:pPr>
                <w:rPr>
                  <w:szCs w:val="21"/>
                </w:rPr>
              </w:pPr>
              <w:r>
                <w:rPr>
                  <w:szCs w:val="21"/>
                </w:rPr>
                <w:fldChar w:fldCharType="begin"/>
              </w:r>
              <w:r w:rsidR="00833C18">
                <w:rPr>
                  <w:szCs w:val="21"/>
                </w:rPr>
                <w:instrText xml:space="preserve">MACROBUTTON  SnrToggleCheckbox √适用 </w:instrText>
              </w:r>
              <w:r>
                <w:rPr>
                  <w:szCs w:val="21"/>
                </w:rPr>
                <w:fldChar w:fldCharType="end"/>
              </w:r>
              <w:r>
                <w:rPr>
                  <w:szCs w:val="21"/>
                </w:rPr>
                <w:fldChar w:fldCharType="begin"/>
              </w:r>
              <w:r w:rsidR="00833C18">
                <w:rPr>
                  <w:szCs w:val="21"/>
                </w:rPr>
                <w:instrText xml:space="preserve"> MACROBUTTON  SnrToggleCheckbox □不适用 </w:instrText>
              </w:r>
              <w:r>
                <w:rPr>
                  <w:szCs w:val="21"/>
                </w:rPr>
                <w:fldChar w:fldCharType="end"/>
              </w:r>
            </w:p>
            <w:p w:rsidR="00806678" w:rsidRDefault="00F80B6C">
              <w:pPr>
                <w:rPr>
                  <w:szCs w:val="21"/>
                </w:rPr>
              </w:pPr>
            </w:p>
          </w:sdtContent>
        </w:sdt>
        <w:sdt>
          <w:sdtPr>
            <w:rPr>
              <w:szCs w:val="21"/>
            </w:rPr>
            <w:alias w:val="在建工程的说明"/>
            <w:tag w:val="_GBC_917b304512fa407ebe1ac25233a9f6a6"/>
            <w:id w:val="236213106"/>
            <w:lock w:val="sdtLocked"/>
            <w:placeholder>
              <w:docPart w:val="GBC22222222222222222222222222222"/>
            </w:placeholder>
          </w:sdtPr>
          <w:sdtContent>
            <w:p w:rsidR="00833C18" w:rsidRPr="00732AC2" w:rsidRDefault="00833C18" w:rsidP="00833C18">
              <w:pPr>
                <w:rPr>
                  <w:sz w:val="22"/>
                  <w:szCs w:val="22"/>
                </w:rPr>
              </w:pPr>
              <w:r w:rsidRPr="00732AC2">
                <w:rPr>
                  <w:rFonts w:hint="eastAsia"/>
                  <w:sz w:val="22"/>
                  <w:szCs w:val="22"/>
                </w:rPr>
                <w:t>于</w:t>
              </w:r>
              <w:r w:rsidRPr="00732AC2">
                <w:rPr>
                  <w:sz w:val="22"/>
                  <w:szCs w:val="22"/>
                </w:rPr>
                <w:t>2022年12月31日，本集团的在建工程不存在重大减值迹象。</w:t>
              </w:r>
            </w:p>
            <w:p w:rsidR="00833C18" w:rsidRPr="00732AC2" w:rsidRDefault="00833C18" w:rsidP="00833C18">
              <w:pPr>
                <w:rPr>
                  <w:sz w:val="22"/>
                  <w:szCs w:val="22"/>
                </w:rPr>
              </w:pPr>
            </w:p>
            <w:p w:rsidR="00806678" w:rsidRDefault="00833C18" w:rsidP="00833C18">
              <w:pPr>
                <w:rPr>
                  <w:color w:val="FF0000"/>
                  <w:szCs w:val="21"/>
                </w:rPr>
              </w:pPr>
              <w:r w:rsidRPr="00732AC2">
                <w:rPr>
                  <w:rFonts w:hint="eastAsia"/>
                  <w:sz w:val="22"/>
                  <w:szCs w:val="22"/>
                </w:rPr>
                <w:t>注</w:t>
              </w:r>
              <w:r w:rsidRPr="00732AC2">
                <w:rPr>
                  <w:sz w:val="22"/>
                  <w:szCs w:val="22"/>
                </w:rPr>
                <w:t>1：</w:t>
              </w:r>
              <w:r w:rsidRPr="00732AC2">
                <w:rPr>
                  <w:sz w:val="22"/>
                  <w:szCs w:val="22"/>
                </w:rPr>
                <w:tab/>
                <w:t>其他工程项目由于单项金额较小，未单独列示。</w:t>
              </w:r>
            </w:p>
          </w:sdtContent>
        </w:sdt>
      </w:sdtContent>
    </w:sdt>
    <w:p w:rsidR="00806678" w:rsidRDefault="00806678">
      <w:pPr>
        <w:rPr>
          <w:szCs w:val="21"/>
        </w:rPr>
      </w:pPr>
    </w:p>
    <w:bookmarkStart w:id="204" w:name="_Hlk532903321" w:displacedByCustomXml="next"/>
    <w:sdt>
      <w:sdtPr>
        <w:rPr>
          <w:rFonts w:ascii="宋体" w:eastAsia="宋体" w:hAnsi="宋体" w:cstheme="minorBidi" w:hint="eastAsia"/>
          <w:b w:val="0"/>
          <w:bCs w:val="0"/>
          <w:kern w:val="0"/>
          <w:szCs w:val="24"/>
        </w:rPr>
        <w:alias w:val="模块:工程物资"/>
        <w:tag w:val="_SEC_57646d76c9b54fbc8b0c285f81791103"/>
        <w:id w:val="-89317058"/>
        <w:lock w:val="sdtLocked"/>
        <w:placeholder>
          <w:docPart w:val="GBC22222222222222222222222222222"/>
        </w:placeholder>
      </w:sdtPr>
      <w:sdtEndPr>
        <w:rPr>
          <w:rFonts w:hint="default"/>
          <w:szCs w:val="21"/>
        </w:rPr>
      </w:sdtEndPr>
      <w:sdtContent>
        <w:p w:rsidR="00806678" w:rsidRDefault="00B16377">
          <w:pPr>
            <w:pStyle w:val="4"/>
            <w:ind w:left="360" w:hanging="360"/>
          </w:pPr>
          <w:r>
            <w:rPr>
              <w:rFonts w:hint="eastAsia"/>
            </w:rPr>
            <w:t>工程物资</w:t>
          </w:r>
        </w:p>
        <w:p w:rsidR="00806678" w:rsidRDefault="00B16377" w:rsidP="00FF17C7">
          <w:pPr>
            <w:pStyle w:val="4"/>
            <w:numPr>
              <w:ilvl w:val="3"/>
              <w:numId w:val="87"/>
            </w:numPr>
            <w:ind w:left="426" w:hanging="426"/>
          </w:pPr>
          <w:r>
            <w:rPr>
              <w:rFonts w:hint="eastAsia"/>
            </w:rPr>
            <w:t>工程物资情况</w:t>
          </w:r>
        </w:p>
        <w:sdt>
          <w:sdtPr>
            <w:alias w:val="是否适用：工程物资[双击切换]"/>
            <w:tag w:val="_GBC_91916c11fa864423a1c0e6a4024fdda5"/>
            <w:id w:val="2000845052"/>
            <w:lock w:val="sdtLocked"/>
            <w:placeholder>
              <w:docPart w:val="GBC22222222222222222222222222222"/>
            </w:placeholder>
          </w:sdtPr>
          <w:sdtContent>
            <w:p w:rsidR="00833C18" w:rsidRDefault="00F80B6C" w:rsidP="00833C18">
              <w:pPr>
                <w:rPr>
                  <w:szCs w:val="21"/>
                </w:rPr>
              </w:pPr>
              <w:r>
                <w:fldChar w:fldCharType="begin"/>
              </w:r>
              <w:r w:rsidR="00833C18">
                <w:instrText xml:space="preserve">MACROBUTTON  SnrToggleCheckbox □适用 </w:instrText>
              </w:r>
              <w:r>
                <w:fldChar w:fldCharType="end"/>
              </w:r>
              <w:r>
                <w:fldChar w:fldCharType="begin"/>
              </w:r>
              <w:r w:rsidR="00833C18">
                <w:instrText xml:space="preserve"> MACROBUTTON  SnrToggleCheckbox √不适用 </w:instrText>
              </w:r>
              <w:r>
                <w:fldChar w:fldCharType="end"/>
              </w:r>
            </w:p>
          </w:sdtContent>
        </w:sdt>
        <w:p w:rsidR="00806678" w:rsidRDefault="00F80B6C">
          <w:pPr>
            <w:rPr>
              <w:rFonts w:cstheme="minorBidi"/>
              <w:szCs w:val="21"/>
            </w:rPr>
          </w:pPr>
        </w:p>
      </w:sdtContent>
    </w:sdt>
    <w:bookmarkEnd w:id="204" w:displacedByCustomXml="prev"/>
    <w:p w:rsidR="00806678" w:rsidRDefault="00B16377" w:rsidP="00FF17C7">
      <w:pPr>
        <w:pStyle w:val="3"/>
        <w:numPr>
          <w:ilvl w:val="0"/>
          <w:numId w:val="18"/>
        </w:numPr>
        <w:tabs>
          <w:tab w:val="left" w:pos="504"/>
        </w:tabs>
        <w:rPr>
          <w:rFonts w:ascii="宋体" w:hAnsi="宋体"/>
          <w:szCs w:val="21"/>
        </w:rPr>
      </w:pPr>
      <w:r>
        <w:rPr>
          <w:rFonts w:ascii="宋体" w:hAnsi="宋体" w:hint="eastAsia"/>
          <w:szCs w:val="21"/>
        </w:rPr>
        <w:t>生产性生物资产</w:t>
      </w:r>
    </w:p>
    <w:sdt>
      <w:sdtPr>
        <w:rPr>
          <w:rFonts w:ascii="宋体" w:eastAsia="宋体" w:hAnsi="宋体" w:cstheme="minorBidi" w:hint="eastAsia"/>
          <w:b w:val="0"/>
          <w:bCs w:val="0"/>
          <w:kern w:val="0"/>
          <w:szCs w:val="24"/>
        </w:rPr>
        <w:alias w:val="模块:采用成成本计量模式的生产性生物资产"/>
        <w:tag w:val="_SEC_90a77fb9192246418dabc2bc031e38c0"/>
        <w:id w:val="-645196482"/>
        <w:lock w:val="sdtLocked"/>
        <w:placeholder>
          <w:docPart w:val="GBC22222222222222222222222222222"/>
        </w:placeholder>
      </w:sdtPr>
      <w:sdtEndPr>
        <w:rPr>
          <w:rFonts w:hint="default"/>
          <w:szCs w:val="21"/>
        </w:rPr>
      </w:sdtEndPr>
      <w:sdtContent>
        <w:p w:rsidR="00806678" w:rsidRDefault="00B16377" w:rsidP="00FF17C7">
          <w:pPr>
            <w:pStyle w:val="4"/>
            <w:numPr>
              <w:ilvl w:val="3"/>
              <w:numId w:val="88"/>
            </w:numPr>
            <w:ind w:left="426" w:hanging="426"/>
          </w:pPr>
          <w:r>
            <w:rPr>
              <w:rFonts w:hint="eastAsia"/>
            </w:rPr>
            <w:t>采用成本计量模式的生产性生物资产</w:t>
          </w:r>
        </w:p>
        <w:sdt>
          <w:sdtPr>
            <w:rPr>
              <w:rFonts w:hint="eastAsia"/>
              <w:szCs w:val="21"/>
            </w:rPr>
            <w:alias w:val="是否适用：财务附注：以成本计量的生产性生物资产[双击切换]"/>
            <w:tag w:val="_GBC_925c2a7345d74ba1bae908f2c1695459"/>
            <w:id w:val="-1466585514"/>
            <w:lock w:val="sdtLocked"/>
            <w:placeholder>
              <w:docPart w:val="GBC22222222222222222222222222222"/>
            </w:placeholder>
          </w:sdtPr>
          <w:sdtContent>
            <w:p w:rsidR="00806678" w:rsidRDefault="00F80B6C" w:rsidP="009010CE">
              <w:pPr>
                <w:rPr>
                  <w:szCs w:val="21"/>
                </w:rPr>
              </w:pPr>
              <w:r>
                <w:rPr>
                  <w:szCs w:val="21"/>
                </w:rPr>
                <w:fldChar w:fldCharType="begin"/>
              </w:r>
              <w:r w:rsidR="009010CE">
                <w:rPr>
                  <w:szCs w:val="21"/>
                </w:rPr>
                <w:instrText xml:space="preserve">MACROBUTTON  SnrToggleCheckbox □适用 </w:instrText>
              </w:r>
              <w:r>
                <w:rPr>
                  <w:szCs w:val="21"/>
                </w:rPr>
                <w:fldChar w:fldCharType="end"/>
              </w:r>
              <w:r>
                <w:rPr>
                  <w:szCs w:val="21"/>
                </w:rPr>
                <w:fldChar w:fldCharType="begin"/>
              </w:r>
              <w:r w:rsidR="009010CE">
                <w:rPr>
                  <w:szCs w:val="21"/>
                </w:rPr>
                <w:instrText xml:space="preserve"> MACROBUTTON  SnrToggleCheckbox √不适用 </w:instrText>
              </w:r>
              <w:r>
                <w:rPr>
                  <w:szCs w:val="21"/>
                </w:rPr>
                <w:fldChar w:fldCharType="end"/>
              </w:r>
            </w:p>
          </w:sdtContent>
        </w:sdt>
      </w:sdtContent>
    </w:sdt>
    <w:sdt>
      <w:sdtPr>
        <w:rPr>
          <w:rFonts w:ascii="宋体" w:eastAsia="宋体" w:hAnsi="宋体" w:cstheme="minorBidi" w:hint="eastAsia"/>
          <w:b w:val="0"/>
          <w:bCs w:val="0"/>
          <w:kern w:val="0"/>
          <w:szCs w:val="24"/>
        </w:rPr>
        <w:alias w:val="模块:采用公允价值计量模式的生产性生物资产"/>
        <w:tag w:val="_SEC_30033325948d42e88d046d357344a3ff"/>
        <w:id w:val="1742759058"/>
        <w:lock w:val="sdtLocked"/>
        <w:placeholder>
          <w:docPart w:val="GBC22222222222222222222222222222"/>
        </w:placeholder>
      </w:sdtPr>
      <w:sdtEndPr>
        <w:rPr>
          <w:rFonts w:asciiTheme="minorHAnsi" w:hAnsiTheme="minorHAnsi"/>
          <w:szCs w:val="22"/>
        </w:rPr>
      </w:sdtEndPr>
      <w:sdtContent>
        <w:p w:rsidR="00806678" w:rsidRDefault="00B16377" w:rsidP="00FF17C7">
          <w:pPr>
            <w:pStyle w:val="4"/>
            <w:numPr>
              <w:ilvl w:val="3"/>
              <w:numId w:val="88"/>
            </w:numPr>
            <w:ind w:left="426" w:hanging="426"/>
          </w:pPr>
          <w:r>
            <w:rPr>
              <w:rFonts w:hint="eastAsia"/>
            </w:rPr>
            <w:t>采用公允价值计量模式的生产性生物资产</w:t>
          </w:r>
        </w:p>
        <w:sdt>
          <w:sdtPr>
            <w:rPr>
              <w:szCs w:val="21"/>
            </w:rPr>
            <w:alias w:val="是否适用：财务附注：以公允价值计量的生产性生物资产[双击切换]"/>
            <w:tag w:val="_GBC_9b7a21a74fee4d22abc99ad9ee747e07"/>
            <w:id w:val="1130904163"/>
            <w:lock w:val="sdtLocked"/>
            <w:placeholder>
              <w:docPart w:val="GBC22222222222222222222222222222"/>
            </w:placeholder>
          </w:sdtPr>
          <w:sdtContent>
            <w:p w:rsidR="00806678" w:rsidRDefault="00F80B6C" w:rsidP="009010CE">
              <w:r>
                <w:rPr>
                  <w:szCs w:val="21"/>
                </w:rPr>
                <w:fldChar w:fldCharType="begin"/>
              </w:r>
              <w:r w:rsidR="009010CE">
                <w:rPr>
                  <w:szCs w:val="21"/>
                </w:rPr>
                <w:instrText xml:space="preserve">MACROBUTTON  SnrToggleCheckbox □适用 </w:instrText>
              </w:r>
              <w:r>
                <w:rPr>
                  <w:szCs w:val="21"/>
                </w:rPr>
                <w:fldChar w:fldCharType="end"/>
              </w:r>
              <w:r>
                <w:rPr>
                  <w:szCs w:val="21"/>
                </w:rPr>
                <w:fldChar w:fldCharType="begin"/>
              </w:r>
              <w:r w:rsidR="009010CE">
                <w:rPr>
                  <w:szCs w:val="21"/>
                </w:rPr>
                <w:instrText xml:space="preserve"> MACROBUTTON  SnrToggleCheckbox √不适用 </w:instrText>
              </w:r>
              <w:r>
                <w:rPr>
                  <w:szCs w:val="21"/>
                </w:rPr>
                <w:fldChar w:fldCharType="end"/>
              </w:r>
            </w:p>
          </w:sdtContent>
        </w:sdt>
      </w:sdtContent>
    </w:sdt>
    <w:sdt>
      <w:sdtPr>
        <w:rPr>
          <w:rFonts w:hint="eastAsia"/>
          <w:szCs w:val="21"/>
        </w:rPr>
        <w:alias w:val="模块:生产性生物资产的说明"/>
        <w:tag w:val="_SEC_559ebba506dc45c6ba746173e6e553db"/>
        <w:id w:val="-1778719267"/>
        <w:lock w:val="sdtLocked"/>
        <w:placeholder>
          <w:docPart w:val="GBC22222222222222222222222222222"/>
        </w:placeholder>
      </w:sdtPr>
      <w:sdtEndPr>
        <w:rPr>
          <w:rFonts w:hint="default"/>
        </w:rPr>
      </w:sdtEndPr>
      <w:sdtContent>
        <w:p w:rsidR="00806678" w:rsidRDefault="00B16377">
          <w:pPr>
            <w:autoSpaceDE w:val="0"/>
            <w:autoSpaceDN w:val="0"/>
            <w:adjustRightInd w:val="0"/>
            <w:rPr>
              <w:szCs w:val="21"/>
            </w:rPr>
          </w:pPr>
          <w:r>
            <w:rPr>
              <w:rFonts w:hint="eastAsia"/>
              <w:szCs w:val="21"/>
            </w:rPr>
            <w:t>其他说明</w:t>
          </w:r>
        </w:p>
        <w:sdt>
          <w:sdtPr>
            <w:rPr>
              <w:szCs w:val="21"/>
            </w:rPr>
            <w:alias w:val="是否适用：生产性生物资产的说明[双击切换]"/>
            <w:tag w:val="_GBC_d3e0f749d04b4097a0886c38dadda8f4"/>
            <w:id w:val="-1240409791"/>
            <w:lock w:val="sdtLocked"/>
            <w:placeholder>
              <w:docPart w:val="GBC22222222222222222222222222222"/>
            </w:placeholder>
          </w:sdtPr>
          <w:sdtContent>
            <w:p w:rsidR="00806678" w:rsidRDefault="00F80B6C" w:rsidP="009010CE">
              <w:pPr>
                <w:autoSpaceDE w:val="0"/>
                <w:autoSpaceDN w:val="0"/>
                <w:adjustRightInd w:val="0"/>
                <w:rPr>
                  <w:szCs w:val="21"/>
                </w:rPr>
              </w:pPr>
              <w:r>
                <w:rPr>
                  <w:szCs w:val="21"/>
                </w:rPr>
                <w:fldChar w:fldCharType="begin"/>
              </w:r>
              <w:r w:rsidR="009010CE">
                <w:rPr>
                  <w:szCs w:val="21"/>
                </w:rPr>
                <w:instrText xml:space="preserve">MACROBUTTON  SnrToggleCheckbox □适用 </w:instrText>
              </w:r>
              <w:r>
                <w:rPr>
                  <w:szCs w:val="21"/>
                </w:rPr>
                <w:fldChar w:fldCharType="end"/>
              </w:r>
              <w:r>
                <w:rPr>
                  <w:szCs w:val="21"/>
                </w:rPr>
                <w:fldChar w:fldCharType="begin"/>
              </w:r>
              <w:r w:rsidR="009010CE">
                <w:rPr>
                  <w:szCs w:val="21"/>
                </w:rPr>
                <w:instrText xml:space="preserve"> MACROBUTTON  SnrToggleCheckbox √不适用 </w:instrText>
              </w:r>
              <w:r>
                <w:rPr>
                  <w:szCs w:val="21"/>
                </w:rPr>
                <w:fldChar w:fldCharType="end"/>
              </w:r>
            </w:p>
          </w:sdtContent>
        </w:sdt>
      </w:sdtContent>
    </w:sdt>
    <w:p w:rsidR="00806678" w:rsidRDefault="00806678">
      <w:pPr>
        <w:rPr>
          <w:szCs w:val="21"/>
        </w:rPr>
      </w:pPr>
    </w:p>
    <w:sdt>
      <w:sdtPr>
        <w:rPr>
          <w:rFonts w:ascii="宋体" w:hAnsi="宋体" w:cs="宋体" w:hint="eastAsia"/>
          <w:b w:val="0"/>
          <w:bCs w:val="0"/>
          <w:kern w:val="0"/>
          <w:szCs w:val="21"/>
        </w:rPr>
        <w:alias w:val="模块:油气资产"/>
        <w:tag w:val="_SEC_1c42b01146a94d2891a3a0557341368e"/>
        <w:id w:val="-854808292"/>
        <w:lock w:val="sdtLocked"/>
        <w:placeholder>
          <w:docPart w:val="GBC22222222222222222222222222222"/>
        </w:placeholder>
      </w:sdtPr>
      <w:sdtEndPr>
        <w:rPr>
          <w:rFonts w:cstheme="minorBidi" w:hint="default"/>
          <w:kern w:val="2"/>
        </w:rPr>
      </w:sdtEndPr>
      <w:sdtContent>
        <w:p w:rsidR="00806678" w:rsidRDefault="00B16377" w:rsidP="00FF17C7">
          <w:pPr>
            <w:pStyle w:val="3"/>
            <w:numPr>
              <w:ilvl w:val="0"/>
              <w:numId w:val="18"/>
            </w:numPr>
            <w:tabs>
              <w:tab w:val="left" w:pos="504"/>
            </w:tabs>
            <w:rPr>
              <w:rFonts w:ascii="宋体" w:hAnsi="宋体"/>
              <w:szCs w:val="21"/>
            </w:rPr>
          </w:pPr>
          <w:r>
            <w:rPr>
              <w:rFonts w:ascii="宋体" w:hAnsi="宋体" w:hint="eastAsia"/>
              <w:szCs w:val="21"/>
            </w:rPr>
            <w:t>油气资产</w:t>
          </w:r>
        </w:p>
        <w:sdt>
          <w:sdtPr>
            <w:alias w:val="是否适用：油气资产[双击切换]"/>
            <w:tag w:val="_GBC_a587239cd6ac4d96b99f6fe496e97c34"/>
            <w:id w:val="1302112227"/>
            <w:lock w:val="sdtLocked"/>
            <w:placeholder>
              <w:docPart w:val="GBC22222222222222222222222222222"/>
            </w:placeholder>
          </w:sdtPr>
          <w:sdtContent>
            <w:p w:rsidR="009010CE" w:rsidRDefault="00F80B6C" w:rsidP="009010CE">
              <w:r>
                <w:fldChar w:fldCharType="begin"/>
              </w:r>
              <w:r w:rsidR="009010CE">
                <w:instrText xml:space="preserve">MACROBUTTON  SnrToggleCheckbox □适用 </w:instrText>
              </w:r>
              <w:r>
                <w:fldChar w:fldCharType="end"/>
              </w:r>
              <w:r>
                <w:fldChar w:fldCharType="begin"/>
              </w:r>
              <w:r w:rsidR="009010CE">
                <w:instrText xml:space="preserve"> MACROBUTTON  SnrToggleCheckbox √不适用 </w:instrText>
              </w:r>
              <w:r>
                <w:fldChar w:fldCharType="end"/>
              </w:r>
            </w:p>
          </w:sdtContent>
        </w:sdt>
        <w:p w:rsidR="00806678" w:rsidRDefault="00F80B6C">
          <w:pPr>
            <w:autoSpaceDE w:val="0"/>
            <w:autoSpaceDN w:val="0"/>
            <w:adjustRightInd w:val="0"/>
            <w:rPr>
              <w:szCs w:val="21"/>
            </w:rPr>
          </w:pPr>
        </w:p>
      </w:sdtContent>
    </w:sdt>
    <w:p w:rsidR="001C3754" w:rsidRDefault="001C3754">
      <w:pPr>
        <w:rPr>
          <w:szCs w:val="21"/>
        </w:rPr>
        <w:sectPr w:rsidR="001C3754" w:rsidSect="00F41343">
          <w:pgSz w:w="11906" w:h="16838"/>
          <w:pgMar w:top="1440" w:right="1797" w:bottom="1525" w:left="1276" w:header="856" w:footer="992" w:gutter="0"/>
          <w:cols w:space="425"/>
          <w:docGrid w:type="lines" w:linePitch="312"/>
        </w:sectPr>
      </w:pPr>
    </w:p>
    <w:p w:rsidR="00806678" w:rsidRDefault="00806678">
      <w:pPr>
        <w:rPr>
          <w:szCs w:val="21"/>
        </w:rPr>
      </w:pPr>
    </w:p>
    <w:bookmarkStart w:id="205" w:name="_Hlk121390344" w:displacedByCustomXml="next"/>
    <w:bookmarkStart w:id="206" w:name="_Hlk24026112" w:displacedByCustomXml="next"/>
    <w:sdt>
      <w:sdtPr>
        <w:rPr>
          <w:rFonts w:ascii="宋体" w:hAnsi="宋体" w:cs="宋体" w:hint="eastAsia"/>
          <w:b w:val="0"/>
          <w:bCs w:val="0"/>
          <w:kern w:val="0"/>
          <w:szCs w:val="21"/>
        </w:rPr>
        <w:alias w:val="模块:使用权资产"/>
        <w:tag w:val="_SEC_56ef077439914c3f97ba31c1af9eef32"/>
        <w:id w:val="-330380314"/>
        <w:lock w:val="sdtLocked"/>
        <w:placeholder>
          <w:docPart w:val="GBC22222222222222222222222222222"/>
        </w:placeholder>
      </w:sdtPr>
      <w:sdtEndPr>
        <w:rPr>
          <w:sz w:val="12"/>
          <w:szCs w:val="12"/>
        </w:rPr>
      </w:sdtEndPr>
      <w:sdtContent>
        <w:p w:rsidR="00806678" w:rsidRDefault="00B16377" w:rsidP="00FF17C7">
          <w:pPr>
            <w:pStyle w:val="3"/>
            <w:numPr>
              <w:ilvl w:val="0"/>
              <w:numId w:val="18"/>
            </w:numPr>
            <w:tabs>
              <w:tab w:val="left" w:pos="504"/>
            </w:tabs>
            <w:rPr>
              <w:szCs w:val="21"/>
            </w:rPr>
          </w:pPr>
          <w:r>
            <w:rPr>
              <w:rFonts w:hint="eastAsia"/>
              <w:szCs w:val="21"/>
            </w:rPr>
            <w:t>使用权资产</w:t>
          </w:r>
        </w:p>
        <w:sdt>
          <w:sdtPr>
            <w:alias w:val="是否适用：使用权资产[双击切换]"/>
            <w:tag w:val="_GBC_0d86ed9789d84ef592fcb1556e3f676f"/>
            <w:id w:val="-818801923"/>
            <w:lock w:val="sdtLocked"/>
            <w:placeholder>
              <w:docPart w:val="GBC22222222222222222222222222222"/>
            </w:placeholder>
          </w:sdtPr>
          <w:sdtContent>
            <w:p w:rsidR="00D176AB" w:rsidRDefault="00F80B6C" w:rsidP="00D176AB">
              <w:r>
                <w:fldChar w:fldCharType="begin"/>
              </w:r>
              <w:r w:rsidR="00D176AB">
                <w:instrText xml:space="preserve"> MACROBUTTON  SnrToggleCheckbox √适用 </w:instrText>
              </w:r>
              <w:r>
                <w:fldChar w:fldCharType="end"/>
              </w:r>
              <w:r>
                <w:fldChar w:fldCharType="begin"/>
              </w:r>
              <w:r w:rsidR="00D176AB">
                <w:instrText xml:space="preserve"> MACROBUTTON  SnrToggleCheckbox □不适用 </w:instrText>
              </w:r>
              <w:r>
                <w:fldChar w:fldCharType="end"/>
              </w:r>
            </w:p>
          </w:sdtContent>
        </w:sdt>
        <w:p w:rsidR="00D176AB" w:rsidRDefault="00D176AB" w:rsidP="004B4952">
          <w:pPr>
            <w:autoSpaceDE w:val="0"/>
            <w:autoSpaceDN w:val="0"/>
            <w:adjustRightInd w:val="0"/>
            <w:jc w:val="right"/>
            <w:rPr>
              <w:szCs w:val="21"/>
            </w:rPr>
          </w:pPr>
          <w:r>
            <w:rPr>
              <w:rFonts w:hint="eastAsia"/>
              <w:szCs w:val="21"/>
            </w:rPr>
            <w:t>单位：</w:t>
          </w:r>
          <w:sdt>
            <w:sdtPr>
              <w:rPr>
                <w:rFonts w:hint="eastAsia"/>
                <w:szCs w:val="21"/>
              </w:rPr>
              <w:alias w:val="单位：使用权资产"/>
              <w:tag w:val="_GBC_f958637710fb400c8900b59a67a7bfeb"/>
              <w:id w:val="320007528"/>
              <w:lock w:val="sdtLocked"/>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使用权资产"/>
              <w:tag w:val="_GBC_52957ed8d1644c96801bc28a57ac0486"/>
              <w:id w:val="1123189607"/>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47"/>
            <w:gridCol w:w="1443"/>
            <w:gridCol w:w="1440"/>
            <w:gridCol w:w="1516"/>
            <w:gridCol w:w="1558"/>
            <w:gridCol w:w="1702"/>
            <w:gridCol w:w="1558"/>
            <w:gridCol w:w="1561"/>
            <w:gridCol w:w="1364"/>
          </w:tblGrid>
          <w:tr w:rsidR="00F84632" w:rsidTr="00F84632">
            <w:trPr>
              <w:trHeight w:val="284"/>
            </w:trPr>
            <w:sdt>
              <w:sdtPr>
                <w:rPr>
                  <w:sz w:val="16"/>
                  <w:szCs w:val="16"/>
                </w:rPr>
                <w:tag w:val="_PLD_6e52ac1447e040bbbee6d5db3fc1c995"/>
                <w:id w:val="-1026636384"/>
                <w:lock w:val="sdtLocked"/>
              </w:sdtPr>
              <w:sdtContent>
                <w:tc>
                  <w:tcPr>
                    <w:tcW w:w="691" w:type="pct"/>
                    <w:shd w:val="clear" w:color="auto" w:fill="auto"/>
                    <w:vAlign w:val="center"/>
                  </w:tcPr>
                  <w:p w:rsidR="00FD3521" w:rsidRPr="00FD3521" w:rsidRDefault="00FD3521" w:rsidP="004B4952">
                    <w:pPr>
                      <w:rPr>
                        <w:sz w:val="16"/>
                        <w:szCs w:val="16"/>
                      </w:rPr>
                    </w:pPr>
                    <w:r w:rsidRPr="00FD3521">
                      <w:rPr>
                        <w:rFonts w:hint="eastAsia"/>
                        <w:sz w:val="16"/>
                        <w:szCs w:val="16"/>
                      </w:rPr>
                      <w:t>项目</w:t>
                    </w:r>
                  </w:p>
                </w:tc>
              </w:sdtContent>
            </w:sdt>
            <w:sdt>
              <w:sdtPr>
                <w:rPr>
                  <w:sz w:val="16"/>
                  <w:szCs w:val="16"/>
                </w:rPr>
                <w:alias w:val="使用权资产明细-项目"/>
                <w:tag w:val="_GBC_8854a3b92dce426b81aa78cb836a99cd"/>
                <w:id w:val="-51698718"/>
                <w:lock w:val="sdtLocked"/>
              </w:sdtPr>
              <w:sdtContent>
                <w:tc>
                  <w:tcPr>
                    <w:tcW w:w="512" w:type="pct"/>
                    <w:shd w:val="clear" w:color="auto" w:fill="auto"/>
                    <w:vAlign w:val="center"/>
                  </w:tcPr>
                  <w:p w:rsidR="00FD3521" w:rsidRPr="00FD3521" w:rsidRDefault="00FD3521" w:rsidP="004B4952">
                    <w:pPr>
                      <w:spacing w:line="240" w:lineRule="atLeast"/>
                      <w:jc w:val="center"/>
                      <w:rPr>
                        <w:sz w:val="16"/>
                        <w:szCs w:val="16"/>
                      </w:rPr>
                    </w:pPr>
                    <w:r w:rsidRPr="00FD3521">
                      <w:rPr>
                        <w:sz w:val="16"/>
                        <w:szCs w:val="16"/>
                      </w:rPr>
                      <w:t>房屋及建筑物</w:t>
                    </w:r>
                  </w:p>
                </w:tc>
              </w:sdtContent>
            </w:sdt>
            <w:sdt>
              <w:sdtPr>
                <w:rPr>
                  <w:sz w:val="16"/>
                  <w:szCs w:val="16"/>
                </w:rPr>
                <w:alias w:val="使用权资产明细-项目"/>
                <w:tag w:val="_GBC_8854a3b92dce426b81aa78cb836a99cd"/>
                <w:id w:val="-156540945"/>
                <w:lock w:val="sdtLocked"/>
              </w:sdtPr>
              <w:sdtContent>
                <w:tc>
                  <w:tcPr>
                    <w:tcW w:w="511" w:type="pct"/>
                    <w:shd w:val="clear" w:color="auto" w:fill="auto"/>
                    <w:vAlign w:val="center"/>
                  </w:tcPr>
                  <w:p w:rsidR="00FD3521" w:rsidRPr="00FD3521" w:rsidRDefault="00FD3521" w:rsidP="004B4952">
                    <w:pPr>
                      <w:spacing w:line="240" w:lineRule="atLeast"/>
                      <w:jc w:val="center"/>
                      <w:rPr>
                        <w:sz w:val="16"/>
                        <w:szCs w:val="16"/>
                      </w:rPr>
                    </w:pPr>
                    <w:r w:rsidRPr="00FD3521">
                      <w:rPr>
                        <w:sz w:val="16"/>
                        <w:szCs w:val="16"/>
                      </w:rPr>
                      <w:t>机车车辆</w:t>
                    </w:r>
                  </w:p>
                </w:tc>
              </w:sdtContent>
            </w:sdt>
            <w:sdt>
              <w:sdtPr>
                <w:rPr>
                  <w:sz w:val="16"/>
                  <w:szCs w:val="16"/>
                </w:rPr>
                <w:alias w:val="使用权资产明细-项目"/>
                <w:tag w:val="_GBC_8854a3b92dce426b81aa78cb836a99cd"/>
                <w:id w:val="-1267149325"/>
                <w:lock w:val="sdtLocked"/>
              </w:sdtPr>
              <w:sdtContent>
                <w:tc>
                  <w:tcPr>
                    <w:tcW w:w="538" w:type="pct"/>
                    <w:shd w:val="clear" w:color="auto" w:fill="auto"/>
                    <w:vAlign w:val="center"/>
                  </w:tcPr>
                  <w:p w:rsidR="00FD3521" w:rsidRPr="00FD3521" w:rsidRDefault="00FD3521" w:rsidP="004B4952">
                    <w:pPr>
                      <w:spacing w:line="240" w:lineRule="atLeast"/>
                      <w:jc w:val="center"/>
                      <w:rPr>
                        <w:sz w:val="16"/>
                        <w:szCs w:val="16"/>
                      </w:rPr>
                    </w:pPr>
                    <w:r w:rsidRPr="00FD3521">
                      <w:rPr>
                        <w:sz w:val="16"/>
                        <w:szCs w:val="16"/>
                      </w:rPr>
                      <w:t>线路设备</w:t>
                    </w:r>
                  </w:p>
                </w:tc>
              </w:sdtContent>
            </w:sdt>
            <w:sdt>
              <w:sdtPr>
                <w:rPr>
                  <w:sz w:val="16"/>
                  <w:szCs w:val="16"/>
                </w:rPr>
                <w:alias w:val="使用权资产明细-项目"/>
                <w:tag w:val="_GBC_8854a3b92dce426b81aa78cb836a99cd"/>
                <w:id w:val="1001240221"/>
                <w:lock w:val="sdtLocked"/>
              </w:sdtPr>
              <w:sdtContent>
                <w:tc>
                  <w:tcPr>
                    <w:tcW w:w="553" w:type="pct"/>
                    <w:shd w:val="clear" w:color="auto" w:fill="auto"/>
                    <w:vAlign w:val="center"/>
                  </w:tcPr>
                  <w:p w:rsidR="00FD3521" w:rsidRPr="00FD3521" w:rsidRDefault="00FD3521" w:rsidP="004B4952">
                    <w:pPr>
                      <w:spacing w:line="240" w:lineRule="atLeast"/>
                      <w:jc w:val="center"/>
                      <w:rPr>
                        <w:sz w:val="16"/>
                        <w:szCs w:val="16"/>
                      </w:rPr>
                    </w:pPr>
                    <w:r w:rsidRPr="00FD3521">
                      <w:rPr>
                        <w:sz w:val="16"/>
                        <w:szCs w:val="16"/>
                      </w:rPr>
                      <w:t>通信信号设备</w:t>
                    </w:r>
                  </w:p>
                </w:tc>
              </w:sdtContent>
            </w:sdt>
            <w:sdt>
              <w:sdtPr>
                <w:rPr>
                  <w:sz w:val="16"/>
                  <w:szCs w:val="16"/>
                </w:rPr>
                <w:alias w:val="使用权资产明细-项目"/>
                <w:tag w:val="_GBC_8854a3b92dce426b81aa78cb836a99cd"/>
                <w:id w:val="232743870"/>
                <w:lock w:val="sdtLocked"/>
              </w:sdtPr>
              <w:sdtContent>
                <w:tc>
                  <w:tcPr>
                    <w:tcW w:w="604" w:type="pct"/>
                    <w:shd w:val="clear" w:color="auto" w:fill="auto"/>
                    <w:vAlign w:val="center"/>
                  </w:tcPr>
                  <w:p w:rsidR="00FD3521" w:rsidRPr="00FD3521" w:rsidRDefault="00FD3521" w:rsidP="004B4952">
                    <w:pPr>
                      <w:spacing w:line="240" w:lineRule="atLeast"/>
                      <w:jc w:val="center"/>
                      <w:rPr>
                        <w:sz w:val="16"/>
                        <w:szCs w:val="16"/>
                      </w:rPr>
                    </w:pPr>
                    <w:r w:rsidRPr="00FD3521">
                      <w:rPr>
                        <w:sz w:val="16"/>
                        <w:szCs w:val="16"/>
                      </w:rPr>
                      <w:t>电气化供电系统</w:t>
                    </w:r>
                  </w:p>
                </w:tc>
              </w:sdtContent>
            </w:sdt>
            <w:sdt>
              <w:sdtPr>
                <w:rPr>
                  <w:sz w:val="16"/>
                  <w:szCs w:val="16"/>
                </w:rPr>
                <w:alias w:val="使用权资产明细-项目"/>
                <w:tag w:val="_GBC_8854a3b92dce426b81aa78cb836a99cd"/>
                <w:id w:val="-661394858"/>
                <w:lock w:val="sdtLocked"/>
              </w:sdtPr>
              <w:sdtContent>
                <w:tc>
                  <w:tcPr>
                    <w:tcW w:w="553" w:type="pct"/>
                    <w:shd w:val="clear" w:color="auto" w:fill="auto"/>
                    <w:vAlign w:val="center"/>
                  </w:tcPr>
                  <w:p w:rsidR="00FD3521" w:rsidRPr="00FD3521" w:rsidRDefault="00FD3521" w:rsidP="004B4952">
                    <w:pPr>
                      <w:spacing w:line="240" w:lineRule="atLeast"/>
                      <w:jc w:val="center"/>
                      <w:rPr>
                        <w:sz w:val="16"/>
                        <w:szCs w:val="16"/>
                      </w:rPr>
                    </w:pPr>
                    <w:r w:rsidRPr="00FD3521">
                      <w:rPr>
                        <w:sz w:val="16"/>
                        <w:szCs w:val="16"/>
                      </w:rPr>
                      <w:t>运输设备</w:t>
                    </w:r>
                  </w:p>
                </w:tc>
              </w:sdtContent>
            </w:sdt>
            <w:sdt>
              <w:sdtPr>
                <w:rPr>
                  <w:sz w:val="16"/>
                  <w:szCs w:val="16"/>
                </w:rPr>
                <w:alias w:val="使用权资产明细-项目"/>
                <w:tag w:val="_GBC_8854a3b92dce426b81aa78cb836a99cd"/>
                <w:id w:val="1661723384"/>
                <w:lock w:val="sdtLocked"/>
              </w:sdtPr>
              <w:sdtContent>
                <w:tc>
                  <w:tcPr>
                    <w:tcW w:w="554" w:type="pct"/>
                    <w:shd w:val="clear" w:color="auto" w:fill="auto"/>
                    <w:vAlign w:val="center"/>
                  </w:tcPr>
                  <w:p w:rsidR="00FD3521" w:rsidRPr="00FD3521" w:rsidRDefault="00FD3521" w:rsidP="004B4952">
                    <w:pPr>
                      <w:spacing w:line="240" w:lineRule="atLeast"/>
                      <w:jc w:val="center"/>
                      <w:rPr>
                        <w:sz w:val="16"/>
                        <w:szCs w:val="16"/>
                      </w:rPr>
                    </w:pPr>
                    <w:r w:rsidRPr="00FD3521">
                      <w:rPr>
                        <w:sz w:val="16"/>
                        <w:szCs w:val="16"/>
                      </w:rPr>
                      <w:t>土地使用权</w:t>
                    </w:r>
                  </w:p>
                </w:tc>
              </w:sdtContent>
            </w:sdt>
            <w:sdt>
              <w:sdtPr>
                <w:rPr>
                  <w:sz w:val="16"/>
                  <w:szCs w:val="16"/>
                </w:rPr>
                <w:tag w:val="_PLD_9c5be9b6ed044311be8a2370c18f35f0"/>
                <w:id w:val="-1364430410"/>
                <w:lock w:val="sdtLocked"/>
              </w:sdtPr>
              <w:sdtContent>
                <w:tc>
                  <w:tcPr>
                    <w:tcW w:w="484" w:type="pct"/>
                    <w:shd w:val="clear" w:color="auto" w:fill="auto"/>
                    <w:vAlign w:val="center"/>
                  </w:tcPr>
                  <w:p w:rsidR="00FD3521" w:rsidRPr="00FD3521" w:rsidRDefault="00FD3521" w:rsidP="004B4952">
                    <w:pPr>
                      <w:spacing w:line="240" w:lineRule="atLeast"/>
                      <w:jc w:val="center"/>
                      <w:rPr>
                        <w:sz w:val="16"/>
                        <w:szCs w:val="16"/>
                      </w:rPr>
                    </w:pPr>
                    <w:r w:rsidRPr="00FD3521">
                      <w:rPr>
                        <w:sz w:val="16"/>
                        <w:szCs w:val="16"/>
                      </w:rPr>
                      <w:t>合计</w:t>
                    </w:r>
                  </w:p>
                </w:tc>
              </w:sdtContent>
            </w:sdt>
          </w:tr>
          <w:tr w:rsidR="00F84632" w:rsidTr="00F84632">
            <w:trPr>
              <w:trHeight w:val="284"/>
            </w:trPr>
            <w:sdt>
              <w:sdtPr>
                <w:rPr>
                  <w:sz w:val="16"/>
                  <w:szCs w:val="16"/>
                </w:rPr>
                <w:tag w:val="_PLD_3548dba12ab44fffb8352baf0a2432b0"/>
                <w:id w:val="-1275554326"/>
                <w:lock w:val="sdtLocked"/>
              </w:sdtPr>
              <w:sdtContent>
                <w:tc>
                  <w:tcPr>
                    <w:tcW w:w="691" w:type="pct"/>
                    <w:shd w:val="clear" w:color="auto" w:fill="auto"/>
                    <w:vAlign w:val="center"/>
                  </w:tcPr>
                  <w:p w:rsidR="00FD3521" w:rsidRPr="00FD3521" w:rsidRDefault="00FD3521" w:rsidP="004B4952">
                    <w:pPr>
                      <w:spacing w:line="240" w:lineRule="atLeast"/>
                      <w:rPr>
                        <w:sz w:val="16"/>
                        <w:szCs w:val="16"/>
                      </w:rPr>
                    </w:pPr>
                    <w:r w:rsidRPr="00FD3521">
                      <w:rPr>
                        <w:sz w:val="16"/>
                        <w:szCs w:val="16"/>
                      </w:rPr>
                      <w:t>一、</w:t>
                    </w:r>
                    <w:r w:rsidRPr="00FD3521">
                      <w:rPr>
                        <w:rFonts w:hint="eastAsia"/>
                        <w:sz w:val="16"/>
                        <w:szCs w:val="16"/>
                      </w:rPr>
                      <w:t>账面</w:t>
                    </w:r>
                    <w:r w:rsidRPr="00FD3521">
                      <w:rPr>
                        <w:sz w:val="16"/>
                        <w:szCs w:val="16"/>
                      </w:rPr>
                      <w:t>原</w:t>
                    </w:r>
                    <w:r w:rsidRPr="00FD3521">
                      <w:rPr>
                        <w:rFonts w:hint="eastAsia"/>
                        <w:sz w:val="16"/>
                        <w:szCs w:val="16"/>
                      </w:rPr>
                      <w:t>值</w:t>
                    </w:r>
                  </w:p>
                </w:tc>
              </w:sdtContent>
            </w:sdt>
            <w:tc>
              <w:tcPr>
                <w:tcW w:w="512" w:type="pct"/>
                <w:shd w:val="clear" w:color="auto" w:fill="auto"/>
              </w:tcPr>
              <w:p w:rsidR="00FD3521" w:rsidRPr="00FD3521" w:rsidRDefault="00FD3521" w:rsidP="004B4952">
                <w:pPr>
                  <w:spacing w:line="240" w:lineRule="atLeast"/>
                  <w:ind w:firstLineChars="200" w:firstLine="320"/>
                  <w:jc w:val="right"/>
                  <w:rPr>
                    <w:sz w:val="16"/>
                    <w:szCs w:val="16"/>
                  </w:rPr>
                </w:pPr>
              </w:p>
            </w:tc>
            <w:tc>
              <w:tcPr>
                <w:tcW w:w="511" w:type="pct"/>
                <w:shd w:val="clear" w:color="auto" w:fill="auto"/>
              </w:tcPr>
              <w:p w:rsidR="00FD3521" w:rsidRPr="00FD3521" w:rsidRDefault="00FD3521" w:rsidP="004B4952">
                <w:pPr>
                  <w:spacing w:line="240" w:lineRule="atLeast"/>
                  <w:ind w:firstLineChars="200" w:firstLine="320"/>
                  <w:jc w:val="right"/>
                  <w:rPr>
                    <w:sz w:val="16"/>
                    <w:szCs w:val="16"/>
                  </w:rPr>
                </w:pPr>
              </w:p>
            </w:tc>
            <w:tc>
              <w:tcPr>
                <w:tcW w:w="538" w:type="pct"/>
                <w:shd w:val="clear" w:color="auto" w:fill="auto"/>
              </w:tcPr>
              <w:p w:rsidR="00FD3521" w:rsidRPr="00FD3521" w:rsidRDefault="00FD3521" w:rsidP="004B4952">
                <w:pPr>
                  <w:spacing w:line="240" w:lineRule="atLeast"/>
                  <w:ind w:firstLineChars="200" w:firstLine="320"/>
                  <w:jc w:val="right"/>
                  <w:rPr>
                    <w:sz w:val="16"/>
                    <w:szCs w:val="16"/>
                  </w:rPr>
                </w:pPr>
              </w:p>
            </w:tc>
            <w:tc>
              <w:tcPr>
                <w:tcW w:w="553" w:type="pct"/>
                <w:shd w:val="clear" w:color="auto" w:fill="auto"/>
              </w:tcPr>
              <w:p w:rsidR="00FD3521" w:rsidRPr="00FD3521" w:rsidRDefault="00FD3521" w:rsidP="004B4952">
                <w:pPr>
                  <w:spacing w:line="240" w:lineRule="atLeast"/>
                  <w:ind w:firstLineChars="200" w:firstLine="320"/>
                  <w:jc w:val="right"/>
                  <w:rPr>
                    <w:sz w:val="16"/>
                    <w:szCs w:val="16"/>
                  </w:rPr>
                </w:pPr>
              </w:p>
            </w:tc>
            <w:tc>
              <w:tcPr>
                <w:tcW w:w="604" w:type="pct"/>
                <w:shd w:val="clear" w:color="auto" w:fill="auto"/>
              </w:tcPr>
              <w:p w:rsidR="00FD3521" w:rsidRPr="00FD3521" w:rsidRDefault="00FD3521" w:rsidP="004B4952">
                <w:pPr>
                  <w:spacing w:line="240" w:lineRule="atLeast"/>
                  <w:ind w:firstLineChars="200" w:firstLine="320"/>
                  <w:jc w:val="right"/>
                  <w:rPr>
                    <w:sz w:val="16"/>
                    <w:szCs w:val="16"/>
                  </w:rPr>
                </w:pPr>
              </w:p>
            </w:tc>
            <w:tc>
              <w:tcPr>
                <w:tcW w:w="553" w:type="pct"/>
                <w:shd w:val="clear" w:color="auto" w:fill="auto"/>
              </w:tcPr>
              <w:p w:rsidR="00FD3521" w:rsidRPr="00FD3521" w:rsidRDefault="00FD3521" w:rsidP="004B4952">
                <w:pPr>
                  <w:spacing w:line="240" w:lineRule="atLeast"/>
                  <w:ind w:firstLineChars="200" w:firstLine="320"/>
                  <w:jc w:val="right"/>
                  <w:rPr>
                    <w:sz w:val="16"/>
                    <w:szCs w:val="16"/>
                  </w:rPr>
                </w:pPr>
              </w:p>
            </w:tc>
            <w:tc>
              <w:tcPr>
                <w:tcW w:w="554" w:type="pct"/>
                <w:shd w:val="clear" w:color="auto" w:fill="auto"/>
              </w:tcPr>
              <w:p w:rsidR="00FD3521" w:rsidRPr="00FD3521" w:rsidRDefault="00FD3521" w:rsidP="004B4952">
                <w:pPr>
                  <w:spacing w:line="240" w:lineRule="atLeast"/>
                  <w:ind w:firstLineChars="200" w:firstLine="320"/>
                  <w:jc w:val="right"/>
                  <w:rPr>
                    <w:sz w:val="16"/>
                    <w:szCs w:val="16"/>
                  </w:rPr>
                </w:pPr>
              </w:p>
            </w:tc>
            <w:tc>
              <w:tcPr>
                <w:tcW w:w="484" w:type="pct"/>
                <w:shd w:val="clear" w:color="auto" w:fill="auto"/>
              </w:tcPr>
              <w:p w:rsidR="00FD3521" w:rsidRPr="00FD3521" w:rsidRDefault="00FD3521" w:rsidP="004B4952">
                <w:pPr>
                  <w:spacing w:line="240" w:lineRule="atLeast"/>
                  <w:jc w:val="right"/>
                  <w:rPr>
                    <w:sz w:val="16"/>
                    <w:szCs w:val="16"/>
                  </w:rPr>
                </w:pPr>
              </w:p>
            </w:tc>
          </w:tr>
          <w:tr w:rsidR="00F84632" w:rsidTr="00F84632">
            <w:trPr>
              <w:trHeight w:val="284"/>
            </w:trPr>
            <w:sdt>
              <w:sdtPr>
                <w:rPr>
                  <w:sz w:val="16"/>
                  <w:szCs w:val="16"/>
                </w:rPr>
                <w:tag w:val="_PLD_d9e4985b1f214dbdbea8088f5cdc4d6f"/>
                <w:id w:val="-1852633298"/>
                <w:lock w:val="sdtLocked"/>
              </w:sdtPr>
              <w:sdtContent>
                <w:tc>
                  <w:tcPr>
                    <w:tcW w:w="691" w:type="pct"/>
                    <w:shd w:val="clear" w:color="auto" w:fill="auto"/>
                    <w:vAlign w:val="center"/>
                  </w:tcPr>
                  <w:p w:rsidR="00FD3521" w:rsidRPr="00FD3521" w:rsidRDefault="00FD3521" w:rsidP="004B4952">
                    <w:pPr>
                      <w:spacing w:line="240" w:lineRule="atLeast"/>
                      <w:rPr>
                        <w:sz w:val="16"/>
                        <w:szCs w:val="16"/>
                      </w:rPr>
                    </w:pPr>
                    <w:r w:rsidRPr="00FD3521">
                      <w:rPr>
                        <w:sz w:val="16"/>
                        <w:szCs w:val="16"/>
                      </w:rPr>
                      <w:t xml:space="preserve">    1.</w:t>
                    </w:r>
                    <w:r w:rsidRPr="00FD3521">
                      <w:rPr>
                        <w:rFonts w:hint="eastAsia"/>
                        <w:sz w:val="16"/>
                        <w:szCs w:val="16"/>
                      </w:rPr>
                      <w:t>期</w:t>
                    </w:r>
                    <w:r w:rsidRPr="00FD3521">
                      <w:rPr>
                        <w:sz w:val="16"/>
                        <w:szCs w:val="16"/>
                      </w:rPr>
                      <w:t>初余额</w:t>
                    </w:r>
                  </w:p>
                </w:tc>
              </w:sdtContent>
            </w:sdt>
            <w:sdt>
              <w:sdtPr>
                <w:rPr>
                  <w:sz w:val="16"/>
                  <w:szCs w:val="16"/>
                </w:rPr>
                <w:alias w:val="使用权资产明细-账面原值"/>
                <w:tag w:val="_GBC_0ab2785ed046482fa0286c95c6b706fc"/>
                <w:id w:val="-1346010726"/>
                <w:lock w:val="sdtLocked"/>
              </w:sdtPr>
              <w:sdtContent>
                <w:tc>
                  <w:tcPr>
                    <w:tcW w:w="512" w:type="pct"/>
                    <w:shd w:val="clear" w:color="auto" w:fill="auto"/>
                  </w:tcPr>
                  <w:p w:rsidR="00FD3521" w:rsidRPr="00FD3521" w:rsidRDefault="00FD3521" w:rsidP="004B4952">
                    <w:pPr>
                      <w:spacing w:line="240" w:lineRule="atLeast"/>
                      <w:ind w:firstLineChars="200" w:firstLine="320"/>
                      <w:jc w:val="right"/>
                      <w:rPr>
                        <w:sz w:val="16"/>
                        <w:szCs w:val="16"/>
                      </w:rPr>
                    </w:pPr>
                    <w:r w:rsidRPr="00FD3521">
                      <w:rPr>
                        <w:sz w:val="16"/>
                        <w:szCs w:val="16"/>
                      </w:rPr>
                      <w:t>14,777,729</w:t>
                    </w:r>
                  </w:p>
                </w:tc>
              </w:sdtContent>
            </w:sdt>
            <w:sdt>
              <w:sdtPr>
                <w:rPr>
                  <w:sz w:val="16"/>
                  <w:szCs w:val="16"/>
                </w:rPr>
                <w:alias w:val="使用权资产明细-账面原值"/>
                <w:tag w:val="_GBC_0ab2785ed046482fa0286c95c6b706fc"/>
                <w:id w:val="1367412108"/>
                <w:lock w:val="sdtLocked"/>
              </w:sdtPr>
              <w:sdtContent>
                <w:tc>
                  <w:tcPr>
                    <w:tcW w:w="511" w:type="pct"/>
                    <w:shd w:val="clear" w:color="auto" w:fill="auto"/>
                  </w:tcPr>
                  <w:p w:rsidR="00FD3521" w:rsidRPr="00FD3521" w:rsidRDefault="00FD3521" w:rsidP="004B4952">
                    <w:pPr>
                      <w:spacing w:line="240" w:lineRule="atLeast"/>
                      <w:ind w:firstLineChars="200" w:firstLine="320"/>
                      <w:jc w:val="right"/>
                      <w:rPr>
                        <w:sz w:val="16"/>
                        <w:szCs w:val="16"/>
                      </w:rPr>
                    </w:pPr>
                    <w:r w:rsidRPr="00FD3521">
                      <w:rPr>
                        <w:sz w:val="16"/>
                        <w:szCs w:val="16"/>
                      </w:rPr>
                      <w:t>571,268,419</w:t>
                    </w:r>
                  </w:p>
                </w:tc>
              </w:sdtContent>
            </w:sdt>
            <w:sdt>
              <w:sdtPr>
                <w:rPr>
                  <w:sz w:val="16"/>
                  <w:szCs w:val="16"/>
                </w:rPr>
                <w:alias w:val="使用权资产明细-账面原值"/>
                <w:tag w:val="_GBC_0ab2785ed046482fa0286c95c6b706fc"/>
                <w:id w:val="-265770355"/>
                <w:lock w:val="sdtLocked"/>
              </w:sdtPr>
              <w:sdtContent>
                <w:tc>
                  <w:tcPr>
                    <w:tcW w:w="538" w:type="pct"/>
                    <w:shd w:val="clear" w:color="auto" w:fill="auto"/>
                  </w:tcPr>
                  <w:p w:rsidR="00FD3521" w:rsidRPr="00FD3521" w:rsidRDefault="00FD3521" w:rsidP="004B4952">
                    <w:pPr>
                      <w:spacing w:line="240" w:lineRule="atLeast"/>
                      <w:ind w:firstLineChars="200" w:firstLine="320"/>
                      <w:jc w:val="right"/>
                      <w:rPr>
                        <w:sz w:val="16"/>
                        <w:szCs w:val="16"/>
                      </w:rPr>
                    </w:pPr>
                    <w:r w:rsidRPr="00FD3521">
                      <w:rPr>
                        <w:sz w:val="16"/>
                        <w:szCs w:val="16"/>
                      </w:rPr>
                      <w:t>0</w:t>
                    </w:r>
                  </w:p>
                </w:tc>
              </w:sdtContent>
            </w:sdt>
            <w:sdt>
              <w:sdtPr>
                <w:rPr>
                  <w:sz w:val="16"/>
                  <w:szCs w:val="16"/>
                </w:rPr>
                <w:alias w:val="使用权资产明细-账面原值"/>
                <w:tag w:val="_GBC_0ab2785ed046482fa0286c95c6b706fc"/>
                <w:id w:val="1005017416"/>
                <w:lock w:val="sdtLocked"/>
              </w:sdtPr>
              <w:sdtContent>
                <w:tc>
                  <w:tcPr>
                    <w:tcW w:w="553" w:type="pct"/>
                    <w:shd w:val="clear" w:color="auto" w:fill="auto"/>
                  </w:tcPr>
                  <w:p w:rsidR="00FD3521" w:rsidRPr="00FD3521" w:rsidRDefault="00FD3521" w:rsidP="004B4952">
                    <w:pPr>
                      <w:spacing w:line="240" w:lineRule="atLeast"/>
                      <w:ind w:firstLineChars="200" w:firstLine="320"/>
                      <w:jc w:val="right"/>
                      <w:rPr>
                        <w:sz w:val="16"/>
                        <w:szCs w:val="16"/>
                      </w:rPr>
                    </w:pPr>
                    <w:r w:rsidRPr="00FD3521">
                      <w:rPr>
                        <w:sz w:val="16"/>
                        <w:szCs w:val="16"/>
                      </w:rPr>
                      <w:t>39,673,032</w:t>
                    </w:r>
                  </w:p>
                </w:tc>
              </w:sdtContent>
            </w:sdt>
            <w:sdt>
              <w:sdtPr>
                <w:rPr>
                  <w:sz w:val="16"/>
                  <w:szCs w:val="16"/>
                </w:rPr>
                <w:alias w:val="使用权资产明细-账面原值"/>
                <w:tag w:val="_GBC_0ab2785ed046482fa0286c95c6b706fc"/>
                <w:id w:val="-2083593486"/>
                <w:lock w:val="sdtLocked"/>
              </w:sdtPr>
              <w:sdtContent>
                <w:tc>
                  <w:tcPr>
                    <w:tcW w:w="604" w:type="pct"/>
                    <w:shd w:val="clear" w:color="auto" w:fill="auto"/>
                  </w:tcPr>
                  <w:p w:rsidR="00FD3521" w:rsidRPr="00FD3521" w:rsidRDefault="00FD3521" w:rsidP="004B4952">
                    <w:pPr>
                      <w:spacing w:line="240" w:lineRule="atLeast"/>
                      <w:ind w:firstLineChars="200" w:firstLine="320"/>
                      <w:jc w:val="right"/>
                      <w:rPr>
                        <w:sz w:val="16"/>
                        <w:szCs w:val="16"/>
                      </w:rPr>
                    </w:pPr>
                    <w:r w:rsidRPr="00FD3521">
                      <w:rPr>
                        <w:sz w:val="16"/>
                        <w:szCs w:val="16"/>
                      </w:rPr>
                      <w:t>56,010,107</w:t>
                    </w:r>
                  </w:p>
                </w:tc>
              </w:sdtContent>
            </w:sdt>
            <w:sdt>
              <w:sdtPr>
                <w:rPr>
                  <w:sz w:val="16"/>
                  <w:szCs w:val="16"/>
                </w:rPr>
                <w:alias w:val="使用权资产明细-账面原值"/>
                <w:tag w:val="_GBC_0ab2785ed046482fa0286c95c6b706fc"/>
                <w:id w:val="-659315610"/>
                <w:lock w:val="sdtLocked"/>
              </w:sdtPr>
              <w:sdtContent>
                <w:tc>
                  <w:tcPr>
                    <w:tcW w:w="553" w:type="pct"/>
                    <w:shd w:val="clear" w:color="auto" w:fill="auto"/>
                  </w:tcPr>
                  <w:p w:rsidR="00FD3521" w:rsidRPr="00FD3521" w:rsidRDefault="00FD3521" w:rsidP="004B4952">
                    <w:pPr>
                      <w:spacing w:line="240" w:lineRule="atLeast"/>
                      <w:ind w:firstLineChars="200" w:firstLine="320"/>
                      <w:jc w:val="right"/>
                      <w:rPr>
                        <w:sz w:val="16"/>
                        <w:szCs w:val="16"/>
                      </w:rPr>
                    </w:pPr>
                    <w:r w:rsidRPr="00FD3521">
                      <w:rPr>
                        <w:sz w:val="16"/>
                        <w:szCs w:val="16"/>
                      </w:rPr>
                      <w:t>3,211,440</w:t>
                    </w:r>
                  </w:p>
                </w:tc>
              </w:sdtContent>
            </w:sdt>
            <w:sdt>
              <w:sdtPr>
                <w:rPr>
                  <w:sz w:val="16"/>
                  <w:szCs w:val="16"/>
                </w:rPr>
                <w:alias w:val="使用权资产明细-账面原值"/>
                <w:tag w:val="_GBC_0ab2785ed046482fa0286c95c6b706fc"/>
                <w:id w:val="941654541"/>
                <w:lock w:val="sdtLocked"/>
              </w:sdtPr>
              <w:sdtContent>
                <w:tc>
                  <w:tcPr>
                    <w:tcW w:w="554" w:type="pct"/>
                    <w:shd w:val="clear" w:color="auto" w:fill="auto"/>
                  </w:tcPr>
                  <w:p w:rsidR="00FD3521" w:rsidRPr="00FD3521" w:rsidRDefault="00FD3521" w:rsidP="004B4952">
                    <w:pPr>
                      <w:spacing w:line="240" w:lineRule="atLeast"/>
                      <w:ind w:firstLineChars="200" w:firstLine="320"/>
                      <w:jc w:val="right"/>
                      <w:rPr>
                        <w:sz w:val="16"/>
                        <w:szCs w:val="16"/>
                      </w:rPr>
                    </w:pPr>
                    <w:r w:rsidRPr="00FD3521">
                      <w:rPr>
                        <w:sz w:val="16"/>
                        <w:szCs w:val="16"/>
                      </w:rPr>
                      <w:t>500,963,704</w:t>
                    </w:r>
                  </w:p>
                </w:tc>
              </w:sdtContent>
            </w:sdt>
            <w:sdt>
              <w:sdtPr>
                <w:rPr>
                  <w:sz w:val="16"/>
                  <w:szCs w:val="16"/>
                </w:rPr>
                <w:alias w:val="使用权资产账面原值"/>
                <w:tag w:val="_GBC_e1728fe2e2ff4db3beabf7b697c2ebea"/>
                <w:id w:val="-1934351331"/>
                <w:lock w:val="sdtLocked"/>
              </w:sdtPr>
              <w:sdtContent>
                <w:tc>
                  <w:tcPr>
                    <w:tcW w:w="484" w:type="pct"/>
                    <w:shd w:val="clear" w:color="auto" w:fill="auto"/>
                  </w:tcPr>
                  <w:p w:rsidR="00FD3521" w:rsidRPr="00FD3521" w:rsidRDefault="00FD3521" w:rsidP="004B4952">
                    <w:pPr>
                      <w:spacing w:line="240" w:lineRule="atLeast"/>
                      <w:jc w:val="right"/>
                      <w:rPr>
                        <w:sz w:val="16"/>
                        <w:szCs w:val="16"/>
                      </w:rPr>
                    </w:pPr>
                    <w:r w:rsidRPr="00FD3521">
                      <w:rPr>
                        <w:sz w:val="16"/>
                        <w:szCs w:val="16"/>
                      </w:rPr>
                      <w:t>1,185,904,431</w:t>
                    </w:r>
                  </w:p>
                </w:tc>
              </w:sdtContent>
            </w:sdt>
          </w:tr>
          <w:tr w:rsidR="00F84632" w:rsidTr="00F84632">
            <w:trPr>
              <w:trHeight w:val="284"/>
            </w:trPr>
            <w:sdt>
              <w:sdtPr>
                <w:rPr>
                  <w:sz w:val="16"/>
                  <w:szCs w:val="16"/>
                </w:rPr>
                <w:tag w:val="_PLD_1fa797c470714bedadbd87ce828adb8e"/>
                <w:id w:val="-1101639557"/>
                <w:lock w:val="sdtLocked"/>
              </w:sdtPr>
              <w:sdtContent>
                <w:tc>
                  <w:tcPr>
                    <w:tcW w:w="691" w:type="pct"/>
                    <w:shd w:val="clear" w:color="auto" w:fill="auto"/>
                    <w:vAlign w:val="center"/>
                  </w:tcPr>
                  <w:p w:rsidR="00FD3521" w:rsidRPr="00FD3521" w:rsidRDefault="00FD3521" w:rsidP="004B4952">
                    <w:pPr>
                      <w:spacing w:line="240" w:lineRule="atLeast"/>
                      <w:ind w:firstLineChars="200" w:firstLine="320"/>
                      <w:rPr>
                        <w:sz w:val="16"/>
                        <w:szCs w:val="16"/>
                      </w:rPr>
                    </w:pPr>
                    <w:r w:rsidRPr="00FD3521">
                      <w:rPr>
                        <w:sz w:val="16"/>
                        <w:szCs w:val="16"/>
                      </w:rPr>
                      <w:t>2.本期增加</w:t>
                    </w:r>
                    <w:r w:rsidRPr="00FD3521">
                      <w:rPr>
                        <w:rFonts w:hint="eastAsia"/>
                        <w:sz w:val="16"/>
                        <w:szCs w:val="16"/>
                      </w:rPr>
                      <w:t>金额</w:t>
                    </w:r>
                  </w:p>
                </w:tc>
              </w:sdtContent>
            </w:sdt>
            <w:sdt>
              <w:sdtPr>
                <w:rPr>
                  <w:sz w:val="16"/>
                  <w:szCs w:val="16"/>
                </w:rPr>
                <w:alias w:val="使用权资产明细-账面原值增加"/>
                <w:tag w:val="_GBC_fdfc534ed7cd4a5788dbae6b00e9f811"/>
                <w:id w:val="-951555123"/>
                <w:lock w:val="sdtLocked"/>
              </w:sdtPr>
              <w:sdtContent>
                <w:tc>
                  <w:tcPr>
                    <w:tcW w:w="512" w:type="pct"/>
                    <w:shd w:val="clear" w:color="auto" w:fill="auto"/>
                  </w:tcPr>
                  <w:p w:rsidR="00FD3521" w:rsidRPr="00FD3521" w:rsidRDefault="00FD3521" w:rsidP="004B4952">
                    <w:pPr>
                      <w:spacing w:line="240" w:lineRule="atLeast"/>
                      <w:jc w:val="right"/>
                      <w:rPr>
                        <w:sz w:val="16"/>
                        <w:szCs w:val="16"/>
                      </w:rPr>
                    </w:pPr>
                    <w:r w:rsidRPr="00FD3521">
                      <w:rPr>
                        <w:sz w:val="16"/>
                        <w:szCs w:val="16"/>
                      </w:rPr>
                      <w:t>343,666</w:t>
                    </w:r>
                  </w:p>
                </w:tc>
              </w:sdtContent>
            </w:sdt>
            <w:sdt>
              <w:sdtPr>
                <w:rPr>
                  <w:sz w:val="16"/>
                  <w:szCs w:val="16"/>
                </w:rPr>
                <w:alias w:val="使用权资产明细-账面原值增加"/>
                <w:tag w:val="_GBC_fdfc534ed7cd4a5788dbae6b00e9f811"/>
                <w:id w:val="-90637132"/>
                <w:lock w:val="sdtLocked"/>
              </w:sdtPr>
              <w:sdtContent>
                <w:tc>
                  <w:tcPr>
                    <w:tcW w:w="511" w:type="pct"/>
                    <w:shd w:val="clear" w:color="auto" w:fill="auto"/>
                  </w:tcPr>
                  <w:p w:rsidR="00FD3521" w:rsidRPr="00FD3521" w:rsidRDefault="00FD3521" w:rsidP="004B4952">
                    <w:pPr>
                      <w:spacing w:line="240" w:lineRule="atLeast"/>
                      <w:jc w:val="right"/>
                      <w:rPr>
                        <w:sz w:val="16"/>
                        <w:szCs w:val="16"/>
                      </w:rPr>
                    </w:pPr>
                    <w:r w:rsidRPr="00FD3521">
                      <w:rPr>
                        <w:sz w:val="16"/>
                        <w:szCs w:val="16"/>
                      </w:rPr>
                      <w:t>0</w:t>
                    </w:r>
                  </w:p>
                </w:tc>
              </w:sdtContent>
            </w:sdt>
            <w:sdt>
              <w:sdtPr>
                <w:rPr>
                  <w:sz w:val="16"/>
                  <w:szCs w:val="16"/>
                </w:rPr>
                <w:alias w:val="使用权资产明细-账面原值增加"/>
                <w:tag w:val="_GBC_fdfc534ed7cd4a5788dbae6b00e9f811"/>
                <w:id w:val="-127553790"/>
                <w:lock w:val="sdtLocked"/>
              </w:sdtPr>
              <w:sdtContent>
                <w:tc>
                  <w:tcPr>
                    <w:tcW w:w="538" w:type="pct"/>
                    <w:shd w:val="clear" w:color="auto" w:fill="auto"/>
                  </w:tcPr>
                  <w:p w:rsidR="00FD3521" w:rsidRPr="00FD3521" w:rsidRDefault="00FD3521" w:rsidP="004B4952">
                    <w:pPr>
                      <w:spacing w:line="240" w:lineRule="atLeast"/>
                      <w:jc w:val="right"/>
                      <w:rPr>
                        <w:sz w:val="16"/>
                        <w:szCs w:val="16"/>
                      </w:rPr>
                    </w:pPr>
                    <w:r w:rsidRPr="00FD3521">
                      <w:rPr>
                        <w:sz w:val="16"/>
                        <w:szCs w:val="16"/>
                      </w:rPr>
                      <w:t>10,330,443</w:t>
                    </w:r>
                  </w:p>
                </w:tc>
              </w:sdtContent>
            </w:sdt>
            <w:sdt>
              <w:sdtPr>
                <w:rPr>
                  <w:sz w:val="16"/>
                  <w:szCs w:val="16"/>
                </w:rPr>
                <w:alias w:val="使用权资产明细-账面原值增加"/>
                <w:tag w:val="_GBC_fdfc534ed7cd4a5788dbae6b00e9f811"/>
                <w:id w:val="1289169359"/>
                <w:lock w:val="sdtLocked"/>
              </w:sdtPr>
              <w:sdtContent>
                <w:tc>
                  <w:tcPr>
                    <w:tcW w:w="553" w:type="pct"/>
                    <w:shd w:val="clear" w:color="auto" w:fill="auto"/>
                  </w:tcPr>
                  <w:p w:rsidR="00FD3521" w:rsidRPr="00FD3521" w:rsidRDefault="00FD3521" w:rsidP="004B4952">
                    <w:pPr>
                      <w:spacing w:line="240" w:lineRule="atLeast"/>
                      <w:jc w:val="right"/>
                      <w:rPr>
                        <w:sz w:val="16"/>
                        <w:szCs w:val="16"/>
                      </w:rPr>
                    </w:pPr>
                    <w:r w:rsidRPr="00FD3521">
                      <w:rPr>
                        <w:sz w:val="16"/>
                        <w:szCs w:val="16"/>
                      </w:rPr>
                      <w:t>0</w:t>
                    </w:r>
                  </w:p>
                </w:tc>
              </w:sdtContent>
            </w:sdt>
            <w:sdt>
              <w:sdtPr>
                <w:rPr>
                  <w:sz w:val="16"/>
                  <w:szCs w:val="16"/>
                </w:rPr>
                <w:alias w:val="使用权资产明细-账面原值增加"/>
                <w:tag w:val="_GBC_fdfc534ed7cd4a5788dbae6b00e9f811"/>
                <w:id w:val="935715210"/>
                <w:lock w:val="sdtLocked"/>
              </w:sdtPr>
              <w:sdtContent>
                <w:tc>
                  <w:tcPr>
                    <w:tcW w:w="604" w:type="pct"/>
                    <w:shd w:val="clear" w:color="auto" w:fill="auto"/>
                  </w:tcPr>
                  <w:p w:rsidR="00FD3521" w:rsidRPr="00FD3521" w:rsidRDefault="00FD3521" w:rsidP="004B4952">
                    <w:pPr>
                      <w:spacing w:line="240" w:lineRule="atLeast"/>
                      <w:jc w:val="right"/>
                      <w:rPr>
                        <w:sz w:val="16"/>
                        <w:szCs w:val="16"/>
                      </w:rPr>
                    </w:pPr>
                    <w:r w:rsidRPr="00FD3521">
                      <w:rPr>
                        <w:sz w:val="16"/>
                        <w:szCs w:val="16"/>
                      </w:rPr>
                      <w:t>0</w:t>
                    </w:r>
                  </w:p>
                </w:tc>
              </w:sdtContent>
            </w:sdt>
            <w:sdt>
              <w:sdtPr>
                <w:rPr>
                  <w:sz w:val="16"/>
                  <w:szCs w:val="16"/>
                </w:rPr>
                <w:alias w:val="使用权资产明细-账面原值增加"/>
                <w:tag w:val="_GBC_fdfc534ed7cd4a5788dbae6b00e9f811"/>
                <w:id w:val="-935436500"/>
                <w:lock w:val="sdtLocked"/>
              </w:sdtPr>
              <w:sdtContent>
                <w:tc>
                  <w:tcPr>
                    <w:tcW w:w="553" w:type="pct"/>
                    <w:shd w:val="clear" w:color="auto" w:fill="auto"/>
                  </w:tcPr>
                  <w:p w:rsidR="00FD3521" w:rsidRPr="00FD3521" w:rsidRDefault="00FD3521" w:rsidP="004B4952">
                    <w:pPr>
                      <w:spacing w:line="240" w:lineRule="atLeast"/>
                      <w:jc w:val="right"/>
                      <w:rPr>
                        <w:sz w:val="16"/>
                        <w:szCs w:val="16"/>
                      </w:rPr>
                    </w:pPr>
                    <w:r w:rsidRPr="00FD3521">
                      <w:rPr>
                        <w:sz w:val="16"/>
                        <w:szCs w:val="16"/>
                      </w:rPr>
                      <w:t>0</w:t>
                    </w:r>
                  </w:p>
                </w:tc>
              </w:sdtContent>
            </w:sdt>
            <w:sdt>
              <w:sdtPr>
                <w:rPr>
                  <w:sz w:val="16"/>
                  <w:szCs w:val="16"/>
                </w:rPr>
                <w:alias w:val="使用权资产明细-账面原值增加"/>
                <w:tag w:val="_GBC_fdfc534ed7cd4a5788dbae6b00e9f811"/>
                <w:id w:val="1992979844"/>
                <w:lock w:val="sdtLocked"/>
              </w:sdtPr>
              <w:sdtContent>
                <w:tc>
                  <w:tcPr>
                    <w:tcW w:w="554" w:type="pct"/>
                    <w:shd w:val="clear" w:color="auto" w:fill="auto"/>
                  </w:tcPr>
                  <w:p w:rsidR="00FD3521" w:rsidRPr="00FD3521" w:rsidRDefault="00FD3521" w:rsidP="004B4952">
                    <w:pPr>
                      <w:spacing w:line="240" w:lineRule="atLeast"/>
                      <w:jc w:val="right"/>
                      <w:rPr>
                        <w:sz w:val="16"/>
                        <w:szCs w:val="16"/>
                      </w:rPr>
                    </w:pPr>
                    <w:r w:rsidRPr="00FD3521">
                      <w:rPr>
                        <w:sz w:val="16"/>
                        <w:szCs w:val="16"/>
                      </w:rPr>
                      <w:t>0</w:t>
                    </w:r>
                  </w:p>
                </w:tc>
              </w:sdtContent>
            </w:sdt>
            <w:sdt>
              <w:sdtPr>
                <w:rPr>
                  <w:sz w:val="16"/>
                  <w:szCs w:val="16"/>
                </w:rPr>
                <w:alias w:val="使用权资产账面原值增加"/>
                <w:tag w:val="_GBC_8dc66ccaf0474de3be47227a8882d40b"/>
                <w:id w:val="-1579199370"/>
                <w:lock w:val="sdtLocked"/>
              </w:sdtPr>
              <w:sdtContent>
                <w:tc>
                  <w:tcPr>
                    <w:tcW w:w="484" w:type="pct"/>
                    <w:shd w:val="clear" w:color="auto" w:fill="auto"/>
                  </w:tcPr>
                  <w:p w:rsidR="00FD3521" w:rsidRPr="00FD3521" w:rsidRDefault="00FD3521" w:rsidP="004B4952">
                    <w:pPr>
                      <w:spacing w:line="240" w:lineRule="atLeast"/>
                      <w:jc w:val="right"/>
                      <w:rPr>
                        <w:sz w:val="16"/>
                        <w:szCs w:val="16"/>
                      </w:rPr>
                    </w:pPr>
                    <w:r w:rsidRPr="00FD3521">
                      <w:rPr>
                        <w:sz w:val="16"/>
                        <w:szCs w:val="16"/>
                      </w:rPr>
                      <w:t>10,674,109</w:t>
                    </w:r>
                  </w:p>
                </w:tc>
              </w:sdtContent>
            </w:sdt>
          </w:tr>
          <w:tr w:rsidR="00F84632" w:rsidTr="00F84632">
            <w:trPr>
              <w:trHeight w:val="284"/>
            </w:trPr>
            <w:sdt>
              <w:sdtPr>
                <w:rPr>
                  <w:sz w:val="16"/>
                  <w:szCs w:val="16"/>
                </w:rPr>
                <w:tag w:val="_PLD_108835bc70f94655846132849651bf9f"/>
                <w:id w:val="-2061316881"/>
                <w:lock w:val="sdtLocked"/>
              </w:sdtPr>
              <w:sdtContent>
                <w:tc>
                  <w:tcPr>
                    <w:tcW w:w="691" w:type="pct"/>
                    <w:shd w:val="clear" w:color="auto" w:fill="auto"/>
                    <w:vAlign w:val="center"/>
                  </w:tcPr>
                  <w:p w:rsidR="00FD3521" w:rsidRPr="00FD3521" w:rsidRDefault="00FD3521" w:rsidP="004B4952">
                    <w:pPr>
                      <w:spacing w:line="240" w:lineRule="atLeast"/>
                      <w:ind w:firstLineChars="200" w:firstLine="320"/>
                      <w:rPr>
                        <w:sz w:val="16"/>
                        <w:szCs w:val="16"/>
                      </w:rPr>
                    </w:pPr>
                    <w:r w:rsidRPr="00FD3521">
                      <w:rPr>
                        <w:sz w:val="16"/>
                        <w:szCs w:val="16"/>
                      </w:rPr>
                      <w:t>3.本期减少</w:t>
                    </w:r>
                    <w:r w:rsidRPr="00FD3521">
                      <w:rPr>
                        <w:rFonts w:hint="eastAsia"/>
                        <w:sz w:val="16"/>
                        <w:szCs w:val="16"/>
                      </w:rPr>
                      <w:t>金额</w:t>
                    </w:r>
                  </w:p>
                </w:tc>
              </w:sdtContent>
            </w:sdt>
            <w:sdt>
              <w:sdtPr>
                <w:rPr>
                  <w:sz w:val="16"/>
                  <w:szCs w:val="16"/>
                </w:rPr>
                <w:alias w:val="使用权资产明细-账面原值减少"/>
                <w:tag w:val="_GBC_ea4470b5df63450a9f56f9f0d45d74ea"/>
                <w:id w:val="1231585305"/>
                <w:lock w:val="sdtLocked"/>
              </w:sdtPr>
              <w:sdtContent>
                <w:tc>
                  <w:tcPr>
                    <w:tcW w:w="512" w:type="pct"/>
                    <w:shd w:val="clear" w:color="auto" w:fill="auto"/>
                  </w:tcPr>
                  <w:p w:rsidR="00FD3521" w:rsidRPr="00FD3521" w:rsidRDefault="00FD3521" w:rsidP="004B4952">
                    <w:pPr>
                      <w:spacing w:line="240" w:lineRule="atLeast"/>
                      <w:jc w:val="right"/>
                      <w:rPr>
                        <w:sz w:val="16"/>
                        <w:szCs w:val="16"/>
                      </w:rPr>
                    </w:pPr>
                    <w:r w:rsidRPr="00FD3521">
                      <w:rPr>
                        <w:sz w:val="16"/>
                        <w:szCs w:val="16"/>
                      </w:rPr>
                      <w:t>0</w:t>
                    </w:r>
                  </w:p>
                </w:tc>
              </w:sdtContent>
            </w:sdt>
            <w:sdt>
              <w:sdtPr>
                <w:rPr>
                  <w:sz w:val="16"/>
                  <w:szCs w:val="16"/>
                </w:rPr>
                <w:alias w:val="使用权资产明细-账面原值减少"/>
                <w:tag w:val="_GBC_ea4470b5df63450a9f56f9f0d45d74ea"/>
                <w:id w:val="-1639334560"/>
                <w:lock w:val="sdtLocked"/>
              </w:sdtPr>
              <w:sdtContent>
                <w:tc>
                  <w:tcPr>
                    <w:tcW w:w="511" w:type="pct"/>
                    <w:shd w:val="clear" w:color="auto" w:fill="auto"/>
                  </w:tcPr>
                  <w:p w:rsidR="00FD3521" w:rsidRPr="00FD3521" w:rsidRDefault="00FD3521" w:rsidP="004B4952">
                    <w:pPr>
                      <w:spacing w:line="240" w:lineRule="atLeast"/>
                      <w:jc w:val="right"/>
                      <w:rPr>
                        <w:sz w:val="16"/>
                        <w:szCs w:val="16"/>
                      </w:rPr>
                    </w:pPr>
                    <w:r w:rsidRPr="00FD3521">
                      <w:rPr>
                        <w:sz w:val="16"/>
                        <w:szCs w:val="16"/>
                      </w:rPr>
                      <w:t>0</w:t>
                    </w:r>
                  </w:p>
                </w:tc>
              </w:sdtContent>
            </w:sdt>
            <w:sdt>
              <w:sdtPr>
                <w:rPr>
                  <w:sz w:val="16"/>
                  <w:szCs w:val="16"/>
                </w:rPr>
                <w:alias w:val="使用权资产明细-账面原值减少"/>
                <w:tag w:val="_GBC_ea4470b5df63450a9f56f9f0d45d74ea"/>
                <w:id w:val="1981802655"/>
                <w:lock w:val="sdtLocked"/>
              </w:sdtPr>
              <w:sdtContent>
                <w:tc>
                  <w:tcPr>
                    <w:tcW w:w="538" w:type="pct"/>
                    <w:shd w:val="clear" w:color="auto" w:fill="auto"/>
                  </w:tcPr>
                  <w:p w:rsidR="00FD3521" w:rsidRPr="00FD3521" w:rsidRDefault="00FD3521" w:rsidP="004B4952">
                    <w:pPr>
                      <w:spacing w:line="240" w:lineRule="atLeast"/>
                      <w:jc w:val="right"/>
                      <w:rPr>
                        <w:sz w:val="16"/>
                        <w:szCs w:val="16"/>
                      </w:rPr>
                    </w:pPr>
                    <w:r w:rsidRPr="00FD3521">
                      <w:rPr>
                        <w:sz w:val="16"/>
                        <w:szCs w:val="16"/>
                      </w:rPr>
                      <w:t>0</w:t>
                    </w:r>
                  </w:p>
                </w:tc>
              </w:sdtContent>
            </w:sdt>
            <w:sdt>
              <w:sdtPr>
                <w:rPr>
                  <w:sz w:val="16"/>
                  <w:szCs w:val="16"/>
                </w:rPr>
                <w:alias w:val="使用权资产明细-账面原值减少"/>
                <w:tag w:val="_GBC_ea4470b5df63450a9f56f9f0d45d74ea"/>
                <w:id w:val="-1931797392"/>
                <w:lock w:val="sdtLocked"/>
              </w:sdtPr>
              <w:sdtContent>
                <w:tc>
                  <w:tcPr>
                    <w:tcW w:w="553" w:type="pct"/>
                    <w:shd w:val="clear" w:color="auto" w:fill="auto"/>
                  </w:tcPr>
                  <w:p w:rsidR="00FD3521" w:rsidRPr="00FD3521" w:rsidRDefault="00FD3521" w:rsidP="004B4952">
                    <w:pPr>
                      <w:spacing w:line="240" w:lineRule="atLeast"/>
                      <w:jc w:val="right"/>
                      <w:rPr>
                        <w:sz w:val="16"/>
                        <w:szCs w:val="16"/>
                      </w:rPr>
                    </w:pPr>
                    <w:r w:rsidRPr="00FD3521">
                      <w:rPr>
                        <w:sz w:val="16"/>
                        <w:szCs w:val="16"/>
                      </w:rPr>
                      <w:t>0</w:t>
                    </w:r>
                  </w:p>
                </w:tc>
              </w:sdtContent>
            </w:sdt>
            <w:sdt>
              <w:sdtPr>
                <w:rPr>
                  <w:sz w:val="16"/>
                  <w:szCs w:val="16"/>
                </w:rPr>
                <w:alias w:val="使用权资产明细-账面原值减少"/>
                <w:tag w:val="_GBC_ea4470b5df63450a9f56f9f0d45d74ea"/>
                <w:id w:val="1323548898"/>
                <w:lock w:val="sdtLocked"/>
              </w:sdtPr>
              <w:sdtContent>
                <w:tc>
                  <w:tcPr>
                    <w:tcW w:w="604" w:type="pct"/>
                    <w:shd w:val="clear" w:color="auto" w:fill="auto"/>
                  </w:tcPr>
                  <w:p w:rsidR="00FD3521" w:rsidRPr="00FD3521" w:rsidRDefault="00FD3521" w:rsidP="004B4952">
                    <w:pPr>
                      <w:spacing w:line="240" w:lineRule="atLeast"/>
                      <w:jc w:val="right"/>
                      <w:rPr>
                        <w:sz w:val="16"/>
                        <w:szCs w:val="16"/>
                      </w:rPr>
                    </w:pPr>
                    <w:r w:rsidRPr="00FD3521">
                      <w:rPr>
                        <w:sz w:val="16"/>
                        <w:szCs w:val="16"/>
                      </w:rPr>
                      <w:t>0</w:t>
                    </w:r>
                  </w:p>
                </w:tc>
              </w:sdtContent>
            </w:sdt>
            <w:sdt>
              <w:sdtPr>
                <w:rPr>
                  <w:sz w:val="16"/>
                  <w:szCs w:val="16"/>
                </w:rPr>
                <w:alias w:val="使用权资产明细-账面原值减少"/>
                <w:tag w:val="_GBC_ea4470b5df63450a9f56f9f0d45d74ea"/>
                <w:id w:val="152803956"/>
                <w:lock w:val="sdtLocked"/>
              </w:sdtPr>
              <w:sdtContent>
                <w:tc>
                  <w:tcPr>
                    <w:tcW w:w="553" w:type="pct"/>
                    <w:shd w:val="clear" w:color="auto" w:fill="auto"/>
                  </w:tcPr>
                  <w:p w:rsidR="00FD3521" w:rsidRPr="00FD3521" w:rsidRDefault="00FD3521" w:rsidP="004B4952">
                    <w:pPr>
                      <w:spacing w:line="240" w:lineRule="atLeast"/>
                      <w:jc w:val="right"/>
                      <w:rPr>
                        <w:sz w:val="16"/>
                        <w:szCs w:val="16"/>
                      </w:rPr>
                    </w:pPr>
                    <w:r w:rsidRPr="00FD3521">
                      <w:rPr>
                        <w:sz w:val="16"/>
                        <w:szCs w:val="16"/>
                      </w:rPr>
                      <w:t>0</w:t>
                    </w:r>
                  </w:p>
                </w:tc>
              </w:sdtContent>
            </w:sdt>
            <w:sdt>
              <w:sdtPr>
                <w:rPr>
                  <w:sz w:val="16"/>
                  <w:szCs w:val="16"/>
                </w:rPr>
                <w:alias w:val="使用权资产明细-账面原值减少"/>
                <w:tag w:val="_GBC_ea4470b5df63450a9f56f9f0d45d74ea"/>
                <w:id w:val="-1369523787"/>
                <w:lock w:val="sdtLocked"/>
              </w:sdtPr>
              <w:sdtContent>
                <w:tc>
                  <w:tcPr>
                    <w:tcW w:w="554" w:type="pct"/>
                    <w:shd w:val="clear" w:color="auto" w:fill="auto"/>
                  </w:tcPr>
                  <w:p w:rsidR="00FD3521" w:rsidRPr="00FD3521" w:rsidRDefault="00FD3521" w:rsidP="004B4952">
                    <w:pPr>
                      <w:spacing w:line="240" w:lineRule="atLeast"/>
                      <w:jc w:val="right"/>
                      <w:rPr>
                        <w:sz w:val="16"/>
                        <w:szCs w:val="16"/>
                      </w:rPr>
                    </w:pPr>
                    <w:r w:rsidRPr="00FD3521">
                      <w:rPr>
                        <w:sz w:val="16"/>
                        <w:szCs w:val="16"/>
                      </w:rPr>
                      <w:t>0</w:t>
                    </w:r>
                  </w:p>
                </w:tc>
              </w:sdtContent>
            </w:sdt>
            <w:sdt>
              <w:sdtPr>
                <w:rPr>
                  <w:sz w:val="16"/>
                  <w:szCs w:val="16"/>
                </w:rPr>
                <w:alias w:val="使用权资产账面原值减少"/>
                <w:tag w:val="_GBC_d49e7be6d5cf4a7ba881458b87648d6f"/>
                <w:id w:val="-1337301340"/>
                <w:lock w:val="sdtLocked"/>
              </w:sdtPr>
              <w:sdtContent>
                <w:tc>
                  <w:tcPr>
                    <w:tcW w:w="484" w:type="pct"/>
                    <w:shd w:val="clear" w:color="auto" w:fill="auto"/>
                  </w:tcPr>
                  <w:p w:rsidR="00FD3521" w:rsidRPr="00FD3521" w:rsidRDefault="00FD3521" w:rsidP="004B4952">
                    <w:pPr>
                      <w:spacing w:line="240" w:lineRule="atLeast"/>
                      <w:jc w:val="right"/>
                      <w:rPr>
                        <w:sz w:val="16"/>
                        <w:szCs w:val="16"/>
                      </w:rPr>
                    </w:pPr>
                    <w:r w:rsidRPr="00FD3521">
                      <w:rPr>
                        <w:sz w:val="16"/>
                        <w:szCs w:val="16"/>
                      </w:rPr>
                      <w:t>0</w:t>
                    </w:r>
                  </w:p>
                </w:tc>
              </w:sdtContent>
            </w:sdt>
          </w:tr>
          <w:tr w:rsidR="00F84632" w:rsidTr="00F84632">
            <w:trPr>
              <w:trHeight w:val="284"/>
            </w:trPr>
            <w:sdt>
              <w:sdtPr>
                <w:rPr>
                  <w:sz w:val="16"/>
                  <w:szCs w:val="16"/>
                </w:rPr>
                <w:tag w:val="_PLD_195c5de53c024ce09b278402caf2f69a"/>
                <w:id w:val="-104736871"/>
                <w:lock w:val="sdtLocked"/>
              </w:sdtPr>
              <w:sdtContent>
                <w:tc>
                  <w:tcPr>
                    <w:tcW w:w="691" w:type="pct"/>
                    <w:shd w:val="clear" w:color="auto" w:fill="auto"/>
                    <w:vAlign w:val="center"/>
                  </w:tcPr>
                  <w:p w:rsidR="00FD3521" w:rsidRPr="00FD3521" w:rsidRDefault="00FD3521" w:rsidP="004B4952">
                    <w:pPr>
                      <w:spacing w:line="240" w:lineRule="atLeast"/>
                      <w:ind w:firstLineChars="200" w:firstLine="320"/>
                      <w:rPr>
                        <w:sz w:val="16"/>
                        <w:szCs w:val="16"/>
                      </w:rPr>
                    </w:pPr>
                    <w:r w:rsidRPr="00FD3521">
                      <w:rPr>
                        <w:sz w:val="16"/>
                        <w:szCs w:val="16"/>
                      </w:rPr>
                      <w:t>4.期末余额</w:t>
                    </w:r>
                  </w:p>
                </w:tc>
              </w:sdtContent>
            </w:sdt>
            <w:sdt>
              <w:sdtPr>
                <w:rPr>
                  <w:sz w:val="16"/>
                  <w:szCs w:val="16"/>
                </w:rPr>
                <w:alias w:val="使用权资产明细-账面原值"/>
                <w:tag w:val="_GBC_90832b9a42eb461789cbbc0727760beb"/>
                <w:id w:val="-2135171442"/>
                <w:lock w:val="sdtLocked"/>
              </w:sdtPr>
              <w:sdtContent>
                <w:tc>
                  <w:tcPr>
                    <w:tcW w:w="512" w:type="pct"/>
                    <w:shd w:val="clear" w:color="auto" w:fill="auto"/>
                  </w:tcPr>
                  <w:p w:rsidR="00FD3521" w:rsidRPr="00FD3521" w:rsidRDefault="00FD3521" w:rsidP="004B4952">
                    <w:pPr>
                      <w:spacing w:line="240" w:lineRule="atLeast"/>
                      <w:jc w:val="right"/>
                      <w:rPr>
                        <w:sz w:val="16"/>
                        <w:szCs w:val="16"/>
                      </w:rPr>
                    </w:pPr>
                    <w:r w:rsidRPr="00FD3521">
                      <w:rPr>
                        <w:sz w:val="16"/>
                        <w:szCs w:val="16"/>
                      </w:rPr>
                      <w:t>15,121,395</w:t>
                    </w:r>
                  </w:p>
                </w:tc>
              </w:sdtContent>
            </w:sdt>
            <w:sdt>
              <w:sdtPr>
                <w:rPr>
                  <w:sz w:val="16"/>
                  <w:szCs w:val="16"/>
                </w:rPr>
                <w:alias w:val="使用权资产明细-账面原值"/>
                <w:tag w:val="_GBC_90832b9a42eb461789cbbc0727760beb"/>
                <w:id w:val="1270892150"/>
                <w:lock w:val="sdtLocked"/>
              </w:sdtPr>
              <w:sdtContent>
                <w:tc>
                  <w:tcPr>
                    <w:tcW w:w="511" w:type="pct"/>
                    <w:shd w:val="clear" w:color="auto" w:fill="auto"/>
                  </w:tcPr>
                  <w:p w:rsidR="00FD3521" w:rsidRPr="00FD3521" w:rsidRDefault="00FD3521" w:rsidP="004B4952">
                    <w:pPr>
                      <w:spacing w:line="240" w:lineRule="atLeast"/>
                      <w:jc w:val="right"/>
                      <w:rPr>
                        <w:sz w:val="16"/>
                        <w:szCs w:val="16"/>
                      </w:rPr>
                    </w:pPr>
                    <w:r w:rsidRPr="00FD3521">
                      <w:rPr>
                        <w:sz w:val="16"/>
                        <w:szCs w:val="16"/>
                      </w:rPr>
                      <w:t>571,268,419</w:t>
                    </w:r>
                  </w:p>
                </w:tc>
              </w:sdtContent>
            </w:sdt>
            <w:sdt>
              <w:sdtPr>
                <w:rPr>
                  <w:sz w:val="16"/>
                  <w:szCs w:val="16"/>
                </w:rPr>
                <w:alias w:val="使用权资产明细-账面原值"/>
                <w:tag w:val="_GBC_90832b9a42eb461789cbbc0727760beb"/>
                <w:id w:val="1807353364"/>
                <w:lock w:val="sdtLocked"/>
              </w:sdtPr>
              <w:sdtContent>
                <w:tc>
                  <w:tcPr>
                    <w:tcW w:w="538" w:type="pct"/>
                    <w:shd w:val="clear" w:color="auto" w:fill="auto"/>
                  </w:tcPr>
                  <w:p w:rsidR="00FD3521" w:rsidRPr="00FD3521" w:rsidRDefault="00FD3521" w:rsidP="004B4952">
                    <w:pPr>
                      <w:spacing w:line="240" w:lineRule="atLeast"/>
                      <w:jc w:val="right"/>
                      <w:rPr>
                        <w:sz w:val="16"/>
                        <w:szCs w:val="16"/>
                      </w:rPr>
                    </w:pPr>
                    <w:r w:rsidRPr="00FD3521">
                      <w:rPr>
                        <w:sz w:val="16"/>
                        <w:szCs w:val="16"/>
                      </w:rPr>
                      <w:t>10,330,443</w:t>
                    </w:r>
                  </w:p>
                </w:tc>
              </w:sdtContent>
            </w:sdt>
            <w:sdt>
              <w:sdtPr>
                <w:rPr>
                  <w:sz w:val="16"/>
                  <w:szCs w:val="16"/>
                </w:rPr>
                <w:alias w:val="使用权资产明细-账面原值"/>
                <w:tag w:val="_GBC_90832b9a42eb461789cbbc0727760beb"/>
                <w:id w:val="1882210883"/>
                <w:lock w:val="sdtLocked"/>
              </w:sdtPr>
              <w:sdtContent>
                <w:tc>
                  <w:tcPr>
                    <w:tcW w:w="553" w:type="pct"/>
                    <w:shd w:val="clear" w:color="auto" w:fill="auto"/>
                  </w:tcPr>
                  <w:p w:rsidR="00FD3521" w:rsidRPr="00FD3521" w:rsidRDefault="00FD3521" w:rsidP="004B4952">
                    <w:pPr>
                      <w:spacing w:line="240" w:lineRule="atLeast"/>
                      <w:jc w:val="right"/>
                      <w:rPr>
                        <w:sz w:val="16"/>
                        <w:szCs w:val="16"/>
                      </w:rPr>
                    </w:pPr>
                    <w:r w:rsidRPr="00FD3521">
                      <w:rPr>
                        <w:sz w:val="16"/>
                        <w:szCs w:val="16"/>
                      </w:rPr>
                      <w:t>39,673,032</w:t>
                    </w:r>
                  </w:p>
                </w:tc>
              </w:sdtContent>
            </w:sdt>
            <w:sdt>
              <w:sdtPr>
                <w:rPr>
                  <w:sz w:val="16"/>
                  <w:szCs w:val="16"/>
                </w:rPr>
                <w:alias w:val="使用权资产明细-账面原值"/>
                <w:tag w:val="_GBC_90832b9a42eb461789cbbc0727760beb"/>
                <w:id w:val="1197354693"/>
                <w:lock w:val="sdtLocked"/>
              </w:sdtPr>
              <w:sdtContent>
                <w:tc>
                  <w:tcPr>
                    <w:tcW w:w="604" w:type="pct"/>
                    <w:shd w:val="clear" w:color="auto" w:fill="auto"/>
                  </w:tcPr>
                  <w:p w:rsidR="00FD3521" w:rsidRPr="00FD3521" w:rsidRDefault="00FD3521" w:rsidP="004B4952">
                    <w:pPr>
                      <w:spacing w:line="240" w:lineRule="atLeast"/>
                      <w:jc w:val="right"/>
                      <w:rPr>
                        <w:sz w:val="16"/>
                        <w:szCs w:val="16"/>
                      </w:rPr>
                    </w:pPr>
                    <w:r w:rsidRPr="00FD3521">
                      <w:rPr>
                        <w:sz w:val="16"/>
                        <w:szCs w:val="16"/>
                      </w:rPr>
                      <w:t>56,010,107</w:t>
                    </w:r>
                  </w:p>
                </w:tc>
              </w:sdtContent>
            </w:sdt>
            <w:sdt>
              <w:sdtPr>
                <w:rPr>
                  <w:sz w:val="16"/>
                  <w:szCs w:val="16"/>
                </w:rPr>
                <w:alias w:val="使用权资产明细-账面原值"/>
                <w:tag w:val="_GBC_90832b9a42eb461789cbbc0727760beb"/>
                <w:id w:val="2131664515"/>
                <w:lock w:val="sdtLocked"/>
              </w:sdtPr>
              <w:sdtContent>
                <w:tc>
                  <w:tcPr>
                    <w:tcW w:w="553" w:type="pct"/>
                    <w:shd w:val="clear" w:color="auto" w:fill="auto"/>
                  </w:tcPr>
                  <w:p w:rsidR="00FD3521" w:rsidRPr="00FD3521" w:rsidRDefault="00FD3521" w:rsidP="004B4952">
                    <w:pPr>
                      <w:spacing w:line="240" w:lineRule="atLeast"/>
                      <w:jc w:val="right"/>
                      <w:rPr>
                        <w:sz w:val="16"/>
                        <w:szCs w:val="16"/>
                      </w:rPr>
                    </w:pPr>
                    <w:r w:rsidRPr="00FD3521">
                      <w:rPr>
                        <w:sz w:val="16"/>
                        <w:szCs w:val="16"/>
                      </w:rPr>
                      <w:t>3,211,440</w:t>
                    </w:r>
                  </w:p>
                </w:tc>
              </w:sdtContent>
            </w:sdt>
            <w:sdt>
              <w:sdtPr>
                <w:rPr>
                  <w:sz w:val="16"/>
                  <w:szCs w:val="16"/>
                </w:rPr>
                <w:alias w:val="使用权资产明细-账面原值"/>
                <w:tag w:val="_GBC_90832b9a42eb461789cbbc0727760beb"/>
                <w:id w:val="1836637244"/>
                <w:lock w:val="sdtLocked"/>
              </w:sdtPr>
              <w:sdtContent>
                <w:tc>
                  <w:tcPr>
                    <w:tcW w:w="554" w:type="pct"/>
                    <w:shd w:val="clear" w:color="auto" w:fill="auto"/>
                  </w:tcPr>
                  <w:p w:rsidR="00FD3521" w:rsidRPr="00FD3521" w:rsidRDefault="00FD3521" w:rsidP="004B4952">
                    <w:pPr>
                      <w:spacing w:line="240" w:lineRule="atLeast"/>
                      <w:jc w:val="right"/>
                      <w:rPr>
                        <w:sz w:val="16"/>
                        <w:szCs w:val="16"/>
                      </w:rPr>
                    </w:pPr>
                    <w:r w:rsidRPr="00FD3521">
                      <w:rPr>
                        <w:sz w:val="16"/>
                        <w:szCs w:val="16"/>
                      </w:rPr>
                      <w:t>500,963,704</w:t>
                    </w:r>
                  </w:p>
                </w:tc>
              </w:sdtContent>
            </w:sdt>
            <w:sdt>
              <w:sdtPr>
                <w:rPr>
                  <w:sz w:val="16"/>
                  <w:szCs w:val="16"/>
                </w:rPr>
                <w:alias w:val="使用权资产账面原值"/>
                <w:tag w:val="_GBC_1b5f210a8f144e478396479b23b0d941"/>
                <w:id w:val="1363947106"/>
                <w:lock w:val="sdtLocked"/>
              </w:sdtPr>
              <w:sdtContent>
                <w:tc>
                  <w:tcPr>
                    <w:tcW w:w="484" w:type="pct"/>
                    <w:shd w:val="clear" w:color="auto" w:fill="auto"/>
                  </w:tcPr>
                  <w:p w:rsidR="00FD3521" w:rsidRPr="00FD3521" w:rsidRDefault="00FD3521" w:rsidP="004B4952">
                    <w:pPr>
                      <w:spacing w:line="240" w:lineRule="atLeast"/>
                      <w:jc w:val="right"/>
                      <w:rPr>
                        <w:sz w:val="16"/>
                        <w:szCs w:val="16"/>
                      </w:rPr>
                    </w:pPr>
                    <w:r w:rsidRPr="00FD3521">
                      <w:rPr>
                        <w:sz w:val="16"/>
                        <w:szCs w:val="16"/>
                      </w:rPr>
                      <w:t>1,196,578,540</w:t>
                    </w:r>
                  </w:p>
                </w:tc>
              </w:sdtContent>
            </w:sdt>
          </w:tr>
          <w:tr w:rsidR="00F84632" w:rsidTr="00F84632">
            <w:trPr>
              <w:trHeight w:val="284"/>
            </w:trPr>
            <w:sdt>
              <w:sdtPr>
                <w:rPr>
                  <w:sz w:val="16"/>
                  <w:szCs w:val="16"/>
                </w:rPr>
                <w:tag w:val="_PLD_39b1174f077e44e0af9583631dcb785f"/>
                <w:id w:val="-1357958010"/>
                <w:lock w:val="sdtLocked"/>
              </w:sdtPr>
              <w:sdtContent>
                <w:tc>
                  <w:tcPr>
                    <w:tcW w:w="691" w:type="pct"/>
                    <w:shd w:val="clear" w:color="auto" w:fill="auto"/>
                    <w:vAlign w:val="center"/>
                  </w:tcPr>
                  <w:p w:rsidR="00FD3521" w:rsidRPr="00FD3521" w:rsidRDefault="00FD3521" w:rsidP="004B4952">
                    <w:pPr>
                      <w:spacing w:line="240" w:lineRule="atLeast"/>
                      <w:rPr>
                        <w:sz w:val="16"/>
                        <w:szCs w:val="16"/>
                      </w:rPr>
                    </w:pPr>
                    <w:r w:rsidRPr="00FD3521">
                      <w:rPr>
                        <w:sz w:val="16"/>
                        <w:szCs w:val="16"/>
                      </w:rPr>
                      <w:t>二、累计折旧</w:t>
                    </w:r>
                  </w:p>
                </w:tc>
              </w:sdtContent>
            </w:sdt>
            <w:tc>
              <w:tcPr>
                <w:tcW w:w="512" w:type="pct"/>
                <w:shd w:val="clear" w:color="auto" w:fill="auto"/>
              </w:tcPr>
              <w:p w:rsidR="00FD3521" w:rsidRPr="00FD3521" w:rsidRDefault="00FD3521" w:rsidP="004B4952">
                <w:pPr>
                  <w:spacing w:line="240" w:lineRule="atLeast"/>
                  <w:jc w:val="right"/>
                  <w:rPr>
                    <w:sz w:val="16"/>
                    <w:szCs w:val="16"/>
                  </w:rPr>
                </w:pPr>
                <w:r w:rsidRPr="00FD3521">
                  <w:rPr>
                    <w:sz w:val="16"/>
                    <w:szCs w:val="16"/>
                  </w:rPr>
                  <w:t> </w:t>
                </w:r>
              </w:p>
            </w:tc>
            <w:tc>
              <w:tcPr>
                <w:tcW w:w="511" w:type="pct"/>
                <w:shd w:val="clear" w:color="auto" w:fill="auto"/>
              </w:tcPr>
              <w:p w:rsidR="00FD3521" w:rsidRPr="00FD3521" w:rsidRDefault="00FD3521" w:rsidP="004B4952">
                <w:pPr>
                  <w:spacing w:line="240" w:lineRule="atLeast"/>
                  <w:jc w:val="right"/>
                  <w:rPr>
                    <w:sz w:val="16"/>
                    <w:szCs w:val="16"/>
                  </w:rPr>
                </w:pPr>
                <w:r w:rsidRPr="00FD3521">
                  <w:rPr>
                    <w:sz w:val="16"/>
                    <w:szCs w:val="16"/>
                  </w:rPr>
                  <w:t> </w:t>
                </w:r>
              </w:p>
            </w:tc>
            <w:tc>
              <w:tcPr>
                <w:tcW w:w="538" w:type="pct"/>
                <w:shd w:val="clear" w:color="auto" w:fill="auto"/>
              </w:tcPr>
              <w:p w:rsidR="00FD3521" w:rsidRPr="00FD3521" w:rsidRDefault="00FD3521" w:rsidP="004B4952">
                <w:pPr>
                  <w:spacing w:line="240" w:lineRule="atLeast"/>
                  <w:jc w:val="right"/>
                  <w:rPr>
                    <w:sz w:val="16"/>
                    <w:szCs w:val="16"/>
                  </w:rPr>
                </w:pPr>
                <w:r w:rsidRPr="00FD3521">
                  <w:rPr>
                    <w:sz w:val="16"/>
                    <w:szCs w:val="16"/>
                  </w:rPr>
                  <w:t> </w:t>
                </w:r>
              </w:p>
            </w:tc>
            <w:tc>
              <w:tcPr>
                <w:tcW w:w="553" w:type="pct"/>
                <w:shd w:val="clear" w:color="auto" w:fill="auto"/>
              </w:tcPr>
              <w:p w:rsidR="00FD3521" w:rsidRPr="00FD3521" w:rsidRDefault="00FD3521" w:rsidP="004B4952">
                <w:pPr>
                  <w:spacing w:line="240" w:lineRule="atLeast"/>
                  <w:jc w:val="right"/>
                  <w:rPr>
                    <w:sz w:val="16"/>
                    <w:szCs w:val="16"/>
                  </w:rPr>
                </w:pPr>
                <w:r w:rsidRPr="00FD3521">
                  <w:rPr>
                    <w:sz w:val="16"/>
                    <w:szCs w:val="16"/>
                  </w:rPr>
                  <w:t> </w:t>
                </w:r>
              </w:p>
            </w:tc>
            <w:tc>
              <w:tcPr>
                <w:tcW w:w="604" w:type="pct"/>
                <w:shd w:val="clear" w:color="auto" w:fill="auto"/>
              </w:tcPr>
              <w:p w:rsidR="00FD3521" w:rsidRPr="00FD3521" w:rsidRDefault="00FD3521" w:rsidP="004B4952">
                <w:pPr>
                  <w:spacing w:line="240" w:lineRule="atLeast"/>
                  <w:jc w:val="right"/>
                  <w:rPr>
                    <w:sz w:val="16"/>
                    <w:szCs w:val="16"/>
                  </w:rPr>
                </w:pPr>
                <w:r w:rsidRPr="00FD3521">
                  <w:rPr>
                    <w:sz w:val="16"/>
                    <w:szCs w:val="16"/>
                  </w:rPr>
                  <w:t> </w:t>
                </w:r>
              </w:p>
            </w:tc>
            <w:tc>
              <w:tcPr>
                <w:tcW w:w="553" w:type="pct"/>
                <w:shd w:val="clear" w:color="auto" w:fill="auto"/>
              </w:tcPr>
              <w:p w:rsidR="00FD3521" w:rsidRPr="00FD3521" w:rsidRDefault="00FD3521" w:rsidP="004B4952">
                <w:pPr>
                  <w:spacing w:line="240" w:lineRule="atLeast"/>
                  <w:jc w:val="right"/>
                  <w:rPr>
                    <w:sz w:val="16"/>
                    <w:szCs w:val="16"/>
                  </w:rPr>
                </w:pPr>
                <w:r w:rsidRPr="00FD3521">
                  <w:rPr>
                    <w:sz w:val="16"/>
                    <w:szCs w:val="16"/>
                  </w:rPr>
                  <w:t> </w:t>
                </w:r>
              </w:p>
            </w:tc>
            <w:tc>
              <w:tcPr>
                <w:tcW w:w="554" w:type="pct"/>
                <w:shd w:val="clear" w:color="auto" w:fill="auto"/>
              </w:tcPr>
              <w:p w:rsidR="00FD3521" w:rsidRPr="00FD3521" w:rsidRDefault="00FD3521" w:rsidP="004B4952">
                <w:pPr>
                  <w:spacing w:line="240" w:lineRule="atLeast"/>
                  <w:jc w:val="right"/>
                  <w:rPr>
                    <w:sz w:val="16"/>
                    <w:szCs w:val="16"/>
                  </w:rPr>
                </w:pPr>
                <w:r w:rsidRPr="00FD3521">
                  <w:rPr>
                    <w:sz w:val="16"/>
                    <w:szCs w:val="16"/>
                  </w:rPr>
                  <w:t> </w:t>
                </w:r>
              </w:p>
            </w:tc>
            <w:tc>
              <w:tcPr>
                <w:tcW w:w="484" w:type="pct"/>
                <w:shd w:val="clear" w:color="auto" w:fill="auto"/>
              </w:tcPr>
              <w:p w:rsidR="00FD3521" w:rsidRPr="00FD3521" w:rsidRDefault="00FD3521" w:rsidP="004B4952">
                <w:pPr>
                  <w:spacing w:line="240" w:lineRule="atLeast"/>
                  <w:jc w:val="right"/>
                  <w:rPr>
                    <w:sz w:val="16"/>
                    <w:szCs w:val="16"/>
                  </w:rPr>
                </w:pPr>
                <w:r w:rsidRPr="00FD3521">
                  <w:rPr>
                    <w:sz w:val="16"/>
                    <w:szCs w:val="16"/>
                  </w:rPr>
                  <w:t> </w:t>
                </w:r>
              </w:p>
            </w:tc>
          </w:tr>
          <w:tr w:rsidR="00F84632" w:rsidTr="00F84632">
            <w:trPr>
              <w:trHeight w:val="284"/>
            </w:trPr>
            <w:sdt>
              <w:sdtPr>
                <w:rPr>
                  <w:sz w:val="16"/>
                  <w:szCs w:val="16"/>
                </w:rPr>
                <w:tag w:val="_PLD_cc2df6f51cd84805a89f2c118eadcb65"/>
                <w:id w:val="1551033169"/>
                <w:lock w:val="sdtLocked"/>
              </w:sdtPr>
              <w:sdtContent>
                <w:tc>
                  <w:tcPr>
                    <w:tcW w:w="691" w:type="pct"/>
                    <w:shd w:val="clear" w:color="auto" w:fill="auto"/>
                    <w:vAlign w:val="center"/>
                  </w:tcPr>
                  <w:p w:rsidR="00FD3521" w:rsidRPr="00FD3521" w:rsidRDefault="00FD3521" w:rsidP="004B4952">
                    <w:pPr>
                      <w:spacing w:line="240" w:lineRule="atLeast"/>
                      <w:ind w:firstLineChars="200" w:firstLine="320"/>
                      <w:rPr>
                        <w:sz w:val="16"/>
                        <w:szCs w:val="16"/>
                      </w:rPr>
                    </w:pPr>
                    <w:r w:rsidRPr="00FD3521">
                      <w:rPr>
                        <w:rFonts w:hint="eastAsia"/>
                        <w:sz w:val="16"/>
                        <w:szCs w:val="16"/>
                      </w:rPr>
                      <w:t>1.期</w:t>
                    </w:r>
                    <w:r w:rsidRPr="00FD3521">
                      <w:rPr>
                        <w:sz w:val="16"/>
                        <w:szCs w:val="16"/>
                      </w:rPr>
                      <w:t>初余额</w:t>
                    </w:r>
                  </w:p>
                </w:tc>
              </w:sdtContent>
            </w:sdt>
            <w:sdt>
              <w:sdtPr>
                <w:rPr>
                  <w:sz w:val="16"/>
                  <w:szCs w:val="16"/>
                </w:rPr>
                <w:alias w:val="使用权资产明细-累计折旧"/>
                <w:tag w:val="_GBC_aef537751ddc4173aeac4cf14710f7c8"/>
                <w:id w:val="-75829522"/>
                <w:lock w:val="sdtLocked"/>
              </w:sdtPr>
              <w:sdtContent>
                <w:tc>
                  <w:tcPr>
                    <w:tcW w:w="512" w:type="pct"/>
                    <w:shd w:val="clear" w:color="auto" w:fill="auto"/>
                  </w:tcPr>
                  <w:p w:rsidR="00FD3521" w:rsidRPr="00FD3521" w:rsidRDefault="00FD3521" w:rsidP="004B4952">
                    <w:pPr>
                      <w:spacing w:line="240" w:lineRule="atLeast"/>
                      <w:jc w:val="right"/>
                      <w:rPr>
                        <w:sz w:val="16"/>
                        <w:szCs w:val="16"/>
                      </w:rPr>
                    </w:pPr>
                    <w:r w:rsidRPr="00FD3521">
                      <w:rPr>
                        <w:sz w:val="16"/>
                        <w:szCs w:val="16"/>
                      </w:rPr>
                      <w:t>7,388,865</w:t>
                    </w:r>
                  </w:p>
                </w:tc>
              </w:sdtContent>
            </w:sdt>
            <w:sdt>
              <w:sdtPr>
                <w:rPr>
                  <w:sz w:val="16"/>
                  <w:szCs w:val="16"/>
                </w:rPr>
                <w:alias w:val="使用权资产明细-累计折旧"/>
                <w:tag w:val="_GBC_aef537751ddc4173aeac4cf14710f7c8"/>
                <w:id w:val="-2063315357"/>
                <w:lock w:val="sdtLocked"/>
              </w:sdtPr>
              <w:sdtContent>
                <w:tc>
                  <w:tcPr>
                    <w:tcW w:w="511" w:type="pct"/>
                    <w:shd w:val="clear" w:color="auto" w:fill="auto"/>
                  </w:tcPr>
                  <w:p w:rsidR="00FD3521" w:rsidRPr="00FD3521" w:rsidRDefault="00FD3521" w:rsidP="004B4952">
                    <w:pPr>
                      <w:spacing w:line="240" w:lineRule="atLeast"/>
                      <w:jc w:val="right"/>
                      <w:rPr>
                        <w:sz w:val="16"/>
                        <w:szCs w:val="16"/>
                      </w:rPr>
                    </w:pPr>
                    <w:r w:rsidRPr="00FD3521">
                      <w:rPr>
                        <w:sz w:val="16"/>
                        <w:szCs w:val="16"/>
                      </w:rPr>
                      <w:t>197,873,197</w:t>
                    </w:r>
                  </w:p>
                </w:tc>
              </w:sdtContent>
            </w:sdt>
            <w:sdt>
              <w:sdtPr>
                <w:rPr>
                  <w:sz w:val="16"/>
                  <w:szCs w:val="16"/>
                </w:rPr>
                <w:alias w:val="使用权资产明细-累计折旧"/>
                <w:tag w:val="_GBC_aef537751ddc4173aeac4cf14710f7c8"/>
                <w:id w:val="2049411103"/>
                <w:lock w:val="sdtLocked"/>
              </w:sdtPr>
              <w:sdtContent>
                <w:tc>
                  <w:tcPr>
                    <w:tcW w:w="538" w:type="pct"/>
                    <w:shd w:val="clear" w:color="auto" w:fill="auto"/>
                  </w:tcPr>
                  <w:p w:rsidR="00FD3521" w:rsidRPr="00FD3521" w:rsidRDefault="00F84632" w:rsidP="004B4952">
                    <w:pPr>
                      <w:spacing w:line="240" w:lineRule="atLeast"/>
                      <w:jc w:val="right"/>
                      <w:rPr>
                        <w:sz w:val="16"/>
                        <w:szCs w:val="16"/>
                      </w:rPr>
                    </w:pPr>
                    <w:r>
                      <w:rPr>
                        <w:sz w:val="16"/>
                        <w:szCs w:val="16"/>
                      </w:rPr>
                      <w:t>0</w:t>
                    </w:r>
                  </w:p>
                </w:tc>
              </w:sdtContent>
            </w:sdt>
            <w:sdt>
              <w:sdtPr>
                <w:rPr>
                  <w:sz w:val="16"/>
                  <w:szCs w:val="16"/>
                </w:rPr>
                <w:alias w:val="使用权资产明细-累计折旧"/>
                <w:tag w:val="_GBC_aef537751ddc4173aeac4cf14710f7c8"/>
                <w:id w:val="1899624038"/>
                <w:lock w:val="sdtLocked"/>
              </w:sdtPr>
              <w:sdtContent>
                <w:tc>
                  <w:tcPr>
                    <w:tcW w:w="553" w:type="pct"/>
                    <w:shd w:val="clear" w:color="auto" w:fill="auto"/>
                  </w:tcPr>
                  <w:p w:rsidR="00FD3521" w:rsidRPr="00FD3521" w:rsidRDefault="00FD3521" w:rsidP="004B4952">
                    <w:pPr>
                      <w:spacing w:line="240" w:lineRule="atLeast"/>
                      <w:jc w:val="right"/>
                      <w:rPr>
                        <w:sz w:val="16"/>
                        <w:szCs w:val="16"/>
                      </w:rPr>
                    </w:pPr>
                    <w:r w:rsidRPr="00FD3521">
                      <w:rPr>
                        <w:sz w:val="16"/>
                        <w:szCs w:val="16"/>
                      </w:rPr>
                      <w:t>9,009,840</w:t>
                    </w:r>
                  </w:p>
                </w:tc>
              </w:sdtContent>
            </w:sdt>
            <w:sdt>
              <w:sdtPr>
                <w:rPr>
                  <w:sz w:val="16"/>
                  <w:szCs w:val="16"/>
                </w:rPr>
                <w:alias w:val="使用权资产明细-累计折旧"/>
                <w:tag w:val="_GBC_aef537751ddc4173aeac4cf14710f7c8"/>
                <w:id w:val="36168909"/>
                <w:lock w:val="sdtLocked"/>
              </w:sdtPr>
              <w:sdtContent>
                <w:tc>
                  <w:tcPr>
                    <w:tcW w:w="604" w:type="pct"/>
                    <w:shd w:val="clear" w:color="auto" w:fill="auto"/>
                  </w:tcPr>
                  <w:p w:rsidR="00FD3521" w:rsidRPr="00FD3521" w:rsidRDefault="00FD3521" w:rsidP="004B4952">
                    <w:pPr>
                      <w:spacing w:line="240" w:lineRule="atLeast"/>
                      <w:jc w:val="right"/>
                      <w:rPr>
                        <w:sz w:val="16"/>
                        <w:szCs w:val="16"/>
                      </w:rPr>
                    </w:pPr>
                    <w:r w:rsidRPr="00FD3521">
                      <w:rPr>
                        <w:sz w:val="16"/>
                        <w:szCs w:val="16"/>
                      </w:rPr>
                      <w:t>12,217,815</w:t>
                    </w:r>
                  </w:p>
                </w:tc>
              </w:sdtContent>
            </w:sdt>
            <w:sdt>
              <w:sdtPr>
                <w:rPr>
                  <w:sz w:val="16"/>
                  <w:szCs w:val="16"/>
                </w:rPr>
                <w:alias w:val="使用权资产明细-累计折旧"/>
                <w:tag w:val="_GBC_aef537751ddc4173aeac4cf14710f7c8"/>
                <w:id w:val="-199400054"/>
                <w:lock w:val="sdtLocked"/>
              </w:sdtPr>
              <w:sdtContent>
                <w:tc>
                  <w:tcPr>
                    <w:tcW w:w="553" w:type="pct"/>
                    <w:shd w:val="clear" w:color="auto" w:fill="auto"/>
                  </w:tcPr>
                  <w:p w:rsidR="00FD3521" w:rsidRPr="00FD3521" w:rsidRDefault="00FD3521" w:rsidP="004B4952">
                    <w:pPr>
                      <w:spacing w:line="240" w:lineRule="atLeast"/>
                      <w:jc w:val="right"/>
                      <w:rPr>
                        <w:sz w:val="16"/>
                        <w:szCs w:val="16"/>
                      </w:rPr>
                    </w:pPr>
                    <w:r w:rsidRPr="00FD3521">
                      <w:rPr>
                        <w:sz w:val="16"/>
                        <w:szCs w:val="16"/>
                      </w:rPr>
                      <w:t>742,856</w:t>
                    </w:r>
                  </w:p>
                </w:tc>
              </w:sdtContent>
            </w:sdt>
            <w:sdt>
              <w:sdtPr>
                <w:rPr>
                  <w:sz w:val="16"/>
                  <w:szCs w:val="16"/>
                </w:rPr>
                <w:alias w:val="使用权资产明细-累计折旧"/>
                <w:tag w:val="_GBC_aef537751ddc4173aeac4cf14710f7c8"/>
                <w:id w:val="-1016997953"/>
                <w:lock w:val="sdtLocked"/>
              </w:sdtPr>
              <w:sdtContent>
                <w:tc>
                  <w:tcPr>
                    <w:tcW w:w="554" w:type="pct"/>
                    <w:shd w:val="clear" w:color="auto" w:fill="auto"/>
                  </w:tcPr>
                  <w:p w:rsidR="00FD3521" w:rsidRPr="00FD3521" w:rsidRDefault="00F84632" w:rsidP="004B4952">
                    <w:pPr>
                      <w:spacing w:line="240" w:lineRule="atLeast"/>
                      <w:jc w:val="right"/>
                      <w:rPr>
                        <w:sz w:val="16"/>
                        <w:szCs w:val="16"/>
                      </w:rPr>
                    </w:pPr>
                    <w:r>
                      <w:rPr>
                        <w:sz w:val="16"/>
                        <w:szCs w:val="16"/>
                      </w:rPr>
                      <w:t>0</w:t>
                    </w:r>
                  </w:p>
                </w:tc>
              </w:sdtContent>
            </w:sdt>
            <w:sdt>
              <w:sdtPr>
                <w:rPr>
                  <w:sz w:val="16"/>
                  <w:szCs w:val="16"/>
                </w:rPr>
                <w:alias w:val="使用权资产累计折旧"/>
                <w:tag w:val="_GBC_870cd3aa94674cd4a6d4be1a197ab18c"/>
                <w:id w:val="447899744"/>
                <w:lock w:val="sdtLocked"/>
              </w:sdtPr>
              <w:sdtContent>
                <w:tc>
                  <w:tcPr>
                    <w:tcW w:w="484" w:type="pct"/>
                    <w:shd w:val="clear" w:color="auto" w:fill="auto"/>
                  </w:tcPr>
                  <w:p w:rsidR="00FD3521" w:rsidRPr="00FD3521" w:rsidRDefault="00FD3521" w:rsidP="004B4952">
                    <w:pPr>
                      <w:spacing w:line="240" w:lineRule="atLeast"/>
                      <w:jc w:val="right"/>
                      <w:rPr>
                        <w:sz w:val="16"/>
                        <w:szCs w:val="16"/>
                      </w:rPr>
                    </w:pPr>
                    <w:r w:rsidRPr="00FD3521">
                      <w:rPr>
                        <w:sz w:val="16"/>
                        <w:szCs w:val="16"/>
                      </w:rPr>
                      <w:t>227,232,573</w:t>
                    </w:r>
                  </w:p>
                </w:tc>
              </w:sdtContent>
            </w:sdt>
          </w:tr>
          <w:tr w:rsidR="00F84632" w:rsidTr="00F84632">
            <w:trPr>
              <w:trHeight w:val="284"/>
            </w:trPr>
            <w:sdt>
              <w:sdtPr>
                <w:rPr>
                  <w:sz w:val="16"/>
                  <w:szCs w:val="16"/>
                </w:rPr>
                <w:tag w:val="_PLD_a678535377134b91a0f9295c145e89b9"/>
                <w:id w:val="1925998839"/>
                <w:lock w:val="sdtLocked"/>
              </w:sdtPr>
              <w:sdtContent>
                <w:tc>
                  <w:tcPr>
                    <w:tcW w:w="691" w:type="pct"/>
                    <w:shd w:val="clear" w:color="auto" w:fill="auto"/>
                    <w:vAlign w:val="center"/>
                  </w:tcPr>
                  <w:p w:rsidR="00FD3521" w:rsidRPr="00FD3521" w:rsidRDefault="00FD3521" w:rsidP="004B4952">
                    <w:pPr>
                      <w:spacing w:line="240" w:lineRule="atLeast"/>
                      <w:ind w:firstLineChars="200" w:firstLine="320"/>
                      <w:rPr>
                        <w:sz w:val="16"/>
                        <w:szCs w:val="16"/>
                      </w:rPr>
                    </w:pPr>
                    <w:r w:rsidRPr="00FD3521">
                      <w:rPr>
                        <w:sz w:val="16"/>
                        <w:szCs w:val="16"/>
                      </w:rPr>
                      <w:t>2.本期增加</w:t>
                    </w:r>
                    <w:r w:rsidRPr="00FD3521">
                      <w:rPr>
                        <w:rFonts w:hint="eastAsia"/>
                        <w:sz w:val="16"/>
                        <w:szCs w:val="16"/>
                      </w:rPr>
                      <w:t>金额</w:t>
                    </w:r>
                  </w:p>
                </w:tc>
              </w:sdtContent>
            </w:sdt>
            <w:sdt>
              <w:sdtPr>
                <w:rPr>
                  <w:sz w:val="16"/>
                  <w:szCs w:val="16"/>
                </w:rPr>
                <w:alias w:val="使用权资产明细-累计折旧增加"/>
                <w:tag w:val="_GBC_44dcec9586be4faa99cd83a4b974c335"/>
                <w:id w:val="366425971"/>
                <w:lock w:val="sdtLocked"/>
              </w:sdtPr>
              <w:sdtContent>
                <w:tc>
                  <w:tcPr>
                    <w:tcW w:w="512" w:type="pct"/>
                    <w:shd w:val="clear" w:color="auto" w:fill="auto"/>
                  </w:tcPr>
                  <w:p w:rsidR="00FD3521" w:rsidRPr="00FD3521" w:rsidRDefault="00FD3521" w:rsidP="004B4952">
                    <w:pPr>
                      <w:spacing w:line="240" w:lineRule="atLeast"/>
                      <w:jc w:val="right"/>
                      <w:rPr>
                        <w:sz w:val="16"/>
                        <w:szCs w:val="16"/>
                      </w:rPr>
                    </w:pPr>
                    <w:r w:rsidRPr="00FD3521">
                      <w:rPr>
                        <w:sz w:val="16"/>
                        <w:szCs w:val="16"/>
                      </w:rPr>
                      <w:t>7,474,780</w:t>
                    </w:r>
                  </w:p>
                </w:tc>
              </w:sdtContent>
            </w:sdt>
            <w:sdt>
              <w:sdtPr>
                <w:rPr>
                  <w:sz w:val="16"/>
                  <w:szCs w:val="16"/>
                </w:rPr>
                <w:alias w:val="使用权资产明细-累计折旧增加"/>
                <w:tag w:val="_GBC_44dcec9586be4faa99cd83a4b974c335"/>
                <w:id w:val="-1749340718"/>
                <w:lock w:val="sdtLocked"/>
              </w:sdtPr>
              <w:sdtContent>
                <w:tc>
                  <w:tcPr>
                    <w:tcW w:w="511" w:type="pct"/>
                    <w:shd w:val="clear" w:color="auto" w:fill="auto"/>
                  </w:tcPr>
                  <w:p w:rsidR="00FD3521" w:rsidRPr="00FD3521" w:rsidRDefault="00FD3521" w:rsidP="004B4952">
                    <w:pPr>
                      <w:spacing w:line="240" w:lineRule="atLeast"/>
                      <w:jc w:val="right"/>
                      <w:rPr>
                        <w:sz w:val="16"/>
                        <w:szCs w:val="16"/>
                      </w:rPr>
                    </w:pPr>
                    <w:r w:rsidRPr="00FD3521">
                      <w:rPr>
                        <w:sz w:val="16"/>
                        <w:szCs w:val="16"/>
                      </w:rPr>
                      <w:t>186,697,613</w:t>
                    </w:r>
                  </w:p>
                </w:tc>
              </w:sdtContent>
            </w:sdt>
            <w:sdt>
              <w:sdtPr>
                <w:rPr>
                  <w:sz w:val="16"/>
                  <w:szCs w:val="16"/>
                </w:rPr>
                <w:alias w:val="使用权资产明细-累计折旧增加"/>
                <w:tag w:val="_GBC_44dcec9586be4faa99cd83a4b974c335"/>
                <w:id w:val="627212965"/>
                <w:lock w:val="sdtLocked"/>
              </w:sdtPr>
              <w:sdtContent>
                <w:tc>
                  <w:tcPr>
                    <w:tcW w:w="538" w:type="pct"/>
                    <w:shd w:val="clear" w:color="auto" w:fill="auto"/>
                  </w:tcPr>
                  <w:p w:rsidR="00FD3521" w:rsidRPr="00FD3521" w:rsidRDefault="00FD3521" w:rsidP="004B4952">
                    <w:pPr>
                      <w:spacing w:line="240" w:lineRule="atLeast"/>
                      <w:jc w:val="right"/>
                      <w:rPr>
                        <w:sz w:val="16"/>
                        <w:szCs w:val="16"/>
                      </w:rPr>
                    </w:pPr>
                    <w:r w:rsidRPr="00FD3521">
                      <w:rPr>
                        <w:sz w:val="16"/>
                        <w:szCs w:val="16"/>
                      </w:rPr>
                      <w:t>2,582,612</w:t>
                    </w:r>
                  </w:p>
                </w:tc>
              </w:sdtContent>
            </w:sdt>
            <w:sdt>
              <w:sdtPr>
                <w:rPr>
                  <w:sz w:val="16"/>
                  <w:szCs w:val="16"/>
                </w:rPr>
                <w:alias w:val="使用权资产明细-累计折旧增加"/>
                <w:tag w:val="_GBC_44dcec9586be4faa99cd83a4b974c335"/>
                <w:id w:val="1546258971"/>
                <w:lock w:val="sdtLocked"/>
              </w:sdtPr>
              <w:sdtContent>
                <w:tc>
                  <w:tcPr>
                    <w:tcW w:w="553" w:type="pct"/>
                    <w:shd w:val="clear" w:color="auto" w:fill="auto"/>
                  </w:tcPr>
                  <w:p w:rsidR="00FD3521" w:rsidRPr="00FD3521" w:rsidRDefault="00FD3521" w:rsidP="004B4952">
                    <w:pPr>
                      <w:spacing w:line="240" w:lineRule="atLeast"/>
                      <w:jc w:val="right"/>
                      <w:rPr>
                        <w:sz w:val="16"/>
                        <w:szCs w:val="16"/>
                      </w:rPr>
                    </w:pPr>
                    <w:r w:rsidRPr="00FD3521">
                      <w:rPr>
                        <w:sz w:val="16"/>
                        <w:szCs w:val="16"/>
                      </w:rPr>
                      <w:t>9,009,840</w:t>
                    </w:r>
                  </w:p>
                </w:tc>
              </w:sdtContent>
            </w:sdt>
            <w:sdt>
              <w:sdtPr>
                <w:rPr>
                  <w:sz w:val="16"/>
                  <w:szCs w:val="16"/>
                </w:rPr>
                <w:alias w:val="使用权资产明细-累计折旧增加"/>
                <w:tag w:val="_GBC_44dcec9586be4faa99cd83a4b974c335"/>
                <w:id w:val="-190447039"/>
                <w:lock w:val="sdtLocked"/>
              </w:sdtPr>
              <w:sdtContent>
                <w:tc>
                  <w:tcPr>
                    <w:tcW w:w="604" w:type="pct"/>
                    <w:shd w:val="clear" w:color="auto" w:fill="auto"/>
                  </w:tcPr>
                  <w:p w:rsidR="00FD3521" w:rsidRPr="00FD3521" w:rsidRDefault="00FD3521" w:rsidP="004B4952">
                    <w:pPr>
                      <w:spacing w:line="240" w:lineRule="atLeast"/>
                      <w:jc w:val="right"/>
                      <w:rPr>
                        <w:sz w:val="16"/>
                        <w:szCs w:val="16"/>
                      </w:rPr>
                    </w:pPr>
                    <w:r w:rsidRPr="00FD3521">
                      <w:rPr>
                        <w:sz w:val="16"/>
                        <w:szCs w:val="16"/>
                      </w:rPr>
                      <w:t>12,336,446</w:t>
                    </w:r>
                  </w:p>
                </w:tc>
              </w:sdtContent>
            </w:sdt>
            <w:sdt>
              <w:sdtPr>
                <w:rPr>
                  <w:sz w:val="16"/>
                  <w:szCs w:val="16"/>
                </w:rPr>
                <w:alias w:val="使用权资产明细-累计折旧增加"/>
                <w:tag w:val="_GBC_44dcec9586be4faa99cd83a4b974c335"/>
                <w:id w:val="-1153140802"/>
                <w:lock w:val="sdtLocked"/>
              </w:sdtPr>
              <w:sdtContent>
                <w:tc>
                  <w:tcPr>
                    <w:tcW w:w="553" w:type="pct"/>
                    <w:shd w:val="clear" w:color="auto" w:fill="auto"/>
                  </w:tcPr>
                  <w:p w:rsidR="00FD3521" w:rsidRPr="00FD3521" w:rsidRDefault="00FD3521" w:rsidP="004B4952">
                    <w:pPr>
                      <w:spacing w:line="240" w:lineRule="atLeast"/>
                      <w:jc w:val="right"/>
                      <w:rPr>
                        <w:sz w:val="16"/>
                        <w:szCs w:val="16"/>
                      </w:rPr>
                    </w:pPr>
                    <w:r w:rsidRPr="00FD3521">
                      <w:rPr>
                        <w:sz w:val="16"/>
                        <w:szCs w:val="16"/>
                      </w:rPr>
                      <w:t>740,833</w:t>
                    </w:r>
                  </w:p>
                </w:tc>
              </w:sdtContent>
            </w:sdt>
            <w:sdt>
              <w:sdtPr>
                <w:rPr>
                  <w:sz w:val="16"/>
                  <w:szCs w:val="16"/>
                </w:rPr>
                <w:alias w:val="使用权资产明细-累计折旧增加"/>
                <w:tag w:val="_GBC_44dcec9586be4faa99cd83a4b974c335"/>
                <w:id w:val="97072243"/>
                <w:lock w:val="sdtLocked"/>
              </w:sdtPr>
              <w:sdtContent>
                <w:tc>
                  <w:tcPr>
                    <w:tcW w:w="554" w:type="pct"/>
                    <w:shd w:val="clear" w:color="auto" w:fill="auto"/>
                  </w:tcPr>
                  <w:p w:rsidR="00FD3521" w:rsidRPr="00FD3521" w:rsidRDefault="00FD3521" w:rsidP="004B4952">
                    <w:pPr>
                      <w:spacing w:line="240" w:lineRule="atLeast"/>
                      <w:jc w:val="right"/>
                      <w:rPr>
                        <w:sz w:val="16"/>
                        <w:szCs w:val="16"/>
                      </w:rPr>
                    </w:pPr>
                    <w:r w:rsidRPr="00FD3521">
                      <w:rPr>
                        <w:sz w:val="16"/>
                        <w:szCs w:val="16"/>
                      </w:rPr>
                      <w:t>12,589,119</w:t>
                    </w:r>
                  </w:p>
                </w:tc>
              </w:sdtContent>
            </w:sdt>
            <w:sdt>
              <w:sdtPr>
                <w:rPr>
                  <w:sz w:val="16"/>
                  <w:szCs w:val="16"/>
                </w:rPr>
                <w:alias w:val="使用权资产累计折旧增加"/>
                <w:tag w:val="_GBC_617c4ee85811439fadff818806f2c50c"/>
                <w:id w:val="1800035915"/>
                <w:lock w:val="sdtLocked"/>
              </w:sdtPr>
              <w:sdtContent>
                <w:tc>
                  <w:tcPr>
                    <w:tcW w:w="484" w:type="pct"/>
                    <w:shd w:val="clear" w:color="auto" w:fill="auto"/>
                  </w:tcPr>
                  <w:p w:rsidR="00FD3521" w:rsidRPr="00FD3521" w:rsidRDefault="00FD3521" w:rsidP="004B4952">
                    <w:pPr>
                      <w:spacing w:line="240" w:lineRule="atLeast"/>
                      <w:jc w:val="right"/>
                      <w:rPr>
                        <w:sz w:val="16"/>
                        <w:szCs w:val="16"/>
                      </w:rPr>
                    </w:pPr>
                    <w:r w:rsidRPr="00FD3521">
                      <w:rPr>
                        <w:sz w:val="16"/>
                        <w:szCs w:val="16"/>
                      </w:rPr>
                      <w:t>231,431,243</w:t>
                    </w:r>
                  </w:p>
                </w:tc>
              </w:sdtContent>
            </w:sdt>
          </w:tr>
          <w:tr w:rsidR="00F84632" w:rsidTr="00F84632">
            <w:trPr>
              <w:trHeight w:val="284"/>
            </w:trPr>
            <w:sdt>
              <w:sdtPr>
                <w:rPr>
                  <w:sz w:val="16"/>
                  <w:szCs w:val="16"/>
                </w:rPr>
                <w:tag w:val="_PLD_f2eebf1aedbe4ea4abe3183a11bec5d1"/>
                <w:id w:val="-942457320"/>
                <w:lock w:val="sdtLocked"/>
              </w:sdtPr>
              <w:sdtContent>
                <w:tc>
                  <w:tcPr>
                    <w:tcW w:w="691" w:type="pct"/>
                    <w:shd w:val="clear" w:color="auto" w:fill="auto"/>
                    <w:vAlign w:val="center"/>
                  </w:tcPr>
                  <w:p w:rsidR="00FD3521" w:rsidRPr="00FD3521" w:rsidRDefault="00FD3521" w:rsidP="004B4952">
                    <w:pPr>
                      <w:spacing w:line="240" w:lineRule="atLeast"/>
                      <w:ind w:firstLineChars="200" w:firstLine="320"/>
                      <w:rPr>
                        <w:sz w:val="16"/>
                        <w:szCs w:val="16"/>
                      </w:rPr>
                    </w:pPr>
                    <w:r w:rsidRPr="00FD3521">
                      <w:rPr>
                        <w:rFonts w:hint="eastAsia"/>
                        <w:sz w:val="16"/>
                        <w:szCs w:val="16"/>
                      </w:rPr>
                      <w:t>3.</w:t>
                    </w:r>
                    <w:r w:rsidRPr="00FD3521">
                      <w:rPr>
                        <w:sz w:val="16"/>
                        <w:szCs w:val="16"/>
                      </w:rPr>
                      <w:t>本期减少</w:t>
                    </w:r>
                    <w:r w:rsidRPr="00FD3521">
                      <w:rPr>
                        <w:rFonts w:hint="eastAsia"/>
                        <w:sz w:val="16"/>
                        <w:szCs w:val="16"/>
                      </w:rPr>
                      <w:t>金额</w:t>
                    </w:r>
                  </w:p>
                </w:tc>
              </w:sdtContent>
            </w:sdt>
            <w:sdt>
              <w:sdtPr>
                <w:rPr>
                  <w:sz w:val="16"/>
                  <w:szCs w:val="16"/>
                </w:rPr>
                <w:alias w:val="使用权资产明细-累计折旧减少"/>
                <w:tag w:val="_GBC_e2ef0a3cb82e4a6ea7ad6837db07ee0a"/>
                <w:id w:val="2046252326"/>
                <w:lock w:val="sdtLocked"/>
              </w:sdtPr>
              <w:sdtContent>
                <w:tc>
                  <w:tcPr>
                    <w:tcW w:w="512" w:type="pct"/>
                    <w:shd w:val="clear" w:color="auto" w:fill="auto"/>
                  </w:tcPr>
                  <w:p w:rsidR="00FD3521" w:rsidRPr="00FD3521" w:rsidRDefault="00FD3521" w:rsidP="004B4952">
                    <w:pPr>
                      <w:spacing w:line="240" w:lineRule="atLeast"/>
                      <w:jc w:val="right"/>
                      <w:rPr>
                        <w:sz w:val="16"/>
                        <w:szCs w:val="16"/>
                      </w:rPr>
                    </w:pPr>
                    <w:r w:rsidRPr="00FD3521">
                      <w:rPr>
                        <w:sz w:val="16"/>
                        <w:szCs w:val="16"/>
                      </w:rPr>
                      <w:t>0</w:t>
                    </w:r>
                  </w:p>
                </w:tc>
              </w:sdtContent>
            </w:sdt>
            <w:sdt>
              <w:sdtPr>
                <w:rPr>
                  <w:sz w:val="16"/>
                  <w:szCs w:val="16"/>
                </w:rPr>
                <w:alias w:val="使用权资产明细-累计折旧减少"/>
                <w:tag w:val="_GBC_e2ef0a3cb82e4a6ea7ad6837db07ee0a"/>
                <w:id w:val="-594628898"/>
                <w:lock w:val="sdtLocked"/>
              </w:sdtPr>
              <w:sdtContent>
                <w:tc>
                  <w:tcPr>
                    <w:tcW w:w="511" w:type="pct"/>
                    <w:shd w:val="clear" w:color="auto" w:fill="auto"/>
                  </w:tcPr>
                  <w:p w:rsidR="00FD3521" w:rsidRPr="00FD3521" w:rsidRDefault="00FD3521" w:rsidP="004B4952">
                    <w:pPr>
                      <w:spacing w:line="240" w:lineRule="atLeast"/>
                      <w:jc w:val="right"/>
                      <w:rPr>
                        <w:sz w:val="16"/>
                        <w:szCs w:val="16"/>
                      </w:rPr>
                    </w:pPr>
                    <w:r w:rsidRPr="00FD3521">
                      <w:rPr>
                        <w:sz w:val="16"/>
                        <w:szCs w:val="16"/>
                      </w:rPr>
                      <w:t>0</w:t>
                    </w:r>
                  </w:p>
                </w:tc>
              </w:sdtContent>
            </w:sdt>
            <w:sdt>
              <w:sdtPr>
                <w:rPr>
                  <w:sz w:val="16"/>
                  <w:szCs w:val="16"/>
                </w:rPr>
                <w:alias w:val="使用权资产明细-累计折旧减少"/>
                <w:tag w:val="_GBC_e2ef0a3cb82e4a6ea7ad6837db07ee0a"/>
                <w:id w:val="-456486161"/>
                <w:lock w:val="sdtLocked"/>
              </w:sdtPr>
              <w:sdtContent>
                <w:tc>
                  <w:tcPr>
                    <w:tcW w:w="538" w:type="pct"/>
                    <w:shd w:val="clear" w:color="auto" w:fill="auto"/>
                  </w:tcPr>
                  <w:p w:rsidR="00FD3521" w:rsidRPr="00FD3521" w:rsidRDefault="00FD3521" w:rsidP="004B4952">
                    <w:pPr>
                      <w:spacing w:line="240" w:lineRule="atLeast"/>
                      <w:jc w:val="right"/>
                      <w:rPr>
                        <w:sz w:val="16"/>
                        <w:szCs w:val="16"/>
                      </w:rPr>
                    </w:pPr>
                    <w:r w:rsidRPr="00FD3521">
                      <w:rPr>
                        <w:sz w:val="16"/>
                        <w:szCs w:val="16"/>
                      </w:rPr>
                      <w:t>0</w:t>
                    </w:r>
                  </w:p>
                </w:tc>
              </w:sdtContent>
            </w:sdt>
            <w:sdt>
              <w:sdtPr>
                <w:rPr>
                  <w:sz w:val="16"/>
                  <w:szCs w:val="16"/>
                </w:rPr>
                <w:alias w:val="使用权资产明细-累计折旧减少"/>
                <w:tag w:val="_GBC_e2ef0a3cb82e4a6ea7ad6837db07ee0a"/>
                <w:id w:val="1237364048"/>
                <w:lock w:val="sdtLocked"/>
              </w:sdtPr>
              <w:sdtContent>
                <w:tc>
                  <w:tcPr>
                    <w:tcW w:w="553" w:type="pct"/>
                    <w:shd w:val="clear" w:color="auto" w:fill="auto"/>
                  </w:tcPr>
                  <w:p w:rsidR="00FD3521" w:rsidRPr="00FD3521" w:rsidRDefault="00FD3521" w:rsidP="004B4952">
                    <w:pPr>
                      <w:spacing w:line="240" w:lineRule="atLeast"/>
                      <w:jc w:val="right"/>
                      <w:rPr>
                        <w:sz w:val="16"/>
                        <w:szCs w:val="16"/>
                      </w:rPr>
                    </w:pPr>
                    <w:r w:rsidRPr="00FD3521">
                      <w:rPr>
                        <w:sz w:val="16"/>
                        <w:szCs w:val="16"/>
                      </w:rPr>
                      <w:t>0</w:t>
                    </w:r>
                  </w:p>
                </w:tc>
              </w:sdtContent>
            </w:sdt>
            <w:sdt>
              <w:sdtPr>
                <w:rPr>
                  <w:sz w:val="16"/>
                  <w:szCs w:val="16"/>
                </w:rPr>
                <w:alias w:val="使用权资产明细-累计折旧减少"/>
                <w:tag w:val="_GBC_e2ef0a3cb82e4a6ea7ad6837db07ee0a"/>
                <w:id w:val="957994820"/>
                <w:lock w:val="sdtLocked"/>
              </w:sdtPr>
              <w:sdtContent>
                <w:tc>
                  <w:tcPr>
                    <w:tcW w:w="604" w:type="pct"/>
                    <w:shd w:val="clear" w:color="auto" w:fill="auto"/>
                  </w:tcPr>
                  <w:p w:rsidR="00FD3521" w:rsidRPr="00FD3521" w:rsidRDefault="00FD3521" w:rsidP="004B4952">
                    <w:pPr>
                      <w:spacing w:line="240" w:lineRule="atLeast"/>
                      <w:jc w:val="right"/>
                      <w:rPr>
                        <w:sz w:val="16"/>
                        <w:szCs w:val="16"/>
                      </w:rPr>
                    </w:pPr>
                    <w:r w:rsidRPr="00FD3521">
                      <w:rPr>
                        <w:sz w:val="16"/>
                        <w:szCs w:val="16"/>
                      </w:rPr>
                      <w:t>0</w:t>
                    </w:r>
                  </w:p>
                </w:tc>
              </w:sdtContent>
            </w:sdt>
            <w:sdt>
              <w:sdtPr>
                <w:rPr>
                  <w:sz w:val="16"/>
                  <w:szCs w:val="16"/>
                </w:rPr>
                <w:alias w:val="使用权资产明细-累计折旧减少"/>
                <w:tag w:val="_GBC_e2ef0a3cb82e4a6ea7ad6837db07ee0a"/>
                <w:id w:val="-1104795311"/>
                <w:lock w:val="sdtLocked"/>
              </w:sdtPr>
              <w:sdtContent>
                <w:tc>
                  <w:tcPr>
                    <w:tcW w:w="553" w:type="pct"/>
                    <w:shd w:val="clear" w:color="auto" w:fill="auto"/>
                  </w:tcPr>
                  <w:p w:rsidR="00FD3521" w:rsidRPr="00FD3521" w:rsidRDefault="00FD3521" w:rsidP="004B4952">
                    <w:pPr>
                      <w:spacing w:line="240" w:lineRule="atLeast"/>
                      <w:jc w:val="right"/>
                      <w:rPr>
                        <w:sz w:val="16"/>
                        <w:szCs w:val="16"/>
                      </w:rPr>
                    </w:pPr>
                    <w:r w:rsidRPr="00FD3521">
                      <w:rPr>
                        <w:sz w:val="16"/>
                        <w:szCs w:val="16"/>
                      </w:rPr>
                      <w:t>0</w:t>
                    </w:r>
                  </w:p>
                </w:tc>
              </w:sdtContent>
            </w:sdt>
            <w:sdt>
              <w:sdtPr>
                <w:rPr>
                  <w:sz w:val="16"/>
                  <w:szCs w:val="16"/>
                </w:rPr>
                <w:alias w:val="使用权资产明细-累计折旧减少"/>
                <w:tag w:val="_GBC_e2ef0a3cb82e4a6ea7ad6837db07ee0a"/>
                <w:id w:val="1292168064"/>
                <w:lock w:val="sdtLocked"/>
              </w:sdtPr>
              <w:sdtContent>
                <w:tc>
                  <w:tcPr>
                    <w:tcW w:w="554" w:type="pct"/>
                    <w:shd w:val="clear" w:color="auto" w:fill="auto"/>
                  </w:tcPr>
                  <w:p w:rsidR="00FD3521" w:rsidRPr="00FD3521" w:rsidRDefault="00FD3521" w:rsidP="004B4952">
                    <w:pPr>
                      <w:spacing w:line="240" w:lineRule="atLeast"/>
                      <w:jc w:val="right"/>
                      <w:rPr>
                        <w:sz w:val="16"/>
                        <w:szCs w:val="16"/>
                      </w:rPr>
                    </w:pPr>
                    <w:r w:rsidRPr="00FD3521">
                      <w:rPr>
                        <w:sz w:val="16"/>
                        <w:szCs w:val="16"/>
                      </w:rPr>
                      <w:t>0</w:t>
                    </w:r>
                  </w:p>
                </w:tc>
              </w:sdtContent>
            </w:sdt>
            <w:sdt>
              <w:sdtPr>
                <w:rPr>
                  <w:sz w:val="16"/>
                  <w:szCs w:val="16"/>
                </w:rPr>
                <w:alias w:val="使用权资产累计折旧减少"/>
                <w:tag w:val="_GBC_5c1741ec6d6749fdb04311d780de1628"/>
                <w:id w:val="-249581019"/>
                <w:lock w:val="sdtLocked"/>
              </w:sdtPr>
              <w:sdtContent>
                <w:tc>
                  <w:tcPr>
                    <w:tcW w:w="484" w:type="pct"/>
                    <w:shd w:val="clear" w:color="auto" w:fill="auto"/>
                  </w:tcPr>
                  <w:p w:rsidR="00FD3521" w:rsidRPr="00FD3521" w:rsidRDefault="00FD3521" w:rsidP="004B4952">
                    <w:pPr>
                      <w:spacing w:line="240" w:lineRule="atLeast"/>
                      <w:jc w:val="right"/>
                      <w:rPr>
                        <w:sz w:val="16"/>
                        <w:szCs w:val="16"/>
                      </w:rPr>
                    </w:pPr>
                    <w:r w:rsidRPr="00FD3521">
                      <w:rPr>
                        <w:sz w:val="16"/>
                        <w:szCs w:val="16"/>
                      </w:rPr>
                      <w:t>0</w:t>
                    </w:r>
                  </w:p>
                </w:tc>
              </w:sdtContent>
            </w:sdt>
          </w:tr>
          <w:tr w:rsidR="00F84632" w:rsidTr="00F84632">
            <w:trPr>
              <w:trHeight w:val="284"/>
            </w:trPr>
            <w:sdt>
              <w:sdtPr>
                <w:rPr>
                  <w:sz w:val="16"/>
                  <w:szCs w:val="16"/>
                </w:rPr>
                <w:tag w:val="_PLD_79567bd0b797412896b3df2b101d8dd7"/>
                <w:id w:val="-1439912162"/>
                <w:lock w:val="sdtLocked"/>
              </w:sdtPr>
              <w:sdtContent>
                <w:tc>
                  <w:tcPr>
                    <w:tcW w:w="691" w:type="pct"/>
                    <w:shd w:val="clear" w:color="auto" w:fill="auto"/>
                    <w:vAlign w:val="center"/>
                  </w:tcPr>
                  <w:p w:rsidR="00FD3521" w:rsidRPr="00FD3521" w:rsidRDefault="00FD3521" w:rsidP="004B4952">
                    <w:pPr>
                      <w:spacing w:line="240" w:lineRule="atLeast"/>
                      <w:ind w:firstLineChars="200" w:firstLine="320"/>
                      <w:rPr>
                        <w:sz w:val="16"/>
                        <w:szCs w:val="16"/>
                      </w:rPr>
                    </w:pPr>
                    <w:r w:rsidRPr="00FD3521">
                      <w:rPr>
                        <w:rFonts w:hint="eastAsia"/>
                        <w:sz w:val="16"/>
                        <w:szCs w:val="16"/>
                      </w:rPr>
                      <w:t>4.</w:t>
                    </w:r>
                    <w:r w:rsidRPr="00FD3521">
                      <w:rPr>
                        <w:sz w:val="16"/>
                        <w:szCs w:val="16"/>
                      </w:rPr>
                      <w:t>期末余额</w:t>
                    </w:r>
                  </w:p>
                </w:tc>
              </w:sdtContent>
            </w:sdt>
            <w:sdt>
              <w:sdtPr>
                <w:rPr>
                  <w:sz w:val="16"/>
                  <w:szCs w:val="16"/>
                </w:rPr>
                <w:alias w:val="使用权资产明细-累计折旧"/>
                <w:tag w:val="_GBC_a77fb6c1cfca49759dec668e26296ff4"/>
                <w:id w:val="1817215921"/>
                <w:lock w:val="sdtLocked"/>
              </w:sdtPr>
              <w:sdtContent>
                <w:tc>
                  <w:tcPr>
                    <w:tcW w:w="512" w:type="pct"/>
                    <w:shd w:val="clear" w:color="auto" w:fill="auto"/>
                  </w:tcPr>
                  <w:p w:rsidR="00FD3521" w:rsidRPr="00FD3521" w:rsidRDefault="00FD3521" w:rsidP="004B4952">
                    <w:pPr>
                      <w:spacing w:line="240" w:lineRule="atLeast"/>
                      <w:jc w:val="right"/>
                      <w:rPr>
                        <w:sz w:val="16"/>
                        <w:szCs w:val="16"/>
                      </w:rPr>
                    </w:pPr>
                    <w:r w:rsidRPr="00FD3521">
                      <w:rPr>
                        <w:sz w:val="16"/>
                        <w:szCs w:val="16"/>
                      </w:rPr>
                      <w:t>14,863,645</w:t>
                    </w:r>
                  </w:p>
                </w:tc>
              </w:sdtContent>
            </w:sdt>
            <w:sdt>
              <w:sdtPr>
                <w:rPr>
                  <w:sz w:val="16"/>
                  <w:szCs w:val="16"/>
                </w:rPr>
                <w:alias w:val="使用权资产明细-累计折旧"/>
                <w:tag w:val="_GBC_a77fb6c1cfca49759dec668e26296ff4"/>
                <w:id w:val="2010408282"/>
                <w:lock w:val="sdtLocked"/>
              </w:sdtPr>
              <w:sdtContent>
                <w:tc>
                  <w:tcPr>
                    <w:tcW w:w="511" w:type="pct"/>
                    <w:shd w:val="clear" w:color="auto" w:fill="auto"/>
                  </w:tcPr>
                  <w:p w:rsidR="00FD3521" w:rsidRPr="00FD3521" w:rsidRDefault="00FD3521" w:rsidP="004B4952">
                    <w:pPr>
                      <w:spacing w:line="240" w:lineRule="atLeast"/>
                      <w:jc w:val="right"/>
                      <w:rPr>
                        <w:sz w:val="16"/>
                        <w:szCs w:val="16"/>
                      </w:rPr>
                    </w:pPr>
                    <w:r w:rsidRPr="00FD3521">
                      <w:rPr>
                        <w:sz w:val="16"/>
                        <w:szCs w:val="16"/>
                      </w:rPr>
                      <w:t>384,570,810</w:t>
                    </w:r>
                  </w:p>
                </w:tc>
              </w:sdtContent>
            </w:sdt>
            <w:sdt>
              <w:sdtPr>
                <w:rPr>
                  <w:sz w:val="16"/>
                  <w:szCs w:val="16"/>
                </w:rPr>
                <w:alias w:val="使用权资产明细-累计折旧"/>
                <w:tag w:val="_GBC_a77fb6c1cfca49759dec668e26296ff4"/>
                <w:id w:val="-1852098696"/>
                <w:lock w:val="sdtLocked"/>
              </w:sdtPr>
              <w:sdtContent>
                <w:tc>
                  <w:tcPr>
                    <w:tcW w:w="538" w:type="pct"/>
                    <w:shd w:val="clear" w:color="auto" w:fill="auto"/>
                  </w:tcPr>
                  <w:p w:rsidR="00FD3521" w:rsidRPr="00FD3521" w:rsidRDefault="00FD3521" w:rsidP="004B4952">
                    <w:pPr>
                      <w:spacing w:line="240" w:lineRule="atLeast"/>
                      <w:jc w:val="right"/>
                      <w:rPr>
                        <w:sz w:val="16"/>
                        <w:szCs w:val="16"/>
                      </w:rPr>
                    </w:pPr>
                    <w:r w:rsidRPr="00FD3521">
                      <w:rPr>
                        <w:sz w:val="16"/>
                        <w:szCs w:val="16"/>
                      </w:rPr>
                      <w:t>2,582,612</w:t>
                    </w:r>
                  </w:p>
                </w:tc>
              </w:sdtContent>
            </w:sdt>
            <w:sdt>
              <w:sdtPr>
                <w:rPr>
                  <w:sz w:val="16"/>
                  <w:szCs w:val="16"/>
                </w:rPr>
                <w:alias w:val="使用权资产明细-累计折旧"/>
                <w:tag w:val="_GBC_a77fb6c1cfca49759dec668e26296ff4"/>
                <w:id w:val="1268734688"/>
                <w:lock w:val="sdtLocked"/>
              </w:sdtPr>
              <w:sdtContent>
                <w:tc>
                  <w:tcPr>
                    <w:tcW w:w="553" w:type="pct"/>
                    <w:shd w:val="clear" w:color="auto" w:fill="auto"/>
                  </w:tcPr>
                  <w:p w:rsidR="00FD3521" w:rsidRPr="00FD3521" w:rsidRDefault="00FD3521" w:rsidP="004B4952">
                    <w:pPr>
                      <w:spacing w:line="240" w:lineRule="atLeast"/>
                      <w:jc w:val="right"/>
                      <w:rPr>
                        <w:sz w:val="16"/>
                        <w:szCs w:val="16"/>
                      </w:rPr>
                    </w:pPr>
                    <w:r w:rsidRPr="00FD3521">
                      <w:rPr>
                        <w:sz w:val="16"/>
                        <w:szCs w:val="16"/>
                      </w:rPr>
                      <w:t>18,019,680</w:t>
                    </w:r>
                  </w:p>
                </w:tc>
              </w:sdtContent>
            </w:sdt>
            <w:sdt>
              <w:sdtPr>
                <w:rPr>
                  <w:sz w:val="16"/>
                  <w:szCs w:val="16"/>
                </w:rPr>
                <w:alias w:val="使用权资产明细-累计折旧"/>
                <w:tag w:val="_GBC_a77fb6c1cfca49759dec668e26296ff4"/>
                <w:id w:val="-1799687179"/>
                <w:lock w:val="sdtLocked"/>
              </w:sdtPr>
              <w:sdtContent>
                <w:tc>
                  <w:tcPr>
                    <w:tcW w:w="604" w:type="pct"/>
                    <w:shd w:val="clear" w:color="auto" w:fill="auto"/>
                  </w:tcPr>
                  <w:p w:rsidR="00FD3521" w:rsidRPr="00FD3521" w:rsidRDefault="00FD3521" w:rsidP="004B4952">
                    <w:pPr>
                      <w:spacing w:line="240" w:lineRule="atLeast"/>
                      <w:jc w:val="right"/>
                      <w:rPr>
                        <w:sz w:val="16"/>
                        <w:szCs w:val="16"/>
                      </w:rPr>
                    </w:pPr>
                    <w:r w:rsidRPr="00FD3521">
                      <w:rPr>
                        <w:sz w:val="16"/>
                        <w:szCs w:val="16"/>
                      </w:rPr>
                      <w:t>24,554,261</w:t>
                    </w:r>
                  </w:p>
                </w:tc>
              </w:sdtContent>
            </w:sdt>
            <w:sdt>
              <w:sdtPr>
                <w:rPr>
                  <w:sz w:val="16"/>
                  <w:szCs w:val="16"/>
                </w:rPr>
                <w:alias w:val="使用权资产明细-累计折旧"/>
                <w:tag w:val="_GBC_a77fb6c1cfca49759dec668e26296ff4"/>
                <w:id w:val="1517580715"/>
                <w:lock w:val="sdtLocked"/>
              </w:sdtPr>
              <w:sdtContent>
                <w:tc>
                  <w:tcPr>
                    <w:tcW w:w="553" w:type="pct"/>
                    <w:shd w:val="clear" w:color="auto" w:fill="auto"/>
                  </w:tcPr>
                  <w:p w:rsidR="00FD3521" w:rsidRPr="00FD3521" w:rsidRDefault="00FD3521" w:rsidP="004B4952">
                    <w:pPr>
                      <w:spacing w:line="240" w:lineRule="atLeast"/>
                      <w:jc w:val="right"/>
                      <w:rPr>
                        <w:sz w:val="16"/>
                        <w:szCs w:val="16"/>
                      </w:rPr>
                    </w:pPr>
                    <w:r w:rsidRPr="00FD3521">
                      <w:rPr>
                        <w:sz w:val="16"/>
                        <w:szCs w:val="16"/>
                      </w:rPr>
                      <w:t>1,483,689</w:t>
                    </w:r>
                  </w:p>
                </w:tc>
              </w:sdtContent>
            </w:sdt>
            <w:sdt>
              <w:sdtPr>
                <w:rPr>
                  <w:sz w:val="16"/>
                  <w:szCs w:val="16"/>
                </w:rPr>
                <w:alias w:val="使用权资产明细-累计折旧"/>
                <w:tag w:val="_GBC_a77fb6c1cfca49759dec668e26296ff4"/>
                <w:id w:val="390160025"/>
                <w:lock w:val="sdtLocked"/>
              </w:sdtPr>
              <w:sdtContent>
                <w:tc>
                  <w:tcPr>
                    <w:tcW w:w="554" w:type="pct"/>
                    <w:shd w:val="clear" w:color="auto" w:fill="auto"/>
                  </w:tcPr>
                  <w:p w:rsidR="00FD3521" w:rsidRPr="00FD3521" w:rsidRDefault="00FD3521" w:rsidP="004B4952">
                    <w:pPr>
                      <w:spacing w:line="240" w:lineRule="atLeast"/>
                      <w:jc w:val="right"/>
                      <w:rPr>
                        <w:sz w:val="16"/>
                        <w:szCs w:val="16"/>
                      </w:rPr>
                    </w:pPr>
                    <w:r w:rsidRPr="00FD3521">
                      <w:rPr>
                        <w:sz w:val="16"/>
                        <w:szCs w:val="16"/>
                      </w:rPr>
                      <w:t>12,589,119</w:t>
                    </w:r>
                  </w:p>
                </w:tc>
              </w:sdtContent>
            </w:sdt>
            <w:sdt>
              <w:sdtPr>
                <w:rPr>
                  <w:sz w:val="16"/>
                  <w:szCs w:val="16"/>
                </w:rPr>
                <w:alias w:val="使用权资产累计折旧"/>
                <w:tag w:val="_GBC_0752071ca86f40d997c453d76ec5f1db"/>
                <w:id w:val="1560280462"/>
                <w:lock w:val="sdtLocked"/>
              </w:sdtPr>
              <w:sdtContent>
                <w:tc>
                  <w:tcPr>
                    <w:tcW w:w="484" w:type="pct"/>
                    <w:shd w:val="clear" w:color="auto" w:fill="auto"/>
                  </w:tcPr>
                  <w:p w:rsidR="00FD3521" w:rsidRPr="00FD3521" w:rsidRDefault="00FD3521" w:rsidP="004B4952">
                    <w:pPr>
                      <w:spacing w:line="240" w:lineRule="atLeast"/>
                      <w:jc w:val="right"/>
                      <w:rPr>
                        <w:sz w:val="16"/>
                        <w:szCs w:val="16"/>
                      </w:rPr>
                    </w:pPr>
                    <w:r w:rsidRPr="00FD3521">
                      <w:rPr>
                        <w:sz w:val="16"/>
                        <w:szCs w:val="16"/>
                      </w:rPr>
                      <w:t>458,663,816</w:t>
                    </w:r>
                  </w:p>
                </w:tc>
              </w:sdtContent>
            </w:sdt>
          </w:tr>
          <w:tr w:rsidR="00F84632" w:rsidTr="00F84632">
            <w:trPr>
              <w:trHeight w:val="284"/>
            </w:trPr>
            <w:sdt>
              <w:sdtPr>
                <w:rPr>
                  <w:sz w:val="16"/>
                  <w:szCs w:val="16"/>
                </w:rPr>
                <w:tag w:val="_PLD_a32c53282c7a49e1a1747c76e44e7471"/>
                <w:id w:val="-1929577502"/>
                <w:lock w:val="sdtLocked"/>
              </w:sdtPr>
              <w:sdtContent>
                <w:tc>
                  <w:tcPr>
                    <w:tcW w:w="691" w:type="pct"/>
                    <w:shd w:val="clear" w:color="auto" w:fill="auto"/>
                    <w:vAlign w:val="center"/>
                  </w:tcPr>
                  <w:p w:rsidR="00FD3521" w:rsidRPr="00FD3521" w:rsidRDefault="00FD3521" w:rsidP="004B4952">
                    <w:pPr>
                      <w:spacing w:line="240" w:lineRule="atLeast"/>
                      <w:rPr>
                        <w:sz w:val="16"/>
                        <w:szCs w:val="16"/>
                      </w:rPr>
                    </w:pPr>
                    <w:r w:rsidRPr="00FD3521">
                      <w:rPr>
                        <w:sz w:val="16"/>
                        <w:szCs w:val="16"/>
                      </w:rPr>
                      <w:t>三、减值准备</w:t>
                    </w:r>
                  </w:p>
                </w:tc>
              </w:sdtContent>
            </w:sdt>
            <w:tc>
              <w:tcPr>
                <w:tcW w:w="512" w:type="pct"/>
                <w:shd w:val="clear" w:color="auto" w:fill="auto"/>
              </w:tcPr>
              <w:p w:rsidR="00FD3521" w:rsidRPr="00FD3521" w:rsidRDefault="00FD3521" w:rsidP="004B4952">
                <w:pPr>
                  <w:spacing w:line="240" w:lineRule="atLeast"/>
                  <w:jc w:val="right"/>
                  <w:rPr>
                    <w:sz w:val="16"/>
                    <w:szCs w:val="16"/>
                  </w:rPr>
                </w:pPr>
                <w:r w:rsidRPr="00FD3521">
                  <w:rPr>
                    <w:sz w:val="16"/>
                    <w:szCs w:val="16"/>
                  </w:rPr>
                  <w:t> </w:t>
                </w:r>
              </w:p>
            </w:tc>
            <w:tc>
              <w:tcPr>
                <w:tcW w:w="511" w:type="pct"/>
                <w:shd w:val="clear" w:color="auto" w:fill="auto"/>
              </w:tcPr>
              <w:p w:rsidR="00FD3521" w:rsidRPr="00FD3521" w:rsidRDefault="00FD3521" w:rsidP="004B4952">
                <w:pPr>
                  <w:spacing w:line="240" w:lineRule="atLeast"/>
                  <w:jc w:val="right"/>
                  <w:rPr>
                    <w:sz w:val="16"/>
                    <w:szCs w:val="16"/>
                  </w:rPr>
                </w:pPr>
                <w:r w:rsidRPr="00FD3521">
                  <w:rPr>
                    <w:sz w:val="16"/>
                    <w:szCs w:val="16"/>
                  </w:rPr>
                  <w:t> </w:t>
                </w:r>
              </w:p>
            </w:tc>
            <w:tc>
              <w:tcPr>
                <w:tcW w:w="538" w:type="pct"/>
                <w:shd w:val="clear" w:color="auto" w:fill="auto"/>
              </w:tcPr>
              <w:p w:rsidR="00FD3521" w:rsidRPr="00FD3521" w:rsidRDefault="00FD3521" w:rsidP="004B4952">
                <w:pPr>
                  <w:spacing w:line="240" w:lineRule="atLeast"/>
                  <w:jc w:val="right"/>
                  <w:rPr>
                    <w:sz w:val="16"/>
                    <w:szCs w:val="16"/>
                  </w:rPr>
                </w:pPr>
                <w:r w:rsidRPr="00FD3521">
                  <w:rPr>
                    <w:sz w:val="16"/>
                    <w:szCs w:val="16"/>
                  </w:rPr>
                  <w:t> </w:t>
                </w:r>
              </w:p>
            </w:tc>
            <w:tc>
              <w:tcPr>
                <w:tcW w:w="553" w:type="pct"/>
                <w:shd w:val="clear" w:color="auto" w:fill="auto"/>
              </w:tcPr>
              <w:p w:rsidR="00FD3521" w:rsidRPr="00FD3521" w:rsidRDefault="00FD3521" w:rsidP="004B4952">
                <w:pPr>
                  <w:spacing w:line="240" w:lineRule="atLeast"/>
                  <w:jc w:val="right"/>
                  <w:rPr>
                    <w:sz w:val="16"/>
                    <w:szCs w:val="16"/>
                  </w:rPr>
                </w:pPr>
                <w:r w:rsidRPr="00FD3521">
                  <w:rPr>
                    <w:sz w:val="16"/>
                    <w:szCs w:val="16"/>
                  </w:rPr>
                  <w:t> </w:t>
                </w:r>
              </w:p>
            </w:tc>
            <w:tc>
              <w:tcPr>
                <w:tcW w:w="604" w:type="pct"/>
                <w:shd w:val="clear" w:color="auto" w:fill="auto"/>
              </w:tcPr>
              <w:p w:rsidR="00FD3521" w:rsidRPr="00FD3521" w:rsidRDefault="00FD3521" w:rsidP="004B4952">
                <w:pPr>
                  <w:spacing w:line="240" w:lineRule="atLeast"/>
                  <w:jc w:val="right"/>
                  <w:rPr>
                    <w:sz w:val="16"/>
                    <w:szCs w:val="16"/>
                  </w:rPr>
                </w:pPr>
                <w:r w:rsidRPr="00FD3521">
                  <w:rPr>
                    <w:sz w:val="16"/>
                    <w:szCs w:val="16"/>
                  </w:rPr>
                  <w:t> </w:t>
                </w:r>
              </w:p>
            </w:tc>
            <w:tc>
              <w:tcPr>
                <w:tcW w:w="553" w:type="pct"/>
                <w:shd w:val="clear" w:color="auto" w:fill="auto"/>
              </w:tcPr>
              <w:p w:rsidR="00FD3521" w:rsidRPr="00FD3521" w:rsidRDefault="00FD3521" w:rsidP="004B4952">
                <w:pPr>
                  <w:spacing w:line="240" w:lineRule="atLeast"/>
                  <w:jc w:val="right"/>
                  <w:rPr>
                    <w:sz w:val="16"/>
                    <w:szCs w:val="16"/>
                  </w:rPr>
                </w:pPr>
                <w:r w:rsidRPr="00FD3521">
                  <w:rPr>
                    <w:sz w:val="16"/>
                    <w:szCs w:val="16"/>
                  </w:rPr>
                  <w:t> </w:t>
                </w:r>
              </w:p>
            </w:tc>
            <w:tc>
              <w:tcPr>
                <w:tcW w:w="554" w:type="pct"/>
                <w:shd w:val="clear" w:color="auto" w:fill="auto"/>
              </w:tcPr>
              <w:p w:rsidR="00FD3521" w:rsidRPr="00FD3521" w:rsidRDefault="00FD3521" w:rsidP="004B4952">
                <w:pPr>
                  <w:spacing w:line="240" w:lineRule="atLeast"/>
                  <w:jc w:val="right"/>
                  <w:rPr>
                    <w:sz w:val="16"/>
                    <w:szCs w:val="16"/>
                  </w:rPr>
                </w:pPr>
                <w:r w:rsidRPr="00FD3521">
                  <w:rPr>
                    <w:sz w:val="16"/>
                    <w:szCs w:val="16"/>
                  </w:rPr>
                  <w:t> </w:t>
                </w:r>
              </w:p>
            </w:tc>
            <w:tc>
              <w:tcPr>
                <w:tcW w:w="484" w:type="pct"/>
                <w:shd w:val="clear" w:color="auto" w:fill="auto"/>
              </w:tcPr>
              <w:p w:rsidR="00FD3521" w:rsidRPr="00FD3521" w:rsidRDefault="00FD3521" w:rsidP="004B4952">
                <w:pPr>
                  <w:spacing w:line="240" w:lineRule="atLeast"/>
                  <w:jc w:val="right"/>
                  <w:rPr>
                    <w:sz w:val="16"/>
                    <w:szCs w:val="16"/>
                  </w:rPr>
                </w:pPr>
                <w:r w:rsidRPr="00FD3521">
                  <w:rPr>
                    <w:sz w:val="16"/>
                    <w:szCs w:val="16"/>
                  </w:rPr>
                  <w:t> </w:t>
                </w:r>
              </w:p>
            </w:tc>
          </w:tr>
          <w:tr w:rsidR="00F84632" w:rsidTr="00F84632">
            <w:trPr>
              <w:trHeight w:val="284"/>
            </w:trPr>
            <w:sdt>
              <w:sdtPr>
                <w:rPr>
                  <w:sz w:val="16"/>
                  <w:szCs w:val="16"/>
                </w:rPr>
                <w:tag w:val="_PLD_c525722dd32447e7b903d6dfb9a3e95e"/>
                <w:id w:val="1834420762"/>
                <w:lock w:val="sdtLocked"/>
              </w:sdtPr>
              <w:sdtContent>
                <w:tc>
                  <w:tcPr>
                    <w:tcW w:w="691" w:type="pct"/>
                    <w:shd w:val="clear" w:color="auto" w:fill="auto"/>
                    <w:vAlign w:val="center"/>
                  </w:tcPr>
                  <w:p w:rsidR="00FD3521" w:rsidRPr="00FD3521" w:rsidRDefault="00FD3521" w:rsidP="004B4952">
                    <w:pPr>
                      <w:spacing w:line="240" w:lineRule="atLeast"/>
                      <w:ind w:firstLineChars="200" w:firstLine="320"/>
                      <w:rPr>
                        <w:sz w:val="16"/>
                        <w:szCs w:val="16"/>
                      </w:rPr>
                    </w:pPr>
                    <w:r w:rsidRPr="00FD3521">
                      <w:rPr>
                        <w:rFonts w:hint="eastAsia"/>
                        <w:sz w:val="16"/>
                        <w:szCs w:val="16"/>
                      </w:rPr>
                      <w:t>1.期</w:t>
                    </w:r>
                    <w:r w:rsidRPr="00FD3521">
                      <w:rPr>
                        <w:sz w:val="16"/>
                        <w:szCs w:val="16"/>
                      </w:rPr>
                      <w:t>初余额</w:t>
                    </w:r>
                  </w:p>
                </w:tc>
              </w:sdtContent>
            </w:sdt>
            <w:sdt>
              <w:sdtPr>
                <w:rPr>
                  <w:sz w:val="16"/>
                  <w:szCs w:val="16"/>
                </w:rPr>
                <w:alias w:val="使用权资产明细-减值准备"/>
                <w:tag w:val="_GBC_879ef9206a9d4d5c9d4259f630ca6076"/>
                <w:id w:val="-507987158"/>
                <w:lock w:val="sdtLocked"/>
              </w:sdtPr>
              <w:sdtContent>
                <w:tc>
                  <w:tcPr>
                    <w:tcW w:w="512" w:type="pct"/>
                    <w:shd w:val="clear" w:color="auto" w:fill="auto"/>
                  </w:tcPr>
                  <w:p w:rsidR="00FD3521" w:rsidRPr="00FD3521" w:rsidRDefault="00FD3521" w:rsidP="004B4952">
                    <w:pPr>
                      <w:spacing w:line="240" w:lineRule="atLeast"/>
                      <w:jc w:val="right"/>
                      <w:rPr>
                        <w:sz w:val="16"/>
                        <w:szCs w:val="16"/>
                      </w:rPr>
                    </w:pPr>
                    <w:r w:rsidRPr="00FD3521">
                      <w:rPr>
                        <w:sz w:val="16"/>
                        <w:szCs w:val="16"/>
                      </w:rPr>
                      <w:t>0</w:t>
                    </w:r>
                  </w:p>
                </w:tc>
              </w:sdtContent>
            </w:sdt>
            <w:sdt>
              <w:sdtPr>
                <w:rPr>
                  <w:sz w:val="16"/>
                  <w:szCs w:val="16"/>
                </w:rPr>
                <w:alias w:val="使用权资产明细-减值准备"/>
                <w:tag w:val="_GBC_879ef9206a9d4d5c9d4259f630ca6076"/>
                <w:id w:val="-1531643491"/>
                <w:lock w:val="sdtLocked"/>
              </w:sdtPr>
              <w:sdtContent>
                <w:tc>
                  <w:tcPr>
                    <w:tcW w:w="511" w:type="pct"/>
                    <w:shd w:val="clear" w:color="auto" w:fill="auto"/>
                  </w:tcPr>
                  <w:p w:rsidR="00FD3521" w:rsidRPr="00FD3521" w:rsidRDefault="00FD3521" w:rsidP="004B4952">
                    <w:pPr>
                      <w:spacing w:line="240" w:lineRule="atLeast"/>
                      <w:jc w:val="right"/>
                      <w:rPr>
                        <w:sz w:val="16"/>
                        <w:szCs w:val="16"/>
                      </w:rPr>
                    </w:pPr>
                    <w:r w:rsidRPr="00FD3521">
                      <w:rPr>
                        <w:sz w:val="16"/>
                        <w:szCs w:val="16"/>
                      </w:rPr>
                      <w:t>0</w:t>
                    </w:r>
                  </w:p>
                </w:tc>
              </w:sdtContent>
            </w:sdt>
            <w:sdt>
              <w:sdtPr>
                <w:rPr>
                  <w:sz w:val="16"/>
                  <w:szCs w:val="16"/>
                </w:rPr>
                <w:alias w:val="使用权资产明细-减值准备"/>
                <w:tag w:val="_GBC_879ef9206a9d4d5c9d4259f630ca6076"/>
                <w:id w:val="2098286416"/>
                <w:lock w:val="sdtLocked"/>
              </w:sdtPr>
              <w:sdtContent>
                <w:tc>
                  <w:tcPr>
                    <w:tcW w:w="538" w:type="pct"/>
                    <w:shd w:val="clear" w:color="auto" w:fill="auto"/>
                  </w:tcPr>
                  <w:p w:rsidR="00FD3521" w:rsidRPr="00FD3521" w:rsidRDefault="00FD3521" w:rsidP="004B4952">
                    <w:pPr>
                      <w:spacing w:line="240" w:lineRule="atLeast"/>
                      <w:jc w:val="right"/>
                      <w:rPr>
                        <w:sz w:val="16"/>
                        <w:szCs w:val="16"/>
                      </w:rPr>
                    </w:pPr>
                    <w:r w:rsidRPr="00FD3521">
                      <w:rPr>
                        <w:sz w:val="16"/>
                        <w:szCs w:val="16"/>
                      </w:rPr>
                      <w:t>0</w:t>
                    </w:r>
                  </w:p>
                </w:tc>
              </w:sdtContent>
            </w:sdt>
            <w:sdt>
              <w:sdtPr>
                <w:rPr>
                  <w:sz w:val="16"/>
                  <w:szCs w:val="16"/>
                </w:rPr>
                <w:alias w:val="使用权资产明细-减值准备"/>
                <w:tag w:val="_GBC_879ef9206a9d4d5c9d4259f630ca6076"/>
                <w:id w:val="-71273073"/>
                <w:lock w:val="sdtLocked"/>
              </w:sdtPr>
              <w:sdtContent>
                <w:tc>
                  <w:tcPr>
                    <w:tcW w:w="553" w:type="pct"/>
                    <w:shd w:val="clear" w:color="auto" w:fill="auto"/>
                  </w:tcPr>
                  <w:p w:rsidR="00FD3521" w:rsidRPr="00FD3521" w:rsidRDefault="00FD3521" w:rsidP="004B4952">
                    <w:pPr>
                      <w:spacing w:line="240" w:lineRule="atLeast"/>
                      <w:jc w:val="right"/>
                      <w:rPr>
                        <w:sz w:val="16"/>
                        <w:szCs w:val="16"/>
                      </w:rPr>
                    </w:pPr>
                    <w:r w:rsidRPr="00FD3521">
                      <w:rPr>
                        <w:sz w:val="16"/>
                        <w:szCs w:val="16"/>
                      </w:rPr>
                      <w:t>0</w:t>
                    </w:r>
                  </w:p>
                </w:tc>
              </w:sdtContent>
            </w:sdt>
            <w:sdt>
              <w:sdtPr>
                <w:rPr>
                  <w:sz w:val="16"/>
                  <w:szCs w:val="16"/>
                </w:rPr>
                <w:alias w:val="使用权资产明细-减值准备"/>
                <w:tag w:val="_GBC_879ef9206a9d4d5c9d4259f630ca6076"/>
                <w:id w:val="1435327033"/>
                <w:lock w:val="sdtLocked"/>
              </w:sdtPr>
              <w:sdtContent>
                <w:tc>
                  <w:tcPr>
                    <w:tcW w:w="604" w:type="pct"/>
                    <w:shd w:val="clear" w:color="auto" w:fill="auto"/>
                  </w:tcPr>
                  <w:p w:rsidR="00FD3521" w:rsidRPr="00FD3521" w:rsidRDefault="00FD3521" w:rsidP="004B4952">
                    <w:pPr>
                      <w:spacing w:line="240" w:lineRule="atLeast"/>
                      <w:jc w:val="right"/>
                      <w:rPr>
                        <w:sz w:val="16"/>
                        <w:szCs w:val="16"/>
                      </w:rPr>
                    </w:pPr>
                    <w:r w:rsidRPr="00FD3521">
                      <w:rPr>
                        <w:sz w:val="16"/>
                        <w:szCs w:val="16"/>
                      </w:rPr>
                      <w:t>0</w:t>
                    </w:r>
                  </w:p>
                </w:tc>
              </w:sdtContent>
            </w:sdt>
            <w:sdt>
              <w:sdtPr>
                <w:rPr>
                  <w:sz w:val="16"/>
                  <w:szCs w:val="16"/>
                </w:rPr>
                <w:alias w:val="使用权资产明细-减值准备"/>
                <w:tag w:val="_GBC_879ef9206a9d4d5c9d4259f630ca6076"/>
                <w:id w:val="-1569033955"/>
                <w:lock w:val="sdtLocked"/>
              </w:sdtPr>
              <w:sdtContent>
                <w:tc>
                  <w:tcPr>
                    <w:tcW w:w="553" w:type="pct"/>
                    <w:shd w:val="clear" w:color="auto" w:fill="auto"/>
                  </w:tcPr>
                  <w:p w:rsidR="00FD3521" w:rsidRPr="00FD3521" w:rsidRDefault="00FD3521" w:rsidP="004B4952">
                    <w:pPr>
                      <w:spacing w:line="240" w:lineRule="atLeast"/>
                      <w:jc w:val="right"/>
                      <w:rPr>
                        <w:sz w:val="16"/>
                        <w:szCs w:val="16"/>
                      </w:rPr>
                    </w:pPr>
                    <w:r w:rsidRPr="00FD3521">
                      <w:rPr>
                        <w:sz w:val="16"/>
                        <w:szCs w:val="16"/>
                      </w:rPr>
                      <w:t>0</w:t>
                    </w:r>
                  </w:p>
                </w:tc>
              </w:sdtContent>
            </w:sdt>
            <w:sdt>
              <w:sdtPr>
                <w:rPr>
                  <w:sz w:val="16"/>
                  <w:szCs w:val="16"/>
                </w:rPr>
                <w:alias w:val="使用权资产明细-减值准备"/>
                <w:tag w:val="_GBC_879ef9206a9d4d5c9d4259f630ca6076"/>
                <w:id w:val="-1172872132"/>
                <w:lock w:val="sdtLocked"/>
              </w:sdtPr>
              <w:sdtContent>
                <w:tc>
                  <w:tcPr>
                    <w:tcW w:w="554" w:type="pct"/>
                    <w:shd w:val="clear" w:color="auto" w:fill="auto"/>
                  </w:tcPr>
                  <w:p w:rsidR="00FD3521" w:rsidRPr="00FD3521" w:rsidRDefault="00FD3521" w:rsidP="004B4952">
                    <w:pPr>
                      <w:spacing w:line="240" w:lineRule="atLeast"/>
                      <w:jc w:val="right"/>
                      <w:rPr>
                        <w:sz w:val="16"/>
                        <w:szCs w:val="16"/>
                      </w:rPr>
                    </w:pPr>
                    <w:r w:rsidRPr="00FD3521">
                      <w:rPr>
                        <w:sz w:val="16"/>
                        <w:szCs w:val="16"/>
                      </w:rPr>
                      <w:t>0</w:t>
                    </w:r>
                  </w:p>
                </w:tc>
              </w:sdtContent>
            </w:sdt>
            <w:sdt>
              <w:sdtPr>
                <w:rPr>
                  <w:sz w:val="16"/>
                  <w:szCs w:val="16"/>
                </w:rPr>
                <w:alias w:val="使用权资产减值准备"/>
                <w:tag w:val="_GBC_3fada38a1dba4837be935c7e5d414e8b"/>
                <w:id w:val="-1380014845"/>
                <w:lock w:val="sdtLocked"/>
              </w:sdtPr>
              <w:sdtContent>
                <w:tc>
                  <w:tcPr>
                    <w:tcW w:w="484" w:type="pct"/>
                    <w:shd w:val="clear" w:color="auto" w:fill="auto"/>
                  </w:tcPr>
                  <w:p w:rsidR="00FD3521" w:rsidRPr="00FD3521" w:rsidRDefault="00FD3521" w:rsidP="004B4952">
                    <w:pPr>
                      <w:spacing w:line="240" w:lineRule="atLeast"/>
                      <w:jc w:val="right"/>
                      <w:rPr>
                        <w:sz w:val="16"/>
                        <w:szCs w:val="16"/>
                      </w:rPr>
                    </w:pPr>
                    <w:r w:rsidRPr="00FD3521">
                      <w:rPr>
                        <w:sz w:val="16"/>
                        <w:szCs w:val="16"/>
                      </w:rPr>
                      <w:t>0</w:t>
                    </w:r>
                  </w:p>
                </w:tc>
              </w:sdtContent>
            </w:sdt>
          </w:tr>
          <w:tr w:rsidR="00F84632" w:rsidTr="00F84632">
            <w:trPr>
              <w:trHeight w:val="284"/>
            </w:trPr>
            <w:sdt>
              <w:sdtPr>
                <w:rPr>
                  <w:sz w:val="16"/>
                  <w:szCs w:val="16"/>
                </w:rPr>
                <w:tag w:val="_PLD_1326d35dee514a94975331999134ee01"/>
                <w:id w:val="-753435460"/>
                <w:lock w:val="sdtLocked"/>
              </w:sdtPr>
              <w:sdtContent>
                <w:tc>
                  <w:tcPr>
                    <w:tcW w:w="691" w:type="pct"/>
                    <w:shd w:val="clear" w:color="auto" w:fill="auto"/>
                    <w:vAlign w:val="center"/>
                  </w:tcPr>
                  <w:p w:rsidR="00FD3521" w:rsidRPr="00FD3521" w:rsidRDefault="00FD3521" w:rsidP="004B4952">
                    <w:pPr>
                      <w:spacing w:line="240" w:lineRule="atLeast"/>
                      <w:ind w:firstLineChars="200" w:firstLine="320"/>
                      <w:rPr>
                        <w:sz w:val="16"/>
                        <w:szCs w:val="16"/>
                      </w:rPr>
                    </w:pPr>
                    <w:r w:rsidRPr="00FD3521">
                      <w:rPr>
                        <w:sz w:val="16"/>
                        <w:szCs w:val="16"/>
                      </w:rPr>
                      <w:t>2.本期增加</w:t>
                    </w:r>
                    <w:r w:rsidRPr="00FD3521">
                      <w:rPr>
                        <w:rFonts w:hint="eastAsia"/>
                        <w:sz w:val="16"/>
                        <w:szCs w:val="16"/>
                      </w:rPr>
                      <w:t>金额</w:t>
                    </w:r>
                  </w:p>
                </w:tc>
              </w:sdtContent>
            </w:sdt>
            <w:sdt>
              <w:sdtPr>
                <w:rPr>
                  <w:sz w:val="16"/>
                  <w:szCs w:val="16"/>
                </w:rPr>
                <w:alias w:val="使用权资产明细-减值准备增加"/>
                <w:tag w:val="_GBC_3b26ec4d090d4b14bd96faa96fe9aa1f"/>
                <w:id w:val="-1901664656"/>
                <w:lock w:val="sdtLocked"/>
              </w:sdtPr>
              <w:sdtContent>
                <w:tc>
                  <w:tcPr>
                    <w:tcW w:w="512" w:type="pct"/>
                    <w:shd w:val="clear" w:color="auto" w:fill="auto"/>
                  </w:tcPr>
                  <w:p w:rsidR="00FD3521" w:rsidRPr="00FD3521" w:rsidRDefault="00FD3521" w:rsidP="004B4952">
                    <w:pPr>
                      <w:spacing w:line="240" w:lineRule="atLeast"/>
                      <w:jc w:val="right"/>
                      <w:rPr>
                        <w:sz w:val="16"/>
                        <w:szCs w:val="16"/>
                      </w:rPr>
                    </w:pPr>
                    <w:r w:rsidRPr="00FD3521">
                      <w:rPr>
                        <w:sz w:val="16"/>
                        <w:szCs w:val="16"/>
                      </w:rPr>
                      <w:t>0</w:t>
                    </w:r>
                  </w:p>
                </w:tc>
              </w:sdtContent>
            </w:sdt>
            <w:sdt>
              <w:sdtPr>
                <w:rPr>
                  <w:sz w:val="16"/>
                  <w:szCs w:val="16"/>
                </w:rPr>
                <w:alias w:val="使用权资产明细-减值准备增加"/>
                <w:tag w:val="_GBC_3b26ec4d090d4b14bd96faa96fe9aa1f"/>
                <w:id w:val="-776178363"/>
                <w:lock w:val="sdtLocked"/>
              </w:sdtPr>
              <w:sdtContent>
                <w:tc>
                  <w:tcPr>
                    <w:tcW w:w="511" w:type="pct"/>
                    <w:shd w:val="clear" w:color="auto" w:fill="auto"/>
                  </w:tcPr>
                  <w:p w:rsidR="00FD3521" w:rsidRPr="00FD3521" w:rsidRDefault="00FD3521" w:rsidP="004B4952">
                    <w:pPr>
                      <w:spacing w:line="240" w:lineRule="atLeast"/>
                      <w:jc w:val="right"/>
                      <w:rPr>
                        <w:sz w:val="16"/>
                        <w:szCs w:val="16"/>
                      </w:rPr>
                    </w:pPr>
                    <w:r w:rsidRPr="00FD3521">
                      <w:rPr>
                        <w:sz w:val="16"/>
                        <w:szCs w:val="16"/>
                      </w:rPr>
                      <w:t>0</w:t>
                    </w:r>
                  </w:p>
                </w:tc>
              </w:sdtContent>
            </w:sdt>
            <w:sdt>
              <w:sdtPr>
                <w:rPr>
                  <w:sz w:val="16"/>
                  <w:szCs w:val="16"/>
                </w:rPr>
                <w:alias w:val="使用权资产明细-减值准备增加"/>
                <w:tag w:val="_GBC_3b26ec4d090d4b14bd96faa96fe9aa1f"/>
                <w:id w:val="803428441"/>
                <w:lock w:val="sdtLocked"/>
              </w:sdtPr>
              <w:sdtContent>
                <w:tc>
                  <w:tcPr>
                    <w:tcW w:w="538" w:type="pct"/>
                    <w:shd w:val="clear" w:color="auto" w:fill="auto"/>
                  </w:tcPr>
                  <w:p w:rsidR="00FD3521" w:rsidRPr="00FD3521" w:rsidRDefault="00FD3521" w:rsidP="004B4952">
                    <w:pPr>
                      <w:spacing w:line="240" w:lineRule="atLeast"/>
                      <w:jc w:val="right"/>
                      <w:rPr>
                        <w:sz w:val="16"/>
                        <w:szCs w:val="16"/>
                      </w:rPr>
                    </w:pPr>
                    <w:r w:rsidRPr="00FD3521">
                      <w:rPr>
                        <w:sz w:val="16"/>
                        <w:szCs w:val="16"/>
                      </w:rPr>
                      <w:t>0</w:t>
                    </w:r>
                  </w:p>
                </w:tc>
              </w:sdtContent>
            </w:sdt>
            <w:sdt>
              <w:sdtPr>
                <w:rPr>
                  <w:sz w:val="16"/>
                  <w:szCs w:val="16"/>
                </w:rPr>
                <w:alias w:val="使用权资产明细-减值准备增加"/>
                <w:tag w:val="_GBC_3b26ec4d090d4b14bd96faa96fe9aa1f"/>
                <w:id w:val="-1302609170"/>
                <w:lock w:val="sdtLocked"/>
              </w:sdtPr>
              <w:sdtContent>
                <w:tc>
                  <w:tcPr>
                    <w:tcW w:w="553" w:type="pct"/>
                    <w:shd w:val="clear" w:color="auto" w:fill="auto"/>
                  </w:tcPr>
                  <w:p w:rsidR="00FD3521" w:rsidRPr="00FD3521" w:rsidRDefault="00FD3521" w:rsidP="004B4952">
                    <w:pPr>
                      <w:spacing w:line="240" w:lineRule="atLeast"/>
                      <w:jc w:val="right"/>
                      <w:rPr>
                        <w:sz w:val="16"/>
                        <w:szCs w:val="16"/>
                      </w:rPr>
                    </w:pPr>
                    <w:r w:rsidRPr="00FD3521">
                      <w:rPr>
                        <w:sz w:val="16"/>
                        <w:szCs w:val="16"/>
                      </w:rPr>
                      <w:t>0</w:t>
                    </w:r>
                  </w:p>
                </w:tc>
              </w:sdtContent>
            </w:sdt>
            <w:sdt>
              <w:sdtPr>
                <w:rPr>
                  <w:sz w:val="16"/>
                  <w:szCs w:val="16"/>
                </w:rPr>
                <w:alias w:val="使用权资产明细-减值准备增加"/>
                <w:tag w:val="_GBC_3b26ec4d090d4b14bd96faa96fe9aa1f"/>
                <w:id w:val="-2096228531"/>
                <w:lock w:val="sdtLocked"/>
              </w:sdtPr>
              <w:sdtContent>
                <w:tc>
                  <w:tcPr>
                    <w:tcW w:w="604" w:type="pct"/>
                    <w:shd w:val="clear" w:color="auto" w:fill="auto"/>
                  </w:tcPr>
                  <w:p w:rsidR="00FD3521" w:rsidRPr="00FD3521" w:rsidRDefault="00FD3521" w:rsidP="004B4952">
                    <w:pPr>
                      <w:spacing w:line="240" w:lineRule="atLeast"/>
                      <w:jc w:val="right"/>
                      <w:rPr>
                        <w:sz w:val="16"/>
                        <w:szCs w:val="16"/>
                      </w:rPr>
                    </w:pPr>
                    <w:r w:rsidRPr="00FD3521">
                      <w:rPr>
                        <w:sz w:val="16"/>
                        <w:szCs w:val="16"/>
                      </w:rPr>
                      <w:t>0</w:t>
                    </w:r>
                  </w:p>
                </w:tc>
              </w:sdtContent>
            </w:sdt>
            <w:sdt>
              <w:sdtPr>
                <w:rPr>
                  <w:sz w:val="16"/>
                  <w:szCs w:val="16"/>
                </w:rPr>
                <w:alias w:val="使用权资产明细-减值准备增加"/>
                <w:tag w:val="_GBC_3b26ec4d090d4b14bd96faa96fe9aa1f"/>
                <w:id w:val="678623073"/>
                <w:lock w:val="sdtLocked"/>
              </w:sdtPr>
              <w:sdtContent>
                <w:tc>
                  <w:tcPr>
                    <w:tcW w:w="553" w:type="pct"/>
                    <w:shd w:val="clear" w:color="auto" w:fill="auto"/>
                  </w:tcPr>
                  <w:p w:rsidR="00FD3521" w:rsidRPr="00FD3521" w:rsidRDefault="00FD3521" w:rsidP="004B4952">
                    <w:pPr>
                      <w:spacing w:line="240" w:lineRule="atLeast"/>
                      <w:jc w:val="right"/>
                      <w:rPr>
                        <w:sz w:val="16"/>
                        <w:szCs w:val="16"/>
                      </w:rPr>
                    </w:pPr>
                    <w:r w:rsidRPr="00FD3521">
                      <w:rPr>
                        <w:sz w:val="16"/>
                        <w:szCs w:val="16"/>
                      </w:rPr>
                      <w:t>0</w:t>
                    </w:r>
                  </w:p>
                </w:tc>
              </w:sdtContent>
            </w:sdt>
            <w:sdt>
              <w:sdtPr>
                <w:rPr>
                  <w:sz w:val="16"/>
                  <w:szCs w:val="16"/>
                </w:rPr>
                <w:alias w:val="使用权资产明细-减值准备增加"/>
                <w:tag w:val="_GBC_3b26ec4d090d4b14bd96faa96fe9aa1f"/>
                <w:id w:val="-1579440978"/>
                <w:lock w:val="sdtLocked"/>
              </w:sdtPr>
              <w:sdtContent>
                <w:tc>
                  <w:tcPr>
                    <w:tcW w:w="554" w:type="pct"/>
                    <w:shd w:val="clear" w:color="auto" w:fill="auto"/>
                  </w:tcPr>
                  <w:p w:rsidR="00FD3521" w:rsidRPr="00FD3521" w:rsidRDefault="00FD3521" w:rsidP="004B4952">
                    <w:pPr>
                      <w:spacing w:line="240" w:lineRule="atLeast"/>
                      <w:jc w:val="right"/>
                      <w:rPr>
                        <w:sz w:val="16"/>
                        <w:szCs w:val="16"/>
                      </w:rPr>
                    </w:pPr>
                    <w:r w:rsidRPr="00FD3521">
                      <w:rPr>
                        <w:sz w:val="16"/>
                        <w:szCs w:val="16"/>
                      </w:rPr>
                      <w:t>0</w:t>
                    </w:r>
                  </w:p>
                </w:tc>
              </w:sdtContent>
            </w:sdt>
            <w:sdt>
              <w:sdtPr>
                <w:rPr>
                  <w:sz w:val="16"/>
                  <w:szCs w:val="16"/>
                </w:rPr>
                <w:alias w:val="使用权资产减值准备增加"/>
                <w:tag w:val="_GBC_5ab7ef2a8a114820a648dada24eb333f"/>
                <w:id w:val="458694662"/>
                <w:lock w:val="sdtLocked"/>
              </w:sdtPr>
              <w:sdtContent>
                <w:tc>
                  <w:tcPr>
                    <w:tcW w:w="484" w:type="pct"/>
                    <w:shd w:val="clear" w:color="auto" w:fill="auto"/>
                  </w:tcPr>
                  <w:p w:rsidR="00FD3521" w:rsidRPr="00FD3521" w:rsidRDefault="00FD3521" w:rsidP="004B4952">
                    <w:pPr>
                      <w:spacing w:line="240" w:lineRule="atLeast"/>
                      <w:jc w:val="right"/>
                      <w:rPr>
                        <w:sz w:val="16"/>
                        <w:szCs w:val="16"/>
                      </w:rPr>
                    </w:pPr>
                    <w:r w:rsidRPr="00FD3521">
                      <w:rPr>
                        <w:sz w:val="16"/>
                        <w:szCs w:val="16"/>
                      </w:rPr>
                      <w:t>0</w:t>
                    </w:r>
                  </w:p>
                </w:tc>
              </w:sdtContent>
            </w:sdt>
          </w:tr>
          <w:tr w:rsidR="00F84632" w:rsidTr="00F84632">
            <w:trPr>
              <w:trHeight w:val="284"/>
            </w:trPr>
            <w:sdt>
              <w:sdtPr>
                <w:rPr>
                  <w:sz w:val="16"/>
                  <w:szCs w:val="16"/>
                </w:rPr>
                <w:tag w:val="_PLD_163a7584d25d44a58678bd5bf64e847e"/>
                <w:id w:val="-739093557"/>
                <w:lock w:val="sdtLocked"/>
              </w:sdtPr>
              <w:sdtContent>
                <w:tc>
                  <w:tcPr>
                    <w:tcW w:w="691" w:type="pct"/>
                    <w:shd w:val="clear" w:color="auto" w:fill="auto"/>
                    <w:vAlign w:val="center"/>
                  </w:tcPr>
                  <w:p w:rsidR="00FD3521" w:rsidRPr="00FD3521" w:rsidRDefault="00FD3521" w:rsidP="004B4952">
                    <w:pPr>
                      <w:spacing w:line="240" w:lineRule="atLeast"/>
                      <w:ind w:firstLineChars="200" w:firstLine="320"/>
                      <w:rPr>
                        <w:sz w:val="16"/>
                        <w:szCs w:val="16"/>
                      </w:rPr>
                    </w:pPr>
                    <w:r w:rsidRPr="00FD3521">
                      <w:rPr>
                        <w:rFonts w:hint="eastAsia"/>
                        <w:sz w:val="16"/>
                        <w:szCs w:val="16"/>
                      </w:rPr>
                      <w:t>3.</w:t>
                    </w:r>
                    <w:r w:rsidRPr="00FD3521">
                      <w:rPr>
                        <w:sz w:val="16"/>
                        <w:szCs w:val="16"/>
                      </w:rPr>
                      <w:t>本期减少</w:t>
                    </w:r>
                    <w:r w:rsidRPr="00FD3521">
                      <w:rPr>
                        <w:rFonts w:hint="eastAsia"/>
                        <w:sz w:val="16"/>
                        <w:szCs w:val="16"/>
                      </w:rPr>
                      <w:t>金额</w:t>
                    </w:r>
                  </w:p>
                </w:tc>
              </w:sdtContent>
            </w:sdt>
            <w:sdt>
              <w:sdtPr>
                <w:rPr>
                  <w:sz w:val="16"/>
                  <w:szCs w:val="16"/>
                </w:rPr>
                <w:alias w:val="使用权资产明细-减值准备减少"/>
                <w:tag w:val="_GBC_a1eaf6a6ed064fd88327ce07f0754825"/>
                <w:id w:val="-531731673"/>
                <w:lock w:val="sdtLocked"/>
              </w:sdtPr>
              <w:sdtContent>
                <w:tc>
                  <w:tcPr>
                    <w:tcW w:w="512" w:type="pct"/>
                    <w:shd w:val="clear" w:color="auto" w:fill="auto"/>
                  </w:tcPr>
                  <w:p w:rsidR="00FD3521" w:rsidRPr="00FD3521" w:rsidRDefault="00FD3521" w:rsidP="004B4952">
                    <w:pPr>
                      <w:spacing w:line="240" w:lineRule="atLeast"/>
                      <w:jc w:val="right"/>
                      <w:rPr>
                        <w:sz w:val="16"/>
                        <w:szCs w:val="16"/>
                      </w:rPr>
                    </w:pPr>
                    <w:r w:rsidRPr="00FD3521">
                      <w:rPr>
                        <w:sz w:val="16"/>
                        <w:szCs w:val="16"/>
                      </w:rPr>
                      <w:t>0</w:t>
                    </w:r>
                  </w:p>
                </w:tc>
              </w:sdtContent>
            </w:sdt>
            <w:sdt>
              <w:sdtPr>
                <w:rPr>
                  <w:sz w:val="16"/>
                  <w:szCs w:val="16"/>
                </w:rPr>
                <w:alias w:val="使用权资产明细-减值准备减少"/>
                <w:tag w:val="_GBC_a1eaf6a6ed064fd88327ce07f0754825"/>
                <w:id w:val="472182030"/>
                <w:lock w:val="sdtLocked"/>
              </w:sdtPr>
              <w:sdtContent>
                <w:tc>
                  <w:tcPr>
                    <w:tcW w:w="511" w:type="pct"/>
                    <w:shd w:val="clear" w:color="auto" w:fill="auto"/>
                  </w:tcPr>
                  <w:p w:rsidR="00FD3521" w:rsidRPr="00FD3521" w:rsidRDefault="00FD3521" w:rsidP="004B4952">
                    <w:pPr>
                      <w:spacing w:line="240" w:lineRule="atLeast"/>
                      <w:jc w:val="right"/>
                      <w:rPr>
                        <w:sz w:val="16"/>
                        <w:szCs w:val="16"/>
                      </w:rPr>
                    </w:pPr>
                    <w:r w:rsidRPr="00FD3521">
                      <w:rPr>
                        <w:sz w:val="16"/>
                        <w:szCs w:val="16"/>
                      </w:rPr>
                      <w:t>0</w:t>
                    </w:r>
                  </w:p>
                </w:tc>
              </w:sdtContent>
            </w:sdt>
            <w:sdt>
              <w:sdtPr>
                <w:rPr>
                  <w:sz w:val="16"/>
                  <w:szCs w:val="16"/>
                </w:rPr>
                <w:alias w:val="使用权资产明细-减值准备减少"/>
                <w:tag w:val="_GBC_a1eaf6a6ed064fd88327ce07f0754825"/>
                <w:id w:val="-1386172463"/>
                <w:lock w:val="sdtLocked"/>
              </w:sdtPr>
              <w:sdtContent>
                <w:tc>
                  <w:tcPr>
                    <w:tcW w:w="538" w:type="pct"/>
                    <w:shd w:val="clear" w:color="auto" w:fill="auto"/>
                  </w:tcPr>
                  <w:p w:rsidR="00FD3521" w:rsidRPr="00FD3521" w:rsidRDefault="00FD3521" w:rsidP="004B4952">
                    <w:pPr>
                      <w:spacing w:line="240" w:lineRule="atLeast"/>
                      <w:jc w:val="right"/>
                      <w:rPr>
                        <w:sz w:val="16"/>
                        <w:szCs w:val="16"/>
                      </w:rPr>
                    </w:pPr>
                    <w:r w:rsidRPr="00FD3521">
                      <w:rPr>
                        <w:sz w:val="16"/>
                        <w:szCs w:val="16"/>
                      </w:rPr>
                      <w:t>0</w:t>
                    </w:r>
                  </w:p>
                </w:tc>
              </w:sdtContent>
            </w:sdt>
            <w:sdt>
              <w:sdtPr>
                <w:rPr>
                  <w:sz w:val="16"/>
                  <w:szCs w:val="16"/>
                </w:rPr>
                <w:alias w:val="使用权资产明细-减值准备减少"/>
                <w:tag w:val="_GBC_a1eaf6a6ed064fd88327ce07f0754825"/>
                <w:id w:val="1492757721"/>
                <w:lock w:val="sdtLocked"/>
              </w:sdtPr>
              <w:sdtContent>
                <w:tc>
                  <w:tcPr>
                    <w:tcW w:w="553" w:type="pct"/>
                    <w:shd w:val="clear" w:color="auto" w:fill="auto"/>
                  </w:tcPr>
                  <w:p w:rsidR="00FD3521" w:rsidRPr="00FD3521" w:rsidRDefault="00FD3521" w:rsidP="004B4952">
                    <w:pPr>
                      <w:spacing w:line="240" w:lineRule="atLeast"/>
                      <w:jc w:val="right"/>
                      <w:rPr>
                        <w:sz w:val="16"/>
                        <w:szCs w:val="16"/>
                      </w:rPr>
                    </w:pPr>
                    <w:r w:rsidRPr="00FD3521">
                      <w:rPr>
                        <w:sz w:val="16"/>
                        <w:szCs w:val="16"/>
                      </w:rPr>
                      <w:t>0</w:t>
                    </w:r>
                  </w:p>
                </w:tc>
              </w:sdtContent>
            </w:sdt>
            <w:sdt>
              <w:sdtPr>
                <w:rPr>
                  <w:sz w:val="16"/>
                  <w:szCs w:val="16"/>
                </w:rPr>
                <w:alias w:val="使用权资产明细-减值准备减少"/>
                <w:tag w:val="_GBC_a1eaf6a6ed064fd88327ce07f0754825"/>
                <w:id w:val="1925145976"/>
                <w:lock w:val="sdtLocked"/>
              </w:sdtPr>
              <w:sdtContent>
                <w:tc>
                  <w:tcPr>
                    <w:tcW w:w="604" w:type="pct"/>
                    <w:shd w:val="clear" w:color="auto" w:fill="auto"/>
                  </w:tcPr>
                  <w:p w:rsidR="00FD3521" w:rsidRPr="00FD3521" w:rsidRDefault="00FD3521" w:rsidP="004B4952">
                    <w:pPr>
                      <w:spacing w:line="240" w:lineRule="atLeast"/>
                      <w:jc w:val="right"/>
                      <w:rPr>
                        <w:sz w:val="16"/>
                        <w:szCs w:val="16"/>
                      </w:rPr>
                    </w:pPr>
                    <w:r w:rsidRPr="00FD3521">
                      <w:rPr>
                        <w:sz w:val="16"/>
                        <w:szCs w:val="16"/>
                      </w:rPr>
                      <w:t>0</w:t>
                    </w:r>
                  </w:p>
                </w:tc>
              </w:sdtContent>
            </w:sdt>
            <w:sdt>
              <w:sdtPr>
                <w:rPr>
                  <w:sz w:val="16"/>
                  <w:szCs w:val="16"/>
                </w:rPr>
                <w:alias w:val="使用权资产明细-减值准备减少"/>
                <w:tag w:val="_GBC_a1eaf6a6ed064fd88327ce07f0754825"/>
                <w:id w:val="40338389"/>
                <w:lock w:val="sdtLocked"/>
              </w:sdtPr>
              <w:sdtContent>
                <w:tc>
                  <w:tcPr>
                    <w:tcW w:w="553" w:type="pct"/>
                    <w:shd w:val="clear" w:color="auto" w:fill="auto"/>
                  </w:tcPr>
                  <w:p w:rsidR="00FD3521" w:rsidRPr="00FD3521" w:rsidRDefault="00FD3521" w:rsidP="004B4952">
                    <w:pPr>
                      <w:spacing w:line="240" w:lineRule="atLeast"/>
                      <w:jc w:val="right"/>
                      <w:rPr>
                        <w:sz w:val="16"/>
                        <w:szCs w:val="16"/>
                      </w:rPr>
                    </w:pPr>
                    <w:r w:rsidRPr="00FD3521">
                      <w:rPr>
                        <w:sz w:val="16"/>
                        <w:szCs w:val="16"/>
                      </w:rPr>
                      <w:t>0</w:t>
                    </w:r>
                  </w:p>
                </w:tc>
              </w:sdtContent>
            </w:sdt>
            <w:sdt>
              <w:sdtPr>
                <w:rPr>
                  <w:sz w:val="16"/>
                  <w:szCs w:val="16"/>
                </w:rPr>
                <w:alias w:val="使用权资产明细-减值准备减少"/>
                <w:tag w:val="_GBC_a1eaf6a6ed064fd88327ce07f0754825"/>
                <w:id w:val="-596256070"/>
                <w:lock w:val="sdtLocked"/>
              </w:sdtPr>
              <w:sdtContent>
                <w:tc>
                  <w:tcPr>
                    <w:tcW w:w="554" w:type="pct"/>
                    <w:shd w:val="clear" w:color="auto" w:fill="auto"/>
                  </w:tcPr>
                  <w:p w:rsidR="00FD3521" w:rsidRPr="00FD3521" w:rsidRDefault="00FD3521" w:rsidP="004B4952">
                    <w:pPr>
                      <w:spacing w:line="240" w:lineRule="atLeast"/>
                      <w:jc w:val="right"/>
                      <w:rPr>
                        <w:sz w:val="16"/>
                        <w:szCs w:val="16"/>
                      </w:rPr>
                    </w:pPr>
                    <w:r w:rsidRPr="00FD3521">
                      <w:rPr>
                        <w:sz w:val="16"/>
                        <w:szCs w:val="16"/>
                      </w:rPr>
                      <w:t>0</w:t>
                    </w:r>
                  </w:p>
                </w:tc>
              </w:sdtContent>
            </w:sdt>
            <w:sdt>
              <w:sdtPr>
                <w:rPr>
                  <w:sz w:val="16"/>
                  <w:szCs w:val="16"/>
                </w:rPr>
                <w:alias w:val="使用权资产减值准备减少"/>
                <w:tag w:val="_GBC_d6a780b237f349d6b6207f0f2149a58a"/>
                <w:id w:val="-2137868064"/>
                <w:lock w:val="sdtLocked"/>
              </w:sdtPr>
              <w:sdtContent>
                <w:tc>
                  <w:tcPr>
                    <w:tcW w:w="484" w:type="pct"/>
                    <w:shd w:val="clear" w:color="auto" w:fill="auto"/>
                  </w:tcPr>
                  <w:p w:rsidR="00FD3521" w:rsidRPr="00FD3521" w:rsidRDefault="00FD3521" w:rsidP="004B4952">
                    <w:pPr>
                      <w:spacing w:line="240" w:lineRule="atLeast"/>
                      <w:jc w:val="right"/>
                      <w:rPr>
                        <w:sz w:val="16"/>
                        <w:szCs w:val="16"/>
                      </w:rPr>
                    </w:pPr>
                    <w:r w:rsidRPr="00FD3521">
                      <w:rPr>
                        <w:sz w:val="16"/>
                        <w:szCs w:val="16"/>
                      </w:rPr>
                      <w:t>0</w:t>
                    </w:r>
                  </w:p>
                </w:tc>
              </w:sdtContent>
            </w:sdt>
          </w:tr>
          <w:tr w:rsidR="00F84632" w:rsidTr="00F84632">
            <w:trPr>
              <w:trHeight w:val="284"/>
            </w:trPr>
            <w:sdt>
              <w:sdtPr>
                <w:rPr>
                  <w:sz w:val="16"/>
                  <w:szCs w:val="16"/>
                </w:rPr>
                <w:tag w:val="_PLD_066290f5449b443993c412f700441a12"/>
                <w:id w:val="-1065418766"/>
                <w:lock w:val="sdtLocked"/>
              </w:sdtPr>
              <w:sdtContent>
                <w:tc>
                  <w:tcPr>
                    <w:tcW w:w="691" w:type="pct"/>
                    <w:shd w:val="clear" w:color="auto" w:fill="auto"/>
                    <w:vAlign w:val="center"/>
                  </w:tcPr>
                  <w:p w:rsidR="00FD3521" w:rsidRPr="00FD3521" w:rsidRDefault="00FD3521" w:rsidP="004B4952">
                    <w:pPr>
                      <w:spacing w:line="240" w:lineRule="atLeast"/>
                      <w:ind w:firstLineChars="200" w:firstLine="320"/>
                      <w:rPr>
                        <w:sz w:val="16"/>
                        <w:szCs w:val="16"/>
                      </w:rPr>
                    </w:pPr>
                    <w:r w:rsidRPr="00FD3521">
                      <w:rPr>
                        <w:rFonts w:hint="eastAsia"/>
                        <w:sz w:val="16"/>
                        <w:szCs w:val="16"/>
                      </w:rPr>
                      <w:t>4.</w:t>
                    </w:r>
                    <w:r w:rsidRPr="00FD3521">
                      <w:rPr>
                        <w:sz w:val="16"/>
                        <w:szCs w:val="16"/>
                      </w:rPr>
                      <w:t>期末余额</w:t>
                    </w:r>
                  </w:p>
                </w:tc>
              </w:sdtContent>
            </w:sdt>
            <w:sdt>
              <w:sdtPr>
                <w:rPr>
                  <w:sz w:val="16"/>
                  <w:szCs w:val="16"/>
                </w:rPr>
                <w:alias w:val="使用权资产明细-减值准备"/>
                <w:tag w:val="_GBC_7e6b69be7ade49e19fc07edd7814fefc"/>
                <w:id w:val="1491056321"/>
                <w:lock w:val="sdtLocked"/>
              </w:sdtPr>
              <w:sdtContent>
                <w:tc>
                  <w:tcPr>
                    <w:tcW w:w="512" w:type="pct"/>
                    <w:shd w:val="clear" w:color="auto" w:fill="auto"/>
                  </w:tcPr>
                  <w:p w:rsidR="00FD3521" w:rsidRPr="00FD3521" w:rsidRDefault="00FD3521" w:rsidP="004B4952">
                    <w:pPr>
                      <w:spacing w:line="240" w:lineRule="atLeast"/>
                      <w:jc w:val="right"/>
                      <w:rPr>
                        <w:sz w:val="16"/>
                        <w:szCs w:val="16"/>
                      </w:rPr>
                    </w:pPr>
                    <w:r w:rsidRPr="00FD3521">
                      <w:rPr>
                        <w:sz w:val="16"/>
                        <w:szCs w:val="16"/>
                      </w:rPr>
                      <w:t>0</w:t>
                    </w:r>
                  </w:p>
                </w:tc>
              </w:sdtContent>
            </w:sdt>
            <w:sdt>
              <w:sdtPr>
                <w:rPr>
                  <w:sz w:val="16"/>
                  <w:szCs w:val="16"/>
                </w:rPr>
                <w:alias w:val="使用权资产明细-减值准备"/>
                <w:tag w:val="_GBC_7e6b69be7ade49e19fc07edd7814fefc"/>
                <w:id w:val="1859782708"/>
                <w:lock w:val="sdtLocked"/>
              </w:sdtPr>
              <w:sdtContent>
                <w:tc>
                  <w:tcPr>
                    <w:tcW w:w="511" w:type="pct"/>
                    <w:shd w:val="clear" w:color="auto" w:fill="auto"/>
                  </w:tcPr>
                  <w:p w:rsidR="00FD3521" w:rsidRPr="00FD3521" w:rsidRDefault="00FD3521" w:rsidP="004B4952">
                    <w:pPr>
                      <w:spacing w:line="240" w:lineRule="atLeast"/>
                      <w:jc w:val="right"/>
                      <w:rPr>
                        <w:sz w:val="16"/>
                        <w:szCs w:val="16"/>
                      </w:rPr>
                    </w:pPr>
                    <w:r w:rsidRPr="00FD3521">
                      <w:rPr>
                        <w:sz w:val="16"/>
                        <w:szCs w:val="16"/>
                      </w:rPr>
                      <w:t>0</w:t>
                    </w:r>
                  </w:p>
                </w:tc>
              </w:sdtContent>
            </w:sdt>
            <w:sdt>
              <w:sdtPr>
                <w:rPr>
                  <w:sz w:val="16"/>
                  <w:szCs w:val="16"/>
                </w:rPr>
                <w:alias w:val="使用权资产明细-减值准备"/>
                <w:tag w:val="_GBC_7e6b69be7ade49e19fc07edd7814fefc"/>
                <w:id w:val="11273272"/>
                <w:lock w:val="sdtLocked"/>
              </w:sdtPr>
              <w:sdtContent>
                <w:tc>
                  <w:tcPr>
                    <w:tcW w:w="538" w:type="pct"/>
                    <w:shd w:val="clear" w:color="auto" w:fill="auto"/>
                  </w:tcPr>
                  <w:p w:rsidR="00FD3521" w:rsidRPr="00FD3521" w:rsidRDefault="00FD3521" w:rsidP="004B4952">
                    <w:pPr>
                      <w:spacing w:line="240" w:lineRule="atLeast"/>
                      <w:jc w:val="right"/>
                      <w:rPr>
                        <w:sz w:val="16"/>
                        <w:szCs w:val="16"/>
                      </w:rPr>
                    </w:pPr>
                    <w:r w:rsidRPr="00FD3521">
                      <w:rPr>
                        <w:sz w:val="16"/>
                        <w:szCs w:val="16"/>
                      </w:rPr>
                      <w:t>0</w:t>
                    </w:r>
                  </w:p>
                </w:tc>
              </w:sdtContent>
            </w:sdt>
            <w:sdt>
              <w:sdtPr>
                <w:rPr>
                  <w:sz w:val="16"/>
                  <w:szCs w:val="16"/>
                </w:rPr>
                <w:alias w:val="使用权资产明细-减值准备"/>
                <w:tag w:val="_GBC_7e6b69be7ade49e19fc07edd7814fefc"/>
                <w:id w:val="659819324"/>
                <w:lock w:val="sdtLocked"/>
              </w:sdtPr>
              <w:sdtContent>
                <w:tc>
                  <w:tcPr>
                    <w:tcW w:w="553" w:type="pct"/>
                    <w:shd w:val="clear" w:color="auto" w:fill="auto"/>
                  </w:tcPr>
                  <w:p w:rsidR="00FD3521" w:rsidRPr="00FD3521" w:rsidRDefault="00FD3521" w:rsidP="004B4952">
                    <w:pPr>
                      <w:spacing w:line="240" w:lineRule="atLeast"/>
                      <w:jc w:val="right"/>
                      <w:rPr>
                        <w:sz w:val="16"/>
                        <w:szCs w:val="16"/>
                      </w:rPr>
                    </w:pPr>
                    <w:r w:rsidRPr="00FD3521">
                      <w:rPr>
                        <w:sz w:val="16"/>
                        <w:szCs w:val="16"/>
                      </w:rPr>
                      <w:t>0</w:t>
                    </w:r>
                  </w:p>
                </w:tc>
              </w:sdtContent>
            </w:sdt>
            <w:sdt>
              <w:sdtPr>
                <w:rPr>
                  <w:sz w:val="16"/>
                  <w:szCs w:val="16"/>
                </w:rPr>
                <w:alias w:val="使用权资产明细-减值准备"/>
                <w:tag w:val="_GBC_7e6b69be7ade49e19fc07edd7814fefc"/>
                <w:id w:val="928158968"/>
                <w:lock w:val="sdtLocked"/>
              </w:sdtPr>
              <w:sdtContent>
                <w:tc>
                  <w:tcPr>
                    <w:tcW w:w="604" w:type="pct"/>
                    <w:shd w:val="clear" w:color="auto" w:fill="auto"/>
                  </w:tcPr>
                  <w:p w:rsidR="00FD3521" w:rsidRPr="00FD3521" w:rsidRDefault="00FD3521" w:rsidP="004B4952">
                    <w:pPr>
                      <w:spacing w:line="240" w:lineRule="atLeast"/>
                      <w:jc w:val="right"/>
                      <w:rPr>
                        <w:sz w:val="16"/>
                        <w:szCs w:val="16"/>
                      </w:rPr>
                    </w:pPr>
                    <w:r w:rsidRPr="00FD3521">
                      <w:rPr>
                        <w:sz w:val="16"/>
                        <w:szCs w:val="16"/>
                      </w:rPr>
                      <w:t>0</w:t>
                    </w:r>
                  </w:p>
                </w:tc>
              </w:sdtContent>
            </w:sdt>
            <w:sdt>
              <w:sdtPr>
                <w:rPr>
                  <w:sz w:val="16"/>
                  <w:szCs w:val="16"/>
                </w:rPr>
                <w:alias w:val="使用权资产明细-减值准备"/>
                <w:tag w:val="_GBC_7e6b69be7ade49e19fc07edd7814fefc"/>
                <w:id w:val="993910552"/>
                <w:lock w:val="sdtLocked"/>
              </w:sdtPr>
              <w:sdtContent>
                <w:tc>
                  <w:tcPr>
                    <w:tcW w:w="553" w:type="pct"/>
                    <w:shd w:val="clear" w:color="auto" w:fill="auto"/>
                  </w:tcPr>
                  <w:p w:rsidR="00FD3521" w:rsidRPr="00FD3521" w:rsidRDefault="00FD3521" w:rsidP="004B4952">
                    <w:pPr>
                      <w:spacing w:line="240" w:lineRule="atLeast"/>
                      <w:jc w:val="right"/>
                      <w:rPr>
                        <w:sz w:val="16"/>
                        <w:szCs w:val="16"/>
                      </w:rPr>
                    </w:pPr>
                    <w:r w:rsidRPr="00FD3521">
                      <w:rPr>
                        <w:sz w:val="16"/>
                        <w:szCs w:val="16"/>
                      </w:rPr>
                      <w:t>0</w:t>
                    </w:r>
                  </w:p>
                </w:tc>
              </w:sdtContent>
            </w:sdt>
            <w:sdt>
              <w:sdtPr>
                <w:rPr>
                  <w:sz w:val="16"/>
                  <w:szCs w:val="16"/>
                </w:rPr>
                <w:alias w:val="使用权资产明细-减值准备"/>
                <w:tag w:val="_GBC_7e6b69be7ade49e19fc07edd7814fefc"/>
                <w:id w:val="172389903"/>
                <w:lock w:val="sdtLocked"/>
              </w:sdtPr>
              <w:sdtContent>
                <w:tc>
                  <w:tcPr>
                    <w:tcW w:w="554" w:type="pct"/>
                    <w:shd w:val="clear" w:color="auto" w:fill="auto"/>
                  </w:tcPr>
                  <w:p w:rsidR="00FD3521" w:rsidRPr="00FD3521" w:rsidRDefault="00FD3521" w:rsidP="004B4952">
                    <w:pPr>
                      <w:spacing w:line="240" w:lineRule="atLeast"/>
                      <w:jc w:val="right"/>
                      <w:rPr>
                        <w:sz w:val="16"/>
                        <w:szCs w:val="16"/>
                      </w:rPr>
                    </w:pPr>
                    <w:r w:rsidRPr="00FD3521">
                      <w:rPr>
                        <w:sz w:val="16"/>
                        <w:szCs w:val="16"/>
                      </w:rPr>
                      <w:t>0</w:t>
                    </w:r>
                  </w:p>
                </w:tc>
              </w:sdtContent>
            </w:sdt>
            <w:sdt>
              <w:sdtPr>
                <w:rPr>
                  <w:sz w:val="16"/>
                  <w:szCs w:val="16"/>
                </w:rPr>
                <w:alias w:val="使用权资产减值准备"/>
                <w:tag w:val="_GBC_c32c0b426f8840cdb2c4ed783c65d536"/>
                <w:id w:val="1838421862"/>
                <w:lock w:val="sdtLocked"/>
              </w:sdtPr>
              <w:sdtContent>
                <w:tc>
                  <w:tcPr>
                    <w:tcW w:w="484" w:type="pct"/>
                    <w:shd w:val="clear" w:color="auto" w:fill="auto"/>
                  </w:tcPr>
                  <w:p w:rsidR="00FD3521" w:rsidRPr="00FD3521" w:rsidRDefault="00FD3521" w:rsidP="004B4952">
                    <w:pPr>
                      <w:spacing w:line="240" w:lineRule="atLeast"/>
                      <w:jc w:val="right"/>
                      <w:rPr>
                        <w:sz w:val="16"/>
                        <w:szCs w:val="16"/>
                      </w:rPr>
                    </w:pPr>
                    <w:r w:rsidRPr="00FD3521">
                      <w:rPr>
                        <w:sz w:val="16"/>
                        <w:szCs w:val="16"/>
                      </w:rPr>
                      <w:t>0</w:t>
                    </w:r>
                  </w:p>
                </w:tc>
              </w:sdtContent>
            </w:sdt>
          </w:tr>
          <w:tr w:rsidR="00F84632" w:rsidTr="00F84632">
            <w:trPr>
              <w:trHeight w:val="284"/>
            </w:trPr>
            <w:sdt>
              <w:sdtPr>
                <w:rPr>
                  <w:sz w:val="16"/>
                  <w:szCs w:val="16"/>
                </w:rPr>
                <w:tag w:val="_PLD_11c4f53648e149a88b6ff0ef5ef90dc8"/>
                <w:id w:val="-7301392"/>
                <w:lock w:val="sdtLocked"/>
              </w:sdtPr>
              <w:sdtContent>
                <w:tc>
                  <w:tcPr>
                    <w:tcW w:w="691" w:type="pct"/>
                    <w:shd w:val="clear" w:color="auto" w:fill="auto"/>
                    <w:vAlign w:val="center"/>
                  </w:tcPr>
                  <w:p w:rsidR="00FD3521" w:rsidRPr="00FD3521" w:rsidRDefault="00FD3521" w:rsidP="004B4952">
                    <w:pPr>
                      <w:spacing w:line="240" w:lineRule="atLeast"/>
                      <w:rPr>
                        <w:sz w:val="16"/>
                        <w:szCs w:val="16"/>
                      </w:rPr>
                    </w:pPr>
                    <w:r w:rsidRPr="00FD3521">
                      <w:rPr>
                        <w:sz w:val="16"/>
                        <w:szCs w:val="16"/>
                      </w:rPr>
                      <w:t>四、账面价值</w:t>
                    </w:r>
                  </w:p>
                </w:tc>
              </w:sdtContent>
            </w:sdt>
            <w:tc>
              <w:tcPr>
                <w:tcW w:w="512" w:type="pct"/>
                <w:shd w:val="clear" w:color="auto" w:fill="auto"/>
              </w:tcPr>
              <w:p w:rsidR="00FD3521" w:rsidRPr="00FD3521" w:rsidRDefault="00FD3521" w:rsidP="004B4952">
                <w:pPr>
                  <w:spacing w:line="240" w:lineRule="atLeast"/>
                  <w:jc w:val="right"/>
                  <w:rPr>
                    <w:sz w:val="16"/>
                    <w:szCs w:val="16"/>
                  </w:rPr>
                </w:pPr>
                <w:r w:rsidRPr="00FD3521">
                  <w:rPr>
                    <w:sz w:val="16"/>
                    <w:szCs w:val="16"/>
                  </w:rPr>
                  <w:t> </w:t>
                </w:r>
              </w:p>
            </w:tc>
            <w:tc>
              <w:tcPr>
                <w:tcW w:w="511" w:type="pct"/>
                <w:shd w:val="clear" w:color="auto" w:fill="auto"/>
              </w:tcPr>
              <w:p w:rsidR="00FD3521" w:rsidRPr="00FD3521" w:rsidRDefault="00FD3521" w:rsidP="004B4952">
                <w:pPr>
                  <w:spacing w:line="240" w:lineRule="atLeast"/>
                  <w:jc w:val="right"/>
                  <w:rPr>
                    <w:sz w:val="16"/>
                    <w:szCs w:val="16"/>
                  </w:rPr>
                </w:pPr>
                <w:r w:rsidRPr="00FD3521">
                  <w:rPr>
                    <w:sz w:val="16"/>
                    <w:szCs w:val="16"/>
                  </w:rPr>
                  <w:t> </w:t>
                </w:r>
              </w:p>
            </w:tc>
            <w:tc>
              <w:tcPr>
                <w:tcW w:w="538" w:type="pct"/>
                <w:shd w:val="clear" w:color="auto" w:fill="auto"/>
              </w:tcPr>
              <w:p w:rsidR="00FD3521" w:rsidRPr="00FD3521" w:rsidRDefault="00FD3521" w:rsidP="004B4952">
                <w:pPr>
                  <w:spacing w:line="240" w:lineRule="atLeast"/>
                  <w:jc w:val="right"/>
                  <w:rPr>
                    <w:sz w:val="16"/>
                    <w:szCs w:val="16"/>
                  </w:rPr>
                </w:pPr>
                <w:r w:rsidRPr="00FD3521">
                  <w:rPr>
                    <w:sz w:val="16"/>
                    <w:szCs w:val="16"/>
                  </w:rPr>
                  <w:t> </w:t>
                </w:r>
              </w:p>
            </w:tc>
            <w:tc>
              <w:tcPr>
                <w:tcW w:w="553" w:type="pct"/>
                <w:shd w:val="clear" w:color="auto" w:fill="auto"/>
              </w:tcPr>
              <w:p w:rsidR="00FD3521" w:rsidRPr="00FD3521" w:rsidRDefault="00FD3521" w:rsidP="004B4952">
                <w:pPr>
                  <w:spacing w:line="240" w:lineRule="atLeast"/>
                  <w:jc w:val="right"/>
                  <w:rPr>
                    <w:sz w:val="16"/>
                    <w:szCs w:val="16"/>
                  </w:rPr>
                </w:pPr>
                <w:r w:rsidRPr="00FD3521">
                  <w:rPr>
                    <w:sz w:val="16"/>
                    <w:szCs w:val="16"/>
                  </w:rPr>
                  <w:t> </w:t>
                </w:r>
              </w:p>
            </w:tc>
            <w:tc>
              <w:tcPr>
                <w:tcW w:w="604" w:type="pct"/>
                <w:shd w:val="clear" w:color="auto" w:fill="auto"/>
              </w:tcPr>
              <w:p w:rsidR="00FD3521" w:rsidRPr="00FD3521" w:rsidRDefault="00FD3521" w:rsidP="004B4952">
                <w:pPr>
                  <w:spacing w:line="240" w:lineRule="atLeast"/>
                  <w:jc w:val="right"/>
                  <w:rPr>
                    <w:sz w:val="16"/>
                    <w:szCs w:val="16"/>
                  </w:rPr>
                </w:pPr>
                <w:r w:rsidRPr="00FD3521">
                  <w:rPr>
                    <w:sz w:val="16"/>
                    <w:szCs w:val="16"/>
                  </w:rPr>
                  <w:t> </w:t>
                </w:r>
              </w:p>
            </w:tc>
            <w:tc>
              <w:tcPr>
                <w:tcW w:w="553" w:type="pct"/>
                <w:shd w:val="clear" w:color="auto" w:fill="auto"/>
              </w:tcPr>
              <w:p w:rsidR="00FD3521" w:rsidRPr="00FD3521" w:rsidRDefault="00FD3521" w:rsidP="004B4952">
                <w:pPr>
                  <w:spacing w:line="240" w:lineRule="atLeast"/>
                  <w:jc w:val="right"/>
                  <w:rPr>
                    <w:sz w:val="16"/>
                    <w:szCs w:val="16"/>
                  </w:rPr>
                </w:pPr>
                <w:r w:rsidRPr="00FD3521">
                  <w:rPr>
                    <w:sz w:val="16"/>
                    <w:szCs w:val="16"/>
                  </w:rPr>
                  <w:t> </w:t>
                </w:r>
              </w:p>
            </w:tc>
            <w:tc>
              <w:tcPr>
                <w:tcW w:w="554" w:type="pct"/>
                <w:shd w:val="clear" w:color="auto" w:fill="auto"/>
              </w:tcPr>
              <w:p w:rsidR="00FD3521" w:rsidRPr="00FD3521" w:rsidRDefault="00FD3521" w:rsidP="004B4952">
                <w:pPr>
                  <w:spacing w:line="240" w:lineRule="atLeast"/>
                  <w:jc w:val="right"/>
                  <w:rPr>
                    <w:sz w:val="16"/>
                    <w:szCs w:val="16"/>
                  </w:rPr>
                </w:pPr>
                <w:r w:rsidRPr="00FD3521">
                  <w:rPr>
                    <w:sz w:val="16"/>
                    <w:szCs w:val="16"/>
                  </w:rPr>
                  <w:t> </w:t>
                </w:r>
              </w:p>
            </w:tc>
            <w:tc>
              <w:tcPr>
                <w:tcW w:w="484" w:type="pct"/>
                <w:shd w:val="clear" w:color="auto" w:fill="auto"/>
              </w:tcPr>
              <w:p w:rsidR="00FD3521" w:rsidRPr="00FD3521" w:rsidRDefault="00FD3521" w:rsidP="004B4952">
                <w:pPr>
                  <w:spacing w:line="240" w:lineRule="atLeast"/>
                  <w:jc w:val="right"/>
                  <w:rPr>
                    <w:sz w:val="16"/>
                    <w:szCs w:val="16"/>
                  </w:rPr>
                </w:pPr>
                <w:r w:rsidRPr="00FD3521">
                  <w:rPr>
                    <w:sz w:val="16"/>
                    <w:szCs w:val="16"/>
                  </w:rPr>
                  <w:t> </w:t>
                </w:r>
              </w:p>
            </w:tc>
          </w:tr>
          <w:tr w:rsidR="00F84632" w:rsidTr="00F84632">
            <w:trPr>
              <w:trHeight w:val="284"/>
            </w:trPr>
            <w:sdt>
              <w:sdtPr>
                <w:rPr>
                  <w:sz w:val="16"/>
                  <w:szCs w:val="16"/>
                </w:rPr>
                <w:tag w:val="_PLD_f93f7bc9d80c4cb2892143080a094eff"/>
                <w:id w:val="-792901832"/>
                <w:lock w:val="sdtLocked"/>
              </w:sdtPr>
              <w:sdtContent>
                <w:tc>
                  <w:tcPr>
                    <w:tcW w:w="691" w:type="pct"/>
                    <w:shd w:val="clear" w:color="auto" w:fill="auto"/>
                    <w:vAlign w:val="center"/>
                  </w:tcPr>
                  <w:p w:rsidR="00FD3521" w:rsidRPr="00FD3521" w:rsidRDefault="00FD3521" w:rsidP="004B4952">
                    <w:pPr>
                      <w:spacing w:line="240" w:lineRule="atLeast"/>
                      <w:rPr>
                        <w:sz w:val="16"/>
                        <w:szCs w:val="16"/>
                      </w:rPr>
                    </w:pPr>
                    <w:r w:rsidRPr="00FD3521">
                      <w:rPr>
                        <w:sz w:val="16"/>
                        <w:szCs w:val="16"/>
                      </w:rPr>
                      <w:t xml:space="preserve">    1.期末账面价值</w:t>
                    </w:r>
                  </w:p>
                </w:tc>
              </w:sdtContent>
            </w:sdt>
            <w:sdt>
              <w:sdtPr>
                <w:rPr>
                  <w:sz w:val="16"/>
                  <w:szCs w:val="16"/>
                </w:rPr>
                <w:alias w:val="使用权资产明细-账面价值"/>
                <w:tag w:val="_GBC_941da60e08f04bcd9a1eb75e917c0ed1"/>
                <w:id w:val="-1937586900"/>
                <w:lock w:val="sdtLocked"/>
              </w:sdtPr>
              <w:sdtContent>
                <w:tc>
                  <w:tcPr>
                    <w:tcW w:w="512" w:type="pct"/>
                    <w:shd w:val="clear" w:color="auto" w:fill="auto"/>
                  </w:tcPr>
                  <w:p w:rsidR="00FD3521" w:rsidRPr="00FD3521" w:rsidRDefault="00FD3521" w:rsidP="004B4952">
                    <w:pPr>
                      <w:spacing w:line="240" w:lineRule="atLeast"/>
                      <w:jc w:val="right"/>
                      <w:rPr>
                        <w:sz w:val="16"/>
                        <w:szCs w:val="16"/>
                      </w:rPr>
                    </w:pPr>
                    <w:r w:rsidRPr="00FD3521">
                      <w:rPr>
                        <w:sz w:val="16"/>
                        <w:szCs w:val="16"/>
                      </w:rPr>
                      <w:t>257,750</w:t>
                    </w:r>
                  </w:p>
                </w:tc>
              </w:sdtContent>
            </w:sdt>
            <w:sdt>
              <w:sdtPr>
                <w:rPr>
                  <w:sz w:val="16"/>
                  <w:szCs w:val="16"/>
                </w:rPr>
                <w:alias w:val="使用权资产明细-账面价值"/>
                <w:tag w:val="_GBC_941da60e08f04bcd9a1eb75e917c0ed1"/>
                <w:id w:val="-1888790717"/>
                <w:lock w:val="sdtLocked"/>
              </w:sdtPr>
              <w:sdtContent>
                <w:tc>
                  <w:tcPr>
                    <w:tcW w:w="511" w:type="pct"/>
                    <w:shd w:val="clear" w:color="auto" w:fill="auto"/>
                  </w:tcPr>
                  <w:p w:rsidR="00FD3521" w:rsidRPr="00FD3521" w:rsidRDefault="00FD3521" w:rsidP="004B4952">
                    <w:pPr>
                      <w:spacing w:line="240" w:lineRule="atLeast"/>
                      <w:jc w:val="right"/>
                      <w:rPr>
                        <w:sz w:val="16"/>
                        <w:szCs w:val="16"/>
                      </w:rPr>
                    </w:pPr>
                    <w:r w:rsidRPr="00FD3521">
                      <w:rPr>
                        <w:sz w:val="16"/>
                        <w:szCs w:val="16"/>
                      </w:rPr>
                      <w:t>186,697,609</w:t>
                    </w:r>
                  </w:p>
                </w:tc>
              </w:sdtContent>
            </w:sdt>
            <w:sdt>
              <w:sdtPr>
                <w:rPr>
                  <w:sz w:val="16"/>
                  <w:szCs w:val="16"/>
                </w:rPr>
                <w:alias w:val="使用权资产明细-账面价值"/>
                <w:tag w:val="_GBC_941da60e08f04bcd9a1eb75e917c0ed1"/>
                <w:id w:val="-93403539"/>
                <w:lock w:val="sdtLocked"/>
              </w:sdtPr>
              <w:sdtContent>
                <w:tc>
                  <w:tcPr>
                    <w:tcW w:w="538" w:type="pct"/>
                    <w:shd w:val="clear" w:color="auto" w:fill="auto"/>
                  </w:tcPr>
                  <w:p w:rsidR="00FD3521" w:rsidRPr="00FD3521" w:rsidRDefault="00FD3521" w:rsidP="004B4952">
                    <w:pPr>
                      <w:spacing w:line="240" w:lineRule="atLeast"/>
                      <w:jc w:val="right"/>
                      <w:rPr>
                        <w:sz w:val="16"/>
                        <w:szCs w:val="16"/>
                      </w:rPr>
                    </w:pPr>
                    <w:r w:rsidRPr="00FD3521">
                      <w:rPr>
                        <w:sz w:val="16"/>
                        <w:szCs w:val="16"/>
                      </w:rPr>
                      <w:t>7,747,831</w:t>
                    </w:r>
                  </w:p>
                </w:tc>
              </w:sdtContent>
            </w:sdt>
            <w:sdt>
              <w:sdtPr>
                <w:rPr>
                  <w:sz w:val="16"/>
                  <w:szCs w:val="16"/>
                </w:rPr>
                <w:alias w:val="使用权资产明细-账面价值"/>
                <w:tag w:val="_GBC_941da60e08f04bcd9a1eb75e917c0ed1"/>
                <w:id w:val="-1339992788"/>
                <w:lock w:val="sdtLocked"/>
              </w:sdtPr>
              <w:sdtContent>
                <w:tc>
                  <w:tcPr>
                    <w:tcW w:w="553" w:type="pct"/>
                    <w:shd w:val="clear" w:color="auto" w:fill="auto"/>
                  </w:tcPr>
                  <w:p w:rsidR="00FD3521" w:rsidRPr="00FD3521" w:rsidRDefault="00FD3521" w:rsidP="004B4952">
                    <w:pPr>
                      <w:spacing w:line="240" w:lineRule="atLeast"/>
                      <w:jc w:val="right"/>
                      <w:rPr>
                        <w:sz w:val="16"/>
                        <w:szCs w:val="16"/>
                      </w:rPr>
                    </w:pPr>
                    <w:r w:rsidRPr="00FD3521">
                      <w:rPr>
                        <w:sz w:val="16"/>
                        <w:szCs w:val="16"/>
                      </w:rPr>
                      <w:t>21,653,352</w:t>
                    </w:r>
                  </w:p>
                </w:tc>
              </w:sdtContent>
            </w:sdt>
            <w:sdt>
              <w:sdtPr>
                <w:rPr>
                  <w:sz w:val="16"/>
                  <w:szCs w:val="16"/>
                </w:rPr>
                <w:alias w:val="使用权资产明细-账面价值"/>
                <w:tag w:val="_GBC_941da60e08f04bcd9a1eb75e917c0ed1"/>
                <w:id w:val="-1062248101"/>
                <w:lock w:val="sdtLocked"/>
              </w:sdtPr>
              <w:sdtContent>
                <w:tc>
                  <w:tcPr>
                    <w:tcW w:w="604" w:type="pct"/>
                    <w:shd w:val="clear" w:color="auto" w:fill="auto"/>
                  </w:tcPr>
                  <w:p w:rsidR="00FD3521" w:rsidRPr="00FD3521" w:rsidRDefault="00FD3521" w:rsidP="004B4952">
                    <w:pPr>
                      <w:spacing w:line="240" w:lineRule="atLeast"/>
                      <w:jc w:val="right"/>
                      <w:rPr>
                        <w:sz w:val="16"/>
                        <w:szCs w:val="16"/>
                      </w:rPr>
                    </w:pPr>
                    <w:r w:rsidRPr="00FD3521">
                      <w:rPr>
                        <w:sz w:val="16"/>
                        <w:szCs w:val="16"/>
                      </w:rPr>
                      <w:t>31,455,846</w:t>
                    </w:r>
                  </w:p>
                </w:tc>
              </w:sdtContent>
            </w:sdt>
            <w:sdt>
              <w:sdtPr>
                <w:rPr>
                  <w:sz w:val="16"/>
                  <w:szCs w:val="16"/>
                </w:rPr>
                <w:alias w:val="使用权资产明细-账面价值"/>
                <w:tag w:val="_GBC_941da60e08f04bcd9a1eb75e917c0ed1"/>
                <w:id w:val="939251637"/>
                <w:lock w:val="sdtLocked"/>
              </w:sdtPr>
              <w:sdtContent>
                <w:tc>
                  <w:tcPr>
                    <w:tcW w:w="553" w:type="pct"/>
                    <w:shd w:val="clear" w:color="auto" w:fill="auto"/>
                  </w:tcPr>
                  <w:p w:rsidR="00FD3521" w:rsidRPr="00FD3521" w:rsidRDefault="00FD3521" w:rsidP="004B4952">
                    <w:pPr>
                      <w:spacing w:line="240" w:lineRule="atLeast"/>
                      <w:jc w:val="right"/>
                      <w:rPr>
                        <w:sz w:val="16"/>
                        <w:szCs w:val="16"/>
                      </w:rPr>
                    </w:pPr>
                    <w:r w:rsidRPr="00FD3521">
                      <w:rPr>
                        <w:sz w:val="16"/>
                        <w:szCs w:val="16"/>
                      </w:rPr>
                      <w:t>1,727,751</w:t>
                    </w:r>
                  </w:p>
                </w:tc>
              </w:sdtContent>
            </w:sdt>
            <w:sdt>
              <w:sdtPr>
                <w:rPr>
                  <w:sz w:val="16"/>
                  <w:szCs w:val="16"/>
                </w:rPr>
                <w:alias w:val="使用权资产明细-账面价值"/>
                <w:tag w:val="_GBC_941da60e08f04bcd9a1eb75e917c0ed1"/>
                <w:id w:val="-1671624637"/>
                <w:lock w:val="sdtLocked"/>
              </w:sdtPr>
              <w:sdtContent>
                <w:tc>
                  <w:tcPr>
                    <w:tcW w:w="554" w:type="pct"/>
                    <w:shd w:val="clear" w:color="auto" w:fill="auto"/>
                  </w:tcPr>
                  <w:p w:rsidR="00FD3521" w:rsidRPr="00FD3521" w:rsidRDefault="00FD3521" w:rsidP="004B4952">
                    <w:pPr>
                      <w:spacing w:line="240" w:lineRule="atLeast"/>
                      <w:jc w:val="right"/>
                      <w:rPr>
                        <w:sz w:val="16"/>
                        <w:szCs w:val="16"/>
                      </w:rPr>
                    </w:pPr>
                    <w:r w:rsidRPr="00FD3521">
                      <w:rPr>
                        <w:sz w:val="16"/>
                        <w:szCs w:val="16"/>
                      </w:rPr>
                      <w:t>488,374,585</w:t>
                    </w:r>
                  </w:p>
                </w:tc>
              </w:sdtContent>
            </w:sdt>
            <w:sdt>
              <w:sdtPr>
                <w:rPr>
                  <w:sz w:val="16"/>
                  <w:szCs w:val="16"/>
                </w:rPr>
                <w:alias w:val="使用权资产"/>
                <w:tag w:val="_GBC_420e2228c6c64790a3945a1adf3ac5ba"/>
                <w:id w:val="771281167"/>
                <w:lock w:val="sdtLocked"/>
              </w:sdtPr>
              <w:sdtContent>
                <w:tc>
                  <w:tcPr>
                    <w:tcW w:w="484" w:type="pct"/>
                    <w:shd w:val="clear" w:color="auto" w:fill="auto"/>
                  </w:tcPr>
                  <w:p w:rsidR="00FD3521" w:rsidRPr="00FD3521" w:rsidRDefault="00FD3521" w:rsidP="004B4952">
                    <w:pPr>
                      <w:spacing w:line="240" w:lineRule="atLeast"/>
                      <w:jc w:val="right"/>
                      <w:rPr>
                        <w:sz w:val="16"/>
                        <w:szCs w:val="16"/>
                      </w:rPr>
                    </w:pPr>
                    <w:r w:rsidRPr="00FD3521">
                      <w:rPr>
                        <w:sz w:val="16"/>
                        <w:szCs w:val="16"/>
                      </w:rPr>
                      <w:t>737,914,724</w:t>
                    </w:r>
                  </w:p>
                </w:tc>
              </w:sdtContent>
            </w:sdt>
          </w:tr>
          <w:tr w:rsidR="00F84632" w:rsidTr="00F84632">
            <w:trPr>
              <w:trHeight w:val="284"/>
            </w:trPr>
            <w:sdt>
              <w:sdtPr>
                <w:rPr>
                  <w:sz w:val="16"/>
                  <w:szCs w:val="16"/>
                </w:rPr>
                <w:tag w:val="_PLD_93fe6fba803e4d55939d41845bc58fb5"/>
                <w:id w:val="-1599867337"/>
                <w:lock w:val="sdtLocked"/>
              </w:sdtPr>
              <w:sdtContent>
                <w:tc>
                  <w:tcPr>
                    <w:tcW w:w="691" w:type="pct"/>
                    <w:shd w:val="clear" w:color="auto" w:fill="auto"/>
                    <w:vAlign w:val="center"/>
                  </w:tcPr>
                  <w:p w:rsidR="00FD3521" w:rsidRPr="00FD3521" w:rsidRDefault="00FD3521" w:rsidP="004B4952">
                    <w:pPr>
                      <w:spacing w:line="240" w:lineRule="atLeast"/>
                      <w:rPr>
                        <w:sz w:val="16"/>
                        <w:szCs w:val="16"/>
                      </w:rPr>
                    </w:pPr>
                    <w:r w:rsidRPr="00FD3521">
                      <w:rPr>
                        <w:sz w:val="16"/>
                        <w:szCs w:val="16"/>
                      </w:rPr>
                      <w:t xml:space="preserve">    2.期初账面价值</w:t>
                    </w:r>
                  </w:p>
                </w:tc>
              </w:sdtContent>
            </w:sdt>
            <w:sdt>
              <w:sdtPr>
                <w:rPr>
                  <w:sz w:val="16"/>
                  <w:szCs w:val="16"/>
                </w:rPr>
                <w:alias w:val="使用权资产明细-账面价值"/>
                <w:tag w:val="_GBC_84f6dafa81054af6994b4e9d520a2014"/>
                <w:id w:val="12279517"/>
                <w:lock w:val="sdtLocked"/>
              </w:sdtPr>
              <w:sdtContent>
                <w:tc>
                  <w:tcPr>
                    <w:tcW w:w="512" w:type="pct"/>
                    <w:shd w:val="clear" w:color="auto" w:fill="auto"/>
                  </w:tcPr>
                  <w:p w:rsidR="00FD3521" w:rsidRPr="00FD3521" w:rsidRDefault="00FD3521" w:rsidP="004B4952">
                    <w:pPr>
                      <w:spacing w:line="240" w:lineRule="atLeast"/>
                      <w:jc w:val="right"/>
                      <w:rPr>
                        <w:sz w:val="16"/>
                        <w:szCs w:val="16"/>
                      </w:rPr>
                    </w:pPr>
                    <w:r w:rsidRPr="00FD3521">
                      <w:rPr>
                        <w:sz w:val="16"/>
                        <w:szCs w:val="16"/>
                      </w:rPr>
                      <w:t>7,388,864</w:t>
                    </w:r>
                  </w:p>
                </w:tc>
              </w:sdtContent>
            </w:sdt>
            <w:sdt>
              <w:sdtPr>
                <w:rPr>
                  <w:sz w:val="16"/>
                  <w:szCs w:val="16"/>
                </w:rPr>
                <w:alias w:val="使用权资产明细-账面价值"/>
                <w:tag w:val="_GBC_84f6dafa81054af6994b4e9d520a2014"/>
                <w:id w:val="-1873136832"/>
                <w:lock w:val="sdtLocked"/>
              </w:sdtPr>
              <w:sdtContent>
                <w:tc>
                  <w:tcPr>
                    <w:tcW w:w="511" w:type="pct"/>
                    <w:shd w:val="clear" w:color="auto" w:fill="auto"/>
                  </w:tcPr>
                  <w:p w:rsidR="00FD3521" w:rsidRPr="00FD3521" w:rsidRDefault="00FD3521" w:rsidP="004B4952">
                    <w:pPr>
                      <w:spacing w:line="240" w:lineRule="atLeast"/>
                      <w:jc w:val="right"/>
                      <w:rPr>
                        <w:sz w:val="16"/>
                        <w:szCs w:val="16"/>
                      </w:rPr>
                    </w:pPr>
                    <w:r w:rsidRPr="00FD3521">
                      <w:rPr>
                        <w:sz w:val="16"/>
                        <w:szCs w:val="16"/>
                      </w:rPr>
                      <w:t>373,395,222</w:t>
                    </w:r>
                  </w:p>
                </w:tc>
              </w:sdtContent>
            </w:sdt>
            <w:sdt>
              <w:sdtPr>
                <w:rPr>
                  <w:sz w:val="16"/>
                  <w:szCs w:val="16"/>
                </w:rPr>
                <w:alias w:val="使用权资产明细-账面价值"/>
                <w:tag w:val="_GBC_84f6dafa81054af6994b4e9d520a2014"/>
                <w:id w:val="2146611431"/>
                <w:lock w:val="sdtLocked"/>
              </w:sdtPr>
              <w:sdtContent>
                <w:tc>
                  <w:tcPr>
                    <w:tcW w:w="538" w:type="pct"/>
                    <w:shd w:val="clear" w:color="auto" w:fill="auto"/>
                  </w:tcPr>
                  <w:p w:rsidR="00FD3521" w:rsidRPr="00FD3521" w:rsidRDefault="00FD3521" w:rsidP="004B4952">
                    <w:pPr>
                      <w:spacing w:line="240" w:lineRule="atLeast"/>
                      <w:jc w:val="right"/>
                      <w:rPr>
                        <w:sz w:val="16"/>
                        <w:szCs w:val="16"/>
                      </w:rPr>
                    </w:pPr>
                    <w:r w:rsidRPr="00FD3521">
                      <w:rPr>
                        <w:sz w:val="16"/>
                        <w:szCs w:val="16"/>
                      </w:rPr>
                      <w:t>0</w:t>
                    </w:r>
                  </w:p>
                </w:tc>
              </w:sdtContent>
            </w:sdt>
            <w:sdt>
              <w:sdtPr>
                <w:rPr>
                  <w:sz w:val="16"/>
                  <w:szCs w:val="16"/>
                </w:rPr>
                <w:alias w:val="使用权资产明细-账面价值"/>
                <w:tag w:val="_GBC_84f6dafa81054af6994b4e9d520a2014"/>
                <w:id w:val="-380015840"/>
                <w:lock w:val="sdtLocked"/>
              </w:sdtPr>
              <w:sdtContent>
                <w:tc>
                  <w:tcPr>
                    <w:tcW w:w="553" w:type="pct"/>
                    <w:shd w:val="clear" w:color="auto" w:fill="auto"/>
                  </w:tcPr>
                  <w:p w:rsidR="00FD3521" w:rsidRPr="00FD3521" w:rsidRDefault="00FD3521" w:rsidP="004B4952">
                    <w:pPr>
                      <w:spacing w:line="240" w:lineRule="atLeast"/>
                      <w:jc w:val="right"/>
                      <w:rPr>
                        <w:sz w:val="16"/>
                        <w:szCs w:val="16"/>
                      </w:rPr>
                    </w:pPr>
                    <w:r w:rsidRPr="00FD3521">
                      <w:rPr>
                        <w:sz w:val="16"/>
                        <w:szCs w:val="16"/>
                      </w:rPr>
                      <w:t>30,663,192</w:t>
                    </w:r>
                  </w:p>
                </w:tc>
              </w:sdtContent>
            </w:sdt>
            <w:sdt>
              <w:sdtPr>
                <w:rPr>
                  <w:sz w:val="16"/>
                  <w:szCs w:val="16"/>
                </w:rPr>
                <w:alias w:val="使用权资产明细-账面价值"/>
                <w:tag w:val="_GBC_84f6dafa81054af6994b4e9d520a2014"/>
                <w:id w:val="291944476"/>
                <w:lock w:val="sdtLocked"/>
              </w:sdtPr>
              <w:sdtContent>
                <w:tc>
                  <w:tcPr>
                    <w:tcW w:w="604" w:type="pct"/>
                    <w:shd w:val="clear" w:color="auto" w:fill="auto"/>
                  </w:tcPr>
                  <w:p w:rsidR="00FD3521" w:rsidRPr="00FD3521" w:rsidRDefault="00FD3521" w:rsidP="004B4952">
                    <w:pPr>
                      <w:spacing w:line="240" w:lineRule="atLeast"/>
                      <w:jc w:val="right"/>
                      <w:rPr>
                        <w:sz w:val="16"/>
                        <w:szCs w:val="16"/>
                      </w:rPr>
                    </w:pPr>
                    <w:r w:rsidRPr="00FD3521">
                      <w:rPr>
                        <w:sz w:val="16"/>
                        <w:szCs w:val="16"/>
                      </w:rPr>
                      <w:t>43,792,292</w:t>
                    </w:r>
                  </w:p>
                </w:tc>
              </w:sdtContent>
            </w:sdt>
            <w:sdt>
              <w:sdtPr>
                <w:rPr>
                  <w:sz w:val="16"/>
                  <w:szCs w:val="16"/>
                </w:rPr>
                <w:alias w:val="使用权资产明细-账面价值"/>
                <w:tag w:val="_GBC_84f6dafa81054af6994b4e9d520a2014"/>
                <w:id w:val="1906102834"/>
                <w:lock w:val="sdtLocked"/>
              </w:sdtPr>
              <w:sdtContent>
                <w:tc>
                  <w:tcPr>
                    <w:tcW w:w="553" w:type="pct"/>
                    <w:shd w:val="clear" w:color="auto" w:fill="auto"/>
                  </w:tcPr>
                  <w:p w:rsidR="00FD3521" w:rsidRPr="00FD3521" w:rsidRDefault="00FD3521" w:rsidP="004B4952">
                    <w:pPr>
                      <w:spacing w:line="240" w:lineRule="atLeast"/>
                      <w:jc w:val="right"/>
                      <w:rPr>
                        <w:sz w:val="16"/>
                        <w:szCs w:val="16"/>
                      </w:rPr>
                    </w:pPr>
                    <w:r w:rsidRPr="00FD3521">
                      <w:rPr>
                        <w:sz w:val="16"/>
                        <w:szCs w:val="16"/>
                      </w:rPr>
                      <w:t>2,468,584</w:t>
                    </w:r>
                  </w:p>
                </w:tc>
              </w:sdtContent>
            </w:sdt>
            <w:sdt>
              <w:sdtPr>
                <w:rPr>
                  <w:sz w:val="16"/>
                  <w:szCs w:val="16"/>
                </w:rPr>
                <w:alias w:val="使用权资产明细-账面价值"/>
                <w:tag w:val="_GBC_84f6dafa81054af6994b4e9d520a2014"/>
                <w:id w:val="1139766640"/>
                <w:lock w:val="sdtLocked"/>
              </w:sdtPr>
              <w:sdtContent>
                <w:tc>
                  <w:tcPr>
                    <w:tcW w:w="554" w:type="pct"/>
                    <w:shd w:val="clear" w:color="auto" w:fill="auto"/>
                  </w:tcPr>
                  <w:p w:rsidR="00FD3521" w:rsidRPr="00FD3521" w:rsidRDefault="00FD3521" w:rsidP="004B4952">
                    <w:pPr>
                      <w:spacing w:line="240" w:lineRule="atLeast"/>
                      <w:jc w:val="right"/>
                      <w:rPr>
                        <w:sz w:val="16"/>
                        <w:szCs w:val="16"/>
                      </w:rPr>
                    </w:pPr>
                    <w:r w:rsidRPr="00FD3521">
                      <w:rPr>
                        <w:sz w:val="16"/>
                        <w:szCs w:val="16"/>
                      </w:rPr>
                      <w:t>500,963,704</w:t>
                    </w:r>
                  </w:p>
                </w:tc>
              </w:sdtContent>
            </w:sdt>
            <w:sdt>
              <w:sdtPr>
                <w:rPr>
                  <w:sz w:val="16"/>
                  <w:szCs w:val="16"/>
                </w:rPr>
                <w:alias w:val="使用权资产"/>
                <w:tag w:val="_GBC_6bb62eee87504f97bf7bf0e2c4c1a5f8"/>
                <w:id w:val="-1802603874"/>
                <w:lock w:val="sdtLocked"/>
              </w:sdtPr>
              <w:sdtContent>
                <w:tc>
                  <w:tcPr>
                    <w:tcW w:w="484" w:type="pct"/>
                    <w:shd w:val="clear" w:color="auto" w:fill="auto"/>
                  </w:tcPr>
                  <w:p w:rsidR="00FD3521" w:rsidRPr="00FD3521" w:rsidRDefault="00FD3521" w:rsidP="004B4952">
                    <w:pPr>
                      <w:spacing w:line="240" w:lineRule="atLeast"/>
                      <w:jc w:val="right"/>
                      <w:rPr>
                        <w:sz w:val="16"/>
                        <w:szCs w:val="16"/>
                      </w:rPr>
                    </w:pPr>
                    <w:r w:rsidRPr="00FD3521">
                      <w:rPr>
                        <w:sz w:val="16"/>
                        <w:szCs w:val="16"/>
                      </w:rPr>
                      <w:t>958,671,858</w:t>
                    </w:r>
                  </w:p>
                </w:tc>
              </w:sdtContent>
            </w:sdt>
          </w:tr>
        </w:tbl>
        <w:p w:rsidR="0036726C" w:rsidRDefault="0036726C" w:rsidP="004B4952">
          <w:pPr>
            <w:autoSpaceDE w:val="0"/>
            <w:autoSpaceDN w:val="0"/>
            <w:adjustRightInd w:val="0"/>
            <w:rPr>
              <w:szCs w:val="21"/>
            </w:rPr>
          </w:pPr>
        </w:p>
        <w:p w:rsidR="00D176AB" w:rsidRDefault="00D176AB" w:rsidP="004B4952">
          <w:pPr>
            <w:autoSpaceDE w:val="0"/>
            <w:autoSpaceDN w:val="0"/>
            <w:adjustRightInd w:val="0"/>
            <w:rPr>
              <w:szCs w:val="21"/>
            </w:rPr>
          </w:pPr>
          <w:r>
            <w:rPr>
              <w:rFonts w:hint="eastAsia"/>
              <w:szCs w:val="21"/>
            </w:rPr>
            <w:t>其他说明：</w:t>
          </w:r>
        </w:p>
        <w:p w:rsidR="00D176AB" w:rsidRDefault="00F80B6C" w:rsidP="004B4952">
          <w:sdt>
            <w:sdtPr>
              <w:alias w:val="使用权资产其他说明"/>
              <w:tag w:val="_GBC_e3fedf0a332542fb99170d60bd699cf6"/>
              <w:id w:val="1971244832"/>
              <w:lock w:val="sdtLocked"/>
            </w:sdtPr>
            <w:sdtContent>
              <w:r w:rsidR="00FD3521">
                <w:rPr>
                  <w:rFonts w:hint="eastAsia"/>
                </w:rPr>
                <w:t>无</w:t>
              </w:r>
            </w:sdtContent>
          </w:sdt>
        </w:p>
        <w:p w:rsidR="001C3754" w:rsidRPr="0036726C" w:rsidRDefault="00F80B6C">
          <w:pPr>
            <w:rPr>
              <w:sz w:val="12"/>
              <w:szCs w:val="12"/>
            </w:rPr>
            <w:sectPr w:rsidR="001C3754" w:rsidRPr="0036726C" w:rsidSect="001C3754">
              <w:pgSz w:w="16838" w:h="11906" w:orient="landscape"/>
              <w:pgMar w:top="1276" w:right="1440" w:bottom="1797" w:left="1525" w:header="856" w:footer="992" w:gutter="0"/>
              <w:cols w:space="425"/>
              <w:docGrid w:type="lines" w:linePitch="312"/>
            </w:sectPr>
          </w:pPr>
        </w:p>
      </w:sdtContent>
    </w:sdt>
    <w:bookmarkEnd w:id="205" w:displacedByCustomXml="prev"/>
    <w:bookmarkEnd w:id="206" w:displacedByCustomXml="prev"/>
    <w:p w:rsidR="00806678" w:rsidRDefault="00B16377" w:rsidP="00FF17C7">
      <w:pPr>
        <w:pStyle w:val="3"/>
        <w:numPr>
          <w:ilvl w:val="0"/>
          <w:numId w:val="18"/>
        </w:numPr>
        <w:tabs>
          <w:tab w:val="left" w:pos="504"/>
        </w:tabs>
        <w:rPr>
          <w:rFonts w:ascii="宋体" w:hAnsi="宋体"/>
          <w:szCs w:val="21"/>
        </w:rPr>
      </w:pPr>
      <w:r>
        <w:rPr>
          <w:rFonts w:ascii="宋体" w:hAnsi="宋体" w:hint="eastAsia"/>
          <w:szCs w:val="21"/>
        </w:rPr>
        <w:lastRenderedPageBreak/>
        <w:t>无形资产</w:t>
      </w:r>
    </w:p>
    <w:bookmarkStart w:id="207" w:name="_Hlk90557281" w:displacedByCustomXml="next"/>
    <w:sdt>
      <w:sdtPr>
        <w:rPr>
          <w:rFonts w:ascii="宋体" w:eastAsia="宋体" w:hAnsi="宋体" w:cs="宋体" w:hint="eastAsia"/>
          <w:b w:val="0"/>
          <w:bCs w:val="0"/>
          <w:kern w:val="0"/>
          <w:szCs w:val="24"/>
        </w:rPr>
        <w:alias w:val="模块:无形资产情况"/>
        <w:tag w:val="_SEC_dc6f356c9a9a424bba90c1f6f28b2ab0"/>
        <w:id w:val="1005404203"/>
        <w:lock w:val="sdtLocked"/>
        <w:placeholder>
          <w:docPart w:val="GBC22222222222222222222222222222"/>
        </w:placeholder>
      </w:sdtPr>
      <w:sdtEndPr>
        <w:rPr>
          <w:rFonts w:hint="default"/>
          <w:szCs w:val="21"/>
        </w:rPr>
      </w:sdtEndPr>
      <w:sdtContent>
        <w:p w:rsidR="00806678" w:rsidRDefault="00B16377" w:rsidP="00FF17C7">
          <w:pPr>
            <w:pStyle w:val="4"/>
            <w:numPr>
              <w:ilvl w:val="3"/>
              <w:numId w:val="89"/>
            </w:numPr>
            <w:ind w:left="426" w:hanging="426"/>
          </w:pPr>
          <w:r>
            <w:rPr>
              <w:rFonts w:hint="eastAsia"/>
            </w:rPr>
            <w:t>无形资产情况</w:t>
          </w:r>
        </w:p>
        <w:sdt>
          <w:sdtPr>
            <w:rPr>
              <w:rFonts w:hint="eastAsia"/>
              <w:szCs w:val="21"/>
            </w:rPr>
            <w:alias w:val="是否适用：无形资产情况[双击切换]"/>
            <w:tag w:val="_GBC_42237c7a99c64602a661c1668bc893bd"/>
            <w:id w:val="-1056155982"/>
            <w:lock w:val="sdtLocked"/>
            <w:placeholder>
              <w:docPart w:val="GBC22222222222222222222222222222"/>
            </w:placeholder>
          </w:sdtPr>
          <w:sdtContent>
            <w:p w:rsidR="00806678" w:rsidRDefault="00F80B6C">
              <w:pPr>
                <w:snapToGrid w:val="0"/>
                <w:spacing w:line="240" w:lineRule="atLeast"/>
                <w:rPr>
                  <w:szCs w:val="21"/>
                </w:rPr>
              </w:pPr>
              <w:r>
                <w:rPr>
                  <w:szCs w:val="21"/>
                </w:rPr>
                <w:fldChar w:fldCharType="begin"/>
              </w:r>
              <w:r w:rsidR="009C54D9">
                <w:rPr>
                  <w:szCs w:val="21"/>
                </w:rPr>
                <w:instrText xml:space="preserve"> MACROBUTTON  SnrToggleCheckbox √适用  </w:instrText>
              </w:r>
              <w:r>
                <w:rPr>
                  <w:szCs w:val="21"/>
                </w:rPr>
                <w:fldChar w:fldCharType="end"/>
              </w:r>
              <w:r>
                <w:rPr>
                  <w:szCs w:val="21"/>
                </w:rPr>
                <w:fldChar w:fldCharType="begin"/>
              </w:r>
              <w:r w:rsidR="009C54D9">
                <w:rPr>
                  <w:szCs w:val="21"/>
                </w:rPr>
                <w:instrText xml:space="preserve"> MACROBUTTON  SnrToggleCheckbox □不适用 </w:instrText>
              </w:r>
              <w:r>
                <w:rPr>
                  <w:szCs w:val="21"/>
                </w:rPr>
                <w:fldChar w:fldCharType="end"/>
              </w:r>
            </w:p>
          </w:sdtContent>
        </w:sdt>
        <w:p w:rsidR="00806678" w:rsidRDefault="00B16377">
          <w:pPr>
            <w:snapToGrid w:val="0"/>
            <w:spacing w:line="240" w:lineRule="atLeast"/>
            <w:jc w:val="right"/>
            <w:rPr>
              <w:szCs w:val="21"/>
            </w:rPr>
          </w:pPr>
          <w:r>
            <w:rPr>
              <w:rFonts w:hint="eastAsia"/>
              <w:szCs w:val="21"/>
            </w:rPr>
            <w:t>单位：</w:t>
          </w:r>
          <w:sdt>
            <w:sdtPr>
              <w:rPr>
                <w:rFonts w:hint="eastAsia"/>
                <w:szCs w:val="21"/>
              </w:rPr>
              <w:alias w:val="单位：财务附注：无形资产情况"/>
              <w:tag w:val="_GBC_37e64bddc8e645b48a19b4e7bafb7839"/>
              <w:id w:val="-4414456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无形资产情况"/>
              <w:tag w:val="_GBC_2c85ccef3cf1470c8cf657b14b474192"/>
              <w:id w:val="97957859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68"/>
            <w:gridCol w:w="2049"/>
            <w:gridCol w:w="2061"/>
            <w:gridCol w:w="2271"/>
          </w:tblGrid>
          <w:tr w:rsidR="00EA6D59" w:rsidTr="00EA6D59">
            <w:trPr>
              <w:trHeight w:val="340"/>
            </w:trPr>
            <w:sdt>
              <w:sdtPr>
                <w:tag w:val="_PLD_0d0c5c4c9acf46eaa7c41a19eb731a5c"/>
                <w:id w:val="980264971"/>
                <w:lock w:val="sdtLocked"/>
              </w:sdtPr>
              <w:sdtContent>
                <w:tc>
                  <w:tcPr>
                    <w:tcW w:w="1474" w:type="pct"/>
                    <w:shd w:val="clear" w:color="auto" w:fill="auto"/>
                    <w:vAlign w:val="center"/>
                  </w:tcPr>
                  <w:p w:rsidR="00EA6D59" w:rsidRDefault="00EA6D59" w:rsidP="00601D47">
                    <w:pPr>
                      <w:jc w:val="center"/>
                      <w:rPr>
                        <w:szCs w:val="21"/>
                      </w:rPr>
                    </w:pPr>
                    <w:r>
                      <w:rPr>
                        <w:rFonts w:hint="eastAsia"/>
                        <w:szCs w:val="21"/>
                      </w:rPr>
                      <w:t>项目</w:t>
                    </w:r>
                  </w:p>
                </w:tc>
              </w:sdtContent>
            </w:sdt>
            <w:sdt>
              <w:sdtPr>
                <w:tag w:val="_PLD_0dfc6d612ce04e4ab91d7f5c675c7954"/>
                <w:id w:val="464314442"/>
                <w:lock w:val="sdtLocked"/>
              </w:sdtPr>
              <w:sdtContent>
                <w:tc>
                  <w:tcPr>
                    <w:tcW w:w="1132" w:type="pct"/>
                    <w:shd w:val="clear" w:color="auto" w:fill="auto"/>
                    <w:vAlign w:val="center"/>
                  </w:tcPr>
                  <w:p w:rsidR="00EA6D59" w:rsidRDefault="00EA6D59" w:rsidP="00601D47">
                    <w:pPr>
                      <w:jc w:val="center"/>
                      <w:rPr>
                        <w:szCs w:val="21"/>
                      </w:rPr>
                    </w:pPr>
                    <w:r>
                      <w:rPr>
                        <w:rFonts w:hint="eastAsia"/>
                        <w:szCs w:val="21"/>
                      </w:rPr>
                      <w:t>土地使用权</w:t>
                    </w:r>
                  </w:p>
                </w:tc>
              </w:sdtContent>
            </w:sdt>
            <w:sdt>
              <w:sdtPr>
                <w:rPr>
                  <w:szCs w:val="21"/>
                </w:rPr>
                <w:alias w:val="无形资产明细－项目"/>
                <w:tag w:val="_GBC_1a0001be34594900ba0c5e610a635d50"/>
                <w:id w:val="-711345829"/>
                <w:lock w:val="sdtLocked"/>
              </w:sdtPr>
              <w:sdtEndPr>
                <w:rPr>
                  <w:rFonts w:hint="eastAsia"/>
                </w:rPr>
              </w:sdtEndPr>
              <w:sdtContent>
                <w:tc>
                  <w:tcPr>
                    <w:tcW w:w="1139" w:type="pct"/>
                    <w:shd w:val="clear" w:color="auto" w:fill="auto"/>
                    <w:vAlign w:val="center"/>
                  </w:tcPr>
                  <w:p w:rsidR="00EA6D59" w:rsidRDefault="00EA6D59" w:rsidP="00601D47">
                    <w:pPr>
                      <w:jc w:val="center"/>
                      <w:rPr>
                        <w:szCs w:val="21"/>
                      </w:rPr>
                    </w:pPr>
                    <w:r>
                      <w:rPr>
                        <w:rFonts w:hint="eastAsia"/>
                        <w:szCs w:val="21"/>
                      </w:rPr>
                      <w:t>计算机软件</w:t>
                    </w:r>
                  </w:p>
                </w:tc>
              </w:sdtContent>
            </w:sdt>
            <w:sdt>
              <w:sdtPr>
                <w:tag w:val="_PLD_010a173744294c79817b77db863e3438"/>
                <w:id w:val="1320774577"/>
                <w:lock w:val="sdtLocked"/>
              </w:sdtPr>
              <w:sdtContent>
                <w:tc>
                  <w:tcPr>
                    <w:tcW w:w="1255" w:type="pct"/>
                    <w:shd w:val="clear" w:color="auto" w:fill="auto"/>
                    <w:vAlign w:val="center"/>
                  </w:tcPr>
                  <w:p w:rsidR="00EA6D59" w:rsidRDefault="00EA6D59" w:rsidP="00601D47">
                    <w:pPr>
                      <w:jc w:val="center"/>
                      <w:rPr>
                        <w:szCs w:val="21"/>
                      </w:rPr>
                    </w:pPr>
                    <w:r>
                      <w:rPr>
                        <w:szCs w:val="21"/>
                      </w:rPr>
                      <w:t>合计</w:t>
                    </w:r>
                  </w:p>
                </w:tc>
              </w:sdtContent>
            </w:sdt>
          </w:tr>
          <w:tr w:rsidR="00EA6D59" w:rsidTr="00EA6D59">
            <w:trPr>
              <w:trHeight w:val="340"/>
            </w:trPr>
            <w:sdt>
              <w:sdtPr>
                <w:tag w:val="_PLD_d38b2136312a4180852ade61efe6b93c"/>
                <w:id w:val="-884483639"/>
                <w:lock w:val="sdtLocked"/>
              </w:sdtPr>
              <w:sdtContent>
                <w:tc>
                  <w:tcPr>
                    <w:tcW w:w="5000" w:type="pct"/>
                    <w:gridSpan w:val="4"/>
                    <w:shd w:val="clear" w:color="auto" w:fill="auto"/>
                    <w:vAlign w:val="center"/>
                  </w:tcPr>
                  <w:p w:rsidR="00EA6D59" w:rsidRDefault="00EA6D59" w:rsidP="00601D47">
                    <w:pPr>
                      <w:rPr>
                        <w:szCs w:val="21"/>
                      </w:rPr>
                    </w:pPr>
                    <w:r>
                      <w:rPr>
                        <w:szCs w:val="21"/>
                      </w:rPr>
                      <w:t>一、</w:t>
                    </w:r>
                    <w:r>
                      <w:rPr>
                        <w:rFonts w:hint="eastAsia"/>
                        <w:szCs w:val="21"/>
                      </w:rPr>
                      <w:t>账面原值</w:t>
                    </w:r>
                  </w:p>
                </w:tc>
              </w:sdtContent>
            </w:sdt>
          </w:tr>
          <w:tr w:rsidR="00EA6D59" w:rsidTr="0016339A">
            <w:trPr>
              <w:trHeight w:val="340"/>
            </w:trPr>
            <w:sdt>
              <w:sdtPr>
                <w:tag w:val="_PLD_c5adbbf7566848428d517f50646b04c1"/>
                <w:id w:val="1355149856"/>
                <w:lock w:val="sdtLocked"/>
              </w:sdtPr>
              <w:sdtContent>
                <w:tc>
                  <w:tcPr>
                    <w:tcW w:w="1474" w:type="pct"/>
                    <w:shd w:val="clear" w:color="auto" w:fill="auto"/>
                    <w:vAlign w:val="center"/>
                  </w:tcPr>
                  <w:p w:rsidR="00EA6D59" w:rsidRDefault="00EA6D59" w:rsidP="00601D47">
                    <w:pPr>
                      <w:rPr>
                        <w:szCs w:val="21"/>
                      </w:rPr>
                    </w:pPr>
                    <w:r>
                      <w:rPr>
                        <w:szCs w:val="21"/>
                      </w:rPr>
                      <w:t xml:space="preserve">    1.</w:t>
                    </w:r>
                    <w:r>
                      <w:rPr>
                        <w:rFonts w:hint="eastAsia"/>
                        <w:szCs w:val="21"/>
                      </w:rPr>
                      <w:t>期</w:t>
                    </w:r>
                    <w:r>
                      <w:rPr>
                        <w:szCs w:val="21"/>
                      </w:rPr>
                      <w:t>初余额</w:t>
                    </w:r>
                  </w:p>
                </w:tc>
              </w:sdtContent>
            </w:sdt>
            <w:tc>
              <w:tcPr>
                <w:tcW w:w="1132" w:type="pct"/>
                <w:shd w:val="clear" w:color="auto" w:fill="auto"/>
                <w:vAlign w:val="bottom"/>
              </w:tcPr>
              <w:p w:rsidR="00EA6D59" w:rsidRDefault="00EA6D59" w:rsidP="0016339A">
                <w:pPr>
                  <w:jc w:val="right"/>
                  <w:rPr>
                    <w:szCs w:val="21"/>
                  </w:rPr>
                </w:pPr>
                <w:r>
                  <w:t>11,218,064,975</w:t>
                </w:r>
              </w:p>
            </w:tc>
            <w:tc>
              <w:tcPr>
                <w:tcW w:w="1139" w:type="pct"/>
                <w:shd w:val="clear" w:color="auto" w:fill="auto"/>
                <w:vAlign w:val="bottom"/>
              </w:tcPr>
              <w:p w:rsidR="00EA6D59" w:rsidRDefault="00EA6D59" w:rsidP="0016339A">
                <w:pPr>
                  <w:jc w:val="right"/>
                  <w:rPr>
                    <w:szCs w:val="21"/>
                  </w:rPr>
                </w:pPr>
                <w:r>
                  <w:t>212,458,941</w:t>
                </w:r>
              </w:p>
            </w:tc>
            <w:tc>
              <w:tcPr>
                <w:tcW w:w="1255" w:type="pct"/>
                <w:shd w:val="clear" w:color="auto" w:fill="auto"/>
                <w:vAlign w:val="bottom"/>
              </w:tcPr>
              <w:p w:rsidR="00EA6D59" w:rsidRDefault="00EA6D59" w:rsidP="0016339A">
                <w:pPr>
                  <w:jc w:val="right"/>
                  <w:rPr>
                    <w:szCs w:val="21"/>
                  </w:rPr>
                </w:pPr>
                <w:r>
                  <w:t>11,430,523,916</w:t>
                </w:r>
              </w:p>
            </w:tc>
          </w:tr>
          <w:tr w:rsidR="00EA6D59" w:rsidTr="0016339A">
            <w:trPr>
              <w:trHeight w:val="340"/>
            </w:trPr>
            <w:sdt>
              <w:sdtPr>
                <w:tag w:val="_PLD_0b446630b07f4e06a5d143f4d4a21911"/>
                <w:id w:val="624196166"/>
                <w:lock w:val="sdtLocked"/>
              </w:sdtPr>
              <w:sdtContent>
                <w:tc>
                  <w:tcPr>
                    <w:tcW w:w="1474" w:type="pct"/>
                    <w:shd w:val="clear" w:color="auto" w:fill="auto"/>
                    <w:vAlign w:val="center"/>
                  </w:tcPr>
                  <w:p w:rsidR="00EA6D59" w:rsidRDefault="00EA6D59" w:rsidP="00601D47">
                    <w:pPr>
                      <w:ind w:firstLineChars="200" w:firstLine="420"/>
                      <w:rPr>
                        <w:szCs w:val="21"/>
                      </w:rPr>
                    </w:pPr>
                    <w:r>
                      <w:rPr>
                        <w:szCs w:val="21"/>
                      </w:rPr>
                      <w:t>2.本期增加</w:t>
                    </w:r>
                    <w:r>
                      <w:rPr>
                        <w:rFonts w:hint="eastAsia"/>
                        <w:szCs w:val="21"/>
                      </w:rPr>
                      <w:t>金额</w:t>
                    </w:r>
                  </w:p>
                </w:tc>
              </w:sdtContent>
            </w:sdt>
            <w:tc>
              <w:tcPr>
                <w:tcW w:w="1132" w:type="pct"/>
                <w:shd w:val="clear" w:color="auto" w:fill="auto"/>
                <w:vAlign w:val="bottom"/>
              </w:tcPr>
              <w:p w:rsidR="00EA6D59" w:rsidRDefault="00EA6D59" w:rsidP="0016339A">
                <w:pPr>
                  <w:jc w:val="right"/>
                  <w:rPr>
                    <w:szCs w:val="21"/>
                  </w:rPr>
                </w:pPr>
                <w:r>
                  <w:t>1,654,032</w:t>
                </w:r>
              </w:p>
            </w:tc>
            <w:tc>
              <w:tcPr>
                <w:tcW w:w="1139" w:type="pct"/>
                <w:shd w:val="clear" w:color="auto" w:fill="auto"/>
                <w:vAlign w:val="bottom"/>
              </w:tcPr>
              <w:p w:rsidR="00EA6D59" w:rsidRDefault="00EA6D59" w:rsidP="0016339A">
                <w:pPr>
                  <w:jc w:val="right"/>
                  <w:rPr>
                    <w:szCs w:val="21"/>
                  </w:rPr>
                </w:pPr>
                <w:r>
                  <w:t>5,919,398</w:t>
                </w:r>
              </w:p>
            </w:tc>
            <w:tc>
              <w:tcPr>
                <w:tcW w:w="1255" w:type="pct"/>
                <w:shd w:val="clear" w:color="auto" w:fill="auto"/>
                <w:vAlign w:val="bottom"/>
              </w:tcPr>
              <w:p w:rsidR="00EA6D59" w:rsidRDefault="00EA6D59" w:rsidP="0016339A">
                <w:pPr>
                  <w:jc w:val="right"/>
                  <w:rPr>
                    <w:szCs w:val="21"/>
                  </w:rPr>
                </w:pPr>
                <w:r>
                  <w:t>7,573,430</w:t>
                </w:r>
              </w:p>
            </w:tc>
          </w:tr>
          <w:tr w:rsidR="00EA6D59" w:rsidTr="0016339A">
            <w:trPr>
              <w:trHeight w:val="340"/>
            </w:trPr>
            <w:sdt>
              <w:sdtPr>
                <w:tag w:val="_PLD_add88995250b4c76b28f71f8876082c0"/>
                <w:id w:val="613566138"/>
                <w:lock w:val="sdtLocked"/>
              </w:sdtPr>
              <w:sdtContent>
                <w:tc>
                  <w:tcPr>
                    <w:tcW w:w="1474" w:type="pct"/>
                    <w:shd w:val="clear" w:color="auto" w:fill="auto"/>
                    <w:vAlign w:val="center"/>
                  </w:tcPr>
                  <w:p w:rsidR="00EA6D59" w:rsidRDefault="00EA6D59" w:rsidP="00601D47">
                    <w:pPr>
                      <w:ind w:firstLineChars="300" w:firstLine="630"/>
                      <w:rPr>
                        <w:szCs w:val="21"/>
                      </w:rPr>
                    </w:pPr>
                    <w:r>
                      <w:rPr>
                        <w:szCs w:val="21"/>
                      </w:rPr>
                      <w:t>(1)</w:t>
                    </w:r>
                    <w:r>
                      <w:rPr>
                        <w:rFonts w:hint="eastAsia"/>
                        <w:szCs w:val="21"/>
                      </w:rPr>
                      <w:t>购置</w:t>
                    </w:r>
                  </w:p>
                </w:tc>
              </w:sdtContent>
            </w:sdt>
            <w:tc>
              <w:tcPr>
                <w:tcW w:w="1132" w:type="pct"/>
                <w:shd w:val="clear" w:color="auto" w:fill="auto"/>
                <w:vAlign w:val="bottom"/>
              </w:tcPr>
              <w:p w:rsidR="00EA6D59" w:rsidRDefault="00EA6D59" w:rsidP="0016339A">
                <w:pPr>
                  <w:jc w:val="right"/>
                  <w:rPr>
                    <w:szCs w:val="21"/>
                  </w:rPr>
                </w:pPr>
                <w:r>
                  <w:t>1,654,032</w:t>
                </w:r>
              </w:p>
            </w:tc>
            <w:tc>
              <w:tcPr>
                <w:tcW w:w="1139" w:type="pct"/>
                <w:shd w:val="clear" w:color="auto" w:fill="auto"/>
                <w:vAlign w:val="bottom"/>
              </w:tcPr>
              <w:p w:rsidR="00EA6D59" w:rsidRDefault="00EA6D59" w:rsidP="0016339A">
                <w:pPr>
                  <w:jc w:val="right"/>
                  <w:rPr>
                    <w:szCs w:val="21"/>
                  </w:rPr>
                </w:pPr>
                <w:r>
                  <w:t>5,919,398</w:t>
                </w:r>
              </w:p>
            </w:tc>
            <w:tc>
              <w:tcPr>
                <w:tcW w:w="1255" w:type="pct"/>
                <w:shd w:val="clear" w:color="auto" w:fill="auto"/>
                <w:vAlign w:val="bottom"/>
              </w:tcPr>
              <w:p w:rsidR="00EA6D59" w:rsidRDefault="00EA6D59" w:rsidP="0016339A">
                <w:pPr>
                  <w:jc w:val="right"/>
                  <w:rPr>
                    <w:szCs w:val="21"/>
                  </w:rPr>
                </w:pPr>
                <w:r>
                  <w:t>7,573,430</w:t>
                </w:r>
              </w:p>
            </w:tc>
          </w:tr>
          <w:tr w:rsidR="00EA6D59" w:rsidTr="0016339A">
            <w:trPr>
              <w:trHeight w:val="233"/>
            </w:trPr>
            <w:sdt>
              <w:sdtPr>
                <w:rPr>
                  <w:rFonts w:hint="eastAsia"/>
                  <w:szCs w:val="21"/>
                </w:rPr>
                <w:alias w:val="无形资产账面原值增加项目名称"/>
                <w:tag w:val="_GBC_d6a7b28bd7ca4aa39125f2767fd9ab9f"/>
                <w:id w:val="-1779640233"/>
                <w:lock w:val="sdtLocked"/>
              </w:sdtPr>
              <w:sdtContent>
                <w:tc>
                  <w:tcPr>
                    <w:tcW w:w="1474" w:type="pct"/>
                    <w:shd w:val="clear" w:color="auto" w:fill="auto"/>
                  </w:tcPr>
                  <w:p w:rsidR="00EA6D59" w:rsidRDefault="00EA6D59" w:rsidP="00601D47">
                    <w:pPr>
                      <w:ind w:firstLineChars="300" w:firstLine="630"/>
                      <w:rPr>
                        <w:szCs w:val="21"/>
                      </w:rPr>
                    </w:pPr>
                    <w:r>
                      <w:rPr>
                        <w:rFonts w:hint="eastAsia"/>
                        <w:szCs w:val="21"/>
                      </w:rPr>
                      <w:t>(2)在建工程转入</w:t>
                    </w:r>
                  </w:p>
                </w:tc>
              </w:sdtContent>
            </w:sdt>
            <w:sdt>
              <w:sdtPr>
                <w:rPr>
                  <w:rFonts w:hint="eastAsia"/>
                  <w:szCs w:val="21"/>
                </w:rPr>
                <w:alias w:val="无形资产土地使用权账面原值增加项目金额"/>
                <w:tag w:val="_GBC_9d8bf2f510cd46118a3d12ca31768262"/>
                <w:id w:val="-229394621"/>
                <w:lock w:val="sdtLocked"/>
              </w:sdtPr>
              <w:sdtContent>
                <w:tc>
                  <w:tcPr>
                    <w:tcW w:w="1132" w:type="pct"/>
                    <w:shd w:val="clear" w:color="auto" w:fill="auto"/>
                    <w:vAlign w:val="bottom"/>
                  </w:tcPr>
                  <w:p w:rsidR="00EA6D59" w:rsidRDefault="00EA6D59" w:rsidP="0016339A">
                    <w:pPr>
                      <w:jc w:val="right"/>
                      <w:rPr>
                        <w:szCs w:val="21"/>
                      </w:rPr>
                    </w:pPr>
                    <w:r>
                      <w:rPr>
                        <w:rFonts w:hint="eastAsia"/>
                        <w:szCs w:val="21"/>
                      </w:rPr>
                      <w:t>0</w:t>
                    </w:r>
                  </w:p>
                </w:tc>
              </w:sdtContent>
            </w:sdt>
            <w:sdt>
              <w:sdtPr>
                <w:rPr>
                  <w:rFonts w:hint="eastAsia"/>
                  <w:szCs w:val="21"/>
                </w:rPr>
                <w:alias w:val="无形资产账面原值增加项目金额"/>
                <w:tag w:val="_GBC_a6b096aacdf74ddbaab2733bf6200591"/>
                <w:id w:val="-226000917"/>
                <w:lock w:val="sdtLocked"/>
              </w:sdtPr>
              <w:sdtContent>
                <w:tc>
                  <w:tcPr>
                    <w:tcW w:w="1139" w:type="pct"/>
                    <w:shd w:val="clear" w:color="auto" w:fill="auto"/>
                    <w:vAlign w:val="bottom"/>
                  </w:tcPr>
                  <w:p w:rsidR="00EA6D59" w:rsidRDefault="00EA6D59" w:rsidP="0016339A">
                    <w:pPr>
                      <w:jc w:val="right"/>
                      <w:rPr>
                        <w:szCs w:val="21"/>
                      </w:rPr>
                    </w:pPr>
                    <w:r>
                      <w:rPr>
                        <w:rFonts w:hint="eastAsia"/>
                        <w:szCs w:val="21"/>
                      </w:rPr>
                      <w:t>0</w:t>
                    </w:r>
                  </w:p>
                </w:tc>
              </w:sdtContent>
            </w:sdt>
            <w:sdt>
              <w:sdtPr>
                <w:rPr>
                  <w:rFonts w:hint="eastAsia"/>
                  <w:szCs w:val="21"/>
                </w:rPr>
                <w:alias w:val="无形资产账面原值增加项目合计金额"/>
                <w:tag w:val="_GBC_f430b82dfa64408097d661b35d65c080"/>
                <w:id w:val="-1494481367"/>
                <w:lock w:val="sdtLocked"/>
              </w:sdtPr>
              <w:sdtContent>
                <w:tc>
                  <w:tcPr>
                    <w:tcW w:w="1255" w:type="pct"/>
                    <w:shd w:val="clear" w:color="auto" w:fill="auto"/>
                    <w:vAlign w:val="bottom"/>
                  </w:tcPr>
                  <w:p w:rsidR="00EA6D59" w:rsidRDefault="00EA6D59" w:rsidP="0016339A">
                    <w:pPr>
                      <w:jc w:val="right"/>
                      <w:rPr>
                        <w:szCs w:val="21"/>
                      </w:rPr>
                    </w:pPr>
                    <w:r>
                      <w:rPr>
                        <w:rFonts w:hint="eastAsia"/>
                        <w:szCs w:val="21"/>
                      </w:rPr>
                      <w:t>0</w:t>
                    </w:r>
                  </w:p>
                </w:tc>
              </w:sdtContent>
            </w:sdt>
          </w:tr>
          <w:tr w:rsidR="00EA6D59" w:rsidTr="0016339A">
            <w:trPr>
              <w:trHeight w:val="340"/>
            </w:trPr>
            <w:sdt>
              <w:sdtPr>
                <w:tag w:val="_PLD_ef6de8d106a344419ba63c194a180aab"/>
                <w:id w:val="-1805840971"/>
                <w:lock w:val="sdtLocked"/>
              </w:sdtPr>
              <w:sdtContent>
                <w:tc>
                  <w:tcPr>
                    <w:tcW w:w="1474" w:type="pct"/>
                    <w:shd w:val="clear" w:color="auto" w:fill="auto"/>
                    <w:vAlign w:val="center"/>
                  </w:tcPr>
                  <w:p w:rsidR="00EA6D59" w:rsidRDefault="00EA6D59" w:rsidP="00601D47">
                    <w:pPr>
                      <w:rPr>
                        <w:szCs w:val="21"/>
                      </w:rPr>
                    </w:pPr>
                    <w:r>
                      <w:rPr>
                        <w:szCs w:val="21"/>
                      </w:rPr>
                      <w:t xml:space="preserve">    3.本期减少</w:t>
                    </w:r>
                    <w:r>
                      <w:rPr>
                        <w:rFonts w:hint="eastAsia"/>
                        <w:szCs w:val="21"/>
                      </w:rPr>
                      <w:t>金额</w:t>
                    </w:r>
                  </w:p>
                </w:tc>
              </w:sdtContent>
            </w:sdt>
            <w:tc>
              <w:tcPr>
                <w:tcW w:w="1132" w:type="pct"/>
                <w:shd w:val="clear" w:color="auto" w:fill="auto"/>
                <w:vAlign w:val="bottom"/>
              </w:tcPr>
              <w:p w:rsidR="00EA6D59" w:rsidRDefault="00EA6D59" w:rsidP="0016339A">
                <w:pPr>
                  <w:jc w:val="right"/>
                  <w:rPr>
                    <w:szCs w:val="21"/>
                  </w:rPr>
                </w:pPr>
                <w:r>
                  <w:t>0</w:t>
                </w:r>
              </w:p>
            </w:tc>
            <w:tc>
              <w:tcPr>
                <w:tcW w:w="1139" w:type="pct"/>
                <w:shd w:val="clear" w:color="auto" w:fill="auto"/>
                <w:vAlign w:val="bottom"/>
              </w:tcPr>
              <w:p w:rsidR="00EA6D59" w:rsidRDefault="00EA6D59" w:rsidP="0016339A">
                <w:pPr>
                  <w:jc w:val="right"/>
                  <w:rPr>
                    <w:szCs w:val="21"/>
                  </w:rPr>
                </w:pPr>
                <w:r>
                  <w:t>1,423,000</w:t>
                </w:r>
              </w:p>
            </w:tc>
            <w:tc>
              <w:tcPr>
                <w:tcW w:w="1255" w:type="pct"/>
                <w:shd w:val="clear" w:color="auto" w:fill="auto"/>
                <w:vAlign w:val="bottom"/>
              </w:tcPr>
              <w:p w:rsidR="00EA6D59" w:rsidRDefault="00EA6D59" w:rsidP="0016339A">
                <w:pPr>
                  <w:jc w:val="right"/>
                  <w:rPr>
                    <w:szCs w:val="21"/>
                  </w:rPr>
                </w:pPr>
                <w:r>
                  <w:t>1,423,000</w:t>
                </w:r>
              </w:p>
            </w:tc>
          </w:tr>
          <w:tr w:rsidR="00EA6D59" w:rsidTr="0016339A">
            <w:trPr>
              <w:trHeight w:val="340"/>
            </w:trPr>
            <w:sdt>
              <w:sdtPr>
                <w:tag w:val="_PLD_03745bff079541e1ababba4ad6de075d"/>
                <w:id w:val="550276470"/>
                <w:lock w:val="sdtLocked"/>
              </w:sdtPr>
              <w:sdtContent>
                <w:tc>
                  <w:tcPr>
                    <w:tcW w:w="1474" w:type="pct"/>
                    <w:shd w:val="clear" w:color="auto" w:fill="auto"/>
                    <w:vAlign w:val="center"/>
                  </w:tcPr>
                  <w:p w:rsidR="00EA6D59" w:rsidRDefault="00EA6D59" w:rsidP="00EA6D59">
                    <w:pPr>
                      <w:rPr>
                        <w:szCs w:val="21"/>
                      </w:rPr>
                    </w:pPr>
                    <w:r>
                      <w:rPr>
                        <w:szCs w:val="21"/>
                      </w:rPr>
                      <w:t xml:space="preserve">   </w:t>
                    </w:r>
                    <w:r w:rsidR="00A2390C">
                      <w:rPr>
                        <w:szCs w:val="21"/>
                      </w:rPr>
                      <w:t xml:space="preserve"> </w:t>
                    </w:r>
                    <w:r>
                      <w:rPr>
                        <w:szCs w:val="21"/>
                      </w:rPr>
                      <w:t>4.期末余额</w:t>
                    </w:r>
                  </w:p>
                </w:tc>
              </w:sdtContent>
            </w:sdt>
            <w:tc>
              <w:tcPr>
                <w:tcW w:w="1132" w:type="pct"/>
                <w:shd w:val="clear" w:color="auto" w:fill="auto"/>
                <w:vAlign w:val="bottom"/>
              </w:tcPr>
              <w:p w:rsidR="00EA6D59" w:rsidRDefault="00EA6D59" w:rsidP="0016339A">
                <w:pPr>
                  <w:jc w:val="right"/>
                  <w:rPr>
                    <w:szCs w:val="21"/>
                  </w:rPr>
                </w:pPr>
                <w:r>
                  <w:t>11,219,719,007</w:t>
                </w:r>
              </w:p>
            </w:tc>
            <w:tc>
              <w:tcPr>
                <w:tcW w:w="1139" w:type="pct"/>
                <w:shd w:val="clear" w:color="auto" w:fill="auto"/>
                <w:vAlign w:val="bottom"/>
              </w:tcPr>
              <w:p w:rsidR="00EA6D59" w:rsidRDefault="00EA6D59" w:rsidP="0016339A">
                <w:pPr>
                  <w:jc w:val="right"/>
                  <w:rPr>
                    <w:szCs w:val="21"/>
                  </w:rPr>
                </w:pPr>
                <w:r>
                  <w:t>216,955,339</w:t>
                </w:r>
              </w:p>
            </w:tc>
            <w:tc>
              <w:tcPr>
                <w:tcW w:w="1255" w:type="pct"/>
                <w:shd w:val="clear" w:color="auto" w:fill="auto"/>
                <w:vAlign w:val="bottom"/>
              </w:tcPr>
              <w:p w:rsidR="00EA6D59" w:rsidRDefault="00EA6D59" w:rsidP="0016339A">
                <w:pPr>
                  <w:jc w:val="right"/>
                  <w:rPr>
                    <w:szCs w:val="21"/>
                  </w:rPr>
                </w:pPr>
                <w:r>
                  <w:t>11,436,674,346</w:t>
                </w:r>
              </w:p>
            </w:tc>
          </w:tr>
          <w:tr w:rsidR="00EA6D59" w:rsidTr="00EA6D59">
            <w:trPr>
              <w:trHeight w:val="340"/>
            </w:trPr>
            <w:sdt>
              <w:sdtPr>
                <w:tag w:val="_PLD_31b6b6971eff48bf893163f2b1779469"/>
                <w:id w:val="1341576510"/>
                <w:lock w:val="sdtLocked"/>
              </w:sdtPr>
              <w:sdtContent>
                <w:tc>
                  <w:tcPr>
                    <w:tcW w:w="5000" w:type="pct"/>
                    <w:gridSpan w:val="4"/>
                    <w:shd w:val="clear" w:color="auto" w:fill="auto"/>
                    <w:vAlign w:val="center"/>
                  </w:tcPr>
                  <w:p w:rsidR="00EA6D59" w:rsidRDefault="00EA6D59" w:rsidP="00EA6D59">
                    <w:pPr>
                      <w:rPr>
                        <w:szCs w:val="21"/>
                      </w:rPr>
                    </w:pPr>
                    <w:r>
                      <w:rPr>
                        <w:szCs w:val="21"/>
                      </w:rPr>
                      <w:t>二、累计</w:t>
                    </w:r>
                    <w:r>
                      <w:rPr>
                        <w:rFonts w:hint="eastAsia"/>
                        <w:szCs w:val="21"/>
                      </w:rPr>
                      <w:t>摊销</w:t>
                    </w:r>
                  </w:p>
                </w:tc>
              </w:sdtContent>
            </w:sdt>
          </w:tr>
          <w:tr w:rsidR="00EA6D59" w:rsidTr="0016339A">
            <w:trPr>
              <w:trHeight w:val="340"/>
            </w:trPr>
            <w:sdt>
              <w:sdtPr>
                <w:tag w:val="_PLD_192ef7a489984acd8b494007033b87de"/>
                <w:id w:val="148723969"/>
                <w:lock w:val="sdtLocked"/>
              </w:sdtPr>
              <w:sdtContent>
                <w:tc>
                  <w:tcPr>
                    <w:tcW w:w="1474" w:type="pct"/>
                    <w:shd w:val="clear" w:color="auto" w:fill="auto"/>
                    <w:vAlign w:val="center"/>
                  </w:tcPr>
                  <w:p w:rsidR="00EA6D59" w:rsidRDefault="00EA6D59" w:rsidP="00EA6D59">
                    <w:pPr>
                      <w:ind w:firstLineChars="200" w:firstLine="420"/>
                      <w:rPr>
                        <w:szCs w:val="21"/>
                      </w:rPr>
                    </w:pPr>
                    <w:r>
                      <w:rPr>
                        <w:rFonts w:hint="eastAsia"/>
                        <w:szCs w:val="21"/>
                      </w:rPr>
                      <w:t>1.期</w:t>
                    </w:r>
                    <w:r>
                      <w:rPr>
                        <w:szCs w:val="21"/>
                      </w:rPr>
                      <w:t>初余额</w:t>
                    </w:r>
                  </w:p>
                </w:tc>
              </w:sdtContent>
            </w:sdt>
            <w:tc>
              <w:tcPr>
                <w:tcW w:w="1132" w:type="pct"/>
                <w:shd w:val="clear" w:color="auto" w:fill="auto"/>
                <w:vAlign w:val="bottom"/>
              </w:tcPr>
              <w:p w:rsidR="00EA6D59" w:rsidRDefault="00EA6D59" w:rsidP="0016339A">
                <w:pPr>
                  <w:jc w:val="right"/>
                  <w:rPr>
                    <w:szCs w:val="21"/>
                  </w:rPr>
                </w:pPr>
                <w:r>
                  <w:t>1,916,707,314</w:t>
                </w:r>
              </w:p>
            </w:tc>
            <w:tc>
              <w:tcPr>
                <w:tcW w:w="1139" w:type="pct"/>
                <w:shd w:val="clear" w:color="auto" w:fill="auto"/>
                <w:vAlign w:val="bottom"/>
              </w:tcPr>
              <w:p w:rsidR="00EA6D59" w:rsidRDefault="00EA6D59" w:rsidP="0016339A">
                <w:pPr>
                  <w:jc w:val="right"/>
                  <w:rPr>
                    <w:szCs w:val="21"/>
                  </w:rPr>
                </w:pPr>
                <w:r>
                  <w:t>106,686,250</w:t>
                </w:r>
              </w:p>
            </w:tc>
            <w:tc>
              <w:tcPr>
                <w:tcW w:w="1255" w:type="pct"/>
                <w:shd w:val="clear" w:color="auto" w:fill="auto"/>
                <w:vAlign w:val="bottom"/>
              </w:tcPr>
              <w:p w:rsidR="00EA6D59" w:rsidRDefault="00EA6D59" w:rsidP="0016339A">
                <w:pPr>
                  <w:jc w:val="right"/>
                  <w:rPr>
                    <w:szCs w:val="21"/>
                  </w:rPr>
                </w:pPr>
                <w:r>
                  <w:t>2,023,393,564</w:t>
                </w:r>
              </w:p>
            </w:tc>
          </w:tr>
          <w:tr w:rsidR="00EA6D59" w:rsidTr="0016339A">
            <w:trPr>
              <w:trHeight w:val="340"/>
            </w:trPr>
            <w:sdt>
              <w:sdtPr>
                <w:tag w:val="_PLD_d9b2c881fa5c4e37827a5af57760bac7"/>
                <w:id w:val="-953862383"/>
                <w:lock w:val="sdtLocked"/>
              </w:sdtPr>
              <w:sdtContent>
                <w:tc>
                  <w:tcPr>
                    <w:tcW w:w="1474" w:type="pct"/>
                    <w:shd w:val="clear" w:color="auto" w:fill="auto"/>
                    <w:vAlign w:val="center"/>
                  </w:tcPr>
                  <w:p w:rsidR="00EA6D59" w:rsidRDefault="00EA6D59" w:rsidP="00EA6D59">
                    <w:pPr>
                      <w:ind w:firstLineChars="200" w:firstLine="420"/>
                      <w:rPr>
                        <w:szCs w:val="21"/>
                      </w:rPr>
                    </w:pPr>
                    <w:r>
                      <w:rPr>
                        <w:szCs w:val="21"/>
                      </w:rPr>
                      <w:t>2.本期增加</w:t>
                    </w:r>
                    <w:r>
                      <w:rPr>
                        <w:rFonts w:hint="eastAsia"/>
                        <w:szCs w:val="21"/>
                      </w:rPr>
                      <w:t>金额</w:t>
                    </w:r>
                  </w:p>
                </w:tc>
              </w:sdtContent>
            </w:sdt>
            <w:tc>
              <w:tcPr>
                <w:tcW w:w="1132" w:type="pct"/>
                <w:shd w:val="clear" w:color="auto" w:fill="auto"/>
                <w:vAlign w:val="bottom"/>
              </w:tcPr>
              <w:p w:rsidR="00EA6D59" w:rsidRDefault="00EA6D59" w:rsidP="0016339A">
                <w:pPr>
                  <w:jc w:val="right"/>
                  <w:rPr>
                    <w:szCs w:val="21"/>
                  </w:rPr>
                </w:pPr>
                <w:r>
                  <w:t>128,085,77</w:t>
                </w:r>
                <w:r w:rsidR="0016339A">
                  <w:t>8</w:t>
                </w:r>
              </w:p>
            </w:tc>
            <w:tc>
              <w:tcPr>
                <w:tcW w:w="1139" w:type="pct"/>
                <w:shd w:val="clear" w:color="auto" w:fill="auto"/>
                <w:vAlign w:val="bottom"/>
              </w:tcPr>
              <w:p w:rsidR="00EA6D59" w:rsidRDefault="00EA6D59" w:rsidP="0016339A">
                <w:pPr>
                  <w:jc w:val="right"/>
                  <w:rPr>
                    <w:szCs w:val="21"/>
                  </w:rPr>
                </w:pPr>
                <w:r>
                  <w:t>16,707,059</w:t>
                </w:r>
              </w:p>
            </w:tc>
            <w:tc>
              <w:tcPr>
                <w:tcW w:w="1255" w:type="pct"/>
                <w:shd w:val="clear" w:color="auto" w:fill="auto"/>
                <w:vAlign w:val="bottom"/>
              </w:tcPr>
              <w:p w:rsidR="00EA6D59" w:rsidRDefault="00EA6D59" w:rsidP="0016339A">
                <w:pPr>
                  <w:jc w:val="right"/>
                  <w:rPr>
                    <w:szCs w:val="21"/>
                  </w:rPr>
                </w:pPr>
                <w:r>
                  <w:t>144,792,83</w:t>
                </w:r>
                <w:r w:rsidR="0016339A">
                  <w:t>7</w:t>
                </w:r>
              </w:p>
            </w:tc>
          </w:tr>
          <w:tr w:rsidR="00EA6D59" w:rsidTr="0016339A">
            <w:trPr>
              <w:trHeight w:val="340"/>
            </w:trPr>
            <w:sdt>
              <w:sdtPr>
                <w:tag w:val="_PLD_8e892aff304549108ee89d7a36074102"/>
                <w:id w:val="-611978277"/>
                <w:lock w:val="sdtLocked"/>
              </w:sdtPr>
              <w:sdtContent>
                <w:tc>
                  <w:tcPr>
                    <w:tcW w:w="1474" w:type="pct"/>
                    <w:shd w:val="clear" w:color="auto" w:fill="auto"/>
                    <w:vAlign w:val="center"/>
                  </w:tcPr>
                  <w:p w:rsidR="00EA6D59" w:rsidRDefault="00EA6D59" w:rsidP="00EA6D59">
                    <w:pPr>
                      <w:ind w:firstLineChars="200" w:firstLine="420"/>
                      <w:rPr>
                        <w:szCs w:val="21"/>
                      </w:rPr>
                    </w:pPr>
                    <w:r>
                      <w:rPr>
                        <w:rFonts w:hint="eastAsia"/>
                        <w:szCs w:val="21"/>
                      </w:rPr>
                      <w:t>3.</w:t>
                    </w:r>
                    <w:r>
                      <w:rPr>
                        <w:szCs w:val="21"/>
                      </w:rPr>
                      <w:t>本期减少</w:t>
                    </w:r>
                    <w:r>
                      <w:rPr>
                        <w:rFonts w:hint="eastAsia"/>
                        <w:szCs w:val="21"/>
                      </w:rPr>
                      <w:t>金额</w:t>
                    </w:r>
                  </w:p>
                </w:tc>
              </w:sdtContent>
            </w:sdt>
            <w:tc>
              <w:tcPr>
                <w:tcW w:w="1132" w:type="pct"/>
                <w:shd w:val="clear" w:color="auto" w:fill="auto"/>
                <w:vAlign w:val="bottom"/>
              </w:tcPr>
              <w:p w:rsidR="00EA6D59" w:rsidRDefault="00EA6D59" w:rsidP="0016339A">
                <w:pPr>
                  <w:jc w:val="right"/>
                  <w:rPr>
                    <w:szCs w:val="21"/>
                  </w:rPr>
                </w:pPr>
                <w:r>
                  <w:t>0</w:t>
                </w:r>
              </w:p>
            </w:tc>
            <w:tc>
              <w:tcPr>
                <w:tcW w:w="1139" w:type="pct"/>
                <w:shd w:val="clear" w:color="auto" w:fill="auto"/>
                <w:vAlign w:val="bottom"/>
              </w:tcPr>
              <w:p w:rsidR="00EA6D59" w:rsidRDefault="00EA6D59" w:rsidP="0016339A">
                <w:pPr>
                  <w:jc w:val="right"/>
                  <w:rPr>
                    <w:szCs w:val="21"/>
                  </w:rPr>
                </w:pPr>
                <w:r>
                  <w:t>1,423,000</w:t>
                </w:r>
              </w:p>
            </w:tc>
            <w:tc>
              <w:tcPr>
                <w:tcW w:w="1255" w:type="pct"/>
                <w:shd w:val="clear" w:color="auto" w:fill="auto"/>
                <w:vAlign w:val="bottom"/>
              </w:tcPr>
              <w:p w:rsidR="00EA6D59" w:rsidRDefault="00EA6D59" w:rsidP="0016339A">
                <w:pPr>
                  <w:jc w:val="right"/>
                  <w:rPr>
                    <w:szCs w:val="21"/>
                  </w:rPr>
                </w:pPr>
                <w:r>
                  <w:t>1,423,000</w:t>
                </w:r>
              </w:p>
            </w:tc>
          </w:tr>
          <w:tr w:rsidR="00EA6D59" w:rsidTr="0016339A">
            <w:trPr>
              <w:trHeight w:val="340"/>
            </w:trPr>
            <w:sdt>
              <w:sdtPr>
                <w:tag w:val="_PLD_00974608625b4b68972908d459d17711"/>
                <w:id w:val="-1739159868"/>
                <w:lock w:val="sdtLocked"/>
              </w:sdtPr>
              <w:sdtContent>
                <w:tc>
                  <w:tcPr>
                    <w:tcW w:w="1474" w:type="pct"/>
                    <w:shd w:val="clear" w:color="auto" w:fill="auto"/>
                    <w:vAlign w:val="center"/>
                  </w:tcPr>
                  <w:p w:rsidR="00EA6D59" w:rsidRDefault="00EA6D59" w:rsidP="00EA6D59">
                    <w:pPr>
                      <w:ind w:firstLineChars="200" w:firstLine="420"/>
                      <w:rPr>
                        <w:szCs w:val="21"/>
                      </w:rPr>
                    </w:pPr>
                    <w:r>
                      <w:rPr>
                        <w:rFonts w:hint="eastAsia"/>
                        <w:szCs w:val="21"/>
                      </w:rPr>
                      <w:t>4.</w:t>
                    </w:r>
                    <w:r>
                      <w:rPr>
                        <w:szCs w:val="21"/>
                      </w:rPr>
                      <w:t>期末余额</w:t>
                    </w:r>
                  </w:p>
                </w:tc>
              </w:sdtContent>
            </w:sdt>
            <w:tc>
              <w:tcPr>
                <w:tcW w:w="1132" w:type="pct"/>
                <w:shd w:val="clear" w:color="auto" w:fill="auto"/>
                <w:vAlign w:val="bottom"/>
              </w:tcPr>
              <w:p w:rsidR="00EA6D59" w:rsidRDefault="00EA6D59" w:rsidP="0016339A">
                <w:pPr>
                  <w:jc w:val="right"/>
                  <w:rPr>
                    <w:szCs w:val="21"/>
                  </w:rPr>
                </w:pPr>
                <w:r>
                  <w:t>2,044,793,092</w:t>
                </w:r>
              </w:p>
            </w:tc>
            <w:tc>
              <w:tcPr>
                <w:tcW w:w="1139" w:type="pct"/>
                <w:shd w:val="clear" w:color="auto" w:fill="auto"/>
                <w:vAlign w:val="bottom"/>
              </w:tcPr>
              <w:p w:rsidR="00EA6D59" w:rsidRDefault="00EA6D59" w:rsidP="0016339A">
                <w:pPr>
                  <w:jc w:val="right"/>
                  <w:rPr>
                    <w:szCs w:val="21"/>
                  </w:rPr>
                </w:pPr>
                <w:r>
                  <w:t>121,970,309</w:t>
                </w:r>
              </w:p>
            </w:tc>
            <w:tc>
              <w:tcPr>
                <w:tcW w:w="1255" w:type="pct"/>
                <w:shd w:val="clear" w:color="auto" w:fill="auto"/>
                <w:vAlign w:val="bottom"/>
              </w:tcPr>
              <w:p w:rsidR="00EA6D59" w:rsidRDefault="00EA6D59" w:rsidP="0016339A">
                <w:pPr>
                  <w:jc w:val="right"/>
                  <w:rPr>
                    <w:szCs w:val="21"/>
                  </w:rPr>
                </w:pPr>
                <w:r>
                  <w:t>2,166,763,401</w:t>
                </w:r>
              </w:p>
            </w:tc>
          </w:tr>
          <w:tr w:rsidR="00EA6D59" w:rsidTr="00EA6D59">
            <w:trPr>
              <w:trHeight w:val="340"/>
            </w:trPr>
            <w:sdt>
              <w:sdtPr>
                <w:tag w:val="_PLD_f7d5f180eba449a29a01985d504a8cad"/>
                <w:id w:val="1981958230"/>
                <w:lock w:val="sdtLocked"/>
              </w:sdtPr>
              <w:sdtContent>
                <w:tc>
                  <w:tcPr>
                    <w:tcW w:w="5000" w:type="pct"/>
                    <w:gridSpan w:val="4"/>
                    <w:shd w:val="clear" w:color="auto" w:fill="auto"/>
                    <w:vAlign w:val="center"/>
                  </w:tcPr>
                  <w:p w:rsidR="00EA6D59" w:rsidRDefault="00EA6D59" w:rsidP="00EA6D59">
                    <w:pPr>
                      <w:rPr>
                        <w:szCs w:val="21"/>
                      </w:rPr>
                    </w:pPr>
                    <w:r>
                      <w:rPr>
                        <w:szCs w:val="21"/>
                      </w:rPr>
                      <w:t>三、减值准备</w:t>
                    </w:r>
                  </w:p>
                </w:tc>
              </w:sdtContent>
            </w:sdt>
          </w:tr>
          <w:tr w:rsidR="00EA6D59" w:rsidTr="0016339A">
            <w:trPr>
              <w:trHeight w:val="340"/>
            </w:trPr>
            <w:sdt>
              <w:sdtPr>
                <w:tag w:val="_PLD_d456d6b4542546f2b64c57daa1b24f6c"/>
                <w:id w:val="1784996708"/>
                <w:lock w:val="sdtLocked"/>
              </w:sdtPr>
              <w:sdtContent>
                <w:tc>
                  <w:tcPr>
                    <w:tcW w:w="1474" w:type="pct"/>
                    <w:shd w:val="clear" w:color="auto" w:fill="auto"/>
                    <w:vAlign w:val="center"/>
                  </w:tcPr>
                  <w:p w:rsidR="00EA6D59" w:rsidRDefault="00EA6D59" w:rsidP="00EA6D59">
                    <w:pPr>
                      <w:ind w:firstLineChars="200" w:firstLine="420"/>
                      <w:rPr>
                        <w:szCs w:val="21"/>
                      </w:rPr>
                    </w:pPr>
                    <w:r>
                      <w:rPr>
                        <w:rFonts w:hint="eastAsia"/>
                        <w:szCs w:val="21"/>
                      </w:rPr>
                      <w:t>1.期</w:t>
                    </w:r>
                    <w:r>
                      <w:rPr>
                        <w:szCs w:val="21"/>
                      </w:rPr>
                      <w:t>初余额</w:t>
                    </w:r>
                  </w:p>
                </w:tc>
              </w:sdtContent>
            </w:sdt>
            <w:tc>
              <w:tcPr>
                <w:tcW w:w="1132" w:type="pct"/>
                <w:shd w:val="clear" w:color="auto" w:fill="auto"/>
                <w:vAlign w:val="bottom"/>
              </w:tcPr>
              <w:p w:rsidR="00EA6D59" w:rsidRDefault="00EA6D59" w:rsidP="0016339A">
                <w:pPr>
                  <w:jc w:val="right"/>
                  <w:rPr>
                    <w:szCs w:val="21"/>
                  </w:rPr>
                </w:pPr>
              </w:p>
            </w:tc>
            <w:tc>
              <w:tcPr>
                <w:tcW w:w="1139" w:type="pct"/>
                <w:shd w:val="clear" w:color="auto" w:fill="auto"/>
                <w:vAlign w:val="bottom"/>
              </w:tcPr>
              <w:p w:rsidR="00EA6D59" w:rsidRDefault="00EA6D59" w:rsidP="0016339A">
                <w:pPr>
                  <w:jc w:val="right"/>
                  <w:rPr>
                    <w:szCs w:val="21"/>
                  </w:rPr>
                </w:pPr>
              </w:p>
            </w:tc>
            <w:tc>
              <w:tcPr>
                <w:tcW w:w="1255" w:type="pct"/>
                <w:shd w:val="clear" w:color="auto" w:fill="auto"/>
                <w:vAlign w:val="bottom"/>
              </w:tcPr>
              <w:p w:rsidR="00EA6D59" w:rsidRDefault="00EA6D59" w:rsidP="0016339A">
                <w:pPr>
                  <w:jc w:val="right"/>
                  <w:rPr>
                    <w:szCs w:val="21"/>
                  </w:rPr>
                </w:pPr>
              </w:p>
            </w:tc>
          </w:tr>
          <w:tr w:rsidR="00EA6D59" w:rsidTr="0016339A">
            <w:trPr>
              <w:trHeight w:val="340"/>
            </w:trPr>
            <w:sdt>
              <w:sdtPr>
                <w:tag w:val="_PLD_e2857e7aebd8427e95c78e58c21c30a8"/>
                <w:id w:val="-420109551"/>
                <w:lock w:val="sdtLocked"/>
              </w:sdtPr>
              <w:sdtContent>
                <w:tc>
                  <w:tcPr>
                    <w:tcW w:w="1474" w:type="pct"/>
                    <w:shd w:val="clear" w:color="auto" w:fill="auto"/>
                    <w:vAlign w:val="center"/>
                  </w:tcPr>
                  <w:p w:rsidR="00EA6D59" w:rsidRDefault="00EA6D59" w:rsidP="00EA6D59">
                    <w:pPr>
                      <w:ind w:firstLineChars="200" w:firstLine="420"/>
                      <w:rPr>
                        <w:szCs w:val="21"/>
                      </w:rPr>
                    </w:pPr>
                    <w:r>
                      <w:rPr>
                        <w:szCs w:val="21"/>
                      </w:rPr>
                      <w:t>2.本期增加</w:t>
                    </w:r>
                    <w:r>
                      <w:rPr>
                        <w:rFonts w:hint="eastAsia"/>
                        <w:szCs w:val="21"/>
                      </w:rPr>
                      <w:t>金额</w:t>
                    </w:r>
                  </w:p>
                </w:tc>
              </w:sdtContent>
            </w:sdt>
            <w:tc>
              <w:tcPr>
                <w:tcW w:w="1132" w:type="pct"/>
                <w:shd w:val="clear" w:color="auto" w:fill="auto"/>
                <w:vAlign w:val="bottom"/>
              </w:tcPr>
              <w:p w:rsidR="00EA6D59" w:rsidRDefault="00EA6D59" w:rsidP="0016339A">
                <w:pPr>
                  <w:jc w:val="right"/>
                  <w:rPr>
                    <w:szCs w:val="21"/>
                  </w:rPr>
                </w:pPr>
              </w:p>
            </w:tc>
            <w:tc>
              <w:tcPr>
                <w:tcW w:w="1139" w:type="pct"/>
                <w:shd w:val="clear" w:color="auto" w:fill="auto"/>
                <w:vAlign w:val="bottom"/>
              </w:tcPr>
              <w:p w:rsidR="00EA6D59" w:rsidRDefault="00EA6D59" w:rsidP="0016339A">
                <w:pPr>
                  <w:jc w:val="right"/>
                  <w:rPr>
                    <w:szCs w:val="21"/>
                  </w:rPr>
                </w:pPr>
              </w:p>
            </w:tc>
            <w:tc>
              <w:tcPr>
                <w:tcW w:w="1255" w:type="pct"/>
                <w:shd w:val="clear" w:color="auto" w:fill="auto"/>
                <w:vAlign w:val="bottom"/>
              </w:tcPr>
              <w:p w:rsidR="00EA6D59" w:rsidRDefault="00EA6D59" w:rsidP="0016339A">
                <w:pPr>
                  <w:jc w:val="right"/>
                  <w:rPr>
                    <w:szCs w:val="21"/>
                  </w:rPr>
                </w:pPr>
              </w:p>
            </w:tc>
          </w:tr>
          <w:tr w:rsidR="00EA6D59" w:rsidTr="0016339A">
            <w:trPr>
              <w:trHeight w:val="340"/>
            </w:trPr>
            <w:sdt>
              <w:sdtPr>
                <w:tag w:val="_PLD_82ae87c72cfb4360abe17ac07d374fa6"/>
                <w:id w:val="547264412"/>
                <w:lock w:val="sdtLocked"/>
              </w:sdtPr>
              <w:sdtContent>
                <w:tc>
                  <w:tcPr>
                    <w:tcW w:w="1474" w:type="pct"/>
                    <w:shd w:val="clear" w:color="auto" w:fill="auto"/>
                    <w:vAlign w:val="center"/>
                  </w:tcPr>
                  <w:p w:rsidR="00EA6D59" w:rsidRDefault="00EA6D59" w:rsidP="00EA6D59">
                    <w:pPr>
                      <w:ind w:firstLineChars="200" w:firstLine="420"/>
                      <w:rPr>
                        <w:szCs w:val="21"/>
                      </w:rPr>
                    </w:pPr>
                    <w:r>
                      <w:rPr>
                        <w:rFonts w:hint="eastAsia"/>
                        <w:szCs w:val="21"/>
                      </w:rPr>
                      <w:t>3.</w:t>
                    </w:r>
                    <w:r>
                      <w:rPr>
                        <w:szCs w:val="21"/>
                      </w:rPr>
                      <w:t>本期减少</w:t>
                    </w:r>
                    <w:r>
                      <w:rPr>
                        <w:rFonts w:hint="eastAsia"/>
                        <w:szCs w:val="21"/>
                      </w:rPr>
                      <w:t>金额</w:t>
                    </w:r>
                  </w:p>
                </w:tc>
              </w:sdtContent>
            </w:sdt>
            <w:tc>
              <w:tcPr>
                <w:tcW w:w="1132" w:type="pct"/>
                <w:shd w:val="clear" w:color="auto" w:fill="auto"/>
                <w:vAlign w:val="bottom"/>
              </w:tcPr>
              <w:p w:rsidR="00EA6D59" w:rsidRDefault="00EA6D59" w:rsidP="0016339A">
                <w:pPr>
                  <w:jc w:val="right"/>
                  <w:rPr>
                    <w:szCs w:val="21"/>
                  </w:rPr>
                </w:pPr>
              </w:p>
            </w:tc>
            <w:tc>
              <w:tcPr>
                <w:tcW w:w="1139" w:type="pct"/>
                <w:shd w:val="clear" w:color="auto" w:fill="auto"/>
                <w:vAlign w:val="bottom"/>
              </w:tcPr>
              <w:p w:rsidR="00EA6D59" w:rsidRDefault="00EA6D59" w:rsidP="0016339A">
                <w:pPr>
                  <w:jc w:val="right"/>
                  <w:rPr>
                    <w:szCs w:val="21"/>
                  </w:rPr>
                </w:pPr>
              </w:p>
            </w:tc>
            <w:tc>
              <w:tcPr>
                <w:tcW w:w="1255" w:type="pct"/>
                <w:shd w:val="clear" w:color="auto" w:fill="auto"/>
                <w:vAlign w:val="bottom"/>
              </w:tcPr>
              <w:p w:rsidR="00EA6D59" w:rsidRDefault="00EA6D59" w:rsidP="0016339A">
                <w:pPr>
                  <w:jc w:val="right"/>
                  <w:rPr>
                    <w:szCs w:val="21"/>
                  </w:rPr>
                </w:pPr>
              </w:p>
            </w:tc>
          </w:tr>
          <w:tr w:rsidR="00EA6D59" w:rsidTr="0016339A">
            <w:trPr>
              <w:trHeight w:val="340"/>
            </w:trPr>
            <w:sdt>
              <w:sdtPr>
                <w:tag w:val="_PLD_9428ef0f2bd34dc7821d00833f5252c1"/>
                <w:id w:val="-1857039852"/>
                <w:lock w:val="sdtLocked"/>
              </w:sdtPr>
              <w:sdtContent>
                <w:tc>
                  <w:tcPr>
                    <w:tcW w:w="1474" w:type="pct"/>
                    <w:shd w:val="clear" w:color="auto" w:fill="auto"/>
                    <w:vAlign w:val="center"/>
                  </w:tcPr>
                  <w:p w:rsidR="00EA6D59" w:rsidRDefault="00EA6D59" w:rsidP="00EA6D59">
                    <w:pPr>
                      <w:ind w:firstLineChars="200" w:firstLine="420"/>
                      <w:rPr>
                        <w:szCs w:val="21"/>
                      </w:rPr>
                    </w:pPr>
                    <w:r>
                      <w:rPr>
                        <w:rFonts w:hint="eastAsia"/>
                        <w:szCs w:val="21"/>
                      </w:rPr>
                      <w:t>4.</w:t>
                    </w:r>
                    <w:r>
                      <w:rPr>
                        <w:szCs w:val="21"/>
                      </w:rPr>
                      <w:t>期末余额</w:t>
                    </w:r>
                  </w:p>
                </w:tc>
              </w:sdtContent>
            </w:sdt>
            <w:tc>
              <w:tcPr>
                <w:tcW w:w="1132" w:type="pct"/>
                <w:shd w:val="clear" w:color="auto" w:fill="auto"/>
                <w:vAlign w:val="bottom"/>
              </w:tcPr>
              <w:p w:rsidR="00EA6D59" w:rsidRDefault="00EA6D59" w:rsidP="0016339A">
                <w:pPr>
                  <w:jc w:val="right"/>
                  <w:rPr>
                    <w:szCs w:val="21"/>
                  </w:rPr>
                </w:pPr>
              </w:p>
            </w:tc>
            <w:tc>
              <w:tcPr>
                <w:tcW w:w="1139" w:type="pct"/>
                <w:shd w:val="clear" w:color="auto" w:fill="auto"/>
                <w:vAlign w:val="bottom"/>
              </w:tcPr>
              <w:p w:rsidR="00EA6D59" w:rsidRDefault="00EA6D59" w:rsidP="0016339A">
                <w:pPr>
                  <w:jc w:val="right"/>
                  <w:rPr>
                    <w:szCs w:val="21"/>
                  </w:rPr>
                </w:pPr>
              </w:p>
            </w:tc>
            <w:tc>
              <w:tcPr>
                <w:tcW w:w="1255" w:type="pct"/>
                <w:shd w:val="clear" w:color="auto" w:fill="auto"/>
                <w:vAlign w:val="bottom"/>
              </w:tcPr>
              <w:p w:rsidR="00EA6D59" w:rsidRDefault="00EA6D59" w:rsidP="0016339A">
                <w:pPr>
                  <w:jc w:val="right"/>
                  <w:rPr>
                    <w:szCs w:val="21"/>
                  </w:rPr>
                </w:pPr>
              </w:p>
            </w:tc>
          </w:tr>
          <w:tr w:rsidR="00EA6D59" w:rsidTr="00EA6D59">
            <w:trPr>
              <w:trHeight w:val="340"/>
            </w:trPr>
            <w:sdt>
              <w:sdtPr>
                <w:tag w:val="_PLD_4b0672b3afec475f9c6133950914fc81"/>
                <w:id w:val="-1081296035"/>
                <w:lock w:val="sdtLocked"/>
              </w:sdtPr>
              <w:sdtContent>
                <w:tc>
                  <w:tcPr>
                    <w:tcW w:w="5000" w:type="pct"/>
                    <w:gridSpan w:val="4"/>
                    <w:shd w:val="clear" w:color="auto" w:fill="auto"/>
                    <w:vAlign w:val="center"/>
                  </w:tcPr>
                  <w:p w:rsidR="00EA6D59" w:rsidRDefault="00EA6D59" w:rsidP="00EA6D59">
                    <w:pPr>
                      <w:rPr>
                        <w:szCs w:val="21"/>
                      </w:rPr>
                    </w:pPr>
                    <w:r>
                      <w:rPr>
                        <w:szCs w:val="21"/>
                      </w:rPr>
                      <w:t>四、账面价值</w:t>
                    </w:r>
                  </w:p>
                </w:tc>
              </w:sdtContent>
            </w:sdt>
          </w:tr>
          <w:tr w:rsidR="00EA6D59" w:rsidTr="0016339A">
            <w:trPr>
              <w:trHeight w:val="340"/>
            </w:trPr>
            <w:sdt>
              <w:sdtPr>
                <w:tag w:val="_PLD_1fc70ce7dba842249c5899f16f4ea2f4"/>
                <w:id w:val="1219166059"/>
                <w:lock w:val="sdtLocked"/>
              </w:sdtPr>
              <w:sdtContent>
                <w:tc>
                  <w:tcPr>
                    <w:tcW w:w="1474" w:type="pct"/>
                    <w:shd w:val="clear" w:color="auto" w:fill="auto"/>
                    <w:vAlign w:val="center"/>
                  </w:tcPr>
                  <w:p w:rsidR="00EA6D59" w:rsidRDefault="00EA6D59" w:rsidP="00EA6D59">
                    <w:pPr>
                      <w:rPr>
                        <w:szCs w:val="21"/>
                      </w:rPr>
                    </w:pPr>
                    <w:r>
                      <w:rPr>
                        <w:szCs w:val="21"/>
                      </w:rPr>
                      <w:t xml:space="preserve">    1.期末账面价值</w:t>
                    </w:r>
                  </w:p>
                </w:tc>
              </w:sdtContent>
            </w:sdt>
            <w:tc>
              <w:tcPr>
                <w:tcW w:w="1132" w:type="pct"/>
                <w:shd w:val="clear" w:color="auto" w:fill="auto"/>
                <w:vAlign w:val="bottom"/>
              </w:tcPr>
              <w:p w:rsidR="00EA6D59" w:rsidRDefault="00EA6D59" w:rsidP="0016339A">
                <w:pPr>
                  <w:jc w:val="right"/>
                  <w:rPr>
                    <w:szCs w:val="21"/>
                  </w:rPr>
                </w:pPr>
                <w:r>
                  <w:t>9,174,925,915</w:t>
                </w:r>
              </w:p>
            </w:tc>
            <w:tc>
              <w:tcPr>
                <w:tcW w:w="1139" w:type="pct"/>
                <w:shd w:val="clear" w:color="auto" w:fill="auto"/>
                <w:vAlign w:val="bottom"/>
              </w:tcPr>
              <w:p w:rsidR="00EA6D59" w:rsidRDefault="00EA6D59" w:rsidP="0016339A">
                <w:pPr>
                  <w:jc w:val="right"/>
                  <w:rPr>
                    <w:szCs w:val="21"/>
                  </w:rPr>
                </w:pPr>
                <w:r>
                  <w:t>94,985,030</w:t>
                </w:r>
              </w:p>
            </w:tc>
            <w:tc>
              <w:tcPr>
                <w:tcW w:w="1255" w:type="pct"/>
                <w:shd w:val="clear" w:color="auto" w:fill="auto"/>
                <w:vAlign w:val="bottom"/>
              </w:tcPr>
              <w:p w:rsidR="00EA6D59" w:rsidRDefault="00EA6D59" w:rsidP="0016339A">
                <w:pPr>
                  <w:jc w:val="right"/>
                  <w:rPr>
                    <w:szCs w:val="21"/>
                  </w:rPr>
                </w:pPr>
                <w:r>
                  <w:t>9,269,910,945</w:t>
                </w:r>
              </w:p>
            </w:tc>
          </w:tr>
          <w:tr w:rsidR="00EA6D59" w:rsidTr="0016339A">
            <w:trPr>
              <w:trHeight w:val="340"/>
            </w:trPr>
            <w:sdt>
              <w:sdtPr>
                <w:tag w:val="_PLD_b71bc5d491a34e85a1ce292ad355233a"/>
                <w:id w:val="704830229"/>
                <w:lock w:val="sdtLocked"/>
              </w:sdtPr>
              <w:sdtContent>
                <w:tc>
                  <w:tcPr>
                    <w:tcW w:w="1474" w:type="pct"/>
                    <w:shd w:val="clear" w:color="auto" w:fill="auto"/>
                    <w:vAlign w:val="center"/>
                  </w:tcPr>
                  <w:p w:rsidR="00EA6D59" w:rsidRDefault="00EA6D59" w:rsidP="00EA6D59">
                    <w:pPr>
                      <w:rPr>
                        <w:szCs w:val="21"/>
                      </w:rPr>
                    </w:pPr>
                    <w:r>
                      <w:rPr>
                        <w:szCs w:val="21"/>
                      </w:rPr>
                      <w:t xml:space="preserve">    2.</w:t>
                    </w:r>
                    <w:r>
                      <w:rPr>
                        <w:rFonts w:hint="eastAsia"/>
                        <w:szCs w:val="21"/>
                      </w:rPr>
                      <w:t>期初</w:t>
                    </w:r>
                    <w:r>
                      <w:rPr>
                        <w:szCs w:val="21"/>
                      </w:rPr>
                      <w:t>账面价值</w:t>
                    </w:r>
                  </w:p>
                </w:tc>
              </w:sdtContent>
            </w:sdt>
            <w:tc>
              <w:tcPr>
                <w:tcW w:w="1132" w:type="pct"/>
                <w:shd w:val="clear" w:color="auto" w:fill="auto"/>
                <w:vAlign w:val="bottom"/>
              </w:tcPr>
              <w:p w:rsidR="00EA6D59" w:rsidRDefault="00EA6D59" w:rsidP="0016339A">
                <w:pPr>
                  <w:jc w:val="right"/>
                  <w:rPr>
                    <w:szCs w:val="21"/>
                  </w:rPr>
                </w:pPr>
                <w:r>
                  <w:t>9,301,357,661</w:t>
                </w:r>
              </w:p>
            </w:tc>
            <w:tc>
              <w:tcPr>
                <w:tcW w:w="1139" w:type="pct"/>
                <w:shd w:val="clear" w:color="auto" w:fill="auto"/>
                <w:vAlign w:val="bottom"/>
              </w:tcPr>
              <w:p w:rsidR="00EA6D59" w:rsidRDefault="00EA6D59" w:rsidP="0016339A">
                <w:pPr>
                  <w:jc w:val="right"/>
                  <w:rPr>
                    <w:szCs w:val="21"/>
                  </w:rPr>
                </w:pPr>
                <w:r>
                  <w:t>105,772,691</w:t>
                </w:r>
              </w:p>
            </w:tc>
            <w:tc>
              <w:tcPr>
                <w:tcW w:w="1255" w:type="pct"/>
                <w:shd w:val="clear" w:color="auto" w:fill="auto"/>
                <w:vAlign w:val="bottom"/>
              </w:tcPr>
              <w:p w:rsidR="00EA6D59" w:rsidRDefault="00EA6D59" w:rsidP="0016339A">
                <w:pPr>
                  <w:jc w:val="right"/>
                  <w:rPr>
                    <w:szCs w:val="21"/>
                  </w:rPr>
                </w:pPr>
                <w:r>
                  <w:t>9,407,130,352</w:t>
                </w:r>
              </w:p>
            </w:tc>
          </w:tr>
          <w:bookmarkEnd w:id="207"/>
        </w:tbl>
      </w:sdtContent>
    </w:sdt>
    <w:p w:rsidR="00265790" w:rsidRDefault="00265790" w:rsidP="00265790">
      <w:pPr>
        <w:snapToGrid w:val="0"/>
        <w:spacing w:line="240" w:lineRule="atLeast"/>
        <w:rPr>
          <w:szCs w:val="21"/>
        </w:rPr>
      </w:pPr>
    </w:p>
    <w:p w:rsidR="00265790" w:rsidRDefault="00265790" w:rsidP="00265790">
      <w:pPr>
        <w:snapToGrid w:val="0"/>
        <w:spacing w:line="240" w:lineRule="atLeast"/>
        <w:rPr>
          <w:szCs w:val="21"/>
        </w:rPr>
      </w:pPr>
      <w:r w:rsidRPr="001B4031">
        <w:rPr>
          <w:szCs w:val="21"/>
        </w:rPr>
        <w:t>2022年度无形资产摊销金额为人民币144,792,83</w:t>
      </w:r>
      <w:r w:rsidR="008018BB">
        <w:rPr>
          <w:szCs w:val="21"/>
        </w:rPr>
        <w:t>7</w:t>
      </w:r>
      <w:r w:rsidRPr="001B4031">
        <w:rPr>
          <w:szCs w:val="21"/>
        </w:rPr>
        <w:t>元 (2021年度：人民币143,965,463元) 。</w:t>
      </w:r>
    </w:p>
    <w:p w:rsidR="00265790" w:rsidRDefault="00265790" w:rsidP="00265790">
      <w:pPr>
        <w:snapToGrid w:val="0"/>
        <w:spacing w:line="240" w:lineRule="atLeast"/>
        <w:rPr>
          <w:szCs w:val="21"/>
        </w:rPr>
      </w:pPr>
    </w:p>
    <w:p w:rsidR="00265790" w:rsidRPr="00D0338B" w:rsidRDefault="00265790" w:rsidP="00265790">
      <w:pPr>
        <w:overflowPunct w:val="0"/>
        <w:adjustRightInd w:val="0"/>
        <w:snapToGrid w:val="0"/>
        <w:rPr>
          <w:szCs w:val="21"/>
        </w:rPr>
      </w:pPr>
      <w:r w:rsidRPr="00D0338B">
        <w:rPr>
          <w:rFonts w:hint="eastAsia"/>
          <w:szCs w:val="21"/>
        </w:rPr>
        <w:t>于2022年12月31日，本集团用于抵押的无形资产账面价值为人民币5</w:t>
      </w:r>
      <w:r w:rsidRPr="00D0338B">
        <w:rPr>
          <w:szCs w:val="21"/>
        </w:rPr>
        <w:t>5,315</w:t>
      </w:r>
      <w:r w:rsidRPr="00D0338B">
        <w:rPr>
          <w:rFonts w:hint="eastAsia"/>
          <w:szCs w:val="21"/>
        </w:rPr>
        <w:t>,</w:t>
      </w:r>
      <w:r w:rsidRPr="00D0338B">
        <w:rPr>
          <w:szCs w:val="21"/>
        </w:rPr>
        <w:t>958</w:t>
      </w:r>
      <w:r w:rsidRPr="00D0338B">
        <w:rPr>
          <w:rFonts w:hint="eastAsia"/>
          <w:szCs w:val="21"/>
        </w:rPr>
        <w:t>元 (原值为人民币</w:t>
      </w:r>
      <w:r w:rsidRPr="00D0338B">
        <w:rPr>
          <w:szCs w:val="21"/>
        </w:rPr>
        <w:t>63,098,051</w:t>
      </w:r>
      <w:r w:rsidRPr="00D0338B">
        <w:rPr>
          <w:rFonts w:hint="eastAsia"/>
          <w:szCs w:val="21"/>
        </w:rPr>
        <w:t>元)。</w:t>
      </w:r>
    </w:p>
    <w:p w:rsidR="00265790" w:rsidRDefault="00265790">
      <w:pPr>
        <w:snapToGrid w:val="0"/>
        <w:spacing w:line="240" w:lineRule="atLeast"/>
        <w:rPr>
          <w:szCs w:val="21"/>
        </w:rPr>
      </w:pPr>
    </w:p>
    <w:sdt>
      <w:sdtPr>
        <w:rPr>
          <w:rFonts w:ascii="宋体" w:eastAsia="宋体" w:hAnsi="宋体" w:cs="宋体" w:hint="eastAsia"/>
          <w:b w:val="0"/>
          <w:bCs w:val="0"/>
          <w:kern w:val="0"/>
          <w:szCs w:val="24"/>
        </w:rPr>
        <w:alias w:val="模块:未办妥产权证书的土地使用权情况："/>
        <w:tag w:val="_SEC_1b15a58332a3426ebeab40769f9c3df1"/>
        <w:id w:val="-2031486805"/>
        <w:lock w:val="sdtLocked"/>
        <w:placeholder>
          <w:docPart w:val="GBC22222222222222222222222222222"/>
        </w:placeholder>
      </w:sdtPr>
      <w:sdtEndPr>
        <w:rPr>
          <w:szCs w:val="21"/>
        </w:rPr>
      </w:sdtEndPr>
      <w:sdtContent>
        <w:p w:rsidR="00806678" w:rsidRDefault="00B16377" w:rsidP="00FF17C7">
          <w:pPr>
            <w:pStyle w:val="4"/>
            <w:numPr>
              <w:ilvl w:val="3"/>
              <w:numId w:val="89"/>
            </w:numPr>
            <w:ind w:left="426" w:hanging="426"/>
          </w:pPr>
          <w:r>
            <w:rPr>
              <w:rFonts w:hint="eastAsia"/>
            </w:rPr>
            <w:t>未办妥产权证书的土地使用权情况</w:t>
          </w:r>
        </w:p>
        <w:p w:rsidR="00806678" w:rsidRDefault="00F80B6C">
          <w:sdt>
            <w:sdtPr>
              <w:alias w:val="是否适用：未办妥产权证书的土地使用权情况[双击切换]"/>
              <w:tag w:val="_GBC_62bb02d09b844cb69dfe16466ac211c9"/>
              <w:id w:val="460620628"/>
              <w:lock w:val="sdtLocked"/>
              <w:placeholder>
                <w:docPart w:val="GBC22222222222222222222222222222"/>
              </w:placeholder>
            </w:sdtPr>
            <w:sdtContent>
              <w:r>
                <w:fldChar w:fldCharType="begin"/>
              </w:r>
              <w:r w:rsidR="001B4031">
                <w:instrText xml:space="preserve">MACROBUTTON  SnrToggleCheckbox √适用 </w:instrText>
              </w:r>
              <w:r>
                <w:fldChar w:fldCharType="end"/>
              </w:r>
              <w:r>
                <w:fldChar w:fldCharType="begin"/>
              </w:r>
              <w:r w:rsidR="001B4031">
                <w:instrText xml:space="preserve"> MACROBUTTON  SnrToggleCheckbox □不适用 </w:instrText>
              </w:r>
              <w:r>
                <w:fldChar w:fldCharType="end"/>
              </w:r>
            </w:sdtContent>
          </w:sdt>
        </w:p>
        <w:p w:rsidR="00806678" w:rsidRDefault="00B16377">
          <w:pPr>
            <w:jc w:val="right"/>
          </w:pPr>
          <w:r>
            <w:rPr>
              <w:rFonts w:hint="eastAsia"/>
            </w:rPr>
            <w:t>单位：</w:t>
          </w:r>
          <w:sdt>
            <w:sdtPr>
              <w:rPr>
                <w:rFonts w:hint="eastAsia"/>
              </w:rPr>
              <w:alias w:val="单位：财务附注：未办妥产权证书的土地使用权情况"/>
              <w:tag w:val="_GBC_0f049ced02af4be6bb3132c9fb8b9914"/>
              <w:id w:val="290571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未办妥产权证书的土地使用权情况"/>
              <w:tag w:val="_GBC_2d9d301f865248d6b6f1b7ab06b239cf"/>
              <w:id w:val="290572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15"/>
            <w:gridCol w:w="3017"/>
            <w:gridCol w:w="3017"/>
          </w:tblGrid>
          <w:tr w:rsidR="00806678" w:rsidTr="000F2EC9">
            <w:sdt>
              <w:sdtPr>
                <w:tag w:val="_PLD_394f6bb5ef6741f099060f7a817e1f9c"/>
                <w:id w:val="137628617"/>
                <w:lock w:val="sdtLocked"/>
              </w:sdtPr>
              <w:sdtContent>
                <w:tc>
                  <w:tcPr>
                    <w:tcW w:w="1666" w:type="pct"/>
                    <w:shd w:val="clear" w:color="auto" w:fill="auto"/>
                    <w:vAlign w:val="center"/>
                  </w:tcPr>
                  <w:p w:rsidR="00806678" w:rsidRDefault="00B16377">
                    <w:pPr>
                      <w:jc w:val="center"/>
                    </w:pPr>
                    <w:r>
                      <w:rPr>
                        <w:rFonts w:hint="eastAsia"/>
                      </w:rPr>
                      <w:t>项目</w:t>
                    </w:r>
                  </w:p>
                </w:tc>
              </w:sdtContent>
            </w:sdt>
            <w:sdt>
              <w:sdtPr>
                <w:tag w:val="_PLD_e52ee31192ed4f9facd48939a297a1af"/>
                <w:id w:val="1471874063"/>
                <w:lock w:val="sdtLocked"/>
              </w:sdtPr>
              <w:sdtContent>
                <w:tc>
                  <w:tcPr>
                    <w:tcW w:w="1667" w:type="pct"/>
                    <w:shd w:val="clear" w:color="auto" w:fill="auto"/>
                    <w:vAlign w:val="center"/>
                  </w:tcPr>
                  <w:p w:rsidR="00806678" w:rsidRDefault="00B16377">
                    <w:pPr>
                      <w:jc w:val="center"/>
                    </w:pPr>
                    <w:r>
                      <w:rPr>
                        <w:rFonts w:hint="eastAsia"/>
                      </w:rPr>
                      <w:t>账面价值</w:t>
                    </w:r>
                  </w:p>
                </w:tc>
              </w:sdtContent>
            </w:sdt>
            <w:sdt>
              <w:sdtPr>
                <w:tag w:val="_PLD_658d52b6529741e0acdd01e40f47293b"/>
                <w:id w:val="230199028"/>
                <w:lock w:val="sdtLocked"/>
              </w:sdtPr>
              <w:sdtContent>
                <w:tc>
                  <w:tcPr>
                    <w:tcW w:w="1667" w:type="pct"/>
                    <w:shd w:val="clear" w:color="auto" w:fill="auto"/>
                    <w:vAlign w:val="center"/>
                  </w:tcPr>
                  <w:p w:rsidR="00806678" w:rsidRDefault="00B16377">
                    <w:pPr>
                      <w:jc w:val="center"/>
                    </w:pPr>
                    <w:r>
                      <w:rPr>
                        <w:rFonts w:hint="eastAsia"/>
                      </w:rPr>
                      <w:t>未办妥产权证书的原因</w:t>
                    </w:r>
                  </w:p>
                </w:tc>
              </w:sdtContent>
            </w:sdt>
          </w:tr>
          <w:sdt>
            <w:sdtPr>
              <w:alias w:val="未办妥产权证书的土地使用权情况明细"/>
              <w:tag w:val="_TUP_12e2a6213a954f878d8e5ed524abbe50"/>
              <w:id w:val="973416216"/>
              <w:lock w:val="sdtLocked"/>
            </w:sdtPr>
            <w:sdtContent>
              <w:tr w:rsidR="00806678" w:rsidTr="000F2EC9">
                <w:tc>
                  <w:tcPr>
                    <w:tcW w:w="1666" w:type="pct"/>
                    <w:shd w:val="clear" w:color="auto" w:fill="auto"/>
                    <w:vAlign w:val="center"/>
                  </w:tcPr>
                  <w:p w:rsidR="00806678" w:rsidRPr="001B4031" w:rsidRDefault="001B4031" w:rsidP="001B4031">
                    <w:r>
                      <w:rPr>
                        <w:rFonts w:hint="eastAsia"/>
                        <w:szCs w:val="21"/>
                      </w:rPr>
                      <w:t>土地使用权</w:t>
                    </w:r>
                    <w:r>
                      <w:rPr>
                        <w:szCs w:val="21"/>
                      </w:rPr>
                      <w:t xml:space="preserve"> </w:t>
                    </w:r>
                  </w:p>
                </w:tc>
                <w:tc>
                  <w:tcPr>
                    <w:tcW w:w="1667" w:type="pct"/>
                    <w:shd w:val="clear" w:color="auto" w:fill="auto"/>
                    <w:vAlign w:val="center"/>
                  </w:tcPr>
                  <w:p w:rsidR="00806678" w:rsidRDefault="001B4031">
                    <w:pPr>
                      <w:jc w:val="right"/>
                    </w:pPr>
                    <w:r w:rsidRPr="001B4031">
                      <w:t>4,437,654,452</w:t>
                    </w:r>
                  </w:p>
                </w:tc>
                <w:tc>
                  <w:tcPr>
                    <w:tcW w:w="1667" w:type="pct"/>
                    <w:shd w:val="clear" w:color="auto" w:fill="auto"/>
                    <w:vAlign w:val="center"/>
                  </w:tcPr>
                  <w:p w:rsidR="00806678" w:rsidRDefault="001B4031" w:rsidP="00492C01">
                    <w:pPr>
                      <w:jc w:val="center"/>
                    </w:pPr>
                    <w:r>
                      <w:t>/</w:t>
                    </w:r>
                  </w:p>
                </w:tc>
              </w:tr>
            </w:sdtContent>
          </w:sdt>
        </w:tbl>
        <w:p w:rsidR="00806678" w:rsidRDefault="00F80B6C">
          <w:pPr>
            <w:snapToGrid w:val="0"/>
            <w:spacing w:line="240" w:lineRule="atLeast"/>
            <w:rPr>
              <w:szCs w:val="21"/>
            </w:rPr>
          </w:pPr>
        </w:p>
      </w:sdtContent>
    </w:sdt>
    <w:sdt>
      <w:sdtPr>
        <w:rPr>
          <w:szCs w:val="21"/>
        </w:rPr>
        <w:alias w:val="模块:无形资产说明"/>
        <w:tag w:val="_SEC_eb6a679b93d847e9a41997ee579c0c0b"/>
        <w:id w:val="1654948682"/>
        <w:lock w:val="sdtLocked"/>
        <w:placeholder>
          <w:docPart w:val="GBC22222222222222222222222222222"/>
        </w:placeholder>
      </w:sdtPr>
      <w:sdtContent>
        <w:p w:rsidR="00806678" w:rsidRDefault="00B16377">
          <w:pPr>
            <w:rPr>
              <w:szCs w:val="21"/>
            </w:rPr>
          </w:pPr>
          <w:r>
            <w:rPr>
              <w:rFonts w:hint="eastAsia"/>
              <w:szCs w:val="21"/>
            </w:rPr>
            <w:t>其他说明：</w:t>
          </w:r>
        </w:p>
        <w:sdt>
          <w:sdtPr>
            <w:rPr>
              <w:szCs w:val="21"/>
            </w:rPr>
            <w:alias w:val="是否适用：无形资产的说明[双击切换]"/>
            <w:tag w:val="_GBC_ff92654365f04f7ba71b01dd8af2f696"/>
            <w:id w:val="-424033842"/>
            <w:lock w:val="sdtLocked"/>
            <w:placeholder>
              <w:docPart w:val="GBC22222222222222222222222222222"/>
            </w:placeholder>
          </w:sdtPr>
          <w:sdtContent>
            <w:p w:rsidR="00806678" w:rsidRDefault="00F80B6C">
              <w:pPr>
                <w:rPr>
                  <w:szCs w:val="21"/>
                </w:rPr>
              </w:pPr>
              <w:r>
                <w:rPr>
                  <w:szCs w:val="21"/>
                </w:rPr>
                <w:fldChar w:fldCharType="begin"/>
              </w:r>
              <w:r w:rsidR="001B4031">
                <w:rPr>
                  <w:szCs w:val="21"/>
                </w:rPr>
                <w:instrText xml:space="preserve">MACROBUTTON  SnrToggleCheckbox √适用 </w:instrText>
              </w:r>
              <w:r>
                <w:rPr>
                  <w:szCs w:val="21"/>
                </w:rPr>
                <w:fldChar w:fldCharType="end"/>
              </w:r>
              <w:r>
                <w:rPr>
                  <w:szCs w:val="21"/>
                </w:rPr>
                <w:fldChar w:fldCharType="begin"/>
              </w:r>
              <w:r w:rsidR="001B4031">
                <w:rPr>
                  <w:szCs w:val="21"/>
                </w:rPr>
                <w:instrText xml:space="preserve"> MACROBUTTON  SnrToggleCheckbox □不适用 </w:instrText>
              </w:r>
              <w:r>
                <w:rPr>
                  <w:szCs w:val="21"/>
                </w:rPr>
                <w:fldChar w:fldCharType="end"/>
              </w:r>
            </w:p>
          </w:sdtContent>
        </w:sdt>
        <w:sdt>
          <w:sdtPr>
            <w:rPr>
              <w:szCs w:val="21"/>
            </w:rPr>
            <w:alias w:val="无形资产的说明"/>
            <w:tag w:val="_GBC_b3876d0ddd5a433ca1cd0418b98d28f8"/>
            <w:id w:val="2009005905"/>
            <w:lock w:val="sdtLocked"/>
            <w:placeholder>
              <w:docPart w:val="GBC22222222222222222222222222222"/>
            </w:placeholder>
          </w:sdtPr>
          <w:sdtContent>
            <w:p w:rsidR="00806678" w:rsidRPr="001B4031" w:rsidRDefault="001B4031">
              <w:pPr>
                <w:rPr>
                  <w:szCs w:val="21"/>
                </w:rPr>
              </w:pPr>
              <w:r w:rsidRPr="001B4031">
                <w:rPr>
                  <w:rFonts w:hint="eastAsia"/>
                  <w:szCs w:val="21"/>
                </w:rPr>
                <w:t>本公司于</w:t>
              </w:r>
              <w:r w:rsidRPr="001B4031">
                <w:rPr>
                  <w:szCs w:val="21"/>
                </w:rPr>
                <w:t>2010年8月完成对太原铁路局运输业务的相关资产和负债的收购。本次收购中，目标业务所占用的土地不纳入收购范围而由本集团向太原局集团公司租赁使用 (附注</w:t>
              </w:r>
              <w:r w:rsidRPr="001B4031">
                <w:rPr>
                  <w:rFonts w:hint="eastAsia"/>
                  <w:szCs w:val="21"/>
                </w:rPr>
                <w:t>十二</w:t>
              </w:r>
              <w:r w:rsidRPr="001B4031">
                <w:rPr>
                  <w:szCs w:val="21"/>
                </w:rPr>
                <w:t>、5(3)) 。</w:t>
              </w:r>
            </w:p>
          </w:sdtContent>
        </w:sdt>
        <w:p w:rsidR="00806678" w:rsidRDefault="00F80B6C">
          <w:pPr>
            <w:snapToGrid w:val="0"/>
            <w:spacing w:line="240" w:lineRule="atLeast"/>
            <w:rPr>
              <w:szCs w:val="21"/>
            </w:rPr>
          </w:pPr>
        </w:p>
      </w:sdtContent>
    </w:sdt>
    <w:sdt>
      <w:sdtPr>
        <w:rPr>
          <w:rFonts w:ascii="宋体" w:hAnsi="宋体" w:cs="宋体" w:hint="eastAsia"/>
          <w:b w:val="0"/>
          <w:bCs w:val="0"/>
          <w:kern w:val="0"/>
          <w:szCs w:val="21"/>
        </w:rPr>
        <w:alias w:val="模块:公司开发项目支出"/>
        <w:tag w:val="_SEC_cf72b8a1a8b94a6db030e4d63349f86b"/>
        <w:id w:val="-1191365448"/>
        <w:lock w:val="sdtLocked"/>
        <w:placeholder>
          <w:docPart w:val="GBC22222222222222222222222222222"/>
        </w:placeholder>
      </w:sdtPr>
      <w:sdtEndPr>
        <w:rPr>
          <w:rFonts w:cstheme="minorBidi" w:hint="default"/>
          <w:kern w:val="2"/>
        </w:rPr>
      </w:sdtEndPr>
      <w:sdtContent>
        <w:p w:rsidR="00806678" w:rsidRDefault="00B16377" w:rsidP="00FF17C7">
          <w:pPr>
            <w:pStyle w:val="3"/>
            <w:numPr>
              <w:ilvl w:val="0"/>
              <w:numId w:val="18"/>
            </w:numPr>
            <w:tabs>
              <w:tab w:val="left" w:pos="504"/>
            </w:tabs>
            <w:rPr>
              <w:rFonts w:ascii="宋体" w:hAnsi="宋体"/>
              <w:kern w:val="0"/>
              <w:szCs w:val="21"/>
            </w:rPr>
          </w:pPr>
          <w:r>
            <w:rPr>
              <w:rFonts w:ascii="宋体" w:hAnsi="宋体" w:hint="eastAsia"/>
              <w:szCs w:val="21"/>
            </w:rPr>
            <w:t>开发</w:t>
          </w:r>
          <w:r>
            <w:rPr>
              <w:rFonts w:ascii="宋体" w:hAnsi="宋体" w:hint="eastAsia"/>
              <w:kern w:val="0"/>
              <w:szCs w:val="21"/>
            </w:rPr>
            <w:t>支出</w:t>
          </w:r>
        </w:p>
        <w:sdt>
          <w:sdtPr>
            <w:alias w:val="是否适用：开发支出[双击切换]"/>
            <w:tag w:val="_GBC_ba9b0ed4b3c84b5a929932077b5d61e7"/>
            <w:id w:val="2061745503"/>
            <w:lock w:val="sdtLocked"/>
            <w:placeholder>
              <w:docPart w:val="GBC22222222222222222222222222222"/>
            </w:placeholder>
          </w:sdtPr>
          <w:sdtContent>
            <w:p w:rsidR="00954C2B" w:rsidRDefault="00F80B6C" w:rsidP="00954C2B">
              <w:pPr>
                <w:rPr>
                  <w:szCs w:val="21"/>
                </w:rPr>
              </w:pPr>
              <w:r>
                <w:fldChar w:fldCharType="begin"/>
              </w:r>
              <w:r w:rsidR="00954C2B">
                <w:instrText xml:space="preserve">MACROBUTTON  SnrToggleCheckbox □适用 </w:instrText>
              </w:r>
              <w:r>
                <w:fldChar w:fldCharType="end"/>
              </w:r>
              <w:r>
                <w:fldChar w:fldCharType="begin"/>
              </w:r>
              <w:r w:rsidR="00954C2B">
                <w:instrText xml:space="preserve"> MACROBUTTON  SnrToggleCheckbox √不适用 </w:instrText>
              </w:r>
              <w:r>
                <w:fldChar w:fldCharType="end"/>
              </w:r>
            </w:p>
          </w:sdtContent>
        </w:sdt>
        <w:p w:rsidR="00806678" w:rsidRDefault="00F80B6C">
          <w:pPr>
            <w:snapToGrid w:val="0"/>
            <w:spacing w:line="240" w:lineRule="atLeast"/>
            <w:rPr>
              <w:szCs w:val="21"/>
            </w:rPr>
          </w:pPr>
        </w:p>
      </w:sdtContent>
    </w:sdt>
    <w:sdt>
      <w:sdtPr>
        <w:rPr>
          <w:rFonts w:ascii="宋体" w:hAnsi="宋体" w:cs="宋体" w:hint="eastAsia"/>
          <w:b w:val="0"/>
          <w:bCs w:val="0"/>
          <w:kern w:val="0"/>
          <w:szCs w:val="21"/>
        </w:rPr>
        <w:alias w:val="模块:商誉"/>
        <w:tag w:val="_SEC_c1b37e49b4784cd69e2bf4154039a71f"/>
        <w:id w:val="-338701956"/>
        <w:lock w:val="sdtLocked"/>
        <w:placeholder>
          <w:docPart w:val="GBC22222222222222222222222222222"/>
        </w:placeholder>
      </w:sdtPr>
      <w:sdtEndPr>
        <w:rPr>
          <w:rFonts w:cstheme="minorBidi"/>
          <w:kern w:val="2"/>
        </w:rPr>
      </w:sdtEndPr>
      <w:sdtContent>
        <w:p w:rsidR="00806678" w:rsidRDefault="00B16377" w:rsidP="00FF17C7">
          <w:pPr>
            <w:pStyle w:val="3"/>
            <w:numPr>
              <w:ilvl w:val="0"/>
              <w:numId w:val="18"/>
            </w:numPr>
            <w:tabs>
              <w:tab w:val="left" w:pos="504"/>
            </w:tabs>
            <w:rPr>
              <w:rFonts w:ascii="宋体" w:hAnsi="宋体"/>
              <w:szCs w:val="21"/>
            </w:rPr>
          </w:pPr>
          <w:r>
            <w:rPr>
              <w:rFonts w:ascii="宋体" w:hAnsi="宋体" w:hint="eastAsia"/>
              <w:szCs w:val="21"/>
            </w:rPr>
            <w:t>商誉</w:t>
          </w:r>
        </w:p>
        <w:p w:rsidR="00806678" w:rsidRDefault="00B16377" w:rsidP="00FF17C7">
          <w:pPr>
            <w:pStyle w:val="4"/>
            <w:numPr>
              <w:ilvl w:val="3"/>
              <w:numId w:val="90"/>
            </w:numPr>
            <w:ind w:left="426" w:hanging="426"/>
          </w:pPr>
          <w:r>
            <w:rPr>
              <w:rFonts w:hint="eastAsia"/>
            </w:rPr>
            <w:t>商誉账面原值</w:t>
          </w:r>
        </w:p>
        <w:sdt>
          <w:sdtPr>
            <w:alias w:val="是否适用：商誉账面原值[双击切换]"/>
            <w:tag w:val="_GBC_ef393f0687ab4747a43cd96895a18dcb"/>
            <w:id w:val="-1975514835"/>
            <w:lock w:val="sdtLocked"/>
            <w:placeholder>
              <w:docPart w:val="GBC22222222222222222222222222222"/>
            </w:placeholder>
          </w:sdtPr>
          <w:sdtContent>
            <w:p w:rsidR="00806678" w:rsidRDefault="00F80B6C" w:rsidP="00954C2B">
              <w:pPr>
                <w:rPr>
                  <w:szCs w:val="21"/>
                </w:rPr>
              </w:pPr>
              <w:r>
                <w:fldChar w:fldCharType="begin"/>
              </w:r>
              <w:r w:rsidR="00954C2B">
                <w:instrText xml:space="preserve">MACROBUTTON  SnrToggleCheckbox □适用 </w:instrText>
              </w:r>
              <w:r>
                <w:fldChar w:fldCharType="end"/>
              </w:r>
              <w:r>
                <w:fldChar w:fldCharType="begin"/>
              </w:r>
              <w:r w:rsidR="00954C2B">
                <w:instrText xml:space="preserve"> MACROBUTTON  SnrToggleCheckbox √不适用 </w:instrText>
              </w:r>
              <w:r>
                <w:fldChar w:fldCharType="end"/>
              </w:r>
            </w:p>
          </w:sdtContent>
        </w:sdt>
        <w:p w:rsidR="00806678" w:rsidRDefault="00B16377" w:rsidP="00FF17C7">
          <w:pPr>
            <w:pStyle w:val="4"/>
            <w:numPr>
              <w:ilvl w:val="3"/>
              <w:numId w:val="90"/>
            </w:numPr>
            <w:ind w:left="426" w:hanging="426"/>
          </w:pPr>
          <w:r>
            <w:rPr>
              <w:rFonts w:hint="eastAsia"/>
            </w:rPr>
            <w:t>商誉减值准备</w:t>
          </w:r>
        </w:p>
        <w:sdt>
          <w:sdtPr>
            <w:alias w:val="是否适用：商誉减值准备[双击切换]"/>
            <w:tag w:val="_GBC_6da4c3df55cf453f9753bb7045db7e9c"/>
            <w:id w:val="-497036724"/>
            <w:lock w:val="sdtLocked"/>
            <w:placeholder>
              <w:docPart w:val="GBC22222222222222222222222222222"/>
            </w:placeholder>
          </w:sdtPr>
          <w:sdtContent>
            <w:p w:rsidR="00806678" w:rsidRDefault="00F80B6C" w:rsidP="00954C2B">
              <w:r>
                <w:fldChar w:fldCharType="begin"/>
              </w:r>
              <w:r w:rsidR="00954C2B">
                <w:instrText xml:space="preserve">MACROBUTTON  SnrToggleCheckbox □适用 </w:instrText>
              </w:r>
              <w:r>
                <w:fldChar w:fldCharType="end"/>
              </w:r>
              <w:r>
                <w:fldChar w:fldCharType="begin"/>
              </w:r>
              <w:r w:rsidR="00954C2B">
                <w:instrText xml:space="preserve"> MACROBUTTON  SnrToggleCheckbox √不适用 </w:instrText>
              </w:r>
              <w:r>
                <w:fldChar w:fldCharType="end"/>
              </w:r>
            </w:p>
          </w:sdtContent>
        </w:sdt>
        <w:p w:rsidR="00806678" w:rsidRDefault="00B16377" w:rsidP="00FF17C7">
          <w:pPr>
            <w:pStyle w:val="4"/>
            <w:numPr>
              <w:ilvl w:val="3"/>
              <w:numId w:val="90"/>
            </w:numPr>
            <w:ind w:left="424" w:hangingChars="201" w:hanging="424"/>
          </w:pPr>
          <w:r>
            <w:rPr>
              <w:rFonts w:hint="eastAsia"/>
            </w:rPr>
            <w:t>商誉所在资产组或资产组组合的相关信息</w:t>
          </w:r>
        </w:p>
        <w:sdt>
          <w:sdtPr>
            <w:alias w:val="是否适用：商誉所在资产组或资产组组合的相关信息[双击切换]"/>
            <w:tag w:val="_GBC_9f9bd4d9cf084d4594694aa545981d14"/>
            <w:id w:val="-1846463109"/>
            <w:lock w:val="sdtLocked"/>
            <w:placeholder>
              <w:docPart w:val="GBC22222222222222222222222222222"/>
            </w:placeholder>
          </w:sdtPr>
          <w:sdtContent>
            <w:p w:rsidR="00806678" w:rsidRDefault="00F80B6C">
              <w:r>
                <w:fldChar w:fldCharType="begin"/>
              </w:r>
              <w:r w:rsidR="00954C2B">
                <w:instrText xml:space="preserve"> MACROBUTTON  SnrToggleCheckbox □适用 </w:instrText>
              </w:r>
              <w:r>
                <w:fldChar w:fldCharType="end"/>
              </w:r>
              <w:r>
                <w:fldChar w:fldCharType="begin"/>
              </w:r>
              <w:r w:rsidR="00954C2B">
                <w:instrText xml:space="preserve"> MACROBUTTON  SnrToggleCheckbox √不适用 </w:instrText>
              </w:r>
              <w:r>
                <w:fldChar w:fldCharType="end"/>
              </w:r>
            </w:p>
          </w:sdtContent>
        </w:sdt>
        <w:p w:rsidR="00806678" w:rsidRDefault="00B16377" w:rsidP="00FF17C7">
          <w:pPr>
            <w:pStyle w:val="4"/>
            <w:numPr>
              <w:ilvl w:val="3"/>
              <w:numId w:val="90"/>
            </w:numPr>
            <w:ind w:left="424" w:hangingChars="201" w:hanging="424"/>
          </w:pPr>
          <w:r>
            <w:rPr>
              <w:rFonts w:hint="eastAsia"/>
            </w:rPr>
            <w:t>说明商誉减值测试过程、关键参数（例如预计未来现金流量现值时的预测期增长率、稳定期增长率、利润率、折现率、预测期等，如适用）及商誉减值损失的确认方法</w:t>
          </w:r>
        </w:p>
        <w:sdt>
          <w:sdtPr>
            <w:alias w:val="是否适用：说明商誉减值测试过程、参数及商誉减值损失的确认方法[双击切换]"/>
            <w:tag w:val="_GBC_538215f0e019491d8a00405b6ad9554f"/>
            <w:id w:val="-930357422"/>
            <w:lock w:val="sdtLocked"/>
            <w:placeholder>
              <w:docPart w:val="GBC22222222222222222222222222222"/>
            </w:placeholder>
          </w:sdtPr>
          <w:sdtContent>
            <w:p w:rsidR="00806678" w:rsidRDefault="00F80B6C">
              <w:pPr>
                <w:rPr>
                  <w:szCs w:val="21"/>
                </w:rPr>
              </w:pPr>
              <w:r>
                <w:fldChar w:fldCharType="begin"/>
              </w:r>
              <w:r w:rsidR="00954C2B">
                <w:instrText xml:space="preserve">MACROBUTTON  SnrToggleCheckbox □适用 </w:instrText>
              </w:r>
              <w:r>
                <w:fldChar w:fldCharType="end"/>
              </w:r>
              <w:r>
                <w:fldChar w:fldCharType="begin"/>
              </w:r>
              <w:r w:rsidR="00954C2B">
                <w:instrText xml:space="preserve"> MACROBUTTON  SnrToggleCheckbox √不适用 </w:instrText>
              </w:r>
              <w:r>
                <w:fldChar w:fldCharType="end"/>
              </w:r>
            </w:p>
          </w:sdtContent>
        </w:sdt>
        <w:p w:rsidR="00806678" w:rsidRDefault="00B16377" w:rsidP="00FF17C7">
          <w:pPr>
            <w:pStyle w:val="4"/>
            <w:numPr>
              <w:ilvl w:val="3"/>
              <w:numId w:val="90"/>
            </w:numPr>
            <w:ind w:left="426" w:hanging="426"/>
            <w:rPr>
              <w:szCs w:val="21"/>
            </w:rPr>
          </w:pPr>
          <w:r>
            <w:rPr>
              <w:rFonts w:hint="eastAsia"/>
              <w:szCs w:val="21"/>
            </w:rPr>
            <w:t>商誉减值测试的影响</w:t>
          </w:r>
        </w:p>
        <w:sdt>
          <w:sdtPr>
            <w:rPr>
              <w:szCs w:val="21"/>
            </w:rPr>
            <w:alias w:val="是否适用：商誉减值测试的影响[双击切换]"/>
            <w:tag w:val="_GBC_6e248399119945f99696928d9d08c459"/>
            <w:id w:val="-2119283166"/>
            <w:lock w:val="sdtLocked"/>
            <w:placeholder>
              <w:docPart w:val="GBC22222222222222222222222222222"/>
            </w:placeholder>
          </w:sdtPr>
          <w:sdtContent>
            <w:p w:rsidR="00806678" w:rsidRDefault="00F80B6C">
              <w:pPr>
                <w:rPr>
                  <w:szCs w:val="21"/>
                </w:rPr>
              </w:pPr>
              <w:r>
                <w:rPr>
                  <w:szCs w:val="21"/>
                </w:rPr>
                <w:fldChar w:fldCharType="begin"/>
              </w:r>
              <w:r w:rsidR="00954C2B">
                <w:rPr>
                  <w:szCs w:val="21"/>
                </w:rPr>
                <w:instrText xml:space="preserve"> MACROBUTTON  SnrToggleCheckbox □适用 </w:instrText>
              </w:r>
              <w:r>
                <w:rPr>
                  <w:szCs w:val="21"/>
                </w:rPr>
                <w:fldChar w:fldCharType="end"/>
              </w:r>
              <w:r>
                <w:rPr>
                  <w:szCs w:val="21"/>
                </w:rPr>
                <w:fldChar w:fldCharType="begin"/>
              </w:r>
              <w:r w:rsidR="00954C2B">
                <w:rPr>
                  <w:szCs w:val="21"/>
                </w:rPr>
                <w:instrText xml:space="preserve"> MACROBUTTON  SnrToggleCheckbox √不适用 </w:instrText>
              </w:r>
              <w:r>
                <w:rPr>
                  <w:szCs w:val="21"/>
                </w:rPr>
                <w:fldChar w:fldCharType="end"/>
              </w:r>
            </w:p>
          </w:sdtContent>
        </w:sdt>
        <w:p w:rsidR="00806678" w:rsidRDefault="00B16377">
          <w:r>
            <w:rPr>
              <w:rFonts w:hint="eastAsia"/>
            </w:rPr>
            <w:t>其他说明</w:t>
          </w:r>
        </w:p>
        <w:sdt>
          <w:sdtPr>
            <w:alias w:val="是否适用：商誉其他需要说明的事项[双击切换]"/>
            <w:tag w:val="_GBC_99f8ebd0cb464294bea4051ad19cf581"/>
            <w:id w:val="547266238"/>
            <w:lock w:val="sdtLocked"/>
            <w:placeholder>
              <w:docPart w:val="GBC22222222222222222222222222222"/>
            </w:placeholder>
          </w:sdtPr>
          <w:sdtContent>
            <w:p w:rsidR="00806678" w:rsidRDefault="00F80B6C" w:rsidP="00954C2B">
              <w:pPr>
                <w:rPr>
                  <w:szCs w:val="21"/>
                </w:rPr>
              </w:pPr>
              <w:r>
                <w:fldChar w:fldCharType="begin"/>
              </w:r>
              <w:r w:rsidR="00954C2B">
                <w:instrText xml:space="preserve">MACROBUTTON  SnrToggleCheckbox □适用 </w:instrText>
              </w:r>
              <w:r>
                <w:fldChar w:fldCharType="end"/>
              </w:r>
              <w:r>
                <w:fldChar w:fldCharType="begin"/>
              </w:r>
              <w:r w:rsidR="00954C2B">
                <w:instrText xml:space="preserve"> MACROBUTTON  SnrToggleCheckbox √不适用 </w:instrText>
              </w:r>
              <w:r>
                <w:fldChar w:fldCharType="end"/>
              </w:r>
            </w:p>
          </w:sdtContent>
        </w:sdt>
        <w:p w:rsidR="00806678" w:rsidRDefault="00F80B6C">
          <w:pPr>
            <w:snapToGrid w:val="0"/>
            <w:spacing w:line="240" w:lineRule="atLeast"/>
            <w:rPr>
              <w:rFonts w:cstheme="minorBidi"/>
              <w:kern w:val="2"/>
              <w:szCs w:val="21"/>
            </w:rPr>
          </w:pPr>
        </w:p>
      </w:sdtContent>
    </w:sdt>
    <w:sdt>
      <w:sdtPr>
        <w:rPr>
          <w:rFonts w:ascii="宋体" w:hAnsi="宋体" w:cs="宋体" w:hint="eastAsia"/>
          <w:b w:val="0"/>
          <w:bCs w:val="0"/>
          <w:kern w:val="0"/>
          <w:szCs w:val="21"/>
        </w:rPr>
        <w:alias w:val="模块:长期待摊费用"/>
        <w:tag w:val="_SEC_a4ccbe4057b4410cb2b998d6b11165cd"/>
        <w:id w:val="69938020"/>
        <w:lock w:val="sdtLocked"/>
        <w:placeholder>
          <w:docPart w:val="GBC22222222222222222222222222222"/>
        </w:placeholder>
      </w:sdtPr>
      <w:sdtEndPr>
        <w:rPr>
          <w:rFonts w:cstheme="minorBidi" w:hint="default"/>
          <w:kern w:val="2"/>
        </w:rPr>
      </w:sdtEndPr>
      <w:sdtContent>
        <w:p w:rsidR="00806678" w:rsidRDefault="00B16377" w:rsidP="00FF17C7">
          <w:pPr>
            <w:pStyle w:val="3"/>
            <w:numPr>
              <w:ilvl w:val="0"/>
              <w:numId w:val="18"/>
            </w:numPr>
            <w:tabs>
              <w:tab w:val="left" w:pos="504"/>
            </w:tabs>
            <w:rPr>
              <w:rFonts w:ascii="宋体" w:hAnsi="宋体"/>
              <w:szCs w:val="21"/>
            </w:rPr>
          </w:pPr>
          <w:r>
            <w:rPr>
              <w:rFonts w:ascii="宋体" w:hAnsi="宋体" w:hint="eastAsia"/>
              <w:szCs w:val="21"/>
            </w:rPr>
            <w:t>长期待摊费用</w:t>
          </w:r>
        </w:p>
        <w:sdt>
          <w:sdtPr>
            <w:alias w:val="是否适用：长期待摊费用[双击切换]"/>
            <w:tag w:val="_GBC_cbcb541b65cd4be6b93f357c0fdd9f09"/>
            <w:id w:val="641934807"/>
            <w:lock w:val="sdtLocked"/>
            <w:placeholder>
              <w:docPart w:val="GBC22222222222222222222222222222"/>
            </w:placeholder>
          </w:sdtPr>
          <w:sdtContent>
            <w:p w:rsidR="00806678" w:rsidRDefault="00F80B6C">
              <w:r>
                <w:fldChar w:fldCharType="begin"/>
              </w:r>
              <w:r w:rsidR="00954C2B">
                <w:instrText xml:space="preserve">MACROBUTTON  SnrToggleCheckbox √适用 </w:instrText>
              </w:r>
              <w:r>
                <w:fldChar w:fldCharType="end"/>
              </w:r>
              <w:r>
                <w:fldChar w:fldCharType="begin"/>
              </w:r>
              <w:r w:rsidR="00954C2B">
                <w:instrText xml:space="preserve"> MACROBUTTON  SnrToggleCheckbox □不适用 </w:instrText>
              </w:r>
              <w:r>
                <w:fldChar w:fldCharType="end"/>
              </w:r>
            </w:p>
          </w:sdtContent>
        </w:sdt>
        <w:p w:rsidR="00806678" w:rsidRDefault="00B16377">
          <w:pPr>
            <w:jc w:val="right"/>
            <w:rPr>
              <w:szCs w:val="21"/>
            </w:rPr>
          </w:pPr>
          <w:r>
            <w:rPr>
              <w:rFonts w:hint="eastAsia"/>
              <w:szCs w:val="21"/>
            </w:rPr>
            <w:t>单位：</w:t>
          </w:r>
          <w:sdt>
            <w:sdtPr>
              <w:rPr>
                <w:rFonts w:hint="eastAsia"/>
                <w:szCs w:val="21"/>
              </w:rPr>
              <w:alias w:val="单位：财务附注：长期待摊费用"/>
              <w:tag w:val="_GBC_bcda40ca2da04d5da4a9e3293430f9ac"/>
              <w:id w:val="-29707652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长期待摊费用"/>
              <w:tag w:val="_GBC_45bcea706579408d8f2a7cd4ab5ef115"/>
              <w:id w:val="-171665564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a6"/>
            <w:tblW w:w="5000" w:type="pct"/>
            <w:tblLook w:val="0000"/>
          </w:tblPr>
          <w:tblGrid>
            <w:gridCol w:w="1844"/>
            <w:gridCol w:w="1206"/>
            <w:gridCol w:w="1531"/>
            <w:gridCol w:w="1458"/>
            <w:gridCol w:w="1445"/>
            <w:gridCol w:w="1565"/>
          </w:tblGrid>
          <w:tr w:rsidR="00806678" w:rsidTr="00FE041D">
            <w:sdt>
              <w:sdtPr>
                <w:rPr>
                  <w:sz w:val="18"/>
                  <w:szCs w:val="18"/>
                </w:rPr>
                <w:tag w:val="_PLD_d70e367624f544f28430d4fa9dc10540"/>
                <w:id w:val="1603148219"/>
                <w:lock w:val="sdtLocked"/>
              </w:sdtPr>
              <w:sdtContent>
                <w:tc>
                  <w:tcPr>
                    <w:tcW w:w="1034" w:type="pct"/>
                  </w:tcPr>
                  <w:p w:rsidR="00806678" w:rsidRPr="00732AC2" w:rsidRDefault="00B16377">
                    <w:pPr>
                      <w:jc w:val="center"/>
                      <w:rPr>
                        <w:sz w:val="18"/>
                        <w:szCs w:val="18"/>
                      </w:rPr>
                    </w:pPr>
                    <w:r w:rsidRPr="00732AC2">
                      <w:rPr>
                        <w:rFonts w:hint="eastAsia"/>
                        <w:sz w:val="18"/>
                        <w:szCs w:val="18"/>
                      </w:rPr>
                      <w:t>项目</w:t>
                    </w:r>
                  </w:p>
                </w:tc>
              </w:sdtContent>
            </w:sdt>
            <w:sdt>
              <w:sdtPr>
                <w:rPr>
                  <w:sz w:val="18"/>
                  <w:szCs w:val="18"/>
                </w:rPr>
                <w:tag w:val="_PLD_e9e93178bf6e4ae6b25e934d80cadf90"/>
                <w:id w:val="1776739808"/>
                <w:lock w:val="sdtLocked"/>
              </w:sdtPr>
              <w:sdtContent>
                <w:tc>
                  <w:tcPr>
                    <w:tcW w:w="593" w:type="pct"/>
                  </w:tcPr>
                  <w:p w:rsidR="00806678" w:rsidRPr="00732AC2" w:rsidRDefault="00B16377">
                    <w:pPr>
                      <w:jc w:val="center"/>
                      <w:rPr>
                        <w:sz w:val="18"/>
                        <w:szCs w:val="18"/>
                      </w:rPr>
                    </w:pPr>
                    <w:r w:rsidRPr="00732AC2">
                      <w:rPr>
                        <w:rFonts w:hint="eastAsia"/>
                        <w:sz w:val="18"/>
                        <w:szCs w:val="18"/>
                      </w:rPr>
                      <w:t>期初余额</w:t>
                    </w:r>
                  </w:p>
                </w:tc>
              </w:sdtContent>
            </w:sdt>
            <w:sdt>
              <w:sdtPr>
                <w:rPr>
                  <w:sz w:val="18"/>
                  <w:szCs w:val="18"/>
                </w:rPr>
                <w:tag w:val="_PLD_b0304019406b49bba87fd5d26e9e77a3"/>
                <w:id w:val="775227879"/>
                <w:lock w:val="sdtLocked"/>
              </w:sdtPr>
              <w:sdtContent>
                <w:tc>
                  <w:tcPr>
                    <w:tcW w:w="861" w:type="pct"/>
                  </w:tcPr>
                  <w:p w:rsidR="00806678" w:rsidRPr="00732AC2" w:rsidRDefault="00B16377">
                    <w:pPr>
                      <w:jc w:val="center"/>
                      <w:rPr>
                        <w:sz w:val="18"/>
                        <w:szCs w:val="18"/>
                      </w:rPr>
                    </w:pPr>
                    <w:r w:rsidRPr="00732AC2">
                      <w:rPr>
                        <w:rFonts w:hint="eastAsia"/>
                        <w:sz w:val="18"/>
                        <w:szCs w:val="18"/>
                      </w:rPr>
                      <w:t>本期增加金额</w:t>
                    </w:r>
                  </w:p>
                </w:tc>
              </w:sdtContent>
            </w:sdt>
            <w:sdt>
              <w:sdtPr>
                <w:rPr>
                  <w:sz w:val="18"/>
                  <w:szCs w:val="18"/>
                </w:rPr>
                <w:tag w:val="_PLD_e1350bea96cf4f45a6200cab08f11722"/>
                <w:id w:val="842283037"/>
                <w:lock w:val="sdtLocked"/>
              </w:sdtPr>
              <w:sdtContent>
                <w:tc>
                  <w:tcPr>
                    <w:tcW w:w="820" w:type="pct"/>
                  </w:tcPr>
                  <w:p w:rsidR="00806678" w:rsidRPr="00732AC2" w:rsidRDefault="00B16377">
                    <w:pPr>
                      <w:jc w:val="center"/>
                      <w:rPr>
                        <w:sz w:val="18"/>
                        <w:szCs w:val="18"/>
                      </w:rPr>
                    </w:pPr>
                    <w:r w:rsidRPr="00732AC2">
                      <w:rPr>
                        <w:rFonts w:hint="eastAsia"/>
                        <w:sz w:val="18"/>
                        <w:szCs w:val="18"/>
                      </w:rPr>
                      <w:t>本期摊销金额</w:t>
                    </w:r>
                  </w:p>
                </w:tc>
              </w:sdtContent>
            </w:sdt>
            <w:sdt>
              <w:sdtPr>
                <w:rPr>
                  <w:sz w:val="18"/>
                  <w:szCs w:val="18"/>
                </w:rPr>
                <w:tag w:val="_PLD_dd7c0d5ab3334691b3e0047d34ecb634"/>
                <w:id w:val="149565853"/>
                <w:lock w:val="sdtLocked"/>
              </w:sdtPr>
              <w:sdtContent>
                <w:tc>
                  <w:tcPr>
                    <w:tcW w:w="813" w:type="pct"/>
                  </w:tcPr>
                  <w:p w:rsidR="00806678" w:rsidRPr="00732AC2" w:rsidRDefault="00B16377">
                    <w:pPr>
                      <w:jc w:val="center"/>
                      <w:rPr>
                        <w:sz w:val="18"/>
                        <w:szCs w:val="18"/>
                      </w:rPr>
                    </w:pPr>
                    <w:r w:rsidRPr="00732AC2">
                      <w:rPr>
                        <w:rFonts w:hint="eastAsia"/>
                        <w:sz w:val="18"/>
                        <w:szCs w:val="18"/>
                      </w:rPr>
                      <w:t>其他减少金额</w:t>
                    </w:r>
                  </w:p>
                </w:tc>
              </w:sdtContent>
            </w:sdt>
            <w:sdt>
              <w:sdtPr>
                <w:rPr>
                  <w:sz w:val="18"/>
                  <w:szCs w:val="18"/>
                </w:rPr>
                <w:tag w:val="_PLD_3ab32d124e7942f1b1f82c0287c9220f"/>
                <w:id w:val="-1492095073"/>
                <w:lock w:val="sdtLocked"/>
              </w:sdtPr>
              <w:sdtContent>
                <w:tc>
                  <w:tcPr>
                    <w:tcW w:w="879" w:type="pct"/>
                  </w:tcPr>
                  <w:p w:rsidR="00806678" w:rsidRPr="00732AC2" w:rsidRDefault="00B16377">
                    <w:pPr>
                      <w:jc w:val="center"/>
                      <w:rPr>
                        <w:sz w:val="18"/>
                        <w:szCs w:val="18"/>
                      </w:rPr>
                    </w:pPr>
                    <w:r w:rsidRPr="00732AC2">
                      <w:rPr>
                        <w:rFonts w:hint="eastAsia"/>
                        <w:sz w:val="18"/>
                        <w:szCs w:val="18"/>
                      </w:rPr>
                      <w:t>期末余额</w:t>
                    </w:r>
                  </w:p>
                </w:tc>
              </w:sdtContent>
            </w:sdt>
          </w:tr>
          <w:sdt>
            <w:sdtPr>
              <w:rPr>
                <w:rFonts w:hint="eastAsia"/>
                <w:sz w:val="18"/>
                <w:szCs w:val="18"/>
              </w:rPr>
              <w:alias w:val="长期待摊费用明细"/>
              <w:tag w:val="_TUP_969d22a473614010ab4861b5a43a6426"/>
              <w:id w:val="-1771691255"/>
              <w:lock w:val="sdtLocked"/>
            </w:sdtPr>
            <w:sdtContent>
              <w:tr w:rsidR="00806678" w:rsidTr="00FE041D">
                <w:tc>
                  <w:tcPr>
                    <w:tcW w:w="1034" w:type="pct"/>
                  </w:tcPr>
                  <w:p w:rsidR="00806678" w:rsidRPr="00732AC2" w:rsidRDefault="00996492" w:rsidP="00996492">
                    <w:pPr>
                      <w:rPr>
                        <w:sz w:val="18"/>
                        <w:szCs w:val="18"/>
                      </w:rPr>
                    </w:pPr>
                    <w:r w:rsidRPr="00732AC2">
                      <w:rPr>
                        <w:rFonts w:hint="eastAsia"/>
                        <w:sz w:val="18"/>
                        <w:szCs w:val="18"/>
                      </w:rPr>
                      <w:t>铁路制服购置费用等</w:t>
                    </w:r>
                  </w:p>
                </w:tc>
                <w:tc>
                  <w:tcPr>
                    <w:tcW w:w="593" w:type="pct"/>
                  </w:tcPr>
                  <w:p w:rsidR="00806678" w:rsidRPr="00732AC2" w:rsidRDefault="00996492">
                    <w:pPr>
                      <w:jc w:val="right"/>
                      <w:rPr>
                        <w:sz w:val="18"/>
                        <w:szCs w:val="18"/>
                      </w:rPr>
                    </w:pPr>
                    <w:r w:rsidRPr="00732AC2">
                      <w:rPr>
                        <w:sz w:val="18"/>
                        <w:szCs w:val="18"/>
                      </w:rPr>
                      <w:t>139,054,681</w:t>
                    </w:r>
                  </w:p>
                </w:tc>
                <w:tc>
                  <w:tcPr>
                    <w:tcW w:w="861" w:type="pct"/>
                  </w:tcPr>
                  <w:p w:rsidR="00806678" w:rsidRPr="00732AC2" w:rsidRDefault="00996492">
                    <w:pPr>
                      <w:jc w:val="right"/>
                      <w:rPr>
                        <w:sz w:val="18"/>
                        <w:szCs w:val="18"/>
                      </w:rPr>
                    </w:pPr>
                    <w:r w:rsidRPr="00732AC2">
                      <w:rPr>
                        <w:sz w:val="18"/>
                        <w:szCs w:val="18"/>
                      </w:rPr>
                      <w:t>151,540,156</w:t>
                    </w:r>
                  </w:p>
                </w:tc>
                <w:tc>
                  <w:tcPr>
                    <w:tcW w:w="820" w:type="pct"/>
                  </w:tcPr>
                  <w:p w:rsidR="00806678" w:rsidRPr="00732AC2" w:rsidRDefault="00996492" w:rsidP="00B02E77">
                    <w:pPr>
                      <w:tabs>
                        <w:tab w:val="left" w:pos="1149"/>
                      </w:tabs>
                      <w:jc w:val="right"/>
                      <w:rPr>
                        <w:sz w:val="18"/>
                        <w:szCs w:val="18"/>
                      </w:rPr>
                    </w:pPr>
                    <w:r w:rsidRPr="00732AC2">
                      <w:rPr>
                        <w:sz w:val="18"/>
                        <w:szCs w:val="18"/>
                      </w:rPr>
                      <w:t>57,185,272</w:t>
                    </w:r>
                  </w:p>
                </w:tc>
                <w:tc>
                  <w:tcPr>
                    <w:tcW w:w="813" w:type="pct"/>
                  </w:tcPr>
                  <w:p w:rsidR="00806678" w:rsidRPr="00732AC2" w:rsidRDefault="00B02E77">
                    <w:pPr>
                      <w:jc w:val="right"/>
                      <w:rPr>
                        <w:sz w:val="18"/>
                        <w:szCs w:val="18"/>
                      </w:rPr>
                    </w:pPr>
                    <w:r w:rsidRPr="00732AC2">
                      <w:rPr>
                        <w:sz w:val="18"/>
                        <w:szCs w:val="18"/>
                      </w:rPr>
                      <w:t>0</w:t>
                    </w:r>
                  </w:p>
                </w:tc>
                <w:tc>
                  <w:tcPr>
                    <w:tcW w:w="879" w:type="pct"/>
                  </w:tcPr>
                  <w:p w:rsidR="00806678" w:rsidRPr="00732AC2" w:rsidRDefault="00B02E77">
                    <w:pPr>
                      <w:jc w:val="right"/>
                      <w:rPr>
                        <w:sz w:val="18"/>
                        <w:szCs w:val="18"/>
                      </w:rPr>
                    </w:pPr>
                    <w:r w:rsidRPr="00732AC2">
                      <w:rPr>
                        <w:sz w:val="18"/>
                        <w:szCs w:val="18"/>
                      </w:rPr>
                      <w:t>233,409,565</w:t>
                    </w:r>
                  </w:p>
                </w:tc>
              </w:tr>
            </w:sdtContent>
          </w:sdt>
          <w:tr w:rsidR="00B02E77" w:rsidTr="00FE041D">
            <w:sdt>
              <w:sdtPr>
                <w:rPr>
                  <w:sz w:val="18"/>
                  <w:szCs w:val="18"/>
                </w:rPr>
                <w:tag w:val="_PLD_e85142c73eaf41d992f4f52a1502d9a8"/>
                <w:id w:val="-1997568078"/>
                <w:lock w:val="sdtLocked"/>
              </w:sdtPr>
              <w:sdtContent>
                <w:tc>
                  <w:tcPr>
                    <w:tcW w:w="1034" w:type="pct"/>
                  </w:tcPr>
                  <w:p w:rsidR="00B02E77" w:rsidRPr="00732AC2" w:rsidRDefault="00B02E77" w:rsidP="00B02E77">
                    <w:pPr>
                      <w:jc w:val="center"/>
                      <w:rPr>
                        <w:sz w:val="18"/>
                        <w:szCs w:val="18"/>
                      </w:rPr>
                    </w:pPr>
                    <w:r w:rsidRPr="00732AC2">
                      <w:rPr>
                        <w:rFonts w:hint="eastAsia"/>
                        <w:sz w:val="18"/>
                        <w:szCs w:val="18"/>
                      </w:rPr>
                      <w:t>合计</w:t>
                    </w:r>
                  </w:p>
                </w:tc>
              </w:sdtContent>
            </w:sdt>
            <w:tc>
              <w:tcPr>
                <w:tcW w:w="593" w:type="pct"/>
                <w:vAlign w:val="center"/>
              </w:tcPr>
              <w:p w:rsidR="00B02E77" w:rsidRPr="00732AC2" w:rsidRDefault="00B02E77" w:rsidP="00B02E77">
                <w:pPr>
                  <w:jc w:val="right"/>
                  <w:rPr>
                    <w:sz w:val="18"/>
                    <w:szCs w:val="18"/>
                  </w:rPr>
                </w:pPr>
                <w:r w:rsidRPr="00732AC2">
                  <w:rPr>
                    <w:sz w:val="18"/>
                    <w:szCs w:val="18"/>
                  </w:rPr>
                  <w:t>139,054,681</w:t>
                </w:r>
              </w:p>
            </w:tc>
            <w:tc>
              <w:tcPr>
                <w:tcW w:w="861" w:type="pct"/>
                <w:vAlign w:val="center"/>
              </w:tcPr>
              <w:p w:rsidR="00B02E77" w:rsidRPr="00732AC2" w:rsidRDefault="00B02E77" w:rsidP="00B02E77">
                <w:pPr>
                  <w:jc w:val="right"/>
                  <w:rPr>
                    <w:sz w:val="18"/>
                    <w:szCs w:val="18"/>
                  </w:rPr>
                </w:pPr>
                <w:r w:rsidRPr="00732AC2">
                  <w:rPr>
                    <w:sz w:val="18"/>
                    <w:szCs w:val="18"/>
                  </w:rPr>
                  <w:t>151,540,156</w:t>
                </w:r>
              </w:p>
            </w:tc>
            <w:tc>
              <w:tcPr>
                <w:tcW w:w="820" w:type="pct"/>
                <w:vAlign w:val="center"/>
              </w:tcPr>
              <w:p w:rsidR="00B02E77" w:rsidRPr="00732AC2" w:rsidRDefault="00B02E77" w:rsidP="00B02E77">
                <w:pPr>
                  <w:jc w:val="right"/>
                  <w:rPr>
                    <w:sz w:val="18"/>
                    <w:szCs w:val="18"/>
                  </w:rPr>
                </w:pPr>
                <w:r w:rsidRPr="00732AC2">
                  <w:rPr>
                    <w:sz w:val="18"/>
                    <w:szCs w:val="18"/>
                  </w:rPr>
                  <w:t>57,185,272</w:t>
                </w:r>
              </w:p>
            </w:tc>
            <w:tc>
              <w:tcPr>
                <w:tcW w:w="813" w:type="pct"/>
                <w:vAlign w:val="center"/>
              </w:tcPr>
              <w:p w:rsidR="00B02E77" w:rsidRPr="00732AC2" w:rsidRDefault="00B02E77" w:rsidP="00B02E77">
                <w:pPr>
                  <w:jc w:val="right"/>
                  <w:rPr>
                    <w:sz w:val="18"/>
                    <w:szCs w:val="18"/>
                  </w:rPr>
                </w:pPr>
                <w:r w:rsidRPr="00732AC2">
                  <w:rPr>
                    <w:sz w:val="18"/>
                    <w:szCs w:val="18"/>
                  </w:rPr>
                  <w:t>0</w:t>
                </w:r>
              </w:p>
            </w:tc>
            <w:tc>
              <w:tcPr>
                <w:tcW w:w="879" w:type="pct"/>
                <w:vAlign w:val="center"/>
              </w:tcPr>
              <w:p w:rsidR="00B02E77" w:rsidRPr="00732AC2" w:rsidRDefault="00B02E77" w:rsidP="00B02E77">
                <w:pPr>
                  <w:jc w:val="right"/>
                  <w:rPr>
                    <w:sz w:val="18"/>
                    <w:szCs w:val="18"/>
                  </w:rPr>
                </w:pPr>
                <w:r w:rsidRPr="00732AC2">
                  <w:rPr>
                    <w:sz w:val="18"/>
                    <w:szCs w:val="18"/>
                  </w:rPr>
                  <w:t>233,409,565</w:t>
                </w:r>
              </w:p>
            </w:tc>
          </w:tr>
        </w:tbl>
        <w:p w:rsidR="00732AC2" w:rsidRDefault="00732AC2">
          <w:pPr>
            <w:rPr>
              <w:szCs w:val="21"/>
            </w:rPr>
          </w:pPr>
        </w:p>
        <w:p w:rsidR="00806678" w:rsidRDefault="00B16377">
          <w:pPr>
            <w:rPr>
              <w:szCs w:val="21"/>
            </w:rPr>
          </w:pPr>
          <w:r>
            <w:rPr>
              <w:rFonts w:hint="eastAsia"/>
              <w:szCs w:val="21"/>
            </w:rPr>
            <w:t>其他说明：</w:t>
          </w:r>
        </w:p>
        <w:sdt>
          <w:sdtPr>
            <w:rPr>
              <w:szCs w:val="21"/>
            </w:rPr>
            <w:alias w:val="长期待摊费用的说明"/>
            <w:tag w:val="_GBC_c30bd5dcf50e4808a29b1b204a96f4c2"/>
            <w:id w:val="1280770553"/>
            <w:lock w:val="sdtLocked"/>
            <w:placeholder>
              <w:docPart w:val="GBC22222222222222222222222222222"/>
            </w:placeholder>
          </w:sdtPr>
          <w:sdtContent>
            <w:p w:rsidR="00806678" w:rsidRDefault="00B02E77">
              <w:pPr>
                <w:rPr>
                  <w:szCs w:val="21"/>
                </w:rPr>
              </w:pPr>
              <w:r>
                <w:rPr>
                  <w:rFonts w:hint="eastAsia"/>
                  <w:szCs w:val="21"/>
                </w:rPr>
                <w:t>无</w:t>
              </w:r>
            </w:p>
          </w:sdtContent>
        </w:sdt>
        <w:p w:rsidR="00E06C0C" w:rsidRDefault="00E06C0C">
          <w:pPr>
            <w:rPr>
              <w:szCs w:val="21"/>
            </w:rPr>
            <w:sectPr w:rsidR="00E06C0C" w:rsidSect="00F41343">
              <w:pgSz w:w="11906" w:h="16838"/>
              <w:pgMar w:top="1440" w:right="1797" w:bottom="1525" w:left="1276" w:header="856" w:footer="992" w:gutter="0"/>
              <w:cols w:space="425"/>
              <w:docGrid w:type="lines" w:linePitch="312"/>
            </w:sectPr>
          </w:pPr>
        </w:p>
        <w:p w:rsidR="00806678" w:rsidRDefault="00F80B6C">
          <w:pPr>
            <w:rPr>
              <w:szCs w:val="21"/>
            </w:rPr>
          </w:pPr>
        </w:p>
      </w:sdtContent>
    </w:sdt>
    <w:p w:rsidR="00806678" w:rsidRDefault="00B16377" w:rsidP="00FF17C7">
      <w:pPr>
        <w:pStyle w:val="3"/>
        <w:numPr>
          <w:ilvl w:val="0"/>
          <w:numId w:val="18"/>
        </w:numPr>
        <w:tabs>
          <w:tab w:val="left" w:pos="504"/>
        </w:tabs>
        <w:rPr>
          <w:rFonts w:ascii="宋体" w:hAnsi="宋体"/>
          <w:szCs w:val="21"/>
        </w:rPr>
      </w:pPr>
      <w:r>
        <w:rPr>
          <w:rFonts w:ascii="宋体" w:hAnsi="宋体" w:hint="eastAsia"/>
          <w:szCs w:val="21"/>
        </w:rPr>
        <w:t>递延所得税资产/ 递延所得税负债</w:t>
      </w:r>
    </w:p>
    <w:bookmarkStart w:id="208" w:name="_Hlk24103450" w:displacedByCustomXml="next"/>
    <w:sdt>
      <w:sdtPr>
        <w:rPr>
          <w:rFonts w:ascii="宋体" w:eastAsia="宋体" w:hAnsi="宋体" w:cs="宋体" w:hint="eastAsia"/>
          <w:b w:val="0"/>
          <w:bCs w:val="0"/>
          <w:kern w:val="0"/>
          <w:szCs w:val="21"/>
        </w:rPr>
        <w:alias w:val="模块:递延所得税资产和递延所得税负债不以抵销后的净额列示"/>
        <w:tag w:val="_SEC_c648f0f0efdc4d4c85ff3f48a55f50ee"/>
        <w:id w:val="1724174189"/>
        <w:lock w:val="sdtLocked"/>
        <w:placeholder>
          <w:docPart w:val="GBC22222222222222222222222222222"/>
        </w:placeholder>
      </w:sdtPr>
      <w:sdtEndPr>
        <w:rPr>
          <w:rFonts w:cstheme="minorBidi"/>
          <w:kern w:val="2"/>
        </w:rPr>
      </w:sdtEndPr>
      <w:sdtContent>
        <w:bookmarkStart w:id="209" w:name="_Toc215903151" w:displacedByCustomXml="prev"/>
        <w:p w:rsidR="00806678" w:rsidRDefault="00B16377" w:rsidP="00FF17C7">
          <w:pPr>
            <w:pStyle w:val="4"/>
            <w:numPr>
              <w:ilvl w:val="0"/>
              <w:numId w:val="46"/>
            </w:numPr>
            <w:ind w:left="426" w:hanging="426"/>
          </w:pPr>
          <w:r>
            <w:rPr>
              <w:rFonts w:hint="eastAsia"/>
            </w:rPr>
            <w:t>未经抵销的递延所得税资产</w:t>
          </w:r>
        </w:p>
        <w:sdt>
          <w:sdtPr>
            <w:alias w:val="是否适用：未经抵销的递延所得税资产[双击切换]"/>
            <w:tag w:val="_GBC_ba4415ee4af24efe852073192d94c115"/>
            <w:id w:val="-350335824"/>
            <w:lock w:val="sdtLocked"/>
            <w:placeholder>
              <w:docPart w:val="GBC22222222222222222222222222222"/>
            </w:placeholder>
          </w:sdtPr>
          <w:sdtContent>
            <w:p w:rsidR="00806678" w:rsidRDefault="00F80B6C">
              <w:r>
                <w:fldChar w:fldCharType="begin"/>
              </w:r>
              <w:r w:rsidR="009A719F">
                <w:instrText xml:space="preserve">MACROBUTTON  SnrToggleCheckbox √适用 </w:instrText>
              </w:r>
              <w:r>
                <w:fldChar w:fldCharType="end"/>
              </w:r>
              <w:r>
                <w:fldChar w:fldCharType="begin"/>
              </w:r>
              <w:r w:rsidR="009A719F">
                <w:instrText xml:space="preserve"> MACROBUTTON  SnrToggleCheckbox □不适用 </w:instrText>
              </w:r>
              <w:r>
                <w:fldChar w:fldCharType="end"/>
              </w:r>
            </w:p>
          </w:sdtContent>
        </w:sdt>
        <w:p w:rsidR="00806678" w:rsidRDefault="00B16377">
          <w:pPr>
            <w:jc w:val="right"/>
            <w:rPr>
              <w:szCs w:val="21"/>
            </w:rPr>
          </w:pPr>
          <w:r>
            <w:rPr>
              <w:rFonts w:hint="eastAsia"/>
              <w:szCs w:val="21"/>
            </w:rPr>
            <w:t>单位：</w:t>
          </w:r>
          <w:sdt>
            <w:sdtPr>
              <w:rPr>
                <w:rFonts w:hint="eastAsia"/>
                <w:szCs w:val="21"/>
              </w:rPr>
              <w:alias w:val="单位：财务附注：已确认的递延所得税资产和递延所得税负债"/>
              <w:tag w:val="_GBC_39a9c92575cb4f1c9a029fb2f64168e5"/>
              <w:id w:val="-35535455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bookmarkEnd w:id="209"/>
          <w:sdt>
            <w:sdtPr>
              <w:rPr>
                <w:rFonts w:hint="eastAsia"/>
                <w:szCs w:val="21"/>
              </w:rPr>
              <w:alias w:val="币种：财务附注：已确认的递延所得税资产和递延所得税负债"/>
              <w:tag w:val="_GBC_33d1ac52f1ce463294fce1044445d46f"/>
              <w:id w:val="164762340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15"/>
            <w:gridCol w:w="1581"/>
            <w:gridCol w:w="1647"/>
            <w:gridCol w:w="1664"/>
            <w:gridCol w:w="1644"/>
          </w:tblGrid>
          <w:tr w:rsidR="003B5174" w:rsidTr="003B5174">
            <w:trPr>
              <w:trHeight w:val="285"/>
            </w:trPr>
            <w:sdt>
              <w:sdtPr>
                <w:tag w:val="_PLD_e006c9e7b70844cd8ef6f2cbb5161589"/>
                <w:id w:val="-927264239"/>
                <w:lock w:val="sdtLocked"/>
              </w:sdtPr>
              <w:sdtContent>
                <w:tc>
                  <w:tcPr>
                    <w:tcW w:w="1389" w:type="pct"/>
                    <w:vMerge w:val="restart"/>
                    <w:shd w:val="clear" w:color="auto" w:fill="auto"/>
                    <w:vAlign w:val="center"/>
                  </w:tcPr>
                  <w:p w:rsidR="003B5174" w:rsidRDefault="003B5174" w:rsidP="00100D84">
                    <w:pPr>
                      <w:jc w:val="center"/>
                      <w:rPr>
                        <w:szCs w:val="21"/>
                      </w:rPr>
                    </w:pPr>
                    <w:r>
                      <w:rPr>
                        <w:rFonts w:hint="eastAsia"/>
                        <w:szCs w:val="21"/>
                      </w:rPr>
                      <w:t>项目</w:t>
                    </w:r>
                  </w:p>
                </w:tc>
              </w:sdtContent>
            </w:sdt>
            <w:sdt>
              <w:sdtPr>
                <w:tag w:val="_PLD_9380d941020241f39819205f4df8c355"/>
                <w:id w:val="1932458162"/>
                <w:lock w:val="sdtLocked"/>
              </w:sdtPr>
              <w:sdtContent>
                <w:tc>
                  <w:tcPr>
                    <w:tcW w:w="1783" w:type="pct"/>
                    <w:gridSpan w:val="2"/>
                    <w:shd w:val="clear" w:color="auto" w:fill="auto"/>
                    <w:vAlign w:val="center"/>
                  </w:tcPr>
                  <w:p w:rsidR="003B5174" w:rsidRDefault="003B5174" w:rsidP="00100D84">
                    <w:pPr>
                      <w:jc w:val="center"/>
                      <w:rPr>
                        <w:szCs w:val="21"/>
                      </w:rPr>
                    </w:pPr>
                    <w:r>
                      <w:rPr>
                        <w:rFonts w:hint="eastAsia"/>
                        <w:szCs w:val="21"/>
                      </w:rPr>
                      <w:t>期末余额</w:t>
                    </w:r>
                  </w:p>
                </w:tc>
              </w:sdtContent>
            </w:sdt>
            <w:sdt>
              <w:sdtPr>
                <w:tag w:val="_PLD_40d587838e534f37a8f9a9e7e2020671"/>
                <w:id w:val="883212422"/>
                <w:lock w:val="sdtLocked"/>
              </w:sdtPr>
              <w:sdtContent>
                <w:tc>
                  <w:tcPr>
                    <w:tcW w:w="1827" w:type="pct"/>
                    <w:gridSpan w:val="2"/>
                    <w:shd w:val="clear" w:color="auto" w:fill="auto"/>
                    <w:vAlign w:val="center"/>
                  </w:tcPr>
                  <w:p w:rsidR="003B5174" w:rsidRDefault="003B5174" w:rsidP="00100D84">
                    <w:pPr>
                      <w:jc w:val="center"/>
                      <w:rPr>
                        <w:szCs w:val="21"/>
                      </w:rPr>
                    </w:pPr>
                    <w:r>
                      <w:rPr>
                        <w:rFonts w:hint="eastAsia"/>
                        <w:szCs w:val="21"/>
                      </w:rPr>
                      <w:t>期初余额</w:t>
                    </w:r>
                  </w:p>
                </w:tc>
              </w:sdtContent>
            </w:sdt>
          </w:tr>
          <w:tr w:rsidR="003B5174" w:rsidTr="003B5174">
            <w:trPr>
              <w:trHeight w:val="285"/>
            </w:trPr>
            <w:tc>
              <w:tcPr>
                <w:tcW w:w="1389" w:type="pct"/>
                <w:vMerge/>
                <w:shd w:val="clear" w:color="auto" w:fill="auto"/>
                <w:vAlign w:val="center"/>
              </w:tcPr>
              <w:p w:rsidR="003B5174" w:rsidRDefault="003B5174" w:rsidP="00100D84">
                <w:pPr>
                  <w:jc w:val="center"/>
                  <w:rPr>
                    <w:b/>
                    <w:szCs w:val="21"/>
                  </w:rPr>
                </w:pPr>
              </w:p>
            </w:tc>
            <w:sdt>
              <w:sdtPr>
                <w:tag w:val="_PLD_c239006a5e6040d58bedd94ab36e9784"/>
                <w:id w:val="844978490"/>
                <w:lock w:val="sdtLocked"/>
              </w:sdtPr>
              <w:sdtContent>
                <w:tc>
                  <w:tcPr>
                    <w:tcW w:w="873" w:type="pct"/>
                    <w:shd w:val="clear" w:color="auto" w:fill="auto"/>
                    <w:vAlign w:val="center"/>
                  </w:tcPr>
                  <w:p w:rsidR="003B5174" w:rsidRDefault="003B5174" w:rsidP="00100D84">
                    <w:pPr>
                      <w:jc w:val="center"/>
                      <w:rPr>
                        <w:szCs w:val="21"/>
                      </w:rPr>
                    </w:pPr>
                    <w:r>
                      <w:rPr>
                        <w:rFonts w:hint="eastAsia"/>
                        <w:szCs w:val="21"/>
                      </w:rPr>
                      <w:t>可抵扣暂时性差异</w:t>
                    </w:r>
                  </w:p>
                </w:tc>
              </w:sdtContent>
            </w:sdt>
            <w:sdt>
              <w:sdtPr>
                <w:tag w:val="_PLD_1559717fc58743e19a1e868ac528fbc0"/>
                <w:id w:val="1360240561"/>
                <w:lock w:val="sdtLocked"/>
              </w:sdtPr>
              <w:sdtContent>
                <w:tc>
                  <w:tcPr>
                    <w:tcW w:w="910" w:type="pct"/>
                    <w:shd w:val="clear" w:color="auto" w:fill="auto"/>
                    <w:vAlign w:val="center"/>
                  </w:tcPr>
                  <w:p w:rsidR="003B5174" w:rsidRDefault="003B5174" w:rsidP="00100D84">
                    <w:pPr>
                      <w:jc w:val="center"/>
                      <w:rPr>
                        <w:szCs w:val="21"/>
                      </w:rPr>
                    </w:pPr>
                    <w:r>
                      <w:rPr>
                        <w:rFonts w:hint="eastAsia"/>
                        <w:szCs w:val="21"/>
                      </w:rPr>
                      <w:t>递延所得税</w:t>
                    </w:r>
                  </w:p>
                  <w:p w:rsidR="003B5174" w:rsidRDefault="003B5174" w:rsidP="00100D84">
                    <w:pPr>
                      <w:jc w:val="center"/>
                      <w:rPr>
                        <w:szCs w:val="21"/>
                      </w:rPr>
                    </w:pPr>
                    <w:r>
                      <w:rPr>
                        <w:rFonts w:hint="eastAsia"/>
                        <w:szCs w:val="21"/>
                      </w:rPr>
                      <w:t>资产</w:t>
                    </w:r>
                  </w:p>
                </w:tc>
              </w:sdtContent>
            </w:sdt>
            <w:sdt>
              <w:sdtPr>
                <w:tag w:val="_PLD_de171afb73ff474dbccc47c2cec6d4f1"/>
                <w:id w:val="-1147673194"/>
                <w:lock w:val="sdtLocked"/>
              </w:sdtPr>
              <w:sdtContent>
                <w:tc>
                  <w:tcPr>
                    <w:tcW w:w="919" w:type="pct"/>
                    <w:shd w:val="clear" w:color="auto" w:fill="auto"/>
                    <w:vAlign w:val="center"/>
                  </w:tcPr>
                  <w:p w:rsidR="003B5174" w:rsidRDefault="003B5174" w:rsidP="00100D84">
                    <w:pPr>
                      <w:jc w:val="center"/>
                      <w:rPr>
                        <w:szCs w:val="21"/>
                      </w:rPr>
                    </w:pPr>
                    <w:r>
                      <w:rPr>
                        <w:rFonts w:hint="eastAsia"/>
                        <w:szCs w:val="21"/>
                      </w:rPr>
                      <w:t>可抵扣暂时性差异</w:t>
                    </w:r>
                  </w:p>
                </w:tc>
              </w:sdtContent>
            </w:sdt>
            <w:sdt>
              <w:sdtPr>
                <w:tag w:val="_PLD_bafc90864e7347e5bb50ec31a5dffe05"/>
                <w:id w:val="79888402"/>
                <w:lock w:val="sdtLocked"/>
              </w:sdtPr>
              <w:sdtContent>
                <w:tc>
                  <w:tcPr>
                    <w:tcW w:w="908" w:type="pct"/>
                    <w:shd w:val="clear" w:color="auto" w:fill="auto"/>
                    <w:vAlign w:val="center"/>
                  </w:tcPr>
                  <w:p w:rsidR="003B5174" w:rsidRDefault="003B5174" w:rsidP="00100D84">
                    <w:pPr>
                      <w:jc w:val="center"/>
                      <w:rPr>
                        <w:szCs w:val="21"/>
                      </w:rPr>
                    </w:pPr>
                    <w:r>
                      <w:rPr>
                        <w:rFonts w:hint="eastAsia"/>
                        <w:szCs w:val="21"/>
                      </w:rPr>
                      <w:t>递延所得税</w:t>
                    </w:r>
                  </w:p>
                  <w:p w:rsidR="003B5174" w:rsidRDefault="003B5174" w:rsidP="00100D84">
                    <w:pPr>
                      <w:jc w:val="center"/>
                      <w:rPr>
                        <w:szCs w:val="21"/>
                      </w:rPr>
                    </w:pPr>
                    <w:r>
                      <w:rPr>
                        <w:rFonts w:hint="eastAsia"/>
                        <w:szCs w:val="21"/>
                      </w:rPr>
                      <w:t>资产</w:t>
                    </w:r>
                  </w:p>
                </w:tc>
              </w:sdtContent>
            </w:sdt>
          </w:tr>
          <w:sdt>
            <w:sdtPr>
              <w:rPr>
                <w:szCs w:val="21"/>
              </w:rPr>
              <w:alias w:val="递延所得税资产明细"/>
              <w:tag w:val="_TUP_703575bf8b6048788dc624e748111109"/>
              <w:id w:val="-1340617716"/>
              <w:lock w:val="sdtLocked"/>
            </w:sdtPr>
            <w:sdtEndPr>
              <w:rPr>
                <w:szCs w:val="24"/>
              </w:rPr>
            </w:sdtEndPr>
            <w:sdtContent>
              <w:tr w:rsidR="003B5174" w:rsidTr="003B5174">
                <w:trPr>
                  <w:trHeight w:val="285"/>
                </w:trPr>
                <w:tc>
                  <w:tcPr>
                    <w:tcW w:w="1389" w:type="pct"/>
                    <w:shd w:val="clear" w:color="auto" w:fill="auto"/>
                    <w:vAlign w:val="center"/>
                  </w:tcPr>
                  <w:p w:rsidR="003B5174" w:rsidRDefault="003B5174" w:rsidP="00100D84">
                    <w:pPr>
                      <w:rPr>
                        <w:szCs w:val="21"/>
                      </w:rPr>
                    </w:pPr>
                    <w:r>
                      <w:t>资产减值准备</w:t>
                    </w:r>
                  </w:p>
                </w:tc>
                <w:tc>
                  <w:tcPr>
                    <w:tcW w:w="873" w:type="pct"/>
                    <w:shd w:val="clear" w:color="auto" w:fill="auto"/>
                    <w:vAlign w:val="center"/>
                  </w:tcPr>
                  <w:p w:rsidR="003B5174" w:rsidRDefault="003B5174" w:rsidP="00100D84">
                    <w:pPr>
                      <w:ind w:right="-202"/>
                      <w:jc w:val="center"/>
                    </w:pPr>
                    <w:r>
                      <w:t>261,874,401</w:t>
                    </w:r>
                  </w:p>
                </w:tc>
                <w:tc>
                  <w:tcPr>
                    <w:tcW w:w="910" w:type="pct"/>
                    <w:shd w:val="clear" w:color="auto" w:fill="auto"/>
                    <w:vAlign w:val="center"/>
                  </w:tcPr>
                  <w:p w:rsidR="003B5174" w:rsidRDefault="003B5174" w:rsidP="00100D84">
                    <w:pPr>
                      <w:ind w:right="-291"/>
                      <w:jc w:val="center"/>
                    </w:pPr>
                    <w:r>
                      <w:t>65,468,601</w:t>
                    </w:r>
                  </w:p>
                </w:tc>
                <w:tc>
                  <w:tcPr>
                    <w:tcW w:w="919" w:type="pct"/>
                    <w:shd w:val="clear" w:color="auto" w:fill="auto"/>
                    <w:vAlign w:val="center"/>
                  </w:tcPr>
                  <w:p w:rsidR="003B5174" w:rsidRDefault="003B5174" w:rsidP="00100D84">
                    <w:pPr>
                      <w:ind w:right="-259"/>
                      <w:jc w:val="center"/>
                    </w:pPr>
                    <w:r>
                      <w:t>436,784,731</w:t>
                    </w:r>
                  </w:p>
                </w:tc>
                <w:tc>
                  <w:tcPr>
                    <w:tcW w:w="908" w:type="pct"/>
                    <w:shd w:val="clear" w:color="auto" w:fill="auto"/>
                    <w:vAlign w:val="center"/>
                  </w:tcPr>
                  <w:p w:rsidR="003B5174" w:rsidRDefault="003B5174" w:rsidP="00100D84">
                    <w:pPr>
                      <w:ind w:right="-167"/>
                      <w:jc w:val="center"/>
                    </w:pPr>
                    <w:r>
                      <w:t>109,196,183</w:t>
                    </w:r>
                  </w:p>
                </w:tc>
              </w:tr>
            </w:sdtContent>
          </w:sdt>
          <w:sdt>
            <w:sdtPr>
              <w:rPr>
                <w:szCs w:val="21"/>
              </w:rPr>
              <w:alias w:val="递延所得税资产明细"/>
              <w:tag w:val="_TUP_703575bf8b6048788dc624e748111109"/>
              <w:id w:val="1062366598"/>
              <w:lock w:val="sdtLocked"/>
            </w:sdtPr>
            <w:sdtContent>
              <w:tr w:rsidR="003B5174" w:rsidTr="003B5174">
                <w:trPr>
                  <w:trHeight w:val="285"/>
                </w:trPr>
                <w:tc>
                  <w:tcPr>
                    <w:tcW w:w="1389" w:type="pct"/>
                    <w:shd w:val="clear" w:color="auto" w:fill="auto"/>
                    <w:vAlign w:val="center"/>
                  </w:tcPr>
                  <w:p w:rsidR="003B5174" w:rsidRDefault="003B5174" w:rsidP="00100D84">
                    <w:pPr>
                      <w:rPr>
                        <w:szCs w:val="21"/>
                      </w:rPr>
                    </w:pPr>
                    <w:r>
                      <w:t>因目标业务固定资产评估增值可税前抵扣而确认的递延税项资产(注1)</w:t>
                    </w:r>
                  </w:p>
                </w:tc>
                <w:tc>
                  <w:tcPr>
                    <w:tcW w:w="873" w:type="pct"/>
                    <w:shd w:val="clear" w:color="auto" w:fill="auto"/>
                    <w:vAlign w:val="center"/>
                  </w:tcPr>
                  <w:p w:rsidR="003B5174" w:rsidRDefault="003B5174" w:rsidP="00100D84">
                    <w:pPr>
                      <w:jc w:val="center"/>
                      <w:rPr>
                        <w:szCs w:val="21"/>
                      </w:rPr>
                    </w:pPr>
                    <w:r>
                      <w:t>4,465,226,860</w:t>
                    </w:r>
                  </w:p>
                </w:tc>
                <w:tc>
                  <w:tcPr>
                    <w:tcW w:w="910" w:type="pct"/>
                    <w:shd w:val="clear" w:color="auto" w:fill="auto"/>
                    <w:vAlign w:val="center"/>
                  </w:tcPr>
                  <w:p w:rsidR="003B5174" w:rsidRDefault="003B5174" w:rsidP="00100D84">
                    <w:pPr>
                      <w:jc w:val="center"/>
                      <w:rPr>
                        <w:szCs w:val="21"/>
                      </w:rPr>
                    </w:pPr>
                    <w:r>
                      <w:t>1,116,306,715</w:t>
                    </w:r>
                  </w:p>
                </w:tc>
                <w:tc>
                  <w:tcPr>
                    <w:tcW w:w="919" w:type="pct"/>
                    <w:shd w:val="clear" w:color="auto" w:fill="auto"/>
                    <w:vAlign w:val="center"/>
                  </w:tcPr>
                  <w:p w:rsidR="003B5174" w:rsidRDefault="003B5174" w:rsidP="00100D84">
                    <w:pPr>
                      <w:jc w:val="center"/>
                      <w:rPr>
                        <w:szCs w:val="21"/>
                      </w:rPr>
                    </w:pPr>
                    <w:r>
                      <w:t>4,639,335,213</w:t>
                    </w:r>
                  </w:p>
                </w:tc>
                <w:tc>
                  <w:tcPr>
                    <w:tcW w:w="908" w:type="pct"/>
                    <w:shd w:val="clear" w:color="auto" w:fill="auto"/>
                    <w:vAlign w:val="center"/>
                  </w:tcPr>
                  <w:p w:rsidR="003B5174" w:rsidRDefault="003B5174" w:rsidP="00100D84">
                    <w:pPr>
                      <w:jc w:val="center"/>
                      <w:rPr>
                        <w:szCs w:val="21"/>
                      </w:rPr>
                    </w:pPr>
                    <w:r>
                      <w:t>1,159,833,803</w:t>
                    </w:r>
                  </w:p>
                </w:tc>
              </w:tr>
            </w:sdtContent>
          </w:sdt>
          <w:sdt>
            <w:sdtPr>
              <w:rPr>
                <w:szCs w:val="21"/>
              </w:rPr>
              <w:alias w:val="递延所得税资产明细"/>
              <w:tag w:val="_TUP_703575bf8b6048788dc624e748111109"/>
              <w:id w:val="-39215440"/>
              <w:lock w:val="sdtLocked"/>
            </w:sdtPr>
            <w:sdtContent>
              <w:tr w:rsidR="003B5174" w:rsidTr="003B5174">
                <w:trPr>
                  <w:trHeight w:val="285"/>
                </w:trPr>
                <w:tc>
                  <w:tcPr>
                    <w:tcW w:w="1389" w:type="pct"/>
                    <w:shd w:val="clear" w:color="auto" w:fill="auto"/>
                    <w:vAlign w:val="center"/>
                  </w:tcPr>
                  <w:p w:rsidR="003B5174" w:rsidRDefault="003B5174" w:rsidP="00100D84">
                    <w:pPr>
                      <w:rPr>
                        <w:szCs w:val="21"/>
                      </w:rPr>
                    </w:pPr>
                    <w:r>
                      <w:t>因向子公司实物增资的资产评估增值可税前抵扣而确认的递延所得税资产 (注2)</w:t>
                    </w:r>
                  </w:p>
                </w:tc>
                <w:tc>
                  <w:tcPr>
                    <w:tcW w:w="873" w:type="pct"/>
                    <w:shd w:val="clear" w:color="auto" w:fill="auto"/>
                  </w:tcPr>
                  <w:p w:rsidR="003B5174" w:rsidRDefault="003B5174" w:rsidP="00100D84">
                    <w:pPr>
                      <w:jc w:val="right"/>
                      <w:rPr>
                        <w:szCs w:val="21"/>
                      </w:rPr>
                    </w:pPr>
                    <w:r>
                      <w:t>725,885,868</w:t>
                    </w:r>
                  </w:p>
                </w:tc>
                <w:tc>
                  <w:tcPr>
                    <w:tcW w:w="910" w:type="pct"/>
                    <w:shd w:val="clear" w:color="auto" w:fill="auto"/>
                  </w:tcPr>
                  <w:p w:rsidR="003B5174" w:rsidRDefault="003B5174" w:rsidP="00100D84">
                    <w:pPr>
                      <w:jc w:val="right"/>
                      <w:rPr>
                        <w:szCs w:val="21"/>
                      </w:rPr>
                    </w:pPr>
                    <w:r>
                      <w:t>181,471,467</w:t>
                    </w:r>
                  </w:p>
                </w:tc>
                <w:tc>
                  <w:tcPr>
                    <w:tcW w:w="919" w:type="pct"/>
                    <w:shd w:val="clear" w:color="auto" w:fill="auto"/>
                  </w:tcPr>
                  <w:p w:rsidR="003B5174" w:rsidRDefault="003B5174" w:rsidP="00100D84">
                    <w:pPr>
                      <w:jc w:val="right"/>
                      <w:rPr>
                        <w:szCs w:val="21"/>
                      </w:rPr>
                    </w:pPr>
                    <w:r>
                      <w:t>777,838,000</w:t>
                    </w:r>
                  </w:p>
                </w:tc>
                <w:tc>
                  <w:tcPr>
                    <w:tcW w:w="908" w:type="pct"/>
                    <w:shd w:val="clear" w:color="auto" w:fill="auto"/>
                  </w:tcPr>
                  <w:p w:rsidR="003B5174" w:rsidRDefault="003B5174" w:rsidP="00100D84">
                    <w:pPr>
                      <w:jc w:val="right"/>
                      <w:rPr>
                        <w:szCs w:val="21"/>
                      </w:rPr>
                    </w:pPr>
                    <w:r>
                      <w:t>194,459,500</w:t>
                    </w:r>
                  </w:p>
                </w:tc>
              </w:tr>
            </w:sdtContent>
          </w:sdt>
          <w:sdt>
            <w:sdtPr>
              <w:rPr>
                <w:szCs w:val="21"/>
              </w:rPr>
              <w:alias w:val="递延所得税资产明细"/>
              <w:tag w:val="_TUP_703575bf8b6048788dc624e748111109"/>
              <w:id w:val="588980361"/>
              <w:lock w:val="sdtLocked"/>
            </w:sdtPr>
            <w:sdtContent>
              <w:tr w:rsidR="003B5174" w:rsidTr="003B5174">
                <w:trPr>
                  <w:trHeight w:val="285"/>
                </w:trPr>
                <w:tc>
                  <w:tcPr>
                    <w:tcW w:w="1389" w:type="pct"/>
                    <w:shd w:val="clear" w:color="auto" w:fill="auto"/>
                    <w:vAlign w:val="center"/>
                  </w:tcPr>
                  <w:p w:rsidR="003B5174" w:rsidRDefault="003B5174" w:rsidP="00100D84">
                    <w:pPr>
                      <w:rPr>
                        <w:szCs w:val="21"/>
                      </w:rPr>
                    </w:pPr>
                    <w:r>
                      <w:t>线路上部设备折旧差异</w:t>
                    </w:r>
                  </w:p>
                </w:tc>
                <w:tc>
                  <w:tcPr>
                    <w:tcW w:w="873" w:type="pct"/>
                    <w:shd w:val="clear" w:color="auto" w:fill="auto"/>
                  </w:tcPr>
                  <w:p w:rsidR="003B5174" w:rsidRDefault="003B5174" w:rsidP="00100D84">
                    <w:pPr>
                      <w:jc w:val="right"/>
                      <w:rPr>
                        <w:szCs w:val="21"/>
                      </w:rPr>
                    </w:pPr>
                    <w:r>
                      <w:t>404,764,084</w:t>
                    </w:r>
                  </w:p>
                </w:tc>
                <w:tc>
                  <w:tcPr>
                    <w:tcW w:w="910" w:type="pct"/>
                    <w:shd w:val="clear" w:color="auto" w:fill="auto"/>
                  </w:tcPr>
                  <w:p w:rsidR="003B5174" w:rsidRDefault="003B5174" w:rsidP="00100D84">
                    <w:pPr>
                      <w:jc w:val="right"/>
                      <w:rPr>
                        <w:szCs w:val="21"/>
                      </w:rPr>
                    </w:pPr>
                    <w:r>
                      <w:t>101,191,021</w:t>
                    </w:r>
                  </w:p>
                </w:tc>
                <w:tc>
                  <w:tcPr>
                    <w:tcW w:w="919" w:type="pct"/>
                    <w:shd w:val="clear" w:color="auto" w:fill="auto"/>
                  </w:tcPr>
                  <w:p w:rsidR="003B5174" w:rsidRDefault="003B5174" w:rsidP="00100D84">
                    <w:pPr>
                      <w:jc w:val="right"/>
                      <w:rPr>
                        <w:szCs w:val="21"/>
                      </w:rPr>
                    </w:pPr>
                    <w:r>
                      <w:t>384,544,243</w:t>
                    </w:r>
                  </w:p>
                </w:tc>
                <w:tc>
                  <w:tcPr>
                    <w:tcW w:w="908" w:type="pct"/>
                    <w:shd w:val="clear" w:color="auto" w:fill="auto"/>
                  </w:tcPr>
                  <w:p w:rsidR="003B5174" w:rsidRDefault="003B5174" w:rsidP="00100D84">
                    <w:pPr>
                      <w:jc w:val="right"/>
                      <w:rPr>
                        <w:szCs w:val="21"/>
                      </w:rPr>
                    </w:pPr>
                    <w:r>
                      <w:t>96,136,061</w:t>
                    </w:r>
                  </w:p>
                </w:tc>
              </w:tr>
            </w:sdtContent>
          </w:sdt>
          <w:sdt>
            <w:sdtPr>
              <w:rPr>
                <w:szCs w:val="21"/>
              </w:rPr>
              <w:alias w:val="递延所得税资产明细"/>
              <w:tag w:val="_TUP_703575bf8b6048788dc624e748111109"/>
              <w:id w:val="2066444309"/>
              <w:lock w:val="sdtLocked"/>
            </w:sdtPr>
            <w:sdtContent>
              <w:tr w:rsidR="003B5174" w:rsidTr="003B5174">
                <w:trPr>
                  <w:trHeight w:val="285"/>
                </w:trPr>
                <w:tc>
                  <w:tcPr>
                    <w:tcW w:w="1389" w:type="pct"/>
                    <w:shd w:val="clear" w:color="auto" w:fill="auto"/>
                    <w:vAlign w:val="center"/>
                  </w:tcPr>
                  <w:p w:rsidR="003B5174" w:rsidRDefault="003B5174" w:rsidP="00100D84">
                    <w:pPr>
                      <w:rPr>
                        <w:szCs w:val="21"/>
                      </w:rPr>
                    </w:pPr>
                    <w:r>
                      <w:t>其他</w:t>
                    </w:r>
                  </w:p>
                </w:tc>
                <w:tc>
                  <w:tcPr>
                    <w:tcW w:w="873" w:type="pct"/>
                    <w:shd w:val="clear" w:color="auto" w:fill="auto"/>
                  </w:tcPr>
                  <w:p w:rsidR="003B5174" w:rsidRDefault="003B5174" w:rsidP="00100D84">
                    <w:pPr>
                      <w:jc w:val="right"/>
                      <w:rPr>
                        <w:szCs w:val="21"/>
                      </w:rPr>
                    </w:pPr>
                    <w:r>
                      <w:t>1,663,164,999</w:t>
                    </w:r>
                  </w:p>
                </w:tc>
                <w:tc>
                  <w:tcPr>
                    <w:tcW w:w="910" w:type="pct"/>
                    <w:shd w:val="clear" w:color="auto" w:fill="auto"/>
                  </w:tcPr>
                  <w:p w:rsidR="003B5174" w:rsidRDefault="003B5174" w:rsidP="00100D84">
                    <w:pPr>
                      <w:jc w:val="right"/>
                      <w:rPr>
                        <w:szCs w:val="21"/>
                      </w:rPr>
                    </w:pPr>
                    <w:r>
                      <w:t>415,791,249</w:t>
                    </w:r>
                  </w:p>
                </w:tc>
                <w:tc>
                  <w:tcPr>
                    <w:tcW w:w="919" w:type="pct"/>
                    <w:shd w:val="clear" w:color="auto" w:fill="auto"/>
                  </w:tcPr>
                  <w:p w:rsidR="003B5174" w:rsidRDefault="003B5174" w:rsidP="00100D84">
                    <w:pPr>
                      <w:jc w:val="right"/>
                      <w:rPr>
                        <w:szCs w:val="21"/>
                      </w:rPr>
                    </w:pPr>
                    <w:r>
                      <w:t>1,555,787,245</w:t>
                    </w:r>
                  </w:p>
                </w:tc>
                <w:tc>
                  <w:tcPr>
                    <w:tcW w:w="908" w:type="pct"/>
                    <w:shd w:val="clear" w:color="auto" w:fill="auto"/>
                  </w:tcPr>
                  <w:p w:rsidR="003B5174" w:rsidRDefault="003B5174" w:rsidP="00100D84">
                    <w:pPr>
                      <w:jc w:val="right"/>
                      <w:rPr>
                        <w:szCs w:val="21"/>
                      </w:rPr>
                    </w:pPr>
                    <w:r>
                      <w:t>388,946,811</w:t>
                    </w:r>
                  </w:p>
                </w:tc>
              </w:tr>
            </w:sdtContent>
          </w:sdt>
          <w:tr w:rsidR="003B5174" w:rsidTr="003B5174">
            <w:trPr>
              <w:trHeight w:val="285"/>
            </w:trPr>
            <w:sdt>
              <w:sdtPr>
                <w:tag w:val="_PLD_6fc9224998ff4043b5f3c058cb2e9971"/>
                <w:id w:val="595756257"/>
                <w:lock w:val="sdtLocked"/>
              </w:sdtPr>
              <w:sdtContent>
                <w:tc>
                  <w:tcPr>
                    <w:tcW w:w="1389" w:type="pct"/>
                    <w:shd w:val="clear" w:color="auto" w:fill="auto"/>
                    <w:vAlign w:val="center"/>
                  </w:tcPr>
                  <w:p w:rsidR="003B5174" w:rsidRDefault="003B5174" w:rsidP="00100D84">
                    <w:pPr>
                      <w:jc w:val="center"/>
                      <w:rPr>
                        <w:szCs w:val="21"/>
                      </w:rPr>
                    </w:pPr>
                    <w:r>
                      <w:rPr>
                        <w:rFonts w:hint="eastAsia"/>
                        <w:szCs w:val="21"/>
                      </w:rPr>
                      <w:t>合计</w:t>
                    </w:r>
                  </w:p>
                </w:tc>
              </w:sdtContent>
            </w:sdt>
            <w:tc>
              <w:tcPr>
                <w:tcW w:w="873" w:type="pct"/>
                <w:shd w:val="clear" w:color="auto" w:fill="auto"/>
                <w:vAlign w:val="center"/>
              </w:tcPr>
              <w:p w:rsidR="003B5174" w:rsidRDefault="003B5174" w:rsidP="00100D84">
                <w:pPr>
                  <w:jc w:val="right"/>
                  <w:rPr>
                    <w:szCs w:val="21"/>
                  </w:rPr>
                </w:pPr>
                <w:r>
                  <w:t>7,520,916,212</w:t>
                </w:r>
              </w:p>
            </w:tc>
            <w:tc>
              <w:tcPr>
                <w:tcW w:w="910" w:type="pct"/>
                <w:shd w:val="clear" w:color="auto" w:fill="auto"/>
                <w:vAlign w:val="center"/>
              </w:tcPr>
              <w:p w:rsidR="003B5174" w:rsidRDefault="003B5174" w:rsidP="00100D84">
                <w:pPr>
                  <w:jc w:val="right"/>
                  <w:rPr>
                    <w:szCs w:val="21"/>
                  </w:rPr>
                </w:pPr>
                <w:r>
                  <w:t>1,880,229,053</w:t>
                </w:r>
              </w:p>
            </w:tc>
            <w:tc>
              <w:tcPr>
                <w:tcW w:w="919" w:type="pct"/>
                <w:shd w:val="clear" w:color="auto" w:fill="auto"/>
                <w:vAlign w:val="center"/>
              </w:tcPr>
              <w:p w:rsidR="003B5174" w:rsidRDefault="003B5174" w:rsidP="00100D84">
                <w:pPr>
                  <w:jc w:val="right"/>
                  <w:rPr>
                    <w:szCs w:val="21"/>
                  </w:rPr>
                </w:pPr>
                <w:r>
                  <w:t>7,794,289,432</w:t>
                </w:r>
              </w:p>
            </w:tc>
            <w:tc>
              <w:tcPr>
                <w:tcW w:w="908" w:type="pct"/>
                <w:shd w:val="clear" w:color="auto" w:fill="auto"/>
                <w:vAlign w:val="center"/>
              </w:tcPr>
              <w:p w:rsidR="003B5174" w:rsidRDefault="003B5174" w:rsidP="00100D84">
                <w:pPr>
                  <w:jc w:val="right"/>
                  <w:rPr>
                    <w:szCs w:val="21"/>
                  </w:rPr>
                </w:pPr>
                <w:r>
                  <w:t>1,948,572,358</w:t>
                </w:r>
              </w:p>
            </w:tc>
          </w:tr>
        </w:tbl>
        <w:p w:rsidR="00806678" w:rsidRDefault="00806678"/>
        <w:p w:rsidR="00806678" w:rsidRDefault="00B16377" w:rsidP="00FF17C7">
          <w:pPr>
            <w:pStyle w:val="4"/>
            <w:numPr>
              <w:ilvl w:val="0"/>
              <w:numId w:val="46"/>
            </w:numPr>
            <w:ind w:left="426" w:hanging="426"/>
          </w:pPr>
          <w:r>
            <w:rPr>
              <w:rFonts w:hint="eastAsia"/>
            </w:rPr>
            <w:t>未经抵销的递延所得税负债</w:t>
          </w:r>
        </w:p>
        <w:p w:rsidR="00806678" w:rsidRDefault="00F80B6C">
          <w:sdt>
            <w:sdtPr>
              <w:alias w:val="是否适用：未经抵销的递延所得税负债[双击切换]"/>
              <w:tag w:val="_GBC_e7d8f83d611d4464afa60fcd4c2b0690"/>
              <w:id w:val="1396550404"/>
              <w:lock w:val="sdtLocked"/>
              <w:placeholder>
                <w:docPart w:val="GBC22222222222222222222222222222"/>
              </w:placeholder>
            </w:sdtPr>
            <w:sdtContent>
              <w:r>
                <w:fldChar w:fldCharType="begin"/>
              </w:r>
              <w:r w:rsidR="009A719F">
                <w:instrText xml:space="preserve">MACROBUTTON  SnrToggleCheckbox √适用 </w:instrText>
              </w:r>
              <w:r>
                <w:fldChar w:fldCharType="end"/>
              </w:r>
              <w:r>
                <w:fldChar w:fldCharType="begin"/>
              </w:r>
              <w:r w:rsidR="009A719F">
                <w:instrText xml:space="preserve"> MACROBUTTON  SnrToggleCheckbox □不适用 </w:instrText>
              </w:r>
              <w:r>
                <w:fldChar w:fldCharType="end"/>
              </w:r>
            </w:sdtContent>
          </w:sdt>
        </w:p>
        <w:p w:rsidR="00806678" w:rsidRDefault="00B16377">
          <w:pPr>
            <w:jc w:val="right"/>
          </w:pPr>
          <w:r>
            <w:rPr>
              <w:rFonts w:hint="eastAsia"/>
            </w:rPr>
            <w:t>单位：</w:t>
          </w:r>
          <w:sdt>
            <w:sdtPr>
              <w:rPr>
                <w:rFonts w:hint="eastAsia"/>
              </w:rPr>
              <w:alias w:val="单位：财务附注：未经抵销的递延所得税负债"/>
              <w:tag w:val="_GBC_20c1fd2b551d429d888a1c48c5ee9c5a"/>
              <w:id w:val="290627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未经抵销的递延所得税负债"/>
              <w:tag w:val="_GBC_e6ace91667794eff9d02520878b629f9"/>
              <w:id w:val="290635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62"/>
            <w:gridCol w:w="1687"/>
            <w:gridCol w:w="1652"/>
            <w:gridCol w:w="1687"/>
            <w:gridCol w:w="1661"/>
          </w:tblGrid>
          <w:tr w:rsidR="008336C9" w:rsidTr="008336C9">
            <w:trPr>
              <w:trHeight w:val="285"/>
            </w:trPr>
            <w:sdt>
              <w:sdtPr>
                <w:tag w:val="_PLD_e9bdb30dce784b4a9efd1b5efd6964fb"/>
                <w:id w:val="-219367371"/>
                <w:lock w:val="sdtLocked"/>
              </w:sdtPr>
              <w:sdtContent>
                <w:tc>
                  <w:tcPr>
                    <w:tcW w:w="1305" w:type="pct"/>
                    <w:vMerge w:val="restart"/>
                    <w:shd w:val="clear" w:color="auto" w:fill="auto"/>
                    <w:vAlign w:val="center"/>
                  </w:tcPr>
                  <w:p w:rsidR="008336C9" w:rsidRDefault="008336C9" w:rsidP="004B4952">
                    <w:pPr>
                      <w:jc w:val="center"/>
                      <w:rPr>
                        <w:szCs w:val="21"/>
                      </w:rPr>
                    </w:pPr>
                    <w:r>
                      <w:rPr>
                        <w:rFonts w:hint="eastAsia"/>
                        <w:szCs w:val="21"/>
                      </w:rPr>
                      <w:t>项目</w:t>
                    </w:r>
                  </w:p>
                </w:tc>
              </w:sdtContent>
            </w:sdt>
            <w:sdt>
              <w:sdtPr>
                <w:tag w:val="_PLD_600f3752c404468197724275bf44cd43"/>
                <w:id w:val="1967696854"/>
                <w:lock w:val="sdtLocked"/>
              </w:sdtPr>
              <w:sdtContent>
                <w:tc>
                  <w:tcPr>
                    <w:tcW w:w="1844" w:type="pct"/>
                    <w:gridSpan w:val="2"/>
                    <w:shd w:val="clear" w:color="auto" w:fill="auto"/>
                    <w:vAlign w:val="center"/>
                  </w:tcPr>
                  <w:p w:rsidR="008336C9" w:rsidRDefault="008336C9" w:rsidP="004B4952">
                    <w:pPr>
                      <w:jc w:val="center"/>
                      <w:rPr>
                        <w:szCs w:val="21"/>
                      </w:rPr>
                    </w:pPr>
                    <w:r>
                      <w:rPr>
                        <w:rFonts w:hint="eastAsia"/>
                        <w:szCs w:val="21"/>
                      </w:rPr>
                      <w:t>期末余额</w:t>
                    </w:r>
                  </w:p>
                </w:tc>
              </w:sdtContent>
            </w:sdt>
            <w:sdt>
              <w:sdtPr>
                <w:tag w:val="_PLD_7e4b2554e2544865b74424edbdb55d4b"/>
                <w:id w:val="-1760747782"/>
                <w:lock w:val="sdtLocked"/>
              </w:sdtPr>
              <w:sdtContent>
                <w:tc>
                  <w:tcPr>
                    <w:tcW w:w="1851" w:type="pct"/>
                    <w:gridSpan w:val="2"/>
                    <w:shd w:val="clear" w:color="auto" w:fill="auto"/>
                    <w:vAlign w:val="center"/>
                  </w:tcPr>
                  <w:p w:rsidR="008336C9" w:rsidRDefault="008336C9" w:rsidP="004B4952">
                    <w:pPr>
                      <w:jc w:val="center"/>
                      <w:rPr>
                        <w:szCs w:val="21"/>
                      </w:rPr>
                    </w:pPr>
                    <w:r>
                      <w:rPr>
                        <w:rFonts w:hint="eastAsia"/>
                        <w:szCs w:val="21"/>
                      </w:rPr>
                      <w:t>期初余额</w:t>
                    </w:r>
                  </w:p>
                </w:tc>
              </w:sdtContent>
            </w:sdt>
          </w:tr>
          <w:tr w:rsidR="008336C9" w:rsidTr="008336C9">
            <w:trPr>
              <w:trHeight w:val="285"/>
            </w:trPr>
            <w:tc>
              <w:tcPr>
                <w:tcW w:w="1305" w:type="pct"/>
                <w:vMerge/>
                <w:shd w:val="clear" w:color="auto" w:fill="auto"/>
                <w:vAlign w:val="center"/>
              </w:tcPr>
              <w:p w:rsidR="008336C9" w:rsidRDefault="008336C9" w:rsidP="004B4952">
                <w:pPr>
                  <w:jc w:val="center"/>
                  <w:rPr>
                    <w:b/>
                    <w:szCs w:val="21"/>
                  </w:rPr>
                </w:pPr>
              </w:p>
            </w:tc>
            <w:sdt>
              <w:sdtPr>
                <w:tag w:val="_PLD_2db432e06e184a41a8eb727ebb64ec40"/>
                <w:id w:val="-1350020456"/>
                <w:lock w:val="sdtLocked"/>
              </w:sdtPr>
              <w:sdtContent>
                <w:tc>
                  <w:tcPr>
                    <w:tcW w:w="932" w:type="pct"/>
                    <w:shd w:val="clear" w:color="auto" w:fill="auto"/>
                    <w:vAlign w:val="center"/>
                  </w:tcPr>
                  <w:p w:rsidR="008336C9" w:rsidRDefault="008336C9" w:rsidP="004B4952">
                    <w:pPr>
                      <w:jc w:val="center"/>
                      <w:rPr>
                        <w:szCs w:val="21"/>
                      </w:rPr>
                    </w:pPr>
                    <w:r>
                      <w:rPr>
                        <w:rFonts w:ascii="Arial" w:hAnsi="Arial" w:hint="eastAsia"/>
                        <w:szCs w:val="21"/>
                      </w:rPr>
                      <w:t>应纳税暂时性差异</w:t>
                    </w:r>
                  </w:p>
                </w:tc>
              </w:sdtContent>
            </w:sdt>
            <w:sdt>
              <w:sdtPr>
                <w:tag w:val="_PLD_b3dd3e66f628452aab8284dc189a458b"/>
                <w:id w:val="-318658081"/>
                <w:lock w:val="sdtLocked"/>
              </w:sdtPr>
              <w:sdtContent>
                <w:tc>
                  <w:tcPr>
                    <w:tcW w:w="913" w:type="pct"/>
                    <w:shd w:val="clear" w:color="auto" w:fill="auto"/>
                    <w:vAlign w:val="center"/>
                  </w:tcPr>
                  <w:p w:rsidR="008336C9" w:rsidRDefault="008336C9" w:rsidP="004B4952">
                    <w:pPr>
                      <w:jc w:val="center"/>
                      <w:rPr>
                        <w:szCs w:val="21"/>
                      </w:rPr>
                    </w:pPr>
                    <w:r>
                      <w:rPr>
                        <w:rFonts w:hint="eastAsia"/>
                        <w:szCs w:val="21"/>
                      </w:rPr>
                      <w:t>递延所得税</w:t>
                    </w:r>
                  </w:p>
                  <w:p w:rsidR="008336C9" w:rsidRDefault="008336C9" w:rsidP="004B4952">
                    <w:pPr>
                      <w:jc w:val="center"/>
                      <w:rPr>
                        <w:szCs w:val="21"/>
                      </w:rPr>
                    </w:pPr>
                    <w:r>
                      <w:rPr>
                        <w:rFonts w:hint="eastAsia"/>
                        <w:szCs w:val="21"/>
                      </w:rPr>
                      <w:t>负债</w:t>
                    </w:r>
                  </w:p>
                </w:tc>
              </w:sdtContent>
            </w:sdt>
            <w:sdt>
              <w:sdtPr>
                <w:tag w:val="_PLD_3e69493cf6a2462eab1eaf8ece87a89d"/>
                <w:id w:val="1029989992"/>
                <w:lock w:val="sdtLocked"/>
              </w:sdtPr>
              <w:sdtContent>
                <w:tc>
                  <w:tcPr>
                    <w:tcW w:w="932" w:type="pct"/>
                    <w:shd w:val="clear" w:color="auto" w:fill="auto"/>
                    <w:vAlign w:val="center"/>
                  </w:tcPr>
                  <w:p w:rsidR="008336C9" w:rsidRDefault="008336C9" w:rsidP="004B4952">
                    <w:pPr>
                      <w:jc w:val="center"/>
                      <w:rPr>
                        <w:szCs w:val="21"/>
                      </w:rPr>
                    </w:pPr>
                    <w:r>
                      <w:rPr>
                        <w:rFonts w:ascii="Arial" w:hAnsi="Arial" w:hint="eastAsia"/>
                        <w:szCs w:val="21"/>
                      </w:rPr>
                      <w:t>应纳税暂时性差异</w:t>
                    </w:r>
                  </w:p>
                </w:tc>
              </w:sdtContent>
            </w:sdt>
            <w:sdt>
              <w:sdtPr>
                <w:tag w:val="_PLD_ad4c3389a4a04a96990ace5203f3adbb"/>
                <w:id w:val="-207023013"/>
                <w:lock w:val="sdtLocked"/>
              </w:sdtPr>
              <w:sdtContent>
                <w:tc>
                  <w:tcPr>
                    <w:tcW w:w="919" w:type="pct"/>
                    <w:shd w:val="clear" w:color="auto" w:fill="auto"/>
                    <w:vAlign w:val="center"/>
                  </w:tcPr>
                  <w:p w:rsidR="008336C9" w:rsidRDefault="008336C9" w:rsidP="004B4952">
                    <w:pPr>
                      <w:jc w:val="center"/>
                      <w:rPr>
                        <w:szCs w:val="21"/>
                      </w:rPr>
                    </w:pPr>
                    <w:r>
                      <w:rPr>
                        <w:rFonts w:hint="eastAsia"/>
                        <w:szCs w:val="21"/>
                      </w:rPr>
                      <w:t>递延所得税</w:t>
                    </w:r>
                  </w:p>
                  <w:p w:rsidR="008336C9" w:rsidRDefault="008336C9" w:rsidP="004B4952">
                    <w:pPr>
                      <w:jc w:val="center"/>
                      <w:rPr>
                        <w:szCs w:val="21"/>
                      </w:rPr>
                    </w:pPr>
                    <w:r>
                      <w:rPr>
                        <w:rFonts w:hint="eastAsia"/>
                        <w:szCs w:val="21"/>
                      </w:rPr>
                      <w:t>负债</w:t>
                    </w:r>
                  </w:p>
                </w:tc>
              </w:sdtContent>
            </w:sdt>
          </w:tr>
          <w:tr w:rsidR="008336C9" w:rsidTr="008336C9">
            <w:trPr>
              <w:trHeight w:val="285"/>
            </w:trPr>
            <w:tc>
              <w:tcPr>
                <w:tcW w:w="1305" w:type="pct"/>
                <w:shd w:val="clear" w:color="auto" w:fill="auto"/>
              </w:tcPr>
              <w:sdt>
                <w:sdtPr>
                  <w:rPr>
                    <w:rFonts w:hint="eastAsia"/>
                  </w:rPr>
                  <w:tag w:val="_PLD_a1aad6e3a000483dac7cbcc809b72d90"/>
                  <w:id w:val="637532342"/>
                  <w:lock w:val="sdtLocked"/>
                </w:sdtPr>
                <w:sdtContent>
                  <w:p w:rsidR="008336C9" w:rsidRDefault="008336C9" w:rsidP="004B4952">
                    <w:r>
                      <w:rPr>
                        <w:rFonts w:hint="eastAsia"/>
                      </w:rPr>
                      <w:t>其他权益工具投资公允价值变动</w:t>
                    </w:r>
                  </w:p>
                </w:sdtContent>
              </w:sdt>
            </w:tc>
            <w:tc>
              <w:tcPr>
                <w:tcW w:w="932" w:type="pct"/>
                <w:shd w:val="clear" w:color="auto" w:fill="auto"/>
              </w:tcPr>
              <w:p w:rsidR="008336C9" w:rsidRDefault="008336C9" w:rsidP="004B4952">
                <w:pPr>
                  <w:jc w:val="right"/>
                  <w:rPr>
                    <w:szCs w:val="21"/>
                  </w:rPr>
                </w:pPr>
                <w:r>
                  <w:t>52,403,803</w:t>
                </w:r>
              </w:p>
            </w:tc>
            <w:tc>
              <w:tcPr>
                <w:tcW w:w="913" w:type="pct"/>
                <w:shd w:val="clear" w:color="auto" w:fill="auto"/>
              </w:tcPr>
              <w:p w:rsidR="008336C9" w:rsidRDefault="008336C9" w:rsidP="004B4952">
                <w:pPr>
                  <w:jc w:val="right"/>
                  <w:rPr>
                    <w:szCs w:val="21"/>
                  </w:rPr>
                </w:pPr>
                <w:r>
                  <w:t>13,100,951</w:t>
                </w:r>
              </w:p>
            </w:tc>
            <w:tc>
              <w:tcPr>
                <w:tcW w:w="932" w:type="pct"/>
                <w:shd w:val="clear" w:color="auto" w:fill="auto"/>
              </w:tcPr>
              <w:p w:rsidR="008336C9" w:rsidRDefault="008336C9" w:rsidP="004B4952">
                <w:pPr>
                  <w:jc w:val="right"/>
                  <w:rPr>
                    <w:szCs w:val="21"/>
                  </w:rPr>
                </w:pPr>
                <w:r>
                  <w:t>53,686,304</w:t>
                </w:r>
              </w:p>
            </w:tc>
            <w:tc>
              <w:tcPr>
                <w:tcW w:w="919" w:type="pct"/>
                <w:shd w:val="clear" w:color="auto" w:fill="auto"/>
              </w:tcPr>
              <w:p w:rsidR="008336C9" w:rsidRDefault="008336C9" w:rsidP="004B4952">
                <w:pPr>
                  <w:jc w:val="right"/>
                  <w:rPr>
                    <w:szCs w:val="21"/>
                  </w:rPr>
                </w:pPr>
                <w:r>
                  <w:t>13,421,576</w:t>
                </w:r>
              </w:p>
            </w:tc>
          </w:tr>
          <w:sdt>
            <w:sdtPr>
              <w:rPr>
                <w:szCs w:val="21"/>
              </w:rPr>
              <w:alias w:val="递延所得税负债明细"/>
              <w:tag w:val="_TUP_8036f0bdcd3a43a38ae605c99228b929"/>
              <w:id w:val="-990015784"/>
              <w:lock w:val="sdtLocked"/>
            </w:sdtPr>
            <w:sdtEndPr>
              <w:rPr>
                <w:szCs w:val="24"/>
              </w:rPr>
            </w:sdtEndPr>
            <w:sdtContent>
              <w:tr w:rsidR="008336C9" w:rsidTr="008336C9">
                <w:trPr>
                  <w:trHeight w:val="285"/>
                </w:trPr>
                <w:tc>
                  <w:tcPr>
                    <w:tcW w:w="1305" w:type="pct"/>
                    <w:shd w:val="clear" w:color="auto" w:fill="auto"/>
                    <w:vAlign w:val="center"/>
                  </w:tcPr>
                  <w:p w:rsidR="008336C9" w:rsidRDefault="008336C9" w:rsidP="004B4952">
                    <w:pPr>
                      <w:rPr>
                        <w:szCs w:val="21"/>
                      </w:rPr>
                    </w:pPr>
                    <w:r>
                      <w:t>单价500万元以下资产一次扣除形成的递延所得税负债 (注3)</w:t>
                    </w:r>
                  </w:p>
                </w:tc>
                <w:tc>
                  <w:tcPr>
                    <w:tcW w:w="932" w:type="pct"/>
                    <w:shd w:val="clear" w:color="auto" w:fill="auto"/>
                  </w:tcPr>
                  <w:p w:rsidR="008336C9" w:rsidRDefault="008336C9" w:rsidP="004B4952">
                    <w:pPr>
                      <w:jc w:val="right"/>
                    </w:pPr>
                    <w:r>
                      <w:t>1,757,411,536</w:t>
                    </w:r>
                  </w:p>
                </w:tc>
                <w:tc>
                  <w:tcPr>
                    <w:tcW w:w="913" w:type="pct"/>
                    <w:shd w:val="clear" w:color="auto" w:fill="auto"/>
                  </w:tcPr>
                  <w:p w:rsidR="008336C9" w:rsidRDefault="008336C9" w:rsidP="004B4952">
                    <w:pPr>
                      <w:jc w:val="right"/>
                    </w:pPr>
                    <w:r>
                      <w:t>439,352,884</w:t>
                    </w:r>
                  </w:p>
                </w:tc>
                <w:tc>
                  <w:tcPr>
                    <w:tcW w:w="932" w:type="pct"/>
                    <w:shd w:val="clear" w:color="auto" w:fill="auto"/>
                  </w:tcPr>
                  <w:p w:rsidR="008336C9" w:rsidRDefault="008336C9" w:rsidP="004B4952">
                    <w:pPr>
                      <w:jc w:val="right"/>
                    </w:pPr>
                    <w:r>
                      <w:t>1,713,434,464</w:t>
                    </w:r>
                  </w:p>
                </w:tc>
                <w:tc>
                  <w:tcPr>
                    <w:tcW w:w="919" w:type="pct"/>
                    <w:shd w:val="clear" w:color="auto" w:fill="auto"/>
                  </w:tcPr>
                  <w:p w:rsidR="008336C9" w:rsidRDefault="008336C9" w:rsidP="004B4952">
                    <w:pPr>
                      <w:jc w:val="right"/>
                    </w:pPr>
                    <w:r>
                      <w:t>428,358,616</w:t>
                    </w:r>
                  </w:p>
                </w:tc>
              </w:tr>
            </w:sdtContent>
          </w:sdt>
          <w:sdt>
            <w:sdtPr>
              <w:rPr>
                <w:szCs w:val="21"/>
              </w:rPr>
              <w:alias w:val="递延所得税负债明细"/>
              <w:tag w:val="_TUP_8036f0bdcd3a43a38ae605c99228b929"/>
              <w:id w:val="1536227412"/>
              <w:lock w:val="sdtLocked"/>
            </w:sdtPr>
            <w:sdtContent>
              <w:tr w:rsidR="008336C9" w:rsidTr="008336C9">
                <w:trPr>
                  <w:trHeight w:val="285"/>
                </w:trPr>
                <w:tc>
                  <w:tcPr>
                    <w:tcW w:w="1305" w:type="pct"/>
                    <w:shd w:val="clear" w:color="auto" w:fill="auto"/>
                    <w:vAlign w:val="center"/>
                  </w:tcPr>
                  <w:p w:rsidR="008336C9" w:rsidRDefault="008336C9" w:rsidP="004B4952">
                    <w:pPr>
                      <w:rPr>
                        <w:szCs w:val="21"/>
                      </w:rPr>
                    </w:pPr>
                    <w:r>
                      <w:rPr>
                        <w:rFonts w:hint="eastAsia"/>
                        <w:szCs w:val="21"/>
                      </w:rPr>
                      <w:t>其他</w:t>
                    </w:r>
                  </w:p>
                </w:tc>
                <w:tc>
                  <w:tcPr>
                    <w:tcW w:w="932" w:type="pct"/>
                    <w:shd w:val="clear" w:color="auto" w:fill="auto"/>
                  </w:tcPr>
                  <w:p w:rsidR="008336C9" w:rsidRDefault="008336C9" w:rsidP="004B4952">
                    <w:pPr>
                      <w:jc w:val="right"/>
                      <w:rPr>
                        <w:szCs w:val="21"/>
                      </w:rPr>
                    </w:pPr>
                    <w:r>
                      <w:t>1,893,265</w:t>
                    </w:r>
                  </w:p>
                </w:tc>
                <w:tc>
                  <w:tcPr>
                    <w:tcW w:w="913" w:type="pct"/>
                    <w:shd w:val="clear" w:color="auto" w:fill="auto"/>
                  </w:tcPr>
                  <w:p w:rsidR="008336C9" w:rsidRDefault="008336C9" w:rsidP="004B4952">
                    <w:pPr>
                      <w:jc w:val="right"/>
                      <w:rPr>
                        <w:szCs w:val="21"/>
                      </w:rPr>
                    </w:pPr>
                    <w:r>
                      <w:t>473,316</w:t>
                    </w:r>
                  </w:p>
                </w:tc>
                <w:tc>
                  <w:tcPr>
                    <w:tcW w:w="932" w:type="pct"/>
                    <w:shd w:val="clear" w:color="auto" w:fill="auto"/>
                  </w:tcPr>
                  <w:p w:rsidR="008336C9" w:rsidRDefault="008336C9" w:rsidP="004B4952">
                    <w:pPr>
                      <w:jc w:val="right"/>
                      <w:rPr>
                        <w:szCs w:val="21"/>
                      </w:rPr>
                    </w:pPr>
                    <w:r>
                      <w:t>11,152,472</w:t>
                    </w:r>
                  </w:p>
                </w:tc>
                <w:tc>
                  <w:tcPr>
                    <w:tcW w:w="919" w:type="pct"/>
                    <w:shd w:val="clear" w:color="auto" w:fill="auto"/>
                  </w:tcPr>
                  <w:p w:rsidR="008336C9" w:rsidRDefault="008336C9" w:rsidP="004B4952">
                    <w:pPr>
                      <w:jc w:val="right"/>
                      <w:rPr>
                        <w:szCs w:val="21"/>
                      </w:rPr>
                    </w:pPr>
                    <w:r>
                      <w:t>2,788,118</w:t>
                    </w:r>
                  </w:p>
                </w:tc>
              </w:tr>
            </w:sdtContent>
          </w:sdt>
          <w:tr w:rsidR="008336C9" w:rsidTr="008336C9">
            <w:trPr>
              <w:trHeight w:val="285"/>
            </w:trPr>
            <w:sdt>
              <w:sdtPr>
                <w:tag w:val="_PLD_b75c52751ee84b8da27bd6f8290a4521"/>
                <w:id w:val="603464849"/>
                <w:lock w:val="sdtLocked"/>
              </w:sdtPr>
              <w:sdtContent>
                <w:tc>
                  <w:tcPr>
                    <w:tcW w:w="1305" w:type="pct"/>
                    <w:shd w:val="clear" w:color="auto" w:fill="auto"/>
                    <w:vAlign w:val="center"/>
                  </w:tcPr>
                  <w:p w:rsidR="008336C9" w:rsidRDefault="008336C9" w:rsidP="004B4952">
                    <w:pPr>
                      <w:jc w:val="center"/>
                      <w:rPr>
                        <w:szCs w:val="21"/>
                      </w:rPr>
                    </w:pPr>
                    <w:r>
                      <w:rPr>
                        <w:rFonts w:hint="eastAsia"/>
                        <w:szCs w:val="21"/>
                      </w:rPr>
                      <w:t>合计</w:t>
                    </w:r>
                  </w:p>
                </w:tc>
              </w:sdtContent>
            </w:sdt>
            <w:tc>
              <w:tcPr>
                <w:tcW w:w="932" w:type="pct"/>
                <w:shd w:val="clear" w:color="auto" w:fill="auto"/>
              </w:tcPr>
              <w:p w:rsidR="008336C9" w:rsidRDefault="008336C9" w:rsidP="004B4952">
                <w:pPr>
                  <w:jc w:val="right"/>
                  <w:rPr>
                    <w:szCs w:val="21"/>
                  </w:rPr>
                </w:pPr>
                <w:r>
                  <w:t>1,811,708,604</w:t>
                </w:r>
              </w:p>
            </w:tc>
            <w:tc>
              <w:tcPr>
                <w:tcW w:w="913" w:type="pct"/>
                <w:shd w:val="clear" w:color="auto" w:fill="auto"/>
              </w:tcPr>
              <w:p w:rsidR="008336C9" w:rsidRDefault="008336C9" w:rsidP="004B4952">
                <w:pPr>
                  <w:jc w:val="right"/>
                  <w:rPr>
                    <w:szCs w:val="21"/>
                  </w:rPr>
                </w:pPr>
                <w:r>
                  <w:t>452,927,151</w:t>
                </w:r>
              </w:p>
            </w:tc>
            <w:tc>
              <w:tcPr>
                <w:tcW w:w="932" w:type="pct"/>
                <w:shd w:val="clear" w:color="auto" w:fill="auto"/>
              </w:tcPr>
              <w:p w:rsidR="008336C9" w:rsidRDefault="008336C9" w:rsidP="004B4952">
                <w:pPr>
                  <w:jc w:val="right"/>
                  <w:rPr>
                    <w:szCs w:val="21"/>
                  </w:rPr>
                </w:pPr>
                <w:r>
                  <w:t>1,778,273,240</w:t>
                </w:r>
              </w:p>
            </w:tc>
            <w:tc>
              <w:tcPr>
                <w:tcW w:w="919" w:type="pct"/>
                <w:shd w:val="clear" w:color="auto" w:fill="auto"/>
              </w:tcPr>
              <w:p w:rsidR="008336C9" w:rsidRDefault="008336C9" w:rsidP="004B4952">
                <w:pPr>
                  <w:jc w:val="right"/>
                  <w:rPr>
                    <w:szCs w:val="21"/>
                  </w:rPr>
                </w:pPr>
                <w:r>
                  <w:t>444,568,310</w:t>
                </w:r>
              </w:p>
            </w:tc>
          </w:tr>
        </w:tbl>
        <w:p w:rsidR="00806678" w:rsidRDefault="00806678"/>
        <w:p w:rsidR="00806678" w:rsidRDefault="00B16377" w:rsidP="00FF17C7">
          <w:pPr>
            <w:pStyle w:val="4"/>
            <w:numPr>
              <w:ilvl w:val="0"/>
              <w:numId w:val="46"/>
            </w:numPr>
            <w:ind w:left="426" w:hanging="426"/>
          </w:pPr>
          <w:r>
            <w:rPr>
              <w:rFonts w:hint="eastAsia"/>
            </w:rPr>
            <w:t>以抵销后净额列示的递延所得税资产或负债</w:t>
          </w:r>
        </w:p>
        <w:sdt>
          <w:sdtPr>
            <w:alias w:val="是否适用：以抵销后净额列示的递延所得税资产或负债[双击切换]"/>
            <w:tag w:val="_GBC_adbd88aca1694de2a14c265a3fb12290"/>
            <w:id w:val="423611132"/>
            <w:lock w:val="sdtLocked"/>
            <w:placeholder>
              <w:docPart w:val="GBC22222222222222222222222222222"/>
            </w:placeholder>
          </w:sdtPr>
          <w:sdtContent>
            <w:p w:rsidR="00806678" w:rsidRDefault="00F80B6C">
              <w:r>
                <w:fldChar w:fldCharType="begin"/>
              </w:r>
              <w:r w:rsidR="007B3145">
                <w:instrText xml:space="preserve">MACROBUTTON  SnrToggleCheckbox √适用 </w:instrText>
              </w:r>
              <w:r>
                <w:fldChar w:fldCharType="end"/>
              </w:r>
              <w:r>
                <w:fldChar w:fldCharType="begin"/>
              </w:r>
              <w:r w:rsidR="007B3145">
                <w:instrText xml:space="preserve"> MACROBUTTON  SnrToggleCheckbox □不适用 </w:instrText>
              </w:r>
              <w:r>
                <w:fldChar w:fldCharType="end"/>
              </w:r>
            </w:p>
          </w:sdtContent>
        </w:sdt>
        <w:p w:rsidR="00806678" w:rsidRDefault="00B16377">
          <w:pPr>
            <w:wordWrap w:val="0"/>
            <w:jc w:val="right"/>
          </w:pPr>
          <w:r>
            <w:rPr>
              <w:rFonts w:hint="eastAsia"/>
            </w:rPr>
            <w:t>单位：</w:t>
          </w:r>
          <w:sdt>
            <w:sdtPr>
              <w:rPr>
                <w:rFonts w:hint="eastAsia"/>
              </w:rPr>
              <w:alias w:val="单位：财务附注：互抵后的递延所得税资产及负债的组成项目"/>
              <w:tag w:val="_GBC_2b339a7e526d4061aa348bb358a09881"/>
              <w:id w:val="79734157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互抵后的递延所得税资产及负债的组成项目"/>
              <w:tag w:val="_GBC_e04e01fedf4a42b48978284d31c493e1"/>
              <w:id w:val="164199594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63"/>
            <w:gridCol w:w="1676"/>
            <w:gridCol w:w="1661"/>
            <w:gridCol w:w="1689"/>
            <w:gridCol w:w="1660"/>
          </w:tblGrid>
          <w:tr w:rsidR="00806678" w:rsidTr="000F2EC9">
            <w:sdt>
              <w:sdtPr>
                <w:tag w:val="_PLD_376bc62ed08748b387f49005e1f18dee"/>
                <w:id w:val="-1392190825"/>
                <w:lock w:val="sdtLocked"/>
              </w:sdtPr>
              <w:sdtContent>
                <w:tc>
                  <w:tcPr>
                    <w:tcW w:w="1306" w:type="pct"/>
                    <w:tcBorders>
                      <w:bottom w:val="single" w:sz="4" w:space="0" w:color="auto"/>
                    </w:tcBorders>
                    <w:shd w:val="clear" w:color="auto" w:fill="auto"/>
                    <w:vAlign w:val="center"/>
                  </w:tcPr>
                  <w:p w:rsidR="00806678" w:rsidRDefault="00B16377">
                    <w:pPr>
                      <w:jc w:val="center"/>
                      <w:rPr>
                        <w:szCs w:val="21"/>
                      </w:rPr>
                    </w:pPr>
                    <w:r>
                      <w:rPr>
                        <w:rFonts w:hint="eastAsia"/>
                        <w:szCs w:val="21"/>
                      </w:rPr>
                      <w:t>项目</w:t>
                    </w:r>
                  </w:p>
                </w:tc>
              </w:sdtContent>
            </w:sdt>
            <w:sdt>
              <w:sdtPr>
                <w:tag w:val="_PLD_6cd13a97416d42f89e9ea2c943014688"/>
                <w:id w:val="1135377471"/>
                <w:lock w:val="sdtLocked"/>
              </w:sdtPr>
              <w:sdtContent>
                <w:tc>
                  <w:tcPr>
                    <w:tcW w:w="926" w:type="pct"/>
                    <w:tcBorders>
                      <w:bottom w:val="single" w:sz="4" w:space="0" w:color="auto"/>
                    </w:tcBorders>
                    <w:shd w:val="clear" w:color="auto" w:fill="auto"/>
                    <w:vAlign w:val="center"/>
                  </w:tcPr>
                  <w:p w:rsidR="00806678" w:rsidRDefault="00B16377">
                    <w:pPr>
                      <w:jc w:val="center"/>
                      <w:rPr>
                        <w:szCs w:val="21"/>
                      </w:rPr>
                    </w:pPr>
                    <w:r>
                      <w:rPr>
                        <w:rFonts w:hint="eastAsia"/>
                        <w:szCs w:val="21"/>
                      </w:rPr>
                      <w:t>递延所得税资产和负债期末互抵金额</w:t>
                    </w:r>
                  </w:p>
                </w:tc>
              </w:sdtContent>
            </w:sdt>
            <w:sdt>
              <w:sdtPr>
                <w:tag w:val="_PLD_09c02830b1824a4c8ce30fe73cda15b9"/>
                <w:id w:val="-673412730"/>
                <w:lock w:val="sdtLocked"/>
              </w:sdtPr>
              <w:sdtContent>
                <w:tc>
                  <w:tcPr>
                    <w:tcW w:w="918" w:type="pct"/>
                    <w:tcBorders>
                      <w:bottom w:val="single" w:sz="4" w:space="0" w:color="auto"/>
                    </w:tcBorders>
                    <w:shd w:val="clear" w:color="auto" w:fill="auto"/>
                    <w:vAlign w:val="center"/>
                  </w:tcPr>
                  <w:p w:rsidR="00806678" w:rsidRDefault="00B16377">
                    <w:pPr>
                      <w:jc w:val="center"/>
                      <w:rPr>
                        <w:szCs w:val="21"/>
                      </w:rPr>
                    </w:pPr>
                    <w:r>
                      <w:rPr>
                        <w:rFonts w:hint="eastAsia"/>
                        <w:szCs w:val="21"/>
                      </w:rPr>
                      <w:t>抵销后递延所得税资产或负债期末余额</w:t>
                    </w:r>
                  </w:p>
                </w:tc>
              </w:sdtContent>
            </w:sdt>
            <w:sdt>
              <w:sdtPr>
                <w:tag w:val="_PLD_862180b8f6b94867ac93686a5c934b4c"/>
                <w:id w:val="846593278"/>
                <w:lock w:val="sdtLocked"/>
              </w:sdtPr>
              <w:sdtContent>
                <w:tc>
                  <w:tcPr>
                    <w:tcW w:w="933" w:type="pct"/>
                    <w:tcBorders>
                      <w:bottom w:val="single" w:sz="4" w:space="0" w:color="auto"/>
                    </w:tcBorders>
                    <w:shd w:val="clear" w:color="auto" w:fill="auto"/>
                    <w:vAlign w:val="center"/>
                  </w:tcPr>
                  <w:p w:rsidR="00806678" w:rsidRDefault="00B16377">
                    <w:pPr>
                      <w:jc w:val="center"/>
                      <w:rPr>
                        <w:szCs w:val="21"/>
                      </w:rPr>
                    </w:pPr>
                    <w:r>
                      <w:rPr>
                        <w:rFonts w:hint="eastAsia"/>
                        <w:szCs w:val="21"/>
                      </w:rPr>
                      <w:t>递延所得税资产和负债期初互抵金额</w:t>
                    </w:r>
                  </w:p>
                </w:tc>
              </w:sdtContent>
            </w:sdt>
            <w:sdt>
              <w:sdtPr>
                <w:tag w:val="_PLD_3aec77ff824a48e989777a8da4146bf7"/>
                <w:id w:val="-26648689"/>
                <w:lock w:val="sdtLocked"/>
              </w:sdtPr>
              <w:sdtContent>
                <w:tc>
                  <w:tcPr>
                    <w:tcW w:w="918" w:type="pct"/>
                    <w:tcBorders>
                      <w:bottom w:val="single" w:sz="4" w:space="0" w:color="auto"/>
                    </w:tcBorders>
                    <w:shd w:val="clear" w:color="auto" w:fill="auto"/>
                    <w:vAlign w:val="center"/>
                  </w:tcPr>
                  <w:p w:rsidR="00806678" w:rsidRDefault="00B16377">
                    <w:pPr>
                      <w:jc w:val="center"/>
                      <w:rPr>
                        <w:szCs w:val="21"/>
                      </w:rPr>
                    </w:pPr>
                    <w:r>
                      <w:rPr>
                        <w:rFonts w:hint="eastAsia"/>
                        <w:szCs w:val="21"/>
                      </w:rPr>
                      <w:t>抵销后递延所得税资产或负债期初余额</w:t>
                    </w:r>
                  </w:p>
                </w:tc>
              </w:sdtContent>
            </w:sdt>
          </w:tr>
          <w:tr w:rsidR="00806678" w:rsidTr="000F2EC9">
            <w:sdt>
              <w:sdtPr>
                <w:tag w:val="_PLD_804cef41cca74cf9ade653fe4b1aeea5"/>
                <w:id w:val="1499765841"/>
                <w:lock w:val="sdtLocked"/>
              </w:sdtPr>
              <w:sdtContent>
                <w:tc>
                  <w:tcPr>
                    <w:tcW w:w="1306" w:type="pct"/>
                    <w:shd w:val="clear" w:color="auto" w:fill="auto"/>
                  </w:tcPr>
                  <w:p w:rsidR="00806678" w:rsidRDefault="00B16377">
                    <w:pPr>
                      <w:rPr>
                        <w:szCs w:val="21"/>
                      </w:rPr>
                    </w:pPr>
                    <w:r>
                      <w:rPr>
                        <w:rFonts w:hint="eastAsia"/>
                        <w:szCs w:val="21"/>
                      </w:rPr>
                      <w:t>递延所得税资产</w:t>
                    </w:r>
                  </w:p>
                </w:tc>
              </w:sdtContent>
            </w:sdt>
            <w:tc>
              <w:tcPr>
                <w:tcW w:w="926" w:type="pct"/>
                <w:shd w:val="clear" w:color="auto" w:fill="auto"/>
              </w:tcPr>
              <w:p w:rsidR="00806678" w:rsidRDefault="00DF4DC1" w:rsidP="00DF4DC1">
                <w:pPr>
                  <w:snapToGrid w:val="0"/>
                  <w:jc w:val="right"/>
                  <w:rPr>
                    <w:szCs w:val="21"/>
                  </w:rPr>
                </w:pPr>
                <w:r w:rsidRPr="00DF4DC1">
                  <w:rPr>
                    <w:szCs w:val="21"/>
                  </w:rPr>
                  <w:t>452,927,151</w:t>
                </w:r>
              </w:p>
            </w:tc>
            <w:tc>
              <w:tcPr>
                <w:tcW w:w="918" w:type="pct"/>
                <w:shd w:val="clear" w:color="auto" w:fill="auto"/>
              </w:tcPr>
              <w:p w:rsidR="00806678" w:rsidRDefault="00DF4DC1">
                <w:pPr>
                  <w:jc w:val="right"/>
                  <w:rPr>
                    <w:szCs w:val="21"/>
                  </w:rPr>
                </w:pPr>
                <w:r>
                  <w:rPr>
                    <w:szCs w:val="21"/>
                  </w:rPr>
                  <w:t>1,427,301,902</w:t>
                </w:r>
              </w:p>
            </w:tc>
            <w:tc>
              <w:tcPr>
                <w:tcW w:w="933" w:type="pct"/>
                <w:shd w:val="clear" w:color="auto" w:fill="auto"/>
              </w:tcPr>
              <w:p w:rsidR="00806678" w:rsidRPr="00DF4DC1" w:rsidRDefault="00DF4DC1" w:rsidP="00DF4DC1">
                <w:pPr>
                  <w:snapToGrid w:val="0"/>
                  <w:jc w:val="right"/>
                  <w:rPr>
                    <w:szCs w:val="21"/>
                  </w:rPr>
                </w:pPr>
                <w:r w:rsidRPr="00DF4DC1">
                  <w:rPr>
                    <w:szCs w:val="21"/>
                  </w:rPr>
                  <w:t>444,568,310</w:t>
                </w:r>
              </w:p>
            </w:tc>
            <w:tc>
              <w:tcPr>
                <w:tcW w:w="918" w:type="pct"/>
                <w:shd w:val="clear" w:color="auto" w:fill="auto"/>
              </w:tcPr>
              <w:p w:rsidR="00806678" w:rsidRPr="00DF4DC1" w:rsidRDefault="00DF4DC1">
                <w:pPr>
                  <w:jc w:val="right"/>
                  <w:rPr>
                    <w:szCs w:val="21"/>
                  </w:rPr>
                </w:pPr>
                <w:r>
                  <w:rPr>
                    <w:szCs w:val="21"/>
                  </w:rPr>
                  <w:t>1,504,004,048</w:t>
                </w:r>
              </w:p>
            </w:tc>
          </w:tr>
          <w:tr w:rsidR="00806678" w:rsidTr="000F2EC9">
            <w:sdt>
              <w:sdtPr>
                <w:tag w:val="_PLD_003ca37971dc4ab1b267e9450faff888"/>
                <w:id w:val="983592925"/>
                <w:lock w:val="sdtLocked"/>
              </w:sdtPr>
              <w:sdtContent>
                <w:tc>
                  <w:tcPr>
                    <w:tcW w:w="1306" w:type="pct"/>
                    <w:tcBorders>
                      <w:bottom w:val="single" w:sz="4" w:space="0" w:color="auto"/>
                    </w:tcBorders>
                    <w:shd w:val="clear" w:color="auto" w:fill="auto"/>
                  </w:tcPr>
                  <w:p w:rsidR="00806678" w:rsidRDefault="00B16377">
                    <w:pPr>
                      <w:rPr>
                        <w:szCs w:val="21"/>
                      </w:rPr>
                    </w:pPr>
                    <w:r>
                      <w:rPr>
                        <w:rFonts w:hint="eastAsia"/>
                        <w:szCs w:val="21"/>
                      </w:rPr>
                      <w:t>递延所得税负债</w:t>
                    </w:r>
                  </w:p>
                </w:tc>
              </w:sdtContent>
            </w:sdt>
            <w:tc>
              <w:tcPr>
                <w:tcW w:w="926" w:type="pct"/>
                <w:shd w:val="clear" w:color="auto" w:fill="auto"/>
              </w:tcPr>
              <w:p w:rsidR="00806678" w:rsidRDefault="00DF4DC1">
                <w:pPr>
                  <w:jc w:val="right"/>
                  <w:rPr>
                    <w:szCs w:val="21"/>
                  </w:rPr>
                </w:pPr>
                <w:r>
                  <w:rPr>
                    <w:szCs w:val="21"/>
                  </w:rPr>
                  <w:t>452,927,151</w:t>
                </w:r>
              </w:p>
            </w:tc>
            <w:tc>
              <w:tcPr>
                <w:tcW w:w="918" w:type="pct"/>
                <w:shd w:val="clear" w:color="auto" w:fill="auto"/>
              </w:tcPr>
              <w:p w:rsidR="00806678" w:rsidRDefault="00DF4DC1">
                <w:pPr>
                  <w:jc w:val="right"/>
                  <w:rPr>
                    <w:szCs w:val="21"/>
                  </w:rPr>
                </w:pPr>
                <w:r>
                  <w:rPr>
                    <w:szCs w:val="21"/>
                  </w:rPr>
                  <w:t>0</w:t>
                </w:r>
              </w:p>
            </w:tc>
            <w:tc>
              <w:tcPr>
                <w:tcW w:w="933" w:type="pct"/>
                <w:shd w:val="clear" w:color="auto" w:fill="auto"/>
              </w:tcPr>
              <w:p w:rsidR="00806678" w:rsidRDefault="00DF4DC1">
                <w:pPr>
                  <w:jc w:val="right"/>
                  <w:rPr>
                    <w:szCs w:val="21"/>
                  </w:rPr>
                </w:pPr>
                <w:r>
                  <w:rPr>
                    <w:szCs w:val="21"/>
                  </w:rPr>
                  <w:t>444,568,310</w:t>
                </w:r>
              </w:p>
            </w:tc>
            <w:tc>
              <w:tcPr>
                <w:tcW w:w="918" w:type="pct"/>
                <w:shd w:val="clear" w:color="auto" w:fill="auto"/>
              </w:tcPr>
              <w:p w:rsidR="00806678" w:rsidRDefault="00DF4DC1">
                <w:pPr>
                  <w:jc w:val="right"/>
                  <w:rPr>
                    <w:szCs w:val="21"/>
                  </w:rPr>
                </w:pPr>
                <w:r>
                  <w:rPr>
                    <w:szCs w:val="21"/>
                  </w:rPr>
                  <w:t>0</w:t>
                </w:r>
              </w:p>
            </w:tc>
          </w:tr>
        </w:tbl>
        <w:p w:rsidR="00806678" w:rsidRDefault="00B16377" w:rsidP="00FF17C7">
          <w:pPr>
            <w:pStyle w:val="4"/>
            <w:numPr>
              <w:ilvl w:val="0"/>
              <w:numId w:val="46"/>
            </w:numPr>
            <w:ind w:left="426" w:hanging="426"/>
          </w:pPr>
          <w:r>
            <w:rPr>
              <w:rFonts w:hint="eastAsia"/>
            </w:rPr>
            <w:lastRenderedPageBreak/>
            <w:t>未确认递延所得税资产明细</w:t>
          </w:r>
        </w:p>
        <w:sdt>
          <w:sdtPr>
            <w:alias w:val="是否适用：未确认递延所得税资产明细[双击切换]"/>
            <w:tag w:val="_GBC_713996bf5e4d4c6988835fbf892c5ef2"/>
            <w:id w:val="-1696689033"/>
            <w:lock w:val="sdtLocked"/>
            <w:placeholder>
              <w:docPart w:val="GBC22222222222222222222222222222"/>
            </w:placeholder>
          </w:sdtPr>
          <w:sdtContent>
            <w:p w:rsidR="00806678" w:rsidRDefault="00F80B6C">
              <w:r>
                <w:fldChar w:fldCharType="begin"/>
              </w:r>
              <w:r w:rsidR="00CB430E">
                <w:instrText xml:space="preserve">MACROBUTTON  SnrToggleCheckbox √适用 </w:instrText>
              </w:r>
              <w:r>
                <w:fldChar w:fldCharType="end"/>
              </w:r>
              <w:r>
                <w:fldChar w:fldCharType="begin"/>
              </w:r>
              <w:r w:rsidR="00CB430E">
                <w:instrText xml:space="preserve"> MACROBUTTON  SnrToggleCheckbox □不适用 </w:instrText>
              </w:r>
              <w:r>
                <w:fldChar w:fldCharType="end"/>
              </w:r>
            </w:p>
          </w:sdtContent>
        </w:sdt>
        <w:p w:rsidR="00806678" w:rsidRDefault="00B16377">
          <w:pPr>
            <w:jc w:val="right"/>
            <w:rPr>
              <w:szCs w:val="21"/>
            </w:rPr>
          </w:pPr>
          <w:r>
            <w:rPr>
              <w:rFonts w:hint="eastAsia"/>
              <w:szCs w:val="21"/>
            </w:rPr>
            <w:t>单位：</w:t>
          </w:r>
          <w:sdt>
            <w:sdtPr>
              <w:rPr>
                <w:rFonts w:hint="eastAsia"/>
                <w:szCs w:val="21"/>
              </w:rPr>
              <w:alias w:val="单位：财务附注：未确认递延所得税资产明细"/>
              <w:tag w:val="_GBC_f8fecfb8754c42a8b3b02d67ae705062"/>
              <w:id w:val="132169488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未确认递延所得税资产明细"/>
              <w:tag w:val="_GBC_2f5aab227caa4f7da7d6278ecf51ccdf"/>
              <w:id w:val="205357322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89"/>
            <w:gridCol w:w="3082"/>
            <w:gridCol w:w="3078"/>
          </w:tblGrid>
          <w:tr w:rsidR="00806678" w:rsidTr="000F2EC9">
            <w:trPr>
              <w:trHeight w:val="285"/>
            </w:trPr>
            <w:sdt>
              <w:sdtPr>
                <w:tag w:val="_PLD_91af0f9b93ef459d823e4bc33d9190d6"/>
                <w:id w:val="-702787756"/>
                <w:lock w:val="sdtLocked"/>
              </w:sdtPr>
              <w:sdtContent>
                <w:tc>
                  <w:tcPr>
                    <w:tcW w:w="1596" w:type="pct"/>
                    <w:tcBorders>
                      <w:top w:val="single" w:sz="4" w:space="0" w:color="auto"/>
                      <w:left w:val="single" w:sz="4" w:space="0" w:color="auto"/>
                      <w:bottom w:val="single" w:sz="4" w:space="0" w:color="auto"/>
                      <w:right w:val="single" w:sz="4" w:space="0" w:color="auto"/>
                    </w:tcBorders>
                    <w:vAlign w:val="center"/>
                  </w:tcPr>
                  <w:p w:rsidR="00806678" w:rsidRDefault="00B16377">
                    <w:pPr>
                      <w:jc w:val="center"/>
                      <w:rPr>
                        <w:szCs w:val="21"/>
                      </w:rPr>
                    </w:pPr>
                    <w:r>
                      <w:rPr>
                        <w:rFonts w:hint="eastAsia"/>
                        <w:szCs w:val="21"/>
                      </w:rPr>
                      <w:t>项目</w:t>
                    </w:r>
                  </w:p>
                </w:tc>
              </w:sdtContent>
            </w:sdt>
            <w:sdt>
              <w:sdtPr>
                <w:tag w:val="_PLD_2c2dee2efbd6433784024156b3454ba7"/>
                <w:id w:val="-1672100787"/>
                <w:lock w:val="sdtLocked"/>
              </w:sdtPr>
              <w:sdtContent>
                <w:tc>
                  <w:tcPr>
                    <w:tcW w:w="1703" w:type="pct"/>
                    <w:tcBorders>
                      <w:top w:val="single" w:sz="4" w:space="0" w:color="auto"/>
                      <w:left w:val="single" w:sz="4" w:space="0" w:color="auto"/>
                      <w:bottom w:val="single" w:sz="4" w:space="0" w:color="auto"/>
                      <w:right w:val="single" w:sz="4" w:space="0" w:color="auto"/>
                    </w:tcBorders>
                    <w:vAlign w:val="center"/>
                  </w:tcPr>
                  <w:p w:rsidR="00806678" w:rsidRDefault="00B16377">
                    <w:pPr>
                      <w:jc w:val="center"/>
                      <w:rPr>
                        <w:szCs w:val="21"/>
                      </w:rPr>
                    </w:pPr>
                    <w:r>
                      <w:rPr>
                        <w:rFonts w:hint="eastAsia"/>
                        <w:szCs w:val="21"/>
                      </w:rPr>
                      <w:t>期末余额</w:t>
                    </w:r>
                  </w:p>
                </w:tc>
              </w:sdtContent>
            </w:sdt>
            <w:sdt>
              <w:sdtPr>
                <w:tag w:val="_PLD_d5059c87582d4e558703d63a8a2d5399"/>
                <w:id w:val="607625481"/>
                <w:lock w:val="sdtLocked"/>
              </w:sdtPr>
              <w:sdtContent>
                <w:tc>
                  <w:tcPr>
                    <w:tcW w:w="1701" w:type="pct"/>
                    <w:tcBorders>
                      <w:top w:val="single" w:sz="4" w:space="0" w:color="auto"/>
                      <w:left w:val="single" w:sz="4" w:space="0" w:color="auto"/>
                      <w:bottom w:val="single" w:sz="4" w:space="0" w:color="auto"/>
                      <w:right w:val="single" w:sz="4" w:space="0" w:color="auto"/>
                    </w:tcBorders>
                    <w:vAlign w:val="center"/>
                  </w:tcPr>
                  <w:p w:rsidR="00806678" w:rsidRDefault="00B16377">
                    <w:pPr>
                      <w:jc w:val="center"/>
                      <w:rPr>
                        <w:szCs w:val="21"/>
                      </w:rPr>
                    </w:pPr>
                    <w:r>
                      <w:rPr>
                        <w:rFonts w:hint="eastAsia"/>
                        <w:szCs w:val="21"/>
                      </w:rPr>
                      <w:t>期初余额</w:t>
                    </w:r>
                  </w:p>
                </w:tc>
              </w:sdtContent>
            </w:sdt>
          </w:tr>
          <w:tr w:rsidR="00CB430E" w:rsidTr="00601D47">
            <w:trPr>
              <w:trHeight w:val="285"/>
            </w:trPr>
            <w:sdt>
              <w:sdtPr>
                <w:tag w:val="_PLD_967b4d05866f48ccbd10a38bb9691c20"/>
                <w:id w:val="810442277"/>
                <w:lock w:val="sdtLocked"/>
              </w:sdtPr>
              <w:sdtContent>
                <w:tc>
                  <w:tcPr>
                    <w:tcW w:w="1596" w:type="pct"/>
                    <w:tcBorders>
                      <w:top w:val="single" w:sz="4" w:space="0" w:color="auto"/>
                      <w:left w:val="single" w:sz="4" w:space="0" w:color="auto"/>
                      <w:bottom w:val="single" w:sz="4" w:space="0" w:color="auto"/>
                      <w:right w:val="single" w:sz="4" w:space="0" w:color="auto"/>
                    </w:tcBorders>
                    <w:vAlign w:val="center"/>
                  </w:tcPr>
                  <w:p w:rsidR="00CB430E" w:rsidRDefault="00CB430E" w:rsidP="00CB430E">
                    <w:pPr>
                      <w:rPr>
                        <w:szCs w:val="21"/>
                      </w:rPr>
                    </w:pPr>
                    <w:r>
                      <w:rPr>
                        <w:rFonts w:hint="eastAsia"/>
                        <w:szCs w:val="21"/>
                      </w:rPr>
                      <w:t>可抵扣暂时性差异</w:t>
                    </w:r>
                  </w:p>
                </w:tc>
              </w:sdtContent>
            </w:sdt>
            <w:tc>
              <w:tcPr>
                <w:tcW w:w="1703" w:type="pct"/>
                <w:tcBorders>
                  <w:top w:val="single" w:sz="4" w:space="0" w:color="auto"/>
                  <w:left w:val="single" w:sz="4" w:space="0" w:color="auto"/>
                  <w:bottom w:val="single" w:sz="4" w:space="0" w:color="auto"/>
                  <w:right w:val="single" w:sz="4" w:space="0" w:color="auto"/>
                </w:tcBorders>
                <w:vAlign w:val="center"/>
              </w:tcPr>
              <w:p w:rsidR="00CB430E" w:rsidRDefault="00CB430E" w:rsidP="00CB430E">
                <w:pPr>
                  <w:jc w:val="right"/>
                  <w:rPr>
                    <w:szCs w:val="21"/>
                  </w:rPr>
                </w:pPr>
                <w:r>
                  <w:t>6,724,057</w:t>
                </w:r>
              </w:p>
            </w:tc>
            <w:tc>
              <w:tcPr>
                <w:tcW w:w="1701" w:type="pct"/>
                <w:tcBorders>
                  <w:top w:val="single" w:sz="4" w:space="0" w:color="auto"/>
                  <w:left w:val="single" w:sz="4" w:space="0" w:color="auto"/>
                  <w:bottom w:val="single" w:sz="4" w:space="0" w:color="auto"/>
                  <w:right w:val="single" w:sz="4" w:space="0" w:color="auto"/>
                </w:tcBorders>
                <w:vAlign w:val="center"/>
              </w:tcPr>
              <w:p w:rsidR="00CB430E" w:rsidRDefault="00CB430E" w:rsidP="00CB430E">
                <w:pPr>
                  <w:jc w:val="right"/>
                  <w:rPr>
                    <w:szCs w:val="21"/>
                  </w:rPr>
                </w:pPr>
                <w:r>
                  <w:t>6,391,168</w:t>
                </w:r>
              </w:p>
            </w:tc>
          </w:tr>
          <w:tr w:rsidR="00CB430E" w:rsidTr="00601D47">
            <w:trPr>
              <w:trHeight w:val="285"/>
            </w:trPr>
            <w:sdt>
              <w:sdtPr>
                <w:tag w:val="_PLD_fcfc7718db484ea1b986c6371393d8ea"/>
                <w:id w:val="199761372"/>
                <w:lock w:val="sdtLocked"/>
              </w:sdtPr>
              <w:sdtContent>
                <w:tc>
                  <w:tcPr>
                    <w:tcW w:w="1596" w:type="pct"/>
                    <w:tcBorders>
                      <w:top w:val="single" w:sz="4" w:space="0" w:color="auto"/>
                      <w:left w:val="single" w:sz="4" w:space="0" w:color="auto"/>
                      <w:bottom w:val="single" w:sz="4" w:space="0" w:color="auto"/>
                      <w:right w:val="single" w:sz="4" w:space="0" w:color="auto"/>
                    </w:tcBorders>
                    <w:vAlign w:val="center"/>
                  </w:tcPr>
                  <w:p w:rsidR="00CB430E" w:rsidRDefault="00CB430E" w:rsidP="00CB430E">
                    <w:pPr>
                      <w:rPr>
                        <w:szCs w:val="21"/>
                      </w:rPr>
                    </w:pPr>
                    <w:r>
                      <w:rPr>
                        <w:rFonts w:hint="eastAsia"/>
                        <w:szCs w:val="21"/>
                      </w:rPr>
                      <w:t>可抵扣亏损</w:t>
                    </w:r>
                  </w:p>
                </w:tc>
              </w:sdtContent>
            </w:sdt>
            <w:tc>
              <w:tcPr>
                <w:tcW w:w="1703" w:type="pct"/>
                <w:tcBorders>
                  <w:top w:val="single" w:sz="4" w:space="0" w:color="auto"/>
                  <w:left w:val="single" w:sz="4" w:space="0" w:color="auto"/>
                  <w:bottom w:val="single" w:sz="4" w:space="0" w:color="auto"/>
                  <w:right w:val="single" w:sz="4" w:space="0" w:color="auto"/>
                </w:tcBorders>
                <w:vAlign w:val="center"/>
              </w:tcPr>
              <w:p w:rsidR="00CB430E" w:rsidRDefault="00CB430E" w:rsidP="00CB430E">
                <w:pPr>
                  <w:jc w:val="right"/>
                  <w:rPr>
                    <w:szCs w:val="21"/>
                  </w:rPr>
                </w:pPr>
                <w:r>
                  <w:t>1,455,672,886</w:t>
                </w:r>
              </w:p>
            </w:tc>
            <w:tc>
              <w:tcPr>
                <w:tcW w:w="1701" w:type="pct"/>
                <w:tcBorders>
                  <w:top w:val="single" w:sz="4" w:space="0" w:color="auto"/>
                  <w:left w:val="single" w:sz="4" w:space="0" w:color="auto"/>
                  <w:bottom w:val="single" w:sz="4" w:space="0" w:color="auto"/>
                  <w:right w:val="single" w:sz="4" w:space="0" w:color="auto"/>
                </w:tcBorders>
                <w:vAlign w:val="center"/>
              </w:tcPr>
              <w:p w:rsidR="00CB430E" w:rsidRDefault="00CB430E" w:rsidP="00CB430E">
                <w:pPr>
                  <w:jc w:val="right"/>
                  <w:rPr>
                    <w:szCs w:val="21"/>
                  </w:rPr>
                </w:pPr>
                <w:r>
                  <w:t>2,030,592,300</w:t>
                </w:r>
              </w:p>
            </w:tc>
          </w:tr>
          <w:tr w:rsidR="00CB430E" w:rsidTr="00601D47">
            <w:trPr>
              <w:trHeight w:val="285"/>
            </w:trPr>
            <w:sdt>
              <w:sdtPr>
                <w:tag w:val="_PLD_fb4b8beb920a4500aa2e3d35f8842374"/>
                <w:id w:val="-1035034951"/>
                <w:lock w:val="sdtLocked"/>
              </w:sdtPr>
              <w:sdtContent>
                <w:tc>
                  <w:tcPr>
                    <w:tcW w:w="1596" w:type="pct"/>
                    <w:tcBorders>
                      <w:top w:val="single" w:sz="4" w:space="0" w:color="auto"/>
                      <w:left w:val="single" w:sz="4" w:space="0" w:color="auto"/>
                      <w:bottom w:val="single" w:sz="4" w:space="0" w:color="auto"/>
                      <w:right w:val="single" w:sz="4" w:space="0" w:color="auto"/>
                    </w:tcBorders>
                    <w:vAlign w:val="center"/>
                  </w:tcPr>
                  <w:p w:rsidR="00CB430E" w:rsidRDefault="00CB430E" w:rsidP="00CB430E">
                    <w:pPr>
                      <w:jc w:val="center"/>
                      <w:rPr>
                        <w:szCs w:val="21"/>
                      </w:rPr>
                    </w:pPr>
                    <w:r>
                      <w:rPr>
                        <w:rFonts w:hint="eastAsia"/>
                        <w:szCs w:val="21"/>
                      </w:rPr>
                      <w:t>合计</w:t>
                    </w:r>
                  </w:p>
                </w:tc>
              </w:sdtContent>
            </w:sdt>
            <w:tc>
              <w:tcPr>
                <w:tcW w:w="1703" w:type="pct"/>
                <w:tcBorders>
                  <w:top w:val="single" w:sz="4" w:space="0" w:color="auto"/>
                  <w:left w:val="single" w:sz="4" w:space="0" w:color="auto"/>
                  <w:bottom w:val="single" w:sz="4" w:space="0" w:color="auto"/>
                  <w:right w:val="single" w:sz="4" w:space="0" w:color="auto"/>
                </w:tcBorders>
                <w:vAlign w:val="center"/>
              </w:tcPr>
              <w:p w:rsidR="00CB430E" w:rsidRDefault="00CB430E" w:rsidP="00CB430E">
                <w:pPr>
                  <w:jc w:val="right"/>
                  <w:rPr>
                    <w:szCs w:val="21"/>
                  </w:rPr>
                </w:pPr>
                <w:r>
                  <w:t>1,462,396,943</w:t>
                </w:r>
              </w:p>
            </w:tc>
            <w:tc>
              <w:tcPr>
                <w:tcW w:w="1701" w:type="pct"/>
                <w:tcBorders>
                  <w:top w:val="single" w:sz="4" w:space="0" w:color="auto"/>
                  <w:left w:val="single" w:sz="4" w:space="0" w:color="auto"/>
                  <w:bottom w:val="single" w:sz="4" w:space="0" w:color="auto"/>
                  <w:right w:val="single" w:sz="4" w:space="0" w:color="auto"/>
                </w:tcBorders>
                <w:vAlign w:val="center"/>
              </w:tcPr>
              <w:p w:rsidR="00CB430E" w:rsidRDefault="00CB430E" w:rsidP="00CB430E">
                <w:pPr>
                  <w:jc w:val="right"/>
                  <w:rPr>
                    <w:szCs w:val="21"/>
                  </w:rPr>
                </w:pPr>
                <w:r>
                  <w:t>2,036,983,468</w:t>
                </w:r>
              </w:p>
            </w:tc>
          </w:tr>
        </w:tbl>
        <w:p w:rsidR="00732AC2" w:rsidRDefault="00732AC2">
          <w:pPr>
            <w:rPr>
              <w:szCs w:val="21"/>
            </w:rPr>
          </w:pPr>
        </w:p>
        <w:p w:rsidR="00806678" w:rsidRDefault="00B16377" w:rsidP="00FF17C7">
          <w:pPr>
            <w:pStyle w:val="4"/>
            <w:numPr>
              <w:ilvl w:val="0"/>
              <w:numId w:val="46"/>
            </w:numPr>
            <w:ind w:left="426" w:hanging="426"/>
          </w:pPr>
          <w:r>
            <w:rPr>
              <w:rFonts w:hint="eastAsia"/>
            </w:rPr>
            <w:t>未确认递延所得税资产的可抵扣亏损将于以下年度到期</w:t>
          </w:r>
        </w:p>
        <w:sdt>
          <w:sdtPr>
            <w:alias w:val="是否适用：未确认递延所得税资产的可抵扣亏损将于以下年度到期[双击切换]"/>
            <w:tag w:val="_GBC_961c987bdb6e4a53ad2e7713648fd02b"/>
            <w:id w:val="-217593369"/>
            <w:lock w:val="sdtLocked"/>
            <w:placeholder>
              <w:docPart w:val="GBC22222222222222222222222222222"/>
            </w:placeholder>
          </w:sdtPr>
          <w:sdtContent>
            <w:p w:rsidR="00806678" w:rsidRDefault="00F80B6C">
              <w:r>
                <w:fldChar w:fldCharType="begin"/>
              </w:r>
              <w:r w:rsidR="00CB430E">
                <w:instrText xml:space="preserve">MACROBUTTON  SnrToggleCheckbox √适用 </w:instrText>
              </w:r>
              <w:r>
                <w:fldChar w:fldCharType="end"/>
              </w:r>
              <w:r>
                <w:fldChar w:fldCharType="begin"/>
              </w:r>
              <w:r w:rsidR="00CB430E">
                <w:instrText xml:space="preserve"> MACROBUTTON  SnrToggleCheckbox □不适用 </w:instrText>
              </w:r>
              <w:r>
                <w:fldChar w:fldCharType="end"/>
              </w:r>
            </w:p>
          </w:sdtContent>
        </w:sdt>
        <w:p w:rsidR="00806678" w:rsidRDefault="00B16377">
          <w:pPr>
            <w:ind w:right="57"/>
            <w:jc w:val="right"/>
            <w:rPr>
              <w:szCs w:val="21"/>
            </w:rPr>
          </w:pPr>
          <w:r>
            <w:rPr>
              <w:rFonts w:hint="eastAsia"/>
              <w:szCs w:val="21"/>
            </w:rPr>
            <w:t>单位：</w:t>
          </w:r>
          <w:sdt>
            <w:sdtPr>
              <w:rPr>
                <w:rFonts w:hint="eastAsia"/>
                <w:szCs w:val="21"/>
              </w:rPr>
              <w:alias w:val="单位：财务附注：未确认递延所得税资产的可抵扣亏损将于以下年度到期"/>
              <w:tag w:val="_GBC_f2f4114ac2e940dc8739e6c3e20fe15f"/>
              <w:id w:val="-161682192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未确认递延所得税资产的可抵扣亏损将于以下年度到期"/>
              <w:tag w:val="_GBC_a44b093249e5439fa4b311f7150bce43"/>
              <w:id w:val="118332303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84"/>
            <w:gridCol w:w="2286"/>
            <w:gridCol w:w="2324"/>
            <w:gridCol w:w="2355"/>
          </w:tblGrid>
          <w:tr w:rsidR="00B24FA3" w:rsidTr="00601D47">
            <w:trPr>
              <w:trHeight w:val="285"/>
            </w:trPr>
            <w:sdt>
              <w:sdtPr>
                <w:tag w:val="_PLD_c2bad95d2ced4c2f8958303268f6cd2b"/>
                <w:id w:val="-1514835545"/>
                <w:lock w:val="sdtLocked"/>
              </w:sdtPr>
              <w:sdtContent>
                <w:tc>
                  <w:tcPr>
                    <w:tcW w:w="1152" w:type="pct"/>
                    <w:tcBorders>
                      <w:top w:val="single" w:sz="4" w:space="0" w:color="auto"/>
                      <w:left w:val="single" w:sz="4" w:space="0" w:color="auto"/>
                      <w:bottom w:val="single" w:sz="4" w:space="0" w:color="auto"/>
                      <w:right w:val="single" w:sz="4" w:space="0" w:color="auto"/>
                    </w:tcBorders>
                    <w:vAlign w:val="center"/>
                  </w:tcPr>
                  <w:p w:rsidR="00B24FA3" w:rsidRDefault="00B24FA3" w:rsidP="00601D47">
                    <w:pPr>
                      <w:jc w:val="center"/>
                      <w:rPr>
                        <w:szCs w:val="21"/>
                      </w:rPr>
                    </w:pPr>
                    <w:r>
                      <w:rPr>
                        <w:rFonts w:hint="eastAsia"/>
                        <w:szCs w:val="21"/>
                      </w:rPr>
                      <w:t>年份</w:t>
                    </w:r>
                  </w:p>
                </w:tc>
              </w:sdtContent>
            </w:sdt>
            <w:sdt>
              <w:sdtPr>
                <w:tag w:val="_PLD_20395d1e877346dbbdb29c15ffdda67a"/>
                <w:id w:val="1782446443"/>
                <w:lock w:val="sdtLocked"/>
              </w:sdtPr>
              <w:sdtContent>
                <w:tc>
                  <w:tcPr>
                    <w:tcW w:w="1263" w:type="pct"/>
                    <w:tcBorders>
                      <w:top w:val="single" w:sz="4" w:space="0" w:color="auto"/>
                      <w:left w:val="single" w:sz="4" w:space="0" w:color="auto"/>
                      <w:bottom w:val="single" w:sz="4" w:space="0" w:color="auto"/>
                      <w:right w:val="single" w:sz="4" w:space="0" w:color="auto"/>
                    </w:tcBorders>
                    <w:vAlign w:val="center"/>
                  </w:tcPr>
                  <w:p w:rsidR="00B24FA3" w:rsidRDefault="00B24FA3" w:rsidP="00601D47">
                    <w:pPr>
                      <w:jc w:val="center"/>
                      <w:rPr>
                        <w:szCs w:val="21"/>
                      </w:rPr>
                    </w:pPr>
                    <w:r>
                      <w:rPr>
                        <w:rFonts w:hint="eastAsia"/>
                        <w:szCs w:val="21"/>
                      </w:rPr>
                      <w:t>期末金额</w:t>
                    </w:r>
                  </w:p>
                </w:tc>
              </w:sdtContent>
            </w:sdt>
            <w:sdt>
              <w:sdtPr>
                <w:tag w:val="_PLD_7c3e310eca854a9283aca385397086c3"/>
                <w:id w:val="-187382616"/>
                <w:lock w:val="sdtLocked"/>
              </w:sdtPr>
              <w:sdtContent>
                <w:tc>
                  <w:tcPr>
                    <w:tcW w:w="1284" w:type="pct"/>
                    <w:tcBorders>
                      <w:top w:val="single" w:sz="4" w:space="0" w:color="auto"/>
                      <w:left w:val="single" w:sz="4" w:space="0" w:color="auto"/>
                      <w:bottom w:val="single" w:sz="4" w:space="0" w:color="auto"/>
                      <w:right w:val="single" w:sz="4" w:space="0" w:color="auto"/>
                    </w:tcBorders>
                    <w:vAlign w:val="center"/>
                  </w:tcPr>
                  <w:p w:rsidR="00B24FA3" w:rsidRDefault="00B24FA3" w:rsidP="00601D47">
                    <w:pPr>
                      <w:jc w:val="center"/>
                      <w:rPr>
                        <w:szCs w:val="21"/>
                      </w:rPr>
                    </w:pPr>
                    <w:r>
                      <w:rPr>
                        <w:rFonts w:hint="eastAsia"/>
                        <w:szCs w:val="21"/>
                      </w:rPr>
                      <w:t>期初金额</w:t>
                    </w:r>
                  </w:p>
                </w:tc>
              </w:sdtContent>
            </w:sdt>
            <w:sdt>
              <w:sdtPr>
                <w:tag w:val="_PLD_39d10c26cbf24b4481db02bd3f33378d"/>
                <w:id w:val="-738402090"/>
                <w:lock w:val="sdtLocked"/>
              </w:sdtPr>
              <w:sdtContent>
                <w:tc>
                  <w:tcPr>
                    <w:tcW w:w="1301" w:type="pct"/>
                    <w:tcBorders>
                      <w:top w:val="single" w:sz="4" w:space="0" w:color="auto"/>
                      <w:left w:val="single" w:sz="4" w:space="0" w:color="auto"/>
                      <w:bottom w:val="single" w:sz="4" w:space="0" w:color="auto"/>
                      <w:right w:val="single" w:sz="4" w:space="0" w:color="auto"/>
                    </w:tcBorders>
                    <w:vAlign w:val="center"/>
                  </w:tcPr>
                  <w:p w:rsidR="00B24FA3" w:rsidRDefault="00B24FA3" w:rsidP="00601D47">
                    <w:pPr>
                      <w:jc w:val="center"/>
                      <w:rPr>
                        <w:szCs w:val="21"/>
                      </w:rPr>
                    </w:pPr>
                    <w:r>
                      <w:rPr>
                        <w:rFonts w:hint="eastAsia"/>
                        <w:szCs w:val="21"/>
                      </w:rPr>
                      <w:t>备注</w:t>
                    </w:r>
                  </w:p>
                </w:tc>
              </w:sdtContent>
            </w:sdt>
          </w:tr>
          <w:sdt>
            <w:sdtPr>
              <w:rPr>
                <w:rFonts w:hint="eastAsia"/>
                <w:szCs w:val="21"/>
              </w:rPr>
              <w:alias w:val="未确认递延所得税资产的可抵扣亏损到期明细"/>
              <w:tag w:val="_TUP_4069c4f2b7c24917ae9bee619d1dc277"/>
              <w:id w:val="-331758708"/>
              <w:lock w:val="sdtLocked"/>
            </w:sdtPr>
            <w:sdtContent>
              <w:tr w:rsidR="00B24FA3" w:rsidTr="00601D47">
                <w:trPr>
                  <w:trHeight w:val="80"/>
                </w:trPr>
                <w:tc>
                  <w:tcPr>
                    <w:tcW w:w="1152" w:type="pct"/>
                    <w:tcBorders>
                      <w:top w:val="single" w:sz="4" w:space="0" w:color="auto"/>
                      <w:left w:val="single" w:sz="4" w:space="0" w:color="auto"/>
                      <w:bottom w:val="single" w:sz="4" w:space="0" w:color="auto"/>
                      <w:right w:val="single" w:sz="4" w:space="0" w:color="auto"/>
                    </w:tcBorders>
                  </w:tcPr>
                  <w:p w:rsidR="00B24FA3" w:rsidRDefault="00B24FA3" w:rsidP="00601D47">
                    <w:pPr>
                      <w:rPr>
                        <w:szCs w:val="21"/>
                      </w:rPr>
                    </w:pPr>
                    <w:r>
                      <w:t>2022年</w:t>
                    </w:r>
                  </w:p>
                </w:tc>
                <w:tc>
                  <w:tcPr>
                    <w:tcW w:w="1263" w:type="pct"/>
                    <w:tcBorders>
                      <w:top w:val="single" w:sz="4" w:space="0" w:color="auto"/>
                      <w:left w:val="single" w:sz="4" w:space="0" w:color="auto"/>
                      <w:bottom w:val="single" w:sz="4" w:space="0" w:color="auto"/>
                      <w:right w:val="single" w:sz="4" w:space="0" w:color="auto"/>
                    </w:tcBorders>
                  </w:tcPr>
                  <w:p w:rsidR="00B24FA3" w:rsidRDefault="00B24FA3" w:rsidP="00601D47">
                    <w:pPr>
                      <w:jc w:val="right"/>
                      <w:rPr>
                        <w:szCs w:val="21"/>
                      </w:rPr>
                    </w:pPr>
                    <w:r>
                      <w:t>0</w:t>
                    </w:r>
                  </w:p>
                </w:tc>
                <w:tc>
                  <w:tcPr>
                    <w:tcW w:w="1284" w:type="pct"/>
                    <w:tcBorders>
                      <w:top w:val="single" w:sz="4" w:space="0" w:color="auto"/>
                      <w:left w:val="single" w:sz="4" w:space="0" w:color="auto"/>
                      <w:bottom w:val="single" w:sz="4" w:space="0" w:color="auto"/>
                      <w:right w:val="single" w:sz="4" w:space="0" w:color="auto"/>
                    </w:tcBorders>
                  </w:tcPr>
                  <w:p w:rsidR="00B24FA3" w:rsidRDefault="00B24FA3" w:rsidP="00601D47">
                    <w:pPr>
                      <w:jc w:val="right"/>
                      <w:rPr>
                        <w:szCs w:val="21"/>
                      </w:rPr>
                    </w:pPr>
                    <w:r>
                      <w:t>878,315,116</w:t>
                    </w:r>
                  </w:p>
                </w:tc>
                <w:tc>
                  <w:tcPr>
                    <w:tcW w:w="1301" w:type="pct"/>
                    <w:tcBorders>
                      <w:top w:val="single" w:sz="4" w:space="0" w:color="auto"/>
                      <w:left w:val="single" w:sz="4" w:space="0" w:color="auto"/>
                      <w:bottom w:val="single" w:sz="4" w:space="0" w:color="auto"/>
                      <w:right w:val="single" w:sz="4" w:space="0" w:color="auto"/>
                    </w:tcBorders>
                  </w:tcPr>
                  <w:p w:rsidR="00B24FA3" w:rsidRDefault="00B24FA3" w:rsidP="00601D47">
                    <w:pPr>
                      <w:rPr>
                        <w:szCs w:val="21"/>
                      </w:rPr>
                    </w:pPr>
                  </w:p>
                </w:tc>
              </w:tr>
            </w:sdtContent>
          </w:sdt>
          <w:sdt>
            <w:sdtPr>
              <w:rPr>
                <w:rFonts w:hint="eastAsia"/>
                <w:szCs w:val="21"/>
              </w:rPr>
              <w:alias w:val="未确认递延所得税资产的可抵扣亏损到期明细"/>
              <w:tag w:val="_TUP_4069c4f2b7c24917ae9bee619d1dc277"/>
              <w:id w:val="774367500"/>
              <w:lock w:val="sdtLocked"/>
            </w:sdtPr>
            <w:sdtContent>
              <w:tr w:rsidR="00B24FA3" w:rsidTr="00601D47">
                <w:trPr>
                  <w:trHeight w:val="80"/>
                </w:trPr>
                <w:tc>
                  <w:tcPr>
                    <w:tcW w:w="1152" w:type="pct"/>
                    <w:tcBorders>
                      <w:top w:val="single" w:sz="4" w:space="0" w:color="auto"/>
                      <w:left w:val="single" w:sz="4" w:space="0" w:color="auto"/>
                      <w:bottom w:val="single" w:sz="4" w:space="0" w:color="auto"/>
                      <w:right w:val="single" w:sz="4" w:space="0" w:color="auto"/>
                    </w:tcBorders>
                  </w:tcPr>
                  <w:p w:rsidR="00B24FA3" w:rsidRDefault="00B24FA3" w:rsidP="00601D47">
                    <w:pPr>
                      <w:rPr>
                        <w:szCs w:val="21"/>
                      </w:rPr>
                    </w:pPr>
                    <w:r>
                      <w:t>2023年</w:t>
                    </w:r>
                  </w:p>
                </w:tc>
                <w:tc>
                  <w:tcPr>
                    <w:tcW w:w="1263" w:type="pct"/>
                    <w:tcBorders>
                      <w:top w:val="single" w:sz="4" w:space="0" w:color="auto"/>
                      <w:left w:val="single" w:sz="4" w:space="0" w:color="auto"/>
                      <w:bottom w:val="single" w:sz="4" w:space="0" w:color="auto"/>
                      <w:right w:val="single" w:sz="4" w:space="0" w:color="auto"/>
                    </w:tcBorders>
                  </w:tcPr>
                  <w:p w:rsidR="00B24FA3" w:rsidRDefault="00B24FA3" w:rsidP="00601D47">
                    <w:pPr>
                      <w:jc w:val="right"/>
                      <w:rPr>
                        <w:szCs w:val="21"/>
                      </w:rPr>
                    </w:pPr>
                    <w:r>
                      <w:t>198,749,850</w:t>
                    </w:r>
                  </w:p>
                </w:tc>
                <w:tc>
                  <w:tcPr>
                    <w:tcW w:w="1284" w:type="pct"/>
                    <w:tcBorders>
                      <w:top w:val="single" w:sz="4" w:space="0" w:color="auto"/>
                      <w:left w:val="single" w:sz="4" w:space="0" w:color="auto"/>
                      <w:bottom w:val="single" w:sz="4" w:space="0" w:color="auto"/>
                      <w:right w:val="single" w:sz="4" w:space="0" w:color="auto"/>
                    </w:tcBorders>
                  </w:tcPr>
                  <w:p w:rsidR="00B24FA3" w:rsidRDefault="00B24FA3" w:rsidP="00601D47">
                    <w:pPr>
                      <w:jc w:val="right"/>
                      <w:rPr>
                        <w:szCs w:val="21"/>
                      </w:rPr>
                    </w:pPr>
                    <w:r>
                      <w:t>198,749,850</w:t>
                    </w:r>
                  </w:p>
                </w:tc>
                <w:tc>
                  <w:tcPr>
                    <w:tcW w:w="1301" w:type="pct"/>
                    <w:tcBorders>
                      <w:top w:val="single" w:sz="4" w:space="0" w:color="auto"/>
                      <w:left w:val="single" w:sz="4" w:space="0" w:color="auto"/>
                      <w:bottom w:val="single" w:sz="4" w:space="0" w:color="auto"/>
                      <w:right w:val="single" w:sz="4" w:space="0" w:color="auto"/>
                    </w:tcBorders>
                  </w:tcPr>
                  <w:p w:rsidR="00B24FA3" w:rsidRDefault="00B24FA3" w:rsidP="00601D47">
                    <w:pPr>
                      <w:rPr>
                        <w:szCs w:val="21"/>
                      </w:rPr>
                    </w:pPr>
                  </w:p>
                </w:tc>
              </w:tr>
            </w:sdtContent>
          </w:sdt>
          <w:sdt>
            <w:sdtPr>
              <w:rPr>
                <w:rFonts w:hint="eastAsia"/>
                <w:szCs w:val="21"/>
              </w:rPr>
              <w:alias w:val="未确认递延所得税资产的可抵扣亏损到期明细"/>
              <w:tag w:val="_TUP_4069c4f2b7c24917ae9bee619d1dc277"/>
              <w:id w:val="-832370791"/>
              <w:lock w:val="sdtLocked"/>
            </w:sdtPr>
            <w:sdtContent>
              <w:tr w:rsidR="00B24FA3" w:rsidTr="00601D47">
                <w:trPr>
                  <w:trHeight w:val="80"/>
                </w:trPr>
                <w:tc>
                  <w:tcPr>
                    <w:tcW w:w="1152" w:type="pct"/>
                    <w:tcBorders>
                      <w:top w:val="single" w:sz="4" w:space="0" w:color="auto"/>
                      <w:left w:val="single" w:sz="4" w:space="0" w:color="auto"/>
                      <w:bottom w:val="single" w:sz="4" w:space="0" w:color="auto"/>
                      <w:right w:val="single" w:sz="4" w:space="0" w:color="auto"/>
                    </w:tcBorders>
                  </w:tcPr>
                  <w:p w:rsidR="00B24FA3" w:rsidRDefault="00B24FA3" w:rsidP="00601D47">
                    <w:pPr>
                      <w:rPr>
                        <w:szCs w:val="21"/>
                      </w:rPr>
                    </w:pPr>
                    <w:r>
                      <w:t>2024年</w:t>
                    </w:r>
                  </w:p>
                </w:tc>
                <w:tc>
                  <w:tcPr>
                    <w:tcW w:w="1263" w:type="pct"/>
                    <w:tcBorders>
                      <w:top w:val="single" w:sz="4" w:space="0" w:color="auto"/>
                      <w:left w:val="single" w:sz="4" w:space="0" w:color="auto"/>
                      <w:bottom w:val="single" w:sz="4" w:space="0" w:color="auto"/>
                      <w:right w:val="single" w:sz="4" w:space="0" w:color="auto"/>
                    </w:tcBorders>
                  </w:tcPr>
                  <w:p w:rsidR="00B24FA3" w:rsidRDefault="00B24FA3" w:rsidP="00601D47">
                    <w:pPr>
                      <w:jc w:val="right"/>
                      <w:rPr>
                        <w:szCs w:val="21"/>
                      </w:rPr>
                    </w:pPr>
                    <w:r>
                      <w:t>342,394,209</w:t>
                    </w:r>
                  </w:p>
                </w:tc>
                <w:tc>
                  <w:tcPr>
                    <w:tcW w:w="1284" w:type="pct"/>
                    <w:tcBorders>
                      <w:top w:val="single" w:sz="4" w:space="0" w:color="auto"/>
                      <w:left w:val="single" w:sz="4" w:space="0" w:color="auto"/>
                      <w:bottom w:val="single" w:sz="4" w:space="0" w:color="auto"/>
                      <w:right w:val="single" w:sz="4" w:space="0" w:color="auto"/>
                    </w:tcBorders>
                  </w:tcPr>
                  <w:p w:rsidR="00B24FA3" w:rsidRDefault="00B24FA3" w:rsidP="00601D47">
                    <w:pPr>
                      <w:jc w:val="right"/>
                      <w:rPr>
                        <w:szCs w:val="21"/>
                      </w:rPr>
                    </w:pPr>
                    <w:r>
                      <w:t>342,394,209</w:t>
                    </w:r>
                  </w:p>
                </w:tc>
                <w:tc>
                  <w:tcPr>
                    <w:tcW w:w="1301" w:type="pct"/>
                    <w:tcBorders>
                      <w:top w:val="single" w:sz="4" w:space="0" w:color="auto"/>
                      <w:left w:val="single" w:sz="4" w:space="0" w:color="auto"/>
                      <w:bottom w:val="single" w:sz="4" w:space="0" w:color="auto"/>
                      <w:right w:val="single" w:sz="4" w:space="0" w:color="auto"/>
                    </w:tcBorders>
                  </w:tcPr>
                  <w:p w:rsidR="00B24FA3" w:rsidRDefault="00B24FA3" w:rsidP="00601D47">
                    <w:pPr>
                      <w:rPr>
                        <w:szCs w:val="21"/>
                      </w:rPr>
                    </w:pPr>
                  </w:p>
                </w:tc>
              </w:tr>
            </w:sdtContent>
          </w:sdt>
          <w:sdt>
            <w:sdtPr>
              <w:rPr>
                <w:rFonts w:hint="eastAsia"/>
                <w:szCs w:val="21"/>
              </w:rPr>
              <w:alias w:val="未确认递延所得税资产的可抵扣亏损到期明细"/>
              <w:tag w:val="_TUP_4069c4f2b7c24917ae9bee619d1dc277"/>
              <w:id w:val="-724368195"/>
              <w:lock w:val="sdtLocked"/>
            </w:sdtPr>
            <w:sdtContent>
              <w:tr w:rsidR="00B24FA3" w:rsidTr="00601D47">
                <w:trPr>
                  <w:trHeight w:val="80"/>
                </w:trPr>
                <w:tc>
                  <w:tcPr>
                    <w:tcW w:w="1152" w:type="pct"/>
                    <w:tcBorders>
                      <w:top w:val="single" w:sz="4" w:space="0" w:color="auto"/>
                      <w:left w:val="single" w:sz="4" w:space="0" w:color="auto"/>
                      <w:bottom w:val="single" w:sz="4" w:space="0" w:color="auto"/>
                      <w:right w:val="single" w:sz="4" w:space="0" w:color="auto"/>
                    </w:tcBorders>
                  </w:tcPr>
                  <w:p w:rsidR="00B24FA3" w:rsidRDefault="00B24FA3" w:rsidP="00601D47">
                    <w:pPr>
                      <w:rPr>
                        <w:szCs w:val="21"/>
                      </w:rPr>
                    </w:pPr>
                    <w:r>
                      <w:t>2025年</w:t>
                    </w:r>
                  </w:p>
                </w:tc>
                <w:tc>
                  <w:tcPr>
                    <w:tcW w:w="1263" w:type="pct"/>
                    <w:tcBorders>
                      <w:top w:val="single" w:sz="4" w:space="0" w:color="auto"/>
                      <w:left w:val="single" w:sz="4" w:space="0" w:color="auto"/>
                      <w:bottom w:val="single" w:sz="4" w:space="0" w:color="auto"/>
                      <w:right w:val="single" w:sz="4" w:space="0" w:color="auto"/>
                    </w:tcBorders>
                  </w:tcPr>
                  <w:p w:rsidR="00B24FA3" w:rsidRDefault="00B24FA3" w:rsidP="00601D47">
                    <w:pPr>
                      <w:jc w:val="right"/>
                      <w:rPr>
                        <w:szCs w:val="21"/>
                      </w:rPr>
                    </w:pPr>
                    <w:r>
                      <w:t>386,341,831</w:t>
                    </w:r>
                  </w:p>
                </w:tc>
                <w:tc>
                  <w:tcPr>
                    <w:tcW w:w="1284" w:type="pct"/>
                    <w:tcBorders>
                      <w:top w:val="single" w:sz="4" w:space="0" w:color="auto"/>
                      <w:left w:val="single" w:sz="4" w:space="0" w:color="auto"/>
                      <w:bottom w:val="single" w:sz="4" w:space="0" w:color="auto"/>
                      <w:right w:val="single" w:sz="4" w:space="0" w:color="auto"/>
                    </w:tcBorders>
                  </w:tcPr>
                  <w:p w:rsidR="00B24FA3" w:rsidRDefault="00B24FA3" w:rsidP="00601D47">
                    <w:pPr>
                      <w:jc w:val="right"/>
                      <w:rPr>
                        <w:szCs w:val="21"/>
                      </w:rPr>
                    </w:pPr>
                    <w:r>
                      <w:t>386,341,831</w:t>
                    </w:r>
                  </w:p>
                </w:tc>
                <w:tc>
                  <w:tcPr>
                    <w:tcW w:w="1301" w:type="pct"/>
                    <w:tcBorders>
                      <w:top w:val="single" w:sz="4" w:space="0" w:color="auto"/>
                      <w:left w:val="single" w:sz="4" w:space="0" w:color="auto"/>
                      <w:bottom w:val="single" w:sz="4" w:space="0" w:color="auto"/>
                      <w:right w:val="single" w:sz="4" w:space="0" w:color="auto"/>
                    </w:tcBorders>
                  </w:tcPr>
                  <w:p w:rsidR="00B24FA3" w:rsidRDefault="00B24FA3" w:rsidP="00601D47">
                    <w:pPr>
                      <w:rPr>
                        <w:szCs w:val="21"/>
                      </w:rPr>
                    </w:pPr>
                  </w:p>
                </w:tc>
              </w:tr>
            </w:sdtContent>
          </w:sdt>
          <w:sdt>
            <w:sdtPr>
              <w:rPr>
                <w:rFonts w:hint="eastAsia"/>
                <w:szCs w:val="21"/>
              </w:rPr>
              <w:alias w:val="未确认递延所得税资产的可抵扣亏损到期明细"/>
              <w:tag w:val="_TUP_4069c4f2b7c24917ae9bee619d1dc277"/>
              <w:id w:val="511106620"/>
              <w:lock w:val="sdtLocked"/>
            </w:sdtPr>
            <w:sdtContent>
              <w:tr w:rsidR="00B24FA3" w:rsidTr="00601D47">
                <w:trPr>
                  <w:trHeight w:val="80"/>
                </w:trPr>
                <w:tc>
                  <w:tcPr>
                    <w:tcW w:w="1152" w:type="pct"/>
                    <w:tcBorders>
                      <w:top w:val="single" w:sz="4" w:space="0" w:color="auto"/>
                      <w:left w:val="single" w:sz="4" w:space="0" w:color="auto"/>
                      <w:bottom w:val="single" w:sz="4" w:space="0" w:color="auto"/>
                      <w:right w:val="single" w:sz="4" w:space="0" w:color="auto"/>
                    </w:tcBorders>
                  </w:tcPr>
                  <w:p w:rsidR="00B24FA3" w:rsidRDefault="00B24FA3" w:rsidP="00601D47">
                    <w:pPr>
                      <w:rPr>
                        <w:szCs w:val="21"/>
                      </w:rPr>
                    </w:pPr>
                    <w:r>
                      <w:t>2026年</w:t>
                    </w:r>
                  </w:p>
                </w:tc>
                <w:tc>
                  <w:tcPr>
                    <w:tcW w:w="1263" w:type="pct"/>
                    <w:tcBorders>
                      <w:top w:val="single" w:sz="4" w:space="0" w:color="auto"/>
                      <w:left w:val="single" w:sz="4" w:space="0" w:color="auto"/>
                      <w:bottom w:val="single" w:sz="4" w:space="0" w:color="auto"/>
                      <w:right w:val="single" w:sz="4" w:space="0" w:color="auto"/>
                    </w:tcBorders>
                  </w:tcPr>
                  <w:p w:rsidR="00B24FA3" w:rsidRDefault="00B24FA3" w:rsidP="00601D47">
                    <w:pPr>
                      <w:jc w:val="right"/>
                      <w:rPr>
                        <w:szCs w:val="21"/>
                      </w:rPr>
                    </w:pPr>
                    <w:r>
                      <w:t>230,270,718</w:t>
                    </w:r>
                  </w:p>
                </w:tc>
                <w:tc>
                  <w:tcPr>
                    <w:tcW w:w="1284" w:type="pct"/>
                    <w:tcBorders>
                      <w:top w:val="single" w:sz="4" w:space="0" w:color="auto"/>
                      <w:left w:val="single" w:sz="4" w:space="0" w:color="auto"/>
                      <w:bottom w:val="single" w:sz="4" w:space="0" w:color="auto"/>
                      <w:right w:val="single" w:sz="4" w:space="0" w:color="auto"/>
                    </w:tcBorders>
                  </w:tcPr>
                  <w:p w:rsidR="00B24FA3" w:rsidRDefault="00B24FA3" w:rsidP="00601D47">
                    <w:pPr>
                      <w:jc w:val="right"/>
                      <w:rPr>
                        <w:szCs w:val="21"/>
                      </w:rPr>
                    </w:pPr>
                    <w:r>
                      <w:t>224,791,294</w:t>
                    </w:r>
                  </w:p>
                </w:tc>
                <w:tc>
                  <w:tcPr>
                    <w:tcW w:w="1301" w:type="pct"/>
                    <w:tcBorders>
                      <w:top w:val="single" w:sz="4" w:space="0" w:color="auto"/>
                      <w:left w:val="single" w:sz="4" w:space="0" w:color="auto"/>
                      <w:bottom w:val="single" w:sz="4" w:space="0" w:color="auto"/>
                      <w:right w:val="single" w:sz="4" w:space="0" w:color="auto"/>
                    </w:tcBorders>
                  </w:tcPr>
                  <w:p w:rsidR="00B24FA3" w:rsidRDefault="00B24FA3" w:rsidP="00601D47">
                    <w:pPr>
                      <w:rPr>
                        <w:szCs w:val="21"/>
                      </w:rPr>
                    </w:pPr>
                  </w:p>
                </w:tc>
              </w:tr>
            </w:sdtContent>
          </w:sdt>
          <w:sdt>
            <w:sdtPr>
              <w:rPr>
                <w:rFonts w:hint="eastAsia"/>
                <w:szCs w:val="21"/>
              </w:rPr>
              <w:alias w:val="未确认递延所得税资产的可抵扣亏损到期明细"/>
              <w:tag w:val="_TUP_4069c4f2b7c24917ae9bee619d1dc277"/>
              <w:id w:val="-29579659"/>
              <w:lock w:val="sdtLocked"/>
            </w:sdtPr>
            <w:sdtContent>
              <w:tr w:rsidR="00B24FA3" w:rsidTr="00601D47">
                <w:trPr>
                  <w:trHeight w:val="80"/>
                </w:trPr>
                <w:tc>
                  <w:tcPr>
                    <w:tcW w:w="1152" w:type="pct"/>
                    <w:tcBorders>
                      <w:top w:val="single" w:sz="4" w:space="0" w:color="auto"/>
                      <w:left w:val="single" w:sz="4" w:space="0" w:color="auto"/>
                      <w:bottom w:val="single" w:sz="4" w:space="0" w:color="auto"/>
                      <w:right w:val="single" w:sz="4" w:space="0" w:color="auto"/>
                    </w:tcBorders>
                  </w:tcPr>
                  <w:p w:rsidR="00B24FA3" w:rsidRDefault="00B24FA3" w:rsidP="00601D47">
                    <w:pPr>
                      <w:rPr>
                        <w:szCs w:val="21"/>
                      </w:rPr>
                    </w:pPr>
                    <w:r>
                      <w:t>2027年</w:t>
                    </w:r>
                  </w:p>
                </w:tc>
                <w:tc>
                  <w:tcPr>
                    <w:tcW w:w="1263" w:type="pct"/>
                    <w:tcBorders>
                      <w:top w:val="single" w:sz="4" w:space="0" w:color="auto"/>
                      <w:left w:val="single" w:sz="4" w:space="0" w:color="auto"/>
                      <w:bottom w:val="single" w:sz="4" w:space="0" w:color="auto"/>
                      <w:right w:val="single" w:sz="4" w:space="0" w:color="auto"/>
                    </w:tcBorders>
                  </w:tcPr>
                  <w:p w:rsidR="00B24FA3" w:rsidRDefault="00B24FA3" w:rsidP="00601D47">
                    <w:pPr>
                      <w:jc w:val="right"/>
                      <w:rPr>
                        <w:szCs w:val="21"/>
                      </w:rPr>
                    </w:pPr>
                    <w:r>
                      <w:t>297,916,278</w:t>
                    </w:r>
                  </w:p>
                </w:tc>
                <w:tc>
                  <w:tcPr>
                    <w:tcW w:w="1284" w:type="pct"/>
                    <w:tcBorders>
                      <w:top w:val="single" w:sz="4" w:space="0" w:color="auto"/>
                      <w:left w:val="single" w:sz="4" w:space="0" w:color="auto"/>
                      <w:bottom w:val="single" w:sz="4" w:space="0" w:color="auto"/>
                      <w:right w:val="single" w:sz="4" w:space="0" w:color="auto"/>
                    </w:tcBorders>
                  </w:tcPr>
                  <w:p w:rsidR="00B24FA3" w:rsidRDefault="00B24FA3" w:rsidP="00601D47">
                    <w:pPr>
                      <w:jc w:val="right"/>
                      <w:rPr>
                        <w:szCs w:val="21"/>
                      </w:rPr>
                    </w:pPr>
                    <w:r>
                      <w:t>0</w:t>
                    </w:r>
                  </w:p>
                </w:tc>
                <w:tc>
                  <w:tcPr>
                    <w:tcW w:w="1301" w:type="pct"/>
                    <w:tcBorders>
                      <w:top w:val="single" w:sz="4" w:space="0" w:color="auto"/>
                      <w:left w:val="single" w:sz="4" w:space="0" w:color="auto"/>
                      <w:bottom w:val="single" w:sz="4" w:space="0" w:color="auto"/>
                      <w:right w:val="single" w:sz="4" w:space="0" w:color="auto"/>
                    </w:tcBorders>
                  </w:tcPr>
                  <w:p w:rsidR="00B24FA3" w:rsidRDefault="00B24FA3" w:rsidP="00601D47">
                    <w:pPr>
                      <w:rPr>
                        <w:szCs w:val="21"/>
                      </w:rPr>
                    </w:pPr>
                  </w:p>
                </w:tc>
              </w:tr>
            </w:sdtContent>
          </w:sdt>
          <w:tr w:rsidR="00B24FA3" w:rsidTr="00601D47">
            <w:trPr>
              <w:trHeight w:val="285"/>
            </w:trPr>
            <w:sdt>
              <w:sdtPr>
                <w:tag w:val="_PLD_37ec918eb0c94f5e8b9115c21e913433"/>
                <w:id w:val="1185249376"/>
                <w:lock w:val="sdtLocked"/>
              </w:sdtPr>
              <w:sdtContent>
                <w:tc>
                  <w:tcPr>
                    <w:tcW w:w="1152" w:type="pct"/>
                    <w:tcBorders>
                      <w:top w:val="single" w:sz="4" w:space="0" w:color="auto"/>
                      <w:left w:val="single" w:sz="4" w:space="0" w:color="auto"/>
                      <w:bottom w:val="single" w:sz="4" w:space="0" w:color="auto"/>
                      <w:right w:val="single" w:sz="4" w:space="0" w:color="auto"/>
                    </w:tcBorders>
                    <w:vAlign w:val="bottom"/>
                  </w:tcPr>
                  <w:p w:rsidR="00B24FA3" w:rsidRDefault="00B24FA3" w:rsidP="00B24FA3">
                    <w:pPr>
                      <w:jc w:val="center"/>
                      <w:rPr>
                        <w:szCs w:val="21"/>
                      </w:rPr>
                    </w:pPr>
                    <w:r>
                      <w:rPr>
                        <w:rFonts w:hint="eastAsia"/>
                        <w:szCs w:val="21"/>
                      </w:rPr>
                      <w:t>合计</w:t>
                    </w:r>
                  </w:p>
                </w:tc>
              </w:sdtContent>
            </w:sdt>
            <w:tc>
              <w:tcPr>
                <w:tcW w:w="1263" w:type="pct"/>
                <w:tcBorders>
                  <w:top w:val="single" w:sz="4" w:space="0" w:color="auto"/>
                  <w:left w:val="single" w:sz="4" w:space="0" w:color="auto"/>
                  <w:bottom w:val="single" w:sz="4" w:space="0" w:color="auto"/>
                  <w:right w:val="single" w:sz="4" w:space="0" w:color="auto"/>
                </w:tcBorders>
                <w:vAlign w:val="center"/>
              </w:tcPr>
              <w:p w:rsidR="00B24FA3" w:rsidRDefault="00B24FA3" w:rsidP="00B24FA3">
                <w:pPr>
                  <w:jc w:val="right"/>
                  <w:rPr>
                    <w:szCs w:val="21"/>
                  </w:rPr>
                </w:pPr>
                <w:r>
                  <w:t>1,455,672,886</w:t>
                </w:r>
              </w:p>
            </w:tc>
            <w:tc>
              <w:tcPr>
                <w:tcW w:w="1284" w:type="pct"/>
                <w:tcBorders>
                  <w:top w:val="single" w:sz="4" w:space="0" w:color="auto"/>
                  <w:left w:val="single" w:sz="4" w:space="0" w:color="auto"/>
                  <w:bottom w:val="single" w:sz="4" w:space="0" w:color="auto"/>
                  <w:right w:val="single" w:sz="4" w:space="0" w:color="auto"/>
                </w:tcBorders>
                <w:vAlign w:val="center"/>
              </w:tcPr>
              <w:p w:rsidR="00B24FA3" w:rsidRDefault="00B24FA3" w:rsidP="00B24FA3">
                <w:pPr>
                  <w:jc w:val="right"/>
                  <w:rPr>
                    <w:szCs w:val="21"/>
                  </w:rPr>
                </w:pPr>
                <w:r>
                  <w:t>2,030,592,300</w:t>
                </w:r>
              </w:p>
            </w:tc>
            <w:tc>
              <w:tcPr>
                <w:tcW w:w="1301" w:type="pct"/>
                <w:tcBorders>
                  <w:top w:val="single" w:sz="4" w:space="0" w:color="auto"/>
                  <w:left w:val="single" w:sz="4" w:space="0" w:color="auto"/>
                  <w:bottom w:val="single" w:sz="4" w:space="0" w:color="auto"/>
                  <w:right w:val="single" w:sz="4" w:space="0" w:color="auto"/>
                </w:tcBorders>
              </w:tcPr>
              <w:p w:rsidR="00B24FA3" w:rsidRDefault="00B24FA3" w:rsidP="00B24FA3">
                <w:pPr>
                  <w:jc w:val="center"/>
                  <w:rPr>
                    <w:szCs w:val="21"/>
                  </w:rPr>
                </w:pPr>
                <w:r>
                  <w:rPr>
                    <w:rFonts w:hint="eastAsia"/>
                    <w:szCs w:val="21"/>
                  </w:rPr>
                  <w:t>/</w:t>
                </w:r>
              </w:p>
            </w:tc>
          </w:tr>
        </w:tbl>
        <w:p w:rsidR="00806678" w:rsidRDefault="00F80B6C">
          <w:pPr>
            <w:rPr>
              <w:color w:val="FF00FF"/>
              <w:szCs w:val="21"/>
            </w:rPr>
          </w:pPr>
        </w:p>
      </w:sdtContent>
    </w:sdt>
    <w:bookmarkEnd w:id="208" w:displacedByCustomXml="prev"/>
    <w:sdt>
      <w:sdtPr>
        <w:rPr>
          <w:rFonts w:hint="eastAsia"/>
          <w:szCs w:val="21"/>
        </w:rPr>
        <w:alias w:val="模块:递延所得税资产和递延所得税负债的说明"/>
        <w:tag w:val="_SEC_94657e8367544e5fa63e4b88008d6713"/>
        <w:id w:val="355005677"/>
        <w:lock w:val="sdtLocked"/>
        <w:placeholder>
          <w:docPart w:val="GBC22222222222222222222222222222"/>
        </w:placeholder>
      </w:sdtPr>
      <w:sdtEndPr>
        <w:rPr>
          <w:rFonts w:hint="default"/>
        </w:rPr>
      </w:sdtEndPr>
      <w:sdtContent>
        <w:p w:rsidR="00806678" w:rsidRDefault="00B16377">
          <w:pPr>
            <w:rPr>
              <w:szCs w:val="21"/>
            </w:rPr>
          </w:pPr>
          <w:r>
            <w:rPr>
              <w:rFonts w:hint="eastAsia"/>
              <w:szCs w:val="21"/>
            </w:rPr>
            <w:t>其他说明：</w:t>
          </w:r>
        </w:p>
        <w:sdt>
          <w:sdtPr>
            <w:rPr>
              <w:szCs w:val="21"/>
            </w:rPr>
            <w:alias w:val="是否适用：递延所得税资产和递延所得税负债的说明[双击切换]"/>
            <w:tag w:val="_GBC_7f4fae30d73847918bda2bbfa91008fe"/>
            <w:id w:val="-1590076983"/>
            <w:lock w:val="sdtLocked"/>
            <w:placeholder>
              <w:docPart w:val="GBC22222222222222222222222222222"/>
            </w:placeholder>
          </w:sdtPr>
          <w:sdtContent>
            <w:p w:rsidR="00732AC2" w:rsidRDefault="00F80B6C">
              <w:pPr>
                <w:rPr>
                  <w:szCs w:val="21"/>
                </w:rPr>
              </w:pPr>
              <w:r>
                <w:rPr>
                  <w:szCs w:val="21"/>
                </w:rPr>
                <w:fldChar w:fldCharType="begin"/>
              </w:r>
              <w:r w:rsidR="00A57D06">
                <w:rPr>
                  <w:szCs w:val="21"/>
                </w:rPr>
                <w:instrText xml:space="preserve">MACROBUTTON  SnrToggleCheckbox √适用 </w:instrText>
              </w:r>
              <w:r>
                <w:rPr>
                  <w:szCs w:val="21"/>
                </w:rPr>
                <w:fldChar w:fldCharType="end"/>
              </w:r>
              <w:r>
                <w:rPr>
                  <w:szCs w:val="21"/>
                </w:rPr>
                <w:fldChar w:fldCharType="begin"/>
              </w:r>
              <w:r w:rsidR="00A57D06">
                <w:rPr>
                  <w:szCs w:val="21"/>
                </w:rPr>
                <w:instrText xml:space="preserve"> MACROBUTTON  SnrToggleCheckbox □不适用 </w:instrText>
              </w:r>
              <w:r>
                <w:rPr>
                  <w:szCs w:val="21"/>
                </w:rPr>
                <w:fldChar w:fldCharType="end"/>
              </w:r>
            </w:p>
            <w:p w:rsidR="00806678" w:rsidRDefault="00F80B6C">
              <w:pPr>
                <w:rPr>
                  <w:szCs w:val="21"/>
                </w:rPr>
              </w:pPr>
            </w:p>
          </w:sdtContent>
        </w:sdt>
        <w:sdt>
          <w:sdtPr>
            <w:rPr>
              <w:szCs w:val="21"/>
            </w:rPr>
            <w:alias w:val="递延所得税资产和递延所得税负债的说明"/>
            <w:tag w:val="_GBC_8a0849a247654a52813ac31359163aaa"/>
            <w:id w:val="-85845008"/>
            <w:lock w:val="sdtLocked"/>
            <w:placeholder>
              <w:docPart w:val="GBC22222222222222222222222222222"/>
            </w:placeholder>
          </w:sdtPr>
          <w:sdtContent>
            <w:p w:rsidR="00A57D06" w:rsidRPr="00A57D06" w:rsidRDefault="00A57D06" w:rsidP="00A57D06">
              <w:pPr>
                <w:rPr>
                  <w:szCs w:val="21"/>
                </w:rPr>
              </w:pPr>
              <w:r w:rsidRPr="00A57D06">
                <w:rPr>
                  <w:rFonts w:hint="eastAsia"/>
                  <w:szCs w:val="21"/>
                </w:rPr>
                <w:t>注</w:t>
              </w:r>
              <w:r w:rsidRPr="00A57D06">
                <w:rPr>
                  <w:szCs w:val="21"/>
                </w:rPr>
                <w:t>1：本公司于2010年8月31日完成了对于目标业务的收购。由于原大秦公司与目标业务 (除“朔黄铁路股权”外) 在资产交割日前后均受太原局集团公司控制，因此本集团按照同一控制下企业合并的有关处理要求，将目标业务 (除“朔黄铁路股权”外) 的资产、负债按照其原账面价值合并入本集团财务报表。</w:t>
              </w:r>
            </w:p>
            <w:p w:rsidR="00A57D06" w:rsidRPr="00A57D06" w:rsidRDefault="00A57D06" w:rsidP="00A57D06">
              <w:pPr>
                <w:rPr>
                  <w:szCs w:val="21"/>
                </w:rPr>
              </w:pPr>
            </w:p>
            <w:p w:rsidR="00A57D06" w:rsidRPr="00A57D06" w:rsidRDefault="00A57D06" w:rsidP="00A57D06">
              <w:pPr>
                <w:rPr>
                  <w:szCs w:val="21"/>
                </w:rPr>
              </w:pPr>
              <w:r w:rsidRPr="00A57D06">
                <w:rPr>
                  <w:szCs w:val="21"/>
                </w:rPr>
                <w:t>根据财政部及国家税务总局《关于太原铁路局运输主业改制上市有关企业所得税政策的通知》(财税【2012】46号)，对于原大秦公司收购自太原局集团公司的固定资产，允许本公司按照以2009年6月30日为评估基准日的评估价值计提折旧或者摊销，并在企业所得税前扣除。</w:t>
              </w:r>
            </w:p>
            <w:p w:rsidR="00A57D06" w:rsidRPr="00A57D06" w:rsidRDefault="00A57D06" w:rsidP="00A57D06">
              <w:pPr>
                <w:rPr>
                  <w:szCs w:val="21"/>
                </w:rPr>
              </w:pPr>
            </w:p>
            <w:p w:rsidR="00A57D06" w:rsidRDefault="00A57D06" w:rsidP="00A57D06">
              <w:pPr>
                <w:rPr>
                  <w:szCs w:val="21"/>
                </w:rPr>
              </w:pPr>
              <w:r w:rsidRPr="00A57D06">
                <w:rPr>
                  <w:rFonts w:hint="eastAsia"/>
                  <w:szCs w:val="21"/>
                </w:rPr>
                <w:t>注</w:t>
              </w:r>
              <w:r w:rsidRPr="00A57D06">
                <w:rPr>
                  <w:szCs w:val="21"/>
                </w:rPr>
                <w:t>2：本公司于2015年3月和2015年12月分别以公司既有的铁路线路资产向子公司侯禹铁路公司和山西太兴铁路有限责任公司 (以下简称“太兴铁路公司”) 增资。该等向子公司实物增资的既有铁路线路资产经评估的增值额于本集团合并层面形成递延所得税资产。</w:t>
              </w:r>
            </w:p>
            <w:p w:rsidR="00A57D06" w:rsidRDefault="00A57D06" w:rsidP="00A57D06">
              <w:pPr>
                <w:rPr>
                  <w:szCs w:val="21"/>
                </w:rPr>
              </w:pPr>
            </w:p>
            <w:p w:rsidR="00806678" w:rsidRDefault="00A57D06" w:rsidP="00A57D06">
              <w:pPr>
                <w:rPr>
                  <w:szCs w:val="21"/>
                </w:rPr>
              </w:pPr>
              <w:r w:rsidRPr="00A57D06">
                <w:rPr>
                  <w:rFonts w:hint="eastAsia"/>
                  <w:szCs w:val="21"/>
                </w:rPr>
                <w:t>注</w:t>
              </w:r>
              <w:r w:rsidRPr="00A57D06">
                <w:rPr>
                  <w:szCs w:val="21"/>
                </w:rPr>
                <w:t>3：根据财税【2018】54号，企业在2018年1月1日至2020年12月31日期间新购进的设备、器具，单位价值不超过500万元的，允许一次性计入当期成本费用在计算应纳税所得额时扣除，不再分年度计算折旧。同时，根据财政部、税务总局公告2021年第6号规定，该税收优惠政策执行期限延长至2023年12月31日。于2022年12月31日，该事项形成递延所得税负债余额约人民币4.4亿元。</w:t>
              </w:r>
            </w:p>
          </w:sdtContent>
        </w:sdt>
        <w:p w:rsidR="00806678" w:rsidRDefault="00F80B6C">
          <w:pPr>
            <w:rPr>
              <w:szCs w:val="21"/>
            </w:rPr>
          </w:pPr>
        </w:p>
      </w:sdtContent>
    </w:sdt>
    <w:bookmarkStart w:id="210" w:name="_Hlk534892899" w:displacedByCustomXml="next"/>
    <w:sdt>
      <w:sdtPr>
        <w:rPr>
          <w:rFonts w:ascii="宋体" w:hAnsi="宋体" w:cs="宋体"/>
          <w:b w:val="0"/>
          <w:bCs w:val="0"/>
          <w:kern w:val="0"/>
          <w:szCs w:val="21"/>
        </w:rPr>
        <w:alias w:val="模块:其他非流动资产"/>
        <w:tag w:val="_SEC_61a5a51558394b4f935a5e79bf462096"/>
        <w:id w:val="2043929209"/>
        <w:lock w:val="sdtLocked"/>
        <w:placeholder>
          <w:docPart w:val="GBC22222222222222222222222222222"/>
        </w:placeholder>
      </w:sdtPr>
      <w:sdtContent>
        <w:bookmarkStart w:id="211" w:name="_Hlk533670093" w:displacedByCustomXml="prev"/>
        <w:p w:rsidR="00806678" w:rsidRDefault="00B16377" w:rsidP="00FF17C7">
          <w:pPr>
            <w:pStyle w:val="3"/>
            <w:numPr>
              <w:ilvl w:val="0"/>
              <w:numId w:val="18"/>
            </w:numPr>
            <w:tabs>
              <w:tab w:val="left" w:pos="504"/>
            </w:tabs>
            <w:rPr>
              <w:szCs w:val="21"/>
            </w:rPr>
          </w:pPr>
          <w:r>
            <w:rPr>
              <w:rFonts w:hint="eastAsia"/>
              <w:szCs w:val="21"/>
            </w:rPr>
            <w:t>其他非流动资产</w:t>
          </w:r>
        </w:p>
        <w:sdt>
          <w:sdtPr>
            <w:alias w:val="是否适用：其他非流动资产[双击切换]"/>
            <w:tag w:val="_GBC_a847828a70d64218a7f8a07dc593d18b"/>
            <w:id w:val="-1847010681"/>
            <w:lock w:val="sdtLocked"/>
            <w:placeholder>
              <w:docPart w:val="GBC22222222222222222222222222222"/>
            </w:placeholder>
          </w:sdtPr>
          <w:sdtContent>
            <w:p w:rsidR="00806678" w:rsidRDefault="00F80B6C">
              <w:r>
                <w:fldChar w:fldCharType="begin"/>
              </w:r>
              <w:r w:rsidR="000E186D">
                <w:instrText xml:space="preserve">MACROBUTTON  SnrToggleCheckbox √适用 </w:instrText>
              </w:r>
              <w:r>
                <w:fldChar w:fldCharType="end"/>
              </w:r>
              <w:r>
                <w:fldChar w:fldCharType="begin"/>
              </w:r>
              <w:r w:rsidR="000E186D">
                <w:instrText xml:space="preserve"> MACROBUTTON  SnrToggleCheckbox □不适用 </w:instrText>
              </w:r>
              <w:r>
                <w:fldChar w:fldCharType="end"/>
              </w:r>
            </w:p>
          </w:sdtContent>
        </w:sdt>
        <w:p w:rsidR="00806678" w:rsidRDefault="00B16377">
          <w:pPr>
            <w:jc w:val="right"/>
          </w:pPr>
          <w:r>
            <w:rPr>
              <w:rFonts w:hint="eastAsia"/>
            </w:rPr>
            <w:t>单位：</w:t>
          </w:r>
          <w:sdt>
            <w:sdtPr>
              <w:alias w:val="单位：财务附注：其他非流动资产"/>
              <w:tag w:val="_GBC_7c7ae7cee25948deb399f93e000e5ba2"/>
              <w:id w:val="70560458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t>元</w:t>
              </w:r>
            </w:sdtContent>
          </w:sdt>
          <w:r>
            <w:rPr>
              <w:rFonts w:hint="eastAsia"/>
            </w:rPr>
            <w:t xml:space="preserve">  币种：</w:t>
          </w:r>
          <w:sdt>
            <w:sdtPr>
              <w:rPr>
                <w:rFonts w:hint="eastAsia"/>
              </w:rPr>
              <w:alias w:val="币种：财务附注：其他非流动资产"/>
              <w:tag w:val="_GBC_b449fdd4941b4ff8a1bda3449b257e1d"/>
              <w:id w:val="182015556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3295"/>
            <w:gridCol w:w="2861"/>
            <w:gridCol w:w="2903"/>
          </w:tblGrid>
          <w:tr w:rsidR="000E186D" w:rsidTr="000E186D">
            <w:sdt>
              <w:sdtPr>
                <w:tag w:val="_PLD_2b90e6e62acc45b288941c3eec3d8d88"/>
                <w:id w:val="1348979012"/>
                <w:lock w:val="sdtLocked"/>
              </w:sdtPr>
              <w:sdtContent>
                <w:tc>
                  <w:tcPr>
                    <w:tcW w:w="1819" w:type="pct"/>
                    <w:shd w:val="clear" w:color="auto" w:fill="auto"/>
                    <w:vAlign w:val="center"/>
                  </w:tcPr>
                  <w:p w:rsidR="000E186D" w:rsidRDefault="000E186D" w:rsidP="00601D47">
                    <w:pPr>
                      <w:jc w:val="center"/>
                    </w:pPr>
                    <w:r>
                      <w:rPr>
                        <w:rFonts w:hint="eastAsia"/>
                      </w:rPr>
                      <w:t>项目</w:t>
                    </w:r>
                  </w:p>
                </w:tc>
              </w:sdtContent>
            </w:sdt>
            <w:sdt>
              <w:sdtPr>
                <w:tag w:val="_PLD_bb07270ad4df4c0f94d4e0af019ab46c"/>
                <w:id w:val="-1511141425"/>
                <w:lock w:val="sdtLocked"/>
              </w:sdtPr>
              <w:sdtContent>
                <w:tc>
                  <w:tcPr>
                    <w:tcW w:w="1579" w:type="pct"/>
                  </w:tcPr>
                  <w:p w:rsidR="000E186D" w:rsidRDefault="000E186D" w:rsidP="00601D47">
                    <w:pPr>
                      <w:jc w:val="center"/>
                    </w:pPr>
                    <w:r>
                      <w:rPr>
                        <w:rFonts w:hint="eastAsia"/>
                      </w:rPr>
                      <w:t>期末余额</w:t>
                    </w:r>
                  </w:p>
                </w:tc>
              </w:sdtContent>
            </w:sdt>
            <w:sdt>
              <w:sdtPr>
                <w:tag w:val="_PLD_7a3b43a9fc7d404ca5a79aa8f44f7452"/>
                <w:id w:val="-1804537335"/>
                <w:lock w:val="sdtLocked"/>
              </w:sdtPr>
              <w:sdtContent>
                <w:tc>
                  <w:tcPr>
                    <w:tcW w:w="1602" w:type="pct"/>
                  </w:tcPr>
                  <w:p w:rsidR="000E186D" w:rsidRDefault="000E186D" w:rsidP="00601D47">
                    <w:pPr>
                      <w:jc w:val="center"/>
                    </w:pPr>
                    <w:r>
                      <w:rPr>
                        <w:rFonts w:hint="eastAsia"/>
                      </w:rPr>
                      <w:t>期初余额</w:t>
                    </w:r>
                  </w:p>
                </w:tc>
              </w:sdtContent>
            </w:sdt>
          </w:tr>
          <w:sdt>
            <w:sdtPr>
              <w:alias w:val="其他长期资产明细"/>
              <w:tag w:val="_TUP_c6dfc1e05023497e910b093bb9e7ab5f"/>
              <w:id w:val="-1481456010"/>
              <w:lock w:val="sdtLocked"/>
            </w:sdtPr>
            <w:sdtEndPr>
              <w:rPr>
                <w:rFonts w:hint="eastAsia"/>
              </w:rPr>
            </w:sdtEndPr>
            <w:sdtContent>
              <w:tr w:rsidR="000E186D" w:rsidTr="000E186D">
                <w:tc>
                  <w:tcPr>
                    <w:tcW w:w="1819" w:type="pct"/>
                    <w:shd w:val="clear" w:color="auto" w:fill="auto"/>
                  </w:tcPr>
                  <w:p w:rsidR="000E186D" w:rsidRDefault="000E186D" w:rsidP="00601D47">
                    <w:r>
                      <w:t>预付土地出让金及土地征用补偿款、拆迁款等</w:t>
                    </w:r>
                  </w:p>
                </w:tc>
                <w:tc>
                  <w:tcPr>
                    <w:tcW w:w="1579" w:type="pct"/>
                    <w:shd w:val="clear" w:color="auto" w:fill="auto"/>
                  </w:tcPr>
                  <w:p w:rsidR="000E186D" w:rsidRDefault="000E186D" w:rsidP="00601D47">
                    <w:pPr>
                      <w:jc w:val="right"/>
                    </w:pPr>
                    <w:r>
                      <w:t>30,000,000</w:t>
                    </w:r>
                  </w:p>
                </w:tc>
                <w:tc>
                  <w:tcPr>
                    <w:tcW w:w="1602" w:type="pct"/>
                    <w:shd w:val="clear" w:color="auto" w:fill="auto"/>
                  </w:tcPr>
                  <w:p w:rsidR="000E186D" w:rsidRDefault="000E186D" w:rsidP="00601D47">
                    <w:pPr>
                      <w:jc w:val="right"/>
                    </w:pPr>
                    <w:r>
                      <w:t>30,000,000</w:t>
                    </w:r>
                  </w:p>
                </w:tc>
              </w:tr>
            </w:sdtContent>
          </w:sdt>
          <w:sdt>
            <w:sdtPr>
              <w:alias w:val="其他长期资产明细"/>
              <w:tag w:val="_TUP_c6dfc1e05023497e910b093bb9e7ab5f"/>
              <w:id w:val="272292014"/>
              <w:lock w:val="sdtLocked"/>
            </w:sdtPr>
            <w:sdtEndPr>
              <w:rPr>
                <w:rFonts w:hint="eastAsia"/>
              </w:rPr>
            </w:sdtEndPr>
            <w:sdtContent>
              <w:tr w:rsidR="000E186D" w:rsidTr="000E186D">
                <w:tc>
                  <w:tcPr>
                    <w:tcW w:w="1819" w:type="pct"/>
                    <w:shd w:val="clear" w:color="auto" w:fill="auto"/>
                  </w:tcPr>
                  <w:p w:rsidR="000E186D" w:rsidRDefault="000E186D" w:rsidP="00601D47">
                    <w:r>
                      <w:t>预付工程款</w:t>
                    </w:r>
                  </w:p>
                </w:tc>
                <w:tc>
                  <w:tcPr>
                    <w:tcW w:w="1579" w:type="pct"/>
                    <w:shd w:val="clear" w:color="auto" w:fill="auto"/>
                  </w:tcPr>
                  <w:p w:rsidR="000E186D" w:rsidRDefault="000E186D" w:rsidP="00601D47">
                    <w:pPr>
                      <w:jc w:val="right"/>
                    </w:pPr>
                    <w:r>
                      <w:t>22,354,225</w:t>
                    </w:r>
                  </w:p>
                </w:tc>
                <w:tc>
                  <w:tcPr>
                    <w:tcW w:w="1602" w:type="pct"/>
                    <w:shd w:val="clear" w:color="auto" w:fill="auto"/>
                  </w:tcPr>
                  <w:p w:rsidR="000E186D" w:rsidRDefault="000E186D" w:rsidP="00601D47">
                    <w:pPr>
                      <w:jc w:val="right"/>
                    </w:pPr>
                    <w:r>
                      <w:t>101,966,967</w:t>
                    </w:r>
                  </w:p>
                </w:tc>
              </w:tr>
            </w:sdtContent>
          </w:sdt>
          <w:tr w:rsidR="000E186D" w:rsidTr="000E186D">
            <w:sdt>
              <w:sdtPr>
                <w:tag w:val="_PLD_2bc4ec1082504b7fb1ecb35002cc15d7"/>
                <w:id w:val="-144594797"/>
                <w:lock w:val="sdtLocked"/>
              </w:sdtPr>
              <w:sdtContent>
                <w:tc>
                  <w:tcPr>
                    <w:tcW w:w="1819" w:type="pct"/>
                    <w:shd w:val="clear" w:color="auto" w:fill="auto"/>
                    <w:vAlign w:val="center"/>
                  </w:tcPr>
                  <w:p w:rsidR="000E186D" w:rsidRDefault="000E186D" w:rsidP="000E186D">
                    <w:pPr>
                      <w:jc w:val="center"/>
                    </w:pPr>
                    <w:r>
                      <w:rPr>
                        <w:rFonts w:hint="eastAsia"/>
                      </w:rPr>
                      <w:t>合计</w:t>
                    </w:r>
                  </w:p>
                </w:tc>
              </w:sdtContent>
            </w:sdt>
            <w:tc>
              <w:tcPr>
                <w:tcW w:w="1579" w:type="pct"/>
                <w:shd w:val="clear" w:color="auto" w:fill="auto"/>
                <w:vAlign w:val="center"/>
              </w:tcPr>
              <w:p w:rsidR="000E186D" w:rsidRDefault="000E186D" w:rsidP="000E186D">
                <w:pPr>
                  <w:jc w:val="right"/>
                </w:pPr>
                <w:r>
                  <w:t>52,354,225</w:t>
                </w:r>
              </w:p>
            </w:tc>
            <w:tc>
              <w:tcPr>
                <w:tcW w:w="1602" w:type="pct"/>
                <w:shd w:val="clear" w:color="auto" w:fill="auto"/>
                <w:vAlign w:val="center"/>
              </w:tcPr>
              <w:p w:rsidR="000E186D" w:rsidRDefault="000E186D" w:rsidP="000E186D">
                <w:pPr>
                  <w:jc w:val="right"/>
                </w:pPr>
                <w:r>
                  <w:t>131,966,967</w:t>
                </w:r>
              </w:p>
            </w:tc>
          </w:tr>
        </w:tbl>
        <w:p w:rsidR="00425440" w:rsidRDefault="00425440">
          <w:pPr>
            <w:rPr>
              <w:szCs w:val="21"/>
            </w:rPr>
          </w:pPr>
        </w:p>
        <w:p w:rsidR="00806678" w:rsidRDefault="00B16377">
          <w:pPr>
            <w:rPr>
              <w:szCs w:val="21"/>
            </w:rPr>
          </w:pPr>
          <w:r>
            <w:rPr>
              <w:rFonts w:hint="eastAsia"/>
              <w:szCs w:val="21"/>
            </w:rPr>
            <w:t>其他说明：</w:t>
          </w:r>
        </w:p>
        <w:p w:rsidR="00806678" w:rsidRDefault="00F80B6C">
          <w:pPr>
            <w:rPr>
              <w:szCs w:val="21"/>
            </w:rPr>
          </w:pPr>
          <w:sdt>
            <w:sdtPr>
              <w:rPr>
                <w:szCs w:val="21"/>
              </w:rPr>
              <w:alias w:val="其他长期资产的说明"/>
              <w:tag w:val="_GBC_d2d37b97b8df4ba1b7bcbf3e8c04d024"/>
              <w:id w:val="-426883258"/>
              <w:lock w:val="sdtLocked"/>
              <w:placeholder>
                <w:docPart w:val="GBC22222222222222222222222222222"/>
              </w:placeholder>
            </w:sdtPr>
            <w:sdtContent>
              <w:r w:rsidR="000E186D">
                <w:rPr>
                  <w:rFonts w:hint="eastAsia"/>
                  <w:szCs w:val="21"/>
                </w:rPr>
                <w:t>无</w:t>
              </w:r>
            </w:sdtContent>
          </w:sdt>
          <w:bookmarkEnd w:id="211"/>
        </w:p>
        <w:p w:rsidR="00806678" w:rsidRDefault="00F80B6C">
          <w:pPr>
            <w:rPr>
              <w:szCs w:val="21"/>
            </w:rPr>
          </w:pPr>
        </w:p>
      </w:sdtContent>
    </w:sdt>
    <w:bookmarkEnd w:id="210" w:displacedByCustomXml="prev"/>
    <w:bookmarkStart w:id="212" w:name="_Hlk534978811" w:displacedByCustomXml="prev"/>
    <w:bookmarkEnd w:id="212"/>
    <w:p w:rsidR="00806678" w:rsidRDefault="00B16377" w:rsidP="00FF17C7">
      <w:pPr>
        <w:pStyle w:val="3"/>
        <w:numPr>
          <w:ilvl w:val="0"/>
          <w:numId w:val="18"/>
        </w:numPr>
        <w:tabs>
          <w:tab w:val="left" w:pos="504"/>
        </w:tabs>
        <w:rPr>
          <w:rFonts w:ascii="宋体" w:hAnsi="宋体"/>
          <w:szCs w:val="21"/>
        </w:rPr>
      </w:pPr>
      <w:r>
        <w:rPr>
          <w:rFonts w:ascii="宋体" w:hAnsi="宋体" w:hint="eastAsia"/>
          <w:szCs w:val="21"/>
        </w:rPr>
        <w:t>短期借款</w:t>
      </w:r>
    </w:p>
    <w:sdt>
      <w:sdtPr>
        <w:rPr>
          <w:rFonts w:ascii="宋体" w:eastAsia="宋体" w:hAnsi="宋体" w:cs="宋体" w:hint="eastAsia"/>
          <w:b w:val="0"/>
          <w:bCs w:val="0"/>
          <w:kern w:val="0"/>
          <w:szCs w:val="24"/>
        </w:rPr>
        <w:alias w:val="模块:短期借款分类"/>
        <w:tag w:val="_SEC_5e661212a7bc42d1ac34de3b0e67574d"/>
        <w:id w:val="588503720"/>
        <w:lock w:val="sdtLocked"/>
        <w:placeholder>
          <w:docPart w:val="GBC22222222222222222222222222222"/>
        </w:placeholder>
      </w:sdtPr>
      <w:sdtEndPr>
        <w:rPr>
          <w:rFonts w:cstheme="minorBidi" w:hint="default"/>
          <w:color w:val="000000" w:themeColor="text1"/>
          <w:kern w:val="2"/>
          <w:szCs w:val="21"/>
        </w:rPr>
      </w:sdtEndPr>
      <w:sdtContent>
        <w:p w:rsidR="00806678" w:rsidRDefault="00B16377" w:rsidP="00FF17C7">
          <w:pPr>
            <w:pStyle w:val="4"/>
            <w:numPr>
              <w:ilvl w:val="0"/>
              <w:numId w:val="91"/>
            </w:numPr>
            <w:ind w:left="426" w:hanging="426"/>
          </w:pPr>
          <w:r>
            <w:rPr>
              <w:rFonts w:hint="eastAsia"/>
            </w:rPr>
            <w:t>短期借款分类</w:t>
          </w:r>
        </w:p>
        <w:sdt>
          <w:sdtPr>
            <w:alias w:val="是否适用：短期借款分类[双击切换]"/>
            <w:tag w:val="_GBC_d7624f1054024527b72d59c4122e81cb"/>
            <w:id w:val="1679312831"/>
            <w:lock w:val="sdtLocked"/>
            <w:placeholder>
              <w:docPart w:val="GBC22222222222222222222222222222"/>
            </w:placeholder>
          </w:sdtPr>
          <w:sdtContent>
            <w:p w:rsidR="00806678" w:rsidRDefault="00F80B6C">
              <w:r>
                <w:fldChar w:fldCharType="begin"/>
              </w:r>
              <w:r w:rsidR="00C63185">
                <w:instrText xml:space="preserve">MACROBUTTON  SnrToggleCheckbox √适用 </w:instrText>
              </w:r>
              <w:r>
                <w:fldChar w:fldCharType="end"/>
              </w:r>
              <w:r>
                <w:fldChar w:fldCharType="begin"/>
              </w:r>
              <w:r w:rsidR="00C63185">
                <w:instrText xml:space="preserve"> MACROBUTTON  SnrToggleCheckbox □不适用 </w:instrText>
              </w:r>
              <w:r>
                <w:fldChar w:fldCharType="end"/>
              </w:r>
            </w:p>
          </w:sdtContent>
        </w:sdt>
        <w:p w:rsidR="00806678" w:rsidRDefault="00B16377">
          <w:pPr>
            <w:jc w:val="right"/>
            <w:rPr>
              <w:szCs w:val="21"/>
            </w:rPr>
          </w:pPr>
          <w:r>
            <w:rPr>
              <w:rFonts w:hint="eastAsia"/>
              <w:szCs w:val="21"/>
            </w:rPr>
            <w:t>单位：</w:t>
          </w:r>
          <w:sdt>
            <w:sdtPr>
              <w:rPr>
                <w:rFonts w:hint="eastAsia"/>
                <w:szCs w:val="21"/>
              </w:rPr>
              <w:alias w:val="单位：财务附注：短期借款分类"/>
              <w:tag w:val="_GBC_8d30fbb8785645499f9234dccd6e5b81"/>
              <w:id w:val="-166461203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短期借款分类"/>
              <w:tag w:val="_GBC_f7294c19819e4515b1d98b3d42f8d07c"/>
              <w:id w:val="200539383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871"/>
            <w:gridCol w:w="3002"/>
            <w:gridCol w:w="3020"/>
          </w:tblGrid>
          <w:tr w:rsidR="00806678" w:rsidTr="00C63185">
            <w:trPr>
              <w:cantSplit/>
            </w:trPr>
            <w:sdt>
              <w:sdtPr>
                <w:tag w:val="_PLD_7d518e78e06f4dc9b46aae7b6b47fd01"/>
                <w:id w:val="817997100"/>
                <w:lock w:val="sdtLocked"/>
              </w:sdtPr>
              <w:sdtContent>
                <w:tc>
                  <w:tcPr>
                    <w:tcW w:w="1614" w:type="pct"/>
                    <w:vAlign w:val="center"/>
                  </w:tcPr>
                  <w:p w:rsidR="00806678" w:rsidRDefault="00B16377">
                    <w:pPr>
                      <w:autoSpaceDE w:val="0"/>
                      <w:autoSpaceDN w:val="0"/>
                      <w:adjustRightInd w:val="0"/>
                      <w:snapToGrid w:val="0"/>
                      <w:spacing w:line="240" w:lineRule="atLeast"/>
                      <w:jc w:val="center"/>
                      <w:rPr>
                        <w:color w:val="000000" w:themeColor="text1"/>
                        <w:szCs w:val="21"/>
                      </w:rPr>
                    </w:pPr>
                    <w:r>
                      <w:rPr>
                        <w:rFonts w:hint="eastAsia"/>
                        <w:color w:val="000000" w:themeColor="text1"/>
                        <w:szCs w:val="21"/>
                      </w:rPr>
                      <w:t>项目</w:t>
                    </w:r>
                  </w:p>
                </w:tc>
              </w:sdtContent>
            </w:sdt>
            <w:sdt>
              <w:sdtPr>
                <w:tag w:val="_PLD_cda187315847461e8ed854d1807d3b14"/>
                <w:id w:val="-601963503"/>
                <w:lock w:val="sdtLocked"/>
              </w:sdtPr>
              <w:sdtContent>
                <w:tc>
                  <w:tcPr>
                    <w:tcW w:w="1688" w:type="pct"/>
                    <w:vAlign w:val="center"/>
                  </w:tcPr>
                  <w:p w:rsidR="00806678" w:rsidRDefault="00B16377">
                    <w:pPr>
                      <w:jc w:val="center"/>
                      <w:rPr>
                        <w:color w:val="000000" w:themeColor="text1"/>
                        <w:szCs w:val="21"/>
                      </w:rPr>
                    </w:pPr>
                    <w:r>
                      <w:rPr>
                        <w:rFonts w:hint="eastAsia"/>
                        <w:color w:val="000000" w:themeColor="text1"/>
                        <w:szCs w:val="21"/>
                      </w:rPr>
                      <w:t>期末余额</w:t>
                    </w:r>
                  </w:p>
                </w:tc>
              </w:sdtContent>
            </w:sdt>
            <w:sdt>
              <w:sdtPr>
                <w:tag w:val="_PLD_805e4b849be14c0ab0ca7f324971119b"/>
                <w:id w:val="834888656"/>
                <w:lock w:val="sdtLocked"/>
              </w:sdtPr>
              <w:sdtContent>
                <w:tc>
                  <w:tcPr>
                    <w:tcW w:w="1698" w:type="pct"/>
                    <w:vAlign w:val="center"/>
                  </w:tcPr>
                  <w:p w:rsidR="00806678" w:rsidRDefault="00B16377">
                    <w:pPr>
                      <w:jc w:val="center"/>
                      <w:rPr>
                        <w:color w:val="000000" w:themeColor="text1"/>
                        <w:szCs w:val="21"/>
                      </w:rPr>
                    </w:pPr>
                    <w:r>
                      <w:rPr>
                        <w:rFonts w:hint="eastAsia"/>
                        <w:color w:val="000000" w:themeColor="text1"/>
                        <w:szCs w:val="21"/>
                      </w:rPr>
                      <w:t>期初余额</w:t>
                    </w:r>
                  </w:p>
                </w:tc>
              </w:sdtContent>
            </w:sdt>
          </w:tr>
          <w:tr w:rsidR="00C63185" w:rsidTr="00C63185">
            <w:trPr>
              <w:cantSplit/>
              <w:trHeight w:val="237"/>
            </w:trPr>
            <w:tc>
              <w:tcPr>
                <w:tcW w:w="1614" w:type="pct"/>
                <w:shd w:val="clear" w:color="auto" w:fill="auto"/>
              </w:tcPr>
              <w:p w:rsidR="00C63185" w:rsidRDefault="00C63185" w:rsidP="00C63185">
                <w:pPr>
                  <w:autoSpaceDE w:val="0"/>
                  <w:autoSpaceDN w:val="0"/>
                  <w:adjustRightInd w:val="0"/>
                  <w:snapToGrid w:val="0"/>
                  <w:spacing w:line="240" w:lineRule="atLeast"/>
                  <w:jc w:val="both"/>
                  <w:rPr>
                    <w:color w:val="000000" w:themeColor="text1"/>
                    <w:szCs w:val="21"/>
                  </w:rPr>
                </w:pPr>
                <w:r>
                  <w:rPr>
                    <w:rFonts w:hint="eastAsia"/>
                    <w:color w:val="000000" w:themeColor="text1"/>
                    <w:szCs w:val="21"/>
                  </w:rPr>
                  <w:t>信用借款</w:t>
                </w:r>
              </w:p>
            </w:tc>
            <w:tc>
              <w:tcPr>
                <w:tcW w:w="1688" w:type="pct"/>
                <w:shd w:val="clear" w:color="auto" w:fill="auto"/>
                <w:vAlign w:val="center"/>
              </w:tcPr>
              <w:p w:rsidR="00C63185" w:rsidRDefault="00C63185" w:rsidP="00C63185">
                <w:pPr>
                  <w:autoSpaceDE w:val="0"/>
                  <w:autoSpaceDN w:val="0"/>
                  <w:adjustRightInd w:val="0"/>
                  <w:snapToGrid w:val="0"/>
                  <w:spacing w:line="240" w:lineRule="atLeast"/>
                  <w:ind w:right="180"/>
                  <w:jc w:val="right"/>
                  <w:rPr>
                    <w:szCs w:val="21"/>
                  </w:rPr>
                </w:pPr>
                <w:r>
                  <w:t>223,517,167</w:t>
                </w:r>
              </w:p>
            </w:tc>
            <w:tc>
              <w:tcPr>
                <w:tcW w:w="1698" w:type="pct"/>
                <w:shd w:val="clear" w:color="auto" w:fill="auto"/>
                <w:vAlign w:val="center"/>
              </w:tcPr>
              <w:p w:rsidR="00C63185" w:rsidRDefault="00C63185" w:rsidP="00C63185">
                <w:pPr>
                  <w:autoSpaceDE w:val="0"/>
                  <w:autoSpaceDN w:val="0"/>
                  <w:adjustRightInd w:val="0"/>
                  <w:snapToGrid w:val="0"/>
                  <w:spacing w:line="240" w:lineRule="atLeast"/>
                  <w:ind w:right="180"/>
                  <w:jc w:val="right"/>
                  <w:rPr>
                    <w:szCs w:val="21"/>
                  </w:rPr>
                </w:pPr>
                <w:r>
                  <w:t>922,017,625</w:t>
                </w:r>
              </w:p>
            </w:tc>
          </w:tr>
          <w:tr w:rsidR="00C63185" w:rsidTr="00601D47">
            <w:trPr>
              <w:cantSplit/>
            </w:trPr>
            <w:tc>
              <w:tcPr>
                <w:tcW w:w="1614" w:type="pct"/>
                <w:vAlign w:val="center"/>
              </w:tcPr>
              <w:p w:rsidR="00C63185" w:rsidRDefault="00C63185" w:rsidP="00C63185">
                <w:pPr>
                  <w:autoSpaceDE w:val="0"/>
                  <w:autoSpaceDN w:val="0"/>
                  <w:adjustRightInd w:val="0"/>
                  <w:snapToGrid w:val="0"/>
                  <w:spacing w:line="240" w:lineRule="atLeast"/>
                  <w:jc w:val="center"/>
                  <w:rPr>
                    <w:color w:val="000000" w:themeColor="text1"/>
                    <w:szCs w:val="21"/>
                  </w:rPr>
                </w:pPr>
                <w:r>
                  <w:rPr>
                    <w:rFonts w:hint="eastAsia"/>
                    <w:color w:val="000000" w:themeColor="text1"/>
                    <w:szCs w:val="21"/>
                  </w:rPr>
                  <w:t>合计</w:t>
                </w:r>
              </w:p>
            </w:tc>
            <w:tc>
              <w:tcPr>
                <w:tcW w:w="1688" w:type="pct"/>
                <w:vAlign w:val="center"/>
              </w:tcPr>
              <w:p w:rsidR="00C63185" w:rsidRDefault="00C63185" w:rsidP="00C63185">
                <w:pPr>
                  <w:autoSpaceDE w:val="0"/>
                  <w:autoSpaceDN w:val="0"/>
                  <w:adjustRightInd w:val="0"/>
                  <w:snapToGrid w:val="0"/>
                  <w:spacing w:line="240" w:lineRule="atLeast"/>
                  <w:ind w:right="180"/>
                  <w:jc w:val="right"/>
                  <w:rPr>
                    <w:szCs w:val="21"/>
                  </w:rPr>
                </w:pPr>
                <w:r>
                  <w:t>223,517,167</w:t>
                </w:r>
              </w:p>
            </w:tc>
            <w:tc>
              <w:tcPr>
                <w:tcW w:w="1698" w:type="pct"/>
                <w:vAlign w:val="center"/>
              </w:tcPr>
              <w:p w:rsidR="00C63185" w:rsidRDefault="00C63185" w:rsidP="00C63185">
                <w:pPr>
                  <w:autoSpaceDE w:val="0"/>
                  <w:autoSpaceDN w:val="0"/>
                  <w:adjustRightInd w:val="0"/>
                  <w:snapToGrid w:val="0"/>
                  <w:spacing w:line="240" w:lineRule="atLeast"/>
                  <w:ind w:right="180"/>
                  <w:jc w:val="right"/>
                  <w:rPr>
                    <w:szCs w:val="21"/>
                  </w:rPr>
                </w:pPr>
                <w:r>
                  <w:t>922,017,625</w:t>
                </w:r>
              </w:p>
            </w:tc>
          </w:tr>
        </w:tbl>
        <w:p w:rsidR="00732AC2" w:rsidRDefault="00732AC2">
          <w:pPr>
            <w:snapToGrid w:val="0"/>
            <w:spacing w:line="240" w:lineRule="atLeast"/>
            <w:rPr>
              <w:color w:val="000000" w:themeColor="text1"/>
              <w:szCs w:val="21"/>
            </w:rPr>
          </w:pPr>
        </w:p>
        <w:p w:rsidR="00806678" w:rsidRDefault="00B16377">
          <w:pPr>
            <w:snapToGrid w:val="0"/>
            <w:spacing w:line="240" w:lineRule="atLeast"/>
            <w:rPr>
              <w:color w:val="000000" w:themeColor="text1"/>
              <w:szCs w:val="21"/>
            </w:rPr>
          </w:pPr>
          <w:r>
            <w:rPr>
              <w:rFonts w:hint="eastAsia"/>
              <w:color w:val="000000" w:themeColor="text1"/>
              <w:szCs w:val="21"/>
            </w:rPr>
            <w:t>短期借款分类的说明：</w:t>
          </w:r>
        </w:p>
        <w:sdt>
          <w:sdtPr>
            <w:rPr>
              <w:szCs w:val="21"/>
            </w:rPr>
            <w:alias w:val="短期借款分类的说明"/>
            <w:tag w:val="_GBC_39c88fc069c44763b7ed661bff072142"/>
            <w:id w:val="-1602494335"/>
            <w:lock w:val="sdtLocked"/>
            <w:placeholder>
              <w:docPart w:val="GBC22222222222222222222222222222"/>
            </w:placeholder>
          </w:sdtPr>
          <w:sdtContent>
            <w:p w:rsidR="00732AC2" w:rsidRDefault="00732AC2">
              <w:pPr>
                <w:snapToGrid w:val="0"/>
                <w:spacing w:line="240" w:lineRule="atLeast"/>
                <w:rPr>
                  <w:szCs w:val="21"/>
                </w:rPr>
              </w:pPr>
            </w:p>
            <w:p w:rsidR="00806678" w:rsidRDefault="00C63185">
              <w:pPr>
                <w:snapToGrid w:val="0"/>
                <w:spacing w:line="240" w:lineRule="atLeast"/>
                <w:rPr>
                  <w:szCs w:val="21"/>
                </w:rPr>
              </w:pPr>
              <w:r>
                <w:rPr>
                  <w:rFonts w:hint="eastAsia"/>
                  <w:szCs w:val="21"/>
                </w:rPr>
                <w:t>无</w:t>
              </w:r>
            </w:p>
          </w:sdtContent>
        </w:sdt>
        <w:p w:rsidR="00806678" w:rsidRDefault="00F80B6C">
          <w:pPr>
            <w:snapToGrid w:val="0"/>
            <w:spacing w:line="240" w:lineRule="atLeast"/>
            <w:rPr>
              <w:color w:val="000000" w:themeColor="text1"/>
              <w:szCs w:val="21"/>
            </w:rPr>
          </w:pPr>
        </w:p>
      </w:sdtContent>
    </w:sdt>
    <w:sdt>
      <w:sdtPr>
        <w:rPr>
          <w:rFonts w:ascii="宋体" w:eastAsia="宋体" w:hAnsi="宋体" w:cs="宋体" w:hint="eastAsia"/>
          <w:b w:val="0"/>
          <w:bCs w:val="0"/>
          <w:kern w:val="0"/>
          <w:szCs w:val="24"/>
        </w:rPr>
        <w:alias w:val="模块:已到期未偿还的短期借款情况"/>
        <w:tag w:val="_SEC_b35d2ea88a124242b0bd88394a858993"/>
        <w:id w:val="1575932530"/>
        <w:lock w:val="sdtLocked"/>
        <w:placeholder>
          <w:docPart w:val="GBC22222222222222222222222222222"/>
        </w:placeholder>
      </w:sdtPr>
      <w:sdtEndPr>
        <w:rPr>
          <w:rFonts w:cstheme="minorBidi" w:hint="default"/>
          <w:color w:val="000000" w:themeColor="text1"/>
          <w:kern w:val="2"/>
          <w:szCs w:val="21"/>
        </w:rPr>
      </w:sdtEndPr>
      <w:sdtContent>
        <w:p w:rsidR="00806678" w:rsidRDefault="00B16377" w:rsidP="00FF17C7">
          <w:pPr>
            <w:pStyle w:val="4"/>
            <w:numPr>
              <w:ilvl w:val="0"/>
              <w:numId w:val="91"/>
            </w:numPr>
            <w:ind w:left="426" w:hanging="426"/>
          </w:pPr>
          <w:r>
            <w:rPr>
              <w:rFonts w:hint="eastAsia"/>
            </w:rPr>
            <w:t>已逾期未偿还的短期借款情况</w:t>
          </w:r>
        </w:p>
        <w:sdt>
          <w:sdtPr>
            <w:alias w:val="是否适用：已逾期未偿还的短期借款情况[双击切换]"/>
            <w:tag w:val="_GBC_b92057263cbf4b81a96df7b9d664c576"/>
            <w:id w:val="-1713265243"/>
            <w:lock w:val="sdtLocked"/>
            <w:placeholder>
              <w:docPart w:val="GBC22222222222222222222222222222"/>
            </w:placeholder>
          </w:sdtPr>
          <w:sdtContent>
            <w:p w:rsidR="00806678" w:rsidRDefault="00F80B6C">
              <w:r>
                <w:fldChar w:fldCharType="begin"/>
              </w:r>
              <w:r w:rsidR="00C63185">
                <w:instrText xml:space="preserve">MACROBUTTON  SnrToggleCheckbox □适用 </w:instrText>
              </w:r>
              <w:r>
                <w:fldChar w:fldCharType="end"/>
              </w:r>
              <w:r>
                <w:fldChar w:fldCharType="begin"/>
              </w:r>
              <w:r w:rsidR="00C63185">
                <w:instrText xml:space="preserve"> MACROBUTTON  SnrToggleCheckbox √不适用 </w:instrText>
              </w:r>
              <w:r>
                <w:fldChar w:fldCharType="end"/>
              </w:r>
            </w:p>
          </w:sdtContent>
        </w:sdt>
        <w:p w:rsidR="00806678" w:rsidRDefault="00B16377">
          <w:r>
            <w:t>其中重要的已逾期未偿还的短期借款情况如下：</w:t>
          </w:r>
        </w:p>
        <w:sdt>
          <w:sdtPr>
            <w:alias w:val="是否适用：其中重要的已逾期未偿还的短期借款情况[双击切换]"/>
            <w:tag w:val="_GBC_7c9437a678604c0382802a3e97f4d126"/>
            <w:id w:val="-606894604"/>
            <w:lock w:val="sdtLocked"/>
            <w:placeholder>
              <w:docPart w:val="GBC22222222222222222222222222222"/>
            </w:placeholder>
          </w:sdtPr>
          <w:sdtContent>
            <w:p w:rsidR="00806678" w:rsidRDefault="00F80B6C" w:rsidP="00C63185">
              <w:pPr>
                <w:rPr>
                  <w:szCs w:val="21"/>
                </w:rPr>
              </w:pPr>
              <w:r>
                <w:fldChar w:fldCharType="begin"/>
              </w:r>
              <w:r w:rsidR="00C63185">
                <w:instrText xml:space="preserve">MACROBUTTON  SnrToggleCheckbox □适用 </w:instrText>
              </w:r>
              <w:r>
                <w:fldChar w:fldCharType="end"/>
              </w:r>
              <w:r>
                <w:fldChar w:fldCharType="begin"/>
              </w:r>
              <w:r w:rsidR="00C63185">
                <w:instrText xml:space="preserve"> MACROBUTTON  SnrToggleCheckbox √不适用 </w:instrText>
              </w:r>
              <w:r>
                <w:fldChar w:fldCharType="end"/>
              </w:r>
            </w:p>
          </w:sdtContent>
        </w:sdt>
      </w:sdtContent>
    </w:sdt>
    <w:sdt>
      <w:sdtPr>
        <w:rPr>
          <w:rFonts w:hint="eastAsia"/>
          <w:szCs w:val="21"/>
        </w:rPr>
        <w:alias w:val="模块:短期借款的说明"/>
        <w:tag w:val="_SEC_7331bb834b364e3baab9f33a89c455ca"/>
        <w:id w:val="311065813"/>
        <w:lock w:val="sdtLocked"/>
        <w:placeholder>
          <w:docPart w:val="GBC22222222222222222222222222222"/>
        </w:placeholder>
      </w:sdtPr>
      <w:sdtContent>
        <w:p w:rsidR="00806678" w:rsidRDefault="00B16377">
          <w:pPr>
            <w:rPr>
              <w:szCs w:val="21"/>
            </w:rPr>
          </w:pPr>
          <w:r>
            <w:rPr>
              <w:rFonts w:hint="eastAsia"/>
              <w:szCs w:val="21"/>
            </w:rPr>
            <w:t>其他说明</w:t>
          </w:r>
        </w:p>
        <w:sdt>
          <w:sdtPr>
            <w:rPr>
              <w:szCs w:val="21"/>
            </w:rPr>
            <w:alias w:val="是否适用：短期借款的说明[双击切换]"/>
            <w:tag w:val="_GBC_c52256f82238457bbb4708bc99652730"/>
            <w:id w:val="405039450"/>
            <w:lock w:val="sdtLocked"/>
            <w:placeholder>
              <w:docPart w:val="GBC22222222222222222222222222222"/>
            </w:placeholder>
          </w:sdtPr>
          <w:sdtContent>
            <w:p w:rsidR="00806678" w:rsidRDefault="00F80B6C" w:rsidP="00C63185">
              <w:pPr>
                <w:rPr>
                  <w:szCs w:val="21"/>
                </w:rPr>
              </w:pPr>
              <w:r>
                <w:rPr>
                  <w:szCs w:val="21"/>
                </w:rPr>
                <w:fldChar w:fldCharType="begin"/>
              </w:r>
              <w:r w:rsidR="00C63185">
                <w:rPr>
                  <w:szCs w:val="21"/>
                </w:rPr>
                <w:instrText xml:space="preserve">MACROBUTTON  SnrToggleCheckbox □适用 </w:instrText>
              </w:r>
              <w:r>
                <w:rPr>
                  <w:szCs w:val="21"/>
                </w:rPr>
                <w:fldChar w:fldCharType="end"/>
              </w:r>
              <w:r>
                <w:rPr>
                  <w:szCs w:val="21"/>
                </w:rPr>
                <w:fldChar w:fldCharType="begin"/>
              </w:r>
              <w:r w:rsidR="00C63185">
                <w:rPr>
                  <w:szCs w:val="21"/>
                </w:rPr>
                <w:instrText xml:space="preserve"> MACROBUTTON  SnrToggleCheckbox √不适用 </w:instrText>
              </w:r>
              <w:r>
                <w:rPr>
                  <w:szCs w:val="21"/>
                </w:rPr>
                <w:fldChar w:fldCharType="end"/>
              </w:r>
            </w:p>
          </w:sdtContent>
        </w:sdt>
        <w:p w:rsidR="00806678" w:rsidRDefault="00F80B6C">
          <w:pPr>
            <w:rPr>
              <w:szCs w:val="21"/>
            </w:rPr>
          </w:pPr>
        </w:p>
      </w:sdtContent>
    </w:sdt>
    <w:bookmarkStart w:id="213" w:name="_Hlk533670147" w:displacedByCustomXml="next"/>
    <w:bookmarkStart w:id="214" w:name="_Hlk533422954" w:displacedByCustomXml="next"/>
    <w:sdt>
      <w:sdtPr>
        <w:rPr>
          <w:rFonts w:ascii="宋体" w:hAnsi="宋体" w:cs="宋体" w:hint="eastAsia"/>
          <w:b w:val="0"/>
          <w:bCs w:val="0"/>
          <w:kern w:val="0"/>
          <w:szCs w:val="21"/>
        </w:rPr>
        <w:alias w:val="模块:交易性金融负债"/>
        <w:tag w:val="_SEC_76cb151d14e6437cbef4c8c5df1588bd"/>
        <w:id w:val="-1447312314"/>
        <w:lock w:val="sdtLocked"/>
        <w:placeholder>
          <w:docPart w:val="GBC22222222222222222222222222222"/>
        </w:placeholder>
      </w:sdtPr>
      <w:sdtEndPr>
        <w:rPr>
          <w:rFonts w:hint="default"/>
        </w:rPr>
      </w:sdtEndPr>
      <w:sdtContent>
        <w:p w:rsidR="00806678" w:rsidRDefault="00B16377" w:rsidP="00FF17C7">
          <w:pPr>
            <w:pStyle w:val="3"/>
            <w:numPr>
              <w:ilvl w:val="0"/>
              <w:numId w:val="18"/>
            </w:numPr>
            <w:tabs>
              <w:tab w:val="left" w:pos="504"/>
            </w:tabs>
            <w:rPr>
              <w:szCs w:val="21"/>
            </w:rPr>
          </w:pPr>
          <w:r>
            <w:rPr>
              <w:rFonts w:hint="eastAsia"/>
              <w:szCs w:val="21"/>
            </w:rPr>
            <w:t>交易性金融负债</w:t>
          </w:r>
        </w:p>
        <w:sdt>
          <w:sdtPr>
            <w:rPr>
              <w:szCs w:val="21"/>
            </w:rPr>
            <w:alias w:val="是否适用：交易性金融负债[双击切换]"/>
            <w:tag w:val="_GBC_c7e98597070f45a4a30160e35e818445"/>
            <w:id w:val="756332136"/>
            <w:lock w:val="sdtLocked"/>
            <w:placeholder>
              <w:docPart w:val="GBC22222222222222222222222222222"/>
            </w:placeholder>
          </w:sdtPr>
          <w:sdtContent>
            <w:p w:rsidR="00C63185" w:rsidRDefault="00F80B6C" w:rsidP="00C63185">
              <w:pPr>
                <w:rPr>
                  <w:szCs w:val="21"/>
                </w:rPr>
              </w:pPr>
              <w:r>
                <w:rPr>
                  <w:szCs w:val="21"/>
                </w:rPr>
                <w:fldChar w:fldCharType="begin"/>
              </w:r>
              <w:r w:rsidR="00C63185">
                <w:rPr>
                  <w:szCs w:val="21"/>
                </w:rPr>
                <w:instrText xml:space="preserve"> MACROBUTTON  SnrToggleCheckbox □适用 </w:instrText>
              </w:r>
              <w:r>
                <w:rPr>
                  <w:szCs w:val="21"/>
                </w:rPr>
                <w:fldChar w:fldCharType="end"/>
              </w:r>
              <w:r>
                <w:rPr>
                  <w:szCs w:val="21"/>
                </w:rPr>
                <w:fldChar w:fldCharType="begin"/>
              </w:r>
              <w:r w:rsidR="00C63185">
                <w:rPr>
                  <w:szCs w:val="21"/>
                </w:rPr>
                <w:instrText xml:space="preserve"> MACROBUTTON  SnrToggleCheckbox √不适用 </w:instrText>
              </w:r>
              <w:r>
                <w:rPr>
                  <w:szCs w:val="21"/>
                </w:rPr>
                <w:fldChar w:fldCharType="end"/>
              </w:r>
            </w:p>
          </w:sdtContent>
        </w:sdt>
        <w:p w:rsidR="00806678" w:rsidRDefault="00F80B6C">
          <w:pPr>
            <w:rPr>
              <w:szCs w:val="21"/>
            </w:rPr>
          </w:pPr>
        </w:p>
      </w:sdtContent>
    </w:sdt>
    <w:bookmarkEnd w:id="213" w:displacedByCustomXml="prev"/>
    <w:bookmarkEnd w:id="214" w:displacedByCustomXml="prev"/>
    <w:sdt>
      <w:sdtPr>
        <w:rPr>
          <w:rFonts w:ascii="宋体" w:hAnsi="宋体" w:cs="宋体" w:hint="eastAsia"/>
          <w:b w:val="0"/>
          <w:bCs w:val="0"/>
          <w:kern w:val="0"/>
          <w:szCs w:val="21"/>
        </w:rPr>
        <w:alias w:val="模块:衍生金融负债"/>
        <w:tag w:val="_SEC_55cf02a075b245feae9823bc0e924f07"/>
        <w:id w:val="765659315"/>
        <w:lock w:val="sdtLocked"/>
        <w:placeholder>
          <w:docPart w:val="GBC22222222222222222222222222222"/>
        </w:placeholder>
      </w:sdtPr>
      <w:sdtContent>
        <w:p w:rsidR="00806678" w:rsidRDefault="00B16377" w:rsidP="00FF17C7">
          <w:pPr>
            <w:pStyle w:val="3"/>
            <w:numPr>
              <w:ilvl w:val="0"/>
              <w:numId w:val="18"/>
            </w:numPr>
            <w:tabs>
              <w:tab w:val="left" w:pos="504"/>
            </w:tabs>
            <w:rPr>
              <w:szCs w:val="21"/>
            </w:rPr>
          </w:pPr>
          <w:r>
            <w:rPr>
              <w:rFonts w:hint="eastAsia"/>
              <w:szCs w:val="21"/>
            </w:rPr>
            <w:t>衍生</w:t>
          </w:r>
          <w:r>
            <w:rPr>
              <w:rFonts w:hint="eastAsia"/>
            </w:rPr>
            <w:t>金融</w:t>
          </w:r>
          <w:r>
            <w:rPr>
              <w:rFonts w:hint="eastAsia"/>
              <w:szCs w:val="21"/>
            </w:rPr>
            <w:t>负债</w:t>
          </w:r>
        </w:p>
        <w:p w:rsidR="00C63185" w:rsidRDefault="00F80B6C" w:rsidP="00C63185">
          <w:pPr>
            <w:rPr>
              <w:szCs w:val="21"/>
            </w:rPr>
          </w:pPr>
          <w:sdt>
            <w:sdtPr>
              <w:rPr>
                <w:szCs w:val="21"/>
              </w:rPr>
              <w:alias w:val="是否适用：衍生金融负债[双击切换]"/>
              <w:tag w:val="_GBC_9a70de9cca174edeb1bce62f4a47d15c"/>
              <w:id w:val="1215707541"/>
              <w:lock w:val="sdtLocked"/>
              <w:placeholder>
                <w:docPart w:val="GBC22222222222222222222222222222"/>
              </w:placeholder>
            </w:sdtPr>
            <w:sdtContent>
              <w:r>
                <w:rPr>
                  <w:szCs w:val="21"/>
                </w:rPr>
                <w:fldChar w:fldCharType="begin"/>
              </w:r>
              <w:r w:rsidR="00C63185">
                <w:rPr>
                  <w:szCs w:val="21"/>
                </w:rPr>
                <w:instrText xml:space="preserve">MACROBUTTON  SnrToggleCheckbox □适用 </w:instrText>
              </w:r>
              <w:r>
                <w:rPr>
                  <w:szCs w:val="21"/>
                </w:rPr>
                <w:fldChar w:fldCharType="end"/>
              </w:r>
              <w:r>
                <w:rPr>
                  <w:szCs w:val="21"/>
                </w:rPr>
                <w:fldChar w:fldCharType="begin"/>
              </w:r>
              <w:r w:rsidR="00C63185">
                <w:rPr>
                  <w:szCs w:val="21"/>
                </w:rPr>
                <w:instrText xml:space="preserve"> MACROBUTTON  SnrToggleCheckbox √不适用 </w:instrText>
              </w:r>
              <w:r>
                <w:rPr>
                  <w:szCs w:val="21"/>
                </w:rPr>
                <w:fldChar w:fldCharType="end"/>
              </w:r>
            </w:sdtContent>
          </w:sdt>
        </w:p>
        <w:p w:rsidR="00425440" w:rsidRDefault="00425440">
          <w:pPr>
            <w:rPr>
              <w:szCs w:val="21"/>
            </w:rPr>
            <w:sectPr w:rsidR="00425440" w:rsidSect="00F41343">
              <w:pgSz w:w="11906" w:h="16838"/>
              <w:pgMar w:top="1440" w:right="1797" w:bottom="1525" w:left="1276" w:header="856" w:footer="992" w:gutter="0"/>
              <w:cols w:space="425"/>
              <w:docGrid w:type="lines" w:linePitch="312"/>
            </w:sectPr>
          </w:pPr>
        </w:p>
        <w:p w:rsidR="00806678" w:rsidRDefault="00F80B6C">
          <w:pPr>
            <w:rPr>
              <w:szCs w:val="21"/>
            </w:rPr>
          </w:pPr>
        </w:p>
      </w:sdtContent>
    </w:sdt>
    <w:p w:rsidR="00806678" w:rsidRDefault="00B16377" w:rsidP="00FF17C7">
      <w:pPr>
        <w:pStyle w:val="3"/>
        <w:numPr>
          <w:ilvl w:val="0"/>
          <w:numId w:val="18"/>
        </w:numPr>
        <w:tabs>
          <w:tab w:val="left" w:pos="504"/>
        </w:tabs>
        <w:rPr>
          <w:szCs w:val="21"/>
        </w:rPr>
      </w:pPr>
      <w:r>
        <w:rPr>
          <w:rFonts w:hint="eastAsia"/>
        </w:rPr>
        <w:t>应付票据</w:t>
      </w:r>
    </w:p>
    <w:p w:rsidR="00806678" w:rsidRDefault="00B16377" w:rsidP="00FF17C7">
      <w:pPr>
        <w:pStyle w:val="4"/>
        <w:numPr>
          <w:ilvl w:val="0"/>
          <w:numId w:val="92"/>
        </w:numPr>
        <w:ind w:left="426" w:hanging="426"/>
      </w:pPr>
      <w:r>
        <w:rPr>
          <w:rFonts w:hint="eastAsia"/>
        </w:rPr>
        <w:t>应付票据列示</w:t>
      </w:r>
    </w:p>
    <w:sdt>
      <w:sdtPr>
        <w:alias w:val="是否适用：应付票据[双击切换]"/>
        <w:tag w:val="_GBC_c0116f9cd6f34dcfa483a1f112dac85a"/>
        <w:id w:val="-1574269680"/>
        <w:lock w:val="sdtContentLocked"/>
        <w:placeholder>
          <w:docPart w:val="GBC22222222222222222222222222222"/>
        </w:placeholder>
      </w:sdtPr>
      <w:sdtContent>
        <w:p w:rsidR="00806678" w:rsidRDefault="00F80B6C">
          <w:r>
            <w:fldChar w:fldCharType="begin"/>
          </w:r>
          <w:r w:rsidR="00C63185">
            <w:instrText xml:space="preserve">MACROBUTTON  SnrToggleCheckbox √适用 </w:instrText>
          </w:r>
          <w:r>
            <w:fldChar w:fldCharType="end"/>
          </w:r>
          <w:r>
            <w:fldChar w:fldCharType="begin"/>
          </w:r>
          <w:r w:rsidR="00C63185">
            <w:instrText xml:space="preserve"> MACROBUTTON  SnrToggleCheckbox □不适用 </w:instrText>
          </w:r>
          <w:r>
            <w:fldChar w:fldCharType="end"/>
          </w:r>
        </w:p>
      </w:sdtContent>
    </w:sdt>
    <w:bookmarkStart w:id="215" w:name="_Hlk24103817" w:displacedByCustomXml="next"/>
    <w:sdt>
      <w:sdtPr>
        <w:rPr>
          <w:rFonts w:hint="eastAsia"/>
          <w:b/>
          <w:bCs/>
        </w:rPr>
        <w:alias w:val="模块:应付票据"/>
        <w:tag w:val="_SEC_42d38d00af52480383edb08e04ca3f9e"/>
        <w:id w:val="-1344385649"/>
        <w:lock w:val="sdtLocked"/>
        <w:placeholder>
          <w:docPart w:val="GBC22222222222222222222222222222"/>
        </w:placeholder>
      </w:sdtPr>
      <w:sdtEndPr>
        <w:rPr>
          <w:rFonts w:cstheme="minorBidi" w:hint="default"/>
          <w:b w:val="0"/>
          <w:bCs w:val="0"/>
          <w:szCs w:val="21"/>
        </w:rPr>
      </w:sdtEndPr>
      <w:sdtContent>
        <w:p w:rsidR="00806678" w:rsidRDefault="00B16377">
          <w:pPr>
            <w:jc w:val="right"/>
          </w:pPr>
          <w:r>
            <w:rPr>
              <w:rFonts w:hint="eastAsia"/>
            </w:rPr>
            <w:t>单位：</w:t>
          </w:r>
          <w:sdt>
            <w:sdtPr>
              <w:rPr>
                <w:rFonts w:hint="eastAsia"/>
              </w:rPr>
              <w:alias w:val="单位：财务附注：应付票据"/>
              <w:tag w:val="_GBC_15d55f1cad24473fb8cfaa98468213e2"/>
              <w:id w:val="140001573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应付票据"/>
              <w:tag w:val="_GBC_db171c7622f3432ab2c9c6ae31a7aba7"/>
              <w:id w:val="-124533799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
          <w:tblGrid>
            <w:gridCol w:w="2351"/>
            <w:gridCol w:w="3397"/>
            <w:gridCol w:w="3301"/>
          </w:tblGrid>
          <w:tr w:rsidR="00806678" w:rsidTr="005F50CE">
            <w:trPr>
              <w:cantSplit/>
            </w:trPr>
            <w:sdt>
              <w:sdtPr>
                <w:tag w:val="_PLD_73e624e5fe424f71bbf918594e2a1c9a"/>
                <w:id w:val="530689965"/>
                <w:lock w:val="sdtLocked"/>
              </w:sdtPr>
              <w:sdtContent>
                <w:tc>
                  <w:tcPr>
                    <w:tcW w:w="1299" w:type="pct"/>
                    <w:tcBorders>
                      <w:top w:val="single" w:sz="6" w:space="0" w:color="auto"/>
                      <w:left w:val="single" w:sz="6" w:space="0" w:color="auto"/>
                      <w:bottom w:val="single" w:sz="6" w:space="0" w:color="auto"/>
                      <w:right w:val="single" w:sz="6" w:space="0" w:color="auto"/>
                    </w:tcBorders>
                    <w:vAlign w:val="center"/>
                  </w:tcPr>
                  <w:p w:rsidR="00806678" w:rsidRDefault="00B16377">
                    <w:pPr>
                      <w:autoSpaceDE w:val="0"/>
                      <w:autoSpaceDN w:val="0"/>
                      <w:adjustRightInd w:val="0"/>
                      <w:snapToGrid w:val="0"/>
                      <w:spacing w:line="240" w:lineRule="atLeast"/>
                      <w:jc w:val="center"/>
                      <w:rPr>
                        <w:szCs w:val="21"/>
                      </w:rPr>
                    </w:pPr>
                    <w:r>
                      <w:rPr>
                        <w:rFonts w:hint="eastAsia"/>
                        <w:szCs w:val="21"/>
                      </w:rPr>
                      <w:t>种类</w:t>
                    </w:r>
                  </w:p>
                </w:tc>
              </w:sdtContent>
            </w:sdt>
            <w:sdt>
              <w:sdtPr>
                <w:tag w:val="_PLD_cca40679bdc548d8af0315d52fd2660e"/>
                <w:id w:val="-256285568"/>
                <w:lock w:val="sdtLocked"/>
              </w:sdtPr>
              <w:sdtContent>
                <w:tc>
                  <w:tcPr>
                    <w:tcW w:w="1877" w:type="pct"/>
                    <w:tcBorders>
                      <w:top w:val="single" w:sz="6" w:space="0" w:color="auto"/>
                      <w:left w:val="single" w:sz="6" w:space="0" w:color="auto"/>
                      <w:bottom w:val="single" w:sz="6" w:space="0" w:color="auto"/>
                      <w:right w:val="single" w:sz="6" w:space="0" w:color="auto"/>
                    </w:tcBorders>
                    <w:vAlign w:val="center"/>
                  </w:tcPr>
                  <w:p w:rsidR="00806678" w:rsidRDefault="00B16377">
                    <w:pPr>
                      <w:autoSpaceDE w:val="0"/>
                      <w:autoSpaceDN w:val="0"/>
                      <w:adjustRightInd w:val="0"/>
                      <w:snapToGrid w:val="0"/>
                      <w:spacing w:line="240" w:lineRule="atLeast"/>
                      <w:jc w:val="center"/>
                      <w:rPr>
                        <w:szCs w:val="21"/>
                      </w:rPr>
                    </w:pPr>
                    <w:r>
                      <w:rPr>
                        <w:rFonts w:hint="eastAsia"/>
                        <w:szCs w:val="21"/>
                      </w:rPr>
                      <w:t>期末余额</w:t>
                    </w:r>
                  </w:p>
                </w:tc>
              </w:sdtContent>
            </w:sdt>
            <w:sdt>
              <w:sdtPr>
                <w:tag w:val="_PLD_6429209ce46840dba67a32ae31e71913"/>
                <w:id w:val="-530416975"/>
                <w:lock w:val="sdtLocked"/>
              </w:sdtPr>
              <w:sdtContent>
                <w:tc>
                  <w:tcPr>
                    <w:tcW w:w="1824" w:type="pct"/>
                    <w:tcBorders>
                      <w:top w:val="single" w:sz="6" w:space="0" w:color="auto"/>
                      <w:left w:val="single" w:sz="6" w:space="0" w:color="auto"/>
                      <w:bottom w:val="single" w:sz="6" w:space="0" w:color="auto"/>
                      <w:right w:val="single" w:sz="6" w:space="0" w:color="auto"/>
                    </w:tcBorders>
                    <w:vAlign w:val="center"/>
                  </w:tcPr>
                  <w:p w:rsidR="00806678" w:rsidRDefault="00B16377">
                    <w:pPr>
                      <w:autoSpaceDE w:val="0"/>
                      <w:autoSpaceDN w:val="0"/>
                      <w:adjustRightInd w:val="0"/>
                      <w:snapToGrid w:val="0"/>
                      <w:spacing w:line="240" w:lineRule="atLeast"/>
                      <w:jc w:val="center"/>
                      <w:rPr>
                        <w:szCs w:val="21"/>
                      </w:rPr>
                    </w:pPr>
                    <w:r>
                      <w:rPr>
                        <w:rFonts w:hint="eastAsia"/>
                        <w:szCs w:val="21"/>
                      </w:rPr>
                      <w:t>期初余额</w:t>
                    </w:r>
                  </w:p>
                </w:tc>
              </w:sdtContent>
            </w:sdt>
          </w:tr>
          <w:tr w:rsidR="00C63185" w:rsidTr="00601D47">
            <w:trPr>
              <w:cantSplit/>
            </w:trPr>
            <w:sdt>
              <w:sdtPr>
                <w:tag w:val="_PLD_8355a82a67d34753a3fc963fb2f86238"/>
                <w:id w:val="759956564"/>
                <w:lock w:val="sdtLocked"/>
              </w:sdtPr>
              <w:sdtContent>
                <w:tc>
                  <w:tcPr>
                    <w:tcW w:w="1299" w:type="pct"/>
                    <w:tcBorders>
                      <w:top w:val="single" w:sz="6" w:space="0" w:color="auto"/>
                      <w:left w:val="single" w:sz="6" w:space="0" w:color="auto"/>
                      <w:bottom w:val="single" w:sz="6" w:space="0" w:color="auto"/>
                      <w:right w:val="single" w:sz="6" w:space="0" w:color="auto"/>
                    </w:tcBorders>
                    <w:shd w:val="clear" w:color="auto" w:fill="auto"/>
                  </w:tcPr>
                  <w:p w:rsidR="00C63185" w:rsidRDefault="00C63185" w:rsidP="00C63185">
                    <w:pPr>
                      <w:autoSpaceDE w:val="0"/>
                      <w:autoSpaceDN w:val="0"/>
                      <w:adjustRightInd w:val="0"/>
                      <w:snapToGrid w:val="0"/>
                      <w:spacing w:line="240" w:lineRule="atLeast"/>
                      <w:rPr>
                        <w:szCs w:val="21"/>
                      </w:rPr>
                    </w:pPr>
                    <w:r>
                      <w:rPr>
                        <w:rFonts w:hint="eastAsia"/>
                        <w:szCs w:val="21"/>
                      </w:rPr>
                      <w:t>商业承兑汇票</w:t>
                    </w:r>
                  </w:p>
                </w:tc>
              </w:sdtContent>
            </w:sdt>
            <w:tc>
              <w:tcPr>
                <w:tcW w:w="1877" w:type="pct"/>
                <w:tcBorders>
                  <w:top w:val="single" w:sz="6" w:space="0" w:color="auto"/>
                  <w:left w:val="single" w:sz="6" w:space="0" w:color="auto"/>
                  <w:bottom w:val="single" w:sz="6" w:space="0" w:color="auto"/>
                  <w:right w:val="single" w:sz="6" w:space="0" w:color="auto"/>
                </w:tcBorders>
                <w:shd w:val="clear" w:color="auto" w:fill="auto"/>
                <w:vAlign w:val="center"/>
              </w:tcPr>
              <w:p w:rsidR="00C63185" w:rsidRDefault="00C63185" w:rsidP="00C63185">
                <w:pPr>
                  <w:ind w:right="13"/>
                  <w:jc w:val="right"/>
                  <w:rPr>
                    <w:szCs w:val="21"/>
                  </w:rPr>
                </w:pPr>
                <w:r>
                  <w:t>1,388,765,073</w:t>
                </w:r>
              </w:p>
            </w:tc>
            <w:tc>
              <w:tcPr>
                <w:tcW w:w="1824" w:type="pct"/>
                <w:tcBorders>
                  <w:top w:val="single" w:sz="6" w:space="0" w:color="auto"/>
                  <w:left w:val="single" w:sz="6" w:space="0" w:color="auto"/>
                  <w:bottom w:val="single" w:sz="6" w:space="0" w:color="auto"/>
                  <w:right w:val="single" w:sz="6" w:space="0" w:color="auto"/>
                </w:tcBorders>
                <w:shd w:val="clear" w:color="auto" w:fill="auto"/>
                <w:vAlign w:val="center"/>
              </w:tcPr>
              <w:p w:rsidR="00C63185" w:rsidRDefault="00C63185" w:rsidP="00C63185">
                <w:pPr>
                  <w:jc w:val="right"/>
                  <w:rPr>
                    <w:szCs w:val="21"/>
                  </w:rPr>
                </w:pPr>
                <w:r>
                  <w:t>2,472,534,124</w:t>
                </w:r>
              </w:p>
            </w:tc>
          </w:tr>
          <w:tr w:rsidR="00C63185" w:rsidTr="00601D47">
            <w:trPr>
              <w:cantSplit/>
            </w:trPr>
            <w:sdt>
              <w:sdtPr>
                <w:tag w:val="_PLD_f377c5f3aa1b4c669a448f31632245aa"/>
                <w:id w:val="1429089824"/>
                <w:lock w:val="sdtLocked"/>
              </w:sdtPr>
              <w:sdtContent>
                <w:tc>
                  <w:tcPr>
                    <w:tcW w:w="1299" w:type="pct"/>
                    <w:tcBorders>
                      <w:top w:val="single" w:sz="6" w:space="0" w:color="auto"/>
                      <w:left w:val="single" w:sz="6" w:space="0" w:color="auto"/>
                      <w:bottom w:val="single" w:sz="6" w:space="0" w:color="auto"/>
                      <w:right w:val="single" w:sz="6" w:space="0" w:color="auto"/>
                    </w:tcBorders>
                    <w:shd w:val="clear" w:color="auto" w:fill="auto"/>
                  </w:tcPr>
                  <w:p w:rsidR="00C63185" w:rsidRDefault="00C63185" w:rsidP="00C63185">
                    <w:pPr>
                      <w:autoSpaceDE w:val="0"/>
                      <w:autoSpaceDN w:val="0"/>
                      <w:adjustRightInd w:val="0"/>
                      <w:snapToGrid w:val="0"/>
                      <w:spacing w:line="240" w:lineRule="atLeast"/>
                      <w:rPr>
                        <w:szCs w:val="21"/>
                      </w:rPr>
                    </w:pPr>
                    <w:r>
                      <w:rPr>
                        <w:rFonts w:hint="eastAsia"/>
                        <w:szCs w:val="21"/>
                      </w:rPr>
                      <w:t>银行承兑汇票</w:t>
                    </w:r>
                  </w:p>
                </w:tc>
              </w:sdtContent>
            </w:sdt>
            <w:tc>
              <w:tcPr>
                <w:tcW w:w="1877" w:type="pct"/>
                <w:tcBorders>
                  <w:top w:val="single" w:sz="6" w:space="0" w:color="auto"/>
                  <w:left w:val="single" w:sz="6" w:space="0" w:color="auto"/>
                  <w:bottom w:val="single" w:sz="6" w:space="0" w:color="auto"/>
                  <w:right w:val="single" w:sz="6" w:space="0" w:color="auto"/>
                </w:tcBorders>
                <w:shd w:val="clear" w:color="auto" w:fill="auto"/>
                <w:vAlign w:val="center"/>
              </w:tcPr>
              <w:p w:rsidR="00C63185" w:rsidRDefault="00C63185" w:rsidP="00C63185">
                <w:pPr>
                  <w:ind w:right="13"/>
                  <w:jc w:val="right"/>
                  <w:rPr>
                    <w:szCs w:val="21"/>
                  </w:rPr>
                </w:pPr>
                <w:r>
                  <w:t>48,110,597</w:t>
                </w:r>
              </w:p>
            </w:tc>
            <w:tc>
              <w:tcPr>
                <w:tcW w:w="1824" w:type="pct"/>
                <w:tcBorders>
                  <w:top w:val="single" w:sz="6" w:space="0" w:color="auto"/>
                  <w:left w:val="single" w:sz="6" w:space="0" w:color="auto"/>
                  <w:bottom w:val="single" w:sz="6" w:space="0" w:color="auto"/>
                  <w:right w:val="single" w:sz="6" w:space="0" w:color="auto"/>
                </w:tcBorders>
                <w:shd w:val="clear" w:color="auto" w:fill="auto"/>
                <w:vAlign w:val="center"/>
              </w:tcPr>
              <w:p w:rsidR="00C63185" w:rsidRDefault="00C63185" w:rsidP="00C63185">
                <w:pPr>
                  <w:jc w:val="right"/>
                  <w:rPr>
                    <w:szCs w:val="21"/>
                  </w:rPr>
                </w:pPr>
                <w:r>
                  <w:t>199,068,765</w:t>
                </w:r>
              </w:p>
            </w:tc>
          </w:tr>
          <w:tr w:rsidR="00C63185" w:rsidTr="00601D47">
            <w:trPr>
              <w:cantSplit/>
            </w:trPr>
            <w:sdt>
              <w:sdtPr>
                <w:tag w:val="_PLD_d9ecb67ca389423d99aef124c2e3d0b9"/>
                <w:id w:val="-683055935"/>
                <w:lock w:val="sdtLocked"/>
              </w:sdtPr>
              <w:sdtContent>
                <w:tc>
                  <w:tcPr>
                    <w:tcW w:w="1299" w:type="pct"/>
                    <w:tcBorders>
                      <w:top w:val="single" w:sz="6" w:space="0" w:color="auto"/>
                      <w:left w:val="single" w:sz="6" w:space="0" w:color="auto"/>
                      <w:bottom w:val="single" w:sz="6" w:space="0" w:color="auto"/>
                      <w:right w:val="single" w:sz="6" w:space="0" w:color="auto"/>
                    </w:tcBorders>
                    <w:vAlign w:val="center"/>
                  </w:tcPr>
                  <w:p w:rsidR="00C63185" w:rsidRDefault="00C63185" w:rsidP="00C63185">
                    <w:pPr>
                      <w:autoSpaceDE w:val="0"/>
                      <w:autoSpaceDN w:val="0"/>
                      <w:adjustRightInd w:val="0"/>
                      <w:snapToGrid w:val="0"/>
                      <w:spacing w:line="240" w:lineRule="atLeast"/>
                      <w:jc w:val="center"/>
                      <w:rPr>
                        <w:szCs w:val="21"/>
                      </w:rPr>
                    </w:pPr>
                    <w:r>
                      <w:rPr>
                        <w:rFonts w:hint="eastAsia"/>
                        <w:szCs w:val="21"/>
                      </w:rPr>
                      <w:t>合计</w:t>
                    </w:r>
                  </w:p>
                </w:tc>
              </w:sdtContent>
            </w:sdt>
            <w:tc>
              <w:tcPr>
                <w:tcW w:w="1877" w:type="pct"/>
                <w:tcBorders>
                  <w:top w:val="single" w:sz="6" w:space="0" w:color="auto"/>
                  <w:left w:val="single" w:sz="6" w:space="0" w:color="auto"/>
                  <w:bottom w:val="single" w:sz="6" w:space="0" w:color="auto"/>
                  <w:right w:val="single" w:sz="6" w:space="0" w:color="auto"/>
                </w:tcBorders>
                <w:vAlign w:val="center"/>
              </w:tcPr>
              <w:p w:rsidR="00C63185" w:rsidRDefault="00C63185" w:rsidP="00C63185">
                <w:pPr>
                  <w:jc w:val="right"/>
                  <w:rPr>
                    <w:szCs w:val="21"/>
                  </w:rPr>
                </w:pPr>
                <w:r>
                  <w:t>1,436,875,670</w:t>
                </w:r>
              </w:p>
            </w:tc>
            <w:tc>
              <w:tcPr>
                <w:tcW w:w="1824" w:type="pct"/>
                <w:tcBorders>
                  <w:top w:val="single" w:sz="6" w:space="0" w:color="auto"/>
                  <w:left w:val="single" w:sz="6" w:space="0" w:color="auto"/>
                  <w:bottom w:val="single" w:sz="6" w:space="0" w:color="auto"/>
                  <w:right w:val="single" w:sz="6" w:space="0" w:color="auto"/>
                </w:tcBorders>
                <w:vAlign w:val="center"/>
              </w:tcPr>
              <w:p w:rsidR="00C63185" w:rsidRDefault="00C63185" w:rsidP="00C63185">
                <w:pPr>
                  <w:jc w:val="right"/>
                  <w:rPr>
                    <w:szCs w:val="21"/>
                  </w:rPr>
                </w:pPr>
                <w:r>
                  <w:t>2,671,602,889</w:t>
                </w:r>
              </w:p>
            </w:tc>
          </w:tr>
        </w:tbl>
        <w:p w:rsidR="00732AC2" w:rsidRDefault="00732AC2">
          <w:pPr>
            <w:snapToGrid w:val="0"/>
            <w:spacing w:line="240" w:lineRule="atLeast"/>
            <w:rPr>
              <w:szCs w:val="21"/>
            </w:rPr>
          </w:pPr>
        </w:p>
        <w:p w:rsidR="00806678" w:rsidRDefault="00B16377">
          <w:pPr>
            <w:snapToGrid w:val="0"/>
            <w:spacing w:line="240" w:lineRule="atLeast"/>
            <w:rPr>
              <w:szCs w:val="21"/>
            </w:rPr>
          </w:pPr>
          <w:r>
            <w:rPr>
              <w:rFonts w:hint="eastAsia"/>
              <w:szCs w:val="21"/>
            </w:rPr>
            <w:t>本期末已到期未支付的应付票据总额为</w:t>
          </w:r>
          <w:sdt>
            <w:sdtPr>
              <w:rPr>
                <w:rFonts w:hint="eastAsia"/>
                <w:szCs w:val="21"/>
              </w:rPr>
              <w:alias w:val="已到期未支付的应付票据总额"/>
              <w:tag w:val="_GBC_0987f9272cb2419f937357595042911e"/>
              <w:id w:val="-94866411"/>
              <w:lock w:val="sdtLocked"/>
              <w:placeholder>
                <w:docPart w:val="GBC22222222222222222222222222222"/>
              </w:placeholder>
            </w:sdtPr>
            <w:sdtContent>
              <w:r w:rsidR="00C63185">
                <w:rPr>
                  <w:szCs w:val="21"/>
                </w:rPr>
                <w:t>0</w:t>
              </w:r>
            </w:sdtContent>
          </w:sdt>
          <w:r>
            <w:rPr>
              <w:rFonts w:hint="eastAsia"/>
              <w:szCs w:val="21"/>
            </w:rPr>
            <w:t xml:space="preserve"> 元。</w:t>
          </w:r>
        </w:p>
      </w:sdtContent>
    </w:sdt>
    <w:bookmarkEnd w:id="215" w:displacedByCustomXml="prev"/>
    <w:p w:rsidR="00806678" w:rsidRDefault="00806678">
      <w:pPr>
        <w:rPr>
          <w:szCs w:val="21"/>
        </w:rPr>
      </w:pPr>
    </w:p>
    <w:p w:rsidR="00806678" w:rsidRDefault="00B16377" w:rsidP="00FF17C7">
      <w:pPr>
        <w:pStyle w:val="3"/>
        <w:numPr>
          <w:ilvl w:val="0"/>
          <w:numId w:val="18"/>
        </w:numPr>
        <w:tabs>
          <w:tab w:val="left" w:pos="504"/>
        </w:tabs>
      </w:pPr>
      <w:r>
        <w:rPr>
          <w:rFonts w:hint="eastAsia"/>
        </w:rPr>
        <w:t>应付账款</w:t>
      </w:r>
    </w:p>
    <w:sdt>
      <w:sdtPr>
        <w:rPr>
          <w:rFonts w:ascii="宋体" w:eastAsia="宋体" w:hAnsi="宋体" w:cs="宋体" w:hint="eastAsia"/>
          <w:b w:val="0"/>
          <w:bCs w:val="0"/>
          <w:kern w:val="0"/>
          <w:szCs w:val="24"/>
        </w:rPr>
        <w:alias w:val="模块:应付账款情况"/>
        <w:tag w:val="_SEC_6983b90893c6404eb7c7286ec627bbd3"/>
        <w:id w:val="1261874176"/>
        <w:lock w:val="sdtLocked"/>
        <w:placeholder>
          <w:docPart w:val="GBC22222222222222222222222222222"/>
        </w:placeholder>
      </w:sdtPr>
      <w:sdtEndPr>
        <w:rPr>
          <w:rFonts w:hint="default"/>
        </w:rPr>
      </w:sdtEndPr>
      <w:sdtContent>
        <w:p w:rsidR="00806678" w:rsidRDefault="00B16377" w:rsidP="00FF17C7">
          <w:pPr>
            <w:pStyle w:val="4"/>
            <w:numPr>
              <w:ilvl w:val="0"/>
              <w:numId w:val="93"/>
            </w:numPr>
            <w:ind w:left="426" w:hanging="426"/>
          </w:pPr>
          <w:r>
            <w:rPr>
              <w:rFonts w:hint="eastAsia"/>
            </w:rPr>
            <w:t>应付账款列示</w:t>
          </w:r>
        </w:p>
        <w:sdt>
          <w:sdtPr>
            <w:alias w:val="是否适用：应付账款列示[双击切换]"/>
            <w:tag w:val="_GBC_dfb190a9e762454c9f89eb6be64b6eae"/>
            <w:id w:val="130603835"/>
            <w:lock w:val="sdtLocked"/>
            <w:placeholder>
              <w:docPart w:val="GBC22222222222222222222222222222"/>
            </w:placeholder>
          </w:sdtPr>
          <w:sdtContent>
            <w:p w:rsidR="00806678" w:rsidRDefault="00F80B6C">
              <w:r>
                <w:fldChar w:fldCharType="begin"/>
              </w:r>
              <w:r w:rsidR="000752D2">
                <w:instrText xml:space="preserve">MACROBUTTON  SnrToggleCheckbox √适用 </w:instrText>
              </w:r>
              <w:r>
                <w:fldChar w:fldCharType="end"/>
              </w:r>
              <w:r>
                <w:fldChar w:fldCharType="begin"/>
              </w:r>
              <w:r w:rsidR="000752D2">
                <w:instrText xml:space="preserve"> MACROBUTTON  SnrToggleCheckbox □不适用 </w:instrText>
              </w:r>
              <w:r>
                <w:fldChar w:fldCharType="end"/>
              </w:r>
            </w:p>
          </w:sdtContent>
        </w:sdt>
        <w:p w:rsidR="00806678" w:rsidRDefault="00B16377">
          <w:pPr>
            <w:jc w:val="right"/>
            <w:rPr>
              <w:szCs w:val="21"/>
            </w:rPr>
          </w:pPr>
          <w:r>
            <w:rPr>
              <w:rFonts w:hint="eastAsia"/>
              <w:szCs w:val="21"/>
            </w:rPr>
            <w:t>单位：</w:t>
          </w:r>
          <w:sdt>
            <w:sdtPr>
              <w:rPr>
                <w:rFonts w:hint="eastAsia"/>
                <w:szCs w:val="21"/>
              </w:rPr>
              <w:alias w:val="单位：财务附注：应付账款情况"/>
              <w:tag w:val="_GBC_c14fe17937b74139aa7e100941fb21e9"/>
              <w:id w:val="-84732952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应付账款情况"/>
              <w:tag w:val="_GBC_946604b552a44d368399e078594b3226"/>
              <w:id w:val="52506227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86"/>
            <w:gridCol w:w="2622"/>
            <w:gridCol w:w="3341"/>
          </w:tblGrid>
          <w:tr w:rsidR="000752D2" w:rsidTr="00FE0A94">
            <w:sdt>
              <w:sdtPr>
                <w:tag w:val="_PLD_8270d78e97cf4a1cb18154c5c5dafe58"/>
                <w:id w:val="-253746975"/>
                <w:lock w:val="sdtLocked"/>
              </w:sdtPr>
              <w:sdtContent>
                <w:tc>
                  <w:tcPr>
                    <w:tcW w:w="1705" w:type="pct"/>
                    <w:shd w:val="clear" w:color="auto" w:fill="auto"/>
                  </w:tcPr>
                  <w:p w:rsidR="000752D2" w:rsidRDefault="000752D2" w:rsidP="00601D47">
                    <w:pPr>
                      <w:jc w:val="center"/>
                      <w:rPr>
                        <w:szCs w:val="21"/>
                      </w:rPr>
                    </w:pPr>
                    <w:r>
                      <w:rPr>
                        <w:rFonts w:hint="eastAsia"/>
                        <w:szCs w:val="21"/>
                      </w:rPr>
                      <w:t>项目</w:t>
                    </w:r>
                  </w:p>
                </w:tc>
              </w:sdtContent>
            </w:sdt>
            <w:sdt>
              <w:sdtPr>
                <w:tag w:val="_PLD_56127cd5754c44aaacae0a1320139a7a"/>
                <w:id w:val="-1331675052"/>
                <w:lock w:val="sdtLocked"/>
              </w:sdtPr>
              <w:sdtContent>
                <w:tc>
                  <w:tcPr>
                    <w:tcW w:w="1449" w:type="pct"/>
                    <w:shd w:val="clear" w:color="auto" w:fill="auto"/>
                  </w:tcPr>
                  <w:p w:rsidR="000752D2" w:rsidRDefault="000752D2" w:rsidP="00601D47">
                    <w:pPr>
                      <w:jc w:val="center"/>
                      <w:rPr>
                        <w:szCs w:val="21"/>
                      </w:rPr>
                    </w:pPr>
                    <w:r>
                      <w:rPr>
                        <w:rFonts w:hint="eastAsia"/>
                        <w:szCs w:val="21"/>
                      </w:rPr>
                      <w:t>期末余额</w:t>
                    </w:r>
                  </w:p>
                </w:tc>
              </w:sdtContent>
            </w:sdt>
            <w:sdt>
              <w:sdtPr>
                <w:tag w:val="_PLD_27c6d2ca479446539fe00ab23ee1dc13"/>
                <w:id w:val="722105956"/>
                <w:lock w:val="sdtLocked"/>
              </w:sdtPr>
              <w:sdtContent>
                <w:tc>
                  <w:tcPr>
                    <w:tcW w:w="1846" w:type="pct"/>
                    <w:shd w:val="clear" w:color="auto" w:fill="auto"/>
                  </w:tcPr>
                  <w:p w:rsidR="000752D2" w:rsidRDefault="000752D2" w:rsidP="00601D47">
                    <w:pPr>
                      <w:jc w:val="center"/>
                      <w:rPr>
                        <w:szCs w:val="21"/>
                      </w:rPr>
                    </w:pPr>
                    <w:r>
                      <w:rPr>
                        <w:rFonts w:hint="eastAsia"/>
                        <w:szCs w:val="21"/>
                      </w:rPr>
                      <w:t>期初余额</w:t>
                    </w:r>
                  </w:p>
                </w:tc>
              </w:sdtContent>
            </w:sdt>
          </w:tr>
          <w:sdt>
            <w:sdtPr>
              <w:rPr>
                <w:rFonts w:hint="eastAsia"/>
                <w:szCs w:val="21"/>
              </w:rPr>
              <w:alias w:val="应付账款情况明细"/>
              <w:tag w:val="_TUP_f092ddb351f143359436bc8808c3f1ee"/>
              <w:id w:val="1022131829"/>
              <w:lock w:val="sdtLocked"/>
            </w:sdtPr>
            <w:sdtContent>
              <w:tr w:rsidR="000752D2" w:rsidTr="00FE0A94">
                <w:tc>
                  <w:tcPr>
                    <w:tcW w:w="1705" w:type="pct"/>
                    <w:shd w:val="clear" w:color="auto" w:fill="auto"/>
                  </w:tcPr>
                  <w:p w:rsidR="000752D2" w:rsidRDefault="000752D2" w:rsidP="00601D47">
                    <w:pPr>
                      <w:rPr>
                        <w:szCs w:val="21"/>
                      </w:rPr>
                    </w:pPr>
                    <w:r>
                      <w:t>应付太原局集团公司</w:t>
                    </w:r>
                  </w:p>
                </w:tc>
                <w:tc>
                  <w:tcPr>
                    <w:tcW w:w="1449" w:type="pct"/>
                    <w:shd w:val="clear" w:color="auto" w:fill="auto"/>
                  </w:tcPr>
                  <w:p w:rsidR="000752D2" w:rsidRDefault="000752D2" w:rsidP="00601D47">
                    <w:pPr>
                      <w:jc w:val="right"/>
                      <w:rPr>
                        <w:szCs w:val="21"/>
                      </w:rPr>
                    </w:pPr>
                    <w:r>
                      <w:t>600,562,869</w:t>
                    </w:r>
                  </w:p>
                </w:tc>
                <w:tc>
                  <w:tcPr>
                    <w:tcW w:w="1846" w:type="pct"/>
                    <w:shd w:val="clear" w:color="auto" w:fill="auto"/>
                  </w:tcPr>
                  <w:p w:rsidR="000752D2" w:rsidRDefault="000752D2" w:rsidP="00601D47">
                    <w:pPr>
                      <w:jc w:val="right"/>
                      <w:rPr>
                        <w:szCs w:val="21"/>
                      </w:rPr>
                    </w:pPr>
                    <w:r>
                      <w:t>66,349,822</w:t>
                    </w:r>
                  </w:p>
                </w:tc>
              </w:tr>
            </w:sdtContent>
          </w:sdt>
          <w:sdt>
            <w:sdtPr>
              <w:rPr>
                <w:rFonts w:hint="eastAsia"/>
                <w:szCs w:val="21"/>
              </w:rPr>
              <w:alias w:val="应付账款情况明细"/>
              <w:tag w:val="_TUP_f092ddb351f143359436bc8808c3f1ee"/>
              <w:id w:val="-1580211738"/>
              <w:lock w:val="sdtLocked"/>
            </w:sdtPr>
            <w:sdtContent>
              <w:tr w:rsidR="000752D2" w:rsidTr="00FE0A94">
                <w:tc>
                  <w:tcPr>
                    <w:tcW w:w="1705" w:type="pct"/>
                    <w:shd w:val="clear" w:color="auto" w:fill="auto"/>
                  </w:tcPr>
                  <w:p w:rsidR="000752D2" w:rsidRDefault="000752D2" w:rsidP="00601D47">
                    <w:pPr>
                      <w:rPr>
                        <w:szCs w:val="21"/>
                      </w:rPr>
                    </w:pPr>
                    <w:r>
                      <w:t>应付太原局集团公司下属单位</w:t>
                    </w:r>
                  </w:p>
                </w:tc>
                <w:tc>
                  <w:tcPr>
                    <w:tcW w:w="1449" w:type="pct"/>
                    <w:shd w:val="clear" w:color="auto" w:fill="auto"/>
                  </w:tcPr>
                  <w:p w:rsidR="000752D2" w:rsidRDefault="000752D2" w:rsidP="00601D47">
                    <w:pPr>
                      <w:jc w:val="right"/>
                      <w:rPr>
                        <w:szCs w:val="21"/>
                      </w:rPr>
                    </w:pPr>
                    <w:r>
                      <w:t>342,587,719</w:t>
                    </w:r>
                  </w:p>
                </w:tc>
                <w:tc>
                  <w:tcPr>
                    <w:tcW w:w="1846" w:type="pct"/>
                    <w:shd w:val="clear" w:color="auto" w:fill="auto"/>
                  </w:tcPr>
                  <w:p w:rsidR="000752D2" w:rsidRDefault="000752D2" w:rsidP="00601D47">
                    <w:pPr>
                      <w:jc w:val="right"/>
                      <w:rPr>
                        <w:szCs w:val="21"/>
                      </w:rPr>
                    </w:pPr>
                    <w:r>
                      <w:t>227,067,494</w:t>
                    </w:r>
                  </w:p>
                </w:tc>
              </w:tr>
            </w:sdtContent>
          </w:sdt>
          <w:sdt>
            <w:sdtPr>
              <w:rPr>
                <w:rFonts w:hint="eastAsia"/>
                <w:szCs w:val="21"/>
              </w:rPr>
              <w:alias w:val="应付账款情况明细"/>
              <w:tag w:val="_TUP_f092ddb351f143359436bc8808c3f1ee"/>
              <w:id w:val="-1660526055"/>
              <w:lock w:val="sdtLocked"/>
            </w:sdtPr>
            <w:sdtContent>
              <w:tr w:rsidR="000752D2" w:rsidTr="00FE0A94">
                <w:tc>
                  <w:tcPr>
                    <w:tcW w:w="1705" w:type="pct"/>
                    <w:shd w:val="clear" w:color="auto" w:fill="auto"/>
                  </w:tcPr>
                  <w:p w:rsidR="000752D2" w:rsidRDefault="000752D2" w:rsidP="00601D47">
                    <w:pPr>
                      <w:rPr>
                        <w:szCs w:val="21"/>
                      </w:rPr>
                    </w:pPr>
                    <w:r>
                      <w:t>应付国铁集团及其他下属单位</w:t>
                    </w:r>
                  </w:p>
                </w:tc>
                <w:tc>
                  <w:tcPr>
                    <w:tcW w:w="1449" w:type="pct"/>
                    <w:shd w:val="clear" w:color="auto" w:fill="auto"/>
                  </w:tcPr>
                  <w:p w:rsidR="000752D2" w:rsidRDefault="006165DA" w:rsidP="00601D47">
                    <w:pPr>
                      <w:jc w:val="right"/>
                      <w:rPr>
                        <w:szCs w:val="21"/>
                      </w:rPr>
                    </w:pPr>
                    <w:r w:rsidRPr="006165DA">
                      <w:t>241,761,578</w:t>
                    </w:r>
                  </w:p>
                </w:tc>
                <w:tc>
                  <w:tcPr>
                    <w:tcW w:w="1846" w:type="pct"/>
                    <w:shd w:val="clear" w:color="auto" w:fill="auto"/>
                  </w:tcPr>
                  <w:p w:rsidR="000752D2" w:rsidRDefault="000752D2" w:rsidP="00601D47">
                    <w:pPr>
                      <w:jc w:val="right"/>
                      <w:rPr>
                        <w:szCs w:val="21"/>
                      </w:rPr>
                    </w:pPr>
                    <w:r>
                      <w:t>69,030,048</w:t>
                    </w:r>
                  </w:p>
                </w:tc>
              </w:tr>
            </w:sdtContent>
          </w:sdt>
          <w:sdt>
            <w:sdtPr>
              <w:rPr>
                <w:rFonts w:hint="eastAsia"/>
                <w:szCs w:val="21"/>
              </w:rPr>
              <w:alias w:val="应付账款情况明细"/>
              <w:tag w:val="_TUP_f092ddb351f143359436bc8808c3f1ee"/>
              <w:id w:val="-1566792752"/>
              <w:lock w:val="sdtLocked"/>
            </w:sdtPr>
            <w:sdtContent>
              <w:tr w:rsidR="000752D2" w:rsidTr="00FE0A94">
                <w:tc>
                  <w:tcPr>
                    <w:tcW w:w="1705" w:type="pct"/>
                    <w:shd w:val="clear" w:color="auto" w:fill="auto"/>
                  </w:tcPr>
                  <w:p w:rsidR="000752D2" w:rsidRDefault="000752D2" w:rsidP="00601D47">
                    <w:pPr>
                      <w:rPr>
                        <w:szCs w:val="21"/>
                      </w:rPr>
                    </w:pPr>
                    <w:r>
                      <w:t>应付其他</w:t>
                    </w:r>
                  </w:p>
                </w:tc>
                <w:tc>
                  <w:tcPr>
                    <w:tcW w:w="1449" w:type="pct"/>
                    <w:shd w:val="clear" w:color="auto" w:fill="auto"/>
                  </w:tcPr>
                  <w:p w:rsidR="000752D2" w:rsidRDefault="006165DA" w:rsidP="00601D47">
                    <w:pPr>
                      <w:jc w:val="right"/>
                      <w:rPr>
                        <w:szCs w:val="21"/>
                      </w:rPr>
                    </w:pPr>
                    <w:r w:rsidRPr="006165DA">
                      <w:t>3,312,957,708</w:t>
                    </w:r>
                  </w:p>
                </w:tc>
                <w:tc>
                  <w:tcPr>
                    <w:tcW w:w="1846" w:type="pct"/>
                    <w:shd w:val="clear" w:color="auto" w:fill="auto"/>
                  </w:tcPr>
                  <w:p w:rsidR="000752D2" w:rsidRDefault="000752D2" w:rsidP="00601D47">
                    <w:pPr>
                      <w:jc w:val="right"/>
                      <w:rPr>
                        <w:szCs w:val="21"/>
                      </w:rPr>
                    </w:pPr>
                    <w:r>
                      <w:t>2,898,001,521</w:t>
                    </w:r>
                  </w:p>
                </w:tc>
              </w:tr>
            </w:sdtContent>
          </w:sdt>
          <w:tr w:rsidR="000752D2" w:rsidTr="00FE0A94">
            <w:sdt>
              <w:sdtPr>
                <w:tag w:val="_PLD_8c494311a3a446fa9ed8956bb8a7f277"/>
                <w:id w:val="-1215879935"/>
                <w:lock w:val="sdtLocked"/>
              </w:sdtPr>
              <w:sdtContent>
                <w:tc>
                  <w:tcPr>
                    <w:tcW w:w="1705" w:type="pct"/>
                    <w:shd w:val="clear" w:color="auto" w:fill="auto"/>
                  </w:tcPr>
                  <w:p w:rsidR="000752D2" w:rsidRDefault="000752D2" w:rsidP="000752D2">
                    <w:pPr>
                      <w:jc w:val="center"/>
                      <w:rPr>
                        <w:color w:val="000000" w:themeColor="text1"/>
                        <w:szCs w:val="21"/>
                      </w:rPr>
                    </w:pPr>
                    <w:r>
                      <w:rPr>
                        <w:rFonts w:hint="eastAsia"/>
                        <w:color w:val="000000" w:themeColor="text1"/>
                        <w:szCs w:val="21"/>
                      </w:rPr>
                      <w:t>合计</w:t>
                    </w:r>
                  </w:p>
                </w:tc>
              </w:sdtContent>
            </w:sdt>
            <w:tc>
              <w:tcPr>
                <w:tcW w:w="1449" w:type="pct"/>
                <w:shd w:val="clear" w:color="auto" w:fill="auto"/>
                <w:vAlign w:val="center"/>
              </w:tcPr>
              <w:p w:rsidR="000752D2" w:rsidRDefault="000752D2" w:rsidP="000752D2">
                <w:pPr>
                  <w:jc w:val="right"/>
                  <w:rPr>
                    <w:szCs w:val="21"/>
                  </w:rPr>
                </w:pPr>
                <w:r>
                  <w:t>4,497,869,874</w:t>
                </w:r>
              </w:p>
            </w:tc>
            <w:tc>
              <w:tcPr>
                <w:tcW w:w="1846" w:type="pct"/>
                <w:shd w:val="clear" w:color="auto" w:fill="auto"/>
                <w:vAlign w:val="center"/>
              </w:tcPr>
              <w:p w:rsidR="000752D2" w:rsidRDefault="000752D2" w:rsidP="000752D2">
                <w:pPr>
                  <w:jc w:val="right"/>
                  <w:rPr>
                    <w:szCs w:val="21"/>
                  </w:rPr>
                </w:pPr>
                <w:r>
                  <w:t>3,260,448,885</w:t>
                </w:r>
              </w:p>
            </w:tc>
          </w:tr>
        </w:tbl>
        <w:p w:rsidR="00806678" w:rsidRDefault="00F80B6C"/>
      </w:sdtContent>
    </w:sdt>
    <w:sdt>
      <w:sdtPr>
        <w:rPr>
          <w:rFonts w:asciiTheme="minorHAnsi" w:eastAsia="宋体" w:hAnsiTheme="minorHAnsi" w:cstheme="minorBidi" w:hint="eastAsia"/>
          <w:b w:val="0"/>
          <w:bCs w:val="0"/>
          <w:kern w:val="0"/>
          <w:szCs w:val="22"/>
        </w:rPr>
        <w:alias w:val="模块:重要的账龄超过1年的应付账款单位：元币种：人民币项目期末..."/>
        <w:tag w:val="_SEC_f6472fc9df314a45ae6f3743495113f0"/>
        <w:id w:val="1910658473"/>
        <w:lock w:val="sdtLocked"/>
        <w:placeholder>
          <w:docPart w:val="GBC22222222222222222222222222222"/>
        </w:placeholder>
      </w:sdtPr>
      <w:sdtContent>
        <w:p w:rsidR="00806678" w:rsidRDefault="00B16377" w:rsidP="00FF17C7">
          <w:pPr>
            <w:pStyle w:val="4"/>
            <w:numPr>
              <w:ilvl w:val="0"/>
              <w:numId w:val="93"/>
            </w:numPr>
            <w:ind w:left="426" w:hanging="426"/>
          </w:pPr>
          <w:r>
            <w:rPr>
              <w:rFonts w:hint="eastAsia"/>
            </w:rPr>
            <w:t>账龄超过</w:t>
          </w:r>
          <w:r>
            <w:t>1年的重要应付账款</w:t>
          </w:r>
        </w:p>
        <w:sdt>
          <w:sdtPr>
            <w:alias w:val="是否适用：账龄超过1年的重要应付账款[双击切换]"/>
            <w:tag w:val="_GBC_0eff470980a54dc3a4ea5996ab7721ce"/>
            <w:id w:val="-665702211"/>
            <w:lock w:val="sdtLocked"/>
            <w:placeholder>
              <w:docPart w:val="GBC22222222222222222222222222222"/>
            </w:placeholder>
          </w:sdtPr>
          <w:sdtContent>
            <w:p w:rsidR="00806678" w:rsidRDefault="00F80B6C">
              <w:r>
                <w:fldChar w:fldCharType="begin"/>
              </w:r>
              <w:r w:rsidR="000752D2">
                <w:instrText xml:space="preserve">MACROBUTTON  SnrToggleCheckbox √适用 </w:instrText>
              </w:r>
              <w:r>
                <w:fldChar w:fldCharType="end"/>
              </w:r>
              <w:r>
                <w:fldChar w:fldCharType="begin"/>
              </w:r>
              <w:r w:rsidR="000752D2">
                <w:instrText xml:space="preserve"> MACROBUTTON  SnrToggleCheckbox □不适用 </w:instrText>
              </w:r>
              <w:r>
                <w:fldChar w:fldCharType="end"/>
              </w:r>
            </w:p>
          </w:sdtContent>
        </w:sdt>
        <w:p w:rsidR="00806678" w:rsidRDefault="00B16377">
          <w:pPr>
            <w:jc w:val="right"/>
          </w:pPr>
          <w:r>
            <w:rPr>
              <w:rFonts w:hint="eastAsia"/>
            </w:rPr>
            <w:t>单位：</w:t>
          </w:r>
          <w:sdt>
            <w:sdtPr>
              <w:rPr>
                <w:rFonts w:hint="eastAsia"/>
              </w:rPr>
              <w:alias w:val="单位：财务附注：重要的账龄超过1年的应付账款"/>
              <w:tag w:val="_GBC_400afb873eea4650b57e850422f00616"/>
              <w:id w:val="-63980101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重要的账龄超过1年的应付账款"/>
              <w:tag w:val="_GBC_e8618ecbab754a8a9213d0e97303efbc"/>
              <w:id w:val="-528602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85"/>
            <w:gridCol w:w="2554"/>
            <w:gridCol w:w="3410"/>
          </w:tblGrid>
          <w:tr w:rsidR="00806678" w:rsidTr="00024694">
            <w:sdt>
              <w:sdtPr>
                <w:tag w:val="_PLD_fdad43e863d14167af7eeaf4873d2a72"/>
                <w:id w:val="-874082649"/>
                <w:lock w:val="sdtLocked"/>
              </w:sdtPr>
              <w:sdtContent>
                <w:tc>
                  <w:tcPr>
                    <w:tcW w:w="1705" w:type="pct"/>
                    <w:shd w:val="clear" w:color="auto" w:fill="auto"/>
                    <w:vAlign w:val="center"/>
                  </w:tcPr>
                  <w:p w:rsidR="00806678" w:rsidRDefault="00B16377">
                    <w:pPr>
                      <w:jc w:val="center"/>
                      <w:rPr>
                        <w:szCs w:val="21"/>
                      </w:rPr>
                    </w:pPr>
                    <w:r>
                      <w:rPr>
                        <w:rFonts w:hint="eastAsia"/>
                        <w:szCs w:val="21"/>
                      </w:rPr>
                      <w:t>项目</w:t>
                    </w:r>
                  </w:p>
                </w:tc>
              </w:sdtContent>
            </w:sdt>
            <w:sdt>
              <w:sdtPr>
                <w:tag w:val="_PLD_cd3e87440a294e4685cb5994a6fce19b"/>
                <w:id w:val="-348173685"/>
                <w:lock w:val="sdtLocked"/>
              </w:sdtPr>
              <w:sdtContent>
                <w:tc>
                  <w:tcPr>
                    <w:tcW w:w="1411" w:type="pct"/>
                    <w:shd w:val="clear" w:color="auto" w:fill="auto"/>
                    <w:vAlign w:val="center"/>
                  </w:tcPr>
                  <w:p w:rsidR="00806678" w:rsidRDefault="00B16377">
                    <w:pPr>
                      <w:jc w:val="center"/>
                      <w:rPr>
                        <w:szCs w:val="21"/>
                      </w:rPr>
                    </w:pPr>
                    <w:r>
                      <w:rPr>
                        <w:rFonts w:hint="eastAsia"/>
                        <w:szCs w:val="21"/>
                      </w:rPr>
                      <w:t>期末余额</w:t>
                    </w:r>
                  </w:p>
                </w:tc>
              </w:sdtContent>
            </w:sdt>
            <w:sdt>
              <w:sdtPr>
                <w:tag w:val="_PLD_3948dc08dbd84dbd875d1bd042c28c03"/>
                <w:id w:val="-129407920"/>
                <w:lock w:val="sdtLocked"/>
              </w:sdtPr>
              <w:sdtContent>
                <w:tc>
                  <w:tcPr>
                    <w:tcW w:w="1885" w:type="pct"/>
                    <w:shd w:val="clear" w:color="auto" w:fill="auto"/>
                    <w:vAlign w:val="center"/>
                  </w:tcPr>
                  <w:p w:rsidR="00806678" w:rsidRDefault="00B16377">
                    <w:pPr>
                      <w:jc w:val="center"/>
                      <w:rPr>
                        <w:szCs w:val="21"/>
                      </w:rPr>
                    </w:pPr>
                    <w:r>
                      <w:rPr>
                        <w:rFonts w:hint="eastAsia"/>
                        <w:szCs w:val="21"/>
                      </w:rPr>
                      <w:t>未偿还或结转的原因</w:t>
                    </w:r>
                  </w:p>
                </w:tc>
              </w:sdtContent>
            </w:sdt>
          </w:tr>
          <w:sdt>
            <w:sdtPr>
              <w:rPr>
                <w:szCs w:val="21"/>
              </w:rPr>
              <w:alias w:val="重要的账龄超过1年的应付账款明细"/>
              <w:tag w:val="_TUP_eb35159b40154d30921830d673015213"/>
              <w:id w:val="1605224256"/>
              <w:lock w:val="sdtLocked"/>
            </w:sdtPr>
            <w:sdtContent>
              <w:tr w:rsidR="00806678" w:rsidTr="00024694">
                <w:tc>
                  <w:tcPr>
                    <w:tcW w:w="1705" w:type="pct"/>
                    <w:tcBorders>
                      <w:bottom w:val="single" w:sz="4" w:space="0" w:color="auto"/>
                    </w:tcBorders>
                    <w:shd w:val="clear" w:color="auto" w:fill="auto"/>
                  </w:tcPr>
                  <w:p w:rsidR="00806678" w:rsidRDefault="000752D2" w:rsidP="000752D2">
                    <w:pPr>
                      <w:rPr>
                        <w:szCs w:val="21"/>
                      </w:rPr>
                    </w:pPr>
                    <w:r>
                      <w:rPr>
                        <w:rFonts w:hint="eastAsia"/>
                        <w:szCs w:val="21"/>
                      </w:rPr>
                      <w:t>材料及服务采购</w:t>
                    </w:r>
                    <w:r>
                      <w:rPr>
                        <w:szCs w:val="21"/>
                      </w:rPr>
                      <w:t xml:space="preserve"> </w:t>
                    </w:r>
                  </w:p>
                </w:tc>
                <w:tc>
                  <w:tcPr>
                    <w:tcW w:w="1411" w:type="pct"/>
                    <w:shd w:val="clear" w:color="auto" w:fill="auto"/>
                  </w:tcPr>
                  <w:p w:rsidR="00806678" w:rsidRDefault="000752D2">
                    <w:pPr>
                      <w:jc w:val="right"/>
                      <w:rPr>
                        <w:szCs w:val="21"/>
                      </w:rPr>
                    </w:pPr>
                    <w:r w:rsidRPr="000752D2">
                      <w:rPr>
                        <w:szCs w:val="21"/>
                      </w:rPr>
                      <w:t>222,932,587</w:t>
                    </w:r>
                  </w:p>
                </w:tc>
                <w:tc>
                  <w:tcPr>
                    <w:tcW w:w="1885" w:type="pct"/>
                    <w:shd w:val="clear" w:color="auto" w:fill="auto"/>
                  </w:tcPr>
                  <w:p w:rsidR="00806678" w:rsidRDefault="00806678">
                    <w:pPr>
                      <w:rPr>
                        <w:szCs w:val="21"/>
                      </w:rPr>
                    </w:pPr>
                  </w:p>
                </w:tc>
              </w:tr>
            </w:sdtContent>
          </w:sdt>
          <w:tr w:rsidR="00806678" w:rsidTr="00024694">
            <w:sdt>
              <w:sdtPr>
                <w:tag w:val="_PLD_9758d2b659b1497e80249fe4dcd9da2a"/>
                <w:id w:val="-1479062012"/>
                <w:lock w:val="sdtLocked"/>
              </w:sdtPr>
              <w:sdtContent>
                <w:tc>
                  <w:tcPr>
                    <w:tcW w:w="1705" w:type="pct"/>
                    <w:shd w:val="clear" w:color="auto" w:fill="auto"/>
                    <w:vAlign w:val="center"/>
                  </w:tcPr>
                  <w:p w:rsidR="00806678" w:rsidRDefault="00B16377">
                    <w:pPr>
                      <w:jc w:val="center"/>
                      <w:rPr>
                        <w:szCs w:val="21"/>
                      </w:rPr>
                    </w:pPr>
                    <w:r>
                      <w:rPr>
                        <w:rFonts w:hint="eastAsia"/>
                        <w:szCs w:val="21"/>
                      </w:rPr>
                      <w:t>合计</w:t>
                    </w:r>
                  </w:p>
                </w:tc>
              </w:sdtContent>
            </w:sdt>
            <w:tc>
              <w:tcPr>
                <w:tcW w:w="1411" w:type="pct"/>
                <w:shd w:val="clear" w:color="auto" w:fill="auto"/>
              </w:tcPr>
              <w:p w:rsidR="00806678" w:rsidRDefault="000752D2">
                <w:pPr>
                  <w:jc w:val="right"/>
                  <w:rPr>
                    <w:szCs w:val="21"/>
                  </w:rPr>
                </w:pPr>
                <w:r w:rsidRPr="000752D2">
                  <w:rPr>
                    <w:szCs w:val="21"/>
                  </w:rPr>
                  <w:t>222,932,587</w:t>
                </w:r>
              </w:p>
            </w:tc>
            <w:tc>
              <w:tcPr>
                <w:tcW w:w="1885" w:type="pct"/>
                <w:shd w:val="clear" w:color="auto" w:fill="auto"/>
              </w:tcPr>
              <w:p w:rsidR="00806678" w:rsidRDefault="00B16377">
                <w:pPr>
                  <w:jc w:val="center"/>
                  <w:rPr>
                    <w:szCs w:val="21"/>
                  </w:rPr>
                </w:pPr>
                <w:r>
                  <w:rPr>
                    <w:rFonts w:hint="eastAsia"/>
                    <w:szCs w:val="21"/>
                  </w:rPr>
                  <w:t>/</w:t>
                </w:r>
              </w:p>
            </w:tc>
          </w:tr>
        </w:tbl>
        <w:p w:rsidR="00806678" w:rsidRDefault="00F80B6C"/>
      </w:sdtContent>
    </w:sdt>
    <w:sdt>
      <w:sdtPr>
        <w:rPr>
          <w:rFonts w:hint="eastAsia"/>
          <w:b/>
          <w:bCs/>
        </w:rPr>
        <w:alias w:val="模块:应付账款的其他说明"/>
        <w:tag w:val="_SEC_11f269c09d754458a6354680b3ca0c0b"/>
        <w:id w:val="-739643229"/>
        <w:lock w:val="sdtLocked"/>
        <w:placeholder>
          <w:docPart w:val="GBC22222222222222222222222222222"/>
        </w:placeholder>
      </w:sdtPr>
      <w:sdtEndPr>
        <w:rPr>
          <w:rFonts w:cstheme="minorBidi" w:hint="default"/>
          <w:b w:val="0"/>
          <w:bCs w:val="0"/>
          <w:kern w:val="2"/>
          <w:szCs w:val="21"/>
        </w:rPr>
      </w:sdtEndPr>
      <w:sdtContent>
        <w:p w:rsidR="00806678" w:rsidRDefault="00B16377">
          <w:pPr>
            <w:rPr>
              <w:szCs w:val="21"/>
            </w:rPr>
          </w:pPr>
          <w:r>
            <w:rPr>
              <w:rFonts w:hint="eastAsia"/>
            </w:rPr>
            <w:t>其他</w:t>
          </w:r>
          <w:r>
            <w:rPr>
              <w:rFonts w:hint="eastAsia"/>
              <w:szCs w:val="21"/>
            </w:rPr>
            <w:t>说明</w:t>
          </w:r>
        </w:p>
        <w:sdt>
          <w:sdtPr>
            <w:rPr>
              <w:szCs w:val="21"/>
            </w:rPr>
            <w:alias w:val="是否适用：应付账款的其他说明[双击切换]"/>
            <w:tag w:val="_GBC_5dc0587a83084b71961a20293aaa95fb"/>
            <w:id w:val="-1823266690"/>
            <w:lock w:val="sdtLocked"/>
            <w:placeholder>
              <w:docPart w:val="GBC22222222222222222222222222222"/>
            </w:placeholder>
          </w:sdtPr>
          <w:sdtContent>
            <w:p w:rsidR="00806678" w:rsidRDefault="00F80B6C">
              <w:pPr>
                <w:rPr>
                  <w:szCs w:val="21"/>
                </w:rPr>
              </w:pPr>
              <w:r>
                <w:rPr>
                  <w:szCs w:val="21"/>
                </w:rPr>
                <w:fldChar w:fldCharType="begin"/>
              </w:r>
              <w:r w:rsidR="000752D2">
                <w:rPr>
                  <w:szCs w:val="21"/>
                </w:rPr>
                <w:instrText xml:space="preserve">MACROBUTTON  SnrToggleCheckbox √适用 </w:instrText>
              </w:r>
              <w:r>
                <w:rPr>
                  <w:szCs w:val="21"/>
                </w:rPr>
                <w:fldChar w:fldCharType="end"/>
              </w:r>
              <w:r>
                <w:rPr>
                  <w:szCs w:val="21"/>
                </w:rPr>
                <w:fldChar w:fldCharType="begin"/>
              </w:r>
              <w:r w:rsidR="000752D2">
                <w:rPr>
                  <w:szCs w:val="21"/>
                </w:rPr>
                <w:instrText xml:space="preserve"> MACROBUTTON  SnrToggleCheckbox □不适用 </w:instrText>
              </w:r>
              <w:r>
                <w:rPr>
                  <w:szCs w:val="21"/>
                </w:rPr>
                <w:fldChar w:fldCharType="end"/>
              </w:r>
            </w:p>
          </w:sdtContent>
        </w:sdt>
        <w:sdt>
          <w:sdtPr>
            <w:rPr>
              <w:szCs w:val="21"/>
            </w:rPr>
            <w:alias w:val="应付账款的其他说明"/>
            <w:tag w:val="_GBC_626d62aa66674d389680fe027bfa07ad"/>
            <w:id w:val="-2063088051"/>
            <w:lock w:val="sdtLocked"/>
            <w:placeholder>
              <w:docPart w:val="GBC22222222222222222222222222222"/>
            </w:placeholder>
          </w:sdtPr>
          <w:sdtContent>
            <w:p w:rsidR="00732AC2" w:rsidRDefault="00732AC2">
              <w:pPr>
                <w:rPr>
                  <w:szCs w:val="21"/>
                </w:rPr>
              </w:pPr>
            </w:p>
            <w:p w:rsidR="00806678" w:rsidRDefault="000752D2">
              <w:pPr>
                <w:rPr>
                  <w:szCs w:val="21"/>
                </w:rPr>
              </w:pPr>
              <w:r w:rsidRPr="000752D2">
                <w:rPr>
                  <w:rFonts w:hint="eastAsia"/>
                  <w:szCs w:val="21"/>
                </w:rPr>
                <w:t>于</w:t>
              </w:r>
              <w:r w:rsidRPr="000752D2">
                <w:rPr>
                  <w:szCs w:val="21"/>
                </w:rPr>
                <w:t>2022年12月31日，账龄超过一年的应付账款为人民币222,932,587元 (2021年12月31日：人民币616,090,625元)，主要为材料采购及接受服务形成的未付款。</w:t>
              </w:r>
            </w:p>
          </w:sdtContent>
        </w:sdt>
      </w:sdtContent>
    </w:sdt>
    <w:p w:rsidR="00425440" w:rsidRDefault="00425440">
      <w:pPr>
        <w:snapToGrid w:val="0"/>
        <w:spacing w:line="240" w:lineRule="atLeast"/>
        <w:rPr>
          <w:szCs w:val="21"/>
        </w:rPr>
        <w:sectPr w:rsidR="00425440" w:rsidSect="00F41343">
          <w:pgSz w:w="11906" w:h="16838"/>
          <w:pgMar w:top="1440" w:right="1797" w:bottom="1525" w:left="1276" w:header="856" w:footer="992" w:gutter="0"/>
          <w:cols w:space="425"/>
          <w:docGrid w:type="lines" w:linePitch="312"/>
        </w:sectPr>
      </w:pPr>
    </w:p>
    <w:p w:rsidR="00806678" w:rsidRDefault="00B16377" w:rsidP="00FF17C7">
      <w:pPr>
        <w:pStyle w:val="3"/>
        <w:numPr>
          <w:ilvl w:val="0"/>
          <w:numId w:val="18"/>
        </w:numPr>
        <w:tabs>
          <w:tab w:val="left" w:pos="504"/>
        </w:tabs>
        <w:rPr>
          <w:rFonts w:ascii="宋体" w:hAnsi="宋体"/>
          <w:szCs w:val="21"/>
        </w:rPr>
      </w:pPr>
      <w:r>
        <w:rPr>
          <w:rFonts w:ascii="宋体" w:hAnsi="宋体" w:hint="eastAsia"/>
          <w:szCs w:val="21"/>
        </w:rPr>
        <w:lastRenderedPageBreak/>
        <w:t>预收款项</w:t>
      </w:r>
    </w:p>
    <w:sdt>
      <w:sdtPr>
        <w:rPr>
          <w:rFonts w:ascii="宋体" w:eastAsia="宋体" w:hAnsi="宋体" w:cs="宋体" w:hint="eastAsia"/>
          <w:b w:val="0"/>
          <w:bCs w:val="0"/>
          <w:kern w:val="0"/>
          <w:szCs w:val="24"/>
        </w:rPr>
        <w:alias w:val="模块:预收账款情况"/>
        <w:tag w:val="_SEC_6c51b7b8aad944a6a7343a7c4468bc35"/>
        <w:id w:val="-1694531492"/>
        <w:lock w:val="sdtLocked"/>
        <w:placeholder>
          <w:docPart w:val="GBC22222222222222222222222222222"/>
        </w:placeholder>
      </w:sdtPr>
      <w:sdtEndPr>
        <w:rPr>
          <w:rFonts w:hint="default"/>
        </w:rPr>
      </w:sdtEndPr>
      <w:sdtContent>
        <w:p w:rsidR="00806678" w:rsidRDefault="00B16377" w:rsidP="00FF17C7">
          <w:pPr>
            <w:pStyle w:val="4"/>
            <w:numPr>
              <w:ilvl w:val="0"/>
              <w:numId w:val="47"/>
            </w:numPr>
          </w:pPr>
          <w:r>
            <w:rPr>
              <w:rFonts w:hint="eastAsia"/>
            </w:rPr>
            <w:t>预收账款项列示</w:t>
          </w:r>
        </w:p>
        <w:sdt>
          <w:sdtPr>
            <w:alias w:val="是否适用：预收账款项列示[双击切换]"/>
            <w:tag w:val="_GBC_87fabe8d5b22400ca19233d7f82c54fc"/>
            <w:id w:val="238835542"/>
            <w:lock w:val="sdtLocked"/>
            <w:placeholder>
              <w:docPart w:val="GBC22222222222222222222222222222"/>
            </w:placeholder>
          </w:sdtPr>
          <w:sdtContent>
            <w:p w:rsidR="00806678" w:rsidRDefault="00F80B6C">
              <w:r>
                <w:fldChar w:fldCharType="begin"/>
              </w:r>
              <w:r w:rsidR="009C54D9">
                <w:instrText xml:space="preserve">MACROBUTTON  SnrToggleCheckbox √适用 </w:instrText>
              </w:r>
              <w:r>
                <w:fldChar w:fldCharType="end"/>
              </w:r>
              <w:r>
                <w:fldChar w:fldCharType="begin"/>
              </w:r>
              <w:r w:rsidR="009C54D9">
                <w:instrText xml:space="preserve"> MACROBUTTON  SnrToggleCheckbox □不适用 </w:instrText>
              </w:r>
              <w:r>
                <w:fldChar w:fldCharType="end"/>
              </w:r>
            </w:p>
          </w:sdtContent>
        </w:sdt>
        <w:p w:rsidR="00806678" w:rsidRDefault="00B16377">
          <w:pPr>
            <w:jc w:val="right"/>
            <w:rPr>
              <w:szCs w:val="21"/>
            </w:rPr>
          </w:pPr>
          <w:r>
            <w:rPr>
              <w:rFonts w:hint="eastAsia"/>
              <w:szCs w:val="21"/>
            </w:rPr>
            <w:t>单位：</w:t>
          </w:r>
          <w:sdt>
            <w:sdtPr>
              <w:rPr>
                <w:rFonts w:hint="eastAsia"/>
                <w:szCs w:val="21"/>
              </w:rPr>
              <w:alias w:val="单位：财务附注：预收账款情况"/>
              <w:tag w:val="_GBC_4fab9f590de5470ea6904b137451f241"/>
              <w:id w:val="47003273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预收账款情况"/>
              <w:tag w:val="_GBC_b59ed32203e141d0aee0063632b10524"/>
              <w:id w:val="-176212987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98"/>
            <w:gridCol w:w="3078"/>
            <w:gridCol w:w="3073"/>
          </w:tblGrid>
          <w:tr w:rsidR="00F22FF3" w:rsidTr="00601D47">
            <w:sdt>
              <w:sdtPr>
                <w:tag w:val="_PLD_d5178a0aff824e07b02041ccbb504bd9"/>
                <w:id w:val="1739046986"/>
                <w:lock w:val="sdtLocked"/>
              </w:sdtPr>
              <w:sdtContent>
                <w:tc>
                  <w:tcPr>
                    <w:tcW w:w="1601" w:type="pct"/>
                    <w:shd w:val="clear" w:color="auto" w:fill="auto"/>
                  </w:tcPr>
                  <w:p w:rsidR="00F22FF3" w:rsidRDefault="00F22FF3" w:rsidP="00601D47">
                    <w:pPr>
                      <w:jc w:val="center"/>
                      <w:rPr>
                        <w:szCs w:val="21"/>
                      </w:rPr>
                    </w:pPr>
                    <w:r>
                      <w:rPr>
                        <w:rFonts w:hint="eastAsia"/>
                        <w:szCs w:val="21"/>
                      </w:rPr>
                      <w:t>项目</w:t>
                    </w:r>
                  </w:p>
                </w:tc>
              </w:sdtContent>
            </w:sdt>
            <w:sdt>
              <w:sdtPr>
                <w:tag w:val="_PLD_4365dc5a9b404da5ab51b4fe0a65574b"/>
                <w:id w:val="1011423728"/>
                <w:lock w:val="sdtLocked"/>
              </w:sdtPr>
              <w:sdtContent>
                <w:tc>
                  <w:tcPr>
                    <w:tcW w:w="1701" w:type="pct"/>
                    <w:shd w:val="clear" w:color="auto" w:fill="auto"/>
                  </w:tcPr>
                  <w:p w:rsidR="00F22FF3" w:rsidRDefault="00F22FF3" w:rsidP="00601D47">
                    <w:pPr>
                      <w:jc w:val="center"/>
                      <w:rPr>
                        <w:szCs w:val="21"/>
                      </w:rPr>
                    </w:pPr>
                    <w:r>
                      <w:rPr>
                        <w:rFonts w:hint="eastAsia"/>
                        <w:szCs w:val="21"/>
                      </w:rPr>
                      <w:t>期末余额</w:t>
                    </w:r>
                  </w:p>
                </w:tc>
              </w:sdtContent>
            </w:sdt>
            <w:sdt>
              <w:sdtPr>
                <w:tag w:val="_PLD_319db0af23654ebca500fecfff199482"/>
                <w:id w:val="1517339604"/>
                <w:lock w:val="sdtLocked"/>
              </w:sdtPr>
              <w:sdtContent>
                <w:tc>
                  <w:tcPr>
                    <w:tcW w:w="1698" w:type="pct"/>
                    <w:shd w:val="clear" w:color="auto" w:fill="auto"/>
                  </w:tcPr>
                  <w:p w:rsidR="00F22FF3" w:rsidRDefault="00F22FF3" w:rsidP="00601D47">
                    <w:pPr>
                      <w:jc w:val="center"/>
                      <w:rPr>
                        <w:szCs w:val="21"/>
                      </w:rPr>
                    </w:pPr>
                    <w:r>
                      <w:rPr>
                        <w:rFonts w:hint="eastAsia"/>
                        <w:szCs w:val="21"/>
                      </w:rPr>
                      <w:t>期初余额</w:t>
                    </w:r>
                  </w:p>
                </w:tc>
              </w:sdtContent>
            </w:sdt>
          </w:tr>
          <w:sdt>
            <w:sdtPr>
              <w:rPr>
                <w:rFonts w:hint="eastAsia"/>
                <w:szCs w:val="21"/>
              </w:rPr>
              <w:alias w:val="预收账款情况明细"/>
              <w:tag w:val="_TUP_0af6e828511d4083b0185cdfce7c8ab4"/>
              <w:id w:val="-115981643"/>
              <w:lock w:val="sdtLocked"/>
            </w:sdtPr>
            <w:sdtContent>
              <w:tr w:rsidR="00F22FF3" w:rsidTr="00601D47">
                <w:tc>
                  <w:tcPr>
                    <w:tcW w:w="1601" w:type="pct"/>
                    <w:shd w:val="clear" w:color="auto" w:fill="auto"/>
                  </w:tcPr>
                  <w:p w:rsidR="00F22FF3" w:rsidRDefault="00F22FF3" w:rsidP="00601D47">
                    <w:pPr>
                      <w:rPr>
                        <w:szCs w:val="21"/>
                      </w:rPr>
                    </w:pPr>
                    <w:r w:rsidRPr="00F22FF3">
                      <w:rPr>
                        <w:rFonts w:hint="eastAsia"/>
                        <w:szCs w:val="21"/>
                      </w:rPr>
                      <w:t>预收租金</w:t>
                    </w:r>
                  </w:p>
                </w:tc>
                <w:tc>
                  <w:tcPr>
                    <w:tcW w:w="1701" w:type="pct"/>
                    <w:shd w:val="clear" w:color="auto" w:fill="auto"/>
                  </w:tcPr>
                  <w:p w:rsidR="00F22FF3" w:rsidRDefault="00F22FF3" w:rsidP="00601D47">
                    <w:pPr>
                      <w:jc w:val="right"/>
                      <w:rPr>
                        <w:szCs w:val="21"/>
                      </w:rPr>
                    </w:pPr>
                    <w:r>
                      <w:t>9,802,580</w:t>
                    </w:r>
                  </w:p>
                </w:tc>
                <w:tc>
                  <w:tcPr>
                    <w:tcW w:w="1698" w:type="pct"/>
                    <w:shd w:val="clear" w:color="auto" w:fill="auto"/>
                  </w:tcPr>
                  <w:p w:rsidR="00F22FF3" w:rsidRDefault="00F22FF3" w:rsidP="00601D47">
                    <w:pPr>
                      <w:jc w:val="right"/>
                      <w:rPr>
                        <w:szCs w:val="21"/>
                      </w:rPr>
                    </w:pPr>
                    <w:r>
                      <w:t>6,840,252</w:t>
                    </w:r>
                  </w:p>
                </w:tc>
              </w:tr>
            </w:sdtContent>
          </w:sdt>
          <w:tr w:rsidR="00F22FF3" w:rsidTr="00601D47">
            <w:sdt>
              <w:sdtPr>
                <w:tag w:val="_PLD_3803b4f46dba4b32a39eb56ce03e1481"/>
                <w:id w:val="1690181067"/>
                <w:lock w:val="sdtLocked"/>
              </w:sdtPr>
              <w:sdtContent>
                <w:tc>
                  <w:tcPr>
                    <w:tcW w:w="1601" w:type="pct"/>
                    <w:shd w:val="clear" w:color="auto" w:fill="auto"/>
                  </w:tcPr>
                  <w:p w:rsidR="00F22FF3" w:rsidRDefault="00F22FF3" w:rsidP="00601D47">
                    <w:pPr>
                      <w:jc w:val="center"/>
                      <w:rPr>
                        <w:color w:val="000000" w:themeColor="text1"/>
                        <w:szCs w:val="21"/>
                      </w:rPr>
                    </w:pPr>
                    <w:r>
                      <w:rPr>
                        <w:rFonts w:hint="eastAsia"/>
                        <w:color w:val="000000" w:themeColor="text1"/>
                        <w:szCs w:val="21"/>
                      </w:rPr>
                      <w:t>合计</w:t>
                    </w:r>
                  </w:p>
                </w:tc>
              </w:sdtContent>
            </w:sdt>
            <w:tc>
              <w:tcPr>
                <w:tcW w:w="1701" w:type="pct"/>
                <w:shd w:val="clear" w:color="auto" w:fill="auto"/>
              </w:tcPr>
              <w:p w:rsidR="00F22FF3" w:rsidRDefault="00F22FF3" w:rsidP="00601D47">
                <w:pPr>
                  <w:jc w:val="right"/>
                  <w:rPr>
                    <w:szCs w:val="21"/>
                  </w:rPr>
                </w:pPr>
                <w:r>
                  <w:t>9,802,580</w:t>
                </w:r>
              </w:p>
            </w:tc>
            <w:tc>
              <w:tcPr>
                <w:tcW w:w="1698" w:type="pct"/>
                <w:shd w:val="clear" w:color="auto" w:fill="auto"/>
              </w:tcPr>
              <w:p w:rsidR="00F22FF3" w:rsidRDefault="00F22FF3" w:rsidP="00601D47">
                <w:pPr>
                  <w:jc w:val="right"/>
                  <w:rPr>
                    <w:szCs w:val="21"/>
                  </w:rPr>
                </w:pPr>
                <w:r>
                  <w:t>6,840,252</w:t>
                </w:r>
              </w:p>
            </w:tc>
          </w:tr>
        </w:tbl>
        <w:p w:rsidR="00806678" w:rsidRDefault="00F80B6C"/>
      </w:sdtContent>
    </w:sdt>
    <w:sdt>
      <w:sdtPr>
        <w:rPr>
          <w:rFonts w:ascii="宋体" w:eastAsia="宋体" w:hAnsi="宋体" w:cstheme="minorBidi" w:hint="eastAsia"/>
          <w:b w:val="0"/>
          <w:bCs w:val="0"/>
          <w:kern w:val="0"/>
          <w:szCs w:val="21"/>
        </w:rPr>
        <w:alias w:val="模块:账龄超过1年的重要预收款项"/>
        <w:tag w:val="_SEC_1558d55950074b35a4413fcf746a38ce"/>
        <w:id w:val="95211671"/>
        <w:lock w:val="sdtLocked"/>
        <w:placeholder>
          <w:docPart w:val="GBC22222222222222222222222222222"/>
        </w:placeholder>
      </w:sdtPr>
      <w:sdtContent>
        <w:p w:rsidR="00806678" w:rsidRDefault="00B16377" w:rsidP="00FF17C7">
          <w:pPr>
            <w:pStyle w:val="4"/>
            <w:numPr>
              <w:ilvl w:val="0"/>
              <w:numId w:val="47"/>
            </w:numPr>
          </w:pPr>
          <w:r>
            <w:rPr>
              <w:rFonts w:hint="eastAsia"/>
            </w:rPr>
            <w:t>账龄超过</w:t>
          </w:r>
          <w:r>
            <w:t>1年的重要预收款项</w:t>
          </w:r>
        </w:p>
        <w:sdt>
          <w:sdtPr>
            <w:alias w:val="是否适用：账龄超过1年的重要预收款项[双击切换]"/>
            <w:tag w:val="_GBC_79146ea4ecd2426b824d2bcf21203a69"/>
            <w:id w:val="-416713078"/>
            <w:lock w:val="sdtLocked"/>
            <w:placeholder>
              <w:docPart w:val="GBC22222222222222222222222222222"/>
            </w:placeholder>
          </w:sdtPr>
          <w:sdtContent>
            <w:p w:rsidR="00806678" w:rsidRDefault="00F80B6C" w:rsidP="00F22FF3">
              <w:pPr>
                <w:rPr>
                  <w:rFonts w:cstheme="minorBidi"/>
                  <w:szCs w:val="21"/>
                </w:rPr>
              </w:pPr>
              <w:r>
                <w:fldChar w:fldCharType="begin"/>
              </w:r>
              <w:r w:rsidR="00F22FF3">
                <w:instrText xml:space="preserve">MACROBUTTON  SnrToggleCheckbox □适用 </w:instrText>
              </w:r>
              <w:r>
                <w:fldChar w:fldCharType="end"/>
              </w:r>
              <w:r>
                <w:fldChar w:fldCharType="begin"/>
              </w:r>
              <w:r w:rsidR="00F22FF3">
                <w:instrText xml:space="preserve"> MACROBUTTON  SnrToggleCheckbox √不适用 </w:instrText>
              </w:r>
              <w:r>
                <w:fldChar w:fldCharType="end"/>
              </w:r>
            </w:p>
          </w:sdtContent>
        </w:sdt>
        <w:bookmarkStart w:id="216" w:name="_Hlk131003155" w:displacedByCustomXml="next"/>
      </w:sdtContent>
    </w:sdt>
    <w:bookmarkEnd w:id="216" w:displacedByCustomXml="prev"/>
    <w:sdt>
      <w:sdtPr>
        <w:rPr>
          <w:rFonts w:hint="eastAsia"/>
          <w:b/>
          <w:bCs/>
        </w:rPr>
        <w:alias w:val="模块:预收账款的其他说明"/>
        <w:tag w:val="_SEC_edc815d452784f559d4667a474aec74d"/>
        <w:id w:val="-87003104"/>
        <w:lock w:val="sdtLocked"/>
        <w:placeholder>
          <w:docPart w:val="GBC22222222222222222222222222222"/>
        </w:placeholder>
      </w:sdtPr>
      <w:sdtEndPr>
        <w:rPr>
          <w:rFonts w:cstheme="minorBidi" w:hint="default"/>
          <w:b w:val="0"/>
          <w:bCs w:val="0"/>
          <w:color w:val="000000" w:themeColor="text1"/>
          <w:kern w:val="2"/>
          <w:szCs w:val="21"/>
        </w:rPr>
      </w:sdtEndPr>
      <w:sdtContent>
        <w:p w:rsidR="00806678" w:rsidRDefault="00B16377">
          <w:r>
            <w:rPr>
              <w:rFonts w:hint="eastAsia"/>
            </w:rPr>
            <w:t>其他说明</w:t>
          </w:r>
        </w:p>
        <w:sdt>
          <w:sdtPr>
            <w:alias w:val="是否适用：预收账款的其他说明[双击切换]"/>
            <w:tag w:val="_GBC_c0e961ba454e4e2cb91293bde731349d"/>
            <w:id w:val="716396321"/>
            <w:lock w:val="sdtLocked"/>
            <w:placeholder>
              <w:docPart w:val="GBC22222222222222222222222222222"/>
            </w:placeholder>
          </w:sdtPr>
          <w:sdtContent>
            <w:p w:rsidR="00806678" w:rsidRDefault="00F80B6C" w:rsidP="00F22FF3">
              <w:pPr>
                <w:rPr>
                  <w:szCs w:val="21"/>
                </w:rPr>
              </w:pPr>
              <w:r>
                <w:fldChar w:fldCharType="begin"/>
              </w:r>
              <w:r w:rsidR="00F22FF3">
                <w:instrText xml:space="preserve">MACROBUTTON  SnrToggleCheckbox □适用 </w:instrText>
              </w:r>
              <w:r>
                <w:fldChar w:fldCharType="end"/>
              </w:r>
              <w:r>
                <w:fldChar w:fldCharType="begin"/>
              </w:r>
              <w:r w:rsidR="00F22FF3">
                <w:instrText xml:space="preserve"> MACROBUTTON  SnrToggleCheckbox √不适用 </w:instrText>
              </w:r>
              <w:r>
                <w:fldChar w:fldCharType="end"/>
              </w:r>
            </w:p>
          </w:sdtContent>
        </w:sdt>
        <w:p w:rsidR="00806678" w:rsidRDefault="00F80B6C">
          <w:pPr>
            <w:rPr>
              <w:rFonts w:cstheme="minorBidi"/>
              <w:color w:val="000000" w:themeColor="text1"/>
              <w:kern w:val="2"/>
              <w:szCs w:val="21"/>
            </w:rPr>
          </w:pPr>
        </w:p>
      </w:sdtContent>
    </w:sdt>
    <w:sdt>
      <w:sdtPr>
        <w:rPr>
          <w:rFonts w:ascii="宋体" w:hAnsi="宋体" w:cs="宋体" w:hint="eastAsia"/>
          <w:b w:val="0"/>
          <w:bCs w:val="0"/>
          <w:kern w:val="0"/>
          <w:szCs w:val="21"/>
        </w:rPr>
        <w:alias w:val="模块:合同负债"/>
        <w:tag w:val="_SEC_50463584535c4393bb0c203aa88e74ea"/>
        <w:id w:val="-367762794"/>
        <w:lock w:val="sdtLocked"/>
        <w:placeholder>
          <w:docPart w:val="GBC22222222222222222222222222222"/>
        </w:placeholder>
      </w:sdtPr>
      <w:sdtEndPr>
        <w:rPr>
          <w:rFonts w:hint="default"/>
          <w:szCs w:val="24"/>
        </w:rPr>
      </w:sdtEndPr>
      <w:sdtContent>
        <w:p w:rsidR="00806678" w:rsidRDefault="00B16377" w:rsidP="00FF17C7">
          <w:pPr>
            <w:pStyle w:val="3"/>
            <w:numPr>
              <w:ilvl w:val="0"/>
              <w:numId w:val="18"/>
            </w:numPr>
            <w:tabs>
              <w:tab w:val="left" w:pos="504"/>
            </w:tabs>
            <w:rPr>
              <w:szCs w:val="21"/>
            </w:rPr>
          </w:pPr>
          <w:r>
            <w:rPr>
              <w:rFonts w:hint="eastAsia"/>
              <w:szCs w:val="21"/>
            </w:rPr>
            <w:t>合同负债</w:t>
          </w:r>
        </w:p>
        <w:p w:rsidR="00806678" w:rsidRDefault="00B16377" w:rsidP="00FF17C7">
          <w:pPr>
            <w:pStyle w:val="4"/>
            <w:numPr>
              <w:ilvl w:val="0"/>
              <w:numId w:val="61"/>
            </w:numPr>
          </w:pPr>
          <w:r>
            <w:rPr>
              <w:rFonts w:hint="eastAsia"/>
            </w:rPr>
            <w:t>合同负债情况</w:t>
          </w:r>
        </w:p>
        <w:sdt>
          <w:sdtPr>
            <w:alias w:val="是否适用：合同负债情况[双击切换]"/>
            <w:tag w:val="_GBC_257112066c884c67acfede3a1536844a"/>
            <w:id w:val="-1194610859"/>
            <w:lock w:val="sdtLocked"/>
            <w:placeholder>
              <w:docPart w:val="GBC22222222222222222222222222222"/>
            </w:placeholder>
          </w:sdtPr>
          <w:sdtContent>
            <w:p w:rsidR="00806678" w:rsidRDefault="00F80B6C">
              <w:r>
                <w:fldChar w:fldCharType="begin"/>
              </w:r>
              <w:r w:rsidR="00F22FF3">
                <w:instrText xml:space="preserve"> MACROBUTTON  SnrToggleCheckbox √适用 </w:instrText>
              </w:r>
              <w:r>
                <w:fldChar w:fldCharType="end"/>
              </w:r>
              <w:r>
                <w:fldChar w:fldCharType="begin"/>
              </w:r>
              <w:r w:rsidR="00F22FF3">
                <w:instrText xml:space="preserve"> MACROBUTTON  SnrToggleCheckbox □不适用 </w:instrText>
              </w:r>
              <w:r>
                <w:fldChar w:fldCharType="end"/>
              </w:r>
            </w:p>
          </w:sdtContent>
        </w:sdt>
        <w:p w:rsidR="00806678" w:rsidRDefault="00B16377">
          <w:pPr>
            <w:ind w:left="360"/>
            <w:jc w:val="right"/>
          </w:pPr>
          <w:r>
            <w:rPr>
              <w:rFonts w:hint="eastAsia"/>
            </w:rPr>
            <w:t>单位：</w:t>
          </w:r>
          <w:sdt>
            <w:sdtPr>
              <w:rPr>
                <w:rFonts w:hint="eastAsia"/>
              </w:rPr>
              <w:alias w:val="单位：合同负债情况"/>
              <w:tag w:val="_GBC_ea58ca5e76b74f328a4691ca7c6cc941"/>
              <w:id w:val="-17743319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合同负债情况"/>
              <w:tag w:val="_GBC_58f1908d1f4c48699237bf8c7f3604da"/>
              <w:id w:val="-151236599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98"/>
            <w:gridCol w:w="3078"/>
            <w:gridCol w:w="3073"/>
          </w:tblGrid>
          <w:tr w:rsidR="00F22FF3" w:rsidTr="00601D47">
            <w:sdt>
              <w:sdtPr>
                <w:tag w:val="_PLD_c331ae60cae44b02b2a16eccd02434b1"/>
                <w:id w:val="-516458955"/>
                <w:lock w:val="sdtLocked"/>
              </w:sdtPr>
              <w:sdtContent>
                <w:tc>
                  <w:tcPr>
                    <w:tcW w:w="1601" w:type="pct"/>
                    <w:shd w:val="clear" w:color="auto" w:fill="auto"/>
                  </w:tcPr>
                  <w:p w:rsidR="00F22FF3" w:rsidRDefault="00F22FF3" w:rsidP="00601D47">
                    <w:pPr>
                      <w:jc w:val="center"/>
                      <w:rPr>
                        <w:szCs w:val="21"/>
                      </w:rPr>
                    </w:pPr>
                    <w:r>
                      <w:rPr>
                        <w:rFonts w:hint="eastAsia"/>
                        <w:szCs w:val="21"/>
                      </w:rPr>
                      <w:t>项目</w:t>
                    </w:r>
                  </w:p>
                </w:tc>
              </w:sdtContent>
            </w:sdt>
            <w:sdt>
              <w:sdtPr>
                <w:tag w:val="_PLD_1619b2dd861a497cbc814256ed0e2957"/>
                <w:id w:val="558830490"/>
                <w:lock w:val="sdtLocked"/>
              </w:sdtPr>
              <w:sdtContent>
                <w:tc>
                  <w:tcPr>
                    <w:tcW w:w="1701" w:type="pct"/>
                    <w:shd w:val="clear" w:color="auto" w:fill="auto"/>
                    <w:vAlign w:val="center"/>
                  </w:tcPr>
                  <w:p w:rsidR="00F22FF3" w:rsidRDefault="00F22FF3" w:rsidP="00601D47">
                    <w:pPr>
                      <w:autoSpaceDE w:val="0"/>
                      <w:autoSpaceDN w:val="0"/>
                      <w:adjustRightInd w:val="0"/>
                      <w:snapToGrid w:val="0"/>
                      <w:spacing w:line="240" w:lineRule="atLeast"/>
                      <w:jc w:val="center"/>
                      <w:rPr>
                        <w:szCs w:val="21"/>
                      </w:rPr>
                    </w:pPr>
                    <w:r>
                      <w:rPr>
                        <w:rFonts w:hint="eastAsia"/>
                        <w:szCs w:val="21"/>
                      </w:rPr>
                      <w:t>期末余额</w:t>
                    </w:r>
                  </w:p>
                </w:tc>
              </w:sdtContent>
            </w:sdt>
            <w:sdt>
              <w:sdtPr>
                <w:tag w:val="_PLD_6341013bed194ee78619c433ebd01fda"/>
                <w:id w:val="1506479780"/>
                <w:lock w:val="sdtLocked"/>
              </w:sdtPr>
              <w:sdtContent>
                <w:tc>
                  <w:tcPr>
                    <w:tcW w:w="1698" w:type="pct"/>
                    <w:shd w:val="clear" w:color="auto" w:fill="auto"/>
                    <w:vAlign w:val="center"/>
                  </w:tcPr>
                  <w:p w:rsidR="00F22FF3" w:rsidRDefault="00F22FF3" w:rsidP="00601D47">
                    <w:pPr>
                      <w:autoSpaceDE w:val="0"/>
                      <w:autoSpaceDN w:val="0"/>
                      <w:adjustRightInd w:val="0"/>
                      <w:snapToGrid w:val="0"/>
                      <w:spacing w:line="240" w:lineRule="atLeast"/>
                      <w:jc w:val="center"/>
                      <w:rPr>
                        <w:szCs w:val="21"/>
                      </w:rPr>
                    </w:pPr>
                    <w:r>
                      <w:rPr>
                        <w:rFonts w:hint="eastAsia"/>
                        <w:szCs w:val="21"/>
                      </w:rPr>
                      <w:t>期初余额</w:t>
                    </w:r>
                  </w:p>
                </w:tc>
              </w:sdtContent>
            </w:sdt>
          </w:tr>
          <w:sdt>
            <w:sdtPr>
              <w:rPr>
                <w:color w:val="000000"/>
                <w:szCs w:val="21"/>
              </w:rPr>
              <w:alias w:val="合同负债明细"/>
              <w:tag w:val="_TUP_d67f2b4ee3494c068d1ece80b5bc3fb5"/>
              <w:id w:val="-350416621"/>
              <w:lock w:val="sdtLocked"/>
            </w:sdtPr>
            <w:sdtContent>
              <w:tr w:rsidR="00F22FF3" w:rsidTr="00601D47">
                <w:tc>
                  <w:tcPr>
                    <w:tcW w:w="1601" w:type="pct"/>
                    <w:shd w:val="clear" w:color="auto" w:fill="auto"/>
                  </w:tcPr>
                  <w:p w:rsidR="00F22FF3" w:rsidRDefault="00F22FF3" w:rsidP="00601D47">
                    <w:pPr>
                      <w:rPr>
                        <w:szCs w:val="21"/>
                      </w:rPr>
                    </w:pPr>
                    <w:r>
                      <w:t>预收运费</w:t>
                    </w:r>
                  </w:p>
                </w:tc>
                <w:tc>
                  <w:tcPr>
                    <w:tcW w:w="1701" w:type="pct"/>
                    <w:shd w:val="clear" w:color="auto" w:fill="auto"/>
                  </w:tcPr>
                  <w:p w:rsidR="00F22FF3" w:rsidRDefault="00F22FF3" w:rsidP="00601D47">
                    <w:pPr>
                      <w:jc w:val="right"/>
                      <w:rPr>
                        <w:szCs w:val="21"/>
                      </w:rPr>
                    </w:pPr>
                    <w:r>
                      <w:t>1,865,486,350</w:t>
                    </w:r>
                  </w:p>
                </w:tc>
                <w:tc>
                  <w:tcPr>
                    <w:tcW w:w="1698" w:type="pct"/>
                    <w:shd w:val="clear" w:color="auto" w:fill="auto"/>
                  </w:tcPr>
                  <w:p w:rsidR="00F22FF3" w:rsidRDefault="00F22FF3" w:rsidP="00601D47">
                    <w:pPr>
                      <w:jc w:val="right"/>
                      <w:rPr>
                        <w:szCs w:val="21"/>
                      </w:rPr>
                    </w:pPr>
                    <w:r>
                      <w:t>1,582,900,583</w:t>
                    </w:r>
                  </w:p>
                </w:tc>
              </w:tr>
            </w:sdtContent>
          </w:sdt>
          <w:sdt>
            <w:sdtPr>
              <w:rPr>
                <w:color w:val="000000"/>
                <w:szCs w:val="21"/>
              </w:rPr>
              <w:alias w:val="合同负债明细"/>
              <w:tag w:val="_TUP_d67f2b4ee3494c068d1ece80b5bc3fb5"/>
              <w:id w:val="1098827782"/>
              <w:lock w:val="sdtLocked"/>
            </w:sdtPr>
            <w:sdtContent>
              <w:tr w:rsidR="00F22FF3" w:rsidTr="00601D47">
                <w:tc>
                  <w:tcPr>
                    <w:tcW w:w="1601" w:type="pct"/>
                    <w:shd w:val="clear" w:color="auto" w:fill="auto"/>
                  </w:tcPr>
                  <w:p w:rsidR="00F22FF3" w:rsidRDefault="00F22FF3" w:rsidP="00601D47">
                    <w:pPr>
                      <w:rPr>
                        <w:szCs w:val="21"/>
                      </w:rPr>
                    </w:pPr>
                    <w:r>
                      <w:t>其他</w:t>
                    </w:r>
                  </w:p>
                </w:tc>
                <w:tc>
                  <w:tcPr>
                    <w:tcW w:w="1701" w:type="pct"/>
                    <w:shd w:val="clear" w:color="auto" w:fill="auto"/>
                  </w:tcPr>
                  <w:p w:rsidR="00F22FF3" w:rsidRDefault="00F22FF3" w:rsidP="00601D47">
                    <w:pPr>
                      <w:jc w:val="right"/>
                      <w:rPr>
                        <w:szCs w:val="21"/>
                      </w:rPr>
                    </w:pPr>
                    <w:r>
                      <w:t>162,049,664</w:t>
                    </w:r>
                  </w:p>
                </w:tc>
                <w:tc>
                  <w:tcPr>
                    <w:tcW w:w="1698" w:type="pct"/>
                    <w:shd w:val="clear" w:color="auto" w:fill="auto"/>
                  </w:tcPr>
                  <w:p w:rsidR="00F22FF3" w:rsidRDefault="00F22FF3" w:rsidP="00601D47">
                    <w:pPr>
                      <w:jc w:val="right"/>
                      <w:rPr>
                        <w:szCs w:val="21"/>
                      </w:rPr>
                    </w:pPr>
                    <w:r>
                      <w:t>179,129,526</w:t>
                    </w:r>
                  </w:p>
                </w:tc>
              </w:tr>
            </w:sdtContent>
          </w:sdt>
          <w:tr w:rsidR="00F22FF3" w:rsidTr="00601D47">
            <w:sdt>
              <w:sdtPr>
                <w:tag w:val="_PLD_4e3bb8ab3c904307b3e330dc2e7b09a4"/>
                <w:id w:val="-139115524"/>
                <w:lock w:val="sdtLocked"/>
              </w:sdtPr>
              <w:sdtContent>
                <w:tc>
                  <w:tcPr>
                    <w:tcW w:w="1601" w:type="pct"/>
                    <w:shd w:val="clear" w:color="auto" w:fill="auto"/>
                  </w:tcPr>
                  <w:p w:rsidR="00F22FF3" w:rsidRDefault="00F22FF3" w:rsidP="00F22FF3">
                    <w:pPr>
                      <w:jc w:val="center"/>
                      <w:rPr>
                        <w:color w:val="000000"/>
                        <w:szCs w:val="21"/>
                      </w:rPr>
                    </w:pPr>
                    <w:r>
                      <w:rPr>
                        <w:rFonts w:hint="eastAsia"/>
                        <w:color w:val="000000"/>
                        <w:szCs w:val="21"/>
                      </w:rPr>
                      <w:t>合计</w:t>
                    </w:r>
                  </w:p>
                </w:tc>
              </w:sdtContent>
            </w:sdt>
            <w:tc>
              <w:tcPr>
                <w:tcW w:w="1701" w:type="pct"/>
                <w:shd w:val="clear" w:color="auto" w:fill="auto"/>
                <w:vAlign w:val="center"/>
              </w:tcPr>
              <w:p w:rsidR="00F22FF3" w:rsidRDefault="00F22FF3" w:rsidP="00F22FF3">
                <w:pPr>
                  <w:jc w:val="right"/>
                  <w:rPr>
                    <w:szCs w:val="21"/>
                  </w:rPr>
                </w:pPr>
                <w:r>
                  <w:t>2,027,536,014</w:t>
                </w:r>
              </w:p>
            </w:tc>
            <w:tc>
              <w:tcPr>
                <w:tcW w:w="1698" w:type="pct"/>
                <w:shd w:val="clear" w:color="auto" w:fill="auto"/>
                <w:vAlign w:val="center"/>
              </w:tcPr>
              <w:p w:rsidR="00F22FF3" w:rsidRDefault="00F22FF3" w:rsidP="00F22FF3">
                <w:pPr>
                  <w:jc w:val="right"/>
                  <w:rPr>
                    <w:szCs w:val="21"/>
                  </w:rPr>
                </w:pPr>
                <w:r>
                  <w:t>1,762,030,109</w:t>
                </w:r>
              </w:p>
            </w:tc>
          </w:tr>
        </w:tbl>
        <w:p w:rsidR="00806678" w:rsidRDefault="00F80B6C"/>
      </w:sdtContent>
    </w:sdt>
    <w:sdt>
      <w:sdtPr>
        <w:rPr>
          <w:rFonts w:ascii="宋体" w:eastAsia="宋体" w:hAnsi="宋体" w:cs="宋体" w:hint="eastAsia"/>
          <w:b w:val="0"/>
          <w:bCs w:val="0"/>
          <w:kern w:val="0"/>
          <w:szCs w:val="24"/>
        </w:rPr>
        <w:alias w:val="模块:报告期内账面价值发生重大变动的金额和原因"/>
        <w:tag w:val="_SEC_6fed4fed5399438cae08eee39c94b152"/>
        <w:id w:val="-1605184330"/>
        <w:lock w:val="sdtLocked"/>
        <w:placeholder>
          <w:docPart w:val="GBC22222222222222222222222222222"/>
        </w:placeholder>
      </w:sdtPr>
      <w:sdtEndPr>
        <w:rPr>
          <w:rFonts w:hint="default"/>
          <w:szCs w:val="21"/>
        </w:rPr>
      </w:sdtEndPr>
      <w:sdtContent>
        <w:p w:rsidR="00806678" w:rsidRDefault="00B16377" w:rsidP="00FF17C7">
          <w:pPr>
            <w:pStyle w:val="4"/>
            <w:numPr>
              <w:ilvl w:val="0"/>
              <w:numId w:val="61"/>
            </w:numPr>
          </w:pPr>
          <w:r>
            <w:rPr>
              <w:rFonts w:hint="eastAsia"/>
            </w:rPr>
            <w:t>报告期内账面价值发生重大变动的金额和原因</w:t>
          </w:r>
        </w:p>
        <w:sdt>
          <w:sdtPr>
            <w:rPr>
              <w:szCs w:val="21"/>
            </w:rPr>
            <w:alias w:val="是否适用：合同负债账面价值发生重大变动[双击切换]"/>
            <w:tag w:val="_GBC_267fd365085f4836b846799edc8c3765"/>
            <w:id w:val="313063400"/>
            <w:lock w:val="sdtLocked"/>
            <w:placeholder>
              <w:docPart w:val="GBC22222222222222222222222222222"/>
            </w:placeholder>
          </w:sdtPr>
          <w:sdtContent>
            <w:p w:rsidR="00806678" w:rsidRDefault="00F80B6C" w:rsidP="00B63458">
              <w:pPr>
                <w:rPr>
                  <w:szCs w:val="21"/>
                </w:rPr>
              </w:pPr>
              <w:r>
                <w:rPr>
                  <w:szCs w:val="21"/>
                </w:rPr>
                <w:fldChar w:fldCharType="begin"/>
              </w:r>
              <w:r w:rsidR="00B63458">
                <w:rPr>
                  <w:szCs w:val="21"/>
                </w:rPr>
                <w:instrText xml:space="preserve"> MACROBUTTON  SnrToggleCheckbox □适用 </w:instrText>
              </w:r>
              <w:r>
                <w:rPr>
                  <w:szCs w:val="21"/>
                </w:rPr>
                <w:fldChar w:fldCharType="end"/>
              </w:r>
              <w:r>
                <w:rPr>
                  <w:szCs w:val="21"/>
                </w:rPr>
                <w:fldChar w:fldCharType="begin"/>
              </w:r>
              <w:r w:rsidR="00B63458">
                <w:rPr>
                  <w:szCs w:val="21"/>
                </w:rPr>
                <w:instrText xml:space="preserve"> MACROBUTTON  SnrToggleCheckbox √不适用 </w:instrText>
              </w:r>
              <w:r>
                <w:rPr>
                  <w:szCs w:val="21"/>
                </w:rPr>
                <w:fldChar w:fldCharType="end"/>
              </w:r>
            </w:p>
          </w:sdtContent>
        </w:sdt>
        <w:bookmarkStart w:id="217" w:name="_Hlk131003237" w:displacedByCustomXml="next"/>
      </w:sdtContent>
    </w:sdt>
    <w:bookmarkEnd w:id="217" w:displacedByCustomXml="prev"/>
    <w:sdt>
      <w:sdtPr>
        <w:rPr>
          <w:rFonts w:hint="eastAsia"/>
          <w:szCs w:val="21"/>
        </w:rPr>
        <w:alias w:val="模块:合同负债其他说明"/>
        <w:tag w:val="_SEC_d59a32c92f4547b59d45698ae473a887"/>
        <w:id w:val="127599392"/>
        <w:lock w:val="sdtLocked"/>
        <w:placeholder>
          <w:docPart w:val="GBC22222222222222222222222222222"/>
        </w:placeholder>
      </w:sdtPr>
      <w:sdtEndPr>
        <w:rPr>
          <w:rFonts w:hint="default"/>
          <w:szCs w:val="24"/>
        </w:rPr>
      </w:sdtEndPr>
      <w:sdtContent>
        <w:p w:rsidR="00806678" w:rsidRDefault="00B16377">
          <w:pPr>
            <w:rPr>
              <w:szCs w:val="21"/>
            </w:rPr>
          </w:pPr>
          <w:r>
            <w:rPr>
              <w:rFonts w:hint="eastAsia"/>
              <w:szCs w:val="21"/>
            </w:rPr>
            <w:t>其他说明：</w:t>
          </w:r>
        </w:p>
        <w:sdt>
          <w:sdtPr>
            <w:rPr>
              <w:szCs w:val="21"/>
            </w:rPr>
            <w:alias w:val="是否适用：合同负债其他说明[双击切换]"/>
            <w:tag w:val="_GBC_1c99003b181f47ebb73e6452f4bfa446"/>
            <w:id w:val="2059824217"/>
            <w:lock w:val="sdtLocked"/>
            <w:placeholder>
              <w:docPart w:val="GBC22222222222222222222222222222"/>
            </w:placeholder>
          </w:sdtPr>
          <w:sdtContent>
            <w:p w:rsidR="00806678" w:rsidRDefault="00F80B6C" w:rsidP="00F22FF3">
              <w:pPr>
                <w:rPr>
                  <w:szCs w:val="21"/>
                </w:rPr>
              </w:pPr>
              <w:r>
                <w:rPr>
                  <w:szCs w:val="21"/>
                </w:rPr>
                <w:fldChar w:fldCharType="begin"/>
              </w:r>
              <w:r w:rsidR="00B63458">
                <w:rPr>
                  <w:szCs w:val="21"/>
                </w:rPr>
                <w:instrText xml:space="preserve"> MACROBUTTON  SnrToggleCheckbox √适用 </w:instrText>
              </w:r>
              <w:r>
                <w:rPr>
                  <w:szCs w:val="21"/>
                </w:rPr>
                <w:fldChar w:fldCharType="end"/>
              </w:r>
              <w:r>
                <w:rPr>
                  <w:szCs w:val="21"/>
                </w:rPr>
                <w:fldChar w:fldCharType="begin"/>
              </w:r>
              <w:r w:rsidR="00B63458">
                <w:rPr>
                  <w:szCs w:val="21"/>
                </w:rPr>
                <w:instrText xml:space="preserve"> MACROBUTTON  SnrToggleCheckbox □不适用 </w:instrText>
              </w:r>
              <w:r>
                <w:rPr>
                  <w:szCs w:val="21"/>
                </w:rPr>
                <w:fldChar w:fldCharType="end"/>
              </w:r>
            </w:p>
          </w:sdtContent>
        </w:sdt>
        <w:sdt>
          <w:sdtPr>
            <w:alias w:val="合同负债其他说明"/>
            <w:tag w:val="_GBC_24dedae851f44d938b800a45b0471f2e"/>
            <w:id w:val="-545368848"/>
            <w:lock w:val="sdtLocked"/>
          </w:sdtPr>
          <w:sdtContent>
            <w:p w:rsidR="00732AC2" w:rsidRDefault="00732AC2" w:rsidP="00D355D1">
              <w:pPr>
                <w:tabs>
                  <w:tab w:val="left" w:pos="709"/>
                </w:tabs>
                <w:overflowPunct w:val="0"/>
                <w:adjustRightInd w:val="0"/>
                <w:snapToGrid w:val="0"/>
              </w:pPr>
            </w:p>
            <w:p w:rsidR="00B63458" w:rsidRPr="005A55D1" w:rsidRDefault="00D355D1" w:rsidP="00D355D1">
              <w:pPr>
                <w:tabs>
                  <w:tab w:val="left" w:pos="709"/>
                </w:tabs>
                <w:overflowPunct w:val="0"/>
                <w:adjustRightInd w:val="0"/>
                <w:snapToGrid w:val="0"/>
                <w:rPr>
                  <w:rFonts w:cs="Arial"/>
                  <w:sz w:val="22"/>
                  <w:szCs w:val="22"/>
                </w:rPr>
              </w:pPr>
              <w:r w:rsidRPr="00D355D1">
                <w:rPr>
                  <w:rFonts w:hint="eastAsia"/>
                </w:rPr>
                <w:t>根据太铁收函【</w:t>
              </w:r>
              <w:r w:rsidRPr="00D355D1">
                <w:t>2005】213号文件《关于印发 &lt;太原铁路局托运人预付铁路运杂费管理办法&gt; 的通知》，本集团自2005年9月起开始向客户预收运费。于2022年12月31日，合同负债中的预收运费 (不含税) 共计人民币1,865,486,350元。</w:t>
              </w:r>
            </w:p>
            <w:p w:rsidR="00806678" w:rsidRDefault="00F80B6C"/>
          </w:sdtContent>
        </w:sdt>
      </w:sdtContent>
    </w:sdt>
    <w:p w:rsidR="00806678" w:rsidRDefault="00B16377" w:rsidP="00FF17C7">
      <w:pPr>
        <w:pStyle w:val="3"/>
        <w:numPr>
          <w:ilvl w:val="0"/>
          <w:numId w:val="18"/>
        </w:numPr>
        <w:tabs>
          <w:tab w:val="left" w:pos="504"/>
        </w:tabs>
        <w:rPr>
          <w:rFonts w:ascii="宋体" w:hAnsi="宋体"/>
          <w:szCs w:val="21"/>
        </w:rPr>
      </w:pPr>
      <w:r>
        <w:rPr>
          <w:rFonts w:ascii="宋体" w:hAnsi="宋体" w:hint="eastAsia"/>
          <w:szCs w:val="21"/>
        </w:rPr>
        <w:t>应付职工薪酬</w:t>
      </w:r>
    </w:p>
    <w:sdt>
      <w:sdtPr>
        <w:rPr>
          <w:rFonts w:ascii="宋体" w:eastAsia="宋体" w:hAnsi="宋体" w:cs="宋体"/>
          <w:b w:val="0"/>
          <w:bCs w:val="0"/>
          <w:kern w:val="0"/>
          <w:szCs w:val="24"/>
        </w:rPr>
        <w:alias w:val="模块:应付职工薪酬列示："/>
        <w:tag w:val="_SEC_8ac62232cfc54f38aff1f89058d89f36"/>
        <w:id w:val="-1255745950"/>
        <w:lock w:val="sdtLocked"/>
        <w:placeholder>
          <w:docPart w:val="GBC22222222222222222222222222222"/>
        </w:placeholder>
      </w:sdtPr>
      <w:sdtContent>
        <w:p w:rsidR="00806678" w:rsidRDefault="00B16377" w:rsidP="00FF17C7">
          <w:pPr>
            <w:pStyle w:val="4"/>
            <w:numPr>
              <w:ilvl w:val="0"/>
              <w:numId w:val="94"/>
            </w:numPr>
          </w:pPr>
          <w:r>
            <w:rPr>
              <w:rFonts w:hint="eastAsia"/>
            </w:rPr>
            <w:t>应付职工薪酬列示</w:t>
          </w:r>
        </w:p>
        <w:sdt>
          <w:sdtPr>
            <w:alias w:val="是否适用：应付职工薪酬列示[双击切换]"/>
            <w:tag w:val="_GBC_215b41e091df4b2bbb2009fd3c8040b5"/>
            <w:id w:val="-1692292240"/>
            <w:lock w:val="sdtLocked"/>
            <w:placeholder>
              <w:docPart w:val="GBC22222222222222222222222222222"/>
            </w:placeholder>
          </w:sdtPr>
          <w:sdtContent>
            <w:p w:rsidR="00806678" w:rsidRDefault="00F80B6C">
              <w:r>
                <w:fldChar w:fldCharType="begin"/>
              </w:r>
              <w:r w:rsidR="0072365E">
                <w:instrText xml:space="preserve">MACROBUTTON  SnrToggleCheckbox √适用 </w:instrText>
              </w:r>
              <w:r>
                <w:fldChar w:fldCharType="end"/>
              </w:r>
              <w:r>
                <w:fldChar w:fldCharType="begin"/>
              </w:r>
              <w:r w:rsidR="0072365E">
                <w:instrText xml:space="preserve"> MACROBUTTON  SnrToggleCheckbox □不适用 </w:instrText>
              </w:r>
              <w:r>
                <w:fldChar w:fldCharType="end"/>
              </w:r>
            </w:p>
          </w:sdtContent>
        </w:sdt>
        <w:p w:rsidR="00806678" w:rsidRDefault="00B16377">
          <w:pPr>
            <w:jc w:val="right"/>
          </w:pPr>
          <w:r>
            <w:rPr>
              <w:rFonts w:hint="eastAsia"/>
            </w:rPr>
            <w:t>单位：</w:t>
          </w:r>
          <w:sdt>
            <w:sdtPr>
              <w:rPr>
                <w:rFonts w:hint="eastAsia"/>
              </w:rPr>
              <w:alias w:val="单位：财务附注：应付职工薪酬"/>
              <w:tag w:val="_GBC_6889c0e435324d63b7c01ed595a8e140"/>
              <w:id w:val="-100088966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应付职工薪酬"/>
              <w:tag w:val="_GBC_64bcd9de14a14550b941cbdaf7bdc974"/>
              <w:id w:val="151564842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93"/>
            <w:gridCol w:w="1702"/>
            <w:gridCol w:w="1702"/>
            <w:gridCol w:w="1842"/>
            <w:gridCol w:w="1710"/>
          </w:tblGrid>
          <w:tr w:rsidR="00806678" w:rsidTr="0072365E">
            <w:sdt>
              <w:sdtPr>
                <w:tag w:val="_PLD_4761dc2d96c64c3fb5d407cdbec097a2"/>
                <w:id w:val="1298489796"/>
                <w:lock w:val="sdtLocked"/>
              </w:sdtPr>
              <w:sdtContent>
                <w:tc>
                  <w:tcPr>
                    <w:tcW w:w="1156" w:type="pct"/>
                    <w:shd w:val="clear" w:color="auto" w:fill="auto"/>
                    <w:vAlign w:val="center"/>
                  </w:tcPr>
                  <w:p w:rsidR="00806678" w:rsidRDefault="00B16377">
                    <w:pPr>
                      <w:jc w:val="center"/>
                    </w:pPr>
                    <w:r>
                      <w:rPr>
                        <w:rFonts w:hint="eastAsia"/>
                      </w:rPr>
                      <w:t>项目</w:t>
                    </w:r>
                  </w:p>
                </w:tc>
              </w:sdtContent>
            </w:sdt>
            <w:sdt>
              <w:sdtPr>
                <w:tag w:val="_PLD_f666739d3c0f4f9891bd8f4974d101ec"/>
                <w:id w:val="-249346893"/>
                <w:lock w:val="sdtLocked"/>
              </w:sdtPr>
              <w:sdtContent>
                <w:tc>
                  <w:tcPr>
                    <w:tcW w:w="940" w:type="pct"/>
                    <w:shd w:val="clear" w:color="auto" w:fill="auto"/>
                    <w:vAlign w:val="center"/>
                  </w:tcPr>
                  <w:p w:rsidR="00806678" w:rsidRDefault="00B16377">
                    <w:pPr>
                      <w:jc w:val="center"/>
                    </w:pPr>
                    <w:r>
                      <w:rPr>
                        <w:rFonts w:hint="eastAsia"/>
                      </w:rPr>
                      <w:t>期初余额</w:t>
                    </w:r>
                  </w:p>
                </w:tc>
              </w:sdtContent>
            </w:sdt>
            <w:sdt>
              <w:sdtPr>
                <w:tag w:val="_PLD_cc701d3a5a44484d862c996437df1e7d"/>
                <w:id w:val="-680739879"/>
                <w:lock w:val="sdtLocked"/>
              </w:sdtPr>
              <w:sdtContent>
                <w:tc>
                  <w:tcPr>
                    <w:tcW w:w="940" w:type="pct"/>
                    <w:shd w:val="clear" w:color="auto" w:fill="auto"/>
                    <w:vAlign w:val="center"/>
                  </w:tcPr>
                  <w:p w:rsidR="00806678" w:rsidRDefault="00B16377">
                    <w:pPr>
                      <w:jc w:val="center"/>
                    </w:pPr>
                    <w:r>
                      <w:rPr>
                        <w:rFonts w:hint="eastAsia"/>
                      </w:rPr>
                      <w:t>本期增加</w:t>
                    </w:r>
                  </w:p>
                </w:tc>
              </w:sdtContent>
            </w:sdt>
            <w:sdt>
              <w:sdtPr>
                <w:tag w:val="_PLD_0e8f833fca684ce592b0cba6d04c75ef"/>
                <w:id w:val="-881704617"/>
                <w:lock w:val="sdtLocked"/>
              </w:sdtPr>
              <w:sdtContent>
                <w:tc>
                  <w:tcPr>
                    <w:tcW w:w="1018" w:type="pct"/>
                    <w:shd w:val="clear" w:color="auto" w:fill="auto"/>
                    <w:vAlign w:val="center"/>
                  </w:tcPr>
                  <w:p w:rsidR="00806678" w:rsidRDefault="00B16377">
                    <w:pPr>
                      <w:jc w:val="center"/>
                    </w:pPr>
                    <w:r>
                      <w:rPr>
                        <w:rFonts w:hint="eastAsia"/>
                      </w:rPr>
                      <w:t>本期减少</w:t>
                    </w:r>
                  </w:p>
                </w:tc>
              </w:sdtContent>
            </w:sdt>
            <w:sdt>
              <w:sdtPr>
                <w:tag w:val="_PLD_c39a265e94994f0480d13abd59d3eb39"/>
                <w:id w:val="16212018"/>
                <w:lock w:val="sdtLocked"/>
              </w:sdtPr>
              <w:sdtContent>
                <w:tc>
                  <w:tcPr>
                    <w:tcW w:w="945" w:type="pct"/>
                    <w:shd w:val="clear" w:color="auto" w:fill="auto"/>
                    <w:vAlign w:val="center"/>
                  </w:tcPr>
                  <w:p w:rsidR="00806678" w:rsidRDefault="00B16377">
                    <w:pPr>
                      <w:jc w:val="center"/>
                    </w:pPr>
                    <w:r>
                      <w:rPr>
                        <w:rFonts w:hint="eastAsia"/>
                      </w:rPr>
                      <w:t>期末余额</w:t>
                    </w:r>
                  </w:p>
                </w:tc>
              </w:sdtContent>
            </w:sdt>
          </w:tr>
          <w:tr w:rsidR="0072365E" w:rsidTr="0072365E">
            <w:sdt>
              <w:sdtPr>
                <w:tag w:val="_PLD_e3e45a1b3a8f49a9bebab9921a080935"/>
                <w:id w:val="-1285427301"/>
                <w:lock w:val="sdtLocked"/>
              </w:sdtPr>
              <w:sdtContent>
                <w:tc>
                  <w:tcPr>
                    <w:tcW w:w="1156" w:type="pct"/>
                    <w:shd w:val="clear" w:color="auto" w:fill="auto"/>
                  </w:tcPr>
                  <w:p w:rsidR="0072365E" w:rsidRDefault="0072365E" w:rsidP="0072365E">
                    <w:r>
                      <w:rPr>
                        <w:rFonts w:hint="eastAsia"/>
                      </w:rPr>
                      <w:t>一、短期薪酬</w:t>
                    </w:r>
                  </w:p>
                </w:tc>
              </w:sdtContent>
            </w:sdt>
            <w:tc>
              <w:tcPr>
                <w:tcW w:w="940" w:type="pct"/>
                <w:shd w:val="clear" w:color="auto" w:fill="auto"/>
                <w:vAlign w:val="center"/>
              </w:tcPr>
              <w:p w:rsidR="0072365E" w:rsidRDefault="0072365E" w:rsidP="0072365E">
                <w:pPr>
                  <w:jc w:val="right"/>
                </w:pPr>
                <w:r>
                  <w:t>1,170,101,788</w:t>
                </w:r>
              </w:p>
            </w:tc>
            <w:tc>
              <w:tcPr>
                <w:tcW w:w="940" w:type="pct"/>
                <w:shd w:val="clear" w:color="auto" w:fill="auto"/>
                <w:vAlign w:val="center"/>
              </w:tcPr>
              <w:p w:rsidR="0072365E" w:rsidRDefault="0072365E" w:rsidP="0072365E">
                <w:pPr>
                  <w:jc w:val="right"/>
                  <w:rPr>
                    <w:highlight w:val="yellow"/>
                  </w:rPr>
                </w:pPr>
                <w:r>
                  <w:t>18,655,549,133</w:t>
                </w:r>
              </w:p>
            </w:tc>
            <w:tc>
              <w:tcPr>
                <w:tcW w:w="1018" w:type="pct"/>
                <w:shd w:val="clear" w:color="auto" w:fill="auto"/>
                <w:vAlign w:val="center"/>
              </w:tcPr>
              <w:p w:rsidR="0072365E" w:rsidRDefault="0072365E" w:rsidP="0072365E">
                <w:pPr>
                  <w:jc w:val="right"/>
                  <w:rPr>
                    <w:highlight w:val="yellow"/>
                  </w:rPr>
                </w:pPr>
                <w:r>
                  <w:t>18,477,462,714</w:t>
                </w:r>
              </w:p>
            </w:tc>
            <w:tc>
              <w:tcPr>
                <w:tcW w:w="945" w:type="pct"/>
                <w:shd w:val="clear" w:color="auto" w:fill="auto"/>
                <w:vAlign w:val="center"/>
              </w:tcPr>
              <w:p w:rsidR="0072365E" w:rsidDel="0038014A" w:rsidRDefault="0072365E" w:rsidP="0072365E">
                <w:pPr>
                  <w:jc w:val="right"/>
                </w:pPr>
                <w:r>
                  <w:t>1,348,188,207</w:t>
                </w:r>
              </w:p>
            </w:tc>
          </w:tr>
          <w:tr w:rsidR="0072365E" w:rsidTr="0072365E">
            <w:sdt>
              <w:sdtPr>
                <w:tag w:val="_PLD_85c469f474b84d03aec3c8ae8d2d17fa"/>
                <w:id w:val="2035991790"/>
                <w:lock w:val="sdtLocked"/>
              </w:sdtPr>
              <w:sdtContent>
                <w:tc>
                  <w:tcPr>
                    <w:tcW w:w="1156" w:type="pct"/>
                    <w:shd w:val="clear" w:color="auto" w:fill="auto"/>
                  </w:tcPr>
                  <w:p w:rsidR="0072365E" w:rsidRDefault="0072365E" w:rsidP="0072365E">
                    <w:r>
                      <w:rPr>
                        <w:rFonts w:hint="eastAsia"/>
                      </w:rPr>
                      <w:t>二、离职后福利-设定提存计划</w:t>
                    </w:r>
                  </w:p>
                </w:tc>
              </w:sdtContent>
            </w:sdt>
            <w:tc>
              <w:tcPr>
                <w:tcW w:w="940" w:type="pct"/>
                <w:shd w:val="clear" w:color="auto" w:fill="auto"/>
                <w:vAlign w:val="center"/>
              </w:tcPr>
              <w:p w:rsidR="0072365E" w:rsidRDefault="0072365E" w:rsidP="0072365E">
                <w:pPr>
                  <w:jc w:val="right"/>
                </w:pPr>
                <w:r>
                  <w:t>1,096,132</w:t>
                </w:r>
              </w:p>
            </w:tc>
            <w:tc>
              <w:tcPr>
                <w:tcW w:w="940" w:type="pct"/>
                <w:shd w:val="clear" w:color="auto" w:fill="auto"/>
                <w:vAlign w:val="center"/>
              </w:tcPr>
              <w:p w:rsidR="0072365E" w:rsidRDefault="0072365E" w:rsidP="0072365E">
                <w:pPr>
                  <w:jc w:val="right"/>
                </w:pPr>
                <w:r>
                  <w:t>3,277,111,448</w:t>
                </w:r>
              </w:p>
            </w:tc>
            <w:tc>
              <w:tcPr>
                <w:tcW w:w="1018" w:type="pct"/>
                <w:shd w:val="clear" w:color="auto" w:fill="auto"/>
                <w:vAlign w:val="center"/>
              </w:tcPr>
              <w:p w:rsidR="0072365E" w:rsidRDefault="0072365E" w:rsidP="0072365E">
                <w:pPr>
                  <w:jc w:val="right"/>
                </w:pPr>
                <w:r>
                  <w:t>1,854,022,043</w:t>
                </w:r>
              </w:p>
            </w:tc>
            <w:tc>
              <w:tcPr>
                <w:tcW w:w="945" w:type="pct"/>
                <w:shd w:val="clear" w:color="auto" w:fill="auto"/>
                <w:vAlign w:val="center"/>
              </w:tcPr>
              <w:p w:rsidR="0072365E" w:rsidRDefault="0072365E" w:rsidP="0072365E">
                <w:pPr>
                  <w:jc w:val="right"/>
                </w:pPr>
                <w:r>
                  <w:t>1,424,185,537</w:t>
                </w:r>
              </w:p>
            </w:tc>
          </w:tr>
          <w:tr w:rsidR="0072365E" w:rsidTr="0072365E">
            <w:sdt>
              <w:sdtPr>
                <w:tag w:val="_PLD_bb217d7a2d104da696101497dda89e28"/>
                <w:id w:val="2145763159"/>
                <w:lock w:val="sdtLocked"/>
              </w:sdtPr>
              <w:sdtContent>
                <w:tc>
                  <w:tcPr>
                    <w:tcW w:w="1156" w:type="pct"/>
                    <w:shd w:val="clear" w:color="auto" w:fill="auto"/>
                    <w:vAlign w:val="center"/>
                  </w:tcPr>
                  <w:p w:rsidR="0072365E" w:rsidRDefault="0072365E" w:rsidP="0072365E">
                    <w:pPr>
                      <w:jc w:val="center"/>
                    </w:pPr>
                    <w:r>
                      <w:rPr>
                        <w:rFonts w:hint="eastAsia"/>
                      </w:rPr>
                      <w:t>合计</w:t>
                    </w:r>
                  </w:p>
                </w:tc>
              </w:sdtContent>
            </w:sdt>
            <w:tc>
              <w:tcPr>
                <w:tcW w:w="940" w:type="pct"/>
                <w:shd w:val="clear" w:color="auto" w:fill="auto"/>
                <w:vAlign w:val="center"/>
              </w:tcPr>
              <w:p w:rsidR="0072365E" w:rsidRDefault="0072365E" w:rsidP="0072365E">
                <w:pPr>
                  <w:jc w:val="right"/>
                </w:pPr>
                <w:r>
                  <w:t>1,171,197,920</w:t>
                </w:r>
              </w:p>
            </w:tc>
            <w:tc>
              <w:tcPr>
                <w:tcW w:w="940" w:type="pct"/>
                <w:shd w:val="clear" w:color="auto" w:fill="auto"/>
                <w:vAlign w:val="center"/>
              </w:tcPr>
              <w:p w:rsidR="0072365E" w:rsidRDefault="0072365E" w:rsidP="0072365E">
                <w:pPr>
                  <w:jc w:val="right"/>
                </w:pPr>
                <w:r>
                  <w:t>21,932,660,581</w:t>
                </w:r>
              </w:p>
            </w:tc>
            <w:tc>
              <w:tcPr>
                <w:tcW w:w="1018" w:type="pct"/>
                <w:shd w:val="clear" w:color="auto" w:fill="auto"/>
                <w:vAlign w:val="center"/>
              </w:tcPr>
              <w:p w:rsidR="0072365E" w:rsidRDefault="0072365E" w:rsidP="0072365E">
                <w:pPr>
                  <w:jc w:val="right"/>
                </w:pPr>
                <w:r>
                  <w:t>20,331,484,757</w:t>
                </w:r>
              </w:p>
            </w:tc>
            <w:tc>
              <w:tcPr>
                <w:tcW w:w="945" w:type="pct"/>
                <w:shd w:val="clear" w:color="auto" w:fill="auto"/>
                <w:vAlign w:val="center"/>
              </w:tcPr>
              <w:p w:rsidR="0072365E" w:rsidRDefault="0072365E" w:rsidP="0072365E">
                <w:pPr>
                  <w:jc w:val="right"/>
                </w:pPr>
                <w:r>
                  <w:t>2,772,373,744</w:t>
                </w:r>
              </w:p>
            </w:tc>
          </w:tr>
        </w:tbl>
        <w:p w:rsidR="00806678" w:rsidRDefault="00F80B6C"/>
      </w:sdtContent>
    </w:sdt>
    <w:sdt>
      <w:sdtPr>
        <w:rPr>
          <w:rFonts w:ascii="宋体" w:eastAsia="宋体" w:hAnsi="宋体" w:cs="宋体" w:hint="eastAsia"/>
          <w:b w:val="0"/>
          <w:bCs w:val="0"/>
          <w:kern w:val="0"/>
          <w:szCs w:val="24"/>
        </w:rPr>
        <w:alias w:val="模块:短期薪酬列示"/>
        <w:tag w:val="_SEC_1cb33e613a2043aba490a4f493078cdf"/>
        <w:id w:val="-1294366427"/>
        <w:lock w:val="sdtLocked"/>
        <w:placeholder>
          <w:docPart w:val="GBC22222222222222222222222222222"/>
        </w:placeholder>
      </w:sdtPr>
      <w:sdtEndPr>
        <w:rPr>
          <w:rFonts w:hint="default"/>
          <w:szCs w:val="21"/>
        </w:rPr>
      </w:sdtEndPr>
      <w:sdtContent>
        <w:p w:rsidR="00806678" w:rsidRDefault="00B16377" w:rsidP="00FF17C7">
          <w:pPr>
            <w:pStyle w:val="4"/>
            <w:numPr>
              <w:ilvl w:val="0"/>
              <w:numId w:val="94"/>
            </w:numPr>
          </w:pPr>
          <w:r>
            <w:rPr>
              <w:rFonts w:hint="eastAsia"/>
            </w:rPr>
            <w:t>短期薪酬列示</w:t>
          </w:r>
        </w:p>
        <w:sdt>
          <w:sdtPr>
            <w:alias w:val="是否适用：短期薪酬列示[双击切换]"/>
            <w:tag w:val="_GBC_531fef0ef27e47ad98c1bb26abdf204f"/>
            <w:id w:val="1302655742"/>
            <w:lock w:val="sdtLocked"/>
            <w:placeholder>
              <w:docPart w:val="GBC22222222222222222222222222222"/>
            </w:placeholder>
          </w:sdtPr>
          <w:sdtContent>
            <w:p w:rsidR="00806678" w:rsidRDefault="00F80B6C">
              <w:r>
                <w:fldChar w:fldCharType="begin"/>
              </w:r>
              <w:r w:rsidR="009C54D9">
                <w:instrText xml:space="preserve">MACROBUTTON  SnrToggleCheckbox √适用 </w:instrText>
              </w:r>
              <w:r>
                <w:fldChar w:fldCharType="end"/>
              </w:r>
              <w:r>
                <w:fldChar w:fldCharType="begin"/>
              </w:r>
              <w:r w:rsidR="009C54D9">
                <w:instrText xml:space="preserve"> MACROBUTTON  SnrToggleCheckbox □不适用 </w:instrText>
              </w:r>
              <w:r>
                <w:fldChar w:fldCharType="end"/>
              </w:r>
            </w:p>
          </w:sdtContent>
        </w:sdt>
        <w:p w:rsidR="00806678" w:rsidRDefault="00B16377">
          <w:pPr>
            <w:jc w:val="right"/>
            <w:rPr>
              <w:szCs w:val="21"/>
            </w:rPr>
          </w:pPr>
          <w:r>
            <w:rPr>
              <w:rFonts w:hint="eastAsia"/>
              <w:szCs w:val="21"/>
            </w:rPr>
            <w:t>单位：</w:t>
          </w:r>
          <w:sdt>
            <w:sdtPr>
              <w:rPr>
                <w:rFonts w:hint="eastAsia"/>
                <w:szCs w:val="21"/>
              </w:rPr>
              <w:alias w:val="单位：财务附注：短期薪酬"/>
              <w:tag w:val="_GBC_4710a4978b1b4a4bbcd5757aaf80b8d7"/>
              <w:id w:val="15797201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短期薪酬"/>
              <w:tag w:val="_GBC_aa08b58287754c0d8fad97e31bacb9e4"/>
              <w:id w:val="204309854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93"/>
            <w:gridCol w:w="1702"/>
            <w:gridCol w:w="1699"/>
            <w:gridCol w:w="1935"/>
            <w:gridCol w:w="1620"/>
          </w:tblGrid>
          <w:tr w:rsidR="001652AC" w:rsidTr="001652AC">
            <w:sdt>
              <w:sdtPr>
                <w:tag w:val="_PLD_977153d49ca449b191bb833cd5f689b2"/>
                <w:id w:val="112804068"/>
                <w:lock w:val="sdtLocked"/>
              </w:sdtPr>
              <w:sdtContent>
                <w:tc>
                  <w:tcPr>
                    <w:tcW w:w="1156" w:type="pct"/>
                    <w:tcBorders>
                      <w:top w:val="single" w:sz="4" w:space="0" w:color="auto"/>
                      <w:left w:val="single" w:sz="4" w:space="0" w:color="auto"/>
                      <w:bottom w:val="single" w:sz="4" w:space="0" w:color="auto"/>
                      <w:right w:val="single" w:sz="4" w:space="0" w:color="auto"/>
                    </w:tcBorders>
                    <w:vAlign w:val="center"/>
                  </w:tcPr>
                  <w:p w:rsidR="001652AC" w:rsidRDefault="001652AC" w:rsidP="00601D47">
                    <w:pPr>
                      <w:autoSpaceDE w:val="0"/>
                      <w:autoSpaceDN w:val="0"/>
                      <w:adjustRightInd w:val="0"/>
                      <w:jc w:val="center"/>
                      <w:rPr>
                        <w:szCs w:val="21"/>
                      </w:rPr>
                    </w:pPr>
                    <w:r>
                      <w:rPr>
                        <w:rFonts w:hint="eastAsia"/>
                        <w:szCs w:val="21"/>
                      </w:rPr>
                      <w:t>项目</w:t>
                    </w:r>
                  </w:p>
                </w:tc>
              </w:sdtContent>
            </w:sdt>
            <w:sdt>
              <w:sdtPr>
                <w:tag w:val="_PLD_557c49ee2a4f40de99f948c76f4c3adc"/>
                <w:id w:val="-874925649"/>
                <w:lock w:val="sdtLocked"/>
              </w:sdtPr>
              <w:sdtContent>
                <w:tc>
                  <w:tcPr>
                    <w:tcW w:w="940" w:type="pct"/>
                    <w:tcBorders>
                      <w:top w:val="single" w:sz="4" w:space="0" w:color="auto"/>
                      <w:left w:val="single" w:sz="4" w:space="0" w:color="auto"/>
                      <w:bottom w:val="single" w:sz="4" w:space="0" w:color="auto"/>
                      <w:right w:val="single" w:sz="4" w:space="0" w:color="auto"/>
                    </w:tcBorders>
                    <w:vAlign w:val="center"/>
                  </w:tcPr>
                  <w:p w:rsidR="001652AC" w:rsidRDefault="001652AC" w:rsidP="00601D47">
                    <w:pPr>
                      <w:autoSpaceDE w:val="0"/>
                      <w:autoSpaceDN w:val="0"/>
                      <w:adjustRightInd w:val="0"/>
                      <w:jc w:val="center"/>
                      <w:rPr>
                        <w:szCs w:val="21"/>
                      </w:rPr>
                    </w:pPr>
                    <w:r>
                      <w:rPr>
                        <w:rFonts w:hint="eastAsia"/>
                        <w:szCs w:val="21"/>
                      </w:rPr>
                      <w:t>期初余额</w:t>
                    </w:r>
                  </w:p>
                </w:tc>
              </w:sdtContent>
            </w:sdt>
            <w:sdt>
              <w:sdtPr>
                <w:tag w:val="_PLD_98d1ab48f8084264aff0ef3a30e8ba71"/>
                <w:id w:val="-674575798"/>
                <w:lock w:val="sdtLocked"/>
              </w:sdtPr>
              <w:sdtContent>
                <w:tc>
                  <w:tcPr>
                    <w:tcW w:w="939" w:type="pct"/>
                    <w:tcBorders>
                      <w:top w:val="single" w:sz="4" w:space="0" w:color="auto"/>
                      <w:left w:val="single" w:sz="4" w:space="0" w:color="auto"/>
                      <w:bottom w:val="single" w:sz="4" w:space="0" w:color="auto"/>
                      <w:right w:val="single" w:sz="4" w:space="0" w:color="auto"/>
                    </w:tcBorders>
                    <w:vAlign w:val="center"/>
                  </w:tcPr>
                  <w:p w:rsidR="001652AC" w:rsidRDefault="001652AC" w:rsidP="00601D47">
                    <w:pPr>
                      <w:jc w:val="center"/>
                    </w:pPr>
                    <w:r>
                      <w:rPr>
                        <w:rFonts w:hint="eastAsia"/>
                      </w:rPr>
                      <w:t>本期增加</w:t>
                    </w:r>
                  </w:p>
                </w:tc>
              </w:sdtContent>
            </w:sdt>
            <w:sdt>
              <w:sdtPr>
                <w:tag w:val="_PLD_e35c4f26db444503b2f9a32896872169"/>
                <w:id w:val="-225686442"/>
                <w:lock w:val="sdtLocked"/>
              </w:sdtPr>
              <w:sdtContent>
                <w:tc>
                  <w:tcPr>
                    <w:tcW w:w="1069" w:type="pct"/>
                    <w:tcBorders>
                      <w:top w:val="single" w:sz="4" w:space="0" w:color="auto"/>
                      <w:left w:val="single" w:sz="4" w:space="0" w:color="auto"/>
                      <w:bottom w:val="single" w:sz="4" w:space="0" w:color="auto"/>
                      <w:right w:val="single" w:sz="4" w:space="0" w:color="auto"/>
                    </w:tcBorders>
                    <w:vAlign w:val="center"/>
                  </w:tcPr>
                  <w:p w:rsidR="001652AC" w:rsidRDefault="001652AC" w:rsidP="00601D47">
                    <w:pPr>
                      <w:jc w:val="center"/>
                    </w:pPr>
                    <w:r>
                      <w:t>本期减少</w:t>
                    </w:r>
                  </w:p>
                </w:tc>
              </w:sdtContent>
            </w:sdt>
            <w:sdt>
              <w:sdtPr>
                <w:tag w:val="_PLD_e67d191300ac43c2b1b07c1beddfe891"/>
                <w:id w:val="-487240235"/>
                <w:lock w:val="sdtLocked"/>
              </w:sdtPr>
              <w:sdtContent>
                <w:tc>
                  <w:tcPr>
                    <w:tcW w:w="895" w:type="pct"/>
                    <w:tcBorders>
                      <w:top w:val="single" w:sz="4" w:space="0" w:color="auto"/>
                      <w:left w:val="single" w:sz="4" w:space="0" w:color="auto"/>
                      <w:bottom w:val="single" w:sz="4" w:space="0" w:color="auto"/>
                      <w:right w:val="single" w:sz="4" w:space="0" w:color="auto"/>
                    </w:tcBorders>
                    <w:vAlign w:val="center"/>
                  </w:tcPr>
                  <w:p w:rsidR="001652AC" w:rsidRDefault="001652AC" w:rsidP="00601D47">
                    <w:pPr>
                      <w:autoSpaceDE w:val="0"/>
                      <w:autoSpaceDN w:val="0"/>
                      <w:adjustRightInd w:val="0"/>
                      <w:jc w:val="center"/>
                      <w:rPr>
                        <w:szCs w:val="21"/>
                      </w:rPr>
                    </w:pPr>
                    <w:r>
                      <w:rPr>
                        <w:rFonts w:hint="eastAsia"/>
                        <w:szCs w:val="21"/>
                      </w:rPr>
                      <w:t>期末余额</w:t>
                    </w:r>
                  </w:p>
                </w:tc>
              </w:sdtContent>
            </w:sdt>
          </w:tr>
          <w:tr w:rsidR="001652AC" w:rsidTr="001652AC">
            <w:sdt>
              <w:sdtPr>
                <w:tag w:val="_PLD_887f068b039b44a99f27487cfa74131d"/>
                <w:id w:val="828095558"/>
                <w:lock w:val="sdtLocked"/>
              </w:sdtPr>
              <w:sdtContent>
                <w:tc>
                  <w:tcPr>
                    <w:tcW w:w="1156" w:type="pct"/>
                    <w:tcBorders>
                      <w:top w:val="single" w:sz="4" w:space="0" w:color="auto"/>
                      <w:left w:val="single" w:sz="4" w:space="0" w:color="auto"/>
                      <w:bottom w:val="single" w:sz="4" w:space="0" w:color="auto"/>
                      <w:right w:val="single" w:sz="4" w:space="0" w:color="auto"/>
                    </w:tcBorders>
                  </w:tcPr>
                  <w:p w:rsidR="001652AC" w:rsidRDefault="001652AC" w:rsidP="00601D47">
                    <w:pPr>
                      <w:autoSpaceDE w:val="0"/>
                      <w:autoSpaceDN w:val="0"/>
                      <w:adjustRightInd w:val="0"/>
                      <w:rPr>
                        <w:szCs w:val="21"/>
                      </w:rPr>
                    </w:pPr>
                    <w:r>
                      <w:rPr>
                        <w:rFonts w:hint="eastAsia"/>
                        <w:szCs w:val="21"/>
                      </w:rPr>
                      <w:t>一、工资、奖金、津贴和补贴</w:t>
                    </w:r>
                  </w:p>
                </w:tc>
              </w:sdtContent>
            </w:sdt>
            <w:tc>
              <w:tcPr>
                <w:tcW w:w="940" w:type="pct"/>
                <w:tcBorders>
                  <w:top w:val="single" w:sz="4" w:space="0" w:color="auto"/>
                  <w:left w:val="single" w:sz="4" w:space="0" w:color="auto"/>
                  <w:bottom w:val="single" w:sz="4" w:space="0" w:color="auto"/>
                  <w:right w:val="single" w:sz="4" w:space="0" w:color="auto"/>
                </w:tcBorders>
              </w:tcPr>
              <w:p w:rsidR="001652AC" w:rsidRDefault="001652AC" w:rsidP="00601D47">
                <w:pPr>
                  <w:jc w:val="right"/>
                  <w:rPr>
                    <w:szCs w:val="21"/>
                  </w:rPr>
                </w:pPr>
                <w:r>
                  <w:t>238,169,487</w:t>
                </w:r>
              </w:p>
            </w:tc>
            <w:tc>
              <w:tcPr>
                <w:tcW w:w="939" w:type="pct"/>
                <w:tcBorders>
                  <w:top w:val="single" w:sz="4" w:space="0" w:color="auto"/>
                  <w:left w:val="single" w:sz="4" w:space="0" w:color="auto"/>
                  <w:bottom w:val="single" w:sz="4" w:space="0" w:color="auto"/>
                  <w:right w:val="single" w:sz="4" w:space="0" w:color="auto"/>
                </w:tcBorders>
              </w:tcPr>
              <w:p w:rsidR="001652AC" w:rsidRDefault="001652AC" w:rsidP="00601D47">
                <w:pPr>
                  <w:jc w:val="right"/>
                  <w:rPr>
                    <w:szCs w:val="21"/>
                  </w:rPr>
                </w:pPr>
                <w:r>
                  <w:t>14,335,334,745</w:t>
                </w:r>
              </w:p>
            </w:tc>
            <w:tc>
              <w:tcPr>
                <w:tcW w:w="1069" w:type="pct"/>
                <w:tcBorders>
                  <w:top w:val="single" w:sz="4" w:space="0" w:color="auto"/>
                  <w:left w:val="single" w:sz="4" w:space="0" w:color="auto"/>
                  <w:bottom w:val="single" w:sz="4" w:space="0" w:color="auto"/>
                  <w:right w:val="single" w:sz="4" w:space="0" w:color="auto"/>
                </w:tcBorders>
              </w:tcPr>
              <w:p w:rsidR="001652AC" w:rsidRDefault="001652AC" w:rsidP="00601D47">
                <w:pPr>
                  <w:jc w:val="right"/>
                  <w:rPr>
                    <w:szCs w:val="21"/>
                  </w:rPr>
                </w:pPr>
                <w:r>
                  <w:t>14,335,334,748</w:t>
                </w:r>
              </w:p>
            </w:tc>
            <w:tc>
              <w:tcPr>
                <w:tcW w:w="895" w:type="pct"/>
                <w:tcBorders>
                  <w:top w:val="single" w:sz="4" w:space="0" w:color="auto"/>
                  <w:left w:val="single" w:sz="4" w:space="0" w:color="auto"/>
                  <w:bottom w:val="single" w:sz="4" w:space="0" w:color="auto"/>
                  <w:right w:val="single" w:sz="4" w:space="0" w:color="auto"/>
                </w:tcBorders>
              </w:tcPr>
              <w:p w:rsidR="001652AC" w:rsidRDefault="001652AC" w:rsidP="00601D47">
                <w:pPr>
                  <w:jc w:val="right"/>
                  <w:rPr>
                    <w:szCs w:val="21"/>
                  </w:rPr>
                </w:pPr>
                <w:r>
                  <w:t>238,169,484</w:t>
                </w:r>
              </w:p>
            </w:tc>
          </w:tr>
          <w:tr w:rsidR="001652AC" w:rsidTr="001652AC">
            <w:sdt>
              <w:sdtPr>
                <w:tag w:val="_PLD_73d6cf6c562b4c03b4db52d8f6a162bf"/>
                <w:id w:val="508482899"/>
                <w:lock w:val="sdtLocked"/>
              </w:sdtPr>
              <w:sdtContent>
                <w:tc>
                  <w:tcPr>
                    <w:tcW w:w="1156" w:type="pct"/>
                    <w:tcBorders>
                      <w:top w:val="single" w:sz="4" w:space="0" w:color="auto"/>
                      <w:left w:val="single" w:sz="4" w:space="0" w:color="auto"/>
                      <w:bottom w:val="single" w:sz="4" w:space="0" w:color="auto"/>
                      <w:right w:val="single" w:sz="4" w:space="0" w:color="auto"/>
                    </w:tcBorders>
                  </w:tcPr>
                  <w:p w:rsidR="001652AC" w:rsidRDefault="001652AC" w:rsidP="00601D47">
                    <w:pPr>
                      <w:autoSpaceDE w:val="0"/>
                      <w:autoSpaceDN w:val="0"/>
                      <w:adjustRightInd w:val="0"/>
                      <w:rPr>
                        <w:szCs w:val="21"/>
                      </w:rPr>
                    </w:pPr>
                    <w:r>
                      <w:rPr>
                        <w:rFonts w:hint="eastAsia"/>
                        <w:szCs w:val="21"/>
                      </w:rPr>
                      <w:t>二、职工福利费</w:t>
                    </w:r>
                  </w:p>
                </w:tc>
              </w:sdtContent>
            </w:sdt>
            <w:tc>
              <w:tcPr>
                <w:tcW w:w="940" w:type="pct"/>
                <w:tcBorders>
                  <w:top w:val="single" w:sz="4" w:space="0" w:color="auto"/>
                  <w:left w:val="single" w:sz="4" w:space="0" w:color="auto"/>
                  <w:bottom w:val="single" w:sz="4" w:space="0" w:color="auto"/>
                  <w:right w:val="single" w:sz="4" w:space="0" w:color="auto"/>
                </w:tcBorders>
              </w:tcPr>
              <w:p w:rsidR="001652AC" w:rsidRDefault="001652AC" w:rsidP="00601D47">
                <w:pPr>
                  <w:jc w:val="right"/>
                  <w:rPr>
                    <w:szCs w:val="21"/>
                  </w:rPr>
                </w:pPr>
                <w:r>
                  <w:t>0</w:t>
                </w:r>
              </w:p>
            </w:tc>
            <w:tc>
              <w:tcPr>
                <w:tcW w:w="939" w:type="pct"/>
                <w:tcBorders>
                  <w:top w:val="single" w:sz="4" w:space="0" w:color="auto"/>
                  <w:left w:val="single" w:sz="4" w:space="0" w:color="auto"/>
                  <w:bottom w:val="single" w:sz="4" w:space="0" w:color="auto"/>
                  <w:right w:val="single" w:sz="4" w:space="0" w:color="auto"/>
                </w:tcBorders>
              </w:tcPr>
              <w:p w:rsidR="001652AC" w:rsidRDefault="001652AC" w:rsidP="00601D47">
                <w:pPr>
                  <w:jc w:val="right"/>
                  <w:rPr>
                    <w:szCs w:val="21"/>
                  </w:rPr>
                </w:pPr>
                <w:r>
                  <w:t>941,193,500</w:t>
                </w:r>
              </w:p>
            </w:tc>
            <w:tc>
              <w:tcPr>
                <w:tcW w:w="1069" w:type="pct"/>
                <w:tcBorders>
                  <w:top w:val="single" w:sz="4" w:space="0" w:color="auto"/>
                  <w:left w:val="single" w:sz="4" w:space="0" w:color="auto"/>
                  <w:bottom w:val="single" w:sz="4" w:space="0" w:color="auto"/>
                  <w:right w:val="single" w:sz="4" w:space="0" w:color="auto"/>
                </w:tcBorders>
              </w:tcPr>
              <w:p w:rsidR="001652AC" w:rsidRDefault="001652AC" w:rsidP="00601D47">
                <w:pPr>
                  <w:jc w:val="right"/>
                  <w:rPr>
                    <w:szCs w:val="21"/>
                  </w:rPr>
                </w:pPr>
                <w:r>
                  <w:t>941,193,500</w:t>
                </w:r>
              </w:p>
            </w:tc>
            <w:tc>
              <w:tcPr>
                <w:tcW w:w="895" w:type="pct"/>
                <w:tcBorders>
                  <w:top w:val="single" w:sz="4" w:space="0" w:color="auto"/>
                  <w:left w:val="single" w:sz="4" w:space="0" w:color="auto"/>
                  <w:bottom w:val="single" w:sz="4" w:space="0" w:color="auto"/>
                  <w:right w:val="single" w:sz="4" w:space="0" w:color="auto"/>
                </w:tcBorders>
              </w:tcPr>
              <w:p w:rsidR="001652AC" w:rsidRDefault="001652AC" w:rsidP="00601D47">
                <w:pPr>
                  <w:jc w:val="right"/>
                  <w:rPr>
                    <w:szCs w:val="21"/>
                  </w:rPr>
                </w:pPr>
                <w:r>
                  <w:t>0</w:t>
                </w:r>
              </w:p>
            </w:tc>
          </w:tr>
          <w:tr w:rsidR="001652AC" w:rsidTr="001652AC">
            <w:sdt>
              <w:sdtPr>
                <w:tag w:val="_PLD_5011e3a4fe354f7a9e7ed202f78200ac"/>
                <w:id w:val="723264259"/>
                <w:lock w:val="sdtLocked"/>
              </w:sdtPr>
              <w:sdtContent>
                <w:tc>
                  <w:tcPr>
                    <w:tcW w:w="1156" w:type="pct"/>
                    <w:tcBorders>
                      <w:top w:val="single" w:sz="4" w:space="0" w:color="auto"/>
                      <w:left w:val="single" w:sz="4" w:space="0" w:color="auto"/>
                      <w:bottom w:val="single" w:sz="4" w:space="0" w:color="auto"/>
                      <w:right w:val="single" w:sz="4" w:space="0" w:color="auto"/>
                    </w:tcBorders>
                  </w:tcPr>
                  <w:p w:rsidR="001652AC" w:rsidRDefault="001652AC" w:rsidP="00601D47">
                    <w:pPr>
                      <w:autoSpaceDE w:val="0"/>
                      <w:autoSpaceDN w:val="0"/>
                      <w:adjustRightInd w:val="0"/>
                      <w:rPr>
                        <w:szCs w:val="21"/>
                      </w:rPr>
                    </w:pPr>
                    <w:r>
                      <w:rPr>
                        <w:rFonts w:hint="eastAsia"/>
                        <w:szCs w:val="21"/>
                      </w:rPr>
                      <w:t>三、社会保险费</w:t>
                    </w:r>
                  </w:p>
                </w:tc>
              </w:sdtContent>
            </w:sdt>
            <w:tc>
              <w:tcPr>
                <w:tcW w:w="940" w:type="pct"/>
                <w:tcBorders>
                  <w:top w:val="single" w:sz="4" w:space="0" w:color="auto"/>
                  <w:left w:val="single" w:sz="4" w:space="0" w:color="auto"/>
                  <w:bottom w:val="single" w:sz="4" w:space="0" w:color="auto"/>
                  <w:right w:val="single" w:sz="4" w:space="0" w:color="auto"/>
                </w:tcBorders>
              </w:tcPr>
              <w:p w:rsidR="001652AC" w:rsidRDefault="001652AC" w:rsidP="00601D47">
                <w:pPr>
                  <w:jc w:val="right"/>
                  <w:rPr>
                    <w:szCs w:val="21"/>
                  </w:rPr>
                </w:pPr>
                <w:r>
                  <w:t>78,499,035</w:t>
                </w:r>
              </w:p>
            </w:tc>
            <w:tc>
              <w:tcPr>
                <w:tcW w:w="939" w:type="pct"/>
                <w:tcBorders>
                  <w:top w:val="single" w:sz="4" w:space="0" w:color="auto"/>
                  <w:left w:val="single" w:sz="4" w:space="0" w:color="auto"/>
                  <w:bottom w:val="single" w:sz="4" w:space="0" w:color="auto"/>
                  <w:right w:val="single" w:sz="4" w:space="0" w:color="auto"/>
                </w:tcBorders>
              </w:tcPr>
              <w:p w:rsidR="001652AC" w:rsidRDefault="001652AC" w:rsidP="00601D47">
                <w:pPr>
                  <w:jc w:val="right"/>
                  <w:rPr>
                    <w:szCs w:val="21"/>
                  </w:rPr>
                </w:pPr>
                <w:r>
                  <w:t>1,302,767,656</w:t>
                </w:r>
              </w:p>
            </w:tc>
            <w:tc>
              <w:tcPr>
                <w:tcW w:w="1069" w:type="pct"/>
                <w:tcBorders>
                  <w:top w:val="single" w:sz="4" w:space="0" w:color="auto"/>
                  <w:left w:val="single" w:sz="4" w:space="0" w:color="auto"/>
                  <w:bottom w:val="single" w:sz="4" w:space="0" w:color="auto"/>
                  <w:right w:val="single" w:sz="4" w:space="0" w:color="auto"/>
                </w:tcBorders>
              </w:tcPr>
              <w:p w:rsidR="001652AC" w:rsidRDefault="001652AC" w:rsidP="00601D47">
                <w:pPr>
                  <w:jc w:val="right"/>
                  <w:rPr>
                    <w:szCs w:val="21"/>
                  </w:rPr>
                </w:pPr>
                <w:r>
                  <w:t>1,358,987,946</w:t>
                </w:r>
              </w:p>
            </w:tc>
            <w:tc>
              <w:tcPr>
                <w:tcW w:w="895" w:type="pct"/>
                <w:tcBorders>
                  <w:top w:val="single" w:sz="4" w:space="0" w:color="auto"/>
                  <w:left w:val="single" w:sz="4" w:space="0" w:color="auto"/>
                  <w:bottom w:val="single" w:sz="4" w:space="0" w:color="auto"/>
                  <w:right w:val="single" w:sz="4" w:space="0" w:color="auto"/>
                </w:tcBorders>
              </w:tcPr>
              <w:p w:rsidR="001652AC" w:rsidRDefault="001652AC" w:rsidP="00601D47">
                <w:pPr>
                  <w:jc w:val="right"/>
                  <w:rPr>
                    <w:szCs w:val="21"/>
                  </w:rPr>
                </w:pPr>
                <w:r>
                  <w:t>22,278,745</w:t>
                </w:r>
              </w:p>
            </w:tc>
          </w:tr>
          <w:tr w:rsidR="001652AC" w:rsidTr="001652AC">
            <w:sdt>
              <w:sdtPr>
                <w:tag w:val="_PLD_9d186f69dd324ed3abe373aa87498a4e"/>
                <w:id w:val="-1994704283"/>
                <w:lock w:val="sdtLocked"/>
              </w:sdtPr>
              <w:sdtContent>
                <w:tc>
                  <w:tcPr>
                    <w:tcW w:w="1156" w:type="pct"/>
                    <w:tcBorders>
                      <w:top w:val="single" w:sz="4" w:space="0" w:color="auto"/>
                      <w:left w:val="single" w:sz="4" w:space="0" w:color="auto"/>
                      <w:bottom w:val="single" w:sz="4" w:space="0" w:color="auto"/>
                      <w:right w:val="single" w:sz="4" w:space="0" w:color="auto"/>
                    </w:tcBorders>
                  </w:tcPr>
                  <w:p w:rsidR="001652AC" w:rsidRDefault="001652AC" w:rsidP="00601D47">
                    <w:pPr>
                      <w:rPr>
                        <w:color w:val="008000"/>
                        <w:szCs w:val="21"/>
                      </w:rPr>
                    </w:pPr>
                    <w:r>
                      <w:rPr>
                        <w:rFonts w:hint="eastAsia"/>
                        <w:szCs w:val="21"/>
                      </w:rPr>
                      <w:t>其中：</w:t>
                    </w:r>
                    <w:r>
                      <w:rPr>
                        <w:szCs w:val="21"/>
                      </w:rPr>
                      <w:t>医疗保险费</w:t>
                    </w:r>
                  </w:p>
                </w:tc>
              </w:sdtContent>
            </w:sdt>
            <w:tc>
              <w:tcPr>
                <w:tcW w:w="940" w:type="pct"/>
                <w:tcBorders>
                  <w:top w:val="single" w:sz="4" w:space="0" w:color="auto"/>
                  <w:left w:val="single" w:sz="4" w:space="0" w:color="auto"/>
                  <w:bottom w:val="single" w:sz="4" w:space="0" w:color="auto"/>
                  <w:right w:val="single" w:sz="4" w:space="0" w:color="auto"/>
                </w:tcBorders>
              </w:tcPr>
              <w:p w:rsidR="001652AC" w:rsidRDefault="001652AC" w:rsidP="00601D47">
                <w:pPr>
                  <w:jc w:val="right"/>
                  <w:rPr>
                    <w:szCs w:val="21"/>
                  </w:rPr>
                </w:pPr>
                <w:r>
                  <w:t>78,490,927</w:t>
                </w:r>
              </w:p>
            </w:tc>
            <w:tc>
              <w:tcPr>
                <w:tcW w:w="939" w:type="pct"/>
                <w:tcBorders>
                  <w:top w:val="single" w:sz="4" w:space="0" w:color="auto"/>
                  <w:left w:val="single" w:sz="4" w:space="0" w:color="auto"/>
                  <w:bottom w:val="single" w:sz="4" w:space="0" w:color="auto"/>
                  <w:right w:val="single" w:sz="4" w:space="0" w:color="auto"/>
                </w:tcBorders>
              </w:tcPr>
              <w:p w:rsidR="001652AC" w:rsidRDefault="001652AC" w:rsidP="00601D47">
                <w:pPr>
                  <w:jc w:val="right"/>
                  <w:rPr>
                    <w:szCs w:val="21"/>
                  </w:rPr>
                </w:pPr>
                <w:r>
                  <w:t>1,181,663,611</w:t>
                </w:r>
              </w:p>
            </w:tc>
            <w:tc>
              <w:tcPr>
                <w:tcW w:w="1069" w:type="pct"/>
                <w:tcBorders>
                  <w:top w:val="single" w:sz="4" w:space="0" w:color="auto"/>
                  <w:left w:val="single" w:sz="4" w:space="0" w:color="auto"/>
                  <w:bottom w:val="single" w:sz="4" w:space="0" w:color="auto"/>
                  <w:right w:val="single" w:sz="4" w:space="0" w:color="auto"/>
                </w:tcBorders>
              </w:tcPr>
              <w:p w:rsidR="001652AC" w:rsidRDefault="001652AC" w:rsidP="00601D47">
                <w:pPr>
                  <w:jc w:val="right"/>
                  <w:rPr>
                    <w:szCs w:val="21"/>
                  </w:rPr>
                </w:pPr>
                <w:r>
                  <w:t>1,237,879,583</w:t>
                </w:r>
              </w:p>
            </w:tc>
            <w:tc>
              <w:tcPr>
                <w:tcW w:w="895" w:type="pct"/>
                <w:tcBorders>
                  <w:top w:val="single" w:sz="4" w:space="0" w:color="auto"/>
                  <w:left w:val="single" w:sz="4" w:space="0" w:color="auto"/>
                  <w:bottom w:val="single" w:sz="4" w:space="0" w:color="auto"/>
                  <w:right w:val="single" w:sz="4" w:space="0" w:color="auto"/>
                </w:tcBorders>
              </w:tcPr>
              <w:p w:rsidR="001652AC" w:rsidRDefault="001652AC" w:rsidP="00601D47">
                <w:pPr>
                  <w:jc w:val="right"/>
                  <w:rPr>
                    <w:szCs w:val="21"/>
                  </w:rPr>
                </w:pPr>
                <w:r>
                  <w:t>22,274,955</w:t>
                </w:r>
              </w:p>
            </w:tc>
          </w:tr>
          <w:tr w:rsidR="001652AC" w:rsidTr="001652AC">
            <w:sdt>
              <w:sdtPr>
                <w:tag w:val="_PLD_b436db8b255c424989dd912d9da0810f"/>
                <w:id w:val="2006934219"/>
                <w:lock w:val="sdtLocked"/>
              </w:sdtPr>
              <w:sdtContent>
                <w:tc>
                  <w:tcPr>
                    <w:tcW w:w="1156" w:type="pct"/>
                    <w:tcBorders>
                      <w:top w:val="single" w:sz="4" w:space="0" w:color="auto"/>
                      <w:left w:val="single" w:sz="4" w:space="0" w:color="auto"/>
                      <w:bottom w:val="single" w:sz="4" w:space="0" w:color="auto"/>
                      <w:right w:val="single" w:sz="4" w:space="0" w:color="auto"/>
                    </w:tcBorders>
                  </w:tcPr>
                  <w:p w:rsidR="001652AC" w:rsidRDefault="001652AC" w:rsidP="00601D47">
                    <w:pPr>
                      <w:ind w:firstLineChars="300" w:firstLine="630"/>
                      <w:rPr>
                        <w:szCs w:val="21"/>
                      </w:rPr>
                    </w:pPr>
                    <w:r>
                      <w:rPr>
                        <w:rFonts w:hint="eastAsia"/>
                        <w:szCs w:val="21"/>
                      </w:rPr>
                      <w:t>工伤保险费</w:t>
                    </w:r>
                  </w:p>
                </w:tc>
              </w:sdtContent>
            </w:sdt>
            <w:tc>
              <w:tcPr>
                <w:tcW w:w="940" w:type="pct"/>
                <w:tcBorders>
                  <w:top w:val="single" w:sz="4" w:space="0" w:color="auto"/>
                  <w:left w:val="single" w:sz="4" w:space="0" w:color="auto"/>
                  <w:bottom w:val="single" w:sz="4" w:space="0" w:color="auto"/>
                  <w:right w:val="single" w:sz="4" w:space="0" w:color="auto"/>
                </w:tcBorders>
              </w:tcPr>
              <w:p w:rsidR="001652AC" w:rsidRDefault="001652AC" w:rsidP="00601D47">
                <w:pPr>
                  <w:jc w:val="right"/>
                  <w:rPr>
                    <w:szCs w:val="21"/>
                  </w:rPr>
                </w:pPr>
                <w:r>
                  <w:t>8,108</w:t>
                </w:r>
              </w:p>
            </w:tc>
            <w:tc>
              <w:tcPr>
                <w:tcW w:w="939" w:type="pct"/>
                <w:tcBorders>
                  <w:top w:val="single" w:sz="4" w:space="0" w:color="auto"/>
                  <w:left w:val="single" w:sz="4" w:space="0" w:color="auto"/>
                  <w:bottom w:val="single" w:sz="4" w:space="0" w:color="auto"/>
                  <w:right w:val="single" w:sz="4" w:space="0" w:color="auto"/>
                </w:tcBorders>
              </w:tcPr>
              <w:p w:rsidR="001652AC" w:rsidRDefault="001652AC" w:rsidP="00601D47">
                <w:pPr>
                  <w:jc w:val="right"/>
                  <w:rPr>
                    <w:szCs w:val="21"/>
                  </w:rPr>
                </w:pPr>
                <w:r>
                  <w:t>121,104,045</w:t>
                </w:r>
              </w:p>
            </w:tc>
            <w:tc>
              <w:tcPr>
                <w:tcW w:w="1069" w:type="pct"/>
                <w:tcBorders>
                  <w:top w:val="single" w:sz="4" w:space="0" w:color="auto"/>
                  <w:left w:val="single" w:sz="4" w:space="0" w:color="auto"/>
                  <w:bottom w:val="single" w:sz="4" w:space="0" w:color="auto"/>
                  <w:right w:val="single" w:sz="4" w:space="0" w:color="auto"/>
                </w:tcBorders>
              </w:tcPr>
              <w:p w:rsidR="001652AC" w:rsidRDefault="001652AC" w:rsidP="00601D47">
                <w:pPr>
                  <w:jc w:val="right"/>
                  <w:rPr>
                    <w:szCs w:val="21"/>
                  </w:rPr>
                </w:pPr>
                <w:r>
                  <w:t>121,108,363</w:t>
                </w:r>
              </w:p>
            </w:tc>
            <w:tc>
              <w:tcPr>
                <w:tcW w:w="895" w:type="pct"/>
                <w:tcBorders>
                  <w:top w:val="single" w:sz="4" w:space="0" w:color="auto"/>
                  <w:left w:val="single" w:sz="4" w:space="0" w:color="auto"/>
                  <w:bottom w:val="single" w:sz="4" w:space="0" w:color="auto"/>
                  <w:right w:val="single" w:sz="4" w:space="0" w:color="auto"/>
                </w:tcBorders>
              </w:tcPr>
              <w:p w:rsidR="001652AC" w:rsidRDefault="001652AC" w:rsidP="00601D47">
                <w:pPr>
                  <w:jc w:val="right"/>
                  <w:rPr>
                    <w:szCs w:val="21"/>
                  </w:rPr>
                </w:pPr>
                <w:r>
                  <w:t>3,790</w:t>
                </w:r>
              </w:p>
            </w:tc>
          </w:tr>
          <w:tr w:rsidR="001652AC" w:rsidTr="001652AC">
            <w:sdt>
              <w:sdtPr>
                <w:tag w:val="_PLD_3930d81c2c064993bcbc2324f2678afe"/>
                <w:id w:val="1461375072"/>
                <w:lock w:val="sdtLocked"/>
              </w:sdtPr>
              <w:sdtContent>
                <w:tc>
                  <w:tcPr>
                    <w:tcW w:w="1156" w:type="pct"/>
                    <w:tcBorders>
                      <w:top w:val="single" w:sz="4" w:space="0" w:color="auto"/>
                      <w:left w:val="single" w:sz="4" w:space="0" w:color="auto"/>
                      <w:bottom w:val="single" w:sz="4" w:space="0" w:color="auto"/>
                      <w:right w:val="single" w:sz="4" w:space="0" w:color="auto"/>
                    </w:tcBorders>
                  </w:tcPr>
                  <w:p w:rsidR="001652AC" w:rsidRDefault="001652AC" w:rsidP="00601D47">
                    <w:pPr>
                      <w:autoSpaceDE w:val="0"/>
                      <w:autoSpaceDN w:val="0"/>
                      <w:adjustRightInd w:val="0"/>
                      <w:rPr>
                        <w:szCs w:val="21"/>
                      </w:rPr>
                    </w:pPr>
                    <w:r>
                      <w:rPr>
                        <w:rFonts w:hint="eastAsia"/>
                        <w:szCs w:val="21"/>
                      </w:rPr>
                      <w:t>四、住房公积金</w:t>
                    </w:r>
                  </w:p>
                </w:tc>
              </w:sdtContent>
            </w:sdt>
            <w:tc>
              <w:tcPr>
                <w:tcW w:w="940" w:type="pct"/>
                <w:tcBorders>
                  <w:top w:val="single" w:sz="4" w:space="0" w:color="auto"/>
                  <w:left w:val="single" w:sz="4" w:space="0" w:color="auto"/>
                  <w:bottom w:val="single" w:sz="4" w:space="0" w:color="auto"/>
                  <w:right w:val="single" w:sz="4" w:space="0" w:color="auto"/>
                </w:tcBorders>
              </w:tcPr>
              <w:p w:rsidR="001652AC" w:rsidRDefault="001652AC" w:rsidP="00601D47">
                <w:pPr>
                  <w:jc w:val="right"/>
                  <w:rPr>
                    <w:szCs w:val="21"/>
                  </w:rPr>
                </w:pPr>
                <w:r>
                  <w:t>1,325,458</w:t>
                </w:r>
              </w:p>
            </w:tc>
            <w:tc>
              <w:tcPr>
                <w:tcW w:w="939" w:type="pct"/>
                <w:tcBorders>
                  <w:top w:val="single" w:sz="4" w:space="0" w:color="auto"/>
                  <w:left w:val="single" w:sz="4" w:space="0" w:color="auto"/>
                  <w:bottom w:val="single" w:sz="4" w:space="0" w:color="auto"/>
                  <w:right w:val="single" w:sz="4" w:space="0" w:color="auto"/>
                </w:tcBorders>
              </w:tcPr>
              <w:p w:rsidR="001652AC" w:rsidRDefault="001652AC" w:rsidP="00601D47">
                <w:pPr>
                  <w:jc w:val="right"/>
                  <w:rPr>
                    <w:szCs w:val="21"/>
                  </w:rPr>
                </w:pPr>
                <w:r>
                  <w:t>1,565,855,941</w:t>
                </w:r>
              </w:p>
            </w:tc>
            <w:tc>
              <w:tcPr>
                <w:tcW w:w="1069" w:type="pct"/>
                <w:tcBorders>
                  <w:top w:val="single" w:sz="4" w:space="0" w:color="auto"/>
                  <w:left w:val="single" w:sz="4" w:space="0" w:color="auto"/>
                  <w:bottom w:val="single" w:sz="4" w:space="0" w:color="auto"/>
                  <w:right w:val="single" w:sz="4" w:space="0" w:color="auto"/>
                </w:tcBorders>
              </w:tcPr>
              <w:p w:rsidR="001652AC" w:rsidRDefault="001652AC" w:rsidP="00601D47">
                <w:pPr>
                  <w:jc w:val="right"/>
                  <w:rPr>
                    <w:szCs w:val="21"/>
                  </w:rPr>
                </w:pPr>
                <w:r>
                  <w:t>1,565,737,477</w:t>
                </w:r>
              </w:p>
            </w:tc>
            <w:tc>
              <w:tcPr>
                <w:tcW w:w="895" w:type="pct"/>
                <w:tcBorders>
                  <w:top w:val="single" w:sz="4" w:space="0" w:color="auto"/>
                  <w:left w:val="single" w:sz="4" w:space="0" w:color="auto"/>
                  <w:bottom w:val="single" w:sz="4" w:space="0" w:color="auto"/>
                  <w:right w:val="single" w:sz="4" w:space="0" w:color="auto"/>
                </w:tcBorders>
              </w:tcPr>
              <w:p w:rsidR="001652AC" w:rsidRDefault="001652AC" w:rsidP="00601D47">
                <w:pPr>
                  <w:jc w:val="right"/>
                  <w:rPr>
                    <w:szCs w:val="21"/>
                  </w:rPr>
                </w:pPr>
                <w:r>
                  <w:t>1,443,922</w:t>
                </w:r>
              </w:p>
            </w:tc>
          </w:tr>
          <w:tr w:rsidR="001652AC" w:rsidTr="001652AC">
            <w:sdt>
              <w:sdtPr>
                <w:tag w:val="_PLD_5933de2245bb4749bc8731371b57fd14"/>
                <w:id w:val="1520497640"/>
                <w:lock w:val="sdtLocked"/>
              </w:sdtPr>
              <w:sdtContent>
                <w:tc>
                  <w:tcPr>
                    <w:tcW w:w="1156" w:type="pct"/>
                    <w:tcBorders>
                      <w:top w:val="single" w:sz="4" w:space="0" w:color="auto"/>
                      <w:left w:val="single" w:sz="4" w:space="0" w:color="auto"/>
                      <w:bottom w:val="single" w:sz="4" w:space="0" w:color="auto"/>
                      <w:right w:val="single" w:sz="4" w:space="0" w:color="auto"/>
                    </w:tcBorders>
                  </w:tcPr>
                  <w:p w:rsidR="001652AC" w:rsidRDefault="001652AC" w:rsidP="00601D47">
                    <w:pPr>
                      <w:autoSpaceDE w:val="0"/>
                      <w:autoSpaceDN w:val="0"/>
                      <w:adjustRightInd w:val="0"/>
                      <w:rPr>
                        <w:szCs w:val="21"/>
                      </w:rPr>
                    </w:pPr>
                    <w:r>
                      <w:rPr>
                        <w:rFonts w:hint="eastAsia"/>
                        <w:szCs w:val="21"/>
                      </w:rPr>
                      <w:t>五、工会经费和职工教育经费</w:t>
                    </w:r>
                  </w:p>
                </w:tc>
              </w:sdtContent>
            </w:sdt>
            <w:tc>
              <w:tcPr>
                <w:tcW w:w="940" w:type="pct"/>
                <w:tcBorders>
                  <w:top w:val="single" w:sz="4" w:space="0" w:color="auto"/>
                  <w:left w:val="single" w:sz="4" w:space="0" w:color="auto"/>
                  <w:bottom w:val="single" w:sz="4" w:space="0" w:color="auto"/>
                  <w:right w:val="single" w:sz="4" w:space="0" w:color="auto"/>
                </w:tcBorders>
              </w:tcPr>
              <w:p w:rsidR="001652AC" w:rsidRDefault="001652AC" w:rsidP="00601D47">
                <w:pPr>
                  <w:jc w:val="right"/>
                  <w:rPr>
                    <w:szCs w:val="21"/>
                  </w:rPr>
                </w:pPr>
                <w:r>
                  <w:t>851,966,171</w:t>
                </w:r>
              </w:p>
            </w:tc>
            <w:tc>
              <w:tcPr>
                <w:tcW w:w="939" w:type="pct"/>
                <w:tcBorders>
                  <w:top w:val="single" w:sz="4" w:space="0" w:color="auto"/>
                  <w:left w:val="single" w:sz="4" w:space="0" w:color="auto"/>
                  <w:bottom w:val="single" w:sz="4" w:space="0" w:color="auto"/>
                  <w:right w:val="single" w:sz="4" w:space="0" w:color="auto"/>
                </w:tcBorders>
              </w:tcPr>
              <w:p w:rsidR="001652AC" w:rsidRDefault="001652AC" w:rsidP="00601D47">
                <w:pPr>
                  <w:jc w:val="right"/>
                  <w:rPr>
                    <w:szCs w:val="21"/>
                  </w:rPr>
                </w:pPr>
                <w:r>
                  <w:t>501,705,734</w:t>
                </w:r>
              </w:p>
            </w:tc>
            <w:tc>
              <w:tcPr>
                <w:tcW w:w="1069" w:type="pct"/>
                <w:tcBorders>
                  <w:top w:val="single" w:sz="4" w:space="0" w:color="auto"/>
                  <w:left w:val="single" w:sz="4" w:space="0" w:color="auto"/>
                  <w:bottom w:val="single" w:sz="4" w:space="0" w:color="auto"/>
                  <w:right w:val="single" w:sz="4" w:space="0" w:color="auto"/>
                </w:tcBorders>
              </w:tcPr>
              <w:p w:rsidR="001652AC" w:rsidRDefault="001652AC" w:rsidP="00601D47">
                <w:pPr>
                  <w:jc w:val="right"/>
                  <w:rPr>
                    <w:szCs w:val="21"/>
                  </w:rPr>
                </w:pPr>
                <w:r>
                  <w:t>267,605,878</w:t>
                </w:r>
              </w:p>
            </w:tc>
            <w:tc>
              <w:tcPr>
                <w:tcW w:w="895" w:type="pct"/>
                <w:tcBorders>
                  <w:top w:val="single" w:sz="4" w:space="0" w:color="auto"/>
                  <w:left w:val="single" w:sz="4" w:space="0" w:color="auto"/>
                  <w:bottom w:val="single" w:sz="4" w:space="0" w:color="auto"/>
                  <w:right w:val="single" w:sz="4" w:space="0" w:color="auto"/>
                </w:tcBorders>
              </w:tcPr>
              <w:p w:rsidR="001652AC" w:rsidRDefault="001652AC" w:rsidP="00601D47">
                <w:pPr>
                  <w:jc w:val="right"/>
                  <w:rPr>
                    <w:szCs w:val="21"/>
                  </w:rPr>
                </w:pPr>
                <w:r>
                  <w:t>1,086,066,027</w:t>
                </w:r>
              </w:p>
            </w:tc>
          </w:tr>
          <w:sdt>
            <w:sdtPr>
              <w:rPr>
                <w:szCs w:val="21"/>
              </w:rPr>
              <w:alias w:val="应付职工薪酬中的其他应付薪酬明细"/>
              <w:tag w:val="_TUP_a5f0c65f7a22443499a2871b0a0efb7a"/>
              <w:id w:val="1759706257"/>
              <w:lock w:val="sdtLocked"/>
            </w:sdtPr>
            <w:sdtEndPr>
              <w:rPr>
                <w:color w:val="000000" w:themeColor="text1"/>
              </w:rPr>
            </w:sdtEndPr>
            <w:sdtContent>
              <w:tr w:rsidR="001652AC" w:rsidTr="001652AC">
                <w:tc>
                  <w:tcPr>
                    <w:tcW w:w="1156" w:type="pct"/>
                    <w:tcBorders>
                      <w:top w:val="single" w:sz="4" w:space="0" w:color="auto"/>
                      <w:left w:val="single" w:sz="4" w:space="0" w:color="auto"/>
                      <w:bottom w:val="single" w:sz="4" w:space="0" w:color="auto"/>
                      <w:right w:val="single" w:sz="4" w:space="0" w:color="auto"/>
                    </w:tcBorders>
                  </w:tcPr>
                  <w:p w:rsidR="001652AC" w:rsidRDefault="001652AC" w:rsidP="00601D47">
                    <w:pPr>
                      <w:rPr>
                        <w:szCs w:val="21"/>
                      </w:rPr>
                    </w:pPr>
                    <w:r>
                      <w:rPr>
                        <w:rFonts w:hint="eastAsia"/>
                        <w:szCs w:val="21"/>
                      </w:rPr>
                      <w:t>六</w:t>
                    </w:r>
                    <w:r w:rsidRPr="001652AC">
                      <w:rPr>
                        <w:rFonts w:hint="eastAsia"/>
                        <w:szCs w:val="21"/>
                      </w:rPr>
                      <w:t>、</w:t>
                    </w:r>
                    <w:r>
                      <w:rPr>
                        <w:rFonts w:hint="eastAsia"/>
                        <w:szCs w:val="21"/>
                      </w:rPr>
                      <w:t>其他短期薪酬</w:t>
                    </w:r>
                  </w:p>
                </w:tc>
                <w:tc>
                  <w:tcPr>
                    <w:tcW w:w="940" w:type="pct"/>
                    <w:tcBorders>
                      <w:top w:val="single" w:sz="4" w:space="0" w:color="auto"/>
                      <w:left w:val="single" w:sz="4" w:space="0" w:color="auto"/>
                      <w:bottom w:val="single" w:sz="4" w:space="0" w:color="auto"/>
                      <w:right w:val="single" w:sz="4" w:space="0" w:color="auto"/>
                    </w:tcBorders>
                  </w:tcPr>
                  <w:p w:rsidR="001652AC" w:rsidRDefault="001652AC" w:rsidP="00601D47">
                    <w:pPr>
                      <w:jc w:val="right"/>
                      <w:rPr>
                        <w:szCs w:val="21"/>
                      </w:rPr>
                    </w:pPr>
                    <w:r>
                      <w:t>141,637</w:t>
                    </w:r>
                  </w:p>
                </w:tc>
                <w:tc>
                  <w:tcPr>
                    <w:tcW w:w="939" w:type="pct"/>
                    <w:tcBorders>
                      <w:top w:val="single" w:sz="4" w:space="0" w:color="auto"/>
                      <w:left w:val="single" w:sz="4" w:space="0" w:color="auto"/>
                      <w:bottom w:val="single" w:sz="4" w:space="0" w:color="auto"/>
                      <w:right w:val="single" w:sz="4" w:space="0" w:color="auto"/>
                    </w:tcBorders>
                  </w:tcPr>
                  <w:p w:rsidR="001652AC" w:rsidRDefault="001652AC" w:rsidP="00601D47">
                    <w:pPr>
                      <w:jc w:val="right"/>
                      <w:rPr>
                        <w:szCs w:val="21"/>
                      </w:rPr>
                    </w:pPr>
                    <w:r>
                      <w:t>8,691,557</w:t>
                    </w:r>
                  </w:p>
                </w:tc>
                <w:tc>
                  <w:tcPr>
                    <w:tcW w:w="1069" w:type="pct"/>
                    <w:tcBorders>
                      <w:top w:val="single" w:sz="4" w:space="0" w:color="auto"/>
                      <w:left w:val="single" w:sz="4" w:space="0" w:color="auto"/>
                      <w:bottom w:val="single" w:sz="4" w:space="0" w:color="auto"/>
                      <w:right w:val="single" w:sz="4" w:space="0" w:color="auto"/>
                    </w:tcBorders>
                  </w:tcPr>
                  <w:p w:rsidR="001652AC" w:rsidRDefault="001652AC" w:rsidP="00601D47">
                    <w:pPr>
                      <w:jc w:val="right"/>
                      <w:rPr>
                        <w:szCs w:val="21"/>
                      </w:rPr>
                    </w:pPr>
                    <w:r>
                      <w:t>8,603,165</w:t>
                    </w:r>
                  </w:p>
                </w:tc>
                <w:tc>
                  <w:tcPr>
                    <w:tcW w:w="895" w:type="pct"/>
                    <w:tcBorders>
                      <w:top w:val="single" w:sz="4" w:space="0" w:color="auto"/>
                      <w:left w:val="single" w:sz="4" w:space="0" w:color="auto"/>
                      <w:bottom w:val="single" w:sz="4" w:space="0" w:color="auto"/>
                      <w:right w:val="single" w:sz="4" w:space="0" w:color="auto"/>
                    </w:tcBorders>
                  </w:tcPr>
                  <w:p w:rsidR="001652AC" w:rsidRDefault="001652AC" w:rsidP="00601D47">
                    <w:pPr>
                      <w:jc w:val="right"/>
                      <w:rPr>
                        <w:szCs w:val="21"/>
                      </w:rPr>
                    </w:pPr>
                    <w:r>
                      <w:t>230,029</w:t>
                    </w:r>
                  </w:p>
                </w:tc>
              </w:tr>
            </w:sdtContent>
          </w:sdt>
          <w:tr w:rsidR="001652AC" w:rsidTr="001652AC">
            <w:sdt>
              <w:sdtPr>
                <w:tag w:val="_PLD_2d43dc7142ef4f83aac50116249ad759"/>
                <w:id w:val="-1554387364"/>
                <w:lock w:val="sdtLocked"/>
              </w:sdtPr>
              <w:sdtContent>
                <w:tc>
                  <w:tcPr>
                    <w:tcW w:w="1156" w:type="pct"/>
                    <w:tcBorders>
                      <w:top w:val="single" w:sz="4" w:space="0" w:color="auto"/>
                      <w:left w:val="single" w:sz="4" w:space="0" w:color="auto"/>
                      <w:bottom w:val="single" w:sz="4" w:space="0" w:color="auto"/>
                      <w:right w:val="single" w:sz="4" w:space="0" w:color="auto"/>
                    </w:tcBorders>
                    <w:vAlign w:val="center"/>
                  </w:tcPr>
                  <w:p w:rsidR="001652AC" w:rsidRDefault="001652AC" w:rsidP="00601D47">
                    <w:pPr>
                      <w:autoSpaceDE w:val="0"/>
                      <w:autoSpaceDN w:val="0"/>
                      <w:adjustRightInd w:val="0"/>
                      <w:jc w:val="center"/>
                      <w:rPr>
                        <w:szCs w:val="21"/>
                      </w:rPr>
                    </w:pPr>
                    <w:r>
                      <w:rPr>
                        <w:rFonts w:hint="eastAsia"/>
                        <w:szCs w:val="21"/>
                      </w:rPr>
                      <w:t>合计</w:t>
                    </w:r>
                  </w:p>
                </w:tc>
              </w:sdtContent>
            </w:sdt>
            <w:tc>
              <w:tcPr>
                <w:tcW w:w="940" w:type="pct"/>
                <w:tcBorders>
                  <w:top w:val="single" w:sz="4" w:space="0" w:color="auto"/>
                  <w:left w:val="single" w:sz="4" w:space="0" w:color="auto"/>
                  <w:bottom w:val="single" w:sz="4" w:space="0" w:color="auto"/>
                  <w:right w:val="single" w:sz="4" w:space="0" w:color="auto"/>
                </w:tcBorders>
              </w:tcPr>
              <w:p w:rsidR="001652AC" w:rsidRDefault="001652AC" w:rsidP="00601D47">
                <w:pPr>
                  <w:jc w:val="right"/>
                  <w:rPr>
                    <w:szCs w:val="21"/>
                  </w:rPr>
                </w:pPr>
                <w:r>
                  <w:t>1,170,101,788</w:t>
                </w:r>
              </w:p>
            </w:tc>
            <w:tc>
              <w:tcPr>
                <w:tcW w:w="939" w:type="pct"/>
                <w:tcBorders>
                  <w:top w:val="single" w:sz="4" w:space="0" w:color="auto"/>
                  <w:left w:val="single" w:sz="4" w:space="0" w:color="auto"/>
                  <w:bottom w:val="single" w:sz="4" w:space="0" w:color="auto"/>
                  <w:right w:val="single" w:sz="4" w:space="0" w:color="auto"/>
                </w:tcBorders>
              </w:tcPr>
              <w:p w:rsidR="001652AC" w:rsidRDefault="001652AC" w:rsidP="00601D47">
                <w:pPr>
                  <w:jc w:val="right"/>
                  <w:rPr>
                    <w:szCs w:val="21"/>
                  </w:rPr>
                </w:pPr>
                <w:r>
                  <w:t>18,655,549,133</w:t>
                </w:r>
              </w:p>
            </w:tc>
            <w:tc>
              <w:tcPr>
                <w:tcW w:w="1069" w:type="pct"/>
                <w:tcBorders>
                  <w:top w:val="single" w:sz="4" w:space="0" w:color="auto"/>
                  <w:left w:val="single" w:sz="4" w:space="0" w:color="auto"/>
                  <w:bottom w:val="single" w:sz="4" w:space="0" w:color="auto"/>
                  <w:right w:val="single" w:sz="4" w:space="0" w:color="auto"/>
                </w:tcBorders>
              </w:tcPr>
              <w:p w:rsidR="001652AC" w:rsidRDefault="001652AC" w:rsidP="00601D47">
                <w:pPr>
                  <w:jc w:val="right"/>
                  <w:rPr>
                    <w:szCs w:val="21"/>
                  </w:rPr>
                </w:pPr>
                <w:r>
                  <w:t>18,477,462,714</w:t>
                </w:r>
              </w:p>
            </w:tc>
            <w:tc>
              <w:tcPr>
                <w:tcW w:w="895" w:type="pct"/>
                <w:tcBorders>
                  <w:top w:val="single" w:sz="4" w:space="0" w:color="auto"/>
                  <w:left w:val="single" w:sz="4" w:space="0" w:color="auto"/>
                  <w:bottom w:val="single" w:sz="4" w:space="0" w:color="auto"/>
                  <w:right w:val="single" w:sz="4" w:space="0" w:color="auto"/>
                </w:tcBorders>
              </w:tcPr>
              <w:p w:rsidR="001652AC" w:rsidRDefault="001652AC" w:rsidP="00601D47">
                <w:pPr>
                  <w:jc w:val="right"/>
                  <w:rPr>
                    <w:szCs w:val="21"/>
                  </w:rPr>
                </w:pPr>
                <w:r>
                  <w:t>1,348,188,207</w:t>
                </w:r>
              </w:p>
            </w:tc>
          </w:tr>
        </w:tbl>
        <w:p w:rsidR="00806678" w:rsidRDefault="00F80B6C">
          <w:pPr>
            <w:rPr>
              <w:color w:val="000000" w:themeColor="text1"/>
              <w:szCs w:val="21"/>
            </w:rPr>
          </w:pPr>
        </w:p>
      </w:sdtContent>
    </w:sdt>
    <w:sdt>
      <w:sdtPr>
        <w:rPr>
          <w:rFonts w:ascii="宋体" w:eastAsia="宋体" w:hAnsi="宋体" w:cs="宋体" w:hint="eastAsia"/>
          <w:b w:val="0"/>
          <w:bCs w:val="0"/>
          <w:kern w:val="0"/>
          <w:szCs w:val="24"/>
        </w:rPr>
        <w:alias w:val="模块:设定提存计划列示"/>
        <w:tag w:val="_SEC_09e47a9c2ace47f19c4a16776060c867"/>
        <w:id w:val="-506439886"/>
        <w:lock w:val="sdtLocked"/>
        <w:placeholder>
          <w:docPart w:val="GBC22222222222222222222222222222"/>
        </w:placeholder>
      </w:sdtPr>
      <w:sdtEndPr>
        <w:rPr>
          <w:szCs w:val="21"/>
        </w:rPr>
      </w:sdtEndPr>
      <w:sdtContent>
        <w:p w:rsidR="00806678" w:rsidRDefault="00B16377" w:rsidP="00FF17C7">
          <w:pPr>
            <w:pStyle w:val="4"/>
            <w:numPr>
              <w:ilvl w:val="0"/>
              <w:numId w:val="94"/>
            </w:numPr>
          </w:pPr>
          <w:r>
            <w:rPr>
              <w:rFonts w:hint="eastAsia"/>
            </w:rPr>
            <w:t>设定提存计划列示</w:t>
          </w:r>
        </w:p>
        <w:p w:rsidR="00806678" w:rsidRDefault="00F80B6C">
          <w:sdt>
            <w:sdtPr>
              <w:alias w:val="是否适用：设定提存计划列示[双击切换]"/>
              <w:tag w:val="_GBC_b10b1dbaca2d418ba8658bab8f732ec8"/>
              <w:id w:val="1525593866"/>
              <w:lock w:val="sdtLocked"/>
              <w:placeholder>
                <w:docPart w:val="GBC22222222222222222222222222222"/>
              </w:placeholder>
            </w:sdtPr>
            <w:sdtContent>
              <w:r>
                <w:fldChar w:fldCharType="begin"/>
              </w:r>
              <w:r w:rsidR="008F5350">
                <w:instrText xml:space="preserve">MACROBUTTON  SnrToggleCheckbox √适用 </w:instrText>
              </w:r>
              <w:r>
                <w:fldChar w:fldCharType="end"/>
              </w:r>
              <w:r>
                <w:fldChar w:fldCharType="begin"/>
              </w:r>
              <w:r w:rsidR="008F5350">
                <w:instrText xml:space="preserve"> MACROBUTTON  SnrToggleCheckbox □不适用 </w:instrText>
              </w:r>
              <w:r>
                <w:fldChar w:fldCharType="end"/>
              </w:r>
            </w:sdtContent>
          </w:sdt>
        </w:p>
        <w:p w:rsidR="00806678" w:rsidRDefault="00B16377">
          <w:pPr>
            <w:jc w:val="right"/>
          </w:pPr>
          <w:r>
            <w:rPr>
              <w:rFonts w:hint="eastAsia"/>
            </w:rPr>
            <w:t>单位：</w:t>
          </w:r>
          <w:sdt>
            <w:sdtPr>
              <w:rPr>
                <w:rFonts w:hint="eastAsia"/>
              </w:rPr>
              <w:alias w:val="单位：财务附注：设定提存计划列示"/>
              <w:tag w:val="_GBC_925094ba622346ba8857a40cf7e6f1b2"/>
              <w:id w:val="290698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设定提存计划列示"/>
              <w:tag w:val="_GBC_e3e3da384da84c8f92edb23d37c13690"/>
              <w:id w:val="290701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86"/>
            <w:gridCol w:w="1623"/>
            <w:gridCol w:w="1609"/>
            <w:gridCol w:w="1638"/>
            <w:gridCol w:w="1593"/>
          </w:tblGrid>
          <w:tr w:rsidR="00806678" w:rsidTr="000F2EC9">
            <w:sdt>
              <w:sdtPr>
                <w:tag w:val="_PLD_5a05fd1b5f8842ba9ae6094f6792dfbe"/>
                <w:id w:val="-780257223"/>
                <w:lock w:val="sdtLocked"/>
              </w:sdtPr>
              <w:sdtContent>
                <w:tc>
                  <w:tcPr>
                    <w:tcW w:w="1429" w:type="pct"/>
                    <w:tcBorders>
                      <w:top w:val="single" w:sz="6" w:space="0" w:color="auto"/>
                      <w:left w:val="single" w:sz="6" w:space="0" w:color="auto"/>
                      <w:bottom w:val="single" w:sz="6" w:space="0" w:color="auto"/>
                      <w:right w:val="single" w:sz="6" w:space="0" w:color="auto"/>
                    </w:tcBorders>
                    <w:shd w:val="clear" w:color="auto" w:fill="auto"/>
                    <w:vAlign w:val="center"/>
                  </w:tcPr>
                  <w:p w:rsidR="00806678" w:rsidRDefault="00B16377">
                    <w:pPr>
                      <w:jc w:val="center"/>
                    </w:pPr>
                    <w:r>
                      <w:rPr>
                        <w:rFonts w:hint="eastAsia"/>
                      </w:rPr>
                      <w:t>项目</w:t>
                    </w:r>
                  </w:p>
                </w:tc>
              </w:sdtContent>
            </w:sdt>
            <w:sdt>
              <w:sdtPr>
                <w:tag w:val="_PLD_fae7d76d85e4429d925f3d30ff27566f"/>
                <w:id w:val="891622766"/>
                <w:lock w:val="sdtLocked"/>
              </w:sdtPr>
              <w:sdtContent>
                <w:tc>
                  <w:tcPr>
                    <w:tcW w:w="897" w:type="pct"/>
                    <w:tcBorders>
                      <w:top w:val="single" w:sz="6" w:space="0" w:color="auto"/>
                      <w:left w:val="single" w:sz="6" w:space="0" w:color="auto"/>
                      <w:bottom w:val="single" w:sz="6" w:space="0" w:color="auto"/>
                      <w:right w:val="single" w:sz="6" w:space="0" w:color="auto"/>
                    </w:tcBorders>
                    <w:shd w:val="clear" w:color="auto" w:fill="auto"/>
                    <w:vAlign w:val="center"/>
                  </w:tcPr>
                  <w:p w:rsidR="00806678" w:rsidRDefault="00B16377">
                    <w:pPr>
                      <w:jc w:val="center"/>
                    </w:pPr>
                    <w:r>
                      <w:rPr>
                        <w:rFonts w:hint="eastAsia"/>
                      </w:rPr>
                      <w:t>期初余额</w:t>
                    </w:r>
                  </w:p>
                </w:tc>
              </w:sdtContent>
            </w:sdt>
            <w:sdt>
              <w:sdtPr>
                <w:tag w:val="_PLD_cd3c897871944aa0a1ea524d70e51704"/>
                <w:id w:val="2040930456"/>
                <w:lock w:val="sdtLocked"/>
              </w:sdtPr>
              <w:sdtContent>
                <w:tc>
                  <w:tcPr>
                    <w:tcW w:w="889" w:type="pct"/>
                    <w:tcBorders>
                      <w:top w:val="single" w:sz="6" w:space="0" w:color="auto"/>
                      <w:left w:val="single" w:sz="6" w:space="0" w:color="auto"/>
                      <w:bottom w:val="single" w:sz="6" w:space="0" w:color="auto"/>
                      <w:right w:val="single" w:sz="6" w:space="0" w:color="auto"/>
                    </w:tcBorders>
                    <w:shd w:val="clear" w:color="auto" w:fill="auto"/>
                    <w:vAlign w:val="center"/>
                  </w:tcPr>
                  <w:p w:rsidR="00806678" w:rsidRDefault="00B16377">
                    <w:pPr>
                      <w:jc w:val="center"/>
                    </w:pPr>
                    <w:r>
                      <w:rPr>
                        <w:rFonts w:hint="eastAsia"/>
                      </w:rPr>
                      <w:t>本期增加</w:t>
                    </w:r>
                  </w:p>
                </w:tc>
              </w:sdtContent>
            </w:sdt>
            <w:sdt>
              <w:sdtPr>
                <w:tag w:val="_PLD_5ef10b06a3d24730bad93c45f119182f"/>
                <w:id w:val="-1404134378"/>
                <w:lock w:val="sdtLocked"/>
              </w:sdtPr>
              <w:sdtContent>
                <w:tc>
                  <w:tcPr>
                    <w:tcW w:w="905" w:type="pct"/>
                    <w:tcBorders>
                      <w:top w:val="single" w:sz="6" w:space="0" w:color="auto"/>
                      <w:left w:val="single" w:sz="6" w:space="0" w:color="auto"/>
                      <w:bottom w:val="single" w:sz="6" w:space="0" w:color="auto"/>
                      <w:right w:val="single" w:sz="6" w:space="0" w:color="auto"/>
                    </w:tcBorders>
                    <w:shd w:val="clear" w:color="auto" w:fill="auto"/>
                    <w:vAlign w:val="center"/>
                  </w:tcPr>
                  <w:p w:rsidR="00806678" w:rsidRDefault="00B16377">
                    <w:pPr>
                      <w:jc w:val="center"/>
                    </w:pPr>
                    <w:r>
                      <w:rPr>
                        <w:rFonts w:hint="eastAsia"/>
                      </w:rPr>
                      <w:t>本期减少</w:t>
                    </w:r>
                  </w:p>
                </w:tc>
              </w:sdtContent>
            </w:sdt>
            <w:sdt>
              <w:sdtPr>
                <w:tag w:val="_PLD_13d5e5df016d4921aa56218755dfb8f4"/>
                <w:id w:val="1232818258"/>
                <w:lock w:val="sdtLocked"/>
              </w:sdtPr>
              <w:sdtContent>
                <w:tc>
                  <w:tcPr>
                    <w:tcW w:w="880" w:type="pct"/>
                    <w:tcBorders>
                      <w:top w:val="single" w:sz="6" w:space="0" w:color="auto"/>
                      <w:left w:val="single" w:sz="6" w:space="0" w:color="auto"/>
                      <w:bottom w:val="single" w:sz="6" w:space="0" w:color="auto"/>
                      <w:right w:val="single" w:sz="6" w:space="0" w:color="auto"/>
                    </w:tcBorders>
                    <w:shd w:val="clear" w:color="auto" w:fill="auto"/>
                    <w:vAlign w:val="center"/>
                  </w:tcPr>
                  <w:p w:rsidR="00806678" w:rsidRDefault="00B16377">
                    <w:pPr>
                      <w:jc w:val="center"/>
                    </w:pPr>
                    <w:r>
                      <w:rPr>
                        <w:rFonts w:hint="eastAsia"/>
                      </w:rPr>
                      <w:t>期末余额</w:t>
                    </w:r>
                  </w:p>
                </w:tc>
              </w:sdtContent>
            </w:sdt>
          </w:tr>
          <w:tr w:rsidR="008F5350" w:rsidTr="00601D47">
            <w:sdt>
              <w:sdtPr>
                <w:tag w:val="_PLD_192f35728476417fb8764a48f0f9f81a"/>
                <w:id w:val="-1212412689"/>
                <w:lock w:val="sdtLocked"/>
              </w:sdtPr>
              <w:sdtContent>
                <w:tc>
                  <w:tcPr>
                    <w:tcW w:w="1429" w:type="pct"/>
                    <w:tcBorders>
                      <w:top w:val="single" w:sz="6" w:space="0" w:color="auto"/>
                      <w:left w:val="single" w:sz="6" w:space="0" w:color="auto"/>
                      <w:bottom w:val="single" w:sz="6" w:space="0" w:color="auto"/>
                      <w:right w:val="single" w:sz="6" w:space="0" w:color="auto"/>
                    </w:tcBorders>
                    <w:shd w:val="clear" w:color="auto" w:fill="auto"/>
                  </w:tcPr>
                  <w:p w:rsidR="008F5350" w:rsidRDefault="008F5350" w:rsidP="008F5350">
                    <w:r>
                      <w:rPr>
                        <w:rFonts w:hint="eastAsia"/>
                      </w:rPr>
                      <w:t>1、基本养老保险</w:t>
                    </w:r>
                  </w:p>
                </w:tc>
              </w:sdtContent>
            </w:sdt>
            <w:tc>
              <w:tcPr>
                <w:tcW w:w="897" w:type="pct"/>
                <w:tcBorders>
                  <w:top w:val="single" w:sz="4" w:space="0" w:color="auto"/>
                  <w:left w:val="single" w:sz="6" w:space="0" w:color="auto"/>
                  <w:bottom w:val="single" w:sz="4" w:space="0" w:color="auto"/>
                  <w:right w:val="single" w:sz="4" w:space="0" w:color="auto"/>
                </w:tcBorders>
                <w:shd w:val="clear" w:color="auto" w:fill="auto"/>
                <w:vAlign w:val="center"/>
              </w:tcPr>
              <w:p w:rsidR="008F5350" w:rsidRDefault="008F5350" w:rsidP="008F5350">
                <w:pPr>
                  <w:jc w:val="right"/>
                </w:pPr>
                <w:r>
                  <w:t>164,278</w:t>
                </w:r>
              </w:p>
            </w:tc>
            <w:tc>
              <w:tcPr>
                <w:tcW w:w="889" w:type="pct"/>
                <w:tcBorders>
                  <w:top w:val="single" w:sz="4" w:space="0" w:color="auto"/>
                  <w:left w:val="single" w:sz="4" w:space="0" w:color="auto"/>
                  <w:bottom w:val="single" w:sz="4" w:space="0" w:color="auto"/>
                  <w:right w:val="single" w:sz="4" w:space="0" w:color="auto"/>
                </w:tcBorders>
                <w:shd w:val="clear" w:color="auto" w:fill="auto"/>
                <w:vAlign w:val="center"/>
              </w:tcPr>
              <w:p w:rsidR="008F5350" w:rsidRDefault="008F5350" w:rsidP="008F5350">
                <w:pPr>
                  <w:jc w:val="right"/>
                </w:pPr>
                <w:r>
                  <w:t>2,129,895,994</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8F5350" w:rsidRDefault="008F5350" w:rsidP="008F5350">
                <w:pPr>
                  <w:jc w:val="right"/>
                </w:pPr>
                <w:r>
                  <w:t>761,977,984</w:t>
                </w:r>
              </w:p>
            </w:tc>
            <w:tc>
              <w:tcPr>
                <w:tcW w:w="880" w:type="pct"/>
                <w:tcBorders>
                  <w:top w:val="single" w:sz="4" w:space="0" w:color="auto"/>
                  <w:left w:val="single" w:sz="4" w:space="0" w:color="auto"/>
                  <w:bottom w:val="single" w:sz="4" w:space="0" w:color="auto"/>
                  <w:right w:val="single" w:sz="4" w:space="0" w:color="auto"/>
                </w:tcBorders>
                <w:shd w:val="clear" w:color="auto" w:fill="auto"/>
                <w:vAlign w:val="center"/>
              </w:tcPr>
              <w:p w:rsidR="008F5350" w:rsidRDefault="008F5350" w:rsidP="008F5350">
                <w:pPr>
                  <w:jc w:val="right"/>
                </w:pPr>
                <w:r>
                  <w:t>1,368,082,288</w:t>
                </w:r>
              </w:p>
            </w:tc>
          </w:tr>
          <w:tr w:rsidR="008F5350" w:rsidTr="00601D47">
            <w:sdt>
              <w:sdtPr>
                <w:tag w:val="_PLD_4cc792e49f2f4282bad089744bc43079"/>
                <w:id w:val="-2033710140"/>
                <w:lock w:val="sdtLocked"/>
              </w:sdtPr>
              <w:sdtContent>
                <w:tc>
                  <w:tcPr>
                    <w:tcW w:w="1429" w:type="pct"/>
                    <w:tcBorders>
                      <w:top w:val="single" w:sz="6" w:space="0" w:color="auto"/>
                      <w:left w:val="single" w:sz="6" w:space="0" w:color="auto"/>
                      <w:bottom w:val="single" w:sz="6" w:space="0" w:color="auto"/>
                      <w:right w:val="single" w:sz="6" w:space="0" w:color="auto"/>
                    </w:tcBorders>
                    <w:shd w:val="clear" w:color="auto" w:fill="auto"/>
                  </w:tcPr>
                  <w:p w:rsidR="008F5350" w:rsidRDefault="008F5350" w:rsidP="008F5350">
                    <w:r>
                      <w:rPr>
                        <w:rFonts w:hint="eastAsia"/>
                      </w:rPr>
                      <w:t>2、失业保险费</w:t>
                    </w:r>
                  </w:p>
                </w:tc>
              </w:sdtContent>
            </w:sdt>
            <w:tc>
              <w:tcPr>
                <w:tcW w:w="897" w:type="pct"/>
                <w:tcBorders>
                  <w:top w:val="single" w:sz="4" w:space="0" w:color="auto"/>
                  <w:left w:val="single" w:sz="6" w:space="0" w:color="auto"/>
                  <w:bottom w:val="single" w:sz="4" w:space="0" w:color="auto"/>
                  <w:right w:val="single" w:sz="4" w:space="0" w:color="auto"/>
                </w:tcBorders>
                <w:shd w:val="clear" w:color="auto" w:fill="auto"/>
                <w:vAlign w:val="center"/>
              </w:tcPr>
              <w:p w:rsidR="008F5350" w:rsidRDefault="008F5350" w:rsidP="008F5350">
                <w:pPr>
                  <w:jc w:val="right"/>
                </w:pPr>
                <w:r>
                  <w:t>33,236</w:t>
                </w:r>
              </w:p>
            </w:tc>
            <w:tc>
              <w:tcPr>
                <w:tcW w:w="889" w:type="pct"/>
                <w:tcBorders>
                  <w:top w:val="single" w:sz="4" w:space="0" w:color="auto"/>
                  <w:left w:val="single" w:sz="4" w:space="0" w:color="auto"/>
                  <w:bottom w:val="single" w:sz="4" w:space="0" w:color="auto"/>
                  <w:right w:val="single" w:sz="4" w:space="0" w:color="auto"/>
                </w:tcBorders>
                <w:shd w:val="clear" w:color="auto" w:fill="auto"/>
                <w:vAlign w:val="center"/>
              </w:tcPr>
              <w:p w:rsidR="008F5350" w:rsidRDefault="008F5350" w:rsidP="008F5350">
                <w:pPr>
                  <w:jc w:val="right"/>
                </w:pPr>
                <w:r>
                  <w:t>89,646,423</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8F5350" w:rsidRDefault="008F5350" w:rsidP="008F5350">
                <w:pPr>
                  <w:jc w:val="right"/>
                </w:pPr>
                <w:r>
                  <w:t>33,576,410</w:t>
                </w:r>
              </w:p>
            </w:tc>
            <w:tc>
              <w:tcPr>
                <w:tcW w:w="880" w:type="pct"/>
                <w:tcBorders>
                  <w:top w:val="single" w:sz="4" w:space="0" w:color="auto"/>
                  <w:left w:val="single" w:sz="4" w:space="0" w:color="auto"/>
                  <w:bottom w:val="single" w:sz="4" w:space="0" w:color="auto"/>
                  <w:right w:val="single" w:sz="4" w:space="0" w:color="auto"/>
                </w:tcBorders>
                <w:shd w:val="clear" w:color="auto" w:fill="auto"/>
                <w:vAlign w:val="center"/>
              </w:tcPr>
              <w:p w:rsidR="008F5350" w:rsidRDefault="008F5350" w:rsidP="008F5350">
                <w:pPr>
                  <w:jc w:val="right"/>
                </w:pPr>
                <w:r>
                  <w:t>56,103,249</w:t>
                </w:r>
              </w:p>
            </w:tc>
          </w:tr>
          <w:tr w:rsidR="008F5350" w:rsidTr="00601D47">
            <w:sdt>
              <w:sdtPr>
                <w:tag w:val="_PLD_a3a47267e86e4e5f8ca47222510e775d"/>
                <w:id w:val="-1356496822"/>
                <w:lock w:val="sdtLocked"/>
              </w:sdtPr>
              <w:sdtContent>
                <w:tc>
                  <w:tcPr>
                    <w:tcW w:w="1429" w:type="pct"/>
                    <w:tcBorders>
                      <w:top w:val="single" w:sz="6" w:space="0" w:color="auto"/>
                      <w:left w:val="single" w:sz="6" w:space="0" w:color="auto"/>
                      <w:bottom w:val="single" w:sz="6" w:space="0" w:color="auto"/>
                      <w:right w:val="single" w:sz="6" w:space="0" w:color="auto"/>
                    </w:tcBorders>
                    <w:shd w:val="clear" w:color="auto" w:fill="auto"/>
                  </w:tcPr>
                  <w:p w:rsidR="008F5350" w:rsidRDefault="008F5350" w:rsidP="008F5350">
                    <w:r>
                      <w:rPr>
                        <w:rFonts w:hint="eastAsia"/>
                      </w:rPr>
                      <w:t>3、企业年金缴费</w:t>
                    </w:r>
                  </w:p>
                </w:tc>
              </w:sdtContent>
            </w:sdt>
            <w:tc>
              <w:tcPr>
                <w:tcW w:w="897" w:type="pct"/>
                <w:tcBorders>
                  <w:top w:val="single" w:sz="4" w:space="0" w:color="auto"/>
                  <w:left w:val="single" w:sz="6" w:space="0" w:color="auto"/>
                  <w:bottom w:val="single" w:sz="4" w:space="0" w:color="auto"/>
                  <w:right w:val="single" w:sz="4" w:space="0" w:color="auto"/>
                </w:tcBorders>
                <w:shd w:val="clear" w:color="auto" w:fill="auto"/>
                <w:vAlign w:val="center"/>
              </w:tcPr>
              <w:p w:rsidR="008F5350" w:rsidRDefault="008F5350" w:rsidP="008F5350">
                <w:pPr>
                  <w:jc w:val="right"/>
                </w:pPr>
                <w:r>
                  <w:t>898,618</w:t>
                </w:r>
              </w:p>
            </w:tc>
            <w:tc>
              <w:tcPr>
                <w:tcW w:w="889" w:type="pct"/>
                <w:tcBorders>
                  <w:top w:val="single" w:sz="4" w:space="0" w:color="auto"/>
                  <w:left w:val="single" w:sz="4" w:space="0" w:color="auto"/>
                  <w:bottom w:val="single" w:sz="4" w:space="0" w:color="auto"/>
                  <w:right w:val="single" w:sz="4" w:space="0" w:color="auto"/>
                </w:tcBorders>
                <w:shd w:val="clear" w:color="auto" w:fill="auto"/>
                <w:vAlign w:val="center"/>
              </w:tcPr>
              <w:p w:rsidR="008F5350" w:rsidRDefault="008F5350" w:rsidP="008F5350">
                <w:pPr>
                  <w:jc w:val="right"/>
                </w:pPr>
                <w:r>
                  <w:t>1,057,569,031</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8F5350" w:rsidRDefault="008F5350" w:rsidP="008F5350">
                <w:pPr>
                  <w:jc w:val="right"/>
                </w:pPr>
                <w:r>
                  <w:t>1,058,467,649</w:t>
                </w:r>
              </w:p>
            </w:tc>
            <w:tc>
              <w:tcPr>
                <w:tcW w:w="880" w:type="pct"/>
                <w:tcBorders>
                  <w:top w:val="single" w:sz="4" w:space="0" w:color="auto"/>
                  <w:left w:val="single" w:sz="4" w:space="0" w:color="auto"/>
                  <w:bottom w:val="single" w:sz="4" w:space="0" w:color="auto"/>
                  <w:right w:val="single" w:sz="4" w:space="0" w:color="auto"/>
                </w:tcBorders>
                <w:shd w:val="clear" w:color="auto" w:fill="auto"/>
                <w:vAlign w:val="center"/>
              </w:tcPr>
              <w:p w:rsidR="008F5350" w:rsidRDefault="008F5350" w:rsidP="008F5350">
                <w:pPr>
                  <w:jc w:val="right"/>
                </w:pPr>
                <w:r>
                  <w:t>0</w:t>
                </w:r>
              </w:p>
            </w:tc>
          </w:tr>
          <w:tr w:rsidR="008F5350" w:rsidTr="00601D47">
            <w:sdt>
              <w:sdtPr>
                <w:tag w:val="_PLD_1be2c89c2b8b4426a1997730a6fc3f32"/>
                <w:id w:val="-248586625"/>
                <w:lock w:val="sdtLocked"/>
              </w:sdtPr>
              <w:sdtContent>
                <w:tc>
                  <w:tcPr>
                    <w:tcW w:w="1429" w:type="pct"/>
                    <w:tcBorders>
                      <w:top w:val="single" w:sz="6" w:space="0" w:color="auto"/>
                      <w:left w:val="single" w:sz="6" w:space="0" w:color="auto"/>
                      <w:bottom w:val="single" w:sz="6" w:space="0" w:color="auto"/>
                      <w:right w:val="single" w:sz="6" w:space="0" w:color="auto"/>
                    </w:tcBorders>
                    <w:shd w:val="clear" w:color="auto" w:fill="auto"/>
                    <w:vAlign w:val="center"/>
                  </w:tcPr>
                  <w:p w:rsidR="008F5350" w:rsidRDefault="008F5350" w:rsidP="008F5350">
                    <w:pPr>
                      <w:jc w:val="center"/>
                    </w:pPr>
                    <w:r>
                      <w:rPr>
                        <w:rFonts w:hint="eastAsia"/>
                      </w:rPr>
                      <w:t>合计</w:t>
                    </w:r>
                  </w:p>
                </w:tc>
              </w:sdtContent>
            </w:sdt>
            <w:tc>
              <w:tcPr>
                <w:tcW w:w="897" w:type="pct"/>
                <w:tcBorders>
                  <w:top w:val="single" w:sz="4" w:space="0" w:color="auto"/>
                  <w:left w:val="single" w:sz="6" w:space="0" w:color="auto"/>
                  <w:bottom w:val="single" w:sz="4" w:space="0" w:color="auto"/>
                  <w:right w:val="single" w:sz="4" w:space="0" w:color="auto"/>
                </w:tcBorders>
                <w:shd w:val="clear" w:color="auto" w:fill="auto"/>
                <w:vAlign w:val="center"/>
              </w:tcPr>
              <w:p w:rsidR="008F5350" w:rsidRDefault="008F5350" w:rsidP="008F5350">
                <w:pPr>
                  <w:jc w:val="right"/>
                </w:pPr>
                <w:r>
                  <w:t>1,096,132</w:t>
                </w:r>
              </w:p>
            </w:tc>
            <w:tc>
              <w:tcPr>
                <w:tcW w:w="889" w:type="pct"/>
                <w:tcBorders>
                  <w:top w:val="single" w:sz="4" w:space="0" w:color="auto"/>
                  <w:left w:val="single" w:sz="4" w:space="0" w:color="auto"/>
                  <w:bottom w:val="single" w:sz="4" w:space="0" w:color="auto"/>
                  <w:right w:val="single" w:sz="4" w:space="0" w:color="auto"/>
                </w:tcBorders>
                <w:shd w:val="clear" w:color="auto" w:fill="auto"/>
                <w:vAlign w:val="center"/>
              </w:tcPr>
              <w:p w:rsidR="008F5350" w:rsidRDefault="008F5350" w:rsidP="008F5350">
                <w:pPr>
                  <w:jc w:val="right"/>
                </w:pPr>
                <w:r>
                  <w:t>3,277,111,448</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8F5350" w:rsidRDefault="008F5350" w:rsidP="008F5350">
                <w:pPr>
                  <w:jc w:val="right"/>
                </w:pPr>
                <w:r>
                  <w:t>1,854,022,043</w:t>
                </w:r>
              </w:p>
            </w:tc>
            <w:tc>
              <w:tcPr>
                <w:tcW w:w="880" w:type="pct"/>
                <w:tcBorders>
                  <w:top w:val="single" w:sz="4" w:space="0" w:color="auto"/>
                  <w:left w:val="single" w:sz="4" w:space="0" w:color="auto"/>
                  <w:bottom w:val="single" w:sz="4" w:space="0" w:color="auto"/>
                  <w:right w:val="single" w:sz="4" w:space="0" w:color="auto"/>
                </w:tcBorders>
                <w:shd w:val="clear" w:color="auto" w:fill="auto"/>
                <w:vAlign w:val="center"/>
              </w:tcPr>
              <w:p w:rsidR="008F5350" w:rsidRDefault="008F5350" w:rsidP="008F5350">
                <w:pPr>
                  <w:jc w:val="right"/>
                </w:pPr>
                <w:r>
                  <w:t>1,424,185,537</w:t>
                </w:r>
              </w:p>
            </w:tc>
          </w:tr>
        </w:tbl>
        <w:p w:rsidR="00806678" w:rsidRDefault="00F80B6C">
          <w:pPr>
            <w:autoSpaceDE w:val="0"/>
            <w:autoSpaceDN w:val="0"/>
            <w:adjustRightInd w:val="0"/>
            <w:rPr>
              <w:szCs w:val="21"/>
            </w:rPr>
          </w:pPr>
        </w:p>
      </w:sdtContent>
    </w:sdt>
    <w:sdt>
      <w:sdtPr>
        <w:rPr>
          <w:rFonts w:hint="eastAsia"/>
          <w:szCs w:val="21"/>
        </w:rPr>
        <w:alias w:val="模块:应付职工薪酬说明"/>
        <w:tag w:val="_SEC_edbce81fdb28449ba35de2db232257b2"/>
        <w:id w:val="-343862367"/>
        <w:lock w:val="sdtLocked"/>
        <w:placeholder>
          <w:docPart w:val="GBC22222222222222222222222222222"/>
        </w:placeholder>
      </w:sdtPr>
      <w:sdtContent>
        <w:p w:rsidR="00806678" w:rsidRDefault="00B16377">
          <w:pPr>
            <w:autoSpaceDE w:val="0"/>
            <w:autoSpaceDN w:val="0"/>
            <w:adjustRightInd w:val="0"/>
            <w:rPr>
              <w:szCs w:val="21"/>
            </w:rPr>
          </w:pPr>
          <w:r>
            <w:rPr>
              <w:rFonts w:hint="eastAsia"/>
              <w:szCs w:val="21"/>
            </w:rPr>
            <w:t>其他说明：</w:t>
          </w:r>
        </w:p>
        <w:sdt>
          <w:sdtPr>
            <w:rPr>
              <w:szCs w:val="21"/>
            </w:rPr>
            <w:alias w:val="是否适用：应付职工薪酬的说明[双击切换]"/>
            <w:tag w:val="_GBC_140070104764414eae4680364e4d0b62"/>
            <w:id w:val="2027983131"/>
            <w:lock w:val="sdtLocked"/>
            <w:placeholder>
              <w:docPart w:val="GBC22222222222222222222222222222"/>
            </w:placeholder>
          </w:sdtPr>
          <w:sdtContent>
            <w:p w:rsidR="00806678" w:rsidRDefault="00F80B6C" w:rsidP="00065F08">
              <w:pPr>
                <w:autoSpaceDE w:val="0"/>
                <w:autoSpaceDN w:val="0"/>
                <w:adjustRightInd w:val="0"/>
                <w:rPr>
                  <w:szCs w:val="21"/>
                </w:rPr>
              </w:pPr>
              <w:r>
                <w:rPr>
                  <w:szCs w:val="21"/>
                </w:rPr>
                <w:fldChar w:fldCharType="begin"/>
              </w:r>
              <w:r w:rsidR="00065F08">
                <w:rPr>
                  <w:szCs w:val="21"/>
                </w:rPr>
                <w:instrText xml:space="preserve">MACROBUTTON  SnrToggleCheckbox □适用 </w:instrText>
              </w:r>
              <w:r>
                <w:rPr>
                  <w:szCs w:val="21"/>
                </w:rPr>
                <w:fldChar w:fldCharType="end"/>
              </w:r>
              <w:r>
                <w:rPr>
                  <w:szCs w:val="21"/>
                </w:rPr>
                <w:fldChar w:fldCharType="begin"/>
              </w:r>
              <w:r w:rsidR="00065F08">
                <w:rPr>
                  <w:szCs w:val="21"/>
                </w:rPr>
                <w:instrText xml:space="preserve"> MACROBUTTON  SnrToggleCheckbox √不适用 </w:instrText>
              </w:r>
              <w:r>
                <w:rPr>
                  <w:szCs w:val="21"/>
                </w:rPr>
                <w:fldChar w:fldCharType="end"/>
              </w:r>
            </w:p>
          </w:sdtContent>
        </w:sdt>
      </w:sdtContent>
    </w:sdt>
    <w:p w:rsidR="00806678" w:rsidRDefault="00806678">
      <w:pPr>
        <w:autoSpaceDE w:val="0"/>
        <w:autoSpaceDN w:val="0"/>
        <w:adjustRightInd w:val="0"/>
        <w:rPr>
          <w:szCs w:val="21"/>
        </w:rPr>
      </w:pPr>
    </w:p>
    <w:sdt>
      <w:sdtPr>
        <w:rPr>
          <w:rFonts w:ascii="宋体" w:hAnsi="宋体" w:cs="宋体" w:hint="eastAsia"/>
          <w:b w:val="0"/>
          <w:bCs w:val="0"/>
          <w:kern w:val="0"/>
          <w:szCs w:val="21"/>
        </w:rPr>
        <w:alias w:val="模块:应交税费"/>
        <w:tag w:val="_SEC_be9a46a3e37649b39960634f96204c34"/>
        <w:id w:val="35717856"/>
        <w:lock w:val="sdtLocked"/>
        <w:placeholder>
          <w:docPart w:val="GBC22222222222222222222222222222"/>
        </w:placeholder>
      </w:sdtPr>
      <w:sdtEndPr>
        <w:rPr>
          <w:rFonts w:cstheme="minorBidi" w:hint="default"/>
          <w:color w:val="000000" w:themeColor="text1"/>
          <w:kern w:val="2"/>
        </w:rPr>
      </w:sdtEndPr>
      <w:sdtContent>
        <w:p w:rsidR="00806678" w:rsidRDefault="00B16377" w:rsidP="00FF17C7">
          <w:pPr>
            <w:pStyle w:val="3"/>
            <w:numPr>
              <w:ilvl w:val="0"/>
              <w:numId w:val="18"/>
            </w:numPr>
            <w:tabs>
              <w:tab w:val="left" w:pos="504"/>
            </w:tabs>
            <w:rPr>
              <w:rFonts w:ascii="宋体" w:hAnsi="宋体"/>
              <w:szCs w:val="21"/>
            </w:rPr>
          </w:pPr>
          <w:r>
            <w:rPr>
              <w:rFonts w:ascii="宋体" w:hAnsi="宋体" w:hint="eastAsia"/>
              <w:szCs w:val="21"/>
            </w:rPr>
            <w:t>应交税费</w:t>
          </w:r>
        </w:p>
        <w:sdt>
          <w:sdtPr>
            <w:alias w:val="是否适用：应交税费[双击切换]"/>
            <w:tag w:val="_GBC_2ed6216b8f4c4523a1de5c2628cc02a2"/>
            <w:id w:val="-1176191625"/>
            <w:lock w:val="sdtLocked"/>
            <w:placeholder>
              <w:docPart w:val="GBC22222222222222222222222222222"/>
            </w:placeholder>
          </w:sdtPr>
          <w:sdtContent>
            <w:p w:rsidR="00806678" w:rsidRDefault="00F80B6C">
              <w:r>
                <w:fldChar w:fldCharType="begin"/>
              </w:r>
              <w:r w:rsidR="00065F08">
                <w:instrText xml:space="preserve">MACROBUTTON  SnrToggleCheckbox √适用 </w:instrText>
              </w:r>
              <w:r>
                <w:fldChar w:fldCharType="end"/>
              </w:r>
              <w:r>
                <w:fldChar w:fldCharType="begin"/>
              </w:r>
              <w:r w:rsidR="00065F08">
                <w:instrText xml:space="preserve"> MACROBUTTON  SnrToggleCheckbox □不适用 </w:instrText>
              </w:r>
              <w:r>
                <w:fldChar w:fldCharType="end"/>
              </w:r>
            </w:p>
          </w:sdtContent>
        </w:sdt>
        <w:p w:rsidR="00806678" w:rsidRDefault="00B16377">
          <w:pPr>
            <w:jc w:val="right"/>
            <w:rPr>
              <w:szCs w:val="21"/>
            </w:rPr>
          </w:pPr>
          <w:r>
            <w:rPr>
              <w:rFonts w:hint="eastAsia"/>
              <w:szCs w:val="21"/>
            </w:rPr>
            <w:t>单位：</w:t>
          </w:r>
          <w:sdt>
            <w:sdtPr>
              <w:rPr>
                <w:rFonts w:hint="eastAsia"/>
                <w:szCs w:val="21"/>
              </w:rPr>
              <w:alias w:val="单位：财务附注：应交税费"/>
              <w:tag w:val="_GBC_9fe49c1b8a984180ae11c305f9fe5484"/>
              <w:id w:val="-72259244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应交税费"/>
              <w:tag w:val="_GBC_aefdac676d8d4584b84883b8a3980e21"/>
              <w:id w:val="-69175897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31"/>
            <w:gridCol w:w="3006"/>
            <w:gridCol w:w="3012"/>
          </w:tblGrid>
          <w:tr w:rsidR="00806678" w:rsidTr="005F50CE">
            <w:trPr>
              <w:cantSplit/>
            </w:trPr>
            <w:sdt>
              <w:sdtPr>
                <w:tag w:val="_PLD_6c8ac0907441450eac644085301d6804"/>
                <w:id w:val="301895311"/>
                <w:lock w:val="sdtLocked"/>
              </w:sdtPr>
              <w:sdtContent>
                <w:tc>
                  <w:tcPr>
                    <w:tcW w:w="1675" w:type="pct"/>
                    <w:vAlign w:val="center"/>
                  </w:tcPr>
                  <w:p w:rsidR="00806678" w:rsidRDefault="00B16377">
                    <w:pPr>
                      <w:ind w:right="105"/>
                      <w:jc w:val="center"/>
                      <w:rPr>
                        <w:szCs w:val="21"/>
                      </w:rPr>
                    </w:pPr>
                    <w:r>
                      <w:rPr>
                        <w:rFonts w:hint="eastAsia"/>
                        <w:szCs w:val="21"/>
                      </w:rPr>
                      <w:t>项目</w:t>
                    </w:r>
                  </w:p>
                </w:tc>
              </w:sdtContent>
            </w:sdt>
            <w:sdt>
              <w:sdtPr>
                <w:tag w:val="_PLD_8dab1e5e153c4b93a2d18673e1365591"/>
                <w:id w:val="1887834312"/>
                <w:lock w:val="sdtLocked"/>
              </w:sdtPr>
              <w:sdtContent>
                <w:tc>
                  <w:tcPr>
                    <w:tcW w:w="1661" w:type="pct"/>
                    <w:vAlign w:val="center"/>
                  </w:tcPr>
                  <w:p w:rsidR="00806678" w:rsidRDefault="00B16377">
                    <w:pPr>
                      <w:jc w:val="center"/>
                      <w:rPr>
                        <w:szCs w:val="21"/>
                      </w:rPr>
                    </w:pPr>
                    <w:r>
                      <w:rPr>
                        <w:rFonts w:hint="eastAsia"/>
                        <w:szCs w:val="21"/>
                      </w:rPr>
                      <w:t>期末余额</w:t>
                    </w:r>
                  </w:p>
                </w:tc>
              </w:sdtContent>
            </w:sdt>
            <w:sdt>
              <w:sdtPr>
                <w:tag w:val="_PLD_9793c5ba001a43cb914658d949d3dcec"/>
                <w:id w:val="288934624"/>
                <w:lock w:val="sdtLocked"/>
              </w:sdtPr>
              <w:sdtContent>
                <w:tc>
                  <w:tcPr>
                    <w:tcW w:w="1664" w:type="pct"/>
                    <w:vAlign w:val="center"/>
                  </w:tcPr>
                  <w:p w:rsidR="00806678" w:rsidRDefault="00B16377">
                    <w:pPr>
                      <w:jc w:val="center"/>
                      <w:rPr>
                        <w:szCs w:val="21"/>
                      </w:rPr>
                    </w:pPr>
                    <w:r>
                      <w:rPr>
                        <w:rFonts w:hint="eastAsia"/>
                        <w:szCs w:val="21"/>
                      </w:rPr>
                      <w:t>期初余额</w:t>
                    </w:r>
                  </w:p>
                </w:tc>
              </w:sdtContent>
            </w:sdt>
          </w:tr>
          <w:tr w:rsidR="00065F08" w:rsidTr="00601D47">
            <w:trPr>
              <w:cantSplit/>
            </w:trPr>
            <w:tc>
              <w:tcPr>
                <w:tcW w:w="1675" w:type="pct"/>
                <w:shd w:val="clear" w:color="auto" w:fill="auto"/>
              </w:tcPr>
              <w:p w:rsidR="00065F08" w:rsidRDefault="00065F08" w:rsidP="00065F08">
                <w:pPr>
                  <w:ind w:right="105"/>
                  <w:rPr>
                    <w:szCs w:val="21"/>
                  </w:rPr>
                </w:pPr>
                <w:r>
                  <w:rPr>
                    <w:rFonts w:hint="eastAsia"/>
                    <w:szCs w:val="21"/>
                  </w:rPr>
                  <w:t>增值税</w:t>
                </w:r>
              </w:p>
            </w:tc>
            <w:tc>
              <w:tcPr>
                <w:tcW w:w="1661" w:type="pct"/>
                <w:shd w:val="clear" w:color="auto" w:fill="auto"/>
                <w:vAlign w:val="center"/>
              </w:tcPr>
              <w:p w:rsidR="00065F08" w:rsidRDefault="00065F08" w:rsidP="00065F08">
                <w:pPr>
                  <w:ind w:right="73"/>
                  <w:jc w:val="right"/>
                  <w:rPr>
                    <w:szCs w:val="21"/>
                  </w:rPr>
                </w:pPr>
                <w:r>
                  <w:t>51,513,046</w:t>
                </w:r>
              </w:p>
            </w:tc>
            <w:tc>
              <w:tcPr>
                <w:tcW w:w="1664" w:type="pct"/>
                <w:shd w:val="clear" w:color="auto" w:fill="auto"/>
                <w:vAlign w:val="center"/>
              </w:tcPr>
              <w:p w:rsidR="00065F08" w:rsidRDefault="00065F08" w:rsidP="00065F08">
                <w:pPr>
                  <w:jc w:val="right"/>
                  <w:rPr>
                    <w:szCs w:val="21"/>
                  </w:rPr>
                </w:pPr>
                <w:r>
                  <w:t>216,058,806</w:t>
                </w:r>
              </w:p>
            </w:tc>
          </w:tr>
          <w:tr w:rsidR="00065F08" w:rsidTr="00601D47">
            <w:trPr>
              <w:cantSplit/>
            </w:trPr>
            <w:tc>
              <w:tcPr>
                <w:tcW w:w="1675" w:type="pct"/>
                <w:shd w:val="clear" w:color="auto" w:fill="auto"/>
              </w:tcPr>
              <w:p w:rsidR="00065F08" w:rsidRDefault="00065F08" w:rsidP="00065F08">
                <w:pPr>
                  <w:ind w:right="105"/>
                  <w:rPr>
                    <w:szCs w:val="21"/>
                  </w:rPr>
                </w:pPr>
                <w:r>
                  <w:rPr>
                    <w:rFonts w:hint="eastAsia"/>
                    <w:szCs w:val="21"/>
                  </w:rPr>
                  <w:t>企业所得税</w:t>
                </w:r>
              </w:p>
            </w:tc>
            <w:tc>
              <w:tcPr>
                <w:tcW w:w="1661" w:type="pct"/>
                <w:shd w:val="clear" w:color="auto" w:fill="auto"/>
                <w:vAlign w:val="center"/>
              </w:tcPr>
              <w:p w:rsidR="00065F08" w:rsidRDefault="00065F08" w:rsidP="00065F08">
                <w:pPr>
                  <w:ind w:right="73"/>
                  <w:jc w:val="right"/>
                  <w:rPr>
                    <w:szCs w:val="21"/>
                  </w:rPr>
                </w:pPr>
                <w:r>
                  <w:t>385,818,562</w:t>
                </w:r>
              </w:p>
            </w:tc>
            <w:tc>
              <w:tcPr>
                <w:tcW w:w="1664" w:type="pct"/>
                <w:shd w:val="clear" w:color="auto" w:fill="auto"/>
                <w:vAlign w:val="center"/>
              </w:tcPr>
              <w:p w:rsidR="00065F08" w:rsidRDefault="00065F08" w:rsidP="00065F08">
                <w:pPr>
                  <w:jc w:val="right"/>
                  <w:rPr>
                    <w:szCs w:val="21"/>
                  </w:rPr>
                </w:pPr>
                <w:r>
                  <w:t>1,770,295,822</w:t>
                </w:r>
              </w:p>
            </w:tc>
          </w:tr>
          <w:tr w:rsidR="00065F08" w:rsidTr="00601D47">
            <w:trPr>
              <w:cantSplit/>
            </w:trPr>
            <w:tc>
              <w:tcPr>
                <w:tcW w:w="1675" w:type="pct"/>
                <w:shd w:val="clear" w:color="auto" w:fill="auto"/>
              </w:tcPr>
              <w:p w:rsidR="00065F08" w:rsidRDefault="00065F08" w:rsidP="00065F08">
                <w:pPr>
                  <w:ind w:right="105"/>
                  <w:rPr>
                    <w:szCs w:val="21"/>
                  </w:rPr>
                </w:pPr>
                <w:r>
                  <w:rPr>
                    <w:rFonts w:hint="eastAsia"/>
                    <w:szCs w:val="21"/>
                  </w:rPr>
                  <w:t>个人所得税</w:t>
                </w:r>
              </w:p>
            </w:tc>
            <w:tc>
              <w:tcPr>
                <w:tcW w:w="1661" w:type="pct"/>
                <w:shd w:val="clear" w:color="auto" w:fill="auto"/>
                <w:vAlign w:val="center"/>
              </w:tcPr>
              <w:p w:rsidR="00065F08" w:rsidRDefault="00065F08" w:rsidP="00065F08">
                <w:pPr>
                  <w:ind w:right="73"/>
                  <w:jc w:val="right"/>
                  <w:rPr>
                    <w:szCs w:val="21"/>
                  </w:rPr>
                </w:pPr>
                <w:r>
                  <w:t>73,067,395</w:t>
                </w:r>
              </w:p>
            </w:tc>
            <w:tc>
              <w:tcPr>
                <w:tcW w:w="1664" w:type="pct"/>
                <w:shd w:val="clear" w:color="auto" w:fill="auto"/>
                <w:vAlign w:val="center"/>
              </w:tcPr>
              <w:p w:rsidR="00065F08" w:rsidRDefault="00065F08" w:rsidP="00065F08">
                <w:pPr>
                  <w:jc w:val="right"/>
                  <w:rPr>
                    <w:szCs w:val="21"/>
                  </w:rPr>
                </w:pPr>
                <w:r>
                  <w:t>59,726,447</w:t>
                </w:r>
              </w:p>
            </w:tc>
          </w:tr>
          <w:tr w:rsidR="00065F08" w:rsidTr="00601D47">
            <w:trPr>
              <w:cantSplit/>
            </w:trPr>
            <w:tc>
              <w:tcPr>
                <w:tcW w:w="1675" w:type="pct"/>
                <w:shd w:val="clear" w:color="auto" w:fill="auto"/>
              </w:tcPr>
              <w:p w:rsidR="00065F08" w:rsidRDefault="00065F08" w:rsidP="00065F08">
                <w:pPr>
                  <w:ind w:right="105"/>
                  <w:rPr>
                    <w:szCs w:val="21"/>
                  </w:rPr>
                </w:pPr>
                <w:r>
                  <w:rPr>
                    <w:rFonts w:hint="eastAsia"/>
                    <w:szCs w:val="21"/>
                  </w:rPr>
                  <w:t>城市维护建设税</w:t>
                </w:r>
              </w:p>
            </w:tc>
            <w:tc>
              <w:tcPr>
                <w:tcW w:w="1661" w:type="pct"/>
                <w:shd w:val="clear" w:color="auto" w:fill="auto"/>
                <w:vAlign w:val="center"/>
              </w:tcPr>
              <w:p w:rsidR="00065F08" w:rsidRDefault="00065F08" w:rsidP="00065F08">
                <w:pPr>
                  <w:ind w:right="73"/>
                  <w:jc w:val="right"/>
                  <w:rPr>
                    <w:szCs w:val="21"/>
                  </w:rPr>
                </w:pPr>
                <w:r>
                  <w:t>6,286,522</w:t>
                </w:r>
              </w:p>
            </w:tc>
            <w:tc>
              <w:tcPr>
                <w:tcW w:w="1664" w:type="pct"/>
                <w:shd w:val="clear" w:color="auto" w:fill="auto"/>
                <w:vAlign w:val="center"/>
              </w:tcPr>
              <w:p w:rsidR="00065F08" w:rsidRDefault="00065F08" w:rsidP="00065F08">
                <w:pPr>
                  <w:jc w:val="right"/>
                  <w:rPr>
                    <w:szCs w:val="21"/>
                  </w:rPr>
                </w:pPr>
                <w:r>
                  <w:t>18,056,208</w:t>
                </w:r>
              </w:p>
            </w:tc>
          </w:tr>
          <w:tr w:rsidR="00065F08" w:rsidTr="00601D47">
            <w:trPr>
              <w:cantSplit/>
            </w:trPr>
            <w:tc>
              <w:tcPr>
                <w:tcW w:w="1675" w:type="pct"/>
              </w:tcPr>
              <w:p w:rsidR="00065F08" w:rsidRDefault="00065F08" w:rsidP="00065F08">
                <w:pPr>
                  <w:ind w:right="105"/>
                  <w:rPr>
                    <w:szCs w:val="21"/>
                  </w:rPr>
                </w:pPr>
                <w:r>
                  <w:rPr>
                    <w:rFonts w:hint="eastAsia"/>
                    <w:szCs w:val="21"/>
                  </w:rPr>
                  <w:t>教育费附加</w:t>
                </w:r>
              </w:p>
            </w:tc>
            <w:tc>
              <w:tcPr>
                <w:tcW w:w="1661" w:type="pct"/>
                <w:vAlign w:val="center"/>
              </w:tcPr>
              <w:p w:rsidR="00065F08" w:rsidRDefault="00065F08" w:rsidP="00065F08">
                <w:pPr>
                  <w:ind w:right="73"/>
                  <w:jc w:val="right"/>
                  <w:rPr>
                    <w:szCs w:val="21"/>
                  </w:rPr>
                </w:pPr>
                <w:r>
                  <w:t>2,925,308</w:t>
                </w:r>
              </w:p>
            </w:tc>
            <w:tc>
              <w:tcPr>
                <w:tcW w:w="1664" w:type="pct"/>
                <w:vAlign w:val="center"/>
              </w:tcPr>
              <w:p w:rsidR="00065F08" w:rsidRDefault="00065F08" w:rsidP="00065F08">
                <w:pPr>
                  <w:jc w:val="right"/>
                  <w:rPr>
                    <w:szCs w:val="21"/>
                  </w:rPr>
                </w:pPr>
                <w:r>
                  <w:t>11,334,504</w:t>
                </w:r>
              </w:p>
            </w:tc>
          </w:tr>
          <w:tr w:rsidR="00065F08" w:rsidTr="00601D47">
            <w:trPr>
              <w:cantSplit/>
            </w:trPr>
            <w:tc>
              <w:tcPr>
                <w:tcW w:w="1675" w:type="pct"/>
              </w:tcPr>
              <w:p w:rsidR="00065F08" w:rsidRDefault="00065F08" w:rsidP="00065F08">
                <w:pPr>
                  <w:ind w:right="105"/>
                  <w:rPr>
                    <w:szCs w:val="21"/>
                  </w:rPr>
                </w:pPr>
                <w:r>
                  <w:rPr>
                    <w:rFonts w:hint="eastAsia"/>
                    <w:szCs w:val="21"/>
                  </w:rPr>
                  <w:t>其他</w:t>
                </w:r>
              </w:p>
            </w:tc>
            <w:tc>
              <w:tcPr>
                <w:tcW w:w="1661" w:type="pct"/>
                <w:vAlign w:val="center"/>
              </w:tcPr>
              <w:p w:rsidR="00065F08" w:rsidRDefault="00065F08" w:rsidP="00065F08">
                <w:pPr>
                  <w:ind w:right="73"/>
                  <w:jc w:val="right"/>
                  <w:rPr>
                    <w:szCs w:val="21"/>
                  </w:rPr>
                </w:pPr>
                <w:r>
                  <w:t>13,542,451</w:t>
                </w:r>
              </w:p>
            </w:tc>
            <w:tc>
              <w:tcPr>
                <w:tcW w:w="1664" w:type="pct"/>
                <w:vAlign w:val="center"/>
              </w:tcPr>
              <w:p w:rsidR="00065F08" w:rsidRDefault="00065F08" w:rsidP="00065F08">
                <w:pPr>
                  <w:jc w:val="right"/>
                  <w:rPr>
                    <w:szCs w:val="21"/>
                  </w:rPr>
                </w:pPr>
                <w:r>
                  <w:t>18,283,401</w:t>
                </w:r>
              </w:p>
            </w:tc>
          </w:tr>
          <w:tr w:rsidR="00065F08" w:rsidTr="00601D47">
            <w:trPr>
              <w:cantSplit/>
            </w:trPr>
            <w:tc>
              <w:tcPr>
                <w:tcW w:w="1675" w:type="pct"/>
                <w:vAlign w:val="center"/>
              </w:tcPr>
              <w:p w:rsidR="00065F08" w:rsidRDefault="00065F08" w:rsidP="00065F08">
                <w:pPr>
                  <w:ind w:right="105"/>
                  <w:jc w:val="center"/>
                  <w:rPr>
                    <w:szCs w:val="21"/>
                  </w:rPr>
                </w:pPr>
                <w:r>
                  <w:rPr>
                    <w:rFonts w:hint="eastAsia"/>
                    <w:szCs w:val="21"/>
                  </w:rPr>
                  <w:t>合计</w:t>
                </w:r>
              </w:p>
            </w:tc>
            <w:tc>
              <w:tcPr>
                <w:tcW w:w="1661" w:type="pct"/>
                <w:vAlign w:val="center"/>
              </w:tcPr>
              <w:p w:rsidR="00065F08" w:rsidRDefault="00065F08" w:rsidP="00065F08">
                <w:pPr>
                  <w:ind w:right="73"/>
                  <w:jc w:val="right"/>
                  <w:rPr>
                    <w:szCs w:val="21"/>
                  </w:rPr>
                </w:pPr>
                <w:r>
                  <w:t>533,153,284</w:t>
                </w:r>
              </w:p>
            </w:tc>
            <w:tc>
              <w:tcPr>
                <w:tcW w:w="1664" w:type="pct"/>
                <w:vAlign w:val="center"/>
              </w:tcPr>
              <w:p w:rsidR="00065F08" w:rsidRDefault="00065F08" w:rsidP="00065F08">
                <w:pPr>
                  <w:jc w:val="right"/>
                  <w:rPr>
                    <w:szCs w:val="21"/>
                  </w:rPr>
                </w:pPr>
                <w:r>
                  <w:t>2,093,755,188</w:t>
                </w:r>
              </w:p>
            </w:tc>
          </w:tr>
        </w:tbl>
        <w:p w:rsidR="001647B7" w:rsidRDefault="001647B7">
          <w:pPr>
            <w:rPr>
              <w:szCs w:val="21"/>
            </w:rPr>
          </w:pPr>
        </w:p>
        <w:p w:rsidR="001647B7" w:rsidRDefault="001647B7">
          <w:pPr>
            <w:rPr>
              <w:szCs w:val="21"/>
            </w:rPr>
          </w:pPr>
        </w:p>
        <w:p w:rsidR="001647B7" w:rsidRDefault="001647B7">
          <w:pPr>
            <w:rPr>
              <w:szCs w:val="21"/>
            </w:rPr>
          </w:pPr>
        </w:p>
        <w:p w:rsidR="00806678" w:rsidRDefault="00B16377">
          <w:pPr>
            <w:rPr>
              <w:szCs w:val="21"/>
            </w:rPr>
          </w:pPr>
          <w:r>
            <w:rPr>
              <w:rFonts w:hint="eastAsia"/>
              <w:szCs w:val="21"/>
            </w:rPr>
            <w:lastRenderedPageBreak/>
            <w:t>其他说明：</w:t>
          </w:r>
        </w:p>
        <w:p w:rsidR="001647B7" w:rsidRDefault="001647B7">
          <w:pPr>
            <w:rPr>
              <w:szCs w:val="21"/>
            </w:rPr>
          </w:pPr>
        </w:p>
        <w:sdt>
          <w:sdtPr>
            <w:rPr>
              <w:szCs w:val="21"/>
            </w:rPr>
            <w:alias w:val="应交税金的说明"/>
            <w:tag w:val="_GBC_e365cc8f407645ca84ccf91263d3cc28"/>
            <w:id w:val="786930848"/>
            <w:lock w:val="sdtLocked"/>
            <w:placeholder>
              <w:docPart w:val="GBC22222222222222222222222222222"/>
            </w:placeholder>
          </w:sdtPr>
          <w:sdtContent>
            <w:p w:rsidR="00806678" w:rsidRDefault="00065F08">
              <w:pPr>
                <w:rPr>
                  <w:szCs w:val="21"/>
                </w:rPr>
              </w:pPr>
              <w:r>
                <w:rPr>
                  <w:rFonts w:hint="eastAsia"/>
                  <w:szCs w:val="21"/>
                </w:rPr>
                <w:t>注：</w:t>
              </w:r>
              <w:r w:rsidRPr="00065F08">
                <w:rPr>
                  <w:rFonts w:hint="eastAsia"/>
                  <w:szCs w:val="21"/>
                </w:rPr>
                <w:t>根据铁总财函【</w:t>
              </w:r>
              <w:r w:rsidRPr="00065F08">
                <w:rPr>
                  <w:szCs w:val="21"/>
                </w:rPr>
                <w:t>2014】255号文的相关规定，铁路运输业于2014年1月1日起在全国范围内纳入营业税改征增值税试点。各铁路局、专业运输公司、股改企业和控股合资公司 (运输企业) 及其所属基层单位 (含站段、货运中心、分公司等) 统一由国铁集团汇总缴纳增值税及其附加税。汇总缴纳的业务范围为提供铁路运输服务和与铁路运输相关的物流辅助服务。其他增值税应税行为按照增值税相关规定属地缴纳。</w:t>
              </w:r>
            </w:p>
          </w:sdtContent>
        </w:sdt>
        <w:p w:rsidR="00806678" w:rsidRDefault="00F80B6C">
          <w:pPr>
            <w:rPr>
              <w:szCs w:val="21"/>
            </w:rPr>
          </w:pPr>
        </w:p>
      </w:sdtContent>
    </w:sdt>
    <w:p w:rsidR="00806678" w:rsidRDefault="00B16377" w:rsidP="00FF17C7">
      <w:pPr>
        <w:pStyle w:val="3"/>
        <w:numPr>
          <w:ilvl w:val="0"/>
          <w:numId w:val="18"/>
        </w:numPr>
        <w:tabs>
          <w:tab w:val="left" w:pos="504"/>
        </w:tabs>
        <w:rPr>
          <w:szCs w:val="21"/>
        </w:rPr>
      </w:pPr>
      <w:r>
        <w:rPr>
          <w:rFonts w:hint="eastAsia"/>
          <w:szCs w:val="21"/>
        </w:rPr>
        <w:t>其他应付款</w:t>
      </w:r>
    </w:p>
    <w:bookmarkStart w:id="218" w:name="_Hlk532910042" w:displacedByCustomXml="next"/>
    <w:sdt>
      <w:sdtPr>
        <w:rPr>
          <w:rFonts w:ascii="宋体" w:eastAsia="宋体" w:hAnsi="宋体" w:cs="宋体" w:hint="eastAsia"/>
          <w:b w:val="0"/>
          <w:bCs w:val="0"/>
          <w:kern w:val="0"/>
          <w:szCs w:val="24"/>
        </w:rPr>
        <w:alias w:val="模块:其他应付款分类列示"/>
        <w:tag w:val="_SEC_89b79d5c0cf746108f038a99e63ca62a"/>
        <w:id w:val="488675029"/>
        <w:lock w:val="sdtLocked"/>
        <w:placeholder>
          <w:docPart w:val="GBC22222222222222222222222222222"/>
        </w:placeholder>
      </w:sdtPr>
      <w:sdtEndPr>
        <w:rPr>
          <w:rFonts w:hint="default"/>
        </w:rPr>
      </w:sdtEndPr>
      <w:sdtContent>
        <w:p w:rsidR="00806678" w:rsidRDefault="00B16377">
          <w:pPr>
            <w:pStyle w:val="4"/>
          </w:pPr>
          <w:r>
            <w:rPr>
              <w:rFonts w:hint="eastAsia"/>
            </w:rPr>
            <w:t>项目列示</w:t>
          </w:r>
        </w:p>
        <w:sdt>
          <w:sdtPr>
            <w:alias w:val="是否适用：其他应付款分类列示[双击切换]"/>
            <w:tag w:val="_GBC_66f20e30acfe43c3b4edf860d086ad10"/>
            <w:id w:val="-1402127924"/>
            <w:lock w:val="sdtLocked"/>
            <w:placeholder>
              <w:docPart w:val="GBC22222222222222222222222222222"/>
            </w:placeholder>
          </w:sdtPr>
          <w:sdtContent>
            <w:p w:rsidR="00806678" w:rsidRDefault="00F80B6C">
              <w:r>
                <w:fldChar w:fldCharType="begin"/>
              </w:r>
              <w:r w:rsidR="002D3E40">
                <w:instrText xml:space="preserve"> MACROBUTTON  SnrToggleCheckbox √适用 </w:instrText>
              </w:r>
              <w:r>
                <w:fldChar w:fldCharType="end"/>
              </w:r>
              <w:r>
                <w:fldChar w:fldCharType="begin"/>
              </w:r>
              <w:r w:rsidR="002D3E40">
                <w:instrText xml:space="preserve"> MACROBUTTON  SnrToggleCheckbox □不适用 </w:instrText>
              </w:r>
              <w:r>
                <w:fldChar w:fldCharType="end"/>
              </w:r>
            </w:p>
          </w:sdtContent>
        </w:sdt>
        <w:p w:rsidR="00806678" w:rsidRDefault="00B16377">
          <w:pPr>
            <w:jc w:val="right"/>
            <w:rPr>
              <w:szCs w:val="21"/>
            </w:rPr>
          </w:pPr>
          <w:r>
            <w:rPr>
              <w:rFonts w:hint="eastAsia"/>
              <w:szCs w:val="21"/>
            </w:rPr>
            <w:t>单位：</w:t>
          </w:r>
          <w:sdt>
            <w:sdtPr>
              <w:rPr>
                <w:rFonts w:hint="eastAsia"/>
                <w:szCs w:val="21"/>
              </w:rPr>
              <w:alias w:val="单位：其他应付款分类列示"/>
              <w:tag w:val="_GBC_1d2c755c7a60470390b86f677f589d52"/>
              <w:id w:val="203900048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其他应付款分类列示"/>
              <w:tag w:val="_GBC_54becc5fdf374134a56007701ad1c4e0"/>
              <w:id w:val="113120707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8"/>
            <w:gridCol w:w="2863"/>
            <w:gridCol w:w="2878"/>
          </w:tblGrid>
          <w:tr w:rsidR="00806678" w:rsidTr="00FA71EA">
            <w:sdt>
              <w:sdtPr>
                <w:tag w:val="_PLD_5b32323c48c441e4832da1fe28654990"/>
                <w:id w:val="-1588912227"/>
                <w:lock w:val="sdtLocked"/>
              </w:sdtPr>
              <w:sdtContent>
                <w:tc>
                  <w:tcPr>
                    <w:tcW w:w="1828" w:type="pct"/>
                    <w:shd w:val="clear" w:color="auto" w:fill="auto"/>
                    <w:vAlign w:val="center"/>
                  </w:tcPr>
                  <w:p w:rsidR="00806678" w:rsidRDefault="00B16377">
                    <w:pPr>
                      <w:tabs>
                        <w:tab w:val="right" w:pos="3690"/>
                        <w:tab w:val="right" w:pos="5130"/>
                        <w:tab w:val="right" w:pos="6030"/>
                        <w:tab w:val="right" w:pos="7650"/>
                        <w:tab w:val="right" w:pos="9270"/>
                      </w:tabs>
                      <w:adjustRightInd w:val="0"/>
                      <w:snapToGrid w:val="0"/>
                      <w:jc w:val="center"/>
                      <w:rPr>
                        <w:szCs w:val="21"/>
                      </w:rPr>
                    </w:pPr>
                    <w:r>
                      <w:rPr>
                        <w:rFonts w:hint="eastAsia"/>
                        <w:szCs w:val="21"/>
                      </w:rPr>
                      <w:t>项目</w:t>
                    </w:r>
                  </w:p>
                </w:tc>
              </w:sdtContent>
            </w:sdt>
            <w:sdt>
              <w:sdtPr>
                <w:tag w:val="_PLD_427fe40919c945eaada0e2529b497787"/>
                <w:id w:val="141546974"/>
                <w:lock w:val="sdtLocked"/>
              </w:sdtPr>
              <w:sdtContent>
                <w:tc>
                  <w:tcPr>
                    <w:tcW w:w="1582" w:type="pct"/>
                    <w:shd w:val="clear" w:color="auto" w:fill="auto"/>
                    <w:vAlign w:val="center"/>
                  </w:tcPr>
                  <w:p w:rsidR="00806678" w:rsidRDefault="00B16377">
                    <w:pPr>
                      <w:jc w:val="center"/>
                      <w:rPr>
                        <w:szCs w:val="21"/>
                      </w:rPr>
                    </w:pPr>
                    <w:r>
                      <w:rPr>
                        <w:rFonts w:hint="eastAsia"/>
                        <w:szCs w:val="21"/>
                      </w:rPr>
                      <w:t>期末余额</w:t>
                    </w:r>
                  </w:p>
                </w:tc>
              </w:sdtContent>
            </w:sdt>
            <w:sdt>
              <w:sdtPr>
                <w:tag w:val="_PLD_963dd0fff1a644319fa667127e37c635"/>
                <w:id w:val="516051939"/>
                <w:lock w:val="sdtLocked"/>
              </w:sdtPr>
              <w:sdtContent>
                <w:tc>
                  <w:tcPr>
                    <w:tcW w:w="1590" w:type="pct"/>
                    <w:shd w:val="clear" w:color="auto" w:fill="auto"/>
                    <w:vAlign w:val="center"/>
                  </w:tcPr>
                  <w:p w:rsidR="00806678" w:rsidRDefault="00B16377">
                    <w:pPr>
                      <w:jc w:val="center"/>
                      <w:rPr>
                        <w:szCs w:val="21"/>
                      </w:rPr>
                    </w:pPr>
                    <w:r>
                      <w:rPr>
                        <w:rFonts w:hint="eastAsia"/>
                        <w:szCs w:val="21"/>
                      </w:rPr>
                      <w:t>期初余额</w:t>
                    </w:r>
                  </w:p>
                </w:tc>
              </w:sdtContent>
            </w:sdt>
          </w:tr>
          <w:tr w:rsidR="00806678" w:rsidTr="00FA71EA">
            <w:sdt>
              <w:sdtPr>
                <w:tag w:val="_PLD_0d8db0f39a8f4ce288a938e24fa2c383"/>
                <w:id w:val="-2127695619"/>
                <w:lock w:val="sdtLocked"/>
              </w:sdtPr>
              <w:sdtContent>
                <w:tc>
                  <w:tcPr>
                    <w:tcW w:w="1828" w:type="pct"/>
                    <w:shd w:val="clear" w:color="auto" w:fill="auto"/>
                  </w:tcPr>
                  <w:p w:rsidR="00806678" w:rsidRDefault="00B16377">
                    <w:pPr>
                      <w:tabs>
                        <w:tab w:val="right" w:pos="3690"/>
                        <w:tab w:val="right" w:pos="5130"/>
                        <w:tab w:val="right" w:pos="6030"/>
                        <w:tab w:val="right" w:pos="7650"/>
                        <w:tab w:val="right" w:pos="9270"/>
                      </w:tabs>
                      <w:adjustRightInd w:val="0"/>
                      <w:snapToGrid w:val="0"/>
                      <w:rPr>
                        <w:szCs w:val="21"/>
                      </w:rPr>
                    </w:pPr>
                    <w:r>
                      <w:rPr>
                        <w:rFonts w:hint="eastAsia"/>
                        <w:szCs w:val="21"/>
                      </w:rPr>
                      <w:t>应付利息</w:t>
                    </w:r>
                  </w:p>
                </w:tc>
              </w:sdtContent>
            </w:sdt>
            <w:tc>
              <w:tcPr>
                <w:tcW w:w="1582" w:type="pct"/>
                <w:shd w:val="clear" w:color="auto" w:fill="auto"/>
              </w:tcPr>
              <w:p w:rsidR="00806678" w:rsidRDefault="008F7705">
                <w:pPr>
                  <w:tabs>
                    <w:tab w:val="right" w:pos="3690"/>
                    <w:tab w:val="right" w:pos="5130"/>
                    <w:tab w:val="right" w:pos="6030"/>
                    <w:tab w:val="right" w:pos="7650"/>
                    <w:tab w:val="right" w:pos="9270"/>
                  </w:tabs>
                  <w:adjustRightInd w:val="0"/>
                  <w:snapToGrid w:val="0"/>
                  <w:jc w:val="right"/>
                  <w:rPr>
                    <w:szCs w:val="21"/>
                  </w:rPr>
                </w:pPr>
                <w:r>
                  <w:rPr>
                    <w:szCs w:val="21"/>
                  </w:rPr>
                  <w:t>0</w:t>
                </w:r>
              </w:p>
            </w:tc>
            <w:tc>
              <w:tcPr>
                <w:tcW w:w="1590" w:type="pct"/>
                <w:shd w:val="clear" w:color="auto" w:fill="auto"/>
              </w:tcPr>
              <w:p w:rsidR="00806678" w:rsidRDefault="008F7705">
                <w:pPr>
                  <w:tabs>
                    <w:tab w:val="right" w:pos="3690"/>
                    <w:tab w:val="right" w:pos="5130"/>
                    <w:tab w:val="right" w:pos="6030"/>
                    <w:tab w:val="right" w:pos="7650"/>
                    <w:tab w:val="right" w:pos="9270"/>
                  </w:tabs>
                  <w:adjustRightInd w:val="0"/>
                  <w:snapToGrid w:val="0"/>
                  <w:jc w:val="right"/>
                  <w:rPr>
                    <w:szCs w:val="21"/>
                  </w:rPr>
                </w:pPr>
                <w:r>
                  <w:rPr>
                    <w:szCs w:val="21"/>
                  </w:rPr>
                  <w:t>0</w:t>
                </w:r>
              </w:p>
            </w:tc>
          </w:tr>
          <w:tr w:rsidR="008F7705" w:rsidTr="00601D47">
            <w:sdt>
              <w:sdtPr>
                <w:tag w:val="_PLD_d58bd770751d483f8745dbb7b00bc1bc"/>
                <w:id w:val="-2114279352"/>
                <w:lock w:val="sdtLocked"/>
              </w:sdtPr>
              <w:sdtContent>
                <w:tc>
                  <w:tcPr>
                    <w:tcW w:w="1828" w:type="pct"/>
                    <w:shd w:val="clear" w:color="auto" w:fill="auto"/>
                  </w:tcPr>
                  <w:p w:rsidR="008F7705" w:rsidRDefault="008F7705" w:rsidP="008F7705">
                    <w:pPr>
                      <w:tabs>
                        <w:tab w:val="right" w:pos="3690"/>
                        <w:tab w:val="right" w:pos="5130"/>
                        <w:tab w:val="right" w:pos="6030"/>
                        <w:tab w:val="right" w:pos="7650"/>
                        <w:tab w:val="right" w:pos="9270"/>
                      </w:tabs>
                      <w:adjustRightInd w:val="0"/>
                      <w:snapToGrid w:val="0"/>
                      <w:rPr>
                        <w:szCs w:val="21"/>
                      </w:rPr>
                    </w:pPr>
                    <w:r>
                      <w:rPr>
                        <w:rFonts w:hint="eastAsia"/>
                        <w:szCs w:val="21"/>
                      </w:rPr>
                      <w:t>应付股利</w:t>
                    </w:r>
                  </w:p>
                </w:tc>
              </w:sdtContent>
            </w:sdt>
            <w:tc>
              <w:tcPr>
                <w:tcW w:w="1582" w:type="pct"/>
                <w:shd w:val="clear" w:color="auto" w:fill="auto"/>
                <w:vAlign w:val="center"/>
              </w:tcPr>
              <w:p w:rsidR="008F7705" w:rsidRDefault="008F7705" w:rsidP="008F7705">
                <w:pPr>
                  <w:tabs>
                    <w:tab w:val="right" w:pos="3690"/>
                    <w:tab w:val="right" w:pos="5130"/>
                    <w:tab w:val="right" w:pos="6030"/>
                    <w:tab w:val="right" w:pos="7650"/>
                    <w:tab w:val="right" w:pos="9270"/>
                  </w:tabs>
                  <w:adjustRightInd w:val="0"/>
                  <w:snapToGrid w:val="0"/>
                  <w:jc w:val="right"/>
                  <w:rPr>
                    <w:szCs w:val="21"/>
                  </w:rPr>
                </w:pPr>
                <w:r>
                  <w:t>274,552</w:t>
                </w:r>
              </w:p>
            </w:tc>
            <w:tc>
              <w:tcPr>
                <w:tcW w:w="1590" w:type="pct"/>
                <w:shd w:val="clear" w:color="auto" w:fill="auto"/>
                <w:vAlign w:val="center"/>
              </w:tcPr>
              <w:p w:rsidR="008F7705" w:rsidRDefault="008F7705" w:rsidP="008F7705">
                <w:pPr>
                  <w:tabs>
                    <w:tab w:val="right" w:pos="3690"/>
                    <w:tab w:val="right" w:pos="5130"/>
                    <w:tab w:val="right" w:pos="6030"/>
                    <w:tab w:val="right" w:pos="7650"/>
                    <w:tab w:val="right" w:pos="9270"/>
                  </w:tabs>
                  <w:adjustRightInd w:val="0"/>
                  <w:snapToGrid w:val="0"/>
                  <w:jc w:val="right"/>
                  <w:rPr>
                    <w:szCs w:val="21"/>
                  </w:rPr>
                </w:pPr>
                <w:r>
                  <w:t>274,552</w:t>
                </w:r>
              </w:p>
            </w:tc>
          </w:tr>
          <w:tr w:rsidR="008F7705" w:rsidTr="00601D47">
            <w:sdt>
              <w:sdtPr>
                <w:tag w:val="_PLD_c83cb5058f1e4c4a90af87f7c5034615"/>
                <w:id w:val="1041936294"/>
                <w:lock w:val="sdtLocked"/>
              </w:sdtPr>
              <w:sdtContent>
                <w:tc>
                  <w:tcPr>
                    <w:tcW w:w="1828" w:type="pct"/>
                    <w:shd w:val="clear" w:color="auto" w:fill="auto"/>
                  </w:tcPr>
                  <w:p w:rsidR="008F7705" w:rsidRDefault="008F7705" w:rsidP="008F7705">
                    <w:pPr>
                      <w:tabs>
                        <w:tab w:val="right" w:pos="3690"/>
                        <w:tab w:val="right" w:pos="5130"/>
                        <w:tab w:val="right" w:pos="6030"/>
                        <w:tab w:val="right" w:pos="7650"/>
                        <w:tab w:val="right" w:pos="9270"/>
                      </w:tabs>
                      <w:adjustRightInd w:val="0"/>
                      <w:snapToGrid w:val="0"/>
                      <w:rPr>
                        <w:szCs w:val="21"/>
                      </w:rPr>
                    </w:pPr>
                    <w:r>
                      <w:rPr>
                        <w:rFonts w:hint="eastAsia"/>
                        <w:szCs w:val="21"/>
                      </w:rPr>
                      <w:t>其他应付款</w:t>
                    </w:r>
                  </w:p>
                </w:tc>
              </w:sdtContent>
            </w:sdt>
            <w:tc>
              <w:tcPr>
                <w:tcW w:w="1582" w:type="pct"/>
                <w:shd w:val="clear" w:color="auto" w:fill="auto"/>
                <w:vAlign w:val="center"/>
              </w:tcPr>
              <w:p w:rsidR="008F7705" w:rsidRDefault="008F7705" w:rsidP="008F7705">
                <w:pPr>
                  <w:tabs>
                    <w:tab w:val="right" w:pos="3690"/>
                    <w:tab w:val="right" w:pos="5130"/>
                    <w:tab w:val="right" w:pos="6030"/>
                    <w:tab w:val="right" w:pos="7650"/>
                    <w:tab w:val="right" w:pos="9270"/>
                  </w:tabs>
                  <w:adjustRightInd w:val="0"/>
                  <w:snapToGrid w:val="0"/>
                  <w:jc w:val="right"/>
                  <w:rPr>
                    <w:szCs w:val="21"/>
                  </w:rPr>
                </w:pPr>
                <w:r>
                  <w:t>4,819,859,288</w:t>
                </w:r>
              </w:p>
            </w:tc>
            <w:tc>
              <w:tcPr>
                <w:tcW w:w="1590" w:type="pct"/>
                <w:shd w:val="clear" w:color="auto" w:fill="auto"/>
                <w:vAlign w:val="center"/>
              </w:tcPr>
              <w:p w:rsidR="008F7705" w:rsidRDefault="008F7705" w:rsidP="008F7705">
                <w:pPr>
                  <w:tabs>
                    <w:tab w:val="right" w:pos="3690"/>
                    <w:tab w:val="right" w:pos="5130"/>
                    <w:tab w:val="right" w:pos="6030"/>
                    <w:tab w:val="right" w:pos="7650"/>
                    <w:tab w:val="right" w:pos="9270"/>
                  </w:tabs>
                  <w:adjustRightInd w:val="0"/>
                  <w:snapToGrid w:val="0"/>
                  <w:jc w:val="right"/>
                  <w:rPr>
                    <w:szCs w:val="21"/>
                  </w:rPr>
                </w:pPr>
                <w:r>
                  <w:t>5,358,177,745</w:t>
                </w:r>
              </w:p>
            </w:tc>
          </w:tr>
          <w:tr w:rsidR="008F7705" w:rsidTr="00601D47">
            <w:sdt>
              <w:sdtPr>
                <w:tag w:val="_PLD_48846159369b4ecc8e1c94c6ae222651"/>
                <w:id w:val="-988317632"/>
                <w:lock w:val="sdtLocked"/>
              </w:sdtPr>
              <w:sdtContent>
                <w:tc>
                  <w:tcPr>
                    <w:tcW w:w="1828" w:type="pct"/>
                    <w:shd w:val="clear" w:color="auto" w:fill="auto"/>
                  </w:tcPr>
                  <w:p w:rsidR="008F7705" w:rsidRDefault="008F7705" w:rsidP="008F7705">
                    <w:pPr>
                      <w:tabs>
                        <w:tab w:val="right" w:pos="3690"/>
                        <w:tab w:val="right" w:pos="5130"/>
                        <w:tab w:val="right" w:pos="6030"/>
                        <w:tab w:val="right" w:pos="7650"/>
                        <w:tab w:val="right" w:pos="9270"/>
                      </w:tabs>
                      <w:adjustRightInd w:val="0"/>
                      <w:snapToGrid w:val="0"/>
                      <w:rPr>
                        <w:szCs w:val="21"/>
                      </w:rPr>
                    </w:pPr>
                    <w:r>
                      <w:rPr>
                        <w:rFonts w:hint="eastAsia"/>
                        <w:szCs w:val="21"/>
                      </w:rPr>
                      <w:t>合计</w:t>
                    </w:r>
                  </w:p>
                </w:tc>
              </w:sdtContent>
            </w:sdt>
            <w:tc>
              <w:tcPr>
                <w:tcW w:w="1582" w:type="pct"/>
                <w:shd w:val="clear" w:color="auto" w:fill="auto"/>
                <w:vAlign w:val="center"/>
              </w:tcPr>
              <w:p w:rsidR="008F7705" w:rsidRDefault="008F7705" w:rsidP="008F7705">
                <w:pPr>
                  <w:tabs>
                    <w:tab w:val="right" w:pos="3690"/>
                    <w:tab w:val="right" w:pos="5130"/>
                    <w:tab w:val="right" w:pos="6030"/>
                    <w:tab w:val="right" w:pos="7650"/>
                    <w:tab w:val="right" w:pos="9270"/>
                  </w:tabs>
                  <w:adjustRightInd w:val="0"/>
                  <w:snapToGrid w:val="0"/>
                  <w:jc w:val="right"/>
                  <w:rPr>
                    <w:szCs w:val="21"/>
                  </w:rPr>
                </w:pPr>
                <w:r>
                  <w:t>4,820,133,840</w:t>
                </w:r>
              </w:p>
            </w:tc>
            <w:tc>
              <w:tcPr>
                <w:tcW w:w="1590" w:type="pct"/>
                <w:shd w:val="clear" w:color="auto" w:fill="auto"/>
                <w:vAlign w:val="center"/>
              </w:tcPr>
              <w:p w:rsidR="008F7705" w:rsidRDefault="008F7705" w:rsidP="008F7705">
                <w:pPr>
                  <w:tabs>
                    <w:tab w:val="right" w:pos="3690"/>
                    <w:tab w:val="right" w:pos="5130"/>
                    <w:tab w:val="right" w:pos="6030"/>
                    <w:tab w:val="right" w:pos="7650"/>
                    <w:tab w:val="right" w:pos="9270"/>
                  </w:tabs>
                  <w:adjustRightInd w:val="0"/>
                  <w:snapToGrid w:val="0"/>
                  <w:jc w:val="right"/>
                  <w:rPr>
                    <w:szCs w:val="21"/>
                  </w:rPr>
                </w:pPr>
                <w:r>
                  <w:t>5,358,452,297</w:t>
                </w:r>
              </w:p>
            </w:tc>
          </w:tr>
        </w:tbl>
        <w:p w:rsidR="00806678" w:rsidRDefault="00F80B6C"/>
      </w:sdtContent>
    </w:sdt>
    <w:bookmarkEnd w:id="218" w:displacedByCustomXml="next"/>
    <w:sdt>
      <w:sdtPr>
        <w:rPr>
          <w:rFonts w:hint="eastAsia"/>
          <w:szCs w:val="21"/>
        </w:rPr>
        <w:alias w:val="模块:其他应付款分类列示其他说明"/>
        <w:tag w:val="_SEC_6345efe048154a68a2b9789f203377af"/>
        <w:id w:val="381215542"/>
        <w:lock w:val="sdtLocked"/>
        <w:placeholder>
          <w:docPart w:val="GBC22222222222222222222222222222"/>
        </w:placeholder>
      </w:sdtPr>
      <w:sdtEndPr>
        <w:rPr>
          <w:rFonts w:hint="default"/>
          <w:szCs w:val="24"/>
        </w:rPr>
      </w:sdtEndPr>
      <w:sdtContent>
        <w:p w:rsidR="00806678" w:rsidRDefault="00B16377">
          <w:pPr>
            <w:rPr>
              <w:szCs w:val="21"/>
            </w:rPr>
          </w:pPr>
          <w:r>
            <w:rPr>
              <w:rFonts w:hint="eastAsia"/>
              <w:szCs w:val="21"/>
            </w:rPr>
            <w:t>其他说明：</w:t>
          </w:r>
        </w:p>
        <w:sdt>
          <w:sdtPr>
            <w:rPr>
              <w:szCs w:val="21"/>
            </w:rPr>
            <w:alias w:val="是否适用：其他应付款分类列示其他说明[双击切换]"/>
            <w:tag w:val="_GBC_0a193210dc5a48968a718098f9b47a3d"/>
            <w:id w:val="65620126"/>
            <w:lock w:val="sdtLocked"/>
            <w:placeholder>
              <w:docPart w:val="GBC22222222222222222222222222222"/>
            </w:placeholder>
          </w:sdtPr>
          <w:sdtContent>
            <w:p w:rsidR="00806678" w:rsidRDefault="00F80B6C" w:rsidP="008F7705">
              <w:r>
                <w:rPr>
                  <w:szCs w:val="21"/>
                </w:rPr>
                <w:fldChar w:fldCharType="begin"/>
              </w:r>
              <w:r w:rsidR="008F7705">
                <w:rPr>
                  <w:szCs w:val="21"/>
                </w:rPr>
                <w:instrText xml:space="preserve"> MACROBUTTON  SnrToggleCheckbox □适用 </w:instrText>
              </w:r>
              <w:r>
                <w:rPr>
                  <w:szCs w:val="21"/>
                </w:rPr>
                <w:fldChar w:fldCharType="end"/>
              </w:r>
              <w:r>
                <w:rPr>
                  <w:szCs w:val="21"/>
                </w:rPr>
                <w:fldChar w:fldCharType="begin"/>
              </w:r>
              <w:r w:rsidR="008F7705">
                <w:rPr>
                  <w:szCs w:val="21"/>
                </w:rPr>
                <w:instrText xml:space="preserve"> MACROBUTTON  SnrToggleCheckbox √不适用 </w:instrText>
              </w:r>
              <w:r>
                <w:rPr>
                  <w:szCs w:val="21"/>
                </w:rPr>
                <w:fldChar w:fldCharType="end"/>
              </w:r>
            </w:p>
          </w:sdtContent>
        </w:sdt>
      </w:sdtContent>
    </w:sdt>
    <w:p w:rsidR="00806678" w:rsidRDefault="00806678"/>
    <w:sdt>
      <w:sdtPr>
        <w:rPr>
          <w:rFonts w:ascii="宋体" w:eastAsia="宋体" w:hAnsi="宋体" w:cs="宋体"/>
          <w:b w:val="0"/>
          <w:bCs w:val="0"/>
          <w:kern w:val="0"/>
          <w:szCs w:val="22"/>
        </w:rPr>
        <w:alias w:val="模块:应付利息"/>
        <w:tag w:val="_SEC_387989ce789d404fab98beb488dfa010"/>
        <w:id w:val="473257966"/>
        <w:lock w:val="sdtLocked"/>
        <w:placeholder>
          <w:docPart w:val="GBC22222222222222222222222222222"/>
        </w:placeholder>
      </w:sdtPr>
      <w:sdtEndPr>
        <w:rPr>
          <w:szCs w:val="21"/>
        </w:rPr>
      </w:sdtEndPr>
      <w:sdtContent>
        <w:p w:rsidR="00806678" w:rsidRDefault="00B16377">
          <w:pPr>
            <w:pStyle w:val="4"/>
            <w:ind w:left="360" w:hanging="360"/>
          </w:pPr>
          <w:r>
            <w:rPr>
              <w:rFonts w:hint="eastAsia"/>
            </w:rPr>
            <w:t>应付利息</w:t>
          </w:r>
        </w:p>
        <w:p w:rsidR="00806678" w:rsidRDefault="00B16377" w:rsidP="00FF17C7">
          <w:pPr>
            <w:pStyle w:val="4"/>
            <w:numPr>
              <w:ilvl w:val="0"/>
              <w:numId w:val="72"/>
            </w:numPr>
          </w:pPr>
          <w:r>
            <w:rPr>
              <w:rFonts w:hint="eastAsia"/>
            </w:rPr>
            <w:t>分类列示</w:t>
          </w:r>
        </w:p>
        <w:sdt>
          <w:sdtPr>
            <w:alias w:val="是否适用：应付利息[双击切换]"/>
            <w:tag w:val="_GBC_85af862d19904f96b30527124af698c1"/>
            <w:id w:val="1842272621"/>
            <w:lock w:val="sdtLocked"/>
            <w:placeholder>
              <w:docPart w:val="GBC22222222222222222222222222222"/>
            </w:placeholder>
          </w:sdtPr>
          <w:sdtContent>
            <w:p w:rsidR="008F7705" w:rsidRDefault="00F80B6C" w:rsidP="008F7705">
              <w:pPr>
                <w:rPr>
                  <w:szCs w:val="21"/>
                </w:rPr>
              </w:pPr>
              <w:r>
                <w:fldChar w:fldCharType="begin"/>
              </w:r>
              <w:r w:rsidR="008F7705">
                <w:instrText xml:space="preserve">MACROBUTTON  SnrToggleCheckbox □适用 </w:instrText>
              </w:r>
              <w:r>
                <w:fldChar w:fldCharType="end"/>
              </w:r>
              <w:r>
                <w:fldChar w:fldCharType="begin"/>
              </w:r>
              <w:r w:rsidR="008F7705">
                <w:instrText xml:space="preserve"> MACROBUTTON  SnrToggleCheckbox √不适用 </w:instrText>
              </w:r>
              <w:r>
                <w:fldChar w:fldCharType="end"/>
              </w:r>
            </w:p>
          </w:sdtContent>
        </w:sdt>
        <w:p w:rsidR="00806678" w:rsidRDefault="00F80B6C">
          <w:pPr>
            <w:rPr>
              <w:szCs w:val="21"/>
            </w:rPr>
          </w:pPr>
        </w:p>
      </w:sdtContent>
    </w:sdt>
    <w:sdt>
      <w:sdtPr>
        <w:rPr>
          <w:rFonts w:ascii="宋体" w:eastAsia="宋体" w:hAnsi="宋体" w:cs="宋体"/>
          <w:b w:val="0"/>
          <w:bCs w:val="0"/>
          <w:kern w:val="0"/>
          <w:szCs w:val="24"/>
        </w:rPr>
        <w:alias w:val="模块:应付股利"/>
        <w:tag w:val="_SEC_8fa7e393d06b440f9c82ae0d64899eaa"/>
        <w:id w:val="-675654532"/>
        <w:lock w:val="sdtLocked"/>
        <w:placeholder>
          <w:docPart w:val="GBC22222222222222222222222222222"/>
        </w:placeholder>
      </w:sdtPr>
      <w:sdtEndPr>
        <w:rPr>
          <w:szCs w:val="21"/>
        </w:rPr>
      </w:sdtEndPr>
      <w:sdtContent>
        <w:p w:rsidR="00806678" w:rsidRDefault="00B16377">
          <w:pPr>
            <w:pStyle w:val="4"/>
            <w:ind w:left="360" w:hanging="360"/>
          </w:pPr>
          <w:r>
            <w:rPr>
              <w:rFonts w:hint="eastAsia"/>
            </w:rPr>
            <w:t>应付股利</w:t>
          </w:r>
        </w:p>
        <w:p w:rsidR="00806678" w:rsidRDefault="00B16377" w:rsidP="00FF17C7">
          <w:pPr>
            <w:pStyle w:val="4"/>
            <w:numPr>
              <w:ilvl w:val="0"/>
              <w:numId w:val="73"/>
            </w:numPr>
          </w:pPr>
          <w:r>
            <w:rPr>
              <w:rFonts w:hint="eastAsia"/>
            </w:rPr>
            <w:t>分类列示</w:t>
          </w:r>
        </w:p>
        <w:sdt>
          <w:sdtPr>
            <w:alias w:val="是否适用：应付股利[双击切换]"/>
            <w:tag w:val="_GBC_57df9a637d8e4610a89d25f277c3a9c3"/>
            <w:id w:val="-1437600814"/>
            <w:lock w:val="sdtLocked"/>
            <w:placeholder>
              <w:docPart w:val="GBC22222222222222222222222222222"/>
            </w:placeholder>
          </w:sdtPr>
          <w:sdtContent>
            <w:p w:rsidR="00806678" w:rsidRDefault="00F80B6C">
              <w:r>
                <w:fldChar w:fldCharType="begin"/>
              </w:r>
              <w:r w:rsidR="008F7705">
                <w:instrText xml:space="preserve">MACROBUTTON  SnrToggleCheckbox √适用 </w:instrText>
              </w:r>
              <w:r>
                <w:fldChar w:fldCharType="end"/>
              </w:r>
              <w:r>
                <w:fldChar w:fldCharType="begin"/>
              </w:r>
              <w:r w:rsidR="008F7705">
                <w:instrText xml:space="preserve"> MACROBUTTON  SnrToggleCheckbox □不适用 </w:instrText>
              </w:r>
              <w:r>
                <w:fldChar w:fldCharType="end"/>
              </w:r>
            </w:p>
          </w:sdtContent>
        </w:sdt>
        <w:p w:rsidR="00806678" w:rsidRDefault="00B16377">
          <w:pPr>
            <w:jc w:val="right"/>
            <w:rPr>
              <w:szCs w:val="21"/>
            </w:rPr>
          </w:pPr>
          <w:r>
            <w:rPr>
              <w:rFonts w:hint="eastAsia"/>
              <w:szCs w:val="21"/>
            </w:rPr>
            <w:t>单位：</w:t>
          </w:r>
          <w:sdt>
            <w:sdtPr>
              <w:rPr>
                <w:rFonts w:hint="eastAsia"/>
                <w:szCs w:val="21"/>
              </w:rPr>
              <w:alias w:val="单位：财务附注：应付股利"/>
              <w:tag w:val="_GBC_a816a4da2a71411abe18c8e803b7c62e"/>
              <w:id w:val="-160325818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应付股利"/>
              <w:tag w:val="_GBC_12cc39d598d147bf88fa40336f011a53"/>
              <w:id w:val="194488025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2859"/>
            <w:gridCol w:w="3017"/>
            <w:gridCol w:w="3019"/>
          </w:tblGrid>
          <w:tr w:rsidR="008F7705" w:rsidTr="00601D47">
            <w:trPr>
              <w:cantSplit/>
            </w:trPr>
            <w:sdt>
              <w:sdtPr>
                <w:tag w:val="_PLD_0a86b0a609c64067bceb086fe3b56e07"/>
                <w:id w:val="-77675006"/>
                <w:lock w:val="sdtLocked"/>
              </w:sdtPr>
              <w:sdtContent>
                <w:tc>
                  <w:tcPr>
                    <w:tcW w:w="1607" w:type="pct"/>
                  </w:tcPr>
                  <w:p w:rsidR="008F7705" w:rsidRDefault="008F7705" w:rsidP="00601D47">
                    <w:pPr>
                      <w:ind w:right="105"/>
                      <w:jc w:val="center"/>
                      <w:rPr>
                        <w:szCs w:val="21"/>
                      </w:rPr>
                    </w:pPr>
                    <w:r>
                      <w:rPr>
                        <w:rFonts w:hint="eastAsia"/>
                        <w:szCs w:val="21"/>
                      </w:rPr>
                      <w:t>项目</w:t>
                    </w:r>
                  </w:p>
                </w:tc>
              </w:sdtContent>
            </w:sdt>
            <w:sdt>
              <w:sdtPr>
                <w:tag w:val="_PLD_7fb1fcbe07004f36810db86b0edb2f95"/>
                <w:id w:val="-1533645603"/>
                <w:lock w:val="sdtLocked"/>
              </w:sdtPr>
              <w:sdtContent>
                <w:tc>
                  <w:tcPr>
                    <w:tcW w:w="1696" w:type="pct"/>
                  </w:tcPr>
                  <w:p w:rsidR="008F7705" w:rsidRDefault="008F7705" w:rsidP="00601D47">
                    <w:pPr>
                      <w:jc w:val="center"/>
                      <w:rPr>
                        <w:szCs w:val="21"/>
                      </w:rPr>
                    </w:pPr>
                    <w:r>
                      <w:rPr>
                        <w:rFonts w:hint="eastAsia"/>
                        <w:szCs w:val="21"/>
                      </w:rPr>
                      <w:t>期末余额</w:t>
                    </w:r>
                  </w:p>
                </w:tc>
              </w:sdtContent>
            </w:sdt>
            <w:sdt>
              <w:sdtPr>
                <w:tag w:val="_PLD_a1bac2002d6e4be08e5352b018a9cf9b"/>
                <w:id w:val="-1244485338"/>
                <w:lock w:val="sdtLocked"/>
              </w:sdtPr>
              <w:sdtContent>
                <w:tc>
                  <w:tcPr>
                    <w:tcW w:w="1697" w:type="pct"/>
                  </w:tcPr>
                  <w:p w:rsidR="008F7705" w:rsidRDefault="008F7705" w:rsidP="00601D47">
                    <w:pPr>
                      <w:jc w:val="center"/>
                      <w:rPr>
                        <w:szCs w:val="21"/>
                      </w:rPr>
                    </w:pPr>
                    <w:r>
                      <w:rPr>
                        <w:rFonts w:hint="eastAsia"/>
                        <w:szCs w:val="21"/>
                      </w:rPr>
                      <w:t>期初余额</w:t>
                    </w:r>
                  </w:p>
                </w:tc>
              </w:sdtContent>
            </w:sdt>
          </w:tr>
          <w:sdt>
            <w:sdtPr>
              <w:rPr>
                <w:rFonts w:hint="eastAsia"/>
                <w:color w:val="000000" w:themeColor="text1"/>
                <w:szCs w:val="21"/>
              </w:rPr>
              <w:alias w:val="应付股利明细"/>
              <w:tag w:val="_TUP_ab216a38f6804ead821317f5207ba20f"/>
              <w:id w:val="1878502587"/>
              <w:lock w:val="sdtLocked"/>
            </w:sdtPr>
            <w:sdtEndPr>
              <w:rPr>
                <w:rFonts w:hint="default"/>
                <w:color w:val="auto"/>
              </w:rPr>
            </w:sdtEndPr>
            <w:sdtContent>
              <w:tr w:rsidR="008F7705" w:rsidTr="00601D47">
                <w:trPr>
                  <w:cantSplit/>
                </w:trPr>
                <w:tc>
                  <w:tcPr>
                    <w:tcW w:w="1607" w:type="pct"/>
                  </w:tcPr>
                  <w:p w:rsidR="008F7705" w:rsidRDefault="008F7705" w:rsidP="00601D47">
                    <w:pPr>
                      <w:jc w:val="both"/>
                      <w:rPr>
                        <w:szCs w:val="21"/>
                      </w:rPr>
                    </w:pPr>
                    <w:r w:rsidRPr="008F7705">
                      <w:rPr>
                        <w:rFonts w:hint="eastAsia"/>
                        <w:color w:val="000000" w:themeColor="text1"/>
                        <w:szCs w:val="21"/>
                      </w:rPr>
                      <w:t>子公司应付外部股东</w:t>
                    </w:r>
                  </w:p>
                </w:tc>
                <w:tc>
                  <w:tcPr>
                    <w:tcW w:w="1696" w:type="pct"/>
                  </w:tcPr>
                  <w:p w:rsidR="008F7705" w:rsidRDefault="008F7705" w:rsidP="00601D47">
                    <w:pPr>
                      <w:ind w:right="73"/>
                      <w:jc w:val="right"/>
                      <w:rPr>
                        <w:szCs w:val="21"/>
                      </w:rPr>
                    </w:pPr>
                    <w:r>
                      <w:t>274,552</w:t>
                    </w:r>
                  </w:p>
                </w:tc>
                <w:tc>
                  <w:tcPr>
                    <w:tcW w:w="1697" w:type="pct"/>
                  </w:tcPr>
                  <w:p w:rsidR="008F7705" w:rsidRDefault="008F7705" w:rsidP="00601D47">
                    <w:pPr>
                      <w:ind w:right="73"/>
                      <w:jc w:val="right"/>
                      <w:rPr>
                        <w:szCs w:val="21"/>
                      </w:rPr>
                    </w:pPr>
                    <w:r>
                      <w:t>274,552</w:t>
                    </w:r>
                  </w:p>
                </w:tc>
              </w:tr>
            </w:sdtContent>
          </w:sdt>
          <w:tr w:rsidR="008F7705" w:rsidTr="00601D47">
            <w:trPr>
              <w:cantSplit/>
            </w:trPr>
            <w:sdt>
              <w:sdtPr>
                <w:tag w:val="_PLD_06df13dedacc42e4be585da0994a97c5"/>
                <w:id w:val="-575051197"/>
                <w:lock w:val="sdtLocked"/>
              </w:sdtPr>
              <w:sdtContent>
                <w:tc>
                  <w:tcPr>
                    <w:tcW w:w="1607" w:type="pct"/>
                  </w:tcPr>
                  <w:p w:rsidR="008F7705" w:rsidRDefault="008F7705" w:rsidP="008F7705">
                    <w:pPr>
                      <w:ind w:right="105"/>
                      <w:jc w:val="center"/>
                      <w:rPr>
                        <w:color w:val="000000" w:themeColor="text1"/>
                        <w:szCs w:val="21"/>
                      </w:rPr>
                    </w:pPr>
                    <w:r>
                      <w:rPr>
                        <w:rFonts w:hint="eastAsia"/>
                        <w:color w:val="000000" w:themeColor="text1"/>
                        <w:szCs w:val="21"/>
                      </w:rPr>
                      <w:t>合计</w:t>
                    </w:r>
                  </w:p>
                </w:tc>
              </w:sdtContent>
            </w:sdt>
            <w:tc>
              <w:tcPr>
                <w:tcW w:w="1696" w:type="pct"/>
                <w:vAlign w:val="center"/>
              </w:tcPr>
              <w:p w:rsidR="008F7705" w:rsidRDefault="008F7705" w:rsidP="008F7705">
                <w:pPr>
                  <w:ind w:right="73"/>
                  <w:jc w:val="right"/>
                  <w:rPr>
                    <w:szCs w:val="21"/>
                  </w:rPr>
                </w:pPr>
                <w:r>
                  <w:t>274,552</w:t>
                </w:r>
              </w:p>
            </w:tc>
            <w:tc>
              <w:tcPr>
                <w:tcW w:w="1697" w:type="pct"/>
                <w:vAlign w:val="center"/>
              </w:tcPr>
              <w:p w:rsidR="008F7705" w:rsidRDefault="008F7705" w:rsidP="008F7705">
                <w:pPr>
                  <w:ind w:right="73"/>
                  <w:jc w:val="right"/>
                  <w:rPr>
                    <w:szCs w:val="21"/>
                  </w:rPr>
                </w:pPr>
                <w:r>
                  <w:t>274,552</w:t>
                </w:r>
              </w:p>
            </w:tc>
          </w:tr>
        </w:tbl>
        <w:p w:rsidR="00732AC2" w:rsidRDefault="00732AC2">
          <w:pPr>
            <w:snapToGrid w:val="0"/>
            <w:rPr>
              <w:szCs w:val="21"/>
            </w:rPr>
          </w:pPr>
        </w:p>
        <w:p w:rsidR="00806678" w:rsidRDefault="00B16377">
          <w:pPr>
            <w:snapToGrid w:val="0"/>
            <w:rPr>
              <w:szCs w:val="21"/>
            </w:rPr>
          </w:pPr>
          <w:r>
            <w:rPr>
              <w:rFonts w:hint="eastAsia"/>
              <w:szCs w:val="21"/>
            </w:rPr>
            <w:t>其他说明，包括重要的超过</w:t>
          </w:r>
          <w:r>
            <w:rPr>
              <w:szCs w:val="21"/>
            </w:rPr>
            <w:t>1年未支付的应付股利，应披露未支付原因：</w:t>
          </w:r>
        </w:p>
        <w:p w:rsidR="00806678" w:rsidRDefault="00F80B6C">
          <w:pPr>
            <w:snapToGrid w:val="0"/>
            <w:rPr>
              <w:szCs w:val="21"/>
            </w:rPr>
          </w:pPr>
          <w:sdt>
            <w:sdtPr>
              <w:rPr>
                <w:szCs w:val="21"/>
              </w:rPr>
              <w:alias w:val="应付股利的说明"/>
              <w:tag w:val="_GBC_c26084e6b4984321b1a742c636f3683b"/>
              <w:id w:val="2023588854"/>
              <w:lock w:val="sdtLocked"/>
              <w:placeholder>
                <w:docPart w:val="GBC22222222222222222222222222222"/>
              </w:placeholder>
            </w:sdtPr>
            <w:sdtContent>
              <w:r w:rsidR="008F7705">
                <w:rPr>
                  <w:rFonts w:hint="eastAsia"/>
                  <w:szCs w:val="21"/>
                </w:rPr>
                <w:t>无</w:t>
              </w:r>
            </w:sdtContent>
          </w:sdt>
        </w:p>
        <w:p w:rsidR="00806678" w:rsidRDefault="00F80B6C">
          <w:pPr>
            <w:snapToGrid w:val="0"/>
            <w:rPr>
              <w:szCs w:val="21"/>
            </w:rPr>
          </w:pPr>
        </w:p>
      </w:sdtContent>
    </w:sdt>
    <w:sdt>
      <w:sdtPr>
        <w:rPr>
          <w:rFonts w:ascii="宋体" w:eastAsia="宋体" w:hAnsi="宋体" w:cs="宋体" w:hint="eastAsia"/>
          <w:b w:val="0"/>
          <w:bCs w:val="0"/>
          <w:kern w:val="0"/>
          <w:szCs w:val="24"/>
        </w:rPr>
        <w:alias w:val="模块:其他应付款"/>
        <w:tag w:val="_SEC_63718a543ca94cc0ab86d1bd47798003"/>
        <w:id w:val="-875853009"/>
        <w:lock w:val="sdtLocked"/>
        <w:placeholder>
          <w:docPart w:val="GBC22222222222222222222222222222"/>
        </w:placeholder>
      </w:sdtPr>
      <w:sdtEndPr>
        <w:rPr>
          <w:rFonts w:hint="default"/>
          <w:szCs w:val="21"/>
        </w:rPr>
      </w:sdtEndPr>
      <w:sdtContent>
        <w:p w:rsidR="00806678" w:rsidRDefault="00B16377">
          <w:pPr>
            <w:pStyle w:val="4"/>
            <w:ind w:left="360" w:hanging="360"/>
          </w:pPr>
          <w:r>
            <w:rPr>
              <w:rFonts w:hint="eastAsia"/>
            </w:rPr>
            <w:t>其他应付款</w:t>
          </w:r>
        </w:p>
        <w:p w:rsidR="00806678" w:rsidRDefault="00B16377" w:rsidP="00FF17C7">
          <w:pPr>
            <w:pStyle w:val="4"/>
            <w:numPr>
              <w:ilvl w:val="3"/>
              <w:numId w:val="48"/>
            </w:numPr>
          </w:pPr>
          <w:r>
            <w:rPr>
              <w:rFonts w:hint="eastAsia"/>
            </w:rPr>
            <w:t>按款项性质列示其他应付款</w:t>
          </w:r>
        </w:p>
        <w:sdt>
          <w:sdtPr>
            <w:alias w:val="是否适用：按款项性质列示其他应付款[双击切换]"/>
            <w:tag w:val="_GBC_2129eaafa70540f79a93d0085630a5fe"/>
            <w:id w:val="-1414770067"/>
            <w:lock w:val="sdtLocked"/>
            <w:placeholder>
              <w:docPart w:val="GBC22222222222222222222222222222"/>
            </w:placeholder>
          </w:sdtPr>
          <w:sdtContent>
            <w:p w:rsidR="00806678" w:rsidRDefault="00F80B6C">
              <w:r>
                <w:fldChar w:fldCharType="begin"/>
              </w:r>
              <w:r w:rsidR="008F7705">
                <w:instrText xml:space="preserve">MACROBUTTON  SnrToggleCheckbox √适用 </w:instrText>
              </w:r>
              <w:r>
                <w:fldChar w:fldCharType="end"/>
              </w:r>
              <w:r>
                <w:fldChar w:fldCharType="begin"/>
              </w:r>
              <w:r w:rsidR="008F7705">
                <w:instrText xml:space="preserve"> MACROBUTTON  SnrToggleCheckbox □不适用 </w:instrText>
              </w:r>
              <w:r>
                <w:fldChar w:fldCharType="end"/>
              </w:r>
            </w:p>
          </w:sdtContent>
        </w:sdt>
        <w:p w:rsidR="00806678" w:rsidRDefault="00B16377">
          <w:pPr>
            <w:jc w:val="right"/>
            <w:rPr>
              <w:szCs w:val="21"/>
            </w:rPr>
          </w:pPr>
          <w:r>
            <w:rPr>
              <w:rFonts w:hint="eastAsia"/>
              <w:szCs w:val="21"/>
            </w:rPr>
            <w:t>单位：</w:t>
          </w:r>
          <w:sdt>
            <w:sdtPr>
              <w:rPr>
                <w:rFonts w:hint="eastAsia"/>
                <w:szCs w:val="21"/>
              </w:rPr>
              <w:alias w:val="单位：财务附注：其他应付款情况"/>
              <w:tag w:val="_GBC_a6c4e704227646d6b87178ecadaa5fa8"/>
              <w:id w:val="179948361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其他应付款情况"/>
              <w:tag w:val="_GBC_d1b303709a6f4890a0cbd5c559cc7269"/>
              <w:id w:val="-57258167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23"/>
            <w:gridCol w:w="2999"/>
            <w:gridCol w:w="3127"/>
          </w:tblGrid>
          <w:tr w:rsidR="008F7705" w:rsidTr="00601D47">
            <w:sdt>
              <w:sdtPr>
                <w:tag w:val="_PLD_cccd20120c59428c9fb5486db901b651"/>
                <w:id w:val="-2100473790"/>
                <w:lock w:val="sdtLocked"/>
              </w:sdtPr>
              <w:sdtContent>
                <w:tc>
                  <w:tcPr>
                    <w:tcW w:w="1615" w:type="pct"/>
                    <w:shd w:val="clear" w:color="auto" w:fill="auto"/>
                  </w:tcPr>
                  <w:p w:rsidR="008F7705" w:rsidRDefault="008F7705" w:rsidP="00601D47">
                    <w:pPr>
                      <w:jc w:val="center"/>
                      <w:rPr>
                        <w:szCs w:val="21"/>
                      </w:rPr>
                    </w:pPr>
                    <w:r>
                      <w:rPr>
                        <w:rFonts w:hint="eastAsia"/>
                        <w:szCs w:val="21"/>
                      </w:rPr>
                      <w:t>项目</w:t>
                    </w:r>
                  </w:p>
                </w:tc>
              </w:sdtContent>
            </w:sdt>
            <w:sdt>
              <w:sdtPr>
                <w:tag w:val="_PLD_e2d62dec5e0841a581c413f632730f49"/>
                <w:id w:val="1076396519"/>
                <w:lock w:val="sdtLocked"/>
              </w:sdtPr>
              <w:sdtContent>
                <w:tc>
                  <w:tcPr>
                    <w:tcW w:w="1657" w:type="pct"/>
                    <w:shd w:val="clear" w:color="auto" w:fill="auto"/>
                  </w:tcPr>
                  <w:p w:rsidR="008F7705" w:rsidRDefault="008F7705" w:rsidP="00601D47">
                    <w:pPr>
                      <w:jc w:val="center"/>
                      <w:rPr>
                        <w:szCs w:val="21"/>
                      </w:rPr>
                    </w:pPr>
                    <w:r>
                      <w:rPr>
                        <w:rFonts w:hint="eastAsia"/>
                        <w:szCs w:val="21"/>
                      </w:rPr>
                      <w:t>期末余额</w:t>
                    </w:r>
                  </w:p>
                </w:tc>
              </w:sdtContent>
            </w:sdt>
            <w:sdt>
              <w:sdtPr>
                <w:tag w:val="_PLD_7d5bd8bc96cd40388e383699d37c8d10"/>
                <w:id w:val="-647357511"/>
                <w:lock w:val="sdtLocked"/>
              </w:sdtPr>
              <w:sdtContent>
                <w:tc>
                  <w:tcPr>
                    <w:tcW w:w="1728" w:type="pct"/>
                    <w:shd w:val="clear" w:color="auto" w:fill="auto"/>
                  </w:tcPr>
                  <w:p w:rsidR="008F7705" w:rsidRDefault="008F7705" w:rsidP="00601D47">
                    <w:pPr>
                      <w:jc w:val="center"/>
                      <w:rPr>
                        <w:szCs w:val="21"/>
                      </w:rPr>
                    </w:pPr>
                    <w:r>
                      <w:rPr>
                        <w:rFonts w:hint="eastAsia"/>
                        <w:szCs w:val="21"/>
                      </w:rPr>
                      <w:t>期初余额</w:t>
                    </w:r>
                  </w:p>
                </w:tc>
              </w:sdtContent>
            </w:sdt>
          </w:tr>
          <w:sdt>
            <w:sdtPr>
              <w:rPr>
                <w:rFonts w:hint="eastAsia"/>
                <w:szCs w:val="21"/>
              </w:rPr>
              <w:alias w:val="其他应付款情况明细"/>
              <w:tag w:val="_TUP_c5fd807cf68b4815b97a33bdc075d5e4"/>
              <w:id w:val="-533646339"/>
              <w:lock w:val="sdtLocked"/>
            </w:sdtPr>
            <w:sdtEndPr>
              <w:rPr>
                <w:rFonts w:hint="default"/>
              </w:rPr>
            </w:sdtEndPr>
            <w:sdtContent>
              <w:tr w:rsidR="008F7705" w:rsidTr="00601D47">
                <w:tc>
                  <w:tcPr>
                    <w:tcW w:w="1615" w:type="pct"/>
                    <w:shd w:val="clear" w:color="auto" w:fill="auto"/>
                  </w:tcPr>
                  <w:p w:rsidR="008F7705" w:rsidRDefault="008F7705" w:rsidP="00601D47">
                    <w:pPr>
                      <w:rPr>
                        <w:szCs w:val="21"/>
                      </w:rPr>
                    </w:pPr>
                    <w:r>
                      <w:t>抵押金和质保金</w:t>
                    </w:r>
                  </w:p>
                </w:tc>
                <w:tc>
                  <w:tcPr>
                    <w:tcW w:w="1657" w:type="pct"/>
                    <w:shd w:val="clear" w:color="auto" w:fill="auto"/>
                  </w:tcPr>
                  <w:p w:rsidR="008F7705" w:rsidRDefault="008F7705" w:rsidP="00601D47">
                    <w:pPr>
                      <w:jc w:val="right"/>
                      <w:rPr>
                        <w:szCs w:val="21"/>
                      </w:rPr>
                    </w:pPr>
                    <w:r>
                      <w:t>607,877,680</w:t>
                    </w:r>
                  </w:p>
                </w:tc>
                <w:tc>
                  <w:tcPr>
                    <w:tcW w:w="1728" w:type="pct"/>
                    <w:shd w:val="clear" w:color="auto" w:fill="auto"/>
                  </w:tcPr>
                  <w:p w:rsidR="008F7705" w:rsidRDefault="008F7705" w:rsidP="00601D47">
                    <w:pPr>
                      <w:jc w:val="right"/>
                      <w:rPr>
                        <w:szCs w:val="21"/>
                      </w:rPr>
                    </w:pPr>
                    <w:r>
                      <w:t>608,720,835</w:t>
                    </w:r>
                  </w:p>
                </w:tc>
              </w:tr>
            </w:sdtContent>
          </w:sdt>
          <w:sdt>
            <w:sdtPr>
              <w:rPr>
                <w:rFonts w:hint="eastAsia"/>
                <w:szCs w:val="21"/>
              </w:rPr>
              <w:alias w:val="其他应付款情况明细"/>
              <w:tag w:val="_TUP_c5fd807cf68b4815b97a33bdc075d5e4"/>
              <w:id w:val="-1306927309"/>
              <w:lock w:val="sdtLocked"/>
            </w:sdtPr>
            <w:sdtEndPr>
              <w:rPr>
                <w:rFonts w:hint="default"/>
              </w:rPr>
            </w:sdtEndPr>
            <w:sdtContent>
              <w:tr w:rsidR="008F7705" w:rsidTr="00601D47">
                <w:tc>
                  <w:tcPr>
                    <w:tcW w:w="1615" w:type="pct"/>
                    <w:shd w:val="clear" w:color="auto" w:fill="auto"/>
                  </w:tcPr>
                  <w:p w:rsidR="008F7705" w:rsidRDefault="008F7705" w:rsidP="00601D47">
                    <w:pPr>
                      <w:rPr>
                        <w:szCs w:val="21"/>
                      </w:rPr>
                    </w:pPr>
                    <w:r>
                      <w:t>应付工程及设备款</w:t>
                    </w:r>
                  </w:p>
                </w:tc>
                <w:tc>
                  <w:tcPr>
                    <w:tcW w:w="1657" w:type="pct"/>
                    <w:shd w:val="clear" w:color="auto" w:fill="auto"/>
                  </w:tcPr>
                  <w:p w:rsidR="008F7705" w:rsidRDefault="008F7705" w:rsidP="00601D47">
                    <w:pPr>
                      <w:jc w:val="right"/>
                      <w:rPr>
                        <w:szCs w:val="21"/>
                      </w:rPr>
                    </w:pPr>
                    <w:r>
                      <w:t>3,311,408,521</w:t>
                    </w:r>
                  </w:p>
                </w:tc>
                <w:tc>
                  <w:tcPr>
                    <w:tcW w:w="1728" w:type="pct"/>
                    <w:shd w:val="clear" w:color="auto" w:fill="auto"/>
                  </w:tcPr>
                  <w:p w:rsidR="008F7705" w:rsidRDefault="008F7705" w:rsidP="00601D47">
                    <w:pPr>
                      <w:jc w:val="right"/>
                      <w:rPr>
                        <w:szCs w:val="21"/>
                      </w:rPr>
                    </w:pPr>
                    <w:r>
                      <w:t>3,646,011,471</w:t>
                    </w:r>
                  </w:p>
                </w:tc>
              </w:tr>
            </w:sdtContent>
          </w:sdt>
          <w:sdt>
            <w:sdtPr>
              <w:rPr>
                <w:rFonts w:hint="eastAsia"/>
                <w:szCs w:val="21"/>
              </w:rPr>
              <w:alias w:val="其他应付款情况明细"/>
              <w:tag w:val="_TUP_c5fd807cf68b4815b97a33bdc075d5e4"/>
              <w:id w:val="48194140"/>
              <w:lock w:val="sdtLocked"/>
            </w:sdtPr>
            <w:sdtEndPr>
              <w:rPr>
                <w:rFonts w:hint="default"/>
              </w:rPr>
            </w:sdtEndPr>
            <w:sdtContent>
              <w:tr w:rsidR="008F7705" w:rsidTr="00601D47">
                <w:tc>
                  <w:tcPr>
                    <w:tcW w:w="1615" w:type="pct"/>
                    <w:shd w:val="clear" w:color="auto" w:fill="auto"/>
                  </w:tcPr>
                  <w:p w:rsidR="008F7705" w:rsidRDefault="008F7705" w:rsidP="00601D47">
                    <w:pPr>
                      <w:rPr>
                        <w:szCs w:val="21"/>
                      </w:rPr>
                    </w:pPr>
                    <w:r>
                      <w:t>代管资金</w:t>
                    </w:r>
                  </w:p>
                </w:tc>
                <w:tc>
                  <w:tcPr>
                    <w:tcW w:w="1657" w:type="pct"/>
                    <w:shd w:val="clear" w:color="auto" w:fill="auto"/>
                  </w:tcPr>
                  <w:p w:rsidR="008F7705" w:rsidRDefault="008F7705" w:rsidP="00601D47">
                    <w:pPr>
                      <w:jc w:val="right"/>
                      <w:rPr>
                        <w:szCs w:val="21"/>
                      </w:rPr>
                    </w:pPr>
                    <w:r>
                      <w:t>174,308,616</w:t>
                    </w:r>
                  </w:p>
                </w:tc>
                <w:tc>
                  <w:tcPr>
                    <w:tcW w:w="1728" w:type="pct"/>
                    <w:shd w:val="clear" w:color="auto" w:fill="auto"/>
                  </w:tcPr>
                  <w:p w:rsidR="008F7705" w:rsidRDefault="008F7705" w:rsidP="00601D47">
                    <w:pPr>
                      <w:jc w:val="right"/>
                      <w:rPr>
                        <w:szCs w:val="21"/>
                      </w:rPr>
                    </w:pPr>
                    <w:r>
                      <w:t>146,779,402</w:t>
                    </w:r>
                  </w:p>
                </w:tc>
              </w:tr>
            </w:sdtContent>
          </w:sdt>
          <w:sdt>
            <w:sdtPr>
              <w:rPr>
                <w:rFonts w:hint="eastAsia"/>
                <w:szCs w:val="21"/>
              </w:rPr>
              <w:alias w:val="其他应付款情况明细"/>
              <w:tag w:val="_TUP_c5fd807cf68b4815b97a33bdc075d5e4"/>
              <w:id w:val="-1229605701"/>
              <w:lock w:val="sdtLocked"/>
            </w:sdtPr>
            <w:sdtEndPr>
              <w:rPr>
                <w:rFonts w:hint="default"/>
              </w:rPr>
            </w:sdtEndPr>
            <w:sdtContent>
              <w:tr w:rsidR="008F7705" w:rsidTr="00601D47">
                <w:tc>
                  <w:tcPr>
                    <w:tcW w:w="1615" w:type="pct"/>
                    <w:shd w:val="clear" w:color="auto" w:fill="auto"/>
                  </w:tcPr>
                  <w:p w:rsidR="008F7705" w:rsidRDefault="008F7705" w:rsidP="00601D47">
                    <w:pPr>
                      <w:rPr>
                        <w:szCs w:val="21"/>
                      </w:rPr>
                    </w:pPr>
                    <w:r>
                      <w:t>其他应付国铁集团及其他下属单位</w:t>
                    </w:r>
                  </w:p>
                </w:tc>
                <w:tc>
                  <w:tcPr>
                    <w:tcW w:w="1657" w:type="pct"/>
                    <w:shd w:val="clear" w:color="auto" w:fill="auto"/>
                  </w:tcPr>
                  <w:p w:rsidR="008F7705" w:rsidRDefault="008F7705" w:rsidP="00601D47">
                    <w:pPr>
                      <w:jc w:val="right"/>
                      <w:rPr>
                        <w:szCs w:val="21"/>
                      </w:rPr>
                    </w:pPr>
                    <w:r>
                      <w:t>12,801,898</w:t>
                    </w:r>
                  </w:p>
                </w:tc>
                <w:tc>
                  <w:tcPr>
                    <w:tcW w:w="1728" w:type="pct"/>
                    <w:shd w:val="clear" w:color="auto" w:fill="auto"/>
                  </w:tcPr>
                  <w:p w:rsidR="008F7705" w:rsidRDefault="008F7705" w:rsidP="00601D47">
                    <w:pPr>
                      <w:jc w:val="right"/>
                      <w:rPr>
                        <w:szCs w:val="21"/>
                      </w:rPr>
                    </w:pPr>
                    <w:r>
                      <w:t>69,774,971</w:t>
                    </w:r>
                  </w:p>
                </w:tc>
              </w:tr>
            </w:sdtContent>
          </w:sdt>
          <w:sdt>
            <w:sdtPr>
              <w:rPr>
                <w:rFonts w:hint="eastAsia"/>
                <w:szCs w:val="21"/>
              </w:rPr>
              <w:alias w:val="其他应付款情况明细"/>
              <w:tag w:val="_TUP_c5fd807cf68b4815b97a33bdc075d5e4"/>
              <w:id w:val="-814792531"/>
              <w:lock w:val="sdtLocked"/>
            </w:sdtPr>
            <w:sdtEndPr>
              <w:rPr>
                <w:rFonts w:hint="default"/>
              </w:rPr>
            </w:sdtEndPr>
            <w:sdtContent>
              <w:tr w:rsidR="008F7705" w:rsidTr="00601D47">
                <w:tc>
                  <w:tcPr>
                    <w:tcW w:w="1615" w:type="pct"/>
                    <w:shd w:val="clear" w:color="auto" w:fill="auto"/>
                  </w:tcPr>
                  <w:p w:rsidR="008F7705" w:rsidRDefault="008F7705" w:rsidP="00601D47">
                    <w:pPr>
                      <w:rPr>
                        <w:szCs w:val="21"/>
                      </w:rPr>
                    </w:pPr>
                    <w:r>
                      <w:t>其他</w:t>
                    </w:r>
                  </w:p>
                </w:tc>
                <w:tc>
                  <w:tcPr>
                    <w:tcW w:w="1657" w:type="pct"/>
                    <w:shd w:val="clear" w:color="auto" w:fill="auto"/>
                  </w:tcPr>
                  <w:p w:rsidR="008F7705" w:rsidRDefault="008F7705" w:rsidP="00601D47">
                    <w:pPr>
                      <w:jc w:val="right"/>
                      <w:rPr>
                        <w:szCs w:val="21"/>
                      </w:rPr>
                    </w:pPr>
                    <w:r>
                      <w:t>713,462,573</w:t>
                    </w:r>
                  </w:p>
                </w:tc>
                <w:tc>
                  <w:tcPr>
                    <w:tcW w:w="1728" w:type="pct"/>
                    <w:shd w:val="clear" w:color="auto" w:fill="auto"/>
                  </w:tcPr>
                  <w:p w:rsidR="008F7705" w:rsidRDefault="008F7705" w:rsidP="00601D47">
                    <w:pPr>
                      <w:jc w:val="right"/>
                      <w:rPr>
                        <w:szCs w:val="21"/>
                      </w:rPr>
                    </w:pPr>
                    <w:r>
                      <w:t>886,891,066</w:t>
                    </w:r>
                  </w:p>
                </w:tc>
              </w:tr>
            </w:sdtContent>
          </w:sdt>
          <w:tr w:rsidR="008F7705" w:rsidTr="00601D47">
            <w:sdt>
              <w:sdtPr>
                <w:tag w:val="_PLD_71f559af9c054f8b851f93ba5dcee683"/>
                <w:id w:val="-2086128862"/>
                <w:lock w:val="sdtLocked"/>
              </w:sdtPr>
              <w:sdtContent>
                <w:tc>
                  <w:tcPr>
                    <w:tcW w:w="1615" w:type="pct"/>
                    <w:shd w:val="clear" w:color="auto" w:fill="auto"/>
                  </w:tcPr>
                  <w:p w:rsidR="008F7705" w:rsidRDefault="008F7705" w:rsidP="008F7705">
                    <w:pPr>
                      <w:jc w:val="center"/>
                      <w:rPr>
                        <w:color w:val="000000" w:themeColor="text1"/>
                        <w:szCs w:val="21"/>
                      </w:rPr>
                    </w:pPr>
                    <w:r>
                      <w:rPr>
                        <w:rFonts w:hint="eastAsia"/>
                        <w:color w:val="000000" w:themeColor="text1"/>
                        <w:szCs w:val="21"/>
                      </w:rPr>
                      <w:t>合计</w:t>
                    </w:r>
                  </w:p>
                </w:tc>
              </w:sdtContent>
            </w:sdt>
            <w:tc>
              <w:tcPr>
                <w:tcW w:w="1657" w:type="pct"/>
                <w:shd w:val="clear" w:color="auto" w:fill="auto"/>
                <w:vAlign w:val="center"/>
              </w:tcPr>
              <w:p w:rsidR="008F7705" w:rsidRDefault="008F7705" w:rsidP="008F7705">
                <w:pPr>
                  <w:jc w:val="right"/>
                  <w:rPr>
                    <w:szCs w:val="21"/>
                  </w:rPr>
                </w:pPr>
                <w:r>
                  <w:t>4,819,859,288</w:t>
                </w:r>
              </w:p>
            </w:tc>
            <w:tc>
              <w:tcPr>
                <w:tcW w:w="1728" w:type="pct"/>
                <w:shd w:val="clear" w:color="auto" w:fill="auto"/>
                <w:vAlign w:val="center"/>
              </w:tcPr>
              <w:p w:rsidR="008F7705" w:rsidRDefault="008F7705" w:rsidP="008F7705">
                <w:pPr>
                  <w:jc w:val="right"/>
                  <w:rPr>
                    <w:szCs w:val="21"/>
                  </w:rPr>
                </w:pPr>
                <w:r>
                  <w:t>5,358,177,745</w:t>
                </w:r>
              </w:p>
            </w:tc>
          </w:tr>
        </w:tbl>
        <w:p w:rsidR="00806678" w:rsidRDefault="00806678">
          <w:pPr>
            <w:rPr>
              <w:szCs w:val="21"/>
            </w:rPr>
          </w:pPr>
        </w:p>
        <w:p w:rsidR="00806678" w:rsidRDefault="00B16377" w:rsidP="00FF17C7">
          <w:pPr>
            <w:pStyle w:val="4"/>
            <w:numPr>
              <w:ilvl w:val="3"/>
              <w:numId w:val="48"/>
            </w:numPr>
          </w:pPr>
          <w:r>
            <w:rPr>
              <w:rFonts w:hint="eastAsia"/>
            </w:rPr>
            <w:t>账龄超过</w:t>
          </w:r>
          <w:r>
            <w:t>1年的重要其他应付款</w:t>
          </w:r>
        </w:p>
        <w:p w:rsidR="00806678" w:rsidRDefault="00F80B6C">
          <w:sdt>
            <w:sdtPr>
              <w:alias w:val="是否适用：账龄超过1年的重要其他应付款[双击切换]"/>
              <w:tag w:val="_GBC_8c91a7ba05384c71ab6bde19039096ff"/>
              <w:id w:val="1786847676"/>
              <w:lock w:val="sdtLocked"/>
              <w:placeholder>
                <w:docPart w:val="GBC22222222222222222222222222222"/>
              </w:placeholder>
            </w:sdtPr>
            <w:sdtContent>
              <w:r>
                <w:fldChar w:fldCharType="begin"/>
              </w:r>
              <w:r w:rsidR="008F7705">
                <w:instrText xml:space="preserve">MACROBUTTON  SnrToggleCheckbox √适用 </w:instrText>
              </w:r>
              <w:r>
                <w:fldChar w:fldCharType="end"/>
              </w:r>
              <w:r>
                <w:fldChar w:fldCharType="begin"/>
              </w:r>
              <w:r w:rsidR="008F7705">
                <w:instrText xml:space="preserve"> MACROBUTTON  SnrToggleCheckbox □不适用 </w:instrText>
              </w:r>
              <w:r>
                <w:fldChar w:fldCharType="end"/>
              </w:r>
            </w:sdtContent>
          </w:sdt>
        </w:p>
        <w:p w:rsidR="00806678" w:rsidRDefault="00B16377">
          <w:pPr>
            <w:jc w:val="right"/>
          </w:pPr>
          <w:r>
            <w:rPr>
              <w:rFonts w:hint="eastAsia"/>
            </w:rPr>
            <w:t>单位：</w:t>
          </w:r>
          <w:sdt>
            <w:sdtPr>
              <w:rPr>
                <w:rFonts w:hint="eastAsia"/>
              </w:rPr>
              <w:alias w:val="单位：财务附注：账龄超过1年的重要其他应付款"/>
              <w:tag w:val="_GBC_483467483bd848008ea19d2f579d4ad3"/>
              <w:id w:val="290717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账龄超过1年的重要其他应付款"/>
              <w:tag w:val="_GBC_bd7144370dea45f08d1b2117e7dd54f2"/>
              <w:id w:val="290719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70"/>
            <w:gridCol w:w="2566"/>
            <w:gridCol w:w="3113"/>
          </w:tblGrid>
          <w:tr w:rsidR="00806678" w:rsidTr="008F7705">
            <w:trPr>
              <w:trHeight w:val="269"/>
            </w:trPr>
            <w:bookmarkStart w:id="219" w:name="_Toc215903165" w:displacedByCustomXml="next"/>
            <w:sdt>
              <w:sdtPr>
                <w:tag w:val="_PLD_9c8ea996049c4def9d7d14d20087b3b1"/>
                <w:id w:val="2082640165"/>
                <w:lock w:val="sdtLocked"/>
              </w:sdtPr>
              <w:sdtContent>
                <w:tc>
                  <w:tcPr>
                    <w:tcW w:w="1862" w:type="pct"/>
                    <w:shd w:val="clear" w:color="auto" w:fill="auto"/>
                    <w:vAlign w:val="center"/>
                  </w:tcPr>
                  <w:p w:rsidR="00806678" w:rsidRDefault="00B16377">
                    <w:pPr>
                      <w:jc w:val="center"/>
                      <w:rPr>
                        <w:szCs w:val="21"/>
                      </w:rPr>
                    </w:pPr>
                    <w:r>
                      <w:rPr>
                        <w:rFonts w:hint="eastAsia"/>
                        <w:szCs w:val="21"/>
                      </w:rPr>
                      <w:t>项目</w:t>
                    </w:r>
                  </w:p>
                </w:tc>
              </w:sdtContent>
            </w:sdt>
            <w:sdt>
              <w:sdtPr>
                <w:tag w:val="_PLD_cbf69a41aba142df803e5a24615b92d6"/>
                <w:id w:val="-1434119870"/>
                <w:lock w:val="sdtLocked"/>
              </w:sdtPr>
              <w:sdtContent>
                <w:tc>
                  <w:tcPr>
                    <w:tcW w:w="1418" w:type="pct"/>
                    <w:shd w:val="clear" w:color="auto" w:fill="auto"/>
                    <w:vAlign w:val="center"/>
                  </w:tcPr>
                  <w:p w:rsidR="00806678" w:rsidRDefault="00B16377">
                    <w:pPr>
                      <w:jc w:val="center"/>
                      <w:rPr>
                        <w:szCs w:val="21"/>
                      </w:rPr>
                    </w:pPr>
                    <w:r>
                      <w:rPr>
                        <w:rFonts w:hint="eastAsia"/>
                        <w:szCs w:val="21"/>
                      </w:rPr>
                      <w:t>期末余额</w:t>
                    </w:r>
                  </w:p>
                </w:tc>
              </w:sdtContent>
            </w:sdt>
            <w:sdt>
              <w:sdtPr>
                <w:tag w:val="_PLD_531a09c451564ccb8c2c6f192aca7b55"/>
                <w:id w:val="1749991741"/>
                <w:lock w:val="sdtLocked"/>
              </w:sdtPr>
              <w:sdtContent>
                <w:tc>
                  <w:tcPr>
                    <w:tcW w:w="1720" w:type="pct"/>
                    <w:shd w:val="clear" w:color="auto" w:fill="auto"/>
                    <w:vAlign w:val="center"/>
                  </w:tcPr>
                  <w:p w:rsidR="00806678" w:rsidRDefault="00B16377">
                    <w:pPr>
                      <w:jc w:val="center"/>
                      <w:rPr>
                        <w:szCs w:val="21"/>
                      </w:rPr>
                    </w:pPr>
                    <w:r>
                      <w:rPr>
                        <w:rFonts w:hint="eastAsia"/>
                        <w:szCs w:val="21"/>
                      </w:rPr>
                      <w:t>未偿还或结转的原因</w:t>
                    </w:r>
                  </w:p>
                </w:tc>
              </w:sdtContent>
            </w:sdt>
          </w:tr>
          <w:sdt>
            <w:sdtPr>
              <w:rPr>
                <w:szCs w:val="21"/>
              </w:rPr>
              <w:alias w:val="重要的账龄超过1年的其他应付款明细"/>
              <w:tag w:val="_TUP_4ef01219c72943778183f374f1feaf27"/>
              <w:id w:val="-2066782883"/>
              <w:lock w:val="sdtLocked"/>
            </w:sdtPr>
            <w:sdtContent>
              <w:tr w:rsidR="00806678" w:rsidTr="008F7705">
                <w:tc>
                  <w:tcPr>
                    <w:tcW w:w="1862" w:type="pct"/>
                    <w:tcBorders>
                      <w:bottom w:val="single" w:sz="4" w:space="0" w:color="auto"/>
                    </w:tcBorders>
                    <w:shd w:val="clear" w:color="auto" w:fill="auto"/>
                  </w:tcPr>
                  <w:p w:rsidR="00806678" w:rsidRDefault="008F7705" w:rsidP="008F7705">
                    <w:pPr>
                      <w:rPr>
                        <w:szCs w:val="21"/>
                      </w:rPr>
                    </w:pPr>
                    <w:r>
                      <w:rPr>
                        <w:rFonts w:hint="eastAsia"/>
                        <w:szCs w:val="21"/>
                      </w:rPr>
                      <w:t>应付工程设备款、押金及质保金等</w:t>
                    </w:r>
                    <w:r>
                      <w:rPr>
                        <w:szCs w:val="21"/>
                      </w:rPr>
                      <w:t xml:space="preserve"> </w:t>
                    </w:r>
                  </w:p>
                </w:tc>
                <w:tc>
                  <w:tcPr>
                    <w:tcW w:w="1418" w:type="pct"/>
                    <w:shd w:val="clear" w:color="auto" w:fill="auto"/>
                  </w:tcPr>
                  <w:p w:rsidR="00806678" w:rsidRDefault="008F7705">
                    <w:pPr>
                      <w:jc w:val="right"/>
                      <w:rPr>
                        <w:szCs w:val="21"/>
                      </w:rPr>
                    </w:pPr>
                    <w:r w:rsidRPr="008F7705">
                      <w:rPr>
                        <w:szCs w:val="21"/>
                      </w:rPr>
                      <w:t>871,875,881</w:t>
                    </w:r>
                  </w:p>
                </w:tc>
                <w:tc>
                  <w:tcPr>
                    <w:tcW w:w="1720" w:type="pct"/>
                    <w:shd w:val="clear" w:color="auto" w:fill="auto"/>
                  </w:tcPr>
                  <w:p w:rsidR="00806678" w:rsidRDefault="008F7705" w:rsidP="008F7705">
                    <w:pPr>
                      <w:jc w:val="center"/>
                      <w:rPr>
                        <w:szCs w:val="21"/>
                      </w:rPr>
                    </w:pPr>
                    <w:r>
                      <w:rPr>
                        <w:rFonts w:hint="eastAsia"/>
                        <w:szCs w:val="21"/>
                      </w:rPr>
                      <w:t>/</w:t>
                    </w:r>
                  </w:p>
                </w:tc>
              </w:tr>
            </w:sdtContent>
          </w:sdt>
          <w:tr w:rsidR="00806678" w:rsidTr="008F7705">
            <w:sdt>
              <w:sdtPr>
                <w:tag w:val="_PLD_e73beec5c0ab425990f727363af34378"/>
                <w:id w:val="-1609577421"/>
                <w:lock w:val="sdtLocked"/>
              </w:sdtPr>
              <w:sdtContent>
                <w:tc>
                  <w:tcPr>
                    <w:tcW w:w="1862" w:type="pct"/>
                    <w:shd w:val="clear" w:color="auto" w:fill="auto"/>
                    <w:vAlign w:val="center"/>
                  </w:tcPr>
                  <w:p w:rsidR="00806678" w:rsidRDefault="00B16377">
                    <w:pPr>
                      <w:jc w:val="center"/>
                      <w:rPr>
                        <w:szCs w:val="21"/>
                      </w:rPr>
                    </w:pPr>
                    <w:r>
                      <w:rPr>
                        <w:rFonts w:hint="eastAsia"/>
                        <w:szCs w:val="21"/>
                      </w:rPr>
                      <w:t>合计</w:t>
                    </w:r>
                  </w:p>
                </w:tc>
              </w:sdtContent>
            </w:sdt>
            <w:tc>
              <w:tcPr>
                <w:tcW w:w="1418" w:type="pct"/>
                <w:shd w:val="clear" w:color="auto" w:fill="auto"/>
              </w:tcPr>
              <w:p w:rsidR="00806678" w:rsidRDefault="008F7705">
                <w:pPr>
                  <w:jc w:val="right"/>
                  <w:rPr>
                    <w:szCs w:val="21"/>
                  </w:rPr>
                </w:pPr>
                <w:r w:rsidRPr="008F7705">
                  <w:rPr>
                    <w:szCs w:val="21"/>
                  </w:rPr>
                  <w:t>871,875,881</w:t>
                </w:r>
              </w:p>
            </w:tc>
            <w:tc>
              <w:tcPr>
                <w:tcW w:w="1720" w:type="pct"/>
                <w:shd w:val="clear" w:color="auto" w:fill="auto"/>
              </w:tcPr>
              <w:p w:rsidR="00806678" w:rsidRDefault="00B16377">
                <w:pPr>
                  <w:jc w:val="center"/>
                  <w:rPr>
                    <w:szCs w:val="21"/>
                  </w:rPr>
                </w:pPr>
                <w:r>
                  <w:rPr>
                    <w:rFonts w:hint="eastAsia"/>
                    <w:szCs w:val="21"/>
                  </w:rPr>
                  <w:t>/</w:t>
                </w:r>
              </w:p>
            </w:tc>
          </w:tr>
        </w:tbl>
        <w:p w:rsidR="00806678" w:rsidRDefault="00806678"/>
        <w:p w:rsidR="00806678" w:rsidRDefault="00B16377">
          <w:r>
            <w:rPr>
              <w:rFonts w:hint="eastAsia"/>
            </w:rPr>
            <w:t>其他说明</w:t>
          </w:r>
          <w:bookmarkEnd w:id="219"/>
          <w:r>
            <w:rPr>
              <w:rFonts w:hint="eastAsia"/>
            </w:rPr>
            <w:t>：</w:t>
          </w:r>
        </w:p>
        <w:sdt>
          <w:sdtPr>
            <w:alias w:val="是否适用：其他应付款的其他说明[双击切换]"/>
            <w:tag w:val="_GBC_0aed5652b81d438d96502aeef7e6dde5"/>
            <w:id w:val="80799944"/>
            <w:lock w:val="sdtLocked"/>
            <w:placeholder>
              <w:docPart w:val="GBC22222222222222222222222222222"/>
            </w:placeholder>
          </w:sdtPr>
          <w:sdtContent>
            <w:p w:rsidR="00732AC2" w:rsidRDefault="00F80B6C">
              <w:r>
                <w:fldChar w:fldCharType="begin"/>
              </w:r>
              <w:r w:rsidR="008F7705">
                <w:instrText xml:space="preserve">MACROBUTTON  SnrToggleCheckbox √适用 </w:instrText>
              </w:r>
              <w:r>
                <w:fldChar w:fldCharType="end"/>
              </w:r>
              <w:r>
                <w:fldChar w:fldCharType="begin"/>
              </w:r>
              <w:r w:rsidR="008F7705">
                <w:instrText xml:space="preserve"> MACROBUTTON  SnrToggleCheckbox □不适用 </w:instrText>
              </w:r>
              <w:r>
                <w:fldChar w:fldCharType="end"/>
              </w:r>
            </w:p>
            <w:p w:rsidR="00806678" w:rsidRDefault="00F80B6C"/>
          </w:sdtContent>
        </w:sdt>
        <w:sdt>
          <w:sdtPr>
            <w:rPr>
              <w:szCs w:val="21"/>
            </w:rPr>
            <w:alias w:val="其他应付款的其他说明"/>
            <w:tag w:val="_GBC_72f09f5f4fd44f6b80729a4f0312594f"/>
            <w:id w:val="-673260848"/>
            <w:lock w:val="sdtLocked"/>
            <w:placeholder>
              <w:docPart w:val="GBC22222222222222222222222222222"/>
            </w:placeholder>
          </w:sdtPr>
          <w:sdtContent>
            <w:p w:rsidR="00806678" w:rsidRDefault="008F7705">
              <w:pPr>
                <w:rPr>
                  <w:szCs w:val="21"/>
                </w:rPr>
              </w:pPr>
              <w:r w:rsidRPr="008F7705">
                <w:rPr>
                  <w:rFonts w:hint="eastAsia"/>
                  <w:szCs w:val="21"/>
                </w:rPr>
                <w:t>于</w:t>
              </w:r>
              <w:r w:rsidRPr="008F7705">
                <w:rPr>
                  <w:szCs w:val="21"/>
                </w:rPr>
                <w:t>2022年12月31日，账龄超过一年的其他应付款为人民币871,875,881元，主要为应付工程设备款、押金及质保金等款项，因工程尚未完工，该款项尚未结清。</w:t>
              </w:r>
            </w:p>
          </w:sdtContent>
        </w:sdt>
        <w:p w:rsidR="00806678" w:rsidRDefault="00F80B6C">
          <w:pPr>
            <w:rPr>
              <w:szCs w:val="21"/>
            </w:rPr>
          </w:pPr>
        </w:p>
      </w:sdtContent>
    </w:sdt>
    <w:sdt>
      <w:sdtPr>
        <w:rPr>
          <w:rFonts w:ascii="宋体" w:hAnsi="宋体" w:cs="宋体" w:hint="eastAsia"/>
          <w:b w:val="0"/>
          <w:bCs w:val="0"/>
          <w:kern w:val="0"/>
          <w:szCs w:val="21"/>
        </w:rPr>
        <w:alias w:val="模块:持有待售负债"/>
        <w:tag w:val="_SEC_2c0a95e5ecb74946b3dc14c7a20e5997"/>
        <w:id w:val="-769306314"/>
        <w:lock w:val="sdtLocked"/>
        <w:placeholder>
          <w:docPart w:val="GBC22222222222222222222222222222"/>
        </w:placeholder>
      </w:sdtPr>
      <w:sdtContent>
        <w:p w:rsidR="00806678" w:rsidRDefault="00B16377" w:rsidP="00FF17C7">
          <w:pPr>
            <w:pStyle w:val="3"/>
            <w:numPr>
              <w:ilvl w:val="0"/>
              <w:numId w:val="18"/>
            </w:numPr>
            <w:tabs>
              <w:tab w:val="left" w:pos="504"/>
            </w:tabs>
            <w:rPr>
              <w:szCs w:val="21"/>
            </w:rPr>
          </w:pPr>
          <w:r>
            <w:rPr>
              <w:rFonts w:ascii="宋体" w:hAnsi="宋体" w:hint="eastAsia"/>
              <w:szCs w:val="21"/>
            </w:rPr>
            <w:t>持有</w:t>
          </w:r>
          <w:r>
            <w:rPr>
              <w:rFonts w:hint="eastAsia"/>
              <w:szCs w:val="21"/>
            </w:rPr>
            <w:t>待售负债</w:t>
          </w:r>
        </w:p>
        <w:sdt>
          <w:sdtPr>
            <w:alias w:val="是否适用：划分为持有待售的负债[双击切换]"/>
            <w:tag w:val="_GBC_4ea9b2c6d4024d74b39e491f80a07798"/>
            <w:id w:val="1851675377"/>
            <w:lock w:val="sdtLocked"/>
            <w:placeholder>
              <w:docPart w:val="GBC22222222222222222222222222222"/>
            </w:placeholder>
          </w:sdtPr>
          <w:sdtContent>
            <w:p w:rsidR="00732AC2" w:rsidRDefault="00F80B6C">
              <w:pPr>
                <w:rPr>
                  <w:szCs w:val="21"/>
                </w:rPr>
              </w:pPr>
              <w:r>
                <w:fldChar w:fldCharType="begin"/>
              </w:r>
              <w:r w:rsidR="008F7705">
                <w:instrText xml:space="preserve">MACROBUTTON  SnrToggleCheckbox □适用 </w:instrText>
              </w:r>
              <w:r>
                <w:fldChar w:fldCharType="end"/>
              </w:r>
              <w:r>
                <w:fldChar w:fldCharType="begin"/>
              </w:r>
              <w:r w:rsidR="008F7705">
                <w:instrText xml:space="preserve"> MACROBUTTON  SnrToggleCheckbox √不适用 </w:instrText>
              </w:r>
              <w:r>
                <w:fldChar w:fldCharType="end"/>
              </w:r>
            </w:p>
            <w:p w:rsidR="00806678" w:rsidRDefault="00F80B6C">
              <w:pPr>
                <w:rPr>
                  <w:szCs w:val="21"/>
                </w:rPr>
              </w:pPr>
            </w:p>
          </w:sdtContent>
        </w:sdt>
      </w:sdtContent>
    </w:sdt>
    <w:bookmarkStart w:id="220" w:name="_Hlk24104125" w:displacedByCustomXml="next"/>
    <w:sdt>
      <w:sdtPr>
        <w:rPr>
          <w:rFonts w:ascii="宋体" w:hAnsi="宋体" w:cs="宋体" w:hint="eastAsia"/>
          <w:b w:val="0"/>
          <w:bCs w:val="0"/>
          <w:kern w:val="0"/>
          <w:szCs w:val="21"/>
        </w:rPr>
        <w:alias w:val="模块:1年内到期的非流动负债"/>
        <w:tag w:val="_SEC_7d69c48a60a34405b349ddceb0a418a8"/>
        <w:id w:val="-526560051"/>
        <w:lock w:val="sdtLocked"/>
        <w:placeholder>
          <w:docPart w:val="GBC22222222222222222222222222222"/>
        </w:placeholder>
      </w:sdtPr>
      <w:sdtEndPr>
        <w:rPr>
          <w:rFonts w:hint="default"/>
        </w:rPr>
      </w:sdtEndPr>
      <w:sdtContent>
        <w:p w:rsidR="00806678" w:rsidRDefault="00B16377" w:rsidP="00FF17C7">
          <w:pPr>
            <w:pStyle w:val="3"/>
            <w:numPr>
              <w:ilvl w:val="0"/>
              <w:numId w:val="18"/>
            </w:numPr>
            <w:tabs>
              <w:tab w:val="left" w:pos="504"/>
            </w:tabs>
            <w:rPr>
              <w:rFonts w:ascii="宋体" w:hAnsi="宋体"/>
              <w:szCs w:val="21"/>
            </w:rPr>
          </w:pPr>
          <w:r>
            <w:rPr>
              <w:rFonts w:ascii="宋体" w:hAnsi="宋体" w:hint="eastAsia"/>
              <w:szCs w:val="21"/>
            </w:rPr>
            <w:t>1年内到期的非流动负债</w:t>
          </w:r>
        </w:p>
        <w:sdt>
          <w:sdtPr>
            <w:alias w:val="是否适用：1年内到期的非流动负债[双击切换]"/>
            <w:tag w:val="_GBC_bf40c7464345405f8470856436e2c6a3"/>
            <w:id w:val="954903406"/>
            <w:lock w:val="sdtLocked"/>
            <w:placeholder>
              <w:docPart w:val="GBC22222222222222222222222222222"/>
            </w:placeholder>
          </w:sdtPr>
          <w:sdtContent>
            <w:p w:rsidR="00806678" w:rsidRDefault="00F80B6C">
              <w:r>
                <w:fldChar w:fldCharType="begin"/>
              </w:r>
              <w:r w:rsidR="008F7705">
                <w:instrText xml:space="preserve">MACROBUTTON  SnrToggleCheckbox √适用 </w:instrText>
              </w:r>
              <w:r>
                <w:fldChar w:fldCharType="end"/>
              </w:r>
              <w:r>
                <w:fldChar w:fldCharType="begin"/>
              </w:r>
              <w:r w:rsidR="008F7705">
                <w:instrText xml:space="preserve"> MACROBUTTON  SnrToggleCheckbox □不适用 </w:instrText>
              </w:r>
              <w:r>
                <w:fldChar w:fldCharType="end"/>
              </w:r>
            </w:p>
          </w:sdtContent>
        </w:sdt>
        <w:p w:rsidR="00806678" w:rsidRDefault="00B16377">
          <w:pPr>
            <w:jc w:val="right"/>
            <w:rPr>
              <w:szCs w:val="21"/>
            </w:rPr>
          </w:pPr>
          <w:r>
            <w:rPr>
              <w:rFonts w:hint="eastAsia"/>
              <w:szCs w:val="21"/>
            </w:rPr>
            <w:t>单位：</w:t>
          </w:r>
          <w:sdt>
            <w:sdtPr>
              <w:rPr>
                <w:rFonts w:hint="eastAsia"/>
                <w:szCs w:val="21"/>
              </w:rPr>
              <w:alias w:val="单位：1年内到期的非流动负债情况"/>
              <w:tag w:val="_GBC_fc5bef9f043c4967ab706b443fc31d3c"/>
              <w:id w:val="-10882281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1年内到期的非流动负债情况"/>
              <w:tag w:val="_GBC_fbd4d32585d945468e7aeae52abddc6f"/>
              <w:id w:val="197742065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08"/>
            <w:gridCol w:w="3037"/>
            <w:gridCol w:w="3104"/>
          </w:tblGrid>
          <w:tr w:rsidR="008F7705" w:rsidTr="00601D47">
            <w:sdt>
              <w:sdtPr>
                <w:tag w:val="_PLD_e20bf58d6f134f4caedbea03f8659c14"/>
                <w:id w:val="-612283665"/>
                <w:lock w:val="sdtLocked"/>
              </w:sdtPr>
              <w:sdtContent>
                <w:tc>
                  <w:tcPr>
                    <w:tcW w:w="1607" w:type="pct"/>
                    <w:shd w:val="clear" w:color="auto" w:fill="auto"/>
                  </w:tcPr>
                  <w:p w:rsidR="008F7705" w:rsidRDefault="008F7705" w:rsidP="00601D47">
                    <w:pPr>
                      <w:jc w:val="center"/>
                      <w:rPr>
                        <w:szCs w:val="21"/>
                      </w:rPr>
                    </w:pPr>
                    <w:r>
                      <w:rPr>
                        <w:rFonts w:hint="eastAsia"/>
                        <w:szCs w:val="21"/>
                      </w:rPr>
                      <w:t>项目</w:t>
                    </w:r>
                  </w:p>
                </w:tc>
              </w:sdtContent>
            </w:sdt>
            <w:sdt>
              <w:sdtPr>
                <w:tag w:val="_PLD_dad829d6a45646668218857399318d20"/>
                <w:id w:val="134157453"/>
                <w:lock w:val="sdtLocked"/>
              </w:sdtPr>
              <w:sdtContent>
                <w:tc>
                  <w:tcPr>
                    <w:tcW w:w="1678" w:type="pct"/>
                    <w:shd w:val="clear" w:color="auto" w:fill="auto"/>
                  </w:tcPr>
                  <w:p w:rsidR="008F7705" w:rsidRDefault="008F7705" w:rsidP="00601D47">
                    <w:pPr>
                      <w:jc w:val="center"/>
                      <w:rPr>
                        <w:szCs w:val="21"/>
                      </w:rPr>
                    </w:pPr>
                    <w:r>
                      <w:rPr>
                        <w:rFonts w:hint="eastAsia"/>
                        <w:szCs w:val="21"/>
                      </w:rPr>
                      <w:t>期末余额</w:t>
                    </w:r>
                  </w:p>
                </w:tc>
              </w:sdtContent>
            </w:sdt>
            <w:sdt>
              <w:sdtPr>
                <w:tag w:val="_PLD_9d1d036ddf0544b2b2ddd1dc5633a114"/>
                <w:id w:val="-1455637570"/>
                <w:lock w:val="sdtLocked"/>
              </w:sdtPr>
              <w:sdtContent>
                <w:tc>
                  <w:tcPr>
                    <w:tcW w:w="1715" w:type="pct"/>
                    <w:shd w:val="clear" w:color="auto" w:fill="auto"/>
                  </w:tcPr>
                  <w:p w:rsidR="008F7705" w:rsidRDefault="008F7705" w:rsidP="00601D47">
                    <w:pPr>
                      <w:jc w:val="center"/>
                      <w:rPr>
                        <w:szCs w:val="21"/>
                      </w:rPr>
                    </w:pPr>
                    <w:r>
                      <w:rPr>
                        <w:rFonts w:hint="eastAsia"/>
                        <w:szCs w:val="21"/>
                      </w:rPr>
                      <w:t>期初余额</w:t>
                    </w:r>
                  </w:p>
                </w:tc>
              </w:sdtContent>
            </w:sdt>
          </w:tr>
          <w:tr w:rsidR="008F7705" w:rsidTr="00601D47">
            <w:sdt>
              <w:sdtPr>
                <w:tag w:val="_PLD_e1ecc50bff01445b96122b3c77584dd6"/>
                <w:id w:val="-1070184011"/>
                <w:lock w:val="sdtLocked"/>
              </w:sdtPr>
              <w:sdtContent>
                <w:tc>
                  <w:tcPr>
                    <w:tcW w:w="1607" w:type="pct"/>
                    <w:shd w:val="clear" w:color="auto" w:fill="auto"/>
                  </w:tcPr>
                  <w:p w:rsidR="008F7705" w:rsidRDefault="008F7705" w:rsidP="00601D47">
                    <w:pPr>
                      <w:rPr>
                        <w:szCs w:val="21"/>
                      </w:rPr>
                    </w:pPr>
                    <w:r>
                      <w:rPr>
                        <w:rFonts w:hint="eastAsia"/>
                        <w:szCs w:val="21"/>
                      </w:rPr>
                      <w:t>1年内到期的长期借款</w:t>
                    </w:r>
                  </w:p>
                </w:tc>
              </w:sdtContent>
            </w:sdt>
            <w:tc>
              <w:tcPr>
                <w:tcW w:w="1678" w:type="pct"/>
                <w:shd w:val="clear" w:color="auto" w:fill="auto"/>
              </w:tcPr>
              <w:p w:rsidR="008F7705" w:rsidRDefault="008F7705" w:rsidP="00601D47">
                <w:pPr>
                  <w:jc w:val="right"/>
                  <w:rPr>
                    <w:szCs w:val="21"/>
                  </w:rPr>
                </w:pPr>
                <w:r>
                  <w:t>641,248,532</w:t>
                </w:r>
              </w:p>
            </w:tc>
            <w:tc>
              <w:tcPr>
                <w:tcW w:w="1715" w:type="pct"/>
                <w:shd w:val="clear" w:color="auto" w:fill="auto"/>
              </w:tcPr>
              <w:p w:rsidR="008F7705" w:rsidRDefault="008F7705" w:rsidP="00601D47">
                <w:pPr>
                  <w:jc w:val="right"/>
                  <w:rPr>
                    <w:szCs w:val="21"/>
                  </w:rPr>
                </w:pPr>
                <w:r>
                  <w:t>577,332,000</w:t>
                </w:r>
              </w:p>
            </w:tc>
          </w:tr>
          <w:tr w:rsidR="008F7705" w:rsidTr="00601D47">
            <w:sdt>
              <w:sdtPr>
                <w:tag w:val="_PLD_ca447706246e46a1848c0ae9ccecfc20"/>
                <w:id w:val="-306786454"/>
                <w:lock w:val="sdtLocked"/>
              </w:sdtPr>
              <w:sdtContent>
                <w:tc>
                  <w:tcPr>
                    <w:tcW w:w="1607" w:type="pct"/>
                    <w:shd w:val="clear" w:color="auto" w:fill="auto"/>
                  </w:tcPr>
                  <w:p w:rsidR="008F7705" w:rsidRDefault="008F7705" w:rsidP="00601D47">
                    <w:pPr>
                      <w:rPr>
                        <w:szCs w:val="21"/>
                      </w:rPr>
                    </w:pPr>
                    <w:r>
                      <w:rPr>
                        <w:rFonts w:hint="eastAsia"/>
                        <w:szCs w:val="21"/>
                      </w:rPr>
                      <w:t>1年内到期的应付债券</w:t>
                    </w:r>
                  </w:p>
                </w:tc>
              </w:sdtContent>
            </w:sdt>
            <w:tc>
              <w:tcPr>
                <w:tcW w:w="1678" w:type="pct"/>
                <w:shd w:val="clear" w:color="auto" w:fill="auto"/>
              </w:tcPr>
              <w:p w:rsidR="008F7705" w:rsidRDefault="008F7705" w:rsidP="00601D47">
                <w:pPr>
                  <w:jc w:val="right"/>
                  <w:rPr>
                    <w:szCs w:val="21"/>
                  </w:rPr>
                </w:pPr>
                <w:r>
                  <w:t>14,903,579</w:t>
                </w:r>
              </w:p>
            </w:tc>
            <w:tc>
              <w:tcPr>
                <w:tcW w:w="1715" w:type="pct"/>
                <w:shd w:val="clear" w:color="auto" w:fill="auto"/>
              </w:tcPr>
              <w:p w:rsidR="008F7705" w:rsidRDefault="008F7705" w:rsidP="00601D47">
                <w:pPr>
                  <w:jc w:val="right"/>
                  <w:rPr>
                    <w:szCs w:val="21"/>
                  </w:rPr>
                </w:pPr>
                <w:r>
                  <w:t>7,451,861</w:t>
                </w:r>
              </w:p>
            </w:tc>
          </w:tr>
          <w:tr w:rsidR="008F7705" w:rsidTr="00601D47">
            <w:tc>
              <w:tcPr>
                <w:tcW w:w="1607" w:type="pct"/>
                <w:shd w:val="clear" w:color="auto" w:fill="auto"/>
              </w:tcPr>
              <w:sdt>
                <w:sdtPr>
                  <w:rPr>
                    <w:rFonts w:hint="eastAsia"/>
                  </w:rPr>
                  <w:tag w:val="_PLD_2910478c4b5043d09cdfb21fefc96ebe"/>
                  <w:id w:val="-1914387274"/>
                  <w:lock w:val="sdtLocked"/>
                </w:sdtPr>
                <w:sdtContent>
                  <w:p w:rsidR="008F7705" w:rsidRDefault="008F7705" w:rsidP="00601D47">
                    <w:r>
                      <w:rPr>
                        <w:rFonts w:hint="eastAsia"/>
                      </w:rPr>
                      <w:t>1年内到期的租赁负债</w:t>
                    </w:r>
                  </w:p>
                </w:sdtContent>
              </w:sdt>
            </w:tc>
            <w:tc>
              <w:tcPr>
                <w:tcW w:w="1678" w:type="pct"/>
                <w:shd w:val="clear" w:color="auto" w:fill="auto"/>
              </w:tcPr>
              <w:p w:rsidR="008F7705" w:rsidRDefault="008F7705" w:rsidP="00601D47">
                <w:pPr>
                  <w:jc w:val="right"/>
                  <w:rPr>
                    <w:szCs w:val="21"/>
                  </w:rPr>
                </w:pPr>
                <w:r>
                  <w:t>228,628,963</w:t>
                </w:r>
              </w:p>
            </w:tc>
            <w:tc>
              <w:tcPr>
                <w:tcW w:w="1715" w:type="pct"/>
                <w:shd w:val="clear" w:color="auto" w:fill="auto"/>
              </w:tcPr>
              <w:p w:rsidR="008F7705" w:rsidRDefault="008F7705" w:rsidP="00601D47">
                <w:pPr>
                  <w:jc w:val="right"/>
                  <w:rPr>
                    <w:szCs w:val="21"/>
                  </w:rPr>
                </w:pPr>
                <w:r>
                  <w:t>170,347,380</w:t>
                </w:r>
              </w:p>
            </w:tc>
          </w:tr>
          <w:sdt>
            <w:sdtPr>
              <w:rPr>
                <w:rFonts w:hint="eastAsia"/>
                <w:szCs w:val="21"/>
              </w:rPr>
              <w:alias w:val="1年内到期的非流动负债明细"/>
              <w:tag w:val="_TUP_0b146b8e2bde41cc97a280a2e5daa83b"/>
              <w:id w:val="-300921088"/>
              <w:lock w:val="sdtLocked"/>
            </w:sdtPr>
            <w:sdtEndPr>
              <w:rPr>
                <w:rFonts w:hint="default"/>
                <w:color w:val="000000" w:themeColor="text1"/>
              </w:rPr>
            </w:sdtEndPr>
            <w:sdtContent>
              <w:tr w:rsidR="008F7705" w:rsidTr="00601D47">
                <w:tc>
                  <w:tcPr>
                    <w:tcW w:w="1607" w:type="pct"/>
                    <w:shd w:val="clear" w:color="auto" w:fill="auto"/>
                  </w:tcPr>
                  <w:p w:rsidR="008F7705" w:rsidRDefault="008F7705" w:rsidP="00601D47">
                    <w:pPr>
                      <w:rPr>
                        <w:szCs w:val="21"/>
                      </w:rPr>
                    </w:pPr>
                    <w:r>
                      <w:rPr>
                        <w:rFonts w:hint="eastAsia"/>
                        <w:szCs w:val="21"/>
                      </w:rPr>
                      <w:t>1</w:t>
                    </w:r>
                    <w:r w:rsidRPr="008F7705">
                      <w:rPr>
                        <w:rFonts w:hint="eastAsia"/>
                        <w:szCs w:val="21"/>
                      </w:rPr>
                      <w:t>年内到期的其他非流动负债</w:t>
                    </w:r>
                  </w:p>
                </w:tc>
                <w:tc>
                  <w:tcPr>
                    <w:tcW w:w="1678" w:type="pct"/>
                    <w:shd w:val="clear" w:color="auto" w:fill="auto"/>
                  </w:tcPr>
                  <w:p w:rsidR="008F7705" w:rsidRDefault="008F7705" w:rsidP="00601D47">
                    <w:pPr>
                      <w:jc w:val="right"/>
                      <w:rPr>
                        <w:szCs w:val="21"/>
                      </w:rPr>
                    </w:pPr>
                    <w:r>
                      <w:t>15,699,191</w:t>
                    </w:r>
                  </w:p>
                </w:tc>
                <w:tc>
                  <w:tcPr>
                    <w:tcW w:w="1715" w:type="pct"/>
                    <w:shd w:val="clear" w:color="auto" w:fill="auto"/>
                  </w:tcPr>
                  <w:p w:rsidR="008F7705" w:rsidRDefault="008F7705" w:rsidP="00601D47">
                    <w:pPr>
                      <w:jc w:val="right"/>
                      <w:rPr>
                        <w:szCs w:val="21"/>
                      </w:rPr>
                    </w:pPr>
                    <w:r>
                      <w:t>15,844,623</w:t>
                    </w:r>
                  </w:p>
                </w:tc>
              </w:tr>
            </w:sdtContent>
          </w:sdt>
          <w:tr w:rsidR="008F7705" w:rsidTr="00601D47">
            <w:sdt>
              <w:sdtPr>
                <w:tag w:val="_PLD_7c3565b4df814772b0dc34a4cbdf3ad4"/>
                <w:id w:val="271983004"/>
                <w:lock w:val="sdtLocked"/>
              </w:sdtPr>
              <w:sdtContent>
                <w:tc>
                  <w:tcPr>
                    <w:tcW w:w="1607" w:type="pct"/>
                    <w:shd w:val="clear" w:color="auto" w:fill="auto"/>
                  </w:tcPr>
                  <w:p w:rsidR="008F7705" w:rsidRDefault="008F7705" w:rsidP="00601D47">
                    <w:pPr>
                      <w:jc w:val="center"/>
                      <w:rPr>
                        <w:szCs w:val="21"/>
                      </w:rPr>
                    </w:pPr>
                    <w:r>
                      <w:rPr>
                        <w:rFonts w:hint="eastAsia"/>
                        <w:szCs w:val="21"/>
                      </w:rPr>
                      <w:t>合计</w:t>
                    </w:r>
                  </w:p>
                </w:tc>
              </w:sdtContent>
            </w:sdt>
            <w:tc>
              <w:tcPr>
                <w:tcW w:w="1678" w:type="pct"/>
                <w:shd w:val="clear" w:color="auto" w:fill="auto"/>
              </w:tcPr>
              <w:p w:rsidR="008F7705" w:rsidRDefault="008F7705" w:rsidP="00601D47">
                <w:pPr>
                  <w:jc w:val="right"/>
                  <w:rPr>
                    <w:szCs w:val="21"/>
                  </w:rPr>
                </w:pPr>
                <w:r>
                  <w:t>900,480,265</w:t>
                </w:r>
              </w:p>
            </w:tc>
            <w:tc>
              <w:tcPr>
                <w:tcW w:w="1715" w:type="pct"/>
                <w:shd w:val="clear" w:color="auto" w:fill="auto"/>
              </w:tcPr>
              <w:p w:rsidR="008F7705" w:rsidRDefault="008F7705" w:rsidP="00601D47">
                <w:pPr>
                  <w:jc w:val="right"/>
                  <w:rPr>
                    <w:szCs w:val="21"/>
                  </w:rPr>
                </w:pPr>
                <w:r>
                  <w:t>770,975,864</w:t>
                </w:r>
              </w:p>
            </w:tc>
          </w:tr>
        </w:tbl>
        <w:p w:rsidR="00806678" w:rsidRDefault="00B16377">
          <w:pPr>
            <w:spacing w:before="60" w:after="60"/>
            <w:rPr>
              <w:szCs w:val="21"/>
            </w:rPr>
          </w:pPr>
          <w:r>
            <w:rPr>
              <w:rFonts w:hint="eastAsia"/>
              <w:szCs w:val="21"/>
            </w:rPr>
            <w:t>其他说明：</w:t>
          </w:r>
        </w:p>
        <w:sdt>
          <w:sdtPr>
            <w:rPr>
              <w:szCs w:val="21"/>
            </w:rPr>
            <w:alias w:val="1年内到期的非流动负债说明"/>
            <w:tag w:val="_GBC_8d20cbb6880f4895b7051ae6dee973ca"/>
            <w:id w:val="-2080041315"/>
            <w:lock w:val="sdtLocked"/>
            <w:placeholder>
              <w:docPart w:val="GBC22222222222222222222222222222"/>
            </w:placeholder>
          </w:sdtPr>
          <w:sdtContent>
            <w:p w:rsidR="008F7705" w:rsidRDefault="008F7705">
              <w:pPr>
                <w:rPr>
                  <w:szCs w:val="21"/>
                </w:rPr>
              </w:pPr>
              <w:r>
                <w:rPr>
                  <w:rFonts w:hint="eastAsia"/>
                  <w:szCs w:val="21"/>
                </w:rPr>
                <w:t>无</w:t>
              </w:r>
            </w:p>
            <w:p w:rsidR="00806678" w:rsidRDefault="00F80B6C">
              <w:pPr>
                <w:rPr>
                  <w:szCs w:val="21"/>
                </w:rPr>
              </w:pPr>
            </w:p>
          </w:sdtContent>
        </w:sdt>
      </w:sdtContent>
    </w:sdt>
    <w:bookmarkEnd w:id="220" w:displacedByCustomXml="prev"/>
    <w:p w:rsidR="00806678" w:rsidRDefault="00B16377" w:rsidP="00FF17C7">
      <w:pPr>
        <w:pStyle w:val="3"/>
        <w:numPr>
          <w:ilvl w:val="0"/>
          <w:numId w:val="18"/>
        </w:numPr>
        <w:tabs>
          <w:tab w:val="left" w:pos="504"/>
        </w:tabs>
        <w:rPr>
          <w:rFonts w:ascii="宋体" w:hAnsi="宋体"/>
          <w:szCs w:val="21"/>
        </w:rPr>
      </w:pPr>
      <w:r>
        <w:rPr>
          <w:rFonts w:ascii="宋体" w:hAnsi="宋体" w:hint="eastAsia"/>
          <w:szCs w:val="21"/>
        </w:rPr>
        <w:t>其他流动负债</w:t>
      </w:r>
    </w:p>
    <w:bookmarkStart w:id="221" w:name="_Hlk533670262" w:displacedByCustomXml="next"/>
    <w:sdt>
      <w:sdtPr>
        <w:rPr>
          <w:rFonts w:hint="eastAsia"/>
          <w:szCs w:val="21"/>
        </w:rPr>
        <w:alias w:val="模块:其他流动负债"/>
        <w:tag w:val="_SEC_028ee94ad65744bca4ead55dc3233ca9"/>
        <w:id w:val="770134788"/>
        <w:lock w:val="sdtLocked"/>
        <w:placeholder>
          <w:docPart w:val="GBC22222222222222222222222222222"/>
        </w:placeholder>
      </w:sdtPr>
      <w:sdtEndPr>
        <w:rPr>
          <w:rFonts w:hint="default"/>
          <w:color w:val="000000" w:themeColor="text1"/>
        </w:rPr>
      </w:sdtEndPr>
      <w:sdtContent>
        <w:p w:rsidR="00806678" w:rsidRDefault="00B16377">
          <w:pPr>
            <w:rPr>
              <w:szCs w:val="21"/>
            </w:rPr>
          </w:pPr>
          <w:r>
            <w:rPr>
              <w:rFonts w:hint="eastAsia"/>
              <w:szCs w:val="21"/>
            </w:rPr>
            <w:t>其他流动负债情况</w:t>
          </w:r>
        </w:p>
        <w:sdt>
          <w:sdtPr>
            <w:rPr>
              <w:rFonts w:hint="eastAsia"/>
              <w:szCs w:val="21"/>
            </w:rPr>
            <w:alias w:val="是否适用：其他流动负债情况 [双击切换]"/>
            <w:tag w:val="_GBC_a84ebf5eebf04d4ab9f07c3da85115c2"/>
            <w:id w:val="1639761283"/>
            <w:lock w:val="sdtLocked"/>
            <w:placeholder>
              <w:docPart w:val="GBC22222222222222222222222222222"/>
            </w:placeholder>
          </w:sdtPr>
          <w:sdtContent>
            <w:p w:rsidR="00806678" w:rsidRDefault="00F80B6C">
              <w:pPr>
                <w:rPr>
                  <w:szCs w:val="21"/>
                </w:rPr>
              </w:pPr>
              <w:r>
                <w:rPr>
                  <w:szCs w:val="21"/>
                </w:rPr>
                <w:fldChar w:fldCharType="begin"/>
              </w:r>
              <w:r w:rsidR="008F7705">
                <w:rPr>
                  <w:szCs w:val="21"/>
                </w:rPr>
                <w:instrText xml:space="preserve"> MACROBUTTON  SnrToggleCheckbox √适用  </w:instrText>
              </w:r>
              <w:r>
                <w:rPr>
                  <w:szCs w:val="21"/>
                </w:rPr>
                <w:fldChar w:fldCharType="end"/>
              </w:r>
              <w:r>
                <w:rPr>
                  <w:szCs w:val="21"/>
                </w:rPr>
                <w:fldChar w:fldCharType="begin"/>
              </w:r>
              <w:r w:rsidR="008F7705">
                <w:rPr>
                  <w:szCs w:val="21"/>
                </w:rPr>
                <w:instrText xml:space="preserve"> MACROBUTTON  SnrToggleCheckbox □不适用 </w:instrText>
              </w:r>
              <w:r>
                <w:rPr>
                  <w:szCs w:val="21"/>
                </w:rPr>
                <w:fldChar w:fldCharType="end"/>
              </w:r>
            </w:p>
          </w:sdtContent>
        </w:sdt>
        <w:p w:rsidR="00806678" w:rsidRDefault="00B16377">
          <w:pPr>
            <w:jc w:val="right"/>
            <w:rPr>
              <w:szCs w:val="21"/>
            </w:rPr>
          </w:pPr>
          <w:r>
            <w:rPr>
              <w:rFonts w:hint="eastAsia"/>
              <w:szCs w:val="21"/>
            </w:rPr>
            <w:t>单位：</w:t>
          </w:r>
          <w:sdt>
            <w:sdtPr>
              <w:rPr>
                <w:rFonts w:hint="eastAsia"/>
                <w:szCs w:val="21"/>
              </w:rPr>
              <w:alias w:val="单位：财务附注：其他流动负债"/>
              <w:tag w:val="_GBC_1a3ea80bd2b9426ead4537785c82d01e"/>
              <w:id w:val="-203664328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其他流动负债"/>
              <w:tag w:val="_GBC_c39ac2b60b0f44cbbd7534c211405631"/>
              <w:id w:val="113868599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02"/>
            <w:gridCol w:w="3118"/>
            <w:gridCol w:w="3129"/>
          </w:tblGrid>
          <w:tr w:rsidR="00DA1584" w:rsidTr="00601D47">
            <w:trPr>
              <w:jc w:val="center"/>
            </w:trPr>
            <w:sdt>
              <w:sdtPr>
                <w:tag w:val="_PLD_96b7e8e5e688449c87d23adc1b63439f"/>
                <w:id w:val="1821002877"/>
                <w:lock w:val="sdtLocked"/>
              </w:sdtPr>
              <w:sdtContent>
                <w:tc>
                  <w:tcPr>
                    <w:tcW w:w="1548" w:type="pct"/>
                    <w:tcBorders>
                      <w:top w:val="single" w:sz="4" w:space="0" w:color="auto"/>
                      <w:left w:val="single" w:sz="4" w:space="0" w:color="auto"/>
                      <w:bottom w:val="single" w:sz="4" w:space="0" w:color="auto"/>
                      <w:right w:val="single" w:sz="4" w:space="0" w:color="auto"/>
                    </w:tcBorders>
                    <w:vAlign w:val="bottom"/>
                  </w:tcPr>
                  <w:p w:rsidR="00DA1584" w:rsidRDefault="00DA1584" w:rsidP="00601D47">
                    <w:pPr>
                      <w:tabs>
                        <w:tab w:val="right" w:pos="3690"/>
                        <w:tab w:val="right" w:pos="5130"/>
                        <w:tab w:val="right" w:pos="6030"/>
                        <w:tab w:val="right" w:pos="7650"/>
                        <w:tab w:val="right" w:pos="9270"/>
                      </w:tabs>
                      <w:snapToGrid w:val="0"/>
                      <w:ind w:leftChars="-52" w:left="-109"/>
                      <w:jc w:val="center"/>
                      <w:rPr>
                        <w:szCs w:val="21"/>
                      </w:rPr>
                    </w:pPr>
                    <w:r>
                      <w:rPr>
                        <w:rFonts w:hint="eastAsia"/>
                        <w:szCs w:val="21"/>
                      </w:rPr>
                      <w:t>项目</w:t>
                    </w:r>
                  </w:p>
                </w:tc>
              </w:sdtContent>
            </w:sdt>
            <w:sdt>
              <w:sdtPr>
                <w:tag w:val="_PLD_741229e75da644bb809ec002cfe06423"/>
                <w:id w:val="634832494"/>
                <w:lock w:val="sdtLocked"/>
              </w:sdtPr>
              <w:sdtContent>
                <w:tc>
                  <w:tcPr>
                    <w:tcW w:w="1723" w:type="pct"/>
                    <w:tcBorders>
                      <w:top w:val="single" w:sz="4" w:space="0" w:color="auto"/>
                      <w:left w:val="single" w:sz="4" w:space="0" w:color="auto"/>
                      <w:bottom w:val="single" w:sz="4" w:space="0" w:color="auto"/>
                      <w:right w:val="single" w:sz="4" w:space="0" w:color="auto"/>
                    </w:tcBorders>
                  </w:tcPr>
                  <w:p w:rsidR="00DA1584" w:rsidRDefault="00DA1584" w:rsidP="00601D47">
                    <w:pPr>
                      <w:adjustRightInd w:val="0"/>
                      <w:snapToGrid w:val="0"/>
                      <w:jc w:val="center"/>
                      <w:rPr>
                        <w:szCs w:val="21"/>
                      </w:rPr>
                    </w:pPr>
                    <w:r>
                      <w:rPr>
                        <w:rFonts w:hint="eastAsia"/>
                        <w:szCs w:val="21"/>
                      </w:rPr>
                      <w:t>期末余额</w:t>
                    </w:r>
                  </w:p>
                </w:tc>
              </w:sdtContent>
            </w:sdt>
            <w:sdt>
              <w:sdtPr>
                <w:tag w:val="_PLD_426d25a331b04af9b2ec53d6a7e168d4"/>
                <w:id w:val="-862980063"/>
                <w:lock w:val="sdtLocked"/>
              </w:sdtPr>
              <w:sdtContent>
                <w:tc>
                  <w:tcPr>
                    <w:tcW w:w="1729" w:type="pct"/>
                    <w:tcBorders>
                      <w:top w:val="single" w:sz="4" w:space="0" w:color="auto"/>
                      <w:left w:val="single" w:sz="4" w:space="0" w:color="auto"/>
                      <w:bottom w:val="single" w:sz="4" w:space="0" w:color="auto"/>
                      <w:right w:val="single" w:sz="4" w:space="0" w:color="auto"/>
                    </w:tcBorders>
                  </w:tcPr>
                  <w:p w:rsidR="00DA1584" w:rsidRDefault="00DA1584" w:rsidP="00601D47">
                    <w:pPr>
                      <w:adjustRightInd w:val="0"/>
                      <w:snapToGrid w:val="0"/>
                      <w:jc w:val="center"/>
                      <w:rPr>
                        <w:szCs w:val="21"/>
                      </w:rPr>
                    </w:pPr>
                    <w:r>
                      <w:rPr>
                        <w:rFonts w:hint="eastAsia"/>
                        <w:szCs w:val="21"/>
                      </w:rPr>
                      <w:t>期初余额</w:t>
                    </w:r>
                  </w:p>
                </w:tc>
              </w:sdtContent>
            </w:sdt>
          </w:tr>
          <w:sdt>
            <w:sdtPr>
              <w:rPr>
                <w:rFonts w:hint="eastAsia"/>
                <w:szCs w:val="21"/>
              </w:rPr>
              <w:alias w:val="其他流动负债明细"/>
              <w:tag w:val="_TUP_8ef71b98d0004c0995e58d8ec410e844"/>
              <w:id w:val="1969781365"/>
              <w:lock w:val="sdtLocked"/>
            </w:sdtPr>
            <w:sdtContent>
              <w:tr w:rsidR="00DA1584" w:rsidTr="00601D47">
                <w:trPr>
                  <w:jc w:val="center"/>
                </w:trPr>
                <w:tc>
                  <w:tcPr>
                    <w:tcW w:w="1548" w:type="pct"/>
                    <w:tcBorders>
                      <w:top w:val="single" w:sz="4" w:space="0" w:color="auto"/>
                      <w:left w:val="single" w:sz="4" w:space="0" w:color="auto"/>
                      <w:bottom w:val="single" w:sz="4" w:space="0" w:color="auto"/>
                      <w:right w:val="single" w:sz="4" w:space="0" w:color="auto"/>
                    </w:tcBorders>
                  </w:tcPr>
                  <w:p w:rsidR="00DA1584" w:rsidRDefault="00DA1584" w:rsidP="00601D47">
                    <w:pPr>
                      <w:rPr>
                        <w:szCs w:val="21"/>
                      </w:rPr>
                    </w:pPr>
                    <w:r w:rsidRPr="00DA1584">
                      <w:rPr>
                        <w:rFonts w:hint="eastAsia"/>
                        <w:szCs w:val="21"/>
                      </w:rPr>
                      <w:t>待转销项税额</w:t>
                    </w:r>
                  </w:p>
                </w:tc>
                <w:tc>
                  <w:tcPr>
                    <w:tcW w:w="1723" w:type="pct"/>
                    <w:tcBorders>
                      <w:top w:val="single" w:sz="4" w:space="0" w:color="auto"/>
                      <w:left w:val="single" w:sz="4" w:space="0" w:color="auto"/>
                      <w:bottom w:val="single" w:sz="4" w:space="0" w:color="auto"/>
                      <w:right w:val="single" w:sz="4" w:space="0" w:color="auto"/>
                    </w:tcBorders>
                  </w:tcPr>
                  <w:p w:rsidR="00DA1584" w:rsidRDefault="00DA1584" w:rsidP="00601D47">
                    <w:pPr>
                      <w:jc w:val="right"/>
                      <w:rPr>
                        <w:szCs w:val="21"/>
                      </w:rPr>
                    </w:pPr>
                    <w:r>
                      <w:t>195,518,059</w:t>
                    </w:r>
                  </w:p>
                </w:tc>
                <w:tc>
                  <w:tcPr>
                    <w:tcW w:w="1729" w:type="pct"/>
                    <w:tcBorders>
                      <w:top w:val="single" w:sz="4" w:space="0" w:color="auto"/>
                      <w:left w:val="single" w:sz="4" w:space="0" w:color="auto"/>
                      <w:bottom w:val="single" w:sz="4" w:space="0" w:color="auto"/>
                      <w:right w:val="single" w:sz="4" w:space="0" w:color="auto"/>
                    </w:tcBorders>
                  </w:tcPr>
                  <w:p w:rsidR="00DA1584" w:rsidRDefault="00DA1584" w:rsidP="00601D47">
                    <w:pPr>
                      <w:jc w:val="right"/>
                      <w:rPr>
                        <w:szCs w:val="21"/>
                      </w:rPr>
                    </w:pPr>
                    <w:r>
                      <w:t>155,192,286</w:t>
                    </w:r>
                  </w:p>
                </w:tc>
              </w:tr>
            </w:sdtContent>
          </w:sdt>
          <w:tr w:rsidR="00DA1584" w:rsidTr="00601D47">
            <w:trPr>
              <w:jc w:val="center"/>
            </w:trPr>
            <w:sdt>
              <w:sdtPr>
                <w:tag w:val="_PLD_757f197500f4471f8e3639c1d01c107a"/>
                <w:id w:val="964472357"/>
                <w:lock w:val="sdtLocked"/>
              </w:sdtPr>
              <w:sdtContent>
                <w:tc>
                  <w:tcPr>
                    <w:tcW w:w="1548" w:type="pct"/>
                    <w:tcBorders>
                      <w:top w:val="single" w:sz="4" w:space="0" w:color="auto"/>
                      <w:left w:val="single" w:sz="4" w:space="0" w:color="auto"/>
                      <w:bottom w:val="single" w:sz="4" w:space="0" w:color="auto"/>
                      <w:right w:val="single" w:sz="4" w:space="0" w:color="auto"/>
                    </w:tcBorders>
                  </w:tcPr>
                  <w:p w:rsidR="00DA1584" w:rsidRDefault="00DA1584" w:rsidP="00DA1584">
                    <w:pPr>
                      <w:jc w:val="center"/>
                      <w:rPr>
                        <w:szCs w:val="21"/>
                      </w:rPr>
                    </w:pPr>
                    <w:r>
                      <w:rPr>
                        <w:rFonts w:hint="eastAsia"/>
                        <w:szCs w:val="21"/>
                      </w:rPr>
                      <w:t>合计</w:t>
                    </w:r>
                  </w:p>
                </w:tc>
              </w:sdtContent>
            </w:sdt>
            <w:tc>
              <w:tcPr>
                <w:tcW w:w="1723" w:type="pct"/>
                <w:tcBorders>
                  <w:top w:val="single" w:sz="4" w:space="0" w:color="auto"/>
                  <w:left w:val="single" w:sz="4" w:space="0" w:color="auto"/>
                  <w:bottom w:val="single" w:sz="4" w:space="0" w:color="auto"/>
                  <w:right w:val="single" w:sz="4" w:space="0" w:color="auto"/>
                </w:tcBorders>
                <w:vAlign w:val="center"/>
              </w:tcPr>
              <w:p w:rsidR="00DA1584" w:rsidRDefault="00DA1584" w:rsidP="00DA1584">
                <w:pPr>
                  <w:jc w:val="right"/>
                  <w:rPr>
                    <w:szCs w:val="21"/>
                  </w:rPr>
                </w:pPr>
                <w:r>
                  <w:t>195,518,059</w:t>
                </w:r>
              </w:p>
            </w:tc>
            <w:tc>
              <w:tcPr>
                <w:tcW w:w="1729" w:type="pct"/>
                <w:tcBorders>
                  <w:top w:val="single" w:sz="4" w:space="0" w:color="auto"/>
                  <w:left w:val="single" w:sz="4" w:space="0" w:color="auto"/>
                  <w:bottom w:val="single" w:sz="4" w:space="0" w:color="auto"/>
                  <w:right w:val="single" w:sz="4" w:space="0" w:color="auto"/>
                </w:tcBorders>
                <w:vAlign w:val="center"/>
              </w:tcPr>
              <w:p w:rsidR="00DA1584" w:rsidRDefault="00DA1584" w:rsidP="00DA1584">
                <w:pPr>
                  <w:jc w:val="right"/>
                  <w:rPr>
                    <w:szCs w:val="21"/>
                  </w:rPr>
                </w:pPr>
                <w:r>
                  <w:t>155,192,286</w:t>
                </w:r>
              </w:p>
            </w:tc>
          </w:tr>
        </w:tbl>
        <w:p w:rsidR="00806678" w:rsidRDefault="00F80B6C">
          <w:pPr>
            <w:rPr>
              <w:szCs w:val="21"/>
            </w:rPr>
          </w:pPr>
        </w:p>
      </w:sdtContent>
    </w:sdt>
    <w:bookmarkEnd w:id="221" w:displacedByCustomXml="prev"/>
    <w:sdt>
      <w:sdtPr>
        <w:rPr>
          <w:rFonts w:asciiTheme="minorHAnsi" w:eastAsiaTheme="minorEastAsia" w:hAnsiTheme="minorHAnsi" w:hint="eastAsia"/>
          <w:bCs/>
          <w:szCs w:val="22"/>
        </w:rPr>
        <w:alias w:val="模块:短期应付债券的增减变动"/>
        <w:tag w:val="_SEC_f5491fa163be4d50a9964567324132ed"/>
        <w:id w:val="-464580098"/>
        <w:lock w:val="sdtLocked"/>
        <w:placeholder>
          <w:docPart w:val="GBC22222222222222222222222222222"/>
        </w:placeholder>
      </w:sdtPr>
      <w:sdtEndPr>
        <w:rPr>
          <w:rFonts w:ascii="宋体" w:eastAsia="宋体" w:hAnsi="宋体" w:cstheme="minorBidi" w:hint="default"/>
          <w:bCs w:val="0"/>
          <w:color w:val="000000" w:themeColor="text1"/>
          <w:kern w:val="2"/>
          <w:szCs w:val="21"/>
        </w:rPr>
      </w:sdtEndPr>
      <w:sdtContent>
        <w:p w:rsidR="00806678" w:rsidRDefault="00B16377">
          <w:r>
            <w:rPr>
              <w:rFonts w:hint="eastAsia"/>
            </w:rPr>
            <w:t>短期</w:t>
          </w:r>
          <w:r>
            <w:t>应付债券的增减变动</w:t>
          </w:r>
          <w:r>
            <w:rPr>
              <w:rFonts w:hint="eastAsia"/>
            </w:rPr>
            <w:t>：</w:t>
          </w:r>
        </w:p>
        <w:sdt>
          <w:sdtPr>
            <w:alias w:val="是否适用：短期应付债券的增减变动[双击切换]"/>
            <w:tag w:val="_GBC_9702365af41547e6b7eeb62225fd79a4"/>
            <w:id w:val="-336931526"/>
            <w:lock w:val="sdtLocked"/>
            <w:placeholder>
              <w:docPart w:val="GBC22222222222222222222222222222"/>
            </w:placeholder>
          </w:sdtPr>
          <w:sdtContent>
            <w:p w:rsidR="00806678" w:rsidRDefault="00F80B6C" w:rsidP="00DA1584">
              <w:pPr>
                <w:rPr>
                  <w:szCs w:val="21"/>
                </w:rPr>
              </w:pPr>
              <w:r>
                <w:fldChar w:fldCharType="begin"/>
              </w:r>
              <w:r w:rsidR="00DA1584">
                <w:instrText xml:space="preserve">MACROBUTTON  SnrToggleCheckbox □适用 </w:instrText>
              </w:r>
              <w:r>
                <w:fldChar w:fldCharType="end"/>
              </w:r>
              <w:r>
                <w:fldChar w:fldCharType="begin"/>
              </w:r>
              <w:r w:rsidR="00DA1584">
                <w:instrText xml:space="preserve"> MACROBUTTON  SnrToggleCheckbox √不适用 </w:instrText>
              </w:r>
              <w:r>
                <w:fldChar w:fldCharType="end"/>
              </w:r>
            </w:p>
          </w:sdtContent>
        </w:sdt>
      </w:sdtContent>
    </w:sdt>
    <w:sdt>
      <w:sdtPr>
        <w:rPr>
          <w:rFonts w:hint="eastAsia"/>
          <w:szCs w:val="21"/>
        </w:rPr>
        <w:alias w:val="模块:其他流动负债说明"/>
        <w:tag w:val="_SEC_72acc7f2df254db9a8e7b1d2c0a85c65"/>
        <w:id w:val="-790443068"/>
        <w:lock w:val="sdtLocked"/>
        <w:placeholder>
          <w:docPart w:val="GBC22222222222222222222222222222"/>
        </w:placeholder>
      </w:sdtPr>
      <w:sdtEndPr>
        <w:rPr>
          <w:rFonts w:hint="default"/>
          <w:color w:val="000000" w:themeColor="text1"/>
        </w:rPr>
      </w:sdtEndPr>
      <w:sdtContent>
        <w:p w:rsidR="00806678" w:rsidRDefault="00B16377">
          <w:pPr>
            <w:spacing w:before="60" w:after="60"/>
            <w:rPr>
              <w:szCs w:val="21"/>
            </w:rPr>
          </w:pPr>
          <w:r>
            <w:rPr>
              <w:rFonts w:hint="eastAsia"/>
              <w:szCs w:val="21"/>
            </w:rPr>
            <w:t>其他说明：</w:t>
          </w:r>
        </w:p>
        <w:sdt>
          <w:sdtPr>
            <w:rPr>
              <w:szCs w:val="21"/>
            </w:rPr>
            <w:alias w:val="是否适用：其他流动负债说明[双击切换]"/>
            <w:tag w:val="_GBC_137d3b80ab3041c1a1b255a500c3d52c"/>
            <w:id w:val="-1145272012"/>
            <w:lock w:val="sdtLocked"/>
            <w:placeholder>
              <w:docPart w:val="GBC22222222222222222222222222222"/>
            </w:placeholder>
          </w:sdtPr>
          <w:sdtContent>
            <w:p w:rsidR="00806678" w:rsidRDefault="00F80B6C" w:rsidP="00DA1584">
              <w:pPr>
                <w:spacing w:before="60" w:after="60"/>
                <w:rPr>
                  <w:szCs w:val="21"/>
                </w:rPr>
              </w:pPr>
              <w:r>
                <w:rPr>
                  <w:szCs w:val="21"/>
                </w:rPr>
                <w:fldChar w:fldCharType="begin"/>
              </w:r>
              <w:r w:rsidR="00DA1584">
                <w:rPr>
                  <w:szCs w:val="21"/>
                </w:rPr>
                <w:instrText xml:space="preserve">MACROBUTTON  SnrToggleCheckbox □适用 </w:instrText>
              </w:r>
              <w:r>
                <w:rPr>
                  <w:szCs w:val="21"/>
                </w:rPr>
                <w:fldChar w:fldCharType="end"/>
              </w:r>
              <w:r>
                <w:rPr>
                  <w:szCs w:val="21"/>
                </w:rPr>
                <w:fldChar w:fldCharType="begin"/>
              </w:r>
              <w:r w:rsidR="00DA1584">
                <w:rPr>
                  <w:szCs w:val="21"/>
                </w:rPr>
                <w:instrText xml:space="preserve"> MACROBUTTON  SnrToggleCheckbox √不适用 </w:instrText>
              </w:r>
              <w:r>
                <w:rPr>
                  <w:szCs w:val="21"/>
                </w:rPr>
                <w:fldChar w:fldCharType="end"/>
              </w:r>
            </w:p>
          </w:sdtContent>
        </w:sdt>
      </w:sdtContent>
    </w:sdt>
    <w:p w:rsidR="00806678" w:rsidRDefault="00806678">
      <w:pPr>
        <w:rPr>
          <w:szCs w:val="21"/>
        </w:rPr>
      </w:pPr>
    </w:p>
    <w:p w:rsidR="00806678" w:rsidRDefault="00B16377" w:rsidP="00FF17C7">
      <w:pPr>
        <w:pStyle w:val="3"/>
        <w:numPr>
          <w:ilvl w:val="0"/>
          <w:numId w:val="18"/>
        </w:numPr>
        <w:tabs>
          <w:tab w:val="left" w:pos="504"/>
        </w:tabs>
        <w:rPr>
          <w:rFonts w:ascii="宋体" w:hAnsi="宋体"/>
          <w:szCs w:val="21"/>
        </w:rPr>
      </w:pPr>
      <w:r>
        <w:rPr>
          <w:rFonts w:ascii="宋体" w:hAnsi="宋体" w:hint="eastAsia"/>
          <w:szCs w:val="21"/>
        </w:rPr>
        <w:t>长期借款</w:t>
      </w:r>
    </w:p>
    <w:sdt>
      <w:sdtPr>
        <w:rPr>
          <w:rFonts w:ascii="宋体" w:eastAsia="宋体" w:hAnsi="宋体" w:cs="宋体" w:hint="eastAsia"/>
          <w:b w:val="0"/>
          <w:bCs w:val="0"/>
          <w:kern w:val="0"/>
          <w:szCs w:val="22"/>
        </w:rPr>
        <w:alias w:val="模块:长期借款分类 "/>
        <w:tag w:val="_SEC_bb20abc8fd5f49a68916f9dc55e11723"/>
        <w:id w:val="620583430"/>
        <w:lock w:val="sdtLocked"/>
        <w:placeholder>
          <w:docPart w:val="GBC22222222222222222222222222222"/>
        </w:placeholder>
      </w:sdtPr>
      <w:sdtEndPr>
        <w:rPr>
          <w:rFonts w:cstheme="minorBidi" w:hint="default"/>
          <w:color w:val="000000" w:themeColor="text1"/>
          <w:kern w:val="2"/>
          <w:szCs w:val="21"/>
        </w:rPr>
      </w:sdtEndPr>
      <w:sdtContent>
        <w:p w:rsidR="00806678" w:rsidRDefault="00B16377" w:rsidP="00FF17C7">
          <w:pPr>
            <w:pStyle w:val="4"/>
            <w:numPr>
              <w:ilvl w:val="3"/>
              <w:numId w:val="95"/>
            </w:numPr>
          </w:pPr>
          <w:r>
            <w:rPr>
              <w:rFonts w:hint="eastAsia"/>
            </w:rPr>
            <w:t>长期借款分类</w:t>
          </w:r>
        </w:p>
        <w:sdt>
          <w:sdtPr>
            <w:alias w:val="是否适用：长期借款分类[双击切换]"/>
            <w:tag w:val="_GBC_f97d0882083646ed86769469b3ee8875"/>
            <w:id w:val="-1489238957"/>
            <w:lock w:val="sdtLocked"/>
            <w:placeholder>
              <w:docPart w:val="GBC22222222222222222222222222222"/>
            </w:placeholder>
          </w:sdtPr>
          <w:sdtContent>
            <w:p w:rsidR="00806678" w:rsidRDefault="00F80B6C">
              <w:r>
                <w:fldChar w:fldCharType="begin"/>
              </w:r>
              <w:r w:rsidR="00DA1584">
                <w:instrText xml:space="preserve">MACROBUTTON  SnrToggleCheckbox √适用 </w:instrText>
              </w:r>
              <w:r>
                <w:fldChar w:fldCharType="end"/>
              </w:r>
              <w:r>
                <w:fldChar w:fldCharType="begin"/>
              </w:r>
              <w:r w:rsidR="00DA1584">
                <w:instrText xml:space="preserve"> MACROBUTTON  SnrToggleCheckbox □不适用 </w:instrText>
              </w:r>
              <w:r>
                <w:fldChar w:fldCharType="end"/>
              </w:r>
            </w:p>
          </w:sdtContent>
        </w:sdt>
        <w:p w:rsidR="00806678" w:rsidRDefault="00B16377">
          <w:pPr>
            <w:jc w:val="right"/>
            <w:rPr>
              <w:szCs w:val="21"/>
            </w:rPr>
          </w:pPr>
          <w:r>
            <w:rPr>
              <w:rFonts w:hint="eastAsia"/>
              <w:szCs w:val="21"/>
            </w:rPr>
            <w:t>单位：</w:t>
          </w:r>
          <w:sdt>
            <w:sdtPr>
              <w:rPr>
                <w:rFonts w:hint="eastAsia"/>
                <w:szCs w:val="21"/>
              </w:rPr>
              <w:alias w:val="单位：财务附注：长期借款分类"/>
              <w:tag w:val="_GBC_1469e55f5b66428a857f07acaf1e4ae0"/>
              <w:id w:val="-174825660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长期借款分类"/>
              <w:tag w:val="_GBC_02e1603886284ce797acd755be7f672a"/>
              <w:id w:val="-157311138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52"/>
            <w:gridCol w:w="3051"/>
            <w:gridCol w:w="2946"/>
          </w:tblGrid>
          <w:tr w:rsidR="00806678" w:rsidTr="005F50CE">
            <w:trPr>
              <w:cantSplit/>
            </w:trPr>
            <w:sdt>
              <w:sdtPr>
                <w:tag w:val="_PLD_4e1b60888e3248369c96087fd1f19eed"/>
                <w:id w:val="-190074064"/>
                <w:lock w:val="sdtLocked"/>
              </w:sdtPr>
              <w:sdtContent>
                <w:tc>
                  <w:tcPr>
                    <w:tcW w:w="1686" w:type="pct"/>
                  </w:tcPr>
                  <w:p w:rsidR="00806678" w:rsidRDefault="00B16377">
                    <w:pPr>
                      <w:autoSpaceDE w:val="0"/>
                      <w:autoSpaceDN w:val="0"/>
                      <w:adjustRightInd w:val="0"/>
                      <w:snapToGrid w:val="0"/>
                      <w:jc w:val="center"/>
                      <w:rPr>
                        <w:szCs w:val="21"/>
                      </w:rPr>
                    </w:pPr>
                    <w:r>
                      <w:rPr>
                        <w:rFonts w:hint="eastAsia"/>
                        <w:szCs w:val="21"/>
                      </w:rPr>
                      <w:t>项目</w:t>
                    </w:r>
                  </w:p>
                </w:tc>
              </w:sdtContent>
            </w:sdt>
            <w:sdt>
              <w:sdtPr>
                <w:tag w:val="_PLD_5eb33a0c1cde49ff9ed499493463ec46"/>
                <w:id w:val="-1872217825"/>
                <w:lock w:val="sdtLocked"/>
              </w:sdtPr>
              <w:sdtContent>
                <w:tc>
                  <w:tcPr>
                    <w:tcW w:w="1686" w:type="pct"/>
                  </w:tcPr>
                  <w:p w:rsidR="00806678" w:rsidRDefault="00B16377">
                    <w:pPr>
                      <w:jc w:val="center"/>
                      <w:rPr>
                        <w:szCs w:val="21"/>
                      </w:rPr>
                    </w:pPr>
                    <w:r>
                      <w:rPr>
                        <w:rFonts w:hint="eastAsia"/>
                        <w:szCs w:val="21"/>
                      </w:rPr>
                      <w:t>期末余额</w:t>
                    </w:r>
                  </w:p>
                </w:tc>
              </w:sdtContent>
            </w:sdt>
            <w:sdt>
              <w:sdtPr>
                <w:tag w:val="_PLD_9b129c446a5847edb58141b866ffac5d"/>
                <w:id w:val="-1209566707"/>
                <w:lock w:val="sdtLocked"/>
              </w:sdtPr>
              <w:sdtContent>
                <w:tc>
                  <w:tcPr>
                    <w:tcW w:w="1628" w:type="pct"/>
                  </w:tcPr>
                  <w:p w:rsidR="00806678" w:rsidRDefault="00B16377">
                    <w:pPr>
                      <w:jc w:val="center"/>
                      <w:rPr>
                        <w:szCs w:val="21"/>
                      </w:rPr>
                    </w:pPr>
                    <w:r>
                      <w:rPr>
                        <w:rFonts w:hint="eastAsia"/>
                        <w:szCs w:val="21"/>
                      </w:rPr>
                      <w:t>期初余额</w:t>
                    </w:r>
                  </w:p>
                </w:tc>
              </w:sdtContent>
            </w:sdt>
          </w:tr>
          <w:tr w:rsidR="008436CD" w:rsidTr="008436CD">
            <w:trPr>
              <w:cantSplit/>
            </w:trPr>
            <w:tc>
              <w:tcPr>
                <w:tcW w:w="1686" w:type="pct"/>
                <w:shd w:val="clear" w:color="auto" w:fill="auto"/>
                <w:vAlign w:val="center"/>
              </w:tcPr>
              <w:p w:rsidR="008436CD" w:rsidRDefault="008436CD" w:rsidP="008436CD">
                <w:pPr>
                  <w:autoSpaceDE w:val="0"/>
                  <w:autoSpaceDN w:val="0"/>
                  <w:adjustRightInd w:val="0"/>
                  <w:snapToGrid w:val="0"/>
                  <w:rPr>
                    <w:szCs w:val="21"/>
                  </w:rPr>
                </w:pPr>
                <w:r w:rsidRPr="008436CD">
                  <w:rPr>
                    <w:rFonts w:hint="eastAsia"/>
                    <w:szCs w:val="21"/>
                  </w:rPr>
                  <w:t>抵押借款</w:t>
                </w:r>
              </w:p>
            </w:tc>
            <w:tc>
              <w:tcPr>
                <w:tcW w:w="1686" w:type="pct"/>
                <w:shd w:val="clear" w:color="auto" w:fill="auto"/>
                <w:vAlign w:val="center"/>
              </w:tcPr>
              <w:p w:rsidR="008436CD" w:rsidRDefault="008436CD" w:rsidP="008436CD">
                <w:pPr>
                  <w:autoSpaceDE w:val="0"/>
                  <w:autoSpaceDN w:val="0"/>
                  <w:adjustRightInd w:val="0"/>
                  <w:snapToGrid w:val="0"/>
                  <w:jc w:val="right"/>
                </w:pPr>
                <w:r>
                  <w:t>75,236,355</w:t>
                </w:r>
              </w:p>
            </w:tc>
            <w:tc>
              <w:tcPr>
                <w:tcW w:w="1628" w:type="pct"/>
                <w:shd w:val="clear" w:color="auto" w:fill="auto"/>
                <w:vAlign w:val="center"/>
              </w:tcPr>
              <w:p w:rsidR="008436CD" w:rsidRDefault="008436CD" w:rsidP="008436CD">
                <w:pPr>
                  <w:jc w:val="right"/>
                </w:pPr>
                <w:r>
                  <w:t>0</w:t>
                </w:r>
              </w:p>
            </w:tc>
          </w:tr>
          <w:tr w:rsidR="007B5352" w:rsidTr="00601D47">
            <w:trPr>
              <w:cantSplit/>
            </w:trPr>
            <w:tc>
              <w:tcPr>
                <w:tcW w:w="1686" w:type="pct"/>
                <w:shd w:val="clear" w:color="auto" w:fill="auto"/>
              </w:tcPr>
              <w:p w:rsidR="007B5352" w:rsidRDefault="007B5352" w:rsidP="007B5352">
                <w:pPr>
                  <w:autoSpaceDE w:val="0"/>
                  <w:autoSpaceDN w:val="0"/>
                  <w:adjustRightInd w:val="0"/>
                  <w:snapToGrid w:val="0"/>
                  <w:jc w:val="both"/>
                  <w:rPr>
                    <w:szCs w:val="21"/>
                  </w:rPr>
                </w:pPr>
                <w:r>
                  <w:rPr>
                    <w:rFonts w:hint="eastAsia"/>
                    <w:szCs w:val="21"/>
                  </w:rPr>
                  <w:t>信用借款</w:t>
                </w:r>
              </w:p>
            </w:tc>
            <w:tc>
              <w:tcPr>
                <w:tcW w:w="1686" w:type="pct"/>
                <w:shd w:val="clear" w:color="auto" w:fill="auto"/>
                <w:vAlign w:val="center"/>
              </w:tcPr>
              <w:p w:rsidR="007B5352" w:rsidRDefault="00B32704" w:rsidP="008436CD">
                <w:pPr>
                  <w:autoSpaceDE w:val="0"/>
                  <w:autoSpaceDN w:val="0"/>
                  <w:adjustRightInd w:val="0"/>
                  <w:snapToGrid w:val="0"/>
                  <w:jc w:val="right"/>
                  <w:rPr>
                    <w:szCs w:val="21"/>
                  </w:rPr>
                </w:pPr>
                <w:r w:rsidRPr="00B32704">
                  <w:t>11,607,503,681</w:t>
                </w:r>
              </w:p>
            </w:tc>
            <w:tc>
              <w:tcPr>
                <w:tcW w:w="1628" w:type="pct"/>
                <w:shd w:val="clear" w:color="auto" w:fill="auto"/>
                <w:vAlign w:val="center"/>
              </w:tcPr>
              <w:p w:rsidR="007B5352" w:rsidRDefault="007B5352" w:rsidP="007B5352">
                <w:pPr>
                  <w:jc w:val="right"/>
                  <w:rPr>
                    <w:szCs w:val="21"/>
                  </w:rPr>
                </w:pPr>
                <w:r>
                  <w:t>12,399,496,008</w:t>
                </w:r>
              </w:p>
            </w:tc>
          </w:tr>
          <w:tr w:rsidR="007B5352" w:rsidTr="00601D47">
            <w:trPr>
              <w:cantSplit/>
            </w:trPr>
            <w:tc>
              <w:tcPr>
                <w:tcW w:w="1686" w:type="pct"/>
              </w:tcPr>
              <w:p w:rsidR="007B5352" w:rsidRDefault="007B5352" w:rsidP="007B5352">
                <w:pPr>
                  <w:autoSpaceDE w:val="0"/>
                  <w:autoSpaceDN w:val="0"/>
                  <w:adjustRightInd w:val="0"/>
                  <w:snapToGrid w:val="0"/>
                  <w:rPr>
                    <w:szCs w:val="21"/>
                  </w:rPr>
                </w:pPr>
                <w:r>
                  <w:rPr>
                    <w:rFonts w:hint="eastAsia"/>
                    <w:szCs w:val="21"/>
                  </w:rPr>
                  <w:t>减：一年以内到期的长期借款</w:t>
                </w:r>
              </w:p>
            </w:tc>
            <w:tc>
              <w:tcPr>
                <w:tcW w:w="1686" w:type="pct"/>
                <w:vAlign w:val="center"/>
              </w:tcPr>
              <w:p w:rsidR="007B5352" w:rsidRDefault="007B5352" w:rsidP="008436CD">
                <w:pPr>
                  <w:autoSpaceDE w:val="0"/>
                  <w:autoSpaceDN w:val="0"/>
                  <w:adjustRightInd w:val="0"/>
                  <w:snapToGrid w:val="0"/>
                  <w:jc w:val="right"/>
                  <w:rPr>
                    <w:szCs w:val="21"/>
                  </w:rPr>
                </w:pPr>
                <w:r>
                  <w:t>641,248,532</w:t>
                </w:r>
              </w:p>
            </w:tc>
            <w:tc>
              <w:tcPr>
                <w:tcW w:w="1628" w:type="pct"/>
                <w:vAlign w:val="center"/>
              </w:tcPr>
              <w:p w:rsidR="007B5352" w:rsidRDefault="007B5352" w:rsidP="007B5352">
                <w:pPr>
                  <w:jc w:val="right"/>
                  <w:rPr>
                    <w:szCs w:val="21"/>
                  </w:rPr>
                </w:pPr>
                <w:r>
                  <w:t>577,332,000</w:t>
                </w:r>
              </w:p>
            </w:tc>
          </w:tr>
          <w:tr w:rsidR="007B5352" w:rsidTr="00601D47">
            <w:trPr>
              <w:cantSplit/>
            </w:trPr>
            <w:tc>
              <w:tcPr>
                <w:tcW w:w="1686" w:type="pct"/>
                <w:vAlign w:val="center"/>
              </w:tcPr>
              <w:p w:rsidR="007B5352" w:rsidRDefault="007B5352" w:rsidP="007B5352">
                <w:pPr>
                  <w:autoSpaceDE w:val="0"/>
                  <w:autoSpaceDN w:val="0"/>
                  <w:adjustRightInd w:val="0"/>
                  <w:snapToGrid w:val="0"/>
                  <w:jc w:val="center"/>
                  <w:rPr>
                    <w:szCs w:val="21"/>
                  </w:rPr>
                </w:pPr>
                <w:r>
                  <w:rPr>
                    <w:rFonts w:hint="eastAsia"/>
                    <w:szCs w:val="21"/>
                  </w:rPr>
                  <w:t>合计</w:t>
                </w:r>
              </w:p>
            </w:tc>
            <w:tc>
              <w:tcPr>
                <w:tcW w:w="1686" w:type="pct"/>
                <w:vAlign w:val="center"/>
              </w:tcPr>
              <w:p w:rsidR="007B5352" w:rsidRDefault="007B5352" w:rsidP="008436CD">
                <w:pPr>
                  <w:autoSpaceDE w:val="0"/>
                  <w:autoSpaceDN w:val="0"/>
                  <w:adjustRightInd w:val="0"/>
                  <w:snapToGrid w:val="0"/>
                  <w:jc w:val="right"/>
                  <w:rPr>
                    <w:szCs w:val="21"/>
                  </w:rPr>
                </w:pPr>
                <w:r>
                  <w:t>11,041,491,504</w:t>
                </w:r>
              </w:p>
            </w:tc>
            <w:tc>
              <w:tcPr>
                <w:tcW w:w="1628" w:type="pct"/>
                <w:vAlign w:val="center"/>
              </w:tcPr>
              <w:p w:rsidR="007B5352" w:rsidRDefault="007B5352" w:rsidP="007B5352">
                <w:pPr>
                  <w:jc w:val="right"/>
                  <w:rPr>
                    <w:szCs w:val="21"/>
                  </w:rPr>
                </w:pPr>
                <w:r>
                  <w:t>11,822,164,008</w:t>
                </w:r>
              </w:p>
            </w:tc>
          </w:tr>
        </w:tbl>
        <w:p w:rsidR="00806678" w:rsidRDefault="00B16377">
          <w:pPr>
            <w:snapToGrid w:val="0"/>
            <w:spacing w:before="60" w:after="60" w:line="240" w:lineRule="atLeast"/>
            <w:rPr>
              <w:szCs w:val="21"/>
            </w:rPr>
          </w:pPr>
          <w:r>
            <w:rPr>
              <w:rFonts w:hint="eastAsia"/>
              <w:szCs w:val="21"/>
            </w:rPr>
            <w:t>长期借款分类的说明：</w:t>
          </w:r>
        </w:p>
        <w:sdt>
          <w:sdtPr>
            <w:rPr>
              <w:szCs w:val="21"/>
            </w:rPr>
            <w:alias w:val="长期借款分类的说明"/>
            <w:tag w:val="_GBC_b89f86a2a8054eb2892900c86ecbdcb3"/>
            <w:id w:val="1146159055"/>
            <w:lock w:val="sdtLocked"/>
            <w:placeholder>
              <w:docPart w:val="GBC22222222222222222222222222222"/>
            </w:placeholder>
          </w:sdtPr>
          <w:sdtContent>
            <w:p w:rsidR="00806678" w:rsidRDefault="007B5352">
              <w:pPr>
                <w:snapToGrid w:val="0"/>
                <w:rPr>
                  <w:rFonts w:cstheme="minorBidi"/>
                  <w:color w:val="000000" w:themeColor="text1"/>
                  <w:kern w:val="2"/>
                  <w:szCs w:val="21"/>
                </w:rPr>
              </w:pPr>
              <w:r>
                <w:rPr>
                  <w:rFonts w:hint="eastAsia"/>
                  <w:szCs w:val="21"/>
                </w:rPr>
                <w:t>无</w:t>
              </w:r>
            </w:p>
          </w:sdtContent>
        </w:sdt>
      </w:sdtContent>
    </w:sdt>
    <w:p w:rsidR="00806678" w:rsidRDefault="00806678">
      <w:pPr>
        <w:snapToGrid w:val="0"/>
        <w:rPr>
          <w:rFonts w:cstheme="minorBidi"/>
          <w:color w:val="000000" w:themeColor="text1"/>
          <w:kern w:val="2"/>
          <w:szCs w:val="21"/>
        </w:rPr>
      </w:pPr>
    </w:p>
    <w:sdt>
      <w:sdtPr>
        <w:rPr>
          <w:rFonts w:hint="eastAsia"/>
          <w:color w:val="000000" w:themeColor="text1"/>
          <w:szCs w:val="21"/>
        </w:rPr>
        <w:alias w:val="模块:长期借款的说明"/>
        <w:tag w:val="_SEC_b151024fbb7f40ea95abd833b296ecf2"/>
        <w:id w:val="319239810"/>
        <w:lock w:val="sdtLocked"/>
        <w:placeholder>
          <w:docPart w:val="GBC22222222222222222222222222222"/>
        </w:placeholder>
      </w:sdtPr>
      <w:sdtEndPr>
        <w:rPr>
          <w:rFonts w:hint="default"/>
          <w:color w:val="auto"/>
        </w:rPr>
      </w:sdtEndPr>
      <w:sdtContent>
        <w:p w:rsidR="00806678" w:rsidRDefault="00B16377">
          <w:pPr>
            <w:snapToGrid w:val="0"/>
            <w:rPr>
              <w:color w:val="000000" w:themeColor="text1"/>
              <w:szCs w:val="21"/>
            </w:rPr>
          </w:pPr>
          <w:r>
            <w:rPr>
              <w:rFonts w:hint="eastAsia"/>
              <w:color w:val="000000" w:themeColor="text1"/>
              <w:szCs w:val="21"/>
            </w:rPr>
            <w:t>其他说明，包括利率区间：</w:t>
          </w:r>
        </w:p>
        <w:sdt>
          <w:sdtPr>
            <w:rPr>
              <w:color w:val="000000" w:themeColor="text1"/>
              <w:szCs w:val="21"/>
            </w:rPr>
            <w:alias w:val="是否适用：长期借款的说明[双击切换]"/>
            <w:tag w:val="_GBC_81b19a673078421a910ba8721333fbbe"/>
            <w:id w:val="286404491"/>
            <w:lock w:val="sdtLocked"/>
            <w:placeholder>
              <w:docPart w:val="GBC22222222222222222222222222222"/>
            </w:placeholder>
          </w:sdtPr>
          <w:sdtContent>
            <w:p w:rsidR="007B5352" w:rsidRDefault="00F80B6C">
              <w:pPr>
                <w:snapToGrid w:val="0"/>
                <w:rPr>
                  <w:color w:val="000000" w:themeColor="text1"/>
                  <w:szCs w:val="21"/>
                </w:rPr>
              </w:pPr>
              <w:r>
                <w:rPr>
                  <w:color w:val="000000" w:themeColor="text1"/>
                  <w:szCs w:val="21"/>
                </w:rPr>
                <w:fldChar w:fldCharType="begin"/>
              </w:r>
              <w:r w:rsidR="007B5352">
                <w:rPr>
                  <w:color w:val="000000" w:themeColor="text1"/>
                  <w:szCs w:val="21"/>
                </w:rPr>
                <w:instrText xml:space="preserve">MACROBUTTON  SnrToggleCheckbox √适用 </w:instrText>
              </w:r>
              <w:r>
                <w:rPr>
                  <w:color w:val="000000" w:themeColor="text1"/>
                  <w:szCs w:val="21"/>
                </w:rPr>
                <w:fldChar w:fldCharType="end"/>
              </w:r>
              <w:r>
                <w:rPr>
                  <w:color w:val="000000" w:themeColor="text1"/>
                  <w:szCs w:val="21"/>
                </w:rPr>
                <w:fldChar w:fldCharType="begin"/>
              </w:r>
              <w:r w:rsidR="007B5352">
                <w:rPr>
                  <w:color w:val="000000" w:themeColor="text1"/>
                  <w:szCs w:val="21"/>
                </w:rPr>
                <w:instrText xml:space="preserve"> MACROBUTTON  SnrToggleCheckbox □不适用 </w:instrText>
              </w:r>
              <w:r>
                <w:rPr>
                  <w:color w:val="000000" w:themeColor="text1"/>
                  <w:szCs w:val="21"/>
                </w:rPr>
                <w:fldChar w:fldCharType="end"/>
              </w:r>
            </w:p>
            <w:p w:rsidR="00806678" w:rsidRDefault="00F80B6C">
              <w:pPr>
                <w:snapToGrid w:val="0"/>
                <w:rPr>
                  <w:color w:val="000000" w:themeColor="text1"/>
                  <w:szCs w:val="21"/>
                </w:rPr>
              </w:pPr>
            </w:p>
          </w:sdtContent>
        </w:sdt>
        <w:p w:rsidR="00806678" w:rsidRDefault="00F80B6C">
          <w:pPr>
            <w:snapToGrid w:val="0"/>
            <w:rPr>
              <w:szCs w:val="21"/>
            </w:rPr>
          </w:pPr>
          <w:sdt>
            <w:sdtPr>
              <w:rPr>
                <w:szCs w:val="21"/>
              </w:rPr>
              <w:alias w:val="长期借款的说明"/>
              <w:tag w:val="_GBC_5848bb69eab4491191dfd1df2d6dde23"/>
              <w:id w:val="278838045"/>
              <w:lock w:val="sdtLocked"/>
              <w:placeholder>
                <w:docPart w:val="GBC22222222222222222222222222222"/>
              </w:placeholder>
            </w:sdtPr>
            <w:sdtContent>
              <w:r w:rsidR="007B5352" w:rsidRPr="007B5352">
                <w:rPr>
                  <w:rFonts w:hint="eastAsia"/>
                  <w:szCs w:val="21"/>
                </w:rPr>
                <w:t>于</w:t>
              </w:r>
              <w:r w:rsidR="007B5352" w:rsidRPr="007B5352">
                <w:rPr>
                  <w:szCs w:val="21"/>
                </w:rPr>
                <w:t>2022年12月31日，长期借款的利率区间为2.90% ~ 3.96% (2021年12月31日：长期借款的利率区间为3.60% ~ 4.31%) 。</w:t>
              </w:r>
            </w:sdtContent>
          </w:sdt>
        </w:p>
      </w:sdtContent>
    </w:sdt>
    <w:p w:rsidR="00806678" w:rsidRDefault="00806678">
      <w:pPr>
        <w:rPr>
          <w:szCs w:val="21"/>
        </w:rPr>
      </w:pPr>
    </w:p>
    <w:p w:rsidR="00806678" w:rsidRDefault="00B16377" w:rsidP="00FF17C7">
      <w:pPr>
        <w:pStyle w:val="3"/>
        <w:numPr>
          <w:ilvl w:val="0"/>
          <w:numId w:val="18"/>
        </w:numPr>
        <w:tabs>
          <w:tab w:val="left" w:pos="504"/>
        </w:tabs>
        <w:rPr>
          <w:rFonts w:ascii="宋体" w:hAnsi="宋体"/>
          <w:szCs w:val="21"/>
        </w:rPr>
      </w:pPr>
      <w:r>
        <w:rPr>
          <w:rFonts w:ascii="宋体" w:hAnsi="宋体" w:hint="eastAsia"/>
          <w:szCs w:val="21"/>
        </w:rPr>
        <w:t>应付债券</w:t>
      </w:r>
    </w:p>
    <w:sdt>
      <w:sdtPr>
        <w:rPr>
          <w:rFonts w:ascii="宋体" w:eastAsia="宋体" w:hAnsi="宋体" w:cs="宋体" w:hint="eastAsia"/>
          <w:b w:val="0"/>
          <w:bCs w:val="0"/>
          <w:kern w:val="0"/>
          <w:szCs w:val="24"/>
        </w:rPr>
        <w:alias w:val="模块:应付债券"/>
        <w:tag w:val="_SEC_9fc1d89fd58b4dd7a11252f59005bfc6"/>
        <w:id w:val="-718675015"/>
        <w:lock w:val="sdtLocked"/>
        <w:placeholder>
          <w:docPart w:val="GBC22222222222222222222222222222"/>
        </w:placeholder>
      </w:sdtPr>
      <w:sdtContent>
        <w:p w:rsidR="00806678" w:rsidRDefault="00B16377" w:rsidP="00FF17C7">
          <w:pPr>
            <w:pStyle w:val="4"/>
            <w:numPr>
              <w:ilvl w:val="0"/>
              <w:numId w:val="19"/>
            </w:numPr>
            <w:ind w:left="426" w:hanging="426"/>
          </w:pPr>
          <w:r>
            <w:rPr>
              <w:rFonts w:hint="eastAsia"/>
            </w:rPr>
            <w:t>应付债券</w:t>
          </w:r>
        </w:p>
        <w:sdt>
          <w:sdtPr>
            <w:alias w:val="是否适用：应付债券[双击切换]"/>
            <w:tag w:val="_GBC_645b020b25af4284b8eff88f14f8c5c2"/>
            <w:id w:val="434256223"/>
            <w:lock w:val="sdtLocked"/>
            <w:placeholder>
              <w:docPart w:val="GBC22222222222222222222222222222"/>
            </w:placeholder>
          </w:sdtPr>
          <w:sdtContent>
            <w:p w:rsidR="00806678" w:rsidRDefault="00F80B6C">
              <w:r>
                <w:fldChar w:fldCharType="begin"/>
              </w:r>
              <w:r w:rsidR="009C54D9">
                <w:instrText xml:space="preserve">MACROBUTTON  SnrToggleCheckbox √适用 </w:instrText>
              </w:r>
              <w:r>
                <w:fldChar w:fldCharType="end"/>
              </w:r>
              <w:r>
                <w:fldChar w:fldCharType="begin"/>
              </w:r>
              <w:r w:rsidR="009C54D9">
                <w:instrText xml:space="preserve"> MACROBUTTON  SnrToggleCheckbox □不适用 </w:instrText>
              </w:r>
              <w:r>
                <w:fldChar w:fldCharType="end"/>
              </w:r>
            </w:p>
          </w:sdtContent>
        </w:sdt>
        <w:p w:rsidR="00806678" w:rsidRDefault="00B16377">
          <w:pPr>
            <w:jc w:val="right"/>
          </w:pPr>
          <w:r>
            <w:rPr>
              <w:rFonts w:hint="eastAsia"/>
            </w:rPr>
            <w:t>单位：</w:t>
          </w:r>
          <w:sdt>
            <w:sdtPr>
              <w:rPr>
                <w:rFonts w:hint="eastAsia"/>
              </w:rPr>
              <w:alias w:val="单位：财务附注：应付债券"/>
              <w:tag w:val="_GBC_57b3a408d4a84bb0a330d1831f7c6f29"/>
              <w:id w:val="51958858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应付债券"/>
              <w:tag w:val="_GBC_058298e5284a4aa58bf3ef0038f20732"/>
              <w:id w:val="-21041897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3055"/>
            <w:gridCol w:w="3078"/>
            <w:gridCol w:w="2926"/>
          </w:tblGrid>
          <w:tr w:rsidR="005676FC" w:rsidTr="00601D47">
            <w:trPr>
              <w:cantSplit/>
              <w:trHeight w:val="252"/>
            </w:trPr>
            <w:sdt>
              <w:sdtPr>
                <w:tag w:val="_PLD_b1ab73cce61a4f81a37c70a551b42047"/>
                <w:id w:val="1054046403"/>
                <w:lock w:val="sdtLocked"/>
              </w:sdtPr>
              <w:sdtContent>
                <w:tc>
                  <w:tcPr>
                    <w:tcW w:w="1686" w:type="pct"/>
                    <w:shd w:val="clear" w:color="auto" w:fill="auto"/>
                  </w:tcPr>
                  <w:p w:rsidR="005676FC" w:rsidRDefault="005676FC" w:rsidP="00601D47">
                    <w:pPr>
                      <w:jc w:val="center"/>
                    </w:pPr>
                    <w:r>
                      <w:rPr>
                        <w:rFonts w:hint="eastAsia"/>
                      </w:rPr>
                      <w:t>项目</w:t>
                    </w:r>
                  </w:p>
                </w:tc>
              </w:sdtContent>
            </w:sdt>
            <w:sdt>
              <w:sdtPr>
                <w:tag w:val="_PLD_3d8bcc7ecd3e4fd5ad328c296fbe1164"/>
                <w:id w:val="915827412"/>
                <w:lock w:val="sdtLocked"/>
              </w:sdtPr>
              <w:sdtContent>
                <w:tc>
                  <w:tcPr>
                    <w:tcW w:w="1699" w:type="pct"/>
                    <w:shd w:val="clear" w:color="auto" w:fill="auto"/>
                  </w:tcPr>
                  <w:p w:rsidR="005676FC" w:rsidRDefault="005676FC" w:rsidP="00601D47">
                    <w:pPr>
                      <w:adjustRightInd w:val="0"/>
                      <w:snapToGrid w:val="0"/>
                      <w:ind w:leftChars="-2" w:left="-2" w:rightChars="9" w:right="19" w:hangingChars="1" w:hanging="2"/>
                      <w:jc w:val="center"/>
                      <w:rPr>
                        <w:b/>
                        <w:szCs w:val="21"/>
                      </w:rPr>
                    </w:pPr>
                    <w:r>
                      <w:rPr>
                        <w:rFonts w:hint="eastAsia"/>
                        <w:szCs w:val="21"/>
                      </w:rPr>
                      <w:t>期末余额</w:t>
                    </w:r>
                  </w:p>
                </w:tc>
              </w:sdtContent>
            </w:sdt>
            <w:sdt>
              <w:sdtPr>
                <w:tag w:val="_PLD_82ec823678804bd3ba2932976400cc89"/>
                <w:id w:val="-1558392814"/>
                <w:lock w:val="sdtLocked"/>
              </w:sdtPr>
              <w:sdtContent>
                <w:tc>
                  <w:tcPr>
                    <w:tcW w:w="1615" w:type="pct"/>
                    <w:shd w:val="clear" w:color="auto" w:fill="auto"/>
                  </w:tcPr>
                  <w:p w:rsidR="005676FC" w:rsidRDefault="005676FC" w:rsidP="00601D47">
                    <w:pPr>
                      <w:adjustRightInd w:val="0"/>
                      <w:snapToGrid w:val="0"/>
                      <w:ind w:leftChars="-2" w:left="-2" w:rightChars="9" w:right="19" w:hangingChars="1" w:hanging="2"/>
                      <w:jc w:val="center"/>
                      <w:rPr>
                        <w:szCs w:val="21"/>
                      </w:rPr>
                    </w:pPr>
                    <w:r>
                      <w:rPr>
                        <w:rFonts w:hint="eastAsia"/>
                        <w:szCs w:val="21"/>
                      </w:rPr>
                      <w:t>期初余额</w:t>
                    </w:r>
                  </w:p>
                </w:tc>
              </w:sdtContent>
            </w:sdt>
          </w:tr>
          <w:sdt>
            <w:sdtPr>
              <w:alias w:val="应付债券情况明细"/>
              <w:tag w:val="_TUP_891a694944f845269d9b162162205fbd"/>
              <w:id w:val="-1305771566"/>
              <w:lock w:val="sdtLocked"/>
            </w:sdtPr>
            <w:sdtEndPr>
              <w:rPr>
                <w:rFonts w:hint="eastAsia"/>
              </w:rPr>
            </w:sdtEndPr>
            <w:sdtContent>
              <w:tr w:rsidR="005676FC" w:rsidTr="00601D47">
                <w:trPr>
                  <w:cantSplit/>
                </w:trPr>
                <w:tc>
                  <w:tcPr>
                    <w:tcW w:w="1686" w:type="pct"/>
                    <w:shd w:val="clear" w:color="auto" w:fill="auto"/>
                  </w:tcPr>
                  <w:p w:rsidR="005676FC" w:rsidRDefault="005676FC" w:rsidP="00601D47">
                    <w:r>
                      <w:t>可转换公司债券</w:t>
                    </w:r>
                  </w:p>
                </w:tc>
                <w:tc>
                  <w:tcPr>
                    <w:tcW w:w="1699" w:type="pct"/>
                    <w:shd w:val="clear" w:color="auto" w:fill="auto"/>
                  </w:tcPr>
                  <w:p w:rsidR="005676FC" w:rsidRDefault="005676FC" w:rsidP="00601D47">
                    <w:pPr>
                      <w:jc w:val="right"/>
                    </w:pPr>
                    <w:r>
                      <w:t>30,242,080,992</w:t>
                    </w:r>
                  </w:p>
                </w:tc>
                <w:tc>
                  <w:tcPr>
                    <w:tcW w:w="1615" w:type="pct"/>
                    <w:shd w:val="clear" w:color="auto" w:fill="auto"/>
                  </w:tcPr>
                  <w:p w:rsidR="005676FC" w:rsidRDefault="005676FC" w:rsidP="00601D47">
                    <w:pPr>
                      <w:jc w:val="right"/>
                    </w:pPr>
                    <w:r>
                      <w:t>29,577,474,953</w:t>
                    </w:r>
                  </w:p>
                </w:tc>
              </w:tr>
            </w:sdtContent>
          </w:sdt>
          <w:sdt>
            <w:sdtPr>
              <w:alias w:val="应付债券情况明细"/>
              <w:tag w:val="_TUP_891a694944f845269d9b162162205fbd"/>
              <w:id w:val="-1101331044"/>
              <w:lock w:val="sdtLocked"/>
            </w:sdtPr>
            <w:sdtEndPr>
              <w:rPr>
                <w:rFonts w:hint="eastAsia"/>
              </w:rPr>
            </w:sdtEndPr>
            <w:sdtContent>
              <w:tr w:rsidR="005676FC" w:rsidTr="00601D47">
                <w:trPr>
                  <w:cantSplit/>
                </w:trPr>
                <w:tc>
                  <w:tcPr>
                    <w:tcW w:w="1686" w:type="pct"/>
                    <w:shd w:val="clear" w:color="auto" w:fill="auto"/>
                  </w:tcPr>
                  <w:p w:rsidR="005676FC" w:rsidRDefault="005676FC" w:rsidP="00601D47">
                    <w:r>
                      <w:t>减：一年内到期的应付债券</w:t>
                    </w:r>
                  </w:p>
                </w:tc>
                <w:tc>
                  <w:tcPr>
                    <w:tcW w:w="1699" w:type="pct"/>
                    <w:shd w:val="clear" w:color="auto" w:fill="auto"/>
                  </w:tcPr>
                  <w:p w:rsidR="005676FC" w:rsidRDefault="005676FC" w:rsidP="00601D47">
                    <w:pPr>
                      <w:jc w:val="right"/>
                    </w:pPr>
                    <w:r>
                      <w:t>14,903,579</w:t>
                    </w:r>
                  </w:p>
                </w:tc>
                <w:tc>
                  <w:tcPr>
                    <w:tcW w:w="1615" w:type="pct"/>
                    <w:shd w:val="clear" w:color="auto" w:fill="auto"/>
                  </w:tcPr>
                  <w:p w:rsidR="005676FC" w:rsidRDefault="005676FC" w:rsidP="00601D47">
                    <w:pPr>
                      <w:jc w:val="right"/>
                    </w:pPr>
                    <w:r>
                      <w:t>7,451,861</w:t>
                    </w:r>
                  </w:p>
                </w:tc>
              </w:tr>
            </w:sdtContent>
          </w:sdt>
          <w:tr w:rsidR="005676FC" w:rsidTr="00601D47">
            <w:trPr>
              <w:cantSplit/>
            </w:trPr>
            <w:sdt>
              <w:sdtPr>
                <w:tag w:val="_PLD_994687a6f10f4e6fab953d39f76d4054"/>
                <w:id w:val="-1952304823"/>
                <w:lock w:val="sdtLocked"/>
              </w:sdtPr>
              <w:sdtContent>
                <w:tc>
                  <w:tcPr>
                    <w:tcW w:w="1686" w:type="pct"/>
                    <w:shd w:val="clear" w:color="auto" w:fill="auto"/>
                  </w:tcPr>
                  <w:p w:rsidR="005676FC" w:rsidRDefault="005676FC" w:rsidP="005676FC">
                    <w:pPr>
                      <w:jc w:val="center"/>
                    </w:pPr>
                    <w:r>
                      <w:rPr>
                        <w:rFonts w:hint="eastAsia"/>
                      </w:rPr>
                      <w:t>合计</w:t>
                    </w:r>
                  </w:p>
                </w:tc>
              </w:sdtContent>
            </w:sdt>
            <w:tc>
              <w:tcPr>
                <w:tcW w:w="1699" w:type="pct"/>
                <w:shd w:val="clear" w:color="auto" w:fill="auto"/>
                <w:vAlign w:val="center"/>
              </w:tcPr>
              <w:p w:rsidR="005676FC" w:rsidRDefault="005676FC" w:rsidP="005676FC">
                <w:pPr>
                  <w:jc w:val="right"/>
                </w:pPr>
                <w:r>
                  <w:t>30,227,177,413</w:t>
                </w:r>
              </w:p>
            </w:tc>
            <w:tc>
              <w:tcPr>
                <w:tcW w:w="1615" w:type="pct"/>
                <w:shd w:val="clear" w:color="auto" w:fill="auto"/>
                <w:vAlign w:val="center"/>
              </w:tcPr>
              <w:p w:rsidR="005676FC" w:rsidRDefault="005676FC" w:rsidP="005676FC">
                <w:pPr>
                  <w:jc w:val="right"/>
                </w:pPr>
                <w:r>
                  <w:t>29,570,023,092</w:t>
                </w:r>
              </w:p>
            </w:tc>
          </w:tr>
        </w:tbl>
        <w:p w:rsidR="00806678" w:rsidRDefault="00F80B6C"/>
      </w:sdtContent>
    </w:sdt>
    <w:sdt>
      <w:sdtPr>
        <w:rPr>
          <w:rFonts w:asciiTheme="minorHAnsi" w:eastAsia="宋体" w:hAnsiTheme="minorHAnsi" w:cstheme="minorBidi"/>
          <w:b w:val="0"/>
          <w:bCs w:val="0"/>
          <w:kern w:val="0"/>
          <w:szCs w:val="22"/>
        </w:rPr>
        <w:alias w:val="模块:应付债券的增减变动"/>
        <w:tag w:val="_SEC_bd8994c3194244c3a4761d3ba9630357"/>
        <w:id w:val="-564567974"/>
        <w:lock w:val="sdtLocked"/>
        <w:placeholder>
          <w:docPart w:val="GBC22222222222222222222222222222"/>
        </w:placeholder>
      </w:sdtPr>
      <w:sdtEndPr>
        <w:rPr>
          <w:rFonts w:ascii="宋体" w:hAnsi="宋体" w:hint="eastAsia"/>
          <w:color w:val="000000" w:themeColor="text1"/>
          <w:szCs w:val="21"/>
        </w:rPr>
      </w:sdtEndPr>
      <w:sdtContent>
        <w:p w:rsidR="00806678" w:rsidRDefault="00B16377" w:rsidP="00FF17C7">
          <w:pPr>
            <w:pStyle w:val="4"/>
            <w:numPr>
              <w:ilvl w:val="0"/>
              <w:numId w:val="19"/>
            </w:numPr>
            <w:ind w:left="426" w:hanging="426"/>
          </w:pPr>
          <w:r>
            <w:t>应付债券的增减变动</w:t>
          </w:r>
          <w:r>
            <w:rPr>
              <w:rFonts w:hint="eastAsia"/>
            </w:rPr>
            <w:t>：（不包括划分为金融负债的优先股、永续债等其他金融工具）</w:t>
          </w:r>
        </w:p>
        <w:sdt>
          <w:sdtPr>
            <w:alias w:val="是否适用：应付债券的增减变动[双击切换]"/>
            <w:tag w:val="_GBC_a682f35f6b7c4d8b840f80705a81f19c"/>
            <w:id w:val="1440478961"/>
            <w:lock w:val="sdtLocked"/>
            <w:placeholder>
              <w:docPart w:val="GBC22222222222222222222222222222"/>
            </w:placeholder>
          </w:sdtPr>
          <w:sdtContent>
            <w:p w:rsidR="00806678" w:rsidRDefault="00F80B6C">
              <w:r>
                <w:fldChar w:fldCharType="begin"/>
              </w:r>
              <w:r w:rsidR="005676FC">
                <w:instrText xml:space="preserve">MACROBUTTON  SnrToggleCheckbox √适用 </w:instrText>
              </w:r>
              <w:r>
                <w:fldChar w:fldCharType="end"/>
              </w:r>
              <w:r>
                <w:fldChar w:fldCharType="begin"/>
              </w:r>
              <w:r w:rsidR="005676FC">
                <w:instrText xml:space="preserve"> MACROBUTTON  SnrToggleCheckbox □不适用 </w:instrText>
              </w:r>
              <w:r>
                <w:fldChar w:fldCharType="end"/>
              </w:r>
            </w:p>
          </w:sdtContent>
        </w:sdt>
        <w:p w:rsidR="00806678" w:rsidRDefault="00B16377">
          <w:pPr>
            <w:jc w:val="right"/>
          </w:pPr>
          <w:r>
            <w:rPr>
              <w:rFonts w:hint="eastAsia"/>
            </w:rPr>
            <w:t>单位：</w:t>
          </w:r>
          <w:sdt>
            <w:sdtPr>
              <w:rPr>
                <w:rFonts w:hint="eastAsia"/>
              </w:rPr>
              <w:alias w:val="单位：财务附注：应付债券的增减变动"/>
              <w:tag w:val="_GBC_221366b8136447aca9359e6115acb07a"/>
              <w:id w:val="-128981130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应付债券的增减变动"/>
              <w:tag w:val="_GBC_ab4475cd02fd49449e15ccf7e0fadc42"/>
              <w:id w:val="-95849368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555" w:type="pct"/>
            <w:tblInd w:w="-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851"/>
            <w:gridCol w:w="459"/>
            <w:gridCol w:w="1037"/>
            <w:gridCol w:w="688"/>
            <w:gridCol w:w="926"/>
            <w:gridCol w:w="926"/>
            <w:gridCol w:w="632"/>
            <w:gridCol w:w="1065"/>
            <w:gridCol w:w="900"/>
            <w:gridCol w:w="745"/>
            <w:gridCol w:w="898"/>
            <w:gridCol w:w="938"/>
          </w:tblGrid>
          <w:tr w:rsidR="003344B4" w:rsidTr="003344B4">
            <w:trPr>
              <w:cantSplit/>
              <w:trHeight w:val="590"/>
            </w:trPr>
            <w:sdt>
              <w:sdtPr>
                <w:rPr>
                  <w:sz w:val="10"/>
                  <w:szCs w:val="10"/>
                </w:rPr>
                <w:tag w:val="_PLD_e802e0473fe74b70b94a2bc1ff9e6120"/>
                <w:id w:val="-1926640491"/>
                <w:lock w:val="sdtLocked"/>
              </w:sdtPr>
              <w:sdtContent>
                <w:tc>
                  <w:tcPr>
                    <w:tcW w:w="423" w:type="pct"/>
                    <w:shd w:val="clear" w:color="auto" w:fill="auto"/>
                    <w:vAlign w:val="center"/>
                  </w:tcPr>
                  <w:p w:rsidR="00907F69" w:rsidRPr="008414EA" w:rsidRDefault="00907F69" w:rsidP="00326B19">
                    <w:pPr>
                      <w:jc w:val="center"/>
                      <w:rPr>
                        <w:sz w:val="10"/>
                        <w:szCs w:val="10"/>
                      </w:rPr>
                    </w:pPr>
                    <w:r w:rsidRPr="008414EA">
                      <w:rPr>
                        <w:rFonts w:hint="eastAsia"/>
                        <w:sz w:val="10"/>
                        <w:szCs w:val="10"/>
                      </w:rPr>
                      <w:t>债券名称</w:t>
                    </w:r>
                  </w:p>
                </w:tc>
              </w:sdtContent>
            </w:sdt>
            <w:sdt>
              <w:sdtPr>
                <w:rPr>
                  <w:sz w:val="10"/>
                  <w:szCs w:val="10"/>
                </w:rPr>
                <w:tag w:val="_PLD_3305820c0a7b4304abdad6fc20766aa3"/>
                <w:id w:val="-577670635"/>
                <w:lock w:val="sdtLocked"/>
              </w:sdtPr>
              <w:sdtContent>
                <w:tc>
                  <w:tcPr>
                    <w:tcW w:w="228" w:type="pct"/>
                    <w:shd w:val="clear" w:color="auto" w:fill="auto"/>
                    <w:vAlign w:val="center"/>
                  </w:tcPr>
                  <w:p w:rsidR="00907F69" w:rsidRPr="008414EA" w:rsidRDefault="00907F69" w:rsidP="00326B19">
                    <w:pPr>
                      <w:jc w:val="center"/>
                      <w:rPr>
                        <w:sz w:val="10"/>
                        <w:szCs w:val="10"/>
                      </w:rPr>
                    </w:pPr>
                    <w:r w:rsidRPr="008414EA">
                      <w:rPr>
                        <w:rFonts w:hint="eastAsia"/>
                        <w:sz w:val="10"/>
                        <w:szCs w:val="10"/>
                      </w:rPr>
                      <w:t>面值</w:t>
                    </w:r>
                  </w:p>
                </w:tc>
              </w:sdtContent>
            </w:sdt>
            <w:sdt>
              <w:sdtPr>
                <w:rPr>
                  <w:sz w:val="10"/>
                  <w:szCs w:val="10"/>
                </w:rPr>
                <w:tag w:val="_PLD_ee6ba2e107ad4013b8b8d3efeae50c26"/>
                <w:id w:val="-338630746"/>
                <w:lock w:val="sdtLocked"/>
              </w:sdtPr>
              <w:sdtContent>
                <w:tc>
                  <w:tcPr>
                    <w:tcW w:w="515" w:type="pct"/>
                    <w:shd w:val="clear" w:color="auto" w:fill="auto"/>
                    <w:vAlign w:val="center"/>
                  </w:tcPr>
                  <w:p w:rsidR="00907F69" w:rsidRPr="008414EA" w:rsidRDefault="00907F69" w:rsidP="00326B19">
                    <w:pPr>
                      <w:jc w:val="center"/>
                      <w:rPr>
                        <w:sz w:val="10"/>
                        <w:szCs w:val="10"/>
                      </w:rPr>
                    </w:pPr>
                    <w:r w:rsidRPr="008414EA">
                      <w:rPr>
                        <w:rFonts w:hint="eastAsia"/>
                        <w:sz w:val="10"/>
                        <w:szCs w:val="10"/>
                      </w:rPr>
                      <w:t>发行日期</w:t>
                    </w:r>
                  </w:p>
                </w:tc>
              </w:sdtContent>
            </w:sdt>
            <w:sdt>
              <w:sdtPr>
                <w:rPr>
                  <w:sz w:val="10"/>
                  <w:szCs w:val="10"/>
                </w:rPr>
                <w:tag w:val="_PLD_124bbea948a54d48a0375b121ca28abc"/>
                <w:id w:val="1145550232"/>
                <w:lock w:val="sdtLocked"/>
              </w:sdtPr>
              <w:sdtContent>
                <w:tc>
                  <w:tcPr>
                    <w:tcW w:w="342" w:type="pct"/>
                    <w:shd w:val="clear" w:color="auto" w:fill="auto"/>
                    <w:vAlign w:val="center"/>
                  </w:tcPr>
                  <w:p w:rsidR="00907F69" w:rsidRPr="008414EA" w:rsidRDefault="00907F69" w:rsidP="00326B19">
                    <w:pPr>
                      <w:jc w:val="center"/>
                      <w:rPr>
                        <w:sz w:val="10"/>
                        <w:szCs w:val="10"/>
                      </w:rPr>
                    </w:pPr>
                    <w:r w:rsidRPr="008414EA">
                      <w:rPr>
                        <w:rFonts w:hint="eastAsia"/>
                        <w:sz w:val="10"/>
                        <w:szCs w:val="10"/>
                      </w:rPr>
                      <w:t>债券期限</w:t>
                    </w:r>
                  </w:p>
                </w:tc>
              </w:sdtContent>
            </w:sdt>
            <w:sdt>
              <w:sdtPr>
                <w:rPr>
                  <w:sz w:val="10"/>
                  <w:szCs w:val="10"/>
                </w:rPr>
                <w:tag w:val="_PLD_7049ab93920145468e81fe6c529385fb"/>
                <w:id w:val="-377088559"/>
                <w:lock w:val="sdtLocked"/>
              </w:sdtPr>
              <w:sdtContent>
                <w:tc>
                  <w:tcPr>
                    <w:tcW w:w="460" w:type="pct"/>
                    <w:shd w:val="clear" w:color="auto" w:fill="auto"/>
                    <w:vAlign w:val="center"/>
                  </w:tcPr>
                  <w:p w:rsidR="00907F69" w:rsidRPr="008414EA" w:rsidRDefault="00907F69" w:rsidP="00326B19">
                    <w:pPr>
                      <w:jc w:val="center"/>
                      <w:rPr>
                        <w:sz w:val="10"/>
                        <w:szCs w:val="10"/>
                      </w:rPr>
                    </w:pPr>
                    <w:r w:rsidRPr="008414EA">
                      <w:rPr>
                        <w:rFonts w:hint="eastAsia"/>
                        <w:sz w:val="10"/>
                        <w:szCs w:val="10"/>
                      </w:rPr>
                      <w:t>发行金额</w:t>
                    </w:r>
                  </w:p>
                </w:tc>
              </w:sdtContent>
            </w:sdt>
            <w:sdt>
              <w:sdtPr>
                <w:rPr>
                  <w:sz w:val="10"/>
                  <w:szCs w:val="10"/>
                </w:rPr>
                <w:tag w:val="_PLD_38d9b1ec51834164a4568a000acee069"/>
                <w:id w:val="853303881"/>
                <w:lock w:val="sdtLocked"/>
              </w:sdtPr>
              <w:sdtContent>
                <w:tc>
                  <w:tcPr>
                    <w:tcW w:w="460" w:type="pct"/>
                    <w:shd w:val="clear" w:color="auto" w:fill="auto"/>
                    <w:vAlign w:val="center"/>
                  </w:tcPr>
                  <w:p w:rsidR="00907F69" w:rsidRPr="008414EA" w:rsidRDefault="00907F69" w:rsidP="00326B19">
                    <w:pPr>
                      <w:jc w:val="center"/>
                      <w:rPr>
                        <w:sz w:val="10"/>
                        <w:szCs w:val="10"/>
                      </w:rPr>
                    </w:pPr>
                    <w:r w:rsidRPr="008414EA">
                      <w:rPr>
                        <w:rFonts w:hint="eastAsia"/>
                        <w:sz w:val="10"/>
                        <w:szCs w:val="10"/>
                      </w:rPr>
                      <w:t>期初余额</w:t>
                    </w:r>
                  </w:p>
                </w:tc>
              </w:sdtContent>
            </w:sdt>
            <w:sdt>
              <w:sdtPr>
                <w:rPr>
                  <w:sz w:val="10"/>
                  <w:szCs w:val="10"/>
                </w:rPr>
                <w:tag w:val="_PLD_631bbacf370944efab46658f1d2b4f3d"/>
                <w:id w:val="-462356521"/>
                <w:lock w:val="sdtLocked"/>
              </w:sdtPr>
              <w:sdtContent>
                <w:tc>
                  <w:tcPr>
                    <w:tcW w:w="314" w:type="pct"/>
                    <w:shd w:val="clear" w:color="auto" w:fill="auto"/>
                    <w:vAlign w:val="center"/>
                  </w:tcPr>
                  <w:p w:rsidR="00907F69" w:rsidRPr="008414EA" w:rsidRDefault="00907F69" w:rsidP="00326B19">
                    <w:pPr>
                      <w:jc w:val="center"/>
                      <w:rPr>
                        <w:sz w:val="10"/>
                        <w:szCs w:val="10"/>
                      </w:rPr>
                    </w:pPr>
                    <w:r w:rsidRPr="008414EA">
                      <w:rPr>
                        <w:rFonts w:hint="eastAsia"/>
                        <w:sz w:val="10"/>
                        <w:szCs w:val="10"/>
                      </w:rPr>
                      <w:t>本期发行</w:t>
                    </w:r>
                  </w:p>
                </w:tc>
              </w:sdtContent>
            </w:sdt>
            <w:sdt>
              <w:sdtPr>
                <w:rPr>
                  <w:sz w:val="10"/>
                  <w:szCs w:val="10"/>
                </w:rPr>
                <w:tag w:val="_PLD_46ecadb6d93742c196106f528dc587fb"/>
                <w:id w:val="1284766745"/>
                <w:lock w:val="sdtLocked"/>
              </w:sdtPr>
              <w:sdtContent>
                <w:tc>
                  <w:tcPr>
                    <w:tcW w:w="529" w:type="pct"/>
                    <w:shd w:val="clear" w:color="auto" w:fill="auto"/>
                    <w:vAlign w:val="center"/>
                  </w:tcPr>
                  <w:p w:rsidR="00907F69" w:rsidRPr="008414EA" w:rsidRDefault="00907F69" w:rsidP="00326B19">
                    <w:pPr>
                      <w:jc w:val="center"/>
                      <w:rPr>
                        <w:sz w:val="10"/>
                        <w:szCs w:val="10"/>
                      </w:rPr>
                    </w:pPr>
                    <w:r w:rsidRPr="008414EA">
                      <w:rPr>
                        <w:rFonts w:hint="eastAsia"/>
                        <w:sz w:val="10"/>
                        <w:szCs w:val="10"/>
                      </w:rPr>
                      <w:t>按面值计提利息</w:t>
                    </w:r>
                  </w:p>
                </w:tc>
              </w:sdtContent>
            </w:sdt>
            <w:sdt>
              <w:sdtPr>
                <w:rPr>
                  <w:sz w:val="10"/>
                  <w:szCs w:val="10"/>
                </w:rPr>
                <w:tag w:val="_PLD_ae4bf5f0a7024d7494d06729dd783ba4"/>
                <w:id w:val="-1488549728"/>
                <w:lock w:val="sdtLocked"/>
              </w:sdtPr>
              <w:sdtContent>
                <w:tc>
                  <w:tcPr>
                    <w:tcW w:w="447" w:type="pct"/>
                    <w:shd w:val="clear" w:color="auto" w:fill="auto"/>
                    <w:vAlign w:val="center"/>
                  </w:tcPr>
                  <w:p w:rsidR="00907F69" w:rsidRPr="008414EA" w:rsidRDefault="00907F69" w:rsidP="00326B19">
                    <w:pPr>
                      <w:jc w:val="center"/>
                      <w:rPr>
                        <w:sz w:val="10"/>
                        <w:szCs w:val="10"/>
                      </w:rPr>
                    </w:pPr>
                    <w:r w:rsidRPr="008414EA">
                      <w:rPr>
                        <w:rFonts w:hint="eastAsia"/>
                        <w:sz w:val="10"/>
                        <w:szCs w:val="10"/>
                      </w:rPr>
                      <w:t>溢折价摊销</w:t>
                    </w:r>
                  </w:p>
                </w:tc>
              </w:sdtContent>
            </w:sdt>
            <w:tc>
              <w:tcPr>
                <w:tcW w:w="370" w:type="pct"/>
                <w:shd w:val="clear" w:color="auto" w:fill="auto"/>
                <w:vAlign w:val="center"/>
              </w:tcPr>
              <w:p w:rsidR="00907F69" w:rsidRPr="008414EA" w:rsidRDefault="00907F69" w:rsidP="00326B19">
                <w:pPr>
                  <w:jc w:val="center"/>
                  <w:rPr>
                    <w:sz w:val="10"/>
                    <w:szCs w:val="10"/>
                  </w:rPr>
                </w:pPr>
                <w:r w:rsidRPr="008414EA">
                  <w:rPr>
                    <w:rFonts w:hint="eastAsia"/>
                    <w:sz w:val="10"/>
                    <w:szCs w:val="10"/>
                  </w:rPr>
                  <w:t>本期转股</w:t>
                </w:r>
              </w:p>
            </w:tc>
            <w:sdt>
              <w:sdtPr>
                <w:rPr>
                  <w:sz w:val="10"/>
                  <w:szCs w:val="10"/>
                </w:rPr>
                <w:tag w:val="_PLD_4b5846bfb9664157a5fbfb5219160105"/>
                <w:id w:val="1365641834"/>
                <w:lock w:val="sdtLocked"/>
              </w:sdtPr>
              <w:sdtContent>
                <w:tc>
                  <w:tcPr>
                    <w:tcW w:w="446" w:type="pct"/>
                    <w:shd w:val="clear" w:color="auto" w:fill="auto"/>
                    <w:vAlign w:val="center"/>
                  </w:tcPr>
                  <w:p w:rsidR="00907F69" w:rsidRPr="008414EA" w:rsidRDefault="00907F69" w:rsidP="00326B19">
                    <w:pPr>
                      <w:jc w:val="center"/>
                      <w:rPr>
                        <w:sz w:val="10"/>
                        <w:szCs w:val="10"/>
                      </w:rPr>
                    </w:pPr>
                    <w:r w:rsidRPr="008414EA">
                      <w:rPr>
                        <w:rFonts w:hint="eastAsia"/>
                        <w:sz w:val="10"/>
                        <w:szCs w:val="10"/>
                      </w:rPr>
                      <w:t>本期偿还</w:t>
                    </w:r>
                  </w:p>
                </w:tc>
              </w:sdtContent>
            </w:sdt>
            <w:sdt>
              <w:sdtPr>
                <w:rPr>
                  <w:sz w:val="10"/>
                  <w:szCs w:val="10"/>
                </w:rPr>
                <w:tag w:val="_PLD_a12b5b0e009f4c31a176550ce24d537b"/>
                <w:id w:val="-920706051"/>
                <w:lock w:val="sdtLocked"/>
              </w:sdtPr>
              <w:sdtContent>
                <w:tc>
                  <w:tcPr>
                    <w:tcW w:w="468" w:type="pct"/>
                    <w:shd w:val="clear" w:color="auto" w:fill="auto"/>
                    <w:vAlign w:val="center"/>
                  </w:tcPr>
                  <w:p w:rsidR="00907F69" w:rsidRPr="008414EA" w:rsidRDefault="00907F69" w:rsidP="00326B19">
                    <w:pPr>
                      <w:jc w:val="center"/>
                      <w:rPr>
                        <w:sz w:val="10"/>
                        <w:szCs w:val="10"/>
                      </w:rPr>
                    </w:pPr>
                    <w:r w:rsidRPr="008414EA">
                      <w:rPr>
                        <w:rFonts w:hint="eastAsia"/>
                        <w:sz w:val="10"/>
                        <w:szCs w:val="10"/>
                      </w:rPr>
                      <w:t>期末余额</w:t>
                    </w:r>
                  </w:p>
                </w:tc>
              </w:sdtContent>
            </w:sdt>
          </w:tr>
          <w:sdt>
            <w:sdtPr>
              <w:rPr>
                <w:sz w:val="10"/>
                <w:szCs w:val="10"/>
              </w:rPr>
              <w:alias w:val="应付债券明细"/>
              <w:tag w:val="_TUP_483a6814da9c434391de215e945c94f6"/>
              <w:id w:val="-1847856947"/>
              <w:lock w:val="sdtLocked"/>
            </w:sdtPr>
            <w:sdtContent>
              <w:tr w:rsidR="003344B4" w:rsidTr="003344B4">
                <w:trPr>
                  <w:cantSplit/>
                  <w:trHeight w:val="266"/>
                </w:trPr>
                <w:tc>
                  <w:tcPr>
                    <w:tcW w:w="423" w:type="pct"/>
                    <w:shd w:val="clear" w:color="auto" w:fill="auto"/>
                  </w:tcPr>
                  <w:p w:rsidR="00907F69" w:rsidRPr="008414EA" w:rsidRDefault="00907F69" w:rsidP="003344B4">
                    <w:pPr>
                      <w:ind w:right="-162"/>
                      <w:rPr>
                        <w:sz w:val="10"/>
                        <w:szCs w:val="10"/>
                      </w:rPr>
                    </w:pPr>
                    <w:r w:rsidRPr="008414EA">
                      <w:rPr>
                        <w:sz w:val="10"/>
                        <w:szCs w:val="10"/>
                      </w:rPr>
                      <w:t>可转换公司债券</w:t>
                    </w:r>
                  </w:p>
                </w:tc>
                <w:tc>
                  <w:tcPr>
                    <w:tcW w:w="228" w:type="pct"/>
                    <w:shd w:val="clear" w:color="auto" w:fill="auto"/>
                  </w:tcPr>
                  <w:p w:rsidR="00907F69" w:rsidRPr="008414EA" w:rsidRDefault="00907F69" w:rsidP="00326B19">
                    <w:pPr>
                      <w:jc w:val="right"/>
                      <w:rPr>
                        <w:sz w:val="10"/>
                        <w:szCs w:val="10"/>
                      </w:rPr>
                    </w:pPr>
                    <w:r w:rsidRPr="008414EA">
                      <w:rPr>
                        <w:sz w:val="10"/>
                        <w:szCs w:val="10"/>
                      </w:rPr>
                      <w:t>100</w:t>
                    </w:r>
                  </w:p>
                </w:tc>
                <w:tc>
                  <w:tcPr>
                    <w:tcW w:w="515" w:type="pct"/>
                    <w:shd w:val="clear" w:color="auto" w:fill="auto"/>
                  </w:tcPr>
                  <w:p w:rsidR="00907F69" w:rsidRPr="008414EA" w:rsidRDefault="00907F69" w:rsidP="00326B19">
                    <w:pPr>
                      <w:jc w:val="right"/>
                      <w:rPr>
                        <w:sz w:val="10"/>
                        <w:szCs w:val="10"/>
                      </w:rPr>
                    </w:pPr>
                    <w:r w:rsidRPr="008414EA">
                      <w:rPr>
                        <w:sz w:val="10"/>
                        <w:szCs w:val="10"/>
                      </w:rPr>
                      <w:t>2020年12月14日</w:t>
                    </w:r>
                  </w:p>
                </w:tc>
                <w:tc>
                  <w:tcPr>
                    <w:tcW w:w="342" w:type="pct"/>
                    <w:shd w:val="clear" w:color="auto" w:fill="auto"/>
                  </w:tcPr>
                  <w:p w:rsidR="00907F69" w:rsidRPr="008414EA" w:rsidRDefault="00907F69" w:rsidP="00326B19">
                    <w:pPr>
                      <w:jc w:val="center"/>
                      <w:rPr>
                        <w:sz w:val="10"/>
                        <w:szCs w:val="10"/>
                      </w:rPr>
                    </w:pPr>
                    <w:r w:rsidRPr="008414EA">
                      <w:rPr>
                        <w:sz w:val="10"/>
                        <w:szCs w:val="10"/>
                      </w:rPr>
                      <w:t>6年</w:t>
                    </w:r>
                  </w:p>
                </w:tc>
                <w:tc>
                  <w:tcPr>
                    <w:tcW w:w="460" w:type="pct"/>
                    <w:shd w:val="clear" w:color="auto" w:fill="auto"/>
                  </w:tcPr>
                  <w:p w:rsidR="00907F69" w:rsidRPr="008414EA" w:rsidRDefault="00907F69" w:rsidP="00326B19">
                    <w:pPr>
                      <w:jc w:val="right"/>
                      <w:rPr>
                        <w:sz w:val="10"/>
                        <w:szCs w:val="10"/>
                      </w:rPr>
                    </w:pPr>
                    <w:r w:rsidRPr="008414EA">
                      <w:rPr>
                        <w:sz w:val="10"/>
                        <w:szCs w:val="10"/>
                      </w:rPr>
                      <w:t>32,000,000,000</w:t>
                    </w:r>
                  </w:p>
                </w:tc>
                <w:tc>
                  <w:tcPr>
                    <w:tcW w:w="460" w:type="pct"/>
                    <w:shd w:val="clear" w:color="auto" w:fill="auto"/>
                  </w:tcPr>
                  <w:p w:rsidR="00907F69" w:rsidRPr="008414EA" w:rsidRDefault="00907F69" w:rsidP="00326B19">
                    <w:pPr>
                      <w:jc w:val="right"/>
                      <w:rPr>
                        <w:sz w:val="10"/>
                        <w:szCs w:val="10"/>
                      </w:rPr>
                    </w:pPr>
                    <w:r w:rsidRPr="008414EA">
                      <w:rPr>
                        <w:sz w:val="10"/>
                        <w:szCs w:val="10"/>
                      </w:rPr>
                      <w:t>29,577,474,953</w:t>
                    </w:r>
                  </w:p>
                </w:tc>
                <w:tc>
                  <w:tcPr>
                    <w:tcW w:w="314" w:type="pct"/>
                    <w:shd w:val="clear" w:color="auto" w:fill="auto"/>
                  </w:tcPr>
                  <w:p w:rsidR="00907F69" w:rsidRPr="008414EA" w:rsidRDefault="00907F69" w:rsidP="00326B19">
                    <w:pPr>
                      <w:jc w:val="right"/>
                      <w:rPr>
                        <w:sz w:val="10"/>
                        <w:szCs w:val="10"/>
                      </w:rPr>
                    </w:pPr>
                    <w:r w:rsidRPr="008414EA">
                      <w:rPr>
                        <w:sz w:val="10"/>
                        <w:szCs w:val="10"/>
                      </w:rPr>
                      <w:t>0</w:t>
                    </w:r>
                  </w:p>
                </w:tc>
                <w:tc>
                  <w:tcPr>
                    <w:tcW w:w="529" w:type="pct"/>
                    <w:shd w:val="clear" w:color="auto" w:fill="auto"/>
                  </w:tcPr>
                  <w:p w:rsidR="00907F69" w:rsidRPr="008414EA" w:rsidRDefault="00907F69" w:rsidP="00326B19">
                    <w:pPr>
                      <w:jc w:val="right"/>
                      <w:rPr>
                        <w:sz w:val="10"/>
                        <w:szCs w:val="10"/>
                      </w:rPr>
                    </w:pPr>
                    <w:r w:rsidRPr="008414EA">
                      <w:rPr>
                        <w:sz w:val="10"/>
                        <w:szCs w:val="10"/>
                      </w:rPr>
                      <w:t>167,446,777</w:t>
                    </w:r>
                  </w:p>
                </w:tc>
                <w:tc>
                  <w:tcPr>
                    <w:tcW w:w="447" w:type="pct"/>
                    <w:shd w:val="clear" w:color="auto" w:fill="auto"/>
                  </w:tcPr>
                  <w:p w:rsidR="00907F69" w:rsidRPr="008414EA" w:rsidRDefault="00907F69" w:rsidP="00326B19">
                    <w:pPr>
                      <w:jc w:val="right"/>
                      <w:rPr>
                        <w:sz w:val="10"/>
                        <w:szCs w:val="10"/>
                      </w:rPr>
                    </w:pPr>
                    <w:r w:rsidRPr="008414EA">
                      <w:rPr>
                        <w:sz w:val="10"/>
                        <w:szCs w:val="10"/>
                      </w:rPr>
                      <w:t>657,408,740</w:t>
                    </w:r>
                  </w:p>
                </w:tc>
                <w:sdt>
                  <w:sdtPr>
                    <w:rPr>
                      <w:sz w:val="10"/>
                      <w:szCs w:val="10"/>
                    </w:rPr>
                    <w:alias w:val="本期转股"/>
                    <w:tag w:val="_GBC_863c55ee394742e9b9a85861edb3b15f"/>
                    <w:id w:val="27074317"/>
                    <w:lock w:val="sdtLocked"/>
                  </w:sdtPr>
                  <w:sdtContent>
                    <w:tc>
                      <w:tcPr>
                        <w:tcW w:w="370" w:type="pct"/>
                        <w:shd w:val="clear" w:color="auto" w:fill="auto"/>
                      </w:tcPr>
                      <w:p w:rsidR="00907F69" w:rsidRPr="003344B4" w:rsidRDefault="00907F69" w:rsidP="00326B19">
                        <w:pPr>
                          <w:jc w:val="right"/>
                          <w:rPr>
                            <w:sz w:val="10"/>
                            <w:szCs w:val="10"/>
                          </w:rPr>
                        </w:pPr>
                        <w:r w:rsidRPr="003344B4">
                          <w:rPr>
                            <w:sz w:val="10"/>
                            <w:szCs w:val="10"/>
                          </w:rPr>
                          <w:t>247,179</w:t>
                        </w:r>
                      </w:p>
                    </w:tc>
                  </w:sdtContent>
                </w:sdt>
                <w:tc>
                  <w:tcPr>
                    <w:tcW w:w="446" w:type="pct"/>
                    <w:shd w:val="clear" w:color="auto" w:fill="auto"/>
                  </w:tcPr>
                  <w:p w:rsidR="00907F69" w:rsidRPr="008414EA" w:rsidRDefault="00907F69" w:rsidP="00326B19">
                    <w:pPr>
                      <w:jc w:val="right"/>
                      <w:rPr>
                        <w:sz w:val="10"/>
                        <w:szCs w:val="10"/>
                      </w:rPr>
                    </w:pPr>
                    <w:r w:rsidRPr="00907F69">
                      <w:rPr>
                        <w:sz w:val="10"/>
                        <w:szCs w:val="10"/>
                      </w:rPr>
                      <w:t>160,002,299</w:t>
                    </w:r>
                  </w:p>
                </w:tc>
                <w:tc>
                  <w:tcPr>
                    <w:tcW w:w="468" w:type="pct"/>
                    <w:shd w:val="clear" w:color="auto" w:fill="auto"/>
                  </w:tcPr>
                  <w:p w:rsidR="00907F69" w:rsidRPr="008414EA" w:rsidRDefault="00907F69" w:rsidP="00326B19">
                    <w:pPr>
                      <w:jc w:val="right"/>
                      <w:rPr>
                        <w:sz w:val="10"/>
                        <w:szCs w:val="10"/>
                      </w:rPr>
                    </w:pPr>
                    <w:r>
                      <w:rPr>
                        <w:sz w:val="10"/>
                        <w:szCs w:val="10"/>
                      </w:rPr>
                      <w:t>30</w:t>
                    </w:r>
                    <w:r>
                      <w:rPr>
                        <w:rFonts w:hint="eastAsia"/>
                        <w:sz w:val="10"/>
                        <w:szCs w:val="10"/>
                      </w:rPr>
                      <w:t>,</w:t>
                    </w:r>
                    <w:r w:rsidR="00597567">
                      <w:rPr>
                        <w:sz w:val="10"/>
                        <w:szCs w:val="10"/>
                      </w:rPr>
                      <w:t>2</w:t>
                    </w:r>
                    <w:r>
                      <w:rPr>
                        <w:sz w:val="10"/>
                        <w:szCs w:val="10"/>
                      </w:rPr>
                      <w:t>42</w:t>
                    </w:r>
                    <w:r w:rsidRPr="008414EA">
                      <w:rPr>
                        <w:sz w:val="10"/>
                        <w:szCs w:val="10"/>
                      </w:rPr>
                      <w:t>,</w:t>
                    </w:r>
                    <w:r>
                      <w:rPr>
                        <w:sz w:val="10"/>
                        <w:szCs w:val="10"/>
                      </w:rPr>
                      <w:t>080</w:t>
                    </w:r>
                    <w:r w:rsidRPr="008414EA">
                      <w:rPr>
                        <w:sz w:val="10"/>
                        <w:szCs w:val="10"/>
                      </w:rPr>
                      <w:t>,</w:t>
                    </w:r>
                    <w:r>
                      <w:rPr>
                        <w:sz w:val="10"/>
                        <w:szCs w:val="10"/>
                      </w:rPr>
                      <w:t>992</w:t>
                    </w:r>
                  </w:p>
                </w:tc>
              </w:tr>
            </w:sdtContent>
          </w:sdt>
        </w:tbl>
        <w:p w:rsidR="00806678" w:rsidRDefault="00F80B6C"/>
      </w:sdtContent>
    </w:sdt>
    <w:bookmarkStart w:id="222" w:name="OLE_LINK18" w:displacedByCustomXml="prev"/>
    <w:bookmarkStart w:id="223" w:name="OLE_LINK16" w:displacedByCustomXml="prev"/>
    <w:sdt>
      <w:sdtPr>
        <w:rPr>
          <w:rFonts w:ascii="宋体" w:eastAsia="宋体" w:hAnsi="宋体" w:cs="宋体" w:hint="eastAsia"/>
          <w:b w:val="0"/>
          <w:bCs w:val="0"/>
          <w:kern w:val="0"/>
          <w:szCs w:val="24"/>
        </w:rPr>
        <w:alias w:val="模块:可转换公司债券的转股条件、转股时间说明："/>
        <w:tag w:val="_SEC_757001457d924ad38aa4781484c5ba39"/>
        <w:id w:val="-1363899701"/>
        <w:lock w:val="sdtLocked"/>
        <w:placeholder>
          <w:docPart w:val="GBC22222222222222222222222222222"/>
        </w:placeholder>
      </w:sdtPr>
      <w:sdtEndPr>
        <w:rPr>
          <w:szCs w:val="21"/>
        </w:rPr>
      </w:sdtEndPr>
      <w:sdtContent>
        <w:p w:rsidR="00806678" w:rsidRDefault="00B16377" w:rsidP="00FF17C7">
          <w:pPr>
            <w:pStyle w:val="4"/>
            <w:numPr>
              <w:ilvl w:val="0"/>
              <w:numId w:val="19"/>
            </w:numPr>
            <w:ind w:left="426" w:hanging="426"/>
          </w:pPr>
          <w:r>
            <w:rPr>
              <w:rFonts w:hint="eastAsia"/>
            </w:rPr>
            <w:t>可</w:t>
          </w:r>
          <w:r>
            <w:rPr>
              <w:rFonts w:ascii="宋体" w:hAnsi="宋体" w:hint="eastAsia"/>
            </w:rPr>
            <w:t>转换公司债</w:t>
          </w:r>
          <w:r>
            <w:rPr>
              <w:rFonts w:hint="eastAsia"/>
            </w:rPr>
            <w:t>券的转股条件、转股时间说明</w:t>
          </w:r>
        </w:p>
        <w:sdt>
          <w:sdtPr>
            <w:rPr>
              <w:rFonts w:hint="eastAsia"/>
              <w:szCs w:val="21"/>
            </w:rPr>
            <w:alias w:val="是否适用：可转换公司债券的转股条件、转股时间说明[双击切换]"/>
            <w:tag w:val="_GBC_2b6cb515ba4c417781662a31ccbd84e3"/>
            <w:id w:val="-434979273"/>
            <w:lock w:val="sdtLocked"/>
            <w:placeholder>
              <w:docPart w:val="GBC22222222222222222222222222222"/>
            </w:placeholder>
          </w:sdtPr>
          <w:sdtContent>
            <w:p w:rsidR="00806678" w:rsidRDefault="00F80B6C">
              <w:pPr>
                <w:spacing w:before="60" w:after="60"/>
                <w:rPr>
                  <w:szCs w:val="21"/>
                </w:rPr>
              </w:pPr>
              <w:r>
                <w:rPr>
                  <w:szCs w:val="21"/>
                </w:rPr>
                <w:fldChar w:fldCharType="begin"/>
              </w:r>
              <w:r w:rsidR="004B58DA">
                <w:rPr>
                  <w:szCs w:val="21"/>
                </w:rPr>
                <w:instrText xml:space="preserve"> MACROBUTTON  SnrToggleCheckbox √适用  </w:instrText>
              </w:r>
              <w:r>
                <w:rPr>
                  <w:szCs w:val="21"/>
                </w:rPr>
                <w:fldChar w:fldCharType="end"/>
              </w:r>
              <w:r>
                <w:rPr>
                  <w:szCs w:val="21"/>
                </w:rPr>
                <w:fldChar w:fldCharType="begin"/>
              </w:r>
              <w:r w:rsidR="004B58DA">
                <w:rPr>
                  <w:szCs w:val="21"/>
                </w:rPr>
                <w:instrText xml:space="preserve"> MACROBUTTON  SnrToggleCheckbox □不适用 </w:instrText>
              </w:r>
              <w:r>
                <w:rPr>
                  <w:szCs w:val="21"/>
                </w:rPr>
                <w:fldChar w:fldCharType="end"/>
              </w:r>
            </w:p>
          </w:sdtContent>
        </w:sdt>
        <w:sdt>
          <w:sdtPr>
            <w:rPr>
              <w:rFonts w:asciiTheme="majorEastAsia" w:eastAsiaTheme="majorEastAsia" w:hAnsiTheme="majorEastAsia"/>
              <w:szCs w:val="21"/>
            </w:rPr>
            <w:alias w:val="应付债券的说明"/>
            <w:tag w:val="_GBC_f739ec8d8ee1451dbb098b2b5595a820"/>
            <w:id w:val="2009709621"/>
            <w:lock w:val="sdtLocked"/>
            <w:placeholder>
              <w:docPart w:val="GBC22222222222222222222222222222"/>
            </w:placeholder>
          </w:sdtPr>
          <w:sdtEndPr>
            <w:rPr>
              <w:rFonts w:ascii="宋体" w:eastAsia="宋体" w:hAnsi="宋体"/>
            </w:rPr>
          </w:sdtEndPr>
          <w:sdtContent>
            <w:p w:rsidR="004B58DA" w:rsidRPr="00732AC2" w:rsidRDefault="004B58DA">
              <w:pPr>
                <w:spacing w:before="60" w:after="60"/>
                <w:rPr>
                  <w:rFonts w:asciiTheme="majorEastAsia" w:eastAsiaTheme="majorEastAsia" w:hAnsiTheme="majorEastAsia"/>
                  <w:szCs w:val="21"/>
                </w:rPr>
              </w:pPr>
              <w:r w:rsidRPr="00732AC2">
                <w:rPr>
                  <w:rFonts w:asciiTheme="majorEastAsia" w:eastAsiaTheme="majorEastAsia" w:hAnsiTheme="majorEastAsia" w:hint="eastAsia"/>
                  <w:szCs w:val="21"/>
                </w:rPr>
                <w:t>经中国证券监督管理委员会证监许可〔</w:t>
              </w:r>
              <w:r w:rsidRPr="00732AC2">
                <w:rPr>
                  <w:rFonts w:asciiTheme="majorEastAsia" w:eastAsiaTheme="majorEastAsia" w:hAnsiTheme="majorEastAsia"/>
                  <w:szCs w:val="21"/>
                </w:rPr>
                <w:t>2020〕2263号文核准，本公司于2020年12月14日公开发行了总额为人民币320亿元可转换公司债券 (以下简称“可转债”)，本次可转债存续期限为六年，即2020年12月14日至2026年12月13日。票面利率第一年0.20% 、第二年0.50% 、第三年1.00% 、第四年1.80% 、第五年2.60% 、第六年3.00% 。</w:t>
              </w:r>
            </w:p>
            <w:p w:rsidR="004D5142" w:rsidRDefault="004D5142" w:rsidP="004B58DA">
              <w:pPr>
                <w:pStyle w:val="34"/>
                <w:overflowPunct w:val="0"/>
                <w:snapToGrid w:val="0"/>
                <w:rPr>
                  <w:rFonts w:asciiTheme="majorEastAsia" w:eastAsiaTheme="majorEastAsia" w:hAnsiTheme="majorEastAsia" w:cs="Arial"/>
                  <w:sz w:val="22"/>
                  <w:szCs w:val="22"/>
                  <w:lang w:val="en-GB"/>
                </w:rPr>
              </w:pPr>
            </w:p>
            <w:p w:rsidR="004B58DA" w:rsidRPr="00732AC2" w:rsidRDefault="004B58DA" w:rsidP="004B58DA">
              <w:pPr>
                <w:pStyle w:val="34"/>
                <w:overflowPunct w:val="0"/>
                <w:snapToGrid w:val="0"/>
                <w:rPr>
                  <w:rFonts w:asciiTheme="majorEastAsia" w:eastAsiaTheme="majorEastAsia" w:hAnsiTheme="majorEastAsia" w:cs="Arial"/>
                  <w:sz w:val="22"/>
                  <w:szCs w:val="22"/>
                  <w:lang w:val="en-GB"/>
                </w:rPr>
              </w:pPr>
              <w:r w:rsidRPr="00732AC2">
                <w:rPr>
                  <w:rFonts w:asciiTheme="majorEastAsia" w:eastAsiaTheme="majorEastAsia" w:hAnsiTheme="majorEastAsia" w:cs="Arial" w:hint="eastAsia"/>
                  <w:sz w:val="22"/>
                  <w:szCs w:val="22"/>
                  <w:lang w:val="en-GB"/>
                </w:rPr>
                <w:t>(i)转股权</w:t>
              </w:r>
            </w:p>
            <w:p w:rsidR="004B58DA" w:rsidRPr="00732AC2" w:rsidRDefault="004B58DA" w:rsidP="004B58DA">
              <w:pPr>
                <w:pStyle w:val="34"/>
                <w:overflowPunct w:val="0"/>
                <w:snapToGrid w:val="0"/>
                <w:rPr>
                  <w:rFonts w:asciiTheme="majorEastAsia" w:eastAsiaTheme="majorEastAsia" w:hAnsiTheme="majorEastAsia" w:cs="Arial"/>
                  <w:sz w:val="22"/>
                  <w:szCs w:val="22"/>
                  <w:lang w:val="en-GB"/>
                </w:rPr>
              </w:pPr>
            </w:p>
            <w:p w:rsidR="004B58DA" w:rsidRPr="00732AC2" w:rsidRDefault="004B58DA" w:rsidP="004B58DA">
              <w:pPr>
                <w:pStyle w:val="34"/>
                <w:overflowPunct w:val="0"/>
                <w:snapToGrid w:val="0"/>
                <w:rPr>
                  <w:rFonts w:asciiTheme="majorEastAsia" w:eastAsiaTheme="majorEastAsia" w:hAnsiTheme="majorEastAsia" w:cs="Arial"/>
                  <w:sz w:val="22"/>
                  <w:szCs w:val="22"/>
                  <w:lang w:val="en-GB"/>
                </w:rPr>
              </w:pPr>
              <w:r w:rsidRPr="00732AC2">
                <w:rPr>
                  <w:rFonts w:asciiTheme="majorEastAsia" w:eastAsiaTheme="majorEastAsia" w:hAnsiTheme="majorEastAsia" w:cs="Arial" w:hint="eastAsia"/>
                  <w:sz w:val="22"/>
                  <w:szCs w:val="22"/>
                  <w:lang w:val="en-GB"/>
                </w:rPr>
                <w:t>本次发行的可转债的初始转股价格为人民币7.66元 / 股。在本次发行之后，若本公司发生派送股票股利、转增股本、增发新股 (不包括因本次发行的可转换公司债券转股而增加的股本) 、配股以及派发现金股利等情况，本公司将相应调整转股价格。在本次发行的可转换公司债券存续期间，当公司股票在任意连续三十个交易日中至少有十五个交易日的收盘价低于当期转股价格的85%时，公司董事会有权提出转股价格向下修正方案并提交公司股东大会表决。</w:t>
              </w:r>
            </w:p>
            <w:p w:rsidR="004B58DA" w:rsidRPr="00732AC2" w:rsidRDefault="004B58DA" w:rsidP="004B58DA">
              <w:pPr>
                <w:pStyle w:val="34"/>
                <w:overflowPunct w:val="0"/>
                <w:snapToGrid w:val="0"/>
                <w:rPr>
                  <w:rFonts w:asciiTheme="majorEastAsia" w:eastAsiaTheme="majorEastAsia" w:hAnsiTheme="majorEastAsia" w:cs="Arial"/>
                  <w:sz w:val="22"/>
                  <w:szCs w:val="22"/>
                  <w:lang w:val="en-GB"/>
                </w:rPr>
              </w:pPr>
            </w:p>
            <w:p w:rsidR="004B58DA" w:rsidRPr="00732AC2" w:rsidRDefault="004B58DA" w:rsidP="004B58DA">
              <w:pPr>
                <w:pStyle w:val="34"/>
                <w:overflowPunct w:val="0"/>
                <w:snapToGrid w:val="0"/>
                <w:rPr>
                  <w:rFonts w:asciiTheme="majorEastAsia" w:eastAsiaTheme="majorEastAsia" w:hAnsiTheme="majorEastAsia" w:cs="Arial"/>
                  <w:sz w:val="22"/>
                  <w:szCs w:val="22"/>
                  <w:lang w:val="en-GB"/>
                </w:rPr>
              </w:pPr>
              <w:r w:rsidRPr="00732AC2">
                <w:rPr>
                  <w:rFonts w:asciiTheme="majorEastAsia" w:eastAsiaTheme="majorEastAsia" w:hAnsiTheme="majorEastAsia" w:cs="Arial" w:hint="eastAsia"/>
                  <w:sz w:val="22"/>
                  <w:szCs w:val="22"/>
                  <w:lang w:val="en-GB"/>
                </w:rPr>
                <w:t>本公司于2022年5月2</w:t>
              </w:r>
              <w:r w:rsidRPr="00732AC2">
                <w:rPr>
                  <w:rFonts w:asciiTheme="majorEastAsia" w:eastAsiaTheme="majorEastAsia" w:hAnsiTheme="majorEastAsia" w:cs="Arial"/>
                  <w:sz w:val="22"/>
                  <w:szCs w:val="22"/>
                  <w:lang w:val="en-GB"/>
                </w:rPr>
                <w:t>5</w:t>
              </w:r>
              <w:r w:rsidRPr="00732AC2">
                <w:rPr>
                  <w:rFonts w:asciiTheme="majorEastAsia" w:eastAsiaTheme="majorEastAsia" w:hAnsiTheme="majorEastAsia" w:cs="Arial" w:hint="eastAsia"/>
                  <w:sz w:val="22"/>
                  <w:szCs w:val="22"/>
                  <w:lang w:val="en-GB"/>
                </w:rPr>
                <w:t>日召开2021年年度股东大会审议通过2021年度利润分配方案，以实施权益分派股权登记日登记的总股本为基数，向全体股东每股派发现金股利0.48元（含税）。于2022年6月30日，本公司发布了大秦铁路股份有限公司 2021 年年度权益分派实施公告，按照募集说明书关于转股价格调整的相关规定，自2022年7月7日(除权(息)日)起，该可转债的转股价格由人民币7.18元/股调整为人民币6.70元/股。</w:t>
              </w:r>
            </w:p>
            <w:p w:rsidR="004B58DA" w:rsidRPr="00732AC2" w:rsidRDefault="004B58DA" w:rsidP="004B58DA">
              <w:pPr>
                <w:pStyle w:val="34"/>
                <w:overflowPunct w:val="0"/>
                <w:snapToGrid w:val="0"/>
                <w:rPr>
                  <w:rFonts w:asciiTheme="majorEastAsia" w:eastAsiaTheme="majorEastAsia" w:hAnsiTheme="majorEastAsia" w:cs="Arial"/>
                  <w:sz w:val="22"/>
                  <w:szCs w:val="22"/>
                  <w:lang w:val="en-GB"/>
                </w:rPr>
              </w:pPr>
              <w:r w:rsidRPr="00732AC2">
                <w:rPr>
                  <w:rFonts w:asciiTheme="majorEastAsia" w:eastAsiaTheme="majorEastAsia" w:hAnsiTheme="majorEastAsia" w:cs="Arial" w:hint="eastAsia"/>
                  <w:sz w:val="22"/>
                  <w:szCs w:val="22"/>
                  <w:lang w:val="en-GB"/>
                </w:rPr>
                <w:t>可转债持有人可在可转债发行结束之日起满六个月后的第一个交易日起至可转债到期日止的期间 (以下简称“转股期”) 内，即2021年6月18日至2026年12月13日，按照当期转股价格行使将本次可转债转换为本公司股票的权利。在本次发行的可转换公司债券期满后5个交易日内，本公司将以本次发行的可转债的票面面值的108% (含最后一期年度利息) 的价格向可转债持有人赎回全部未转股的可转债。</w:t>
              </w:r>
            </w:p>
            <w:p w:rsidR="004B58DA" w:rsidRPr="00732AC2" w:rsidRDefault="004B58DA" w:rsidP="004B58DA">
              <w:pPr>
                <w:pStyle w:val="34"/>
                <w:overflowPunct w:val="0"/>
                <w:snapToGrid w:val="0"/>
                <w:rPr>
                  <w:rFonts w:asciiTheme="majorEastAsia" w:eastAsiaTheme="majorEastAsia" w:hAnsiTheme="majorEastAsia" w:cs="Arial"/>
                  <w:sz w:val="22"/>
                  <w:szCs w:val="22"/>
                  <w:lang w:val="en-GB"/>
                </w:rPr>
              </w:pPr>
            </w:p>
            <w:p w:rsidR="004B58DA" w:rsidRPr="00732AC2" w:rsidRDefault="004B58DA" w:rsidP="004B58DA">
              <w:pPr>
                <w:pStyle w:val="34"/>
                <w:overflowPunct w:val="0"/>
                <w:snapToGrid w:val="0"/>
                <w:rPr>
                  <w:rFonts w:asciiTheme="majorEastAsia" w:eastAsiaTheme="majorEastAsia" w:hAnsiTheme="majorEastAsia" w:cs="Arial"/>
                  <w:sz w:val="22"/>
                  <w:szCs w:val="22"/>
                  <w:lang w:val="en-GB"/>
                </w:rPr>
              </w:pPr>
              <w:r w:rsidRPr="00732AC2">
                <w:rPr>
                  <w:rFonts w:asciiTheme="majorEastAsia" w:eastAsiaTheme="majorEastAsia" w:hAnsiTheme="majorEastAsia" w:cs="Arial" w:hint="eastAsia"/>
                  <w:sz w:val="22"/>
                  <w:szCs w:val="22"/>
                  <w:lang w:val="en-GB"/>
                </w:rPr>
                <w:t>(ii)发行人的赎回权</w:t>
              </w:r>
            </w:p>
            <w:p w:rsidR="004B58DA" w:rsidRPr="00732AC2" w:rsidRDefault="004B58DA" w:rsidP="004B58DA">
              <w:pPr>
                <w:pStyle w:val="34"/>
                <w:overflowPunct w:val="0"/>
                <w:snapToGrid w:val="0"/>
                <w:rPr>
                  <w:rFonts w:asciiTheme="majorEastAsia" w:eastAsiaTheme="majorEastAsia" w:hAnsiTheme="majorEastAsia" w:cs="Arial"/>
                  <w:sz w:val="22"/>
                  <w:szCs w:val="22"/>
                  <w:lang w:val="en-GB"/>
                </w:rPr>
              </w:pPr>
            </w:p>
            <w:p w:rsidR="004B58DA" w:rsidRPr="00732AC2" w:rsidRDefault="004B58DA" w:rsidP="004B58DA">
              <w:pPr>
                <w:pStyle w:val="34"/>
                <w:overflowPunct w:val="0"/>
                <w:snapToGrid w:val="0"/>
                <w:rPr>
                  <w:rFonts w:asciiTheme="majorEastAsia" w:eastAsiaTheme="majorEastAsia" w:hAnsiTheme="majorEastAsia" w:cs="Arial"/>
                  <w:sz w:val="22"/>
                  <w:szCs w:val="22"/>
                  <w:lang w:val="en-GB"/>
                </w:rPr>
              </w:pPr>
              <w:r w:rsidRPr="00732AC2">
                <w:rPr>
                  <w:rFonts w:asciiTheme="majorEastAsia" w:eastAsiaTheme="majorEastAsia" w:hAnsiTheme="majorEastAsia" w:cs="Arial" w:hint="eastAsia"/>
                  <w:sz w:val="22"/>
                  <w:szCs w:val="22"/>
                  <w:lang w:val="en-GB"/>
                </w:rPr>
                <w:t>在可转债转股期内，如果公司股票连续三十个交易日中至少有十五个交易日的收盘价格不低于当期转股价格的120% (含120%)，本公司有权按照债券面值加当期应计利息的价格赎回全部或部分未转股的可转债。此外，当本次发行的可转债未转股余额不足3,000万元时，本公司有权按照债券面值加当期应计利息的价格赎回全部或部分未转股的可转债。</w:t>
              </w:r>
            </w:p>
            <w:p w:rsidR="00806678" w:rsidRDefault="00F80B6C" w:rsidP="008B1DD6">
              <w:pPr>
                <w:spacing w:before="60" w:after="60"/>
                <w:rPr>
                  <w:szCs w:val="21"/>
                </w:rPr>
              </w:pPr>
            </w:p>
          </w:sdtContent>
        </w:sdt>
      </w:sdtContent>
    </w:sdt>
    <w:sdt>
      <w:sdtPr>
        <w:rPr>
          <w:rFonts w:ascii="宋体" w:eastAsia="宋体" w:hAnsi="宋体" w:cs="宋体" w:hint="eastAsia"/>
          <w:b w:val="0"/>
          <w:bCs w:val="0"/>
          <w:kern w:val="0"/>
          <w:szCs w:val="24"/>
        </w:rPr>
        <w:alias w:val="模块:划分为金融负债的其他金融工具说明"/>
        <w:tag w:val="_SEC_a518acf97f30496fb599ce9199c16315"/>
        <w:id w:val="-829596519"/>
        <w:lock w:val="sdtLocked"/>
        <w:placeholder>
          <w:docPart w:val="GBC22222222222222222222222222222"/>
        </w:placeholder>
      </w:sdtPr>
      <w:sdtEndPr>
        <w:rPr>
          <w:rFonts w:hint="default"/>
          <w:szCs w:val="21"/>
        </w:rPr>
      </w:sdtEndPr>
      <w:sdtContent>
        <w:bookmarkEnd w:id="222" w:displacedByCustomXml="prev"/>
        <w:bookmarkEnd w:id="223" w:displacedByCustomXml="prev"/>
        <w:p w:rsidR="00806678" w:rsidRDefault="00B16377" w:rsidP="00FF17C7">
          <w:pPr>
            <w:pStyle w:val="4"/>
            <w:numPr>
              <w:ilvl w:val="0"/>
              <w:numId w:val="19"/>
            </w:numPr>
            <w:ind w:left="426" w:hanging="426"/>
          </w:pPr>
          <w:r>
            <w:rPr>
              <w:rFonts w:hint="eastAsia"/>
            </w:rPr>
            <w:t>划分为金融负债的其他金融工具说明</w:t>
          </w:r>
        </w:p>
        <w:p w:rsidR="00806678" w:rsidRDefault="00B16377">
          <w:r>
            <w:rPr>
              <w:rFonts w:hint="eastAsia"/>
            </w:rPr>
            <w:t>期末发行在外的优先股、永续债等其他金融工具基本情况</w:t>
          </w:r>
        </w:p>
        <w:sdt>
          <w:sdtPr>
            <w:alias w:val="是否适用：划分为金融负债的其他金融工具说明[双击切换]"/>
            <w:tag w:val="_GBC_354a73ce52fe4fcaa9d974bff59ad9cc"/>
            <w:id w:val="-348795102"/>
            <w:lock w:val="sdtLocked"/>
            <w:placeholder>
              <w:docPart w:val="GBC22222222222222222222222222222"/>
            </w:placeholder>
          </w:sdtPr>
          <w:sdtContent>
            <w:p w:rsidR="00806678" w:rsidRDefault="00F80B6C">
              <w:pPr>
                <w:rPr>
                  <w:szCs w:val="21"/>
                </w:rPr>
              </w:pPr>
              <w:r>
                <w:fldChar w:fldCharType="begin"/>
              </w:r>
              <w:r w:rsidR="008B1DD6">
                <w:instrText xml:space="preserve">MACROBUTTON  SnrToggleCheckbox □适用 </w:instrText>
              </w:r>
              <w:r>
                <w:fldChar w:fldCharType="end"/>
              </w:r>
              <w:r>
                <w:fldChar w:fldCharType="begin"/>
              </w:r>
              <w:r w:rsidR="008B1DD6">
                <w:instrText xml:space="preserve"> MACROBUTTON  SnrToggleCheckbox √不适用 </w:instrText>
              </w:r>
              <w:r>
                <w:fldChar w:fldCharType="end"/>
              </w:r>
            </w:p>
          </w:sdtContent>
        </w:sdt>
        <w:p w:rsidR="00806678" w:rsidRDefault="00B16377">
          <w:pPr>
            <w:rPr>
              <w:szCs w:val="21"/>
            </w:rPr>
          </w:pPr>
          <w:r>
            <w:rPr>
              <w:rFonts w:hint="eastAsia"/>
              <w:szCs w:val="21"/>
            </w:rPr>
            <w:t>期末发行在外的优先股、永续债等金融工具变动情况表</w:t>
          </w:r>
        </w:p>
        <w:sdt>
          <w:sdtPr>
            <w:rPr>
              <w:szCs w:val="21"/>
            </w:rPr>
            <w:alias w:val="是否适用：期末发行在外的优先股、永续债等金融工具变动情况表_应付债券[双击切换]"/>
            <w:tag w:val="_GBC_0ff8720c33d04083ad5271ea8df21c89"/>
            <w:id w:val="-1435205757"/>
            <w:lock w:val="sdtLocked"/>
            <w:placeholder>
              <w:docPart w:val="GBC22222222222222222222222222222"/>
            </w:placeholder>
          </w:sdtPr>
          <w:sdtContent>
            <w:p w:rsidR="00806678" w:rsidRDefault="00F80B6C" w:rsidP="008B1DD6">
              <w:pPr>
                <w:rPr>
                  <w:szCs w:val="21"/>
                </w:rPr>
              </w:pPr>
              <w:r>
                <w:rPr>
                  <w:szCs w:val="21"/>
                </w:rPr>
                <w:fldChar w:fldCharType="begin"/>
              </w:r>
              <w:r w:rsidR="008B1DD6">
                <w:rPr>
                  <w:szCs w:val="21"/>
                </w:rPr>
                <w:instrText xml:space="preserve">MACROBUTTON  SnrToggleCheckbox □适用 </w:instrText>
              </w:r>
              <w:r>
                <w:rPr>
                  <w:szCs w:val="21"/>
                </w:rPr>
                <w:fldChar w:fldCharType="end"/>
              </w:r>
              <w:r>
                <w:rPr>
                  <w:szCs w:val="21"/>
                </w:rPr>
                <w:fldChar w:fldCharType="begin"/>
              </w:r>
              <w:r w:rsidR="008B1DD6">
                <w:rPr>
                  <w:szCs w:val="21"/>
                </w:rPr>
                <w:instrText xml:space="preserve"> MACROBUTTON  SnrToggleCheckbox √不适用 </w:instrText>
              </w:r>
              <w:r>
                <w:rPr>
                  <w:szCs w:val="21"/>
                </w:rPr>
                <w:fldChar w:fldCharType="end"/>
              </w:r>
            </w:p>
          </w:sdtContent>
        </w:sdt>
        <w:p w:rsidR="00806678" w:rsidRDefault="00B16377">
          <w:pPr>
            <w:spacing w:before="60" w:after="60"/>
            <w:rPr>
              <w:szCs w:val="21"/>
            </w:rPr>
          </w:pPr>
          <w:r>
            <w:rPr>
              <w:rFonts w:hint="eastAsia"/>
              <w:szCs w:val="21"/>
            </w:rPr>
            <w:t>其他金融工具划分为金融负债的依据说明：</w:t>
          </w:r>
        </w:p>
        <w:sdt>
          <w:sdtPr>
            <w:rPr>
              <w:szCs w:val="21"/>
            </w:rPr>
            <w:alias w:val="是否适用：其他金融工具划分为金融负债的依据说明[双击切换]"/>
            <w:tag w:val="_GBC_b66a33df1ece41d79e36976486595871"/>
            <w:id w:val="-1440441595"/>
            <w:lock w:val="sdtLocked"/>
            <w:placeholder>
              <w:docPart w:val="GBC22222222222222222222222222222"/>
            </w:placeholder>
          </w:sdtPr>
          <w:sdtContent>
            <w:p w:rsidR="00806678" w:rsidRDefault="00F80B6C" w:rsidP="008B1DD6">
              <w:pPr>
                <w:spacing w:before="60" w:after="60"/>
                <w:rPr>
                  <w:szCs w:val="21"/>
                </w:rPr>
              </w:pPr>
              <w:r>
                <w:rPr>
                  <w:szCs w:val="21"/>
                </w:rPr>
                <w:fldChar w:fldCharType="begin"/>
              </w:r>
              <w:r w:rsidR="008B1DD6">
                <w:rPr>
                  <w:szCs w:val="21"/>
                </w:rPr>
                <w:instrText xml:space="preserve">MACROBUTTON  SnrToggleCheckbox □适用 </w:instrText>
              </w:r>
              <w:r>
                <w:rPr>
                  <w:szCs w:val="21"/>
                </w:rPr>
                <w:fldChar w:fldCharType="end"/>
              </w:r>
              <w:r>
                <w:rPr>
                  <w:szCs w:val="21"/>
                </w:rPr>
                <w:fldChar w:fldCharType="begin"/>
              </w:r>
              <w:r w:rsidR="008B1DD6">
                <w:rPr>
                  <w:szCs w:val="21"/>
                </w:rPr>
                <w:instrText xml:space="preserve"> MACROBUTTON  SnrToggleCheckbox √不适用 </w:instrText>
              </w:r>
              <w:r>
                <w:rPr>
                  <w:szCs w:val="21"/>
                </w:rPr>
                <w:fldChar w:fldCharType="end"/>
              </w:r>
            </w:p>
          </w:sdtContent>
        </w:sdt>
      </w:sdtContent>
    </w:sdt>
    <w:sdt>
      <w:sdtPr>
        <w:rPr>
          <w:rFonts w:hint="eastAsia"/>
          <w:szCs w:val="21"/>
        </w:rPr>
        <w:alias w:val="模块:应付债券其他说明"/>
        <w:tag w:val="_SEC_a77cb0c0ba82436b82a7d5bb3bde2ada"/>
        <w:id w:val="1942411151"/>
        <w:lock w:val="sdtLocked"/>
        <w:placeholder>
          <w:docPart w:val="GBC22222222222222222222222222222"/>
        </w:placeholder>
      </w:sdtPr>
      <w:sdtContent>
        <w:p w:rsidR="00806678" w:rsidRDefault="00B16377">
          <w:pPr>
            <w:spacing w:before="60" w:after="60"/>
            <w:rPr>
              <w:szCs w:val="21"/>
            </w:rPr>
          </w:pPr>
          <w:r>
            <w:rPr>
              <w:rFonts w:hint="eastAsia"/>
              <w:szCs w:val="21"/>
            </w:rPr>
            <w:t>其他说明：</w:t>
          </w:r>
        </w:p>
        <w:sdt>
          <w:sdtPr>
            <w:rPr>
              <w:szCs w:val="21"/>
            </w:rPr>
            <w:alias w:val="是否适用：应付债券的其他说明[双击切换]"/>
            <w:tag w:val="_GBC_2068e4e6d2994d6f8cfa9ecc26b171d4"/>
            <w:id w:val="-1341397073"/>
            <w:lock w:val="sdtLocked"/>
            <w:placeholder>
              <w:docPart w:val="GBC22222222222222222222222222222"/>
            </w:placeholder>
          </w:sdtPr>
          <w:sdtContent>
            <w:p w:rsidR="00806678" w:rsidRDefault="00F80B6C" w:rsidP="008B1DD6">
              <w:pPr>
                <w:spacing w:before="60" w:after="60"/>
                <w:rPr>
                  <w:szCs w:val="21"/>
                </w:rPr>
              </w:pPr>
              <w:r>
                <w:rPr>
                  <w:szCs w:val="21"/>
                </w:rPr>
                <w:fldChar w:fldCharType="begin"/>
              </w:r>
              <w:r w:rsidR="008B1DD6">
                <w:rPr>
                  <w:szCs w:val="21"/>
                </w:rPr>
                <w:instrText xml:space="preserve">MACROBUTTON  SnrToggleCheckbox □适用 </w:instrText>
              </w:r>
              <w:r>
                <w:rPr>
                  <w:szCs w:val="21"/>
                </w:rPr>
                <w:fldChar w:fldCharType="end"/>
              </w:r>
              <w:r>
                <w:rPr>
                  <w:szCs w:val="21"/>
                </w:rPr>
                <w:fldChar w:fldCharType="begin"/>
              </w:r>
              <w:r w:rsidR="008B1DD6">
                <w:rPr>
                  <w:szCs w:val="21"/>
                </w:rPr>
                <w:instrText xml:space="preserve"> MACROBUTTON  SnrToggleCheckbox √不适用 </w:instrText>
              </w:r>
              <w:r>
                <w:rPr>
                  <w:szCs w:val="21"/>
                </w:rPr>
                <w:fldChar w:fldCharType="end"/>
              </w:r>
            </w:p>
          </w:sdtContent>
        </w:sdt>
      </w:sdtContent>
    </w:sdt>
    <w:p w:rsidR="00806678" w:rsidRDefault="00806678">
      <w:pPr>
        <w:rPr>
          <w:szCs w:val="21"/>
        </w:rPr>
      </w:pPr>
    </w:p>
    <w:bookmarkStart w:id="224" w:name="_Hlk24026742" w:displacedByCustomXml="next"/>
    <w:sdt>
      <w:sdtPr>
        <w:rPr>
          <w:rFonts w:ascii="宋体" w:hAnsi="宋体" w:cs="宋体" w:hint="eastAsia"/>
          <w:b w:val="0"/>
          <w:bCs w:val="0"/>
          <w:kern w:val="0"/>
          <w:szCs w:val="21"/>
        </w:rPr>
        <w:alias w:val="模块:租赁负债"/>
        <w:tag w:val="_SEC_02d134bf8d8d4eb58c0ae104046b1ba8"/>
        <w:id w:val="215478173"/>
        <w:lock w:val="sdtLocked"/>
        <w:placeholder>
          <w:docPart w:val="GBC22222222222222222222222222222"/>
        </w:placeholder>
      </w:sdtPr>
      <w:sdtEndPr>
        <w:rPr>
          <w:rFonts w:hint="default"/>
          <w:szCs w:val="24"/>
        </w:rPr>
      </w:sdtEndPr>
      <w:sdtContent>
        <w:p w:rsidR="00806678" w:rsidRDefault="00B16377" w:rsidP="00FF17C7">
          <w:pPr>
            <w:pStyle w:val="3"/>
            <w:numPr>
              <w:ilvl w:val="0"/>
              <w:numId w:val="18"/>
            </w:numPr>
            <w:tabs>
              <w:tab w:val="left" w:pos="504"/>
            </w:tabs>
            <w:rPr>
              <w:szCs w:val="21"/>
            </w:rPr>
          </w:pPr>
          <w:r>
            <w:rPr>
              <w:rFonts w:hint="eastAsia"/>
              <w:szCs w:val="21"/>
            </w:rPr>
            <w:t>租赁负债</w:t>
          </w:r>
        </w:p>
        <w:sdt>
          <w:sdtPr>
            <w:rPr>
              <w:szCs w:val="21"/>
            </w:rPr>
            <w:alias w:val="是否适用：租赁负债[双击切换]"/>
            <w:tag w:val="_GBC_abf9a23b0ddc4b63b6f39d768c084973"/>
            <w:id w:val="1583253013"/>
            <w:lock w:val="sdtLocked"/>
            <w:placeholder>
              <w:docPart w:val="GBC22222222222222222222222222222"/>
            </w:placeholder>
          </w:sdtPr>
          <w:sdtContent>
            <w:p w:rsidR="00806678" w:rsidRDefault="00F80B6C">
              <w:pPr>
                <w:rPr>
                  <w:szCs w:val="21"/>
                </w:rPr>
              </w:pPr>
              <w:r>
                <w:rPr>
                  <w:szCs w:val="21"/>
                </w:rPr>
                <w:fldChar w:fldCharType="begin"/>
              </w:r>
              <w:r w:rsidR="00867589">
                <w:rPr>
                  <w:szCs w:val="21"/>
                </w:rPr>
                <w:instrText xml:space="preserve"> MACROBUTTON  SnrToggleCheckbox √适用 </w:instrText>
              </w:r>
              <w:r>
                <w:rPr>
                  <w:szCs w:val="21"/>
                </w:rPr>
                <w:fldChar w:fldCharType="end"/>
              </w:r>
              <w:r>
                <w:rPr>
                  <w:szCs w:val="21"/>
                </w:rPr>
                <w:fldChar w:fldCharType="begin"/>
              </w:r>
              <w:r w:rsidR="00867589">
                <w:rPr>
                  <w:szCs w:val="21"/>
                </w:rPr>
                <w:instrText xml:space="preserve"> MACROBUTTON  SnrToggleCheckbox □不适用 </w:instrText>
              </w:r>
              <w:r>
                <w:rPr>
                  <w:szCs w:val="21"/>
                </w:rPr>
                <w:fldChar w:fldCharType="end"/>
              </w:r>
            </w:p>
          </w:sdtContent>
        </w:sdt>
        <w:p w:rsidR="00806678" w:rsidRDefault="00B16377">
          <w:pPr>
            <w:jc w:val="right"/>
            <w:rPr>
              <w:szCs w:val="21"/>
            </w:rPr>
          </w:pPr>
          <w:r>
            <w:rPr>
              <w:rFonts w:hint="eastAsia"/>
              <w:szCs w:val="21"/>
            </w:rPr>
            <w:t>单位：</w:t>
          </w:r>
          <w:sdt>
            <w:sdtPr>
              <w:rPr>
                <w:rFonts w:hint="eastAsia"/>
                <w:szCs w:val="21"/>
              </w:rPr>
              <w:alias w:val="单位：租赁负债"/>
              <w:tag w:val="_GBC_33e504b2a4a34d41946083d1a309022f"/>
              <w:id w:val="1826557128"/>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租赁负债"/>
              <w:tag w:val="_GBC_90ebb9825c5740c794669c2bf1475590"/>
              <w:id w:val="3169305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05"/>
            <w:gridCol w:w="2921"/>
            <w:gridCol w:w="2923"/>
          </w:tblGrid>
          <w:tr w:rsidR="00867589" w:rsidTr="00601D47">
            <w:trPr>
              <w:cantSplit/>
              <w:trHeight w:val="307"/>
            </w:trPr>
            <w:sdt>
              <w:sdtPr>
                <w:tag w:val="_PLD_a05982b715d74082b7e01db9e1e265ef"/>
                <w:id w:val="382613101"/>
                <w:lock w:val="sdtLocked"/>
              </w:sdtPr>
              <w:sdtContent>
                <w:tc>
                  <w:tcPr>
                    <w:tcW w:w="1771" w:type="pct"/>
                    <w:shd w:val="clear" w:color="auto" w:fill="auto"/>
                    <w:vAlign w:val="center"/>
                  </w:tcPr>
                  <w:p w:rsidR="00867589" w:rsidRDefault="00867589" w:rsidP="00601D47">
                    <w:pPr>
                      <w:jc w:val="center"/>
                      <w:rPr>
                        <w:szCs w:val="21"/>
                      </w:rPr>
                    </w:pPr>
                    <w:r>
                      <w:rPr>
                        <w:rFonts w:hint="eastAsia"/>
                        <w:szCs w:val="21"/>
                      </w:rPr>
                      <w:t>项目</w:t>
                    </w:r>
                  </w:p>
                </w:tc>
              </w:sdtContent>
            </w:sdt>
            <w:sdt>
              <w:sdtPr>
                <w:tag w:val="_PLD_84a0d8719b674f50bfcfc1c6ed86fed6"/>
                <w:id w:val="1076173319"/>
                <w:lock w:val="sdtLocked"/>
              </w:sdtPr>
              <w:sdtContent>
                <w:tc>
                  <w:tcPr>
                    <w:tcW w:w="1614" w:type="pct"/>
                    <w:shd w:val="clear" w:color="auto" w:fill="auto"/>
                    <w:vAlign w:val="center"/>
                  </w:tcPr>
                  <w:p w:rsidR="00867589" w:rsidRDefault="00867589" w:rsidP="00601D47">
                    <w:pPr>
                      <w:jc w:val="center"/>
                      <w:rPr>
                        <w:szCs w:val="21"/>
                      </w:rPr>
                    </w:pPr>
                    <w:r>
                      <w:rPr>
                        <w:rFonts w:hint="eastAsia"/>
                        <w:szCs w:val="21"/>
                      </w:rPr>
                      <w:t>期末余额</w:t>
                    </w:r>
                  </w:p>
                </w:tc>
              </w:sdtContent>
            </w:sdt>
            <w:sdt>
              <w:sdtPr>
                <w:tag w:val="_PLD_d601589800f8414abb18e7477e7b41d6"/>
                <w:id w:val="-987545078"/>
                <w:lock w:val="sdtLocked"/>
              </w:sdtPr>
              <w:sdtContent>
                <w:tc>
                  <w:tcPr>
                    <w:tcW w:w="1615" w:type="pct"/>
                    <w:shd w:val="clear" w:color="auto" w:fill="auto"/>
                    <w:vAlign w:val="center"/>
                  </w:tcPr>
                  <w:p w:rsidR="00867589" w:rsidRDefault="00867589" w:rsidP="00601D47">
                    <w:pPr>
                      <w:jc w:val="center"/>
                      <w:rPr>
                        <w:szCs w:val="21"/>
                      </w:rPr>
                    </w:pPr>
                    <w:r>
                      <w:rPr>
                        <w:rFonts w:hint="eastAsia"/>
                        <w:szCs w:val="21"/>
                      </w:rPr>
                      <w:t>期初余额</w:t>
                    </w:r>
                  </w:p>
                </w:tc>
              </w:sdtContent>
            </w:sdt>
          </w:tr>
          <w:sdt>
            <w:sdtPr>
              <w:rPr>
                <w:szCs w:val="21"/>
              </w:rPr>
              <w:alias w:val="租赁负债明细"/>
              <w:tag w:val="_TUP_6f466bed927f4939ae3a601adc9fe007"/>
              <w:id w:val="-871069876"/>
              <w:lock w:val="sdtLocked"/>
            </w:sdtPr>
            <w:sdtContent>
              <w:tr w:rsidR="00867589" w:rsidTr="00601D47">
                <w:trPr>
                  <w:cantSplit/>
                  <w:trHeight w:val="186"/>
                </w:trPr>
                <w:tc>
                  <w:tcPr>
                    <w:tcW w:w="1771" w:type="pct"/>
                  </w:tcPr>
                  <w:p w:rsidR="00867589" w:rsidRDefault="00867589" w:rsidP="00601D47">
                    <w:pPr>
                      <w:rPr>
                        <w:szCs w:val="21"/>
                      </w:rPr>
                    </w:pPr>
                    <w:r>
                      <w:t>长期租赁负债</w:t>
                    </w:r>
                  </w:p>
                </w:tc>
                <w:tc>
                  <w:tcPr>
                    <w:tcW w:w="1614" w:type="pct"/>
                  </w:tcPr>
                  <w:p w:rsidR="00867589" w:rsidRDefault="00867589" w:rsidP="00601D47">
                    <w:pPr>
                      <w:jc w:val="right"/>
                      <w:rPr>
                        <w:szCs w:val="21"/>
                      </w:rPr>
                    </w:pPr>
                    <w:r>
                      <w:t>838,577,368</w:t>
                    </w:r>
                  </w:p>
                </w:tc>
                <w:tc>
                  <w:tcPr>
                    <w:tcW w:w="1615" w:type="pct"/>
                  </w:tcPr>
                  <w:p w:rsidR="00867589" w:rsidRDefault="00867589" w:rsidP="00601D47">
                    <w:pPr>
                      <w:jc w:val="right"/>
                      <w:rPr>
                        <w:szCs w:val="21"/>
                      </w:rPr>
                    </w:pPr>
                    <w:r>
                      <w:t>1,007,692,416</w:t>
                    </w:r>
                  </w:p>
                </w:tc>
              </w:tr>
            </w:sdtContent>
          </w:sdt>
          <w:sdt>
            <w:sdtPr>
              <w:rPr>
                <w:szCs w:val="21"/>
              </w:rPr>
              <w:alias w:val="租赁负债明细"/>
              <w:tag w:val="_TUP_6f466bed927f4939ae3a601adc9fe007"/>
              <w:id w:val="-1063487361"/>
              <w:lock w:val="sdtLocked"/>
            </w:sdtPr>
            <w:sdtContent>
              <w:tr w:rsidR="00867589" w:rsidTr="00601D47">
                <w:trPr>
                  <w:cantSplit/>
                  <w:trHeight w:val="186"/>
                </w:trPr>
                <w:tc>
                  <w:tcPr>
                    <w:tcW w:w="1771" w:type="pct"/>
                  </w:tcPr>
                  <w:p w:rsidR="00867589" w:rsidRDefault="00867589" w:rsidP="00601D47">
                    <w:pPr>
                      <w:rPr>
                        <w:szCs w:val="21"/>
                      </w:rPr>
                    </w:pPr>
                    <w:r>
                      <w:t>减：一年内到期的租赁负债</w:t>
                    </w:r>
                  </w:p>
                </w:tc>
                <w:tc>
                  <w:tcPr>
                    <w:tcW w:w="1614" w:type="pct"/>
                  </w:tcPr>
                  <w:p w:rsidR="00867589" w:rsidRDefault="00867589" w:rsidP="00601D47">
                    <w:pPr>
                      <w:jc w:val="right"/>
                      <w:rPr>
                        <w:szCs w:val="21"/>
                      </w:rPr>
                    </w:pPr>
                    <w:r>
                      <w:t>228,628,963</w:t>
                    </w:r>
                  </w:p>
                </w:tc>
                <w:tc>
                  <w:tcPr>
                    <w:tcW w:w="1615" w:type="pct"/>
                  </w:tcPr>
                  <w:p w:rsidR="00867589" w:rsidRDefault="00867589" w:rsidP="00601D47">
                    <w:pPr>
                      <w:jc w:val="right"/>
                      <w:rPr>
                        <w:szCs w:val="21"/>
                      </w:rPr>
                    </w:pPr>
                    <w:r>
                      <w:t>170,347,380</w:t>
                    </w:r>
                  </w:p>
                </w:tc>
              </w:tr>
            </w:sdtContent>
          </w:sdt>
          <w:tr w:rsidR="00867589" w:rsidTr="00601D47">
            <w:trPr>
              <w:cantSplit/>
              <w:trHeight w:val="186"/>
            </w:trPr>
            <w:sdt>
              <w:sdtPr>
                <w:tag w:val="_PLD_be650c59606949b3a386be1a4c816d84"/>
                <w:id w:val="-121538124"/>
                <w:lock w:val="sdtLocked"/>
              </w:sdtPr>
              <w:sdtContent>
                <w:tc>
                  <w:tcPr>
                    <w:tcW w:w="1771" w:type="pct"/>
                  </w:tcPr>
                  <w:p w:rsidR="00867589" w:rsidRDefault="00867589" w:rsidP="00867589">
                    <w:pPr>
                      <w:jc w:val="center"/>
                      <w:rPr>
                        <w:szCs w:val="21"/>
                      </w:rPr>
                    </w:pPr>
                    <w:r>
                      <w:rPr>
                        <w:rFonts w:hint="eastAsia"/>
                        <w:szCs w:val="21"/>
                      </w:rPr>
                      <w:t>合计</w:t>
                    </w:r>
                  </w:p>
                </w:tc>
              </w:sdtContent>
            </w:sdt>
            <w:tc>
              <w:tcPr>
                <w:tcW w:w="1614" w:type="pct"/>
                <w:vAlign w:val="center"/>
              </w:tcPr>
              <w:p w:rsidR="00867589" w:rsidRDefault="00867589" w:rsidP="00867589">
                <w:pPr>
                  <w:jc w:val="right"/>
                  <w:rPr>
                    <w:szCs w:val="21"/>
                  </w:rPr>
                </w:pPr>
                <w:r>
                  <w:t>609,948,405</w:t>
                </w:r>
              </w:p>
            </w:tc>
            <w:tc>
              <w:tcPr>
                <w:tcW w:w="1615" w:type="pct"/>
                <w:vAlign w:val="center"/>
              </w:tcPr>
              <w:p w:rsidR="00867589" w:rsidRDefault="00867589" w:rsidP="00867589">
                <w:pPr>
                  <w:jc w:val="right"/>
                  <w:rPr>
                    <w:szCs w:val="21"/>
                  </w:rPr>
                </w:pPr>
                <w:r>
                  <w:t>837,345,036</w:t>
                </w:r>
              </w:p>
            </w:tc>
          </w:tr>
        </w:tbl>
        <w:p w:rsidR="00C00982" w:rsidRDefault="00C00982">
          <w:pPr>
            <w:snapToGrid w:val="0"/>
            <w:spacing w:before="60" w:after="60" w:line="240" w:lineRule="atLeast"/>
            <w:rPr>
              <w:szCs w:val="21"/>
            </w:rPr>
          </w:pPr>
        </w:p>
        <w:p w:rsidR="00806678" w:rsidRDefault="00B16377">
          <w:pPr>
            <w:snapToGrid w:val="0"/>
            <w:spacing w:before="60" w:after="60" w:line="240" w:lineRule="atLeast"/>
            <w:rPr>
              <w:szCs w:val="21"/>
            </w:rPr>
          </w:pPr>
          <w:r>
            <w:rPr>
              <w:rFonts w:hint="eastAsia"/>
              <w:szCs w:val="21"/>
            </w:rPr>
            <w:t>其他说明：</w:t>
          </w:r>
        </w:p>
        <w:sdt>
          <w:sdtPr>
            <w:alias w:val="租赁负债其他说明"/>
            <w:tag w:val="_GBC_d655dad6394141cbbfbca3ff3319cddc"/>
            <w:id w:val="-880468667"/>
            <w:lock w:val="sdtLocked"/>
            <w:placeholder>
              <w:docPart w:val="GBC22222222222222222222222222222"/>
            </w:placeholder>
          </w:sdtPr>
          <w:sdtContent>
            <w:p w:rsidR="00867589" w:rsidRDefault="00867589"/>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28" w:type="dxa"/>
                </w:tblCellMar>
                <w:tblLook w:val="04A0"/>
              </w:tblPr>
              <w:tblGrid>
                <w:gridCol w:w="4564"/>
                <w:gridCol w:w="2151"/>
                <w:gridCol w:w="2151"/>
              </w:tblGrid>
              <w:tr w:rsidR="00D91C54" w:rsidTr="00E94962">
                <w:trPr>
                  <w:trHeight w:val="252"/>
                  <w:jc w:val="right"/>
                </w:trPr>
                <w:tc>
                  <w:tcPr>
                    <w:tcW w:w="2574" w:type="pct"/>
                    <w:vAlign w:val="bottom"/>
                  </w:tcPr>
                  <w:p w:rsidR="00D91C54" w:rsidRPr="00FE0A94" w:rsidRDefault="00D91C54" w:rsidP="00E94962">
                    <w:pPr>
                      <w:snapToGrid w:val="0"/>
                      <w:ind w:left="221" w:hanging="221"/>
                      <w:jc w:val="center"/>
                    </w:pPr>
                    <w:r w:rsidRPr="00FE0A94">
                      <w:t>项目</w:t>
                    </w:r>
                  </w:p>
                </w:tc>
                <w:tc>
                  <w:tcPr>
                    <w:tcW w:w="1213" w:type="pct"/>
                    <w:vAlign w:val="bottom"/>
                  </w:tcPr>
                  <w:p w:rsidR="00D91C54" w:rsidRPr="00422D5A" w:rsidRDefault="00D91C54" w:rsidP="00E94962">
                    <w:pPr>
                      <w:snapToGrid w:val="0"/>
                      <w:jc w:val="center"/>
                    </w:pPr>
                    <w:r w:rsidRPr="00422D5A">
                      <w:rPr>
                        <w:rFonts w:hint="eastAsia"/>
                      </w:rPr>
                      <w:t>期末余额</w:t>
                    </w:r>
                  </w:p>
                </w:tc>
                <w:tc>
                  <w:tcPr>
                    <w:tcW w:w="1213" w:type="pct"/>
                  </w:tcPr>
                  <w:p w:rsidR="00D91C54" w:rsidRPr="00422D5A" w:rsidRDefault="00D91C54" w:rsidP="00E94962">
                    <w:pPr>
                      <w:snapToGrid w:val="0"/>
                      <w:jc w:val="center"/>
                    </w:pPr>
                    <w:r>
                      <w:rPr>
                        <w:rFonts w:hint="eastAsia"/>
                      </w:rPr>
                      <w:t>期初余额</w:t>
                    </w:r>
                  </w:p>
                </w:tc>
              </w:tr>
              <w:tr w:rsidR="00D91C54" w:rsidTr="00E94962">
                <w:trPr>
                  <w:trHeight w:val="267"/>
                  <w:jc w:val="right"/>
                </w:trPr>
                <w:tc>
                  <w:tcPr>
                    <w:tcW w:w="2574" w:type="pct"/>
                    <w:vAlign w:val="bottom"/>
                  </w:tcPr>
                  <w:p w:rsidR="00D91C54" w:rsidRDefault="00D91C54" w:rsidP="00E94962">
                    <w:pPr>
                      <w:snapToGrid w:val="0"/>
                      <w:ind w:left="221" w:hanging="221"/>
                    </w:pPr>
                    <w:r>
                      <w:t>选择简化处理方法的短期租赁</w:t>
                    </w:r>
                  </w:p>
                </w:tc>
                <w:tc>
                  <w:tcPr>
                    <w:tcW w:w="1213" w:type="pct"/>
                    <w:vAlign w:val="bottom"/>
                  </w:tcPr>
                  <w:p w:rsidR="00D91C54" w:rsidRDefault="00D91C54" w:rsidP="00E94962">
                    <w:pPr>
                      <w:snapToGrid w:val="0"/>
                      <w:jc w:val="right"/>
                    </w:pPr>
                    <w:r>
                      <w:t>784,714,768</w:t>
                    </w:r>
                  </w:p>
                </w:tc>
                <w:tc>
                  <w:tcPr>
                    <w:tcW w:w="1213" w:type="pct"/>
                  </w:tcPr>
                  <w:p w:rsidR="00D91C54" w:rsidRDefault="00D91C54" w:rsidP="00E94962">
                    <w:pPr>
                      <w:snapToGrid w:val="0"/>
                      <w:jc w:val="right"/>
                    </w:pPr>
                    <w:r>
                      <w:t>816,529,717</w:t>
                    </w:r>
                  </w:p>
                </w:tc>
              </w:tr>
              <w:tr w:rsidR="00D91C54" w:rsidTr="00E94962">
                <w:trPr>
                  <w:trHeight w:val="252"/>
                  <w:jc w:val="right"/>
                </w:trPr>
                <w:tc>
                  <w:tcPr>
                    <w:tcW w:w="2574" w:type="pct"/>
                    <w:vAlign w:val="bottom"/>
                  </w:tcPr>
                  <w:p w:rsidR="00D91C54" w:rsidRDefault="00D91C54" w:rsidP="00E94962">
                    <w:pPr>
                      <w:snapToGrid w:val="0"/>
                      <w:ind w:left="221" w:hanging="221"/>
                    </w:pPr>
                    <w:r>
                      <w:t>未纳入租赁负债计量的可变租赁付款额 (注)</w:t>
                    </w:r>
                  </w:p>
                </w:tc>
                <w:tc>
                  <w:tcPr>
                    <w:tcW w:w="1213" w:type="pct"/>
                    <w:vAlign w:val="bottom"/>
                  </w:tcPr>
                  <w:p w:rsidR="00D91C54" w:rsidRDefault="00D91C54" w:rsidP="00E94962">
                    <w:pPr>
                      <w:snapToGrid w:val="0"/>
                      <w:jc w:val="right"/>
                    </w:pPr>
                    <w:r>
                      <w:t>913,001,297</w:t>
                    </w:r>
                  </w:p>
                </w:tc>
                <w:tc>
                  <w:tcPr>
                    <w:tcW w:w="1213" w:type="pct"/>
                  </w:tcPr>
                  <w:p w:rsidR="00D91C54" w:rsidRDefault="00D91C54" w:rsidP="00E94962">
                    <w:pPr>
                      <w:snapToGrid w:val="0"/>
                      <w:jc w:val="right"/>
                    </w:pPr>
                    <w:r>
                      <w:t>1,131,163,635</w:t>
                    </w:r>
                  </w:p>
                </w:tc>
              </w:tr>
              <w:tr w:rsidR="00D91C54" w:rsidRPr="00867589" w:rsidTr="00E94962">
                <w:trPr>
                  <w:trHeight w:val="252"/>
                  <w:jc w:val="right"/>
                </w:trPr>
                <w:tc>
                  <w:tcPr>
                    <w:tcW w:w="2574" w:type="pct"/>
                    <w:vAlign w:val="bottom"/>
                  </w:tcPr>
                  <w:p w:rsidR="00D91C54" w:rsidRDefault="00D91C54" w:rsidP="00E94962">
                    <w:pPr>
                      <w:snapToGrid w:val="0"/>
                      <w:ind w:left="221" w:hanging="221"/>
                    </w:pPr>
                    <w:r>
                      <w:t xml:space="preserve">与租赁相关的总现金流出 </w:t>
                    </w:r>
                  </w:p>
                </w:tc>
                <w:tc>
                  <w:tcPr>
                    <w:tcW w:w="1213" w:type="pct"/>
                    <w:vAlign w:val="bottom"/>
                  </w:tcPr>
                  <w:p w:rsidR="00D91C54" w:rsidRDefault="00D91C54" w:rsidP="00E94962">
                    <w:pPr>
                      <w:snapToGrid w:val="0"/>
                      <w:jc w:val="right"/>
                    </w:pPr>
                    <w:r>
                      <w:t>183,283,892</w:t>
                    </w:r>
                  </w:p>
                </w:tc>
                <w:tc>
                  <w:tcPr>
                    <w:tcW w:w="1213" w:type="pct"/>
                  </w:tcPr>
                  <w:p w:rsidR="00D91C54" w:rsidRDefault="00D91C54" w:rsidP="00E94962">
                    <w:pPr>
                      <w:snapToGrid w:val="0"/>
                      <w:jc w:val="right"/>
                    </w:pPr>
                    <w:r>
                      <w:t>236,818,816</w:t>
                    </w:r>
                  </w:p>
                </w:tc>
              </w:tr>
            </w:tbl>
            <w:p w:rsidR="00867589" w:rsidRDefault="00867589" w:rsidP="00867589">
              <w:pPr>
                <w:overflowPunct w:val="0"/>
                <w:adjustRightInd w:val="0"/>
                <w:snapToGrid w:val="0"/>
                <w:ind w:left="709" w:hanging="709"/>
                <w:rPr>
                  <w:rFonts w:cs="Arial"/>
                  <w:sz w:val="22"/>
                  <w:szCs w:val="22"/>
                  <w:lang w:val="en-GB"/>
                </w:rPr>
              </w:pPr>
            </w:p>
            <w:p w:rsidR="00C00982" w:rsidRDefault="00867589" w:rsidP="006C3EA4">
              <w:pPr>
                <w:overflowPunct w:val="0"/>
                <w:adjustRightInd w:val="0"/>
                <w:snapToGrid w:val="0"/>
                <w:rPr>
                  <w:rFonts w:cs="Arial"/>
                  <w:sz w:val="22"/>
                  <w:szCs w:val="22"/>
                  <w:lang w:val="en-GB"/>
                </w:rPr>
              </w:pPr>
              <w:r w:rsidRPr="005A55D1">
                <w:rPr>
                  <w:rFonts w:cs="Arial" w:hint="eastAsia"/>
                  <w:sz w:val="22"/>
                  <w:szCs w:val="22"/>
                  <w:lang w:val="en-GB"/>
                </w:rPr>
                <w:t>注：截至202</w:t>
              </w:r>
              <w:r>
                <w:rPr>
                  <w:rFonts w:cs="Arial"/>
                  <w:sz w:val="22"/>
                  <w:szCs w:val="22"/>
                  <w:lang w:val="en-GB"/>
                </w:rPr>
                <w:t>2</w:t>
              </w:r>
              <w:r w:rsidRPr="005A55D1">
                <w:rPr>
                  <w:rFonts w:cs="Arial" w:hint="eastAsia"/>
                  <w:sz w:val="22"/>
                  <w:szCs w:val="22"/>
                  <w:lang w:val="en-GB"/>
                </w:rPr>
                <w:t>年12月31日止，未纳入租赁负债计量的可变租赁付款额主要包括租赁动车组而支付的相关款项，该等款项以使用量为基础进行计量，在实际发生时计入当期损益。</w:t>
              </w:r>
            </w:p>
            <w:p w:rsidR="00806678" w:rsidRPr="006C3EA4" w:rsidRDefault="00F80B6C" w:rsidP="006C3EA4">
              <w:pPr>
                <w:overflowPunct w:val="0"/>
                <w:adjustRightInd w:val="0"/>
                <w:snapToGrid w:val="0"/>
                <w:rPr>
                  <w:rFonts w:cs="Arial"/>
                  <w:sz w:val="22"/>
                  <w:szCs w:val="22"/>
                  <w:lang w:val="en-GB"/>
                </w:rPr>
              </w:pPr>
            </w:p>
          </w:sdtContent>
        </w:sdt>
      </w:sdtContent>
    </w:sdt>
    <w:bookmarkEnd w:id="224" w:displacedByCustomXml="prev"/>
    <w:p w:rsidR="00806678" w:rsidRDefault="00B16377" w:rsidP="00FF17C7">
      <w:pPr>
        <w:pStyle w:val="3"/>
        <w:numPr>
          <w:ilvl w:val="0"/>
          <w:numId w:val="18"/>
        </w:numPr>
        <w:tabs>
          <w:tab w:val="left" w:pos="504"/>
        </w:tabs>
        <w:rPr>
          <w:rFonts w:ascii="宋体" w:hAnsi="宋体"/>
          <w:szCs w:val="21"/>
        </w:rPr>
      </w:pPr>
      <w:r>
        <w:rPr>
          <w:rFonts w:ascii="宋体" w:hAnsi="宋体" w:hint="eastAsia"/>
          <w:szCs w:val="21"/>
        </w:rPr>
        <w:t>长期</w:t>
      </w:r>
      <w:r>
        <w:rPr>
          <w:rFonts w:hint="eastAsia"/>
          <w:szCs w:val="21"/>
        </w:rPr>
        <w:t>应付</w:t>
      </w:r>
      <w:r>
        <w:rPr>
          <w:rFonts w:ascii="宋体" w:hAnsi="宋体" w:hint="eastAsia"/>
          <w:szCs w:val="21"/>
        </w:rPr>
        <w:t>款</w:t>
      </w:r>
    </w:p>
    <w:bookmarkStart w:id="225" w:name="_Hlk532911038" w:displacedByCustomXml="next"/>
    <w:sdt>
      <w:sdtPr>
        <w:rPr>
          <w:rFonts w:ascii="宋体" w:eastAsia="宋体" w:hAnsi="宋体" w:cs="宋体" w:hint="eastAsia"/>
          <w:b w:val="0"/>
          <w:bCs w:val="0"/>
          <w:kern w:val="0"/>
          <w:szCs w:val="24"/>
        </w:rPr>
        <w:alias w:val="模块:长期应付款分类列示"/>
        <w:tag w:val="_SEC_f3d4542e7833456492aa3f1fb43c4fd5"/>
        <w:id w:val="544718851"/>
        <w:lock w:val="sdtLocked"/>
        <w:placeholder>
          <w:docPart w:val="GBC22222222222222222222222222222"/>
        </w:placeholder>
      </w:sdtPr>
      <w:sdtEndPr>
        <w:rPr>
          <w:rFonts w:hint="default"/>
        </w:rPr>
      </w:sdtEndPr>
      <w:sdtContent>
        <w:p w:rsidR="00806678" w:rsidRDefault="00B16377">
          <w:pPr>
            <w:pStyle w:val="4"/>
          </w:pPr>
          <w:r>
            <w:rPr>
              <w:rFonts w:hint="eastAsia"/>
            </w:rPr>
            <w:t>项目列示</w:t>
          </w:r>
        </w:p>
        <w:sdt>
          <w:sdtPr>
            <w:alias w:val="是否适用：长期应付款分类列示[双击切换]"/>
            <w:tag w:val="_GBC_90d4a9bd673140ef9c99898da48d1614"/>
            <w:id w:val="326643361"/>
            <w:lock w:val="sdtLocked"/>
            <w:placeholder>
              <w:docPart w:val="GBC22222222222222222222222222222"/>
            </w:placeholder>
          </w:sdtPr>
          <w:sdtContent>
            <w:p w:rsidR="00806678" w:rsidRDefault="00F80B6C">
              <w:r>
                <w:fldChar w:fldCharType="begin"/>
              </w:r>
              <w:r w:rsidR="005765FA">
                <w:instrText xml:space="preserve"> MACROBUTTON  SnrToggleCheckbox √适用 </w:instrText>
              </w:r>
              <w:r>
                <w:fldChar w:fldCharType="end"/>
              </w:r>
              <w:r>
                <w:fldChar w:fldCharType="begin"/>
              </w:r>
              <w:r w:rsidR="005765FA">
                <w:instrText xml:space="preserve"> MACROBUTTON  SnrToggleCheckbox □不适用 </w:instrText>
              </w:r>
              <w:r>
                <w:fldChar w:fldCharType="end"/>
              </w:r>
            </w:p>
          </w:sdtContent>
        </w:sdt>
        <w:p w:rsidR="00806678" w:rsidRDefault="00B16377">
          <w:pPr>
            <w:jc w:val="right"/>
            <w:rPr>
              <w:szCs w:val="21"/>
            </w:rPr>
          </w:pPr>
          <w:r>
            <w:rPr>
              <w:rFonts w:hint="eastAsia"/>
              <w:szCs w:val="21"/>
            </w:rPr>
            <w:t>单位：</w:t>
          </w:r>
          <w:sdt>
            <w:sdtPr>
              <w:rPr>
                <w:rFonts w:hint="eastAsia"/>
                <w:szCs w:val="21"/>
              </w:rPr>
              <w:alias w:val="单位：长期应付款分类列示"/>
              <w:tag w:val="_GBC_6f1c5753ac2941b597e1d984d66c55a3"/>
              <w:id w:val="52699513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长期应付款分类列示"/>
              <w:tag w:val="_GBC_8f45b0164513461a90709633a96141c4"/>
              <w:id w:val="-19778985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8"/>
            <w:gridCol w:w="2863"/>
            <w:gridCol w:w="2878"/>
          </w:tblGrid>
          <w:tr w:rsidR="00806678" w:rsidTr="001E2B27">
            <w:sdt>
              <w:sdtPr>
                <w:tag w:val="_PLD_2038af4a07e447f88ceb8aedfaa7f12b"/>
                <w:id w:val="-436830593"/>
                <w:lock w:val="sdtLocked"/>
              </w:sdtPr>
              <w:sdtContent>
                <w:tc>
                  <w:tcPr>
                    <w:tcW w:w="1828" w:type="pct"/>
                    <w:shd w:val="clear" w:color="auto" w:fill="auto"/>
                    <w:vAlign w:val="center"/>
                  </w:tcPr>
                  <w:p w:rsidR="00806678" w:rsidRDefault="00B16377">
                    <w:pPr>
                      <w:tabs>
                        <w:tab w:val="right" w:pos="3690"/>
                        <w:tab w:val="right" w:pos="5130"/>
                        <w:tab w:val="right" w:pos="6030"/>
                        <w:tab w:val="right" w:pos="7650"/>
                        <w:tab w:val="right" w:pos="9270"/>
                      </w:tabs>
                      <w:adjustRightInd w:val="0"/>
                      <w:snapToGrid w:val="0"/>
                      <w:jc w:val="center"/>
                      <w:rPr>
                        <w:szCs w:val="21"/>
                      </w:rPr>
                    </w:pPr>
                    <w:r>
                      <w:rPr>
                        <w:rFonts w:hint="eastAsia"/>
                        <w:szCs w:val="21"/>
                      </w:rPr>
                      <w:t>项目</w:t>
                    </w:r>
                  </w:p>
                </w:tc>
              </w:sdtContent>
            </w:sdt>
            <w:sdt>
              <w:sdtPr>
                <w:tag w:val="_PLD_8b56081577b84bd3b322c0202b6a7142"/>
                <w:id w:val="925777169"/>
                <w:lock w:val="sdtLocked"/>
              </w:sdtPr>
              <w:sdtContent>
                <w:tc>
                  <w:tcPr>
                    <w:tcW w:w="1582" w:type="pct"/>
                    <w:shd w:val="clear" w:color="auto" w:fill="auto"/>
                    <w:vAlign w:val="center"/>
                  </w:tcPr>
                  <w:p w:rsidR="00806678" w:rsidRDefault="00B16377">
                    <w:pPr>
                      <w:jc w:val="center"/>
                      <w:rPr>
                        <w:szCs w:val="21"/>
                      </w:rPr>
                    </w:pPr>
                    <w:r>
                      <w:rPr>
                        <w:rFonts w:hint="eastAsia"/>
                        <w:szCs w:val="21"/>
                      </w:rPr>
                      <w:t>期末余额</w:t>
                    </w:r>
                  </w:p>
                </w:tc>
              </w:sdtContent>
            </w:sdt>
            <w:sdt>
              <w:sdtPr>
                <w:tag w:val="_PLD_2fa2691f59be4fb398c9e37e50109f5a"/>
                <w:id w:val="138078198"/>
                <w:lock w:val="sdtLocked"/>
              </w:sdtPr>
              <w:sdtContent>
                <w:tc>
                  <w:tcPr>
                    <w:tcW w:w="1590" w:type="pct"/>
                    <w:shd w:val="clear" w:color="auto" w:fill="auto"/>
                    <w:vAlign w:val="center"/>
                  </w:tcPr>
                  <w:p w:rsidR="00806678" w:rsidRDefault="00B16377">
                    <w:pPr>
                      <w:jc w:val="center"/>
                      <w:rPr>
                        <w:szCs w:val="21"/>
                      </w:rPr>
                    </w:pPr>
                    <w:r>
                      <w:rPr>
                        <w:rFonts w:hint="eastAsia"/>
                        <w:szCs w:val="21"/>
                      </w:rPr>
                      <w:t>期初余额</w:t>
                    </w:r>
                  </w:p>
                </w:tc>
              </w:sdtContent>
            </w:sdt>
          </w:tr>
          <w:tr w:rsidR="001E2745" w:rsidTr="00601D47">
            <w:sdt>
              <w:sdtPr>
                <w:tag w:val="_PLD_9698ab5fdf8d4c9c9dd87ec1fb85fb6e"/>
                <w:id w:val="784622520"/>
                <w:lock w:val="sdtLocked"/>
              </w:sdtPr>
              <w:sdtContent>
                <w:tc>
                  <w:tcPr>
                    <w:tcW w:w="1828" w:type="pct"/>
                    <w:shd w:val="clear" w:color="auto" w:fill="auto"/>
                  </w:tcPr>
                  <w:p w:rsidR="001E2745" w:rsidRDefault="001E2745" w:rsidP="001E2745">
                    <w:pPr>
                      <w:tabs>
                        <w:tab w:val="right" w:pos="3690"/>
                        <w:tab w:val="right" w:pos="5130"/>
                        <w:tab w:val="right" w:pos="6030"/>
                        <w:tab w:val="right" w:pos="7650"/>
                        <w:tab w:val="right" w:pos="9270"/>
                      </w:tabs>
                      <w:adjustRightInd w:val="0"/>
                      <w:snapToGrid w:val="0"/>
                      <w:rPr>
                        <w:szCs w:val="21"/>
                      </w:rPr>
                    </w:pPr>
                    <w:r>
                      <w:rPr>
                        <w:rFonts w:hint="eastAsia"/>
                        <w:szCs w:val="21"/>
                      </w:rPr>
                      <w:t>长期应付款</w:t>
                    </w:r>
                  </w:p>
                </w:tc>
              </w:sdtContent>
            </w:sdt>
            <w:tc>
              <w:tcPr>
                <w:tcW w:w="1582" w:type="pct"/>
                <w:shd w:val="clear" w:color="auto" w:fill="auto"/>
                <w:vAlign w:val="center"/>
              </w:tcPr>
              <w:p w:rsidR="001E2745" w:rsidRDefault="001E2745" w:rsidP="001E2745">
                <w:pPr>
                  <w:tabs>
                    <w:tab w:val="right" w:pos="3690"/>
                    <w:tab w:val="right" w:pos="5130"/>
                    <w:tab w:val="right" w:pos="6030"/>
                    <w:tab w:val="right" w:pos="7650"/>
                    <w:tab w:val="right" w:pos="9270"/>
                  </w:tabs>
                  <w:adjustRightInd w:val="0"/>
                  <w:snapToGrid w:val="0"/>
                  <w:jc w:val="right"/>
                  <w:rPr>
                    <w:szCs w:val="21"/>
                  </w:rPr>
                </w:pPr>
                <w:r>
                  <w:t>637,580</w:t>
                </w:r>
              </w:p>
            </w:tc>
            <w:tc>
              <w:tcPr>
                <w:tcW w:w="1590" w:type="pct"/>
                <w:shd w:val="clear" w:color="auto" w:fill="auto"/>
                <w:vAlign w:val="center"/>
              </w:tcPr>
              <w:p w:rsidR="001E2745" w:rsidRDefault="001E2745" w:rsidP="001E2745">
                <w:pPr>
                  <w:tabs>
                    <w:tab w:val="right" w:pos="3690"/>
                    <w:tab w:val="right" w:pos="5130"/>
                    <w:tab w:val="right" w:pos="6030"/>
                    <w:tab w:val="right" w:pos="7650"/>
                    <w:tab w:val="right" w:pos="9270"/>
                  </w:tabs>
                  <w:adjustRightInd w:val="0"/>
                  <w:snapToGrid w:val="0"/>
                  <w:jc w:val="right"/>
                  <w:rPr>
                    <w:szCs w:val="21"/>
                  </w:rPr>
                </w:pPr>
                <w:r>
                  <w:t>637,580</w:t>
                </w:r>
              </w:p>
            </w:tc>
          </w:tr>
          <w:tr w:rsidR="001E2745" w:rsidTr="00601D47">
            <w:sdt>
              <w:sdtPr>
                <w:tag w:val="_PLD_cad226dd1d604cc6893542d496caa458"/>
                <w:id w:val="1026983446"/>
                <w:lock w:val="sdtLocked"/>
              </w:sdtPr>
              <w:sdtContent>
                <w:tc>
                  <w:tcPr>
                    <w:tcW w:w="1828" w:type="pct"/>
                    <w:shd w:val="clear" w:color="auto" w:fill="auto"/>
                  </w:tcPr>
                  <w:p w:rsidR="001E2745" w:rsidRDefault="001E2745" w:rsidP="001E2745">
                    <w:pPr>
                      <w:tabs>
                        <w:tab w:val="right" w:pos="3690"/>
                        <w:tab w:val="right" w:pos="5130"/>
                        <w:tab w:val="right" w:pos="6030"/>
                        <w:tab w:val="right" w:pos="7650"/>
                        <w:tab w:val="right" w:pos="9270"/>
                      </w:tabs>
                      <w:adjustRightInd w:val="0"/>
                      <w:snapToGrid w:val="0"/>
                      <w:rPr>
                        <w:szCs w:val="21"/>
                      </w:rPr>
                    </w:pPr>
                    <w:r>
                      <w:rPr>
                        <w:rFonts w:hint="eastAsia"/>
                        <w:szCs w:val="21"/>
                      </w:rPr>
                      <w:t>专项应付款</w:t>
                    </w:r>
                  </w:p>
                </w:tc>
              </w:sdtContent>
            </w:sdt>
            <w:tc>
              <w:tcPr>
                <w:tcW w:w="1582" w:type="pct"/>
                <w:shd w:val="clear" w:color="auto" w:fill="auto"/>
                <w:vAlign w:val="center"/>
              </w:tcPr>
              <w:p w:rsidR="001E2745" w:rsidRDefault="001E2745" w:rsidP="001E2745">
                <w:pPr>
                  <w:tabs>
                    <w:tab w:val="right" w:pos="3690"/>
                    <w:tab w:val="right" w:pos="5130"/>
                    <w:tab w:val="right" w:pos="6030"/>
                    <w:tab w:val="right" w:pos="7650"/>
                    <w:tab w:val="right" w:pos="9270"/>
                  </w:tabs>
                  <w:adjustRightInd w:val="0"/>
                  <w:snapToGrid w:val="0"/>
                  <w:jc w:val="right"/>
                  <w:rPr>
                    <w:szCs w:val="21"/>
                  </w:rPr>
                </w:pPr>
                <w:r>
                  <w:t>62,082,342</w:t>
                </w:r>
              </w:p>
            </w:tc>
            <w:tc>
              <w:tcPr>
                <w:tcW w:w="1590" w:type="pct"/>
                <w:shd w:val="clear" w:color="auto" w:fill="auto"/>
                <w:vAlign w:val="center"/>
              </w:tcPr>
              <w:p w:rsidR="001E2745" w:rsidRDefault="001E2745" w:rsidP="001E2745">
                <w:pPr>
                  <w:tabs>
                    <w:tab w:val="right" w:pos="3690"/>
                    <w:tab w:val="right" w:pos="5130"/>
                    <w:tab w:val="right" w:pos="6030"/>
                    <w:tab w:val="right" w:pos="7650"/>
                    <w:tab w:val="right" w:pos="9270"/>
                  </w:tabs>
                  <w:adjustRightInd w:val="0"/>
                  <w:snapToGrid w:val="0"/>
                  <w:jc w:val="right"/>
                  <w:rPr>
                    <w:szCs w:val="21"/>
                  </w:rPr>
                </w:pPr>
                <w:r>
                  <w:t>60,206,165</w:t>
                </w:r>
              </w:p>
            </w:tc>
          </w:tr>
          <w:tr w:rsidR="001E2745" w:rsidTr="00601D47">
            <w:sdt>
              <w:sdtPr>
                <w:tag w:val="_PLD_6ea01a87c395412fbdb6e25e411fc93c"/>
                <w:id w:val="-1070113398"/>
                <w:lock w:val="sdtLocked"/>
              </w:sdtPr>
              <w:sdtContent>
                <w:tc>
                  <w:tcPr>
                    <w:tcW w:w="1828" w:type="pct"/>
                    <w:shd w:val="clear" w:color="auto" w:fill="auto"/>
                  </w:tcPr>
                  <w:p w:rsidR="001E2745" w:rsidRDefault="001E2745" w:rsidP="001E2745">
                    <w:pPr>
                      <w:tabs>
                        <w:tab w:val="right" w:pos="3690"/>
                        <w:tab w:val="right" w:pos="5130"/>
                        <w:tab w:val="right" w:pos="6030"/>
                        <w:tab w:val="right" w:pos="7650"/>
                        <w:tab w:val="right" w:pos="9270"/>
                      </w:tabs>
                      <w:adjustRightInd w:val="0"/>
                      <w:snapToGrid w:val="0"/>
                      <w:rPr>
                        <w:szCs w:val="21"/>
                      </w:rPr>
                    </w:pPr>
                    <w:r>
                      <w:rPr>
                        <w:rFonts w:hint="eastAsia"/>
                        <w:szCs w:val="21"/>
                      </w:rPr>
                      <w:t>合计</w:t>
                    </w:r>
                  </w:p>
                </w:tc>
              </w:sdtContent>
            </w:sdt>
            <w:tc>
              <w:tcPr>
                <w:tcW w:w="1582" w:type="pct"/>
                <w:shd w:val="clear" w:color="auto" w:fill="auto"/>
                <w:vAlign w:val="center"/>
              </w:tcPr>
              <w:p w:rsidR="001E2745" w:rsidRDefault="001E2745" w:rsidP="001E2745">
                <w:pPr>
                  <w:tabs>
                    <w:tab w:val="right" w:pos="3690"/>
                    <w:tab w:val="right" w:pos="5130"/>
                    <w:tab w:val="right" w:pos="6030"/>
                    <w:tab w:val="right" w:pos="7650"/>
                    <w:tab w:val="right" w:pos="9270"/>
                  </w:tabs>
                  <w:adjustRightInd w:val="0"/>
                  <w:snapToGrid w:val="0"/>
                  <w:jc w:val="right"/>
                  <w:rPr>
                    <w:szCs w:val="21"/>
                  </w:rPr>
                </w:pPr>
                <w:r>
                  <w:t>62,719,922</w:t>
                </w:r>
              </w:p>
            </w:tc>
            <w:tc>
              <w:tcPr>
                <w:tcW w:w="1590" w:type="pct"/>
                <w:shd w:val="clear" w:color="auto" w:fill="auto"/>
                <w:vAlign w:val="center"/>
              </w:tcPr>
              <w:p w:rsidR="001E2745" w:rsidRDefault="001E2745" w:rsidP="001E2745">
                <w:pPr>
                  <w:tabs>
                    <w:tab w:val="right" w:pos="3690"/>
                    <w:tab w:val="right" w:pos="5130"/>
                    <w:tab w:val="right" w:pos="6030"/>
                    <w:tab w:val="right" w:pos="7650"/>
                    <w:tab w:val="right" w:pos="9270"/>
                  </w:tabs>
                  <w:adjustRightInd w:val="0"/>
                  <w:snapToGrid w:val="0"/>
                  <w:jc w:val="right"/>
                  <w:rPr>
                    <w:szCs w:val="21"/>
                  </w:rPr>
                </w:pPr>
                <w:r>
                  <w:t>60,843,745</w:t>
                </w:r>
              </w:p>
            </w:tc>
          </w:tr>
        </w:tbl>
        <w:p w:rsidR="00806678" w:rsidRDefault="00F80B6C"/>
      </w:sdtContent>
    </w:sdt>
    <w:bookmarkEnd w:id="225" w:displacedByCustomXml="next"/>
    <w:bookmarkStart w:id="226" w:name="_Hlk532911057" w:displacedByCustomXml="next"/>
    <w:sdt>
      <w:sdtPr>
        <w:rPr>
          <w:rFonts w:hint="eastAsia"/>
          <w:szCs w:val="21"/>
        </w:rPr>
        <w:alias w:val="模块:长期应付款分类列示其他说明"/>
        <w:tag w:val="_SEC_a0c78ab4e7864eb6ad0f9eb868ed1718"/>
        <w:id w:val="-1359961162"/>
        <w:lock w:val="sdtLocked"/>
        <w:placeholder>
          <w:docPart w:val="GBC22222222222222222222222222222"/>
        </w:placeholder>
      </w:sdtPr>
      <w:sdtContent>
        <w:p w:rsidR="00806678" w:rsidRDefault="00B16377">
          <w:pPr>
            <w:rPr>
              <w:szCs w:val="21"/>
            </w:rPr>
          </w:pPr>
          <w:r>
            <w:rPr>
              <w:rFonts w:hint="eastAsia"/>
              <w:szCs w:val="21"/>
            </w:rPr>
            <w:t>其他说明：</w:t>
          </w:r>
        </w:p>
        <w:sdt>
          <w:sdtPr>
            <w:rPr>
              <w:szCs w:val="21"/>
            </w:rPr>
            <w:alias w:val="是否适用：长期应付款分类列示其他说明[双击切换]"/>
            <w:tag w:val="_GBC_e7daa7f55cea4e3d835be6ee6457b35d"/>
            <w:id w:val="-1452779306"/>
            <w:lock w:val="sdtLocked"/>
            <w:placeholder>
              <w:docPart w:val="GBC22222222222222222222222222222"/>
            </w:placeholder>
          </w:sdtPr>
          <w:sdtContent>
            <w:p w:rsidR="00806678" w:rsidRDefault="00F80B6C" w:rsidP="00854A8E">
              <w:pPr>
                <w:rPr>
                  <w:szCs w:val="21"/>
                </w:rPr>
              </w:pPr>
              <w:r>
                <w:rPr>
                  <w:szCs w:val="21"/>
                </w:rPr>
                <w:fldChar w:fldCharType="begin"/>
              </w:r>
              <w:r w:rsidR="00854A8E">
                <w:rPr>
                  <w:szCs w:val="21"/>
                </w:rPr>
                <w:instrText xml:space="preserve"> MACROBUTTON  SnrToggleCheckbox □适用 </w:instrText>
              </w:r>
              <w:r>
                <w:rPr>
                  <w:szCs w:val="21"/>
                </w:rPr>
                <w:fldChar w:fldCharType="end"/>
              </w:r>
              <w:r>
                <w:rPr>
                  <w:szCs w:val="21"/>
                </w:rPr>
                <w:fldChar w:fldCharType="begin"/>
              </w:r>
              <w:r w:rsidR="00854A8E">
                <w:rPr>
                  <w:szCs w:val="21"/>
                </w:rPr>
                <w:instrText xml:space="preserve"> MACROBUTTON  SnrToggleCheckbox √不适用 </w:instrText>
              </w:r>
              <w:r>
                <w:rPr>
                  <w:szCs w:val="21"/>
                </w:rPr>
                <w:fldChar w:fldCharType="end"/>
              </w:r>
            </w:p>
          </w:sdtContent>
        </w:sdt>
        <w:p w:rsidR="00806678" w:rsidRDefault="00F80B6C">
          <w:pPr>
            <w:rPr>
              <w:szCs w:val="21"/>
            </w:rPr>
          </w:pPr>
        </w:p>
      </w:sdtContent>
    </w:sdt>
    <w:bookmarkEnd w:id="226" w:displacedByCustomXml="prev"/>
    <w:p w:rsidR="00806678" w:rsidRDefault="00B16377">
      <w:pPr>
        <w:pStyle w:val="4"/>
        <w:ind w:left="360" w:hanging="360"/>
      </w:pPr>
      <w:r>
        <w:rPr>
          <w:rFonts w:hint="eastAsia"/>
        </w:rPr>
        <w:t>长期应付款</w:t>
      </w:r>
    </w:p>
    <w:sdt>
      <w:sdtPr>
        <w:rPr>
          <w:rFonts w:asciiTheme="minorHAnsi" w:eastAsia="宋体" w:hAnsiTheme="minorHAnsi" w:cstheme="minorBidi"/>
          <w:b w:val="0"/>
          <w:bCs w:val="0"/>
          <w:kern w:val="0"/>
          <w:szCs w:val="24"/>
        </w:rPr>
        <w:alias w:val="模块:按款项性质列示长期应付款"/>
        <w:tag w:val="_SEC_7376b335bb274b24970a93a74d17b7c6"/>
        <w:id w:val="1083190155"/>
        <w:lock w:val="sdtLocked"/>
        <w:placeholder>
          <w:docPart w:val="GBC22222222222222222222222222222"/>
        </w:placeholder>
      </w:sdtPr>
      <w:sdtEndPr>
        <w:rPr>
          <w:rFonts w:ascii="宋体" w:hAnsi="宋体"/>
          <w:szCs w:val="21"/>
        </w:rPr>
      </w:sdtEndPr>
      <w:sdtContent>
        <w:p w:rsidR="00806678" w:rsidRDefault="00B16377" w:rsidP="00FF17C7">
          <w:pPr>
            <w:pStyle w:val="4"/>
            <w:numPr>
              <w:ilvl w:val="0"/>
              <w:numId w:val="96"/>
            </w:numPr>
            <w:ind w:left="426" w:hanging="426"/>
          </w:pPr>
          <w:r>
            <w:rPr>
              <w:rFonts w:hint="eastAsia"/>
            </w:rPr>
            <w:t>按款项性质列示长期应付款</w:t>
          </w:r>
        </w:p>
        <w:sdt>
          <w:sdtPr>
            <w:alias w:val="是否适用：按款项性质列示长期应付款[双击切换]"/>
            <w:tag w:val="_GBC_6a4cca7cce5341018cd4836f32746cd9"/>
            <w:id w:val="-122308964"/>
            <w:lock w:val="sdtLocked"/>
            <w:placeholder>
              <w:docPart w:val="GBC22222222222222222222222222222"/>
            </w:placeholder>
          </w:sdtPr>
          <w:sdtContent>
            <w:p w:rsidR="00806678" w:rsidRDefault="00F80B6C">
              <w:r>
                <w:fldChar w:fldCharType="begin"/>
              </w:r>
              <w:r w:rsidR="00854A8E">
                <w:instrText xml:space="preserve">MACROBUTTON  SnrToggleCheckbox √适用 </w:instrText>
              </w:r>
              <w:r>
                <w:fldChar w:fldCharType="end"/>
              </w:r>
              <w:r>
                <w:fldChar w:fldCharType="begin"/>
              </w:r>
              <w:r w:rsidR="00854A8E">
                <w:instrText xml:space="preserve"> MACROBUTTON  SnrToggleCheckbox □不适用 </w:instrText>
              </w:r>
              <w:r>
                <w:fldChar w:fldCharType="end"/>
              </w:r>
            </w:p>
          </w:sdtContent>
        </w:sdt>
        <w:p w:rsidR="00806678" w:rsidRDefault="00B16377">
          <w:pPr>
            <w:jc w:val="right"/>
            <w:rPr>
              <w:szCs w:val="21"/>
            </w:rPr>
          </w:pPr>
          <w:r>
            <w:rPr>
              <w:rFonts w:hint="eastAsia"/>
              <w:szCs w:val="21"/>
            </w:rPr>
            <w:t>单位：</w:t>
          </w:r>
          <w:sdt>
            <w:sdtPr>
              <w:rPr>
                <w:rFonts w:hint="eastAsia"/>
                <w:szCs w:val="21"/>
              </w:rPr>
              <w:alias w:val="单位：财务附注：长期应付款"/>
              <w:tag w:val="_GBC_ddf7b9d28f164198ac6c2f6a82b47d41"/>
              <w:id w:val="-5501503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长期应付款"/>
              <w:tag w:val="_GBC_f93228408d4f48699309d8ab4da673ba"/>
              <w:id w:val="-205283766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3209"/>
            <w:gridCol w:w="2924"/>
            <w:gridCol w:w="2926"/>
          </w:tblGrid>
          <w:tr w:rsidR="00806678" w:rsidTr="001E2B27">
            <w:trPr>
              <w:cantSplit/>
              <w:trHeight w:val="307"/>
            </w:trPr>
            <w:sdt>
              <w:sdtPr>
                <w:tag w:val="_PLD_80697eb0741143188d1783ddd81c2db2"/>
                <w:id w:val="-652296594"/>
                <w:lock w:val="sdtLocked"/>
              </w:sdtPr>
              <w:sdtContent>
                <w:tc>
                  <w:tcPr>
                    <w:tcW w:w="1771" w:type="pct"/>
                    <w:shd w:val="clear" w:color="auto" w:fill="auto"/>
                    <w:vAlign w:val="center"/>
                  </w:tcPr>
                  <w:p w:rsidR="00806678" w:rsidRDefault="00B16377">
                    <w:pPr>
                      <w:jc w:val="center"/>
                      <w:rPr>
                        <w:szCs w:val="21"/>
                      </w:rPr>
                    </w:pPr>
                    <w:r>
                      <w:rPr>
                        <w:rFonts w:hint="eastAsia"/>
                        <w:szCs w:val="21"/>
                      </w:rPr>
                      <w:t>项目</w:t>
                    </w:r>
                  </w:p>
                </w:tc>
              </w:sdtContent>
            </w:sdt>
            <w:sdt>
              <w:sdtPr>
                <w:tag w:val="_PLD_b45e38f9b06048e18bf5d20429299b7b"/>
                <w:id w:val="-452404982"/>
                <w:lock w:val="sdtLocked"/>
              </w:sdtPr>
              <w:sdtContent>
                <w:tc>
                  <w:tcPr>
                    <w:tcW w:w="1614" w:type="pct"/>
                    <w:shd w:val="clear" w:color="auto" w:fill="auto"/>
                    <w:vAlign w:val="center"/>
                  </w:tcPr>
                  <w:p w:rsidR="00806678" w:rsidRDefault="00B16377">
                    <w:pPr>
                      <w:jc w:val="center"/>
                      <w:rPr>
                        <w:szCs w:val="21"/>
                      </w:rPr>
                    </w:pPr>
                    <w:r>
                      <w:rPr>
                        <w:rFonts w:hint="eastAsia"/>
                        <w:szCs w:val="21"/>
                      </w:rPr>
                      <w:t>期末余额</w:t>
                    </w:r>
                  </w:p>
                </w:tc>
              </w:sdtContent>
            </w:sdt>
            <w:sdt>
              <w:sdtPr>
                <w:tag w:val="_PLD_361897af892e4de98bc2cf056e2b512c"/>
                <w:id w:val="-852888640"/>
                <w:lock w:val="sdtLocked"/>
              </w:sdtPr>
              <w:sdtContent>
                <w:tc>
                  <w:tcPr>
                    <w:tcW w:w="1615" w:type="pct"/>
                    <w:shd w:val="clear" w:color="auto" w:fill="auto"/>
                    <w:vAlign w:val="center"/>
                  </w:tcPr>
                  <w:p w:rsidR="00806678" w:rsidRDefault="00B16377">
                    <w:pPr>
                      <w:jc w:val="center"/>
                      <w:rPr>
                        <w:szCs w:val="21"/>
                      </w:rPr>
                    </w:pPr>
                    <w:r>
                      <w:rPr>
                        <w:rFonts w:hint="eastAsia"/>
                        <w:szCs w:val="21"/>
                      </w:rPr>
                      <w:t>期初余额</w:t>
                    </w:r>
                  </w:p>
                </w:tc>
              </w:sdtContent>
            </w:sdt>
          </w:tr>
          <w:sdt>
            <w:sdtPr>
              <w:rPr>
                <w:szCs w:val="21"/>
              </w:rPr>
              <w:alias w:val="按款项性质列示长期应付款明细"/>
              <w:tag w:val="_TUP_582d211f6f954856bfeb99df9433b25f"/>
              <w:id w:val="1114173502"/>
              <w:lock w:val="sdtLocked"/>
            </w:sdtPr>
            <w:sdtEndPr>
              <w:rPr>
                <w:rFonts w:hint="eastAsia"/>
              </w:rPr>
            </w:sdtEndPr>
            <w:sdtContent>
              <w:tr w:rsidR="00806678" w:rsidTr="001E2B27">
                <w:trPr>
                  <w:cantSplit/>
                  <w:trHeight w:val="186"/>
                </w:trPr>
                <w:tc>
                  <w:tcPr>
                    <w:tcW w:w="1771" w:type="pct"/>
                  </w:tcPr>
                  <w:p w:rsidR="00806678" w:rsidRDefault="00CD12C5" w:rsidP="00CD12C5">
                    <w:pPr>
                      <w:rPr>
                        <w:szCs w:val="21"/>
                      </w:rPr>
                    </w:pPr>
                    <w:r>
                      <w:rPr>
                        <w:rFonts w:hint="eastAsia"/>
                        <w:szCs w:val="21"/>
                      </w:rPr>
                      <w:t>应付融资租赁款</w:t>
                    </w:r>
                    <w:r>
                      <w:rPr>
                        <w:szCs w:val="21"/>
                      </w:rPr>
                      <w:t xml:space="preserve"> </w:t>
                    </w:r>
                  </w:p>
                </w:tc>
                <w:tc>
                  <w:tcPr>
                    <w:tcW w:w="1614" w:type="pct"/>
                  </w:tcPr>
                  <w:p w:rsidR="00806678" w:rsidRDefault="00CD12C5">
                    <w:pPr>
                      <w:jc w:val="right"/>
                      <w:rPr>
                        <w:szCs w:val="21"/>
                      </w:rPr>
                    </w:pPr>
                    <w:r>
                      <w:rPr>
                        <w:szCs w:val="21"/>
                      </w:rPr>
                      <w:t>0</w:t>
                    </w:r>
                  </w:p>
                </w:tc>
                <w:tc>
                  <w:tcPr>
                    <w:tcW w:w="1615" w:type="pct"/>
                  </w:tcPr>
                  <w:p w:rsidR="00806678" w:rsidRDefault="00CD12C5">
                    <w:pPr>
                      <w:jc w:val="right"/>
                      <w:rPr>
                        <w:szCs w:val="21"/>
                      </w:rPr>
                    </w:pPr>
                    <w:r>
                      <w:rPr>
                        <w:szCs w:val="21"/>
                      </w:rPr>
                      <w:t>0</w:t>
                    </w:r>
                  </w:p>
                </w:tc>
              </w:tr>
            </w:sdtContent>
          </w:sdt>
          <w:sdt>
            <w:sdtPr>
              <w:rPr>
                <w:szCs w:val="21"/>
              </w:rPr>
              <w:alias w:val="按款项性质列示长期应付款明细"/>
              <w:tag w:val="_TUP_582d211f6f954856bfeb99df9433b25f"/>
              <w:id w:val="33112340"/>
              <w:lock w:val="sdtLocked"/>
            </w:sdtPr>
            <w:sdtEndPr>
              <w:rPr>
                <w:rFonts w:hint="eastAsia"/>
              </w:rPr>
            </w:sdtEndPr>
            <w:sdtContent>
              <w:tr w:rsidR="00806678" w:rsidTr="001E2B27">
                <w:trPr>
                  <w:cantSplit/>
                  <w:trHeight w:val="186"/>
                </w:trPr>
                <w:tc>
                  <w:tcPr>
                    <w:tcW w:w="1771" w:type="pct"/>
                  </w:tcPr>
                  <w:p w:rsidR="00806678" w:rsidRDefault="00CD12C5" w:rsidP="00CD12C5">
                    <w:pPr>
                      <w:rPr>
                        <w:szCs w:val="21"/>
                      </w:rPr>
                    </w:pPr>
                    <w:r>
                      <w:rPr>
                        <w:rFonts w:hint="eastAsia"/>
                        <w:szCs w:val="21"/>
                      </w:rPr>
                      <w:t>其他</w:t>
                    </w:r>
                    <w:r>
                      <w:rPr>
                        <w:szCs w:val="21"/>
                      </w:rPr>
                      <w:t xml:space="preserve"> </w:t>
                    </w:r>
                  </w:p>
                </w:tc>
                <w:tc>
                  <w:tcPr>
                    <w:tcW w:w="1614" w:type="pct"/>
                  </w:tcPr>
                  <w:p w:rsidR="00806678" w:rsidRDefault="00EF5028">
                    <w:pPr>
                      <w:jc w:val="right"/>
                      <w:rPr>
                        <w:szCs w:val="21"/>
                      </w:rPr>
                    </w:pPr>
                    <w:r>
                      <w:rPr>
                        <w:szCs w:val="21"/>
                      </w:rPr>
                      <w:t>637,580</w:t>
                    </w:r>
                  </w:p>
                </w:tc>
                <w:tc>
                  <w:tcPr>
                    <w:tcW w:w="1615" w:type="pct"/>
                  </w:tcPr>
                  <w:p w:rsidR="00806678" w:rsidRDefault="00EF5028">
                    <w:pPr>
                      <w:jc w:val="right"/>
                      <w:rPr>
                        <w:szCs w:val="21"/>
                      </w:rPr>
                    </w:pPr>
                    <w:r>
                      <w:rPr>
                        <w:szCs w:val="21"/>
                      </w:rPr>
                      <w:t>637,580</w:t>
                    </w:r>
                  </w:p>
                </w:tc>
              </w:tr>
            </w:sdtContent>
          </w:sdt>
          <w:sdt>
            <w:sdtPr>
              <w:rPr>
                <w:szCs w:val="21"/>
              </w:rPr>
              <w:alias w:val="按款项性质列示长期应付款明细"/>
              <w:tag w:val="_TUP_582d211f6f954856bfeb99df9433b25f"/>
              <w:id w:val="-2080053238"/>
              <w:lock w:val="sdtLocked"/>
            </w:sdtPr>
            <w:sdtEndPr>
              <w:rPr>
                <w:rFonts w:hint="eastAsia"/>
              </w:rPr>
            </w:sdtEndPr>
            <w:sdtContent>
              <w:tr w:rsidR="00CD12C5" w:rsidTr="001E2B27">
                <w:trPr>
                  <w:cantSplit/>
                  <w:trHeight w:val="186"/>
                </w:trPr>
                <w:tc>
                  <w:tcPr>
                    <w:tcW w:w="1771" w:type="pct"/>
                  </w:tcPr>
                  <w:p w:rsidR="00CD12C5" w:rsidRDefault="00CD12C5">
                    <w:pPr>
                      <w:rPr>
                        <w:szCs w:val="21"/>
                      </w:rPr>
                    </w:pPr>
                    <w:r>
                      <w:rPr>
                        <w:rFonts w:hint="eastAsia"/>
                        <w:szCs w:val="21"/>
                      </w:rPr>
                      <w:t>减：一年内到期的长期应付款</w:t>
                    </w:r>
                    <w:r>
                      <w:rPr>
                        <w:szCs w:val="21"/>
                      </w:rPr>
                      <w:t xml:space="preserve"> </w:t>
                    </w:r>
                  </w:p>
                </w:tc>
                <w:tc>
                  <w:tcPr>
                    <w:tcW w:w="1614" w:type="pct"/>
                  </w:tcPr>
                  <w:p w:rsidR="00CD12C5" w:rsidRDefault="00CD12C5">
                    <w:pPr>
                      <w:jc w:val="right"/>
                      <w:rPr>
                        <w:szCs w:val="21"/>
                      </w:rPr>
                    </w:pPr>
                    <w:r>
                      <w:rPr>
                        <w:szCs w:val="21"/>
                      </w:rPr>
                      <w:t>0</w:t>
                    </w:r>
                  </w:p>
                </w:tc>
                <w:tc>
                  <w:tcPr>
                    <w:tcW w:w="1615" w:type="pct"/>
                  </w:tcPr>
                  <w:p w:rsidR="00CD12C5" w:rsidRDefault="00CD12C5">
                    <w:pPr>
                      <w:jc w:val="right"/>
                      <w:rPr>
                        <w:szCs w:val="21"/>
                      </w:rPr>
                    </w:pPr>
                    <w:r>
                      <w:rPr>
                        <w:szCs w:val="21"/>
                      </w:rPr>
                      <w:t>0</w:t>
                    </w:r>
                  </w:p>
                </w:tc>
              </w:tr>
            </w:sdtContent>
          </w:sdt>
          <w:sdt>
            <w:sdtPr>
              <w:rPr>
                <w:szCs w:val="21"/>
              </w:rPr>
              <w:alias w:val="按款项性质列示长期应付款明细"/>
              <w:tag w:val="_TUP_582d211f6f954856bfeb99df9433b25f"/>
              <w:id w:val="1946025679"/>
              <w:lock w:val="sdtLocked"/>
            </w:sdtPr>
            <w:sdtEndPr>
              <w:rPr>
                <w:rFonts w:hint="eastAsia"/>
              </w:rPr>
            </w:sdtEndPr>
            <w:sdtContent>
              <w:tr w:rsidR="00CD12C5" w:rsidTr="001E2B27">
                <w:trPr>
                  <w:cantSplit/>
                  <w:trHeight w:val="186"/>
                </w:trPr>
                <w:tc>
                  <w:tcPr>
                    <w:tcW w:w="1771" w:type="pct"/>
                  </w:tcPr>
                  <w:p w:rsidR="00CD12C5" w:rsidRDefault="00CD12C5">
                    <w:pPr>
                      <w:rPr>
                        <w:szCs w:val="21"/>
                      </w:rPr>
                    </w:pPr>
                    <w:r w:rsidRPr="00CD12C5">
                      <w:rPr>
                        <w:rFonts w:hint="eastAsia"/>
                        <w:szCs w:val="21"/>
                      </w:rPr>
                      <w:t>合计</w:t>
                    </w:r>
                  </w:p>
                </w:tc>
                <w:tc>
                  <w:tcPr>
                    <w:tcW w:w="1614" w:type="pct"/>
                  </w:tcPr>
                  <w:p w:rsidR="00CD12C5" w:rsidRDefault="00EF5028">
                    <w:pPr>
                      <w:jc w:val="right"/>
                      <w:rPr>
                        <w:szCs w:val="21"/>
                      </w:rPr>
                    </w:pPr>
                    <w:r>
                      <w:rPr>
                        <w:szCs w:val="21"/>
                      </w:rPr>
                      <w:t>637,580</w:t>
                    </w:r>
                  </w:p>
                </w:tc>
                <w:tc>
                  <w:tcPr>
                    <w:tcW w:w="1615" w:type="pct"/>
                  </w:tcPr>
                  <w:p w:rsidR="00CD12C5" w:rsidRDefault="00EF5028">
                    <w:pPr>
                      <w:jc w:val="right"/>
                      <w:rPr>
                        <w:szCs w:val="21"/>
                      </w:rPr>
                    </w:pPr>
                    <w:r>
                      <w:rPr>
                        <w:szCs w:val="21"/>
                      </w:rPr>
                      <w:t>637,580</w:t>
                    </w:r>
                  </w:p>
                </w:tc>
              </w:tr>
            </w:sdtContent>
          </w:sdt>
        </w:tbl>
        <w:p w:rsidR="00806678" w:rsidRDefault="00B16377">
          <w:pPr>
            <w:snapToGrid w:val="0"/>
            <w:spacing w:before="60" w:after="60" w:line="240" w:lineRule="atLeast"/>
            <w:rPr>
              <w:szCs w:val="21"/>
            </w:rPr>
          </w:pPr>
          <w:r>
            <w:rPr>
              <w:rFonts w:hint="eastAsia"/>
              <w:szCs w:val="21"/>
            </w:rPr>
            <w:lastRenderedPageBreak/>
            <w:t>其他说明：</w:t>
          </w:r>
        </w:p>
        <w:p w:rsidR="00806678" w:rsidRDefault="00F80B6C">
          <w:pPr>
            <w:snapToGrid w:val="0"/>
            <w:spacing w:line="240" w:lineRule="atLeast"/>
            <w:rPr>
              <w:szCs w:val="21"/>
            </w:rPr>
          </w:pPr>
          <w:sdt>
            <w:sdtPr>
              <w:rPr>
                <w:szCs w:val="21"/>
              </w:rPr>
              <w:alias w:val="长期应付款的说明"/>
              <w:tag w:val="_GBC_1e1004e075cc4ec6b1e314219a582067"/>
              <w:id w:val="-82772790"/>
              <w:lock w:val="sdtLocked"/>
              <w:placeholder>
                <w:docPart w:val="GBC22222222222222222222222222222"/>
              </w:placeholder>
            </w:sdtPr>
            <w:sdtContent>
              <w:r w:rsidR="001D5F54">
                <w:rPr>
                  <w:rFonts w:hint="eastAsia"/>
                  <w:szCs w:val="21"/>
                </w:rPr>
                <w:t>无</w:t>
              </w:r>
            </w:sdtContent>
          </w:sdt>
        </w:p>
        <w:p w:rsidR="00806678" w:rsidRDefault="00F80B6C">
          <w:pPr>
            <w:snapToGrid w:val="0"/>
            <w:spacing w:line="240" w:lineRule="atLeast"/>
            <w:rPr>
              <w:rFonts w:cstheme="minorBidi"/>
              <w:szCs w:val="21"/>
            </w:rPr>
          </w:pPr>
        </w:p>
      </w:sdtContent>
    </w:sdt>
    <w:sdt>
      <w:sdtPr>
        <w:rPr>
          <w:rFonts w:ascii="宋体" w:eastAsia="宋体" w:hAnsi="宋体" w:cs="宋体" w:hint="eastAsia"/>
          <w:b w:val="0"/>
          <w:bCs w:val="0"/>
          <w:kern w:val="0"/>
          <w:szCs w:val="24"/>
        </w:rPr>
        <w:alias w:val="模块:专项应付款"/>
        <w:tag w:val="_SEC_0a84e0b09fc64975bf9a126557085875"/>
        <w:id w:val="-1231535933"/>
        <w:lock w:val="sdtLocked"/>
        <w:placeholder>
          <w:docPart w:val="GBC22222222222222222222222222222"/>
        </w:placeholder>
      </w:sdtPr>
      <w:sdtEndPr>
        <w:rPr>
          <w:rFonts w:cstheme="minorBidi" w:hint="default"/>
          <w:color w:val="000000" w:themeColor="text1"/>
          <w:kern w:val="2"/>
          <w:szCs w:val="21"/>
        </w:rPr>
      </w:sdtEndPr>
      <w:sdtContent>
        <w:p w:rsidR="00806678" w:rsidRDefault="00B16377">
          <w:pPr>
            <w:pStyle w:val="4"/>
            <w:ind w:left="360" w:hanging="360"/>
          </w:pPr>
          <w:r>
            <w:rPr>
              <w:rFonts w:hint="eastAsia"/>
            </w:rPr>
            <w:t>专项应付款</w:t>
          </w:r>
        </w:p>
        <w:p w:rsidR="00806678" w:rsidRDefault="00B16377" w:rsidP="00FF17C7">
          <w:pPr>
            <w:pStyle w:val="4"/>
            <w:numPr>
              <w:ilvl w:val="0"/>
              <w:numId w:val="97"/>
            </w:numPr>
            <w:ind w:left="426" w:hanging="426"/>
          </w:pPr>
          <w:r>
            <w:rPr>
              <w:rFonts w:hint="eastAsia"/>
            </w:rPr>
            <w:t>按款项性质列示专项应付款</w:t>
          </w:r>
        </w:p>
        <w:sdt>
          <w:sdtPr>
            <w:alias w:val="是否适用：专项应付款[双击切换]"/>
            <w:tag w:val="_GBC_857ddecb5bce4a0f99e428cd2635aa03"/>
            <w:id w:val="1401256933"/>
            <w:lock w:val="sdtLocked"/>
            <w:placeholder>
              <w:docPart w:val="GBC22222222222222222222222222222"/>
            </w:placeholder>
          </w:sdtPr>
          <w:sdtContent>
            <w:p w:rsidR="00112F3E" w:rsidRDefault="00F80B6C" w:rsidP="00112F3E">
              <w:pPr>
                <w:rPr>
                  <w:szCs w:val="21"/>
                </w:rPr>
              </w:pPr>
              <w:r>
                <w:fldChar w:fldCharType="begin"/>
              </w:r>
              <w:r w:rsidR="00112F3E">
                <w:instrText xml:space="preserve">MACROBUTTON  SnrToggleCheckbox □适用 </w:instrText>
              </w:r>
              <w:r>
                <w:fldChar w:fldCharType="end"/>
              </w:r>
              <w:r>
                <w:fldChar w:fldCharType="begin"/>
              </w:r>
              <w:r w:rsidR="00112F3E">
                <w:instrText xml:space="preserve"> MACROBUTTON  SnrToggleCheckbox √不适用 </w:instrText>
              </w:r>
              <w:r>
                <w:fldChar w:fldCharType="end"/>
              </w:r>
            </w:p>
          </w:sdtContent>
        </w:sdt>
        <w:p w:rsidR="00806678" w:rsidRDefault="00F80B6C">
          <w:pPr>
            <w:snapToGrid w:val="0"/>
            <w:rPr>
              <w:szCs w:val="21"/>
            </w:rPr>
          </w:pPr>
        </w:p>
      </w:sdtContent>
    </w:sdt>
    <w:p w:rsidR="00806678" w:rsidRDefault="00B16377" w:rsidP="00FF17C7">
      <w:pPr>
        <w:pStyle w:val="3"/>
        <w:numPr>
          <w:ilvl w:val="0"/>
          <w:numId w:val="18"/>
        </w:numPr>
        <w:tabs>
          <w:tab w:val="left" w:pos="504"/>
        </w:tabs>
        <w:rPr>
          <w:szCs w:val="21"/>
        </w:rPr>
      </w:pPr>
      <w:r>
        <w:rPr>
          <w:rFonts w:hint="eastAsia"/>
          <w:szCs w:val="21"/>
        </w:rPr>
        <w:t>长期应付职工薪酬</w:t>
      </w:r>
    </w:p>
    <w:sdt>
      <w:sdtPr>
        <w:alias w:val="是否适用：长期应付职工薪酬[双击切换]"/>
        <w:tag w:val="_GBC_24f9546075204a64926cf2cb24e64f0e"/>
        <w:id w:val="-82607269"/>
        <w:lock w:val="sdtLocked"/>
        <w:placeholder>
          <w:docPart w:val="GBC22222222222222222222222222222"/>
        </w:placeholder>
      </w:sdtPr>
      <w:sdtContent>
        <w:p w:rsidR="00806678" w:rsidRDefault="00F80B6C">
          <w:r>
            <w:fldChar w:fldCharType="begin"/>
          </w:r>
          <w:r w:rsidR="00112F3E">
            <w:instrText xml:space="preserve">MACROBUTTON  SnrToggleCheckbox √适用 </w:instrText>
          </w:r>
          <w:r>
            <w:fldChar w:fldCharType="end"/>
          </w:r>
          <w:r>
            <w:fldChar w:fldCharType="begin"/>
          </w:r>
          <w:r w:rsidR="00112F3E">
            <w:instrText xml:space="preserve"> MACROBUTTON  SnrToggleCheckbox □不适用 </w:instrText>
          </w:r>
          <w:r>
            <w:fldChar w:fldCharType="end"/>
          </w:r>
        </w:p>
      </w:sdtContent>
    </w:sdt>
    <w:sdt>
      <w:sdtPr>
        <w:rPr>
          <w:rFonts w:ascii="宋体" w:eastAsia="宋体" w:hAnsi="宋体" w:cs="宋体" w:hint="eastAsia"/>
          <w:b w:val="0"/>
          <w:bCs w:val="0"/>
          <w:kern w:val="0"/>
          <w:szCs w:val="24"/>
        </w:rPr>
        <w:alias w:val="模块:长期应付职工薪酬"/>
        <w:tag w:val="_SEC_9e1dffe6ae18444d97446014b297dd69"/>
        <w:id w:val="-2068629770"/>
        <w:lock w:val="sdtLocked"/>
        <w:placeholder>
          <w:docPart w:val="GBC22222222222222222222222222222"/>
        </w:placeholder>
      </w:sdtPr>
      <w:sdtContent>
        <w:p w:rsidR="00806678" w:rsidRDefault="00B16377" w:rsidP="00FF17C7">
          <w:pPr>
            <w:pStyle w:val="4"/>
            <w:numPr>
              <w:ilvl w:val="0"/>
              <w:numId w:val="98"/>
            </w:numPr>
            <w:ind w:left="426" w:hanging="426"/>
          </w:pPr>
          <w:r>
            <w:rPr>
              <w:rFonts w:hint="eastAsia"/>
            </w:rPr>
            <w:t>长期应付职工薪酬表</w:t>
          </w:r>
        </w:p>
        <w:sdt>
          <w:sdtPr>
            <w:alias w:val="是否适用：长期应付职工薪酬表[双击切换]"/>
            <w:tag w:val="_GBC_b44de9fd198c4a3499852d2770fe541b"/>
            <w:id w:val="386538121"/>
            <w:lock w:val="sdtLocked"/>
            <w:placeholder>
              <w:docPart w:val="GBC22222222222222222222222222222"/>
            </w:placeholder>
          </w:sdtPr>
          <w:sdtContent>
            <w:p w:rsidR="00806678" w:rsidRDefault="00F80B6C">
              <w:r>
                <w:fldChar w:fldCharType="begin"/>
              </w:r>
              <w:r w:rsidR="009C54D9">
                <w:instrText xml:space="preserve">MACROBUTTON  SnrToggleCheckbox √适用 </w:instrText>
              </w:r>
              <w:r>
                <w:fldChar w:fldCharType="end"/>
              </w:r>
              <w:r>
                <w:fldChar w:fldCharType="begin"/>
              </w:r>
              <w:r w:rsidR="009C54D9">
                <w:instrText xml:space="preserve"> MACROBUTTON  SnrToggleCheckbox □不适用 </w:instrText>
              </w:r>
              <w:r>
                <w:fldChar w:fldCharType="end"/>
              </w:r>
            </w:p>
          </w:sdtContent>
        </w:sdt>
        <w:p w:rsidR="00806678" w:rsidRDefault="00B16377">
          <w:pPr>
            <w:jc w:val="right"/>
          </w:pPr>
          <w:r>
            <w:rPr>
              <w:rFonts w:hint="eastAsia"/>
            </w:rPr>
            <w:t>单位：</w:t>
          </w:r>
          <w:sdt>
            <w:sdtPr>
              <w:rPr>
                <w:rFonts w:hint="eastAsia"/>
              </w:rPr>
              <w:alias w:val="单位：财务附注：长期应付职工薪酬"/>
              <w:tag w:val="_GBC_494e432bb7b842a4b2966c2a30e46b7c"/>
              <w:id w:val="-72091000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长期应付职工薪酬"/>
              <w:tag w:val="_GBC_02ec6d6e408949a7aba93c9538df7dad"/>
              <w:id w:val="33820266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54"/>
            <w:gridCol w:w="2631"/>
            <w:gridCol w:w="2764"/>
          </w:tblGrid>
          <w:tr w:rsidR="00806678" w:rsidTr="00DE1C41">
            <w:sdt>
              <w:sdtPr>
                <w:tag w:val="_PLD_87f8419ee43a44a3851aeb0ae20db3b3"/>
                <w:id w:val="1339731022"/>
                <w:lock w:val="sdtLocked"/>
              </w:sdtPr>
              <w:sdtContent>
                <w:tc>
                  <w:tcPr>
                    <w:tcW w:w="2019" w:type="pct"/>
                    <w:tcBorders>
                      <w:top w:val="single" w:sz="6" w:space="0" w:color="auto"/>
                      <w:left w:val="single" w:sz="6" w:space="0" w:color="auto"/>
                      <w:bottom w:val="single" w:sz="6" w:space="0" w:color="auto"/>
                      <w:right w:val="single" w:sz="6" w:space="0" w:color="auto"/>
                    </w:tcBorders>
                    <w:shd w:val="clear" w:color="auto" w:fill="auto"/>
                    <w:vAlign w:val="center"/>
                  </w:tcPr>
                  <w:p w:rsidR="00806678" w:rsidRDefault="00B16377">
                    <w:pPr>
                      <w:jc w:val="center"/>
                    </w:pPr>
                    <w:r>
                      <w:rPr>
                        <w:rFonts w:hint="eastAsia"/>
                      </w:rPr>
                      <w:t>项目</w:t>
                    </w:r>
                  </w:p>
                </w:tc>
              </w:sdtContent>
            </w:sdt>
            <w:sdt>
              <w:sdtPr>
                <w:tag w:val="_PLD_dc953e100cbb4806858d7d10436872c1"/>
                <w:id w:val="-1908139270"/>
                <w:lock w:val="sdtLocked"/>
              </w:sdtPr>
              <w:sdtContent>
                <w:tc>
                  <w:tcPr>
                    <w:tcW w:w="1454" w:type="pct"/>
                    <w:tcBorders>
                      <w:top w:val="single" w:sz="6" w:space="0" w:color="auto"/>
                      <w:left w:val="single" w:sz="6" w:space="0" w:color="auto"/>
                      <w:bottom w:val="single" w:sz="6" w:space="0" w:color="auto"/>
                      <w:right w:val="single" w:sz="6" w:space="0" w:color="auto"/>
                    </w:tcBorders>
                    <w:shd w:val="clear" w:color="auto" w:fill="auto"/>
                    <w:vAlign w:val="center"/>
                  </w:tcPr>
                  <w:p w:rsidR="00806678" w:rsidRDefault="00B16377">
                    <w:pPr>
                      <w:jc w:val="center"/>
                    </w:pPr>
                    <w:r>
                      <w:rPr>
                        <w:rFonts w:hint="eastAsia"/>
                      </w:rPr>
                      <w:t>期末余额</w:t>
                    </w:r>
                  </w:p>
                </w:tc>
              </w:sdtContent>
            </w:sdt>
            <w:sdt>
              <w:sdtPr>
                <w:tag w:val="_PLD_28d4785454ea4bd99f4433899ff434f8"/>
                <w:id w:val="1130672045"/>
                <w:lock w:val="sdtLocked"/>
              </w:sdtPr>
              <w:sdtContent>
                <w:tc>
                  <w:tcPr>
                    <w:tcW w:w="1527" w:type="pct"/>
                    <w:tcBorders>
                      <w:top w:val="single" w:sz="6" w:space="0" w:color="auto"/>
                      <w:left w:val="single" w:sz="6" w:space="0" w:color="auto"/>
                      <w:bottom w:val="single" w:sz="6" w:space="0" w:color="auto"/>
                      <w:right w:val="single" w:sz="6" w:space="0" w:color="auto"/>
                    </w:tcBorders>
                    <w:shd w:val="clear" w:color="auto" w:fill="auto"/>
                    <w:vAlign w:val="center"/>
                  </w:tcPr>
                  <w:p w:rsidR="00806678" w:rsidRDefault="00B16377">
                    <w:pPr>
                      <w:jc w:val="center"/>
                    </w:pPr>
                    <w:r>
                      <w:rPr>
                        <w:rFonts w:hint="eastAsia"/>
                      </w:rPr>
                      <w:t>期初余额</w:t>
                    </w:r>
                  </w:p>
                </w:tc>
              </w:sdtContent>
            </w:sdt>
          </w:tr>
          <w:tr w:rsidR="00876EFF" w:rsidTr="00DB008B">
            <w:sdt>
              <w:sdtPr>
                <w:tag w:val="_PLD_4c054f4398504cc3a2d7cf1b29ec137a"/>
                <w:id w:val="-687147076"/>
                <w:lock w:val="sdtLocked"/>
              </w:sdtPr>
              <w:sdtContent>
                <w:tc>
                  <w:tcPr>
                    <w:tcW w:w="2019" w:type="pct"/>
                    <w:tcBorders>
                      <w:top w:val="single" w:sz="6" w:space="0" w:color="auto"/>
                      <w:left w:val="single" w:sz="6" w:space="0" w:color="auto"/>
                      <w:bottom w:val="single" w:sz="6" w:space="0" w:color="auto"/>
                      <w:right w:val="single" w:sz="6" w:space="0" w:color="auto"/>
                    </w:tcBorders>
                    <w:shd w:val="clear" w:color="auto" w:fill="auto"/>
                  </w:tcPr>
                  <w:p w:rsidR="00876EFF" w:rsidRDefault="00876EFF" w:rsidP="00876EFF">
                    <w:r>
                      <w:rPr>
                        <w:rFonts w:hint="eastAsia"/>
                      </w:rPr>
                      <w:t>一、离职后福利-设定受益计划净负债</w:t>
                    </w:r>
                  </w:p>
                </w:tc>
              </w:sdtContent>
            </w:sdt>
            <w:tc>
              <w:tcPr>
                <w:tcW w:w="1454" w:type="pct"/>
                <w:tcBorders>
                  <w:top w:val="single" w:sz="6" w:space="0" w:color="auto"/>
                  <w:left w:val="single" w:sz="6" w:space="0" w:color="auto"/>
                  <w:bottom w:val="single" w:sz="4" w:space="0" w:color="auto"/>
                  <w:right w:val="single" w:sz="4" w:space="0" w:color="auto"/>
                </w:tcBorders>
                <w:shd w:val="clear" w:color="auto" w:fill="auto"/>
                <w:vAlign w:val="center"/>
              </w:tcPr>
              <w:p w:rsidR="00876EFF" w:rsidRDefault="00876EFF" w:rsidP="00876EFF">
                <w:pPr>
                  <w:jc w:val="right"/>
                </w:pPr>
                <w:r>
                  <w:t>2,125,949,461</w:t>
                </w:r>
              </w:p>
            </w:tc>
            <w:tc>
              <w:tcPr>
                <w:tcW w:w="1527" w:type="pct"/>
                <w:tcBorders>
                  <w:top w:val="single" w:sz="6" w:space="0" w:color="auto"/>
                  <w:left w:val="single" w:sz="4" w:space="0" w:color="auto"/>
                  <w:bottom w:val="single" w:sz="4" w:space="0" w:color="auto"/>
                  <w:right w:val="single" w:sz="4" w:space="0" w:color="auto"/>
                </w:tcBorders>
                <w:shd w:val="clear" w:color="auto" w:fill="auto"/>
                <w:vAlign w:val="center"/>
              </w:tcPr>
              <w:p w:rsidR="00876EFF" w:rsidRDefault="00876EFF" w:rsidP="00876EFF">
                <w:pPr>
                  <w:jc w:val="right"/>
                </w:pPr>
                <w:r>
                  <w:t>2,107,886,336</w:t>
                </w:r>
              </w:p>
            </w:tc>
          </w:tr>
          <w:tr w:rsidR="00876EFF" w:rsidTr="00DE1C41">
            <w:sdt>
              <w:sdtPr>
                <w:tag w:val="_PLD_971a5260209f434783e30ba72915cc01"/>
                <w:id w:val="1339344359"/>
                <w:lock w:val="sdtLocked"/>
              </w:sdtPr>
              <w:sdtContent>
                <w:tc>
                  <w:tcPr>
                    <w:tcW w:w="2019" w:type="pct"/>
                    <w:tcBorders>
                      <w:top w:val="single" w:sz="6" w:space="0" w:color="auto"/>
                      <w:left w:val="single" w:sz="6" w:space="0" w:color="auto"/>
                      <w:bottom w:val="single" w:sz="6" w:space="0" w:color="auto"/>
                      <w:right w:val="single" w:sz="6" w:space="0" w:color="auto"/>
                    </w:tcBorders>
                    <w:shd w:val="clear" w:color="auto" w:fill="auto"/>
                  </w:tcPr>
                  <w:p w:rsidR="00876EFF" w:rsidRDefault="00876EFF" w:rsidP="00876EFF">
                    <w:r>
                      <w:rPr>
                        <w:rFonts w:hint="eastAsia"/>
                      </w:rPr>
                      <w:t>二、辞退福利</w:t>
                    </w:r>
                  </w:p>
                </w:tc>
              </w:sdtContent>
            </w:sdt>
            <w:tc>
              <w:tcPr>
                <w:tcW w:w="1454" w:type="pct"/>
                <w:tcBorders>
                  <w:top w:val="single" w:sz="6" w:space="0" w:color="auto"/>
                  <w:left w:val="single" w:sz="6" w:space="0" w:color="auto"/>
                  <w:bottom w:val="single" w:sz="4" w:space="0" w:color="auto"/>
                  <w:right w:val="single" w:sz="4" w:space="0" w:color="auto"/>
                </w:tcBorders>
                <w:shd w:val="clear" w:color="auto" w:fill="auto"/>
              </w:tcPr>
              <w:p w:rsidR="00876EFF" w:rsidRDefault="00876EFF" w:rsidP="00876EFF">
                <w:pPr>
                  <w:jc w:val="right"/>
                </w:pPr>
              </w:p>
            </w:tc>
            <w:tc>
              <w:tcPr>
                <w:tcW w:w="1527" w:type="pct"/>
                <w:tcBorders>
                  <w:top w:val="single" w:sz="6" w:space="0" w:color="auto"/>
                  <w:left w:val="single" w:sz="4" w:space="0" w:color="auto"/>
                  <w:bottom w:val="single" w:sz="4" w:space="0" w:color="auto"/>
                  <w:right w:val="single" w:sz="4" w:space="0" w:color="auto"/>
                </w:tcBorders>
                <w:shd w:val="clear" w:color="auto" w:fill="auto"/>
              </w:tcPr>
              <w:p w:rsidR="00876EFF" w:rsidRDefault="00876EFF" w:rsidP="00876EFF">
                <w:pPr>
                  <w:jc w:val="right"/>
                </w:pPr>
              </w:p>
            </w:tc>
          </w:tr>
          <w:tr w:rsidR="00876EFF" w:rsidTr="00DE1C41">
            <w:sdt>
              <w:sdtPr>
                <w:tag w:val="_PLD_75c9f6191bf246cca608bafd669a8865"/>
                <w:id w:val="-1598399933"/>
                <w:lock w:val="sdtLocked"/>
              </w:sdtPr>
              <w:sdtContent>
                <w:tc>
                  <w:tcPr>
                    <w:tcW w:w="2019" w:type="pct"/>
                    <w:tcBorders>
                      <w:top w:val="single" w:sz="6" w:space="0" w:color="auto"/>
                      <w:left w:val="single" w:sz="6" w:space="0" w:color="auto"/>
                      <w:bottom w:val="single" w:sz="6" w:space="0" w:color="auto"/>
                      <w:right w:val="single" w:sz="6" w:space="0" w:color="auto"/>
                    </w:tcBorders>
                    <w:shd w:val="clear" w:color="auto" w:fill="auto"/>
                  </w:tcPr>
                  <w:p w:rsidR="00876EFF" w:rsidRDefault="00876EFF" w:rsidP="00876EFF">
                    <w:r>
                      <w:rPr>
                        <w:rFonts w:hint="eastAsia"/>
                      </w:rPr>
                      <w:t>三、其他长期福利</w:t>
                    </w:r>
                  </w:p>
                </w:tc>
              </w:sdtContent>
            </w:sdt>
            <w:tc>
              <w:tcPr>
                <w:tcW w:w="1454" w:type="pct"/>
                <w:tcBorders>
                  <w:top w:val="single" w:sz="4" w:space="0" w:color="auto"/>
                  <w:left w:val="single" w:sz="6" w:space="0" w:color="auto"/>
                  <w:bottom w:val="single" w:sz="4" w:space="0" w:color="auto"/>
                  <w:right w:val="single" w:sz="4" w:space="0" w:color="auto"/>
                </w:tcBorders>
                <w:shd w:val="clear" w:color="auto" w:fill="auto"/>
              </w:tcPr>
              <w:p w:rsidR="00876EFF" w:rsidRDefault="00876EFF" w:rsidP="00876EFF">
                <w:pPr>
                  <w:jc w:val="right"/>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876EFF" w:rsidRDefault="00876EFF" w:rsidP="00876EFF">
                <w:pPr>
                  <w:jc w:val="right"/>
                </w:pPr>
              </w:p>
            </w:tc>
          </w:tr>
          <w:tr w:rsidR="00876EFF" w:rsidTr="00DB008B">
            <w:sdt>
              <w:sdtPr>
                <w:tag w:val="_PLD_0935fbc395df47e5900b69d5b9d2e7fb"/>
                <w:id w:val="410357319"/>
                <w:lock w:val="sdtLocked"/>
              </w:sdtPr>
              <w:sdtContent>
                <w:tc>
                  <w:tcPr>
                    <w:tcW w:w="2019" w:type="pct"/>
                    <w:tcBorders>
                      <w:top w:val="single" w:sz="6" w:space="0" w:color="auto"/>
                      <w:left w:val="single" w:sz="6" w:space="0" w:color="auto"/>
                      <w:bottom w:val="single" w:sz="6" w:space="0" w:color="auto"/>
                      <w:right w:val="single" w:sz="6" w:space="0" w:color="auto"/>
                    </w:tcBorders>
                    <w:shd w:val="clear" w:color="auto" w:fill="auto"/>
                    <w:vAlign w:val="center"/>
                  </w:tcPr>
                  <w:p w:rsidR="00876EFF" w:rsidRDefault="00876EFF" w:rsidP="00876EFF">
                    <w:pPr>
                      <w:jc w:val="center"/>
                    </w:pPr>
                    <w:r>
                      <w:rPr>
                        <w:rFonts w:hint="eastAsia"/>
                      </w:rPr>
                      <w:t>合计</w:t>
                    </w:r>
                  </w:p>
                </w:tc>
              </w:sdtContent>
            </w:sdt>
            <w:tc>
              <w:tcPr>
                <w:tcW w:w="1454" w:type="pct"/>
                <w:tcBorders>
                  <w:top w:val="single" w:sz="4" w:space="0" w:color="auto"/>
                  <w:left w:val="single" w:sz="6" w:space="0" w:color="auto"/>
                  <w:bottom w:val="single" w:sz="4" w:space="0" w:color="auto"/>
                  <w:right w:val="single" w:sz="4" w:space="0" w:color="auto"/>
                </w:tcBorders>
                <w:shd w:val="clear" w:color="auto" w:fill="auto"/>
                <w:vAlign w:val="center"/>
              </w:tcPr>
              <w:p w:rsidR="00876EFF" w:rsidRDefault="00876EFF" w:rsidP="00876EFF">
                <w:pPr>
                  <w:jc w:val="right"/>
                </w:pPr>
                <w:r>
                  <w:t>2,125,949,461</w:t>
                </w:r>
              </w:p>
            </w:tc>
            <w:tc>
              <w:tcPr>
                <w:tcW w:w="1527" w:type="pct"/>
                <w:tcBorders>
                  <w:top w:val="single" w:sz="4" w:space="0" w:color="auto"/>
                  <w:left w:val="single" w:sz="4" w:space="0" w:color="auto"/>
                  <w:bottom w:val="single" w:sz="4" w:space="0" w:color="auto"/>
                  <w:right w:val="single" w:sz="4" w:space="0" w:color="auto"/>
                </w:tcBorders>
                <w:shd w:val="clear" w:color="auto" w:fill="auto"/>
                <w:vAlign w:val="center"/>
              </w:tcPr>
              <w:p w:rsidR="00876EFF" w:rsidRDefault="00876EFF" w:rsidP="00876EFF">
                <w:pPr>
                  <w:jc w:val="right"/>
                </w:pPr>
                <w:r>
                  <w:t>2,107,886,336</w:t>
                </w:r>
              </w:p>
            </w:tc>
          </w:tr>
        </w:tbl>
        <w:p w:rsidR="00806678" w:rsidRDefault="00F80B6C"/>
      </w:sdtContent>
    </w:sdt>
    <w:sdt>
      <w:sdtPr>
        <w:rPr>
          <w:rFonts w:ascii="宋体" w:eastAsia="宋体" w:hAnsi="宋体" w:cs="宋体" w:hint="eastAsia"/>
          <w:b w:val="0"/>
          <w:bCs w:val="0"/>
          <w:kern w:val="0"/>
          <w:szCs w:val="24"/>
        </w:rPr>
        <w:alias w:val="模块:设定受益计划变动情况"/>
        <w:tag w:val="_SEC_5a389db9711a4a889c729ab40da926ed"/>
        <w:id w:val="1158044255"/>
        <w:lock w:val="sdtLocked"/>
        <w:placeholder>
          <w:docPart w:val="GBC22222222222222222222222222222"/>
        </w:placeholder>
      </w:sdtPr>
      <w:sdtEndPr>
        <w:rPr>
          <w:szCs w:val="21"/>
        </w:rPr>
      </w:sdtEndPr>
      <w:sdtContent>
        <w:p w:rsidR="00806678" w:rsidRDefault="00B16377" w:rsidP="00FF17C7">
          <w:pPr>
            <w:pStyle w:val="4"/>
            <w:numPr>
              <w:ilvl w:val="0"/>
              <w:numId w:val="98"/>
            </w:numPr>
            <w:ind w:left="426" w:hanging="426"/>
          </w:pPr>
          <w:r>
            <w:rPr>
              <w:rFonts w:hint="eastAsia"/>
            </w:rPr>
            <w:t>设定受益计划变动情况</w:t>
          </w:r>
        </w:p>
        <w:p w:rsidR="00806678" w:rsidRDefault="00B16377">
          <w:pPr>
            <w:rPr>
              <w:szCs w:val="21"/>
            </w:rPr>
          </w:pPr>
          <w:r>
            <w:rPr>
              <w:rFonts w:hint="eastAsia"/>
              <w:szCs w:val="21"/>
            </w:rPr>
            <w:t>设定受益计划义务现值：</w:t>
          </w:r>
        </w:p>
        <w:sdt>
          <w:sdtPr>
            <w:alias w:val="是否适用：设定受益计划义务现值[双击切换]"/>
            <w:tag w:val="_GBC_898bbd8ee5bb4ad698965551469ae3fb"/>
            <w:id w:val="-1255128072"/>
            <w:lock w:val="sdtLocked"/>
            <w:placeholder>
              <w:docPart w:val="GBC22222222222222222222222222222"/>
            </w:placeholder>
          </w:sdtPr>
          <w:sdtContent>
            <w:p w:rsidR="00806678" w:rsidRDefault="00F80B6C">
              <w:r>
                <w:fldChar w:fldCharType="begin"/>
              </w:r>
              <w:r w:rsidR="009C54D9">
                <w:instrText xml:space="preserve">MACROBUTTON  SnrToggleCheckbox √适用 </w:instrText>
              </w:r>
              <w:r>
                <w:fldChar w:fldCharType="end"/>
              </w:r>
              <w:r>
                <w:fldChar w:fldCharType="begin"/>
              </w:r>
              <w:r w:rsidR="009C54D9">
                <w:instrText xml:space="preserve"> MACROBUTTON  SnrToggleCheckbox □不适用 </w:instrText>
              </w:r>
              <w:r>
                <w:fldChar w:fldCharType="end"/>
              </w:r>
            </w:p>
          </w:sdtContent>
        </w:sdt>
        <w:p w:rsidR="00806678" w:rsidRDefault="00B16377">
          <w:pPr>
            <w:jc w:val="right"/>
          </w:pPr>
          <w:r>
            <w:rPr>
              <w:rFonts w:hint="eastAsia"/>
            </w:rPr>
            <w:t>单位：</w:t>
          </w:r>
          <w:sdt>
            <w:sdtPr>
              <w:rPr>
                <w:rFonts w:hint="eastAsia"/>
              </w:rPr>
              <w:alias w:val="单位：财务附注：设定受益计划义务现值"/>
              <w:tag w:val="_GBC_d87db3237cee4a5a822494fe218bb633"/>
              <w:id w:val="-68120275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设定受益计划义务现值"/>
              <w:tag w:val="_GBC_99e1a1c974464745933602a4864f5ee3"/>
              <w:id w:val="37189339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36"/>
            <w:gridCol w:w="2331"/>
            <w:gridCol w:w="2782"/>
          </w:tblGrid>
          <w:tr w:rsidR="00806678" w:rsidTr="00FE0A94">
            <w:sdt>
              <w:sdtPr>
                <w:tag w:val="_PLD_3dee25d75b904d5fa25c2c52ba200ae2"/>
                <w:id w:val="-76753542"/>
                <w:lock w:val="sdtLocked"/>
              </w:sdtPr>
              <w:sdtContent>
                <w:tc>
                  <w:tcPr>
                    <w:tcW w:w="2175" w:type="pct"/>
                    <w:tcBorders>
                      <w:left w:val="single" w:sz="6" w:space="0" w:color="auto"/>
                      <w:bottom w:val="single" w:sz="6" w:space="0" w:color="auto"/>
                      <w:right w:val="single" w:sz="6" w:space="0" w:color="auto"/>
                    </w:tcBorders>
                    <w:shd w:val="clear" w:color="auto" w:fill="auto"/>
                    <w:vAlign w:val="center"/>
                    <w:hideMark/>
                  </w:tcPr>
                  <w:p w:rsidR="00806678" w:rsidRDefault="00B16377">
                    <w:pPr>
                      <w:jc w:val="center"/>
                    </w:pPr>
                    <w:r>
                      <w:rPr>
                        <w:rFonts w:hint="eastAsia"/>
                      </w:rPr>
                      <w:t>项目</w:t>
                    </w:r>
                  </w:p>
                </w:tc>
              </w:sdtContent>
            </w:sdt>
            <w:sdt>
              <w:sdtPr>
                <w:tag w:val="_PLD_a95376567d1a4834b376e3089b85f864"/>
                <w:id w:val="597292527"/>
                <w:lock w:val="sdtLocked"/>
              </w:sdtPr>
              <w:sdtContent>
                <w:tc>
                  <w:tcPr>
                    <w:tcW w:w="1288" w:type="pct"/>
                    <w:tcBorders>
                      <w:top w:val="single" w:sz="6" w:space="0" w:color="auto"/>
                      <w:left w:val="single" w:sz="6" w:space="0" w:color="auto"/>
                      <w:bottom w:val="single" w:sz="4" w:space="0" w:color="auto"/>
                      <w:right w:val="single" w:sz="4" w:space="0" w:color="auto"/>
                    </w:tcBorders>
                    <w:shd w:val="clear" w:color="auto" w:fill="auto"/>
                    <w:vAlign w:val="center"/>
                    <w:hideMark/>
                  </w:tcPr>
                  <w:p w:rsidR="00806678" w:rsidRDefault="00B16377">
                    <w:pPr>
                      <w:jc w:val="center"/>
                    </w:pPr>
                    <w:r>
                      <w:rPr>
                        <w:rFonts w:hint="eastAsia"/>
                      </w:rPr>
                      <w:t>本期发生额</w:t>
                    </w:r>
                  </w:p>
                </w:tc>
              </w:sdtContent>
            </w:sdt>
            <w:sdt>
              <w:sdtPr>
                <w:tag w:val="_PLD_86c4cd0f85c94b3197fb39dcde827282"/>
                <w:id w:val="1229258419"/>
                <w:lock w:val="sdtLocked"/>
              </w:sdtPr>
              <w:sdtContent>
                <w:tc>
                  <w:tcPr>
                    <w:tcW w:w="1537" w:type="pct"/>
                    <w:tcBorders>
                      <w:top w:val="single" w:sz="6" w:space="0" w:color="auto"/>
                      <w:left w:val="single" w:sz="6" w:space="0" w:color="auto"/>
                      <w:bottom w:val="single" w:sz="4" w:space="0" w:color="auto"/>
                      <w:right w:val="single" w:sz="4" w:space="0" w:color="auto"/>
                    </w:tcBorders>
                    <w:shd w:val="clear" w:color="auto" w:fill="auto"/>
                    <w:vAlign w:val="center"/>
                    <w:hideMark/>
                  </w:tcPr>
                  <w:p w:rsidR="00806678" w:rsidRDefault="00B16377">
                    <w:pPr>
                      <w:jc w:val="center"/>
                    </w:pPr>
                    <w:r>
                      <w:rPr>
                        <w:rFonts w:hint="eastAsia"/>
                      </w:rPr>
                      <w:t>上期发生额</w:t>
                    </w:r>
                  </w:p>
                </w:tc>
              </w:sdtContent>
            </w:sdt>
          </w:tr>
          <w:tr w:rsidR="00876EFF" w:rsidTr="00FE0A94">
            <w:sdt>
              <w:sdtPr>
                <w:tag w:val="_PLD_57693d6247be408b8b833e3a88f224c4"/>
                <w:id w:val="-1903906758"/>
                <w:lock w:val="sdtLocked"/>
              </w:sdtPr>
              <w:sdtContent>
                <w:tc>
                  <w:tcPr>
                    <w:tcW w:w="2175" w:type="pct"/>
                    <w:tcBorders>
                      <w:top w:val="single" w:sz="6" w:space="0" w:color="auto"/>
                      <w:left w:val="single" w:sz="6" w:space="0" w:color="auto"/>
                      <w:bottom w:val="single" w:sz="6" w:space="0" w:color="auto"/>
                      <w:right w:val="single" w:sz="6" w:space="0" w:color="auto"/>
                    </w:tcBorders>
                    <w:shd w:val="clear" w:color="auto" w:fill="auto"/>
                    <w:vAlign w:val="center"/>
                  </w:tcPr>
                  <w:p w:rsidR="00876EFF" w:rsidRDefault="00876EFF" w:rsidP="00876EFF">
                    <w:r>
                      <w:rPr>
                        <w:rFonts w:hint="eastAsia"/>
                      </w:rPr>
                      <w:t>一、期初余额</w:t>
                    </w:r>
                  </w:p>
                </w:tc>
              </w:sdtContent>
            </w:sdt>
            <w:tc>
              <w:tcPr>
                <w:tcW w:w="1288" w:type="pct"/>
                <w:tcBorders>
                  <w:top w:val="single" w:sz="6" w:space="0" w:color="auto"/>
                  <w:left w:val="single" w:sz="6" w:space="0" w:color="auto"/>
                  <w:bottom w:val="single" w:sz="4" w:space="0" w:color="auto"/>
                  <w:right w:val="single" w:sz="4" w:space="0" w:color="auto"/>
                </w:tcBorders>
                <w:shd w:val="clear" w:color="auto" w:fill="auto"/>
                <w:vAlign w:val="center"/>
              </w:tcPr>
              <w:p w:rsidR="00876EFF" w:rsidRDefault="00876EFF" w:rsidP="00876EFF">
                <w:pPr>
                  <w:jc w:val="right"/>
                </w:pPr>
                <w:r>
                  <w:t>2,107,886,336</w:t>
                </w:r>
              </w:p>
            </w:tc>
            <w:tc>
              <w:tcPr>
                <w:tcW w:w="1537" w:type="pct"/>
                <w:tcBorders>
                  <w:top w:val="single" w:sz="6" w:space="0" w:color="auto"/>
                  <w:left w:val="single" w:sz="6" w:space="0" w:color="auto"/>
                  <w:bottom w:val="single" w:sz="4" w:space="0" w:color="auto"/>
                  <w:right w:val="single" w:sz="4" w:space="0" w:color="auto"/>
                </w:tcBorders>
                <w:shd w:val="clear" w:color="auto" w:fill="auto"/>
                <w:vAlign w:val="center"/>
              </w:tcPr>
              <w:p w:rsidR="00876EFF" w:rsidRDefault="00876EFF" w:rsidP="00876EFF">
                <w:pPr>
                  <w:jc w:val="right"/>
                </w:pPr>
                <w:r>
                  <w:t>1,966,900,098</w:t>
                </w:r>
              </w:p>
            </w:tc>
          </w:tr>
          <w:tr w:rsidR="00876EFF" w:rsidTr="00FE0A94">
            <w:sdt>
              <w:sdtPr>
                <w:tag w:val="_PLD_1668eb4f8612431bab3044dd3cd0e786"/>
                <w:id w:val="268901824"/>
                <w:lock w:val="sdtLocked"/>
              </w:sdtPr>
              <w:sdtContent>
                <w:tc>
                  <w:tcPr>
                    <w:tcW w:w="2175" w:type="pct"/>
                    <w:tcBorders>
                      <w:top w:val="single" w:sz="6" w:space="0" w:color="auto"/>
                      <w:left w:val="single" w:sz="6" w:space="0" w:color="auto"/>
                      <w:bottom w:val="single" w:sz="6" w:space="0" w:color="auto"/>
                      <w:right w:val="single" w:sz="6" w:space="0" w:color="auto"/>
                    </w:tcBorders>
                    <w:shd w:val="clear" w:color="auto" w:fill="auto"/>
                    <w:hideMark/>
                  </w:tcPr>
                  <w:p w:rsidR="00876EFF" w:rsidRDefault="00876EFF" w:rsidP="00876EFF">
                    <w:r>
                      <w:rPr>
                        <w:rFonts w:hint="eastAsia"/>
                      </w:rPr>
                      <w:t>二、计入当期损益的设定受益成本</w:t>
                    </w:r>
                  </w:p>
                </w:tc>
              </w:sdtContent>
            </w:sdt>
            <w:tc>
              <w:tcPr>
                <w:tcW w:w="1288" w:type="pct"/>
                <w:tcBorders>
                  <w:top w:val="single" w:sz="4" w:space="0" w:color="auto"/>
                  <w:left w:val="single" w:sz="6" w:space="0" w:color="auto"/>
                  <w:bottom w:val="single" w:sz="4" w:space="0" w:color="auto"/>
                  <w:right w:val="single" w:sz="4" w:space="0" w:color="auto"/>
                </w:tcBorders>
                <w:shd w:val="clear" w:color="auto" w:fill="auto"/>
                <w:vAlign w:val="center"/>
              </w:tcPr>
              <w:p w:rsidR="00876EFF" w:rsidRDefault="00876EFF" w:rsidP="00876EFF">
                <w:pPr>
                  <w:jc w:val="right"/>
                </w:pPr>
                <w:r>
                  <w:t>36,046,848</w:t>
                </w:r>
              </w:p>
            </w:tc>
            <w:tc>
              <w:tcPr>
                <w:tcW w:w="1537" w:type="pct"/>
                <w:tcBorders>
                  <w:top w:val="single" w:sz="4" w:space="0" w:color="auto"/>
                  <w:left w:val="single" w:sz="6" w:space="0" w:color="auto"/>
                  <w:bottom w:val="single" w:sz="4" w:space="0" w:color="auto"/>
                  <w:right w:val="single" w:sz="4" w:space="0" w:color="auto"/>
                </w:tcBorders>
                <w:shd w:val="clear" w:color="auto" w:fill="auto"/>
                <w:vAlign w:val="center"/>
              </w:tcPr>
              <w:p w:rsidR="00876EFF" w:rsidRDefault="00876EFF" w:rsidP="00876EFF">
                <w:pPr>
                  <w:jc w:val="right"/>
                </w:pPr>
                <w:r>
                  <w:t>142,768,040</w:t>
                </w:r>
              </w:p>
            </w:tc>
          </w:tr>
          <w:tr w:rsidR="00876EFF" w:rsidTr="00FE0A94">
            <w:sdt>
              <w:sdtPr>
                <w:tag w:val="_PLD_7f3e9c2f913d4b09b01ba47949b56576"/>
                <w:id w:val="-1670788408"/>
                <w:lock w:val="sdtLocked"/>
              </w:sdtPr>
              <w:sdtContent>
                <w:tc>
                  <w:tcPr>
                    <w:tcW w:w="2175" w:type="pct"/>
                    <w:tcBorders>
                      <w:top w:val="single" w:sz="6" w:space="0" w:color="auto"/>
                      <w:left w:val="single" w:sz="6" w:space="0" w:color="auto"/>
                      <w:bottom w:val="single" w:sz="6" w:space="0" w:color="auto"/>
                      <w:right w:val="single" w:sz="6" w:space="0" w:color="auto"/>
                    </w:tcBorders>
                    <w:shd w:val="clear" w:color="auto" w:fill="auto"/>
                    <w:hideMark/>
                  </w:tcPr>
                  <w:p w:rsidR="00876EFF" w:rsidRDefault="00876EFF" w:rsidP="00876EFF">
                    <w:r>
                      <w:t>1.</w:t>
                    </w:r>
                    <w:r>
                      <w:rPr>
                        <w:rFonts w:hint="eastAsia"/>
                      </w:rPr>
                      <w:t>当期服务成本</w:t>
                    </w:r>
                  </w:p>
                </w:tc>
              </w:sdtContent>
            </w:sdt>
            <w:tc>
              <w:tcPr>
                <w:tcW w:w="1288" w:type="pct"/>
                <w:tcBorders>
                  <w:top w:val="single" w:sz="4" w:space="0" w:color="auto"/>
                  <w:left w:val="single" w:sz="6" w:space="0" w:color="auto"/>
                  <w:bottom w:val="single" w:sz="4" w:space="0" w:color="auto"/>
                  <w:right w:val="single" w:sz="4" w:space="0" w:color="auto"/>
                </w:tcBorders>
                <w:shd w:val="clear" w:color="auto" w:fill="auto"/>
                <w:vAlign w:val="center"/>
              </w:tcPr>
              <w:p w:rsidR="00876EFF" w:rsidRDefault="00876EFF" w:rsidP="00876EFF">
                <w:pPr>
                  <w:jc w:val="right"/>
                </w:pPr>
                <w:r>
                  <w:t>82,269,080</w:t>
                </w:r>
              </w:p>
            </w:tc>
            <w:tc>
              <w:tcPr>
                <w:tcW w:w="1537" w:type="pct"/>
                <w:tcBorders>
                  <w:top w:val="single" w:sz="4" w:space="0" w:color="auto"/>
                  <w:left w:val="single" w:sz="6" w:space="0" w:color="auto"/>
                  <w:bottom w:val="single" w:sz="4" w:space="0" w:color="auto"/>
                  <w:right w:val="single" w:sz="4" w:space="0" w:color="auto"/>
                </w:tcBorders>
                <w:shd w:val="clear" w:color="auto" w:fill="auto"/>
                <w:vAlign w:val="center"/>
              </w:tcPr>
              <w:p w:rsidR="00876EFF" w:rsidRDefault="00876EFF" w:rsidP="00876EFF">
                <w:pPr>
                  <w:jc w:val="right"/>
                </w:pPr>
                <w:r>
                  <w:t>70,156,192</w:t>
                </w:r>
              </w:p>
            </w:tc>
          </w:tr>
          <w:tr w:rsidR="00876EFF" w:rsidTr="00FE0A94">
            <w:sdt>
              <w:sdtPr>
                <w:tag w:val="_PLD_1ad44f44e6f94f5baccad50daf28a968"/>
                <w:id w:val="-1226454722"/>
                <w:lock w:val="sdtLocked"/>
              </w:sdtPr>
              <w:sdtContent>
                <w:tc>
                  <w:tcPr>
                    <w:tcW w:w="2175" w:type="pct"/>
                    <w:tcBorders>
                      <w:top w:val="single" w:sz="6" w:space="0" w:color="auto"/>
                      <w:left w:val="single" w:sz="6" w:space="0" w:color="auto"/>
                      <w:bottom w:val="single" w:sz="6" w:space="0" w:color="auto"/>
                      <w:right w:val="single" w:sz="6" w:space="0" w:color="auto"/>
                    </w:tcBorders>
                    <w:shd w:val="clear" w:color="auto" w:fill="auto"/>
                    <w:hideMark/>
                  </w:tcPr>
                  <w:p w:rsidR="00876EFF" w:rsidRDefault="00876EFF" w:rsidP="00876EFF">
                    <w:r>
                      <w:t>2.</w:t>
                    </w:r>
                    <w:r>
                      <w:rPr>
                        <w:rFonts w:hint="eastAsia"/>
                      </w:rPr>
                      <w:t>过去服务成本</w:t>
                    </w:r>
                  </w:p>
                </w:tc>
              </w:sdtContent>
            </w:sdt>
            <w:tc>
              <w:tcPr>
                <w:tcW w:w="1288" w:type="pct"/>
                <w:tcBorders>
                  <w:top w:val="single" w:sz="4" w:space="0" w:color="auto"/>
                  <w:left w:val="single" w:sz="6" w:space="0" w:color="auto"/>
                  <w:bottom w:val="single" w:sz="4" w:space="0" w:color="auto"/>
                  <w:right w:val="single" w:sz="4" w:space="0" w:color="auto"/>
                </w:tcBorders>
                <w:shd w:val="clear" w:color="auto" w:fill="auto"/>
                <w:vAlign w:val="center"/>
              </w:tcPr>
              <w:p w:rsidR="00876EFF" w:rsidRDefault="00876EFF" w:rsidP="00876EFF">
                <w:pPr>
                  <w:jc w:val="right"/>
                </w:pPr>
                <w:r>
                  <w:t>-113,662,000</w:t>
                </w:r>
              </w:p>
            </w:tc>
            <w:tc>
              <w:tcPr>
                <w:tcW w:w="1537" w:type="pct"/>
                <w:tcBorders>
                  <w:top w:val="single" w:sz="4" w:space="0" w:color="auto"/>
                  <w:left w:val="single" w:sz="6" w:space="0" w:color="auto"/>
                  <w:bottom w:val="single" w:sz="4" w:space="0" w:color="auto"/>
                  <w:right w:val="single" w:sz="4" w:space="0" w:color="auto"/>
                </w:tcBorders>
                <w:shd w:val="clear" w:color="auto" w:fill="auto"/>
                <w:vAlign w:val="center"/>
              </w:tcPr>
              <w:p w:rsidR="00876EFF" w:rsidRDefault="00876EFF" w:rsidP="00876EFF">
                <w:pPr>
                  <w:jc w:val="right"/>
                </w:pPr>
                <w:r>
                  <w:t>0</w:t>
                </w:r>
              </w:p>
            </w:tc>
          </w:tr>
          <w:tr w:rsidR="00876EFF" w:rsidTr="00FE0A94">
            <w:sdt>
              <w:sdtPr>
                <w:tag w:val="_PLD_83ea2a58d0194c6e8f93ebb345e0f310"/>
                <w:id w:val="-1109662500"/>
                <w:lock w:val="sdtLocked"/>
              </w:sdtPr>
              <w:sdtContent>
                <w:tc>
                  <w:tcPr>
                    <w:tcW w:w="2175" w:type="pct"/>
                    <w:tcBorders>
                      <w:top w:val="single" w:sz="6" w:space="0" w:color="auto"/>
                      <w:left w:val="single" w:sz="6" w:space="0" w:color="auto"/>
                      <w:bottom w:val="single" w:sz="6" w:space="0" w:color="auto"/>
                      <w:right w:val="single" w:sz="6" w:space="0" w:color="auto"/>
                    </w:tcBorders>
                    <w:shd w:val="clear" w:color="auto" w:fill="auto"/>
                    <w:hideMark/>
                  </w:tcPr>
                  <w:p w:rsidR="00876EFF" w:rsidRDefault="00876EFF" w:rsidP="00876EFF">
                    <w:r>
                      <w:t>3.</w:t>
                    </w:r>
                    <w:r>
                      <w:rPr>
                        <w:rFonts w:hint="eastAsia"/>
                      </w:rPr>
                      <w:t>结算利得（损失以“－”表示）</w:t>
                    </w:r>
                  </w:p>
                </w:tc>
              </w:sdtContent>
            </w:sdt>
            <w:tc>
              <w:tcPr>
                <w:tcW w:w="1288" w:type="pct"/>
                <w:tcBorders>
                  <w:top w:val="single" w:sz="4" w:space="0" w:color="auto"/>
                  <w:left w:val="single" w:sz="6" w:space="0" w:color="auto"/>
                  <w:bottom w:val="single" w:sz="4" w:space="0" w:color="auto"/>
                  <w:right w:val="single" w:sz="4" w:space="0" w:color="auto"/>
                </w:tcBorders>
                <w:shd w:val="clear" w:color="auto" w:fill="auto"/>
              </w:tcPr>
              <w:p w:rsidR="00876EFF" w:rsidRDefault="00876EFF" w:rsidP="00876EFF">
                <w:pPr>
                  <w:jc w:val="right"/>
                </w:pPr>
              </w:p>
            </w:tc>
            <w:tc>
              <w:tcPr>
                <w:tcW w:w="1537" w:type="pct"/>
                <w:tcBorders>
                  <w:top w:val="single" w:sz="4" w:space="0" w:color="auto"/>
                  <w:left w:val="single" w:sz="6" w:space="0" w:color="auto"/>
                  <w:bottom w:val="single" w:sz="4" w:space="0" w:color="auto"/>
                  <w:right w:val="single" w:sz="4" w:space="0" w:color="auto"/>
                </w:tcBorders>
                <w:shd w:val="clear" w:color="auto" w:fill="auto"/>
              </w:tcPr>
              <w:p w:rsidR="00876EFF" w:rsidRDefault="00876EFF" w:rsidP="00876EFF">
                <w:pPr>
                  <w:jc w:val="right"/>
                </w:pPr>
              </w:p>
            </w:tc>
          </w:tr>
          <w:tr w:rsidR="00876EFF" w:rsidTr="00FE0A94">
            <w:sdt>
              <w:sdtPr>
                <w:tag w:val="_PLD_046298da8e294b658958a1c57ca15f2c"/>
                <w:id w:val="950750360"/>
                <w:lock w:val="sdtLocked"/>
              </w:sdtPr>
              <w:sdtContent>
                <w:tc>
                  <w:tcPr>
                    <w:tcW w:w="2175" w:type="pct"/>
                    <w:tcBorders>
                      <w:top w:val="single" w:sz="6" w:space="0" w:color="auto"/>
                      <w:left w:val="single" w:sz="6" w:space="0" w:color="auto"/>
                      <w:bottom w:val="single" w:sz="6" w:space="0" w:color="auto"/>
                      <w:right w:val="single" w:sz="6" w:space="0" w:color="auto"/>
                    </w:tcBorders>
                    <w:shd w:val="clear" w:color="auto" w:fill="auto"/>
                    <w:hideMark/>
                  </w:tcPr>
                  <w:p w:rsidR="00876EFF" w:rsidRDefault="00876EFF" w:rsidP="00876EFF">
                    <w:r>
                      <w:t>4</w:t>
                    </w:r>
                    <w:r>
                      <w:rPr>
                        <w:rFonts w:hint="eastAsia"/>
                      </w:rPr>
                      <w:t>、利息净额</w:t>
                    </w:r>
                  </w:p>
                </w:tc>
              </w:sdtContent>
            </w:sdt>
            <w:tc>
              <w:tcPr>
                <w:tcW w:w="1288" w:type="pct"/>
                <w:tcBorders>
                  <w:top w:val="single" w:sz="4" w:space="0" w:color="auto"/>
                  <w:left w:val="single" w:sz="6" w:space="0" w:color="auto"/>
                  <w:bottom w:val="single" w:sz="4" w:space="0" w:color="auto"/>
                  <w:right w:val="single" w:sz="4" w:space="0" w:color="auto"/>
                </w:tcBorders>
                <w:shd w:val="clear" w:color="auto" w:fill="auto"/>
                <w:vAlign w:val="center"/>
              </w:tcPr>
              <w:p w:rsidR="00876EFF" w:rsidRDefault="00876EFF" w:rsidP="00876EFF">
                <w:pPr>
                  <w:jc w:val="right"/>
                </w:pPr>
                <w:r>
                  <w:t>67,439,768</w:t>
                </w:r>
              </w:p>
            </w:tc>
            <w:tc>
              <w:tcPr>
                <w:tcW w:w="1537" w:type="pct"/>
                <w:tcBorders>
                  <w:top w:val="single" w:sz="4" w:space="0" w:color="auto"/>
                  <w:left w:val="single" w:sz="6" w:space="0" w:color="auto"/>
                  <w:bottom w:val="single" w:sz="4" w:space="0" w:color="auto"/>
                  <w:right w:val="single" w:sz="4" w:space="0" w:color="auto"/>
                </w:tcBorders>
                <w:shd w:val="clear" w:color="auto" w:fill="auto"/>
                <w:vAlign w:val="center"/>
              </w:tcPr>
              <w:p w:rsidR="00876EFF" w:rsidRDefault="00876EFF" w:rsidP="00876EFF">
                <w:pPr>
                  <w:jc w:val="right"/>
                </w:pPr>
                <w:r>
                  <w:t>72,611,848</w:t>
                </w:r>
              </w:p>
            </w:tc>
          </w:tr>
          <w:tr w:rsidR="00876EFF" w:rsidTr="00FE0A94">
            <w:sdt>
              <w:sdtPr>
                <w:tag w:val="_PLD_5e21dd57af7c426d9426f12e4493b5a6"/>
                <w:id w:val="-1297444271"/>
                <w:lock w:val="sdtLocked"/>
              </w:sdtPr>
              <w:sdtContent>
                <w:tc>
                  <w:tcPr>
                    <w:tcW w:w="2175" w:type="pct"/>
                    <w:tcBorders>
                      <w:top w:val="single" w:sz="6" w:space="0" w:color="auto"/>
                      <w:left w:val="single" w:sz="6" w:space="0" w:color="auto"/>
                      <w:bottom w:val="single" w:sz="6" w:space="0" w:color="auto"/>
                      <w:right w:val="single" w:sz="6" w:space="0" w:color="auto"/>
                    </w:tcBorders>
                    <w:shd w:val="clear" w:color="auto" w:fill="auto"/>
                    <w:hideMark/>
                  </w:tcPr>
                  <w:p w:rsidR="00876EFF" w:rsidRDefault="00876EFF" w:rsidP="00876EFF">
                    <w:r>
                      <w:rPr>
                        <w:rFonts w:hint="eastAsia"/>
                      </w:rPr>
                      <w:t>三、计入其他综合收益的设定收益成本</w:t>
                    </w:r>
                  </w:p>
                </w:tc>
              </w:sdtContent>
            </w:sdt>
            <w:tc>
              <w:tcPr>
                <w:tcW w:w="1288" w:type="pct"/>
                <w:tcBorders>
                  <w:top w:val="single" w:sz="4" w:space="0" w:color="auto"/>
                  <w:left w:val="single" w:sz="6" w:space="0" w:color="auto"/>
                  <w:bottom w:val="single" w:sz="4" w:space="0" w:color="auto"/>
                  <w:right w:val="single" w:sz="4" w:space="0" w:color="auto"/>
                </w:tcBorders>
                <w:shd w:val="clear" w:color="auto" w:fill="auto"/>
                <w:vAlign w:val="center"/>
              </w:tcPr>
              <w:p w:rsidR="00876EFF" w:rsidRDefault="00876EFF" w:rsidP="00876EFF">
                <w:pPr>
                  <w:jc w:val="right"/>
                </w:pPr>
                <w:r>
                  <w:t>92,675,717</w:t>
                </w:r>
              </w:p>
            </w:tc>
            <w:tc>
              <w:tcPr>
                <w:tcW w:w="1537" w:type="pct"/>
                <w:tcBorders>
                  <w:top w:val="single" w:sz="4" w:space="0" w:color="auto"/>
                  <w:left w:val="single" w:sz="6" w:space="0" w:color="auto"/>
                  <w:bottom w:val="single" w:sz="4" w:space="0" w:color="auto"/>
                  <w:right w:val="single" w:sz="4" w:space="0" w:color="auto"/>
                </w:tcBorders>
                <w:shd w:val="clear" w:color="auto" w:fill="auto"/>
                <w:vAlign w:val="center"/>
              </w:tcPr>
              <w:p w:rsidR="00876EFF" w:rsidRDefault="00876EFF" w:rsidP="00876EFF">
                <w:pPr>
                  <w:jc w:val="right"/>
                </w:pPr>
                <w:r>
                  <w:t>94,270,565</w:t>
                </w:r>
              </w:p>
            </w:tc>
          </w:tr>
          <w:tr w:rsidR="00876EFF" w:rsidTr="00FE0A94">
            <w:sdt>
              <w:sdtPr>
                <w:tag w:val="_PLD_be02ea70dbf946a6b3218511b8f5e2db"/>
                <w:id w:val="2106147701"/>
                <w:lock w:val="sdtLocked"/>
              </w:sdtPr>
              <w:sdtContent>
                <w:tc>
                  <w:tcPr>
                    <w:tcW w:w="2175" w:type="pct"/>
                    <w:tcBorders>
                      <w:top w:val="single" w:sz="6" w:space="0" w:color="auto"/>
                      <w:left w:val="single" w:sz="6" w:space="0" w:color="auto"/>
                      <w:bottom w:val="single" w:sz="6" w:space="0" w:color="auto"/>
                      <w:right w:val="single" w:sz="6" w:space="0" w:color="auto"/>
                    </w:tcBorders>
                    <w:shd w:val="clear" w:color="auto" w:fill="auto"/>
                    <w:hideMark/>
                  </w:tcPr>
                  <w:p w:rsidR="00876EFF" w:rsidRDefault="00876EFF" w:rsidP="00876EFF">
                    <w:r>
                      <w:t>1.</w:t>
                    </w:r>
                    <w:r>
                      <w:rPr>
                        <w:rFonts w:hint="eastAsia"/>
                      </w:rPr>
                      <w:t>精算利得（损失以“－”表示）</w:t>
                    </w:r>
                  </w:p>
                </w:tc>
              </w:sdtContent>
            </w:sdt>
            <w:tc>
              <w:tcPr>
                <w:tcW w:w="1288" w:type="pct"/>
                <w:tcBorders>
                  <w:top w:val="single" w:sz="4" w:space="0" w:color="auto"/>
                  <w:left w:val="single" w:sz="6" w:space="0" w:color="auto"/>
                  <w:bottom w:val="single" w:sz="4" w:space="0" w:color="auto"/>
                  <w:right w:val="single" w:sz="4" w:space="0" w:color="auto"/>
                </w:tcBorders>
                <w:shd w:val="clear" w:color="auto" w:fill="auto"/>
                <w:vAlign w:val="center"/>
              </w:tcPr>
              <w:p w:rsidR="00876EFF" w:rsidRDefault="00876EFF" w:rsidP="00876EFF">
                <w:pPr>
                  <w:jc w:val="right"/>
                </w:pPr>
                <w:r>
                  <w:t>92,675,717</w:t>
                </w:r>
              </w:p>
            </w:tc>
            <w:tc>
              <w:tcPr>
                <w:tcW w:w="1537" w:type="pct"/>
                <w:tcBorders>
                  <w:top w:val="single" w:sz="4" w:space="0" w:color="auto"/>
                  <w:left w:val="single" w:sz="6" w:space="0" w:color="auto"/>
                  <w:bottom w:val="single" w:sz="4" w:space="0" w:color="auto"/>
                  <w:right w:val="single" w:sz="4" w:space="0" w:color="auto"/>
                </w:tcBorders>
                <w:shd w:val="clear" w:color="auto" w:fill="auto"/>
                <w:vAlign w:val="center"/>
              </w:tcPr>
              <w:p w:rsidR="00876EFF" w:rsidRDefault="00876EFF" w:rsidP="00876EFF">
                <w:pPr>
                  <w:jc w:val="right"/>
                </w:pPr>
                <w:r>
                  <w:t>94,270,565</w:t>
                </w:r>
              </w:p>
            </w:tc>
          </w:tr>
          <w:tr w:rsidR="00876EFF" w:rsidTr="00FE0A94">
            <w:sdt>
              <w:sdtPr>
                <w:tag w:val="_PLD_1b795673cefb4384a821f7328f0a139b"/>
                <w:id w:val="1014267123"/>
                <w:lock w:val="sdtLocked"/>
              </w:sdtPr>
              <w:sdtContent>
                <w:tc>
                  <w:tcPr>
                    <w:tcW w:w="2175" w:type="pct"/>
                    <w:tcBorders>
                      <w:top w:val="single" w:sz="6" w:space="0" w:color="auto"/>
                      <w:left w:val="single" w:sz="6" w:space="0" w:color="auto"/>
                      <w:bottom w:val="single" w:sz="6" w:space="0" w:color="auto"/>
                      <w:right w:val="single" w:sz="6" w:space="0" w:color="auto"/>
                    </w:tcBorders>
                    <w:shd w:val="clear" w:color="auto" w:fill="auto"/>
                    <w:hideMark/>
                  </w:tcPr>
                  <w:p w:rsidR="00876EFF" w:rsidRDefault="00876EFF" w:rsidP="00876EFF">
                    <w:r>
                      <w:rPr>
                        <w:rFonts w:hint="eastAsia"/>
                      </w:rPr>
                      <w:t>四、其他变动</w:t>
                    </w:r>
                  </w:p>
                </w:tc>
              </w:sdtContent>
            </w:sdt>
            <w:tc>
              <w:tcPr>
                <w:tcW w:w="1288" w:type="pct"/>
                <w:tcBorders>
                  <w:top w:val="single" w:sz="4" w:space="0" w:color="auto"/>
                  <w:left w:val="single" w:sz="6" w:space="0" w:color="auto"/>
                  <w:bottom w:val="single" w:sz="4" w:space="0" w:color="auto"/>
                  <w:right w:val="single" w:sz="4" w:space="0" w:color="auto"/>
                </w:tcBorders>
                <w:shd w:val="clear" w:color="auto" w:fill="auto"/>
                <w:vAlign w:val="center"/>
              </w:tcPr>
              <w:p w:rsidR="00876EFF" w:rsidRDefault="00876EFF" w:rsidP="00876EFF">
                <w:pPr>
                  <w:jc w:val="right"/>
                </w:pPr>
                <w:r>
                  <w:t>-110,659,440</w:t>
                </w:r>
              </w:p>
            </w:tc>
            <w:tc>
              <w:tcPr>
                <w:tcW w:w="1537" w:type="pct"/>
                <w:tcBorders>
                  <w:top w:val="single" w:sz="4" w:space="0" w:color="auto"/>
                  <w:left w:val="single" w:sz="6" w:space="0" w:color="auto"/>
                  <w:bottom w:val="single" w:sz="4" w:space="0" w:color="auto"/>
                  <w:right w:val="single" w:sz="4" w:space="0" w:color="auto"/>
                </w:tcBorders>
                <w:shd w:val="clear" w:color="auto" w:fill="auto"/>
                <w:vAlign w:val="center"/>
              </w:tcPr>
              <w:p w:rsidR="00876EFF" w:rsidRDefault="00876EFF" w:rsidP="00876EFF">
                <w:pPr>
                  <w:jc w:val="right"/>
                </w:pPr>
                <w:r>
                  <w:t>-96,052,367</w:t>
                </w:r>
              </w:p>
            </w:tc>
          </w:tr>
          <w:tr w:rsidR="00876EFF" w:rsidTr="00FE0A94">
            <w:sdt>
              <w:sdtPr>
                <w:tag w:val="_PLD_53386543cd454e738933d2fcf1230c62"/>
                <w:id w:val="-540202292"/>
                <w:lock w:val="sdtLocked"/>
              </w:sdtPr>
              <w:sdtContent>
                <w:tc>
                  <w:tcPr>
                    <w:tcW w:w="2175" w:type="pct"/>
                    <w:tcBorders>
                      <w:top w:val="single" w:sz="6" w:space="0" w:color="auto"/>
                      <w:left w:val="single" w:sz="6" w:space="0" w:color="auto"/>
                      <w:bottom w:val="single" w:sz="6" w:space="0" w:color="auto"/>
                      <w:right w:val="single" w:sz="6" w:space="0" w:color="auto"/>
                    </w:tcBorders>
                    <w:shd w:val="clear" w:color="auto" w:fill="auto"/>
                    <w:hideMark/>
                  </w:tcPr>
                  <w:p w:rsidR="00876EFF" w:rsidRDefault="00876EFF" w:rsidP="00876EFF">
                    <w:r>
                      <w:t>1.</w:t>
                    </w:r>
                    <w:r>
                      <w:rPr>
                        <w:rFonts w:hint="eastAsia"/>
                      </w:rPr>
                      <w:t>结算时支付的对价</w:t>
                    </w:r>
                  </w:p>
                </w:tc>
              </w:sdtContent>
            </w:sdt>
            <w:tc>
              <w:tcPr>
                <w:tcW w:w="1288" w:type="pct"/>
                <w:tcBorders>
                  <w:top w:val="single" w:sz="4" w:space="0" w:color="auto"/>
                  <w:left w:val="single" w:sz="6" w:space="0" w:color="auto"/>
                  <w:bottom w:val="single" w:sz="4" w:space="0" w:color="auto"/>
                  <w:right w:val="single" w:sz="4" w:space="0" w:color="auto"/>
                </w:tcBorders>
                <w:shd w:val="clear" w:color="auto" w:fill="auto"/>
              </w:tcPr>
              <w:p w:rsidR="00876EFF" w:rsidRDefault="00876EFF" w:rsidP="00876EFF">
                <w:pPr>
                  <w:jc w:val="right"/>
                </w:pPr>
              </w:p>
            </w:tc>
            <w:tc>
              <w:tcPr>
                <w:tcW w:w="1537" w:type="pct"/>
                <w:tcBorders>
                  <w:top w:val="single" w:sz="4" w:space="0" w:color="auto"/>
                  <w:left w:val="single" w:sz="6" w:space="0" w:color="auto"/>
                  <w:bottom w:val="single" w:sz="4" w:space="0" w:color="auto"/>
                  <w:right w:val="single" w:sz="4" w:space="0" w:color="auto"/>
                </w:tcBorders>
                <w:shd w:val="clear" w:color="auto" w:fill="auto"/>
              </w:tcPr>
              <w:p w:rsidR="00876EFF" w:rsidRDefault="00876EFF" w:rsidP="00876EFF">
                <w:pPr>
                  <w:jc w:val="right"/>
                </w:pPr>
              </w:p>
            </w:tc>
          </w:tr>
          <w:tr w:rsidR="00876EFF" w:rsidTr="00FE0A94">
            <w:sdt>
              <w:sdtPr>
                <w:tag w:val="_PLD_71804fa9cb764e5ab09c8d12e4cc672d"/>
                <w:id w:val="428080455"/>
                <w:lock w:val="sdtLocked"/>
              </w:sdtPr>
              <w:sdtContent>
                <w:tc>
                  <w:tcPr>
                    <w:tcW w:w="2175" w:type="pct"/>
                    <w:tcBorders>
                      <w:top w:val="single" w:sz="6" w:space="0" w:color="auto"/>
                      <w:left w:val="single" w:sz="6" w:space="0" w:color="auto"/>
                      <w:bottom w:val="single" w:sz="6" w:space="0" w:color="auto"/>
                      <w:right w:val="single" w:sz="6" w:space="0" w:color="auto"/>
                    </w:tcBorders>
                    <w:shd w:val="clear" w:color="auto" w:fill="auto"/>
                    <w:hideMark/>
                  </w:tcPr>
                  <w:p w:rsidR="00876EFF" w:rsidRDefault="00876EFF" w:rsidP="00876EFF">
                    <w:r>
                      <w:t>2.</w:t>
                    </w:r>
                    <w:r>
                      <w:rPr>
                        <w:rFonts w:hint="eastAsia"/>
                      </w:rPr>
                      <w:t>已支付的福利</w:t>
                    </w:r>
                  </w:p>
                </w:tc>
              </w:sdtContent>
            </w:sdt>
            <w:tc>
              <w:tcPr>
                <w:tcW w:w="1288" w:type="pct"/>
                <w:tcBorders>
                  <w:top w:val="single" w:sz="4" w:space="0" w:color="auto"/>
                  <w:left w:val="single" w:sz="6" w:space="0" w:color="auto"/>
                  <w:bottom w:val="single" w:sz="4" w:space="0" w:color="auto"/>
                  <w:right w:val="single" w:sz="4" w:space="0" w:color="auto"/>
                </w:tcBorders>
                <w:shd w:val="clear" w:color="auto" w:fill="auto"/>
                <w:vAlign w:val="center"/>
              </w:tcPr>
              <w:p w:rsidR="00876EFF" w:rsidRDefault="00876EFF" w:rsidP="00876EFF">
                <w:pPr>
                  <w:jc w:val="right"/>
                </w:pPr>
                <w:r>
                  <w:t>-110,659,440</w:t>
                </w:r>
              </w:p>
            </w:tc>
            <w:tc>
              <w:tcPr>
                <w:tcW w:w="1537" w:type="pct"/>
                <w:tcBorders>
                  <w:top w:val="single" w:sz="4" w:space="0" w:color="auto"/>
                  <w:left w:val="single" w:sz="6" w:space="0" w:color="auto"/>
                  <w:bottom w:val="single" w:sz="4" w:space="0" w:color="auto"/>
                  <w:right w:val="single" w:sz="4" w:space="0" w:color="auto"/>
                </w:tcBorders>
                <w:shd w:val="clear" w:color="auto" w:fill="auto"/>
                <w:vAlign w:val="center"/>
              </w:tcPr>
              <w:p w:rsidR="00876EFF" w:rsidRDefault="00876EFF" w:rsidP="00876EFF">
                <w:pPr>
                  <w:jc w:val="right"/>
                </w:pPr>
                <w:r>
                  <w:t>-96,052,367</w:t>
                </w:r>
              </w:p>
            </w:tc>
          </w:tr>
          <w:tr w:rsidR="00876EFF" w:rsidTr="00FE0A94">
            <w:sdt>
              <w:sdtPr>
                <w:tag w:val="_PLD_0adf47486617417b88cbef3f9447c164"/>
                <w:id w:val="104779770"/>
                <w:lock w:val="sdtLocked"/>
              </w:sdtPr>
              <w:sdtContent>
                <w:tc>
                  <w:tcPr>
                    <w:tcW w:w="2175" w:type="pct"/>
                    <w:tcBorders>
                      <w:top w:val="single" w:sz="6" w:space="0" w:color="auto"/>
                      <w:left w:val="single" w:sz="6" w:space="0" w:color="auto"/>
                      <w:bottom w:val="single" w:sz="6" w:space="0" w:color="auto"/>
                      <w:right w:val="single" w:sz="6" w:space="0" w:color="auto"/>
                    </w:tcBorders>
                    <w:shd w:val="clear" w:color="auto" w:fill="auto"/>
                    <w:hideMark/>
                  </w:tcPr>
                  <w:p w:rsidR="00876EFF" w:rsidRDefault="00876EFF" w:rsidP="00876EFF">
                    <w:r>
                      <w:rPr>
                        <w:rFonts w:hint="eastAsia"/>
                      </w:rPr>
                      <w:t>五、期末余额</w:t>
                    </w:r>
                  </w:p>
                </w:tc>
              </w:sdtContent>
            </w:sdt>
            <w:tc>
              <w:tcPr>
                <w:tcW w:w="1288" w:type="pct"/>
                <w:tcBorders>
                  <w:top w:val="single" w:sz="4" w:space="0" w:color="auto"/>
                  <w:left w:val="single" w:sz="6" w:space="0" w:color="auto"/>
                  <w:bottom w:val="single" w:sz="4" w:space="0" w:color="auto"/>
                  <w:right w:val="single" w:sz="4" w:space="0" w:color="auto"/>
                </w:tcBorders>
                <w:shd w:val="clear" w:color="auto" w:fill="auto"/>
                <w:vAlign w:val="center"/>
              </w:tcPr>
              <w:p w:rsidR="00876EFF" w:rsidRDefault="00876EFF" w:rsidP="00876EFF">
                <w:pPr>
                  <w:jc w:val="right"/>
                </w:pPr>
                <w:r>
                  <w:t>2,125,949,461</w:t>
                </w:r>
              </w:p>
            </w:tc>
            <w:tc>
              <w:tcPr>
                <w:tcW w:w="1537" w:type="pct"/>
                <w:tcBorders>
                  <w:top w:val="single" w:sz="4" w:space="0" w:color="auto"/>
                  <w:left w:val="single" w:sz="6" w:space="0" w:color="auto"/>
                  <w:bottom w:val="single" w:sz="4" w:space="0" w:color="auto"/>
                  <w:right w:val="single" w:sz="4" w:space="0" w:color="auto"/>
                </w:tcBorders>
                <w:shd w:val="clear" w:color="auto" w:fill="auto"/>
                <w:vAlign w:val="center"/>
              </w:tcPr>
              <w:p w:rsidR="00876EFF" w:rsidRDefault="00876EFF" w:rsidP="00876EFF">
                <w:pPr>
                  <w:jc w:val="right"/>
                </w:pPr>
                <w:r>
                  <w:t>2,107,886,336</w:t>
                </w:r>
              </w:p>
            </w:tc>
          </w:tr>
        </w:tbl>
        <w:p w:rsidR="00806678" w:rsidRDefault="00806678"/>
        <w:p w:rsidR="00806678" w:rsidRDefault="00B16377">
          <w:pPr>
            <w:rPr>
              <w:szCs w:val="21"/>
            </w:rPr>
          </w:pPr>
          <w:r>
            <w:rPr>
              <w:rFonts w:hint="eastAsia"/>
              <w:szCs w:val="21"/>
            </w:rPr>
            <w:t>计划资产：</w:t>
          </w:r>
        </w:p>
        <w:p w:rsidR="00806678" w:rsidRDefault="00F80B6C" w:rsidP="001354EA">
          <w:sdt>
            <w:sdtPr>
              <w:rPr>
                <w:rFonts w:hint="eastAsia"/>
              </w:rPr>
              <w:alias w:val="是否适用：设定受益计划变动情况_计划资产[双击切换]"/>
              <w:tag w:val="_GBC_da74e4a7bfc84e888afc38ffa6096a31"/>
              <w:id w:val="-1757750561"/>
              <w:lock w:val="sdtLocked"/>
              <w:placeholder>
                <w:docPart w:val="GBC22222222222222222222222222222"/>
              </w:placeholder>
            </w:sdtPr>
            <w:sdtContent>
              <w:r>
                <w:fldChar w:fldCharType="begin"/>
              </w:r>
              <w:r w:rsidR="001354EA">
                <w:instrText xml:space="preserve"> MACROBUTTON  SnrToggleCheckbox □适用  </w:instrText>
              </w:r>
              <w:r>
                <w:fldChar w:fldCharType="end"/>
              </w:r>
              <w:r>
                <w:fldChar w:fldCharType="begin"/>
              </w:r>
              <w:r w:rsidR="001354EA">
                <w:instrText xml:space="preserve"> MACROBUTTON  SnrToggleCheckbox √不适用 </w:instrText>
              </w:r>
              <w:r>
                <w:fldChar w:fldCharType="end"/>
              </w:r>
            </w:sdtContent>
          </w:sdt>
        </w:p>
        <w:p w:rsidR="00806678" w:rsidRDefault="00B16377">
          <w:r>
            <w:rPr>
              <w:rFonts w:hint="eastAsia"/>
            </w:rPr>
            <w:t>设定受益计划净负债（净资产）</w:t>
          </w:r>
        </w:p>
        <w:sdt>
          <w:sdtPr>
            <w:alias w:val="是否适用：设定受益计划变动情况_设定受益计划净负债[双击切换]"/>
            <w:tag w:val="_GBC_4ef7ea9e6dc7431c9365dcd01da99b90"/>
            <w:id w:val="-298154220"/>
            <w:lock w:val="sdtLocked"/>
            <w:placeholder>
              <w:docPart w:val="GBC22222222222222222222222222222"/>
            </w:placeholder>
          </w:sdtPr>
          <w:sdtContent>
            <w:p w:rsidR="00806678" w:rsidRDefault="00F80B6C" w:rsidP="001354EA">
              <w:pPr>
                <w:rPr>
                  <w:szCs w:val="21"/>
                </w:rPr>
              </w:pPr>
              <w:r>
                <w:fldChar w:fldCharType="begin"/>
              </w:r>
              <w:r w:rsidR="001354EA">
                <w:instrText xml:space="preserve">MACROBUTTON  SnrToggleCheckbox □适用 </w:instrText>
              </w:r>
              <w:r>
                <w:fldChar w:fldCharType="end"/>
              </w:r>
              <w:r>
                <w:fldChar w:fldCharType="begin"/>
              </w:r>
              <w:r w:rsidR="001354EA">
                <w:instrText xml:space="preserve"> MACROBUTTON  SnrToggleCheckbox √不适用 </w:instrText>
              </w:r>
              <w:r>
                <w:fldChar w:fldCharType="end"/>
              </w:r>
            </w:p>
          </w:sdtContent>
        </w:sdt>
        <w:p w:rsidR="00806678" w:rsidRDefault="00B16377">
          <w:pPr>
            <w:rPr>
              <w:szCs w:val="21"/>
            </w:rPr>
          </w:pPr>
          <w:r>
            <w:rPr>
              <w:rFonts w:hint="eastAsia"/>
              <w:szCs w:val="21"/>
            </w:rPr>
            <w:t>设定受益计划的内容及与之相关风险、对公司未来现金流量、时间和不确定性的影响说明：</w:t>
          </w:r>
        </w:p>
        <w:sdt>
          <w:sdtPr>
            <w:rPr>
              <w:szCs w:val="21"/>
            </w:rPr>
            <w:alias w:val="是否适用：设定受益计划的内容及与之相关风险、对公司未来现金流量、时间和不确定性的影响说明[双击切换]"/>
            <w:tag w:val="_GBC_4c44a3ab962f4a27836276afcc8a7570"/>
            <w:id w:val="1310129593"/>
            <w:lock w:val="sdtLocked"/>
            <w:placeholder>
              <w:docPart w:val="GBC22222222222222222222222222222"/>
            </w:placeholder>
          </w:sdtPr>
          <w:sdtContent>
            <w:p w:rsidR="00806678" w:rsidRDefault="00F80B6C">
              <w:pPr>
                <w:rPr>
                  <w:szCs w:val="21"/>
                </w:rPr>
              </w:pPr>
              <w:r>
                <w:rPr>
                  <w:szCs w:val="21"/>
                </w:rPr>
                <w:fldChar w:fldCharType="begin"/>
              </w:r>
              <w:r w:rsidR="001354EA">
                <w:rPr>
                  <w:szCs w:val="21"/>
                </w:rPr>
                <w:instrText xml:space="preserve">MACROBUTTON  SnrToggleCheckbox □适用 </w:instrText>
              </w:r>
              <w:r>
                <w:rPr>
                  <w:szCs w:val="21"/>
                </w:rPr>
                <w:fldChar w:fldCharType="end"/>
              </w:r>
              <w:r>
                <w:rPr>
                  <w:szCs w:val="21"/>
                </w:rPr>
                <w:fldChar w:fldCharType="begin"/>
              </w:r>
              <w:r w:rsidR="001354EA">
                <w:rPr>
                  <w:szCs w:val="21"/>
                </w:rPr>
                <w:instrText xml:space="preserve"> MACROBUTTON  SnrToggleCheckbox √不适用 </w:instrText>
              </w:r>
              <w:r>
                <w:rPr>
                  <w:szCs w:val="21"/>
                </w:rPr>
                <w:fldChar w:fldCharType="end"/>
              </w:r>
            </w:p>
          </w:sdtContent>
        </w:sdt>
        <w:p w:rsidR="00806678" w:rsidRDefault="00B16377">
          <w:pPr>
            <w:rPr>
              <w:szCs w:val="21"/>
            </w:rPr>
          </w:pPr>
          <w:r>
            <w:rPr>
              <w:rFonts w:hint="eastAsia"/>
              <w:szCs w:val="21"/>
            </w:rPr>
            <w:lastRenderedPageBreak/>
            <w:t>设定受益计划重大精算假设及敏感性分析结果说明</w:t>
          </w:r>
        </w:p>
        <w:sdt>
          <w:sdtPr>
            <w:rPr>
              <w:szCs w:val="21"/>
            </w:rPr>
            <w:alias w:val="是否适用：设定受益计划重大精算假设及敏感性分析结果说明[双击切换]"/>
            <w:tag w:val="_GBC_24dfbea0996e4d8cbbe60d6820df50a2"/>
            <w:id w:val="21595182"/>
            <w:lock w:val="sdtLocked"/>
            <w:placeholder>
              <w:docPart w:val="GBC22222222222222222222222222222"/>
            </w:placeholder>
          </w:sdtPr>
          <w:sdtContent>
            <w:p w:rsidR="00806678" w:rsidRDefault="00F80B6C">
              <w:pPr>
                <w:rPr>
                  <w:szCs w:val="21"/>
                </w:rPr>
              </w:pPr>
              <w:r>
                <w:rPr>
                  <w:szCs w:val="21"/>
                </w:rPr>
                <w:fldChar w:fldCharType="begin"/>
              </w:r>
              <w:r w:rsidR="009C54D9">
                <w:rPr>
                  <w:szCs w:val="21"/>
                </w:rPr>
                <w:instrText xml:space="preserve">MACROBUTTON  SnrToggleCheckbox √适用 </w:instrText>
              </w:r>
              <w:r>
                <w:rPr>
                  <w:szCs w:val="21"/>
                </w:rPr>
                <w:fldChar w:fldCharType="end"/>
              </w:r>
              <w:r>
                <w:rPr>
                  <w:szCs w:val="21"/>
                </w:rPr>
                <w:fldChar w:fldCharType="begin"/>
              </w:r>
              <w:r w:rsidR="009C54D9">
                <w:rPr>
                  <w:szCs w:val="21"/>
                </w:rPr>
                <w:instrText xml:space="preserve"> MACROBUTTON  SnrToggleCheckbox □不适用 </w:instrText>
              </w:r>
              <w:r>
                <w:rPr>
                  <w:szCs w:val="21"/>
                </w:rPr>
                <w:fldChar w:fldCharType="end"/>
              </w:r>
            </w:p>
          </w:sdtContent>
        </w:sdt>
        <w:sdt>
          <w:sdtPr>
            <w:rPr>
              <w:szCs w:val="21"/>
            </w:rPr>
            <w:alias w:val="设定受益计划重大精算假设及敏感性分析结果说明"/>
            <w:tag w:val="_GBC_9c923d91b13f47b798cfd40efd61959a"/>
            <w:id w:val="291258974"/>
            <w:lock w:val="sdtLocked"/>
            <w:placeholder>
              <w:docPart w:val="GBC22222222222222222222222222222"/>
            </w:placeholder>
          </w:sdtPr>
          <w:sdtEndPr>
            <w:rPr>
              <w:szCs w:val="24"/>
            </w:rPr>
          </w:sdtEndPr>
          <w:sdtContent>
            <w:p w:rsidR="001354EA" w:rsidRDefault="001354EA">
              <w:pPr>
                <w:rPr>
                  <w:szCs w:val="21"/>
                </w:rPr>
              </w:pPr>
            </w:p>
            <w:tbl>
              <w:tblPr>
                <w:tblW w:w="879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28" w:type="dxa"/>
                </w:tblCellMar>
                <w:tblLook w:val="04A0"/>
              </w:tblPr>
              <w:tblGrid>
                <w:gridCol w:w="3813"/>
                <w:gridCol w:w="1659"/>
                <w:gridCol w:w="1659"/>
                <w:gridCol w:w="1659"/>
              </w:tblGrid>
              <w:tr w:rsidR="001354EA" w:rsidRPr="00422D5A" w:rsidTr="00217F10">
                <w:trPr>
                  <w:trHeight w:val="323"/>
                  <w:jc w:val="right"/>
                </w:trPr>
                <w:tc>
                  <w:tcPr>
                    <w:tcW w:w="3813" w:type="dxa"/>
                    <w:vAlign w:val="bottom"/>
                  </w:tcPr>
                  <w:p w:rsidR="001354EA" w:rsidRPr="00422D5A" w:rsidRDefault="001354EA" w:rsidP="00DB008B">
                    <w:pPr>
                      <w:widowControl w:val="0"/>
                      <w:snapToGrid w:val="0"/>
                      <w:rPr>
                        <w:rFonts w:asciiTheme="majorEastAsia" w:eastAsiaTheme="majorEastAsia" w:hAnsiTheme="majorEastAsia" w:cs="Times New Roman"/>
                        <w:kern w:val="2"/>
                      </w:rPr>
                    </w:pPr>
                    <w:bookmarkStart w:id="227" w:name="_Hlk131673307"/>
                    <w:r w:rsidRPr="00422D5A">
                      <w:rPr>
                        <w:rFonts w:ascii="微软雅黑" w:eastAsia="微软雅黑" w:hAnsi="微软雅黑" w:cs="微软雅黑" w:hint="eastAsia"/>
                        <w:kern w:val="2"/>
                        <w:sz w:val="18"/>
                      </w:rPr>
                      <w:t> </w:t>
                    </w:r>
                  </w:p>
                </w:tc>
                <w:tc>
                  <w:tcPr>
                    <w:tcW w:w="1659" w:type="dxa"/>
                    <w:vAlign w:val="bottom"/>
                  </w:tcPr>
                  <w:p w:rsidR="001354EA" w:rsidRPr="00422D5A" w:rsidRDefault="001354EA" w:rsidP="00DB008B">
                    <w:pPr>
                      <w:widowControl w:val="0"/>
                      <w:snapToGrid w:val="0"/>
                      <w:jc w:val="right"/>
                      <w:rPr>
                        <w:rFonts w:asciiTheme="majorEastAsia" w:eastAsiaTheme="majorEastAsia" w:hAnsiTheme="majorEastAsia" w:cs="Times New Roman"/>
                        <w:kern w:val="2"/>
                      </w:rPr>
                    </w:pPr>
                    <w:r w:rsidRPr="00422D5A">
                      <w:rPr>
                        <w:rFonts w:ascii="微软雅黑" w:eastAsia="微软雅黑" w:hAnsi="微软雅黑" w:cs="微软雅黑" w:hint="eastAsia"/>
                        <w:kern w:val="2"/>
                        <w:sz w:val="18"/>
                      </w:rPr>
                      <w:t> </w:t>
                    </w:r>
                  </w:p>
                </w:tc>
                <w:tc>
                  <w:tcPr>
                    <w:tcW w:w="3318" w:type="dxa"/>
                    <w:gridSpan w:val="2"/>
                    <w:vAlign w:val="bottom"/>
                  </w:tcPr>
                  <w:p w:rsidR="001354EA" w:rsidRPr="00422D5A" w:rsidRDefault="001354EA" w:rsidP="00DB008B">
                    <w:pPr>
                      <w:widowControl w:val="0"/>
                      <w:snapToGrid w:val="0"/>
                      <w:jc w:val="center"/>
                      <w:rPr>
                        <w:rFonts w:asciiTheme="majorEastAsia" w:eastAsiaTheme="majorEastAsia" w:hAnsiTheme="majorEastAsia" w:cs="Times New Roman"/>
                        <w:kern w:val="2"/>
                      </w:rPr>
                    </w:pPr>
                    <w:r w:rsidRPr="00422D5A">
                      <w:rPr>
                        <w:rFonts w:asciiTheme="majorEastAsia" w:eastAsiaTheme="majorEastAsia" w:hAnsiTheme="majorEastAsia" w:cs="Times New Roman"/>
                        <w:kern w:val="2"/>
                        <w:sz w:val="18"/>
                      </w:rPr>
                      <w:t>对设定受益义务现值的影响</w:t>
                    </w:r>
                  </w:p>
                </w:tc>
              </w:tr>
              <w:tr w:rsidR="001354EA" w:rsidRPr="00422D5A" w:rsidTr="00217F10">
                <w:trPr>
                  <w:trHeight w:val="323"/>
                  <w:jc w:val="right"/>
                </w:trPr>
                <w:tc>
                  <w:tcPr>
                    <w:tcW w:w="3813" w:type="dxa"/>
                    <w:vAlign w:val="center"/>
                  </w:tcPr>
                  <w:p w:rsidR="001354EA" w:rsidRPr="00422D5A" w:rsidRDefault="001354EA" w:rsidP="00217F10">
                    <w:pPr>
                      <w:widowControl w:val="0"/>
                      <w:snapToGrid w:val="0"/>
                      <w:jc w:val="center"/>
                      <w:rPr>
                        <w:rFonts w:asciiTheme="majorEastAsia" w:eastAsiaTheme="majorEastAsia" w:hAnsiTheme="majorEastAsia" w:cs="Times New Roman"/>
                        <w:kern w:val="2"/>
                      </w:rPr>
                    </w:pPr>
                    <w:r w:rsidRPr="00422D5A">
                      <w:rPr>
                        <w:rFonts w:asciiTheme="majorEastAsia" w:eastAsiaTheme="majorEastAsia" w:hAnsiTheme="majorEastAsia" w:cs="Times New Roman"/>
                        <w:kern w:val="2"/>
                        <w:sz w:val="18"/>
                      </w:rPr>
                      <w:t>项目</w:t>
                    </w:r>
                  </w:p>
                </w:tc>
                <w:tc>
                  <w:tcPr>
                    <w:tcW w:w="1659" w:type="dxa"/>
                    <w:vAlign w:val="center"/>
                  </w:tcPr>
                  <w:p w:rsidR="001354EA" w:rsidRPr="00422D5A" w:rsidRDefault="001354EA" w:rsidP="00217F10">
                    <w:pPr>
                      <w:widowControl w:val="0"/>
                      <w:snapToGrid w:val="0"/>
                      <w:jc w:val="center"/>
                      <w:rPr>
                        <w:rFonts w:asciiTheme="majorEastAsia" w:eastAsiaTheme="majorEastAsia" w:hAnsiTheme="majorEastAsia" w:cs="Times New Roman"/>
                        <w:kern w:val="2"/>
                      </w:rPr>
                    </w:pPr>
                    <w:r w:rsidRPr="00422D5A">
                      <w:rPr>
                        <w:rFonts w:asciiTheme="majorEastAsia" w:eastAsiaTheme="majorEastAsia" w:hAnsiTheme="majorEastAsia" w:cs="Times New Roman"/>
                        <w:kern w:val="2"/>
                        <w:sz w:val="18"/>
                      </w:rPr>
                      <w:t>假设变动幅度 (%)</w:t>
                    </w:r>
                  </w:p>
                </w:tc>
                <w:tc>
                  <w:tcPr>
                    <w:tcW w:w="1659" w:type="dxa"/>
                    <w:vAlign w:val="center"/>
                  </w:tcPr>
                  <w:p w:rsidR="001354EA" w:rsidRPr="00422D5A" w:rsidRDefault="001354EA" w:rsidP="00217F10">
                    <w:pPr>
                      <w:widowControl w:val="0"/>
                      <w:snapToGrid w:val="0"/>
                      <w:jc w:val="center"/>
                      <w:rPr>
                        <w:rFonts w:asciiTheme="majorEastAsia" w:eastAsiaTheme="majorEastAsia" w:hAnsiTheme="majorEastAsia" w:cs="Times New Roman"/>
                        <w:kern w:val="2"/>
                      </w:rPr>
                    </w:pPr>
                    <w:r w:rsidRPr="00422D5A">
                      <w:rPr>
                        <w:rFonts w:asciiTheme="majorEastAsia" w:eastAsiaTheme="majorEastAsia" w:hAnsiTheme="majorEastAsia" w:cs="Times New Roman"/>
                        <w:kern w:val="2"/>
                        <w:sz w:val="18"/>
                      </w:rPr>
                      <w:t>假设增加</w:t>
                    </w:r>
                  </w:p>
                </w:tc>
                <w:tc>
                  <w:tcPr>
                    <w:tcW w:w="1659" w:type="dxa"/>
                    <w:vAlign w:val="center"/>
                  </w:tcPr>
                  <w:p w:rsidR="001354EA" w:rsidRPr="00422D5A" w:rsidRDefault="001354EA" w:rsidP="00217F10">
                    <w:pPr>
                      <w:widowControl w:val="0"/>
                      <w:snapToGrid w:val="0"/>
                      <w:jc w:val="center"/>
                      <w:rPr>
                        <w:rFonts w:asciiTheme="majorEastAsia" w:eastAsiaTheme="majorEastAsia" w:hAnsiTheme="majorEastAsia" w:cs="Times New Roman"/>
                        <w:kern w:val="2"/>
                      </w:rPr>
                    </w:pPr>
                    <w:r w:rsidRPr="00422D5A">
                      <w:rPr>
                        <w:rFonts w:asciiTheme="majorEastAsia" w:eastAsiaTheme="majorEastAsia" w:hAnsiTheme="majorEastAsia" w:cs="Times New Roman"/>
                        <w:kern w:val="2"/>
                        <w:sz w:val="18"/>
                      </w:rPr>
                      <w:t>假设减少</w:t>
                    </w:r>
                  </w:p>
                </w:tc>
              </w:tr>
              <w:tr w:rsidR="001354EA" w:rsidRPr="00422D5A" w:rsidTr="00217F10">
                <w:trPr>
                  <w:trHeight w:val="323"/>
                  <w:jc w:val="right"/>
                </w:trPr>
                <w:tc>
                  <w:tcPr>
                    <w:tcW w:w="3813" w:type="dxa"/>
                    <w:vAlign w:val="bottom"/>
                  </w:tcPr>
                  <w:p w:rsidR="001354EA" w:rsidRPr="00422D5A" w:rsidRDefault="001354EA" w:rsidP="00DB008B">
                    <w:pPr>
                      <w:widowControl w:val="0"/>
                      <w:snapToGrid w:val="0"/>
                      <w:rPr>
                        <w:rFonts w:asciiTheme="majorEastAsia" w:eastAsiaTheme="majorEastAsia" w:hAnsiTheme="majorEastAsia" w:cs="Times New Roman"/>
                        <w:kern w:val="2"/>
                      </w:rPr>
                    </w:pPr>
                    <w:r w:rsidRPr="00422D5A">
                      <w:rPr>
                        <w:rFonts w:asciiTheme="majorEastAsia" w:eastAsiaTheme="majorEastAsia" w:hAnsiTheme="majorEastAsia" w:cs="Times New Roman"/>
                        <w:kern w:val="2"/>
                        <w:sz w:val="18"/>
                      </w:rPr>
                      <w:t>折现率</w:t>
                    </w:r>
                  </w:p>
                </w:tc>
                <w:tc>
                  <w:tcPr>
                    <w:tcW w:w="1659" w:type="dxa"/>
                    <w:shd w:val="clear" w:color="auto" w:fill="auto"/>
                    <w:vAlign w:val="bottom"/>
                  </w:tcPr>
                  <w:p w:rsidR="001354EA" w:rsidRPr="00422D5A" w:rsidRDefault="001354EA" w:rsidP="00DB008B">
                    <w:pPr>
                      <w:widowControl w:val="0"/>
                      <w:snapToGrid w:val="0"/>
                      <w:jc w:val="right"/>
                      <w:rPr>
                        <w:rFonts w:asciiTheme="majorEastAsia" w:eastAsiaTheme="majorEastAsia" w:hAnsiTheme="majorEastAsia" w:cs="Times New Roman"/>
                        <w:kern w:val="2"/>
                      </w:rPr>
                    </w:pPr>
                    <w:r w:rsidRPr="00422D5A">
                      <w:rPr>
                        <w:rFonts w:asciiTheme="majorEastAsia" w:eastAsiaTheme="majorEastAsia" w:hAnsiTheme="majorEastAsia" w:cs="Times New Roman"/>
                        <w:kern w:val="2"/>
                        <w:sz w:val="18"/>
                      </w:rPr>
                      <w:t>0.25</w:t>
                    </w:r>
                  </w:p>
                </w:tc>
                <w:tc>
                  <w:tcPr>
                    <w:tcW w:w="1659" w:type="dxa"/>
                    <w:shd w:val="clear" w:color="auto" w:fill="auto"/>
                    <w:vAlign w:val="bottom"/>
                  </w:tcPr>
                  <w:p w:rsidR="001354EA" w:rsidRPr="00422D5A" w:rsidRDefault="001354EA" w:rsidP="00DB008B">
                    <w:pPr>
                      <w:widowControl w:val="0"/>
                      <w:snapToGrid w:val="0"/>
                      <w:jc w:val="right"/>
                      <w:rPr>
                        <w:rFonts w:asciiTheme="majorEastAsia" w:eastAsiaTheme="majorEastAsia" w:hAnsiTheme="majorEastAsia" w:cs="Times New Roman"/>
                        <w:kern w:val="2"/>
                      </w:rPr>
                    </w:pPr>
                    <w:r w:rsidRPr="00422D5A">
                      <w:rPr>
                        <w:rFonts w:asciiTheme="majorEastAsia" w:eastAsiaTheme="majorEastAsia" w:hAnsiTheme="majorEastAsia" w:cs="Times New Roman"/>
                        <w:kern w:val="2"/>
                        <w:sz w:val="18"/>
                      </w:rPr>
                      <w:t>-4%</w:t>
                    </w:r>
                  </w:p>
                </w:tc>
                <w:tc>
                  <w:tcPr>
                    <w:tcW w:w="1659" w:type="dxa"/>
                    <w:shd w:val="clear" w:color="auto" w:fill="auto"/>
                    <w:vAlign w:val="bottom"/>
                  </w:tcPr>
                  <w:p w:rsidR="001354EA" w:rsidRPr="00422D5A" w:rsidRDefault="001354EA" w:rsidP="00DB008B">
                    <w:pPr>
                      <w:widowControl w:val="0"/>
                      <w:snapToGrid w:val="0"/>
                      <w:jc w:val="right"/>
                      <w:rPr>
                        <w:rFonts w:asciiTheme="majorEastAsia" w:eastAsiaTheme="majorEastAsia" w:hAnsiTheme="majorEastAsia" w:cs="Times New Roman"/>
                        <w:kern w:val="2"/>
                      </w:rPr>
                    </w:pPr>
                    <w:r w:rsidRPr="00422D5A">
                      <w:rPr>
                        <w:rFonts w:asciiTheme="majorEastAsia" w:eastAsiaTheme="majorEastAsia" w:hAnsiTheme="majorEastAsia" w:cs="Times New Roman"/>
                        <w:kern w:val="2"/>
                        <w:sz w:val="18"/>
                      </w:rPr>
                      <w:t>5%</w:t>
                    </w:r>
                  </w:p>
                </w:tc>
              </w:tr>
              <w:tr w:rsidR="001354EA" w:rsidRPr="00422D5A" w:rsidTr="00217F10">
                <w:trPr>
                  <w:trHeight w:val="323"/>
                  <w:jc w:val="right"/>
                </w:trPr>
                <w:tc>
                  <w:tcPr>
                    <w:tcW w:w="3813" w:type="dxa"/>
                    <w:vAlign w:val="bottom"/>
                  </w:tcPr>
                  <w:p w:rsidR="001354EA" w:rsidRPr="00422D5A" w:rsidRDefault="001354EA" w:rsidP="00DB008B">
                    <w:pPr>
                      <w:widowControl w:val="0"/>
                      <w:snapToGrid w:val="0"/>
                      <w:rPr>
                        <w:rFonts w:asciiTheme="majorEastAsia" w:eastAsiaTheme="majorEastAsia" w:hAnsiTheme="majorEastAsia" w:cs="Times New Roman"/>
                        <w:kern w:val="2"/>
                      </w:rPr>
                    </w:pPr>
                    <w:r w:rsidRPr="00422D5A">
                      <w:rPr>
                        <w:rFonts w:asciiTheme="majorEastAsia" w:eastAsiaTheme="majorEastAsia" w:hAnsiTheme="majorEastAsia" w:cs="Times New Roman"/>
                        <w:kern w:val="2"/>
                        <w:sz w:val="18"/>
                      </w:rPr>
                      <w:t>医疗费用的年增长率</w:t>
                    </w:r>
                  </w:p>
                </w:tc>
                <w:tc>
                  <w:tcPr>
                    <w:tcW w:w="1659" w:type="dxa"/>
                    <w:shd w:val="clear" w:color="auto" w:fill="auto"/>
                    <w:vAlign w:val="bottom"/>
                  </w:tcPr>
                  <w:p w:rsidR="001354EA" w:rsidRPr="00422D5A" w:rsidRDefault="001354EA" w:rsidP="00DB008B">
                    <w:pPr>
                      <w:widowControl w:val="0"/>
                      <w:snapToGrid w:val="0"/>
                      <w:jc w:val="right"/>
                      <w:rPr>
                        <w:rFonts w:asciiTheme="majorEastAsia" w:eastAsiaTheme="majorEastAsia" w:hAnsiTheme="majorEastAsia" w:cs="Times New Roman"/>
                        <w:kern w:val="2"/>
                      </w:rPr>
                    </w:pPr>
                    <w:r w:rsidRPr="00422D5A">
                      <w:rPr>
                        <w:rFonts w:asciiTheme="majorEastAsia" w:eastAsiaTheme="majorEastAsia" w:hAnsiTheme="majorEastAsia" w:cs="Times New Roman"/>
                        <w:kern w:val="2"/>
                        <w:sz w:val="18"/>
                      </w:rPr>
                      <w:t>1.00</w:t>
                    </w:r>
                  </w:p>
                </w:tc>
                <w:tc>
                  <w:tcPr>
                    <w:tcW w:w="1659" w:type="dxa"/>
                    <w:shd w:val="clear" w:color="auto" w:fill="auto"/>
                    <w:vAlign w:val="bottom"/>
                  </w:tcPr>
                  <w:p w:rsidR="001354EA" w:rsidRPr="00422D5A" w:rsidRDefault="001354EA" w:rsidP="00DB008B">
                    <w:pPr>
                      <w:widowControl w:val="0"/>
                      <w:snapToGrid w:val="0"/>
                      <w:jc w:val="right"/>
                      <w:rPr>
                        <w:rFonts w:asciiTheme="majorEastAsia" w:eastAsiaTheme="majorEastAsia" w:hAnsiTheme="majorEastAsia" w:cs="Times New Roman"/>
                        <w:kern w:val="2"/>
                      </w:rPr>
                    </w:pPr>
                    <w:r w:rsidRPr="00422D5A">
                      <w:rPr>
                        <w:rFonts w:asciiTheme="majorEastAsia" w:eastAsiaTheme="majorEastAsia" w:hAnsiTheme="majorEastAsia" w:cs="Times New Roman"/>
                        <w:kern w:val="2"/>
                        <w:sz w:val="18"/>
                      </w:rPr>
                      <w:t>9%</w:t>
                    </w:r>
                  </w:p>
                </w:tc>
                <w:tc>
                  <w:tcPr>
                    <w:tcW w:w="1659" w:type="dxa"/>
                    <w:shd w:val="clear" w:color="auto" w:fill="auto"/>
                    <w:vAlign w:val="bottom"/>
                  </w:tcPr>
                  <w:p w:rsidR="001354EA" w:rsidRPr="00422D5A" w:rsidRDefault="001354EA" w:rsidP="00DB008B">
                    <w:pPr>
                      <w:widowControl w:val="0"/>
                      <w:snapToGrid w:val="0"/>
                      <w:jc w:val="right"/>
                      <w:rPr>
                        <w:rFonts w:asciiTheme="majorEastAsia" w:eastAsiaTheme="majorEastAsia" w:hAnsiTheme="majorEastAsia" w:cs="Times New Roman"/>
                        <w:kern w:val="2"/>
                      </w:rPr>
                    </w:pPr>
                    <w:r w:rsidRPr="00422D5A">
                      <w:rPr>
                        <w:rFonts w:asciiTheme="majorEastAsia" w:eastAsiaTheme="majorEastAsia" w:hAnsiTheme="majorEastAsia" w:cs="Times New Roman"/>
                        <w:kern w:val="2"/>
                        <w:sz w:val="18"/>
                      </w:rPr>
                      <w:t>-7%</w:t>
                    </w:r>
                  </w:p>
                </w:tc>
              </w:tr>
              <w:tr w:rsidR="001354EA" w:rsidRPr="00422D5A" w:rsidTr="00217F10">
                <w:trPr>
                  <w:trHeight w:val="323"/>
                  <w:jc w:val="right"/>
                </w:trPr>
                <w:tc>
                  <w:tcPr>
                    <w:tcW w:w="3813" w:type="dxa"/>
                    <w:vAlign w:val="bottom"/>
                  </w:tcPr>
                  <w:p w:rsidR="001354EA" w:rsidRPr="00422D5A" w:rsidRDefault="001354EA" w:rsidP="00DB008B">
                    <w:pPr>
                      <w:widowControl w:val="0"/>
                      <w:snapToGrid w:val="0"/>
                      <w:rPr>
                        <w:rFonts w:asciiTheme="majorEastAsia" w:eastAsiaTheme="majorEastAsia" w:hAnsiTheme="majorEastAsia" w:cs="Times New Roman"/>
                        <w:kern w:val="2"/>
                      </w:rPr>
                    </w:pPr>
                    <w:r w:rsidRPr="00422D5A">
                      <w:rPr>
                        <w:rFonts w:asciiTheme="majorEastAsia" w:eastAsiaTheme="majorEastAsia" w:hAnsiTheme="majorEastAsia" w:cs="Times New Roman"/>
                        <w:kern w:val="2"/>
                        <w:sz w:val="18"/>
                      </w:rPr>
                      <w:t>一次性独生子女父母奖励平均年增长率</w:t>
                    </w:r>
                  </w:p>
                </w:tc>
                <w:tc>
                  <w:tcPr>
                    <w:tcW w:w="1659" w:type="dxa"/>
                    <w:shd w:val="clear" w:color="auto" w:fill="auto"/>
                    <w:vAlign w:val="bottom"/>
                  </w:tcPr>
                  <w:p w:rsidR="001354EA" w:rsidRPr="00422D5A" w:rsidRDefault="001354EA" w:rsidP="00DB008B">
                    <w:pPr>
                      <w:widowControl w:val="0"/>
                      <w:snapToGrid w:val="0"/>
                      <w:jc w:val="right"/>
                      <w:rPr>
                        <w:rFonts w:asciiTheme="majorEastAsia" w:eastAsiaTheme="majorEastAsia" w:hAnsiTheme="majorEastAsia" w:cs="Times New Roman"/>
                        <w:kern w:val="2"/>
                      </w:rPr>
                    </w:pPr>
                    <w:r w:rsidRPr="00422D5A">
                      <w:rPr>
                        <w:rFonts w:asciiTheme="majorEastAsia" w:eastAsiaTheme="majorEastAsia" w:hAnsiTheme="majorEastAsia" w:cs="Times New Roman"/>
                        <w:kern w:val="2"/>
                        <w:sz w:val="18"/>
                      </w:rPr>
                      <w:t>1.00</w:t>
                    </w:r>
                  </w:p>
                </w:tc>
                <w:tc>
                  <w:tcPr>
                    <w:tcW w:w="1659" w:type="dxa"/>
                    <w:shd w:val="clear" w:color="auto" w:fill="auto"/>
                    <w:vAlign w:val="bottom"/>
                  </w:tcPr>
                  <w:p w:rsidR="001354EA" w:rsidRPr="00422D5A" w:rsidRDefault="001354EA" w:rsidP="00DB008B">
                    <w:pPr>
                      <w:widowControl w:val="0"/>
                      <w:snapToGrid w:val="0"/>
                      <w:jc w:val="right"/>
                      <w:rPr>
                        <w:rFonts w:asciiTheme="majorEastAsia" w:eastAsiaTheme="majorEastAsia" w:hAnsiTheme="majorEastAsia" w:cs="Times New Roman"/>
                        <w:kern w:val="2"/>
                      </w:rPr>
                    </w:pPr>
                    <w:r w:rsidRPr="00422D5A">
                      <w:rPr>
                        <w:rFonts w:asciiTheme="majorEastAsia" w:eastAsiaTheme="majorEastAsia" w:hAnsiTheme="majorEastAsia" w:cs="Times New Roman"/>
                        <w:kern w:val="2"/>
                        <w:sz w:val="18"/>
                      </w:rPr>
                      <w:t>5%</w:t>
                    </w:r>
                  </w:p>
                </w:tc>
                <w:tc>
                  <w:tcPr>
                    <w:tcW w:w="1659" w:type="dxa"/>
                    <w:shd w:val="clear" w:color="auto" w:fill="auto"/>
                    <w:vAlign w:val="bottom"/>
                  </w:tcPr>
                  <w:p w:rsidR="001354EA" w:rsidRPr="00422D5A" w:rsidRDefault="001354EA" w:rsidP="00DB008B">
                    <w:pPr>
                      <w:widowControl w:val="0"/>
                      <w:snapToGrid w:val="0"/>
                      <w:jc w:val="right"/>
                      <w:rPr>
                        <w:rFonts w:asciiTheme="majorEastAsia" w:eastAsiaTheme="majorEastAsia" w:hAnsiTheme="majorEastAsia" w:cs="Times New Roman"/>
                        <w:kern w:val="2"/>
                      </w:rPr>
                    </w:pPr>
                    <w:r w:rsidRPr="00422D5A">
                      <w:rPr>
                        <w:rFonts w:asciiTheme="majorEastAsia" w:eastAsiaTheme="majorEastAsia" w:hAnsiTheme="majorEastAsia" w:cs="Times New Roman"/>
                        <w:kern w:val="2"/>
                        <w:sz w:val="18"/>
                      </w:rPr>
                      <w:t>-4%</w:t>
                    </w:r>
                  </w:p>
                </w:tc>
              </w:tr>
            </w:tbl>
            <w:p w:rsidR="001354EA" w:rsidRDefault="001354EA" w:rsidP="001354EA">
              <w:pPr>
                <w:pStyle w:val="a9"/>
                <w:widowControl/>
                <w:overflowPunct w:val="0"/>
                <w:adjustRightInd w:val="0"/>
                <w:snapToGrid w:val="0"/>
                <w:ind w:firstLineChars="0" w:firstLine="0"/>
                <w:rPr>
                  <w:rFonts w:cs="Arial"/>
                  <w:sz w:val="22"/>
                </w:rPr>
              </w:pPr>
              <w:bookmarkStart w:id="228" w:name="_Hlk131673356"/>
              <w:bookmarkEnd w:id="227"/>
            </w:p>
            <w:p w:rsidR="001354EA" w:rsidRPr="001F185D" w:rsidRDefault="001354EA" w:rsidP="001354EA">
              <w:pPr>
                <w:pStyle w:val="a9"/>
                <w:widowControl/>
                <w:overflowPunct w:val="0"/>
                <w:adjustRightInd w:val="0"/>
                <w:snapToGrid w:val="0"/>
                <w:ind w:firstLineChars="0" w:firstLine="0"/>
                <w:rPr>
                  <w:rFonts w:cs="Arial"/>
                  <w:sz w:val="22"/>
                </w:rPr>
              </w:pPr>
              <w:r w:rsidRPr="001F185D">
                <w:rPr>
                  <w:rFonts w:cs="Arial" w:hint="eastAsia"/>
                  <w:sz w:val="22"/>
                </w:rPr>
                <w:t>上述敏感性分析是基于一个假设发生变动而其他假设均保持不变，但实际上各种假设通常是相互关联的。上述敏感性分析在计算设定受益义务现值时也同样采用预期累计福利单位法。</w:t>
              </w:r>
            </w:p>
            <w:p w:rsidR="00806678" w:rsidRPr="00422D5A" w:rsidRDefault="00F80B6C"/>
            <w:bookmarkEnd w:id="228" w:displacedByCustomXml="next"/>
          </w:sdtContent>
        </w:sdt>
      </w:sdtContent>
    </w:sdt>
    <w:sdt>
      <w:sdtPr>
        <w:rPr>
          <w:szCs w:val="21"/>
        </w:rPr>
        <w:alias w:val="模块:长期应付职工薪酬的其他说明"/>
        <w:tag w:val="_SEC_bdb4f6c5fc6642808a65fce4599aa115"/>
        <w:id w:val="752704602"/>
        <w:lock w:val="sdtLocked"/>
        <w:placeholder>
          <w:docPart w:val="GBC22222222222222222222222222222"/>
        </w:placeholder>
      </w:sdtPr>
      <w:sdtContent>
        <w:p w:rsidR="00806678" w:rsidRDefault="00B16377">
          <w:pPr>
            <w:rPr>
              <w:szCs w:val="21"/>
            </w:rPr>
          </w:pPr>
          <w:r>
            <w:rPr>
              <w:rFonts w:hint="eastAsia"/>
              <w:szCs w:val="21"/>
            </w:rPr>
            <w:t>其他说明：</w:t>
          </w:r>
        </w:p>
        <w:sdt>
          <w:sdtPr>
            <w:rPr>
              <w:szCs w:val="21"/>
            </w:rPr>
            <w:alias w:val="是否适用：长期应付职工薪酬的其他说明[双击切换]"/>
            <w:tag w:val="_GBC_4c32051ec1ee486180dafb68d556d339"/>
            <w:id w:val="-536897515"/>
            <w:lock w:val="sdtLocked"/>
            <w:placeholder>
              <w:docPart w:val="GBC22222222222222222222222222222"/>
            </w:placeholder>
          </w:sdtPr>
          <w:sdtContent>
            <w:p w:rsidR="00806678" w:rsidRDefault="00F80B6C">
              <w:pPr>
                <w:rPr>
                  <w:szCs w:val="21"/>
                </w:rPr>
              </w:pPr>
              <w:r>
                <w:rPr>
                  <w:szCs w:val="21"/>
                </w:rPr>
                <w:fldChar w:fldCharType="begin"/>
              </w:r>
              <w:r w:rsidR="001354EA">
                <w:rPr>
                  <w:szCs w:val="21"/>
                </w:rPr>
                <w:instrText xml:space="preserve">MACROBUTTON  SnrToggleCheckbox √适用 </w:instrText>
              </w:r>
              <w:r>
                <w:rPr>
                  <w:szCs w:val="21"/>
                </w:rPr>
                <w:fldChar w:fldCharType="end"/>
              </w:r>
              <w:r>
                <w:rPr>
                  <w:szCs w:val="21"/>
                </w:rPr>
                <w:fldChar w:fldCharType="begin"/>
              </w:r>
              <w:r w:rsidR="001354EA">
                <w:rPr>
                  <w:szCs w:val="21"/>
                </w:rPr>
                <w:instrText xml:space="preserve"> MACROBUTTON  SnrToggleCheckbox □不适用 </w:instrText>
              </w:r>
              <w:r>
                <w:rPr>
                  <w:szCs w:val="21"/>
                </w:rPr>
                <w:fldChar w:fldCharType="end"/>
              </w:r>
            </w:p>
          </w:sdtContent>
        </w:sdt>
        <w:sdt>
          <w:sdtPr>
            <w:rPr>
              <w:rFonts w:asciiTheme="majorEastAsia" w:eastAsiaTheme="majorEastAsia" w:hAnsiTheme="majorEastAsia"/>
              <w:szCs w:val="21"/>
            </w:rPr>
            <w:alias w:val="长期应付职工薪酬的其他说明"/>
            <w:tag w:val="_GBC_28b9bb6550fe4ba38d6cea04e7fd30f2"/>
            <w:id w:val="-1335294909"/>
            <w:lock w:val="sdtLocked"/>
            <w:placeholder>
              <w:docPart w:val="GBC22222222222222222222222222222"/>
            </w:placeholder>
          </w:sdtPr>
          <w:sdtEndPr>
            <w:rPr>
              <w:rFonts w:ascii="宋体" w:eastAsia="宋体" w:hAnsi="宋体"/>
            </w:rPr>
          </w:sdtEndPr>
          <w:sdtContent>
            <w:p w:rsidR="001354EA" w:rsidRDefault="001354EA">
              <w:pPr>
                <w:rPr>
                  <w:rFonts w:asciiTheme="majorEastAsia" w:eastAsiaTheme="majorEastAsia" w:hAnsiTheme="majorEastAsia"/>
                  <w:szCs w:val="21"/>
                </w:rPr>
              </w:pPr>
              <w:r w:rsidRPr="00422D5A">
                <w:rPr>
                  <w:rFonts w:asciiTheme="majorEastAsia" w:eastAsiaTheme="majorEastAsia" w:hAnsiTheme="majorEastAsia" w:hint="eastAsia"/>
                  <w:szCs w:val="21"/>
                </w:rPr>
                <w:t>注：本集团在国家规定的基本福利制度外，为现有离退休人员及在职人员退休后提供补充退休后福利。本集团于资产负债表日的补充退休福利由独立精算师韬睿惠悦管理咨询有限公司使用“预期累计福利单位法”进行评估。</w:t>
              </w:r>
            </w:p>
            <w:p w:rsidR="00FE0A94" w:rsidRDefault="00FE0A94">
              <w:pPr>
                <w:rPr>
                  <w:rFonts w:asciiTheme="majorEastAsia" w:eastAsiaTheme="majorEastAsia" w:hAnsiTheme="majorEastAsia"/>
                  <w:szCs w:val="21"/>
                </w:rPr>
              </w:pPr>
            </w:p>
            <w:p w:rsidR="00FE0A94" w:rsidRPr="00422D5A" w:rsidRDefault="00FE0A94">
              <w:pPr>
                <w:rPr>
                  <w:rFonts w:asciiTheme="majorEastAsia" w:eastAsiaTheme="majorEastAsia" w:hAnsiTheme="majorEastAsia"/>
                  <w:szCs w:val="21"/>
                </w:rPr>
              </w:pPr>
            </w:p>
            <w:p w:rsidR="001354EA" w:rsidRPr="00422D5A" w:rsidRDefault="001354EA" w:rsidP="00FF17C7">
              <w:pPr>
                <w:pStyle w:val="6"/>
                <w:keepNext w:val="0"/>
                <w:keepLines w:val="0"/>
                <w:numPr>
                  <w:ilvl w:val="0"/>
                  <w:numId w:val="134"/>
                </w:numPr>
                <w:tabs>
                  <w:tab w:val="left" w:pos="0"/>
                </w:tabs>
                <w:overflowPunct w:val="0"/>
                <w:adjustRightInd w:val="0"/>
                <w:snapToGrid w:val="0"/>
                <w:spacing w:before="0" w:after="0"/>
                <w:rPr>
                  <w:rFonts w:asciiTheme="majorEastAsia" w:eastAsiaTheme="majorEastAsia" w:hAnsiTheme="majorEastAsia" w:cs="Arial"/>
                  <w:bCs w:val="0"/>
                  <w:sz w:val="22"/>
                  <w:szCs w:val="22"/>
                </w:rPr>
              </w:pPr>
              <w:r w:rsidRPr="00422D5A">
                <w:rPr>
                  <w:rFonts w:asciiTheme="majorEastAsia" w:eastAsiaTheme="majorEastAsia" w:hAnsiTheme="majorEastAsia" w:cs="Arial" w:hint="eastAsia"/>
                  <w:bCs w:val="0"/>
                  <w:sz w:val="22"/>
                  <w:szCs w:val="22"/>
                </w:rPr>
                <w:t>精算假设和敏感性分析：</w:t>
              </w:r>
            </w:p>
            <w:p w:rsidR="001354EA" w:rsidRPr="00422D5A" w:rsidRDefault="001354EA" w:rsidP="001354EA">
              <w:pPr>
                <w:rPr>
                  <w:rFonts w:asciiTheme="majorEastAsia" w:eastAsiaTheme="majorEastAsia" w:hAnsiTheme="majorEastAsia"/>
                </w:rPr>
              </w:pPr>
            </w:p>
            <w:p w:rsidR="001354EA" w:rsidRDefault="001354EA" w:rsidP="001354EA">
              <w:pPr>
                <w:pStyle w:val="34"/>
                <w:overflowPunct w:val="0"/>
                <w:snapToGrid w:val="0"/>
                <w:rPr>
                  <w:rFonts w:asciiTheme="majorEastAsia" w:eastAsiaTheme="majorEastAsia" w:hAnsiTheme="majorEastAsia" w:cs="Arial"/>
                  <w:sz w:val="22"/>
                  <w:szCs w:val="22"/>
                  <w:lang w:val="en-GB"/>
                </w:rPr>
              </w:pPr>
              <w:bookmarkStart w:id="229" w:name="_Hlk131673610"/>
              <w:r w:rsidRPr="00422D5A">
                <w:rPr>
                  <w:rFonts w:asciiTheme="majorEastAsia" w:eastAsiaTheme="majorEastAsia" w:hAnsiTheme="majorEastAsia" w:cs="Arial" w:hint="eastAsia"/>
                  <w:sz w:val="22"/>
                  <w:szCs w:val="22"/>
                  <w:lang w:val="en-GB"/>
                </w:rPr>
                <w:t>本集团在估算设定受益计划义务现值时所采用的重大精算假设如下：</w:t>
              </w:r>
            </w:p>
            <w:p w:rsidR="00217F10" w:rsidRPr="00422D5A" w:rsidRDefault="00217F10" w:rsidP="001354EA">
              <w:pPr>
                <w:pStyle w:val="34"/>
                <w:overflowPunct w:val="0"/>
                <w:snapToGrid w:val="0"/>
                <w:rPr>
                  <w:rFonts w:asciiTheme="majorEastAsia" w:eastAsiaTheme="majorEastAsia" w:hAnsiTheme="majorEastAsia" w:cs="Arial"/>
                  <w:sz w:val="22"/>
                  <w:szCs w:val="22"/>
                  <w:lang w:val="en-GB"/>
                </w:rPr>
              </w:pPr>
            </w:p>
            <w:tbl>
              <w:tblPr>
                <w:tblW w:w="886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28" w:type="dxa"/>
                </w:tblCellMar>
                <w:tblLook w:val="04A0"/>
              </w:tblPr>
              <w:tblGrid>
                <w:gridCol w:w="4281"/>
                <w:gridCol w:w="2268"/>
                <w:gridCol w:w="2312"/>
              </w:tblGrid>
              <w:tr w:rsidR="001354EA" w:rsidRPr="00422D5A" w:rsidTr="00257722">
                <w:trPr>
                  <w:jc w:val="right"/>
                </w:trPr>
                <w:tc>
                  <w:tcPr>
                    <w:tcW w:w="4281" w:type="dxa"/>
                    <w:vAlign w:val="center"/>
                  </w:tcPr>
                  <w:p w:rsidR="001354EA" w:rsidRPr="00422D5A" w:rsidRDefault="001354EA" w:rsidP="00257722">
                    <w:pPr>
                      <w:widowControl w:val="0"/>
                      <w:snapToGrid w:val="0"/>
                      <w:ind w:left="221" w:hanging="221"/>
                      <w:jc w:val="center"/>
                      <w:rPr>
                        <w:rFonts w:asciiTheme="majorEastAsia" w:eastAsiaTheme="majorEastAsia" w:hAnsiTheme="majorEastAsia" w:cs="Times New Roman"/>
                        <w:kern w:val="2"/>
                      </w:rPr>
                    </w:pPr>
                    <w:bookmarkStart w:id="230" w:name="_Hlk131673635"/>
                    <w:r w:rsidRPr="00422D5A">
                      <w:rPr>
                        <w:rFonts w:asciiTheme="majorEastAsia" w:eastAsiaTheme="majorEastAsia" w:hAnsiTheme="majorEastAsia" w:cs="Times New Roman"/>
                        <w:kern w:val="2"/>
                      </w:rPr>
                      <w:t>项目</w:t>
                    </w:r>
                  </w:p>
                </w:tc>
                <w:tc>
                  <w:tcPr>
                    <w:tcW w:w="2268" w:type="dxa"/>
                    <w:vAlign w:val="center"/>
                  </w:tcPr>
                  <w:p w:rsidR="001354EA" w:rsidRPr="00422D5A" w:rsidRDefault="001354EA" w:rsidP="00257722">
                    <w:pPr>
                      <w:widowControl w:val="0"/>
                      <w:snapToGrid w:val="0"/>
                      <w:jc w:val="center"/>
                      <w:rPr>
                        <w:rFonts w:asciiTheme="majorEastAsia" w:eastAsiaTheme="majorEastAsia" w:hAnsiTheme="majorEastAsia" w:cs="Times New Roman"/>
                        <w:kern w:val="2"/>
                      </w:rPr>
                    </w:pPr>
                    <w:r w:rsidRPr="00422D5A">
                      <w:rPr>
                        <w:rFonts w:asciiTheme="majorEastAsia" w:eastAsiaTheme="majorEastAsia" w:hAnsiTheme="majorEastAsia" w:cs="Times New Roman"/>
                        <w:kern w:val="2"/>
                      </w:rPr>
                      <w:t>2022年</w:t>
                    </w:r>
                    <w:r w:rsidR="00422D5A">
                      <w:rPr>
                        <w:rFonts w:asciiTheme="majorEastAsia" w:eastAsiaTheme="majorEastAsia" w:hAnsiTheme="majorEastAsia" w:cs="Times New Roman" w:hint="eastAsia"/>
                        <w:kern w:val="2"/>
                      </w:rPr>
                      <w:t>1</w:t>
                    </w:r>
                    <w:r w:rsidR="00422D5A">
                      <w:rPr>
                        <w:rFonts w:asciiTheme="majorEastAsia" w:eastAsiaTheme="majorEastAsia" w:hAnsiTheme="majorEastAsia" w:cs="Times New Roman"/>
                        <w:kern w:val="2"/>
                      </w:rPr>
                      <w:t>2</w:t>
                    </w:r>
                    <w:r w:rsidR="00422D5A">
                      <w:rPr>
                        <w:rFonts w:asciiTheme="majorEastAsia" w:eastAsiaTheme="majorEastAsia" w:hAnsiTheme="majorEastAsia" w:cs="Times New Roman" w:hint="eastAsia"/>
                        <w:kern w:val="2"/>
                      </w:rPr>
                      <w:t>月3</w:t>
                    </w:r>
                    <w:r w:rsidR="00422D5A">
                      <w:rPr>
                        <w:rFonts w:asciiTheme="majorEastAsia" w:eastAsiaTheme="majorEastAsia" w:hAnsiTheme="majorEastAsia" w:cs="Times New Roman"/>
                        <w:kern w:val="2"/>
                      </w:rPr>
                      <w:t>1</w:t>
                    </w:r>
                    <w:r w:rsidR="00422D5A">
                      <w:rPr>
                        <w:rFonts w:asciiTheme="majorEastAsia" w:eastAsiaTheme="majorEastAsia" w:hAnsiTheme="majorEastAsia" w:cs="Times New Roman" w:hint="eastAsia"/>
                        <w:kern w:val="2"/>
                      </w:rPr>
                      <w:t>日</w:t>
                    </w:r>
                  </w:p>
                </w:tc>
                <w:tc>
                  <w:tcPr>
                    <w:tcW w:w="2312" w:type="dxa"/>
                    <w:vAlign w:val="center"/>
                  </w:tcPr>
                  <w:p w:rsidR="001354EA" w:rsidRPr="00422D5A" w:rsidRDefault="001354EA" w:rsidP="00257722">
                    <w:pPr>
                      <w:widowControl w:val="0"/>
                      <w:snapToGrid w:val="0"/>
                      <w:jc w:val="center"/>
                      <w:rPr>
                        <w:rFonts w:asciiTheme="majorEastAsia" w:eastAsiaTheme="majorEastAsia" w:hAnsiTheme="majorEastAsia" w:cs="Times New Roman"/>
                        <w:kern w:val="2"/>
                      </w:rPr>
                    </w:pPr>
                    <w:r w:rsidRPr="00422D5A">
                      <w:rPr>
                        <w:rFonts w:asciiTheme="majorEastAsia" w:eastAsiaTheme="majorEastAsia" w:hAnsiTheme="majorEastAsia" w:cs="Times New Roman"/>
                        <w:kern w:val="2"/>
                      </w:rPr>
                      <w:t>2021年</w:t>
                    </w:r>
                    <w:r w:rsidR="00422D5A">
                      <w:rPr>
                        <w:rFonts w:asciiTheme="majorEastAsia" w:eastAsiaTheme="majorEastAsia" w:hAnsiTheme="majorEastAsia" w:cs="Times New Roman" w:hint="eastAsia"/>
                        <w:kern w:val="2"/>
                      </w:rPr>
                      <w:t>1</w:t>
                    </w:r>
                    <w:r w:rsidR="00422D5A">
                      <w:rPr>
                        <w:rFonts w:asciiTheme="majorEastAsia" w:eastAsiaTheme="majorEastAsia" w:hAnsiTheme="majorEastAsia" w:cs="Times New Roman"/>
                        <w:kern w:val="2"/>
                      </w:rPr>
                      <w:t>2</w:t>
                    </w:r>
                    <w:r w:rsidR="00422D5A">
                      <w:rPr>
                        <w:rFonts w:asciiTheme="majorEastAsia" w:eastAsiaTheme="majorEastAsia" w:hAnsiTheme="majorEastAsia" w:cs="Times New Roman" w:hint="eastAsia"/>
                        <w:kern w:val="2"/>
                      </w:rPr>
                      <w:t>月3</w:t>
                    </w:r>
                    <w:r w:rsidR="00422D5A">
                      <w:rPr>
                        <w:rFonts w:asciiTheme="majorEastAsia" w:eastAsiaTheme="majorEastAsia" w:hAnsiTheme="majorEastAsia" w:cs="Times New Roman"/>
                        <w:kern w:val="2"/>
                      </w:rPr>
                      <w:t>1</w:t>
                    </w:r>
                    <w:r w:rsidR="00422D5A">
                      <w:rPr>
                        <w:rFonts w:asciiTheme="majorEastAsia" w:eastAsiaTheme="majorEastAsia" w:hAnsiTheme="majorEastAsia" w:cs="Times New Roman" w:hint="eastAsia"/>
                        <w:kern w:val="2"/>
                      </w:rPr>
                      <w:t>日</w:t>
                    </w:r>
                  </w:p>
                </w:tc>
              </w:tr>
              <w:tr w:rsidR="001354EA" w:rsidRPr="00422D5A" w:rsidTr="00257722">
                <w:trPr>
                  <w:trHeight w:val="363"/>
                  <w:jc w:val="right"/>
                </w:trPr>
                <w:tc>
                  <w:tcPr>
                    <w:tcW w:w="4281" w:type="dxa"/>
                    <w:vAlign w:val="bottom"/>
                  </w:tcPr>
                  <w:p w:rsidR="001354EA" w:rsidRPr="00422D5A" w:rsidRDefault="001354EA" w:rsidP="00DB008B">
                    <w:pPr>
                      <w:widowControl w:val="0"/>
                      <w:snapToGrid w:val="0"/>
                      <w:ind w:left="221" w:hanging="221"/>
                      <w:rPr>
                        <w:rFonts w:asciiTheme="majorEastAsia" w:eastAsiaTheme="majorEastAsia" w:hAnsiTheme="majorEastAsia" w:cs="Times New Roman"/>
                        <w:kern w:val="2"/>
                      </w:rPr>
                    </w:pPr>
                    <w:r w:rsidRPr="00422D5A">
                      <w:rPr>
                        <w:rFonts w:ascii="微软雅黑" w:eastAsia="微软雅黑" w:hAnsi="微软雅黑" w:cs="微软雅黑" w:hint="eastAsia"/>
                        <w:kern w:val="2"/>
                      </w:rPr>
                      <w:t> </w:t>
                    </w:r>
                  </w:p>
                </w:tc>
                <w:tc>
                  <w:tcPr>
                    <w:tcW w:w="2268" w:type="dxa"/>
                    <w:vAlign w:val="bottom"/>
                  </w:tcPr>
                  <w:p w:rsidR="001354EA" w:rsidRPr="00422D5A" w:rsidRDefault="001354EA" w:rsidP="00DB008B">
                    <w:pPr>
                      <w:widowControl w:val="0"/>
                      <w:snapToGrid w:val="0"/>
                      <w:jc w:val="right"/>
                      <w:rPr>
                        <w:rFonts w:asciiTheme="majorEastAsia" w:eastAsiaTheme="majorEastAsia" w:hAnsiTheme="majorEastAsia" w:cs="Times New Roman"/>
                        <w:kern w:val="2"/>
                      </w:rPr>
                    </w:pPr>
                    <w:r w:rsidRPr="00422D5A">
                      <w:rPr>
                        <w:rFonts w:ascii="微软雅黑" w:eastAsia="微软雅黑" w:hAnsi="微软雅黑" w:cs="微软雅黑" w:hint="eastAsia"/>
                        <w:kern w:val="2"/>
                      </w:rPr>
                      <w:t> </w:t>
                    </w:r>
                  </w:p>
                </w:tc>
                <w:tc>
                  <w:tcPr>
                    <w:tcW w:w="2312" w:type="dxa"/>
                    <w:vAlign w:val="bottom"/>
                  </w:tcPr>
                  <w:p w:rsidR="001354EA" w:rsidRPr="00422D5A" w:rsidRDefault="001354EA" w:rsidP="00DB008B">
                    <w:pPr>
                      <w:widowControl w:val="0"/>
                      <w:snapToGrid w:val="0"/>
                      <w:jc w:val="right"/>
                      <w:rPr>
                        <w:rFonts w:asciiTheme="majorEastAsia" w:eastAsiaTheme="majorEastAsia" w:hAnsiTheme="majorEastAsia" w:cs="Times New Roman"/>
                        <w:kern w:val="2"/>
                      </w:rPr>
                    </w:pPr>
                    <w:r w:rsidRPr="00422D5A">
                      <w:rPr>
                        <w:rFonts w:ascii="微软雅黑" w:eastAsia="微软雅黑" w:hAnsi="微软雅黑" w:cs="微软雅黑" w:hint="eastAsia"/>
                        <w:kern w:val="2"/>
                      </w:rPr>
                      <w:t> </w:t>
                    </w:r>
                  </w:p>
                </w:tc>
              </w:tr>
              <w:tr w:rsidR="001354EA" w:rsidRPr="00422D5A" w:rsidTr="00DA4D34">
                <w:trPr>
                  <w:trHeight w:val="363"/>
                  <w:jc w:val="right"/>
                </w:trPr>
                <w:tc>
                  <w:tcPr>
                    <w:tcW w:w="4281" w:type="dxa"/>
                    <w:vAlign w:val="center"/>
                  </w:tcPr>
                  <w:p w:rsidR="001354EA" w:rsidRPr="00422D5A" w:rsidRDefault="001354EA" w:rsidP="00DA4D34">
                    <w:pPr>
                      <w:widowControl w:val="0"/>
                      <w:snapToGrid w:val="0"/>
                      <w:ind w:left="221" w:hanging="221"/>
                      <w:rPr>
                        <w:rFonts w:asciiTheme="majorEastAsia" w:eastAsiaTheme="majorEastAsia" w:hAnsiTheme="majorEastAsia" w:cs="Times New Roman"/>
                        <w:kern w:val="2"/>
                      </w:rPr>
                    </w:pPr>
                    <w:r w:rsidRPr="00422D5A">
                      <w:rPr>
                        <w:rFonts w:asciiTheme="majorEastAsia" w:eastAsiaTheme="majorEastAsia" w:hAnsiTheme="majorEastAsia" w:cs="Times New Roman"/>
                        <w:kern w:val="2"/>
                      </w:rPr>
                      <w:t>折现率 (注)</w:t>
                    </w:r>
                  </w:p>
                </w:tc>
                <w:tc>
                  <w:tcPr>
                    <w:tcW w:w="2268" w:type="dxa"/>
                    <w:shd w:val="clear" w:color="auto" w:fill="auto"/>
                    <w:vAlign w:val="bottom"/>
                  </w:tcPr>
                  <w:p w:rsidR="001354EA" w:rsidRPr="00422D5A" w:rsidRDefault="001354EA" w:rsidP="00DB008B">
                    <w:pPr>
                      <w:widowControl w:val="0"/>
                      <w:snapToGrid w:val="0"/>
                      <w:jc w:val="right"/>
                      <w:rPr>
                        <w:rFonts w:asciiTheme="majorEastAsia" w:eastAsiaTheme="majorEastAsia" w:hAnsiTheme="majorEastAsia" w:cs="Times New Roman"/>
                        <w:kern w:val="2"/>
                      </w:rPr>
                    </w:pPr>
                    <w:r w:rsidRPr="00422D5A">
                      <w:rPr>
                        <w:rFonts w:asciiTheme="majorEastAsia" w:eastAsiaTheme="majorEastAsia" w:hAnsiTheme="majorEastAsia" w:cs="Times New Roman"/>
                        <w:kern w:val="2"/>
                      </w:rPr>
                      <w:t>3.00%</w:t>
                    </w:r>
                    <w:r w:rsidRPr="00422D5A">
                      <w:rPr>
                        <w:rFonts w:ascii="微软雅黑" w:eastAsia="微软雅黑" w:hAnsi="微软雅黑" w:cs="微软雅黑" w:hint="eastAsia"/>
                        <w:kern w:val="2"/>
                      </w:rPr>
                      <w:t> </w:t>
                    </w:r>
                  </w:p>
                </w:tc>
                <w:tc>
                  <w:tcPr>
                    <w:tcW w:w="2312" w:type="dxa"/>
                    <w:vAlign w:val="bottom"/>
                  </w:tcPr>
                  <w:p w:rsidR="001354EA" w:rsidRPr="00422D5A" w:rsidRDefault="001354EA" w:rsidP="00DB008B">
                    <w:pPr>
                      <w:widowControl w:val="0"/>
                      <w:snapToGrid w:val="0"/>
                      <w:jc w:val="right"/>
                      <w:rPr>
                        <w:rFonts w:asciiTheme="majorEastAsia" w:eastAsiaTheme="majorEastAsia" w:hAnsiTheme="majorEastAsia" w:cs="Times New Roman"/>
                        <w:kern w:val="2"/>
                      </w:rPr>
                    </w:pPr>
                    <w:r w:rsidRPr="00422D5A">
                      <w:rPr>
                        <w:rFonts w:asciiTheme="majorEastAsia" w:eastAsiaTheme="majorEastAsia" w:hAnsiTheme="majorEastAsia" w:cs="Times New Roman"/>
                        <w:kern w:val="2"/>
                      </w:rPr>
                      <w:t>3.25%</w:t>
                    </w:r>
                  </w:p>
                </w:tc>
              </w:tr>
              <w:tr w:rsidR="001354EA" w:rsidRPr="00422D5A" w:rsidTr="00DA4D34">
                <w:trPr>
                  <w:trHeight w:val="363"/>
                  <w:jc w:val="right"/>
                </w:trPr>
                <w:tc>
                  <w:tcPr>
                    <w:tcW w:w="4281" w:type="dxa"/>
                    <w:vAlign w:val="center"/>
                  </w:tcPr>
                  <w:p w:rsidR="001354EA" w:rsidRPr="00422D5A" w:rsidRDefault="001354EA" w:rsidP="00DA4D34">
                    <w:pPr>
                      <w:widowControl w:val="0"/>
                      <w:snapToGrid w:val="0"/>
                      <w:ind w:left="221" w:hanging="221"/>
                      <w:rPr>
                        <w:rFonts w:asciiTheme="majorEastAsia" w:eastAsiaTheme="majorEastAsia" w:hAnsiTheme="majorEastAsia" w:cs="Times New Roman"/>
                        <w:kern w:val="2"/>
                      </w:rPr>
                    </w:pPr>
                    <w:r w:rsidRPr="00422D5A">
                      <w:rPr>
                        <w:rFonts w:asciiTheme="majorEastAsia" w:eastAsiaTheme="majorEastAsia" w:hAnsiTheme="majorEastAsia" w:cs="Times New Roman"/>
                        <w:kern w:val="2"/>
                      </w:rPr>
                      <w:t>医疗费用的年增长率</w:t>
                    </w:r>
                  </w:p>
                </w:tc>
                <w:tc>
                  <w:tcPr>
                    <w:tcW w:w="2268" w:type="dxa"/>
                    <w:shd w:val="clear" w:color="auto" w:fill="auto"/>
                    <w:vAlign w:val="bottom"/>
                  </w:tcPr>
                  <w:p w:rsidR="001354EA" w:rsidRPr="00422D5A" w:rsidRDefault="001354EA" w:rsidP="00DB008B">
                    <w:pPr>
                      <w:widowControl w:val="0"/>
                      <w:snapToGrid w:val="0"/>
                      <w:jc w:val="right"/>
                      <w:rPr>
                        <w:rFonts w:asciiTheme="majorEastAsia" w:eastAsiaTheme="majorEastAsia" w:hAnsiTheme="majorEastAsia" w:cs="Times New Roman"/>
                        <w:kern w:val="2"/>
                      </w:rPr>
                    </w:pPr>
                    <w:r w:rsidRPr="00422D5A">
                      <w:rPr>
                        <w:rFonts w:asciiTheme="majorEastAsia" w:eastAsiaTheme="majorEastAsia" w:hAnsiTheme="majorEastAsia" w:cs="Times New Roman"/>
                        <w:kern w:val="2"/>
                      </w:rPr>
                      <w:t>8.00%</w:t>
                    </w:r>
                  </w:p>
                </w:tc>
                <w:tc>
                  <w:tcPr>
                    <w:tcW w:w="2312" w:type="dxa"/>
                    <w:vAlign w:val="bottom"/>
                  </w:tcPr>
                  <w:p w:rsidR="001354EA" w:rsidRPr="00422D5A" w:rsidRDefault="001354EA" w:rsidP="00DB008B">
                    <w:pPr>
                      <w:widowControl w:val="0"/>
                      <w:snapToGrid w:val="0"/>
                      <w:jc w:val="right"/>
                      <w:rPr>
                        <w:rFonts w:asciiTheme="majorEastAsia" w:eastAsiaTheme="majorEastAsia" w:hAnsiTheme="majorEastAsia" w:cs="Times New Roman"/>
                        <w:kern w:val="2"/>
                      </w:rPr>
                    </w:pPr>
                    <w:r w:rsidRPr="00422D5A">
                      <w:rPr>
                        <w:rFonts w:asciiTheme="majorEastAsia" w:eastAsiaTheme="majorEastAsia" w:hAnsiTheme="majorEastAsia" w:cs="Times New Roman"/>
                        <w:kern w:val="2"/>
                      </w:rPr>
                      <w:t>8.00%</w:t>
                    </w:r>
                  </w:p>
                </w:tc>
              </w:tr>
              <w:tr w:rsidR="001354EA" w:rsidRPr="00422D5A" w:rsidTr="00DA4D34">
                <w:trPr>
                  <w:trHeight w:val="363"/>
                  <w:jc w:val="right"/>
                </w:trPr>
                <w:tc>
                  <w:tcPr>
                    <w:tcW w:w="4281" w:type="dxa"/>
                    <w:vAlign w:val="center"/>
                  </w:tcPr>
                  <w:p w:rsidR="001354EA" w:rsidRPr="00422D5A" w:rsidRDefault="001354EA" w:rsidP="00DA4D34">
                    <w:pPr>
                      <w:widowControl w:val="0"/>
                      <w:snapToGrid w:val="0"/>
                      <w:ind w:left="221" w:hanging="221"/>
                      <w:rPr>
                        <w:rFonts w:asciiTheme="majorEastAsia" w:eastAsiaTheme="majorEastAsia" w:hAnsiTheme="majorEastAsia" w:cs="Times New Roman"/>
                        <w:kern w:val="2"/>
                      </w:rPr>
                    </w:pPr>
                    <w:r w:rsidRPr="00422D5A">
                      <w:rPr>
                        <w:rFonts w:asciiTheme="majorEastAsia" w:eastAsiaTheme="majorEastAsia" w:hAnsiTheme="majorEastAsia" w:cs="Times New Roman"/>
                        <w:kern w:val="2"/>
                      </w:rPr>
                      <w:t>一次性独生子女父母奖励平均年增长率</w:t>
                    </w:r>
                  </w:p>
                </w:tc>
                <w:tc>
                  <w:tcPr>
                    <w:tcW w:w="2268" w:type="dxa"/>
                    <w:shd w:val="clear" w:color="auto" w:fill="auto"/>
                    <w:vAlign w:val="bottom"/>
                  </w:tcPr>
                  <w:p w:rsidR="001354EA" w:rsidRPr="00422D5A" w:rsidRDefault="001354EA" w:rsidP="00DB008B">
                    <w:pPr>
                      <w:widowControl w:val="0"/>
                      <w:snapToGrid w:val="0"/>
                      <w:jc w:val="right"/>
                      <w:rPr>
                        <w:rFonts w:asciiTheme="majorEastAsia" w:eastAsiaTheme="majorEastAsia" w:hAnsiTheme="majorEastAsia" w:cs="Times New Roman"/>
                        <w:kern w:val="2"/>
                      </w:rPr>
                    </w:pPr>
                    <w:r w:rsidRPr="00422D5A">
                      <w:rPr>
                        <w:rFonts w:asciiTheme="majorEastAsia" w:eastAsiaTheme="majorEastAsia" w:hAnsiTheme="majorEastAsia" w:cs="Times New Roman"/>
                        <w:kern w:val="2"/>
                      </w:rPr>
                      <w:t>7.00%</w:t>
                    </w:r>
                  </w:p>
                </w:tc>
                <w:tc>
                  <w:tcPr>
                    <w:tcW w:w="2312" w:type="dxa"/>
                    <w:vAlign w:val="bottom"/>
                  </w:tcPr>
                  <w:p w:rsidR="001354EA" w:rsidRPr="00422D5A" w:rsidRDefault="001354EA" w:rsidP="00DB008B">
                    <w:pPr>
                      <w:widowControl w:val="0"/>
                      <w:snapToGrid w:val="0"/>
                      <w:jc w:val="right"/>
                      <w:rPr>
                        <w:rFonts w:asciiTheme="majorEastAsia" w:eastAsiaTheme="majorEastAsia" w:hAnsiTheme="majorEastAsia" w:cs="Times New Roman"/>
                        <w:kern w:val="2"/>
                      </w:rPr>
                    </w:pPr>
                    <w:r w:rsidRPr="00422D5A">
                      <w:rPr>
                        <w:rFonts w:asciiTheme="majorEastAsia" w:eastAsiaTheme="majorEastAsia" w:hAnsiTheme="majorEastAsia" w:cs="Times New Roman"/>
                        <w:kern w:val="2"/>
                      </w:rPr>
                      <w:t>7.00%</w:t>
                    </w:r>
                  </w:p>
                </w:tc>
              </w:tr>
              <w:tr w:rsidR="001354EA" w:rsidRPr="00422D5A" w:rsidTr="00DA4D34">
                <w:trPr>
                  <w:trHeight w:val="363"/>
                  <w:jc w:val="right"/>
                </w:trPr>
                <w:tc>
                  <w:tcPr>
                    <w:tcW w:w="4281" w:type="dxa"/>
                    <w:vAlign w:val="center"/>
                  </w:tcPr>
                  <w:p w:rsidR="001354EA" w:rsidRPr="00422D5A" w:rsidRDefault="001354EA" w:rsidP="00DA4D34">
                    <w:pPr>
                      <w:widowControl w:val="0"/>
                      <w:snapToGrid w:val="0"/>
                      <w:ind w:left="221" w:hanging="221"/>
                      <w:rPr>
                        <w:rFonts w:asciiTheme="majorEastAsia" w:eastAsiaTheme="majorEastAsia" w:hAnsiTheme="majorEastAsia" w:cs="Times New Roman"/>
                        <w:kern w:val="2"/>
                      </w:rPr>
                    </w:pPr>
                    <w:r w:rsidRPr="00422D5A">
                      <w:rPr>
                        <w:rFonts w:asciiTheme="majorEastAsia" w:eastAsiaTheme="majorEastAsia" w:hAnsiTheme="majorEastAsia" w:cs="Times New Roman"/>
                        <w:kern w:val="2"/>
                      </w:rPr>
                      <w:t>在职员工离职率</w:t>
                    </w:r>
                  </w:p>
                </w:tc>
                <w:tc>
                  <w:tcPr>
                    <w:tcW w:w="2268" w:type="dxa"/>
                    <w:shd w:val="clear" w:color="auto" w:fill="auto"/>
                    <w:vAlign w:val="bottom"/>
                  </w:tcPr>
                  <w:p w:rsidR="001354EA" w:rsidRPr="00422D5A" w:rsidRDefault="001354EA" w:rsidP="00DB008B">
                    <w:pPr>
                      <w:widowControl w:val="0"/>
                      <w:snapToGrid w:val="0"/>
                      <w:jc w:val="right"/>
                      <w:rPr>
                        <w:rFonts w:asciiTheme="majorEastAsia" w:eastAsiaTheme="majorEastAsia" w:hAnsiTheme="majorEastAsia" w:cs="Times New Roman"/>
                        <w:kern w:val="2"/>
                      </w:rPr>
                    </w:pPr>
                    <w:r w:rsidRPr="00422D5A">
                      <w:rPr>
                        <w:rFonts w:asciiTheme="majorEastAsia" w:eastAsiaTheme="majorEastAsia" w:hAnsiTheme="majorEastAsia" w:cs="Times New Roman"/>
                        <w:kern w:val="2"/>
                      </w:rPr>
                      <w:t>0.00%</w:t>
                    </w:r>
                  </w:p>
                </w:tc>
                <w:tc>
                  <w:tcPr>
                    <w:tcW w:w="2312" w:type="dxa"/>
                    <w:vAlign w:val="bottom"/>
                  </w:tcPr>
                  <w:p w:rsidR="001354EA" w:rsidRPr="00422D5A" w:rsidRDefault="001354EA" w:rsidP="00DB008B">
                    <w:pPr>
                      <w:widowControl w:val="0"/>
                      <w:snapToGrid w:val="0"/>
                      <w:jc w:val="right"/>
                      <w:rPr>
                        <w:rFonts w:asciiTheme="majorEastAsia" w:eastAsiaTheme="majorEastAsia" w:hAnsiTheme="majorEastAsia" w:cs="Times New Roman"/>
                        <w:kern w:val="2"/>
                      </w:rPr>
                    </w:pPr>
                    <w:r w:rsidRPr="00422D5A">
                      <w:rPr>
                        <w:rFonts w:asciiTheme="majorEastAsia" w:eastAsiaTheme="majorEastAsia" w:hAnsiTheme="majorEastAsia" w:cs="Times New Roman"/>
                        <w:kern w:val="2"/>
                      </w:rPr>
                      <w:t>0.00%</w:t>
                    </w:r>
                  </w:p>
                </w:tc>
              </w:tr>
              <w:tr w:rsidR="001354EA" w:rsidRPr="00422D5A" w:rsidTr="00AB7D20">
                <w:trPr>
                  <w:jc w:val="right"/>
                </w:trPr>
                <w:tc>
                  <w:tcPr>
                    <w:tcW w:w="4281" w:type="dxa"/>
                    <w:vAlign w:val="center"/>
                  </w:tcPr>
                  <w:p w:rsidR="001354EA" w:rsidRPr="00422D5A" w:rsidRDefault="001354EA" w:rsidP="00FE0A94">
                    <w:pPr>
                      <w:widowControl w:val="0"/>
                      <w:snapToGrid w:val="0"/>
                      <w:ind w:left="221" w:hanging="221"/>
                      <w:rPr>
                        <w:rFonts w:asciiTheme="majorEastAsia" w:eastAsiaTheme="majorEastAsia" w:hAnsiTheme="majorEastAsia" w:cs="Times New Roman"/>
                        <w:kern w:val="2"/>
                      </w:rPr>
                    </w:pPr>
                    <w:r w:rsidRPr="00422D5A">
                      <w:rPr>
                        <w:rFonts w:asciiTheme="majorEastAsia" w:eastAsiaTheme="majorEastAsia" w:hAnsiTheme="majorEastAsia" w:cs="Times New Roman"/>
                        <w:kern w:val="2"/>
                      </w:rPr>
                      <w:t>预计未来平均寿命</w:t>
                    </w:r>
                  </w:p>
                </w:tc>
                <w:tc>
                  <w:tcPr>
                    <w:tcW w:w="2268" w:type="dxa"/>
                    <w:vAlign w:val="center"/>
                  </w:tcPr>
                  <w:p w:rsidR="001354EA" w:rsidRPr="00422D5A" w:rsidRDefault="001354EA" w:rsidP="00AB7D20">
                    <w:pPr>
                      <w:widowControl w:val="0"/>
                      <w:snapToGrid w:val="0"/>
                      <w:rPr>
                        <w:rFonts w:asciiTheme="majorEastAsia" w:eastAsiaTheme="majorEastAsia" w:hAnsiTheme="majorEastAsia" w:cs="Times New Roman"/>
                        <w:kern w:val="2"/>
                      </w:rPr>
                    </w:pPr>
                    <w:r w:rsidRPr="00422D5A">
                      <w:rPr>
                        <w:rFonts w:asciiTheme="majorEastAsia" w:eastAsiaTheme="majorEastAsia" w:hAnsiTheme="majorEastAsia" w:cs="Times New Roman"/>
                        <w:kern w:val="2"/>
                      </w:rPr>
                      <w:t>参考《中国人身</w:t>
                    </w:r>
                    <w:r w:rsidRPr="00422D5A">
                      <w:rPr>
                        <w:rFonts w:asciiTheme="majorEastAsia" w:eastAsiaTheme="majorEastAsia" w:hAnsiTheme="majorEastAsia" w:cs="Times New Roman" w:hint="eastAsia"/>
                        <w:kern w:val="2"/>
                      </w:rPr>
                      <w:t>保险业</w:t>
                    </w:r>
                    <w:r w:rsidRPr="00422D5A">
                      <w:rPr>
                        <w:rFonts w:asciiTheme="majorEastAsia" w:eastAsiaTheme="majorEastAsia" w:hAnsiTheme="majorEastAsia" w:cs="Times New Roman"/>
                        <w:kern w:val="2"/>
                      </w:rPr>
                      <w:t>经验生命表2010-2013》向后平移2年</w:t>
                    </w:r>
                  </w:p>
                </w:tc>
                <w:tc>
                  <w:tcPr>
                    <w:tcW w:w="2312" w:type="dxa"/>
                    <w:vAlign w:val="center"/>
                  </w:tcPr>
                  <w:p w:rsidR="001354EA" w:rsidRPr="00422D5A" w:rsidRDefault="001354EA" w:rsidP="00AB7D20">
                    <w:pPr>
                      <w:widowControl w:val="0"/>
                      <w:snapToGrid w:val="0"/>
                      <w:ind w:right="16"/>
                      <w:rPr>
                        <w:rFonts w:asciiTheme="majorEastAsia" w:eastAsiaTheme="majorEastAsia" w:hAnsiTheme="majorEastAsia" w:cs="Times New Roman"/>
                        <w:kern w:val="2"/>
                      </w:rPr>
                    </w:pPr>
                    <w:r w:rsidRPr="00422D5A">
                      <w:rPr>
                        <w:rFonts w:asciiTheme="majorEastAsia" w:eastAsiaTheme="majorEastAsia" w:hAnsiTheme="majorEastAsia" w:cs="Times New Roman" w:hint="eastAsia"/>
                        <w:kern w:val="2"/>
                      </w:rPr>
                      <w:t>参考《中国人身保险业经验生命表</w:t>
                    </w:r>
                    <w:r w:rsidRPr="00422D5A">
                      <w:rPr>
                        <w:rFonts w:asciiTheme="majorEastAsia" w:eastAsiaTheme="majorEastAsia" w:hAnsiTheme="majorEastAsia" w:cs="Times New Roman"/>
                        <w:kern w:val="2"/>
                      </w:rPr>
                      <w:t>2010-2013》向后平移2年</w:t>
                    </w:r>
                  </w:p>
                </w:tc>
              </w:tr>
              <w:bookmarkEnd w:id="229"/>
              <w:bookmarkEnd w:id="230"/>
            </w:tbl>
            <w:p w:rsidR="00422D5A" w:rsidRDefault="00422D5A" w:rsidP="008E1869">
              <w:pPr>
                <w:tabs>
                  <w:tab w:val="left" w:pos="567"/>
                </w:tabs>
                <w:overflowPunct w:val="0"/>
                <w:adjustRightInd w:val="0"/>
                <w:snapToGrid w:val="0"/>
                <w:ind w:left="567" w:hanging="567"/>
                <w:rPr>
                  <w:rFonts w:asciiTheme="majorEastAsia" w:eastAsiaTheme="majorEastAsia" w:hAnsiTheme="majorEastAsia" w:cs="Arial"/>
                  <w:sz w:val="22"/>
                  <w:szCs w:val="22"/>
                </w:rPr>
              </w:pPr>
            </w:p>
            <w:p w:rsidR="008E1869" w:rsidRPr="00422D5A" w:rsidRDefault="008E1869" w:rsidP="008E1869">
              <w:pPr>
                <w:tabs>
                  <w:tab w:val="left" w:pos="567"/>
                </w:tabs>
                <w:overflowPunct w:val="0"/>
                <w:adjustRightInd w:val="0"/>
                <w:snapToGrid w:val="0"/>
                <w:ind w:left="567" w:hanging="567"/>
                <w:rPr>
                  <w:rFonts w:asciiTheme="majorEastAsia" w:eastAsiaTheme="majorEastAsia" w:hAnsiTheme="majorEastAsia" w:cs="Arial"/>
                  <w:sz w:val="22"/>
                  <w:szCs w:val="22"/>
                </w:rPr>
              </w:pPr>
              <w:r w:rsidRPr="00422D5A">
                <w:rPr>
                  <w:rFonts w:asciiTheme="majorEastAsia" w:eastAsiaTheme="majorEastAsia" w:hAnsiTheme="majorEastAsia" w:cs="Arial" w:hint="eastAsia"/>
                  <w:sz w:val="22"/>
                  <w:szCs w:val="22"/>
                </w:rPr>
                <w:t>注：</w:t>
              </w:r>
              <w:r w:rsidRPr="00422D5A">
                <w:rPr>
                  <w:rFonts w:asciiTheme="majorEastAsia" w:eastAsiaTheme="majorEastAsia" w:hAnsiTheme="majorEastAsia" w:cs="Arial" w:hint="eastAsia"/>
                  <w:sz w:val="22"/>
                  <w:szCs w:val="22"/>
                </w:rPr>
                <w:tab/>
                <w:t>折现率的选定参考了中国国债收益率。</w:t>
              </w:r>
            </w:p>
            <w:p w:rsidR="008E1869" w:rsidRPr="00422D5A" w:rsidRDefault="008E1869" w:rsidP="008E1869">
              <w:pPr>
                <w:tabs>
                  <w:tab w:val="left" w:pos="567"/>
                </w:tabs>
                <w:overflowPunct w:val="0"/>
                <w:adjustRightInd w:val="0"/>
                <w:snapToGrid w:val="0"/>
                <w:ind w:left="567" w:hanging="567"/>
                <w:rPr>
                  <w:rFonts w:asciiTheme="majorEastAsia" w:eastAsiaTheme="majorEastAsia" w:hAnsiTheme="majorEastAsia" w:cs="Arial"/>
                  <w:sz w:val="22"/>
                  <w:szCs w:val="22"/>
                </w:rPr>
              </w:pPr>
            </w:p>
            <w:p w:rsidR="008E1869" w:rsidRPr="00422D5A" w:rsidRDefault="008E1869" w:rsidP="008E1869">
              <w:pPr>
                <w:tabs>
                  <w:tab w:val="left" w:pos="567"/>
                </w:tabs>
                <w:overflowPunct w:val="0"/>
                <w:adjustRightInd w:val="0"/>
                <w:snapToGrid w:val="0"/>
                <w:ind w:left="567" w:hanging="567"/>
                <w:rPr>
                  <w:rFonts w:asciiTheme="majorEastAsia" w:eastAsiaTheme="majorEastAsia" w:hAnsiTheme="majorEastAsia" w:cs="Arial"/>
                  <w:sz w:val="22"/>
                  <w:szCs w:val="22"/>
                </w:rPr>
              </w:pPr>
              <w:r w:rsidRPr="00422D5A">
                <w:rPr>
                  <w:rFonts w:asciiTheme="majorEastAsia" w:eastAsiaTheme="majorEastAsia" w:hAnsiTheme="majorEastAsia" w:cs="Arial" w:hint="eastAsia"/>
                  <w:sz w:val="22"/>
                  <w:szCs w:val="22"/>
                </w:rPr>
                <w:t>本集团设定受益计划义务现值加权平均久期为</w:t>
              </w:r>
              <w:r w:rsidRPr="00422D5A">
                <w:rPr>
                  <w:rFonts w:asciiTheme="majorEastAsia" w:eastAsiaTheme="majorEastAsia" w:hAnsiTheme="majorEastAsia" w:cs="Arial"/>
                  <w:sz w:val="22"/>
                  <w:szCs w:val="22"/>
                </w:rPr>
                <w:t>17年。</w:t>
              </w:r>
            </w:p>
            <w:p w:rsidR="008E1869" w:rsidRPr="00422D5A" w:rsidRDefault="008E1869" w:rsidP="008E1869">
              <w:pPr>
                <w:tabs>
                  <w:tab w:val="left" w:pos="567"/>
                </w:tabs>
                <w:overflowPunct w:val="0"/>
                <w:adjustRightInd w:val="0"/>
                <w:snapToGrid w:val="0"/>
                <w:ind w:left="567" w:hanging="567"/>
                <w:rPr>
                  <w:rFonts w:asciiTheme="majorEastAsia" w:eastAsiaTheme="majorEastAsia" w:hAnsiTheme="majorEastAsia" w:cs="Arial"/>
                  <w:sz w:val="22"/>
                  <w:szCs w:val="22"/>
                </w:rPr>
              </w:pPr>
            </w:p>
            <w:p w:rsidR="008E1869" w:rsidRPr="00422D5A" w:rsidRDefault="008E1869">
              <w:pPr>
                <w:rPr>
                  <w:rFonts w:asciiTheme="majorEastAsia" w:eastAsiaTheme="majorEastAsia" w:hAnsiTheme="majorEastAsia"/>
                  <w:szCs w:val="21"/>
                </w:rPr>
              </w:pPr>
              <w:r w:rsidRPr="00422D5A">
                <w:rPr>
                  <w:rFonts w:asciiTheme="majorEastAsia" w:eastAsiaTheme="majorEastAsia" w:hAnsiTheme="majorEastAsia" w:hint="eastAsia"/>
                  <w:szCs w:val="21"/>
                </w:rPr>
                <w:t>设定受益计划义务使本集团面临各种风险，主要风险有国债利率的变动风险，通货膨胀风险等。国债利率的下降将导致设定受益负债的增加；设定受益计划义务是与通货膨胀挂钩，通货膨胀的上升将导致设定受益负债的增加。</w:t>
              </w:r>
            </w:p>
            <w:p w:rsidR="008E1869" w:rsidRDefault="00F80B6C">
              <w:pPr>
                <w:rPr>
                  <w:szCs w:val="21"/>
                </w:rPr>
              </w:pPr>
            </w:p>
          </w:sdtContent>
        </w:sdt>
      </w:sdtContent>
    </w:sdt>
    <w:bookmarkStart w:id="231" w:name="_Hlk533670325" w:displacedByCustomXml="next"/>
    <w:sdt>
      <w:sdtPr>
        <w:rPr>
          <w:rFonts w:ascii="宋体" w:hAnsi="宋体" w:cs="宋体" w:hint="eastAsia"/>
          <w:b w:val="0"/>
          <w:bCs w:val="0"/>
          <w:kern w:val="0"/>
          <w:szCs w:val="21"/>
        </w:rPr>
        <w:alias w:val="模块:预计负债"/>
        <w:tag w:val="_SEC_f21973cd15af4f4f8cba4c68d4e9e36f"/>
        <w:id w:val="293418994"/>
        <w:lock w:val="sdtLocked"/>
        <w:placeholder>
          <w:docPart w:val="GBC22222222222222222222222222222"/>
        </w:placeholder>
      </w:sdtPr>
      <w:sdtEndPr>
        <w:rPr>
          <w:rFonts w:cstheme="minorBidi" w:hint="default"/>
          <w:kern w:val="2"/>
        </w:rPr>
      </w:sdtEndPr>
      <w:sdtContent>
        <w:p w:rsidR="00806678" w:rsidRDefault="00B16377" w:rsidP="00FF17C7">
          <w:pPr>
            <w:pStyle w:val="3"/>
            <w:numPr>
              <w:ilvl w:val="0"/>
              <w:numId w:val="18"/>
            </w:numPr>
            <w:tabs>
              <w:tab w:val="left" w:pos="504"/>
            </w:tabs>
            <w:rPr>
              <w:rFonts w:ascii="宋体" w:hAnsi="宋体"/>
              <w:szCs w:val="21"/>
            </w:rPr>
          </w:pPr>
          <w:r>
            <w:rPr>
              <w:rFonts w:ascii="宋体" w:hAnsi="宋体" w:hint="eastAsia"/>
              <w:szCs w:val="21"/>
            </w:rPr>
            <w:t>预计负债</w:t>
          </w:r>
        </w:p>
        <w:sdt>
          <w:sdtPr>
            <w:alias w:val="是否适用：预计负债[双击切换]"/>
            <w:tag w:val="_GBC_d57ab9083835465c9b1fdeb5ed46b3ce"/>
            <w:id w:val="-238399664"/>
            <w:lock w:val="sdtLocked"/>
            <w:placeholder>
              <w:docPart w:val="GBC22222222222222222222222222222"/>
            </w:placeholder>
          </w:sdtPr>
          <w:sdtContent>
            <w:p w:rsidR="00277BCB" w:rsidRDefault="00F80B6C" w:rsidP="00277BCB">
              <w:r>
                <w:fldChar w:fldCharType="begin"/>
              </w:r>
              <w:r w:rsidR="00277BCB">
                <w:instrText xml:space="preserve">MACROBUTTON  SnrToggleCheckbox □适用 </w:instrText>
              </w:r>
              <w:r>
                <w:fldChar w:fldCharType="end"/>
              </w:r>
              <w:r>
                <w:fldChar w:fldCharType="begin"/>
              </w:r>
              <w:r w:rsidR="00277BCB">
                <w:instrText xml:space="preserve"> MACROBUTTON  SnrToggleCheckbox √不适用 </w:instrText>
              </w:r>
              <w:r>
                <w:fldChar w:fldCharType="end"/>
              </w:r>
            </w:p>
          </w:sdtContent>
        </w:sdt>
        <w:p w:rsidR="00806678" w:rsidRDefault="00F80B6C" w:rsidP="00277BCB">
          <w:pPr>
            <w:autoSpaceDE w:val="0"/>
            <w:autoSpaceDN w:val="0"/>
            <w:adjustRightInd w:val="0"/>
            <w:rPr>
              <w:szCs w:val="21"/>
            </w:rPr>
          </w:pPr>
        </w:p>
      </w:sdtContent>
    </w:sdt>
    <w:bookmarkEnd w:id="231" w:displacedByCustomXml="prev"/>
    <w:p w:rsidR="00806678" w:rsidRDefault="00B16377" w:rsidP="00FF17C7">
      <w:pPr>
        <w:pStyle w:val="3"/>
        <w:numPr>
          <w:ilvl w:val="0"/>
          <w:numId w:val="18"/>
        </w:numPr>
        <w:tabs>
          <w:tab w:val="left" w:pos="504"/>
        </w:tabs>
        <w:rPr>
          <w:rFonts w:ascii="宋体" w:hAnsi="宋体"/>
          <w:szCs w:val="21"/>
        </w:rPr>
      </w:pPr>
      <w:r>
        <w:rPr>
          <w:rFonts w:ascii="宋体" w:hAnsi="宋体" w:hint="eastAsia"/>
          <w:szCs w:val="21"/>
        </w:rPr>
        <w:t>递延收益</w:t>
      </w:r>
    </w:p>
    <w:sdt>
      <w:sdtPr>
        <w:rPr>
          <w:rFonts w:ascii="宋体" w:hAnsi="宋体" w:cs="宋体" w:hint="eastAsia"/>
          <w:kern w:val="0"/>
          <w:szCs w:val="21"/>
        </w:rPr>
        <w:alias w:val="模块:递延收益"/>
        <w:tag w:val="_SEC_77e89ee1eab949ef9b025afd8f005609"/>
        <w:id w:val="3252656"/>
        <w:lock w:val="sdtLocked"/>
        <w:placeholder>
          <w:docPart w:val="GBC22222222222222222222222222222"/>
        </w:placeholder>
      </w:sdtPr>
      <w:sdtEndPr>
        <w:rPr>
          <w:rFonts w:ascii="Calibri" w:hAnsi="Calibri" w:cs="Times New Roman" w:hint="default"/>
          <w:kern w:val="2"/>
          <w:szCs w:val="22"/>
        </w:rPr>
      </w:sdtEndPr>
      <w:sdtContent>
        <w:p w:rsidR="00806678" w:rsidRDefault="00B16377">
          <w:pPr>
            <w:pStyle w:val="a9"/>
            <w:ind w:firstLineChars="0" w:firstLine="0"/>
            <w:jc w:val="left"/>
            <w:rPr>
              <w:rFonts w:ascii="宋体" w:hAnsi="宋体" w:cs="宋体"/>
              <w:kern w:val="0"/>
              <w:szCs w:val="21"/>
            </w:rPr>
          </w:pPr>
          <w:r>
            <w:rPr>
              <w:rFonts w:ascii="宋体" w:hAnsi="宋体" w:cs="宋体" w:hint="eastAsia"/>
              <w:kern w:val="0"/>
              <w:szCs w:val="21"/>
            </w:rPr>
            <w:t>递延收益情况</w:t>
          </w:r>
        </w:p>
        <w:sdt>
          <w:sdtPr>
            <w:rPr>
              <w:rFonts w:ascii="宋体" w:hAnsi="宋体" w:cs="宋体" w:hint="eastAsia"/>
              <w:kern w:val="0"/>
              <w:szCs w:val="21"/>
            </w:rPr>
            <w:alias w:val="是否适用：递延收益情况 [双击切换]"/>
            <w:tag w:val="_GBC_1dc89c2a3092474186405d574af5f0a9"/>
            <w:id w:val="-564028924"/>
            <w:lock w:val="sdtLocked"/>
            <w:placeholder>
              <w:docPart w:val="GBC22222222222222222222222222222"/>
            </w:placeholder>
          </w:sdtPr>
          <w:sdtContent>
            <w:p w:rsidR="00806678" w:rsidRDefault="00F80B6C" w:rsidP="00277BCB">
              <w:pPr>
                <w:pStyle w:val="a9"/>
                <w:ind w:firstLineChars="0" w:firstLine="0"/>
                <w:jc w:val="left"/>
              </w:pPr>
              <w:r>
                <w:rPr>
                  <w:rFonts w:ascii="宋体" w:hAnsi="宋体" w:cs="宋体"/>
                  <w:kern w:val="0"/>
                  <w:szCs w:val="21"/>
                </w:rPr>
                <w:fldChar w:fldCharType="begin"/>
              </w:r>
              <w:r w:rsidR="00277BCB">
                <w:rPr>
                  <w:rFonts w:ascii="宋体" w:hAnsi="宋体" w:cs="宋体"/>
                  <w:kern w:val="0"/>
                  <w:szCs w:val="21"/>
                </w:rPr>
                <w:instrText xml:space="preserve"> MACROBUTTON  SnrToggleCheckbox □适用  </w:instrText>
              </w:r>
              <w:r>
                <w:rPr>
                  <w:rFonts w:ascii="宋体" w:hAnsi="宋体" w:cs="宋体"/>
                  <w:kern w:val="0"/>
                  <w:szCs w:val="21"/>
                </w:rPr>
                <w:fldChar w:fldCharType="end"/>
              </w:r>
              <w:r>
                <w:rPr>
                  <w:rFonts w:ascii="宋体" w:hAnsi="宋体" w:cs="宋体"/>
                  <w:kern w:val="0"/>
                  <w:szCs w:val="21"/>
                </w:rPr>
                <w:fldChar w:fldCharType="begin"/>
              </w:r>
              <w:r w:rsidR="00277BCB">
                <w:rPr>
                  <w:rFonts w:ascii="宋体" w:hAnsi="宋体" w:cs="宋体"/>
                  <w:kern w:val="0"/>
                  <w:szCs w:val="21"/>
                </w:rPr>
                <w:instrText xml:space="preserve"> MACROBUTTON  SnrToggleCheckbox √不适用 </w:instrText>
              </w:r>
              <w:r>
                <w:rPr>
                  <w:rFonts w:ascii="宋体" w:hAnsi="宋体" w:cs="宋体"/>
                  <w:kern w:val="0"/>
                  <w:szCs w:val="21"/>
                </w:rPr>
                <w:fldChar w:fldCharType="end"/>
              </w:r>
            </w:p>
          </w:sdtContent>
        </w:sdt>
      </w:sdtContent>
    </w:sdt>
    <w:bookmarkStart w:id="232" w:name="_Hlk532902569" w:displacedByCustomXml="next"/>
    <w:sdt>
      <w:sdtPr>
        <w:rPr>
          <w:rFonts w:hint="eastAsia"/>
          <w:szCs w:val="21"/>
        </w:rPr>
        <w:alias w:val="模块:涉及政府补助的负债项目"/>
        <w:tag w:val="_SEC_8d3befcc5cef4618a8781744946ac9ad"/>
        <w:id w:val="-855657088"/>
        <w:lock w:val="sdtLocked"/>
        <w:placeholder>
          <w:docPart w:val="GBC22222222222222222222222222222"/>
        </w:placeholder>
      </w:sdtPr>
      <w:sdtEndPr>
        <w:rPr>
          <w:rFonts w:hint="default"/>
          <w:szCs w:val="24"/>
        </w:rPr>
      </w:sdtEndPr>
      <w:sdtContent>
        <w:p w:rsidR="00806678" w:rsidRDefault="00B16377">
          <w:pPr>
            <w:spacing w:before="60" w:after="60"/>
            <w:rPr>
              <w:szCs w:val="21"/>
            </w:rPr>
          </w:pPr>
          <w:r>
            <w:rPr>
              <w:rFonts w:hint="eastAsia"/>
              <w:szCs w:val="21"/>
            </w:rPr>
            <w:t>涉及政府补助的项目：</w:t>
          </w:r>
        </w:p>
        <w:sdt>
          <w:sdtPr>
            <w:rPr>
              <w:szCs w:val="21"/>
            </w:rPr>
            <w:alias w:val="是否适用：涉及政府补助的项目_递延收益[双击切换]"/>
            <w:tag w:val="_GBC_feac278b5163472d8d82d1371d429354"/>
            <w:id w:val="603236467"/>
            <w:lock w:val="sdtLocked"/>
            <w:placeholder>
              <w:docPart w:val="GBC22222222222222222222222222222"/>
            </w:placeholder>
          </w:sdtPr>
          <w:sdtContent>
            <w:p w:rsidR="00806678" w:rsidRDefault="00F80B6C" w:rsidP="00277BCB">
              <w:pPr>
                <w:spacing w:before="60" w:after="60"/>
              </w:pPr>
              <w:r>
                <w:rPr>
                  <w:szCs w:val="21"/>
                </w:rPr>
                <w:fldChar w:fldCharType="begin"/>
              </w:r>
              <w:r w:rsidR="00277BCB">
                <w:rPr>
                  <w:szCs w:val="21"/>
                </w:rPr>
                <w:instrText xml:space="preserve">MACROBUTTON  SnrToggleCheckbox □适用 </w:instrText>
              </w:r>
              <w:r>
                <w:rPr>
                  <w:szCs w:val="21"/>
                </w:rPr>
                <w:fldChar w:fldCharType="end"/>
              </w:r>
              <w:r>
                <w:rPr>
                  <w:szCs w:val="21"/>
                </w:rPr>
                <w:fldChar w:fldCharType="begin"/>
              </w:r>
              <w:r w:rsidR="00277BCB">
                <w:rPr>
                  <w:szCs w:val="21"/>
                </w:rPr>
                <w:instrText xml:space="preserve"> MACROBUTTON  SnrToggleCheckbox √不适用 </w:instrText>
              </w:r>
              <w:r>
                <w:rPr>
                  <w:szCs w:val="21"/>
                </w:rPr>
                <w:fldChar w:fldCharType="end"/>
              </w:r>
            </w:p>
          </w:sdtContent>
        </w:sdt>
        <w:bookmarkStart w:id="233" w:name="_Hlk532902543" w:displacedByCustomXml="next"/>
      </w:sdtContent>
    </w:sdt>
    <w:bookmarkEnd w:id="233" w:displacedByCustomXml="next"/>
    <w:bookmarkEnd w:id="232" w:displacedByCustomXml="next"/>
    <w:bookmarkStart w:id="234" w:name="OLE_LINK85" w:displacedByCustomXml="next"/>
    <w:bookmarkStart w:id="235" w:name="OLE_LINK84" w:displacedByCustomXml="next"/>
    <w:sdt>
      <w:sdtPr>
        <w:rPr>
          <w:rFonts w:hint="eastAsia"/>
          <w:szCs w:val="21"/>
        </w:rPr>
        <w:alias w:val="模块:递延收益其他说明"/>
        <w:tag w:val="_SEC_7cd38d14438443479401d71c7f066fdf"/>
        <w:id w:val="-664709086"/>
        <w:lock w:val="sdtLocked"/>
        <w:placeholder>
          <w:docPart w:val="GBC22222222222222222222222222222"/>
        </w:placeholder>
      </w:sdtPr>
      <w:sdtEndPr>
        <w:rPr>
          <w:rFonts w:hint="default"/>
        </w:rPr>
      </w:sdtEndPr>
      <w:sdtContent>
        <w:p w:rsidR="00806678" w:rsidRDefault="00B16377">
          <w:pPr>
            <w:spacing w:before="60" w:after="60"/>
            <w:rPr>
              <w:szCs w:val="21"/>
            </w:rPr>
          </w:pPr>
          <w:r>
            <w:rPr>
              <w:rFonts w:hint="eastAsia"/>
              <w:szCs w:val="21"/>
            </w:rPr>
            <w:t>其他说明：</w:t>
          </w:r>
        </w:p>
        <w:sdt>
          <w:sdtPr>
            <w:rPr>
              <w:szCs w:val="21"/>
            </w:rPr>
            <w:alias w:val="是否适用：递延收益的其他说明[双击切换]"/>
            <w:tag w:val="_GBC_0c28db54a76349869056f2b92b5d9400"/>
            <w:id w:val="-44677240"/>
            <w:lock w:val="sdtLocked"/>
            <w:placeholder>
              <w:docPart w:val="GBC22222222222222222222222222222"/>
            </w:placeholder>
          </w:sdtPr>
          <w:sdtContent>
            <w:p w:rsidR="00806678" w:rsidRDefault="00F80B6C" w:rsidP="00277BCB">
              <w:pPr>
                <w:spacing w:before="60" w:after="60"/>
                <w:rPr>
                  <w:szCs w:val="21"/>
                </w:rPr>
              </w:pPr>
              <w:r>
                <w:rPr>
                  <w:szCs w:val="21"/>
                </w:rPr>
                <w:fldChar w:fldCharType="begin"/>
              </w:r>
              <w:r w:rsidR="00277BCB">
                <w:rPr>
                  <w:szCs w:val="21"/>
                </w:rPr>
                <w:instrText xml:space="preserve">MACROBUTTON  SnrToggleCheckbox □适用 </w:instrText>
              </w:r>
              <w:r>
                <w:rPr>
                  <w:szCs w:val="21"/>
                </w:rPr>
                <w:fldChar w:fldCharType="end"/>
              </w:r>
              <w:r>
                <w:rPr>
                  <w:szCs w:val="21"/>
                </w:rPr>
                <w:fldChar w:fldCharType="begin"/>
              </w:r>
              <w:r w:rsidR="00277BCB">
                <w:rPr>
                  <w:szCs w:val="21"/>
                </w:rPr>
                <w:instrText xml:space="preserve"> MACROBUTTON  SnrToggleCheckbox √不适用 </w:instrText>
              </w:r>
              <w:r>
                <w:rPr>
                  <w:szCs w:val="21"/>
                </w:rPr>
                <w:fldChar w:fldCharType="end"/>
              </w:r>
            </w:p>
          </w:sdtContent>
        </w:sdt>
      </w:sdtContent>
    </w:sdt>
    <w:bookmarkEnd w:id="234" w:displacedByCustomXml="prev"/>
    <w:bookmarkEnd w:id="235" w:displacedByCustomXml="prev"/>
    <w:p w:rsidR="00806678" w:rsidRDefault="00806678">
      <w:pPr>
        <w:snapToGrid w:val="0"/>
        <w:spacing w:line="240" w:lineRule="atLeast"/>
        <w:rPr>
          <w:szCs w:val="21"/>
        </w:rPr>
      </w:pPr>
    </w:p>
    <w:bookmarkStart w:id="236" w:name="_Hlk533670383" w:displacedByCustomXml="next"/>
    <w:sdt>
      <w:sdtPr>
        <w:rPr>
          <w:rFonts w:ascii="宋体" w:hAnsi="宋体" w:cs="宋体" w:hint="eastAsia"/>
          <w:b w:val="0"/>
          <w:bCs w:val="0"/>
          <w:kern w:val="0"/>
          <w:szCs w:val="21"/>
        </w:rPr>
        <w:alias w:val="模块:其他非流动负债"/>
        <w:tag w:val="_SEC_e6f817e4d74a4d95acbb17b048314a10"/>
        <w:id w:val="-2130180"/>
        <w:lock w:val="sdtLocked"/>
        <w:placeholder>
          <w:docPart w:val="GBC22222222222222222222222222222"/>
        </w:placeholder>
      </w:sdtPr>
      <w:sdtEndPr>
        <w:rPr>
          <w:rFonts w:cstheme="minorBidi" w:hint="default"/>
          <w:color w:val="000000" w:themeColor="text1"/>
          <w:kern w:val="2"/>
        </w:rPr>
      </w:sdtEndPr>
      <w:sdtContent>
        <w:p w:rsidR="00806678" w:rsidRDefault="00B16377" w:rsidP="00FF17C7">
          <w:pPr>
            <w:pStyle w:val="3"/>
            <w:numPr>
              <w:ilvl w:val="0"/>
              <w:numId w:val="18"/>
            </w:numPr>
            <w:tabs>
              <w:tab w:val="left" w:pos="504"/>
            </w:tabs>
            <w:rPr>
              <w:rFonts w:ascii="宋体" w:hAnsi="宋体"/>
              <w:szCs w:val="21"/>
            </w:rPr>
          </w:pPr>
          <w:r>
            <w:rPr>
              <w:rFonts w:ascii="宋体" w:hAnsi="宋体" w:hint="eastAsia"/>
              <w:szCs w:val="21"/>
            </w:rPr>
            <w:t>其他非流动负债</w:t>
          </w:r>
        </w:p>
        <w:sdt>
          <w:sdtPr>
            <w:alias w:val="是否适用：其他非流动负债[双击切换]"/>
            <w:tag w:val="_GBC_05e5676f32624ce18727385761bd1a9a"/>
            <w:id w:val="-159694533"/>
            <w:lock w:val="sdtLocked"/>
            <w:placeholder>
              <w:docPart w:val="GBC22222222222222222222222222222"/>
            </w:placeholder>
          </w:sdtPr>
          <w:sdtContent>
            <w:p w:rsidR="00806678" w:rsidRDefault="00F80B6C">
              <w:r>
                <w:fldChar w:fldCharType="begin"/>
              </w:r>
              <w:r w:rsidR="00277BCB">
                <w:instrText xml:space="preserve">MACROBUTTON  SnrToggleCheckbox √适用 </w:instrText>
              </w:r>
              <w:r>
                <w:fldChar w:fldCharType="end"/>
              </w:r>
              <w:r>
                <w:fldChar w:fldCharType="begin"/>
              </w:r>
              <w:r w:rsidR="00277BCB">
                <w:instrText xml:space="preserve"> MACROBUTTON  SnrToggleCheckbox □不适用 </w:instrText>
              </w:r>
              <w:r>
                <w:fldChar w:fldCharType="end"/>
              </w:r>
            </w:p>
          </w:sdtContent>
        </w:sdt>
        <w:p w:rsidR="00806678" w:rsidRDefault="00B16377">
          <w:pPr>
            <w:jc w:val="right"/>
            <w:rPr>
              <w:szCs w:val="21"/>
            </w:rPr>
          </w:pPr>
          <w:r>
            <w:rPr>
              <w:rFonts w:hint="eastAsia"/>
              <w:szCs w:val="21"/>
            </w:rPr>
            <w:t>单位：</w:t>
          </w:r>
          <w:sdt>
            <w:sdtPr>
              <w:rPr>
                <w:rFonts w:hint="eastAsia"/>
                <w:szCs w:val="21"/>
              </w:rPr>
              <w:alias w:val="单位：财务附注：其他非流动负债"/>
              <w:tag w:val="_GBC_71e4a9e0bf114863bce91ed701edd264"/>
              <w:id w:val="-119330526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其他非流动负债"/>
              <w:tag w:val="_GBC_bf94df270d184979b66ad44c93bd13bb"/>
              <w:id w:val="68240111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70"/>
            <w:gridCol w:w="2783"/>
            <w:gridCol w:w="2896"/>
          </w:tblGrid>
          <w:tr w:rsidR="00E72F31" w:rsidTr="00422D5A">
            <w:trPr>
              <w:jc w:val="center"/>
            </w:trPr>
            <w:sdt>
              <w:sdtPr>
                <w:tag w:val="_PLD_e94b93964ff94154a24d0d892b58ec93"/>
                <w:id w:val="-1562553812"/>
                <w:lock w:val="sdtLocked"/>
              </w:sdtPr>
              <w:sdtContent>
                <w:tc>
                  <w:tcPr>
                    <w:tcW w:w="1862" w:type="pct"/>
                    <w:tcBorders>
                      <w:top w:val="single" w:sz="4" w:space="0" w:color="auto"/>
                      <w:left w:val="single" w:sz="4" w:space="0" w:color="auto"/>
                      <w:bottom w:val="single" w:sz="4" w:space="0" w:color="auto"/>
                      <w:right w:val="single" w:sz="4" w:space="0" w:color="auto"/>
                    </w:tcBorders>
                    <w:vAlign w:val="bottom"/>
                  </w:tcPr>
                  <w:p w:rsidR="00E72F31" w:rsidRDefault="00E72F31" w:rsidP="00DB008B">
                    <w:pPr>
                      <w:jc w:val="center"/>
                      <w:rPr>
                        <w:szCs w:val="21"/>
                      </w:rPr>
                    </w:pPr>
                    <w:r>
                      <w:rPr>
                        <w:rFonts w:hint="eastAsia"/>
                        <w:szCs w:val="21"/>
                      </w:rPr>
                      <w:t>项目</w:t>
                    </w:r>
                  </w:p>
                </w:tc>
              </w:sdtContent>
            </w:sdt>
            <w:sdt>
              <w:sdtPr>
                <w:tag w:val="_PLD_626c17c2445349ccb36ec3f46c17db19"/>
                <w:id w:val="-1329122621"/>
                <w:lock w:val="sdtLocked"/>
              </w:sdtPr>
              <w:sdtContent>
                <w:tc>
                  <w:tcPr>
                    <w:tcW w:w="1538" w:type="pct"/>
                    <w:tcBorders>
                      <w:top w:val="single" w:sz="4" w:space="0" w:color="auto"/>
                      <w:left w:val="single" w:sz="4" w:space="0" w:color="auto"/>
                      <w:bottom w:val="single" w:sz="4" w:space="0" w:color="auto"/>
                      <w:right w:val="single" w:sz="4" w:space="0" w:color="auto"/>
                    </w:tcBorders>
                  </w:tcPr>
                  <w:p w:rsidR="00E72F31" w:rsidRDefault="00E72F31" w:rsidP="00DB008B">
                    <w:pPr>
                      <w:jc w:val="center"/>
                      <w:rPr>
                        <w:szCs w:val="21"/>
                      </w:rPr>
                    </w:pPr>
                    <w:r>
                      <w:rPr>
                        <w:rFonts w:hint="eastAsia"/>
                        <w:szCs w:val="21"/>
                      </w:rPr>
                      <w:t>期末余额</w:t>
                    </w:r>
                  </w:p>
                </w:tc>
              </w:sdtContent>
            </w:sdt>
            <w:sdt>
              <w:sdtPr>
                <w:tag w:val="_PLD_132229a357f24f83a62e7827f1a297f0"/>
                <w:id w:val="-1031879902"/>
                <w:lock w:val="sdtLocked"/>
              </w:sdtPr>
              <w:sdtContent>
                <w:tc>
                  <w:tcPr>
                    <w:tcW w:w="1600" w:type="pct"/>
                    <w:tcBorders>
                      <w:top w:val="single" w:sz="4" w:space="0" w:color="auto"/>
                      <w:left w:val="single" w:sz="4" w:space="0" w:color="auto"/>
                      <w:bottom w:val="single" w:sz="4" w:space="0" w:color="auto"/>
                      <w:right w:val="single" w:sz="4" w:space="0" w:color="auto"/>
                    </w:tcBorders>
                  </w:tcPr>
                  <w:p w:rsidR="00E72F31" w:rsidRDefault="00E72F31" w:rsidP="00DB008B">
                    <w:pPr>
                      <w:jc w:val="center"/>
                      <w:rPr>
                        <w:szCs w:val="21"/>
                      </w:rPr>
                    </w:pPr>
                    <w:r>
                      <w:rPr>
                        <w:rFonts w:hint="eastAsia"/>
                        <w:szCs w:val="21"/>
                      </w:rPr>
                      <w:t>期初余额</w:t>
                    </w:r>
                  </w:p>
                </w:tc>
              </w:sdtContent>
            </w:sdt>
          </w:tr>
          <w:sdt>
            <w:sdtPr>
              <w:rPr>
                <w:rFonts w:hint="eastAsia"/>
                <w:szCs w:val="21"/>
              </w:rPr>
              <w:alias w:val="其他非流动负债明细"/>
              <w:tag w:val="_TUP_d404e835a56f41618d600a2e6a73b9c5"/>
              <w:id w:val="1656335495"/>
              <w:lock w:val="sdtLocked"/>
            </w:sdtPr>
            <w:sdtContent>
              <w:tr w:rsidR="00E72F31" w:rsidTr="00422D5A">
                <w:trPr>
                  <w:jc w:val="center"/>
                </w:trPr>
                <w:tc>
                  <w:tcPr>
                    <w:tcW w:w="1862" w:type="pct"/>
                    <w:tcBorders>
                      <w:top w:val="single" w:sz="4" w:space="0" w:color="auto"/>
                      <w:left w:val="single" w:sz="4" w:space="0" w:color="auto"/>
                      <w:bottom w:val="single" w:sz="4" w:space="0" w:color="auto"/>
                      <w:right w:val="single" w:sz="4" w:space="0" w:color="auto"/>
                    </w:tcBorders>
                  </w:tcPr>
                  <w:p w:rsidR="00E72F31" w:rsidRDefault="00E72F31" w:rsidP="00DB008B">
                    <w:pPr>
                      <w:ind w:right="105"/>
                      <w:rPr>
                        <w:szCs w:val="21"/>
                      </w:rPr>
                    </w:pPr>
                    <w:r>
                      <w:t>租赁预收款</w:t>
                    </w:r>
                  </w:p>
                </w:tc>
                <w:tc>
                  <w:tcPr>
                    <w:tcW w:w="1538" w:type="pct"/>
                    <w:tcBorders>
                      <w:top w:val="single" w:sz="4" w:space="0" w:color="auto"/>
                      <w:left w:val="single" w:sz="4" w:space="0" w:color="auto"/>
                      <w:bottom w:val="single" w:sz="4" w:space="0" w:color="auto"/>
                      <w:right w:val="single" w:sz="4" w:space="0" w:color="auto"/>
                    </w:tcBorders>
                  </w:tcPr>
                  <w:p w:rsidR="00E72F31" w:rsidRDefault="00E72F31" w:rsidP="00DB008B">
                    <w:pPr>
                      <w:ind w:right="-14"/>
                      <w:jc w:val="right"/>
                      <w:rPr>
                        <w:szCs w:val="21"/>
                      </w:rPr>
                    </w:pPr>
                    <w:r>
                      <w:t>393,154,378</w:t>
                    </w:r>
                  </w:p>
                </w:tc>
                <w:tc>
                  <w:tcPr>
                    <w:tcW w:w="1600" w:type="pct"/>
                    <w:tcBorders>
                      <w:top w:val="single" w:sz="4" w:space="0" w:color="auto"/>
                      <w:left w:val="single" w:sz="4" w:space="0" w:color="auto"/>
                      <w:bottom w:val="single" w:sz="4" w:space="0" w:color="auto"/>
                      <w:right w:val="single" w:sz="4" w:space="0" w:color="auto"/>
                    </w:tcBorders>
                  </w:tcPr>
                  <w:p w:rsidR="00E72F31" w:rsidRDefault="00E72F31" w:rsidP="00DB008B">
                    <w:pPr>
                      <w:jc w:val="right"/>
                      <w:rPr>
                        <w:szCs w:val="21"/>
                      </w:rPr>
                    </w:pPr>
                    <w:r>
                      <w:t>411,344,777</w:t>
                    </w:r>
                  </w:p>
                </w:tc>
              </w:tr>
            </w:sdtContent>
          </w:sdt>
          <w:sdt>
            <w:sdtPr>
              <w:rPr>
                <w:rFonts w:hint="eastAsia"/>
                <w:szCs w:val="21"/>
              </w:rPr>
              <w:alias w:val="其他非流动负债明细"/>
              <w:tag w:val="_TUP_d404e835a56f41618d600a2e6a73b9c5"/>
              <w:id w:val="265824210"/>
              <w:lock w:val="sdtLocked"/>
            </w:sdtPr>
            <w:sdtContent>
              <w:tr w:rsidR="00E72F31" w:rsidTr="00422D5A">
                <w:trPr>
                  <w:jc w:val="center"/>
                </w:trPr>
                <w:tc>
                  <w:tcPr>
                    <w:tcW w:w="1862" w:type="pct"/>
                    <w:tcBorders>
                      <w:top w:val="single" w:sz="4" w:space="0" w:color="auto"/>
                      <w:left w:val="single" w:sz="4" w:space="0" w:color="auto"/>
                      <w:bottom w:val="single" w:sz="4" w:space="0" w:color="auto"/>
                      <w:right w:val="single" w:sz="4" w:space="0" w:color="auto"/>
                    </w:tcBorders>
                  </w:tcPr>
                  <w:p w:rsidR="00E72F31" w:rsidRDefault="00E72F31" w:rsidP="00DB008B">
                    <w:pPr>
                      <w:ind w:right="105"/>
                      <w:rPr>
                        <w:szCs w:val="21"/>
                      </w:rPr>
                    </w:pPr>
                    <w:r>
                      <w:t>减：一年内到期的其他非流动负债</w:t>
                    </w:r>
                  </w:p>
                </w:tc>
                <w:tc>
                  <w:tcPr>
                    <w:tcW w:w="1538" w:type="pct"/>
                    <w:tcBorders>
                      <w:top w:val="single" w:sz="4" w:space="0" w:color="auto"/>
                      <w:left w:val="single" w:sz="4" w:space="0" w:color="auto"/>
                      <w:bottom w:val="single" w:sz="4" w:space="0" w:color="auto"/>
                      <w:right w:val="single" w:sz="4" w:space="0" w:color="auto"/>
                    </w:tcBorders>
                  </w:tcPr>
                  <w:p w:rsidR="00E72F31" w:rsidRDefault="00E72F31" w:rsidP="00DB008B">
                    <w:pPr>
                      <w:ind w:right="-14"/>
                      <w:jc w:val="right"/>
                      <w:rPr>
                        <w:szCs w:val="21"/>
                      </w:rPr>
                    </w:pPr>
                    <w:r>
                      <w:t>15,699,191</w:t>
                    </w:r>
                  </w:p>
                </w:tc>
                <w:tc>
                  <w:tcPr>
                    <w:tcW w:w="1600" w:type="pct"/>
                    <w:tcBorders>
                      <w:top w:val="single" w:sz="4" w:space="0" w:color="auto"/>
                      <w:left w:val="single" w:sz="4" w:space="0" w:color="auto"/>
                      <w:bottom w:val="single" w:sz="4" w:space="0" w:color="auto"/>
                      <w:right w:val="single" w:sz="4" w:space="0" w:color="auto"/>
                    </w:tcBorders>
                  </w:tcPr>
                  <w:p w:rsidR="00E72F31" w:rsidRDefault="00E72F31" w:rsidP="00DB008B">
                    <w:pPr>
                      <w:jc w:val="right"/>
                      <w:rPr>
                        <w:szCs w:val="21"/>
                      </w:rPr>
                    </w:pPr>
                    <w:r>
                      <w:t>15,844,623</w:t>
                    </w:r>
                  </w:p>
                </w:tc>
              </w:tr>
            </w:sdtContent>
          </w:sdt>
          <w:tr w:rsidR="00E72F31" w:rsidTr="00422D5A">
            <w:trPr>
              <w:jc w:val="center"/>
            </w:trPr>
            <w:sdt>
              <w:sdtPr>
                <w:tag w:val="_PLD_5c0da5fb51cd47a19af895abfb9470f4"/>
                <w:id w:val="-159772622"/>
                <w:lock w:val="sdtLocked"/>
              </w:sdtPr>
              <w:sdtContent>
                <w:tc>
                  <w:tcPr>
                    <w:tcW w:w="1862" w:type="pct"/>
                    <w:tcBorders>
                      <w:top w:val="single" w:sz="4" w:space="0" w:color="auto"/>
                      <w:left w:val="single" w:sz="4" w:space="0" w:color="auto"/>
                      <w:bottom w:val="single" w:sz="4" w:space="0" w:color="auto"/>
                      <w:right w:val="single" w:sz="4" w:space="0" w:color="auto"/>
                    </w:tcBorders>
                  </w:tcPr>
                  <w:p w:rsidR="00E72F31" w:rsidRDefault="00E72F31" w:rsidP="00DB008B">
                    <w:pPr>
                      <w:jc w:val="center"/>
                      <w:rPr>
                        <w:color w:val="000000" w:themeColor="text1"/>
                        <w:szCs w:val="21"/>
                      </w:rPr>
                    </w:pPr>
                    <w:r>
                      <w:rPr>
                        <w:rFonts w:hint="eastAsia"/>
                        <w:color w:val="000000" w:themeColor="text1"/>
                        <w:szCs w:val="21"/>
                      </w:rPr>
                      <w:t>合计</w:t>
                    </w:r>
                  </w:p>
                </w:tc>
              </w:sdtContent>
            </w:sdt>
            <w:tc>
              <w:tcPr>
                <w:tcW w:w="1538" w:type="pct"/>
                <w:tcBorders>
                  <w:top w:val="single" w:sz="4" w:space="0" w:color="auto"/>
                  <w:left w:val="single" w:sz="4" w:space="0" w:color="auto"/>
                  <w:bottom w:val="single" w:sz="4" w:space="0" w:color="auto"/>
                  <w:right w:val="single" w:sz="4" w:space="0" w:color="auto"/>
                </w:tcBorders>
              </w:tcPr>
              <w:p w:rsidR="00E72F31" w:rsidRDefault="00E72F31" w:rsidP="00DB008B">
                <w:pPr>
                  <w:jc w:val="right"/>
                  <w:rPr>
                    <w:szCs w:val="21"/>
                  </w:rPr>
                </w:pPr>
                <w:r>
                  <w:t>377,455,187</w:t>
                </w:r>
              </w:p>
            </w:tc>
            <w:tc>
              <w:tcPr>
                <w:tcW w:w="1600" w:type="pct"/>
                <w:tcBorders>
                  <w:top w:val="single" w:sz="4" w:space="0" w:color="auto"/>
                  <w:left w:val="single" w:sz="4" w:space="0" w:color="auto"/>
                  <w:bottom w:val="single" w:sz="4" w:space="0" w:color="auto"/>
                  <w:right w:val="single" w:sz="4" w:space="0" w:color="auto"/>
                </w:tcBorders>
              </w:tcPr>
              <w:p w:rsidR="00E72F31" w:rsidRDefault="00E72F31" w:rsidP="00DB008B">
                <w:pPr>
                  <w:jc w:val="right"/>
                  <w:rPr>
                    <w:szCs w:val="21"/>
                  </w:rPr>
                </w:pPr>
                <w:r>
                  <w:t>395,500,154</w:t>
                </w:r>
              </w:p>
            </w:tc>
          </w:tr>
        </w:tbl>
        <w:p w:rsidR="00806678" w:rsidRDefault="00B16377">
          <w:pPr>
            <w:spacing w:before="60" w:after="60"/>
            <w:rPr>
              <w:szCs w:val="21"/>
            </w:rPr>
          </w:pPr>
          <w:r>
            <w:rPr>
              <w:rFonts w:hint="eastAsia"/>
              <w:szCs w:val="21"/>
            </w:rPr>
            <w:t>其他说明：</w:t>
          </w:r>
        </w:p>
        <w:sdt>
          <w:sdtPr>
            <w:rPr>
              <w:szCs w:val="21"/>
            </w:rPr>
            <w:alias w:val="其他非流动负债说明"/>
            <w:tag w:val="_GBC_4686d44ffe664a59bb3950cd69e64f86"/>
            <w:id w:val="640851698"/>
            <w:lock w:val="sdtLocked"/>
            <w:placeholder>
              <w:docPart w:val="GBC22222222222222222222222222222"/>
            </w:placeholder>
          </w:sdtPr>
          <w:sdtContent>
            <w:p w:rsidR="00806678" w:rsidRDefault="000C7F8B">
              <w:pPr>
                <w:rPr>
                  <w:szCs w:val="21"/>
                </w:rPr>
              </w:pPr>
              <w:r>
                <w:rPr>
                  <w:rFonts w:hint="eastAsia"/>
                  <w:szCs w:val="21"/>
                </w:rPr>
                <w:t>无</w:t>
              </w:r>
            </w:p>
          </w:sdtContent>
        </w:sdt>
      </w:sdtContent>
    </w:sdt>
    <w:bookmarkEnd w:id="236" w:displacedByCustomXml="prev"/>
    <w:p w:rsidR="00806678" w:rsidRDefault="00806678">
      <w:pPr>
        <w:rPr>
          <w:szCs w:val="21"/>
        </w:rPr>
      </w:pPr>
    </w:p>
    <w:sdt>
      <w:sdtPr>
        <w:rPr>
          <w:rFonts w:ascii="宋体" w:hAnsi="宋体" w:cs="宋体" w:hint="eastAsia"/>
          <w:b w:val="0"/>
          <w:bCs w:val="0"/>
          <w:kern w:val="0"/>
          <w:szCs w:val="21"/>
        </w:rPr>
        <w:alias w:val="模块:股本"/>
        <w:tag w:val="_SEC_8a6ae55fcdf4458585bca7ece234d93f"/>
        <w:id w:val="1121653733"/>
        <w:lock w:val="sdtLocked"/>
        <w:placeholder>
          <w:docPart w:val="GBC22222222222222222222222222222"/>
        </w:placeholder>
      </w:sdtPr>
      <w:sdtEndPr>
        <w:rPr>
          <w:rFonts w:cstheme="minorBidi" w:hint="default"/>
          <w:color w:val="000000" w:themeColor="text1"/>
        </w:rPr>
      </w:sdtEndPr>
      <w:sdtContent>
        <w:p w:rsidR="00806678" w:rsidRDefault="00B16377" w:rsidP="00FF17C7">
          <w:pPr>
            <w:pStyle w:val="3"/>
            <w:numPr>
              <w:ilvl w:val="0"/>
              <w:numId w:val="18"/>
            </w:numPr>
            <w:tabs>
              <w:tab w:val="left" w:pos="504"/>
            </w:tabs>
            <w:rPr>
              <w:rFonts w:ascii="宋体" w:hAnsi="宋体"/>
              <w:szCs w:val="21"/>
            </w:rPr>
          </w:pPr>
          <w:r>
            <w:rPr>
              <w:rFonts w:ascii="宋体" w:hAnsi="宋体" w:hint="eastAsia"/>
              <w:szCs w:val="21"/>
            </w:rPr>
            <w:t>股本</w:t>
          </w:r>
        </w:p>
        <w:sdt>
          <w:sdtPr>
            <w:alias w:val="是否适用：股本[双击切换]"/>
            <w:tag w:val="_GBC_a2069fb3657946ee9810a9154eb11422"/>
            <w:id w:val="-1719658813"/>
            <w:lock w:val="sdtLocked"/>
            <w:placeholder>
              <w:docPart w:val="GBC22222222222222222222222222222"/>
            </w:placeholder>
          </w:sdtPr>
          <w:sdtContent>
            <w:p w:rsidR="00806678" w:rsidRDefault="00F80B6C">
              <w:r>
                <w:fldChar w:fldCharType="begin"/>
              </w:r>
              <w:r w:rsidR="009C54D9">
                <w:instrText xml:space="preserve">MACROBUTTON  SnrToggleCheckbox √适用 </w:instrText>
              </w:r>
              <w:r>
                <w:fldChar w:fldCharType="end"/>
              </w:r>
              <w:r>
                <w:fldChar w:fldCharType="begin"/>
              </w:r>
              <w:r w:rsidR="009C54D9">
                <w:instrText xml:space="preserve"> MACROBUTTON  SnrToggleCheckbox □不适用 </w:instrText>
              </w:r>
              <w:r>
                <w:fldChar w:fldCharType="end"/>
              </w:r>
            </w:p>
          </w:sdtContent>
        </w:sdt>
        <w:p w:rsidR="00806678" w:rsidRDefault="00B16377">
          <w:pPr>
            <w:jc w:val="right"/>
            <w:rPr>
              <w:szCs w:val="21"/>
            </w:rPr>
          </w:pPr>
          <w:r>
            <w:rPr>
              <w:rFonts w:hint="eastAsia"/>
              <w:szCs w:val="21"/>
            </w:rPr>
            <w:t>单位：</w:t>
          </w:r>
          <w:sdt>
            <w:sdtPr>
              <w:rPr>
                <w:rFonts w:hint="eastAsia"/>
                <w:szCs w:val="21"/>
              </w:rPr>
              <w:alias w:val="单位：财务附注：股本"/>
              <w:tag w:val="_GBC_e2cacf7f2d9f4ad78dce53a3e345569e"/>
              <w:id w:val="-22043783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股本"/>
              <w:tag w:val="_GBC_a1c9c99744d0466d8ff5672b2b69076a"/>
              <w:id w:val="-119299153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00"/>
            <w:gridCol w:w="1701"/>
            <w:gridCol w:w="992"/>
            <w:gridCol w:w="700"/>
            <w:gridCol w:w="956"/>
            <w:gridCol w:w="970"/>
            <w:gridCol w:w="943"/>
            <w:gridCol w:w="1687"/>
          </w:tblGrid>
          <w:tr w:rsidR="00806678" w:rsidTr="00834DBF">
            <w:trPr>
              <w:cantSplit/>
              <w:trHeight w:val="270"/>
            </w:trPr>
            <w:tc>
              <w:tcPr>
                <w:tcW w:w="608" w:type="pct"/>
                <w:vMerge w:val="restart"/>
                <w:tcBorders>
                  <w:top w:val="single" w:sz="4" w:space="0" w:color="auto"/>
                  <w:left w:val="single" w:sz="4" w:space="0" w:color="auto"/>
                  <w:bottom w:val="single" w:sz="4" w:space="0" w:color="auto"/>
                  <w:right w:val="single" w:sz="4" w:space="0" w:color="auto"/>
                </w:tcBorders>
              </w:tcPr>
              <w:p w:rsidR="00806678" w:rsidRDefault="00806678">
                <w:pPr>
                  <w:jc w:val="center"/>
                  <w:rPr>
                    <w:szCs w:val="21"/>
                  </w:rPr>
                </w:pPr>
              </w:p>
            </w:tc>
            <w:sdt>
              <w:sdtPr>
                <w:tag w:val="_PLD_fd63a619db16496bad52eeb145839158"/>
                <w:id w:val="-1512437095"/>
                <w:lock w:val="sdtLocked"/>
              </w:sdtPr>
              <w:sdtContent>
                <w:tc>
                  <w:tcPr>
                    <w:tcW w:w="940" w:type="pct"/>
                    <w:vMerge w:val="restart"/>
                    <w:tcBorders>
                      <w:top w:val="single" w:sz="4" w:space="0" w:color="auto"/>
                      <w:left w:val="single" w:sz="4" w:space="0" w:color="auto"/>
                      <w:right w:val="single" w:sz="4" w:space="0" w:color="auto"/>
                    </w:tcBorders>
                    <w:vAlign w:val="center"/>
                  </w:tcPr>
                  <w:p w:rsidR="00806678" w:rsidRDefault="00B16377">
                    <w:pPr>
                      <w:jc w:val="center"/>
                      <w:rPr>
                        <w:szCs w:val="21"/>
                      </w:rPr>
                    </w:pPr>
                    <w:r>
                      <w:rPr>
                        <w:rFonts w:hint="eastAsia"/>
                        <w:szCs w:val="21"/>
                      </w:rPr>
                      <w:t>期初余额</w:t>
                    </w:r>
                  </w:p>
                </w:tc>
              </w:sdtContent>
            </w:sdt>
            <w:sdt>
              <w:sdtPr>
                <w:tag w:val="_PLD_2cb33d9d8b0d47539581498c039e86aa"/>
                <w:id w:val="-316797317"/>
                <w:lock w:val="sdtLocked"/>
              </w:sdtPr>
              <w:sdtContent>
                <w:tc>
                  <w:tcPr>
                    <w:tcW w:w="2520" w:type="pct"/>
                    <w:gridSpan w:val="5"/>
                    <w:tcBorders>
                      <w:top w:val="single" w:sz="4" w:space="0" w:color="auto"/>
                      <w:left w:val="single" w:sz="4" w:space="0" w:color="auto"/>
                      <w:bottom w:val="single" w:sz="4" w:space="0" w:color="auto"/>
                      <w:right w:val="single" w:sz="4" w:space="0" w:color="auto"/>
                    </w:tcBorders>
                    <w:vAlign w:val="center"/>
                  </w:tcPr>
                  <w:p w:rsidR="00806678" w:rsidRDefault="00B16377">
                    <w:pPr>
                      <w:jc w:val="center"/>
                      <w:rPr>
                        <w:szCs w:val="21"/>
                      </w:rPr>
                    </w:pPr>
                    <w:r>
                      <w:rPr>
                        <w:rFonts w:hint="eastAsia"/>
                        <w:szCs w:val="21"/>
                      </w:rPr>
                      <w:t>本次变动增减（+、一）</w:t>
                    </w:r>
                  </w:p>
                </w:tc>
              </w:sdtContent>
            </w:sdt>
            <w:sdt>
              <w:sdtPr>
                <w:tag w:val="_PLD_e579078cb28f47a09273701ab9e2e37a"/>
                <w:id w:val="-741711942"/>
                <w:lock w:val="sdtLocked"/>
              </w:sdtPr>
              <w:sdtContent>
                <w:tc>
                  <w:tcPr>
                    <w:tcW w:w="932" w:type="pct"/>
                    <w:vMerge w:val="restart"/>
                    <w:tcBorders>
                      <w:top w:val="single" w:sz="4" w:space="0" w:color="auto"/>
                      <w:left w:val="single" w:sz="4" w:space="0" w:color="auto"/>
                      <w:right w:val="single" w:sz="4" w:space="0" w:color="auto"/>
                    </w:tcBorders>
                    <w:vAlign w:val="center"/>
                  </w:tcPr>
                  <w:p w:rsidR="00806678" w:rsidRDefault="00B16377">
                    <w:pPr>
                      <w:jc w:val="center"/>
                      <w:rPr>
                        <w:szCs w:val="21"/>
                      </w:rPr>
                    </w:pPr>
                    <w:r>
                      <w:rPr>
                        <w:rFonts w:hint="eastAsia"/>
                        <w:szCs w:val="21"/>
                      </w:rPr>
                      <w:t>期末余额</w:t>
                    </w:r>
                  </w:p>
                </w:tc>
              </w:sdtContent>
            </w:sdt>
          </w:tr>
          <w:tr w:rsidR="00806678" w:rsidTr="00834DBF">
            <w:trPr>
              <w:cantSplit/>
              <w:trHeight w:val="312"/>
            </w:trPr>
            <w:tc>
              <w:tcPr>
                <w:tcW w:w="608" w:type="pct"/>
                <w:vMerge/>
                <w:tcBorders>
                  <w:top w:val="single" w:sz="4" w:space="0" w:color="auto"/>
                  <w:left w:val="single" w:sz="4" w:space="0" w:color="auto"/>
                  <w:bottom w:val="single" w:sz="4" w:space="0" w:color="auto"/>
                  <w:right w:val="single" w:sz="4" w:space="0" w:color="auto"/>
                </w:tcBorders>
              </w:tcPr>
              <w:p w:rsidR="00806678" w:rsidRDefault="00806678">
                <w:pPr>
                  <w:rPr>
                    <w:szCs w:val="21"/>
                  </w:rPr>
                </w:pPr>
              </w:p>
            </w:tc>
            <w:tc>
              <w:tcPr>
                <w:tcW w:w="940" w:type="pct"/>
                <w:vMerge/>
                <w:tcBorders>
                  <w:left w:val="single" w:sz="4" w:space="0" w:color="auto"/>
                  <w:bottom w:val="single" w:sz="4" w:space="0" w:color="auto"/>
                  <w:right w:val="single" w:sz="4" w:space="0" w:color="auto"/>
                </w:tcBorders>
              </w:tcPr>
              <w:p w:rsidR="00806678" w:rsidRDefault="00806678">
                <w:pPr>
                  <w:ind w:leftChars="-119" w:left="-250" w:firstLineChars="119" w:firstLine="250"/>
                  <w:rPr>
                    <w:szCs w:val="21"/>
                  </w:rPr>
                </w:pPr>
              </w:p>
            </w:tc>
            <w:sdt>
              <w:sdtPr>
                <w:tag w:val="_PLD_2f067dcfa40a4e2d896a383f16e2e483"/>
                <w:id w:val="-1170871375"/>
                <w:lock w:val="sdtLocked"/>
              </w:sdtPr>
              <w:sdtContent>
                <w:tc>
                  <w:tcPr>
                    <w:tcW w:w="548" w:type="pct"/>
                    <w:tcBorders>
                      <w:top w:val="single" w:sz="4" w:space="0" w:color="auto"/>
                      <w:left w:val="single" w:sz="4" w:space="0" w:color="auto"/>
                      <w:bottom w:val="single" w:sz="4" w:space="0" w:color="auto"/>
                      <w:right w:val="single" w:sz="4" w:space="0" w:color="auto"/>
                    </w:tcBorders>
                    <w:vAlign w:val="center"/>
                  </w:tcPr>
                  <w:p w:rsidR="00806678" w:rsidRDefault="00B16377">
                    <w:pPr>
                      <w:jc w:val="center"/>
                      <w:rPr>
                        <w:szCs w:val="21"/>
                      </w:rPr>
                    </w:pPr>
                    <w:r>
                      <w:rPr>
                        <w:rFonts w:hint="eastAsia"/>
                        <w:szCs w:val="21"/>
                      </w:rPr>
                      <w:t>发行</w:t>
                    </w:r>
                  </w:p>
                  <w:p w:rsidR="00806678" w:rsidRDefault="00B16377">
                    <w:pPr>
                      <w:jc w:val="center"/>
                      <w:rPr>
                        <w:szCs w:val="21"/>
                      </w:rPr>
                    </w:pPr>
                    <w:r>
                      <w:rPr>
                        <w:rFonts w:hint="eastAsia"/>
                        <w:szCs w:val="21"/>
                      </w:rPr>
                      <w:t>新股</w:t>
                    </w:r>
                  </w:p>
                </w:tc>
              </w:sdtContent>
            </w:sdt>
            <w:sdt>
              <w:sdtPr>
                <w:tag w:val="_PLD_afc58df66e0343a29873ec3c2270451e"/>
                <w:id w:val="1290708396"/>
                <w:lock w:val="sdtLocked"/>
              </w:sdtPr>
              <w:sdtContent>
                <w:tc>
                  <w:tcPr>
                    <w:tcW w:w="387" w:type="pct"/>
                    <w:tcBorders>
                      <w:top w:val="single" w:sz="4" w:space="0" w:color="auto"/>
                      <w:left w:val="single" w:sz="4" w:space="0" w:color="auto"/>
                      <w:bottom w:val="single" w:sz="4" w:space="0" w:color="auto"/>
                      <w:right w:val="single" w:sz="4" w:space="0" w:color="auto"/>
                    </w:tcBorders>
                    <w:vAlign w:val="center"/>
                  </w:tcPr>
                  <w:p w:rsidR="00806678" w:rsidRDefault="00B16377">
                    <w:pPr>
                      <w:jc w:val="center"/>
                      <w:rPr>
                        <w:szCs w:val="21"/>
                      </w:rPr>
                    </w:pPr>
                    <w:r>
                      <w:rPr>
                        <w:rFonts w:hint="eastAsia"/>
                        <w:szCs w:val="21"/>
                      </w:rPr>
                      <w:t>送股</w:t>
                    </w:r>
                  </w:p>
                </w:tc>
              </w:sdtContent>
            </w:sdt>
            <w:sdt>
              <w:sdtPr>
                <w:tag w:val="_PLD_31d618a387e243239ea8ee139a3a39da"/>
                <w:id w:val="323099199"/>
                <w:lock w:val="sdtLocked"/>
              </w:sdtPr>
              <w:sdtContent>
                <w:tc>
                  <w:tcPr>
                    <w:tcW w:w="528" w:type="pct"/>
                    <w:tcBorders>
                      <w:top w:val="single" w:sz="4" w:space="0" w:color="auto"/>
                      <w:left w:val="single" w:sz="4" w:space="0" w:color="auto"/>
                      <w:bottom w:val="single" w:sz="4" w:space="0" w:color="auto"/>
                      <w:right w:val="single" w:sz="4" w:space="0" w:color="auto"/>
                    </w:tcBorders>
                    <w:vAlign w:val="center"/>
                  </w:tcPr>
                  <w:p w:rsidR="00806678" w:rsidRDefault="00B16377">
                    <w:pPr>
                      <w:jc w:val="center"/>
                      <w:rPr>
                        <w:szCs w:val="21"/>
                      </w:rPr>
                    </w:pPr>
                    <w:r>
                      <w:rPr>
                        <w:rFonts w:hint="eastAsia"/>
                        <w:szCs w:val="21"/>
                      </w:rPr>
                      <w:t>公积金</w:t>
                    </w:r>
                  </w:p>
                  <w:p w:rsidR="00806678" w:rsidRDefault="00B16377">
                    <w:pPr>
                      <w:jc w:val="center"/>
                      <w:rPr>
                        <w:szCs w:val="21"/>
                      </w:rPr>
                    </w:pPr>
                    <w:r>
                      <w:rPr>
                        <w:rFonts w:hint="eastAsia"/>
                        <w:szCs w:val="21"/>
                      </w:rPr>
                      <w:t>转股</w:t>
                    </w:r>
                  </w:p>
                </w:tc>
              </w:sdtContent>
            </w:sdt>
            <w:sdt>
              <w:sdtPr>
                <w:tag w:val="_PLD_12526084dedd4dc68d673c8a71c73862"/>
                <w:id w:val="641005314"/>
                <w:lock w:val="sdtLocked"/>
              </w:sdtPr>
              <w:sdtContent>
                <w:tc>
                  <w:tcPr>
                    <w:tcW w:w="536" w:type="pct"/>
                    <w:tcBorders>
                      <w:top w:val="single" w:sz="4" w:space="0" w:color="auto"/>
                      <w:left w:val="single" w:sz="4" w:space="0" w:color="auto"/>
                      <w:bottom w:val="single" w:sz="4" w:space="0" w:color="auto"/>
                      <w:right w:val="single" w:sz="4" w:space="0" w:color="auto"/>
                    </w:tcBorders>
                    <w:vAlign w:val="center"/>
                  </w:tcPr>
                  <w:p w:rsidR="00806678" w:rsidRDefault="00B16377">
                    <w:pPr>
                      <w:jc w:val="center"/>
                      <w:rPr>
                        <w:szCs w:val="21"/>
                      </w:rPr>
                    </w:pPr>
                    <w:r>
                      <w:rPr>
                        <w:rFonts w:hint="eastAsia"/>
                        <w:szCs w:val="21"/>
                      </w:rPr>
                      <w:t>其他</w:t>
                    </w:r>
                  </w:p>
                </w:tc>
              </w:sdtContent>
            </w:sdt>
            <w:sdt>
              <w:sdtPr>
                <w:tag w:val="_PLD_fe70bd23af2d4fd680087e555e574f82"/>
                <w:id w:val="2088338221"/>
                <w:lock w:val="sdtLocked"/>
              </w:sdtPr>
              <w:sdtContent>
                <w:tc>
                  <w:tcPr>
                    <w:tcW w:w="521" w:type="pct"/>
                    <w:tcBorders>
                      <w:top w:val="single" w:sz="4" w:space="0" w:color="auto"/>
                      <w:left w:val="single" w:sz="4" w:space="0" w:color="auto"/>
                      <w:bottom w:val="single" w:sz="4" w:space="0" w:color="auto"/>
                      <w:right w:val="single" w:sz="4" w:space="0" w:color="auto"/>
                    </w:tcBorders>
                    <w:vAlign w:val="center"/>
                  </w:tcPr>
                  <w:p w:rsidR="00806678" w:rsidRDefault="00B16377">
                    <w:pPr>
                      <w:jc w:val="center"/>
                      <w:rPr>
                        <w:szCs w:val="21"/>
                      </w:rPr>
                    </w:pPr>
                    <w:r>
                      <w:rPr>
                        <w:rFonts w:hint="eastAsia"/>
                        <w:szCs w:val="21"/>
                      </w:rPr>
                      <w:t>小计</w:t>
                    </w:r>
                  </w:p>
                </w:tc>
              </w:sdtContent>
            </w:sdt>
            <w:tc>
              <w:tcPr>
                <w:tcW w:w="932" w:type="pct"/>
                <w:vMerge/>
                <w:tcBorders>
                  <w:left w:val="single" w:sz="4" w:space="0" w:color="auto"/>
                  <w:bottom w:val="single" w:sz="4" w:space="0" w:color="auto"/>
                  <w:right w:val="single" w:sz="4" w:space="0" w:color="auto"/>
                </w:tcBorders>
              </w:tcPr>
              <w:p w:rsidR="00806678" w:rsidRDefault="00806678">
                <w:pPr>
                  <w:rPr>
                    <w:szCs w:val="21"/>
                  </w:rPr>
                </w:pPr>
              </w:p>
            </w:tc>
          </w:tr>
          <w:tr w:rsidR="00806678" w:rsidTr="00834DBF">
            <w:trPr>
              <w:cantSplit/>
            </w:trPr>
            <w:sdt>
              <w:sdtPr>
                <w:tag w:val="_PLD_ca4436c1f88f49e084436422be93cf3e"/>
                <w:id w:val="-1447767726"/>
                <w:lock w:val="sdtLocked"/>
              </w:sdtPr>
              <w:sdtContent>
                <w:tc>
                  <w:tcPr>
                    <w:tcW w:w="608" w:type="pct"/>
                    <w:tcBorders>
                      <w:top w:val="single" w:sz="4" w:space="0" w:color="auto"/>
                      <w:left w:val="single" w:sz="4" w:space="0" w:color="auto"/>
                      <w:bottom w:val="single" w:sz="4" w:space="0" w:color="auto"/>
                      <w:right w:val="single" w:sz="4" w:space="0" w:color="auto"/>
                    </w:tcBorders>
                  </w:tcPr>
                  <w:p w:rsidR="00806678" w:rsidRDefault="00B16377">
                    <w:pPr>
                      <w:jc w:val="center"/>
                      <w:rPr>
                        <w:szCs w:val="21"/>
                      </w:rPr>
                    </w:pPr>
                    <w:r>
                      <w:rPr>
                        <w:rFonts w:hint="eastAsia"/>
                        <w:szCs w:val="21"/>
                      </w:rPr>
                      <w:t>股份总数</w:t>
                    </w:r>
                  </w:p>
                </w:tc>
              </w:sdtContent>
            </w:sdt>
            <w:tc>
              <w:tcPr>
                <w:tcW w:w="940" w:type="pct"/>
                <w:tcBorders>
                  <w:top w:val="single" w:sz="4" w:space="0" w:color="auto"/>
                  <w:left w:val="single" w:sz="4" w:space="0" w:color="auto"/>
                  <w:bottom w:val="single" w:sz="4" w:space="0" w:color="auto"/>
                  <w:right w:val="single" w:sz="4" w:space="0" w:color="auto"/>
                </w:tcBorders>
              </w:tcPr>
              <w:p w:rsidR="00806678" w:rsidRDefault="00834DBF">
                <w:pPr>
                  <w:jc w:val="right"/>
                  <w:rPr>
                    <w:szCs w:val="21"/>
                  </w:rPr>
                </w:pPr>
                <w:r>
                  <w:rPr>
                    <w:szCs w:val="21"/>
                  </w:rPr>
                  <w:t>14,866,908,025</w:t>
                </w:r>
              </w:p>
            </w:tc>
            <w:tc>
              <w:tcPr>
                <w:tcW w:w="548" w:type="pct"/>
                <w:tcBorders>
                  <w:top w:val="single" w:sz="4" w:space="0" w:color="auto"/>
                  <w:left w:val="single" w:sz="4" w:space="0" w:color="auto"/>
                  <w:bottom w:val="single" w:sz="4" w:space="0" w:color="auto"/>
                  <w:right w:val="single" w:sz="4" w:space="0" w:color="auto"/>
                </w:tcBorders>
              </w:tcPr>
              <w:p w:rsidR="00806678" w:rsidRDefault="00834DBF">
                <w:pPr>
                  <w:jc w:val="right"/>
                  <w:rPr>
                    <w:szCs w:val="21"/>
                  </w:rPr>
                </w:pPr>
                <w:r>
                  <w:rPr>
                    <w:szCs w:val="21"/>
                  </w:rPr>
                  <w:t>0</w:t>
                </w:r>
              </w:p>
            </w:tc>
            <w:tc>
              <w:tcPr>
                <w:tcW w:w="387" w:type="pct"/>
                <w:tcBorders>
                  <w:top w:val="single" w:sz="4" w:space="0" w:color="auto"/>
                  <w:left w:val="single" w:sz="4" w:space="0" w:color="auto"/>
                  <w:bottom w:val="single" w:sz="4" w:space="0" w:color="auto"/>
                  <w:right w:val="single" w:sz="4" w:space="0" w:color="auto"/>
                </w:tcBorders>
              </w:tcPr>
              <w:p w:rsidR="00806678" w:rsidRDefault="00834DBF">
                <w:pPr>
                  <w:jc w:val="right"/>
                  <w:rPr>
                    <w:szCs w:val="21"/>
                  </w:rPr>
                </w:pPr>
                <w:r>
                  <w:rPr>
                    <w:szCs w:val="21"/>
                  </w:rPr>
                  <w:t>0</w:t>
                </w:r>
              </w:p>
            </w:tc>
            <w:tc>
              <w:tcPr>
                <w:tcW w:w="528" w:type="pct"/>
                <w:tcBorders>
                  <w:top w:val="single" w:sz="4" w:space="0" w:color="auto"/>
                  <w:left w:val="single" w:sz="4" w:space="0" w:color="auto"/>
                  <w:bottom w:val="single" w:sz="4" w:space="0" w:color="auto"/>
                  <w:right w:val="single" w:sz="4" w:space="0" w:color="auto"/>
                </w:tcBorders>
              </w:tcPr>
              <w:p w:rsidR="00806678" w:rsidRDefault="00834DBF">
                <w:pPr>
                  <w:jc w:val="right"/>
                  <w:rPr>
                    <w:szCs w:val="21"/>
                  </w:rPr>
                </w:pPr>
                <w:r>
                  <w:rPr>
                    <w:szCs w:val="21"/>
                  </w:rPr>
                  <w:t>0</w:t>
                </w:r>
              </w:p>
            </w:tc>
            <w:tc>
              <w:tcPr>
                <w:tcW w:w="536" w:type="pct"/>
                <w:tcBorders>
                  <w:top w:val="single" w:sz="4" w:space="0" w:color="auto"/>
                  <w:left w:val="single" w:sz="4" w:space="0" w:color="auto"/>
                  <w:bottom w:val="single" w:sz="4" w:space="0" w:color="auto"/>
                  <w:right w:val="single" w:sz="4" w:space="0" w:color="auto"/>
                </w:tcBorders>
              </w:tcPr>
              <w:p w:rsidR="00806678" w:rsidRDefault="00834DBF">
                <w:pPr>
                  <w:jc w:val="right"/>
                  <w:rPr>
                    <w:szCs w:val="21"/>
                  </w:rPr>
                </w:pPr>
                <w:r w:rsidRPr="00834DBF">
                  <w:rPr>
                    <w:szCs w:val="21"/>
                  </w:rPr>
                  <w:t>37,882</w:t>
                </w:r>
              </w:p>
            </w:tc>
            <w:tc>
              <w:tcPr>
                <w:tcW w:w="521" w:type="pct"/>
                <w:tcBorders>
                  <w:top w:val="single" w:sz="4" w:space="0" w:color="auto"/>
                  <w:left w:val="single" w:sz="4" w:space="0" w:color="auto"/>
                  <w:bottom w:val="single" w:sz="4" w:space="0" w:color="auto"/>
                  <w:right w:val="single" w:sz="4" w:space="0" w:color="auto"/>
                </w:tcBorders>
              </w:tcPr>
              <w:p w:rsidR="00806678" w:rsidRDefault="00834DBF">
                <w:pPr>
                  <w:jc w:val="right"/>
                  <w:rPr>
                    <w:szCs w:val="21"/>
                  </w:rPr>
                </w:pPr>
                <w:r w:rsidRPr="00834DBF">
                  <w:rPr>
                    <w:szCs w:val="21"/>
                  </w:rPr>
                  <w:t>37,882</w:t>
                </w:r>
              </w:p>
            </w:tc>
            <w:tc>
              <w:tcPr>
                <w:tcW w:w="932" w:type="pct"/>
                <w:tcBorders>
                  <w:top w:val="single" w:sz="4" w:space="0" w:color="auto"/>
                  <w:left w:val="single" w:sz="4" w:space="0" w:color="auto"/>
                  <w:bottom w:val="single" w:sz="4" w:space="0" w:color="auto"/>
                  <w:right w:val="single" w:sz="4" w:space="0" w:color="auto"/>
                </w:tcBorders>
              </w:tcPr>
              <w:p w:rsidR="00806678" w:rsidRDefault="00834DBF">
                <w:pPr>
                  <w:jc w:val="right"/>
                  <w:rPr>
                    <w:szCs w:val="21"/>
                  </w:rPr>
                </w:pPr>
                <w:r>
                  <w:rPr>
                    <w:szCs w:val="21"/>
                  </w:rPr>
                  <w:t>14,866,945,907</w:t>
                </w:r>
              </w:p>
            </w:tc>
          </w:tr>
        </w:tbl>
        <w:p w:rsidR="00806678" w:rsidRDefault="00B16377">
          <w:pPr>
            <w:spacing w:before="60" w:after="60"/>
            <w:rPr>
              <w:szCs w:val="21"/>
            </w:rPr>
          </w:pPr>
          <w:r>
            <w:rPr>
              <w:rFonts w:hint="eastAsia"/>
              <w:szCs w:val="21"/>
            </w:rPr>
            <w:t>其他说明：</w:t>
          </w:r>
        </w:p>
        <w:sdt>
          <w:sdtPr>
            <w:rPr>
              <w:szCs w:val="21"/>
            </w:rPr>
            <w:alias w:val="股本变动情况说明"/>
            <w:tag w:val="_GBC_6600e13aac194caa9cb58963beb3073e"/>
            <w:id w:val="-1031791537"/>
            <w:lock w:val="sdtLocked"/>
            <w:placeholder>
              <w:docPart w:val="GBC22222222222222222222222222222"/>
            </w:placeholder>
          </w:sdtPr>
          <w:sdtContent>
            <w:p w:rsidR="00806678" w:rsidRDefault="00834DBF">
              <w:pPr>
                <w:rPr>
                  <w:szCs w:val="21"/>
                </w:rPr>
              </w:pPr>
              <w:r>
                <w:rPr>
                  <w:rFonts w:hint="eastAsia"/>
                  <w:szCs w:val="21"/>
                </w:rPr>
                <w:t>无</w:t>
              </w:r>
            </w:p>
          </w:sdtContent>
        </w:sdt>
      </w:sdtContent>
    </w:sdt>
    <w:p w:rsidR="00806678" w:rsidRDefault="00806678">
      <w:pPr>
        <w:rPr>
          <w:szCs w:val="21"/>
        </w:rPr>
      </w:pPr>
    </w:p>
    <w:p w:rsidR="00806678" w:rsidRDefault="00B16377" w:rsidP="00FF17C7">
      <w:pPr>
        <w:pStyle w:val="3"/>
        <w:numPr>
          <w:ilvl w:val="0"/>
          <w:numId w:val="18"/>
        </w:numPr>
        <w:tabs>
          <w:tab w:val="left" w:pos="504"/>
        </w:tabs>
        <w:rPr>
          <w:rFonts w:ascii="宋体" w:hAnsi="宋体"/>
          <w:szCs w:val="21"/>
        </w:rPr>
      </w:pPr>
      <w:r>
        <w:rPr>
          <w:rFonts w:ascii="宋体" w:hAnsi="宋体" w:cs="宋体" w:hint="eastAsia"/>
          <w:bCs w:val="0"/>
          <w:kern w:val="0"/>
          <w:szCs w:val="21"/>
        </w:rPr>
        <w:t>其</w:t>
      </w:r>
      <w:r>
        <w:rPr>
          <w:rFonts w:ascii="宋体" w:hAnsi="宋体" w:hint="eastAsia"/>
          <w:szCs w:val="21"/>
        </w:rPr>
        <w:t>他权益工具</w:t>
      </w:r>
    </w:p>
    <w:sdt>
      <w:sdtPr>
        <w:rPr>
          <w:rFonts w:ascii="宋体" w:eastAsia="宋体" w:hAnsi="宋体" w:cs="宋体" w:hint="eastAsia"/>
          <w:b w:val="0"/>
          <w:bCs w:val="0"/>
          <w:kern w:val="0"/>
          <w:szCs w:val="24"/>
        </w:rPr>
        <w:alias w:val="模块:期末发行在外的优先股、永续债等其他金融工具基本情况"/>
        <w:tag w:val="_SEC_6fed13d34fa44eddb1a893d7efc5d06b"/>
        <w:id w:val="9342092"/>
        <w:lock w:val="sdtLocked"/>
        <w:placeholder>
          <w:docPart w:val="GBC22222222222222222222222222222"/>
        </w:placeholder>
      </w:sdtPr>
      <w:sdtEndPr>
        <w:rPr>
          <w:rFonts w:hint="default"/>
        </w:rPr>
      </w:sdtEndPr>
      <w:sdtContent>
        <w:p w:rsidR="00806678" w:rsidRDefault="00B16377" w:rsidP="00FF17C7">
          <w:pPr>
            <w:pStyle w:val="4"/>
            <w:numPr>
              <w:ilvl w:val="0"/>
              <w:numId w:val="99"/>
            </w:numPr>
            <w:ind w:left="426" w:hanging="426"/>
          </w:pPr>
          <w:r>
            <w:rPr>
              <w:rFonts w:hint="eastAsia"/>
            </w:rPr>
            <w:t>期末发行在外的优先股、永续债等其他金融工具基本情况</w:t>
          </w:r>
        </w:p>
        <w:sdt>
          <w:sdtPr>
            <w:alias w:val="是否适用：期末发行在外的优先股、永续债等其他金融工具基本情况[双击切换]"/>
            <w:tag w:val="_GBC_f7317c6562b94e9792fab1b748cf4eee"/>
            <w:id w:val="580953713"/>
            <w:lock w:val="sdtLocked"/>
            <w:placeholder>
              <w:docPart w:val="GBC22222222222222222222222222222"/>
            </w:placeholder>
          </w:sdtPr>
          <w:sdtContent>
            <w:p w:rsidR="00806678" w:rsidRDefault="00F80B6C">
              <w:r>
                <w:fldChar w:fldCharType="begin"/>
              </w:r>
              <w:r w:rsidR="003A30DA">
                <w:instrText xml:space="preserve">MACROBUTTON  SnrToggleCheckbox √适用 </w:instrText>
              </w:r>
              <w:r>
                <w:fldChar w:fldCharType="end"/>
              </w:r>
              <w:r>
                <w:fldChar w:fldCharType="begin"/>
              </w:r>
              <w:r w:rsidR="003A30DA">
                <w:instrText xml:space="preserve"> MACROBUTTON  SnrToggleCheckbox □不适用 </w:instrText>
              </w:r>
              <w:r>
                <w:fldChar w:fldCharType="end"/>
              </w:r>
            </w:p>
          </w:sdtContent>
        </w:sdt>
        <w:sdt>
          <w:sdtPr>
            <w:alias w:val="其他权益工具下期末发行在外的优先股、永续债等其他金融工具基本情况的说明"/>
            <w:tag w:val="_GBC_32bb6ebd595e45c5ae3e9c4589265a7e"/>
            <w:id w:val="-1998801003"/>
            <w:lock w:val="sdtLocked"/>
            <w:placeholder>
              <w:docPart w:val="GBC22222222222222222222222222222"/>
            </w:placeholder>
          </w:sdtPr>
          <w:sdtContent>
            <w:p w:rsidR="003A30DA" w:rsidRDefault="003A30DA"/>
            <w:tbl>
              <w:tblPr>
                <w:tblW w:w="897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28" w:type="dxa"/>
                </w:tblCellMar>
                <w:tblLook w:val="04A0"/>
              </w:tblPr>
              <w:tblGrid>
                <w:gridCol w:w="1265"/>
                <w:gridCol w:w="1077"/>
                <w:gridCol w:w="794"/>
                <w:gridCol w:w="794"/>
                <w:gridCol w:w="794"/>
                <w:gridCol w:w="907"/>
                <w:gridCol w:w="907"/>
                <w:gridCol w:w="1077"/>
                <w:gridCol w:w="680"/>
                <w:gridCol w:w="680"/>
              </w:tblGrid>
              <w:tr w:rsidR="003A30DA" w:rsidRPr="003A30DA" w:rsidTr="008D27A8">
                <w:trPr>
                  <w:jc w:val="right"/>
                </w:trPr>
                <w:tc>
                  <w:tcPr>
                    <w:tcW w:w="1265" w:type="dxa"/>
                    <w:vAlign w:val="center"/>
                  </w:tcPr>
                  <w:p w:rsidR="003A30DA" w:rsidRPr="00422D5A" w:rsidRDefault="003A30DA" w:rsidP="008D27A8">
                    <w:pPr>
                      <w:widowControl w:val="0"/>
                      <w:snapToGrid w:val="0"/>
                      <w:ind w:left="125" w:hanging="125"/>
                      <w:jc w:val="center"/>
                      <w:rPr>
                        <w:rFonts w:ascii="Arial" w:eastAsia="微软雅黑" w:hAnsi="Arial" w:cs="Times New Roman"/>
                        <w:kern w:val="2"/>
                      </w:rPr>
                    </w:pPr>
                    <w:bookmarkStart w:id="237" w:name="_Hlk131681128"/>
                    <w:r w:rsidRPr="00422D5A">
                      <w:rPr>
                        <w:rFonts w:ascii="Arial" w:eastAsia="微软雅黑" w:hAnsi="Arial" w:cs="Times New Roman"/>
                        <w:kern w:val="2"/>
                        <w:sz w:val="12"/>
                      </w:rPr>
                      <w:t>发行在外的</w:t>
                    </w:r>
                    <w:r w:rsidRPr="00422D5A">
                      <w:rPr>
                        <w:rFonts w:ascii="Arial" w:eastAsia="微软雅黑" w:hAnsi="Arial" w:cs="Times New Roman"/>
                        <w:kern w:val="2"/>
                        <w:sz w:val="12"/>
                      </w:rPr>
                      <w:br/>
                    </w:r>
                    <w:r w:rsidRPr="00422D5A">
                      <w:rPr>
                        <w:rFonts w:ascii="Arial" w:eastAsia="微软雅黑" w:hAnsi="Arial" w:cs="Times New Roman"/>
                        <w:kern w:val="2"/>
                        <w:sz w:val="12"/>
                      </w:rPr>
                      <w:t>金融工具</w:t>
                    </w:r>
                  </w:p>
                </w:tc>
                <w:tc>
                  <w:tcPr>
                    <w:tcW w:w="1077" w:type="dxa"/>
                    <w:vAlign w:val="center"/>
                  </w:tcPr>
                  <w:p w:rsidR="003A30DA" w:rsidRPr="00422D5A" w:rsidRDefault="003A30DA" w:rsidP="008D27A8">
                    <w:pPr>
                      <w:widowControl w:val="0"/>
                      <w:snapToGrid w:val="0"/>
                      <w:jc w:val="center"/>
                      <w:rPr>
                        <w:rFonts w:ascii="Arial" w:eastAsia="微软雅黑" w:hAnsi="Arial" w:cs="Times New Roman"/>
                        <w:kern w:val="2"/>
                      </w:rPr>
                    </w:pPr>
                    <w:r w:rsidRPr="00422D5A">
                      <w:rPr>
                        <w:rFonts w:ascii="Arial" w:eastAsia="微软雅黑" w:hAnsi="Arial" w:cs="Times New Roman"/>
                        <w:kern w:val="2"/>
                        <w:sz w:val="12"/>
                      </w:rPr>
                      <w:t>发行时间</w:t>
                    </w:r>
                  </w:p>
                </w:tc>
                <w:tc>
                  <w:tcPr>
                    <w:tcW w:w="794" w:type="dxa"/>
                    <w:vAlign w:val="center"/>
                  </w:tcPr>
                  <w:p w:rsidR="003A30DA" w:rsidRPr="00422D5A" w:rsidRDefault="003A30DA" w:rsidP="008D27A8">
                    <w:pPr>
                      <w:widowControl w:val="0"/>
                      <w:snapToGrid w:val="0"/>
                      <w:jc w:val="center"/>
                      <w:rPr>
                        <w:rFonts w:ascii="Arial" w:eastAsia="微软雅黑" w:hAnsi="Arial" w:cs="Times New Roman"/>
                        <w:kern w:val="2"/>
                      </w:rPr>
                    </w:pPr>
                    <w:r w:rsidRPr="00422D5A">
                      <w:rPr>
                        <w:rFonts w:ascii="Arial" w:eastAsia="微软雅黑" w:hAnsi="Arial" w:cs="Times New Roman"/>
                        <w:kern w:val="2"/>
                        <w:sz w:val="12"/>
                      </w:rPr>
                      <w:t>会计分类</w:t>
                    </w:r>
                  </w:p>
                </w:tc>
                <w:tc>
                  <w:tcPr>
                    <w:tcW w:w="794" w:type="dxa"/>
                    <w:vAlign w:val="center"/>
                  </w:tcPr>
                  <w:p w:rsidR="003A30DA" w:rsidRPr="00422D5A" w:rsidRDefault="003A30DA" w:rsidP="008D27A8">
                    <w:pPr>
                      <w:widowControl w:val="0"/>
                      <w:snapToGrid w:val="0"/>
                      <w:jc w:val="center"/>
                      <w:rPr>
                        <w:rFonts w:ascii="Arial" w:eastAsia="微软雅黑" w:hAnsi="Arial" w:cs="Times New Roman"/>
                        <w:kern w:val="2"/>
                      </w:rPr>
                    </w:pPr>
                    <w:r w:rsidRPr="00422D5A">
                      <w:rPr>
                        <w:rFonts w:ascii="Arial" w:eastAsia="微软雅黑" w:hAnsi="Arial" w:cs="Times New Roman"/>
                        <w:kern w:val="2"/>
                        <w:sz w:val="12"/>
                      </w:rPr>
                      <w:t>股利率</w:t>
                    </w:r>
                    <w:r w:rsidRPr="00422D5A">
                      <w:rPr>
                        <w:rFonts w:ascii="Arial" w:eastAsia="微软雅黑" w:hAnsi="Arial" w:cs="Times New Roman"/>
                        <w:kern w:val="2"/>
                        <w:sz w:val="12"/>
                      </w:rPr>
                      <w:br/>
                    </w:r>
                    <w:r w:rsidRPr="00422D5A">
                      <w:rPr>
                        <w:rFonts w:ascii="Arial" w:eastAsia="微软雅黑" w:hAnsi="Arial" w:cs="Times New Roman"/>
                        <w:kern w:val="2"/>
                        <w:sz w:val="12"/>
                      </w:rPr>
                      <w:t>或利息率</w:t>
                    </w:r>
                  </w:p>
                </w:tc>
                <w:tc>
                  <w:tcPr>
                    <w:tcW w:w="794" w:type="dxa"/>
                    <w:vAlign w:val="center"/>
                  </w:tcPr>
                  <w:p w:rsidR="003A30DA" w:rsidRPr="00422D5A" w:rsidRDefault="003A30DA" w:rsidP="008D27A8">
                    <w:pPr>
                      <w:widowControl w:val="0"/>
                      <w:snapToGrid w:val="0"/>
                      <w:jc w:val="center"/>
                      <w:rPr>
                        <w:rFonts w:ascii="Arial" w:eastAsia="微软雅黑" w:hAnsi="Arial" w:cs="Times New Roman"/>
                        <w:kern w:val="2"/>
                      </w:rPr>
                    </w:pPr>
                    <w:r w:rsidRPr="00422D5A">
                      <w:rPr>
                        <w:rFonts w:ascii="Arial" w:eastAsia="微软雅黑" w:hAnsi="Arial" w:cs="Times New Roman"/>
                        <w:kern w:val="2"/>
                        <w:sz w:val="12"/>
                      </w:rPr>
                      <w:t>发行价格</w:t>
                    </w:r>
                  </w:p>
                </w:tc>
                <w:tc>
                  <w:tcPr>
                    <w:tcW w:w="907" w:type="dxa"/>
                    <w:vAlign w:val="center"/>
                  </w:tcPr>
                  <w:p w:rsidR="003A30DA" w:rsidRPr="00422D5A" w:rsidRDefault="003A30DA" w:rsidP="008D27A8">
                    <w:pPr>
                      <w:widowControl w:val="0"/>
                      <w:snapToGrid w:val="0"/>
                      <w:jc w:val="center"/>
                      <w:rPr>
                        <w:rFonts w:ascii="Arial" w:eastAsia="微软雅黑" w:hAnsi="Arial" w:cs="Times New Roman"/>
                        <w:kern w:val="2"/>
                      </w:rPr>
                    </w:pPr>
                    <w:r w:rsidRPr="00422D5A">
                      <w:rPr>
                        <w:rFonts w:ascii="Arial" w:eastAsia="微软雅黑" w:hAnsi="Arial" w:cs="Times New Roman"/>
                        <w:kern w:val="2"/>
                        <w:sz w:val="12"/>
                      </w:rPr>
                      <w:t>数量</w:t>
                    </w:r>
                  </w:p>
                </w:tc>
                <w:tc>
                  <w:tcPr>
                    <w:tcW w:w="907" w:type="dxa"/>
                    <w:vAlign w:val="center"/>
                  </w:tcPr>
                  <w:p w:rsidR="003A30DA" w:rsidRPr="00422D5A" w:rsidRDefault="003A30DA" w:rsidP="008D27A8">
                    <w:pPr>
                      <w:widowControl w:val="0"/>
                      <w:snapToGrid w:val="0"/>
                      <w:jc w:val="center"/>
                      <w:rPr>
                        <w:rFonts w:ascii="Arial" w:eastAsia="微软雅黑" w:hAnsi="Arial" w:cs="Times New Roman"/>
                        <w:kern w:val="2"/>
                      </w:rPr>
                    </w:pPr>
                    <w:r w:rsidRPr="00422D5A">
                      <w:rPr>
                        <w:rFonts w:ascii="Arial" w:eastAsia="微软雅黑" w:hAnsi="Arial" w:cs="Times New Roman"/>
                        <w:kern w:val="2"/>
                        <w:sz w:val="12"/>
                      </w:rPr>
                      <w:t>金额</w:t>
                    </w:r>
                  </w:p>
                </w:tc>
                <w:tc>
                  <w:tcPr>
                    <w:tcW w:w="1077" w:type="dxa"/>
                    <w:vAlign w:val="center"/>
                  </w:tcPr>
                  <w:p w:rsidR="003A30DA" w:rsidRPr="00422D5A" w:rsidRDefault="003A30DA" w:rsidP="008D27A8">
                    <w:pPr>
                      <w:widowControl w:val="0"/>
                      <w:snapToGrid w:val="0"/>
                      <w:jc w:val="center"/>
                      <w:rPr>
                        <w:rFonts w:ascii="Arial" w:eastAsia="微软雅黑" w:hAnsi="Arial" w:cs="Times New Roman"/>
                        <w:kern w:val="2"/>
                      </w:rPr>
                    </w:pPr>
                    <w:r w:rsidRPr="00422D5A">
                      <w:rPr>
                        <w:rFonts w:ascii="Arial" w:eastAsia="微软雅黑" w:hAnsi="Arial" w:cs="Times New Roman"/>
                        <w:kern w:val="2"/>
                        <w:sz w:val="12"/>
                      </w:rPr>
                      <w:t>到期日或续期情况</w:t>
                    </w:r>
                  </w:p>
                </w:tc>
                <w:tc>
                  <w:tcPr>
                    <w:tcW w:w="680" w:type="dxa"/>
                    <w:vAlign w:val="center"/>
                  </w:tcPr>
                  <w:p w:rsidR="003A30DA" w:rsidRPr="00422D5A" w:rsidRDefault="003A30DA" w:rsidP="008D27A8">
                    <w:pPr>
                      <w:widowControl w:val="0"/>
                      <w:snapToGrid w:val="0"/>
                      <w:jc w:val="center"/>
                      <w:rPr>
                        <w:rFonts w:ascii="Arial" w:eastAsia="微软雅黑" w:hAnsi="Arial" w:cs="Times New Roman"/>
                        <w:kern w:val="2"/>
                      </w:rPr>
                    </w:pPr>
                    <w:r w:rsidRPr="00422D5A">
                      <w:rPr>
                        <w:rFonts w:ascii="Arial" w:eastAsia="微软雅黑" w:hAnsi="Arial" w:cs="Times New Roman"/>
                        <w:kern w:val="2"/>
                        <w:sz w:val="12"/>
                      </w:rPr>
                      <w:t>转股条件</w:t>
                    </w:r>
                  </w:p>
                </w:tc>
                <w:tc>
                  <w:tcPr>
                    <w:tcW w:w="680" w:type="dxa"/>
                    <w:vAlign w:val="center"/>
                  </w:tcPr>
                  <w:p w:rsidR="003A30DA" w:rsidRPr="00422D5A" w:rsidRDefault="003A30DA" w:rsidP="008D27A8">
                    <w:pPr>
                      <w:widowControl w:val="0"/>
                      <w:snapToGrid w:val="0"/>
                      <w:jc w:val="center"/>
                      <w:rPr>
                        <w:rFonts w:ascii="Arial" w:eastAsia="微软雅黑" w:hAnsi="Arial" w:cs="Times New Roman"/>
                        <w:kern w:val="2"/>
                      </w:rPr>
                    </w:pPr>
                    <w:r w:rsidRPr="00422D5A">
                      <w:rPr>
                        <w:rFonts w:ascii="Arial" w:eastAsia="微软雅黑" w:hAnsi="Arial" w:cs="Times New Roman"/>
                        <w:kern w:val="2"/>
                        <w:sz w:val="12"/>
                      </w:rPr>
                      <w:t>转换情况</w:t>
                    </w:r>
                  </w:p>
                </w:tc>
              </w:tr>
              <w:tr w:rsidR="003A30DA" w:rsidRPr="003A30DA" w:rsidTr="005C75F9">
                <w:trPr>
                  <w:jc w:val="right"/>
                </w:trPr>
                <w:tc>
                  <w:tcPr>
                    <w:tcW w:w="1265" w:type="dxa"/>
                    <w:vAlign w:val="center"/>
                  </w:tcPr>
                  <w:p w:rsidR="003A30DA" w:rsidRPr="00422D5A" w:rsidRDefault="003A30DA" w:rsidP="005C75F9">
                    <w:pPr>
                      <w:widowControl w:val="0"/>
                      <w:snapToGrid w:val="0"/>
                      <w:ind w:left="125" w:hanging="125"/>
                      <w:jc w:val="center"/>
                      <w:rPr>
                        <w:rFonts w:ascii="Arial" w:eastAsia="微软雅黑" w:hAnsi="Arial" w:cs="Times New Roman"/>
                        <w:kern w:val="2"/>
                      </w:rPr>
                    </w:pPr>
                    <w:r w:rsidRPr="00422D5A">
                      <w:rPr>
                        <w:rFonts w:ascii="Arial" w:eastAsia="微软雅黑" w:hAnsi="Arial" w:cs="Times New Roman"/>
                        <w:kern w:val="2"/>
                        <w:sz w:val="12"/>
                      </w:rPr>
                      <w:t>可转换公司债券</w:t>
                    </w:r>
                  </w:p>
                </w:tc>
                <w:tc>
                  <w:tcPr>
                    <w:tcW w:w="1077" w:type="dxa"/>
                    <w:vAlign w:val="center"/>
                  </w:tcPr>
                  <w:p w:rsidR="003A30DA" w:rsidRPr="00422D5A" w:rsidRDefault="003A30DA" w:rsidP="005C75F9">
                    <w:pPr>
                      <w:widowControl w:val="0"/>
                      <w:snapToGrid w:val="0"/>
                      <w:jc w:val="center"/>
                      <w:rPr>
                        <w:rFonts w:ascii="Arial" w:eastAsia="微软雅黑" w:hAnsi="Arial" w:cs="Times New Roman"/>
                        <w:kern w:val="2"/>
                      </w:rPr>
                    </w:pPr>
                    <w:r w:rsidRPr="00422D5A">
                      <w:rPr>
                        <w:rFonts w:ascii="Arial" w:eastAsia="微软雅黑" w:hAnsi="Arial" w:cs="Times New Roman"/>
                        <w:kern w:val="2"/>
                        <w:sz w:val="12"/>
                      </w:rPr>
                      <w:t>2020</w:t>
                    </w:r>
                    <w:r w:rsidRPr="00422D5A">
                      <w:rPr>
                        <w:rFonts w:ascii="Arial" w:eastAsia="微软雅黑" w:hAnsi="Arial" w:cs="Times New Roman"/>
                        <w:kern w:val="2"/>
                        <w:sz w:val="12"/>
                      </w:rPr>
                      <w:t>年</w:t>
                    </w:r>
                    <w:r w:rsidRPr="00422D5A">
                      <w:rPr>
                        <w:rFonts w:ascii="Arial" w:eastAsia="微软雅黑" w:hAnsi="Arial" w:cs="Times New Roman"/>
                        <w:kern w:val="2"/>
                        <w:sz w:val="12"/>
                      </w:rPr>
                      <w:t>12</w:t>
                    </w:r>
                    <w:r w:rsidRPr="00422D5A">
                      <w:rPr>
                        <w:rFonts w:ascii="Arial" w:eastAsia="微软雅黑" w:hAnsi="Arial" w:cs="Times New Roman"/>
                        <w:kern w:val="2"/>
                        <w:sz w:val="12"/>
                      </w:rPr>
                      <w:t>月</w:t>
                    </w:r>
                    <w:r w:rsidRPr="00422D5A">
                      <w:rPr>
                        <w:rFonts w:ascii="Arial" w:eastAsia="微软雅黑" w:hAnsi="Arial" w:cs="Times New Roman"/>
                        <w:kern w:val="2"/>
                        <w:sz w:val="12"/>
                      </w:rPr>
                      <w:t>14</w:t>
                    </w:r>
                    <w:r w:rsidRPr="00422D5A">
                      <w:rPr>
                        <w:rFonts w:ascii="Arial" w:eastAsia="微软雅黑" w:hAnsi="Arial" w:cs="Times New Roman"/>
                        <w:kern w:val="2"/>
                        <w:sz w:val="12"/>
                      </w:rPr>
                      <w:t>日</w:t>
                    </w:r>
                  </w:p>
                </w:tc>
                <w:tc>
                  <w:tcPr>
                    <w:tcW w:w="794" w:type="dxa"/>
                    <w:vAlign w:val="center"/>
                  </w:tcPr>
                  <w:p w:rsidR="003A30DA" w:rsidRPr="00422D5A" w:rsidRDefault="003A30DA" w:rsidP="005C75F9">
                    <w:pPr>
                      <w:widowControl w:val="0"/>
                      <w:snapToGrid w:val="0"/>
                      <w:jc w:val="center"/>
                      <w:rPr>
                        <w:rFonts w:ascii="Arial" w:eastAsia="微软雅黑" w:hAnsi="Arial" w:cs="Times New Roman"/>
                        <w:kern w:val="2"/>
                      </w:rPr>
                    </w:pPr>
                    <w:r w:rsidRPr="00422D5A">
                      <w:rPr>
                        <w:rFonts w:ascii="Arial" w:eastAsia="微软雅黑" w:hAnsi="Arial" w:cs="Times New Roman"/>
                        <w:kern w:val="2"/>
                        <w:sz w:val="12"/>
                      </w:rPr>
                      <w:t>复合金融工具</w:t>
                    </w:r>
                  </w:p>
                </w:tc>
                <w:tc>
                  <w:tcPr>
                    <w:tcW w:w="794" w:type="dxa"/>
                    <w:vAlign w:val="bottom"/>
                  </w:tcPr>
                  <w:p w:rsidR="003A30DA" w:rsidRPr="00422D5A" w:rsidRDefault="003A30DA" w:rsidP="00422D5A">
                    <w:pPr>
                      <w:widowControl w:val="0"/>
                      <w:snapToGrid w:val="0"/>
                      <w:jc w:val="center"/>
                      <w:rPr>
                        <w:rFonts w:ascii="Arial" w:eastAsia="微软雅黑" w:hAnsi="Arial" w:cs="Times New Roman"/>
                        <w:kern w:val="2"/>
                      </w:rPr>
                    </w:pPr>
                    <w:r w:rsidRPr="00422D5A">
                      <w:rPr>
                        <w:rFonts w:ascii="Arial" w:eastAsia="微软雅黑" w:hAnsi="Arial" w:cs="Times New Roman"/>
                        <w:kern w:val="2"/>
                        <w:sz w:val="12"/>
                      </w:rPr>
                      <w:t>/</w:t>
                    </w:r>
                  </w:p>
                </w:tc>
                <w:tc>
                  <w:tcPr>
                    <w:tcW w:w="794" w:type="dxa"/>
                    <w:vAlign w:val="center"/>
                  </w:tcPr>
                  <w:p w:rsidR="003A30DA" w:rsidRPr="00422D5A" w:rsidRDefault="003A30DA" w:rsidP="005C75F9">
                    <w:pPr>
                      <w:widowControl w:val="0"/>
                      <w:snapToGrid w:val="0"/>
                      <w:jc w:val="center"/>
                      <w:rPr>
                        <w:rFonts w:ascii="Arial" w:eastAsia="微软雅黑" w:hAnsi="Arial" w:cs="Times New Roman"/>
                        <w:kern w:val="2"/>
                      </w:rPr>
                    </w:pPr>
                    <w:r w:rsidRPr="00422D5A">
                      <w:rPr>
                        <w:rFonts w:ascii="Arial" w:eastAsia="微软雅黑" w:hAnsi="Arial" w:cs="Times New Roman"/>
                        <w:kern w:val="2"/>
                        <w:sz w:val="12"/>
                      </w:rPr>
                      <w:t>100</w:t>
                    </w:r>
                  </w:p>
                </w:tc>
                <w:tc>
                  <w:tcPr>
                    <w:tcW w:w="907" w:type="dxa"/>
                    <w:vAlign w:val="center"/>
                  </w:tcPr>
                  <w:p w:rsidR="003A30DA" w:rsidRPr="00422D5A" w:rsidRDefault="003A30DA" w:rsidP="005C75F9">
                    <w:pPr>
                      <w:widowControl w:val="0"/>
                      <w:snapToGrid w:val="0"/>
                      <w:jc w:val="center"/>
                      <w:rPr>
                        <w:rFonts w:ascii="Arial" w:eastAsia="微软雅黑" w:hAnsi="Arial" w:cs="Times New Roman"/>
                        <w:kern w:val="2"/>
                      </w:rPr>
                    </w:pPr>
                    <w:r w:rsidRPr="00422D5A">
                      <w:rPr>
                        <w:rFonts w:ascii="Arial" w:eastAsia="微软雅黑" w:hAnsi="Arial" w:cs="Times New Roman"/>
                        <w:kern w:val="2"/>
                        <w:sz w:val="12"/>
                      </w:rPr>
                      <w:t>319,988,590</w:t>
                    </w:r>
                  </w:p>
                </w:tc>
                <w:tc>
                  <w:tcPr>
                    <w:tcW w:w="907" w:type="dxa"/>
                    <w:vAlign w:val="center"/>
                  </w:tcPr>
                  <w:p w:rsidR="003A30DA" w:rsidRPr="00422D5A" w:rsidRDefault="003A30DA" w:rsidP="005C75F9">
                    <w:pPr>
                      <w:widowControl w:val="0"/>
                      <w:snapToGrid w:val="0"/>
                      <w:jc w:val="center"/>
                      <w:rPr>
                        <w:rFonts w:ascii="Arial" w:eastAsia="微软雅黑" w:hAnsi="Arial" w:cs="Times New Roman"/>
                        <w:kern w:val="2"/>
                      </w:rPr>
                    </w:pPr>
                    <w:r w:rsidRPr="00422D5A">
                      <w:rPr>
                        <w:rFonts w:ascii="Arial" w:eastAsia="微软雅黑" w:hAnsi="Arial" w:cs="Times New Roman"/>
                        <w:kern w:val="2"/>
                        <w:sz w:val="12"/>
                      </w:rPr>
                      <w:t>31,998,859,000</w:t>
                    </w:r>
                  </w:p>
                </w:tc>
                <w:tc>
                  <w:tcPr>
                    <w:tcW w:w="1077" w:type="dxa"/>
                    <w:vAlign w:val="center"/>
                  </w:tcPr>
                  <w:p w:rsidR="003A30DA" w:rsidRPr="00422D5A" w:rsidRDefault="003A30DA" w:rsidP="005C75F9">
                    <w:pPr>
                      <w:widowControl w:val="0"/>
                      <w:snapToGrid w:val="0"/>
                      <w:jc w:val="center"/>
                      <w:rPr>
                        <w:rFonts w:ascii="Arial" w:eastAsia="微软雅黑" w:hAnsi="Arial" w:cs="Times New Roman"/>
                        <w:kern w:val="2"/>
                      </w:rPr>
                    </w:pPr>
                    <w:r w:rsidRPr="00422D5A">
                      <w:rPr>
                        <w:rFonts w:ascii="Arial" w:eastAsia="微软雅黑" w:hAnsi="Arial" w:cs="Times New Roman"/>
                        <w:kern w:val="2"/>
                        <w:sz w:val="12"/>
                      </w:rPr>
                      <w:t>2026</w:t>
                    </w:r>
                    <w:r w:rsidRPr="00422D5A">
                      <w:rPr>
                        <w:rFonts w:ascii="Arial" w:eastAsia="微软雅黑" w:hAnsi="Arial" w:cs="Times New Roman"/>
                        <w:kern w:val="2"/>
                        <w:sz w:val="12"/>
                      </w:rPr>
                      <w:t>年</w:t>
                    </w:r>
                    <w:r w:rsidRPr="00422D5A">
                      <w:rPr>
                        <w:rFonts w:ascii="Arial" w:eastAsia="微软雅黑" w:hAnsi="Arial" w:cs="Times New Roman"/>
                        <w:kern w:val="2"/>
                        <w:sz w:val="12"/>
                      </w:rPr>
                      <w:t>12</w:t>
                    </w:r>
                    <w:r w:rsidRPr="00422D5A">
                      <w:rPr>
                        <w:rFonts w:ascii="Arial" w:eastAsia="微软雅黑" w:hAnsi="Arial" w:cs="Times New Roman"/>
                        <w:kern w:val="2"/>
                        <w:sz w:val="12"/>
                      </w:rPr>
                      <w:t>月</w:t>
                    </w:r>
                    <w:r w:rsidRPr="00422D5A">
                      <w:rPr>
                        <w:rFonts w:ascii="Arial" w:eastAsia="微软雅黑" w:hAnsi="Arial" w:cs="Times New Roman"/>
                        <w:kern w:val="2"/>
                        <w:sz w:val="12"/>
                      </w:rPr>
                      <w:t>14</w:t>
                    </w:r>
                    <w:r w:rsidRPr="00422D5A">
                      <w:rPr>
                        <w:rFonts w:ascii="Arial" w:eastAsia="微软雅黑" w:hAnsi="Arial" w:cs="Times New Roman"/>
                        <w:kern w:val="2"/>
                        <w:sz w:val="12"/>
                      </w:rPr>
                      <w:t>日</w:t>
                    </w:r>
                  </w:p>
                </w:tc>
                <w:tc>
                  <w:tcPr>
                    <w:tcW w:w="680" w:type="dxa"/>
                    <w:vAlign w:val="bottom"/>
                  </w:tcPr>
                  <w:p w:rsidR="003A30DA" w:rsidRPr="00422D5A" w:rsidRDefault="003A30DA" w:rsidP="00422D5A">
                    <w:pPr>
                      <w:widowControl w:val="0"/>
                      <w:snapToGrid w:val="0"/>
                      <w:jc w:val="center"/>
                      <w:rPr>
                        <w:rFonts w:ascii="Arial" w:eastAsia="微软雅黑" w:hAnsi="Arial" w:cs="Times New Roman"/>
                        <w:kern w:val="2"/>
                      </w:rPr>
                    </w:pPr>
                    <w:r w:rsidRPr="00422D5A">
                      <w:rPr>
                        <w:rFonts w:ascii="Arial" w:eastAsia="微软雅黑" w:hAnsi="Arial" w:cs="Times New Roman"/>
                        <w:kern w:val="2"/>
                        <w:sz w:val="12"/>
                      </w:rPr>
                      <w:t>自愿转股</w:t>
                    </w:r>
                  </w:p>
                </w:tc>
                <w:tc>
                  <w:tcPr>
                    <w:tcW w:w="680" w:type="dxa"/>
                    <w:vAlign w:val="bottom"/>
                  </w:tcPr>
                  <w:p w:rsidR="003A30DA" w:rsidRPr="00422D5A" w:rsidRDefault="00992997" w:rsidP="00422D5A">
                    <w:pPr>
                      <w:widowControl w:val="0"/>
                      <w:snapToGrid w:val="0"/>
                      <w:jc w:val="center"/>
                      <w:rPr>
                        <w:rFonts w:ascii="Arial" w:eastAsia="微软雅黑" w:hAnsi="Arial" w:cs="Times New Roman"/>
                        <w:kern w:val="2"/>
                      </w:rPr>
                    </w:pPr>
                    <w:r w:rsidRPr="00422D5A">
                      <w:rPr>
                        <w:rFonts w:ascii="Arial" w:eastAsia="微软雅黑" w:hAnsi="Arial" w:cs="Times New Roman" w:hint="eastAsia"/>
                        <w:kern w:val="2"/>
                        <w:sz w:val="12"/>
                      </w:rPr>
                      <w:t>见</w:t>
                    </w:r>
                    <w:r w:rsidR="003A30DA" w:rsidRPr="00422D5A">
                      <w:rPr>
                        <w:rFonts w:ascii="Arial" w:eastAsia="微软雅黑" w:hAnsi="Arial" w:cs="Times New Roman"/>
                        <w:kern w:val="2"/>
                        <w:sz w:val="12"/>
                      </w:rPr>
                      <w:t>注</w:t>
                    </w:r>
                    <w:r w:rsidRPr="00422D5A">
                      <w:rPr>
                        <w:rFonts w:ascii="Arial" w:eastAsia="微软雅黑" w:hAnsi="Arial" w:cs="Times New Roman" w:hint="eastAsia"/>
                        <w:kern w:val="2"/>
                        <w:sz w:val="12"/>
                      </w:rPr>
                      <w:t>1</w:t>
                    </w:r>
                  </w:p>
                </w:tc>
              </w:tr>
            </w:tbl>
            <w:p w:rsidR="00806678" w:rsidRDefault="00F80B6C"/>
            <w:bookmarkEnd w:id="237" w:displacedByCustomXml="next"/>
          </w:sdtContent>
        </w:sdt>
      </w:sdtContent>
    </w:sdt>
    <w:bookmarkStart w:id="238" w:name="_Hlk89785156" w:displacedByCustomXml="next"/>
    <w:sdt>
      <w:sdtPr>
        <w:rPr>
          <w:rFonts w:ascii="宋体" w:eastAsia="宋体" w:hAnsi="宋体" w:cs="宋体" w:hint="eastAsia"/>
          <w:b w:val="0"/>
          <w:bCs w:val="0"/>
          <w:kern w:val="0"/>
          <w:szCs w:val="24"/>
        </w:rPr>
        <w:alias w:val="模块:期末发行在外的优先股、永续债等金融工具变动情况表  发行..."/>
        <w:tag w:val="_SEC_e75bf2a97679482fb5fa8f87d691b026"/>
        <w:id w:val="-1668313940"/>
        <w:lock w:val="sdtLocked"/>
        <w:placeholder>
          <w:docPart w:val="GBC22222222222222222222222222222"/>
        </w:placeholder>
      </w:sdtPr>
      <w:sdtEndPr>
        <w:rPr>
          <w:rFonts w:hint="default"/>
          <w:sz w:val="14"/>
          <w:szCs w:val="14"/>
        </w:rPr>
      </w:sdtEndPr>
      <w:sdtContent>
        <w:p w:rsidR="00806678" w:rsidRDefault="00B16377" w:rsidP="00FF17C7">
          <w:pPr>
            <w:pStyle w:val="4"/>
            <w:numPr>
              <w:ilvl w:val="0"/>
              <w:numId w:val="99"/>
            </w:numPr>
            <w:ind w:left="426" w:hanging="426"/>
          </w:pPr>
          <w:r>
            <w:rPr>
              <w:rFonts w:hint="eastAsia"/>
            </w:rPr>
            <w:t>期末发行在外的优先股、永续债等金融工具变动情况表</w:t>
          </w:r>
        </w:p>
        <w:sdt>
          <w:sdtPr>
            <w:alias w:val="是否适用：期末发行在外的优先股、永续债等金融工具变动情况表_其他权益工具[双击切换]"/>
            <w:tag w:val="_GBC_894eb45c6bf3473785ba1a45bf437264"/>
            <w:id w:val="802588230"/>
            <w:lock w:val="sdtLocked"/>
            <w:placeholder>
              <w:docPart w:val="GBC22222222222222222222222222222"/>
            </w:placeholder>
          </w:sdtPr>
          <w:sdtContent>
            <w:p w:rsidR="00806678" w:rsidRDefault="00F80B6C">
              <w:r>
                <w:fldChar w:fldCharType="begin"/>
              </w:r>
              <w:r w:rsidR="003A30DA">
                <w:instrText xml:space="preserve">MACROBUTTON  SnrToggleCheckbox √适用 </w:instrText>
              </w:r>
              <w:r>
                <w:fldChar w:fldCharType="end"/>
              </w:r>
              <w:r>
                <w:fldChar w:fldCharType="begin"/>
              </w:r>
              <w:r w:rsidR="003A30DA">
                <w:instrText xml:space="preserve"> MACROBUTTON  SnrToggleCheckbox □不适用 </w:instrText>
              </w:r>
              <w:r>
                <w:fldChar w:fldCharType="end"/>
              </w:r>
            </w:p>
          </w:sdtContent>
        </w:sdt>
        <w:p w:rsidR="00806678" w:rsidRDefault="00B16377">
          <w:pPr>
            <w:jc w:val="right"/>
          </w:pPr>
          <w:r>
            <w:rPr>
              <w:rFonts w:hint="eastAsia"/>
            </w:rPr>
            <w:t>单位：</w:t>
          </w:r>
          <w:sdt>
            <w:sdtPr>
              <w:rPr>
                <w:rFonts w:hint="eastAsia"/>
              </w:rPr>
              <w:alias w:val="单位：期末发行在外的优先股、永续债等金融工具变动情况表"/>
              <w:tag w:val="_GBC_d2372fc5ff6d449398ab6e1c411fa976"/>
              <w:id w:val="-759364743"/>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期末发行在外的优先股、永续债等金融工具变动情况表"/>
              <w:tag w:val="_GBC_66ee05b2a4d0475f9a4ec5517301dec9"/>
              <w:id w:val="39902172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pPr w:leftFromText="180" w:rightFromText="180" w:vertAnchor="text" w:horzAnchor="margin" w:tblpY="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tblPr>
          <w:tblGrid>
            <w:gridCol w:w="1246"/>
            <w:gridCol w:w="1134"/>
            <w:gridCol w:w="1276"/>
            <w:gridCol w:w="567"/>
            <w:gridCol w:w="852"/>
            <w:gridCol w:w="786"/>
            <w:gridCol w:w="968"/>
            <w:gridCol w:w="1094"/>
            <w:gridCol w:w="1136"/>
          </w:tblGrid>
          <w:tr w:rsidR="003A30DA" w:rsidRPr="003A30DA" w:rsidTr="003A30DA">
            <w:trPr>
              <w:trHeight w:val="340"/>
            </w:trPr>
            <w:bookmarkEnd w:id="238" w:displacedByCustomXml="next"/>
            <w:sdt>
              <w:sdtPr>
                <w:rPr>
                  <w:sz w:val="14"/>
                  <w:szCs w:val="14"/>
                </w:rPr>
                <w:tag w:val="_PLD_df628908b5094c73bf63d2bbbc0f369b"/>
                <w:id w:val="-275023791"/>
                <w:lock w:val="sdtLocked"/>
              </w:sdtPr>
              <w:sdtContent>
                <w:tc>
                  <w:tcPr>
                    <w:tcW w:w="688" w:type="pct"/>
                    <w:vMerge w:val="restart"/>
                    <w:shd w:val="clear" w:color="auto" w:fill="auto"/>
                    <w:vAlign w:val="center"/>
                    <w:hideMark/>
                  </w:tcPr>
                  <w:p w:rsidR="003A30DA" w:rsidRPr="003A30DA" w:rsidRDefault="003A30DA" w:rsidP="00DB008B">
                    <w:pPr>
                      <w:jc w:val="center"/>
                      <w:rPr>
                        <w:sz w:val="14"/>
                        <w:szCs w:val="14"/>
                      </w:rPr>
                    </w:pPr>
                    <w:r w:rsidRPr="003A30DA">
                      <w:rPr>
                        <w:rFonts w:hint="eastAsia"/>
                        <w:sz w:val="14"/>
                        <w:szCs w:val="14"/>
                      </w:rPr>
                      <w:t>发行在外的金融工具</w:t>
                    </w:r>
                  </w:p>
                </w:tc>
              </w:sdtContent>
            </w:sdt>
            <w:sdt>
              <w:sdtPr>
                <w:rPr>
                  <w:sz w:val="14"/>
                  <w:szCs w:val="14"/>
                </w:rPr>
                <w:tag w:val="_PLD_fce65120208840efbe468c59d259be05"/>
                <w:id w:val="140010477"/>
                <w:lock w:val="sdtLocked"/>
              </w:sdtPr>
              <w:sdtContent>
                <w:tc>
                  <w:tcPr>
                    <w:tcW w:w="1330" w:type="pct"/>
                    <w:gridSpan w:val="2"/>
                    <w:shd w:val="clear" w:color="auto" w:fill="auto"/>
                    <w:vAlign w:val="center"/>
                    <w:hideMark/>
                  </w:tcPr>
                  <w:p w:rsidR="003A30DA" w:rsidRPr="003A30DA" w:rsidRDefault="003A30DA" w:rsidP="00DB008B">
                    <w:pPr>
                      <w:jc w:val="center"/>
                      <w:rPr>
                        <w:sz w:val="14"/>
                        <w:szCs w:val="14"/>
                      </w:rPr>
                    </w:pPr>
                    <w:r w:rsidRPr="003A30DA">
                      <w:rPr>
                        <w:rFonts w:hint="eastAsia"/>
                        <w:sz w:val="14"/>
                        <w:szCs w:val="14"/>
                      </w:rPr>
                      <w:t>期初</w:t>
                    </w:r>
                  </w:p>
                </w:tc>
              </w:sdtContent>
            </w:sdt>
            <w:sdt>
              <w:sdtPr>
                <w:rPr>
                  <w:sz w:val="14"/>
                  <w:szCs w:val="14"/>
                </w:rPr>
                <w:tag w:val="_PLD_18ce06e25fcb40258e1160c9b2b3e3ff"/>
                <w:id w:val="-869147537"/>
                <w:lock w:val="sdtLocked"/>
              </w:sdtPr>
              <w:sdtContent>
                <w:tc>
                  <w:tcPr>
                    <w:tcW w:w="783" w:type="pct"/>
                    <w:gridSpan w:val="2"/>
                    <w:shd w:val="clear" w:color="auto" w:fill="auto"/>
                    <w:vAlign w:val="center"/>
                    <w:hideMark/>
                  </w:tcPr>
                  <w:p w:rsidR="003A30DA" w:rsidRPr="003A30DA" w:rsidRDefault="003A30DA" w:rsidP="00DB008B">
                    <w:pPr>
                      <w:jc w:val="center"/>
                      <w:rPr>
                        <w:sz w:val="14"/>
                        <w:szCs w:val="14"/>
                      </w:rPr>
                    </w:pPr>
                    <w:r w:rsidRPr="003A30DA">
                      <w:rPr>
                        <w:rFonts w:hint="eastAsia"/>
                        <w:sz w:val="14"/>
                        <w:szCs w:val="14"/>
                      </w:rPr>
                      <w:t>本期增加</w:t>
                    </w:r>
                  </w:p>
                </w:tc>
              </w:sdtContent>
            </w:sdt>
            <w:sdt>
              <w:sdtPr>
                <w:rPr>
                  <w:sz w:val="14"/>
                  <w:szCs w:val="14"/>
                </w:rPr>
                <w:tag w:val="_PLD_845d97dab9324a1b938b3698bf77ae08"/>
                <w:id w:val="174770199"/>
                <w:lock w:val="sdtLocked"/>
              </w:sdtPr>
              <w:sdtContent>
                <w:tc>
                  <w:tcPr>
                    <w:tcW w:w="968" w:type="pct"/>
                    <w:gridSpan w:val="2"/>
                    <w:shd w:val="clear" w:color="auto" w:fill="auto"/>
                    <w:vAlign w:val="center"/>
                    <w:hideMark/>
                  </w:tcPr>
                  <w:p w:rsidR="003A30DA" w:rsidRPr="003A30DA" w:rsidRDefault="003A30DA" w:rsidP="00DB008B">
                    <w:pPr>
                      <w:jc w:val="center"/>
                      <w:rPr>
                        <w:sz w:val="14"/>
                        <w:szCs w:val="14"/>
                      </w:rPr>
                    </w:pPr>
                    <w:r w:rsidRPr="003A30DA">
                      <w:rPr>
                        <w:rFonts w:hint="eastAsia"/>
                        <w:sz w:val="14"/>
                        <w:szCs w:val="14"/>
                      </w:rPr>
                      <w:t>本期减少</w:t>
                    </w:r>
                  </w:p>
                </w:tc>
              </w:sdtContent>
            </w:sdt>
            <w:sdt>
              <w:sdtPr>
                <w:rPr>
                  <w:sz w:val="14"/>
                  <w:szCs w:val="14"/>
                </w:rPr>
                <w:tag w:val="_PLD_c9583d25c4ef43689e2163e07818032b"/>
                <w:id w:val="1968706412"/>
                <w:lock w:val="sdtLocked"/>
              </w:sdtPr>
              <w:sdtContent>
                <w:tc>
                  <w:tcPr>
                    <w:tcW w:w="1231" w:type="pct"/>
                    <w:gridSpan w:val="2"/>
                    <w:shd w:val="clear" w:color="auto" w:fill="auto"/>
                    <w:vAlign w:val="center"/>
                    <w:hideMark/>
                  </w:tcPr>
                  <w:p w:rsidR="003A30DA" w:rsidRPr="003A30DA" w:rsidRDefault="003A30DA" w:rsidP="00DB008B">
                    <w:pPr>
                      <w:jc w:val="center"/>
                      <w:rPr>
                        <w:sz w:val="14"/>
                        <w:szCs w:val="14"/>
                      </w:rPr>
                    </w:pPr>
                    <w:r w:rsidRPr="003A30DA">
                      <w:rPr>
                        <w:rFonts w:hint="eastAsia"/>
                        <w:sz w:val="14"/>
                        <w:szCs w:val="14"/>
                      </w:rPr>
                      <w:t>期末</w:t>
                    </w:r>
                  </w:p>
                </w:tc>
              </w:sdtContent>
            </w:sdt>
          </w:tr>
          <w:tr w:rsidR="003A30DA" w:rsidRPr="003A30DA" w:rsidTr="003A30DA">
            <w:trPr>
              <w:trHeight w:val="340"/>
            </w:trPr>
            <w:tc>
              <w:tcPr>
                <w:tcW w:w="688" w:type="pct"/>
                <w:vMerge/>
                <w:shd w:val="clear" w:color="auto" w:fill="auto"/>
                <w:vAlign w:val="center"/>
                <w:hideMark/>
              </w:tcPr>
              <w:p w:rsidR="003A30DA" w:rsidRPr="003A30DA" w:rsidRDefault="003A30DA" w:rsidP="00DB008B">
                <w:pPr>
                  <w:jc w:val="center"/>
                  <w:rPr>
                    <w:sz w:val="14"/>
                    <w:szCs w:val="14"/>
                  </w:rPr>
                </w:pPr>
              </w:p>
            </w:tc>
            <w:sdt>
              <w:sdtPr>
                <w:rPr>
                  <w:sz w:val="14"/>
                  <w:szCs w:val="14"/>
                </w:rPr>
                <w:tag w:val="_PLD_45e61464bc5d4bc892736d90fbe1c1f7"/>
                <w:id w:val="1864090456"/>
                <w:lock w:val="sdtLocked"/>
              </w:sdtPr>
              <w:sdtContent>
                <w:tc>
                  <w:tcPr>
                    <w:tcW w:w="626" w:type="pct"/>
                    <w:shd w:val="clear" w:color="auto" w:fill="auto"/>
                    <w:vAlign w:val="center"/>
                    <w:hideMark/>
                  </w:tcPr>
                  <w:p w:rsidR="003A30DA" w:rsidRPr="003A30DA" w:rsidRDefault="003A30DA" w:rsidP="00DB008B">
                    <w:pPr>
                      <w:jc w:val="center"/>
                      <w:rPr>
                        <w:sz w:val="14"/>
                        <w:szCs w:val="14"/>
                      </w:rPr>
                    </w:pPr>
                    <w:r w:rsidRPr="003A30DA">
                      <w:rPr>
                        <w:rFonts w:hint="eastAsia"/>
                        <w:sz w:val="14"/>
                        <w:szCs w:val="14"/>
                      </w:rPr>
                      <w:t>数量</w:t>
                    </w:r>
                  </w:p>
                </w:tc>
              </w:sdtContent>
            </w:sdt>
            <w:sdt>
              <w:sdtPr>
                <w:rPr>
                  <w:sz w:val="14"/>
                  <w:szCs w:val="14"/>
                </w:rPr>
                <w:tag w:val="_PLD_c4afaacc073244569b1b7834fc03b329"/>
                <w:id w:val="1540933485"/>
                <w:lock w:val="sdtLocked"/>
              </w:sdtPr>
              <w:sdtContent>
                <w:tc>
                  <w:tcPr>
                    <w:tcW w:w="704" w:type="pct"/>
                    <w:shd w:val="clear" w:color="auto" w:fill="auto"/>
                    <w:vAlign w:val="center"/>
                    <w:hideMark/>
                  </w:tcPr>
                  <w:p w:rsidR="003A30DA" w:rsidRPr="003A30DA" w:rsidRDefault="003A30DA" w:rsidP="00DB008B">
                    <w:pPr>
                      <w:jc w:val="center"/>
                      <w:rPr>
                        <w:sz w:val="14"/>
                        <w:szCs w:val="14"/>
                      </w:rPr>
                    </w:pPr>
                    <w:r w:rsidRPr="003A30DA">
                      <w:rPr>
                        <w:rFonts w:hint="eastAsia"/>
                        <w:sz w:val="14"/>
                        <w:szCs w:val="14"/>
                      </w:rPr>
                      <w:t>账面价值</w:t>
                    </w:r>
                  </w:p>
                </w:tc>
              </w:sdtContent>
            </w:sdt>
            <w:sdt>
              <w:sdtPr>
                <w:rPr>
                  <w:sz w:val="14"/>
                  <w:szCs w:val="14"/>
                </w:rPr>
                <w:tag w:val="_PLD_8e1cccc1cb5f4a25bc68efd1b62378b8"/>
                <w:id w:val="254023870"/>
                <w:lock w:val="sdtLocked"/>
              </w:sdtPr>
              <w:sdtContent>
                <w:tc>
                  <w:tcPr>
                    <w:tcW w:w="313" w:type="pct"/>
                    <w:shd w:val="clear" w:color="auto" w:fill="auto"/>
                    <w:vAlign w:val="center"/>
                    <w:hideMark/>
                  </w:tcPr>
                  <w:p w:rsidR="003A30DA" w:rsidRPr="003A30DA" w:rsidRDefault="003A30DA" w:rsidP="00DB008B">
                    <w:pPr>
                      <w:jc w:val="center"/>
                      <w:rPr>
                        <w:sz w:val="14"/>
                        <w:szCs w:val="14"/>
                      </w:rPr>
                    </w:pPr>
                    <w:r w:rsidRPr="003A30DA">
                      <w:rPr>
                        <w:rFonts w:hint="eastAsia"/>
                        <w:sz w:val="14"/>
                        <w:szCs w:val="14"/>
                      </w:rPr>
                      <w:t>数量</w:t>
                    </w:r>
                  </w:p>
                </w:tc>
              </w:sdtContent>
            </w:sdt>
            <w:sdt>
              <w:sdtPr>
                <w:rPr>
                  <w:sz w:val="14"/>
                  <w:szCs w:val="14"/>
                </w:rPr>
                <w:tag w:val="_PLD_ec5a25aac9f64725962e7a8df3cdbe3c"/>
                <w:id w:val="2112543398"/>
                <w:lock w:val="sdtLocked"/>
              </w:sdtPr>
              <w:sdtContent>
                <w:tc>
                  <w:tcPr>
                    <w:tcW w:w="470" w:type="pct"/>
                    <w:shd w:val="clear" w:color="auto" w:fill="auto"/>
                    <w:vAlign w:val="center"/>
                    <w:hideMark/>
                  </w:tcPr>
                  <w:p w:rsidR="003A30DA" w:rsidRPr="003A30DA" w:rsidRDefault="003A30DA" w:rsidP="00DB008B">
                    <w:pPr>
                      <w:jc w:val="center"/>
                      <w:rPr>
                        <w:sz w:val="14"/>
                        <w:szCs w:val="14"/>
                      </w:rPr>
                    </w:pPr>
                    <w:r w:rsidRPr="003A30DA">
                      <w:rPr>
                        <w:rFonts w:hint="eastAsia"/>
                        <w:sz w:val="14"/>
                        <w:szCs w:val="14"/>
                      </w:rPr>
                      <w:t>账面价值</w:t>
                    </w:r>
                  </w:p>
                </w:tc>
              </w:sdtContent>
            </w:sdt>
            <w:sdt>
              <w:sdtPr>
                <w:rPr>
                  <w:sz w:val="14"/>
                  <w:szCs w:val="14"/>
                </w:rPr>
                <w:tag w:val="_PLD_c73f641ea2f645108a8b82692fa23869"/>
                <w:id w:val="1925991985"/>
                <w:lock w:val="sdtLocked"/>
              </w:sdtPr>
              <w:sdtContent>
                <w:tc>
                  <w:tcPr>
                    <w:tcW w:w="434" w:type="pct"/>
                    <w:shd w:val="clear" w:color="auto" w:fill="auto"/>
                    <w:vAlign w:val="center"/>
                    <w:hideMark/>
                  </w:tcPr>
                  <w:p w:rsidR="003A30DA" w:rsidRPr="003A30DA" w:rsidRDefault="003A30DA" w:rsidP="00DB008B">
                    <w:pPr>
                      <w:jc w:val="center"/>
                      <w:rPr>
                        <w:sz w:val="14"/>
                        <w:szCs w:val="14"/>
                      </w:rPr>
                    </w:pPr>
                    <w:r w:rsidRPr="003A30DA">
                      <w:rPr>
                        <w:rFonts w:hint="eastAsia"/>
                        <w:sz w:val="14"/>
                        <w:szCs w:val="14"/>
                      </w:rPr>
                      <w:t>数量</w:t>
                    </w:r>
                  </w:p>
                </w:tc>
              </w:sdtContent>
            </w:sdt>
            <w:sdt>
              <w:sdtPr>
                <w:rPr>
                  <w:sz w:val="14"/>
                  <w:szCs w:val="14"/>
                </w:rPr>
                <w:tag w:val="_PLD_78b2601ce135482fad14bd4d88f9655e"/>
                <w:id w:val="310919447"/>
                <w:lock w:val="sdtLocked"/>
              </w:sdtPr>
              <w:sdtContent>
                <w:tc>
                  <w:tcPr>
                    <w:tcW w:w="534" w:type="pct"/>
                    <w:shd w:val="clear" w:color="auto" w:fill="auto"/>
                    <w:vAlign w:val="center"/>
                    <w:hideMark/>
                  </w:tcPr>
                  <w:p w:rsidR="003A30DA" w:rsidRPr="003A30DA" w:rsidRDefault="003A30DA" w:rsidP="00DB008B">
                    <w:pPr>
                      <w:jc w:val="center"/>
                      <w:rPr>
                        <w:sz w:val="14"/>
                        <w:szCs w:val="14"/>
                      </w:rPr>
                    </w:pPr>
                    <w:r w:rsidRPr="003A30DA">
                      <w:rPr>
                        <w:rFonts w:hint="eastAsia"/>
                        <w:sz w:val="14"/>
                        <w:szCs w:val="14"/>
                      </w:rPr>
                      <w:t>账面价值</w:t>
                    </w:r>
                  </w:p>
                </w:tc>
              </w:sdtContent>
            </w:sdt>
            <w:sdt>
              <w:sdtPr>
                <w:rPr>
                  <w:sz w:val="14"/>
                  <w:szCs w:val="14"/>
                </w:rPr>
                <w:tag w:val="_PLD_9d6d43395400480f89a8592b018d121c"/>
                <w:id w:val="1711525319"/>
                <w:lock w:val="sdtLocked"/>
              </w:sdtPr>
              <w:sdtContent>
                <w:tc>
                  <w:tcPr>
                    <w:tcW w:w="604" w:type="pct"/>
                    <w:shd w:val="clear" w:color="auto" w:fill="auto"/>
                    <w:vAlign w:val="center"/>
                    <w:hideMark/>
                  </w:tcPr>
                  <w:p w:rsidR="003A30DA" w:rsidRPr="003A30DA" w:rsidRDefault="003A30DA" w:rsidP="00DB008B">
                    <w:pPr>
                      <w:jc w:val="center"/>
                      <w:rPr>
                        <w:sz w:val="14"/>
                        <w:szCs w:val="14"/>
                      </w:rPr>
                    </w:pPr>
                    <w:r w:rsidRPr="003A30DA">
                      <w:rPr>
                        <w:rFonts w:hint="eastAsia"/>
                        <w:sz w:val="14"/>
                        <w:szCs w:val="14"/>
                      </w:rPr>
                      <w:t>数量</w:t>
                    </w:r>
                  </w:p>
                </w:tc>
              </w:sdtContent>
            </w:sdt>
            <w:sdt>
              <w:sdtPr>
                <w:rPr>
                  <w:sz w:val="14"/>
                  <w:szCs w:val="14"/>
                </w:rPr>
                <w:tag w:val="_PLD_a754aae4328d42e5bc9c79faf2a1547c"/>
                <w:id w:val="-1149435058"/>
                <w:lock w:val="sdtLocked"/>
              </w:sdtPr>
              <w:sdtContent>
                <w:tc>
                  <w:tcPr>
                    <w:tcW w:w="627" w:type="pct"/>
                    <w:shd w:val="clear" w:color="auto" w:fill="auto"/>
                    <w:vAlign w:val="center"/>
                    <w:hideMark/>
                  </w:tcPr>
                  <w:p w:rsidR="003A30DA" w:rsidRPr="003A30DA" w:rsidRDefault="003A30DA" w:rsidP="00DB008B">
                    <w:pPr>
                      <w:jc w:val="center"/>
                      <w:rPr>
                        <w:sz w:val="14"/>
                        <w:szCs w:val="14"/>
                      </w:rPr>
                    </w:pPr>
                    <w:r w:rsidRPr="003A30DA">
                      <w:rPr>
                        <w:rFonts w:hint="eastAsia"/>
                        <w:sz w:val="14"/>
                        <w:szCs w:val="14"/>
                      </w:rPr>
                      <w:t>账面价值</w:t>
                    </w:r>
                  </w:p>
                </w:tc>
              </w:sdtContent>
            </w:sdt>
          </w:tr>
          <w:sdt>
            <w:sdtPr>
              <w:rPr>
                <w:rFonts w:hint="eastAsia"/>
                <w:sz w:val="14"/>
                <w:szCs w:val="14"/>
              </w:rPr>
              <w:alias w:val="其他权益工具下发行在外的优先股、永续债等金融工具变动情况表明细"/>
              <w:tag w:val="_TUP_45e60685a321468d910854e3dbcf8dad"/>
              <w:id w:val="541336157"/>
              <w:lock w:val="sdtLocked"/>
            </w:sdtPr>
            <w:sdtEndPr>
              <w:rPr>
                <w:rFonts w:hint="default"/>
              </w:rPr>
            </w:sdtEndPr>
            <w:sdtContent>
              <w:tr w:rsidR="003A30DA" w:rsidRPr="003A30DA" w:rsidTr="003A30DA">
                <w:trPr>
                  <w:trHeight w:val="340"/>
                </w:trPr>
                <w:tc>
                  <w:tcPr>
                    <w:tcW w:w="688" w:type="pct"/>
                    <w:shd w:val="clear" w:color="auto" w:fill="auto"/>
                  </w:tcPr>
                  <w:p w:rsidR="003A30DA" w:rsidRPr="003A30DA" w:rsidRDefault="003A30DA" w:rsidP="00DB008B">
                    <w:pPr>
                      <w:rPr>
                        <w:sz w:val="14"/>
                        <w:szCs w:val="14"/>
                      </w:rPr>
                    </w:pPr>
                    <w:r w:rsidRPr="003A30DA">
                      <w:rPr>
                        <w:sz w:val="14"/>
                        <w:szCs w:val="14"/>
                      </w:rPr>
                      <w:t>可转换公司债券权益部分</w:t>
                    </w:r>
                  </w:p>
                </w:tc>
                <w:tc>
                  <w:tcPr>
                    <w:tcW w:w="626" w:type="pct"/>
                    <w:shd w:val="clear" w:color="auto" w:fill="auto"/>
                  </w:tcPr>
                  <w:p w:rsidR="003A30DA" w:rsidRPr="003A30DA" w:rsidRDefault="003A30DA" w:rsidP="00DB008B">
                    <w:pPr>
                      <w:jc w:val="right"/>
                      <w:rPr>
                        <w:sz w:val="14"/>
                        <w:szCs w:val="14"/>
                      </w:rPr>
                    </w:pPr>
                    <w:r w:rsidRPr="003A30DA">
                      <w:rPr>
                        <w:sz w:val="14"/>
                        <w:szCs w:val="14"/>
                      </w:rPr>
                      <w:t>319,991,220</w:t>
                    </w:r>
                  </w:p>
                </w:tc>
                <w:tc>
                  <w:tcPr>
                    <w:tcW w:w="704" w:type="pct"/>
                    <w:shd w:val="clear" w:color="auto" w:fill="auto"/>
                  </w:tcPr>
                  <w:p w:rsidR="003A30DA" w:rsidRPr="003A30DA" w:rsidRDefault="003A30DA" w:rsidP="00DB008B">
                    <w:pPr>
                      <w:jc w:val="right"/>
                      <w:rPr>
                        <w:sz w:val="14"/>
                        <w:szCs w:val="14"/>
                      </w:rPr>
                    </w:pPr>
                    <w:r w:rsidRPr="003A30DA">
                      <w:rPr>
                        <w:sz w:val="14"/>
                        <w:szCs w:val="14"/>
                      </w:rPr>
                      <w:t>3,358,254,738</w:t>
                    </w:r>
                  </w:p>
                </w:tc>
                <w:tc>
                  <w:tcPr>
                    <w:tcW w:w="313" w:type="pct"/>
                    <w:shd w:val="clear" w:color="auto" w:fill="auto"/>
                  </w:tcPr>
                  <w:p w:rsidR="003A30DA" w:rsidRPr="003A30DA" w:rsidRDefault="003A30DA" w:rsidP="00DB008B">
                    <w:pPr>
                      <w:jc w:val="right"/>
                      <w:rPr>
                        <w:sz w:val="14"/>
                        <w:szCs w:val="14"/>
                      </w:rPr>
                    </w:pPr>
                    <w:r w:rsidRPr="003A30DA">
                      <w:rPr>
                        <w:sz w:val="14"/>
                        <w:szCs w:val="14"/>
                      </w:rPr>
                      <w:t>0</w:t>
                    </w:r>
                  </w:p>
                </w:tc>
                <w:tc>
                  <w:tcPr>
                    <w:tcW w:w="470" w:type="pct"/>
                    <w:shd w:val="clear" w:color="auto" w:fill="auto"/>
                  </w:tcPr>
                  <w:p w:rsidR="003A30DA" w:rsidRPr="003A30DA" w:rsidRDefault="003A30DA" w:rsidP="00DB008B">
                    <w:pPr>
                      <w:jc w:val="right"/>
                      <w:rPr>
                        <w:sz w:val="14"/>
                        <w:szCs w:val="14"/>
                      </w:rPr>
                    </w:pPr>
                    <w:r w:rsidRPr="003A30DA">
                      <w:rPr>
                        <w:sz w:val="14"/>
                        <w:szCs w:val="14"/>
                      </w:rPr>
                      <w:t>0</w:t>
                    </w:r>
                  </w:p>
                </w:tc>
                <w:tc>
                  <w:tcPr>
                    <w:tcW w:w="434" w:type="pct"/>
                    <w:shd w:val="clear" w:color="auto" w:fill="auto"/>
                  </w:tcPr>
                  <w:p w:rsidR="003A30DA" w:rsidRPr="003A30DA" w:rsidRDefault="003A30DA" w:rsidP="00DB008B">
                    <w:pPr>
                      <w:jc w:val="right"/>
                      <w:rPr>
                        <w:sz w:val="14"/>
                        <w:szCs w:val="14"/>
                      </w:rPr>
                    </w:pPr>
                    <w:r w:rsidRPr="003A30DA">
                      <w:rPr>
                        <w:sz w:val="14"/>
                        <w:szCs w:val="14"/>
                      </w:rPr>
                      <w:t>2,630</w:t>
                    </w:r>
                  </w:p>
                </w:tc>
                <w:tc>
                  <w:tcPr>
                    <w:tcW w:w="534" w:type="pct"/>
                    <w:shd w:val="clear" w:color="auto" w:fill="auto"/>
                  </w:tcPr>
                  <w:p w:rsidR="003A30DA" w:rsidRPr="003A30DA" w:rsidRDefault="003A30DA" w:rsidP="00DB008B">
                    <w:pPr>
                      <w:jc w:val="right"/>
                      <w:rPr>
                        <w:sz w:val="14"/>
                        <w:szCs w:val="14"/>
                      </w:rPr>
                    </w:pPr>
                    <w:r w:rsidRPr="003A30DA">
                      <w:rPr>
                        <w:sz w:val="14"/>
                        <w:szCs w:val="14"/>
                      </w:rPr>
                      <w:t>27,601</w:t>
                    </w:r>
                  </w:p>
                </w:tc>
                <w:tc>
                  <w:tcPr>
                    <w:tcW w:w="604" w:type="pct"/>
                    <w:shd w:val="clear" w:color="auto" w:fill="auto"/>
                  </w:tcPr>
                  <w:p w:rsidR="003A30DA" w:rsidRPr="003A30DA" w:rsidRDefault="003A30DA" w:rsidP="00DB008B">
                    <w:pPr>
                      <w:jc w:val="right"/>
                      <w:rPr>
                        <w:sz w:val="14"/>
                        <w:szCs w:val="14"/>
                      </w:rPr>
                    </w:pPr>
                    <w:r w:rsidRPr="003A30DA">
                      <w:rPr>
                        <w:sz w:val="14"/>
                        <w:szCs w:val="14"/>
                      </w:rPr>
                      <w:t>319,988,590</w:t>
                    </w:r>
                  </w:p>
                </w:tc>
                <w:tc>
                  <w:tcPr>
                    <w:tcW w:w="627" w:type="pct"/>
                    <w:shd w:val="clear" w:color="auto" w:fill="auto"/>
                  </w:tcPr>
                  <w:p w:rsidR="003A30DA" w:rsidRPr="003A30DA" w:rsidRDefault="003A30DA" w:rsidP="00DB008B">
                    <w:pPr>
                      <w:jc w:val="right"/>
                      <w:rPr>
                        <w:sz w:val="14"/>
                        <w:szCs w:val="14"/>
                      </w:rPr>
                    </w:pPr>
                    <w:r w:rsidRPr="003A30DA">
                      <w:rPr>
                        <w:sz w:val="14"/>
                        <w:szCs w:val="14"/>
                      </w:rPr>
                      <w:t>3,358,227,137</w:t>
                    </w:r>
                  </w:p>
                </w:tc>
              </w:tr>
            </w:sdtContent>
          </w:sdt>
          <w:tr w:rsidR="004B63F5" w:rsidRPr="003A30DA" w:rsidTr="003A30DA">
            <w:trPr>
              <w:trHeight w:val="340"/>
            </w:trPr>
            <w:sdt>
              <w:sdtPr>
                <w:rPr>
                  <w:sz w:val="14"/>
                  <w:szCs w:val="14"/>
                </w:rPr>
                <w:tag w:val="_PLD_6b417e2b64b34d83ba2f331c4cd1714b"/>
                <w:id w:val="-1061948751"/>
                <w:lock w:val="sdtLocked"/>
              </w:sdtPr>
              <w:sdtContent>
                <w:tc>
                  <w:tcPr>
                    <w:tcW w:w="688" w:type="pct"/>
                    <w:shd w:val="clear" w:color="auto" w:fill="auto"/>
                    <w:hideMark/>
                  </w:tcPr>
                  <w:p w:rsidR="003A30DA" w:rsidRPr="003A30DA" w:rsidRDefault="003A30DA" w:rsidP="003A30DA">
                    <w:pPr>
                      <w:jc w:val="center"/>
                      <w:rPr>
                        <w:sz w:val="14"/>
                        <w:szCs w:val="14"/>
                      </w:rPr>
                    </w:pPr>
                    <w:r w:rsidRPr="003A30DA">
                      <w:rPr>
                        <w:rFonts w:hint="eastAsia"/>
                        <w:sz w:val="14"/>
                        <w:szCs w:val="14"/>
                      </w:rPr>
                      <w:t>合计</w:t>
                    </w:r>
                  </w:p>
                </w:tc>
              </w:sdtContent>
            </w:sdt>
            <w:tc>
              <w:tcPr>
                <w:tcW w:w="626" w:type="pct"/>
                <w:shd w:val="clear" w:color="auto" w:fill="auto"/>
                <w:vAlign w:val="center"/>
              </w:tcPr>
              <w:p w:rsidR="003A30DA" w:rsidRPr="003A30DA" w:rsidRDefault="003A30DA" w:rsidP="003A30DA">
                <w:pPr>
                  <w:jc w:val="right"/>
                  <w:rPr>
                    <w:sz w:val="14"/>
                    <w:szCs w:val="14"/>
                  </w:rPr>
                </w:pPr>
                <w:r w:rsidRPr="003A30DA">
                  <w:rPr>
                    <w:sz w:val="14"/>
                    <w:szCs w:val="14"/>
                  </w:rPr>
                  <w:t>319,991,220</w:t>
                </w:r>
              </w:p>
            </w:tc>
            <w:tc>
              <w:tcPr>
                <w:tcW w:w="704" w:type="pct"/>
                <w:shd w:val="clear" w:color="auto" w:fill="auto"/>
                <w:vAlign w:val="center"/>
              </w:tcPr>
              <w:p w:rsidR="003A30DA" w:rsidRPr="003A30DA" w:rsidRDefault="003A30DA" w:rsidP="003A30DA">
                <w:pPr>
                  <w:jc w:val="right"/>
                  <w:rPr>
                    <w:sz w:val="14"/>
                    <w:szCs w:val="14"/>
                  </w:rPr>
                </w:pPr>
                <w:r w:rsidRPr="003A30DA">
                  <w:rPr>
                    <w:sz w:val="14"/>
                    <w:szCs w:val="14"/>
                  </w:rPr>
                  <w:t>3,358,254,738</w:t>
                </w:r>
              </w:p>
            </w:tc>
            <w:tc>
              <w:tcPr>
                <w:tcW w:w="313" w:type="pct"/>
                <w:shd w:val="clear" w:color="auto" w:fill="auto"/>
                <w:vAlign w:val="center"/>
              </w:tcPr>
              <w:p w:rsidR="003A30DA" w:rsidRPr="003A30DA" w:rsidRDefault="003A30DA" w:rsidP="003A30DA">
                <w:pPr>
                  <w:jc w:val="right"/>
                  <w:rPr>
                    <w:sz w:val="14"/>
                    <w:szCs w:val="14"/>
                  </w:rPr>
                </w:pPr>
                <w:r w:rsidRPr="003A30DA">
                  <w:rPr>
                    <w:sz w:val="14"/>
                    <w:szCs w:val="14"/>
                  </w:rPr>
                  <w:t>0</w:t>
                </w:r>
              </w:p>
            </w:tc>
            <w:tc>
              <w:tcPr>
                <w:tcW w:w="470" w:type="pct"/>
                <w:shd w:val="clear" w:color="auto" w:fill="auto"/>
                <w:vAlign w:val="center"/>
              </w:tcPr>
              <w:p w:rsidR="003A30DA" w:rsidRPr="003A30DA" w:rsidRDefault="003A30DA" w:rsidP="003A30DA">
                <w:pPr>
                  <w:jc w:val="right"/>
                  <w:rPr>
                    <w:sz w:val="14"/>
                    <w:szCs w:val="14"/>
                  </w:rPr>
                </w:pPr>
                <w:r w:rsidRPr="003A30DA">
                  <w:rPr>
                    <w:sz w:val="14"/>
                    <w:szCs w:val="14"/>
                  </w:rPr>
                  <w:t>0</w:t>
                </w:r>
              </w:p>
            </w:tc>
            <w:tc>
              <w:tcPr>
                <w:tcW w:w="434" w:type="pct"/>
                <w:shd w:val="clear" w:color="auto" w:fill="auto"/>
                <w:vAlign w:val="center"/>
              </w:tcPr>
              <w:p w:rsidR="003A30DA" w:rsidRPr="003A30DA" w:rsidRDefault="003A30DA" w:rsidP="003A30DA">
                <w:pPr>
                  <w:jc w:val="right"/>
                  <w:rPr>
                    <w:sz w:val="14"/>
                    <w:szCs w:val="14"/>
                  </w:rPr>
                </w:pPr>
                <w:r w:rsidRPr="003A30DA">
                  <w:rPr>
                    <w:sz w:val="14"/>
                    <w:szCs w:val="14"/>
                  </w:rPr>
                  <w:t>2,630</w:t>
                </w:r>
              </w:p>
            </w:tc>
            <w:tc>
              <w:tcPr>
                <w:tcW w:w="534" w:type="pct"/>
                <w:shd w:val="clear" w:color="auto" w:fill="auto"/>
                <w:vAlign w:val="center"/>
              </w:tcPr>
              <w:p w:rsidR="003A30DA" w:rsidRPr="003A30DA" w:rsidRDefault="003A30DA" w:rsidP="003A30DA">
                <w:pPr>
                  <w:jc w:val="right"/>
                  <w:rPr>
                    <w:sz w:val="14"/>
                    <w:szCs w:val="14"/>
                  </w:rPr>
                </w:pPr>
                <w:r w:rsidRPr="003A30DA">
                  <w:rPr>
                    <w:sz w:val="14"/>
                    <w:szCs w:val="14"/>
                  </w:rPr>
                  <w:t>27,601</w:t>
                </w:r>
              </w:p>
            </w:tc>
            <w:tc>
              <w:tcPr>
                <w:tcW w:w="604" w:type="pct"/>
                <w:shd w:val="clear" w:color="auto" w:fill="auto"/>
                <w:vAlign w:val="center"/>
              </w:tcPr>
              <w:p w:rsidR="003A30DA" w:rsidRPr="003A30DA" w:rsidRDefault="003A30DA" w:rsidP="003A30DA">
                <w:pPr>
                  <w:jc w:val="right"/>
                  <w:rPr>
                    <w:sz w:val="14"/>
                    <w:szCs w:val="14"/>
                  </w:rPr>
                </w:pPr>
                <w:r w:rsidRPr="003A30DA">
                  <w:rPr>
                    <w:sz w:val="14"/>
                    <w:szCs w:val="14"/>
                  </w:rPr>
                  <w:t>319,988,590</w:t>
                </w:r>
              </w:p>
            </w:tc>
            <w:tc>
              <w:tcPr>
                <w:tcW w:w="627" w:type="pct"/>
                <w:shd w:val="clear" w:color="auto" w:fill="auto"/>
                <w:vAlign w:val="center"/>
              </w:tcPr>
              <w:p w:rsidR="003A30DA" w:rsidRPr="003A30DA" w:rsidRDefault="003A30DA" w:rsidP="003A30DA">
                <w:pPr>
                  <w:jc w:val="right"/>
                  <w:rPr>
                    <w:sz w:val="14"/>
                    <w:szCs w:val="14"/>
                  </w:rPr>
                </w:pPr>
                <w:r w:rsidRPr="003A30DA">
                  <w:rPr>
                    <w:sz w:val="14"/>
                    <w:szCs w:val="14"/>
                  </w:rPr>
                  <w:t>3,358,227,137</w:t>
                </w:r>
              </w:p>
            </w:tc>
          </w:tr>
        </w:tbl>
        <w:p w:rsidR="00806678" w:rsidRPr="003A30DA" w:rsidRDefault="00F80B6C">
          <w:pPr>
            <w:rPr>
              <w:sz w:val="14"/>
              <w:szCs w:val="14"/>
            </w:rPr>
          </w:pPr>
        </w:p>
      </w:sdtContent>
    </w:sdt>
    <w:bookmarkStart w:id="239" w:name="_Hlk89785136" w:displacedByCustomXml="next"/>
    <w:sdt>
      <w:sdtPr>
        <w:rPr>
          <w:rFonts w:hint="eastAsia"/>
          <w:szCs w:val="21"/>
        </w:rPr>
        <w:alias w:val="模块:其他权益工具本期增减变动情况、变动原因说明，以及相关会计处理"/>
        <w:tag w:val="_SEC_f0c4a2ce10914cf8a15ec22984f96cce"/>
        <w:id w:val="-1017778030"/>
        <w:lock w:val="sdtLocked"/>
        <w:placeholder>
          <w:docPart w:val="GBC22222222222222222222222222222"/>
        </w:placeholder>
      </w:sdtPr>
      <w:sdtEndPr>
        <w:rPr>
          <w:rFonts w:hint="default"/>
        </w:rPr>
      </w:sdtEndPr>
      <w:sdtContent>
        <w:p w:rsidR="00806678" w:rsidRDefault="00B16377">
          <w:pPr>
            <w:rPr>
              <w:szCs w:val="21"/>
            </w:rPr>
          </w:pPr>
          <w:r>
            <w:rPr>
              <w:rFonts w:hint="eastAsia"/>
              <w:szCs w:val="21"/>
            </w:rPr>
            <w:t>其他权益工具本期增减变动情况、变动原因说明，以及相关会计处理的依据：</w:t>
          </w:r>
        </w:p>
        <w:sdt>
          <w:sdtPr>
            <w:rPr>
              <w:szCs w:val="21"/>
            </w:rPr>
            <w:alias w:val="是否适用：其他权益工具本期增减变动情况、变动原因说明，以及相关会计处理的依据[双击切换]"/>
            <w:tag w:val="_GBC_e803942788b34e5092c70a4cbf71f4b5"/>
            <w:id w:val="-795291669"/>
            <w:lock w:val="sdtLocked"/>
            <w:placeholder>
              <w:docPart w:val="GBC22222222222222222222222222222"/>
            </w:placeholder>
          </w:sdtPr>
          <w:sdtContent>
            <w:p w:rsidR="00422D5A" w:rsidRDefault="00F80B6C">
              <w:pPr>
                <w:rPr>
                  <w:szCs w:val="21"/>
                </w:rPr>
              </w:pPr>
              <w:r>
                <w:rPr>
                  <w:szCs w:val="21"/>
                </w:rPr>
                <w:fldChar w:fldCharType="begin"/>
              </w:r>
              <w:r w:rsidR="004F5F9E">
                <w:rPr>
                  <w:szCs w:val="21"/>
                </w:rPr>
                <w:instrText xml:space="preserve">MACROBUTTON  SnrToggleCheckbox √适用 </w:instrText>
              </w:r>
              <w:r>
                <w:rPr>
                  <w:szCs w:val="21"/>
                </w:rPr>
                <w:fldChar w:fldCharType="end"/>
              </w:r>
              <w:r>
                <w:rPr>
                  <w:szCs w:val="21"/>
                </w:rPr>
                <w:fldChar w:fldCharType="begin"/>
              </w:r>
              <w:r w:rsidR="004F5F9E">
                <w:rPr>
                  <w:szCs w:val="21"/>
                </w:rPr>
                <w:instrText xml:space="preserve"> MACROBUTTON  SnrToggleCheckbox □不适用 </w:instrText>
              </w:r>
              <w:r>
                <w:rPr>
                  <w:szCs w:val="21"/>
                </w:rPr>
                <w:fldChar w:fldCharType="end"/>
              </w:r>
            </w:p>
            <w:p w:rsidR="00806678" w:rsidRDefault="00F80B6C">
              <w:pPr>
                <w:rPr>
                  <w:szCs w:val="21"/>
                </w:rPr>
              </w:pPr>
            </w:p>
          </w:sdtContent>
        </w:sdt>
        <w:p w:rsidR="00806678" w:rsidRDefault="00F80B6C">
          <w:pPr>
            <w:rPr>
              <w:szCs w:val="21"/>
            </w:rPr>
          </w:pPr>
          <w:sdt>
            <w:sdtPr>
              <w:rPr>
                <w:szCs w:val="21"/>
              </w:rPr>
              <w:alias w:val="其他权益工具变动原因及相关会计处理的依据"/>
              <w:tag w:val="_GBC_7fcefd9a883c44c7bdeeedbeb7b1cd34"/>
              <w:id w:val="2107389113"/>
              <w:lock w:val="sdtLocked"/>
              <w:placeholder>
                <w:docPart w:val="GBC22222222222222222222222222222"/>
              </w:placeholder>
            </w:sdtPr>
            <w:sdtContent>
              <w:r w:rsidR="00992997" w:rsidRPr="00992997">
                <w:rPr>
                  <w:rFonts w:hint="eastAsia"/>
                  <w:szCs w:val="21"/>
                </w:rPr>
                <w:t>注</w:t>
              </w:r>
              <w:r w:rsidR="00992997">
                <w:rPr>
                  <w:rFonts w:hint="eastAsia"/>
                  <w:szCs w:val="21"/>
                </w:rPr>
                <w:t>1</w:t>
              </w:r>
              <w:r w:rsidR="00992997" w:rsidRPr="00992997">
                <w:rPr>
                  <w:rFonts w:hint="eastAsia"/>
                  <w:szCs w:val="21"/>
                </w:rPr>
                <w:t>：</w:t>
              </w:r>
              <w:r w:rsidR="00992997" w:rsidRPr="00992997">
                <w:rPr>
                  <w:szCs w:val="21"/>
                </w:rPr>
                <w:t>截至2022年12月31日止，累计有面值人民币1,141,000元可转债转换成公司股票，因转股形成的股份数量累计为154,416股，尚未转股的可转债面值金额为人民币31,998,859,000元。</w:t>
              </w:r>
            </w:sdtContent>
          </w:sdt>
        </w:p>
      </w:sdtContent>
    </w:sdt>
    <w:bookmarkEnd w:id="239" w:displacedByCustomXml="prev"/>
    <w:p w:rsidR="00806678" w:rsidRDefault="00806678">
      <w:pPr>
        <w:rPr>
          <w:szCs w:val="21"/>
        </w:rPr>
      </w:pPr>
    </w:p>
    <w:bookmarkStart w:id="240" w:name="_Hlk89785124" w:displacedByCustomXml="next"/>
    <w:sdt>
      <w:sdtPr>
        <w:rPr>
          <w:rFonts w:hint="eastAsia"/>
          <w:szCs w:val="21"/>
        </w:rPr>
        <w:alias w:val="模块:其他说明"/>
        <w:tag w:val="_SEC_2737fbc9d66c421eae61476b09f44108"/>
        <w:id w:val="-101567358"/>
        <w:lock w:val="sdtLocked"/>
        <w:placeholder>
          <w:docPart w:val="GBC22222222222222222222222222222"/>
        </w:placeholder>
      </w:sdtPr>
      <w:sdtEndPr>
        <w:rPr>
          <w:rFonts w:hint="default"/>
        </w:rPr>
      </w:sdtEndPr>
      <w:sdtContent>
        <w:p w:rsidR="00806678" w:rsidRDefault="00B16377">
          <w:pPr>
            <w:rPr>
              <w:szCs w:val="21"/>
            </w:rPr>
          </w:pPr>
          <w:r>
            <w:rPr>
              <w:rFonts w:hint="eastAsia"/>
              <w:szCs w:val="21"/>
            </w:rPr>
            <w:t>其他说明:</w:t>
          </w:r>
        </w:p>
        <w:sdt>
          <w:sdtPr>
            <w:rPr>
              <w:szCs w:val="21"/>
            </w:rPr>
            <w:alias w:val="是否适用：其他权益工具的其他说明[双击切换]"/>
            <w:tag w:val="_GBC_af2e32ae9c704175a99ebad592dec5f2"/>
            <w:id w:val="-374624755"/>
            <w:lock w:val="sdtLocked"/>
            <w:placeholder>
              <w:docPart w:val="GBC22222222222222222222222222222"/>
            </w:placeholder>
          </w:sdtPr>
          <w:sdtContent>
            <w:p w:rsidR="00422D5A" w:rsidRDefault="00F80B6C">
              <w:pPr>
                <w:rPr>
                  <w:szCs w:val="21"/>
                </w:rPr>
              </w:pPr>
              <w:r>
                <w:rPr>
                  <w:szCs w:val="21"/>
                </w:rPr>
                <w:fldChar w:fldCharType="begin"/>
              </w:r>
              <w:r w:rsidR="00992997">
                <w:rPr>
                  <w:szCs w:val="21"/>
                </w:rPr>
                <w:instrText xml:space="preserve">MACROBUTTON  SnrToggleCheckbox □适用 </w:instrText>
              </w:r>
              <w:r>
                <w:rPr>
                  <w:szCs w:val="21"/>
                </w:rPr>
                <w:fldChar w:fldCharType="end"/>
              </w:r>
              <w:r>
                <w:rPr>
                  <w:szCs w:val="21"/>
                </w:rPr>
                <w:fldChar w:fldCharType="begin"/>
              </w:r>
              <w:r w:rsidR="00992997">
                <w:rPr>
                  <w:szCs w:val="21"/>
                </w:rPr>
                <w:instrText xml:space="preserve"> MACROBUTTON  SnrToggleCheckbox √不适用 </w:instrText>
              </w:r>
              <w:r>
                <w:rPr>
                  <w:szCs w:val="21"/>
                </w:rPr>
                <w:fldChar w:fldCharType="end"/>
              </w:r>
            </w:p>
            <w:p w:rsidR="00806678" w:rsidRDefault="00F80B6C">
              <w:pPr>
                <w:rPr>
                  <w:szCs w:val="21"/>
                </w:rPr>
              </w:pPr>
            </w:p>
          </w:sdtContent>
        </w:sdt>
      </w:sdtContent>
    </w:sdt>
    <w:bookmarkEnd w:id="240" w:displacedByCustomXml="prev"/>
    <w:sdt>
      <w:sdtPr>
        <w:rPr>
          <w:rFonts w:ascii="宋体" w:hAnsi="宋体" w:cs="宋体" w:hint="eastAsia"/>
          <w:b w:val="0"/>
          <w:bCs w:val="0"/>
          <w:kern w:val="0"/>
          <w:szCs w:val="21"/>
        </w:rPr>
        <w:alias w:val="模块:资本公积"/>
        <w:tag w:val="_SEC_39b8590a9e5d496db1d2cf229fd840e9"/>
        <w:id w:val="69015853"/>
        <w:lock w:val="sdtLocked"/>
        <w:placeholder>
          <w:docPart w:val="GBC22222222222222222222222222222"/>
        </w:placeholder>
      </w:sdtPr>
      <w:sdtEndPr>
        <w:rPr>
          <w:rFonts w:cstheme="minorBidi" w:hint="default"/>
          <w:color w:val="000000" w:themeColor="text1"/>
          <w:kern w:val="2"/>
        </w:rPr>
      </w:sdtEndPr>
      <w:sdtContent>
        <w:p w:rsidR="00806678" w:rsidRDefault="00B16377" w:rsidP="00FF17C7">
          <w:pPr>
            <w:pStyle w:val="3"/>
            <w:numPr>
              <w:ilvl w:val="0"/>
              <w:numId w:val="18"/>
            </w:numPr>
            <w:tabs>
              <w:tab w:val="left" w:pos="504"/>
            </w:tabs>
            <w:rPr>
              <w:rFonts w:ascii="宋体" w:hAnsi="宋体"/>
              <w:szCs w:val="21"/>
            </w:rPr>
          </w:pPr>
          <w:r>
            <w:rPr>
              <w:rFonts w:ascii="宋体" w:hAnsi="宋体" w:hint="eastAsia"/>
              <w:szCs w:val="21"/>
            </w:rPr>
            <w:t>资本公积</w:t>
          </w:r>
        </w:p>
        <w:sdt>
          <w:sdtPr>
            <w:alias w:val="是否适用：资本公积[双击切换]"/>
            <w:tag w:val="_GBC_58b0344d8757456787af32396840e233"/>
            <w:id w:val="-986477570"/>
            <w:lock w:val="sdtLocked"/>
            <w:placeholder>
              <w:docPart w:val="GBC22222222222222222222222222222"/>
            </w:placeholder>
          </w:sdtPr>
          <w:sdtContent>
            <w:p w:rsidR="00806678" w:rsidRDefault="00F80B6C">
              <w:r>
                <w:fldChar w:fldCharType="begin"/>
              </w:r>
              <w:r w:rsidR="00992997">
                <w:instrText xml:space="preserve">MACROBUTTON  SnrToggleCheckbox √适用 </w:instrText>
              </w:r>
              <w:r>
                <w:fldChar w:fldCharType="end"/>
              </w:r>
              <w:r>
                <w:fldChar w:fldCharType="begin"/>
              </w:r>
              <w:r w:rsidR="00992997">
                <w:instrText xml:space="preserve"> MACROBUTTON  SnrToggleCheckbox □不适用 </w:instrText>
              </w:r>
              <w:r>
                <w:fldChar w:fldCharType="end"/>
              </w:r>
            </w:p>
          </w:sdtContent>
        </w:sdt>
        <w:p w:rsidR="00806678" w:rsidRDefault="00B16377">
          <w:pPr>
            <w:jc w:val="right"/>
            <w:rPr>
              <w:szCs w:val="21"/>
            </w:rPr>
          </w:pPr>
          <w:r>
            <w:rPr>
              <w:rFonts w:hint="eastAsia"/>
              <w:szCs w:val="21"/>
            </w:rPr>
            <w:t>单位：</w:t>
          </w:r>
          <w:sdt>
            <w:sdtPr>
              <w:rPr>
                <w:rFonts w:hint="eastAsia"/>
                <w:szCs w:val="21"/>
              </w:rPr>
              <w:alias w:val="单位：财务附注：资本公积"/>
              <w:tag w:val="_GBC_1b11e7474fd44870ad976b16c25b20f4"/>
              <w:id w:val="118486216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资本公积"/>
              <w:tag w:val="_GBC_6c523a4f3a0744439ef148664a9f722b"/>
              <w:id w:val="165163405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2205"/>
            <w:gridCol w:w="1696"/>
            <w:gridCol w:w="1809"/>
            <w:gridCol w:w="1546"/>
            <w:gridCol w:w="1803"/>
          </w:tblGrid>
          <w:tr w:rsidR="00806678" w:rsidTr="00A468E7">
            <w:sdt>
              <w:sdtPr>
                <w:tag w:val="_PLD_b4e0b77813064aeb83afd63c7bafbdab"/>
                <w:id w:val="1473795520"/>
                <w:lock w:val="sdtLocked"/>
              </w:sdtPr>
              <w:sdtContent>
                <w:tc>
                  <w:tcPr>
                    <w:tcW w:w="1236" w:type="pct"/>
                    <w:vAlign w:val="center"/>
                  </w:tcPr>
                  <w:p w:rsidR="00806678" w:rsidRDefault="00B16377">
                    <w:pPr>
                      <w:autoSpaceDE w:val="0"/>
                      <w:autoSpaceDN w:val="0"/>
                      <w:adjustRightInd w:val="0"/>
                      <w:snapToGrid w:val="0"/>
                      <w:jc w:val="center"/>
                      <w:rPr>
                        <w:szCs w:val="21"/>
                      </w:rPr>
                    </w:pPr>
                    <w:r>
                      <w:rPr>
                        <w:rFonts w:hint="eastAsia"/>
                        <w:szCs w:val="21"/>
                      </w:rPr>
                      <w:t>项目</w:t>
                    </w:r>
                  </w:p>
                </w:tc>
              </w:sdtContent>
            </w:sdt>
            <w:sdt>
              <w:sdtPr>
                <w:tag w:val="_PLD_2e3387dfd4d8490ca15036edd55f5d7b"/>
                <w:id w:val="-2059861"/>
                <w:lock w:val="sdtLocked"/>
              </w:sdtPr>
              <w:sdtContent>
                <w:tc>
                  <w:tcPr>
                    <w:tcW w:w="860" w:type="pct"/>
                    <w:vAlign w:val="center"/>
                  </w:tcPr>
                  <w:p w:rsidR="00806678" w:rsidRDefault="00B16377">
                    <w:pPr>
                      <w:autoSpaceDE w:val="0"/>
                      <w:autoSpaceDN w:val="0"/>
                      <w:adjustRightInd w:val="0"/>
                      <w:snapToGrid w:val="0"/>
                      <w:jc w:val="center"/>
                      <w:rPr>
                        <w:szCs w:val="21"/>
                      </w:rPr>
                    </w:pPr>
                    <w:r>
                      <w:rPr>
                        <w:rFonts w:hint="eastAsia"/>
                        <w:szCs w:val="21"/>
                      </w:rPr>
                      <w:t>期初余额</w:t>
                    </w:r>
                  </w:p>
                </w:tc>
              </w:sdtContent>
            </w:sdt>
            <w:sdt>
              <w:sdtPr>
                <w:tag w:val="_PLD_48beb7e26e4d4ae4b8c76cfd47809420"/>
                <w:id w:val="-1650360009"/>
                <w:lock w:val="sdtLocked"/>
              </w:sdtPr>
              <w:sdtContent>
                <w:tc>
                  <w:tcPr>
                    <w:tcW w:w="1017" w:type="pct"/>
                    <w:vAlign w:val="center"/>
                  </w:tcPr>
                  <w:p w:rsidR="00806678" w:rsidRDefault="00B16377">
                    <w:pPr>
                      <w:autoSpaceDE w:val="0"/>
                      <w:autoSpaceDN w:val="0"/>
                      <w:adjustRightInd w:val="0"/>
                      <w:snapToGrid w:val="0"/>
                      <w:jc w:val="center"/>
                      <w:rPr>
                        <w:szCs w:val="21"/>
                      </w:rPr>
                    </w:pPr>
                    <w:r>
                      <w:rPr>
                        <w:rFonts w:hint="eastAsia"/>
                        <w:szCs w:val="21"/>
                      </w:rPr>
                      <w:t>本期增加</w:t>
                    </w:r>
                  </w:p>
                </w:tc>
              </w:sdtContent>
            </w:sdt>
            <w:sdt>
              <w:sdtPr>
                <w:tag w:val="_PLD_146cd5e556074222b88edab30b505382"/>
                <w:id w:val="1993910430"/>
                <w:lock w:val="sdtLocked"/>
              </w:sdtPr>
              <w:sdtContent>
                <w:tc>
                  <w:tcPr>
                    <w:tcW w:w="872" w:type="pct"/>
                    <w:vAlign w:val="center"/>
                  </w:tcPr>
                  <w:p w:rsidR="00806678" w:rsidRDefault="00B16377">
                    <w:pPr>
                      <w:autoSpaceDE w:val="0"/>
                      <w:autoSpaceDN w:val="0"/>
                      <w:adjustRightInd w:val="0"/>
                      <w:snapToGrid w:val="0"/>
                      <w:jc w:val="center"/>
                      <w:rPr>
                        <w:szCs w:val="21"/>
                      </w:rPr>
                    </w:pPr>
                    <w:r>
                      <w:rPr>
                        <w:rFonts w:hint="eastAsia"/>
                        <w:szCs w:val="21"/>
                      </w:rPr>
                      <w:t>本期减少</w:t>
                    </w:r>
                  </w:p>
                </w:tc>
              </w:sdtContent>
            </w:sdt>
            <w:sdt>
              <w:sdtPr>
                <w:tag w:val="_PLD_ce18950b18064dc1ac40e20c98bf9dcb"/>
                <w:id w:val="362325606"/>
                <w:lock w:val="sdtLocked"/>
              </w:sdtPr>
              <w:sdtContent>
                <w:tc>
                  <w:tcPr>
                    <w:tcW w:w="1014" w:type="pct"/>
                    <w:vAlign w:val="center"/>
                  </w:tcPr>
                  <w:p w:rsidR="00806678" w:rsidRDefault="00B16377">
                    <w:pPr>
                      <w:autoSpaceDE w:val="0"/>
                      <w:autoSpaceDN w:val="0"/>
                      <w:adjustRightInd w:val="0"/>
                      <w:snapToGrid w:val="0"/>
                      <w:jc w:val="center"/>
                      <w:rPr>
                        <w:szCs w:val="21"/>
                      </w:rPr>
                    </w:pPr>
                    <w:r>
                      <w:rPr>
                        <w:rFonts w:hint="eastAsia"/>
                        <w:szCs w:val="21"/>
                      </w:rPr>
                      <w:t>期末余额</w:t>
                    </w:r>
                  </w:p>
                </w:tc>
              </w:sdtContent>
            </w:sdt>
          </w:tr>
          <w:tr w:rsidR="00992997" w:rsidTr="00A468E7">
            <w:sdt>
              <w:sdtPr>
                <w:tag w:val="_PLD_0d018aed47f94c61acfb01bd741534a0"/>
                <w:id w:val="-1284802373"/>
                <w:lock w:val="sdtLocked"/>
              </w:sdtPr>
              <w:sdtContent>
                <w:tc>
                  <w:tcPr>
                    <w:tcW w:w="1236" w:type="pct"/>
                    <w:shd w:val="clear" w:color="auto" w:fill="auto"/>
                  </w:tcPr>
                  <w:p w:rsidR="00992997" w:rsidRDefault="00992997" w:rsidP="00992997">
                    <w:pPr>
                      <w:autoSpaceDE w:val="0"/>
                      <w:autoSpaceDN w:val="0"/>
                      <w:adjustRightInd w:val="0"/>
                      <w:snapToGrid w:val="0"/>
                      <w:rPr>
                        <w:szCs w:val="21"/>
                      </w:rPr>
                    </w:pPr>
                    <w:r>
                      <w:rPr>
                        <w:rFonts w:hint="eastAsia"/>
                        <w:szCs w:val="21"/>
                      </w:rPr>
                      <w:t>资本溢价（股本溢价）</w:t>
                    </w:r>
                  </w:p>
                </w:tc>
              </w:sdtContent>
            </w:sdt>
            <w:tc>
              <w:tcPr>
                <w:tcW w:w="860" w:type="pct"/>
                <w:shd w:val="clear" w:color="auto" w:fill="auto"/>
                <w:vAlign w:val="center"/>
              </w:tcPr>
              <w:p w:rsidR="00992997" w:rsidRDefault="00992997" w:rsidP="00992997">
                <w:pPr>
                  <w:autoSpaceDE w:val="0"/>
                  <w:autoSpaceDN w:val="0"/>
                  <w:adjustRightInd w:val="0"/>
                  <w:snapToGrid w:val="0"/>
                  <w:jc w:val="right"/>
                  <w:rPr>
                    <w:szCs w:val="21"/>
                  </w:rPr>
                </w:pPr>
                <w:r>
                  <w:t>23,275,435,589</w:t>
                </w:r>
              </w:p>
            </w:tc>
            <w:tc>
              <w:tcPr>
                <w:tcW w:w="1017" w:type="pct"/>
                <w:shd w:val="clear" w:color="auto" w:fill="auto"/>
                <w:vAlign w:val="center"/>
              </w:tcPr>
              <w:p w:rsidR="00992997" w:rsidRDefault="00992997" w:rsidP="00992997">
                <w:pPr>
                  <w:autoSpaceDE w:val="0"/>
                  <w:autoSpaceDN w:val="0"/>
                  <w:adjustRightInd w:val="0"/>
                  <w:snapToGrid w:val="0"/>
                  <w:jc w:val="right"/>
                  <w:rPr>
                    <w:szCs w:val="21"/>
                  </w:rPr>
                </w:pPr>
                <w:r>
                  <w:t>236,727</w:t>
                </w:r>
              </w:p>
            </w:tc>
            <w:tc>
              <w:tcPr>
                <w:tcW w:w="872" w:type="pct"/>
                <w:shd w:val="clear" w:color="auto" w:fill="auto"/>
                <w:vAlign w:val="center"/>
              </w:tcPr>
              <w:p w:rsidR="00992997" w:rsidRDefault="00992997" w:rsidP="00992997">
                <w:pPr>
                  <w:autoSpaceDE w:val="0"/>
                  <w:autoSpaceDN w:val="0"/>
                  <w:adjustRightInd w:val="0"/>
                  <w:snapToGrid w:val="0"/>
                  <w:jc w:val="right"/>
                  <w:rPr>
                    <w:szCs w:val="21"/>
                  </w:rPr>
                </w:pPr>
                <w:r>
                  <w:t>0</w:t>
                </w:r>
              </w:p>
            </w:tc>
            <w:tc>
              <w:tcPr>
                <w:tcW w:w="1014" w:type="pct"/>
                <w:shd w:val="clear" w:color="auto" w:fill="auto"/>
                <w:vAlign w:val="center"/>
              </w:tcPr>
              <w:p w:rsidR="00992997" w:rsidRDefault="00992997" w:rsidP="00992997">
                <w:pPr>
                  <w:autoSpaceDE w:val="0"/>
                  <w:autoSpaceDN w:val="0"/>
                  <w:adjustRightInd w:val="0"/>
                  <w:snapToGrid w:val="0"/>
                  <w:jc w:val="right"/>
                  <w:rPr>
                    <w:szCs w:val="21"/>
                  </w:rPr>
                </w:pPr>
                <w:r>
                  <w:t>23,275,672,316</w:t>
                </w:r>
              </w:p>
            </w:tc>
          </w:tr>
          <w:tr w:rsidR="00992997" w:rsidTr="00A468E7">
            <w:sdt>
              <w:sdtPr>
                <w:tag w:val="_PLD_86bb5cd56f814da8b960cf8902cad6a5"/>
                <w:id w:val="-253438726"/>
                <w:lock w:val="sdtLocked"/>
              </w:sdtPr>
              <w:sdtContent>
                <w:tc>
                  <w:tcPr>
                    <w:tcW w:w="1236" w:type="pct"/>
                    <w:shd w:val="clear" w:color="auto" w:fill="auto"/>
                  </w:tcPr>
                  <w:p w:rsidR="00992997" w:rsidRDefault="00992997" w:rsidP="00992997">
                    <w:pPr>
                      <w:autoSpaceDE w:val="0"/>
                      <w:autoSpaceDN w:val="0"/>
                      <w:adjustRightInd w:val="0"/>
                      <w:snapToGrid w:val="0"/>
                      <w:rPr>
                        <w:szCs w:val="21"/>
                      </w:rPr>
                    </w:pPr>
                    <w:r>
                      <w:rPr>
                        <w:rFonts w:hint="eastAsia"/>
                        <w:szCs w:val="21"/>
                      </w:rPr>
                      <w:t>其他资本公积</w:t>
                    </w:r>
                  </w:p>
                </w:tc>
              </w:sdtContent>
            </w:sdt>
            <w:tc>
              <w:tcPr>
                <w:tcW w:w="860" w:type="pct"/>
                <w:shd w:val="clear" w:color="auto" w:fill="auto"/>
                <w:vAlign w:val="center"/>
              </w:tcPr>
              <w:p w:rsidR="00992997" w:rsidRDefault="00992997" w:rsidP="00992997">
                <w:pPr>
                  <w:autoSpaceDE w:val="0"/>
                  <w:autoSpaceDN w:val="0"/>
                  <w:adjustRightInd w:val="0"/>
                  <w:snapToGrid w:val="0"/>
                  <w:jc w:val="right"/>
                  <w:rPr>
                    <w:szCs w:val="21"/>
                  </w:rPr>
                </w:pPr>
                <w:r>
                  <w:t>70,797,810</w:t>
                </w:r>
              </w:p>
            </w:tc>
            <w:tc>
              <w:tcPr>
                <w:tcW w:w="1017" w:type="pct"/>
                <w:shd w:val="clear" w:color="auto" w:fill="auto"/>
                <w:vAlign w:val="center"/>
              </w:tcPr>
              <w:p w:rsidR="00992997" w:rsidRDefault="00992997" w:rsidP="00992997">
                <w:pPr>
                  <w:autoSpaceDE w:val="0"/>
                  <w:autoSpaceDN w:val="0"/>
                  <w:adjustRightInd w:val="0"/>
                  <w:snapToGrid w:val="0"/>
                  <w:jc w:val="right"/>
                  <w:rPr>
                    <w:szCs w:val="21"/>
                  </w:rPr>
                </w:pPr>
                <w:r>
                  <w:t>3,488,455</w:t>
                </w:r>
              </w:p>
            </w:tc>
            <w:tc>
              <w:tcPr>
                <w:tcW w:w="872" w:type="pct"/>
                <w:shd w:val="clear" w:color="auto" w:fill="auto"/>
                <w:vAlign w:val="center"/>
              </w:tcPr>
              <w:p w:rsidR="00992997" w:rsidRDefault="00992997" w:rsidP="00992997">
                <w:pPr>
                  <w:autoSpaceDE w:val="0"/>
                  <w:autoSpaceDN w:val="0"/>
                  <w:adjustRightInd w:val="0"/>
                  <w:snapToGrid w:val="0"/>
                  <w:jc w:val="right"/>
                  <w:rPr>
                    <w:szCs w:val="21"/>
                  </w:rPr>
                </w:pPr>
                <w:r>
                  <w:t>0</w:t>
                </w:r>
              </w:p>
            </w:tc>
            <w:tc>
              <w:tcPr>
                <w:tcW w:w="1014" w:type="pct"/>
                <w:shd w:val="clear" w:color="auto" w:fill="auto"/>
                <w:vAlign w:val="center"/>
              </w:tcPr>
              <w:p w:rsidR="00992997" w:rsidRDefault="00992997" w:rsidP="00992997">
                <w:pPr>
                  <w:autoSpaceDE w:val="0"/>
                  <w:autoSpaceDN w:val="0"/>
                  <w:adjustRightInd w:val="0"/>
                  <w:snapToGrid w:val="0"/>
                  <w:jc w:val="right"/>
                  <w:rPr>
                    <w:szCs w:val="21"/>
                  </w:rPr>
                </w:pPr>
                <w:r>
                  <w:t>74,286,265</w:t>
                </w:r>
              </w:p>
            </w:tc>
          </w:tr>
          <w:tr w:rsidR="00992997" w:rsidTr="00A468E7">
            <w:sdt>
              <w:sdtPr>
                <w:tag w:val="_PLD_9b03907e667d49cf9868e1518c28d82c"/>
                <w:id w:val="-691684787"/>
                <w:lock w:val="sdtLocked"/>
              </w:sdtPr>
              <w:sdtContent>
                <w:tc>
                  <w:tcPr>
                    <w:tcW w:w="1236" w:type="pct"/>
                    <w:vAlign w:val="center"/>
                  </w:tcPr>
                  <w:p w:rsidR="00992997" w:rsidRDefault="00992997" w:rsidP="00992997">
                    <w:pPr>
                      <w:autoSpaceDE w:val="0"/>
                      <w:autoSpaceDN w:val="0"/>
                      <w:adjustRightInd w:val="0"/>
                      <w:snapToGrid w:val="0"/>
                      <w:jc w:val="center"/>
                      <w:rPr>
                        <w:szCs w:val="21"/>
                      </w:rPr>
                    </w:pPr>
                    <w:r>
                      <w:rPr>
                        <w:rFonts w:hint="eastAsia"/>
                        <w:szCs w:val="21"/>
                      </w:rPr>
                      <w:t>合计</w:t>
                    </w:r>
                  </w:p>
                </w:tc>
              </w:sdtContent>
            </w:sdt>
            <w:tc>
              <w:tcPr>
                <w:tcW w:w="860" w:type="pct"/>
                <w:vAlign w:val="center"/>
              </w:tcPr>
              <w:p w:rsidR="00992997" w:rsidRDefault="00992997" w:rsidP="00992997">
                <w:pPr>
                  <w:autoSpaceDE w:val="0"/>
                  <w:autoSpaceDN w:val="0"/>
                  <w:adjustRightInd w:val="0"/>
                  <w:snapToGrid w:val="0"/>
                  <w:jc w:val="right"/>
                  <w:rPr>
                    <w:szCs w:val="21"/>
                  </w:rPr>
                </w:pPr>
                <w:r>
                  <w:t>23,346,233,399</w:t>
                </w:r>
              </w:p>
            </w:tc>
            <w:tc>
              <w:tcPr>
                <w:tcW w:w="1017" w:type="pct"/>
                <w:vAlign w:val="center"/>
              </w:tcPr>
              <w:p w:rsidR="00992997" w:rsidRDefault="00992997" w:rsidP="00992997">
                <w:pPr>
                  <w:autoSpaceDE w:val="0"/>
                  <w:autoSpaceDN w:val="0"/>
                  <w:adjustRightInd w:val="0"/>
                  <w:snapToGrid w:val="0"/>
                  <w:jc w:val="right"/>
                  <w:rPr>
                    <w:szCs w:val="21"/>
                  </w:rPr>
                </w:pPr>
                <w:r>
                  <w:t>3,725,182</w:t>
                </w:r>
              </w:p>
            </w:tc>
            <w:tc>
              <w:tcPr>
                <w:tcW w:w="872" w:type="pct"/>
                <w:vAlign w:val="center"/>
              </w:tcPr>
              <w:p w:rsidR="00992997" w:rsidRDefault="00992997" w:rsidP="00992997">
                <w:pPr>
                  <w:autoSpaceDE w:val="0"/>
                  <w:autoSpaceDN w:val="0"/>
                  <w:adjustRightInd w:val="0"/>
                  <w:snapToGrid w:val="0"/>
                  <w:jc w:val="right"/>
                  <w:rPr>
                    <w:szCs w:val="21"/>
                  </w:rPr>
                </w:pPr>
                <w:r>
                  <w:t>0</w:t>
                </w:r>
              </w:p>
            </w:tc>
            <w:tc>
              <w:tcPr>
                <w:tcW w:w="1014" w:type="pct"/>
                <w:vAlign w:val="center"/>
              </w:tcPr>
              <w:p w:rsidR="00992997" w:rsidRDefault="00992997" w:rsidP="00992997">
                <w:pPr>
                  <w:autoSpaceDE w:val="0"/>
                  <w:autoSpaceDN w:val="0"/>
                  <w:adjustRightInd w:val="0"/>
                  <w:snapToGrid w:val="0"/>
                  <w:jc w:val="right"/>
                  <w:rPr>
                    <w:szCs w:val="21"/>
                  </w:rPr>
                </w:pPr>
                <w:r>
                  <w:t>23,349,958,581</w:t>
                </w:r>
              </w:p>
            </w:tc>
          </w:tr>
        </w:tbl>
        <w:p w:rsidR="00422D5A" w:rsidRDefault="00422D5A">
          <w:pPr>
            <w:rPr>
              <w:szCs w:val="21"/>
            </w:rPr>
          </w:pPr>
        </w:p>
        <w:p w:rsidR="00806678" w:rsidRDefault="00B16377">
          <w:pPr>
            <w:rPr>
              <w:szCs w:val="21"/>
            </w:rPr>
          </w:pPr>
          <w:r>
            <w:rPr>
              <w:rFonts w:hint="eastAsia"/>
              <w:szCs w:val="21"/>
            </w:rPr>
            <w:t>其他说明，包括本期增减变动情况、变动原因说明：</w:t>
          </w:r>
        </w:p>
        <w:p w:rsidR="00422D5A" w:rsidRDefault="00422D5A">
          <w:pPr>
            <w:rPr>
              <w:szCs w:val="21"/>
            </w:rPr>
          </w:pPr>
        </w:p>
        <w:sdt>
          <w:sdtPr>
            <w:rPr>
              <w:szCs w:val="21"/>
            </w:rPr>
            <w:alias w:val="资本公积说明"/>
            <w:tag w:val="_GBC_bd957b69783b49af88b2c285825bd0fc"/>
            <w:id w:val="-1127847616"/>
            <w:lock w:val="sdtLocked"/>
            <w:placeholder>
              <w:docPart w:val="GBC22222222222222222222222222222"/>
            </w:placeholder>
          </w:sdtPr>
          <w:sdtContent>
            <w:p w:rsidR="007979F2" w:rsidRPr="007979F2" w:rsidRDefault="007979F2" w:rsidP="007979F2">
              <w:pPr>
                <w:rPr>
                  <w:szCs w:val="21"/>
                </w:rPr>
              </w:pPr>
              <w:r w:rsidRPr="007979F2">
                <w:rPr>
                  <w:rFonts w:hint="eastAsia"/>
                  <w:szCs w:val="21"/>
                </w:rPr>
                <w:t>因本集团之联营企业本年其他权益变动的影响，本集团合并财务报表的资本公积增加人民币</w:t>
              </w:r>
              <w:r w:rsidRPr="007979F2">
                <w:rPr>
                  <w:szCs w:val="21"/>
                </w:rPr>
                <w:t>3,488,455元。</w:t>
              </w:r>
            </w:p>
            <w:p w:rsidR="007979F2" w:rsidRPr="007979F2" w:rsidRDefault="007979F2" w:rsidP="007979F2">
              <w:pPr>
                <w:rPr>
                  <w:szCs w:val="21"/>
                </w:rPr>
              </w:pPr>
            </w:p>
            <w:p w:rsidR="00806678" w:rsidRDefault="007979F2" w:rsidP="007979F2">
              <w:pPr>
                <w:rPr>
                  <w:szCs w:val="21"/>
                </w:rPr>
              </w:pPr>
              <w:r w:rsidRPr="007979F2">
                <w:rPr>
                  <w:rFonts w:hint="eastAsia"/>
                  <w:szCs w:val="21"/>
                </w:rPr>
                <w:t>如附注</w:t>
              </w:r>
              <w:r>
                <w:rPr>
                  <w:rFonts w:hint="eastAsia"/>
                  <w:szCs w:val="21"/>
                </w:rPr>
                <w:t>七</w:t>
              </w:r>
              <w:r w:rsidRPr="007979F2">
                <w:rPr>
                  <w:rFonts w:hint="eastAsia"/>
                  <w:szCs w:val="21"/>
                </w:rPr>
                <w:t>、</w:t>
              </w:r>
              <w:r>
                <w:rPr>
                  <w:szCs w:val="21"/>
                </w:rPr>
                <w:t>54</w:t>
              </w:r>
              <w:r w:rsidRPr="007979F2">
                <w:rPr>
                  <w:szCs w:val="21"/>
                </w:rPr>
                <w:t>所述，本集团本年累计有面值人民币263,000元可转换公司债券转换为本公司股票。因转股因素影响，本集团资本公积增加人民币236,727元。</w:t>
              </w:r>
            </w:p>
          </w:sdtContent>
        </w:sdt>
      </w:sdtContent>
    </w:sdt>
    <w:p w:rsidR="00806678" w:rsidRDefault="00806678">
      <w:pPr>
        <w:rPr>
          <w:szCs w:val="21"/>
        </w:rPr>
      </w:pPr>
    </w:p>
    <w:sdt>
      <w:sdtPr>
        <w:rPr>
          <w:rFonts w:ascii="宋体" w:hAnsi="宋体" w:cs="宋体" w:hint="eastAsia"/>
          <w:b w:val="0"/>
          <w:bCs w:val="0"/>
          <w:kern w:val="0"/>
          <w:szCs w:val="21"/>
        </w:rPr>
        <w:alias w:val="模块:库存股"/>
        <w:tag w:val="_SEC_ac3bac3dee6b41e2a9bd601e8215a41b"/>
        <w:id w:val="1110707924"/>
        <w:lock w:val="sdtLocked"/>
        <w:placeholder>
          <w:docPart w:val="GBC22222222222222222222222222222"/>
        </w:placeholder>
      </w:sdtPr>
      <w:sdtEndPr>
        <w:rPr>
          <w:rFonts w:cstheme="minorBidi" w:hint="default"/>
          <w:color w:val="000000" w:themeColor="text1"/>
          <w:kern w:val="2"/>
        </w:rPr>
      </w:sdtEndPr>
      <w:sdtContent>
        <w:p w:rsidR="00806678" w:rsidRDefault="00B16377" w:rsidP="00FF17C7">
          <w:pPr>
            <w:pStyle w:val="3"/>
            <w:numPr>
              <w:ilvl w:val="0"/>
              <w:numId w:val="18"/>
            </w:numPr>
            <w:tabs>
              <w:tab w:val="left" w:pos="504"/>
            </w:tabs>
            <w:rPr>
              <w:rFonts w:ascii="宋体" w:hAnsi="宋体"/>
              <w:szCs w:val="21"/>
            </w:rPr>
          </w:pPr>
          <w:r>
            <w:rPr>
              <w:rFonts w:ascii="宋体" w:hAnsi="宋体" w:hint="eastAsia"/>
              <w:szCs w:val="21"/>
            </w:rPr>
            <w:t>库存股</w:t>
          </w:r>
        </w:p>
        <w:sdt>
          <w:sdtPr>
            <w:alias w:val="是否适用：库存股[双击切换]"/>
            <w:tag w:val="_GBC_8e4fbb6e216145d28e75f17bb16e2ed0"/>
            <w:id w:val="975188861"/>
            <w:lock w:val="sdtLocked"/>
            <w:placeholder>
              <w:docPart w:val="GBC22222222222222222222222222222"/>
            </w:placeholder>
          </w:sdtPr>
          <w:sdtContent>
            <w:p w:rsidR="004A1718" w:rsidRDefault="00F80B6C" w:rsidP="004A1718">
              <w:r>
                <w:fldChar w:fldCharType="begin"/>
              </w:r>
              <w:r w:rsidR="004A1718">
                <w:instrText xml:space="preserve">MACROBUTTON  SnrToggleCheckbox □适用 </w:instrText>
              </w:r>
              <w:r>
                <w:fldChar w:fldCharType="end"/>
              </w:r>
              <w:r>
                <w:fldChar w:fldCharType="begin"/>
              </w:r>
              <w:r w:rsidR="004A1718">
                <w:instrText xml:space="preserve"> MACROBUTTON  SnrToggleCheckbox √不适用 </w:instrText>
              </w:r>
              <w:r>
                <w:fldChar w:fldCharType="end"/>
              </w:r>
            </w:p>
          </w:sdtContent>
        </w:sdt>
        <w:p w:rsidR="00806678" w:rsidRDefault="00F80B6C">
          <w:pPr>
            <w:rPr>
              <w:b/>
              <w:szCs w:val="21"/>
            </w:rPr>
          </w:pPr>
        </w:p>
      </w:sdtContent>
    </w:sdt>
    <w:p w:rsidR="0080020D" w:rsidRDefault="0080020D">
      <w:pPr>
        <w:rPr>
          <w:szCs w:val="21"/>
        </w:rPr>
        <w:sectPr w:rsidR="0080020D" w:rsidSect="00F41343">
          <w:pgSz w:w="11906" w:h="16838"/>
          <w:pgMar w:top="1440" w:right="1797" w:bottom="1525" w:left="1276" w:header="856" w:footer="992" w:gutter="0"/>
          <w:cols w:space="425"/>
          <w:docGrid w:type="lines" w:linePitch="312"/>
        </w:sectPr>
      </w:pPr>
    </w:p>
    <w:p w:rsidR="00806678" w:rsidRDefault="00806678">
      <w:pPr>
        <w:rPr>
          <w:szCs w:val="21"/>
        </w:rPr>
      </w:pPr>
    </w:p>
    <w:bookmarkStart w:id="241" w:name="_Hlk24027351" w:displacedByCustomXml="next"/>
    <w:sdt>
      <w:sdtPr>
        <w:rPr>
          <w:rFonts w:ascii="宋体" w:hAnsi="宋体" w:cs="宋体"/>
          <w:b w:val="0"/>
          <w:bCs w:val="0"/>
          <w:kern w:val="0"/>
          <w:szCs w:val="21"/>
        </w:rPr>
        <w:alias w:val="模块:"/>
        <w:tag w:val="_SEC_b7abde66ee9f475b9c7a82f58ed72510"/>
        <w:id w:val="1325086144"/>
        <w:lock w:val="sdtLocked"/>
        <w:placeholder>
          <w:docPart w:val="GBC22222222222222222222222222222"/>
        </w:placeholder>
      </w:sdtPr>
      <w:sdtContent>
        <w:bookmarkStart w:id="242" w:name="_Hlk10537776" w:displacedByCustomXml="prev"/>
        <w:bookmarkEnd w:id="242" w:displacedByCustomXml="prev"/>
        <w:p w:rsidR="00806678" w:rsidRDefault="00B16377" w:rsidP="00FF17C7">
          <w:pPr>
            <w:pStyle w:val="3"/>
            <w:numPr>
              <w:ilvl w:val="0"/>
              <w:numId w:val="18"/>
            </w:numPr>
            <w:tabs>
              <w:tab w:val="left" w:pos="504"/>
            </w:tabs>
            <w:rPr>
              <w:rFonts w:ascii="宋体" w:hAnsi="宋体"/>
              <w:szCs w:val="21"/>
            </w:rPr>
          </w:pPr>
          <w:r>
            <w:rPr>
              <w:rFonts w:ascii="宋体" w:hAnsi="宋体" w:hint="eastAsia"/>
              <w:szCs w:val="21"/>
            </w:rPr>
            <w:t>其他综合收益</w:t>
          </w:r>
        </w:p>
        <w:sdt>
          <w:sdtPr>
            <w:alias w:val="是否适用：其他综合收益[双击切换]"/>
            <w:tag w:val="_GBC_60105f81909745c788232a2118ec8260"/>
            <w:id w:val="-2116127292"/>
            <w:lock w:val="sdtLocked"/>
            <w:placeholder>
              <w:docPart w:val="GBC22222222222222222222222222222"/>
            </w:placeholder>
          </w:sdtPr>
          <w:sdtContent>
            <w:p w:rsidR="00806678" w:rsidRDefault="00F80B6C">
              <w:r>
                <w:fldChar w:fldCharType="begin"/>
              </w:r>
              <w:r w:rsidR="004A1718">
                <w:instrText xml:space="preserve"> MACROBUTTON  SnrToggleCheckbox √适用 </w:instrText>
              </w:r>
              <w:r>
                <w:fldChar w:fldCharType="end"/>
              </w:r>
              <w:r>
                <w:fldChar w:fldCharType="begin"/>
              </w:r>
              <w:r w:rsidR="004A1718">
                <w:instrText xml:space="preserve"> MACROBUTTON  SnrToggleCheckbox □不适用 </w:instrText>
              </w:r>
              <w:r>
                <w:fldChar w:fldCharType="end"/>
              </w:r>
            </w:p>
          </w:sdtContent>
        </w:sdt>
        <w:p w:rsidR="00806678" w:rsidRDefault="00B16377">
          <w:pPr>
            <w:jc w:val="right"/>
            <w:rPr>
              <w:szCs w:val="21"/>
            </w:rPr>
          </w:pPr>
          <w:r>
            <w:rPr>
              <w:rFonts w:hint="eastAsia"/>
              <w:szCs w:val="21"/>
            </w:rPr>
            <w:t>单位：</w:t>
          </w:r>
          <w:sdt>
            <w:sdtPr>
              <w:rPr>
                <w:rFonts w:hint="eastAsia"/>
                <w:szCs w:val="21"/>
              </w:rPr>
              <w:alias w:val="单位：财务附注：其他综合收益情况"/>
              <w:tag w:val="_GBC_e409bf7299734ac38578b7aeaafe4b22"/>
              <w:id w:val="82154890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其他综合收益情况"/>
              <w:tag w:val="_GBC_27d655d96e764a21a47eae18f25945dc"/>
              <w:id w:val="-125072931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49"/>
            <w:gridCol w:w="1476"/>
            <w:gridCol w:w="1510"/>
            <w:gridCol w:w="1510"/>
            <w:gridCol w:w="1511"/>
            <w:gridCol w:w="1511"/>
            <w:gridCol w:w="1511"/>
            <w:gridCol w:w="1514"/>
            <w:gridCol w:w="1497"/>
          </w:tblGrid>
          <w:tr w:rsidR="00806678" w:rsidTr="004B63F5">
            <w:trPr>
              <w:trHeight w:val="215"/>
            </w:trPr>
            <w:sdt>
              <w:sdtPr>
                <w:tag w:val="_PLD_b9ff3615ccfb4fb8b5b240bdfb50f58f"/>
                <w:id w:val="-1285113767"/>
                <w:lock w:val="sdtLocked"/>
              </w:sdtPr>
              <w:sdtContent>
                <w:tc>
                  <w:tcPr>
                    <w:tcW w:w="743" w:type="pct"/>
                    <w:vMerge w:val="restart"/>
                    <w:shd w:val="clear" w:color="auto" w:fill="auto"/>
                    <w:vAlign w:val="center"/>
                  </w:tcPr>
                  <w:p w:rsidR="00806678" w:rsidRDefault="00B16377">
                    <w:pPr>
                      <w:jc w:val="center"/>
                      <w:rPr>
                        <w:szCs w:val="21"/>
                      </w:rPr>
                    </w:pPr>
                    <w:r>
                      <w:rPr>
                        <w:rFonts w:hint="eastAsia"/>
                        <w:szCs w:val="21"/>
                      </w:rPr>
                      <w:t>项目</w:t>
                    </w:r>
                  </w:p>
                </w:tc>
              </w:sdtContent>
            </w:sdt>
            <w:sdt>
              <w:sdtPr>
                <w:tag w:val="_PLD_c452eb3cb7084e41ba725641dbad27ab"/>
                <w:id w:val="-2134308276"/>
                <w:lock w:val="sdtLocked"/>
              </w:sdtPr>
              <w:sdtContent>
                <w:tc>
                  <w:tcPr>
                    <w:tcW w:w="397" w:type="pct"/>
                    <w:vMerge w:val="restart"/>
                    <w:shd w:val="clear" w:color="auto" w:fill="auto"/>
                    <w:vAlign w:val="center"/>
                  </w:tcPr>
                  <w:p w:rsidR="00806678" w:rsidRDefault="00B16377">
                    <w:pPr>
                      <w:jc w:val="center"/>
                      <w:rPr>
                        <w:szCs w:val="21"/>
                      </w:rPr>
                    </w:pPr>
                    <w:r>
                      <w:rPr>
                        <w:rFonts w:hint="eastAsia"/>
                        <w:szCs w:val="21"/>
                      </w:rPr>
                      <w:t>期初</w:t>
                    </w:r>
                  </w:p>
                  <w:p w:rsidR="00806678" w:rsidRDefault="00B16377">
                    <w:pPr>
                      <w:jc w:val="center"/>
                      <w:rPr>
                        <w:szCs w:val="21"/>
                      </w:rPr>
                    </w:pPr>
                    <w:r>
                      <w:rPr>
                        <w:rFonts w:hint="eastAsia"/>
                        <w:szCs w:val="21"/>
                      </w:rPr>
                      <w:t>余额</w:t>
                    </w:r>
                  </w:p>
                </w:tc>
              </w:sdtContent>
            </w:sdt>
            <w:sdt>
              <w:sdtPr>
                <w:tag w:val="_PLD_c4c67158aa744717a253a7b51b99ed00"/>
                <w:id w:val="1361707758"/>
                <w:lock w:val="sdtLocked"/>
              </w:sdtPr>
              <w:sdtContent>
                <w:tc>
                  <w:tcPr>
                    <w:tcW w:w="3313" w:type="pct"/>
                    <w:gridSpan w:val="6"/>
                    <w:shd w:val="clear" w:color="auto" w:fill="auto"/>
                    <w:vAlign w:val="center"/>
                  </w:tcPr>
                  <w:p w:rsidR="00806678" w:rsidRDefault="00B16377">
                    <w:pPr>
                      <w:jc w:val="center"/>
                      <w:rPr>
                        <w:szCs w:val="21"/>
                      </w:rPr>
                    </w:pPr>
                    <w:r>
                      <w:rPr>
                        <w:rFonts w:hint="eastAsia"/>
                        <w:szCs w:val="21"/>
                      </w:rPr>
                      <w:t>本期发生金额</w:t>
                    </w:r>
                  </w:p>
                </w:tc>
              </w:sdtContent>
            </w:sdt>
            <w:sdt>
              <w:sdtPr>
                <w:tag w:val="_PLD_2fcdc30e089b48d0af01eff4e6c0c7ad"/>
                <w:id w:val="-1293830617"/>
                <w:lock w:val="sdtLocked"/>
              </w:sdtPr>
              <w:sdtContent>
                <w:tc>
                  <w:tcPr>
                    <w:tcW w:w="547" w:type="pct"/>
                    <w:vMerge w:val="restart"/>
                    <w:shd w:val="clear" w:color="auto" w:fill="auto"/>
                    <w:vAlign w:val="center"/>
                  </w:tcPr>
                  <w:p w:rsidR="00806678" w:rsidRDefault="00B16377">
                    <w:pPr>
                      <w:jc w:val="center"/>
                      <w:rPr>
                        <w:szCs w:val="21"/>
                      </w:rPr>
                    </w:pPr>
                    <w:r>
                      <w:rPr>
                        <w:rFonts w:hint="eastAsia"/>
                        <w:szCs w:val="21"/>
                      </w:rPr>
                      <w:t>期末</w:t>
                    </w:r>
                  </w:p>
                  <w:p w:rsidR="00806678" w:rsidRDefault="00B16377">
                    <w:pPr>
                      <w:jc w:val="center"/>
                      <w:rPr>
                        <w:szCs w:val="21"/>
                      </w:rPr>
                    </w:pPr>
                    <w:r>
                      <w:rPr>
                        <w:rFonts w:hint="eastAsia"/>
                        <w:szCs w:val="21"/>
                      </w:rPr>
                      <w:t>余额</w:t>
                    </w:r>
                  </w:p>
                </w:tc>
              </w:sdtContent>
            </w:sdt>
          </w:tr>
          <w:tr w:rsidR="004B63F5" w:rsidTr="004B63F5">
            <w:tc>
              <w:tcPr>
                <w:tcW w:w="743" w:type="pct"/>
                <w:vMerge/>
                <w:shd w:val="clear" w:color="auto" w:fill="auto"/>
              </w:tcPr>
              <w:p w:rsidR="00806678" w:rsidRDefault="00806678">
                <w:pPr>
                  <w:jc w:val="center"/>
                  <w:rPr>
                    <w:szCs w:val="21"/>
                  </w:rPr>
                </w:pPr>
              </w:p>
            </w:tc>
            <w:tc>
              <w:tcPr>
                <w:tcW w:w="397" w:type="pct"/>
                <w:vMerge/>
                <w:shd w:val="clear" w:color="auto" w:fill="auto"/>
              </w:tcPr>
              <w:p w:rsidR="00806678" w:rsidRDefault="00806678">
                <w:pPr>
                  <w:jc w:val="center"/>
                  <w:rPr>
                    <w:szCs w:val="21"/>
                  </w:rPr>
                </w:pPr>
              </w:p>
            </w:tc>
            <w:sdt>
              <w:sdtPr>
                <w:tag w:val="_PLD_08b0381418824e1685e4223515aed1f1"/>
                <w:id w:val="1734432688"/>
                <w:lock w:val="sdtLocked"/>
              </w:sdtPr>
              <w:sdtContent>
                <w:tc>
                  <w:tcPr>
                    <w:tcW w:w="552" w:type="pct"/>
                    <w:shd w:val="clear" w:color="auto" w:fill="auto"/>
                    <w:vAlign w:val="center"/>
                  </w:tcPr>
                  <w:p w:rsidR="00806678" w:rsidRDefault="00B16377">
                    <w:pPr>
                      <w:jc w:val="center"/>
                      <w:rPr>
                        <w:szCs w:val="21"/>
                      </w:rPr>
                    </w:pPr>
                    <w:r>
                      <w:rPr>
                        <w:rFonts w:hint="eastAsia"/>
                        <w:szCs w:val="21"/>
                      </w:rPr>
                      <w:t>本期所得税前发生额</w:t>
                    </w:r>
                  </w:p>
                </w:tc>
              </w:sdtContent>
            </w:sdt>
            <w:sdt>
              <w:sdtPr>
                <w:tag w:val="_PLD_b9b4a9789ab94b46aa682fa396296a6f"/>
                <w:id w:val="1256779489"/>
                <w:lock w:val="sdtLocked"/>
              </w:sdtPr>
              <w:sdtContent>
                <w:tc>
                  <w:tcPr>
                    <w:tcW w:w="552" w:type="pct"/>
                    <w:shd w:val="clear" w:color="auto" w:fill="auto"/>
                    <w:vAlign w:val="center"/>
                  </w:tcPr>
                  <w:p w:rsidR="00806678" w:rsidRDefault="00B16377">
                    <w:pPr>
                      <w:jc w:val="center"/>
                      <w:rPr>
                        <w:szCs w:val="21"/>
                      </w:rPr>
                    </w:pPr>
                    <w:r>
                      <w:rPr>
                        <w:rFonts w:hint="eastAsia"/>
                        <w:szCs w:val="21"/>
                      </w:rPr>
                      <w:t>减：前期计入其他综合收益当期转入损益</w:t>
                    </w:r>
                  </w:p>
                </w:tc>
              </w:sdtContent>
            </w:sdt>
            <w:tc>
              <w:tcPr>
                <w:tcW w:w="552" w:type="pct"/>
              </w:tcPr>
              <w:sdt>
                <w:sdtPr>
                  <w:rPr>
                    <w:rFonts w:hint="eastAsia"/>
                    <w:szCs w:val="21"/>
                  </w:rPr>
                  <w:tag w:val="_PLD_a38fa46c72bd4d5dbd427d2107ab58cc"/>
                  <w:id w:val="233439162"/>
                  <w:lock w:val="sdtLocked"/>
                </w:sdtPr>
                <w:sdtContent>
                  <w:p w:rsidR="00806678" w:rsidRDefault="00B16377">
                    <w:pPr>
                      <w:jc w:val="center"/>
                    </w:pPr>
                    <w:r>
                      <w:rPr>
                        <w:rFonts w:hint="eastAsia"/>
                        <w:szCs w:val="21"/>
                      </w:rPr>
                      <w:t>减：前期计入其他综合收益当期转入留存收益</w:t>
                    </w:r>
                  </w:p>
                </w:sdtContent>
              </w:sdt>
            </w:tc>
            <w:sdt>
              <w:sdtPr>
                <w:tag w:val="_PLD_3aa0b45624ce4714ba49e23b657915b8"/>
                <w:id w:val="-1588614333"/>
                <w:lock w:val="sdtLocked"/>
              </w:sdtPr>
              <w:sdtContent>
                <w:tc>
                  <w:tcPr>
                    <w:tcW w:w="552" w:type="pct"/>
                    <w:shd w:val="clear" w:color="auto" w:fill="auto"/>
                    <w:vAlign w:val="center"/>
                  </w:tcPr>
                  <w:p w:rsidR="00806678" w:rsidRDefault="00B16377">
                    <w:pPr>
                      <w:jc w:val="center"/>
                      <w:rPr>
                        <w:szCs w:val="21"/>
                      </w:rPr>
                    </w:pPr>
                    <w:r>
                      <w:rPr>
                        <w:rFonts w:hint="eastAsia"/>
                        <w:szCs w:val="21"/>
                      </w:rPr>
                      <w:t>减：所得税费用</w:t>
                    </w:r>
                  </w:p>
                </w:tc>
              </w:sdtContent>
            </w:sdt>
            <w:sdt>
              <w:sdtPr>
                <w:tag w:val="_PLD_8b3cddc1172740f1a089204a9d0cbe76"/>
                <w:id w:val="2057586400"/>
                <w:lock w:val="sdtLocked"/>
              </w:sdtPr>
              <w:sdtContent>
                <w:tc>
                  <w:tcPr>
                    <w:tcW w:w="552" w:type="pct"/>
                    <w:shd w:val="clear" w:color="auto" w:fill="auto"/>
                    <w:vAlign w:val="center"/>
                  </w:tcPr>
                  <w:p w:rsidR="00806678" w:rsidRDefault="00B16377">
                    <w:pPr>
                      <w:jc w:val="center"/>
                      <w:rPr>
                        <w:szCs w:val="21"/>
                      </w:rPr>
                    </w:pPr>
                    <w:r>
                      <w:rPr>
                        <w:rFonts w:hint="eastAsia"/>
                        <w:szCs w:val="21"/>
                      </w:rPr>
                      <w:t>税后归属于母公司</w:t>
                    </w:r>
                  </w:p>
                </w:tc>
              </w:sdtContent>
            </w:sdt>
            <w:sdt>
              <w:sdtPr>
                <w:tag w:val="_PLD_addbe2b10c3b49449f4532c4ee8679a0"/>
                <w:id w:val="1171920403"/>
                <w:lock w:val="sdtLocked"/>
              </w:sdtPr>
              <w:sdtContent>
                <w:tc>
                  <w:tcPr>
                    <w:tcW w:w="553" w:type="pct"/>
                    <w:shd w:val="clear" w:color="auto" w:fill="auto"/>
                    <w:vAlign w:val="center"/>
                  </w:tcPr>
                  <w:p w:rsidR="00806678" w:rsidRDefault="00B16377">
                    <w:pPr>
                      <w:jc w:val="center"/>
                      <w:rPr>
                        <w:szCs w:val="21"/>
                      </w:rPr>
                    </w:pPr>
                    <w:r>
                      <w:rPr>
                        <w:rFonts w:hint="eastAsia"/>
                        <w:szCs w:val="21"/>
                      </w:rPr>
                      <w:t>税后归属于少数股东</w:t>
                    </w:r>
                  </w:p>
                </w:tc>
              </w:sdtContent>
            </w:sdt>
            <w:tc>
              <w:tcPr>
                <w:tcW w:w="547" w:type="pct"/>
                <w:vMerge/>
                <w:shd w:val="clear" w:color="auto" w:fill="auto"/>
              </w:tcPr>
              <w:p w:rsidR="00806678" w:rsidRDefault="00806678">
                <w:pPr>
                  <w:jc w:val="center"/>
                  <w:rPr>
                    <w:szCs w:val="21"/>
                  </w:rPr>
                </w:pPr>
              </w:p>
            </w:tc>
          </w:tr>
          <w:tr w:rsidR="004B63F5" w:rsidTr="004B63F5">
            <w:sdt>
              <w:sdtPr>
                <w:tag w:val="_PLD_b96033963bb045d6b35757f869c2a5dc"/>
                <w:id w:val="857630452"/>
                <w:lock w:val="sdtLocked"/>
              </w:sdtPr>
              <w:sdtContent>
                <w:tc>
                  <w:tcPr>
                    <w:tcW w:w="743" w:type="pct"/>
                    <w:shd w:val="clear" w:color="auto" w:fill="auto"/>
                    <w:vAlign w:val="center"/>
                  </w:tcPr>
                  <w:p w:rsidR="00E00336" w:rsidRDefault="00E00336" w:rsidP="00E00336">
                    <w:pPr>
                      <w:rPr>
                        <w:szCs w:val="21"/>
                      </w:rPr>
                    </w:pPr>
                    <w:r>
                      <w:rPr>
                        <w:rFonts w:hint="eastAsia"/>
                        <w:szCs w:val="21"/>
                      </w:rPr>
                      <w:t>一、不能重分类进损益的其他综合收益</w:t>
                    </w:r>
                  </w:p>
                </w:tc>
              </w:sdtContent>
            </w:sdt>
            <w:tc>
              <w:tcPr>
                <w:tcW w:w="397" w:type="pct"/>
                <w:shd w:val="clear" w:color="auto" w:fill="auto"/>
                <w:vAlign w:val="center"/>
              </w:tcPr>
              <w:p w:rsidR="00E00336" w:rsidRDefault="00E00336" w:rsidP="00E00336">
                <w:pPr>
                  <w:jc w:val="right"/>
                  <w:rPr>
                    <w:szCs w:val="21"/>
                  </w:rPr>
                </w:pPr>
                <w:r>
                  <w:t>-605,338,475</w:t>
                </w:r>
              </w:p>
            </w:tc>
            <w:tc>
              <w:tcPr>
                <w:tcW w:w="552" w:type="pct"/>
                <w:shd w:val="clear" w:color="auto" w:fill="auto"/>
                <w:vAlign w:val="center"/>
              </w:tcPr>
              <w:p w:rsidR="00E00336" w:rsidRDefault="00E00336" w:rsidP="00E00336">
                <w:pPr>
                  <w:jc w:val="right"/>
                  <w:rPr>
                    <w:szCs w:val="21"/>
                  </w:rPr>
                </w:pPr>
                <w:r>
                  <w:t>-93,958,217</w:t>
                </w:r>
              </w:p>
            </w:tc>
            <w:tc>
              <w:tcPr>
                <w:tcW w:w="552" w:type="pct"/>
                <w:shd w:val="clear" w:color="auto" w:fill="auto"/>
                <w:vAlign w:val="center"/>
              </w:tcPr>
              <w:p w:rsidR="00E00336" w:rsidRDefault="00E00336" w:rsidP="00E00336">
                <w:pPr>
                  <w:jc w:val="right"/>
                  <w:rPr>
                    <w:szCs w:val="21"/>
                  </w:rPr>
                </w:pPr>
                <w:r>
                  <w:rPr>
                    <w:szCs w:val="21"/>
                  </w:rPr>
                  <w:t>0</w:t>
                </w:r>
              </w:p>
            </w:tc>
            <w:tc>
              <w:tcPr>
                <w:tcW w:w="552" w:type="pct"/>
                <w:vAlign w:val="center"/>
              </w:tcPr>
              <w:p w:rsidR="00E00336" w:rsidRDefault="00E00336" w:rsidP="00E00336">
                <w:pPr>
                  <w:jc w:val="right"/>
                  <w:rPr>
                    <w:szCs w:val="21"/>
                  </w:rPr>
                </w:pPr>
                <w:r>
                  <w:t>0</w:t>
                </w:r>
              </w:p>
            </w:tc>
            <w:tc>
              <w:tcPr>
                <w:tcW w:w="552" w:type="pct"/>
                <w:shd w:val="clear" w:color="auto" w:fill="auto"/>
                <w:vAlign w:val="center"/>
              </w:tcPr>
              <w:p w:rsidR="00E00336" w:rsidRDefault="00E00336" w:rsidP="00E00336">
                <w:pPr>
                  <w:jc w:val="right"/>
                  <w:rPr>
                    <w:szCs w:val="21"/>
                  </w:rPr>
                </w:pPr>
                <w:r w:rsidRPr="0080020D">
                  <w:t>320,625</w:t>
                </w:r>
              </w:p>
            </w:tc>
            <w:tc>
              <w:tcPr>
                <w:tcW w:w="552" w:type="pct"/>
                <w:shd w:val="clear" w:color="auto" w:fill="auto"/>
                <w:vAlign w:val="center"/>
              </w:tcPr>
              <w:p w:rsidR="00E00336" w:rsidRDefault="00E00336" w:rsidP="00E00336">
                <w:pPr>
                  <w:jc w:val="right"/>
                  <w:rPr>
                    <w:szCs w:val="21"/>
                  </w:rPr>
                </w:pPr>
                <w:r w:rsidRPr="00E00336">
                  <w:t>-93,199,761</w:t>
                </w:r>
              </w:p>
            </w:tc>
            <w:tc>
              <w:tcPr>
                <w:tcW w:w="553" w:type="pct"/>
                <w:shd w:val="clear" w:color="auto" w:fill="auto"/>
                <w:vAlign w:val="center"/>
              </w:tcPr>
              <w:p w:rsidR="00E00336" w:rsidRDefault="00E00336" w:rsidP="00E00336">
                <w:pPr>
                  <w:jc w:val="right"/>
                  <w:rPr>
                    <w:szCs w:val="21"/>
                  </w:rPr>
                </w:pPr>
                <w:r>
                  <w:t>-437,831</w:t>
                </w:r>
              </w:p>
            </w:tc>
            <w:tc>
              <w:tcPr>
                <w:tcW w:w="547" w:type="pct"/>
                <w:shd w:val="clear" w:color="auto" w:fill="auto"/>
                <w:vAlign w:val="center"/>
              </w:tcPr>
              <w:p w:rsidR="00E00336" w:rsidRDefault="00E00336" w:rsidP="00E00336">
                <w:pPr>
                  <w:jc w:val="right"/>
                  <w:rPr>
                    <w:szCs w:val="21"/>
                  </w:rPr>
                </w:pPr>
                <w:r>
                  <w:t>-</w:t>
                </w:r>
                <w:r w:rsidRPr="0080020D">
                  <w:t>698,538,236</w:t>
                </w:r>
              </w:p>
            </w:tc>
          </w:tr>
          <w:tr w:rsidR="004B63F5" w:rsidTr="004B63F5">
            <w:sdt>
              <w:sdtPr>
                <w:tag w:val="_PLD_7b42172901564b6ab8ed88abade0e637"/>
                <w:id w:val="-327207938"/>
                <w:lock w:val="sdtLocked"/>
              </w:sdtPr>
              <w:sdtContent>
                <w:tc>
                  <w:tcPr>
                    <w:tcW w:w="743" w:type="pct"/>
                    <w:shd w:val="clear" w:color="auto" w:fill="auto"/>
                    <w:vAlign w:val="center"/>
                  </w:tcPr>
                  <w:p w:rsidR="00E00336" w:rsidRDefault="00E00336" w:rsidP="00E00336">
                    <w:pPr>
                      <w:rPr>
                        <w:szCs w:val="21"/>
                      </w:rPr>
                    </w:pPr>
                    <w:r>
                      <w:rPr>
                        <w:rFonts w:hint="eastAsia"/>
                        <w:szCs w:val="21"/>
                      </w:rPr>
                      <w:t>其中：重新计量设定受益计划变动额</w:t>
                    </w:r>
                  </w:p>
                </w:tc>
              </w:sdtContent>
            </w:sdt>
            <w:tc>
              <w:tcPr>
                <w:tcW w:w="397" w:type="pct"/>
                <w:shd w:val="clear" w:color="auto" w:fill="auto"/>
                <w:vAlign w:val="center"/>
              </w:tcPr>
              <w:p w:rsidR="00E00336" w:rsidRDefault="00E00336" w:rsidP="00E00336">
                <w:pPr>
                  <w:jc w:val="right"/>
                  <w:rPr>
                    <w:szCs w:val="21"/>
                  </w:rPr>
                </w:pPr>
                <w:r>
                  <w:t>-645,603,202</w:t>
                </w:r>
              </w:p>
            </w:tc>
            <w:tc>
              <w:tcPr>
                <w:tcW w:w="552" w:type="pct"/>
                <w:shd w:val="clear" w:color="auto" w:fill="auto"/>
                <w:vAlign w:val="center"/>
              </w:tcPr>
              <w:p w:rsidR="00E00336" w:rsidRDefault="00E00336" w:rsidP="00E00336">
                <w:pPr>
                  <w:jc w:val="right"/>
                  <w:rPr>
                    <w:szCs w:val="21"/>
                  </w:rPr>
                </w:pPr>
                <w:r>
                  <w:t>-92,675,717</w:t>
                </w:r>
              </w:p>
            </w:tc>
            <w:tc>
              <w:tcPr>
                <w:tcW w:w="552" w:type="pct"/>
                <w:shd w:val="clear" w:color="auto" w:fill="auto"/>
                <w:vAlign w:val="center"/>
              </w:tcPr>
              <w:p w:rsidR="00E00336" w:rsidRDefault="00E00336" w:rsidP="00E00336">
                <w:pPr>
                  <w:jc w:val="right"/>
                  <w:rPr>
                    <w:szCs w:val="21"/>
                  </w:rPr>
                </w:pPr>
                <w:r>
                  <w:rPr>
                    <w:szCs w:val="21"/>
                  </w:rPr>
                  <w:t>0</w:t>
                </w:r>
              </w:p>
            </w:tc>
            <w:tc>
              <w:tcPr>
                <w:tcW w:w="552" w:type="pct"/>
                <w:vAlign w:val="center"/>
              </w:tcPr>
              <w:p w:rsidR="00E00336" w:rsidRDefault="00E00336" w:rsidP="00E00336">
                <w:pPr>
                  <w:jc w:val="right"/>
                  <w:rPr>
                    <w:szCs w:val="21"/>
                  </w:rPr>
                </w:pPr>
                <w:r>
                  <w:t>0</w:t>
                </w:r>
              </w:p>
            </w:tc>
            <w:tc>
              <w:tcPr>
                <w:tcW w:w="552" w:type="pct"/>
                <w:shd w:val="clear" w:color="auto" w:fill="auto"/>
                <w:vAlign w:val="center"/>
              </w:tcPr>
              <w:p w:rsidR="00E00336" w:rsidRDefault="00E00336" w:rsidP="00E00336">
                <w:pPr>
                  <w:jc w:val="right"/>
                  <w:rPr>
                    <w:szCs w:val="21"/>
                  </w:rPr>
                </w:pPr>
                <w:r>
                  <w:t>0</w:t>
                </w:r>
              </w:p>
            </w:tc>
            <w:tc>
              <w:tcPr>
                <w:tcW w:w="552" w:type="pct"/>
                <w:shd w:val="clear" w:color="auto" w:fill="auto"/>
                <w:vAlign w:val="center"/>
              </w:tcPr>
              <w:p w:rsidR="00E00336" w:rsidRDefault="00E00336" w:rsidP="00E00336">
                <w:pPr>
                  <w:jc w:val="right"/>
                  <w:rPr>
                    <w:szCs w:val="21"/>
                  </w:rPr>
                </w:pPr>
                <w:r>
                  <w:t>-92,237,886</w:t>
                </w:r>
              </w:p>
            </w:tc>
            <w:tc>
              <w:tcPr>
                <w:tcW w:w="553" w:type="pct"/>
                <w:shd w:val="clear" w:color="auto" w:fill="auto"/>
                <w:vAlign w:val="center"/>
              </w:tcPr>
              <w:p w:rsidR="00E00336" w:rsidRDefault="00E00336" w:rsidP="00E00336">
                <w:pPr>
                  <w:jc w:val="right"/>
                  <w:rPr>
                    <w:szCs w:val="21"/>
                  </w:rPr>
                </w:pPr>
                <w:r>
                  <w:t>-437,831</w:t>
                </w:r>
              </w:p>
            </w:tc>
            <w:tc>
              <w:tcPr>
                <w:tcW w:w="547" w:type="pct"/>
                <w:shd w:val="clear" w:color="auto" w:fill="auto"/>
                <w:vAlign w:val="center"/>
              </w:tcPr>
              <w:p w:rsidR="00E00336" w:rsidRDefault="00E00336" w:rsidP="00E00336">
                <w:pPr>
                  <w:jc w:val="right"/>
                  <w:rPr>
                    <w:szCs w:val="21"/>
                  </w:rPr>
                </w:pPr>
                <w:r>
                  <w:t>-737,841,088</w:t>
                </w:r>
              </w:p>
            </w:tc>
          </w:tr>
          <w:tr w:rsidR="004B63F5" w:rsidTr="004B63F5">
            <w:sdt>
              <w:sdtPr>
                <w:tag w:val="_PLD_071a59f937d84467bd4e99d5ed8b0958"/>
                <w:id w:val="-1088383507"/>
                <w:lock w:val="sdtLocked"/>
              </w:sdtPr>
              <w:sdtContent>
                <w:tc>
                  <w:tcPr>
                    <w:tcW w:w="743" w:type="pct"/>
                    <w:shd w:val="clear" w:color="auto" w:fill="auto"/>
                    <w:vAlign w:val="center"/>
                  </w:tcPr>
                  <w:p w:rsidR="00E00336" w:rsidRDefault="00E00336" w:rsidP="00E00336">
                    <w:pPr>
                      <w:ind w:firstLineChars="100" w:firstLine="210"/>
                    </w:pPr>
                    <w:r>
                      <w:rPr>
                        <w:rFonts w:hint="eastAsia"/>
                      </w:rPr>
                      <w:t>其他权益工具投资公允价值变动</w:t>
                    </w:r>
                  </w:p>
                </w:tc>
              </w:sdtContent>
            </w:sdt>
            <w:tc>
              <w:tcPr>
                <w:tcW w:w="397" w:type="pct"/>
                <w:shd w:val="clear" w:color="auto" w:fill="auto"/>
                <w:vAlign w:val="center"/>
              </w:tcPr>
              <w:p w:rsidR="00E00336" w:rsidRDefault="00E00336" w:rsidP="00E00336">
                <w:pPr>
                  <w:jc w:val="right"/>
                </w:pPr>
                <w:r>
                  <w:t>40,264,727</w:t>
                </w:r>
              </w:p>
            </w:tc>
            <w:tc>
              <w:tcPr>
                <w:tcW w:w="552" w:type="pct"/>
                <w:shd w:val="clear" w:color="auto" w:fill="auto"/>
                <w:vAlign w:val="center"/>
              </w:tcPr>
              <w:p w:rsidR="00E00336" w:rsidRDefault="00E00336" w:rsidP="00E00336">
                <w:pPr>
                  <w:jc w:val="right"/>
                  <w:rPr>
                    <w:szCs w:val="21"/>
                  </w:rPr>
                </w:pPr>
                <w:r>
                  <w:t>-1,282,500</w:t>
                </w:r>
              </w:p>
            </w:tc>
            <w:tc>
              <w:tcPr>
                <w:tcW w:w="552" w:type="pct"/>
                <w:shd w:val="clear" w:color="auto" w:fill="auto"/>
                <w:vAlign w:val="center"/>
              </w:tcPr>
              <w:p w:rsidR="00E00336" w:rsidRDefault="00E00336" w:rsidP="00E00336">
                <w:pPr>
                  <w:jc w:val="right"/>
                  <w:rPr>
                    <w:szCs w:val="21"/>
                  </w:rPr>
                </w:pPr>
                <w:r>
                  <w:rPr>
                    <w:szCs w:val="21"/>
                  </w:rPr>
                  <w:t>0</w:t>
                </w:r>
              </w:p>
            </w:tc>
            <w:tc>
              <w:tcPr>
                <w:tcW w:w="552" w:type="pct"/>
                <w:vAlign w:val="center"/>
              </w:tcPr>
              <w:p w:rsidR="00E00336" w:rsidRDefault="00E00336" w:rsidP="00E00336">
                <w:pPr>
                  <w:jc w:val="right"/>
                  <w:rPr>
                    <w:szCs w:val="21"/>
                  </w:rPr>
                </w:pPr>
                <w:r>
                  <w:t>0</w:t>
                </w:r>
              </w:p>
            </w:tc>
            <w:tc>
              <w:tcPr>
                <w:tcW w:w="552" w:type="pct"/>
                <w:shd w:val="clear" w:color="auto" w:fill="auto"/>
                <w:vAlign w:val="center"/>
              </w:tcPr>
              <w:p w:rsidR="00E00336" w:rsidRDefault="00E00336" w:rsidP="00E00336">
                <w:pPr>
                  <w:jc w:val="right"/>
                  <w:rPr>
                    <w:szCs w:val="21"/>
                  </w:rPr>
                </w:pPr>
                <w:r>
                  <w:t>320,625</w:t>
                </w:r>
              </w:p>
            </w:tc>
            <w:tc>
              <w:tcPr>
                <w:tcW w:w="552" w:type="pct"/>
                <w:shd w:val="clear" w:color="auto" w:fill="auto"/>
                <w:vAlign w:val="center"/>
              </w:tcPr>
              <w:p w:rsidR="00E00336" w:rsidRDefault="00E00336" w:rsidP="00E00336">
                <w:pPr>
                  <w:jc w:val="right"/>
                  <w:rPr>
                    <w:szCs w:val="21"/>
                  </w:rPr>
                </w:pPr>
                <w:r>
                  <w:t>-961,875</w:t>
                </w:r>
              </w:p>
            </w:tc>
            <w:tc>
              <w:tcPr>
                <w:tcW w:w="553" w:type="pct"/>
                <w:shd w:val="clear" w:color="auto" w:fill="auto"/>
                <w:vAlign w:val="center"/>
              </w:tcPr>
              <w:p w:rsidR="00E00336" w:rsidRDefault="00E00336" w:rsidP="00E00336">
                <w:pPr>
                  <w:jc w:val="right"/>
                  <w:rPr>
                    <w:szCs w:val="21"/>
                  </w:rPr>
                </w:pPr>
                <w:r>
                  <w:t>0</w:t>
                </w:r>
              </w:p>
            </w:tc>
            <w:tc>
              <w:tcPr>
                <w:tcW w:w="547" w:type="pct"/>
                <w:shd w:val="clear" w:color="auto" w:fill="auto"/>
                <w:vAlign w:val="center"/>
              </w:tcPr>
              <w:p w:rsidR="00E00336" w:rsidRDefault="00E00336" w:rsidP="00E00336">
                <w:pPr>
                  <w:jc w:val="right"/>
                  <w:rPr>
                    <w:szCs w:val="21"/>
                  </w:rPr>
                </w:pPr>
                <w:r>
                  <w:t>39,302,852</w:t>
                </w:r>
              </w:p>
            </w:tc>
          </w:tr>
          <w:tr w:rsidR="004B63F5" w:rsidTr="004B63F5">
            <w:sdt>
              <w:sdtPr>
                <w:tag w:val="_PLD_df0889046b734fe196430c1e5cdf2719"/>
                <w:id w:val="-2005742564"/>
                <w:lock w:val="sdtLocked"/>
              </w:sdtPr>
              <w:sdtContent>
                <w:tc>
                  <w:tcPr>
                    <w:tcW w:w="743" w:type="pct"/>
                    <w:shd w:val="clear" w:color="auto" w:fill="auto"/>
                  </w:tcPr>
                  <w:p w:rsidR="00E00336" w:rsidRDefault="00E00336" w:rsidP="00E00336">
                    <w:pPr>
                      <w:rPr>
                        <w:szCs w:val="21"/>
                      </w:rPr>
                    </w:pPr>
                    <w:r>
                      <w:rPr>
                        <w:rFonts w:hint="eastAsia"/>
                        <w:szCs w:val="21"/>
                      </w:rPr>
                      <w:t>二、将重分类进损益的其他综合收益</w:t>
                    </w:r>
                  </w:p>
                </w:tc>
              </w:sdtContent>
            </w:sdt>
            <w:tc>
              <w:tcPr>
                <w:tcW w:w="397" w:type="pct"/>
                <w:shd w:val="clear" w:color="auto" w:fill="auto"/>
              </w:tcPr>
              <w:p w:rsidR="00E00336" w:rsidRDefault="00E00336" w:rsidP="00E00336">
                <w:pPr>
                  <w:jc w:val="right"/>
                  <w:rPr>
                    <w:szCs w:val="21"/>
                  </w:rPr>
                </w:pPr>
              </w:p>
            </w:tc>
            <w:tc>
              <w:tcPr>
                <w:tcW w:w="552" w:type="pct"/>
                <w:shd w:val="clear" w:color="auto" w:fill="auto"/>
                <w:vAlign w:val="center"/>
              </w:tcPr>
              <w:p w:rsidR="00E00336" w:rsidRDefault="00E00336" w:rsidP="00E00336">
                <w:pPr>
                  <w:jc w:val="right"/>
                  <w:rPr>
                    <w:szCs w:val="21"/>
                  </w:rPr>
                </w:pPr>
              </w:p>
            </w:tc>
            <w:tc>
              <w:tcPr>
                <w:tcW w:w="552" w:type="pct"/>
                <w:shd w:val="clear" w:color="auto" w:fill="auto"/>
              </w:tcPr>
              <w:p w:rsidR="00E00336" w:rsidRDefault="00E00336" w:rsidP="00E00336">
                <w:pPr>
                  <w:jc w:val="right"/>
                  <w:rPr>
                    <w:szCs w:val="21"/>
                  </w:rPr>
                </w:pPr>
              </w:p>
            </w:tc>
            <w:tc>
              <w:tcPr>
                <w:tcW w:w="552" w:type="pct"/>
                <w:vAlign w:val="center"/>
              </w:tcPr>
              <w:p w:rsidR="00E00336" w:rsidRDefault="00E00336" w:rsidP="00E00336">
                <w:pPr>
                  <w:jc w:val="right"/>
                  <w:rPr>
                    <w:szCs w:val="21"/>
                  </w:rPr>
                </w:pPr>
              </w:p>
            </w:tc>
            <w:tc>
              <w:tcPr>
                <w:tcW w:w="552" w:type="pct"/>
                <w:shd w:val="clear" w:color="auto" w:fill="auto"/>
              </w:tcPr>
              <w:p w:rsidR="00E00336" w:rsidRDefault="00E00336" w:rsidP="00E00336">
                <w:pPr>
                  <w:jc w:val="right"/>
                  <w:rPr>
                    <w:szCs w:val="21"/>
                  </w:rPr>
                </w:pPr>
              </w:p>
            </w:tc>
            <w:tc>
              <w:tcPr>
                <w:tcW w:w="552" w:type="pct"/>
                <w:shd w:val="clear" w:color="auto" w:fill="auto"/>
                <w:vAlign w:val="center"/>
              </w:tcPr>
              <w:p w:rsidR="00E00336" w:rsidRDefault="00E00336" w:rsidP="00E00336">
                <w:pPr>
                  <w:jc w:val="right"/>
                  <w:rPr>
                    <w:szCs w:val="21"/>
                  </w:rPr>
                </w:pPr>
              </w:p>
            </w:tc>
            <w:tc>
              <w:tcPr>
                <w:tcW w:w="553" w:type="pct"/>
                <w:shd w:val="clear" w:color="auto" w:fill="auto"/>
              </w:tcPr>
              <w:p w:rsidR="00E00336" w:rsidRDefault="00E00336" w:rsidP="00E00336">
                <w:pPr>
                  <w:jc w:val="right"/>
                  <w:rPr>
                    <w:szCs w:val="21"/>
                  </w:rPr>
                </w:pPr>
              </w:p>
            </w:tc>
            <w:tc>
              <w:tcPr>
                <w:tcW w:w="547" w:type="pct"/>
                <w:shd w:val="clear" w:color="auto" w:fill="auto"/>
              </w:tcPr>
              <w:p w:rsidR="00E00336" w:rsidRDefault="00E00336" w:rsidP="00E00336">
                <w:pPr>
                  <w:jc w:val="right"/>
                  <w:rPr>
                    <w:szCs w:val="21"/>
                  </w:rPr>
                </w:pPr>
              </w:p>
            </w:tc>
          </w:tr>
          <w:tr w:rsidR="004B63F5" w:rsidTr="004B63F5">
            <w:sdt>
              <w:sdtPr>
                <w:tag w:val="_PLD_8f0e21d82f454f408229c1cb57e09699"/>
                <w:id w:val="256188495"/>
                <w:lock w:val="sdtLocked"/>
              </w:sdtPr>
              <w:sdtContent>
                <w:tc>
                  <w:tcPr>
                    <w:tcW w:w="743" w:type="pct"/>
                    <w:shd w:val="clear" w:color="auto" w:fill="auto"/>
                  </w:tcPr>
                  <w:p w:rsidR="00E00336" w:rsidRDefault="00E00336" w:rsidP="00E00336">
                    <w:pPr>
                      <w:rPr>
                        <w:szCs w:val="21"/>
                      </w:rPr>
                    </w:pPr>
                    <w:r>
                      <w:rPr>
                        <w:rFonts w:hint="eastAsia"/>
                        <w:szCs w:val="21"/>
                      </w:rPr>
                      <w:t>其中：权益法下可转损益的其他综合收益</w:t>
                    </w:r>
                  </w:p>
                </w:tc>
              </w:sdtContent>
            </w:sdt>
            <w:tc>
              <w:tcPr>
                <w:tcW w:w="397" w:type="pct"/>
                <w:shd w:val="clear" w:color="auto" w:fill="auto"/>
              </w:tcPr>
              <w:p w:rsidR="00E00336" w:rsidRDefault="00E00336" w:rsidP="00E00336">
                <w:pPr>
                  <w:jc w:val="right"/>
                  <w:rPr>
                    <w:szCs w:val="21"/>
                  </w:rPr>
                </w:pPr>
              </w:p>
            </w:tc>
            <w:tc>
              <w:tcPr>
                <w:tcW w:w="552" w:type="pct"/>
                <w:shd w:val="clear" w:color="auto" w:fill="auto"/>
                <w:vAlign w:val="center"/>
              </w:tcPr>
              <w:p w:rsidR="00E00336" w:rsidRDefault="00E00336" w:rsidP="00E00336">
                <w:pPr>
                  <w:jc w:val="right"/>
                  <w:rPr>
                    <w:szCs w:val="21"/>
                  </w:rPr>
                </w:pPr>
              </w:p>
            </w:tc>
            <w:tc>
              <w:tcPr>
                <w:tcW w:w="552" w:type="pct"/>
                <w:shd w:val="clear" w:color="auto" w:fill="auto"/>
              </w:tcPr>
              <w:p w:rsidR="00E00336" w:rsidRDefault="00E00336" w:rsidP="00E00336">
                <w:pPr>
                  <w:jc w:val="right"/>
                  <w:rPr>
                    <w:szCs w:val="21"/>
                  </w:rPr>
                </w:pPr>
              </w:p>
            </w:tc>
            <w:tc>
              <w:tcPr>
                <w:tcW w:w="552" w:type="pct"/>
                <w:vAlign w:val="center"/>
              </w:tcPr>
              <w:p w:rsidR="00E00336" w:rsidRDefault="00E00336" w:rsidP="00E00336">
                <w:pPr>
                  <w:jc w:val="right"/>
                  <w:rPr>
                    <w:szCs w:val="21"/>
                  </w:rPr>
                </w:pPr>
              </w:p>
            </w:tc>
            <w:tc>
              <w:tcPr>
                <w:tcW w:w="552" w:type="pct"/>
                <w:shd w:val="clear" w:color="auto" w:fill="auto"/>
              </w:tcPr>
              <w:p w:rsidR="00E00336" w:rsidRDefault="00E00336" w:rsidP="00E00336">
                <w:pPr>
                  <w:jc w:val="right"/>
                  <w:rPr>
                    <w:szCs w:val="21"/>
                  </w:rPr>
                </w:pPr>
              </w:p>
            </w:tc>
            <w:tc>
              <w:tcPr>
                <w:tcW w:w="552" w:type="pct"/>
                <w:shd w:val="clear" w:color="auto" w:fill="auto"/>
                <w:vAlign w:val="center"/>
              </w:tcPr>
              <w:p w:rsidR="00E00336" w:rsidRDefault="00E00336" w:rsidP="00E00336">
                <w:pPr>
                  <w:jc w:val="right"/>
                  <w:rPr>
                    <w:szCs w:val="21"/>
                  </w:rPr>
                </w:pPr>
              </w:p>
            </w:tc>
            <w:tc>
              <w:tcPr>
                <w:tcW w:w="553" w:type="pct"/>
                <w:shd w:val="clear" w:color="auto" w:fill="auto"/>
              </w:tcPr>
              <w:p w:rsidR="00E00336" w:rsidRDefault="00E00336" w:rsidP="00E00336">
                <w:pPr>
                  <w:jc w:val="right"/>
                  <w:rPr>
                    <w:szCs w:val="21"/>
                  </w:rPr>
                </w:pPr>
              </w:p>
            </w:tc>
            <w:tc>
              <w:tcPr>
                <w:tcW w:w="547" w:type="pct"/>
                <w:shd w:val="clear" w:color="auto" w:fill="auto"/>
              </w:tcPr>
              <w:p w:rsidR="00E00336" w:rsidRDefault="00E00336" w:rsidP="00E00336">
                <w:pPr>
                  <w:jc w:val="right"/>
                  <w:rPr>
                    <w:szCs w:val="21"/>
                  </w:rPr>
                </w:pPr>
              </w:p>
            </w:tc>
          </w:tr>
          <w:tr w:rsidR="004B63F5" w:rsidTr="004B63F5">
            <w:sdt>
              <w:sdtPr>
                <w:tag w:val="_PLD_9ad7dfdffcbb4195853f9f7672607063"/>
                <w:id w:val="-250742006"/>
                <w:lock w:val="sdtLocked"/>
              </w:sdtPr>
              <w:sdtContent>
                <w:tc>
                  <w:tcPr>
                    <w:tcW w:w="743" w:type="pct"/>
                    <w:shd w:val="clear" w:color="auto" w:fill="auto"/>
                    <w:vAlign w:val="center"/>
                  </w:tcPr>
                  <w:p w:rsidR="00E00336" w:rsidRDefault="00E00336" w:rsidP="00E00336">
                    <w:pPr>
                      <w:rPr>
                        <w:szCs w:val="21"/>
                      </w:rPr>
                    </w:pPr>
                    <w:r>
                      <w:rPr>
                        <w:rFonts w:hint="eastAsia"/>
                        <w:szCs w:val="21"/>
                      </w:rPr>
                      <w:t>其他综合收益合计</w:t>
                    </w:r>
                  </w:p>
                </w:tc>
              </w:sdtContent>
            </w:sdt>
            <w:tc>
              <w:tcPr>
                <w:tcW w:w="397" w:type="pct"/>
                <w:shd w:val="clear" w:color="auto" w:fill="auto"/>
                <w:vAlign w:val="center"/>
              </w:tcPr>
              <w:p w:rsidR="00E00336" w:rsidRDefault="00E00336" w:rsidP="00E00336">
                <w:pPr>
                  <w:jc w:val="right"/>
                  <w:rPr>
                    <w:szCs w:val="21"/>
                  </w:rPr>
                </w:pPr>
                <w:r>
                  <w:t>-605,338,475</w:t>
                </w:r>
              </w:p>
            </w:tc>
            <w:tc>
              <w:tcPr>
                <w:tcW w:w="552" w:type="pct"/>
                <w:shd w:val="clear" w:color="auto" w:fill="auto"/>
                <w:vAlign w:val="center"/>
              </w:tcPr>
              <w:p w:rsidR="00E00336" w:rsidRDefault="00E00336" w:rsidP="00E00336">
                <w:pPr>
                  <w:jc w:val="right"/>
                  <w:rPr>
                    <w:szCs w:val="21"/>
                  </w:rPr>
                </w:pPr>
                <w:r>
                  <w:t>-93,958,217</w:t>
                </w:r>
              </w:p>
            </w:tc>
            <w:tc>
              <w:tcPr>
                <w:tcW w:w="552" w:type="pct"/>
                <w:shd w:val="clear" w:color="auto" w:fill="auto"/>
                <w:vAlign w:val="center"/>
              </w:tcPr>
              <w:p w:rsidR="00E00336" w:rsidRDefault="00E00336" w:rsidP="00E00336">
                <w:pPr>
                  <w:jc w:val="right"/>
                  <w:rPr>
                    <w:szCs w:val="21"/>
                  </w:rPr>
                </w:pPr>
                <w:r>
                  <w:rPr>
                    <w:szCs w:val="21"/>
                  </w:rPr>
                  <w:t>0</w:t>
                </w:r>
              </w:p>
            </w:tc>
            <w:tc>
              <w:tcPr>
                <w:tcW w:w="552" w:type="pct"/>
                <w:vAlign w:val="center"/>
              </w:tcPr>
              <w:p w:rsidR="00E00336" w:rsidRDefault="00E00336" w:rsidP="00E00336">
                <w:pPr>
                  <w:jc w:val="right"/>
                  <w:rPr>
                    <w:szCs w:val="21"/>
                  </w:rPr>
                </w:pPr>
                <w:r>
                  <w:t>0</w:t>
                </w:r>
              </w:p>
            </w:tc>
            <w:tc>
              <w:tcPr>
                <w:tcW w:w="552" w:type="pct"/>
                <w:shd w:val="clear" w:color="auto" w:fill="auto"/>
                <w:vAlign w:val="center"/>
              </w:tcPr>
              <w:p w:rsidR="00E00336" w:rsidRDefault="00E00336" w:rsidP="00E00336">
                <w:pPr>
                  <w:jc w:val="right"/>
                  <w:rPr>
                    <w:szCs w:val="21"/>
                  </w:rPr>
                </w:pPr>
                <w:r w:rsidRPr="0080020D">
                  <w:t>320,625</w:t>
                </w:r>
              </w:p>
            </w:tc>
            <w:tc>
              <w:tcPr>
                <w:tcW w:w="552" w:type="pct"/>
                <w:shd w:val="clear" w:color="auto" w:fill="auto"/>
                <w:vAlign w:val="center"/>
              </w:tcPr>
              <w:p w:rsidR="00E00336" w:rsidRDefault="00E00336" w:rsidP="00E00336">
                <w:pPr>
                  <w:jc w:val="right"/>
                  <w:rPr>
                    <w:szCs w:val="21"/>
                  </w:rPr>
                </w:pPr>
                <w:r w:rsidRPr="00E00336">
                  <w:t>-93,199,761</w:t>
                </w:r>
              </w:p>
            </w:tc>
            <w:tc>
              <w:tcPr>
                <w:tcW w:w="553" w:type="pct"/>
                <w:shd w:val="clear" w:color="auto" w:fill="auto"/>
                <w:vAlign w:val="center"/>
              </w:tcPr>
              <w:p w:rsidR="00E00336" w:rsidRDefault="00E00336" w:rsidP="00E00336">
                <w:pPr>
                  <w:jc w:val="right"/>
                  <w:rPr>
                    <w:szCs w:val="21"/>
                  </w:rPr>
                </w:pPr>
                <w:r w:rsidRPr="0080020D">
                  <w:t>-437,831</w:t>
                </w:r>
              </w:p>
            </w:tc>
            <w:tc>
              <w:tcPr>
                <w:tcW w:w="547" w:type="pct"/>
                <w:shd w:val="clear" w:color="auto" w:fill="auto"/>
                <w:vAlign w:val="center"/>
              </w:tcPr>
              <w:p w:rsidR="00E00336" w:rsidRDefault="00E00336" w:rsidP="00E00336">
                <w:pPr>
                  <w:jc w:val="right"/>
                  <w:rPr>
                    <w:szCs w:val="21"/>
                  </w:rPr>
                </w:pPr>
                <w:r>
                  <w:t>-</w:t>
                </w:r>
                <w:r w:rsidRPr="0080020D">
                  <w:t>698,538,236</w:t>
                </w:r>
              </w:p>
            </w:tc>
          </w:tr>
        </w:tbl>
        <w:p w:rsidR="00806678" w:rsidRDefault="00806678"/>
        <w:p w:rsidR="00806678" w:rsidRDefault="00B16377">
          <w:pPr>
            <w:spacing w:before="60" w:after="60"/>
            <w:rPr>
              <w:b/>
              <w:szCs w:val="21"/>
            </w:rPr>
          </w:pPr>
          <w:r>
            <w:rPr>
              <w:rFonts w:hint="eastAsia"/>
              <w:szCs w:val="21"/>
            </w:rPr>
            <w:t>其他说明，包括对现金流量套期损益的有效部分转为被套期项目初始确认金额调整：</w:t>
          </w:r>
        </w:p>
        <w:sdt>
          <w:sdtPr>
            <w:rPr>
              <w:rFonts w:hint="eastAsia"/>
              <w:szCs w:val="21"/>
            </w:rPr>
            <w:alias w:val="综合收益情况"/>
            <w:tag w:val="_GBC_5d84d969b6cc4ff285c66258c1721a98"/>
            <w:id w:val="692812567"/>
            <w:lock w:val="sdtLocked"/>
            <w:placeholder>
              <w:docPart w:val="GBC22222222222222222222222222222"/>
            </w:placeholder>
          </w:sdtPr>
          <w:sdtContent>
            <w:p w:rsidR="00806678" w:rsidRDefault="005661D6">
              <w:pPr>
                <w:rPr>
                  <w:szCs w:val="21"/>
                </w:rPr>
              </w:pPr>
              <w:r>
                <w:rPr>
                  <w:rFonts w:hint="eastAsia"/>
                  <w:szCs w:val="21"/>
                </w:rPr>
                <w:t>无</w:t>
              </w:r>
            </w:p>
          </w:sdtContent>
        </w:sdt>
        <w:p w:rsidR="0080020D" w:rsidRDefault="0080020D">
          <w:pPr>
            <w:rPr>
              <w:szCs w:val="21"/>
            </w:rPr>
            <w:sectPr w:rsidR="0080020D" w:rsidSect="0080020D">
              <w:pgSz w:w="16838" w:h="11906" w:orient="landscape"/>
              <w:pgMar w:top="1276" w:right="1440" w:bottom="1797" w:left="1525" w:header="856" w:footer="992" w:gutter="0"/>
              <w:cols w:space="425"/>
              <w:docGrid w:type="lines" w:linePitch="312"/>
            </w:sectPr>
          </w:pPr>
        </w:p>
        <w:p w:rsidR="00806678" w:rsidRDefault="00F80B6C">
          <w:pPr>
            <w:rPr>
              <w:szCs w:val="21"/>
            </w:rPr>
          </w:pPr>
        </w:p>
      </w:sdtContent>
    </w:sdt>
    <w:bookmarkEnd w:id="241" w:displacedByCustomXml="prev"/>
    <w:sdt>
      <w:sdtPr>
        <w:rPr>
          <w:rFonts w:ascii="宋体" w:hAnsi="宋体" w:cs="宋体" w:hint="eastAsia"/>
          <w:b w:val="0"/>
          <w:bCs w:val="0"/>
          <w:kern w:val="0"/>
          <w:szCs w:val="21"/>
        </w:rPr>
        <w:alias w:val="模块:专项储备"/>
        <w:tag w:val="_SEC_84ba198e06284c06a5fcfe80ab43de2c"/>
        <w:id w:val="517283442"/>
        <w:lock w:val="sdtLocked"/>
        <w:placeholder>
          <w:docPart w:val="GBC22222222222222222222222222222"/>
        </w:placeholder>
      </w:sdtPr>
      <w:sdtEndPr>
        <w:rPr>
          <w:rFonts w:cstheme="minorBidi" w:hint="default"/>
          <w:color w:val="000000" w:themeColor="text1"/>
        </w:rPr>
      </w:sdtEndPr>
      <w:sdtContent>
        <w:p w:rsidR="00806678" w:rsidRDefault="00B16377" w:rsidP="00FF17C7">
          <w:pPr>
            <w:pStyle w:val="3"/>
            <w:numPr>
              <w:ilvl w:val="0"/>
              <w:numId w:val="18"/>
            </w:numPr>
            <w:tabs>
              <w:tab w:val="left" w:pos="504"/>
            </w:tabs>
            <w:rPr>
              <w:rFonts w:ascii="宋体" w:hAnsi="宋体"/>
              <w:szCs w:val="21"/>
            </w:rPr>
          </w:pPr>
          <w:r>
            <w:rPr>
              <w:rFonts w:ascii="宋体" w:hAnsi="宋体" w:hint="eastAsia"/>
              <w:szCs w:val="21"/>
            </w:rPr>
            <w:t>专项储备</w:t>
          </w:r>
        </w:p>
        <w:sdt>
          <w:sdtPr>
            <w:alias w:val="是否适用：专项储备[双击切换]"/>
            <w:tag w:val="_GBC_0e2f337ccf9a4bc6919cf02a896e57c1"/>
            <w:id w:val="-853722819"/>
            <w:lock w:val="sdtLocked"/>
            <w:placeholder>
              <w:docPart w:val="GBC22222222222222222222222222222"/>
            </w:placeholder>
          </w:sdtPr>
          <w:sdtContent>
            <w:p w:rsidR="00806678" w:rsidRDefault="00F80B6C">
              <w:r>
                <w:fldChar w:fldCharType="begin"/>
              </w:r>
              <w:r w:rsidR="003F6DF5">
                <w:instrText xml:space="preserve">MACROBUTTON  SnrToggleCheckbox √适用 </w:instrText>
              </w:r>
              <w:r>
                <w:fldChar w:fldCharType="end"/>
              </w:r>
              <w:r>
                <w:fldChar w:fldCharType="begin"/>
              </w:r>
              <w:r w:rsidR="003F6DF5">
                <w:instrText xml:space="preserve"> MACROBUTTON  SnrToggleCheckbox □不适用 </w:instrText>
              </w:r>
              <w:r>
                <w:fldChar w:fldCharType="end"/>
              </w:r>
            </w:p>
          </w:sdtContent>
        </w:sdt>
        <w:p w:rsidR="00806678" w:rsidRDefault="00B16377">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专项储备"/>
              <w:tag w:val="_GBC_b47176c62a0d4cb08df78fbfc975ed8c"/>
              <w:id w:val="-97583497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财务附注：专项储备"/>
              <w:tag w:val="_GBC_0d38a2dae28a4705ad4e665e5fcad88c"/>
              <w:id w:val="93155324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1712"/>
            <w:gridCol w:w="1823"/>
            <w:gridCol w:w="1823"/>
            <w:gridCol w:w="1864"/>
            <w:gridCol w:w="1837"/>
          </w:tblGrid>
          <w:tr w:rsidR="00806678" w:rsidTr="009757C3">
            <w:sdt>
              <w:sdtPr>
                <w:tag w:val="_PLD_1b8418d949a749fe8d001c0cc33cf61e"/>
                <w:id w:val="225265466"/>
                <w:lock w:val="sdtLocked"/>
              </w:sdtPr>
              <w:sdtContent>
                <w:tc>
                  <w:tcPr>
                    <w:tcW w:w="945" w:type="pct"/>
                    <w:shd w:val="clear" w:color="auto" w:fill="auto"/>
                    <w:vAlign w:val="center"/>
                  </w:tcPr>
                  <w:p w:rsidR="00806678" w:rsidRDefault="00B16377">
                    <w:pPr>
                      <w:jc w:val="center"/>
                      <w:rPr>
                        <w:szCs w:val="21"/>
                      </w:rPr>
                    </w:pPr>
                    <w:r>
                      <w:rPr>
                        <w:rFonts w:hint="eastAsia"/>
                        <w:szCs w:val="21"/>
                      </w:rPr>
                      <w:t>项目</w:t>
                    </w:r>
                  </w:p>
                </w:tc>
              </w:sdtContent>
            </w:sdt>
            <w:sdt>
              <w:sdtPr>
                <w:tag w:val="_PLD_080ff0821e57448ea6f6c5e836583c19"/>
                <w:id w:val="-957487992"/>
                <w:lock w:val="sdtLocked"/>
              </w:sdtPr>
              <w:sdtContent>
                <w:tc>
                  <w:tcPr>
                    <w:tcW w:w="1006" w:type="pct"/>
                    <w:shd w:val="clear" w:color="auto" w:fill="auto"/>
                    <w:vAlign w:val="center"/>
                  </w:tcPr>
                  <w:p w:rsidR="00806678" w:rsidRDefault="00B16377">
                    <w:pPr>
                      <w:jc w:val="center"/>
                      <w:rPr>
                        <w:szCs w:val="21"/>
                      </w:rPr>
                    </w:pPr>
                    <w:r>
                      <w:rPr>
                        <w:rFonts w:hint="eastAsia"/>
                        <w:szCs w:val="21"/>
                      </w:rPr>
                      <w:t>期初余额</w:t>
                    </w:r>
                  </w:p>
                </w:tc>
              </w:sdtContent>
            </w:sdt>
            <w:sdt>
              <w:sdtPr>
                <w:tag w:val="_PLD_99281caa76a54a77b09eef392dfa3e36"/>
                <w:id w:val="-1494952078"/>
                <w:lock w:val="sdtLocked"/>
              </w:sdtPr>
              <w:sdtContent>
                <w:tc>
                  <w:tcPr>
                    <w:tcW w:w="1006" w:type="pct"/>
                    <w:shd w:val="clear" w:color="auto" w:fill="auto"/>
                    <w:vAlign w:val="center"/>
                  </w:tcPr>
                  <w:p w:rsidR="00806678" w:rsidRDefault="00B16377">
                    <w:pPr>
                      <w:jc w:val="center"/>
                      <w:rPr>
                        <w:szCs w:val="21"/>
                      </w:rPr>
                    </w:pPr>
                    <w:r>
                      <w:rPr>
                        <w:rFonts w:hint="eastAsia"/>
                        <w:szCs w:val="21"/>
                      </w:rPr>
                      <w:t>本期增加</w:t>
                    </w:r>
                  </w:p>
                </w:tc>
              </w:sdtContent>
            </w:sdt>
            <w:sdt>
              <w:sdtPr>
                <w:tag w:val="_PLD_c1f0c2bb01df4af28d10ddd8f2af79a9"/>
                <w:id w:val="-1563396917"/>
                <w:lock w:val="sdtLocked"/>
              </w:sdtPr>
              <w:sdtContent>
                <w:tc>
                  <w:tcPr>
                    <w:tcW w:w="1029" w:type="pct"/>
                    <w:shd w:val="clear" w:color="auto" w:fill="auto"/>
                    <w:vAlign w:val="center"/>
                  </w:tcPr>
                  <w:p w:rsidR="00806678" w:rsidRDefault="00B16377">
                    <w:pPr>
                      <w:jc w:val="center"/>
                      <w:rPr>
                        <w:szCs w:val="21"/>
                      </w:rPr>
                    </w:pPr>
                    <w:r>
                      <w:rPr>
                        <w:rFonts w:hint="eastAsia"/>
                        <w:szCs w:val="21"/>
                      </w:rPr>
                      <w:t>本期减少</w:t>
                    </w:r>
                  </w:p>
                </w:tc>
              </w:sdtContent>
            </w:sdt>
            <w:sdt>
              <w:sdtPr>
                <w:tag w:val="_PLD_c07fab254eb14bc88273a7ed58442223"/>
                <w:id w:val="-47847875"/>
                <w:lock w:val="sdtLocked"/>
              </w:sdtPr>
              <w:sdtContent>
                <w:tc>
                  <w:tcPr>
                    <w:tcW w:w="1014" w:type="pct"/>
                    <w:shd w:val="clear" w:color="auto" w:fill="auto"/>
                    <w:vAlign w:val="center"/>
                  </w:tcPr>
                  <w:p w:rsidR="00806678" w:rsidRDefault="00B16377">
                    <w:pPr>
                      <w:jc w:val="center"/>
                      <w:rPr>
                        <w:szCs w:val="21"/>
                      </w:rPr>
                    </w:pPr>
                    <w:r>
                      <w:rPr>
                        <w:rFonts w:hint="eastAsia"/>
                        <w:szCs w:val="21"/>
                      </w:rPr>
                      <w:t>期末余额</w:t>
                    </w:r>
                  </w:p>
                </w:tc>
              </w:sdtContent>
            </w:sdt>
          </w:tr>
          <w:tr w:rsidR="003F6DF5" w:rsidTr="00DB008B">
            <w:tc>
              <w:tcPr>
                <w:tcW w:w="945" w:type="pct"/>
                <w:shd w:val="clear" w:color="auto" w:fill="auto"/>
              </w:tcPr>
              <w:p w:rsidR="003F6DF5" w:rsidRDefault="003F6DF5" w:rsidP="003F6DF5">
                <w:pPr>
                  <w:rPr>
                    <w:szCs w:val="21"/>
                  </w:rPr>
                </w:pPr>
                <w:r>
                  <w:rPr>
                    <w:rFonts w:hint="eastAsia"/>
                    <w:szCs w:val="21"/>
                  </w:rPr>
                  <w:t>安全生产费</w:t>
                </w:r>
              </w:p>
            </w:tc>
            <w:tc>
              <w:tcPr>
                <w:tcW w:w="1006" w:type="pct"/>
                <w:shd w:val="clear" w:color="auto" w:fill="auto"/>
                <w:vAlign w:val="center"/>
              </w:tcPr>
              <w:p w:rsidR="003F6DF5" w:rsidRDefault="003F6DF5" w:rsidP="003F6DF5">
                <w:pPr>
                  <w:jc w:val="right"/>
                  <w:rPr>
                    <w:szCs w:val="21"/>
                  </w:rPr>
                </w:pPr>
                <w:r>
                  <w:t>714,295,149</w:t>
                </w:r>
              </w:p>
            </w:tc>
            <w:tc>
              <w:tcPr>
                <w:tcW w:w="1006" w:type="pct"/>
                <w:shd w:val="clear" w:color="auto" w:fill="auto"/>
                <w:vAlign w:val="center"/>
              </w:tcPr>
              <w:p w:rsidR="003F6DF5" w:rsidRDefault="003F6DF5" w:rsidP="003F6DF5">
                <w:pPr>
                  <w:jc w:val="right"/>
                  <w:rPr>
                    <w:szCs w:val="21"/>
                  </w:rPr>
                </w:pPr>
                <w:r>
                  <w:t>769,715,685</w:t>
                </w:r>
              </w:p>
            </w:tc>
            <w:tc>
              <w:tcPr>
                <w:tcW w:w="1029" w:type="pct"/>
                <w:shd w:val="clear" w:color="auto" w:fill="auto"/>
                <w:vAlign w:val="center"/>
              </w:tcPr>
              <w:p w:rsidR="003F6DF5" w:rsidRDefault="003F6DF5" w:rsidP="003F6DF5">
                <w:pPr>
                  <w:jc w:val="right"/>
                  <w:rPr>
                    <w:szCs w:val="21"/>
                  </w:rPr>
                </w:pPr>
                <w:r>
                  <w:t>715,947,506</w:t>
                </w:r>
              </w:p>
            </w:tc>
            <w:tc>
              <w:tcPr>
                <w:tcW w:w="1014" w:type="pct"/>
                <w:shd w:val="clear" w:color="auto" w:fill="auto"/>
                <w:vAlign w:val="center"/>
              </w:tcPr>
              <w:p w:rsidR="003F6DF5" w:rsidRDefault="003F6DF5" w:rsidP="003F6DF5">
                <w:pPr>
                  <w:jc w:val="right"/>
                  <w:rPr>
                    <w:szCs w:val="21"/>
                  </w:rPr>
                </w:pPr>
                <w:r>
                  <w:t>768,063,328</w:t>
                </w:r>
              </w:p>
            </w:tc>
          </w:tr>
          <w:tr w:rsidR="003F6DF5" w:rsidTr="00DB008B">
            <w:tc>
              <w:tcPr>
                <w:tcW w:w="945" w:type="pct"/>
                <w:shd w:val="clear" w:color="auto" w:fill="auto"/>
                <w:vAlign w:val="center"/>
              </w:tcPr>
              <w:p w:rsidR="003F6DF5" w:rsidRDefault="003F6DF5" w:rsidP="003F6DF5">
                <w:pPr>
                  <w:jc w:val="center"/>
                  <w:rPr>
                    <w:szCs w:val="21"/>
                  </w:rPr>
                </w:pPr>
                <w:r>
                  <w:rPr>
                    <w:rFonts w:hint="eastAsia"/>
                    <w:szCs w:val="21"/>
                  </w:rPr>
                  <w:t>合计</w:t>
                </w:r>
              </w:p>
            </w:tc>
            <w:tc>
              <w:tcPr>
                <w:tcW w:w="1006" w:type="pct"/>
                <w:shd w:val="clear" w:color="auto" w:fill="auto"/>
                <w:vAlign w:val="center"/>
              </w:tcPr>
              <w:p w:rsidR="003F6DF5" w:rsidRDefault="003F6DF5" w:rsidP="003F6DF5">
                <w:pPr>
                  <w:jc w:val="right"/>
                  <w:rPr>
                    <w:szCs w:val="21"/>
                  </w:rPr>
                </w:pPr>
                <w:r>
                  <w:t>714,295,149</w:t>
                </w:r>
              </w:p>
            </w:tc>
            <w:tc>
              <w:tcPr>
                <w:tcW w:w="1006" w:type="pct"/>
                <w:shd w:val="clear" w:color="auto" w:fill="auto"/>
                <w:vAlign w:val="center"/>
              </w:tcPr>
              <w:p w:rsidR="003F6DF5" w:rsidRDefault="003F6DF5" w:rsidP="003F6DF5">
                <w:pPr>
                  <w:jc w:val="right"/>
                  <w:rPr>
                    <w:szCs w:val="21"/>
                  </w:rPr>
                </w:pPr>
                <w:r>
                  <w:t>769,715,685</w:t>
                </w:r>
              </w:p>
            </w:tc>
            <w:tc>
              <w:tcPr>
                <w:tcW w:w="1029" w:type="pct"/>
                <w:shd w:val="clear" w:color="auto" w:fill="auto"/>
                <w:vAlign w:val="center"/>
              </w:tcPr>
              <w:p w:rsidR="003F6DF5" w:rsidRDefault="003F6DF5" w:rsidP="003F6DF5">
                <w:pPr>
                  <w:jc w:val="right"/>
                  <w:rPr>
                    <w:szCs w:val="21"/>
                  </w:rPr>
                </w:pPr>
                <w:r>
                  <w:t>715,947,506</w:t>
                </w:r>
              </w:p>
            </w:tc>
            <w:tc>
              <w:tcPr>
                <w:tcW w:w="1014" w:type="pct"/>
                <w:shd w:val="clear" w:color="auto" w:fill="auto"/>
                <w:vAlign w:val="center"/>
              </w:tcPr>
              <w:p w:rsidR="003F6DF5" w:rsidRDefault="003F6DF5" w:rsidP="003F6DF5">
                <w:pPr>
                  <w:jc w:val="right"/>
                  <w:rPr>
                    <w:szCs w:val="21"/>
                  </w:rPr>
                </w:pPr>
                <w:r>
                  <w:t>768,063,328</w:t>
                </w:r>
              </w:p>
            </w:tc>
          </w:tr>
        </w:tbl>
        <w:p w:rsidR="00422D5A" w:rsidRDefault="00422D5A">
          <w:pPr>
            <w:rPr>
              <w:szCs w:val="21"/>
            </w:rPr>
          </w:pPr>
        </w:p>
        <w:p w:rsidR="00806678" w:rsidRDefault="00B16377">
          <w:pPr>
            <w:rPr>
              <w:szCs w:val="21"/>
            </w:rPr>
          </w:pPr>
          <w:r>
            <w:rPr>
              <w:rFonts w:hint="eastAsia"/>
              <w:szCs w:val="21"/>
            </w:rPr>
            <w:t>其他说明，包括本期增减变动情况、变动原因说明：</w:t>
          </w:r>
        </w:p>
        <w:p w:rsidR="00806678" w:rsidRDefault="00F80B6C">
          <w:pPr>
            <w:rPr>
              <w:szCs w:val="21"/>
            </w:rPr>
          </w:pPr>
          <w:sdt>
            <w:sdtPr>
              <w:rPr>
                <w:szCs w:val="21"/>
              </w:rPr>
              <w:alias w:val="专项储备情况说明"/>
              <w:tag w:val="_GBC_a75c8c7cc1e44ab5a1585f4a9964199c"/>
              <w:id w:val="-13388504"/>
              <w:lock w:val="sdtLocked"/>
              <w:placeholder>
                <w:docPart w:val="GBC22222222222222222222222222222"/>
              </w:placeholder>
            </w:sdtPr>
            <w:sdtContent>
              <w:r w:rsidR="00342A74">
                <w:rPr>
                  <w:rFonts w:hint="eastAsia"/>
                  <w:szCs w:val="21"/>
                </w:rPr>
                <w:t>无</w:t>
              </w:r>
            </w:sdtContent>
          </w:sdt>
        </w:p>
      </w:sdtContent>
    </w:sdt>
    <w:p w:rsidR="00806678" w:rsidRDefault="00806678">
      <w:pPr>
        <w:rPr>
          <w:szCs w:val="21"/>
        </w:rPr>
      </w:pPr>
    </w:p>
    <w:sdt>
      <w:sdtPr>
        <w:rPr>
          <w:rFonts w:ascii="宋体" w:hAnsi="宋体" w:cs="宋体" w:hint="eastAsia"/>
          <w:b w:val="0"/>
          <w:bCs w:val="0"/>
          <w:kern w:val="0"/>
          <w:szCs w:val="21"/>
        </w:rPr>
        <w:alias w:val="模块:盈余公积"/>
        <w:tag w:val="_SEC_e4999705883d4533b90d93a828deecc9"/>
        <w:id w:val="-1319104925"/>
        <w:lock w:val="sdtLocked"/>
        <w:placeholder>
          <w:docPart w:val="GBC22222222222222222222222222222"/>
        </w:placeholder>
      </w:sdtPr>
      <w:sdtEndPr>
        <w:rPr>
          <w:rFonts w:cstheme="minorBidi" w:hint="default"/>
          <w:kern w:val="2"/>
        </w:rPr>
      </w:sdtEndPr>
      <w:sdtContent>
        <w:p w:rsidR="00806678" w:rsidRDefault="00B16377" w:rsidP="00FF17C7">
          <w:pPr>
            <w:pStyle w:val="3"/>
            <w:numPr>
              <w:ilvl w:val="0"/>
              <w:numId w:val="18"/>
            </w:numPr>
            <w:tabs>
              <w:tab w:val="left" w:pos="504"/>
            </w:tabs>
            <w:rPr>
              <w:rFonts w:ascii="宋体" w:hAnsi="宋体"/>
              <w:szCs w:val="21"/>
            </w:rPr>
          </w:pPr>
          <w:r>
            <w:rPr>
              <w:rFonts w:ascii="宋体" w:hAnsi="宋体" w:hint="eastAsia"/>
              <w:szCs w:val="21"/>
            </w:rPr>
            <w:t>盈余公积</w:t>
          </w:r>
        </w:p>
        <w:sdt>
          <w:sdtPr>
            <w:alias w:val="是否适用：盈余公积[双击切换]"/>
            <w:tag w:val="_GBC_5a507b0ba3a44a2c828e4df049852353"/>
            <w:id w:val="-757748670"/>
            <w:lock w:val="sdtLocked"/>
            <w:placeholder>
              <w:docPart w:val="GBC22222222222222222222222222222"/>
            </w:placeholder>
          </w:sdtPr>
          <w:sdtContent>
            <w:p w:rsidR="00806678" w:rsidRDefault="00F80B6C">
              <w:r>
                <w:fldChar w:fldCharType="begin"/>
              </w:r>
              <w:r w:rsidR="00FE2BEF">
                <w:instrText xml:space="preserve">MACROBUTTON  SnrToggleCheckbox √适用 </w:instrText>
              </w:r>
              <w:r>
                <w:fldChar w:fldCharType="end"/>
              </w:r>
              <w:r>
                <w:fldChar w:fldCharType="begin"/>
              </w:r>
              <w:r w:rsidR="00FE2BEF">
                <w:instrText xml:space="preserve"> MACROBUTTON  SnrToggleCheckbox □不适用 </w:instrText>
              </w:r>
              <w:r>
                <w:fldChar w:fldCharType="end"/>
              </w:r>
            </w:p>
          </w:sdtContent>
        </w:sdt>
        <w:p w:rsidR="00806678" w:rsidRDefault="00B16377">
          <w:pPr>
            <w:jc w:val="right"/>
            <w:rPr>
              <w:szCs w:val="21"/>
            </w:rPr>
          </w:pPr>
          <w:r>
            <w:rPr>
              <w:rFonts w:hint="eastAsia"/>
              <w:szCs w:val="21"/>
            </w:rPr>
            <w:t>单位：</w:t>
          </w:r>
          <w:sdt>
            <w:sdtPr>
              <w:rPr>
                <w:rFonts w:hint="eastAsia"/>
                <w:szCs w:val="21"/>
              </w:rPr>
              <w:alias w:val="单位：财务附注：盈余公积"/>
              <w:tag w:val="_GBC_8ca7c8f8d04e47ff92c33109bbf55576"/>
              <w:id w:val="122965766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盈余公积"/>
              <w:tag w:val="_GBC_24d833c69b8448ca876fbf8299519039"/>
              <w:id w:val="-104620925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671"/>
            <w:gridCol w:w="1798"/>
            <w:gridCol w:w="1804"/>
            <w:gridCol w:w="1816"/>
            <w:gridCol w:w="1804"/>
          </w:tblGrid>
          <w:tr w:rsidR="00806678" w:rsidTr="00CA6943">
            <w:sdt>
              <w:sdtPr>
                <w:tag w:val="_PLD_448cc13fae91499a9f41c6e4c1f51937"/>
                <w:id w:val="1552114109"/>
                <w:lock w:val="sdtLocked"/>
              </w:sdtPr>
              <w:sdtContent>
                <w:tc>
                  <w:tcPr>
                    <w:tcW w:w="940" w:type="pct"/>
                  </w:tcPr>
                  <w:p w:rsidR="00806678" w:rsidRDefault="00B16377">
                    <w:pPr>
                      <w:autoSpaceDE w:val="0"/>
                      <w:autoSpaceDN w:val="0"/>
                      <w:adjustRightInd w:val="0"/>
                      <w:snapToGrid w:val="0"/>
                      <w:jc w:val="center"/>
                      <w:rPr>
                        <w:szCs w:val="21"/>
                      </w:rPr>
                    </w:pPr>
                    <w:r>
                      <w:rPr>
                        <w:rFonts w:hint="eastAsia"/>
                        <w:szCs w:val="21"/>
                      </w:rPr>
                      <w:t>项目</w:t>
                    </w:r>
                  </w:p>
                </w:tc>
              </w:sdtContent>
            </w:sdt>
            <w:sdt>
              <w:sdtPr>
                <w:tag w:val="_PLD_112a59f6ca7b4b5f8ced860f9465eb1a"/>
                <w:id w:val="-254278383"/>
                <w:lock w:val="sdtLocked"/>
              </w:sdtPr>
              <w:sdtContent>
                <w:tc>
                  <w:tcPr>
                    <w:tcW w:w="1011" w:type="pct"/>
                  </w:tcPr>
                  <w:p w:rsidR="00806678" w:rsidRDefault="00B16377">
                    <w:pPr>
                      <w:autoSpaceDE w:val="0"/>
                      <w:autoSpaceDN w:val="0"/>
                      <w:adjustRightInd w:val="0"/>
                      <w:snapToGrid w:val="0"/>
                      <w:jc w:val="center"/>
                      <w:rPr>
                        <w:szCs w:val="21"/>
                      </w:rPr>
                    </w:pPr>
                    <w:r>
                      <w:rPr>
                        <w:rFonts w:hint="eastAsia"/>
                        <w:szCs w:val="21"/>
                      </w:rPr>
                      <w:t>期初余额</w:t>
                    </w:r>
                  </w:p>
                </w:tc>
              </w:sdtContent>
            </w:sdt>
            <w:sdt>
              <w:sdtPr>
                <w:tag w:val="_PLD_a2c4f4720dd7427b93c04e32666cfd69"/>
                <w:id w:val="-1617058060"/>
                <w:lock w:val="sdtLocked"/>
              </w:sdtPr>
              <w:sdtContent>
                <w:tc>
                  <w:tcPr>
                    <w:tcW w:w="1014" w:type="pct"/>
                  </w:tcPr>
                  <w:p w:rsidR="00806678" w:rsidRDefault="00B16377">
                    <w:pPr>
                      <w:autoSpaceDE w:val="0"/>
                      <w:autoSpaceDN w:val="0"/>
                      <w:adjustRightInd w:val="0"/>
                      <w:snapToGrid w:val="0"/>
                      <w:jc w:val="center"/>
                      <w:rPr>
                        <w:szCs w:val="21"/>
                      </w:rPr>
                    </w:pPr>
                    <w:r>
                      <w:rPr>
                        <w:rFonts w:hint="eastAsia"/>
                        <w:szCs w:val="21"/>
                      </w:rPr>
                      <w:t>本期增加</w:t>
                    </w:r>
                  </w:p>
                </w:tc>
              </w:sdtContent>
            </w:sdt>
            <w:sdt>
              <w:sdtPr>
                <w:tag w:val="_PLD_ad1876bb4d7c41eaa003da876ae9e601"/>
                <w:id w:val="1175689380"/>
                <w:lock w:val="sdtLocked"/>
              </w:sdtPr>
              <w:sdtContent>
                <w:tc>
                  <w:tcPr>
                    <w:tcW w:w="1021" w:type="pct"/>
                  </w:tcPr>
                  <w:p w:rsidR="00806678" w:rsidRDefault="00B16377">
                    <w:pPr>
                      <w:autoSpaceDE w:val="0"/>
                      <w:autoSpaceDN w:val="0"/>
                      <w:adjustRightInd w:val="0"/>
                      <w:snapToGrid w:val="0"/>
                      <w:jc w:val="center"/>
                      <w:rPr>
                        <w:szCs w:val="21"/>
                      </w:rPr>
                    </w:pPr>
                    <w:r>
                      <w:rPr>
                        <w:rFonts w:hint="eastAsia"/>
                        <w:szCs w:val="21"/>
                      </w:rPr>
                      <w:t>本期减少</w:t>
                    </w:r>
                  </w:p>
                </w:tc>
              </w:sdtContent>
            </w:sdt>
            <w:sdt>
              <w:sdtPr>
                <w:tag w:val="_PLD_45d6cc2a2d2140619579c3f035df8d6a"/>
                <w:id w:val="438487157"/>
                <w:lock w:val="sdtLocked"/>
              </w:sdtPr>
              <w:sdtContent>
                <w:tc>
                  <w:tcPr>
                    <w:tcW w:w="1014" w:type="pct"/>
                  </w:tcPr>
                  <w:p w:rsidR="00806678" w:rsidRDefault="00B16377">
                    <w:pPr>
                      <w:autoSpaceDE w:val="0"/>
                      <w:autoSpaceDN w:val="0"/>
                      <w:adjustRightInd w:val="0"/>
                      <w:snapToGrid w:val="0"/>
                      <w:jc w:val="center"/>
                      <w:rPr>
                        <w:szCs w:val="21"/>
                      </w:rPr>
                    </w:pPr>
                    <w:r>
                      <w:rPr>
                        <w:rFonts w:hint="eastAsia"/>
                        <w:szCs w:val="21"/>
                      </w:rPr>
                      <w:t>期末余额</w:t>
                    </w:r>
                  </w:p>
                </w:tc>
              </w:sdtContent>
            </w:sdt>
          </w:tr>
          <w:tr w:rsidR="008A6D09" w:rsidTr="00DB008B">
            <w:sdt>
              <w:sdtPr>
                <w:tag w:val="_PLD_96c6453732574f80b65848edf92a42a6"/>
                <w:id w:val="-2004040585"/>
                <w:lock w:val="sdtLocked"/>
              </w:sdtPr>
              <w:sdtContent>
                <w:tc>
                  <w:tcPr>
                    <w:tcW w:w="940" w:type="pct"/>
                    <w:shd w:val="clear" w:color="auto" w:fill="auto"/>
                    <w:vAlign w:val="center"/>
                  </w:tcPr>
                  <w:p w:rsidR="008A6D09" w:rsidRDefault="008A6D09" w:rsidP="008A6D09">
                    <w:pPr>
                      <w:autoSpaceDE w:val="0"/>
                      <w:autoSpaceDN w:val="0"/>
                      <w:adjustRightInd w:val="0"/>
                      <w:snapToGrid w:val="0"/>
                      <w:jc w:val="both"/>
                      <w:rPr>
                        <w:szCs w:val="21"/>
                      </w:rPr>
                    </w:pPr>
                    <w:r>
                      <w:rPr>
                        <w:rFonts w:hint="eastAsia"/>
                        <w:szCs w:val="21"/>
                      </w:rPr>
                      <w:t>法定盈余公积</w:t>
                    </w:r>
                  </w:p>
                </w:tc>
              </w:sdtContent>
            </w:sdt>
            <w:tc>
              <w:tcPr>
                <w:tcW w:w="1011" w:type="pct"/>
                <w:shd w:val="clear" w:color="auto" w:fill="auto"/>
                <w:vAlign w:val="center"/>
              </w:tcPr>
              <w:p w:rsidR="008A6D09" w:rsidRDefault="008A6D09" w:rsidP="000524EF">
                <w:pPr>
                  <w:autoSpaceDE w:val="0"/>
                  <w:autoSpaceDN w:val="0"/>
                  <w:adjustRightInd w:val="0"/>
                  <w:snapToGrid w:val="0"/>
                  <w:ind w:right="97"/>
                  <w:jc w:val="right"/>
                  <w:rPr>
                    <w:szCs w:val="21"/>
                  </w:rPr>
                </w:pPr>
                <w:r>
                  <w:t>17,790,325,110</w:t>
                </w:r>
              </w:p>
            </w:tc>
            <w:tc>
              <w:tcPr>
                <w:tcW w:w="1014" w:type="pct"/>
                <w:shd w:val="clear" w:color="auto" w:fill="auto"/>
                <w:vAlign w:val="center"/>
              </w:tcPr>
              <w:p w:rsidR="008A6D09" w:rsidRDefault="008A6D09" w:rsidP="000524EF">
                <w:pPr>
                  <w:autoSpaceDE w:val="0"/>
                  <w:autoSpaceDN w:val="0"/>
                  <w:adjustRightInd w:val="0"/>
                  <w:snapToGrid w:val="0"/>
                  <w:ind w:right="102"/>
                  <w:jc w:val="right"/>
                  <w:rPr>
                    <w:szCs w:val="21"/>
                  </w:rPr>
                </w:pPr>
                <w:r>
                  <w:t>1,090,644,564</w:t>
                </w:r>
              </w:p>
            </w:tc>
            <w:tc>
              <w:tcPr>
                <w:tcW w:w="1021" w:type="pct"/>
                <w:shd w:val="clear" w:color="auto" w:fill="auto"/>
                <w:vAlign w:val="center"/>
              </w:tcPr>
              <w:p w:rsidR="008A6D09" w:rsidRDefault="008A6D09" w:rsidP="000524EF">
                <w:pPr>
                  <w:autoSpaceDE w:val="0"/>
                  <w:autoSpaceDN w:val="0"/>
                  <w:adjustRightInd w:val="0"/>
                  <w:snapToGrid w:val="0"/>
                  <w:ind w:right="81"/>
                  <w:jc w:val="right"/>
                  <w:rPr>
                    <w:szCs w:val="21"/>
                  </w:rPr>
                </w:pPr>
                <w:r>
                  <w:t>0</w:t>
                </w:r>
              </w:p>
            </w:tc>
            <w:tc>
              <w:tcPr>
                <w:tcW w:w="1014" w:type="pct"/>
                <w:shd w:val="clear" w:color="auto" w:fill="auto"/>
                <w:vAlign w:val="center"/>
              </w:tcPr>
              <w:p w:rsidR="008A6D09" w:rsidRDefault="008A6D09" w:rsidP="000524EF">
                <w:pPr>
                  <w:autoSpaceDE w:val="0"/>
                  <w:autoSpaceDN w:val="0"/>
                  <w:adjustRightInd w:val="0"/>
                  <w:snapToGrid w:val="0"/>
                  <w:ind w:right="68"/>
                  <w:jc w:val="right"/>
                  <w:rPr>
                    <w:szCs w:val="21"/>
                  </w:rPr>
                </w:pPr>
                <w:r>
                  <w:t>18,880,969,674</w:t>
                </w:r>
              </w:p>
            </w:tc>
          </w:tr>
          <w:tr w:rsidR="008A6D09" w:rsidTr="00DB008B">
            <w:sdt>
              <w:sdtPr>
                <w:tag w:val="_PLD_89d0d90396b9478283481624bade933a"/>
                <w:id w:val="1928153690"/>
                <w:lock w:val="sdtLocked"/>
              </w:sdtPr>
              <w:sdtContent>
                <w:tc>
                  <w:tcPr>
                    <w:tcW w:w="940" w:type="pct"/>
                    <w:shd w:val="clear" w:color="auto" w:fill="auto"/>
                    <w:vAlign w:val="center"/>
                  </w:tcPr>
                  <w:p w:rsidR="008A6D09" w:rsidRDefault="008A6D09" w:rsidP="008A6D09">
                    <w:pPr>
                      <w:autoSpaceDE w:val="0"/>
                      <w:autoSpaceDN w:val="0"/>
                      <w:adjustRightInd w:val="0"/>
                      <w:snapToGrid w:val="0"/>
                      <w:jc w:val="both"/>
                      <w:rPr>
                        <w:szCs w:val="21"/>
                      </w:rPr>
                    </w:pPr>
                    <w:r>
                      <w:rPr>
                        <w:rFonts w:hint="eastAsia"/>
                        <w:szCs w:val="21"/>
                      </w:rPr>
                      <w:t>任意盈余公积</w:t>
                    </w:r>
                  </w:p>
                </w:tc>
              </w:sdtContent>
            </w:sdt>
            <w:tc>
              <w:tcPr>
                <w:tcW w:w="1011" w:type="pct"/>
                <w:shd w:val="clear" w:color="auto" w:fill="auto"/>
                <w:vAlign w:val="center"/>
              </w:tcPr>
              <w:p w:rsidR="008A6D09" w:rsidRDefault="008A6D09" w:rsidP="000524EF">
                <w:pPr>
                  <w:autoSpaceDE w:val="0"/>
                  <w:autoSpaceDN w:val="0"/>
                  <w:adjustRightInd w:val="0"/>
                  <w:snapToGrid w:val="0"/>
                  <w:ind w:right="97"/>
                  <w:jc w:val="right"/>
                  <w:rPr>
                    <w:szCs w:val="21"/>
                  </w:rPr>
                </w:pPr>
                <w:r>
                  <w:t>531,373,477</w:t>
                </w:r>
              </w:p>
            </w:tc>
            <w:tc>
              <w:tcPr>
                <w:tcW w:w="1014" w:type="pct"/>
                <w:shd w:val="clear" w:color="auto" w:fill="auto"/>
                <w:vAlign w:val="center"/>
              </w:tcPr>
              <w:p w:rsidR="008A6D09" w:rsidRDefault="008A6D09" w:rsidP="000524EF">
                <w:pPr>
                  <w:autoSpaceDE w:val="0"/>
                  <w:autoSpaceDN w:val="0"/>
                  <w:adjustRightInd w:val="0"/>
                  <w:snapToGrid w:val="0"/>
                  <w:ind w:right="102"/>
                  <w:jc w:val="right"/>
                  <w:rPr>
                    <w:szCs w:val="21"/>
                  </w:rPr>
                </w:pPr>
                <w:r>
                  <w:t>0</w:t>
                </w:r>
              </w:p>
            </w:tc>
            <w:tc>
              <w:tcPr>
                <w:tcW w:w="1021" w:type="pct"/>
                <w:shd w:val="clear" w:color="auto" w:fill="auto"/>
                <w:vAlign w:val="center"/>
              </w:tcPr>
              <w:p w:rsidR="008A6D09" w:rsidRDefault="008A6D09" w:rsidP="000524EF">
                <w:pPr>
                  <w:autoSpaceDE w:val="0"/>
                  <w:autoSpaceDN w:val="0"/>
                  <w:adjustRightInd w:val="0"/>
                  <w:snapToGrid w:val="0"/>
                  <w:ind w:right="81"/>
                  <w:jc w:val="right"/>
                  <w:rPr>
                    <w:szCs w:val="21"/>
                  </w:rPr>
                </w:pPr>
                <w:r>
                  <w:t>0</w:t>
                </w:r>
              </w:p>
            </w:tc>
            <w:tc>
              <w:tcPr>
                <w:tcW w:w="1014" w:type="pct"/>
                <w:shd w:val="clear" w:color="auto" w:fill="auto"/>
                <w:vAlign w:val="center"/>
              </w:tcPr>
              <w:p w:rsidR="008A6D09" w:rsidRDefault="008A6D09" w:rsidP="000524EF">
                <w:pPr>
                  <w:autoSpaceDE w:val="0"/>
                  <w:autoSpaceDN w:val="0"/>
                  <w:adjustRightInd w:val="0"/>
                  <w:snapToGrid w:val="0"/>
                  <w:ind w:right="68"/>
                  <w:jc w:val="right"/>
                  <w:rPr>
                    <w:szCs w:val="21"/>
                  </w:rPr>
                </w:pPr>
                <w:r>
                  <w:t>531,373,477</w:t>
                </w:r>
              </w:p>
            </w:tc>
          </w:tr>
          <w:tr w:rsidR="008A6D09" w:rsidTr="000524EF">
            <w:sdt>
              <w:sdtPr>
                <w:tag w:val="_PLD_761553a81bb545a7b32754ce7ef6325b"/>
                <w:id w:val="1708603667"/>
                <w:lock w:val="sdtLocked"/>
              </w:sdtPr>
              <w:sdtContent>
                <w:tc>
                  <w:tcPr>
                    <w:tcW w:w="940" w:type="pct"/>
                  </w:tcPr>
                  <w:p w:rsidR="008A6D09" w:rsidRDefault="008A6D09" w:rsidP="008A6D09">
                    <w:pPr>
                      <w:autoSpaceDE w:val="0"/>
                      <w:autoSpaceDN w:val="0"/>
                      <w:adjustRightInd w:val="0"/>
                      <w:snapToGrid w:val="0"/>
                      <w:jc w:val="center"/>
                      <w:rPr>
                        <w:szCs w:val="21"/>
                      </w:rPr>
                    </w:pPr>
                    <w:r>
                      <w:rPr>
                        <w:rFonts w:hint="eastAsia"/>
                        <w:szCs w:val="21"/>
                      </w:rPr>
                      <w:t>合计</w:t>
                    </w:r>
                  </w:p>
                </w:tc>
              </w:sdtContent>
            </w:sdt>
            <w:tc>
              <w:tcPr>
                <w:tcW w:w="1011" w:type="pct"/>
                <w:vAlign w:val="center"/>
              </w:tcPr>
              <w:p w:rsidR="008A6D09" w:rsidRDefault="008A6D09" w:rsidP="000524EF">
                <w:pPr>
                  <w:tabs>
                    <w:tab w:val="left" w:pos="1597"/>
                  </w:tabs>
                  <w:autoSpaceDE w:val="0"/>
                  <w:autoSpaceDN w:val="0"/>
                  <w:adjustRightInd w:val="0"/>
                  <w:snapToGrid w:val="0"/>
                  <w:ind w:right="140"/>
                  <w:jc w:val="right"/>
                  <w:rPr>
                    <w:szCs w:val="21"/>
                  </w:rPr>
                </w:pPr>
                <w:r>
                  <w:t>18,321,698,587</w:t>
                </w:r>
              </w:p>
            </w:tc>
            <w:tc>
              <w:tcPr>
                <w:tcW w:w="1014" w:type="pct"/>
                <w:vAlign w:val="center"/>
              </w:tcPr>
              <w:p w:rsidR="008A6D09" w:rsidRDefault="008A6D09" w:rsidP="000524EF">
                <w:pPr>
                  <w:autoSpaceDE w:val="0"/>
                  <w:autoSpaceDN w:val="0"/>
                  <w:adjustRightInd w:val="0"/>
                  <w:snapToGrid w:val="0"/>
                  <w:ind w:right="102"/>
                  <w:jc w:val="right"/>
                  <w:rPr>
                    <w:szCs w:val="21"/>
                  </w:rPr>
                </w:pPr>
                <w:r>
                  <w:t>1,090,644,564</w:t>
                </w:r>
              </w:p>
            </w:tc>
            <w:tc>
              <w:tcPr>
                <w:tcW w:w="1021" w:type="pct"/>
                <w:vAlign w:val="center"/>
              </w:tcPr>
              <w:p w:rsidR="008A6D09" w:rsidRDefault="008A6D09" w:rsidP="000524EF">
                <w:pPr>
                  <w:autoSpaceDE w:val="0"/>
                  <w:autoSpaceDN w:val="0"/>
                  <w:adjustRightInd w:val="0"/>
                  <w:snapToGrid w:val="0"/>
                  <w:ind w:right="81"/>
                  <w:jc w:val="right"/>
                  <w:rPr>
                    <w:szCs w:val="21"/>
                  </w:rPr>
                </w:pPr>
                <w:r>
                  <w:t>0</w:t>
                </w:r>
              </w:p>
            </w:tc>
            <w:tc>
              <w:tcPr>
                <w:tcW w:w="1014" w:type="pct"/>
                <w:vAlign w:val="center"/>
              </w:tcPr>
              <w:p w:rsidR="008A6D09" w:rsidRDefault="008A6D09" w:rsidP="000524EF">
                <w:pPr>
                  <w:autoSpaceDE w:val="0"/>
                  <w:autoSpaceDN w:val="0"/>
                  <w:adjustRightInd w:val="0"/>
                  <w:snapToGrid w:val="0"/>
                  <w:ind w:right="68"/>
                  <w:jc w:val="right"/>
                  <w:rPr>
                    <w:szCs w:val="21"/>
                  </w:rPr>
                </w:pPr>
                <w:r>
                  <w:t>19,412,343,151</w:t>
                </w:r>
              </w:p>
            </w:tc>
          </w:tr>
        </w:tbl>
        <w:p w:rsidR="00422D5A" w:rsidRDefault="00422D5A">
          <w:pPr>
            <w:spacing w:before="60" w:after="60"/>
            <w:rPr>
              <w:szCs w:val="21"/>
            </w:rPr>
          </w:pPr>
        </w:p>
        <w:p w:rsidR="00806678" w:rsidRDefault="00B16377">
          <w:pPr>
            <w:spacing w:before="60" w:after="60"/>
            <w:rPr>
              <w:szCs w:val="21"/>
            </w:rPr>
          </w:pPr>
          <w:r>
            <w:rPr>
              <w:rFonts w:hint="eastAsia"/>
              <w:szCs w:val="21"/>
            </w:rPr>
            <w:t>盈余公积说明，包括本期增减变动情况、变动原因说明：</w:t>
          </w:r>
        </w:p>
        <w:p w:rsidR="001C6BB5" w:rsidRDefault="001C6BB5">
          <w:pPr>
            <w:spacing w:before="60" w:after="60"/>
            <w:rPr>
              <w:szCs w:val="21"/>
            </w:rPr>
          </w:pPr>
        </w:p>
        <w:sdt>
          <w:sdtPr>
            <w:rPr>
              <w:szCs w:val="21"/>
            </w:rPr>
            <w:alias w:val="盈余公积说明"/>
            <w:tag w:val="_GBC_538b8c4ba55d480592f5f9485177617e"/>
            <w:id w:val="1025215718"/>
            <w:lock w:val="sdtLocked"/>
            <w:placeholder>
              <w:docPart w:val="GBC22222222222222222222222222222"/>
            </w:placeholder>
          </w:sdtPr>
          <w:sdtContent>
            <w:p w:rsidR="00806678" w:rsidRPr="00DE7BE8" w:rsidRDefault="00DE7BE8" w:rsidP="00DE7BE8">
              <w:pPr>
                <w:rPr>
                  <w:rFonts w:ascii="Calibri" w:hAnsi="Calibri"/>
                  <w:color w:val="000000"/>
                  <w:sz w:val="22"/>
                  <w:szCs w:val="22"/>
                </w:rPr>
              </w:pPr>
              <w:r w:rsidRPr="00DE7BE8">
                <w:rPr>
                  <w:rFonts w:hint="eastAsia"/>
                  <w:color w:val="000000"/>
                  <w:sz w:val="22"/>
                  <w:szCs w:val="22"/>
                </w:rPr>
                <w:t>根据《中华人民共和国公司法》及本公司章程，本公司</w:t>
              </w:r>
              <w:r w:rsidRPr="00DE7BE8">
                <w:rPr>
                  <w:rFonts w:ascii="Calibri" w:hAnsi="Calibri"/>
                  <w:color w:val="000000"/>
                  <w:sz w:val="22"/>
                  <w:szCs w:val="22"/>
                </w:rPr>
                <w:t>2022</w:t>
              </w:r>
              <w:r w:rsidRPr="00DE7BE8">
                <w:rPr>
                  <w:rFonts w:hint="eastAsia"/>
                  <w:color w:val="000000"/>
                  <w:sz w:val="22"/>
                  <w:szCs w:val="22"/>
                </w:rPr>
                <w:t>年度提取法定盈余公积金人民币</w:t>
              </w:r>
              <w:r w:rsidRPr="00DE7BE8">
                <w:rPr>
                  <w:rFonts w:ascii="Calibri" w:hAnsi="Calibri"/>
                  <w:color w:val="000000"/>
                  <w:sz w:val="22"/>
                  <w:szCs w:val="22"/>
                </w:rPr>
                <w:t>1,090,644,564</w:t>
              </w:r>
              <w:r w:rsidRPr="00DE7BE8">
                <w:rPr>
                  <w:rFonts w:hint="eastAsia"/>
                  <w:color w:val="000000"/>
                  <w:sz w:val="22"/>
                  <w:szCs w:val="22"/>
                </w:rPr>
                <w:t>元</w:t>
              </w:r>
              <w:r w:rsidRPr="00DE7BE8">
                <w:rPr>
                  <w:rFonts w:ascii="Calibri" w:hAnsi="Calibri"/>
                  <w:color w:val="000000"/>
                  <w:sz w:val="22"/>
                  <w:szCs w:val="22"/>
                </w:rPr>
                <w:t> (2021</w:t>
              </w:r>
              <w:r w:rsidRPr="00DE7BE8">
                <w:rPr>
                  <w:rFonts w:hint="eastAsia"/>
                  <w:color w:val="000000"/>
                  <w:sz w:val="22"/>
                  <w:szCs w:val="22"/>
                </w:rPr>
                <w:t>年度：人民币</w:t>
              </w:r>
              <w:r w:rsidRPr="00DE7BE8">
                <w:rPr>
                  <w:rFonts w:ascii="Calibri" w:hAnsi="Calibri"/>
                  <w:color w:val="000000"/>
                  <w:sz w:val="22"/>
                  <w:szCs w:val="22"/>
                </w:rPr>
                <w:t>1,187,701,933</w:t>
              </w:r>
              <w:r w:rsidRPr="00DE7BE8">
                <w:rPr>
                  <w:rFonts w:hint="eastAsia"/>
                  <w:color w:val="000000"/>
                  <w:sz w:val="22"/>
                  <w:szCs w:val="22"/>
                </w:rPr>
                <w:t>元</w:t>
              </w:r>
              <w:r w:rsidRPr="00DE7BE8">
                <w:rPr>
                  <w:rFonts w:ascii="Calibri" w:hAnsi="Calibri"/>
                  <w:color w:val="000000"/>
                  <w:sz w:val="22"/>
                  <w:szCs w:val="22"/>
                </w:rPr>
                <w:t>) </w:t>
              </w:r>
              <w:r w:rsidRPr="00DE7BE8">
                <w:rPr>
                  <w:rFonts w:hint="eastAsia"/>
                  <w:color w:val="000000"/>
                  <w:sz w:val="22"/>
                  <w:szCs w:val="22"/>
                </w:rPr>
                <w:t>。</w:t>
              </w:r>
            </w:p>
          </w:sdtContent>
        </w:sdt>
      </w:sdtContent>
    </w:sdt>
    <w:p w:rsidR="00806678" w:rsidRDefault="00B16377" w:rsidP="00FF17C7">
      <w:pPr>
        <w:pStyle w:val="3"/>
        <w:numPr>
          <w:ilvl w:val="0"/>
          <w:numId w:val="18"/>
        </w:numPr>
        <w:tabs>
          <w:tab w:val="left" w:pos="504"/>
        </w:tabs>
        <w:rPr>
          <w:rFonts w:ascii="宋体" w:hAnsi="宋体"/>
          <w:szCs w:val="21"/>
        </w:rPr>
      </w:pPr>
      <w:r>
        <w:rPr>
          <w:rFonts w:ascii="宋体" w:hAnsi="宋体" w:hint="eastAsia"/>
          <w:szCs w:val="21"/>
        </w:rPr>
        <w:t>未分配利润</w:t>
      </w:r>
    </w:p>
    <w:p w:rsidR="00806678" w:rsidRDefault="00F80B6C">
      <w:sdt>
        <w:sdtPr>
          <w:alias w:val="是否适用：未分配利润[双击切换]"/>
          <w:tag w:val="_GBC_0ccb002da9b649db91afd1ca2a9330f8"/>
          <w:id w:val="-1853863630"/>
          <w:lock w:val="sdtContentLocked"/>
          <w:placeholder>
            <w:docPart w:val="GBC22222222222222222222222222222"/>
          </w:placeholder>
        </w:sdtPr>
        <w:sdtContent>
          <w:r>
            <w:fldChar w:fldCharType="begin"/>
          </w:r>
          <w:r w:rsidR="00B66E59">
            <w:instrText xml:space="preserve">MACROBUTTON  SnrToggleCheckbox √适用 </w:instrText>
          </w:r>
          <w:r>
            <w:fldChar w:fldCharType="end"/>
          </w:r>
          <w:r>
            <w:fldChar w:fldCharType="begin"/>
          </w:r>
          <w:r w:rsidR="00B66E59">
            <w:instrText xml:space="preserve"> MACROBUTTON  SnrToggleCheckbox □不适用 </w:instrText>
          </w:r>
          <w:r>
            <w:fldChar w:fldCharType="end"/>
          </w:r>
        </w:sdtContent>
      </w:sdt>
    </w:p>
    <w:sdt>
      <w:sdtPr>
        <w:rPr>
          <w:rFonts w:hint="eastAsia"/>
          <w:b/>
          <w:bCs/>
          <w:szCs w:val="21"/>
        </w:rPr>
        <w:alias w:val="模块:未分配利润;"/>
        <w:tag w:val="_SEC_099bae2e74dd4c638d827dd234536518"/>
        <w:id w:val="145403850"/>
        <w:lock w:val="sdtLocked"/>
        <w:placeholder>
          <w:docPart w:val="GBC22222222222222222222222222222"/>
        </w:placeholder>
      </w:sdtPr>
      <w:sdtEndPr>
        <w:rPr>
          <w:b w:val="0"/>
          <w:bCs w:val="0"/>
        </w:rPr>
      </w:sdtEndPr>
      <w:sdtContent>
        <w:p w:rsidR="00806678" w:rsidRDefault="00B16377">
          <w:pPr>
            <w:jc w:val="right"/>
            <w:rPr>
              <w:szCs w:val="21"/>
            </w:rPr>
          </w:pPr>
          <w:r>
            <w:rPr>
              <w:rFonts w:hint="eastAsia"/>
              <w:szCs w:val="21"/>
            </w:rPr>
            <w:t>单位：</w:t>
          </w:r>
          <w:sdt>
            <w:sdtPr>
              <w:rPr>
                <w:rFonts w:hint="eastAsia"/>
                <w:szCs w:val="21"/>
              </w:rPr>
              <w:alias w:val="单位：财务附注：未分配利润"/>
              <w:tag w:val="_GBC_fc12fabcd66949d39f6f74b747284465"/>
              <w:id w:val="72426031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未分配利润"/>
              <w:tag w:val="_GBC_7b3accd97aa744c08d773ec06b05684e"/>
              <w:id w:val="104078640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4224"/>
            <w:gridCol w:w="2096"/>
            <w:gridCol w:w="2739"/>
          </w:tblGrid>
          <w:tr w:rsidR="00B66E59" w:rsidTr="00326EA2">
            <w:trPr>
              <w:cantSplit/>
            </w:trPr>
            <w:sdt>
              <w:sdtPr>
                <w:tag w:val="_PLD_30da0a90f08b46f090b6fee887a691bc"/>
                <w:id w:val="-56713833"/>
                <w:lock w:val="sdtLocked"/>
              </w:sdtPr>
              <w:sdtContent>
                <w:tc>
                  <w:tcPr>
                    <w:tcW w:w="2331" w:type="pct"/>
                    <w:vAlign w:val="center"/>
                  </w:tcPr>
                  <w:p w:rsidR="00B66E59" w:rsidRDefault="00B66E59" w:rsidP="00DB008B">
                    <w:pPr>
                      <w:jc w:val="center"/>
                      <w:rPr>
                        <w:szCs w:val="21"/>
                      </w:rPr>
                    </w:pPr>
                    <w:r>
                      <w:rPr>
                        <w:rFonts w:hint="eastAsia"/>
                        <w:szCs w:val="21"/>
                      </w:rPr>
                      <w:t>项目</w:t>
                    </w:r>
                  </w:p>
                </w:tc>
              </w:sdtContent>
            </w:sdt>
            <w:sdt>
              <w:sdtPr>
                <w:tag w:val="_PLD_27c0ff4064964dc5b9e335151d04b603"/>
                <w:id w:val="405740746"/>
                <w:lock w:val="sdtLocked"/>
              </w:sdtPr>
              <w:sdtContent>
                <w:tc>
                  <w:tcPr>
                    <w:tcW w:w="1157" w:type="pct"/>
                    <w:vAlign w:val="center"/>
                  </w:tcPr>
                  <w:p w:rsidR="00B66E59" w:rsidRDefault="00B66E59" w:rsidP="00DB008B">
                    <w:pPr>
                      <w:jc w:val="center"/>
                      <w:rPr>
                        <w:szCs w:val="21"/>
                      </w:rPr>
                    </w:pPr>
                    <w:r>
                      <w:rPr>
                        <w:rFonts w:hint="eastAsia"/>
                        <w:szCs w:val="21"/>
                      </w:rPr>
                      <w:t>本期</w:t>
                    </w:r>
                  </w:p>
                </w:tc>
              </w:sdtContent>
            </w:sdt>
            <w:sdt>
              <w:sdtPr>
                <w:tag w:val="_PLD_613460741a0147b7be8212812793694e"/>
                <w:id w:val="-1068799141"/>
                <w:lock w:val="sdtLocked"/>
              </w:sdtPr>
              <w:sdtContent>
                <w:tc>
                  <w:tcPr>
                    <w:tcW w:w="1512" w:type="pct"/>
                    <w:vAlign w:val="center"/>
                  </w:tcPr>
                  <w:p w:rsidR="00B66E59" w:rsidRDefault="00B66E59" w:rsidP="00DB008B">
                    <w:pPr>
                      <w:jc w:val="center"/>
                      <w:rPr>
                        <w:szCs w:val="21"/>
                      </w:rPr>
                    </w:pPr>
                    <w:r>
                      <w:rPr>
                        <w:rFonts w:hint="eastAsia"/>
                        <w:szCs w:val="21"/>
                      </w:rPr>
                      <w:t>上期</w:t>
                    </w:r>
                  </w:p>
                </w:tc>
              </w:sdtContent>
            </w:sdt>
          </w:tr>
          <w:tr w:rsidR="00B66E59" w:rsidTr="00326EA2">
            <w:trPr>
              <w:cantSplit/>
            </w:trPr>
            <w:sdt>
              <w:sdtPr>
                <w:tag w:val="_PLD_a8a908ccb6754af7b684355be7043ef6"/>
                <w:id w:val="-298152945"/>
                <w:lock w:val="sdtLocked"/>
              </w:sdtPr>
              <w:sdtContent>
                <w:tc>
                  <w:tcPr>
                    <w:tcW w:w="2331" w:type="pct"/>
                  </w:tcPr>
                  <w:p w:rsidR="00B66E59" w:rsidRDefault="00B66E59" w:rsidP="00DB008B">
                    <w:pPr>
                      <w:rPr>
                        <w:szCs w:val="21"/>
                      </w:rPr>
                    </w:pPr>
                    <w:r>
                      <w:rPr>
                        <w:rFonts w:hint="eastAsia"/>
                        <w:szCs w:val="21"/>
                      </w:rPr>
                      <w:t>调整前上期末未分配利润</w:t>
                    </w:r>
                  </w:p>
                </w:tc>
              </w:sdtContent>
            </w:sdt>
            <w:tc>
              <w:tcPr>
                <w:tcW w:w="1157" w:type="pct"/>
                <w:vAlign w:val="center"/>
              </w:tcPr>
              <w:p w:rsidR="00B66E59" w:rsidRDefault="00B66E59" w:rsidP="00DB008B">
                <w:pPr>
                  <w:ind w:right="6"/>
                  <w:jc w:val="right"/>
                  <w:rPr>
                    <w:szCs w:val="21"/>
                  </w:rPr>
                </w:pPr>
                <w:r>
                  <w:t>64,399,144,806</w:t>
                </w:r>
              </w:p>
            </w:tc>
            <w:tc>
              <w:tcPr>
                <w:tcW w:w="1512" w:type="pct"/>
                <w:vAlign w:val="center"/>
              </w:tcPr>
              <w:p w:rsidR="00B66E59" w:rsidRDefault="00B66E59" w:rsidP="00DB008B">
                <w:pPr>
                  <w:jc w:val="right"/>
                  <w:rPr>
                    <w:szCs w:val="21"/>
                  </w:rPr>
                </w:pPr>
                <w:r>
                  <w:t>61,661,048,207</w:t>
                </w:r>
              </w:p>
            </w:tc>
          </w:tr>
          <w:tr w:rsidR="00B66E59" w:rsidTr="00326EA2">
            <w:trPr>
              <w:cantSplit/>
            </w:trPr>
            <w:sdt>
              <w:sdtPr>
                <w:tag w:val="_PLD_02ab5ac1239f40a6a46e28f567884d1f"/>
                <w:id w:val="1764028877"/>
                <w:lock w:val="sdtLocked"/>
              </w:sdtPr>
              <w:sdtContent>
                <w:tc>
                  <w:tcPr>
                    <w:tcW w:w="2331" w:type="pct"/>
                  </w:tcPr>
                  <w:p w:rsidR="00B66E59" w:rsidRDefault="00B66E59" w:rsidP="00DB008B">
                    <w:pPr>
                      <w:rPr>
                        <w:szCs w:val="21"/>
                      </w:rPr>
                    </w:pPr>
                    <w:r>
                      <w:rPr>
                        <w:rFonts w:hint="eastAsia"/>
                        <w:szCs w:val="21"/>
                      </w:rPr>
                      <w:t>调整期初未分配利润合计数（调增</w:t>
                    </w:r>
                    <w:r>
                      <w:rPr>
                        <w:szCs w:val="21"/>
                      </w:rPr>
                      <w:t>+</w:t>
                    </w:r>
                    <w:r>
                      <w:rPr>
                        <w:rFonts w:hint="eastAsia"/>
                        <w:szCs w:val="21"/>
                      </w:rPr>
                      <w:t>，调减－）</w:t>
                    </w:r>
                  </w:p>
                </w:tc>
              </w:sdtContent>
            </w:sdt>
            <w:tc>
              <w:tcPr>
                <w:tcW w:w="1157" w:type="pct"/>
                <w:vAlign w:val="center"/>
              </w:tcPr>
              <w:p w:rsidR="00B66E59" w:rsidRDefault="00B66E59" w:rsidP="00DB008B">
                <w:pPr>
                  <w:ind w:right="6"/>
                  <w:jc w:val="right"/>
                  <w:rPr>
                    <w:szCs w:val="21"/>
                  </w:rPr>
                </w:pPr>
                <w:r>
                  <w:t>0</w:t>
                </w:r>
              </w:p>
            </w:tc>
            <w:tc>
              <w:tcPr>
                <w:tcW w:w="1512" w:type="pct"/>
                <w:vAlign w:val="center"/>
              </w:tcPr>
              <w:p w:rsidR="00B66E59" w:rsidRDefault="00B66E59" w:rsidP="00DB008B">
                <w:pPr>
                  <w:ind w:right="6"/>
                  <w:jc w:val="right"/>
                  <w:rPr>
                    <w:szCs w:val="21"/>
                  </w:rPr>
                </w:pPr>
                <w:r>
                  <w:t>-143,860,225</w:t>
                </w:r>
              </w:p>
            </w:tc>
          </w:tr>
          <w:tr w:rsidR="00B66E59" w:rsidTr="00326EA2">
            <w:trPr>
              <w:cantSplit/>
            </w:trPr>
            <w:sdt>
              <w:sdtPr>
                <w:tag w:val="_PLD_77ca15ebef62468eb0dd24c8e090b1ab"/>
                <w:id w:val="-1122920010"/>
                <w:lock w:val="sdtLocked"/>
              </w:sdtPr>
              <w:sdtContent>
                <w:tc>
                  <w:tcPr>
                    <w:tcW w:w="2331" w:type="pct"/>
                  </w:tcPr>
                  <w:p w:rsidR="00B66E59" w:rsidRDefault="00B66E59" w:rsidP="00DB008B">
                    <w:pPr>
                      <w:rPr>
                        <w:szCs w:val="21"/>
                      </w:rPr>
                    </w:pPr>
                    <w:r>
                      <w:rPr>
                        <w:rFonts w:hint="eastAsia"/>
                        <w:szCs w:val="21"/>
                      </w:rPr>
                      <w:t>调整后期初未分配利润</w:t>
                    </w:r>
                  </w:p>
                </w:tc>
              </w:sdtContent>
            </w:sdt>
            <w:tc>
              <w:tcPr>
                <w:tcW w:w="1157" w:type="pct"/>
                <w:vAlign w:val="center"/>
              </w:tcPr>
              <w:p w:rsidR="00B66E59" w:rsidRDefault="00B66E59" w:rsidP="00DB008B">
                <w:pPr>
                  <w:ind w:right="6"/>
                  <w:jc w:val="right"/>
                  <w:rPr>
                    <w:szCs w:val="21"/>
                  </w:rPr>
                </w:pPr>
                <w:r>
                  <w:t>64,399,144,806</w:t>
                </w:r>
              </w:p>
            </w:tc>
            <w:tc>
              <w:tcPr>
                <w:tcW w:w="1512" w:type="pct"/>
                <w:vAlign w:val="center"/>
              </w:tcPr>
              <w:p w:rsidR="00B66E59" w:rsidRDefault="00B66E59" w:rsidP="00DB008B">
                <w:pPr>
                  <w:ind w:right="6"/>
                  <w:jc w:val="right"/>
                  <w:rPr>
                    <w:szCs w:val="21"/>
                  </w:rPr>
                </w:pPr>
                <w:r>
                  <w:t>61,517,187,982</w:t>
                </w:r>
              </w:p>
            </w:tc>
          </w:tr>
          <w:tr w:rsidR="00B66E59" w:rsidTr="00326EA2">
            <w:trPr>
              <w:cantSplit/>
            </w:trPr>
            <w:sdt>
              <w:sdtPr>
                <w:tag w:val="_PLD_9fc7a2bfee39423d80a60d153fe240df"/>
                <w:id w:val="-1736231297"/>
                <w:lock w:val="sdtLocked"/>
              </w:sdtPr>
              <w:sdtContent>
                <w:tc>
                  <w:tcPr>
                    <w:tcW w:w="2331" w:type="pct"/>
                  </w:tcPr>
                  <w:p w:rsidR="00B66E59" w:rsidRDefault="00B66E59" w:rsidP="00DB008B">
                    <w:pPr>
                      <w:ind w:right="6"/>
                      <w:rPr>
                        <w:szCs w:val="21"/>
                      </w:rPr>
                    </w:pPr>
                    <w:r>
                      <w:rPr>
                        <w:rFonts w:hint="eastAsia"/>
                        <w:szCs w:val="21"/>
                      </w:rPr>
                      <w:t>加：本期归属于母公司所有者的净利润</w:t>
                    </w:r>
                  </w:p>
                </w:tc>
              </w:sdtContent>
            </w:sdt>
            <w:tc>
              <w:tcPr>
                <w:tcW w:w="1157" w:type="pct"/>
                <w:vAlign w:val="center"/>
              </w:tcPr>
              <w:p w:rsidR="00B66E59" w:rsidRDefault="00B66E59" w:rsidP="00DB008B">
                <w:pPr>
                  <w:ind w:right="6"/>
                  <w:jc w:val="right"/>
                  <w:rPr>
                    <w:szCs w:val="21"/>
                  </w:rPr>
                </w:pPr>
                <w:r>
                  <w:t>11,196,257,454</w:t>
                </w:r>
              </w:p>
            </w:tc>
            <w:tc>
              <w:tcPr>
                <w:tcW w:w="1512" w:type="pct"/>
                <w:vAlign w:val="center"/>
              </w:tcPr>
              <w:p w:rsidR="00B66E59" w:rsidRDefault="00B66E59" w:rsidP="00DB008B">
                <w:pPr>
                  <w:ind w:right="6"/>
                  <w:jc w:val="right"/>
                  <w:rPr>
                    <w:szCs w:val="21"/>
                  </w:rPr>
                </w:pPr>
                <w:r>
                  <w:t>12,181,309,677</w:t>
                </w:r>
              </w:p>
            </w:tc>
          </w:tr>
          <w:tr w:rsidR="00B66E59" w:rsidTr="00326EA2">
            <w:trPr>
              <w:cantSplit/>
            </w:trPr>
            <w:sdt>
              <w:sdtPr>
                <w:tag w:val="_PLD_45ceb5eda6064d7ea7b72559c6fb383d"/>
                <w:id w:val="-258060837"/>
                <w:lock w:val="sdtLocked"/>
              </w:sdtPr>
              <w:sdtContent>
                <w:tc>
                  <w:tcPr>
                    <w:tcW w:w="2331" w:type="pct"/>
                  </w:tcPr>
                  <w:p w:rsidR="00B66E59" w:rsidRDefault="00B66E59" w:rsidP="00DB008B">
                    <w:pPr>
                      <w:autoSpaceDE w:val="0"/>
                      <w:autoSpaceDN w:val="0"/>
                      <w:adjustRightInd w:val="0"/>
                      <w:rPr>
                        <w:szCs w:val="21"/>
                      </w:rPr>
                    </w:pPr>
                    <w:r>
                      <w:rPr>
                        <w:rFonts w:hint="eastAsia"/>
                        <w:szCs w:val="21"/>
                      </w:rPr>
                      <w:t>减：提取法定盈余公积</w:t>
                    </w:r>
                  </w:p>
                </w:tc>
              </w:sdtContent>
            </w:sdt>
            <w:tc>
              <w:tcPr>
                <w:tcW w:w="1157" w:type="pct"/>
                <w:vAlign w:val="center"/>
              </w:tcPr>
              <w:p w:rsidR="00B66E59" w:rsidRDefault="00B66E59" w:rsidP="00DB008B">
                <w:pPr>
                  <w:jc w:val="right"/>
                  <w:rPr>
                    <w:szCs w:val="21"/>
                  </w:rPr>
                </w:pPr>
                <w:r>
                  <w:t>1,090,644,564</w:t>
                </w:r>
              </w:p>
            </w:tc>
            <w:tc>
              <w:tcPr>
                <w:tcW w:w="1512" w:type="pct"/>
                <w:vAlign w:val="center"/>
              </w:tcPr>
              <w:p w:rsidR="00B66E59" w:rsidRDefault="00B66E59" w:rsidP="00DB008B">
                <w:pPr>
                  <w:ind w:right="6"/>
                  <w:jc w:val="right"/>
                  <w:rPr>
                    <w:szCs w:val="21"/>
                  </w:rPr>
                </w:pPr>
                <w:r>
                  <w:t>1,187,701,933</w:t>
                </w:r>
              </w:p>
            </w:tc>
          </w:tr>
          <w:tr w:rsidR="00B66E59" w:rsidTr="00326EA2">
            <w:trPr>
              <w:cantSplit/>
            </w:trPr>
            <w:sdt>
              <w:sdtPr>
                <w:tag w:val="_PLD_b9048167f4e548f88b2ee2db042401a5"/>
                <w:id w:val="386076851"/>
                <w:lock w:val="sdtLocked"/>
              </w:sdtPr>
              <w:sdtContent>
                <w:tc>
                  <w:tcPr>
                    <w:tcW w:w="2331" w:type="pct"/>
                  </w:tcPr>
                  <w:p w:rsidR="00B66E59" w:rsidRDefault="00B66E59" w:rsidP="00DB008B">
                    <w:pPr>
                      <w:autoSpaceDE w:val="0"/>
                      <w:autoSpaceDN w:val="0"/>
                      <w:adjustRightInd w:val="0"/>
                      <w:ind w:firstLine="420"/>
                      <w:rPr>
                        <w:szCs w:val="21"/>
                      </w:rPr>
                    </w:pPr>
                    <w:r>
                      <w:rPr>
                        <w:rFonts w:hint="eastAsia"/>
                        <w:szCs w:val="21"/>
                      </w:rPr>
                      <w:t>提取任意盈余公积</w:t>
                    </w:r>
                  </w:p>
                </w:tc>
              </w:sdtContent>
            </w:sdt>
            <w:tc>
              <w:tcPr>
                <w:tcW w:w="1157" w:type="pct"/>
              </w:tcPr>
              <w:p w:rsidR="00B66E59" w:rsidRDefault="00B66E59" w:rsidP="00DB008B">
                <w:pPr>
                  <w:jc w:val="right"/>
                  <w:rPr>
                    <w:szCs w:val="21"/>
                  </w:rPr>
                </w:pPr>
              </w:p>
            </w:tc>
            <w:tc>
              <w:tcPr>
                <w:tcW w:w="1512" w:type="pct"/>
              </w:tcPr>
              <w:p w:rsidR="00B66E59" w:rsidRDefault="00B66E59" w:rsidP="00DB008B">
                <w:pPr>
                  <w:ind w:right="6"/>
                  <w:jc w:val="right"/>
                  <w:rPr>
                    <w:szCs w:val="21"/>
                  </w:rPr>
                </w:pPr>
              </w:p>
            </w:tc>
          </w:tr>
          <w:tr w:rsidR="00B66E59" w:rsidTr="00326EA2">
            <w:trPr>
              <w:cantSplit/>
            </w:trPr>
            <w:sdt>
              <w:sdtPr>
                <w:tag w:val="_PLD_50cefe8e83c143188bf2474236d80680"/>
                <w:id w:val="-318963643"/>
                <w:lock w:val="sdtLocked"/>
              </w:sdtPr>
              <w:sdtContent>
                <w:tc>
                  <w:tcPr>
                    <w:tcW w:w="2331" w:type="pct"/>
                  </w:tcPr>
                  <w:p w:rsidR="00B66E59" w:rsidRDefault="00B66E59" w:rsidP="00DB008B">
                    <w:pPr>
                      <w:autoSpaceDE w:val="0"/>
                      <w:autoSpaceDN w:val="0"/>
                      <w:adjustRightInd w:val="0"/>
                      <w:ind w:firstLine="420"/>
                      <w:rPr>
                        <w:szCs w:val="21"/>
                      </w:rPr>
                    </w:pPr>
                    <w:r>
                      <w:rPr>
                        <w:rFonts w:hint="eastAsia"/>
                        <w:szCs w:val="21"/>
                      </w:rPr>
                      <w:t>提取一般风险准备</w:t>
                    </w:r>
                  </w:p>
                </w:tc>
              </w:sdtContent>
            </w:sdt>
            <w:tc>
              <w:tcPr>
                <w:tcW w:w="1157" w:type="pct"/>
              </w:tcPr>
              <w:p w:rsidR="00B66E59" w:rsidRDefault="00B66E59" w:rsidP="00DB008B">
                <w:pPr>
                  <w:jc w:val="right"/>
                  <w:rPr>
                    <w:szCs w:val="21"/>
                  </w:rPr>
                </w:pPr>
              </w:p>
            </w:tc>
            <w:tc>
              <w:tcPr>
                <w:tcW w:w="1512" w:type="pct"/>
              </w:tcPr>
              <w:p w:rsidR="00B66E59" w:rsidRDefault="00B66E59" w:rsidP="00DB008B">
                <w:pPr>
                  <w:ind w:right="6"/>
                  <w:jc w:val="right"/>
                  <w:rPr>
                    <w:szCs w:val="21"/>
                  </w:rPr>
                </w:pPr>
              </w:p>
            </w:tc>
          </w:tr>
          <w:tr w:rsidR="00B66E59" w:rsidTr="00326EA2">
            <w:trPr>
              <w:cantSplit/>
            </w:trPr>
            <w:sdt>
              <w:sdtPr>
                <w:tag w:val="_PLD_87bbb7d2e8fe4a08961cba210a7ec6dc"/>
                <w:id w:val="-1840149501"/>
                <w:lock w:val="sdtLocked"/>
              </w:sdtPr>
              <w:sdtContent>
                <w:tc>
                  <w:tcPr>
                    <w:tcW w:w="2331" w:type="pct"/>
                  </w:tcPr>
                  <w:p w:rsidR="00B66E59" w:rsidRDefault="00B66E59" w:rsidP="00DB008B">
                    <w:pPr>
                      <w:autoSpaceDE w:val="0"/>
                      <w:autoSpaceDN w:val="0"/>
                      <w:adjustRightInd w:val="0"/>
                      <w:ind w:firstLine="420"/>
                      <w:rPr>
                        <w:szCs w:val="21"/>
                      </w:rPr>
                    </w:pPr>
                    <w:r>
                      <w:rPr>
                        <w:rFonts w:hint="eastAsia"/>
                        <w:szCs w:val="21"/>
                      </w:rPr>
                      <w:t>应付普通股股利</w:t>
                    </w:r>
                  </w:p>
                </w:tc>
              </w:sdtContent>
            </w:sdt>
            <w:tc>
              <w:tcPr>
                <w:tcW w:w="1157" w:type="pct"/>
                <w:vAlign w:val="center"/>
              </w:tcPr>
              <w:p w:rsidR="00B66E59" w:rsidRDefault="00B66E59" w:rsidP="00DB008B">
                <w:pPr>
                  <w:jc w:val="right"/>
                  <w:rPr>
                    <w:szCs w:val="21"/>
                  </w:rPr>
                </w:pPr>
                <w:r>
                  <w:t>7,136,124,871</w:t>
                </w:r>
              </w:p>
            </w:tc>
            <w:tc>
              <w:tcPr>
                <w:tcW w:w="1512" w:type="pct"/>
                <w:vAlign w:val="center"/>
              </w:tcPr>
              <w:p w:rsidR="00B66E59" w:rsidRDefault="00B66E59" w:rsidP="00DB008B">
                <w:pPr>
                  <w:ind w:right="6"/>
                  <w:jc w:val="right"/>
                  <w:rPr>
                    <w:szCs w:val="21"/>
                  </w:rPr>
                </w:pPr>
                <w:r>
                  <w:t>7,136,099,702</w:t>
                </w:r>
              </w:p>
            </w:tc>
          </w:tr>
          <w:tr w:rsidR="00B66E59" w:rsidTr="00326EA2">
            <w:trPr>
              <w:cantSplit/>
            </w:trPr>
            <w:sdt>
              <w:sdtPr>
                <w:tag w:val="_PLD_4bbfbdfbfae0435097e7295f7e9172d3"/>
                <w:id w:val="-1067797396"/>
                <w:lock w:val="sdtLocked"/>
              </w:sdtPr>
              <w:sdtContent>
                <w:tc>
                  <w:tcPr>
                    <w:tcW w:w="2331" w:type="pct"/>
                  </w:tcPr>
                  <w:p w:rsidR="00B66E59" w:rsidRDefault="00B66E59" w:rsidP="00DB008B">
                    <w:pPr>
                      <w:autoSpaceDE w:val="0"/>
                      <w:autoSpaceDN w:val="0"/>
                      <w:adjustRightInd w:val="0"/>
                      <w:ind w:firstLine="420"/>
                      <w:rPr>
                        <w:szCs w:val="21"/>
                      </w:rPr>
                    </w:pPr>
                    <w:r>
                      <w:rPr>
                        <w:rFonts w:hint="eastAsia"/>
                        <w:szCs w:val="21"/>
                      </w:rPr>
                      <w:t>转作股本的普通股股利</w:t>
                    </w:r>
                  </w:p>
                </w:tc>
              </w:sdtContent>
            </w:sdt>
            <w:tc>
              <w:tcPr>
                <w:tcW w:w="1157" w:type="pct"/>
              </w:tcPr>
              <w:p w:rsidR="00B66E59" w:rsidRDefault="00B66E59" w:rsidP="00DB008B">
                <w:pPr>
                  <w:jc w:val="right"/>
                  <w:rPr>
                    <w:szCs w:val="21"/>
                  </w:rPr>
                </w:pPr>
              </w:p>
            </w:tc>
            <w:tc>
              <w:tcPr>
                <w:tcW w:w="1512" w:type="pct"/>
              </w:tcPr>
              <w:p w:rsidR="00B66E59" w:rsidRDefault="00B66E59" w:rsidP="00DB008B">
                <w:pPr>
                  <w:ind w:right="6"/>
                  <w:jc w:val="right"/>
                  <w:rPr>
                    <w:szCs w:val="21"/>
                  </w:rPr>
                </w:pPr>
              </w:p>
            </w:tc>
          </w:tr>
          <w:sdt>
            <w:sdtPr>
              <w:rPr>
                <w:rFonts w:hint="eastAsia"/>
                <w:szCs w:val="21"/>
              </w:rPr>
              <w:alias w:val="本期其他利润分配"/>
              <w:tag w:val="_TUP_9c08dab1f601442f9635f5bc53591d1f"/>
              <w:id w:val="95914039"/>
              <w:lock w:val="sdtLocked"/>
            </w:sdtPr>
            <w:sdtContent>
              <w:tr w:rsidR="00B66E59" w:rsidTr="00326EA2">
                <w:trPr>
                  <w:cantSplit/>
                </w:trPr>
                <w:tc>
                  <w:tcPr>
                    <w:tcW w:w="2331" w:type="pct"/>
                  </w:tcPr>
                  <w:p w:rsidR="00B66E59" w:rsidRDefault="00B66E59" w:rsidP="00DB008B">
                    <w:pPr>
                      <w:autoSpaceDE w:val="0"/>
                      <w:autoSpaceDN w:val="0"/>
                      <w:adjustRightInd w:val="0"/>
                      <w:ind w:firstLine="426"/>
                      <w:rPr>
                        <w:szCs w:val="21"/>
                      </w:rPr>
                    </w:pPr>
                    <w:r>
                      <w:rPr>
                        <w:rFonts w:hint="eastAsia"/>
                        <w:szCs w:val="21"/>
                      </w:rPr>
                      <w:t>三供一业分离移交影响</w:t>
                    </w:r>
                  </w:p>
                </w:tc>
                <w:tc>
                  <w:tcPr>
                    <w:tcW w:w="1157" w:type="pct"/>
                  </w:tcPr>
                  <w:p w:rsidR="00B66E59" w:rsidRDefault="00B66E59" w:rsidP="00DB008B">
                    <w:pPr>
                      <w:ind w:right="6"/>
                      <w:jc w:val="right"/>
                      <w:rPr>
                        <w:szCs w:val="21"/>
                      </w:rPr>
                    </w:pPr>
                    <w:r>
                      <w:t>142,025,105</w:t>
                    </w:r>
                  </w:p>
                </w:tc>
                <w:tc>
                  <w:tcPr>
                    <w:tcW w:w="1512" w:type="pct"/>
                  </w:tcPr>
                  <w:p w:rsidR="00B66E59" w:rsidRDefault="00B66E59" w:rsidP="00DB008B">
                    <w:pPr>
                      <w:ind w:right="6"/>
                      <w:jc w:val="right"/>
                      <w:rPr>
                        <w:szCs w:val="21"/>
                      </w:rPr>
                    </w:pPr>
                    <w:r>
                      <w:t>975,551,218</w:t>
                    </w:r>
                  </w:p>
                </w:tc>
              </w:tr>
            </w:sdtContent>
          </w:sdt>
          <w:sdt>
            <w:sdtPr>
              <w:rPr>
                <w:rFonts w:hint="eastAsia"/>
                <w:szCs w:val="21"/>
              </w:rPr>
              <w:alias w:val="本期其他利润分配"/>
              <w:tag w:val="_TUP_9c08dab1f601442f9635f5bc53591d1f"/>
              <w:id w:val="-224371325"/>
              <w:lock w:val="sdtLocked"/>
            </w:sdtPr>
            <w:sdtContent>
              <w:tr w:rsidR="00B66E59" w:rsidTr="00326EA2">
                <w:trPr>
                  <w:cantSplit/>
                </w:trPr>
                <w:tc>
                  <w:tcPr>
                    <w:tcW w:w="2331" w:type="pct"/>
                  </w:tcPr>
                  <w:p w:rsidR="00B66E59" w:rsidRDefault="00B66E59" w:rsidP="00DB008B">
                    <w:pPr>
                      <w:autoSpaceDE w:val="0"/>
                      <w:autoSpaceDN w:val="0"/>
                      <w:adjustRightInd w:val="0"/>
                      <w:rPr>
                        <w:szCs w:val="21"/>
                      </w:rPr>
                    </w:pPr>
                  </w:p>
                </w:tc>
                <w:tc>
                  <w:tcPr>
                    <w:tcW w:w="1157" w:type="pct"/>
                  </w:tcPr>
                  <w:p w:rsidR="00B66E59" w:rsidRDefault="00B66E59" w:rsidP="00DB008B">
                    <w:pPr>
                      <w:ind w:right="6"/>
                      <w:jc w:val="right"/>
                      <w:rPr>
                        <w:szCs w:val="21"/>
                      </w:rPr>
                    </w:pPr>
                  </w:p>
                </w:tc>
                <w:tc>
                  <w:tcPr>
                    <w:tcW w:w="1512" w:type="pct"/>
                  </w:tcPr>
                  <w:p w:rsidR="00B66E59" w:rsidRDefault="00B66E59" w:rsidP="00DB008B">
                    <w:pPr>
                      <w:ind w:right="6"/>
                      <w:jc w:val="right"/>
                      <w:rPr>
                        <w:szCs w:val="21"/>
                      </w:rPr>
                    </w:pPr>
                  </w:p>
                </w:tc>
              </w:tr>
            </w:sdtContent>
          </w:sdt>
          <w:tr w:rsidR="00B66E59" w:rsidTr="00326EA2">
            <w:trPr>
              <w:cantSplit/>
            </w:trPr>
            <w:sdt>
              <w:sdtPr>
                <w:tag w:val="_PLD_d7d3f7cba9bf4a16a498b0ccb214564d"/>
                <w:id w:val="-852962735"/>
                <w:lock w:val="sdtLocked"/>
              </w:sdtPr>
              <w:sdtContent>
                <w:tc>
                  <w:tcPr>
                    <w:tcW w:w="2331" w:type="pct"/>
                  </w:tcPr>
                  <w:p w:rsidR="00B66E59" w:rsidRDefault="00B66E59" w:rsidP="00B66E59">
                    <w:pPr>
                      <w:autoSpaceDE w:val="0"/>
                      <w:autoSpaceDN w:val="0"/>
                      <w:adjustRightInd w:val="0"/>
                      <w:rPr>
                        <w:szCs w:val="21"/>
                      </w:rPr>
                    </w:pPr>
                    <w:r>
                      <w:rPr>
                        <w:rFonts w:hint="eastAsia"/>
                        <w:szCs w:val="21"/>
                      </w:rPr>
                      <w:t>期末未分配利润</w:t>
                    </w:r>
                  </w:p>
                </w:tc>
              </w:sdtContent>
            </w:sdt>
            <w:tc>
              <w:tcPr>
                <w:tcW w:w="1157" w:type="pct"/>
                <w:vAlign w:val="center"/>
              </w:tcPr>
              <w:p w:rsidR="00B66E59" w:rsidRDefault="00B66E59" w:rsidP="00B66E59">
                <w:pPr>
                  <w:jc w:val="right"/>
                  <w:rPr>
                    <w:szCs w:val="21"/>
                  </w:rPr>
                </w:pPr>
                <w:r>
                  <w:t>67,226,607,720</w:t>
                </w:r>
              </w:p>
            </w:tc>
            <w:tc>
              <w:tcPr>
                <w:tcW w:w="1512" w:type="pct"/>
                <w:vAlign w:val="center"/>
              </w:tcPr>
              <w:p w:rsidR="00B66E59" w:rsidRDefault="00B66E59" w:rsidP="00B66E59">
                <w:pPr>
                  <w:ind w:right="6"/>
                  <w:jc w:val="right"/>
                  <w:rPr>
                    <w:szCs w:val="21"/>
                  </w:rPr>
                </w:pPr>
                <w:r>
                  <w:t>64,399,144,806</w:t>
                </w:r>
              </w:p>
            </w:tc>
          </w:tr>
        </w:tbl>
        <w:p w:rsidR="00422D5A" w:rsidRDefault="00422D5A">
          <w:pPr>
            <w:spacing w:before="60" w:after="60"/>
            <w:rPr>
              <w:color w:val="000000" w:themeColor="text1"/>
              <w:szCs w:val="21"/>
            </w:rPr>
          </w:pPr>
        </w:p>
        <w:p w:rsidR="00806678" w:rsidRDefault="00B16377">
          <w:pPr>
            <w:spacing w:before="60" w:after="60"/>
            <w:rPr>
              <w:color w:val="000000" w:themeColor="text1"/>
              <w:szCs w:val="21"/>
            </w:rPr>
          </w:pPr>
          <w:r>
            <w:rPr>
              <w:rFonts w:hint="eastAsia"/>
              <w:color w:val="000000" w:themeColor="text1"/>
              <w:szCs w:val="21"/>
            </w:rPr>
            <w:t>调整期初未分配利润明细：</w:t>
          </w:r>
        </w:p>
        <w:p w:rsidR="00806678" w:rsidRDefault="00B16377">
          <w:pPr>
            <w:rPr>
              <w:szCs w:val="21"/>
            </w:rPr>
          </w:pPr>
          <w:r>
            <w:rPr>
              <w:rFonts w:hint="eastAsia"/>
              <w:szCs w:val="21"/>
            </w:rPr>
            <w:t>1、由于《企业会计准则》及其相关新规定进行追溯调整，影响期初未分配利润</w:t>
          </w:r>
          <w:sdt>
            <w:sdtPr>
              <w:rPr>
                <w:rFonts w:hint="eastAsia"/>
                <w:szCs w:val="21"/>
              </w:rPr>
              <w:alias w:val="依据《企业会计准则》及其相关规定进行追溯调整影响年初未分配利润合计"/>
              <w:tag w:val="_GBC_1fcb28b764eb43c48b913d5e107ed4eb"/>
              <w:id w:val="563301963"/>
              <w:lock w:val="sdtLocked"/>
              <w:placeholder>
                <w:docPart w:val="GBC22222222222222222222222222222"/>
              </w:placeholder>
            </w:sdtPr>
            <w:sdtContent>
              <w:r w:rsidR="00B66E59">
                <w:rPr>
                  <w:szCs w:val="21"/>
                </w:rPr>
                <w:t>0</w:t>
              </w:r>
            </w:sdtContent>
          </w:sdt>
          <w:r>
            <w:rPr>
              <w:rFonts w:hint="eastAsia"/>
              <w:szCs w:val="21"/>
            </w:rPr>
            <w:t xml:space="preserve"> 元。</w:t>
          </w:r>
        </w:p>
        <w:p w:rsidR="00806678" w:rsidRDefault="00B16377">
          <w:pPr>
            <w:rPr>
              <w:szCs w:val="21"/>
            </w:rPr>
          </w:pPr>
          <w:r>
            <w:rPr>
              <w:rFonts w:hint="eastAsia"/>
              <w:szCs w:val="21"/>
            </w:rPr>
            <w:t>2、由于会计政策变更，影响期初未分配利润</w:t>
          </w:r>
          <w:sdt>
            <w:sdtPr>
              <w:rPr>
                <w:rFonts w:hint="eastAsia"/>
                <w:szCs w:val="21"/>
              </w:rPr>
              <w:alias w:val="由于会计政策变更影响年初未分配利润"/>
              <w:tag w:val="_GBC_0f2691a265a44dd08d91157d1df0cf3f"/>
              <w:id w:val="-120852117"/>
              <w:lock w:val="sdtLocked"/>
              <w:placeholder>
                <w:docPart w:val="GBC22222222222222222222222222222"/>
              </w:placeholder>
            </w:sdtPr>
            <w:sdtContent>
              <w:r w:rsidR="00B66E59">
                <w:rPr>
                  <w:szCs w:val="21"/>
                </w:rPr>
                <w:t>0</w:t>
              </w:r>
            </w:sdtContent>
          </w:sdt>
          <w:r>
            <w:rPr>
              <w:rFonts w:hint="eastAsia"/>
              <w:szCs w:val="21"/>
            </w:rPr>
            <w:t xml:space="preserve"> 元。</w:t>
          </w:r>
        </w:p>
        <w:p w:rsidR="00806678" w:rsidRDefault="00B16377">
          <w:pPr>
            <w:rPr>
              <w:szCs w:val="21"/>
            </w:rPr>
          </w:pPr>
          <w:r>
            <w:rPr>
              <w:rFonts w:hint="eastAsia"/>
              <w:szCs w:val="21"/>
            </w:rPr>
            <w:t>3、由于重大会计差错更正，影响期初未分配利润</w:t>
          </w:r>
          <w:sdt>
            <w:sdtPr>
              <w:rPr>
                <w:rFonts w:hint="eastAsia"/>
                <w:szCs w:val="21"/>
              </w:rPr>
              <w:alias w:val="由于重大会计差错更正影响年初未分配利润"/>
              <w:tag w:val="_GBC_6558a990019646559dec1140b9f53b0c"/>
              <w:id w:val="-45064409"/>
              <w:lock w:val="sdtLocked"/>
              <w:placeholder>
                <w:docPart w:val="GBC22222222222222222222222222222"/>
              </w:placeholder>
            </w:sdtPr>
            <w:sdtContent>
              <w:r w:rsidR="00B66E59">
                <w:rPr>
                  <w:szCs w:val="21"/>
                </w:rPr>
                <w:t>0</w:t>
              </w:r>
            </w:sdtContent>
          </w:sdt>
          <w:r>
            <w:rPr>
              <w:rFonts w:hint="eastAsia"/>
              <w:szCs w:val="21"/>
            </w:rPr>
            <w:t xml:space="preserve"> 元。</w:t>
          </w:r>
        </w:p>
        <w:p w:rsidR="00806678" w:rsidRDefault="00B16377">
          <w:pPr>
            <w:rPr>
              <w:szCs w:val="21"/>
            </w:rPr>
          </w:pPr>
          <w:r>
            <w:rPr>
              <w:rFonts w:hint="eastAsia"/>
              <w:szCs w:val="21"/>
            </w:rPr>
            <w:t>4、由于同一控制导致的合并范围变更，影响期初未分配利润</w:t>
          </w:r>
          <w:sdt>
            <w:sdtPr>
              <w:rPr>
                <w:rFonts w:hint="eastAsia"/>
                <w:szCs w:val="21"/>
              </w:rPr>
              <w:alias w:val="同一控制导致的合并范围变更影响年初未分配利润"/>
              <w:tag w:val="_GBC_f30de8253e8b446d94ba7a482cf7cae5"/>
              <w:id w:val="-1107656467"/>
              <w:lock w:val="sdtLocked"/>
              <w:placeholder>
                <w:docPart w:val="GBC22222222222222222222222222222"/>
              </w:placeholder>
            </w:sdtPr>
            <w:sdtContent>
              <w:r w:rsidR="00B66E59">
                <w:rPr>
                  <w:szCs w:val="21"/>
                </w:rPr>
                <w:t>0</w:t>
              </w:r>
            </w:sdtContent>
          </w:sdt>
          <w:r>
            <w:rPr>
              <w:rFonts w:hint="eastAsia"/>
              <w:szCs w:val="21"/>
            </w:rPr>
            <w:t xml:space="preserve"> 元。</w:t>
          </w:r>
        </w:p>
        <w:p w:rsidR="00B66E59" w:rsidRDefault="00B16377">
          <w:pPr>
            <w:rPr>
              <w:szCs w:val="21"/>
            </w:rPr>
          </w:pPr>
          <w:r>
            <w:rPr>
              <w:rFonts w:hint="eastAsia"/>
              <w:szCs w:val="21"/>
            </w:rPr>
            <w:t>5、其他调整合计影响期初未分配利润</w:t>
          </w:r>
          <w:sdt>
            <w:sdtPr>
              <w:rPr>
                <w:rFonts w:hint="eastAsia"/>
                <w:szCs w:val="21"/>
              </w:rPr>
              <w:alias w:val="其他调整合计影响年初未分配利润"/>
              <w:tag w:val="_GBC_7fea08c189344f12b9e1dc7c084896bb"/>
              <w:id w:val="1796636555"/>
              <w:lock w:val="sdtLocked"/>
              <w:placeholder>
                <w:docPart w:val="GBC22222222222222222222222222222"/>
              </w:placeholder>
            </w:sdtPr>
            <w:sdtContent>
              <w:r w:rsidR="00B66E59">
                <w:rPr>
                  <w:szCs w:val="21"/>
                </w:rPr>
                <w:t>0</w:t>
              </w:r>
            </w:sdtContent>
          </w:sdt>
          <w:r>
            <w:rPr>
              <w:rFonts w:hint="eastAsia"/>
              <w:szCs w:val="21"/>
            </w:rPr>
            <w:t xml:space="preserve"> 元。</w:t>
          </w:r>
        </w:p>
        <w:p w:rsidR="00B66E59" w:rsidRDefault="00B66E59">
          <w:pPr>
            <w:rPr>
              <w:szCs w:val="21"/>
            </w:rPr>
          </w:pPr>
        </w:p>
        <w:p w:rsidR="00B66E59" w:rsidRDefault="00B66E59" w:rsidP="00B66E59">
          <w:pPr>
            <w:overflowPunct w:val="0"/>
            <w:adjustRightInd w:val="0"/>
            <w:snapToGrid w:val="0"/>
            <w:rPr>
              <w:rFonts w:cs="Arial"/>
              <w:sz w:val="22"/>
              <w:szCs w:val="22"/>
            </w:rPr>
          </w:pPr>
          <w:r w:rsidRPr="001F185D">
            <w:rPr>
              <w:rFonts w:cs="Arial" w:hint="eastAsia"/>
              <w:sz w:val="22"/>
              <w:szCs w:val="22"/>
            </w:rPr>
            <w:lastRenderedPageBreak/>
            <w:t>根据2022年5月25日股东大会决议，本公司向全体股东派发2021年度净利润之现金股利，以实施权益分派股权登记日登记的总股本为基数，向全体股东每股派发现金股利0.48元（含税）。于2022年7月7日，本公司派发现金股利共计人民币7,136,124,871元。</w:t>
          </w:r>
        </w:p>
        <w:p w:rsidR="00B66E59" w:rsidRDefault="00B66E59" w:rsidP="00B66E59">
          <w:pPr>
            <w:overflowPunct w:val="0"/>
            <w:adjustRightInd w:val="0"/>
            <w:snapToGrid w:val="0"/>
            <w:rPr>
              <w:rFonts w:cs="Arial"/>
              <w:sz w:val="22"/>
              <w:szCs w:val="22"/>
            </w:rPr>
          </w:pPr>
        </w:p>
        <w:p w:rsidR="00806678" w:rsidRPr="00B66E59" w:rsidRDefault="00B66E59" w:rsidP="00B66E59">
          <w:pPr>
            <w:overflowPunct w:val="0"/>
            <w:adjustRightInd w:val="0"/>
            <w:snapToGrid w:val="0"/>
            <w:rPr>
              <w:rFonts w:cs="Arial"/>
              <w:sz w:val="22"/>
              <w:szCs w:val="22"/>
            </w:rPr>
          </w:pPr>
          <w:r w:rsidRPr="001F185D">
            <w:rPr>
              <w:rFonts w:cs="Arial" w:hint="eastAsia"/>
              <w:sz w:val="22"/>
              <w:szCs w:val="22"/>
            </w:rPr>
            <w:t>如附注</w:t>
          </w:r>
          <w:r w:rsidR="001C6BB5">
            <w:rPr>
              <w:rFonts w:cs="Arial" w:hint="eastAsia"/>
              <w:sz w:val="22"/>
              <w:szCs w:val="22"/>
            </w:rPr>
            <w:t>七</w:t>
          </w:r>
          <w:r w:rsidRPr="001F185D">
            <w:rPr>
              <w:rFonts w:cs="Arial" w:hint="eastAsia"/>
              <w:sz w:val="22"/>
              <w:szCs w:val="22"/>
            </w:rPr>
            <w:t>、</w:t>
          </w:r>
          <w:r w:rsidR="001C6BB5">
            <w:rPr>
              <w:rFonts w:cs="Arial"/>
              <w:sz w:val="22"/>
              <w:szCs w:val="22"/>
            </w:rPr>
            <w:t>13</w:t>
          </w:r>
          <w:r w:rsidRPr="001F185D">
            <w:rPr>
              <w:rFonts w:cs="Arial" w:hint="eastAsia"/>
              <w:sz w:val="22"/>
              <w:szCs w:val="22"/>
            </w:rPr>
            <w:t>所述，根据《国铁集团办公厅转发财政部、国资委关于中央企业和原中央下放企业职工家属区“三供一业”分离移交中央财政补助资金清算的通知》(铁办财〔2019〕47号)文件要求，受“三供一业”分离移交的影响，2022年度本公司将“三供一业”维修改造支出人民币142,025,10</w:t>
          </w:r>
          <w:r w:rsidRPr="001F185D">
            <w:rPr>
              <w:rFonts w:cs="Arial"/>
              <w:sz w:val="22"/>
              <w:szCs w:val="22"/>
            </w:rPr>
            <w:t>5</w:t>
          </w:r>
          <w:r w:rsidRPr="001F185D">
            <w:rPr>
              <w:rFonts w:cs="Arial" w:hint="eastAsia"/>
              <w:sz w:val="22"/>
              <w:szCs w:val="22"/>
            </w:rPr>
            <w:t>元冲减未分配利润。</w:t>
          </w:r>
        </w:p>
      </w:sdtContent>
    </w:sdt>
    <w:p w:rsidR="00806678" w:rsidRDefault="00806678">
      <w:pPr>
        <w:rPr>
          <w:szCs w:val="21"/>
        </w:rPr>
      </w:pPr>
    </w:p>
    <w:sdt>
      <w:sdtPr>
        <w:rPr>
          <w:rFonts w:ascii="宋体" w:hAnsi="宋体" w:cs="宋体" w:hint="eastAsia"/>
          <w:b w:val="0"/>
          <w:bCs w:val="0"/>
          <w:kern w:val="0"/>
          <w:szCs w:val="21"/>
        </w:rPr>
        <w:alias w:val="模块:营业收入和营业成本"/>
        <w:tag w:val="_SEC_4f278fa30cb04e56a01c1330e71747dc"/>
        <w:id w:val="-2130847931"/>
        <w:lock w:val="sdtLocked"/>
        <w:placeholder>
          <w:docPart w:val="GBC22222222222222222222222222222"/>
        </w:placeholder>
      </w:sdtPr>
      <w:sdtEndPr>
        <w:rPr>
          <w:rFonts w:hint="default"/>
          <w:szCs w:val="24"/>
        </w:rPr>
      </w:sdtEndPr>
      <w:sdtContent>
        <w:p w:rsidR="00806678" w:rsidRDefault="00B16377" w:rsidP="00FF17C7">
          <w:pPr>
            <w:pStyle w:val="3"/>
            <w:numPr>
              <w:ilvl w:val="0"/>
              <w:numId w:val="18"/>
            </w:numPr>
            <w:tabs>
              <w:tab w:val="left" w:pos="504"/>
            </w:tabs>
            <w:rPr>
              <w:szCs w:val="21"/>
            </w:rPr>
          </w:pPr>
          <w:r>
            <w:rPr>
              <w:szCs w:val="21"/>
            </w:rPr>
            <w:t>营业</w:t>
          </w:r>
          <w:r>
            <w:rPr>
              <w:rFonts w:ascii="宋体" w:hAnsi="宋体"/>
              <w:szCs w:val="21"/>
            </w:rPr>
            <w:t>收入</w:t>
          </w:r>
          <w:r>
            <w:rPr>
              <w:szCs w:val="21"/>
            </w:rPr>
            <w:t>和营业成本</w:t>
          </w:r>
        </w:p>
        <w:p w:rsidR="00806678" w:rsidRDefault="00B16377" w:rsidP="00FF17C7">
          <w:pPr>
            <w:pStyle w:val="4"/>
            <w:numPr>
              <w:ilvl w:val="0"/>
              <w:numId w:val="119"/>
            </w:numPr>
            <w:ind w:left="426" w:hanging="426"/>
          </w:pPr>
          <w:r>
            <w:rPr>
              <w:rFonts w:hint="eastAsia"/>
            </w:rPr>
            <w:t>营业收入和营业成本情况</w:t>
          </w:r>
        </w:p>
        <w:sdt>
          <w:sdtPr>
            <w:alias w:val="是否适用：营业收入和营业成本[双击切换]"/>
            <w:tag w:val="_GBC_c0388196e3634afc823f4b5822c5937a"/>
            <w:id w:val="914133097"/>
            <w:lock w:val="sdtLocked"/>
            <w:placeholder>
              <w:docPart w:val="GBC22222222222222222222222222222"/>
            </w:placeholder>
          </w:sdtPr>
          <w:sdtContent>
            <w:p w:rsidR="00806678" w:rsidRDefault="00F80B6C">
              <w:r>
                <w:fldChar w:fldCharType="begin"/>
              </w:r>
              <w:r w:rsidR="009C54D9">
                <w:instrText xml:space="preserve">MACROBUTTON  SnrToggleCheckbox √适用 </w:instrText>
              </w:r>
              <w:r>
                <w:fldChar w:fldCharType="end"/>
              </w:r>
              <w:r>
                <w:fldChar w:fldCharType="begin"/>
              </w:r>
              <w:r w:rsidR="009C54D9">
                <w:instrText xml:space="preserve"> MACROBUTTON  SnrToggleCheckbox □不适用 </w:instrText>
              </w:r>
              <w:r>
                <w:fldChar w:fldCharType="end"/>
              </w:r>
            </w:p>
          </w:sdtContent>
        </w:sdt>
        <w:p w:rsidR="00806678" w:rsidRDefault="00B16377">
          <w:pPr>
            <w:jc w:val="right"/>
            <w:rPr>
              <w:szCs w:val="21"/>
            </w:rPr>
          </w:pPr>
          <w:r>
            <w:rPr>
              <w:rFonts w:hint="eastAsia"/>
              <w:bCs/>
              <w:szCs w:val="21"/>
            </w:rPr>
            <w:t>单位：</w:t>
          </w:r>
          <w:sdt>
            <w:sdtPr>
              <w:rPr>
                <w:rFonts w:hint="eastAsia"/>
                <w:bCs/>
                <w:szCs w:val="21"/>
              </w:rPr>
              <w:alias w:val="单位：财务附注：营业收入"/>
              <w:tag w:val="_GBC_65cadde8ae1e4b178e7f2737b89bb434"/>
              <w:id w:val="131783878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bCs/>
                  <w:szCs w:val="21"/>
                </w:rPr>
                <w:t>元</w:t>
              </w:r>
            </w:sdtContent>
          </w:sdt>
          <w:r>
            <w:rPr>
              <w:rFonts w:hint="eastAsia"/>
              <w:bCs/>
              <w:szCs w:val="21"/>
            </w:rPr>
            <w:t xml:space="preserve">  币种：</w:t>
          </w:r>
          <w:sdt>
            <w:sdtPr>
              <w:rPr>
                <w:rFonts w:hint="eastAsia"/>
                <w:bCs/>
                <w:szCs w:val="21"/>
              </w:rPr>
              <w:alias w:val="币种：财务附注：营业收入"/>
              <w:tag w:val="_GBC_1371c944b91f437595273e807317f64f"/>
              <w:id w:val="-122991709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bCs/>
                  <w:szCs w:val="21"/>
                </w:rPr>
                <w:t>人民币</w:t>
              </w:r>
            </w:sdtContent>
          </w:sdt>
        </w:p>
        <w:tbl>
          <w:tblPr>
            <w:tblW w:w="4933" w:type="pct"/>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7"/>
            <w:gridCol w:w="1864"/>
            <w:gridCol w:w="1877"/>
            <w:gridCol w:w="1875"/>
            <w:gridCol w:w="1875"/>
          </w:tblGrid>
          <w:tr w:rsidR="00DB5417" w:rsidTr="00DB5417">
            <w:sdt>
              <w:sdtPr>
                <w:tag w:val="_PLD_77e8683f75cd4c9e919404e1278fe9a0"/>
                <w:id w:val="-1450696025"/>
                <w:lock w:val="sdtLocked"/>
              </w:sdtPr>
              <w:sdtContent>
                <w:tc>
                  <w:tcPr>
                    <w:tcW w:w="805" w:type="pct"/>
                    <w:vMerge w:val="restart"/>
                    <w:tcBorders>
                      <w:top w:val="single" w:sz="4" w:space="0" w:color="auto"/>
                      <w:left w:val="single" w:sz="4" w:space="0" w:color="auto"/>
                      <w:right w:val="single" w:sz="4" w:space="0" w:color="auto"/>
                    </w:tcBorders>
                    <w:shd w:val="clear" w:color="auto" w:fill="auto"/>
                    <w:vAlign w:val="center"/>
                  </w:tcPr>
                  <w:p w:rsidR="00DB5417" w:rsidRDefault="00DB5417" w:rsidP="00DB008B">
                    <w:pPr>
                      <w:jc w:val="center"/>
                      <w:rPr>
                        <w:szCs w:val="21"/>
                      </w:rPr>
                    </w:pPr>
                    <w:r>
                      <w:rPr>
                        <w:rFonts w:hint="eastAsia"/>
                        <w:szCs w:val="21"/>
                      </w:rPr>
                      <w:t>项目</w:t>
                    </w:r>
                  </w:p>
                </w:tc>
              </w:sdtContent>
            </w:sdt>
            <w:sdt>
              <w:sdtPr>
                <w:tag w:val="_PLD_e956f55a311f45a19dc3ce9396b931c9"/>
                <w:id w:val="-1407446732"/>
                <w:lock w:val="sdtLocked"/>
              </w:sdtPr>
              <w:sdtContent>
                <w:tc>
                  <w:tcPr>
                    <w:tcW w:w="209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B5417" w:rsidRDefault="00DB5417" w:rsidP="00DB008B">
                    <w:pPr>
                      <w:jc w:val="center"/>
                      <w:rPr>
                        <w:szCs w:val="21"/>
                      </w:rPr>
                    </w:pPr>
                    <w:r>
                      <w:rPr>
                        <w:rFonts w:hint="eastAsia"/>
                        <w:szCs w:val="21"/>
                      </w:rPr>
                      <w:t>本期发生额</w:t>
                    </w:r>
                  </w:p>
                </w:tc>
              </w:sdtContent>
            </w:sdt>
            <w:sdt>
              <w:sdtPr>
                <w:tag w:val="_PLD_d175a7df90684e2bbdccc1ba942f2760"/>
                <w:id w:val="1152560153"/>
                <w:lock w:val="sdtLocked"/>
              </w:sdtPr>
              <w:sdtContent>
                <w:tc>
                  <w:tcPr>
                    <w:tcW w:w="21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B5417" w:rsidRDefault="00DB5417" w:rsidP="00DB008B">
                    <w:pPr>
                      <w:jc w:val="center"/>
                      <w:rPr>
                        <w:szCs w:val="21"/>
                      </w:rPr>
                    </w:pPr>
                    <w:r>
                      <w:rPr>
                        <w:rFonts w:hint="eastAsia"/>
                        <w:szCs w:val="21"/>
                      </w:rPr>
                      <w:t>上期发生额</w:t>
                    </w:r>
                  </w:p>
                </w:tc>
              </w:sdtContent>
            </w:sdt>
          </w:tr>
          <w:tr w:rsidR="00DB5417" w:rsidTr="00DB5417">
            <w:tc>
              <w:tcPr>
                <w:tcW w:w="805" w:type="pct"/>
                <w:vMerge/>
                <w:tcBorders>
                  <w:left w:val="single" w:sz="4" w:space="0" w:color="auto"/>
                  <w:bottom w:val="single" w:sz="4" w:space="0" w:color="auto"/>
                  <w:right w:val="single" w:sz="4" w:space="0" w:color="auto"/>
                </w:tcBorders>
                <w:shd w:val="clear" w:color="auto" w:fill="auto"/>
              </w:tcPr>
              <w:p w:rsidR="00DB5417" w:rsidRDefault="00DB5417" w:rsidP="00DB008B">
                <w:pPr>
                  <w:jc w:val="center"/>
                  <w:rPr>
                    <w:szCs w:val="21"/>
                  </w:rPr>
                </w:pPr>
              </w:p>
            </w:tc>
            <w:sdt>
              <w:sdtPr>
                <w:tag w:val="_PLD_fe053e4bca564a1fbda44c85256ce067"/>
                <w:id w:val="-1893339950"/>
                <w:lock w:val="sdtLocked"/>
              </w:sdtPr>
              <w:sdtContent>
                <w:tc>
                  <w:tcPr>
                    <w:tcW w:w="1044" w:type="pct"/>
                    <w:tcBorders>
                      <w:top w:val="single" w:sz="4" w:space="0" w:color="auto"/>
                      <w:left w:val="single" w:sz="4" w:space="0" w:color="auto"/>
                      <w:bottom w:val="single" w:sz="4" w:space="0" w:color="auto"/>
                      <w:right w:val="single" w:sz="4" w:space="0" w:color="auto"/>
                    </w:tcBorders>
                    <w:shd w:val="clear" w:color="auto" w:fill="auto"/>
                    <w:vAlign w:val="center"/>
                  </w:tcPr>
                  <w:p w:rsidR="00DB5417" w:rsidRDefault="00DB5417" w:rsidP="00DB008B">
                    <w:pPr>
                      <w:jc w:val="center"/>
                      <w:rPr>
                        <w:szCs w:val="21"/>
                      </w:rPr>
                    </w:pPr>
                    <w:r>
                      <w:rPr>
                        <w:rFonts w:hint="eastAsia"/>
                        <w:szCs w:val="21"/>
                      </w:rPr>
                      <w:t>收入</w:t>
                    </w:r>
                  </w:p>
                </w:tc>
              </w:sdtContent>
            </w:sdt>
            <w:sdt>
              <w:sdtPr>
                <w:tag w:val="_PLD_88be7d92d03d4168a79d4492be4a258c"/>
                <w:id w:val="-1345472322"/>
                <w:lock w:val="sdtLocked"/>
              </w:sdtPr>
              <w:sdtContent>
                <w:tc>
                  <w:tcPr>
                    <w:tcW w:w="1051" w:type="pct"/>
                    <w:tcBorders>
                      <w:top w:val="single" w:sz="4" w:space="0" w:color="auto"/>
                      <w:left w:val="single" w:sz="4" w:space="0" w:color="auto"/>
                      <w:bottom w:val="single" w:sz="4" w:space="0" w:color="auto"/>
                      <w:right w:val="single" w:sz="4" w:space="0" w:color="auto"/>
                    </w:tcBorders>
                    <w:shd w:val="clear" w:color="auto" w:fill="auto"/>
                    <w:vAlign w:val="center"/>
                  </w:tcPr>
                  <w:p w:rsidR="00DB5417" w:rsidRDefault="00DB5417" w:rsidP="00DB008B">
                    <w:pPr>
                      <w:jc w:val="center"/>
                      <w:rPr>
                        <w:szCs w:val="21"/>
                      </w:rPr>
                    </w:pPr>
                    <w:r>
                      <w:rPr>
                        <w:rFonts w:hint="eastAsia"/>
                        <w:szCs w:val="21"/>
                      </w:rPr>
                      <w:t>成本</w:t>
                    </w:r>
                  </w:p>
                </w:tc>
              </w:sdtContent>
            </w:sdt>
            <w:sdt>
              <w:sdtPr>
                <w:tag w:val="_PLD_5ba4682bc5644bc38c4b795c78508b1f"/>
                <w:id w:val="-1041128360"/>
                <w:lock w:val="sdtLocked"/>
              </w:sdtPr>
              <w:sdtContent>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DB5417" w:rsidRDefault="00DB5417" w:rsidP="00DB008B">
                    <w:pPr>
                      <w:jc w:val="center"/>
                      <w:rPr>
                        <w:szCs w:val="21"/>
                      </w:rPr>
                    </w:pPr>
                    <w:r>
                      <w:rPr>
                        <w:rFonts w:hint="eastAsia"/>
                        <w:szCs w:val="21"/>
                      </w:rPr>
                      <w:t>收入</w:t>
                    </w:r>
                  </w:p>
                </w:tc>
              </w:sdtContent>
            </w:sdt>
            <w:sdt>
              <w:sdtPr>
                <w:tag w:val="_PLD_94a3ede4ab834e37a20364f2c6897976"/>
                <w:id w:val="440259394"/>
                <w:lock w:val="sdtLocked"/>
              </w:sdtPr>
              <w:sdtContent>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DB5417" w:rsidRDefault="00DB5417" w:rsidP="00DB008B">
                    <w:pPr>
                      <w:jc w:val="center"/>
                      <w:rPr>
                        <w:szCs w:val="21"/>
                      </w:rPr>
                    </w:pPr>
                    <w:r>
                      <w:rPr>
                        <w:rFonts w:hint="eastAsia"/>
                        <w:szCs w:val="21"/>
                      </w:rPr>
                      <w:t>成本</w:t>
                    </w:r>
                  </w:p>
                </w:tc>
              </w:sdtContent>
            </w:sdt>
          </w:tr>
          <w:tr w:rsidR="00DB5417" w:rsidTr="00DB5417">
            <w:sdt>
              <w:sdtPr>
                <w:tag w:val="_PLD_7940b00507304d829a4504bf1ed9614e"/>
                <w:id w:val="-354507141"/>
                <w:lock w:val="sdtLocked"/>
              </w:sdtPr>
              <w:sdtContent>
                <w:tc>
                  <w:tcPr>
                    <w:tcW w:w="805" w:type="pct"/>
                    <w:tcBorders>
                      <w:top w:val="single" w:sz="4" w:space="0" w:color="auto"/>
                      <w:left w:val="single" w:sz="4" w:space="0" w:color="auto"/>
                      <w:bottom w:val="single" w:sz="4" w:space="0" w:color="auto"/>
                      <w:right w:val="single" w:sz="4" w:space="0" w:color="auto"/>
                    </w:tcBorders>
                    <w:shd w:val="clear" w:color="auto" w:fill="auto"/>
                  </w:tcPr>
                  <w:p w:rsidR="00DB5417" w:rsidRDefault="00DB5417" w:rsidP="00DB5417">
                    <w:pPr>
                      <w:rPr>
                        <w:szCs w:val="21"/>
                      </w:rPr>
                    </w:pPr>
                    <w:r>
                      <w:rPr>
                        <w:rFonts w:hint="eastAsia"/>
                        <w:szCs w:val="21"/>
                      </w:rPr>
                      <w:t>主营业务</w:t>
                    </w:r>
                  </w:p>
                </w:tc>
              </w:sdtContent>
            </w:sdt>
            <w:tc>
              <w:tcPr>
                <w:tcW w:w="1044" w:type="pct"/>
                <w:tcBorders>
                  <w:top w:val="single" w:sz="4" w:space="0" w:color="auto"/>
                  <w:left w:val="single" w:sz="4" w:space="0" w:color="auto"/>
                  <w:bottom w:val="single" w:sz="4" w:space="0" w:color="auto"/>
                  <w:right w:val="single" w:sz="4" w:space="0" w:color="auto"/>
                </w:tcBorders>
                <w:shd w:val="clear" w:color="auto" w:fill="auto"/>
                <w:vAlign w:val="center"/>
              </w:tcPr>
              <w:p w:rsidR="00DB5417" w:rsidRDefault="00DB5417" w:rsidP="00DB5417">
                <w:pPr>
                  <w:jc w:val="right"/>
                  <w:rPr>
                    <w:szCs w:val="21"/>
                  </w:rPr>
                </w:pPr>
                <w:r>
                  <w:t>74,132,643,737</w:t>
                </w:r>
              </w:p>
            </w:tc>
            <w:tc>
              <w:tcPr>
                <w:tcW w:w="1051" w:type="pct"/>
                <w:tcBorders>
                  <w:top w:val="single" w:sz="4" w:space="0" w:color="auto"/>
                  <w:left w:val="single" w:sz="4" w:space="0" w:color="auto"/>
                  <w:bottom w:val="single" w:sz="4" w:space="0" w:color="auto"/>
                  <w:right w:val="single" w:sz="4" w:space="0" w:color="auto"/>
                </w:tcBorders>
                <w:shd w:val="clear" w:color="auto" w:fill="auto"/>
                <w:vAlign w:val="center"/>
              </w:tcPr>
              <w:p w:rsidR="00DB5417" w:rsidRDefault="00DB5417" w:rsidP="00DB5417">
                <w:pPr>
                  <w:jc w:val="right"/>
                  <w:rPr>
                    <w:szCs w:val="21"/>
                  </w:rPr>
                </w:pPr>
                <w:r>
                  <w:t>59,419,342,469</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DB5417" w:rsidRDefault="00DB5417" w:rsidP="00DB5417">
                <w:pPr>
                  <w:jc w:val="right"/>
                  <w:rPr>
                    <w:szCs w:val="21"/>
                  </w:rPr>
                </w:pPr>
                <w:r>
                  <w:t>77,065,838,119</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DB5417" w:rsidRDefault="00DB5417" w:rsidP="00DB5417">
                <w:pPr>
                  <w:jc w:val="right"/>
                  <w:rPr>
                    <w:szCs w:val="21"/>
                  </w:rPr>
                </w:pPr>
                <w:r>
                  <w:t>60,216,051,035</w:t>
                </w:r>
              </w:p>
            </w:tc>
          </w:tr>
          <w:tr w:rsidR="00DB5417" w:rsidTr="00DB5417">
            <w:sdt>
              <w:sdtPr>
                <w:tag w:val="_PLD_5a6f7d26b9aa400b90e8820fa4049db6"/>
                <w:id w:val="357707488"/>
                <w:lock w:val="sdtLocked"/>
              </w:sdtPr>
              <w:sdtContent>
                <w:tc>
                  <w:tcPr>
                    <w:tcW w:w="805" w:type="pct"/>
                    <w:tcBorders>
                      <w:top w:val="single" w:sz="4" w:space="0" w:color="auto"/>
                      <w:left w:val="single" w:sz="4" w:space="0" w:color="auto"/>
                      <w:bottom w:val="single" w:sz="4" w:space="0" w:color="auto"/>
                      <w:right w:val="single" w:sz="4" w:space="0" w:color="auto"/>
                    </w:tcBorders>
                    <w:shd w:val="clear" w:color="auto" w:fill="auto"/>
                  </w:tcPr>
                  <w:p w:rsidR="00DB5417" w:rsidRDefault="00DB5417" w:rsidP="00DB5417">
                    <w:pPr>
                      <w:rPr>
                        <w:szCs w:val="21"/>
                      </w:rPr>
                    </w:pPr>
                    <w:r>
                      <w:rPr>
                        <w:rFonts w:hint="eastAsia"/>
                        <w:szCs w:val="21"/>
                      </w:rPr>
                      <w:t>其他业务</w:t>
                    </w:r>
                  </w:p>
                </w:tc>
              </w:sdtContent>
            </w:sdt>
            <w:tc>
              <w:tcPr>
                <w:tcW w:w="1044" w:type="pct"/>
                <w:tcBorders>
                  <w:top w:val="single" w:sz="4" w:space="0" w:color="auto"/>
                  <w:left w:val="single" w:sz="4" w:space="0" w:color="auto"/>
                  <w:bottom w:val="single" w:sz="4" w:space="0" w:color="auto"/>
                  <w:right w:val="single" w:sz="4" w:space="0" w:color="auto"/>
                </w:tcBorders>
                <w:shd w:val="clear" w:color="auto" w:fill="auto"/>
                <w:vAlign w:val="center"/>
              </w:tcPr>
              <w:p w:rsidR="00DB5417" w:rsidRDefault="00DB5417" w:rsidP="00DB5417">
                <w:pPr>
                  <w:jc w:val="right"/>
                  <w:rPr>
                    <w:szCs w:val="21"/>
                  </w:rPr>
                </w:pPr>
                <w:r>
                  <w:t>1,625,027,931</w:t>
                </w:r>
              </w:p>
            </w:tc>
            <w:tc>
              <w:tcPr>
                <w:tcW w:w="1051" w:type="pct"/>
                <w:tcBorders>
                  <w:top w:val="single" w:sz="4" w:space="0" w:color="auto"/>
                  <w:left w:val="single" w:sz="4" w:space="0" w:color="auto"/>
                  <w:bottom w:val="single" w:sz="4" w:space="0" w:color="auto"/>
                  <w:right w:val="single" w:sz="4" w:space="0" w:color="auto"/>
                </w:tcBorders>
                <w:shd w:val="clear" w:color="auto" w:fill="auto"/>
                <w:vAlign w:val="center"/>
              </w:tcPr>
              <w:p w:rsidR="00DB5417" w:rsidRDefault="00DB5417" w:rsidP="00DB5417">
                <w:pPr>
                  <w:jc w:val="right"/>
                  <w:rPr>
                    <w:szCs w:val="21"/>
                  </w:rPr>
                </w:pPr>
                <w:r>
                  <w:t>1,215,885,183</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DB5417" w:rsidRDefault="00DB5417" w:rsidP="00DB5417">
                <w:pPr>
                  <w:jc w:val="right"/>
                  <w:rPr>
                    <w:szCs w:val="21"/>
                  </w:rPr>
                </w:pPr>
                <w:r>
                  <w:t>1,616,209,115</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DB5417" w:rsidRDefault="00DB5417" w:rsidP="00DB5417">
                <w:pPr>
                  <w:jc w:val="right"/>
                  <w:rPr>
                    <w:szCs w:val="21"/>
                  </w:rPr>
                </w:pPr>
                <w:r>
                  <w:t>1,292,539,648</w:t>
                </w:r>
              </w:p>
            </w:tc>
          </w:tr>
          <w:tr w:rsidR="00DB5417" w:rsidTr="00DB5417">
            <w:sdt>
              <w:sdtPr>
                <w:tag w:val="_PLD_898cf287f001436badb631738dfa74be"/>
                <w:id w:val="-1821727973"/>
                <w:lock w:val="sdtLocked"/>
              </w:sdtPr>
              <w:sdtContent>
                <w:tc>
                  <w:tcPr>
                    <w:tcW w:w="805" w:type="pct"/>
                    <w:tcBorders>
                      <w:top w:val="single" w:sz="4" w:space="0" w:color="auto"/>
                      <w:left w:val="single" w:sz="4" w:space="0" w:color="auto"/>
                      <w:bottom w:val="single" w:sz="4" w:space="0" w:color="auto"/>
                      <w:right w:val="single" w:sz="4" w:space="0" w:color="auto"/>
                    </w:tcBorders>
                    <w:shd w:val="clear" w:color="auto" w:fill="auto"/>
                    <w:vAlign w:val="center"/>
                  </w:tcPr>
                  <w:p w:rsidR="00DB5417" w:rsidRDefault="00DB5417" w:rsidP="00DB5417">
                    <w:pPr>
                      <w:jc w:val="center"/>
                      <w:rPr>
                        <w:szCs w:val="21"/>
                      </w:rPr>
                    </w:pPr>
                    <w:r>
                      <w:rPr>
                        <w:rFonts w:hint="eastAsia"/>
                        <w:szCs w:val="21"/>
                      </w:rPr>
                      <w:t>合计</w:t>
                    </w:r>
                  </w:p>
                </w:tc>
              </w:sdtContent>
            </w:sdt>
            <w:tc>
              <w:tcPr>
                <w:tcW w:w="1044" w:type="pct"/>
                <w:tcBorders>
                  <w:top w:val="single" w:sz="4" w:space="0" w:color="auto"/>
                  <w:left w:val="single" w:sz="4" w:space="0" w:color="auto"/>
                  <w:bottom w:val="single" w:sz="4" w:space="0" w:color="auto"/>
                  <w:right w:val="single" w:sz="4" w:space="0" w:color="auto"/>
                </w:tcBorders>
                <w:shd w:val="clear" w:color="auto" w:fill="auto"/>
                <w:vAlign w:val="center"/>
              </w:tcPr>
              <w:p w:rsidR="00DB5417" w:rsidRDefault="00DB5417" w:rsidP="00DB5417">
                <w:pPr>
                  <w:jc w:val="right"/>
                  <w:rPr>
                    <w:szCs w:val="21"/>
                  </w:rPr>
                </w:pPr>
                <w:r>
                  <w:t>75,757,671,668</w:t>
                </w:r>
              </w:p>
            </w:tc>
            <w:tc>
              <w:tcPr>
                <w:tcW w:w="1051" w:type="pct"/>
                <w:tcBorders>
                  <w:top w:val="single" w:sz="4" w:space="0" w:color="auto"/>
                  <w:left w:val="single" w:sz="4" w:space="0" w:color="auto"/>
                  <w:bottom w:val="single" w:sz="4" w:space="0" w:color="auto"/>
                  <w:right w:val="single" w:sz="4" w:space="0" w:color="auto"/>
                </w:tcBorders>
                <w:shd w:val="clear" w:color="auto" w:fill="auto"/>
                <w:vAlign w:val="center"/>
              </w:tcPr>
              <w:p w:rsidR="00DB5417" w:rsidRDefault="00DB5417" w:rsidP="00DB5417">
                <w:pPr>
                  <w:jc w:val="right"/>
                  <w:rPr>
                    <w:szCs w:val="21"/>
                  </w:rPr>
                </w:pPr>
                <w:r>
                  <w:t>60,635,227,652</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DB5417" w:rsidRDefault="00DB5417" w:rsidP="00DB5417">
                <w:pPr>
                  <w:jc w:val="right"/>
                  <w:rPr>
                    <w:szCs w:val="21"/>
                  </w:rPr>
                </w:pPr>
                <w:r>
                  <w:t>78,682,047,234</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DB5417" w:rsidRDefault="00DB5417" w:rsidP="00DB5417">
                <w:pPr>
                  <w:jc w:val="right"/>
                  <w:rPr>
                    <w:szCs w:val="21"/>
                  </w:rPr>
                </w:pPr>
                <w:r>
                  <w:t>61,508,590,683</w:t>
                </w:r>
              </w:p>
            </w:tc>
          </w:tr>
          <w:tr w:rsidR="00DB5417" w:rsidTr="00DB5417">
            <w:tc>
              <w:tcPr>
                <w:tcW w:w="805" w:type="pct"/>
                <w:tcBorders>
                  <w:top w:val="single" w:sz="4" w:space="0" w:color="auto"/>
                  <w:left w:val="single" w:sz="4" w:space="0" w:color="auto"/>
                  <w:bottom w:val="single" w:sz="4" w:space="0" w:color="auto"/>
                  <w:right w:val="single" w:sz="4" w:space="0" w:color="auto"/>
                </w:tcBorders>
                <w:shd w:val="clear" w:color="auto" w:fill="auto"/>
                <w:vAlign w:val="center"/>
              </w:tcPr>
              <w:p w:rsidR="00DB5417" w:rsidRDefault="00DB5417" w:rsidP="00DB5417">
                <w:pPr>
                  <w:jc w:val="center"/>
                </w:pPr>
                <w:r>
                  <w:t>其中：合同产生的收入</w:t>
                </w:r>
              </w:p>
            </w:tc>
            <w:tc>
              <w:tcPr>
                <w:tcW w:w="1044" w:type="pct"/>
                <w:tcBorders>
                  <w:top w:val="single" w:sz="4" w:space="0" w:color="auto"/>
                  <w:left w:val="single" w:sz="4" w:space="0" w:color="auto"/>
                  <w:bottom w:val="single" w:sz="4" w:space="0" w:color="auto"/>
                  <w:right w:val="single" w:sz="4" w:space="0" w:color="auto"/>
                </w:tcBorders>
                <w:shd w:val="clear" w:color="auto" w:fill="auto"/>
                <w:vAlign w:val="center"/>
              </w:tcPr>
              <w:p w:rsidR="00DB5417" w:rsidRDefault="00DB5417" w:rsidP="00DB5417">
                <w:pPr>
                  <w:jc w:val="right"/>
                  <w:rPr>
                    <w:szCs w:val="21"/>
                  </w:rPr>
                </w:pPr>
                <w:r>
                  <w:t>75,619,404,012</w:t>
                </w:r>
              </w:p>
            </w:tc>
            <w:tc>
              <w:tcPr>
                <w:tcW w:w="1051" w:type="pct"/>
                <w:tcBorders>
                  <w:top w:val="single" w:sz="4" w:space="0" w:color="auto"/>
                  <w:left w:val="single" w:sz="4" w:space="0" w:color="auto"/>
                  <w:bottom w:val="single" w:sz="4" w:space="0" w:color="auto"/>
                  <w:right w:val="single" w:sz="4" w:space="0" w:color="auto"/>
                </w:tcBorders>
                <w:shd w:val="clear" w:color="auto" w:fill="auto"/>
                <w:vAlign w:val="center"/>
              </w:tcPr>
              <w:p w:rsidR="00DB5417" w:rsidRDefault="00DB5417" w:rsidP="00DB5417">
                <w:pPr>
                  <w:jc w:val="right"/>
                  <w:rPr>
                    <w:szCs w:val="21"/>
                  </w:rPr>
                </w:pPr>
                <w:r>
                  <w:t>/</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DB5417" w:rsidRDefault="00DB5417" w:rsidP="00DB5417">
                <w:pPr>
                  <w:jc w:val="right"/>
                  <w:rPr>
                    <w:szCs w:val="21"/>
                  </w:rPr>
                </w:pPr>
                <w:r>
                  <w:t>78,546,544,640</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DB5417" w:rsidRDefault="00DB5417" w:rsidP="00DB5417">
                <w:pPr>
                  <w:jc w:val="right"/>
                  <w:rPr>
                    <w:szCs w:val="21"/>
                  </w:rPr>
                </w:pPr>
                <w:r>
                  <w:t>/</w:t>
                </w:r>
              </w:p>
            </w:tc>
          </w:tr>
          <w:tr w:rsidR="00DB5417" w:rsidTr="00DB5417">
            <w:tc>
              <w:tcPr>
                <w:tcW w:w="805" w:type="pct"/>
                <w:tcBorders>
                  <w:top w:val="single" w:sz="4" w:space="0" w:color="auto"/>
                  <w:left w:val="single" w:sz="4" w:space="0" w:color="auto"/>
                  <w:bottom w:val="single" w:sz="4" w:space="0" w:color="auto"/>
                  <w:right w:val="single" w:sz="4" w:space="0" w:color="auto"/>
                </w:tcBorders>
                <w:shd w:val="clear" w:color="auto" w:fill="auto"/>
                <w:vAlign w:val="center"/>
              </w:tcPr>
              <w:p w:rsidR="00DB5417" w:rsidRDefault="00DB5417" w:rsidP="00DB5417">
                <w:pPr>
                  <w:jc w:val="center"/>
                </w:pPr>
                <w:r>
                  <w:t>其他收入</w:t>
                </w:r>
              </w:p>
            </w:tc>
            <w:tc>
              <w:tcPr>
                <w:tcW w:w="1044" w:type="pct"/>
                <w:tcBorders>
                  <w:top w:val="single" w:sz="4" w:space="0" w:color="auto"/>
                  <w:left w:val="single" w:sz="4" w:space="0" w:color="auto"/>
                  <w:bottom w:val="single" w:sz="4" w:space="0" w:color="auto"/>
                  <w:right w:val="single" w:sz="4" w:space="0" w:color="auto"/>
                </w:tcBorders>
                <w:shd w:val="clear" w:color="auto" w:fill="auto"/>
                <w:vAlign w:val="center"/>
              </w:tcPr>
              <w:p w:rsidR="00DB5417" w:rsidRDefault="00DB5417" w:rsidP="00DB5417">
                <w:pPr>
                  <w:jc w:val="right"/>
                  <w:rPr>
                    <w:szCs w:val="21"/>
                  </w:rPr>
                </w:pPr>
                <w:r>
                  <w:t>138,267,656</w:t>
                </w:r>
              </w:p>
            </w:tc>
            <w:tc>
              <w:tcPr>
                <w:tcW w:w="1051" w:type="pct"/>
                <w:tcBorders>
                  <w:top w:val="single" w:sz="4" w:space="0" w:color="auto"/>
                  <w:left w:val="single" w:sz="4" w:space="0" w:color="auto"/>
                  <w:bottom w:val="single" w:sz="4" w:space="0" w:color="auto"/>
                  <w:right w:val="single" w:sz="4" w:space="0" w:color="auto"/>
                </w:tcBorders>
                <w:shd w:val="clear" w:color="auto" w:fill="auto"/>
                <w:vAlign w:val="center"/>
              </w:tcPr>
              <w:p w:rsidR="00DB5417" w:rsidRDefault="00DB5417" w:rsidP="00DB5417">
                <w:pPr>
                  <w:jc w:val="right"/>
                  <w:rPr>
                    <w:szCs w:val="21"/>
                  </w:rPr>
                </w:pPr>
                <w:r>
                  <w:t>/</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DB5417" w:rsidRDefault="00DB5417" w:rsidP="00DB5417">
                <w:pPr>
                  <w:jc w:val="right"/>
                  <w:rPr>
                    <w:szCs w:val="21"/>
                  </w:rPr>
                </w:pPr>
                <w:r>
                  <w:t>135,502,594</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DB5417" w:rsidRDefault="00DB5417" w:rsidP="00DB5417">
                <w:pPr>
                  <w:jc w:val="right"/>
                  <w:rPr>
                    <w:szCs w:val="21"/>
                  </w:rPr>
                </w:pPr>
                <w:r>
                  <w:t>/</w:t>
                </w:r>
              </w:p>
            </w:tc>
          </w:tr>
        </w:tbl>
        <w:p w:rsidR="00806678" w:rsidRDefault="00F80B6C"/>
      </w:sdtContent>
    </w:sdt>
    <w:p w:rsidR="00AB68B6" w:rsidRDefault="00AB68B6" w:rsidP="00AB68B6">
      <w:pPr>
        <w:rPr>
          <w:b/>
          <w:bCs/>
        </w:rPr>
      </w:pPr>
      <w:r w:rsidRPr="00DB5417">
        <w:rPr>
          <w:rFonts w:hint="eastAsia"/>
          <w:b/>
          <w:bCs/>
        </w:rPr>
        <w:t>主营业务收入和主营业务成本</w:t>
      </w:r>
    </w:p>
    <w:p w:rsidR="00AB68B6" w:rsidRDefault="00AB68B6" w:rsidP="00AB68B6">
      <w:pPr>
        <w:tabs>
          <w:tab w:val="left" w:pos="709"/>
        </w:tabs>
        <w:overflowPunct w:val="0"/>
        <w:adjustRightInd w:val="0"/>
        <w:snapToGrid w:val="0"/>
        <w:ind w:left="709" w:hanging="709"/>
        <w:rPr>
          <w:rFonts w:cs="Arial"/>
          <w:sz w:val="22"/>
        </w:rPr>
      </w:pPr>
    </w:p>
    <w:p w:rsidR="00AB68B6" w:rsidRPr="001F185D" w:rsidRDefault="00AB68B6" w:rsidP="00AB68B6">
      <w:pPr>
        <w:tabs>
          <w:tab w:val="left" w:pos="709"/>
        </w:tabs>
        <w:overflowPunct w:val="0"/>
        <w:adjustRightInd w:val="0"/>
        <w:snapToGrid w:val="0"/>
        <w:ind w:left="709" w:hanging="709"/>
        <w:rPr>
          <w:rFonts w:cs="Arial"/>
          <w:sz w:val="22"/>
        </w:rPr>
      </w:pPr>
      <w:r w:rsidRPr="001F185D">
        <w:rPr>
          <w:rFonts w:cs="Arial" w:hint="eastAsia"/>
          <w:sz w:val="22"/>
        </w:rPr>
        <w:t>按行业分析如下：</w:t>
      </w:r>
    </w:p>
    <w:p w:rsidR="00AB68B6" w:rsidRPr="00257722" w:rsidRDefault="00AB68B6" w:rsidP="00AB68B6">
      <w:pPr>
        <w:jc w:val="right"/>
        <w:rPr>
          <w:rFonts w:asciiTheme="majorEastAsia" w:eastAsiaTheme="majorEastAsia" w:hAnsiTheme="majorEastAsia"/>
          <w:b/>
          <w:bCs/>
        </w:rPr>
      </w:pPr>
      <w:r w:rsidRPr="00257722">
        <w:rPr>
          <w:rFonts w:asciiTheme="majorEastAsia" w:eastAsiaTheme="majorEastAsia" w:hAnsiTheme="majorEastAsia" w:cs="PMingLiU" w:hint="eastAsia"/>
          <w:szCs w:val="21"/>
        </w:rPr>
        <w:t>单</w:t>
      </w:r>
      <w:r w:rsidRPr="00257722">
        <w:rPr>
          <w:rFonts w:asciiTheme="majorEastAsia" w:eastAsiaTheme="majorEastAsia" w:hAnsiTheme="majorEastAsia" w:cs="Yu Gothic" w:hint="eastAsia"/>
          <w:szCs w:val="21"/>
        </w:rPr>
        <w:t>位：元</w:t>
      </w:r>
      <w:r w:rsidRPr="00257722">
        <w:rPr>
          <w:rFonts w:asciiTheme="majorEastAsia" w:eastAsiaTheme="majorEastAsia" w:hAnsiTheme="majorEastAsia" w:cs="螳倶ｽ・"/>
          <w:szCs w:val="21"/>
        </w:rPr>
        <w:t xml:space="preserve"> </w:t>
      </w:r>
      <w:r w:rsidRPr="00257722">
        <w:rPr>
          <w:rFonts w:asciiTheme="majorEastAsia" w:eastAsiaTheme="majorEastAsia" w:hAnsiTheme="majorEastAsia" w:cs="PMingLiU" w:hint="eastAsia"/>
          <w:szCs w:val="21"/>
        </w:rPr>
        <w:t>币</w:t>
      </w:r>
      <w:r w:rsidRPr="00257722">
        <w:rPr>
          <w:rFonts w:asciiTheme="majorEastAsia" w:eastAsiaTheme="majorEastAsia" w:hAnsiTheme="majorEastAsia" w:cs="Yu Gothic" w:hint="eastAsia"/>
          <w:szCs w:val="21"/>
        </w:rPr>
        <w:t>种：人民</w:t>
      </w:r>
      <w:r w:rsidRPr="00257722">
        <w:rPr>
          <w:rFonts w:asciiTheme="majorEastAsia" w:eastAsiaTheme="majorEastAsia" w:hAnsiTheme="majorEastAsia" w:cs="PMingLiU" w:hint="eastAsia"/>
          <w:szCs w:val="21"/>
        </w:rPr>
        <w:t>币</w:t>
      </w:r>
    </w:p>
    <w:tbl>
      <w:tblPr>
        <w:tblW w:w="881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28" w:type="dxa"/>
        </w:tblCellMar>
        <w:tblLook w:val="04A0"/>
      </w:tblPr>
      <w:tblGrid>
        <w:gridCol w:w="3041"/>
        <w:gridCol w:w="1430"/>
        <w:gridCol w:w="1431"/>
        <w:gridCol w:w="1430"/>
        <w:gridCol w:w="1487"/>
      </w:tblGrid>
      <w:tr w:rsidR="00AB68B6" w:rsidRPr="00DB5417" w:rsidTr="004B4952">
        <w:trPr>
          <w:trHeight w:val="258"/>
          <w:jc w:val="right"/>
        </w:trPr>
        <w:tc>
          <w:tcPr>
            <w:tcW w:w="3041" w:type="dxa"/>
            <w:vAlign w:val="center"/>
          </w:tcPr>
          <w:p w:rsidR="00AB68B6" w:rsidRPr="00381717" w:rsidRDefault="00AB68B6" w:rsidP="004B4952">
            <w:pPr>
              <w:snapToGrid w:val="0"/>
              <w:jc w:val="center"/>
              <w:rPr>
                <w:sz w:val="20"/>
                <w:szCs w:val="20"/>
              </w:rPr>
            </w:pPr>
            <w:r w:rsidRPr="00381717">
              <w:rPr>
                <w:rFonts w:ascii="微软雅黑" w:eastAsia="微软雅黑" w:hAnsi="微软雅黑" w:cs="微软雅黑" w:hint="eastAsia"/>
                <w:sz w:val="20"/>
                <w:szCs w:val="20"/>
              </w:rPr>
              <w:t> </w:t>
            </w:r>
          </w:p>
        </w:tc>
        <w:tc>
          <w:tcPr>
            <w:tcW w:w="2861" w:type="dxa"/>
            <w:gridSpan w:val="2"/>
            <w:vAlign w:val="center"/>
          </w:tcPr>
          <w:p w:rsidR="00AB68B6" w:rsidRPr="00381717" w:rsidRDefault="00AB68B6" w:rsidP="004B4952">
            <w:pPr>
              <w:snapToGrid w:val="0"/>
              <w:jc w:val="center"/>
              <w:rPr>
                <w:sz w:val="20"/>
                <w:szCs w:val="20"/>
              </w:rPr>
            </w:pPr>
            <w:r w:rsidRPr="00381717">
              <w:rPr>
                <w:rFonts w:hint="eastAsia"/>
                <w:sz w:val="20"/>
                <w:szCs w:val="20"/>
              </w:rPr>
              <w:t>本期发生额</w:t>
            </w:r>
          </w:p>
        </w:tc>
        <w:tc>
          <w:tcPr>
            <w:tcW w:w="2917" w:type="dxa"/>
            <w:gridSpan w:val="2"/>
            <w:vAlign w:val="center"/>
          </w:tcPr>
          <w:p w:rsidR="00AB68B6" w:rsidRPr="00381717" w:rsidRDefault="00AB68B6" w:rsidP="004B4952">
            <w:pPr>
              <w:snapToGrid w:val="0"/>
              <w:jc w:val="center"/>
              <w:rPr>
                <w:sz w:val="20"/>
                <w:szCs w:val="20"/>
              </w:rPr>
            </w:pPr>
            <w:r w:rsidRPr="00381717">
              <w:rPr>
                <w:rFonts w:hint="eastAsia"/>
                <w:sz w:val="20"/>
                <w:szCs w:val="20"/>
              </w:rPr>
              <w:t>上期发生额</w:t>
            </w:r>
          </w:p>
        </w:tc>
      </w:tr>
      <w:tr w:rsidR="00AB68B6" w:rsidRPr="00DB5417" w:rsidTr="004B4952">
        <w:trPr>
          <w:trHeight w:val="258"/>
          <w:jc w:val="right"/>
        </w:trPr>
        <w:tc>
          <w:tcPr>
            <w:tcW w:w="3041" w:type="dxa"/>
            <w:vAlign w:val="bottom"/>
          </w:tcPr>
          <w:p w:rsidR="00AB68B6" w:rsidRPr="00381717" w:rsidRDefault="00AB68B6" w:rsidP="004B4952">
            <w:pPr>
              <w:snapToGrid w:val="0"/>
              <w:ind w:firstLine="37"/>
              <w:rPr>
                <w:sz w:val="20"/>
                <w:szCs w:val="20"/>
              </w:rPr>
            </w:pPr>
            <w:r w:rsidRPr="00381717">
              <w:rPr>
                <w:sz w:val="20"/>
                <w:szCs w:val="20"/>
              </w:rPr>
              <w:t>项目</w:t>
            </w:r>
          </w:p>
        </w:tc>
        <w:tc>
          <w:tcPr>
            <w:tcW w:w="1430" w:type="dxa"/>
            <w:vAlign w:val="center"/>
          </w:tcPr>
          <w:p w:rsidR="00AB68B6" w:rsidRPr="00381717" w:rsidRDefault="00AB68B6" w:rsidP="004B4952">
            <w:pPr>
              <w:snapToGrid w:val="0"/>
              <w:jc w:val="center"/>
              <w:rPr>
                <w:sz w:val="20"/>
                <w:szCs w:val="20"/>
              </w:rPr>
            </w:pPr>
            <w:r w:rsidRPr="00381717">
              <w:rPr>
                <w:rFonts w:hint="eastAsia"/>
                <w:sz w:val="20"/>
                <w:szCs w:val="20"/>
              </w:rPr>
              <w:t>主营业务收入</w:t>
            </w:r>
          </w:p>
        </w:tc>
        <w:tc>
          <w:tcPr>
            <w:tcW w:w="1431" w:type="dxa"/>
            <w:vAlign w:val="center"/>
          </w:tcPr>
          <w:p w:rsidR="00AB68B6" w:rsidRPr="00381717" w:rsidRDefault="00AB68B6" w:rsidP="004B4952">
            <w:pPr>
              <w:snapToGrid w:val="0"/>
              <w:jc w:val="center"/>
              <w:rPr>
                <w:sz w:val="20"/>
                <w:szCs w:val="20"/>
              </w:rPr>
            </w:pPr>
            <w:r w:rsidRPr="00381717">
              <w:rPr>
                <w:rFonts w:hint="eastAsia"/>
                <w:sz w:val="20"/>
                <w:szCs w:val="20"/>
              </w:rPr>
              <w:t>主营业务成本</w:t>
            </w:r>
          </w:p>
        </w:tc>
        <w:tc>
          <w:tcPr>
            <w:tcW w:w="1430" w:type="dxa"/>
            <w:vAlign w:val="center"/>
          </w:tcPr>
          <w:p w:rsidR="00AB68B6" w:rsidRPr="00381717" w:rsidRDefault="00AB68B6" w:rsidP="004B4952">
            <w:pPr>
              <w:snapToGrid w:val="0"/>
              <w:jc w:val="center"/>
              <w:rPr>
                <w:sz w:val="20"/>
                <w:szCs w:val="20"/>
              </w:rPr>
            </w:pPr>
            <w:r w:rsidRPr="00381717">
              <w:rPr>
                <w:sz w:val="20"/>
                <w:szCs w:val="20"/>
              </w:rPr>
              <w:t>主营业务收入</w:t>
            </w:r>
          </w:p>
        </w:tc>
        <w:tc>
          <w:tcPr>
            <w:tcW w:w="1487" w:type="dxa"/>
            <w:vAlign w:val="center"/>
          </w:tcPr>
          <w:p w:rsidR="00AB68B6" w:rsidRPr="00381717" w:rsidRDefault="00AB68B6" w:rsidP="004B4952">
            <w:pPr>
              <w:snapToGrid w:val="0"/>
              <w:jc w:val="center"/>
              <w:rPr>
                <w:sz w:val="20"/>
                <w:szCs w:val="20"/>
              </w:rPr>
            </w:pPr>
            <w:r w:rsidRPr="00381717">
              <w:rPr>
                <w:sz w:val="20"/>
                <w:szCs w:val="20"/>
              </w:rPr>
              <w:t>主营业务成本</w:t>
            </w:r>
          </w:p>
        </w:tc>
      </w:tr>
      <w:tr w:rsidR="00AB68B6" w:rsidRPr="00DB5417" w:rsidTr="004B4952">
        <w:trPr>
          <w:trHeight w:val="247"/>
          <w:jc w:val="right"/>
        </w:trPr>
        <w:tc>
          <w:tcPr>
            <w:tcW w:w="3041" w:type="dxa"/>
            <w:vAlign w:val="bottom"/>
          </w:tcPr>
          <w:p w:rsidR="00AB68B6" w:rsidRPr="00381717" w:rsidRDefault="00AB68B6" w:rsidP="004B4952">
            <w:pPr>
              <w:snapToGrid w:val="0"/>
              <w:ind w:firstLine="51"/>
              <w:rPr>
                <w:sz w:val="20"/>
                <w:szCs w:val="20"/>
              </w:rPr>
            </w:pPr>
            <w:r w:rsidRPr="00381717">
              <w:rPr>
                <w:sz w:val="20"/>
                <w:szCs w:val="20"/>
              </w:rPr>
              <w:t>铁路运输行业</w:t>
            </w:r>
          </w:p>
        </w:tc>
        <w:tc>
          <w:tcPr>
            <w:tcW w:w="1430" w:type="dxa"/>
            <w:vAlign w:val="bottom"/>
          </w:tcPr>
          <w:p w:rsidR="00AB68B6" w:rsidRPr="00381717" w:rsidRDefault="00AB68B6" w:rsidP="004B4952">
            <w:pPr>
              <w:snapToGrid w:val="0"/>
              <w:jc w:val="right"/>
              <w:rPr>
                <w:sz w:val="20"/>
                <w:szCs w:val="20"/>
              </w:rPr>
            </w:pPr>
            <w:r w:rsidRPr="00381717">
              <w:rPr>
                <w:sz w:val="20"/>
                <w:szCs w:val="20"/>
              </w:rPr>
              <w:t>74,132,643,737</w:t>
            </w:r>
          </w:p>
        </w:tc>
        <w:tc>
          <w:tcPr>
            <w:tcW w:w="1431" w:type="dxa"/>
            <w:vAlign w:val="bottom"/>
          </w:tcPr>
          <w:p w:rsidR="00AB68B6" w:rsidRPr="00381717" w:rsidRDefault="00AB68B6" w:rsidP="004B4952">
            <w:pPr>
              <w:snapToGrid w:val="0"/>
              <w:jc w:val="right"/>
              <w:rPr>
                <w:sz w:val="20"/>
                <w:szCs w:val="20"/>
              </w:rPr>
            </w:pPr>
            <w:r w:rsidRPr="00381717">
              <w:rPr>
                <w:sz w:val="20"/>
                <w:szCs w:val="20"/>
              </w:rPr>
              <w:t>59,419,342,469</w:t>
            </w:r>
          </w:p>
        </w:tc>
        <w:tc>
          <w:tcPr>
            <w:tcW w:w="1430" w:type="dxa"/>
            <w:vAlign w:val="bottom"/>
          </w:tcPr>
          <w:p w:rsidR="00AB68B6" w:rsidRPr="00381717" w:rsidRDefault="00AB68B6" w:rsidP="004B4952">
            <w:pPr>
              <w:snapToGrid w:val="0"/>
              <w:jc w:val="right"/>
              <w:rPr>
                <w:sz w:val="20"/>
                <w:szCs w:val="20"/>
              </w:rPr>
            </w:pPr>
            <w:r w:rsidRPr="00381717">
              <w:rPr>
                <w:sz w:val="20"/>
                <w:szCs w:val="20"/>
              </w:rPr>
              <w:t>77,065,838,119</w:t>
            </w:r>
          </w:p>
        </w:tc>
        <w:tc>
          <w:tcPr>
            <w:tcW w:w="1487" w:type="dxa"/>
            <w:vAlign w:val="bottom"/>
          </w:tcPr>
          <w:p w:rsidR="00AB68B6" w:rsidRPr="00381717" w:rsidRDefault="00AB68B6" w:rsidP="004B4952">
            <w:pPr>
              <w:snapToGrid w:val="0"/>
              <w:jc w:val="right"/>
              <w:rPr>
                <w:sz w:val="20"/>
                <w:szCs w:val="20"/>
              </w:rPr>
            </w:pPr>
            <w:r w:rsidRPr="00381717">
              <w:rPr>
                <w:sz w:val="20"/>
                <w:szCs w:val="20"/>
              </w:rPr>
              <w:t>60,216,051,035</w:t>
            </w:r>
          </w:p>
        </w:tc>
      </w:tr>
    </w:tbl>
    <w:p w:rsidR="00AB68B6" w:rsidRPr="00DB5417" w:rsidRDefault="00AB68B6" w:rsidP="00AB68B6">
      <w:pPr>
        <w:rPr>
          <w:b/>
          <w:bCs/>
        </w:rPr>
      </w:pPr>
    </w:p>
    <w:p w:rsidR="00AB68B6" w:rsidRDefault="00AB68B6" w:rsidP="00AB68B6">
      <w:pPr>
        <w:overflowPunct w:val="0"/>
        <w:adjustRightInd w:val="0"/>
        <w:snapToGrid w:val="0"/>
        <w:rPr>
          <w:rFonts w:cs="Arial"/>
          <w:sz w:val="22"/>
        </w:rPr>
      </w:pPr>
      <w:r>
        <w:rPr>
          <w:rFonts w:cs="Arial" w:hint="eastAsia"/>
          <w:sz w:val="22"/>
        </w:rPr>
        <w:t>按</w:t>
      </w:r>
      <w:r w:rsidRPr="001F185D">
        <w:rPr>
          <w:rFonts w:cs="Arial" w:hint="eastAsia"/>
          <w:sz w:val="22"/>
        </w:rPr>
        <w:t>主营业务收入</w:t>
      </w:r>
      <w:r>
        <w:rPr>
          <w:rFonts w:cs="Arial" w:hint="eastAsia"/>
          <w:sz w:val="22"/>
        </w:rPr>
        <w:t>类型分析如下：</w:t>
      </w:r>
    </w:p>
    <w:p w:rsidR="00AB68B6" w:rsidRPr="00257722" w:rsidRDefault="00AB68B6" w:rsidP="00AB68B6">
      <w:pPr>
        <w:jc w:val="right"/>
        <w:rPr>
          <w:rFonts w:asciiTheme="majorEastAsia" w:eastAsiaTheme="majorEastAsia" w:hAnsiTheme="majorEastAsia"/>
          <w:b/>
          <w:bCs/>
        </w:rPr>
      </w:pPr>
      <w:r w:rsidRPr="00257722">
        <w:rPr>
          <w:rFonts w:asciiTheme="majorEastAsia" w:eastAsiaTheme="majorEastAsia" w:hAnsiTheme="majorEastAsia" w:cs="PMingLiU" w:hint="eastAsia"/>
          <w:szCs w:val="21"/>
        </w:rPr>
        <w:t>单</w:t>
      </w:r>
      <w:r w:rsidRPr="00257722">
        <w:rPr>
          <w:rFonts w:asciiTheme="majorEastAsia" w:eastAsiaTheme="majorEastAsia" w:hAnsiTheme="majorEastAsia" w:cs="Yu Gothic" w:hint="eastAsia"/>
          <w:szCs w:val="21"/>
        </w:rPr>
        <w:t>位：元</w:t>
      </w:r>
      <w:r w:rsidRPr="00257722">
        <w:rPr>
          <w:rFonts w:asciiTheme="majorEastAsia" w:eastAsiaTheme="majorEastAsia" w:hAnsiTheme="majorEastAsia" w:cs="螳倶ｽ・"/>
          <w:szCs w:val="21"/>
        </w:rPr>
        <w:t xml:space="preserve"> </w:t>
      </w:r>
      <w:r w:rsidRPr="00257722">
        <w:rPr>
          <w:rFonts w:asciiTheme="majorEastAsia" w:eastAsiaTheme="majorEastAsia" w:hAnsiTheme="majorEastAsia" w:cs="PMingLiU" w:hint="eastAsia"/>
          <w:szCs w:val="21"/>
        </w:rPr>
        <w:t>币</w:t>
      </w:r>
      <w:r w:rsidRPr="00257722">
        <w:rPr>
          <w:rFonts w:asciiTheme="majorEastAsia" w:eastAsiaTheme="majorEastAsia" w:hAnsiTheme="majorEastAsia" w:cs="Yu Gothic" w:hint="eastAsia"/>
          <w:szCs w:val="21"/>
        </w:rPr>
        <w:t>种：人民</w:t>
      </w:r>
      <w:r w:rsidRPr="00257722">
        <w:rPr>
          <w:rFonts w:asciiTheme="majorEastAsia" w:eastAsiaTheme="majorEastAsia" w:hAnsiTheme="majorEastAsia" w:cs="PMingLiU" w:hint="eastAsia"/>
          <w:szCs w:val="21"/>
        </w:rPr>
        <w:t>币</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28" w:type="dxa"/>
        </w:tblCellMar>
        <w:tblLook w:val="04A0"/>
      </w:tblPr>
      <w:tblGrid>
        <w:gridCol w:w="4928"/>
        <w:gridCol w:w="2062"/>
        <w:gridCol w:w="1843"/>
      </w:tblGrid>
      <w:tr w:rsidR="00AB68B6" w:rsidRPr="00153131" w:rsidTr="004B4952">
        <w:trPr>
          <w:jc w:val="right"/>
        </w:trPr>
        <w:tc>
          <w:tcPr>
            <w:tcW w:w="4928" w:type="dxa"/>
            <w:vAlign w:val="center"/>
          </w:tcPr>
          <w:p w:rsidR="00AB68B6" w:rsidRPr="00153131" w:rsidRDefault="00AB68B6" w:rsidP="004B4952">
            <w:pPr>
              <w:snapToGrid w:val="0"/>
              <w:ind w:left="221" w:hanging="221"/>
              <w:jc w:val="center"/>
            </w:pPr>
            <w:r w:rsidRPr="00153131">
              <w:t>项目</w:t>
            </w:r>
          </w:p>
        </w:tc>
        <w:tc>
          <w:tcPr>
            <w:tcW w:w="2062" w:type="dxa"/>
            <w:vAlign w:val="center"/>
          </w:tcPr>
          <w:p w:rsidR="00AB68B6" w:rsidRPr="00153131" w:rsidRDefault="00AB68B6" w:rsidP="004B4952">
            <w:pPr>
              <w:snapToGrid w:val="0"/>
              <w:jc w:val="center"/>
            </w:pPr>
            <w:r w:rsidRPr="00153131">
              <w:t>本期发生额</w:t>
            </w:r>
          </w:p>
        </w:tc>
        <w:tc>
          <w:tcPr>
            <w:tcW w:w="1843" w:type="dxa"/>
            <w:vAlign w:val="center"/>
          </w:tcPr>
          <w:p w:rsidR="00AB68B6" w:rsidRPr="00153131" w:rsidRDefault="00AB68B6" w:rsidP="004B4952">
            <w:pPr>
              <w:snapToGrid w:val="0"/>
              <w:jc w:val="center"/>
            </w:pPr>
            <w:r w:rsidRPr="00153131">
              <w:t>上期发生额</w:t>
            </w:r>
          </w:p>
        </w:tc>
      </w:tr>
      <w:tr w:rsidR="00AB68B6" w:rsidRPr="00153131" w:rsidTr="004B4952">
        <w:trPr>
          <w:jc w:val="right"/>
        </w:trPr>
        <w:tc>
          <w:tcPr>
            <w:tcW w:w="4928" w:type="dxa"/>
            <w:vAlign w:val="bottom"/>
          </w:tcPr>
          <w:p w:rsidR="00AB68B6" w:rsidRPr="00153131" w:rsidRDefault="00AB68B6" w:rsidP="004B4952">
            <w:pPr>
              <w:snapToGrid w:val="0"/>
              <w:ind w:left="221" w:hanging="221"/>
            </w:pPr>
            <w:r w:rsidRPr="00153131">
              <w:t>货运收入</w:t>
            </w:r>
          </w:p>
        </w:tc>
        <w:tc>
          <w:tcPr>
            <w:tcW w:w="2062" w:type="dxa"/>
            <w:vAlign w:val="bottom"/>
          </w:tcPr>
          <w:p w:rsidR="00AB68B6" w:rsidRPr="00153131" w:rsidRDefault="00AB68B6" w:rsidP="004B4952">
            <w:pPr>
              <w:snapToGrid w:val="0"/>
              <w:ind w:right="126"/>
              <w:jc w:val="right"/>
            </w:pPr>
            <w:r w:rsidRPr="00153131">
              <w:t>60,750,188,947</w:t>
            </w:r>
          </w:p>
        </w:tc>
        <w:tc>
          <w:tcPr>
            <w:tcW w:w="1843" w:type="dxa"/>
            <w:vAlign w:val="bottom"/>
          </w:tcPr>
          <w:p w:rsidR="00AB68B6" w:rsidRPr="00153131" w:rsidRDefault="00AB68B6" w:rsidP="004B4952">
            <w:pPr>
              <w:snapToGrid w:val="0"/>
              <w:ind w:right="120"/>
              <w:jc w:val="right"/>
            </w:pPr>
            <w:r w:rsidRPr="00153131">
              <w:t>62,373,179,457</w:t>
            </w:r>
          </w:p>
        </w:tc>
      </w:tr>
      <w:tr w:rsidR="00AB68B6" w:rsidRPr="00153131" w:rsidTr="004B4952">
        <w:trPr>
          <w:jc w:val="right"/>
        </w:trPr>
        <w:tc>
          <w:tcPr>
            <w:tcW w:w="4928" w:type="dxa"/>
            <w:vAlign w:val="bottom"/>
          </w:tcPr>
          <w:p w:rsidR="00AB68B6" w:rsidRPr="00153131" w:rsidRDefault="00AB68B6" w:rsidP="004B4952">
            <w:pPr>
              <w:snapToGrid w:val="0"/>
              <w:ind w:left="221" w:hanging="221"/>
            </w:pPr>
            <w:r w:rsidRPr="00153131">
              <w:t>客运收入</w:t>
            </w:r>
          </w:p>
        </w:tc>
        <w:tc>
          <w:tcPr>
            <w:tcW w:w="2062" w:type="dxa"/>
            <w:vAlign w:val="bottom"/>
          </w:tcPr>
          <w:p w:rsidR="00AB68B6" w:rsidRPr="00153131" w:rsidRDefault="00AB68B6" w:rsidP="004B4952">
            <w:pPr>
              <w:snapToGrid w:val="0"/>
              <w:ind w:right="126"/>
              <w:jc w:val="right"/>
            </w:pPr>
            <w:r w:rsidRPr="00153131">
              <w:t>4,073,097,510</w:t>
            </w:r>
          </w:p>
        </w:tc>
        <w:tc>
          <w:tcPr>
            <w:tcW w:w="1843" w:type="dxa"/>
            <w:vAlign w:val="bottom"/>
          </w:tcPr>
          <w:p w:rsidR="00AB68B6" w:rsidRPr="00153131" w:rsidRDefault="00AB68B6" w:rsidP="004B4952">
            <w:pPr>
              <w:snapToGrid w:val="0"/>
              <w:ind w:right="120"/>
              <w:jc w:val="right"/>
            </w:pPr>
            <w:r w:rsidRPr="00153131">
              <w:t>6,185,498,847</w:t>
            </w:r>
          </w:p>
        </w:tc>
      </w:tr>
      <w:tr w:rsidR="00AB68B6" w:rsidRPr="00153131" w:rsidTr="004B4952">
        <w:trPr>
          <w:jc w:val="right"/>
        </w:trPr>
        <w:tc>
          <w:tcPr>
            <w:tcW w:w="4928" w:type="dxa"/>
            <w:vAlign w:val="bottom"/>
          </w:tcPr>
          <w:p w:rsidR="00AB68B6" w:rsidRPr="00153131" w:rsidRDefault="00AB68B6" w:rsidP="004B4952">
            <w:pPr>
              <w:snapToGrid w:val="0"/>
              <w:ind w:left="221" w:hanging="221"/>
            </w:pPr>
            <w:r w:rsidRPr="00153131">
              <w:t>其他收入</w:t>
            </w:r>
          </w:p>
        </w:tc>
        <w:tc>
          <w:tcPr>
            <w:tcW w:w="2062" w:type="dxa"/>
            <w:vAlign w:val="bottom"/>
          </w:tcPr>
          <w:p w:rsidR="00AB68B6" w:rsidRPr="00153131" w:rsidRDefault="00AB68B6" w:rsidP="004B4952">
            <w:pPr>
              <w:snapToGrid w:val="0"/>
              <w:ind w:right="126"/>
              <w:jc w:val="right"/>
            </w:pPr>
            <w:r w:rsidRPr="00153131">
              <w:t>9,309,357,280</w:t>
            </w:r>
          </w:p>
        </w:tc>
        <w:tc>
          <w:tcPr>
            <w:tcW w:w="1843" w:type="dxa"/>
            <w:vAlign w:val="bottom"/>
          </w:tcPr>
          <w:p w:rsidR="00AB68B6" w:rsidRPr="00153131" w:rsidRDefault="00AB68B6" w:rsidP="004B4952">
            <w:pPr>
              <w:snapToGrid w:val="0"/>
              <w:ind w:right="120"/>
              <w:jc w:val="right"/>
            </w:pPr>
            <w:r w:rsidRPr="00153131">
              <w:t>8,507,159,815</w:t>
            </w:r>
          </w:p>
        </w:tc>
      </w:tr>
      <w:tr w:rsidR="00AB68B6" w:rsidRPr="00153131" w:rsidTr="004B4952">
        <w:trPr>
          <w:jc w:val="right"/>
        </w:trPr>
        <w:tc>
          <w:tcPr>
            <w:tcW w:w="4928" w:type="dxa"/>
            <w:vAlign w:val="bottom"/>
          </w:tcPr>
          <w:p w:rsidR="00AB68B6" w:rsidRPr="00153131" w:rsidRDefault="00AB68B6" w:rsidP="004B4952">
            <w:pPr>
              <w:snapToGrid w:val="0"/>
              <w:ind w:left="221" w:hanging="221"/>
            </w:pPr>
            <w:r w:rsidRPr="00153131">
              <w:t>合计</w:t>
            </w:r>
          </w:p>
        </w:tc>
        <w:tc>
          <w:tcPr>
            <w:tcW w:w="2062" w:type="dxa"/>
            <w:vAlign w:val="bottom"/>
          </w:tcPr>
          <w:p w:rsidR="00AB68B6" w:rsidRPr="00153131" w:rsidRDefault="00AB68B6" w:rsidP="004B4952">
            <w:pPr>
              <w:snapToGrid w:val="0"/>
              <w:ind w:right="126"/>
              <w:jc w:val="right"/>
            </w:pPr>
            <w:r w:rsidRPr="00153131">
              <w:t>74,132,643,737</w:t>
            </w:r>
          </w:p>
        </w:tc>
        <w:tc>
          <w:tcPr>
            <w:tcW w:w="1843" w:type="dxa"/>
            <w:vAlign w:val="bottom"/>
          </w:tcPr>
          <w:p w:rsidR="00AB68B6" w:rsidRPr="00153131" w:rsidRDefault="00AB68B6" w:rsidP="004B4952">
            <w:pPr>
              <w:snapToGrid w:val="0"/>
              <w:ind w:right="120"/>
              <w:jc w:val="right"/>
            </w:pPr>
            <w:r w:rsidRPr="00153131">
              <w:t>77,065,838,119</w:t>
            </w:r>
          </w:p>
        </w:tc>
      </w:tr>
    </w:tbl>
    <w:p w:rsidR="00AB68B6" w:rsidRPr="001F185D" w:rsidRDefault="00AB68B6" w:rsidP="00AB68B6">
      <w:pPr>
        <w:overflowPunct w:val="0"/>
        <w:adjustRightInd w:val="0"/>
        <w:snapToGrid w:val="0"/>
        <w:rPr>
          <w:rFonts w:cs="Arial"/>
          <w:sz w:val="22"/>
        </w:rPr>
      </w:pPr>
    </w:p>
    <w:p w:rsidR="00AB68B6" w:rsidRDefault="00AB68B6" w:rsidP="00AB68B6">
      <w:pPr>
        <w:overflowPunct w:val="0"/>
        <w:adjustRightInd w:val="0"/>
        <w:snapToGrid w:val="0"/>
        <w:rPr>
          <w:rFonts w:cs="Arial"/>
          <w:sz w:val="22"/>
        </w:rPr>
      </w:pPr>
      <w:r>
        <w:rPr>
          <w:rFonts w:cs="Arial" w:hint="eastAsia"/>
          <w:sz w:val="22"/>
        </w:rPr>
        <w:t>按</w:t>
      </w:r>
      <w:r w:rsidRPr="001F185D">
        <w:rPr>
          <w:rFonts w:cs="Arial" w:hint="eastAsia"/>
          <w:sz w:val="22"/>
        </w:rPr>
        <w:t>主营业务成本</w:t>
      </w:r>
      <w:r>
        <w:rPr>
          <w:rFonts w:cs="Arial" w:hint="eastAsia"/>
          <w:sz w:val="22"/>
        </w:rPr>
        <w:t>类型分析如下：</w:t>
      </w:r>
    </w:p>
    <w:p w:rsidR="00AB68B6" w:rsidRPr="00257722" w:rsidRDefault="00AB68B6" w:rsidP="00AB68B6">
      <w:pPr>
        <w:jc w:val="right"/>
        <w:rPr>
          <w:rFonts w:asciiTheme="majorEastAsia" w:eastAsiaTheme="majorEastAsia" w:hAnsiTheme="majorEastAsia"/>
          <w:b/>
          <w:bCs/>
        </w:rPr>
      </w:pPr>
      <w:r w:rsidRPr="00257722">
        <w:rPr>
          <w:rFonts w:asciiTheme="majorEastAsia" w:eastAsiaTheme="majorEastAsia" w:hAnsiTheme="majorEastAsia" w:cs="PMingLiU" w:hint="eastAsia"/>
          <w:szCs w:val="21"/>
        </w:rPr>
        <w:t>单</w:t>
      </w:r>
      <w:r w:rsidRPr="00257722">
        <w:rPr>
          <w:rFonts w:asciiTheme="majorEastAsia" w:eastAsiaTheme="majorEastAsia" w:hAnsiTheme="majorEastAsia" w:cs="Yu Gothic" w:hint="eastAsia"/>
          <w:szCs w:val="21"/>
        </w:rPr>
        <w:t>位：元</w:t>
      </w:r>
      <w:r w:rsidRPr="00257722">
        <w:rPr>
          <w:rFonts w:asciiTheme="majorEastAsia" w:eastAsiaTheme="majorEastAsia" w:hAnsiTheme="majorEastAsia" w:cs="螳倶ｽ・"/>
          <w:szCs w:val="21"/>
        </w:rPr>
        <w:t xml:space="preserve"> </w:t>
      </w:r>
      <w:r w:rsidRPr="00257722">
        <w:rPr>
          <w:rFonts w:asciiTheme="majorEastAsia" w:eastAsiaTheme="majorEastAsia" w:hAnsiTheme="majorEastAsia" w:cs="PMingLiU" w:hint="eastAsia"/>
          <w:szCs w:val="21"/>
        </w:rPr>
        <w:t>币</w:t>
      </w:r>
      <w:r w:rsidRPr="00257722">
        <w:rPr>
          <w:rFonts w:asciiTheme="majorEastAsia" w:eastAsiaTheme="majorEastAsia" w:hAnsiTheme="majorEastAsia" w:cs="Yu Gothic" w:hint="eastAsia"/>
          <w:szCs w:val="21"/>
        </w:rPr>
        <w:t>种：人民</w:t>
      </w:r>
      <w:r w:rsidRPr="00257722">
        <w:rPr>
          <w:rFonts w:asciiTheme="majorEastAsia" w:eastAsiaTheme="majorEastAsia" w:hAnsiTheme="majorEastAsia" w:cs="PMingLiU" w:hint="eastAsia"/>
          <w:szCs w:val="21"/>
        </w:rPr>
        <w:t>币</w:t>
      </w:r>
    </w:p>
    <w:tbl>
      <w:tblPr>
        <w:tblW w:w="883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28" w:type="dxa"/>
        </w:tblCellMar>
        <w:tblLook w:val="04A0"/>
      </w:tblPr>
      <w:tblGrid>
        <w:gridCol w:w="4959"/>
        <w:gridCol w:w="1937"/>
        <w:gridCol w:w="1937"/>
      </w:tblGrid>
      <w:tr w:rsidR="00AB68B6" w:rsidRPr="007B66BB" w:rsidTr="004B4952">
        <w:trPr>
          <w:jc w:val="right"/>
        </w:trPr>
        <w:tc>
          <w:tcPr>
            <w:tcW w:w="4959" w:type="dxa"/>
            <w:vAlign w:val="center"/>
          </w:tcPr>
          <w:p w:rsidR="00AB68B6" w:rsidRPr="007B66BB" w:rsidRDefault="00AB68B6" w:rsidP="004B4952">
            <w:pPr>
              <w:snapToGrid w:val="0"/>
              <w:ind w:left="221" w:hanging="221"/>
              <w:jc w:val="center"/>
            </w:pPr>
            <w:r w:rsidRPr="007B66BB">
              <w:t>类别</w:t>
            </w:r>
          </w:p>
        </w:tc>
        <w:tc>
          <w:tcPr>
            <w:tcW w:w="1937" w:type="dxa"/>
            <w:vAlign w:val="center"/>
          </w:tcPr>
          <w:p w:rsidR="00AB68B6" w:rsidRPr="007B66BB" w:rsidRDefault="00AB68B6" w:rsidP="004B4952">
            <w:pPr>
              <w:snapToGrid w:val="0"/>
              <w:jc w:val="center"/>
            </w:pPr>
            <w:r w:rsidRPr="007B66BB">
              <w:t>本期发生额</w:t>
            </w:r>
          </w:p>
        </w:tc>
        <w:tc>
          <w:tcPr>
            <w:tcW w:w="1937" w:type="dxa"/>
            <w:vAlign w:val="center"/>
          </w:tcPr>
          <w:p w:rsidR="00AB68B6" w:rsidRPr="007B66BB" w:rsidRDefault="00AB68B6" w:rsidP="004B4952">
            <w:pPr>
              <w:snapToGrid w:val="0"/>
              <w:jc w:val="center"/>
            </w:pPr>
            <w:r w:rsidRPr="007B66BB">
              <w:t>上期发生额</w:t>
            </w:r>
          </w:p>
        </w:tc>
      </w:tr>
      <w:tr w:rsidR="00AB68B6" w:rsidRPr="007B66BB" w:rsidTr="004B4952">
        <w:trPr>
          <w:jc w:val="right"/>
        </w:trPr>
        <w:tc>
          <w:tcPr>
            <w:tcW w:w="4959" w:type="dxa"/>
            <w:vAlign w:val="bottom"/>
          </w:tcPr>
          <w:p w:rsidR="00AB68B6" w:rsidRPr="007B66BB" w:rsidRDefault="00AB68B6" w:rsidP="004B4952">
            <w:pPr>
              <w:snapToGrid w:val="0"/>
              <w:ind w:left="221" w:hanging="221"/>
            </w:pPr>
            <w:r w:rsidRPr="007B66BB">
              <w:t>人员费用</w:t>
            </w:r>
          </w:p>
        </w:tc>
        <w:tc>
          <w:tcPr>
            <w:tcW w:w="1937" w:type="dxa"/>
            <w:vAlign w:val="bottom"/>
          </w:tcPr>
          <w:p w:rsidR="00AB68B6" w:rsidRPr="007B66BB" w:rsidRDefault="00AB68B6" w:rsidP="004B4952">
            <w:pPr>
              <w:snapToGrid w:val="0"/>
              <w:ind w:right="109"/>
              <w:jc w:val="right"/>
            </w:pPr>
            <w:r w:rsidRPr="007B66BB">
              <w:t>20,974,365,337</w:t>
            </w:r>
          </w:p>
        </w:tc>
        <w:tc>
          <w:tcPr>
            <w:tcW w:w="1937" w:type="dxa"/>
            <w:vAlign w:val="bottom"/>
          </w:tcPr>
          <w:p w:rsidR="00AB68B6" w:rsidRPr="007B66BB" w:rsidRDefault="00AB68B6" w:rsidP="004B4952">
            <w:pPr>
              <w:snapToGrid w:val="0"/>
              <w:ind w:right="106"/>
              <w:jc w:val="right"/>
            </w:pPr>
            <w:r w:rsidRPr="007B66BB">
              <w:t>20,292,517,511</w:t>
            </w:r>
          </w:p>
        </w:tc>
      </w:tr>
      <w:tr w:rsidR="00AB68B6" w:rsidRPr="007B66BB" w:rsidTr="004B4952">
        <w:trPr>
          <w:jc w:val="right"/>
        </w:trPr>
        <w:tc>
          <w:tcPr>
            <w:tcW w:w="4959" w:type="dxa"/>
            <w:vAlign w:val="bottom"/>
          </w:tcPr>
          <w:p w:rsidR="00AB68B6" w:rsidRPr="007B66BB" w:rsidRDefault="00AB68B6" w:rsidP="004B4952">
            <w:pPr>
              <w:snapToGrid w:val="0"/>
              <w:ind w:left="221" w:hanging="221"/>
            </w:pPr>
            <w:r w:rsidRPr="007B66BB">
              <w:t>折旧</w:t>
            </w:r>
          </w:p>
        </w:tc>
        <w:tc>
          <w:tcPr>
            <w:tcW w:w="1937" w:type="dxa"/>
            <w:vAlign w:val="bottom"/>
          </w:tcPr>
          <w:p w:rsidR="00AB68B6" w:rsidRPr="007B66BB" w:rsidRDefault="00AB68B6" w:rsidP="004B4952">
            <w:pPr>
              <w:snapToGrid w:val="0"/>
              <w:ind w:right="109"/>
              <w:jc w:val="right"/>
            </w:pPr>
            <w:r w:rsidRPr="007B66BB">
              <w:t>5,064,907,947</w:t>
            </w:r>
          </w:p>
        </w:tc>
        <w:tc>
          <w:tcPr>
            <w:tcW w:w="1937" w:type="dxa"/>
            <w:vAlign w:val="bottom"/>
          </w:tcPr>
          <w:p w:rsidR="00AB68B6" w:rsidRPr="007B66BB" w:rsidRDefault="00AB68B6" w:rsidP="004B4952">
            <w:pPr>
              <w:snapToGrid w:val="0"/>
              <w:ind w:right="106"/>
              <w:jc w:val="right"/>
            </w:pPr>
            <w:r w:rsidRPr="007B66BB">
              <w:t>4,843,496,134</w:t>
            </w:r>
          </w:p>
        </w:tc>
      </w:tr>
      <w:tr w:rsidR="00AB68B6" w:rsidRPr="007B66BB" w:rsidTr="004B4952">
        <w:trPr>
          <w:jc w:val="right"/>
        </w:trPr>
        <w:tc>
          <w:tcPr>
            <w:tcW w:w="4959" w:type="dxa"/>
            <w:vAlign w:val="bottom"/>
          </w:tcPr>
          <w:p w:rsidR="00AB68B6" w:rsidRPr="007B66BB" w:rsidRDefault="00AB68B6" w:rsidP="004B4952">
            <w:pPr>
              <w:snapToGrid w:val="0"/>
              <w:ind w:left="221" w:hanging="221"/>
            </w:pPr>
            <w:r w:rsidRPr="007B66BB">
              <w:t>货车使用费</w:t>
            </w:r>
          </w:p>
        </w:tc>
        <w:tc>
          <w:tcPr>
            <w:tcW w:w="1937" w:type="dxa"/>
            <w:vAlign w:val="bottom"/>
          </w:tcPr>
          <w:p w:rsidR="00AB68B6" w:rsidRPr="007B66BB" w:rsidRDefault="00AB68B6" w:rsidP="004B4952">
            <w:pPr>
              <w:snapToGrid w:val="0"/>
              <w:ind w:right="109"/>
              <w:jc w:val="right"/>
            </w:pPr>
            <w:r w:rsidRPr="007B66BB">
              <w:t>3,363,897,819</w:t>
            </w:r>
          </w:p>
        </w:tc>
        <w:tc>
          <w:tcPr>
            <w:tcW w:w="1937" w:type="dxa"/>
            <w:vAlign w:val="bottom"/>
          </w:tcPr>
          <w:p w:rsidR="00AB68B6" w:rsidRPr="007B66BB" w:rsidRDefault="00AB68B6" w:rsidP="004B4952">
            <w:pPr>
              <w:snapToGrid w:val="0"/>
              <w:ind w:right="106"/>
              <w:jc w:val="right"/>
            </w:pPr>
            <w:r w:rsidRPr="007B66BB">
              <w:t>3,165,350,252</w:t>
            </w:r>
          </w:p>
        </w:tc>
      </w:tr>
      <w:tr w:rsidR="00AB68B6" w:rsidRPr="007B66BB" w:rsidTr="004B4952">
        <w:trPr>
          <w:jc w:val="right"/>
        </w:trPr>
        <w:tc>
          <w:tcPr>
            <w:tcW w:w="4959" w:type="dxa"/>
            <w:vAlign w:val="bottom"/>
          </w:tcPr>
          <w:p w:rsidR="00AB68B6" w:rsidRPr="007B66BB" w:rsidRDefault="00AB68B6" w:rsidP="004B4952">
            <w:pPr>
              <w:snapToGrid w:val="0"/>
              <w:ind w:left="221" w:hanging="221"/>
            </w:pPr>
            <w:r w:rsidRPr="007B66BB">
              <w:t>客运服务费 (注1)</w:t>
            </w:r>
          </w:p>
        </w:tc>
        <w:tc>
          <w:tcPr>
            <w:tcW w:w="1937" w:type="dxa"/>
            <w:vAlign w:val="bottom"/>
          </w:tcPr>
          <w:p w:rsidR="00AB68B6" w:rsidRPr="007B66BB" w:rsidRDefault="00AB68B6" w:rsidP="004B4952">
            <w:pPr>
              <w:snapToGrid w:val="0"/>
              <w:ind w:right="109"/>
              <w:jc w:val="right"/>
            </w:pPr>
            <w:r w:rsidRPr="007B66BB">
              <w:t>3,653,545,215</w:t>
            </w:r>
          </w:p>
        </w:tc>
        <w:tc>
          <w:tcPr>
            <w:tcW w:w="1937" w:type="dxa"/>
            <w:vAlign w:val="bottom"/>
          </w:tcPr>
          <w:p w:rsidR="00AB68B6" w:rsidRPr="007B66BB" w:rsidRDefault="00AB68B6" w:rsidP="004B4952">
            <w:pPr>
              <w:snapToGrid w:val="0"/>
              <w:ind w:right="106"/>
              <w:jc w:val="right"/>
            </w:pPr>
            <w:r w:rsidRPr="007B66BB">
              <w:t>4,933,407,832</w:t>
            </w:r>
          </w:p>
        </w:tc>
      </w:tr>
      <w:tr w:rsidR="00AB68B6" w:rsidRPr="007B66BB" w:rsidTr="004B4952">
        <w:trPr>
          <w:jc w:val="right"/>
        </w:trPr>
        <w:tc>
          <w:tcPr>
            <w:tcW w:w="4959" w:type="dxa"/>
            <w:vAlign w:val="bottom"/>
          </w:tcPr>
          <w:p w:rsidR="00AB68B6" w:rsidRPr="007B66BB" w:rsidRDefault="00AB68B6" w:rsidP="004B4952">
            <w:pPr>
              <w:snapToGrid w:val="0"/>
              <w:ind w:left="221" w:hanging="221"/>
            </w:pPr>
            <w:r w:rsidRPr="007B66BB">
              <w:t>电力及燃料</w:t>
            </w:r>
          </w:p>
        </w:tc>
        <w:tc>
          <w:tcPr>
            <w:tcW w:w="1937" w:type="dxa"/>
            <w:vAlign w:val="bottom"/>
          </w:tcPr>
          <w:p w:rsidR="00AB68B6" w:rsidRPr="007B66BB" w:rsidRDefault="00AB68B6" w:rsidP="004B4952">
            <w:pPr>
              <w:snapToGrid w:val="0"/>
              <w:jc w:val="right"/>
            </w:pPr>
            <w:r w:rsidRPr="007B66BB">
              <w:t>3,246,122,133</w:t>
            </w:r>
          </w:p>
        </w:tc>
        <w:tc>
          <w:tcPr>
            <w:tcW w:w="1937" w:type="dxa"/>
            <w:vAlign w:val="bottom"/>
          </w:tcPr>
          <w:p w:rsidR="00AB68B6" w:rsidRPr="007B66BB" w:rsidRDefault="00AB68B6" w:rsidP="004B4952">
            <w:pPr>
              <w:snapToGrid w:val="0"/>
              <w:jc w:val="right"/>
            </w:pPr>
            <w:r w:rsidRPr="007B66BB">
              <w:t>2,908,562,773</w:t>
            </w:r>
          </w:p>
        </w:tc>
      </w:tr>
      <w:tr w:rsidR="00AB68B6" w:rsidRPr="007B66BB" w:rsidTr="004B4952">
        <w:trPr>
          <w:jc w:val="right"/>
        </w:trPr>
        <w:tc>
          <w:tcPr>
            <w:tcW w:w="4959" w:type="dxa"/>
            <w:vAlign w:val="bottom"/>
          </w:tcPr>
          <w:p w:rsidR="00AB68B6" w:rsidRPr="007B66BB" w:rsidRDefault="00AB68B6" w:rsidP="004B4952">
            <w:pPr>
              <w:snapToGrid w:val="0"/>
              <w:ind w:left="221" w:hanging="221"/>
            </w:pPr>
            <w:r w:rsidRPr="007B66BB">
              <w:t>货运服务费 (注2)</w:t>
            </w:r>
          </w:p>
        </w:tc>
        <w:tc>
          <w:tcPr>
            <w:tcW w:w="1937" w:type="dxa"/>
            <w:vAlign w:val="bottom"/>
          </w:tcPr>
          <w:p w:rsidR="00AB68B6" w:rsidRPr="007B66BB" w:rsidRDefault="00AB68B6" w:rsidP="004B4952">
            <w:pPr>
              <w:snapToGrid w:val="0"/>
              <w:jc w:val="right"/>
            </w:pPr>
            <w:r w:rsidRPr="007B66BB">
              <w:t>17,227,151,726</w:t>
            </w:r>
          </w:p>
        </w:tc>
        <w:tc>
          <w:tcPr>
            <w:tcW w:w="1937" w:type="dxa"/>
            <w:vAlign w:val="bottom"/>
          </w:tcPr>
          <w:p w:rsidR="00AB68B6" w:rsidRPr="007B66BB" w:rsidRDefault="00AB68B6" w:rsidP="004B4952">
            <w:pPr>
              <w:snapToGrid w:val="0"/>
              <w:jc w:val="right"/>
            </w:pPr>
            <w:r w:rsidRPr="007B66BB">
              <w:t>17,226,754,967</w:t>
            </w:r>
          </w:p>
        </w:tc>
      </w:tr>
      <w:tr w:rsidR="00AB68B6" w:rsidRPr="007B66BB" w:rsidTr="004B4952">
        <w:trPr>
          <w:jc w:val="right"/>
        </w:trPr>
        <w:tc>
          <w:tcPr>
            <w:tcW w:w="4959" w:type="dxa"/>
            <w:vAlign w:val="bottom"/>
          </w:tcPr>
          <w:p w:rsidR="00AB68B6" w:rsidRPr="007B66BB" w:rsidRDefault="00AB68B6" w:rsidP="004B4952">
            <w:pPr>
              <w:snapToGrid w:val="0"/>
              <w:ind w:left="221" w:hanging="221"/>
            </w:pPr>
            <w:r w:rsidRPr="007B66BB">
              <w:t>材料</w:t>
            </w:r>
          </w:p>
        </w:tc>
        <w:tc>
          <w:tcPr>
            <w:tcW w:w="1937" w:type="dxa"/>
            <w:vAlign w:val="bottom"/>
          </w:tcPr>
          <w:p w:rsidR="00AB68B6" w:rsidRPr="007B66BB" w:rsidRDefault="00AB68B6" w:rsidP="004B4952">
            <w:pPr>
              <w:snapToGrid w:val="0"/>
              <w:jc w:val="right"/>
            </w:pPr>
            <w:r w:rsidRPr="007B66BB">
              <w:t>1,209,514,871</w:t>
            </w:r>
          </w:p>
        </w:tc>
        <w:tc>
          <w:tcPr>
            <w:tcW w:w="1937" w:type="dxa"/>
            <w:vAlign w:val="bottom"/>
          </w:tcPr>
          <w:p w:rsidR="00AB68B6" w:rsidRPr="007B66BB" w:rsidRDefault="00AB68B6" w:rsidP="004B4952">
            <w:pPr>
              <w:snapToGrid w:val="0"/>
              <w:jc w:val="right"/>
            </w:pPr>
            <w:r w:rsidRPr="007B66BB">
              <w:t>1,376,587,694</w:t>
            </w:r>
          </w:p>
        </w:tc>
      </w:tr>
      <w:tr w:rsidR="00AB68B6" w:rsidRPr="007B66BB" w:rsidTr="004B4952">
        <w:trPr>
          <w:jc w:val="right"/>
        </w:trPr>
        <w:tc>
          <w:tcPr>
            <w:tcW w:w="4959" w:type="dxa"/>
            <w:vAlign w:val="bottom"/>
          </w:tcPr>
          <w:p w:rsidR="00AB68B6" w:rsidRPr="007B66BB" w:rsidRDefault="00AB68B6" w:rsidP="004B4952">
            <w:pPr>
              <w:snapToGrid w:val="0"/>
              <w:ind w:left="221" w:hanging="221"/>
            </w:pPr>
            <w:r w:rsidRPr="007B66BB">
              <w:lastRenderedPageBreak/>
              <w:t>大修支出</w:t>
            </w:r>
          </w:p>
        </w:tc>
        <w:tc>
          <w:tcPr>
            <w:tcW w:w="1937" w:type="dxa"/>
            <w:vAlign w:val="bottom"/>
          </w:tcPr>
          <w:p w:rsidR="00AB68B6" w:rsidRPr="007B66BB" w:rsidRDefault="00AB68B6" w:rsidP="004B4952">
            <w:pPr>
              <w:snapToGrid w:val="0"/>
              <w:jc w:val="right"/>
            </w:pPr>
            <w:r w:rsidRPr="007B66BB">
              <w:t>336,985,733</w:t>
            </w:r>
          </w:p>
        </w:tc>
        <w:tc>
          <w:tcPr>
            <w:tcW w:w="1937" w:type="dxa"/>
            <w:vAlign w:val="bottom"/>
          </w:tcPr>
          <w:p w:rsidR="00AB68B6" w:rsidRPr="007B66BB" w:rsidRDefault="00AB68B6" w:rsidP="004B4952">
            <w:pPr>
              <w:snapToGrid w:val="0"/>
              <w:jc w:val="right"/>
            </w:pPr>
            <w:r w:rsidRPr="007B66BB">
              <w:t>229,324,571</w:t>
            </w:r>
          </w:p>
        </w:tc>
      </w:tr>
      <w:tr w:rsidR="00AB68B6" w:rsidRPr="007B66BB" w:rsidTr="004B4952">
        <w:trPr>
          <w:jc w:val="right"/>
        </w:trPr>
        <w:tc>
          <w:tcPr>
            <w:tcW w:w="4959" w:type="dxa"/>
            <w:vAlign w:val="bottom"/>
          </w:tcPr>
          <w:p w:rsidR="00AB68B6" w:rsidRPr="007B66BB" w:rsidRDefault="00AB68B6" w:rsidP="004B4952">
            <w:pPr>
              <w:snapToGrid w:val="0"/>
              <w:ind w:left="221" w:hanging="221"/>
            </w:pPr>
            <w:r w:rsidRPr="007B66BB">
              <w:t>机客车租赁费</w:t>
            </w:r>
          </w:p>
        </w:tc>
        <w:tc>
          <w:tcPr>
            <w:tcW w:w="1937" w:type="dxa"/>
            <w:vAlign w:val="bottom"/>
          </w:tcPr>
          <w:p w:rsidR="00AB68B6" w:rsidRPr="007B66BB" w:rsidRDefault="00AB68B6" w:rsidP="004B4952">
            <w:pPr>
              <w:snapToGrid w:val="0"/>
              <w:jc w:val="right"/>
            </w:pPr>
            <w:r w:rsidRPr="007B66BB">
              <w:t>913,001,297</w:t>
            </w:r>
          </w:p>
        </w:tc>
        <w:tc>
          <w:tcPr>
            <w:tcW w:w="1937" w:type="dxa"/>
            <w:vAlign w:val="bottom"/>
          </w:tcPr>
          <w:p w:rsidR="00AB68B6" w:rsidRPr="007B66BB" w:rsidRDefault="00AB68B6" w:rsidP="004B4952">
            <w:pPr>
              <w:snapToGrid w:val="0"/>
              <w:jc w:val="right"/>
            </w:pPr>
            <w:r w:rsidRPr="007B66BB">
              <w:t>1,131,163,635</w:t>
            </w:r>
          </w:p>
        </w:tc>
      </w:tr>
      <w:tr w:rsidR="00AB68B6" w:rsidRPr="007B66BB" w:rsidTr="004B4952">
        <w:trPr>
          <w:jc w:val="right"/>
        </w:trPr>
        <w:tc>
          <w:tcPr>
            <w:tcW w:w="4959" w:type="dxa"/>
            <w:vAlign w:val="bottom"/>
          </w:tcPr>
          <w:p w:rsidR="00AB68B6" w:rsidRPr="007B66BB" w:rsidRDefault="00AB68B6" w:rsidP="004B4952">
            <w:pPr>
              <w:snapToGrid w:val="0"/>
              <w:ind w:left="221" w:hanging="221"/>
            </w:pPr>
            <w:r w:rsidRPr="007B66BB">
              <w:t>土地房屋租赁费</w:t>
            </w:r>
          </w:p>
        </w:tc>
        <w:tc>
          <w:tcPr>
            <w:tcW w:w="1937" w:type="dxa"/>
            <w:vAlign w:val="bottom"/>
          </w:tcPr>
          <w:p w:rsidR="00AB68B6" w:rsidRPr="007B66BB" w:rsidRDefault="00AB68B6" w:rsidP="004B4952">
            <w:pPr>
              <w:snapToGrid w:val="0"/>
              <w:jc w:val="right"/>
            </w:pPr>
            <w:r w:rsidRPr="007B66BB">
              <w:t>704,797,615</w:t>
            </w:r>
          </w:p>
        </w:tc>
        <w:tc>
          <w:tcPr>
            <w:tcW w:w="1937" w:type="dxa"/>
            <w:vAlign w:val="bottom"/>
          </w:tcPr>
          <w:p w:rsidR="00AB68B6" w:rsidRPr="007B66BB" w:rsidRDefault="00AB68B6" w:rsidP="004B4952">
            <w:pPr>
              <w:snapToGrid w:val="0"/>
              <w:jc w:val="right"/>
            </w:pPr>
            <w:r w:rsidRPr="007B66BB">
              <w:t>731,098,308</w:t>
            </w:r>
          </w:p>
        </w:tc>
      </w:tr>
      <w:tr w:rsidR="00AB68B6" w:rsidRPr="007B66BB" w:rsidTr="004B4952">
        <w:trPr>
          <w:jc w:val="right"/>
        </w:trPr>
        <w:tc>
          <w:tcPr>
            <w:tcW w:w="4959" w:type="dxa"/>
            <w:vAlign w:val="bottom"/>
          </w:tcPr>
          <w:p w:rsidR="00AB68B6" w:rsidRPr="007B66BB" w:rsidRDefault="00AB68B6" w:rsidP="004B4952">
            <w:pPr>
              <w:snapToGrid w:val="0"/>
              <w:ind w:left="221" w:hanging="221"/>
            </w:pPr>
            <w:r w:rsidRPr="007B66BB">
              <w:t>供热、供暖费及房屋维修费</w:t>
            </w:r>
          </w:p>
        </w:tc>
        <w:tc>
          <w:tcPr>
            <w:tcW w:w="1937" w:type="dxa"/>
            <w:vAlign w:val="bottom"/>
          </w:tcPr>
          <w:p w:rsidR="00AB68B6" w:rsidRPr="007B66BB" w:rsidRDefault="00AB68B6" w:rsidP="004B4952">
            <w:pPr>
              <w:snapToGrid w:val="0"/>
              <w:jc w:val="right"/>
            </w:pPr>
            <w:r w:rsidRPr="007B66BB">
              <w:t>280,217,574</w:t>
            </w:r>
          </w:p>
        </w:tc>
        <w:tc>
          <w:tcPr>
            <w:tcW w:w="1937" w:type="dxa"/>
            <w:vAlign w:val="bottom"/>
          </w:tcPr>
          <w:p w:rsidR="00AB68B6" w:rsidRPr="007B66BB" w:rsidRDefault="00AB68B6" w:rsidP="004B4952">
            <w:pPr>
              <w:snapToGrid w:val="0"/>
              <w:jc w:val="right"/>
            </w:pPr>
            <w:r w:rsidRPr="007B66BB">
              <w:t>264,888,475</w:t>
            </w:r>
          </w:p>
        </w:tc>
      </w:tr>
      <w:tr w:rsidR="00AB68B6" w:rsidRPr="007B66BB" w:rsidTr="004B4952">
        <w:trPr>
          <w:jc w:val="right"/>
        </w:trPr>
        <w:tc>
          <w:tcPr>
            <w:tcW w:w="4959" w:type="dxa"/>
            <w:vAlign w:val="bottom"/>
          </w:tcPr>
          <w:p w:rsidR="00AB68B6" w:rsidRPr="007B66BB" w:rsidRDefault="00AB68B6" w:rsidP="004B4952">
            <w:pPr>
              <w:snapToGrid w:val="0"/>
              <w:ind w:left="221" w:hanging="221"/>
            </w:pPr>
            <w:r w:rsidRPr="007B66BB">
              <w:t>和谐机车检修</w:t>
            </w:r>
          </w:p>
        </w:tc>
        <w:tc>
          <w:tcPr>
            <w:tcW w:w="1937" w:type="dxa"/>
            <w:vAlign w:val="bottom"/>
          </w:tcPr>
          <w:p w:rsidR="00AB68B6" w:rsidRPr="007B66BB" w:rsidRDefault="00AB68B6" w:rsidP="004B4952">
            <w:pPr>
              <w:snapToGrid w:val="0"/>
              <w:jc w:val="right"/>
            </w:pPr>
            <w:r w:rsidRPr="007B66BB">
              <w:t>265,136,115</w:t>
            </w:r>
          </w:p>
        </w:tc>
        <w:tc>
          <w:tcPr>
            <w:tcW w:w="1937" w:type="dxa"/>
            <w:vAlign w:val="bottom"/>
          </w:tcPr>
          <w:p w:rsidR="00AB68B6" w:rsidRPr="007B66BB" w:rsidRDefault="00AB68B6" w:rsidP="004B4952">
            <w:pPr>
              <w:snapToGrid w:val="0"/>
              <w:jc w:val="right"/>
            </w:pPr>
            <w:r w:rsidRPr="007B66BB">
              <w:t>539,847,099</w:t>
            </w:r>
          </w:p>
        </w:tc>
      </w:tr>
      <w:tr w:rsidR="00AB68B6" w:rsidRPr="007B66BB" w:rsidTr="004B4952">
        <w:trPr>
          <w:jc w:val="right"/>
        </w:trPr>
        <w:tc>
          <w:tcPr>
            <w:tcW w:w="4959" w:type="dxa"/>
            <w:vAlign w:val="bottom"/>
          </w:tcPr>
          <w:p w:rsidR="00AB68B6" w:rsidRPr="007B66BB" w:rsidRDefault="00AB68B6" w:rsidP="004B4952">
            <w:pPr>
              <w:snapToGrid w:val="0"/>
              <w:ind w:left="221" w:hanging="221"/>
            </w:pPr>
            <w:r w:rsidRPr="007B66BB">
              <w:t>其他</w:t>
            </w:r>
          </w:p>
        </w:tc>
        <w:tc>
          <w:tcPr>
            <w:tcW w:w="1937" w:type="dxa"/>
            <w:vAlign w:val="bottom"/>
          </w:tcPr>
          <w:p w:rsidR="00AB68B6" w:rsidRPr="007B66BB" w:rsidRDefault="00AB68B6" w:rsidP="004B4952">
            <w:pPr>
              <w:snapToGrid w:val="0"/>
              <w:jc w:val="right"/>
            </w:pPr>
            <w:r w:rsidRPr="007B66BB">
              <w:t>2,179,699,087</w:t>
            </w:r>
          </w:p>
        </w:tc>
        <w:tc>
          <w:tcPr>
            <w:tcW w:w="1937" w:type="dxa"/>
            <w:vAlign w:val="bottom"/>
          </w:tcPr>
          <w:p w:rsidR="00AB68B6" w:rsidRPr="007B66BB" w:rsidRDefault="00AB68B6" w:rsidP="004B4952">
            <w:pPr>
              <w:snapToGrid w:val="0"/>
              <w:jc w:val="right"/>
            </w:pPr>
            <w:r w:rsidRPr="007B66BB">
              <w:t>2,573,051,784</w:t>
            </w:r>
          </w:p>
        </w:tc>
      </w:tr>
      <w:tr w:rsidR="00AB68B6" w:rsidRPr="007B66BB" w:rsidTr="004B4952">
        <w:trPr>
          <w:jc w:val="right"/>
        </w:trPr>
        <w:tc>
          <w:tcPr>
            <w:tcW w:w="4959" w:type="dxa"/>
            <w:vAlign w:val="bottom"/>
          </w:tcPr>
          <w:p w:rsidR="00AB68B6" w:rsidRPr="007B66BB" w:rsidRDefault="00AB68B6" w:rsidP="004B4952">
            <w:pPr>
              <w:snapToGrid w:val="0"/>
              <w:ind w:left="221" w:hanging="221"/>
            </w:pPr>
            <w:r w:rsidRPr="007B66BB">
              <w:t>合计</w:t>
            </w:r>
          </w:p>
        </w:tc>
        <w:tc>
          <w:tcPr>
            <w:tcW w:w="1937" w:type="dxa"/>
            <w:vAlign w:val="bottom"/>
          </w:tcPr>
          <w:p w:rsidR="00AB68B6" w:rsidRPr="007B66BB" w:rsidRDefault="00AB68B6" w:rsidP="004B4952">
            <w:pPr>
              <w:snapToGrid w:val="0"/>
              <w:jc w:val="right"/>
            </w:pPr>
            <w:r w:rsidRPr="007B66BB">
              <w:t>59,419,342,469</w:t>
            </w:r>
          </w:p>
        </w:tc>
        <w:tc>
          <w:tcPr>
            <w:tcW w:w="1937" w:type="dxa"/>
            <w:vAlign w:val="bottom"/>
          </w:tcPr>
          <w:p w:rsidR="00AB68B6" w:rsidRPr="007B66BB" w:rsidRDefault="00AB68B6" w:rsidP="004B4952">
            <w:pPr>
              <w:snapToGrid w:val="0"/>
              <w:jc w:val="right"/>
            </w:pPr>
            <w:r w:rsidRPr="007B66BB">
              <w:t>60,216,051,035</w:t>
            </w:r>
          </w:p>
        </w:tc>
      </w:tr>
    </w:tbl>
    <w:p w:rsidR="00AB68B6" w:rsidRDefault="00AB68B6" w:rsidP="00AB68B6">
      <w:pPr>
        <w:tabs>
          <w:tab w:val="left" w:pos="709"/>
        </w:tabs>
        <w:overflowPunct w:val="0"/>
        <w:adjustRightInd w:val="0"/>
        <w:snapToGrid w:val="0"/>
        <w:ind w:left="709" w:hanging="709"/>
        <w:rPr>
          <w:rFonts w:cs="Arial"/>
          <w:sz w:val="22"/>
          <w:szCs w:val="22"/>
        </w:rPr>
      </w:pPr>
    </w:p>
    <w:p w:rsidR="00AB68B6" w:rsidRPr="001C6677" w:rsidRDefault="00AB68B6" w:rsidP="002244F7">
      <w:pPr>
        <w:tabs>
          <w:tab w:val="left" w:pos="709"/>
        </w:tabs>
        <w:overflowPunct w:val="0"/>
        <w:adjustRightInd w:val="0"/>
        <w:snapToGrid w:val="0"/>
        <w:rPr>
          <w:rFonts w:cs="Arial"/>
          <w:sz w:val="22"/>
          <w:szCs w:val="22"/>
        </w:rPr>
      </w:pPr>
      <w:r w:rsidRPr="001C6677">
        <w:rPr>
          <w:rFonts w:cs="Arial" w:hint="eastAsia"/>
          <w:sz w:val="22"/>
          <w:szCs w:val="22"/>
        </w:rPr>
        <w:t>注1：客运服务费为本集团的客车行驶到本集团管界外的客运线路并由其他铁路局机车牵引，而发生的机车牵引服务费和线路使用费等。</w:t>
      </w:r>
    </w:p>
    <w:p w:rsidR="00AB68B6" w:rsidRPr="001C6677" w:rsidRDefault="00AB68B6" w:rsidP="00AB68B6">
      <w:pPr>
        <w:tabs>
          <w:tab w:val="left" w:pos="709"/>
        </w:tabs>
        <w:overflowPunct w:val="0"/>
        <w:adjustRightInd w:val="0"/>
        <w:snapToGrid w:val="0"/>
        <w:ind w:left="709" w:hanging="709"/>
        <w:rPr>
          <w:rFonts w:cs="Arial"/>
          <w:sz w:val="22"/>
          <w:szCs w:val="22"/>
        </w:rPr>
      </w:pPr>
    </w:p>
    <w:p w:rsidR="00AB68B6" w:rsidRPr="001C6677" w:rsidRDefault="00AB68B6" w:rsidP="00AB68B6">
      <w:pPr>
        <w:rPr>
          <w:rFonts w:cs="Arial"/>
          <w:sz w:val="22"/>
          <w:szCs w:val="22"/>
        </w:rPr>
      </w:pPr>
      <w:r w:rsidRPr="001C6677">
        <w:rPr>
          <w:rFonts w:cs="Arial" w:hint="eastAsia"/>
          <w:sz w:val="22"/>
          <w:szCs w:val="22"/>
        </w:rPr>
        <w:t>注2：货运服务费包括货运机车牵引服务费、线路使用费、车辆服务费、到达作业服务费、综合服务费和货运接触网使用费等。</w:t>
      </w:r>
    </w:p>
    <w:p w:rsidR="00AB68B6" w:rsidRDefault="00AB68B6" w:rsidP="00AB68B6">
      <w:pPr>
        <w:rPr>
          <w:rFonts w:cs="Arial"/>
          <w:sz w:val="22"/>
          <w:szCs w:val="22"/>
        </w:rPr>
      </w:pPr>
    </w:p>
    <w:p w:rsidR="00AB68B6" w:rsidRDefault="00AB68B6" w:rsidP="00AB68B6">
      <w:pPr>
        <w:rPr>
          <w:rFonts w:asciiTheme="majorEastAsia" w:eastAsiaTheme="majorEastAsia" w:hAnsiTheme="majorEastAsia" w:cs="Arial"/>
          <w:sz w:val="22"/>
          <w:szCs w:val="22"/>
        </w:rPr>
      </w:pPr>
      <w:r w:rsidRPr="001C6BB5">
        <w:rPr>
          <w:rFonts w:asciiTheme="majorEastAsia" w:eastAsiaTheme="majorEastAsia" w:hAnsiTheme="majorEastAsia" w:cs="Arial" w:hint="eastAsia"/>
          <w:sz w:val="22"/>
          <w:szCs w:val="22"/>
        </w:rPr>
        <w:t>其他业务收入、其他业务成本</w:t>
      </w:r>
    </w:p>
    <w:p w:rsidR="00AB68B6" w:rsidRPr="00257722" w:rsidRDefault="00AB68B6" w:rsidP="00AB68B6">
      <w:pPr>
        <w:jc w:val="right"/>
        <w:rPr>
          <w:rFonts w:asciiTheme="majorEastAsia" w:eastAsiaTheme="majorEastAsia" w:hAnsiTheme="majorEastAsia"/>
          <w:b/>
          <w:bCs/>
        </w:rPr>
      </w:pPr>
      <w:r w:rsidRPr="00257722">
        <w:rPr>
          <w:rFonts w:asciiTheme="majorEastAsia" w:eastAsiaTheme="majorEastAsia" w:hAnsiTheme="majorEastAsia" w:cs="PMingLiU" w:hint="eastAsia"/>
          <w:szCs w:val="21"/>
        </w:rPr>
        <w:t>单</w:t>
      </w:r>
      <w:r w:rsidRPr="00257722">
        <w:rPr>
          <w:rFonts w:asciiTheme="majorEastAsia" w:eastAsiaTheme="majorEastAsia" w:hAnsiTheme="majorEastAsia" w:cs="Yu Gothic" w:hint="eastAsia"/>
          <w:szCs w:val="21"/>
        </w:rPr>
        <w:t>位：元</w:t>
      </w:r>
      <w:r w:rsidRPr="00257722">
        <w:rPr>
          <w:rFonts w:asciiTheme="majorEastAsia" w:eastAsiaTheme="majorEastAsia" w:hAnsiTheme="majorEastAsia" w:cs="螳倶ｽ・"/>
          <w:szCs w:val="21"/>
        </w:rPr>
        <w:t xml:space="preserve"> </w:t>
      </w:r>
      <w:r w:rsidRPr="00257722">
        <w:rPr>
          <w:rFonts w:asciiTheme="majorEastAsia" w:eastAsiaTheme="majorEastAsia" w:hAnsiTheme="majorEastAsia" w:cs="PMingLiU" w:hint="eastAsia"/>
          <w:szCs w:val="21"/>
        </w:rPr>
        <w:t>币</w:t>
      </w:r>
      <w:r w:rsidRPr="00257722">
        <w:rPr>
          <w:rFonts w:asciiTheme="majorEastAsia" w:eastAsiaTheme="majorEastAsia" w:hAnsiTheme="majorEastAsia" w:cs="Yu Gothic" w:hint="eastAsia"/>
          <w:szCs w:val="21"/>
        </w:rPr>
        <w:t>种：人民</w:t>
      </w:r>
      <w:r w:rsidRPr="00257722">
        <w:rPr>
          <w:rFonts w:asciiTheme="majorEastAsia" w:eastAsiaTheme="majorEastAsia" w:hAnsiTheme="majorEastAsia" w:cs="PMingLiU" w:hint="eastAsia"/>
          <w:szCs w:val="21"/>
        </w:rPr>
        <w:t>币</w:t>
      </w:r>
    </w:p>
    <w:tbl>
      <w:tblPr>
        <w:tblW w:w="883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28" w:type="dxa"/>
        </w:tblCellMar>
        <w:tblLook w:val="04A0"/>
      </w:tblPr>
      <w:tblGrid>
        <w:gridCol w:w="3127"/>
        <w:gridCol w:w="1426"/>
        <w:gridCol w:w="1427"/>
        <w:gridCol w:w="1426"/>
        <w:gridCol w:w="1427"/>
      </w:tblGrid>
      <w:tr w:rsidR="00AB68B6" w:rsidRPr="009C2204" w:rsidTr="004B4952">
        <w:trPr>
          <w:trHeight w:val="264"/>
          <w:jc w:val="right"/>
        </w:trPr>
        <w:tc>
          <w:tcPr>
            <w:tcW w:w="3127" w:type="dxa"/>
            <w:vAlign w:val="center"/>
          </w:tcPr>
          <w:p w:rsidR="00AB68B6" w:rsidRPr="004C6861" w:rsidRDefault="00AB68B6" w:rsidP="004B4952">
            <w:pPr>
              <w:snapToGrid w:val="0"/>
              <w:jc w:val="center"/>
              <w:rPr>
                <w:szCs w:val="21"/>
              </w:rPr>
            </w:pPr>
            <w:r w:rsidRPr="004C6861">
              <w:rPr>
                <w:rFonts w:ascii="微软雅黑" w:eastAsia="微软雅黑" w:hAnsi="微软雅黑" w:cs="微软雅黑" w:hint="eastAsia"/>
                <w:szCs w:val="21"/>
              </w:rPr>
              <w:t> </w:t>
            </w:r>
          </w:p>
        </w:tc>
        <w:tc>
          <w:tcPr>
            <w:tcW w:w="2853" w:type="dxa"/>
            <w:gridSpan w:val="2"/>
            <w:vAlign w:val="center"/>
          </w:tcPr>
          <w:p w:rsidR="00AB68B6" w:rsidRPr="004C6861" w:rsidRDefault="00AB68B6" w:rsidP="004B4952">
            <w:pPr>
              <w:snapToGrid w:val="0"/>
              <w:jc w:val="center"/>
              <w:rPr>
                <w:szCs w:val="21"/>
              </w:rPr>
            </w:pPr>
            <w:r w:rsidRPr="004C6861">
              <w:rPr>
                <w:szCs w:val="21"/>
              </w:rPr>
              <w:t>本期发生额</w:t>
            </w:r>
          </w:p>
        </w:tc>
        <w:tc>
          <w:tcPr>
            <w:tcW w:w="2853" w:type="dxa"/>
            <w:gridSpan w:val="2"/>
            <w:vAlign w:val="center"/>
          </w:tcPr>
          <w:p w:rsidR="00AB68B6" w:rsidRPr="004C6861" w:rsidRDefault="00AB68B6" w:rsidP="004B4952">
            <w:pPr>
              <w:snapToGrid w:val="0"/>
              <w:jc w:val="center"/>
              <w:rPr>
                <w:szCs w:val="21"/>
              </w:rPr>
            </w:pPr>
            <w:r w:rsidRPr="004C6861">
              <w:rPr>
                <w:szCs w:val="21"/>
              </w:rPr>
              <w:t>上期发生额</w:t>
            </w:r>
          </w:p>
        </w:tc>
      </w:tr>
      <w:tr w:rsidR="00AB68B6" w:rsidRPr="009C2204" w:rsidTr="004B4952">
        <w:trPr>
          <w:trHeight w:val="217"/>
          <w:jc w:val="right"/>
        </w:trPr>
        <w:tc>
          <w:tcPr>
            <w:tcW w:w="3127" w:type="dxa"/>
            <w:vAlign w:val="bottom"/>
          </w:tcPr>
          <w:p w:rsidR="00AB68B6" w:rsidRPr="004C6861" w:rsidRDefault="00AB68B6" w:rsidP="004B4952">
            <w:pPr>
              <w:snapToGrid w:val="0"/>
              <w:rPr>
                <w:szCs w:val="21"/>
              </w:rPr>
            </w:pPr>
            <w:r w:rsidRPr="004C6861">
              <w:rPr>
                <w:szCs w:val="21"/>
              </w:rPr>
              <w:t>项目</w:t>
            </w:r>
          </w:p>
        </w:tc>
        <w:tc>
          <w:tcPr>
            <w:tcW w:w="1426" w:type="dxa"/>
            <w:vAlign w:val="bottom"/>
          </w:tcPr>
          <w:p w:rsidR="00AB68B6" w:rsidRPr="004C6861" w:rsidRDefault="00AB68B6" w:rsidP="004B4952">
            <w:pPr>
              <w:snapToGrid w:val="0"/>
              <w:jc w:val="right"/>
              <w:rPr>
                <w:szCs w:val="21"/>
              </w:rPr>
            </w:pPr>
            <w:r w:rsidRPr="004C6861">
              <w:rPr>
                <w:szCs w:val="21"/>
              </w:rPr>
              <w:t>其他业务收入</w:t>
            </w:r>
          </w:p>
        </w:tc>
        <w:tc>
          <w:tcPr>
            <w:tcW w:w="1427" w:type="dxa"/>
            <w:vAlign w:val="bottom"/>
          </w:tcPr>
          <w:p w:rsidR="00AB68B6" w:rsidRPr="004C6861" w:rsidRDefault="00AB68B6" w:rsidP="004B4952">
            <w:pPr>
              <w:snapToGrid w:val="0"/>
              <w:jc w:val="right"/>
              <w:rPr>
                <w:szCs w:val="21"/>
              </w:rPr>
            </w:pPr>
            <w:r w:rsidRPr="004C6861">
              <w:rPr>
                <w:szCs w:val="21"/>
              </w:rPr>
              <w:t>其他业务成本</w:t>
            </w:r>
          </w:p>
        </w:tc>
        <w:tc>
          <w:tcPr>
            <w:tcW w:w="1426" w:type="dxa"/>
            <w:vAlign w:val="bottom"/>
          </w:tcPr>
          <w:p w:rsidR="00AB68B6" w:rsidRPr="004C6861" w:rsidRDefault="00AB68B6" w:rsidP="004B4952">
            <w:pPr>
              <w:snapToGrid w:val="0"/>
              <w:jc w:val="right"/>
              <w:rPr>
                <w:szCs w:val="21"/>
              </w:rPr>
            </w:pPr>
            <w:r w:rsidRPr="004C6861">
              <w:rPr>
                <w:szCs w:val="21"/>
              </w:rPr>
              <w:t>其他业务收入</w:t>
            </w:r>
          </w:p>
        </w:tc>
        <w:tc>
          <w:tcPr>
            <w:tcW w:w="1427" w:type="dxa"/>
            <w:vAlign w:val="bottom"/>
          </w:tcPr>
          <w:p w:rsidR="00AB68B6" w:rsidRPr="004C6861" w:rsidRDefault="00AB68B6" w:rsidP="004B4952">
            <w:pPr>
              <w:snapToGrid w:val="0"/>
              <w:jc w:val="right"/>
              <w:rPr>
                <w:szCs w:val="21"/>
              </w:rPr>
            </w:pPr>
            <w:r w:rsidRPr="004C6861">
              <w:rPr>
                <w:szCs w:val="21"/>
              </w:rPr>
              <w:t>其他业务成本</w:t>
            </w:r>
          </w:p>
        </w:tc>
      </w:tr>
      <w:tr w:rsidR="00AB68B6" w:rsidRPr="009C2204" w:rsidTr="004B4952">
        <w:trPr>
          <w:trHeight w:val="217"/>
          <w:jc w:val="right"/>
        </w:trPr>
        <w:tc>
          <w:tcPr>
            <w:tcW w:w="3127" w:type="dxa"/>
            <w:vAlign w:val="bottom"/>
          </w:tcPr>
          <w:p w:rsidR="00AB68B6" w:rsidRPr="004C6861" w:rsidRDefault="00AB68B6" w:rsidP="004B4952">
            <w:pPr>
              <w:snapToGrid w:val="0"/>
              <w:rPr>
                <w:szCs w:val="21"/>
              </w:rPr>
            </w:pPr>
            <w:r w:rsidRPr="004C6861">
              <w:rPr>
                <w:szCs w:val="21"/>
              </w:rPr>
              <w:t>材料物品销售</w:t>
            </w:r>
          </w:p>
        </w:tc>
        <w:tc>
          <w:tcPr>
            <w:tcW w:w="1426" w:type="dxa"/>
            <w:vAlign w:val="bottom"/>
          </w:tcPr>
          <w:p w:rsidR="00AB68B6" w:rsidRPr="004C6861" w:rsidRDefault="00AB68B6" w:rsidP="004B4952">
            <w:pPr>
              <w:snapToGrid w:val="0"/>
              <w:jc w:val="right"/>
              <w:rPr>
                <w:szCs w:val="21"/>
              </w:rPr>
            </w:pPr>
            <w:r w:rsidRPr="004C6861">
              <w:rPr>
                <w:szCs w:val="21"/>
              </w:rPr>
              <w:t>558,272,186</w:t>
            </w:r>
          </w:p>
        </w:tc>
        <w:tc>
          <w:tcPr>
            <w:tcW w:w="1427" w:type="dxa"/>
            <w:vAlign w:val="bottom"/>
          </w:tcPr>
          <w:p w:rsidR="00AB68B6" w:rsidRPr="004C6861" w:rsidRDefault="00AB68B6" w:rsidP="004B4952">
            <w:pPr>
              <w:snapToGrid w:val="0"/>
              <w:jc w:val="right"/>
              <w:rPr>
                <w:szCs w:val="21"/>
              </w:rPr>
            </w:pPr>
            <w:r w:rsidRPr="004C6861">
              <w:rPr>
                <w:szCs w:val="21"/>
              </w:rPr>
              <w:t>401,169,752</w:t>
            </w:r>
          </w:p>
        </w:tc>
        <w:tc>
          <w:tcPr>
            <w:tcW w:w="1426" w:type="dxa"/>
            <w:vAlign w:val="bottom"/>
          </w:tcPr>
          <w:p w:rsidR="00AB68B6" w:rsidRPr="004C6861" w:rsidRDefault="00AB68B6" w:rsidP="004B4952">
            <w:pPr>
              <w:snapToGrid w:val="0"/>
              <w:jc w:val="right"/>
              <w:rPr>
                <w:szCs w:val="21"/>
              </w:rPr>
            </w:pPr>
            <w:r w:rsidRPr="004C6861">
              <w:rPr>
                <w:szCs w:val="21"/>
              </w:rPr>
              <w:t>545,974,659</w:t>
            </w:r>
          </w:p>
        </w:tc>
        <w:tc>
          <w:tcPr>
            <w:tcW w:w="1427" w:type="dxa"/>
            <w:vAlign w:val="bottom"/>
          </w:tcPr>
          <w:p w:rsidR="00AB68B6" w:rsidRPr="004C6861" w:rsidRDefault="00AB68B6" w:rsidP="004B4952">
            <w:pPr>
              <w:snapToGrid w:val="0"/>
              <w:jc w:val="right"/>
              <w:rPr>
                <w:szCs w:val="21"/>
              </w:rPr>
            </w:pPr>
            <w:r w:rsidRPr="004C6861">
              <w:rPr>
                <w:szCs w:val="21"/>
              </w:rPr>
              <w:t>418,610,368</w:t>
            </w:r>
          </w:p>
        </w:tc>
      </w:tr>
      <w:tr w:rsidR="00AB68B6" w:rsidRPr="009C2204" w:rsidTr="004B4952">
        <w:trPr>
          <w:trHeight w:val="207"/>
          <w:jc w:val="right"/>
        </w:trPr>
        <w:tc>
          <w:tcPr>
            <w:tcW w:w="3127" w:type="dxa"/>
            <w:vAlign w:val="bottom"/>
          </w:tcPr>
          <w:p w:rsidR="00AB68B6" w:rsidRPr="004C6861" w:rsidRDefault="00AB68B6" w:rsidP="004B4952">
            <w:pPr>
              <w:snapToGrid w:val="0"/>
              <w:rPr>
                <w:szCs w:val="21"/>
              </w:rPr>
            </w:pPr>
            <w:r w:rsidRPr="004C6861">
              <w:rPr>
                <w:szCs w:val="21"/>
              </w:rPr>
              <w:t>维修</w:t>
            </w:r>
          </w:p>
        </w:tc>
        <w:tc>
          <w:tcPr>
            <w:tcW w:w="1426" w:type="dxa"/>
            <w:vAlign w:val="bottom"/>
          </w:tcPr>
          <w:p w:rsidR="00AB68B6" w:rsidRPr="004C6861" w:rsidRDefault="00AB68B6" w:rsidP="004B4952">
            <w:pPr>
              <w:snapToGrid w:val="0"/>
              <w:jc w:val="right"/>
              <w:rPr>
                <w:szCs w:val="21"/>
              </w:rPr>
            </w:pPr>
            <w:r w:rsidRPr="004C6861">
              <w:rPr>
                <w:szCs w:val="21"/>
              </w:rPr>
              <w:t>498,274,744</w:t>
            </w:r>
          </w:p>
        </w:tc>
        <w:tc>
          <w:tcPr>
            <w:tcW w:w="1427" w:type="dxa"/>
            <w:vAlign w:val="bottom"/>
          </w:tcPr>
          <w:p w:rsidR="00AB68B6" w:rsidRPr="004C6861" w:rsidRDefault="00AB68B6" w:rsidP="004B4952">
            <w:pPr>
              <w:snapToGrid w:val="0"/>
              <w:jc w:val="right"/>
              <w:rPr>
                <w:szCs w:val="21"/>
              </w:rPr>
            </w:pPr>
            <w:r w:rsidRPr="004C6861">
              <w:rPr>
                <w:szCs w:val="21"/>
              </w:rPr>
              <w:t>352,540,821</w:t>
            </w:r>
          </w:p>
        </w:tc>
        <w:tc>
          <w:tcPr>
            <w:tcW w:w="1426" w:type="dxa"/>
            <w:vAlign w:val="bottom"/>
          </w:tcPr>
          <w:p w:rsidR="00AB68B6" w:rsidRPr="004C6861" w:rsidRDefault="00AB68B6" w:rsidP="004B4952">
            <w:pPr>
              <w:snapToGrid w:val="0"/>
              <w:jc w:val="right"/>
              <w:rPr>
                <w:szCs w:val="21"/>
              </w:rPr>
            </w:pPr>
            <w:r w:rsidRPr="004C6861">
              <w:rPr>
                <w:szCs w:val="21"/>
              </w:rPr>
              <w:t>490,076,345</w:t>
            </w:r>
          </w:p>
        </w:tc>
        <w:tc>
          <w:tcPr>
            <w:tcW w:w="1427" w:type="dxa"/>
            <w:vAlign w:val="bottom"/>
          </w:tcPr>
          <w:p w:rsidR="00AB68B6" w:rsidRPr="004C6861" w:rsidRDefault="00AB68B6" w:rsidP="004B4952">
            <w:pPr>
              <w:snapToGrid w:val="0"/>
              <w:jc w:val="right"/>
              <w:rPr>
                <w:szCs w:val="21"/>
              </w:rPr>
            </w:pPr>
            <w:r w:rsidRPr="004C6861">
              <w:rPr>
                <w:szCs w:val="21"/>
              </w:rPr>
              <w:t>377,196,054</w:t>
            </w:r>
          </w:p>
        </w:tc>
      </w:tr>
      <w:tr w:rsidR="00AB68B6" w:rsidRPr="009C2204" w:rsidTr="004B4952">
        <w:trPr>
          <w:trHeight w:val="217"/>
          <w:jc w:val="right"/>
        </w:trPr>
        <w:tc>
          <w:tcPr>
            <w:tcW w:w="3127" w:type="dxa"/>
            <w:vAlign w:val="bottom"/>
          </w:tcPr>
          <w:p w:rsidR="00AB68B6" w:rsidRPr="004C6861" w:rsidRDefault="00AB68B6" w:rsidP="004B4952">
            <w:pPr>
              <w:snapToGrid w:val="0"/>
              <w:rPr>
                <w:szCs w:val="21"/>
              </w:rPr>
            </w:pPr>
            <w:r w:rsidRPr="004C6861">
              <w:rPr>
                <w:szCs w:val="21"/>
              </w:rPr>
              <w:t>劳务</w:t>
            </w:r>
          </w:p>
        </w:tc>
        <w:tc>
          <w:tcPr>
            <w:tcW w:w="1426" w:type="dxa"/>
            <w:vAlign w:val="bottom"/>
          </w:tcPr>
          <w:p w:rsidR="00AB68B6" w:rsidRPr="004C6861" w:rsidRDefault="00AB68B6" w:rsidP="004B4952">
            <w:pPr>
              <w:snapToGrid w:val="0"/>
              <w:jc w:val="right"/>
              <w:rPr>
                <w:szCs w:val="21"/>
              </w:rPr>
            </w:pPr>
            <w:r w:rsidRPr="004C6861">
              <w:rPr>
                <w:szCs w:val="21"/>
              </w:rPr>
              <w:t>208,921,864</w:t>
            </w:r>
          </w:p>
        </w:tc>
        <w:tc>
          <w:tcPr>
            <w:tcW w:w="1427" w:type="dxa"/>
            <w:vAlign w:val="bottom"/>
          </w:tcPr>
          <w:p w:rsidR="00AB68B6" w:rsidRPr="004C6861" w:rsidRDefault="00AB68B6" w:rsidP="004B4952">
            <w:pPr>
              <w:snapToGrid w:val="0"/>
              <w:jc w:val="right"/>
              <w:rPr>
                <w:szCs w:val="21"/>
              </w:rPr>
            </w:pPr>
            <w:r w:rsidRPr="004C6861">
              <w:rPr>
                <w:szCs w:val="21"/>
              </w:rPr>
              <w:t>165,141,823</w:t>
            </w:r>
          </w:p>
        </w:tc>
        <w:tc>
          <w:tcPr>
            <w:tcW w:w="1426" w:type="dxa"/>
            <w:vAlign w:val="bottom"/>
          </w:tcPr>
          <w:p w:rsidR="00AB68B6" w:rsidRPr="004C6861" w:rsidRDefault="00AB68B6" w:rsidP="004B4952">
            <w:pPr>
              <w:snapToGrid w:val="0"/>
              <w:jc w:val="right"/>
              <w:rPr>
                <w:szCs w:val="21"/>
              </w:rPr>
            </w:pPr>
            <w:r w:rsidRPr="004C6861">
              <w:rPr>
                <w:szCs w:val="21"/>
              </w:rPr>
              <w:t>234,413,087</w:t>
            </w:r>
          </w:p>
        </w:tc>
        <w:tc>
          <w:tcPr>
            <w:tcW w:w="1427" w:type="dxa"/>
            <w:vAlign w:val="bottom"/>
          </w:tcPr>
          <w:p w:rsidR="00AB68B6" w:rsidRPr="004C6861" w:rsidRDefault="00AB68B6" w:rsidP="004B4952">
            <w:pPr>
              <w:snapToGrid w:val="0"/>
              <w:jc w:val="right"/>
              <w:rPr>
                <w:szCs w:val="21"/>
              </w:rPr>
            </w:pPr>
            <w:r w:rsidRPr="004C6861">
              <w:rPr>
                <w:szCs w:val="21"/>
              </w:rPr>
              <w:t>186,374,594</w:t>
            </w:r>
          </w:p>
        </w:tc>
      </w:tr>
      <w:tr w:rsidR="00AB68B6" w:rsidRPr="009C2204" w:rsidTr="004B4952">
        <w:trPr>
          <w:trHeight w:val="217"/>
          <w:jc w:val="right"/>
        </w:trPr>
        <w:tc>
          <w:tcPr>
            <w:tcW w:w="3127" w:type="dxa"/>
            <w:vAlign w:val="bottom"/>
          </w:tcPr>
          <w:p w:rsidR="00AB68B6" w:rsidRPr="004C6861" w:rsidRDefault="00AB68B6" w:rsidP="004B4952">
            <w:pPr>
              <w:snapToGrid w:val="0"/>
              <w:rPr>
                <w:szCs w:val="21"/>
              </w:rPr>
            </w:pPr>
            <w:r w:rsidRPr="004C6861">
              <w:rPr>
                <w:szCs w:val="21"/>
              </w:rPr>
              <w:t>其他</w:t>
            </w:r>
          </w:p>
        </w:tc>
        <w:tc>
          <w:tcPr>
            <w:tcW w:w="1426" w:type="dxa"/>
            <w:vAlign w:val="bottom"/>
          </w:tcPr>
          <w:p w:rsidR="00AB68B6" w:rsidRPr="004C6861" w:rsidRDefault="00AB68B6" w:rsidP="004B4952">
            <w:pPr>
              <w:snapToGrid w:val="0"/>
              <w:jc w:val="right"/>
              <w:rPr>
                <w:szCs w:val="21"/>
              </w:rPr>
            </w:pPr>
            <w:r w:rsidRPr="004C6861">
              <w:rPr>
                <w:szCs w:val="21"/>
              </w:rPr>
              <w:t>359,559,137</w:t>
            </w:r>
          </w:p>
        </w:tc>
        <w:tc>
          <w:tcPr>
            <w:tcW w:w="1427" w:type="dxa"/>
            <w:vAlign w:val="bottom"/>
          </w:tcPr>
          <w:p w:rsidR="00AB68B6" w:rsidRPr="004C6861" w:rsidRDefault="00AB68B6" w:rsidP="004B4952">
            <w:pPr>
              <w:snapToGrid w:val="0"/>
              <w:jc w:val="right"/>
              <w:rPr>
                <w:szCs w:val="21"/>
              </w:rPr>
            </w:pPr>
            <w:r w:rsidRPr="004C6861">
              <w:rPr>
                <w:szCs w:val="21"/>
              </w:rPr>
              <w:t>297,032,787</w:t>
            </w:r>
          </w:p>
        </w:tc>
        <w:tc>
          <w:tcPr>
            <w:tcW w:w="1426" w:type="dxa"/>
            <w:vAlign w:val="bottom"/>
          </w:tcPr>
          <w:p w:rsidR="00AB68B6" w:rsidRPr="004C6861" w:rsidRDefault="00AB68B6" w:rsidP="004B4952">
            <w:pPr>
              <w:snapToGrid w:val="0"/>
              <w:jc w:val="right"/>
              <w:rPr>
                <w:szCs w:val="21"/>
              </w:rPr>
            </w:pPr>
            <w:r w:rsidRPr="004C6861">
              <w:rPr>
                <w:szCs w:val="21"/>
              </w:rPr>
              <w:t>345,745,024</w:t>
            </w:r>
          </w:p>
        </w:tc>
        <w:tc>
          <w:tcPr>
            <w:tcW w:w="1427" w:type="dxa"/>
            <w:vAlign w:val="bottom"/>
          </w:tcPr>
          <w:p w:rsidR="00AB68B6" w:rsidRPr="004C6861" w:rsidRDefault="00AB68B6" w:rsidP="004B4952">
            <w:pPr>
              <w:snapToGrid w:val="0"/>
              <w:jc w:val="right"/>
              <w:rPr>
                <w:szCs w:val="21"/>
              </w:rPr>
            </w:pPr>
            <w:r w:rsidRPr="004C6861">
              <w:rPr>
                <w:szCs w:val="21"/>
              </w:rPr>
              <w:t>310,358,632</w:t>
            </w:r>
          </w:p>
        </w:tc>
      </w:tr>
      <w:tr w:rsidR="00AB68B6" w:rsidRPr="009C2204" w:rsidTr="004B4952">
        <w:trPr>
          <w:trHeight w:val="207"/>
          <w:jc w:val="right"/>
        </w:trPr>
        <w:tc>
          <w:tcPr>
            <w:tcW w:w="3127" w:type="dxa"/>
            <w:vAlign w:val="bottom"/>
          </w:tcPr>
          <w:p w:rsidR="00AB68B6" w:rsidRPr="004C6861" w:rsidRDefault="00AB68B6" w:rsidP="004B4952">
            <w:pPr>
              <w:snapToGrid w:val="0"/>
              <w:rPr>
                <w:szCs w:val="21"/>
              </w:rPr>
            </w:pPr>
            <w:r w:rsidRPr="004C6861">
              <w:rPr>
                <w:szCs w:val="21"/>
              </w:rPr>
              <w:t>合计</w:t>
            </w:r>
          </w:p>
        </w:tc>
        <w:tc>
          <w:tcPr>
            <w:tcW w:w="1426" w:type="dxa"/>
            <w:vAlign w:val="bottom"/>
          </w:tcPr>
          <w:p w:rsidR="00AB68B6" w:rsidRPr="004C6861" w:rsidRDefault="00AB68B6" w:rsidP="004B4952">
            <w:pPr>
              <w:snapToGrid w:val="0"/>
              <w:jc w:val="right"/>
              <w:rPr>
                <w:szCs w:val="21"/>
              </w:rPr>
            </w:pPr>
            <w:r w:rsidRPr="004C6861">
              <w:rPr>
                <w:szCs w:val="21"/>
              </w:rPr>
              <w:t>1,625,027,931</w:t>
            </w:r>
          </w:p>
        </w:tc>
        <w:tc>
          <w:tcPr>
            <w:tcW w:w="1427" w:type="dxa"/>
            <w:vAlign w:val="bottom"/>
          </w:tcPr>
          <w:p w:rsidR="00AB68B6" w:rsidRPr="004C6861" w:rsidRDefault="00AB68B6" w:rsidP="004B4952">
            <w:pPr>
              <w:snapToGrid w:val="0"/>
              <w:jc w:val="right"/>
              <w:rPr>
                <w:szCs w:val="21"/>
              </w:rPr>
            </w:pPr>
            <w:r w:rsidRPr="004C6861">
              <w:rPr>
                <w:szCs w:val="21"/>
              </w:rPr>
              <w:t>1,215,885,183</w:t>
            </w:r>
          </w:p>
        </w:tc>
        <w:tc>
          <w:tcPr>
            <w:tcW w:w="1426" w:type="dxa"/>
            <w:vAlign w:val="bottom"/>
          </w:tcPr>
          <w:p w:rsidR="00AB68B6" w:rsidRPr="004C6861" w:rsidRDefault="00AB68B6" w:rsidP="004B4952">
            <w:pPr>
              <w:snapToGrid w:val="0"/>
              <w:jc w:val="right"/>
              <w:rPr>
                <w:szCs w:val="21"/>
              </w:rPr>
            </w:pPr>
            <w:r w:rsidRPr="004C6861">
              <w:rPr>
                <w:szCs w:val="21"/>
              </w:rPr>
              <w:t>1,616,209,115</w:t>
            </w:r>
          </w:p>
        </w:tc>
        <w:tc>
          <w:tcPr>
            <w:tcW w:w="1427" w:type="dxa"/>
            <w:vAlign w:val="bottom"/>
          </w:tcPr>
          <w:p w:rsidR="00AB68B6" w:rsidRPr="004C6861" w:rsidRDefault="00AB68B6" w:rsidP="004B4952">
            <w:pPr>
              <w:snapToGrid w:val="0"/>
              <w:jc w:val="right"/>
              <w:rPr>
                <w:szCs w:val="21"/>
              </w:rPr>
            </w:pPr>
            <w:r w:rsidRPr="004C6861">
              <w:rPr>
                <w:szCs w:val="21"/>
              </w:rPr>
              <w:t>1,292,539,648</w:t>
            </w:r>
          </w:p>
        </w:tc>
      </w:tr>
    </w:tbl>
    <w:p w:rsidR="00AB68B6" w:rsidRDefault="00AB68B6"/>
    <w:bookmarkStart w:id="243" w:name="_Hlk533756233" w:displacedByCustomXml="next"/>
    <w:sdt>
      <w:sdtPr>
        <w:rPr>
          <w:rFonts w:ascii="宋体" w:eastAsia="宋体" w:hAnsi="宋体" w:cs="宋体" w:hint="eastAsia"/>
          <w:b w:val="0"/>
          <w:bCs w:val="0"/>
          <w:kern w:val="0"/>
          <w:szCs w:val="24"/>
        </w:rPr>
        <w:alias w:val="模块:合同产生的收入的情况"/>
        <w:tag w:val="_SEC_020e88e24a604d8684cb34b724e2379b"/>
        <w:id w:val="1939566305"/>
        <w:lock w:val="sdtLocked"/>
        <w:placeholder>
          <w:docPart w:val="GBC22222222222222222222222222222"/>
        </w:placeholder>
      </w:sdtPr>
      <w:sdtEndPr>
        <w:rPr>
          <w:rFonts w:hint="default"/>
        </w:rPr>
      </w:sdtEndPr>
      <w:sdtContent>
        <w:p w:rsidR="00806678" w:rsidRDefault="00B16377" w:rsidP="00FF17C7">
          <w:pPr>
            <w:pStyle w:val="4"/>
            <w:numPr>
              <w:ilvl w:val="0"/>
              <w:numId w:val="119"/>
            </w:numPr>
            <w:ind w:left="426" w:hanging="426"/>
          </w:pPr>
          <w:r>
            <w:rPr>
              <w:rFonts w:hint="eastAsia"/>
            </w:rPr>
            <w:t>合同产生的收入的情况</w:t>
          </w:r>
        </w:p>
        <w:sdt>
          <w:sdtPr>
            <w:rPr>
              <w:rFonts w:ascii="宋体" w:hAnsi="宋体"/>
              <w:szCs w:val="21"/>
            </w:rPr>
            <w:alias w:val="是否适用：合同产生的收入[双击切换]"/>
            <w:tag w:val="_GBC_9ca3964974eb4c71856442f0683fa140"/>
            <w:id w:val="1041626697"/>
            <w:lock w:val="sdtLocked"/>
            <w:placeholder>
              <w:docPart w:val="GBC22222222222222222222222222222"/>
            </w:placeholder>
          </w:sdtPr>
          <w:sdtContent>
            <w:p w:rsidR="00806678" w:rsidRDefault="00F80B6C">
              <w:pPr>
                <w:pStyle w:val="a9"/>
                <w:ind w:firstLineChars="0" w:firstLine="0"/>
                <w:jc w:val="left"/>
                <w:rPr>
                  <w:rFonts w:ascii="宋体" w:hAnsi="宋体"/>
                  <w:szCs w:val="21"/>
                </w:rPr>
              </w:pPr>
              <w:r>
                <w:rPr>
                  <w:rFonts w:ascii="宋体" w:hAnsi="宋体"/>
                  <w:szCs w:val="21"/>
                </w:rPr>
                <w:fldChar w:fldCharType="begin"/>
              </w:r>
              <w:r w:rsidR="009C54D9">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sidR="009C54D9">
                <w:rPr>
                  <w:rFonts w:ascii="宋体" w:hAnsi="宋体"/>
                  <w:szCs w:val="21"/>
                </w:rPr>
                <w:instrText xml:space="preserve"> MACROBUTTON  SnrToggleCheckbox □不适用 </w:instrText>
              </w:r>
              <w:r>
                <w:rPr>
                  <w:rFonts w:ascii="宋体" w:hAnsi="宋体"/>
                  <w:szCs w:val="21"/>
                </w:rPr>
                <w:fldChar w:fldCharType="end"/>
              </w:r>
            </w:p>
          </w:sdtContent>
        </w:sdt>
        <w:p w:rsidR="00806678" w:rsidRDefault="00B16377">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合同产生的收入"/>
              <w:tag w:val="_GBC_712aadfd959247489c16d4246880bfef"/>
              <w:id w:val="-178063579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合同产生的收入"/>
              <w:tag w:val="_GBC_ca9b26593dbf458b829ac632033cd724"/>
              <w:id w:val="28808923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szCs w:val="21"/>
                </w:rPr>
                <w:t>人民币</w:t>
              </w:r>
            </w:sdtContent>
          </w:sdt>
        </w:p>
        <w:tbl>
          <w:tblPr>
            <w:tblW w:w="48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33"/>
            <w:gridCol w:w="3693"/>
          </w:tblGrid>
          <w:tr w:rsidR="006F4B33" w:rsidTr="00222164">
            <w:sdt>
              <w:sdtPr>
                <w:rPr>
                  <w:rFonts w:hint="eastAsia"/>
                  <w:szCs w:val="21"/>
                </w:rPr>
                <w:tag w:val="_PLD_0e9269f20e6e4b7f8a6a8c59b9077225"/>
                <w:id w:val="943960129"/>
                <w:lock w:val="sdtLocked"/>
              </w:sdtPr>
              <w:sdtContent>
                <w:tc>
                  <w:tcPr>
                    <w:tcW w:w="2908" w:type="pct"/>
                    <w:tcBorders>
                      <w:top w:val="single" w:sz="4" w:space="0" w:color="auto"/>
                      <w:left w:val="single" w:sz="4" w:space="0" w:color="auto"/>
                      <w:bottom w:val="single" w:sz="4" w:space="0" w:color="auto"/>
                      <w:right w:val="single" w:sz="4" w:space="0" w:color="auto"/>
                    </w:tcBorders>
                    <w:shd w:val="clear" w:color="auto" w:fill="auto"/>
                  </w:tcPr>
                  <w:p w:rsidR="006F4B33" w:rsidRDefault="006F4B33" w:rsidP="00222164">
                    <w:pPr>
                      <w:jc w:val="center"/>
                      <w:rPr>
                        <w:szCs w:val="21"/>
                      </w:rPr>
                    </w:pPr>
                    <w:r>
                      <w:rPr>
                        <w:rFonts w:hint="eastAsia"/>
                        <w:szCs w:val="21"/>
                      </w:rPr>
                      <w:t>合同分类</w:t>
                    </w:r>
                  </w:p>
                </w:tc>
              </w:sdtContent>
            </w:sdt>
            <w:sdt>
              <w:sdtPr>
                <w:rPr>
                  <w:rFonts w:hint="eastAsia"/>
                  <w:szCs w:val="21"/>
                </w:rPr>
                <w:tag w:val="_PLD_4c617eb15d544d45ba3090cf4fb369da"/>
                <w:id w:val="538096270"/>
                <w:lock w:val="sdtLocked"/>
              </w:sdtPr>
              <w:sdtContent>
                <w:tc>
                  <w:tcPr>
                    <w:tcW w:w="2092" w:type="pct"/>
                    <w:tcBorders>
                      <w:top w:val="single" w:sz="4" w:space="0" w:color="auto"/>
                      <w:left w:val="single" w:sz="4" w:space="0" w:color="auto"/>
                      <w:bottom w:val="single" w:sz="4" w:space="0" w:color="auto"/>
                      <w:right w:val="single" w:sz="4" w:space="0" w:color="auto"/>
                    </w:tcBorders>
                    <w:vAlign w:val="center"/>
                  </w:tcPr>
                  <w:p w:rsidR="006F4B33" w:rsidRDefault="006F4B33" w:rsidP="00222164">
                    <w:pPr>
                      <w:jc w:val="center"/>
                      <w:rPr>
                        <w:color w:val="808080"/>
                        <w:szCs w:val="21"/>
                      </w:rPr>
                    </w:pPr>
                    <w:r>
                      <w:rPr>
                        <w:rFonts w:hint="eastAsia"/>
                        <w:szCs w:val="21"/>
                      </w:rPr>
                      <w:t>合计</w:t>
                    </w:r>
                  </w:p>
                </w:tc>
              </w:sdtContent>
            </w:sdt>
          </w:tr>
          <w:tr w:rsidR="006F4B33" w:rsidTr="00222164">
            <w:sdt>
              <w:sdtPr>
                <w:rPr>
                  <w:rFonts w:hint="eastAsia"/>
                  <w:szCs w:val="21"/>
                </w:rPr>
                <w:alias w:val="分部按商品转让的时间分类明细名称"/>
                <w:tag w:val="_GBC_845ae172b9204419a97e7a8ef5dfc145"/>
                <w:id w:val="1622408083"/>
                <w:lock w:val="sdtLocked"/>
                <w:showingPlcHdr/>
              </w:sdtPr>
              <w:sdtContent>
                <w:tc>
                  <w:tcPr>
                    <w:tcW w:w="2908" w:type="pct"/>
                    <w:tcBorders>
                      <w:top w:val="single" w:sz="4" w:space="0" w:color="auto"/>
                      <w:left w:val="single" w:sz="4" w:space="0" w:color="auto"/>
                      <w:bottom w:val="single" w:sz="4" w:space="0" w:color="auto"/>
                      <w:right w:val="single" w:sz="4" w:space="0" w:color="auto"/>
                    </w:tcBorders>
                    <w:shd w:val="clear" w:color="auto" w:fill="auto"/>
                  </w:tcPr>
                  <w:p w:rsidR="006F4B33" w:rsidRDefault="006F4B33" w:rsidP="00222164">
                    <w:pPr>
                      <w:ind w:firstLineChars="200" w:firstLine="420"/>
                      <w:rPr>
                        <w:szCs w:val="21"/>
                      </w:rPr>
                    </w:pPr>
                    <w:r>
                      <w:rPr>
                        <w:rFonts w:hint="eastAsia"/>
                        <w:szCs w:val="21"/>
                      </w:rPr>
                      <w:t xml:space="preserve">　</w:t>
                    </w:r>
                  </w:p>
                </w:tc>
              </w:sdtContent>
            </w:sdt>
            <w:sdt>
              <w:sdtPr>
                <w:rPr>
                  <w:szCs w:val="21"/>
                </w:rPr>
                <w:alias w:val="按商品转让的时间分类明细合同产生的收入"/>
                <w:tag w:val="_GBC_652ab23a7fe047e2b9d0f12989dadd41"/>
                <w:id w:val="-1512991311"/>
                <w:lock w:val="sdtLocked"/>
              </w:sdtPr>
              <w:sdtContent>
                <w:tc>
                  <w:tcPr>
                    <w:tcW w:w="2092" w:type="pct"/>
                    <w:tcBorders>
                      <w:top w:val="single" w:sz="4" w:space="0" w:color="auto"/>
                      <w:left w:val="single" w:sz="4" w:space="0" w:color="auto"/>
                      <w:bottom w:val="single" w:sz="4" w:space="0" w:color="auto"/>
                      <w:right w:val="single" w:sz="4" w:space="0" w:color="auto"/>
                    </w:tcBorders>
                  </w:tcPr>
                  <w:p w:rsidR="006F4B33" w:rsidRDefault="006F4B33" w:rsidP="006F4854">
                    <w:pPr>
                      <w:jc w:val="center"/>
                      <w:rPr>
                        <w:szCs w:val="21"/>
                      </w:rPr>
                    </w:pPr>
                    <w:r>
                      <w:rPr>
                        <w:rFonts w:hint="eastAsia"/>
                        <w:szCs w:val="21"/>
                      </w:rPr>
                      <w:t>本期发生额</w:t>
                    </w:r>
                  </w:p>
                </w:tc>
              </w:sdtContent>
            </w:sdt>
          </w:tr>
          <w:tr w:rsidR="006F4B33" w:rsidTr="00222164">
            <w:tc>
              <w:tcPr>
                <w:tcW w:w="2908" w:type="pct"/>
                <w:tcBorders>
                  <w:top w:val="single" w:sz="4" w:space="0" w:color="auto"/>
                  <w:left w:val="single" w:sz="4" w:space="0" w:color="auto"/>
                  <w:bottom w:val="single" w:sz="4" w:space="0" w:color="auto"/>
                  <w:right w:val="single" w:sz="4" w:space="0" w:color="auto"/>
                </w:tcBorders>
                <w:shd w:val="clear" w:color="auto" w:fill="auto"/>
              </w:tcPr>
              <w:sdt>
                <w:sdtPr>
                  <w:rPr>
                    <w:rFonts w:hint="eastAsia"/>
                    <w:szCs w:val="21"/>
                  </w:rPr>
                  <w:tag w:val="_PLD_c1c882aee274449b8105b0e9bd7e039f"/>
                  <w:id w:val="-172878636"/>
                  <w:lock w:val="sdtLocked"/>
                </w:sdtPr>
                <w:sdtContent>
                  <w:p w:rsidR="006F4B33" w:rsidRDefault="006F4B33" w:rsidP="00222164">
                    <w:pPr>
                      <w:rPr>
                        <w:szCs w:val="21"/>
                      </w:rPr>
                    </w:pPr>
                    <w:r>
                      <w:rPr>
                        <w:rFonts w:hint="eastAsia"/>
                        <w:szCs w:val="21"/>
                      </w:rPr>
                      <w:t>按商品转让的时间分类</w:t>
                    </w:r>
                  </w:p>
                </w:sdtContent>
              </w:sdt>
            </w:tc>
            <w:sdt>
              <w:sdtPr>
                <w:rPr>
                  <w:szCs w:val="21"/>
                </w:rPr>
                <w:alias w:val="按商品转让的时间分类合同产生的收入"/>
                <w:tag w:val="_GBC_468c4261479d439489e658692f297b7b"/>
                <w:id w:val="1575945030"/>
                <w:lock w:val="sdtLocked"/>
                <w:showingPlcHdr/>
              </w:sdtPr>
              <w:sdtContent>
                <w:tc>
                  <w:tcPr>
                    <w:tcW w:w="2092" w:type="pct"/>
                    <w:tcBorders>
                      <w:top w:val="single" w:sz="4" w:space="0" w:color="auto"/>
                      <w:left w:val="single" w:sz="4" w:space="0" w:color="auto"/>
                      <w:bottom w:val="single" w:sz="4" w:space="0" w:color="auto"/>
                      <w:right w:val="single" w:sz="4" w:space="0" w:color="auto"/>
                    </w:tcBorders>
                  </w:tcPr>
                  <w:p w:rsidR="006F4B33" w:rsidRDefault="006F4B33" w:rsidP="00222164">
                    <w:pPr>
                      <w:jc w:val="right"/>
                      <w:rPr>
                        <w:szCs w:val="21"/>
                      </w:rPr>
                    </w:pPr>
                    <w:r>
                      <w:rPr>
                        <w:rFonts w:hint="eastAsia"/>
                      </w:rPr>
                      <w:t xml:space="preserve">　</w:t>
                    </w:r>
                  </w:p>
                </w:tc>
              </w:sdtContent>
            </w:sdt>
          </w:tr>
          <w:tr w:rsidR="006F4B33" w:rsidTr="00222164">
            <w:sdt>
              <w:sdtPr>
                <w:rPr>
                  <w:rFonts w:hint="eastAsia"/>
                  <w:szCs w:val="21"/>
                </w:rPr>
                <w:alias w:val="分部按商品转让的时间分类明细名称"/>
                <w:tag w:val="_GBC_845ae172b9204419a97e7a8ef5dfc145"/>
                <w:id w:val="2004928768"/>
                <w:lock w:val="sdtLocked"/>
              </w:sdtPr>
              <w:sdtContent>
                <w:tc>
                  <w:tcPr>
                    <w:tcW w:w="2908" w:type="pct"/>
                    <w:tcBorders>
                      <w:top w:val="single" w:sz="4" w:space="0" w:color="auto"/>
                      <w:left w:val="single" w:sz="4" w:space="0" w:color="auto"/>
                      <w:bottom w:val="single" w:sz="4" w:space="0" w:color="auto"/>
                      <w:right w:val="single" w:sz="4" w:space="0" w:color="auto"/>
                    </w:tcBorders>
                    <w:shd w:val="clear" w:color="auto" w:fill="auto"/>
                  </w:tcPr>
                  <w:p w:rsidR="006F4B33" w:rsidRDefault="006F4B33" w:rsidP="00222164">
                    <w:pPr>
                      <w:ind w:firstLineChars="200" w:firstLine="420"/>
                      <w:rPr>
                        <w:szCs w:val="21"/>
                      </w:rPr>
                    </w:pPr>
                    <w:r>
                      <w:rPr>
                        <w:rFonts w:hint="eastAsia"/>
                        <w:szCs w:val="21"/>
                      </w:rPr>
                      <w:t>在某一时点确认收入</w:t>
                    </w:r>
                  </w:p>
                </w:tc>
              </w:sdtContent>
            </w:sdt>
            <w:sdt>
              <w:sdtPr>
                <w:rPr>
                  <w:szCs w:val="21"/>
                </w:rPr>
                <w:alias w:val="按商品转让的时间分类明细合同产生的收入"/>
                <w:tag w:val="_GBC_652ab23a7fe047e2b9d0f12989dadd41"/>
                <w:id w:val="1859394746"/>
                <w:lock w:val="sdtLocked"/>
              </w:sdtPr>
              <w:sdtContent>
                <w:tc>
                  <w:tcPr>
                    <w:tcW w:w="2092" w:type="pct"/>
                    <w:tcBorders>
                      <w:top w:val="single" w:sz="4" w:space="0" w:color="auto"/>
                      <w:left w:val="single" w:sz="4" w:space="0" w:color="auto"/>
                      <w:bottom w:val="single" w:sz="4" w:space="0" w:color="auto"/>
                      <w:right w:val="single" w:sz="4" w:space="0" w:color="auto"/>
                    </w:tcBorders>
                  </w:tcPr>
                  <w:p w:rsidR="006F4B33" w:rsidRDefault="006F4B33" w:rsidP="00222164">
                    <w:pPr>
                      <w:jc w:val="right"/>
                      <w:rPr>
                        <w:szCs w:val="21"/>
                      </w:rPr>
                    </w:pPr>
                    <w:r>
                      <w:rPr>
                        <w:szCs w:val="21"/>
                      </w:rPr>
                      <w:t>558,272,186</w:t>
                    </w:r>
                  </w:p>
                </w:tc>
              </w:sdtContent>
            </w:sdt>
          </w:tr>
          <w:tr w:rsidR="006F4B33" w:rsidTr="00222164">
            <w:sdt>
              <w:sdtPr>
                <w:rPr>
                  <w:rFonts w:hint="eastAsia"/>
                  <w:szCs w:val="21"/>
                </w:rPr>
                <w:alias w:val="分部按商品转让的时间分类明细名称"/>
                <w:tag w:val="_GBC_845ae172b9204419a97e7a8ef5dfc145"/>
                <w:id w:val="-28190010"/>
                <w:lock w:val="sdtLocked"/>
              </w:sdtPr>
              <w:sdtContent>
                <w:tc>
                  <w:tcPr>
                    <w:tcW w:w="2908" w:type="pct"/>
                    <w:tcBorders>
                      <w:top w:val="single" w:sz="4" w:space="0" w:color="auto"/>
                      <w:left w:val="single" w:sz="4" w:space="0" w:color="auto"/>
                      <w:bottom w:val="single" w:sz="4" w:space="0" w:color="auto"/>
                      <w:right w:val="single" w:sz="4" w:space="0" w:color="auto"/>
                    </w:tcBorders>
                    <w:shd w:val="clear" w:color="auto" w:fill="auto"/>
                  </w:tcPr>
                  <w:p w:rsidR="006F4B33" w:rsidRDefault="006F4B33" w:rsidP="00222164">
                    <w:pPr>
                      <w:ind w:firstLineChars="200" w:firstLine="420"/>
                      <w:rPr>
                        <w:szCs w:val="21"/>
                      </w:rPr>
                    </w:pPr>
                    <w:r>
                      <w:rPr>
                        <w:rFonts w:hint="eastAsia"/>
                        <w:szCs w:val="21"/>
                      </w:rPr>
                      <w:t>在某一时段内确认收入</w:t>
                    </w:r>
                  </w:p>
                </w:tc>
              </w:sdtContent>
            </w:sdt>
            <w:sdt>
              <w:sdtPr>
                <w:rPr>
                  <w:szCs w:val="21"/>
                </w:rPr>
                <w:alias w:val="按商品转让的时间分类明细合同产生的收入"/>
                <w:tag w:val="_GBC_652ab23a7fe047e2b9d0f12989dadd41"/>
                <w:id w:val="1039021683"/>
                <w:lock w:val="sdtLocked"/>
              </w:sdtPr>
              <w:sdtContent>
                <w:tc>
                  <w:tcPr>
                    <w:tcW w:w="2092" w:type="pct"/>
                    <w:tcBorders>
                      <w:top w:val="single" w:sz="4" w:space="0" w:color="auto"/>
                      <w:left w:val="single" w:sz="4" w:space="0" w:color="auto"/>
                      <w:bottom w:val="single" w:sz="4" w:space="0" w:color="auto"/>
                      <w:right w:val="single" w:sz="4" w:space="0" w:color="auto"/>
                    </w:tcBorders>
                  </w:tcPr>
                  <w:p w:rsidR="006F4B33" w:rsidRDefault="006F4B33" w:rsidP="00222164">
                    <w:pPr>
                      <w:jc w:val="right"/>
                      <w:rPr>
                        <w:szCs w:val="21"/>
                      </w:rPr>
                    </w:pPr>
                    <w:r>
                      <w:rPr>
                        <w:szCs w:val="21"/>
                      </w:rPr>
                      <w:t>75,061,131,826</w:t>
                    </w:r>
                  </w:p>
                </w:tc>
              </w:sdtContent>
            </w:sdt>
          </w:tr>
          <w:tr w:rsidR="006F4B33" w:rsidTr="00222164">
            <w:tc>
              <w:tcPr>
                <w:tcW w:w="2908" w:type="pct"/>
                <w:tcBorders>
                  <w:top w:val="single" w:sz="4" w:space="0" w:color="auto"/>
                  <w:left w:val="single" w:sz="4" w:space="0" w:color="auto"/>
                  <w:bottom w:val="single" w:sz="4" w:space="0" w:color="auto"/>
                  <w:right w:val="single" w:sz="4" w:space="0" w:color="auto"/>
                </w:tcBorders>
                <w:shd w:val="clear" w:color="auto" w:fill="auto"/>
              </w:tcPr>
              <w:sdt>
                <w:sdtPr>
                  <w:rPr>
                    <w:rFonts w:hint="eastAsia"/>
                    <w:szCs w:val="21"/>
                  </w:rPr>
                  <w:tag w:val="_PLD_fc2447677af74925b8ccfd3b582b0ac5"/>
                  <w:id w:val="1026449806"/>
                  <w:lock w:val="sdtLocked"/>
                </w:sdtPr>
                <w:sdtContent>
                  <w:p w:rsidR="006F4B33" w:rsidRDefault="006F4B33" w:rsidP="00222164">
                    <w:pPr>
                      <w:jc w:val="center"/>
                      <w:rPr>
                        <w:szCs w:val="21"/>
                      </w:rPr>
                    </w:pPr>
                    <w:r>
                      <w:rPr>
                        <w:rFonts w:hint="eastAsia"/>
                        <w:szCs w:val="21"/>
                      </w:rPr>
                      <w:t>合计</w:t>
                    </w:r>
                  </w:p>
                </w:sdtContent>
              </w:sdt>
            </w:tc>
            <w:tc>
              <w:tcPr>
                <w:tcW w:w="2092" w:type="pct"/>
                <w:tcBorders>
                  <w:top w:val="single" w:sz="4" w:space="0" w:color="auto"/>
                  <w:left w:val="single" w:sz="4" w:space="0" w:color="auto"/>
                  <w:bottom w:val="single" w:sz="4" w:space="0" w:color="auto"/>
                  <w:right w:val="single" w:sz="4" w:space="0" w:color="auto"/>
                </w:tcBorders>
              </w:tcPr>
              <w:sdt>
                <w:sdtPr>
                  <w:rPr>
                    <w:szCs w:val="21"/>
                  </w:rPr>
                  <w:alias w:val="合同产生的收入"/>
                  <w:tag w:val="_GBC_f00e97b0cdad4ae6a1991491fb2cf279"/>
                  <w:id w:val="-667472871"/>
                  <w:lock w:val="sdtLocked"/>
                </w:sdtPr>
                <w:sdtContent>
                  <w:p w:rsidR="006F4B33" w:rsidRPr="00120986" w:rsidRDefault="006F4B33" w:rsidP="00222164">
                    <w:pPr>
                      <w:snapToGrid w:val="0"/>
                      <w:jc w:val="right"/>
                    </w:pPr>
                    <w:r w:rsidRPr="001F185D">
                      <w:t>75,619,404,012</w:t>
                    </w:r>
                  </w:p>
                </w:sdtContent>
              </w:sdt>
            </w:tc>
          </w:tr>
        </w:tbl>
        <w:p w:rsidR="001C6BB5" w:rsidRDefault="001C6BB5"/>
        <w:p w:rsidR="00806678" w:rsidRDefault="00B16377">
          <w:r>
            <w:rPr>
              <w:rFonts w:hint="eastAsia"/>
            </w:rPr>
            <w:t>合同产生的收入说明：</w:t>
          </w:r>
        </w:p>
        <w:sdt>
          <w:sdtPr>
            <w:alias w:val="是否适用：合同产生的收入说明[双击切换]"/>
            <w:tag w:val="_GBC_6b1c596da7e54e4dbad540aca212ec14"/>
            <w:id w:val="212779520"/>
            <w:lock w:val="sdtLocked"/>
            <w:placeholder>
              <w:docPart w:val="GBC22222222222222222222222222222"/>
            </w:placeholder>
          </w:sdtPr>
          <w:sdtContent>
            <w:p w:rsidR="00806678" w:rsidRDefault="00F80B6C" w:rsidP="00326FFB">
              <w:r>
                <w:fldChar w:fldCharType="begin"/>
              </w:r>
              <w:r w:rsidR="00326FFB">
                <w:instrText xml:space="preserve"> MACROBUTTON  SnrToggleCheckbox □适用 </w:instrText>
              </w:r>
              <w:r>
                <w:fldChar w:fldCharType="end"/>
              </w:r>
              <w:r>
                <w:fldChar w:fldCharType="begin"/>
              </w:r>
              <w:r w:rsidR="00326FFB">
                <w:instrText xml:space="preserve"> MACROBUTTON  SnrToggleCheckbox √不适用 </w:instrText>
              </w:r>
              <w:r>
                <w:fldChar w:fldCharType="end"/>
              </w:r>
            </w:p>
          </w:sdtContent>
        </w:sdt>
        <w:p w:rsidR="00806678" w:rsidRDefault="00F80B6C"/>
      </w:sdtContent>
    </w:sdt>
    <w:bookmarkEnd w:id="243" w:displacedByCustomXml="prev"/>
    <w:bookmarkStart w:id="244" w:name="_Hlk533670431" w:displacedByCustomXml="next"/>
    <w:sdt>
      <w:sdtPr>
        <w:rPr>
          <w:rFonts w:ascii="宋体" w:eastAsia="宋体" w:hAnsi="宋体" w:cs="宋体" w:hint="eastAsia"/>
          <w:b w:val="0"/>
          <w:bCs w:val="0"/>
          <w:kern w:val="0"/>
          <w:szCs w:val="24"/>
        </w:rPr>
        <w:alias w:val="模块:履约义务的说明"/>
        <w:tag w:val="_SEC_865a1cfefc5c4d048224b9061806c0cd"/>
        <w:id w:val="-1017686665"/>
        <w:lock w:val="sdtLocked"/>
        <w:placeholder>
          <w:docPart w:val="GBC22222222222222222222222222222"/>
        </w:placeholder>
      </w:sdtPr>
      <w:sdtEndPr>
        <w:rPr>
          <w:rFonts w:hint="default"/>
        </w:rPr>
      </w:sdtEndPr>
      <w:sdtContent>
        <w:p w:rsidR="00806678" w:rsidRDefault="00B16377" w:rsidP="00FF17C7">
          <w:pPr>
            <w:pStyle w:val="4"/>
            <w:numPr>
              <w:ilvl w:val="0"/>
              <w:numId w:val="119"/>
            </w:numPr>
            <w:ind w:left="426" w:hanging="426"/>
          </w:pPr>
          <w:r>
            <w:rPr>
              <w:rFonts w:hint="eastAsia"/>
            </w:rPr>
            <w:t>履约义务的说明</w:t>
          </w:r>
        </w:p>
        <w:sdt>
          <w:sdtPr>
            <w:alias w:val="是否适用：履约义务的说明[双击切换]"/>
            <w:tag w:val="_GBC_2bcc2970f5df4fc982ad2497089d8292"/>
            <w:id w:val="-1100791837"/>
            <w:lock w:val="sdtLocked"/>
            <w:placeholder>
              <w:docPart w:val="GBC22222222222222222222222222222"/>
            </w:placeholder>
          </w:sdtPr>
          <w:sdtContent>
            <w:p w:rsidR="00806678" w:rsidRDefault="00F80B6C">
              <w:r>
                <w:fldChar w:fldCharType="begin"/>
              </w:r>
              <w:r w:rsidR="00326FFB">
                <w:instrText xml:space="preserve"> MACROBUTTON  SnrToggleCheckbox □适用 </w:instrText>
              </w:r>
              <w:r>
                <w:fldChar w:fldCharType="end"/>
              </w:r>
              <w:r>
                <w:fldChar w:fldCharType="begin"/>
              </w:r>
              <w:r w:rsidR="00326FFB">
                <w:instrText xml:space="preserve"> MACROBUTTON  SnrToggleCheckbox √不适用 </w:instrText>
              </w:r>
              <w:r>
                <w:fldChar w:fldCharType="end"/>
              </w:r>
            </w:p>
          </w:sdtContent>
        </w:sdt>
      </w:sdtContent>
    </w:sdt>
    <w:bookmarkEnd w:id="244" w:displacedByCustomXml="prev"/>
    <w:bookmarkStart w:id="245" w:name="_Hlk533423938" w:displacedByCustomXml="next"/>
    <w:sdt>
      <w:sdtPr>
        <w:rPr>
          <w:rFonts w:ascii="宋体" w:eastAsia="宋体" w:hAnsi="宋体" w:cs="宋体" w:hint="eastAsia"/>
          <w:b w:val="0"/>
          <w:bCs w:val="0"/>
          <w:kern w:val="0"/>
          <w:szCs w:val="24"/>
        </w:rPr>
        <w:alias w:val="模块:分摊至剩余履约义务的说明"/>
        <w:tag w:val="_SEC_982b67e019e6431a8776b813c56bff19"/>
        <w:id w:val="333200931"/>
        <w:lock w:val="sdtLocked"/>
        <w:placeholder>
          <w:docPart w:val="GBC22222222222222222222222222222"/>
        </w:placeholder>
      </w:sdtPr>
      <w:sdtEndPr>
        <w:rPr>
          <w:rFonts w:ascii="Arial" w:hAnsi="Arial"/>
          <w:szCs w:val="21"/>
        </w:rPr>
      </w:sdtEndPr>
      <w:sdtContent>
        <w:p w:rsidR="00806678" w:rsidRDefault="00B16377" w:rsidP="00FF17C7">
          <w:pPr>
            <w:pStyle w:val="4"/>
            <w:numPr>
              <w:ilvl w:val="0"/>
              <w:numId w:val="119"/>
            </w:numPr>
            <w:ind w:left="426" w:hanging="426"/>
          </w:pPr>
          <w:r>
            <w:rPr>
              <w:rFonts w:hint="eastAsia"/>
            </w:rPr>
            <w:t>分摊至剩余履约义务的说明</w:t>
          </w:r>
        </w:p>
        <w:sdt>
          <w:sdtPr>
            <w:alias w:val="是否适用：分摊至剩余履约义务的说明[双击切换]"/>
            <w:tag w:val="_GBC_67defaacf38a42549a2ed747c0fdb075"/>
            <w:id w:val="-1305074149"/>
            <w:lock w:val="sdtLocked"/>
            <w:placeholder>
              <w:docPart w:val="GBC22222222222222222222222222222"/>
            </w:placeholder>
          </w:sdtPr>
          <w:sdtContent>
            <w:p w:rsidR="00806678" w:rsidRPr="001C6BB5" w:rsidRDefault="00F80B6C">
              <w:pPr>
                <w:rPr>
                  <w:szCs w:val="21"/>
                </w:rPr>
              </w:pPr>
              <w:r>
                <w:fldChar w:fldCharType="begin"/>
              </w:r>
              <w:r w:rsidR="00326FFB">
                <w:instrText xml:space="preserve"> MACROBUTTON  SnrToggleCheckbox □适用 </w:instrText>
              </w:r>
              <w:r>
                <w:fldChar w:fldCharType="end"/>
              </w:r>
              <w:r>
                <w:fldChar w:fldCharType="begin"/>
              </w:r>
              <w:r w:rsidR="00326FFB">
                <w:instrText xml:space="preserve"> MACROBUTTON  SnrToggleCheckbox √不适用 </w:instrText>
              </w:r>
              <w:r>
                <w:fldChar w:fldCharType="end"/>
              </w:r>
            </w:p>
          </w:sdtContent>
        </w:sdt>
      </w:sdtContent>
    </w:sdt>
    <w:bookmarkEnd w:id="245" w:displacedByCustomXml="prev"/>
    <w:bookmarkStart w:id="246" w:name="_Hlk26364697" w:displacedByCustomXml="next"/>
    <w:sdt>
      <w:sdtPr>
        <w:rPr>
          <w:rFonts w:hint="eastAsia"/>
          <w:szCs w:val="21"/>
        </w:rPr>
        <w:alias w:val="模块:营业收入和营业成本的其他说明"/>
        <w:tag w:val="_SEC_bf9c8800b7bc4046a57c9b28cfebe1e9"/>
        <w:id w:val="-1197850911"/>
        <w:lock w:val="sdtLocked"/>
        <w:placeholder>
          <w:docPart w:val="GBC22222222222222222222222222222"/>
        </w:placeholder>
      </w:sdtPr>
      <w:sdtContent>
        <w:p w:rsidR="00806678" w:rsidRDefault="00B16377">
          <w:pPr>
            <w:spacing w:before="60" w:after="60"/>
            <w:rPr>
              <w:szCs w:val="21"/>
            </w:rPr>
          </w:pPr>
          <w:r>
            <w:rPr>
              <w:rFonts w:hint="eastAsia"/>
              <w:szCs w:val="21"/>
            </w:rPr>
            <w:t>其他说明：</w:t>
          </w:r>
        </w:p>
        <w:p w:rsidR="00806678" w:rsidRDefault="00F80B6C">
          <w:pPr>
            <w:rPr>
              <w:szCs w:val="21"/>
            </w:rPr>
          </w:pPr>
          <w:sdt>
            <w:sdtPr>
              <w:rPr>
                <w:szCs w:val="21"/>
              </w:rPr>
              <w:alias w:val="主营业务说明"/>
              <w:tag w:val="_GBC_817222ab73384ad1a188a632c919c846"/>
              <w:id w:val="-698929541"/>
              <w:lock w:val="sdtLocked"/>
              <w:placeholder>
                <w:docPart w:val="GBC22222222222222222222222222222"/>
              </w:placeholder>
            </w:sdtPr>
            <w:sdtContent>
              <w:r w:rsidR="00326FFB">
                <w:rPr>
                  <w:rFonts w:hint="eastAsia"/>
                  <w:szCs w:val="21"/>
                </w:rPr>
                <w:t>无</w:t>
              </w:r>
            </w:sdtContent>
          </w:sdt>
        </w:p>
      </w:sdtContent>
    </w:sdt>
    <w:bookmarkEnd w:id="246" w:displacedByCustomXml="prev"/>
    <w:sdt>
      <w:sdtPr>
        <w:rPr>
          <w:rFonts w:ascii="宋体" w:hAnsi="宋体" w:cs="宋体" w:hint="eastAsia"/>
          <w:b w:val="0"/>
          <w:bCs w:val="0"/>
          <w:kern w:val="0"/>
          <w:szCs w:val="21"/>
        </w:rPr>
        <w:alias w:val="模块:税金及附加"/>
        <w:tag w:val="_SEC_f69e6c0ae3f44fea9945d377a149f8ef"/>
        <w:id w:val="-1226909270"/>
        <w:lock w:val="sdtLocked"/>
        <w:placeholder>
          <w:docPart w:val="GBC22222222222222222222222222222"/>
        </w:placeholder>
      </w:sdtPr>
      <w:sdtEndPr>
        <w:rPr>
          <w:rFonts w:cstheme="minorBidi"/>
          <w:kern w:val="2"/>
        </w:rPr>
      </w:sdtEndPr>
      <w:sdtContent>
        <w:p w:rsidR="00806678" w:rsidRDefault="00B16377" w:rsidP="00FF17C7">
          <w:pPr>
            <w:pStyle w:val="3"/>
            <w:numPr>
              <w:ilvl w:val="0"/>
              <w:numId w:val="18"/>
            </w:numPr>
            <w:tabs>
              <w:tab w:val="left" w:pos="504"/>
            </w:tabs>
            <w:rPr>
              <w:rFonts w:ascii="宋体" w:hAnsi="宋体"/>
              <w:szCs w:val="21"/>
            </w:rPr>
          </w:pPr>
          <w:r>
            <w:rPr>
              <w:rFonts w:ascii="宋体" w:hAnsi="宋体" w:hint="eastAsia"/>
              <w:szCs w:val="21"/>
            </w:rPr>
            <w:t>税金及附加</w:t>
          </w:r>
        </w:p>
        <w:sdt>
          <w:sdtPr>
            <w:alias w:val="是否适用：税金及附加[双击切换]"/>
            <w:tag w:val="_GBC_08eb9cdd2a3940549b0f2b47081f0a3d"/>
            <w:id w:val="-832843070"/>
            <w:lock w:val="sdtLocked"/>
            <w:placeholder>
              <w:docPart w:val="GBC22222222222222222222222222222"/>
            </w:placeholder>
          </w:sdtPr>
          <w:sdtContent>
            <w:p w:rsidR="00806678" w:rsidRDefault="00F80B6C">
              <w:r>
                <w:fldChar w:fldCharType="begin"/>
              </w:r>
              <w:r w:rsidR="00326FFB">
                <w:instrText xml:space="preserve">MACROBUTTON  SnrToggleCheckbox √适用 </w:instrText>
              </w:r>
              <w:r>
                <w:fldChar w:fldCharType="end"/>
              </w:r>
              <w:r>
                <w:fldChar w:fldCharType="begin"/>
              </w:r>
              <w:r w:rsidR="00326FFB">
                <w:instrText xml:space="preserve"> MACROBUTTON  SnrToggleCheckbox □不适用 </w:instrText>
              </w:r>
              <w:r>
                <w:fldChar w:fldCharType="end"/>
              </w:r>
            </w:p>
          </w:sdtContent>
        </w:sdt>
        <w:p w:rsidR="00806678" w:rsidRDefault="00B16377">
          <w:pPr>
            <w:jc w:val="right"/>
            <w:rPr>
              <w:b/>
              <w:szCs w:val="21"/>
            </w:rPr>
          </w:pPr>
          <w:r>
            <w:rPr>
              <w:rFonts w:hint="eastAsia"/>
              <w:szCs w:val="21"/>
            </w:rPr>
            <w:t>单位：</w:t>
          </w:r>
          <w:sdt>
            <w:sdtPr>
              <w:rPr>
                <w:rFonts w:hint="eastAsia"/>
                <w:szCs w:val="21"/>
              </w:rPr>
              <w:alias w:val="单位：财务附注：税金及附加"/>
              <w:tag w:val="_GBC_6e5742d697d44a7dabc4411d4cd3c055"/>
              <w:id w:val="63677116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税金及附加"/>
              <w:tag w:val="_GBC_7ad96346369145ef9c54edaefcc18214"/>
              <w:id w:val="-116600781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13" w:type="dxa"/>
              <w:right w:w="113" w:type="dxa"/>
            </w:tblCellMar>
            <w:tblLook w:val="0000"/>
          </w:tblPr>
          <w:tblGrid>
            <w:gridCol w:w="2909"/>
            <w:gridCol w:w="3075"/>
            <w:gridCol w:w="3075"/>
          </w:tblGrid>
          <w:tr w:rsidR="00806678" w:rsidTr="009757C3">
            <w:sdt>
              <w:sdtPr>
                <w:tag w:val="_PLD_82dcdcc171754a7b940a70d1c7daa5c1"/>
                <w:id w:val="1701513241"/>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806678" w:rsidRDefault="00B16377">
                    <w:pPr>
                      <w:autoSpaceDE w:val="0"/>
                      <w:autoSpaceDN w:val="0"/>
                      <w:adjustRightInd w:val="0"/>
                      <w:snapToGrid w:val="0"/>
                      <w:spacing w:line="240" w:lineRule="atLeast"/>
                      <w:jc w:val="center"/>
                      <w:rPr>
                        <w:szCs w:val="21"/>
                      </w:rPr>
                    </w:pPr>
                    <w:r>
                      <w:rPr>
                        <w:rFonts w:hint="eastAsia"/>
                        <w:szCs w:val="21"/>
                      </w:rPr>
                      <w:t>项目</w:t>
                    </w:r>
                  </w:p>
                </w:tc>
              </w:sdtContent>
            </w:sdt>
            <w:sdt>
              <w:sdtPr>
                <w:tag w:val="_PLD_a015e641f9074bee9ed1ee81511407cc"/>
                <w:id w:val="-486320016"/>
                <w:lock w:val="sdtLocked"/>
              </w:sdtPr>
              <w:sdtContent>
                <w:tc>
                  <w:tcPr>
                    <w:tcW w:w="1697" w:type="pct"/>
                    <w:tcBorders>
                      <w:top w:val="single" w:sz="6" w:space="0" w:color="auto"/>
                      <w:left w:val="single" w:sz="6" w:space="0" w:color="auto"/>
                      <w:bottom w:val="single" w:sz="6" w:space="0" w:color="auto"/>
                      <w:right w:val="single" w:sz="6" w:space="0" w:color="auto"/>
                    </w:tcBorders>
                  </w:tcPr>
                  <w:p w:rsidR="00806678" w:rsidRDefault="00B16377">
                    <w:pPr>
                      <w:jc w:val="center"/>
                      <w:rPr>
                        <w:szCs w:val="21"/>
                      </w:rPr>
                    </w:pPr>
                    <w:r>
                      <w:rPr>
                        <w:rFonts w:hint="eastAsia"/>
                        <w:szCs w:val="21"/>
                      </w:rPr>
                      <w:t>本期发生额</w:t>
                    </w:r>
                  </w:p>
                </w:tc>
              </w:sdtContent>
            </w:sdt>
            <w:sdt>
              <w:sdtPr>
                <w:tag w:val="_PLD_5e944d291c9a4b0aab9f6558226d9112"/>
                <w:id w:val="495541985"/>
                <w:lock w:val="sdtLocked"/>
              </w:sdtPr>
              <w:sdtContent>
                <w:tc>
                  <w:tcPr>
                    <w:tcW w:w="1697" w:type="pct"/>
                    <w:tcBorders>
                      <w:top w:val="single" w:sz="6" w:space="0" w:color="auto"/>
                      <w:left w:val="single" w:sz="6" w:space="0" w:color="auto"/>
                      <w:bottom w:val="single" w:sz="6" w:space="0" w:color="auto"/>
                      <w:right w:val="single" w:sz="6" w:space="0" w:color="auto"/>
                    </w:tcBorders>
                    <w:vAlign w:val="center"/>
                  </w:tcPr>
                  <w:p w:rsidR="00806678" w:rsidRDefault="00B16377">
                    <w:pPr>
                      <w:jc w:val="center"/>
                      <w:rPr>
                        <w:szCs w:val="21"/>
                      </w:rPr>
                    </w:pPr>
                    <w:r>
                      <w:rPr>
                        <w:rFonts w:hint="eastAsia"/>
                        <w:szCs w:val="21"/>
                      </w:rPr>
                      <w:t>上期发生额</w:t>
                    </w:r>
                  </w:p>
                </w:tc>
              </w:sdtContent>
            </w:sdt>
          </w:tr>
          <w:tr w:rsidR="005E5E0B" w:rsidTr="00DB008B">
            <w:tc>
              <w:tcPr>
                <w:tcW w:w="1606" w:type="pct"/>
                <w:tcBorders>
                  <w:top w:val="single" w:sz="6" w:space="0" w:color="auto"/>
                  <w:left w:val="single" w:sz="6" w:space="0" w:color="auto"/>
                  <w:bottom w:val="single" w:sz="6" w:space="0" w:color="auto"/>
                  <w:right w:val="single" w:sz="6" w:space="0" w:color="auto"/>
                </w:tcBorders>
                <w:vAlign w:val="center"/>
              </w:tcPr>
              <w:p w:rsidR="005E5E0B" w:rsidRDefault="005E5E0B" w:rsidP="005E5E0B">
                <w:pPr>
                  <w:autoSpaceDE w:val="0"/>
                  <w:autoSpaceDN w:val="0"/>
                  <w:adjustRightInd w:val="0"/>
                  <w:snapToGrid w:val="0"/>
                  <w:spacing w:line="240" w:lineRule="atLeast"/>
                  <w:rPr>
                    <w:szCs w:val="21"/>
                  </w:rPr>
                </w:pPr>
                <w:r>
                  <w:rPr>
                    <w:rFonts w:hint="eastAsia"/>
                    <w:szCs w:val="21"/>
                  </w:rPr>
                  <w:lastRenderedPageBreak/>
                  <w:t>城市维护建设税</w:t>
                </w:r>
              </w:p>
            </w:tc>
            <w:tc>
              <w:tcPr>
                <w:tcW w:w="1697" w:type="pct"/>
                <w:tcBorders>
                  <w:top w:val="single" w:sz="6" w:space="0" w:color="auto"/>
                  <w:left w:val="single" w:sz="6" w:space="0" w:color="auto"/>
                  <w:bottom w:val="single" w:sz="6" w:space="0" w:color="auto"/>
                  <w:right w:val="single" w:sz="6" w:space="0" w:color="auto"/>
                </w:tcBorders>
                <w:vAlign w:val="center"/>
              </w:tcPr>
              <w:p w:rsidR="005E5E0B" w:rsidRDefault="005E5E0B" w:rsidP="005E5E0B">
                <w:pPr>
                  <w:autoSpaceDE w:val="0"/>
                  <w:autoSpaceDN w:val="0"/>
                  <w:adjustRightInd w:val="0"/>
                  <w:snapToGrid w:val="0"/>
                  <w:spacing w:line="240" w:lineRule="atLeast"/>
                  <w:jc w:val="right"/>
                  <w:rPr>
                    <w:szCs w:val="21"/>
                  </w:rPr>
                </w:pPr>
                <w:r>
                  <w:t>9,306,131</w:t>
                </w:r>
              </w:p>
            </w:tc>
            <w:tc>
              <w:tcPr>
                <w:tcW w:w="1697" w:type="pct"/>
                <w:tcBorders>
                  <w:top w:val="single" w:sz="6" w:space="0" w:color="auto"/>
                  <w:left w:val="single" w:sz="6" w:space="0" w:color="auto"/>
                  <w:bottom w:val="single" w:sz="6" w:space="0" w:color="auto"/>
                  <w:right w:val="single" w:sz="6" w:space="0" w:color="auto"/>
                </w:tcBorders>
                <w:vAlign w:val="center"/>
              </w:tcPr>
              <w:p w:rsidR="005E5E0B" w:rsidRDefault="005E5E0B" w:rsidP="005E5E0B">
                <w:pPr>
                  <w:jc w:val="right"/>
                  <w:rPr>
                    <w:szCs w:val="21"/>
                  </w:rPr>
                </w:pPr>
                <w:r>
                  <w:t>124,515,969</w:t>
                </w:r>
              </w:p>
            </w:tc>
          </w:tr>
          <w:tr w:rsidR="005E5E0B" w:rsidTr="00DB008B">
            <w:tc>
              <w:tcPr>
                <w:tcW w:w="1606" w:type="pct"/>
                <w:tcBorders>
                  <w:top w:val="single" w:sz="6" w:space="0" w:color="auto"/>
                  <w:left w:val="single" w:sz="6" w:space="0" w:color="auto"/>
                  <w:bottom w:val="single" w:sz="6" w:space="0" w:color="auto"/>
                  <w:right w:val="single" w:sz="6" w:space="0" w:color="auto"/>
                </w:tcBorders>
                <w:vAlign w:val="center"/>
              </w:tcPr>
              <w:p w:rsidR="005E5E0B" w:rsidRDefault="005E5E0B" w:rsidP="005E5E0B">
                <w:pPr>
                  <w:autoSpaceDE w:val="0"/>
                  <w:autoSpaceDN w:val="0"/>
                  <w:adjustRightInd w:val="0"/>
                  <w:snapToGrid w:val="0"/>
                  <w:spacing w:line="240" w:lineRule="atLeast"/>
                  <w:rPr>
                    <w:szCs w:val="21"/>
                  </w:rPr>
                </w:pPr>
                <w:r>
                  <w:rPr>
                    <w:rFonts w:hint="eastAsia"/>
                    <w:szCs w:val="21"/>
                  </w:rPr>
                  <w:t>教育费附加</w:t>
                </w:r>
              </w:p>
            </w:tc>
            <w:tc>
              <w:tcPr>
                <w:tcW w:w="1697" w:type="pct"/>
                <w:tcBorders>
                  <w:top w:val="single" w:sz="6" w:space="0" w:color="auto"/>
                  <w:left w:val="single" w:sz="6" w:space="0" w:color="auto"/>
                  <w:bottom w:val="single" w:sz="6" w:space="0" w:color="auto"/>
                  <w:right w:val="single" w:sz="6" w:space="0" w:color="auto"/>
                </w:tcBorders>
                <w:vAlign w:val="center"/>
              </w:tcPr>
              <w:p w:rsidR="005E5E0B" w:rsidRDefault="005E5E0B" w:rsidP="005E5E0B">
                <w:pPr>
                  <w:autoSpaceDE w:val="0"/>
                  <w:autoSpaceDN w:val="0"/>
                  <w:adjustRightInd w:val="0"/>
                  <w:snapToGrid w:val="0"/>
                  <w:spacing w:line="240" w:lineRule="atLeast"/>
                  <w:jc w:val="right"/>
                  <w:rPr>
                    <w:szCs w:val="21"/>
                  </w:rPr>
                </w:pPr>
                <w:r>
                  <w:t>6,848,448</w:t>
                </w:r>
              </w:p>
            </w:tc>
            <w:tc>
              <w:tcPr>
                <w:tcW w:w="1697" w:type="pct"/>
                <w:tcBorders>
                  <w:top w:val="single" w:sz="6" w:space="0" w:color="auto"/>
                  <w:left w:val="single" w:sz="6" w:space="0" w:color="auto"/>
                  <w:bottom w:val="single" w:sz="6" w:space="0" w:color="auto"/>
                  <w:right w:val="single" w:sz="6" w:space="0" w:color="auto"/>
                </w:tcBorders>
                <w:vAlign w:val="center"/>
              </w:tcPr>
              <w:p w:rsidR="005E5E0B" w:rsidRDefault="005E5E0B" w:rsidP="005E5E0B">
                <w:pPr>
                  <w:jc w:val="right"/>
                  <w:rPr>
                    <w:szCs w:val="21"/>
                  </w:rPr>
                </w:pPr>
                <w:r>
                  <w:t>105,909,171</w:t>
                </w:r>
              </w:p>
            </w:tc>
          </w:tr>
          <w:tr w:rsidR="005E5E0B" w:rsidTr="00DB008B">
            <w:tc>
              <w:tcPr>
                <w:tcW w:w="1606" w:type="pct"/>
                <w:tcBorders>
                  <w:top w:val="single" w:sz="6" w:space="0" w:color="auto"/>
                  <w:left w:val="single" w:sz="6" w:space="0" w:color="auto"/>
                  <w:bottom w:val="single" w:sz="6" w:space="0" w:color="auto"/>
                  <w:right w:val="single" w:sz="6" w:space="0" w:color="auto"/>
                </w:tcBorders>
                <w:vAlign w:val="center"/>
              </w:tcPr>
              <w:p w:rsidR="005E5E0B" w:rsidRDefault="005E5E0B" w:rsidP="005E5E0B">
                <w:pPr>
                  <w:autoSpaceDE w:val="0"/>
                  <w:autoSpaceDN w:val="0"/>
                  <w:adjustRightInd w:val="0"/>
                  <w:snapToGrid w:val="0"/>
                  <w:spacing w:line="240" w:lineRule="atLeast"/>
                  <w:rPr>
                    <w:szCs w:val="21"/>
                  </w:rPr>
                </w:pPr>
                <w:r>
                  <w:rPr>
                    <w:rFonts w:hint="eastAsia"/>
                    <w:szCs w:val="21"/>
                  </w:rPr>
                  <w:t>其他</w:t>
                </w:r>
              </w:p>
            </w:tc>
            <w:tc>
              <w:tcPr>
                <w:tcW w:w="1697" w:type="pct"/>
                <w:tcBorders>
                  <w:top w:val="single" w:sz="6" w:space="0" w:color="auto"/>
                  <w:left w:val="single" w:sz="6" w:space="0" w:color="auto"/>
                  <w:bottom w:val="single" w:sz="6" w:space="0" w:color="auto"/>
                  <w:right w:val="single" w:sz="6" w:space="0" w:color="auto"/>
                </w:tcBorders>
                <w:vAlign w:val="center"/>
              </w:tcPr>
              <w:p w:rsidR="005E5E0B" w:rsidRDefault="005E5E0B" w:rsidP="005E5E0B">
                <w:pPr>
                  <w:autoSpaceDE w:val="0"/>
                  <w:autoSpaceDN w:val="0"/>
                  <w:adjustRightInd w:val="0"/>
                  <w:snapToGrid w:val="0"/>
                  <w:spacing w:line="240" w:lineRule="atLeast"/>
                  <w:jc w:val="right"/>
                  <w:rPr>
                    <w:szCs w:val="21"/>
                  </w:rPr>
                </w:pPr>
                <w:r>
                  <w:t>49,310,362</w:t>
                </w:r>
              </w:p>
            </w:tc>
            <w:tc>
              <w:tcPr>
                <w:tcW w:w="1697" w:type="pct"/>
                <w:tcBorders>
                  <w:top w:val="single" w:sz="6" w:space="0" w:color="auto"/>
                  <w:left w:val="single" w:sz="6" w:space="0" w:color="auto"/>
                  <w:bottom w:val="single" w:sz="6" w:space="0" w:color="auto"/>
                  <w:right w:val="single" w:sz="6" w:space="0" w:color="auto"/>
                </w:tcBorders>
                <w:vAlign w:val="center"/>
              </w:tcPr>
              <w:p w:rsidR="005E5E0B" w:rsidRDefault="005E5E0B" w:rsidP="005E5E0B">
                <w:pPr>
                  <w:jc w:val="right"/>
                  <w:rPr>
                    <w:szCs w:val="21"/>
                  </w:rPr>
                </w:pPr>
                <w:r>
                  <w:t>62,208,688</w:t>
                </w:r>
              </w:p>
            </w:tc>
          </w:tr>
          <w:tr w:rsidR="005E5E0B" w:rsidTr="00DB008B">
            <w:tc>
              <w:tcPr>
                <w:tcW w:w="1606" w:type="pct"/>
                <w:tcBorders>
                  <w:top w:val="single" w:sz="6" w:space="0" w:color="auto"/>
                  <w:left w:val="single" w:sz="6" w:space="0" w:color="auto"/>
                  <w:bottom w:val="single" w:sz="6" w:space="0" w:color="auto"/>
                  <w:right w:val="single" w:sz="6" w:space="0" w:color="auto"/>
                </w:tcBorders>
                <w:vAlign w:val="center"/>
              </w:tcPr>
              <w:p w:rsidR="005E5E0B" w:rsidRDefault="005E5E0B" w:rsidP="005E5E0B">
                <w:pPr>
                  <w:autoSpaceDE w:val="0"/>
                  <w:autoSpaceDN w:val="0"/>
                  <w:adjustRightInd w:val="0"/>
                  <w:snapToGrid w:val="0"/>
                  <w:spacing w:line="240" w:lineRule="atLeast"/>
                  <w:jc w:val="center"/>
                  <w:rPr>
                    <w:szCs w:val="21"/>
                  </w:rPr>
                </w:pPr>
                <w:r>
                  <w:rPr>
                    <w:rFonts w:hint="eastAsia"/>
                    <w:szCs w:val="21"/>
                  </w:rPr>
                  <w:t>合计</w:t>
                </w:r>
              </w:p>
            </w:tc>
            <w:tc>
              <w:tcPr>
                <w:tcW w:w="1697" w:type="pct"/>
                <w:tcBorders>
                  <w:top w:val="single" w:sz="6" w:space="0" w:color="auto"/>
                  <w:left w:val="single" w:sz="6" w:space="0" w:color="auto"/>
                  <w:bottom w:val="single" w:sz="6" w:space="0" w:color="auto"/>
                  <w:right w:val="single" w:sz="6" w:space="0" w:color="auto"/>
                </w:tcBorders>
                <w:vAlign w:val="center"/>
              </w:tcPr>
              <w:p w:rsidR="005E5E0B" w:rsidRDefault="005E5E0B" w:rsidP="005E5E0B">
                <w:pPr>
                  <w:autoSpaceDE w:val="0"/>
                  <w:autoSpaceDN w:val="0"/>
                  <w:adjustRightInd w:val="0"/>
                  <w:snapToGrid w:val="0"/>
                  <w:spacing w:line="240" w:lineRule="atLeast"/>
                  <w:jc w:val="right"/>
                  <w:rPr>
                    <w:szCs w:val="21"/>
                  </w:rPr>
                </w:pPr>
                <w:r>
                  <w:t>65,464,941</w:t>
                </w:r>
              </w:p>
            </w:tc>
            <w:tc>
              <w:tcPr>
                <w:tcW w:w="1697" w:type="pct"/>
                <w:tcBorders>
                  <w:top w:val="single" w:sz="6" w:space="0" w:color="auto"/>
                  <w:left w:val="single" w:sz="6" w:space="0" w:color="auto"/>
                  <w:bottom w:val="single" w:sz="6" w:space="0" w:color="auto"/>
                  <w:right w:val="single" w:sz="6" w:space="0" w:color="auto"/>
                </w:tcBorders>
                <w:vAlign w:val="center"/>
              </w:tcPr>
              <w:p w:rsidR="005E5E0B" w:rsidRDefault="005E5E0B" w:rsidP="005E5E0B">
                <w:pPr>
                  <w:jc w:val="right"/>
                  <w:rPr>
                    <w:szCs w:val="21"/>
                  </w:rPr>
                </w:pPr>
                <w:r>
                  <w:t>292,633,828</w:t>
                </w:r>
              </w:p>
            </w:tc>
          </w:tr>
        </w:tbl>
        <w:p w:rsidR="000524EF" w:rsidRDefault="000524EF">
          <w:pPr>
            <w:spacing w:before="60" w:after="60"/>
            <w:rPr>
              <w:szCs w:val="21"/>
            </w:rPr>
          </w:pPr>
        </w:p>
        <w:p w:rsidR="00806678" w:rsidRDefault="00B16377">
          <w:pPr>
            <w:spacing w:before="60" w:after="60"/>
            <w:rPr>
              <w:szCs w:val="21"/>
            </w:rPr>
          </w:pPr>
          <w:r>
            <w:rPr>
              <w:rFonts w:hint="eastAsia"/>
              <w:szCs w:val="21"/>
            </w:rPr>
            <w:t>其他说明：</w:t>
          </w:r>
        </w:p>
        <w:sdt>
          <w:sdtPr>
            <w:rPr>
              <w:rFonts w:hint="eastAsia"/>
              <w:szCs w:val="21"/>
            </w:rPr>
            <w:alias w:val="税金及附加说明"/>
            <w:tag w:val="_GBC_d333a7e7c5ed4b7896c9db975439c1ec"/>
            <w:id w:val="-1441982132"/>
            <w:lock w:val="sdtLocked"/>
            <w:placeholder>
              <w:docPart w:val="GBC22222222222222222222222222222"/>
            </w:placeholder>
          </w:sdtPr>
          <w:sdtContent>
            <w:p w:rsidR="00806678" w:rsidRDefault="00702788">
              <w:pPr>
                <w:rPr>
                  <w:szCs w:val="21"/>
                </w:rPr>
              </w:pPr>
              <w:r>
                <w:rPr>
                  <w:rFonts w:hint="eastAsia"/>
                  <w:szCs w:val="21"/>
                </w:rPr>
                <w:t>无</w:t>
              </w:r>
            </w:p>
          </w:sdtContent>
        </w:sdt>
        <w:p w:rsidR="00806678" w:rsidRDefault="00F80B6C">
          <w:pPr>
            <w:rPr>
              <w:szCs w:val="21"/>
            </w:rPr>
          </w:pPr>
        </w:p>
      </w:sdtContent>
    </w:sdt>
    <w:sdt>
      <w:sdtPr>
        <w:rPr>
          <w:rFonts w:ascii="宋体" w:hAnsi="宋体" w:cs="宋体" w:hint="eastAsia"/>
          <w:b w:val="0"/>
          <w:bCs w:val="0"/>
          <w:kern w:val="0"/>
          <w:szCs w:val="21"/>
        </w:rPr>
        <w:alias w:val="模块:成本费用"/>
        <w:tag w:val="_SEC_5d1ca8a31f664ab6b4c2e40e3350a771"/>
        <w:id w:val="-513540159"/>
        <w:lock w:val="sdtLocked"/>
        <w:placeholder>
          <w:docPart w:val="GBC22222222222222222222222222222"/>
        </w:placeholder>
      </w:sdtPr>
      <w:sdtEndPr>
        <w:rPr>
          <w:rFonts w:cstheme="minorBidi"/>
          <w:kern w:val="2"/>
        </w:rPr>
      </w:sdtEndPr>
      <w:sdtContent>
        <w:p w:rsidR="00806678" w:rsidRDefault="00B16377" w:rsidP="00FF17C7">
          <w:pPr>
            <w:pStyle w:val="3"/>
            <w:numPr>
              <w:ilvl w:val="0"/>
              <w:numId w:val="18"/>
            </w:numPr>
            <w:tabs>
              <w:tab w:val="left" w:pos="504"/>
            </w:tabs>
            <w:rPr>
              <w:rFonts w:ascii="宋体" w:hAnsi="宋体" w:cs="宋体"/>
              <w:bCs w:val="0"/>
              <w:kern w:val="0"/>
              <w:szCs w:val="21"/>
            </w:rPr>
          </w:pPr>
          <w:r>
            <w:rPr>
              <w:rFonts w:ascii="宋体" w:hAnsi="宋体" w:cs="宋体" w:hint="eastAsia"/>
              <w:bCs w:val="0"/>
              <w:kern w:val="0"/>
              <w:szCs w:val="21"/>
            </w:rPr>
            <w:t>销售费用</w:t>
          </w:r>
        </w:p>
        <w:sdt>
          <w:sdtPr>
            <w:alias w:val="是否适用：销售费用[双击切换]"/>
            <w:tag w:val="_GBC_1a0ad35d35924f068ce1b2a2dc02a25f"/>
            <w:id w:val="-1625075675"/>
            <w:lock w:val="sdtLocked"/>
            <w:placeholder>
              <w:docPart w:val="GBC22222222222222222222222222222"/>
            </w:placeholder>
          </w:sdtPr>
          <w:sdtContent>
            <w:p w:rsidR="00806678" w:rsidRDefault="00F80B6C">
              <w:r>
                <w:fldChar w:fldCharType="begin"/>
              </w:r>
              <w:r w:rsidR="00086615">
                <w:instrText xml:space="preserve">MACROBUTTON  SnrToggleCheckbox √适用 </w:instrText>
              </w:r>
              <w:r>
                <w:fldChar w:fldCharType="end"/>
              </w:r>
              <w:r>
                <w:fldChar w:fldCharType="begin"/>
              </w:r>
              <w:r w:rsidR="00086615">
                <w:instrText xml:space="preserve"> MACROBUTTON  SnrToggleCheckbox □不适用 </w:instrText>
              </w:r>
              <w:r>
                <w:fldChar w:fldCharType="end"/>
              </w:r>
            </w:p>
          </w:sdtContent>
        </w:sdt>
        <w:p w:rsidR="00806678" w:rsidRDefault="00B16377">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销售费用"/>
              <w:tag w:val="_GBC_c5a59d97d8a94cda9b9fbd8a93ad19dc"/>
              <w:id w:val="-98678491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销售费用"/>
              <w:tag w:val="_GBC_57a629bddf6343a1aebbefc90d9378b0"/>
              <w:id w:val="-89026850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32"/>
            <w:gridCol w:w="2859"/>
            <w:gridCol w:w="2858"/>
          </w:tblGrid>
          <w:tr w:rsidR="00086615" w:rsidTr="00DB008B">
            <w:sdt>
              <w:sdtPr>
                <w:tag w:val="_PLD_27c4bc503cfe4eafa415de62f182f2c1"/>
                <w:id w:val="-1285879085"/>
                <w:lock w:val="sdtLocked"/>
              </w:sdt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086615" w:rsidRDefault="00086615" w:rsidP="00DB008B">
                    <w:pPr>
                      <w:jc w:val="center"/>
                      <w:rPr>
                        <w:szCs w:val="21"/>
                      </w:rPr>
                    </w:pPr>
                    <w:r>
                      <w:rPr>
                        <w:rFonts w:hint="eastAsia"/>
                        <w:szCs w:val="21"/>
                      </w:rPr>
                      <w:t>项目</w:t>
                    </w:r>
                  </w:p>
                </w:tc>
              </w:sdtContent>
            </w:sdt>
            <w:sdt>
              <w:sdtPr>
                <w:tag w:val="_PLD_105cce5212fb42a182b1fd8e309ba67c"/>
                <w:id w:val="-1941285255"/>
                <w:lock w:val="sdtLocked"/>
              </w:sdt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086615" w:rsidRDefault="00086615" w:rsidP="00DB008B">
                    <w:pPr>
                      <w:jc w:val="center"/>
                      <w:rPr>
                        <w:szCs w:val="21"/>
                      </w:rPr>
                    </w:pPr>
                    <w:r>
                      <w:rPr>
                        <w:rFonts w:hint="eastAsia"/>
                        <w:szCs w:val="21"/>
                      </w:rPr>
                      <w:t>本期发生额</w:t>
                    </w:r>
                  </w:p>
                </w:tc>
              </w:sdtContent>
            </w:sdt>
            <w:sdt>
              <w:sdtPr>
                <w:tag w:val="_PLD_5f148659054c4187a80f7bdffc9e9cde"/>
                <w:id w:val="-962107612"/>
                <w:lock w:val="sdtLocked"/>
              </w:sdt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086615" w:rsidRDefault="00086615" w:rsidP="00DB008B">
                    <w:pPr>
                      <w:jc w:val="center"/>
                      <w:rPr>
                        <w:szCs w:val="21"/>
                      </w:rPr>
                    </w:pPr>
                    <w:r>
                      <w:rPr>
                        <w:rFonts w:hint="eastAsia"/>
                        <w:szCs w:val="21"/>
                      </w:rPr>
                      <w:t>上期发生额</w:t>
                    </w:r>
                  </w:p>
                </w:tc>
              </w:sdtContent>
            </w:sdt>
          </w:tr>
          <w:sdt>
            <w:sdtPr>
              <w:rPr>
                <w:szCs w:val="21"/>
              </w:rPr>
              <w:alias w:val="销售费用明细"/>
              <w:tag w:val="_TUP_db10d8762ce542a4962ce4cb14ddabbc"/>
              <w:id w:val="829553810"/>
              <w:lock w:val="sdtLocked"/>
            </w:sdtPr>
            <w:sdtContent>
              <w:tr w:rsidR="00086615" w:rsidTr="00DB008B">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086615" w:rsidRDefault="00086615" w:rsidP="00DB008B">
                    <w:pPr>
                      <w:rPr>
                        <w:szCs w:val="21"/>
                      </w:rPr>
                    </w:pPr>
                    <w:r>
                      <w:t>人员费用</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086615" w:rsidRDefault="00086615" w:rsidP="00DB008B">
                    <w:pPr>
                      <w:jc w:val="right"/>
                      <w:rPr>
                        <w:szCs w:val="21"/>
                      </w:rPr>
                    </w:pPr>
                    <w:r>
                      <w:t>221,484,128</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086615" w:rsidRDefault="00086615" w:rsidP="00DB008B">
                    <w:pPr>
                      <w:jc w:val="right"/>
                      <w:rPr>
                        <w:szCs w:val="21"/>
                      </w:rPr>
                    </w:pPr>
                    <w:r>
                      <w:t>218,503,427</w:t>
                    </w:r>
                  </w:p>
                </w:tc>
              </w:tr>
            </w:sdtContent>
          </w:sdt>
          <w:sdt>
            <w:sdtPr>
              <w:rPr>
                <w:szCs w:val="21"/>
              </w:rPr>
              <w:alias w:val="销售费用明细"/>
              <w:tag w:val="_TUP_db10d8762ce542a4962ce4cb14ddabbc"/>
              <w:id w:val="-361743411"/>
              <w:lock w:val="sdtLocked"/>
            </w:sdtPr>
            <w:sdtContent>
              <w:tr w:rsidR="00086615" w:rsidTr="00DB008B">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086615" w:rsidRDefault="00086615" w:rsidP="00DB008B">
                    <w:pPr>
                      <w:rPr>
                        <w:szCs w:val="21"/>
                      </w:rPr>
                    </w:pPr>
                    <w:r>
                      <w:t>营销费用</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086615" w:rsidRDefault="00086615" w:rsidP="00DB008B">
                    <w:pPr>
                      <w:jc w:val="right"/>
                      <w:rPr>
                        <w:szCs w:val="21"/>
                      </w:rPr>
                    </w:pPr>
                    <w:r>
                      <w:t>3,154,264</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086615" w:rsidRDefault="00086615" w:rsidP="00DB008B">
                    <w:pPr>
                      <w:jc w:val="right"/>
                      <w:rPr>
                        <w:szCs w:val="21"/>
                      </w:rPr>
                    </w:pPr>
                    <w:r>
                      <w:t>3,977,213</w:t>
                    </w:r>
                  </w:p>
                </w:tc>
              </w:tr>
            </w:sdtContent>
          </w:sdt>
          <w:sdt>
            <w:sdtPr>
              <w:rPr>
                <w:szCs w:val="21"/>
              </w:rPr>
              <w:alias w:val="销售费用明细"/>
              <w:tag w:val="_TUP_db10d8762ce542a4962ce4cb14ddabbc"/>
              <w:id w:val="2023439889"/>
              <w:lock w:val="sdtLocked"/>
            </w:sdtPr>
            <w:sdtContent>
              <w:tr w:rsidR="00086615" w:rsidTr="00DB008B">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086615" w:rsidRDefault="00086615" w:rsidP="00DB008B">
                    <w:pPr>
                      <w:rPr>
                        <w:szCs w:val="21"/>
                      </w:rPr>
                    </w:pPr>
                    <w:r>
                      <w:t>办公及差旅费用</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086615" w:rsidRDefault="00086615" w:rsidP="00DB008B">
                    <w:pPr>
                      <w:jc w:val="right"/>
                      <w:rPr>
                        <w:szCs w:val="21"/>
                      </w:rPr>
                    </w:pPr>
                    <w:r>
                      <w:t>515,072</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086615" w:rsidRDefault="00086615" w:rsidP="00DB008B">
                    <w:pPr>
                      <w:jc w:val="right"/>
                      <w:rPr>
                        <w:szCs w:val="21"/>
                      </w:rPr>
                    </w:pPr>
                    <w:r>
                      <w:t>438,876</w:t>
                    </w:r>
                  </w:p>
                </w:tc>
              </w:tr>
            </w:sdtContent>
          </w:sdt>
          <w:sdt>
            <w:sdtPr>
              <w:rPr>
                <w:szCs w:val="21"/>
              </w:rPr>
              <w:alias w:val="销售费用明细"/>
              <w:tag w:val="_TUP_db10d8762ce542a4962ce4cb14ddabbc"/>
              <w:id w:val="1807345070"/>
              <w:lock w:val="sdtLocked"/>
            </w:sdtPr>
            <w:sdtContent>
              <w:tr w:rsidR="00086615" w:rsidTr="00DB008B">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086615" w:rsidRDefault="00086615" w:rsidP="00DB008B">
                    <w:pPr>
                      <w:rPr>
                        <w:szCs w:val="21"/>
                      </w:rPr>
                    </w:pPr>
                    <w:r>
                      <w:t>其他</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086615" w:rsidRDefault="00086615" w:rsidP="00DB008B">
                    <w:pPr>
                      <w:jc w:val="right"/>
                      <w:rPr>
                        <w:szCs w:val="21"/>
                      </w:rPr>
                    </w:pPr>
                    <w:r>
                      <w:t>1,377,505</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086615" w:rsidRDefault="00086615" w:rsidP="00DB008B">
                    <w:pPr>
                      <w:jc w:val="right"/>
                      <w:rPr>
                        <w:szCs w:val="21"/>
                      </w:rPr>
                    </w:pPr>
                    <w:r>
                      <w:t>1,049,354</w:t>
                    </w:r>
                  </w:p>
                </w:tc>
              </w:tr>
            </w:sdtContent>
          </w:sdt>
          <w:tr w:rsidR="00086615" w:rsidTr="00DB008B">
            <w:sdt>
              <w:sdtPr>
                <w:tag w:val="_PLD_433cd99c4dd241c78fe0542c641fb610"/>
                <w:id w:val="-1604031823"/>
                <w:lock w:val="sdtLocked"/>
              </w:sdt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086615" w:rsidRDefault="00086615" w:rsidP="00086615">
                    <w:pPr>
                      <w:jc w:val="center"/>
                      <w:rPr>
                        <w:szCs w:val="21"/>
                      </w:rPr>
                    </w:pPr>
                    <w:r>
                      <w:rPr>
                        <w:rFonts w:hint="eastAsia"/>
                        <w:szCs w:val="21"/>
                      </w:rPr>
                      <w:t>合计</w:t>
                    </w:r>
                  </w:p>
                </w:tc>
              </w:sdtContent>
            </w:sd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086615" w:rsidRDefault="00086615" w:rsidP="00086615">
                <w:pPr>
                  <w:jc w:val="right"/>
                  <w:rPr>
                    <w:szCs w:val="21"/>
                  </w:rPr>
                </w:pPr>
                <w:r>
                  <w:t>226,530,969</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086615" w:rsidRDefault="00086615" w:rsidP="00086615">
                <w:pPr>
                  <w:jc w:val="right"/>
                  <w:rPr>
                    <w:szCs w:val="21"/>
                  </w:rPr>
                </w:pPr>
                <w:r>
                  <w:t>223,968,870</w:t>
                </w:r>
              </w:p>
            </w:tc>
          </w:tr>
        </w:tbl>
        <w:p w:rsidR="000524EF" w:rsidRDefault="000524EF">
          <w:pPr>
            <w:spacing w:before="60" w:after="60"/>
            <w:rPr>
              <w:szCs w:val="21"/>
            </w:rPr>
          </w:pPr>
        </w:p>
        <w:p w:rsidR="00806678" w:rsidRDefault="00B16377">
          <w:pPr>
            <w:spacing w:before="60" w:after="60"/>
            <w:rPr>
              <w:szCs w:val="21"/>
            </w:rPr>
          </w:pPr>
          <w:r>
            <w:rPr>
              <w:rFonts w:hint="eastAsia"/>
              <w:szCs w:val="21"/>
            </w:rPr>
            <w:t>其他说明：</w:t>
          </w:r>
        </w:p>
        <w:sdt>
          <w:sdtPr>
            <w:rPr>
              <w:szCs w:val="21"/>
            </w:rPr>
            <w:alias w:val="销售费用的其他说明事项"/>
            <w:tag w:val="_GBC_da5acaab2dfe4976b479907a904edb4f"/>
            <w:id w:val="-1766449331"/>
            <w:lock w:val="sdtLocked"/>
            <w:placeholder>
              <w:docPart w:val="GBC22222222222222222222222222222"/>
            </w:placeholder>
          </w:sdtPr>
          <w:sdtContent>
            <w:p w:rsidR="00806678" w:rsidRDefault="00086615">
              <w:pPr>
                <w:rPr>
                  <w:szCs w:val="21"/>
                </w:rPr>
              </w:pPr>
              <w:r>
                <w:rPr>
                  <w:rFonts w:hint="eastAsia"/>
                  <w:szCs w:val="21"/>
                </w:rPr>
                <w:t>无</w:t>
              </w:r>
            </w:p>
          </w:sdtContent>
        </w:sdt>
        <w:p w:rsidR="00806678" w:rsidRDefault="00F80B6C">
          <w:pPr>
            <w:rPr>
              <w:szCs w:val="21"/>
            </w:rPr>
          </w:pPr>
        </w:p>
      </w:sdtContent>
    </w:sdt>
    <w:sdt>
      <w:sdtPr>
        <w:rPr>
          <w:rFonts w:ascii="宋体" w:hAnsi="宋体" w:cs="宋体" w:hint="eastAsia"/>
          <w:b w:val="0"/>
          <w:bCs w:val="0"/>
          <w:kern w:val="0"/>
          <w:szCs w:val="21"/>
        </w:rPr>
        <w:alias w:val="模块:管理费用"/>
        <w:tag w:val="_SEC_7f6cbd459a55483f8da09e1ad1378e98"/>
        <w:id w:val="-1153914214"/>
        <w:lock w:val="sdtLocked"/>
        <w:placeholder>
          <w:docPart w:val="GBC22222222222222222222222222222"/>
        </w:placeholder>
      </w:sdtPr>
      <w:sdtContent>
        <w:p w:rsidR="00806678" w:rsidRDefault="00B16377" w:rsidP="00FF17C7">
          <w:pPr>
            <w:pStyle w:val="3"/>
            <w:numPr>
              <w:ilvl w:val="0"/>
              <w:numId w:val="18"/>
            </w:numPr>
            <w:tabs>
              <w:tab w:val="left" w:pos="504"/>
            </w:tabs>
            <w:rPr>
              <w:szCs w:val="21"/>
            </w:rPr>
          </w:pPr>
          <w:r>
            <w:rPr>
              <w:rFonts w:hint="eastAsia"/>
              <w:szCs w:val="21"/>
            </w:rPr>
            <w:t>管理费用</w:t>
          </w:r>
        </w:p>
        <w:sdt>
          <w:sdtPr>
            <w:alias w:val="是否适用：管理费用[双击切换]"/>
            <w:tag w:val="_GBC_b376fd9abaac4f3b8e5956b8dcd72faf"/>
            <w:id w:val="-435742367"/>
            <w:lock w:val="sdtLocked"/>
            <w:placeholder>
              <w:docPart w:val="GBC22222222222222222222222222222"/>
            </w:placeholder>
          </w:sdtPr>
          <w:sdtContent>
            <w:p w:rsidR="00806678" w:rsidRDefault="00F80B6C">
              <w:r>
                <w:fldChar w:fldCharType="begin"/>
              </w:r>
              <w:r w:rsidR="00066AAE">
                <w:instrText xml:space="preserve">MACROBUTTON  SnrToggleCheckbox √适用 </w:instrText>
              </w:r>
              <w:r>
                <w:fldChar w:fldCharType="end"/>
              </w:r>
              <w:r>
                <w:fldChar w:fldCharType="begin"/>
              </w:r>
              <w:r w:rsidR="00066AAE">
                <w:instrText xml:space="preserve"> MACROBUTTON  SnrToggleCheckbox □不适用 </w:instrText>
              </w:r>
              <w:r>
                <w:fldChar w:fldCharType="end"/>
              </w:r>
            </w:p>
          </w:sdtContent>
        </w:sdt>
        <w:p w:rsidR="00806678" w:rsidRDefault="00B16377">
          <w:pPr>
            <w:jc w:val="right"/>
          </w:pPr>
          <w:r>
            <w:rPr>
              <w:rFonts w:hint="eastAsia"/>
            </w:rPr>
            <w:t>单位：</w:t>
          </w:r>
          <w:sdt>
            <w:sdtPr>
              <w:rPr>
                <w:rFonts w:hint="eastAsia"/>
              </w:rPr>
              <w:alias w:val="单位：管理费用"/>
              <w:tag w:val="_GBC_73606f31bd404afb8bfe5aabe1a68278"/>
              <w:id w:val="-209338288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管理费用"/>
              <w:tag w:val="_GBC_0549259a290d43c39c63d67cdad7f80d"/>
              <w:id w:val="129325329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05"/>
            <w:gridCol w:w="2604"/>
            <w:gridCol w:w="2440"/>
          </w:tblGrid>
          <w:tr w:rsidR="00066AAE" w:rsidTr="00DB008B">
            <w:sdt>
              <w:sdtPr>
                <w:tag w:val="_PLD_588268d9a550441d943c27cfc1105eb0"/>
                <w:id w:val="322015450"/>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tcPr>
                  <w:p w:rsidR="00066AAE" w:rsidRDefault="00066AAE" w:rsidP="00DB008B">
                    <w:pPr>
                      <w:jc w:val="center"/>
                    </w:pPr>
                    <w:r>
                      <w:rPr>
                        <w:rFonts w:hint="eastAsia"/>
                      </w:rPr>
                      <w:t>项目</w:t>
                    </w:r>
                  </w:p>
                </w:tc>
              </w:sdtContent>
            </w:sdt>
            <w:sdt>
              <w:sdtPr>
                <w:tag w:val="_PLD_0e4f4d04bcb2408d8a5744ac90a1f89b"/>
                <w:id w:val="1660805150"/>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066AAE" w:rsidRDefault="00066AAE" w:rsidP="00DB008B">
                    <w:pPr>
                      <w:jc w:val="center"/>
                    </w:pPr>
                    <w:r>
                      <w:rPr>
                        <w:rFonts w:hint="eastAsia"/>
                      </w:rPr>
                      <w:t>本期发生额</w:t>
                    </w:r>
                  </w:p>
                </w:tc>
              </w:sdtContent>
            </w:sdt>
            <w:sdt>
              <w:sdtPr>
                <w:tag w:val="_PLD_6f1ab61237164c0db56540ae1980b62c"/>
                <w:id w:val="1558894043"/>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066AAE" w:rsidRDefault="00066AAE" w:rsidP="00DB008B">
                    <w:pPr>
                      <w:jc w:val="center"/>
                    </w:pPr>
                    <w:r>
                      <w:rPr>
                        <w:rFonts w:hint="eastAsia"/>
                      </w:rPr>
                      <w:t>上期发生额</w:t>
                    </w:r>
                  </w:p>
                </w:tc>
              </w:sdtContent>
            </w:sdt>
          </w:tr>
          <w:sdt>
            <w:sdtPr>
              <w:rPr>
                <w:rFonts w:hint="eastAsia"/>
              </w:rPr>
              <w:alias w:val="管理费用明细"/>
              <w:tag w:val="_TUP_722eb986b9ca44cea4b28d9c73b66176"/>
              <w:id w:val="-1676869046"/>
              <w:lock w:val="sdtLocked"/>
            </w:sdtPr>
            <w:sdtContent>
              <w:tr w:rsidR="00066AAE" w:rsidTr="00DB008B">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066AAE" w:rsidRDefault="00066AAE" w:rsidP="00DB008B">
                    <w:r>
                      <w:t>人员费用</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066AAE" w:rsidRDefault="00066AAE" w:rsidP="00DB008B">
                    <w:pPr>
                      <w:jc w:val="right"/>
                    </w:pPr>
                    <w:r>
                      <w:t>276,062,605</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066AAE" w:rsidRDefault="00066AAE" w:rsidP="00DB008B">
                    <w:pPr>
                      <w:jc w:val="right"/>
                    </w:pPr>
                    <w:r>
                      <w:t>339,732,854</w:t>
                    </w:r>
                  </w:p>
                </w:tc>
              </w:tr>
            </w:sdtContent>
          </w:sdt>
          <w:sdt>
            <w:sdtPr>
              <w:rPr>
                <w:rFonts w:hint="eastAsia"/>
              </w:rPr>
              <w:alias w:val="管理费用明细"/>
              <w:tag w:val="_TUP_722eb986b9ca44cea4b28d9c73b66176"/>
              <w:id w:val="269681593"/>
              <w:lock w:val="sdtLocked"/>
            </w:sdtPr>
            <w:sdtContent>
              <w:tr w:rsidR="00066AAE" w:rsidTr="00DB008B">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066AAE" w:rsidRDefault="00066AAE" w:rsidP="00DB008B">
                    <w:r>
                      <w:t>无形资产摊销</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066AAE" w:rsidRDefault="00066AAE" w:rsidP="00DB008B">
                    <w:pPr>
                      <w:jc w:val="right"/>
                    </w:pPr>
                    <w:r>
                      <w:t>144,792,83</w:t>
                    </w:r>
                    <w:r w:rsidR="004342FA">
                      <w:t>7</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066AAE" w:rsidRDefault="00066AAE" w:rsidP="00DB008B">
                    <w:pPr>
                      <w:jc w:val="right"/>
                    </w:pPr>
                    <w:r>
                      <w:t>143,965,463</w:t>
                    </w:r>
                  </w:p>
                </w:tc>
              </w:tr>
            </w:sdtContent>
          </w:sdt>
          <w:sdt>
            <w:sdtPr>
              <w:rPr>
                <w:rFonts w:hint="eastAsia"/>
              </w:rPr>
              <w:alias w:val="管理费用明细"/>
              <w:tag w:val="_TUP_722eb986b9ca44cea4b28d9c73b66176"/>
              <w:id w:val="384298334"/>
              <w:lock w:val="sdtLocked"/>
            </w:sdtPr>
            <w:sdtContent>
              <w:tr w:rsidR="00066AAE" w:rsidTr="00DB008B">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066AAE" w:rsidRDefault="00066AAE" w:rsidP="00DB008B">
                    <w:r>
                      <w:t>折旧</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066AAE" w:rsidRDefault="00066AAE" w:rsidP="00DB008B">
                    <w:pPr>
                      <w:jc w:val="right"/>
                    </w:pPr>
                    <w:r>
                      <w:t>8,370,507</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066AAE" w:rsidRDefault="00066AAE" w:rsidP="00DB008B">
                    <w:pPr>
                      <w:jc w:val="right"/>
                    </w:pPr>
                    <w:r>
                      <w:t>7,768,555</w:t>
                    </w:r>
                  </w:p>
                </w:tc>
              </w:tr>
            </w:sdtContent>
          </w:sdt>
          <w:sdt>
            <w:sdtPr>
              <w:rPr>
                <w:rFonts w:hint="eastAsia"/>
              </w:rPr>
              <w:alias w:val="管理费用明细"/>
              <w:tag w:val="_TUP_722eb986b9ca44cea4b28d9c73b66176"/>
              <w:id w:val="-1732530592"/>
              <w:lock w:val="sdtLocked"/>
            </w:sdtPr>
            <w:sdtContent>
              <w:tr w:rsidR="00066AAE" w:rsidTr="00DB008B">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066AAE" w:rsidRDefault="00066AAE" w:rsidP="00DB008B">
                    <w:r>
                      <w:t>办公及差旅费用</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066AAE" w:rsidRDefault="00066AAE" w:rsidP="00DB008B">
                    <w:pPr>
                      <w:jc w:val="right"/>
                    </w:pPr>
                    <w:r>
                      <w:t>6,607,183</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066AAE" w:rsidRDefault="00066AAE" w:rsidP="00DB008B">
                    <w:pPr>
                      <w:jc w:val="right"/>
                    </w:pPr>
                    <w:r>
                      <w:t>8,047,653</w:t>
                    </w:r>
                  </w:p>
                </w:tc>
              </w:tr>
            </w:sdtContent>
          </w:sdt>
          <w:sdt>
            <w:sdtPr>
              <w:rPr>
                <w:rFonts w:hint="eastAsia"/>
              </w:rPr>
              <w:alias w:val="管理费用明细"/>
              <w:tag w:val="_TUP_722eb986b9ca44cea4b28d9c73b66176"/>
              <w:id w:val="-104582404"/>
              <w:lock w:val="sdtLocked"/>
            </w:sdtPr>
            <w:sdtContent>
              <w:tr w:rsidR="00066AAE" w:rsidTr="00DB008B">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066AAE" w:rsidRDefault="00066AAE" w:rsidP="00DB008B">
                    <w:r>
                      <w:t>其他</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066AAE" w:rsidRDefault="00066AAE" w:rsidP="00DB008B">
                    <w:pPr>
                      <w:jc w:val="right"/>
                    </w:pPr>
                    <w:r>
                      <w:t>389,905,50</w:t>
                    </w:r>
                    <w:r w:rsidR="004342FA">
                      <w:t>3</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066AAE" w:rsidRDefault="00066AAE" w:rsidP="00DB008B">
                    <w:pPr>
                      <w:jc w:val="right"/>
                    </w:pPr>
                    <w:r>
                      <w:t>277,974,739</w:t>
                    </w:r>
                  </w:p>
                </w:tc>
              </w:tr>
            </w:sdtContent>
          </w:sdt>
          <w:tr w:rsidR="00066AAE" w:rsidTr="00DB008B">
            <w:sdt>
              <w:sdtPr>
                <w:tag w:val="_PLD_baed7858ee4845698b1e1703ad5c4d1f"/>
                <w:id w:val="979581045"/>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066AAE" w:rsidRDefault="00066AAE" w:rsidP="00066AAE">
                    <w:pPr>
                      <w:jc w:val="center"/>
                    </w:pPr>
                    <w:r>
                      <w:rPr>
                        <w:rFonts w:hint="eastAsia"/>
                      </w:rPr>
                      <w:t>合计</w:t>
                    </w:r>
                  </w:p>
                </w:tc>
              </w:sdtContent>
            </w:sdt>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066AAE" w:rsidRDefault="00066AAE" w:rsidP="00066AAE">
                <w:pPr>
                  <w:jc w:val="right"/>
                </w:pPr>
                <w:r>
                  <w:t>825,738,635</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066AAE" w:rsidRDefault="00066AAE" w:rsidP="00066AAE">
                <w:pPr>
                  <w:jc w:val="right"/>
                </w:pPr>
                <w:r>
                  <w:t>777,489,264</w:t>
                </w:r>
              </w:p>
            </w:tc>
          </w:tr>
        </w:tbl>
        <w:p w:rsidR="00DA4D34" w:rsidRDefault="00DA4D34">
          <w:pPr>
            <w:rPr>
              <w:szCs w:val="21"/>
            </w:rPr>
          </w:pPr>
        </w:p>
        <w:p w:rsidR="00806678" w:rsidRDefault="00B16377">
          <w:pPr>
            <w:rPr>
              <w:szCs w:val="21"/>
            </w:rPr>
          </w:pPr>
          <w:r>
            <w:rPr>
              <w:rFonts w:hint="eastAsia"/>
              <w:szCs w:val="21"/>
            </w:rPr>
            <w:t>其他说明：</w:t>
          </w:r>
        </w:p>
        <w:sdt>
          <w:sdtPr>
            <w:rPr>
              <w:szCs w:val="21"/>
            </w:rPr>
            <w:alias w:val="管理费用的其他说明事项"/>
            <w:tag w:val="_GBC_9b151103b3714e6c9261d3362f24bd0a"/>
            <w:id w:val="1155881567"/>
            <w:lock w:val="sdtLocked"/>
            <w:placeholder>
              <w:docPart w:val="GBC22222222222222222222222222222"/>
            </w:placeholder>
          </w:sdtPr>
          <w:sdtContent>
            <w:p w:rsidR="00806678" w:rsidRDefault="00517B16">
              <w:pPr>
                <w:rPr>
                  <w:szCs w:val="21"/>
                </w:rPr>
              </w:pPr>
              <w:r>
                <w:rPr>
                  <w:rFonts w:hint="eastAsia"/>
                  <w:szCs w:val="21"/>
                </w:rPr>
                <w:t>无</w:t>
              </w:r>
            </w:p>
          </w:sdtContent>
        </w:sdt>
        <w:p w:rsidR="00806678" w:rsidRDefault="00F80B6C">
          <w:pPr>
            <w:rPr>
              <w:szCs w:val="21"/>
            </w:rPr>
          </w:pPr>
        </w:p>
      </w:sdtContent>
    </w:sdt>
    <w:bookmarkStart w:id="247" w:name="_Hlk532912714" w:displacedByCustomXml="next"/>
    <w:sdt>
      <w:sdtPr>
        <w:rPr>
          <w:rFonts w:ascii="宋体" w:hAnsi="宋体" w:cs="宋体" w:hint="eastAsia"/>
          <w:b w:val="0"/>
          <w:bCs w:val="0"/>
          <w:kern w:val="0"/>
          <w:szCs w:val="21"/>
        </w:rPr>
        <w:alias w:val="模块:研发费用"/>
        <w:tag w:val="_SEC_82bf03b829d641c299349e9d5db687f0"/>
        <w:id w:val="-213114663"/>
        <w:lock w:val="sdtLocked"/>
        <w:placeholder>
          <w:docPart w:val="GBC22222222222222222222222222222"/>
        </w:placeholder>
      </w:sdtPr>
      <w:sdtEndPr>
        <w:rPr>
          <w:rFonts w:hint="default"/>
          <w:szCs w:val="24"/>
        </w:rPr>
      </w:sdtEndPr>
      <w:sdtContent>
        <w:p w:rsidR="00806678" w:rsidRDefault="00B16377" w:rsidP="00FF17C7">
          <w:pPr>
            <w:pStyle w:val="3"/>
            <w:numPr>
              <w:ilvl w:val="0"/>
              <w:numId w:val="18"/>
            </w:numPr>
            <w:tabs>
              <w:tab w:val="left" w:pos="504"/>
            </w:tabs>
            <w:rPr>
              <w:szCs w:val="21"/>
            </w:rPr>
          </w:pPr>
          <w:r>
            <w:rPr>
              <w:rFonts w:hint="eastAsia"/>
              <w:szCs w:val="21"/>
            </w:rPr>
            <w:t>研发费用</w:t>
          </w:r>
        </w:p>
        <w:sdt>
          <w:sdtPr>
            <w:rPr>
              <w:szCs w:val="21"/>
            </w:rPr>
            <w:alias w:val="是否适用：研发费用[双击切换]"/>
            <w:tag w:val="_GBC_447085648bd3455aade2b93965762fb7"/>
            <w:id w:val="1376120347"/>
            <w:lock w:val="sdtLocked"/>
            <w:placeholder>
              <w:docPart w:val="GBC22222222222222222222222222222"/>
            </w:placeholder>
          </w:sdtPr>
          <w:sdtContent>
            <w:p w:rsidR="00517B16" w:rsidRDefault="00F80B6C" w:rsidP="00517B16">
              <w:r>
                <w:rPr>
                  <w:szCs w:val="21"/>
                </w:rPr>
                <w:fldChar w:fldCharType="begin"/>
              </w:r>
              <w:r w:rsidR="00517B16">
                <w:rPr>
                  <w:szCs w:val="21"/>
                </w:rPr>
                <w:instrText xml:space="preserve"> MACROBUTTON  SnrToggleCheckbox □适用 </w:instrText>
              </w:r>
              <w:r>
                <w:rPr>
                  <w:szCs w:val="21"/>
                </w:rPr>
                <w:fldChar w:fldCharType="end"/>
              </w:r>
              <w:r>
                <w:rPr>
                  <w:szCs w:val="21"/>
                </w:rPr>
                <w:fldChar w:fldCharType="begin"/>
              </w:r>
              <w:r w:rsidR="00517B16">
                <w:rPr>
                  <w:szCs w:val="21"/>
                </w:rPr>
                <w:instrText xml:space="preserve"> MACROBUTTON  SnrToggleCheckbox √不适用 </w:instrText>
              </w:r>
              <w:r>
                <w:rPr>
                  <w:szCs w:val="21"/>
                </w:rPr>
                <w:fldChar w:fldCharType="end"/>
              </w:r>
            </w:p>
          </w:sdtContent>
        </w:sdt>
        <w:p w:rsidR="00806678" w:rsidRDefault="00F80B6C"/>
      </w:sdtContent>
    </w:sdt>
    <w:bookmarkEnd w:id="247" w:displacedByCustomXml="prev"/>
    <w:sdt>
      <w:sdtPr>
        <w:rPr>
          <w:rFonts w:ascii="宋体" w:hAnsi="宋体" w:cs="宋体" w:hint="eastAsia"/>
          <w:b w:val="0"/>
          <w:bCs w:val="0"/>
          <w:kern w:val="0"/>
          <w:szCs w:val="21"/>
        </w:rPr>
        <w:alias w:val="模块:财务费用"/>
        <w:tag w:val="_SEC_e64e0ff353b940238889b35d13a33128"/>
        <w:id w:val="859163563"/>
        <w:lock w:val="sdtLocked"/>
        <w:placeholder>
          <w:docPart w:val="GBC22222222222222222222222222222"/>
        </w:placeholder>
      </w:sdtPr>
      <w:sdtContent>
        <w:p w:rsidR="00806678" w:rsidRDefault="00B16377" w:rsidP="00FF17C7">
          <w:pPr>
            <w:pStyle w:val="3"/>
            <w:numPr>
              <w:ilvl w:val="0"/>
              <w:numId w:val="18"/>
            </w:numPr>
            <w:tabs>
              <w:tab w:val="left" w:pos="504"/>
            </w:tabs>
            <w:rPr>
              <w:szCs w:val="21"/>
            </w:rPr>
          </w:pPr>
          <w:r>
            <w:rPr>
              <w:rFonts w:hint="eastAsia"/>
              <w:szCs w:val="21"/>
            </w:rPr>
            <w:t>财务费用</w:t>
          </w:r>
        </w:p>
        <w:sdt>
          <w:sdtPr>
            <w:alias w:val="是否适用：财务费用[双击切换]"/>
            <w:tag w:val="_GBC_7e467c6faebc402ab141f588df31680d"/>
            <w:id w:val="1986894563"/>
            <w:lock w:val="sdtLocked"/>
            <w:placeholder>
              <w:docPart w:val="GBC22222222222222222222222222222"/>
            </w:placeholder>
          </w:sdtPr>
          <w:sdtContent>
            <w:p w:rsidR="00806678" w:rsidRDefault="00F80B6C">
              <w:r>
                <w:fldChar w:fldCharType="begin"/>
              </w:r>
              <w:r w:rsidR="00517B16">
                <w:instrText xml:space="preserve">MACROBUTTON  SnrToggleCheckbox √适用 </w:instrText>
              </w:r>
              <w:r>
                <w:fldChar w:fldCharType="end"/>
              </w:r>
              <w:r>
                <w:fldChar w:fldCharType="begin"/>
              </w:r>
              <w:r w:rsidR="00517B16">
                <w:instrText xml:space="preserve"> MACROBUTTON  SnrToggleCheckbox □不适用 </w:instrText>
              </w:r>
              <w:r>
                <w:fldChar w:fldCharType="end"/>
              </w:r>
            </w:p>
          </w:sdtContent>
        </w:sdt>
        <w:p w:rsidR="00806678" w:rsidRDefault="00B16377">
          <w:pPr>
            <w:jc w:val="right"/>
          </w:pPr>
          <w:r>
            <w:rPr>
              <w:rFonts w:hint="eastAsia"/>
            </w:rPr>
            <w:t>单位：</w:t>
          </w:r>
          <w:sdt>
            <w:sdtPr>
              <w:rPr>
                <w:rFonts w:hint="eastAsia"/>
              </w:rPr>
              <w:alias w:val="单位：财务费用"/>
              <w:tag w:val="_GBC_adcf988d29cd43aba011ce1310eac264"/>
              <w:id w:val="190903263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费用"/>
              <w:tag w:val="_GBC_f6066e571d54449daf358ae3037f9712"/>
              <w:id w:val="59598173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05"/>
            <w:gridCol w:w="2604"/>
            <w:gridCol w:w="2440"/>
          </w:tblGrid>
          <w:tr w:rsidR="00517B16" w:rsidTr="00DB008B">
            <w:sdt>
              <w:sdtPr>
                <w:tag w:val="_PLD_49977e87dd3f474489b24bbaed00293d"/>
                <w:id w:val="-190078117"/>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tcPr>
                  <w:p w:rsidR="00517B16" w:rsidRDefault="00517B16" w:rsidP="00DB008B">
                    <w:pPr>
                      <w:jc w:val="center"/>
                    </w:pPr>
                    <w:r>
                      <w:rPr>
                        <w:rFonts w:hint="eastAsia"/>
                      </w:rPr>
                      <w:t>项目</w:t>
                    </w:r>
                  </w:p>
                </w:tc>
              </w:sdtContent>
            </w:sdt>
            <w:sdt>
              <w:sdtPr>
                <w:tag w:val="_PLD_f64aa2e290ce4904a39347c56117acb7"/>
                <w:id w:val="998228525"/>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517B16" w:rsidRDefault="00517B16" w:rsidP="00DB008B">
                    <w:pPr>
                      <w:jc w:val="center"/>
                    </w:pPr>
                    <w:r>
                      <w:rPr>
                        <w:rFonts w:hint="eastAsia"/>
                      </w:rPr>
                      <w:t>本期发生额</w:t>
                    </w:r>
                  </w:p>
                </w:tc>
              </w:sdtContent>
            </w:sdt>
            <w:sdt>
              <w:sdtPr>
                <w:tag w:val="_PLD_178c78585f7e495ebd86923cb8c24338"/>
                <w:id w:val="-1739397094"/>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517B16" w:rsidRDefault="00517B16" w:rsidP="00DB008B">
                    <w:pPr>
                      <w:jc w:val="center"/>
                    </w:pPr>
                    <w:r>
                      <w:rPr>
                        <w:rFonts w:hint="eastAsia"/>
                      </w:rPr>
                      <w:t>上期发生额</w:t>
                    </w:r>
                  </w:p>
                </w:tc>
              </w:sdtContent>
            </w:sdt>
          </w:tr>
          <w:sdt>
            <w:sdtPr>
              <w:rPr>
                <w:rFonts w:hint="eastAsia"/>
              </w:rPr>
              <w:alias w:val="财务费用明细"/>
              <w:tag w:val="_TUP_532e2d560b3e474f82bbcbba74b0e810"/>
              <w:id w:val="-1586916352"/>
              <w:lock w:val="sdtLocked"/>
            </w:sdtPr>
            <w:sdtContent>
              <w:tr w:rsidR="00517B16" w:rsidTr="00DB008B">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517B16" w:rsidRDefault="00517B16" w:rsidP="00DB008B">
                    <w:r>
                      <w:t>贷款及应付款项的利息支出</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517B16" w:rsidRDefault="00517B16" w:rsidP="00DB008B">
                    <w:pPr>
                      <w:jc w:val="right"/>
                    </w:pPr>
                    <w:r>
                      <w:t>1,350,944,850</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517B16" w:rsidRDefault="00517B16" w:rsidP="00DB008B">
                    <w:pPr>
                      <w:jc w:val="right"/>
                    </w:pPr>
                    <w:r>
                      <w:t>1,568,538,538</w:t>
                    </w:r>
                  </w:p>
                </w:tc>
              </w:tr>
            </w:sdtContent>
          </w:sdt>
          <w:sdt>
            <w:sdtPr>
              <w:rPr>
                <w:rFonts w:hint="eastAsia"/>
              </w:rPr>
              <w:alias w:val="财务费用明细"/>
              <w:tag w:val="_TUP_532e2d560b3e474f82bbcbba74b0e810"/>
              <w:id w:val="534858045"/>
              <w:lock w:val="sdtLocked"/>
            </w:sdtPr>
            <w:sdtContent>
              <w:tr w:rsidR="00517B16" w:rsidTr="00DB008B">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517B16" w:rsidRDefault="00517B16" w:rsidP="00DB008B">
                    <w:r>
                      <w:t>存款及应收款项的利息收入</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517B16" w:rsidRDefault="00517B16" w:rsidP="00DB008B">
                    <w:pPr>
                      <w:jc w:val="right"/>
                    </w:pPr>
                    <w:r>
                      <w:t>-1,271,229,980</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517B16" w:rsidRDefault="00517B16" w:rsidP="00DB008B">
                    <w:pPr>
                      <w:jc w:val="right"/>
                    </w:pPr>
                    <w:r>
                      <w:t>-1,307,105,361</w:t>
                    </w:r>
                  </w:p>
                </w:tc>
              </w:tr>
            </w:sdtContent>
          </w:sdt>
          <w:sdt>
            <w:sdtPr>
              <w:rPr>
                <w:rFonts w:hint="eastAsia"/>
              </w:rPr>
              <w:alias w:val="财务费用明细"/>
              <w:tag w:val="_TUP_532e2d560b3e474f82bbcbba74b0e810"/>
              <w:id w:val="272754773"/>
              <w:lock w:val="sdtLocked"/>
            </w:sdtPr>
            <w:sdtContent>
              <w:tr w:rsidR="00517B16" w:rsidTr="00DB008B">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517B16" w:rsidRDefault="00517B16" w:rsidP="00DB008B">
                    <w:r>
                      <w:t>补充退休福利折现利息摊销</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517B16" w:rsidRDefault="00517B16" w:rsidP="00DB008B">
                    <w:pPr>
                      <w:jc w:val="right"/>
                    </w:pPr>
                    <w:r>
                      <w:t>67,439,768</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517B16" w:rsidRDefault="00517B16" w:rsidP="00DB008B">
                    <w:pPr>
                      <w:jc w:val="right"/>
                    </w:pPr>
                    <w:r>
                      <w:t>72,611,848</w:t>
                    </w:r>
                  </w:p>
                </w:tc>
              </w:tr>
            </w:sdtContent>
          </w:sdt>
          <w:sdt>
            <w:sdtPr>
              <w:rPr>
                <w:rFonts w:hint="eastAsia"/>
              </w:rPr>
              <w:alias w:val="财务费用明细"/>
              <w:tag w:val="_TUP_532e2d560b3e474f82bbcbba74b0e810"/>
              <w:id w:val="-2085978252"/>
              <w:lock w:val="sdtLocked"/>
            </w:sdtPr>
            <w:sdtContent>
              <w:tr w:rsidR="00517B16" w:rsidTr="00DB008B">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517B16" w:rsidRDefault="00517B16" w:rsidP="00DB008B">
                    <w:r>
                      <w:t>其他财务费用</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517B16" w:rsidRDefault="00517B16" w:rsidP="00DB008B">
                    <w:pPr>
                      <w:jc w:val="right"/>
                    </w:pPr>
                    <w:r>
                      <w:t>7,375,171</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517B16" w:rsidRDefault="00517B16" w:rsidP="00DB008B">
                    <w:pPr>
                      <w:jc w:val="right"/>
                    </w:pPr>
                    <w:r>
                      <w:t>4,406,893</w:t>
                    </w:r>
                  </w:p>
                </w:tc>
              </w:tr>
            </w:sdtContent>
          </w:sdt>
          <w:tr w:rsidR="00517B16" w:rsidTr="00DB008B">
            <w:sdt>
              <w:sdtPr>
                <w:tag w:val="_PLD_65dda636e4a845d7a035b74881476be3"/>
                <w:id w:val="1715163349"/>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517B16" w:rsidRDefault="00517B16" w:rsidP="00517B16">
                    <w:pPr>
                      <w:jc w:val="center"/>
                    </w:pPr>
                    <w:r>
                      <w:rPr>
                        <w:rFonts w:hint="eastAsia"/>
                      </w:rPr>
                      <w:t>合计</w:t>
                    </w:r>
                  </w:p>
                </w:tc>
              </w:sdtContent>
            </w:sdt>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517B16" w:rsidRDefault="00517B16" w:rsidP="00517B16">
                <w:pPr>
                  <w:jc w:val="right"/>
                </w:pPr>
                <w:r>
                  <w:t>154,529,809</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517B16" w:rsidRDefault="00517B16" w:rsidP="00517B16">
                <w:pPr>
                  <w:jc w:val="right"/>
                </w:pPr>
                <w:r>
                  <w:t>338,451,918</w:t>
                </w:r>
              </w:p>
            </w:tc>
          </w:tr>
        </w:tbl>
        <w:p w:rsidR="001C6BB5" w:rsidRDefault="001C6BB5">
          <w:pPr>
            <w:rPr>
              <w:szCs w:val="21"/>
            </w:rPr>
          </w:pPr>
        </w:p>
        <w:p w:rsidR="00806678" w:rsidRDefault="00B16377">
          <w:pPr>
            <w:rPr>
              <w:szCs w:val="21"/>
            </w:rPr>
          </w:pPr>
          <w:r>
            <w:rPr>
              <w:rFonts w:hint="eastAsia"/>
              <w:szCs w:val="21"/>
            </w:rPr>
            <w:t>其他说明：</w:t>
          </w:r>
        </w:p>
        <w:sdt>
          <w:sdtPr>
            <w:rPr>
              <w:szCs w:val="21"/>
            </w:rPr>
            <w:alias w:val="财务费用的其他说明事项"/>
            <w:tag w:val="_GBC_ac6200ee95c7483d9ee9565f49369f9a"/>
            <w:id w:val="-1114128401"/>
            <w:lock w:val="sdtLocked"/>
            <w:placeholder>
              <w:docPart w:val="GBC22222222222222222222222222222"/>
            </w:placeholder>
          </w:sdtPr>
          <w:sdtContent>
            <w:p w:rsidR="00806678" w:rsidRPr="006C74D1" w:rsidRDefault="006C74D1">
              <w:pPr>
                <w:rPr>
                  <w:szCs w:val="21"/>
                </w:rPr>
              </w:pPr>
              <w:r>
                <w:rPr>
                  <w:rFonts w:hint="eastAsia"/>
                  <w:szCs w:val="21"/>
                </w:rPr>
                <w:t>无</w:t>
              </w:r>
            </w:p>
          </w:sdtContent>
        </w:sdt>
      </w:sdtContent>
    </w:sdt>
    <w:sdt>
      <w:sdtPr>
        <w:rPr>
          <w:rFonts w:ascii="宋体" w:hAnsi="宋体" w:cs="宋体" w:hint="eastAsia"/>
          <w:b w:val="0"/>
          <w:bCs w:val="0"/>
          <w:kern w:val="0"/>
          <w:szCs w:val="24"/>
        </w:rPr>
        <w:alias w:val="模块:其他收益"/>
        <w:tag w:val="_SEC_e9bc7b10fbe24a58a2a8e3ac1ff96a97"/>
        <w:id w:val="-1413385626"/>
        <w:lock w:val="sdtLocked"/>
        <w:placeholder>
          <w:docPart w:val="GBC22222222222222222222222222222"/>
        </w:placeholder>
      </w:sdtPr>
      <w:sdtEndPr>
        <w:rPr>
          <w:rFonts w:hint="default"/>
        </w:rPr>
      </w:sdtEndPr>
      <w:sdtContent>
        <w:p w:rsidR="00806678" w:rsidRDefault="00B16377" w:rsidP="00FF17C7">
          <w:pPr>
            <w:pStyle w:val="3"/>
            <w:numPr>
              <w:ilvl w:val="0"/>
              <w:numId w:val="18"/>
            </w:numPr>
            <w:tabs>
              <w:tab w:val="left" w:pos="504"/>
            </w:tabs>
          </w:pPr>
          <w:r>
            <w:rPr>
              <w:rFonts w:hint="eastAsia"/>
            </w:rPr>
            <w:t>其他收益</w:t>
          </w:r>
        </w:p>
        <w:sdt>
          <w:sdtPr>
            <w:rPr>
              <w:bCs/>
            </w:rPr>
            <w:alias w:val="是否适用：财务报表其他收益[双击切换]"/>
            <w:tag w:val="_GBC_24722ffac3b6474db1e1d7972d6e4a7b"/>
            <w:id w:val="-632946794"/>
            <w:lock w:val="sdtLocked"/>
            <w:placeholder>
              <w:docPart w:val="GBC22222222222222222222222222222"/>
            </w:placeholder>
          </w:sdtPr>
          <w:sdtContent>
            <w:p w:rsidR="00806678" w:rsidRDefault="00F80B6C">
              <w:pPr>
                <w:rPr>
                  <w:bCs/>
                </w:rPr>
              </w:pPr>
              <w:r>
                <w:rPr>
                  <w:bCs/>
                </w:rPr>
                <w:fldChar w:fldCharType="begin"/>
              </w:r>
              <w:r w:rsidR="006C74D1">
                <w:rPr>
                  <w:bCs/>
                </w:rPr>
                <w:instrText xml:space="preserve"> MACROBUTTON  SnrToggleCheckbox √适用 </w:instrText>
              </w:r>
              <w:r>
                <w:rPr>
                  <w:bCs/>
                </w:rPr>
                <w:fldChar w:fldCharType="end"/>
              </w:r>
              <w:r>
                <w:rPr>
                  <w:bCs/>
                </w:rPr>
                <w:fldChar w:fldCharType="begin"/>
              </w:r>
              <w:r w:rsidR="006C74D1">
                <w:rPr>
                  <w:bCs/>
                </w:rPr>
                <w:instrText xml:space="preserve"> MACROBUTTON  SnrToggleCheckbox □不适用 </w:instrText>
              </w:r>
              <w:r>
                <w:rPr>
                  <w:bCs/>
                </w:rPr>
                <w:fldChar w:fldCharType="end"/>
              </w:r>
            </w:p>
          </w:sdtContent>
        </w:sdt>
        <w:p w:rsidR="00806678" w:rsidRDefault="00B16377">
          <w:pPr>
            <w:pStyle w:val="a9"/>
            <w:ind w:left="420" w:firstLineChars="0" w:firstLine="0"/>
            <w:jc w:val="right"/>
            <w:rPr>
              <w:bCs/>
            </w:rPr>
          </w:pPr>
          <w:r>
            <w:rPr>
              <w:bCs/>
            </w:rPr>
            <w:t>单位：</w:t>
          </w:r>
          <w:sdt>
            <w:sdtPr>
              <w:rPr>
                <w:bCs/>
              </w:rPr>
              <w:alias w:val="单位：财务报表其他收益明细"/>
              <w:tag w:val="_GBC_74ea52f952324be7ab2c4c494ff673ce"/>
              <w:id w:val="-204435805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bCs/>
                </w:rPr>
                <w:t>元</w:t>
              </w:r>
            </w:sdtContent>
          </w:sdt>
          <w:r>
            <w:rPr>
              <w:bCs/>
            </w:rPr>
            <w:t xml:space="preserve">  </w:t>
          </w:r>
          <w:r>
            <w:rPr>
              <w:bCs/>
            </w:rPr>
            <w:t>币种：</w:t>
          </w:r>
          <w:sdt>
            <w:sdtPr>
              <w:rPr>
                <w:bCs/>
              </w:rPr>
              <w:alias w:val="币种：财务报表其他收益明细"/>
              <w:tag w:val="_GBC_8360ed9b182a496c9b5d2220a414a4cb"/>
              <w:id w:val="207006363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bCs/>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2805"/>
            <w:gridCol w:w="3017"/>
          </w:tblGrid>
          <w:tr w:rsidR="000F2F56" w:rsidTr="00DB008B">
            <w:sdt>
              <w:sdtPr>
                <w:tag w:val="_PLD_7df5d6dc8fe1463b8e0d41784241e311"/>
                <w:id w:val="-1787799602"/>
                <w:lock w:val="sdtLocked"/>
              </w:sdtPr>
              <w:sdtContent>
                <w:tc>
                  <w:tcPr>
                    <w:tcW w:w="3227" w:type="dxa"/>
                    <w:shd w:val="clear" w:color="auto" w:fill="auto"/>
                  </w:tcPr>
                  <w:p w:rsidR="000F2F56" w:rsidRDefault="000F2F56" w:rsidP="00DB008B">
                    <w:pPr>
                      <w:widowControl w:val="0"/>
                      <w:jc w:val="center"/>
                    </w:pPr>
                    <w:r>
                      <w:rPr>
                        <w:rFonts w:hint="eastAsia"/>
                      </w:rPr>
                      <w:t>项目</w:t>
                    </w:r>
                  </w:p>
                </w:tc>
              </w:sdtContent>
            </w:sdt>
            <w:sdt>
              <w:sdtPr>
                <w:tag w:val="_PLD_2c34d48a6a534080943d2d340c325c15"/>
                <w:id w:val="-558787031"/>
                <w:lock w:val="sdtLocked"/>
              </w:sdtPr>
              <w:sdtContent>
                <w:tc>
                  <w:tcPr>
                    <w:tcW w:w="2805" w:type="dxa"/>
                    <w:shd w:val="clear" w:color="auto" w:fill="auto"/>
                  </w:tcPr>
                  <w:p w:rsidR="000F2F56" w:rsidRDefault="000F2F56" w:rsidP="00DB008B">
                    <w:pPr>
                      <w:widowControl w:val="0"/>
                      <w:jc w:val="center"/>
                    </w:pPr>
                    <w:r>
                      <w:rPr>
                        <w:rFonts w:hint="eastAsia"/>
                      </w:rPr>
                      <w:t>本期发生额</w:t>
                    </w:r>
                  </w:p>
                </w:tc>
              </w:sdtContent>
            </w:sdt>
            <w:sdt>
              <w:sdtPr>
                <w:tag w:val="_PLD_1a2c9ed0a9704089897421e22b8696dd"/>
                <w:id w:val="-198016742"/>
                <w:lock w:val="sdtLocked"/>
              </w:sdtPr>
              <w:sdtContent>
                <w:tc>
                  <w:tcPr>
                    <w:tcW w:w="3017" w:type="dxa"/>
                    <w:shd w:val="clear" w:color="auto" w:fill="auto"/>
                  </w:tcPr>
                  <w:p w:rsidR="000F2F56" w:rsidRDefault="000F2F56" w:rsidP="00DB008B">
                    <w:pPr>
                      <w:widowControl w:val="0"/>
                      <w:jc w:val="center"/>
                    </w:pPr>
                    <w:r>
                      <w:rPr>
                        <w:rFonts w:hint="eastAsia"/>
                      </w:rPr>
                      <w:t>上期发生额</w:t>
                    </w:r>
                  </w:p>
                </w:tc>
              </w:sdtContent>
            </w:sdt>
          </w:tr>
          <w:sdt>
            <w:sdtPr>
              <w:alias w:val="财务报表其他收益明细"/>
              <w:tag w:val="_TUP_0ed2ced1ccdb4c10982baeb73855c8ba"/>
              <w:id w:val="378908991"/>
              <w:lock w:val="sdtLocked"/>
            </w:sdtPr>
            <w:sdtContent>
              <w:tr w:rsidR="000F2F56" w:rsidTr="00DB008B">
                <w:tc>
                  <w:tcPr>
                    <w:tcW w:w="3227" w:type="dxa"/>
                    <w:shd w:val="clear" w:color="auto" w:fill="auto"/>
                  </w:tcPr>
                  <w:p w:rsidR="000F2F56" w:rsidRDefault="000F2F56" w:rsidP="00DB008B">
                    <w:pPr>
                      <w:widowControl w:val="0"/>
                    </w:pPr>
                    <w:r w:rsidRPr="000F2F56">
                      <w:rPr>
                        <w:rFonts w:hint="eastAsia"/>
                      </w:rPr>
                      <w:t>政府补助</w:t>
                    </w:r>
                  </w:p>
                </w:tc>
                <w:tc>
                  <w:tcPr>
                    <w:tcW w:w="2805" w:type="dxa"/>
                    <w:shd w:val="clear" w:color="auto" w:fill="auto"/>
                  </w:tcPr>
                  <w:p w:rsidR="000F2F56" w:rsidRDefault="000F2F56" w:rsidP="00DB008B">
                    <w:pPr>
                      <w:widowControl w:val="0"/>
                      <w:jc w:val="right"/>
                    </w:pPr>
                    <w:r>
                      <w:t>188,372,378</w:t>
                    </w:r>
                  </w:p>
                </w:tc>
                <w:tc>
                  <w:tcPr>
                    <w:tcW w:w="3017" w:type="dxa"/>
                    <w:shd w:val="clear" w:color="auto" w:fill="auto"/>
                  </w:tcPr>
                  <w:p w:rsidR="000F2F56" w:rsidRDefault="000F2F56" w:rsidP="00DB008B">
                    <w:pPr>
                      <w:widowControl w:val="0"/>
                      <w:jc w:val="right"/>
                    </w:pPr>
                    <w:r>
                      <w:t>82,603,637</w:t>
                    </w:r>
                  </w:p>
                </w:tc>
              </w:tr>
            </w:sdtContent>
          </w:sdt>
          <w:tr w:rsidR="000F2F56" w:rsidTr="00DB008B">
            <w:sdt>
              <w:sdtPr>
                <w:tag w:val="_PLD_d3061f381a4f4b81848cbe7eb2e8df05"/>
                <w:id w:val="572314503"/>
                <w:lock w:val="sdtLocked"/>
              </w:sdtPr>
              <w:sdtContent>
                <w:tc>
                  <w:tcPr>
                    <w:tcW w:w="3227" w:type="dxa"/>
                    <w:shd w:val="clear" w:color="auto" w:fill="auto"/>
                  </w:tcPr>
                  <w:p w:rsidR="000F2F56" w:rsidRDefault="000F2F56" w:rsidP="000F2F56">
                    <w:pPr>
                      <w:widowControl w:val="0"/>
                      <w:jc w:val="center"/>
                    </w:pPr>
                    <w:r>
                      <w:rPr>
                        <w:rFonts w:hint="eastAsia"/>
                      </w:rPr>
                      <w:t>合计</w:t>
                    </w:r>
                  </w:p>
                </w:tc>
              </w:sdtContent>
            </w:sdt>
            <w:tc>
              <w:tcPr>
                <w:tcW w:w="2805" w:type="dxa"/>
                <w:shd w:val="clear" w:color="auto" w:fill="auto"/>
                <w:vAlign w:val="center"/>
              </w:tcPr>
              <w:p w:rsidR="000F2F56" w:rsidRDefault="000F2F56" w:rsidP="000F2F56">
                <w:pPr>
                  <w:widowControl w:val="0"/>
                  <w:jc w:val="right"/>
                </w:pPr>
                <w:r>
                  <w:t>188,372,378</w:t>
                </w:r>
              </w:p>
            </w:tc>
            <w:tc>
              <w:tcPr>
                <w:tcW w:w="3017" w:type="dxa"/>
                <w:shd w:val="clear" w:color="auto" w:fill="auto"/>
                <w:vAlign w:val="center"/>
              </w:tcPr>
              <w:p w:rsidR="000F2F56" w:rsidRDefault="000F2F56" w:rsidP="000F2F56">
                <w:pPr>
                  <w:widowControl w:val="0"/>
                  <w:jc w:val="right"/>
                </w:pPr>
                <w:r>
                  <w:t>82,603,637</w:t>
                </w:r>
              </w:p>
            </w:tc>
          </w:tr>
        </w:tbl>
        <w:p w:rsidR="00DA4D34" w:rsidRDefault="00DA4D34"/>
        <w:p w:rsidR="00806678" w:rsidRDefault="00B16377">
          <w:r>
            <w:rPr>
              <w:rFonts w:hint="eastAsia"/>
            </w:rPr>
            <w:t>其他说明：</w:t>
          </w:r>
        </w:p>
        <w:sdt>
          <w:sdtPr>
            <w:alias w:val="财务报表其他收益其他说明"/>
            <w:tag w:val="_GBC_4b4ba73a66704c609e7c6617d0fa6694"/>
            <w:id w:val="-736398464"/>
            <w:lock w:val="sdtLocked"/>
            <w:placeholder>
              <w:docPart w:val="GBC22222222222222222222222222222"/>
            </w:placeholder>
          </w:sdtPr>
          <w:sdtContent>
            <w:p w:rsidR="00806678" w:rsidRDefault="000F2F56">
              <w:r>
                <w:rPr>
                  <w:rFonts w:hint="eastAsia"/>
                </w:rPr>
                <w:t>无</w:t>
              </w:r>
            </w:p>
          </w:sdtContent>
        </w:sdt>
        <w:p w:rsidR="00806678" w:rsidRDefault="00F80B6C"/>
      </w:sdtContent>
    </w:sdt>
    <w:bookmarkStart w:id="248" w:name="_Hlk24027658" w:displacedByCustomXml="next"/>
    <w:sdt>
      <w:sdtPr>
        <w:rPr>
          <w:rFonts w:ascii="宋体" w:hAnsi="宋体" w:cs="宋体"/>
          <w:b w:val="0"/>
          <w:bCs w:val="0"/>
          <w:kern w:val="0"/>
          <w:szCs w:val="21"/>
        </w:rPr>
        <w:alias w:val="模块:"/>
        <w:tag w:val="_SEC_153dc505def641b68896504f5596ef5b"/>
        <w:id w:val="459996871"/>
        <w:lock w:val="sdtLocked"/>
        <w:placeholder>
          <w:docPart w:val="GBC22222222222222222222222222222"/>
        </w:placeholder>
      </w:sdtPr>
      <w:sdtContent>
        <w:bookmarkStart w:id="249" w:name="_Hlk11857276" w:displacedByCustomXml="prev"/>
        <w:bookmarkEnd w:id="249" w:displacedByCustomXml="prev"/>
        <w:p w:rsidR="00806678" w:rsidRDefault="00B16377" w:rsidP="00FF17C7">
          <w:pPr>
            <w:pStyle w:val="3"/>
            <w:numPr>
              <w:ilvl w:val="0"/>
              <w:numId w:val="18"/>
            </w:numPr>
            <w:tabs>
              <w:tab w:val="left" w:pos="504"/>
            </w:tabs>
            <w:rPr>
              <w:rFonts w:ascii="宋体" w:hAnsi="宋体"/>
              <w:szCs w:val="21"/>
            </w:rPr>
          </w:pPr>
          <w:r>
            <w:rPr>
              <w:rFonts w:ascii="宋体" w:hAnsi="宋体" w:hint="eastAsia"/>
              <w:szCs w:val="21"/>
            </w:rPr>
            <w:t>投资收益</w:t>
          </w:r>
        </w:p>
        <w:sdt>
          <w:sdtPr>
            <w:alias w:val="是否适用：投资收益[双击切换]"/>
            <w:tag w:val="_GBC_f581223c46c2426aa46b9e88b6b47f4f"/>
            <w:id w:val="2080323287"/>
            <w:lock w:val="sdtLocked"/>
            <w:placeholder>
              <w:docPart w:val="GBC22222222222222222222222222222"/>
            </w:placeholder>
          </w:sdtPr>
          <w:sdtContent>
            <w:p w:rsidR="00806678" w:rsidRDefault="00F80B6C">
              <w:r>
                <w:fldChar w:fldCharType="begin"/>
              </w:r>
              <w:r w:rsidR="001C6BB5">
                <w:instrText xml:space="preserve"> MACROBUTTON  SnrToggleCheckbox √适用 </w:instrText>
              </w:r>
              <w:r>
                <w:fldChar w:fldCharType="end"/>
              </w:r>
              <w:r>
                <w:fldChar w:fldCharType="begin"/>
              </w:r>
              <w:r w:rsidR="001C6BB5">
                <w:instrText xml:space="preserve"> MACROBUTTON  SnrToggleCheckbox □不适用 </w:instrText>
              </w:r>
              <w:r>
                <w:fldChar w:fldCharType="end"/>
              </w:r>
            </w:p>
          </w:sdtContent>
        </w:sdt>
        <w:p w:rsidR="00806678" w:rsidRDefault="00B16377">
          <w:pPr>
            <w:jc w:val="right"/>
            <w:rPr>
              <w:b/>
              <w:szCs w:val="21"/>
            </w:rPr>
          </w:pPr>
          <w:bookmarkStart w:id="250" w:name="_Hlk10538462"/>
          <w:r>
            <w:rPr>
              <w:szCs w:val="21"/>
            </w:rPr>
            <w:t>单位</w:t>
          </w:r>
          <w:r>
            <w:rPr>
              <w:rFonts w:hint="eastAsia"/>
              <w:szCs w:val="21"/>
            </w:rPr>
            <w:t>：</w:t>
          </w:r>
          <w:sdt>
            <w:sdtPr>
              <w:rPr>
                <w:rFonts w:hint="eastAsia"/>
                <w:szCs w:val="21"/>
              </w:rPr>
              <w:alias w:val="单位：财务附注：会计报表中的投资收益项目增加"/>
              <w:tag w:val="_GBC_aeb04d73052c442cb4e2c86d75a8fbb5"/>
              <w:id w:val="57663261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r>
            <w:rPr>
              <w:rFonts w:hint="eastAsia"/>
              <w:szCs w:val="21"/>
            </w:rPr>
            <w:t>：</w:t>
          </w:r>
          <w:sdt>
            <w:sdtPr>
              <w:rPr>
                <w:rFonts w:hint="eastAsia"/>
                <w:szCs w:val="21"/>
              </w:rPr>
              <w:alias w:val="币种：财务附注：会计报表中的投资收益项目增加"/>
              <w:tag w:val="_GBC_9845e736e0054165b2ee74d48d6dd757"/>
              <w:id w:val="-120054026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52"/>
            <w:gridCol w:w="2693"/>
            <w:gridCol w:w="2704"/>
          </w:tblGrid>
          <w:tr w:rsidR="00806678" w:rsidTr="00EA4C72">
            <w:sdt>
              <w:sdtPr>
                <w:tag w:val="_PLD_998e1ec79cfc4df397c6fa0a751f3489"/>
                <w:id w:val="533384553"/>
                <w:lock w:val="sdtLocked"/>
              </w:sdtPr>
              <w:sdtContent>
                <w:tc>
                  <w:tcPr>
                    <w:tcW w:w="2018" w:type="pct"/>
                    <w:vAlign w:val="center"/>
                  </w:tcPr>
                  <w:p w:rsidR="00806678" w:rsidRDefault="00B16377">
                    <w:pPr>
                      <w:ind w:left="420" w:hanging="420"/>
                      <w:jc w:val="center"/>
                      <w:rPr>
                        <w:szCs w:val="21"/>
                      </w:rPr>
                    </w:pPr>
                    <w:r>
                      <w:rPr>
                        <w:rFonts w:hint="eastAsia"/>
                        <w:szCs w:val="21"/>
                      </w:rPr>
                      <w:t>项目</w:t>
                    </w:r>
                  </w:p>
                </w:tc>
              </w:sdtContent>
            </w:sdt>
            <w:sdt>
              <w:sdtPr>
                <w:tag w:val="_PLD_239208f1271348119306f77c15ab0ec0"/>
                <w:id w:val="-1601404209"/>
                <w:lock w:val="sdtLocked"/>
              </w:sdtPr>
              <w:sdtContent>
                <w:tc>
                  <w:tcPr>
                    <w:tcW w:w="1488" w:type="pct"/>
                    <w:vAlign w:val="center"/>
                  </w:tcPr>
                  <w:p w:rsidR="00806678" w:rsidRDefault="00B16377">
                    <w:pPr>
                      <w:jc w:val="center"/>
                      <w:rPr>
                        <w:szCs w:val="21"/>
                      </w:rPr>
                    </w:pPr>
                    <w:r>
                      <w:rPr>
                        <w:rFonts w:hint="eastAsia"/>
                        <w:szCs w:val="21"/>
                      </w:rPr>
                      <w:t>本期发生额</w:t>
                    </w:r>
                  </w:p>
                </w:tc>
              </w:sdtContent>
            </w:sdt>
            <w:sdt>
              <w:sdtPr>
                <w:tag w:val="_PLD_c548c34a5b7b4e3eb5536d1408d6cc7b"/>
                <w:id w:val="-1987854635"/>
                <w:lock w:val="sdtLocked"/>
              </w:sdtPr>
              <w:sdtContent>
                <w:tc>
                  <w:tcPr>
                    <w:tcW w:w="1494" w:type="pct"/>
                    <w:vAlign w:val="center"/>
                  </w:tcPr>
                  <w:p w:rsidR="00806678" w:rsidRDefault="00B16377">
                    <w:pPr>
                      <w:jc w:val="center"/>
                      <w:rPr>
                        <w:szCs w:val="21"/>
                      </w:rPr>
                    </w:pPr>
                    <w:r>
                      <w:rPr>
                        <w:rFonts w:hint="eastAsia"/>
                        <w:szCs w:val="21"/>
                      </w:rPr>
                      <w:t>上期发生额</w:t>
                    </w:r>
                  </w:p>
                </w:tc>
              </w:sdtContent>
            </w:sdt>
          </w:tr>
          <w:tr w:rsidR="000F2F56" w:rsidTr="00DB008B">
            <w:sdt>
              <w:sdtPr>
                <w:tag w:val="_PLD_a5e207f6cced48018cb57ab3b134bc4b"/>
                <w:id w:val="1717702253"/>
                <w:lock w:val="sdtLocked"/>
              </w:sdtPr>
              <w:sdtContent>
                <w:tc>
                  <w:tcPr>
                    <w:tcW w:w="2018" w:type="pct"/>
                  </w:tcPr>
                  <w:p w:rsidR="000F2F56" w:rsidRDefault="000F2F56" w:rsidP="000F2F56">
                    <w:pPr>
                      <w:rPr>
                        <w:szCs w:val="21"/>
                      </w:rPr>
                    </w:pPr>
                    <w:r>
                      <w:rPr>
                        <w:rFonts w:hint="eastAsia"/>
                        <w:szCs w:val="21"/>
                      </w:rPr>
                      <w:t>权益法核算的长期股权投资收益</w:t>
                    </w:r>
                  </w:p>
                </w:tc>
              </w:sdtContent>
            </w:sdt>
            <w:tc>
              <w:tcPr>
                <w:tcW w:w="1488" w:type="pct"/>
                <w:vAlign w:val="center"/>
              </w:tcPr>
              <w:p w:rsidR="000F2F56" w:rsidRDefault="000F2F56" w:rsidP="000F2F56">
                <w:pPr>
                  <w:jc w:val="right"/>
                  <w:rPr>
                    <w:szCs w:val="21"/>
                  </w:rPr>
                </w:pPr>
                <w:r>
                  <w:t>2,701,946,242</w:t>
                </w:r>
              </w:p>
            </w:tc>
            <w:tc>
              <w:tcPr>
                <w:tcW w:w="1494" w:type="pct"/>
                <w:vAlign w:val="center"/>
              </w:tcPr>
              <w:p w:rsidR="000F2F56" w:rsidRDefault="000F2F56" w:rsidP="000F2F56">
                <w:pPr>
                  <w:jc w:val="right"/>
                  <w:rPr>
                    <w:szCs w:val="21"/>
                  </w:rPr>
                </w:pPr>
                <w:r>
                  <w:t>2,990,203,892</w:t>
                </w:r>
              </w:p>
            </w:tc>
          </w:tr>
          <w:tr w:rsidR="000F2F56" w:rsidTr="00EA4C72">
            <w:sdt>
              <w:sdtPr>
                <w:tag w:val="_PLD_a1926907cd994756b13d806f0156d433"/>
                <w:id w:val="-458339042"/>
                <w:lock w:val="sdtLocked"/>
              </w:sdtPr>
              <w:sdtContent>
                <w:tc>
                  <w:tcPr>
                    <w:tcW w:w="2018" w:type="pct"/>
                  </w:tcPr>
                  <w:p w:rsidR="000F2F56" w:rsidRDefault="000F2F56" w:rsidP="000F2F56">
                    <w:pPr>
                      <w:rPr>
                        <w:szCs w:val="21"/>
                      </w:rPr>
                    </w:pPr>
                    <w:r>
                      <w:rPr>
                        <w:rFonts w:hint="eastAsia"/>
                        <w:szCs w:val="21"/>
                      </w:rPr>
                      <w:t>处置长期股权投资产生的投资收益</w:t>
                    </w:r>
                  </w:p>
                </w:tc>
              </w:sdtContent>
            </w:sdt>
            <w:tc>
              <w:tcPr>
                <w:tcW w:w="1488" w:type="pct"/>
              </w:tcPr>
              <w:p w:rsidR="000F2F56" w:rsidRDefault="000F2F56" w:rsidP="000F2F56">
                <w:pPr>
                  <w:jc w:val="right"/>
                  <w:rPr>
                    <w:szCs w:val="21"/>
                  </w:rPr>
                </w:pPr>
              </w:p>
            </w:tc>
            <w:tc>
              <w:tcPr>
                <w:tcW w:w="1494" w:type="pct"/>
              </w:tcPr>
              <w:p w:rsidR="000F2F56" w:rsidRDefault="000F2F56" w:rsidP="000F2F56">
                <w:pPr>
                  <w:jc w:val="right"/>
                  <w:rPr>
                    <w:szCs w:val="21"/>
                  </w:rPr>
                </w:pPr>
              </w:p>
            </w:tc>
          </w:tr>
          <w:tr w:rsidR="000F2F56" w:rsidTr="00EA4C72">
            <w:tc>
              <w:tcPr>
                <w:tcW w:w="2018" w:type="pct"/>
              </w:tcPr>
              <w:sdt>
                <w:sdtPr>
                  <w:rPr>
                    <w:rFonts w:hint="eastAsia"/>
                  </w:rPr>
                  <w:tag w:val="_PLD_4b8ae2ace4b543c199716a420a775768"/>
                  <w:id w:val="2125810135"/>
                  <w:lock w:val="sdtLocked"/>
                </w:sdtPr>
                <w:sdtContent>
                  <w:p w:rsidR="000F2F56" w:rsidRDefault="000F2F56" w:rsidP="000F2F56">
                    <w:r>
                      <w:rPr>
                        <w:rFonts w:hint="eastAsia"/>
                      </w:rPr>
                      <w:t>交易性金融资产在持有期间的投资收益</w:t>
                    </w:r>
                  </w:p>
                </w:sdtContent>
              </w:sdt>
            </w:tc>
            <w:tc>
              <w:tcPr>
                <w:tcW w:w="1488" w:type="pct"/>
              </w:tcPr>
              <w:p w:rsidR="000F2F56" w:rsidRDefault="000F2F56" w:rsidP="000F2F56">
                <w:pPr>
                  <w:jc w:val="right"/>
                  <w:rPr>
                    <w:szCs w:val="21"/>
                  </w:rPr>
                </w:pPr>
              </w:p>
            </w:tc>
            <w:tc>
              <w:tcPr>
                <w:tcW w:w="1494" w:type="pct"/>
              </w:tcPr>
              <w:p w:rsidR="000F2F56" w:rsidRDefault="000F2F56" w:rsidP="000F2F56">
                <w:pPr>
                  <w:jc w:val="right"/>
                  <w:rPr>
                    <w:szCs w:val="21"/>
                  </w:rPr>
                </w:pPr>
              </w:p>
            </w:tc>
          </w:tr>
          <w:tr w:rsidR="000F2F56" w:rsidTr="00DB008B">
            <w:tc>
              <w:tcPr>
                <w:tcW w:w="2018" w:type="pct"/>
              </w:tcPr>
              <w:sdt>
                <w:sdtPr>
                  <w:rPr>
                    <w:rFonts w:hint="eastAsia"/>
                  </w:rPr>
                  <w:tag w:val="_PLD_7c58c52facb64de086eed2650b83b40f"/>
                  <w:id w:val="-984848997"/>
                  <w:lock w:val="sdtLocked"/>
                </w:sdtPr>
                <w:sdtContent>
                  <w:p w:rsidR="000F2F56" w:rsidRDefault="000F2F56" w:rsidP="000F2F56">
                    <w:r>
                      <w:rPr>
                        <w:rFonts w:hint="eastAsia"/>
                      </w:rPr>
                      <w:t>其他权益工具投资在持有期间取得的股利收入</w:t>
                    </w:r>
                  </w:p>
                </w:sdtContent>
              </w:sdt>
            </w:tc>
            <w:tc>
              <w:tcPr>
                <w:tcW w:w="1488" w:type="pct"/>
                <w:vAlign w:val="center"/>
              </w:tcPr>
              <w:p w:rsidR="000F2F56" w:rsidRDefault="000F2F56" w:rsidP="000F2F56">
                <w:pPr>
                  <w:jc w:val="right"/>
                  <w:rPr>
                    <w:szCs w:val="21"/>
                  </w:rPr>
                </w:pPr>
                <w:r>
                  <w:t>2,394,000</w:t>
                </w:r>
              </w:p>
            </w:tc>
            <w:tc>
              <w:tcPr>
                <w:tcW w:w="1494" w:type="pct"/>
                <w:vAlign w:val="center"/>
              </w:tcPr>
              <w:p w:rsidR="000F2F56" w:rsidRDefault="000F2F56" w:rsidP="000F2F56">
                <w:pPr>
                  <w:jc w:val="right"/>
                  <w:rPr>
                    <w:szCs w:val="21"/>
                  </w:rPr>
                </w:pPr>
                <w:r>
                  <w:t>2,736,000</w:t>
                </w:r>
              </w:p>
            </w:tc>
          </w:tr>
          <w:tr w:rsidR="000F2F56" w:rsidTr="00EA4C72">
            <w:tc>
              <w:tcPr>
                <w:tcW w:w="2018" w:type="pct"/>
              </w:tcPr>
              <w:sdt>
                <w:sdtPr>
                  <w:rPr>
                    <w:rFonts w:hint="eastAsia"/>
                  </w:rPr>
                  <w:tag w:val="_PLD_b4a5a5542dbf4c9ba7531d227285e539"/>
                  <w:id w:val="-1735848767"/>
                  <w:lock w:val="sdtLocked"/>
                </w:sdtPr>
                <w:sdtContent>
                  <w:p w:rsidR="000F2F56" w:rsidRDefault="000F2F56" w:rsidP="000F2F56">
                    <w:r>
                      <w:rPr>
                        <w:rFonts w:hint="eastAsia"/>
                      </w:rPr>
                      <w:t>债权投资在持有期间取得的利息收入</w:t>
                    </w:r>
                  </w:p>
                </w:sdtContent>
              </w:sdt>
            </w:tc>
            <w:tc>
              <w:tcPr>
                <w:tcW w:w="1488" w:type="pct"/>
              </w:tcPr>
              <w:p w:rsidR="000F2F56" w:rsidRDefault="000F2F56" w:rsidP="000F2F56">
                <w:pPr>
                  <w:jc w:val="right"/>
                  <w:rPr>
                    <w:szCs w:val="21"/>
                  </w:rPr>
                </w:pPr>
              </w:p>
            </w:tc>
            <w:tc>
              <w:tcPr>
                <w:tcW w:w="1494" w:type="pct"/>
              </w:tcPr>
              <w:p w:rsidR="000F2F56" w:rsidRDefault="000F2F56" w:rsidP="000F2F56">
                <w:pPr>
                  <w:jc w:val="right"/>
                  <w:rPr>
                    <w:szCs w:val="21"/>
                  </w:rPr>
                </w:pPr>
              </w:p>
            </w:tc>
          </w:tr>
          <w:tr w:rsidR="000F2F56" w:rsidTr="00EA4C72">
            <w:tc>
              <w:tcPr>
                <w:tcW w:w="2018" w:type="pct"/>
              </w:tcPr>
              <w:sdt>
                <w:sdtPr>
                  <w:rPr>
                    <w:rFonts w:hint="eastAsia"/>
                  </w:rPr>
                  <w:tag w:val="_PLD_ce0eb61b794a44c49f53088cf81803e7"/>
                  <w:id w:val="-1776928143"/>
                  <w:lock w:val="sdtLocked"/>
                </w:sdtPr>
                <w:sdtContent>
                  <w:p w:rsidR="000F2F56" w:rsidRDefault="000F2F56" w:rsidP="000F2F56">
                    <w:r>
                      <w:rPr>
                        <w:rFonts w:hint="eastAsia"/>
                      </w:rPr>
                      <w:t>其他债权投资在持有期间取得的利息收入</w:t>
                    </w:r>
                  </w:p>
                </w:sdtContent>
              </w:sdt>
            </w:tc>
            <w:tc>
              <w:tcPr>
                <w:tcW w:w="1488" w:type="pct"/>
              </w:tcPr>
              <w:p w:rsidR="000F2F56" w:rsidRDefault="000F2F56" w:rsidP="000F2F56">
                <w:pPr>
                  <w:jc w:val="right"/>
                  <w:rPr>
                    <w:szCs w:val="21"/>
                  </w:rPr>
                </w:pPr>
              </w:p>
            </w:tc>
            <w:tc>
              <w:tcPr>
                <w:tcW w:w="1494" w:type="pct"/>
              </w:tcPr>
              <w:p w:rsidR="000F2F56" w:rsidRDefault="000F2F56" w:rsidP="000F2F56">
                <w:pPr>
                  <w:jc w:val="right"/>
                  <w:rPr>
                    <w:szCs w:val="21"/>
                  </w:rPr>
                </w:pPr>
              </w:p>
            </w:tc>
          </w:tr>
          <w:tr w:rsidR="000F2F56" w:rsidTr="00EA4C72">
            <w:tc>
              <w:tcPr>
                <w:tcW w:w="2018" w:type="pct"/>
              </w:tcPr>
              <w:sdt>
                <w:sdtPr>
                  <w:rPr>
                    <w:rFonts w:hint="eastAsia"/>
                  </w:rPr>
                  <w:tag w:val="_PLD_34a3eb08d3fd4e668dbcd428a07d1e01"/>
                  <w:id w:val="-305554231"/>
                  <w:lock w:val="sdtLocked"/>
                </w:sdtPr>
                <w:sdtContent>
                  <w:p w:rsidR="000F2F56" w:rsidRDefault="000F2F56" w:rsidP="000F2F56">
                    <w:r>
                      <w:rPr>
                        <w:rFonts w:hint="eastAsia"/>
                      </w:rPr>
                      <w:t>处置交易性金融资产取得的投资收益</w:t>
                    </w:r>
                  </w:p>
                </w:sdtContent>
              </w:sdt>
            </w:tc>
            <w:tc>
              <w:tcPr>
                <w:tcW w:w="1488" w:type="pct"/>
              </w:tcPr>
              <w:p w:rsidR="000F2F56" w:rsidRDefault="000F2F56" w:rsidP="000F2F56">
                <w:pPr>
                  <w:jc w:val="right"/>
                  <w:rPr>
                    <w:szCs w:val="21"/>
                  </w:rPr>
                </w:pPr>
              </w:p>
            </w:tc>
            <w:tc>
              <w:tcPr>
                <w:tcW w:w="1494" w:type="pct"/>
              </w:tcPr>
              <w:p w:rsidR="000F2F56" w:rsidRDefault="000F2F56" w:rsidP="000F2F56">
                <w:pPr>
                  <w:jc w:val="right"/>
                  <w:rPr>
                    <w:szCs w:val="21"/>
                  </w:rPr>
                </w:pPr>
              </w:p>
            </w:tc>
          </w:tr>
          <w:tr w:rsidR="000F2F56" w:rsidTr="00EA4C72">
            <w:tc>
              <w:tcPr>
                <w:tcW w:w="2018" w:type="pct"/>
              </w:tcPr>
              <w:sdt>
                <w:sdtPr>
                  <w:rPr>
                    <w:rFonts w:hint="eastAsia"/>
                  </w:rPr>
                  <w:tag w:val="_PLD_879db1048fca46dea448b557a9f0dc0e"/>
                  <w:id w:val="-689752105"/>
                  <w:lock w:val="sdtLocked"/>
                </w:sdtPr>
                <w:sdtContent>
                  <w:p w:rsidR="000F2F56" w:rsidRDefault="000F2F56" w:rsidP="000F2F56">
                    <w:r>
                      <w:rPr>
                        <w:rFonts w:hint="eastAsia"/>
                      </w:rPr>
                      <w:t>处置其他权益工具投资取得的投资收益</w:t>
                    </w:r>
                  </w:p>
                </w:sdtContent>
              </w:sdt>
            </w:tc>
            <w:tc>
              <w:tcPr>
                <w:tcW w:w="1488" w:type="pct"/>
              </w:tcPr>
              <w:p w:rsidR="000F2F56" w:rsidRDefault="000F2F56" w:rsidP="000F2F56">
                <w:pPr>
                  <w:jc w:val="right"/>
                  <w:rPr>
                    <w:szCs w:val="21"/>
                  </w:rPr>
                </w:pPr>
              </w:p>
            </w:tc>
            <w:tc>
              <w:tcPr>
                <w:tcW w:w="1494" w:type="pct"/>
              </w:tcPr>
              <w:p w:rsidR="000F2F56" w:rsidRDefault="000F2F56" w:rsidP="000F2F56">
                <w:pPr>
                  <w:jc w:val="right"/>
                  <w:rPr>
                    <w:szCs w:val="21"/>
                  </w:rPr>
                </w:pPr>
              </w:p>
            </w:tc>
          </w:tr>
          <w:tr w:rsidR="000F2F56" w:rsidTr="00EA4C72">
            <w:tc>
              <w:tcPr>
                <w:tcW w:w="2018" w:type="pct"/>
              </w:tcPr>
              <w:sdt>
                <w:sdtPr>
                  <w:rPr>
                    <w:rFonts w:hint="eastAsia"/>
                  </w:rPr>
                  <w:tag w:val="_PLD_016372af60e14d1393b77dbe654f3a56"/>
                  <w:id w:val="-1517764946"/>
                  <w:lock w:val="sdtLocked"/>
                </w:sdtPr>
                <w:sdtContent>
                  <w:p w:rsidR="000F2F56" w:rsidRDefault="000F2F56" w:rsidP="000F2F56">
                    <w:r>
                      <w:rPr>
                        <w:rFonts w:hint="eastAsia"/>
                      </w:rPr>
                      <w:t>处置债权投资取得的投资收益</w:t>
                    </w:r>
                  </w:p>
                </w:sdtContent>
              </w:sdt>
            </w:tc>
            <w:tc>
              <w:tcPr>
                <w:tcW w:w="1488" w:type="pct"/>
              </w:tcPr>
              <w:p w:rsidR="000F2F56" w:rsidRDefault="000F2F56" w:rsidP="000F2F56">
                <w:pPr>
                  <w:jc w:val="right"/>
                  <w:rPr>
                    <w:szCs w:val="21"/>
                  </w:rPr>
                </w:pPr>
              </w:p>
            </w:tc>
            <w:tc>
              <w:tcPr>
                <w:tcW w:w="1494" w:type="pct"/>
              </w:tcPr>
              <w:p w:rsidR="000F2F56" w:rsidRDefault="000F2F56" w:rsidP="000F2F56">
                <w:pPr>
                  <w:jc w:val="right"/>
                  <w:rPr>
                    <w:szCs w:val="21"/>
                  </w:rPr>
                </w:pPr>
              </w:p>
            </w:tc>
          </w:tr>
          <w:tr w:rsidR="000F2F56" w:rsidTr="00EA4C72">
            <w:tc>
              <w:tcPr>
                <w:tcW w:w="2018" w:type="pct"/>
              </w:tcPr>
              <w:sdt>
                <w:sdtPr>
                  <w:rPr>
                    <w:rFonts w:hint="eastAsia"/>
                  </w:rPr>
                  <w:tag w:val="_PLD_827e07bc846b46778c4ccb93138b543f"/>
                  <w:id w:val="-648053870"/>
                  <w:lock w:val="sdtLocked"/>
                </w:sdtPr>
                <w:sdtContent>
                  <w:p w:rsidR="000F2F56" w:rsidRDefault="000F2F56" w:rsidP="000F2F56">
                    <w:r>
                      <w:rPr>
                        <w:rFonts w:hint="eastAsia"/>
                      </w:rPr>
                      <w:t>处置其他债权投资取得的投资收益</w:t>
                    </w:r>
                  </w:p>
                </w:sdtContent>
              </w:sdt>
            </w:tc>
            <w:tc>
              <w:tcPr>
                <w:tcW w:w="1488" w:type="pct"/>
              </w:tcPr>
              <w:p w:rsidR="000F2F56" w:rsidRDefault="000F2F56" w:rsidP="000F2F56">
                <w:pPr>
                  <w:jc w:val="right"/>
                  <w:rPr>
                    <w:szCs w:val="21"/>
                  </w:rPr>
                </w:pPr>
              </w:p>
            </w:tc>
            <w:tc>
              <w:tcPr>
                <w:tcW w:w="1494" w:type="pct"/>
              </w:tcPr>
              <w:p w:rsidR="000F2F56" w:rsidRDefault="000F2F56" w:rsidP="000F2F56">
                <w:pPr>
                  <w:jc w:val="right"/>
                  <w:rPr>
                    <w:szCs w:val="21"/>
                  </w:rPr>
                </w:pPr>
              </w:p>
            </w:tc>
          </w:tr>
          <w:tr w:rsidR="000F2F56" w:rsidTr="00EA4C72">
            <w:tc>
              <w:tcPr>
                <w:tcW w:w="2018" w:type="pct"/>
              </w:tcPr>
              <w:sdt>
                <w:sdtPr>
                  <w:rPr>
                    <w:rFonts w:hint="eastAsia"/>
                  </w:rPr>
                  <w:tag w:val="_PLD_9ca2411f6e544bea9550159eeaa3f9f7"/>
                  <w:id w:val="-706880818"/>
                  <w:lock w:val="sdtLocked"/>
                </w:sdtPr>
                <w:sdtContent>
                  <w:p w:rsidR="000F2F56" w:rsidRDefault="000F2F56" w:rsidP="000F2F56">
                    <w:r>
                      <w:rPr>
                        <w:rFonts w:hint="eastAsia"/>
                      </w:rPr>
                      <w:t>债务重组收益</w:t>
                    </w:r>
                  </w:p>
                </w:sdtContent>
              </w:sdt>
            </w:tc>
            <w:tc>
              <w:tcPr>
                <w:tcW w:w="1488" w:type="pct"/>
              </w:tcPr>
              <w:p w:rsidR="000F2F56" w:rsidRDefault="000F2F56" w:rsidP="000F2F56">
                <w:pPr>
                  <w:jc w:val="right"/>
                  <w:rPr>
                    <w:szCs w:val="21"/>
                  </w:rPr>
                </w:pPr>
              </w:p>
            </w:tc>
            <w:tc>
              <w:tcPr>
                <w:tcW w:w="1494" w:type="pct"/>
              </w:tcPr>
              <w:p w:rsidR="000F2F56" w:rsidRDefault="000F2F56" w:rsidP="000F2F56">
                <w:pPr>
                  <w:jc w:val="right"/>
                  <w:rPr>
                    <w:szCs w:val="21"/>
                  </w:rPr>
                </w:pPr>
              </w:p>
            </w:tc>
          </w:tr>
          <w:tr w:rsidR="000F2F56" w:rsidTr="00DB008B">
            <w:sdt>
              <w:sdtPr>
                <w:tag w:val="_PLD_60c4d59085e54017b3965846c39e4742"/>
                <w:id w:val="-105884726"/>
                <w:lock w:val="sdtLocked"/>
              </w:sdtPr>
              <w:sdtContent>
                <w:tc>
                  <w:tcPr>
                    <w:tcW w:w="2018" w:type="pct"/>
                    <w:vAlign w:val="center"/>
                  </w:tcPr>
                  <w:p w:rsidR="000F2F56" w:rsidRDefault="000F2F56" w:rsidP="000F2F56">
                    <w:pPr>
                      <w:jc w:val="center"/>
                      <w:rPr>
                        <w:szCs w:val="21"/>
                      </w:rPr>
                    </w:pPr>
                    <w:r>
                      <w:rPr>
                        <w:rFonts w:hint="eastAsia"/>
                        <w:szCs w:val="21"/>
                      </w:rPr>
                      <w:t>合计</w:t>
                    </w:r>
                  </w:p>
                </w:tc>
              </w:sdtContent>
            </w:sdt>
            <w:tc>
              <w:tcPr>
                <w:tcW w:w="1488" w:type="pct"/>
                <w:vAlign w:val="center"/>
              </w:tcPr>
              <w:p w:rsidR="000F2F56" w:rsidRDefault="000F2F56" w:rsidP="000F2F56">
                <w:pPr>
                  <w:jc w:val="right"/>
                  <w:rPr>
                    <w:szCs w:val="21"/>
                  </w:rPr>
                </w:pPr>
                <w:r>
                  <w:t>2,704,340,242</w:t>
                </w:r>
              </w:p>
            </w:tc>
            <w:tc>
              <w:tcPr>
                <w:tcW w:w="1494" w:type="pct"/>
                <w:vAlign w:val="center"/>
              </w:tcPr>
              <w:p w:rsidR="000F2F56" w:rsidRDefault="000F2F56" w:rsidP="000F2F56">
                <w:pPr>
                  <w:jc w:val="right"/>
                  <w:rPr>
                    <w:szCs w:val="21"/>
                  </w:rPr>
                </w:pPr>
                <w:r>
                  <w:t>2,992,939,892</w:t>
                </w:r>
              </w:p>
            </w:tc>
          </w:tr>
          <w:bookmarkEnd w:id="250"/>
        </w:tbl>
        <w:p w:rsidR="00DA4D34" w:rsidRDefault="00DA4D34" w:rsidP="00DA4D34">
          <w:pPr>
            <w:spacing w:line="360" w:lineRule="exact"/>
            <w:rPr>
              <w:szCs w:val="21"/>
            </w:rPr>
          </w:pPr>
        </w:p>
        <w:p w:rsidR="00806678" w:rsidRDefault="00B16377" w:rsidP="00DA4D34">
          <w:pPr>
            <w:spacing w:line="360" w:lineRule="exact"/>
            <w:rPr>
              <w:szCs w:val="21"/>
            </w:rPr>
          </w:pPr>
          <w:r>
            <w:rPr>
              <w:rFonts w:hint="eastAsia"/>
              <w:szCs w:val="21"/>
            </w:rPr>
            <w:t>其他说明：</w:t>
          </w:r>
        </w:p>
        <w:sdt>
          <w:sdtPr>
            <w:rPr>
              <w:rFonts w:hint="eastAsia"/>
              <w:szCs w:val="21"/>
            </w:rPr>
            <w:alias w:val="投资收益说明"/>
            <w:tag w:val="_GBC_4461c08be8cf4739a76957c4ebbfc521"/>
            <w:id w:val="-894497575"/>
            <w:lock w:val="sdtLocked"/>
            <w:placeholder>
              <w:docPart w:val="GBC22222222222222222222222222222"/>
            </w:placeholder>
          </w:sdtPr>
          <w:sdtContent>
            <w:p w:rsidR="00806678" w:rsidRDefault="009B5AD1">
              <w:pPr>
                <w:autoSpaceDE w:val="0"/>
                <w:autoSpaceDN w:val="0"/>
                <w:adjustRightInd w:val="0"/>
                <w:rPr>
                  <w:szCs w:val="21"/>
                </w:rPr>
              </w:pPr>
              <w:r>
                <w:rPr>
                  <w:rFonts w:hint="eastAsia"/>
                  <w:szCs w:val="21"/>
                </w:rPr>
                <w:t>无</w:t>
              </w:r>
            </w:p>
          </w:sdtContent>
        </w:sdt>
        <w:p w:rsidR="00806678" w:rsidRDefault="00F80B6C">
          <w:pPr>
            <w:autoSpaceDE w:val="0"/>
            <w:autoSpaceDN w:val="0"/>
            <w:adjustRightInd w:val="0"/>
            <w:rPr>
              <w:szCs w:val="21"/>
            </w:rPr>
          </w:pPr>
        </w:p>
      </w:sdtContent>
    </w:sdt>
    <w:bookmarkEnd w:id="248" w:displacedByCustomXml="prev"/>
    <w:sdt>
      <w:sdtPr>
        <w:rPr>
          <w:rFonts w:ascii="宋体" w:hAnsi="宋体" w:cs="宋体" w:hint="eastAsia"/>
          <w:b w:val="0"/>
          <w:bCs w:val="0"/>
          <w:kern w:val="0"/>
          <w:szCs w:val="21"/>
        </w:rPr>
        <w:alias w:val="模块:净敞口套期收益"/>
        <w:tag w:val="_SEC_1b8fb7a0e4a44723ab3a865986917571"/>
        <w:id w:val="-1459562517"/>
        <w:lock w:val="sdtLocked"/>
        <w:placeholder>
          <w:docPart w:val="GBC22222222222222222222222222222"/>
        </w:placeholder>
      </w:sdtPr>
      <w:sdtEndPr>
        <w:rPr>
          <w:rFonts w:hint="default"/>
        </w:rPr>
      </w:sdtEndPr>
      <w:sdtContent>
        <w:p w:rsidR="00806678" w:rsidRDefault="00B16377" w:rsidP="00FF17C7">
          <w:pPr>
            <w:pStyle w:val="3"/>
            <w:numPr>
              <w:ilvl w:val="0"/>
              <w:numId w:val="18"/>
            </w:numPr>
            <w:tabs>
              <w:tab w:val="left" w:pos="504"/>
            </w:tabs>
            <w:rPr>
              <w:szCs w:val="21"/>
            </w:rPr>
          </w:pPr>
          <w:r>
            <w:rPr>
              <w:rFonts w:hint="eastAsia"/>
              <w:szCs w:val="21"/>
            </w:rPr>
            <w:t>净敞口套期收益</w:t>
          </w:r>
        </w:p>
        <w:sdt>
          <w:sdtPr>
            <w:alias w:val="是否适用：净敞口套期收益[双击切换]"/>
            <w:tag w:val="_GBC_0b9c0635e78547e1b23b27daf08672cd"/>
            <w:id w:val="709383776"/>
            <w:lock w:val="sdtLocked"/>
            <w:placeholder>
              <w:docPart w:val="GBC22222222222222222222222222222"/>
            </w:placeholder>
          </w:sdtPr>
          <w:sdtContent>
            <w:p w:rsidR="009B5AD1" w:rsidRDefault="00F80B6C" w:rsidP="009B5AD1">
              <w:pPr>
                <w:rPr>
                  <w:szCs w:val="21"/>
                </w:rPr>
              </w:pPr>
              <w:r>
                <w:fldChar w:fldCharType="begin"/>
              </w:r>
              <w:r w:rsidR="009B5AD1">
                <w:instrText xml:space="preserve"> MACROBUTTON  SnrToggleCheckbox □适用 </w:instrText>
              </w:r>
              <w:r>
                <w:fldChar w:fldCharType="end"/>
              </w:r>
              <w:r>
                <w:fldChar w:fldCharType="begin"/>
              </w:r>
              <w:r w:rsidR="009B5AD1">
                <w:instrText xml:space="preserve"> MACROBUTTON  SnrToggleCheckbox √不适用 </w:instrText>
              </w:r>
              <w:r>
                <w:fldChar w:fldCharType="end"/>
              </w:r>
            </w:p>
          </w:sdtContent>
        </w:sdt>
        <w:p w:rsidR="00806678" w:rsidRDefault="00F80B6C">
          <w:pPr>
            <w:autoSpaceDE w:val="0"/>
            <w:autoSpaceDN w:val="0"/>
            <w:adjustRightInd w:val="0"/>
            <w:rPr>
              <w:szCs w:val="21"/>
            </w:rPr>
          </w:pPr>
        </w:p>
      </w:sdtContent>
    </w:sdt>
    <w:bookmarkStart w:id="251" w:name="_Hlk534895224" w:displacedByCustomXml="next"/>
    <w:sdt>
      <w:sdtPr>
        <w:rPr>
          <w:rFonts w:ascii="宋体" w:hAnsi="宋体" w:cs="宋体" w:hint="eastAsia"/>
          <w:b w:val="0"/>
          <w:bCs w:val="0"/>
          <w:kern w:val="0"/>
          <w:szCs w:val="21"/>
        </w:rPr>
        <w:alias w:val="模块:公允价值变动收益"/>
        <w:tag w:val="_SEC_ba248bb644d24508b56cf476e57a1ad1"/>
        <w:id w:val="-1824655690"/>
        <w:lock w:val="sdtLocked"/>
        <w:placeholder>
          <w:docPart w:val="GBC22222222222222222222222222222"/>
        </w:placeholder>
      </w:sdtPr>
      <w:sdtEndPr>
        <w:rPr>
          <w:rFonts w:cstheme="minorBidi"/>
          <w:kern w:val="2"/>
        </w:rPr>
      </w:sdtEndPr>
      <w:sdtContent>
        <w:p w:rsidR="00806678" w:rsidRDefault="00B16377" w:rsidP="00FF17C7">
          <w:pPr>
            <w:pStyle w:val="3"/>
            <w:numPr>
              <w:ilvl w:val="0"/>
              <w:numId w:val="18"/>
            </w:numPr>
            <w:tabs>
              <w:tab w:val="left" w:pos="504"/>
            </w:tabs>
            <w:rPr>
              <w:rFonts w:ascii="宋体" w:hAnsi="宋体"/>
              <w:szCs w:val="21"/>
            </w:rPr>
          </w:pPr>
          <w:r>
            <w:rPr>
              <w:rFonts w:ascii="宋体" w:hAnsi="宋体" w:hint="eastAsia"/>
              <w:szCs w:val="21"/>
            </w:rPr>
            <w:t>公允价值变动收益</w:t>
          </w:r>
        </w:p>
        <w:sdt>
          <w:sdtPr>
            <w:alias w:val="是否适用：公允价值变动收益[双击切换]"/>
            <w:tag w:val="_GBC_703e46a239ba45afa37afdd4dcae0cb4"/>
            <w:id w:val="478500876"/>
            <w:lock w:val="sdtLocked"/>
            <w:placeholder>
              <w:docPart w:val="GBC22222222222222222222222222222"/>
            </w:placeholder>
          </w:sdtPr>
          <w:sdtContent>
            <w:p w:rsidR="009B5AD1" w:rsidRDefault="00F80B6C" w:rsidP="009B5AD1">
              <w:pPr>
                <w:rPr>
                  <w:szCs w:val="21"/>
                </w:rPr>
              </w:pPr>
              <w:r>
                <w:fldChar w:fldCharType="begin"/>
              </w:r>
              <w:r w:rsidR="009B5AD1">
                <w:instrText xml:space="preserve">MACROBUTTON  SnrToggleCheckbox □适用 </w:instrText>
              </w:r>
              <w:r>
                <w:fldChar w:fldCharType="end"/>
              </w:r>
              <w:r>
                <w:fldChar w:fldCharType="begin"/>
              </w:r>
              <w:r w:rsidR="009B5AD1">
                <w:instrText xml:space="preserve"> MACROBUTTON  SnrToggleCheckbox √不适用 </w:instrText>
              </w:r>
              <w:r>
                <w:fldChar w:fldCharType="end"/>
              </w:r>
            </w:p>
          </w:sdtContent>
        </w:sdt>
        <w:p w:rsidR="00806678" w:rsidRDefault="00F80B6C">
          <w:pPr>
            <w:rPr>
              <w:rFonts w:cstheme="minorBidi"/>
              <w:kern w:val="2"/>
              <w:szCs w:val="21"/>
            </w:rPr>
          </w:pPr>
        </w:p>
      </w:sdtContent>
    </w:sdt>
    <w:bookmarkEnd w:id="251" w:displacedByCustomXml="prev"/>
    <w:sdt>
      <w:sdtPr>
        <w:rPr>
          <w:rFonts w:ascii="宋体" w:hAnsi="宋体" w:cs="宋体" w:hint="eastAsia"/>
          <w:b w:val="0"/>
          <w:bCs w:val="0"/>
          <w:kern w:val="0"/>
          <w:szCs w:val="24"/>
        </w:rPr>
        <w:alias w:val="模块:信用减值损失"/>
        <w:tag w:val="_SEC_f3aa22c360ad4d4fa144dfe2d37137a3"/>
        <w:id w:val="539398654"/>
        <w:lock w:val="sdtLocked"/>
        <w:placeholder>
          <w:docPart w:val="GBC22222222222222222222222222222"/>
        </w:placeholder>
      </w:sdtPr>
      <w:sdtEndPr>
        <w:rPr>
          <w:rFonts w:hint="default"/>
        </w:rPr>
      </w:sdtEndPr>
      <w:sdtContent>
        <w:p w:rsidR="00806678" w:rsidRDefault="00B16377" w:rsidP="00FF17C7">
          <w:pPr>
            <w:pStyle w:val="3"/>
            <w:numPr>
              <w:ilvl w:val="0"/>
              <w:numId w:val="18"/>
            </w:numPr>
            <w:tabs>
              <w:tab w:val="left" w:pos="504"/>
            </w:tabs>
          </w:pPr>
          <w:r>
            <w:rPr>
              <w:rFonts w:hint="eastAsia"/>
            </w:rPr>
            <w:t>信用减值损失</w:t>
          </w:r>
        </w:p>
        <w:sdt>
          <w:sdtPr>
            <w:alias w:val="是否适用：信用减值损失[双击切换]"/>
            <w:tag w:val="_GBC_3e1c9d9dad6c4530991d2befd4b098e3"/>
            <w:id w:val="339051823"/>
            <w:lock w:val="sdtLocked"/>
            <w:placeholder>
              <w:docPart w:val="GBC22222222222222222222222222222"/>
            </w:placeholder>
          </w:sdtPr>
          <w:sdtContent>
            <w:p w:rsidR="00806678" w:rsidRDefault="00F80B6C">
              <w:r>
                <w:fldChar w:fldCharType="begin"/>
              </w:r>
              <w:r w:rsidR="009B5AD1">
                <w:instrText xml:space="preserve"> MACROBUTTON  SnrToggleCheckbox √适用 </w:instrText>
              </w:r>
              <w:r>
                <w:fldChar w:fldCharType="end"/>
              </w:r>
              <w:r>
                <w:fldChar w:fldCharType="begin"/>
              </w:r>
              <w:r w:rsidR="009B5AD1">
                <w:instrText xml:space="preserve"> MACROBUTTON  SnrToggleCheckbox □不适用 </w:instrText>
              </w:r>
              <w:r>
                <w:fldChar w:fldCharType="end"/>
              </w:r>
            </w:p>
          </w:sdtContent>
        </w:sdt>
        <w:p w:rsidR="00806678" w:rsidRDefault="00B16377">
          <w:pPr>
            <w:pStyle w:val="a9"/>
            <w:ind w:left="420" w:firstLineChars="0" w:firstLine="0"/>
            <w:jc w:val="right"/>
          </w:pPr>
          <w:r>
            <w:rPr>
              <w:rFonts w:hint="eastAsia"/>
            </w:rPr>
            <w:t>单位：</w:t>
          </w:r>
          <w:sdt>
            <w:sdtPr>
              <w:rPr>
                <w:rFonts w:hint="eastAsia"/>
              </w:rPr>
              <w:alias w:val="单位：信用减值损失"/>
              <w:tag w:val="_GBC_64c0f12c02d44b548838a6936d90e525"/>
              <w:id w:val="41883223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信用减值损失"/>
              <w:tag w:val="_GBC_4d6a964234bf4666a052d68fb8b9d060"/>
              <w:id w:val="25317816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3650"/>
            <w:gridCol w:w="2688"/>
            <w:gridCol w:w="2711"/>
          </w:tblGrid>
          <w:tr w:rsidR="00806678" w:rsidTr="00EA4C72">
            <w:sdt>
              <w:sdtPr>
                <w:tag w:val="_PLD_32efbc222fba4f8b87e71fbd7550f57d"/>
                <w:id w:val="-1333447783"/>
                <w:lock w:val="sdtLocked"/>
              </w:sdtPr>
              <w:sdtContent>
                <w:tc>
                  <w:tcPr>
                    <w:tcW w:w="2017" w:type="pct"/>
                    <w:shd w:val="clear" w:color="auto" w:fill="auto"/>
                    <w:vAlign w:val="center"/>
                  </w:tcPr>
                  <w:p w:rsidR="00806678" w:rsidRDefault="00B16377">
                    <w:pPr>
                      <w:jc w:val="center"/>
                      <w:rPr>
                        <w:szCs w:val="21"/>
                      </w:rPr>
                    </w:pPr>
                    <w:r>
                      <w:rPr>
                        <w:rFonts w:hint="eastAsia"/>
                        <w:szCs w:val="21"/>
                      </w:rPr>
                      <w:t>项目</w:t>
                    </w:r>
                  </w:p>
                </w:tc>
              </w:sdtContent>
            </w:sdt>
            <w:sdt>
              <w:sdtPr>
                <w:tag w:val="_PLD_57fc93ac35684eca9207e23d2b2d6664"/>
                <w:id w:val="-797450037"/>
                <w:lock w:val="sdtLocked"/>
              </w:sdtPr>
              <w:sdtContent>
                <w:tc>
                  <w:tcPr>
                    <w:tcW w:w="1485" w:type="pct"/>
                    <w:tcBorders>
                      <w:bottom w:val="single" w:sz="6" w:space="0" w:color="auto"/>
                    </w:tcBorders>
                    <w:shd w:val="clear" w:color="auto" w:fill="auto"/>
                    <w:vAlign w:val="center"/>
                  </w:tcPr>
                  <w:p w:rsidR="00806678" w:rsidRDefault="00B16377">
                    <w:pPr>
                      <w:jc w:val="center"/>
                      <w:rPr>
                        <w:szCs w:val="21"/>
                      </w:rPr>
                    </w:pPr>
                    <w:r>
                      <w:rPr>
                        <w:rFonts w:hint="eastAsia"/>
                        <w:szCs w:val="21"/>
                      </w:rPr>
                      <w:t>本期发生额</w:t>
                    </w:r>
                  </w:p>
                </w:tc>
              </w:sdtContent>
            </w:sdt>
            <w:sdt>
              <w:sdtPr>
                <w:tag w:val="_PLD_ddb6bc4a58314fb2abbbb04ed4af2419"/>
                <w:id w:val="1172536351"/>
                <w:lock w:val="sdtLocked"/>
              </w:sdtPr>
              <w:sdtContent>
                <w:tc>
                  <w:tcPr>
                    <w:tcW w:w="1498" w:type="pct"/>
                    <w:shd w:val="clear" w:color="auto" w:fill="auto"/>
                    <w:vAlign w:val="center"/>
                  </w:tcPr>
                  <w:p w:rsidR="00806678" w:rsidRDefault="00B16377">
                    <w:pPr>
                      <w:jc w:val="center"/>
                      <w:rPr>
                        <w:szCs w:val="21"/>
                      </w:rPr>
                    </w:pPr>
                    <w:r>
                      <w:rPr>
                        <w:rFonts w:hint="eastAsia"/>
                        <w:szCs w:val="21"/>
                      </w:rPr>
                      <w:t>上期发生额</w:t>
                    </w:r>
                  </w:p>
                </w:tc>
              </w:sdtContent>
            </w:sdt>
          </w:tr>
          <w:tr w:rsidR="00806678" w:rsidTr="00EA4C72">
            <w:tc>
              <w:tcPr>
                <w:tcW w:w="2017" w:type="pct"/>
                <w:shd w:val="clear" w:color="auto" w:fill="auto"/>
                <w:vAlign w:val="center"/>
              </w:tcPr>
              <w:sdt>
                <w:sdtPr>
                  <w:rPr>
                    <w:rFonts w:hint="eastAsia"/>
                    <w:szCs w:val="21"/>
                  </w:rPr>
                  <w:tag w:val="_PLD_3dea696ffc7a401fb0b2813dfdf2ee05"/>
                  <w:id w:val="-1786877566"/>
                  <w:lock w:val="sdtLocked"/>
                </w:sdtPr>
                <w:sdtContent>
                  <w:p w:rsidR="00806678" w:rsidRDefault="00B16377">
                    <w:pPr>
                      <w:rPr>
                        <w:szCs w:val="21"/>
                      </w:rPr>
                    </w:pPr>
                    <w:r>
                      <w:rPr>
                        <w:rFonts w:hint="eastAsia"/>
                        <w:szCs w:val="21"/>
                      </w:rPr>
                      <w:t>应收票据坏账损失</w:t>
                    </w:r>
                  </w:p>
                </w:sdtContent>
              </w:sdt>
            </w:tc>
            <w:tc>
              <w:tcPr>
                <w:tcW w:w="1485" w:type="pct"/>
                <w:tcBorders>
                  <w:top w:val="single" w:sz="6" w:space="0" w:color="auto"/>
                  <w:bottom w:val="single" w:sz="6" w:space="0" w:color="auto"/>
                </w:tcBorders>
                <w:shd w:val="clear" w:color="auto" w:fill="auto"/>
              </w:tcPr>
              <w:p w:rsidR="00806678" w:rsidRDefault="00806678">
                <w:pPr>
                  <w:jc w:val="right"/>
                  <w:rPr>
                    <w:szCs w:val="21"/>
                  </w:rPr>
                </w:pPr>
              </w:p>
            </w:tc>
            <w:tc>
              <w:tcPr>
                <w:tcW w:w="1498" w:type="pct"/>
                <w:shd w:val="clear" w:color="auto" w:fill="auto"/>
              </w:tcPr>
              <w:p w:rsidR="00806678" w:rsidRDefault="00806678">
                <w:pPr>
                  <w:jc w:val="right"/>
                  <w:rPr>
                    <w:szCs w:val="21"/>
                  </w:rPr>
                </w:pPr>
              </w:p>
            </w:tc>
          </w:tr>
          <w:tr w:rsidR="00BB1347" w:rsidTr="00DB008B">
            <w:tc>
              <w:tcPr>
                <w:tcW w:w="2017" w:type="pct"/>
                <w:shd w:val="clear" w:color="auto" w:fill="auto"/>
                <w:vAlign w:val="center"/>
              </w:tcPr>
              <w:sdt>
                <w:sdtPr>
                  <w:rPr>
                    <w:rFonts w:hint="eastAsia"/>
                    <w:szCs w:val="21"/>
                  </w:rPr>
                  <w:tag w:val="_PLD_8f95ae55a83148e8a935f39fa8f92ca4"/>
                  <w:id w:val="-618300094"/>
                  <w:lock w:val="sdtLocked"/>
                </w:sdtPr>
                <w:sdtContent>
                  <w:p w:rsidR="00BB1347" w:rsidRDefault="00BB1347" w:rsidP="00BB1347">
                    <w:pPr>
                      <w:rPr>
                        <w:szCs w:val="21"/>
                      </w:rPr>
                    </w:pPr>
                    <w:r>
                      <w:rPr>
                        <w:rFonts w:hint="eastAsia"/>
                        <w:szCs w:val="21"/>
                      </w:rPr>
                      <w:t>应收账款坏账损失</w:t>
                    </w:r>
                  </w:p>
                </w:sdtContent>
              </w:sdt>
            </w:tc>
            <w:tc>
              <w:tcPr>
                <w:tcW w:w="1485" w:type="pct"/>
                <w:tcBorders>
                  <w:top w:val="single" w:sz="6" w:space="0" w:color="auto"/>
                  <w:bottom w:val="single" w:sz="6" w:space="0" w:color="auto"/>
                </w:tcBorders>
                <w:shd w:val="clear" w:color="auto" w:fill="auto"/>
                <w:vAlign w:val="center"/>
              </w:tcPr>
              <w:p w:rsidR="00BB1347" w:rsidRDefault="00BB1347" w:rsidP="00BB1347">
                <w:pPr>
                  <w:jc w:val="right"/>
                  <w:rPr>
                    <w:szCs w:val="21"/>
                  </w:rPr>
                </w:pPr>
                <w:r>
                  <w:t>-169,808,468</w:t>
                </w:r>
              </w:p>
            </w:tc>
            <w:tc>
              <w:tcPr>
                <w:tcW w:w="1498" w:type="pct"/>
                <w:shd w:val="clear" w:color="auto" w:fill="auto"/>
                <w:vAlign w:val="center"/>
              </w:tcPr>
              <w:p w:rsidR="00BB1347" w:rsidRDefault="00BB1347" w:rsidP="00BB1347">
                <w:pPr>
                  <w:jc w:val="right"/>
                  <w:rPr>
                    <w:szCs w:val="21"/>
                  </w:rPr>
                </w:pPr>
                <w:r>
                  <w:t>359,331,523</w:t>
                </w:r>
              </w:p>
            </w:tc>
          </w:tr>
          <w:tr w:rsidR="00BB1347" w:rsidTr="00DB008B">
            <w:tc>
              <w:tcPr>
                <w:tcW w:w="2017" w:type="pct"/>
                <w:shd w:val="clear" w:color="auto" w:fill="auto"/>
                <w:vAlign w:val="center"/>
              </w:tcPr>
              <w:sdt>
                <w:sdtPr>
                  <w:rPr>
                    <w:rFonts w:hint="eastAsia"/>
                    <w:szCs w:val="21"/>
                  </w:rPr>
                  <w:tag w:val="_PLD_d9f7b1208cc747c9bd80ca0b7a90857e"/>
                  <w:id w:val="-293835235"/>
                  <w:lock w:val="sdtLocked"/>
                </w:sdtPr>
                <w:sdtContent>
                  <w:p w:rsidR="00BB1347" w:rsidRDefault="00BB1347" w:rsidP="00BB1347">
                    <w:pPr>
                      <w:rPr>
                        <w:szCs w:val="21"/>
                      </w:rPr>
                    </w:pPr>
                    <w:r>
                      <w:rPr>
                        <w:rFonts w:hint="eastAsia"/>
                        <w:szCs w:val="21"/>
                      </w:rPr>
                      <w:t>其他应收款坏账损失</w:t>
                    </w:r>
                  </w:p>
                </w:sdtContent>
              </w:sdt>
            </w:tc>
            <w:tc>
              <w:tcPr>
                <w:tcW w:w="1485" w:type="pct"/>
                <w:tcBorders>
                  <w:top w:val="single" w:sz="6" w:space="0" w:color="auto"/>
                  <w:bottom w:val="single" w:sz="6" w:space="0" w:color="auto"/>
                </w:tcBorders>
                <w:shd w:val="clear" w:color="auto" w:fill="auto"/>
                <w:vAlign w:val="center"/>
              </w:tcPr>
              <w:p w:rsidR="00BB1347" w:rsidRDefault="00BB1347" w:rsidP="00BB1347">
                <w:pPr>
                  <w:jc w:val="right"/>
                  <w:rPr>
                    <w:szCs w:val="21"/>
                  </w:rPr>
                </w:pPr>
                <w:r>
                  <w:t>-4,697,331</w:t>
                </w:r>
              </w:p>
            </w:tc>
            <w:tc>
              <w:tcPr>
                <w:tcW w:w="1498" w:type="pct"/>
                <w:shd w:val="clear" w:color="auto" w:fill="auto"/>
                <w:vAlign w:val="center"/>
              </w:tcPr>
              <w:p w:rsidR="00BB1347" w:rsidRDefault="00BB1347" w:rsidP="00BB1347">
                <w:pPr>
                  <w:jc w:val="right"/>
                  <w:rPr>
                    <w:szCs w:val="21"/>
                  </w:rPr>
                </w:pPr>
                <w:r>
                  <w:t>-7,392,225</w:t>
                </w:r>
              </w:p>
            </w:tc>
          </w:tr>
          <w:tr w:rsidR="00BB1347" w:rsidTr="00EA4C72">
            <w:tc>
              <w:tcPr>
                <w:tcW w:w="2017" w:type="pct"/>
                <w:shd w:val="clear" w:color="auto" w:fill="auto"/>
                <w:vAlign w:val="center"/>
              </w:tcPr>
              <w:sdt>
                <w:sdtPr>
                  <w:rPr>
                    <w:rFonts w:hint="eastAsia"/>
                    <w:szCs w:val="21"/>
                  </w:rPr>
                  <w:tag w:val="_PLD_2c9adec2cb4a46aeb2cec6f99fe0fe9f"/>
                  <w:id w:val="-1319873418"/>
                  <w:lock w:val="sdtLocked"/>
                </w:sdtPr>
                <w:sdtContent>
                  <w:p w:rsidR="00BB1347" w:rsidRDefault="00BB1347" w:rsidP="00BB1347">
                    <w:pPr>
                      <w:rPr>
                        <w:szCs w:val="21"/>
                      </w:rPr>
                    </w:pPr>
                    <w:r>
                      <w:rPr>
                        <w:rFonts w:hint="eastAsia"/>
                        <w:szCs w:val="21"/>
                      </w:rPr>
                      <w:t>债权投资减值损失</w:t>
                    </w:r>
                  </w:p>
                </w:sdtContent>
              </w:sdt>
            </w:tc>
            <w:tc>
              <w:tcPr>
                <w:tcW w:w="1485" w:type="pct"/>
                <w:tcBorders>
                  <w:top w:val="single" w:sz="6" w:space="0" w:color="auto"/>
                  <w:bottom w:val="single" w:sz="6" w:space="0" w:color="auto"/>
                </w:tcBorders>
                <w:shd w:val="clear" w:color="auto" w:fill="auto"/>
              </w:tcPr>
              <w:p w:rsidR="00BB1347" w:rsidRDefault="00BB1347" w:rsidP="00BB1347">
                <w:pPr>
                  <w:jc w:val="right"/>
                  <w:rPr>
                    <w:szCs w:val="21"/>
                  </w:rPr>
                </w:pPr>
              </w:p>
            </w:tc>
            <w:tc>
              <w:tcPr>
                <w:tcW w:w="1498" w:type="pct"/>
                <w:shd w:val="clear" w:color="auto" w:fill="auto"/>
              </w:tcPr>
              <w:p w:rsidR="00BB1347" w:rsidRDefault="00BB1347" w:rsidP="00BB1347">
                <w:pPr>
                  <w:jc w:val="right"/>
                  <w:rPr>
                    <w:szCs w:val="21"/>
                  </w:rPr>
                </w:pPr>
              </w:p>
            </w:tc>
          </w:tr>
          <w:tr w:rsidR="00BB1347" w:rsidTr="00EA4C72">
            <w:tc>
              <w:tcPr>
                <w:tcW w:w="2017" w:type="pct"/>
                <w:shd w:val="clear" w:color="auto" w:fill="auto"/>
                <w:vAlign w:val="center"/>
              </w:tcPr>
              <w:sdt>
                <w:sdtPr>
                  <w:rPr>
                    <w:rFonts w:hint="eastAsia"/>
                    <w:szCs w:val="21"/>
                  </w:rPr>
                  <w:tag w:val="_PLD_ae55071e73dc4bc4a7ae2758f22c1239"/>
                  <w:id w:val="2060896993"/>
                  <w:lock w:val="sdtLocked"/>
                </w:sdtPr>
                <w:sdtContent>
                  <w:p w:rsidR="00BB1347" w:rsidRDefault="00BB1347" w:rsidP="00BB1347">
                    <w:pPr>
                      <w:rPr>
                        <w:szCs w:val="21"/>
                      </w:rPr>
                    </w:pPr>
                    <w:r>
                      <w:rPr>
                        <w:rFonts w:hint="eastAsia"/>
                        <w:szCs w:val="21"/>
                      </w:rPr>
                      <w:t>其他债权投资减值损失</w:t>
                    </w:r>
                  </w:p>
                </w:sdtContent>
              </w:sdt>
            </w:tc>
            <w:tc>
              <w:tcPr>
                <w:tcW w:w="1485" w:type="pct"/>
                <w:tcBorders>
                  <w:top w:val="single" w:sz="6" w:space="0" w:color="auto"/>
                  <w:bottom w:val="single" w:sz="6" w:space="0" w:color="auto"/>
                </w:tcBorders>
                <w:shd w:val="clear" w:color="auto" w:fill="auto"/>
              </w:tcPr>
              <w:p w:rsidR="00BB1347" w:rsidRDefault="00BB1347" w:rsidP="00BB1347">
                <w:pPr>
                  <w:jc w:val="right"/>
                  <w:rPr>
                    <w:szCs w:val="21"/>
                  </w:rPr>
                </w:pPr>
              </w:p>
            </w:tc>
            <w:tc>
              <w:tcPr>
                <w:tcW w:w="1498" w:type="pct"/>
                <w:shd w:val="clear" w:color="auto" w:fill="auto"/>
              </w:tcPr>
              <w:p w:rsidR="00BB1347" w:rsidRDefault="00BB1347" w:rsidP="00BB1347">
                <w:pPr>
                  <w:jc w:val="right"/>
                  <w:rPr>
                    <w:szCs w:val="21"/>
                  </w:rPr>
                </w:pPr>
              </w:p>
            </w:tc>
          </w:tr>
          <w:tr w:rsidR="00BB1347" w:rsidTr="00EA4C72">
            <w:tc>
              <w:tcPr>
                <w:tcW w:w="2017" w:type="pct"/>
                <w:shd w:val="clear" w:color="auto" w:fill="auto"/>
                <w:vAlign w:val="center"/>
              </w:tcPr>
              <w:sdt>
                <w:sdtPr>
                  <w:rPr>
                    <w:rFonts w:hint="eastAsia"/>
                    <w:szCs w:val="21"/>
                  </w:rPr>
                  <w:tag w:val="_PLD_6533e6f8c0f84283b74361e70d6b5710"/>
                  <w:id w:val="1865249646"/>
                  <w:lock w:val="sdtLocked"/>
                </w:sdtPr>
                <w:sdtContent>
                  <w:p w:rsidR="00BB1347" w:rsidRDefault="00BB1347" w:rsidP="00BB1347">
                    <w:pPr>
                      <w:rPr>
                        <w:szCs w:val="21"/>
                      </w:rPr>
                    </w:pPr>
                    <w:r>
                      <w:rPr>
                        <w:rFonts w:hint="eastAsia"/>
                        <w:szCs w:val="21"/>
                      </w:rPr>
                      <w:t>长期应收款坏账损失</w:t>
                    </w:r>
                  </w:p>
                </w:sdtContent>
              </w:sdt>
            </w:tc>
            <w:tc>
              <w:tcPr>
                <w:tcW w:w="1485" w:type="pct"/>
                <w:tcBorders>
                  <w:top w:val="single" w:sz="6" w:space="0" w:color="auto"/>
                  <w:bottom w:val="single" w:sz="6" w:space="0" w:color="auto"/>
                </w:tcBorders>
                <w:shd w:val="clear" w:color="auto" w:fill="auto"/>
              </w:tcPr>
              <w:p w:rsidR="00BB1347" w:rsidRDefault="00BB1347" w:rsidP="00BB1347">
                <w:pPr>
                  <w:jc w:val="right"/>
                  <w:rPr>
                    <w:szCs w:val="21"/>
                  </w:rPr>
                </w:pPr>
              </w:p>
            </w:tc>
            <w:tc>
              <w:tcPr>
                <w:tcW w:w="1498" w:type="pct"/>
                <w:shd w:val="clear" w:color="auto" w:fill="auto"/>
              </w:tcPr>
              <w:p w:rsidR="00BB1347" w:rsidRDefault="00BB1347" w:rsidP="00BB1347">
                <w:pPr>
                  <w:jc w:val="right"/>
                  <w:rPr>
                    <w:szCs w:val="21"/>
                  </w:rPr>
                </w:pPr>
              </w:p>
            </w:tc>
          </w:tr>
          <w:tr w:rsidR="00BB1347" w:rsidTr="00EA4C72">
            <w:tc>
              <w:tcPr>
                <w:tcW w:w="2017" w:type="pct"/>
                <w:shd w:val="clear" w:color="auto" w:fill="auto"/>
                <w:vAlign w:val="center"/>
              </w:tcPr>
              <w:sdt>
                <w:sdtPr>
                  <w:rPr>
                    <w:rFonts w:hint="eastAsia"/>
                    <w:szCs w:val="21"/>
                  </w:rPr>
                  <w:tag w:val="_PLD_7476643019704ecf8be783f76b96e872"/>
                  <w:id w:val="-1419240950"/>
                  <w:lock w:val="sdtLocked"/>
                </w:sdtPr>
                <w:sdtContent>
                  <w:p w:rsidR="00BB1347" w:rsidRDefault="00BB1347" w:rsidP="00BB1347">
                    <w:pPr>
                      <w:rPr>
                        <w:szCs w:val="21"/>
                      </w:rPr>
                    </w:pPr>
                    <w:r>
                      <w:rPr>
                        <w:rFonts w:hint="eastAsia"/>
                        <w:szCs w:val="21"/>
                      </w:rPr>
                      <w:t>合同资产减值损失</w:t>
                    </w:r>
                  </w:p>
                </w:sdtContent>
              </w:sdt>
            </w:tc>
            <w:tc>
              <w:tcPr>
                <w:tcW w:w="1485" w:type="pct"/>
                <w:tcBorders>
                  <w:top w:val="single" w:sz="6" w:space="0" w:color="auto"/>
                  <w:bottom w:val="single" w:sz="6" w:space="0" w:color="auto"/>
                </w:tcBorders>
                <w:shd w:val="clear" w:color="auto" w:fill="auto"/>
              </w:tcPr>
              <w:p w:rsidR="00BB1347" w:rsidRDefault="00BB1347" w:rsidP="00BB1347">
                <w:pPr>
                  <w:jc w:val="right"/>
                  <w:rPr>
                    <w:szCs w:val="21"/>
                  </w:rPr>
                </w:pPr>
              </w:p>
            </w:tc>
            <w:tc>
              <w:tcPr>
                <w:tcW w:w="1498" w:type="pct"/>
                <w:shd w:val="clear" w:color="auto" w:fill="auto"/>
              </w:tcPr>
              <w:p w:rsidR="00BB1347" w:rsidRDefault="00BB1347" w:rsidP="00BB1347">
                <w:pPr>
                  <w:jc w:val="right"/>
                  <w:rPr>
                    <w:szCs w:val="21"/>
                  </w:rPr>
                </w:pPr>
              </w:p>
            </w:tc>
          </w:tr>
          <w:tr w:rsidR="00BB1347" w:rsidTr="00DB008B">
            <w:sdt>
              <w:sdtPr>
                <w:tag w:val="_PLD_fb4052249318445ab343a63eb6ab6e3b"/>
                <w:id w:val="8423916"/>
                <w:lock w:val="sdtLocked"/>
              </w:sdtPr>
              <w:sdtContent>
                <w:tc>
                  <w:tcPr>
                    <w:tcW w:w="2017" w:type="pct"/>
                    <w:shd w:val="clear" w:color="auto" w:fill="auto"/>
                    <w:vAlign w:val="center"/>
                  </w:tcPr>
                  <w:p w:rsidR="00BB1347" w:rsidRDefault="00BB1347" w:rsidP="00BB1347">
                    <w:pPr>
                      <w:jc w:val="center"/>
                      <w:rPr>
                        <w:szCs w:val="21"/>
                      </w:rPr>
                    </w:pPr>
                    <w:r>
                      <w:rPr>
                        <w:rFonts w:hint="eastAsia"/>
                        <w:szCs w:val="21"/>
                      </w:rPr>
                      <w:t>合计</w:t>
                    </w:r>
                  </w:p>
                </w:tc>
              </w:sdtContent>
            </w:sdt>
            <w:tc>
              <w:tcPr>
                <w:tcW w:w="1485" w:type="pct"/>
                <w:tcBorders>
                  <w:top w:val="single" w:sz="6" w:space="0" w:color="auto"/>
                  <w:bottom w:val="single" w:sz="4" w:space="0" w:color="auto"/>
                </w:tcBorders>
                <w:shd w:val="clear" w:color="auto" w:fill="auto"/>
                <w:vAlign w:val="center"/>
              </w:tcPr>
              <w:p w:rsidR="00BB1347" w:rsidRDefault="00BB1347" w:rsidP="00BB1347">
                <w:pPr>
                  <w:jc w:val="right"/>
                  <w:rPr>
                    <w:szCs w:val="21"/>
                  </w:rPr>
                </w:pPr>
                <w:r>
                  <w:t>-174,505,799</w:t>
                </w:r>
              </w:p>
            </w:tc>
            <w:tc>
              <w:tcPr>
                <w:tcW w:w="1498" w:type="pct"/>
                <w:shd w:val="clear" w:color="auto" w:fill="auto"/>
                <w:vAlign w:val="center"/>
              </w:tcPr>
              <w:p w:rsidR="00BB1347" w:rsidRDefault="00BB1347" w:rsidP="00BB1347">
                <w:pPr>
                  <w:jc w:val="right"/>
                  <w:rPr>
                    <w:szCs w:val="21"/>
                  </w:rPr>
                </w:pPr>
                <w:r>
                  <w:t>351,939,298</w:t>
                </w:r>
              </w:p>
            </w:tc>
          </w:tr>
        </w:tbl>
        <w:p w:rsidR="00DA4D34" w:rsidRDefault="00DA4D34"/>
        <w:p w:rsidR="00806678" w:rsidRDefault="00B16377">
          <w:r>
            <w:rPr>
              <w:rFonts w:hint="eastAsia"/>
            </w:rPr>
            <w:t>其他</w:t>
          </w:r>
          <w:r>
            <w:t>说明</w:t>
          </w:r>
          <w:r>
            <w:rPr>
              <w:rFonts w:hint="eastAsia"/>
            </w:rPr>
            <w:t>：</w:t>
          </w:r>
        </w:p>
        <w:sdt>
          <w:sdtPr>
            <w:alias w:val="信用减值损失其他说明"/>
            <w:tag w:val="_GBC_c4f5a3728c354e07a647f36805e2176b"/>
            <w:id w:val="1085737098"/>
            <w:lock w:val="sdtLocked"/>
            <w:placeholder>
              <w:docPart w:val="GBC22222222222222222222222222222"/>
            </w:placeholder>
          </w:sdtPr>
          <w:sdtContent>
            <w:p w:rsidR="00806678" w:rsidRDefault="00BB1347">
              <w:r>
                <w:rPr>
                  <w:rFonts w:hint="eastAsia"/>
                </w:rPr>
                <w:t>无</w:t>
              </w:r>
            </w:p>
          </w:sdtContent>
        </w:sdt>
        <w:p w:rsidR="00806678" w:rsidRPr="001C6BB5" w:rsidRDefault="00F80B6C"/>
      </w:sdtContent>
    </w:sdt>
    <w:sdt>
      <w:sdtPr>
        <w:rPr>
          <w:rFonts w:ascii="宋体" w:hAnsi="宋体" w:cs="宋体" w:hint="eastAsia"/>
          <w:b w:val="0"/>
          <w:bCs w:val="0"/>
          <w:kern w:val="0"/>
          <w:szCs w:val="21"/>
        </w:rPr>
        <w:alias w:val="模块:资产减值损失"/>
        <w:tag w:val="_SEC_0711b4002bfe46319954a4204926581c"/>
        <w:id w:val="-1528399160"/>
        <w:lock w:val="sdtLocked"/>
        <w:placeholder>
          <w:docPart w:val="GBC22222222222222222222222222222"/>
        </w:placeholder>
      </w:sdtPr>
      <w:sdtEndPr>
        <w:rPr>
          <w:rFonts w:asciiTheme="minorHAnsi" w:eastAsiaTheme="minorEastAsia" w:hAnsiTheme="minorHAnsi" w:hint="default"/>
          <w:szCs w:val="22"/>
        </w:rPr>
      </w:sdtEndPr>
      <w:sdtContent>
        <w:p w:rsidR="00806678" w:rsidRDefault="00B16377" w:rsidP="00FF17C7">
          <w:pPr>
            <w:pStyle w:val="3"/>
            <w:numPr>
              <w:ilvl w:val="0"/>
              <w:numId w:val="18"/>
            </w:numPr>
            <w:tabs>
              <w:tab w:val="left" w:pos="504"/>
            </w:tabs>
            <w:rPr>
              <w:rFonts w:ascii="宋体" w:hAnsi="宋体"/>
              <w:szCs w:val="21"/>
            </w:rPr>
          </w:pPr>
          <w:r>
            <w:rPr>
              <w:rFonts w:ascii="宋体" w:hAnsi="宋体" w:hint="eastAsia"/>
              <w:bCs w:val="0"/>
              <w:szCs w:val="21"/>
            </w:rPr>
            <w:t>资</w:t>
          </w:r>
          <w:r>
            <w:rPr>
              <w:rFonts w:ascii="宋体" w:hAnsi="宋体" w:hint="eastAsia"/>
              <w:szCs w:val="21"/>
            </w:rPr>
            <w:t>产减值损失</w:t>
          </w:r>
        </w:p>
        <w:sdt>
          <w:sdtPr>
            <w:alias w:val="是否适用：资产减值损失[双击切换]"/>
            <w:tag w:val="_GBC_8b37643fea7c43289fdaf85f79b2bcae"/>
            <w:id w:val="466549004"/>
            <w:lock w:val="sdtLocked"/>
            <w:placeholder>
              <w:docPart w:val="GBC22222222222222222222222222222"/>
            </w:placeholder>
          </w:sdtPr>
          <w:sdtContent>
            <w:p w:rsidR="00806678" w:rsidRDefault="00F80B6C">
              <w:r>
                <w:fldChar w:fldCharType="begin"/>
              </w:r>
              <w:r w:rsidR="009C54D9">
                <w:instrText xml:space="preserve">MACROBUTTON  SnrToggleCheckbox √适用 </w:instrText>
              </w:r>
              <w:r>
                <w:fldChar w:fldCharType="end"/>
              </w:r>
              <w:r>
                <w:fldChar w:fldCharType="begin"/>
              </w:r>
              <w:r w:rsidR="009C54D9">
                <w:instrText xml:space="preserve"> MACROBUTTON  SnrToggleCheckbox □不适用 </w:instrText>
              </w:r>
              <w:r>
                <w:fldChar w:fldCharType="end"/>
              </w:r>
            </w:p>
          </w:sdtContent>
        </w:sdt>
        <w:p w:rsidR="00806678" w:rsidRDefault="00B16377">
          <w:pPr>
            <w:jc w:val="right"/>
            <w:rPr>
              <w:szCs w:val="21"/>
            </w:rPr>
          </w:pPr>
          <w:r>
            <w:rPr>
              <w:rFonts w:hint="eastAsia"/>
              <w:szCs w:val="21"/>
            </w:rPr>
            <w:t>单位：</w:t>
          </w:r>
          <w:sdt>
            <w:sdtPr>
              <w:rPr>
                <w:rFonts w:hint="eastAsia"/>
                <w:szCs w:val="21"/>
              </w:rPr>
              <w:alias w:val="单位：财务附注：资产减值损失"/>
              <w:tag w:val="_GBC_fe85f36c54dd476ea970b9d8ae08135d"/>
              <w:id w:val="-127385494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资产减值损失"/>
              <w:tag w:val="_GBC_08596d3dbba143a8b694044119494ec6"/>
              <w:id w:val="-98006832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98"/>
            <w:gridCol w:w="2574"/>
            <w:gridCol w:w="3077"/>
          </w:tblGrid>
          <w:tr w:rsidR="00806678" w:rsidTr="00DA51A9">
            <w:sdt>
              <w:sdtPr>
                <w:tag w:val="_PLD_344de032f71b4e06985c561df3bcf55a"/>
                <w:id w:val="651870075"/>
                <w:lock w:val="sdtLocked"/>
              </w:sdtPr>
              <w:sdtContent>
                <w:tc>
                  <w:tcPr>
                    <w:tcW w:w="1878" w:type="pct"/>
                    <w:tcBorders>
                      <w:top w:val="single" w:sz="4" w:space="0" w:color="auto"/>
                      <w:left w:val="single" w:sz="4" w:space="0" w:color="auto"/>
                      <w:bottom w:val="single" w:sz="4" w:space="0" w:color="auto"/>
                      <w:right w:val="single" w:sz="4" w:space="0" w:color="auto"/>
                    </w:tcBorders>
                    <w:vAlign w:val="center"/>
                  </w:tcPr>
                  <w:p w:rsidR="00806678" w:rsidRDefault="00B16377">
                    <w:pPr>
                      <w:autoSpaceDE w:val="0"/>
                      <w:autoSpaceDN w:val="0"/>
                      <w:adjustRightInd w:val="0"/>
                      <w:jc w:val="center"/>
                      <w:rPr>
                        <w:szCs w:val="21"/>
                      </w:rPr>
                    </w:pPr>
                    <w:r>
                      <w:rPr>
                        <w:rFonts w:hint="eastAsia"/>
                        <w:szCs w:val="21"/>
                      </w:rPr>
                      <w:t>项目</w:t>
                    </w:r>
                  </w:p>
                </w:tc>
              </w:sdtContent>
            </w:sdt>
            <w:sdt>
              <w:sdtPr>
                <w:tag w:val="_PLD_9551307ec5c049a3aa84c3c7d3e61d92"/>
                <w:id w:val="974951348"/>
                <w:lock w:val="sdtLocked"/>
              </w:sdtPr>
              <w:sdtContent>
                <w:tc>
                  <w:tcPr>
                    <w:tcW w:w="1422" w:type="pct"/>
                    <w:tcBorders>
                      <w:top w:val="single" w:sz="4" w:space="0" w:color="auto"/>
                      <w:left w:val="single" w:sz="4" w:space="0" w:color="auto"/>
                      <w:bottom w:val="single" w:sz="4" w:space="0" w:color="auto"/>
                      <w:right w:val="single" w:sz="4" w:space="0" w:color="auto"/>
                    </w:tcBorders>
                    <w:vAlign w:val="center"/>
                  </w:tcPr>
                  <w:p w:rsidR="00806678" w:rsidRDefault="00B16377">
                    <w:pPr>
                      <w:autoSpaceDE w:val="0"/>
                      <w:autoSpaceDN w:val="0"/>
                      <w:adjustRightInd w:val="0"/>
                      <w:jc w:val="center"/>
                      <w:rPr>
                        <w:szCs w:val="21"/>
                      </w:rPr>
                    </w:pPr>
                    <w:r>
                      <w:rPr>
                        <w:rFonts w:hint="eastAsia"/>
                        <w:szCs w:val="21"/>
                      </w:rPr>
                      <w:t>本期发生额</w:t>
                    </w:r>
                  </w:p>
                </w:tc>
              </w:sdtContent>
            </w:sdt>
            <w:sdt>
              <w:sdtPr>
                <w:tag w:val="_PLD_46a2a62cd1b1406f877f135b9d7e38a6"/>
                <w:id w:val="-1233463258"/>
                <w:lock w:val="sdtLocked"/>
              </w:sdtPr>
              <w:sdtContent>
                <w:tc>
                  <w:tcPr>
                    <w:tcW w:w="1700" w:type="pct"/>
                    <w:tcBorders>
                      <w:top w:val="single" w:sz="4" w:space="0" w:color="auto"/>
                      <w:left w:val="single" w:sz="4" w:space="0" w:color="auto"/>
                      <w:bottom w:val="single" w:sz="4" w:space="0" w:color="auto"/>
                      <w:right w:val="single" w:sz="4" w:space="0" w:color="auto"/>
                    </w:tcBorders>
                    <w:vAlign w:val="center"/>
                  </w:tcPr>
                  <w:p w:rsidR="00806678" w:rsidRDefault="00B16377">
                    <w:pPr>
                      <w:autoSpaceDE w:val="0"/>
                      <w:autoSpaceDN w:val="0"/>
                      <w:adjustRightInd w:val="0"/>
                      <w:jc w:val="center"/>
                      <w:rPr>
                        <w:szCs w:val="21"/>
                      </w:rPr>
                    </w:pPr>
                    <w:r>
                      <w:rPr>
                        <w:rFonts w:hint="eastAsia"/>
                        <w:szCs w:val="21"/>
                      </w:rPr>
                      <w:t>上期发生额</w:t>
                    </w:r>
                  </w:p>
                </w:tc>
              </w:sdtContent>
            </w:sdt>
          </w:tr>
          <w:tr w:rsidR="00806678" w:rsidTr="00DA51A9">
            <w:sdt>
              <w:sdtPr>
                <w:tag w:val="_PLD_a5b0452207d64fb88ccbca66f785c80a"/>
                <w:id w:val="-1824273471"/>
                <w:lock w:val="sdtLocked"/>
              </w:sdtPr>
              <w:sdtContent>
                <w:tc>
                  <w:tcPr>
                    <w:tcW w:w="1878" w:type="pct"/>
                    <w:tcBorders>
                      <w:top w:val="single" w:sz="4" w:space="0" w:color="auto"/>
                      <w:left w:val="single" w:sz="4" w:space="0" w:color="auto"/>
                      <w:bottom w:val="single" w:sz="4" w:space="0" w:color="auto"/>
                      <w:right w:val="single" w:sz="4" w:space="0" w:color="auto"/>
                    </w:tcBorders>
                  </w:tcPr>
                  <w:p w:rsidR="00806678" w:rsidRDefault="00B16377">
                    <w:pPr>
                      <w:autoSpaceDE w:val="0"/>
                      <w:autoSpaceDN w:val="0"/>
                      <w:adjustRightInd w:val="0"/>
                      <w:rPr>
                        <w:szCs w:val="21"/>
                      </w:rPr>
                    </w:pPr>
                    <w:r>
                      <w:rPr>
                        <w:rFonts w:hint="eastAsia"/>
                        <w:szCs w:val="21"/>
                      </w:rPr>
                      <w:t>一、坏账损失</w:t>
                    </w:r>
                  </w:p>
                </w:tc>
              </w:sdtContent>
            </w:sdt>
            <w:tc>
              <w:tcPr>
                <w:tcW w:w="1422" w:type="pct"/>
                <w:tcBorders>
                  <w:top w:val="single" w:sz="4" w:space="0" w:color="auto"/>
                  <w:left w:val="single" w:sz="4" w:space="0" w:color="auto"/>
                  <w:bottom w:val="single" w:sz="4" w:space="0" w:color="auto"/>
                  <w:right w:val="single" w:sz="4" w:space="0" w:color="auto"/>
                </w:tcBorders>
              </w:tcPr>
              <w:p w:rsidR="00806678" w:rsidRDefault="00806678">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806678" w:rsidRDefault="00806678">
                <w:pPr>
                  <w:jc w:val="right"/>
                  <w:rPr>
                    <w:szCs w:val="21"/>
                  </w:rPr>
                </w:pPr>
              </w:p>
            </w:tc>
          </w:tr>
          <w:tr w:rsidR="00806678" w:rsidTr="00DA51A9">
            <w:tc>
              <w:tcPr>
                <w:tcW w:w="1878" w:type="pct"/>
                <w:tcBorders>
                  <w:top w:val="single" w:sz="4" w:space="0" w:color="auto"/>
                  <w:left w:val="single" w:sz="4" w:space="0" w:color="auto"/>
                  <w:bottom w:val="single" w:sz="4" w:space="0" w:color="auto"/>
                  <w:right w:val="single" w:sz="4" w:space="0" w:color="auto"/>
                </w:tcBorders>
              </w:tcPr>
              <w:sdt>
                <w:sdtPr>
                  <w:rPr>
                    <w:rFonts w:hint="eastAsia"/>
                  </w:rPr>
                  <w:tag w:val="_PLD_f3e56bd86dd541bb999fb148048ad094"/>
                  <w:id w:val="788016574"/>
                  <w:lock w:val="sdtLocked"/>
                </w:sdtPr>
                <w:sdtContent>
                  <w:p w:rsidR="00806678" w:rsidRDefault="00B16377">
                    <w:pPr>
                      <w:autoSpaceDE w:val="0"/>
                      <w:autoSpaceDN w:val="0"/>
                      <w:adjustRightInd w:val="0"/>
                    </w:pPr>
                    <w:r>
                      <w:rPr>
                        <w:rFonts w:hint="eastAsia"/>
                      </w:rPr>
                      <w:t>二、存货跌价损失及合同履约成本减值损失</w:t>
                    </w:r>
                  </w:p>
                </w:sdtContent>
              </w:sdt>
            </w:tc>
            <w:tc>
              <w:tcPr>
                <w:tcW w:w="1422" w:type="pct"/>
                <w:tcBorders>
                  <w:top w:val="single" w:sz="4" w:space="0" w:color="auto"/>
                  <w:left w:val="single" w:sz="4" w:space="0" w:color="auto"/>
                  <w:bottom w:val="single" w:sz="4" w:space="0" w:color="auto"/>
                  <w:right w:val="single" w:sz="4" w:space="0" w:color="auto"/>
                </w:tcBorders>
              </w:tcPr>
              <w:p w:rsidR="00806678" w:rsidRDefault="00806678">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806678" w:rsidRDefault="00806678">
                <w:pPr>
                  <w:jc w:val="right"/>
                  <w:rPr>
                    <w:szCs w:val="21"/>
                  </w:rPr>
                </w:pPr>
              </w:p>
            </w:tc>
          </w:tr>
          <w:tr w:rsidR="00806678" w:rsidTr="00DA51A9">
            <w:sdt>
              <w:sdtPr>
                <w:tag w:val="_PLD_918ffd8efce148388b465543a65deb36"/>
                <w:id w:val="1365328119"/>
                <w:lock w:val="sdtLocked"/>
              </w:sdtPr>
              <w:sdtContent>
                <w:tc>
                  <w:tcPr>
                    <w:tcW w:w="1878" w:type="pct"/>
                    <w:tcBorders>
                      <w:top w:val="single" w:sz="4" w:space="0" w:color="auto"/>
                      <w:left w:val="single" w:sz="4" w:space="0" w:color="auto"/>
                      <w:bottom w:val="single" w:sz="4" w:space="0" w:color="auto"/>
                      <w:right w:val="single" w:sz="4" w:space="0" w:color="auto"/>
                    </w:tcBorders>
                  </w:tcPr>
                  <w:p w:rsidR="00806678" w:rsidRDefault="00B16377">
                    <w:pPr>
                      <w:autoSpaceDE w:val="0"/>
                      <w:autoSpaceDN w:val="0"/>
                      <w:adjustRightInd w:val="0"/>
                      <w:rPr>
                        <w:szCs w:val="21"/>
                      </w:rPr>
                    </w:pPr>
                    <w:r>
                      <w:rPr>
                        <w:rFonts w:hint="eastAsia"/>
                      </w:rPr>
                      <w:t>三</w:t>
                    </w:r>
                    <w:r>
                      <w:rPr>
                        <w:rFonts w:hint="eastAsia"/>
                        <w:szCs w:val="21"/>
                      </w:rPr>
                      <w:t>、长期股权投资减值损失</w:t>
                    </w:r>
                  </w:p>
                </w:tc>
              </w:sdtContent>
            </w:sdt>
            <w:tc>
              <w:tcPr>
                <w:tcW w:w="1422" w:type="pct"/>
                <w:tcBorders>
                  <w:top w:val="single" w:sz="4" w:space="0" w:color="auto"/>
                  <w:left w:val="single" w:sz="4" w:space="0" w:color="auto"/>
                  <w:bottom w:val="single" w:sz="4" w:space="0" w:color="auto"/>
                  <w:right w:val="single" w:sz="4" w:space="0" w:color="auto"/>
                </w:tcBorders>
              </w:tcPr>
              <w:p w:rsidR="00806678" w:rsidRDefault="00806678">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806678" w:rsidRDefault="00806678">
                <w:pPr>
                  <w:jc w:val="right"/>
                  <w:rPr>
                    <w:szCs w:val="21"/>
                  </w:rPr>
                </w:pPr>
              </w:p>
            </w:tc>
          </w:tr>
          <w:tr w:rsidR="00806678" w:rsidTr="00DA51A9">
            <w:sdt>
              <w:sdtPr>
                <w:tag w:val="_PLD_1f59a34614d64642bfafae6cfb83a911"/>
                <w:id w:val="-1879232828"/>
                <w:lock w:val="sdtLocked"/>
              </w:sdtPr>
              <w:sdtContent>
                <w:tc>
                  <w:tcPr>
                    <w:tcW w:w="1878" w:type="pct"/>
                    <w:tcBorders>
                      <w:top w:val="single" w:sz="4" w:space="0" w:color="auto"/>
                      <w:left w:val="single" w:sz="4" w:space="0" w:color="auto"/>
                      <w:bottom w:val="single" w:sz="4" w:space="0" w:color="auto"/>
                      <w:right w:val="single" w:sz="4" w:space="0" w:color="auto"/>
                    </w:tcBorders>
                  </w:tcPr>
                  <w:p w:rsidR="00806678" w:rsidRDefault="00B16377">
                    <w:pPr>
                      <w:autoSpaceDE w:val="0"/>
                      <w:autoSpaceDN w:val="0"/>
                      <w:adjustRightInd w:val="0"/>
                      <w:rPr>
                        <w:szCs w:val="21"/>
                      </w:rPr>
                    </w:pPr>
                    <w:r>
                      <w:rPr>
                        <w:rFonts w:hint="eastAsia"/>
                        <w:szCs w:val="21"/>
                      </w:rPr>
                      <w:t>四、投资性房地产减值损失</w:t>
                    </w:r>
                  </w:p>
                </w:tc>
              </w:sdtContent>
            </w:sdt>
            <w:tc>
              <w:tcPr>
                <w:tcW w:w="1422" w:type="pct"/>
                <w:tcBorders>
                  <w:top w:val="single" w:sz="4" w:space="0" w:color="auto"/>
                  <w:left w:val="single" w:sz="4" w:space="0" w:color="auto"/>
                  <w:bottom w:val="single" w:sz="4" w:space="0" w:color="auto"/>
                  <w:right w:val="single" w:sz="4" w:space="0" w:color="auto"/>
                </w:tcBorders>
              </w:tcPr>
              <w:p w:rsidR="00806678" w:rsidRDefault="00806678">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806678" w:rsidRDefault="00806678">
                <w:pPr>
                  <w:jc w:val="right"/>
                  <w:rPr>
                    <w:szCs w:val="21"/>
                  </w:rPr>
                </w:pPr>
              </w:p>
            </w:tc>
          </w:tr>
          <w:tr w:rsidR="00806678" w:rsidTr="00DA51A9">
            <w:sdt>
              <w:sdtPr>
                <w:tag w:val="_PLD_e1f6d2fa18b94283b7668413c57d5953"/>
                <w:id w:val="1991599802"/>
                <w:lock w:val="sdtLocked"/>
              </w:sdtPr>
              <w:sdtContent>
                <w:tc>
                  <w:tcPr>
                    <w:tcW w:w="1878" w:type="pct"/>
                    <w:tcBorders>
                      <w:top w:val="single" w:sz="4" w:space="0" w:color="auto"/>
                      <w:left w:val="single" w:sz="4" w:space="0" w:color="auto"/>
                      <w:bottom w:val="single" w:sz="4" w:space="0" w:color="auto"/>
                      <w:right w:val="single" w:sz="4" w:space="0" w:color="auto"/>
                    </w:tcBorders>
                  </w:tcPr>
                  <w:p w:rsidR="00806678" w:rsidRDefault="00B16377">
                    <w:pPr>
                      <w:autoSpaceDE w:val="0"/>
                      <w:autoSpaceDN w:val="0"/>
                      <w:adjustRightInd w:val="0"/>
                      <w:rPr>
                        <w:szCs w:val="21"/>
                      </w:rPr>
                    </w:pPr>
                    <w:r>
                      <w:rPr>
                        <w:rFonts w:hint="eastAsia"/>
                      </w:rPr>
                      <w:t>五</w:t>
                    </w:r>
                    <w:r>
                      <w:rPr>
                        <w:rFonts w:hint="eastAsia"/>
                        <w:szCs w:val="21"/>
                      </w:rPr>
                      <w:t>、固定资产减值损失</w:t>
                    </w:r>
                  </w:p>
                </w:tc>
              </w:sdtContent>
            </w:sdt>
            <w:tc>
              <w:tcPr>
                <w:tcW w:w="1422" w:type="pct"/>
                <w:tcBorders>
                  <w:top w:val="single" w:sz="4" w:space="0" w:color="auto"/>
                  <w:left w:val="single" w:sz="4" w:space="0" w:color="auto"/>
                  <w:bottom w:val="single" w:sz="4" w:space="0" w:color="auto"/>
                  <w:right w:val="single" w:sz="4" w:space="0" w:color="auto"/>
                </w:tcBorders>
              </w:tcPr>
              <w:p w:rsidR="00806678" w:rsidRDefault="00BB1347">
                <w:pPr>
                  <w:jc w:val="right"/>
                  <w:rPr>
                    <w:szCs w:val="21"/>
                  </w:rPr>
                </w:pPr>
                <w:r>
                  <w:rPr>
                    <w:szCs w:val="21"/>
                  </w:rPr>
                  <w:t>0</w:t>
                </w:r>
              </w:p>
            </w:tc>
            <w:tc>
              <w:tcPr>
                <w:tcW w:w="1700" w:type="pct"/>
                <w:tcBorders>
                  <w:top w:val="single" w:sz="4" w:space="0" w:color="auto"/>
                  <w:left w:val="single" w:sz="4" w:space="0" w:color="auto"/>
                  <w:bottom w:val="single" w:sz="4" w:space="0" w:color="auto"/>
                  <w:right w:val="single" w:sz="4" w:space="0" w:color="auto"/>
                </w:tcBorders>
              </w:tcPr>
              <w:p w:rsidR="00806678" w:rsidRDefault="00BB1347">
                <w:pPr>
                  <w:jc w:val="right"/>
                  <w:rPr>
                    <w:szCs w:val="21"/>
                  </w:rPr>
                </w:pPr>
                <w:r>
                  <w:rPr>
                    <w:szCs w:val="21"/>
                  </w:rPr>
                  <w:t>49,841,032</w:t>
                </w:r>
              </w:p>
            </w:tc>
          </w:tr>
          <w:tr w:rsidR="00806678" w:rsidTr="00DA51A9">
            <w:sdt>
              <w:sdtPr>
                <w:tag w:val="_PLD_bb3a63c2cafd4c51b8eeeb5a43d993d0"/>
                <w:id w:val="1179621563"/>
                <w:lock w:val="sdtLocked"/>
              </w:sdtPr>
              <w:sdtContent>
                <w:tc>
                  <w:tcPr>
                    <w:tcW w:w="1878" w:type="pct"/>
                    <w:tcBorders>
                      <w:top w:val="single" w:sz="4" w:space="0" w:color="auto"/>
                      <w:left w:val="single" w:sz="4" w:space="0" w:color="auto"/>
                      <w:bottom w:val="single" w:sz="4" w:space="0" w:color="auto"/>
                      <w:right w:val="single" w:sz="4" w:space="0" w:color="auto"/>
                    </w:tcBorders>
                  </w:tcPr>
                  <w:p w:rsidR="00806678" w:rsidRDefault="00B16377">
                    <w:pPr>
                      <w:autoSpaceDE w:val="0"/>
                      <w:autoSpaceDN w:val="0"/>
                      <w:adjustRightInd w:val="0"/>
                      <w:rPr>
                        <w:szCs w:val="21"/>
                      </w:rPr>
                    </w:pPr>
                    <w:r>
                      <w:rPr>
                        <w:rFonts w:hint="eastAsia"/>
                      </w:rPr>
                      <w:t>六</w:t>
                    </w:r>
                    <w:r>
                      <w:rPr>
                        <w:rFonts w:hint="eastAsia"/>
                        <w:szCs w:val="21"/>
                      </w:rPr>
                      <w:t>、工程物资减值损失</w:t>
                    </w:r>
                  </w:p>
                </w:tc>
              </w:sdtContent>
            </w:sdt>
            <w:tc>
              <w:tcPr>
                <w:tcW w:w="1422" w:type="pct"/>
                <w:tcBorders>
                  <w:top w:val="single" w:sz="4" w:space="0" w:color="auto"/>
                  <w:left w:val="single" w:sz="4" w:space="0" w:color="auto"/>
                  <w:bottom w:val="single" w:sz="4" w:space="0" w:color="auto"/>
                  <w:right w:val="single" w:sz="4" w:space="0" w:color="auto"/>
                </w:tcBorders>
              </w:tcPr>
              <w:p w:rsidR="00806678" w:rsidRDefault="00806678">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806678" w:rsidRDefault="00806678">
                <w:pPr>
                  <w:jc w:val="right"/>
                  <w:rPr>
                    <w:szCs w:val="21"/>
                  </w:rPr>
                </w:pPr>
              </w:p>
            </w:tc>
          </w:tr>
          <w:tr w:rsidR="00806678" w:rsidTr="00DA51A9">
            <w:sdt>
              <w:sdtPr>
                <w:tag w:val="_PLD_1c003d11a19b40018cbc74adbbdcdf57"/>
                <w:id w:val="-1396659314"/>
                <w:lock w:val="sdtLocked"/>
              </w:sdtPr>
              <w:sdtContent>
                <w:tc>
                  <w:tcPr>
                    <w:tcW w:w="1878" w:type="pct"/>
                    <w:tcBorders>
                      <w:top w:val="single" w:sz="4" w:space="0" w:color="auto"/>
                      <w:left w:val="single" w:sz="4" w:space="0" w:color="auto"/>
                      <w:bottom w:val="single" w:sz="4" w:space="0" w:color="auto"/>
                      <w:right w:val="single" w:sz="4" w:space="0" w:color="auto"/>
                    </w:tcBorders>
                  </w:tcPr>
                  <w:p w:rsidR="00806678" w:rsidRDefault="00B16377">
                    <w:pPr>
                      <w:autoSpaceDE w:val="0"/>
                      <w:autoSpaceDN w:val="0"/>
                      <w:adjustRightInd w:val="0"/>
                      <w:rPr>
                        <w:szCs w:val="21"/>
                      </w:rPr>
                    </w:pPr>
                    <w:r>
                      <w:rPr>
                        <w:rFonts w:hint="eastAsia"/>
                      </w:rPr>
                      <w:t>七</w:t>
                    </w:r>
                    <w:r>
                      <w:rPr>
                        <w:rFonts w:hint="eastAsia"/>
                        <w:szCs w:val="21"/>
                      </w:rPr>
                      <w:t>、在建工程减值损失</w:t>
                    </w:r>
                  </w:p>
                </w:tc>
              </w:sdtContent>
            </w:sdt>
            <w:tc>
              <w:tcPr>
                <w:tcW w:w="1422" w:type="pct"/>
                <w:tcBorders>
                  <w:top w:val="single" w:sz="4" w:space="0" w:color="auto"/>
                  <w:left w:val="single" w:sz="4" w:space="0" w:color="auto"/>
                  <w:bottom w:val="single" w:sz="4" w:space="0" w:color="auto"/>
                  <w:right w:val="single" w:sz="4" w:space="0" w:color="auto"/>
                </w:tcBorders>
              </w:tcPr>
              <w:p w:rsidR="00806678" w:rsidRDefault="00806678">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806678" w:rsidRDefault="00806678">
                <w:pPr>
                  <w:jc w:val="right"/>
                  <w:rPr>
                    <w:szCs w:val="21"/>
                  </w:rPr>
                </w:pPr>
              </w:p>
            </w:tc>
          </w:tr>
          <w:tr w:rsidR="00806678" w:rsidTr="00DA51A9">
            <w:sdt>
              <w:sdtPr>
                <w:tag w:val="_PLD_b3b89e0837b14e99b4a3438b489d0532"/>
                <w:id w:val="-1232765576"/>
                <w:lock w:val="sdtLocked"/>
              </w:sdtPr>
              <w:sdtContent>
                <w:tc>
                  <w:tcPr>
                    <w:tcW w:w="1878" w:type="pct"/>
                    <w:tcBorders>
                      <w:top w:val="single" w:sz="4" w:space="0" w:color="auto"/>
                      <w:left w:val="single" w:sz="4" w:space="0" w:color="auto"/>
                      <w:bottom w:val="single" w:sz="4" w:space="0" w:color="auto"/>
                      <w:right w:val="single" w:sz="4" w:space="0" w:color="auto"/>
                    </w:tcBorders>
                  </w:tcPr>
                  <w:p w:rsidR="00806678" w:rsidRDefault="00B16377">
                    <w:pPr>
                      <w:autoSpaceDE w:val="0"/>
                      <w:autoSpaceDN w:val="0"/>
                      <w:adjustRightInd w:val="0"/>
                      <w:rPr>
                        <w:szCs w:val="21"/>
                      </w:rPr>
                    </w:pPr>
                    <w:r>
                      <w:rPr>
                        <w:rFonts w:hint="eastAsia"/>
                      </w:rPr>
                      <w:t>八</w:t>
                    </w:r>
                    <w:r>
                      <w:rPr>
                        <w:rFonts w:hint="eastAsia"/>
                        <w:szCs w:val="21"/>
                      </w:rPr>
                      <w:t>、生产性生物资产减值损失</w:t>
                    </w:r>
                  </w:p>
                </w:tc>
              </w:sdtContent>
            </w:sdt>
            <w:tc>
              <w:tcPr>
                <w:tcW w:w="1422" w:type="pct"/>
                <w:tcBorders>
                  <w:top w:val="single" w:sz="4" w:space="0" w:color="auto"/>
                  <w:left w:val="single" w:sz="4" w:space="0" w:color="auto"/>
                  <w:bottom w:val="single" w:sz="4" w:space="0" w:color="auto"/>
                  <w:right w:val="single" w:sz="4" w:space="0" w:color="auto"/>
                </w:tcBorders>
              </w:tcPr>
              <w:p w:rsidR="00806678" w:rsidRDefault="00806678">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806678" w:rsidRDefault="00806678">
                <w:pPr>
                  <w:jc w:val="right"/>
                  <w:rPr>
                    <w:szCs w:val="21"/>
                  </w:rPr>
                </w:pPr>
              </w:p>
            </w:tc>
          </w:tr>
          <w:tr w:rsidR="00806678" w:rsidTr="00DA51A9">
            <w:sdt>
              <w:sdtPr>
                <w:tag w:val="_PLD_40a5e5bd19264127be2c136789d951e4"/>
                <w:id w:val="-1337993806"/>
                <w:lock w:val="sdtLocked"/>
              </w:sdtPr>
              <w:sdtContent>
                <w:tc>
                  <w:tcPr>
                    <w:tcW w:w="1878" w:type="pct"/>
                    <w:tcBorders>
                      <w:top w:val="single" w:sz="4" w:space="0" w:color="auto"/>
                      <w:left w:val="single" w:sz="4" w:space="0" w:color="auto"/>
                      <w:bottom w:val="single" w:sz="4" w:space="0" w:color="auto"/>
                      <w:right w:val="single" w:sz="4" w:space="0" w:color="auto"/>
                    </w:tcBorders>
                  </w:tcPr>
                  <w:p w:rsidR="00806678" w:rsidRDefault="00B16377">
                    <w:pPr>
                      <w:autoSpaceDE w:val="0"/>
                      <w:autoSpaceDN w:val="0"/>
                      <w:adjustRightInd w:val="0"/>
                      <w:rPr>
                        <w:szCs w:val="21"/>
                      </w:rPr>
                    </w:pPr>
                    <w:r>
                      <w:rPr>
                        <w:rFonts w:hint="eastAsia"/>
                      </w:rPr>
                      <w:t>九</w:t>
                    </w:r>
                    <w:r>
                      <w:rPr>
                        <w:rFonts w:hint="eastAsia"/>
                        <w:szCs w:val="21"/>
                      </w:rPr>
                      <w:t>、油气资产减值损失</w:t>
                    </w:r>
                  </w:p>
                </w:tc>
              </w:sdtContent>
            </w:sdt>
            <w:tc>
              <w:tcPr>
                <w:tcW w:w="1422" w:type="pct"/>
                <w:tcBorders>
                  <w:top w:val="single" w:sz="4" w:space="0" w:color="auto"/>
                  <w:left w:val="single" w:sz="4" w:space="0" w:color="auto"/>
                  <w:bottom w:val="single" w:sz="4" w:space="0" w:color="auto"/>
                  <w:right w:val="single" w:sz="4" w:space="0" w:color="auto"/>
                </w:tcBorders>
              </w:tcPr>
              <w:p w:rsidR="00806678" w:rsidRDefault="00806678">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806678" w:rsidRDefault="00806678">
                <w:pPr>
                  <w:jc w:val="right"/>
                  <w:rPr>
                    <w:szCs w:val="21"/>
                  </w:rPr>
                </w:pPr>
              </w:p>
            </w:tc>
          </w:tr>
          <w:tr w:rsidR="00806678" w:rsidTr="00DA51A9">
            <w:sdt>
              <w:sdtPr>
                <w:tag w:val="_PLD_d02d22ed8f36479cbf68f338da9798f3"/>
                <w:id w:val="-2135935501"/>
                <w:lock w:val="sdtLocked"/>
              </w:sdtPr>
              <w:sdtContent>
                <w:tc>
                  <w:tcPr>
                    <w:tcW w:w="1878" w:type="pct"/>
                    <w:tcBorders>
                      <w:top w:val="single" w:sz="4" w:space="0" w:color="auto"/>
                      <w:left w:val="single" w:sz="4" w:space="0" w:color="auto"/>
                      <w:bottom w:val="single" w:sz="4" w:space="0" w:color="auto"/>
                      <w:right w:val="single" w:sz="4" w:space="0" w:color="auto"/>
                    </w:tcBorders>
                  </w:tcPr>
                  <w:p w:rsidR="00806678" w:rsidRDefault="00B16377">
                    <w:pPr>
                      <w:autoSpaceDE w:val="0"/>
                      <w:autoSpaceDN w:val="0"/>
                      <w:adjustRightInd w:val="0"/>
                      <w:rPr>
                        <w:szCs w:val="21"/>
                      </w:rPr>
                    </w:pPr>
                    <w:r>
                      <w:rPr>
                        <w:rFonts w:hint="eastAsia"/>
                        <w:szCs w:val="21"/>
                      </w:rPr>
                      <w:t>十、无形资产减值损失</w:t>
                    </w:r>
                  </w:p>
                </w:tc>
              </w:sdtContent>
            </w:sdt>
            <w:tc>
              <w:tcPr>
                <w:tcW w:w="1422" w:type="pct"/>
                <w:tcBorders>
                  <w:top w:val="single" w:sz="4" w:space="0" w:color="auto"/>
                  <w:left w:val="single" w:sz="4" w:space="0" w:color="auto"/>
                  <w:bottom w:val="single" w:sz="4" w:space="0" w:color="auto"/>
                  <w:right w:val="single" w:sz="4" w:space="0" w:color="auto"/>
                </w:tcBorders>
              </w:tcPr>
              <w:p w:rsidR="00806678" w:rsidRDefault="00806678">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806678" w:rsidRDefault="00806678">
                <w:pPr>
                  <w:jc w:val="right"/>
                  <w:rPr>
                    <w:szCs w:val="21"/>
                  </w:rPr>
                </w:pPr>
              </w:p>
            </w:tc>
          </w:tr>
          <w:tr w:rsidR="00806678" w:rsidTr="00DA51A9">
            <w:sdt>
              <w:sdtPr>
                <w:tag w:val="_PLD_5a6f4245c2b749e385563afef515c3da"/>
                <w:id w:val="237753089"/>
                <w:lock w:val="sdtLocked"/>
              </w:sdtPr>
              <w:sdtContent>
                <w:tc>
                  <w:tcPr>
                    <w:tcW w:w="1878" w:type="pct"/>
                    <w:tcBorders>
                      <w:top w:val="single" w:sz="4" w:space="0" w:color="auto"/>
                      <w:left w:val="single" w:sz="4" w:space="0" w:color="auto"/>
                      <w:bottom w:val="single" w:sz="4" w:space="0" w:color="auto"/>
                      <w:right w:val="single" w:sz="4" w:space="0" w:color="auto"/>
                    </w:tcBorders>
                  </w:tcPr>
                  <w:p w:rsidR="00806678" w:rsidRDefault="00B16377">
                    <w:pPr>
                      <w:autoSpaceDE w:val="0"/>
                      <w:autoSpaceDN w:val="0"/>
                      <w:adjustRightInd w:val="0"/>
                      <w:rPr>
                        <w:szCs w:val="21"/>
                      </w:rPr>
                    </w:pPr>
                    <w:r>
                      <w:rPr>
                        <w:rFonts w:hint="eastAsia"/>
                        <w:szCs w:val="21"/>
                      </w:rPr>
                      <w:t>十一、商誉减值损失</w:t>
                    </w:r>
                  </w:p>
                </w:tc>
              </w:sdtContent>
            </w:sdt>
            <w:tc>
              <w:tcPr>
                <w:tcW w:w="1422" w:type="pct"/>
                <w:tcBorders>
                  <w:top w:val="single" w:sz="4" w:space="0" w:color="auto"/>
                  <w:left w:val="single" w:sz="4" w:space="0" w:color="auto"/>
                  <w:bottom w:val="single" w:sz="4" w:space="0" w:color="auto"/>
                  <w:right w:val="single" w:sz="4" w:space="0" w:color="auto"/>
                </w:tcBorders>
              </w:tcPr>
              <w:p w:rsidR="00806678" w:rsidRDefault="00806678">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806678" w:rsidRDefault="00806678">
                <w:pPr>
                  <w:jc w:val="right"/>
                  <w:rPr>
                    <w:szCs w:val="21"/>
                  </w:rPr>
                </w:pPr>
              </w:p>
            </w:tc>
          </w:tr>
          <w:tr w:rsidR="00806678" w:rsidTr="00DA51A9">
            <w:sdt>
              <w:sdtPr>
                <w:tag w:val="_PLD_1ca415e40b044bc3bb78421db6605bbe"/>
                <w:id w:val="866409871"/>
                <w:lock w:val="sdtLocked"/>
              </w:sdtPr>
              <w:sdtContent>
                <w:tc>
                  <w:tcPr>
                    <w:tcW w:w="1878" w:type="pct"/>
                    <w:tcBorders>
                      <w:top w:val="single" w:sz="4" w:space="0" w:color="auto"/>
                      <w:left w:val="single" w:sz="4" w:space="0" w:color="auto"/>
                      <w:bottom w:val="single" w:sz="4" w:space="0" w:color="auto"/>
                      <w:right w:val="single" w:sz="4" w:space="0" w:color="auto"/>
                    </w:tcBorders>
                  </w:tcPr>
                  <w:p w:rsidR="00806678" w:rsidRDefault="00B16377">
                    <w:pPr>
                      <w:autoSpaceDE w:val="0"/>
                      <w:autoSpaceDN w:val="0"/>
                      <w:adjustRightInd w:val="0"/>
                      <w:rPr>
                        <w:szCs w:val="21"/>
                      </w:rPr>
                    </w:pPr>
                    <w:r>
                      <w:rPr>
                        <w:rFonts w:hint="eastAsia"/>
                        <w:szCs w:val="21"/>
                      </w:rPr>
                      <w:t>十二、其他</w:t>
                    </w:r>
                  </w:p>
                </w:tc>
              </w:sdtContent>
            </w:sdt>
            <w:tc>
              <w:tcPr>
                <w:tcW w:w="1422" w:type="pct"/>
                <w:tcBorders>
                  <w:top w:val="single" w:sz="4" w:space="0" w:color="auto"/>
                  <w:left w:val="single" w:sz="4" w:space="0" w:color="auto"/>
                  <w:bottom w:val="single" w:sz="4" w:space="0" w:color="auto"/>
                  <w:right w:val="single" w:sz="4" w:space="0" w:color="auto"/>
                </w:tcBorders>
              </w:tcPr>
              <w:p w:rsidR="00806678" w:rsidRDefault="00806678">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806678" w:rsidRDefault="00806678">
                <w:pPr>
                  <w:jc w:val="right"/>
                  <w:rPr>
                    <w:szCs w:val="21"/>
                  </w:rPr>
                </w:pPr>
              </w:p>
            </w:tc>
          </w:tr>
          <w:tr w:rsidR="00806678" w:rsidTr="00DA51A9">
            <w:sdt>
              <w:sdtPr>
                <w:tag w:val="_PLD_d34f2e9360a2400a89862cd125871d4c"/>
                <w:id w:val="-2017519902"/>
                <w:lock w:val="sdtLocked"/>
              </w:sdtPr>
              <w:sdtContent>
                <w:tc>
                  <w:tcPr>
                    <w:tcW w:w="1878" w:type="pct"/>
                    <w:tcBorders>
                      <w:top w:val="single" w:sz="4" w:space="0" w:color="auto"/>
                      <w:left w:val="single" w:sz="4" w:space="0" w:color="auto"/>
                      <w:bottom w:val="single" w:sz="4" w:space="0" w:color="auto"/>
                      <w:right w:val="single" w:sz="4" w:space="0" w:color="auto"/>
                    </w:tcBorders>
                  </w:tcPr>
                  <w:p w:rsidR="00806678" w:rsidRDefault="00B16377">
                    <w:pPr>
                      <w:autoSpaceDE w:val="0"/>
                      <w:autoSpaceDN w:val="0"/>
                      <w:adjustRightInd w:val="0"/>
                      <w:jc w:val="center"/>
                      <w:rPr>
                        <w:szCs w:val="21"/>
                      </w:rPr>
                    </w:pPr>
                    <w:r>
                      <w:rPr>
                        <w:rFonts w:hint="eastAsia"/>
                        <w:szCs w:val="21"/>
                      </w:rPr>
                      <w:t>合计</w:t>
                    </w:r>
                  </w:p>
                </w:tc>
              </w:sdtContent>
            </w:sdt>
            <w:tc>
              <w:tcPr>
                <w:tcW w:w="1422" w:type="pct"/>
                <w:tcBorders>
                  <w:top w:val="single" w:sz="4" w:space="0" w:color="auto"/>
                  <w:left w:val="single" w:sz="4" w:space="0" w:color="auto"/>
                  <w:bottom w:val="single" w:sz="4" w:space="0" w:color="auto"/>
                  <w:right w:val="single" w:sz="4" w:space="0" w:color="auto"/>
                </w:tcBorders>
              </w:tcPr>
              <w:p w:rsidR="00806678" w:rsidRDefault="00BB1347">
                <w:pPr>
                  <w:jc w:val="right"/>
                  <w:rPr>
                    <w:szCs w:val="21"/>
                  </w:rPr>
                </w:pPr>
                <w:r>
                  <w:rPr>
                    <w:szCs w:val="21"/>
                  </w:rPr>
                  <w:t>0</w:t>
                </w:r>
              </w:p>
            </w:tc>
            <w:tc>
              <w:tcPr>
                <w:tcW w:w="1700" w:type="pct"/>
                <w:tcBorders>
                  <w:top w:val="single" w:sz="4" w:space="0" w:color="auto"/>
                  <w:left w:val="single" w:sz="4" w:space="0" w:color="auto"/>
                  <w:bottom w:val="single" w:sz="4" w:space="0" w:color="auto"/>
                  <w:right w:val="single" w:sz="4" w:space="0" w:color="auto"/>
                </w:tcBorders>
              </w:tcPr>
              <w:p w:rsidR="00806678" w:rsidRDefault="00BB1347">
                <w:pPr>
                  <w:jc w:val="right"/>
                  <w:rPr>
                    <w:szCs w:val="21"/>
                  </w:rPr>
                </w:pPr>
                <w:r>
                  <w:rPr>
                    <w:szCs w:val="21"/>
                  </w:rPr>
                  <w:t>49,841,032</w:t>
                </w:r>
              </w:p>
            </w:tc>
          </w:tr>
        </w:tbl>
        <w:p w:rsidR="00DA4D34" w:rsidRDefault="00DA4D34">
          <w:pPr>
            <w:spacing w:before="60" w:after="60"/>
            <w:rPr>
              <w:szCs w:val="21"/>
            </w:rPr>
          </w:pPr>
        </w:p>
        <w:p w:rsidR="00806678" w:rsidRDefault="00B16377">
          <w:pPr>
            <w:spacing w:before="60" w:after="60"/>
            <w:rPr>
              <w:szCs w:val="21"/>
            </w:rPr>
          </w:pPr>
          <w:r>
            <w:rPr>
              <w:rFonts w:hint="eastAsia"/>
              <w:szCs w:val="21"/>
            </w:rPr>
            <w:t>其他说明：</w:t>
          </w:r>
        </w:p>
        <w:sdt>
          <w:sdtPr>
            <w:alias w:val="资产减值损失的说明"/>
            <w:tag w:val="_GBC_1e9b73a63ce74456883b0a5fd2597461"/>
            <w:id w:val="-1009827759"/>
            <w:lock w:val="sdtLocked"/>
            <w:placeholder>
              <w:docPart w:val="GBC22222222222222222222222222222"/>
            </w:placeholder>
          </w:sdtPr>
          <w:sdtContent>
            <w:p w:rsidR="00806678" w:rsidRDefault="00FC013A">
              <w:r>
                <w:rPr>
                  <w:rFonts w:hint="eastAsia"/>
                </w:rPr>
                <w:t>无</w:t>
              </w:r>
            </w:p>
          </w:sdtContent>
        </w:sdt>
        <w:p w:rsidR="00806678" w:rsidRDefault="00F80B6C">
          <w:pPr>
            <w:rPr>
              <w:rFonts w:asciiTheme="minorHAnsi" w:eastAsiaTheme="minorEastAsia" w:hAnsiTheme="minorHAnsi"/>
              <w:szCs w:val="22"/>
            </w:rPr>
          </w:pPr>
        </w:p>
      </w:sdtContent>
    </w:sdt>
    <w:sdt>
      <w:sdtPr>
        <w:rPr>
          <w:rFonts w:ascii="宋体" w:hAnsi="宋体" w:cs="宋体" w:hint="eastAsia"/>
          <w:b w:val="0"/>
          <w:bCs w:val="0"/>
          <w:kern w:val="0"/>
          <w:szCs w:val="21"/>
        </w:rPr>
        <w:alias w:val="模块:资产处置收益"/>
        <w:tag w:val="_SEC_467f7368f09741c792396e7413b66bc2"/>
        <w:id w:val="487363730"/>
        <w:lock w:val="sdtLocked"/>
        <w:placeholder>
          <w:docPart w:val="GBC22222222222222222222222222222"/>
        </w:placeholder>
      </w:sdtPr>
      <w:sdtEndPr>
        <w:rPr>
          <w:rFonts w:hint="default"/>
          <w:szCs w:val="24"/>
        </w:rPr>
      </w:sdtEndPr>
      <w:sdtContent>
        <w:p w:rsidR="00806678" w:rsidRDefault="00B16377" w:rsidP="00FF17C7">
          <w:pPr>
            <w:pStyle w:val="3"/>
            <w:numPr>
              <w:ilvl w:val="0"/>
              <w:numId w:val="18"/>
            </w:numPr>
            <w:tabs>
              <w:tab w:val="left" w:pos="504"/>
            </w:tabs>
            <w:rPr>
              <w:szCs w:val="21"/>
            </w:rPr>
          </w:pPr>
          <w:r>
            <w:rPr>
              <w:rFonts w:hint="eastAsia"/>
              <w:szCs w:val="21"/>
            </w:rPr>
            <w:t>资产处置收益</w:t>
          </w:r>
        </w:p>
        <w:sdt>
          <w:sdtPr>
            <w:rPr>
              <w:bCs/>
            </w:rPr>
            <w:alias w:val="是否适用：资产处置收益[双击切换]"/>
            <w:tag w:val="_GBC_b76400e6a673420c9bc522936e82c207"/>
            <w:id w:val="636688634"/>
            <w:lock w:val="sdtLocked"/>
            <w:placeholder>
              <w:docPart w:val="GBC22222222222222222222222222222"/>
            </w:placeholder>
          </w:sdtPr>
          <w:sdtContent>
            <w:p w:rsidR="00FC013A" w:rsidRDefault="00F80B6C" w:rsidP="00FC013A">
              <w:r>
                <w:rPr>
                  <w:bCs/>
                </w:rPr>
                <w:fldChar w:fldCharType="begin"/>
              </w:r>
              <w:r w:rsidR="00FC013A">
                <w:rPr>
                  <w:bCs/>
                </w:rPr>
                <w:instrText xml:space="preserve"> MACROBUTTON  SnrToggleCheckbox □适用 </w:instrText>
              </w:r>
              <w:r>
                <w:rPr>
                  <w:bCs/>
                </w:rPr>
                <w:fldChar w:fldCharType="end"/>
              </w:r>
              <w:r>
                <w:rPr>
                  <w:bCs/>
                </w:rPr>
                <w:fldChar w:fldCharType="begin"/>
              </w:r>
              <w:r w:rsidR="00FC013A">
                <w:rPr>
                  <w:bCs/>
                </w:rPr>
                <w:instrText xml:space="preserve"> MACROBUTTON  SnrToggleCheckbox √不适用 </w:instrText>
              </w:r>
              <w:r>
                <w:rPr>
                  <w:bCs/>
                </w:rPr>
                <w:fldChar w:fldCharType="end"/>
              </w:r>
            </w:p>
          </w:sdtContent>
        </w:sdt>
        <w:p w:rsidR="00806678" w:rsidRPr="001C6BB5" w:rsidRDefault="00F80B6C" w:rsidP="001C6BB5"/>
      </w:sdtContent>
    </w:sdt>
    <w:p w:rsidR="00806678" w:rsidRDefault="00B16377" w:rsidP="00FF17C7">
      <w:pPr>
        <w:pStyle w:val="3"/>
        <w:numPr>
          <w:ilvl w:val="0"/>
          <w:numId w:val="18"/>
        </w:numPr>
        <w:tabs>
          <w:tab w:val="left" w:pos="504"/>
        </w:tabs>
        <w:rPr>
          <w:rFonts w:ascii="宋体" w:hAnsi="宋体"/>
          <w:szCs w:val="21"/>
        </w:rPr>
      </w:pPr>
      <w:r>
        <w:rPr>
          <w:rFonts w:ascii="宋体" w:hAnsi="宋体" w:hint="eastAsia"/>
          <w:szCs w:val="21"/>
        </w:rPr>
        <w:t>营业外收入</w:t>
      </w:r>
    </w:p>
    <w:sdt>
      <w:sdtPr>
        <w:rPr>
          <w:rFonts w:hint="eastAsia"/>
        </w:rPr>
        <w:alias w:val="模块:营业外收入情况"/>
        <w:tag w:val="_SEC_f6bd1fb85aac4d5fae732da5669c7d98"/>
        <w:id w:val="-211658216"/>
        <w:lock w:val="sdtLocked"/>
        <w:placeholder>
          <w:docPart w:val="GBC22222222222222222222222222222"/>
        </w:placeholder>
      </w:sdtPr>
      <w:sdtEndPr>
        <w:rPr>
          <w:rFonts w:hint="default"/>
        </w:rPr>
      </w:sdtEndPr>
      <w:sdtContent>
        <w:p w:rsidR="00806678" w:rsidRDefault="00B16377">
          <w:r>
            <w:rPr>
              <w:rFonts w:hint="eastAsia"/>
            </w:rPr>
            <w:t>营业外收入情况</w:t>
          </w:r>
        </w:p>
        <w:sdt>
          <w:sdtPr>
            <w:rPr>
              <w:rFonts w:hint="eastAsia"/>
            </w:rPr>
            <w:alias w:val="是否适用：营业外收入情况 [双击切换]"/>
            <w:tag w:val="_GBC_4aec8b65d0e744aaaddac8859ae249bc"/>
            <w:id w:val="-136882437"/>
            <w:lock w:val="sdtLocked"/>
            <w:placeholder>
              <w:docPart w:val="GBC22222222222222222222222222222"/>
            </w:placeholder>
          </w:sdtPr>
          <w:sdtContent>
            <w:p w:rsidR="00806678" w:rsidRDefault="00F80B6C">
              <w:r>
                <w:fldChar w:fldCharType="begin"/>
              </w:r>
              <w:r w:rsidR="00FC013A">
                <w:instrText xml:space="preserve"> MACROBUTTON  SnrToggleCheckbox √适用  </w:instrText>
              </w:r>
              <w:r>
                <w:fldChar w:fldCharType="end"/>
              </w:r>
              <w:r>
                <w:fldChar w:fldCharType="begin"/>
              </w:r>
              <w:r w:rsidR="00FC013A">
                <w:instrText xml:space="preserve"> MACROBUTTON  SnrToggleCheckbox □不适用 </w:instrText>
              </w:r>
              <w:r>
                <w:fldChar w:fldCharType="end"/>
              </w:r>
            </w:p>
          </w:sdtContent>
        </w:sdt>
        <w:p w:rsidR="00806678" w:rsidRDefault="00B16377">
          <w:pPr>
            <w:jc w:val="right"/>
          </w:pPr>
          <w:r>
            <w:rPr>
              <w:rFonts w:hint="eastAsia"/>
            </w:rPr>
            <w:t>单位：</w:t>
          </w:r>
          <w:sdt>
            <w:sdtPr>
              <w:rPr>
                <w:rFonts w:hint="eastAsia"/>
              </w:rPr>
              <w:alias w:val="单位：财务附注：营业外收入"/>
              <w:tag w:val="_GBC_79d3fe1c29e746e7b2a9a9acfcc43449"/>
              <w:id w:val="-173338342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营业外收入"/>
              <w:tag w:val="_GBC_4266913812da4517aa68b2f8bff79fbe"/>
              <w:id w:val="33157918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11"/>
            <w:gridCol w:w="2306"/>
            <w:gridCol w:w="2315"/>
            <w:gridCol w:w="2317"/>
          </w:tblGrid>
          <w:tr w:rsidR="0058420E" w:rsidTr="00DB008B">
            <w:sdt>
              <w:sdtPr>
                <w:tag w:val="_PLD_1b52b1902e1443609ba6891d7076aebe"/>
                <w:id w:val="-1904669290"/>
                <w:lock w:val="sdtLocked"/>
              </w:sdtPr>
              <w:sdtContent>
                <w:tc>
                  <w:tcPr>
                    <w:tcW w:w="1166" w:type="pct"/>
                    <w:tcBorders>
                      <w:top w:val="single" w:sz="4" w:space="0" w:color="auto"/>
                      <w:left w:val="single" w:sz="4" w:space="0" w:color="auto"/>
                      <w:bottom w:val="single" w:sz="4" w:space="0" w:color="auto"/>
                      <w:right w:val="single" w:sz="4" w:space="0" w:color="auto"/>
                    </w:tcBorders>
                    <w:vAlign w:val="center"/>
                  </w:tcPr>
                  <w:p w:rsidR="0058420E" w:rsidRDefault="0058420E" w:rsidP="00DB008B">
                    <w:pPr>
                      <w:autoSpaceDE w:val="0"/>
                      <w:autoSpaceDN w:val="0"/>
                      <w:adjustRightInd w:val="0"/>
                      <w:jc w:val="center"/>
                      <w:rPr>
                        <w:szCs w:val="21"/>
                      </w:rPr>
                    </w:pPr>
                    <w:r>
                      <w:rPr>
                        <w:rFonts w:hint="eastAsia"/>
                        <w:szCs w:val="21"/>
                      </w:rPr>
                      <w:t>项目</w:t>
                    </w:r>
                  </w:p>
                </w:tc>
              </w:sdtContent>
            </w:sdt>
            <w:sdt>
              <w:sdtPr>
                <w:tag w:val="_PLD_9dc87bd465124a2289f545f76d28c96c"/>
                <w:id w:val="1934247202"/>
                <w:lock w:val="sdtLocked"/>
              </w:sdtPr>
              <w:sdtContent>
                <w:tc>
                  <w:tcPr>
                    <w:tcW w:w="1274" w:type="pct"/>
                    <w:tcBorders>
                      <w:top w:val="single" w:sz="4" w:space="0" w:color="auto"/>
                      <w:left w:val="single" w:sz="4" w:space="0" w:color="auto"/>
                      <w:bottom w:val="single" w:sz="4" w:space="0" w:color="auto"/>
                      <w:right w:val="single" w:sz="4" w:space="0" w:color="auto"/>
                    </w:tcBorders>
                    <w:vAlign w:val="center"/>
                  </w:tcPr>
                  <w:p w:rsidR="0058420E" w:rsidRDefault="0058420E" w:rsidP="00DB008B">
                    <w:pPr>
                      <w:autoSpaceDE w:val="0"/>
                      <w:autoSpaceDN w:val="0"/>
                      <w:adjustRightInd w:val="0"/>
                      <w:jc w:val="center"/>
                      <w:rPr>
                        <w:szCs w:val="21"/>
                      </w:rPr>
                    </w:pPr>
                    <w:r>
                      <w:rPr>
                        <w:rFonts w:hint="eastAsia"/>
                        <w:szCs w:val="21"/>
                      </w:rPr>
                      <w:t>本期发生额</w:t>
                    </w:r>
                  </w:p>
                </w:tc>
              </w:sdtContent>
            </w:sdt>
            <w:sdt>
              <w:sdtPr>
                <w:tag w:val="_PLD_e1b91f5db91a439083c1f9a1b7d17ef9"/>
                <w:id w:val="1822921226"/>
                <w:lock w:val="sdtLocked"/>
              </w:sdtPr>
              <w:sdtContent>
                <w:tc>
                  <w:tcPr>
                    <w:tcW w:w="1279" w:type="pct"/>
                    <w:tcBorders>
                      <w:top w:val="single" w:sz="4" w:space="0" w:color="auto"/>
                      <w:left w:val="single" w:sz="4" w:space="0" w:color="auto"/>
                      <w:bottom w:val="single" w:sz="4" w:space="0" w:color="auto"/>
                      <w:right w:val="single" w:sz="4" w:space="0" w:color="auto"/>
                    </w:tcBorders>
                    <w:vAlign w:val="center"/>
                  </w:tcPr>
                  <w:p w:rsidR="0058420E" w:rsidRDefault="0058420E" w:rsidP="00DB008B">
                    <w:pPr>
                      <w:autoSpaceDE w:val="0"/>
                      <w:autoSpaceDN w:val="0"/>
                      <w:adjustRightInd w:val="0"/>
                      <w:jc w:val="center"/>
                      <w:rPr>
                        <w:szCs w:val="21"/>
                      </w:rPr>
                    </w:pPr>
                    <w:r>
                      <w:rPr>
                        <w:rFonts w:hint="eastAsia"/>
                        <w:szCs w:val="21"/>
                      </w:rPr>
                      <w:t>上期发生额</w:t>
                    </w:r>
                  </w:p>
                </w:tc>
              </w:sdtContent>
            </w:sdt>
            <w:sdt>
              <w:sdtPr>
                <w:tag w:val="_PLD_db1c9e08e7ea407889a350e8451d2848"/>
                <w:id w:val="-627319302"/>
                <w:lock w:val="sdtLocked"/>
              </w:sdtPr>
              <w:sdtContent>
                <w:tc>
                  <w:tcPr>
                    <w:tcW w:w="1280" w:type="pct"/>
                    <w:tcBorders>
                      <w:top w:val="single" w:sz="4" w:space="0" w:color="auto"/>
                      <w:left w:val="single" w:sz="4" w:space="0" w:color="auto"/>
                      <w:bottom w:val="single" w:sz="4" w:space="0" w:color="auto"/>
                      <w:right w:val="single" w:sz="4" w:space="0" w:color="auto"/>
                    </w:tcBorders>
                    <w:vAlign w:val="center"/>
                  </w:tcPr>
                  <w:p w:rsidR="0058420E" w:rsidRDefault="0058420E" w:rsidP="00DB008B">
                    <w:pPr>
                      <w:autoSpaceDE w:val="0"/>
                      <w:autoSpaceDN w:val="0"/>
                      <w:adjustRightInd w:val="0"/>
                      <w:jc w:val="center"/>
                      <w:rPr>
                        <w:color w:val="FF0000"/>
                        <w:szCs w:val="21"/>
                      </w:rPr>
                    </w:pPr>
                    <w:r>
                      <w:rPr>
                        <w:rFonts w:hint="eastAsia"/>
                        <w:szCs w:val="21"/>
                      </w:rPr>
                      <w:t>计入当期非经常性损益的金额</w:t>
                    </w:r>
                  </w:p>
                </w:tc>
              </w:sdtContent>
            </w:sdt>
          </w:tr>
          <w:tr w:rsidR="0058420E" w:rsidTr="00DB008B">
            <w:sdt>
              <w:sdtPr>
                <w:tag w:val="_PLD_2d7d486e5802447694f6aabdd236c0f9"/>
                <w:id w:val="908194207"/>
                <w:lock w:val="sdtLocked"/>
              </w:sdtPr>
              <w:sdtContent>
                <w:tc>
                  <w:tcPr>
                    <w:tcW w:w="1166" w:type="pct"/>
                    <w:tcBorders>
                      <w:top w:val="single" w:sz="4" w:space="0" w:color="auto"/>
                      <w:left w:val="single" w:sz="4" w:space="0" w:color="auto"/>
                      <w:bottom w:val="single" w:sz="4" w:space="0" w:color="auto"/>
                      <w:right w:val="single" w:sz="4" w:space="0" w:color="auto"/>
                    </w:tcBorders>
                  </w:tcPr>
                  <w:p w:rsidR="0058420E" w:rsidRDefault="0058420E" w:rsidP="00DB008B">
                    <w:pPr>
                      <w:autoSpaceDE w:val="0"/>
                      <w:autoSpaceDN w:val="0"/>
                      <w:adjustRightInd w:val="0"/>
                      <w:rPr>
                        <w:szCs w:val="21"/>
                      </w:rPr>
                    </w:pPr>
                    <w:r>
                      <w:rPr>
                        <w:rFonts w:hint="eastAsia"/>
                        <w:szCs w:val="21"/>
                      </w:rPr>
                      <w:t>非流动资产处置利得合计</w:t>
                    </w:r>
                  </w:p>
                </w:tc>
              </w:sdtContent>
            </w:sdt>
            <w:tc>
              <w:tcPr>
                <w:tcW w:w="1274" w:type="pct"/>
                <w:tcBorders>
                  <w:top w:val="single" w:sz="4" w:space="0" w:color="auto"/>
                  <w:left w:val="single" w:sz="4" w:space="0" w:color="auto"/>
                  <w:bottom w:val="single" w:sz="4" w:space="0" w:color="auto"/>
                  <w:right w:val="single" w:sz="4" w:space="0" w:color="auto"/>
                </w:tcBorders>
              </w:tcPr>
              <w:p w:rsidR="0058420E" w:rsidRDefault="0058420E" w:rsidP="00DB008B">
                <w:pPr>
                  <w:jc w:val="right"/>
                  <w:rPr>
                    <w:szCs w:val="21"/>
                  </w:rPr>
                </w:pPr>
                <w:r>
                  <w:t>12,313,707</w:t>
                </w:r>
              </w:p>
            </w:tc>
            <w:tc>
              <w:tcPr>
                <w:tcW w:w="1279" w:type="pct"/>
                <w:tcBorders>
                  <w:top w:val="single" w:sz="4" w:space="0" w:color="auto"/>
                  <w:left w:val="single" w:sz="4" w:space="0" w:color="auto"/>
                  <w:bottom w:val="single" w:sz="4" w:space="0" w:color="auto"/>
                  <w:right w:val="single" w:sz="4" w:space="0" w:color="auto"/>
                </w:tcBorders>
              </w:tcPr>
              <w:p w:rsidR="0058420E" w:rsidRDefault="0058420E" w:rsidP="00DB008B">
                <w:pPr>
                  <w:jc w:val="right"/>
                  <w:rPr>
                    <w:szCs w:val="21"/>
                  </w:rPr>
                </w:pPr>
                <w:r>
                  <w:t>13,869,295</w:t>
                </w:r>
              </w:p>
            </w:tc>
            <w:tc>
              <w:tcPr>
                <w:tcW w:w="1280" w:type="pct"/>
                <w:tcBorders>
                  <w:top w:val="single" w:sz="4" w:space="0" w:color="auto"/>
                  <w:left w:val="single" w:sz="4" w:space="0" w:color="auto"/>
                  <w:bottom w:val="single" w:sz="4" w:space="0" w:color="auto"/>
                  <w:right w:val="single" w:sz="4" w:space="0" w:color="auto"/>
                </w:tcBorders>
              </w:tcPr>
              <w:p w:rsidR="0058420E" w:rsidRDefault="0058420E" w:rsidP="00DB008B">
                <w:pPr>
                  <w:autoSpaceDE w:val="0"/>
                  <w:autoSpaceDN w:val="0"/>
                  <w:adjustRightInd w:val="0"/>
                  <w:jc w:val="right"/>
                  <w:rPr>
                    <w:szCs w:val="21"/>
                  </w:rPr>
                </w:pPr>
                <w:r>
                  <w:t>12,313,707</w:t>
                </w:r>
              </w:p>
            </w:tc>
          </w:tr>
          <w:tr w:rsidR="0058420E" w:rsidTr="00DB008B">
            <w:sdt>
              <w:sdtPr>
                <w:tag w:val="_PLD_56e5a2dd44854ddd9b1f8deb77014232"/>
                <w:id w:val="-745343034"/>
                <w:lock w:val="sdtLocked"/>
              </w:sdtPr>
              <w:sdtContent>
                <w:tc>
                  <w:tcPr>
                    <w:tcW w:w="1166" w:type="pct"/>
                    <w:tcBorders>
                      <w:top w:val="single" w:sz="4" w:space="0" w:color="auto"/>
                      <w:left w:val="single" w:sz="4" w:space="0" w:color="auto"/>
                      <w:bottom w:val="single" w:sz="4" w:space="0" w:color="auto"/>
                      <w:right w:val="single" w:sz="4" w:space="0" w:color="auto"/>
                    </w:tcBorders>
                  </w:tcPr>
                  <w:p w:rsidR="0058420E" w:rsidRDefault="0058420E" w:rsidP="00DB008B">
                    <w:pPr>
                      <w:autoSpaceDE w:val="0"/>
                      <w:autoSpaceDN w:val="0"/>
                      <w:adjustRightInd w:val="0"/>
                      <w:rPr>
                        <w:szCs w:val="21"/>
                      </w:rPr>
                    </w:pPr>
                    <w:r>
                      <w:rPr>
                        <w:rFonts w:hint="eastAsia"/>
                        <w:szCs w:val="21"/>
                      </w:rPr>
                      <w:t>其中：固定资产处置</w:t>
                    </w:r>
                    <w:r>
                      <w:rPr>
                        <w:rFonts w:hint="eastAsia"/>
                        <w:szCs w:val="21"/>
                      </w:rPr>
                      <w:lastRenderedPageBreak/>
                      <w:t>利得</w:t>
                    </w:r>
                  </w:p>
                </w:tc>
              </w:sdtContent>
            </w:sdt>
            <w:tc>
              <w:tcPr>
                <w:tcW w:w="1274" w:type="pct"/>
                <w:tcBorders>
                  <w:top w:val="single" w:sz="4" w:space="0" w:color="auto"/>
                  <w:left w:val="single" w:sz="4" w:space="0" w:color="auto"/>
                  <w:bottom w:val="single" w:sz="4" w:space="0" w:color="auto"/>
                  <w:right w:val="single" w:sz="4" w:space="0" w:color="auto"/>
                </w:tcBorders>
              </w:tcPr>
              <w:p w:rsidR="0058420E" w:rsidRDefault="0058420E" w:rsidP="00DB008B">
                <w:pPr>
                  <w:jc w:val="right"/>
                  <w:rPr>
                    <w:szCs w:val="21"/>
                  </w:rPr>
                </w:pPr>
                <w:r>
                  <w:lastRenderedPageBreak/>
                  <w:t>12,313,707</w:t>
                </w:r>
              </w:p>
            </w:tc>
            <w:tc>
              <w:tcPr>
                <w:tcW w:w="1279" w:type="pct"/>
                <w:tcBorders>
                  <w:top w:val="single" w:sz="4" w:space="0" w:color="auto"/>
                  <w:left w:val="single" w:sz="4" w:space="0" w:color="auto"/>
                  <w:bottom w:val="single" w:sz="4" w:space="0" w:color="auto"/>
                  <w:right w:val="single" w:sz="4" w:space="0" w:color="auto"/>
                </w:tcBorders>
              </w:tcPr>
              <w:p w:rsidR="0058420E" w:rsidRDefault="0058420E" w:rsidP="00DB008B">
                <w:pPr>
                  <w:jc w:val="right"/>
                  <w:rPr>
                    <w:szCs w:val="21"/>
                  </w:rPr>
                </w:pPr>
                <w:r>
                  <w:t>13,869,295</w:t>
                </w:r>
              </w:p>
            </w:tc>
            <w:tc>
              <w:tcPr>
                <w:tcW w:w="1280" w:type="pct"/>
                <w:tcBorders>
                  <w:top w:val="single" w:sz="4" w:space="0" w:color="auto"/>
                  <w:left w:val="single" w:sz="4" w:space="0" w:color="auto"/>
                  <w:bottom w:val="single" w:sz="4" w:space="0" w:color="auto"/>
                  <w:right w:val="single" w:sz="4" w:space="0" w:color="auto"/>
                </w:tcBorders>
              </w:tcPr>
              <w:p w:rsidR="0058420E" w:rsidRDefault="0058420E" w:rsidP="00DB008B">
                <w:pPr>
                  <w:autoSpaceDE w:val="0"/>
                  <w:autoSpaceDN w:val="0"/>
                  <w:adjustRightInd w:val="0"/>
                  <w:jc w:val="right"/>
                  <w:rPr>
                    <w:szCs w:val="21"/>
                  </w:rPr>
                </w:pPr>
                <w:r>
                  <w:t>12,313,707</w:t>
                </w:r>
              </w:p>
            </w:tc>
          </w:tr>
          <w:sdt>
            <w:sdtPr>
              <w:rPr>
                <w:rFonts w:hint="eastAsia"/>
                <w:szCs w:val="21"/>
              </w:rPr>
              <w:alias w:val="营业外收入明细"/>
              <w:tag w:val="_TUP_46937c9656934b67a9abb141e7420d0e"/>
              <w:id w:val="-573131201"/>
              <w:lock w:val="sdtLocked"/>
            </w:sdtPr>
            <w:sdtContent>
              <w:tr w:rsidR="0058420E" w:rsidTr="00DB008B">
                <w:tc>
                  <w:tcPr>
                    <w:tcW w:w="1166" w:type="pct"/>
                    <w:tcBorders>
                      <w:top w:val="single" w:sz="4" w:space="0" w:color="auto"/>
                      <w:left w:val="single" w:sz="4" w:space="0" w:color="auto"/>
                      <w:bottom w:val="single" w:sz="4" w:space="0" w:color="auto"/>
                      <w:right w:val="single" w:sz="4" w:space="0" w:color="auto"/>
                    </w:tcBorders>
                  </w:tcPr>
                  <w:p w:rsidR="0058420E" w:rsidRDefault="0058420E" w:rsidP="00DB008B">
                    <w:pPr>
                      <w:rPr>
                        <w:szCs w:val="21"/>
                      </w:rPr>
                    </w:pPr>
                    <w:r>
                      <w:rPr>
                        <w:rFonts w:hint="eastAsia"/>
                        <w:szCs w:val="21"/>
                      </w:rPr>
                      <w:t>其他</w:t>
                    </w:r>
                  </w:p>
                </w:tc>
                <w:tc>
                  <w:tcPr>
                    <w:tcW w:w="1274" w:type="pct"/>
                    <w:tcBorders>
                      <w:top w:val="single" w:sz="4" w:space="0" w:color="auto"/>
                      <w:left w:val="single" w:sz="4" w:space="0" w:color="auto"/>
                      <w:bottom w:val="single" w:sz="4" w:space="0" w:color="auto"/>
                      <w:right w:val="single" w:sz="4" w:space="0" w:color="auto"/>
                    </w:tcBorders>
                  </w:tcPr>
                  <w:p w:rsidR="0058420E" w:rsidRDefault="0058420E" w:rsidP="00DB008B">
                    <w:pPr>
                      <w:jc w:val="right"/>
                      <w:rPr>
                        <w:szCs w:val="21"/>
                      </w:rPr>
                    </w:pPr>
                    <w:r>
                      <w:t>36,570,197</w:t>
                    </w:r>
                  </w:p>
                </w:tc>
                <w:tc>
                  <w:tcPr>
                    <w:tcW w:w="1279" w:type="pct"/>
                    <w:tcBorders>
                      <w:top w:val="single" w:sz="4" w:space="0" w:color="auto"/>
                      <w:left w:val="single" w:sz="4" w:space="0" w:color="auto"/>
                      <w:bottom w:val="single" w:sz="4" w:space="0" w:color="auto"/>
                      <w:right w:val="single" w:sz="4" w:space="0" w:color="auto"/>
                    </w:tcBorders>
                  </w:tcPr>
                  <w:p w:rsidR="0058420E" w:rsidRDefault="0058420E" w:rsidP="00DB008B">
                    <w:pPr>
                      <w:jc w:val="right"/>
                      <w:rPr>
                        <w:szCs w:val="21"/>
                      </w:rPr>
                    </w:pPr>
                    <w:r>
                      <w:t>9,615,585</w:t>
                    </w:r>
                  </w:p>
                </w:tc>
                <w:tc>
                  <w:tcPr>
                    <w:tcW w:w="1280" w:type="pct"/>
                    <w:tcBorders>
                      <w:top w:val="single" w:sz="4" w:space="0" w:color="auto"/>
                      <w:left w:val="single" w:sz="4" w:space="0" w:color="auto"/>
                      <w:bottom w:val="single" w:sz="4" w:space="0" w:color="auto"/>
                      <w:right w:val="single" w:sz="4" w:space="0" w:color="auto"/>
                    </w:tcBorders>
                  </w:tcPr>
                  <w:p w:rsidR="0058420E" w:rsidRDefault="0058420E" w:rsidP="00DB008B">
                    <w:pPr>
                      <w:jc w:val="right"/>
                      <w:rPr>
                        <w:szCs w:val="21"/>
                      </w:rPr>
                    </w:pPr>
                    <w:r>
                      <w:t>36,570,197</w:t>
                    </w:r>
                  </w:p>
                </w:tc>
              </w:tr>
            </w:sdtContent>
          </w:sdt>
          <w:tr w:rsidR="0058420E" w:rsidTr="00DB008B">
            <w:sdt>
              <w:sdtPr>
                <w:tag w:val="_PLD_0701136e79c0479f9536922958a26987"/>
                <w:id w:val="-4292787"/>
                <w:lock w:val="sdtLocked"/>
              </w:sdtPr>
              <w:sdtContent>
                <w:tc>
                  <w:tcPr>
                    <w:tcW w:w="1166" w:type="pct"/>
                    <w:tcBorders>
                      <w:top w:val="single" w:sz="4" w:space="0" w:color="auto"/>
                      <w:left w:val="single" w:sz="4" w:space="0" w:color="auto"/>
                      <w:bottom w:val="single" w:sz="4" w:space="0" w:color="auto"/>
                      <w:right w:val="single" w:sz="4" w:space="0" w:color="auto"/>
                    </w:tcBorders>
                    <w:vAlign w:val="center"/>
                  </w:tcPr>
                  <w:p w:rsidR="0058420E" w:rsidRDefault="0058420E" w:rsidP="00DB008B">
                    <w:pPr>
                      <w:jc w:val="center"/>
                      <w:rPr>
                        <w:szCs w:val="21"/>
                      </w:rPr>
                    </w:pPr>
                    <w:r>
                      <w:rPr>
                        <w:rFonts w:hint="eastAsia"/>
                        <w:szCs w:val="21"/>
                      </w:rPr>
                      <w:t>合计</w:t>
                    </w:r>
                  </w:p>
                </w:tc>
              </w:sdtContent>
            </w:sdt>
            <w:tc>
              <w:tcPr>
                <w:tcW w:w="1274" w:type="pct"/>
                <w:tcBorders>
                  <w:top w:val="single" w:sz="4" w:space="0" w:color="auto"/>
                  <w:left w:val="single" w:sz="4" w:space="0" w:color="auto"/>
                  <w:bottom w:val="single" w:sz="4" w:space="0" w:color="auto"/>
                  <w:right w:val="single" w:sz="4" w:space="0" w:color="auto"/>
                </w:tcBorders>
              </w:tcPr>
              <w:p w:rsidR="0058420E" w:rsidRDefault="0058420E" w:rsidP="00DB008B">
                <w:pPr>
                  <w:jc w:val="right"/>
                  <w:rPr>
                    <w:szCs w:val="21"/>
                  </w:rPr>
                </w:pPr>
                <w:r>
                  <w:t>48,883,904</w:t>
                </w:r>
              </w:p>
            </w:tc>
            <w:tc>
              <w:tcPr>
                <w:tcW w:w="1279" w:type="pct"/>
                <w:tcBorders>
                  <w:top w:val="single" w:sz="4" w:space="0" w:color="auto"/>
                  <w:left w:val="single" w:sz="4" w:space="0" w:color="auto"/>
                  <w:bottom w:val="single" w:sz="4" w:space="0" w:color="auto"/>
                  <w:right w:val="single" w:sz="4" w:space="0" w:color="auto"/>
                </w:tcBorders>
              </w:tcPr>
              <w:p w:rsidR="0058420E" w:rsidRDefault="0058420E" w:rsidP="00DB008B">
                <w:pPr>
                  <w:jc w:val="right"/>
                  <w:rPr>
                    <w:szCs w:val="21"/>
                  </w:rPr>
                </w:pPr>
                <w:r>
                  <w:t>23,484,880</w:t>
                </w:r>
              </w:p>
            </w:tc>
            <w:tc>
              <w:tcPr>
                <w:tcW w:w="1280" w:type="pct"/>
                <w:tcBorders>
                  <w:top w:val="single" w:sz="4" w:space="0" w:color="auto"/>
                  <w:left w:val="single" w:sz="4" w:space="0" w:color="auto"/>
                  <w:bottom w:val="single" w:sz="4" w:space="0" w:color="auto"/>
                  <w:right w:val="single" w:sz="4" w:space="0" w:color="auto"/>
                </w:tcBorders>
              </w:tcPr>
              <w:p w:rsidR="0058420E" w:rsidRDefault="0058420E" w:rsidP="00DB008B">
                <w:pPr>
                  <w:autoSpaceDE w:val="0"/>
                  <w:autoSpaceDN w:val="0"/>
                  <w:adjustRightInd w:val="0"/>
                  <w:jc w:val="right"/>
                  <w:rPr>
                    <w:szCs w:val="21"/>
                  </w:rPr>
                </w:pPr>
                <w:r>
                  <w:t>48,883,904</w:t>
                </w:r>
              </w:p>
            </w:tc>
          </w:tr>
        </w:tbl>
        <w:p w:rsidR="00806678" w:rsidRDefault="00F80B6C"/>
      </w:sdtContent>
    </w:sdt>
    <w:sdt>
      <w:sdtPr>
        <w:rPr>
          <w:rFonts w:hint="eastAsia"/>
          <w:b/>
        </w:rPr>
        <w:alias w:val="模块:计入当期损益的政府补助"/>
        <w:tag w:val="_SEC_7da34acddedf41ad98cc013fa3418dfa"/>
        <w:id w:val="910663154"/>
        <w:lock w:val="sdtLocked"/>
        <w:placeholder>
          <w:docPart w:val="GBC22222222222222222222222222222"/>
        </w:placeholder>
      </w:sdtPr>
      <w:sdtEndPr>
        <w:rPr>
          <w:rFonts w:hint="default"/>
          <w:b w:val="0"/>
        </w:rPr>
      </w:sdtEndPr>
      <w:sdtContent>
        <w:p w:rsidR="00806678" w:rsidRDefault="00B16377">
          <w:pPr>
            <w:rPr>
              <w:rStyle w:val="4Char1"/>
              <w:rFonts w:ascii="宋体" w:hAnsi="宋体"/>
              <w:b w:val="0"/>
              <w:szCs w:val="21"/>
            </w:rPr>
          </w:pPr>
          <w:r>
            <w:rPr>
              <w:rStyle w:val="4Char1"/>
              <w:rFonts w:ascii="宋体" w:hAnsi="宋体" w:hint="eastAsia"/>
              <w:b w:val="0"/>
              <w:szCs w:val="21"/>
            </w:rPr>
            <w:t>计入当期</w:t>
          </w:r>
          <w:r>
            <w:rPr>
              <w:rFonts w:hint="eastAsia"/>
            </w:rPr>
            <w:t>损益</w:t>
          </w:r>
          <w:r>
            <w:rPr>
              <w:rStyle w:val="4Char1"/>
              <w:rFonts w:ascii="宋体" w:hAnsi="宋体" w:hint="eastAsia"/>
              <w:b w:val="0"/>
              <w:szCs w:val="21"/>
            </w:rPr>
            <w:t>的政府补助</w:t>
          </w:r>
        </w:p>
        <w:sdt>
          <w:sdtPr>
            <w:rPr>
              <w:rStyle w:val="4Char1"/>
              <w:rFonts w:ascii="宋体" w:hAnsi="宋体"/>
              <w:b w:val="0"/>
              <w:szCs w:val="21"/>
            </w:rPr>
            <w:alias w:val="是否适用：计入当期损益的政府补助[双击切换]"/>
            <w:tag w:val="_GBC_4a57096a511a4052b159cd6811fa40df"/>
            <w:id w:val="-1364509767"/>
            <w:lock w:val="sdtLocked"/>
            <w:placeholder>
              <w:docPart w:val="GBC22222222222222222222222222222"/>
            </w:placeholder>
          </w:sdtPr>
          <w:sdtContent>
            <w:p w:rsidR="00806678" w:rsidRDefault="00F80B6C" w:rsidP="0058420E">
              <w:r>
                <w:rPr>
                  <w:rStyle w:val="4Char1"/>
                  <w:rFonts w:ascii="宋体" w:hAnsi="宋体"/>
                  <w:b w:val="0"/>
                  <w:szCs w:val="21"/>
                </w:rPr>
                <w:fldChar w:fldCharType="begin"/>
              </w:r>
              <w:r w:rsidR="0058420E">
                <w:rPr>
                  <w:rStyle w:val="4Char1"/>
                  <w:rFonts w:ascii="宋体" w:hAnsi="宋体"/>
                  <w:b w:val="0"/>
                  <w:szCs w:val="21"/>
                </w:rPr>
                <w:instrText xml:space="preserve">MACROBUTTON  SnrToggleCheckbox □适用 </w:instrText>
              </w:r>
              <w:r>
                <w:rPr>
                  <w:rStyle w:val="4Char1"/>
                  <w:rFonts w:ascii="宋体" w:hAnsi="宋体"/>
                  <w:b w:val="0"/>
                  <w:szCs w:val="21"/>
                </w:rPr>
                <w:fldChar w:fldCharType="end"/>
              </w:r>
              <w:r>
                <w:rPr>
                  <w:rStyle w:val="4Char1"/>
                  <w:rFonts w:ascii="宋体" w:hAnsi="宋体"/>
                  <w:b w:val="0"/>
                  <w:szCs w:val="21"/>
                </w:rPr>
                <w:fldChar w:fldCharType="begin"/>
              </w:r>
              <w:r w:rsidR="0058420E">
                <w:rPr>
                  <w:rStyle w:val="4Char1"/>
                  <w:rFonts w:ascii="宋体" w:hAnsi="宋体"/>
                  <w:b w:val="0"/>
                  <w:szCs w:val="21"/>
                </w:rPr>
                <w:instrText xml:space="preserve"> MACROBUTTON  SnrToggleCheckbox √不适用 </w:instrText>
              </w:r>
              <w:r>
                <w:rPr>
                  <w:rStyle w:val="4Char1"/>
                  <w:rFonts w:ascii="宋体" w:hAnsi="宋体"/>
                  <w:b w:val="0"/>
                  <w:szCs w:val="21"/>
                </w:rPr>
                <w:fldChar w:fldCharType="end"/>
              </w:r>
            </w:p>
          </w:sdtContent>
        </w:sdt>
      </w:sdtContent>
    </w:sdt>
    <w:sdt>
      <w:sdtPr>
        <w:rPr>
          <w:rFonts w:asciiTheme="minorEastAsia" w:eastAsiaTheme="minorEastAsia" w:hAnsiTheme="minorEastAsia" w:hint="eastAsia"/>
          <w:b/>
          <w:bCs/>
          <w:kern w:val="2"/>
          <w:szCs w:val="21"/>
        </w:rPr>
        <w:alias w:val="模块:营业外收入说明"/>
        <w:tag w:val="_SEC_784c1ba1d166453d9ae358ccd8c78ff4"/>
        <w:id w:val="-558640258"/>
        <w:lock w:val="sdtLocked"/>
        <w:placeholder>
          <w:docPart w:val="GBC22222222222222222222222222222"/>
        </w:placeholder>
      </w:sdtPr>
      <w:sdtContent>
        <w:p w:rsidR="00806678" w:rsidRDefault="00B16377">
          <w:pPr>
            <w:spacing w:before="60" w:after="60" w:line="360" w:lineRule="exact"/>
            <w:rPr>
              <w:szCs w:val="21"/>
            </w:rPr>
          </w:pPr>
          <w:r>
            <w:rPr>
              <w:rFonts w:hint="eastAsia"/>
              <w:szCs w:val="21"/>
            </w:rPr>
            <w:t>其他说明：</w:t>
          </w:r>
        </w:p>
        <w:sdt>
          <w:sdtPr>
            <w:rPr>
              <w:szCs w:val="21"/>
            </w:rPr>
            <w:alias w:val="是否适用：营业外收入说明[双击切换]"/>
            <w:tag w:val="_GBC_746f9c9c9cab4c2a87c7913a430e2392"/>
            <w:id w:val="-362520552"/>
            <w:lock w:val="sdtLocked"/>
            <w:placeholder>
              <w:docPart w:val="GBC22222222222222222222222222222"/>
            </w:placeholder>
          </w:sdtPr>
          <w:sdtContent>
            <w:p w:rsidR="00806678" w:rsidRDefault="00F80B6C" w:rsidP="0058420E">
              <w:pPr>
                <w:spacing w:before="60" w:after="60" w:line="360" w:lineRule="exact"/>
                <w:rPr>
                  <w:szCs w:val="21"/>
                </w:rPr>
              </w:pPr>
              <w:r>
                <w:rPr>
                  <w:szCs w:val="21"/>
                </w:rPr>
                <w:fldChar w:fldCharType="begin"/>
              </w:r>
              <w:r w:rsidR="0058420E">
                <w:rPr>
                  <w:szCs w:val="21"/>
                </w:rPr>
                <w:instrText xml:space="preserve">MACROBUTTON  SnrToggleCheckbox □适用 </w:instrText>
              </w:r>
              <w:r>
                <w:rPr>
                  <w:szCs w:val="21"/>
                </w:rPr>
                <w:fldChar w:fldCharType="end"/>
              </w:r>
              <w:r>
                <w:rPr>
                  <w:szCs w:val="21"/>
                </w:rPr>
                <w:fldChar w:fldCharType="begin"/>
              </w:r>
              <w:r w:rsidR="0058420E">
                <w:rPr>
                  <w:szCs w:val="21"/>
                </w:rPr>
                <w:instrText xml:space="preserve"> MACROBUTTON  SnrToggleCheckbox √不适用 </w:instrText>
              </w:r>
              <w:r>
                <w:rPr>
                  <w:szCs w:val="21"/>
                </w:rPr>
                <w:fldChar w:fldCharType="end"/>
              </w:r>
            </w:p>
          </w:sdtContent>
        </w:sdt>
      </w:sdtContent>
    </w:sdt>
    <w:p w:rsidR="00806678" w:rsidRDefault="00806678"/>
    <w:sdt>
      <w:sdtPr>
        <w:rPr>
          <w:rFonts w:ascii="宋体" w:hAnsi="宋体" w:cs="宋体" w:hint="eastAsia"/>
          <w:b w:val="0"/>
          <w:bCs w:val="0"/>
          <w:kern w:val="0"/>
          <w:szCs w:val="21"/>
        </w:rPr>
        <w:alias w:val="模块:营业外支出"/>
        <w:tag w:val="_SEC_c9367abe549f4ea783abbf3c125e949f"/>
        <w:id w:val="-99499283"/>
        <w:lock w:val="sdtLocked"/>
        <w:placeholder>
          <w:docPart w:val="GBC22222222222222222222222222222"/>
        </w:placeholder>
      </w:sdtPr>
      <w:sdtEndPr>
        <w:rPr>
          <w:rFonts w:asciiTheme="minorHAnsi" w:hAnsiTheme="minorHAnsi" w:cstheme="minorBidi"/>
        </w:rPr>
      </w:sdtEndPr>
      <w:sdtContent>
        <w:p w:rsidR="00806678" w:rsidRDefault="00B16377" w:rsidP="00FF17C7">
          <w:pPr>
            <w:pStyle w:val="3"/>
            <w:numPr>
              <w:ilvl w:val="0"/>
              <w:numId w:val="18"/>
            </w:numPr>
            <w:tabs>
              <w:tab w:val="left" w:pos="504"/>
            </w:tabs>
            <w:rPr>
              <w:rFonts w:ascii="宋体" w:hAnsi="宋体"/>
              <w:szCs w:val="21"/>
            </w:rPr>
          </w:pPr>
          <w:r>
            <w:rPr>
              <w:rFonts w:ascii="宋体" w:hAnsi="宋体" w:hint="eastAsia"/>
              <w:szCs w:val="21"/>
            </w:rPr>
            <w:t>营业外支出</w:t>
          </w:r>
        </w:p>
        <w:sdt>
          <w:sdtPr>
            <w:rPr>
              <w:rFonts w:hint="eastAsia"/>
              <w:szCs w:val="21"/>
            </w:rPr>
            <w:alias w:val="是否适用：营业外支出[双击切换]"/>
            <w:tag w:val="_GBC_8e8d3e6e563742f48edf759d6034f4ce"/>
            <w:id w:val="-814184118"/>
            <w:lock w:val="sdtLocked"/>
            <w:placeholder>
              <w:docPart w:val="GBC22222222222222222222222222222"/>
            </w:placeholder>
          </w:sdtPr>
          <w:sdtContent>
            <w:p w:rsidR="00806678" w:rsidRDefault="00F80B6C">
              <w:pPr>
                <w:rPr>
                  <w:szCs w:val="21"/>
                </w:rPr>
              </w:pPr>
              <w:r>
                <w:rPr>
                  <w:szCs w:val="21"/>
                </w:rPr>
                <w:fldChar w:fldCharType="begin"/>
              </w:r>
              <w:r w:rsidR="0058420E">
                <w:rPr>
                  <w:szCs w:val="21"/>
                </w:rPr>
                <w:instrText xml:space="preserve"> MACROBUTTON  SnrToggleCheckbox √适用  </w:instrText>
              </w:r>
              <w:r>
                <w:rPr>
                  <w:szCs w:val="21"/>
                </w:rPr>
                <w:fldChar w:fldCharType="end"/>
              </w:r>
              <w:r>
                <w:rPr>
                  <w:szCs w:val="21"/>
                </w:rPr>
                <w:fldChar w:fldCharType="begin"/>
              </w:r>
              <w:r w:rsidR="0058420E">
                <w:rPr>
                  <w:szCs w:val="21"/>
                </w:rPr>
                <w:instrText xml:space="preserve"> MACROBUTTON  SnrToggleCheckbox □不适用 </w:instrText>
              </w:r>
              <w:r>
                <w:rPr>
                  <w:szCs w:val="21"/>
                </w:rPr>
                <w:fldChar w:fldCharType="end"/>
              </w:r>
            </w:p>
          </w:sdtContent>
        </w:sdt>
        <w:p w:rsidR="00806678" w:rsidRDefault="00B16377">
          <w:pPr>
            <w:jc w:val="right"/>
            <w:rPr>
              <w:szCs w:val="21"/>
            </w:rPr>
          </w:pPr>
          <w:r>
            <w:rPr>
              <w:rFonts w:hint="eastAsia"/>
              <w:szCs w:val="21"/>
            </w:rPr>
            <w:t>单位：</w:t>
          </w:r>
          <w:sdt>
            <w:sdtPr>
              <w:rPr>
                <w:rFonts w:hint="eastAsia"/>
                <w:szCs w:val="21"/>
              </w:rPr>
              <w:alias w:val="单位：财务附注：营业外支出"/>
              <w:tag w:val="_GBC_825ccc5a51fd47a4888bf19121bc88e6"/>
              <w:id w:val="165448895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营业外支出"/>
              <w:tag w:val="_GBC_0236683596bd499a92bd40e4c42dc931"/>
              <w:id w:val="150771221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27"/>
            <w:gridCol w:w="2376"/>
            <w:gridCol w:w="2329"/>
            <w:gridCol w:w="2317"/>
          </w:tblGrid>
          <w:tr w:rsidR="0058420E" w:rsidTr="00DB008B">
            <w:sdt>
              <w:sdtPr>
                <w:tag w:val="_PLD_3e5b39f95fae41609c103f36a1017c54"/>
                <w:id w:val="228354620"/>
                <w:lock w:val="sdtLocked"/>
              </w:sdtPr>
              <w:sdtContent>
                <w:tc>
                  <w:tcPr>
                    <w:tcW w:w="1120" w:type="pct"/>
                    <w:tcBorders>
                      <w:top w:val="single" w:sz="4" w:space="0" w:color="auto"/>
                      <w:left w:val="single" w:sz="4" w:space="0" w:color="auto"/>
                      <w:bottom w:val="single" w:sz="4" w:space="0" w:color="auto"/>
                      <w:right w:val="single" w:sz="4" w:space="0" w:color="auto"/>
                    </w:tcBorders>
                    <w:vAlign w:val="center"/>
                  </w:tcPr>
                  <w:p w:rsidR="0058420E" w:rsidRDefault="0058420E" w:rsidP="00DB008B">
                    <w:pPr>
                      <w:autoSpaceDE w:val="0"/>
                      <w:autoSpaceDN w:val="0"/>
                      <w:adjustRightInd w:val="0"/>
                      <w:jc w:val="center"/>
                      <w:rPr>
                        <w:szCs w:val="21"/>
                      </w:rPr>
                    </w:pPr>
                    <w:r>
                      <w:rPr>
                        <w:rFonts w:hint="eastAsia"/>
                        <w:szCs w:val="21"/>
                      </w:rPr>
                      <w:t>项目</w:t>
                    </w:r>
                  </w:p>
                </w:tc>
              </w:sdtContent>
            </w:sdt>
            <w:sdt>
              <w:sdtPr>
                <w:tag w:val="_PLD_9ea5703e0d9641a1acf20638053e3dd5"/>
                <w:id w:val="-798988297"/>
                <w:lock w:val="sdtLocked"/>
              </w:sdtPr>
              <w:sdtContent>
                <w:tc>
                  <w:tcPr>
                    <w:tcW w:w="1313" w:type="pct"/>
                    <w:tcBorders>
                      <w:top w:val="single" w:sz="4" w:space="0" w:color="auto"/>
                      <w:left w:val="single" w:sz="4" w:space="0" w:color="auto"/>
                      <w:bottom w:val="single" w:sz="4" w:space="0" w:color="auto"/>
                      <w:right w:val="single" w:sz="4" w:space="0" w:color="auto"/>
                    </w:tcBorders>
                    <w:vAlign w:val="center"/>
                  </w:tcPr>
                  <w:p w:rsidR="0058420E" w:rsidRDefault="0058420E" w:rsidP="00DB008B">
                    <w:pPr>
                      <w:autoSpaceDE w:val="0"/>
                      <w:autoSpaceDN w:val="0"/>
                      <w:adjustRightInd w:val="0"/>
                      <w:jc w:val="center"/>
                      <w:rPr>
                        <w:szCs w:val="21"/>
                      </w:rPr>
                    </w:pPr>
                    <w:r>
                      <w:rPr>
                        <w:rFonts w:hint="eastAsia"/>
                        <w:szCs w:val="21"/>
                      </w:rPr>
                      <w:t>本期发生额</w:t>
                    </w:r>
                  </w:p>
                </w:tc>
              </w:sdtContent>
            </w:sdt>
            <w:sdt>
              <w:sdtPr>
                <w:tag w:val="_PLD_27cbc4bb29594bcfa61154a0d46b4d20"/>
                <w:id w:val="-663630771"/>
                <w:lock w:val="sdtLocked"/>
              </w:sdtPr>
              <w:sdtContent>
                <w:tc>
                  <w:tcPr>
                    <w:tcW w:w="1287" w:type="pct"/>
                    <w:tcBorders>
                      <w:top w:val="single" w:sz="4" w:space="0" w:color="auto"/>
                      <w:left w:val="single" w:sz="4" w:space="0" w:color="auto"/>
                      <w:bottom w:val="single" w:sz="4" w:space="0" w:color="auto"/>
                      <w:right w:val="single" w:sz="4" w:space="0" w:color="auto"/>
                    </w:tcBorders>
                    <w:vAlign w:val="center"/>
                  </w:tcPr>
                  <w:p w:rsidR="0058420E" w:rsidRDefault="0058420E" w:rsidP="00DB008B">
                    <w:pPr>
                      <w:autoSpaceDE w:val="0"/>
                      <w:autoSpaceDN w:val="0"/>
                      <w:adjustRightInd w:val="0"/>
                      <w:jc w:val="center"/>
                      <w:rPr>
                        <w:szCs w:val="21"/>
                      </w:rPr>
                    </w:pPr>
                    <w:r>
                      <w:rPr>
                        <w:rFonts w:hint="eastAsia"/>
                        <w:szCs w:val="21"/>
                      </w:rPr>
                      <w:t>上期发生额</w:t>
                    </w:r>
                  </w:p>
                </w:tc>
              </w:sdtContent>
            </w:sdt>
            <w:sdt>
              <w:sdtPr>
                <w:tag w:val="_PLD_cab5bf568f924fed9d087fb26b588481"/>
                <w:id w:val="365410165"/>
                <w:lock w:val="sdtLocked"/>
              </w:sdtPr>
              <w:sdtContent>
                <w:tc>
                  <w:tcPr>
                    <w:tcW w:w="1280" w:type="pct"/>
                    <w:tcBorders>
                      <w:top w:val="single" w:sz="4" w:space="0" w:color="auto"/>
                      <w:left w:val="single" w:sz="4" w:space="0" w:color="auto"/>
                      <w:bottom w:val="single" w:sz="4" w:space="0" w:color="auto"/>
                      <w:right w:val="single" w:sz="4" w:space="0" w:color="auto"/>
                    </w:tcBorders>
                    <w:vAlign w:val="center"/>
                  </w:tcPr>
                  <w:p w:rsidR="0058420E" w:rsidRDefault="0058420E" w:rsidP="00DB008B">
                    <w:pPr>
                      <w:autoSpaceDE w:val="0"/>
                      <w:autoSpaceDN w:val="0"/>
                      <w:adjustRightInd w:val="0"/>
                      <w:jc w:val="center"/>
                      <w:rPr>
                        <w:szCs w:val="21"/>
                      </w:rPr>
                    </w:pPr>
                    <w:r>
                      <w:rPr>
                        <w:rFonts w:hint="eastAsia"/>
                        <w:szCs w:val="21"/>
                      </w:rPr>
                      <w:t>计入当期非经常性损益的金额</w:t>
                    </w:r>
                  </w:p>
                </w:tc>
              </w:sdtContent>
            </w:sdt>
          </w:tr>
          <w:tr w:rsidR="0058420E" w:rsidTr="00DB008B">
            <w:sdt>
              <w:sdtPr>
                <w:tag w:val="_PLD_fa1137f80f424464b95a182d4e48d247"/>
                <w:id w:val="2054120201"/>
                <w:lock w:val="sdtLocked"/>
              </w:sdtPr>
              <w:sdtContent>
                <w:tc>
                  <w:tcPr>
                    <w:tcW w:w="1120" w:type="pct"/>
                    <w:tcBorders>
                      <w:top w:val="single" w:sz="4" w:space="0" w:color="auto"/>
                      <w:left w:val="single" w:sz="4" w:space="0" w:color="auto"/>
                      <w:bottom w:val="single" w:sz="4" w:space="0" w:color="auto"/>
                      <w:right w:val="single" w:sz="4" w:space="0" w:color="auto"/>
                    </w:tcBorders>
                  </w:tcPr>
                  <w:p w:rsidR="0058420E" w:rsidRDefault="0058420E" w:rsidP="00DB008B">
                    <w:pPr>
                      <w:autoSpaceDE w:val="0"/>
                      <w:autoSpaceDN w:val="0"/>
                      <w:adjustRightInd w:val="0"/>
                      <w:rPr>
                        <w:szCs w:val="21"/>
                      </w:rPr>
                    </w:pPr>
                    <w:r>
                      <w:rPr>
                        <w:rFonts w:hint="eastAsia"/>
                        <w:szCs w:val="21"/>
                      </w:rPr>
                      <w:t>非流动资产处置损失合计</w:t>
                    </w:r>
                  </w:p>
                </w:tc>
              </w:sdtContent>
            </w:sdt>
            <w:tc>
              <w:tcPr>
                <w:tcW w:w="1313" w:type="pct"/>
                <w:tcBorders>
                  <w:top w:val="single" w:sz="4" w:space="0" w:color="auto"/>
                  <w:left w:val="single" w:sz="4" w:space="0" w:color="auto"/>
                  <w:bottom w:val="single" w:sz="4" w:space="0" w:color="auto"/>
                  <w:right w:val="single" w:sz="4" w:space="0" w:color="auto"/>
                </w:tcBorders>
              </w:tcPr>
              <w:p w:rsidR="0058420E" w:rsidRDefault="0058420E" w:rsidP="00DB008B">
                <w:pPr>
                  <w:jc w:val="right"/>
                  <w:rPr>
                    <w:szCs w:val="21"/>
                  </w:rPr>
                </w:pPr>
                <w:r>
                  <w:t>33,252,324</w:t>
                </w:r>
              </w:p>
            </w:tc>
            <w:tc>
              <w:tcPr>
                <w:tcW w:w="1287" w:type="pct"/>
                <w:tcBorders>
                  <w:top w:val="single" w:sz="4" w:space="0" w:color="auto"/>
                  <w:left w:val="single" w:sz="4" w:space="0" w:color="auto"/>
                  <w:bottom w:val="single" w:sz="4" w:space="0" w:color="auto"/>
                  <w:right w:val="single" w:sz="4" w:space="0" w:color="auto"/>
                </w:tcBorders>
              </w:tcPr>
              <w:p w:rsidR="0058420E" w:rsidRDefault="0058420E" w:rsidP="00DB008B">
                <w:pPr>
                  <w:jc w:val="right"/>
                  <w:rPr>
                    <w:szCs w:val="21"/>
                  </w:rPr>
                </w:pPr>
                <w:r>
                  <w:t>51,714,657</w:t>
                </w:r>
              </w:p>
            </w:tc>
            <w:tc>
              <w:tcPr>
                <w:tcW w:w="1280" w:type="pct"/>
                <w:tcBorders>
                  <w:top w:val="single" w:sz="4" w:space="0" w:color="auto"/>
                  <w:left w:val="single" w:sz="4" w:space="0" w:color="auto"/>
                  <w:bottom w:val="single" w:sz="4" w:space="0" w:color="auto"/>
                  <w:right w:val="single" w:sz="4" w:space="0" w:color="auto"/>
                </w:tcBorders>
              </w:tcPr>
              <w:p w:rsidR="0058420E" w:rsidRDefault="0058420E" w:rsidP="00DB008B">
                <w:pPr>
                  <w:autoSpaceDE w:val="0"/>
                  <w:autoSpaceDN w:val="0"/>
                  <w:adjustRightInd w:val="0"/>
                  <w:jc w:val="right"/>
                  <w:rPr>
                    <w:szCs w:val="21"/>
                  </w:rPr>
                </w:pPr>
                <w:r>
                  <w:t>33,252,324</w:t>
                </w:r>
              </w:p>
            </w:tc>
          </w:tr>
          <w:tr w:rsidR="0058420E" w:rsidTr="00DB008B">
            <w:sdt>
              <w:sdtPr>
                <w:tag w:val="_PLD_5042ec27aa0b45deb7d091b82164f45c"/>
                <w:id w:val="-1358114862"/>
                <w:lock w:val="sdtLocked"/>
              </w:sdtPr>
              <w:sdtContent>
                <w:tc>
                  <w:tcPr>
                    <w:tcW w:w="1120" w:type="pct"/>
                    <w:tcBorders>
                      <w:top w:val="single" w:sz="4" w:space="0" w:color="auto"/>
                      <w:left w:val="single" w:sz="4" w:space="0" w:color="auto"/>
                      <w:bottom w:val="single" w:sz="4" w:space="0" w:color="auto"/>
                      <w:right w:val="single" w:sz="4" w:space="0" w:color="auto"/>
                    </w:tcBorders>
                  </w:tcPr>
                  <w:p w:rsidR="0058420E" w:rsidRDefault="0058420E" w:rsidP="00DB008B">
                    <w:pPr>
                      <w:autoSpaceDE w:val="0"/>
                      <w:autoSpaceDN w:val="0"/>
                      <w:adjustRightInd w:val="0"/>
                      <w:rPr>
                        <w:szCs w:val="21"/>
                      </w:rPr>
                    </w:pPr>
                    <w:r>
                      <w:rPr>
                        <w:rFonts w:hint="eastAsia"/>
                        <w:szCs w:val="21"/>
                      </w:rPr>
                      <w:t>其中：固定资产处置损失</w:t>
                    </w:r>
                  </w:p>
                </w:tc>
              </w:sdtContent>
            </w:sdt>
            <w:tc>
              <w:tcPr>
                <w:tcW w:w="1313" w:type="pct"/>
                <w:tcBorders>
                  <w:top w:val="single" w:sz="4" w:space="0" w:color="auto"/>
                  <w:left w:val="single" w:sz="4" w:space="0" w:color="auto"/>
                  <w:bottom w:val="single" w:sz="4" w:space="0" w:color="auto"/>
                  <w:right w:val="single" w:sz="4" w:space="0" w:color="auto"/>
                </w:tcBorders>
              </w:tcPr>
              <w:p w:rsidR="0058420E" w:rsidRDefault="0058420E" w:rsidP="00DB008B">
                <w:pPr>
                  <w:jc w:val="right"/>
                  <w:rPr>
                    <w:szCs w:val="21"/>
                  </w:rPr>
                </w:pPr>
                <w:r>
                  <w:t>33,252,324</w:t>
                </w:r>
              </w:p>
            </w:tc>
            <w:tc>
              <w:tcPr>
                <w:tcW w:w="1287" w:type="pct"/>
                <w:tcBorders>
                  <w:top w:val="single" w:sz="4" w:space="0" w:color="auto"/>
                  <w:left w:val="single" w:sz="4" w:space="0" w:color="auto"/>
                  <w:bottom w:val="single" w:sz="4" w:space="0" w:color="auto"/>
                  <w:right w:val="single" w:sz="4" w:space="0" w:color="auto"/>
                </w:tcBorders>
              </w:tcPr>
              <w:p w:rsidR="0058420E" w:rsidRDefault="0058420E" w:rsidP="00DB008B">
                <w:pPr>
                  <w:jc w:val="right"/>
                  <w:rPr>
                    <w:szCs w:val="21"/>
                  </w:rPr>
                </w:pPr>
                <w:r>
                  <w:t>51,714,657</w:t>
                </w:r>
              </w:p>
            </w:tc>
            <w:tc>
              <w:tcPr>
                <w:tcW w:w="1280" w:type="pct"/>
                <w:tcBorders>
                  <w:top w:val="single" w:sz="4" w:space="0" w:color="auto"/>
                  <w:left w:val="single" w:sz="4" w:space="0" w:color="auto"/>
                  <w:bottom w:val="single" w:sz="4" w:space="0" w:color="auto"/>
                  <w:right w:val="single" w:sz="4" w:space="0" w:color="auto"/>
                </w:tcBorders>
              </w:tcPr>
              <w:p w:rsidR="0058420E" w:rsidRDefault="0058420E" w:rsidP="00DB008B">
                <w:pPr>
                  <w:autoSpaceDE w:val="0"/>
                  <w:autoSpaceDN w:val="0"/>
                  <w:adjustRightInd w:val="0"/>
                  <w:jc w:val="right"/>
                  <w:rPr>
                    <w:szCs w:val="21"/>
                  </w:rPr>
                </w:pPr>
                <w:r>
                  <w:t>33,252,324</w:t>
                </w:r>
              </w:p>
            </w:tc>
          </w:tr>
          <w:sdt>
            <w:sdtPr>
              <w:rPr>
                <w:rFonts w:hint="eastAsia"/>
                <w:szCs w:val="21"/>
              </w:rPr>
              <w:alias w:val="营业外支出明细"/>
              <w:tag w:val="_TUP_bd09bb7bd32c41f2b26ca414c6e9418d"/>
              <w:id w:val="330100930"/>
              <w:lock w:val="sdtLocked"/>
            </w:sdtPr>
            <w:sdtContent>
              <w:tr w:rsidR="0058420E" w:rsidTr="00DB008B">
                <w:tc>
                  <w:tcPr>
                    <w:tcW w:w="1120" w:type="pct"/>
                    <w:tcBorders>
                      <w:top w:val="single" w:sz="4" w:space="0" w:color="auto"/>
                      <w:left w:val="single" w:sz="4" w:space="0" w:color="auto"/>
                      <w:bottom w:val="single" w:sz="4" w:space="0" w:color="auto"/>
                      <w:right w:val="single" w:sz="4" w:space="0" w:color="auto"/>
                    </w:tcBorders>
                  </w:tcPr>
                  <w:p w:rsidR="0058420E" w:rsidRDefault="0058420E" w:rsidP="00DB008B">
                    <w:pPr>
                      <w:rPr>
                        <w:szCs w:val="21"/>
                      </w:rPr>
                    </w:pPr>
                    <w:r w:rsidRPr="0058420E">
                      <w:rPr>
                        <w:rFonts w:hint="eastAsia"/>
                        <w:szCs w:val="21"/>
                      </w:rPr>
                      <w:t>铁路公安经费支出</w:t>
                    </w:r>
                    <w:r w:rsidRPr="0058420E">
                      <w:rPr>
                        <w:szCs w:val="21"/>
                      </w:rPr>
                      <w:t xml:space="preserve"> (注1)</w:t>
                    </w:r>
                  </w:p>
                </w:tc>
                <w:tc>
                  <w:tcPr>
                    <w:tcW w:w="1313" w:type="pct"/>
                    <w:tcBorders>
                      <w:top w:val="single" w:sz="4" w:space="0" w:color="auto"/>
                      <w:left w:val="single" w:sz="4" w:space="0" w:color="auto"/>
                      <w:bottom w:val="single" w:sz="4" w:space="0" w:color="auto"/>
                      <w:right w:val="single" w:sz="4" w:space="0" w:color="auto"/>
                    </w:tcBorders>
                  </w:tcPr>
                  <w:p w:rsidR="0058420E" w:rsidRDefault="0058420E" w:rsidP="00DB008B">
                    <w:pPr>
                      <w:jc w:val="right"/>
                      <w:rPr>
                        <w:szCs w:val="21"/>
                      </w:rPr>
                    </w:pPr>
                    <w:r>
                      <w:t>99,438,699</w:t>
                    </w:r>
                  </w:p>
                </w:tc>
                <w:tc>
                  <w:tcPr>
                    <w:tcW w:w="1287" w:type="pct"/>
                    <w:tcBorders>
                      <w:top w:val="single" w:sz="4" w:space="0" w:color="auto"/>
                      <w:left w:val="single" w:sz="4" w:space="0" w:color="auto"/>
                      <w:bottom w:val="single" w:sz="4" w:space="0" w:color="auto"/>
                      <w:right w:val="single" w:sz="4" w:space="0" w:color="auto"/>
                    </w:tcBorders>
                  </w:tcPr>
                  <w:p w:rsidR="0058420E" w:rsidRDefault="0058420E" w:rsidP="00DB008B">
                    <w:pPr>
                      <w:jc w:val="right"/>
                      <w:rPr>
                        <w:szCs w:val="21"/>
                      </w:rPr>
                    </w:pPr>
                    <w:r>
                      <w:t>46,643,858</w:t>
                    </w:r>
                  </w:p>
                </w:tc>
                <w:tc>
                  <w:tcPr>
                    <w:tcW w:w="1280" w:type="pct"/>
                    <w:tcBorders>
                      <w:top w:val="single" w:sz="4" w:space="0" w:color="auto"/>
                      <w:left w:val="single" w:sz="4" w:space="0" w:color="auto"/>
                      <w:bottom w:val="single" w:sz="4" w:space="0" w:color="auto"/>
                      <w:right w:val="single" w:sz="4" w:space="0" w:color="auto"/>
                    </w:tcBorders>
                  </w:tcPr>
                  <w:p w:rsidR="0058420E" w:rsidRDefault="0058420E" w:rsidP="00DB008B">
                    <w:pPr>
                      <w:jc w:val="right"/>
                      <w:rPr>
                        <w:szCs w:val="21"/>
                      </w:rPr>
                    </w:pPr>
                    <w:r>
                      <w:t>99,438,699</w:t>
                    </w:r>
                  </w:p>
                </w:tc>
              </w:tr>
            </w:sdtContent>
          </w:sdt>
          <w:sdt>
            <w:sdtPr>
              <w:rPr>
                <w:rFonts w:hint="eastAsia"/>
                <w:szCs w:val="21"/>
              </w:rPr>
              <w:alias w:val="营业外支出明细"/>
              <w:tag w:val="_TUP_bd09bb7bd32c41f2b26ca414c6e9418d"/>
              <w:id w:val="-1228607103"/>
              <w:lock w:val="sdtLocked"/>
            </w:sdtPr>
            <w:sdtContent>
              <w:tr w:rsidR="0058420E" w:rsidTr="00DB008B">
                <w:tc>
                  <w:tcPr>
                    <w:tcW w:w="1120" w:type="pct"/>
                    <w:tcBorders>
                      <w:top w:val="single" w:sz="4" w:space="0" w:color="auto"/>
                      <w:left w:val="single" w:sz="4" w:space="0" w:color="auto"/>
                      <w:bottom w:val="single" w:sz="4" w:space="0" w:color="auto"/>
                      <w:right w:val="single" w:sz="4" w:space="0" w:color="auto"/>
                    </w:tcBorders>
                  </w:tcPr>
                  <w:p w:rsidR="0058420E" w:rsidRDefault="0058420E" w:rsidP="00DB008B">
                    <w:pPr>
                      <w:rPr>
                        <w:szCs w:val="21"/>
                      </w:rPr>
                    </w:pPr>
                    <w:r>
                      <w:rPr>
                        <w:rFonts w:hint="eastAsia"/>
                        <w:szCs w:val="21"/>
                      </w:rPr>
                      <w:t>其他</w:t>
                    </w:r>
                  </w:p>
                </w:tc>
                <w:tc>
                  <w:tcPr>
                    <w:tcW w:w="1313" w:type="pct"/>
                    <w:tcBorders>
                      <w:top w:val="single" w:sz="4" w:space="0" w:color="auto"/>
                      <w:left w:val="single" w:sz="4" w:space="0" w:color="auto"/>
                      <w:bottom w:val="single" w:sz="4" w:space="0" w:color="auto"/>
                      <w:right w:val="single" w:sz="4" w:space="0" w:color="auto"/>
                    </w:tcBorders>
                  </w:tcPr>
                  <w:p w:rsidR="0058420E" w:rsidRDefault="0058420E" w:rsidP="00DB008B">
                    <w:pPr>
                      <w:jc w:val="right"/>
                      <w:rPr>
                        <w:szCs w:val="21"/>
                      </w:rPr>
                    </w:pPr>
                    <w:r>
                      <w:t>16,920,328</w:t>
                    </w:r>
                  </w:p>
                </w:tc>
                <w:tc>
                  <w:tcPr>
                    <w:tcW w:w="1287" w:type="pct"/>
                    <w:tcBorders>
                      <w:top w:val="single" w:sz="4" w:space="0" w:color="auto"/>
                      <w:left w:val="single" w:sz="4" w:space="0" w:color="auto"/>
                      <w:bottom w:val="single" w:sz="4" w:space="0" w:color="auto"/>
                      <w:right w:val="single" w:sz="4" w:space="0" w:color="auto"/>
                    </w:tcBorders>
                  </w:tcPr>
                  <w:p w:rsidR="0058420E" w:rsidRDefault="0058420E" w:rsidP="00DB008B">
                    <w:pPr>
                      <w:jc w:val="right"/>
                      <w:rPr>
                        <w:szCs w:val="21"/>
                      </w:rPr>
                    </w:pPr>
                    <w:r>
                      <w:t>34,182,226</w:t>
                    </w:r>
                  </w:p>
                </w:tc>
                <w:tc>
                  <w:tcPr>
                    <w:tcW w:w="1280" w:type="pct"/>
                    <w:tcBorders>
                      <w:top w:val="single" w:sz="4" w:space="0" w:color="auto"/>
                      <w:left w:val="single" w:sz="4" w:space="0" w:color="auto"/>
                      <w:bottom w:val="single" w:sz="4" w:space="0" w:color="auto"/>
                      <w:right w:val="single" w:sz="4" w:space="0" w:color="auto"/>
                    </w:tcBorders>
                  </w:tcPr>
                  <w:p w:rsidR="0058420E" w:rsidRDefault="0058420E" w:rsidP="00DB008B">
                    <w:pPr>
                      <w:jc w:val="right"/>
                      <w:rPr>
                        <w:szCs w:val="21"/>
                      </w:rPr>
                    </w:pPr>
                    <w:r>
                      <w:t>16,920,328</w:t>
                    </w:r>
                  </w:p>
                </w:tc>
              </w:tr>
            </w:sdtContent>
          </w:sdt>
          <w:tr w:rsidR="0058420E" w:rsidTr="00DB008B">
            <w:sdt>
              <w:sdtPr>
                <w:tag w:val="_PLD_f10e235b598c4cba837dde9ff8f4cdba"/>
                <w:id w:val="1098680358"/>
                <w:lock w:val="sdtLocked"/>
              </w:sdtPr>
              <w:sdtContent>
                <w:tc>
                  <w:tcPr>
                    <w:tcW w:w="1120" w:type="pct"/>
                    <w:tcBorders>
                      <w:top w:val="single" w:sz="4" w:space="0" w:color="auto"/>
                      <w:left w:val="single" w:sz="4" w:space="0" w:color="auto"/>
                      <w:bottom w:val="single" w:sz="4" w:space="0" w:color="auto"/>
                      <w:right w:val="single" w:sz="4" w:space="0" w:color="auto"/>
                    </w:tcBorders>
                  </w:tcPr>
                  <w:p w:rsidR="0058420E" w:rsidRDefault="0058420E" w:rsidP="00DB008B">
                    <w:pPr>
                      <w:ind w:right="6"/>
                      <w:jc w:val="center"/>
                      <w:rPr>
                        <w:szCs w:val="21"/>
                      </w:rPr>
                    </w:pPr>
                    <w:r>
                      <w:rPr>
                        <w:rFonts w:hint="eastAsia"/>
                        <w:szCs w:val="21"/>
                      </w:rPr>
                      <w:t>合计</w:t>
                    </w:r>
                  </w:p>
                </w:tc>
              </w:sdtContent>
            </w:sdt>
            <w:tc>
              <w:tcPr>
                <w:tcW w:w="1313" w:type="pct"/>
                <w:tcBorders>
                  <w:top w:val="single" w:sz="4" w:space="0" w:color="auto"/>
                  <w:left w:val="single" w:sz="4" w:space="0" w:color="auto"/>
                  <w:bottom w:val="single" w:sz="4" w:space="0" w:color="auto"/>
                  <w:right w:val="single" w:sz="4" w:space="0" w:color="auto"/>
                </w:tcBorders>
              </w:tcPr>
              <w:p w:rsidR="0058420E" w:rsidRDefault="0058420E" w:rsidP="00DB008B">
                <w:pPr>
                  <w:jc w:val="right"/>
                  <w:rPr>
                    <w:szCs w:val="21"/>
                  </w:rPr>
                </w:pPr>
                <w:r>
                  <w:t>149,611,351</w:t>
                </w:r>
              </w:p>
            </w:tc>
            <w:tc>
              <w:tcPr>
                <w:tcW w:w="1287" w:type="pct"/>
                <w:tcBorders>
                  <w:top w:val="single" w:sz="4" w:space="0" w:color="auto"/>
                  <w:left w:val="single" w:sz="4" w:space="0" w:color="auto"/>
                  <w:bottom w:val="single" w:sz="4" w:space="0" w:color="auto"/>
                  <w:right w:val="single" w:sz="4" w:space="0" w:color="auto"/>
                </w:tcBorders>
              </w:tcPr>
              <w:p w:rsidR="0058420E" w:rsidRDefault="0058420E" w:rsidP="00DB008B">
                <w:pPr>
                  <w:jc w:val="right"/>
                  <w:rPr>
                    <w:szCs w:val="21"/>
                  </w:rPr>
                </w:pPr>
                <w:r>
                  <w:t>132,540,741</w:t>
                </w:r>
              </w:p>
            </w:tc>
            <w:tc>
              <w:tcPr>
                <w:tcW w:w="1280" w:type="pct"/>
                <w:tcBorders>
                  <w:top w:val="single" w:sz="4" w:space="0" w:color="auto"/>
                  <w:left w:val="single" w:sz="4" w:space="0" w:color="auto"/>
                  <w:bottom w:val="single" w:sz="4" w:space="0" w:color="auto"/>
                  <w:right w:val="single" w:sz="4" w:space="0" w:color="auto"/>
                </w:tcBorders>
              </w:tcPr>
              <w:p w:rsidR="0058420E" w:rsidRDefault="0058420E" w:rsidP="00DB008B">
                <w:pPr>
                  <w:autoSpaceDE w:val="0"/>
                  <w:autoSpaceDN w:val="0"/>
                  <w:adjustRightInd w:val="0"/>
                  <w:jc w:val="right"/>
                  <w:rPr>
                    <w:szCs w:val="21"/>
                  </w:rPr>
                </w:pPr>
                <w:r>
                  <w:t>149,611,351</w:t>
                </w:r>
              </w:p>
            </w:tc>
          </w:tr>
        </w:tbl>
        <w:p w:rsidR="0058420E" w:rsidRDefault="0058420E">
          <w:pPr>
            <w:spacing w:before="60" w:after="60"/>
            <w:rPr>
              <w:szCs w:val="21"/>
            </w:rPr>
          </w:pPr>
        </w:p>
        <w:p w:rsidR="00806678" w:rsidRDefault="00B16377">
          <w:pPr>
            <w:spacing w:before="60" w:after="60"/>
            <w:rPr>
              <w:szCs w:val="21"/>
            </w:rPr>
          </w:pPr>
          <w:r>
            <w:rPr>
              <w:rFonts w:hint="eastAsia"/>
              <w:szCs w:val="21"/>
            </w:rPr>
            <w:t>其他说明：</w:t>
          </w:r>
        </w:p>
        <w:sdt>
          <w:sdtPr>
            <w:rPr>
              <w:rFonts w:hint="eastAsia"/>
              <w:szCs w:val="21"/>
            </w:rPr>
            <w:alias w:val="营业外支出说明"/>
            <w:tag w:val="_GBC_88ac743f9ece44c8ba4b737327409578"/>
            <w:id w:val="-911937886"/>
            <w:lock w:val="sdtLocked"/>
            <w:placeholder>
              <w:docPart w:val="GBC22222222222222222222222222222"/>
            </w:placeholder>
          </w:sdtPr>
          <w:sdtEndPr>
            <w:rPr>
              <w:rFonts w:asciiTheme="minorHAnsi" w:eastAsiaTheme="minorEastAsia" w:hAnsiTheme="minorHAnsi"/>
            </w:rPr>
          </w:sdtEndPr>
          <w:sdtContent>
            <w:p w:rsidR="0058420E" w:rsidRDefault="0058420E" w:rsidP="0058420E">
              <w:pPr>
                <w:rPr>
                  <w:rFonts w:asciiTheme="minorHAnsi" w:hAnsiTheme="minorHAnsi" w:cstheme="minorBidi"/>
                  <w:szCs w:val="21"/>
                </w:rPr>
              </w:pPr>
              <w:r w:rsidRPr="0058420E">
                <w:rPr>
                  <w:rFonts w:hint="eastAsia"/>
                  <w:szCs w:val="21"/>
                </w:rPr>
                <w:t>注</w:t>
              </w:r>
              <w:r w:rsidRPr="0058420E">
                <w:rPr>
                  <w:szCs w:val="21"/>
                </w:rPr>
                <w:t>1：</w:t>
              </w:r>
              <w:r w:rsidRPr="0058420E">
                <w:rPr>
                  <w:szCs w:val="21"/>
                </w:rPr>
                <w:tab/>
                <w:t>根据原铁道部铁财函【2011】58号《关于铁路企业承担铁路公安经费的通知》，本集团自2010年度起承担铁路公安经费支出。2022年，本集团应承担的铁路公安经费支出为人民币99,438,699元(2021年：人民币46,643,858元)。</w:t>
              </w:r>
            </w:p>
          </w:sdtContent>
        </w:sdt>
      </w:sdtContent>
    </w:sdt>
    <w:p w:rsidR="00806678" w:rsidRDefault="00806678"/>
    <w:sdt>
      <w:sdtPr>
        <w:rPr>
          <w:rFonts w:ascii="宋体" w:hAnsi="宋体" w:cs="宋体" w:hint="eastAsia"/>
          <w:b w:val="0"/>
          <w:bCs w:val="0"/>
          <w:kern w:val="0"/>
          <w:szCs w:val="21"/>
        </w:rPr>
        <w:alias w:val="模块:所得税费用"/>
        <w:tag w:val="_SEC_dedc71a0d12742a59ac6ee5cfbfa509f"/>
        <w:id w:val="476341979"/>
        <w:lock w:val="sdtLocked"/>
        <w:placeholder>
          <w:docPart w:val="GBC22222222222222222222222222222"/>
        </w:placeholder>
      </w:sdtPr>
      <w:sdtEndPr>
        <w:rPr>
          <w:rFonts w:asciiTheme="minorHAnsi" w:hAnsiTheme="minorHAnsi" w:cstheme="minorBidi" w:hint="default"/>
        </w:rPr>
      </w:sdtEndPr>
      <w:sdtContent>
        <w:p w:rsidR="00806678" w:rsidRDefault="00B16377" w:rsidP="00FF17C7">
          <w:pPr>
            <w:pStyle w:val="3"/>
            <w:numPr>
              <w:ilvl w:val="0"/>
              <w:numId w:val="18"/>
            </w:numPr>
            <w:tabs>
              <w:tab w:val="left" w:pos="504"/>
            </w:tabs>
            <w:rPr>
              <w:rFonts w:ascii="宋体" w:hAnsi="宋体"/>
              <w:szCs w:val="21"/>
            </w:rPr>
          </w:pPr>
          <w:r>
            <w:rPr>
              <w:rFonts w:ascii="宋体" w:hAnsi="宋体" w:hint="eastAsia"/>
              <w:szCs w:val="21"/>
            </w:rPr>
            <w:t>所得税费用</w:t>
          </w:r>
        </w:p>
        <w:p w:rsidR="00806678" w:rsidRDefault="00B16377" w:rsidP="00FF17C7">
          <w:pPr>
            <w:pStyle w:val="4"/>
            <w:numPr>
              <w:ilvl w:val="0"/>
              <w:numId w:val="100"/>
            </w:numPr>
            <w:ind w:left="426" w:hanging="426"/>
          </w:pPr>
          <w:r>
            <w:rPr>
              <w:rFonts w:hint="eastAsia"/>
            </w:rPr>
            <w:t>所得税费用表</w:t>
          </w:r>
        </w:p>
        <w:sdt>
          <w:sdtPr>
            <w:alias w:val="是否适用：所得税费用表[双击切换]"/>
            <w:tag w:val="_GBC_3ea18046339d457a8712506679035498"/>
            <w:id w:val="-219055250"/>
            <w:lock w:val="sdtLocked"/>
            <w:placeholder>
              <w:docPart w:val="GBC22222222222222222222222222222"/>
            </w:placeholder>
          </w:sdtPr>
          <w:sdtContent>
            <w:p w:rsidR="00806678" w:rsidRDefault="00F80B6C">
              <w:r>
                <w:fldChar w:fldCharType="begin"/>
              </w:r>
              <w:r w:rsidR="009C54D9">
                <w:instrText xml:space="preserve">MACROBUTTON  SnrToggleCheckbox √适用 </w:instrText>
              </w:r>
              <w:r>
                <w:fldChar w:fldCharType="end"/>
              </w:r>
              <w:r>
                <w:fldChar w:fldCharType="begin"/>
              </w:r>
              <w:r w:rsidR="009C54D9">
                <w:instrText xml:space="preserve"> MACROBUTTON  SnrToggleCheckbox □不适用 </w:instrText>
              </w:r>
              <w:r>
                <w:fldChar w:fldCharType="end"/>
              </w:r>
            </w:p>
          </w:sdtContent>
        </w:sdt>
        <w:p w:rsidR="00806678" w:rsidRDefault="00B16377">
          <w:pPr>
            <w:wordWrap w:val="0"/>
            <w:jc w:val="right"/>
            <w:rPr>
              <w:szCs w:val="21"/>
            </w:rPr>
          </w:pPr>
          <w:r>
            <w:rPr>
              <w:rFonts w:hint="eastAsia"/>
              <w:szCs w:val="21"/>
            </w:rPr>
            <w:t>单位：</w:t>
          </w:r>
          <w:sdt>
            <w:sdtPr>
              <w:rPr>
                <w:rFonts w:hint="eastAsia"/>
                <w:szCs w:val="21"/>
              </w:rPr>
              <w:alias w:val="单位：财务附注：所得税费用"/>
              <w:tag w:val="_GBC_5e89c62734b24d50a562694dcf8d2206"/>
              <w:id w:val="116027813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所得税费用"/>
              <w:tag w:val="_GBC_9c72c96e28344525b1836b3923556f61"/>
              <w:id w:val="88899405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3215"/>
            <w:gridCol w:w="2931"/>
            <w:gridCol w:w="2913"/>
          </w:tblGrid>
          <w:tr w:rsidR="00806678" w:rsidTr="008F2EAC">
            <w:trPr>
              <w:trHeight w:val="279"/>
            </w:trPr>
            <w:sdt>
              <w:sdtPr>
                <w:tag w:val="_PLD_e0d72a7f55e04c898352587240ce636b"/>
                <w:id w:val="818694155"/>
                <w:lock w:val="sdtLocked"/>
              </w:sdtPr>
              <w:sdtContent>
                <w:tc>
                  <w:tcPr>
                    <w:tcW w:w="1774" w:type="pct"/>
                    <w:vAlign w:val="center"/>
                  </w:tcPr>
                  <w:p w:rsidR="00806678" w:rsidRDefault="00B16377">
                    <w:pPr>
                      <w:ind w:right="6"/>
                      <w:jc w:val="center"/>
                      <w:rPr>
                        <w:szCs w:val="21"/>
                      </w:rPr>
                    </w:pPr>
                    <w:r>
                      <w:rPr>
                        <w:rFonts w:hint="eastAsia"/>
                        <w:szCs w:val="21"/>
                      </w:rPr>
                      <w:t>项目</w:t>
                    </w:r>
                  </w:p>
                </w:tc>
              </w:sdtContent>
            </w:sdt>
            <w:sdt>
              <w:sdtPr>
                <w:tag w:val="_PLD_e2b12491de324856a6b2f7034aa875da"/>
                <w:id w:val="665974612"/>
                <w:lock w:val="sdtLocked"/>
              </w:sdtPr>
              <w:sdtContent>
                <w:tc>
                  <w:tcPr>
                    <w:tcW w:w="1618" w:type="pct"/>
                    <w:vAlign w:val="center"/>
                  </w:tcPr>
                  <w:p w:rsidR="00806678" w:rsidRDefault="00B16377">
                    <w:pPr>
                      <w:ind w:right="6"/>
                      <w:jc w:val="center"/>
                      <w:rPr>
                        <w:szCs w:val="21"/>
                      </w:rPr>
                    </w:pPr>
                    <w:r>
                      <w:rPr>
                        <w:rFonts w:hint="eastAsia"/>
                        <w:szCs w:val="21"/>
                      </w:rPr>
                      <w:t>本期发生额</w:t>
                    </w:r>
                  </w:p>
                </w:tc>
              </w:sdtContent>
            </w:sdt>
            <w:sdt>
              <w:sdtPr>
                <w:tag w:val="_PLD_4b2515977b8d462088eb538637703bf1"/>
                <w:id w:val="-900055393"/>
                <w:lock w:val="sdtLocked"/>
              </w:sdtPr>
              <w:sdtContent>
                <w:tc>
                  <w:tcPr>
                    <w:tcW w:w="1608" w:type="pct"/>
                    <w:vAlign w:val="center"/>
                  </w:tcPr>
                  <w:p w:rsidR="00806678" w:rsidRDefault="00B16377">
                    <w:pPr>
                      <w:ind w:right="6"/>
                      <w:jc w:val="center"/>
                      <w:rPr>
                        <w:szCs w:val="21"/>
                      </w:rPr>
                    </w:pPr>
                    <w:r>
                      <w:rPr>
                        <w:rFonts w:hint="eastAsia"/>
                        <w:szCs w:val="21"/>
                      </w:rPr>
                      <w:t>上期发生额</w:t>
                    </w:r>
                  </w:p>
                </w:tc>
              </w:sdtContent>
            </w:sdt>
          </w:tr>
          <w:tr w:rsidR="008F2EAC" w:rsidTr="008F2EAC">
            <w:sdt>
              <w:sdtPr>
                <w:tag w:val="_PLD_eb618de0537148aeb9864c6338e1cc40"/>
                <w:id w:val="-1597784511"/>
                <w:lock w:val="sdtLocked"/>
              </w:sdtPr>
              <w:sdtContent>
                <w:tc>
                  <w:tcPr>
                    <w:tcW w:w="1774" w:type="pct"/>
                  </w:tcPr>
                  <w:p w:rsidR="008F2EAC" w:rsidRDefault="008F2EAC" w:rsidP="008F2EAC">
                    <w:pPr>
                      <w:ind w:right="6"/>
                      <w:rPr>
                        <w:b/>
                        <w:bCs/>
                        <w:szCs w:val="21"/>
                      </w:rPr>
                    </w:pPr>
                    <w:r>
                      <w:rPr>
                        <w:rFonts w:hint="eastAsia"/>
                        <w:szCs w:val="21"/>
                      </w:rPr>
                      <w:t>当期所得税费用</w:t>
                    </w:r>
                  </w:p>
                </w:tc>
              </w:sdtContent>
            </w:sdt>
            <w:tc>
              <w:tcPr>
                <w:tcW w:w="1618" w:type="pct"/>
                <w:vAlign w:val="center"/>
              </w:tcPr>
              <w:p w:rsidR="008F2EAC" w:rsidRDefault="008F2EAC" w:rsidP="008F2EAC">
                <w:pPr>
                  <w:jc w:val="right"/>
                  <w:rPr>
                    <w:szCs w:val="21"/>
                  </w:rPr>
                </w:pPr>
                <w:r>
                  <w:t>3,869,870,004</w:t>
                </w:r>
              </w:p>
            </w:tc>
            <w:tc>
              <w:tcPr>
                <w:tcW w:w="1608" w:type="pct"/>
                <w:vAlign w:val="center"/>
              </w:tcPr>
              <w:p w:rsidR="008F2EAC" w:rsidRDefault="008F2EAC" w:rsidP="008F2EAC">
                <w:pPr>
                  <w:ind w:right="6"/>
                  <w:jc w:val="right"/>
                  <w:rPr>
                    <w:szCs w:val="21"/>
                  </w:rPr>
                </w:pPr>
                <w:r>
                  <w:t>4,342,970,180</w:t>
                </w:r>
              </w:p>
            </w:tc>
          </w:tr>
          <w:tr w:rsidR="008F2EAC" w:rsidTr="008F2EAC">
            <w:sdt>
              <w:sdtPr>
                <w:tag w:val="_PLD_41728eb82b7b4c598f50b1463edd74e5"/>
                <w:id w:val="983039517"/>
                <w:lock w:val="sdtLocked"/>
              </w:sdtPr>
              <w:sdtContent>
                <w:tc>
                  <w:tcPr>
                    <w:tcW w:w="1774" w:type="pct"/>
                  </w:tcPr>
                  <w:p w:rsidR="008F2EAC" w:rsidRDefault="008F2EAC" w:rsidP="008F2EAC">
                    <w:pPr>
                      <w:ind w:right="6"/>
                      <w:rPr>
                        <w:szCs w:val="21"/>
                      </w:rPr>
                    </w:pPr>
                    <w:r>
                      <w:rPr>
                        <w:rFonts w:hint="eastAsia"/>
                        <w:szCs w:val="21"/>
                      </w:rPr>
                      <w:t>递延所得税费用</w:t>
                    </w:r>
                  </w:p>
                </w:tc>
              </w:sdtContent>
            </w:sdt>
            <w:tc>
              <w:tcPr>
                <w:tcW w:w="1618" w:type="pct"/>
                <w:vAlign w:val="center"/>
              </w:tcPr>
              <w:p w:rsidR="008F2EAC" w:rsidRDefault="008F2EAC" w:rsidP="008F2EAC">
                <w:pPr>
                  <w:jc w:val="right"/>
                  <w:rPr>
                    <w:szCs w:val="21"/>
                  </w:rPr>
                </w:pPr>
                <w:r>
                  <w:t>77,022,771</w:t>
                </w:r>
              </w:p>
            </w:tc>
            <w:tc>
              <w:tcPr>
                <w:tcW w:w="1608" w:type="pct"/>
                <w:vAlign w:val="center"/>
              </w:tcPr>
              <w:p w:rsidR="008F2EAC" w:rsidRDefault="008F2EAC" w:rsidP="008F2EAC">
                <w:pPr>
                  <w:ind w:right="6"/>
                  <w:jc w:val="right"/>
                  <w:rPr>
                    <w:szCs w:val="21"/>
                  </w:rPr>
                </w:pPr>
                <w:r>
                  <w:t>-12,519,855</w:t>
                </w:r>
              </w:p>
            </w:tc>
          </w:tr>
          <w:tr w:rsidR="008F2EAC" w:rsidTr="008F2EAC">
            <w:sdt>
              <w:sdtPr>
                <w:tag w:val="_PLD_b68ddca7a6004bd4964d19fff997989b"/>
                <w:id w:val="362477317"/>
                <w:lock w:val="sdtLocked"/>
              </w:sdtPr>
              <w:sdtContent>
                <w:tc>
                  <w:tcPr>
                    <w:tcW w:w="1774" w:type="pct"/>
                  </w:tcPr>
                  <w:p w:rsidR="008F2EAC" w:rsidRDefault="008F2EAC" w:rsidP="008F2EAC">
                    <w:pPr>
                      <w:ind w:right="6"/>
                      <w:jc w:val="center"/>
                      <w:rPr>
                        <w:szCs w:val="21"/>
                      </w:rPr>
                    </w:pPr>
                    <w:r>
                      <w:rPr>
                        <w:rFonts w:hint="eastAsia"/>
                        <w:szCs w:val="21"/>
                      </w:rPr>
                      <w:t>合计</w:t>
                    </w:r>
                  </w:p>
                </w:tc>
              </w:sdtContent>
            </w:sdt>
            <w:tc>
              <w:tcPr>
                <w:tcW w:w="1618" w:type="pct"/>
                <w:vAlign w:val="center"/>
              </w:tcPr>
              <w:p w:rsidR="008F2EAC" w:rsidRDefault="008F2EAC" w:rsidP="008F2EAC">
                <w:pPr>
                  <w:ind w:right="6"/>
                  <w:jc w:val="right"/>
                  <w:rPr>
                    <w:szCs w:val="21"/>
                  </w:rPr>
                </w:pPr>
                <w:r>
                  <w:t>3,946,892,775</w:t>
                </w:r>
              </w:p>
            </w:tc>
            <w:tc>
              <w:tcPr>
                <w:tcW w:w="1608" w:type="pct"/>
                <w:vAlign w:val="center"/>
              </w:tcPr>
              <w:p w:rsidR="008F2EAC" w:rsidRDefault="008F2EAC" w:rsidP="008F2EAC">
                <w:pPr>
                  <w:ind w:right="6"/>
                  <w:jc w:val="right"/>
                  <w:rPr>
                    <w:szCs w:val="21"/>
                  </w:rPr>
                </w:pPr>
                <w:r>
                  <w:t>4,330,450,325</w:t>
                </w:r>
              </w:p>
            </w:tc>
          </w:tr>
        </w:tbl>
        <w:p w:rsidR="00806678" w:rsidRDefault="00806678">
          <w:pPr>
            <w:rPr>
              <w:szCs w:val="21"/>
            </w:rPr>
          </w:pPr>
        </w:p>
        <w:p w:rsidR="00806678" w:rsidRDefault="00B16377" w:rsidP="00FF17C7">
          <w:pPr>
            <w:pStyle w:val="4"/>
            <w:numPr>
              <w:ilvl w:val="0"/>
              <w:numId w:val="100"/>
            </w:numPr>
            <w:ind w:left="426" w:hanging="426"/>
          </w:pPr>
          <w:r>
            <w:rPr>
              <w:rFonts w:hint="eastAsia"/>
            </w:rPr>
            <w:t>会计利润与所得税费用调整过程</w:t>
          </w:r>
        </w:p>
        <w:sdt>
          <w:sdtPr>
            <w:alias w:val="是否适用：会计利润与所得税费用调整过程[双击切换]"/>
            <w:tag w:val="_GBC_add00d323e2049ad8bc932f632966661"/>
            <w:id w:val="836732715"/>
            <w:lock w:val="sdtLocked"/>
            <w:placeholder>
              <w:docPart w:val="GBC22222222222222222222222222222"/>
            </w:placeholder>
          </w:sdtPr>
          <w:sdtContent>
            <w:p w:rsidR="00806678" w:rsidRDefault="00F80B6C">
              <w:r>
                <w:fldChar w:fldCharType="begin"/>
              </w:r>
              <w:r w:rsidR="006A15DF">
                <w:instrText xml:space="preserve">MACROBUTTON  SnrToggleCheckbox √适用 </w:instrText>
              </w:r>
              <w:r>
                <w:fldChar w:fldCharType="end"/>
              </w:r>
              <w:r>
                <w:fldChar w:fldCharType="begin"/>
              </w:r>
              <w:r w:rsidR="006A15DF">
                <w:instrText xml:space="preserve"> MACROBUTTON  SnrToggleCheckbox □不适用 </w:instrText>
              </w:r>
              <w:r>
                <w:fldChar w:fldCharType="end"/>
              </w:r>
            </w:p>
          </w:sdtContent>
        </w:sdt>
        <w:p w:rsidR="00806678" w:rsidRDefault="00B16377">
          <w:pPr>
            <w:jc w:val="right"/>
          </w:pPr>
          <w:r>
            <w:rPr>
              <w:rFonts w:hint="eastAsia"/>
            </w:rPr>
            <w:t>单位：</w:t>
          </w:r>
          <w:sdt>
            <w:sdtPr>
              <w:rPr>
                <w:rFonts w:hint="eastAsia"/>
              </w:rPr>
              <w:alias w:val="单位：会计利润与所得税费用调整过程"/>
              <w:tag w:val="_GBC_10825cb9bb5e445c9210ee34dc80406a"/>
              <w:id w:val="2156386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会计利润与所得税费用调整过程"/>
              <w:tag w:val="_GBC_017b69d0005b4ea99f76c547a25a6231"/>
              <w:id w:val="2156389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4998"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13" w:type="dxa"/>
              <w:right w:w="113" w:type="dxa"/>
            </w:tblCellMar>
            <w:tblLook w:val="04A0"/>
          </w:tblPr>
          <w:tblGrid>
            <w:gridCol w:w="3656"/>
            <w:gridCol w:w="2552"/>
            <w:gridCol w:w="2847"/>
          </w:tblGrid>
          <w:tr w:rsidR="006A15DF" w:rsidTr="00DE5751">
            <w:sdt>
              <w:sdtPr>
                <w:tag w:val="_PLD_1123621c9879400694da9a8842888e14"/>
                <w:id w:val="1497072737"/>
                <w:lock w:val="sdtLocked"/>
              </w:sdtPr>
              <w:sdtContent>
                <w:tc>
                  <w:tcPr>
                    <w:tcW w:w="2019" w:type="pct"/>
                    <w:tcBorders>
                      <w:top w:val="single" w:sz="4" w:space="0" w:color="auto"/>
                      <w:left w:val="single" w:sz="4" w:space="0" w:color="auto"/>
                      <w:bottom w:val="single" w:sz="4" w:space="0" w:color="auto"/>
                      <w:right w:val="single" w:sz="4" w:space="0" w:color="auto"/>
                    </w:tcBorders>
                    <w:shd w:val="clear" w:color="auto" w:fill="auto"/>
                    <w:hideMark/>
                  </w:tcPr>
                  <w:p w:rsidR="006A15DF" w:rsidRDefault="006A15DF" w:rsidP="00DB008B">
                    <w:pPr>
                      <w:jc w:val="center"/>
                    </w:pPr>
                    <w:r>
                      <w:rPr>
                        <w:rFonts w:hint="eastAsia"/>
                      </w:rPr>
                      <w:t>项目</w:t>
                    </w:r>
                  </w:p>
                </w:tc>
              </w:sdtContent>
            </w:sdt>
            <w:sdt>
              <w:sdtPr>
                <w:tag w:val="_PLD_4a270148a32846b69754961e55c75a04"/>
                <w:id w:val="-878933516"/>
                <w:lock w:val="sdtLocked"/>
              </w:sdtPr>
              <w:sdtContent>
                <w:tc>
                  <w:tcPr>
                    <w:tcW w:w="1409" w:type="pct"/>
                    <w:tcBorders>
                      <w:top w:val="single" w:sz="4" w:space="0" w:color="auto"/>
                      <w:left w:val="single" w:sz="4" w:space="0" w:color="auto"/>
                      <w:bottom w:val="single" w:sz="4" w:space="0" w:color="auto"/>
                      <w:right w:val="single" w:sz="4" w:space="0" w:color="auto"/>
                    </w:tcBorders>
                    <w:shd w:val="clear" w:color="auto" w:fill="auto"/>
                    <w:hideMark/>
                  </w:tcPr>
                  <w:p w:rsidR="006A15DF" w:rsidRDefault="006A15DF" w:rsidP="00DB008B">
                    <w:pPr>
                      <w:jc w:val="center"/>
                    </w:pPr>
                    <w:r>
                      <w:rPr>
                        <w:rFonts w:hint="eastAsia"/>
                      </w:rPr>
                      <w:t>本期发生额</w:t>
                    </w:r>
                  </w:p>
                </w:tc>
              </w:sdtContent>
            </w:sdt>
            <w:tc>
              <w:tcPr>
                <w:tcW w:w="1572" w:type="pct"/>
                <w:tcBorders>
                  <w:top w:val="single" w:sz="4" w:space="0" w:color="auto"/>
                  <w:left w:val="single" w:sz="4" w:space="0" w:color="auto"/>
                  <w:bottom w:val="single" w:sz="4" w:space="0" w:color="auto"/>
                  <w:right w:val="single" w:sz="4" w:space="0" w:color="auto"/>
                </w:tcBorders>
                <w:shd w:val="clear" w:color="auto" w:fill="auto"/>
                <w:hideMark/>
              </w:tcPr>
              <w:p w:rsidR="006A15DF" w:rsidRDefault="006A15DF" w:rsidP="00DB008B">
                <w:pPr>
                  <w:jc w:val="center"/>
                </w:pPr>
                <w:r>
                  <w:rPr>
                    <w:rFonts w:hint="eastAsia"/>
                  </w:rPr>
                  <w:t>上期发生额</w:t>
                </w:r>
              </w:p>
            </w:tc>
          </w:tr>
          <w:tr w:rsidR="006A15DF" w:rsidTr="00DE5751">
            <w:sdt>
              <w:sdtPr>
                <w:tag w:val="_PLD_fe27eedc229b486899ed547c51d37917"/>
                <w:id w:val="-1455478071"/>
                <w:lock w:val="sdtLocked"/>
              </w:sdtPr>
              <w:sdtContent>
                <w:tc>
                  <w:tcPr>
                    <w:tcW w:w="2019" w:type="pct"/>
                    <w:tcBorders>
                      <w:top w:val="single" w:sz="4" w:space="0" w:color="auto"/>
                      <w:left w:val="single" w:sz="4" w:space="0" w:color="auto"/>
                      <w:bottom w:val="single" w:sz="4" w:space="0" w:color="auto"/>
                      <w:right w:val="single" w:sz="4" w:space="0" w:color="auto"/>
                    </w:tcBorders>
                    <w:shd w:val="clear" w:color="auto" w:fill="auto"/>
                    <w:hideMark/>
                  </w:tcPr>
                  <w:p w:rsidR="006A15DF" w:rsidRDefault="006A15DF" w:rsidP="00DB008B">
                    <w:pPr>
                      <w:ind w:right="6"/>
                      <w:rPr>
                        <w:b/>
                        <w:bCs/>
                        <w:szCs w:val="21"/>
                      </w:rPr>
                    </w:pPr>
                    <w:r>
                      <w:rPr>
                        <w:rFonts w:hint="eastAsia"/>
                        <w:szCs w:val="21"/>
                      </w:rPr>
                      <w:t>利润总额</w:t>
                    </w:r>
                  </w:p>
                </w:tc>
              </w:sdtContent>
            </w:sdt>
            <w:tc>
              <w:tcPr>
                <w:tcW w:w="1409" w:type="pct"/>
                <w:tcBorders>
                  <w:top w:val="single" w:sz="4" w:space="0" w:color="auto"/>
                  <w:left w:val="single" w:sz="4" w:space="0" w:color="auto"/>
                  <w:bottom w:val="single" w:sz="6" w:space="0" w:color="auto"/>
                  <w:right w:val="single" w:sz="6" w:space="0" w:color="auto"/>
                </w:tcBorders>
                <w:shd w:val="clear" w:color="auto" w:fill="auto"/>
                <w:vAlign w:val="center"/>
              </w:tcPr>
              <w:p w:rsidR="006A15DF" w:rsidRDefault="006A15DF" w:rsidP="00DB008B">
                <w:pPr>
                  <w:jc w:val="right"/>
                </w:pPr>
                <w:r>
                  <w:t>16,799,810,680</w:t>
                </w:r>
              </w:p>
            </w:tc>
            <w:tc>
              <w:tcPr>
                <w:tcW w:w="1572" w:type="pct"/>
                <w:tcBorders>
                  <w:top w:val="single" w:sz="4" w:space="0" w:color="auto"/>
                  <w:left w:val="single" w:sz="4" w:space="0" w:color="auto"/>
                  <w:bottom w:val="single" w:sz="6" w:space="0" w:color="auto"/>
                  <w:right w:val="single" w:sz="6" w:space="0" w:color="auto"/>
                </w:tcBorders>
                <w:shd w:val="clear" w:color="auto" w:fill="auto"/>
                <w:vAlign w:val="center"/>
              </w:tcPr>
              <w:p w:rsidR="006A15DF" w:rsidRDefault="006A15DF" w:rsidP="00DB008B">
                <w:pPr>
                  <w:jc w:val="right"/>
                </w:pPr>
                <w:r>
                  <w:t>18,102,710,411</w:t>
                </w:r>
              </w:p>
            </w:tc>
          </w:tr>
          <w:tr w:rsidR="006A15DF" w:rsidTr="00DE5751">
            <w:sdt>
              <w:sdtPr>
                <w:tag w:val="_PLD_f7ffc0c7ca9b497d8dc0dce5bf0eda9a"/>
                <w:id w:val="-1503739330"/>
                <w:lock w:val="sdtLocked"/>
              </w:sdtPr>
              <w:sdtContent>
                <w:tc>
                  <w:tcPr>
                    <w:tcW w:w="2019" w:type="pct"/>
                    <w:tcBorders>
                      <w:top w:val="single" w:sz="4" w:space="0" w:color="auto"/>
                      <w:left w:val="single" w:sz="4" w:space="0" w:color="auto"/>
                      <w:bottom w:val="single" w:sz="4" w:space="0" w:color="auto"/>
                      <w:right w:val="single" w:sz="4" w:space="0" w:color="auto"/>
                    </w:tcBorders>
                    <w:shd w:val="clear" w:color="auto" w:fill="auto"/>
                    <w:hideMark/>
                  </w:tcPr>
                  <w:p w:rsidR="006A15DF" w:rsidRDefault="006A15DF" w:rsidP="00DB008B">
                    <w:pPr>
                      <w:ind w:right="6"/>
                    </w:pPr>
                    <w:r>
                      <w:rPr>
                        <w:rFonts w:hint="eastAsia"/>
                      </w:rPr>
                      <w:t>按法定</w:t>
                    </w:r>
                    <w:r>
                      <w:t>/</w:t>
                    </w:r>
                    <w:r>
                      <w:rPr>
                        <w:rFonts w:hint="eastAsia"/>
                      </w:rPr>
                      <w:t>适用税率计算的所得税费用</w:t>
                    </w:r>
                  </w:p>
                </w:tc>
              </w:sdtContent>
            </w:sdt>
            <w:tc>
              <w:tcPr>
                <w:tcW w:w="1409" w:type="pct"/>
                <w:tcBorders>
                  <w:top w:val="single" w:sz="6" w:space="0" w:color="auto"/>
                  <w:left w:val="single" w:sz="4" w:space="0" w:color="auto"/>
                  <w:bottom w:val="single" w:sz="6" w:space="0" w:color="auto"/>
                  <w:right w:val="single" w:sz="6" w:space="0" w:color="auto"/>
                </w:tcBorders>
                <w:shd w:val="clear" w:color="auto" w:fill="auto"/>
                <w:vAlign w:val="center"/>
              </w:tcPr>
              <w:p w:rsidR="006A15DF" w:rsidRDefault="006A15DF" w:rsidP="00DB008B">
                <w:pPr>
                  <w:jc w:val="right"/>
                </w:pPr>
                <w:r>
                  <w:t>4,199,952,670</w:t>
                </w:r>
              </w:p>
            </w:tc>
            <w:tc>
              <w:tcPr>
                <w:tcW w:w="1572" w:type="pct"/>
                <w:tcBorders>
                  <w:top w:val="single" w:sz="6" w:space="0" w:color="auto"/>
                  <w:left w:val="single" w:sz="4" w:space="0" w:color="auto"/>
                  <w:bottom w:val="single" w:sz="6" w:space="0" w:color="auto"/>
                  <w:right w:val="single" w:sz="6" w:space="0" w:color="auto"/>
                </w:tcBorders>
                <w:shd w:val="clear" w:color="auto" w:fill="auto"/>
                <w:vAlign w:val="center"/>
              </w:tcPr>
              <w:p w:rsidR="006A15DF" w:rsidRDefault="006A15DF" w:rsidP="00DB008B">
                <w:pPr>
                  <w:jc w:val="right"/>
                </w:pPr>
                <w:r>
                  <w:t>4,525,677,603</w:t>
                </w:r>
              </w:p>
            </w:tc>
          </w:tr>
          <w:tr w:rsidR="006A15DF" w:rsidTr="00DE5751">
            <w:trPr>
              <w:trHeight w:val="139"/>
            </w:trPr>
            <w:sdt>
              <w:sdtPr>
                <w:tag w:val="_PLD_9df18bdcd694449695ac6d0f65c229b7"/>
                <w:id w:val="789329691"/>
                <w:lock w:val="sdtLocked"/>
              </w:sdtPr>
              <w:sdtContent>
                <w:tc>
                  <w:tcPr>
                    <w:tcW w:w="2019" w:type="pct"/>
                    <w:tcBorders>
                      <w:top w:val="single" w:sz="4" w:space="0" w:color="auto"/>
                      <w:left w:val="single" w:sz="4" w:space="0" w:color="auto"/>
                      <w:bottom w:val="single" w:sz="4" w:space="0" w:color="auto"/>
                      <w:right w:val="single" w:sz="4" w:space="0" w:color="auto"/>
                    </w:tcBorders>
                    <w:shd w:val="clear" w:color="auto" w:fill="auto"/>
                    <w:hideMark/>
                  </w:tcPr>
                  <w:p w:rsidR="006A15DF" w:rsidRDefault="006A15DF" w:rsidP="00DB008B">
                    <w:pPr>
                      <w:ind w:right="6"/>
                    </w:pPr>
                    <w:r>
                      <w:rPr>
                        <w:rFonts w:hint="eastAsia"/>
                      </w:rPr>
                      <w:t>子公司适用不同税率的影响</w:t>
                    </w:r>
                  </w:p>
                </w:tc>
              </w:sdtContent>
            </w:sdt>
            <w:tc>
              <w:tcPr>
                <w:tcW w:w="1409" w:type="pct"/>
                <w:tcBorders>
                  <w:top w:val="single" w:sz="6" w:space="0" w:color="auto"/>
                  <w:left w:val="single" w:sz="4" w:space="0" w:color="auto"/>
                  <w:bottom w:val="single" w:sz="6" w:space="0" w:color="auto"/>
                  <w:right w:val="single" w:sz="6" w:space="0" w:color="auto"/>
                </w:tcBorders>
                <w:shd w:val="clear" w:color="auto" w:fill="auto"/>
                <w:vAlign w:val="center"/>
              </w:tcPr>
              <w:p w:rsidR="006A15DF" w:rsidRDefault="006A15DF" w:rsidP="00DB008B">
                <w:pPr>
                  <w:jc w:val="right"/>
                </w:pPr>
                <w:r>
                  <w:t>-32,410</w:t>
                </w:r>
              </w:p>
            </w:tc>
            <w:tc>
              <w:tcPr>
                <w:tcW w:w="1572" w:type="pct"/>
                <w:tcBorders>
                  <w:top w:val="single" w:sz="6" w:space="0" w:color="auto"/>
                  <w:left w:val="single" w:sz="4" w:space="0" w:color="auto"/>
                  <w:bottom w:val="single" w:sz="6" w:space="0" w:color="auto"/>
                  <w:right w:val="single" w:sz="6" w:space="0" w:color="auto"/>
                </w:tcBorders>
                <w:shd w:val="clear" w:color="auto" w:fill="auto"/>
                <w:vAlign w:val="center"/>
              </w:tcPr>
              <w:p w:rsidR="006A15DF" w:rsidRDefault="006A15DF" w:rsidP="00DB008B">
                <w:pPr>
                  <w:jc w:val="right"/>
                </w:pPr>
                <w:r>
                  <w:t>-106,833</w:t>
                </w:r>
              </w:p>
            </w:tc>
          </w:tr>
          <w:tr w:rsidR="006A15DF" w:rsidTr="00DE5751">
            <w:sdt>
              <w:sdtPr>
                <w:tag w:val="_PLD_3265a7f97078414e8992682ae705b8ae"/>
                <w:id w:val="1572075672"/>
                <w:lock w:val="sdtLocked"/>
              </w:sdtPr>
              <w:sdtContent>
                <w:tc>
                  <w:tcPr>
                    <w:tcW w:w="2019" w:type="pct"/>
                    <w:tcBorders>
                      <w:top w:val="single" w:sz="4" w:space="0" w:color="auto"/>
                      <w:left w:val="single" w:sz="4" w:space="0" w:color="auto"/>
                      <w:bottom w:val="single" w:sz="4" w:space="0" w:color="auto"/>
                      <w:right w:val="single" w:sz="4" w:space="0" w:color="auto"/>
                    </w:tcBorders>
                    <w:shd w:val="clear" w:color="auto" w:fill="auto"/>
                    <w:hideMark/>
                  </w:tcPr>
                  <w:p w:rsidR="006A15DF" w:rsidRDefault="006A15DF" w:rsidP="00DB008B">
                    <w:pPr>
                      <w:ind w:right="6"/>
                    </w:pPr>
                    <w:r>
                      <w:rPr>
                        <w:rFonts w:hint="eastAsia"/>
                      </w:rPr>
                      <w:t>调整以前期间所得税的影响</w:t>
                    </w:r>
                  </w:p>
                </w:tc>
              </w:sdtContent>
            </w:sdt>
            <w:tc>
              <w:tcPr>
                <w:tcW w:w="1409" w:type="pct"/>
                <w:tcBorders>
                  <w:top w:val="single" w:sz="6" w:space="0" w:color="auto"/>
                  <w:left w:val="single" w:sz="4" w:space="0" w:color="auto"/>
                  <w:bottom w:val="single" w:sz="6" w:space="0" w:color="auto"/>
                  <w:right w:val="single" w:sz="6" w:space="0" w:color="auto"/>
                </w:tcBorders>
                <w:shd w:val="clear" w:color="auto" w:fill="auto"/>
              </w:tcPr>
              <w:p w:rsidR="006A15DF" w:rsidRDefault="006A15DF" w:rsidP="00DB008B">
                <w:pPr>
                  <w:jc w:val="right"/>
                </w:pPr>
              </w:p>
            </w:tc>
            <w:tc>
              <w:tcPr>
                <w:tcW w:w="1572" w:type="pct"/>
                <w:tcBorders>
                  <w:top w:val="single" w:sz="6" w:space="0" w:color="auto"/>
                  <w:left w:val="single" w:sz="4" w:space="0" w:color="auto"/>
                  <w:bottom w:val="single" w:sz="6" w:space="0" w:color="auto"/>
                  <w:right w:val="single" w:sz="6" w:space="0" w:color="auto"/>
                </w:tcBorders>
                <w:shd w:val="clear" w:color="auto" w:fill="auto"/>
              </w:tcPr>
              <w:p w:rsidR="006A15DF" w:rsidRDefault="006A15DF" w:rsidP="00DB008B">
                <w:pPr>
                  <w:jc w:val="right"/>
                </w:pPr>
              </w:p>
            </w:tc>
          </w:tr>
          <w:tr w:rsidR="006A15DF" w:rsidTr="00DE5751">
            <w:sdt>
              <w:sdtPr>
                <w:tag w:val="_PLD_d221a1750972424fa59e109036c4105d"/>
                <w:id w:val="995143972"/>
                <w:lock w:val="sdtLocked"/>
              </w:sdtPr>
              <w:sdtContent>
                <w:tc>
                  <w:tcPr>
                    <w:tcW w:w="2019" w:type="pct"/>
                    <w:tcBorders>
                      <w:top w:val="single" w:sz="4" w:space="0" w:color="auto"/>
                      <w:left w:val="single" w:sz="4" w:space="0" w:color="auto"/>
                      <w:bottom w:val="single" w:sz="4" w:space="0" w:color="auto"/>
                      <w:right w:val="single" w:sz="4" w:space="0" w:color="auto"/>
                    </w:tcBorders>
                    <w:shd w:val="clear" w:color="auto" w:fill="auto"/>
                    <w:hideMark/>
                  </w:tcPr>
                  <w:p w:rsidR="006A15DF" w:rsidRDefault="006A15DF" w:rsidP="00DB008B">
                    <w:pPr>
                      <w:ind w:right="6"/>
                    </w:pPr>
                    <w:r>
                      <w:rPr>
                        <w:rFonts w:hint="eastAsia"/>
                      </w:rPr>
                      <w:t>非应税收入的影响</w:t>
                    </w:r>
                  </w:p>
                </w:tc>
              </w:sdtContent>
            </w:sdt>
            <w:tc>
              <w:tcPr>
                <w:tcW w:w="1409" w:type="pct"/>
                <w:tcBorders>
                  <w:top w:val="single" w:sz="6" w:space="0" w:color="auto"/>
                  <w:left w:val="single" w:sz="4" w:space="0" w:color="auto"/>
                  <w:bottom w:val="single" w:sz="6" w:space="0" w:color="auto"/>
                  <w:right w:val="single" w:sz="6" w:space="0" w:color="auto"/>
                </w:tcBorders>
                <w:shd w:val="clear" w:color="auto" w:fill="auto"/>
              </w:tcPr>
              <w:p w:rsidR="006A15DF" w:rsidRDefault="006A15DF" w:rsidP="00DB008B">
                <w:pPr>
                  <w:jc w:val="right"/>
                </w:pPr>
              </w:p>
            </w:tc>
            <w:tc>
              <w:tcPr>
                <w:tcW w:w="1572" w:type="pct"/>
                <w:tcBorders>
                  <w:top w:val="single" w:sz="6" w:space="0" w:color="auto"/>
                  <w:left w:val="single" w:sz="4" w:space="0" w:color="auto"/>
                  <w:bottom w:val="single" w:sz="6" w:space="0" w:color="auto"/>
                  <w:right w:val="single" w:sz="6" w:space="0" w:color="auto"/>
                </w:tcBorders>
                <w:shd w:val="clear" w:color="auto" w:fill="auto"/>
              </w:tcPr>
              <w:p w:rsidR="006A15DF" w:rsidRDefault="006A15DF" w:rsidP="00DB008B">
                <w:pPr>
                  <w:jc w:val="right"/>
                </w:pPr>
              </w:p>
            </w:tc>
          </w:tr>
          <w:tr w:rsidR="006A15DF" w:rsidTr="00DE5751">
            <w:sdt>
              <w:sdtPr>
                <w:tag w:val="_PLD_b267521bfe9246aa95e35e3cebc4a1f8"/>
                <w:id w:val="579807620"/>
                <w:lock w:val="sdtLocked"/>
              </w:sdtPr>
              <w:sdtContent>
                <w:tc>
                  <w:tcPr>
                    <w:tcW w:w="2019" w:type="pct"/>
                    <w:tcBorders>
                      <w:top w:val="single" w:sz="4" w:space="0" w:color="auto"/>
                      <w:left w:val="single" w:sz="4" w:space="0" w:color="auto"/>
                      <w:bottom w:val="single" w:sz="4" w:space="0" w:color="auto"/>
                      <w:right w:val="single" w:sz="4" w:space="0" w:color="auto"/>
                    </w:tcBorders>
                    <w:shd w:val="clear" w:color="auto" w:fill="auto"/>
                    <w:hideMark/>
                  </w:tcPr>
                  <w:p w:rsidR="006A15DF" w:rsidRDefault="006A15DF" w:rsidP="00DB008B">
                    <w:pPr>
                      <w:ind w:right="6"/>
                    </w:pPr>
                    <w:r>
                      <w:rPr>
                        <w:rFonts w:hint="eastAsia"/>
                      </w:rPr>
                      <w:t>不可抵扣的成本、费用和损失的影响</w:t>
                    </w:r>
                  </w:p>
                </w:tc>
              </w:sdtContent>
            </w:sdt>
            <w:tc>
              <w:tcPr>
                <w:tcW w:w="1409" w:type="pct"/>
                <w:tcBorders>
                  <w:top w:val="single" w:sz="6" w:space="0" w:color="auto"/>
                  <w:left w:val="single" w:sz="4" w:space="0" w:color="auto"/>
                  <w:bottom w:val="single" w:sz="6" w:space="0" w:color="auto"/>
                  <w:right w:val="single" w:sz="6" w:space="0" w:color="auto"/>
                </w:tcBorders>
                <w:shd w:val="clear" w:color="auto" w:fill="auto"/>
              </w:tcPr>
              <w:p w:rsidR="006A15DF" w:rsidRDefault="006A15DF" w:rsidP="00DB008B">
                <w:pPr>
                  <w:jc w:val="right"/>
                </w:pPr>
                <w:r>
                  <w:t>368,558,785</w:t>
                </w:r>
              </w:p>
            </w:tc>
            <w:tc>
              <w:tcPr>
                <w:tcW w:w="1572" w:type="pct"/>
                <w:tcBorders>
                  <w:top w:val="single" w:sz="6" w:space="0" w:color="auto"/>
                  <w:left w:val="single" w:sz="4" w:space="0" w:color="auto"/>
                  <w:bottom w:val="single" w:sz="6" w:space="0" w:color="auto"/>
                  <w:right w:val="single" w:sz="6" w:space="0" w:color="auto"/>
                </w:tcBorders>
                <w:shd w:val="clear" w:color="auto" w:fill="auto"/>
              </w:tcPr>
              <w:p w:rsidR="006A15DF" w:rsidRDefault="006A15DF" w:rsidP="00DB008B">
                <w:pPr>
                  <w:jc w:val="right"/>
                </w:pPr>
                <w:r>
                  <w:t>514,325,494</w:t>
                </w:r>
              </w:p>
            </w:tc>
          </w:tr>
          <w:tr w:rsidR="006A15DF" w:rsidTr="00DE5751">
            <w:sdt>
              <w:sdtPr>
                <w:tag w:val="_PLD_e3ea20a1997a4604af76b7db091e8702"/>
                <w:id w:val="-150906921"/>
                <w:lock w:val="sdtLocked"/>
              </w:sdtPr>
              <w:sdtContent>
                <w:tc>
                  <w:tcPr>
                    <w:tcW w:w="2019" w:type="pct"/>
                    <w:tcBorders>
                      <w:top w:val="single" w:sz="4" w:space="0" w:color="auto"/>
                      <w:left w:val="single" w:sz="4" w:space="0" w:color="auto"/>
                      <w:bottom w:val="single" w:sz="4" w:space="0" w:color="auto"/>
                      <w:right w:val="single" w:sz="4" w:space="0" w:color="auto"/>
                    </w:tcBorders>
                    <w:shd w:val="clear" w:color="auto" w:fill="auto"/>
                    <w:hideMark/>
                  </w:tcPr>
                  <w:p w:rsidR="006A15DF" w:rsidRDefault="006A15DF" w:rsidP="00DB008B">
                    <w:pPr>
                      <w:ind w:right="6"/>
                    </w:pPr>
                    <w:r>
                      <w:rPr>
                        <w:rFonts w:hint="eastAsia"/>
                      </w:rPr>
                      <w:t>使用前期未确认递延所得税资产的可抵扣亏损的影响</w:t>
                    </w:r>
                  </w:p>
                </w:tc>
              </w:sdtContent>
            </w:sdt>
            <w:tc>
              <w:tcPr>
                <w:tcW w:w="1409" w:type="pct"/>
                <w:tcBorders>
                  <w:top w:val="single" w:sz="6" w:space="0" w:color="auto"/>
                  <w:left w:val="single" w:sz="4" w:space="0" w:color="auto"/>
                  <w:bottom w:val="single" w:sz="6" w:space="0" w:color="auto"/>
                  <w:right w:val="single" w:sz="6" w:space="0" w:color="auto"/>
                </w:tcBorders>
                <w:shd w:val="clear" w:color="auto" w:fill="auto"/>
              </w:tcPr>
              <w:p w:rsidR="006A15DF" w:rsidRDefault="006A15DF" w:rsidP="00DB008B">
                <w:pPr>
                  <w:jc w:val="right"/>
                </w:pPr>
                <w:r>
                  <w:t>-20,063,501</w:t>
                </w:r>
              </w:p>
            </w:tc>
            <w:tc>
              <w:tcPr>
                <w:tcW w:w="1572" w:type="pct"/>
                <w:tcBorders>
                  <w:top w:val="single" w:sz="6" w:space="0" w:color="auto"/>
                  <w:left w:val="single" w:sz="4" w:space="0" w:color="auto"/>
                  <w:bottom w:val="single" w:sz="6" w:space="0" w:color="auto"/>
                  <w:right w:val="single" w:sz="6" w:space="0" w:color="auto"/>
                </w:tcBorders>
                <w:shd w:val="clear" w:color="auto" w:fill="auto"/>
              </w:tcPr>
              <w:p w:rsidR="006A15DF" w:rsidRDefault="006A15DF" w:rsidP="00DB008B">
                <w:pPr>
                  <w:jc w:val="right"/>
                </w:pPr>
                <w:r>
                  <w:t>-17,441,908</w:t>
                </w:r>
              </w:p>
            </w:tc>
          </w:tr>
          <w:tr w:rsidR="006A15DF" w:rsidTr="00DE5751">
            <w:sdt>
              <w:sdtPr>
                <w:tag w:val="_PLD_8401811b11b54235be79955ebe812995"/>
                <w:id w:val="425626446"/>
                <w:lock w:val="sdtLocked"/>
              </w:sdtPr>
              <w:sdtContent>
                <w:tc>
                  <w:tcPr>
                    <w:tcW w:w="2019" w:type="pct"/>
                    <w:tcBorders>
                      <w:top w:val="single" w:sz="4" w:space="0" w:color="auto"/>
                      <w:left w:val="single" w:sz="4" w:space="0" w:color="auto"/>
                      <w:bottom w:val="single" w:sz="4" w:space="0" w:color="auto"/>
                      <w:right w:val="single" w:sz="4" w:space="0" w:color="auto"/>
                    </w:tcBorders>
                    <w:shd w:val="clear" w:color="auto" w:fill="auto"/>
                    <w:hideMark/>
                  </w:tcPr>
                  <w:p w:rsidR="006A15DF" w:rsidRDefault="006A15DF" w:rsidP="00DB008B">
                    <w:pPr>
                      <w:ind w:right="6"/>
                    </w:pPr>
                    <w:r>
                      <w:rPr>
                        <w:rFonts w:hint="eastAsia"/>
                      </w:rPr>
                      <w:t>本期未确认递延所得税资产的可抵扣暂时性差异或可抵扣亏损的影响</w:t>
                    </w:r>
                  </w:p>
                </w:tc>
              </w:sdtContent>
            </w:sdt>
            <w:tc>
              <w:tcPr>
                <w:tcW w:w="1409" w:type="pct"/>
                <w:tcBorders>
                  <w:top w:val="single" w:sz="6" w:space="0" w:color="auto"/>
                  <w:left w:val="single" w:sz="4" w:space="0" w:color="auto"/>
                  <w:bottom w:val="single" w:sz="6" w:space="0" w:color="auto"/>
                  <w:right w:val="single" w:sz="6" w:space="0" w:color="auto"/>
                </w:tcBorders>
                <w:shd w:val="clear" w:color="auto" w:fill="auto"/>
              </w:tcPr>
              <w:p w:rsidR="006A15DF" w:rsidRDefault="006A15DF" w:rsidP="00DB008B">
                <w:pPr>
                  <w:jc w:val="right"/>
                </w:pPr>
                <w:r>
                  <w:t>74,562,292</w:t>
                </w:r>
              </w:p>
            </w:tc>
            <w:tc>
              <w:tcPr>
                <w:tcW w:w="1572" w:type="pct"/>
                <w:tcBorders>
                  <w:top w:val="single" w:sz="6" w:space="0" w:color="auto"/>
                  <w:left w:val="single" w:sz="4" w:space="0" w:color="auto"/>
                  <w:bottom w:val="single" w:sz="6" w:space="0" w:color="auto"/>
                  <w:right w:val="single" w:sz="6" w:space="0" w:color="auto"/>
                </w:tcBorders>
                <w:shd w:val="clear" w:color="auto" w:fill="auto"/>
              </w:tcPr>
              <w:p w:rsidR="006A15DF" w:rsidRDefault="006A15DF" w:rsidP="00DB008B">
                <w:pPr>
                  <w:jc w:val="right"/>
                </w:pPr>
                <w:r>
                  <w:t>56,230,942</w:t>
                </w:r>
              </w:p>
            </w:tc>
          </w:tr>
          <w:sdt>
            <w:sdtPr>
              <w:alias w:val="会计利润与所得税费用调整过程明细"/>
              <w:tag w:val="_TUP_e9f3609279ef4d50b65ce0510eb9fee4"/>
              <w:id w:val="672540946"/>
              <w:lock w:val="sdtLocked"/>
            </w:sdtPr>
            <w:sdtContent>
              <w:tr w:rsidR="006A15DF" w:rsidTr="00DE5751">
                <w:tc>
                  <w:tcPr>
                    <w:tcW w:w="2019" w:type="pct"/>
                    <w:tcBorders>
                      <w:top w:val="single" w:sz="4" w:space="0" w:color="auto"/>
                      <w:left w:val="single" w:sz="6" w:space="0" w:color="auto"/>
                      <w:bottom w:val="single" w:sz="6" w:space="0" w:color="auto"/>
                      <w:right w:val="single" w:sz="6" w:space="0" w:color="auto"/>
                    </w:tcBorders>
                    <w:shd w:val="clear" w:color="auto" w:fill="auto"/>
                    <w:vAlign w:val="center"/>
                    <w:hideMark/>
                  </w:tcPr>
                  <w:p w:rsidR="006A15DF" w:rsidRDefault="002B47E9" w:rsidP="00DB008B">
                    <w:r w:rsidRPr="002B47E9">
                      <w:rPr>
                        <w:rFonts w:hint="eastAsia"/>
                      </w:rPr>
                      <w:t>免于纳税的投资收益</w:t>
                    </w:r>
                  </w:p>
                </w:tc>
                <w:tc>
                  <w:tcPr>
                    <w:tcW w:w="1409" w:type="pct"/>
                    <w:tcBorders>
                      <w:top w:val="single" w:sz="6" w:space="0" w:color="auto"/>
                      <w:left w:val="single" w:sz="6" w:space="0" w:color="auto"/>
                      <w:bottom w:val="single" w:sz="6" w:space="0" w:color="auto"/>
                      <w:right w:val="single" w:sz="6" w:space="0" w:color="auto"/>
                    </w:tcBorders>
                    <w:shd w:val="clear" w:color="auto" w:fill="auto"/>
                  </w:tcPr>
                  <w:p w:rsidR="006A15DF" w:rsidRDefault="006A15DF" w:rsidP="00DB008B">
                    <w:pPr>
                      <w:jc w:val="right"/>
                    </w:pPr>
                    <w:r>
                      <w:t>-676,085,061</w:t>
                    </w:r>
                  </w:p>
                </w:tc>
                <w:sdt>
                  <w:sdtPr>
                    <w:alias w:val="上期发生额"/>
                    <w:tag w:val="_GBC_24a54a6427aa4b4d916a045b7dffd58b"/>
                    <w:id w:val="-2019694182"/>
                    <w:lock w:val="sdtLocked"/>
                  </w:sdtPr>
                  <w:sdtContent>
                    <w:tc>
                      <w:tcPr>
                        <w:tcW w:w="1572" w:type="pct"/>
                        <w:tcBorders>
                          <w:top w:val="single" w:sz="6" w:space="0" w:color="auto"/>
                          <w:left w:val="single" w:sz="6" w:space="0" w:color="auto"/>
                          <w:bottom w:val="single" w:sz="6" w:space="0" w:color="auto"/>
                          <w:right w:val="single" w:sz="6" w:space="0" w:color="auto"/>
                        </w:tcBorders>
                        <w:shd w:val="clear" w:color="auto" w:fill="auto"/>
                      </w:tcPr>
                      <w:p w:rsidR="006A15DF" w:rsidRDefault="006A15DF" w:rsidP="00DB008B">
                        <w:pPr>
                          <w:jc w:val="right"/>
                        </w:pPr>
                        <w:r>
                          <w:t>-748,234,973</w:t>
                        </w:r>
                      </w:p>
                    </w:tc>
                  </w:sdtContent>
                </w:sdt>
              </w:tr>
            </w:sdtContent>
          </w:sdt>
          <w:tr w:rsidR="002B47E9" w:rsidTr="00DE5751">
            <w:sdt>
              <w:sdtPr>
                <w:tag w:val="_PLD_0d947a5f645f44d7ade144f76e03c99e"/>
                <w:id w:val="28460561"/>
                <w:lock w:val="sdtLocked"/>
              </w:sdtPr>
              <w:sdtContent>
                <w:tc>
                  <w:tcPr>
                    <w:tcW w:w="2019" w:type="pct"/>
                    <w:tcBorders>
                      <w:top w:val="single" w:sz="4" w:space="0" w:color="auto"/>
                      <w:left w:val="single" w:sz="4" w:space="0" w:color="auto"/>
                      <w:bottom w:val="single" w:sz="4" w:space="0" w:color="auto"/>
                      <w:right w:val="single" w:sz="4" w:space="0" w:color="auto"/>
                    </w:tcBorders>
                    <w:shd w:val="clear" w:color="auto" w:fill="auto"/>
                    <w:hideMark/>
                  </w:tcPr>
                  <w:p w:rsidR="002B47E9" w:rsidRDefault="002B47E9" w:rsidP="002B47E9">
                    <w:r>
                      <w:rPr>
                        <w:rFonts w:hint="eastAsia"/>
                      </w:rPr>
                      <w:t>所得税费用</w:t>
                    </w:r>
                  </w:p>
                </w:tc>
              </w:sdtContent>
            </w:sdt>
            <w:tc>
              <w:tcPr>
                <w:tcW w:w="1409" w:type="pct"/>
                <w:tcBorders>
                  <w:top w:val="single" w:sz="6" w:space="0" w:color="auto"/>
                  <w:left w:val="single" w:sz="4" w:space="0" w:color="auto"/>
                  <w:bottom w:val="single" w:sz="6" w:space="0" w:color="auto"/>
                  <w:right w:val="single" w:sz="6" w:space="0" w:color="auto"/>
                </w:tcBorders>
                <w:shd w:val="clear" w:color="auto" w:fill="auto"/>
                <w:vAlign w:val="center"/>
              </w:tcPr>
              <w:p w:rsidR="002B47E9" w:rsidRDefault="002B47E9" w:rsidP="002B47E9">
                <w:pPr>
                  <w:jc w:val="right"/>
                </w:pPr>
                <w:r>
                  <w:t>3,946,892,775</w:t>
                </w:r>
              </w:p>
            </w:tc>
            <w:tc>
              <w:tcPr>
                <w:tcW w:w="1572" w:type="pct"/>
                <w:tcBorders>
                  <w:top w:val="single" w:sz="6" w:space="0" w:color="auto"/>
                  <w:left w:val="single" w:sz="4" w:space="0" w:color="auto"/>
                  <w:bottom w:val="single" w:sz="6" w:space="0" w:color="auto"/>
                  <w:right w:val="single" w:sz="6" w:space="0" w:color="auto"/>
                </w:tcBorders>
                <w:shd w:val="clear" w:color="auto" w:fill="auto"/>
                <w:vAlign w:val="center"/>
              </w:tcPr>
              <w:p w:rsidR="002B47E9" w:rsidRDefault="002B47E9" w:rsidP="002B47E9">
                <w:pPr>
                  <w:jc w:val="right"/>
                </w:pPr>
                <w:r>
                  <w:t>4,330,450,325</w:t>
                </w:r>
              </w:p>
            </w:tc>
          </w:tr>
        </w:tbl>
        <w:p w:rsidR="00806678" w:rsidRDefault="00806678">
          <w:pPr>
            <w:rPr>
              <w:szCs w:val="21"/>
            </w:rPr>
          </w:pPr>
        </w:p>
        <w:p w:rsidR="00806678" w:rsidRDefault="00B16377">
          <w:pPr>
            <w:spacing w:before="60" w:after="60"/>
            <w:rPr>
              <w:szCs w:val="21"/>
            </w:rPr>
          </w:pPr>
          <w:r>
            <w:rPr>
              <w:rFonts w:hint="eastAsia"/>
              <w:szCs w:val="21"/>
            </w:rPr>
            <w:t>其他说明：</w:t>
          </w:r>
        </w:p>
        <w:sdt>
          <w:sdtPr>
            <w:rPr>
              <w:szCs w:val="21"/>
            </w:rPr>
            <w:alias w:val="是否适用：所得税费用的说明[双击切换]"/>
            <w:tag w:val="_GBC_6d867e6606c643469619e039bd83c158"/>
            <w:id w:val="-2076961242"/>
            <w:lock w:val="sdtLocked"/>
            <w:placeholder>
              <w:docPart w:val="GBC22222222222222222222222222222"/>
            </w:placeholder>
          </w:sdtPr>
          <w:sdtContent>
            <w:p w:rsidR="00806678" w:rsidRDefault="00F80B6C" w:rsidP="004E2CF1">
              <w:pPr>
                <w:spacing w:before="60" w:after="60"/>
                <w:rPr>
                  <w:szCs w:val="21"/>
                </w:rPr>
              </w:pPr>
              <w:r>
                <w:rPr>
                  <w:szCs w:val="21"/>
                </w:rPr>
                <w:fldChar w:fldCharType="begin"/>
              </w:r>
              <w:r w:rsidR="004E2CF1">
                <w:rPr>
                  <w:szCs w:val="21"/>
                </w:rPr>
                <w:instrText xml:space="preserve">MACROBUTTON  SnrToggleCheckbox □适用 </w:instrText>
              </w:r>
              <w:r>
                <w:rPr>
                  <w:szCs w:val="21"/>
                </w:rPr>
                <w:fldChar w:fldCharType="end"/>
              </w:r>
              <w:r>
                <w:rPr>
                  <w:szCs w:val="21"/>
                </w:rPr>
                <w:fldChar w:fldCharType="begin"/>
              </w:r>
              <w:r w:rsidR="004E2CF1">
                <w:rPr>
                  <w:szCs w:val="21"/>
                </w:rPr>
                <w:instrText xml:space="preserve"> MACROBUTTON  SnrToggleCheckbox √不适用 </w:instrText>
              </w:r>
              <w:r>
                <w:rPr>
                  <w:szCs w:val="21"/>
                </w:rPr>
                <w:fldChar w:fldCharType="end"/>
              </w:r>
            </w:p>
          </w:sdtContent>
        </w:sdt>
      </w:sdtContent>
    </w:sdt>
    <w:p w:rsidR="00806678" w:rsidRDefault="00806678">
      <w:pPr>
        <w:rPr>
          <w:b/>
        </w:rPr>
      </w:pPr>
    </w:p>
    <w:sdt>
      <w:sdtPr>
        <w:rPr>
          <w:rFonts w:ascii="宋体" w:hAnsi="宋体" w:cs="宋体" w:hint="eastAsia"/>
          <w:b w:val="0"/>
          <w:bCs w:val="0"/>
          <w:kern w:val="0"/>
          <w:szCs w:val="21"/>
        </w:rPr>
        <w:alias w:val="模块:其他综合收益"/>
        <w:tag w:val="_SEC_abcda0c67180436c970991051af2777d"/>
        <w:id w:val="1415507843"/>
        <w:lock w:val="sdtLocked"/>
        <w:placeholder>
          <w:docPart w:val="GBC22222222222222222222222222222"/>
        </w:placeholder>
      </w:sdtPr>
      <w:sdtEndPr>
        <w:rPr>
          <w:rFonts w:asciiTheme="minorHAnsi" w:eastAsiaTheme="minorEastAsia" w:hAnsiTheme="minorHAnsi"/>
        </w:rPr>
      </w:sdtEndPr>
      <w:sdtContent>
        <w:p w:rsidR="00806678" w:rsidRDefault="00B16377" w:rsidP="00FF17C7">
          <w:pPr>
            <w:pStyle w:val="3"/>
            <w:numPr>
              <w:ilvl w:val="0"/>
              <w:numId w:val="18"/>
            </w:numPr>
            <w:tabs>
              <w:tab w:val="left" w:pos="504"/>
            </w:tabs>
            <w:rPr>
              <w:rFonts w:ascii="宋体" w:hAnsi="宋体"/>
              <w:szCs w:val="21"/>
            </w:rPr>
          </w:pPr>
          <w:r>
            <w:rPr>
              <w:rFonts w:ascii="宋体" w:hAnsi="宋体" w:hint="eastAsia"/>
              <w:szCs w:val="21"/>
            </w:rPr>
            <w:t>其他综合收益</w:t>
          </w:r>
        </w:p>
        <w:sdt>
          <w:sdtPr>
            <w:alias w:val="是否适用：其他综合收益说明[双击切换]"/>
            <w:tag w:val="_GBC_055e86e99cd742699e3e89a438a26b74"/>
            <w:id w:val="-1667398791"/>
            <w:lock w:val="sdtLocked"/>
            <w:placeholder>
              <w:docPart w:val="GBC22222222222222222222222222222"/>
            </w:placeholder>
          </w:sdtPr>
          <w:sdtContent>
            <w:p w:rsidR="00806678" w:rsidRDefault="00F80B6C">
              <w:r>
                <w:fldChar w:fldCharType="begin"/>
              </w:r>
              <w:r w:rsidR="004E2CF1">
                <w:instrText xml:space="preserve">MACROBUTTON  SnrToggleCheckbox √适用 </w:instrText>
              </w:r>
              <w:r>
                <w:fldChar w:fldCharType="end"/>
              </w:r>
              <w:r>
                <w:fldChar w:fldCharType="begin"/>
              </w:r>
              <w:r w:rsidR="004E2CF1">
                <w:instrText xml:space="preserve"> MACROBUTTON  SnrToggleCheckbox □不适用 </w:instrText>
              </w:r>
              <w:r>
                <w:fldChar w:fldCharType="end"/>
              </w:r>
            </w:p>
          </w:sdtContent>
        </w:sdt>
        <w:p w:rsidR="00806678" w:rsidRDefault="00F80B6C">
          <w:sdt>
            <w:sdtPr>
              <w:rPr>
                <w:rFonts w:hint="eastAsia"/>
                <w:szCs w:val="21"/>
              </w:rPr>
              <w:alias w:val="其他综合收益详见附注"/>
              <w:tag w:val="_GBC_88f79522b3404a9cba25ea8b611e6680"/>
              <w:id w:val="-643734501"/>
              <w:lock w:val="sdtLocked"/>
              <w:placeholder>
                <w:docPart w:val="GBC22222222222222222222222222222"/>
              </w:placeholder>
            </w:sdtPr>
            <w:sdtContent>
              <w:r w:rsidR="00B16377">
                <w:rPr>
                  <w:rFonts w:hint="eastAsia"/>
                  <w:szCs w:val="21"/>
                </w:rPr>
                <w:t>详见附注</w:t>
              </w:r>
              <w:r w:rsidR="004E2CF1">
                <w:rPr>
                  <w:rFonts w:hint="eastAsia"/>
                  <w:szCs w:val="21"/>
                </w:rPr>
                <w:t>七、5</w:t>
              </w:r>
              <w:r w:rsidR="004E2CF1">
                <w:rPr>
                  <w:szCs w:val="21"/>
                </w:rPr>
                <w:t>7</w:t>
              </w:r>
            </w:sdtContent>
          </w:sdt>
        </w:p>
      </w:sdtContent>
    </w:sdt>
    <w:p w:rsidR="00806678" w:rsidRDefault="00806678"/>
    <w:p w:rsidR="00806678" w:rsidRDefault="00B16377" w:rsidP="00FF17C7">
      <w:pPr>
        <w:pStyle w:val="3"/>
        <w:numPr>
          <w:ilvl w:val="0"/>
          <w:numId w:val="18"/>
        </w:numPr>
        <w:tabs>
          <w:tab w:val="left" w:pos="504"/>
        </w:tabs>
        <w:rPr>
          <w:rFonts w:ascii="宋体" w:hAnsi="宋体"/>
          <w:szCs w:val="21"/>
        </w:rPr>
      </w:pPr>
      <w:r>
        <w:rPr>
          <w:rFonts w:ascii="宋体" w:hAnsi="宋体" w:hint="eastAsia"/>
          <w:szCs w:val="21"/>
        </w:rPr>
        <w:t>现金流量表项目</w:t>
      </w:r>
    </w:p>
    <w:sdt>
      <w:sdtPr>
        <w:rPr>
          <w:rFonts w:ascii="Calibri" w:eastAsia="宋体" w:hAnsi="Calibri" w:cs="宋体" w:hint="eastAsia"/>
          <w:b w:val="0"/>
          <w:bCs w:val="0"/>
          <w:kern w:val="0"/>
          <w:sz w:val="24"/>
          <w:szCs w:val="24"/>
        </w:rPr>
        <w:alias w:val="模块:收到的其他与经营活动有关的现金"/>
        <w:tag w:val="_SEC_db9c62b020ec4e9ea32fddcc998663ec"/>
        <w:id w:val="-1217892872"/>
        <w:lock w:val="sdtLocked"/>
        <w:placeholder>
          <w:docPart w:val="GBC22222222222222222222222222222"/>
        </w:placeholder>
      </w:sdtPr>
      <w:sdtEndPr>
        <w:rPr>
          <w:rFonts w:asciiTheme="minorHAnsi" w:hAnsiTheme="minorHAnsi" w:cstheme="minorBidi" w:hint="default"/>
          <w:kern w:val="2"/>
          <w:sz w:val="21"/>
          <w:szCs w:val="21"/>
        </w:rPr>
      </w:sdtEndPr>
      <w:sdtContent>
        <w:p w:rsidR="00806678" w:rsidRDefault="00B16377" w:rsidP="00FF17C7">
          <w:pPr>
            <w:pStyle w:val="4"/>
            <w:numPr>
              <w:ilvl w:val="0"/>
              <w:numId w:val="101"/>
            </w:numPr>
            <w:ind w:left="426" w:hanging="426"/>
          </w:pPr>
          <w:r>
            <w:rPr>
              <w:rFonts w:hint="eastAsia"/>
            </w:rPr>
            <w:t>收到的其他与经营活动有关的现金</w:t>
          </w:r>
        </w:p>
        <w:sdt>
          <w:sdtPr>
            <w:alias w:val="是否适用：收到的其他与经营活动有关的现金[双击切换]"/>
            <w:tag w:val="_GBC_27345010807c4445aa9d99ce1518a33b"/>
            <w:id w:val="-103116497"/>
            <w:lock w:val="sdtLocked"/>
            <w:placeholder>
              <w:docPart w:val="GBC22222222222222222222222222222"/>
            </w:placeholder>
          </w:sdtPr>
          <w:sdtContent>
            <w:p w:rsidR="00806678" w:rsidRDefault="00F80B6C">
              <w:r>
                <w:fldChar w:fldCharType="begin"/>
              </w:r>
              <w:r w:rsidR="004E2CF1">
                <w:instrText xml:space="preserve">MACROBUTTON  SnrToggleCheckbox √适用 </w:instrText>
              </w:r>
              <w:r>
                <w:fldChar w:fldCharType="end"/>
              </w:r>
              <w:r>
                <w:fldChar w:fldCharType="begin"/>
              </w:r>
              <w:r w:rsidR="004E2CF1">
                <w:instrText xml:space="preserve"> MACROBUTTON  SnrToggleCheckbox □不适用 </w:instrText>
              </w:r>
              <w:r>
                <w:fldChar w:fldCharType="end"/>
              </w:r>
            </w:p>
          </w:sdtContent>
        </w:sdt>
        <w:p w:rsidR="00806678" w:rsidRDefault="00B16377">
          <w:pPr>
            <w:jc w:val="right"/>
            <w:rPr>
              <w:szCs w:val="21"/>
            </w:rPr>
          </w:pPr>
          <w:r>
            <w:rPr>
              <w:rFonts w:hint="eastAsia"/>
              <w:szCs w:val="21"/>
            </w:rPr>
            <w:t>单位：</w:t>
          </w:r>
          <w:sdt>
            <w:sdtPr>
              <w:rPr>
                <w:rFonts w:hint="eastAsia"/>
                <w:szCs w:val="21"/>
              </w:rPr>
              <w:alias w:val="单位：财务附注：收到的其他与经营活动有关的现金"/>
              <w:tag w:val="_GBC_dda6e50e7ee34f71977565af2472b533"/>
              <w:id w:val="56630792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收到的其他与经营活动有关的现金"/>
              <w:tag w:val="_GBC_8a91de0777534f02ab9e5a53784ea05b"/>
              <w:id w:val="-84786508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3410"/>
            <w:gridCol w:w="2830"/>
            <w:gridCol w:w="2819"/>
          </w:tblGrid>
          <w:tr w:rsidR="00DE5751" w:rsidTr="00DB008B">
            <w:sdt>
              <w:sdtPr>
                <w:tag w:val="_PLD_f7a5d7090c5c4e2b95d9e6f0ea383580"/>
                <w:id w:val="-640723867"/>
                <w:lock w:val="sdtLocked"/>
              </w:sdtPr>
              <w:sdtContent>
                <w:tc>
                  <w:tcPr>
                    <w:tcW w:w="1882" w:type="pct"/>
                  </w:tcPr>
                  <w:p w:rsidR="00DE5751" w:rsidRDefault="00DE5751" w:rsidP="00DB008B">
                    <w:pPr>
                      <w:autoSpaceDE w:val="0"/>
                      <w:autoSpaceDN w:val="0"/>
                      <w:adjustRightInd w:val="0"/>
                      <w:snapToGrid w:val="0"/>
                      <w:spacing w:line="240" w:lineRule="atLeast"/>
                      <w:jc w:val="center"/>
                      <w:rPr>
                        <w:szCs w:val="21"/>
                      </w:rPr>
                    </w:pPr>
                    <w:r>
                      <w:rPr>
                        <w:rFonts w:hint="eastAsia"/>
                        <w:szCs w:val="21"/>
                      </w:rPr>
                      <w:t>项目</w:t>
                    </w:r>
                  </w:p>
                </w:tc>
              </w:sdtContent>
            </w:sdt>
            <w:sdt>
              <w:sdtPr>
                <w:tag w:val="_PLD_6a2d5fc680f64ea980912395fdf43d18"/>
                <w:id w:val="-324357899"/>
                <w:lock w:val="sdtLocked"/>
              </w:sdtPr>
              <w:sdtContent>
                <w:tc>
                  <w:tcPr>
                    <w:tcW w:w="1562" w:type="pct"/>
                  </w:tcPr>
                  <w:p w:rsidR="00DE5751" w:rsidRDefault="00DE5751" w:rsidP="00DB008B">
                    <w:pPr>
                      <w:autoSpaceDE w:val="0"/>
                      <w:autoSpaceDN w:val="0"/>
                      <w:adjustRightInd w:val="0"/>
                      <w:snapToGrid w:val="0"/>
                      <w:spacing w:line="240" w:lineRule="atLeast"/>
                      <w:jc w:val="center"/>
                      <w:rPr>
                        <w:szCs w:val="21"/>
                      </w:rPr>
                    </w:pPr>
                    <w:r>
                      <w:rPr>
                        <w:rFonts w:hint="eastAsia"/>
                      </w:rPr>
                      <w:t>本期发生额</w:t>
                    </w:r>
                  </w:p>
                </w:tc>
              </w:sdtContent>
            </w:sdt>
            <w:sdt>
              <w:sdtPr>
                <w:tag w:val="_PLD_4c33d44ff7254e8994d6dacbfee10de3"/>
                <w:id w:val="-7600734"/>
                <w:lock w:val="sdtLocked"/>
              </w:sdtPr>
              <w:sdtContent>
                <w:tc>
                  <w:tcPr>
                    <w:tcW w:w="1556" w:type="pct"/>
                  </w:tcPr>
                  <w:p w:rsidR="00DE5751" w:rsidRDefault="00DE5751" w:rsidP="00DB008B">
                    <w:pPr>
                      <w:autoSpaceDE w:val="0"/>
                      <w:autoSpaceDN w:val="0"/>
                      <w:adjustRightInd w:val="0"/>
                      <w:snapToGrid w:val="0"/>
                      <w:spacing w:line="240" w:lineRule="atLeast"/>
                      <w:jc w:val="center"/>
                      <w:rPr>
                        <w:szCs w:val="21"/>
                      </w:rPr>
                    </w:pPr>
                    <w:r>
                      <w:rPr>
                        <w:rFonts w:hint="eastAsia"/>
                      </w:rPr>
                      <w:t>上期发生额</w:t>
                    </w:r>
                  </w:p>
                </w:tc>
              </w:sdtContent>
            </w:sdt>
          </w:tr>
          <w:sdt>
            <w:sdtPr>
              <w:rPr>
                <w:rFonts w:hint="eastAsia"/>
                <w:szCs w:val="21"/>
              </w:rPr>
              <w:alias w:val="收到的其他与经营活动有关的现金明细"/>
              <w:tag w:val="_TUP_ca9171e54df6430e9436143874401ecc"/>
              <w:id w:val="1880740507"/>
              <w:lock w:val="sdtLocked"/>
            </w:sdtPr>
            <w:sdtContent>
              <w:tr w:rsidR="00DE5751" w:rsidTr="00DB008B">
                <w:tc>
                  <w:tcPr>
                    <w:tcW w:w="1882" w:type="pct"/>
                  </w:tcPr>
                  <w:p w:rsidR="00DE5751" w:rsidRDefault="00DE5751" w:rsidP="00DB008B">
                    <w:pPr>
                      <w:autoSpaceDE w:val="0"/>
                      <w:autoSpaceDN w:val="0"/>
                      <w:adjustRightInd w:val="0"/>
                      <w:snapToGrid w:val="0"/>
                      <w:spacing w:line="240" w:lineRule="atLeast"/>
                      <w:rPr>
                        <w:szCs w:val="21"/>
                      </w:rPr>
                    </w:pPr>
                    <w:r>
                      <w:t>收取</w:t>
                    </w:r>
                    <w:r w:rsidR="00597567">
                      <w:rPr>
                        <w:rFonts w:hint="eastAsia"/>
                      </w:rPr>
                      <w:t>抵</w:t>
                    </w:r>
                    <w:r>
                      <w:t>押金/保证金</w:t>
                    </w:r>
                  </w:p>
                </w:tc>
                <w:tc>
                  <w:tcPr>
                    <w:tcW w:w="1562" w:type="pct"/>
                    <w:vAlign w:val="bottom"/>
                  </w:tcPr>
                  <w:p w:rsidR="00DE5751" w:rsidRDefault="00DE5751" w:rsidP="00DB008B">
                    <w:pPr>
                      <w:jc w:val="right"/>
                      <w:rPr>
                        <w:szCs w:val="21"/>
                      </w:rPr>
                    </w:pPr>
                    <w:r>
                      <w:t>0</w:t>
                    </w:r>
                  </w:p>
                </w:tc>
                <w:tc>
                  <w:tcPr>
                    <w:tcW w:w="1556" w:type="pct"/>
                  </w:tcPr>
                  <w:p w:rsidR="00DE5751" w:rsidRDefault="00DE5751" w:rsidP="00DB008B">
                    <w:pPr>
                      <w:jc w:val="right"/>
                      <w:rPr>
                        <w:szCs w:val="21"/>
                      </w:rPr>
                    </w:pPr>
                    <w:r>
                      <w:t>328,671,615</w:t>
                    </w:r>
                  </w:p>
                </w:tc>
              </w:tr>
            </w:sdtContent>
          </w:sdt>
          <w:sdt>
            <w:sdtPr>
              <w:rPr>
                <w:rFonts w:hint="eastAsia"/>
                <w:szCs w:val="21"/>
              </w:rPr>
              <w:alias w:val="收到的其他与经营活动有关的现金明细"/>
              <w:tag w:val="_TUP_ca9171e54df6430e9436143874401ecc"/>
              <w:id w:val="-358584299"/>
              <w:lock w:val="sdtLocked"/>
            </w:sdtPr>
            <w:sdtContent>
              <w:tr w:rsidR="00DE5751" w:rsidTr="00DB008B">
                <w:tc>
                  <w:tcPr>
                    <w:tcW w:w="1882" w:type="pct"/>
                  </w:tcPr>
                  <w:p w:rsidR="00DE5751" w:rsidRDefault="00DE5751" w:rsidP="00DB008B">
                    <w:pPr>
                      <w:autoSpaceDE w:val="0"/>
                      <w:autoSpaceDN w:val="0"/>
                      <w:adjustRightInd w:val="0"/>
                      <w:snapToGrid w:val="0"/>
                      <w:spacing w:line="240" w:lineRule="atLeast"/>
                      <w:rPr>
                        <w:szCs w:val="21"/>
                      </w:rPr>
                    </w:pPr>
                    <w:r>
                      <w:t>代收运杂费等</w:t>
                    </w:r>
                  </w:p>
                </w:tc>
                <w:tc>
                  <w:tcPr>
                    <w:tcW w:w="1562" w:type="pct"/>
                    <w:vAlign w:val="bottom"/>
                  </w:tcPr>
                  <w:p w:rsidR="00DE5751" w:rsidRDefault="00DE5751" w:rsidP="00DB008B">
                    <w:pPr>
                      <w:jc w:val="right"/>
                      <w:rPr>
                        <w:szCs w:val="21"/>
                      </w:rPr>
                    </w:pPr>
                    <w:r>
                      <w:t>0</w:t>
                    </w:r>
                  </w:p>
                </w:tc>
                <w:tc>
                  <w:tcPr>
                    <w:tcW w:w="1556" w:type="pct"/>
                  </w:tcPr>
                  <w:p w:rsidR="00DE5751" w:rsidRDefault="00DE5751" w:rsidP="00DB008B">
                    <w:pPr>
                      <w:jc w:val="right"/>
                      <w:rPr>
                        <w:szCs w:val="21"/>
                      </w:rPr>
                    </w:pPr>
                    <w:r>
                      <w:t>221,053,762</w:t>
                    </w:r>
                  </w:p>
                </w:tc>
              </w:tr>
            </w:sdtContent>
          </w:sdt>
          <w:sdt>
            <w:sdtPr>
              <w:rPr>
                <w:rFonts w:hint="eastAsia"/>
                <w:szCs w:val="21"/>
              </w:rPr>
              <w:alias w:val="收到的其他与经营活动有关的现金明细"/>
              <w:tag w:val="_TUP_ca9171e54df6430e9436143874401ecc"/>
              <w:id w:val="989992648"/>
              <w:lock w:val="sdtLocked"/>
            </w:sdtPr>
            <w:sdtContent>
              <w:tr w:rsidR="00DE5751" w:rsidTr="00DB008B">
                <w:tc>
                  <w:tcPr>
                    <w:tcW w:w="1882" w:type="pct"/>
                  </w:tcPr>
                  <w:p w:rsidR="00DE5751" w:rsidRDefault="00DE5751" w:rsidP="00DB008B">
                    <w:pPr>
                      <w:autoSpaceDE w:val="0"/>
                      <w:autoSpaceDN w:val="0"/>
                      <w:adjustRightInd w:val="0"/>
                      <w:snapToGrid w:val="0"/>
                      <w:spacing w:line="240" w:lineRule="atLeast"/>
                      <w:rPr>
                        <w:szCs w:val="21"/>
                      </w:rPr>
                    </w:pPr>
                    <w:r>
                      <w:t>经营租赁固定资产收到现金</w:t>
                    </w:r>
                  </w:p>
                </w:tc>
                <w:tc>
                  <w:tcPr>
                    <w:tcW w:w="1562" w:type="pct"/>
                    <w:vAlign w:val="bottom"/>
                  </w:tcPr>
                  <w:p w:rsidR="00DE5751" w:rsidRDefault="00DE5751" w:rsidP="00DB008B">
                    <w:pPr>
                      <w:jc w:val="right"/>
                      <w:rPr>
                        <w:szCs w:val="21"/>
                      </w:rPr>
                    </w:pPr>
                    <w:r>
                      <w:t>269,080,018</w:t>
                    </w:r>
                  </w:p>
                </w:tc>
                <w:tc>
                  <w:tcPr>
                    <w:tcW w:w="1556" w:type="pct"/>
                  </w:tcPr>
                  <w:p w:rsidR="00DE5751" w:rsidRDefault="00DE5751" w:rsidP="00DB008B">
                    <w:pPr>
                      <w:jc w:val="right"/>
                      <w:rPr>
                        <w:szCs w:val="21"/>
                      </w:rPr>
                    </w:pPr>
                    <w:r>
                      <w:t>258,696,270</w:t>
                    </w:r>
                  </w:p>
                </w:tc>
              </w:tr>
            </w:sdtContent>
          </w:sdt>
          <w:sdt>
            <w:sdtPr>
              <w:rPr>
                <w:rFonts w:hint="eastAsia"/>
                <w:szCs w:val="21"/>
              </w:rPr>
              <w:alias w:val="收到的其他与经营活动有关的现金明细"/>
              <w:tag w:val="_TUP_ca9171e54df6430e9436143874401ecc"/>
              <w:id w:val="1292641775"/>
              <w:lock w:val="sdtLocked"/>
            </w:sdtPr>
            <w:sdtContent>
              <w:tr w:rsidR="00DE5751" w:rsidTr="00DB008B">
                <w:tc>
                  <w:tcPr>
                    <w:tcW w:w="1882" w:type="pct"/>
                  </w:tcPr>
                  <w:p w:rsidR="00DE5751" w:rsidRDefault="00DE5751" w:rsidP="00DB008B">
                    <w:pPr>
                      <w:autoSpaceDE w:val="0"/>
                      <w:autoSpaceDN w:val="0"/>
                      <w:adjustRightInd w:val="0"/>
                      <w:snapToGrid w:val="0"/>
                      <w:spacing w:line="240" w:lineRule="atLeast"/>
                      <w:rPr>
                        <w:szCs w:val="21"/>
                      </w:rPr>
                    </w:pPr>
                    <w:r>
                      <w:t>收三供一业补助资金</w:t>
                    </w:r>
                  </w:p>
                </w:tc>
                <w:tc>
                  <w:tcPr>
                    <w:tcW w:w="1562" w:type="pct"/>
                    <w:vAlign w:val="bottom"/>
                  </w:tcPr>
                  <w:p w:rsidR="00DE5751" w:rsidRDefault="00DE5751" w:rsidP="00DB008B">
                    <w:pPr>
                      <w:jc w:val="right"/>
                      <w:rPr>
                        <w:szCs w:val="21"/>
                      </w:rPr>
                    </w:pPr>
                    <w:r>
                      <w:t>1,148,241,033</w:t>
                    </w:r>
                  </w:p>
                </w:tc>
                <w:tc>
                  <w:tcPr>
                    <w:tcW w:w="1556" w:type="pct"/>
                  </w:tcPr>
                  <w:p w:rsidR="00DE5751" w:rsidRDefault="00DE5751" w:rsidP="00DB008B">
                    <w:pPr>
                      <w:jc w:val="right"/>
                      <w:rPr>
                        <w:szCs w:val="21"/>
                      </w:rPr>
                    </w:pPr>
                    <w:r>
                      <w:t>0</w:t>
                    </w:r>
                  </w:p>
                </w:tc>
              </w:tr>
            </w:sdtContent>
          </w:sdt>
          <w:sdt>
            <w:sdtPr>
              <w:rPr>
                <w:rFonts w:hint="eastAsia"/>
                <w:szCs w:val="21"/>
              </w:rPr>
              <w:alias w:val="收到的其他与经营活动有关的现金明细"/>
              <w:tag w:val="_TUP_ca9171e54df6430e9436143874401ecc"/>
              <w:id w:val="-1808311105"/>
              <w:lock w:val="sdtLocked"/>
            </w:sdtPr>
            <w:sdtContent>
              <w:tr w:rsidR="00DE5751" w:rsidTr="00DB008B">
                <w:tc>
                  <w:tcPr>
                    <w:tcW w:w="1882" w:type="pct"/>
                  </w:tcPr>
                  <w:p w:rsidR="00DE5751" w:rsidRDefault="00DE5751" w:rsidP="00DB008B">
                    <w:pPr>
                      <w:autoSpaceDE w:val="0"/>
                      <w:autoSpaceDN w:val="0"/>
                      <w:adjustRightInd w:val="0"/>
                      <w:snapToGrid w:val="0"/>
                      <w:spacing w:line="240" w:lineRule="atLeast"/>
                      <w:rPr>
                        <w:szCs w:val="21"/>
                      </w:rPr>
                    </w:pPr>
                    <w:r>
                      <w:t>政府补助</w:t>
                    </w:r>
                  </w:p>
                </w:tc>
                <w:tc>
                  <w:tcPr>
                    <w:tcW w:w="1562" w:type="pct"/>
                    <w:vAlign w:val="bottom"/>
                  </w:tcPr>
                  <w:p w:rsidR="00DE5751" w:rsidRDefault="00DE5751" w:rsidP="00DB008B">
                    <w:pPr>
                      <w:jc w:val="right"/>
                      <w:rPr>
                        <w:szCs w:val="21"/>
                      </w:rPr>
                    </w:pPr>
                    <w:r>
                      <w:t>190,248,555</w:t>
                    </w:r>
                  </w:p>
                </w:tc>
                <w:tc>
                  <w:tcPr>
                    <w:tcW w:w="1556" w:type="pct"/>
                  </w:tcPr>
                  <w:p w:rsidR="00DE5751" w:rsidRDefault="00DE5751" w:rsidP="00DB008B">
                    <w:pPr>
                      <w:jc w:val="right"/>
                      <w:rPr>
                        <w:szCs w:val="21"/>
                      </w:rPr>
                    </w:pPr>
                    <w:r>
                      <w:t>75,387,006</w:t>
                    </w:r>
                  </w:p>
                </w:tc>
              </w:tr>
            </w:sdtContent>
          </w:sdt>
          <w:sdt>
            <w:sdtPr>
              <w:rPr>
                <w:rFonts w:hint="eastAsia"/>
                <w:szCs w:val="21"/>
              </w:rPr>
              <w:alias w:val="收到的其他与经营活动有关的现金明细"/>
              <w:tag w:val="_TUP_ca9171e54df6430e9436143874401ecc"/>
              <w:id w:val="1689558609"/>
              <w:lock w:val="sdtLocked"/>
            </w:sdtPr>
            <w:sdtContent>
              <w:tr w:rsidR="00DE5751" w:rsidTr="00DB008B">
                <w:tc>
                  <w:tcPr>
                    <w:tcW w:w="1882" w:type="pct"/>
                  </w:tcPr>
                  <w:p w:rsidR="00DE5751" w:rsidRDefault="00DE5751" w:rsidP="00DB008B">
                    <w:pPr>
                      <w:autoSpaceDE w:val="0"/>
                      <w:autoSpaceDN w:val="0"/>
                      <w:adjustRightInd w:val="0"/>
                      <w:snapToGrid w:val="0"/>
                      <w:spacing w:line="240" w:lineRule="atLeast"/>
                      <w:rPr>
                        <w:szCs w:val="21"/>
                      </w:rPr>
                    </w:pPr>
                    <w:r>
                      <w:t>其他</w:t>
                    </w:r>
                  </w:p>
                </w:tc>
                <w:tc>
                  <w:tcPr>
                    <w:tcW w:w="1562" w:type="pct"/>
                    <w:vAlign w:val="bottom"/>
                  </w:tcPr>
                  <w:p w:rsidR="00DE5751" w:rsidRDefault="00DE5751" w:rsidP="00DB008B">
                    <w:pPr>
                      <w:jc w:val="right"/>
                      <w:rPr>
                        <w:szCs w:val="21"/>
                      </w:rPr>
                    </w:pPr>
                    <w:r>
                      <w:t>213,503,817</w:t>
                    </w:r>
                  </w:p>
                </w:tc>
                <w:tc>
                  <w:tcPr>
                    <w:tcW w:w="1556" w:type="pct"/>
                  </w:tcPr>
                  <w:p w:rsidR="00DE5751" w:rsidRDefault="00DE5751" w:rsidP="00DB008B">
                    <w:pPr>
                      <w:jc w:val="right"/>
                      <w:rPr>
                        <w:szCs w:val="21"/>
                      </w:rPr>
                    </w:pPr>
                    <w:r>
                      <w:t>160,389,002</w:t>
                    </w:r>
                  </w:p>
                </w:tc>
              </w:tr>
            </w:sdtContent>
          </w:sdt>
          <w:tr w:rsidR="00DE5751" w:rsidTr="00DB008B">
            <w:sdt>
              <w:sdtPr>
                <w:tag w:val="_PLD_15c008cf970d4546b79acd33ba59b803"/>
                <w:id w:val="-649825842"/>
                <w:lock w:val="sdtLocked"/>
              </w:sdtPr>
              <w:sdtContent>
                <w:tc>
                  <w:tcPr>
                    <w:tcW w:w="1882" w:type="pct"/>
                  </w:tcPr>
                  <w:p w:rsidR="00DE5751" w:rsidRDefault="00DE5751" w:rsidP="00DE5751">
                    <w:pPr>
                      <w:autoSpaceDE w:val="0"/>
                      <w:autoSpaceDN w:val="0"/>
                      <w:adjustRightInd w:val="0"/>
                      <w:snapToGrid w:val="0"/>
                      <w:spacing w:line="240" w:lineRule="atLeast"/>
                      <w:jc w:val="center"/>
                      <w:rPr>
                        <w:szCs w:val="21"/>
                      </w:rPr>
                    </w:pPr>
                    <w:r>
                      <w:rPr>
                        <w:rFonts w:hint="eastAsia"/>
                        <w:szCs w:val="21"/>
                      </w:rPr>
                      <w:t>合计</w:t>
                    </w:r>
                  </w:p>
                </w:tc>
              </w:sdtContent>
            </w:sdt>
            <w:tc>
              <w:tcPr>
                <w:tcW w:w="1562" w:type="pct"/>
                <w:vAlign w:val="center"/>
              </w:tcPr>
              <w:p w:rsidR="00DE5751" w:rsidRDefault="00DE5751" w:rsidP="00DE5751">
                <w:pPr>
                  <w:jc w:val="right"/>
                  <w:rPr>
                    <w:szCs w:val="21"/>
                  </w:rPr>
                </w:pPr>
                <w:r>
                  <w:t>1,821,073,423</w:t>
                </w:r>
              </w:p>
            </w:tc>
            <w:tc>
              <w:tcPr>
                <w:tcW w:w="1556" w:type="pct"/>
                <w:vAlign w:val="center"/>
              </w:tcPr>
              <w:p w:rsidR="00DE5751" w:rsidRDefault="00DE5751" w:rsidP="00DE5751">
                <w:pPr>
                  <w:jc w:val="right"/>
                  <w:rPr>
                    <w:szCs w:val="21"/>
                  </w:rPr>
                </w:pPr>
                <w:r>
                  <w:t>1,044,197,655</w:t>
                </w:r>
              </w:p>
            </w:tc>
          </w:tr>
        </w:tbl>
        <w:p w:rsidR="006A67B1" w:rsidRDefault="006A67B1">
          <w:pPr>
            <w:snapToGrid w:val="0"/>
            <w:spacing w:before="60" w:after="60" w:line="240" w:lineRule="atLeast"/>
            <w:rPr>
              <w:szCs w:val="21"/>
            </w:rPr>
          </w:pPr>
        </w:p>
        <w:p w:rsidR="00806678" w:rsidRDefault="00B16377">
          <w:pPr>
            <w:snapToGrid w:val="0"/>
            <w:spacing w:before="60" w:after="60" w:line="240" w:lineRule="atLeast"/>
            <w:rPr>
              <w:szCs w:val="21"/>
            </w:rPr>
          </w:pPr>
          <w:r>
            <w:rPr>
              <w:rFonts w:hint="eastAsia"/>
              <w:szCs w:val="21"/>
            </w:rPr>
            <w:t>收到的其他与经营活动有关的现金说明：</w:t>
          </w:r>
        </w:p>
        <w:sdt>
          <w:sdtPr>
            <w:rPr>
              <w:szCs w:val="21"/>
            </w:rPr>
            <w:alias w:val="收到的其他与经营活动有关的现金说明"/>
            <w:tag w:val="_GBC_2e3adcc96d704a9b8dd36934b863d3d4"/>
            <w:id w:val="1578253645"/>
            <w:lock w:val="sdtLocked"/>
            <w:placeholder>
              <w:docPart w:val="GBC22222222222222222222222222222"/>
            </w:placeholder>
          </w:sdtPr>
          <w:sdtContent>
            <w:p w:rsidR="00806678" w:rsidRDefault="00DE5751">
              <w:pPr>
                <w:rPr>
                  <w:szCs w:val="21"/>
                </w:rPr>
              </w:pPr>
              <w:r>
                <w:rPr>
                  <w:rFonts w:hint="eastAsia"/>
                  <w:szCs w:val="21"/>
                </w:rPr>
                <w:t>无</w:t>
              </w:r>
            </w:p>
          </w:sdtContent>
        </w:sdt>
      </w:sdtContent>
    </w:sdt>
    <w:p w:rsidR="00806678" w:rsidRDefault="00806678">
      <w:pPr>
        <w:rPr>
          <w:szCs w:val="21"/>
        </w:rPr>
      </w:pPr>
    </w:p>
    <w:sdt>
      <w:sdtPr>
        <w:rPr>
          <w:rFonts w:ascii="宋体" w:eastAsia="宋体" w:hAnsi="宋体" w:cs="宋体" w:hint="eastAsia"/>
          <w:b w:val="0"/>
          <w:bCs w:val="0"/>
          <w:kern w:val="0"/>
          <w:sz w:val="24"/>
          <w:szCs w:val="24"/>
        </w:rPr>
        <w:alias w:val="模块:支付的其他与经营活动有关的现金"/>
        <w:tag w:val="_SEC_69836e8867b347e7b3fe206eca280b9d"/>
        <w:id w:val="187723091"/>
        <w:lock w:val="sdtLocked"/>
        <w:placeholder>
          <w:docPart w:val="GBC22222222222222222222222222222"/>
        </w:placeholder>
      </w:sdtPr>
      <w:sdtEndPr>
        <w:rPr>
          <w:rFonts w:asciiTheme="minorHAnsi" w:hAnsiTheme="minorHAnsi" w:cstheme="minorBidi"/>
          <w:kern w:val="2"/>
          <w:sz w:val="21"/>
          <w:szCs w:val="21"/>
        </w:rPr>
      </w:sdtEndPr>
      <w:sdtContent>
        <w:p w:rsidR="00806678" w:rsidRDefault="00B16377" w:rsidP="00FF17C7">
          <w:pPr>
            <w:pStyle w:val="4"/>
            <w:numPr>
              <w:ilvl w:val="0"/>
              <w:numId w:val="101"/>
            </w:numPr>
            <w:ind w:left="426" w:hanging="426"/>
          </w:pPr>
          <w:r>
            <w:rPr>
              <w:rFonts w:hint="eastAsia"/>
            </w:rPr>
            <w:t>支付的其他与经营活动有关的现金</w:t>
          </w:r>
        </w:p>
        <w:sdt>
          <w:sdtPr>
            <w:alias w:val="是否适用：支付的其他与经营活动有关的现金[双击切换]"/>
            <w:tag w:val="_GBC_f4dd9812849049808cd722f0acb16a7a"/>
            <w:id w:val="-577284236"/>
            <w:lock w:val="sdtLocked"/>
            <w:placeholder>
              <w:docPart w:val="GBC22222222222222222222222222222"/>
            </w:placeholder>
          </w:sdtPr>
          <w:sdtContent>
            <w:p w:rsidR="00806678" w:rsidRDefault="00F80B6C">
              <w:r>
                <w:fldChar w:fldCharType="begin"/>
              </w:r>
              <w:r w:rsidR="00DE5751">
                <w:instrText xml:space="preserve">MACROBUTTON  SnrToggleCheckbox √适用 </w:instrText>
              </w:r>
              <w:r>
                <w:fldChar w:fldCharType="end"/>
              </w:r>
              <w:r>
                <w:fldChar w:fldCharType="begin"/>
              </w:r>
              <w:r w:rsidR="00DE5751">
                <w:instrText xml:space="preserve"> MACROBUTTON  SnrToggleCheckbox □不适用 </w:instrText>
              </w:r>
              <w:r>
                <w:fldChar w:fldCharType="end"/>
              </w:r>
            </w:p>
          </w:sdtContent>
        </w:sdt>
        <w:p w:rsidR="00806678" w:rsidRDefault="00B16377">
          <w:pPr>
            <w:jc w:val="right"/>
            <w:rPr>
              <w:szCs w:val="21"/>
            </w:rPr>
          </w:pPr>
          <w:r>
            <w:rPr>
              <w:rFonts w:hint="eastAsia"/>
              <w:szCs w:val="21"/>
            </w:rPr>
            <w:t>单位：</w:t>
          </w:r>
          <w:sdt>
            <w:sdtPr>
              <w:rPr>
                <w:rFonts w:hint="eastAsia"/>
                <w:szCs w:val="21"/>
              </w:rPr>
              <w:alias w:val="单位：财务附注：支付的其他与经营活动有关的现金"/>
              <w:tag w:val="_GBC_43b6d286fa3345adb12f59f8ca6d94fd"/>
              <w:id w:val="141729410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支付的其他与经营活动有关的现金"/>
              <w:tag w:val="_GBC_1cb95a87f7e44f1f81d520deac5b4e18"/>
              <w:id w:val="27776422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3410"/>
            <w:gridCol w:w="2810"/>
            <w:gridCol w:w="2839"/>
          </w:tblGrid>
          <w:tr w:rsidR="0066317E" w:rsidTr="00DB008B">
            <w:sdt>
              <w:sdtPr>
                <w:tag w:val="_PLD_313336294a534de9a634e32311d5592e"/>
                <w:id w:val="1215317720"/>
                <w:lock w:val="sdtLocked"/>
              </w:sdtPr>
              <w:sdtContent>
                <w:tc>
                  <w:tcPr>
                    <w:tcW w:w="1882" w:type="pct"/>
                  </w:tcPr>
                  <w:p w:rsidR="0066317E" w:rsidRDefault="0066317E" w:rsidP="00DB008B">
                    <w:pPr>
                      <w:autoSpaceDE w:val="0"/>
                      <w:autoSpaceDN w:val="0"/>
                      <w:adjustRightInd w:val="0"/>
                      <w:snapToGrid w:val="0"/>
                      <w:jc w:val="center"/>
                      <w:rPr>
                        <w:szCs w:val="21"/>
                      </w:rPr>
                    </w:pPr>
                    <w:r>
                      <w:rPr>
                        <w:rFonts w:hint="eastAsia"/>
                        <w:szCs w:val="21"/>
                      </w:rPr>
                      <w:t>项目</w:t>
                    </w:r>
                  </w:p>
                </w:tc>
              </w:sdtContent>
            </w:sdt>
            <w:sdt>
              <w:sdtPr>
                <w:tag w:val="_PLD_254446e36934468da941d479360a4c79"/>
                <w:id w:val="535320030"/>
                <w:lock w:val="sdtLocked"/>
              </w:sdtPr>
              <w:sdtContent>
                <w:tc>
                  <w:tcPr>
                    <w:tcW w:w="1551" w:type="pct"/>
                  </w:tcPr>
                  <w:p w:rsidR="0066317E" w:rsidRDefault="0066317E" w:rsidP="00DB008B">
                    <w:pPr>
                      <w:autoSpaceDE w:val="0"/>
                      <w:autoSpaceDN w:val="0"/>
                      <w:adjustRightInd w:val="0"/>
                      <w:snapToGrid w:val="0"/>
                      <w:jc w:val="center"/>
                      <w:rPr>
                        <w:szCs w:val="21"/>
                      </w:rPr>
                    </w:pPr>
                    <w:r>
                      <w:rPr>
                        <w:rFonts w:hint="eastAsia"/>
                      </w:rPr>
                      <w:t>本期发生额</w:t>
                    </w:r>
                  </w:p>
                </w:tc>
              </w:sdtContent>
            </w:sdt>
            <w:sdt>
              <w:sdtPr>
                <w:tag w:val="_PLD_7dc479c1c10240cc94f89ea3fc1d6136"/>
                <w:id w:val="1796324855"/>
                <w:lock w:val="sdtLocked"/>
              </w:sdtPr>
              <w:sdtContent>
                <w:tc>
                  <w:tcPr>
                    <w:tcW w:w="1567" w:type="pct"/>
                  </w:tcPr>
                  <w:p w:rsidR="0066317E" w:rsidRDefault="0066317E" w:rsidP="00DB008B">
                    <w:pPr>
                      <w:autoSpaceDE w:val="0"/>
                      <w:autoSpaceDN w:val="0"/>
                      <w:adjustRightInd w:val="0"/>
                      <w:snapToGrid w:val="0"/>
                      <w:jc w:val="center"/>
                      <w:rPr>
                        <w:szCs w:val="21"/>
                      </w:rPr>
                    </w:pPr>
                    <w:r>
                      <w:rPr>
                        <w:rFonts w:hint="eastAsia"/>
                      </w:rPr>
                      <w:t>上期发生额</w:t>
                    </w:r>
                  </w:p>
                </w:tc>
              </w:sdtContent>
            </w:sdt>
          </w:tr>
          <w:sdt>
            <w:sdtPr>
              <w:rPr>
                <w:rFonts w:hint="eastAsia"/>
                <w:szCs w:val="21"/>
              </w:rPr>
              <w:alias w:val="支付的其他与经营活动有关的现金明细"/>
              <w:tag w:val="_TUP_6bc26f086cee402ca4d348d61c665ec6"/>
              <w:id w:val="352004824"/>
              <w:lock w:val="sdtLocked"/>
            </w:sdtPr>
            <w:sdtContent>
              <w:tr w:rsidR="0066317E" w:rsidTr="00DB008B">
                <w:tc>
                  <w:tcPr>
                    <w:tcW w:w="1882" w:type="pct"/>
                  </w:tcPr>
                  <w:p w:rsidR="0066317E" w:rsidRDefault="0066317E" w:rsidP="00DB008B">
                    <w:pPr>
                      <w:autoSpaceDE w:val="0"/>
                      <w:autoSpaceDN w:val="0"/>
                      <w:adjustRightInd w:val="0"/>
                      <w:snapToGrid w:val="0"/>
                      <w:rPr>
                        <w:szCs w:val="21"/>
                      </w:rPr>
                    </w:pPr>
                    <w:r>
                      <w:t>支付的抵押金</w:t>
                    </w:r>
                    <w:r w:rsidR="00E168C5">
                      <w:rPr>
                        <w:rFonts w:hint="eastAsia"/>
                      </w:rPr>
                      <w:t>/</w:t>
                    </w:r>
                    <w:r>
                      <w:t>保证金</w:t>
                    </w:r>
                  </w:p>
                </w:tc>
                <w:tc>
                  <w:tcPr>
                    <w:tcW w:w="1551" w:type="pct"/>
                  </w:tcPr>
                  <w:p w:rsidR="0066317E" w:rsidRDefault="0066317E" w:rsidP="00DB008B">
                    <w:pPr>
                      <w:jc w:val="right"/>
                      <w:rPr>
                        <w:szCs w:val="21"/>
                      </w:rPr>
                    </w:pPr>
                    <w:r>
                      <w:t>493,922,586</w:t>
                    </w:r>
                  </w:p>
                </w:tc>
                <w:tc>
                  <w:tcPr>
                    <w:tcW w:w="1567" w:type="pct"/>
                  </w:tcPr>
                  <w:p w:rsidR="0066317E" w:rsidRDefault="0066317E" w:rsidP="00DB008B">
                    <w:pPr>
                      <w:jc w:val="right"/>
                      <w:rPr>
                        <w:szCs w:val="21"/>
                      </w:rPr>
                    </w:pPr>
                    <w:r>
                      <w:t>0</w:t>
                    </w:r>
                  </w:p>
                </w:tc>
              </w:tr>
            </w:sdtContent>
          </w:sdt>
          <w:sdt>
            <w:sdtPr>
              <w:rPr>
                <w:rFonts w:hint="eastAsia"/>
                <w:szCs w:val="21"/>
              </w:rPr>
              <w:alias w:val="支付的其他与经营活动有关的现金明细"/>
              <w:tag w:val="_TUP_6bc26f086cee402ca4d348d61c665ec6"/>
              <w:id w:val="-361823825"/>
              <w:lock w:val="sdtLocked"/>
            </w:sdtPr>
            <w:sdtContent>
              <w:tr w:rsidR="0066317E" w:rsidTr="00DB008B">
                <w:tc>
                  <w:tcPr>
                    <w:tcW w:w="1882" w:type="pct"/>
                  </w:tcPr>
                  <w:p w:rsidR="0066317E" w:rsidRDefault="0066317E" w:rsidP="00DB008B">
                    <w:pPr>
                      <w:autoSpaceDE w:val="0"/>
                      <w:autoSpaceDN w:val="0"/>
                      <w:adjustRightInd w:val="0"/>
                      <w:snapToGrid w:val="0"/>
                      <w:rPr>
                        <w:szCs w:val="21"/>
                      </w:rPr>
                    </w:pPr>
                    <w:r>
                      <w:t>差旅费</w:t>
                    </w:r>
                  </w:p>
                </w:tc>
                <w:tc>
                  <w:tcPr>
                    <w:tcW w:w="1551" w:type="pct"/>
                  </w:tcPr>
                  <w:p w:rsidR="0066317E" w:rsidRDefault="0066317E" w:rsidP="00DB008B">
                    <w:pPr>
                      <w:jc w:val="right"/>
                      <w:rPr>
                        <w:szCs w:val="21"/>
                      </w:rPr>
                    </w:pPr>
                    <w:r>
                      <w:t>23,001,665</w:t>
                    </w:r>
                  </w:p>
                </w:tc>
                <w:tc>
                  <w:tcPr>
                    <w:tcW w:w="1567" w:type="pct"/>
                  </w:tcPr>
                  <w:p w:rsidR="0066317E" w:rsidRDefault="0066317E" w:rsidP="00DB008B">
                    <w:pPr>
                      <w:jc w:val="right"/>
                      <w:rPr>
                        <w:szCs w:val="21"/>
                      </w:rPr>
                    </w:pPr>
                    <w:r>
                      <w:t>34,730,909</w:t>
                    </w:r>
                  </w:p>
                </w:tc>
              </w:tr>
            </w:sdtContent>
          </w:sdt>
          <w:sdt>
            <w:sdtPr>
              <w:rPr>
                <w:rFonts w:hint="eastAsia"/>
                <w:szCs w:val="21"/>
              </w:rPr>
              <w:alias w:val="支付的其他与经营活动有关的现金明细"/>
              <w:tag w:val="_TUP_6bc26f086cee402ca4d348d61c665ec6"/>
              <w:id w:val="-363512458"/>
              <w:lock w:val="sdtLocked"/>
            </w:sdtPr>
            <w:sdtContent>
              <w:tr w:rsidR="0066317E" w:rsidTr="00DB008B">
                <w:tc>
                  <w:tcPr>
                    <w:tcW w:w="1882" w:type="pct"/>
                  </w:tcPr>
                  <w:p w:rsidR="0066317E" w:rsidRDefault="0066317E" w:rsidP="00DB008B">
                    <w:pPr>
                      <w:autoSpaceDE w:val="0"/>
                      <w:autoSpaceDN w:val="0"/>
                      <w:adjustRightInd w:val="0"/>
                      <w:snapToGrid w:val="0"/>
                      <w:rPr>
                        <w:szCs w:val="21"/>
                      </w:rPr>
                    </w:pPr>
                    <w:r>
                      <w:t>租赁费</w:t>
                    </w:r>
                  </w:p>
                </w:tc>
                <w:tc>
                  <w:tcPr>
                    <w:tcW w:w="1551" w:type="pct"/>
                  </w:tcPr>
                  <w:p w:rsidR="0066317E" w:rsidRDefault="0066317E" w:rsidP="00DB008B">
                    <w:pPr>
                      <w:jc w:val="right"/>
                      <w:rPr>
                        <w:szCs w:val="21"/>
                      </w:rPr>
                    </w:pPr>
                    <w:r>
                      <w:t>46,570,051</w:t>
                    </w:r>
                  </w:p>
                </w:tc>
                <w:tc>
                  <w:tcPr>
                    <w:tcW w:w="1567" w:type="pct"/>
                  </w:tcPr>
                  <w:p w:rsidR="0066317E" w:rsidRDefault="0066317E" w:rsidP="00DB008B">
                    <w:pPr>
                      <w:jc w:val="right"/>
                      <w:rPr>
                        <w:szCs w:val="21"/>
                      </w:rPr>
                    </w:pPr>
                    <w:r>
                      <w:t>101,293,120</w:t>
                    </w:r>
                  </w:p>
                </w:tc>
              </w:tr>
            </w:sdtContent>
          </w:sdt>
          <w:sdt>
            <w:sdtPr>
              <w:rPr>
                <w:rFonts w:hint="eastAsia"/>
                <w:szCs w:val="21"/>
              </w:rPr>
              <w:alias w:val="支付的其他与经营活动有关的现金明细"/>
              <w:tag w:val="_TUP_6bc26f086cee402ca4d348d61c665ec6"/>
              <w:id w:val="1011957243"/>
              <w:lock w:val="sdtLocked"/>
            </w:sdtPr>
            <w:sdtContent>
              <w:tr w:rsidR="0066317E" w:rsidTr="00DB008B">
                <w:tc>
                  <w:tcPr>
                    <w:tcW w:w="1882" w:type="pct"/>
                  </w:tcPr>
                  <w:p w:rsidR="0066317E" w:rsidRDefault="0066317E" w:rsidP="00DB008B">
                    <w:pPr>
                      <w:autoSpaceDE w:val="0"/>
                      <w:autoSpaceDN w:val="0"/>
                      <w:adjustRightInd w:val="0"/>
                      <w:snapToGrid w:val="0"/>
                      <w:rPr>
                        <w:szCs w:val="21"/>
                      </w:rPr>
                    </w:pPr>
                    <w:r>
                      <w:t>代收代付款</w:t>
                    </w:r>
                  </w:p>
                </w:tc>
                <w:tc>
                  <w:tcPr>
                    <w:tcW w:w="1551" w:type="pct"/>
                  </w:tcPr>
                  <w:p w:rsidR="0066317E" w:rsidRDefault="0066317E" w:rsidP="00DB008B">
                    <w:pPr>
                      <w:jc w:val="right"/>
                      <w:rPr>
                        <w:szCs w:val="21"/>
                      </w:rPr>
                    </w:pPr>
                    <w:r>
                      <w:t>297,597,739</w:t>
                    </w:r>
                  </w:p>
                </w:tc>
                <w:tc>
                  <w:tcPr>
                    <w:tcW w:w="1567" w:type="pct"/>
                  </w:tcPr>
                  <w:p w:rsidR="0066317E" w:rsidRDefault="0066317E" w:rsidP="00DB008B">
                    <w:pPr>
                      <w:jc w:val="right"/>
                      <w:rPr>
                        <w:szCs w:val="21"/>
                      </w:rPr>
                    </w:pPr>
                    <w:r>
                      <w:t>307,068,766</w:t>
                    </w:r>
                  </w:p>
                </w:tc>
              </w:tr>
            </w:sdtContent>
          </w:sdt>
          <w:sdt>
            <w:sdtPr>
              <w:rPr>
                <w:rFonts w:hint="eastAsia"/>
                <w:szCs w:val="21"/>
              </w:rPr>
              <w:alias w:val="支付的其他与经营活动有关的现金明细"/>
              <w:tag w:val="_TUP_6bc26f086cee402ca4d348d61c665ec6"/>
              <w:id w:val="704218625"/>
              <w:lock w:val="sdtLocked"/>
            </w:sdtPr>
            <w:sdtContent>
              <w:tr w:rsidR="0066317E" w:rsidTr="00DB008B">
                <w:tc>
                  <w:tcPr>
                    <w:tcW w:w="1882" w:type="pct"/>
                  </w:tcPr>
                  <w:p w:rsidR="0066317E" w:rsidRDefault="0066317E" w:rsidP="00DB008B">
                    <w:pPr>
                      <w:autoSpaceDE w:val="0"/>
                      <w:autoSpaceDN w:val="0"/>
                      <w:adjustRightInd w:val="0"/>
                      <w:snapToGrid w:val="0"/>
                      <w:rPr>
                        <w:szCs w:val="21"/>
                      </w:rPr>
                    </w:pPr>
                    <w:r>
                      <w:t>其他</w:t>
                    </w:r>
                  </w:p>
                </w:tc>
                <w:tc>
                  <w:tcPr>
                    <w:tcW w:w="1551" w:type="pct"/>
                  </w:tcPr>
                  <w:p w:rsidR="0066317E" w:rsidRDefault="0066317E" w:rsidP="00DB008B">
                    <w:pPr>
                      <w:jc w:val="right"/>
                      <w:rPr>
                        <w:szCs w:val="21"/>
                      </w:rPr>
                    </w:pPr>
                    <w:r>
                      <w:t>595,045,254</w:t>
                    </w:r>
                  </w:p>
                </w:tc>
                <w:tc>
                  <w:tcPr>
                    <w:tcW w:w="1567" w:type="pct"/>
                  </w:tcPr>
                  <w:p w:rsidR="0066317E" w:rsidRDefault="0066317E" w:rsidP="00DB008B">
                    <w:pPr>
                      <w:jc w:val="right"/>
                      <w:rPr>
                        <w:szCs w:val="21"/>
                      </w:rPr>
                    </w:pPr>
                    <w:r>
                      <w:t>590,448,353</w:t>
                    </w:r>
                  </w:p>
                </w:tc>
              </w:tr>
            </w:sdtContent>
          </w:sdt>
          <w:tr w:rsidR="0066317E" w:rsidTr="00DB008B">
            <w:sdt>
              <w:sdtPr>
                <w:tag w:val="_PLD_b2a645bcc9174623a4e7eefea3a149f5"/>
                <w:id w:val="1008790173"/>
                <w:lock w:val="sdtLocked"/>
              </w:sdtPr>
              <w:sdtContent>
                <w:tc>
                  <w:tcPr>
                    <w:tcW w:w="1882" w:type="pct"/>
                  </w:tcPr>
                  <w:p w:rsidR="0066317E" w:rsidRDefault="0066317E" w:rsidP="0066317E">
                    <w:pPr>
                      <w:autoSpaceDE w:val="0"/>
                      <w:autoSpaceDN w:val="0"/>
                      <w:adjustRightInd w:val="0"/>
                      <w:snapToGrid w:val="0"/>
                      <w:jc w:val="center"/>
                      <w:rPr>
                        <w:szCs w:val="21"/>
                      </w:rPr>
                    </w:pPr>
                    <w:r>
                      <w:rPr>
                        <w:rFonts w:hint="eastAsia"/>
                        <w:szCs w:val="21"/>
                      </w:rPr>
                      <w:t>合计</w:t>
                    </w:r>
                  </w:p>
                </w:tc>
              </w:sdtContent>
            </w:sdt>
            <w:tc>
              <w:tcPr>
                <w:tcW w:w="1551" w:type="pct"/>
                <w:vAlign w:val="center"/>
              </w:tcPr>
              <w:p w:rsidR="0066317E" w:rsidRDefault="0066317E" w:rsidP="0066317E">
                <w:pPr>
                  <w:jc w:val="right"/>
                  <w:rPr>
                    <w:szCs w:val="21"/>
                  </w:rPr>
                </w:pPr>
                <w:r>
                  <w:t>1,456,137,295</w:t>
                </w:r>
              </w:p>
            </w:tc>
            <w:tc>
              <w:tcPr>
                <w:tcW w:w="1567" w:type="pct"/>
                <w:vAlign w:val="center"/>
              </w:tcPr>
              <w:p w:rsidR="0066317E" w:rsidRDefault="0066317E" w:rsidP="0066317E">
                <w:pPr>
                  <w:jc w:val="right"/>
                  <w:rPr>
                    <w:szCs w:val="21"/>
                  </w:rPr>
                </w:pPr>
                <w:r>
                  <w:t>1,033,541,148</w:t>
                </w:r>
              </w:p>
            </w:tc>
          </w:tr>
        </w:tbl>
        <w:p w:rsidR="006A67B1" w:rsidRDefault="006A67B1">
          <w:pPr>
            <w:spacing w:before="60" w:after="60"/>
            <w:rPr>
              <w:szCs w:val="21"/>
            </w:rPr>
          </w:pPr>
        </w:p>
        <w:p w:rsidR="00806678" w:rsidRDefault="00B16377">
          <w:pPr>
            <w:spacing w:before="60" w:after="60"/>
            <w:rPr>
              <w:szCs w:val="21"/>
            </w:rPr>
          </w:pPr>
          <w:r>
            <w:rPr>
              <w:rFonts w:hint="eastAsia"/>
              <w:szCs w:val="21"/>
            </w:rPr>
            <w:t>支付的其他与经营活动有关的现金说明：</w:t>
          </w:r>
        </w:p>
        <w:sdt>
          <w:sdtPr>
            <w:rPr>
              <w:rFonts w:hint="eastAsia"/>
              <w:szCs w:val="21"/>
            </w:rPr>
            <w:alias w:val="支付的其他与经营活动有关的现金说明"/>
            <w:tag w:val="_GBC_0465de66d71e4a34a0d6c076baa704db"/>
            <w:id w:val="167604066"/>
            <w:lock w:val="sdtLocked"/>
            <w:placeholder>
              <w:docPart w:val="GBC22222222222222222222222222222"/>
            </w:placeholder>
          </w:sdtPr>
          <w:sdtContent>
            <w:p w:rsidR="00806678" w:rsidRDefault="0066317E">
              <w:pPr>
                <w:ind w:right="5"/>
                <w:rPr>
                  <w:szCs w:val="21"/>
                </w:rPr>
              </w:pPr>
              <w:r>
                <w:rPr>
                  <w:rFonts w:hint="eastAsia"/>
                  <w:szCs w:val="21"/>
                </w:rPr>
                <w:t>无</w:t>
              </w:r>
            </w:p>
          </w:sdtContent>
        </w:sdt>
      </w:sdtContent>
    </w:sdt>
    <w:p w:rsidR="00806678" w:rsidRDefault="00806678">
      <w:pPr>
        <w:spacing w:line="360" w:lineRule="exact"/>
        <w:ind w:right="5"/>
        <w:rPr>
          <w:szCs w:val="21"/>
        </w:rPr>
      </w:pPr>
    </w:p>
    <w:sdt>
      <w:sdtPr>
        <w:rPr>
          <w:rFonts w:ascii="宋体" w:eastAsia="宋体" w:hAnsi="宋体" w:cs="宋体" w:hint="eastAsia"/>
          <w:b w:val="0"/>
          <w:bCs w:val="0"/>
          <w:kern w:val="0"/>
          <w:sz w:val="24"/>
          <w:szCs w:val="24"/>
        </w:rPr>
        <w:alias w:val="模块:收到的其他与投资活动有关的现金"/>
        <w:tag w:val="_SEC_bffd728d3f034a24a21a18f895399812"/>
        <w:id w:val="1626348686"/>
        <w:lock w:val="sdtLocked"/>
        <w:placeholder>
          <w:docPart w:val="GBC22222222222222222222222222222"/>
        </w:placeholder>
      </w:sdtPr>
      <w:sdtEndPr>
        <w:rPr>
          <w:rFonts w:asciiTheme="minorHAnsi" w:hAnsiTheme="minorHAnsi" w:cstheme="minorBidi" w:hint="default"/>
          <w:kern w:val="2"/>
          <w:sz w:val="21"/>
          <w:szCs w:val="21"/>
        </w:rPr>
      </w:sdtEndPr>
      <w:sdtContent>
        <w:p w:rsidR="00806678" w:rsidRDefault="00B16377" w:rsidP="00FF17C7">
          <w:pPr>
            <w:pStyle w:val="4"/>
            <w:numPr>
              <w:ilvl w:val="0"/>
              <w:numId w:val="101"/>
            </w:numPr>
            <w:ind w:left="426" w:hanging="426"/>
          </w:pPr>
          <w:r>
            <w:rPr>
              <w:rFonts w:hint="eastAsia"/>
            </w:rPr>
            <w:t>收到的其他与投资活动有关的现金</w:t>
          </w:r>
        </w:p>
        <w:sdt>
          <w:sdtPr>
            <w:alias w:val="是否适用：收到的其他与投资活动有关的现金[双击切换]"/>
            <w:tag w:val="_GBC_a9d11a87566b448d9e6aac9a017a8388"/>
            <w:id w:val="-1334605005"/>
            <w:lock w:val="sdtLocked"/>
            <w:placeholder>
              <w:docPart w:val="GBC22222222222222222222222222222"/>
            </w:placeholder>
          </w:sdtPr>
          <w:sdtContent>
            <w:p w:rsidR="00806678" w:rsidRDefault="00F80B6C">
              <w:r>
                <w:fldChar w:fldCharType="begin"/>
              </w:r>
              <w:r w:rsidR="0066317E">
                <w:instrText xml:space="preserve">MACROBUTTON  SnrToggleCheckbox √适用 </w:instrText>
              </w:r>
              <w:r>
                <w:fldChar w:fldCharType="end"/>
              </w:r>
              <w:r>
                <w:fldChar w:fldCharType="begin"/>
              </w:r>
              <w:r w:rsidR="0066317E">
                <w:instrText xml:space="preserve"> MACROBUTTON  SnrToggleCheckbox □不适用 </w:instrText>
              </w:r>
              <w:r>
                <w:fldChar w:fldCharType="end"/>
              </w:r>
            </w:p>
          </w:sdtContent>
        </w:sdt>
        <w:p w:rsidR="00806678" w:rsidRDefault="00B16377">
          <w:pPr>
            <w:jc w:val="right"/>
            <w:rPr>
              <w:szCs w:val="21"/>
            </w:rPr>
          </w:pPr>
          <w:r>
            <w:rPr>
              <w:rFonts w:hint="eastAsia"/>
              <w:szCs w:val="21"/>
            </w:rPr>
            <w:t>单位：</w:t>
          </w:r>
          <w:sdt>
            <w:sdtPr>
              <w:rPr>
                <w:rFonts w:hint="eastAsia"/>
                <w:szCs w:val="21"/>
              </w:rPr>
              <w:alias w:val="单位：财务附注：收到的其他与投资活动有关的现金"/>
              <w:tag w:val="_GBC_0c9cf16095dd4d5ab3121520e225b633"/>
              <w:id w:val="-110241445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收到的其他与投资活动有关的现金"/>
              <w:tag w:val="_GBC_791e060c2d294266a3abaf8a745aad01"/>
              <w:id w:val="-20888069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3410"/>
            <w:gridCol w:w="2915"/>
            <w:gridCol w:w="2734"/>
          </w:tblGrid>
          <w:tr w:rsidR="0066317E" w:rsidTr="00DB008B">
            <w:sdt>
              <w:sdtPr>
                <w:tag w:val="_PLD_8fe69c5749494bb49faf620c5198417e"/>
                <w:id w:val="1741367626"/>
                <w:lock w:val="sdtLocked"/>
              </w:sdtPr>
              <w:sdtContent>
                <w:tc>
                  <w:tcPr>
                    <w:tcW w:w="1882" w:type="pct"/>
                  </w:tcPr>
                  <w:p w:rsidR="0066317E" w:rsidRDefault="0066317E" w:rsidP="00DB008B">
                    <w:pPr>
                      <w:autoSpaceDE w:val="0"/>
                      <w:autoSpaceDN w:val="0"/>
                      <w:adjustRightInd w:val="0"/>
                      <w:snapToGrid w:val="0"/>
                      <w:spacing w:line="240" w:lineRule="atLeast"/>
                      <w:jc w:val="center"/>
                      <w:rPr>
                        <w:szCs w:val="21"/>
                      </w:rPr>
                    </w:pPr>
                    <w:r>
                      <w:rPr>
                        <w:rFonts w:hint="eastAsia"/>
                        <w:szCs w:val="21"/>
                      </w:rPr>
                      <w:t>项目</w:t>
                    </w:r>
                  </w:p>
                </w:tc>
              </w:sdtContent>
            </w:sdt>
            <w:sdt>
              <w:sdtPr>
                <w:tag w:val="_PLD_bf91a26c50244250a28701d650837068"/>
                <w:id w:val="1178464811"/>
                <w:lock w:val="sdtLocked"/>
              </w:sdtPr>
              <w:sdtContent>
                <w:tc>
                  <w:tcPr>
                    <w:tcW w:w="1609" w:type="pct"/>
                  </w:tcPr>
                  <w:p w:rsidR="0066317E" w:rsidRDefault="0066317E" w:rsidP="00DB008B">
                    <w:pPr>
                      <w:autoSpaceDE w:val="0"/>
                      <w:autoSpaceDN w:val="0"/>
                      <w:adjustRightInd w:val="0"/>
                      <w:snapToGrid w:val="0"/>
                      <w:spacing w:line="240" w:lineRule="atLeast"/>
                      <w:jc w:val="center"/>
                      <w:rPr>
                        <w:szCs w:val="21"/>
                      </w:rPr>
                    </w:pPr>
                    <w:r>
                      <w:rPr>
                        <w:rFonts w:hint="eastAsia"/>
                      </w:rPr>
                      <w:t>本期发生额</w:t>
                    </w:r>
                  </w:p>
                </w:tc>
              </w:sdtContent>
            </w:sdt>
            <w:sdt>
              <w:sdtPr>
                <w:tag w:val="_PLD_6ba4cebdd5f34f0ebe4577174e11dd6c"/>
                <w:id w:val="-1171485370"/>
                <w:lock w:val="sdtLocked"/>
              </w:sdtPr>
              <w:sdtContent>
                <w:tc>
                  <w:tcPr>
                    <w:tcW w:w="1509" w:type="pct"/>
                  </w:tcPr>
                  <w:p w:rsidR="0066317E" w:rsidRDefault="0066317E" w:rsidP="00DB008B">
                    <w:pPr>
                      <w:autoSpaceDE w:val="0"/>
                      <w:autoSpaceDN w:val="0"/>
                      <w:adjustRightInd w:val="0"/>
                      <w:snapToGrid w:val="0"/>
                      <w:spacing w:line="240" w:lineRule="atLeast"/>
                      <w:jc w:val="center"/>
                      <w:rPr>
                        <w:szCs w:val="21"/>
                      </w:rPr>
                    </w:pPr>
                    <w:r>
                      <w:rPr>
                        <w:rFonts w:hint="eastAsia"/>
                      </w:rPr>
                      <w:t>上期发生额</w:t>
                    </w:r>
                  </w:p>
                </w:tc>
              </w:sdtContent>
            </w:sdt>
          </w:tr>
          <w:sdt>
            <w:sdtPr>
              <w:rPr>
                <w:rFonts w:hint="eastAsia"/>
                <w:szCs w:val="21"/>
              </w:rPr>
              <w:alias w:val="收到的其他与投资活动有关的现金明细"/>
              <w:tag w:val="_TUP_2a9537f55bbc4ae4adcaec7f75a44ddf"/>
              <w:id w:val="324485183"/>
              <w:lock w:val="sdtLocked"/>
            </w:sdtPr>
            <w:sdtContent>
              <w:tr w:rsidR="0066317E" w:rsidTr="00DB008B">
                <w:tc>
                  <w:tcPr>
                    <w:tcW w:w="1882" w:type="pct"/>
                  </w:tcPr>
                  <w:p w:rsidR="0066317E" w:rsidRDefault="0066317E" w:rsidP="00DB008B">
                    <w:pPr>
                      <w:autoSpaceDE w:val="0"/>
                      <w:autoSpaceDN w:val="0"/>
                      <w:adjustRightInd w:val="0"/>
                      <w:snapToGrid w:val="0"/>
                      <w:spacing w:line="240" w:lineRule="atLeast"/>
                      <w:rPr>
                        <w:szCs w:val="21"/>
                      </w:rPr>
                    </w:pPr>
                    <w:r>
                      <w:t>银行存款利息收入</w:t>
                    </w:r>
                  </w:p>
                </w:tc>
                <w:tc>
                  <w:tcPr>
                    <w:tcW w:w="1609" w:type="pct"/>
                    <w:vAlign w:val="bottom"/>
                  </w:tcPr>
                  <w:p w:rsidR="0066317E" w:rsidRDefault="0066317E" w:rsidP="00DB008B">
                    <w:pPr>
                      <w:jc w:val="right"/>
                      <w:rPr>
                        <w:szCs w:val="21"/>
                      </w:rPr>
                    </w:pPr>
                    <w:r>
                      <w:t>1,261,272,954</w:t>
                    </w:r>
                  </w:p>
                </w:tc>
                <w:tc>
                  <w:tcPr>
                    <w:tcW w:w="1509" w:type="pct"/>
                  </w:tcPr>
                  <w:p w:rsidR="0066317E" w:rsidRDefault="0066317E" w:rsidP="00DB008B">
                    <w:pPr>
                      <w:jc w:val="right"/>
                      <w:rPr>
                        <w:szCs w:val="21"/>
                      </w:rPr>
                    </w:pPr>
                    <w:r>
                      <w:t>1,307,098,684</w:t>
                    </w:r>
                  </w:p>
                </w:tc>
              </w:tr>
            </w:sdtContent>
          </w:sdt>
          <w:tr w:rsidR="0066317E" w:rsidTr="00DB008B">
            <w:sdt>
              <w:sdtPr>
                <w:tag w:val="_PLD_a28679f982044352b3f67fcf372b12e8"/>
                <w:id w:val="947351637"/>
                <w:lock w:val="sdtLocked"/>
              </w:sdtPr>
              <w:sdtContent>
                <w:tc>
                  <w:tcPr>
                    <w:tcW w:w="1882" w:type="pct"/>
                  </w:tcPr>
                  <w:p w:rsidR="0066317E" w:rsidRDefault="0066317E" w:rsidP="0066317E">
                    <w:pPr>
                      <w:autoSpaceDE w:val="0"/>
                      <w:autoSpaceDN w:val="0"/>
                      <w:adjustRightInd w:val="0"/>
                      <w:snapToGrid w:val="0"/>
                      <w:spacing w:line="240" w:lineRule="atLeast"/>
                      <w:jc w:val="center"/>
                      <w:rPr>
                        <w:szCs w:val="21"/>
                      </w:rPr>
                    </w:pPr>
                    <w:r>
                      <w:rPr>
                        <w:rFonts w:hint="eastAsia"/>
                        <w:szCs w:val="21"/>
                      </w:rPr>
                      <w:t>合计</w:t>
                    </w:r>
                  </w:p>
                </w:tc>
              </w:sdtContent>
            </w:sdt>
            <w:tc>
              <w:tcPr>
                <w:tcW w:w="1609" w:type="pct"/>
                <w:vAlign w:val="center"/>
              </w:tcPr>
              <w:p w:rsidR="0066317E" w:rsidRDefault="0066317E" w:rsidP="0066317E">
                <w:pPr>
                  <w:jc w:val="right"/>
                  <w:rPr>
                    <w:szCs w:val="21"/>
                  </w:rPr>
                </w:pPr>
                <w:r>
                  <w:t>1,261,272,954</w:t>
                </w:r>
              </w:p>
            </w:tc>
            <w:tc>
              <w:tcPr>
                <w:tcW w:w="1509" w:type="pct"/>
                <w:vAlign w:val="center"/>
              </w:tcPr>
              <w:p w:rsidR="0066317E" w:rsidRDefault="0066317E" w:rsidP="0066317E">
                <w:pPr>
                  <w:jc w:val="right"/>
                  <w:rPr>
                    <w:szCs w:val="21"/>
                  </w:rPr>
                </w:pPr>
                <w:r>
                  <w:t>1,307,098,684</w:t>
                </w:r>
              </w:p>
            </w:tc>
          </w:tr>
        </w:tbl>
        <w:p w:rsidR="00806678" w:rsidRDefault="00B16377">
          <w:pPr>
            <w:snapToGrid w:val="0"/>
            <w:spacing w:before="60" w:after="60"/>
            <w:rPr>
              <w:szCs w:val="21"/>
            </w:rPr>
          </w:pPr>
          <w:r>
            <w:rPr>
              <w:rFonts w:hint="eastAsia"/>
              <w:szCs w:val="21"/>
            </w:rPr>
            <w:t>收到的其他与投资活动有关的现金说明：</w:t>
          </w:r>
        </w:p>
        <w:sdt>
          <w:sdtPr>
            <w:rPr>
              <w:szCs w:val="21"/>
            </w:rPr>
            <w:alias w:val="收到的其他与投资活动有关的现金说明"/>
            <w:tag w:val="_GBC_4f6584697d884cfd99a931a45c33cdac"/>
            <w:id w:val="544328930"/>
            <w:lock w:val="sdtLocked"/>
            <w:placeholder>
              <w:docPart w:val="GBC22222222222222222222222222222"/>
            </w:placeholder>
          </w:sdtPr>
          <w:sdtContent>
            <w:p w:rsidR="00806678" w:rsidRDefault="0066317E">
              <w:pPr>
                <w:snapToGrid w:val="0"/>
                <w:spacing w:line="240" w:lineRule="atLeast"/>
                <w:rPr>
                  <w:szCs w:val="21"/>
                </w:rPr>
              </w:pPr>
              <w:r>
                <w:rPr>
                  <w:rFonts w:hint="eastAsia"/>
                  <w:szCs w:val="21"/>
                </w:rPr>
                <w:t>无</w:t>
              </w:r>
            </w:p>
          </w:sdtContent>
        </w:sdt>
      </w:sdtContent>
    </w:sdt>
    <w:p w:rsidR="00806678" w:rsidRDefault="00806678">
      <w:pPr>
        <w:rPr>
          <w:szCs w:val="21"/>
        </w:rPr>
      </w:pPr>
    </w:p>
    <w:sdt>
      <w:sdtPr>
        <w:rPr>
          <w:rFonts w:ascii="宋体" w:eastAsia="宋体" w:hAnsi="宋体" w:cs="宋体" w:hint="eastAsia"/>
          <w:b w:val="0"/>
          <w:bCs w:val="0"/>
          <w:kern w:val="0"/>
          <w:sz w:val="24"/>
          <w:szCs w:val="24"/>
        </w:rPr>
        <w:alias w:val="模块:支付的其他与投资活动有关的现金"/>
        <w:tag w:val="_SEC_aafc72f0aabb4b5faeb8c5be6629eee5"/>
        <w:id w:val="1947499758"/>
        <w:lock w:val="sdtLocked"/>
        <w:placeholder>
          <w:docPart w:val="GBC22222222222222222222222222222"/>
        </w:placeholder>
      </w:sdtPr>
      <w:sdtEndPr>
        <w:rPr>
          <w:rFonts w:asciiTheme="minorHAnsi" w:hAnsiTheme="minorHAnsi" w:cstheme="minorBidi"/>
          <w:kern w:val="2"/>
          <w:sz w:val="21"/>
          <w:szCs w:val="21"/>
        </w:rPr>
      </w:sdtEndPr>
      <w:sdtContent>
        <w:p w:rsidR="00806678" w:rsidRDefault="00B16377" w:rsidP="00FF17C7">
          <w:pPr>
            <w:pStyle w:val="4"/>
            <w:numPr>
              <w:ilvl w:val="0"/>
              <w:numId w:val="101"/>
            </w:numPr>
            <w:ind w:left="426" w:hanging="426"/>
          </w:pPr>
          <w:r>
            <w:rPr>
              <w:rFonts w:hint="eastAsia"/>
            </w:rPr>
            <w:t>支付的其他与投资活动有关的现金</w:t>
          </w:r>
        </w:p>
        <w:sdt>
          <w:sdtPr>
            <w:alias w:val="是否适用：支付的其他与投资活动有关的现金[双击切换]"/>
            <w:tag w:val="_GBC_c733aab18a804ecea142a329ce5180ba"/>
            <w:id w:val="-598028312"/>
            <w:lock w:val="sdtLocked"/>
            <w:placeholder>
              <w:docPart w:val="GBC22222222222222222222222222222"/>
            </w:placeholder>
          </w:sdtPr>
          <w:sdtContent>
            <w:p w:rsidR="00806678" w:rsidRPr="00C01624" w:rsidRDefault="00F80B6C">
              <w:r>
                <w:fldChar w:fldCharType="begin"/>
              </w:r>
              <w:r w:rsidR="0066317E">
                <w:instrText xml:space="preserve">MACROBUTTON  SnrToggleCheckbox □适用 </w:instrText>
              </w:r>
              <w:r>
                <w:fldChar w:fldCharType="end"/>
              </w:r>
              <w:r>
                <w:fldChar w:fldCharType="begin"/>
              </w:r>
              <w:r w:rsidR="0066317E">
                <w:instrText xml:space="preserve"> MACROBUTTON  SnrToggleCheckbox √不适用 </w:instrText>
              </w:r>
              <w:r>
                <w:fldChar w:fldCharType="end"/>
              </w:r>
            </w:p>
          </w:sdtContent>
        </w:sdt>
      </w:sdtContent>
    </w:sdt>
    <w:sdt>
      <w:sdtPr>
        <w:rPr>
          <w:rFonts w:ascii="宋体" w:eastAsia="宋体" w:hAnsi="宋体" w:cs="宋体" w:hint="eastAsia"/>
          <w:b w:val="0"/>
          <w:bCs w:val="0"/>
          <w:kern w:val="0"/>
          <w:sz w:val="24"/>
          <w:szCs w:val="24"/>
        </w:rPr>
        <w:alias w:val="模块:收到的其他与筹资活动有关的现金"/>
        <w:tag w:val="_SEC_cee5e63128ad411498f4c0e9e303807b"/>
        <w:id w:val="2048633052"/>
        <w:lock w:val="sdtLocked"/>
        <w:placeholder>
          <w:docPart w:val="GBC22222222222222222222222222222"/>
        </w:placeholder>
      </w:sdtPr>
      <w:sdtEndPr>
        <w:rPr>
          <w:rFonts w:asciiTheme="minorHAnsi" w:hAnsiTheme="minorHAnsi" w:cstheme="minorBidi"/>
          <w:kern w:val="2"/>
          <w:sz w:val="21"/>
          <w:szCs w:val="22"/>
        </w:rPr>
      </w:sdtEndPr>
      <w:sdtContent>
        <w:p w:rsidR="00806678" w:rsidRDefault="00B16377" w:rsidP="00FF17C7">
          <w:pPr>
            <w:pStyle w:val="4"/>
            <w:numPr>
              <w:ilvl w:val="0"/>
              <w:numId w:val="101"/>
            </w:numPr>
            <w:ind w:left="426" w:hanging="426"/>
          </w:pPr>
          <w:r>
            <w:rPr>
              <w:rFonts w:hint="eastAsia"/>
            </w:rPr>
            <w:t>收到的</w:t>
          </w:r>
          <w:r>
            <w:rPr>
              <w:rFonts w:ascii="宋体" w:hAnsi="宋体" w:hint="eastAsia"/>
            </w:rPr>
            <w:t>其他</w:t>
          </w:r>
          <w:r>
            <w:rPr>
              <w:rFonts w:hint="eastAsia"/>
            </w:rPr>
            <w:t>与筹资活动有关的现金</w:t>
          </w:r>
        </w:p>
        <w:sdt>
          <w:sdtPr>
            <w:alias w:val="是否适用：收到的其他与筹资活动有关的现金[双击切换]"/>
            <w:tag w:val="_GBC_031910cf781944cf80900ffa99f7a9d7"/>
            <w:id w:val="-1502265620"/>
            <w:lock w:val="sdtLocked"/>
            <w:placeholder>
              <w:docPart w:val="GBC22222222222222222222222222222"/>
            </w:placeholder>
          </w:sdtPr>
          <w:sdtContent>
            <w:p w:rsidR="00C01624" w:rsidRDefault="00F80B6C">
              <w:r>
                <w:fldChar w:fldCharType="begin"/>
              </w:r>
              <w:r w:rsidR="007B4468">
                <w:instrText xml:space="preserve">MACROBUTTON  SnrToggleCheckbox √适用 </w:instrText>
              </w:r>
              <w:r>
                <w:fldChar w:fldCharType="end"/>
              </w:r>
              <w:r>
                <w:fldChar w:fldCharType="begin"/>
              </w:r>
              <w:r w:rsidR="007B4468">
                <w:instrText xml:space="preserve"> MACROBUTTON  SnrToggleCheckbox □不适用 </w:instrText>
              </w:r>
              <w:r>
                <w:fldChar w:fldCharType="end"/>
              </w:r>
            </w:p>
            <w:p w:rsidR="007B4468" w:rsidRDefault="00F80B6C"/>
          </w:sdtContent>
        </w:sdt>
        <w:p w:rsidR="007B4468" w:rsidRDefault="007B4468" w:rsidP="00870214">
          <w:pPr>
            <w:jc w:val="right"/>
            <w:rPr>
              <w:szCs w:val="21"/>
            </w:rPr>
          </w:pPr>
          <w:r>
            <w:rPr>
              <w:rFonts w:hint="eastAsia"/>
              <w:szCs w:val="21"/>
            </w:rPr>
            <w:t>单位：</w:t>
          </w:r>
          <w:sdt>
            <w:sdtPr>
              <w:rPr>
                <w:rFonts w:hint="eastAsia"/>
                <w:szCs w:val="21"/>
              </w:rPr>
              <w:alias w:val="单位：财务附注：收到的其他与筹资活动有关的现金"/>
              <w:tag w:val="_GBC_666160c9e7144e11b24beaa82a8d20a2"/>
              <w:id w:val="1423536587"/>
              <w:lock w:val="sdtLocked"/>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收到的其他与筹资活动有关的现金"/>
              <w:tag w:val="_GBC_5dbb9457a5854b088449e8b9e69e8c2e"/>
              <w:id w:val="-487324640"/>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3410"/>
            <w:gridCol w:w="2917"/>
            <w:gridCol w:w="2732"/>
          </w:tblGrid>
          <w:tr w:rsidR="007B4468" w:rsidTr="00AA173A">
            <w:sdt>
              <w:sdtPr>
                <w:tag w:val="_PLD_a77349a2c05f473b9ac20b64fc24179e"/>
                <w:id w:val="918066126"/>
                <w:lock w:val="sdtLocked"/>
              </w:sdtPr>
              <w:sdtContent>
                <w:tc>
                  <w:tcPr>
                    <w:tcW w:w="1882" w:type="pct"/>
                  </w:tcPr>
                  <w:p w:rsidR="007B4468" w:rsidRDefault="007B4468" w:rsidP="00AA173A">
                    <w:pPr>
                      <w:autoSpaceDE w:val="0"/>
                      <w:autoSpaceDN w:val="0"/>
                      <w:adjustRightInd w:val="0"/>
                      <w:snapToGrid w:val="0"/>
                      <w:jc w:val="center"/>
                      <w:rPr>
                        <w:szCs w:val="21"/>
                      </w:rPr>
                    </w:pPr>
                    <w:r>
                      <w:rPr>
                        <w:rFonts w:hint="eastAsia"/>
                        <w:szCs w:val="21"/>
                      </w:rPr>
                      <w:t>项目</w:t>
                    </w:r>
                  </w:p>
                </w:tc>
              </w:sdtContent>
            </w:sdt>
            <w:sdt>
              <w:sdtPr>
                <w:tag w:val="_PLD_4f0ec6d40c994acb9eb5b3560f97c407"/>
                <w:id w:val="-1256598072"/>
                <w:lock w:val="sdtLocked"/>
              </w:sdtPr>
              <w:sdtContent>
                <w:tc>
                  <w:tcPr>
                    <w:tcW w:w="1610" w:type="pct"/>
                  </w:tcPr>
                  <w:p w:rsidR="007B4468" w:rsidRDefault="007B4468" w:rsidP="00AA173A">
                    <w:pPr>
                      <w:autoSpaceDE w:val="0"/>
                      <w:autoSpaceDN w:val="0"/>
                      <w:adjustRightInd w:val="0"/>
                      <w:snapToGrid w:val="0"/>
                      <w:jc w:val="center"/>
                      <w:rPr>
                        <w:szCs w:val="21"/>
                      </w:rPr>
                    </w:pPr>
                    <w:r>
                      <w:rPr>
                        <w:rFonts w:hint="eastAsia"/>
                      </w:rPr>
                      <w:t>本期发生额</w:t>
                    </w:r>
                  </w:p>
                </w:tc>
              </w:sdtContent>
            </w:sdt>
            <w:sdt>
              <w:sdtPr>
                <w:tag w:val="_PLD_aa071ffac82040379300e6f5150e4ff7"/>
                <w:id w:val="-1197935494"/>
                <w:lock w:val="sdtLocked"/>
              </w:sdtPr>
              <w:sdtContent>
                <w:tc>
                  <w:tcPr>
                    <w:tcW w:w="1508" w:type="pct"/>
                  </w:tcPr>
                  <w:p w:rsidR="007B4468" w:rsidRDefault="007B4468" w:rsidP="00AA173A">
                    <w:pPr>
                      <w:autoSpaceDE w:val="0"/>
                      <w:autoSpaceDN w:val="0"/>
                      <w:adjustRightInd w:val="0"/>
                      <w:snapToGrid w:val="0"/>
                      <w:jc w:val="center"/>
                      <w:rPr>
                        <w:szCs w:val="21"/>
                      </w:rPr>
                    </w:pPr>
                    <w:r>
                      <w:rPr>
                        <w:rFonts w:hint="eastAsia"/>
                      </w:rPr>
                      <w:t>上期发生额</w:t>
                    </w:r>
                  </w:p>
                </w:tc>
              </w:sdtContent>
            </w:sdt>
          </w:tr>
          <w:sdt>
            <w:sdtPr>
              <w:rPr>
                <w:rFonts w:hint="eastAsia"/>
                <w:szCs w:val="21"/>
              </w:rPr>
              <w:alias w:val="收到的其他与筹资活动有关的现金明细"/>
              <w:tag w:val="_TUP_afb02f29341a473a8c5477beb6ba2747"/>
              <w:id w:val="1555737210"/>
              <w:lock w:val="sdtLocked"/>
            </w:sdtPr>
            <w:sdtContent>
              <w:tr w:rsidR="007B4468" w:rsidTr="00AA173A">
                <w:tc>
                  <w:tcPr>
                    <w:tcW w:w="1882" w:type="pct"/>
                  </w:tcPr>
                  <w:p w:rsidR="007B4468" w:rsidRDefault="007B4468" w:rsidP="00AA173A">
                    <w:pPr>
                      <w:autoSpaceDE w:val="0"/>
                      <w:autoSpaceDN w:val="0"/>
                      <w:adjustRightInd w:val="0"/>
                      <w:snapToGrid w:val="0"/>
                      <w:rPr>
                        <w:szCs w:val="21"/>
                      </w:rPr>
                    </w:pPr>
                    <w:r w:rsidRPr="007B4468">
                      <w:rPr>
                        <w:rFonts w:hint="eastAsia"/>
                      </w:rPr>
                      <w:t>收到的代管资金净额</w:t>
                    </w:r>
                  </w:p>
                </w:tc>
                <w:tc>
                  <w:tcPr>
                    <w:tcW w:w="1610" w:type="pct"/>
                    <w:vAlign w:val="bottom"/>
                  </w:tcPr>
                  <w:p w:rsidR="007B4468" w:rsidRDefault="007B4468" w:rsidP="00AA173A">
                    <w:pPr>
                      <w:jc w:val="right"/>
                      <w:rPr>
                        <w:szCs w:val="21"/>
                      </w:rPr>
                    </w:pPr>
                    <w:r>
                      <w:t>27,529,214</w:t>
                    </w:r>
                  </w:p>
                </w:tc>
                <w:tc>
                  <w:tcPr>
                    <w:tcW w:w="1508" w:type="pct"/>
                  </w:tcPr>
                  <w:p w:rsidR="007B4468" w:rsidRDefault="007B4468" w:rsidP="00AA173A">
                    <w:pPr>
                      <w:jc w:val="right"/>
                      <w:rPr>
                        <w:szCs w:val="21"/>
                      </w:rPr>
                    </w:pPr>
                    <w:r>
                      <w:t>0</w:t>
                    </w:r>
                  </w:p>
                </w:tc>
              </w:tr>
            </w:sdtContent>
          </w:sdt>
          <w:tr w:rsidR="007B4468" w:rsidTr="00AA173A">
            <w:sdt>
              <w:sdtPr>
                <w:tag w:val="_PLD_7907c6798e0d4fb4a413e0875400dc4a"/>
                <w:id w:val="-576899272"/>
                <w:lock w:val="sdtLocked"/>
              </w:sdtPr>
              <w:sdtContent>
                <w:tc>
                  <w:tcPr>
                    <w:tcW w:w="1882" w:type="pct"/>
                  </w:tcPr>
                  <w:p w:rsidR="007B4468" w:rsidRDefault="007B4468" w:rsidP="00AA173A">
                    <w:pPr>
                      <w:autoSpaceDE w:val="0"/>
                      <w:autoSpaceDN w:val="0"/>
                      <w:adjustRightInd w:val="0"/>
                      <w:snapToGrid w:val="0"/>
                      <w:jc w:val="center"/>
                      <w:rPr>
                        <w:szCs w:val="21"/>
                      </w:rPr>
                    </w:pPr>
                    <w:r>
                      <w:rPr>
                        <w:rFonts w:hint="eastAsia"/>
                        <w:szCs w:val="21"/>
                      </w:rPr>
                      <w:t>合计</w:t>
                    </w:r>
                  </w:p>
                </w:tc>
              </w:sdtContent>
            </w:sdt>
            <w:tc>
              <w:tcPr>
                <w:tcW w:w="1610" w:type="pct"/>
                <w:vAlign w:val="center"/>
              </w:tcPr>
              <w:p w:rsidR="007B4468" w:rsidRDefault="007B4468" w:rsidP="00AA173A">
                <w:pPr>
                  <w:jc w:val="right"/>
                  <w:rPr>
                    <w:szCs w:val="21"/>
                  </w:rPr>
                </w:pPr>
                <w:r>
                  <w:t>27,529,214</w:t>
                </w:r>
              </w:p>
            </w:tc>
            <w:tc>
              <w:tcPr>
                <w:tcW w:w="1508" w:type="pct"/>
                <w:vAlign w:val="center"/>
              </w:tcPr>
              <w:p w:rsidR="007B4468" w:rsidRDefault="007B4468" w:rsidP="00AA173A">
                <w:pPr>
                  <w:jc w:val="right"/>
                  <w:rPr>
                    <w:szCs w:val="21"/>
                  </w:rPr>
                </w:pPr>
                <w:r>
                  <w:t>0</w:t>
                </w:r>
              </w:p>
            </w:tc>
          </w:tr>
        </w:tbl>
        <w:p w:rsidR="007B4468" w:rsidRDefault="007B4468" w:rsidP="00870214">
          <w:pPr>
            <w:spacing w:before="60" w:after="60"/>
            <w:rPr>
              <w:szCs w:val="21"/>
            </w:rPr>
          </w:pPr>
          <w:r>
            <w:rPr>
              <w:rFonts w:hint="eastAsia"/>
              <w:szCs w:val="21"/>
            </w:rPr>
            <w:t>收到的其他与筹资活动有关的现金说明：</w:t>
          </w:r>
        </w:p>
        <w:p w:rsidR="007B4468" w:rsidRDefault="00F80B6C" w:rsidP="00870214">
          <w:sdt>
            <w:sdtPr>
              <w:rPr>
                <w:rFonts w:hint="eastAsia"/>
                <w:szCs w:val="21"/>
              </w:rPr>
              <w:alias w:val="收到的其他与筹资活动有关的现金说明"/>
              <w:tag w:val="_GBC_d2ec2a0599ab42678694df6c15643c4d"/>
              <w:id w:val="1408102304"/>
              <w:lock w:val="sdtLocked"/>
            </w:sdtPr>
            <w:sdtEndPr>
              <w:rPr>
                <w:szCs w:val="24"/>
              </w:rPr>
            </w:sdtEndPr>
            <w:sdtContent>
              <w:r w:rsidR="007B4468">
                <w:rPr>
                  <w:rFonts w:hint="eastAsia"/>
                  <w:szCs w:val="21"/>
                </w:rPr>
                <w:t>无</w:t>
              </w:r>
            </w:sdtContent>
          </w:sdt>
        </w:p>
        <w:p w:rsidR="00806678" w:rsidRDefault="00F80B6C"/>
      </w:sdtContent>
    </w:sdt>
    <w:sdt>
      <w:sdtPr>
        <w:rPr>
          <w:rFonts w:ascii="宋体" w:eastAsia="宋体" w:hAnsi="宋体" w:cs="宋体" w:hint="eastAsia"/>
          <w:b w:val="0"/>
          <w:bCs w:val="0"/>
          <w:kern w:val="0"/>
          <w:sz w:val="24"/>
          <w:szCs w:val="22"/>
        </w:rPr>
        <w:alias w:val="模块:支付的其他与筹资活动有关的现金"/>
        <w:tag w:val="_SEC_7f5832ab98b14401b69843c0f895b85e"/>
        <w:id w:val="1286161662"/>
        <w:lock w:val="sdtLocked"/>
        <w:placeholder>
          <w:docPart w:val="GBC22222222222222222222222222222"/>
        </w:placeholder>
      </w:sdtPr>
      <w:sdtEndPr>
        <w:rPr>
          <w:rFonts w:asciiTheme="minorHAnsi" w:hAnsiTheme="minorHAnsi" w:cstheme="minorBidi"/>
          <w:kern w:val="2"/>
          <w:sz w:val="21"/>
        </w:rPr>
      </w:sdtEndPr>
      <w:sdtContent>
        <w:p w:rsidR="00806678" w:rsidRDefault="00B16377" w:rsidP="00FF17C7">
          <w:pPr>
            <w:pStyle w:val="4"/>
            <w:numPr>
              <w:ilvl w:val="0"/>
              <w:numId w:val="101"/>
            </w:numPr>
            <w:ind w:left="426" w:hanging="426"/>
          </w:pPr>
          <w:r>
            <w:rPr>
              <w:rFonts w:hint="eastAsia"/>
            </w:rPr>
            <w:t>支付的其他与筹资活动有关的现金</w:t>
          </w:r>
        </w:p>
        <w:sdt>
          <w:sdtPr>
            <w:alias w:val="是否适用：支付的其他与筹资活动有关的现金[双击切换]"/>
            <w:tag w:val="_GBC_fcc0d0c43a2d4fa88ca685f3e36f2f40"/>
            <w:id w:val="-770698626"/>
            <w:lock w:val="sdtLocked"/>
            <w:placeholder>
              <w:docPart w:val="GBC22222222222222222222222222222"/>
            </w:placeholder>
          </w:sdtPr>
          <w:sdtContent>
            <w:p w:rsidR="0066317E" w:rsidRDefault="00F80B6C" w:rsidP="0066317E">
              <w:r>
                <w:fldChar w:fldCharType="begin"/>
              </w:r>
              <w:r w:rsidR="0066317E">
                <w:instrText xml:space="preserve">MACROBUTTON  SnrToggleCheckbox √适用 </w:instrText>
              </w:r>
              <w:r>
                <w:fldChar w:fldCharType="end"/>
              </w:r>
              <w:r>
                <w:fldChar w:fldCharType="begin"/>
              </w:r>
              <w:r w:rsidR="0066317E">
                <w:instrText xml:space="preserve"> MACROBUTTON  SnrToggleCheckbox □不适用 </w:instrText>
              </w:r>
              <w:r>
                <w:fldChar w:fldCharType="end"/>
              </w:r>
            </w:p>
          </w:sdtContent>
        </w:sdt>
        <w:p w:rsidR="0066317E" w:rsidRDefault="0066317E" w:rsidP="00DB008B">
          <w:pPr>
            <w:jc w:val="right"/>
            <w:rPr>
              <w:szCs w:val="21"/>
            </w:rPr>
          </w:pPr>
          <w:r>
            <w:rPr>
              <w:rFonts w:hint="eastAsia"/>
              <w:szCs w:val="21"/>
            </w:rPr>
            <w:t>单位：</w:t>
          </w:r>
          <w:sdt>
            <w:sdtPr>
              <w:rPr>
                <w:rFonts w:hint="eastAsia"/>
                <w:szCs w:val="21"/>
              </w:rPr>
              <w:alias w:val="单位：财务附注：支付的其他与筹资活动有关的现金"/>
              <w:tag w:val="_GBC_f301b3c53ede43608ccf55c09ef288e7"/>
              <w:id w:val="595986551"/>
              <w:lock w:val="sdtLocked"/>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支付的其他与筹资活动有关的现金"/>
              <w:tag w:val="_GBC_462cc25e34014e2cb61c7b4f9232d7e5"/>
              <w:id w:val="-186534053"/>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3410"/>
            <w:gridCol w:w="2917"/>
            <w:gridCol w:w="2732"/>
          </w:tblGrid>
          <w:tr w:rsidR="0066317E" w:rsidTr="00DB008B">
            <w:sdt>
              <w:sdtPr>
                <w:tag w:val="_PLD_e2db8e0335cc47fe9b6461eeb2befa7e"/>
                <w:id w:val="-1359191613"/>
                <w:lock w:val="sdtLocked"/>
              </w:sdtPr>
              <w:sdtContent>
                <w:tc>
                  <w:tcPr>
                    <w:tcW w:w="1882" w:type="pct"/>
                  </w:tcPr>
                  <w:p w:rsidR="0066317E" w:rsidRDefault="0066317E" w:rsidP="00DB008B">
                    <w:pPr>
                      <w:autoSpaceDE w:val="0"/>
                      <w:autoSpaceDN w:val="0"/>
                      <w:adjustRightInd w:val="0"/>
                      <w:snapToGrid w:val="0"/>
                      <w:jc w:val="center"/>
                    </w:pPr>
                    <w:r>
                      <w:rPr>
                        <w:rFonts w:hint="eastAsia"/>
                      </w:rPr>
                      <w:t>项目</w:t>
                    </w:r>
                  </w:p>
                </w:tc>
              </w:sdtContent>
            </w:sdt>
            <w:sdt>
              <w:sdtPr>
                <w:tag w:val="_PLD_bb4a54a8a5be4a6691e4d59483217c64"/>
                <w:id w:val="-815109205"/>
                <w:lock w:val="sdtLocked"/>
              </w:sdtPr>
              <w:sdtContent>
                <w:tc>
                  <w:tcPr>
                    <w:tcW w:w="1610" w:type="pct"/>
                  </w:tcPr>
                  <w:p w:rsidR="0066317E" w:rsidRDefault="0066317E" w:rsidP="00DB008B">
                    <w:pPr>
                      <w:autoSpaceDE w:val="0"/>
                      <w:autoSpaceDN w:val="0"/>
                      <w:adjustRightInd w:val="0"/>
                      <w:snapToGrid w:val="0"/>
                      <w:jc w:val="center"/>
                    </w:pPr>
                    <w:r>
                      <w:rPr>
                        <w:rFonts w:hint="eastAsia"/>
                      </w:rPr>
                      <w:t>本期发生额</w:t>
                    </w:r>
                  </w:p>
                </w:tc>
              </w:sdtContent>
            </w:sdt>
            <w:sdt>
              <w:sdtPr>
                <w:tag w:val="_PLD_a4930447bc4d450faf79f923eef8597b"/>
                <w:id w:val="-437370093"/>
                <w:lock w:val="sdtLocked"/>
              </w:sdtPr>
              <w:sdtContent>
                <w:tc>
                  <w:tcPr>
                    <w:tcW w:w="1508" w:type="pct"/>
                  </w:tcPr>
                  <w:p w:rsidR="0066317E" w:rsidRDefault="0066317E" w:rsidP="00DB008B">
                    <w:pPr>
                      <w:autoSpaceDE w:val="0"/>
                      <w:autoSpaceDN w:val="0"/>
                      <w:adjustRightInd w:val="0"/>
                      <w:snapToGrid w:val="0"/>
                      <w:jc w:val="center"/>
                    </w:pPr>
                    <w:r>
                      <w:rPr>
                        <w:rFonts w:hint="eastAsia"/>
                      </w:rPr>
                      <w:t>上期发生额</w:t>
                    </w:r>
                  </w:p>
                </w:tc>
              </w:sdtContent>
            </w:sdt>
          </w:tr>
          <w:sdt>
            <w:sdtPr>
              <w:rPr>
                <w:rFonts w:hint="eastAsia"/>
              </w:rPr>
              <w:alias w:val="支付的其他与筹资活动有关的现金明细"/>
              <w:tag w:val="_TUP_e54614051bfb48d8ab0e47a024ba7e91"/>
              <w:id w:val="1912499733"/>
              <w:lock w:val="sdtLocked"/>
            </w:sdtPr>
            <w:sdtContent>
              <w:tr w:rsidR="0066317E" w:rsidTr="00DB008B">
                <w:tc>
                  <w:tcPr>
                    <w:tcW w:w="1882" w:type="pct"/>
                  </w:tcPr>
                  <w:p w:rsidR="0066317E" w:rsidRDefault="0066317E" w:rsidP="00DB008B">
                    <w:pPr>
                      <w:autoSpaceDE w:val="0"/>
                      <w:autoSpaceDN w:val="0"/>
                      <w:adjustRightInd w:val="0"/>
                      <w:snapToGrid w:val="0"/>
                    </w:pPr>
                    <w:r>
                      <w:t>支付的代管资金净额</w:t>
                    </w:r>
                  </w:p>
                </w:tc>
                <w:tc>
                  <w:tcPr>
                    <w:tcW w:w="1610" w:type="pct"/>
                    <w:vAlign w:val="bottom"/>
                  </w:tcPr>
                  <w:p w:rsidR="0066317E" w:rsidRDefault="0066317E" w:rsidP="00DB008B">
                    <w:pPr>
                      <w:jc w:val="right"/>
                    </w:pPr>
                    <w:r>
                      <w:t>0</w:t>
                    </w:r>
                  </w:p>
                </w:tc>
                <w:tc>
                  <w:tcPr>
                    <w:tcW w:w="1508" w:type="pct"/>
                  </w:tcPr>
                  <w:p w:rsidR="0066317E" w:rsidRDefault="0066317E" w:rsidP="00DB008B">
                    <w:pPr>
                      <w:jc w:val="right"/>
                    </w:pPr>
                    <w:r>
                      <w:t>59,968,022</w:t>
                    </w:r>
                  </w:p>
                </w:tc>
              </w:tr>
            </w:sdtContent>
          </w:sdt>
          <w:sdt>
            <w:sdtPr>
              <w:rPr>
                <w:rFonts w:hint="eastAsia"/>
              </w:rPr>
              <w:alias w:val="支付的其他与筹资活动有关的现金明细"/>
              <w:tag w:val="_TUP_e54614051bfb48d8ab0e47a024ba7e91"/>
              <w:id w:val="1979030718"/>
              <w:lock w:val="sdtLocked"/>
            </w:sdtPr>
            <w:sdtContent>
              <w:tr w:rsidR="0066317E" w:rsidTr="00DB008B">
                <w:tc>
                  <w:tcPr>
                    <w:tcW w:w="1882" w:type="pct"/>
                  </w:tcPr>
                  <w:p w:rsidR="0066317E" w:rsidRDefault="0066317E" w:rsidP="00DB008B">
                    <w:pPr>
                      <w:autoSpaceDE w:val="0"/>
                      <w:autoSpaceDN w:val="0"/>
                      <w:adjustRightInd w:val="0"/>
                      <w:snapToGrid w:val="0"/>
                    </w:pPr>
                    <w:r>
                      <w:t>偿还租赁负债本金和利息</w:t>
                    </w:r>
                  </w:p>
                </w:tc>
                <w:tc>
                  <w:tcPr>
                    <w:tcW w:w="1610" w:type="pct"/>
                    <w:vAlign w:val="bottom"/>
                  </w:tcPr>
                  <w:p w:rsidR="0066317E" w:rsidRDefault="0066317E" w:rsidP="00DB008B">
                    <w:pPr>
                      <w:jc w:val="right"/>
                    </w:pPr>
                    <w:r>
                      <w:t>136,713,841</w:t>
                    </w:r>
                  </w:p>
                </w:tc>
                <w:tc>
                  <w:tcPr>
                    <w:tcW w:w="1508" w:type="pct"/>
                  </w:tcPr>
                  <w:p w:rsidR="0066317E" w:rsidRDefault="0066317E" w:rsidP="00DB008B">
                    <w:pPr>
                      <w:jc w:val="right"/>
                    </w:pPr>
                    <w:r>
                      <w:t>135,525,696</w:t>
                    </w:r>
                  </w:p>
                </w:tc>
              </w:tr>
            </w:sdtContent>
          </w:sdt>
          <w:sdt>
            <w:sdtPr>
              <w:rPr>
                <w:rFonts w:hint="eastAsia"/>
              </w:rPr>
              <w:alias w:val="支付的其他与筹资活动有关的现金明细"/>
              <w:tag w:val="_TUP_e54614051bfb48d8ab0e47a024ba7e91"/>
              <w:id w:val="2009482365"/>
              <w:lock w:val="sdtLocked"/>
            </w:sdtPr>
            <w:sdtContent>
              <w:tr w:rsidR="0066317E" w:rsidTr="00DB008B">
                <w:tc>
                  <w:tcPr>
                    <w:tcW w:w="1882" w:type="pct"/>
                  </w:tcPr>
                  <w:p w:rsidR="0066317E" w:rsidRDefault="0066317E" w:rsidP="00DB008B">
                    <w:pPr>
                      <w:autoSpaceDE w:val="0"/>
                      <w:autoSpaceDN w:val="0"/>
                      <w:adjustRightInd w:val="0"/>
                      <w:snapToGrid w:val="0"/>
                    </w:pPr>
                    <w:r>
                      <w:t>子公司注销支付少数股东清算款</w:t>
                    </w:r>
                  </w:p>
                </w:tc>
                <w:tc>
                  <w:tcPr>
                    <w:tcW w:w="1610" w:type="pct"/>
                    <w:vAlign w:val="bottom"/>
                  </w:tcPr>
                  <w:p w:rsidR="0066317E" w:rsidRDefault="0066317E" w:rsidP="00DB008B">
                    <w:pPr>
                      <w:jc w:val="right"/>
                    </w:pPr>
                    <w:r>
                      <w:t>0</w:t>
                    </w:r>
                  </w:p>
                </w:tc>
                <w:tc>
                  <w:tcPr>
                    <w:tcW w:w="1508" w:type="pct"/>
                  </w:tcPr>
                  <w:p w:rsidR="0066317E" w:rsidRDefault="0066317E" w:rsidP="00DB008B">
                    <w:pPr>
                      <w:jc w:val="right"/>
                    </w:pPr>
                    <w:r>
                      <w:t>141,433,175</w:t>
                    </w:r>
                  </w:p>
                </w:tc>
              </w:tr>
            </w:sdtContent>
          </w:sdt>
          <w:sdt>
            <w:sdtPr>
              <w:rPr>
                <w:rFonts w:hint="eastAsia"/>
              </w:rPr>
              <w:alias w:val="支付的其他与筹资活动有关的现金明细"/>
              <w:tag w:val="_TUP_e54614051bfb48d8ab0e47a024ba7e91"/>
              <w:id w:val="-874076918"/>
              <w:lock w:val="sdtLocked"/>
            </w:sdtPr>
            <w:sdtContent>
              <w:tr w:rsidR="0066317E" w:rsidTr="00DB008B">
                <w:tc>
                  <w:tcPr>
                    <w:tcW w:w="1882" w:type="pct"/>
                  </w:tcPr>
                  <w:p w:rsidR="0066317E" w:rsidRDefault="0066317E" w:rsidP="00DB008B">
                    <w:pPr>
                      <w:autoSpaceDE w:val="0"/>
                      <w:autoSpaceDN w:val="0"/>
                      <w:adjustRightInd w:val="0"/>
                      <w:snapToGrid w:val="0"/>
                    </w:pPr>
                    <w:r>
                      <w:t>其他</w:t>
                    </w:r>
                  </w:p>
                </w:tc>
                <w:tc>
                  <w:tcPr>
                    <w:tcW w:w="1610" w:type="pct"/>
                    <w:vAlign w:val="bottom"/>
                  </w:tcPr>
                  <w:p w:rsidR="0066317E" w:rsidRDefault="0066317E" w:rsidP="00DB008B">
                    <w:pPr>
                      <w:jc w:val="right"/>
                    </w:pPr>
                    <w:r>
                      <w:t>4,432,716</w:t>
                    </w:r>
                  </w:p>
                </w:tc>
                <w:tc>
                  <w:tcPr>
                    <w:tcW w:w="1508" w:type="pct"/>
                  </w:tcPr>
                  <w:p w:rsidR="0066317E" w:rsidRDefault="0066317E" w:rsidP="00DB008B">
                    <w:pPr>
                      <w:jc w:val="right"/>
                    </w:pPr>
                    <w:r>
                      <w:t>1,096,248</w:t>
                    </w:r>
                  </w:p>
                </w:tc>
              </w:tr>
            </w:sdtContent>
          </w:sdt>
          <w:tr w:rsidR="0066317E" w:rsidTr="00DB008B">
            <w:sdt>
              <w:sdtPr>
                <w:tag w:val="_PLD_003a6c5e92bb42f68cfc8065cc0deba9"/>
                <w:id w:val="-961570803"/>
                <w:lock w:val="sdtLocked"/>
              </w:sdtPr>
              <w:sdtContent>
                <w:tc>
                  <w:tcPr>
                    <w:tcW w:w="1882" w:type="pct"/>
                  </w:tcPr>
                  <w:p w:rsidR="0066317E" w:rsidRDefault="0066317E" w:rsidP="0066317E">
                    <w:pPr>
                      <w:autoSpaceDE w:val="0"/>
                      <w:autoSpaceDN w:val="0"/>
                      <w:adjustRightInd w:val="0"/>
                      <w:snapToGrid w:val="0"/>
                      <w:jc w:val="center"/>
                    </w:pPr>
                    <w:r>
                      <w:rPr>
                        <w:rFonts w:hint="eastAsia"/>
                      </w:rPr>
                      <w:t>合计</w:t>
                    </w:r>
                  </w:p>
                </w:tc>
              </w:sdtContent>
            </w:sdt>
            <w:tc>
              <w:tcPr>
                <w:tcW w:w="1610" w:type="pct"/>
                <w:vAlign w:val="center"/>
              </w:tcPr>
              <w:p w:rsidR="0066317E" w:rsidRDefault="0066317E" w:rsidP="0066317E">
                <w:pPr>
                  <w:jc w:val="right"/>
                </w:pPr>
                <w:r>
                  <w:t>141,146,557</w:t>
                </w:r>
              </w:p>
            </w:tc>
            <w:tc>
              <w:tcPr>
                <w:tcW w:w="1508" w:type="pct"/>
                <w:vAlign w:val="center"/>
              </w:tcPr>
              <w:p w:rsidR="0066317E" w:rsidRDefault="0066317E" w:rsidP="0066317E">
                <w:pPr>
                  <w:jc w:val="right"/>
                </w:pPr>
                <w:r>
                  <w:t>338,023,141</w:t>
                </w:r>
              </w:p>
            </w:tc>
          </w:tr>
        </w:tbl>
        <w:p w:rsidR="0066317E" w:rsidRDefault="0066317E" w:rsidP="00DB008B">
          <w:pPr>
            <w:spacing w:before="60" w:after="60"/>
          </w:pPr>
          <w:r>
            <w:rPr>
              <w:rFonts w:hint="eastAsia"/>
            </w:rPr>
            <w:t>支付的其他与筹资活动有关的现金说明：</w:t>
          </w:r>
        </w:p>
        <w:p w:rsidR="0066317E" w:rsidRDefault="00F80B6C" w:rsidP="00DB008B">
          <w:sdt>
            <w:sdtPr>
              <w:rPr>
                <w:rFonts w:hint="eastAsia"/>
              </w:rPr>
              <w:alias w:val="支付的其他与筹资活动有关的现金说明"/>
              <w:tag w:val="_GBC_1701b304ff9b4fe296ba35640eccbe16"/>
              <w:id w:val="-1744017052"/>
              <w:lock w:val="sdtLocked"/>
            </w:sdtPr>
            <w:sdtContent>
              <w:r w:rsidR="00B75F7F">
                <w:rPr>
                  <w:rFonts w:hint="eastAsia"/>
                </w:rPr>
                <w:t>无</w:t>
              </w:r>
            </w:sdtContent>
          </w:sdt>
        </w:p>
        <w:p w:rsidR="00806678" w:rsidRPr="00C01624" w:rsidRDefault="00F80B6C">
          <w:pPr>
            <w:ind w:right="5"/>
            <w:rPr>
              <w:rFonts w:asciiTheme="minorHAnsi" w:hAnsiTheme="minorHAnsi" w:cstheme="minorBidi"/>
              <w:kern w:val="2"/>
              <w:szCs w:val="22"/>
            </w:rPr>
          </w:pPr>
        </w:p>
      </w:sdtContent>
    </w:sdt>
    <w:p w:rsidR="00806678" w:rsidRDefault="00B16377" w:rsidP="00FF17C7">
      <w:pPr>
        <w:pStyle w:val="3"/>
        <w:numPr>
          <w:ilvl w:val="0"/>
          <w:numId w:val="18"/>
        </w:numPr>
        <w:tabs>
          <w:tab w:val="left" w:pos="504"/>
        </w:tabs>
      </w:pPr>
      <w:r>
        <w:rPr>
          <w:rFonts w:hint="eastAsia"/>
        </w:rPr>
        <w:t>现金流量表</w:t>
      </w:r>
      <w:r>
        <w:rPr>
          <w:rFonts w:ascii="宋体" w:hAnsi="宋体" w:hint="eastAsia"/>
          <w:szCs w:val="21"/>
        </w:rPr>
        <w:t>补充</w:t>
      </w:r>
      <w:r>
        <w:rPr>
          <w:rFonts w:hint="eastAsia"/>
        </w:rPr>
        <w:t>资料</w:t>
      </w:r>
    </w:p>
    <w:sdt>
      <w:sdtPr>
        <w:rPr>
          <w:rFonts w:ascii="宋体" w:eastAsia="宋体" w:hAnsi="宋体" w:cs="宋体" w:hint="eastAsia"/>
          <w:b w:val="0"/>
          <w:bCs w:val="0"/>
          <w:kern w:val="0"/>
          <w:szCs w:val="24"/>
        </w:rPr>
        <w:alias w:val="模块:现金流量表补充资料"/>
        <w:tag w:val="_SEC_f8be5b6afa1a4e6a83d098555e296b4b"/>
        <w:id w:val="-2103168843"/>
        <w:lock w:val="sdtLocked"/>
        <w:placeholder>
          <w:docPart w:val="GBC22222222222222222222222222222"/>
        </w:placeholder>
      </w:sdtPr>
      <w:sdtContent>
        <w:p w:rsidR="00806678" w:rsidRDefault="00B16377" w:rsidP="00FF17C7">
          <w:pPr>
            <w:pStyle w:val="4"/>
            <w:numPr>
              <w:ilvl w:val="0"/>
              <w:numId w:val="102"/>
            </w:numPr>
            <w:ind w:left="426" w:hanging="426"/>
          </w:pPr>
          <w:r>
            <w:rPr>
              <w:rFonts w:hint="eastAsia"/>
            </w:rPr>
            <w:t>现金流量表补充资料</w:t>
          </w:r>
        </w:p>
        <w:sdt>
          <w:sdtPr>
            <w:rPr>
              <w:rFonts w:hint="eastAsia"/>
            </w:rPr>
            <w:alias w:val="是否适用：现金流量表补充资料[双击切换]"/>
            <w:tag w:val="_GBC_f77ea662869c431fa9c3cd98fccb529c"/>
            <w:id w:val="1493765339"/>
            <w:lock w:val="sdtLocked"/>
            <w:placeholder>
              <w:docPart w:val="GBC22222222222222222222222222222"/>
            </w:placeholder>
          </w:sdtPr>
          <w:sdtContent>
            <w:p w:rsidR="00806678" w:rsidRDefault="00F80B6C">
              <w:r>
                <w:fldChar w:fldCharType="begin"/>
              </w:r>
              <w:r w:rsidR="009C54D9">
                <w:instrText xml:space="preserve"> MACROBUTTON  SnrToggleCheckbox √适用  </w:instrText>
              </w:r>
              <w:r>
                <w:fldChar w:fldCharType="end"/>
              </w:r>
              <w:r>
                <w:fldChar w:fldCharType="begin"/>
              </w:r>
              <w:r w:rsidR="009C54D9">
                <w:instrText xml:space="preserve"> MACROBUTTON  SnrToggleCheckbox □不适用 </w:instrText>
              </w:r>
              <w:r>
                <w:fldChar w:fldCharType="end"/>
              </w:r>
            </w:p>
          </w:sdtContent>
        </w:sdt>
        <w:p w:rsidR="00806678" w:rsidRDefault="00B16377">
          <w:pPr>
            <w:jc w:val="right"/>
          </w:pPr>
          <w:r>
            <w:rPr>
              <w:rFonts w:hint="eastAsia"/>
            </w:rPr>
            <w:t>单位：</w:t>
          </w:r>
          <w:sdt>
            <w:sdtPr>
              <w:rPr>
                <w:rFonts w:hint="eastAsia"/>
              </w:rPr>
              <w:alias w:val="单位：财务附注：现金流量表补充资料"/>
              <w:tag w:val="_GBC_816fc4f2c97b4b12911114202247ee82"/>
              <w:id w:val="-66038619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现金流量表补充资料"/>
              <w:tag w:val="_GBC_d5067beb6bda4f61b5520807661734bf"/>
              <w:id w:val="148064935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482"/>
            <w:gridCol w:w="2800"/>
            <w:gridCol w:w="2767"/>
          </w:tblGrid>
          <w:tr w:rsidR="00806678" w:rsidTr="0091107D">
            <w:sdt>
              <w:sdtPr>
                <w:tag w:val="_PLD_39bfd38318b44efe9fa609ad19a8685a"/>
                <w:id w:val="-114141381"/>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vAlign w:val="center"/>
                  </w:tcPr>
                  <w:p w:rsidR="00806678" w:rsidRDefault="00B16377">
                    <w:pPr>
                      <w:jc w:val="center"/>
                      <w:rPr>
                        <w:bCs/>
                      </w:rPr>
                    </w:pPr>
                    <w:r>
                      <w:rPr>
                        <w:rFonts w:hint="eastAsia"/>
                        <w:bCs/>
                      </w:rPr>
                      <w:t>补充资料</w:t>
                    </w:r>
                  </w:p>
                </w:tc>
              </w:sdtContent>
            </w:sdt>
            <w:sdt>
              <w:sdtPr>
                <w:tag w:val="_PLD_8ef3863737f6403496cc160c411b0b03"/>
                <w:id w:val="-1004974701"/>
                <w:lock w:val="sdtLocked"/>
              </w:sdtPr>
              <w:sdtContent>
                <w:tc>
                  <w:tcPr>
                    <w:tcW w:w="1547" w:type="pct"/>
                    <w:tcBorders>
                      <w:top w:val="single" w:sz="4" w:space="0" w:color="auto"/>
                      <w:left w:val="single" w:sz="4" w:space="0" w:color="auto"/>
                      <w:bottom w:val="single" w:sz="4" w:space="0" w:color="auto"/>
                      <w:right w:val="single" w:sz="4" w:space="0" w:color="auto"/>
                    </w:tcBorders>
                    <w:shd w:val="clear" w:color="auto" w:fill="auto"/>
                    <w:vAlign w:val="center"/>
                  </w:tcPr>
                  <w:p w:rsidR="00806678" w:rsidRDefault="00B16377">
                    <w:pPr>
                      <w:jc w:val="center"/>
                    </w:pPr>
                    <w:r>
                      <w:rPr>
                        <w:rFonts w:hint="eastAsia"/>
                      </w:rPr>
                      <w:t>本期金额</w:t>
                    </w:r>
                  </w:p>
                </w:tc>
              </w:sdtContent>
            </w:sdt>
            <w:sdt>
              <w:sdtPr>
                <w:tag w:val="_PLD_73eb01f791e44a84b1edbc96aa42b3f3"/>
                <w:id w:val="1535771648"/>
                <w:lock w:val="sdtLocked"/>
              </w:sdtPr>
              <w:sdtContent>
                <w:tc>
                  <w:tcPr>
                    <w:tcW w:w="1529" w:type="pct"/>
                    <w:tcBorders>
                      <w:top w:val="single" w:sz="4" w:space="0" w:color="auto"/>
                      <w:left w:val="single" w:sz="4" w:space="0" w:color="auto"/>
                      <w:bottom w:val="single" w:sz="4" w:space="0" w:color="auto"/>
                      <w:right w:val="single" w:sz="4" w:space="0" w:color="auto"/>
                    </w:tcBorders>
                    <w:shd w:val="clear" w:color="auto" w:fill="auto"/>
                    <w:vAlign w:val="center"/>
                  </w:tcPr>
                  <w:p w:rsidR="00806678" w:rsidRDefault="00B16377">
                    <w:pPr>
                      <w:jc w:val="center"/>
                    </w:pPr>
                    <w:r>
                      <w:rPr>
                        <w:rFonts w:hint="eastAsia"/>
                      </w:rPr>
                      <w:t>上期金额</w:t>
                    </w:r>
                  </w:p>
                </w:tc>
              </w:sdtContent>
            </w:sdt>
          </w:tr>
          <w:tr w:rsidR="00806678" w:rsidTr="00775137">
            <w:sdt>
              <w:sdtPr>
                <w:tag w:val="_PLD_c6db035658bd4a67bcf46ade47da315d"/>
                <w:id w:val="-920019555"/>
                <w:lock w:val="sdtLocked"/>
              </w:sdtPr>
              <w:sdtContent>
                <w:tc>
                  <w:tcPr>
                    <w:tcW w:w="5000" w:type="pct"/>
                    <w:gridSpan w:val="3"/>
                    <w:tcBorders>
                      <w:top w:val="single" w:sz="4" w:space="0" w:color="auto"/>
                      <w:left w:val="single" w:sz="4" w:space="0" w:color="auto"/>
                      <w:bottom w:val="single" w:sz="4" w:space="0" w:color="auto"/>
                      <w:right w:val="outset" w:sz="4" w:space="0" w:color="auto"/>
                    </w:tcBorders>
                    <w:shd w:val="clear" w:color="auto" w:fill="auto"/>
                  </w:tcPr>
                  <w:p w:rsidR="00806678" w:rsidRDefault="00B16377">
                    <w:pPr>
                      <w:jc w:val="both"/>
                      <w:rPr>
                        <w:b/>
                      </w:rPr>
                    </w:pPr>
                    <w:r>
                      <w:rPr>
                        <w:b/>
                        <w:bCs/>
                      </w:rPr>
                      <w:t>1</w:t>
                    </w:r>
                    <w:r>
                      <w:rPr>
                        <w:rFonts w:hint="eastAsia"/>
                        <w:b/>
                        <w:bCs/>
                      </w:rPr>
                      <w:t>．将净利润调节为经营活动现金流量：</w:t>
                    </w:r>
                  </w:p>
                </w:tc>
              </w:sdtContent>
            </w:sdt>
          </w:tr>
          <w:tr w:rsidR="00881F5F" w:rsidTr="00DB008B">
            <w:sdt>
              <w:sdtPr>
                <w:tag w:val="_PLD_eff97a35e60d443387d6ac807156bbae"/>
                <w:id w:val="-285587444"/>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881F5F" w:rsidRDefault="00881F5F" w:rsidP="00881F5F">
                    <w:r>
                      <w:rPr>
                        <w:rFonts w:hint="eastAsia"/>
                      </w:rPr>
                      <w:t>净利润</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vAlign w:val="center"/>
              </w:tcPr>
              <w:p w:rsidR="00881F5F" w:rsidRDefault="00881F5F" w:rsidP="00881F5F">
                <w:pPr>
                  <w:jc w:val="right"/>
                </w:pPr>
                <w:r>
                  <w:t>12,852,917,905</w:t>
                </w:r>
              </w:p>
            </w:tc>
            <w:tc>
              <w:tcPr>
                <w:tcW w:w="1529" w:type="pct"/>
                <w:tcBorders>
                  <w:top w:val="outset" w:sz="4" w:space="0" w:color="auto"/>
                  <w:left w:val="outset" w:sz="4" w:space="0" w:color="auto"/>
                  <w:bottom w:val="outset" w:sz="4" w:space="0" w:color="auto"/>
                  <w:right w:val="outset" w:sz="4" w:space="0" w:color="auto"/>
                </w:tcBorders>
                <w:shd w:val="clear" w:color="auto" w:fill="auto"/>
                <w:vAlign w:val="center"/>
              </w:tcPr>
              <w:p w:rsidR="00881F5F" w:rsidRDefault="00881F5F" w:rsidP="00881F5F">
                <w:pPr>
                  <w:jc w:val="right"/>
                </w:pPr>
                <w:r>
                  <w:t>13,772,260,086</w:t>
                </w:r>
              </w:p>
            </w:tc>
          </w:tr>
          <w:tr w:rsidR="00881F5F" w:rsidTr="00DB008B">
            <w:sdt>
              <w:sdtPr>
                <w:tag w:val="_PLD_aeee5dca05b64715937e91cafbf88c76"/>
                <w:id w:val="1371645488"/>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881F5F" w:rsidRDefault="00881F5F" w:rsidP="00881F5F">
                    <w:r>
                      <w:rPr>
                        <w:rFonts w:hint="eastAsia"/>
                      </w:rPr>
                      <w:t>加：资产减值准备</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vAlign w:val="center"/>
              </w:tcPr>
              <w:p w:rsidR="00881F5F" w:rsidRDefault="00881F5F" w:rsidP="00881F5F">
                <w:pPr>
                  <w:jc w:val="right"/>
                </w:pPr>
                <w:r>
                  <w:t>0</w:t>
                </w:r>
              </w:p>
            </w:tc>
            <w:tc>
              <w:tcPr>
                <w:tcW w:w="1529" w:type="pct"/>
                <w:tcBorders>
                  <w:top w:val="outset" w:sz="4" w:space="0" w:color="auto"/>
                  <w:left w:val="outset" w:sz="4" w:space="0" w:color="auto"/>
                  <w:bottom w:val="outset" w:sz="4" w:space="0" w:color="auto"/>
                  <w:right w:val="outset" w:sz="4" w:space="0" w:color="auto"/>
                </w:tcBorders>
                <w:shd w:val="clear" w:color="auto" w:fill="auto"/>
                <w:vAlign w:val="center"/>
              </w:tcPr>
              <w:p w:rsidR="00881F5F" w:rsidRDefault="00881F5F" w:rsidP="00881F5F">
                <w:pPr>
                  <w:jc w:val="right"/>
                </w:pPr>
                <w:r>
                  <w:t>49,841,032</w:t>
                </w:r>
              </w:p>
            </w:tc>
          </w:tr>
          <w:tr w:rsidR="00881F5F" w:rsidTr="00DB008B">
            <w:tc>
              <w:tcPr>
                <w:tcW w:w="1924" w:type="pct"/>
                <w:tcBorders>
                  <w:top w:val="single" w:sz="4" w:space="0" w:color="auto"/>
                  <w:left w:val="single" w:sz="4" w:space="0" w:color="auto"/>
                  <w:bottom w:val="single" w:sz="4" w:space="0" w:color="auto"/>
                  <w:right w:val="single" w:sz="4" w:space="0" w:color="auto"/>
                </w:tcBorders>
                <w:shd w:val="clear" w:color="auto" w:fill="auto"/>
              </w:tcPr>
              <w:sdt>
                <w:sdtPr>
                  <w:rPr>
                    <w:rFonts w:hint="eastAsia"/>
                  </w:rPr>
                  <w:tag w:val="_PLD_1f3bb2e3905b41c5b7b27fff29cc1f0e"/>
                  <w:id w:val="-534201335"/>
                  <w:lock w:val="sdtLocked"/>
                </w:sdtPr>
                <w:sdtContent>
                  <w:p w:rsidR="00881F5F" w:rsidRDefault="00881F5F" w:rsidP="00881F5F">
                    <w:r>
                      <w:rPr>
                        <w:rFonts w:hint="eastAsia"/>
                      </w:rPr>
                      <w:t>信用减值损失</w:t>
                    </w:r>
                  </w:p>
                </w:sdtContent>
              </w:sdt>
            </w:tc>
            <w:tc>
              <w:tcPr>
                <w:tcW w:w="1547" w:type="pct"/>
                <w:tcBorders>
                  <w:top w:val="outset" w:sz="4" w:space="0" w:color="auto"/>
                  <w:left w:val="single" w:sz="4" w:space="0" w:color="auto"/>
                  <w:bottom w:val="outset" w:sz="4" w:space="0" w:color="auto"/>
                  <w:right w:val="outset" w:sz="4" w:space="0" w:color="auto"/>
                </w:tcBorders>
                <w:shd w:val="clear" w:color="auto" w:fill="auto"/>
                <w:vAlign w:val="center"/>
              </w:tcPr>
              <w:p w:rsidR="00881F5F" w:rsidRDefault="00881F5F" w:rsidP="00881F5F">
                <w:pPr>
                  <w:jc w:val="right"/>
                </w:pPr>
                <w:r>
                  <w:t>-174,505,799</w:t>
                </w:r>
              </w:p>
            </w:tc>
            <w:tc>
              <w:tcPr>
                <w:tcW w:w="1529" w:type="pct"/>
                <w:tcBorders>
                  <w:top w:val="outset" w:sz="4" w:space="0" w:color="auto"/>
                  <w:left w:val="outset" w:sz="4" w:space="0" w:color="auto"/>
                  <w:bottom w:val="outset" w:sz="4" w:space="0" w:color="auto"/>
                  <w:right w:val="outset" w:sz="4" w:space="0" w:color="auto"/>
                </w:tcBorders>
                <w:shd w:val="clear" w:color="auto" w:fill="auto"/>
                <w:vAlign w:val="center"/>
              </w:tcPr>
              <w:p w:rsidR="00881F5F" w:rsidRDefault="00881F5F" w:rsidP="00881F5F">
                <w:pPr>
                  <w:jc w:val="right"/>
                </w:pPr>
                <w:r>
                  <w:t>351,939,298</w:t>
                </w:r>
              </w:p>
            </w:tc>
          </w:tr>
          <w:tr w:rsidR="00881F5F" w:rsidTr="00DB008B">
            <w:sdt>
              <w:sdtPr>
                <w:tag w:val="_PLD_2126af0092bb4ea5acb454c40fce47aa"/>
                <w:id w:val="-344943037"/>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881F5F" w:rsidRDefault="00881F5F" w:rsidP="00881F5F">
                    <w:r>
                      <w:rPr>
                        <w:rFonts w:hint="eastAsia"/>
                      </w:rPr>
                      <w:t>固定资产折旧、油气资产折耗、生产性生物资产折旧</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vAlign w:val="center"/>
              </w:tcPr>
              <w:p w:rsidR="00881F5F" w:rsidRDefault="00881F5F" w:rsidP="00881F5F">
                <w:pPr>
                  <w:jc w:val="right"/>
                </w:pPr>
                <w:r>
                  <w:t>4,848,301,981</w:t>
                </w:r>
              </w:p>
            </w:tc>
            <w:tc>
              <w:tcPr>
                <w:tcW w:w="1529" w:type="pct"/>
                <w:tcBorders>
                  <w:top w:val="outset" w:sz="4" w:space="0" w:color="auto"/>
                  <w:left w:val="outset" w:sz="4" w:space="0" w:color="auto"/>
                  <w:bottom w:val="outset" w:sz="4" w:space="0" w:color="auto"/>
                  <w:right w:val="outset" w:sz="4" w:space="0" w:color="auto"/>
                </w:tcBorders>
                <w:shd w:val="clear" w:color="auto" w:fill="auto"/>
                <w:vAlign w:val="center"/>
              </w:tcPr>
              <w:p w:rsidR="00881F5F" w:rsidRDefault="00881F5F" w:rsidP="00881F5F">
                <w:pPr>
                  <w:jc w:val="right"/>
                </w:pPr>
                <w:r>
                  <w:t>4,670,558,483</w:t>
                </w:r>
              </w:p>
            </w:tc>
          </w:tr>
          <w:tr w:rsidR="00881F5F" w:rsidTr="00DB008B">
            <w:tc>
              <w:tcPr>
                <w:tcW w:w="1924" w:type="pct"/>
                <w:tcBorders>
                  <w:top w:val="single" w:sz="4" w:space="0" w:color="auto"/>
                  <w:left w:val="single" w:sz="4" w:space="0" w:color="auto"/>
                  <w:bottom w:val="single" w:sz="4" w:space="0" w:color="auto"/>
                  <w:right w:val="single" w:sz="4" w:space="0" w:color="auto"/>
                </w:tcBorders>
                <w:shd w:val="clear" w:color="auto" w:fill="auto"/>
              </w:tcPr>
              <w:sdt>
                <w:sdtPr>
                  <w:rPr>
                    <w:rFonts w:hint="eastAsia"/>
                  </w:rPr>
                  <w:tag w:val="_PLD_33167c9b73a649129c2f926881c92c88"/>
                  <w:id w:val="285477273"/>
                  <w:lock w:val="sdtLocked"/>
                </w:sdtPr>
                <w:sdtContent>
                  <w:p w:rsidR="00881F5F" w:rsidRDefault="00881F5F" w:rsidP="00881F5F">
                    <w:r>
                      <w:rPr>
                        <w:rFonts w:hint="eastAsia"/>
                      </w:rPr>
                      <w:t>使用权资产摊销</w:t>
                    </w:r>
                  </w:p>
                </w:sdtContent>
              </w:sdt>
            </w:tc>
            <w:tc>
              <w:tcPr>
                <w:tcW w:w="1547" w:type="pct"/>
                <w:tcBorders>
                  <w:top w:val="outset" w:sz="4" w:space="0" w:color="auto"/>
                  <w:left w:val="single" w:sz="4" w:space="0" w:color="auto"/>
                  <w:bottom w:val="outset" w:sz="4" w:space="0" w:color="auto"/>
                  <w:right w:val="outset" w:sz="4" w:space="0" w:color="auto"/>
                </w:tcBorders>
                <w:shd w:val="clear" w:color="auto" w:fill="auto"/>
                <w:vAlign w:val="center"/>
              </w:tcPr>
              <w:p w:rsidR="00881F5F" w:rsidRDefault="00881F5F" w:rsidP="00881F5F">
                <w:pPr>
                  <w:jc w:val="right"/>
                </w:pPr>
                <w:r>
                  <w:t>231,431,243</w:t>
                </w:r>
              </w:p>
            </w:tc>
            <w:tc>
              <w:tcPr>
                <w:tcW w:w="1529" w:type="pct"/>
                <w:tcBorders>
                  <w:top w:val="outset" w:sz="4" w:space="0" w:color="auto"/>
                  <w:left w:val="outset" w:sz="4" w:space="0" w:color="auto"/>
                  <w:bottom w:val="outset" w:sz="4" w:space="0" w:color="auto"/>
                  <w:right w:val="outset" w:sz="4" w:space="0" w:color="auto"/>
                </w:tcBorders>
                <w:shd w:val="clear" w:color="auto" w:fill="auto"/>
                <w:vAlign w:val="center"/>
              </w:tcPr>
              <w:p w:rsidR="00881F5F" w:rsidRDefault="00881F5F" w:rsidP="00881F5F">
                <w:pPr>
                  <w:jc w:val="right"/>
                </w:pPr>
                <w:r>
                  <w:t>224,182,257</w:t>
                </w:r>
              </w:p>
            </w:tc>
          </w:tr>
          <w:tr w:rsidR="00881F5F" w:rsidTr="00DB008B">
            <w:sdt>
              <w:sdtPr>
                <w:tag w:val="_PLD_8b4967a4f6564e83943a72b2b6a14e25"/>
                <w:id w:val="-519703465"/>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881F5F" w:rsidRDefault="00881F5F" w:rsidP="00881F5F">
                    <w:r>
                      <w:rPr>
                        <w:rFonts w:hint="eastAsia"/>
                      </w:rPr>
                      <w:t>无形资产摊销</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vAlign w:val="center"/>
              </w:tcPr>
              <w:p w:rsidR="00881F5F" w:rsidRDefault="00881F5F" w:rsidP="00881F5F">
                <w:pPr>
                  <w:jc w:val="right"/>
                </w:pPr>
                <w:r>
                  <w:t>144,792,83</w:t>
                </w:r>
                <w:r w:rsidR="001C79F1">
                  <w:t>7</w:t>
                </w:r>
              </w:p>
            </w:tc>
            <w:tc>
              <w:tcPr>
                <w:tcW w:w="1529" w:type="pct"/>
                <w:tcBorders>
                  <w:top w:val="outset" w:sz="4" w:space="0" w:color="auto"/>
                  <w:left w:val="outset" w:sz="4" w:space="0" w:color="auto"/>
                  <w:bottom w:val="outset" w:sz="4" w:space="0" w:color="auto"/>
                  <w:right w:val="outset" w:sz="4" w:space="0" w:color="auto"/>
                </w:tcBorders>
                <w:shd w:val="clear" w:color="auto" w:fill="auto"/>
                <w:vAlign w:val="center"/>
              </w:tcPr>
              <w:p w:rsidR="00881F5F" w:rsidRDefault="00881F5F" w:rsidP="00881F5F">
                <w:pPr>
                  <w:jc w:val="right"/>
                </w:pPr>
                <w:r>
                  <w:t>143,965,463</w:t>
                </w:r>
              </w:p>
            </w:tc>
          </w:tr>
          <w:tr w:rsidR="00881F5F" w:rsidTr="00DB008B">
            <w:sdt>
              <w:sdtPr>
                <w:tag w:val="_PLD_e91bcbce91db4007a43dc457f0a7dc19"/>
                <w:id w:val="665522798"/>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881F5F" w:rsidRDefault="00881F5F" w:rsidP="00881F5F">
                    <w:r>
                      <w:rPr>
                        <w:rFonts w:hint="eastAsia"/>
                      </w:rPr>
                      <w:t>长期待摊费用摊销</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vAlign w:val="center"/>
              </w:tcPr>
              <w:p w:rsidR="00881F5F" w:rsidRDefault="00881F5F" w:rsidP="00881F5F">
                <w:pPr>
                  <w:jc w:val="right"/>
                </w:pPr>
                <w:r>
                  <w:t>57,185,272</w:t>
                </w:r>
              </w:p>
            </w:tc>
            <w:tc>
              <w:tcPr>
                <w:tcW w:w="1529" w:type="pct"/>
                <w:tcBorders>
                  <w:top w:val="outset" w:sz="4" w:space="0" w:color="auto"/>
                  <w:left w:val="outset" w:sz="4" w:space="0" w:color="auto"/>
                  <w:bottom w:val="outset" w:sz="4" w:space="0" w:color="auto"/>
                  <w:right w:val="outset" w:sz="4" w:space="0" w:color="auto"/>
                </w:tcBorders>
                <w:shd w:val="clear" w:color="auto" w:fill="auto"/>
                <w:vAlign w:val="center"/>
              </w:tcPr>
              <w:p w:rsidR="00881F5F" w:rsidRDefault="00881F5F" w:rsidP="00881F5F">
                <w:pPr>
                  <w:jc w:val="right"/>
                </w:pPr>
                <w:r>
                  <w:t>57,873,303</w:t>
                </w:r>
              </w:p>
            </w:tc>
          </w:tr>
          <w:tr w:rsidR="00881F5F" w:rsidTr="00DB008B">
            <w:sdt>
              <w:sdtPr>
                <w:tag w:val="_PLD_e8f9f8f7a6994120a06ba50281514777"/>
                <w:id w:val="1062831421"/>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881F5F" w:rsidRDefault="00881F5F" w:rsidP="00881F5F">
                    <w:r>
                      <w:rPr>
                        <w:rFonts w:hint="eastAsia"/>
                      </w:rPr>
                      <w:t>处置固定资产、无形资产和其他长期资产的损失（收益以</w:t>
                    </w:r>
                    <w:r>
                      <w:t>“</w:t>
                    </w:r>
                    <w:r>
                      <w:rPr>
                        <w:rFonts w:hint="eastAsia"/>
                      </w:rPr>
                      <w:t>－</w:t>
                    </w:r>
                    <w:r>
                      <w:t>”</w:t>
                    </w:r>
                    <w:r>
                      <w:rPr>
                        <w:rFonts w:hint="eastAsia"/>
                      </w:rPr>
                      <w:t>号填列）</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vAlign w:val="center"/>
              </w:tcPr>
              <w:p w:rsidR="00881F5F" w:rsidRDefault="00881F5F" w:rsidP="00881F5F">
                <w:pPr>
                  <w:jc w:val="right"/>
                </w:pPr>
                <w:r>
                  <w:t>20,596,427</w:t>
                </w:r>
              </w:p>
            </w:tc>
            <w:tc>
              <w:tcPr>
                <w:tcW w:w="1529" w:type="pct"/>
                <w:tcBorders>
                  <w:top w:val="outset" w:sz="4" w:space="0" w:color="auto"/>
                  <w:left w:val="outset" w:sz="4" w:space="0" w:color="auto"/>
                  <w:bottom w:val="outset" w:sz="4" w:space="0" w:color="auto"/>
                  <w:right w:val="outset" w:sz="4" w:space="0" w:color="auto"/>
                </w:tcBorders>
                <w:shd w:val="clear" w:color="auto" w:fill="auto"/>
                <w:vAlign w:val="center"/>
              </w:tcPr>
              <w:p w:rsidR="00881F5F" w:rsidRDefault="00881F5F" w:rsidP="00881F5F">
                <w:pPr>
                  <w:jc w:val="right"/>
                </w:pPr>
                <w:r>
                  <w:t>33,526,778</w:t>
                </w:r>
              </w:p>
            </w:tc>
          </w:tr>
          <w:tr w:rsidR="00881F5F" w:rsidTr="0091107D">
            <w:sdt>
              <w:sdtPr>
                <w:tag w:val="_PLD_e81fee79d3354e6fb69ce33fffd7af6e"/>
                <w:id w:val="-499738733"/>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881F5F" w:rsidRDefault="00881F5F" w:rsidP="00881F5F">
                    <w:r>
                      <w:rPr>
                        <w:rFonts w:hint="eastAsia"/>
                      </w:rPr>
                      <w:t>固定资产报废损失（收益以</w:t>
                    </w:r>
                    <w:r>
                      <w:t>“</w:t>
                    </w:r>
                    <w:r>
                      <w:rPr>
                        <w:rFonts w:hint="eastAsia"/>
                      </w:rPr>
                      <w:t>－</w:t>
                    </w:r>
                    <w:r>
                      <w:t>”</w:t>
                    </w:r>
                    <w:r>
                      <w:rPr>
                        <w:rFonts w:hint="eastAsia"/>
                      </w:rPr>
                      <w:t>号填列）</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tcPr>
              <w:p w:rsidR="00881F5F" w:rsidRDefault="00881F5F" w:rsidP="00881F5F">
                <w:pPr>
                  <w:jc w:val="right"/>
                </w:pPr>
              </w:p>
            </w:tc>
            <w:tc>
              <w:tcPr>
                <w:tcW w:w="1529" w:type="pct"/>
                <w:tcBorders>
                  <w:top w:val="outset" w:sz="4" w:space="0" w:color="auto"/>
                  <w:left w:val="outset" w:sz="4" w:space="0" w:color="auto"/>
                  <w:bottom w:val="outset" w:sz="4" w:space="0" w:color="auto"/>
                  <w:right w:val="outset" w:sz="4" w:space="0" w:color="auto"/>
                </w:tcBorders>
                <w:shd w:val="clear" w:color="auto" w:fill="auto"/>
              </w:tcPr>
              <w:p w:rsidR="00881F5F" w:rsidRDefault="00881F5F" w:rsidP="00881F5F">
                <w:pPr>
                  <w:jc w:val="right"/>
                </w:pPr>
              </w:p>
            </w:tc>
          </w:tr>
          <w:tr w:rsidR="00881F5F" w:rsidTr="0091107D">
            <w:sdt>
              <w:sdtPr>
                <w:tag w:val="_PLD_1464f7483fa24612944bff87f55d77fe"/>
                <w:id w:val="891610754"/>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881F5F" w:rsidRDefault="00881F5F" w:rsidP="00881F5F">
                    <w:r>
                      <w:rPr>
                        <w:rFonts w:hint="eastAsia"/>
                      </w:rPr>
                      <w:t>公允价值变动损失（收益以</w:t>
                    </w:r>
                    <w:r>
                      <w:t>“</w:t>
                    </w:r>
                    <w:r>
                      <w:rPr>
                        <w:rFonts w:hint="eastAsia"/>
                      </w:rPr>
                      <w:t>－</w:t>
                    </w:r>
                    <w:r>
                      <w:t>”</w:t>
                    </w:r>
                    <w:r>
                      <w:rPr>
                        <w:rFonts w:hint="eastAsia"/>
                      </w:rPr>
                      <w:t>号填列）</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tcPr>
              <w:p w:rsidR="00881F5F" w:rsidRDefault="00881F5F" w:rsidP="00881F5F">
                <w:pPr>
                  <w:jc w:val="right"/>
                </w:pPr>
              </w:p>
            </w:tc>
            <w:tc>
              <w:tcPr>
                <w:tcW w:w="1529" w:type="pct"/>
                <w:tcBorders>
                  <w:top w:val="outset" w:sz="4" w:space="0" w:color="auto"/>
                  <w:left w:val="outset" w:sz="4" w:space="0" w:color="auto"/>
                  <w:bottom w:val="outset" w:sz="4" w:space="0" w:color="auto"/>
                  <w:right w:val="outset" w:sz="4" w:space="0" w:color="auto"/>
                </w:tcBorders>
                <w:shd w:val="clear" w:color="auto" w:fill="auto"/>
              </w:tcPr>
              <w:p w:rsidR="00881F5F" w:rsidRDefault="00881F5F" w:rsidP="00881F5F">
                <w:pPr>
                  <w:jc w:val="right"/>
                </w:pPr>
              </w:p>
            </w:tc>
          </w:tr>
          <w:tr w:rsidR="00881F5F" w:rsidTr="00DB008B">
            <w:sdt>
              <w:sdtPr>
                <w:tag w:val="_PLD_b1aa93fc6a4d452d904d1035db57b333"/>
                <w:id w:val="1699194663"/>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881F5F" w:rsidRDefault="00881F5F" w:rsidP="00881F5F">
                    <w:r>
                      <w:rPr>
                        <w:rFonts w:hint="eastAsia"/>
                      </w:rPr>
                      <w:t>财务费用（收益以</w:t>
                    </w:r>
                    <w:r>
                      <w:t>“</w:t>
                    </w:r>
                    <w:r>
                      <w:rPr>
                        <w:rFonts w:hint="eastAsia"/>
                      </w:rPr>
                      <w:t>－</w:t>
                    </w:r>
                    <w:r>
                      <w:t>”</w:t>
                    </w:r>
                    <w:r>
                      <w:rPr>
                        <w:rFonts w:hint="eastAsia"/>
                      </w:rPr>
                      <w:t>号填列）</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vAlign w:val="center"/>
              </w:tcPr>
              <w:p w:rsidR="00881F5F" w:rsidRDefault="00881F5F" w:rsidP="00881F5F">
                <w:pPr>
                  <w:jc w:val="right"/>
                </w:pPr>
                <w:r>
                  <w:t>88,703,121</w:t>
                </w:r>
              </w:p>
            </w:tc>
            <w:tc>
              <w:tcPr>
                <w:tcW w:w="1529" w:type="pct"/>
                <w:tcBorders>
                  <w:top w:val="outset" w:sz="4" w:space="0" w:color="auto"/>
                  <w:left w:val="outset" w:sz="4" w:space="0" w:color="auto"/>
                  <w:bottom w:val="outset" w:sz="4" w:space="0" w:color="auto"/>
                  <w:right w:val="outset" w:sz="4" w:space="0" w:color="auto"/>
                </w:tcBorders>
                <w:shd w:val="clear" w:color="auto" w:fill="auto"/>
                <w:vAlign w:val="center"/>
              </w:tcPr>
              <w:p w:rsidR="00881F5F" w:rsidRDefault="00881F5F" w:rsidP="00881F5F">
                <w:pPr>
                  <w:jc w:val="right"/>
                </w:pPr>
                <w:r>
                  <w:t>240,757,734</w:t>
                </w:r>
              </w:p>
            </w:tc>
          </w:tr>
          <w:tr w:rsidR="00881F5F" w:rsidTr="00DB008B">
            <w:sdt>
              <w:sdtPr>
                <w:tag w:val="_PLD_17da876d38cd4a8fb89860f293c6a668"/>
                <w:id w:val="-600794942"/>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881F5F" w:rsidRDefault="00881F5F" w:rsidP="00881F5F">
                    <w:r>
                      <w:rPr>
                        <w:rFonts w:hint="eastAsia"/>
                      </w:rPr>
                      <w:t>投资损失（收益以</w:t>
                    </w:r>
                    <w:r>
                      <w:t>“</w:t>
                    </w:r>
                    <w:r>
                      <w:rPr>
                        <w:rFonts w:hint="eastAsia"/>
                      </w:rPr>
                      <w:t>－</w:t>
                    </w:r>
                    <w:r>
                      <w:t>”</w:t>
                    </w:r>
                    <w:r>
                      <w:rPr>
                        <w:rFonts w:hint="eastAsia"/>
                      </w:rPr>
                      <w:t>号填列）</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vAlign w:val="center"/>
              </w:tcPr>
              <w:p w:rsidR="00881F5F" w:rsidRDefault="00881F5F" w:rsidP="00881F5F">
                <w:pPr>
                  <w:jc w:val="right"/>
                </w:pPr>
                <w:r>
                  <w:t>-2,704,340,242</w:t>
                </w:r>
              </w:p>
            </w:tc>
            <w:tc>
              <w:tcPr>
                <w:tcW w:w="1529" w:type="pct"/>
                <w:tcBorders>
                  <w:top w:val="outset" w:sz="4" w:space="0" w:color="auto"/>
                  <w:left w:val="outset" w:sz="4" w:space="0" w:color="auto"/>
                  <w:bottom w:val="outset" w:sz="4" w:space="0" w:color="auto"/>
                  <w:right w:val="outset" w:sz="4" w:space="0" w:color="auto"/>
                </w:tcBorders>
                <w:shd w:val="clear" w:color="auto" w:fill="auto"/>
                <w:vAlign w:val="center"/>
              </w:tcPr>
              <w:p w:rsidR="00881F5F" w:rsidRDefault="00881F5F" w:rsidP="00881F5F">
                <w:pPr>
                  <w:jc w:val="right"/>
                </w:pPr>
                <w:r>
                  <w:t>-2,992,939,892</w:t>
                </w:r>
              </w:p>
            </w:tc>
          </w:tr>
          <w:tr w:rsidR="00881F5F" w:rsidTr="00DB008B">
            <w:sdt>
              <w:sdtPr>
                <w:tag w:val="_PLD_2fbadbf00208453daec47ef453ccc6f9"/>
                <w:id w:val="-1694144659"/>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881F5F" w:rsidRDefault="00881F5F" w:rsidP="00881F5F">
                    <w:r>
                      <w:rPr>
                        <w:rFonts w:hint="eastAsia"/>
                      </w:rPr>
                      <w:t>递延所得税资产减少（增加以</w:t>
                    </w:r>
                    <w:r>
                      <w:t>“</w:t>
                    </w:r>
                    <w:r>
                      <w:rPr>
                        <w:rFonts w:hint="eastAsia"/>
                      </w:rPr>
                      <w:t>－</w:t>
                    </w:r>
                    <w:r>
                      <w:t>”</w:t>
                    </w:r>
                    <w:r>
                      <w:rPr>
                        <w:rFonts w:hint="eastAsia"/>
                      </w:rPr>
                      <w:t>号填列）</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vAlign w:val="center"/>
              </w:tcPr>
              <w:p w:rsidR="00881F5F" w:rsidRDefault="00881F5F" w:rsidP="00881F5F">
                <w:pPr>
                  <w:jc w:val="right"/>
                </w:pPr>
                <w:r>
                  <w:t>77,022,771</w:t>
                </w:r>
              </w:p>
            </w:tc>
            <w:tc>
              <w:tcPr>
                <w:tcW w:w="1529" w:type="pct"/>
                <w:tcBorders>
                  <w:top w:val="outset" w:sz="4" w:space="0" w:color="auto"/>
                  <w:left w:val="outset" w:sz="4" w:space="0" w:color="auto"/>
                  <w:bottom w:val="outset" w:sz="4" w:space="0" w:color="auto"/>
                  <w:right w:val="outset" w:sz="4" w:space="0" w:color="auto"/>
                </w:tcBorders>
                <w:shd w:val="clear" w:color="auto" w:fill="auto"/>
                <w:vAlign w:val="center"/>
              </w:tcPr>
              <w:p w:rsidR="00881F5F" w:rsidRDefault="00881F5F" w:rsidP="00881F5F">
                <w:pPr>
                  <w:jc w:val="right"/>
                </w:pPr>
                <w:r>
                  <w:t>-12,519,855</w:t>
                </w:r>
              </w:p>
            </w:tc>
          </w:tr>
          <w:tr w:rsidR="00881F5F" w:rsidTr="00DB008B">
            <w:sdt>
              <w:sdtPr>
                <w:tag w:val="_PLD_d995beb110fe461d9f14304be5740b51"/>
                <w:id w:val="430169391"/>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881F5F" w:rsidRDefault="00881F5F" w:rsidP="00881F5F">
                    <w:r>
                      <w:rPr>
                        <w:rFonts w:hint="eastAsia"/>
                      </w:rPr>
                      <w:t>递延所得税负债增加（减少以</w:t>
                    </w:r>
                    <w:r>
                      <w:t>“</w:t>
                    </w:r>
                    <w:r>
                      <w:rPr>
                        <w:rFonts w:hint="eastAsia"/>
                      </w:rPr>
                      <w:t>－</w:t>
                    </w:r>
                    <w:r>
                      <w:t>”</w:t>
                    </w:r>
                    <w:r>
                      <w:rPr>
                        <w:rFonts w:hint="eastAsia"/>
                      </w:rPr>
                      <w:t>号填列）</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vAlign w:val="center"/>
              </w:tcPr>
              <w:p w:rsidR="00881F5F" w:rsidRDefault="00881F5F" w:rsidP="00881F5F">
                <w:pPr>
                  <w:jc w:val="right"/>
                </w:pPr>
              </w:p>
            </w:tc>
            <w:tc>
              <w:tcPr>
                <w:tcW w:w="1529" w:type="pct"/>
                <w:tcBorders>
                  <w:top w:val="outset" w:sz="4" w:space="0" w:color="auto"/>
                  <w:left w:val="outset" w:sz="4" w:space="0" w:color="auto"/>
                  <w:bottom w:val="outset" w:sz="4" w:space="0" w:color="auto"/>
                  <w:right w:val="outset" w:sz="4" w:space="0" w:color="auto"/>
                </w:tcBorders>
                <w:shd w:val="clear" w:color="auto" w:fill="auto"/>
                <w:vAlign w:val="center"/>
              </w:tcPr>
              <w:p w:rsidR="00881F5F" w:rsidRDefault="00881F5F" w:rsidP="00881F5F">
                <w:pPr>
                  <w:jc w:val="right"/>
                </w:pPr>
              </w:p>
            </w:tc>
          </w:tr>
          <w:tr w:rsidR="00881F5F" w:rsidTr="00DB008B">
            <w:sdt>
              <w:sdtPr>
                <w:tag w:val="_PLD_313be58aa55a4aee90fa200a6004a83d"/>
                <w:id w:val="-1162771929"/>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881F5F" w:rsidRDefault="00881F5F" w:rsidP="00881F5F">
                    <w:r>
                      <w:rPr>
                        <w:rFonts w:hint="eastAsia"/>
                      </w:rPr>
                      <w:t>存货的减少（增加以</w:t>
                    </w:r>
                    <w:r>
                      <w:t>“</w:t>
                    </w:r>
                    <w:r>
                      <w:rPr>
                        <w:rFonts w:hint="eastAsia"/>
                      </w:rPr>
                      <w:t>－</w:t>
                    </w:r>
                    <w:r>
                      <w:t>”</w:t>
                    </w:r>
                    <w:r>
                      <w:rPr>
                        <w:rFonts w:hint="eastAsia"/>
                      </w:rPr>
                      <w:t>号填列）</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vAlign w:val="center"/>
              </w:tcPr>
              <w:p w:rsidR="00881F5F" w:rsidRDefault="00881F5F" w:rsidP="00881F5F">
                <w:pPr>
                  <w:jc w:val="right"/>
                </w:pPr>
                <w:r>
                  <w:t>-144,029,308</w:t>
                </w:r>
              </w:p>
            </w:tc>
            <w:tc>
              <w:tcPr>
                <w:tcW w:w="1529" w:type="pct"/>
                <w:tcBorders>
                  <w:top w:val="outset" w:sz="4" w:space="0" w:color="auto"/>
                  <w:left w:val="outset" w:sz="4" w:space="0" w:color="auto"/>
                  <w:bottom w:val="outset" w:sz="4" w:space="0" w:color="auto"/>
                  <w:right w:val="outset" w:sz="4" w:space="0" w:color="auto"/>
                </w:tcBorders>
                <w:shd w:val="clear" w:color="auto" w:fill="auto"/>
                <w:vAlign w:val="center"/>
              </w:tcPr>
              <w:p w:rsidR="00881F5F" w:rsidRDefault="00881F5F" w:rsidP="00881F5F">
                <w:pPr>
                  <w:jc w:val="right"/>
                </w:pPr>
                <w:r>
                  <w:t>153,508,663</w:t>
                </w:r>
              </w:p>
            </w:tc>
          </w:tr>
          <w:tr w:rsidR="00881F5F" w:rsidTr="00DB008B">
            <w:sdt>
              <w:sdtPr>
                <w:tag w:val="_PLD_a0f2d4bd51554e919c1b56b36c76b7e4"/>
                <w:id w:val="1557582613"/>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881F5F" w:rsidRDefault="00881F5F" w:rsidP="00881F5F">
                    <w:r>
                      <w:rPr>
                        <w:rFonts w:hint="eastAsia"/>
                      </w:rPr>
                      <w:t>经营性应收项目的减少（增加以</w:t>
                    </w:r>
                    <w:r>
                      <w:t>“</w:t>
                    </w:r>
                    <w:r>
                      <w:rPr>
                        <w:rFonts w:hint="eastAsia"/>
                      </w:rPr>
                      <w:t>－</w:t>
                    </w:r>
                    <w:r>
                      <w:t>”</w:t>
                    </w:r>
                    <w:r>
                      <w:rPr>
                        <w:rFonts w:hint="eastAsia"/>
                      </w:rPr>
                      <w:t>号填列）</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vAlign w:val="center"/>
              </w:tcPr>
              <w:p w:rsidR="00881F5F" w:rsidRDefault="00881F5F" w:rsidP="00881F5F">
                <w:pPr>
                  <w:jc w:val="right"/>
                </w:pPr>
                <w:r>
                  <w:t>-1,421,917,496</w:t>
                </w:r>
              </w:p>
            </w:tc>
            <w:tc>
              <w:tcPr>
                <w:tcW w:w="1529" w:type="pct"/>
                <w:tcBorders>
                  <w:top w:val="outset" w:sz="4" w:space="0" w:color="auto"/>
                  <w:left w:val="outset" w:sz="4" w:space="0" w:color="auto"/>
                  <w:bottom w:val="outset" w:sz="4" w:space="0" w:color="auto"/>
                  <w:right w:val="outset" w:sz="4" w:space="0" w:color="auto"/>
                </w:tcBorders>
                <w:shd w:val="clear" w:color="auto" w:fill="auto"/>
                <w:vAlign w:val="center"/>
              </w:tcPr>
              <w:p w:rsidR="00881F5F" w:rsidRDefault="00881F5F" w:rsidP="00881F5F">
                <w:pPr>
                  <w:jc w:val="right"/>
                  <w:rPr>
                    <w:b/>
                  </w:rPr>
                </w:pPr>
                <w:r>
                  <w:t>1,008,421,247</w:t>
                </w:r>
              </w:p>
            </w:tc>
          </w:tr>
          <w:tr w:rsidR="00881F5F" w:rsidTr="00DB008B">
            <w:sdt>
              <w:sdtPr>
                <w:tag w:val="_PLD_e775c78d32f644708ef470b027b0a24e"/>
                <w:id w:val="821239361"/>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881F5F" w:rsidRDefault="00881F5F" w:rsidP="00881F5F">
                    <w:r>
                      <w:rPr>
                        <w:rFonts w:hint="eastAsia"/>
                      </w:rPr>
                      <w:t>经营性应付项目的增加（减少以</w:t>
                    </w:r>
                    <w:r>
                      <w:t>“</w:t>
                    </w:r>
                    <w:r>
                      <w:rPr>
                        <w:rFonts w:hint="eastAsia"/>
                      </w:rPr>
                      <w:t>－</w:t>
                    </w:r>
                    <w:r>
                      <w:t>”</w:t>
                    </w:r>
                    <w:r>
                      <w:rPr>
                        <w:rFonts w:hint="eastAsia"/>
                      </w:rPr>
                      <w:t>号填列）</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vAlign w:val="center"/>
              </w:tcPr>
              <w:p w:rsidR="00881F5F" w:rsidRDefault="00881F5F" w:rsidP="00881F5F">
                <w:pPr>
                  <w:jc w:val="right"/>
                </w:pPr>
                <w:r>
                  <w:t>1,725,369,397</w:t>
                </w:r>
              </w:p>
            </w:tc>
            <w:tc>
              <w:tcPr>
                <w:tcW w:w="1529" w:type="pct"/>
                <w:tcBorders>
                  <w:top w:val="outset" w:sz="4" w:space="0" w:color="auto"/>
                  <w:left w:val="outset" w:sz="4" w:space="0" w:color="auto"/>
                  <w:bottom w:val="outset" w:sz="4" w:space="0" w:color="auto"/>
                  <w:right w:val="outset" w:sz="4" w:space="0" w:color="auto"/>
                </w:tcBorders>
                <w:shd w:val="clear" w:color="auto" w:fill="auto"/>
                <w:vAlign w:val="center"/>
              </w:tcPr>
              <w:p w:rsidR="00881F5F" w:rsidRDefault="00881F5F" w:rsidP="00881F5F">
                <w:pPr>
                  <w:jc w:val="right"/>
                  <w:rPr>
                    <w:b/>
                  </w:rPr>
                </w:pPr>
                <w:r>
                  <w:t>593,297,465</w:t>
                </w:r>
              </w:p>
            </w:tc>
          </w:tr>
          <w:tr w:rsidR="00881F5F" w:rsidTr="00DB008B">
            <w:sdt>
              <w:sdtPr>
                <w:tag w:val="_PLD_5eb8ffd3edfd46a084a79828c7e82dd1"/>
                <w:id w:val="-79301386"/>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881F5F" w:rsidRDefault="00881F5F" w:rsidP="00881F5F">
                    <w:r>
                      <w:rPr>
                        <w:rFonts w:hint="eastAsia"/>
                      </w:rPr>
                      <w:t>其他</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vAlign w:val="center"/>
              </w:tcPr>
              <w:p w:rsidR="00881F5F" w:rsidRDefault="00881F5F" w:rsidP="00881F5F">
                <w:pPr>
                  <w:jc w:val="right"/>
                </w:pPr>
                <w:r>
                  <w:t>500,578,50</w:t>
                </w:r>
                <w:r w:rsidR="001C79F1">
                  <w:t>4</w:t>
                </w:r>
              </w:p>
            </w:tc>
            <w:tc>
              <w:tcPr>
                <w:tcW w:w="1529" w:type="pct"/>
                <w:tcBorders>
                  <w:top w:val="outset" w:sz="4" w:space="0" w:color="auto"/>
                  <w:left w:val="outset" w:sz="4" w:space="0" w:color="auto"/>
                  <w:bottom w:val="outset" w:sz="4" w:space="0" w:color="auto"/>
                  <w:right w:val="outset" w:sz="4" w:space="0" w:color="auto"/>
                </w:tcBorders>
                <w:shd w:val="clear" w:color="auto" w:fill="auto"/>
                <w:vAlign w:val="center"/>
              </w:tcPr>
              <w:p w:rsidR="00881F5F" w:rsidRDefault="00881F5F" w:rsidP="00881F5F">
                <w:pPr>
                  <w:jc w:val="right"/>
                </w:pPr>
                <w:r>
                  <w:t>603,774,796</w:t>
                </w:r>
              </w:p>
            </w:tc>
          </w:tr>
          <w:tr w:rsidR="00881F5F" w:rsidTr="00DB008B">
            <w:sdt>
              <w:sdtPr>
                <w:tag w:val="_PLD_c051c13b91464acb82ec10ce9e8e9c6e"/>
                <w:id w:val="-495648579"/>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881F5F" w:rsidRDefault="00881F5F" w:rsidP="00881F5F">
                    <w:r>
                      <w:rPr>
                        <w:rFonts w:hint="eastAsia"/>
                      </w:rPr>
                      <w:t>经营活动产生的现金流量净额</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vAlign w:val="center"/>
              </w:tcPr>
              <w:p w:rsidR="00881F5F" w:rsidRDefault="00881F5F" w:rsidP="00881F5F">
                <w:pPr>
                  <w:jc w:val="right"/>
                </w:pPr>
                <w:r>
                  <w:t>16,102,106,613</w:t>
                </w:r>
              </w:p>
            </w:tc>
            <w:tc>
              <w:tcPr>
                <w:tcW w:w="1529" w:type="pct"/>
                <w:tcBorders>
                  <w:top w:val="outset" w:sz="4" w:space="0" w:color="auto"/>
                  <w:left w:val="outset" w:sz="4" w:space="0" w:color="auto"/>
                  <w:bottom w:val="outset" w:sz="4" w:space="0" w:color="auto"/>
                  <w:right w:val="outset" w:sz="4" w:space="0" w:color="auto"/>
                </w:tcBorders>
                <w:shd w:val="clear" w:color="auto" w:fill="auto"/>
                <w:vAlign w:val="center"/>
              </w:tcPr>
              <w:p w:rsidR="00881F5F" w:rsidRDefault="00881F5F" w:rsidP="00881F5F">
                <w:pPr>
                  <w:jc w:val="right"/>
                </w:pPr>
                <w:r>
                  <w:t>18,898,446,858</w:t>
                </w:r>
              </w:p>
            </w:tc>
          </w:tr>
          <w:tr w:rsidR="00881F5F" w:rsidTr="00775137">
            <w:sdt>
              <w:sdtPr>
                <w:tag w:val="_PLD_4b9bf22c7a64477db916821f6ee032d7"/>
                <w:id w:val="-1458484817"/>
                <w:lock w:val="sdtLocked"/>
              </w:sdtPr>
              <w:sdtContent>
                <w:tc>
                  <w:tcPr>
                    <w:tcW w:w="5000" w:type="pct"/>
                    <w:gridSpan w:val="3"/>
                    <w:tcBorders>
                      <w:top w:val="single" w:sz="4" w:space="0" w:color="auto"/>
                      <w:left w:val="single" w:sz="4" w:space="0" w:color="auto"/>
                      <w:bottom w:val="single" w:sz="4" w:space="0" w:color="auto"/>
                      <w:right w:val="outset" w:sz="4" w:space="0" w:color="auto"/>
                    </w:tcBorders>
                    <w:shd w:val="clear" w:color="auto" w:fill="auto"/>
                  </w:tcPr>
                  <w:p w:rsidR="00881F5F" w:rsidRDefault="00881F5F" w:rsidP="00881F5F">
                    <w:r>
                      <w:rPr>
                        <w:b/>
                        <w:bCs/>
                      </w:rPr>
                      <w:t>2</w:t>
                    </w:r>
                    <w:r>
                      <w:rPr>
                        <w:rFonts w:hint="eastAsia"/>
                        <w:b/>
                        <w:bCs/>
                      </w:rPr>
                      <w:t>．不涉及现金收支的重大投资和筹资活动：</w:t>
                    </w:r>
                  </w:p>
                </w:tc>
              </w:sdtContent>
            </w:sdt>
          </w:tr>
          <w:tr w:rsidR="00881F5F" w:rsidTr="0091107D">
            <w:sdt>
              <w:sdtPr>
                <w:tag w:val="_PLD_655636739ee84751ab668093a128e30d"/>
                <w:id w:val="258262236"/>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881F5F" w:rsidRDefault="00881F5F" w:rsidP="00881F5F">
                    <w:r>
                      <w:rPr>
                        <w:rFonts w:hint="eastAsia"/>
                      </w:rPr>
                      <w:t>债务转为资本</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tcPr>
              <w:p w:rsidR="00881F5F" w:rsidRDefault="00881F5F" w:rsidP="00881F5F">
                <w:pPr>
                  <w:jc w:val="right"/>
                </w:pPr>
              </w:p>
            </w:tc>
            <w:tc>
              <w:tcPr>
                <w:tcW w:w="1529" w:type="pct"/>
                <w:tcBorders>
                  <w:top w:val="outset" w:sz="4" w:space="0" w:color="auto"/>
                  <w:left w:val="outset" w:sz="4" w:space="0" w:color="auto"/>
                  <w:bottom w:val="outset" w:sz="4" w:space="0" w:color="auto"/>
                  <w:right w:val="outset" w:sz="4" w:space="0" w:color="auto"/>
                </w:tcBorders>
                <w:shd w:val="clear" w:color="auto" w:fill="auto"/>
              </w:tcPr>
              <w:p w:rsidR="00881F5F" w:rsidRDefault="00881F5F" w:rsidP="00881F5F">
                <w:pPr>
                  <w:jc w:val="right"/>
                </w:pPr>
              </w:p>
            </w:tc>
          </w:tr>
          <w:tr w:rsidR="00881F5F" w:rsidTr="0091107D">
            <w:sdt>
              <w:sdtPr>
                <w:tag w:val="_PLD_c256cf5f86c34d5bb6f6784047858fa0"/>
                <w:id w:val="-1859105306"/>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881F5F" w:rsidRDefault="00881F5F" w:rsidP="00881F5F">
                    <w:r>
                      <w:rPr>
                        <w:rFonts w:hint="eastAsia"/>
                      </w:rPr>
                      <w:t>一年内到期的可转换公司债券</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tcPr>
              <w:p w:rsidR="00881F5F" w:rsidRDefault="00881F5F" w:rsidP="00881F5F">
                <w:pPr>
                  <w:jc w:val="right"/>
                </w:pPr>
              </w:p>
            </w:tc>
            <w:tc>
              <w:tcPr>
                <w:tcW w:w="1529" w:type="pct"/>
                <w:tcBorders>
                  <w:top w:val="outset" w:sz="4" w:space="0" w:color="auto"/>
                  <w:left w:val="outset" w:sz="4" w:space="0" w:color="auto"/>
                  <w:bottom w:val="outset" w:sz="4" w:space="0" w:color="auto"/>
                  <w:right w:val="outset" w:sz="4" w:space="0" w:color="auto"/>
                </w:tcBorders>
                <w:shd w:val="clear" w:color="auto" w:fill="auto"/>
              </w:tcPr>
              <w:p w:rsidR="00881F5F" w:rsidRDefault="00881F5F" w:rsidP="00881F5F">
                <w:pPr>
                  <w:jc w:val="right"/>
                </w:pPr>
              </w:p>
            </w:tc>
          </w:tr>
          <w:tr w:rsidR="00881F5F" w:rsidTr="0091107D">
            <w:sdt>
              <w:sdtPr>
                <w:tag w:val="_PLD_d59267cd8d7d452fac4c9bc41205c801"/>
                <w:id w:val="-869836002"/>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881F5F" w:rsidRDefault="00881F5F" w:rsidP="00881F5F">
                    <w:r>
                      <w:rPr>
                        <w:rFonts w:hint="eastAsia"/>
                      </w:rPr>
                      <w:t>融资租入固定资产</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tcPr>
              <w:p w:rsidR="00881F5F" w:rsidRDefault="00881F5F" w:rsidP="00881F5F">
                <w:pPr>
                  <w:jc w:val="right"/>
                </w:pPr>
              </w:p>
            </w:tc>
            <w:tc>
              <w:tcPr>
                <w:tcW w:w="1529" w:type="pct"/>
                <w:tcBorders>
                  <w:top w:val="outset" w:sz="4" w:space="0" w:color="auto"/>
                  <w:left w:val="outset" w:sz="4" w:space="0" w:color="auto"/>
                  <w:bottom w:val="outset" w:sz="4" w:space="0" w:color="auto"/>
                  <w:right w:val="outset" w:sz="4" w:space="0" w:color="auto"/>
                </w:tcBorders>
                <w:shd w:val="clear" w:color="auto" w:fill="auto"/>
              </w:tcPr>
              <w:p w:rsidR="00881F5F" w:rsidRDefault="00881F5F" w:rsidP="00881F5F">
                <w:pPr>
                  <w:jc w:val="right"/>
                </w:pPr>
              </w:p>
            </w:tc>
          </w:tr>
          <w:tr w:rsidR="00881F5F" w:rsidTr="00775137">
            <w:sdt>
              <w:sdtPr>
                <w:tag w:val="_PLD_b32f2ba3b4a94101978cc22144b58749"/>
                <w:id w:val="-556855486"/>
                <w:lock w:val="sdtLocked"/>
              </w:sdtPr>
              <w:sdtContent>
                <w:tc>
                  <w:tcPr>
                    <w:tcW w:w="5000" w:type="pct"/>
                    <w:gridSpan w:val="3"/>
                    <w:tcBorders>
                      <w:top w:val="single" w:sz="4" w:space="0" w:color="auto"/>
                      <w:left w:val="single" w:sz="4" w:space="0" w:color="auto"/>
                      <w:bottom w:val="single" w:sz="4" w:space="0" w:color="auto"/>
                      <w:right w:val="outset" w:sz="4" w:space="0" w:color="auto"/>
                    </w:tcBorders>
                    <w:shd w:val="clear" w:color="auto" w:fill="auto"/>
                  </w:tcPr>
                  <w:p w:rsidR="00881F5F" w:rsidRDefault="00881F5F" w:rsidP="00881F5F">
                    <w:r>
                      <w:rPr>
                        <w:b/>
                        <w:bCs/>
                      </w:rPr>
                      <w:t>3</w:t>
                    </w:r>
                    <w:r>
                      <w:rPr>
                        <w:rFonts w:hint="eastAsia"/>
                        <w:b/>
                        <w:bCs/>
                      </w:rPr>
                      <w:t>．现金及现金等价物净变动情况：</w:t>
                    </w:r>
                  </w:p>
                </w:tc>
              </w:sdtContent>
            </w:sdt>
          </w:tr>
          <w:tr w:rsidR="00881F5F" w:rsidTr="00DB008B">
            <w:sdt>
              <w:sdtPr>
                <w:tag w:val="_PLD_ce5f5dd10ce14f14b2630fa4d067c065"/>
                <w:id w:val="-1508359228"/>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881F5F" w:rsidRDefault="00881F5F" w:rsidP="00881F5F">
                    <w:r>
                      <w:rPr>
                        <w:rFonts w:hint="eastAsia"/>
                      </w:rPr>
                      <w:t>现金的期末余额</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vAlign w:val="center"/>
              </w:tcPr>
              <w:p w:rsidR="00881F5F" w:rsidRDefault="00881F5F" w:rsidP="00881F5F">
                <w:pPr>
                  <w:jc w:val="right"/>
                </w:pPr>
                <w:r>
                  <w:t>62,603,497,384</w:t>
                </w:r>
              </w:p>
            </w:tc>
            <w:tc>
              <w:tcPr>
                <w:tcW w:w="1529" w:type="pct"/>
                <w:tcBorders>
                  <w:top w:val="outset" w:sz="4" w:space="0" w:color="auto"/>
                  <w:left w:val="outset" w:sz="4" w:space="0" w:color="auto"/>
                  <w:bottom w:val="outset" w:sz="4" w:space="0" w:color="auto"/>
                  <w:right w:val="outset" w:sz="4" w:space="0" w:color="auto"/>
                </w:tcBorders>
                <w:shd w:val="clear" w:color="auto" w:fill="auto"/>
                <w:vAlign w:val="center"/>
              </w:tcPr>
              <w:p w:rsidR="00881F5F" w:rsidRDefault="00881F5F" w:rsidP="00881F5F">
                <w:pPr>
                  <w:jc w:val="right"/>
                </w:pPr>
                <w:r>
                  <w:t>59,416,293,080</w:t>
                </w:r>
              </w:p>
            </w:tc>
          </w:tr>
          <w:tr w:rsidR="00881F5F" w:rsidTr="0091107D">
            <w:sdt>
              <w:sdtPr>
                <w:tag w:val="_PLD_4086e070f5d54fb29cce570f72724cbb"/>
                <w:id w:val="119740070"/>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881F5F" w:rsidRDefault="00881F5F" w:rsidP="00881F5F">
                    <w:r>
                      <w:rPr>
                        <w:rFonts w:hint="eastAsia"/>
                      </w:rPr>
                      <w:t>减：现金的期初余额</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vAlign w:val="center"/>
              </w:tcPr>
              <w:p w:rsidR="00881F5F" w:rsidRDefault="00881F5F" w:rsidP="00881F5F">
                <w:pPr>
                  <w:jc w:val="right"/>
                  <w:rPr>
                    <w:bCs/>
                  </w:rPr>
                </w:pPr>
                <w:r>
                  <w:t>59,416,293,080</w:t>
                </w:r>
              </w:p>
            </w:tc>
            <w:tc>
              <w:tcPr>
                <w:tcW w:w="1529" w:type="pct"/>
                <w:tcBorders>
                  <w:top w:val="outset" w:sz="4" w:space="0" w:color="auto"/>
                  <w:left w:val="outset" w:sz="4" w:space="0" w:color="auto"/>
                  <w:bottom w:val="outset" w:sz="4" w:space="0" w:color="auto"/>
                  <w:right w:val="outset" w:sz="4" w:space="0" w:color="auto"/>
                </w:tcBorders>
                <w:shd w:val="clear" w:color="auto" w:fill="auto"/>
                <w:vAlign w:val="center"/>
              </w:tcPr>
              <w:p w:rsidR="00881F5F" w:rsidRDefault="00881F5F" w:rsidP="00881F5F">
                <w:pPr>
                  <w:jc w:val="right"/>
                  <w:rPr>
                    <w:bCs/>
                  </w:rPr>
                </w:pPr>
                <w:r>
                  <w:t>52,087,375,948</w:t>
                </w:r>
              </w:p>
            </w:tc>
          </w:tr>
          <w:tr w:rsidR="00881F5F" w:rsidTr="0091107D">
            <w:sdt>
              <w:sdtPr>
                <w:tag w:val="_PLD_1c91c4a914b649cfab66292de8099b2d"/>
                <w:id w:val="559058491"/>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881F5F" w:rsidRDefault="00881F5F" w:rsidP="00881F5F">
                    <w:r>
                      <w:rPr>
                        <w:rFonts w:hint="eastAsia"/>
                      </w:rPr>
                      <w:t>加：现金等价物的期末余额</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tcPr>
              <w:p w:rsidR="00881F5F" w:rsidRDefault="00881F5F" w:rsidP="00881F5F">
                <w:pPr>
                  <w:jc w:val="right"/>
                </w:pPr>
              </w:p>
            </w:tc>
            <w:tc>
              <w:tcPr>
                <w:tcW w:w="1529" w:type="pct"/>
                <w:tcBorders>
                  <w:top w:val="outset" w:sz="4" w:space="0" w:color="auto"/>
                  <w:left w:val="outset" w:sz="4" w:space="0" w:color="auto"/>
                  <w:bottom w:val="outset" w:sz="4" w:space="0" w:color="auto"/>
                  <w:right w:val="outset" w:sz="4" w:space="0" w:color="auto"/>
                </w:tcBorders>
                <w:shd w:val="clear" w:color="auto" w:fill="auto"/>
              </w:tcPr>
              <w:p w:rsidR="00881F5F" w:rsidRDefault="00881F5F" w:rsidP="00881F5F">
                <w:pPr>
                  <w:jc w:val="right"/>
                </w:pPr>
              </w:p>
            </w:tc>
          </w:tr>
          <w:tr w:rsidR="00881F5F" w:rsidTr="0091107D">
            <w:sdt>
              <w:sdtPr>
                <w:tag w:val="_PLD_3477f6eacd034d7382014e3c1eb89ed3"/>
                <w:id w:val="-1033194274"/>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881F5F" w:rsidRDefault="00881F5F" w:rsidP="00881F5F">
                    <w:r>
                      <w:rPr>
                        <w:rFonts w:hint="eastAsia"/>
                      </w:rPr>
                      <w:t>减：现金等价物的期初余额</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vAlign w:val="center"/>
              </w:tcPr>
              <w:p w:rsidR="00881F5F" w:rsidRDefault="00881F5F" w:rsidP="00881F5F">
                <w:pPr>
                  <w:jc w:val="right"/>
                  <w:rPr>
                    <w:bCs/>
                  </w:rPr>
                </w:pPr>
              </w:p>
            </w:tc>
            <w:tc>
              <w:tcPr>
                <w:tcW w:w="1529" w:type="pct"/>
                <w:tcBorders>
                  <w:top w:val="outset" w:sz="4" w:space="0" w:color="auto"/>
                  <w:left w:val="outset" w:sz="4" w:space="0" w:color="auto"/>
                  <w:bottom w:val="outset" w:sz="4" w:space="0" w:color="auto"/>
                  <w:right w:val="outset" w:sz="4" w:space="0" w:color="auto"/>
                </w:tcBorders>
                <w:shd w:val="clear" w:color="auto" w:fill="auto"/>
                <w:vAlign w:val="center"/>
              </w:tcPr>
              <w:p w:rsidR="00881F5F" w:rsidRDefault="00881F5F" w:rsidP="00881F5F">
                <w:pPr>
                  <w:jc w:val="right"/>
                  <w:rPr>
                    <w:bCs/>
                  </w:rPr>
                </w:pPr>
              </w:p>
            </w:tc>
          </w:tr>
          <w:tr w:rsidR="00881F5F" w:rsidTr="00DB008B">
            <w:sdt>
              <w:sdtPr>
                <w:tag w:val="_PLD_2ea0766a6a7d4c8bbcf5d81bbec324ef"/>
                <w:id w:val="530689984"/>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881F5F" w:rsidRDefault="00881F5F" w:rsidP="00881F5F">
                    <w:r>
                      <w:rPr>
                        <w:rFonts w:hint="eastAsia"/>
                      </w:rPr>
                      <w:t>现金及现金等价物净增加额</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vAlign w:val="center"/>
              </w:tcPr>
              <w:p w:rsidR="00881F5F" w:rsidRDefault="00881F5F" w:rsidP="00881F5F">
                <w:pPr>
                  <w:jc w:val="right"/>
                </w:pPr>
                <w:r>
                  <w:t>3,187,204,304</w:t>
                </w:r>
              </w:p>
            </w:tc>
            <w:tc>
              <w:tcPr>
                <w:tcW w:w="1529" w:type="pct"/>
                <w:tcBorders>
                  <w:top w:val="outset" w:sz="4" w:space="0" w:color="auto"/>
                  <w:left w:val="outset" w:sz="4" w:space="0" w:color="auto"/>
                  <w:bottom w:val="outset" w:sz="4" w:space="0" w:color="auto"/>
                  <w:right w:val="outset" w:sz="4" w:space="0" w:color="auto"/>
                </w:tcBorders>
                <w:shd w:val="clear" w:color="auto" w:fill="auto"/>
                <w:vAlign w:val="center"/>
              </w:tcPr>
              <w:p w:rsidR="00881F5F" w:rsidRDefault="00881F5F" w:rsidP="00881F5F">
                <w:pPr>
                  <w:jc w:val="right"/>
                  <w:rPr>
                    <w:bCs/>
                  </w:rPr>
                </w:pPr>
                <w:r>
                  <w:t>7,328,917,132</w:t>
                </w:r>
              </w:p>
            </w:tc>
          </w:tr>
        </w:tbl>
        <w:p w:rsidR="00806678" w:rsidRDefault="00F80B6C"/>
      </w:sdtContent>
    </w:sdt>
    <w:sdt>
      <w:sdtPr>
        <w:rPr>
          <w:rFonts w:ascii="宋体" w:eastAsia="宋体" w:hAnsi="宋体" w:cs="宋体" w:hint="eastAsia"/>
          <w:b w:val="0"/>
          <w:bCs w:val="0"/>
          <w:kern w:val="0"/>
          <w:szCs w:val="24"/>
        </w:rPr>
        <w:alias w:val="模块:取得子公司支付的现金净额"/>
        <w:tag w:val="_SEC_971240b1511b4283b56dedb17a919272"/>
        <w:id w:val="-95494176"/>
        <w:lock w:val="sdtLocked"/>
        <w:placeholder>
          <w:docPart w:val="GBC22222222222222222222222222222"/>
        </w:placeholder>
      </w:sdtPr>
      <w:sdtEndPr>
        <w:rPr>
          <w:szCs w:val="21"/>
        </w:rPr>
      </w:sdtEndPr>
      <w:sdtContent>
        <w:p w:rsidR="00806678" w:rsidRDefault="00B16377" w:rsidP="00FF17C7">
          <w:pPr>
            <w:pStyle w:val="4"/>
            <w:numPr>
              <w:ilvl w:val="0"/>
              <w:numId w:val="102"/>
            </w:numPr>
            <w:ind w:left="426" w:hanging="426"/>
          </w:pPr>
          <w:r>
            <w:rPr>
              <w:rFonts w:hint="eastAsia"/>
            </w:rPr>
            <w:t>本期</w:t>
          </w:r>
          <w:r>
            <w:rPr>
              <w:rFonts w:ascii="宋体" w:hAnsi="宋体" w:cs="宋体" w:hint="eastAsia"/>
              <w:kern w:val="0"/>
            </w:rPr>
            <w:t>支付的</w:t>
          </w:r>
          <w:r>
            <w:rPr>
              <w:rFonts w:hint="eastAsia"/>
            </w:rPr>
            <w:t>取得子公司的现金净额</w:t>
          </w:r>
        </w:p>
        <w:p w:rsidR="00806678" w:rsidRDefault="00F80B6C">
          <w:sdt>
            <w:sdtPr>
              <w:alias w:val="是否适用：本期支付的取得子公司的现金净额[双击切换]"/>
              <w:tag w:val="_GBC_e15d87c710624e119515f4697cba951d"/>
              <w:id w:val="-196019092"/>
              <w:lock w:val="sdtLocked"/>
              <w:placeholder>
                <w:docPart w:val="GBC22222222222222222222222222222"/>
              </w:placeholder>
            </w:sdtPr>
            <w:sdtContent>
              <w:r>
                <w:fldChar w:fldCharType="begin"/>
              </w:r>
              <w:r w:rsidR="00C35436">
                <w:instrText xml:space="preserve">MACROBUTTON  SnrToggleCheckbox □适用 </w:instrText>
              </w:r>
              <w:r>
                <w:fldChar w:fldCharType="end"/>
              </w:r>
              <w:r>
                <w:fldChar w:fldCharType="begin"/>
              </w:r>
              <w:r w:rsidR="00C35436">
                <w:instrText xml:space="preserve"> MACROBUTTON  SnrToggleCheckbox √不适用 </w:instrText>
              </w:r>
              <w:r>
                <w:fldChar w:fldCharType="end"/>
              </w:r>
            </w:sdtContent>
          </w:sdt>
        </w:p>
      </w:sdtContent>
    </w:sdt>
    <w:sdt>
      <w:sdtPr>
        <w:rPr>
          <w:rFonts w:ascii="宋体" w:eastAsia="宋体" w:hAnsi="宋体" w:cs="宋体" w:hint="eastAsia"/>
          <w:b w:val="0"/>
          <w:bCs w:val="0"/>
          <w:kern w:val="0"/>
          <w:szCs w:val="24"/>
        </w:rPr>
        <w:alias w:val="模块:处置子公司收到的现金净额"/>
        <w:tag w:val="_SEC_c13aa60d3ee2485187cd10bae50b72d3"/>
        <w:id w:val="225034538"/>
        <w:lock w:val="sdtLocked"/>
        <w:placeholder>
          <w:docPart w:val="GBC22222222222222222222222222222"/>
        </w:placeholder>
      </w:sdtPr>
      <w:sdtContent>
        <w:p w:rsidR="00806678" w:rsidRDefault="00B16377" w:rsidP="00FF17C7">
          <w:pPr>
            <w:pStyle w:val="4"/>
            <w:numPr>
              <w:ilvl w:val="0"/>
              <w:numId w:val="102"/>
            </w:numPr>
            <w:ind w:left="426" w:hanging="426"/>
          </w:pPr>
          <w:r>
            <w:rPr>
              <w:rFonts w:ascii="宋体" w:hAnsi="宋体" w:cs="宋体" w:hint="eastAsia"/>
              <w:kern w:val="0"/>
              <w:szCs w:val="24"/>
            </w:rPr>
            <w:t>本期收到的</w:t>
          </w:r>
          <w:r>
            <w:rPr>
              <w:rFonts w:hint="eastAsia"/>
            </w:rPr>
            <w:t>处置子公司的现金净额</w:t>
          </w:r>
        </w:p>
        <w:p w:rsidR="00C01624" w:rsidRDefault="00F80B6C">
          <w:sdt>
            <w:sdtPr>
              <w:alias w:val="是否适用：本期收到的处置子公司的现金净额[双击切换]"/>
              <w:tag w:val="_GBC_34f955c7fd1f404b9df6ccd09e080d38"/>
              <w:id w:val="-1428414853"/>
              <w:lock w:val="sdtLocked"/>
              <w:placeholder>
                <w:docPart w:val="GBC22222222222222222222222222222"/>
              </w:placeholder>
            </w:sdtPr>
            <w:sdtContent>
              <w:r>
                <w:fldChar w:fldCharType="begin"/>
              </w:r>
              <w:r w:rsidR="00C35436">
                <w:instrText xml:space="preserve">MACROBUTTON  SnrToggleCheckbox □适用 </w:instrText>
              </w:r>
              <w:r>
                <w:fldChar w:fldCharType="end"/>
              </w:r>
              <w:r>
                <w:fldChar w:fldCharType="begin"/>
              </w:r>
              <w:r w:rsidR="00C35436">
                <w:instrText xml:space="preserve"> MACROBUTTON  SnrToggleCheckbox √不适用 </w:instrText>
              </w:r>
              <w:r>
                <w:fldChar w:fldCharType="end"/>
              </w:r>
            </w:sdtContent>
          </w:sdt>
        </w:p>
        <w:p w:rsidR="00806678" w:rsidRDefault="00F80B6C"/>
      </w:sdtContent>
    </w:sdt>
    <w:sdt>
      <w:sdtPr>
        <w:rPr>
          <w:rFonts w:ascii="宋体" w:eastAsia="宋体" w:hAnsi="宋体" w:cs="宋体" w:hint="eastAsia"/>
          <w:b w:val="0"/>
          <w:bCs w:val="0"/>
          <w:kern w:val="0"/>
          <w:szCs w:val="24"/>
        </w:rPr>
        <w:alias w:val="模块:现金和现金等价物的构成"/>
        <w:tag w:val="_SEC_4dd83b47da414fd18ef87a83dbc8a22a"/>
        <w:id w:val="1539233309"/>
        <w:lock w:val="sdtLocked"/>
        <w:placeholder>
          <w:docPart w:val="GBC22222222222222222222222222222"/>
        </w:placeholder>
      </w:sdtPr>
      <w:sdtEndPr>
        <w:rPr>
          <w:rFonts w:hint="default"/>
          <w:szCs w:val="22"/>
        </w:rPr>
      </w:sdtEndPr>
      <w:sdtContent>
        <w:p w:rsidR="00806678" w:rsidRDefault="00B16377" w:rsidP="00FF17C7">
          <w:pPr>
            <w:pStyle w:val="4"/>
            <w:numPr>
              <w:ilvl w:val="0"/>
              <w:numId w:val="102"/>
            </w:numPr>
            <w:ind w:left="426" w:hanging="426"/>
          </w:pPr>
          <w:r>
            <w:rPr>
              <w:rFonts w:ascii="宋体" w:hAnsi="宋体" w:hint="eastAsia"/>
            </w:rPr>
            <w:t>现金</w:t>
          </w:r>
          <w:r>
            <w:rPr>
              <w:rFonts w:hint="eastAsia"/>
            </w:rPr>
            <w:t>和现金等价物的构成</w:t>
          </w:r>
        </w:p>
        <w:sdt>
          <w:sdtPr>
            <w:alias w:val="是否适用：现金和现金等价物的构成[双击切换]"/>
            <w:tag w:val="_GBC_491189eaa80041618842ef50d90276c8"/>
            <w:id w:val="-1956550684"/>
            <w:lock w:val="sdtLocked"/>
            <w:placeholder>
              <w:docPart w:val="GBC22222222222222222222222222222"/>
            </w:placeholder>
          </w:sdtPr>
          <w:sdtContent>
            <w:p w:rsidR="00806678" w:rsidRDefault="00F80B6C">
              <w:r>
                <w:fldChar w:fldCharType="begin"/>
              </w:r>
              <w:r w:rsidR="00C35436">
                <w:instrText xml:space="preserve">MACROBUTTON  SnrToggleCheckbox √适用 </w:instrText>
              </w:r>
              <w:r>
                <w:fldChar w:fldCharType="end"/>
              </w:r>
              <w:r>
                <w:fldChar w:fldCharType="begin"/>
              </w:r>
              <w:r w:rsidR="00C35436">
                <w:instrText xml:space="preserve"> MACROBUTTON  SnrToggleCheckbox □不适用 </w:instrText>
              </w:r>
              <w:r>
                <w:fldChar w:fldCharType="end"/>
              </w:r>
            </w:p>
          </w:sdtContent>
        </w:sdt>
        <w:p w:rsidR="00806678" w:rsidRDefault="00B16377">
          <w:pPr>
            <w:jc w:val="right"/>
            <w:rPr>
              <w:b/>
              <w:szCs w:val="21"/>
            </w:rPr>
          </w:pPr>
          <w:r>
            <w:rPr>
              <w:rFonts w:hint="eastAsia"/>
            </w:rPr>
            <w:t>单位：</w:t>
          </w:r>
          <w:sdt>
            <w:sdtPr>
              <w:rPr>
                <w:rFonts w:hint="eastAsia"/>
              </w:rPr>
              <w:alias w:val="单位：财务附注：现金和现金等价物的构成"/>
              <w:tag w:val="_GBC_ae4a256eecad4f3f9ecc6e2e71ab2c7d"/>
              <w:id w:val="190825956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现金和现金等价物的构成"/>
              <w:tag w:val="_GBC_1e71b89296f44d39ae92b46d95430c48"/>
              <w:id w:val="-40985063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93"/>
            <w:gridCol w:w="2921"/>
            <w:gridCol w:w="2735"/>
          </w:tblGrid>
          <w:tr w:rsidR="00806678" w:rsidTr="0091107D">
            <w:trPr>
              <w:trHeight w:val="285"/>
            </w:trPr>
            <w:sdt>
              <w:sdtPr>
                <w:tag w:val="_PLD_f236b4353ebb4174a1d752e2dd8d5962"/>
                <w:id w:val="-603734670"/>
                <w:lock w:val="sdtLocked"/>
              </w:sdtPr>
              <w:sdtContent>
                <w:tc>
                  <w:tcPr>
                    <w:tcW w:w="1875" w:type="pct"/>
                    <w:tcBorders>
                      <w:bottom w:val="single" w:sz="4" w:space="0" w:color="auto"/>
                    </w:tcBorders>
                    <w:shd w:val="clear" w:color="auto" w:fill="auto"/>
                    <w:vAlign w:val="center"/>
                  </w:tcPr>
                  <w:p w:rsidR="00806678" w:rsidRDefault="00B16377">
                    <w:pPr>
                      <w:ind w:leftChars="-51" w:left="-107"/>
                      <w:jc w:val="center"/>
                      <w:rPr>
                        <w:szCs w:val="21"/>
                      </w:rPr>
                    </w:pPr>
                    <w:r>
                      <w:rPr>
                        <w:rFonts w:hint="eastAsia"/>
                        <w:szCs w:val="21"/>
                      </w:rPr>
                      <w:t>项目</w:t>
                    </w:r>
                  </w:p>
                </w:tc>
              </w:sdtContent>
            </w:sdt>
            <w:sdt>
              <w:sdtPr>
                <w:tag w:val="_PLD_74f42234ca4e43f7b8ddb72b330e411d"/>
                <w:id w:val="886462945"/>
                <w:lock w:val="sdtLocked"/>
              </w:sdtPr>
              <w:sdtContent>
                <w:tc>
                  <w:tcPr>
                    <w:tcW w:w="1614" w:type="pct"/>
                    <w:shd w:val="clear" w:color="auto" w:fill="auto"/>
                    <w:vAlign w:val="center"/>
                  </w:tcPr>
                  <w:p w:rsidR="00806678" w:rsidRDefault="00B16377">
                    <w:pPr>
                      <w:jc w:val="center"/>
                      <w:rPr>
                        <w:szCs w:val="21"/>
                      </w:rPr>
                    </w:pPr>
                    <w:r>
                      <w:rPr>
                        <w:rFonts w:hint="eastAsia"/>
                        <w:szCs w:val="21"/>
                      </w:rPr>
                      <w:t>期末余额</w:t>
                    </w:r>
                  </w:p>
                </w:tc>
              </w:sdtContent>
            </w:sdt>
            <w:sdt>
              <w:sdtPr>
                <w:tag w:val="_PLD_acedd6f1968c4c8e9a0e547b5501996e"/>
                <w:id w:val="1388916377"/>
                <w:lock w:val="sdtLocked"/>
              </w:sdtPr>
              <w:sdtContent>
                <w:tc>
                  <w:tcPr>
                    <w:tcW w:w="1511" w:type="pct"/>
                    <w:shd w:val="clear" w:color="auto" w:fill="auto"/>
                  </w:tcPr>
                  <w:p w:rsidR="00806678" w:rsidRDefault="00B16377">
                    <w:pPr>
                      <w:jc w:val="center"/>
                      <w:rPr>
                        <w:szCs w:val="21"/>
                      </w:rPr>
                    </w:pPr>
                    <w:r>
                      <w:rPr>
                        <w:rFonts w:hint="eastAsia"/>
                        <w:szCs w:val="21"/>
                      </w:rPr>
                      <w:t>期初余额</w:t>
                    </w:r>
                  </w:p>
                </w:tc>
              </w:sdtContent>
            </w:sdt>
          </w:tr>
          <w:tr w:rsidR="00C35436" w:rsidTr="00DB008B">
            <w:trPr>
              <w:trHeight w:val="285"/>
            </w:trPr>
            <w:sdt>
              <w:sdtPr>
                <w:tag w:val="_PLD_c30974bcf6934ec0baf9b0fa14607d4b"/>
                <w:id w:val="11349896"/>
                <w:lock w:val="sdtLocked"/>
              </w:sdtPr>
              <w:sdtContent>
                <w:tc>
                  <w:tcPr>
                    <w:tcW w:w="1875" w:type="pct"/>
                    <w:shd w:val="clear" w:color="auto" w:fill="auto"/>
                    <w:vAlign w:val="center"/>
                  </w:tcPr>
                  <w:p w:rsidR="00C35436" w:rsidRDefault="00C35436" w:rsidP="00C35436">
                    <w:pPr>
                      <w:rPr>
                        <w:szCs w:val="21"/>
                      </w:rPr>
                    </w:pPr>
                    <w:r>
                      <w:rPr>
                        <w:rFonts w:hint="eastAsia"/>
                        <w:szCs w:val="21"/>
                      </w:rPr>
                      <w:t>一、现金</w:t>
                    </w:r>
                  </w:p>
                </w:tc>
              </w:sdtContent>
            </w:sdt>
            <w:tc>
              <w:tcPr>
                <w:tcW w:w="1614" w:type="pct"/>
                <w:shd w:val="clear" w:color="auto" w:fill="auto"/>
                <w:vAlign w:val="center"/>
              </w:tcPr>
              <w:p w:rsidR="00C35436" w:rsidRDefault="00C35436" w:rsidP="00C35436">
                <w:pPr>
                  <w:jc w:val="right"/>
                  <w:rPr>
                    <w:szCs w:val="21"/>
                  </w:rPr>
                </w:pPr>
                <w:r>
                  <w:t>62,603,497,384</w:t>
                </w:r>
              </w:p>
            </w:tc>
            <w:tc>
              <w:tcPr>
                <w:tcW w:w="1511" w:type="pct"/>
                <w:shd w:val="clear" w:color="auto" w:fill="auto"/>
                <w:vAlign w:val="center"/>
              </w:tcPr>
              <w:p w:rsidR="00C35436" w:rsidRDefault="00C35436" w:rsidP="00C35436">
                <w:pPr>
                  <w:jc w:val="right"/>
                  <w:rPr>
                    <w:szCs w:val="21"/>
                  </w:rPr>
                </w:pPr>
                <w:r>
                  <w:t>59,416,293,080</w:t>
                </w:r>
              </w:p>
            </w:tc>
          </w:tr>
          <w:tr w:rsidR="00C35436" w:rsidTr="00DB008B">
            <w:trPr>
              <w:trHeight w:val="285"/>
            </w:trPr>
            <w:sdt>
              <w:sdtPr>
                <w:tag w:val="_PLD_2448924633ff47a2a056b74831275190"/>
                <w:id w:val="-1257745638"/>
                <w:lock w:val="sdtLocked"/>
              </w:sdtPr>
              <w:sdtContent>
                <w:tc>
                  <w:tcPr>
                    <w:tcW w:w="1875" w:type="pct"/>
                    <w:shd w:val="clear" w:color="auto" w:fill="auto"/>
                    <w:vAlign w:val="center"/>
                  </w:tcPr>
                  <w:p w:rsidR="00C35436" w:rsidRDefault="00C35436" w:rsidP="00C35436">
                    <w:pPr>
                      <w:rPr>
                        <w:szCs w:val="21"/>
                      </w:rPr>
                    </w:pPr>
                    <w:r>
                      <w:rPr>
                        <w:rFonts w:hint="eastAsia"/>
                        <w:szCs w:val="21"/>
                      </w:rPr>
                      <w:t>其中：库存现金</w:t>
                    </w:r>
                  </w:p>
                </w:tc>
              </w:sdtContent>
            </w:sdt>
            <w:tc>
              <w:tcPr>
                <w:tcW w:w="1614" w:type="pct"/>
                <w:shd w:val="clear" w:color="auto" w:fill="auto"/>
                <w:vAlign w:val="center"/>
              </w:tcPr>
              <w:p w:rsidR="00C35436" w:rsidRDefault="00C35436" w:rsidP="00C35436">
                <w:pPr>
                  <w:jc w:val="right"/>
                  <w:rPr>
                    <w:szCs w:val="21"/>
                  </w:rPr>
                </w:pPr>
                <w:r>
                  <w:t>0</w:t>
                </w:r>
              </w:p>
            </w:tc>
            <w:tc>
              <w:tcPr>
                <w:tcW w:w="1511" w:type="pct"/>
                <w:shd w:val="clear" w:color="auto" w:fill="auto"/>
                <w:vAlign w:val="center"/>
              </w:tcPr>
              <w:p w:rsidR="00C35436" w:rsidRDefault="00C35436" w:rsidP="00C35436">
                <w:pPr>
                  <w:jc w:val="right"/>
                  <w:rPr>
                    <w:szCs w:val="21"/>
                  </w:rPr>
                </w:pPr>
                <w:r>
                  <w:t>0</w:t>
                </w:r>
              </w:p>
            </w:tc>
          </w:tr>
          <w:tr w:rsidR="00C35436" w:rsidTr="00DB008B">
            <w:trPr>
              <w:trHeight w:val="285"/>
            </w:trPr>
            <w:sdt>
              <w:sdtPr>
                <w:tag w:val="_PLD_7c1d37ef90854383849abb5794e386ca"/>
                <w:id w:val="1539778556"/>
                <w:lock w:val="sdtLocked"/>
              </w:sdtPr>
              <w:sdtContent>
                <w:tc>
                  <w:tcPr>
                    <w:tcW w:w="1875" w:type="pct"/>
                    <w:shd w:val="clear" w:color="auto" w:fill="auto"/>
                    <w:vAlign w:val="center"/>
                  </w:tcPr>
                  <w:p w:rsidR="00C35436" w:rsidRDefault="00C35436" w:rsidP="00C35436">
                    <w:pPr>
                      <w:rPr>
                        <w:szCs w:val="21"/>
                      </w:rPr>
                    </w:pPr>
                    <w:r>
                      <w:rPr>
                        <w:rFonts w:hint="eastAsia"/>
                        <w:szCs w:val="21"/>
                      </w:rPr>
                      <w:t xml:space="preserve">　　可随时用于支付的银行存款</w:t>
                    </w:r>
                  </w:p>
                </w:tc>
              </w:sdtContent>
            </w:sdt>
            <w:tc>
              <w:tcPr>
                <w:tcW w:w="1614" w:type="pct"/>
                <w:shd w:val="clear" w:color="auto" w:fill="auto"/>
                <w:vAlign w:val="center"/>
              </w:tcPr>
              <w:p w:rsidR="00C35436" w:rsidRDefault="00C35436" w:rsidP="00C35436">
                <w:pPr>
                  <w:jc w:val="right"/>
                  <w:rPr>
                    <w:szCs w:val="21"/>
                  </w:rPr>
                </w:pPr>
                <w:r>
                  <w:t>62,595,731,431</w:t>
                </w:r>
              </w:p>
            </w:tc>
            <w:tc>
              <w:tcPr>
                <w:tcW w:w="1511" w:type="pct"/>
                <w:shd w:val="clear" w:color="auto" w:fill="auto"/>
                <w:vAlign w:val="center"/>
              </w:tcPr>
              <w:p w:rsidR="00C35436" w:rsidRDefault="00C35436" w:rsidP="00C35436">
                <w:pPr>
                  <w:jc w:val="right"/>
                  <w:rPr>
                    <w:szCs w:val="21"/>
                  </w:rPr>
                </w:pPr>
                <w:r>
                  <w:t>59,402,657,866</w:t>
                </w:r>
              </w:p>
            </w:tc>
          </w:tr>
          <w:tr w:rsidR="00C35436" w:rsidTr="00DB008B">
            <w:trPr>
              <w:trHeight w:val="285"/>
            </w:trPr>
            <w:sdt>
              <w:sdtPr>
                <w:tag w:val="_PLD_edb06094538948b280e2e88028c5768c"/>
                <w:id w:val="953132829"/>
                <w:lock w:val="sdtLocked"/>
              </w:sdtPr>
              <w:sdtContent>
                <w:tc>
                  <w:tcPr>
                    <w:tcW w:w="1875" w:type="pct"/>
                    <w:shd w:val="clear" w:color="auto" w:fill="auto"/>
                    <w:vAlign w:val="center"/>
                  </w:tcPr>
                  <w:p w:rsidR="00C35436" w:rsidRDefault="00C35436" w:rsidP="00C35436">
                    <w:pPr>
                      <w:rPr>
                        <w:szCs w:val="21"/>
                      </w:rPr>
                    </w:pPr>
                    <w:r>
                      <w:rPr>
                        <w:rFonts w:hint="eastAsia"/>
                        <w:szCs w:val="21"/>
                      </w:rPr>
                      <w:t xml:space="preserve">　　可随时用于支付的其他货币资金</w:t>
                    </w:r>
                  </w:p>
                </w:tc>
              </w:sdtContent>
            </w:sdt>
            <w:tc>
              <w:tcPr>
                <w:tcW w:w="1614" w:type="pct"/>
                <w:shd w:val="clear" w:color="auto" w:fill="auto"/>
                <w:vAlign w:val="center"/>
              </w:tcPr>
              <w:p w:rsidR="00C35436" w:rsidRDefault="00C35436" w:rsidP="00C35436">
                <w:pPr>
                  <w:jc w:val="right"/>
                  <w:rPr>
                    <w:szCs w:val="21"/>
                  </w:rPr>
                </w:pPr>
                <w:r>
                  <w:t>7,765,953</w:t>
                </w:r>
              </w:p>
            </w:tc>
            <w:tc>
              <w:tcPr>
                <w:tcW w:w="1511" w:type="pct"/>
                <w:shd w:val="clear" w:color="auto" w:fill="auto"/>
                <w:vAlign w:val="center"/>
              </w:tcPr>
              <w:p w:rsidR="00C35436" w:rsidRDefault="00C35436" w:rsidP="00C35436">
                <w:pPr>
                  <w:jc w:val="right"/>
                  <w:rPr>
                    <w:szCs w:val="21"/>
                  </w:rPr>
                </w:pPr>
                <w:r>
                  <w:t>13,635,214</w:t>
                </w:r>
              </w:p>
            </w:tc>
          </w:tr>
          <w:tr w:rsidR="00C35436" w:rsidTr="0091107D">
            <w:trPr>
              <w:trHeight w:val="285"/>
            </w:trPr>
            <w:sdt>
              <w:sdtPr>
                <w:tag w:val="_PLD_77b2ead3898a4e50a1fbacd39f88a461"/>
                <w:id w:val="1753700974"/>
                <w:lock w:val="sdtLocked"/>
              </w:sdtPr>
              <w:sdtContent>
                <w:tc>
                  <w:tcPr>
                    <w:tcW w:w="1875" w:type="pct"/>
                    <w:shd w:val="clear" w:color="auto" w:fill="auto"/>
                    <w:vAlign w:val="center"/>
                  </w:tcPr>
                  <w:p w:rsidR="00C35436" w:rsidRDefault="00C35436" w:rsidP="00C35436">
                    <w:pPr>
                      <w:rPr>
                        <w:szCs w:val="21"/>
                      </w:rPr>
                    </w:pPr>
                    <w:r>
                      <w:rPr>
                        <w:rFonts w:hint="eastAsia"/>
                        <w:szCs w:val="21"/>
                      </w:rPr>
                      <w:t xml:space="preserve">　　可用于支付的存放中央银行款项</w:t>
                    </w:r>
                  </w:p>
                </w:tc>
              </w:sdtContent>
            </w:sdt>
            <w:tc>
              <w:tcPr>
                <w:tcW w:w="1614" w:type="pct"/>
                <w:shd w:val="clear" w:color="auto" w:fill="auto"/>
              </w:tcPr>
              <w:p w:rsidR="00C35436" w:rsidRDefault="00C35436" w:rsidP="00C35436">
                <w:pPr>
                  <w:jc w:val="right"/>
                  <w:rPr>
                    <w:szCs w:val="21"/>
                  </w:rPr>
                </w:pPr>
              </w:p>
            </w:tc>
            <w:tc>
              <w:tcPr>
                <w:tcW w:w="1511" w:type="pct"/>
                <w:shd w:val="clear" w:color="auto" w:fill="auto"/>
              </w:tcPr>
              <w:p w:rsidR="00C35436" w:rsidRDefault="00C35436" w:rsidP="00C35436">
                <w:pPr>
                  <w:jc w:val="right"/>
                  <w:rPr>
                    <w:szCs w:val="21"/>
                  </w:rPr>
                </w:pPr>
              </w:p>
            </w:tc>
          </w:tr>
          <w:tr w:rsidR="00C35436" w:rsidTr="0091107D">
            <w:trPr>
              <w:trHeight w:val="285"/>
            </w:trPr>
            <w:sdt>
              <w:sdtPr>
                <w:tag w:val="_PLD_04f13530c5ee43daa46681c189519f4e"/>
                <w:id w:val="-1888719320"/>
                <w:lock w:val="sdtLocked"/>
              </w:sdtPr>
              <w:sdtContent>
                <w:tc>
                  <w:tcPr>
                    <w:tcW w:w="1875" w:type="pct"/>
                    <w:shd w:val="clear" w:color="auto" w:fill="auto"/>
                    <w:vAlign w:val="center"/>
                  </w:tcPr>
                  <w:p w:rsidR="00C35436" w:rsidRDefault="00C35436" w:rsidP="00C35436">
                    <w:pPr>
                      <w:rPr>
                        <w:szCs w:val="21"/>
                      </w:rPr>
                    </w:pPr>
                    <w:r>
                      <w:rPr>
                        <w:rFonts w:hint="eastAsia"/>
                        <w:szCs w:val="21"/>
                      </w:rPr>
                      <w:t xml:space="preserve">　　存放同业款项</w:t>
                    </w:r>
                  </w:p>
                </w:tc>
              </w:sdtContent>
            </w:sdt>
            <w:tc>
              <w:tcPr>
                <w:tcW w:w="1614" w:type="pct"/>
                <w:shd w:val="clear" w:color="auto" w:fill="auto"/>
              </w:tcPr>
              <w:p w:rsidR="00C35436" w:rsidRDefault="00C35436" w:rsidP="00C35436">
                <w:pPr>
                  <w:jc w:val="right"/>
                  <w:rPr>
                    <w:szCs w:val="21"/>
                  </w:rPr>
                </w:pPr>
              </w:p>
            </w:tc>
            <w:tc>
              <w:tcPr>
                <w:tcW w:w="1511" w:type="pct"/>
                <w:shd w:val="clear" w:color="auto" w:fill="auto"/>
              </w:tcPr>
              <w:p w:rsidR="00C35436" w:rsidRDefault="00C35436" w:rsidP="00C35436">
                <w:pPr>
                  <w:jc w:val="right"/>
                  <w:rPr>
                    <w:szCs w:val="21"/>
                  </w:rPr>
                </w:pPr>
              </w:p>
            </w:tc>
          </w:tr>
          <w:tr w:rsidR="00C35436" w:rsidTr="0091107D">
            <w:trPr>
              <w:trHeight w:val="285"/>
            </w:trPr>
            <w:sdt>
              <w:sdtPr>
                <w:tag w:val="_PLD_b930b521ee7d44c485fa175f84415f98"/>
                <w:id w:val="1002250213"/>
                <w:lock w:val="sdtLocked"/>
              </w:sdtPr>
              <w:sdtContent>
                <w:tc>
                  <w:tcPr>
                    <w:tcW w:w="1875" w:type="pct"/>
                    <w:shd w:val="clear" w:color="auto" w:fill="auto"/>
                    <w:vAlign w:val="center"/>
                  </w:tcPr>
                  <w:p w:rsidR="00C35436" w:rsidRDefault="00C35436" w:rsidP="00C35436">
                    <w:pPr>
                      <w:rPr>
                        <w:szCs w:val="21"/>
                      </w:rPr>
                    </w:pPr>
                    <w:r>
                      <w:rPr>
                        <w:rFonts w:hint="eastAsia"/>
                        <w:szCs w:val="21"/>
                      </w:rPr>
                      <w:t xml:space="preserve">　　拆放同业款项</w:t>
                    </w:r>
                  </w:p>
                </w:tc>
              </w:sdtContent>
            </w:sdt>
            <w:tc>
              <w:tcPr>
                <w:tcW w:w="1614" w:type="pct"/>
                <w:shd w:val="clear" w:color="auto" w:fill="auto"/>
              </w:tcPr>
              <w:p w:rsidR="00C35436" w:rsidRDefault="00C35436" w:rsidP="00C35436">
                <w:pPr>
                  <w:jc w:val="right"/>
                  <w:rPr>
                    <w:szCs w:val="21"/>
                  </w:rPr>
                </w:pPr>
              </w:p>
            </w:tc>
            <w:tc>
              <w:tcPr>
                <w:tcW w:w="1511" w:type="pct"/>
                <w:shd w:val="clear" w:color="auto" w:fill="auto"/>
              </w:tcPr>
              <w:p w:rsidR="00C35436" w:rsidRDefault="00C35436" w:rsidP="00C35436">
                <w:pPr>
                  <w:jc w:val="right"/>
                  <w:rPr>
                    <w:szCs w:val="21"/>
                  </w:rPr>
                </w:pPr>
              </w:p>
            </w:tc>
          </w:tr>
          <w:tr w:rsidR="00C35436" w:rsidTr="0091107D">
            <w:trPr>
              <w:trHeight w:val="285"/>
            </w:trPr>
            <w:sdt>
              <w:sdtPr>
                <w:tag w:val="_PLD_f00d7a66342f4877aaddfcaf2bb31e3d"/>
                <w:id w:val="-555708183"/>
                <w:lock w:val="sdtLocked"/>
              </w:sdtPr>
              <w:sdtContent>
                <w:tc>
                  <w:tcPr>
                    <w:tcW w:w="1875" w:type="pct"/>
                    <w:shd w:val="clear" w:color="auto" w:fill="auto"/>
                    <w:vAlign w:val="center"/>
                  </w:tcPr>
                  <w:p w:rsidR="00C35436" w:rsidRDefault="00C35436" w:rsidP="00C35436">
                    <w:pPr>
                      <w:rPr>
                        <w:szCs w:val="21"/>
                      </w:rPr>
                    </w:pPr>
                    <w:r>
                      <w:rPr>
                        <w:rFonts w:hint="eastAsia"/>
                        <w:szCs w:val="21"/>
                      </w:rPr>
                      <w:t>二、现金等价物</w:t>
                    </w:r>
                  </w:p>
                </w:tc>
              </w:sdtContent>
            </w:sdt>
            <w:tc>
              <w:tcPr>
                <w:tcW w:w="1614" w:type="pct"/>
                <w:shd w:val="clear" w:color="auto" w:fill="auto"/>
              </w:tcPr>
              <w:p w:rsidR="00C35436" w:rsidRDefault="00C35436" w:rsidP="00C35436">
                <w:pPr>
                  <w:jc w:val="right"/>
                  <w:rPr>
                    <w:szCs w:val="21"/>
                  </w:rPr>
                </w:pPr>
              </w:p>
            </w:tc>
            <w:tc>
              <w:tcPr>
                <w:tcW w:w="1511" w:type="pct"/>
                <w:shd w:val="clear" w:color="auto" w:fill="auto"/>
              </w:tcPr>
              <w:p w:rsidR="00C35436" w:rsidRDefault="00C35436" w:rsidP="00C35436">
                <w:pPr>
                  <w:jc w:val="right"/>
                  <w:rPr>
                    <w:szCs w:val="21"/>
                  </w:rPr>
                </w:pPr>
              </w:p>
            </w:tc>
          </w:tr>
          <w:tr w:rsidR="00C35436" w:rsidTr="0091107D">
            <w:trPr>
              <w:trHeight w:val="285"/>
            </w:trPr>
            <w:sdt>
              <w:sdtPr>
                <w:tag w:val="_PLD_16299fa18d31408093e302515df85929"/>
                <w:id w:val="-1687668300"/>
                <w:lock w:val="sdtLocked"/>
              </w:sdtPr>
              <w:sdtContent>
                <w:tc>
                  <w:tcPr>
                    <w:tcW w:w="1875" w:type="pct"/>
                    <w:tcBorders>
                      <w:bottom w:val="single" w:sz="4" w:space="0" w:color="auto"/>
                    </w:tcBorders>
                    <w:shd w:val="clear" w:color="auto" w:fill="auto"/>
                    <w:vAlign w:val="center"/>
                  </w:tcPr>
                  <w:p w:rsidR="00C35436" w:rsidRDefault="00C35436" w:rsidP="00C35436">
                    <w:pPr>
                      <w:rPr>
                        <w:szCs w:val="21"/>
                      </w:rPr>
                    </w:pPr>
                    <w:r>
                      <w:rPr>
                        <w:rFonts w:hint="eastAsia"/>
                        <w:szCs w:val="21"/>
                      </w:rPr>
                      <w:t>其中：三个月内到期的债券投资</w:t>
                    </w:r>
                  </w:p>
                </w:tc>
              </w:sdtContent>
            </w:sdt>
            <w:tc>
              <w:tcPr>
                <w:tcW w:w="1614" w:type="pct"/>
                <w:tcBorders>
                  <w:bottom w:val="single" w:sz="4" w:space="0" w:color="auto"/>
                </w:tcBorders>
                <w:shd w:val="clear" w:color="auto" w:fill="auto"/>
              </w:tcPr>
              <w:p w:rsidR="00C35436" w:rsidRDefault="00C35436" w:rsidP="00C35436">
                <w:pPr>
                  <w:jc w:val="right"/>
                  <w:rPr>
                    <w:szCs w:val="21"/>
                  </w:rPr>
                </w:pPr>
              </w:p>
            </w:tc>
            <w:tc>
              <w:tcPr>
                <w:tcW w:w="1511" w:type="pct"/>
                <w:tcBorders>
                  <w:bottom w:val="single" w:sz="4" w:space="0" w:color="auto"/>
                </w:tcBorders>
                <w:shd w:val="clear" w:color="auto" w:fill="auto"/>
              </w:tcPr>
              <w:p w:rsidR="00C35436" w:rsidRDefault="00C35436" w:rsidP="00C35436">
                <w:pPr>
                  <w:jc w:val="right"/>
                  <w:rPr>
                    <w:szCs w:val="21"/>
                  </w:rPr>
                </w:pPr>
              </w:p>
            </w:tc>
          </w:tr>
          <w:tr w:rsidR="00C35436" w:rsidTr="00DB008B">
            <w:trPr>
              <w:trHeight w:val="285"/>
            </w:trPr>
            <w:sdt>
              <w:sdtPr>
                <w:tag w:val="_PLD_c0edd92776694605b840649582e6ae33"/>
                <w:id w:val="-304321662"/>
                <w:lock w:val="sdtLocked"/>
              </w:sdtPr>
              <w:sdtContent>
                <w:tc>
                  <w:tcPr>
                    <w:tcW w:w="1875" w:type="pct"/>
                    <w:shd w:val="clear" w:color="auto" w:fill="auto"/>
                    <w:vAlign w:val="center"/>
                  </w:tcPr>
                  <w:p w:rsidR="00C35436" w:rsidRDefault="00C35436" w:rsidP="00C35436">
                    <w:pPr>
                      <w:rPr>
                        <w:szCs w:val="21"/>
                      </w:rPr>
                    </w:pPr>
                    <w:r>
                      <w:rPr>
                        <w:rFonts w:hint="eastAsia"/>
                        <w:szCs w:val="21"/>
                      </w:rPr>
                      <w:t>三、期末现金及现金等价物余额</w:t>
                    </w:r>
                  </w:p>
                </w:tc>
              </w:sdtContent>
            </w:sdt>
            <w:tc>
              <w:tcPr>
                <w:tcW w:w="1614" w:type="pct"/>
                <w:shd w:val="clear" w:color="auto" w:fill="auto"/>
                <w:vAlign w:val="center"/>
              </w:tcPr>
              <w:p w:rsidR="00C35436" w:rsidRDefault="00C35436" w:rsidP="00C35436">
                <w:pPr>
                  <w:jc w:val="right"/>
                  <w:rPr>
                    <w:szCs w:val="21"/>
                  </w:rPr>
                </w:pPr>
                <w:r>
                  <w:t>62,603,497,384</w:t>
                </w:r>
              </w:p>
            </w:tc>
            <w:tc>
              <w:tcPr>
                <w:tcW w:w="1511" w:type="pct"/>
                <w:shd w:val="clear" w:color="auto" w:fill="auto"/>
                <w:vAlign w:val="center"/>
              </w:tcPr>
              <w:p w:rsidR="00C35436" w:rsidRDefault="00C35436" w:rsidP="00C35436">
                <w:pPr>
                  <w:jc w:val="right"/>
                  <w:rPr>
                    <w:szCs w:val="21"/>
                  </w:rPr>
                </w:pPr>
                <w:r>
                  <w:t>59,416,293,080</w:t>
                </w:r>
              </w:p>
            </w:tc>
          </w:tr>
          <w:tr w:rsidR="00C35436" w:rsidTr="0091107D">
            <w:trPr>
              <w:trHeight w:val="285"/>
            </w:trPr>
            <w:sdt>
              <w:sdtPr>
                <w:tag w:val="_PLD_106c165f11654e62a63b02963df9683a"/>
                <w:id w:val="-1135101515"/>
                <w:lock w:val="sdtLocked"/>
              </w:sdtPr>
              <w:sdtContent>
                <w:tc>
                  <w:tcPr>
                    <w:tcW w:w="1875" w:type="pct"/>
                    <w:shd w:val="clear" w:color="auto" w:fill="auto"/>
                    <w:vAlign w:val="center"/>
                  </w:tcPr>
                  <w:p w:rsidR="00C35436" w:rsidRDefault="00C35436" w:rsidP="00C35436">
                    <w:pPr>
                      <w:rPr>
                        <w:szCs w:val="21"/>
                      </w:rPr>
                    </w:pPr>
                    <w:r>
                      <w:rPr>
                        <w:rFonts w:hint="eastAsia"/>
                        <w:szCs w:val="21"/>
                      </w:rPr>
                      <w:t>其中：母公司或集团内子公司使用受限制的现金和现金等价物</w:t>
                    </w:r>
                  </w:p>
                </w:tc>
              </w:sdtContent>
            </w:sdt>
            <w:tc>
              <w:tcPr>
                <w:tcW w:w="1614" w:type="pct"/>
                <w:shd w:val="clear" w:color="auto" w:fill="auto"/>
              </w:tcPr>
              <w:p w:rsidR="00C35436" w:rsidRDefault="00C35436" w:rsidP="00C35436">
                <w:pPr>
                  <w:jc w:val="right"/>
                  <w:rPr>
                    <w:szCs w:val="21"/>
                  </w:rPr>
                </w:pPr>
              </w:p>
            </w:tc>
            <w:tc>
              <w:tcPr>
                <w:tcW w:w="1511" w:type="pct"/>
                <w:shd w:val="clear" w:color="auto" w:fill="auto"/>
              </w:tcPr>
              <w:p w:rsidR="00C35436" w:rsidRDefault="00C35436" w:rsidP="00C35436">
                <w:pPr>
                  <w:jc w:val="right"/>
                  <w:rPr>
                    <w:szCs w:val="21"/>
                  </w:rPr>
                </w:pPr>
              </w:p>
            </w:tc>
          </w:tr>
        </w:tbl>
        <w:p w:rsidR="00806678" w:rsidRDefault="00806678">
          <w:pPr>
            <w:spacing w:before="60" w:after="60"/>
            <w:rPr>
              <w:szCs w:val="21"/>
            </w:rPr>
          </w:pPr>
        </w:p>
        <w:p w:rsidR="00806678" w:rsidRDefault="00B16377">
          <w:pPr>
            <w:spacing w:before="60" w:after="60"/>
            <w:rPr>
              <w:szCs w:val="21"/>
            </w:rPr>
          </w:pPr>
          <w:r>
            <w:rPr>
              <w:rFonts w:hint="eastAsia"/>
              <w:szCs w:val="21"/>
            </w:rPr>
            <w:t>其他说明：</w:t>
          </w:r>
        </w:p>
        <w:sdt>
          <w:sdtPr>
            <w:rPr>
              <w:szCs w:val="21"/>
            </w:rPr>
            <w:alias w:val="是否适用：现金流量表补充资料的说明[双击切换]"/>
            <w:tag w:val="_GBC_0ba0540309b143448acc872b3e211b1d"/>
            <w:id w:val="1719319235"/>
            <w:lock w:val="sdtLocked"/>
            <w:placeholder>
              <w:docPart w:val="GBC22222222222222222222222222222"/>
            </w:placeholder>
          </w:sdtPr>
          <w:sdtContent>
            <w:p w:rsidR="00806678" w:rsidRDefault="00F80B6C" w:rsidP="00C01624">
              <w:pPr>
                <w:spacing w:before="60" w:after="60"/>
              </w:pPr>
              <w:r>
                <w:rPr>
                  <w:szCs w:val="21"/>
                </w:rPr>
                <w:fldChar w:fldCharType="begin"/>
              </w:r>
              <w:r w:rsidR="00C35436">
                <w:rPr>
                  <w:szCs w:val="21"/>
                </w:rPr>
                <w:instrText xml:space="preserve">MACROBUTTON  SnrToggleCheckbox □适用 </w:instrText>
              </w:r>
              <w:r>
                <w:rPr>
                  <w:szCs w:val="21"/>
                </w:rPr>
                <w:fldChar w:fldCharType="end"/>
              </w:r>
              <w:r>
                <w:rPr>
                  <w:szCs w:val="21"/>
                </w:rPr>
                <w:fldChar w:fldCharType="begin"/>
              </w:r>
              <w:r w:rsidR="00C35436">
                <w:rPr>
                  <w:szCs w:val="21"/>
                </w:rPr>
                <w:instrText xml:space="preserve"> MACROBUTTON  SnrToggleCheckbox √不适用 </w:instrText>
              </w:r>
              <w:r>
                <w:rPr>
                  <w:szCs w:val="21"/>
                </w:rPr>
                <w:fldChar w:fldCharType="end"/>
              </w:r>
            </w:p>
          </w:sdtContent>
        </w:sdt>
      </w:sdtContent>
    </w:sdt>
    <w:sdt>
      <w:sdtPr>
        <w:rPr>
          <w:rFonts w:ascii="宋体" w:hAnsi="宋体" w:cs="宋体" w:hint="eastAsia"/>
          <w:b w:val="0"/>
          <w:bCs w:val="0"/>
          <w:kern w:val="0"/>
          <w:szCs w:val="21"/>
        </w:rPr>
        <w:alias w:val="模块:所有者权益变动表项目注释"/>
        <w:tag w:val="_SEC_cbb5e6d5041b434cbee55fb14e7590da"/>
        <w:id w:val="-605342039"/>
        <w:lock w:val="sdtLocked"/>
        <w:placeholder>
          <w:docPart w:val="GBC22222222222222222222222222222"/>
        </w:placeholder>
      </w:sdtPr>
      <w:sdtEndPr>
        <w:rPr>
          <w:rFonts w:cstheme="minorBidi" w:hint="default"/>
          <w:color w:val="FF00FF"/>
        </w:rPr>
      </w:sdtEndPr>
      <w:sdtContent>
        <w:p w:rsidR="00806678" w:rsidRDefault="00B16377" w:rsidP="00FF17C7">
          <w:pPr>
            <w:pStyle w:val="3"/>
            <w:numPr>
              <w:ilvl w:val="0"/>
              <w:numId w:val="18"/>
            </w:numPr>
            <w:tabs>
              <w:tab w:val="left" w:pos="504"/>
            </w:tabs>
            <w:rPr>
              <w:rFonts w:ascii="宋体" w:hAnsi="宋体"/>
              <w:szCs w:val="21"/>
            </w:rPr>
          </w:pPr>
          <w:r>
            <w:rPr>
              <w:rFonts w:ascii="宋体" w:hAnsi="宋体" w:hint="eastAsia"/>
              <w:szCs w:val="21"/>
            </w:rPr>
            <w:t>所有者权益变动表项目注释</w:t>
          </w:r>
        </w:p>
        <w:p w:rsidR="00806678" w:rsidRDefault="00B16377">
          <w:r>
            <w:rPr>
              <w:rFonts w:hint="eastAsia"/>
            </w:rPr>
            <w:t>说明对上年期末余额进行调整的“其他”项目名称及调整金额等事项：</w:t>
          </w:r>
        </w:p>
        <w:sdt>
          <w:sdtPr>
            <w:alias w:val="是否适用：所有者权益变动表项目注释[双击切换]"/>
            <w:tag w:val="_GBC_fca039532a374a3e9daa81c75d491b1f"/>
            <w:id w:val="474495814"/>
            <w:lock w:val="sdtLocked"/>
            <w:placeholder>
              <w:docPart w:val="GBC22222222222222222222222222222"/>
            </w:placeholder>
          </w:sdtPr>
          <w:sdtContent>
            <w:p w:rsidR="00806678" w:rsidRDefault="00F80B6C" w:rsidP="00C35436">
              <w:pPr>
                <w:rPr>
                  <w:color w:val="FF00FF"/>
                  <w:szCs w:val="21"/>
                </w:rPr>
              </w:pPr>
              <w:r>
                <w:fldChar w:fldCharType="begin"/>
              </w:r>
              <w:r w:rsidR="00C35436">
                <w:instrText xml:space="preserve">MACROBUTTON  SnrToggleCheckbox □适用 </w:instrText>
              </w:r>
              <w:r>
                <w:fldChar w:fldCharType="end"/>
              </w:r>
              <w:r>
                <w:fldChar w:fldCharType="begin"/>
              </w:r>
              <w:r w:rsidR="00C35436">
                <w:instrText xml:space="preserve"> MACROBUTTON  SnrToggleCheckbox √不适用 </w:instrText>
              </w:r>
              <w:r>
                <w:fldChar w:fldCharType="end"/>
              </w:r>
            </w:p>
          </w:sdtContent>
        </w:sdt>
      </w:sdtContent>
    </w:sdt>
    <w:p w:rsidR="00806678" w:rsidRDefault="00806678">
      <w:pPr>
        <w:rPr>
          <w:szCs w:val="21"/>
        </w:rPr>
      </w:pPr>
    </w:p>
    <w:sdt>
      <w:sdtPr>
        <w:rPr>
          <w:rFonts w:ascii="宋体" w:hAnsi="宋体" w:cs="宋体" w:hint="eastAsia"/>
          <w:b w:val="0"/>
          <w:bCs w:val="0"/>
          <w:kern w:val="0"/>
          <w:szCs w:val="21"/>
        </w:rPr>
        <w:alias w:val="模块:所有权或使用权受到限制的资产"/>
        <w:tag w:val="_SEC_a24445b9d34342ec921f5b1164f97e32"/>
        <w:id w:val="-726914843"/>
        <w:lock w:val="sdtLocked"/>
        <w:placeholder>
          <w:docPart w:val="GBC22222222222222222222222222222"/>
        </w:placeholder>
      </w:sdtPr>
      <w:sdtContent>
        <w:p w:rsidR="00806678" w:rsidRDefault="00B16377" w:rsidP="00FF17C7">
          <w:pPr>
            <w:pStyle w:val="3"/>
            <w:numPr>
              <w:ilvl w:val="0"/>
              <w:numId w:val="18"/>
            </w:numPr>
            <w:tabs>
              <w:tab w:val="left" w:pos="504"/>
            </w:tabs>
            <w:rPr>
              <w:rFonts w:ascii="宋体" w:hAnsi="宋体"/>
              <w:szCs w:val="21"/>
            </w:rPr>
          </w:pPr>
          <w:r>
            <w:rPr>
              <w:rFonts w:ascii="宋体" w:hAnsi="宋体" w:hint="eastAsia"/>
              <w:szCs w:val="21"/>
            </w:rPr>
            <w:t>所有权或使用权受到限制的资产</w:t>
          </w:r>
        </w:p>
        <w:sdt>
          <w:sdtPr>
            <w:alias w:val="是否适用：所有权或使用权受到限制的资产[双击切换]"/>
            <w:tag w:val="_GBC_26afe690476a4ece916b86b9b0b7a553"/>
            <w:id w:val="-1241401715"/>
            <w:lock w:val="sdtLocked"/>
            <w:placeholder>
              <w:docPart w:val="GBC22222222222222222222222222222"/>
            </w:placeholder>
          </w:sdtPr>
          <w:sdtContent>
            <w:p w:rsidR="00806678" w:rsidRDefault="00F80B6C">
              <w:r>
                <w:fldChar w:fldCharType="begin"/>
              </w:r>
              <w:r w:rsidR="00C35436">
                <w:instrText xml:space="preserve">MACROBUTTON  SnrToggleCheckbox √适用 </w:instrText>
              </w:r>
              <w:r>
                <w:fldChar w:fldCharType="end"/>
              </w:r>
              <w:r>
                <w:fldChar w:fldCharType="begin"/>
              </w:r>
              <w:r w:rsidR="00C35436">
                <w:instrText xml:space="preserve"> MACROBUTTON  SnrToggleCheckbox □不适用 </w:instrText>
              </w:r>
              <w:r>
                <w:fldChar w:fldCharType="end"/>
              </w:r>
            </w:p>
          </w:sdtContent>
        </w:sdt>
        <w:p w:rsidR="00806678" w:rsidRDefault="00B16377">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所有权或使用权受到限制的资产"/>
              <w:tag w:val="_GBC_f85c8a9066d7492f92dd69fd15879505"/>
              <w:id w:val="96339610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财务附注：所有权或使用权受到限制的资产"/>
              <w:tag w:val="_GBC_800db9e7b18c47a3878baf2b0e8cca41"/>
              <w:id w:val="42577350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13" w:type="dxa"/>
              <w:right w:w="113" w:type="dxa"/>
            </w:tblCellMar>
            <w:tblLook w:val="0000"/>
          </w:tblPr>
          <w:tblGrid>
            <w:gridCol w:w="3214"/>
            <w:gridCol w:w="3102"/>
            <w:gridCol w:w="2743"/>
          </w:tblGrid>
          <w:tr w:rsidR="00806678" w:rsidTr="009757C3">
            <w:sdt>
              <w:sdtPr>
                <w:tag w:val="_PLD_8e15d7f2fa2e40b09c519ace5a37eb45"/>
                <w:id w:val="-1085691865"/>
                <w:lock w:val="sdtLocked"/>
              </w:sdtPr>
              <w:sdtContent>
                <w:tc>
                  <w:tcPr>
                    <w:tcW w:w="1774" w:type="pct"/>
                    <w:tcBorders>
                      <w:top w:val="single" w:sz="4" w:space="0" w:color="auto"/>
                      <w:left w:val="single" w:sz="4" w:space="0" w:color="auto"/>
                      <w:bottom w:val="single" w:sz="4" w:space="0" w:color="auto"/>
                      <w:right w:val="single" w:sz="4" w:space="0" w:color="auto"/>
                    </w:tcBorders>
                    <w:shd w:val="clear" w:color="auto" w:fill="auto"/>
                  </w:tcPr>
                  <w:p w:rsidR="00806678" w:rsidRDefault="00B16377">
                    <w:pPr>
                      <w:jc w:val="center"/>
                      <w:rPr>
                        <w:szCs w:val="21"/>
                      </w:rPr>
                    </w:pPr>
                    <w:r>
                      <w:rPr>
                        <w:rFonts w:hint="eastAsia"/>
                        <w:szCs w:val="21"/>
                      </w:rPr>
                      <w:t>项目</w:t>
                    </w:r>
                  </w:p>
                </w:tc>
              </w:sdtContent>
            </w:sdt>
            <w:sdt>
              <w:sdtPr>
                <w:tag w:val="_PLD_39406572745d477dace6b9315235612b"/>
                <w:id w:val="1044797461"/>
                <w:lock w:val="sdtLocked"/>
              </w:sdtPr>
              <w:sdtContent>
                <w:tc>
                  <w:tcPr>
                    <w:tcW w:w="1712" w:type="pct"/>
                    <w:tcBorders>
                      <w:top w:val="single" w:sz="4" w:space="0" w:color="auto"/>
                      <w:left w:val="single" w:sz="4" w:space="0" w:color="auto"/>
                      <w:bottom w:val="single" w:sz="4" w:space="0" w:color="auto"/>
                      <w:right w:val="single" w:sz="4" w:space="0" w:color="auto"/>
                    </w:tcBorders>
                    <w:shd w:val="clear" w:color="auto" w:fill="auto"/>
                  </w:tcPr>
                  <w:p w:rsidR="00806678" w:rsidRDefault="00B16377">
                    <w:pPr>
                      <w:jc w:val="center"/>
                      <w:rPr>
                        <w:szCs w:val="21"/>
                      </w:rPr>
                    </w:pPr>
                    <w:r>
                      <w:rPr>
                        <w:rFonts w:hint="eastAsia"/>
                        <w:szCs w:val="21"/>
                      </w:rPr>
                      <w:t>期末账面价值</w:t>
                    </w:r>
                  </w:p>
                </w:tc>
              </w:sdtContent>
            </w:sdt>
            <w:sdt>
              <w:sdtPr>
                <w:tag w:val="_PLD_b1c34a0e07914de782ce840363400809"/>
                <w:id w:val="2005313181"/>
                <w:lock w:val="sdtLocked"/>
              </w:sdtPr>
              <w:sdtContent>
                <w:tc>
                  <w:tcPr>
                    <w:tcW w:w="1514" w:type="pct"/>
                    <w:tcBorders>
                      <w:top w:val="single" w:sz="4" w:space="0" w:color="auto"/>
                      <w:left w:val="single" w:sz="4" w:space="0" w:color="auto"/>
                      <w:bottom w:val="single" w:sz="4" w:space="0" w:color="auto"/>
                      <w:right w:val="single" w:sz="4" w:space="0" w:color="auto"/>
                    </w:tcBorders>
                    <w:shd w:val="clear" w:color="auto" w:fill="auto"/>
                  </w:tcPr>
                  <w:p w:rsidR="00806678" w:rsidRDefault="00B16377">
                    <w:pPr>
                      <w:jc w:val="center"/>
                      <w:rPr>
                        <w:szCs w:val="21"/>
                      </w:rPr>
                    </w:pPr>
                    <w:r>
                      <w:rPr>
                        <w:rFonts w:hint="eastAsia"/>
                        <w:szCs w:val="21"/>
                      </w:rPr>
                      <w:t>受限原因</w:t>
                    </w:r>
                  </w:p>
                </w:tc>
              </w:sdtContent>
            </w:sdt>
          </w:tr>
          <w:tr w:rsidR="00806678" w:rsidTr="009757C3">
            <w:tc>
              <w:tcPr>
                <w:tcW w:w="1774" w:type="pct"/>
                <w:tcBorders>
                  <w:top w:val="single" w:sz="6" w:space="0" w:color="auto"/>
                  <w:left w:val="single" w:sz="6" w:space="0" w:color="auto"/>
                  <w:bottom w:val="single" w:sz="4" w:space="0" w:color="auto"/>
                  <w:right w:val="single" w:sz="6" w:space="0" w:color="auto"/>
                </w:tcBorders>
                <w:shd w:val="clear" w:color="auto" w:fill="auto"/>
              </w:tcPr>
              <w:p w:rsidR="00806678" w:rsidRDefault="00C35436">
                <w:pPr>
                  <w:rPr>
                    <w:szCs w:val="21"/>
                  </w:rPr>
                </w:pPr>
                <w:r>
                  <w:rPr>
                    <w:rFonts w:hint="eastAsia"/>
                    <w:szCs w:val="21"/>
                  </w:rPr>
                  <w:t>应收款项融资</w:t>
                </w:r>
              </w:p>
            </w:tc>
            <w:tc>
              <w:tcPr>
                <w:tcW w:w="1712" w:type="pct"/>
                <w:tcBorders>
                  <w:top w:val="single" w:sz="6" w:space="0" w:color="auto"/>
                  <w:left w:val="single" w:sz="6" w:space="0" w:color="auto"/>
                  <w:bottom w:val="single" w:sz="6" w:space="0" w:color="auto"/>
                  <w:right w:val="single" w:sz="6" w:space="0" w:color="auto"/>
                </w:tcBorders>
                <w:shd w:val="clear" w:color="auto" w:fill="auto"/>
              </w:tcPr>
              <w:p w:rsidR="00806678" w:rsidRDefault="00C35436">
                <w:pPr>
                  <w:jc w:val="right"/>
                  <w:rPr>
                    <w:szCs w:val="21"/>
                  </w:rPr>
                </w:pPr>
                <w:r w:rsidRPr="00C35436">
                  <w:rPr>
                    <w:szCs w:val="21"/>
                  </w:rPr>
                  <w:t>142,000,000</w:t>
                </w:r>
              </w:p>
            </w:tc>
            <w:tc>
              <w:tcPr>
                <w:tcW w:w="1514" w:type="pct"/>
                <w:tcBorders>
                  <w:top w:val="single" w:sz="6" w:space="0" w:color="auto"/>
                  <w:left w:val="single" w:sz="6" w:space="0" w:color="auto"/>
                  <w:bottom w:val="single" w:sz="6" w:space="0" w:color="auto"/>
                  <w:right w:val="single" w:sz="6" w:space="0" w:color="auto"/>
                </w:tcBorders>
                <w:shd w:val="clear" w:color="auto" w:fill="auto"/>
              </w:tcPr>
              <w:p w:rsidR="00806678" w:rsidRDefault="00806678">
                <w:pPr>
                  <w:rPr>
                    <w:szCs w:val="21"/>
                  </w:rPr>
                </w:pPr>
              </w:p>
            </w:tc>
          </w:tr>
          <w:tr w:rsidR="003F3B82" w:rsidTr="009757C3">
            <w:tc>
              <w:tcPr>
                <w:tcW w:w="1774" w:type="pct"/>
                <w:tcBorders>
                  <w:top w:val="single" w:sz="6" w:space="0" w:color="auto"/>
                  <w:left w:val="single" w:sz="6" w:space="0" w:color="auto"/>
                  <w:bottom w:val="single" w:sz="4" w:space="0" w:color="auto"/>
                  <w:right w:val="single" w:sz="6" w:space="0" w:color="auto"/>
                </w:tcBorders>
                <w:shd w:val="clear" w:color="auto" w:fill="auto"/>
              </w:tcPr>
              <w:p w:rsidR="003F3B82" w:rsidRDefault="003F3B82">
                <w:pPr>
                  <w:rPr>
                    <w:szCs w:val="21"/>
                  </w:rPr>
                </w:pPr>
                <w:r>
                  <w:rPr>
                    <w:rFonts w:hint="eastAsia"/>
                    <w:szCs w:val="21"/>
                  </w:rPr>
                  <w:t>无形资产</w:t>
                </w:r>
              </w:p>
            </w:tc>
            <w:tc>
              <w:tcPr>
                <w:tcW w:w="1712" w:type="pct"/>
                <w:tcBorders>
                  <w:top w:val="single" w:sz="6" w:space="0" w:color="auto"/>
                  <w:left w:val="single" w:sz="6" w:space="0" w:color="auto"/>
                  <w:bottom w:val="single" w:sz="6" w:space="0" w:color="auto"/>
                  <w:right w:val="single" w:sz="6" w:space="0" w:color="auto"/>
                </w:tcBorders>
                <w:shd w:val="clear" w:color="auto" w:fill="auto"/>
              </w:tcPr>
              <w:p w:rsidR="003F3B82" w:rsidRPr="00C35436" w:rsidRDefault="003F3B82">
                <w:pPr>
                  <w:jc w:val="right"/>
                  <w:rPr>
                    <w:szCs w:val="21"/>
                  </w:rPr>
                </w:pPr>
                <w:r w:rsidRPr="003F3B82">
                  <w:rPr>
                    <w:szCs w:val="21"/>
                  </w:rPr>
                  <w:t>55,315,958</w:t>
                </w:r>
              </w:p>
            </w:tc>
            <w:tc>
              <w:tcPr>
                <w:tcW w:w="1514" w:type="pct"/>
                <w:tcBorders>
                  <w:top w:val="single" w:sz="6" w:space="0" w:color="auto"/>
                  <w:left w:val="single" w:sz="6" w:space="0" w:color="auto"/>
                  <w:bottom w:val="single" w:sz="6" w:space="0" w:color="auto"/>
                  <w:right w:val="single" w:sz="6" w:space="0" w:color="auto"/>
                </w:tcBorders>
                <w:shd w:val="clear" w:color="auto" w:fill="auto"/>
              </w:tcPr>
              <w:p w:rsidR="003F3B82" w:rsidRDefault="003F3B82">
                <w:pPr>
                  <w:rPr>
                    <w:szCs w:val="21"/>
                  </w:rPr>
                </w:pPr>
              </w:p>
            </w:tc>
          </w:tr>
          <w:tr w:rsidR="00806678" w:rsidTr="009757C3">
            <w:tc>
              <w:tcPr>
                <w:tcW w:w="1774" w:type="pct"/>
                <w:tcBorders>
                  <w:top w:val="single" w:sz="4" w:space="0" w:color="auto"/>
                  <w:left w:val="single" w:sz="4" w:space="0" w:color="auto"/>
                  <w:bottom w:val="single" w:sz="4" w:space="0" w:color="auto"/>
                  <w:right w:val="single" w:sz="4" w:space="0" w:color="auto"/>
                </w:tcBorders>
                <w:shd w:val="clear" w:color="auto" w:fill="auto"/>
                <w:vAlign w:val="center"/>
              </w:tcPr>
              <w:p w:rsidR="00806678" w:rsidRDefault="00B16377">
                <w:pPr>
                  <w:jc w:val="center"/>
                  <w:rPr>
                    <w:szCs w:val="21"/>
                  </w:rPr>
                </w:pPr>
                <w:r>
                  <w:rPr>
                    <w:rFonts w:hint="eastAsia"/>
                    <w:szCs w:val="21"/>
                  </w:rPr>
                  <w:t>合计</w:t>
                </w:r>
              </w:p>
            </w:tc>
            <w:tc>
              <w:tcPr>
                <w:tcW w:w="1712" w:type="pct"/>
                <w:tcBorders>
                  <w:top w:val="single" w:sz="6" w:space="0" w:color="auto"/>
                  <w:left w:val="single" w:sz="4" w:space="0" w:color="auto"/>
                  <w:bottom w:val="single" w:sz="6" w:space="0" w:color="auto"/>
                  <w:right w:val="single" w:sz="4" w:space="0" w:color="auto"/>
                </w:tcBorders>
                <w:shd w:val="clear" w:color="auto" w:fill="auto"/>
              </w:tcPr>
              <w:p w:rsidR="00806678" w:rsidRDefault="003F3B82">
                <w:pPr>
                  <w:jc w:val="right"/>
                  <w:rPr>
                    <w:szCs w:val="21"/>
                  </w:rPr>
                </w:pPr>
                <w:r>
                  <w:rPr>
                    <w:szCs w:val="21"/>
                  </w:rPr>
                  <w:t>197,315,958</w:t>
                </w:r>
              </w:p>
            </w:tc>
            <w:tc>
              <w:tcPr>
                <w:tcW w:w="1514" w:type="pct"/>
                <w:tcBorders>
                  <w:top w:val="single" w:sz="6" w:space="0" w:color="auto"/>
                  <w:left w:val="single" w:sz="4" w:space="0" w:color="auto"/>
                  <w:bottom w:val="single" w:sz="6" w:space="0" w:color="auto"/>
                  <w:right w:val="single" w:sz="4" w:space="0" w:color="auto"/>
                </w:tcBorders>
                <w:shd w:val="clear" w:color="auto" w:fill="auto"/>
              </w:tcPr>
              <w:p w:rsidR="00806678" w:rsidRDefault="00B16377">
                <w:pPr>
                  <w:jc w:val="center"/>
                  <w:rPr>
                    <w:szCs w:val="21"/>
                  </w:rPr>
                </w:pPr>
                <w:r>
                  <w:rPr>
                    <w:rFonts w:hint="eastAsia"/>
                    <w:szCs w:val="21"/>
                  </w:rPr>
                  <w:t>/</w:t>
                </w:r>
              </w:p>
            </w:tc>
          </w:tr>
        </w:tbl>
        <w:p w:rsidR="00DA4D34" w:rsidRDefault="00DA4D34">
          <w:pPr>
            <w:spacing w:before="60" w:after="60"/>
            <w:rPr>
              <w:szCs w:val="21"/>
            </w:rPr>
          </w:pPr>
        </w:p>
        <w:p w:rsidR="00806678" w:rsidRDefault="00B16377">
          <w:pPr>
            <w:spacing w:before="60" w:after="60"/>
            <w:rPr>
              <w:szCs w:val="21"/>
            </w:rPr>
          </w:pPr>
          <w:r>
            <w:rPr>
              <w:rFonts w:hint="eastAsia"/>
              <w:szCs w:val="21"/>
            </w:rPr>
            <w:t>其他说明：</w:t>
          </w:r>
        </w:p>
        <w:sdt>
          <w:sdtPr>
            <w:rPr>
              <w:szCs w:val="21"/>
            </w:rPr>
            <w:alias w:val="所有权或使用权受到限制的资产的其他说明"/>
            <w:tag w:val="_GBC_b54187074f3949e2a5c974bdd17b16ec"/>
            <w:id w:val="-232010262"/>
            <w:lock w:val="sdtLocked"/>
            <w:placeholder>
              <w:docPart w:val="GBC22222222222222222222222222222"/>
            </w:placeholder>
          </w:sdtPr>
          <w:sdtContent>
            <w:p w:rsidR="00806678" w:rsidRDefault="00C35436">
              <w:pPr>
                <w:rPr>
                  <w:szCs w:val="21"/>
                </w:rPr>
              </w:pPr>
              <w:r>
                <w:rPr>
                  <w:rFonts w:hint="eastAsia"/>
                  <w:szCs w:val="21"/>
                </w:rPr>
                <w:t>详见附注七、</w:t>
              </w:r>
              <w:r>
                <w:rPr>
                  <w:szCs w:val="21"/>
                </w:rPr>
                <w:t>6</w:t>
              </w:r>
              <w:r w:rsidR="003F3B82">
                <w:rPr>
                  <w:rFonts w:hint="eastAsia"/>
                  <w:szCs w:val="21"/>
                </w:rPr>
                <w:t>和2</w:t>
              </w:r>
              <w:r w:rsidR="003F3B82">
                <w:rPr>
                  <w:szCs w:val="21"/>
                </w:rPr>
                <w:t>6</w:t>
              </w:r>
            </w:p>
          </w:sdtContent>
        </w:sdt>
      </w:sdtContent>
    </w:sdt>
    <w:p w:rsidR="00806678" w:rsidRDefault="00806678">
      <w:pPr>
        <w:rPr>
          <w:szCs w:val="21"/>
        </w:rPr>
      </w:pPr>
    </w:p>
    <w:sdt>
      <w:sdtPr>
        <w:rPr>
          <w:rFonts w:ascii="宋体" w:hAnsi="宋体" w:cs="宋体" w:hint="eastAsia"/>
          <w:b w:val="0"/>
          <w:bCs w:val="0"/>
          <w:kern w:val="0"/>
          <w:szCs w:val="21"/>
        </w:rPr>
        <w:alias w:val="模块:外币货币性项目"/>
        <w:tag w:val="_SEC_d0d3f1cb74c546a2a03e13993b313207"/>
        <w:id w:val="-149910449"/>
        <w:lock w:val="sdtLocked"/>
        <w:placeholder>
          <w:docPart w:val="GBC22222222222222222222222222222"/>
        </w:placeholder>
      </w:sdtPr>
      <w:sdtEndPr>
        <w:rPr>
          <w:rFonts w:hint="default"/>
        </w:rPr>
      </w:sdtEndPr>
      <w:sdtContent>
        <w:p w:rsidR="00806678" w:rsidRDefault="00B16377" w:rsidP="00FF17C7">
          <w:pPr>
            <w:pStyle w:val="3"/>
            <w:numPr>
              <w:ilvl w:val="0"/>
              <w:numId w:val="18"/>
            </w:numPr>
            <w:tabs>
              <w:tab w:val="left" w:pos="504"/>
            </w:tabs>
            <w:rPr>
              <w:rFonts w:ascii="宋体" w:hAnsi="宋体"/>
              <w:szCs w:val="21"/>
            </w:rPr>
          </w:pPr>
          <w:r>
            <w:rPr>
              <w:rFonts w:ascii="宋体" w:hAnsi="宋体" w:hint="eastAsia"/>
              <w:szCs w:val="21"/>
            </w:rPr>
            <w:t>外币货币性项目</w:t>
          </w:r>
        </w:p>
        <w:p w:rsidR="00806678" w:rsidRDefault="00B16377" w:rsidP="00FF17C7">
          <w:pPr>
            <w:pStyle w:val="4"/>
            <w:numPr>
              <w:ilvl w:val="0"/>
              <w:numId w:val="103"/>
            </w:numPr>
            <w:ind w:left="426" w:hanging="426"/>
            <w:rPr>
              <w:rFonts w:ascii="宋体" w:hAnsi="宋体"/>
              <w:b w:val="0"/>
              <w:szCs w:val="21"/>
            </w:rPr>
          </w:pPr>
          <w:r>
            <w:rPr>
              <w:rStyle w:val="4Char1"/>
              <w:rFonts w:ascii="宋体" w:hAnsi="宋体" w:hint="eastAsia"/>
              <w:b/>
              <w:szCs w:val="21"/>
            </w:rPr>
            <w:t>外币货币性项目</w:t>
          </w:r>
        </w:p>
        <w:sdt>
          <w:sdtPr>
            <w:alias w:val="是否适用：外币货币性项目[双击切换]"/>
            <w:tag w:val="_GBC_6b0f646811a94c228ba6be3453047191"/>
            <w:id w:val="-1326975777"/>
            <w:lock w:val="sdtLocked"/>
            <w:placeholder>
              <w:docPart w:val="GBC22222222222222222222222222222"/>
            </w:placeholder>
          </w:sdtPr>
          <w:sdtContent>
            <w:p w:rsidR="00C35436" w:rsidRDefault="00F80B6C" w:rsidP="00C35436">
              <w:pPr>
                <w:rPr>
                  <w:szCs w:val="21"/>
                </w:rPr>
              </w:pPr>
              <w:r>
                <w:fldChar w:fldCharType="begin"/>
              </w:r>
              <w:r w:rsidR="00C35436">
                <w:instrText xml:space="preserve">MACROBUTTON  SnrToggleCheckbox □适用 </w:instrText>
              </w:r>
              <w:r>
                <w:fldChar w:fldCharType="end"/>
              </w:r>
              <w:r>
                <w:fldChar w:fldCharType="begin"/>
              </w:r>
              <w:r w:rsidR="00C35436">
                <w:instrText xml:space="preserve"> MACROBUTTON  SnrToggleCheckbox √不适用 </w:instrText>
              </w:r>
              <w:r>
                <w:fldChar w:fldCharType="end"/>
              </w:r>
            </w:p>
          </w:sdtContent>
        </w:sdt>
        <w:p w:rsidR="00806678" w:rsidRDefault="00806678">
          <w:pPr>
            <w:rPr>
              <w:szCs w:val="21"/>
            </w:rPr>
          </w:pPr>
        </w:p>
        <w:p w:rsidR="00806678" w:rsidRDefault="00B16377" w:rsidP="00FF17C7">
          <w:pPr>
            <w:pStyle w:val="4"/>
            <w:numPr>
              <w:ilvl w:val="0"/>
              <w:numId w:val="103"/>
            </w:numPr>
            <w:ind w:left="426" w:hanging="426"/>
            <w:rPr>
              <w:szCs w:val="21"/>
            </w:rPr>
          </w:pPr>
          <w:r>
            <w:rPr>
              <w:rStyle w:val="4Char1"/>
              <w:rFonts w:ascii="宋体" w:hAnsi="宋体" w:hint="eastAsia"/>
              <w:b/>
              <w:szCs w:val="21"/>
            </w:rPr>
            <w:t>境外</w:t>
          </w:r>
          <w:r>
            <w:rPr>
              <w:rFonts w:hint="eastAsia"/>
              <w:szCs w:val="21"/>
            </w:rPr>
            <w:t>经营实体说明，包括对于重要的境外经营实体，应披露其境外主要经营地、记账本位币及选择依据，记账本位币发生变化的还应披露原因</w:t>
          </w:r>
        </w:p>
        <w:p w:rsidR="00806678" w:rsidRDefault="00F80B6C" w:rsidP="00C35436">
          <w:pPr>
            <w:rPr>
              <w:szCs w:val="21"/>
            </w:rPr>
          </w:pPr>
          <w:sdt>
            <w:sdtPr>
              <w:rPr>
                <w:szCs w:val="21"/>
              </w:rPr>
              <w:alias w:val="是否适用：境外经营实体主要报表项目的折算汇率[双击切换]"/>
              <w:tag w:val="_GBC_c433d39e245c4fb79cd5170717bb5b9c"/>
              <w:id w:val="488068870"/>
              <w:lock w:val="sdtLocked"/>
              <w:placeholder>
                <w:docPart w:val="GBC22222222222222222222222222222"/>
              </w:placeholder>
            </w:sdtPr>
            <w:sdtContent>
              <w:r>
                <w:rPr>
                  <w:szCs w:val="21"/>
                </w:rPr>
                <w:fldChar w:fldCharType="begin"/>
              </w:r>
              <w:r w:rsidR="00C35436">
                <w:rPr>
                  <w:szCs w:val="21"/>
                </w:rPr>
                <w:instrText xml:space="preserve">MACROBUTTON  SnrToggleCheckbox □适用 </w:instrText>
              </w:r>
              <w:r>
                <w:rPr>
                  <w:szCs w:val="21"/>
                </w:rPr>
                <w:fldChar w:fldCharType="end"/>
              </w:r>
              <w:r>
                <w:rPr>
                  <w:szCs w:val="21"/>
                </w:rPr>
                <w:fldChar w:fldCharType="begin"/>
              </w:r>
              <w:r w:rsidR="00C35436">
                <w:rPr>
                  <w:szCs w:val="21"/>
                </w:rPr>
                <w:instrText xml:space="preserve"> MACROBUTTON  SnrToggleCheckbox √不适用 </w:instrText>
              </w:r>
              <w:r>
                <w:rPr>
                  <w:szCs w:val="21"/>
                </w:rPr>
                <w:fldChar w:fldCharType="end"/>
              </w:r>
            </w:sdtContent>
          </w:sdt>
        </w:p>
      </w:sdtContent>
    </w:sdt>
    <w:p w:rsidR="00806678" w:rsidRDefault="00806678"/>
    <w:sdt>
      <w:sdtPr>
        <w:rPr>
          <w:rFonts w:ascii="宋体" w:hAnsi="宋体" w:cs="宋体" w:hint="eastAsia"/>
          <w:b w:val="0"/>
          <w:bCs w:val="0"/>
          <w:kern w:val="0"/>
          <w:szCs w:val="24"/>
        </w:rPr>
        <w:alias w:val="模块:按照套期类别披露套期及相关套期工具、被套期风险的相关的定性定"/>
        <w:tag w:val="_SEC_72e212d6db4945c88ff1963281a9b51a"/>
        <w:id w:val="-786124075"/>
        <w:lock w:val="sdtLocked"/>
        <w:placeholder>
          <w:docPart w:val="GBC22222222222222222222222222222"/>
        </w:placeholder>
      </w:sdtPr>
      <w:sdtEndPr>
        <w:rPr>
          <w:rFonts w:hint="default"/>
        </w:rPr>
      </w:sdtEndPr>
      <w:sdtContent>
        <w:p w:rsidR="00806678" w:rsidRDefault="00B16377" w:rsidP="00FF17C7">
          <w:pPr>
            <w:pStyle w:val="3"/>
            <w:numPr>
              <w:ilvl w:val="0"/>
              <w:numId w:val="18"/>
            </w:numPr>
            <w:tabs>
              <w:tab w:val="left" w:pos="504"/>
            </w:tabs>
            <w:rPr>
              <w:rFonts w:ascii="宋体" w:hAnsi="宋体" w:cs="宋体"/>
              <w:bCs w:val="0"/>
              <w:kern w:val="0"/>
              <w:szCs w:val="24"/>
            </w:rPr>
          </w:pPr>
          <w:r>
            <w:rPr>
              <w:rFonts w:ascii="宋体" w:hAnsi="宋体" w:cs="宋体" w:hint="eastAsia"/>
              <w:bCs w:val="0"/>
              <w:kern w:val="0"/>
              <w:szCs w:val="24"/>
            </w:rPr>
            <w:t>套期</w:t>
          </w:r>
        </w:p>
        <w:sdt>
          <w:sdtPr>
            <w:alias w:val="是否适用：套期[双击切换]"/>
            <w:tag w:val="_GBC_aa9bb623100a43a8a9b0ae0e8ec54c45"/>
            <w:id w:val="311302270"/>
            <w:lock w:val="sdtLocked"/>
            <w:placeholder>
              <w:docPart w:val="GBC22222222222222222222222222222"/>
            </w:placeholder>
          </w:sdtPr>
          <w:sdtContent>
            <w:p w:rsidR="00C35436" w:rsidRDefault="00F80B6C" w:rsidP="00C35436">
              <w:r>
                <w:fldChar w:fldCharType="begin"/>
              </w:r>
              <w:r w:rsidR="00C35436">
                <w:instrText xml:space="preserve">MACROBUTTON  SnrToggleCheckbox □适用 </w:instrText>
              </w:r>
              <w:r>
                <w:fldChar w:fldCharType="end"/>
              </w:r>
              <w:r>
                <w:fldChar w:fldCharType="begin"/>
              </w:r>
              <w:r w:rsidR="00C35436">
                <w:instrText xml:space="preserve"> MACROBUTTON  SnrToggleCheckbox √不适用 </w:instrText>
              </w:r>
              <w:r>
                <w:fldChar w:fldCharType="end"/>
              </w:r>
            </w:p>
          </w:sdtContent>
        </w:sdt>
        <w:p w:rsidR="00806678" w:rsidRDefault="00F80B6C"/>
      </w:sdtContent>
    </w:sdt>
    <w:sdt>
      <w:sdtPr>
        <w:rPr>
          <w:rFonts w:ascii="宋体" w:hAnsi="宋体" w:cs="宋体" w:hint="eastAsia"/>
          <w:b w:val="0"/>
          <w:bCs w:val="0"/>
          <w:kern w:val="0"/>
          <w:szCs w:val="24"/>
        </w:rPr>
        <w:alias w:val="模块:政府补助"/>
        <w:tag w:val="_SEC_669a56494e84421f926c6125ba0e65ac"/>
        <w:id w:val="2040853722"/>
        <w:lock w:val="sdtLocked"/>
        <w:placeholder>
          <w:docPart w:val="GBC22222222222222222222222222222"/>
        </w:placeholder>
      </w:sdtPr>
      <w:sdtContent>
        <w:p w:rsidR="00806678" w:rsidRDefault="00B16377" w:rsidP="00FF17C7">
          <w:pPr>
            <w:pStyle w:val="3"/>
            <w:numPr>
              <w:ilvl w:val="0"/>
              <w:numId w:val="18"/>
            </w:numPr>
            <w:tabs>
              <w:tab w:val="left" w:pos="504"/>
            </w:tabs>
          </w:pPr>
          <w:r>
            <w:rPr>
              <w:rFonts w:hint="eastAsia"/>
            </w:rPr>
            <w:t>政府</w:t>
          </w:r>
          <w:r>
            <w:rPr>
              <w:rFonts w:ascii="宋体" w:hAnsi="宋体" w:cs="宋体" w:hint="eastAsia"/>
              <w:bCs w:val="0"/>
              <w:kern w:val="0"/>
              <w:szCs w:val="24"/>
            </w:rPr>
            <w:t>补助</w:t>
          </w:r>
        </w:p>
        <w:p w:rsidR="00806678" w:rsidRDefault="00B16377" w:rsidP="00FF17C7">
          <w:pPr>
            <w:pStyle w:val="4"/>
            <w:numPr>
              <w:ilvl w:val="0"/>
              <w:numId w:val="104"/>
            </w:numPr>
            <w:ind w:left="426" w:hanging="426"/>
          </w:pPr>
          <w:r>
            <w:rPr>
              <w:rFonts w:hint="eastAsia"/>
            </w:rPr>
            <w:t>政府补助基本情况</w:t>
          </w:r>
        </w:p>
        <w:sdt>
          <w:sdtPr>
            <w:rPr>
              <w:rFonts w:hint="eastAsia"/>
            </w:rPr>
            <w:alias w:val="是否适用：政府补助基本情况[双击切换]"/>
            <w:tag w:val="_GBC_0af23294955343baa3cf9e74bb5fbc5f"/>
            <w:id w:val="2059195481"/>
            <w:lock w:val="sdtLocked"/>
            <w:placeholder>
              <w:docPart w:val="GBC22222222222222222222222222222"/>
            </w:placeholder>
          </w:sdtPr>
          <w:sdtContent>
            <w:p w:rsidR="00806678" w:rsidRDefault="00F80B6C" w:rsidP="00C35436">
              <w:r>
                <w:fldChar w:fldCharType="begin"/>
              </w:r>
              <w:r w:rsidR="00C35436">
                <w:instrText xml:space="preserve"> MACROBUTTON  SnrToggleCheckbox □适用  </w:instrText>
              </w:r>
              <w:r>
                <w:fldChar w:fldCharType="end"/>
              </w:r>
              <w:r>
                <w:fldChar w:fldCharType="begin"/>
              </w:r>
              <w:r w:rsidR="00C35436">
                <w:instrText xml:space="preserve"> MACROBUTTON  SnrToggleCheckbox √不适用 </w:instrText>
              </w:r>
              <w:r>
                <w:fldChar w:fldCharType="end"/>
              </w:r>
            </w:p>
          </w:sdtContent>
        </w:sdt>
        <w:p w:rsidR="00806678" w:rsidRDefault="00B16377" w:rsidP="00FF17C7">
          <w:pPr>
            <w:pStyle w:val="4"/>
            <w:numPr>
              <w:ilvl w:val="0"/>
              <w:numId w:val="104"/>
            </w:numPr>
            <w:ind w:left="426" w:hanging="426"/>
          </w:pPr>
          <w:r>
            <w:rPr>
              <w:rFonts w:hint="eastAsia"/>
            </w:rPr>
            <w:t>政府补助退回情况</w:t>
          </w:r>
        </w:p>
        <w:sdt>
          <w:sdtPr>
            <w:alias w:val="是否适用：政府补助退回情况[双击切换]"/>
            <w:tag w:val="_GBC_7c3f98d411764656a5dc808f8f86a06f"/>
            <w:id w:val="-1586364119"/>
            <w:lock w:val="sdtLocked"/>
            <w:placeholder>
              <w:docPart w:val="GBC22222222222222222222222222222"/>
            </w:placeholder>
          </w:sdtPr>
          <w:sdtContent>
            <w:p w:rsidR="00806678" w:rsidRDefault="00F80B6C" w:rsidP="00C35436">
              <w:r>
                <w:fldChar w:fldCharType="begin"/>
              </w:r>
              <w:r w:rsidR="00C35436">
                <w:instrText xml:space="preserve">MACROBUTTON  SnrToggleCheckbox □适用 </w:instrText>
              </w:r>
              <w:r>
                <w:fldChar w:fldCharType="end"/>
              </w:r>
              <w:r>
                <w:fldChar w:fldCharType="begin"/>
              </w:r>
              <w:r w:rsidR="00C35436">
                <w:instrText xml:space="preserve"> MACROBUTTON  SnrToggleCheckbox √不适用 </w:instrText>
              </w:r>
              <w:r>
                <w:fldChar w:fldCharType="end"/>
              </w:r>
            </w:p>
          </w:sdtContent>
        </w:sdt>
        <w:p w:rsidR="00806678" w:rsidRDefault="00B16377">
          <w:r>
            <w:rPr>
              <w:rFonts w:hint="eastAsia"/>
            </w:rPr>
            <w:t>其他说明：</w:t>
          </w:r>
        </w:p>
        <w:sdt>
          <w:sdtPr>
            <w:alias w:val="政府补助说明"/>
            <w:tag w:val="_GBC_818bb8274f454a488623157939fb055c"/>
            <w:id w:val="1811668229"/>
            <w:lock w:val="sdtLocked"/>
            <w:placeholder>
              <w:docPart w:val="GBC22222222222222222222222222222"/>
            </w:placeholder>
          </w:sdtPr>
          <w:sdtContent>
            <w:p w:rsidR="00806678" w:rsidRDefault="00C35436">
              <w:r>
                <w:rPr>
                  <w:rFonts w:hint="eastAsia"/>
                </w:rPr>
                <w:t>无</w:t>
              </w:r>
            </w:p>
          </w:sdtContent>
        </w:sdt>
      </w:sdtContent>
    </w:sdt>
    <w:p w:rsidR="00806678" w:rsidRDefault="00806678"/>
    <w:sdt>
      <w:sdtPr>
        <w:rPr>
          <w:rFonts w:ascii="宋体" w:hAnsi="宋体" w:cs="宋体"/>
          <w:b w:val="0"/>
          <w:bCs w:val="0"/>
          <w:kern w:val="0"/>
          <w:szCs w:val="24"/>
        </w:rPr>
        <w:alias w:val="模块:合并财务报表项目注释其他需要说明的事项"/>
        <w:tag w:val="_SEC_c84db925a3024ae68b5f3a3d1775752e"/>
        <w:id w:val="438878579"/>
        <w:lock w:val="sdtLocked"/>
        <w:placeholder>
          <w:docPart w:val="GBC22222222222222222222222222222"/>
        </w:placeholder>
      </w:sdtPr>
      <w:sdtContent>
        <w:p w:rsidR="00806678" w:rsidRDefault="00B16377" w:rsidP="00FF17C7">
          <w:pPr>
            <w:pStyle w:val="3"/>
            <w:numPr>
              <w:ilvl w:val="0"/>
              <w:numId w:val="18"/>
            </w:numPr>
            <w:tabs>
              <w:tab w:val="left" w:pos="504"/>
            </w:tabs>
          </w:pPr>
          <w:r>
            <w:rPr>
              <w:rFonts w:hint="eastAsia"/>
            </w:rPr>
            <w:t>其他</w:t>
          </w:r>
        </w:p>
        <w:sdt>
          <w:sdtPr>
            <w:alias w:val="是否适用：合并财务报表项目注释其他需要说明的事项[双击切换]"/>
            <w:tag w:val="_GBC_67815da71293483fad0e823098235edb"/>
            <w:id w:val="1318616682"/>
            <w:lock w:val="sdtLocked"/>
            <w:placeholder>
              <w:docPart w:val="GBC22222222222222222222222222222"/>
            </w:placeholder>
          </w:sdtPr>
          <w:sdtContent>
            <w:p w:rsidR="00806678" w:rsidRDefault="00F80B6C">
              <w:r>
                <w:fldChar w:fldCharType="begin"/>
              </w:r>
              <w:r w:rsidR="00C35436">
                <w:instrText xml:space="preserve">MACROBUTTON  SnrToggleCheckbox √适用 </w:instrText>
              </w:r>
              <w:r>
                <w:fldChar w:fldCharType="end"/>
              </w:r>
              <w:r>
                <w:fldChar w:fldCharType="begin"/>
              </w:r>
              <w:r w:rsidR="00C35436">
                <w:instrText xml:space="preserve"> MACROBUTTON  SnrToggleCheckbox □不适用 </w:instrText>
              </w:r>
              <w:r>
                <w:fldChar w:fldCharType="end"/>
              </w:r>
            </w:p>
          </w:sdtContent>
        </w:sdt>
        <w:sdt>
          <w:sdtPr>
            <w:alias w:val="合并财务报表项目注释其他需要说明的事项"/>
            <w:tag w:val="_GBC_03ae82bfa95448a9a91a327b060305d9"/>
            <w:id w:val="-868603436"/>
            <w:lock w:val="sdtLocked"/>
            <w:placeholder>
              <w:docPart w:val="GBC22222222222222222222222222222"/>
            </w:placeholder>
          </w:sdtPr>
          <w:sdtContent>
            <w:p w:rsidR="00C35436" w:rsidRDefault="00C35436">
              <w:r w:rsidRPr="00C35436">
                <w:rPr>
                  <w:rFonts w:hint="eastAsia"/>
                </w:rPr>
                <w:t>利润表中的营业成本、销售费用、管理费用和研发费用按照性质分类，列示如下：</w:t>
              </w:r>
            </w:p>
            <w:p w:rsidR="00C35436" w:rsidRDefault="00C35436" w:rsidP="00C35436">
              <w:pPr>
                <w:jc w:val="right"/>
              </w:pPr>
              <w:r w:rsidRPr="00C35436">
                <w:rPr>
                  <w:rFonts w:hint="eastAsia"/>
                </w:rPr>
                <w:t>单位：元</w:t>
              </w:r>
              <w:r w:rsidRPr="00C35436">
                <w:t xml:space="preserve"> 币种：人民币</w:t>
              </w:r>
            </w:p>
            <w:tbl>
              <w:tblPr>
                <w:tblW w:w="883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28" w:type="dxa"/>
                </w:tblCellMar>
                <w:tblLook w:val="04A0"/>
              </w:tblPr>
              <w:tblGrid>
                <w:gridCol w:w="4959"/>
                <w:gridCol w:w="1937"/>
                <w:gridCol w:w="1937"/>
              </w:tblGrid>
              <w:tr w:rsidR="00C35436" w:rsidRPr="00C35436" w:rsidTr="00C35436">
                <w:trPr>
                  <w:jc w:val="right"/>
                </w:trPr>
                <w:tc>
                  <w:tcPr>
                    <w:tcW w:w="4959" w:type="dxa"/>
                    <w:vAlign w:val="bottom"/>
                  </w:tcPr>
                  <w:p w:rsidR="00C35436" w:rsidRPr="00C35436" w:rsidRDefault="00C35436" w:rsidP="00DB008B">
                    <w:pPr>
                      <w:snapToGrid w:val="0"/>
                      <w:ind w:left="221" w:hanging="221"/>
                    </w:pPr>
                    <w:r w:rsidRPr="00C35436">
                      <w:t>项目</w:t>
                    </w:r>
                  </w:p>
                </w:tc>
                <w:tc>
                  <w:tcPr>
                    <w:tcW w:w="1937" w:type="dxa"/>
                    <w:vAlign w:val="bottom"/>
                  </w:tcPr>
                  <w:p w:rsidR="00C35436" w:rsidRPr="00C35436" w:rsidRDefault="00C35436" w:rsidP="00DB008B">
                    <w:pPr>
                      <w:snapToGrid w:val="0"/>
                      <w:jc w:val="right"/>
                    </w:pPr>
                    <w:r w:rsidRPr="00C35436">
                      <w:t>2022年</w:t>
                    </w:r>
                  </w:p>
                </w:tc>
                <w:tc>
                  <w:tcPr>
                    <w:tcW w:w="1937" w:type="dxa"/>
                    <w:vAlign w:val="bottom"/>
                  </w:tcPr>
                  <w:p w:rsidR="00C35436" w:rsidRPr="00C35436" w:rsidRDefault="00C35436" w:rsidP="00DB008B">
                    <w:pPr>
                      <w:snapToGrid w:val="0"/>
                      <w:jc w:val="right"/>
                    </w:pPr>
                    <w:r w:rsidRPr="00C35436">
                      <w:t>2021年</w:t>
                    </w:r>
                  </w:p>
                </w:tc>
              </w:tr>
              <w:tr w:rsidR="00C35436" w:rsidRPr="00C35436" w:rsidTr="00C35436">
                <w:trPr>
                  <w:jc w:val="right"/>
                </w:trPr>
                <w:tc>
                  <w:tcPr>
                    <w:tcW w:w="4959" w:type="dxa"/>
                    <w:vAlign w:val="bottom"/>
                  </w:tcPr>
                  <w:p w:rsidR="00C35436" w:rsidRPr="00C35436" w:rsidRDefault="00C35436" w:rsidP="00DB008B">
                    <w:pPr>
                      <w:snapToGrid w:val="0"/>
                      <w:ind w:left="221" w:hanging="221"/>
                    </w:pPr>
                    <w:r w:rsidRPr="00C35436">
                      <w:t>人员费用</w:t>
                    </w:r>
                  </w:p>
                </w:tc>
                <w:tc>
                  <w:tcPr>
                    <w:tcW w:w="1937" w:type="dxa"/>
                    <w:vAlign w:val="bottom"/>
                  </w:tcPr>
                  <w:p w:rsidR="00C35436" w:rsidRPr="00C35436" w:rsidRDefault="00C35436" w:rsidP="00DB008B">
                    <w:pPr>
                      <w:snapToGrid w:val="0"/>
                      <w:jc w:val="right"/>
                    </w:pPr>
                    <w:r w:rsidRPr="00C35436">
                      <w:t>21,754,806,010</w:t>
                    </w:r>
                  </w:p>
                </w:tc>
                <w:tc>
                  <w:tcPr>
                    <w:tcW w:w="1937" w:type="dxa"/>
                    <w:vAlign w:val="bottom"/>
                  </w:tcPr>
                  <w:p w:rsidR="00C35436" w:rsidRPr="00C35436" w:rsidRDefault="00C35436" w:rsidP="00DB008B">
                    <w:pPr>
                      <w:snapToGrid w:val="0"/>
                      <w:jc w:val="right"/>
                    </w:pPr>
                    <w:r w:rsidRPr="00C35436">
                      <w:t>21,098,068,195</w:t>
                    </w:r>
                  </w:p>
                </w:tc>
              </w:tr>
              <w:tr w:rsidR="00C35436" w:rsidRPr="00C35436" w:rsidTr="00C35436">
                <w:trPr>
                  <w:jc w:val="right"/>
                </w:trPr>
                <w:tc>
                  <w:tcPr>
                    <w:tcW w:w="4959" w:type="dxa"/>
                    <w:vAlign w:val="bottom"/>
                  </w:tcPr>
                  <w:p w:rsidR="00C35436" w:rsidRPr="00C35436" w:rsidRDefault="00C35436" w:rsidP="00DB008B">
                    <w:pPr>
                      <w:snapToGrid w:val="0"/>
                      <w:ind w:left="221" w:hanging="221"/>
                    </w:pPr>
                    <w:r w:rsidRPr="00C35436">
                      <w:t>折旧和摊销费用</w:t>
                    </w:r>
                  </w:p>
                </w:tc>
                <w:tc>
                  <w:tcPr>
                    <w:tcW w:w="1937" w:type="dxa"/>
                    <w:vAlign w:val="bottom"/>
                  </w:tcPr>
                  <w:p w:rsidR="00C35436" w:rsidRPr="00C35436" w:rsidRDefault="00C35436" w:rsidP="00DB008B">
                    <w:pPr>
                      <w:snapToGrid w:val="0"/>
                      <w:jc w:val="right"/>
                    </w:pPr>
                    <w:r w:rsidRPr="00C35436">
                      <w:t>5,278,661,01</w:t>
                    </w:r>
                    <w:r w:rsidR="00B310EF">
                      <w:t>8</w:t>
                    </w:r>
                  </w:p>
                </w:tc>
                <w:tc>
                  <w:tcPr>
                    <w:tcW w:w="1937" w:type="dxa"/>
                    <w:vAlign w:val="bottom"/>
                  </w:tcPr>
                  <w:p w:rsidR="00C35436" w:rsidRPr="00C35436" w:rsidRDefault="00C35436" w:rsidP="00DB008B">
                    <w:pPr>
                      <w:snapToGrid w:val="0"/>
                      <w:jc w:val="right"/>
                    </w:pPr>
                    <w:r w:rsidRPr="00C35436">
                      <w:t>5,096,579,506</w:t>
                    </w:r>
                  </w:p>
                </w:tc>
              </w:tr>
              <w:tr w:rsidR="00C35436" w:rsidRPr="00C35436" w:rsidTr="00C35436">
                <w:trPr>
                  <w:jc w:val="right"/>
                </w:trPr>
                <w:tc>
                  <w:tcPr>
                    <w:tcW w:w="4959" w:type="dxa"/>
                    <w:vAlign w:val="bottom"/>
                  </w:tcPr>
                  <w:p w:rsidR="00C35436" w:rsidRPr="00C35436" w:rsidRDefault="00C35436" w:rsidP="00DB008B">
                    <w:pPr>
                      <w:snapToGrid w:val="0"/>
                      <w:ind w:left="221" w:hanging="221"/>
                    </w:pPr>
                    <w:r w:rsidRPr="00C35436">
                      <w:t>材料、燃料和电力</w:t>
                    </w:r>
                  </w:p>
                </w:tc>
                <w:tc>
                  <w:tcPr>
                    <w:tcW w:w="1937" w:type="dxa"/>
                    <w:vAlign w:val="bottom"/>
                  </w:tcPr>
                  <w:p w:rsidR="00C35436" w:rsidRPr="00C35436" w:rsidRDefault="00C35436" w:rsidP="00DB008B">
                    <w:pPr>
                      <w:snapToGrid w:val="0"/>
                      <w:jc w:val="right"/>
                    </w:pPr>
                    <w:r w:rsidRPr="00C35436">
                      <w:t>4,455,637,004</w:t>
                    </w:r>
                  </w:p>
                </w:tc>
                <w:tc>
                  <w:tcPr>
                    <w:tcW w:w="1937" w:type="dxa"/>
                    <w:vAlign w:val="bottom"/>
                  </w:tcPr>
                  <w:p w:rsidR="00C35436" w:rsidRPr="00C35436" w:rsidRDefault="00C35436" w:rsidP="00DB008B">
                    <w:pPr>
                      <w:snapToGrid w:val="0"/>
                      <w:jc w:val="right"/>
                    </w:pPr>
                    <w:r w:rsidRPr="00C35436">
                      <w:t>4,285,150,467</w:t>
                    </w:r>
                  </w:p>
                </w:tc>
              </w:tr>
              <w:tr w:rsidR="00C35436" w:rsidRPr="00C35436" w:rsidTr="00C35436">
                <w:trPr>
                  <w:jc w:val="right"/>
                </w:trPr>
                <w:tc>
                  <w:tcPr>
                    <w:tcW w:w="4959" w:type="dxa"/>
                    <w:vAlign w:val="bottom"/>
                  </w:tcPr>
                  <w:p w:rsidR="00C35436" w:rsidRPr="00C35436" w:rsidRDefault="00C35436" w:rsidP="00DB008B">
                    <w:pPr>
                      <w:snapToGrid w:val="0"/>
                      <w:ind w:left="221" w:hanging="221"/>
                    </w:pPr>
                    <w:r w:rsidRPr="00C35436">
                      <w:t>货车使用费</w:t>
                    </w:r>
                  </w:p>
                </w:tc>
                <w:tc>
                  <w:tcPr>
                    <w:tcW w:w="1937" w:type="dxa"/>
                    <w:vAlign w:val="bottom"/>
                  </w:tcPr>
                  <w:p w:rsidR="00C35436" w:rsidRPr="00C35436" w:rsidRDefault="00C35436" w:rsidP="00DB008B">
                    <w:pPr>
                      <w:snapToGrid w:val="0"/>
                      <w:jc w:val="right"/>
                    </w:pPr>
                    <w:r w:rsidRPr="00C35436">
                      <w:t>3,363,897,819</w:t>
                    </w:r>
                  </w:p>
                </w:tc>
                <w:tc>
                  <w:tcPr>
                    <w:tcW w:w="1937" w:type="dxa"/>
                    <w:vAlign w:val="bottom"/>
                  </w:tcPr>
                  <w:p w:rsidR="00C35436" w:rsidRPr="00C35436" w:rsidRDefault="00C35436" w:rsidP="00DB008B">
                    <w:pPr>
                      <w:snapToGrid w:val="0"/>
                      <w:jc w:val="right"/>
                    </w:pPr>
                    <w:r w:rsidRPr="00C35436">
                      <w:t>3,165,350,252</w:t>
                    </w:r>
                  </w:p>
                </w:tc>
              </w:tr>
              <w:tr w:rsidR="00C35436" w:rsidRPr="00C35436" w:rsidTr="00C35436">
                <w:trPr>
                  <w:jc w:val="right"/>
                </w:trPr>
                <w:tc>
                  <w:tcPr>
                    <w:tcW w:w="4959" w:type="dxa"/>
                    <w:vAlign w:val="bottom"/>
                  </w:tcPr>
                  <w:p w:rsidR="00C35436" w:rsidRPr="00C35436" w:rsidRDefault="00C35436" w:rsidP="00DB008B">
                    <w:pPr>
                      <w:snapToGrid w:val="0"/>
                      <w:ind w:left="221" w:hanging="221"/>
                    </w:pPr>
                    <w:r w:rsidRPr="00C35436">
                      <w:t>客运服务费</w:t>
                    </w:r>
                  </w:p>
                </w:tc>
                <w:tc>
                  <w:tcPr>
                    <w:tcW w:w="1937" w:type="dxa"/>
                    <w:vAlign w:val="bottom"/>
                  </w:tcPr>
                  <w:p w:rsidR="00C35436" w:rsidRPr="00C35436" w:rsidRDefault="00C35436" w:rsidP="00DB008B">
                    <w:pPr>
                      <w:snapToGrid w:val="0"/>
                      <w:jc w:val="right"/>
                    </w:pPr>
                    <w:r w:rsidRPr="00C35436">
                      <w:t>3,653,545,215</w:t>
                    </w:r>
                  </w:p>
                </w:tc>
                <w:tc>
                  <w:tcPr>
                    <w:tcW w:w="1937" w:type="dxa"/>
                    <w:vAlign w:val="bottom"/>
                  </w:tcPr>
                  <w:p w:rsidR="00C35436" w:rsidRPr="00C35436" w:rsidRDefault="00C35436" w:rsidP="00DB008B">
                    <w:pPr>
                      <w:snapToGrid w:val="0"/>
                      <w:jc w:val="right"/>
                    </w:pPr>
                    <w:r w:rsidRPr="00C35436">
                      <w:t>4,933,407,832</w:t>
                    </w:r>
                  </w:p>
                </w:tc>
              </w:tr>
              <w:tr w:rsidR="00C35436" w:rsidRPr="00C35436" w:rsidTr="00C35436">
                <w:trPr>
                  <w:jc w:val="right"/>
                </w:trPr>
                <w:tc>
                  <w:tcPr>
                    <w:tcW w:w="4959" w:type="dxa"/>
                    <w:vAlign w:val="bottom"/>
                  </w:tcPr>
                  <w:p w:rsidR="00C35436" w:rsidRPr="00C35436" w:rsidRDefault="00C35436" w:rsidP="00DB008B">
                    <w:pPr>
                      <w:snapToGrid w:val="0"/>
                      <w:ind w:left="221" w:hanging="221"/>
                    </w:pPr>
                    <w:r w:rsidRPr="00C35436">
                      <w:t>货运服务费</w:t>
                    </w:r>
                  </w:p>
                </w:tc>
                <w:tc>
                  <w:tcPr>
                    <w:tcW w:w="1937" w:type="dxa"/>
                    <w:vAlign w:val="bottom"/>
                  </w:tcPr>
                  <w:p w:rsidR="00C35436" w:rsidRPr="00C35436" w:rsidRDefault="00C35436" w:rsidP="00DB008B">
                    <w:pPr>
                      <w:snapToGrid w:val="0"/>
                      <w:jc w:val="right"/>
                    </w:pPr>
                    <w:r w:rsidRPr="00C35436">
                      <w:t>17,227,151,726</w:t>
                    </w:r>
                  </w:p>
                </w:tc>
                <w:tc>
                  <w:tcPr>
                    <w:tcW w:w="1937" w:type="dxa"/>
                    <w:vAlign w:val="bottom"/>
                  </w:tcPr>
                  <w:p w:rsidR="00C35436" w:rsidRPr="00C35436" w:rsidRDefault="00C35436" w:rsidP="00DB008B">
                    <w:pPr>
                      <w:snapToGrid w:val="0"/>
                      <w:jc w:val="right"/>
                    </w:pPr>
                    <w:r w:rsidRPr="00C35436">
                      <w:t>17,226,754,967</w:t>
                    </w:r>
                  </w:p>
                </w:tc>
              </w:tr>
              <w:tr w:rsidR="00C35436" w:rsidRPr="00C35436" w:rsidTr="00C35436">
                <w:trPr>
                  <w:jc w:val="right"/>
                </w:trPr>
                <w:tc>
                  <w:tcPr>
                    <w:tcW w:w="4959" w:type="dxa"/>
                    <w:vAlign w:val="bottom"/>
                  </w:tcPr>
                  <w:p w:rsidR="00C35436" w:rsidRPr="00C35436" w:rsidRDefault="00C35436" w:rsidP="00DB008B">
                    <w:pPr>
                      <w:snapToGrid w:val="0"/>
                      <w:ind w:left="221" w:hanging="221"/>
                    </w:pPr>
                    <w:r w:rsidRPr="00C35436">
                      <w:t>大修支出</w:t>
                    </w:r>
                  </w:p>
                </w:tc>
                <w:tc>
                  <w:tcPr>
                    <w:tcW w:w="1937" w:type="dxa"/>
                    <w:vAlign w:val="bottom"/>
                  </w:tcPr>
                  <w:p w:rsidR="00C35436" w:rsidRPr="00C35436" w:rsidRDefault="00C35436" w:rsidP="00DB008B">
                    <w:pPr>
                      <w:snapToGrid w:val="0"/>
                      <w:jc w:val="right"/>
                    </w:pPr>
                    <w:r w:rsidRPr="00C35436">
                      <w:t>336,985,733</w:t>
                    </w:r>
                  </w:p>
                </w:tc>
                <w:tc>
                  <w:tcPr>
                    <w:tcW w:w="1937" w:type="dxa"/>
                    <w:vAlign w:val="bottom"/>
                  </w:tcPr>
                  <w:p w:rsidR="00C35436" w:rsidRPr="00C35436" w:rsidRDefault="00C35436" w:rsidP="00DB008B">
                    <w:pPr>
                      <w:snapToGrid w:val="0"/>
                      <w:jc w:val="right"/>
                    </w:pPr>
                    <w:r w:rsidRPr="00C35436">
                      <w:t>229,324,571</w:t>
                    </w:r>
                  </w:p>
                </w:tc>
              </w:tr>
              <w:tr w:rsidR="00C35436" w:rsidRPr="00C35436" w:rsidTr="00C35436">
                <w:trPr>
                  <w:jc w:val="right"/>
                </w:trPr>
                <w:tc>
                  <w:tcPr>
                    <w:tcW w:w="4959" w:type="dxa"/>
                    <w:vAlign w:val="bottom"/>
                  </w:tcPr>
                  <w:p w:rsidR="00C35436" w:rsidRPr="00C35436" w:rsidRDefault="00C35436" w:rsidP="00DB008B">
                    <w:pPr>
                      <w:snapToGrid w:val="0"/>
                      <w:ind w:left="221" w:hanging="221"/>
                    </w:pPr>
                    <w:r w:rsidRPr="00C35436">
                      <w:t>机客车租赁费</w:t>
                    </w:r>
                  </w:p>
                </w:tc>
                <w:tc>
                  <w:tcPr>
                    <w:tcW w:w="1937" w:type="dxa"/>
                    <w:vAlign w:val="bottom"/>
                  </w:tcPr>
                  <w:p w:rsidR="00C35436" w:rsidRPr="00C35436" w:rsidRDefault="00C35436" w:rsidP="00DB008B">
                    <w:pPr>
                      <w:snapToGrid w:val="0"/>
                      <w:jc w:val="right"/>
                    </w:pPr>
                    <w:r w:rsidRPr="00C35436">
                      <w:t>913,001,297</w:t>
                    </w:r>
                  </w:p>
                </w:tc>
                <w:tc>
                  <w:tcPr>
                    <w:tcW w:w="1937" w:type="dxa"/>
                    <w:vAlign w:val="bottom"/>
                  </w:tcPr>
                  <w:p w:rsidR="00C35436" w:rsidRPr="00C35436" w:rsidRDefault="00C35436" w:rsidP="00DB008B">
                    <w:pPr>
                      <w:snapToGrid w:val="0"/>
                      <w:jc w:val="right"/>
                    </w:pPr>
                    <w:r w:rsidRPr="00C35436">
                      <w:t>1,131,163,635</w:t>
                    </w:r>
                  </w:p>
                </w:tc>
              </w:tr>
              <w:tr w:rsidR="00C35436" w:rsidRPr="00C35436" w:rsidTr="00C35436">
                <w:trPr>
                  <w:jc w:val="right"/>
                </w:trPr>
                <w:tc>
                  <w:tcPr>
                    <w:tcW w:w="4959" w:type="dxa"/>
                    <w:vAlign w:val="bottom"/>
                  </w:tcPr>
                  <w:p w:rsidR="00C35436" w:rsidRPr="00C35436" w:rsidRDefault="00C35436" w:rsidP="00DB008B">
                    <w:pPr>
                      <w:snapToGrid w:val="0"/>
                      <w:ind w:left="221" w:hanging="221"/>
                    </w:pPr>
                    <w:r w:rsidRPr="00C35436">
                      <w:t>土地房屋租赁费</w:t>
                    </w:r>
                  </w:p>
                </w:tc>
                <w:tc>
                  <w:tcPr>
                    <w:tcW w:w="1937" w:type="dxa"/>
                    <w:vAlign w:val="bottom"/>
                  </w:tcPr>
                  <w:p w:rsidR="00C35436" w:rsidRPr="00C35436" w:rsidRDefault="00C35436" w:rsidP="00DB008B">
                    <w:pPr>
                      <w:snapToGrid w:val="0"/>
                      <w:jc w:val="right"/>
                    </w:pPr>
                    <w:r w:rsidRPr="00C35436">
                      <w:t>704,797,615</w:t>
                    </w:r>
                  </w:p>
                </w:tc>
                <w:tc>
                  <w:tcPr>
                    <w:tcW w:w="1937" w:type="dxa"/>
                    <w:vAlign w:val="bottom"/>
                  </w:tcPr>
                  <w:p w:rsidR="00C35436" w:rsidRPr="00C35436" w:rsidRDefault="00C35436" w:rsidP="00DB008B">
                    <w:pPr>
                      <w:snapToGrid w:val="0"/>
                      <w:jc w:val="right"/>
                    </w:pPr>
                    <w:r w:rsidRPr="00C35436">
                      <w:t>731,098,308</w:t>
                    </w:r>
                  </w:p>
                </w:tc>
              </w:tr>
              <w:tr w:rsidR="00C35436" w:rsidRPr="00C35436" w:rsidTr="00C35436">
                <w:trPr>
                  <w:jc w:val="right"/>
                </w:trPr>
                <w:tc>
                  <w:tcPr>
                    <w:tcW w:w="4959" w:type="dxa"/>
                    <w:vAlign w:val="bottom"/>
                  </w:tcPr>
                  <w:p w:rsidR="00C35436" w:rsidRPr="00C35436" w:rsidRDefault="00C35436" w:rsidP="00DB008B">
                    <w:pPr>
                      <w:snapToGrid w:val="0"/>
                      <w:ind w:left="221" w:hanging="221"/>
                    </w:pPr>
                    <w:r w:rsidRPr="00C35436">
                      <w:t>供热、供暖费和房屋维修费</w:t>
                    </w:r>
                  </w:p>
                </w:tc>
                <w:tc>
                  <w:tcPr>
                    <w:tcW w:w="1937" w:type="dxa"/>
                    <w:vAlign w:val="bottom"/>
                  </w:tcPr>
                  <w:p w:rsidR="00C35436" w:rsidRPr="00C35436" w:rsidRDefault="00C35436" w:rsidP="00DB008B">
                    <w:pPr>
                      <w:snapToGrid w:val="0"/>
                      <w:jc w:val="right"/>
                    </w:pPr>
                    <w:r w:rsidRPr="00C35436">
                      <w:t>280,217,574</w:t>
                    </w:r>
                  </w:p>
                </w:tc>
                <w:tc>
                  <w:tcPr>
                    <w:tcW w:w="1937" w:type="dxa"/>
                    <w:vAlign w:val="bottom"/>
                  </w:tcPr>
                  <w:p w:rsidR="00C35436" w:rsidRPr="00C35436" w:rsidRDefault="00C35436" w:rsidP="00DB008B">
                    <w:pPr>
                      <w:snapToGrid w:val="0"/>
                      <w:jc w:val="right"/>
                    </w:pPr>
                    <w:r w:rsidRPr="00C35436">
                      <w:t>264,888,475</w:t>
                    </w:r>
                  </w:p>
                </w:tc>
              </w:tr>
              <w:tr w:rsidR="00C35436" w:rsidRPr="00C35436" w:rsidTr="00C35436">
                <w:trPr>
                  <w:jc w:val="right"/>
                </w:trPr>
                <w:tc>
                  <w:tcPr>
                    <w:tcW w:w="4959" w:type="dxa"/>
                    <w:vAlign w:val="bottom"/>
                  </w:tcPr>
                  <w:p w:rsidR="00C35436" w:rsidRPr="00C35436" w:rsidRDefault="00C35436" w:rsidP="00DB008B">
                    <w:pPr>
                      <w:snapToGrid w:val="0"/>
                      <w:ind w:left="221" w:hanging="221"/>
                    </w:pPr>
                    <w:r w:rsidRPr="00C35436">
                      <w:t>和谐机车检修费用</w:t>
                    </w:r>
                  </w:p>
                </w:tc>
                <w:tc>
                  <w:tcPr>
                    <w:tcW w:w="1937" w:type="dxa"/>
                    <w:vAlign w:val="bottom"/>
                  </w:tcPr>
                  <w:p w:rsidR="00C35436" w:rsidRPr="00C35436" w:rsidRDefault="00C35436" w:rsidP="00DB008B">
                    <w:pPr>
                      <w:snapToGrid w:val="0"/>
                      <w:jc w:val="right"/>
                    </w:pPr>
                    <w:r w:rsidRPr="00C35436">
                      <w:t>265,136,115</w:t>
                    </w:r>
                  </w:p>
                </w:tc>
                <w:tc>
                  <w:tcPr>
                    <w:tcW w:w="1937" w:type="dxa"/>
                    <w:vAlign w:val="bottom"/>
                  </w:tcPr>
                  <w:p w:rsidR="00C35436" w:rsidRPr="00C35436" w:rsidRDefault="00C35436" w:rsidP="00DB008B">
                    <w:pPr>
                      <w:snapToGrid w:val="0"/>
                      <w:jc w:val="right"/>
                    </w:pPr>
                    <w:r w:rsidRPr="00C35436">
                      <w:t>539,847,099</w:t>
                    </w:r>
                  </w:p>
                </w:tc>
              </w:tr>
              <w:tr w:rsidR="00C35436" w:rsidRPr="00C35436" w:rsidTr="00C35436">
                <w:trPr>
                  <w:jc w:val="right"/>
                </w:trPr>
                <w:tc>
                  <w:tcPr>
                    <w:tcW w:w="4959" w:type="dxa"/>
                    <w:vAlign w:val="bottom"/>
                  </w:tcPr>
                  <w:p w:rsidR="00C35436" w:rsidRPr="00C35436" w:rsidRDefault="00C35436" w:rsidP="00DB008B">
                    <w:pPr>
                      <w:snapToGrid w:val="0"/>
                      <w:ind w:left="221" w:hanging="221"/>
                    </w:pPr>
                    <w:r w:rsidRPr="00C35436">
                      <w:t>其他</w:t>
                    </w:r>
                  </w:p>
                </w:tc>
                <w:tc>
                  <w:tcPr>
                    <w:tcW w:w="1937" w:type="dxa"/>
                    <w:vAlign w:val="bottom"/>
                  </w:tcPr>
                  <w:p w:rsidR="00C35436" w:rsidRPr="00C35436" w:rsidRDefault="00C35436" w:rsidP="00DB008B">
                    <w:pPr>
                      <w:snapToGrid w:val="0"/>
                      <w:jc w:val="right"/>
                    </w:pPr>
                    <w:r w:rsidRPr="00C35436">
                      <w:t>3,470,862,27</w:t>
                    </w:r>
                    <w:r w:rsidR="00B310EF">
                      <w:t>4</w:t>
                    </w:r>
                  </w:p>
                </w:tc>
                <w:tc>
                  <w:tcPr>
                    <w:tcW w:w="1937" w:type="dxa"/>
                    <w:vAlign w:val="bottom"/>
                  </w:tcPr>
                  <w:p w:rsidR="00C35436" w:rsidRPr="00C35436" w:rsidRDefault="00C35436" w:rsidP="00DB008B">
                    <w:pPr>
                      <w:snapToGrid w:val="0"/>
                      <w:jc w:val="right"/>
                    </w:pPr>
                    <w:r w:rsidRPr="00C35436">
                      <w:t>3,815,643,692</w:t>
                    </w:r>
                  </w:p>
                </w:tc>
              </w:tr>
              <w:tr w:rsidR="00C35436" w:rsidRPr="00C35436" w:rsidTr="00C35436">
                <w:trPr>
                  <w:jc w:val="right"/>
                </w:trPr>
                <w:tc>
                  <w:tcPr>
                    <w:tcW w:w="4959" w:type="dxa"/>
                    <w:vAlign w:val="bottom"/>
                  </w:tcPr>
                  <w:p w:rsidR="00C35436" w:rsidRPr="00C35436" w:rsidRDefault="00C35436" w:rsidP="00DB008B">
                    <w:pPr>
                      <w:snapToGrid w:val="0"/>
                      <w:ind w:left="221" w:hanging="221"/>
                    </w:pPr>
                    <w:r w:rsidRPr="00C35436">
                      <w:t>合计</w:t>
                    </w:r>
                  </w:p>
                </w:tc>
                <w:tc>
                  <w:tcPr>
                    <w:tcW w:w="1937" w:type="dxa"/>
                    <w:vAlign w:val="bottom"/>
                  </w:tcPr>
                  <w:p w:rsidR="00C35436" w:rsidRPr="00C35436" w:rsidRDefault="00C35436" w:rsidP="00DB008B">
                    <w:pPr>
                      <w:snapToGrid w:val="0"/>
                      <w:jc w:val="right"/>
                    </w:pPr>
                    <w:r w:rsidRPr="00C35436">
                      <w:t>61,704,699,400</w:t>
                    </w:r>
                  </w:p>
                </w:tc>
                <w:tc>
                  <w:tcPr>
                    <w:tcW w:w="1937" w:type="dxa"/>
                    <w:vAlign w:val="bottom"/>
                  </w:tcPr>
                  <w:p w:rsidR="00C35436" w:rsidRPr="00C35436" w:rsidRDefault="00C35436" w:rsidP="00DB008B">
                    <w:pPr>
                      <w:snapToGrid w:val="0"/>
                      <w:jc w:val="right"/>
                    </w:pPr>
                    <w:r w:rsidRPr="00C35436">
                      <w:t>62,517,276,999</w:t>
                    </w:r>
                  </w:p>
                </w:tc>
              </w:tr>
            </w:tbl>
            <w:p w:rsidR="00806678" w:rsidRPr="00DA4D34" w:rsidRDefault="00F80B6C"/>
          </w:sdtContent>
        </w:sdt>
      </w:sdtContent>
    </w:sdt>
    <w:p w:rsidR="00806678" w:rsidRDefault="00B16377" w:rsidP="00FF17C7">
      <w:pPr>
        <w:pStyle w:val="2"/>
        <w:numPr>
          <w:ilvl w:val="0"/>
          <w:numId w:val="37"/>
        </w:numPr>
      </w:pPr>
      <w:r>
        <w:rPr>
          <w:rFonts w:hint="eastAsia"/>
        </w:rPr>
        <w:t>合并范围的变更</w:t>
      </w:r>
    </w:p>
    <w:p w:rsidR="00806678" w:rsidRDefault="00B16377" w:rsidP="00FF17C7">
      <w:pPr>
        <w:pStyle w:val="3"/>
        <w:numPr>
          <w:ilvl w:val="0"/>
          <w:numId w:val="49"/>
        </w:numPr>
        <w:rPr>
          <w:rFonts w:ascii="宋体" w:hAnsi="宋体" w:cs="Arial"/>
          <w:szCs w:val="21"/>
        </w:rPr>
      </w:pPr>
      <w:r>
        <w:rPr>
          <w:rFonts w:ascii="宋体" w:hAnsi="宋体" w:cs="Arial" w:hint="eastAsia"/>
          <w:szCs w:val="21"/>
        </w:rPr>
        <w:t>非同一控制下企业合并</w:t>
      </w:r>
    </w:p>
    <w:sdt>
      <w:sdtPr>
        <w:alias w:val="是否适用：非同一控制下企业合并[双击切换]"/>
        <w:tag w:val="_GBC_f305adddf4654659bd28ceedc072aa05"/>
        <w:id w:val="-1686894922"/>
        <w:lock w:val="sdtLocked"/>
        <w:placeholder>
          <w:docPart w:val="GBC22222222222222222222222222222"/>
        </w:placeholder>
      </w:sdtPr>
      <w:sdtContent>
        <w:p w:rsidR="00C35436" w:rsidRDefault="00F80B6C" w:rsidP="00C35436">
          <w:pPr>
            <w:rPr>
              <w:rFonts w:cstheme="minorBidi"/>
              <w:szCs w:val="21"/>
            </w:rPr>
          </w:pPr>
          <w:r>
            <w:fldChar w:fldCharType="begin"/>
          </w:r>
          <w:r w:rsidR="00C35436">
            <w:instrText xml:space="preserve">MACROBUTTON  SnrToggleCheckbox □适用 </w:instrText>
          </w:r>
          <w:r>
            <w:fldChar w:fldCharType="end"/>
          </w:r>
          <w:r>
            <w:fldChar w:fldCharType="begin"/>
          </w:r>
          <w:r w:rsidR="00C35436">
            <w:instrText xml:space="preserve"> MACROBUTTON  SnrToggleCheckbox √不适用 </w:instrText>
          </w:r>
          <w:r>
            <w:fldChar w:fldCharType="end"/>
          </w:r>
        </w:p>
      </w:sdtContent>
    </w:sdt>
    <w:p w:rsidR="00806678" w:rsidRDefault="00806678">
      <w:pPr>
        <w:rPr>
          <w:szCs w:val="21"/>
        </w:rPr>
      </w:pPr>
    </w:p>
    <w:p w:rsidR="00806678" w:rsidRDefault="00B16377" w:rsidP="00FF17C7">
      <w:pPr>
        <w:pStyle w:val="3"/>
        <w:numPr>
          <w:ilvl w:val="0"/>
          <w:numId w:val="49"/>
        </w:numPr>
        <w:rPr>
          <w:rFonts w:ascii="宋体" w:hAnsi="宋体" w:cs="Arial"/>
          <w:szCs w:val="21"/>
        </w:rPr>
      </w:pPr>
      <w:r>
        <w:rPr>
          <w:rFonts w:ascii="宋体" w:hAnsi="宋体" w:cs="Arial" w:hint="eastAsia"/>
          <w:szCs w:val="21"/>
        </w:rPr>
        <w:t>同一控制下企业合并</w:t>
      </w:r>
    </w:p>
    <w:sdt>
      <w:sdtPr>
        <w:alias w:val="是否适用：同一控制下企业合并[双击切换]"/>
        <w:tag w:val="_GBC_698d1a451f094ec0bf9c3a278d26a0d3"/>
        <w:id w:val="-282271359"/>
        <w:lock w:val="sdtLocked"/>
        <w:placeholder>
          <w:docPart w:val="GBC22222222222222222222222222222"/>
        </w:placeholder>
      </w:sdtPr>
      <w:sdtContent>
        <w:p w:rsidR="00C35436" w:rsidRDefault="00F80B6C" w:rsidP="00C35436">
          <w:pPr>
            <w:rPr>
              <w:rFonts w:cs="Arial"/>
              <w:szCs w:val="21"/>
            </w:rPr>
          </w:pPr>
          <w:r>
            <w:fldChar w:fldCharType="begin"/>
          </w:r>
          <w:r w:rsidR="00C35436">
            <w:instrText xml:space="preserve">MACROBUTTON  SnrToggleCheckbox □适用 </w:instrText>
          </w:r>
          <w:r>
            <w:fldChar w:fldCharType="end"/>
          </w:r>
          <w:r>
            <w:fldChar w:fldCharType="begin"/>
          </w:r>
          <w:r w:rsidR="00C35436">
            <w:instrText xml:space="preserve"> MACROBUTTON  SnrToggleCheckbox √不适用 </w:instrText>
          </w:r>
          <w:r>
            <w:fldChar w:fldCharType="end"/>
          </w:r>
        </w:p>
      </w:sdtContent>
    </w:sdt>
    <w:p w:rsidR="00806678" w:rsidRDefault="00806678">
      <w:pPr>
        <w:rPr>
          <w:rFonts w:cs="Arial"/>
          <w:szCs w:val="21"/>
        </w:rPr>
      </w:pPr>
    </w:p>
    <w:sdt>
      <w:sdtPr>
        <w:rPr>
          <w:rFonts w:ascii="宋体" w:hAnsi="宋体" w:cs="Arial" w:hint="eastAsia"/>
          <w:b w:val="0"/>
          <w:bCs w:val="0"/>
          <w:kern w:val="0"/>
          <w:szCs w:val="21"/>
        </w:rPr>
        <w:alias w:val="模块:反向购买"/>
        <w:tag w:val="_SEC_612fd89e631e4e869313fae62c4eb055"/>
        <w:id w:val="-784888447"/>
        <w:lock w:val="sdtLocked"/>
        <w:placeholder>
          <w:docPart w:val="GBC22222222222222222222222222222"/>
        </w:placeholder>
      </w:sdtPr>
      <w:sdtEndPr>
        <w:rPr>
          <w:lang w:val="en-GB"/>
        </w:rPr>
      </w:sdtEndPr>
      <w:sdtContent>
        <w:p w:rsidR="00806678" w:rsidRDefault="00B16377" w:rsidP="00FF17C7">
          <w:pPr>
            <w:pStyle w:val="3"/>
            <w:numPr>
              <w:ilvl w:val="0"/>
              <w:numId w:val="49"/>
            </w:numPr>
            <w:rPr>
              <w:rFonts w:ascii="宋体" w:hAnsi="宋体" w:cs="Arial"/>
              <w:szCs w:val="21"/>
            </w:rPr>
          </w:pPr>
          <w:r>
            <w:rPr>
              <w:rFonts w:ascii="宋体" w:hAnsi="宋体" w:cs="Arial" w:hint="eastAsia"/>
              <w:szCs w:val="21"/>
            </w:rPr>
            <w:t>反向购买</w:t>
          </w:r>
        </w:p>
        <w:sdt>
          <w:sdtPr>
            <w:alias w:val="是否适用：反向购买[双击切换]"/>
            <w:tag w:val="_GBC_717fa638fefe45c09c1f2627ba167ee4"/>
            <w:id w:val="352930012"/>
            <w:lock w:val="sdtLocked"/>
            <w:placeholder>
              <w:docPart w:val="GBC22222222222222222222222222222"/>
            </w:placeholder>
          </w:sdtPr>
          <w:sdtContent>
            <w:p w:rsidR="00C35436" w:rsidRDefault="00F80B6C" w:rsidP="00C35436">
              <w:r>
                <w:fldChar w:fldCharType="begin"/>
              </w:r>
              <w:r w:rsidR="00C35436">
                <w:instrText xml:space="preserve">MACROBUTTON  SnrToggleCheckbox □适用 </w:instrText>
              </w:r>
              <w:r>
                <w:fldChar w:fldCharType="end"/>
              </w:r>
              <w:r>
                <w:fldChar w:fldCharType="begin"/>
              </w:r>
              <w:r w:rsidR="00C35436">
                <w:instrText xml:space="preserve"> MACROBUTTON  SnrToggleCheckbox √不适用 </w:instrText>
              </w:r>
              <w:r>
                <w:fldChar w:fldCharType="end"/>
              </w:r>
            </w:p>
          </w:sdtContent>
        </w:sdt>
        <w:p w:rsidR="00806678" w:rsidRPr="00C35436" w:rsidRDefault="00F80B6C">
          <w:pPr>
            <w:rPr>
              <w:rFonts w:cs="Arial"/>
              <w:szCs w:val="21"/>
              <w:lang w:val="en-GB"/>
            </w:rPr>
          </w:pPr>
        </w:p>
      </w:sdtContent>
    </w:sdt>
    <w:sdt>
      <w:sdtPr>
        <w:rPr>
          <w:rFonts w:ascii="宋体" w:hAnsi="宋体" w:cs="Arial" w:hint="eastAsia"/>
          <w:b w:val="0"/>
          <w:bCs w:val="0"/>
          <w:kern w:val="0"/>
          <w:szCs w:val="21"/>
        </w:rPr>
        <w:alias w:val="模块:处置子公司"/>
        <w:tag w:val="_SEC_2a4ee8d8c08040448e991803ec2047d5"/>
        <w:id w:val="1138071657"/>
        <w:lock w:val="sdtLocked"/>
        <w:placeholder>
          <w:docPart w:val="GBC22222222222222222222222222222"/>
        </w:placeholder>
      </w:sdtPr>
      <w:sdtEndPr>
        <w:rPr>
          <w:rFonts w:cs="宋体"/>
          <w:color w:val="000000"/>
        </w:rPr>
      </w:sdtEndPr>
      <w:sdtContent>
        <w:p w:rsidR="00806678" w:rsidRDefault="00B16377" w:rsidP="00FF17C7">
          <w:pPr>
            <w:pStyle w:val="3"/>
            <w:numPr>
              <w:ilvl w:val="0"/>
              <w:numId w:val="49"/>
            </w:numPr>
            <w:rPr>
              <w:rFonts w:ascii="宋体" w:hAnsi="宋体" w:cs="Arial"/>
              <w:szCs w:val="21"/>
            </w:rPr>
          </w:pPr>
          <w:r>
            <w:rPr>
              <w:rFonts w:ascii="宋体" w:hAnsi="宋体" w:cs="Arial" w:hint="eastAsia"/>
              <w:szCs w:val="21"/>
            </w:rPr>
            <w:t>处置子公司</w:t>
          </w:r>
        </w:p>
        <w:p w:rsidR="00806678" w:rsidRDefault="00B16377">
          <w:r>
            <w:rPr>
              <w:rFonts w:hint="eastAsia"/>
            </w:rPr>
            <w:t>是否存在单次处置</w:t>
          </w:r>
          <w:r>
            <w:t>对子公司投资即丧失控制权的情形</w:t>
          </w:r>
        </w:p>
        <w:sdt>
          <w:sdtPr>
            <w:rPr>
              <w:rFonts w:cs="Arial" w:hint="eastAsia"/>
              <w:szCs w:val="21"/>
            </w:rPr>
            <w:alias w:val="是否存在单次交易处置对子公司投资即丧失控制权的情形[双击切换]"/>
            <w:tag w:val="_GBC_34b271ee01844be4a0580269d95adcf3"/>
            <w:id w:val="1632977328"/>
            <w:lock w:val="sdtLocked"/>
            <w:placeholder>
              <w:docPart w:val="GBC22222222222222222222222222222"/>
            </w:placeholder>
          </w:sdtPr>
          <w:sdtContent>
            <w:p w:rsidR="00806678" w:rsidRDefault="00F80B6C" w:rsidP="00C35436">
              <w:pPr>
                <w:rPr>
                  <w:rFonts w:cs="Arial"/>
                  <w:color w:val="000000"/>
                  <w:szCs w:val="21"/>
                </w:rPr>
              </w:pPr>
              <w:r>
                <w:rPr>
                  <w:rFonts w:cs="Arial"/>
                  <w:szCs w:val="21"/>
                </w:rPr>
                <w:fldChar w:fldCharType="begin"/>
              </w:r>
              <w:r w:rsidR="00C35436">
                <w:rPr>
                  <w:rFonts w:cs="Arial"/>
                  <w:szCs w:val="21"/>
                </w:rPr>
                <w:instrText xml:space="preserve">MACROBUTTON  SnrToggleCheckbox □适用 </w:instrText>
              </w:r>
              <w:r>
                <w:rPr>
                  <w:rFonts w:cs="Arial"/>
                  <w:szCs w:val="21"/>
                </w:rPr>
                <w:fldChar w:fldCharType="end"/>
              </w:r>
              <w:r>
                <w:rPr>
                  <w:rFonts w:cs="Arial"/>
                  <w:szCs w:val="21"/>
                </w:rPr>
                <w:fldChar w:fldCharType="begin"/>
              </w:r>
              <w:r w:rsidR="00C35436">
                <w:rPr>
                  <w:rFonts w:cs="Arial"/>
                  <w:szCs w:val="21"/>
                </w:rPr>
                <w:instrText xml:space="preserve"> MACROBUTTON  SnrToggleCheckbox √不适用 </w:instrText>
              </w:r>
              <w:r>
                <w:rPr>
                  <w:rFonts w:cs="Arial"/>
                  <w:szCs w:val="21"/>
                </w:rPr>
                <w:fldChar w:fldCharType="end"/>
              </w:r>
            </w:p>
          </w:sdtContent>
        </w:sdt>
        <w:p w:rsidR="00806678" w:rsidRDefault="00B16377">
          <w:pPr>
            <w:rPr>
              <w:rFonts w:cs="Arial"/>
              <w:color w:val="000000"/>
              <w:szCs w:val="21"/>
            </w:rPr>
          </w:pPr>
          <w:r>
            <w:rPr>
              <w:rFonts w:cs="Arial" w:hint="eastAsia"/>
              <w:color w:val="000000"/>
              <w:szCs w:val="21"/>
            </w:rPr>
            <w:t>其他说明：</w:t>
          </w:r>
        </w:p>
        <w:sdt>
          <w:sdtPr>
            <w:rPr>
              <w:rFonts w:cs="Arial"/>
              <w:color w:val="000000"/>
              <w:szCs w:val="21"/>
            </w:rPr>
            <w:alias w:val="是否适用：单次交易处置对子公司投资即丧失控制权的情形的说明[双击切换]"/>
            <w:tag w:val="_GBC_e9745370c40b4780b36f3f18da05201e"/>
            <w:id w:val="-1552607022"/>
            <w:lock w:val="sdtLocked"/>
            <w:placeholder>
              <w:docPart w:val="GBC22222222222222222222222222222"/>
            </w:placeholder>
          </w:sdtPr>
          <w:sdtContent>
            <w:p w:rsidR="00806678" w:rsidRDefault="00F80B6C" w:rsidP="00C35436">
              <w:pPr>
                <w:rPr>
                  <w:color w:val="000000"/>
                  <w:szCs w:val="21"/>
                </w:rPr>
              </w:pPr>
              <w:r>
                <w:rPr>
                  <w:rFonts w:cs="Arial"/>
                  <w:color w:val="000000"/>
                  <w:szCs w:val="21"/>
                </w:rPr>
                <w:fldChar w:fldCharType="begin"/>
              </w:r>
              <w:r w:rsidR="00C35436">
                <w:rPr>
                  <w:rFonts w:cs="Arial"/>
                  <w:color w:val="000000"/>
                  <w:szCs w:val="21"/>
                </w:rPr>
                <w:instrText xml:space="preserve">MACROBUTTON  SnrToggleCheckbox □适用 </w:instrText>
              </w:r>
              <w:r>
                <w:rPr>
                  <w:rFonts w:cs="Arial"/>
                  <w:color w:val="000000"/>
                  <w:szCs w:val="21"/>
                </w:rPr>
                <w:fldChar w:fldCharType="end"/>
              </w:r>
              <w:r>
                <w:rPr>
                  <w:rFonts w:cs="Arial"/>
                  <w:color w:val="000000"/>
                  <w:szCs w:val="21"/>
                </w:rPr>
                <w:fldChar w:fldCharType="begin"/>
              </w:r>
              <w:r w:rsidR="00C35436">
                <w:rPr>
                  <w:rFonts w:cs="Arial"/>
                  <w:color w:val="000000"/>
                  <w:szCs w:val="21"/>
                </w:rPr>
                <w:instrText xml:space="preserve"> MACROBUTTON  SnrToggleCheckbox √不适用 </w:instrText>
              </w:r>
              <w:r>
                <w:rPr>
                  <w:rFonts w:cs="Arial"/>
                  <w:color w:val="000000"/>
                  <w:szCs w:val="21"/>
                </w:rPr>
                <w:fldChar w:fldCharType="end"/>
              </w:r>
            </w:p>
          </w:sdtContent>
        </w:sdt>
      </w:sdtContent>
    </w:sdt>
    <w:p w:rsidR="00806678" w:rsidRDefault="00806678" w:rsidP="00C35436">
      <w:pPr>
        <w:rPr>
          <w:rFonts w:asciiTheme="minorHAnsi" w:eastAsiaTheme="minorEastAsia" w:hAnsiTheme="minorHAnsi" w:cs="Arial"/>
          <w:color w:val="000000"/>
        </w:rPr>
      </w:pPr>
    </w:p>
    <w:sdt>
      <w:sdtPr>
        <w:rPr>
          <w:rFonts w:asciiTheme="minorHAnsi" w:eastAsiaTheme="minorEastAsia" w:hAnsiTheme="minorHAnsi" w:cs="Arial" w:hint="eastAsia"/>
          <w:b w:val="0"/>
          <w:bCs w:val="0"/>
          <w:color w:val="000000"/>
          <w:kern w:val="0"/>
          <w:szCs w:val="24"/>
        </w:rPr>
        <w:alias w:val="模块:其他原因的合并范围变动"/>
        <w:tag w:val="_SEC_06f741a2d2b342998a5d1499d841b2b1"/>
        <w:id w:val="2067980181"/>
        <w:lock w:val="sdtLocked"/>
        <w:placeholder>
          <w:docPart w:val="GBC22222222222222222222222222222"/>
        </w:placeholder>
      </w:sdtPr>
      <w:sdtContent>
        <w:p w:rsidR="00806678" w:rsidRDefault="00B16377" w:rsidP="00FF17C7">
          <w:pPr>
            <w:pStyle w:val="3"/>
            <w:numPr>
              <w:ilvl w:val="0"/>
              <w:numId w:val="49"/>
            </w:numPr>
            <w:rPr>
              <w:rFonts w:asciiTheme="minorHAnsi" w:eastAsiaTheme="minorEastAsia" w:hAnsiTheme="minorHAnsi" w:cs="Arial"/>
              <w:color w:val="000000"/>
            </w:rPr>
          </w:pPr>
          <w:r>
            <w:rPr>
              <w:rFonts w:asciiTheme="minorHAnsi" w:eastAsiaTheme="minorEastAsia" w:hAnsiTheme="minorHAnsi" w:cs="Arial" w:hint="eastAsia"/>
              <w:color w:val="000000"/>
            </w:rPr>
            <w:t>其他原因的合并范围变动</w:t>
          </w:r>
        </w:p>
        <w:p w:rsidR="00806678" w:rsidRDefault="00B16377">
          <w:r>
            <w:rPr>
              <w:rFonts w:hint="eastAsia"/>
            </w:rPr>
            <w:t>说明其他原因导致的合并范围变动（如，新设子公司、清算子公司等）及其相关情况：</w:t>
          </w:r>
        </w:p>
        <w:sdt>
          <w:sdtPr>
            <w:alias w:val="是否适用：其他原因导致的合并范围变动及其相关情况[双击切换]"/>
            <w:tag w:val="_GBC_a178c205f79f4941b8b4edb9c45db613"/>
            <w:id w:val="-119998538"/>
            <w:lock w:val="sdtLocked"/>
            <w:placeholder>
              <w:docPart w:val="GBC22222222222222222222222222222"/>
            </w:placeholder>
          </w:sdtPr>
          <w:sdtContent>
            <w:p w:rsidR="00806678" w:rsidRDefault="00F80B6C" w:rsidP="00C35436">
              <w:pPr>
                <w:rPr>
                  <w:rFonts w:asciiTheme="minorHAnsi" w:eastAsiaTheme="minorEastAsia" w:hAnsiTheme="minorHAnsi" w:cs="Arial"/>
                  <w:color w:val="000000"/>
                </w:rPr>
              </w:pPr>
              <w:r>
                <w:fldChar w:fldCharType="begin"/>
              </w:r>
              <w:r w:rsidR="00C35436">
                <w:instrText xml:space="preserve">MACROBUTTON  SnrToggleCheckbox □适用 </w:instrText>
              </w:r>
              <w:r>
                <w:fldChar w:fldCharType="end"/>
              </w:r>
              <w:r>
                <w:fldChar w:fldCharType="begin"/>
              </w:r>
              <w:r w:rsidR="00C35436">
                <w:instrText xml:space="preserve"> MACROBUTTON  SnrToggleCheckbox √不适用 </w:instrText>
              </w:r>
              <w:r>
                <w:fldChar w:fldCharType="end"/>
              </w:r>
            </w:p>
          </w:sdtContent>
        </w:sdt>
      </w:sdtContent>
    </w:sdt>
    <w:p w:rsidR="00806678" w:rsidRDefault="00806678">
      <w:pPr>
        <w:rPr>
          <w:rFonts w:asciiTheme="minorHAnsi" w:eastAsiaTheme="minorEastAsia" w:hAnsiTheme="minorHAnsi" w:cs="Arial"/>
          <w:color w:val="000000"/>
        </w:rPr>
      </w:pPr>
    </w:p>
    <w:sdt>
      <w:sdtPr>
        <w:rPr>
          <w:rFonts w:asciiTheme="minorHAnsi" w:eastAsiaTheme="minorEastAsia" w:hAnsiTheme="minorHAnsi" w:cs="Arial" w:hint="eastAsia"/>
          <w:b w:val="0"/>
          <w:bCs w:val="0"/>
          <w:color w:val="000000"/>
          <w:kern w:val="0"/>
          <w:szCs w:val="24"/>
        </w:rPr>
        <w:alias w:val="模块:同一控制下企业合并其他"/>
        <w:tag w:val="_SEC_ca392f46fede4abc8729431a3728c4bb"/>
        <w:id w:val="124668110"/>
        <w:lock w:val="sdtLocked"/>
        <w:placeholder>
          <w:docPart w:val="GBC22222222222222222222222222222"/>
        </w:placeholder>
      </w:sdtPr>
      <w:sdtContent>
        <w:p w:rsidR="00806678" w:rsidRDefault="00B16377" w:rsidP="00FF17C7">
          <w:pPr>
            <w:pStyle w:val="3"/>
            <w:numPr>
              <w:ilvl w:val="0"/>
              <w:numId w:val="49"/>
            </w:numPr>
            <w:rPr>
              <w:rFonts w:ascii="宋体" w:hAnsi="宋体" w:cs="Arial"/>
              <w:color w:val="000000"/>
            </w:rPr>
          </w:pPr>
          <w:r>
            <w:rPr>
              <w:rFonts w:ascii="宋体" w:hAnsi="宋体" w:cs="Arial" w:hint="eastAsia"/>
              <w:color w:val="000000"/>
            </w:rPr>
            <w:t>其他</w:t>
          </w:r>
        </w:p>
        <w:sdt>
          <w:sdtPr>
            <w:rPr>
              <w:rFonts w:cs="Arial" w:hint="eastAsia"/>
              <w:color w:val="000000"/>
            </w:rPr>
            <w:alias w:val="是否适用：合并范围的变更-其他说明[双击切换]"/>
            <w:tag w:val="_GBC_f93907dc64cd43f0a9e4c85b200aec0c"/>
            <w:id w:val="-1576889007"/>
            <w:lock w:val="sdtLocked"/>
            <w:placeholder>
              <w:docPart w:val="GBC22222222222222222222222222222"/>
            </w:placeholder>
          </w:sdtPr>
          <w:sdtContent>
            <w:p w:rsidR="00C35436" w:rsidRPr="00C35436" w:rsidRDefault="00F80B6C">
              <w:pPr>
                <w:rPr>
                  <w:rFonts w:asciiTheme="minorHAnsi" w:eastAsiaTheme="minorEastAsia" w:hAnsiTheme="minorHAnsi" w:cs="Arial"/>
                  <w:color w:val="000000"/>
                </w:rPr>
                <w:sectPr w:rsidR="00C35436" w:rsidRPr="00C35436" w:rsidSect="007C6651">
                  <w:pgSz w:w="11906" w:h="16838"/>
                  <w:pgMar w:top="1525" w:right="1276" w:bottom="1440" w:left="1797" w:header="856" w:footer="992" w:gutter="0"/>
                  <w:cols w:space="425"/>
                  <w:docGrid w:linePitch="312"/>
                </w:sectPr>
              </w:pPr>
              <w:r>
                <w:rPr>
                  <w:rFonts w:cs="Arial"/>
                  <w:color w:val="000000"/>
                </w:rPr>
                <w:fldChar w:fldCharType="begin"/>
              </w:r>
              <w:r w:rsidR="00C35436">
                <w:rPr>
                  <w:rFonts w:cs="Arial"/>
                  <w:color w:val="000000"/>
                </w:rPr>
                <w:instrText xml:space="preserve"> MACROBUTTON  SnrToggleCheckbox □适用  </w:instrText>
              </w:r>
              <w:r>
                <w:rPr>
                  <w:rFonts w:cs="Arial"/>
                  <w:color w:val="000000"/>
                </w:rPr>
                <w:fldChar w:fldCharType="end"/>
              </w:r>
              <w:r>
                <w:rPr>
                  <w:rFonts w:cs="Arial"/>
                  <w:color w:val="000000"/>
                </w:rPr>
                <w:fldChar w:fldCharType="begin"/>
              </w:r>
              <w:r w:rsidR="00C35436">
                <w:rPr>
                  <w:rFonts w:cs="Arial"/>
                  <w:color w:val="000000"/>
                </w:rPr>
                <w:instrText xml:space="preserve"> MACROBUTTON  SnrToggleCheckbox √不适用 </w:instrText>
              </w:r>
              <w:r>
                <w:rPr>
                  <w:rFonts w:cs="Arial"/>
                  <w:color w:val="000000"/>
                </w:rPr>
                <w:fldChar w:fldCharType="end"/>
              </w:r>
            </w:p>
          </w:sdtContent>
        </w:sdt>
      </w:sdtContent>
    </w:sdt>
    <w:p w:rsidR="00806678" w:rsidRDefault="00806678">
      <w:pPr>
        <w:rPr>
          <w:rFonts w:cs="Arial"/>
          <w:color w:val="000000"/>
        </w:rPr>
      </w:pPr>
    </w:p>
    <w:p w:rsidR="00806678" w:rsidRDefault="00B16377" w:rsidP="00FF17C7">
      <w:pPr>
        <w:pStyle w:val="2"/>
        <w:numPr>
          <w:ilvl w:val="0"/>
          <w:numId w:val="37"/>
        </w:numPr>
        <w:rPr>
          <w:rFonts w:ascii="宋体" w:hAnsi="宋体"/>
        </w:rPr>
      </w:pPr>
      <w:r>
        <w:rPr>
          <w:rFonts w:ascii="宋体" w:hAnsi="宋体" w:hint="eastAsia"/>
        </w:rPr>
        <w:t>在</w:t>
      </w:r>
      <w:r>
        <w:rPr>
          <w:rFonts w:hint="eastAsia"/>
        </w:rPr>
        <w:t>其他</w:t>
      </w:r>
      <w:r>
        <w:rPr>
          <w:rFonts w:ascii="宋体" w:hAnsi="宋体" w:hint="eastAsia"/>
        </w:rPr>
        <w:t>主体中的权益</w:t>
      </w:r>
    </w:p>
    <w:p w:rsidR="00806678" w:rsidRDefault="00B16377" w:rsidP="00FF17C7">
      <w:pPr>
        <w:pStyle w:val="3"/>
        <w:numPr>
          <w:ilvl w:val="2"/>
          <w:numId w:val="50"/>
        </w:numPr>
      </w:pPr>
      <w:r>
        <w:rPr>
          <w:rFonts w:hint="eastAsia"/>
        </w:rPr>
        <w:t>在子公司中的权益</w:t>
      </w:r>
    </w:p>
    <w:sdt>
      <w:sdtPr>
        <w:rPr>
          <w:rFonts w:ascii="宋体" w:eastAsia="宋体" w:hAnsi="宋体" w:cs="宋体" w:hint="eastAsia"/>
          <w:b w:val="0"/>
          <w:bCs w:val="0"/>
          <w:kern w:val="0"/>
          <w:szCs w:val="24"/>
        </w:rPr>
        <w:alias w:val="模块:企业集团的构成"/>
        <w:tag w:val="_GBC_47f8b786d9024ebb977349f022d18c1c"/>
        <w:id w:val="-1660452624"/>
        <w:lock w:val="sdtLocked"/>
        <w:placeholder>
          <w:docPart w:val="GBC22222222222222222222222222222"/>
        </w:placeholder>
      </w:sdtPr>
      <w:sdtEndPr>
        <w:rPr>
          <w:rFonts w:cstheme="minorBidi" w:hint="default"/>
          <w:szCs w:val="21"/>
        </w:rPr>
      </w:sdtEndPr>
      <w:sdtContent>
        <w:p w:rsidR="00806678" w:rsidRDefault="00B16377" w:rsidP="00FF17C7">
          <w:pPr>
            <w:pStyle w:val="4"/>
            <w:numPr>
              <w:ilvl w:val="3"/>
              <w:numId w:val="51"/>
            </w:numPr>
            <w:ind w:left="424" w:hangingChars="202" w:hanging="424"/>
          </w:pPr>
          <w:r>
            <w:rPr>
              <w:rFonts w:hint="eastAsia"/>
            </w:rPr>
            <w:t>企业集团的构成</w:t>
          </w:r>
        </w:p>
        <w:sdt>
          <w:sdtPr>
            <w:alias w:val="是否适用：企业集团的构成[双击切换]"/>
            <w:tag w:val="_GBC_f4dcd24cd0a6465f817fe278addb6568"/>
            <w:id w:val="1112558437"/>
            <w:lock w:val="sdtLocked"/>
            <w:placeholder>
              <w:docPart w:val="GBC22222222222222222222222222222"/>
            </w:placeholder>
          </w:sdtPr>
          <w:sdtContent>
            <w:p w:rsidR="00806678" w:rsidRDefault="00F80B6C">
              <w:r>
                <w:fldChar w:fldCharType="begin"/>
              </w:r>
              <w:r w:rsidR="00601651">
                <w:instrText xml:space="preserve">MACROBUTTON  SnrToggleCheckbox √适用 </w:instrText>
              </w:r>
              <w:r>
                <w:fldChar w:fldCharType="end"/>
              </w:r>
              <w:r>
                <w:fldChar w:fldCharType="begin"/>
              </w:r>
              <w:r w:rsidR="00601651">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86"/>
            <w:gridCol w:w="1417"/>
            <w:gridCol w:w="1355"/>
            <w:gridCol w:w="3181"/>
            <w:gridCol w:w="1274"/>
            <w:gridCol w:w="995"/>
            <w:gridCol w:w="2781"/>
          </w:tblGrid>
          <w:tr w:rsidR="00C35436" w:rsidTr="00171ACD">
            <w:trPr>
              <w:trHeight w:val="247"/>
            </w:trPr>
            <w:sdt>
              <w:sdtPr>
                <w:tag w:val="_PLD_d102f36c2e2645ad9579603ca28588c8"/>
                <w:id w:val="-583147855"/>
                <w:lock w:val="sdtLocked"/>
              </w:sdtPr>
              <w:sdtContent>
                <w:tc>
                  <w:tcPr>
                    <w:tcW w:w="1095" w:type="pct"/>
                    <w:vMerge w:val="restart"/>
                    <w:shd w:val="clear" w:color="auto" w:fill="auto"/>
                    <w:vAlign w:val="center"/>
                  </w:tcPr>
                  <w:p w:rsidR="00C35436" w:rsidRDefault="00C35436" w:rsidP="00171ACD">
                    <w:pPr>
                      <w:jc w:val="center"/>
                      <w:rPr>
                        <w:rFonts w:cs="Arial"/>
                        <w:szCs w:val="21"/>
                      </w:rPr>
                    </w:pPr>
                    <w:r>
                      <w:rPr>
                        <w:rFonts w:cs="Arial" w:hint="eastAsia"/>
                        <w:szCs w:val="21"/>
                        <w:lang w:val="en-GB"/>
                      </w:rPr>
                      <w:t>子公司名称</w:t>
                    </w:r>
                  </w:p>
                </w:tc>
              </w:sdtContent>
            </w:sdt>
            <w:sdt>
              <w:sdtPr>
                <w:tag w:val="_PLD_f2f68356b5494ce8941038ba206c0e79"/>
                <w:id w:val="-1472434830"/>
                <w:lock w:val="sdtLocked"/>
              </w:sdtPr>
              <w:sdtContent>
                <w:tc>
                  <w:tcPr>
                    <w:tcW w:w="503" w:type="pct"/>
                    <w:vMerge w:val="restart"/>
                    <w:shd w:val="clear" w:color="auto" w:fill="auto"/>
                    <w:vAlign w:val="center"/>
                  </w:tcPr>
                  <w:p w:rsidR="00C35436" w:rsidRDefault="00C35436" w:rsidP="00DB008B">
                    <w:pPr>
                      <w:jc w:val="center"/>
                      <w:rPr>
                        <w:rFonts w:cs="Arial"/>
                        <w:szCs w:val="21"/>
                      </w:rPr>
                    </w:pPr>
                    <w:r>
                      <w:rPr>
                        <w:rFonts w:cs="Arial" w:hint="eastAsia"/>
                        <w:szCs w:val="21"/>
                        <w:lang w:val="en-GB"/>
                      </w:rPr>
                      <w:t>主要经营地</w:t>
                    </w:r>
                  </w:p>
                </w:tc>
              </w:sdtContent>
            </w:sdt>
            <w:sdt>
              <w:sdtPr>
                <w:tag w:val="_PLD_e9cbfd017bcc45b9be4599d5ee950f92"/>
                <w:id w:val="104476525"/>
                <w:lock w:val="sdtLocked"/>
              </w:sdtPr>
              <w:sdtContent>
                <w:tc>
                  <w:tcPr>
                    <w:tcW w:w="481" w:type="pct"/>
                    <w:vMerge w:val="restart"/>
                    <w:shd w:val="clear" w:color="auto" w:fill="auto"/>
                    <w:vAlign w:val="center"/>
                  </w:tcPr>
                  <w:p w:rsidR="00C35436" w:rsidRDefault="00C35436" w:rsidP="00DB008B">
                    <w:pPr>
                      <w:jc w:val="center"/>
                      <w:rPr>
                        <w:rFonts w:cs="Arial"/>
                        <w:szCs w:val="21"/>
                      </w:rPr>
                    </w:pPr>
                    <w:r>
                      <w:rPr>
                        <w:rFonts w:cs="Arial" w:hint="eastAsia"/>
                        <w:szCs w:val="21"/>
                        <w:lang w:val="en-GB"/>
                      </w:rPr>
                      <w:t>注册地</w:t>
                    </w:r>
                  </w:p>
                </w:tc>
              </w:sdtContent>
            </w:sdt>
            <w:sdt>
              <w:sdtPr>
                <w:tag w:val="_PLD_da5558f3e8f24c30b756f825b0ebca03"/>
                <w:id w:val="-1339621565"/>
                <w:lock w:val="sdtLocked"/>
              </w:sdtPr>
              <w:sdtContent>
                <w:tc>
                  <w:tcPr>
                    <w:tcW w:w="1129" w:type="pct"/>
                    <w:vMerge w:val="restart"/>
                    <w:shd w:val="clear" w:color="auto" w:fill="auto"/>
                    <w:vAlign w:val="center"/>
                  </w:tcPr>
                  <w:p w:rsidR="00C35436" w:rsidRDefault="00C35436" w:rsidP="00DB008B">
                    <w:pPr>
                      <w:jc w:val="center"/>
                      <w:rPr>
                        <w:rFonts w:cs="Arial"/>
                        <w:szCs w:val="21"/>
                      </w:rPr>
                    </w:pPr>
                    <w:r>
                      <w:rPr>
                        <w:rFonts w:cs="Arial" w:hint="eastAsia"/>
                        <w:szCs w:val="21"/>
                        <w:lang w:val="en-GB"/>
                      </w:rPr>
                      <w:t>业务性质</w:t>
                    </w:r>
                  </w:p>
                </w:tc>
              </w:sdtContent>
            </w:sdt>
            <w:sdt>
              <w:sdtPr>
                <w:tag w:val="_PLD_817e427c8eff4fd1875d12860133e99e"/>
                <w:id w:val="720252989"/>
                <w:lock w:val="sdtLocked"/>
              </w:sdtPr>
              <w:sdtContent>
                <w:tc>
                  <w:tcPr>
                    <w:tcW w:w="805" w:type="pct"/>
                    <w:gridSpan w:val="2"/>
                    <w:shd w:val="clear" w:color="auto" w:fill="auto"/>
                    <w:vAlign w:val="center"/>
                  </w:tcPr>
                  <w:p w:rsidR="00C35436" w:rsidRDefault="00C35436" w:rsidP="00DB008B">
                    <w:pPr>
                      <w:jc w:val="center"/>
                      <w:rPr>
                        <w:rFonts w:cs="Arial"/>
                        <w:szCs w:val="21"/>
                      </w:rPr>
                    </w:pPr>
                    <w:r>
                      <w:rPr>
                        <w:rFonts w:cs="Arial" w:hint="eastAsia"/>
                        <w:szCs w:val="21"/>
                        <w:lang w:val="en-GB"/>
                      </w:rPr>
                      <w:t>持股比例</w:t>
                    </w:r>
                    <w:r>
                      <w:rPr>
                        <w:rFonts w:cs="Arial"/>
                        <w:szCs w:val="21"/>
                      </w:rPr>
                      <w:t>(%)</w:t>
                    </w:r>
                  </w:p>
                </w:tc>
              </w:sdtContent>
            </w:sdt>
            <w:sdt>
              <w:sdtPr>
                <w:tag w:val="_PLD_0bb5e453efe4450ba0d853b98eb2c2b0"/>
                <w:id w:val="-148212291"/>
                <w:lock w:val="sdtLocked"/>
              </w:sdtPr>
              <w:sdtContent>
                <w:tc>
                  <w:tcPr>
                    <w:tcW w:w="987" w:type="pct"/>
                    <w:vMerge w:val="restart"/>
                    <w:shd w:val="clear" w:color="auto" w:fill="auto"/>
                    <w:vAlign w:val="center"/>
                  </w:tcPr>
                  <w:p w:rsidR="00C35436" w:rsidRDefault="00C35436" w:rsidP="00DB008B">
                    <w:pPr>
                      <w:jc w:val="center"/>
                      <w:rPr>
                        <w:rFonts w:cs="Arial"/>
                        <w:szCs w:val="21"/>
                        <w:lang w:val="en-GB"/>
                      </w:rPr>
                    </w:pPr>
                    <w:r>
                      <w:rPr>
                        <w:rFonts w:cs="Arial" w:hint="eastAsia"/>
                        <w:szCs w:val="21"/>
                        <w:lang w:val="en-GB"/>
                      </w:rPr>
                      <w:t>取得</w:t>
                    </w:r>
                  </w:p>
                  <w:p w:rsidR="00C35436" w:rsidRDefault="00C35436" w:rsidP="00DB008B">
                    <w:pPr>
                      <w:jc w:val="center"/>
                      <w:rPr>
                        <w:rFonts w:cs="Arial"/>
                        <w:szCs w:val="21"/>
                        <w:lang w:val="en-GB"/>
                      </w:rPr>
                    </w:pPr>
                    <w:r>
                      <w:rPr>
                        <w:rFonts w:cs="Arial" w:hint="eastAsia"/>
                        <w:szCs w:val="21"/>
                        <w:lang w:val="en-GB"/>
                      </w:rPr>
                      <w:t>方式</w:t>
                    </w:r>
                  </w:p>
                </w:tc>
              </w:sdtContent>
            </w:sdt>
          </w:tr>
          <w:tr w:rsidR="00C35436" w:rsidTr="00171ACD">
            <w:trPr>
              <w:trHeight w:val="278"/>
            </w:trPr>
            <w:tc>
              <w:tcPr>
                <w:tcW w:w="1095" w:type="pct"/>
                <w:vMerge/>
                <w:shd w:val="clear" w:color="auto" w:fill="auto"/>
                <w:vAlign w:val="center"/>
              </w:tcPr>
              <w:p w:rsidR="00C35436" w:rsidRDefault="00C35436" w:rsidP="00DB008B">
                <w:pPr>
                  <w:rPr>
                    <w:rFonts w:cs="Arial"/>
                    <w:szCs w:val="21"/>
                  </w:rPr>
                </w:pPr>
              </w:p>
            </w:tc>
            <w:tc>
              <w:tcPr>
                <w:tcW w:w="503" w:type="pct"/>
                <w:vMerge/>
                <w:shd w:val="clear" w:color="auto" w:fill="auto"/>
                <w:vAlign w:val="center"/>
              </w:tcPr>
              <w:p w:rsidR="00C35436" w:rsidRDefault="00C35436" w:rsidP="00DB008B">
                <w:pPr>
                  <w:rPr>
                    <w:rFonts w:cs="Arial"/>
                    <w:szCs w:val="21"/>
                  </w:rPr>
                </w:pPr>
              </w:p>
            </w:tc>
            <w:tc>
              <w:tcPr>
                <w:tcW w:w="481" w:type="pct"/>
                <w:vMerge/>
                <w:shd w:val="clear" w:color="auto" w:fill="auto"/>
                <w:vAlign w:val="center"/>
              </w:tcPr>
              <w:p w:rsidR="00C35436" w:rsidRDefault="00C35436" w:rsidP="00DB008B">
                <w:pPr>
                  <w:rPr>
                    <w:rFonts w:cs="Arial"/>
                    <w:szCs w:val="21"/>
                  </w:rPr>
                </w:pPr>
              </w:p>
            </w:tc>
            <w:tc>
              <w:tcPr>
                <w:tcW w:w="1129" w:type="pct"/>
                <w:vMerge/>
                <w:shd w:val="clear" w:color="auto" w:fill="auto"/>
                <w:vAlign w:val="center"/>
              </w:tcPr>
              <w:p w:rsidR="00C35436" w:rsidRDefault="00C35436" w:rsidP="00DB008B">
                <w:pPr>
                  <w:rPr>
                    <w:rFonts w:cs="Arial"/>
                    <w:szCs w:val="21"/>
                  </w:rPr>
                </w:pPr>
              </w:p>
            </w:tc>
            <w:sdt>
              <w:sdtPr>
                <w:tag w:val="_PLD_3f641d83162f4ae3a8840b93258d7ced"/>
                <w:id w:val="535781455"/>
                <w:lock w:val="sdtLocked"/>
              </w:sdtPr>
              <w:sdtContent>
                <w:tc>
                  <w:tcPr>
                    <w:tcW w:w="452" w:type="pct"/>
                    <w:shd w:val="clear" w:color="auto" w:fill="auto"/>
                    <w:vAlign w:val="center"/>
                  </w:tcPr>
                  <w:p w:rsidR="00C35436" w:rsidRDefault="00C35436" w:rsidP="00DB008B">
                    <w:pPr>
                      <w:jc w:val="center"/>
                      <w:rPr>
                        <w:rFonts w:cs="Arial"/>
                        <w:szCs w:val="21"/>
                      </w:rPr>
                    </w:pPr>
                    <w:r>
                      <w:rPr>
                        <w:rFonts w:cs="Arial" w:hint="eastAsia"/>
                        <w:szCs w:val="21"/>
                        <w:lang w:val="en-GB"/>
                      </w:rPr>
                      <w:t>直接</w:t>
                    </w:r>
                  </w:p>
                </w:tc>
              </w:sdtContent>
            </w:sdt>
            <w:sdt>
              <w:sdtPr>
                <w:tag w:val="_PLD_ebc96648c2794ae08bfb57e63f0a34c5"/>
                <w:id w:val="301665716"/>
                <w:lock w:val="sdtLocked"/>
              </w:sdtPr>
              <w:sdtContent>
                <w:tc>
                  <w:tcPr>
                    <w:tcW w:w="353" w:type="pct"/>
                    <w:shd w:val="clear" w:color="auto" w:fill="auto"/>
                    <w:vAlign w:val="center"/>
                  </w:tcPr>
                  <w:p w:rsidR="00C35436" w:rsidRDefault="00C35436" w:rsidP="00DB008B">
                    <w:pPr>
                      <w:jc w:val="center"/>
                      <w:rPr>
                        <w:rFonts w:cs="Arial"/>
                        <w:szCs w:val="21"/>
                      </w:rPr>
                    </w:pPr>
                    <w:r>
                      <w:rPr>
                        <w:rFonts w:cs="Arial" w:hint="eastAsia"/>
                        <w:szCs w:val="21"/>
                        <w:lang w:val="en-GB"/>
                      </w:rPr>
                      <w:t>间接</w:t>
                    </w:r>
                  </w:p>
                </w:tc>
              </w:sdtContent>
            </w:sdt>
            <w:tc>
              <w:tcPr>
                <w:tcW w:w="987" w:type="pct"/>
                <w:vMerge/>
              </w:tcPr>
              <w:p w:rsidR="00C35436" w:rsidRDefault="00C35436" w:rsidP="00DB008B">
                <w:pPr>
                  <w:rPr>
                    <w:rFonts w:cs="Arial"/>
                    <w:szCs w:val="21"/>
                  </w:rPr>
                </w:pPr>
              </w:p>
            </w:tc>
          </w:tr>
          <w:sdt>
            <w:sdtPr>
              <w:rPr>
                <w:szCs w:val="21"/>
              </w:rPr>
              <w:alias w:val="企业合并及合并财务报表明细"/>
              <w:tag w:val="_GBC_986bfe326d834fea9d2920637e286f21"/>
              <w:id w:val="-9219040"/>
              <w:lock w:val="sdtLocked"/>
            </w:sdtPr>
            <w:sdtContent>
              <w:tr w:rsidR="00C35436" w:rsidTr="00171ACD">
                <w:tc>
                  <w:tcPr>
                    <w:tcW w:w="1095" w:type="pct"/>
                  </w:tcPr>
                  <w:p w:rsidR="00C35436" w:rsidRDefault="00C35436" w:rsidP="00DB008B">
                    <w:pPr>
                      <w:rPr>
                        <w:szCs w:val="21"/>
                      </w:rPr>
                    </w:pPr>
                    <w:r>
                      <w:t xml:space="preserve">侯禹铁路公司 (注 </w:t>
                    </w:r>
                    <w:r w:rsidR="00B94647">
                      <w:t>1</w:t>
                    </w:r>
                    <w:r>
                      <w:t>)</w:t>
                    </w:r>
                  </w:p>
                </w:tc>
                <w:tc>
                  <w:tcPr>
                    <w:tcW w:w="503" w:type="pct"/>
                  </w:tcPr>
                  <w:p w:rsidR="00C35436" w:rsidRDefault="00C35436" w:rsidP="00DB008B">
                    <w:pPr>
                      <w:rPr>
                        <w:szCs w:val="21"/>
                      </w:rPr>
                    </w:pPr>
                    <w:r>
                      <w:t>山西河津市</w:t>
                    </w:r>
                  </w:p>
                </w:tc>
                <w:tc>
                  <w:tcPr>
                    <w:tcW w:w="481" w:type="pct"/>
                  </w:tcPr>
                  <w:p w:rsidR="00C35436" w:rsidRDefault="00C35436" w:rsidP="00DB008B">
                    <w:pPr>
                      <w:rPr>
                        <w:szCs w:val="21"/>
                      </w:rPr>
                    </w:pPr>
                    <w:r>
                      <w:t>山西河津市</w:t>
                    </w:r>
                  </w:p>
                </w:tc>
                <w:tc>
                  <w:tcPr>
                    <w:tcW w:w="1129" w:type="pct"/>
                  </w:tcPr>
                  <w:p w:rsidR="00C35436" w:rsidRDefault="00C35436" w:rsidP="00DB008B">
                    <w:pPr>
                      <w:rPr>
                        <w:szCs w:val="21"/>
                      </w:rPr>
                    </w:pPr>
                    <w:r>
                      <w:t>铁路客货运输服务、铁路货运装卸仓储等</w:t>
                    </w:r>
                  </w:p>
                </w:tc>
                <w:tc>
                  <w:tcPr>
                    <w:tcW w:w="452" w:type="pct"/>
                  </w:tcPr>
                  <w:p w:rsidR="00C35436" w:rsidRDefault="00C35436" w:rsidP="00DB008B">
                    <w:pPr>
                      <w:jc w:val="right"/>
                      <w:rPr>
                        <w:szCs w:val="21"/>
                      </w:rPr>
                    </w:pPr>
                    <w:r>
                      <w:t>92.50</w:t>
                    </w:r>
                  </w:p>
                </w:tc>
                <w:tc>
                  <w:tcPr>
                    <w:tcW w:w="353" w:type="pct"/>
                  </w:tcPr>
                  <w:p w:rsidR="00C35436" w:rsidRDefault="00C35436" w:rsidP="00DB008B">
                    <w:pPr>
                      <w:jc w:val="right"/>
                      <w:rPr>
                        <w:szCs w:val="21"/>
                      </w:rPr>
                    </w:pPr>
                    <w:r>
                      <w:t>0</w:t>
                    </w:r>
                  </w:p>
                </w:tc>
                <w:tc>
                  <w:tcPr>
                    <w:tcW w:w="987" w:type="pct"/>
                  </w:tcPr>
                  <w:p w:rsidR="00C35436" w:rsidRDefault="00C35436" w:rsidP="00DB008B">
                    <w:pPr>
                      <w:rPr>
                        <w:szCs w:val="21"/>
                      </w:rPr>
                    </w:pPr>
                    <w:r>
                      <w:t>投资设立</w:t>
                    </w:r>
                  </w:p>
                </w:tc>
              </w:tr>
            </w:sdtContent>
          </w:sdt>
          <w:sdt>
            <w:sdtPr>
              <w:rPr>
                <w:szCs w:val="21"/>
              </w:rPr>
              <w:alias w:val="企业合并及合并财务报表明细"/>
              <w:tag w:val="_GBC_986bfe326d834fea9d2920637e286f21"/>
              <w:id w:val="-1275478116"/>
              <w:lock w:val="sdtLocked"/>
            </w:sdtPr>
            <w:sdtContent>
              <w:tr w:rsidR="00C35436" w:rsidTr="00171ACD">
                <w:tc>
                  <w:tcPr>
                    <w:tcW w:w="1095" w:type="pct"/>
                  </w:tcPr>
                  <w:p w:rsidR="00C35436" w:rsidRDefault="00C35436" w:rsidP="00DB008B">
                    <w:pPr>
                      <w:rPr>
                        <w:szCs w:val="21"/>
                      </w:rPr>
                    </w:pPr>
                    <w:r>
                      <w:t xml:space="preserve">大秦铁路经贸发展有限公司(以下称“大秦经贸”) (注 </w:t>
                    </w:r>
                    <w:r w:rsidR="00B94647">
                      <w:t>2</w:t>
                    </w:r>
                    <w:r>
                      <w:t>)</w:t>
                    </w:r>
                  </w:p>
                </w:tc>
                <w:tc>
                  <w:tcPr>
                    <w:tcW w:w="503" w:type="pct"/>
                  </w:tcPr>
                  <w:p w:rsidR="00C35436" w:rsidRDefault="00C35436" w:rsidP="00DB008B">
                    <w:pPr>
                      <w:rPr>
                        <w:szCs w:val="21"/>
                      </w:rPr>
                    </w:pPr>
                    <w:r>
                      <w:t>山西太原市</w:t>
                    </w:r>
                  </w:p>
                </w:tc>
                <w:tc>
                  <w:tcPr>
                    <w:tcW w:w="481" w:type="pct"/>
                  </w:tcPr>
                  <w:p w:rsidR="00C35436" w:rsidRDefault="00C35436" w:rsidP="00DB008B">
                    <w:pPr>
                      <w:rPr>
                        <w:szCs w:val="21"/>
                      </w:rPr>
                    </w:pPr>
                    <w:r>
                      <w:t>山西太原市</w:t>
                    </w:r>
                  </w:p>
                </w:tc>
                <w:tc>
                  <w:tcPr>
                    <w:tcW w:w="1129" w:type="pct"/>
                  </w:tcPr>
                  <w:p w:rsidR="00C35436" w:rsidRDefault="00C35436" w:rsidP="00DB008B">
                    <w:pPr>
                      <w:rPr>
                        <w:szCs w:val="21"/>
                      </w:rPr>
                    </w:pPr>
                    <w:r>
                      <w:t>铁路运输设备设施及配件的制造、安装、维修、租赁、销售等</w:t>
                    </w:r>
                  </w:p>
                </w:tc>
                <w:tc>
                  <w:tcPr>
                    <w:tcW w:w="452" w:type="pct"/>
                  </w:tcPr>
                  <w:p w:rsidR="00C35436" w:rsidRDefault="00C35436" w:rsidP="00DB008B">
                    <w:pPr>
                      <w:jc w:val="right"/>
                      <w:rPr>
                        <w:szCs w:val="21"/>
                      </w:rPr>
                    </w:pPr>
                    <w:r>
                      <w:t>100.00</w:t>
                    </w:r>
                  </w:p>
                </w:tc>
                <w:tc>
                  <w:tcPr>
                    <w:tcW w:w="353" w:type="pct"/>
                  </w:tcPr>
                  <w:p w:rsidR="00C35436" w:rsidRDefault="00C35436" w:rsidP="00DB008B">
                    <w:pPr>
                      <w:jc w:val="right"/>
                      <w:rPr>
                        <w:szCs w:val="21"/>
                      </w:rPr>
                    </w:pPr>
                    <w:r>
                      <w:t>0</w:t>
                    </w:r>
                  </w:p>
                </w:tc>
                <w:tc>
                  <w:tcPr>
                    <w:tcW w:w="987" w:type="pct"/>
                  </w:tcPr>
                  <w:p w:rsidR="00C35436" w:rsidRDefault="00C35436" w:rsidP="00DB008B">
                    <w:pPr>
                      <w:rPr>
                        <w:szCs w:val="21"/>
                      </w:rPr>
                    </w:pPr>
                    <w:r>
                      <w:t>投资设立</w:t>
                    </w:r>
                  </w:p>
                </w:tc>
              </w:tr>
            </w:sdtContent>
          </w:sdt>
          <w:sdt>
            <w:sdtPr>
              <w:rPr>
                <w:szCs w:val="21"/>
              </w:rPr>
              <w:alias w:val="企业合并及合并财务报表明细"/>
              <w:tag w:val="_GBC_986bfe326d834fea9d2920637e286f21"/>
              <w:id w:val="-287813588"/>
              <w:lock w:val="sdtLocked"/>
            </w:sdtPr>
            <w:sdtContent>
              <w:tr w:rsidR="00C35436" w:rsidTr="00171ACD">
                <w:tc>
                  <w:tcPr>
                    <w:tcW w:w="1095" w:type="pct"/>
                  </w:tcPr>
                  <w:p w:rsidR="00C35436" w:rsidRDefault="00C35436" w:rsidP="00DB008B">
                    <w:pPr>
                      <w:rPr>
                        <w:szCs w:val="21"/>
                      </w:rPr>
                    </w:pPr>
                    <w:r>
                      <w:t xml:space="preserve">太兴铁路公司 (注 </w:t>
                    </w:r>
                    <w:r w:rsidR="00B94647">
                      <w:t>3</w:t>
                    </w:r>
                    <w:r>
                      <w:t>)</w:t>
                    </w:r>
                  </w:p>
                </w:tc>
                <w:tc>
                  <w:tcPr>
                    <w:tcW w:w="503" w:type="pct"/>
                  </w:tcPr>
                  <w:p w:rsidR="00C35436" w:rsidRDefault="00C35436" w:rsidP="00DB008B">
                    <w:pPr>
                      <w:rPr>
                        <w:szCs w:val="21"/>
                      </w:rPr>
                    </w:pPr>
                    <w:r>
                      <w:t>山西太原市</w:t>
                    </w:r>
                  </w:p>
                </w:tc>
                <w:tc>
                  <w:tcPr>
                    <w:tcW w:w="481" w:type="pct"/>
                  </w:tcPr>
                  <w:p w:rsidR="00C35436" w:rsidRDefault="00C35436" w:rsidP="00DB008B">
                    <w:pPr>
                      <w:rPr>
                        <w:szCs w:val="21"/>
                      </w:rPr>
                    </w:pPr>
                    <w:r>
                      <w:t>山西太原市</w:t>
                    </w:r>
                  </w:p>
                </w:tc>
                <w:tc>
                  <w:tcPr>
                    <w:tcW w:w="1129" w:type="pct"/>
                  </w:tcPr>
                  <w:p w:rsidR="00C35436" w:rsidRDefault="00C35436" w:rsidP="00DB008B">
                    <w:pPr>
                      <w:rPr>
                        <w:szCs w:val="21"/>
                      </w:rPr>
                    </w:pPr>
                    <w:r>
                      <w:t>铁路客货运输服务、铁路货运装卸仓储等</w:t>
                    </w:r>
                  </w:p>
                </w:tc>
                <w:tc>
                  <w:tcPr>
                    <w:tcW w:w="452" w:type="pct"/>
                  </w:tcPr>
                  <w:p w:rsidR="00C35436" w:rsidRDefault="00C35436" w:rsidP="00DB008B">
                    <w:pPr>
                      <w:jc w:val="right"/>
                      <w:rPr>
                        <w:szCs w:val="21"/>
                      </w:rPr>
                    </w:pPr>
                    <w:r>
                      <w:t>74.44</w:t>
                    </w:r>
                  </w:p>
                </w:tc>
                <w:tc>
                  <w:tcPr>
                    <w:tcW w:w="353" w:type="pct"/>
                  </w:tcPr>
                  <w:p w:rsidR="00C35436" w:rsidRDefault="00C35436" w:rsidP="00DB008B">
                    <w:pPr>
                      <w:jc w:val="right"/>
                      <w:rPr>
                        <w:szCs w:val="21"/>
                      </w:rPr>
                    </w:pPr>
                    <w:r>
                      <w:t>0</w:t>
                    </w:r>
                  </w:p>
                </w:tc>
                <w:tc>
                  <w:tcPr>
                    <w:tcW w:w="987" w:type="pct"/>
                  </w:tcPr>
                  <w:p w:rsidR="00C35436" w:rsidRDefault="00C35436" w:rsidP="00DB008B">
                    <w:pPr>
                      <w:rPr>
                        <w:szCs w:val="21"/>
                      </w:rPr>
                    </w:pPr>
                    <w:r>
                      <w:t>同一控制下企业合并取得</w:t>
                    </w:r>
                  </w:p>
                </w:tc>
              </w:tr>
            </w:sdtContent>
          </w:sdt>
          <w:sdt>
            <w:sdtPr>
              <w:rPr>
                <w:szCs w:val="21"/>
              </w:rPr>
              <w:alias w:val="企业合并及合并财务报表明细"/>
              <w:tag w:val="_GBC_986bfe326d834fea9d2920637e286f21"/>
              <w:id w:val="-352727046"/>
              <w:lock w:val="sdtLocked"/>
            </w:sdtPr>
            <w:sdtContent>
              <w:tr w:rsidR="00C35436" w:rsidTr="00171ACD">
                <w:tc>
                  <w:tcPr>
                    <w:tcW w:w="1095" w:type="pct"/>
                  </w:tcPr>
                  <w:p w:rsidR="00C35436" w:rsidRDefault="00C35436" w:rsidP="00DB008B">
                    <w:pPr>
                      <w:rPr>
                        <w:szCs w:val="21"/>
                      </w:rPr>
                    </w:pPr>
                    <w:r>
                      <w:t xml:space="preserve">中鼎物流公司 (注 </w:t>
                    </w:r>
                    <w:r w:rsidR="00B94647">
                      <w:t>4</w:t>
                    </w:r>
                    <w:r>
                      <w:t>)</w:t>
                    </w:r>
                  </w:p>
                </w:tc>
                <w:tc>
                  <w:tcPr>
                    <w:tcW w:w="503" w:type="pct"/>
                  </w:tcPr>
                  <w:p w:rsidR="00C35436" w:rsidRDefault="00C35436" w:rsidP="00DB008B">
                    <w:pPr>
                      <w:rPr>
                        <w:szCs w:val="21"/>
                      </w:rPr>
                    </w:pPr>
                    <w:r>
                      <w:t>山西晋中市</w:t>
                    </w:r>
                  </w:p>
                </w:tc>
                <w:tc>
                  <w:tcPr>
                    <w:tcW w:w="481" w:type="pct"/>
                  </w:tcPr>
                  <w:p w:rsidR="00C35436" w:rsidRDefault="00C35436" w:rsidP="00DB008B">
                    <w:pPr>
                      <w:rPr>
                        <w:szCs w:val="21"/>
                      </w:rPr>
                    </w:pPr>
                    <w:r>
                      <w:t>山西晋中市</w:t>
                    </w:r>
                  </w:p>
                </w:tc>
                <w:tc>
                  <w:tcPr>
                    <w:tcW w:w="1129" w:type="pct"/>
                  </w:tcPr>
                  <w:p w:rsidR="00C35436" w:rsidRDefault="00C35436" w:rsidP="00DB008B">
                    <w:pPr>
                      <w:rPr>
                        <w:szCs w:val="21"/>
                      </w:rPr>
                    </w:pPr>
                    <w:r>
                      <w:t>铁路货运服务、货运装卸仓储等</w:t>
                    </w:r>
                  </w:p>
                </w:tc>
                <w:tc>
                  <w:tcPr>
                    <w:tcW w:w="452" w:type="pct"/>
                  </w:tcPr>
                  <w:p w:rsidR="00C35436" w:rsidRDefault="00C35436" w:rsidP="00DB008B">
                    <w:pPr>
                      <w:jc w:val="right"/>
                      <w:rPr>
                        <w:szCs w:val="21"/>
                      </w:rPr>
                    </w:pPr>
                    <w:r>
                      <w:t>83.64</w:t>
                    </w:r>
                  </w:p>
                </w:tc>
                <w:tc>
                  <w:tcPr>
                    <w:tcW w:w="353" w:type="pct"/>
                  </w:tcPr>
                  <w:p w:rsidR="00C35436" w:rsidRDefault="00C35436" w:rsidP="00DB008B">
                    <w:pPr>
                      <w:jc w:val="right"/>
                      <w:rPr>
                        <w:szCs w:val="21"/>
                      </w:rPr>
                    </w:pPr>
                    <w:r>
                      <w:t>0</w:t>
                    </w:r>
                  </w:p>
                </w:tc>
                <w:tc>
                  <w:tcPr>
                    <w:tcW w:w="987" w:type="pct"/>
                  </w:tcPr>
                  <w:p w:rsidR="00C35436" w:rsidRDefault="00C35436" w:rsidP="00DB008B">
                    <w:pPr>
                      <w:rPr>
                        <w:szCs w:val="21"/>
                      </w:rPr>
                    </w:pPr>
                    <w:r>
                      <w:t>非同一控制下企业合并取得</w:t>
                    </w:r>
                  </w:p>
                </w:tc>
              </w:tr>
            </w:sdtContent>
          </w:sdt>
          <w:sdt>
            <w:sdtPr>
              <w:rPr>
                <w:szCs w:val="21"/>
              </w:rPr>
              <w:alias w:val="企业合并及合并财务报表明细"/>
              <w:tag w:val="_GBC_986bfe326d834fea9d2920637e286f21"/>
              <w:id w:val="75793312"/>
              <w:lock w:val="sdtLocked"/>
            </w:sdtPr>
            <w:sdtContent>
              <w:tr w:rsidR="00C35436" w:rsidTr="00171ACD">
                <w:tc>
                  <w:tcPr>
                    <w:tcW w:w="1095" w:type="pct"/>
                  </w:tcPr>
                  <w:p w:rsidR="00C35436" w:rsidRDefault="00C35436" w:rsidP="00DB008B">
                    <w:pPr>
                      <w:rPr>
                        <w:szCs w:val="21"/>
                      </w:rPr>
                    </w:pPr>
                    <w:r>
                      <w:t xml:space="preserve">唐港铁路公司 (注 </w:t>
                    </w:r>
                    <w:r w:rsidR="00B94647">
                      <w:t>5</w:t>
                    </w:r>
                    <w:r>
                      <w:t>)</w:t>
                    </w:r>
                  </w:p>
                </w:tc>
                <w:tc>
                  <w:tcPr>
                    <w:tcW w:w="503" w:type="pct"/>
                  </w:tcPr>
                  <w:p w:rsidR="00C35436" w:rsidRDefault="00C35436" w:rsidP="00DB008B">
                    <w:pPr>
                      <w:rPr>
                        <w:szCs w:val="21"/>
                      </w:rPr>
                    </w:pPr>
                    <w:r>
                      <w:t>河北唐山市</w:t>
                    </w:r>
                  </w:p>
                </w:tc>
                <w:tc>
                  <w:tcPr>
                    <w:tcW w:w="481" w:type="pct"/>
                  </w:tcPr>
                  <w:p w:rsidR="00C35436" w:rsidRDefault="00C35436" w:rsidP="00DB008B">
                    <w:pPr>
                      <w:rPr>
                        <w:szCs w:val="21"/>
                      </w:rPr>
                    </w:pPr>
                    <w:r>
                      <w:t>河北唐山市</w:t>
                    </w:r>
                  </w:p>
                </w:tc>
                <w:tc>
                  <w:tcPr>
                    <w:tcW w:w="1129" w:type="pct"/>
                  </w:tcPr>
                  <w:p w:rsidR="00C35436" w:rsidRDefault="00C35436" w:rsidP="00DB008B">
                    <w:pPr>
                      <w:rPr>
                        <w:szCs w:val="21"/>
                      </w:rPr>
                    </w:pPr>
                    <w:r>
                      <w:t>铁路运输及铁路运输服务</w:t>
                    </w:r>
                  </w:p>
                </w:tc>
                <w:tc>
                  <w:tcPr>
                    <w:tcW w:w="452" w:type="pct"/>
                  </w:tcPr>
                  <w:p w:rsidR="00C35436" w:rsidRDefault="00C35436" w:rsidP="00DB008B">
                    <w:pPr>
                      <w:jc w:val="right"/>
                      <w:rPr>
                        <w:szCs w:val="21"/>
                      </w:rPr>
                    </w:pPr>
                    <w:r>
                      <w:t>19.73</w:t>
                    </w:r>
                  </w:p>
                </w:tc>
                <w:tc>
                  <w:tcPr>
                    <w:tcW w:w="353" w:type="pct"/>
                  </w:tcPr>
                  <w:p w:rsidR="00C35436" w:rsidRDefault="00C35436" w:rsidP="00DB008B">
                    <w:pPr>
                      <w:jc w:val="right"/>
                      <w:rPr>
                        <w:szCs w:val="21"/>
                      </w:rPr>
                    </w:pPr>
                    <w:r>
                      <w:t>0</w:t>
                    </w:r>
                  </w:p>
                </w:tc>
                <w:tc>
                  <w:tcPr>
                    <w:tcW w:w="987" w:type="pct"/>
                  </w:tcPr>
                  <w:p w:rsidR="00C35436" w:rsidRDefault="00C35436" w:rsidP="00DB008B">
                    <w:pPr>
                      <w:rPr>
                        <w:szCs w:val="21"/>
                      </w:rPr>
                    </w:pPr>
                    <w:r>
                      <w:t>同一控制下企业合并取得</w:t>
                    </w:r>
                  </w:p>
                </w:tc>
              </w:tr>
            </w:sdtContent>
          </w:sdt>
          <w:sdt>
            <w:sdtPr>
              <w:rPr>
                <w:szCs w:val="21"/>
              </w:rPr>
              <w:alias w:val="企业合并及合并财务报表明细"/>
              <w:tag w:val="_GBC_986bfe326d834fea9d2920637e286f21"/>
              <w:id w:val="-108819104"/>
              <w:lock w:val="sdtLocked"/>
            </w:sdtPr>
            <w:sdtContent>
              <w:tr w:rsidR="00C35436" w:rsidTr="00171ACD">
                <w:tc>
                  <w:tcPr>
                    <w:tcW w:w="1095" w:type="pct"/>
                  </w:tcPr>
                  <w:p w:rsidR="00C35436" w:rsidRDefault="00C35436" w:rsidP="00DB008B">
                    <w:pPr>
                      <w:rPr>
                        <w:szCs w:val="21"/>
                      </w:rPr>
                    </w:pPr>
                    <w:r>
                      <w:t>西南环铁路</w:t>
                    </w:r>
                    <w:r w:rsidR="001914D3">
                      <w:rPr>
                        <w:rFonts w:hint="eastAsia"/>
                      </w:rPr>
                      <w:t>公司</w:t>
                    </w:r>
                    <w:r>
                      <w:t>（注</w:t>
                    </w:r>
                    <w:r w:rsidR="00B94647">
                      <w:t>6</w:t>
                    </w:r>
                    <w:r>
                      <w:t>)</w:t>
                    </w:r>
                  </w:p>
                </w:tc>
                <w:tc>
                  <w:tcPr>
                    <w:tcW w:w="503" w:type="pct"/>
                  </w:tcPr>
                  <w:p w:rsidR="00C35436" w:rsidRDefault="00C35436" w:rsidP="00DB008B">
                    <w:pPr>
                      <w:rPr>
                        <w:szCs w:val="21"/>
                      </w:rPr>
                    </w:pPr>
                    <w:r>
                      <w:t>山西太原市</w:t>
                    </w:r>
                  </w:p>
                </w:tc>
                <w:tc>
                  <w:tcPr>
                    <w:tcW w:w="481" w:type="pct"/>
                  </w:tcPr>
                  <w:p w:rsidR="00C35436" w:rsidRDefault="00C35436" w:rsidP="00DB008B">
                    <w:pPr>
                      <w:rPr>
                        <w:szCs w:val="21"/>
                      </w:rPr>
                    </w:pPr>
                    <w:r>
                      <w:t>山西太原市</w:t>
                    </w:r>
                  </w:p>
                </w:tc>
                <w:tc>
                  <w:tcPr>
                    <w:tcW w:w="1129" w:type="pct"/>
                  </w:tcPr>
                  <w:p w:rsidR="00C35436" w:rsidRDefault="00C35436" w:rsidP="00DB008B">
                    <w:pPr>
                      <w:rPr>
                        <w:szCs w:val="21"/>
                      </w:rPr>
                    </w:pPr>
                    <w:r>
                      <w:t>铁路运输及铁路相关服务</w:t>
                    </w:r>
                  </w:p>
                </w:tc>
                <w:tc>
                  <w:tcPr>
                    <w:tcW w:w="452" w:type="pct"/>
                  </w:tcPr>
                  <w:p w:rsidR="00C35436" w:rsidRDefault="00C35436" w:rsidP="00DB008B">
                    <w:pPr>
                      <w:jc w:val="right"/>
                      <w:rPr>
                        <w:szCs w:val="21"/>
                      </w:rPr>
                    </w:pPr>
                    <w:r>
                      <w:t>78.55</w:t>
                    </w:r>
                  </w:p>
                </w:tc>
                <w:tc>
                  <w:tcPr>
                    <w:tcW w:w="353" w:type="pct"/>
                  </w:tcPr>
                  <w:p w:rsidR="00C35436" w:rsidRDefault="00C35436" w:rsidP="00DB008B">
                    <w:pPr>
                      <w:jc w:val="right"/>
                      <w:rPr>
                        <w:szCs w:val="21"/>
                      </w:rPr>
                    </w:pPr>
                    <w:r>
                      <w:t>0</w:t>
                    </w:r>
                  </w:p>
                </w:tc>
                <w:tc>
                  <w:tcPr>
                    <w:tcW w:w="987" w:type="pct"/>
                  </w:tcPr>
                  <w:p w:rsidR="00C35436" w:rsidRDefault="00C35436" w:rsidP="00DB008B">
                    <w:pPr>
                      <w:rPr>
                        <w:szCs w:val="21"/>
                      </w:rPr>
                    </w:pPr>
                    <w:r>
                      <w:t>同一控制下企业合并取得</w:t>
                    </w:r>
                  </w:p>
                </w:tc>
              </w:tr>
            </w:sdtContent>
          </w:sdt>
        </w:tbl>
        <w:p w:rsidR="00B94647" w:rsidRDefault="00B94647">
          <w:pPr>
            <w:rPr>
              <w:rFonts w:cs="Arial"/>
              <w:szCs w:val="21"/>
            </w:rPr>
          </w:pPr>
        </w:p>
        <w:p w:rsidR="00806678" w:rsidRDefault="00B16377">
          <w:pPr>
            <w:rPr>
              <w:rFonts w:cs="Arial"/>
              <w:szCs w:val="21"/>
            </w:rPr>
          </w:pPr>
          <w:r>
            <w:rPr>
              <w:rFonts w:cs="Arial" w:hint="eastAsia"/>
              <w:szCs w:val="21"/>
            </w:rPr>
            <w:t>在子公司的持股比例不同于表决权比例的说明：</w:t>
          </w:r>
        </w:p>
        <w:p w:rsidR="00806678" w:rsidRDefault="00F80B6C">
          <w:pPr>
            <w:rPr>
              <w:rFonts w:cs="Arial"/>
              <w:szCs w:val="21"/>
            </w:rPr>
          </w:pPr>
          <w:sdt>
            <w:sdtPr>
              <w:rPr>
                <w:rFonts w:cs="Arial"/>
                <w:szCs w:val="21"/>
              </w:rPr>
              <w:alias w:val="在子公司的持股比例不同于表决权比例的说明"/>
              <w:tag w:val="_GBC_b7be591163dc47e4b00f98006e6fbb0b"/>
              <w:id w:val="-1695373105"/>
              <w:lock w:val="sdtLocked"/>
              <w:placeholder>
                <w:docPart w:val="GBC22222222222222222222222222222"/>
              </w:placeholder>
            </w:sdtPr>
            <w:sdtContent>
              <w:r w:rsidR="00C35436">
                <w:rPr>
                  <w:rFonts w:cs="Arial" w:hint="eastAsia"/>
                  <w:szCs w:val="21"/>
                </w:rPr>
                <w:t>无</w:t>
              </w:r>
            </w:sdtContent>
          </w:sdt>
        </w:p>
        <w:p w:rsidR="00806678" w:rsidRDefault="00806678">
          <w:pPr>
            <w:rPr>
              <w:rFonts w:cs="Arial"/>
              <w:szCs w:val="21"/>
            </w:rPr>
          </w:pPr>
        </w:p>
        <w:p w:rsidR="00806678" w:rsidRDefault="00B16377">
          <w:pPr>
            <w:rPr>
              <w:rFonts w:cs="Arial"/>
              <w:szCs w:val="21"/>
            </w:rPr>
          </w:pPr>
          <w:r>
            <w:rPr>
              <w:rFonts w:cs="Arial" w:hint="eastAsia"/>
              <w:szCs w:val="21"/>
            </w:rPr>
            <w:t>持有半数或以下表决权但仍控制被投资单位、以及持有半数以上表决权但不控制被投资单位的依据：</w:t>
          </w:r>
        </w:p>
        <w:sdt>
          <w:sdtPr>
            <w:rPr>
              <w:rFonts w:cs="Arial"/>
              <w:szCs w:val="21"/>
            </w:rPr>
            <w:alias w:val="持有半数或以下表决权但仍控制被投资单位、以及持有半数以上表决权但不控制被投资单位的依据"/>
            <w:tag w:val="_GBC_e9c6ba07b58c4f8e9e3004170d14542b"/>
            <w:id w:val="798114468"/>
            <w:lock w:val="sdtLocked"/>
            <w:placeholder>
              <w:docPart w:val="GBC22222222222222222222222222222"/>
            </w:placeholder>
          </w:sdtPr>
          <w:sdtContent>
            <w:p w:rsidR="00806678" w:rsidRDefault="00C35436">
              <w:pPr>
                <w:rPr>
                  <w:rFonts w:cs="Arial"/>
                  <w:szCs w:val="21"/>
                </w:rPr>
              </w:pPr>
              <w:r>
                <w:rPr>
                  <w:rFonts w:hint="eastAsia"/>
                  <w:szCs w:val="21"/>
                </w:rPr>
                <w:t>参见注</w:t>
              </w:r>
              <w:r>
                <w:rPr>
                  <w:szCs w:val="21"/>
                </w:rPr>
                <w:t>6</w:t>
              </w:r>
            </w:p>
          </w:sdtContent>
        </w:sdt>
        <w:p w:rsidR="00C35436" w:rsidRDefault="00C35436">
          <w:pPr>
            <w:rPr>
              <w:rFonts w:cs="Arial"/>
              <w:szCs w:val="21"/>
            </w:rPr>
            <w:sectPr w:rsidR="00C35436" w:rsidSect="00C35436">
              <w:pgSz w:w="16838" w:h="11906" w:orient="landscape"/>
              <w:pgMar w:top="1797" w:right="1525" w:bottom="1276" w:left="1440" w:header="856" w:footer="992" w:gutter="0"/>
              <w:cols w:space="425"/>
              <w:docGrid w:linePitch="312"/>
            </w:sectPr>
          </w:pPr>
        </w:p>
        <w:p w:rsidR="00806678" w:rsidRDefault="00B16377">
          <w:pPr>
            <w:rPr>
              <w:rFonts w:cs="Arial"/>
              <w:szCs w:val="21"/>
            </w:rPr>
          </w:pPr>
          <w:r>
            <w:rPr>
              <w:rFonts w:cs="Arial" w:hint="eastAsia"/>
              <w:szCs w:val="21"/>
            </w:rPr>
            <w:lastRenderedPageBreak/>
            <w:t>对于纳入合并范围的重要的结构化主体，控制的依据：</w:t>
          </w:r>
        </w:p>
        <w:sdt>
          <w:sdtPr>
            <w:rPr>
              <w:rFonts w:cs="Arial" w:hint="eastAsia"/>
              <w:szCs w:val="21"/>
            </w:rPr>
            <w:alias w:val="对于纳入合并范围的重要的结构化主体，控制的依据"/>
            <w:tag w:val="_GBC_254d83ec47cd4003902f2d0f6017d432"/>
            <w:id w:val="-1140342897"/>
            <w:lock w:val="sdtLocked"/>
            <w:placeholder>
              <w:docPart w:val="GBC22222222222222222222222222222"/>
            </w:placeholder>
          </w:sdtPr>
          <w:sdtContent>
            <w:p w:rsidR="00806678" w:rsidRDefault="00C35436">
              <w:pPr>
                <w:rPr>
                  <w:rFonts w:cs="Arial"/>
                  <w:szCs w:val="21"/>
                </w:rPr>
              </w:pPr>
              <w:r>
                <w:rPr>
                  <w:rFonts w:cs="Arial" w:hint="eastAsia"/>
                  <w:szCs w:val="21"/>
                </w:rPr>
                <w:t>无</w:t>
              </w:r>
            </w:p>
          </w:sdtContent>
        </w:sdt>
        <w:p w:rsidR="00806678" w:rsidRDefault="00806678">
          <w:pPr>
            <w:rPr>
              <w:rFonts w:cs="Arial"/>
              <w:szCs w:val="21"/>
            </w:rPr>
          </w:pPr>
        </w:p>
        <w:p w:rsidR="00806678" w:rsidRDefault="00B16377">
          <w:pPr>
            <w:rPr>
              <w:rFonts w:cs="Arial"/>
              <w:szCs w:val="21"/>
            </w:rPr>
          </w:pPr>
          <w:r>
            <w:rPr>
              <w:rFonts w:cs="Arial" w:hint="eastAsia"/>
              <w:szCs w:val="21"/>
            </w:rPr>
            <w:t>确定公司是代理人还是委托人的依据：</w:t>
          </w:r>
        </w:p>
        <w:sdt>
          <w:sdtPr>
            <w:rPr>
              <w:rFonts w:cs="Arial" w:hint="eastAsia"/>
              <w:szCs w:val="21"/>
            </w:rPr>
            <w:alias w:val="确定公司是代理人还是委托人的依据"/>
            <w:tag w:val="_GBC_f515cb0c8a654271b5991b0accabe800"/>
            <w:id w:val="1540173455"/>
            <w:lock w:val="sdtLocked"/>
            <w:placeholder>
              <w:docPart w:val="GBC22222222222222222222222222222"/>
            </w:placeholder>
          </w:sdtPr>
          <w:sdtContent>
            <w:p w:rsidR="00806678" w:rsidRDefault="00C35436">
              <w:pPr>
                <w:rPr>
                  <w:rFonts w:cs="Arial"/>
                  <w:szCs w:val="21"/>
                </w:rPr>
              </w:pPr>
              <w:r>
                <w:rPr>
                  <w:rFonts w:cs="Arial" w:hint="eastAsia"/>
                  <w:szCs w:val="21"/>
                </w:rPr>
                <w:t>无</w:t>
              </w:r>
            </w:p>
          </w:sdtContent>
        </w:sdt>
        <w:p w:rsidR="00806678" w:rsidRDefault="00806678">
          <w:pPr>
            <w:rPr>
              <w:rFonts w:cs="Arial"/>
              <w:szCs w:val="21"/>
            </w:rPr>
          </w:pPr>
        </w:p>
        <w:p w:rsidR="00806678" w:rsidRDefault="00B16377">
          <w:pPr>
            <w:rPr>
              <w:rFonts w:cs="Arial"/>
              <w:szCs w:val="21"/>
            </w:rPr>
          </w:pPr>
          <w:r>
            <w:rPr>
              <w:rFonts w:cs="Arial" w:hint="eastAsia"/>
              <w:szCs w:val="21"/>
            </w:rPr>
            <w:t>其他说明：</w:t>
          </w:r>
        </w:p>
        <w:sdt>
          <w:sdtPr>
            <w:rPr>
              <w:rFonts w:cs="Arial"/>
              <w:szCs w:val="21"/>
            </w:rPr>
            <w:alias w:val="企业集团的构成的其他需要说明的事项"/>
            <w:tag w:val="_GBC_7dc3099f920f4546b2a983c0eb4c2ce0"/>
            <w:id w:val="1846123991"/>
            <w:lock w:val="sdtLocked"/>
            <w:placeholder>
              <w:docPart w:val="GBC22222222222222222222222222222"/>
            </w:placeholder>
          </w:sdtPr>
          <w:sdtContent>
            <w:p w:rsidR="00C35436" w:rsidRPr="00C35436" w:rsidRDefault="00B94647" w:rsidP="00C35436">
              <w:pPr>
                <w:rPr>
                  <w:rFonts w:cs="Arial"/>
                  <w:szCs w:val="21"/>
                </w:rPr>
              </w:pPr>
              <w:r>
                <w:rPr>
                  <w:rFonts w:cs="Arial" w:hint="eastAsia"/>
                  <w:szCs w:val="21"/>
                </w:rPr>
                <w:t>注1</w:t>
              </w:r>
              <w:r w:rsidR="00C35436">
                <w:rPr>
                  <w:rFonts w:cs="Arial" w:hint="eastAsia"/>
                  <w:szCs w:val="21"/>
                </w:rPr>
                <w:t>：</w:t>
              </w:r>
              <w:r w:rsidR="00C35436" w:rsidRPr="00C35436">
                <w:rPr>
                  <w:rFonts w:cs="Arial"/>
                  <w:szCs w:val="21"/>
                </w:rPr>
                <w:tab/>
                <w:t>于2012年8月，本公司与山西省交通能源有限公司共同出资设立侯禹铁路公司。截至2018年12月31日，本公司与山西省交通能源有限公司已分别出资人民币18.5亿元 (其中现金出资人民币12.1亿元，以既有线路资产经评估后实物出资人民币6.4亿元) 和人民币1.5亿元注入侯禹铁路公司，实际的持股比例分别为92.5%和7.5% 。</w:t>
              </w:r>
            </w:p>
            <w:p w:rsidR="00C35436" w:rsidRPr="00C35436" w:rsidRDefault="00C35436" w:rsidP="00C35436">
              <w:pPr>
                <w:rPr>
                  <w:rFonts w:cs="Arial"/>
                  <w:szCs w:val="21"/>
                </w:rPr>
              </w:pPr>
            </w:p>
            <w:p w:rsidR="00C35436" w:rsidRPr="00C35436" w:rsidRDefault="00B94647" w:rsidP="00C35436">
              <w:pPr>
                <w:rPr>
                  <w:rFonts w:cs="Arial"/>
                  <w:szCs w:val="21"/>
                </w:rPr>
              </w:pPr>
              <w:r>
                <w:rPr>
                  <w:rFonts w:cs="Arial" w:hint="eastAsia"/>
                  <w:szCs w:val="21"/>
                </w:rPr>
                <w:t>注2</w:t>
              </w:r>
              <w:r w:rsidR="00C35436">
                <w:rPr>
                  <w:rFonts w:cs="Arial" w:hint="eastAsia"/>
                  <w:szCs w:val="21"/>
                </w:rPr>
                <w:t>：</w:t>
              </w:r>
              <w:r w:rsidR="00C35436" w:rsidRPr="00C35436">
                <w:rPr>
                  <w:rFonts w:cs="Arial"/>
                  <w:szCs w:val="21"/>
                </w:rPr>
                <w:tab/>
                <w:t>于2013年12月，本公司出资人民币0.5亿元设立全资子公司大秦经贸。于2013年12月31日，本公司之子公司大秦经贸通过同一控制下企业合并取得了大同云海汽车贸易有限责任公司、大同爱得实业有限责任公司、大同市昌盛有限责任公司、太原长龙北车辆段车辆轮对修理有限公司、山西晋龙海川物资有限公司等5家公司 (以下合称“云海汽贸等被收购公司”) 51%的股权。云海汽贸等被收购公司成为本公司通过同一控制企业合并取得的三级子公司。于2014年，本公司向大秦经贸增资人民币0.8亿元。大同市昌盛有限责任公司及大同云</w:t>
              </w:r>
              <w:r w:rsidR="00C35436" w:rsidRPr="00C35436">
                <w:rPr>
                  <w:rFonts w:cs="Arial" w:hint="eastAsia"/>
                  <w:szCs w:val="21"/>
                </w:rPr>
                <w:t>海汽车贸易有限责任公司已于</w:t>
              </w:r>
              <w:r w:rsidR="00C35436" w:rsidRPr="00C35436">
                <w:rPr>
                  <w:rFonts w:cs="Arial"/>
                  <w:szCs w:val="21"/>
                </w:rPr>
                <w:t>2020年注销。</w:t>
              </w:r>
            </w:p>
            <w:p w:rsidR="00C35436" w:rsidRPr="00C35436" w:rsidRDefault="00C35436" w:rsidP="00C35436">
              <w:pPr>
                <w:rPr>
                  <w:rFonts w:cs="Arial"/>
                  <w:szCs w:val="21"/>
                </w:rPr>
              </w:pPr>
            </w:p>
            <w:p w:rsidR="00C35436" w:rsidRPr="00C35436" w:rsidRDefault="00B94647" w:rsidP="00C35436">
              <w:pPr>
                <w:rPr>
                  <w:rFonts w:cs="Arial"/>
                  <w:szCs w:val="21"/>
                </w:rPr>
              </w:pPr>
              <w:r>
                <w:rPr>
                  <w:rFonts w:cs="Arial" w:hint="eastAsia"/>
                  <w:szCs w:val="21"/>
                </w:rPr>
                <w:t>注3</w:t>
              </w:r>
              <w:r w:rsidR="00C35436">
                <w:rPr>
                  <w:rFonts w:cs="Arial" w:hint="eastAsia"/>
                  <w:szCs w:val="21"/>
                </w:rPr>
                <w:t>：</w:t>
              </w:r>
              <w:r w:rsidR="00C35436" w:rsidRPr="00C35436">
                <w:rPr>
                  <w:rFonts w:cs="Arial"/>
                  <w:szCs w:val="21"/>
                </w:rPr>
                <w:tab/>
                <w:t>于2015年11月，本公司收购太原局集团公司持有的太兴铁路公司70%股权，收购对价人民币31.58亿元，形成同一控制下的企业合并。随后本公司以太古岚铁路既有线路资产向太兴铁路公司增资人民币7.46亿元，交易完成后，大秦公司持有太兴铁路公司的股权比例为74.44% 。</w:t>
              </w:r>
            </w:p>
            <w:p w:rsidR="00C35436" w:rsidRPr="00C35436" w:rsidRDefault="00C35436" w:rsidP="00C35436">
              <w:pPr>
                <w:rPr>
                  <w:rFonts w:cs="Arial"/>
                  <w:szCs w:val="21"/>
                </w:rPr>
              </w:pPr>
            </w:p>
            <w:p w:rsidR="00C35436" w:rsidRPr="00C35436" w:rsidRDefault="00B94647" w:rsidP="00C35436">
              <w:pPr>
                <w:rPr>
                  <w:rFonts w:cs="Arial"/>
                  <w:szCs w:val="21"/>
                </w:rPr>
              </w:pPr>
              <w:r>
                <w:rPr>
                  <w:rFonts w:cs="Arial" w:hint="eastAsia"/>
                  <w:szCs w:val="21"/>
                </w:rPr>
                <w:t>注4</w:t>
              </w:r>
              <w:r w:rsidR="00C35436">
                <w:rPr>
                  <w:rFonts w:cs="Arial" w:hint="eastAsia"/>
                  <w:szCs w:val="21"/>
                </w:rPr>
                <w:t>：</w:t>
              </w:r>
              <w:r w:rsidR="00C35436" w:rsidRPr="00C35436">
                <w:rPr>
                  <w:rFonts w:cs="Arial"/>
                  <w:szCs w:val="21"/>
                </w:rPr>
                <w:tab/>
                <w:t>本公司与山西煤炭运销集团晋中有限公司、山西方略保税物流中心有限公司等4方股东于2013年1月共同出资设立中鼎物流公司，本公司的初始投资成本为人民币0.70亿元，持股比例为35% 。中鼎物流公司设立后，经本公司于2014至2016年度对其持续增资，于2016年9月30日，本公司对中鼎物流公司的累计出资达到人民币6.35亿元，持股比例为65.7%并取得了对其的实际控制权，因此本公司自2016年9月30日起将其纳入合并范围。于2017年3月，本公司向中鼎物流公司增资人民币136,600,000元，于2017年5月，中鼎物流公司的少数股东向公司增资人民币11,400,000元。于2018年1月及10月，本公司分别向中鼎物流公司增资人民币950,000,000元及28,500,000元，增资后本公司在中鼎物流公司的持股比例为83.64% 。</w:t>
              </w:r>
            </w:p>
            <w:p w:rsidR="00C35436" w:rsidRPr="00C35436" w:rsidRDefault="00C35436" w:rsidP="00C35436">
              <w:pPr>
                <w:rPr>
                  <w:rFonts w:cs="Arial"/>
                  <w:szCs w:val="21"/>
                </w:rPr>
              </w:pPr>
            </w:p>
            <w:p w:rsidR="00C35436" w:rsidRPr="00C35436" w:rsidRDefault="00B94647" w:rsidP="00C35436">
              <w:pPr>
                <w:rPr>
                  <w:rFonts w:cs="Arial"/>
                  <w:szCs w:val="21"/>
                </w:rPr>
              </w:pPr>
              <w:r>
                <w:rPr>
                  <w:rFonts w:cs="Arial" w:hint="eastAsia"/>
                  <w:szCs w:val="21"/>
                </w:rPr>
                <w:t>注5</w:t>
              </w:r>
              <w:r w:rsidR="00C35436">
                <w:rPr>
                  <w:rFonts w:cs="Arial" w:hint="eastAsia"/>
                  <w:szCs w:val="21"/>
                </w:rPr>
                <w:t>：</w:t>
              </w:r>
              <w:r w:rsidR="00C35436" w:rsidRPr="00C35436">
                <w:rPr>
                  <w:rFonts w:cs="Arial"/>
                  <w:szCs w:val="21"/>
                </w:rPr>
                <w:tab/>
                <w:t>于2018年12月，本公司收购太原局集团公司持有的唐港铁路公司19.73%股权，合并成本为人民币15.76亿元。本公司收购唐港铁路公司的股权后，由于唐港铁路公司的实际经营依赖于本公司，而且其他股东国投交通控股有限公司 (持股比例15.13%) 、唐山曹妃甸实业港务有限公司 (持股比例15.13%) 和河北建投交通投资有限责任公司 (持股比例11.64%) 也同意与本公司在股东会和董事会上就相关事项行使表决权时与本公司保持一致，因此本公司管理层认为本公司能够主导唐港铁路公司相关活动，对其具有控制权，并</w:t>
              </w:r>
              <w:r w:rsidR="00C35436" w:rsidRPr="00C35436">
                <w:rPr>
                  <w:rFonts w:cs="Arial" w:hint="eastAsia"/>
                  <w:szCs w:val="21"/>
                </w:rPr>
                <w:t>将其纳入合并范围。</w:t>
              </w:r>
            </w:p>
            <w:p w:rsidR="00C35436" w:rsidRPr="00C35436" w:rsidRDefault="00C35436" w:rsidP="00C35436">
              <w:pPr>
                <w:rPr>
                  <w:rFonts w:cs="Arial"/>
                  <w:szCs w:val="21"/>
                </w:rPr>
              </w:pPr>
            </w:p>
            <w:p w:rsidR="00C35436" w:rsidRPr="00C35436" w:rsidRDefault="00B94647" w:rsidP="00C35436">
              <w:pPr>
                <w:rPr>
                  <w:rFonts w:cs="Arial"/>
                  <w:szCs w:val="21"/>
                </w:rPr>
              </w:pPr>
              <w:r>
                <w:rPr>
                  <w:rFonts w:cs="Arial" w:hint="eastAsia"/>
                  <w:szCs w:val="21"/>
                </w:rPr>
                <w:t>注6</w:t>
              </w:r>
              <w:r w:rsidR="00C35436">
                <w:rPr>
                  <w:rFonts w:cs="Arial" w:hint="eastAsia"/>
                  <w:szCs w:val="21"/>
                </w:rPr>
                <w:t>：</w:t>
              </w:r>
              <w:r w:rsidR="00C35436" w:rsidRPr="00C35436">
                <w:rPr>
                  <w:rFonts w:cs="Arial"/>
                  <w:szCs w:val="21"/>
                </w:rPr>
                <w:tab/>
                <w:t>本公司于2020年4月27日与太原局集团公司就其所持有的西南环铁路公司51%的权益签订了《中国铁路太原局集团有限公司与大秦铁路股份有限公司附生效条件的股权转让协议》(以下简称“股权转让协议“) 。按照该股权转让协议规定，该协议在本次股权转让事项经本公司及太原局集团公司董事会审议通过，经西南环铁路公司及本公司股东会审议通过，经国铁集团批准，并完成标的股权评估结果之国铁集团备案，且大秦公司可转债事项经中国证监会核准、完成发行并收到扣除相关发行费用后的募集资金净额后等条件全部满足时予以生效，本标的股权对</w:t>
              </w:r>
              <w:r w:rsidR="00C35436" w:rsidRPr="00C35436">
                <w:rPr>
                  <w:rFonts w:cs="Arial" w:hint="eastAsia"/>
                  <w:szCs w:val="21"/>
                </w:rPr>
                <w:t>价为人民币</w:t>
              </w:r>
              <w:r w:rsidR="00C35436" w:rsidRPr="00C35436">
                <w:rPr>
                  <w:rFonts w:cs="Arial"/>
                  <w:szCs w:val="21"/>
                </w:rPr>
                <w:t>3,980,250,900元。2020年12月18日上述条件全部达成，该转让协议即日生效。于合并日2021年1月29日，西南环铁路公司完成股东变更相关工商登记，西南环铁路公司成为本公司之控股子公司。鉴于西南环铁路公司在合并日前后与本公司均受太原局集团公司控制，且该控制为非暂时性，因此本次合并为同一控制下企业合并。</w:t>
              </w:r>
            </w:p>
            <w:p w:rsidR="00C35436" w:rsidRPr="00C35436" w:rsidRDefault="00C35436" w:rsidP="00C35436">
              <w:pPr>
                <w:rPr>
                  <w:rFonts w:cs="Arial"/>
                  <w:szCs w:val="21"/>
                </w:rPr>
              </w:pPr>
              <w:r w:rsidRPr="00C35436">
                <w:rPr>
                  <w:rFonts w:cs="Arial" w:hint="eastAsia"/>
                  <w:szCs w:val="21"/>
                </w:rPr>
                <w:lastRenderedPageBreak/>
                <w:t>于合并日，西南环铁路公司注册资本为人民币</w:t>
              </w:r>
              <w:r w:rsidRPr="00C35436">
                <w:rPr>
                  <w:rFonts w:cs="Arial"/>
                  <w:szCs w:val="21"/>
                </w:rPr>
                <w:t>132,783.26万元，其中太原局集团公司认缴人民币67,719.46万元，占比51.00%，另一股东太原高铁公司认缴出资65,063.80万元，占比49%；西南环铁路公司实缴资本为人民币304,253.80万元，其中太原局集团公司实缴人民币239,190.00万元，实缴出资占比78.62%；太原高铁公司以经第三方中介机构审核并计入股份的征地拆迁费用出资人民币65,063.80万元，实缴出资占比21.38%。太原高铁公司负责的剩余征地拆迁费用目前正处于审核过程中，待</w:t>
              </w:r>
              <w:r w:rsidRPr="00C35436">
                <w:rPr>
                  <w:rFonts w:cs="Arial" w:hint="eastAsia"/>
                  <w:szCs w:val="21"/>
                </w:rPr>
                <w:t>第三方中介机构出具审核报告并经股东双方认可后，西南环铁路公司将相应调整注册资本、实收资本及股权比例。</w:t>
              </w:r>
            </w:p>
            <w:p w:rsidR="00C35436" w:rsidRPr="00C35436" w:rsidRDefault="00C35436" w:rsidP="00C35436">
              <w:pPr>
                <w:rPr>
                  <w:rFonts w:cs="Arial"/>
                  <w:szCs w:val="21"/>
                </w:rPr>
              </w:pPr>
            </w:p>
            <w:p w:rsidR="00C35436" w:rsidRPr="00C35436" w:rsidRDefault="00C35436" w:rsidP="00C35436">
              <w:pPr>
                <w:rPr>
                  <w:rFonts w:cs="Arial"/>
                  <w:szCs w:val="21"/>
                </w:rPr>
              </w:pPr>
              <w:r w:rsidRPr="00C35436">
                <w:rPr>
                  <w:rFonts w:cs="Arial"/>
                  <w:szCs w:val="21"/>
                </w:rPr>
                <w:t>2019年12月26日，太原市人民政府组织太原局集团公司、太原高铁公司、西南环铁路公司以及市财政局、市规划和自然资源局等召开会议专题研究太原铁路枢纽新建西南环工程相关征地拆迁费用审价入股等事项。根据《太原铁路枢纽西南环线建设事宜协调会议纪要》 (〔2020〕第4期)，会议原则同意维持太原局集团公司及太原高铁公司双方51：49的股比不变，并按照第三方审价机构对西南环项目征拆费用的审价结果、经西南环铁路公司股东会认可后记入西南环铁路公司太原高铁公司的股份。若最终经确认的征地拆迁费用超出西南环铁路公司章程约定太原</w:t>
              </w:r>
              <w:r w:rsidRPr="00C35436">
                <w:rPr>
                  <w:rFonts w:cs="Arial" w:hint="eastAsia"/>
                  <w:szCs w:val="21"/>
                </w:rPr>
                <w:t>高铁公司的出资额时，按照太原局集团公司及太原高铁公司双方</w:t>
              </w:r>
              <w:r w:rsidRPr="00C35436">
                <w:rPr>
                  <w:rFonts w:cs="Arial"/>
                  <w:szCs w:val="21"/>
                </w:rPr>
                <w:t>51：49的股比，太原局集团公司相应增加出资。若最终经确认的征地拆迁费用低于西南环铁路公司章程约定出资额时，太原高铁公司不再追加现金出资，并按照实际出资额调减股比，即太原局集团公司拥有西南环铁路公司控股权，持股比例不低于51% 。</w:t>
              </w:r>
            </w:p>
            <w:p w:rsidR="00C35436" w:rsidRPr="00C35436" w:rsidRDefault="00C35436" w:rsidP="00C35436">
              <w:pPr>
                <w:rPr>
                  <w:rFonts w:cs="Arial"/>
                  <w:szCs w:val="21"/>
                </w:rPr>
              </w:pPr>
            </w:p>
            <w:p w:rsidR="00C35436" w:rsidRPr="00C35436" w:rsidRDefault="00C35436" w:rsidP="00C35436">
              <w:pPr>
                <w:rPr>
                  <w:rFonts w:cs="Arial"/>
                  <w:szCs w:val="21"/>
                </w:rPr>
              </w:pPr>
              <w:r w:rsidRPr="00C35436">
                <w:rPr>
                  <w:rFonts w:cs="Arial" w:hint="eastAsia"/>
                  <w:szCs w:val="21"/>
                </w:rPr>
                <w:t>按照</w:t>
              </w:r>
              <w:r w:rsidRPr="00C35436">
                <w:rPr>
                  <w:rFonts w:cs="Arial"/>
                  <w:szCs w:val="21"/>
                </w:rPr>
                <w:t>2020年7月27日太原局集团公司、太原高铁公司与本公司共同签订的《关于太原铁路枢纽西南环线有限责任公司股权转让事项备忘录》，在西南环铁路公司完成股权交割后，本公司继承太原局集团公司在西南环铁路公司全部股东权利，并按实缴出资比例享有西南环铁路公司股东权益。因此于合并日，本公司按照实缴出资比例享有西南环铁路公司78.62%权益。</w:t>
              </w:r>
            </w:p>
            <w:p w:rsidR="00C35436" w:rsidRPr="00C35436" w:rsidRDefault="00C35436" w:rsidP="00C35436">
              <w:pPr>
                <w:rPr>
                  <w:rFonts w:cs="Arial"/>
                  <w:szCs w:val="21"/>
                </w:rPr>
              </w:pPr>
            </w:p>
            <w:p w:rsidR="00C35436" w:rsidRPr="00DA4D34" w:rsidRDefault="00C35436">
              <w:pPr>
                <w:rPr>
                  <w:rFonts w:cstheme="minorBidi"/>
                  <w:szCs w:val="21"/>
                </w:rPr>
                <w:sectPr w:rsidR="00C35436" w:rsidRPr="00DA4D34" w:rsidSect="00C35436">
                  <w:pgSz w:w="11906" w:h="16838"/>
                  <w:pgMar w:top="1525" w:right="1276" w:bottom="1440" w:left="1797" w:header="856" w:footer="992" w:gutter="0"/>
                  <w:cols w:space="425"/>
                  <w:docGrid w:linePitch="312"/>
                </w:sectPr>
              </w:pPr>
              <w:r w:rsidRPr="00C35436">
                <w:rPr>
                  <w:rFonts w:cs="Arial"/>
                  <w:szCs w:val="21"/>
                </w:rPr>
                <w:t>2021年，太原高铁公司以现金方式向西南环铁路公司缴纳注册资本人民币2,564,985元，至此本公司对西南环铁路公司实缴出资比例变更为78.55%。于2022年12月31日，本公司按实缴出资比例78.55%享有西南环铁路公司股东权益。</w:t>
              </w:r>
            </w:p>
          </w:sdtContent>
        </w:sdt>
      </w:sdtContent>
    </w:sdt>
    <w:p w:rsidR="00806678" w:rsidRDefault="00806678">
      <w:pPr>
        <w:rPr>
          <w:rFonts w:cs="Arial"/>
          <w:szCs w:val="21"/>
        </w:rPr>
      </w:pPr>
    </w:p>
    <w:sdt>
      <w:sdtPr>
        <w:rPr>
          <w:rFonts w:ascii="宋体" w:eastAsia="宋体" w:hAnsi="宋体" w:cs="宋体" w:hint="eastAsia"/>
          <w:b w:val="0"/>
          <w:bCs w:val="0"/>
          <w:kern w:val="0"/>
          <w:szCs w:val="24"/>
        </w:rPr>
        <w:alias w:val="模块:重要的非全资子公司"/>
        <w:tag w:val="_GBC_a2ec6e05ebd34d2fa14b1ba6b3ba8eb1"/>
        <w:id w:val="-1003968337"/>
        <w:lock w:val="sdtLocked"/>
        <w:placeholder>
          <w:docPart w:val="GBC22222222222222222222222222222"/>
        </w:placeholder>
      </w:sdtPr>
      <w:sdtEndPr>
        <w:rPr>
          <w:rFonts w:cs="Arial" w:hint="default"/>
          <w:szCs w:val="21"/>
        </w:rPr>
      </w:sdtEndPr>
      <w:sdtContent>
        <w:p w:rsidR="00806678" w:rsidRDefault="00B16377" w:rsidP="00FF17C7">
          <w:pPr>
            <w:pStyle w:val="4"/>
            <w:numPr>
              <w:ilvl w:val="3"/>
              <w:numId w:val="51"/>
            </w:numPr>
            <w:ind w:left="424" w:hangingChars="202" w:hanging="424"/>
          </w:pPr>
          <w:r>
            <w:rPr>
              <w:rFonts w:hint="eastAsia"/>
            </w:rPr>
            <w:t>重要的非全资子公司</w:t>
          </w:r>
        </w:p>
        <w:sdt>
          <w:sdtPr>
            <w:alias w:val="是否适用：重要的非全资子公司[双击切换]"/>
            <w:tag w:val="_GBC_51a84bfe201248b8bd5edb53b6cd6283"/>
            <w:id w:val="-336934445"/>
            <w:lock w:val="sdtLocked"/>
            <w:placeholder>
              <w:docPart w:val="GBC22222222222222222222222222222"/>
            </w:placeholder>
          </w:sdtPr>
          <w:sdtContent>
            <w:p w:rsidR="00806678" w:rsidRDefault="00F80B6C">
              <w:r>
                <w:fldChar w:fldCharType="begin"/>
              </w:r>
              <w:r w:rsidR="00601651">
                <w:instrText xml:space="preserve">MACROBUTTON  SnrToggleCheckbox √适用 </w:instrText>
              </w:r>
              <w:r>
                <w:fldChar w:fldCharType="end"/>
              </w:r>
              <w:r>
                <w:fldChar w:fldCharType="begin"/>
              </w:r>
              <w:r w:rsidR="00601651">
                <w:instrText xml:space="preserve"> MACROBUTTON  SnrToggleCheckbox □不适用 </w:instrText>
              </w:r>
              <w:r>
                <w:fldChar w:fldCharType="end"/>
              </w:r>
            </w:p>
          </w:sdtContent>
        </w:sdt>
        <w:p w:rsidR="00806678" w:rsidRDefault="00B16377">
          <w:pPr>
            <w:jc w:val="right"/>
          </w:pPr>
          <w:r>
            <w:rPr>
              <w:rFonts w:hint="eastAsia"/>
            </w:rPr>
            <w:t>单位:</w:t>
          </w:r>
          <w:sdt>
            <w:sdtPr>
              <w:rPr>
                <w:rFonts w:hint="eastAsia"/>
              </w:rPr>
              <w:alias w:val="单位：财务附注：重要的非全资子公司"/>
              <w:tag w:val="_GBC_e5936e9952394755bacf71d437afcd44"/>
              <w:id w:val="2421622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重要的非全资子公司"/>
              <w:tag w:val="_GBC_5ffac6aa0e464031b94de604fccc76c7"/>
              <w:id w:val="-123261953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10"/>
            <w:gridCol w:w="1616"/>
            <w:gridCol w:w="1936"/>
            <w:gridCol w:w="1944"/>
            <w:gridCol w:w="1743"/>
          </w:tblGrid>
          <w:tr w:rsidR="00C35436" w:rsidTr="00C35436">
            <w:trPr>
              <w:trHeight w:val="241"/>
            </w:trPr>
            <w:sdt>
              <w:sdtPr>
                <w:tag w:val="_PLD_5428bb469efb45b09d2152fb27b33f8a"/>
                <w:id w:val="-555857890"/>
                <w:lock w:val="sdtLocked"/>
              </w:sdtPr>
              <w:sdtContent>
                <w:tc>
                  <w:tcPr>
                    <w:tcW w:w="1000" w:type="pct"/>
                    <w:shd w:val="clear" w:color="auto" w:fill="auto"/>
                    <w:vAlign w:val="center"/>
                  </w:tcPr>
                  <w:p w:rsidR="00C35436" w:rsidRDefault="00C35436" w:rsidP="00DB008B">
                    <w:pPr>
                      <w:jc w:val="center"/>
                      <w:rPr>
                        <w:rFonts w:cs="Arial"/>
                        <w:szCs w:val="21"/>
                      </w:rPr>
                    </w:pPr>
                    <w:r>
                      <w:rPr>
                        <w:rFonts w:cs="Arial" w:hint="eastAsia"/>
                        <w:szCs w:val="21"/>
                        <w:lang w:val="en-GB"/>
                      </w:rPr>
                      <w:t>子公司名称</w:t>
                    </w:r>
                  </w:p>
                </w:tc>
              </w:sdtContent>
            </w:sdt>
            <w:sdt>
              <w:sdtPr>
                <w:tag w:val="_PLD_6f42810edcef4f808238b34484325c1a"/>
                <w:id w:val="65541880"/>
                <w:lock w:val="sdtLocked"/>
              </w:sdtPr>
              <w:sdtContent>
                <w:tc>
                  <w:tcPr>
                    <w:tcW w:w="893" w:type="pct"/>
                    <w:shd w:val="clear" w:color="auto" w:fill="auto"/>
                    <w:vAlign w:val="center"/>
                  </w:tcPr>
                  <w:p w:rsidR="00C35436" w:rsidRDefault="00C35436" w:rsidP="00DB008B">
                    <w:pPr>
                      <w:jc w:val="center"/>
                      <w:rPr>
                        <w:rFonts w:cs="Arial"/>
                        <w:bCs/>
                        <w:szCs w:val="21"/>
                        <w:lang w:val="en-GB"/>
                      </w:rPr>
                    </w:pPr>
                    <w:r>
                      <w:rPr>
                        <w:rFonts w:cs="Arial" w:hint="eastAsia"/>
                        <w:bCs/>
                        <w:szCs w:val="21"/>
                        <w:lang w:val="en-GB"/>
                      </w:rPr>
                      <w:t>少数股东持股</w:t>
                    </w:r>
                  </w:p>
                  <w:p w:rsidR="00C35436" w:rsidRDefault="00C35436" w:rsidP="00DB008B">
                    <w:pPr>
                      <w:jc w:val="center"/>
                      <w:rPr>
                        <w:rFonts w:cs="Arial"/>
                        <w:szCs w:val="21"/>
                      </w:rPr>
                    </w:pPr>
                    <w:r>
                      <w:rPr>
                        <w:rFonts w:cs="Arial" w:hint="eastAsia"/>
                        <w:bCs/>
                        <w:szCs w:val="21"/>
                        <w:lang w:val="en-GB"/>
                      </w:rPr>
                      <w:t>比例</w:t>
                    </w:r>
                  </w:p>
                </w:tc>
              </w:sdtContent>
            </w:sdt>
            <w:sdt>
              <w:sdtPr>
                <w:tag w:val="_PLD_5fe25832d2ec4782a2b0dd4183a7a18d"/>
                <w:id w:val="-2031859873"/>
                <w:lock w:val="sdtLocked"/>
              </w:sdtPr>
              <w:sdtContent>
                <w:tc>
                  <w:tcPr>
                    <w:tcW w:w="1070" w:type="pct"/>
                    <w:shd w:val="clear" w:color="auto" w:fill="auto"/>
                    <w:vAlign w:val="center"/>
                  </w:tcPr>
                  <w:p w:rsidR="00C35436" w:rsidRDefault="00C35436" w:rsidP="00DB008B">
                    <w:pPr>
                      <w:jc w:val="center"/>
                      <w:rPr>
                        <w:rFonts w:cs="Arial"/>
                        <w:szCs w:val="21"/>
                      </w:rPr>
                    </w:pPr>
                    <w:r>
                      <w:rPr>
                        <w:rFonts w:cs="Arial" w:hint="eastAsia"/>
                        <w:bCs/>
                        <w:szCs w:val="21"/>
                        <w:lang w:val="en-GB"/>
                      </w:rPr>
                      <w:t>本期归属于少数股东的损益</w:t>
                    </w:r>
                  </w:p>
                </w:tc>
              </w:sdtContent>
            </w:sdt>
            <w:sdt>
              <w:sdtPr>
                <w:tag w:val="_PLD_2a49e43dba264aa2a5a6a65baca97c74"/>
                <w:id w:val="1643004578"/>
                <w:lock w:val="sdtLocked"/>
              </w:sdtPr>
              <w:sdtContent>
                <w:tc>
                  <w:tcPr>
                    <w:tcW w:w="1074" w:type="pct"/>
                    <w:shd w:val="clear" w:color="auto" w:fill="auto"/>
                    <w:vAlign w:val="center"/>
                  </w:tcPr>
                  <w:p w:rsidR="00C35436" w:rsidRDefault="00C35436" w:rsidP="00DB008B">
                    <w:pPr>
                      <w:jc w:val="center"/>
                      <w:rPr>
                        <w:rFonts w:cs="Arial"/>
                        <w:szCs w:val="21"/>
                      </w:rPr>
                    </w:pPr>
                    <w:r>
                      <w:rPr>
                        <w:rFonts w:cs="Arial" w:hint="eastAsia"/>
                        <w:bCs/>
                        <w:szCs w:val="21"/>
                        <w:lang w:val="en-GB"/>
                      </w:rPr>
                      <w:t>本期向少数股东宣告分派的股利</w:t>
                    </w:r>
                  </w:p>
                </w:tc>
              </w:sdtContent>
            </w:sdt>
            <w:sdt>
              <w:sdtPr>
                <w:tag w:val="_PLD_fb758b5ac95741fa930b476448e32371"/>
                <w:id w:val="-1508058849"/>
                <w:lock w:val="sdtLocked"/>
              </w:sdtPr>
              <w:sdtContent>
                <w:tc>
                  <w:tcPr>
                    <w:tcW w:w="963" w:type="pct"/>
                    <w:shd w:val="clear" w:color="auto" w:fill="auto"/>
                    <w:vAlign w:val="center"/>
                  </w:tcPr>
                  <w:p w:rsidR="00C35436" w:rsidRDefault="00C35436" w:rsidP="00DB008B">
                    <w:pPr>
                      <w:ind w:right="-16"/>
                      <w:jc w:val="center"/>
                      <w:rPr>
                        <w:rFonts w:cs="Arial"/>
                        <w:bCs/>
                        <w:szCs w:val="21"/>
                      </w:rPr>
                    </w:pPr>
                    <w:r>
                      <w:rPr>
                        <w:rFonts w:cs="Arial" w:hint="eastAsia"/>
                        <w:bCs/>
                        <w:szCs w:val="21"/>
                        <w:lang w:val="en-GB"/>
                      </w:rPr>
                      <w:t>期末少数股东权益余额</w:t>
                    </w:r>
                  </w:p>
                </w:tc>
              </w:sdtContent>
            </w:sdt>
          </w:tr>
          <w:sdt>
            <w:sdtPr>
              <w:rPr>
                <w:szCs w:val="21"/>
              </w:rPr>
              <w:alias w:val="重要的非全资子公司明细"/>
              <w:tag w:val="_GBC_786318b12f804986888adc0492796ebd"/>
              <w:id w:val="-568731862"/>
              <w:lock w:val="sdtLocked"/>
            </w:sdtPr>
            <w:sdtContent>
              <w:tr w:rsidR="00C35436" w:rsidTr="00C35436">
                <w:tc>
                  <w:tcPr>
                    <w:tcW w:w="1000" w:type="pct"/>
                  </w:tcPr>
                  <w:p w:rsidR="00C35436" w:rsidRDefault="00C35436" w:rsidP="00DB008B">
                    <w:pPr>
                      <w:rPr>
                        <w:szCs w:val="21"/>
                      </w:rPr>
                    </w:pPr>
                    <w:r>
                      <w:t>侯禹铁路公司</w:t>
                    </w:r>
                  </w:p>
                </w:tc>
                <w:tc>
                  <w:tcPr>
                    <w:tcW w:w="893" w:type="pct"/>
                  </w:tcPr>
                  <w:p w:rsidR="00C35436" w:rsidRDefault="00C35436" w:rsidP="00DB008B">
                    <w:pPr>
                      <w:jc w:val="right"/>
                      <w:rPr>
                        <w:szCs w:val="21"/>
                      </w:rPr>
                    </w:pPr>
                    <w:r>
                      <w:t>7.50%</w:t>
                    </w:r>
                  </w:p>
                </w:tc>
                <w:tc>
                  <w:tcPr>
                    <w:tcW w:w="1070" w:type="pct"/>
                  </w:tcPr>
                  <w:p w:rsidR="00C35436" w:rsidRDefault="00C35436" w:rsidP="00DB008B">
                    <w:pPr>
                      <w:jc w:val="right"/>
                      <w:rPr>
                        <w:szCs w:val="21"/>
                      </w:rPr>
                    </w:pPr>
                    <w:r>
                      <w:t>16,866,013</w:t>
                    </w:r>
                  </w:p>
                </w:tc>
                <w:tc>
                  <w:tcPr>
                    <w:tcW w:w="1074" w:type="pct"/>
                  </w:tcPr>
                  <w:p w:rsidR="00C35436" w:rsidRDefault="00C35436" w:rsidP="00DB008B">
                    <w:pPr>
                      <w:jc w:val="right"/>
                      <w:rPr>
                        <w:szCs w:val="21"/>
                      </w:rPr>
                    </w:pPr>
                    <w:r>
                      <w:t>0</w:t>
                    </w:r>
                  </w:p>
                </w:tc>
                <w:tc>
                  <w:tcPr>
                    <w:tcW w:w="963" w:type="pct"/>
                  </w:tcPr>
                  <w:p w:rsidR="00C35436" w:rsidRDefault="00C35436" w:rsidP="00DB008B">
                    <w:pPr>
                      <w:jc w:val="right"/>
                      <w:rPr>
                        <w:szCs w:val="21"/>
                      </w:rPr>
                    </w:pPr>
                    <w:r>
                      <w:t>190,771,947</w:t>
                    </w:r>
                  </w:p>
                </w:tc>
              </w:tr>
            </w:sdtContent>
          </w:sdt>
          <w:sdt>
            <w:sdtPr>
              <w:rPr>
                <w:szCs w:val="21"/>
              </w:rPr>
              <w:alias w:val="重要的非全资子公司明细"/>
              <w:tag w:val="_GBC_786318b12f804986888adc0492796ebd"/>
              <w:id w:val="-497191347"/>
              <w:lock w:val="sdtLocked"/>
            </w:sdtPr>
            <w:sdtContent>
              <w:tr w:rsidR="00C35436" w:rsidTr="00C35436">
                <w:tc>
                  <w:tcPr>
                    <w:tcW w:w="1000" w:type="pct"/>
                  </w:tcPr>
                  <w:p w:rsidR="00C35436" w:rsidRDefault="00C35436" w:rsidP="00DB008B">
                    <w:pPr>
                      <w:rPr>
                        <w:szCs w:val="21"/>
                      </w:rPr>
                    </w:pPr>
                    <w:r>
                      <w:t>太兴铁路公司</w:t>
                    </w:r>
                  </w:p>
                </w:tc>
                <w:tc>
                  <w:tcPr>
                    <w:tcW w:w="893" w:type="pct"/>
                  </w:tcPr>
                  <w:p w:rsidR="00C35436" w:rsidRDefault="00C35436" w:rsidP="00DB008B">
                    <w:pPr>
                      <w:jc w:val="right"/>
                      <w:rPr>
                        <w:szCs w:val="21"/>
                      </w:rPr>
                    </w:pPr>
                    <w:r>
                      <w:t>25.56%</w:t>
                    </w:r>
                  </w:p>
                </w:tc>
                <w:tc>
                  <w:tcPr>
                    <w:tcW w:w="1070" w:type="pct"/>
                  </w:tcPr>
                  <w:p w:rsidR="00C35436" w:rsidRDefault="00C35436" w:rsidP="00DB008B">
                    <w:pPr>
                      <w:jc w:val="right"/>
                      <w:rPr>
                        <w:szCs w:val="21"/>
                      </w:rPr>
                    </w:pPr>
                    <w:r>
                      <w:t>16,059,699</w:t>
                    </w:r>
                  </w:p>
                </w:tc>
                <w:tc>
                  <w:tcPr>
                    <w:tcW w:w="1074" w:type="pct"/>
                  </w:tcPr>
                  <w:p w:rsidR="00C35436" w:rsidRDefault="00C35436" w:rsidP="00DB008B">
                    <w:pPr>
                      <w:jc w:val="right"/>
                      <w:rPr>
                        <w:szCs w:val="21"/>
                      </w:rPr>
                    </w:pPr>
                    <w:r>
                      <w:t>0</w:t>
                    </w:r>
                  </w:p>
                </w:tc>
                <w:tc>
                  <w:tcPr>
                    <w:tcW w:w="963" w:type="pct"/>
                  </w:tcPr>
                  <w:p w:rsidR="00C35436" w:rsidRDefault="00C35436" w:rsidP="00DB008B">
                    <w:pPr>
                      <w:jc w:val="right"/>
                      <w:rPr>
                        <w:szCs w:val="21"/>
                      </w:rPr>
                    </w:pPr>
                    <w:r>
                      <w:t>934,543,840</w:t>
                    </w:r>
                  </w:p>
                </w:tc>
              </w:tr>
            </w:sdtContent>
          </w:sdt>
          <w:sdt>
            <w:sdtPr>
              <w:rPr>
                <w:szCs w:val="21"/>
              </w:rPr>
              <w:alias w:val="重要的非全资子公司明细"/>
              <w:tag w:val="_GBC_786318b12f804986888adc0492796ebd"/>
              <w:id w:val="-860353587"/>
              <w:lock w:val="sdtLocked"/>
            </w:sdtPr>
            <w:sdtContent>
              <w:tr w:rsidR="00C35436" w:rsidTr="00C35436">
                <w:tc>
                  <w:tcPr>
                    <w:tcW w:w="1000" w:type="pct"/>
                  </w:tcPr>
                  <w:p w:rsidR="00C35436" w:rsidRDefault="00C35436" w:rsidP="00DB008B">
                    <w:pPr>
                      <w:rPr>
                        <w:szCs w:val="21"/>
                      </w:rPr>
                    </w:pPr>
                    <w:r>
                      <w:t>中鼎物流公司</w:t>
                    </w:r>
                  </w:p>
                </w:tc>
                <w:tc>
                  <w:tcPr>
                    <w:tcW w:w="893" w:type="pct"/>
                  </w:tcPr>
                  <w:p w:rsidR="00C35436" w:rsidRDefault="00C35436" w:rsidP="00DB008B">
                    <w:pPr>
                      <w:jc w:val="right"/>
                      <w:rPr>
                        <w:szCs w:val="21"/>
                      </w:rPr>
                    </w:pPr>
                    <w:r>
                      <w:t>16.36%</w:t>
                    </w:r>
                  </w:p>
                </w:tc>
                <w:tc>
                  <w:tcPr>
                    <w:tcW w:w="1070" w:type="pct"/>
                  </w:tcPr>
                  <w:p w:rsidR="00C35436" w:rsidRDefault="00C35436" w:rsidP="00DB008B">
                    <w:pPr>
                      <w:jc w:val="right"/>
                      <w:rPr>
                        <w:szCs w:val="21"/>
                      </w:rPr>
                    </w:pPr>
                    <w:r>
                      <w:t>-27,126,181</w:t>
                    </w:r>
                  </w:p>
                </w:tc>
                <w:tc>
                  <w:tcPr>
                    <w:tcW w:w="1074" w:type="pct"/>
                  </w:tcPr>
                  <w:p w:rsidR="00C35436" w:rsidRDefault="00C35436" w:rsidP="00DB008B">
                    <w:pPr>
                      <w:jc w:val="right"/>
                      <w:rPr>
                        <w:szCs w:val="21"/>
                      </w:rPr>
                    </w:pPr>
                    <w:r>
                      <w:t>0</w:t>
                    </w:r>
                  </w:p>
                </w:tc>
                <w:tc>
                  <w:tcPr>
                    <w:tcW w:w="963" w:type="pct"/>
                  </w:tcPr>
                  <w:p w:rsidR="00C35436" w:rsidRDefault="00C35436" w:rsidP="00DB008B">
                    <w:pPr>
                      <w:jc w:val="right"/>
                      <w:rPr>
                        <w:szCs w:val="21"/>
                      </w:rPr>
                    </w:pPr>
                    <w:r>
                      <w:t>186,984,907</w:t>
                    </w:r>
                  </w:p>
                </w:tc>
              </w:tr>
            </w:sdtContent>
          </w:sdt>
          <w:sdt>
            <w:sdtPr>
              <w:rPr>
                <w:szCs w:val="21"/>
              </w:rPr>
              <w:alias w:val="重要的非全资子公司明细"/>
              <w:tag w:val="_GBC_786318b12f804986888adc0492796ebd"/>
              <w:id w:val="-72664672"/>
              <w:lock w:val="sdtLocked"/>
            </w:sdtPr>
            <w:sdtContent>
              <w:tr w:rsidR="00C35436" w:rsidTr="00C35436">
                <w:tc>
                  <w:tcPr>
                    <w:tcW w:w="1000" w:type="pct"/>
                  </w:tcPr>
                  <w:p w:rsidR="00C35436" w:rsidRDefault="00C35436" w:rsidP="00DB008B">
                    <w:pPr>
                      <w:rPr>
                        <w:szCs w:val="21"/>
                      </w:rPr>
                    </w:pPr>
                    <w:r>
                      <w:t>唐港铁路公司</w:t>
                    </w:r>
                  </w:p>
                </w:tc>
                <w:tc>
                  <w:tcPr>
                    <w:tcW w:w="893" w:type="pct"/>
                  </w:tcPr>
                  <w:p w:rsidR="00C35436" w:rsidRDefault="00C35436" w:rsidP="00DB008B">
                    <w:pPr>
                      <w:jc w:val="right"/>
                      <w:rPr>
                        <w:szCs w:val="21"/>
                      </w:rPr>
                    </w:pPr>
                    <w:r>
                      <w:t>80.27%</w:t>
                    </w:r>
                  </w:p>
                </w:tc>
                <w:tc>
                  <w:tcPr>
                    <w:tcW w:w="1070" w:type="pct"/>
                  </w:tcPr>
                  <w:p w:rsidR="00C35436" w:rsidRDefault="00C35436" w:rsidP="00DB008B">
                    <w:pPr>
                      <w:jc w:val="right"/>
                      <w:rPr>
                        <w:szCs w:val="21"/>
                      </w:rPr>
                    </w:pPr>
                    <w:r>
                      <w:t>1,675,334,932</w:t>
                    </w:r>
                  </w:p>
                </w:tc>
                <w:tc>
                  <w:tcPr>
                    <w:tcW w:w="1074" w:type="pct"/>
                  </w:tcPr>
                  <w:p w:rsidR="00C35436" w:rsidRDefault="00C35436" w:rsidP="00DB008B">
                    <w:pPr>
                      <w:jc w:val="right"/>
                      <w:rPr>
                        <w:szCs w:val="21"/>
                      </w:rPr>
                    </w:pPr>
                    <w:r>
                      <w:t>723,036,170</w:t>
                    </w:r>
                  </w:p>
                </w:tc>
                <w:tc>
                  <w:tcPr>
                    <w:tcW w:w="963" w:type="pct"/>
                  </w:tcPr>
                  <w:p w:rsidR="00C35436" w:rsidRDefault="00C35436" w:rsidP="00DB008B">
                    <w:pPr>
                      <w:jc w:val="right"/>
                      <w:rPr>
                        <w:szCs w:val="21"/>
                      </w:rPr>
                    </w:pPr>
                    <w:r>
                      <w:t>9,675,358,761</w:t>
                    </w:r>
                  </w:p>
                </w:tc>
              </w:tr>
            </w:sdtContent>
          </w:sdt>
          <w:sdt>
            <w:sdtPr>
              <w:rPr>
                <w:szCs w:val="21"/>
              </w:rPr>
              <w:alias w:val="重要的非全资子公司明细"/>
              <w:tag w:val="_GBC_786318b12f804986888adc0492796ebd"/>
              <w:id w:val="179622883"/>
              <w:lock w:val="sdtLocked"/>
            </w:sdtPr>
            <w:sdtContent>
              <w:tr w:rsidR="00C35436" w:rsidTr="00C35436">
                <w:tc>
                  <w:tcPr>
                    <w:tcW w:w="1000" w:type="pct"/>
                  </w:tcPr>
                  <w:p w:rsidR="00C35436" w:rsidRDefault="00C35436" w:rsidP="00DB008B">
                    <w:pPr>
                      <w:rPr>
                        <w:szCs w:val="21"/>
                      </w:rPr>
                    </w:pPr>
                    <w:r>
                      <w:t>西南环铁路公司</w:t>
                    </w:r>
                  </w:p>
                </w:tc>
                <w:tc>
                  <w:tcPr>
                    <w:tcW w:w="893" w:type="pct"/>
                  </w:tcPr>
                  <w:p w:rsidR="00C35436" w:rsidRDefault="00C35436" w:rsidP="00DB008B">
                    <w:pPr>
                      <w:jc w:val="right"/>
                      <w:rPr>
                        <w:szCs w:val="21"/>
                      </w:rPr>
                    </w:pPr>
                    <w:r>
                      <w:t>21.45%</w:t>
                    </w:r>
                  </w:p>
                </w:tc>
                <w:tc>
                  <w:tcPr>
                    <w:tcW w:w="1070" w:type="pct"/>
                  </w:tcPr>
                  <w:p w:rsidR="00C35436" w:rsidRDefault="00C35436" w:rsidP="00DB008B">
                    <w:pPr>
                      <w:jc w:val="right"/>
                      <w:rPr>
                        <w:szCs w:val="21"/>
                      </w:rPr>
                    </w:pPr>
                    <w:r>
                      <w:t>-27,589,569</w:t>
                    </w:r>
                  </w:p>
                </w:tc>
                <w:tc>
                  <w:tcPr>
                    <w:tcW w:w="1074" w:type="pct"/>
                  </w:tcPr>
                  <w:p w:rsidR="00C35436" w:rsidRDefault="00C35436" w:rsidP="00DB008B">
                    <w:pPr>
                      <w:jc w:val="right"/>
                      <w:rPr>
                        <w:szCs w:val="21"/>
                      </w:rPr>
                    </w:pPr>
                    <w:r>
                      <w:t>0</w:t>
                    </w:r>
                  </w:p>
                </w:tc>
                <w:tc>
                  <w:tcPr>
                    <w:tcW w:w="963" w:type="pct"/>
                  </w:tcPr>
                  <w:p w:rsidR="00C35436" w:rsidRDefault="00C35436" w:rsidP="00DB008B">
                    <w:pPr>
                      <w:jc w:val="right"/>
                      <w:rPr>
                        <w:szCs w:val="21"/>
                      </w:rPr>
                    </w:pPr>
                    <w:r>
                      <w:t>859,329,331</w:t>
                    </w:r>
                  </w:p>
                </w:tc>
              </w:tr>
            </w:sdtContent>
          </w:sdt>
        </w:tbl>
        <w:p w:rsidR="00806678" w:rsidRDefault="00B16377">
          <w:pPr>
            <w:rPr>
              <w:rFonts w:cs="Arial"/>
              <w:szCs w:val="21"/>
            </w:rPr>
          </w:pPr>
          <w:r>
            <w:rPr>
              <w:rFonts w:cs="Arial" w:hint="eastAsia"/>
              <w:szCs w:val="21"/>
            </w:rPr>
            <w:t>子公司少数股东的持股比例不同于表决权比例的说明：</w:t>
          </w:r>
        </w:p>
        <w:sdt>
          <w:sdtPr>
            <w:rPr>
              <w:rFonts w:cs="Arial"/>
              <w:szCs w:val="21"/>
            </w:rPr>
            <w:alias w:val="是否适用：子公司少数股东的持股比例不同于表决权比例的说明[双击切换]"/>
            <w:tag w:val="_GBC_eb13eae90d024e1384cf2a06768aea73"/>
            <w:id w:val="1034001064"/>
            <w:lock w:val="sdtLocked"/>
            <w:placeholder>
              <w:docPart w:val="GBC22222222222222222222222222222"/>
            </w:placeholder>
          </w:sdtPr>
          <w:sdtContent>
            <w:p w:rsidR="00806678" w:rsidRDefault="00F80B6C" w:rsidP="00C35436">
              <w:pPr>
                <w:rPr>
                  <w:rFonts w:cs="Arial"/>
                  <w:szCs w:val="21"/>
                </w:rPr>
              </w:pPr>
              <w:r>
                <w:rPr>
                  <w:rFonts w:cs="Arial"/>
                  <w:szCs w:val="21"/>
                </w:rPr>
                <w:fldChar w:fldCharType="begin"/>
              </w:r>
              <w:r w:rsidR="00C35436">
                <w:rPr>
                  <w:rFonts w:cs="Arial"/>
                  <w:szCs w:val="21"/>
                </w:rPr>
                <w:instrText xml:space="preserve">MACROBUTTON  SnrToggleCheckbox □适用 </w:instrText>
              </w:r>
              <w:r>
                <w:rPr>
                  <w:rFonts w:cs="Arial"/>
                  <w:szCs w:val="21"/>
                </w:rPr>
                <w:fldChar w:fldCharType="end"/>
              </w:r>
              <w:r>
                <w:rPr>
                  <w:rFonts w:cs="Arial"/>
                  <w:szCs w:val="21"/>
                </w:rPr>
                <w:fldChar w:fldCharType="begin"/>
              </w:r>
              <w:r w:rsidR="00C35436">
                <w:rPr>
                  <w:rFonts w:cs="Arial"/>
                  <w:szCs w:val="21"/>
                </w:rPr>
                <w:instrText xml:space="preserve"> MACROBUTTON  SnrToggleCheckbox √不适用 </w:instrText>
              </w:r>
              <w:r>
                <w:rPr>
                  <w:rFonts w:cs="Arial"/>
                  <w:szCs w:val="21"/>
                </w:rPr>
                <w:fldChar w:fldCharType="end"/>
              </w:r>
            </w:p>
          </w:sdtContent>
        </w:sdt>
        <w:p w:rsidR="00806678" w:rsidRDefault="00806678">
          <w:pPr>
            <w:rPr>
              <w:rFonts w:cs="Arial"/>
              <w:szCs w:val="21"/>
            </w:rPr>
          </w:pPr>
        </w:p>
        <w:p w:rsidR="00806678" w:rsidRDefault="00B16377">
          <w:pPr>
            <w:rPr>
              <w:rFonts w:cs="Arial"/>
              <w:szCs w:val="21"/>
            </w:rPr>
          </w:pPr>
          <w:r>
            <w:rPr>
              <w:rFonts w:cs="Arial" w:hint="eastAsia"/>
              <w:szCs w:val="21"/>
            </w:rPr>
            <w:t>其他说明：</w:t>
          </w:r>
        </w:p>
        <w:sdt>
          <w:sdtPr>
            <w:rPr>
              <w:rFonts w:cs="Arial"/>
              <w:szCs w:val="21"/>
            </w:rPr>
            <w:alias w:val="是否适用：重要的非全资子公司其他说明[双击切换]"/>
            <w:tag w:val="_GBC_eb65403cb5164cc9a0cf4afea08b150d"/>
            <w:id w:val="-1321261409"/>
            <w:lock w:val="sdtLocked"/>
            <w:placeholder>
              <w:docPart w:val="GBC22222222222222222222222222222"/>
            </w:placeholder>
          </w:sdtPr>
          <w:sdtContent>
            <w:p w:rsidR="00806678" w:rsidRDefault="00F80B6C" w:rsidP="00C35436">
              <w:pPr>
                <w:rPr>
                  <w:rFonts w:cs="Arial"/>
                  <w:szCs w:val="21"/>
                </w:rPr>
              </w:pPr>
              <w:r>
                <w:rPr>
                  <w:rFonts w:cs="Arial"/>
                  <w:szCs w:val="21"/>
                </w:rPr>
                <w:fldChar w:fldCharType="begin"/>
              </w:r>
              <w:r w:rsidR="00C35436">
                <w:rPr>
                  <w:rFonts w:cs="Arial"/>
                  <w:szCs w:val="21"/>
                </w:rPr>
                <w:instrText xml:space="preserve">MACROBUTTON  SnrToggleCheckbox □适用 </w:instrText>
              </w:r>
              <w:r>
                <w:rPr>
                  <w:rFonts w:cs="Arial"/>
                  <w:szCs w:val="21"/>
                </w:rPr>
                <w:fldChar w:fldCharType="end"/>
              </w:r>
              <w:r>
                <w:rPr>
                  <w:rFonts w:cs="Arial"/>
                  <w:szCs w:val="21"/>
                </w:rPr>
                <w:fldChar w:fldCharType="begin"/>
              </w:r>
              <w:r w:rsidR="00C35436">
                <w:rPr>
                  <w:rFonts w:cs="Arial"/>
                  <w:szCs w:val="21"/>
                </w:rPr>
                <w:instrText xml:space="preserve"> MACROBUTTON  SnrToggleCheckbox √不适用 </w:instrText>
              </w:r>
              <w:r>
                <w:rPr>
                  <w:rFonts w:cs="Arial"/>
                  <w:szCs w:val="21"/>
                </w:rPr>
                <w:fldChar w:fldCharType="end"/>
              </w:r>
            </w:p>
          </w:sdtContent>
        </w:sdt>
      </w:sdtContent>
    </w:sdt>
    <w:p w:rsidR="00C35436" w:rsidRDefault="00C35436">
      <w:pPr>
        <w:rPr>
          <w:rFonts w:cs="Arial"/>
          <w:szCs w:val="21"/>
        </w:rPr>
        <w:sectPr w:rsidR="00C35436" w:rsidSect="007C6651">
          <w:pgSz w:w="11906" w:h="16838"/>
          <w:pgMar w:top="1525" w:right="1276" w:bottom="1440" w:left="1797" w:header="856" w:footer="992" w:gutter="0"/>
          <w:cols w:space="425"/>
          <w:docGrid w:linePitch="312"/>
        </w:sectPr>
      </w:pPr>
    </w:p>
    <w:p w:rsidR="00806678" w:rsidRDefault="00806678">
      <w:pPr>
        <w:rPr>
          <w:rFonts w:cs="Arial"/>
          <w:szCs w:val="21"/>
        </w:rPr>
      </w:pPr>
    </w:p>
    <w:sdt>
      <w:sdtPr>
        <w:rPr>
          <w:rFonts w:ascii="宋体" w:eastAsia="宋体" w:hAnsi="宋体" w:cs="宋体" w:hint="eastAsia"/>
          <w:b w:val="0"/>
          <w:bCs w:val="0"/>
          <w:kern w:val="0"/>
          <w:szCs w:val="24"/>
        </w:rPr>
        <w:alias w:val="模块:重要非全资子公司的主要财务信息"/>
        <w:tag w:val="_GBC_501222dd8f884fabbdeaec6fe7e79709"/>
        <w:id w:val="-427191102"/>
        <w:lock w:val="sdtLocked"/>
        <w:placeholder>
          <w:docPart w:val="GBC22222222222222222222222222222"/>
        </w:placeholder>
      </w:sdtPr>
      <w:sdtEndPr>
        <w:rPr>
          <w:rFonts w:cs="Arial" w:hint="default"/>
          <w:szCs w:val="21"/>
        </w:rPr>
      </w:sdtEndPr>
      <w:sdtContent>
        <w:p w:rsidR="00806678" w:rsidRDefault="00B16377" w:rsidP="00FF17C7">
          <w:pPr>
            <w:pStyle w:val="4"/>
            <w:numPr>
              <w:ilvl w:val="3"/>
              <w:numId w:val="51"/>
            </w:numPr>
            <w:ind w:left="424" w:hangingChars="202" w:hanging="424"/>
          </w:pPr>
          <w:r>
            <w:rPr>
              <w:rFonts w:hint="eastAsia"/>
            </w:rPr>
            <w:t>重要非全资子公司的主要财务信息</w:t>
          </w:r>
        </w:p>
        <w:sdt>
          <w:sdtPr>
            <w:alias w:val="是否适用：重要非全资子公司的主要财务信息[双击切换]"/>
            <w:tag w:val="_GBC_04ab753eff3c46fda94161ee757bd1fa"/>
            <w:id w:val="1183011170"/>
            <w:lock w:val="sdtLocked"/>
            <w:placeholder>
              <w:docPart w:val="GBC22222222222222222222222222222"/>
            </w:placeholder>
          </w:sdtPr>
          <w:sdtContent>
            <w:p w:rsidR="00806678" w:rsidRDefault="00F80B6C">
              <w:r>
                <w:fldChar w:fldCharType="begin"/>
              </w:r>
              <w:r w:rsidR="00601651">
                <w:instrText xml:space="preserve">MACROBUTTON  SnrToggleCheckbox √适用 </w:instrText>
              </w:r>
              <w:r>
                <w:fldChar w:fldCharType="end"/>
              </w:r>
              <w:r>
                <w:fldChar w:fldCharType="begin"/>
              </w:r>
              <w:r w:rsidR="00601651">
                <w:instrText xml:space="preserve"> MACROBUTTON  SnrToggleCheckbox □不适用 </w:instrText>
              </w:r>
              <w:r>
                <w:fldChar w:fldCharType="end"/>
              </w:r>
            </w:p>
          </w:sdtContent>
        </w:sdt>
        <w:p w:rsidR="00806678" w:rsidRDefault="00B16377">
          <w:pPr>
            <w:jc w:val="right"/>
          </w:pPr>
          <w:r>
            <w:rPr>
              <w:rFonts w:hint="eastAsia"/>
            </w:rPr>
            <w:t>单位:</w:t>
          </w:r>
          <w:sdt>
            <w:sdtPr>
              <w:rPr>
                <w:rFonts w:hint="eastAsia"/>
              </w:rPr>
              <w:alias w:val="单位：财务附注：重要非全资子公司的主要财务信息"/>
              <w:tag w:val="_GBC_ba918360b15748859fb63cacad1f617d"/>
              <w:id w:val="64239647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重要非全资子公司的主要财务信息"/>
              <w:tag w:val="_GBC_af5cc4f1e7a74e3d8f9c9fea25fdf05f"/>
              <w:id w:val="-127247034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4"/>
            <w:gridCol w:w="1084"/>
            <w:gridCol w:w="1085"/>
            <w:gridCol w:w="1085"/>
            <w:gridCol w:w="1085"/>
            <w:gridCol w:w="1085"/>
            <w:gridCol w:w="1085"/>
            <w:gridCol w:w="1085"/>
            <w:gridCol w:w="1085"/>
            <w:gridCol w:w="1085"/>
            <w:gridCol w:w="1085"/>
            <w:gridCol w:w="1085"/>
            <w:gridCol w:w="1071"/>
          </w:tblGrid>
          <w:tr w:rsidR="00C35436" w:rsidRPr="00C35436" w:rsidTr="00460F7A">
            <w:trPr>
              <w:trHeight w:val="241"/>
            </w:trPr>
            <w:sdt>
              <w:sdtPr>
                <w:rPr>
                  <w:sz w:val="12"/>
                  <w:szCs w:val="12"/>
                </w:rPr>
                <w:tag w:val="_PLD_d5dae06c1d0c4fdea02e2f6e645a1e09"/>
                <w:id w:val="1797952326"/>
                <w:lock w:val="sdtLocked"/>
              </w:sdtPr>
              <w:sdtContent>
                <w:tc>
                  <w:tcPr>
                    <w:tcW w:w="385" w:type="pct"/>
                    <w:vMerge w:val="restart"/>
                    <w:shd w:val="clear" w:color="auto" w:fill="auto"/>
                    <w:vAlign w:val="center"/>
                  </w:tcPr>
                  <w:p w:rsidR="00C35436" w:rsidRPr="00C35436" w:rsidRDefault="00C35436" w:rsidP="00DB008B">
                    <w:pPr>
                      <w:ind w:right="-16"/>
                      <w:jc w:val="center"/>
                      <w:rPr>
                        <w:rFonts w:cs="Arial"/>
                        <w:bCs/>
                        <w:sz w:val="12"/>
                        <w:szCs w:val="12"/>
                      </w:rPr>
                    </w:pPr>
                    <w:r w:rsidRPr="00C35436">
                      <w:rPr>
                        <w:rFonts w:cs="Arial" w:hint="eastAsia"/>
                        <w:bCs/>
                        <w:sz w:val="12"/>
                        <w:szCs w:val="12"/>
                        <w:lang w:val="en-GB"/>
                      </w:rPr>
                      <w:t>子公司名称</w:t>
                    </w:r>
                  </w:p>
                </w:tc>
              </w:sdtContent>
            </w:sdt>
            <w:sdt>
              <w:sdtPr>
                <w:rPr>
                  <w:sz w:val="12"/>
                  <w:szCs w:val="12"/>
                </w:rPr>
                <w:tag w:val="_PLD_6cc7af9079654f428ee1cf0edd2c70b1"/>
                <w:id w:val="1185936720"/>
                <w:lock w:val="sdtLocked"/>
              </w:sdtPr>
              <w:sdtContent>
                <w:tc>
                  <w:tcPr>
                    <w:tcW w:w="2310" w:type="pct"/>
                    <w:gridSpan w:val="6"/>
                    <w:shd w:val="clear" w:color="auto" w:fill="auto"/>
                    <w:vAlign w:val="center"/>
                  </w:tcPr>
                  <w:p w:rsidR="00C35436" w:rsidRPr="00C35436" w:rsidRDefault="00C35436" w:rsidP="00DB008B">
                    <w:pPr>
                      <w:ind w:right="-16"/>
                      <w:jc w:val="center"/>
                      <w:rPr>
                        <w:rFonts w:cs="Arial"/>
                        <w:bCs/>
                        <w:sz w:val="12"/>
                        <w:szCs w:val="12"/>
                      </w:rPr>
                    </w:pPr>
                    <w:r w:rsidRPr="00C35436">
                      <w:rPr>
                        <w:rFonts w:cs="Arial" w:hint="eastAsia"/>
                        <w:bCs/>
                        <w:sz w:val="12"/>
                        <w:szCs w:val="12"/>
                        <w:lang w:val="en-GB"/>
                      </w:rPr>
                      <w:t>期末余额</w:t>
                    </w:r>
                  </w:p>
                </w:tc>
              </w:sdtContent>
            </w:sdt>
            <w:sdt>
              <w:sdtPr>
                <w:rPr>
                  <w:sz w:val="12"/>
                  <w:szCs w:val="12"/>
                </w:rPr>
                <w:tag w:val="_PLD_64749f66f68948bd92fb0a885f835f78"/>
                <w:id w:val="1832250601"/>
                <w:lock w:val="sdtLocked"/>
              </w:sdtPr>
              <w:sdtContent>
                <w:tc>
                  <w:tcPr>
                    <w:tcW w:w="2305" w:type="pct"/>
                    <w:gridSpan w:val="6"/>
                    <w:shd w:val="clear" w:color="auto" w:fill="auto"/>
                    <w:vAlign w:val="center"/>
                  </w:tcPr>
                  <w:p w:rsidR="00C35436" w:rsidRPr="00C35436" w:rsidRDefault="00C35436" w:rsidP="00DB008B">
                    <w:pPr>
                      <w:ind w:right="-16"/>
                      <w:jc w:val="center"/>
                      <w:rPr>
                        <w:rFonts w:cs="Arial"/>
                        <w:bCs/>
                        <w:sz w:val="12"/>
                        <w:szCs w:val="12"/>
                      </w:rPr>
                    </w:pPr>
                    <w:r w:rsidRPr="00C35436">
                      <w:rPr>
                        <w:rFonts w:cs="Arial" w:hint="eastAsia"/>
                        <w:bCs/>
                        <w:sz w:val="12"/>
                        <w:szCs w:val="12"/>
                        <w:lang w:val="en-GB"/>
                      </w:rPr>
                      <w:t>期初余额</w:t>
                    </w:r>
                  </w:p>
                </w:tc>
              </w:sdtContent>
            </w:sdt>
          </w:tr>
          <w:tr w:rsidR="00C35436" w:rsidRPr="00C35436" w:rsidTr="00460F7A">
            <w:trPr>
              <w:trHeight w:val="241"/>
            </w:trPr>
            <w:tc>
              <w:tcPr>
                <w:tcW w:w="385" w:type="pct"/>
                <w:vMerge/>
                <w:shd w:val="clear" w:color="auto" w:fill="auto"/>
                <w:vAlign w:val="center"/>
              </w:tcPr>
              <w:p w:rsidR="00C35436" w:rsidRPr="00C35436" w:rsidRDefault="00C35436" w:rsidP="00DB008B">
                <w:pPr>
                  <w:rPr>
                    <w:rFonts w:cs="Arial"/>
                    <w:bCs/>
                    <w:sz w:val="12"/>
                    <w:szCs w:val="12"/>
                  </w:rPr>
                </w:pPr>
              </w:p>
            </w:tc>
            <w:sdt>
              <w:sdtPr>
                <w:rPr>
                  <w:sz w:val="12"/>
                  <w:szCs w:val="12"/>
                </w:rPr>
                <w:tag w:val="_PLD_bfcbeed8b46d4b8da13c03613130a3c9"/>
                <w:id w:val="220412695"/>
                <w:lock w:val="sdtLocked"/>
              </w:sdtPr>
              <w:sdtContent>
                <w:tc>
                  <w:tcPr>
                    <w:tcW w:w="385" w:type="pct"/>
                    <w:shd w:val="clear" w:color="auto" w:fill="auto"/>
                    <w:vAlign w:val="center"/>
                  </w:tcPr>
                  <w:p w:rsidR="00C35436" w:rsidRPr="00C35436" w:rsidRDefault="00C35436" w:rsidP="00DB008B">
                    <w:pPr>
                      <w:jc w:val="center"/>
                      <w:rPr>
                        <w:rFonts w:cs="Arial"/>
                        <w:sz w:val="12"/>
                        <w:szCs w:val="12"/>
                      </w:rPr>
                    </w:pPr>
                    <w:r w:rsidRPr="00C35436">
                      <w:rPr>
                        <w:rFonts w:cs="Arial" w:hint="eastAsia"/>
                        <w:sz w:val="12"/>
                        <w:szCs w:val="12"/>
                        <w:lang w:val="en-GB"/>
                      </w:rPr>
                      <w:t>流动资产</w:t>
                    </w:r>
                  </w:p>
                </w:tc>
              </w:sdtContent>
            </w:sdt>
            <w:sdt>
              <w:sdtPr>
                <w:rPr>
                  <w:sz w:val="12"/>
                  <w:szCs w:val="12"/>
                </w:rPr>
                <w:tag w:val="_PLD_22bcaa48c51f400d9b2d6a387002778f"/>
                <w:id w:val="554282358"/>
                <w:lock w:val="sdtLocked"/>
              </w:sdtPr>
              <w:sdtContent>
                <w:tc>
                  <w:tcPr>
                    <w:tcW w:w="385" w:type="pct"/>
                    <w:shd w:val="clear" w:color="auto" w:fill="auto"/>
                    <w:vAlign w:val="center"/>
                  </w:tcPr>
                  <w:p w:rsidR="00C35436" w:rsidRPr="00C35436" w:rsidRDefault="00C35436" w:rsidP="00DB008B">
                    <w:pPr>
                      <w:ind w:left="-40" w:right="-97"/>
                      <w:jc w:val="center"/>
                      <w:rPr>
                        <w:rFonts w:cs="Arial"/>
                        <w:sz w:val="12"/>
                        <w:szCs w:val="12"/>
                      </w:rPr>
                    </w:pPr>
                    <w:r w:rsidRPr="00C35436">
                      <w:rPr>
                        <w:rFonts w:cs="Arial" w:hint="eastAsia"/>
                        <w:sz w:val="12"/>
                        <w:szCs w:val="12"/>
                        <w:lang w:val="en-GB"/>
                      </w:rPr>
                      <w:t>非流动资产</w:t>
                    </w:r>
                  </w:p>
                </w:tc>
              </w:sdtContent>
            </w:sdt>
            <w:sdt>
              <w:sdtPr>
                <w:rPr>
                  <w:sz w:val="12"/>
                  <w:szCs w:val="12"/>
                </w:rPr>
                <w:tag w:val="_PLD_a7790df686914e0f8cc8668009824e9e"/>
                <w:id w:val="-563105141"/>
                <w:lock w:val="sdtLocked"/>
              </w:sdtPr>
              <w:sdtContent>
                <w:tc>
                  <w:tcPr>
                    <w:tcW w:w="385" w:type="pct"/>
                    <w:shd w:val="clear" w:color="auto" w:fill="auto"/>
                    <w:vAlign w:val="center"/>
                  </w:tcPr>
                  <w:p w:rsidR="00C35436" w:rsidRPr="00C35436" w:rsidRDefault="00C35436" w:rsidP="00DB008B">
                    <w:pPr>
                      <w:jc w:val="center"/>
                      <w:rPr>
                        <w:rFonts w:cs="Arial"/>
                        <w:sz w:val="12"/>
                        <w:szCs w:val="12"/>
                      </w:rPr>
                    </w:pPr>
                    <w:r w:rsidRPr="00C35436">
                      <w:rPr>
                        <w:rFonts w:cs="Arial" w:hint="eastAsia"/>
                        <w:sz w:val="12"/>
                        <w:szCs w:val="12"/>
                        <w:lang w:val="en-GB"/>
                      </w:rPr>
                      <w:t>资产合计</w:t>
                    </w:r>
                  </w:p>
                </w:tc>
              </w:sdtContent>
            </w:sdt>
            <w:sdt>
              <w:sdtPr>
                <w:rPr>
                  <w:sz w:val="12"/>
                  <w:szCs w:val="12"/>
                </w:rPr>
                <w:tag w:val="_PLD_a6a87cbf1eb046db9bbca57bcceaf08a"/>
                <w:id w:val="-696306512"/>
                <w:lock w:val="sdtLocked"/>
              </w:sdtPr>
              <w:sdtContent>
                <w:tc>
                  <w:tcPr>
                    <w:tcW w:w="385" w:type="pct"/>
                    <w:shd w:val="clear" w:color="auto" w:fill="auto"/>
                    <w:vAlign w:val="center"/>
                  </w:tcPr>
                  <w:p w:rsidR="00C35436" w:rsidRPr="00C35436" w:rsidRDefault="00C35436" w:rsidP="00DB008B">
                    <w:pPr>
                      <w:jc w:val="center"/>
                      <w:rPr>
                        <w:rFonts w:cs="Arial"/>
                        <w:sz w:val="12"/>
                        <w:szCs w:val="12"/>
                      </w:rPr>
                    </w:pPr>
                    <w:r w:rsidRPr="00C35436">
                      <w:rPr>
                        <w:rFonts w:cs="Arial" w:hint="eastAsia"/>
                        <w:sz w:val="12"/>
                        <w:szCs w:val="12"/>
                        <w:lang w:val="en-GB"/>
                      </w:rPr>
                      <w:t>流动负债</w:t>
                    </w:r>
                  </w:p>
                </w:tc>
              </w:sdtContent>
            </w:sdt>
            <w:sdt>
              <w:sdtPr>
                <w:rPr>
                  <w:sz w:val="12"/>
                  <w:szCs w:val="12"/>
                </w:rPr>
                <w:tag w:val="_PLD_bed2f2ec1880450a93ab1b045e836c87"/>
                <w:id w:val="-1926567267"/>
                <w:lock w:val="sdtLocked"/>
              </w:sdtPr>
              <w:sdtContent>
                <w:tc>
                  <w:tcPr>
                    <w:tcW w:w="385" w:type="pct"/>
                    <w:shd w:val="clear" w:color="auto" w:fill="auto"/>
                    <w:vAlign w:val="center"/>
                  </w:tcPr>
                  <w:p w:rsidR="00C35436" w:rsidRPr="00C35436" w:rsidRDefault="00C35436" w:rsidP="00DB008B">
                    <w:pPr>
                      <w:ind w:left="-40" w:right="-97"/>
                      <w:jc w:val="center"/>
                      <w:rPr>
                        <w:rFonts w:cs="Arial"/>
                        <w:sz w:val="12"/>
                        <w:szCs w:val="12"/>
                      </w:rPr>
                    </w:pPr>
                    <w:r w:rsidRPr="00C35436">
                      <w:rPr>
                        <w:rFonts w:cs="Arial" w:hint="eastAsia"/>
                        <w:sz w:val="12"/>
                        <w:szCs w:val="12"/>
                        <w:lang w:val="en-GB"/>
                      </w:rPr>
                      <w:t>非流动负债</w:t>
                    </w:r>
                  </w:p>
                </w:tc>
              </w:sdtContent>
            </w:sdt>
            <w:sdt>
              <w:sdtPr>
                <w:rPr>
                  <w:sz w:val="12"/>
                  <w:szCs w:val="12"/>
                </w:rPr>
                <w:tag w:val="_PLD_3609f15b31554b67a5a1ff617bd5582d"/>
                <w:id w:val="-70428642"/>
                <w:lock w:val="sdtLocked"/>
              </w:sdtPr>
              <w:sdtContent>
                <w:tc>
                  <w:tcPr>
                    <w:tcW w:w="385" w:type="pct"/>
                    <w:shd w:val="clear" w:color="auto" w:fill="auto"/>
                    <w:vAlign w:val="center"/>
                  </w:tcPr>
                  <w:p w:rsidR="00C35436" w:rsidRPr="00C35436" w:rsidRDefault="00C35436" w:rsidP="00DB008B">
                    <w:pPr>
                      <w:jc w:val="center"/>
                      <w:rPr>
                        <w:rFonts w:cs="Arial"/>
                        <w:sz w:val="12"/>
                        <w:szCs w:val="12"/>
                      </w:rPr>
                    </w:pPr>
                    <w:r w:rsidRPr="00C35436">
                      <w:rPr>
                        <w:rFonts w:cs="Arial" w:hint="eastAsia"/>
                        <w:sz w:val="12"/>
                        <w:szCs w:val="12"/>
                        <w:lang w:val="en-GB"/>
                      </w:rPr>
                      <w:t>负债合计</w:t>
                    </w:r>
                  </w:p>
                </w:tc>
              </w:sdtContent>
            </w:sdt>
            <w:sdt>
              <w:sdtPr>
                <w:rPr>
                  <w:sz w:val="12"/>
                  <w:szCs w:val="12"/>
                </w:rPr>
                <w:tag w:val="_PLD_35c03e5c5e124d339d35180c4515f97a"/>
                <w:id w:val="-1144658205"/>
                <w:lock w:val="sdtLocked"/>
              </w:sdtPr>
              <w:sdtContent>
                <w:tc>
                  <w:tcPr>
                    <w:tcW w:w="385" w:type="pct"/>
                    <w:shd w:val="clear" w:color="auto" w:fill="auto"/>
                    <w:vAlign w:val="center"/>
                  </w:tcPr>
                  <w:p w:rsidR="00C35436" w:rsidRPr="00C35436" w:rsidRDefault="00C35436" w:rsidP="00DB008B">
                    <w:pPr>
                      <w:jc w:val="center"/>
                      <w:rPr>
                        <w:rFonts w:cs="Arial"/>
                        <w:sz w:val="12"/>
                        <w:szCs w:val="12"/>
                      </w:rPr>
                    </w:pPr>
                    <w:r w:rsidRPr="00C35436">
                      <w:rPr>
                        <w:rFonts w:cs="Arial" w:hint="eastAsia"/>
                        <w:sz w:val="12"/>
                        <w:szCs w:val="12"/>
                        <w:lang w:val="en-GB"/>
                      </w:rPr>
                      <w:t>流动资产</w:t>
                    </w:r>
                  </w:p>
                </w:tc>
              </w:sdtContent>
            </w:sdt>
            <w:sdt>
              <w:sdtPr>
                <w:rPr>
                  <w:sz w:val="12"/>
                  <w:szCs w:val="12"/>
                </w:rPr>
                <w:tag w:val="_PLD_c9852fe654ce474bb582d7b8dab46c0a"/>
                <w:id w:val="-268396968"/>
                <w:lock w:val="sdtLocked"/>
              </w:sdtPr>
              <w:sdtContent>
                <w:tc>
                  <w:tcPr>
                    <w:tcW w:w="385" w:type="pct"/>
                    <w:shd w:val="clear" w:color="auto" w:fill="auto"/>
                    <w:vAlign w:val="center"/>
                  </w:tcPr>
                  <w:p w:rsidR="00C35436" w:rsidRPr="00C35436" w:rsidRDefault="00C35436" w:rsidP="00DB008B">
                    <w:pPr>
                      <w:ind w:left="-40" w:right="-97"/>
                      <w:jc w:val="center"/>
                      <w:rPr>
                        <w:rFonts w:cs="Arial"/>
                        <w:sz w:val="12"/>
                        <w:szCs w:val="12"/>
                      </w:rPr>
                    </w:pPr>
                    <w:r w:rsidRPr="00C35436">
                      <w:rPr>
                        <w:rFonts w:cs="Arial" w:hint="eastAsia"/>
                        <w:sz w:val="12"/>
                        <w:szCs w:val="12"/>
                        <w:lang w:val="en-GB"/>
                      </w:rPr>
                      <w:t>非流动资产</w:t>
                    </w:r>
                  </w:p>
                </w:tc>
              </w:sdtContent>
            </w:sdt>
            <w:sdt>
              <w:sdtPr>
                <w:rPr>
                  <w:sz w:val="12"/>
                  <w:szCs w:val="12"/>
                </w:rPr>
                <w:tag w:val="_PLD_e7455f798f7740fdafaf89940e8195c3"/>
                <w:id w:val="260651428"/>
                <w:lock w:val="sdtLocked"/>
              </w:sdtPr>
              <w:sdtContent>
                <w:tc>
                  <w:tcPr>
                    <w:tcW w:w="385" w:type="pct"/>
                    <w:shd w:val="clear" w:color="auto" w:fill="auto"/>
                    <w:vAlign w:val="center"/>
                  </w:tcPr>
                  <w:p w:rsidR="00C35436" w:rsidRPr="00C35436" w:rsidRDefault="00C35436" w:rsidP="00DB008B">
                    <w:pPr>
                      <w:jc w:val="center"/>
                      <w:rPr>
                        <w:rFonts w:cs="Arial"/>
                        <w:sz w:val="12"/>
                        <w:szCs w:val="12"/>
                      </w:rPr>
                    </w:pPr>
                    <w:r w:rsidRPr="00C35436">
                      <w:rPr>
                        <w:rFonts w:cs="Arial" w:hint="eastAsia"/>
                        <w:sz w:val="12"/>
                        <w:szCs w:val="12"/>
                        <w:lang w:val="en-GB"/>
                      </w:rPr>
                      <w:t>资产合计</w:t>
                    </w:r>
                  </w:p>
                </w:tc>
              </w:sdtContent>
            </w:sdt>
            <w:sdt>
              <w:sdtPr>
                <w:rPr>
                  <w:sz w:val="12"/>
                  <w:szCs w:val="12"/>
                </w:rPr>
                <w:tag w:val="_PLD_b590bdfc5abd4f30a4b1c3cf13a2772b"/>
                <w:id w:val="-1731220849"/>
                <w:lock w:val="sdtLocked"/>
              </w:sdtPr>
              <w:sdtContent>
                <w:tc>
                  <w:tcPr>
                    <w:tcW w:w="385" w:type="pct"/>
                    <w:shd w:val="clear" w:color="auto" w:fill="auto"/>
                    <w:vAlign w:val="center"/>
                  </w:tcPr>
                  <w:p w:rsidR="00C35436" w:rsidRPr="00C35436" w:rsidRDefault="00C35436" w:rsidP="00DB008B">
                    <w:pPr>
                      <w:jc w:val="center"/>
                      <w:rPr>
                        <w:rFonts w:cs="Arial"/>
                        <w:sz w:val="12"/>
                        <w:szCs w:val="12"/>
                      </w:rPr>
                    </w:pPr>
                    <w:r w:rsidRPr="00C35436">
                      <w:rPr>
                        <w:rFonts w:cs="Arial" w:hint="eastAsia"/>
                        <w:sz w:val="12"/>
                        <w:szCs w:val="12"/>
                        <w:lang w:val="en-GB"/>
                      </w:rPr>
                      <w:t>流动负债</w:t>
                    </w:r>
                  </w:p>
                </w:tc>
              </w:sdtContent>
            </w:sdt>
            <w:sdt>
              <w:sdtPr>
                <w:rPr>
                  <w:sz w:val="12"/>
                  <w:szCs w:val="12"/>
                </w:rPr>
                <w:tag w:val="_PLD_acc4c516f1954954b9ffdd4ee0900cfe"/>
                <w:id w:val="-1902666795"/>
                <w:lock w:val="sdtLocked"/>
              </w:sdtPr>
              <w:sdtContent>
                <w:tc>
                  <w:tcPr>
                    <w:tcW w:w="385" w:type="pct"/>
                    <w:shd w:val="clear" w:color="auto" w:fill="auto"/>
                    <w:vAlign w:val="center"/>
                  </w:tcPr>
                  <w:p w:rsidR="00C35436" w:rsidRPr="00C35436" w:rsidRDefault="00C35436" w:rsidP="00DB008B">
                    <w:pPr>
                      <w:ind w:left="-40" w:right="-97"/>
                      <w:jc w:val="center"/>
                      <w:rPr>
                        <w:rFonts w:cs="Arial"/>
                        <w:sz w:val="12"/>
                        <w:szCs w:val="12"/>
                      </w:rPr>
                    </w:pPr>
                    <w:r w:rsidRPr="00C35436">
                      <w:rPr>
                        <w:rFonts w:cs="Arial" w:hint="eastAsia"/>
                        <w:sz w:val="12"/>
                        <w:szCs w:val="12"/>
                        <w:lang w:val="en-GB"/>
                      </w:rPr>
                      <w:t>非流动负债</w:t>
                    </w:r>
                  </w:p>
                </w:tc>
              </w:sdtContent>
            </w:sdt>
            <w:sdt>
              <w:sdtPr>
                <w:rPr>
                  <w:sz w:val="12"/>
                  <w:szCs w:val="12"/>
                </w:rPr>
                <w:tag w:val="_PLD_397eebedf0c14a0e8060aa378e6e579d"/>
                <w:id w:val="-1933345984"/>
                <w:lock w:val="sdtLocked"/>
              </w:sdtPr>
              <w:sdtContent>
                <w:tc>
                  <w:tcPr>
                    <w:tcW w:w="380" w:type="pct"/>
                    <w:shd w:val="clear" w:color="auto" w:fill="auto"/>
                    <w:vAlign w:val="center"/>
                  </w:tcPr>
                  <w:p w:rsidR="00C35436" w:rsidRPr="00C35436" w:rsidRDefault="00C35436" w:rsidP="00DB008B">
                    <w:pPr>
                      <w:jc w:val="center"/>
                      <w:rPr>
                        <w:rFonts w:cs="Arial"/>
                        <w:sz w:val="12"/>
                        <w:szCs w:val="12"/>
                      </w:rPr>
                    </w:pPr>
                    <w:r w:rsidRPr="00C35436">
                      <w:rPr>
                        <w:rFonts w:cs="Arial" w:hint="eastAsia"/>
                        <w:sz w:val="12"/>
                        <w:szCs w:val="12"/>
                        <w:lang w:val="en-GB"/>
                      </w:rPr>
                      <w:t>负债合计</w:t>
                    </w:r>
                  </w:p>
                </w:tc>
              </w:sdtContent>
            </w:sdt>
          </w:tr>
          <w:sdt>
            <w:sdtPr>
              <w:rPr>
                <w:sz w:val="12"/>
                <w:szCs w:val="12"/>
              </w:rPr>
              <w:alias w:val="重要非全资子公司的主要财务信息明细"/>
              <w:tag w:val="_GBC_feef0d2d67a84217a9099e634bb2d3df"/>
              <w:id w:val="-1342390961"/>
              <w:lock w:val="sdtLocked"/>
            </w:sdtPr>
            <w:sdtContent>
              <w:tr w:rsidR="00C35436" w:rsidRPr="00C35436" w:rsidTr="00460F7A">
                <w:tc>
                  <w:tcPr>
                    <w:tcW w:w="385" w:type="pct"/>
                  </w:tcPr>
                  <w:p w:rsidR="00C35436" w:rsidRPr="00C35436" w:rsidRDefault="00C35436" w:rsidP="00DB008B">
                    <w:pPr>
                      <w:rPr>
                        <w:sz w:val="12"/>
                        <w:szCs w:val="12"/>
                      </w:rPr>
                    </w:pPr>
                    <w:r w:rsidRPr="00C35436">
                      <w:rPr>
                        <w:rFonts w:hint="eastAsia"/>
                        <w:sz w:val="12"/>
                        <w:szCs w:val="12"/>
                      </w:rPr>
                      <w:t>侯禹铁路公司</w:t>
                    </w:r>
                  </w:p>
                </w:tc>
                <w:tc>
                  <w:tcPr>
                    <w:tcW w:w="385" w:type="pct"/>
                  </w:tcPr>
                  <w:p w:rsidR="00C35436" w:rsidRPr="00C35436" w:rsidRDefault="00C35436" w:rsidP="00DB008B">
                    <w:pPr>
                      <w:jc w:val="right"/>
                      <w:rPr>
                        <w:sz w:val="12"/>
                        <w:szCs w:val="12"/>
                      </w:rPr>
                    </w:pPr>
                    <w:r w:rsidRPr="00C35436">
                      <w:rPr>
                        <w:sz w:val="12"/>
                        <w:szCs w:val="12"/>
                      </w:rPr>
                      <w:t>711,620,835</w:t>
                    </w:r>
                  </w:p>
                </w:tc>
                <w:tc>
                  <w:tcPr>
                    <w:tcW w:w="385" w:type="pct"/>
                  </w:tcPr>
                  <w:p w:rsidR="00C35436" w:rsidRPr="00C35436" w:rsidRDefault="00C35436" w:rsidP="00DB008B">
                    <w:pPr>
                      <w:jc w:val="right"/>
                      <w:rPr>
                        <w:sz w:val="12"/>
                        <w:szCs w:val="12"/>
                      </w:rPr>
                    </w:pPr>
                    <w:r w:rsidRPr="00C35436">
                      <w:rPr>
                        <w:sz w:val="12"/>
                        <w:szCs w:val="12"/>
                      </w:rPr>
                      <w:t>2,362,528,008</w:t>
                    </w:r>
                  </w:p>
                </w:tc>
                <w:tc>
                  <w:tcPr>
                    <w:tcW w:w="385" w:type="pct"/>
                  </w:tcPr>
                  <w:p w:rsidR="00C35436" w:rsidRPr="00C35436" w:rsidRDefault="00C35436" w:rsidP="00DB008B">
                    <w:pPr>
                      <w:jc w:val="right"/>
                      <w:rPr>
                        <w:sz w:val="12"/>
                        <w:szCs w:val="12"/>
                      </w:rPr>
                    </w:pPr>
                    <w:r w:rsidRPr="00C35436">
                      <w:rPr>
                        <w:sz w:val="12"/>
                        <w:szCs w:val="12"/>
                      </w:rPr>
                      <w:t>3,074,148,843</w:t>
                    </w:r>
                  </w:p>
                </w:tc>
                <w:tc>
                  <w:tcPr>
                    <w:tcW w:w="385" w:type="pct"/>
                  </w:tcPr>
                  <w:p w:rsidR="00C35436" w:rsidRPr="00C35436" w:rsidRDefault="00C35436" w:rsidP="00DB008B">
                    <w:pPr>
                      <w:jc w:val="right"/>
                      <w:rPr>
                        <w:sz w:val="12"/>
                        <w:szCs w:val="12"/>
                      </w:rPr>
                    </w:pPr>
                    <w:r w:rsidRPr="00C35436">
                      <w:rPr>
                        <w:sz w:val="12"/>
                        <w:szCs w:val="12"/>
                      </w:rPr>
                      <w:t>156,208,412</w:t>
                    </w:r>
                  </w:p>
                </w:tc>
                <w:tc>
                  <w:tcPr>
                    <w:tcW w:w="385" w:type="pct"/>
                  </w:tcPr>
                  <w:p w:rsidR="00C35436" w:rsidRPr="00C35436" w:rsidRDefault="00C35436" w:rsidP="00DB008B">
                    <w:pPr>
                      <w:jc w:val="right"/>
                      <w:rPr>
                        <w:sz w:val="12"/>
                        <w:szCs w:val="12"/>
                      </w:rPr>
                    </w:pPr>
                    <w:r w:rsidRPr="00C35436">
                      <w:rPr>
                        <w:sz w:val="12"/>
                        <w:szCs w:val="12"/>
                      </w:rPr>
                      <w:t>374,314,473</w:t>
                    </w:r>
                  </w:p>
                </w:tc>
                <w:tc>
                  <w:tcPr>
                    <w:tcW w:w="385" w:type="pct"/>
                  </w:tcPr>
                  <w:p w:rsidR="00C35436" w:rsidRPr="00C35436" w:rsidRDefault="00C35436" w:rsidP="00DB008B">
                    <w:pPr>
                      <w:jc w:val="right"/>
                      <w:rPr>
                        <w:sz w:val="12"/>
                        <w:szCs w:val="12"/>
                      </w:rPr>
                    </w:pPr>
                    <w:r w:rsidRPr="00C35436">
                      <w:rPr>
                        <w:sz w:val="12"/>
                        <w:szCs w:val="12"/>
                      </w:rPr>
                      <w:t>530,522,885</w:t>
                    </w:r>
                  </w:p>
                </w:tc>
                <w:tc>
                  <w:tcPr>
                    <w:tcW w:w="385" w:type="pct"/>
                  </w:tcPr>
                  <w:p w:rsidR="00C35436" w:rsidRPr="00C35436" w:rsidRDefault="00C35436" w:rsidP="00DB008B">
                    <w:pPr>
                      <w:jc w:val="right"/>
                      <w:rPr>
                        <w:sz w:val="12"/>
                        <w:szCs w:val="12"/>
                      </w:rPr>
                    </w:pPr>
                    <w:r w:rsidRPr="00C35436">
                      <w:rPr>
                        <w:sz w:val="12"/>
                        <w:szCs w:val="12"/>
                      </w:rPr>
                      <w:t>382,688,472</w:t>
                    </w:r>
                  </w:p>
                </w:tc>
                <w:tc>
                  <w:tcPr>
                    <w:tcW w:w="385" w:type="pct"/>
                  </w:tcPr>
                  <w:p w:rsidR="00C35436" w:rsidRPr="00C35436" w:rsidRDefault="00C35436" w:rsidP="00DB008B">
                    <w:pPr>
                      <w:jc w:val="right"/>
                      <w:rPr>
                        <w:sz w:val="12"/>
                        <w:szCs w:val="12"/>
                      </w:rPr>
                    </w:pPr>
                    <w:r w:rsidRPr="00C35436">
                      <w:rPr>
                        <w:sz w:val="12"/>
                        <w:szCs w:val="12"/>
                      </w:rPr>
                      <w:t>2,474,738,918</w:t>
                    </w:r>
                  </w:p>
                </w:tc>
                <w:tc>
                  <w:tcPr>
                    <w:tcW w:w="385" w:type="pct"/>
                  </w:tcPr>
                  <w:p w:rsidR="00C35436" w:rsidRPr="00C35436" w:rsidRDefault="00C35436" w:rsidP="00DB008B">
                    <w:pPr>
                      <w:jc w:val="right"/>
                      <w:rPr>
                        <w:sz w:val="12"/>
                        <w:szCs w:val="12"/>
                      </w:rPr>
                    </w:pPr>
                    <w:r w:rsidRPr="00C35436">
                      <w:rPr>
                        <w:sz w:val="12"/>
                        <w:szCs w:val="12"/>
                      </w:rPr>
                      <w:t>2,857,427,390</w:t>
                    </w:r>
                  </w:p>
                </w:tc>
                <w:tc>
                  <w:tcPr>
                    <w:tcW w:w="385" w:type="pct"/>
                  </w:tcPr>
                  <w:p w:rsidR="00C35436" w:rsidRPr="00C35436" w:rsidRDefault="00C35436" w:rsidP="00DB008B">
                    <w:pPr>
                      <w:jc w:val="right"/>
                      <w:rPr>
                        <w:sz w:val="12"/>
                        <w:szCs w:val="12"/>
                      </w:rPr>
                    </w:pPr>
                    <w:r w:rsidRPr="00C35436">
                      <w:rPr>
                        <w:sz w:val="12"/>
                        <w:szCs w:val="12"/>
                      </w:rPr>
                      <w:t>64,331,693</w:t>
                    </w:r>
                  </w:p>
                </w:tc>
                <w:tc>
                  <w:tcPr>
                    <w:tcW w:w="385" w:type="pct"/>
                  </w:tcPr>
                  <w:p w:rsidR="00C35436" w:rsidRPr="00C35436" w:rsidRDefault="00C35436" w:rsidP="00DB008B">
                    <w:pPr>
                      <w:jc w:val="right"/>
                      <w:rPr>
                        <w:sz w:val="12"/>
                        <w:szCs w:val="12"/>
                      </w:rPr>
                    </w:pPr>
                    <w:r w:rsidRPr="00C35436">
                      <w:rPr>
                        <w:sz w:val="12"/>
                        <w:szCs w:val="12"/>
                      </w:rPr>
                      <w:t>484,604,918</w:t>
                    </w:r>
                  </w:p>
                </w:tc>
                <w:tc>
                  <w:tcPr>
                    <w:tcW w:w="380" w:type="pct"/>
                  </w:tcPr>
                  <w:p w:rsidR="00C35436" w:rsidRPr="00C35436" w:rsidRDefault="00C35436" w:rsidP="00DB008B">
                    <w:pPr>
                      <w:jc w:val="right"/>
                      <w:rPr>
                        <w:sz w:val="12"/>
                        <w:szCs w:val="12"/>
                      </w:rPr>
                    </w:pPr>
                    <w:r w:rsidRPr="00C35436">
                      <w:rPr>
                        <w:sz w:val="12"/>
                        <w:szCs w:val="12"/>
                      </w:rPr>
                      <w:t>548,936,611</w:t>
                    </w:r>
                  </w:p>
                </w:tc>
              </w:tr>
            </w:sdtContent>
          </w:sdt>
          <w:sdt>
            <w:sdtPr>
              <w:rPr>
                <w:sz w:val="12"/>
                <w:szCs w:val="12"/>
              </w:rPr>
              <w:alias w:val="重要非全资子公司的主要财务信息明细"/>
              <w:tag w:val="_GBC_feef0d2d67a84217a9099e634bb2d3df"/>
              <w:id w:val="-710497791"/>
              <w:lock w:val="sdtLocked"/>
            </w:sdtPr>
            <w:sdtContent>
              <w:tr w:rsidR="00C35436" w:rsidRPr="00C35436" w:rsidTr="00460F7A">
                <w:tc>
                  <w:tcPr>
                    <w:tcW w:w="385" w:type="pct"/>
                  </w:tcPr>
                  <w:p w:rsidR="00C35436" w:rsidRPr="00C35436" w:rsidRDefault="00C35436" w:rsidP="00DB008B">
                    <w:pPr>
                      <w:rPr>
                        <w:sz w:val="12"/>
                        <w:szCs w:val="12"/>
                      </w:rPr>
                    </w:pPr>
                    <w:r w:rsidRPr="00C35436">
                      <w:rPr>
                        <w:sz w:val="12"/>
                        <w:szCs w:val="12"/>
                      </w:rPr>
                      <w:t>太兴铁路公司</w:t>
                    </w:r>
                  </w:p>
                </w:tc>
                <w:tc>
                  <w:tcPr>
                    <w:tcW w:w="385" w:type="pct"/>
                  </w:tcPr>
                  <w:p w:rsidR="00C35436" w:rsidRPr="00C35436" w:rsidRDefault="00C35436" w:rsidP="00DB008B">
                    <w:pPr>
                      <w:jc w:val="right"/>
                      <w:rPr>
                        <w:sz w:val="12"/>
                        <w:szCs w:val="12"/>
                      </w:rPr>
                    </w:pPr>
                    <w:r w:rsidRPr="00C35436">
                      <w:rPr>
                        <w:sz w:val="12"/>
                        <w:szCs w:val="12"/>
                      </w:rPr>
                      <w:t>200,261,173</w:t>
                    </w:r>
                  </w:p>
                </w:tc>
                <w:tc>
                  <w:tcPr>
                    <w:tcW w:w="385" w:type="pct"/>
                  </w:tcPr>
                  <w:p w:rsidR="00C35436" w:rsidRPr="00C35436" w:rsidRDefault="00C35436" w:rsidP="00DB008B">
                    <w:pPr>
                      <w:jc w:val="right"/>
                      <w:rPr>
                        <w:sz w:val="12"/>
                        <w:szCs w:val="12"/>
                      </w:rPr>
                    </w:pPr>
                    <w:r w:rsidRPr="00C35436">
                      <w:rPr>
                        <w:sz w:val="12"/>
                        <w:szCs w:val="12"/>
                      </w:rPr>
                      <w:t>8,644,671,786</w:t>
                    </w:r>
                  </w:p>
                </w:tc>
                <w:tc>
                  <w:tcPr>
                    <w:tcW w:w="385" w:type="pct"/>
                  </w:tcPr>
                  <w:p w:rsidR="00C35436" w:rsidRPr="00C35436" w:rsidRDefault="00C35436" w:rsidP="00DB008B">
                    <w:pPr>
                      <w:jc w:val="right"/>
                      <w:rPr>
                        <w:sz w:val="12"/>
                        <w:szCs w:val="12"/>
                      </w:rPr>
                    </w:pPr>
                    <w:r w:rsidRPr="00C35436">
                      <w:rPr>
                        <w:sz w:val="12"/>
                        <w:szCs w:val="12"/>
                      </w:rPr>
                      <w:t>8,844,932,959</w:t>
                    </w:r>
                  </w:p>
                </w:tc>
                <w:tc>
                  <w:tcPr>
                    <w:tcW w:w="385" w:type="pct"/>
                  </w:tcPr>
                  <w:p w:rsidR="00C35436" w:rsidRPr="00C35436" w:rsidRDefault="00C35436" w:rsidP="00DB008B">
                    <w:pPr>
                      <w:jc w:val="right"/>
                      <w:rPr>
                        <w:sz w:val="12"/>
                        <w:szCs w:val="12"/>
                      </w:rPr>
                    </w:pPr>
                    <w:r w:rsidRPr="00C35436">
                      <w:rPr>
                        <w:sz w:val="12"/>
                        <w:szCs w:val="12"/>
                      </w:rPr>
                      <w:t>621,698,008</w:t>
                    </w:r>
                  </w:p>
                </w:tc>
                <w:tc>
                  <w:tcPr>
                    <w:tcW w:w="385" w:type="pct"/>
                  </w:tcPr>
                  <w:p w:rsidR="00C35436" w:rsidRPr="00C35436" w:rsidRDefault="00C35436" w:rsidP="00DB008B">
                    <w:pPr>
                      <w:jc w:val="right"/>
                      <w:rPr>
                        <w:sz w:val="12"/>
                        <w:szCs w:val="12"/>
                      </w:rPr>
                    </w:pPr>
                    <w:r w:rsidRPr="00C35436">
                      <w:rPr>
                        <w:sz w:val="12"/>
                        <w:szCs w:val="12"/>
                      </w:rPr>
                      <w:t>4,567,236,737</w:t>
                    </w:r>
                  </w:p>
                </w:tc>
                <w:tc>
                  <w:tcPr>
                    <w:tcW w:w="385" w:type="pct"/>
                  </w:tcPr>
                  <w:p w:rsidR="00C35436" w:rsidRPr="00C35436" w:rsidRDefault="00C35436" w:rsidP="00DB008B">
                    <w:pPr>
                      <w:jc w:val="right"/>
                      <w:rPr>
                        <w:sz w:val="12"/>
                        <w:szCs w:val="12"/>
                      </w:rPr>
                    </w:pPr>
                    <w:r w:rsidRPr="00C35436">
                      <w:rPr>
                        <w:sz w:val="12"/>
                        <w:szCs w:val="12"/>
                      </w:rPr>
                      <w:t>5,188,934,745</w:t>
                    </w:r>
                  </w:p>
                </w:tc>
                <w:tc>
                  <w:tcPr>
                    <w:tcW w:w="385" w:type="pct"/>
                  </w:tcPr>
                  <w:p w:rsidR="00C35436" w:rsidRPr="00C35436" w:rsidRDefault="00C35436" w:rsidP="00DB008B">
                    <w:pPr>
                      <w:jc w:val="right"/>
                      <w:rPr>
                        <w:sz w:val="12"/>
                        <w:szCs w:val="12"/>
                      </w:rPr>
                    </w:pPr>
                    <w:r w:rsidRPr="00C35436">
                      <w:rPr>
                        <w:sz w:val="12"/>
                        <w:szCs w:val="12"/>
                      </w:rPr>
                      <w:t>278,949,461</w:t>
                    </w:r>
                  </w:p>
                </w:tc>
                <w:tc>
                  <w:tcPr>
                    <w:tcW w:w="385" w:type="pct"/>
                  </w:tcPr>
                  <w:p w:rsidR="00C35436" w:rsidRPr="00C35436" w:rsidRDefault="00C35436" w:rsidP="00DB008B">
                    <w:pPr>
                      <w:jc w:val="right"/>
                      <w:rPr>
                        <w:sz w:val="12"/>
                        <w:szCs w:val="12"/>
                      </w:rPr>
                    </w:pPr>
                    <w:r w:rsidRPr="00C35436">
                      <w:rPr>
                        <w:sz w:val="12"/>
                        <w:szCs w:val="12"/>
                      </w:rPr>
                      <w:t>8,832,508,917</w:t>
                    </w:r>
                  </w:p>
                </w:tc>
                <w:tc>
                  <w:tcPr>
                    <w:tcW w:w="385" w:type="pct"/>
                  </w:tcPr>
                  <w:p w:rsidR="00C35436" w:rsidRPr="00C35436" w:rsidRDefault="00C35436" w:rsidP="00DB008B">
                    <w:pPr>
                      <w:jc w:val="right"/>
                      <w:rPr>
                        <w:sz w:val="12"/>
                        <w:szCs w:val="12"/>
                      </w:rPr>
                    </w:pPr>
                    <w:r w:rsidRPr="00C35436">
                      <w:rPr>
                        <w:sz w:val="12"/>
                        <w:szCs w:val="12"/>
                      </w:rPr>
                      <w:t>9,111,458,378</w:t>
                    </w:r>
                  </w:p>
                </w:tc>
                <w:tc>
                  <w:tcPr>
                    <w:tcW w:w="385" w:type="pct"/>
                  </w:tcPr>
                  <w:p w:rsidR="00C35436" w:rsidRPr="00C35436" w:rsidRDefault="00C35436" w:rsidP="00DB008B">
                    <w:pPr>
                      <w:jc w:val="right"/>
                      <w:rPr>
                        <w:sz w:val="12"/>
                        <w:szCs w:val="12"/>
                      </w:rPr>
                    </w:pPr>
                    <w:r w:rsidRPr="00C35436">
                      <w:rPr>
                        <w:sz w:val="12"/>
                        <w:szCs w:val="12"/>
                      </w:rPr>
                      <w:t>1,136,092,943</w:t>
                    </w:r>
                  </w:p>
                </w:tc>
                <w:tc>
                  <w:tcPr>
                    <w:tcW w:w="385" w:type="pct"/>
                  </w:tcPr>
                  <w:p w:rsidR="00C35436" w:rsidRPr="00C35436" w:rsidRDefault="00C35436" w:rsidP="00DB008B">
                    <w:pPr>
                      <w:jc w:val="right"/>
                      <w:rPr>
                        <w:sz w:val="12"/>
                        <w:szCs w:val="12"/>
                      </w:rPr>
                    </w:pPr>
                    <w:r w:rsidRPr="00C35436">
                      <w:rPr>
                        <w:sz w:val="12"/>
                        <w:szCs w:val="12"/>
                      </w:rPr>
                      <w:t>4,398,442,823</w:t>
                    </w:r>
                  </w:p>
                </w:tc>
                <w:tc>
                  <w:tcPr>
                    <w:tcW w:w="380" w:type="pct"/>
                  </w:tcPr>
                  <w:p w:rsidR="00C35436" w:rsidRPr="00C35436" w:rsidRDefault="00C35436" w:rsidP="00DB008B">
                    <w:pPr>
                      <w:jc w:val="right"/>
                      <w:rPr>
                        <w:sz w:val="12"/>
                        <w:szCs w:val="12"/>
                      </w:rPr>
                    </w:pPr>
                    <w:r w:rsidRPr="00C35436">
                      <w:rPr>
                        <w:sz w:val="12"/>
                        <w:szCs w:val="12"/>
                      </w:rPr>
                      <w:t>5,534,535,766</w:t>
                    </w:r>
                  </w:p>
                </w:tc>
              </w:tr>
            </w:sdtContent>
          </w:sdt>
          <w:sdt>
            <w:sdtPr>
              <w:rPr>
                <w:sz w:val="12"/>
                <w:szCs w:val="12"/>
              </w:rPr>
              <w:alias w:val="重要非全资子公司的主要财务信息明细"/>
              <w:tag w:val="_GBC_feef0d2d67a84217a9099e634bb2d3df"/>
              <w:id w:val="1418137855"/>
              <w:lock w:val="sdtLocked"/>
            </w:sdtPr>
            <w:sdtContent>
              <w:tr w:rsidR="00C35436" w:rsidRPr="00C35436" w:rsidTr="00460F7A">
                <w:tc>
                  <w:tcPr>
                    <w:tcW w:w="385" w:type="pct"/>
                  </w:tcPr>
                  <w:p w:rsidR="00C35436" w:rsidRPr="00C35436" w:rsidRDefault="00C35436" w:rsidP="00DB008B">
                    <w:pPr>
                      <w:rPr>
                        <w:sz w:val="12"/>
                        <w:szCs w:val="12"/>
                      </w:rPr>
                    </w:pPr>
                    <w:r w:rsidRPr="00C35436">
                      <w:rPr>
                        <w:sz w:val="12"/>
                        <w:szCs w:val="12"/>
                      </w:rPr>
                      <w:t>中鼎物流公司</w:t>
                    </w:r>
                  </w:p>
                </w:tc>
                <w:tc>
                  <w:tcPr>
                    <w:tcW w:w="385" w:type="pct"/>
                  </w:tcPr>
                  <w:p w:rsidR="00C35436" w:rsidRPr="00C35436" w:rsidRDefault="00C35436" w:rsidP="00DB008B">
                    <w:pPr>
                      <w:jc w:val="right"/>
                      <w:rPr>
                        <w:sz w:val="12"/>
                        <w:szCs w:val="12"/>
                      </w:rPr>
                    </w:pPr>
                    <w:r w:rsidRPr="00C35436">
                      <w:rPr>
                        <w:sz w:val="12"/>
                        <w:szCs w:val="12"/>
                      </w:rPr>
                      <w:t>173,042,341</w:t>
                    </w:r>
                  </w:p>
                </w:tc>
                <w:tc>
                  <w:tcPr>
                    <w:tcW w:w="385" w:type="pct"/>
                  </w:tcPr>
                  <w:p w:rsidR="00C35436" w:rsidRPr="00C35436" w:rsidRDefault="00C35436" w:rsidP="00DB008B">
                    <w:pPr>
                      <w:jc w:val="right"/>
                      <w:rPr>
                        <w:sz w:val="12"/>
                        <w:szCs w:val="12"/>
                      </w:rPr>
                    </w:pPr>
                    <w:r w:rsidRPr="00C35436">
                      <w:rPr>
                        <w:sz w:val="12"/>
                        <w:szCs w:val="12"/>
                      </w:rPr>
                      <w:t>3,053,383,600</w:t>
                    </w:r>
                  </w:p>
                </w:tc>
                <w:tc>
                  <w:tcPr>
                    <w:tcW w:w="385" w:type="pct"/>
                  </w:tcPr>
                  <w:p w:rsidR="00C35436" w:rsidRPr="00C35436" w:rsidRDefault="00C35436" w:rsidP="00DB008B">
                    <w:pPr>
                      <w:jc w:val="right"/>
                      <w:rPr>
                        <w:sz w:val="12"/>
                        <w:szCs w:val="12"/>
                      </w:rPr>
                    </w:pPr>
                    <w:r w:rsidRPr="00C35436">
                      <w:rPr>
                        <w:sz w:val="12"/>
                        <w:szCs w:val="12"/>
                      </w:rPr>
                      <w:t>3,226,425,941</w:t>
                    </w:r>
                  </w:p>
                </w:tc>
                <w:tc>
                  <w:tcPr>
                    <w:tcW w:w="385" w:type="pct"/>
                  </w:tcPr>
                  <w:p w:rsidR="00C35436" w:rsidRPr="00C35436" w:rsidRDefault="00C35436" w:rsidP="00DB008B">
                    <w:pPr>
                      <w:jc w:val="right"/>
                      <w:rPr>
                        <w:sz w:val="12"/>
                        <w:szCs w:val="12"/>
                      </w:rPr>
                    </w:pPr>
                    <w:r w:rsidRPr="00C35436">
                      <w:rPr>
                        <w:sz w:val="12"/>
                        <w:szCs w:val="12"/>
                      </w:rPr>
                      <w:t>362,807,688</w:t>
                    </w:r>
                  </w:p>
                </w:tc>
                <w:tc>
                  <w:tcPr>
                    <w:tcW w:w="385" w:type="pct"/>
                  </w:tcPr>
                  <w:p w:rsidR="00C35436" w:rsidRPr="00C35436" w:rsidRDefault="00C35436" w:rsidP="00DB008B">
                    <w:pPr>
                      <w:jc w:val="right"/>
                      <w:rPr>
                        <w:sz w:val="12"/>
                        <w:szCs w:val="12"/>
                      </w:rPr>
                    </w:pPr>
                    <w:r w:rsidRPr="00C35436">
                      <w:rPr>
                        <w:sz w:val="12"/>
                        <w:szCs w:val="12"/>
                      </w:rPr>
                      <w:t>1,720,902,370</w:t>
                    </w:r>
                  </w:p>
                </w:tc>
                <w:tc>
                  <w:tcPr>
                    <w:tcW w:w="385" w:type="pct"/>
                  </w:tcPr>
                  <w:p w:rsidR="00C35436" w:rsidRPr="00C35436" w:rsidRDefault="00C35436" w:rsidP="00DB008B">
                    <w:pPr>
                      <w:jc w:val="right"/>
                      <w:rPr>
                        <w:sz w:val="12"/>
                        <w:szCs w:val="12"/>
                      </w:rPr>
                    </w:pPr>
                    <w:r w:rsidRPr="00C35436">
                      <w:rPr>
                        <w:sz w:val="12"/>
                        <w:szCs w:val="12"/>
                      </w:rPr>
                      <w:t>2,083,710,058</w:t>
                    </w:r>
                  </w:p>
                </w:tc>
                <w:tc>
                  <w:tcPr>
                    <w:tcW w:w="385" w:type="pct"/>
                  </w:tcPr>
                  <w:p w:rsidR="00C35436" w:rsidRPr="00C35436" w:rsidRDefault="00C35436" w:rsidP="00DB008B">
                    <w:pPr>
                      <w:jc w:val="right"/>
                      <w:rPr>
                        <w:sz w:val="12"/>
                        <w:szCs w:val="12"/>
                      </w:rPr>
                    </w:pPr>
                    <w:r w:rsidRPr="00C35436">
                      <w:rPr>
                        <w:sz w:val="12"/>
                        <w:szCs w:val="12"/>
                      </w:rPr>
                      <w:t>184,574,836</w:t>
                    </w:r>
                  </w:p>
                </w:tc>
                <w:tc>
                  <w:tcPr>
                    <w:tcW w:w="385" w:type="pct"/>
                  </w:tcPr>
                  <w:p w:rsidR="00C35436" w:rsidRPr="00C35436" w:rsidRDefault="00C35436" w:rsidP="00DB008B">
                    <w:pPr>
                      <w:jc w:val="right"/>
                      <w:rPr>
                        <w:sz w:val="12"/>
                        <w:szCs w:val="12"/>
                      </w:rPr>
                    </w:pPr>
                    <w:r w:rsidRPr="00C35436">
                      <w:rPr>
                        <w:sz w:val="12"/>
                        <w:szCs w:val="12"/>
                      </w:rPr>
                      <w:t>3,169,176,086</w:t>
                    </w:r>
                  </w:p>
                </w:tc>
                <w:tc>
                  <w:tcPr>
                    <w:tcW w:w="385" w:type="pct"/>
                  </w:tcPr>
                  <w:p w:rsidR="00C35436" w:rsidRPr="00C35436" w:rsidRDefault="00C35436" w:rsidP="00DB008B">
                    <w:pPr>
                      <w:jc w:val="right"/>
                      <w:rPr>
                        <w:sz w:val="12"/>
                        <w:szCs w:val="12"/>
                      </w:rPr>
                    </w:pPr>
                    <w:r w:rsidRPr="00C35436">
                      <w:rPr>
                        <w:sz w:val="12"/>
                        <w:szCs w:val="12"/>
                      </w:rPr>
                      <w:t>3,353,750,922</w:t>
                    </w:r>
                  </w:p>
                </w:tc>
                <w:tc>
                  <w:tcPr>
                    <w:tcW w:w="385" w:type="pct"/>
                  </w:tcPr>
                  <w:p w:rsidR="00C35436" w:rsidRPr="00C35436" w:rsidRDefault="00C35436" w:rsidP="00DB008B">
                    <w:pPr>
                      <w:jc w:val="right"/>
                      <w:rPr>
                        <w:sz w:val="12"/>
                        <w:szCs w:val="12"/>
                      </w:rPr>
                    </w:pPr>
                    <w:r w:rsidRPr="00C35436">
                      <w:rPr>
                        <w:sz w:val="12"/>
                        <w:szCs w:val="12"/>
                      </w:rPr>
                      <w:t>468,373,628</w:t>
                    </w:r>
                  </w:p>
                </w:tc>
                <w:tc>
                  <w:tcPr>
                    <w:tcW w:w="385" w:type="pct"/>
                  </w:tcPr>
                  <w:p w:rsidR="00C35436" w:rsidRPr="00C35436" w:rsidRDefault="00C35436" w:rsidP="00DB008B">
                    <w:pPr>
                      <w:jc w:val="right"/>
                      <w:rPr>
                        <w:sz w:val="12"/>
                        <w:szCs w:val="12"/>
                      </w:rPr>
                    </w:pPr>
                    <w:r w:rsidRPr="00C35436">
                      <w:rPr>
                        <w:sz w:val="12"/>
                        <w:szCs w:val="12"/>
                      </w:rPr>
                      <w:t>1,576,893,256</w:t>
                    </w:r>
                  </w:p>
                </w:tc>
                <w:tc>
                  <w:tcPr>
                    <w:tcW w:w="380" w:type="pct"/>
                  </w:tcPr>
                  <w:p w:rsidR="00C35436" w:rsidRPr="00C35436" w:rsidRDefault="00C35436" w:rsidP="00DB008B">
                    <w:pPr>
                      <w:jc w:val="right"/>
                      <w:rPr>
                        <w:sz w:val="12"/>
                        <w:szCs w:val="12"/>
                      </w:rPr>
                    </w:pPr>
                    <w:r w:rsidRPr="00C35436">
                      <w:rPr>
                        <w:sz w:val="12"/>
                        <w:szCs w:val="12"/>
                      </w:rPr>
                      <w:t>2,045,266,884</w:t>
                    </w:r>
                  </w:p>
                </w:tc>
              </w:tr>
            </w:sdtContent>
          </w:sdt>
          <w:sdt>
            <w:sdtPr>
              <w:rPr>
                <w:sz w:val="12"/>
                <w:szCs w:val="12"/>
              </w:rPr>
              <w:alias w:val="重要非全资子公司的主要财务信息明细"/>
              <w:tag w:val="_GBC_feef0d2d67a84217a9099e634bb2d3df"/>
              <w:id w:val="1146094951"/>
              <w:lock w:val="sdtLocked"/>
            </w:sdtPr>
            <w:sdtContent>
              <w:tr w:rsidR="00C35436" w:rsidRPr="00C35436" w:rsidTr="00460F7A">
                <w:tc>
                  <w:tcPr>
                    <w:tcW w:w="385" w:type="pct"/>
                  </w:tcPr>
                  <w:p w:rsidR="00C35436" w:rsidRPr="00C35436" w:rsidRDefault="00C35436" w:rsidP="00DB008B">
                    <w:pPr>
                      <w:rPr>
                        <w:sz w:val="12"/>
                        <w:szCs w:val="12"/>
                      </w:rPr>
                    </w:pPr>
                    <w:r w:rsidRPr="00C35436">
                      <w:rPr>
                        <w:sz w:val="12"/>
                        <w:szCs w:val="12"/>
                      </w:rPr>
                      <w:t>唐港铁路公司</w:t>
                    </w:r>
                  </w:p>
                </w:tc>
                <w:tc>
                  <w:tcPr>
                    <w:tcW w:w="385" w:type="pct"/>
                  </w:tcPr>
                  <w:p w:rsidR="00C35436" w:rsidRPr="00C35436" w:rsidRDefault="00C35436" w:rsidP="00DB008B">
                    <w:pPr>
                      <w:jc w:val="right"/>
                      <w:rPr>
                        <w:sz w:val="12"/>
                        <w:szCs w:val="12"/>
                      </w:rPr>
                    </w:pPr>
                    <w:r w:rsidRPr="00C35436">
                      <w:rPr>
                        <w:sz w:val="12"/>
                        <w:szCs w:val="12"/>
                      </w:rPr>
                      <w:t>3,386,654,578</w:t>
                    </w:r>
                  </w:p>
                </w:tc>
                <w:tc>
                  <w:tcPr>
                    <w:tcW w:w="385" w:type="pct"/>
                  </w:tcPr>
                  <w:p w:rsidR="00C35436" w:rsidRPr="00C35436" w:rsidRDefault="00C35436" w:rsidP="00DB008B">
                    <w:pPr>
                      <w:jc w:val="right"/>
                      <w:rPr>
                        <w:sz w:val="12"/>
                        <w:szCs w:val="12"/>
                      </w:rPr>
                    </w:pPr>
                    <w:r w:rsidRPr="00C35436">
                      <w:rPr>
                        <w:sz w:val="12"/>
                        <w:szCs w:val="12"/>
                      </w:rPr>
                      <w:t>10,197,640,988</w:t>
                    </w:r>
                  </w:p>
                </w:tc>
                <w:tc>
                  <w:tcPr>
                    <w:tcW w:w="385" w:type="pct"/>
                  </w:tcPr>
                  <w:p w:rsidR="00C35436" w:rsidRPr="00C35436" w:rsidRDefault="00C35436" w:rsidP="00DB008B">
                    <w:pPr>
                      <w:jc w:val="right"/>
                      <w:rPr>
                        <w:sz w:val="12"/>
                        <w:szCs w:val="12"/>
                      </w:rPr>
                    </w:pPr>
                    <w:r w:rsidRPr="00C35436">
                      <w:rPr>
                        <w:sz w:val="12"/>
                        <w:szCs w:val="12"/>
                      </w:rPr>
                      <w:t>13,584,295,566</w:t>
                    </w:r>
                  </w:p>
                </w:tc>
                <w:tc>
                  <w:tcPr>
                    <w:tcW w:w="385" w:type="pct"/>
                  </w:tcPr>
                  <w:p w:rsidR="00C35436" w:rsidRPr="00C35436" w:rsidRDefault="00C35436" w:rsidP="00DB008B">
                    <w:pPr>
                      <w:jc w:val="right"/>
                      <w:rPr>
                        <w:sz w:val="12"/>
                        <w:szCs w:val="12"/>
                      </w:rPr>
                    </w:pPr>
                    <w:r w:rsidRPr="00C35436">
                      <w:rPr>
                        <w:sz w:val="12"/>
                        <w:szCs w:val="12"/>
                      </w:rPr>
                      <w:t>974,716,616</w:t>
                    </w:r>
                  </w:p>
                </w:tc>
                <w:tc>
                  <w:tcPr>
                    <w:tcW w:w="385" w:type="pct"/>
                  </w:tcPr>
                  <w:p w:rsidR="00C35436" w:rsidRPr="00C35436" w:rsidRDefault="00C35436" w:rsidP="00DB008B">
                    <w:pPr>
                      <w:jc w:val="right"/>
                      <w:rPr>
                        <w:sz w:val="12"/>
                        <w:szCs w:val="12"/>
                      </w:rPr>
                    </w:pPr>
                    <w:r w:rsidRPr="00C35436">
                      <w:rPr>
                        <w:sz w:val="12"/>
                        <w:szCs w:val="12"/>
                      </w:rPr>
                      <w:t>563,002,313</w:t>
                    </w:r>
                  </w:p>
                </w:tc>
                <w:tc>
                  <w:tcPr>
                    <w:tcW w:w="385" w:type="pct"/>
                  </w:tcPr>
                  <w:p w:rsidR="00C35436" w:rsidRPr="00C35436" w:rsidRDefault="00C35436" w:rsidP="00DB008B">
                    <w:pPr>
                      <w:jc w:val="right"/>
                      <w:rPr>
                        <w:sz w:val="12"/>
                        <w:szCs w:val="12"/>
                      </w:rPr>
                    </w:pPr>
                    <w:r w:rsidRPr="00C35436">
                      <w:rPr>
                        <w:sz w:val="12"/>
                        <w:szCs w:val="12"/>
                      </w:rPr>
                      <w:t>1,537,718,929</w:t>
                    </w:r>
                  </w:p>
                </w:tc>
                <w:tc>
                  <w:tcPr>
                    <w:tcW w:w="385" w:type="pct"/>
                  </w:tcPr>
                  <w:p w:rsidR="00C35436" w:rsidRPr="00C35436" w:rsidRDefault="00C35436" w:rsidP="00DB008B">
                    <w:pPr>
                      <w:jc w:val="right"/>
                      <w:rPr>
                        <w:sz w:val="12"/>
                        <w:szCs w:val="12"/>
                      </w:rPr>
                    </w:pPr>
                    <w:r w:rsidRPr="00C35436">
                      <w:rPr>
                        <w:sz w:val="12"/>
                        <w:szCs w:val="12"/>
                      </w:rPr>
                      <w:t>3,049,924,772</w:t>
                    </w:r>
                  </w:p>
                </w:tc>
                <w:tc>
                  <w:tcPr>
                    <w:tcW w:w="385" w:type="pct"/>
                  </w:tcPr>
                  <w:p w:rsidR="00C35436" w:rsidRPr="00C35436" w:rsidRDefault="00C35436" w:rsidP="00DB008B">
                    <w:pPr>
                      <w:jc w:val="right"/>
                      <w:rPr>
                        <w:sz w:val="12"/>
                        <w:szCs w:val="12"/>
                      </w:rPr>
                    </w:pPr>
                    <w:r w:rsidRPr="00C35436">
                      <w:rPr>
                        <w:sz w:val="12"/>
                        <w:szCs w:val="12"/>
                      </w:rPr>
                      <w:t>10,225,764,811</w:t>
                    </w:r>
                  </w:p>
                </w:tc>
                <w:tc>
                  <w:tcPr>
                    <w:tcW w:w="385" w:type="pct"/>
                  </w:tcPr>
                  <w:p w:rsidR="00C35436" w:rsidRPr="00C35436" w:rsidRDefault="00C35436" w:rsidP="00DB008B">
                    <w:pPr>
                      <w:jc w:val="right"/>
                      <w:rPr>
                        <w:sz w:val="12"/>
                        <w:szCs w:val="12"/>
                      </w:rPr>
                    </w:pPr>
                    <w:r w:rsidRPr="00C35436">
                      <w:rPr>
                        <w:sz w:val="12"/>
                        <w:szCs w:val="12"/>
                      </w:rPr>
                      <w:t>13,275,689,583</w:t>
                    </w:r>
                  </w:p>
                </w:tc>
                <w:tc>
                  <w:tcPr>
                    <w:tcW w:w="385" w:type="pct"/>
                  </w:tcPr>
                  <w:p w:rsidR="00C35436" w:rsidRPr="00C35436" w:rsidRDefault="00C35436" w:rsidP="00DB008B">
                    <w:pPr>
                      <w:jc w:val="right"/>
                      <w:rPr>
                        <w:sz w:val="12"/>
                        <w:szCs w:val="12"/>
                      </w:rPr>
                    </w:pPr>
                    <w:r w:rsidRPr="00C35436">
                      <w:rPr>
                        <w:sz w:val="12"/>
                        <w:szCs w:val="12"/>
                      </w:rPr>
                      <w:t>842,706,198</w:t>
                    </w:r>
                  </w:p>
                </w:tc>
                <w:tc>
                  <w:tcPr>
                    <w:tcW w:w="385" w:type="pct"/>
                  </w:tcPr>
                  <w:p w:rsidR="00C35436" w:rsidRPr="00C35436" w:rsidRDefault="00C35436" w:rsidP="00DB008B">
                    <w:pPr>
                      <w:jc w:val="right"/>
                      <w:rPr>
                        <w:sz w:val="12"/>
                        <w:szCs w:val="12"/>
                      </w:rPr>
                    </w:pPr>
                    <w:r w:rsidRPr="00C35436">
                      <w:rPr>
                        <w:sz w:val="12"/>
                        <w:szCs w:val="12"/>
                      </w:rPr>
                      <w:t>1,621,050,711</w:t>
                    </w:r>
                  </w:p>
                </w:tc>
                <w:tc>
                  <w:tcPr>
                    <w:tcW w:w="380" w:type="pct"/>
                  </w:tcPr>
                  <w:p w:rsidR="00C35436" w:rsidRPr="00C35436" w:rsidRDefault="00C35436" w:rsidP="00DB008B">
                    <w:pPr>
                      <w:jc w:val="right"/>
                      <w:rPr>
                        <w:sz w:val="12"/>
                        <w:szCs w:val="12"/>
                      </w:rPr>
                    </w:pPr>
                    <w:r w:rsidRPr="00C35436">
                      <w:rPr>
                        <w:sz w:val="12"/>
                        <w:szCs w:val="12"/>
                      </w:rPr>
                      <w:t>2,463,756,909</w:t>
                    </w:r>
                  </w:p>
                </w:tc>
              </w:tr>
            </w:sdtContent>
          </w:sdt>
          <w:sdt>
            <w:sdtPr>
              <w:rPr>
                <w:sz w:val="12"/>
                <w:szCs w:val="12"/>
              </w:rPr>
              <w:alias w:val="重要非全资子公司的主要财务信息明细"/>
              <w:tag w:val="_GBC_feef0d2d67a84217a9099e634bb2d3df"/>
              <w:id w:val="-1881550669"/>
              <w:lock w:val="sdtLocked"/>
            </w:sdtPr>
            <w:sdtContent>
              <w:tr w:rsidR="00C35436" w:rsidRPr="00C35436" w:rsidTr="00460F7A">
                <w:tc>
                  <w:tcPr>
                    <w:tcW w:w="385" w:type="pct"/>
                  </w:tcPr>
                  <w:p w:rsidR="00C35436" w:rsidRPr="00C35436" w:rsidRDefault="00C35436" w:rsidP="00DB008B">
                    <w:pPr>
                      <w:rPr>
                        <w:sz w:val="12"/>
                        <w:szCs w:val="12"/>
                      </w:rPr>
                    </w:pPr>
                    <w:r w:rsidRPr="00C35436">
                      <w:rPr>
                        <w:sz w:val="12"/>
                        <w:szCs w:val="12"/>
                      </w:rPr>
                      <w:t>西南环铁路公司</w:t>
                    </w:r>
                  </w:p>
                </w:tc>
                <w:tc>
                  <w:tcPr>
                    <w:tcW w:w="385" w:type="pct"/>
                  </w:tcPr>
                  <w:p w:rsidR="00C35436" w:rsidRPr="00C35436" w:rsidRDefault="00C35436" w:rsidP="00DB008B">
                    <w:pPr>
                      <w:jc w:val="right"/>
                      <w:rPr>
                        <w:sz w:val="12"/>
                        <w:szCs w:val="12"/>
                      </w:rPr>
                    </w:pPr>
                    <w:r w:rsidRPr="00C35436">
                      <w:rPr>
                        <w:sz w:val="12"/>
                        <w:szCs w:val="12"/>
                      </w:rPr>
                      <w:t>145,757,172</w:t>
                    </w:r>
                  </w:p>
                </w:tc>
                <w:tc>
                  <w:tcPr>
                    <w:tcW w:w="385" w:type="pct"/>
                  </w:tcPr>
                  <w:p w:rsidR="00C35436" w:rsidRPr="00C35436" w:rsidRDefault="00C35436" w:rsidP="00DB008B">
                    <w:pPr>
                      <w:jc w:val="right"/>
                      <w:rPr>
                        <w:sz w:val="12"/>
                        <w:szCs w:val="12"/>
                      </w:rPr>
                    </w:pPr>
                    <w:r w:rsidRPr="00C35436">
                      <w:rPr>
                        <w:sz w:val="12"/>
                        <w:szCs w:val="12"/>
                      </w:rPr>
                      <w:t>8,353,971,011</w:t>
                    </w:r>
                  </w:p>
                </w:tc>
                <w:tc>
                  <w:tcPr>
                    <w:tcW w:w="385" w:type="pct"/>
                  </w:tcPr>
                  <w:p w:rsidR="00C35436" w:rsidRPr="00C35436" w:rsidRDefault="00C35436" w:rsidP="00DB008B">
                    <w:pPr>
                      <w:jc w:val="right"/>
                      <w:rPr>
                        <w:sz w:val="12"/>
                        <w:szCs w:val="12"/>
                      </w:rPr>
                    </w:pPr>
                    <w:r w:rsidRPr="00C35436">
                      <w:rPr>
                        <w:sz w:val="12"/>
                        <w:szCs w:val="12"/>
                      </w:rPr>
                      <w:t>8,499,728,183</w:t>
                    </w:r>
                  </w:p>
                </w:tc>
                <w:tc>
                  <w:tcPr>
                    <w:tcW w:w="385" w:type="pct"/>
                  </w:tcPr>
                  <w:p w:rsidR="00C35436" w:rsidRPr="00C35436" w:rsidRDefault="00C35436" w:rsidP="00DB008B">
                    <w:pPr>
                      <w:jc w:val="right"/>
                      <w:rPr>
                        <w:sz w:val="12"/>
                        <w:szCs w:val="12"/>
                      </w:rPr>
                    </w:pPr>
                    <w:r w:rsidRPr="00C35436">
                      <w:rPr>
                        <w:sz w:val="12"/>
                        <w:szCs w:val="12"/>
                      </w:rPr>
                      <w:t>84,954,782</w:t>
                    </w:r>
                  </w:p>
                </w:tc>
                <w:tc>
                  <w:tcPr>
                    <w:tcW w:w="385" w:type="pct"/>
                  </w:tcPr>
                  <w:p w:rsidR="00C35436" w:rsidRPr="00C35436" w:rsidRDefault="00C35436" w:rsidP="00DB008B">
                    <w:pPr>
                      <w:jc w:val="right"/>
                      <w:rPr>
                        <w:sz w:val="12"/>
                        <w:szCs w:val="12"/>
                      </w:rPr>
                    </w:pPr>
                    <w:r w:rsidRPr="00C35436">
                      <w:rPr>
                        <w:sz w:val="12"/>
                        <w:szCs w:val="12"/>
                      </w:rPr>
                      <w:t>4,408,750,000</w:t>
                    </w:r>
                  </w:p>
                </w:tc>
                <w:tc>
                  <w:tcPr>
                    <w:tcW w:w="385" w:type="pct"/>
                  </w:tcPr>
                  <w:p w:rsidR="00C35436" w:rsidRPr="00C35436" w:rsidRDefault="00C35436" w:rsidP="00DB008B">
                    <w:pPr>
                      <w:jc w:val="right"/>
                      <w:rPr>
                        <w:sz w:val="12"/>
                        <w:szCs w:val="12"/>
                      </w:rPr>
                    </w:pPr>
                    <w:r w:rsidRPr="00C35436">
                      <w:rPr>
                        <w:sz w:val="12"/>
                        <w:szCs w:val="12"/>
                      </w:rPr>
                      <w:t>4,493,704,782</w:t>
                    </w:r>
                  </w:p>
                </w:tc>
                <w:tc>
                  <w:tcPr>
                    <w:tcW w:w="385" w:type="pct"/>
                  </w:tcPr>
                  <w:p w:rsidR="00C35436" w:rsidRPr="00C35436" w:rsidRDefault="00C35436" w:rsidP="00DB008B">
                    <w:pPr>
                      <w:jc w:val="right"/>
                      <w:rPr>
                        <w:sz w:val="12"/>
                        <w:szCs w:val="12"/>
                      </w:rPr>
                    </w:pPr>
                    <w:r w:rsidRPr="00C35436">
                      <w:rPr>
                        <w:sz w:val="12"/>
                        <w:szCs w:val="12"/>
                      </w:rPr>
                      <w:t>210,899,768</w:t>
                    </w:r>
                  </w:p>
                </w:tc>
                <w:tc>
                  <w:tcPr>
                    <w:tcW w:w="385" w:type="pct"/>
                  </w:tcPr>
                  <w:p w:rsidR="00C35436" w:rsidRPr="00C35436" w:rsidRDefault="00C35436" w:rsidP="00DB008B">
                    <w:pPr>
                      <w:jc w:val="right"/>
                      <w:rPr>
                        <w:sz w:val="12"/>
                        <w:szCs w:val="12"/>
                      </w:rPr>
                    </w:pPr>
                    <w:r w:rsidRPr="00C35436">
                      <w:rPr>
                        <w:sz w:val="12"/>
                        <w:szCs w:val="12"/>
                      </w:rPr>
                      <w:t>8,603,648,113</w:t>
                    </w:r>
                  </w:p>
                </w:tc>
                <w:tc>
                  <w:tcPr>
                    <w:tcW w:w="385" w:type="pct"/>
                  </w:tcPr>
                  <w:p w:rsidR="00C35436" w:rsidRPr="00C35436" w:rsidRDefault="00C35436" w:rsidP="00DB008B">
                    <w:pPr>
                      <w:jc w:val="right"/>
                      <w:rPr>
                        <w:sz w:val="12"/>
                        <w:szCs w:val="12"/>
                      </w:rPr>
                    </w:pPr>
                    <w:r w:rsidRPr="00C35436">
                      <w:rPr>
                        <w:sz w:val="12"/>
                        <w:szCs w:val="12"/>
                      </w:rPr>
                      <w:t>8,814,547,881</w:t>
                    </w:r>
                  </w:p>
                </w:tc>
                <w:tc>
                  <w:tcPr>
                    <w:tcW w:w="385" w:type="pct"/>
                  </w:tcPr>
                  <w:p w:rsidR="00C35436" w:rsidRPr="00C35436" w:rsidRDefault="00C35436" w:rsidP="00DB008B">
                    <w:pPr>
                      <w:jc w:val="right"/>
                      <w:rPr>
                        <w:sz w:val="12"/>
                        <w:szCs w:val="12"/>
                      </w:rPr>
                    </w:pPr>
                    <w:r w:rsidRPr="00C35436">
                      <w:rPr>
                        <w:sz w:val="12"/>
                        <w:szCs w:val="12"/>
                      </w:rPr>
                      <w:t>275,231,039</w:t>
                    </w:r>
                  </w:p>
                </w:tc>
                <w:tc>
                  <w:tcPr>
                    <w:tcW w:w="385" w:type="pct"/>
                  </w:tcPr>
                  <w:p w:rsidR="00C35436" w:rsidRPr="00C35436" w:rsidRDefault="00C35436" w:rsidP="00DB008B">
                    <w:pPr>
                      <w:jc w:val="right"/>
                      <w:rPr>
                        <w:sz w:val="12"/>
                        <w:szCs w:val="12"/>
                      </w:rPr>
                    </w:pPr>
                    <w:r w:rsidRPr="00C35436">
                      <w:rPr>
                        <w:sz w:val="12"/>
                        <w:szCs w:val="12"/>
                      </w:rPr>
                      <w:t>4,409,250,000</w:t>
                    </w:r>
                  </w:p>
                </w:tc>
                <w:tc>
                  <w:tcPr>
                    <w:tcW w:w="380" w:type="pct"/>
                  </w:tcPr>
                  <w:p w:rsidR="00C35436" w:rsidRPr="00C35436" w:rsidRDefault="00C35436" w:rsidP="00DB008B">
                    <w:pPr>
                      <w:jc w:val="right"/>
                      <w:rPr>
                        <w:sz w:val="12"/>
                        <w:szCs w:val="12"/>
                      </w:rPr>
                    </w:pPr>
                    <w:r w:rsidRPr="00C35436">
                      <w:rPr>
                        <w:sz w:val="12"/>
                        <w:szCs w:val="12"/>
                      </w:rPr>
                      <w:t>4,684,481,039</w:t>
                    </w:r>
                  </w:p>
                </w:tc>
              </w:tr>
            </w:sdtContent>
          </w:sdt>
        </w:tbl>
        <w:p w:rsidR="00806678" w:rsidRDefault="00806678">
          <w:pPr>
            <w:rPr>
              <w:rFonts w:cs="Arial"/>
              <w:szCs w:val="21"/>
            </w:rPr>
          </w:pPr>
        </w:p>
        <w:p w:rsidR="00C35436" w:rsidRDefault="00C35436">
          <w:pPr>
            <w:rPr>
              <w:rFonts w:cs="Arial"/>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48"/>
            <w:gridCol w:w="1403"/>
            <w:gridCol w:w="1341"/>
            <w:gridCol w:w="1485"/>
            <w:gridCol w:w="1643"/>
            <w:gridCol w:w="1403"/>
            <w:gridCol w:w="1341"/>
            <w:gridCol w:w="1485"/>
            <w:gridCol w:w="1640"/>
          </w:tblGrid>
          <w:tr w:rsidR="00460F7A" w:rsidTr="00DB008B">
            <w:trPr>
              <w:trHeight w:val="241"/>
            </w:trPr>
            <w:sdt>
              <w:sdtPr>
                <w:rPr>
                  <w:sz w:val="16"/>
                  <w:szCs w:val="16"/>
                </w:rPr>
                <w:tag w:val="_PLD_f862f5520ccd48d7b0fd3b875414eb44"/>
                <w:id w:val="1336185828"/>
                <w:lock w:val="sdtLocked"/>
              </w:sdtPr>
              <w:sdtContent>
                <w:tc>
                  <w:tcPr>
                    <w:tcW w:w="833" w:type="pct"/>
                    <w:vMerge w:val="restart"/>
                    <w:shd w:val="clear" w:color="auto" w:fill="auto"/>
                    <w:vAlign w:val="center"/>
                  </w:tcPr>
                  <w:p w:rsidR="00460F7A" w:rsidRPr="00460F7A" w:rsidRDefault="00460F7A" w:rsidP="00DB008B">
                    <w:pPr>
                      <w:spacing w:line="276" w:lineRule="auto"/>
                      <w:ind w:right="-16"/>
                      <w:jc w:val="center"/>
                      <w:rPr>
                        <w:rFonts w:cs="Arial"/>
                        <w:bCs/>
                        <w:sz w:val="16"/>
                        <w:szCs w:val="16"/>
                      </w:rPr>
                    </w:pPr>
                    <w:r w:rsidRPr="00460F7A">
                      <w:rPr>
                        <w:rFonts w:cs="Arial" w:hint="eastAsia"/>
                        <w:bCs/>
                        <w:sz w:val="16"/>
                        <w:szCs w:val="16"/>
                        <w:lang w:val="en-GB"/>
                      </w:rPr>
                      <w:t>子公司名称</w:t>
                    </w:r>
                  </w:p>
                </w:tc>
              </w:sdtContent>
            </w:sdt>
            <w:sdt>
              <w:sdtPr>
                <w:rPr>
                  <w:sz w:val="16"/>
                  <w:szCs w:val="16"/>
                </w:rPr>
                <w:tag w:val="_PLD_5506f9b7657a4249a69db52c93f94b62"/>
                <w:id w:val="-77982826"/>
                <w:lock w:val="sdtLocked"/>
              </w:sdtPr>
              <w:sdtContent>
                <w:tc>
                  <w:tcPr>
                    <w:tcW w:w="2084" w:type="pct"/>
                    <w:gridSpan w:val="4"/>
                    <w:shd w:val="clear" w:color="auto" w:fill="auto"/>
                    <w:vAlign w:val="center"/>
                  </w:tcPr>
                  <w:p w:rsidR="00460F7A" w:rsidRPr="00460F7A" w:rsidRDefault="00460F7A" w:rsidP="00DB008B">
                    <w:pPr>
                      <w:spacing w:line="276" w:lineRule="auto"/>
                      <w:ind w:right="-16"/>
                      <w:jc w:val="center"/>
                      <w:rPr>
                        <w:rFonts w:cs="Arial"/>
                        <w:bCs/>
                        <w:sz w:val="16"/>
                        <w:szCs w:val="16"/>
                      </w:rPr>
                    </w:pPr>
                    <w:r w:rsidRPr="00460F7A">
                      <w:rPr>
                        <w:rFonts w:cs="Arial" w:hint="eastAsia"/>
                        <w:bCs/>
                        <w:sz w:val="16"/>
                        <w:szCs w:val="16"/>
                        <w:lang w:val="en-GB"/>
                      </w:rPr>
                      <w:t>本期发生额</w:t>
                    </w:r>
                  </w:p>
                </w:tc>
              </w:sdtContent>
            </w:sdt>
            <w:sdt>
              <w:sdtPr>
                <w:rPr>
                  <w:sz w:val="16"/>
                  <w:szCs w:val="16"/>
                </w:rPr>
                <w:tag w:val="_PLD_063dddde33114bd0989718130d614207"/>
                <w:id w:val="-1440667732"/>
                <w:lock w:val="sdtLocked"/>
              </w:sdtPr>
              <w:sdtContent>
                <w:tc>
                  <w:tcPr>
                    <w:tcW w:w="2084" w:type="pct"/>
                    <w:gridSpan w:val="4"/>
                    <w:shd w:val="clear" w:color="auto" w:fill="auto"/>
                    <w:vAlign w:val="center"/>
                  </w:tcPr>
                  <w:p w:rsidR="00460F7A" w:rsidRPr="00460F7A" w:rsidRDefault="00460F7A" w:rsidP="00DB008B">
                    <w:pPr>
                      <w:spacing w:line="276" w:lineRule="auto"/>
                      <w:ind w:right="-16"/>
                      <w:jc w:val="center"/>
                      <w:rPr>
                        <w:rFonts w:cs="Arial"/>
                        <w:bCs/>
                        <w:sz w:val="16"/>
                        <w:szCs w:val="16"/>
                      </w:rPr>
                    </w:pPr>
                    <w:r w:rsidRPr="00460F7A">
                      <w:rPr>
                        <w:rFonts w:cs="Arial" w:hint="eastAsia"/>
                        <w:bCs/>
                        <w:sz w:val="16"/>
                        <w:szCs w:val="16"/>
                        <w:lang w:val="en-GB"/>
                      </w:rPr>
                      <w:t>上期发生额</w:t>
                    </w:r>
                  </w:p>
                </w:tc>
              </w:sdtContent>
            </w:sdt>
          </w:tr>
          <w:tr w:rsidR="00460F7A" w:rsidTr="00DB008B">
            <w:trPr>
              <w:trHeight w:val="241"/>
            </w:trPr>
            <w:tc>
              <w:tcPr>
                <w:tcW w:w="833" w:type="pct"/>
                <w:vMerge/>
                <w:shd w:val="clear" w:color="auto" w:fill="auto"/>
                <w:vAlign w:val="center"/>
              </w:tcPr>
              <w:p w:rsidR="00460F7A" w:rsidRPr="00460F7A" w:rsidRDefault="00460F7A" w:rsidP="00DB008B">
                <w:pPr>
                  <w:jc w:val="center"/>
                  <w:rPr>
                    <w:rFonts w:cs="Arial"/>
                    <w:bCs/>
                    <w:sz w:val="16"/>
                    <w:szCs w:val="16"/>
                  </w:rPr>
                </w:pPr>
              </w:p>
            </w:tc>
            <w:sdt>
              <w:sdtPr>
                <w:rPr>
                  <w:sz w:val="16"/>
                  <w:szCs w:val="16"/>
                </w:rPr>
                <w:tag w:val="_PLD_0ff6644b89fa49828839f84e0b320d2e"/>
                <w:id w:val="1054973562"/>
                <w:lock w:val="sdtLocked"/>
              </w:sdtPr>
              <w:sdtContent>
                <w:tc>
                  <w:tcPr>
                    <w:tcW w:w="498" w:type="pct"/>
                    <w:shd w:val="clear" w:color="auto" w:fill="auto"/>
                    <w:vAlign w:val="center"/>
                  </w:tcPr>
                  <w:p w:rsidR="00460F7A" w:rsidRPr="00460F7A" w:rsidRDefault="00460F7A" w:rsidP="00DB008B">
                    <w:pPr>
                      <w:spacing w:line="276" w:lineRule="auto"/>
                      <w:jc w:val="center"/>
                      <w:rPr>
                        <w:rFonts w:cs="Arial"/>
                        <w:sz w:val="16"/>
                        <w:szCs w:val="16"/>
                      </w:rPr>
                    </w:pPr>
                    <w:r w:rsidRPr="00460F7A">
                      <w:rPr>
                        <w:rFonts w:cs="Arial" w:hint="eastAsia"/>
                        <w:sz w:val="16"/>
                        <w:szCs w:val="16"/>
                        <w:lang w:val="en-GB"/>
                      </w:rPr>
                      <w:t>营业收入</w:t>
                    </w:r>
                  </w:p>
                </w:tc>
              </w:sdtContent>
            </w:sdt>
            <w:sdt>
              <w:sdtPr>
                <w:rPr>
                  <w:sz w:val="16"/>
                  <w:szCs w:val="16"/>
                </w:rPr>
                <w:tag w:val="_PLD_3ed6f54533ae4b35b5749cded650328b"/>
                <w:id w:val="-13924981"/>
                <w:lock w:val="sdtLocked"/>
              </w:sdtPr>
              <w:sdtContent>
                <w:tc>
                  <w:tcPr>
                    <w:tcW w:w="476" w:type="pct"/>
                    <w:shd w:val="clear" w:color="auto" w:fill="auto"/>
                    <w:vAlign w:val="center"/>
                  </w:tcPr>
                  <w:p w:rsidR="00460F7A" w:rsidRPr="00460F7A" w:rsidRDefault="00460F7A" w:rsidP="00DB008B">
                    <w:pPr>
                      <w:spacing w:line="276" w:lineRule="auto"/>
                      <w:jc w:val="center"/>
                      <w:rPr>
                        <w:rFonts w:cs="Arial"/>
                        <w:sz w:val="16"/>
                        <w:szCs w:val="16"/>
                      </w:rPr>
                    </w:pPr>
                    <w:r w:rsidRPr="00460F7A">
                      <w:rPr>
                        <w:rFonts w:cs="Arial" w:hint="eastAsia"/>
                        <w:sz w:val="16"/>
                        <w:szCs w:val="16"/>
                        <w:lang w:val="en-GB"/>
                      </w:rPr>
                      <w:t>净利润</w:t>
                    </w:r>
                  </w:p>
                </w:tc>
              </w:sdtContent>
            </w:sdt>
            <w:sdt>
              <w:sdtPr>
                <w:rPr>
                  <w:sz w:val="16"/>
                  <w:szCs w:val="16"/>
                </w:rPr>
                <w:tag w:val="_PLD_f277e496f88240b8a09027ca500f53c9"/>
                <w:id w:val="1980416940"/>
                <w:lock w:val="sdtLocked"/>
              </w:sdtPr>
              <w:sdtContent>
                <w:tc>
                  <w:tcPr>
                    <w:tcW w:w="527" w:type="pct"/>
                    <w:shd w:val="clear" w:color="auto" w:fill="auto"/>
                    <w:vAlign w:val="center"/>
                  </w:tcPr>
                  <w:p w:rsidR="00460F7A" w:rsidRPr="00460F7A" w:rsidRDefault="00460F7A" w:rsidP="00DB008B">
                    <w:pPr>
                      <w:spacing w:line="276" w:lineRule="auto"/>
                      <w:jc w:val="center"/>
                      <w:rPr>
                        <w:rFonts w:cs="Arial"/>
                        <w:sz w:val="16"/>
                        <w:szCs w:val="16"/>
                      </w:rPr>
                    </w:pPr>
                    <w:r w:rsidRPr="00460F7A">
                      <w:rPr>
                        <w:rFonts w:cs="Arial" w:hint="eastAsia"/>
                        <w:sz w:val="16"/>
                        <w:szCs w:val="16"/>
                        <w:lang w:val="en-GB"/>
                      </w:rPr>
                      <w:t>综合收益总额</w:t>
                    </w:r>
                  </w:p>
                </w:tc>
              </w:sdtContent>
            </w:sdt>
            <w:sdt>
              <w:sdtPr>
                <w:rPr>
                  <w:sz w:val="16"/>
                  <w:szCs w:val="16"/>
                </w:rPr>
                <w:tag w:val="_PLD_b06ad8ebb20b4c158ab41b3105f22658"/>
                <w:id w:val="-226069297"/>
                <w:lock w:val="sdtLocked"/>
              </w:sdtPr>
              <w:sdtContent>
                <w:tc>
                  <w:tcPr>
                    <w:tcW w:w="583" w:type="pct"/>
                    <w:shd w:val="clear" w:color="auto" w:fill="auto"/>
                    <w:vAlign w:val="center"/>
                  </w:tcPr>
                  <w:p w:rsidR="00460F7A" w:rsidRPr="00460F7A" w:rsidRDefault="00460F7A" w:rsidP="00DB008B">
                    <w:pPr>
                      <w:spacing w:line="276" w:lineRule="auto"/>
                      <w:jc w:val="center"/>
                      <w:rPr>
                        <w:rFonts w:cs="Arial"/>
                        <w:sz w:val="16"/>
                        <w:szCs w:val="16"/>
                      </w:rPr>
                    </w:pPr>
                    <w:r w:rsidRPr="00460F7A">
                      <w:rPr>
                        <w:rFonts w:cs="Arial" w:hint="eastAsia"/>
                        <w:sz w:val="16"/>
                        <w:szCs w:val="16"/>
                        <w:lang w:val="en-GB"/>
                      </w:rPr>
                      <w:t>经营活动现金流量</w:t>
                    </w:r>
                  </w:p>
                </w:tc>
              </w:sdtContent>
            </w:sdt>
            <w:sdt>
              <w:sdtPr>
                <w:rPr>
                  <w:sz w:val="16"/>
                  <w:szCs w:val="16"/>
                </w:rPr>
                <w:tag w:val="_PLD_4fc4163d4ea74839b6634e2ab30a43dd"/>
                <w:id w:val="-2076889208"/>
                <w:lock w:val="sdtLocked"/>
              </w:sdtPr>
              <w:sdtContent>
                <w:tc>
                  <w:tcPr>
                    <w:tcW w:w="498" w:type="pct"/>
                    <w:shd w:val="clear" w:color="auto" w:fill="auto"/>
                    <w:vAlign w:val="center"/>
                  </w:tcPr>
                  <w:p w:rsidR="00460F7A" w:rsidRPr="00460F7A" w:rsidRDefault="00460F7A" w:rsidP="00DB008B">
                    <w:pPr>
                      <w:spacing w:line="276" w:lineRule="auto"/>
                      <w:jc w:val="center"/>
                      <w:rPr>
                        <w:rFonts w:cs="Arial"/>
                        <w:sz w:val="16"/>
                        <w:szCs w:val="16"/>
                      </w:rPr>
                    </w:pPr>
                    <w:r w:rsidRPr="00460F7A">
                      <w:rPr>
                        <w:rFonts w:cs="Arial" w:hint="eastAsia"/>
                        <w:sz w:val="16"/>
                        <w:szCs w:val="16"/>
                        <w:lang w:val="en-GB"/>
                      </w:rPr>
                      <w:t>营业收入</w:t>
                    </w:r>
                  </w:p>
                </w:tc>
              </w:sdtContent>
            </w:sdt>
            <w:sdt>
              <w:sdtPr>
                <w:rPr>
                  <w:sz w:val="16"/>
                  <w:szCs w:val="16"/>
                </w:rPr>
                <w:tag w:val="_PLD_afe353d057d34119880797ab0530197f"/>
                <w:id w:val="-717347282"/>
                <w:lock w:val="sdtLocked"/>
              </w:sdtPr>
              <w:sdtContent>
                <w:tc>
                  <w:tcPr>
                    <w:tcW w:w="476" w:type="pct"/>
                    <w:shd w:val="clear" w:color="auto" w:fill="auto"/>
                    <w:vAlign w:val="center"/>
                  </w:tcPr>
                  <w:p w:rsidR="00460F7A" w:rsidRPr="00460F7A" w:rsidRDefault="00460F7A" w:rsidP="00DB008B">
                    <w:pPr>
                      <w:spacing w:line="276" w:lineRule="auto"/>
                      <w:jc w:val="center"/>
                      <w:rPr>
                        <w:rFonts w:cs="Arial"/>
                        <w:sz w:val="16"/>
                        <w:szCs w:val="16"/>
                      </w:rPr>
                    </w:pPr>
                    <w:r w:rsidRPr="00460F7A">
                      <w:rPr>
                        <w:rFonts w:cs="Arial" w:hint="eastAsia"/>
                        <w:sz w:val="16"/>
                        <w:szCs w:val="16"/>
                        <w:lang w:val="en-GB"/>
                      </w:rPr>
                      <w:t>净利润</w:t>
                    </w:r>
                  </w:p>
                </w:tc>
              </w:sdtContent>
            </w:sdt>
            <w:sdt>
              <w:sdtPr>
                <w:rPr>
                  <w:sz w:val="16"/>
                  <w:szCs w:val="16"/>
                </w:rPr>
                <w:tag w:val="_PLD_06c5ed8a09a8478bb7daf6526e9a9894"/>
                <w:id w:val="-226459313"/>
                <w:lock w:val="sdtLocked"/>
              </w:sdtPr>
              <w:sdtContent>
                <w:tc>
                  <w:tcPr>
                    <w:tcW w:w="527" w:type="pct"/>
                    <w:shd w:val="clear" w:color="auto" w:fill="auto"/>
                    <w:vAlign w:val="center"/>
                  </w:tcPr>
                  <w:p w:rsidR="00460F7A" w:rsidRPr="00460F7A" w:rsidRDefault="00460F7A" w:rsidP="00DB008B">
                    <w:pPr>
                      <w:spacing w:line="276" w:lineRule="auto"/>
                      <w:jc w:val="center"/>
                      <w:rPr>
                        <w:rFonts w:cs="Arial"/>
                        <w:sz w:val="16"/>
                        <w:szCs w:val="16"/>
                      </w:rPr>
                    </w:pPr>
                    <w:r w:rsidRPr="00460F7A">
                      <w:rPr>
                        <w:rFonts w:cs="Arial" w:hint="eastAsia"/>
                        <w:sz w:val="16"/>
                        <w:szCs w:val="16"/>
                        <w:lang w:val="en-GB"/>
                      </w:rPr>
                      <w:t>综合收益总额</w:t>
                    </w:r>
                  </w:p>
                </w:tc>
              </w:sdtContent>
            </w:sdt>
            <w:sdt>
              <w:sdtPr>
                <w:rPr>
                  <w:sz w:val="16"/>
                  <w:szCs w:val="16"/>
                </w:rPr>
                <w:tag w:val="_PLD_4bb5318561af41709725de1d7e458dde"/>
                <w:id w:val="577409204"/>
                <w:lock w:val="sdtLocked"/>
              </w:sdtPr>
              <w:sdtContent>
                <w:tc>
                  <w:tcPr>
                    <w:tcW w:w="583" w:type="pct"/>
                    <w:shd w:val="clear" w:color="auto" w:fill="auto"/>
                    <w:vAlign w:val="center"/>
                  </w:tcPr>
                  <w:p w:rsidR="00460F7A" w:rsidRPr="00460F7A" w:rsidRDefault="00460F7A" w:rsidP="00DB008B">
                    <w:pPr>
                      <w:spacing w:line="276" w:lineRule="auto"/>
                      <w:jc w:val="center"/>
                      <w:rPr>
                        <w:rFonts w:cs="Arial"/>
                        <w:sz w:val="16"/>
                        <w:szCs w:val="16"/>
                      </w:rPr>
                    </w:pPr>
                    <w:r w:rsidRPr="00460F7A">
                      <w:rPr>
                        <w:rFonts w:cs="Arial" w:hint="eastAsia"/>
                        <w:sz w:val="16"/>
                        <w:szCs w:val="16"/>
                        <w:lang w:val="en-GB"/>
                      </w:rPr>
                      <w:t>经营活动现金流量</w:t>
                    </w:r>
                  </w:p>
                </w:tc>
              </w:sdtContent>
            </w:sdt>
          </w:tr>
          <w:sdt>
            <w:sdtPr>
              <w:rPr>
                <w:sz w:val="16"/>
                <w:szCs w:val="16"/>
              </w:rPr>
              <w:alias w:val="重要非全资子公司的主要财务信息明细"/>
              <w:tag w:val="_GBC_330f4405d49345f7b8f69770f6eb8b4a"/>
              <w:id w:val="-1498566646"/>
              <w:lock w:val="sdtLocked"/>
            </w:sdtPr>
            <w:sdtContent>
              <w:tr w:rsidR="00460F7A" w:rsidTr="00DB008B">
                <w:tc>
                  <w:tcPr>
                    <w:tcW w:w="833" w:type="pct"/>
                  </w:tcPr>
                  <w:p w:rsidR="00460F7A" w:rsidRPr="00460F7A" w:rsidRDefault="00460F7A" w:rsidP="00DB008B">
                    <w:pPr>
                      <w:spacing w:line="276" w:lineRule="auto"/>
                      <w:rPr>
                        <w:sz w:val="16"/>
                        <w:szCs w:val="16"/>
                      </w:rPr>
                    </w:pPr>
                    <w:r w:rsidRPr="00460F7A">
                      <w:rPr>
                        <w:sz w:val="16"/>
                        <w:szCs w:val="16"/>
                      </w:rPr>
                      <w:t>侯禹铁路公司</w:t>
                    </w:r>
                  </w:p>
                </w:tc>
                <w:tc>
                  <w:tcPr>
                    <w:tcW w:w="498" w:type="pct"/>
                  </w:tcPr>
                  <w:p w:rsidR="00460F7A" w:rsidRPr="00460F7A" w:rsidRDefault="00460F7A" w:rsidP="00DB008B">
                    <w:pPr>
                      <w:spacing w:line="276" w:lineRule="auto"/>
                      <w:jc w:val="right"/>
                      <w:rPr>
                        <w:sz w:val="16"/>
                        <w:szCs w:val="16"/>
                      </w:rPr>
                    </w:pPr>
                    <w:r w:rsidRPr="00460F7A">
                      <w:rPr>
                        <w:sz w:val="16"/>
                        <w:szCs w:val="16"/>
                      </w:rPr>
                      <w:t>2,380,628,920</w:t>
                    </w:r>
                  </w:p>
                </w:tc>
                <w:tc>
                  <w:tcPr>
                    <w:tcW w:w="476" w:type="pct"/>
                  </w:tcPr>
                  <w:p w:rsidR="00460F7A" w:rsidRPr="00460F7A" w:rsidRDefault="00460F7A" w:rsidP="00DB008B">
                    <w:pPr>
                      <w:spacing w:line="276" w:lineRule="auto"/>
                      <w:jc w:val="right"/>
                      <w:rPr>
                        <w:sz w:val="16"/>
                        <w:szCs w:val="16"/>
                      </w:rPr>
                    </w:pPr>
                    <w:r w:rsidRPr="00460F7A">
                      <w:rPr>
                        <w:sz w:val="16"/>
                        <w:szCs w:val="16"/>
                      </w:rPr>
                      <w:t>224,880,167</w:t>
                    </w:r>
                  </w:p>
                </w:tc>
                <w:tc>
                  <w:tcPr>
                    <w:tcW w:w="527" w:type="pct"/>
                  </w:tcPr>
                  <w:p w:rsidR="00460F7A" w:rsidRPr="00460F7A" w:rsidRDefault="00460F7A" w:rsidP="00DB008B">
                    <w:pPr>
                      <w:spacing w:line="276" w:lineRule="auto"/>
                      <w:jc w:val="right"/>
                      <w:rPr>
                        <w:sz w:val="16"/>
                        <w:szCs w:val="16"/>
                      </w:rPr>
                    </w:pPr>
                    <w:r w:rsidRPr="00460F7A">
                      <w:rPr>
                        <w:sz w:val="16"/>
                        <w:szCs w:val="16"/>
                      </w:rPr>
                      <w:t>224,881,586</w:t>
                    </w:r>
                  </w:p>
                </w:tc>
                <w:tc>
                  <w:tcPr>
                    <w:tcW w:w="583" w:type="pct"/>
                  </w:tcPr>
                  <w:p w:rsidR="00460F7A" w:rsidRPr="00460F7A" w:rsidRDefault="00460F7A" w:rsidP="00DB008B">
                    <w:pPr>
                      <w:spacing w:line="276" w:lineRule="auto"/>
                      <w:jc w:val="right"/>
                      <w:rPr>
                        <w:sz w:val="16"/>
                        <w:szCs w:val="16"/>
                      </w:rPr>
                    </w:pPr>
                    <w:r w:rsidRPr="00460F7A">
                      <w:rPr>
                        <w:sz w:val="16"/>
                        <w:szCs w:val="16"/>
                      </w:rPr>
                      <w:t>432,296,459</w:t>
                    </w:r>
                  </w:p>
                </w:tc>
                <w:tc>
                  <w:tcPr>
                    <w:tcW w:w="498" w:type="pct"/>
                  </w:tcPr>
                  <w:p w:rsidR="00460F7A" w:rsidRPr="00460F7A" w:rsidRDefault="00460F7A" w:rsidP="00DB008B">
                    <w:pPr>
                      <w:spacing w:line="276" w:lineRule="auto"/>
                      <w:jc w:val="right"/>
                      <w:rPr>
                        <w:sz w:val="16"/>
                        <w:szCs w:val="16"/>
                      </w:rPr>
                    </w:pPr>
                    <w:r w:rsidRPr="00460F7A">
                      <w:rPr>
                        <w:sz w:val="16"/>
                        <w:szCs w:val="16"/>
                      </w:rPr>
                      <w:t>2,198,699,696</w:t>
                    </w:r>
                  </w:p>
                </w:tc>
                <w:tc>
                  <w:tcPr>
                    <w:tcW w:w="476" w:type="pct"/>
                  </w:tcPr>
                  <w:p w:rsidR="00460F7A" w:rsidRPr="00460F7A" w:rsidRDefault="00460F7A" w:rsidP="00DB008B">
                    <w:pPr>
                      <w:spacing w:line="276" w:lineRule="auto"/>
                      <w:jc w:val="right"/>
                      <w:rPr>
                        <w:sz w:val="16"/>
                        <w:szCs w:val="16"/>
                      </w:rPr>
                    </w:pPr>
                    <w:r w:rsidRPr="00460F7A">
                      <w:rPr>
                        <w:sz w:val="16"/>
                        <w:szCs w:val="16"/>
                      </w:rPr>
                      <w:t>133,052,263</w:t>
                    </w:r>
                  </w:p>
                </w:tc>
                <w:tc>
                  <w:tcPr>
                    <w:tcW w:w="527" w:type="pct"/>
                  </w:tcPr>
                  <w:p w:rsidR="00460F7A" w:rsidRPr="00460F7A" w:rsidRDefault="00460F7A" w:rsidP="00DB008B">
                    <w:pPr>
                      <w:spacing w:line="276" w:lineRule="auto"/>
                      <w:jc w:val="right"/>
                      <w:rPr>
                        <w:sz w:val="16"/>
                        <w:szCs w:val="16"/>
                      </w:rPr>
                    </w:pPr>
                    <w:r w:rsidRPr="00460F7A">
                      <w:rPr>
                        <w:sz w:val="16"/>
                        <w:szCs w:val="16"/>
                      </w:rPr>
                      <w:t>133,051,882</w:t>
                    </w:r>
                  </w:p>
                </w:tc>
                <w:tc>
                  <w:tcPr>
                    <w:tcW w:w="583" w:type="pct"/>
                  </w:tcPr>
                  <w:p w:rsidR="00460F7A" w:rsidRPr="00460F7A" w:rsidRDefault="00460F7A" w:rsidP="00DB008B">
                    <w:pPr>
                      <w:spacing w:line="276" w:lineRule="auto"/>
                      <w:jc w:val="right"/>
                      <w:rPr>
                        <w:sz w:val="16"/>
                        <w:szCs w:val="16"/>
                      </w:rPr>
                    </w:pPr>
                    <w:r w:rsidRPr="00460F7A">
                      <w:rPr>
                        <w:sz w:val="16"/>
                        <w:szCs w:val="16"/>
                      </w:rPr>
                      <w:t>322,002,143</w:t>
                    </w:r>
                  </w:p>
                </w:tc>
              </w:tr>
            </w:sdtContent>
          </w:sdt>
          <w:sdt>
            <w:sdtPr>
              <w:rPr>
                <w:sz w:val="16"/>
                <w:szCs w:val="16"/>
              </w:rPr>
              <w:alias w:val="重要非全资子公司的主要财务信息明细"/>
              <w:tag w:val="_GBC_330f4405d49345f7b8f69770f6eb8b4a"/>
              <w:id w:val="-595325208"/>
              <w:lock w:val="sdtLocked"/>
            </w:sdtPr>
            <w:sdtContent>
              <w:tr w:rsidR="00460F7A" w:rsidTr="00DB008B">
                <w:tc>
                  <w:tcPr>
                    <w:tcW w:w="833" w:type="pct"/>
                  </w:tcPr>
                  <w:p w:rsidR="00460F7A" w:rsidRPr="00460F7A" w:rsidRDefault="00460F7A" w:rsidP="00DB008B">
                    <w:pPr>
                      <w:spacing w:line="276" w:lineRule="auto"/>
                      <w:rPr>
                        <w:sz w:val="16"/>
                        <w:szCs w:val="16"/>
                      </w:rPr>
                    </w:pPr>
                    <w:r w:rsidRPr="00460F7A">
                      <w:rPr>
                        <w:sz w:val="16"/>
                        <w:szCs w:val="16"/>
                      </w:rPr>
                      <w:t>太兴铁路公司</w:t>
                    </w:r>
                  </w:p>
                </w:tc>
                <w:tc>
                  <w:tcPr>
                    <w:tcW w:w="498" w:type="pct"/>
                  </w:tcPr>
                  <w:p w:rsidR="00460F7A" w:rsidRPr="00460F7A" w:rsidRDefault="00460F7A" w:rsidP="00DB008B">
                    <w:pPr>
                      <w:spacing w:line="276" w:lineRule="auto"/>
                      <w:jc w:val="right"/>
                      <w:rPr>
                        <w:sz w:val="16"/>
                        <w:szCs w:val="16"/>
                      </w:rPr>
                    </w:pPr>
                    <w:r w:rsidRPr="00460F7A">
                      <w:rPr>
                        <w:sz w:val="16"/>
                        <w:szCs w:val="16"/>
                      </w:rPr>
                      <w:t>2,103,610,783</w:t>
                    </w:r>
                  </w:p>
                </w:tc>
                <w:tc>
                  <w:tcPr>
                    <w:tcW w:w="476" w:type="pct"/>
                  </w:tcPr>
                  <w:p w:rsidR="00460F7A" w:rsidRPr="00460F7A" w:rsidRDefault="00460F7A" w:rsidP="00DB008B">
                    <w:pPr>
                      <w:spacing w:line="276" w:lineRule="auto"/>
                      <w:jc w:val="right"/>
                      <w:rPr>
                        <w:sz w:val="16"/>
                        <w:szCs w:val="16"/>
                      </w:rPr>
                    </w:pPr>
                    <w:r w:rsidRPr="00460F7A">
                      <w:rPr>
                        <w:sz w:val="16"/>
                        <w:szCs w:val="16"/>
                      </w:rPr>
                      <w:t>62,826,620</w:t>
                    </w:r>
                  </w:p>
                </w:tc>
                <w:tc>
                  <w:tcPr>
                    <w:tcW w:w="527" w:type="pct"/>
                  </w:tcPr>
                  <w:p w:rsidR="00460F7A" w:rsidRPr="00460F7A" w:rsidRDefault="00460F7A" w:rsidP="00DB008B">
                    <w:pPr>
                      <w:spacing w:line="276" w:lineRule="auto"/>
                      <w:jc w:val="right"/>
                      <w:rPr>
                        <w:sz w:val="16"/>
                        <w:szCs w:val="16"/>
                      </w:rPr>
                    </w:pPr>
                    <w:r w:rsidRPr="00460F7A">
                      <w:rPr>
                        <w:sz w:val="16"/>
                        <w:szCs w:val="16"/>
                      </w:rPr>
                      <w:t>62,828,755</w:t>
                    </w:r>
                  </w:p>
                </w:tc>
                <w:tc>
                  <w:tcPr>
                    <w:tcW w:w="583" w:type="pct"/>
                  </w:tcPr>
                  <w:p w:rsidR="00460F7A" w:rsidRPr="00460F7A" w:rsidRDefault="00460F7A" w:rsidP="00DB008B">
                    <w:pPr>
                      <w:spacing w:line="276" w:lineRule="auto"/>
                      <w:jc w:val="right"/>
                      <w:rPr>
                        <w:sz w:val="16"/>
                        <w:szCs w:val="16"/>
                      </w:rPr>
                    </w:pPr>
                    <w:r w:rsidRPr="00460F7A">
                      <w:rPr>
                        <w:sz w:val="16"/>
                        <w:szCs w:val="16"/>
                      </w:rPr>
                      <w:t>492,822,588</w:t>
                    </w:r>
                  </w:p>
                </w:tc>
                <w:tc>
                  <w:tcPr>
                    <w:tcW w:w="498" w:type="pct"/>
                  </w:tcPr>
                  <w:p w:rsidR="00460F7A" w:rsidRPr="00460F7A" w:rsidRDefault="00460F7A" w:rsidP="00DB008B">
                    <w:pPr>
                      <w:spacing w:line="276" w:lineRule="auto"/>
                      <w:jc w:val="right"/>
                      <w:rPr>
                        <w:sz w:val="16"/>
                        <w:szCs w:val="16"/>
                      </w:rPr>
                    </w:pPr>
                    <w:r w:rsidRPr="00460F7A">
                      <w:rPr>
                        <w:sz w:val="16"/>
                        <w:szCs w:val="16"/>
                      </w:rPr>
                      <w:t>2,093,168,706</w:t>
                    </w:r>
                  </w:p>
                </w:tc>
                <w:tc>
                  <w:tcPr>
                    <w:tcW w:w="476" w:type="pct"/>
                  </w:tcPr>
                  <w:p w:rsidR="00460F7A" w:rsidRPr="00460F7A" w:rsidRDefault="00460F7A" w:rsidP="00DB008B">
                    <w:pPr>
                      <w:spacing w:line="276" w:lineRule="auto"/>
                      <w:jc w:val="right"/>
                      <w:rPr>
                        <w:sz w:val="16"/>
                        <w:szCs w:val="16"/>
                      </w:rPr>
                    </w:pPr>
                    <w:r w:rsidRPr="00460F7A">
                      <w:rPr>
                        <w:sz w:val="16"/>
                        <w:szCs w:val="16"/>
                      </w:rPr>
                      <w:t>52,248,066</w:t>
                    </w:r>
                  </w:p>
                </w:tc>
                <w:tc>
                  <w:tcPr>
                    <w:tcW w:w="527" w:type="pct"/>
                  </w:tcPr>
                  <w:p w:rsidR="00460F7A" w:rsidRPr="00460F7A" w:rsidRDefault="00460F7A" w:rsidP="00DB008B">
                    <w:pPr>
                      <w:spacing w:line="276" w:lineRule="auto"/>
                      <w:jc w:val="right"/>
                      <w:rPr>
                        <w:sz w:val="16"/>
                        <w:szCs w:val="16"/>
                      </w:rPr>
                    </w:pPr>
                    <w:r w:rsidRPr="00460F7A">
                      <w:rPr>
                        <w:sz w:val="16"/>
                        <w:szCs w:val="16"/>
                      </w:rPr>
                      <w:t>52,247,534</w:t>
                    </w:r>
                  </w:p>
                </w:tc>
                <w:tc>
                  <w:tcPr>
                    <w:tcW w:w="583" w:type="pct"/>
                  </w:tcPr>
                  <w:p w:rsidR="00460F7A" w:rsidRPr="00460F7A" w:rsidRDefault="00460F7A" w:rsidP="00DB008B">
                    <w:pPr>
                      <w:spacing w:line="276" w:lineRule="auto"/>
                      <w:jc w:val="right"/>
                      <w:rPr>
                        <w:sz w:val="16"/>
                        <w:szCs w:val="16"/>
                      </w:rPr>
                    </w:pPr>
                    <w:r w:rsidRPr="00460F7A">
                      <w:rPr>
                        <w:sz w:val="16"/>
                        <w:szCs w:val="16"/>
                      </w:rPr>
                      <w:t>-175,008,742</w:t>
                    </w:r>
                  </w:p>
                </w:tc>
              </w:tr>
            </w:sdtContent>
          </w:sdt>
          <w:sdt>
            <w:sdtPr>
              <w:rPr>
                <w:sz w:val="16"/>
                <w:szCs w:val="16"/>
              </w:rPr>
              <w:alias w:val="重要非全资子公司的主要财务信息明细"/>
              <w:tag w:val="_GBC_330f4405d49345f7b8f69770f6eb8b4a"/>
              <w:id w:val="409663966"/>
              <w:lock w:val="sdtLocked"/>
            </w:sdtPr>
            <w:sdtContent>
              <w:tr w:rsidR="00460F7A" w:rsidTr="00DB008B">
                <w:tc>
                  <w:tcPr>
                    <w:tcW w:w="833" w:type="pct"/>
                  </w:tcPr>
                  <w:p w:rsidR="00460F7A" w:rsidRPr="00460F7A" w:rsidRDefault="00460F7A" w:rsidP="00DB008B">
                    <w:pPr>
                      <w:spacing w:line="276" w:lineRule="auto"/>
                      <w:rPr>
                        <w:sz w:val="16"/>
                        <w:szCs w:val="16"/>
                      </w:rPr>
                    </w:pPr>
                    <w:r w:rsidRPr="00460F7A">
                      <w:rPr>
                        <w:sz w:val="16"/>
                        <w:szCs w:val="16"/>
                      </w:rPr>
                      <w:t>中鼎物流公司</w:t>
                    </w:r>
                  </w:p>
                </w:tc>
                <w:tc>
                  <w:tcPr>
                    <w:tcW w:w="498" w:type="pct"/>
                  </w:tcPr>
                  <w:p w:rsidR="00460F7A" w:rsidRPr="00460F7A" w:rsidRDefault="00460F7A" w:rsidP="00DB008B">
                    <w:pPr>
                      <w:spacing w:line="276" w:lineRule="auto"/>
                      <w:jc w:val="right"/>
                      <w:rPr>
                        <w:sz w:val="16"/>
                        <w:szCs w:val="16"/>
                      </w:rPr>
                    </w:pPr>
                    <w:r w:rsidRPr="00460F7A">
                      <w:rPr>
                        <w:sz w:val="16"/>
                        <w:szCs w:val="16"/>
                      </w:rPr>
                      <w:t>107,845,217</w:t>
                    </w:r>
                  </w:p>
                </w:tc>
                <w:tc>
                  <w:tcPr>
                    <w:tcW w:w="476" w:type="pct"/>
                  </w:tcPr>
                  <w:p w:rsidR="00460F7A" w:rsidRPr="00460F7A" w:rsidRDefault="00460F7A" w:rsidP="00DB008B">
                    <w:pPr>
                      <w:spacing w:line="276" w:lineRule="auto"/>
                      <w:jc w:val="right"/>
                      <w:rPr>
                        <w:sz w:val="16"/>
                        <w:szCs w:val="16"/>
                      </w:rPr>
                    </w:pPr>
                    <w:r w:rsidRPr="00460F7A">
                      <w:rPr>
                        <w:sz w:val="16"/>
                        <w:szCs w:val="16"/>
                      </w:rPr>
                      <w:t>-165,775,505</w:t>
                    </w:r>
                  </w:p>
                </w:tc>
                <w:tc>
                  <w:tcPr>
                    <w:tcW w:w="527" w:type="pct"/>
                  </w:tcPr>
                  <w:p w:rsidR="00460F7A" w:rsidRPr="00460F7A" w:rsidRDefault="00460F7A" w:rsidP="00DB008B">
                    <w:pPr>
                      <w:spacing w:line="276" w:lineRule="auto"/>
                      <w:jc w:val="right"/>
                      <w:rPr>
                        <w:sz w:val="16"/>
                        <w:szCs w:val="16"/>
                      </w:rPr>
                    </w:pPr>
                    <w:r w:rsidRPr="00460F7A">
                      <w:rPr>
                        <w:sz w:val="16"/>
                        <w:szCs w:val="16"/>
                      </w:rPr>
                      <w:t>-165,779,110</w:t>
                    </w:r>
                  </w:p>
                </w:tc>
                <w:tc>
                  <w:tcPr>
                    <w:tcW w:w="583" w:type="pct"/>
                  </w:tcPr>
                  <w:p w:rsidR="00460F7A" w:rsidRPr="00460F7A" w:rsidRDefault="00460F7A" w:rsidP="00DB008B">
                    <w:pPr>
                      <w:spacing w:line="276" w:lineRule="auto"/>
                      <w:jc w:val="right"/>
                      <w:rPr>
                        <w:sz w:val="16"/>
                        <w:szCs w:val="16"/>
                      </w:rPr>
                    </w:pPr>
                    <w:r w:rsidRPr="00460F7A">
                      <w:rPr>
                        <w:sz w:val="16"/>
                        <w:szCs w:val="16"/>
                      </w:rPr>
                      <w:t>2,736,507</w:t>
                    </w:r>
                  </w:p>
                </w:tc>
                <w:tc>
                  <w:tcPr>
                    <w:tcW w:w="498" w:type="pct"/>
                  </w:tcPr>
                  <w:p w:rsidR="00460F7A" w:rsidRPr="00460F7A" w:rsidRDefault="00460F7A" w:rsidP="00DB008B">
                    <w:pPr>
                      <w:spacing w:line="276" w:lineRule="auto"/>
                      <w:jc w:val="right"/>
                      <w:rPr>
                        <w:sz w:val="16"/>
                        <w:szCs w:val="16"/>
                      </w:rPr>
                    </w:pPr>
                    <w:r w:rsidRPr="00460F7A">
                      <w:rPr>
                        <w:sz w:val="16"/>
                        <w:szCs w:val="16"/>
                      </w:rPr>
                      <w:t>113,155,906</w:t>
                    </w:r>
                  </w:p>
                </w:tc>
                <w:tc>
                  <w:tcPr>
                    <w:tcW w:w="476" w:type="pct"/>
                  </w:tcPr>
                  <w:p w:rsidR="00460F7A" w:rsidRPr="00460F7A" w:rsidRDefault="00460F7A" w:rsidP="00DB008B">
                    <w:pPr>
                      <w:spacing w:line="276" w:lineRule="auto"/>
                      <w:jc w:val="right"/>
                      <w:rPr>
                        <w:sz w:val="16"/>
                        <w:szCs w:val="16"/>
                      </w:rPr>
                    </w:pPr>
                    <w:r w:rsidRPr="00460F7A">
                      <w:rPr>
                        <w:sz w:val="16"/>
                        <w:szCs w:val="16"/>
                      </w:rPr>
                      <w:t>-170,471,244</w:t>
                    </w:r>
                  </w:p>
                </w:tc>
                <w:tc>
                  <w:tcPr>
                    <w:tcW w:w="527" w:type="pct"/>
                  </w:tcPr>
                  <w:p w:rsidR="00460F7A" w:rsidRPr="00460F7A" w:rsidRDefault="00460F7A" w:rsidP="00DB008B">
                    <w:pPr>
                      <w:spacing w:line="276" w:lineRule="auto"/>
                      <w:jc w:val="right"/>
                      <w:rPr>
                        <w:sz w:val="16"/>
                        <w:szCs w:val="16"/>
                      </w:rPr>
                    </w:pPr>
                    <w:r w:rsidRPr="00460F7A">
                      <w:rPr>
                        <w:sz w:val="16"/>
                        <w:szCs w:val="16"/>
                      </w:rPr>
                      <w:t>-170,470,933</w:t>
                    </w:r>
                  </w:p>
                </w:tc>
                <w:tc>
                  <w:tcPr>
                    <w:tcW w:w="583" w:type="pct"/>
                  </w:tcPr>
                  <w:p w:rsidR="00460F7A" w:rsidRPr="00460F7A" w:rsidRDefault="00460F7A" w:rsidP="00DB008B">
                    <w:pPr>
                      <w:spacing w:line="276" w:lineRule="auto"/>
                      <w:jc w:val="right"/>
                      <w:rPr>
                        <w:sz w:val="16"/>
                        <w:szCs w:val="16"/>
                      </w:rPr>
                    </w:pPr>
                    <w:r w:rsidRPr="00460F7A">
                      <w:rPr>
                        <w:sz w:val="16"/>
                        <w:szCs w:val="16"/>
                      </w:rPr>
                      <w:t>-1,131,954</w:t>
                    </w:r>
                  </w:p>
                </w:tc>
              </w:tr>
            </w:sdtContent>
          </w:sdt>
          <w:sdt>
            <w:sdtPr>
              <w:rPr>
                <w:sz w:val="16"/>
                <w:szCs w:val="16"/>
              </w:rPr>
              <w:alias w:val="重要非全资子公司的主要财务信息明细"/>
              <w:tag w:val="_GBC_330f4405d49345f7b8f69770f6eb8b4a"/>
              <w:id w:val="836269636"/>
              <w:lock w:val="sdtLocked"/>
            </w:sdtPr>
            <w:sdtContent>
              <w:tr w:rsidR="00460F7A" w:rsidTr="00DB008B">
                <w:tc>
                  <w:tcPr>
                    <w:tcW w:w="833" w:type="pct"/>
                  </w:tcPr>
                  <w:p w:rsidR="00460F7A" w:rsidRPr="00460F7A" w:rsidRDefault="00460F7A" w:rsidP="00DB008B">
                    <w:pPr>
                      <w:spacing w:line="276" w:lineRule="auto"/>
                      <w:rPr>
                        <w:sz w:val="16"/>
                        <w:szCs w:val="16"/>
                      </w:rPr>
                    </w:pPr>
                    <w:r w:rsidRPr="00460F7A">
                      <w:rPr>
                        <w:sz w:val="16"/>
                        <w:szCs w:val="16"/>
                      </w:rPr>
                      <w:t>唐港铁路公司</w:t>
                    </w:r>
                  </w:p>
                </w:tc>
                <w:tc>
                  <w:tcPr>
                    <w:tcW w:w="498" w:type="pct"/>
                  </w:tcPr>
                  <w:p w:rsidR="00460F7A" w:rsidRPr="00460F7A" w:rsidRDefault="00460F7A" w:rsidP="00DB008B">
                    <w:pPr>
                      <w:spacing w:line="276" w:lineRule="auto"/>
                      <w:jc w:val="right"/>
                      <w:rPr>
                        <w:sz w:val="16"/>
                        <w:szCs w:val="16"/>
                      </w:rPr>
                    </w:pPr>
                    <w:r w:rsidRPr="00460F7A">
                      <w:rPr>
                        <w:sz w:val="16"/>
                        <w:szCs w:val="16"/>
                      </w:rPr>
                      <w:t>5,964,296,167</w:t>
                    </w:r>
                  </w:p>
                </w:tc>
                <w:tc>
                  <w:tcPr>
                    <w:tcW w:w="476" w:type="pct"/>
                  </w:tcPr>
                  <w:p w:rsidR="00460F7A" w:rsidRPr="00460F7A" w:rsidRDefault="00460F7A" w:rsidP="00DB008B">
                    <w:pPr>
                      <w:spacing w:line="276" w:lineRule="auto"/>
                      <w:jc w:val="right"/>
                      <w:rPr>
                        <w:sz w:val="16"/>
                        <w:szCs w:val="16"/>
                      </w:rPr>
                    </w:pPr>
                    <w:r w:rsidRPr="00460F7A">
                      <w:rPr>
                        <w:sz w:val="16"/>
                        <w:szCs w:val="16"/>
                      </w:rPr>
                      <w:t>2,087,076,992</w:t>
                    </w:r>
                  </w:p>
                </w:tc>
                <w:tc>
                  <w:tcPr>
                    <w:tcW w:w="527" w:type="pct"/>
                  </w:tcPr>
                  <w:p w:rsidR="00460F7A" w:rsidRPr="00460F7A" w:rsidRDefault="00460F7A" w:rsidP="00DB008B">
                    <w:pPr>
                      <w:spacing w:line="276" w:lineRule="auto"/>
                      <w:jc w:val="right"/>
                      <w:rPr>
                        <w:sz w:val="16"/>
                        <w:szCs w:val="16"/>
                      </w:rPr>
                    </w:pPr>
                    <w:r w:rsidRPr="00460F7A">
                      <w:rPr>
                        <w:sz w:val="16"/>
                        <w:szCs w:val="16"/>
                      </w:rPr>
                      <w:t>2,086,531,452</w:t>
                    </w:r>
                  </w:p>
                </w:tc>
                <w:tc>
                  <w:tcPr>
                    <w:tcW w:w="583" w:type="pct"/>
                  </w:tcPr>
                  <w:p w:rsidR="00460F7A" w:rsidRPr="00460F7A" w:rsidRDefault="00460F7A" w:rsidP="00DB008B">
                    <w:pPr>
                      <w:spacing w:line="276" w:lineRule="auto"/>
                      <w:jc w:val="right"/>
                      <w:rPr>
                        <w:sz w:val="16"/>
                        <w:szCs w:val="16"/>
                      </w:rPr>
                    </w:pPr>
                    <w:r w:rsidRPr="00460F7A">
                      <w:rPr>
                        <w:sz w:val="16"/>
                        <w:szCs w:val="16"/>
                      </w:rPr>
                      <w:t>2,212,127,192</w:t>
                    </w:r>
                  </w:p>
                </w:tc>
                <w:tc>
                  <w:tcPr>
                    <w:tcW w:w="498" w:type="pct"/>
                  </w:tcPr>
                  <w:p w:rsidR="00460F7A" w:rsidRPr="00460F7A" w:rsidRDefault="00460F7A" w:rsidP="00DB008B">
                    <w:pPr>
                      <w:spacing w:line="276" w:lineRule="auto"/>
                      <w:jc w:val="right"/>
                      <w:rPr>
                        <w:sz w:val="16"/>
                        <w:szCs w:val="16"/>
                      </w:rPr>
                    </w:pPr>
                    <w:r w:rsidRPr="00460F7A">
                      <w:rPr>
                        <w:sz w:val="16"/>
                        <w:szCs w:val="16"/>
                      </w:rPr>
                      <w:t>6,161,894,433</w:t>
                    </w:r>
                  </w:p>
                </w:tc>
                <w:tc>
                  <w:tcPr>
                    <w:tcW w:w="476" w:type="pct"/>
                  </w:tcPr>
                  <w:p w:rsidR="00460F7A" w:rsidRPr="00460F7A" w:rsidRDefault="00460F7A" w:rsidP="00DB008B">
                    <w:pPr>
                      <w:spacing w:line="276" w:lineRule="auto"/>
                      <w:jc w:val="right"/>
                      <w:rPr>
                        <w:sz w:val="16"/>
                        <w:szCs w:val="16"/>
                      </w:rPr>
                    </w:pPr>
                    <w:r w:rsidRPr="00460F7A">
                      <w:rPr>
                        <w:sz w:val="16"/>
                        <w:szCs w:val="16"/>
                      </w:rPr>
                      <w:t>1,996,326,321</w:t>
                    </w:r>
                  </w:p>
                </w:tc>
                <w:tc>
                  <w:tcPr>
                    <w:tcW w:w="527" w:type="pct"/>
                  </w:tcPr>
                  <w:p w:rsidR="00460F7A" w:rsidRPr="00460F7A" w:rsidRDefault="00460F7A" w:rsidP="00DB008B">
                    <w:pPr>
                      <w:spacing w:line="276" w:lineRule="auto"/>
                      <w:jc w:val="right"/>
                      <w:rPr>
                        <w:sz w:val="16"/>
                        <w:szCs w:val="16"/>
                      </w:rPr>
                    </w:pPr>
                    <w:r w:rsidRPr="00460F7A">
                      <w:rPr>
                        <w:sz w:val="16"/>
                        <w:szCs w:val="16"/>
                      </w:rPr>
                      <w:t>1,994,106,747</w:t>
                    </w:r>
                  </w:p>
                </w:tc>
                <w:tc>
                  <w:tcPr>
                    <w:tcW w:w="583" w:type="pct"/>
                  </w:tcPr>
                  <w:p w:rsidR="00460F7A" w:rsidRPr="00460F7A" w:rsidRDefault="00460F7A" w:rsidP="00DB008B">
                    <w:pPr>
                      <w:spacing w:line="276" w:lineRule="auto"/>
                      <w:jc w:val="right"/>
                      <w:rPr>
                        <w:sz w:val="16"/>
                        <w:szCs w:val="16"/>
                      </w:rPr>
                    </w:pPr>
                    <w:r w:rsidRPr="00460F7A">
                      <w:rPr>
                        <w:sz w:val="16"/>
                        <w:szCs w:val="16"/>
                      </w:rPr>
                      <w:t>2,412,627,144</w:t>
                    </w:r>
                  </w:p>
                </w:tc>
              </w:tr>
            </w:sdtContent>
          </w:sdt>
          <w:sdt>
            <w:sdtPr>
              <w:rPr>
                <w:sz w:val="16"/>
                <w:szCs w:val="16"/>
              </w:rPr>
              <w:alias w:val="重要非全资子公司的主要财务信息明细"/>
              <w:tag w:val="_GBC_330f4405d49345f7b8f69770f6eb8b4a"/>
              <w:id w:val="1768577686"/>
              <w:lock w:val="sdtLocked"/>
            </w:sdtPr>
            <w:sdtContent>
              <w:tr w:rsidR="00460F7A" w:rsidTr="00DB008B">
                <w:tc>
                  <w:tcPr>
                    <w:tcW w:w="833" w:type="pct"/>
                  </w:tcPr>
                  <w:p w:rsidR="00460F7A" w:rsidRPr="00460F7A" w:rsidRDefault="00460F7A" w:rsidP="00DB008B">
                    <w:pPr>
                      <w:spacing w:line="276" w:lineRule="auto"/>
                      <w:rPr>
                        <w:sz w:val="16"/>
                        <w:szCs w:val="16"/>
                      </w:rPr>
                    </w:pPr>
                    <w:r w:rsidRPr="00460F7A">
                      <w:rPr>
                        <w:sz w:val="16"/>
                        <w:szCs w:val="16"/>
                      </w:rPr>
                      <w:t>西南环铁路公司</w:t>
                    </w:r>
                  </w:p>
                </w:tc>
                <w:tc>
                  <w:tcPr>
                    <w:tcW w:w="498" w:type="pct"/>
                  </w:tcPr>
                  <w:p w:rsidR="00460F7A" w:rsidRPr="00460F7A" w:rsidRDefault="00460F7A" w:rsidP="00DB008B">
                    <w:pPr>
                      <w:spacing w:line="276" w:lineRule="auto"/>
                      <w:jc w:val="right"/>
                      <w:rPr>
                        <w:sz w:val="16"/>
                        <w:szCs w:val="16"/>
                      </w:rPr>
                    </w:pPr>
                    <w:r w:rsidRPr="00460F7A">
                      <w:rPr>
                        <w:sz w:val="16"/>
                        <w:szCs w:val="16"/>
                      </w:rPr>
                      <w:t>558,910,829</w:t>
                    </w:r>
                  </w:p>
                </w:tc>
                <w:tc>
                  <w:tcPr>
                    <w:tcW w:w="476" w:type="pct"/>
                  </w:tcPr>
                  <w:p w:rsidR="00460F7A" w:rsidRPr="00460F7A" w:rsidRDefault="00460F7A" w:rsidP="00DB008B">
                    <w:pPr>
                      <w:spacing w:line="276" w:lineRule="auto"/>
                      <w:jc w:val="right"/>
                      <w:rPr>
                        <w:sz w:val="16"/>
                        <w:szCs w:val="16"/>
                      </w:rPr>
                    </w:pPr>
                    <w:r w:rsidRPr="00460F7A">
                      <w:rPr>
                        <w:sz w:val="16"/>
                        <w:szCs w:val="16"/>
                      </w:rPr>
                      <w:t>-128,617,115</w:t>
                    </w:r>
                  </w:p>
                </w:tc>
                <w:tc>
                  <w:tcPr>
                    <w:tcW w:w="527" w:type="pct"/>
                  </w:tcPr>
                  <w:p w:rsidR="00460F7A" w:rsidRPr="00460F7A" w:rsidRDefault="00460F7A" w:rsidP="00DB008B">
                    <w:pPr>
                      <w:spacing w:line="276" w:lineRule="auto"/>
                      <w:jc w:val="right"/>
                      <w:rPr>
                        <w:sz w:val="16"/>
                        <w:szCs w:val="16"/>
                      </w:rPr>
                    </w:pPr>
                    <w:r w:rsidRPr="00460F7A">
                      <w:rPr>
                        <w:sz w:val="16"/>
                        <w:szCs w:val="16"/>
                      </w:rPr>
                      <w:t>-128,617,115</w:t>
                    </w:r>
                  </w:p>
                </w:tc>
                <w:tc>
                  <w:tcPr>
                    <w:tcW w:w="583" w:type="pct"/>
                  </w:tcPr>
                  <w:p w:rsidR="00460F7A" w:rsidRPr="00460F7A" w:rsidRDefault="00460F7A" w:rsidP="00DB008B">
                    <w:pPr>
                      <w:spacing w:line="276" w:lineRule="auto"/>
                      <w:jc w:val="right"/>
                      <w:rPr>
                        <w:sz w:val="16"/>
                        <w:szCs w:val="16"/>
                      </w:rPr>
                    </w:pPr>
                    <w:r w:rsidRPr="00460F7A">
                      <w:rPr>
                        <w:sz w:val="16"/>
                        <w:szCs w:val="16"/>
                      </w:rPr>
                      <w:t>267,151,321</w:t>
                    </w:r>
                  </w:p>
                </w:tc>
                <w:tc>
                  <w:tcPr>
                    <w:tcW w:w="498" w:type="pct"/>
                  </w:tcPr>
                  <w:p w:rsidR="00460F7A" w:rsidRPr="00460F7A" w:rsidRDefault="00460F7A" w:rsidP="00DB008B">
                    <w:pPr>
                      <w:spacing w:line="276" w:lineRule="auto"/>
                      <w:jc w:val="right"/>
                      <w:rPr>
                        <w:sz w:val="16"/>
                        <w:szCs w:val="16"/>
                      </w:rPr>
                    </w:pPr>
                    <w:r w:rsidRPr="00460F7A">
                      <w:rPr>
                        <w:sz w:val="16"/>
                        <w:szCs w:val="16"/>
                      </w:rPr>
                      <w:t>550,741,408</w:t>
                    </w:r>
                  </w:p>
                </w:tc>
                <w:tc>
                  <w:tcPr>
                    <w:tcW w:w="476" w:type="pct"/>
                  </w:tcPr>
                  <w:p w:rsidR="00460F7A" w:rsidRPr="00460F7A" w:rsidRDefault="00460F7A" w:rsidP="00DB008B">
                    <w:pPr>
                      <w:spacing w:line="276" w:lineRule="auto"/>
                      <w:jc w:val="right"/>
                      <w:rPr>
                        <w:sz w:val="16"/>
                        <w:szCs w:val="16"/>
                      </w:rPr>
                    </w:pPr>
                    <w:r w:rsidRPr="00460F7A">
                      <w:rPr>
                        <w:sz w:val="16"/>
                        <w:szCs w:val="16"/>
                      </w:rPr>
                      <w:t>-50,221,077</w:t>
                    </w:r>
                  </w:p>
                </w:tc>
                <w:tc>
                  <w:tcPr>
                    <w:tcW w:w="527" w:type="pct"/>
                  </w:tcPr>
                  <w:p w:rsidR="00460F7A" w:rsidRPr="00460F7A" w:rsidRDefault="00460F7A" w:rsidP="00DB008B">
                    <w:pPr>
                      <w:spacing w:line="276" w:lineRule="auto"/>
                      <w:jc w:val="right"/>
                      <w:rPr>
                        <w:sz w:val="16"/>
                        <w:szCs w:val="16"/>
                      </w:rPr>
                    </w:pPr>
                    <w:r w:rsidRPr="00460F7A">
                      <w:rPr>
                        <w:sz w:val="16"/>
                        <w:szCs w:val="16"/>
                      </w:rPr>
                      <w:t>-50,221,077</w:t>
                    </w:r>
                  </w:p>
                </w:tc>
                <w:tc>
                  <w:tcPr>
                    <w:tcW w:w="583" w:type="pct"/>
                  </w:tcPr>
                  <w:p w:rsidR="00460F7A" w:rsidRPr="00460F7A" w:rsidRDefault="00460F7A" w:rsidP="00DB008B">
                    <w:pPr>
                      <w:spacing w:line="276" w:lineRule="auto"/>
                      <w:jc w:val="right"/>
                      <w:rPr>
                        <w:sz w:val="16"/>
                        <w:szCs w:val="16"/>
                      </w:rPr>
                    </w:pPr>
                    <w:r w:rsidRPr="00460F7A">
                      <w:rPr>
                        <w:sz w:val="16"/>
                        <w:szCs w:val="16"/>
                      </w:rPr>
                      <w:t>324,456,259</w:t>
                    </w:r>
                  </w:p>
                </w:tc>
              </w:tr>
            </w:sdtContent>
          </w:sdt>
        </w:tbl>
        <w:p w:rsidR="00806678" w:rsidRDefault="00B16377">
          <w:pPr>
            <w:rPr>
              <w:rFonts w:cs="Arial"/>
              <w:szCs w:val="21"/>
            </w:rPr>
          </w:pPr>
          <w:r>
            <w:rPr>
              <w:rFonts w:cs="Arial" w:hint="eastAsia"/>
              <w:szCs w:val="21"/>
            </w:rPr>
            <w:t>其他说明：</w:t>
          </w:r>
        </w:p>
        <w:sdt>
          <w:sdtPr>
            <w:rPr>
              <w:rFonts w:cs="Arial"/>
              <w:szCs w:val="21"/>
            </w:rPr>
            <w:alias w:val="重要非全资子公司的主要财务信息的其他说明"/>
            <w:tag w:val="_GBC_c6413d961dad488aae6fcf0fda2bf33a"/>
            <w:id w:val="1966543380"/>
            <w:lock w:val="sdtLocked"/>
            <w:placeholder>
              <w:docPart w:val="GBC22222222222222222222222222222"/>
            </w:placeholder>
          </w:sdtPr>
          <w:sdtContent>
            <w:p w:rsidR="00C35436" w:rsidRDefault="00535BEA">
              <w:pPr>
                <w:rPr>
                  <w:rFonts w:cs="Arial"/>
                  <w:szCs w:val="21"/>
                </w:rPr>
                <w:sectPr w:rsidR="00C35436" w:rsidSect="00C35436">
                  <w:pgSz w:w="16838" w:h="11906" w:orient="landscape"/>
                  <w:pgMar w:top="1797" w:right="1525" w:bottom="1276" w:left="1440" w:header="856" w:footer="992" w:gutter="0"/>
                  <w:cols w:space="425"/>
                  <w:docGrid w:linePitch="312"/>
                </w:sectPr>
              </w:pPr>
              <w:r>
                <w:rPr>
                  <w:rFonts w:cs="Arial" w:hint="eastAsia"/>
                  <w:szCs w:val="21"/>
                </w:rPr>
                <w:t>无</w:t>
              </w:r>
            </w:p>
          </w:sdtContent>
        </w:sdt>
      </w:sdtContent>
    </w:sdt>
    <w:sdt>
      <w:sdtPr>
        <w:rPr>
          <w:rFonts w:ascii="宋体" w:eastAsia="宋体" w:hAnsi="宋体" w:cs="宋体" w:hint="eastAsia"/>
          <w:b w:val="0"/>
          <w:bCs w:val="0"/>
          <w:kern w:val="0"/>
          <w:szCs w:val="24"/>
        </w:rPr>
        <w:alias w:val="模块:使用企业集团资产和清偿企业集团债务的重大限制"/>
        <w:tag w:val="_GBC_573fe5c9daf0401da00d8fc5198daf66"/>
        <w:id w:val="-125084640"/>
        <w:lock w:val="sdtLocked"/>
        <w:placeholder>
          <w:docPart w:val="GBC22222222222222222222222222222"/>
        </w:placeholder>
      </w:sdtPr>
      <w:sdtEndPr>
        <w:rPr>
          <w:rFonts w:cs="Arial"/>
          <w:szCs w:val="21"/>
        </w:rPr>
      </w:sdtEndPr>
      <w:sdtContent>
        <w:p w:rsidR="00806678" w:rsidRDefault="00B16377" w:rsidP="00FF17C7">
          <w:pPr>
            <w:pStyle w:val="4"/>
            <w:numPr>
              <w:ilvl w:val="3"/>
              <w:numId w:val="51"/>
            </w:numPr>
            <w:ind w:left="424" w:hangingChars="202" w:hanging="424"/>
          </w:pPr>
          <w:r>
            <w:rPr>
              <w:rFonts w:hint="eastAsia"/>
            </w:rPr>
            <w:t>使用企业集团资产和清偿企业集团债务的重大限制</w:t>
          </w:r>
        </w:p>
        <w:sdt>
          <w:sdtPr>
            <w:alias w:val="是否适用：使用企业集团资产和清偿企业集团债务的重大限制[双击切换]"/>
            <w:tag w:val="_GBC_0dc24609295b4971a9a7ef9a15e4f46f"/>
            <w:id w:val="-1389490634"/>
            <w:lock w:val="sdtLocked"/>
            <w:placeholder>
              <w:docPart w:val="GBC22222222222222222222222222222"/>
            </w:placeholder>
          </w:sdtPr>
          <w:sdtContent>
            <w:p w:rsidR="00806678" w:rsidRPr="00C01624" w:rsidRDefault="00F80B6C">
              <w:pPr>
                <w:rPr>
                  <w:rFonts w:cs="Arial"/>
                  <w:b/>
                  <w:szCs w:val="21"/>
                </w:rPr>
              </w:pPr>
              <w:r>
                <w:fldChar w:fldCharType="begin"/>
              </w:r>
              <w:r w:rsidR="005C397C">
                <w:instrText xml:space="preserve">MACROBUTTON  SnrToggleCheckbox □适用 </w:instrText>
              </w:r>
              <w:r>
                <w:fldChar w:fldCharType="end"/>
              </w:r>
              <w:r>
                <w:fldChar w:fldCharType="begin"/>
              </w:r>
              <w:r w:rsidR="005C397C">
                <w:instrText xml:space="preserve"> MACROBUTTON  SnrToggleCheckbox √不适用 </w:instrText>
              </w:r>
              <w:r>
                <w:fldChar w:fldCharType="end"/>
              </w:r>
            </w:p>
          </w:sdtContent>
        </w:sdt>
      </w:sdtContent>
    </w:sdt>
    <w:sdt>
      <w:sdtPr>
        <w:rPr>
          <w:rFonts w:ascii="宋体" w:eastAsia="宋体" w:hAnsi="宋体" w:cs="宋体" w:hint="eastAsia"/>
          <w:b w:val="0"/>
          <w:bCs w:val="0"/>
          <w:kern w:val="0"/>
          <w:szCs w:val="24"/>
        </w:rPr>
        <w:alias w:val="模块:向纳入合并财务报表范围的结构化主体提供的财务支持或其他支持"/>
        <w:tag w:val="_GBC_114877d69a2e4b56b15fb618155127e3"/>
        <w:id w:val="-566948825"/>
        <w:lock w:val="sdtLocked"/>
        <w:placeholder>
          <w:docPart w:val="GBC22222222222222222222222222222"/>
        </w:placeholder>
      </w:sdtPr>
      <w:sdtEndPr>
        <w:rPr>
          <w:rFonts w:cs="Arial"/>
          <w:szCs w:val="21"/>
        </w:rPr>
      </w:sdtEndPr>
      <w:sdtContent>
        <w:p w:rsidR="00806678" w:rsidRDefault="00B16377" w:rsidP="00FF17C7">
          <w:pPr>
            <w:pStyle w:val="4"/>
            <w:numPr>
              <w:ilvl w:val="3"/>
              <w:numId w:val="51"/>
            </w:numPr>
            <w:ind w:left="424" w:hangingChars="202" w:hanging="424"/>
          </w:pPr>
          <w:r>
            <w:rPr>
              <w:rFonts w:hint="eastAsia"/>
            </w:rPr>
            <w:t>向纳入合并财务报表范围的结构化主体提供的财务支持或其他支持</w:t>
          </w:r>
        </w:p>
        <w:sdt>
          <w:sdtPr>
            <w:rPr>
              <w:rFonts w:cs="Arial" w:hint="eastAsia"/>
              <w:szCs w:val="21"/>
            </w:rPr>
            <w:alias w:val="是否适用：向纳入合并财务报表范围的结构化主体提供的财务支持或其他支持[双击切换]"/>
            <w:tag w:val="_GBC_395393741a9c49d1bd1b845f818ade1e"/>
            <w:id w:val="-46764933"/>
            <w:lock w:val="sdtLocked"/>
            <w:placeholder>
              <w:docPart w:val="GBC22222222222222222222222222222"/>
            </w:placeholder>
          </w:sdtPr>
          <w:sdtContent>
            <w:p w:rsidR="00806678" w:rsidRDefault="00F80B6C" w:rsidP="005C397C">
              <w:pPr>
                <w:rPr>
                  <w:rFonts w:cs="Arial"/>
                  <w:szCs w:val="21"/>
                </w:rPr>
              </w:pPr>
              <w:r>
                <w:rPr>
                  <w:rFonts w:cs="Arial"/>
                  <w:szCs w:val="21"/>
                </w:rPr>
                <w:fldChar w:fldCharType="begin"/>
              </w:r>
              <w:r w:rsidR="005C397C">
                <w:rPr>
                  <w:rFonts w:cs="Arial"/>
                  <w:szCs w:val="21"/>
                </w:rPr>
                <w:instrText xml:space="preserve"> MACROBUTTON  SnrToggleCheckbox □适用  </w:instrText>
              </w:r>
              <w:r>
                <w:rPr>
                  <w:rFonts w:cs="Arial"/>
                  <w:szCs w:val="21"/>
                </w:rPr>
                <w:fldChar w:fldCharType="end"/>
              </w:r>
              <w:r>
                <w:rPr>
                  <w:rFonts w:cs="Arial"/>
                  <w:szCs w:val="21"/>
                </w:rPr>
                <w:fldChar w:fldCharType="begin"/>
              </w:r>
              <w:r w:rsidR="005C397C">
                <w:rPr>
                  <w:rFonts w:cs="Arial"/>
                  <w:szCs w:val="21"/>
                </w:rPr>
                <w:instrText xml:space="preserve"> MACROBUTTON  SnrToggleCheckbox √不适用 </w:instrText>
              </w:r>
              <w:r>
                <w:rPr>
                  <w:rFonts w:cs="Arial"/>
                  <w:szCs w:val="21"/>
                </w:rPr>
                <w:fldChar w:fldCharType="end"/>
              </w:r>
            </w:p>
          </w:sdtContent>
        </w:sdt>
      </w:sdtContent>
    </w:sdt>
    <w:sdt>
      <w:sdtPr>
        <w:rPr>
          <w:szCs w:val="21"/>
        </w:rPr>
        <w:alias w:val="模块:在子公司中的权益其他说明"/>
        <w:tag w:val="_GBC_a0f68dc0a3a24efaa431a8c8d768eb0f"/>
        <w:id w:val="1863860147"/>
        <w:lock w:val="sdtLocked"/>
        <w:placeholder>
          <w:docPart w:val="GBC22222222222222222222222222222"/>
        </w:placeholder>
      </w:sdtPr>
      <w:sdtContent>
        <w:p w:rsidR="00806678" w:rsidRDefault="00B16377">
          <w:pPr>
            <w:rPr>
              <w:szCs w:val="21"/>
            </w:rPr>
          </w:pPr>
          <w:r>
            <w:rPr>
              <w:rFonts w:hint="eastAsia"/>
              <w:szCs w:val="21"/>
            </w:rPr>
            <w:t>其他说明：</w:t>
          </w:r>
        </w:p>
        <w:sdt>
          <w:sdtPr>
            <w:rPr>
              <w:szCs w:val="21"/>
            </w:rPr>
            <w:alias w:val="是否适用：在子公司中的权益其他说明[双击切换]"/>
            <w:tag w:val="_GBC_b26ad9d381c8467f9c05b435b2cb6493"/>
            <w:id w:val="1135066874"/>
            <w:lock w:val="sdtLocked"/>
            <w:placeholder>
              <w:docPart w:val="GBC22222222222222222222222222222"/>
            </w:placeholder>
          </w:sdtPr>
          <w:sdtContent>
            <w:p w:rsidR="00806678" w:rsidRDefault="00F80B6C">
              <w:pPr>
                <w:rPr>
                  <w:szCs w:val="21"/>
                </w:rPr>
              </w:pPr>
              <w:r>
                <w:rPr>
                  <w:szCs w:val="21"/>
                </w:rPr>
                <w:fldChar w:fldCharType="begin"/>
              </w:r>
              <w:r w:rsidR="005C397C">
                <w:rPr>
                  <w:szCs w:val="21"/>
                </w:rPr>
                <w:instrText xml:space="preserve">MACROBUTTON  SnrToggleCheckbox □适用 </w:instrText>
              </w:r>
              <w:r>
                <w:rPr>
                  <w:szCs w:val="21"/>
                </w:rPr>
                <w:fldChar w:fldCharType="end"/>
              </w:r>
              <w:r>
                <w:rPr>
                  <w:szCs w:val="21"/>
                </w:rPr>
                <w:fldChar w:fldCharType="begin"/>
              </w:r>
              <w:r w:rsidR="005C397C">
                <w:rPr>
                  <w:szCs w:val="21"/>
                </w:rPr>
                <w:instrText xml:space="preserve"> MACROBUTTON  SnrToggleCheckbox √不适用 </w:instrText>
              </w:r>
              <w:r>
                <w:rPr>
                  <w:szCs w:val="21"/>
                </w:rPr>
                <w:fldChar w:fldCharType="end"/>
              </w:r>
            </w:p>
          </w:sdtContent>
        </w:sdt>
      </w:sdtContent>
    </w:sdt>
    <w:p w:rsidR="00806678" w:rsidRDefault="00B16377" w:rsidP="00FF17C7">
      <w:pPr>
        <w:pStyle w:val="3"/>
        <w:numPr>
          <w:ilvl w:val="2"/>
          <w:numId w:val="50"/>
        </w:numPr>
        <w:rPr>
          <w:rFonts w:ascii="宋体" w:hAnsi="宋体" w:cs="Arial"/>
          <w:szCs w:val="21"/>
        </w:rPr>
      </w:pPr>
      <w:r>
        <w:rPr>
          <w:rFonts w:ascii="宋体" w:hAnsi="宋体" w:cs="Arial" w:hint="eastAsia"/>
          <w:szCs w:val="21"/>
        </w:rPr>
        <w:t>在子公司的所有者权益份额发生变化且仍控制子公司的交易</w:t>
      </w:r>
    </w:p>
    <w:sdt>
      <w:sdtPr>
        <w:alias w:val="是否适用：在子公司的所有者权益份额发生变化且仍控制子公司的交易[双击切换]"/>
        <w:tag w:val="_GBC_4c0599836d204e25b4d5d4f8434a2c4c"/>
        <w:id w:val="-170179435"/>
        <w:lock w:val="sdtLocked"/>
        <w:placeholder>
          <w:docPart w:val="GBC22222222222222222222222222222"/>
        </w:placeholder>
      </w:sdtPr>
      <w:sdtContent>
        <w:p w:rsidR="00806678" w:rsidRDefault="00F80B6C">
          <w:pPr>
            <w:rPr>
              <w:szCs w:val="21"/>
            </w:rPr>
          </w:pPr>
          <w:r>
            <w:fldChar w:fldCharType="begin"/>
          </w:r>
          <w:r w:rsidR="005C397C">
            <w:instrText xml:space="preserve">MACROBUTTON  SnrToggleCheckbox □适用 </w:instrText>
          </w:r>
          <w:r>
            <w:fldChar w:fldCharType="end"/>
          </w:r>
          <w:r>
            <w:fldChar w:fldCharType="begin"/>
          </w:r>
          <w:r w:rsidR="005C397C">
            <w:instrText xml:space="preserve"> MACROBUTTON  SnrToggleCheckbox √不适用 </w:instrText>
          </w:r>
          <w:r>
            <w:fldChar w:fldCharType="end"/>
          </w:r>
        </w:p>
      </w:sdtContent>
    </w:sdt>
    <w:p w:rsidR="00806678" w:rsidRDefault="00B16377" w:rsidP="00FF17C7">
      <w:pPr>
        <w:pStyle w:val="3"/>
        <w:numPr>
          <w:ilvl w:val="2"/>
          <w:numId w:val="50"/>
        </w:numPr>
        <w:rPr>
          <w:rFonts w:ascii="宋体" w:hAnsi="宋体" w:cs="Arial"/>
          <w:szCs w:val="21"/>
        </w:rPr>
      </w:pPr>
      <w:r>
        <w:rPr>
          <w:rFonts w:ascii="宋体" w:hAnsi="宋体" w:cs="Arial" w:hint="eastAsia"/>
          <w:szCs w:val="21"/>
        </w:rPr>
        <w:t>在合营企业或联营企业中的权益</w:t>
      </w:r>
    </w:p>
    <w:sdt>
      <w:sdtPr>
        <w:alias w:val="是否适用：在合营企业或联营企业中的权益[双击切换]"/>
        <w:tag w:val="_GBC_2bff91875b7a49f3929c4613048756c1"/>
        <w:id w:val="-1797679038"/>
        <w:lock w:val="sdtLocked"/>
        <w:placeholder>
          <w:docPart w:val="GBC22222222222222222222222222222"/>
        </w:placeholder>
      </w:sdtPr>
      <w:sdtContent>
        <w:p w:rsidR="00B23534" w:rsidRDefault="00F80B6C">
          <w:r>
            <w:fldChar w:fldCharType="begin"/>
          </w:r>
          <w:r w:rsidR="005C397C">
            <w:instrText xml:space="preserve">MACROBUTTON  SnrToggleCheckbox √适用 </w:instrText>
          </w:r>
          <w:r>
            <w:fldChar w:fldCharType="end"/>
          </w:r>
          <w:r>
            <w:fldChar w:fldCharType="begin"/>
          </w:r>
          <w:r w:rsidR="005C397C">
            <w:instrText xml:space="preserve"> MACROBUTTON  SnrToggleCheckbox □不适用 </w:instrText>
          </w:r>
          <w:r>
            <w:fldChar w:fldCharType="end"/>
          </w:r>
        </w:p>
        <w:p w:rsidR="00806678" w:rsidRDefault="00631A73" w:rsidP="00631A73">
          <w:pPr>
            <w:jc w:val="right"/>
          </w:pPr>
          <w:r>
            <w:rPr>
              <w:rFonts w:hint="eastAsia"/>
            </w:rPr>
            <w:t>单位：元 币种：人民币</w:t>
          </w:r>
        </w:p>
      </w:sdtContent>
    </w:sdt>
    <w:tbl>
      <w:tblPr>
        <w:tblStyle w:val="a6"/>
        <w:tblW w:w="0" w:type="auto"/>
        <w:tblLook w:val="04A0"/>
      </w:tblPr>
      <w:tblGrid>
        <w:gridCol w:w="3016"/>
        <w:gridCol w:w="3016"/>
        <w:gridCol w:w="3017"/>
      </w:tblGrid>
      <w:tr w:rsidR="001945BC" w:rsidTr="004B4952">
        <w:tc>
          <w:tcPr>
            <w:tcW w:w="3016" w:type="dxa"/>
          </w:tcPr>
          <w:p w:rsidR="001945BC" w:rsidRPr="005C397C" w:rsidRDefault="001945BC" w:rsidP="004B4952">
            <w:pPr>
              <w:pStyle w:val="Default"/>
              <w:jc w:val="center"/>
              <w:rPr>
                <w:szCs w:val="21"/>
              </w:rPr>
            </w:pPr>
            <w:r>
              <w:rPr>
                <w:rFonts w:hint="eastAsia"/>
                <w:sz w:val="21"/>
                <w:szCs w:val="21"/>
              </w:rPr>
              <w:t>项目</w:t>
            </w:r>
          </w:p>
        </w:tc>
        <w:tc>
          <w:tcPr>
            <w:tcW w:w="3016" w:type="dxa"/>
          </w:tcPr>
          <w:p w:rsidR="001945BC" w:rsidRDefault="001945BC" w:rsidP="004B4952">
            <w:pPr>
              <w:jc w:val="center"/>
            </w:pPr>
            <w:r w:rsidRPr="005C397C">
              <w:rPr>
                <w:rFonts w:hint="eastAsia"/>
              </w:rPr>
              <w:t>期末余额</w:t>
            </w:r>
          </w:p>
        </w:tc>
        <w:tc>
          <w:tcPr>
            <w:tcW w:w="3017" w:type="dxa"/>
          </w:tcPr>
          <w:p w:rsidR="001945BC" w:rsidRDefault="001945BC" w:rsidP="004B4952">
            <w:pPr>
              <w:jc w:val="center"/>
            </w:pPr>
            <w:r w:rsidRPr="005C397C">
              <w:rPr>
                <w:rFonts w:hint="eastAsia"/>
              </w:rPr>
              <w:t>期初余额</w:t>
            </w:r>
          </w:p>
        </w:tc>
      </w:tr>
      <w:tr w:rsidR="001945BC" w:rsidTr="004B4952">
        <w:tc>
          <w:tcPr>
            <w:tcW w:w="3016" w:type="dxa"/>
            <w:vAlign w:val="bottom"/>
          </w:tcPr>
          <w:p w:rsidR="001945BC" w:rsidRDefault="001945BC" w:rsidP="004B4952">
            <w:pPr>
              <w:jc w:val="left"/>
            </w:pPr>
            <w:r>
              <w:t>合营企业</w:t>
            </w:r>
          </w:p>
        </w:tc>
        <w:tc>
          <w:tcPr>
            <w:tcW w:w="3016" w:type="dxa"/>
            <w:vAlign w:val="bottom"/>
          </w:tcPr>
          <w:p w:rsidR="001945BC" w:rsidRDefault="001945BC" w:rsidP="004B4952">
            <w:pPr>
              <w:jc w:val="right"/>
            </w:pPr>
            <w:r>
              <w:rPr>
                <w:rFonts w:ascii="微软雅黑" w:eastAsia="微软雅黑" w:hAnsi="微软雅黑" w:cs="微软雅黑" w:hint="eastAsia"/>
              </w:rPr>
              <w:t> </w:t>
            </w:r>
          </w:p>
        </w:tc>
        <w:tc>
          <w:tcPr>
            <w:tcW w:w="3017" w:type="dxa"/>
            <w:vAlign w:val="bottom"/>
          </w:tcPr>
          <w:p w:rsidR="001945BC" w:rsidRDefault="001945BC" w:rsidP="004B4952">
            <w:pPr>
              <w:jc w:val="right"/>
            </w:pPr>
            <w:r>
              <w:rPr>
                <w:rFonts w:ascii="微软雅黑" w:eastAsia="微软雅黑" w:hAnsi="微软雅黑" w:cs="微软雅黑" w:hint="eastAsia"/>
              </w:rPr>
              <w:t> </w:t>
            </w:r>
          </w:p>
        </w:tc>
      </w:tr>
      <w:tr w:rsidR="001945BC" w:rsidTr="004B4952">
        <w:tc>
          <w:tcPr>
            <w:tcW w:w="3016" w:type="dxa"/>
            <w:vAlign w:val="bottom"/>
          </w:tcPr>
          <w:p w:rsidR="001945BC" w:rsidRDefault="001945BC" w:rsidP="004B4952">
            <w:pPr>
              <w:jc w:val="left"/>
            </w:pPr>
            <w:r>
              <w:t>- 不重要的合营企业</w:t>
            </w:r>
          </w:p>
        </w:tc>
        <w:tc>
          <w:tcPr>
            <w:tcW w:w="3016" w:type="dxa"/>
            <w:vAlign w:val="bottom"/>
          </w:tcPr>
          <w:p w:rsidR="001945BC" w:rsidRDefault="001945BC" w:rsidP="004B4952">
            <w:pPr>
              <w:jc w:val="right"/>
            </w:pPr>
            <w:r>
              <w:t>4,409,713</w:t>
            </w:r>
          </w:p>
        </w:tc>
        <w:tc>
          <w:tcPr>
            <w:tcW w:w="3017" w:type="dxa"/>
            <w:vAlign w:val="bottom"/>
          </w:tcPr>
          <w:p w:rsidR="001945BC" w:rsidRDefault="001945BC" w:rsidP="004B4952">
            <w:pPr>
              <w:jc w:val="right"/>
            </w:pPr>
            <w:r>
              <w:t>5,973,745</w:t>
            </w:r>
          </w:p>
        </w:tc>
      </w:tr>
      <w:tr w:rsidR="001945BC" w:rsidTr="004B4952">
        <w:trPr>
          <w:trHeight w:val="264"/>
        </w:trPr>
        <w:tc>
          <w:tcPr>
            <w:tcW w:w="3016" w:type="dxa"/>
            <w:vAlign w:val="bottom"/>
          </w:tcPr>
          <w:p w:rsidR="001945BC" w:rsidRDefault="001945BC" w:rsidP="004B4952">
            <w:pPr>
              <w:jc w:val="left"/>
            </w:pPr>
            <w:r>
              <w:t>联营企业</w:t>
            </w:r>
          </w:p>
        </w:tc>
        <w:tc>
          <w:tcPr>
            <w:tcW w:w="3016" w:type="dxa"/>
            <w:vAlign w:val="bottom"/>
          </w:tcPr>
          <w:p w:rsidR="001945BC" w:rsidRDefault="001945BC" w:rsidP="004B4952">
            <w:pPr>
              <w:jc w:val="right"/>
            </w:pPr>
            <w:r>
              <w:rPr>
                <w:rFonts w:ascii="微软雅黑" w:eastAsia="微软雅黑" w:hAnsi="微软雅黑" w:cs="微软雅黑" w:hint="eastAsia"/>
              </w:rPr>
              <w:t> </w:t>
            </w:r>
          </w:p>
        </w:tc>
        <w:tc>
          <w:tcPr>
            <w:tcW w:w="3017" w:type="dxa"/>
            <w:vAlign w:val="bottom"/>
          </w:tcPr>
          <w:p w:rsidR="001945BC" w:rsidRDefault="001945BC" w:rsidP="004B4952">
            <w:pPr>
              <w:jc w:val="right"/>
            </w:pPr>
            <w:r>
              <w:rPr>
                <w:rFonts w:ascii="微软雅黑" w:eastAsia="微软雅黑" w:hAnsi="微软雅黑" w:cs="微软雅黑" w:hint="eastAsia"/>
              </w:rPr>
              <w:t> </w:t>
            </w:r>
          </w:p>
        </w:tc>
      </w:tr>
      <w:tr w:rsidR="001945BC" w:rsidTr="004B4952">
        <w:tc>
          <w:tcPr>
            <w:tcW w:w="3016" w:type="dxa"/>
            <w:vAlign w:val="bottom"/>
          </w:tcPr>
          <w:p w:rsidR="001945BC" w:rsidRDefault="001945BC" w:rsidP="004B4952">
            <w:pPr>
              <w:jc w:val="left"/>
            </w:pPr>
            <w:r>
              <w:t>- 重要的联营企业</w:t>
            </w:r>
          </w:p>
        </w:tc>
        <w:tc>
          <w:tcPr>
            <w:tcW w:w="3016" w:type="dxa"/>
            <w:vAlign w:val="bottom"/>
          </w:tcPr>
          <w:p w:rsidR="001945BC" w:rsidRDefault="001945BC" w:rsidP="004B4952">
            <w:pPr>
              <w:jc w:val="right"/>
            </w:pPr>
            <w:r>
              <w:t>23,900,752,982</w:t>
            </w:r>
          </w:p>
        </w:tc>
        <w:tc>
          <w:tcPr>
            <w:tcW w:w="3017" w:type="dxa"/>
            <w:vAlign w:val="bottom"/>
          </w:tcPr>
          <w:p w:rsidR="001945BC" w:rsidRDefault="001945BC" w:rsidP="004B4952">
            <w:pPr>
              <w:jc w:val="right"/>
            </w:pPr>
            <w:r>
              <w:t>26,470,519,303</w:t>
            </w:r>
          </w:p>
        </w:tc>
      </w:tr>
      <w:tr w:rsidR="001945BC" w:rsidTr="004B4952">
        <w:tc>
          <w:tcPr>
            <w:tcW w:w="3016" w:type="dxa"/>
            <w:vAlign w:val="bottom"/>
          </w:tcPr>
          <w:p w:rsidR="001945BC" w:rsidRDefault="001945BC" w:rsidP="004B4952">
            <w:pPr>
              <w:jc w:val="left"/>
            </w:pPr>
            <w:r>
              <w:t>- 不重要的联营企业</w:t>
            </w:r>
          </w:p>
        </w:tc>
        <w:tc>
          <w:tcPr>
            <w:tcW w:w="3016" w:type="dxa"/>
            <w:vAlign w:val="bottom"/>
          </w:tcPr>
          <w:p w:rsidR="001945BC" w:rsidRDefault="001945BC" w:rsidP="004B4952">
            <w:pPr>
              <w:jc w:val="right"/>
            </w:pPr>
            <w:r>
              <w:t>33,212,909</w:t>
            </w:r>
          </w:p>
        </w:tc>
        <w:tc>
          <w:tcPr>
            <w:tcW w:w="3017" w:type="dxa"/>
            <w:vAlign w:val="bottom"/>
          </w:tcPr>
          <w:p w:rsidR="001945BC" w:rsidRDefault="001945BC" w:rsidP="004B4952">
            <w:pPr>
              <w:jc w:val="right"/>
            </w:pPr>
            <w:r>
              <w:t>38,438,147</w:t>
            </w:r>
          </w:p>
        </w:tc>
      </w:tr>
      <w:tr w:rsidR="001945BC" w:rsidTr="004B4952">
        <w:tc>
          <w:tcPr>
            <w:tcW w:w="3016" w:type="dxa"/>
            <w:vAlign w:val="bottom"/>
          </w:tcPr>
          <w:p w:rsidR="001945BC" w:rsidRDefault="001945BC" w:rsidP="004B4952">
            <w:pPr>
              <w:jc w:val="left"/>
            </w:pPr>
            <w:r>
              <w:t>小计</w:t>
            </w:r>
          </w:p>
        </w:tc>
        <w:tc>
          <w:tcPr>
            <w:tcW w:w="3016" w:type="dxa"/>
            <w:vAlign w:val="bottom"/>
          </w:tcPr>
          <w:p w:rsidR="001945BC" w:rsidRDefault="001945BC" w:rsidP="004B4952">
            <w:pPr>
              <w:jc w:val="right"/>
            </w:pPr>
            <w:r>
              <w:t>23,938,375,604</w:t>
            </w:r>
          </w:p>
        </w:tc>
        <w:tc>
          <w:tcPr>
            <w:tcW w:w="3017" w:type="dxa"/>
            <w:vAlign w:val="bottom"/>
          </w:tcPr>
          <w:p w:rsidR="001945BC" w:rsidRDefault="001945BC" w:rsidP="004B4952">
            <w:pPr>
              <w:jc w:val="right"/>
            </w:pPr>
            <w:r>
              <w:t>26,514,931,195</w:t>
            </w:r>
          </w:p>
        </w:tc>
      </w:tr>
      <w:tr w:rsidR="001945BC" w:rsidTr="004B4952">
        <w:tc>
          <w:tcPr>
            <w:tcW w:w="3016" w:type="dxa"/>
            <w:vAlign w:val="bottom"/>
          </w:tcPr>
          <w:p w:rsidR="001945BC" w:rsidRDefault="001945BC" w:rsidP="004B4952">
            <w:pPr>
              <w:jc w:val="left"/>
            </w:pPr>
            <w:r>
              <w:t>减：减值准备</w:t>
            </w:r>
          </w:p>
        </w:tc>
        <w:tc>
          <w:tcPr>
            <w:tcW w:w="3016" w:type="dxa"/>
            <w:vAlign w:val="bottom"/>
          </w:tcPr>
          <w:p w:rsidR="001945BC" w:rsidRDefault="001945BC" w:rsidP="004B4952">
            <w:pPr>
              <w:jc w:val="right"/>
            </w:pPr>
            <w:r>
              <w:t>0</w:t>
            </w:r>
          </w:p>
        </w:tc>
        <w:tc>
          <w:tcPr>
            <w:tcW w:w="3017" w:type="dxa"/>
            <w:vAlign w:val="bottom"/>
          </w:tcPr>
          <w:p w:rsidR="001945BC" w:rsidRDefault="001945BC" w:rsidP="004B4952">
            <w:pPr>
              <w:jc w:val="right"/>
            </w:pPr>
            <w:r>
              <w:t>0</w:t>
            </w:r>
          </w:p>
        </w:tc>
      </w:tr>
      <w:tr w:rsidR="001945BC" w:rsidTr="004B4952">
        <w:tc>
          <w:tcPr>
            <w:tcW w:w="3016" w:type="dxa"/>
            <w:vAlign w:val="bottom"/>
          </w:tcPr>
          <w:p w:rsidR="001945BC" w:rsidRDefault="001945BC" w:rsidP="004B4952">
            <w:pPr>
              <w:jc w:val="left"/>
            </w:pPr>
            <w:r>
              <w:t>合计</w:t>
            </w:r>
          </w:p>
        </w:tc>
        <w:tc>
          <w:tcPr>
            <w:tcW w:w="3016" w:type="dxa"/>
            <w:vAlign w:val="bottom"/>
          </w:tcPr>
          <w:p w:rsidR="001945BC" w:rsidRDefault="001945BC" w:rsidP="004B4952">
            <w:pPr>
              <w:jc w:val="right"/>
            </w:pPr>
            <w:r>
              <w:t>23,938,375,604</w:t>
            </w:r>
          </w:p>
        </w:tc>
        <w:tc>
          <w:tcPr>
            <w:tcW w:w="3017" w:type="dxa"/>
            <w:vAlign w:val="bottom"/>
          </w:tcPr>
          <w:p w:rsidR="001945BC" w:rsidRDefault="001945BC" w:rsidP="004B4952">
            <w:pPr>
              <w:jc w:val="right"/>
            </w:pPr>
            <w:r>
              <w:t>26,514,931,195</w:t>
            </w:r>
          </w:p>
        </w:tc>
      </w:tr>
    </w:tbl>
    <w:p w:rsidR="001945BC" w:rsidRPr="00B23534" w:rsidRDefault="001945BC" w:rsidP="00B23534"/>
    <w:sdt>
      <w:sdtPr>
        <w:rPr>
          <w:rFonts w:ascii="宋体" w:eastAsia="宋体" w:hAnsi="宋体" w:cs="宋体" w:hint="eastAsia"/>
          <w:b w:val="0"/>
          <w:bCs w:val="0"/>
          <w:kern w:val="0"/>
          <w:szCs w:val="24"/>
        </w:rPr>
        <w:alias w:val="模块:重要的合营企业或联营企业"/>
        <w:tag w:val="_GBC_49e4a749316a464e89485cda5774fc07"/>
        <w:id w:val="2087486501"/>
        <w:lock w:val="sdtLocked"/>
        <w:placeholder>
          <w:docPart w:val="GBC22222222222222222222222222222"/>
        </w:placeholder>
      </w:sdtPr>
      <w:sdtEndPr>
        <w:rPr>
          <w:rFonts w:cstheme="minorBidi" w:hint="default"/>
          <w:szCs w:val="21"/>
        </w:rPr>
      </w:sdtEndPr>
      <w:sdtContent>
        <w:p w:rsidR="00806678" w:rsidRDefault="00B16377" w:rsidP="00FF17C7">
          <w:pPr>
            <w:pStyle w:val="4"/>
            <w:numPr>
              <w:ilvl w:val="3"/>
              <w:numId w:val="52"/>
            </w:numPr>
            <w:ind w:left="424" w:hangingChars="202" w:hanging="424"/>
          </w:pPr>
          <w:r>
            <w:rPr>
              <w:rFonts w:hint="eastAsia"/>
            </w:rPr>
            <w:t>重要的合营企业或联营企业</w:t>
          </w:r>
        </w:p>
        <w:sdt>
          <w:sdtPr>
            <w:rPr>
              <w:rFonts w:hint="eastAsia"/>
            </w:rPr>
            <w:alias w:val="是否适用：重要的合营企业或联营企业[双击切换]"/>
            <w:tag w:val="_GBC_99df64ed4bb84c2da5fb54cda5ae039b"/>
            <w:id w:val="1879053348"/>
            <w:lock w:val="sdtLocked"/>
            <w:placeholder>
              <w:docPart w:val="GBC22222222222222222222222222222"/>
            </w:placeholder>
          </w:sdtPr>
          <w:sdtContent>
            <w:p w:rsidR="00806678" w:rsidRDefault="00F80B6C">
              <w:r>
                <w:fldChar w:fldCharType="begin"/>
              </w:r>
              <w:r w:rsidR="005C397C">
                <w:instrText xml:space="preserve"> MACROBUTTON  SnrToggleCheckbox √适用  </w:instrText>
              </w:r>
              <w:r>
                <w:fldChar w:fldCharType="end"/>
              </w:r>
              <w:r>
                <w:fldChar w:fldCharType="begin"/>
              </w:r>
              <w:r w:rsidR="005C397C">
                <w:instrText xml:space="preserve"> MACROBUTTON  SnrToggleCheckbox □不适用 </w:instrText>
              </w:r>
              <w:r>
                <w:fldChar w:fldCharType="end"/>
              </w:r>
            </w:p>
          </w:sdtContent>
        </w:sdt>
        <w:p w:rsidR="00806678" w:rsidRDefault="00B16377">
          <w:pPr>
            <w:jc w:val="right"/>
          </w:pPr>
          <w:r>
            <w:rPr>
              <w:rFonts w:hint="eastAsia"/>
            </w:rPr>
            <w:t>单位:</w:t>
          </w:r>
          <w:sdt>
            <w:sdtPr>
              <w:rPr>
                <w:rFonts w:hint="eastAsia"/>
              </w:rPr>
              <w:alias w:val="单位：财务附注：重要的合营企业或联营企业"/>
              <w:tag w:val="_GBC_fc95ad35f9984b0c84fb2b12ebeb41db"/>
              <w:id w:val="-178394515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6B3629">
                <w:rPr>
                  <w:rFonts w:hint="eastAsia"/>
                </w:rPr>
                <w:t>万元</w:t>
              </w:r>
            </w:sdtContent>
          </w:sdt>
          <w:r>
            <w:rPr>
              <w:rFonts w:hint="eastAsia"/>
            </w:rPr>
            <w:t xml:space="preserve">  币种:</w:t>
          </w:r>
          <w:sdt>
            <w:sdtPr>
              <w:rPr>
                <w:rFonts w:hint="eastAsia"/>
              </w:rPr>
              <w:alias w:val="币种：财务附注：重要的合营企业或联营企业"/>
              <w:tag w:val="_GBC_95704750d12047c58739551fa2558d6f"/>
              <w:id w:val="77105825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7"/>
            <w:gridCol w:w="1083"/>
            <w:gridCol w:w="513"/>
            <w:gridCol w:w="1085"/>
            <w:gridCol w:w="846"/>
            <w:gridCol w:w="746"/>
            <w:gridCol w:w="1611"/>
            <w:gridCol w:w="1162"/>
            <w:gridCol w:w="1229"/>
          </w:tblGrid>
          <w:tr w:rsidR="00143813" w:rsidTr="00143813">
            <w:trPr>
              <w:trHeight w:val="451"/>
            </w:trPr>
            <w:sdt>
              <w:sdtPr>
                <w:tag w:val="_PLD_6004d65b7e3443dc82381484e3885a6b"/>
                <w:id w:val="2021577220"/>
                <w:lock w:val="sdtLocked"/>
              </w:sdtPr>
              <w:sdtContent>
                <w:tc>
                  <w:tcPr>
                    <w:tcW w:w="562" w:type="pct"/>
                    <w:vMerge w:val="restart"/>
                    <w:shd w:val="clear" w:color="auto" w:fill="auto"/>
                    <w:vAlign w:val="center"/>
                  </w:tcPr>
                  <w:p w:rsidR="00D12A08" w:rsidRDefault="00D12A08" w:rsidP="00DB008B">
                    <w:pPr>
                      <w:jc w:val="center"/>
                      <w:rPr>
                        <w:rFonts w:cs="Arial"/>
                        <w:szCs w:val="21"/>
                      </w:rPr>
                    </w:pPr>
                    <w:r>
                      <w:rPr>
                        <w:rFonts w:cs="Arial" w:hint="eastAsia"/>
                        <w:szCs w:val="21"/>
                        <w:lang w:val="en-GB"/>
                      </w:rPr>
                      <w:t>合营企业或联营企业名称</w:t>
                    </w:r>
                  </w:p>
                </w:tc>
              </w:sdtContent>
            </w:sdt>
            <w:sdt>
              <w:sdtPr>
                <w:tag w:val="_PLD_2e148655e91e4b998bd7a7d0b10c96fd"/>
                <w:id w:val="1421594113"/>
                <w:lock w:val="sdtLocked"/>
              </w:sdtPr>
              <w:sdtContent>
                <w:tc>
                  <w:tcPr>
                    <w:tcW w:w="581" w:type="pct"/>
                    <w:vMerge w:val="restart"/>
                    <w:shd w:val="clear" w:color="auto" w:fill="auto"/>
                    <w:vAlign w:val="center"/>
                  </w:tcPr>
                  <w:p w:rsidR="00D12A08" w:rsidRDefault="00D12A08" w:rsidP="00DB008B">
                    <w:pPr>
                      <w:jc w:val="center"/>
                      <w:rPr>
                        <w:rFonts w:cs="Arial"/>
                        <w:szCs w:val="21"/>
                      </w:rPr>
                    </w:pPr>
                    <w:r>
                      <w:rPr>
                        <w:rFonts w:cs="Arial" w:hint="eastAsia"/>
                        <w:szCs w:val="21"/>
                        <w:lang w:val="en-GB"/>
                      </w:rPr>
                      <w:t>主要经营地</w:t>
                    </w:r>
                  </w:p>
                </w:tc>
              </w:sdtContent>
            </w:sdt>
            <w:sdt>
              <w:sdtPr>
                <w:tag w:val="_PLD_32e2714eb7074350886ae0d40b5c34b1"/>
                <w:id w:val="1969152664"/>
                <w:lock w:val="sdtLocked"/>
              </w:sdtPr>
              <w:sdtContent>
                <w:tc>
                  <w:tcPr>
                    <w:tcW w:w="275" w:type="pct"/>
                    <w:vMerge w:val="restart"/>
                    <w:shd w:val="clear" w:color="auto" w:fill="auto"/>
                    <w:vAlign w:val="center"/>
                  </w:tcPr>
                  <w:p w:rsidR="00D12A08" w:rsidRDefault="00D12A08" w:rsidP="00DB008B">
                    <w:pPr>
                      <w:jc w:val="center"/>
                      <w:rPr>
                        <w:rFonts w:cs="Arial"/>
                        <w:szCs w:val="21"/>
                      </w:rPr>
                    </w:pPr>
                    <w:r>
                      <w:rPr>
                        <w:rFonts w:cs="Arial" w:hint="eastAsia"/>
                        <w:szCs w:val="21"/>
                        <w:lang w:val="en-GB"/>
                      </w:rPr>
                      <w:t>注册地</w:t>
                    </w:r>
                  </w:p>
                </w:tc>
              </w:sdtContent>
            </w:sdt>
            <w:sdt>
              <w:sdtPr>
                <w:tag w:val="_PLD_d429c77b8bef473a98608606ebcd4d75"/>
                <w:id w:val="966392089"/>
                <w:lock w:val="sdtLocked"/>
              </w:sdtPr>
              <w:sdtContent>
                <w:tc>
                  <w:tcPr>
                    <w:tcW w:w="582" w:type="pct"/>
                    <w:vMerge w:val="restart"/>
                    <w:shd w:val="clear" w:color="auto" w:fill="auto"/>
                    <w:vAlign w:val="center"/>
                  </w:tcPr>
                  <w:p w:rsidR="00D12A08" w:rsidRDefault="00D12A08" w:rsidP="00DB008B">
                    <w:pPr>
                      <w:jc w:val="center"/>
                      <w:rPr>
                        <w:rFonts w:cs="Arial"/>
                        <w:szCs w:val="21"/>
                      </w:rPr>
                    </w:pPr>
                    <w:r>
                      <w:rPr>
                        <w:rFonts w:cs="Arial" w:hint="eastAsia"/>
                        <w:szCs w:val="21"/>
                        <w:lang w:val="en-GB"/>
                      </w:rPr>
                      <w:t>业务性质</w:t>
                    </w:r>
                  </w:p>
                </w:tc>
              </w:sdtContent>
            </w:sdt>
            <w:sdt>
              <w:sdtPr>
                <w:tag w:val="_PLD_bc055f9d5073401a85de2316f2a2b7ce"/>
                <w:id w:val="-1606408633"/>
                <w:lock w:val="sdtLocked"/>
              </w:sdtPr>
              <w:sdtContent>
                <w:tc>
                  <w:tcPr>
                    <w:tcW w:w="854" w:type="pct"/>
                    <w:gridSpan w:val="2"/>
                    <w:shd w:val="clear" w:color="auto" w:fill="auto"/>
                    <w:vAlign w:val="center"/>
                  </w:tcPr>
                  <w:p w:rsidR="00D12A08" w:rsidRDefault="00D12A08" w:rsidP="00DB008B">
                    <w:pPr>
                      <w:jc w:val="center"/>
                      <w:rPr>
                        <w:rFonts w:cs="Arial"/>
                        <w:szCs w:val="21"/>
                      </w:rPr>
                    </w:pPr>
                    <w:r>
                      <w:rPr>
                        <w:rFonts w:cs="Arial" w:hint="eastAsia"/>
                        <w:szCs w:val="21"/>
                        <w:lang w:val="en-GB"/>
                      </w:rPr>
                      <w:t>持股比例</w:t>
                    </w:r>
                    <w:r>
                      <w:rPr>
                        <w:rFonts w:cs="Arial"/>
                        <w:szCs w:val="21"/>
                      </w:rPr>
                      <w:t>(%)</w:t>
                    </w:r>
                  </w:p>
                </w:tc>
              </w:sdtContent>
            </w:sdt>
            <w:sdt>
              <w:sdtPr>
                <w:tag w:val="_PLD_96c57a3220e8432f8deedb4873fcf29c"/>
                <w:id w:val="-1211410054"/>
                <w:lock w:val="sdtLocked"/>
              </w:sdtPr>
              <w:sdtContent>
                <w:tc>
                  <w:tcPr>
                    <w:tcW w:w="864" w:type="pct"/>
                    <w:vMerge w:val="restart"/>
                    <w:shd w:val="clear" w:color="auto" w:fill="auto"/>
                    <w:vAlign w:val="center"/>
                  </w:tcPr>
                  <w:p w:rsidR="00D12A08" w:rsidRDefault="00D12A08" w:rsidP="00143813">
                    <w:pPr>
                      <w:ind w:right="-90"/>
                      <w:jc w:val="center"/>
                      <w:rPr>
                        <w:rFonts w:cs="Arial"/>
                        <w:szCs w:val="21"/>
                      </w:rPr>
                    </w:pPr>
                    <w:r>
                      <w:rPr>
                        <w:rFonts w:cs="Arial" w:hint="eastAsia"/>
                        <w:szCs w:val="21"/>
                        <w:lang w:val="en-GB"/>
                      </w:rPr>
                      <w:t>对合营企业或联营企业投资的会计处理方法</w:t>
                    </w:r>
                  </w:p>
                </w:tc>
              </w:sdtContent>
            </w:sdt>
            <w:tc>
              <w:tcPr>
                <w:tcW w:w="623" w:type="pct"/>
                <w:vMerge w:val="restart"/>
                <w:shd w:val="clear" w:color="auto" w:fill="auto"/>
                <w:vAlign w:val="center"/>
              </w:tcPr>
              <w:p w:rsidR="00D12A08" w:rsidRDefault="00D12A08" w:rsidP="00DB008B">
                <w:pPr>
                  <w:jc w:val="center"/>
                  <w:rPr>
                    <w:rFonts w:cs="Arial"/>
                    <w:szCs w:val="21"/>
                  </w:rPr>
                </w:pPr>
                <w:r>
                  <w:rPr>
                    <w:rFonts w:cs="Arial" w:hint="eastAsia"/>
                    <w:szCs w:val="21"/>
                    <w:lang w:val="en-GB"/>
                  </w:rPr>
                  <w:t>注册资本</w:t>
                </w:r>
              </w:p>
            </w:tc>
            <w:tc>
              <w:tcPr>
                <w:tcW w:w="660" w:type="pct"/>
                <w:vMerge w:val="restart"/>
                <w:shd w:val="clear" w:color="auto" w:fill="auto"/>
                <w:vAlign w:val="center"/>
              </w:tcPr>
              <w:p w:rsidR="00D12A08" w:rsidRDefault="00D12A08" w:rsidP="00143813">
                <w:pPr>
                  <w:ind w:right="-106"/>
                  <w:jc w:val="center"/>
                  <w:rPr>
                    <w:rFonts w:cs="Arial"/>
                    <w:szCs w:val="21"/>
                  </w:rPr>
                </w:pPr>
                <w:r>
                  <w:rPr>
                    <w:rFonts w:cs="Arial" w:hint="eastAsia"/>
                    <w:szCs w:val="21"/>
                    <w:lang w:val="en-GB"/>
                  </w:rPr>
                  <w:t>对本集团活动是否具有战略性</w:t>
                </w:r>
              </w:p>
            </w:tc>
          </w:tr>
          <w:tr w:rsidR="00143813" w:rsidTr="00143813">
            <w:trPr>
              <w:trHeight w:val="278"/>
            </w:trPr>
            <w:tc>
              <w:tcPr>
                <w:tcW w:w="562" w:type="pct"/>
                <w:vMerge/>
                <w:shd w:val="clear" w:color="auto" w:fill="auto"/>
                <w:vAlign w:val="center"/>
              </w:tcPr>
              <w:p w:rsidR="00D12A08" w:rsidRDefault="00D12A08" w:rsidP="00DB008B">
                <w:pPr>
                  <w:rPr>
                    <w:rFonts w:cs="Arial"/>
                    <w:szCs w:val="21"/>
                  </w:rPr>
                </w:pPr>
              </w:p>
            </w:tc>
            <w:tc>
              <w:tcPr>
                <w:tcW w:w="581" w:type="pct"/>
                <w:vMerge/>
                <w:shd w:val="clear" w:color="auto" w:fill="auto"/>
                <w:vAlign w:val="center"/>
              </w:tcPr>
              <w:p w:rsidR="00D12A08" w:rsidRDefault="00D12A08" w:rsidP="00DB008B">
                <w:pPr>
                  <w:rPr>
                    <w:rFonts w:cs="Arial"/>
                    <w:szCs w:val="21"/>
                  </w:rPr>
                </w:pPr>
              </w:p>
            </w:tc>
            <w:tc>
              <w:tcPr>
                <w:tcW w:w="275" w:type="pct"/>
                <w:vMerge/>
                <w:shd w:val="clear" w:color="auto" w:fill="auto"/>
                <w:vAlign w:val="center"/>
              </w:tcPr>
              <w:p w:rsidR="00D12A08" w:rsidRDefault="00D12A08" w:rsidP="00DB008B">
                <w:pPr>
                  <w:rPr>
                    <w:rFonts w:cs="Arial"/>
                    <w:szCs w:val="21"/>
                  </w:rPr>
                </w:pPr>
              </w:p>
            </w:tc>
            <w:tc>
              <w:tcPr>
                <w:tcW w:w="582" w:type="pct"/>
                <w:vMerge/>
                <w:shd w:val="clear" w:color="auto" w:fill="auto"/>
                <w:vAlign w:val="center"/>
              </w:tcPr>
              <w:p w:rsidR="00D12A08" w:rsidRDefault="00D12A08" w:rsidP="00DB008B">
                <w:pPr>
                  <w:rPr>
                    <w:rFonts w:cs="Arial"/>
                    <w:szCs w:val="21"/>
                  </w:rPr>
                </w:pPr>
              </w:p>
            </w:tc>
            <w:sdt>
              <w:sdtPr>
                <w:tag w:val="_PLD_076e5c9e7ab64e6db098592664f75c64"/>
                <w:id w:val="-1280021839"/>
                <w:lock w:val="sdtLocked"/>
              </w:sdtPr>
              <w:sdtContent>
                <w:tc>
                  <w:tcPr>
                    <w:tcW w:w="454" w:type="pct"/>
                    <w:shd w:val="clear" w:color="auto" w:fill="auto"/>
                    <w:vAlign w:val="center"/>
                  </w:tcPr>
                  <w:p w:rsidR="00D12A08" w:rsidRDefault="00D12A08" w:rsidP="00DB008B">
                    <w:pPr>
                      <w:jc w:val="center"/>
                      <w:rPr>
                        <w:rFonts w:cs="Arial"/>
                        <w:szCs w:val="21"/>
                      </w:rPr>
                    </w:pPr>
                    <w:r>
                      <w:rPr>
                        <w:rFonts w:cs="Arial" w:hint="eastAsia"/>
                        <w:szCs w:val="21"/>
                        <w:lang w:val="en-GB"/>
                      </w:rPr>
                      <w:t>直接</w:t>
                    </w:r>
                  </w:p>
                </w:tc>
              </w:sdtContent>
            </w:sdt>
            <w:sdt>
              <w:sdtPr>
                <w:tag w:val="_PLD_49b77f1690ee4cc88f829d510135f0bf"/>
                <w:id w:val="1709831951"/>
                <w:lock w:val="sdtLocked"/>
              </w:sdtPr>
              <w:sdtContent>
                <w:tc>
                  <w:tcPr>
                    <w:tcW w:w="400" w:type="pct"/>
                    <w:shd w:val="clear" w:color="auto" w:fill="auto"/>
                    <w:vAlign w:val="center"/>
                  </w:tcPr>
                  <w:p w:rsidR="00D12A08" w:rsidRDefault="00D12A08" w:rsidP="00DB008B">
                    <w:pPr>
                      <w:jc w:val="center"/>
                      <w:rPr>
                        <w:rFonts w:cs="Arial"/>
                        <w:szCs w:val="21"/>
                      </w:rPr>
                    </w:pPr>
                    <w:r>
                      <w:rPr>
                        <w:rFonts w:cs="Arial" w:hint="eastAsia"/>
                        <w:szCs w:val="21"/>
                        <w:lang w:val="en-GB"/>
                      </w:rPr>
                      <w:t>间接</w:t>
                    </w:r>
                  </w:p>
                </w:tc>
              </w:sdtContent>
            </w:sdt>
            <w:tc>
              <w:tcPr>
                <w:tcW w:w="864" w:type="pct"/>
                <w:vMerge/>
                <w:vAlign w:val="center"/>
              </w:tcPr>
              <w:p w:rsidR="00D12A08" w:rsidRDefault="00D12A08" w:rsidP="00DB008B">
                <w:pPr>
                  <w:rPr>
                    <w:rFonts w:cs="Arial"/>
                    <w:szCs w:val="21"/>
                  </w:rPr>
                </w:pPr>
              </w:p>
            </w:tc>
            <w:tc>
              <w:tcPr>
                <w:tcW w:w="623" w:type="pct"/>
                <w:vMerge/>
                <w:vAlign w:val="center"/>
              </w:tcPr>
              <w:p w:rsidR="00D12A08" w:rsidRDefault="00D12A08" w:rsidP="00DB008B">
                <w:pPr>
                  <w:rPr>
                    <w:rFonts w:cs="Arial"/>
                    <w:szCs w:val="21"/>
                  </w:rPr>
                </w:pPr>
              </w:p>
            </w:tc>
            <w:tc>
              <w:tcPr>
                <w:tcW w:w="660" w:type="pct"/>
                <w:vMerge/>
                <w:vAlign w:val="center"/>
              </w:tcPr>
              <w:p w:rsidR="00D12A08" w:rsidRDefault="00D12A08" w:rsidP="00DB008B">
                <w:pPr>
                  <w:rPr>
                    <w:rFonts w:cs="Arial"/>
                    <w:szCs w:val="21"/>
                  </w:rPr>
                </w:pPr>
              </w:p>
            </w:tc>
          </w:tr>
          <w:sdt>
            <w:sdtPr>
              <w:rPr>
                <w:szCs w:val="21"/>
              </w:rPr>
              <w:alias w:val="重要的合营企业或联营企业明细"/>
              <w:tag w:val="_GBC_a1baed559822472c8c78b05cadceb35a"/>
              <w:id w:val="-546450489"/>
              <w:lock w:val="sdtLocked"/>
            </w:sdtPr>
            <w:sdtContent>
              <w:tr w:rsidR="00143813" w:rsidTr="00143813">
                <w:tc>
                  <w:tcPr>
                    <w:tcW w:w="562" w:type="pct"/>
                    <w:vAlign w:val="center"/>
                  </w:tcPr>
                  <w:p w:rsidR="00D12A08" w:rsidRDefault="00D12A08" w:rsidP="00DA4D34">
                    <w:pPr>
                      <w:ind w:right="-18"/>
                      <w:rPr>
                        <w:szCs w:val="21"/>
                      </w:rPr>
                    </w:pPr>
                    <w:r>
                      <w:t>国能朔黄铁路发展有限责任公司</w:t>
                    </w:r>
                  </w:p>
                </w:tc>
                <w:tc>
                  <w:tcPr>
                    <w:tcW w:w="581" w:type="pct"/>
                    <w:vAlign w:val="center"/>
                  </w:tcPr>
                  <w:p w:rsidR="00D12A08" w:rsidRDefault="00D12A08" w:rsidP="00143813">
                    <w:pPr>
                      <w:jc w:val="center"/>
                      <w:rPr>
                        <w:szCs w:val="21"/>
                      </w:rPr>
                    </w:pPr>
                    <w:r>
                      <w:t>河北</w:t>
                    </w:r>
                  </w:p>
                </w:tc>
                <w:tc>
                  <w:tcPr>
                    <w:tcW w:w="275" w:type="pct"/>
                    <w:vAlign w:val="center"/>
                  </w:tcPr>
                  <w:p w:rsidR="00D12A08" w:rsidRDefault="00D12A08" w:rsidP="00143813">
                    <w:pPr>
                      <w:jc w:val="center"/>
                      <w:rPr>
                        <w:szCs w:val="21"/>
                      </w:rPr>
                    </w:pPr>
                    <w:r>
                      <w:t>北京</w:t>
                    </w:r>
                  </w:p>
                </w:tc>
                <w:tc>
                  <w:tcPr>
                    <w:tcW w:w="582" w:type="pct"/>
                    <w:vAlign w:val="center"/>
                  </w:tcPr>
                  <w:p w:rsidR="00D12A08" w:rsidRDefault="00D12A08" w:rsidP="00143813">
                    <w:pPr>
                      <w:jc w:val="center"/>
                      <w:rPr>
                        <w:szCs w:val="21"/>
                      </w:rPr>
                    </w:pPr>
                    <w:r>
                      <w:t>煤炭经营及铁路运输</w:t>
                    </w:r>
                  </w:p>
                </w:tc>
                <w:tc>
                  <w:tcPr>
                    <w:tcW w:w="454" w:type="pct"/>
                    <w:vAlign w:val="center"/>
                  </w:tcPr>
                  <w:p w:rsidR="00D12A08" w:rsidRDefault="00D12A08" w:rsidP="00143813">
                    <w:pPr>
                      <w:jc w:val="center"/>
                      <w:rPr>
                        <w:szCs w:val="21"/>
                      </w:rPr>
                    </w:pPr>
                    <w:r>
                      <w:t>41.16%</w:t>
                    </w:r>
                  </w:p>
                </w:tc>
                <w:tc>
                  <w:tcPr>
                    <w:tcW w:w="400" w:type="pct"/>
                    <w:vAlign w:val="center"/>
                  </w:tcPr>
                  <w:p w:rsidR="00D12A08" w:rsidRDefault="00D12A08" w:rsidP="00143813">
                    <w:pPr>
                      <w:jc w:val="center"/>
                      <w:rPr>
                        <w:szCs w:val="21"/>
                      </w:rPr>
                    </w:pPr>
                    <w:r>
                      <w:t>0%</w:t>
                    </w:r>
                  </w:p>
                </w:tc>
                <w:tc>
                  <w:tcPr>
                    <w:tcW w:w="864" w:type="pct"/>
                    <w:vAlign w:val="center"/>
                  </w:tcPr>
                  <w:p w:rsidR="00D12A08" w:rsidRDefault="00D12A08" w:rsidP="00143813">
                    <w:pPr>
                      <w:jc w:val="center"/>
                      <w:rPr>
                        <w:szCs w:val="21"/>
                      </w:rPr>
                    </w:pPr>
                    <w:r>
                      <w:t>权益法核算</w:t>
                    </w:r>
                  </w:p>
                </w:tc>
                <w:sdt>
                  <w:sdtPr>
                    <w:alias w:val="注册资本"/>
                    <w:tag w:val="_GBC_f3cdfdd15f63443ea288321bd63b3b1e"/>
                    <w:id w:val="-1589144255"/>
                    <w:lock w:val="sdtLocked"/>
                  </w:sdtPr>
                  <w:sdtContent>
                    <w:tc>
                      <w:tcPr>
                        <w:tcW w:w="623" w:type="pct"/>
                        <w:vAlign w:val="center"/>
                      </w:tcPr>
                      <w:p w:rsidR="00D12A08" w:rsidRDefault="00D12A08" w:rsidP="00143813">
                        <w:pPr>
                          <w:jc w:val="center"/>
                          <w:rPr>
                            <w:szCs w:val="21"/>
                          </w:rPr>
                        </w:pPr>
                        <w:r>
                          <w:t>1,523,115</w:t>
                        </w:r>
                      </w:p>
                    </w:tc>
                  </w:sdtContent>
                </w:sdt>
                <w:sdt>
                  <w:sdtPr>
                    <w:alias w:val="对本集团活动是否具有战略性"/>
                    <w:tag w:val="_GBC_323fb8dfc7b74a5288c926319dbd44ab"/>
                    <w:id w:val="-1285417281"/>
                    <w:lock w:val="sdtLocked"/>
                  </w:sdtPr>
                  <w:sdtContent>
                    <w:tc>
                      <w:tcPr>
                        <w:tcW w:w="660" w:type="pct"/>
                        <w:vAlign w:val="center"/>
                      </w:tcPr>
                      <w:p w:rsidR="00D12A08" w:rsidRDefault="00D12A08" w:rsidP="00143813">
                        <w:pPr>
                          <w:jc w:val="center"/>
                          <w:rPr>
                            <w:szCs w:val="21"/>
                          </w:rPr>
                        </w:pPr>
                        <w:r>
                          <w:rPr>
                            <w:rFonts w:hint="eastAsia"/>
                          </w:rPr>
                          <w:t>是</w:t>
                        </w:r>
                      </w:p>
                    </w:tc>
                  </w:sdtContent>
                </w:sdt>
              </w:tr>
            </w:sdtContent>
          </w:sdt>
          <w:sdt>
            <w:sdtPr>
              <w:rPr>
                <w:szCs w:val="21"/>
              </w:rPr>
              <w:alias w:val="重要的合营企业或联营企业明细"/>
              <w:tag w:val="_GBC_a1baed559822472c8c78b05cadceb35a"/>
              <w:id w:val="-429429861"/>
              <w:lock w:val="sdtLocked"/>
            </w:sdtPr>
            <w:sdtContent>
              <w:tr w:rsidR="00143813" w:rsidTr="00143813">
                <w:tc>
                  <w:tcPr>
                    <w:tcW w:w="562" w:type="pct"/>
                    <w:vAlign w:val="center"/>
                  </w:tcPr>
                  <w:p w:rsidR="00D12A08" w:rsidRDefault="00D12A08" w:rsidP="00DA4D34">
                    <w:pPr>
                      <w:ind w:right="-18"/>
                      <w:rPr>
                        <w:szCs w:val="21"/>
                      </w:rPr>
                    </w:pPr>
                    <w:r>
                      <w:t>浩吉铁路股份有限公司</w:t>
                    </w:r>
                  </w:p>
                </w:tc>
                <w:tc>
                  <w:tcPr>
                    <w:tcW w:w="581" w:type="pct"/>
                    <w:vAlign w:val="center"/>
                  </w:tcPr>
                  <w:p w:rsidR="00D12A08" w:rsidRDefault="00D12A08" w:rsidP="00143813">
                    <w:pPr>
                      <w:jc w:val="center"/>
                      <w:rPr>
                        <w:szCs w:val="21"/>
                      </w:rPr>
                    </w:pPr>
                    <w:r>
                      <w:t>内蒙古、江西等省</w:t>
                    </w:r>
                  </w:p>
                </w:tc>
                <w:tc>
                  <w:tcPr>
                    <w:tcW w:w="275" w:type="pct"/>
                    <w:vAlign w:val="center"/>
                  </w:tcPr>
                  <w:p w:rsidR="00D12A08" w:rsidRDefault="00D12A08" w:rsidP="00143813">
                    <w:pPr>
                      <w:jc w:val="center"/>
                      <w:rPr>
                        <w:szCs w:val="21"/>
                      </w:rPr>
                    </w:pPr>
                    <w:r>
                      <w:t>北京</w:t>
                    </w:r>
                  </w:p>
                </w:tc>
                <w:tc>
                  <w:tcPr>
                    <w:tcW w:w="582" w:type="pct"/>
                    <w:vAlign w:val="center"/>
                  </w:tcPr>
                  <w:p w:rsidR="00D12A08" w:rsidRDefault="00D12A08" w:rsidP="00143813">
                    <w:pPr>
                      <w:jc w:val="center"/>
                      <w:rPr>
                        <w:szCs w:val="21"/>
                      </w:rPr>
                    </w:pPr>
                    <w:r>
                      <w:t>铁路运输</w:t>
                    </w:r>
                  </w:p>
                </w:tc>
                <w:tc>
                  <w:tcPr>
                    <w:tcW w:w="454" w:type="pct"/>
                    <w:vAlign w:val="center"/>
                  </w:tcPr>
                  <w:p w:rsidR="00D12A08" w:rsidRDefault="00D12A08" w:rsidP="00143813">
                    <w:pPr>
                      <w:jc w:val="center"/>
                      <w:rPr>
                        <w:szCs w:val="21"/>
                      </w:rPr>
                    </w:pPr>
                    <w:r>
                      <w:t>10.00%</w:t>
                    </w:r>
                  </w:p>
                </w:tc>
                <w:tc>
                  <w:tcPr>
                    <w:tcW w:w="400" w:type="pct"/>
                    <w:vAlign w:val="center"/>
                  </w:tcPr>
                  <w:p w:rsidR="00D12A08" w:rsidRDefault="00D12A08" w:rsidP="00143813">
                    <w:pPr>
                      <w:jc w:val="center"/>
                      <w:rPr>
                        <w:szCs w:val="21"/>
                      </w:rPr>
                    </w:pPr>
                    <w:r>
                      <w:t>0%</w:t>
                    </w:r>
                  </w:p>
                </w:tc>
                <w:tc>
                  <w:tcPr>
                    <w:tcW w:w="864" w:type="pct"/>
                    <w:vAlign w:val="center"/>
                  </w:tcPr>
                  <w:p w:rsidR="00D12A08" w:rsidRDefault="00D12A08" w:rsidP="00143813">
                    <w:pPr>
                      <w:jc w:val="center"/>
                      <w:rPr>
                        <w:szCs w:val="21"/>
                      </w:rPr>
                    </w:pPr>
                    <w:r>
                      <w:t>权益法核算</w:t>
                    </w:r>
                  </w:p>
                </w:tc>
                <w:sdt>
                  <w:sdtPr>
                    <w:alias w:val="注册资本"/>
                    <w:tag w:val="_GBC_f3cdfdd15f63443ea288321bd63b3b1e"/>
                    <w:id w:val="-241563941"/>
                    <w:lock w:val="sdtLocked"/>
                  </w:sdtPr>
                  <w:sdtContent>
                    <w:tc>
                      <w:tcPr>
                        <w:tcW w:w="623" w:type="pct"/>
                        <w:vAlign w:val="center"/>
                      </w:tcPr>
                      <w:p w:rsidR="00D12A08" w:rsidRDefault="00D12A08" w:rsidP="00143813">
                        <w:pPr>
                          <w:jc w:val="center"/>
                          <w:rPr>
                            <w:szCs w:val="21"/>
                          </w:rPr>
                        </w:pPr>
                        <w:r>
                          <w:t>5,985,000</w:t>
                        </w:r>
                      </w:p>
                    </w:tc>
                  </w:sdtContent>
                </w:sdt>
                <w:sdt>
                  <w:sdtPr>
                    <w:alias w:val="对本集团活动是否具有战略性"/>
                    <w:tag w:val="_GBC_323fb8dfc7b74a5288c926319dbd44ab"/>
                    <w:id w:val="-1139329550"/>
                    <w:lock w:val="sdtLocked"/>
                  </w:sdtPr>
                  <w:sdtContent>
                    <w:tc>
                      <w:tcPr>
                        <w:tcW w:w="660" w:type="pct"/>
                        <w:vAlign w:val="center"/>
                      </w:tcPr>
                      <w:p w:rsidR="00D12A08" w:rsidRDefault="00D12A08" w:rsidP="00143813">
                        <w:pPr>
                          <w:jc w:val="center"/>
                          <w:rPr>
                            <w:szCs w:val="21"/>
                          </w:rPr>
                        </w:pPr>
                        <w:r>
                          <w:rPr>
                            <w:rFonts w:hint="eastAsia"/>
                          </w:rPr>
                          <w:t>是</w:t>
                        </w:r>
                      </w:p>
                    </w:tc>
                  </w:sdtContent>
                </w:sdt>
              </w:tr>
            </w:sdtContent>
          </w:sdt>
        </w:tbl>
        <w:p w:rsidR="00C01624" w:rsidRDefault="00C01624">
          <w:pPr>
            <w:rPr>
              <w:rFonts w:cs="Arial"/>
              <w:szCs w:val="21"/>
            </w:rPr>
          </w:pPr>
        </w:p>
        <w:p w:rsidR="00806678" w:rsidRDefault="00B16377">
          <w:pPr>
            <w:rPr>
              <w:rFonts w:cs="Arial"/>
              <w:szCs w:val="21"/>
            </w:rPr>
          </w:pPr>
          <w:r>
            <w:rPr>
              <w:rFonts w:cs="Arial" w:hint="eastAsia"/>
              <w:szCs w:val="21"/>
            </w:rPr>
            <w:t>在合营企业或联营企业的持股比例不同于表决权比例的说明：</w:t>
          </w:r>
        </w:p>
        <w:p w:rsidR="00806678" w:rsidRDefault="00F80B6C">
          <w:pPr>
            <w:rPr>
              <w:rFonts w:cs="Arial"/>
              <w:szCs w:val="21"/>
            </w:rPr>
          </w:pPr>
          <w:sdt>
            <w:sdtPr>
              <w:rPr>
                <w:rFonts w:cs="Arial"/>
                <w:szCs w:val="21"/>
              </w:rPr>
              <w:alias w:val="在合营企业或联营企业的持股比例不同于表决权比例的说明"/>
              <w:tag w:val="_GBC_b18385c11aff4424b360bd0cb4f81376"/>
              <w:id w:val="-88852347"/>
              <w:lock w:val="sdtLocked"/>
              <w:placeholder>
                <w:docPart w:val="GBC22222222222222222222222222222"/>
              </w:placeholder>
            </w:sdtPr>
            <w:sdtContent>
              <w:r w:rsidR="00D12A08">
                <w:rPr>
                  <w:rFonts w:cs="Arial" w:hint="eastAsia"/>
                  <w:szCs w:val="21"/>
                </w:rPr>
                <w:t>无</w:t>
              </w:r>
            </w:sdtContent>
          </w:sdt>
        </w:p>
        <w:p w:rsidR="00806678" w:rsidRDefault="00806678">
          <w:pPr>
            <w:rPr>
              <w:rFonts w:cs="Arial"/>
              <w:szCs w:val="21"/>
            </w:rPr>
          </w:pPr>
        </w:p>
        <w:p w:rsidR="00806678" w:rsidRDefault="00B16377">
          <w:pPr>
            <w:rPr>
              <w:rFonts w:cs="Arial"/>
              <w:szCs w:val="21"/>
            </w:rPr>
          </w:pPr>
          <w:r>
            <w:rPr>
              <w:rFonts w:cs="Arial" w:hint="eastAsia"/>
              <w:szCs w:val="21"/>
            </w:rPr>
            <w:t>持有</w:t>
          </w:r>
          <w:r>
            <w:rPr>
              <w:rFonts w:cs="Arial"/>
              <w:szCs w:val="21"/>
            </w:rPr>
            <w:t>20%以下表决权但具有重大影响，或者持有20%或以上表决权但不具有重大影响的依据：</w:t>
          </w:r>
        </w:p>
        <w:p w:rsidR="00806678" w:rsidRDefault="00F80B6C">
          <w:pPr>
            <w:rPr>
              <w:rFonts w:cstheme="minorBidi"/>
              <w:szCs w:val="21"/>
            </w:rPr>
          </w:pPr>
          <w:sdt>
            <w:sdtPr>
              <w:rPr>
                <w:rFonts w:cs="Arial"/>
                <w:szCs w:val="21"/>
              </w:rPr>
              <w:alias w:val="持有20%以下表决权但具有重大影响，或者持有20%或以上表决权但不具有重大影响的依据"/>
              <w:tag w:val="_GBC_08a71a8c491f4c758da0748f7570fb28"/>
              <w:id w:val="-1909532094"/>
              <w:lock w:val="sdtLocked"/>
              <w:placeholder>
                <w:docPart w:val="GBC22222222222222222222222222222"/>
              </w:placeholder>
            </w:sdtPr>
            <w:sdtContent>
              <w:r w:rsidR="00D12A08">
                <w:rPr>
                  <w:rFonts w:cs="Arial" w:hint="eastAsia"/>
                  <w:szCs w:val="21"/>
                </w:rPr>
                <w:t>无</w:t>
              </w:r>
            </w:sdtContent>
          </w:sdt>
        </w:p>
      </w:sdtContent>
    </w:sdt>
    <w:p w:rsidR="00505894" w:rsidRPr="00D12A08" w:rsidRDefault="00505894">
      <w:pPr>
        <w:rPr>
          <w:rFonts w:cs="Arial"/>
          <w:szCs w:val="21"/>
        </w:rPr>
      </w:pPr>
    </w:p>
    <w:p w:rsidR="00806678" w:rsidRDefault="00B16377" w:rsidP="00FF17C7">
      <w:pPr>
        <w:pStyle w:val="4"/>
        <w:numPr>
          <w:ilvl w:val="3"/>
          <w:numId w:val="52"/>
        </w:numPr>
        <w:ind w:left="424" w:hangingChars="201" w:hanging="424"/>
      </w:pPr>
      <w:r>
        <w:rPr>
          <w:rFonts w:hint="eastAsia"/>
        </w:rPr>
        <w:t>重要合营企业的主要财务信息</w:t>
      </w:r>
    </w:p>
    <w:sdt>
      <w:sdtPr>
        <w:rPr>
          <w:rFonts w:hint="eastAsia"/>
        </w:rPr>
        <w:alias w:val="模块:重要合营企业的主要财务信息"/>
        <w:tag w:val="_GBC_10d60417c84d41c1b3386073557d9d05"/>
        <w:id w:val="-294827131"/>
        <w:lock w:val="sdtLocked"/>
        <w:placeholder>
          <w:docPart w:val="GBC22222222222222222222222222222"/>
        </w:placeholder>
      </w:sdtPr>
      <w:sdtEndPr>
        <w:rPr>
          <w:rFonts w:cstheme="minorBidi" w:hint="default"/>
          <w:szCs w:val="21"/>
        </w:rPr>
      </w:sdtEndPr>
      <w:sdtContent>
        <w:sdt>
          <w:sdtPr>
            <w:rPr>
              <w:rFonts w:hint="eastAsia"/>
            </w:rPr>
            <w:alias w:val="是否适用：重要合营企业的主要财务信息[双击切换]"/>
            <w:tag w:val="_GBC_8218a872fcd045d290940ccf3b3bdfa5"/>
            <w:id w:val="-1481775220"/>
            <w:lock w:val="sdtLocked"/>
            <w:placeholder>
              <w:docPart w:val="GBC22222222222222222222222222222"/>
            </w:placeholder>
          </w:sdtPr>
          <w:sdtContent>
            <w:p w:rsidR="00A079B5" w:rsidRDefault="00F80B6C" w:rsidP="00A079B5">
              <w:pPr>
                <w:rPr>
                  <w:rFonts w:cs="Arial"/>
                  <w:szCs w:val="21"/>
                </w:rPr>
              </w:pPr>
              <w:r>
                <w:fldChar w:fldCharType="begin"/>
              </w:r>
              <w:r w:rsidR="00A079B5">
                <w:instrText xml:space="preserve"> MACROBUTTON  SnrToggleCheckbox □适用  </w:instrText>
              </w:r>
              <w:r>
                <w:fldChar w:fldCharType="end"/>
              </w:r>
              <w:r>
                <w:fldChar w:fldCharType="begin"/>
              </w:r>
              <w:r w:rsidR="00A079B5">
                <w:instrText xml:space="preserve"> MACROBUTTON  SnrToggleCheckbox √不适用 </w:instrText>
              </w:r>
              <w:r>
                <w:fldChar w:fldCharType="end"/>
              </w:r>
            </w:p>
          </w:sdtContent>
        </w:sdt>
        <w:p w:rsidR="00806678" w:rsidRDefault="00F80B6C">
          <w:pPr>
            <w:rPr>
              <w:rFonts w:cstheme="minorBidi"/>
              <w:szCs w:val="21"/>
            </w:rPr>
          </w:pPr>
        </w:p>
      </w:sdtContent>
    </w:sdt>
    <w:p w:rsidR="00806678" w:rsidRDefault="00B16377" w:rsidP="00FF17C7">
      <w:pPr>
        <w:pStyle w:val="4"/>
        <w:numPr>
          <w:ilvl w:val="3"/>
          <w:numId w:val="52"/>
        </w:numPr>
        <w:ind w:left="424" w:hangingChars="201" w:hanging="424"/>
      </w:pPr>
      <w:r>
        <w:rPr>
          <w:rFonts w:hint="eastAsia"/>
        </w:rPr>
        <w:lastRenderedPageBreak/>
        <w:t>重要联营企业的主要财务信息</w:t>
      </w:r>
    </w:p>
    <w:sdt>
      <w:sdtPr>
        <w:rPr>
          <w:rFonts w:hint="eastAsia"/>
        </w:rPr>
        <w:alias w:val="模块:重要联营企业的主要财务信息"/>
        <w:tag w:val="_GBC_ac3eed998bbd4658ab651a88daefefb1"/>
        <w:id w:val="-383869511"/>
        <w:lock w:val="sdtLocked"/>
        <w:placeholder>
          <w:docPart w:val="GBC22222222222222222222222222222"/>
        </w:placeholder>
      </w:sdtPr>
      <w:sdtEndPr>
        <w:rPr>
          <w:rFonts w:cstheme="minorBidi" w:hint="default"/>
          <w:szCs w:val="21"/>
        </w:rPr>
      </w:sdtEndPr>
      <w:sdtContent>
        <w:sdt>
          <w:sdtPr>
            <w:rPr>
              <w:rFonts w:hint="eastAsia"/>
            </w:rPr>
            <w:alias w:val="是否适用：重要联营企业的主要财务信息[双击切换]"/>
            <w:tag w:val="_GBC_e570958be6b64b7d8be73c12ea5135f1"/>
            <w:id w:val="1017741929"/>
            <w:lock w:val="sdtLocked"/>
            <w:placeholder>
              <w:docPart w:val="GBC22222222222222222222222222222"/>
            </w:placeholder>
          </w:sdtPr>
          <w:sdtContent>
            <w:p w:rsidR="00806678" w:rsidRDefault="00F80B6C">
              <w:r>
                <w:fldChar w:fldCharType="begin"/>
              </w:r>
              <w:r w:rsidR="00A079B5">
                <w:instrText xml:space="preserve"> MACROBUTTON  SnrToggleCheckbox √适用  </w:instrText>
              </w:r>
              <w:r>
                <w:fldChar w:fldCharType="end"/>
              </w:r>
              <w:r>
                <w:fldChar w:fldCharType="begin"/>
              </w:r>
              <w:r w:rsidR="00A079B5">
                <w:instrText xml:space="preserve"> MACROBUTTON  SnrToggleCheckbox □不适用 </w:instrText>
              </w:r>
              <w:r>
                <w:fldChar w:fldCharType="end"/>
              </w:r>
            </w:p>
          </w:sdtContent>
        </w:sdt>
        <w:p w:rsidR="00806678" w:rsidRDefault="00B16377">
          <w:pPr>
            <w:jc w:val="right"/>
          </w:pPr>
          <w:r>
            <w:rPr>
              <w:rFonts w:hint="eastAsia"/>
            </w:rPr>
            <w:t>单位：</w:t>
          </w:r>
          <w:sdt>
            <w:sdtPr>
              <w:rPr>
                <w:rFonts w:hint="eastAsia"/>
              </w:rPr>
              <w:alias w:val="单位：财务附注：重要联营企业的主要财务信息"/>
              <w:tag w:val="_GBC_0306b30be35040cd86d2b964142011d4"/>
              <w:id w:val="201695744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重要联营企业的主要财务信息"/>
              <w:tag w:val="_GBC_a2e655bae21746219bfd958c6f5b8be9"/>
              <w:id w:val="123529041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2095"/>
            <w:gridCol w:w="1686"/>
            <w:gridCol w:w="1791"/>
            <w:gridCol w:w="1686"/>
            <w:gridCol w:w="1791"/>
          </w:tblGrid>
          <w:tr w:rsidR="00A079B5" w:rsidTr="00A079B5">
            <w:trPr>
              <w:trHeight w:val="120"/>
            </w:trPr>
            <w:tc>
              <w:tcPr>
                <w:tcW w:w="1158" w:type="pct"/>
                <w:vMerge w:val="restart"/>
                <w:tcBorders>
                  <w:top w:val="single" w:sz="4" w:space="0" w:color="auto"/>
                  <w:left w:val="single" w:sz="4" w:space="0" w:color="auto"/>
                  <w:bottom w:val="single" w:sz="6" w:space="0" w:color="auto"/>
                  <w:right w:val="single" w:sz="6" w:space="0" w:color="auto"/>
                </w:tcBorders>
                <w:shd w:val="clear" w:color="auto" w:fill="auto"/>
              </w:tcPr>
              <w:p w:rsidR="00A079B5" w:rsidRDefault="00A079B5" w:rsidP="00DB008B">
                <w:pPr>
                  <w:jc w:val="center"/>
                  <w:rPr>
                    <w:rFonts w:cs="Arial"/>
                    <w:szCs w:val="21"/>
                  </w:rPr>
                </w:pPr>
              </w:p>
            </w:tc>
            <w:sdt>
              <w:sdtPr>
                <w:rPr>
                  <w:rFonts w:cs="Arial" w:hint="eastAsia"/>
                  <w:szCs w:val="21"/>
                  <w:lang w:val="en-GB"/>
                </w:rPr>
                <w:alias w:val="重要联营企业的主要财务信息-发生期间"/>
                <w:tag w:val="_GBC_3985273c74d84e5d9e0004348ff54fc3"/>
                <w:id w:val="2106304706"/>
                <w:lock w:val="sdtLocked"/>
              </w:sdtPr>
              <w:sdtContent>
                <w:tc>
                  <w:tcPr>
                    <w:tcW w:w="1921" w:type="pct"/>
                    <w:gridSpan w:val="2"/>
                    <w:tcBorders>
                      <w:top w:val="single" w:sz="4" w:space="0" w:color="auto"/>
                      <w:left w:val="single" w:sz="6" w:space="0" w:color="auto"/>
                      <w:bottom w:val="single" w:sz="6" w:space="0" w:color="auto"/>
                      <w:right w:val="single" w:sz="6" w:space="0" w:color="auto"/>
                    </w:tcBorders>
                    <w:shd w:val="clear" w:color="auto" w:fill="auto"/>
                    <w:vAlign w:val="center"/>
                  </w:tcPr>
                  <w:p w:rsidR="00A079B5" w:rsidRDefault="00A079B5" w:rsidP="00DB008B">
                    <w:pPr>
                      <w:jc w:val="center"/>
                      <w:rPr>
                        <w:rFonts w:cs="Arial"/>
                        <w:szCs w:val="21"/>
                      </w:rPr>
                    </w:pPr>
                    <w:r>
                      <w:rPr>
                        <w:rFonts w:cs="Arial" w:hint="eastAsia"/>
                        <w:szCs w:val="21"/>
                        <w:lang w:val="en-GB"/>
                      </w:rPr>
                      <w:t>期末余额</w:t>
                    </w:r>
                    <w:r>
                      <w:rPr>
                        <w:rFonts w:cs="Arial"/>
                        <w:szCs w:val="21"/>
                      </w:rPr>
                      <w:t xml:space="preserve">/ </w:t>
                    </w:r>
                    <w:r>
                      <w:rPr>
                        <w:rFonts w:cs="Arial" w:hint="eastAsia"/>
                        <w:szCs w:val="21"/>
                        <w:lang w:val="en-GB"/>
                      </w:rPr>
                      <w:t>本期发生额</w:t>
                    </w:r>
                  </w:p>
                </w:tc>
              </w:sdtContent>
            </w:sdt>
            <w:sdt>
              <w:sdtPr>
                <w:rPr>
                  <w:rFonts w:cs="Arial" w:hint="eastAsia"/>
                  <w:szCs w:val="21"/>
                  <w:lang w:val="en-GB"/>
                </w:rPr>
                <w:alias w:val="重要联营企业的主要财务信息-发生期间"/>
                <w:tag w:val="_GBC_c59f213bf9cc43468db35ae8e45286d0"/>
                <w:id w:val="2147460035"/>
                <w:lock w:val="sdtLocked"/>
              </w:sdtPr>
              <w:sdtContent>
                <w:tc>
                  <w:tcPr>
                    <w:tcW w:w="1921" w:type="pct"/>
                    <w:gridSpan w:val="2"/>
                    <w:tcBorders>
                      <w:top w:val="single" w:sz="4" w:space="0" w:color="auto"/>
                      <w:left w:val="single" w:sz="6" w:space="0" w:color="auto"/>
                      <w:bottom w:val="single" w:sz="6" w:space="0" w:color="auto"/>
                      <w:right w:val="single" w:sz="6" w:space="0" w:color="auto"/>
                    </w:tcBorders>
                    <w:shd w:val="clear" w:color="auto" w:fill="auto"/>
                    <w:vAlign w:val="center"/>
                  </w:tcPr>
                  <w:p w:rsidR="00A079B5" w:rsidRDefault="00A079B5" w:rsidP="00DB008B">
                    <w:pPr>
                      <w:jc w:val="center"/>
                      <w:rPr>
                        <w:rFonts w:cs="Arial"/>
                        <w:szCs w:val="21"/>
                        <w:lang w:val="en-GB"/>
                      </w:rPr>
                    </w:pPr>
                    <w:r>
                      <w:rPr>
                        <w:rFonts w:cs="Arial" w:hint="eastAsia"/>
                        <w:szCs w:val="21"/>
                        <w:lang w:val="en-GB"/>
                      </w:rPr>
                      <w:t>期初余额</w:t>
                    </w:r>
                    <w:r>
                      <w:rPr>
                        <w:rFonts w:cs="Arial"/>
                        <w:szCs w:val="21"/>
                      </w:rPr>
                      <w:t xml:space="preserve">/ </w:t>
                    </w:r>
                    <w:r>
                      <w:rPr>
                        <w:rFonts w:cs="Arial" w:hint="eastAsia"/>
                        <w:szCs w:val="21"/>
                        <w:lang w:val="en-GB"/>
                      </w:rPr>
                      <w:t>上期发生额</w:t>
                    </w:r>
                  </w:p>
                </w:tc>
              </w:sdtContent>
            </w:sdt>
          </w:tr>
          <w:tr w:rsidR="00A079B5" w:rsidTr="00A079B5">
            <w:trPr>
              <w:trHeight w:val="120"/>
            </w:trPr>
            <w:tc>
              <w:tcPr>
                <w:tcW w:w="1158" w:type="pct"/>
                <w:vMerge/>
                <w:tcBorders>
                  <w:top w:val="single" w:sz="4" w:space="0" w:color="auto"/>
                  <w:left w:val="single" w:sz="4" w:space="0" w:color="auto"/>
                  <w:bottom w:val="single" w:sz="6" w:space="0" w:color="auto"/>
                  <w:right w:val="single" w:sz="6" w:space="0" w:color="auto"/>
                </w:tcBorders>
                <w:shd w:val="clear" w:color="auto" w:fill="auto"/>
                <w:vAlign w:val="center"/>
              </w:tcPr>
              <w:p w:rsidR="00A079B5" w:rsidRDefault="00A079B5" w:rsidP="00DB008B">
                <w:pPr>
                  <w:rPr>
                    <w:rFonts w:cs="Arial"/>
                    <w:szCs w:val="21"/>
                  </w:rPr>
                </w:pPr>
              </w:p>
            </w:tc>
            <w:sdt>
              <w:sdtPr>
                <w:rPr>
                  <w:szCs w:val="21"/>
                </w:rPr>
                <w:alias w:val="重要联营企业的主要财务信息明细-企业名称"/>
                <w:tag w:val="_GBC_efc7f4a58fe54a3fb8fad3e0deb94eae"/>
                <w:id w:val="-727370702"/>
                <w:lock w:val="sdtLocked"/>
              </w:sdtPr>
              <w:sdtContent>
                <w:tc>
                  <w:tcPr>
                    <w:tcW w:w="932" w:type="pct"/>
                    <w:tcBorders>
                      <w:top w:val="single" w:sz="6" w:space="0" w:color="auto"/>
                      <w:left w:val="single" w:sz="6" w:space="0" w:color="auto"/>
                      <w:right w:val="single" w:sz="6" w:space="0" w:color="auto"/>
                    </w:tcBorders>
                    <w:shd w:val="clear" w:color="auto" w:fill="auto"/>
                  </w:tcPr>
                  <w:p w:rsidR="00A079B5" w:rsidRDefault="00A079B5" w:rsidP="00DB008B">
                    <w:pPr>
                      <w:jc w:val="center"/>
                      <w:rPr>
                        <w:szCs w:val="21"/>
                      </w:rPr>
                    </w:pPr>
                    <w:r>
                      <w:rPr>
                        <w:szCs w:val="21"/>
                      </w:rPr>
                      <w:t>朔黄铁路</w:t>
                    </w:r>
                  </w:p>
                </w:tc>
              </w:sdtContent>
            </w:sdt>
            <w:sdt>
              <w:sdtPr>
                <w:rPr>
                  <w:szCs w:val="21"/>
                </w:rPr>
                <w:alias w:val="重要联营企业的主要财务信息明细-企业名称"/>
                <w:tag w:val="_GBC_efc7f4a58fe54a3fb8fad3e0deb94eae"/>
                <w:id w:val="-1361045544"/>
                <w:lock w:val="sdtLocked"/>
              </w:sdtPr>
              <w:sdtContent>
                <w:tc>
                  <w:tcPr>
                    <w:tcW w:w="990" w:type="pct"/>
                    <w:tcBorders>
                      <w:top w:val="single" w:sz="6" w:space="0" w:color="auto"/>
                      <w:left w:val="single" w:sz="6" w:space="0" w:color="auto"/>
                      <w:right w:val="single" w:sz="6" w:space="0" w:color="auto"/>
                    </w:tcBorders>
                    <w:shd w:val="clear" w:color="auto" w:fill="auto"/>
                  </w:tcPr>
                  <w:p w:rsidR="00A079B5" w:rsidRDefault="00A079B5" w:rsidP="00DB008B">
                    <w:pPr>
                      <w:jc w:val="center"/>
                      <w:rPr>
                        <w:szCs w:val="21"/>
                      </w:rPr>
                    </w:pPr>
                    <w:r>
                      <w:rPr>
                        <w:szCs w:val="21"/>
                      </w:rPr>
                      <w:t>浩吉铁路</w:t>
                    </w:r>
                  </w:p>
                </w:tc>
              </w:sdtContent>
            </w:sdt>
            <w:sdt>
              <w:sdtPr>
                <w:rPr>
                  <w:szCs w:val="21"/>
                </w:rPr>
                <w:alias w:val="重要联营企业的主要财务信息明细-企业名称"/>
                <w:tag w:val="_GBC_ec035f4a8b8047b6ae76c73886ec26ca"/>
                <w:id w:val="193204284"/>
                <w:lock w:val="sdtLocked"/>
              </w:sdtPr>
              <w:sdtContent>
                <w:tc>
                  <w:tcPr>
                    <w:tcW w:w="932" w:type="pct"/>
                    <w:tcBorders>
                      <w:top w:val="single" w:sz="6" w:space="0" w:color="auto"/>
                      <w:left w:val="single" w:sz="6" w:space="0" w:color="auto"/>
                      <w:bottom w:val="single" w:sz="6" w:space="0" w:color="auto"/>
                      <w:right w:val="single" w:sz="6" w:space="0" w:color="auto"/>
                    </w:tcBorders>
                    <w:shd w:val="clear" w:color="auto" w:fill="auto"/>
                  </w:tcPr>
                  <w:p w:rsidR="00A079B5" w:rsidRDefault="00A079B5" w:rsidP="00DB008B">
                    <w:pPr>
                      <w:jc w:val="center"/>
                      <w:rPr>
                        <w:szCs w:val="21"/>
                      </w:rPr>
                    </w:pPr>
                    <w:r>
                      <w:rPr>
                        <w:szCs w:val="21"/>
                      </w:rPr>
                      <w:t>朔黄铁路</w:t>
                    </w:r>
                  </w:p>
                </w:tc>
              </w:sdtContent>
            </w:sdt>
            <w:sdt>
              <w:sdtPr>
                <w:rPr>
                  <w:szCs w:val="21"/>
                </w:rPr>
                <w:alias w:val="重要联营企业的主要财务信息明细-企业名称"/>
                <w:tag w:val="_GBC_ec035f4a8b8047b6ae76c73886ec26ca"/>
                <w:id w:val="607474615"/>
                <w:lock w:val="sdtLocked"/>
              </w:sdtPr>
              <w:sdtContent>
                <w:tc>
                  <w:tcPr>
                    <w:tcW w:w="990" w:type="pct"/>
                    <w:tcBorders>
                      <w:top w:val="single" w:sz="6" w:space="0" w:color="auto"/>
                      <w:left w:val="single" w:sz="6" w:space="0" w:color="auto"/>
                      <w:bottom w:val="single" w:sz="6" w:space="0" w:color="auto"/>
                      <w:right w:val="single" w:sz="6" w:space="0" w:color="auto"/>
                    </w:tcBorders>
                    <w:shd w:val="clear" w:color="auto" w:fill="auto"/>
                  </w:tcPr>
                  <w:p w:rsidR="00A079B5" w:rsidRDefault="00A079B5" w:rsidP="00DB008B">
                    <w:pPr>
                      <w:jc w:val="center"/>
                      <w:rPr>
                        <w:szCs w:val="21"/>
                      </w:rPr>
                    </w:pPr>
                    <w:r>
                      <w:rPr>
                        <w:szCs w:val="21"/>
                      </w:rPr>
                      <w:t>浩吉铁路</w:t>
                    </w:r>
                  </w:p>
                </w:tc>
              </w:sdtContent>
            </w:sdt>
          </w:tr>
          <w:tr w:rsidR="00A079B5" w:rsidTr="00A079B5">
            <w:sdt>
              <w:sdtPr>
                <w:tag w:val="_PLD_bd98f709ab6e4f96b4a06602fd995e5b"/>
                <w:id w:val="-158466551"/>
                <w:lock w:val="sdtLocked"/>
              </w:sdtPr>
              <w:sdtContent>
                <w:tc>
                  <w:tcPr>
                    <w:tcW w:w="1158" w:type="pct"/>
                    <w:tcBorders>
                      <w:top w:val="single" w:sz="6" w:space="0" w:color="auto"/>
                      <w:left w:val="single" w:sz="4" w:space="0" w:color="auto"/>
                      <w:bottom w:val="single" w:sz="6" w:space="0" w:color="auto"/>
                      <w:right w:val="single" w:sz="6" w:space="0" w:color="auto"/>
                    </w:tcBorders>
                    <w:shd w:val="clear" w:color="auto" w:fill="auto"/>
                    <w:vAlign w:val="bottom"/>
                  </w:tcPr>
                  <w:p w:rsidR="00A079B5" w:rsidRDefault="00A079B5" w:rsidP="00DB008B">
                    <w:pPr>
                      <w:rPr>
                        <w:rFonts w:cs="Arial"/>
                        <w:color w:val="000000"/>
                        <w:szCs w:val="21"/>
                      </w:rPr>
                    </w:pPr>
                    <w:r>
                      <w:rPr>
                        <w:rFonts w:cs="Arial" w:hint="eastAsia"/>
                        <w:color w:val="000000"/>
                        <w:szCs w:val="21"/>
                        <w:lang w:val="en-GB"/>
                      </w:rPr>
                      <w:t>流动资产</w:t>
                    </w:r>
                  </w:p>
                </w:tc>
              </w:sdtContent>
            </w:sdt>
            <w:tc>
              <w:tcPr>
                <w:tcW w:w="932" w:type="pct"/>
                <w:tcBorders>
                  <w:left w:val="single" w:sz="6" w:space="0" w:color="auto"/>
                  <w:right w:val="single" w:sz="6" w:space="0" w:color="auto"/>
                </w:tcBorders>
                <w:shd w:val="clear" w:color="auto" w:fill="auto"/>
                <w:vAlign w:val="center"/>
              </w:tcPr>
              <w:p w:rsidR="00A079B5" w:rsidRDefault="00A079B5" w:rsidP="00DB008B">
                <w:pPr>
                  <w:jc w:val="right"/>
                  <w:rPr>
                    <w:szCs w:val="21"/>
                  </w:rPr>
                </w:pPr>
                <w:r>
                  <w:t>9,346,882,086</w:t>
                </w:r>
              </w:p>
            </w:tc>
            <w:tc>
              <w:tcPr>
                <w:tcW w:w="990" w:type="pct"/>
                <w:tcBorders>
                  <w:left w:val="single" w:sz="6" w:space="0" w:color="auto"/>
                  <w:right w:val="single" w:sz="6" w:space="0" w:color="auto"/>
                </w:tcBorders>
                <w:shd w:val="clear" w:color="auto" w:fill="auto"/>
                <w:vAlign w:val="center"/>
              </w:tcPr>
              <w:p w:rsidR="00A079B5" w:rsidRDefault="00A079B5" w:rsidP="00DB008B">
                <w:pPr>
                  <w:jc w:val="right"/>
                  <w:rPr>
                    <w:szCs w:val="21"/>
                  </w:rPr>
                </w:pPr>
                <w:r>
                  <w:t>11,147,697,610</w:t>
                </w:r>
              </w:p>
            </w:tc>
            <w:tc>
              <w:tcPr>
                <w:tcW w:w="932" w:type="pct"/>
                <w:tcBorders>
                  <w:top w:val="single" w:sz="6" w:space="0" w:color="auto"/>
                  <w:left w:val="single" w:sz="6" w:space="0" w:color="auto"/>
                  <w:bottom w:val="single" w:sz="6" w:space="0" w:color="auto"/>
                  <w:right w:val="single" w:sz="6" w:space="0" w:color="auto"/>
                </w:tcBorders>
                <w:vAlign w:val="center"/>
              </w:tcPr>
              <w:p w:rsidR="00A079B5" w:rsidRDefault="00A079B5" w:rsidP="00DB008B">
                <w:pPr>
                  <w:jc w:val="right"/>
                  <w:rPr>
                    <w:szCs w:val="21"/>
                  </w:rPr>
                </w:pPr>
                <w:r>
                  <w:t>9,327,803,300</w:t>
                </w:r>
              </w:p>
            </w:tc>
            <w:tc>
              <w:tcPr>
                <w:tcW w:w="990" w:type="pct"/>
                <w:tcBorders>
                  <w:top w:val="single" w:sz="6" w:space="0" w:color="auto"/>
                  <w:left w:val="single" w:sz="6" w:space="0" w:color="auto"/>
                  <w:bottom w:val="single" w:sz="6" w:space="0" w:color="auto"/>
                  <w:right w:val="single" w:sz="6" w:space="0" w:color="auto"/>
                </w:tcBorders>
                <w:vAlign w:val="center"/>
              </w:tcPr>
              <w:p w:rsidR="00A079B5" w:rsidRDefault="00A079B5" w:rsidP="00DB008B">
                <w:pPr>
                  <w:jc w:val="right"/>
                  <w:rPr>
                    <w:szCs w:val="21"/>
                  </w:rPr>
                </w:pPr>
                <w:r>
                  <w:t>9,723,525,944</w:t>
                </w:r>
              </w:p>
            </w:tc>
          </w:tr>
          <w:tr w:rsidR="00A079B5" w:rsidTr="00A079B5">
            <w:sdt>
              <w:sdtPr>
                <w:tag w:val="_PLD_d33c9f19c0bd4028900f4b049304e75b"/>
                <w:id w:val="279924298"/>
                <w:lock w:val="sdtLocked"/>
              </w:sdtPr>
              <w:sdtContent>
                <w:tc>
                  <w:tcPr>
                    <w:tcW w:w="1158" w:type="pct"/>
                    <w:tcBorders>
                      <w:top w:val="single" w:sz="6" w:space="0" w:color="auto"/>
                      <w:left w:val="single" w:sz="4" w:space="0" w:color="auto"/>
                      <w:bottom w:val="single" w:sz="6" w:space="0" w:color="auto"/>
                      <w:right w:val="single" w:sz="6" w:space="0" w:color="auto"/>
                    </w:tcBorders>
                    <w:shd w:val="clear" w:color="auto" w:fill="auto"/>
                    <w:vAlign w:val="bottom"/>
                  </w:tcPr>
                  <w:p w:rsidR="00A079B5" w:rsidRDefault="00A079B5" w:rsidP="00DB008B">
                    <w:pPr>
                      <w:rPr>
                        <w:rFonts w:cs="Arial"/>
                        <w:color w:val="000000"/>
                        <w:szCs w:val="21"/>
                      </w:rPr>
                    </w:pPr>
                    <w:r>
                      <w:rPr>
                        <w:rFonts w:cs="Arial" w:hint="eastAsia"/>
                        <w:color w:val="000000"/>
                        <w:szCs w:val="21"/>
                        <w:lang w:val="en-GB"/>
                      </w:rPr>
                      <w:t>非流动资产</w:t>
                    </w:r>
                  </w:p>
                </w:tc>
              </w:sdtContent>
            </w:sdt>
            <w:tc>
              <w:tcPr>
                <w:tcW w:w="932" w:type="pct"/>
                <w:tcBorders>
                  <w:left w:val="single" w:sz="6" w:space="0" w:color="auto"/>
                  <w:right w:val="single" w:sz="6" w:space="0" w:color="auto"/>
                </w:tcBorders>
                <w:shd w:val="clear" w:color="auto" w:fill="auto"/>
                <w:vAlign w:val="center"/>
              </w:tcPr>
              <w:p w:rsidR="00A079B5" w:rsidRDefault="00A079B5" w:rsidP="00DB008B">
                <w:pPr>
                  <w:jc w:val="right"/>
                  <w:rPr>
                    <w:szCs w:val="21"/>
                  </w:rPr>
                </w:pPr>
                <w:r>
                  <w:t>34,127,372,889</w:t>
                </w:r>
              </w:p>
            </w:tc>
            <w:tc>
              <w:tcPr>
                <w:tcW w:w="990" w:type="pct"/>
                <w:tcBorders>
                  <w:left w:val="single" w:sz="6" w:space="0" w:color="auto"/>
                  <w:right w:val="single" w:sz="6" w:space="0" w:color="auto"/>
                </w:tcBorders>
                <w:shd w:val="clear" w:color="auto" w:fill="auto"/>
                <w:vAlign w:val="center"/>
              </w:tcPr>
              <w:p w:rsidR="00A079B5" w:rsidRDefault="00A079B5" w:rsidP="00DB008B">
                <w:pPr>
                  <w:jc w:val="right"/>
                  <w:rPr>
                    <w:szCs w:val="21"/>
                  </w:rPr>
                </w:pPr>
                <w:r>
                  <w:t>149,925,002,977</w:t>
                </w:r>
              </w:p>
            </w:tc>
            <w:tc>
              <w:tcPr>
                <w:tcW w:w="932" w:type="pct"/>
                <w:tcBorders>
                  <w:top w:val="single" w:sz="6" w:space="0" w:color="auto"/>
                  <w:left w:val="single" w:sz="6" w:space="0" w:color="auto"/>
                  <w:bottom w:val="single" w:sz="6" w:space="0" w:color="auto"/>
                  <w:right w:val="single" w:sz="6" w:space="0" w:color="auto"/>
                </w:tcBorders>
                <w:vAlign w:val="center"/>
              </w:tcPr>
              <w:p w:rsidR="00A079B5" w:rsidRDefault="00A079B5" w:rsidP="00DB008B">
                <w:pPr>
                  <w:jc w:val="right"/>
                  <w:rPr>
                    <w:szCs w:val="21"/>
                  </w:rPr>
                </w:pPr>
                <w:r>
                  <w:t>34,153,238,628</w:t>
                </w:r>
              </w:p>
            </w:tc>
            <w:tc>
              <w:tcPr>
                <w:tcW w:w="990" w:type="pct"/>
                <w:tcBorders>
                  <w:top w:val="single" w:sz="6" w:space="0" w:color="auto"/>
                  <w:left w:val="single" w:sz="6" w:space="0" w:color="auto"/>
                  <w:bottom w:val="single" w:sz="6" w:space="0" w:color="auto"/>
                  <w:right w:val="single" w:sz="6" w:space="0" w:color="auto"/>
                </w:tcBorders>
                <w:vAlign w:val="center"/>
              </w:tcPr>
              <w:p w:rsidR="00A079B5" w:rsidRDefault="00A079B5" w:rsidP="00DB008B">
                <w:pPr>
                  <w:jc w:val="right"/>
                  <w:rPr>
                    <w:szCs w:val="21"/>
                  </w:rPr>
                </w:pPr>
                <w:r>
                  <w:t>147,280,806,453</w:t>
                </w:r>
              </w:p>
            </w:tc>
          </w:tr>
          <w:tr w:rsidR="00A079B5" w:rsidTr="00A079B5">
            <w:sdt>
              <w:sdtPr>
                <w:tag w:val="_PLD_93b9a2f53b8c47c3b912a3f65bfa401f"/>
                <w:id w:val="-1202781140"/>
                <w:lock w:val="sdtLocked"/>
              </w:sdtPr>
              <w:sdtContent>
                <w:tc>
                  <w:tcPr>
                    <w:tcW w:w="1158" w:type="pct"/>
                    <w:tcBorders>
                      <w:top w:val="single" w:sz="6" w:space="0" w:color="auto"/>
                      <w:left w:val="single" w:sz="4" w:space="0" w:color="auto"/>
                      <w:bottom w:val="single" w:sz="6" w:space="0" w:color="auto"/>
                      <w:right w:val="single" w:sz="6" w:space="0" w:color="auto"/>
                    </w:tcBorders>
                    <w:shd w:val="clear" w:color="auto" w:fill="auto"/>
                    <w:vAlign w:val="bottom"/>
                  </w:tcPr>
                  <w:p w:rsidR="00A079B5" w:rsidRDefault="00A079B5" w:rsidP="00DB008B">
                    <w:pPr>
                      <w:rPr>
                        <w:rFonts w:cs="Arial"/>
                        <w:color w:val="000000"/>
                        <w:szCs w:val="21"/>
                      </w:rPr>
                    </w:pPr>
                    <w:r>
                      <w:rPr>
                        <w:rFonts w:cs="Arial" w:hint="eastAsia"/>
                        <w:color w:val="000000"/>
                        <w:szCs w:val="21"/>
                        <w:lang w:val="en-GB"/>
                      </w:rPr>
                      <w:t>资产合计</w:t>
                    </w:r>
                  </w:p>
                </w:tc>
              </w:sdtContent>
            </w:sdt>
            <w:tc>
              <w:tcPr>
                <w:tcW w:w="932" w:type="pct"/>
                <w:tcBorders>
                  <w:left w:val="single" w:sz="6" w:space="0" w:color="auto"/>
                  <w:right w:val="single" w:sz="6" w:space="0" w:color="auto"/>
                </w:tcBorders>
                <w:shd w:val="clear" w:color="auto" w:fill="auto"/>
                <w:vAlign w:val="center"/>
              </w:tcPr>
              <w:p w:rsidR="00A079B5" w:rsidRDefault="00A079B5" w:rsidP="00DB008B">
                <w:pPr>
                  <w:jc w:val="right"/>
                  <w:rPr>
                    <w:szCs w:val="21"/>
                  </w:rPr>
                </w:pPr>
                <w:r>
                  <w:t>43,474,254,975</w:t>
                </w:r>
              </w:p>
            </w:tc>
            <w:tc>
              <w:tcPr>
                <w:tcW w:w="990" w:type="pct"/>
                <w:tcBorders>
                  <w:left w:val="single" w:sz="6" w:space="0" w:color="auto"/>
                  <w:right w:val="single" w:sz="6" w:space="0" w:color="auto"/>
                </w:tcBorders>
                <w:shd w:val="clear" w:color="auto" w:fill="auto"/>
                <w:vAlign w:val="center"/>
              </w:tcPr>
              <w:p w:rsidR="00A079B5" w:rsidRDefault="00A079B5" w:rsidP="00DB008B">
                <w:pPr>
                  <w:jc w:val="right"/>
                  <w:rPr>
                    <w:szCs w:val="21"/>
                  </w:rPr>
                </w:pPr>
                <w:r>
                  <w:t>161,072,700,587</w:t>
                </w:r>
              </w:p>
            </w:tc>
            <w:tc>
              <w:tcPr>
                <w:tcW w:w="932" w:type="pct"/>
                <w:tcBorders>
                  <w:top w:val="single" w:sz="6" w:space="0" w:color="auto"/>
                  <w:left w:val="single" w:sz="6" w:space="0" w:color="auto"/>
                  <w:bottom w:val="single" w:sz="6" w:space="0" w:color="auto"/>
                  <w:right w:val="single" w:sz="6" w:space="0" w:color="auto"/>
                </w:tcBorders>
                <w:vAlign w:val="center"/>
              </w:tcPr>
              <w:p w:rsidR="00A079B5" w:rsidRDefault="00A079B5" w:rsidP="00DB008B">
                <w:pPr>
                  <w:jc w:val="right"/>
                  <w:rPr>
                    <w:szCs w:val="21"/>
                  </w:rPr>
                </w:pPr>
                <w:r>
                  <w:t>43,481,041,928</w:t>
                </w:r>
              </w:p>
            </w:tc>
            <w:tc>
              <w:tcPr>
                <w:tcW w:w="990" w:type="pct"/>
                <w:tcBorders>
                  <w:top w:val="single" w:sz="6" w:space="0" w:color="auto"/>
                  <w:left w:val="single" w:sz="6" w:space="0" w:color="auto"/>
                  <w:bottom w:val="single" w:sz="6" w:space="0" w:color="auto"/>
                  <w:right w:val="single" w:sz="6" w:space="0" w:color="auto"/>
                </w:tcBorders>
                <w:vAlign w:val="center"/>
              </w:tcPr>
              <w:p w:rsidR="00A079B5" w:rsidRDefault="00A079B5" w:rsidP="00DB008B">
                <w:pPr>
                  <w:jc w:val="right"/>
                  <w:rPr>
                    <w:szCs w:val="21"/>
                  </w:rPr>
                </w:pPr>
                <w:r>
                  <w:t>157,004,332,397</w:t>
                </w:r>
              </w:p>
            </w:tc>
          </w:tr>
          <w:tr w:rsidR="00A079B5" w:rsidTr="00DB008B">
            <w:tc>
              <w:tcPr>
                <w:tcW w:w="5000" w:type="pct"/>
                <w:gridSpan w:val="5"/>
                <w:tcBorders>
                  <w:top w:val="single" w:sz="6" w:space="0" w:color="auto"/>
                  <w:left w:val="single" w:sz="4" w:space="0" w:color="auto"/>
                  <w:bottom w:val="single" w:sz="6" w:space="0" w:color="auto"/>
                  <w:right w:val="single" w:sz="6" w:space="0" w:color="auto"/>
                </w:tcBorders>
                <w:shd w:val="clear" w:color="auto" w:fill="auto"/>
                <w:vAlign w:val="bottom"/>
              </w:tcPr>
              <w:p w:rsidR="00A079B5" w:rsidRDefault="00A079B5" w:rsidP="00DB008B">
                <w:pPr>
                  <w:jc w:val="right"/>
                  <w:rPr>
                    <w:szCs w:val="21"/>
                  </w:rPr>
                </w:pPr>
              </w:p>
            </w:tc>
          </w:tr>
          <w:tr w:rsidR="00A079B5" w:rsidTr="00A079B5">
            <w:sdt>
              <w:sdtPr>
                <w:tag w:val="_PLD_d5042a8897c74c8fa2567bf536f0b45c"/>
                <w:id w:val="1337737536"/>
                <w:lock w:val="sdtLocked"/>
              </w:sdtPr>
              <w:sdtContent>
                <w:tc>
                  <w:tcPr>
                    <w:tcW w:w="1158" w:type="pct"/>
                    <w:tcBorders>
                      <w:top w:val="single" w:sz="6" w:space="0" w:color="auto"/>
                      <w:left w:val="single" w:sz="4" w:space="0" w:color="auto"/>
                      <w:bottom w:val="single" w:sz="6" w:space="0" w:color="auto"/>
                      <w:right w:val="single" w:sz="6" w:space="0" w:color="auto"/>
                    </w:tcBorders>
                    <w:shd w:val="clear" w:color="auto" w:fill="auto"/>
                    <w:vAlign w:val="bottom"/>
                  </w:tcPr>
                  <w:p w:rsidR="00A079B5" w:rsidRDefault="00A079B5" w:rsidP="00A079B5">
                    <w:pPr>
                      <w:rPr>
                        <w:rFonts w:cs="Arial"/>
                        <w:color w:val="000000"/>
                        <w:szCs w:val="21"/>
                      </w:rPr>
                    </w:pPr>
                    <w:r>
                      <w:rPr>
                        <w:rFonts w:cs="Arial" w:hint="eastAsia"/>
                        <w:color w:val="000000"/>
                        <w:szCs w:val="21"/>
                        <w:lang w:val="en-GB"/>
                      </w:rPr>
                      <w:t>流动负债</w:t>
                    </w:r>
                  </w:p>
                </w:tc>
              </w:sdtContent>
            </w:sdt>
            <w:tc>
              <w:tcPr>
                <w:tcW w:w="932" w:type="pct"/>
                <w:tcBorders>
                  <w:left w:val="single" w:sz="6" w:space="0" w:color="auto"/>
                  <w:right w:val="single" w:sz="6" w:space="0" w:color="auto"/>
                </w:tcBorders>
                <w:shd w:val="clear" w:color="auto" w:fill="auto"/>
                <w:vAlign w:val="center"/>
              </w:tcPr>
              <w:p w:rsidR="00A079B5" w:rsidRDefault="00A079B5" w:rsidP="00A079B5">
                <w:pPr>
                  <w:jc w:val="right"/>
                  <w:rPr>
                    <w:szCs w:val="21"/>
                  </w:rPr>
                </w:pPr>
                <w:r>
                  <w:t>10,308,064,198</w:t>
                </w:r>
              </w:p>
            </w:tc>
            <w:tc>
              <w:tcPr>
                <w:tcW w:w="990" w:type="pct"/>
                <w:tcBorders>
                  <w:left w:val="single" w:sz="6" w:space="0" w:color="auto"/>
                  <w:right w:val="single" w:sz="6" w:space="0" w:color="auto"/>
                </w:tcBorders>
                <w:shd w:val="clear" w:color="auto" w:fill="auto"/>
                <w:vAlign w:val="center"/>
              </w:tcPr>
              <w:p w:rsidR="00A079B5" w:rsidRDefault="00A079B5" w:rsidP="00A079B5">
                <w:pPr>
                  <w:jc w:val="right"/>
                  <w:rPr>
                    <w:szCs w:val="21"/>
                  </w:rPr>
                </w:pPr>
                <w:r>
                  <w:t>8,129,208,704</w:t>
                </w:r>
              </w:p>
            </w:tc>
            <w:tc>
              <w:tcPr>
                <w:tcW w:w="932" w:type="pct"/>
                <w:tcBorders>
                  <w:top w:val="single" w:sz="6" w:space="0" w:color="auto"/>
                  <w:left w:val="single" w:sz="6" w:space="0" w:color="auto"/>
                  <w:bottom w:val="single" w:sz="6" w:space="0" w:color="auto"/>
                  <w:right w:val="single" w:sz="6" w:space="0" w:color="auto"/>
                </w:tcBorders>
                <w:vAlign w:val="center"/>
              </w:tcPr>
              <w:p w:rsidR="00A079B5" w:rsidRDefault="00A079B5" w:rsidP="00A079B5">
                <w:pPr>
                  <w:jc w:val="right"/>
                  <w:rPr>
                    <w:szCs w:val="21"/>
                  </w:rPr>
                </w:pPr>
                <w:r>
                  <w:t>3,954,380,308</w:t>
                </w:r>
              </w:p>
            </w:tc>
            <w:tc>
              <w:tcPr>
                <w:tcW w:w="990" w:type="pct"/>
                <w:tcBorders>
                  <w:top w:val="single" w:sz="6" w:space="0" w:color="auto"/>
                  <w:left w:val="single" w:sz="6" w:space="0" w:color="auto"/>
                  <w:bottom w:val="single" w:sz="6" w:space="0" w:color="auto"/>
                  <w:right w:val="single" w:sz="6" w:space="0" w:color="auto"/>
                </w:tcBorders>
                <w:vAlign w:val="center"/>
              </w:tcPr>
              <w:p w:rsidR="00A079B5" w:rsidRDefault="00A079B5" w:rsidP="00A079B5">
                <w:pPr>
                  <w:jc w:val="right"/>
                  <w:rPr>
                    <w:szCs w:val="21"/>
                  </w:rPr>
                </w:pPr>
                <w:r>
                  <w:t>2,670,504,673</w:t>
                </w:r>
              </w:p>
            </w:tc>
          </w:tr>
          <w:tr w:rsidR="00A079B5" w:rsidTr="00A079B5">
            <w:sdt>
              <w:sdtPr>
                <w:tag w:val="_PLD_5328073d5a9f4e7a8dda720e99ff747d"/>
                <w:id w:val="-1947524840"/>
                <w:lock w:val="sdtLocked"/>
              </w:sdtPr>
              <w:sdtContent>
                <w:tc>
                  <w:tcPr>
                    <w:tcW w:w="1158" w:type="pct"/>
                    <w:tcBorders>
                      <w:top w:val="single" w:sz="6" w:space="0" w:color="auto"/>
                      <w:left w:val="single" w:sz="4" w:space="0" w:color="auto"/>
                      <w:bottom w:val="single" w:sz="6" w:space="0" w:color="auto"/>
                      <w:right w:val="single" w:sz="6" w:space="0" w:color="auto"/>
                    </w:tcBorders>
                    <w:shd w:val="clear" w:color="auto" w:fill="auto"/>
                    <w:vAlign w:val="bottom"/>
                  </w:tcPr>
                  <w:p w:rsidR="00A079B5" w:rsidRDefault="00A079B5" w:rsidP="00A079B5">
                    <w:pPr>
                      <w:rPr>
                        <w:rFonts w:cs="Arial"/>
                        <w:color w:val="000000"/>
                        <w:szCs w:val="21"/>
                      </w:rPr>
                    </w:pPr>
                    <w:r>
                      <w:rPr>
                        <w:rFonts w:cs="Arial" w:hint="eastAsia"/>
                        <w:color w:val="000000"/>
                        <w:szCs w:val="21"/>
                        <w:lang w:val="en-GB"/>
                      </w:rPr>
                      <w:t>非流动负债</w:t>
                    </w:r>
                  </w:p>
                </w:tc>
              </w:sdtContent>
            </w:sdt>
            <w:tc>
              <w:tcPr>
                <w:tcW w:w="932" w:type="pct"/>
                <w:tcBorders>
                  <w:left w:val="single" w:sz="6" w:space="0" w:color="auto"/>
                  <w:right w:val="single" w:sz="6" w:space="0" w:color="auto"/>
                </w:tcBorders>
                <w:shd w:val="clear" w:color="auto" w:fill="auto"/>
                <w:vAlign w:val="center"/>
              </w:tcPr>
              <w:p w:rsidR="00A079B5" w:rsidRDefault="00A079B5" w:rsidP="00A079B5">
                <w:pPr>
                  <w:jc w:val="right"/>
                  <w:rPr>
                    <w:szCs w:val="21"/>
                  </w:rPr>
                </w:pPr>
                <w:r>
                  <w:t>4,624,312,601</w:t>
                </w:r>
              </w:p>
            </w:tc>
            <w:tc>
              <w:tcPr>
                <w:tcW w:w="990" w:type="pct"/>
                <w:tcBorders>
                  <w:left w:val="single" w:sz="6" w:space="0" w:color="auto"/>
                  <w:right w:val="single" w:sz="6" w:space="0" w:color="auto"/>
                </w:tcBorders>
                <w:shd w:val="clear" w:color="auto" w:fill="auto"/>
                <w:vAlign w:val="center"/>
              </w:tcPr>
              <w:p w:rsidR="00A079B5" w:rsidRDefault="00A079B5" w:rsidP="00A079B5">
                <w:pPr>
                  <w:jc w:val="right"/>
                  <w:rPr>
                    <w:szCs w:val="21"/>
                  </w:rPr>
                </w:pPr>
                <w:r>
                  <w:t>101,265,849,923</w:t>
                </w:r>
              </w:p>
            </w:tc>
            <w:tc>
              <w:tcPr>
                <w:tcW w:w="932" w:type="pct"/>
                <w:tcBorders>
                  <w:top w:val="single" w:sz="6" w:space="0" w:color="auto"/>
                  <w:left w:val="single" w:sz="6" w:space="0" w:color="auto"/>
                  <w:bottom w:val="single" w:sz="6" w:space="0" w:color="auto"/>
                  <w:right w:val="single" w:sz="6" w:space="0" w:color="auto"/>
                </w:tcBorders>
                <w:vAlign w:val="center"/>
              </w:tcPr>
              <w:p w:rsidR="00A079B5" w:rsidRDefault="00A079B5" w:rsidP="00A079B5">
                <w:pPr>
                  <w:jc w:val="right"/>
                  <w:rPr>
                    <w:szCs w:val="21"/>
                  </w:rPr>
                </w:pPr>
                <w:r>
                  <w:t>4,674,054,469</w:t>
                </w:r>
              </w:p>
            </w:tc>
            <w:tc>
              <w:tcPr>
                <w:tcW w:w="990" w:type="pct"/>
                <w:tcBorders>
                  <w:top w:val="single" w:sz="6" w:space="0" w:color="auto"/>
                  <w:left w:val="single" w:sz="6" w:space="0" w:color="auto"/>
                  <w:bottom w:val="single" w:sz="6" w:space="0" w:color="auto"/>
                  <w:right w:val="single" w:sz="6" w:space="0" w:color="auto"/>
                </w:tcBorders>
                <w:vAlign w:val="center"/>
              </w:tcPr>
              <w:p w:rsidR="00A079B5" w:rsidRDefault="00A079B5" w:rsidP="00A079B5">
                <w:pPr>
                  <w:jc w:val="right"/>
                  <w:rPr>
                    <w:szCs w:val="21"/>
                  </w:rPr>
                </w:pPr>
                <w:r>
                  <w:t>102,944,505,992</w:t>
                </w:r>
              </w:p>
            </w:tc>
          </w:tr>
          <w:tr w:rsidR="00A079B5" w:rsidTr="00A079B5">
            <w:sdt>
              <w:sdtPr>
                <w:tag w:val="_PLD_9cbbfa9377864d43b63aa61b4f155abf"/>
                <w:id w:val="-630559099"/>
                <w:lock w:val="sdtLocked"/>
              </w:sdtPr>
              <w:sdtContent>
                <w:tc>
                  <w:tcPr>
                    <w:tcW w:w="1158" w:type="pct"/>
                    <w:tcBorders>
                      <w:top w:val="single" w:sz="6" w:space="0" w:color="auto"/>
                      <w:left w:val="single" w:sz="4" w:space="0" w:color="auto"/>
                      <w:bottom w:val="single" w:sz="6" w:space="0" w:color="auto"/>
                      <w:right w:val="single" w:sz="6" w:space="0" w:color="auto"/>
                    </w:tcBorders>
                    <w:shd w:val="clear" w:color="auto" w:fill="auto"/>
                    <w:vAlign w:val="bottom"/>
                  </w:tcPr>
                  <w:p w:rsidR="00A079B5" w:rsidRDefault="00A079B5" w:rsidP="00A079B5">
                    <w:pPr>
                      <w:rPr>
                        <w:rFonts w:cs="Arial"/>
                        <w:color w:val="000000"/>
                        <w:szCs w:val="21"/>
                      </w:rPr>
                    </w:pPr>
                    <w:r>
                      <w:rPr>
                        <w:rFonts w:cs="Arial" w:hint="eastAsia"/>
                        <w:color w:val="000000"/>
                        <w:szCs w:val="21"/>
                        <w:lang w:val="en-GB"/>
                      </w:rPr>
                      <w:t>负债合计</w:t>
                    </w:r>
                  </w:p>
                </w:tc>
              </w:sdtContent>
            </w:sdt>
            <w:tc>
              <w:tcPr>
                <w:tcW w:w="932" w:type="pct"/>
                <w:tcBorders>
                  <w:left w:val="single" w:sz="6" w:space="0" w:color="auto"/>
                  <w:right w:val="single" w:sz="6" w:space="0" w:color="auto"/>
                </w:tcBorders>
                <w:shd w:val="clear" w:color="auto" w:fill="auto"/>
                <w:vAlign w:val="center"/>
              </w:tcPr>
              <w:p w:rsidR="00A079B5" w:rsidRDefault="00A079B5" w:rsidP="00A079B5">
                <w:pPr>
                  <w:jc w:val="right"/>
                  <w:rPr>
                    <w:szCs w:val="21"/>
                  </w:rPr>
                </w:pPr>
                <w:r>
                  <w:t>14,932,376,799</w:t>
                </w:r>
              </w:p>
            </w:tc>
            <w:tc>
              <w:tcPr>
                <w:tcW w:w="990" w:type="pct"/>
                <w:tcBorders>
                  <w:left w:val="single" w:sz="6" w:space="0" w:color="auto"/>
                  <w:right w:val="single" w:sz="6" w:space="0" w:color="auto"/>
                </w:tcBorders>
                <w:shd w:val="clear" w:color="auto" w:fill="auto"/>
                <w:vAlign w:val="center"/>
              </w:tcPr>
              <w:p w:rsidR="00A079B5" w:rsidRDefault="00A079B5" w:rsidP="00A079B5">
                <w:pPr>
                  <w:jc w:val="right"/>
                  <w:rPr>
                    <w:szCs w:val="21"/>
                  </w:rPr>
                </w:pPr>
                <w:r>
                  <w:t>109,395,058,627</w:t>
                </w:r>
              </w:p>
            </w:tc>
            <w:tc>
              <w:tcPr>
                <w:tcW w:w="932" w:type="pct"/>
                <w:tcBorders>
                  <w:top w:val="single" w:sz="6" w:space="0" w:color="auto"/>
                  <w:left w:val="single" w:sz="6" w:space="0" w:color="auto"/>
                  <w:bottom w:val="single" w:sz="6" w:space="0" w:color="auto"/>
                  <w:right w:val="single" w:sz="6" w:space="0" w:color="auto"/>
                </w:tcBorders>
                <w:vAlign w:val="center"/>
              </w:tcPr>
              <w:p w:rsidR="00A079B5" w:rsidRDefault="00A079B5" w:rsidP="00A079B5">
                <w:pPr>
                  <w:jc w:val="right"/>
                  <w:rPr>
                    <w:szCs w:val="21"/>
                  </w:rPr>
                </w:pPr>
                <w:r>
                  <w:t>8,628,434,777</w:t>
                </w:r>
              </w:p>
            </w:tc>
            <w:tc>
              <w:tcPr>
                <w:tcW w:w="990" w:type="pct"/>
                <w:tcBorders>
                  <w:top w:val="single" w:sz="6" w:space="0" w:color="auto"/>
                  <w:left w:val="single" w:sz="6" w:space="0" w:color="auto"/>
                  <w:bottom w:val="single" w:sz="6" w:space="0" w:color="auto"/>
                  <w:right w:val="single" w:sz="6" w:space="0" w:color="auto"/>
                </w:tcBorders>
                <w:vAlign w:val="center"/>
              </w:tcPr>
              <w:p w:rsidR="00A079B5" w:rsidRDefault="00A079B5" w:rsidP="00A079B5">
                <w:pPr>
                  <w:jc w:val="right"/>
                  <w:rPr>
                    <w:szCs w:val="21"/>
                  </w:rPr>
                </w:pPr>
                <w:r>
                  <w:t>105,615,010,665</w:t>
                </w:r>
              </w:p>
            </w:tc>
          </w:tr>
          <w:tr w:rsidR="00A079B5" w:rsidTr="00DB008B">
            <w:tc>
              <w:tcPr>
                <w:tcW w:w="5000" w:type="pct"/>
                <w:gridSpan w:val="5"/>
                <w:tcBorders>
                  <w:top w:val="single" w:sz="6" w:space="0" w:color="auto"/>
                  <w:left w:val="single" w:sz="4" w:space="0" w:color="auto"/>
                  <w:bottom w:val="single" w:sz="6" w:space="0" w:color="auto"/>
                  <w:right w:val="single" w:sz="6" w:space="0" w:color="auto"/>
                </w:tcBorders>
                <w:shd w:val="clear" w:color="auto" w:fill="auto"/>
                <w:vAlign w:val="bottom"/>
              </w:tcPr>
              <w:p w:rsidR="00A079B5" w:rsidRDefault="00A079B5" w:rsidP="00A079B5">
                <w:pPr>
                  <w:jc w:val="right"/>
                  <w:rPr>
                    <w:szCs w:val="21"/>
                  </w:rPr>
                </w:pPr>
              </w:p>
            </w:tc>
          </w:tr>
          <w:tr w:rsidR="00A079B5" w:rsidTr="00DB008B">
            <w:sdt>
              <w:sdtPr>
                <w:tag w:val="_PLD_a24a27859d54478ebb4bb56e062c15f9"/>
                <w:id w:val="-510225121"/>
                <w:lock w:val="sdtLocked"/>
              </w:sdtPr>
              <w:sdtContent>
                <w:tc>
                  <w:tcPr>
                    <w:tcW w:w="1158" w:type="pct"/>
                    <w:tcBorders>
                      <w:top w:val="single" w:sz="6" w:space="0" w:color="auto"/>
                      <w:left w:val="single" w:sz="4" w:space="0" w:color="auto"/>
                      <w:bottom w:val="single" w:sz="6" w:space="0" w:color="auto"/>
                      <w:right w:val="single" w:sz="6" w:space="0" w:color="auto"/>
                    </w:tcBorders>
                    <w:shd w:val="clear" w:color="auto" w:fill="auto"/>
                    <w:vAlign w:val="bottom"/>
                  </w:tcPr>
                  <w:p w:rsidR="00A079B5" w:rsidRDefault="00A079B5" w:rsidP="00A079B5">
                    <w:pPr>
                      <w:rPr>
                        <w:rFonts w:cs="Arial"/>
                        <w:color w:val="000000"/>
                        <w:szCs w:val="21"/>
                      </w:rPr>
                    </w:pPr>
                    <w:r>
                      <w:rPr>
                        <w:rFonts w:cs="Arial" w:hint="eastAsia"/>
                        <w:color w:val="000000"/>
                        <w:szCs w:val="21"/>
                        <w:lang w:val="en-GB"/>
                      </w:rPr>
                      <w:t>归属于母公司股东权益</w:t>
                    </w:r>
                  </w:p>
                </w:tc>
              </w:sdtContent>
            </w:sdt>
            <w:tc>
              <w:tcPr>
                <w:tcW w:w="932" w:type="pct"/>
                <w:tcBorders>
                  <w:left w:val="single" w:sz="6" w:space="0" w:color="auto"/>
                  <w:right w:val="single" w:sz="6" w:space="0" w:color="auto"/>
                </w:tcBorders>
                <w:shd w:val="clear" w:color="auto" w:fill="auto"/>
                <w:vAlign w:val="center"/>
              </w:tcPr>
              <w:p w:rsidR="00A079B5" w:rsidRDefault="00A079B5" w:rsidP="00A079B5">
                <w:pPr>
                  <w:jc w:val="right"/>
                  <w:rPr>
                    <w:szCs w:val="21"/>
                  </w:rPr>
                </w:pPr>
                <w:r>
                  <w:t>27,102,416,747</w:t>
                </w:r>
              </w:p>
            </w:tc>
            <w:tc>
              <w:tcPr>
                <w:tcW w:w="990" w:type="pct"/>
                <w:tcBorders>
                  <w:left w:val="single" w:sz="6" w:space="0" w:color="auto"/>
                  <w:right w:val="single" w:sz="6" w:space="0" w:color="auto"/>
                </w:tcBorders>
                <w:shd w:val="clear" w:color="auto" w:fill="auto"/>
                <w:vAlign w:val="center"/>
              </w:tcPr>
              <w:p w:rsidR="00A079B5" w:rsidRDefault="00A079B5" w:rsidP="00A079B5">
                <w:pPr>
                  <w:jc w:val="right"/>
                  <w:rPr>
                    <w:szCs w:val="21"/>
                  </w:rPr>
                </w:pPr>
                <w:r>
                  <w:t>51,677,641,960</w:t>
                </w:r>
              </w:p>
            </w:tc>
            <w:tc>
              <w:tcPr>
                <w:tcW w:w="932" w:type="pct"/>
                <w:tcBorders>
                  <w:top w:val="single" w:sz="6" w:space="0" w:color="auto"/>
                  <w:left w:val="single" w:sz="6" w:space="0" w:color="auto"/>
                  <w:bottom w:val="single" w:sz="6" w:space="0" w:color="auto"/>
                  <w:right w:val="single" w:sz="6" w:space="0" w:color="auto"/>
                </w:tcBorders>
                <w:vAlign w:val="center"/>
              </w:tcPr>
              <w:p w:rsidR="00A079B5" w:rsidRDefault="00A079B5" w:rsidP="00A079B5">
                <w:pPr>
                  <w:jc w:val="right"/>
                  <w:rPr>
                    <w:szCs w:val="21"/>
                  </w:rPr>
                </w:pPr>
                <w:r>
                  <w:t>33,416,621,935</w:t>
                </w:r>
              </w:p>
            </w:tc>
            <w:tc>
              <w:tcPr>
                <w:tcW w:w="990" w:type="pct"/>
                <w:tcBorders>
                  <w:top w:val="single" w:sz="6" w:space="0" w:color="auto"/>
                  <w:left w:val="single" w:sz="6" w:space="0" w:color="auto"/>
                  <w:bottom w:val="single" w:sz="6" w:space="0" w:color="auto"/>
                  <w:right w:val="single" w:sz="6" w:space="0" w:color="auto"/>
                </w:tcBorders>
                <w:vAlign w:val="center"/>
              </w:tcPr>
              <w:p w:rsidR="00A079B5" w:rsidRDefault="00A079B5" w:rsidP="00A079B5">
                <w:pPr>
                  <w:jc w:val="right"/>
                  <w:rPr>
                    <w:szCs w:val="21"/>
                  </w:rPr>
                </w:pPr>
                <w:r>
                  <w:t>51,389,321,732</w:t>
                </w:r>
              </w:p>
            </w:tc>
          </w:tr>
          <w:tr w:rsidR="00A079B5" w:rsidTr="00DB008B">
            <w:tc>
              <w:tcPr>
                <w:tcW w:w="1158" w:type="pct"/>
                <w:tcBorders>
                  <w:top w:val="single" w:sz="6" w:space="0" w:color="auto"/>
                  <w:left w:val="single" w:sz="4" w:space="0" w:color="auto"/>
                  <w:bottom w:val="single" w:sz="6" w:space="0" w:color="auto"/>
                  <w:right w:val="single" w:sz="6" w:space="0" w:color="auto"/>
                </w:tcBorders>
                <w:shd w:val="clear" w:color="auto" w:fill="auto"/>
                <w:vAlign w:val="bottom"/>
              </w:tcPr>
              <w:p w:rsidR="00A079B5" w:rsidRDefault="00A079B5" w:rsidP="00A079B5">
                <w:pPr>
                  <w:rPr>
                    <w:rFonts w:cs="Arial"/>
                    <w:color w:val="000000"/>
                    <w:szCs w:val="21"/>
                    <w:lang w:val="en-GB"/>
                  </w:rPr>
                </w:pPr>
                <w:r w:rsidRPr="00A079B5">
                  <w:rPr>
                    <w:rFonts w:cs="Arial" w:hint="eastAsia"/>
                    <w:color w:val="000000"/>
                    <w:szCs w:val="21"/>
                    <w:lang w:val="en-GB"/>
                  </w:rPr>
                  <w:t>加：其他股东承诺出资</w:t>
                </w:r>
              </w:p>
            </w:tc>
            <w:tc>
              <w:tcPr>
                <w:tcW w:w="932" w:type="pct"/>
                <w:tcBorders>
                  <w:left w:val="single" w:sz="6" w:space="0" w:color="auto"/>
                  <w:right w:val="single" w:sz="6" w:space="0" w:color="auto"/>
                </w:tcBorders>
                <w:shd w:val="clear" w:color="auto" w:fill="auto"/>
                <w:vAlign w:val="center"/>
              </w:tcPr>
              <w:p w:rsidR="00A079B5" w:rsidRDefault="00A079B5" w:rsidP="00A079B5">
                <w:pPr>
                  <w:jc w:val="right"/>
                  <w:rPr>
                    <w:szCs w:val="21"/>
                  </w:rPr>
                </w:pPr>
                <w:r>
                  <w:t>0</w:t>
                </w:r>
              </w:p>
            </w:tc>
            <w:tc>
              <w:tcPr>
                <w:tcW w:w="990" w:type="pct"/>
                <w:tcBorders>
                  <w:left w:val="single" w:sz="6" w:space="0" w:color="auto"/>
                  <w:right w:val="single" w:sz="6" w:space="0" w:color="auto"/>
                </w:tcBorders>
                <w:shd w:val="clear" w:color="auto" w:fill="auto"/>
                <w:vAlign w:val="center"/>
              </w:tcPr>
              <w:p w:rsidR="00A079B5" w:rsidRDefault="00A079B5" w:rsidP="00A079B5">
                <w:pPr>
                  <w:jc w:val="right"/>
                  <w:rPr>
                    <w:szCs w:val="21"/>
                  </w:rPr>
                </w:pPr>
                <w:r>
                  <w:t>100,000,000</w:t>
                </w:r>
              </w:p>
            </w:tc>
            <w:tc>
              <w:tcPr>
                <w:tcW w:w="932" w:type="pct"/>
                <w:tcBorders>
                  <w:top w:val="single" w:sz="6" w:space="0" w:color="auto"/>
                  <w:left w:val="single" w:sz="6" w:space="0" w:color="auto"/>
                  <w:bottom w:val="single" w:sz="6" w:space="0" w:color="auto"/>
                  <w:right w:val="single" w:sz="6" w:space="0" w:color="auto"/>
                </w:tcBorders>
                <w:vAlign w:val="center"/>
              </w:tcPr>
              <w:p w:rsidR="00A079B5" w:rsidRDefault="00A079B5" w:rsidP="00A079B5">
                <w:pPr>
                  <w:jc w:val="right"/>
                  <w:rPr>
                    <w:szCs w:val="21"/>
                  </w:rPr>
                </w:pPr>
                <w:r>
                  <w:t>0</w:t>
                </w:r>
              </w:p>
            </w:tc>
            <w:tc>
              <w:tcPr>
                <w:tcW w:w="990" w:type="pct"/>
                <w:tcBorders>
                  <w:top w:val="single" w:sz="6" w:space="0" w:color="auto"/>
                  <w:left w:val="single" w:sz="6" w:space="0" w:color="auto"/>
                  <w:bottom w:val="single" w:sz="6" w:space="0" w:color="auto"/>
                  <w:right w:val="single" w:sz="6" w:space="0" w:color="auto"/>
                </w:tcBorders>
                <w:vAlign w:val="center"/>
              </w:tcPr>
              <w:p w:rsidR="00A079B5" w:rsidRDefault="00A079B5" w:rsidP="00A079B5">
                <w:pPr>
                  <w:jc w:val="right"/>
                  <w:rPr>
                    <w:szCs w:val="21"/>
                  </w:rPr>
                </w:pPr>
                <w:r>
                  <w:t>100,000,000</w:t>
                </w:r>
              </w:p>
            </w:tc>
          </w:tr>
          <w:tr w:rsidR="00A079B5" w:rsidTr="00A079B5">
            <w:tc>
              <w:tcPr>
                <w:tcW w:w="1158" w:type="pct"/>
                <w:tcBorders>
                  <w:top w:val="single" w:sz="6" w:space="0" w:color="auto"/>
                  <w:left w:val="single" w:sz="4" w:space="0" w:color="auto"/>
                  <w:bottom w:val="single" w:sz="6" w:space="0" w:color="auto"/>
                  <w:right w:val="single" w:sz="6" w:space="0" w:color="auto"/>
                </w:tcBorders>
                <w:shd w:val="clear" w:color="auto" w:fill="auto"/>
                <w:vAlign w:val="bottom"/>
              </w:tcPr>
              <w:p w:rsidR="00A079B5" w:rsidRDefault="00A079B5" w:rsidP="00A079B5">
                <w:pPr>
                  <w:rPr>
                    <w:rFonts w:cs="Arial"/>
                    <w:color w:val="000000"/>
                    <w:szCs w:val="21"/>
                    <w:lang w:val="en-GB"/>
                  </w:rPr>
                </w:pPr>
              </w:p>
            </w:tc>
            <w:tc>
              <w:tcPr>
                <w:tcW w:w="932" w:type="pct"/>
                <w:tcBorders>
                  <w:left w:val="single" w:sz="6" w:space="0" w:color="auto"/>
                  <w:right w:val="single" w:sz="6" w:space="0" w:color="auto"/>
                </w:tcBorders>
                <w:shd w:val="clear" w:color="auto" w:fill="auto"/>
              </w:tcPr>
              <w:p w:rsidR="00A079B5" w:rsidRDefault="00A079B5" w:rsidP="00A079B5">
                <w:pPr>
                  <w:jc w:val="right"/>
                  <w:rPr>
                    <w:szCs w:val="21"/>
                  </w:rPr>
                </w:pPr>
              </w:p>
            </w:tc>
            <w:tc>
              <w:tcPr>
                <w:tcW w:w="990" w:type="pct"/>
                <w:tcBorders>
                  <w:left w:val="single" w:sz="6" w:space="0" w:color="auto"/>
                  <w:right w:val="single" w:sz="6" w:space="0" w:color="auto"/>
                </w:tcBorders>
                <w:shd w:val="clear" w:color="auto" w:fill="auto"/>
              </w:tcPr>
              <w:p w:rsidR="00A079B5" w:rsidRDefault="00A079B5" w:rsidP="00A079B5">
                <w:pPr>
                  <w:jc w:val="right"/>
                  <w:rPr>
                    <w:szCs w:val="21"/>
                  </w:rPr>
                </w:pPr>
              </w:p>
            </w:tc>
            <w:tc>
              <w:tcPr>
                <w:tcW w:w="932" w:type="pct"/>
                <w:tcBorders>
                  <w:top w:val="single" w:sz="6" w:space="0" w:color="auto"/>
                  <w:left w:val="single" w:sz="6" w:space="0" w:color="auto"/>
                  <w:bottom w:val="single" w:sz="6" w:space="0" w:color="auto"/>
                  <w:right w:val="single" w:sz="6" w:space="0" w:color="auto"/>
                </w:tcBorders>
              </w:tcPr>
              <w:p w:rsidR="00A079B5" w:rsidRDefault="00A079B5" w:rsidP="00A079B5">
                <w:pPr>
                  <w:jc w:val="right"/>
                  <w:rPr>
                    <w:szCs w:val="21"/>
                  </w:rPr>
                </w:pPr>
              </w:p>
            </w:tc>
            <w:tc>
              <w:tcPr>
                <w:tcW w:w="990" w:type="pct"/>
                <w:tcBorders>
                  <w:top w:val="single" w:sz="6" w:space="0" w:color="auto"/>
                  <w:left w:val="single" w:sz="6" w:space="0" w:color="auto"/>
                  <w:bottom w:val="single" w:sz="6" w:space="0" w:color="auto"/>
                  <w:right w:val="single" w:sz="6" w:space="0" w:color="auto"/>
                </w:tcBorders>
              </w:tcPr>
              <w:p w:rsidR="00A079B5" w:rsidRDefault="00A079B5" w:rsidP="00A079B5">
                <w:pPr>
                  <w:jc w:val="right"/>
                  <w:rPr>
                    <w:szCs w:val="21"/>
                  </w:rPr>
                </w:pPr>
              </w:p>
            </w:tc>
          </w:tr>
          <w:tr w:rsidR="00A079B5" w:rsidTr="00DB008B">
            <w:sdt>
              <w:sdtPr>
                <w:tag w:val="_PLD_83760dd036554298ad568f0c4835493a"/>
                <w:id w:val="577259795"/>
                <w:lock w:val="sdtLocked"/>
              </w:sdtPr>
              <w:sdtContent>
                <w:tc>
                  <w:tcPr>
                    <w:tcW w:w="1158" w:type="pct"/>
                    <w:tcBorders>
                      <w:top w:val="single" w:sz="6" w:space="0" w:color="auto"/>
                      <w:left w:val="single" w:sz="4" w:space="0" w:color="auto"/>
                      <w:bottom w:val="single" w:sz="6" w:space="0" w:color="auto"/>
                      <w:right w:val="single" w:sz="6" w:space="0" w:color="auto"/>
                    </w:tcBorders>
                    <w:shd w:val="clear" w:color="auto" w:fill="auto"/>
                    <w:vAlign w:val="bottom"/>
                  </w:tcPr>
                  <w:p w:rsidR="00A079B5" w:rsidRDefault="00A079B5" w:rsidP="00A079B5">
                    <w:pPr>
                      <w:rPr>
                        <w:rFonts w:cs="Arial"/>
                        <w:color w:val="000000"/>
                        <w:szCs w:val="21"/>
                      </w:rPr>
                    </w:pPr>
                    <w:r>
                      <w:rPr>
                        <w:rFonts w:cs="Arial" w:hint="eastAsia"/>
                        <w:color w:val="000000"/>
                        <w:szCs w:val="21"/>
                        <w:lang w:val="en-GB"/>
                      </w:rPr>
                      <w:t>按持股比例计算的净资产份额</w:t>
                    </w:r>
                  </w:p>
                </w:tc>
              </w:sdtContent>
            </w:sdt>
            <w:tc>
              <w:tcPr>
                <w:tcW w:w="932" w:type="pct"/>
                <w:tcBorders>
                  <w:left w:val="single" w:sz="6" w:space="0" w:color="auto"/>
                  <w:right w:val="single" w:sz="6" w:space="0" w:color="auto"/>
                </w:tcBorders>
                <w:shd w:val="clear" w:color="auto" w:fill="auto"/>
                <w:vAlign w:val="center"/>
              </w:tcPr>
              <w:p w:rsidR="00A079B5" w:rsidRDefault="00A079B5" w:rsidP="00A079B5">
                <w:pPr>
                  <w:jc w:val="right"/>
                  <w:rPr>
                    <w:szCs w:val="21"/>
                  </w:rPr>
                </w:pPr>
                <w:r>
                  <w:t>11,156,811,004</w:t>
                </w:r>
              </w:p>
            </w:tc>
            <w:tc>
              <w:tcPr>
                <w:tcW w:w="990" w:type="pct"/>
                <w:tcBorders>
                  <w:left w:val="single" w:sz="6" w:space="0" w:color="auto"/>
                  <w:right w:val="single" w:sz="6" w:space="0" w:color="auto"/>
                </w:tcBorders>
                <w:shd w:val="clear" w:color="auto" w:fill="auto"/>
                <w:vAlign w:val="center"/>
              </w:tcPr>
              <w:p w:rsidR="00A079B5" w:rsidRDefault="00A079B5" w:rsidP="00A079B5">
                <w:pPr>
                  <w:jc w:val="right"/>
                  <w:rPr>
                    <w:szCs w:val="21"/>
                  </w:rPr>
                </w:pPr>
                <w:r>
                  <w:t>5,177,764,196</w:t>
                </w:r>
              </w:p>
            </w:tc>
            <w:tc>
              <w:tcPr>
                <w:tcW w:w="932" w:type="pct"/>
                <w:tcBorders>
                  <w:top w:val="single" w:sz="6" w:space="0" w:color="auto"/>
                  <w:left w:val="single" w:sz="6" w:space="0" w:color="auto"/>
                  <w:bottom w:val="single" w:sz="6" w:space="0" w:color="auto"/>
                  <w:right w:val="single" w:sz="6" w:space="0" w:color="auto"/>
                </w:tcBorders>
                <w:vAlign w:val="center"/>
              </w:tcPr>
              <w:p w:rsidR="00A079B5" w:rsidRDefault="00A079B5" w:rsidP="00A079B5">
                <w:pPr>
                  <w:jc w:val="right"/>
                  <w:rPr>
                    <w:szCs w:val="21"/>
                  </w:rPr>
                </w:pPr>
                <w:r>
                  <w:t>13,755,409,348</w:t>
                </w:r>
              </w:p>
            </w:tc>
            <w:tc>
              <w:tcPr>
                <w:tcW w:w="990" w:type="pct"/>
                <w:tcBorders>
                  <w:top w:val="single" w:sz="6" w:space="0" w:color="auto"/>
                  <w:left w:val="single" w:sz="6" w:space="0" w:color="auto"/>
                  <w:bottom w:val="single" w:sz="6" w:space="0" w:color="auto"/>
                  <w:right w:val="single" w:sz="6" w:space="0" w:color="auto"/>
                </w:tcBorders>
                <w:vAlign w:val="center"/>
              </w:tcPr>
              <w:p w:rsidR="00A079B5" w:rsidRDefault="00A079B5" w:rsidP="00A079B5">
                <w:pPr>
                  <w:jc w:val="right"/>
                  <w:rPr>
                    <w:szCs w:val="21"/>
                  </w:rPr>
                </w:pPr>
                <w:r>
                  <w:t>5,148,932,173</w:t>
                </w:r>
              </w:p>
            </w:tc>
          </w:tr>
          <w:tr w:rsidR="00A079B5" w:rsidTr="00A079B5">
            <w:sdt>
              <w:sdtPr>
                <w:tag w:val="_PLD_65d5a31f9fa341df9186936cb486be79"/>
                <w:id w:val="-1056321252"/>
                <w:lock w:val="sdtLocked"/>
              </w:sdtPr>
              <w:sdtContent>
                <w:tc>
                  <w:tcPr>
                    <w:tcW w:w="1158" w:type="pct"/>
                    <w:tcBorders>
                      <w:top w:val="single" w:sz="6" w:space="0" w:color="auto"/>
                      <w:left w:val="single" w:sz="4" w:space="0" w:color="auto"/>
                      <w:bottom w:val="single" w:sz="6" w:space="0" w:color="auto"/>
                      <w:right w:val="single" w:sz="6" w:space="0" w:color="auto"/>
                    </w:tcBorders>
                    <w:shd w:val="clear" w:color="auto" w:fill="auto"/>
                    <w:vAlign w:val="bottom"/>
                  </w:tcPr>
                  <w:p w:rsidR="00A079B5" w:rsidRDefault="00A079B5" w:rsidP="00A079B5">
                    <w:pPr>
                      <w:rPr>
                        <w:rFonts w:cs="Arial"/>
                        <w:color w:val="000000"/>
                        <w:szCs w:val="21"/>
                      </w:rPr>
                    </w:pPr>
                    <w:r>
                      <w:rPr>
                        <w:rFonts w:cs="Arial" w:hint="eastAsia"/>
                        <w:color w:val="000000"/>
                        <w:szCs w:val="21"/>
                        <w:lang w:val="en-GB"/>
                      </w:rPr>
                      <w:t>调整事项</w:t>
                    </w:r>
                  </w:p>
                </w:tc>
              </w:sdtContent>
            </w:sdt>
            <w:tc>
              <w:tcPr>
                <w:tcW w:w="932" w:type="pct"/>
                <w:tcBorders>
                  <w:left w:val="single" w:sz="6" w:space="0" w:color="auto"/>
                  <w:right w:val="single" w:sz="6" w:space="0" w:color="auto"/>
                </w:tcBorders>
                <w:shd w:val="clear" w:color="auto" w:fill="auto"/>
              </w:tcPr>
              <w:p w:rsidR="00A079B5" w:rsidRDefault="00A079B5" w:rsidP="00A079B5">
                <w:pPr>
                  <w:jc w:val="right"/>
                  <w:rPr>
                    <w:szCs w:val="21"/>
                  </w:rPr>
                </w:pPr>
              </w:p>
            </w:tc>
            <w:tc>
              <w:tcPr>
                <w:tcW w:w="990" w:type="pct"/>
                <w:tcBorders>
                  <w:left w:val="single" w:sz="6" w:space="0" w:color="auto"/>
                  <w:right w:val="single" w:sz="6" w:space="0" w:color="auto"/>
                </w:tcBorders>
                <w:shd w:val="clear" w:color="auto" w:fill="auto"/>
              </w:tcPr>
              <w:p w:rsidR="00A079B5" w:rsidRDefault="00A079B5" w:rsidP="00A079B5">
                <w:pPr>
                  <w:jc w:val="right"/>
                  <w:rPr>
                    <w:szCs w:val="21"/>
                  </w:rPr>
                </w:pPr>
              </w:p>
            </w:tc>
            <w:tc>
              <w:tcPr>
                <w:tcW w:w="932" w:type="pct"/>
                <w:tcBorders>
                  <w:top w:val="single" w:sz="6" w:space="0" w:color="auto"/>
                  <w:left w:val="single" w:sz="6" w:space="0" w:color="auto"/>
                  <w:bottom w:val="single" w:sz="6" w:space="0" w:color="auto"/>
                  <w:right w:val="single" w:sz="6" w:space="0" w:color="auto"/>
                </w:tcBorders>
              </w:tcPr>
              <w:p w:rsidR="00A079B5" w:rsidRDefault="00A079B5" w:rsidP="00A079B5">
                <w:pPr>
                  <w:jc w:val="right"/>
                  <w:rPr>
                    <w:szCs w:val="21"/>
                  </w:rPr>
                </w:pPr>
              </w:p>
            </w:tc>
            <w:tc>
              <w:tcPr>
                <w:tcW w:w="990" w:type="pct"/>
                <w:tcBorders>
                  <w:top w:val="single" w:sz="6" w:space="0" w:color="auto"/>
                  <w:left w:val="single" w:sz="6" w:space="0" w:color="auto"/>
                  <w:bottom w:val="single" w:sz="6" w:space="0" w:color="auto"/>
                  <w:right w:val="single" w:sz="6" w:space="0" w:color="auto"/>
                </w:tcBorders>
              </w:tcPr>
              <w:p w:rsidR="00A079B5" w:rsidRDefault="00A079B5" w:rsidP="00A079B5">
                <w:pPr>
                  <w:jc w:val="right"/>
                  <w:rPr>
                    <w:szCs w:val="21"/>
                  </w:rPr>
                </w:pPr>
              </w:p>
            </w:tc>
          </w:tr>
          <w:tr w:rsidR="00A079B5" w:rsidTr="00DB008B">
            <w:sdt>
              <w:sdtPr>
                <w:tag w:val="_PLD_3b84f6fef53942f0bdb1e0f4fac47531"/>
                <w:id w:val="-1706712798"/>
                <w:lock w:val="sdtLocked"/>
              </w:sdtPr>
              <w:sdtContent>
                <w:tc>
                  <w:tcPr>
                    <w:tcW w:w="1158" w:type="pct"/>
                    <w:tcBorders>
                      <w:top w:val="single" w:sz="6" w:space="0" w:color="auto"/>
                      <w:left w:val="single" w:sz="4" w:space="0" w:color="auto"/>
                      <w:bottom w:val="single" w:sz="6" w:space="0" w:color="auto"/>
                      <w:right w:val="single" w:sz="6" w:space="0" w:color="auto"/>
                    </w:tcBorders>
                    <w:shd w:val="clear" w:color="auto" w:fill="auto"/>
                    <w:vAlign w:val="bottom"/>
                  </w:tcPr>
                  <w:p w:rsidR="00A079B5" w:rsidRDefault="00A079B5" w:rsidP="00A079B5">
                    <w:pPr>
                      <w:rPr>
                        <w:rFonts w:cs="Arial"/>
                        <w:color w:val="000000"/>
                        <w:szCs w:val="21"/>
                      </w:rPr>
                    </w:pPr>
                    <w:r>
                      <w:rPr>
                        <w:rFonts w:cs="Arial"/>
                        <w:color w:val="000000"/>
                        <w:szCs w:val="21"/>
                      </w:rPr>
                      <w:t>--</w:t>
                    </w:r>
                    <w:r>
                      <w:rPr>
                        <w:rFonts w:cs="Arial" w:hint="eastAsia"/>
                        <w:color w:val="000000"/>
                        <w:szCs w:val="21"/>
                        <w:lang w:val="en-GB"/>
                      </w:rPr>
                      <w:t>商誉</w:t>
                    </w:r>
                  </w:p>
                </w:tc>
              </w:sdtContent>
            </w:sdt>
            <w:tc>
              <w:tcPr>
                <w:tcW w:w="932" w:type="pct"/>
                <w:tcBorders>
                  <w:left w:val="single" w:sz="6" w:space="0" w:color="auto"/>
                  <w:right w:val="single" w:sz="6" w:space="0" w:color="auto"/>
                </w:tcBorders>
                <w:shd w:val="clear" w:color="auto" w:fill="auto"/>
                <w:vAlign w:val="center"/>
              </w:tcPr>
              <w:p w:rsidR="00A079B5" w:rsidRDefault="00A079B5" w:rsidP="00A079B5">
                <w:pPr>
                  <w:jc w:val="right"/>
                  <w:rPr>
                    <w:szCs w:val="21"/>
                  </w:rPr>
                </w:pPr>
                <w:r>
                  <w:t>7,566,177,782</w:t>
                </w:r>
              </w:p>
            </w:tc>
            <w:tc>
              <w:tcPr>
                <w:tcW w:w="990" w:type="pct"/>
                <w:tcBorders>
                  <w:left w:val="single" w:sz="6" w:space="0" w:color="auto"/>
                  <w:right w:val="single" w:sz="6" w:space="0" w:color="auto"/>
                </w:tcBorders>
                <w:shd w:val="clear" w:color="auto" w:fill="auto"/>
                <w:vAlign w:val="center"/>
              </w:tcPr>
              <w:p w:rsidR="00A079B5" w:rsidRDefault="00A079B5" w:rsidP="00A079B5">
                <w:pPr>
                  <w:jc w:val="right"/>
                  <w:rPr>
                    <w:szCs w:val="21"/>
                  </w:rPr>
                </w:pPr>
                <w:r>
                  <w:t>0</w:t>
                </w:r>
              </w:p>
            </w:tc>
            <w:tc>
              <w:tcPr>
                <w:tcW w:w="932" w:type="pct"/>
                <w:tcBorders>
                  <w:top w:val="single" w:sz="6" w:space="0" w:color="auto"/>
                  <w:left w:val="single" w:sz="6" w:space="0" w:color="auto"/>
                  <w:bottom w:val="single" w:sz="6" w:space="0" w:color="auto"/>
                  <w:right w:val="single" w:sz="6" w:space="0" w:color="auto"/>
                </w:tcBorders>
                <w:vAlign w:val="center"/>
              </w:tcPr>
              <w:p w:rsidR="00A079B5" w:rsidRDefault="00A079B5" w:rsidP="00A079B5">
                <w:pPr>
                  <w:jc w:val="right"/>
                  <w:rPr>
                    <w:szCs w:val="21"/>
                  </w:rPr>
                </w:pPr>
                <w:r>
                  <w:t>7,566,177,782</w:t>
                </w:r>
              </w:p>
            </w:tc>
            <w:tc>
              <w:tcPr>
                <w:tcW w:w="990" w:type="pct"/>
                <w:tcBorders>
                  <w:top w:val="single" w:sz="6" w:space="0" w:color="auto"/>
                  <w:left w:val="single" w:sz="6" w:space="0" w:color="auto"/>
                  <w:bottom w:val="single" w:sz="6" w:space="0" w:color="auto"/>
                  <w:right w:val="single" w:sz="6" w:space="0" w:color="auto"/>
                </w:tcBorders>
                <w:vAlign w:val="center"/>
              </w:tcPr>
              <w:p w:rsidR="00A079B5" w:rsidRDefault="00A079B5" w:rsidP="00A079B5">
                <w:pPr>
                  <w:jc w:val="right"/>
                  <w:rPr>
                    <w:szCs w:val="21"/>
                  </w:rPr>
                </w:pPr>
                <w:r>
                  <w:t>0</w:t>
                </w:r>
              </w:p>
            </w:tc>
          </w:tr>
          <w:tr w:rsidR="00A079B5" w:rsidTr="00A079B5">
            <w:sdt>
              <w:sdtPr>
                <w:tag w:val="_PLD_19e094c58ac743409a1de824377c9f41"/>
                <w:id w:val="46650351"/>
                <w:lock w:val="sdtLocked"/>
              </w:sdtPr>
              <w:sdtContent>
                <w:tc>
                  <w:tcPr>
                    <w:tcW w:w="1158" w:type="pct"/>
                    <w:tcBorders>
                      <w:top w:val="single" w:sz="6" w:space="0" w:color="auto"/>
                      <w:left w:val="single" w:sz="4" w:space="0" w:color="auto"/>
                      <w:bottom w:val="single" w:sz="6" w:space="0" w:color="auto"/>
                      <w:right w:val="single" w:sz="6" w:space="0" w:color="auto"/>
                    </w:tcBorders>
                    <w:shd w:val="clear" w:color="auto" w:fill="auto"/>
                    <w:vAlign w:val="bottom"/>
                  </w:tcPr>
                  <w:p w:rsidR="00A079B5" w:rsidRDefault="00A079B5" w:rsidP="00A079B5">
                    <w:pPr>
                      <w:rPr>
                        <w:rFonts w:cs="Arial"/>
                        <w:color w:val="000000"/>
                        <w:szCs w:val="21"/>
                      </w:rPr>
                    </w:pPr>
                    <w:r>
                      <w:rPr>
                        <w:rFonts w:cs="Arial"/>
                        <w:color w:val="000000"/>
                        <w:szCs w:val="21"/>
                      </w:rPr>
                      <w:t>--</w:t>
                    </w:r>
                    <w:r>
                      <w:rPr>
                        <w:rFonts w:cs="Arial" w:hint="eastAsia"/>
                        <w:color w:val="000000"/>
                        <w:szCs w:val="21"/>
                        <w:lang w:val="en-GB"/>
                      </w:rPr>
                      <w:t>内部交易未实现利润</w:t>
                    </w:r>
                  </w:p>
                </w:tc>
              </w:sdtContent>
            </w:sdt>
            <w:tc>
              <w:tcPr>
                <w:tcW w:w="932" w:type="pct"/>
                <w:tcBorders>
                  <w:left w:val="single" w:sz="6" w:space="0" w:color="auto"/>
                  <w:right w:val="single" w:sz="6" w:space="0" w:color="auto"/>
                </w:tcBorders>
                <w:shd w:val="clear" w:color="auto" w:fill="auto"/>
              </w:tcPr>
              <w:p w:rsidR="00A079B5" w:rsidRDefault="00A079B5" w:rsidP="00A079B5">
                <w:pPr>
                  <w:jc w:val="right"/>
                  <w:rPr>
                    <w:szCs w:val="21"/>
                  </w:rPr>
                </w:pPr>
              </w:p>
            </w:tc>
            <w:tc>
              <w:tcPr>
                <w:tcW w:w="990" w:type="pct"/>
                <w:tcBorders>
                  <w:left w:val="single" w:sz="6" w:space="0" w:color="auto"/>
                  <w:right w:val="single" w:sz="6" w:space="0" w:color="auto"/>
                </w:tcBorders>
                <w:shd w:val="clear" w:color="auto" w:fill="auto"/>
              </w:tcPr>
              <w:p w:rsidR="00A079B5" w:rsidRDefault="00A079B5" w:rsidP="00A079B5">
                <w:pPr>
                  <w:jc w:val="right"/>
                  <w:rPr>
                    <w:szCs w:val="21"/>
                  </w:rPr>
                </w:pPr>
              </w:p>
            </w:tc>
            <w:tc>
              <w:tcPr>
                <w:tcW w:w="932" w:type="pct"/>
                <w:tcBorders>
                  <w:top w:val="single" w:sz="6" w:space="0" w:color="auto"/>
                  <w:left w:val="single" w:sz="6" w:space="0" w:color="auto"/>
                  <w:bottom w:val="single" w:sz="6" w:space="0" w:color="auto"/>
                  <w:right w:val="single" w:sz="6" w:space="0" w:color="auto"/>
                </w:tcBorders>
              </w:tcPr>
              <w:p w:rsidR="00A079B5" w:rsidRDefault="00A079B5" w:rsidP="00A079B5">
                <w:pPr>
                  <w:jc w:val="right"/>
                  <w:rPr>
                    <w:szCs w:val="21"/>
                  </w:rPr>
                </w:pPr>
              </w:p>
            </w:tc>
            <w:tc>
              <w:tcPr>
                <w:tcW w:w="990" w:type="pct"/>
                <w:tcBorders>
                  <w:top w:val="single" w:sz="6" w:space="0" w:color="auto"/>
                  <w:left w:val="single" w:sz="6" w:space="0" w:color="auto"/>
                  <w:bottom w:val="single" w:sz="6" w:space="0" w:color="auto"/>
                  <w:right w:val="single" w:sz="6" w:space="0" w:color="auto"/>
                </w:tcBorders>
              </w:tcPr>
              <w:p w:rsidR="00A079B5" w:rsidRDefault="00A079B5" w:rsidP="00A079B5">
                <w:pPr>
                  <w:jc w:val="right"/>
                  <w:rPr>
                    <w:szCs w:val="21"/>
                  </w:rPr>
                </w:pPr>
              </w:p>
            </w:tc>
          </w:tr>
          <w:tr w:rsidR="00A079B5" w:rsidTr="00A079B5">
            <w:sdt>
              <w:sdtPr>
                <w:tag w:val="_PLD_40744878c73643e78916ab27167da56e"/>
                <w:id w:val="-305552591"/>
                <w:lock w:val="sdtLocked"/>
              </w:sdtPr>
              <w:sdtContent>
                <w:tc>
                  <w:tcPr>
                    <w:tcW w:w="1158" w:type="pct"/>
                    <w:tcBorders>
                      <w:top w:val="single" w:sz="6" w:space="0" w:color="auto"/>
                      <w:left w:val="single" w:sz="4" w:space="0" w:color="auto"/>
                      <w:bottom w:val="single" w:sz="6" w:space="0" w:color="auto"/>
                      <w:right w:val="single" w:sz="6" w:space="0" w:color="auto"/>
                    </w:tcBorders>
                    <w:shd w:val="clear" w:color="auto" w:fill="auto"/>
                    <w:vAlign w:val="bottom"/>
                  </w:tcPr>
                  <w:p w:rsidR="00A079B5" w:rsidRDefault="00A079B5" w:rsidP="00A079B5">
                    <w:pPr>
                      <w:rPr>
                        <w:rFonts w:cs="Arial"/>
                        <w:color w:val="000000"/>
                        <w:szCs w:val="21"/>
                      </w:rPr>
                    </w:pPr>
                    <w:r>
                      <w:rPr>
                        <w:rFonts w:cs="Arial"/>
                        <w:color w:val="000000"/>
                        <w:szCs w:val="21"/>
                      </w:rPr>
                      <w:t>--</w:t>
                    </w:r>
                    <w:r>
                      <w:rPr>
                        <w:rFonts w:cs="Arial" w:hint="eastAsia"/>
                        <w:color w:val="000000"/>
                        <w:szCs w:val="21"/>
                        <w:lang w:val="en-GB"/>
                      </w:rPr>
                      <w:t>其他</w:t>
                    </w:r>
                  </w:p>
                </w:tc>
              </w:sdtContent>
            </w:sdt>
            <w:tc>
              <w:tcPr>
                <w:tcW w:w="932" w:type="pct"/>
                <w:tcBorders>
                  <w:left w:val="single" w:sz="6" w:space="0" w:color="auto"/>
                  <w:right w:val="single" w:sz="6" w:space="0" w:color="auto"/>
                </w:tcBorders>
                <w:shd w:val="clear" w:color="auto" w:fill="auto"/>
              </w:tcPr>
              <w:p w:rsidR="00A079B5" w:rsidRDefault="00A079B5" w:rsidP="00A079B5">
                <w:pPr>
                  <w:jc w:val="right"/>
                  <w:rPr>
                    <w:szCs w:val="21"/>
                  </w:rPr>
                </w:pPr>
              </w:p>
            </w:tc>
            <w:tc>
              <w:tcPr>
                <w:tcW w:w="990" w:type="pct"/>
                <w:tcBorders>
                  <w:left w:val="single" w:sz="6" w:space="0" w:color="auto"/>
                  <w:right w:val="single" w:sz="6" w:space="0" w:color="auto"/>
                </w:tcBorders>
                <w:shd w:val="clear" w:color="auto" w:fill="auto"/>
              </w:tcPr>
              <w:p w:rsidR="00A079B5" w:rsidRDefault="00A079B5" w:rsidP="00A079B5">
                <w:pPr>
                  <w:jc w:val="right"/>
                  <w:rPr>
                    <w:szCs w:val="21"/>
                  </w:rPr>
                </w:pPr>
              </w:p>
            </w:tc>
            <w:tc>
              <w:tcPr>
                <w:tcW w:w="932" w:type="pct"/>
                <w:tcBorders>
                  <w:top w:val="single" w:sz="6" w:space="0" w:color="auto"/>
                  <w:left w:val="single" w:sz="6" w:space="0" w:color="auto"/>
                  <w:bottom w:val="single" w:sz="6" w:space="0" w:color="auto"/>
                  <w:right w:val="single" w:sz="6" w:space="0" w:color="auto"/>
                </w:tcBorders>
              </w:tcPr>
              <w:p w:rsidR="00A079B5" w:rsidRDefault="00A079B5" w:rsidP="00A079B5">
                <w:pPr>
                  <w:jc w:val="right"/>
                  <w:rPr>
                    <w:szCs w:val="21"/>
                  </w:rPr>
                </w:pPr>
              </w:p>
            </w:tc>
            <w:tc>
              <w:tcPr>
                <w:tcW w:w="990" w:type="pct"/>
                <w:tcBorders>
                  <w:top w:val="single" w:sz="6" w:space="0" w:color="auto"/>
                  <w:left w:val="single" w:sz="6" w:space="0" w:color="auto"/>
                  <w:bottom w:val="single" w:sz="6" w:space="0" w:color="auto"/>
                  <w:right w:val="single" w:sz="6" w:space="0" w:color="auto"/>
                </w:tcBorders>
              </w:tcPr>
              <w:p w:rsidR="00A079B5" w:rsidRDefault="00A079B5" w:rsidP="00A079B5">
                <w:pPr>
                  <w:jc w:val="right"/>
                  <w:rPr>
                    <w:szCs w:val="21"/>
                  </w:rPr>
                </w:pPr>
              </w:p>
            </w:tc>
          </w:tr>
          <w:tr w:rsidR="00A079B5" w:rsidTr="00DB008B">
            <w:sdt>
              <w:sdtPr>
                <w:tag w:val="_PLD_88aac7b4c3d3477a959d3c9bcd283178"/>
                <w:id w:val="-118767736"/>
                <w:lock w:val="sdtLocked"/>
              </w:sdtPr>
              <w:sdtContent>
                <w:tc>
                  <w:tcPr>
                    <w:tcW w:w="1158" w:type="pct"/>
                    <w:tcBorders>
                      <w:top w:val="single" w:sz="6" w:space="0" w:color="auto"/>
                      <w:left w:val="single" w:sz="4" w:space="0" w:color="auto"/>
                      <w:bottom w:val="single" w:sz="6" w:space="0" w:color="auto"/>
                      <w:right w:val="single" w:sz="6" w:space="0" w:color="auto"/>
                    </w:tcBorders>
                    <w:shd w:val="clear" w:color="auto" w:fill="auto"/>
                    <w:vAlign w:val="bottom"/>
                  </w:tcPr>
                  <w:p w:rsidR="00A079B5" w:rsidRDefault="00A079B5" w:rsidP="00A079B5">
                    <w:pPr>
                      <w:rPr>
                        <w:rFonts w:cs="Arial"/>
                        <w:color w:val="000000"/>
                        <w:szCs w:val="21"/>
                      </w:rPr>
                    </w:pPr>
                    <w:r>
                      <w:rPr>
                        <w:rFonts w:cs="Arial" w:hint="eastAsia"/>
                        <w:color w:val="000000"/>
                        <w:szCs w:val="21"/>
                        <w:lang w:val="en-GB"/>
                      </w:rPr>
                      <w:t>对联营企业权益投资的账面价值</w:t>
                    </w:r>
                  </w:p>
                </w:tc>
              </w:sdtContent>
            </w:sdt>
            <w:tc>
              <w:tcPr>
                <w:tcW w:w="932" w:type="pct"/>
                <w:tcBorders>
                  <w:left w:val="single" w:sz="6" w:space="0" w:color="auto"/>
                  <w:right w:val="single" w:sz="6" w:space="0" w:color="auto"/>
                </w:tcBorders>
                <w:shd w:val="clear" w:color="auto" w:fill="auto"/>
                <w:vAlign w:val="center"/>
              </w:tcPr>
              <w:p w:rsidR="00A079B5" w:rsidRDefault="00A079B5" w:rsidP="00A079B5">
                <w:pPr>
                  <w:jc w:val="right"/>
                  <w:rPr>
                    <w:szCs w:val="21"/>
                  </w:rPr>
                </w:pPr>
                <w:r>
                  <w:t>18,722,988,786</w:t>
                </w:r>
              </w:p>
            </w:tc>
            <w:tc>
              <w:tcPr>
                <w:tcW w:w="990" w:type="pct"/>
                <w:tcBorders>
                  <w:left w:val="single" w:sz="6" w:space="0" w:color="auto"/>
                  <w:right w:val="single" w:sz="6" w:space="0" w:color="auto"/>
                </w:tcBorders>
                <w:shd w:val="clear" w:color="auto" w:fill="auto"/>
                <w:vAlign w:val="center"/>
              </w:tcPr>
              <w:p w:rsidR="00A079B5" w:rsidRDefault="00A079B5" w:rsidP="00A079B5">
                <w:pPr>
                  <w:jc w:val="right"/>
                  <w:rPr>
                    <w:szCs w:val="21"/>
                  </w:rPr>
                </w:pPr>
                <w:r>
                  <w:t>5,177,764,196</w:t>
                </w:r>
              </w:p>
            </w:tc>
            <w:tc>
              <w:tcPr>
                <w:tcW w:w="932" w:type="pct"/>
                <w:tcBorders>
                  <w:top w:val="single" w:sz="6" w:space="0" w:color="auto"/>
                  <w:left w:val="single" w:sz="6" w:space="0" w:color="auto"/>
                  <w:bottom w:val="single" w:sz="6" w:space="0" w:color="auto"/>
                  <w:right w:val="single" w:sz="6" w:space="0" w:color="auto"/>
                </w:tcBorders>
                <w:vAlign w:val="center"/>
              </w:tcPr>
              <w:p w:rsidR="00A079B5" w:rsidRDefault="00A079B5" w:rsidP="00A079B5">
                <w:pPr>
                  <w:jc w:val="right"/>
                  <w:rPr>
                    <w:szCs w:val="21"/>
                  </w:rPr>
                </w:pPr>
                <w:r>
                  <w:t>21,321,587,130</w:t>
                </w:r>
              </w:p>
            </w:tc>
            <w:tc>
              <w:tcPr>
                <w:tcW w:w="990" w:type="pct"/>
                <w:tcBorders>
                  <w:top w:val="single" w:sz="6" w:space="0" w:color="auto"/>
                  <w:left w:val="single" w:sz="6" w:space="0" w:color="auto"/>
                  <w:bottom w:val="single" w:sz="6" w:space="0" w:color="auto"/>
                  <w:right w:val="single" w:sz="6" w:space="0" w:color="auto"/>
                </w:tcBorders>
                <w:vAlign w:val="center"/>
              </w:tcPr>
              <w:p w:rsidR="00A079B5" w:rsidRDefault="00A079B5" w:rsidP="00A079B5">
                <w:pPr>
                  <w:jc w:val="right"/>
                  <w:rPr>
                    <w:szCs w:val="21"/>
                  </w:rPr>
                </w:pPr>
                <w:r>
                  <w:t>5,148,932,173</w:t>
                </w:r>
              </w:p>
            </w:tc>
          </w:tr>
          <w:tr w:rsidR="00A079B5" w:rsidTr="00A079B5">
            <w:sdt>
              <w:sdtPr>
                <w:tag w:val="_PLD_e6318b53d54241479b21f864d5e6f6a9"/>
                <w:id w:val="718711255"/>
                <w:lock w:val="sdtLocked"/>
              </w:sdtPr>
              <w:sdtContent>
                <w:tc>
                  <w:tcPr>
                    <w:tcW w:w="1158" w:type="pct"/>
                    <w:tcBorders>
                      <w:top w:val="single" w:sz="6" w:space="0" w:color="auto"/>
                      <w:left w:val="single" w:sz="4" w:space="0" w:color="auto"/>
                      <w:bottom w:val="single" w:sz="6" w:space="0" w:color="auto"/>
                      <w:right w:val="single" w:sz="6" w:space="0" w:color="auto"/>
                    </w:tcBorders>
                    <w:shd w:val="clear" w:color="auto" w:fill="auto"/>
                    <w:vAlign w:val="bottom"/>
                  </w:tcPr>
                  <w:p w:rsidR="00A079B5" w:rsidRDefault="00A079B5" w:rsidP="00A079B5">
                    <w:pPr>
                      <w:rPr>
                        <w:rFonts w:cs="Arial"/>
                        <w:color w:val="000000"/>
                        <w:szCs w:val="21"/>
                      </w:rPr>
                    </w:pPr>
                    <w:r>
                      <w:rPr>
                        <w:rFonts w:cs="Arial" w:hint="eastAsia"/>
                        <w:color w:val="000000"/>
                        <w:szCs w:val="21"/>
                        <w:lang w:val="en-GB"/>
                      </w:rPr>
                      <w:t>存在公开报价的联营企业权益投资的公允价值</w:t>
                    </w:r>
                  </w:p>
                </w:tc>
              </w:sdtContent>
            </w:sdt>
            <w:tc>
              <w:tcPr>
                <w:tcW w:w="932" w:type="pct"/>
                <w:tcBorders>
                  <w:left w:val="single" w:sz="6" w:space="0" w:color="auto"/>
                  <w:right w:val="single" w:sz="6" w:space="0" w:color="auto"/>
                </w:tcBorders>
                <w:shd w:val="clear" w:color="auto" w:fill="auto"/>
              </w:tcPr>
              <w:p w:rsidR="00A079B5" w:rsidRDefault="00A079B5" w:rsidP="00A079B5">
                <w:pPr>
                  <w:jc w:val="right"/>
                  <w:rPr>
                    <w:szCs w:val="21"/>
                  </w:rPr>
                </w:pPr>
              </w:p>
            </w:tc>
            <w:tc>
              <w:tcPr>
                <w:tcW w:w="990" w:type="pct"/>
                <w:tcBorders>
                  <w:left w:val="single" w:sz="6" w:space="0" w:color="auto"/>
                  <w:right w:val="single" w:sz="6" w:space="0" w:color="auto"/>
                </w:tcBorders>
                <w:shd w:val="clear" w:color="auto" w:fill="auto"/>
              </w:tcPr>
              <w:p w:rsidR="00A079B5" w:rsidRDefault="00A079B5" w:rsidP="00A079B5">
                <w:pPr>
                  <w:jc w:val="right"/>
                  <w:rPr>
                    <w:szCs w:val="21"/>
                  </w:rPr>
                </w:pPr>
              </w:p>
            </w:tc>
            <w:tc>
              <w:tcPr>
                <w:tcW w:w="932" w:type="pct"/>
                <w:tcBorders>
                  <w:top w:val="single" w:sz="6" w:space="0" w:color="auto"/>
                  <w:left w:val="single" w:sz="6" w:space="0" w:color="auto"/>
                  <w:bottom w:val="single" w:sz="6" w:space="0" w:color="auto"/>
                  <w:right w:val="single" w:sz="6" w:space="0" w:color="auto"/>
                </w:tcBorders>
              </w:tcPr>
              <w:p w:rsidR="00A079B5" w:rsidRDefault="00A079B5" w:rsidP="00A079B5">
                <w:pPr>
                  <w:jc w:val="right"/>
                  <w:rPr>
                    <w:szCs w:val="21"/>
                  </w:rPr>
                </w:pPr>
              </w:p>
            </w:tc>
            <w:tc>
              <w:tcPr>
                <w:tcW w:w="990" w:type="pct"/>
                <w:tcBorders>
                  <w:top w:val="single" w:sz="6" w:space="0" w:color="auto"/>
                  <w:left w:val="single" w:sz="6" w:space="0" w:color="auto"/>
                  <w:bottom w:val="single" w:sz="6" w:space="0" w:color="auto"/>
                  <w:right w:val="single" w:sz="6" w:space="0" w:color="auto"/>
                </w:tcBorders>
              </w:tcPr>
              <w:p w:rsidR="00A079B5" w:rsidRDefault="00A079B5" w:rsidP="00A079B5">
                <w:pPr>
                  <w:jc w:val="right"/>
                  <w:rPr>
                    <w:szCs w:val="21"/>
                  </w:rPr>
                </w:pPr>
              </w:p>
            </w:tc>
          </w:tr>
          <w:tr w:rsidR="00A079B5" w:rsidTr="00DB008B">
            <w:tc>
              <w:tcPr>
                <w:tcW w:w="5000" w:type="pct"/>
                <w:gridSpan w:val="5"/>
                <w:tcBorders>
                  <w:top w:val="single" w:sz="6" w:space="0" w:color="auto"/>
                  <w:left w:val="single" w:sz="4" w:space="0" w:color="auto"/>
                  <w:bottom w:val="single" w:sz="6" w:space="0" w:color="auto"/>
                  <w:right w:val="single" w:sz="6" w:space="0" w:color="auto"/>
                </w:tcBorders>
                <w:shd w:val="clear" w:color="auto" w:fill="auto"/>
                <w:vAlign w:val="bottom"/>
              </w:tcPr>
              <w:p w:rsidR="00A079B5" w:rsidRDefault="00A079B5" w:rsidP="00A079B5">
                <w:pPr>
                  <w:jc w:val="right"/>
                  <w:rPr>
                    <w:szCs w:val="21"/>
                  </w:rPr>
                </w:pPr>
              </w:p>
            </w:tc>
          </w:tr>
          <w:tr w:rsidR="00601651" w:rsidTr="00DB008B">
            <w:sdt>
              <w:sdtPr>
                <w:tag w:val="_PLD_9814be1c77a644928d7ffa3fb0b9d2e1"/>
                <w:id w:val="-254666616"/>
                <w:lock w:val="sdtLocked"/>
              </w:sdtPr>
              <w:sdtContent>
                <w:tc>
                  <w:tcPr>
                    <w:tcW w:w="1158" w:type="pct"/>
                    <w:tcBorders>
                      <w:top w:val="single" w:sz="6" w:space="0" w:color="auto"/>
                      <w:left w:val="single" w:sz="4" w:space="0" w:color="auto"/>
                      <w:bottom w:val="single" w:sz="6" w:space="0" w:color="auto"/>
                      <w:right w:val="single" w:sz="6" w:space="0" w:color="auto"/>
                    </w:tcBorders>
                    <w:shd w:val="clear" w:color="auto" w:fill="auto"/>
                    <w:vAlign w:val="bottom"/>
                  </w:tcPr>
                  <w:p w:rsidR="00601651" w:rsidRDefault="00601651" w:rsidP="00601651">
                    <w:pPr>
                      <w:rPr>
                        <w:rFonts w:cs="Arial"/>
                        <w:color w:val="000000"/>
                        <w:szCs w:val="21"/>
                      </w:rPr>
                    </w:pPr>
                    <w:r>
                      <w:rPr>
                        <w:rFonts w:cs="Arial" w:hint="eastAsia"/>
                        <w:color w:val="000000"/>
                        <w:szCs w:val="21"/>
                        <w:lang w:val="en-GB"/>
                      </w:rPr>
                      <w:t>营业收入</w:t>
                    </w:r>
                  </w:p>
                </w:tc>
              </w:sdtContent>
            </w:sdt>
            <w:tc>
              <w:tcPr>
                <w:tcW w:w="932" w:type="pct"/>
                <w:tcBorders>
                  <w:left w:val="single" w:sz="6" w:space="0" w:color="auto"/>
                  <w:right w:val="single" w:sz="6" w:space="0" w:color="auto"/>
                </w:tcBorders>
                <w:shd w:val="clear" w:color="auto" w:fill="auto"/>
                <w:vAlign w:val="center"/>
              </w:tcPr>
              <w:p w:rsidR="00601651" w:rsidRDefault="00601651" w:rsidP="00601651">
                <w:pPr>
                  <w:jc w:val="right"/>
                  <w:rPr>
                    <w:szCs w:val="21"/>
                  </w:rPr>
                </w:pPr>
                <w:r>
                  <w:t>21,662,865,183</w:t>
                </w:r>
              </w:p>
            </w:tc>
            <w:tc>
              <w:tcPr>
                <w:tcW w:w="990" w:type="pct"/>
                <w:tcBorders>
                  <w:left w:val="single" w:sz="6" w:space="0" w:color="auto"/>
                  <w:right w:val="single" w:sz="6" w:space="0" w:color="auto"/>
                </w:tcBorders>
                <w:shd w:val="clear" w:color="auto" w:fill="auto"/>
                <w:vAlign w:val="center"/>
              </w:tcPr>
              <w:p w:rsidR="00601651" w:rsidRDefault="00601651" w:rsidP="00601651">
                <w:pPr>
                  <w:jc w:val="right"/>
                  <w:rPr>
                    <w:szCs w:val="21"/>
                  </w:rPr>
                </w:pPr>
                <w:r>
                  <w:t>14,008,346,887</w:t>
                </w:r>
              </w:p>
            </w:tc>
            <w:tc>
              <w:tcPr>
                <w:tcW w:w="932" w:type="pct"/>
                <w:tcBorders>
                  <w:top w:val="single" w:sz="6" w:space="0" w:color="auto"/>
                  <w:left w:val="single" w:sz="6" w:space="0" w:color="auto"/>
                  <w:bottom w:val="single" w:sz="6" w:space="0" w:color="auto"/>
                  <w:right w:val="single" w:sz="6" w:space="0" w:color="auto"/>
                </w:tcBorders>
                <w:vAlign w:val="center"/>
              </w:tcPr>
              <w:p w:rsidR="00601651" w:rsidRDefault="00601651" w:rsidP="00601651">
                <w:pPr>
                  <w:jc w:val="right"/>
                  <w:rPr>
                    <w:szCs w:val="21"/>
                  </w:rPr>
                </w:pPr>
                <w:r>
                  <w:t>22,008,166,313</w:t>
                </w:r>
              </w:p>
            </w:tc>
            <w:tc>
              <w:tcPr>
                <w:tcW w:w="990" w:type="pct"/>
                <w:tcBorders>
                  <w:top w:val="single" w:sz="6" w:space="0" w:color="auto"/>
                  <w:left w:val="single" w:sz="6" w:space="0" w:color="auto"/>
                  <w:bottom w:val="single" w:sz="6" w:space="0" w:color="auto"/>
                  <w:right w:val="single" w:sz="6" w:space="0" w:color="auto"/>
                </w:tcBorders>
                <w:vAlign w:val="center"/>
              </w:tcPr>
              <w:p w:rsidR="00601651" w:rsidRDefault="00601651" w:rsidP="00601651">
                <w:pPr>
                  <w:jc w:val="right"/>
                  <w:rPr>
                    <w:szCs w:val="21"/>
                  </w:rPr>
                </w:pPr>
                <w:r>
                  <w:t>9,241,670,875</w:t>
                </w:r>
              </w:p>
            </w:tc>
          </w:tr>
          <w:tr w:rsidR="00601651" w:rsidTr="00DB008B">
            <w:sdt>
              <w:sdtPr>
                <w:tag w:val="_PLD_cc6add3e9dbe47cbae39d310932ff70b"/>
                <w:id w:val="1552414479"/>
                <w:lock w:val="sdtLocked"/>
              </w:sdtPr>
              <w:sdtContent>
                <w:tc>
                  <w:tcPr>
                    <w:tcW w:w="1158" w:type="pct"/>
                    <w:tcBorders>
                      <w:top w:val="single" w:sz="6" w:space="0" w:color="auto"/>
                      <w:left w:val="single" w:sz="4" w:space="0" w:color="auto"/>
                      <w:bottom w:val="single" w:sz="6" w:space="0" w:color="auto"/>
                      <w:right w:val="single" w:sz="6" w:space="0" w:color="auto"/>
                    </w:tcBorders>
                    <w:shd w:val="clear" w:color="auto" w:fill="auto"/>
                    <w:vAlign w:val="bottom"/>
                  </w:tcPr>
                  <w:p w:rsidR="00601651" w:rsidRDefault="00601651" w:rsidP="00601651">
                    <w:pPr>
                      <w:rPr>
                        <w:rFonts w:cs="Arial"/>
                        <w:color w:val="000000"/>
                        <w:szCs w:val="21"/>
                      </w:rPr>
                    </w:pPr>
                    <w:r>
                      <w:rPr>
                        <w:rFonts w:cs="Arial" w:hint="eastAsia"/>
                        <w:color w:val="000000"/>
                        <w:szCs w:val="21"/>
                        <w:lang w:val="en-GB"/>
                      </w:rPr>
                      <w:t>净利润</w:t>
                    </w:r>
                  </w:p>
                </w:tc>
              </w:sdtContent>
            </w:sdt>
            <w:tc>
              <w:tcPr>
                <w:tcW w:w="932" w:type="pct"/>
                <w:tcBorders>
                  <w:left w:val="single" w:sz="6" w:space="0" w:color="auto"/>
                  <w:right w:val="single" w:sz="6" w:space="0" w:color="auto"/>
                </w:tcBorders>
                <w:shd w:val="clear" w:color="auto" w:fill="auto"/>
                <w:vAlign w:val="center"/>
              </w:tcPr>
              <w:p w:rsidR="00601651" w:rsidRDefault="00601651" w:rsidP="00601651">
                <w:pPr>
                  <w:jc w:val="right"/>
                  <w:rPr>
                    <w:szCs w:val="21"/>
                  </w:rPr>
                </w:pPr>
                <w:r>
                  <w:t>6,514,559,483</w:t>
                </w:r>
              </w:p>
            </w:tc>
            <w:tc>
              <w:tcPr>
                <w:tcW w:w="990" w:type="pct"/>
                <w:tcBorders>
                  <w:left w:val="single" w:sz="6" w:space="0" w:color="auto"/>
                  <w:right w:val="single" w:sz="6" w:space="0" w:color="auto"/>
                </w:tcBorders>
                <w:shd w:val="clear" w:color="auto" w:fill="auto"/>
                <w:vAlign w:val="center"/>
              </w:tcPr>
              <w:p w:rsidR="00601651" w:rsidRDefault="00601651" w:rsidP="00601651">
                <w:pPr>
                  <w:jc w:val="right"/>
                  <w:rPr>
                    <w:szCs w:val="21"/>
                  </w:rPr>
                </w:pPr>
                <w:r>
                  <w:t>253,388,844</w:t>
                </w:r>
              </w:p>
            </w:tc>
            <w:tc>
              <w:tcPr>
                <w:tcW w:w="932" w:type="pct"/>
                <w:tcBorders>
                  <w:top w:val="single" w:sz="6" w:space="0" w:color="auto"/>
                  <w:left w:val="single" w:sz="6" w:space="0" w:color="auto"/>
                  <w:bottom w:val="single" w:sz="6" w:space="0" w:color="auto"/>
                  <w:right w:val="single" w:sz="6" w:space="0" w:color="auto"/>
                </w:tcBorders>
                <w:vAlign w:val="center"/>
              </w:tcPr>
              <w:p w:rsidR="00601651" w:rsidRDefault="00601651" w:rsidP="00601651">
                <w:pPr>
                  <w:jc w:val="right"/>
                  <w:rPr>
                    <w:szCs w:val="21"/>
                  </w:rPr>
                </w:pPr>
                <w:r>
                  <w:t>7,771,600,547</w:t>
                </w:r>
              </w:p>
            </w:tc>
            <w:tc>
              <w:tcPr>
                <w:tcW w:w="990" w:type="pct"/>
                <w:tcBorders>
                  <w:top w:val="single" w:sz="6" w:space="0" w:color="auto"/>
                  <w:left w:val="single" w:sz="6" w:space="0" w:color="auto"/>
                  <w:bottom w:val="single" w:sz="6" w:space="0" w:color="auto"/>
                  <w:right w:val="single" w:sz="6" w:space="0" w:color="auto"/>
                </w:tcBorders>
                <w:vAlign w:val="center"/>
              </w:tcPr>
              <w:p w:rsidR="00601651" w:rsidRDefault="00601651" w:rsidP="00601651">
                <w:pPr>
                  <w:jc w:val="right"/>
                  <w:rPr>
                    <w:szCs w:val="21"/>
                  </w:rPr>
                </w:pPr>
                <w:r>
                  <w:t>-1,947,072,484</w:t>
                </w:r>
              </w:p>
            </w:tc>
          </w:tr>
          <w:tr w:rsidR="00BE62F3" w:rsidTr="00BE62F3">
            <w:tc>
              <w:tcPr>
                <w:tcW w:w="1158" w:type="pct"/>
                <w:tcBorders>
                  <w:top w:val="single" w:sz="6" w:space="0" w:color="auto"/>
                  <w:left w:val="single" w:sz="4" w:space="0" w:color="auto"/>
                  <w:bottom w:val="single" w:sz="6" w:space="0" w:color="auto"/>
                  <w:right w:val="single" w:sz="6" w:space="0" w:color="auto"/>
                </w:tcBorders>
                <w:shd w:val="clear" w:color="auto" w:fill="auto"/>
                <w:vAlign w:val="bottom"/>
              </w:tcPr>
              <w:p w:rsidR="00BE62F3" w:rsidRDefault="00BE62F3" w:rsidP="00601651">
                <w:r w:rsidRPr="00BE62F3">
                  <w:rPr>
                    <w:rFonts w:hint="eastAsia"/>
                  </w:rPr>
                  <w:t>归属于母公司股东的净利润</w:t>
                </w:r>
              </w:p>
            </w:tc>
            <w:tc>
              <w:tcPr>
                <w:tcW w:w="932" w:type="pct"/>
                <w:tcBorders>
                  <w:left w:val="single" w:sz="6" w:space="0" w:color="auto"/>
                  <w:right w:val="single" w:sz="6" w:space="0" w:color="auto"/>
                </w:tcBorders>
                <w:shd w:val="clear" w:color="auto" w:fill="auto"/>
                <w:vAlign w:val="center"/>
              </w:tcPr>
              <w:p w:rsidR="00BE62F3" w:rsidRDefault="00BE62F3" w:rsidP="00BE62F3">
                <w:pPr>
                  <w:jc w:val="right"/>
                </w:pPr>
                <w:r>
                  <w:t>6,511,213,581</w:t>
                </w:r>
              </w:p>
            </w:tc>
            <w:tc>
              <w:tcPr>
                <w:tcW w:w="990" w:type="pct"/>
                <w:tcBorders>
                  <w:left w:val="single" w:sz="6" w:space="0" w:color="auto"/>
                  <w:right w:val="single" w:sz="6" w:space="0" w:color="auto"/>
                </w:tcBorders>
                <w:shd w:val="clear" w:color="auto" w:fill="auto"/>
                <w:vAlign w:val="center"/>
              </w:tcPr>
              <w:p w:rsidR="00BE62F3" w:rsidRDefault="00BE62F3" w:rsidP="00BE62F3">
                <w:pPr>
                  <w:jc w:val="right"/>
                </w:pPr>
                <w:r>
                  <w:t>253,388,844</w:t>
                </w:r>
              </w:p>
            </w:tc>
            <w:tc>
              <w:tcPr>
                <w:tcW w:w="932" w:type="pct"/>
                <w:tcBorders>
                  <w:top w:val="single" w:sz="6" w:space="0" w:color="auto"/>
                  <w:left w:val="single" w:sz="6" w:space="0" w:color="auto"/>
                  <w:bottom w:val="single" w:sz="6" w:space="0" w:color="auto"/>
                  <w:right w:val="single" w:sz="6" w:space="0" w:color="auto"/>
                </w:tcBorders>
                <w:vAlign w:val="center"/>
              </w:tcPr>
              <w:p w:rsidR="00BE62F3" w:rsidRDefault="00BE62F3" w:rsidP="00BE62F3">
                <w:pPr>
                  <w:jc w:val="right"/>
                </w:pPr>
                <w:r>
                  <w:t>7,767,167,895</w:t>
                </w:r>
              </w:p>
            </w:tc>
            <w:tc>
              <w:tcPr>
                <w:tcW w:w="990" w:type="pct"/>
                <w:tcBorders>
                  <w:top w:val="single" w:sz="6" w:space="0" w:color="auto"/>
                  <w:left w:val="single" w:sz="6" w:space="0" w:color="auto"/>
                  <w:bottom w:val="single" w:sz="6" w:space="0" w:color="auto"/>
                  <w:right w:val="single" w:sz="6" w:space="0" w:color="auto"/>
                </w:tcBorders>
                <w:vAlign w:val="center"/>
              </w:tcPr>
              <w:p w:rsidR="00BE62F3" w:rsidRDefault="00BE62F3" w:rsidP="00BE62F3">
                <w:pPr>
                  <w:jc w:val="right"/>
                </w:pPr>
                <w:r>
                  <w:t>-</w:t>
                </w:r>
                <w:r w:rsidRPr="00BE62F3">
                  <w:t>1,947,072,484</w:t>
                </w:r>
              </w:p>
            </w:tc>
          </w:tr>
          <w:tr w:rsidR="00601651" w:rsidTr="00A079B5">
            <w:sdt>
              <w:sdtPr>
                <w:tag w:val="_PLD_5f33061a1f59495ebe589936031d001e"/>
                <w:id w:val="1662351141"/>
                <w:lock w:val="sdtLocked"/>
              </w:sdtPr>
              <w:sdtContent>
                <w:tc>
                  <w:tcPr>
                    <w:tcW w:w="1158" w:type="pct"/>
                    <w:tcBorders>
                      <w:top w:val="single" w:sz="6" w:space="0" w:color="auto"/>
                      <w:left w:val="single" w:sz="4" w:space="0" w:color="auto"/>
                      <w:bottom w:val="single" w:sz="6" w:space="0" w:color="auto"/>
                      <w:right w:val="single" w:sz="6" w:space="0" w:color="auto"/>
                    </w:tcBorders>
                    <w:shd w:val="clear" w:color="auto" w:fill="auto"/>
                    <w:vAlign w:val="bottom"/>
                  </w:tcPr>
                  <w:p w:rsidR="00601651" w:rsidRDefault="00601651" w:rsidP="00601651">
                    <w:pPr>
                      <w:rPr>
                        <w:rFonts w:cs="Arial"/>
                        <w:color w:val="000000"/>
                        <w:szCs w:val="21"/>
                        <w:lang w:val="en-GB"/>
                      </w:rPr>
                    </w:pPr>
                    <w:r>
                      <w:rPr>
                        <w:rFonts w:cs="Arial" w:hint="eastAsia"/>
                        <w:color w:val="000000"/>
                        <w:szCs w:val="21"/>
                        <w:lang w:val="en-GB"/>
                      </w:rPr>
                      <w:t>终止经营的净利润</w:t>
                    </w:r>
                  </w:p>
                </w:tc>
              </w:sdtContent>
            </w:sdt>
            <w:tc>
              <w:tcPr>
                <w:tcW w:w="932" w:type="pct"/>
                <w:tcBorders>
                  <w:left w:val="single" w:sz="6" w:space="0" w:color="auto"/>
                  <w:right w:val="single" w:sz="6" w:space="0" w:color="auto"/>
                </w:tcBorders>
                <w:shd w:val="clear" w:color="auto" w:fill="auto"/>
              </w:tcPr>
              <w:p w:rsidR="00601651" w:rsidRDefault="00601651" w:rsidP="00601651">
                <w:pPr>
                  <w:jc w:val="right"/>
                  <w:rPr>
                    <w:szCs w:val="21"/>
                  </w:rPr>
                </w:pPr>
              </w:p>
            </w:tc>
            <w:tc>
              <w:tcPr>
                <w:tcW w:w="990" w:type="pct"/>
                <w:tcBorders>
                  <w:left w:val="single" w:sz="6" w:space="0" w:color="auto"/>
                  <w:right w:val="single" w:sz="6" w:space="0" w:color="auto"/>
                </w:tcBorders>
                <w:shd w:val="clear" w:color="auto" w:fill="auto"/>
              </w:tcPr>
              <w:p w:rsidR="00601651" w:rsidRDefault="00601651" w:rsidP="00601651">
                <w:pPr>
                  <w:jc w:val="right"/>
                  <w:rPr>
                    <w:szCs w:val="21"/>
                  </w:rPr>
                </w:pPr>
              </w:p>
            </w:tc>
            <w:tc>
              <w:tcPr>
                <w:tcW w:w="932" w:type="pct"/>
                <w:tcBorders>
                  <w:top w:val="single" w:sz="6" w:space="0" w:color="auto"/>
                  <w:left w:val="single" w:sz="6" w:space="0" w:color="auto"/>
                  <w:bottom w:val="single" w:sz="6" w:space="0" w:color="auto"/>
                  <w:right w:val="single" w:sz="6" w:space="0" w:color="auto"/>
                </w:tcBorders>
              </w:tcPr>
              <w:p w:rsidR="00601651" w:rsidRDefault="00601651" w:rsidP="00601651">
                <w:pPr>
                  <w:jc w:val="right"/>
                  <w:rPr>
                    <w:szCs w:val="21"/>
                  </w:rPr>
                </w:pPr>
              </w:p>
            </w:tc>
            <w:tc>
              <w:tcPr>
                <w:tcW w:w="990" w:type="pct"/>
                <w:tcBorders>
                  <w:top w:val="single" w:sz="6" w:space="0" w:color="auto"/>
                  <w:left w:val="single" w:sz="6" w:space="0" w:color="auto"/>
                  <w:bottom w:val="single" w:sz="6" w:space="0" w:color="auto"/>
                  <w:right w:val="single" w:sz="6" w:space="0" w:color="auto"/>
                </w:tcBorders>
              </w:tcPr>
              <w:p w:rsidR="00601651" w:rsidRDefault="00601651" w:rsidP="00601651">
                <w:pPr>
                  <w:jc w:val="right"/>
                  <w:rPr>
                    <w:szCs w:val="21"/>
                  </w:rPr>
                </w:pPr>
              </w:p>
            </w:tc>
          </w:tr>
          <w:tr w:rsidR="00601651" w:rsidTr="00A079B5">
            <w:sdt>
              <w:sdtPr>
                <w:tag w:val="_PLD_150d11eed5f7496c9efbd41529cfb2fe"/>
                <w:id w:val="336207309"/>
                <w:lock w:val="sdtLocked"/>
              </w:sdtPr>
              <w:sdtContent>
                <w:tc>
                  <w:tcPr>
                    <w:tcW w:w="1158" w:type="pct"/>
                    <w:tcBorders>
                      <w:top w:val="single" w:sz="6" w:space="0" w:color="auto"/>
                      <w:left w:val="single" w:sz="4" w:space="0" w:color="auto"/>
                      <w:bottom w:val="single" w:sz="6" w:space="0" w:color="auto"/>
                      <w:right w:val="single" w:sz="6" w:space="0" w:color="auto"/>
                    </w:tcBorders>
                    <w:shd w:val="clear" w:color="auto" w:fill="auto"/>
                    <w:vAlign w:val="bottom"/>
                  </w:tcPr>
                  <w:p w:rsidR="00601651" w:rsidRDefault="00601651" w:rsidP="00601651">
                    <w:pPr>
                      <w:rPr>
                        <w:rFonts w:cs="Arial"/>
                        <w:color w:val="000000"/>
                        <w:szCs w:val="21"/>
                      </w:rPr>
                    </w:pPr>
                    <w:r>
                      <w:rPr>
                        <w:rFonts w:cs="Arial" w:hint="eastAsia"/>
                        <w:color w:val="000000"/>
                        <w:szCs w:val="21"/>
                        <w:lang w:val="en-GB"/>
                      </w:rPr>
                      <w:t>其他综合收益</w:t>
                    </w:r>
                  </w:p>
                </w:tc>
              </w:sdtContent>
            </w:sdt>
            <w:tc>
              <w:tcPr>
                <w:tcW w:w="932" w:type="pct"/>
                <w:tcBorders>
                  <w:left w:val="single" w:sz="6" w:space="0" w:color="auto"/>
                  <w:right w:val="single" w:sz="6" w:space="0" w:color="auto"/>
                </w:tcBorders>
                <w:shd w:val="clear" w:color="auto" w:fill="auto"/>
              </w:tcPr>
              <w:p w:rsidR="00601651" w:rsidRDefault="00601651" w:rsidP="00601651">
                <w:pPr>
                  <w:jc w:val="right"/>
                  <w:rPr>
                    <w:szCs w:val="21"/>
                  </w:rPr>
                </w:pPr>
              </w:p>
            </w:tc>
            <w:tc>
              <w:tcPr>
                <w:tcW w:w="990" w:type="pct"/>
                <w:tcBorders>
                  <w:left w:val="single" w:sz="6" w:space="0" w:color="auto"/>
                  <w:right w:val="single" w:sz="6" w:space="0" w:color="auto"/>
                </w:tcBorders>
                <w:shd w:val="clear" w:color="auto" w:fill="auto"/>
              </w:tcPr>
              <w:p w:rsidR="00601651" w:rsidRDefault="00601651" w:rsidP="00601651">
                <w:pPr>
                  <w:jc w:val="right"/>
                  <w:rPr>
                    <w:szCs w:val="21"/>
                  </w:rPr>
                </w:pPr>
              </w:p>
            </w:tc>
            <w:tc>
              <w:tcPr>
                <w:tcW w:w="932" w:type="pct"/>
                <w:tcBorders>
                  <w:top w:val="single" w:sz="6" w:space="0" w:color="auto"/>
                  <w:left w:val="single" w:sz="6" w:space="0" w:color="auto"/>
                  <w:bottom w:val="single" w:sz="6" w:space="0" w:color="auto"/>
                  <w:right w:val="single" w:sz="6" w:space="0" w:color="auto"/>
                </w:tcBorders>
              </w:tcPr>
              <w:p w:rsidR="00601651" w:rsidRDefault="00601651" w:rsidP="00601651">
                <w:pPr>
                  <w:jc w:val="right"/>
                  <w:rPr>
                    <w:szCs w:val="21"/>
                  </w:rPr>
                </w:pPr>
              </w:p>
            </w:tc>
            <w:tc>
              <w:tcPr>
                <w:tcW w:w="990" w:type="pct"/>
                <w:tcBorders>
                  <w:top w:val="single" w:sz="6" w:space="0" w:color="auto"/>
                  <w:left w:val="single" w:sz="6" w:space="0" w:color="auto"/>
                  <w:bottom w:val="single" w:sz="6" w:space="0" w:color="auto"/>
                  <w:right w:val="single" w:sz="6" w:space="0" w:color="auto"/>
                </w:tcBorders>
              </w:tcPr>
              <w:p w:rsidR="00601651" w:rsidRDefault="00601651" w:rsidP="00601651">
                <w:pPr>
                  <w:jc w:val="right"/>
                  <w:rPr>
                    <w:szCs w:val="21"/>
                  </w:rPr>
                </w:pPr>
              </w:p>
            </w:tc>
          </w:tr>
          <w:tr w:rsidR="00601651" w:rsidTr="00A079B5">
            <w:sdt>
              <w:sdtPr>
                <w:tag w:val="_PLD_aca477b75b8548ffb0cae4d911df9f59"/>
                <w:id w:val="-1972737263"/>
                <w:lock w:val="sdtLocked"/>
              </w:sdtPr>
              <w:sdtContent>
                <w:tc>
                  <w:tcPr>
                    <w:tcW w:w="1158" w:type="pct"/>
                    <w:tcBorders>
                      <w:top w:val="single" w:sz="6" w:space="0" w:color="auto"/>
                      <w:left w:val="single" w:sz="4" w:space="0" w:color="auto"/>
                      <w:bottom w:val="single" w:sz="6" w:space="0" w:color="auto"/>
                      <w:right w:val="single" w:sz="6" w:space="0" w:color="auto"/>
                    </w:tcBorders>
                    <w:shd w:val="clear" w:color="auto" w:fill="auto"/>
                    <w:vAlign w:val="bottom"/>
                  </w:tcPr>
                  <w:p w:rsidR="00601651" w:rsidRDefault="00601651" w:rsidP="00601651">
                    <w:pPr>
                      <w:rPr>
                        <w:rFonts w:cs="Arial"/>
                        <w:color w:val="000000"/>
                        <w:szCs w:val="21"/>
                      </w:rPr>
                    </w:pPr>
                    <w:r>
                      <w:rPr>
                        <w:rFonts w:cs="Arial" w:hint="eastAsia"/>
                        <w:color w:val="000000"/>
                        <w:szCs w:val="21"/>
                        <w:lang w:val="en-GB"/>
                      </w:rPr>
                      <w:t>综合收益总额</w:t>
                    </w:r>
                  </w:p>
                </w:tc>
              </w:sdtContent>
            </w:sdt>
            <w:tc>
              <w:tcPr>
                <w:tcW w:w="932" w:type="pct"/>
                <w:tcBorders>
                  <w:left w:val="single" w:sz="6" w:space="0" w:color="auto"/>
                  <w:right w:val="single" w:sz="6" w:space="0" w:color="auto"/>
                </w:tcBorders>
                <w:shd w:val="clear" w:color="auto" w:fill="auto"/>
              </w:tcPr>
              <w:p w:rsidR="00601651" w:rsidRDefault="003B6C06" w:rsidP="00601651">
                <w:pPr>
                  <w:jc w:val="right"/>
                  <w:rPr>
                    <w:szCs w:val="21"/>
                  </w:rPr>
                </w:pPr>
                <w:r w:rsidRPr="003B6C06">
                  <w:rPr>
                    <w:szCs w:val="21"/>
                  </w:rPr>
                  <w:t>6,514,559,483</w:t>
                </w:r>
              </w:p>
            </w:tc>
            <w:tc>
              <w:tcPr>
                <w:tcW w:w="990" w:type="pct"/>
                <w:tcBorders>
                  <w:left w:val="single" w:sz="6" w:space="0" w:color="auto"/>
                  <w:right w:val="single" w:sz="6" w:space="0" w:color="auto"/>
                </w:tcBorders>
                <w:shd w:val="clear" w:color="auto" w:fill="auto"/>
              </w:tcPr>
              <w:p w:rsidR="00601651" w:rsidRDefault="003B6C06" w:rsidP="00601651">
                <w:pPr>
                  <w:jc w:val="right"/>
                  <w:rPr>
                    <w:szCs w:val="21"/>
                  </w:rPr>
                </w:pPr>
                <w:r>
                  <w:rPr>
                    <w:szCs w:val="21"/>
                  </w:rPr>
                  <w:t>253,388,844</w:t>
                </w:r>
              </w:p>
            </w:tc>
            <w:tc>
              <w:tcPr>
                <w:tcW w:w="932" w:type="pct"/>
                <w:tcBorders>
                  <w:top w:val="single" w:sz="6" w:space="0" w:color="auto"/>
                  <w:left w:val="single" w:sz="6" w:space="0" w:color="auto"/>
                  <w:bottom w:val="single" w:sz="6" w:space="0" w:color="auto"/>
                  <w:right w:val="single" w:sz="6" w:space="0" w:color="auto"/>
                </w:tcBorders>
              </w:tcPr>
              <w:p w:rsidR="00601651" w:rsidRDefault="003B6C06" w:rsidP="00601651">
                <w:pPr>
                  <w:jc w:val="right"/>
                  <w:rPr>
                    <w:szCs w:val="21"/>
                  </w:rPr>
                </w:pPr>
                <w:r>
                  <w:rPr>
                    <w:szCs w:val="21"/>
                  </w:rPr>
                  <w:t>7,771,600,547</w:t>
                </w:r>
              </w:p>
            </w:tc>
            <w:tc>
              <w:tcPr>
                <w:tcW w:w="990" w:type="pct"/>
                <w:tcBorders>
                  <w:top w:val="single" w:sz="6" w:space="0" w:color="auto"/>
                  <w:left w:val="single" w:sz="6" w:space="0" w:color="auto"/>
                  <w:bottom w:val="single" w:sz="6" w:space="0" w:color="auto"/>
                  <w:right w:val="single" w:sz="6" w:space="0" w:color="auto"/>
                </w:tcBorders>
              </w:tcPr>
              <w:p w:rsidR="00601651" w:rsidRDefault="003B6C06" w:rsidP="00601651">
                <w:pPr>
                  <w:jc w:val="right"/>
                  <w:rPr>
                    <w:szCs w:val="21"/>
                  </w:rPr>
                </w:pPr>
                <w:r>
                  <w:rPr>
                    <w:szCs w:val="21"/>
                  </w:rPr>
                  <w:t>-</w:t>
                </w:r>
                <w:r w:rsidRPr="003B6C06">
                  <w:rPr>
                    <w:szCs w:val="21"/>
                  </w:rPr>
                  <w:t>1,947,072,484</w:t>
                </w:r>
              </w:p>
            </w:tc>
          </w:tr>
          <w:tr w:rsidR="00601651" w:rsidTr="00DB008B">
            <w:tc>
              <w:tcPr>
                <w:tcW w:w="5000" w:type="pct"/>
                <w:gridSpan w:val="5"/>
                <w:tcBorders>
                  <w:top w:val="single" w:sz="6" w:space="0" w:color="auto"/>
                  <w:left w:val="single" w:sz="4" w:space="0" w:color="auto"/>
                  <w:bottom w:val="single" w:sz="4" w:space="0" w:color="auto"/>
                  <w:right w:val="single" w:sz="6" w:space="0" w:color="auto"/>
                </w:tcBorders>
                <w:shd w:val="clear" w:color="auto" w:fill="auto"/>
                <w:vAlign w:val="bottom"/>
              </w:tcPr>
              <w:p w:rsidR="00601651" w:rsidRDefault="00601651" w:rsidP="00601651">
                <w:pPr>
                  <w:jc w:val="right"/>
                  <w:rPr>
                    <w:szCs w:val="21"/>
                  </w:rPr>
                </w:pPr>
              </w:p>
            </w:tc>
          </w:tr>
          <w:tr w:rsidR="00601651" w:rsidTr="00A079B5">
            <w:sdt>
              <w:sdtPr>
                <w:tag w:val="_PLD_2c0ced87aa7249418772718451ec98cd"/>
                <w:id w:val="-1061399107"/>
                <w:lock w:val="sdtLocked"/>
              </w:sdtPr>
              <w:sdtContent>
                <w:tc>
                  <w:tcPr>
                    <w:tcW w:w="1158" w:type="pct"/>
                    <w:tcBorders>
                      <w:top w:val="single" w:sz="6" w:space="0" w:color="auto"/>
                      <w:left w:val="single" w:sz="4" w:space="0" w:color="auto"/>
                      <w:bottom w:val="single" w:sz="4" w:space="0" w:color="auto"/>
                      <w:right w:val="single" w:sz="6" w:space="0" w:color="auto"/>
                    </w:tcBorders>
                    <w:shd w:val="clear" w:color="auto" w:fill="auto"/>
                    <w:vAlign w:val="bottom"/>
                  </w:tcPr>
                  <w:p w:rsidR="00601651" w:rsidRDefault="00601651" w:rsidP="00601651">
                    <w:pPr>
                      <w:rPr>
                        <w:rFonts w:cs="Arial"/>
                        <w:color w:val="000000"/>
                        <w:szCs w:val="21"/>
                      </w:rPr>
                    </w:pPr>
                    <w:r>
                      <w:rPr>
                        <w:rFonts w:cs="Arial" w:hint="eastAsia"/>
                        <w:color w:val="000000"/>
                        <w:szCs w:val="21"/>
                        <w:lang w:val="en-GB"/>
                      </w:rPr>
                      <w:t>本年度收到的来自联营企业的股利</w:t>
                    </w:r>
                  </w:p>
                </w:tc>
              </w:sdtContent>
            </w:sdt>
            <w:tc>
              <w:tcPr>
                <w:tcW w:w="932" w:type="pct"/>
                <w:tcBorders>
                  <w:left w:val="single" w:sz="6" w:space="0" w:color="auto"/>
                  <w:bottom w:val="single" w:sz="4" w:space="0" w:color="auto"/>
                  <w:right w:val="single" w:sz="6" w:space="0" w:color="auto"/>
                </w:tcBorders>
                <w:shd w:val="clear" w:color="auto" w:fill="auto"/>
              </w:tcPr>
              <w:p w:rsidR="00601651" w:rsidRDefault="003B6C06" w:rsidP="00601651">
                <w:pPr>
                  <w:jc w:val="right"/>
                  <w:rPr>
                    <w:szCs w:val="21"/>
                  </w:rPr>
                </w:pPr>
                <w:r w:rsidRPr="003B6C06">
                  <w:rPr>
                    <w:szCs w:val="21"/>
                  </w:rPr>
                  <w:t>2,871,943,54</w:t>
                </w:r>
                <w:r w:rsidR="00B64F2B">
                  <w:rPr>
                    <w:szCs w:val="21"/>
                  </w:rPr>
                  <w:t>6</w:t>
                </w:r>
              </w:p>
            </w:tc>
            <w:tc>
              <w:tcPr>
                <w:tcW w:w="990" w:type="pct"/>
                <w:tcBorders>
                  <w:left w:val="single" w:sz="6" w:space="0" w:color="auto"/>
                  <w:bottom w:val="single" w:sz="4" w:space="0" w:color="auto"/>
                  <w:right w:val="single" w:sz="6" w:space="0" w:color="auto"/>
                </w:tcBorders>
                <w:shd w:val="clear" w:color="auto" w:fill="auto"/>
              </w:tcPr>
              <w:p w:rsidR="00601651" w:rsidRDefault="003B6C06" w:rsidP="003B6C06">
                <w:pPr>
                  <w:tabs>
                    <w:tab w:val="left" w:pos="1465"/>
                  </w:tabs>
                  <w:rPr>
                    <w:szCs w:val="21"/>
                  </w:rPr>
                </w:pPr>
                <w:r>
                  <w:rPr>
                    <w:szCs w:val="21"/>
                  </w:rPr>
                  <w:tab/>
                  <w:t>0</w:t>
                </w:r>
              </w:p>
            </w:tc>
            <w:tc>
              <w:tcPr>
                <w:tcW w:w="932" w:type="pct"/>
                <w:tcBorders>
                  <w:top w:val="single" w:sz="6" w:space="0" w:color="auto"/>
                  <w:left w:val="single" w:sz="6" w:space="0" w:color="auto"/>
                  <w:bottom w:val="single" w:sz="4" w:space="0" w:color="auto"/>
                  <w:right w:val="single" w:sz="6" w:space="0" w:color="auto"/>
                </w:tcBorders>
              </w:tcPr>
              <w:p w:rsidR="00601651" w:rsidRDefault="003B6C06" w:rsidP="00601651">
                <w:pPr>
                  <w:jc w:val="right"/>
                  <w:rPr>
                    <w:szCs w:val="21"/>
                  </w:rPr>
                </w:pPr>
                <w:r w:rsidRPr="003B6C06">
                  <w:rPr>
                    <w:szCs w:val="21"/>
                  </w:rPr>
                  <w:t>2,843,285,744</w:t>
                </w:r>
              </w:p>
            </w:tc>
            <w:tc>
              <w:tcPr>
                <w:tcW w:w="990" w:type="pct"/>
                <w:tcBorders>
                  <w:top w:val="single" w:sz="6" w:space="0" w:color="auto"/>
                  <w:left w:val="single" w:sz="6" w:space="0" w:color="auto"/>
                  <w:bottom w:val="single" w:sz="4" w:space="0" w:color="auto"/>
                  <w:right w:val="single" w:sz="6" w:space="0" w:color="auto"/>
                </w:tcBorders>
              </w:tcPr>
              <w:p w:rsidR="00601651" w:rsidRDefault="003B6C06" w:rsidP="00601651">
                <w:pPr>
                  <w:jc w:val="right"/>
                  <w:rPr>
                    <w:szCs w:val="21"/>
                  </w:rPr>
                </w:pPr>
                <w:r>
                  <w:rPr>
                    <w:szCs w:val="21"/>
                  </w:rPr>
                  <w:t>0</w:t>
                </w:r>
              </w:p>
            </w:tc>
          </w:tr>
        </w:tbl>
        <w:p w:rsidR="00C01624" w:rsidRDefault="00C01624">
          <w:pPr>
            <w:rPr>
              <w:rFonts w:cs="Arial"/>
              <w:szCs w:val="21"/>
            </w:rPr>
          </w:pPr>
        </w:p>
        <w:p w:rsidR="00806678" w:rsidRDefault="00B16377">
          <w:pPr>
            <w:rPr>
              <w:rFonts w:cs="Arial"/>
              <w:szCs w:val="21"/>
            </w:rPr>
          </w:pPr>
          <w:r>
            <w:rPr>
              <w:rFonts w:cs="Arial" w:hint="eastAsia"/>
              <w:szCs w:val="21"/>
            </w:rPr>
            <w:t>其他说明</w:t>
          </w:r>
        </w:p>
        <w:sdt>
          <w:sdtPr>
            <w:rPr>
              <w:rFonts w:cs="Arial" w:hint="eastAsia"/>
              <w:szCs w:val="21"/>
            </w:rPr>
            <w:alias w:val="重要联营企业的主要财务信息其他说明的方法"/>
            <w:tag w:val="_GBC_49602fee37fb4c848eee594868d16caa"/>
            <w:id w:val="-200394836"/>
            <w:lock w:val="sdtLocked"/>
            <w:placeholder>
              <w:docPart w:val="GBC22222222222222222222222222222"/>
            </w:placeholder>
          </w:sdtPr>
          <w:sdtContent>
            <w:p w:rsidR="00806678" w:rsidRDefault="003B6C06">
              <w:pPr>
                <w:rPr>
                  <w:rFonts w:cs="Arial"/>
                  <w:szCs w:val="21"/>
                </w:rPr>
              </w:pPr>
              <w:r>
                <w:rPr>
                  <w:rFonts w:cs="Arial" w:hint="eastAsia"/>
                  <w:szCs w:val="21"/>
                </w:rPr>
                <w:t>无</w:t>
              </w:r>
            </w:p>
          </w:sdtContent>
        </w:sdt>
      </w:sdtContent>
    </w:sdt>
    <w:p w:rsidR="00806678" w:rsidRDefault="00806678">
      <w:pPr>
        <w:rPr>
          <w:rFonts w:cs="Arial"/>
          <w:szCs w:val="21"/>
        </w:rPr>
      </w:pPr>
    </w:p>
    <w:p w:rsidR="00B23534" w:rsidRDefault="00B23534">
      <w:pPr>
        <w:rPr>
          <w:rFonts w:cs="Arial"/>
          <w:szCs w:val="21"/>
        </w:rPr>
      </w:pPr>
    </w:p>
    <w:p w:rsidR="00B23534" w:rsidRDefault="00B23534">
      <w:pPr>
        <w:rPr>
          <w:rFonts w:cs="Arial"/>
          <w:szCs w:val="21"/>
        </w:rPr>
      </w:pPr>
    </w:p>
    <w:p w:rsidR="00B23534" w:rsidRDefault="00B23534">
      <w:pPr>
        <w:rPr>
          <w:rFonts w:cs="Arial"/>
          <w:szCs w:val="21"/>
        </w:rPr>
      </w:pPr>
    </w:p>
    <w:p w:rsidR="00B23534" w:rsidRDefault="00B23534">
      <w:pPr>
        <w:rPr>
          <w:rFonts w:cs="Arial"/>
          <w:szCs w:val="21"/>
        </w:rPr>
      </w:pPr>
    </w:p>
    <w:sdt>
      <w:sdtPr>
        <w:rPr>
          <w:rFonts w:ascii="宋体" w:eastAsia="宋体" w:hAnsi="宋体" w:cs="宋体" w:hint="eastAsia"/>
          <w:b w:val="0"/>
          <w:bCs w:val="0"/>
          <w:kern w:val="0"/>
          <w:szCs w:val="24"/>
        </w:rPr>
        <w:alias w:val="模块:不重要的合营企业和联营企业的汇总财务信息"/>
        <w:tag w:val="_GBC_7592afe8201c4b36a34fa177ca124037"/>
        <w:id w:val="-713041328"/>
        <w:lock w:val="sdtLocked"/>
        <w:placeholder>
          <w:docPart w:val="GBC22222222222222222222222222222"/>
        </w:placeholder>
      </w:sdtPr>
      <w:sdtEndPr>
        <w:rPr>
          <w:rFonts w:cs="Arial" w:hint="default"/>
          <w:szCs w:val="21"/>
        </w:rPr>
      </w:sdtEndPr>
      <w:sdtContent>
        <w:p w:rsidR="00806678" w:rsidRDefault="00B16377" w:rsidP="00FF17C7">
          <w:pPr>
            <w:pStyle w:val="4"/>
            <w:numPr>
              <w:ilvl w:val="3"/>
              <w:numId w:val="52"/>
            </w:numPr>
            <w:ind w:left="424" w:hangingChars="202" w:hanging="424"/>
          </w:pPr>
          <w:r>
            <w:rPr>
              <w:rFonts w:hint="eastAsia"/>
            </w:rPr>
            <w:t>不重要的合营企业和联营企业的汇总财务信息</w:t>
          </w:r>
        </w:p>
        <w:sdt>
          <w:sdtPr>
            <w:rPr>
              <w:rFonts w:hint="eastAsia"/>
            </w:rPr>
            <w:alias w:val="是否适用：不重要的合营企业和联营企业的汇总财务信息[双击切换]"/>
            <w:tag w:val="_GBC_0aba65ffa2fc4a9db5812b38264da59a"/>
            <w:id w:val="654196641"/>
            <w:lock w:val="sdtLocked"/>
            <w:placeholder>
              <w:docPart w:val="GBC22222222222222222222222222222"/>
            </w:placeholder>
          </w:sdtPr>
          <w:sdtContent>
            <w:p w:rsidR="00806678" w:rsidRDefault="00F80B6C">
              <w:r>
                <w:fldChar w:fldCharType="begin"/>
              </w:r>
              <w:r w:rsidR="00AF42E4">
                <w:instrText xml:space="preserve"> MACROBUTTON  SnrToggleCheckbox √适用  </w:instrText>
              </w:r>
              <w:r>
                <w:fldChar w:fldCharType="end"/>
              </w:r>
              <w:r>
                <w:fldChar w:fldCharType="begin"/>
              </w:r>
              <w:r w:rsidR="00AF42E4">
                <w:instrText xml:space="preserve"> MACROBUTTON  SnrToggleCheckbox □不适用 </w:instrText>
              </w:r>
              <w:r>
                <w:fldChar w:fldCharType="end"/>
              </w:r>
            </w:p>
          </w:sdtContent>
        </w:sdt>
        <w:p w:rsidR="00806678" w:rsidRDefault="00B16377">
          <w:pPr>
            <w:jc w:val="right"/>
          </w:pPr>
          <w:r>
            <w:rPr>
              <w:rFonts w:hint="eastAsia"/>
            </w:rPr>
            <w:t>单位：</w:t>
          </w:r>
          <w:sdt>
            <w:sdtPr>
              <w:rPr>
                <w:rFonts w:hint="eastAsia"/>
              </w:rPr>
              <w:alias w:val="单位：财务附注：不重要的合营企业和联营企业的汇总财务信息"/>
              <w:tag w:val="_GBC_d02efd9c85904b029b5a51b02d9519e8"/>
              <w:id w:val="87520004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不重要的合营企业和联营企业的汇总财务信息"/>
              <w:tag w:val="_GBC_a6fa35df627e4d9584fb9c311eb6a4b5"/>
              <w:id w:val="-134654615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03"/>
            <w:gridCol w:w="3071"/>
            <w:gridCol w:w="3075"/>
          </w:tblGrid>
          <w:tr w:rsidR="00806678" w:rsidTr="00CA6943">
            <w:trPr>
              <w:trHeight w:val="241"/>
              <w:jc w:val="center"/>
            </w:trPr>
            <w:tc>
              <w:tcPr>
                <w:tcW w:w="1604" w:type="pct"/>
                <w:shd w:val="clear" w:color="auto" w:fill="auto"/>
              </w:tcPr>
              <w:p w:rsidR="00806678" w:rsidRDefault="00806678">
                <w:pPr>
                  <w:jc w:val="center"/>
                  <w:rPr>
                    <w:rFonts w:cs="Arial"/>
                    <w:szCs w:val="21"/>
                  </w:rPr>
                </w:pPr>
              </w:p>
            </w:tc>
            <w:sdt>
              <w:sdtPr>
                <w:tag w:val="_PLD_0f94e995a1b3419692bd4d8e5c6d3e83"/>
                <w:id w:val="1441956392"/>
                <w:lock w:val="sdtLocked"/>
              </w:sdtPr>
              <w:sdtContent>
                <w:tc>
                  <w:tcPr>
                    <w:tcW w:w="1697" w:type="pct"/>
                    <w:shd w:val="clear" w:color="auto" w:fill="auto"/>
                  </w:tcPr>
                  <w:p w:rsidR="00806678" w:rsidRDefault="00B16377">
                    <w:pPr>
                      <w:jc w:val="center"/>
                      <w:rPr>
                        <w:rFonts w:cs="Arial"/>
                        <w:szCs w:val="21"/>
                      </w:rPr>
                    </w:pPr>
                    <w:r>
                      <w:rPr>
                        <w:rFonts w:cs="Arial" w:hint="eastAsia"/>
                        <w:szCs w:val="21"/>
                        <w:lang w:val="en-GB"/>
                      </w:rPr>
                      <w:t>期末余额</w:t>
                    </w:r>
                    <w:r>
                      <w:rPr>
                        <w:rFonts w:cs="Arial"/>
                        <w:szCs w:val="21"/>
                      </w:rPr>
                      <w:t xml:space="preserve">/ </w:t>
                    </w:r>
                    <w:r>
                      <w:rPr>
                        <w:rFonts w:cs="Arial" w:hint="eastAsia"/>
                        <w:szCs w:val="21"/>
                        <w:lang w:val="en-GB"/>
                      </w:rPr>
                      <w:t>本期发生额</w:t>
                    </w:r>
                  </w:p>
                </w:tc>
              </w:sdtContent>
            </w:sdt>
            <w:sdt>
              <w:sdtPr>
                <w:tag w:val="_PLD_41f132b6b30d40258178a800b0285b01"/>
                <w:id w:val="-1764139746"/>
                <w:lock w:val="sdtLocked"/>
              </w:sdtPr>
              <w:sdtContent>
                <w:tc>
                  <w:tcPr>
                    <w:tcW w:w="1699" w:type="pct"/>
                    <w:shd w:val="clear" w:color="auto" w:fill="auto"/>
                  </w:tcPr>
                  <w:p w:rsidR="00806678" w:rsidRDefault="00B16377">
                    <w:pPr>
                      <w:jc w:val="center"/>
                      <w:rPr>
                        <w:rFonts w:cs="Arial"/>
                        <w:szCs w:val="21"/>
                      </w:rPr>
                    </w:pPr>
                    <w:r>
                      <w:rPr>
                        <w:rFonts w:cs="Arial" w:hint="eastAsia"/>
                        <w:szCs w:val="21"/>
                        <w:lang w:val="en-GB"/>
                      </w:rPr>
                      <w:t>期初余额</w:t>
                    </w:r>
                    <w:r>
                      <w:rPr>
                        <w:rFonts w:cs="Arial"/>
                        <w:szCs w:val="21"/>
                      </w:rPr>
                      <w:t xml:space="preserve">/ </w:t>
                    </w:r>
                    <w:r>
                      <w:rPr>
                        <w:rFonts w:cs="Arial" w:hint="eastAsia"/>
                        <w:szCs w:val="21"/>
                        <w:lang w:val="en-GB"/>
                      </w:rPr>
                      <w:t>上期发生额</w:t>
                    </w:r>
                  </w:p>
                </w:tc>
              </w:sdtContent>
            </w:sdt>
          </w:tr>
          <w:tr w:rsidR="00806678" w:rsidTr="003357EF">
            <w:trPr>
              <w:jc w:val="center"/>
            </w:trPr>
            <w:sdt>
              <w:sdtPr>
                <w:tag w:val="_PLD_b70e5ea8d7ec4c33925b6219dd7a8fb0"/>
                <w:id w:val="-1697373846"/>
                <w:lock w:val="sdtLocked"/>
              </w:sdtPr>
              <w:sdtContent>
                <w:tc>
                  <w:tcPr>
                    <w:tcW w:w="5000" w:type="pct"/>
                    <w:gridSpan w:val="3"/>
                    <w:shd w:val="clear" w:color="auto" w:fill="auto"/>
                  </w:tcPr>
                  <w:p w:rsidR="00806678" w:rsidRDefault="00B16377">
                    <w:pPr>
                      <w:rPr>
                        <w:szCs w:val="21"/>
                      </w:rPr>
                    </w:pPr>
                    <w:r>
                      <w:rPr>
                        <w:rFonts w:cs="Arial" w:hint="eastAsia"/>
                        <w:szCs w:val="21"/>
                        <w:lang w:val="en-GB"/>
                      </w:rPr>
                      <w:t>合营企业：</w:t>
                    </w:r>
                  </w:p>
                </w:tc>
              </w:sdtContent>
            </w:sdt>
          </w:tr>
          <w:tr w:rsidR="00806678" w:rsidTr="00CA6943">
            <w:trPr>
              <w:jc w:val="center"/>
            </w:trPr>
            <w:sdt>
              <w:sdtPr>
                <w:tag w:val="_PLD_5c1b3efe48a74c26981db7946c8fee1b"/>
                <w:id w:val="926154599"/>
                <w:lock w:val="sdtLocked"/>
              </w:sdtPr>
              <w:sdtContent>
                <w:tc>
                  <w:tcPr>
                    <w:tcW w:w="1604" w:type="pct"/>
                    <w:shd w:val="clear" w:color="auto" w:fill="auto"/>
                    <w:vAlign w:val="center"/>
                  </w:tcPr>
                  <w:p w:rsidR="00806678" w:rsidRDefault="00B16377">
                    <w:pPr>
                      <w:rPr>
                        <w:rFonts w:cs="Arial"/>
                        <w:color w:val="000000"/>
                        <w:szCs w:val="21"/>
                      </w:rPr>
                    </w:pPr>
                    <w:r>
                      <w:rPr>
                        <w:rFonts w:cs="Arial" w:hint="eastAsia"/>
                        <w:color w:val="000000"/>
                        <w:szCs w:val="21"/>
                        <w:lang w:val="en-GB"/>
                      </w:rPr>
                      <w:t>投资账面价值合计</w:t>
                    </w:r>
                  </w:p>
                </w:tc>
              </w:sdtContent>
            </w:sdt>
            <w:tc>
              <w:tcPr>
                <w:tcW w:w="1697" w:type="pct"/>
              </w:tcPr>
              <w:p w:rsidR="00806678" w:rsidRDefault="00AF42E4">
                <w:pPr>
                  <w:jc w:val="right"/>
                  <w:rPr>
                    <w:szCs w:val="21"/>
                  </w:rPr>
                </w:pPr>
                <w:r>
                  <w:rPr>
                    <w:szCs w:val="21"/>
                  </w:rPr>
                  <w:t>4,409,713</w:t>
                </w:r>
              </w:p>
            </w:tc>
            <w:tc>
              <w:tcPr>
                <w:tcW w:w="1699" w:type="pct"/>
              </w:tcPr>
              <w:p w:rsidR="00806678" w:rsidRDefault="00AF42E4">
                <w:pPr>
                  <w:jc w:val="right"/>
                  <w:rPr>
                    <w:szCs w:val="21"/>
                  </w:rPr>
                </w:pPr>
                <w:r>
                  <w:rPr>
                    <w:szCs w:val="21"/>
                  </w:rPr>
                  <w:t>5,973,745</w:t>
                </w:r>
              </w:p>
            </w:tc>
          </w:tr>
          <w:tr w:rsidR="00806678" w:rsidTr="003357EF">
            <w:trPr>
              <w:jc w:val="center"/>
            </w:trPr>
            <w:sdt>
              <w:sdtPr>
                <w:tag w:val="_PLD_5535ac23a5e6449eacc8d9ee99f53e96"/>
                <w:id w:val="-1943994402"/>
                <w:lock w:val="sdtLocked"/>
              </w:sdtPr>
              <w:sdtContent>
                <w:tc>
                  <w:tcPr>
                    <w:tcW w:w="5000" w:type="pct"/>
                    <w:gridSpan w:val="3"/>
                    <w:shd w:val="clear" w:color="auto" w:fill="auto"/>
                    <w:vAlign w:val="center"/>
                  </w:tcPr>
                  <w:p w:rsidR="00806678" w:rsidRDefault="00B16377">
                    <w:pPr>
                      <w:rPr>
                        <w:szCs w:val="21"/>
                      </w:rPr>
                    </w:pPr>
                    <w:r>
                      <w:rPr>
                        <w:rFonts w:cs="Arial" w:hint="eastAsia"/>
                        <w:color w:val="000000"/>
                        <w:szCs w:val="21"/>
                        <w:lang w:val="en-GB"/>
                      </w:rPr>
                      <w:t>下列各项按持股比例计算的合计数</w:t>
                    </w:r>
                  </w:p>
                </w:tc>
              </w:sdtContent>
            </w:sdt>
          </w:tr>
          <w:tr w:rsidR="00AF42E4" w:rsidTr="00DB008B">
            <w:trPr>
              <w:jc w:val="center"/>
            </w:trPr>
            <w:sdt>
              <w:sdtPr>
                <w:tag w:val="_PLD_ffdb28c77ef44d61a1ec6f9c9e95684f"/>
                <w:id w:val="1553664612"/>
                <w:lock w:val="sdtLocked"/>
              </w:sdtPr>
              <w:sdtContent>
                <w:tc>
                  <w:tcPr>
                    <w:tcW w:w="1604" w:type="pct"/>
                    <w:shd w:val="clear" w:color="auto" w:fill="auto"/>
                    <w:vAlign w:val="center"/>
                  </w:tcPr>
                  <w:p w:rsidR="00AF42E4" w:rsidRDefault="00AF42E4" w:rsidP="00AF42E4">
                    <w:pPr>
                      <w:rPr>
                        <w:rFonts w:cs="Arial"/>
                        <w:color w:val="000000"/>
                        <w:szCs w:val="21"/>
                      </w:rPr>
                    </w:pPr>
                    <w:r>
                      <w:rPr>
                        <w:rFonts w:cs="Arial"/>
                        <w:color w:val="000000"/>
                        <w:szCs w:val="21"/>
                      </w:rPr>
                      <w:t>--</w:t>
                    </w:r>
                    <w:r>
                      <w:rPr>
                        <w:rFonts w:cs="Arial" w:hint="eastAsia"/>
                        <w:color w:val="000000"/>
                        <w:szCs w:val="21"/>
                        <w:lang w:val="en-GB"/>
                      </w:rPr>
                      <w:t>净利润</w:t>
                    </w:r>
                  </w:p>
                </w:tc>
              </w:sdtContent>
            </w:sdt>
            <w:tc>
              <w:tcPr>
                <w:tcW w:w="1697" w:type="pct"/>
                <w:vAlign w:val="center"/>
              </w:tcPr>
              <w:p w:rsidR="00AF42E4" w:rsidRDefault="00AF42E4" w:rsidP="00AF42E4">
                <w:pPr>
                  <w:jc w:val="right"/>
                  <w:rPr>
                    <w:szCs w:val="21"/>
                  </w:rPr>
                </w:pPr>
                <w:r>
                  <w:t>307,914</w:t>
                </w:r>
              </w:p>
            </w:tc>
            <w:tc>
              <w:tcPr>
                <w:tcW w:w="1699" w:type="pct"/>
                <w:vAlign w:val="center"/>
              </w:tcPr>
              <w:p w:rsidR="00AF42E4" w:rsidRDefault="00AF42E4" w:rsidP="00AF42E4">
                <w:pPr>
                  <w:jc w:val="right"/>
                  <w:rPr>
                    <w:szCs w:val="21"/>
                  </w:rPr>
                </w:pPr>
                <w:r>
                  <w:t>541,946</w:t>
                </w:r>
              </w:p>
            </w:tc>
          </w:tr>
          <w:tr w:rsidR="00AF42E4" w:rsidTr="00DB008B">
            <w:trPr>
              <w:jc w:val="center"/>
            </w:trPr>
            <w:sdt>
              <w:sdtPr>
                <w:tag w:val="_PLD_4f73cb953bf741b1bbd63623d7a7e4dc"/>
                <w:id w:val="-463043162"/>
                <w:lock w:val="sdtLocked"/>
              </w:sdtPr>
              <w:sdtContent>
                <w:tc>
                  <w:tcPr>
                    <w:tcW w:w="1604" w:type="pct"/>
                    <w:shd w:val="clear" w:color="auto" w:fill="auto"/>
                    <w:vAlign w:val="center"/>
                  </w:tcPr>
                  <w:p w:rsidR="00AF42E4" w:rsidRDefault="00AF42E4" w:rsidP="00AF42E4">
                    <w:pPr>
                      <w:rPr>
                        <w:rFonts w:cs="Arial"/>
                        <w:color w:val="000000"/>
                        <w:szCs w:val="21"/>
                      </w:rPr>
                    </w:pPr>
                    <w:r>
                      <w:rPr>
                        <w:rFonts w:cs="Arial"/>
                        <w:color w:val="000000"/>
                        <w:szCs w:val="21"/>
                      </w:rPr>
                      <w:t>--</w:t>
                    </w:r>
                    <w:r>
                      <w:rPr>
                        <w:rFonts w:cs="Arial" w:hint="eastAsia"/>
                        <w:color w:val="000000"/>
                        <w:szCs w:val="21"/>
                        <w:lang w:val="en-GB"/>
                      </w:rPr>
                      <w:t>其他综合收益</w:t>
                    </w:r>
                  </w:p>
                </w:tc>
              </w:sdtContent>
            </w:sdt>
            <w:tc>
              <w:tcPr>
                <w:tcW w:w="1697" w:type="pct"/>
                <w:vAlign w:val="center"/>
              </w:tcPr>
              <w:p w:rsidR="00AF42E4" w:rsidRDefault="00AF42E4" w:rsidP="00AF42E4">
                <w:pPr>
                  <w:jc w:val="right"/>
                  <w:rPr>
                    <w:szCs w:val="21"/>
                  </w:rPr>
                </w:pPr>
              </w:p>
            </w:tc>
            <w:tc>
              <w:tcPr>
                <w:tcW w:w="1699" w:type="pct"/>
                <w:vAlign w:val="center"/>
              </w:tcPr>
              <w:p w:rsidR="00AF42E4" w:rsidRDefault="00AF42E4" w:rsidP="00AF42E4">
                <w:pPr>
                  <w:jc w:val="right"/>
                  <w:rPr>
                    <w:szCs w:val="21"/>
                  </w:rPr>
                </w:pPr>
              </w:p>
            </w:tc>
          </w:tr>
          <w:tr w:rsidR="00AF42E4" w:rsidTr="00DB008B">
            <w:trPr>
              <w:jc w:val="center"/>
            </w:trPr>
            <w:sdt>
              <w:sdtPr>
                <w:tag w:val="_PLD_6d163b87f46e4542bfbe12c712cefc5d"/>
                <w:id w:val="-2022619648"/>
                <w:lock w:val="sdtLocked"/>
              </w:sdtPr>
              <w:sdtContent>
                <w:tc>
                  <w:tcPr>
                    <w:tcW w:w="1604" w:type="pct"/>
                    <w:shd w:val="clear" w:color="auto" w:fill="auto"/>
                    <w:vAlign w:val="center"/>
                  </w:tcPr>
                  <w:p w:rsidR="00AF42E4" w:rsidRDefault="00AF42E4" w:rsidP="00AF42E4">
                    <w:pPr>
                      <w:rPr>
                        <w:rFonts w:cs="Arial"/>
                        <w:color w:val="000000"/>
                        <w:szCs w:val="21"/>
                      </w:rPr>
                    </w:pPr>
                    <w:r>
                      <w:rPr>
                        <w:rFonts w:cs="Arial"/>
                        <w:color w:val="000000"/>
                        <w:szCs w:val="21"/>
                      </w:rPr>
                      <w:t>--</w:t>
                    </w:r>
                    <w:r>
                      <w:rPr>
                        <w:rFonts w:cs="Arial" w:hint="eastAsia"/>
                        <w:color w:val="000000"/>
                        <w:szCs w:val="21"/>
                        <w:lang w:val="en-GB"/>
                      </w:rPr>
                      <w:t>综合收益总额</w:t>
                    </w:r>
                  </w:p>
                </w:tc>
              </w:sdtContent>
            </w:sdt>
            <w:tc>
              <w:tcPr>
                <w:tcW w:w="1697" w:type="pct"/>
                <w:vAlign w:val="center"/>
              </w:tcPr>
              <w:p w:rsidR="00AF42E4" w:rsidRDefault="00AF42E4" w:rsidP="00AF42E4">
                <w:pPr>
                  <w:jc w:val="right"/>
                  <w:rPr>
                    <w:szCs w:val="21"/>
                  </w:rPr>
                </w:pPr>
                <w:r>
                  <w:t>307,914</w:t>
                </w:r>
              </w:p>
            </w:tc>
            <w:tc>
              <w:tcPr>
                <w:tcW w:w="1699" w:type="pct"/>
                <w:vAlign w:val="center"/>
              </w:tcPr>
              <w:p w:rsidR="00AF42E4" w:rsidRDefault="00AF42E4" w:rsidP="00AF42E4">
                <w:pPr>
                  <w:jc w:val="right"/>
                  <w:rPr>
                    <w:szCs w:val="21"/>
                  </w:rPr>
                </w:pPr>
                <w:r>
                  <w:t>541,946</w:t>
                </w:r>
              </w:p>
            </w:tc>
          </w:tr>
          <w:tr w:rsidR="00AF42E4" w:rsidTr="00775137">
            <w:trPr>
              <w:jc w:val="center"/>
            </w:trPr>
            <w:tc>
              <w:tcPr>
                <w:tcW w:w="5000" w:type="pct"/>
                <w:gridSpan w:val="3"/>
                <w:shd w:val="clear" w:color="auto" w:fill="auto"/>
              </w:tcPr>
              <w:p w:rsidR="00AF42E4" w:rsidRDefault="00AF42E4" w:rsidP="00AF42E4">
                <w:pPr>
                  <w:jc w:val="right"/>
                  <w:rPr>
                    <w:szCs w:val="21"/>
                  </w:rPr>
                </w:pPr>
              </w:p>
            </w:tc>
          </w:tr>
          <w:tr w:rsidR="00AF42E4" w:rsidTr="003357EF">
            <w:trPr>
              <w:jc w:val="center"/>
            </w:trPr>
            <w:sdt>
              <w:sdtPr>
                <w:tag w:val="_PLD_cbda7c3468d14ed7a076bd7c6a1d9c6f"/>
                <w:id w:val="-1313247002"/>
                <w:lock w:val="sdtLocked"/>
              </w:sdtPr>
              <w:sdtContent>
                <w:tc>
                  <w:tcPr>
                    <w:tcW w:w="5000" w:type="pct"/>
                    <w:gridSpan w:val="3"/>
                    <w:shd w:val="clear" w:color="auto" w:fill="auto"/>
                  </w:tcPr>
                  <w:p w:rsidR="00AF42E4" w:rsidRDefault="00AF42E4" w:rsidP="00AF42E4">
                    <w:pPr>
                      <w:rPr>
                        <w:szCs w:val="21"/>
                      </w:rPr>
                    </w:pPr>
                    <w:r>
                      <w:rPr>
                        <w:rFonts w:cs="Arial" w:hint="eastAsia"/>
                        <w:szCs w:val="21"/>
                        <w:lang w:val="en-GB"/>
                      </w:rPr>
                      <w:t>联营企业：</w:t>
                    </w:r>
                  </w:p>
                </w:tc>
              </w:sdtContent>
            </w:sdt>
          </w:tr>
          <w:tr w:rsidR="00AF42E4" w:rsidTr="00DB008B">
            <w:trPr>
              <w:jc w:val="center"/>
            </w:trPr>
            <w:sdt>
              <w:sdtPr>
                <w:tag w:val="_PLD_57856c647d7e492783ca7742de3229d1"/>
                <w:id w:val="2095123678"/>
                <w:lock w:val="sdtLocked"/>
              </w:sdtPr>
              <w:sdtContent>
                <w:tc>
                  <w:tcPr>
                    <w:tcW w:w="1604" w:type="pct"/>
                    <w:shd w:val="clear" w:color="auto" w:fill="auto"/>
                    <w:vAlign w:val="center"/>
                  </w:tcPr>
                  <w:p w:rsidR="00AF42E4" w:rsidRDefault="00AF42E4" w:rsidP="00AF42E4">
                    <w:pPr>
                      <w:rPr>
                        <w:rFonts w:cs="Arial"/>
                        <w:color w:val="000000"/>
                        <w:szCs w:val="21"/>
                      </w:rPr>
                    </w:pPr>
                    <w:r>
                      <w:rPr>
                        <w:rFonts w:cs="Arial" w:hint="eastAsia"/>
                        <w:color w:val="000000"/>
                        <w:szCs w:val="21"/>
                        <w:lang w:val="en-GB"/>
                      </w:rPr>
                      <w:t>投资账面价值合计</w:t>
                    </w:r>
                  </w:p>
                </w:tc>
              </w:sdtContent>
            </w:sdt>
            <w:tc>
              <w:tcPr>
                <w:tcW w:w="1697" w:type="pct"/>
                <w:vAlign w:val="center"/>
              </w:tcPr>
              <w:p w:rsidR="00AF42E4" w:rsidRDefault="00AF42E4" w:rsidP="00AF42E4">
                <w:pPr>
                  <w:jc w:val="right"/>
                  <w:rPr>
                    <w:szCs w:val="21"/>
                  </w:rPr>
                </w:pPr>
                <w:r>
                  <w:t>33,212,909</w:t>
                </w:r>
              </w:p>
            </w:tc>
            <w:tc>
              <w:tcPr>
                <w:tcW w:w="1699" w:type="pct"/>
                <w:vAlign w:val="center"/>
              </w:tcPr>
              <w:p w:rsidR="00AF42E4" w:rsidRDefault="00AF42E4" w:rsidP="00AF42E4">
                <w:pPr>
                  <w:jc w:val="right"/>
                  <w:rPr>
                    <w:szCs w:val="21"/>
                  </w:rPr>
                </w:pPr>
                <w:r>
                  <w:t>38,438,147</w:t>
                </w:r>
              </w:p>
            </w:tc>
          </w:tr>
          <w:tr w:rsidR="00AF42E4" w:rsidTr="003357EF">
            <w:trPr>
              <w:jc w:val="center"/>
            </w:trPr>
            <w:sdt>
              <w:sdtPr>
                <w:tag w:val="_PLD_83ce74083a4545808d6b87b66cb814b0"/>
                <w:id w:val="-377321339"/>
                <w:lock w:val="sdtLocked"/>
              </w:sdtPr>
              <w:sdtContent>
                <w:tc>
                  <w:tcPr>
                    <w:tcW w:w="5000" w:type="pct"/>
                    <w:gridSpan w:val="3"/>
                    <w:shd w:val="clear" w:color="auto" w:fill="auto"/>
                    <w:vAlign w:val="center"/>
                  </w:tcPr>
                  <w:p w:rsidR="00AF42E4" w:rsidRDefault="00AF42E4" w:rsidP="00AF42E4">
                    <w:pPr>
                      <w:rPr>
                        <w:szCs w:val="21"/>
                      </w:rPr>
                    </w:pPr>
                    <w:r>
                      <w:rPr>
                        <w:rFonts w:cs="Arial" w:hint="eastAsia"/>
                        <w:color w:val="000000"/>
                        <w:szCs w:val="21"/>
                        <w:lang w:val="en-GB"/>
                      </w:rPr>
                      <w:t>下列各项按持股比例计算的合计数</w:t>
                    </w:r>
                  </w:p>
                </w:tc>
              </w:sdtContent>
            </w:sdt>
          </w:tr>
          <w:tr w:rsidR="00AF42E4" w:rsidTr="00DB008B">
            <w:trPr>
              <w:jc w:val="center"/>
            </w:trPr>
            <w:sdt>
              <w:sdtPr>
                <w:tag w:val="_PLD_875e720363794e09ab0fd35ce9bc1d43"/>
                <w:id w:val="-1142424184"/>
                <w:lock w:val="sdtLocked"/>
              </w:sdtPr>
              <w:sdtContent>
                <w:tc>
                  <w:tcPr>
                    <w:tcW w:w="1604" w:type="pct"/>
                    <w:shd w:val="clear" w:color="auto" w:fill="auto"/>
                    <w:vAlign w:val="center"/>
                  </w:tcPr>
                  <w:p w:rsidR="00AF42E4" w:rsidRDefault="00AF42E4" w:rsidP="00AF42E4">
                    <w:pPr>
                      <w:rPr>
                        <w:rFonts w:cs="Arial"/>
                        <w:color w:val="000000"/>
                        <w:szCs w:val="21"/>
                      </w:rPr>
                    </w:pPr>
                    <w:r>
                      <w:rPr>
                        <w:rFonts w:cs="Arial"/>
                        <w:color w:val="000000"/>
                        <w:szCs w:val="21"/>
                      </w:rPr>
                      <w:t>--</w:t>
                    </w:r>
                    <w:r>
                      <w:rPr>
                        <w:rFonts w:cs="Arial" w:hint="eastAsia"/>
                        <w:color w:val="000000"/>
                        <w:szCs w:val="21"/>
                        <w:lang w:val="en-GB"/>
                      </w:rPr>
                      <w:t>净利润</w:t>
                    </w:r>
                  </w:p>
                </w:tc>
              </w:sdtContent>
            </w:sdt>
            <w:tc>
              <w:tcPr>
                <w:tcW w:w="1697" w:type="pct"/>
                <w:vAlign w:val="center"/>
              </w:tcPr>
              <w:p w:rsidR="00AF42E4" w:rsidRDefault="00AF42E4" w:rsidP="00AF42E4">
                <w:pPr>
                  <w:jc w:val="right"/>
                  <w:rPr>
                    <w:szCs w:val="21"/>
                  </w:rPr>
                </w:pPr>
                <w:r>
                  <w:t>-3,720,750</w:t>
                </w:r>
              </w:p>
            </w:tc>
            <w:tc>
              <w:tcPr>
                <w:tcW w:w="1699" w:type="pct"/>
                <w:vAlign w:val="center"/>
              </w:tcPr>
              <w:p w:rsidR="00AF42E4" w:rsidRDefault="00AF42E4" w:rsidP="00AF42E4">
                <w:pPr>
                  <w:jc w:val="right"/>
                  <w:rPr>
                    <w:szCs w:val="21"/>
                  </w:rPr>
                </w:pPr>
                <w:r>
                  <w:t>-12,597,112</w:t>
                </w:r>
              </w:p>
            </w:tc>
          </w:tr>
          <w:tr w:rsidR="00AF42E4" w:rsidTr="00DB008B">
            <w:trPr>
              <w:jc w:val="center"/>
            </w:trPr>
            <w:sdt>
              <w:sdtPr>
                <w:tag w:val="_PLD_0951dd4d81044674a5026fa9141415b8"/>
                <w:id w:val="-1241790093"/>
                <w:lock w:val="sdtLocked"/>
              </w:sdtPr>
              <w:sdtContent>
                <w:tc>
                  <w:tcPr>
                    <w:tcW w:w="1604" w:type="pct"/>
                    <w:shd w:val="clear" w:color="auto" w:fill="auto"/>
                    <w:vAlign w:val="center"/>
                  </w:tcPr>
                  <w:p w:rsidR="00AF42E4" w:rsidRDefault="00AF42E4" w:rsidP="00AF42E4">
                    <w:pPr>
                      <w:rPr>
                        <w:rFonts w:cs="Arial"/>
                        <w:color w:val="000000"/>
                        <w:szCs w:val="21"/>
                      </w:rPr>
                    </w:pPr>
                    <w:r>
                      <w:rPr>
                        <w:rFonts w:cs="Arial"/>
                        <w:color w:val="000000"/>
                        <w:szCs w:val="21"/>
                      </w:rPr>
                      <w:t>--</w:t>
                    </w:r>
                    <w:r>
                      <w:rPr>
                        <w:rFonts w:cs="Arial" w:hint="eastAsia"/>
                        <w:color w:val="000000"/>
                        <w:szCs w:val="21"/>
                        <w:lang w:val="en-GB"/>
                      </w:rPr>
                      <w:t>其他综合收益</w:t>
                    </w:r>
                  </w:p>
                </w:tc>
              </w:sdtContent>
            </w:sdt>
            <w:tc>
              <w:tcPr>
                <w:tcW w:w="1697" w:type="pct"/>
                <w:vAlign w:val="center"/>
              </w:tcPr>
              <w:p w:rsidR="00AF42E4" w:rsidRDefault="00AF42E4" w:rsidP="00AF42E4">
                <w:pPr>
                  <w:jc w:val="right"/>
                  <w:rPr>
                    <w:szCs w:val="21"/>
                  </w:rPr>
                </w:pPr>
              </w:p>
            </w:tc>
            <w:tc>
              <w:tcPr>
                <w:tcW w:w="1699" w:type="pct"/>
                <w:vAlign w:val="center"/>
              </w:tcPr>
              <w:p w:rsidR="00AF42E4" w:rsidRDefault="00AF42E4" w:rsidP="00AF42E4">
                <w:pPr>
                  <w:jc w:val="right"/>
                  <w:rPr>
                    <w:szCs w:val="21"/>
                  </w:rPr>
                </w:pPr>
              </w:p>
            </w:tc>
          </w:tr>
          <w:tr w:rsidR="00AF42E4" w:rsidTr="00DB008B">
            <w:trPr>
              <w:jc w:val="center"/>
            </w:trPr>
            <w:sdt>
              <w:sdtPr>
                <w:tag w:val="_PLD_886e789cb8f14412809a9dc5e3ef806c"/>
                <w:id w:val="-1538201313"/>
                <w:lock w:val="sdtLocked"/>
              </w:sdtPr>
              <w:sdtContent>
                <w:tc>
                  <w:tcPr>
                    <w:tcW w:w="1604" w:type="pct"/>
                    <w:shd w:val="clear" w:color="auto" w:fill="auto"/>
                    <w:vAlign w:val="center"/>
                  </w:tcPr>
                  <w:p w:rsidR="00AF42E4" w:rsidRDefault="00AF42E4" w:rsidP="00AF42E4">
                    <w:pPr>
                      <w:rPr>
                        <w:rFonts w:cs="Arial"/>
                        <w:color w:val="000000"/>
                        <w:szCs w:val="21"/>
                      </w:rPr>
                    </w:pPr>
                    <w:r>
                      <w:rPr>
                        <w:rFonts w:cs="Arial"/>
                        <w:color w:val="000000"/>
                        <w:szCs w:val="21"/>
                      </w:rPr>
                      <w:t>--</w:t>
                    </w:r>
                    <w:r>
                      <w:rPr>
                        <w:rFonts w:cs="Arial" w:hint="eastAsia"/>
                        <w:color w:val="000000"/>
                        <w:szCs w:val="21"/>
                        <w:lang w:val="en-GB"/>
                      </w:rPr>
                      <w:t>综合收益总额</w:t>
                    </w:r>
                  </w:p>
                </w:tc>
              </w:sdtContent>
            </w:sdt>
            <w:tc>
              <w:tcPr>
                <w:tcW w:w="1697" w:type="pct"/>
                <w:vAlign w:val="center"/>
              </w:tcPr>
              <w:p w:rsidR="00AF42E4" w:rsidRDefault="00AF42E4" w:rsidP="00AF42E4">
                <w:pPr>
                  <w:jc w:val="right"/>
                  <w:rPr>
                    <w:szCs w:val="21"/>
                  </w:rPr>
                </w:pPr>
                <w:r>
                  <w:t>-3,720,750</w:t>
                </w:r>
              </w:p>
            </w:tc>
            <w:tc>
              <w:tcPr>
                <w:tcW w:w="1699" w:type="pct"/>
                <w:vAlign w:val="center"/>
              </w:tcPr>
              <w:p w:rsidR="00AF42E4" w:rsidRDefault="00AF42E4" w:rsidP="00AF42E4">
                <w:pPr>
                  <w:jc w:val="right"/>
                  <w:rPr>
                    <w:szCs w:val="21"/>
                  </w:rPr>
                </w:pPr>
                <w:r>
                  <w:t>-12,597,112</w:t>
                </w:r>
              </w:p>
            </w:tc>
          </w:tr>
        </w:tbl>
        <w:p w:rsidR="00C01624" w:rsidRDefault="00C01624">
          <w:pPr>
            <w:rPr>
              <w:rFonts w:cs="Arial"/>
              <w:szCs w:val="21"/>
            </w:rPr>
          </w:pPr>
        </w:p>
        <w:p w:rsidR="00806678" w:rsidRDefault="00B16377">
          <w:pPr>
            <w:rPr>
              <w:rFonts w:cs="Arial"/>
              <w:szCs w:val="21"/>
            </w:rPr>
          </w:pPr>
          <w:r>
            <w:rPr>
              <w:rFonts w:cs="Arial" w:hint="eastAsia"/>
              <w:szCs w:val="21"/>
            </w:rPr>
            <w:t>其他说明</w:t>
          </w:r>
        </w:p>
        <w:p w:rsidR="00806678" w:rsidRDefault="00F80B6C">
          <w:pPr>
            <w:rPr>
              <w:rFonts w:cs="Arial"/>
              <w:szCs w:val="21"/>
            </w:rPr>
          </w:pPr>
          <w:sdt>
            <w:sdtPr>
              <w:rPr>
                <w:szCs w:val="21"/>
              </w:rPr>
              <w:alias w:val="不重要的合营企业和联营企业的汇总财务信息其他说明"/>
              <w:tag w:val="_GBC_78096995ca9848409e6780ab5f1386f8"/>
              <w:id w:val="562917188"/>
              <w:lock w:val="sdtLocked"/>
              <w:placeholder>
                <w:docPart w:val="GBC22222222222222222222222222222"/>
              </w:placeholder>
            </w:sdtPr>
            <w:sdtContent>
              <w:r w:rsidR="003167B5">
                <w:rPr>
                  <w:rFonts w:hint="eastAsia"/>
                  <w:szCs w:val="21"/>
                </w:rPr>
                <w:t>无</w:t>
              </w:r>
            </w:sdtContent>
          </w:sdt>
        </w:p>
      </w:sdtContent>
    </w:sdt>
    <w:p w:rsidR="00806678" w:rsidRDefault="00806678">
      <w:pPr>
        <w:rPr>
          <w:rFonts w:cs="Arial"/>
          <w:szCs w:val="21"/>
        </w:rPr>
      </w:pPr>
    </w:p>
    <w:sdt>
      <w:sdtPr>
        <w:rPr>
          <w:rFonts w:ascii="宋体" w:eastAsia="宋体" w:hAnsi="宋体" w:cs="宋体" w:hint="eastAsia"/>
          <w:b w:val="0"/>
          <w:bCs w:val="0"/>
          <w:kern w:val="0"/>
          <w:szCs w:val="24"/>
        </w:rPr>
        <w:alias w:val="模块:合营企业或联营企业向公司转移资金的能力存在重大限制的说明"/>
        <w:tag w:val="_GBC_2874973c28b34357bf81a60947721baa"/>
        <w:id w:val="816691222"/>
        <w:lock w:val="sdtLocked"/>
        <w:placeholder>
          <w:docPart w:val="GBC22222222222222222222222222222"/>
        </w:placeholder>
      </w:sdtPr>
      <w:sdtEndPr>
        <w:rPr>
          <w:rFonts w:cs="Arial"/>
          <w:szCs w:val="21"/>
        </w:rPr>
      </w:sdtEndPr>
      <w:sdtContent>
        <w:p w:rsidR="00806678" w:rsidRDefault="00B16377" w:rsidP="00FF17C7">
          <w:pPr>
            <w:pStyle w:val="4"/>
            <w:numPr>
              <w:ilvl w:val="3"/>
              <w:numId w:val="52"/>
            </w:numPr>
            <w:ind w:left="424" w:hangingChars="202" w:hanging="424"/>
          </w:pPr>
          <w:r>
            <w:rPr>
              <w:rFonts w:hint="eastAsia"/>
            </w:rPr>
            <w:t>合营企业或联营企业向本公司转移资金的能力存在重大限制的说明</w:t>
          </w:r>
        </w:p>
        <w:sdt>
          <w:sdtPr>
            <w:rPr>
              <w:rFonts w:cs="Arial" w:hint="eastAsia"/>
              <w:szCs w:val="21"/>
            </w:rPr>
            <w:alias w:val="是否适用：合营企业或联营企业向本公司转移资金的能力存在重大限制的说明[双击切换]"/>
            <w:tag w:val="_GBC_6adf336cbf6141a59d29de2be4c5a55b"/>
            <w:id w:val="-1491399997"/>
            <w:lock w:val="sdtLocked"/>
            <w:placeholder>
              <w:docPart w:val="GBC22222222222222222222222222222"/>
            </w:placeholder>
          </w:sdtPr>
          <w:sdtContent>
            <w:p w:rsidR="00806678" w:rsidRPr="00C01624" w:rsidRDefault="00F80B6C">
              <w:r>
                <w:rPr>
                  <w:rFonts w:cs="Arial"/>
                  <w:szCs w:val="21"/>
                </w:rPr>
                <w:fldChar w:fldCharType="begin"/>
              </w:r>
              <w:r w:rsidR="003167B5">
                <w:rPr>
                  <w:rFonts w:cs="Arial"/>
                  <w:szCs w:val="21"/>
                </w:rPr>
                <w:instrText xml:space="preserve"> MACROBUTTON  SnrToggleCheckbox □适用  </w:instrText>
              </w:r>
              <w:r>
                <w:rPr>
                  <w:rFonts w:cs="Arial"/>
                  <w:szCs w:val="21"/>
                </w:rPr>
                <w:fldChar w:fldCharType="end"/>
              </w:r>
              <w:r>
                <w:rPr>
                  <w:rFonts w:cs="Arial"/>
                  <w:szCs w:val="21"/>
                </w:rPr>
                <w:fldChar w:fldCharType="begin"/>
              </w:r>
              <w:r w:rsidR="003167B5">
                <w:rPr>
                  <w:rFonts w:cs="Arial"/>
                  <w:szCs w:val="21"/>
                </w:rPr>
                <w:instrText xml:space="preserve"> MACROBUTTON  SnrToggleCheckbox √不适用 </w:instrText>
              </w:r>
              <w:r>
                <w:rPr>
                  <w:rFonts w:cs="Arial"/>
                  <w:szCs w:val="21"/>
                </w:rPr>
                <w:fldChar w:fldCharType="end"/>
              </w:r>
            </w:p>
          </w:sdtContent>
        </w:sdt>
      </w:sdtContent>
    </w:sdt>
    <w:sdt>
      <w:sdtPr>
        <w:rPr>
          <w:rFonts w:ascii="宋体" w:eastAsia="宋体" w:hAnsi="宋体" w:cs="宋体" w:hint="eastAsia"/>
          <w:b w:val="0"/>
          <w:bCs w:val="0"/>
          <w:kern w:val="0"/>
          <w:szCs w:val="24"/>
        </w:rPr>
        <w:alias w:val="模块:合营企业或联营企业发生的超额亏损"/>
        <w:tag w:val="_GBC_a9980062c82d44acae24fae7368ea42f"/>
        <w:id w:val="-303775487"/>
        <w:lock w:val="sdtLocked"/>
        <w:placeholder>
          <w:docPart w:val="GBC22222222222222222222222222222"/>
        </w:placeholder>
      </w:sdtPr>
      <w:sdtEndPr>
        <w:rPr>
          <w:rFonts w:cstheme="minorBidi" w:hint="default"/>
          <w:szCs w:val="21"/>
        </w:rPr>
      </w:sdtEndPr>
      <w:sdtContent>
        <w:p w:rsidR="00806678" w:rsidRDefault="00B16377" w:rsidP="00FF17C7">
          <w:pPr>
            <w:pStyle w:val="4"/>
            <w:numPr>
              <w:ilvl w:val="3"/>
              <w:numId w:val="52"/>
            </w:numPr>
            <w:ind w:left="424" w:hangingChars="202" w:hanging="424"/>
          </w:pPr>
          <w:r>
            <w:rPr>
              <w:rFonts w:hint="eastAsia"/>
            </w:rPr>
            <w:t>合营企业或联营企业发生的超额亏损</w:t>
          </w:r>
        </w:p>
        <w:sdt>
          <w:sdtPr>
            <w:rPr>
              <w:rFonts w:hint="eastAsia"/>
            </w:rPr>
            <w:alias w:val="是否适用：合营企业或联营企业发生的超额亏损[双击切换]"/>
            <w:tag w:val="_GBC_06d01e334df443999a288d3ef1be1420"/>
            <w:id w:val="552042634"/>
            <w:lock w:val="sdtLocked"/>
            <w:placeholder>
              <w:docPart w:val="GBC22222222222222222222222222222"/>
            </w:placeholder>
          </w:sdtPr>
          <w:sdtContent>
            <w:p w:rsidR="00806678" w:rsidRPr="00C01624" w:rsidRDefault="00F80B6C">
              <w:r>
                <w:fldChar w:fldCharType="begin"/>
              </w:r>
              <w:r w:rsidR="003167B5">
                <w:instrText xml:space="preserve"> MACROBUTTON  SnrToggleCheckbox □适用  </w:instrText>
              </w:r>
              <w:r>
                <w:fldChar w:fldCharType="end"/>
              </w:r>
              <w:r>
                <w:fldChar w:fldCharType="begin"/>
              </w:r>
              <w:r w:rsidR="003167B5">
                <w:instrText xml:space="preserve"> MACROBUTTON  SnrToggleCheckbox √不适用 </w:instrText>
              </w:r>
              <w:r>
                <w:fldChar w:fldCharType="end"/>
              </w:r>
            </w:p>
          </w:sdtContent>
        </w:sdt>
      </w:sdtContent>
    </w:sdt>
    <w:sdt>
      <w:sdtPr>
        <w:rPr>
          <w:rFonts w:ascii="宋体" w:eastAsia="宋体" w:hAnsi="宋体" w:cs="宋体" w:hint="eastAsia"/>
          <w:b w:val="0"/>
          <w:bCs w:val="0"/>
          <w:kern w:val="0"/>
          <w:szCs w:val="24"/>
        </w:rPr>
        <w:alias w:val="模块:与合营企业投资相关的未确认承诺"/>
        <w:tag w:val="_GBC_da055842bf8c4e9598b87bd760d969ec"/>
        <w:id w:val="1492756890"/>
        <w:lock w:val="sdtLocked"/>
        <w:placeholder>
          <w:docPart w:val="GBC22222222222222222222222222222"/>
        </w:placeholder>
      </w:sdtPr>
      <w:sdtEndPr>
        <w:rPr>
          <w:rFonts w:cs="Arial"/>
          <w:szCs w:val="21"/>
        </w:rPr>
      </w:sdtEndPr>
      <w:sdtContent>
        <w:p w:rsidR="00806678" w:rsidRDefault="00B16377" w:rsidP="00FF17C7">
          <w:pPr>
            <w:pStyle w:val="4"/>
            <w:numPr>
              <w:ilvl w:val="3"/>
              <w:numId w:val="52"/>
            </w:numPr>
            <w:ind w:left="424" w:hangingChars="202" w:hanging="424"/>
          </w:pPr>
          <w:r>
            <w:rPr>
              <w:rFonts w:hint="eastAsia"/>
            </w:rPr>
            <w:t>与合营企业</w:t>
          </w:r>
          <w:r>
            <w:rPr>
              <w:rFonts w:ascii="宋体" w:hAnsi="宋体" w:hint="eastAsia"/>
            </w:rPr>
            <w:t>投资</w:t>
          </w:r>
          <w:r>
            <w:rPr>
              <w:rFonts w:hint="eastAsia"/>
            </w:rPr>
            <w:t>相关的未确认承诺</w:t>
          </w:r>
        </w:p>
        <w:sdt>
          <w:sdtPr>
            <w:rPr>
              <w:rFonts w:cs="Arial" w:hint="eastAsia"/>
              <w:szCs w:val="21"/>
            </w:rPr>
            <w:alias w:val="是否适用：与合营企业投资相关的未确认承诺[双击切换]"/>
            <w:tag w:val="_GBC_31e45f9d52434cea9a9a27d328e562ec"/>
            <w:id w:val="37325969"/>
            <w:lock w:val="sdtLocked"/>
            <w:placeholder>
              <w:docPart w:val="GBC22222222222222222222222222222"/>
            </w:placeholder>
          </w:sdtPr>
          <w:sdtContent>
            <w:p w:rsidR="00806678" w:rsidRDefault="00F80B6C">
              <w:pPr>
                <w:rPr>
                  <w:rFonts w:cs="Arial"/>
                  <w:szCs w:val="21"/>
                </w:rPr>
              </w:pPr>
              <w:r>
                <w:rPr>
                  <w:rFonts w:cs="Arial"/>
                  <w:szCs w:val="21"/>
                </w:rPr>
                <w:fldChar w:fldCharType="begin"/>
              </w:r>
              <w:r w:rsidR="003167B5">
                <w:rPr>
                  <w:rFonts w:cs="Arial"/>
                  <w:szCs w:val="21"/>
                </w:rPr>
                <w:instrText xml:space="preserve"> MACROBUTTON  SnrToggleCheckbox □适用  </w:instrText>
              </w:r>
              <w:r>
                <w:rPr>
                  <w:rFonts w:cs="Arial"/>
                  <w:szCs w:val="21"/>
                </w:rPr>
                <w:fldChar w:fldCharType="end"/>
              </w:r>
              <w:r>
                <w:rPr>
                  <w:rFonts w:cs="Arial"/>
                  <w:szCs w:val="21"/>
                </w:rPr>
                <w:fldChar w:fldCharType="begin"/>
              </w:r>
              <w:r w:rsidR="003167B5">
                <w:rPr>
                  <w:rFonts w:cs="Arial"/>
                  <w:szCs w:val="21"/>
                </w:rPr>
                <w:instrText xml:space="preserve"> MACROBUTTON  SnrToggleCheckbox √不适用 </w:instrText>
              </w:r>
              <w:r>
                <w:rPr>
                  <w:rFonts w:cs="Arial"/>
                  <w:szCs w:val="21"/>
                </w:rPr>
                <w:fldChar w:fldCharType="end"/>
              </w:r>
            </w:p>
          </w:sdtContent>
        </w:sdt>
      </w:sdtContent>
    </w:sdt>
    <w:sdt>
      <w:sdtPr>
        <w:rPr>
          <w:rFonts w:ascii="宋体" w:eastAsia="宋体" w:hAnsi="宋体" w:cs="宋体" w:hint="eastAsia"/>
          <w:b w:val="0"/>
          <w:bCs w:val="0"/>
          <w:kern w:val="0"/>
          <w:szCs w:val="24"/>
        </w:rPr>
        <w:alias w:val="模块:与合营企业或联营企业投资相关的或有负债"/>
        <w:tag w:val="_GBC_1f803def681a42ba91cdde709a067b3f"/>
        <w:id w:val="1590734539"/>
        <w:lock w:val="sdtLocked"/>
        <w:placeholder>
          <w:docPart w:val="GBC22222222222222222222222222222"/>
        </w:placeholder>
      </w:sdtPr>
      <w:sdtEndPr>
        <w:rPr>
          <w:rFonts w:cs="Arial"/>
          <w:szCs w:val="21"/>
        </w:rPr>
      </w:sdtEndPr>
      <w:sdtContent>
        <w:p w:rsidR="00806678" w:rsidRDefault="00B16377" w:rsidP="00FF17C7">
          <w:pPr>
            <w:pStyle w:val="4"/>
            <w:numPr>
              <w:ilvl w:val="3"/>
              <w:numId w:val="52"/>
            </w:numPr>
            <w:ind w:left="424" w:hangingChars="202" w:hanging="424"/>
          </w:pPr>
          <w:r>
            <w:rPr>
              <w:rFonts w:hint="eastAsia"/>
            </w:rPr>
            <w:t>与合营企业或联营企业投资相关的或有负债</w:t>
          </w:r>
        </w:p>
        <w:sdt>
          <w:sdtPr>
            <w:rPr>
              <w:rFonts w:cs="Arial" w:hint="eastAsia"/>
              <w:szCs w:val="21"/>
            </w:rPr>
            <w:alias w:val="是否适用：与合营企业或联营企业投资相关的或有负债[双击切换]"/>
            <w:tag w:val="_GBC_d3c6dfcab3ab42afb854d4ea2e7c9b9f"/>
            <w:id w:val="1423846961"/>
            <w:lock w:val="sdtLocked"/>
            <w:placeholder>
              <w:docPart w:val="GBC22222222222222222222222222222"/>
            </w:placeholder>
          </w:sdtPr>
          <w:sdtContent>
            <w:p w:rsidR="00806678" w:rsidRDefault="00F80B6C">
              <w:pPr>
                <w:rPr>
                  <w:rFonts w:cs="Arial"/>
                  <w:szCs w:val="21"/>
                </w:rPr>
              </w:pPr>
              <w:r>
                <w:rPr>
                  <w:rFonts w:cs="Arial"/>
                  <w:szCs w:val="21"/>
                </w:rPr>
                <w:fldChar w:fldCharType="begin"/>
              </w:r>
              <w:r w:rsidR="003167B5">
                <w:rPr>
                  <w:rFonts w:cs="Arial"/>
                  <w:szCs w:val="21"/>
                </w:rPr>
                <w:instrText xml:space="preserve"> MACROBUTTON  SnrToggleCheckbox □适用  </w:instrText>
              </w:r>
              <w:r>
                <w:rPr>
                  <w:rFonts w:cs="Arial"/>
                  <w:szCs w:val="21"/>
                </w:rPr>
                <w:fldChar w:fldCharType="end"/>
              </w:r>
              <w:r>
                <w:rPr>
                  <w:rFonts w:cs="Arial"/>
                  <w:szCs w:val="21"/>
                </w:rPr>
                <w:fldChar w:fldCharType="begin"/>
              </w:r>
              <w:r w:rsidR="003167B5">
                <w:rPr>
                  <w:rFonts w:cs="Arial"/>
                  <w:szCs w:val="21"/>
                </w:rPr>
                <w:instrText xml:space="preserve"> MACROBUTTON  SnrToggleCheckbox √不适用 </w:instrText>
              </w:r>
              <w:r>
                <w:rPr>
                  <w:rFonts w:cs="Arial"/>
                  <w:szCs w:val="21"/>
                </w:rPr>
                <w:fldChar w:fldCharType="end"/>
              </w:r>
            </w:p>
          </w:sdtContent>
        </w:sdt>
      </w:sdtContent>
    </w:sdt>
    <w:sdt>
      <w:sdtPr>
        <w:rPr>
          <w:rFonts w:ascii="宋体" w:hAnsi="宋体" w:cs="Arial" w:hint="eastAsia"/>
          <w:b w:val="0"/>
          <w:bCs w:val="0"/>
          <w:kern w:val="0"/>
          <w:szCs w:val="21"/>
        </w:rPr>
        <w:alias w:val="模块:重要的共同经营"/>
        <w:tag w:val="_GBC_90d44eb1222944759107483908112493"/>
        <w:id w:val="2049020771"/>
        <w:lock w:val="sdtLocked"/>
        <w:placeholder>
          <w:docPart w:val="GBC22222222222222222222222222222"/>
        </w:placeholder>
      </w:sdtPr>
      <w:sdtEndPr>
        <w:rPr>
          <w:rFonts w:cstheme="minorBidi" w:hint="default"/>
        </w:rPr>
      </w:sdtEndPr>
      <w:sdtContent>
        <w:p w:rsidR="00806678" w:rsidRDefault="00B16377" w:rsidP="00FF17C7">
          <w:pPr>
            <w:pStyle w:val="3"/>
            <w:numPr>
              <w:ilvl w:val="2"/>
              <w:numId w:val="50"/>
            </w:numPr>
            <w:rPr>
              <w:rFonts w:ascii="宋体" w:hAnsi="宋体" w:cs="Arial"/>
              <w:szCs w:val="21"/>
            </w:rPr>
          </w:pPr>
          <w:r>
            <w:rPr>
              <w:rFonts w:ascii="宋体" w:hAnsi="宋体" w:cs="Arial" w:hint="eastAsia"/>
              <w:szCs w:val="21"/>
            </w:rPr>
            <w:t>重要的共同经营</w:t>
          </w:r>
        </w:p>
        <w:sdt>
          <w:sdtPr>
            <w:alias w:val="是否适用：重要的共同经营[双击切换]"/>
            <w:tag w:val="_GBC_8a0341a844454c89848e95b9c64a8efb"/>
            <w:id w:val="1067301578"/>
            <w:lock w:val="sdtLocked"/>
            <w:placeholder>
              <w:docPart w:val="GBC22222222222222222222222222222"/>
            </w:placeholder>
          </w:sdtPr>
          <w:sdtContent>
            <w:p w:rsidR="00806678" w:rsidRPr="00C01624" w:rsidRDefault="00F80B6C">
              <w:r>
                <w:fldChar w:fldCharType="begin"/>
              </w:r>
              <w:r w:rsidR="003167B5">
                <w:instrText xml:space="preserve">MACROBUTTON  SnrToggleCheckbox □适用 </w:instrText>
              </w:r>
              <w:r>
                <w:fldChar w:fldCharType="end"/>
              </w:r>
              <w:r>
                <w:fldChar w:fldCharType="begin"/>
              </w:r>
              <w:r w:rsidR="003167B5">
                <w:instrText xml:space="preserve"> MACROBUTTON  SnrToggleCheckbox √不适用 </w:instrText>
              </w:r>
              <w:r>
                <w:fldChar w:fldCharType="end"/>
              </w:r>
            </w:p>
          </w:sdtContent>
        </w:sdt>
      </w:sdtContent>
    </w:sdt>
    <w:sdt>
      <w:sdtPr>
        <w:rPr>
          <w:rFonts w:ascii="宋体" w:hAnsi="宋体" w:cs="Arial" w:hint="eastAsia"/>
          <w:b w:val="0"/>
          <w:bCs w:val="0"/>
          <w:kern w:val="0"/>
          <w:szCs w:val="21"/>
        </w:rPr>
        <w:alias w:val="模块:在未纳入合并财务报表范围的结构化主体中的权益"/>
        <w:tag w:val="_GBC_5cfea65e45c44f1b9fdec762be35880d"/>
        <w:id w:val="291489580"/>
        <w:lock w:val="sdtLocked"/>
        <w:placeholder>
          <w:docPart w:val="GBC22222222222222222222222222222"/>
        </w:placeholder>
      </w:sdtPr>
      <w:sdtContent>
        <w:p w:rsidR="00806678" w:rsidRDefault="00B16377" w:rsidP="00FF17C7">
          <w:pPr>
            <w:pStyle w:val="3"/>
            <w:numPr>
              <w:ilvl w:val="2"/>
              <w:numId w:val="50"/>
            </w:numPr>
            <w:rPr>
              <w:rFonts w:ascii="宋体" w:hAnsi="宋体" w:cs="Arial"/>
              <w:szCs w:val="21"/>
            </w:rPr>
          </w:pPr>
          <w:r>
            <w:rPr>
              <w:rFonts w:ascii="宋体" w:hAnsi="宋体" w:cs="Arial" w:hint="eastAsia"/>
              <w:szCs w:val="21"/>
            </w:rPr>
            <w:t>在未纳入合并财务报表范围的结构化主体中的权益</w:t>
          </w:r>
        </w:p>
        <w:p w:rsidR="00806678" w:rsidRDefault="00B16377">
          <w:pPr>
            <w:rPr>
              <w:rFonts w:cs="Arial"/>
              <w:szCs w:val="21"/>
            </w:rPr>
          </w:pPr>
          <w:r>
            <w:rPr>
              <w:rFonts w:cs="Arial" w:hint="eastAsia"/>
              <w:szCs w:val="21"/>
            </w:rPr>
            <w:t>未纳入合并财务报表范围的结构化主体的相关说明：</w:t>
          </w:r>
        </w:p>
        <w:sdt>
          <w:sdtPr>
            <w:rPr>
              <w:rFonts w:cs="Arial"/>
              <w:szCs w:val="21"/>
            </w:rPr>
            <w:alias w:val="是否适用：未纳入合并财务报表范围的结构化主体的相关说明[双击切换]"/>
            <w:tag w:val="_GBC_fec7f9a28e8b48edbad9948b50cb3cae"/>
            <w:id w:val="2037000017"/>
            <w:lock w:val="sdtLocked"/>
            <w:placeholder>
              <w:docPart w:val="GBC22222222222222222222222222222"/>
            </w:placeholder>
          </w:sdtPr>
          <w:sdtContent>
            <w:p w:rsidR="00806678" w:rsidRDefault="00F80B6C">
              <w:pPr>
                <w:rPr>
                  <w:rFonts w:cs="Arial"/>
                  <w:szCs w:val="21"/>
                </w:rPr>
              </w:pPr>
              <w:r>
                <w:rPr>
                  <w:rFonts w:cs="Arial"/>
                  <w:szCs w:val="21"/>
                </w:rPr>
                <w:fldChar w:fldCharType="begin"/>
              </w:r>
              <w:r w:rsidR="003167B5">
                <w:rPr>
                  <w:rFonts w:cs="Arial"/>
                  <w:szCs w:val="21"/>
                </w:rPr>
                <w:instrText xml:space="preserve">MACROBUTTON  SnrToggleCheckbox □适用 </w:instrText>
              </w:r>
              <w:r>
                <w:rPr>
                  <w:rFonts w:cs="Arial"/>
                  <w:szCs w:val="21"/>
                </w:rPr>
                <w:fldChar w:fldCharType="end"/>
              </w:r>
              <w:r>
                <w:rPr>
                  <w:rFonts w:cs="Arial"/>
                  <w:szCs w:val="21"/>
                </w:rPr>
                <w:fldChar w:fldCharType="begin"/>
              </w:r>
              <w:r w:rsidR="003167B5">
                <w:rPr>
                  <w:rFonts w:cs="Arial"/>
                  <w:szCs w:val="21"/>
                </w:rPr>
                <w:instrText xml:space="preserve"> MACROBUTTON  SnrToggleCheckbox √不适用 </w:instrText>
              </w:r>
              <w:r>
                <w:rPr>
                  <w:rFonts w:cs="Arial"/>
                  <w:szCs w:val="21"/>
                </w:rPr>
                <w:fldChar w:fldCharType="end"/>
              </w:r>
            </w:p>
          </w:sdtContent>
        </w:sdt>
      </w:sdtContent>
    </w:sdt>
    <w:sdt>
      <w:sdtPr>
        <w:rPr>
          <w:rFonts w:ascii="宋体" w:hAnsi="宋体" w:cs="Arial" w:hint="eastAsia"/>
          <w:b w:val="0"/>
          <w:bCs w:val="0"/>
          <w:kern w:val="0"/>
          <w:szCs w:val="21"/>
        </w:rPr>
        <w:alias w:val="模块:在其他主体中的权益其他需要说明的事项"/>
        <w:tag w:val="_GBC_b24eb633f5244c748225389f3b3cedd1"/>
        <w:id w:val="-1932501229"/>
        <w:lock w:val="sdtLocked"/>
        <w:placeholder>
          <w:docPart w:val="GBC22222222222222222222222222222"/>
        </w:placeholder>
      </w:sdtPr>
      <w:sdtContent>
        <w:p w:rsidR="00806678" w:rsidRDefault="00B16377" w:rsidP="00FF17C7">
          <w:pPr>
            <w:pStyle w:val="3"/>
            <w:numPr>
              <w:ilvl w:val="2"/>
              <w:numId w:val="50"/>
            </w:numPr>
            <w:rPr>
              <w:rFonts w:ascii="宋体" w:hAnsi="宋体" w:cs="Arial"/>
              <w:szCs w:val="21"/>
            </w:rPr>
          </w:pPr>
          <w:r>
            <w:rPr>
              <w:rFonts w:ascii="宋体" w:hAnsi="宋体" w:cs="Arial" w:hint="eastAsia"/>
              <w:szCs w:val="21"/>
            </w:rPr>
            <w:t>其他</w:t>
          </w:r>
        </w:p>
        <w:sdt>
          <w:sdtPr>
            <w:rPr>
              <w:rFonts w:hint="eastAsia"/>
            </w:rPr>
            <w:alias w:val="是否适用：在其他主体中的权益其他需要说明的事项[双击切换]"/>
            <w:tag w:val="_GBC_f97a284e61d54ed588c46ec336af6ef8"/>
            <w:id w:val="1859621118"/>
            <w:lock w:val="sdtLocked"/>
            <w:placeholder>
              <w:docPart w:val="GBC22222222222222222222222222222"/>
            </w:placeholder>
          </w:sdtPr>
          <w:sdtContent>
            <w:p w:rsidR="00C01624" w:rsidRDefault="00F80B6C">
              <w:r>
                <w:fldChar w:fldCharType="begin"/>
              </w:r>
              <w:r w:rsidR="003167B5">
                <w:instrText xml:space="preserve"> MACROBUTTON  SnrToggleCheckbox □适用  </w:instrText>
              </w:r>
              <w:r>
                <w:fldChar w:fldCharType="end"/>
              </w:r>
              <w:r>
                <w:fldChar w:fldCharType="begin"/>
              </w:r>
              <w:r w:rsidR="003167B5">
                <w:instrText xml:space="preserve"> MACROBUTTON  SnrToggleCheckbox √不适用 </w:instrText>
              </w:r>
              <w:r>
                <w:fldChar w:fldCharType="end"/>
              </w:r>
            </w:p>
            <w:p w:rsidR="00806678" w:rsidRDefault="00F80B6C"/>
          </w:sdtContent>
        </w:sdt>
      </w:sdtContent>
    </w:sdt>
    <w:sdt>
      <w:sdtPr>
        <w:rPr>
          <w:rFonts w:ascii="宋体" w:hAnsi="宋体" w:cs="宋体" w:hint="eastAsia"/>
          <w:b w:val="0"/>
          <w:bCs w:val="0"/>
          <w:kern w:val="0"/>
          <w:szCs w:val="24"/>
        </w:rPr>
        <w:alias w:val="模块:与金融工具相关的风险"/>
        <w:tag w:val="_GBC_815d628fea814e7191d23a3fcbe2783c"/>
        <w:id w:val="-433215572"/>
        <w:lock w:val="sdtLocked"/>
        <w:placeholder>
          <w:docPart w:val="GBC22222222222222222222222222222"/>
        </w:placeholder>
      </w:sdtPr>
      <w:sdtContent>
        <w:p w:rsidR="00806678" w:rsidRDefault="00B16377" w:rsidP="00FF17C7">
          <w:pPr>
            <w:pStyle w:val="2"/>
            <w:numPr>
              <w:ilvl w:val="0"/>
              <w:numId w:val="37"/>
            </w:numPr>
            <w:rPr>
              <w:rFonts w:ascii="宋体" w:hAnsi="宋体"/>
            </w:rPr>
          </w:pPr>
          <w:r>
            <w:rPr>
              <w:rFonts w:ascii="宋体" w:hAnsi="宋体" w:hint="eastAsia"/>
            </w:rPr>
            <w:t>与金融工具相关的风险</w:t>
          </w:r>
        </w:p>
        <w:sdt>
          <w:sdtPr>
            <w:alias w:val="是否适用：与金融工具相关的风险[双击切换]"/>
            <w:tag w:val="_GBC_2be38aac6aaa4945a48be2cdc11eaaf6"/>
            <w:id w:val="2113547590"/>
            <w:lock w:val="sdtLocked"/>
            <w:placeholder>
              <w:docPart w:val="GBC22222222222222222222222222222"/>
            </w:placeholder>
          </w:sdtPr>
          <w:sdtContent>
            <w:p w:rsidR="00806678" w:rsidRDefault="00F80B6C">
              <w:r>
                <w:fldChar w:fldCharType="begin"/>
              </w:r>
              <w:r w:rsidR="003167B5">
                <w:instrText xml:space="preserve">MACROBUTTON  SnrToggleCheckbox √适用 </w:instrText>
              </w:r>
              <w:r>
                <w:fldChar w:fldCharType="end"/>
              </w:r>
              <w:r>
                <w:fldChar w:fldCharType="begin"/>
              </w:r>
              <w:r w:rsidR="003167B5">
                <w:instrText xml:space="preserve"> MACROBUTTON  SnrToggleCheckbox □不适用 </w:instrText>
              </w:r>
              <w:r>
                <w:fldChar w:fldCharType="end"/>
              </w:r>
            </w:p>
          </w:sdtContent>
        </w:sdt>
        <w:sdt>
          <w:sdtPr>
            <w:rPr>
              <w:szCs w:val="21"/>
            </w:rPr>
            <w:alias w:val="与金融工具相关的风险"/>
            <w:tag w:val="_GBC_f6714dfdbb554edeb7e7fde71c65346d"/>
            <w:id w:val="-1873985921"/>
            <w:lock w:val="sdtLocked"/>
            <w:placeholder>
              <w:docPart w:val="GBC22222222222222222222222222222"/>
            </w:placeholder>
          </w:sdtPr>
          <w:sdtEndPr>
            <w:rPr>
              <w:b/>
            </w:rPr>
          </w:sdtEndPr>
          <w:sdtContent>
            <w:p w:rsidR="003167B5" w:rsidRDefault="003167B5" w:rsidP="003167B5">
              <w:pPr>
                <w:overflowPunct w:val="0"/>
                <w:adjustRightInd w:val="0"/>
                <w:snapToGrid w:val="0"/>
                <w:rPr>
                  <w:rFonts w:ascii="Arial" w:hAnsi="Arial" w:cs="Arial"/>
                  <w:sz w:val="22"/>
                  <w:szCs w:val="22"/>
                  <w:lang w:val="en-GB"/>
                </w:rPr>
              </w:pPr>
              <w:r>
                <w:rPr>
                  <w:rFonts w:cs="Arial" w:hint="eastAsia"/>
                  <w:sz w:val="22"/>
                  <w:szCs w:val="22"/>
                </w:rPr>
                <w:t>本集团</w:t>
              </w:r>
              <w:r>
                <w:rPr>
                  <w:rFonts w:cs="Arial" w:hint="eastAsia"/>
                  <w:sz w:val="22"/>
                  <w:szCs w:val="22"/>
                  <w:lang w:val="en-GB"/>
                </w:rPr>
                <w:t>在日常活动中面临各种</w:t>
              </w:r>
              <w:r>
                <w:rPr>
                  <w:rFonts w:cs="Arial" w:hint="eastAsia"/>
                  <w:sz w:val="22"/>
                  <w:szCs w:val="22"/>
                </w:rPr>
                <w:t>金融工具的风险，主要包括：</w:t>
              </w:r>
            </w:p>
            <w:p w:rsidR="003167B5" w:rsidRDefault="003167B5" w:rsidP="003167B5">
              <w:pPr>
                <w:overflowPunct w:val="0"/>
                <w:adjustRightInd w:val="0"/>
                <w:snapToGrid w:val="0"/>
                <w:rPr>
                  <w:rFonts w:cs="Arial"/>
                  <w:sz w:val="22"/>
                  <w:szCs w:val="22"/>
                  <w:lang w:val="en-GB"/>
                </w:rPr>
              </w:pPr>
            </w:p>
            <w:p w:rsidR="003167B5" w:rsidRDefault="003167B5" w:rsidP="003167B5">
              <w:pPr>
                <w:tabs>
                  <w:tab w:val="left" w:pos="284"/>
                </w:tabs>
                <w:overflowPunct w:val="0"/>
                <w:adjustRightInd w:val="0"/>
                <w:snapToGrid w:val="0"/>
                <w:ind w:left="284" w:hanging="284"/>
                <w:textAlignment w:val="baseline"/>
                <w:rPr>
                  <w:rFonts w:cs="Arial"/>
                  <w:sz w:val="22"/>
                  <w:szCs w:val="22"/>
                </w:rPr>
              </w:pPr>
              <w:r>
                <w:rPr>
                  <w:rFonts w:cs="Arial"/>
                  <w:sz w:val="22"/>
                  <w:szCs w:val="22"/>
                </w:rPr>
                <w:t>-</w:t>
              </w:r>
              <w:r>
                <w:rPr>
                  <w:rFonts w:cs="Arial"/>
                  <w:sz w:val="22"/>
                  <w:szCs w:val="22"/>
                </w:rPr>
                <w:tab/>
              </w:r>
              <w:r>
                <w:rPr>
                  <w:rFonts w:cs="Arial" w:hint="eastAsia"/>
                  <w:sz w:val="22"/>
                  <w:szCs w:val="22"/>
                </w:rPr>
                <w:t>信用风险</w:t>
              </w:r>
            </w:p>
            <w:p w:rsidR="003167B5" w:rsidRDefault="003167B5" w:rsidP="003167B5">
              <w:pPr>
                <w:tabs>
                  <w:tab w:val="left" w:pos="284"/>
                </w:tabs>
                <w:overflowPunct w:val="0"/>
                <w:adjustRightInd w:val="0"/>
                <w:snapToGrid w:val="0"/>
                <w:ind w:left="284" w:hanging="284"/>
                <w:textAlignment w:val="baseline"/>
                <w:rPr>
                  <w:rFonts w:cs="Arial"/>
                  <w:sz w:val="22"/>
                  <w:szCs w:val="22"/>
                </w:rPr>
              </w:pPr>
              <w:r>
                <w:rPr>
                  <w:rFonts w:cs="Arial"/>
                  <w:sz w:val="22"/>
                  <w:szCs w:val="22"/>
                </w:rPr>
                <w:t>-</w:t>
              </w:r>
              <w:r>
                <w:rPr>
                  <w:rFonts w:cs="Arial"/>
                  <w:sz w:val="22"/>
                  <w:szCs w:val="22"/>
                </w:rPr>
                <w:tab/>
              </w:r>
              <w:r>
                <w:rPr>
                  <w:rFonts w:cs="Arial" w:hint="eastAsia"/>
                  <w:sz w:val="22"/>
                  <w:szCs w:val="22"/>
                </w:rPr>
                <w:t>流动性风险</w:t>
              </w:r>
            </w:p>
            <w:p w:rsidR="003167B5" w:rsidRDefault="003167B5" w:rsidP="003167B5">
              <w:pPr>
                <w:tabs>
                  <w:tab w:val="left" w:pos="284"/>
                </w:tabs>
                <w:overflowPunct w:val="0"/>
                <w:adjustRightInd w:val="0"/>
                <w:snapToGrid w:val="0"/>
                <w:ind w:left="284" w:hanging="284"/>
                <w:textAlignment w:val="baseline"/>
                <w:rPr>
                  <w:rFonts w:cs="Arial"/>
                  <w:sz w:val="22"/>
                  <w:szCs w:val="22"/>
                </w:rPr>
              </w:pPr>
              <w:r>
                <w:rPr>
                  <w:rFonts w:cs="Arial"/>
                  <w:sz w:val="22"/>
                  <w:szCs w:val="22"/>
                </w:rPr>
                <w:t>-</w:t>
              </w:r>
              <w:r>
                <w:rPr>
                  <w:rFonts w:cs="Arial"/>
                  <w:sz w:val="22"/>
                  <w:szCs w:val="22"/>
                </w:rPr>
                <w:tab/>
              </w:r>
              <w:r>
                <w:rPr>
                  <w:rFonts w:cs="Arial" w:hint="eastAsia"/>
                  <w:sz w:val="22"/>
                  <w:szCs w:val="22"/>
                </w:rPr>
                <w:t>利率风险</w:t>
              </w:r>
            </w:p>
            <w:p w:rsidR="003167B5" w:rsidRDefault="003167B5" w:rsidP="003167B5">
              <w:pPr>
                <w:pStyle w:val="34"/>
                <w:overflowPunct w:val="0"/>
                <w:snapToGrid w:val="0"/>
                <w:rPr>
                  <w:rFonts w:eastAsia="微软雅黑" w:cs="Arial"/>
                  <w:sz w:val="22"/>
                  <w:szCs w:val="22"/>
                </w:rPr>
              </w:pPr>
            </w:p>
            <w:p w:rsidR="003167B5" w:rsidRDefault="003167B5" w:rsidP="003167B5">
              <w:pPr>
                <w:overflowPunct w:val="0"/>
                <w:adjustRightInd w:val="0"/>
                <w:snapToGrid w:val="0"/>
                <w:rPr>
                  <w:rFonts w:eastAsia="微软雅黑" w:cs="Arial"/>
                  <w:sz w:val="22"/>
                  <w:szCs w:val="22"/>
                </w:rPr>
              </w:pPr>
              <w:r>
                <w:rPr>
                  <w:rFonts w:cs="Arial" w:hint="eastAsia"/>
                  <w:sz w:val="22"/>
                  <w:szCs w:val="22"/>
                </w:rPr>
                <w:lastRenderedPageBreak/>
                <w:t>下文主要论述上述风险敞口及其形成原因以及在本年发生的变化、风险管理目标、政策和程序以及计量风险的方法发生的变化等。</w:t>
              </w:r>
            </w:p>
            <w:p w:rsidR="003167B5" w:rsidRDefault="003167B5" w:rsidP="003167B5">
              <w:pPr>
                <w:overflowPunct w:val="0"/>
                <w:adjustRightInd w:val="0"/>
                <w:snapToGrid w:val="0"/>
                <w:rPr>
                  <w:rFonts w:cs="Arial"/>
                  <w:sz w:val="22"/>
                  <w:szCs w:val="22"/>
                </w:rPr>
              </w:pPr>
            </w:p>
            <w:p w:rsidR="003167B5" w:rsidRDefault="003167B5" w:rsidP="003167B5">
              <w:pPr>
                <w:overflowPunct w:val="0"/>
                <w:adjustRightInd w:val="0"/>
                <w:snapToGrid w:val="0"/>
                <w:rPr>
                  <w:rFonts w:cs="Arial"/>
                  <w:sz w:val="22"/>
                  <w:szCs w:val="22"/>
                </w:rPr>
              </w:pPr>
              <w:r>
                <w:rPr>
                  <w:rFonts w:cs="Arial" w:hint="eastAsia"/>
                  <w:sz w:val="22"/>
                  <w:szCs w:val="22"/>
                </w:rPr>
                <w:t>本集团从事风险管理的目标是在风险和收益之间取得适当的平衡，力求降低金融风险对本集团财务业绩的不利影响。基于该风险管理目标，本集团已制定风险管理政策以辨别和分析本集团所面临的风险，设定适当的风险可接受水平并设计相应的内部控制程序，以监控本集团的风险水平。本集团会定期审阅这些风险管理政策及有关内部控制系统，以适应市场情况或本集团经营活动的改变。</w:t>
              </w:r>
            </w:p>
            <w:p w:rsidR="003167B5" w:rsidRDefault="003167B5" w:rsidP="003167B5">
              <w:pPr>
                <w:overflowPunct w:val="0"/>
                <w:adjustRightInd w:val="0"/>
                <w:snapToGrid w:val="0"/>
                <w:rPr>
                  <w:rFonts w:cs="Arial"/>
                  <w:kern w:val="2"/>
                  <w:sz w:val="22"/>
                  <w:szCs w:val="22"/>
                </w:rPr>
              </w:pPr>
            </w:p>
            <w:p w:rsidR="003167B5" w:rsidRPr="001C6677" w:rsidRDefault="003167B5" w:rsidP="003167B5">
              <w:pPr>
                <w:pStyle w:val="3"/>
                <w:keepNext w:val="0"/>
                <w:widowControl/>
                <w:tabs>
                  <w:tab w:val="left" w:pos="0"/>
                </w:tabs>
                <w:overflowPunct w:val="0"/>
                <w:adjustRightInd w:val="0"/>
                <w:snapToGrid w:val="0"/>
                <w:spacing w:before="0" w:after="0"/>
                <w:ind w:firstLine="14"/>
                <w:rPr>
                  <w:rFonts w:asciiTheme="majorEastAsia" w:eastAsiaTheme="majorEastAsia" w:hAnsiTheme="majorEastAsia" w:cs="Arial"/>
                  <w:b w:val="0"/>
                  <w:kern w:val="0"/>
                  <w:sz w:val="22"/>
                  <w:szCs w:val="22"/>
                </w:rPr>
              </w:pPr>
              <w:r w:rsidRPr="001C6677">
                <w:rPr>
                  <w:rFonts w:asciiTheme="majorEastAsia" w:eastAsiaTheme="majorEastAsia" w:hAnsiTheme="majorEastAsia" w:cs="Arial"/>
                  <w:b w:val="0"/>
                  <w:kern w:val="0"/>
                  <w:sz w:val="22"/>
                  <w:szCs w:val="22"/>
                </w:rPr>
                <w:t>1</w:t>
              </w:r>
              <w:r w:rsidRPr="001C6677">
                <w:rPr>
                  <w:rFonts w:asciiTheme="majorEastAsia" w:eastAsiaTheme="majorEastAsia" w:hAnsiTheme="majorEastAsia" w:cs="Arial" w:hint="eastAsia"/>
                  <w:b w:val="0"/>
                  <w:kern w:val="0"/>
                  <w:sz w:val="22"/>
                  <w:szCs w:val="22"/>
                </w:rPr>
                <w:t>、</w:t>
              </w:r>
              <w:r w:rsidRPr="001C6677">
                <w:rPr>
                  <w:rFonts w:asciiTheme="majorEastAsia" w:eastAsiaTheme="majorEastAsia" w:hAnsiTheme="majorEastAsia" w:cs="Arial"/>
                  <w:b w:val="0"/>
                  <w:kern w:val="0"/>
                  <w:sz w:val="22"/>
                  <w:szCs w:val="22"/>
                </w:rPr>
                <w:tab/>
              </w:r>
              <w:r w:rsidRPr="001C6677">
                <w:rPr>
                  <w:rFonts w:asciiTheme="majorEastAsia" w:eastAsiaTheme="majorEastAsia" w:hAnsiTheme="majorEastAsia" w:cs="Arial" w:hint="eastAsia"/>
                  <w:b w:val="0"/>
                  <w:kern w:val="0"/>
                  <w:sz w:val="22"/>
                  <w:szCs w:val="22"/>
                </w:rPr>
                <w:t>信用风险</w:t>
              </w:r>
            </w:p>
            <w:p w:rsidR="003167B5" w:rsidRDefault="003167B5" w:rsidP="003167B5">
              <w:pPr>
                <w:overflowPunct w:val="0"/>
                <w:adjustRightInd w:val="0"/>
                <w:snapToGrid w:val="0"/>
                <w:rPr>
                  <w:rFonts w:ascii="Arial" w:hAnsi="Arial" w:cs="Arial"/>
                  <w:sz w:val="22"/>
                  <w:szCs w:val="22"/>
                </w:rPr>
              </w:pPr>
            </w:p>
            <w:p w:rsidR="003167B5" w:rsidRDefault="003167B5" w:rsidP="003167B5">
              <w:pPr>
                <w:overflowPunct w:val="0"/>
                <w:adjustRightInd w:val="0"/>
                <w:snapToGrid w:val="0"/>
                <w:rPr>
                  <w:rFonts w:cs="Arial"/>
                  <w:sz w:val="22"/>
                  <w:szCs w:val="22"/>
                </w:rPr>
              </w:pPr>
              <w:r>
                <w:rPr>
                  <w:rFonts w:cs="Arial" w:hint="eastAsia"/>
                  <w:sz w:val="22"/>
                  <w:szCs w:val="22"/>
                </w:rPr>
                <w:t>信用风险，是指金融工具的一方不能履行义务，造成另一方发生财务损失的风险。本集团的信用风险主要来自货币资金、应收款项等。管理层会持续监控这些信用风险的敞口。</w:t>
              </w:r>
            </w:p>
            <w:p w:rsidR="003167B5" w:rsidRDefault="003167B5" w:rsidP="003167B5">
              <w:pPr>
                <w:overflowPunct w:val="0"/>
                <w:adjustRightInd w:val="0"/>
                <w:snapToGrid w:val="0"/>
                <w:rPr>
                  <w:rFonts w:cs="Arial"/>
                  <w:sz w:val="22"/>
                  <w:szCs w:val="22"/>
                </w:rPr>
              </w:pPr>
            </w:p>
            <w:p w:rsidR="003167B5" w:rsidRDefault="003167B5" w:rsidP="003167B5">
              <w:pPr>
                <w:overflowPunct w:val="0"/>
                <w:adjustRightInd w:val="0"/>
                <w:snapToGrid w:val="0"/>
                <w:rPr>
                  <w:rFonts w:cs="Arial"/>
                  <w:kern w:val="2"/>
                  <w:sz w:val="22"/>
                  <w:szCs w:val="22"/>
                </w:rPr>
              </w:pPr>
              <w:r>
                <w:rPr>
                  <w:rFonts w:cs="Arial" w:hint="eastAsia"/>
                  <w:sz w:val="22"/>
                  <w:szCs w:val="22"/>
                </w:rPr>
                <w:t>本集团除现金以外的货币资金主要存放于信用良好的金融机构，管理层认为其不存在重大的信用风险，预期不会因为对方违约而给本集团造成损失。</w:t>
              </w:r>
            </w:p>
            <w:p w:rsidR="003167B5" w:rsidRDefault="003167B5" w:rsidP="003167B5">
              <w:pPr>
                <w:overflowPunct w:val="0"/>
                <w:adjustRightInd w:val="0"/>
                <w:snapToGrid w:val="0"/>
                <w:rPr>
                  <w:rFonts w:cs="Arial"/>
                  <w:sz w:val="22"/>
                  <w:szCs w:val="22"/>
                </w:rPr>
              </w:pPr>
            </w:p>
            <w:p w:rsidR="003167B5" w:rsidRDefault="003167B5" w:rsidP="003167B5">
              <w:pPr>
                <w:overflowPunct w:val="0"/>
                <w:adjustRightInd w:val="0"/>
                <w:snapToGrid w:val="0"/>
                <w:rPr>
                  <w:rFonts w:cs="Arial"/>
                  <w:kern w:val="2"/>
                  <w:sz w:val="22"/>
                  <w:szCs w:val="22"/>
                </w:rPr>
              </w:pPr>
              <w:r>
                <w:rPr>
                  <w:rFonts w:cs="Arial" w:hint="eastAsia"/>
                  <w:sz w:val="22"/>
                  <w:szCs w:val="22"/>
                </w:rPr>
                <w:t xml:space="preserve">对于应收款项，本集团已根据实际情况制定了信用政策，对客户进行信用评估以确定赊销额度与信用期限。信用评估主要根据客户的财务状况、外部评级及银行信用记录 </w:t>
              </w:r>
              <w:r>
                <w:rPr>
                  <w:rFonts w:cs="Arial"/>
                  <w:sz w:val="22"/>
                  <w:szCs w:val="22"/>
                </w:rPr>
                <w:t>(</w:t>
              </w:r>
              <w:r>
                <w:rPr>
                  <w:rFonts w:cs="Arial" w:hint="eastAsia"/>
                  <w:sz w:val="22"/>
                  <w:szCs w:val="22"/>
                </w:rPr>
                <w:t>如有可能</w:t>
              </w:r>
              <w:r>
                <w:rPr>
                  <w:rFonts w:cs="Arial"/>
                  <w:sz w:val="22"/>
                  <w:szCs w:val="22"/>
                </w:rPr>
                <w:t xml:space="preserve">) </w:t>
              </w:r>
              <w:r>
                <w:rPr>
                  <w:rFonts w:cs="Arial" w:hint="eastAsia"/>
                  <w:sz w:val="22"/>
                  <w:szCs w:val="22"/>
                </w:rPr>
                <w:t>。本集团会定期对客户信用记录进行监控，对于信用记录不良的客户，本集团会采用催款、缩短信用期或取消信用期等方式，以确保本集团的整体信用风险在可控的范围内。</w:t>
              </w:r>
            </w:p>
            <w:p w:rsidR="003167B5" w:rsidRDefault="003167B5" w:rsidP="003167B5">
              <w:pPr>
                <w:overflowPunct w:val="0"/>
                <w:adjustRightInd w:val="0"/>
                <w:snapToGrid w:val="0"/>
                <w:rPr>
                  <w:rFonts w:cs="Arial"/>
                  <w:sz w:val="22"/>
                  <w:szCs w:val="22"/>
                </w:rPr>
              </w:pPr>
            </w:p>
            <w:p w:rsidR="003167B5" w:rsidRDefault="003167B5" w:rsidP="003167B5">
              <w:pPr>
                <w:overflowPunct w:val="0"/>
                <w:adjustRightInd w:val="0"/>
                <w:snapToGrid w:val="0"/>
                <w:rPr>
                  <w:rFonts w:cs="Arial"/>
                  <w:sz w:val="22"/>
                  <w:szCs w:val="22"/>
                </w:rPr>
              </w:pPr>
              <w:r>
                <w:rPr>
                  <w:rFonts w:cs="Arial" w:hint="eastAsia"/>
                  <w:sz w:val="22"/>
                  <w:szCs w:val="22"/>
                </w:rPr>
                <w:t>为监控本集团的信用风险，本集团按照账龄、到期日等要素对本集团的客户资料进行分析。</w:t>
              </w:r>
            </w:p>
            <w:p w:rsidR="003167B5" w:rsidRDefault="003167B5" w:rsidP="003167B5">
              <w:pPr>
                <w:overflowPunct w:val="0"/>
                <w:adjustRightInd w:val="0"/>
                <w:snapToGrid w:val="0"/>
                <w:rPr>
                  <w:rFonts w:cs="Arial"/>
                  <w:sz w:val="22"/>
                  <w:szCs w:val="22"/>
                </w:rPr>
              </w:pPr>
            </w:p>
            <w:p w:rsidR="003167B5" w:rsidRDefault="003167B5" w:rsidP="003167B5">
              <w:pPr>
                <w:overflowPunct w:val="0"/>
                <w:adjustRightInd w:val="0"/>
                <w:snapToGrid w:val="0"/>
                <w:rPr>
                  <w:rFonts w:cs="Arial"/>
                  <w:sz w:val="22"/>
                  <w:szCs w:val="22"/>
                </w:rPr>
              </w:pPr>
              <w:r>
                <w:rPr>
                  <w:rFonts w:cs="Arial" w:hint="eastAsia"/>
                  <w:sz w:val="22"/>
                  <w:szCs w:val="22"/>
                </w:rPr>
                <w:t>本集团信用风险主要是受每个客户自身特性的影响，而不是客户所在的行业或国家和地区。因此重大信用风险集中的情况主要源自本集团存在对个别客户的重大应收款项。于资产负债表日，本集团的前五大客户的应收款占本集团应收账款和其他应收款总额的</w:t>
              </w:r>
              <w:r>
                <w:rPr>
                  <w:rFonts w:cs="Arial"/>
                  <w:sz w:val="22"/>
                  <w:szCs w:val="22"/>
                </w:rPr>
                <w:t>91% (2021</w:t>
              </w:r>
              <w:r>
                <w:rPr>
                  <w:rFonts w:cs="Arial" w:hint="eastAsia"/>
                  <w:sz w:val="22"/>
                  <w:szCs w:val="22"/>
                </w:rPr>
                <w:t>年：</w:t>
              </w:r>
              <w:r>
                <w:rPr>
                  <w:rFonts w:cs="Arial"/>
                  <w:sz w:val="22"/>
                  <w:szCs w:val="22"/>
                </w:rPr>
                <w:t xml:space="preserve">90%) </w:t>
              </w:r>
              <w:r>
                <w:rPr>
                  <w:rFonts w:cs="Arial" w:hint="eastAsia"/>
                  <w:sz w:val="22"/>
                  <w:szCs w:val="22"/>
                </w:rPr>
                <w:t>；此外，本集团未逾期也未减值的应收款项主要是与近期并无违约记录的众多客户有关。</w:t>
              </w:r>
            </w:p>
            <w:p w:rsidR="003167B5" w:rsidRDefault="003167B5" w:rsidP="003167B5">
              <w:pPr>
                <w:overflowPunct w:val="0"/>
                <w:adjustRightInd w:val="0"/>
                <w:snapToGrid w:val="0"/>
                <w:rPr>
                  <w:rFonts w:cs="Arial"/>
                  <w:sz w:val="22"/>
                  <w:szCs w:val="22"/>
                  <w:u w:val="words"/>
                </w:rPr>
              </w:pPr>
            </w:p>
            <w:p w:rsidR="003167B5" w:rsidRPr="001C6677" w:rsidRDefault="003167B5" w:rsidP="003167B5">
              <w:pPr>
                <w:pStyle w:val="3"/>
                <w:keepNext w:val="0"/>
                <w:widowControl/>
                <w:tabs>
                  <w:tab w:val="left" w:pos="0"/>
                </w:tabs>
                <w:overflowPunct w:val="0"/>
                <w:adjustRightInd w:val="0"/>
                <w:snapToGrid w:val="0"/>
                <w:spacing w:before="0" w:after="0"/>
                <w:rPr>
                  <w:rFonts w:asciiTheme="majorEastAsia" w:eastAsiaTheme="majorEastAsia" w:hAnsiTheme="majorEastAsia" w:cs="Arial"/>
                  <w:b w:val="0"/>
                  <w:kern w:val="0"/>
                  <w:sz w:val="22"/>
                  <w:szCs w:val="22"/>
                </w:rPr>
              </w:pPr>
              <w:r w:rsidRPr="001C6677">
                <w:rPr>
                  <w:rFonts w:asciiTheme="majorEastAsia" w:eastAsiaTheme="majorEastAsia" w:hAnsiTheme="majorEastAsia" w:cs="Arial"/>
                  <w:b w:val="0"/>
                  <w:kern w:val="0"/>
                  <w:sz w:val="22"/>
                  <w:szCs w:val="22"/>
                </w:rPr>
                <w:t>2</w:t>
              </w:r>
              <w:r w:rsidRPr="001C6677">
                <w:rPr>
                  <w:rFonts w:asciiTheme="majorEastAsia" w:eastAsiaTheme="majorEastAsia" w:hAnsiTheme="majorEastAsia" w:cs="Arial" w:hint="eastAsia"/>
                  <w:b w:val="0"/>
                  <w:kern w:val="0"/>
                  <w:sz w:val="22"/>
                  <w:szCs w:val="22"/>
                </w:rPr>
                <w:t>、</w:t>
              </w:r>
              <w:r w:rsidRPr="001C6677">
                <w:rPr>
                  <w:rFonts w:asciiTheme="majorEastAsia" w:eastAsiaTheme="majorEastAsia" w:hAnsiTheme="majorEastAsia" w:cs="Arial"/>
                  <w:b w:val="0"/>
                  <w:kern w:val="0"/>
                  <w:sz w:val="22"/>
                  <w:szCs w:val="22"/>
                </w:rPr>
                <w:tab/>
              </w:r>
              <w:r w:rsidRPr="001C6677">
                <w:rPr>
                  <w:rFonts w:asciiTheme="majorEastAsia" w:eastAsiaTheme="majorEastAsia" w:hAnsiTheme="majorEastAsia" w:cs="Arial" w:hint="eastAsia"/>
                  <w:b w:val="0"/>
                  <w:kern w:val="0"/>
                  <w:sz w:val="22"/>
                  <w:szCs w:val="22"/>
                </w:rPr>
                <w:t>流动性风险</w:t>
              </w:r>
            </w:p>
            <w:p w:rsidR="003167B5" w:rsidRDefault="003167B5" w:rsidP="003167B5">
              <w:pPr>
                <w:overflowPunct w:val="0"/>
                <w:adjustRightInd w:val="0"/>
                <w:snapToGrid w:val="0"/>
                <w:rPr>
                  <w:rFonts w:ascii="Arial" w:hAnsi="Arial" w:cs="Arial"/>
                  <w:sz w:val="22"/>
                  <w:szCs w:val="22"/>
                </w:rPr>
              </w:pPr>
            </w:p>
            <w:p w:rsidR="003167B5" w:rsidRDefault="003167B5" w:rsidP="003167B5">
              <w:pPr>
                <w:overflowPunct w:val="0"/>
                <w:adjustRightInd w:val="0"/>
                <w:snapToGrid w:val="0"/>
                <w:rPr>
                  <w:rFonts w:cs="Arial"/>
                  <w:sz w:val="22"/>
                  <w:szCs w:val="22"/>
                </w:rPr>
              </w:pPr>
              <w:r>
                <w:rPr>
                  <w:rFonts w:cs="Arial" w:hint="eastAsia"/>
                  <w:sz w:val="22"/>
                  <w:szCs w:val="22"/>
                </w:rPr>
                <w:t xml:space="preserve">流动性风险，是指企业在履行以交付现金或其他金融资产的方式结算义务时发生资金短缺的风险。本公司及各子公司负责自身的现金管理工作，包括现金盈余的短期投资和筹措贷款以应付预计现金需求 </w:t>
              </w:r>
              <w:r>
                <w:rPr>
                  <w:rFonts w:cs="Arial"/>
                  <w:sz w:val="22"/>
                  <w:szCs w:val="22"/>
                </w:rPr>
                <w:t>(</w:t>
              </w:r>
              <w:r>
                <w:rPr>
                  <w:rFonts w:cs="Arial" w:hint="eastAsia"/>
                  <w:sz w:val="22"/>
                  <w:szCs w:val="22"/>
                </w:rPr>
                <w:t>如果借款额超过某些预设授权上限，便需获得本公司董事会的批准</w:t>
              </w:r>
              <w:r>
                <w:rPr>
                  <w:rFonts w:cs="Arial"/>
                  <w:sz w:val="22"/>
                  <w:szCs w:val="22"/>
                </w:rPr>
                <w:t xml:space="preserve">) </w:t>
              </w:r>
              <w:r>
                <w:rPr>
                  <w:rFonts w:cs="Arial" w:hint="eastAsia"/>
                  <w:sz w:val="22"/>
                  <w:szCs w:val="22"/>
                </w:rPr>
                <w:t>。本集团的政策是定期监控短期和长期的流动资金需求，以及是否符合借款协议的规定，以确保维持充裕的现金储备和可供随时变现的有价证券，同时获得主要金融机构承诺提供足够的备用资金，以满足短期和较长期的流动资金需求。</w:t>
              </w:r>
            </w:p>
            <w:p w:rsidR="003167B5" w:rsidRDefault="003167B5" w:rsidP="003167B5">
              <w:pPr>
                <w:tabs>
                  <w:tab w:val="left" w:pos="2410"/>
                  <w:tab w:val="center" w:pos="5103"/>
                  <w:tab w:val="right" w:pos="7938"/>
                  <w:tab w:val="right" w:pos="9072"/>
                </w:tabs>
                <w:overflowPunct w:val="0"/>
                <w:adjustRightInd w:val="0"/>
                <w:snapToGrid w:val="0"/>
                <w:rPr>
                  <w:rFonts w:cs="Arial"/>
                  <w:sz w:val="22"/>
                  <w:szCs w:val="22"/>
                </w:rPr>
              </w:pPr>
            </w:p>
            <w:p w:rsidR="003167B5" w:rsidRDefault="003167B5" w:rsidP="003167B5">
              <w:pPr>
                <w:tabs>
                  <w:tab w:val="left" w:pos="2410"/>
                  <w:tab w:val="center" w:pos="5103"/>
                  <w:tab w:val="right" w:pos="7938"/>
                  <w:tab w:val="right" w:pos="9072"/>
                </w:tabs>
                <w:overflowPunct w:val="0"/>
                <w:adjustRightInd w:val="0"/>
                <w:snapToGrid w:val="0"/>
                <w:rPr>
                  <w:rFonts w:cs="Arial"/>
                  <w:sz w:val="22"/>
                  <w:szCs w:val="22"/>
                </w:rPr>
              </w:pPr>
              <w:r>
                <w:rPr>
                  <w:rFonts w:cs="Arial" w:hint="eastAsia"/>
                  <w:sz w:val="22"/>
                  <w:szCs w:val="22"/>
                </w:rPr>
                <w:t xml:space="preserve">本集团于资产负债表日的金融负债按未折现的合同现金流量 </w:t>
              </w:r>
              <w:r>
                <w:rPr>
                  <w:rFonts w:cs="Arial"/>
                  <w:sz w:val="22"/>
                  <w:szCs w:val="22"/>
                </w:rPr>
                <w:t>(</w:t>
              </w:r>
              <w:r>
                <w:rPr>
                  <w:rFonts w:cs="Arial" w:hint="eastAsia"/>
                  <w:sz w:val="22"/>
                  <w:szCs w:val="22"/>
                </w:rPr>
                <w:t xml:space="preserve">包括按合同利率 </w:t>
              </w:r>
              <w:r>
                <w:rPr>
                  <w:rFonts w:cs="Arial"/>
                  <w:sz w:val="22"/>
                  <w:szCs w:val="22"/>
                </w:rPr>
                <w:t>(</w:t>
              </w:r>
              <w:r>
                <w:rPr>
                  <w:rFonts w:cs="Arial" w:hint="eastAsia"/>
                  <w:sz w:val="22"/>
                  <w:szCs w:val="22"/>
                </w:rPr>
                <w:t>如果是浮动利率则按</w:t>
              </w:r>
              <w:r>
                <w:rPr>
                  <w:rFonts w:cs="Arial"/>
                  <w:sz w:val="22"/>
                  <w:szCs w:val="22"/>
                </w:rPr>
                <w:t>12</w:t>
              </w:r>
              <w:r>
                <w:rPr>
                  <w:rFonts w:cs="Arial" w:hint="eastAsia"/>
                  <w:sz w:val="22"/>
                  <w:szCs w:val="22"/>
                </w:rPr>
                <w:t>月</w:t>
              </w:r>
              <w:r>
                <w:rPr>
                  <w:rFonts w:cs="Arial"/>
                  <w:sz w:val="22"/>
                  <w:szCs w:val="22"/>
                </w:rPr>
                <w:t>31</w:t>
              </w:r>
              <w:r>
                <w:rPr>
                  <w:rFonts w:cs="Arial" w:hint="eastAsia"/>
                  <w:sz w:val="22"/>
                  <w:szCs w:val="22"/>
                </w:rPr>
                <w:t>日的现行利率</w:t>
              </w:r>
              <w:r>
                <w:rPr>
                  <w:rFonts w:cs="Arial"/>
                  <w:sz w:val="22"/>
                  <w:szCs w:val="22"/>
                </w:rPr>
                <w:t xml:space="preserve">) </w:t>
              </w:r>
              <w:r>
                <w:rPr>
                  <w:rFonts w:cs="Arial" w:hint="eastAsia"/>
                  <w:sz w:val="22"/>
                  <w:szCs w:val="22"/>
                </w:rPr>
                <w:t>计算的利息</w:t>
              </w:r>
              <w:r>
                <w:rPr>
                  <w:rFonts w:cs="Arial"/>
                  <w:sz w:val="22"/>
                  <w:szCs w:val="22"/>
                </w:rPr>
                <w:t xml:space="preserve">) </w:t>
              </w:r>
              <w:r>
                <w:rPr>
                  <w:rFonts w:cs="Arial" w:hint="eastAsia"/>
                  <w:sz w:val="22"/>
                  <w:szCs w:val="22"/>
                </w:rPr>
                <w:t>的剩余合约期限，以及被要求支付的最早日期如下：</w:t>
              </w:r>
            </w:p>
            <w:p w:rsidR="009112BF" w:rsidRDefault="009112BF" w:rsidP="003167B5">
              <w:pPr>
                <w:tabs>
                  <w:tab w:val="left" w:pos="2410"/>
                  <w:tab w:val="center" w:pos="5103"/>
                  <w:tab w:val="right" w:pos="7938"/>
                  <w:tab w:val="right" w:pos="9072"/>
                </w:tabs>
                <w:overflowPunct w:val="0"/>
                <w:adjustRightInd w:val="0"/>
                <w:snapToGrid w:val="0"/>
                <w:rPr>
                  <w:rFonts w:cs="Arial"/>
                  <w:sz w:val="22"/>
                  <w:szCs w:val="22"/>
                </w:rPr>
                <w:sectPr w:rsidR="009112BF" w:rsidSect="007C6651">
                  <w:pgSz w:w="11906" w:h="16838"/>
                  <w:pgMar w:top="1525" w:right="1276" w:bottom="1440" w:left="1797" w:header="856" w:footer="992" w:gutter="0"/>
                  <w:cols w:space="425"/>
                  <w:docGrid w:linePitch="312"/>
                </w:sectPr>
              </w:pPr>
            </w:p>
            <w:p w:rsidR="003167B5" w:rsidRDefault="003167B5" w:rsidP="003167B5">
              <w:pPr>
                <w:tabs>
                  <w:tab w:val="left" w:pos="2410"/>
                  <w:tab w:val="center" w:pos="5103"/>
                  <w:tab w:val="right" w:pos="7938"/>
                  <w:tab w:val="right" w:pos="9072"/>
                </w:tabs>
                <w:overflowPunct w:val="0"/>
                <w:adjustRightInd w:val="0"/>
                <w:snapToGrid w:val="0"/>
                <w:rPr>
                  <w:rFonts w:cs="Arial"/>
                  <w:sz w:val="22"/>
                  <w:szCs w:val="22"/>
                </w:rPr>
              </w:pPr>
            </w:p>
            <w:tbl>
              <w:tblPr>
                <w:tblW w:w="883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28" w:type="dxa"/>
                </w:tblCellMar>
                <w:tblLook w:val="04A0"/>
              </w:tblPr>
              <w:tblGrid>
                <w:gridCol w:w="2424"/>
                <w:gridCol w:w="1069"/>
                <w:gridCol w:w="1068"/>
                <w:gridCol w:w="1068"/>
                <w:gridCol w:w="1068"/>
                <w:gridCol w:w="1068"/>
                <w:gridCol w:w="1068"/>
              </w:tblGrid>
              <w:tr w:rsidR="00C01624" w:rsidRPr="00C01624" w:rsidTr="00871496">
                <w:trPr>
                  <w:jc w:val="right"/>
                </w:trPr>
                <w:tc>
                  <w:tcPr>
                    <w:tcW w:w="2424" w:type="dxa"/>
                    <w:vAlign w:val="bottom"/>
                    <w:hideMark/>
                  </w:tcPr>
                  <w:p w:rsidR="00C01624" w:rsidRPr="00C01624" w:rsidRDefault="00C01624" w:rsidP="00DB008B">
                    <w:pPr>
                      <w:snapToGrid w:val="0"/>
                      <w:ind w:left="136" w:hanging="136"/>
                      <w:rPr>
                        <w:rFonts w:ascii="Arial" w:hAnsi="Arial" w:cs="Times New Roman"/>
                        <w:lang w:val="en-GB"/>
                      </w:rPr>
                    </w:pPr>
                    <w:r w:rsidRPr="00C01624">
                      <w:rPr>
                        <w:rFonts w:ascii="微软雅黑" w:eastAsia="微软雅黑" w:hAnsi="微软雅黑" w:cs="微软雅黑" w:hint="eastAsia"/>
                        <w:sz w:val="13"/>
                        <w:lang w:val="en-GB"/>
                      </w:rPr>
                      <w:t> </w:t>
                    </w:r>
                  </w:p>
                </w:tc>
                <w:tc>
                  <w:tcPr>
                    <w:tcW w:w="5341" w:type="dxa"/>
                    <w:gridSpan w:val="5"/>
                    <w:vAlign w:val="center"/>
                    <w:hideMark/>
                  </w:tcPr>
                  <w:p w:rsidR="00C01624" w:rsidRPr="00C01624" w:rsidRDefault="00C01624" w:rsidP="00871496">
                    <w:pPr>
                      <w:snapToGrid w:val="0"/>
                      <w:jc w:val="center"/>
                      <w:rPr>
                        <w:lang w:val="en-GB"/>
                      </w:rPr>
                    </w:pPr>
                    <w:r w:rsidRPr="00C01624">
                      <w:rPr>
                        <w:sz w:val="13"/>
                        <w:lang w:val="en-GB"/>
                      </w:rPr>
                      <w:t>2022</w:t>
                    </w:r>
                    <w:r w:rsidRPr="00C01624">
                      <w:rPr>
                        <w:rFonts w:hint="eastAsia"/>
                        <w:sz w:val="13"/>
                        <w:lang w:val="en-GB"/>
                      </w:rPr>
                      <w:t>年未折现的合同现金流量</w:t>
                    </w:r>
                  </w:p>
                </w:tc>
                <w:tc>
                  <w:tcPr>
                    <w:tcW w:w="1068" w:type="dxa"/>
                    <w:vAlign w:val="bottom"/>
                    <w:hideMark/>
                  </w:tcPr>
                  <w:p w:rsidR="00C01624" w:rsidRPr="00C01624" w:rsidRDefault="00C01624" w:rsidP="00DB008B">
                    <w:pPr>
                      <w:snapToGrid w:val="0"/>
                      <w:jc w:val="right"/>
                      <w:rPr>
                        <w:lang w:val="en-GB"/>
                      </w:rPr>
                    </w:pPr>
                    <w:r w:rsidRPr="00C01624">
                      <w:rPr>
                        <w:rFonts w:ascii="微软雅黑" w:eastAsia="微软雅黑" w:hAnsi="微软雅黑" w:cs="微软雅黑" w:hint="eastAsia"/>
                        <w:sz w:val="13"/>
                        <w:lang w:val="en-GB"/>
                      </w:rPr>
                      <w:t> </w:t>
                    </w:r>
                  </w:p>
                </w:tc>
              </w:tr>
              <w:tr w:rsidR="00C01624" w:rsidRPr="00C01624" w:rsidTr="00C01624">
                <w:trPr>
                  <w:jc w:val="right"/>
                </w:trPr>
                <w:tc>
                  <w:tcPr>
                    <w:tcW w:w="2424" w:type="dxa"/>
                    <w:vAlign w:val="center"/>
                    <w:hideMark/>
                  </w:tcPr>
                  <w:p w:rsidR="00C01624" w:rsidRPr="00C01624" w:rsidRDefault="00C01624" w:rsidP="00C01624">
                    <w:pPr>
                      <w:snapToGrid w:val="0"/>
                      <w:ind w:left="136" w:hanging="136"/>
                      <w:jc w:val="center"/>
                      <w:rPr>
                        <w:lang w:val="en-GB"/>
                      </w:rPr>
                    </w:pPr>
                    <w:r w:rsidRPr="00C01624">
                      <w:rPr>
                        <w:rFonts w:hint="eastAsia"/>
                        <w:sz w:val="13"/>
                        <w:lang w:val="en-GB"/>
                      </w:rPr>
                      <w:t>项目</w:t>
                    </w:r>
                  </w:p>
                </w:tc>
                <w:tc>
                  <w:tcPr>
                    <w:tcW w:w="1069" w:type="dxa"/>
                    <w:vAlign w:val="center"/>
                    <w:hideMark/>
                  </w:tcPr>
                  <w:p w:rsidR="00C01624" w:rsidRPr="00C01624" w:rsidRDefault="00C01624" w:rsidP="00C01624">
                    <w:pPr>
                      <w:snapToGrid w:val="0"/>
                      <w:jc w:val="center"/>
                      <w:rPr>
                        <w:lang w:val="en-GB"/>
                      </w:rPr>
                    </w:pPr>
                    <w:r w:rsidRPr="00C01624">
                      <w:rPr>
                        <w:sz w:val="13"/>
                        <w:lang w:val="en-GB"/>
                      </w:rPr>
                      <w:t>1</w:t>
                    </w:r>
                    <w:r w:rsidRPr="00C01624">
                      <w:rPr>
                        <w:rFonts w:hint="eastAsia"/>
                        <w:sz w:val="13"/>
                        <w:lang w:val="en-GB"/>
                      </w:rPr>
                      <w:t>年内或</w:t>
                    </w:r>
                    <w:r w:rsidRPr="00C01624">
                      <w:rPr>
                        <w:sz w:val="13"/>
                        <w:lang w:val="en-GB"/>
                      </w:rPr>
                      <w:br/>
                    </w:r>
                    <w:r w:rsidRPr="00C01624">
                      <w:rPr>
                        <w:rFonts w:hint="eastAsia"/>
                        <w:sz w:val="13"/>
                        <w:lang w:val="en-GB"/>
                      </w:rPr>
                      <w:t>实时偿还</w:t>
                    </w:r>
                  </w:p>
                </w:tc>
                <w:tc>
                  <w:tcPr>
                    <w:tcW w:w="1068" w:type="dxa"/>
                    <w:vAlign w:val="center"/>
                    <w:hideMark/>
                  </w:tcPr>
                  <w:p w:rsidR="00C01624" w:rsidRPr="00C01624" w:rsidRDefault="00C01624" w:rsidP="00C01624">
                    <w:pPr>
                      <w:snapToGrid w:val="0"/>
                      <w:jc w:val="center"/>
                      <w:rPr>
                        <w:lang w:val="en-GB"/>
                      </w:rPr>
                    </w:pPr>
                    <w:r w:rsidRPr="00C01624">
                      <w:rPr>
                        <w:sz w:val="13"/>
                        <w:lang w:val="en-GB"/>
                      </w:rPr>
                      <w:t>1</w:t>
                    </w:r>
                    <w:r w:rsidRPr="00C01624">
                      <w:rPr>
                        <w:rFonts w:hint="eastAsia"/>
                        <w:sz w:val="13"/>
                        <w:lang w:val="en-GB"/>
                      </w:rPr>
                      <w:t>年至</w:t>
                    </w:r>
                    <w:r w:rsidRPr="00C01624">
                      <w:rPr>
                        <w:sz w:val="13"/>
                        <w:lang w:val="en-GB"/>
                      </w:rPr>
                      <w:t>2</w:t>
                    </w:r>
                    <w:r w:rsidRPr="00C01624">
                      <w:rPr>
                        <w:rFonts w:hint="eastAsia"/>
                        <w:sz w:val="13"/>
                        <w:lang w:val="en-GB"/>
                      </w:rPr>
                      <w:t>年</w:t>
                    </w:r>
                  </w:p>
                </w:tc>
                <w:tc>
                  <w:tcPr>
                    <w:tcW w:w="1068" w:type="dxa"/>
                    <w:vAlign w:val="center"/>
                    <w:hideMark/>
                  </w:tcPr>
                  <w:p w:rsidR="00C01624" w:rsidRPr="00C01624" w:rsidRDefault="00C01624" w:rsidP="00C01624">
                    <w:pPr>
                      <w:snapToGrid w:val="0"/>
                      <w:jc w:val="center"/>
                      <w:rPr>
                        <w:lang w:val="en-GB"/>
                      </w:rPr>
                    </w:pPr>
                    <w:r w:rsidRPr="00C01624">
                      <w:rPr>
                        <w:sz w:val="13"/>
                        <w:lang w:val="en-GB"/>
                      </w:rPr>
                      <w:t>2</w:t>
                    </w:r>
                    <w:r w:rsidRPr="00C01624">
                      <w:rPr>
                        <w:rFonts w:hint="eastAsia"/>
                        <w:sz w:val="13"/>
                        <w:lang w:val="en-GB"/>
                      </w:rPr>
                      <w:t>年至</w:t>
                    </w:r>
                    <w:r w:rsidRPr="00C01624">
                      <w:rPr>
                        <w:sz w:val="13"/>
                        <w:lang w:val="en-GB"/>
                      </w:rPr>
                      <w:t>5</w:t>
                    </w:r>
                    <w:r w:rsidRPr="00C01624">
                      <w:rPr>
                        <w:rFonts w:hint="eastAsia"/>
                        <w:sz w:val="13"/>
                        <w:lang w:val="en-GB"/>
                      </w:rPr>
                      <w:t>年</w:t>
                    </w:r>
                  </w:p>
                </w:tc>
                <w:tc>
                  <w:tcPr>
                    <w:tcW w:w="1068" w:type="dxa"/>
                    <w:vAlign w:val="center"/>
                    <w:hideMark/>
                  </w:tcPr>
                  <w:p w:rsidR="00C01624" w:rsidRPr="00C01624" w:rsidRDefault="00C01624" w:rsidP="00C01624">
                    <w:pPr>
                      <w:snapToGrid w:val="0"/>
                      <w:jc w:val="center"/>
                      <w:rPr>
                        <w:lang w:val="en-GB"/>
                      </w:rPr>
                    </w:pPr>
                    <w:r w:rsidRPr="00C01624">
                      <w:rPr>
                        <w:sz w:val="13"/>
                        <w:lang w:val="en-GB"/>
                      </w:rPr>
                      <w:t>5</w:t>
                    </w:r>
                    <w:r w:rsidRPr="00C01624">
                      <w:rPr>
                        <w:rFonts w:hint="eastAsia"/>
                        <w:sz w:val="13"/>
                        <w:lang w:val="en-GB"/>
                      </w:rPr>
                      <w:t>年以上</w:t>
                    </w:r>
                  </w:p>
                </w:tc>
                <w:tc>
                  <w:tcPr>
                    <w:tcW w:w="1068" w:type="dxa"/>
                    <w:vAlign w:val="center"/>
                    <w:hideMark/>
                  </w:tcPr>
                  <w:p w:rsidR="00C01624" w:rsidRPr="00C01624" w:rsidRDefault="00C01624" w:rsidP="00C01624">
                    <w:pPr>
                      <w:snapToGrid w:val="0"/>
                      <w:jc w:val="center"/>
                      <w:rPr>
                        <w:lang w:val="en-GB"/>
                      </w:rPr>
                    </w:pPr>
                    <w:r w:rsidRPr="00C01624">
                      <w:rPr>
                        <w:rFonts w:hint="eastAsia"/>
                        <w:sz w:val="13"/>
                        <w:lang w:val="en-GB"/>
                      </w:rPr>
                      <w:t>合计</w:t>
                    </w:r>
                  </w:p>
                </w:tc>
                <w:tc>
                  <w:tcPr>
                    <w:tcW w:w="1068" w:type="dxa"/>
                    <w:vAlign w:val="center"/>
                    <w:hideMark/>
                  </w:tcPr>
                  <w:p w:rsidR="00C01624" w:rsidRPr="00C01624" w:rsidRDefault="00C01624" w:rsidP="00C01624">
                    <w:pPr>
                      <w:snapToGrid w:val="0"/>
                      <w:jc w:val="center"/>
                      <w:rPr>
                        <w:lang w:val="en-GB"/>
                      </w:rPr>
                    </w:pPr>
                    <w:r w:rsidRPr="00C01624">
                      <w:rPr>
                        <w:rFonts w:hint="eastAsia"/>
                        <w:sz w:val="13"/>
                        <w:lang w:val="en-GB"/>
                      </w:rPr>
                      <w:t>账面价值</w:t>
                    </w:r>
                  </w:p>
                </w:tc>
              </w:tr>
              <w:tr w:rsidR="00C01624" w:rsidRPr="00C01624" w:rsidTr="00C01624">
                <w:trPr>
                  <w:jc w:val="right"/>
                </w:trPr>
                <w:tc>
                  <w:tcPr>
                    <w:tcW w:w="2424" w:type="dxa"/>
                    <w:vAlign w:val="bottom"/>
                    <w:hideMark/>
                  </w:tcPr>
                  <w:p w:rsidR="00C01624" w:rsidRPr="00C01624" w:rsidRDefault="00C01624" w:rsidP="00DB008B">
                    <w:pPr>
                      <w:snapToGrid w:val="0"/>
                      <w:ind w:left="136" w:hanging="136"/>
                      <w:rPr>
                        <w:lang w:val="en-GB"/>
                      </w:rPr>
                    </w:pPr>
                    <w:r w:rsidRPr="00C01624">
                      <w:rPr>
                        <w:rFonts w:hint="eastAsia"/>
                        <w:sz w:val="13"/>
                        <w:lang w:val="en-GB"/>
                      </w:rPr>
                      <w:t>应付票据</w:t>
                    </w:r>
                  </w:p>
                </w:tc>
                <w:tc>
                  <w:tcPr>
                    <w:tcW w:w="1069" w:type="dxa"/>
                    <w:vAlign w:val="bottom"/>
                    <w:hideMark/>
                  </w:tcPr>
                  <w:p w:rsidR="00C01624" w:rsidRPr="00C01624" w:rsidRDefault="00C01624" w:rsidP="00871496">
                    <w:pPr>
                      <w:snapToGrid w:val="0"/>
                      <w:ind w:right="65"/>
                      <w:jc w:val="right"/>
                      <w:rPr>
                        <w:lang w:val="en-GB"/>
                      </w:rPr>
                    </w:pPr>
                    <w:r w:rsidRPr="00C01624">
                      <w:rPr>
                        <w:sz w:val="13"/>
                        <w:lang w:val="en-GB"/>
                      </w:rPr>
                      <w:t>1,436,875,670</w:t>
                    </w:r>
                  </w:p>
                </w:tc>
                <w:tc>
                  <w:tcPr>
                    <w:tcW w:w="1068" w:type="dxa"/>
                    <w:vAlign w:val="bottom"/>
                    <w:hideMark/>
                  </w:tcPr>
                  <w:p w:rsidR="00C01624" w:rsidRPr="00C01624" w:rsidRDefault="00C01624" w:rsidP="00871496">
                    <w:pPr>
                      <w:snapToGrid w:val="0"/>
                      <w:ind w:right="79"/>
                      <w:jc w:val="right"/>
                      <w:rPr>
                        <w:lang w:val="en-GB"/>
                      </w:rPr>
                    </w:pPr>
                    <w:r w:rsidRPr="00C01624">
                      <w:rPr>
                        <w:sz w:val="13"/>
                        <w:lang w:val="en-GB"/>
                      </w:rPr>
                      <w:t>0</w:t>
                    </w:r>
                  </w:p>
                </w:tc>
                <w:tc>
                  <w:tcPr>
                    <w:tcW w:w="1068" w:type="dxa"/>
                    <w:vAlign w:val="bottom"/>
                    <w:hideMark/>
                  </w:tcPr>
                  <w:p w:rsidR="00C01624" w:rsidRPr="00C01624" w:rsidRDefault="00C01624" w:rsidP="00871496">
                    <w:pPr>
                      <w:snapToGrid w:val="0"/>
                      <w:ind w:right="60"/>
                      <w:jc w:val="right"/>
                      <w:rPr>
                        <w:lang w:val="en-GB"/>
                      </w:rPr>
                    </w:pPr>
                    <w:r w:rsidRPr="00C01624">
                      <w:rPr>
                        <w:sz w:val="13"/>
                        <w:lang w:val="en-GB"/>
                      </w:rPr>
                      <w:t>0</w:t>
                    </w:r>
                  </w:p>
                </w:tc>
                <w:tc>
                  <w:tcPr>
                    <w:tcW w:w="1068" w:type="dxa"/>
                    <w:vAlign w:val="bottom"/>
                    <w:hideMark/>
                  </w:tcPr>
                  <w:p w:rsidR="00C01624" w:rsidRPr="00C01624" w:rsidRDefault="00C01624" w:rsidP="00871496">
                    <w:pPr>
                      <w:snapToGrid w:val="0"/>
                      <w:ind w:right="89"/>
                      <w:jc w:val="right"/>
                      <w:rPr>
                        <w:lang w:val="en-GB"/>
                      </w:rPr>
                    </w:pPr>
                    <w:r w:rsidRPr="00C01624">
                      <w:rPr>
                        <w:sz w:val="13"/>
                        <w:lang w:val="en-GB"/>
                      </w:rPr>
                      <w:t>0</w:t>
                    </w:r>
                  </w:p>
                </w:tc>
                <w:tc>
                  <w:tcPr>
                    <w:tcW w:w="1068" w:type="dxa"/>
                    <w:vAlign w:val="bottom"/>
                    <w:hideMark/>
                  </w:tcPr>
                  <w:p w:rsidR="00C01624" w:rsidRPr="00C01624" w:rsidRDefault="00C01624" w:rsidP="00871496">
                    <w:pPr>
                      <w:snapToGrid w:val="0"/>
                      <w:ind w:right="70"/>
                      <w:jc w:val="right"/>
                      <w:rPr>
                        <w:lang w:val="en-GB"/>
                      </w:rPr>
                    </w:pPr>
                    <w:r w:rsidRPr="00C01624">
                      <w:rPr>
                        <w:sz w:val="13"/>
                        <w:lang w:val="en-GB"/>
                      </w:rPr>
                      <w:t>1,436,875,670</w:t>
                    </w:r>
                  </w:p>
                </w:tc>
                <w:tc>
                  <w:tcPr>
                    <w:tcW w:w="1068" w:type="dxa"/>
                    <w:vAlign w:val="bottom"/>
                    <w:hideMark/>
                  </w:tcPr>
                  <w:p w:rsidR="00C01624" w:rsidRPr="00C01624" w:rsidRDefault="00C01624" w:rsidP="00871496">
                    <w:pPr>
                      <w:snapToGrid w:val="0"/>
                      <w:ind w:right="56"/>
                      <w:jc w:val="right"/>
                      <w:rPr>
                        <w:lang w:val="en-GB"/>
                      </w:rPr>
                    </w:pPr>
                    <w:r w:rsidRPr="00C01624">
                      <w:rPr>
                        <w:sz w:val="13"/>
                        <w:lang w:val="en-GB"/>
                      </w:rPr>
                      <w:t>1,436,875,670</w:t>
                    </w:r>
                  </w:p>
                </w:tc>
              </w:tr>
              <w:tr w:rsidR="00C01624" w:rsidRPr="00C01624" w:rsidTr="00C01624">
                <w:trPr>
                  <w:jc w:val="right"/>
                </w:trPr>
                <w:tc>
                  <w:tcPr>
                    <w:tcW w:w="2424" w:type="dxa"/>
                    <w:vAlign w:val="bottom"/>
                    <w:hideMark/>
                  </w:tcPr>
                  <w:p w:rsidR="00C01624" w:rsidRPr="00C01624" w:rsidRDefault="00C01624" w:rsidP="00DB008B">
                    <w:pPr>
                      <w:snapToGrid w:val="0"/>
                      <w:ind w:left="136" w:hanging="136"/>
                      <w:rPr>
                        <w:lang w:val="en-GB"/>
                      </w:rPr>
                    </w:pPr>
                    <w:r w:rsidRPr="00C01624">
                      <w:rPr>
                        <w:rFonts w:hint="eastAsia"/>
                        <w:sz w:val="13"/>
                        <w:lang w:val="en-GB"/>
                      </w:rPr>
                      <w:t>应付账款</w:t>
                    </w:r>
                  </w:p>
                </w:tc>
                <w:tc>
                  <w:tcPr>
                    <w:tcW w:w="1069" w:type="dxa"/>
                    <w:vAlign w:val="bottom"/>
                    <w:hideMark/>
                  </w:tcPr>
                  <w:p w:rsidR="00C01624" w:rsidRPr="00C01624" w:rsidRDefault="00C01624" w:rsidP="00871496">
                    <w:pPr>
                      <w:snapToGrid w:val="0"/>
                      <w:ind w:right="65"/>
                      <w:jc w:val="right"/>
                      <w:rPr>
                        <w:lang w:val="en-GB"/>
                      </w:rPr>
                    </w:pPr>
                    <w:r w:rsidRPr="00C01624">
                      <w:rPr>
                        <w:sz w:val="13"/>
                        <w:lang w:val="en-GB"/>
                      </w:rPr>
                      <w:t>4,497,869,874</w:t>
                    </w:r>
                  </w:p>
                </w:tc>
                <w:tc>
                  <w:tcPr>
                    <w:tcW w:w="1068" w:type="dxa"/>
                    <w:vAlign w:val="bottom"/>
                    <w:hideMark/>
                  </w:tcPr>
                  <w:p w:rsidR="00C01624" w:rsidRPr="00C01624" w:rsidRDefault="00C01624" w:rsidP="00871496">
                    <w:pPr>
                      <w:snapToGrid w:val="0"/>
                      <w:ind w:right="79"/>
                      <w:jc w:val="right"/>
                      <w:rPr>
                        <w:lang w:val="en-GB"/>
                      </w:rPr>
                    </w:pPr>
                    <w:r w:rsidRPr="00C01624">
                      <w:rPr>
                        <w:sz w:val="13"/>
                        <w:lang w:val="en-GB"/>
                      </w:rPr>
                      <w:t>0</w:t>
                    </w:r>
                  </w:p>
                </w:tc>
                <w:tc>
                  <w:tcPr>
                    <w:tcW w:w="1068" w:type="dxa"/>
                    <w:vAlign w:val="bottom"/>
                    <w:hideMark/>
                  </w:tcPr>
                  <w:p w:rsidR="00C01624" w:rsidRPr="00C01624" w:rsidRDefault="00C01624" w:rsidP="00871496">
                    <w:pPr>
                      <w:snapToGrid w:val="0"/>
                      <w:ind w:right="60"/>
                      <w:jc w:val="right"/>
                      <w:rPr>
                        <w:lang w:val="en-GB"/>
                      </w:rPr>
                    </w:pPr>
                    <w:r w:rsidRPr="00C01624">
                      <w:rPr>
                        <w:sz w:val="13"/>
                        <w:lang w:val="en-GB"/>
                      </w:rPr>
                      <w:t>0</w:t>
                    </w:r>
                  </w:p>
                </w:tc>
                <w:tc>
                  <w:tcPr>
                    <w:tcW w:w="1068" w:type="dxa"/>
                    <w:vAlign w:val="bottom"/>
                    <w:hideMark/>
                  </w:tcPr>
                  <w:p w:rsidR="00C01624" w:rsidRPr="00C01624" w:rsidRDefault="00C01624" w:rsidP="00871496">
                    <w:pPr>
                      <w:snapToGrid w:val="0"/>
                      <w:ind w:right="89"/>
                      <w:jc w:val="right"/>
                      <w:rPr>
                        <w:lang w:val="en-GB"/>
                      </w:rPr>
                    </w:pPr>
                    <w:r w:rsidRPr="00C01624">
                      <w:rPr>
                        <w:sz w:val="13"/>
                        <w:lang w:val="en-GB"/>
                      </w:rPr>
                      <w:t>0</w:t>
                    </w:r>
                  </w:p>
                </w:tc>
                <w:tc>
                  <w:tcPr>
                    <w:tcW w:w="1068" w:type="dxa"/>
                    <w:vAlign w:val="bottom"/>
                    <w:hideMark/>
                  </w:tcPr>
                  <w:p w:rsidR="00C01624" w:rsidRPr="00C01624" w:rsidRDefault="00C01624" w:rsidP="00871496">
                    <w:pPr>
                      <w:snapToGrid w:val="0"/>
                      <w:ind w:right="70"/>
                      <w:jc w:val="right"/>
                      <w:rPr>
                        <w:lang w:val="en-GB"/>
                      </w:rPr>
                    </w:pPr>
                    <w:r w:rsidRPr="00C01624">
                      <w:rPr>
                        <w:sz w:val="13"/>
                        <w:lang w:val="en-GB"/>
                      </w:rPr>
                      <w:t>4,497,869,874</w:t>
                    </w:r>
                  </w:p>
                </w:tc>
                <w:tc>
                  <w:tcPr>
                    <w:tcW w:w="1068" w:type="dxa"/>
                    <w:vAlign w:val="bottom"/>
                    <w:hideMark/>
                  </w:tcPr>
                  <w:p w:rsidR="00C01624" w:rsidRPr="00C01624" w:rsidRDefault="00C01624" w:rsidP="00871496">
                    <w:pPr>
                      <w:snapToGrid w:val="0"/>
                      <w:ind w:right="56"/>
                      <w:jc w:val="right"/>
                      <w:rPr>
                        <w:lang w:val="en-GB"/>
                      </w:rPr>
                    </w:pPr>
                    <w:r w:rsidRPr="00C01624">
                      <w:rPr>
                        <w:sz w:val="13"/>
                        <w:lang w:val="en-GB"/>
                      </w:rPr>
                      <w:t>4,497,869,874</w:t>
                    </w:r>
                  </w:p>
                </w:tc>
              </w:tr>
              <w:tr w:rsidR="00C01624" w:rsidRPr="00C01624" w:rsidTr="00C01624">
                <w:trPr>
                  <w:jc w:val="right"/>
                </w:trPr>
                <w:tc>
                  <w:tcPr>
                    <w:tcW w:w="2424" w:type="dxa"/>
                    <w:vAlign w:val="bottom"/>
                    <w:hideMark/>
                  </w:tcPr>
                  <w:p w:rsidR="00C01624" w:rsidRPr="00C01624" w:rsidRDefault="00C01624" w:rsidP="00DB008B">
                    <w:pPr>
                      <w:snapToGrid w:val="0"/>
                      <w:ind w:left="136" w:hanging="136"/>
                      <w:rPr>
                        <w:lang w:val="en-GB"/>
                      </w:rPr>
                    </w:pPr>
                    <w:r w:rsidRPr="00C01624">
                      <w:rPr>
                        <w:rFonts w:hint="eastAsia"/>
                        <w:sz w:val="13"/>
                        <w:lang w:val="en-GB"/>
                      </w:rPr>
                      <w:t>其他应付款</w:t>
                    </w:r>
                  </w:p>
                </w:tc>
                <w:tc>
                  <w:tcPr>
                    <w:tcW w:w="1069" w:type="dxa"/>
                    <w:vAlign w:val="bottom"/>
                    <w:hideMark/>
                  </w:tcPr>
                  <w:p w:rsidR="00C01624" w:rsidRPr="00C01624" w:rsidRDefault="00C01624" w:rsidP="00871496">
                    <w:pPr>
                      <w:snapToGrid w:val="0"/>
                      <w:ind w:right="65"/>
                      <w:jc w:val="right"/>
                      <w:rPr>
                        <w:lang w:val="en-GB"/>
                      </w:rPr>
                    </w:pPr>
                    <w:r w:rsidRPr="00C01624">
                      <w:rPr>
                        <w:sz w:val="13"/>
                        <w:lang w:val="en-GB"/>
                      </w:rPr>
                      <w:t>4,820,133,840</w:t>
                    </w:r>
                  </w:p>
                </w:tc>
                <w:tc>
                  <w:tcPr>
                    <w:tcW w:w="1068" w:type="dxa"/>
                    <w:vAlign w:val="bottom"/>
                    <w:hideMark/>
                  </w:tcPr>
                  <w:p w:rsidR="00C01624" w:rsidRPr="00C01624" w:rsidRDefault="00C01624" w:rsidP="00871496">
                    <w:pPr>
                      <w:snapToGrid w:val="0"/>
                      <w:ind w:right="79"/>
                      <w:jc w:val="right"/>
                      <w:rPr>
                        <w:lang w:val="en-GB"/>
                      </w:rPr>
                    </w:pPr>
                    <w:r w:rsidRPr="00C01624">
                      <w:rPr>
                        <w:sz w:val="13"/>
                        <w:lang w:val="en-GB"/>
                      </w:rPr>
                      <w:t>0</w:t>
                    </w:r>
                  </w:p>
                </w:tc>
                <w:tc>
                  <w:tcPr>
                    <w:tcW w:w="1068" w:type="dxa"/>
                    <w:vAlign w:val="bottom"/>
                    <w:hideMark/>
                  </w:tcPr>
                  <w:p w:rsidR="00C01624" w:rsidRPr="00C01624" w:rsidRDefault="00C01624" w:rsidP="00871496">
                    <w:pPr>
                      <w:snapToGrid w:val="0"/>
                      <w:ind w:right="60"/>
                      <w:jc w:val="right"/>
                      <w:rPr>
                        <w:lang w:val="en-GB"/>
                      </w:rPr>
                    </w:pPr>
                    <w:r w:rsidRPr="00C01624">
                      <w:rPr>
                        <w:sz w:val="13"/>
                        <w:lang w:val="en-GB"/>
                      </w:rPr>
                      <w:t>0</w:t>
                    </w:r>
                  </w:p>
                </w:tc>
                <w:tc>
                  <w:tcPr>
                    <w:tcW w:w="1068" w:type="dxa"/>
                    <w:vAlign w:val="bottom"/>
                    <w:hideMark/>
                  </w:tcPr>
                  <w:p w:rsidR="00C01624" w:rsidRPr="00C01624" w:rsidRDefault="00C01624" w:rsidP="00871496">
                    <w:pPr>
                      <w:snapToGrid w:val="0"/>
                      <w:ind w:right="89"/>
                      <w:jc w:val="right"/>
                      <w:rPr>
                        <w:lang w:val="en-GB"/>
                      </w:rPr>
                    </w:pPr>
                    <w:r w:rsidRPr="00C01624">
                      <w:rPr>
                        <w:sz w:val="13"/>
                        <w:lang w:val="en-GB"/>
                      </w:rPr>
                      <w:t>0</w:t>
                    </w:r>
                  </w:p>
                </w:tc>
                <w:tc>
                  <w:tcPr>
                    <w:tcW w:w="1068" w:type="dxa"/>
                    <w:vAlign w:val="bottom"/>
                    <w:hideMark/>
                  </w:tcPr>
                  <w:p w:rsidR="00C01624" w:rsidRPr="00C01624" w:rsidRDefault="00C01624" w:rsidP="00871496">
                    <w:pPr>
                      <w:snapToGrid w:val="0"/>
                      <w:ind w:right="70"/>
                      <w:jc w:val="right"/>
                      <w:rPr>
                        <w:lang w:val="en-GB"/>
                      </w:rPr>
                    </w:pPr>
                    <w:r w:rsidRPr="00C01624">
                      <w:rPr>
                        <w:sz w:val="13"/>
                        <w:lang w:val="en-GB"/>
                      </w:rPr>
                      <w:t>4,820,133,840</w:t>
                    </w:r>
                  </w:p>
                </w:tc>
                <w:tc>
                  <w:tcPr>
                    <w:tcW w:w="1068" w:type="dxa"/>
                    <w:vAlign w:val="bottom"/>
                    <w:hideMark/>
                  </w:tcPr>
                  <w:p w:rsidR="00C01624" w:rsidRPr="00C01624" w:rsidRDefault="00C01624" w:rsidP="00871496">
                    <w:pPr>
                      <w:snapToGrid w:val="0"/>
                      <w:ind w:right="56"/>
                      <w:jc w:val="right"/>
                      <w:rPr>
                        <w:lang w:val="en-GB"/>
                      </w:rPr>
                    </w:pPr>
                    <w:r w:rsidRPr="00C01624">
                      <w:rPr>
                        <w:sz w:val="13"/>
                        <w:lang w:val="en-GB"/>
                      </w:rPr>
                      <w:t>4,820,133,840</w:t>
                    </w:r>
                  </w:p>
                </w:tc>
              </w:tr>
              <w:tr w:rsidR="00C01624" w:rsidRPr="00C01624" w:rsidTr="00C01624">
                <w:trPr>
                  <w:jc w:val="right"/>
                </w:trPr>
                <w:tc>
                  <w:tcPr>
                    <w:tcW w:w="2424" w:type="dxa"/>
                    <w:vAlign w:val="bottom"/>
                    <w:hideMark/>
                  </w:tcPr>
                  <w:p w:rsidR="00C01624" w:rsidRPr="00C01624" w:rsidRDefault="00C01624" w:rsidP="00DB008B">
                    <w:pPr>
                      <w:snapToGrid w:val="0"/>
                      <w:ind w:left="136" w:hanging="136"/>
                      <w:rPr>
                        <w:lang w:val="en-GB"/>
                      </w:rPr>
                    </w:pPr>
                    <w:r w:rsidRPr="00C01624">
                      <w:rPr>
                        <w:rFonts w:hint="eastAsia"/>
                        <w:sz w:val="13"/>
                        <w:lang w:val="en-GB"/>
                      </w:rPr>
                      <w:t>短期借款</w:t>
                    </w:r>
                  </w:p>
                </w:tc>
                <w:tc>
                  <w:tcPr>
                    <w:tcW w:w="1069" w:type="dxa"/>
                    <w:vAlign w:val="bottom"/>
                    <w:hideMark/>
                  </w:tcPr>
                  <w:p w:rsidR="00C01624" w:rsidRPr="00C01624" w:rsidRDefault="00C01624" w:rsidP="00871496">
                    <w:pPr>
                      <w:snapToGrid w:val="0"/>
                      <w:ind w:right="65"/>
                      <w:jc w:val="right"/>
                      <w:rPr>
                        <w:lang w:val="en-GB"/>
                      </w:rPr>
                    </w:pPr>
                    <w:r w:rsidRPr="00C01624">
                      <w:rPr>
                        <w:sz w:val="13"/>
                        <w:lang w:val="en-GB"/>
                      </w:rPr>
                      <w:t>225,714,128</w:t>
                    </w:r>
                  </w:p>
                </w:tc>
                <w:tc>
                  <w:tcPr>
                    <w:tcW w:w="1068" w:type="dxa"/>
                    <w:vAlign w:val="bottom"/>
                    <w:hideMark/>
                  </w:tcPr>
                  <w:p w:rsidR="00C01624" w:rsidRPr="00C01624" w:rsidRDefault="00C01624" w:rsidP="00871496">
                    <w:pPr>
                      <w:snapToGrid w:val="0"/>
                      <w:ind w:right="79"/>
                      <w:jc w:val="right"/>
                      <w:rPr>
                        <w:lang w:val="en-GB"/>
                      </w:rPr>
                    </w:pPr>
                    <w:r w:rsidRPr="00C01624">
                      <w:rPr>
                        <w:sz w:val="13"/>
                        <w:lang w:val="en-GB"/>
                      </w:rPr>
                      <w:t>0</w:t>
                    </w:r>
                  </w:p>
                </w:tc>
                <w:tc>
                  <w:tcPr>
                    <w:tcW w:w="1068" w:type="dxa"/>
                    <w:vAlign w:val="bottom"/>
                    <w:hideMark/>
                  </w:tcPr>
                  <w:p w:rsidR="00C01624" w:rsidRPr="00C01624" w:rsidRDefault="00C01624" w:rsidP="00871496">
                    <w:pPr>
                      <w:snapToGrid w:val="0"/>
                      <w:ind w:right="60"/>
                      <w:jc w:val="right"/>
                      <w:rPr>
                        <w:lang w:val="en-GB"/>
                      </w:rPr>
                    </w:pPr>
                    <w:r w:rsidRPr="00C01624">
                      <w:rPr>
                        <w:sz w:val="13"/>
                        <w:lang w:val="en-GB"/>
                      </w:rPr>
                      <w:t>0</w:t>
                    </w:r>
                  </w:p>
                </w:tc>
                <w:tc>
                  <w:tcPr>
                    <w:tcW w:w="1068" w:type="dxa"/>
                    <w:vAlign w:val="bottom"/>
                    <w:hideMark/>
                  </w:tcPr>
                  <w:p w:rsidR="00C01624" w:rsidRPr="00C01624" w:rsidRDefault="00C01624" w:rsidP="00871496">
                    <w:pPr>
                      <w:snapToGrid w:val="0"/>
                      <w:ind w:right="89"/>
                      <w:jc w:val="right"/>
                      <w:rPr>
                        <w:lang w:val="en-GB"/>
                      </w:rPr>
                    </w:pPr>
                    <w:r w:rsidRPr="00C01624">
                      <w:rPr>
                        <w:sz w:val="13"/>
                        <w:lang w:val="en-GB"/>
                      </w:rPr>
                      <w:t>0</w:t>
                    </w:r>
                  </w:p>
                </w:tc>
                <w:tc>
                  <w:tcPr>
                    <w:tcW w:w="1068" w:type="dxa"/>
                    <w:vAlign w:val="bottom"/>
                    <w:hideMark/>
                  </w:tcPr>
                  <w:p w:rsidR="00C01624" w:rsidRPr="00C01624" w:rsidRDefault="00C01624" w:rsidP="00871496">
                    <w:pPr>
                      <w:snapToGrid w:val="0"/>
                      <w:ind w:right="70"/>
                      <w:jc w:val="right"/>
                      <w:rPr>
                        <w:lang w:val="en-GB"/>
                      </w:rPr>
                    </w:pPr>
                    <w:r w:rsidRPr="00C01624">
                      <w:rPr>
                        <w:sz w:val="13"/>
                        <w:lang w:val="en-GB"/>
                      </w:rPr>
                      <w:t>225,714,128</w:t>
                    </w:r>
                  </w:p>
                </w:tc>
                <w:tc>
                  <w:tcPr>
                    <w:tcW w:w="1068" w:type="dxa"/>
                    <w:vAlign w:val="bottom"/>
                    <w:hideMark/>
                  </w:tcPr>
                  <w:p w:rsidR="00C01624" w:rsidRPr="00C01624" w:rsidRDefault="00C01624" w:rsidP="00871496">
                    <w:pPr>
                      <w:snapToGrid w:val="0"/>
                      <w:ind w:right="56"/>
                      <w:jc w:val="right"/>
                      <w:rPr>
                        <w:lang w:val="en-GB"/>
                      </w:rPr>
                    </w:pPr>
                    <w:r w:rsidRPr="00C01624">
                      <w:rPr>
                        <w:sz w:val="13"/>
                        <w:lang w:val="en-GB"/>
                      </w:rPr>
                      <w:t>223,517,167</w:t>
                    </w:r>
                  </w:p>
                </w:tc>
              </w:tr>
              <w:tr w:rsidR="00C01624" w:rsidRPr="00C01624" w:rsidTr="00C01624">
                <w:trPr>
                  <w:jc w:val="right"/>
                </w:trPr>
                <w:tc>
                  <w:tcPr>
                    <w:tcW w:w="2424" w:type="dxa"/>
                    <w:vAlign w:val="bottom"/>
                    <w:hideMark/>
                  </w:tcPr>
                  <w:p w:rsidR="00C01624" w:rsidRPr="00C01624" w:rsidRDefault="00C01624" w:rsidP="00DB008B">
                    <w:pPr>
                      <w:snapToGrid w:val="0"/>
                      <w:ind w:left="136" w:hanging="136"/>
                      <w:rPr>
                        <w:lang w:val="en-GB"/>
                      </w:rPr>
                    </w:pPr>
                    <w:r w:rsidRPr="00C01624">
                      <w:rPr>
                        <w:rFonts w:hint="eastAsia"/>
                        <w:sz w:val="13"/>
                        <w:lang w:val="en-GB"/>
                      </w:rPr>
                      <w:t>长期借款</w:t>
                    </w:r>
                  </w:p>
                </w:tc>
                <w:tc>
                  <w:tcPr>
                    <w:tcW w:w="1069" w:type="dxa"/>
                    <w:vAlign w:val="bottom"/>
                    <w:hideMark/>
                  </w:tcPr>
                  <w:p w:rsidR="00C01624" w:rsidRPr="00C01624" w:rsidRDefault="00C01624" w:rsidP="00871496">
                    <w:pPr>
                      <w:snapToGrid w:val="0"/>
                      <w:ind w:right="65"/>
                      <w:jc w:val="right"/>
                      <w:rPr>
                        <w:lang w:val="en-GB"/>
                      </w:rPr>
                    </w:pPr>
                    <w:r w:rsidRPr="00C01624">
                      <w:rPr>
                        <w:sz w:val="13"/>
                        <w:lang w:val="en-GB"/>
                      </w:rPr>
                      <w:t>1,197,237,702</w:t>
                    </w:r>
                  </w:p>
                </w:tc>
                <w:tc>
                  <w:tcPr>
                    <w:tcW w:w="1068" w:type="dxa"/>
                    <w:vAlign w:val="bottom"/>
                    <w:hideMark/>
                  </w:tcPr>
                  <w:p w:rsidR="00C01624" w:rsidRPr="00C01624" w:rsidRDefault="00C01624" w:rsidP="00871496">
                    <w:pPr>
                      <w:snapToGrid w:val="0"/>
                      <w:ind w:right="79"/>
                      <w:jc w:val="right"/>
                      <w:rPr>
                        <w:lang w:val="en-GB"/>
                      </w:rPr>
                    </w:pPr>
                    <w:r w:rsidRPr="00C01624">
                      <w:rPr>
                        <w:sz w:val="13"/>
                        <w:lang w:val="en-GB"/>
                      </w:rPr>
                      <w:t>1,774,361,443</w:t>
                    </w:r>
                  </w:p>
                </w:tc>
                <w:tc>
                  <w:tcPr>
                    <w:tcW w:w="1068" w:type="dxa"/>
                    <w:vAlign w:val="bottom"/>
                    <w:hideMark/>
                  </w:tcPr>
                  <w:p w:rsidR="00C01624" w:rsidRPr="00C01624" w:rsidRDefault="00C01624" w:rsidP="00871496">
                    <w:pPr>
                      <w:snapToGrid w:val="0"/>
                      <w:ind w:right="60"/>
                      <w:jc w:val="right"/>
                      <w:rPr>
                        <w:lang w:val="en-GB"/>
                      </w:rPr>
                    </w:pPr>
                    <w:r w:rsidRPr="00C01624">
                      <w:rPr>
                        <w:sz w:val="13"/>
                        <w:lang w:val="en-GB"/>
                      </w:rPr>
                      <w:t>5,453,294,573</w:t>
                    </w:r>
                  </w:p>
                </w:tc>
                <w:tc>
                  <w:tcPr>
                    <w:tcW w:w="1068" w:type="dxa"/>
                    <w:vAlign w:val="bottom"/>
                    <w:hideMark/>
                  </w:tcPr>
                  <w:p w:rsidR="00C01624" w:rsidRPr="00C01624" w:rsidRDefault="00C01624" w:rsidP="00871496">
                    <w:pPr>
                      <w:snapToGrid w:val="0"/>
                      <w:ind w:right="89"/>
                      <w:jc w:val="right"/>
                      <w:rPr>
                        <w:lang w:val="en-GB"/>
                      </w:rPr>
                    </w:pPr>
                    <w:r w:rsidRPr="00C01624">
                      <w:rPr>
                        <w:sz w:val="13"/>
                        <w:lang w:val="en-GB"/>
                      </w:rPr>
                      <w:t>5,280,742,020</w:t>
                    </w:r>
                  </w:p>
                </w:tc>
                <w:tc>
                  <w:tcPr>
                    <w:tcW w:w="1068" w:type="dxa"/>
                    <w:vAlign w:val="bottom"/>
                    <w:hideMark/>
                  </w:tcPr>
                  <w:p w:rsidR="00C01624" w:rsidRPr="00C01624" w:rsidRDefault="00C01624" w:rsidP="00871496">
                    <w:pPr>
                      <w:snapToGrid w:val="0"/>
                      <w:ind w:right="70"/>
                      <w:jc w:val="right"/>
                      <w:rPr>
                        <w:lang w:val="en-GB"/>
                      </w:rPr>
                    </w:pPr>
                    <w:r w:rsidRPr="00C01624">
                      <w:rPr>
                        <w:sz w:val="13"/>
                        <w:lang w:val="en-GB"/>
                      </w:rPr>
                      <w:t>13,705,635,738</w:t>
                    </w:r>
                  </w:p>
                </w:tc>
                <w:tc>
                  <w:tcPr>
                    <w:tcW w:w="1068" w:type="dxa"/>
                    <w:vAlign w:val="bottom"/>
                    <w:hideMark/>
                  </w:tcPr>
                  <w:p w:rsidR="00C01624" w:rsidRPr="00C01624" w:rsidRDefault="00C01624" w:rsidP="00871496">
                    <w:pPr>
                      <w:snapToGrid w:val="0"/>
                      <w:ind w:right="56"/>
                      <w:jc w:val="right"/>
                      <w:rPr>
                        <w:lang w:val="en-GB"/>
                      </w:rPr>
                    </w:pPr>
                    <w:r w:rsidRPr="00C01624">
                      <w:rPr>
                        <w:sz w:val="13"/>
                        <w:lang w:val="en-GB"/>
                      </w:rPr>
                      <w:t>11,682,740,036</w:t>
                    </w:r>
                  </w:p>
                </w:tc>
              </w:tr>
              <w:tr w:rsidR="00C01624" w:rsidRPr="00C01624" w:rsidTr="00C01624">
                <w:trPr>
                  <w:jc w:val="right"/>
                </w:trPr>
                <w:tc>
                  <w:tcPr>
                    <w:tcW w:w="2424" w:type="dxa"/>
                    <w:vAlign w:val="bottom"/>
                    <w:hideMark/>
                  </w:tcPr>
                  <w:p w:rsidR="00C01624" w:rsidRPr="00C01624" w:rsidRDefault="00C01624" w:rsidP="00DB008B">
                    <w:pPr>
                      <w:snapToGrid w:val="0"/>
                      <w:ind w:left="136" w:hanging="136"/>
                      <w:rPr>
                        <w:lang w:val="en-GB"/>
                      </w:rPr>
                    </w:pPr>
                    <w:r w:rsidRPr="00C01624">
                      <w:rPr>
                        <w:rFonts w:hint="eastAsia"/>
                        <w:sz w:val="13"/>
                        <w:lang w:val="en-GB"/>
                      </w:rPr>
                      <w:t>应付债券</w:t>
                    </w:r>
                  </w:p>
                </w:tc>
                <w:tc>
                  <w:tcPr>
                    <w:tcW w:w="1069" w:type="dxa"/>
                    <w:vAlign w:val="bottom"/>
                    <w:hideMark/>
                  </w:tcPr>
                  <w:p w:rsidR="00C01624" w:rsidRPr="00C01624" w:rsidRDefault="00C01624" w:rsidP="00871496">
                    <w:pPr>
                      <w:snapToGrid w:val="0"/>
                      <w:ind w:right="65"/>
                      <w:jc w:val="right"/>
                      <w:rPr>
                        <w:lang w:val="en-GB"/>
                      </w:rPr>
                    </w:pPr>
                    <w:r w:rsidRPr="00C01624">
                      <w:rPr>
                        <w:sz w:val="13"/>
                        <w:lang w:val="en-GB"/>
                      </w:rPr>
                      <w:t>319,988,590</w:t>
                    </w:r>
                  </w:p>
                </w:tc>
                <w:tc>
                  <w:tcPr>
                    <w:tcW w:w="1068" w:type="dxa"/>
                    <w:vAlign w:val="bottom"/>
                    <w:hideMark/>
                  </w:tcPr>
                  <w:p w:rsidR="00C01624" w:rsidRPr="00C01624" w:rsidRDefault="00C01624" w:rsidP="00871496">
                    <w:pPr>
                      <w:snapToGrid w:val="0"/>
                      <w:ind w:right="79"/>
                      <w:jc w:val="right"/>
                      <w:rPr>
                        <w:lang w:val="en-GB"/>
                      </w:rPr>
                    </w:pPr>
                    <w:r w:rsidRPr="00C01624">
                      <w:rPr>
                        <w:sz w:val="13"/>
                        <w:lang w:val="en-GB"/>
                      </w:rPr>
                      <w:t>575,979,462</w:t>
                    </w:r>
                  </w:p>
                </w:tc>
                <w:tc>
                  <w:tcPr>
                    <w:tcW w:w="1068" w:type="dxa"/>
                    <w:vAlign w:val="bottom"/>
                    <w:hideMark/>
                  </w:tcPr>
                  <w:p w:rsidR="00C01624" w:rsidRPr="00C01624" w:rsidRDefault="00C01624" w:rsidP="00871496">
                    <w:pPr>
                      <w:snapToGrid w:val="0"/>
                      <w:ind w:right="60"/>
                      <w:jc w:val="right"/>
                      <w:rPr>
                        <w:lang w:val="en-GB"/>
                      </w:rPr>
                    </w:pPr>
                    <w:r w:rsidRPr="00C01624">
                      <w:rPr>
                        <w:sz w:val="13"/>
                        <w:lang w:val="en-GB"/>
                      </w:rPr>
                      <w:t>35,390,738,054</w:t>
                    </w:r>
                  </w:p>
                </w:tc>
                <w:tc>
                  <w:tcPr>
                    <w:tcW w:w="1068" w:type="dxa"/>
                    <w:vAlign w:val="bottom"/>
                    <w:hideMark/>
                  </w:tcPr>
                  <w:p w:rsidR="00C01624" w:rsidRPr="00C01624" w:rsidRDefault="00C01624" w:rsidP="00871496">
                    <w:pPr>
                      <w:snapToGrid w:val="0"/>
                      <w:ind w:right="89"/>
                      <w:jc w:val="right"/>
                      <w:rPr>
                        <w:lang w:val="en-GB"/>
                      </w:rPr>
                    </w:pPr>
                    <w:r w:rsidRPr="00C01624">
                      <w:rPr>
                        <w:sz w:val="13"/>
                        <w:lang w:val="en-GB"/>
                      </w:rPr>
                      <w:t>0</w:t>
                    </w:r>
                  </w:p>
                </w:tc>
                <w:tc>
                  <w:tcPr>
                    <w:tcW w:w="1068" w:type="dxa"/>
                    <w:vAlign w:val="bottom"/>
                    <w:hideMark/>
                  </w:tcPr>
                  <w:p w:rsidR="00C01624" w:rsidRPr="00C01624" w:rsidRDefault="00C01624" w:rsidP="00871496">
                    <w:pPr>
                      <w:snapToGrid w:val="0"/>
                      <w:ind w:right="70"/>
                      <w:jc w:val="right"/>
                      <w:rPr>
                        <w:lang w:val="en-GB"/>
                      </w:rPr>
                    </w:pPr>
                    <w:r w:rsidRPr="00C01624">
                      <w:rPr>
                        <w:sz w:val="13"/>
                        <w:lang w:val="en-GB"/>
                      </w:rPr>
                      <w:t>36,286,706,106</w:t>
                    </w:r>
                  </w:p>
                </w:tc>
                <w:tc>
                  <w:tcPr>
                    <w:tcW w:w="1068" w:type="dxa"/>
                    <w:vAlign w:val="bottom"/>
                    <w:hideMark/>
                  </w:tcPr>
                  <w:p w:rsidR="00C01624" w:rsidRPr="00C01624" w:rsidRDefault="00C01624" w:rsidP="00871496">
                    <w:pPr>
                      <w:snapToGrid w:val="0"/>
                      <w:ind w:right="56"/>
                      <w:jc w:val="right"/>
                      <w:rPr>
                        <w:lang w:val="en-GB"/>
                      </w:rPr>
                    </w:pPr>
                    <w:r w:rsidRPr="00C01624">
                      <w:rPr>
                        <w:sz w:val="13"/>
                        <w:lang w:val="en-GB"/>
                      </w:rPr>
                      <w:t>30,242,080,992</w:t>
                    </w:r>
                  </w:p>
                </w:tc>
              </w:tr>
              <w:tr w:rsidR="00C01624" w:rsidRPr="00C01624" w:rsidTr="00C01624">
                <w:trPr>
                  <w:jc w:val="right"/>
                </w:trPr>
                <w:tc>
                  <w:tcPr>
                    <w:tcW w:w="2424" w:type="dxa"/>
                    <w:vAlign w:val="bottom"/>
                    <w:hideMark/>
                  </w:tcPr>
                  <w:p w:rsidR="00C01624" w:rsidRPr="00C01624" w:rsidRDefault="00C01624" w:rsidP="00DB008B">
                    <w:pPr>
                      <w:snapToGrid w:val="0"/>
                      <w:ind w:left="136" w:hanging="136"/>
                      <w:rPr>
                        <w:lang w:val="en-GB"/>
                      </w:rPr>
                    </w:pPr>
                    <w:r w:rsidRPr="00C01624">
                      <w:rPr>
                        <w:rFonts w:hint="eastAsia"/>
                        <w:sz w:val="13"/>
                        <w:lang w:val="en-GB"/>
                      </w:rPr>
                      <w:t>长期应付款</w:t>
                    </w:r>
                    <w:r w:rsidRPr="00C01624">
                      <w:rPr>
                        <w:sz w:val="13"/>
                        <w:lang w:val="en-GB"/>
                      </w:rPr>
                      <w:t xml:space="preserve"> (</w:t>
                    </w:r>
                    <w:r w:rsidRPr="00C01624">
                      <w:rPr>
                        <w:rFonts w:hint="eastAsia"/>
                        <w:sz w:val="13"/>
                        <w:lang w:val="en-GB"/>
                      </w:rPr>
                      <w:t>不含专项应付款</w:t>
                    </w:r>
                    <w:r w:rsidRPr="00C01624">
                      <w:rPr>
                        <w:sz w:val="13"/>
                        <w:lang w:val="en-GB"/>
                      </w:rPr>
                      <w:t>)</w:t>
                    </w:r>
                  </w:p>
                </w:tc>
                <w:tc>
                  <w:tcPr>
                    <w:tcW w:w="1069" w:type="dxa"/>
                    <w:vAlign w:val="bottom"/>
                    <w:hideMark/>
                  </w:tcPr>
                  <w:p w:rsidR="00C01624" w:rsidRPr="00C01624" w:rsidRDefault="00C01624" w:rsidP="00871496">
                    <w:pPr>
                      <w:snapToGrid w:val="0"/>
                      <w:ind w:right="65"/>
                      <w:jc w:val="right"/>
                      <w:rPr>
                        <w:lang w:val="en-GB"/>
                      </w:rPr>
                    </w:pPr>
                    <w:r w:rsidRPr="00C01624">
                      <w:rPr>
                        <w:sz w:val="13"/>
                        <w:lang w:val="en-GB"/>
                      </w:rPr>
                      <w:t>0</w:t>
                    </w:r>
                  </w:p>
                </w:tc>
                <w:tc>
                  <w:tcPr>
                    <w:tcW w:w="1068" w:type="dxa"/>
                    <w:vAlign w:val="bottom"/>
                    <w:hideMark/>
                  </w:tcPr>
                  <w:p w:rsidR="00C01624" w:rsidRPr="00C01624" w:rsidRDefault="00C01624" w:rsidP="00871496">
                    <w:pPr>
                      <w:snapToGrid w:val="0"/>
                      <w:ind w:right="79"/>
                      <w:jc w:val="right"/>
                      <w:rPr>
                        <w:lang w:val="en-GB"/>
                      </w:rPr>
                    </w:pPr>
                    <w:r w:rsidRPr="00C01624">
                      <w:rPr>
                        <w:sz w:val="13"/>
                        <w:lang w:val="en-GB"/>
                      </w:rPr>
                      <w:t>0</w:t>
                    </w:r>
                  </w:p>
                </w:tc>
                <w:tc>
                  <w:tcPr>
                    <w:tcW w:w="1068" w:type="dxa"/>
                    <w:vAlign w:val="bottom"/>
                    <w:hideMark/>
                  </w:tcPr>
                  <w:p w:rsidR="00C01624" w:rsidRPr="00C01624" w:rsidRDefault="00C01624" w:rsidP="00871496">
                    <w:pPr>
                      <w:snapToGrid w:val="0"/>
                      <w:ind w:right="60"/>
                      <w:jc w:val="right"/>
                      <w:rPr>
                        <w:lang w:val="en-GB"/>
                      </w:rPr>
                    </w:pPr>
                    <w:r w:rsidRPr="00C01624">
                      <w:rPr>
                        <w:sz w:val="13"/>
                        <w:lang w:val="en-GB"/>
                      </w:rPr>
                      <w:t>0</w:t>
                    </w:r>
                  </w:p>
                </w:tc>
                <w:tc>
                  <w:tcPr>
                    <w:tcW w:w="1068" w:type="dxa"/>
                    <w:vAlign w:val="bottom"/>
                    <w:hideMark/>
                  </w:tcPr>
                  <w:p w:rsidR="00C01624" w:rsidRPr="00C01624" w:rsidRDefault="00C01624" w:rsidP="00871496">
                    <w:pPr>
                      <w:snapToGrid w:val="0"/>
                      <w:ind w:right="89"/>
                      <w:jc w:val="right"/>
                      <w:rPr>
                        <w:lang w:val="en-GB"/>
                      </w:rPr>
                    </w:pPr>
                    <w:r w:rsidRPr="00C01624">
                      <w:rPr>
                        <w:sz w:val="13"/>
                        <w:lang w:val="en-GB"/>
                      </w:rPr>
                      <w:t>637,580</w:t>
                    </w:r>
                  </w:p>
                </w:tc>
                <w:tc>
                  <w:tcPr>
                    <w:tcW w:w="1068" w:type="dxa"/>
                    <w:vAlign w:val="bottom"/>
                    <w:hideMark/>
                  </w:tcPr>
                  <w:p w:rsidR="00C01624" w:rsidRPr="00C01624" w:rsidRDefault="00C01624" w:rsidP="00871496">
                    <w:pPr>
                      <w:snapToGrid w:val="0"/>
                      <w:ind w:right="70"/>
                      <w:jc w:val="right"/>
                      <w:rPr>
                        <w:lang w:val="en-GB"/>
                      </w:rPr>
                    </w:pPr>
                    <w:r w:rsidRPr="00C01624">
                      <w:rPr>
                        <w:sz w:val="13"/>
                        <w:lang w:val="en-GB"/>
                      </w:rPr>
                      <w:t>637,580</w:t>
                    </w:r>
                  </w:p>
                </w:tc>
                <w:tc>
                  <w:tcPr>
                    <w:tcW w:w="1068" w:type="dxa"/>
                    <w:vAlign w:val="bottom"/>
                    <w:hideMark/>
                  </w:tcPr>
                  <w:p w:rsidR="00C01624" w:rsidRPr="00C01624" w:rsidRDefault="00C01624" w:rsidP="00871496">
                    <w:pPr>
                      <w:snapToGrid w:val="0"/>
                      <w:ind w:right="56"/>
                      <w:jc w:val="right"/>
                      <w:rPr>
                        <w:lang w:val="en-GB"/>
                      </w:rPr>
                    </w:pPr>
                    <w:r w:rsidRPr="00C01624">
                      <w:rPr>
                        <w:sz w:val="13"/>
                        <w:lang w:val="en-GB"/>
                      </w:rPr>
                      <w:t>637,580</w:t>
                    </w:r>
                  </w:p>
                </w:tc>
              </w:tr>
              <w:tr w:rsidR="00C01624" w:rsidRPr="00C01624" w:rsidTr="00C01624">
                <w:trPr>
                  <w:jc w:val="right"/>
                </w:trPr>
                <w:tc>
                  <w:tcPr>
                    <w:tcW w:w="2424" w:type="dxa"/>
                    <w:vAlign w:val="bottom"/>
                    <w:hideMark/>
                  </w:tcPr>
                  <w:p w:rsidR="00C01624" w:rsidRPr="00C01624" w:rsidRDefault="00C01624" w:rsidP="00DB008B">
                    <w:pPr>
                      <w:snapToGrid w:val="0"/>
                      <w:ind w:left="136" w:hanging="136"/>
                      <w:rPr>
                        <w:lang w:val="en-GB"/>
                      </w:rPr>
                    </w:pPr>
                    <w:r w:rsidRPr="00C01624">
                      <w:rPr>
                        <w:rFonts w:hint="eastAsia"/>
                        <w:sz w:val="13"/>
                        <w:lang w:val="en-GB"/>
                      </w:rPr>
                      <w:t>租赁负债</w:t>
                    </w:r>
                  </w:p>
                </w:tc>
                <w:tc>
                  <w:tcPr>
                    <w:tcW w:w="1069" w:type="dxa"/>
                    <w:vAlign w:val="bottom"/>
                    <w:hideMark/>
                  </w:tcPr>
                  <w:p w:rsidR="00C01624" w:rsidRPr="00C01624" w:rsidRDefault="00C01624" w:rsidP="00871496">
                    <w:pPr>
                      <w:snapToGrid w:val="0"/>
                      <w:ind w:right="65"/>
                      <w:jc w:val="right"/>
                      <w:rPr>
                        <w:lang w:val="en-GB"/>
                      </w:rPr>
                    </w:pPr>
                    <w:r w:rsidRPr="00C01624">
                      <w:rPr>
                        <w:sz w:val="13"/>
                        <w:lang w:val="en-GB"/>
                      </w:rPr>
                      <w:t>393,533,605</w:t>
                    </w:r>
                  </w:p>
                </w:tc>
                <w:tc>
                  <w:tcPr>
                    <w:tcW w:w="1068" w:type="dxa"/>
                    <w:vAlign w:val="bottom"/>
                    <w:hideMark/>
                  </w:tcPr>
                  <w:p w:rsidR="00C01624" w:rsidRPr="00C01624" w:rsidRDefault="00C01624" w:rsidP="00871496">
                    <w:pPr>
                      <w:snapToGrid w:val="0"/>
                      <w:ind w:right="79"/>
                      <w:jc w:val="right"/>
                      <w:rPr>
                        <w:lang w:val="en-GB"/>
                      </w:rPr>
                    </w:pPr>
                    <w:r w:rsidRPr="00C01624">
                      <w:rPr>
                        <w:sz w:val="13"/>
                        <w:lang w:val="en-GB"/>
                      </w:rPr>
                      <w:t>152,148,447</w:t>
                    </w:r>
                  </w:p>
                </w:tc>
                <w:tc>
                  <w:tcPr>
                    <w:tcW w:w="1068" w:type="dxa"/>
                    <w:vAlign w:val="bottom"/>
                    <w:hideMark/>
                  </w:tcPr>
                  <w:p w:rsidR="00C01624" w:rsidRPr="00C01624" w:rsidRDefault="00C01624" w:rsidP="00871496">
                    <w:pPr>
                      <w:snapToGrid w:val="0"/>
                      <w:ind w:right="60"/>
                      <w:jc w:val="right"/>
                      <w:rPr>
                        <w:lang w:val="en-GB"/>
                      </w:rPr>
                    </w:pPr>
                    <w:r w:rsidRPr="00C01624">
                      <w:rPr>
                        <w:sz w:val="13"/>
                        <w:lang w:val="en-GB"/>
                      </w:rPr>
                      <w:t>81,620,908</w:t>
                    </w:r>
                  </w:p>
                </w:tc>
                <w:tc>
                  <w:tcPr>
                    <w:tcW w:w="1068" w:type="dxa"/>
                    <w:vAlign w:val="bottom"/>
                    <w:hideMark/>
                  </w:tcPr>
                  <w:p w:rsidR="00C01624" w:rsidRPr="00C01624" w:rsidRDefault="00C01624" w:rsidP="00871496">
                    <w:pPr>
                      <w:snapToGrid w:val="0"/>
                      <w:ind w:right="89"/>
                      <w:jc w:val="right"/>
                      <w:rPr>
                        <w:lang w:val="en-GB"/>
                      </w:rPr>
                    </w:pPr>
                    <w:r w:rsidRPr="00C01624">
                      <w:rPr>
                        <w:sz w:val="13"/>
                        <w:lang w:val="en-GB"/>
                      </w:rPr>
                      <w:t>894,223,576</w:t>
                    </w:r>
                  </w:p>
                </w:tc>
                <w:tc>
                  <w:tcPr>
                    <w:tcW w:w="1068" w:type="dxa"/>
                    <w:vAlign w:val="bottom"/>
                    <w:hideMark/>
                  </w:tcPr>
                  <w:p w:rsidR="00C01624" w:rsidRPr="00C01624" w:rsidRDefault="00C01624" w:rsidP="00871496">
                    <w:pPr>
                      <w:snapToGrid w:val="0"/>
                      <w:ind w:right="70"/>
                      <w:jc w:val="right"/>
                      <w:rPr>
                        <w:lang w:val="en-GB"/>
                      </w:rPr>
                    </w:pPr>
                    <w:r w:rsidRPr="00C01624">
                      <w:rPr>
                        <w:sz w:val="13"/>
                        <w:lang w:val="en-GB"/>
                      </w:rPr>
                      <w:t>1,521,526,536</w:t>
                    </w:r>
                  </w:p>
                </w:tc>
                <w:tc>
                  <w:tcPr>
                    <w:tcW w:w="1068" w:type="dxa"/>
                    <w:vAlign w:val="bottom"/>
                    <w:hideMark/>
                  </w:tcPr>
                  <w:p w:rsidR="00C01624" w:rsidRPr="00C01624" w:rsidRDefault="00C01624" w:rsidP="00871496">
                    <w:pPr>
                      <w:snapToGrid w:val="0"/>
                      <w:ind w:right="56"/>
                      <w:jc w:val="right"/>
                      <w:rPr>
                        <w:lang w:val="en-GB"/>
                      </w:rPr>
                    </w:pPr>
                    <w:r w:rsidRPr="00C01624">
                      <w:rPr>
                        <w:sz w:val="13"/>
                        <w:lang w:val="en-GB"/>
                      </w:rPr>
                      <w:t>838,577,368</w:t>
                    </w:r>
                  </w:p>
                </w:tc>
              </w:tr>
              <w:tr w:rsidR="00C01624" w:rsidRPr="00C01624" w:rsidTr="00C01624">
                <w:trPr>
                  <w:jc w:val="right"/>
                </w:trPr>
                <w:tc>
                  <w:tcPr>
                    <w:tcW w:w="2424" w:type="dxa"/>
                    <w:vAlign w:val="bottom"/>
                    <w:hideMark/>
                  </w:tcPr>
                  <w:p w:rsidR="00C01624" w:rsidRPr="00C01624" w:rsidRDefault="00C01624" w:rsidP="00DB008B">
                    <w:pPr>
                      <w:snapToGrid w:val="0"/>
                      <w:ind w:left="136" w:hanging="136"/>
                      <w:rPr>
                        <w:lang w:val="en-GB"/>
                      </w:rPr>
                    </w:pPr>
                    <w:r w:rsidRPr="00C01624">
                      <w:rPr>
                        <w:rFonts w:hint="eastAsia"/>
                        <w:sz w:val="13"/>
                        <w:lang w:val="en-GB"/>
                      </w:rPr>
                      <w:t>合计</w:t>
                    </w:r>
                  </w:p>
                </w:tc>
                <w:tc>
                  <w:tcPr>
                    <w:tcW w:w="1069" w:type="dxa"/>
                    <w:vAlign w:val="bottom"/>
                    <w:hideMark/>
                  </w:tcPr>
                  <w:p w:rsidR="00C01624" w:rsidRPr="00C01624" w:rsidRDefault="00C01624" w:rsidP="00871496">
                    <w:pPr>
                      <w:snapToGrid w:val="0"/>
                      <w:ind w:right="65"/>
                      <w:jc w:val="right"/>
                      <w:rPr>
                        <w:lang w:val="en-GB"/>
                      </w:rPr>
                    </w:pPr>
                    <w:r w:rsidRPr="00C01624">
                      <w:rPr>
                        <w:sz w:val="13"/>
                        <w:lang w:val="en-GB"/>
                      </w:rPr>
                      <w:t>12,891,353,409</w:t>
                    </w:r>
                  </w:p>
                </w:tc>
                <w:tc>
                  <w:tcPr>
                    <w:tcW w:w="1068" w:type="dxa"/>
                    <w:vAlign w:val="bottom"/>
                    <w:hideMark/>
                  </w:tcPr>
                  <w:p w:rsidR="00C01624" w:rsidRPr="00C01624" w:rsidRDefault="00C01624" w:rsidP="00871496">
                    <w:pPr>
                      <w:snapToGrid w:val="0"/>
                      <w:ind w:right="79"/>
                      <w:jc w:val="right"/>
                      <w:rPr>
                        <w:lang w:val="en-GB"/>
                      </w:rPr>
                    </w:pPr>
                    <w:r w:rsidRPr="00C01624">
                      <w:rPr>
                        <w:sz w:val="13"/>
                        <w:lang w:val="en-GB"/>
                      </w:rPr>
                      <w:t>2,502,489,352</w:t>
                    </w:r>
                  </w:p>
                </w:tc>
                <w:tc>
                  <w:tcPr>
                    <w:tcW w:w="1068" w:type="dxa"/>
                    <w:vAlign w:val="bottom"/>
                    <w:hideMark/>
                  </w:tcPr>
                  <w:p w:rsidR="00C01624" w:rsidRPr="00C01624" w:rsidRDefault="00C01624" w:rsidP="00871496">
                    <w:pPr>
                      <w:snapToGrid w:val="0"/>
                      <w:ind w:right="60"/>
                      <w:jc w:val="right"/>
                      <w:rPr>
                        <w:lang w:val="en-GB"/>
                      </w:rPr>
                    </w:pPr>
                    <w:r w:rsidRPr="00C01624">
                      <w:rPr>
                        <w:sz w:val="13"/>
                        <w:lang w:val="en-GB"/>
                      </w:rPr>
                      <w:t>40,925,653,535</w:t>
                    </w:r>
                  </w:p>
                </w:tc>
                <w:tc>
                  <w:tcPr>
                    <w:tcW w:w="1068" w:type="dxa"/>
                    <w:vAlign w:val="bottom"/>
                    <w:hideMark/>
                  </w:tcPr>
                  <w:p w:rsidR="00C01624" w:rsidRPr="00C01624" w:rsidRDefault="00C01624" w:rsidP="00871496">
                    <w:pPr>
                      <w:snapToGrid w:val="0"/>
                      <w:ind w:right="89"/>
                      <w:jc w:val="right"/>
                      <w:rPr>
                        <w:lang w:val="en-GB"/>
                      </w:rPr>
                    </w:pPr>
                    <w:r w:rsidRPr="00C01624">
                      <w:rPr>
                        <w:sz w:val="13"/>
                        <w:lang w:val="en-GB"/>
                      </w:rPr>
                      <w:t>6,175,603,176</w:t>
                    </w:r>
                  </w:p>
                </w:tc>
                <w:tc>
                  <w:tcPr>
                    <w:tcW w:w="1068" w:type="dxa"/>
                    <w:vAlign w:val="bottom"/>
                    <w:hideMark/>
                  </w:tcPr>
                  <w:p w:rsidR="00C01624" w:rsidRPr="00C01624" w:rsidRDefault="00C01624" w:rsidP="00871496">
                    <w:pPr>
                      <w:snapToGrid w:val="0"/>
                      <w:ind w:right="70"/>
                      <w:jc w:val="right"/>
                      <w:rPr>
                        <w:lang w:val="en-GB"/>
                      </w:rPr>
                    </w:pPr>
                    <w:r w:rsidRPr="00C01624">
                      <w:rPr>
                        <w:sz w:val="13"/>
                        <w:lang w:val="en-GB"/>
                      </w:rPr>
                      <w:t>62,495,099,472</w:t>
                    </w:r>
                  </w:p>
                </w:tc>
                <w:tc>
                  <w:tcPr>
                    <w:tcW w:w="1068" w:type="dxa"/>
                    <w:vAlign w:val="bottom"/>
                    <w:hideMark/>
                  </w:tcPr>
                  <w:p w:rsidR="00C01624" w:rsidRPr="00C01624" w:rsidRDefault="00C01624" w:rsidP="00871496">
                    <w:pPr>
                      <w:snapToGrid w:val="0"/>
                      <w:ind w:right="56"/>
                      <w:jc w:val="right"/>
                      <w:rPr>
                        <w:lang w:val="en-GB"/>
                      </w:rPr>
                    </w:pPr>
                    <w:r w:rsidRPr="00C01624">
                      <w:rPr>
                        <w:sz w:val="13"/>
                        <w:lang w:val="en-GB"/>
                      </w:rPr>
                      <w:t>53,742,432,527</w:t>
                    </w:r>
                  </w:p>
                </w:tc>
              </w:tr>
            </w:tbl>
            <w:p w:rsidR="00C01624" w:rsidRDefault="00C01624" w:rsidP="003167B5">
              <w:pPr>
                <w:tabs>
                  <w:tab w:val="left" w:pos="2410"/>
                  <w:tab w:val="center" w:pos="5103"/>
                  <w:tab w:val="right" w:pos="7938"/>
                  <w:tab w:val="right" w:pos="9072"/>
                </w:tabs>
                <w:overflowPunct w:val="0"/>
                <w:adjustRightInd w:val="0"/>
                <w:snapToGrid w:val="0"/>
                <w:rPr>
                  <w:rFonts w:ascii="Arial" w:hAnsi="Arial" w:cs="Arial"/>
                  <w:sz w:val="22"/>
                  <w:szCs w:val="22"/>
                </w:rPr>
              </w:pPr>
            </w:p>
            <w:tbl>
              <w:tblPr>
                <w:tblW w:w="883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28" w:type="dxa"/>
                </w:tblCellMar>
                <w:tblLook w:val="04A0"/>
              </w:tblPr>
              <w:tblGrid>
                <w:gridCol w:w="2424"/>
                <w:gridCol w:w="1069"/>
                <w:gridCol w:w="1068"/>
                <w:gridCol w:w="1068"/>
                <w:gridCol w:w="1068"/>
                <w:gridCol w:w="1068"/>
                <w:gridCol w:w="1068"/>
              </w:tblGrid>
              <w:tr w:rsidR="00C01624" w:rsidRPr="00C01624" w:rsidTr="00871496">
                <w:trPr>
                  <w:jc w:val="right"/>
                </w:trPr>
                <w:tc>
                  <w:tcPr>
                    <w:tcW w:w="2424" w:type="dxa"/>
                    <w:vAlign w:val="bottom"/>
                    <w:hideMark/>
                  </w:tcPr>
                  <w:p w:rsidR="00C01624" w:rsidRPr="00C01624" w:rsidRDefault="00C01624" w:rsidP="00DB008B">
                    <w:pPr>
                      <w:snapToGrid w:val="0"/>
                      <w:ind w:left="136" w:hanging="136"/>
                      <w:rPr>
                        <w:rFonts w:ascii="Arial" w:hAnsi="Arial" w:cs="Times New Roman"/>
                        <w:lang w:val="en-GB"/>
                      </w:rPr>
                    </w:pPr>
                    <w:r w:rsidRPr="00C01624">
                      <w:rPr>
                        <w:rFonts w:ascii="微软雅黑" w:eastAsia="微软雅黑" w:hAnsi="微软雅黑" w:cs="微软雅黑" w:hint="eastAsia"/>
                        <w:sz w:val="13"/>
                        <w:lang w:val="en-GB"/>
                      </w:rPr>
                      <w:t> </w:t>
                    </w:r>
                  </w:p>
                </w:tc>
                <w:tc>
                  <w:tcPr>
                    <w:tcW w:w="5341" w:type="dxa"/>
                    <w:gridSpan w:val="5"/>
                    <w:vAlign w:val="center"/>
                    <w:hideMark/>
                  </w:tcPr>
                  <w:p w:rsidR="00C01624" w:rsidRPr="00C01624" w:rsidRDefault="00C01624" w:rsidP="00871496">
                    <w:pPr>
                      <w:snapToGrid w:val="0"/>
                      <w:jc w:val="center"/>
                      <w:rPr>
                        <w:lang w:val="en-GB"/>
                      </w:rPr>
                    </w:pPr>
                    <w:r w:rsidRPr="00C01624">
                      <w:rPr>
                        <w:sz w:val="13"/>
                        <w:lang w:val="en-GB"/>
                      </w:rPr>
                      <w:t>2021</w:t>
                    </w:r>
                    <w:r w:rsidRPr="00C01624">
                      <w:rPr>
                        <w:rFonts w:hint="eastAsia"/>
                        <w:sz w:val="13"/>
                        <w:lang w:val="en-GB"/>
                      </w:rPr>
                      <w:t>年未折现的合同现金流量</w:t>
                    </w:r>
                  </w:p>
                </w:tc>
                <w:tc>
                  <w:tcPr>
                    <w:tcW w:w="1068" w:type="dxa"/>
                    <w:vAlign w:val="bottom"/>
                    <w:hideMark/>
                  </w:tcPr>
                  <w:p w:rsidR="00C01624" w:rsidRPr="00C01624" w:rsidRDefault="00C01624" w:rsidP="00DB008B">
                    <w:pPr>
                      <w:snapToGrid w:val="0"/>
                      <w:jc w:val="right"/>
                      <w:rPr>
                        <w:lang w:val="en-GB"/>
                      </w:rPr>
                    </w:pPr>
                    <w:r w:rsidRPr="00C01624">
                      <w:rPr>
                        <w:rFonts w:ascii="微软雅黑" w:eastAsia="微软雅黑" w:hAnsi="微软雅黑" w:cs="微软雅黑" w:hint="eastAsia"/>
                        <w:sz w:val="13"/>
                        <w:lang w:val="en-GB"/>
                      </w:rPr>
                      <w:t> </w:t>
                    </w:r>
                  </w:p>
                </w:tc>
              </w:tr>
              <w:tr w:rsidR="00C01624" w:rsidRPr="00C01624" w:rsidTr="00871496">
                <w:trPr>
                  <w:jc w:val="right"/>
                </w:trPr>
                <w:tc>
                  <w:tcPr>
                    <w:tcW w:w="2424" w:type="dxa"/>
                    <w:vAlign w:val="bottom"/>
                    <w:hideMark/>
                  </w:tcPr>
                  <w:p w:rsidR="00C01624" w:rsidRPr="00C01624" w:rsidRDefault="00C01624" w:rsidP="00871496">
                    <w:pPr>
                      <w:snapToGrid w:val="0"/>
                      <w:ind w:left="136" w:hanging="136"/>
                      <w:jc w:val="center"/>
                      <w:rPr>
                        <w:lang w:val="en-GB"/>
                      </w:rPr>
                    </w:pPr>
                    <w:r w:rsidRPr="00C01624">
                      <w:rPr>
                        <w:rFonts w:hint="eastAsia"/>
                        <w:sz w:val="13"/>
                        <w:lang w:val="en-GB"/>
                      </w:rPr>
                      <w:t>项目</w:t>
                    </w:r>
                  </w:p>
                </w:tc>
                <w:tc>
                  <w:tcPr>
                    <w:tcW w:w="1069" w:type="dxa"/>
                    <w:vAlign w:val="center"/>
                    <w:hideMark/>
                  </w:tcPr>
                  <w:p w:rsidR="00C01624" w:rsidRPr="00C01624" w:rsidRDefault="00C01624" w:rsidP="00871496">
                    <w:pPr>
                      <w:snapToGrid w:val="0"/>
                      <w:jc w:val="center"/>
                      <w:rPr>
                        <w:lang w:val="en-GB"/>
                      </w:rPr>
                    </w:pPr>
                    <w:r w:rsidRPr="00C01624">
                      <w:rPr>
                        <w:sz w:val="13"/>
                        <w:lang w:val="en-GB"/>
                      </w:rPr>
                      <w:t>1</w:t>
                    </w:r>
                    <w:r w:rsidRPr="00C01624">
                      <w:rPr>
                        <w:rFonts w:hint="eastAsia"/>
                        <w:sz w:val="13"/>
                        <w:lang w:val="en-GB"/>
                      </w:rPr>
                      <w:t>年内或</w:t>
                    </w:r>
                    <w:r w:rsidRPr="00C01624">
                      <w:rPr>
                        <w:sz w:val="13"/>
                        <w:lang w:val="en-GB"/>
                      </w:rPr>
                      <w:br/>
                    </w:r>
                    <w:r w:rsidRPr="00C01624">
                      <w:rPr>
                        <w:rFonts w:hint="eastAsia"/>
                        <w:sz w:val="13"/>
                        <w:lang w:val="en-GB"/>
                      </w:rPr>
                      <w:t>实时偿还</w:t>
                    </w:r>
                  </w:p>
                </w:tc>
                <w:tc>
                  <w:tcPr>
                    <w:tcW w:w="1068" w:type="dxa"/>
                    <w:vAlign w:val="center"/>
                    <w:hideMark/>
                  </w:tcPr>
                  <w:p w:rsidR="00C01624" w:rsidRPr="00C01624" w:rsidRDefault="00C01624" w:rsidP="00871496">
                    <w:pPr>
                      <w:snapToGrid w:val="0"/>
                      <w:jc w:val="center"/>
                      <w:rPr>
                        <w:lang w:val="en-GB"/>
                      </w:rPr>
                    </w:pPr>
                    <w:r w:rsidRPr="00C01624">
                      <w:rPr>
                        <w:sz w:val="13"/>
                        <w:lang w:val="en-GB"/>
                      </w:rPr>
                      <w:t>1</w:t>
                    </w:r>
                    <w:r w:rsidRPr="00C01624">
                      <w:rPr>
                        <w:rFonts w:hint="eastAsia"/>
                        <w:sz w:val="13"/>
                        <w:lang w:val="en-GB"/>
                      </w:rPr>
                      <w:t>年至</w:t>
                    </w:r>
                    <w:r w:rsidRPr="00C01624">
                      <w:rPr>
                        <w:sz w:val="13"/>
                        <w:lang w:val="en-GB"/>
                      </w:rPr>
                      <w:t>2</w:t>
                    </w:r>
                    <w:r w:rsidRPr="00C01624">
                      <w:rPr>
                        <w:rFonts w:hint="eastAsia"/>
                        <w:sz w:val="13"/>
                        <w:lang w:val="en-GB"/>
                      </w:rPr>
                      <w:t>年</w:t>
                    </w:r>
                  </w:p>
                </w:tc>
                <w:tc>
                  <w:tcPr>
                    <w:tcW w:w="1068" w:type="dxa"/>
                    <w:vAlign w:val="center"/>
                    <w:hideMark/>
                  </w:tcPr>
                  <w:p w:rsidR="00C01624" w:rsidRPr="00C01624" w:rsidRDefault="00C01624" w:rsidP="00871496">
                    <w:pPr>
                      <w:snapToGrid w:val="0"/>
                      <w:jc w:val="center"/>
                      <w:rPr>
                        <w:lang w:val="en-GB"/>
                      </w:rPr>
                    </w:pPr>
                    <w:r w:rsidRPr="00C01624">
                      <w:rPr>
                        <w:sz w:val="13"/>
                        <w:lang w:val="en-GB"/>
                      </w:rPr>
                      <w:t>2</w:t>
                    </w:r>
                    <w:r w:rsidRPr="00C01624">
                      <w:rPr>
                        <w:rFonts w:hint="eastAsia"/>
                        <w:sz w:val="13"/>
                        <w:lang w:val="en-GB"/>
                      </w:rPr>
                      <w:t>年至</w:t>
                    </w:r>
                    <w:r w:rsidRPr="00C01624">
                      <w:rPr>
                        <w:sz w:val="13"/>
                        <w:lang w:val="en-GB"/>
                      </w:rPr>
                      <w:t>5</w:t>
                    </w:r>
                    <w:r w:rsidRPr="00C01624">
                      <w:rPr>
                        <w:rFonts w:hint="eastAsia"/>
                        <w:sz w:val="13"/>
                        <w:lang w:val="en-GB"/>
                      </w:rPr>
                      <w:t>年</w:t>
                    </w:r>
                  </w:p>
                </w:tc>
                <w:tc>
                  <w:tcPr>
                    <w:tcW w:w="1068" w:type="dxa"/>
                    <w:vAlign w:val="center"/>
                    <w:hideMark/>
                  </w:tcPr>
                  <w:p w:rsidR="00C01624" w:rsidRPr="00C01624" w:rsidRDefault="00C01624" w:rsidP="00871496">
                    <w:pPr>
                      <w:snapToGrid w:val="0"/>
                      <w:jc w:val="center"/>
                      <w:rPr>
                        <w:lang w:val="en-GB"/>
                      </w:rPr>
                    </w:pPr>
                    <w:r w:rsidRPr="00C01624">
                      <w:rPr>
                        <w:sz w:val="13"/>
                        <w:lang w:val="en-GB"/>
                      </w:rPr>
                      <w:t>5</w:t>
                    </w:r>
                    <w:r w:rsidRPr="00C01624">
                      <w:rPr>
                        <w:rFonts w:hint="eastAsia"/>
                        <w:sz w:val="13"/>
                        <w:lang w:val="en-GB"/>
                      </w:rPr>
                      <w:t>年以上</w:t>
                    </w:r>
                  </w:p>
                </w:tc>
                <w:tc>
                  <w:tcPr>
                    <w:tcW w:w="1068" w:type="dxa"/>
                    <w:vAlign w:val="center"/>
                    <w:hideMark/>
                  </w:tcPr>
                  <w:p w:rsidR="00C01624" w:rsidRPr="00C01624" w:rsidRDefault="00C01624" w:rsidP="00871496">
                    <w:pPr>
                      <w:snapToGrid w:val="0"/>
                      <w:jc w:val="center"/>
                      <w:rPr>
                        <w:lang w:val="en-GB"/>
                      </w:rPr>
                    </w:pPr>
                    <w:r w:rsidRPr="00C01624">
                      <w:rPr>
                        <w:rFonts w:hint="eastAsia"/>
                        <w:sz w:val="13"/>
                        <w:lang w:val="en-GB"/>
                      </w:rPr>
                      <w:t>合计</w:t>
                    </w:r>
                  </w:p>
                </w:tc>
                <w:tc>
                  <w:tcPr>
                    <w:tcW w:w="1068" w:type="dxa"/>
                    <w:vAlign w:val="center"/>
                    <w:hideMark/>
                  </w:tcPr>
                  <w:p w:rsidR="00C01624" w:rsidRPr="00C01624" w:rsidRDefault="00C01624" w:rsidP="00871496">
                    <w:pPr>
                      <w:snapToGrid w:val="0"/>
                      <w:jc w:val="center"/>
                      <w:rPr>
                        <w:lang w:val="en-GB"/>
                      </w:rPr>
                    </w:pPr>
                    <w:r w:rsidRPr="00C01624">
                      <w:rPr>
                        <w:rFonts w:hint="eastAsia"/>
                        <w:sz w:val="13"/>
                        <w:lang w:val="en-GB"/>
                      </w:rPr>
                      <w:t>账面价值</w:t>
                    </w:r>
                  </w:p>
                </w:tc>
              </w:tr>
              <w:tr w:rsidR="00C01624" w:rsidRPr="00C01624" w:rsidTr="00DB008B">
                <w:trPr>
                  <w:jc w:val="right"/>
                </w:trPr>
                <w:tc>
                  <w:tcPr>
                    <w:tcW w:w="2424" w:type="dxa"/>
                    <w:vAlign w:val="bottom"/>
                    <w:hideMark/>
                  </w:tcPr>
                  <w:p w:rsidR="00C01624" w:rsidRPr="00C01624" w:rsidRDefault="00C01624" w:rsidP="00DB008B">
                    <w:pPr>
                      <w:snapToGrid w:val="0"/>
                      <w:ind w:left="136" w:hanging="136"/>
                      <w:rPr>
                        <w:lang w:val="en-GB"/>
                      </w:rPr>
                    </w:pPr>
                    <w:r w:rsidRPr="00C01624">
                      <w:rPr>
                        <w:rFonts w:hint="eastAsia"/>
                        <w:sz w:val="13"/>
                        <w:lang w:val="en-GB"/>
                      </w:rPr>
                      <w:t>应付票据</w:t>
                    </w:r>
                  </w:p>
                </w:tc>
                <w:tc>
                  <w:tcPr>
                    <w:tcW w:w="1069" w:type="dxa"/>
                    <w:vAlign w:val="bottom"/>
                    <w:hideMark/>
                  </w:tcPr>
                  <w:p w:rsidR="00C01624" w:rsidRPr="00C01624" w:rsidRDefault="00C01624" w:rsidP="00871496">
                    <w:pPr>
                      <w:snapToGrid w:val="0"/>
                      <w:ind w:right="65"/>
                      <w:jc w:val="right"/>
                      <w:rPr>
                        <w:lang w:val="en-GB"/>
                      </w:rPr>
                    </w:pPr>
                    <w:r w:rsidRPr="00C01624">
                      <w:rPr>
                        <w:sz w:val="13"/>
                        <w:lang w:val="en-GB"/>
                      </w:rPr>
                      <w:t>2,671,602,889</w:t>
                    </w:r>
                  </w:p>
                </w:tc>
                <w:tc>
                  <w:tcPr>
                    <w:tcW w:w="1068" w:type="dxa"/>
                    <w:vAlign w:val="bottom"/>
                    <w:hideMark/>
                  </w:tcPr>
                  <w:p w:rsidR="00C01624" w:rsidRPr="00C01624" w:rsidRDefault="00C01624" w:rsidP="00871496">
                    <w:pPr>
                      <w:snapToGrid w:val="0"/>
                      <w:ind w:right="79"/>
                      <w:jc w:val="right"/>
                      <w:rPr>
                        <w:lang w:val="en-GB"/>
                      </w:rPr>
                    </w:pPr>
                    <w:r>
                      <w:rPr>
                        <w:sz w:val="13"/>
                        <w:lang w:val="en-GB"/>
                      </w:rPr>
                      <w:t>0</w:t>
                    </w:r>
                  </w:p>
                </w:tc>
                <w:tc>
                  <w:tcPr>
                    <w:tcW w:w="1068" w:type="dxa"/>
                    <w:vAlign w:val="bottom"/>
                    <w:hideMark/>
                  </w:tcPr>
                  <w:p w:rsidR="00C01624" w:rsidRPr="00C01624" w:rsidRDefault="00C01624" w:rsidP="00871496">
                    <w:pPr>
                      <w:snapToGrid w:val="0"/>
                      <w:ind w:right="60"/>
                      <w:jc w:val="right"/>
                      <w:rPr>
                        <w:lang w:val="en-GB"/>
                      </w:rPr>
                    </w:pPr>
                    <w:r>
                      <w:rPr>
                        <w:sz w:val="13"/>
                        <w:lang w:val="en-GB"/>
                      </w:rPr>
                      <w:t>0</w:t>
                    </w:r>
                  </w:p>
                </w:tc>
                <w:tc>
                  <w:tcPr>
                    <w:tcW w:w="1068" w:type="dxa"/>
                    <w:vAlign w:val="bottom"/>
                    <w:hideMark/>
                  </w:tcPr>
                  <w:p w:rsidR="00C01624" w:rsidRPr="00C01624" w:rsidRDefault="00C01624" w:rsidP="00871496">
                    <w:pPr>
                      <w:snapToGrid w:val="0"/>
                      <w:ind w:right="89"/>
                      <w:jc w:val="right"/>
                      <w:rPr>
                        <w:lang w:val="en-GB"/>
                      </w:rPr>
                    </w:pPr>
                    <w:r>
                      <w:rPr>
                        <w:sz w:val="13"/>
                        <w:lang w:val="en-GB"/>
                      </w:rPr>
                      <w:t>0</w:t>
                    </w:r>
                  </w:p>
                </w:tc>
                <w:tc>
                  <w:tcPr>
                    <w:tcW w:w="1068" w:type="dxa"/>
                    <w:vAlign w:val="bottom"/>
                    <w:hideMark/>
                  </w:tcPr>
                  <w:p w:rsidR="00C01624" w:rsidRPr="00C01624" w:rsidRDefault="00C01624" w:rsidP="00871496">
                    <w:pPr>
                      <w:snapToGrid w:val="0"/>
                      <w:ind w:right="56"/>
                      <w:jc w:val="right"/>
                      <w:rPr>
                        <w:lang w:val="en-GB"/>
                      </w:rPr>
                    </w:pPr>
                    <w:r w:rsidRPr="00C01624">
                      <w:rPr>
                        <w:sz w:val="13"/>
                        <w:lang w:val="en-GB"/>
                      </w:rPr>
                      <w:t>2,671,602,889</w:t>
                    </w:r>
                  </w:p>
                </w:tc>
                <w:tc>
                  <w:tcPr>
                    <w:tcW w:w="1068" w:type="dxa"/>
                    <w:vAlign w:val="bottom"/>
                    <w:hideMark/>
                  </w:tcPr>
                  <w:p w:rsidR="00C01624" w:rsidRPr="00C01624" w:rsidRDefault="00C01624" w:rsidP="00871496">
                    <w:pPr>
                      <w:snapToGrid w:val="0"/>
                      <w:ind w:right="70"/>
                      <w:jc w:val="right"/>
                      <w:rPr>
                        <w:lang w:val="en-GB"/>
                      </w:rPr>
                    </w:pPr>
                    <w:r w:rsidRPr="00C01624">
                      <w:rPr>
                        <w:sz w:val="13"/>
                        <w:lang w:val="en-GB"/>
                      </w:rPr>
                      <w:t>2,671,602,889</w:t>
                    </w:r>
                  </w:p>
                </w:tc>
              </w:tr>
              <w:tr w:rsidR="00C01624" w:rsidRPr="00C01624" w:rsidTr="00DB008B">
                <w:trPr>
                  <w:jc w:val="right"/>
                </w:trPr>
                <w:tc>
                  <w:tcPr>
                    <w:tcW w:w="2424" w:type="dxa"/>
                    <w:vAlign w:val="bottom"/>
                    <w:hideMark/>
                  </w:tcPr>
                  <w:p w:rsidR="00C01624" w:rsidRPr="00C01624" w:rsidRDefault="00C01624" w:rsidP="00DB008B">
                    <w:pPr>
                      <w:snapToGrid w:val="0"/>
                      <w:ind w:left="136" w:hanging="136"/>
                      <w:rPr>
                        <w:lang w:val="en-GB"/>
                      </w:rPr>
                    </w:pPr>
                    <w:r w:rsidRPr="00C01624">
                      <w:rPr>
                        <w:rFonts w:hint="eastAsia"/>
                        <w:sz w:val="13"/>
                        <w:lang w:val="en-GB"/>
                      </w:rPr>
                      <w:t>应付账款</w:t>
                    </w:r>
                  </w:p>
                </w:tc>
                <w:tc>
                  <w:tcPr>
                    <w:tcW w:w="1069" w:type="dxa"/>
                    <w:vAlign w:val="bottom"/>
                    <w:hideMark/>
                  </w:tcPr>
                  <w:p w:rsidR="00C01624" w:rsidRPr="00C01624" w:rsidRDefault="00C01624" w:rsidP="00871496">
                    <w:pPr>
                      <w:snapToGrid w:val="0"/>
                      <w:ind w:right="65"/>
                      <w:jc w:val="right"/>
                      <w:rPr>
                        <w:lang w:val="en-GB"/>
                      </w:rPr>
                    </w:pPr>
                    <w:r w:rsidRPr="00C01624">
                      <w:rPr>
                        <w:sz w:val="13"/>
                        <w:lang w:val="en-GB"/>
                      </w:rPr>
                      <w:t>3,260,448,885</w:t>
                    </w:r>
                  </w:p>
                </w:tc>
                <w:tc>
                  <w:tcPr>
                    <w:tcW w:w="1068" w:type="dxa"/>
                    <w:vAlign w:val="bottom"/>
                    <w:hideMark/>
                  </w:tcPr>
                  <w:p w:rsidR="00C01624" w:rsidRPr="00C01624" w:rsidRDefault="00C01624" w:rsidP="00871496">
                    <w:pPr>
                      <w:snapToGrid w:val="0"/>
                      <w:ind w:right="79"/>
                      <w:jc w:val="right"/>
                      <w:rPr>
                        <w:lang w:val="en-GB"/>
                      </w:rPr>
                    </w:pPr>
                    <w:r w:rsidRPr="00C01624">
                      <w:rPr>
                        <w:sz w:val="13"/>
                        <w:lang w:val="en-GB"/>
                      </w:rPr>
                      <w:t>0</w:t>
                    </w:r>
                  </w:p>
                </w:tc>
                <w:tc>
                  <w:tcPr>
                    <w:tcW w:w="1068" w:type="dxa"/>
                    <w:vAlign w:val="bottom"/>
                    <w:hideMark/>
                  </w:tcPr>
                  <w:p w:rsidR="00C01624" w:rsidRPr="00C01624" w:rsidRDefault="00C01624" w:rsidP="00871496">
                    <w:pPr>
                      <w:snapToGrid w:val="0"/>
                      <w:ind w:right="60"/>
                      <w:jc w:val="right"/>
                      <w:rPr>
                        <w:lang w:val="en-GB"/>
                      </w:rPr>
                    </w:pPr>
                    <w:r w:rsidRPr="00C01624">
                      <w:rPr>
                        <w:sz w:val="13"/>
                        <w:lang w:val="en-GB"/>
                      </w:rPr>
                      <w:t>0</w:t>
                    </w:r>
                  </w:p>
                </w:tc>
                <w:tc>
                  <w:tcPr>
                    <w:tcW w:w="1068" w:type="dxa"/>
                    <w:vAlign w:val="bottom"/>
                    <w:hideMark/>
                  </w:tcPr>
                  <w:p w:rsidR="00C01624" w:rsidRPr="00C01624" w:rsidRDefault="00C01624" w:rsidP="00871496">
                    <w:pPr>
                      <w:snapToGrid w:val="0"/>
                      <w:ind w:right="89"/>
                      <w:jc w:val="right"/>
                      <w:rPr>
                        <w:lang w:val="en-GB"/>
                      </w:rPr>
                    </w:pPr>
                    <w:r w:rsidRPr="00C01624">
                      <w:rPr>
                        <w:sz w:val="13"/>
                        <w:lang w:val="en-GB"/>
                      </w:rPr>
                      <w:t>0</w:t>
                    </w:r>
                  </w:p>
                </w:tc>
                <w:tc>
                  <w:tcPr>
                    <w:tcW w:w="1068" w:type="dxa"/>
                    <w:vAlign w:val="bottom"/>
                    <w:hideMark/>
                  </w:tcPr>
                  <w:p w:rsidR="00C01624" w:rsidRPr="00C01624" w:rsidRDefault="00C01624" w:rsidP="00871496">
                    <w:pPr>
                      <w:snapToGrid w:val="0"/>
                      <w:ind w:right="56"/>
                      <w:jc w:val="right"/>
                      <w:rPr>
                        <w:lang w:val="en-GB"/>
                      </w:rPr>
                    </w:pPr>
                    <w:r w:rsidRPr="00C01624">
                      <w:rPr>
                        <w:sz w:val="13"/>
                        <w:lang w:val="en-GB"/>
                      </w:rPr>
                      <w:t>3,260,448,885</w:t>
                    </w:r>
                  </w:p>
                </w:tc>
                <w:tc>
                  <w:tcPr>
                    <w:tcW w:w="1068" w:type="dxa"/>
                    <w:vAlign w:val="bottom"/>
                    <w:hideMark/>
                  </w:tcPr>
                  <w:p w:rsidR="00C01624" w:rsidRPr="00C01624" w:rsidRDefault="00C01624" w:rsidP="00871496">
                    <w:pPr>
                      <w:snapToGrid w:val="0"/>
                      <w:ind w:right="70"/>
                      <w:jc w:val="right"/>
                      <w:rPr>
                        <w:lang w:val="en-GB"/>
                      </w:rPr>
                    </w:pPr>
                    <w:r w:rsidRPr="00C01624">
                      <w:rPr>
                        <w:sz w:val="13"/>
                        <w:lang w:val="en-GB"/>
                      </w:rPr>
                      <w:t>3,260,448,885</w:t>
                    </w:r>
                  </w:p>
                </w:tc>
              </w:tr>
              <w:tr w:rsidR="00C01624" w:rsidRPr="00C01624" w:rsidTr="00DB008B">
                <w:trPr>
                  <w:jc w:val="right"/>
                </w:trPr>
                <w:tc>
                  <w:tcPr>
                    <w:tcW w:w="2424" w:type="dxa"/>
                    <w:vAlign w:val="bottom"/>
                    <w:hideMark/>
                  </w:tcPr>
                  <w:p w:rsidR="00C01624" w:rsidRPr="00C01624" w:rsidRDefault="00C01624" w:rsidP="00DB008B">
                    <w:pPr>
                      <w:snapToGrid w:val="0"/>
                      <w:ind w:left="136" w:hanging="136"/>
                      <w:rPr>
                        <w:lang w:val="en-GB"/>
                      </w:rPr>
                    </w:pPr>
                    <w:r w:rsidRPr="00C01624">
                      <w:rPr>
                        <w:rFonts w:hint="eastAsia"/>
                        <w:sz w:val="13"/>
                        <w:lang w:val="en-GB"/>
                      </w:rPr>
                      <w:t>其他应付款</w:t>
                    </w:r>
                  </w:p>
                </w:tc>
                <w:tc>
                  <w:tcPr>
                    <w:tcW w:w="1069" w:type="dxa"/>
                    <w:vAlign w:val="bottom"/>
                    <w:hideMark/>
                  </w:tcPr>
                  <w:p w:rsidR="00C01624" w:rsidRPr="00C01624" w:rsidRDefault="00C01624" w:rsidP="00871496">
                    <w:pPr>
                      <w:snapToGrid w:val="0"/>
                      <w:ind w:right="65"/>
                      <w:jc w:val="right"/>
                      <w:rPr>
                        <w:lang w:val="en-GB"/>
                      </w:rPr>
                    </w:pPr>
                    <w:r w:rsidRPr="00C01624">
                      <w:rPr>
                        <w:sz w:val="13"/>
                        <w:lang w:val="en-GB"/>
                      </w:rPr>
                      <w:t>5,358,452,297</w:t>
                    </w:r>
                  </w:p>
                </w:tc>
                <w:tc>
                  <w:tcPr>
                    <w:tcW w:w="1068" w:type="dxa"/>
                    <w:vAlign w:val="bottom"/>
                    <w:hideMark/>
                  </w:tcPr>
                  <w:p w:rsidR="00C01624" w:rsidRPr="00C01624" w:rsidRDefault="00C01624" w:rsidP="00871496">
                    <w:pPr>
                      <w:snapToGrid w:val="0"/>
                      <w:ind w:right="79"/>
                      <w:jc w:val="right"/>
                      <w:rPr>
                        <w:lang w:val="en-GB"/>
                      </w:rPr>
                    </w:pPr>
                    <w:r w:rsidRPr="00C01624">
                      <w:rPr>
                        <w:sz w:val="13"/>
                        <w:lang w:val="en-GB"/>
                      </w:rPr>
                      <w:t>0</w:t>
                    </w:r>
                  </w:p>
                </w:tc>
                <w:tc>
                  <w:tcPr>
                    <w:tcW w:w="1068" w:type="dxa"/>
                    <w:vAlign w:val="bottom"/>
                    <w:hideMark/>
                  </w:tcPr>
                  <w:p w:rsidR="00C01624" w:rsidRPr="00C01624" w:rsidRDefault="00C01624" w:rsidP="00871496">
                    <w:pPr>
                      <w:snapToGrid w:val="0"/>
                      <w:ind w:right="60"/>
                      <w:jc w:val="right"/>
                      <w:rPr>
                        <w:lang w:val="en-GB"/>
                      </w:rPr>
                    </w:pPr>
                    <w:r w:rsidRPr="00C01624">
                      <w:rPr>
                        <w:sz w:val="13"/>
                        <w:lang w:val="en-GB"/>
                      </w:rPr>
                      <w:t>0</w:t>
                    </w:r>
                  </w:p>
                </w:tc>
                <w:tc>
                  <w:tcPr>
                    <w:tcW w:w="1068" w:type="dxa"/>
                    <w:vAlign w:val="bottom"/>
                    <w:hideMark/>
                  </w:tcPr>
                  <w:p w:rsidR="00C01624" w:rsidRPr="00C01624" w:rsidRDefault="00C01624" w:rsidP="00871496">
                    <w:pPr>
                      <w:snapToGrid w:val="0"/>
                      <w:ind w:right="89"/>
                      <w:jc w:val="right"/>
                      <w:rPr>
                        <w:lang w:val="en-GB"/>
                      </w:rPr>
                    </w:pPr>
                    <w:r w:rsidRPr="00C01624">
                      <w:rPr>
                        <w:sz w:val="13"/>
                        <w:lang w:val="en-GB"/>
                      </w:rPr>
                      <w:t>0</w:t>
                    </w:r>
                  </w:p>
                </w:tc>
                <w:tc>
                  <w:tcPr>
                    <w:tcW w:w="1068" w:type="dxa"/>
                    <w:vAlign w:val="bottom"/>
                    <w:hideMark/>
                  </w:tcPr>
                  <w:p w:rsidR="00C01624" w:rsidRPr="00C01624" w:rsidRDefault="00C01624" w:rsidP="00871496">
                    <w:pPr>
                      <w:snapToGrid w:val="0"/>
                      <w:ind w:right="56"/>
                      <w:jc w:val="right"/>
                      <w:rPr>
                        <w:lang w:val="en-GB"/>
                      </w:rPr>
                    </w:pPr>
                    <w:r w:rsidRPr="00C01624">
                      <w:rPr>
                        <w:sz w:val="13"/>
                        <w:lang w:val="en-GB"/>
                      </w:rPr>
                      <w:t>5,358,452,297</w:t>
                    </w:r>
                  </w:p>
                </w:tc>
                <w:tc>
                  <w:tcPr>
                    <w:tcW w:w="1068" w:type="dxa"/>
                    <w:vAlign w:val="bottom"/>
                    <w:hideMark/>
                  </w:tcPr>
                  <w:p w:rsidR="00C01624" w:rsidRPr="00C01624" w:rsidRDefault="00C01624" w:rsidP="00871496">
                    <w:pPr>
                      <w:snapToGrid w:val="0"/>
                      <w:ind w:right="70"/>
                      <w:jc w:val="right"/>
                      <w:rPr>
                        <w:lang w:val="en-GB"/>
                      </w:rPr>
                    </w:pPr>
                    <w:r w:rsidRPr="00C01624">
                      <w:rPr>
                        <w:sz w:val="13"/>
                        <w:lang w:val="en-GB"/>
                      </w:rPr>
                      <w:t>5,358,452,297</w:t>
                    </w:r>
                  </w:p>
                </w:tc>
              </w:tr>
              <w:tr w:rsidR="00C01624" w:rsidRPr="00C01624" w:rsidTr="00DB008B">
                <w:trPr>
                  <w:jc w:val="right"/>
                </w:trPr>
                <w:tc>
                  <w:tcPr>
                    <w:tcW w:w="2424" w:type="dxa"/>
                    <w:vAlign w:val="bottom"/>
                    <w:hideMark/>
                  </w:tcPr>
                  <w:p w:rsidR="00C01624" w:rsidRPr="00C01624" w:rsidRDefault="00C01624" w:rsidP="00DB008B">
                    <w:pPr>
                      <w:snapToGrid w:val="0"/>
                      <w:ind w:left="136" w:hanging="136"/>
                      <w:rPr>
                        <w:lang w:val="en-GB"/>
                      </w:rPr>
                    </w:pPr>
                    <w:r w:rsidRPr="00C01624">
                      <w:rPr>
                        <w:rFonts w:hint="eastAsia"/>
                        <w:sz w:val="13"/>
                        <w:lang w:val="en-GB"/>
                      </w:rPr>
                      <w:t>短期借款</w:t>
                    </w:r>
                  </w:p>
                </w:tc>
                <w:tc>
                  <w:tcPr>
                    <w:tcW w:w="1069" w:type="dxa"/>
                    <w:vAlign w:val="bottom"/>
                    <w:hideMark/>
                  </w:tcPr>
                  <w:p w:rsidR="00C01624" w:rsidRPr="00C01624" w:rsidRDefault="00C01624" w:rsidP="00871496">
                    <w:pPr>
                      <w:snapToGrid w:val="0"/>
                      <w:ind w:right="65"/>
                      <w:jc w:val="right"/>
                      <w:rPr>
                        <w:lang w:val="en-GB"/>
                      </w:rPr>
                    </w:pPr>
                    <w:r w:rsidRPr="00C01624">
                      <w:rPr>
                        <w:sz w:val="13"/>
                        <w:lang w:val="en-GB"/>
                      </w:rPr>
                      <w:t>948,892,758</w:t>
                    </w:r>
                  </w:p>
                </w:tc>
                <w:tc>
                  <w:tcPr>
                    <w:tcW w:w="1068" w:type="dxa"/>
                    <w:vAlign w:val="bottom"/>
                    <w:hideMark/>
                  </w:tcPr>
                  <w:p w:rsidR="00C01624" w:rsidRPr="00C01624" w:rsidRDefault="00C01624" w:rsidP="00871496">
                    <w:pPr>
                      <w:snapToGrid w:val="0"/>
                      <w:ind w:right="79"/>
                      <w:jc w:val="right"/>
                      <w:rPr>
                        <w:lang w:val="en-GB"/>
                      </w:rPr>
                    </w:pPr>
                    <w:r w:rsidRPr="00C01624">
                      <w:rPr>
                        <w:sz w:val="13"/>
                        <w:lang w:val="en-GB"/>
                      </w:rPr>
                      <w:t>0</w:t>
                    </w:r>
                  </w:p>
                </w:tc>
                <w:tc>
                  <w:tcPr>
                    <w:tcW w:w="1068" w:type="dxa"/>
                    <w:vAlign w:val="bottom"/>
                    <w:hideMark/>
                  </w:tcPr>
                  <w:p w:rsidR="00C01624" w:rsidRPr="00C01624" w:rsidRDefault="00C01624" w:rsidP="00871496">
                    <w:pPr>
                      <w:snapToGrid w:val="0"/>
                      <w:ind w:right="60"/>
                      <w:jc w:val="right"/>
                      <w:rPr>
                        <w:lang w:val="en-GB"/>
                      </w:rPr>
                    </w:pPr>
                    <w:r w:rsidRPr="00C01624">
                      <w:rPr>
                        <w:sz w:val="13"/>
                        <w:lang w:val="en-GB"/>
                      </w:rPr>
                      <w:t>0</w:t>
                    </w:r>
                  </w:p>
                </w:tc>
                <w:tc>
                  <w:tcPr>
                    <w:tcW w:w="1068" w:type="dxa"/>
                    <w:vAlign w:val="bottom"/>
                    <w:hideMark/>
                  </w:tcPr>
                  <w:p w:rsidR="00C01624" w:rsidRPr="00C01624" w:rsidRDefault="00C01624" w:rsidP="00871496">
                    <w:pPr>
                      <w:snapToGrid w:val="0"/>
                      <w:ind w:right="89"/>
                      <w:jc w:val="right"/>
                      <w:rPr>
                        <w:lang w:val="en-GB"/>
                      </w:rPr>
                    </w:pPr>
                    <w:r w:rsidRPr="00C01624">
                      <w:rPr>
                        <w:sz w:val="13"/>
                        <w:lang w:val="en-GB"/>
                      </w:rPr>
                      <w:t>0</w:t>
                    </w:r>
                  </w:p>
                </w:tc>
                <w:tc>
                  <w:tcPr>
                    <w:tcW w:w="1068" w:type="dxa"/>
                    <w:vAlign w:val="bottom"/>
                    <w:hideMark/>
                  </w:tcPr>
                  <w:p w:rsidR="00C01624" w:rsidRPr="00C01624" w:rsidRDefault="00C01624" w:rsidP="00871496">
                    <w:pPr>
                      <w:snapToGrid w:val="0"/>
                      <w:ind w:right="56"/>
                      <w:jc w:val="right"/>
                      <w:rPr>
                        <w:lang w:val="en-GB"/>
                      </w:rPr>
                    </w:pPr>
                    <w:r w:rsidRPr="00C01624">
                      <w:rPr>
                        <w:sz w:val="13"/>
                        <w:lang w:val="en-GB"/>
                      </w:rPr>
                      <w:t>948,892,758</w:t>
                    </w:r>
                  </w:p>
                </w:tc>
                <w:tc>
                  <w:tcPr>
                    <w:tcW w:w="1068" w:type="dxa"/>
                    <w:vAlign w:val="bottom"/>
                    <w:hideMark/>
                  </w:tcPr>
                  <w:p w:rsidR="00C01624" w:rsidRPr="00C01624" w:rsidRDefault="00C01624" w:rsidP="00871496">
                    <w:pPr>
                      <w:snapToGrid w:val="0"/>
                      <w:ind w:right="70"/>
                      <w:jc w:val="right"/>
                      <w:rPr>
                        <w:lang w:val="en-GB"/>
                      </w:rPr>
                    </w:pPr>
                    <w:r w:rsidRPr="00C01624">
                      <w:rPr>
                        <w:sz w:val="13"/>
                        <w:lang w:val="en-GB"/>
                      </w:rPr>
                      <w:t>922,017,625</w:t>
                    </w:r>
                  </w:p>
                </w:tc>
              </w:tr>
              <w:tr w:rsidR="00C01624" w:rsidRPr="00C01624" w:rsidTr="00DB008B">
                <w:trPr>
                  <w:jc w:val="right"/>
                </w:trPr>
                <w:tc>
                  <w:tcPr>
                    <w:tcW w:w="2424" w:type="dxa"/>
                    <w:vAlign w:val="bottom"/>
                    <w:hideMark/>
                  </w:tcPr>
                  <w:p w:rsidR="00C01624" w:rsidRPr="00C01624" w:rsidRDefault="00C01624" w:rsidP="00DB008B">
                    <w:pPr>
                      <w:snapToGrid w:val="0"/>
                      <w:ind w:left="136" w:hanging="136"/>
                      <w:rPr>
                        <w:lang w:val="en-GB"/>
                      </w:rPr>
                    </w:pPr>
                    <w:r w:rsidRPr="00C01624">
                      <w:rPr>
                        <w:rFonts w:hint="eastAsia"/>
                        <w:sz w:val="13"/>
                        <w:lang w:val="en-GB"/>
                      </w:rPr>
                      <w:t>长期借款</w:t>
                    </w:r>
                  </w:p>
                </w:tc>
                <w:tc>
                  <w:tcPr>
                    <w:tcW w:w="1069" w:type="dxa"/>
                    <w:vAlign w:val="bottom"/>
                    <w:hideMark/>
                  </w:tcPr>
                  <w:p w:rsidR="00C01624" w:rsidRPr="00C01624" w:rsidRDefault="00C01624" w:rsidP="00871496">
                    <w:pPr>
                      <w:snapToGrid w:val="0"/>
                      <w:ind w:right="65"/>
                      <w:jc w:val="right"/>
                      <w:rPr>
                        <w:lang w:val="en-GB"/>
                      </w:rPr>
                    </w:pPr>
                    <w:r w:rsidRPr="00C01624">
                      <w:rPr>
                        <w:sz w:val="13"/>
                        <w:lang w:val="en-GB"/>
                      </w:rPr>
                      <w:t>1,066,029,284</w:t>
                    </w:r>
                  </w:p>
                </w:tc>
                <w:tc>
                  <w:tcPr>
                    <w:tcW w:w="1068" w:type="dxa"/>
                    <w:vAlign w:val="bottom"/>
                    <w:hideMark/>
                  </w:tcPr>
                  <w:p w:rsidR="00C01624" w:rsidRPr="00C01624" w:rsidRDefault="00C01624" w:rsidP="00871496">
                    <w:pPr>
                      <w:snapToGrid w:val="0"/>
                      <w:ind w:right="79"/>
                      <w:jc w:val="right"/>
                      <w:rPr>
                        <w:lang w:val="en-GB"/>
                      </w:rPr>
                    </w:pPr>
                    <w:r w:rsidRPr="00C01624">
                      <w:rPr>
                        <w:sz w:val="13"/>
                        <w:lang w:val="en-GB"/>
                      </w:rPr>
                      <w:t>1,394,118,599</w:t>
                    </w:r>
                  </w:p>
                </w:tc>
                <w:tc>
                  <w:tcPr>
                    <w:tcW w:w="1068" w:type="dxa"/>
                    <w:vAlign w:val="bottom"/>
                    <w:hideMark/>
                  </w:tcPr>
                  <w:p w:rsidR="00C01624" w:rsidRPr="00C01624" w:rsidRDefault="00C01624" w:rsidP="00871496">
                    <w:pPr>
                      <w:snapToGrid w:val="0"/>
                      <w:ind w:right="60"/>
                      <w:jc w:val="right"/>
                      <w:rPr>
                        <w:lang w:val="en-GB"/>
                      </w:rPr>
                    </w:pPr>
                    <w:r w:rsidRPr="00C01624">
                      <w:rPr>
                        <w:sz w:val="13"/>
                        <w:lang w:val="en-GB"/>
                      </w:rPr>
                      <w:t>4,875,133,742</w:t>
                    </w:r>
                  </w:p>
                </w:tc>
                <w:tc>
                  <w:tcPr>
                    <w:tcW w:w="1068" w:type="dxa"/>
                    <w:vAlign w:val="bottom"/>
                    <w:hideMark/>
                  </w:tcPr>
                  <w:p w:rsidR="00C01624" w:rsidRPr="00C01624" w:rsidRDefault="00C01624" w:rsidP="00871496">
                    <w:pPr>
                      <w:snapToGrid w:val="0"/>
                      <w:ind w:right="89"/>
                      <w:jc w:val="right"/>
                      <w:rPr>
                        <w:lang w:val="en-GB"/>
                      </w:rPr>
                    </w:pPr>
                    <w:r w:rsidRPr="00C01624">
                      <w:rPr>
                        <w:sz w:val="13"/>
                        <w:lang w:val="en-GB"/>
                      </w:rPr>
                      <w:t>7,647,507,435</w:t>
                    </w:r>
                  </w:p>
                </w:tc>
                <w:tc>
                  <w:tcPr>
                    <w:tcW w:w="1068" w:type="dxa"/>
                    <w:vAlign w:val="bottom"/>
                    <w:hideMark/>
                  </w:tcPr>
                  <w:p w:rsidR="00C01624" w:rsidRPr="00C01624" w:rsidRDefault="00C01624" w:rsidP="00871496">
                    <w:pPr>
                      <w:snapToGrid w:val="0"/>
                      <w:ind w:right="56"/>
                      <w:jc w:val="right"/>
                      <w:rPr>
                        <w:lang w:val="en-GB"/>
                      </w:rPr>
                    </w:pPr>
                    <w:r w:rsidRPr="00C01624">
                      <w:rPr>
                        <w:sz w:val="13"/>
                        <w:lang w:val="en-GB"/>
                      </w:rPr>
                      <w:t>14,982,789,060</w:t>
                    </w:r>
                  </w:p>
                </w:tc>
                <w:tc>
                  <w:tcPr>
                    <w:tcW w:w="1068" w:type="dxa"/>
                    <w:vAlign w:val="bottom"/>
                    <w:hideMark/>
                  </w:tcPr>
                  <w:p w:rsidR="00C01624" w:rsidRPr="00C01624" w:rsidRDefault="00C01624" w:rsidP="00871496">
                    <w:pPr>
                      <w:snapToGrid w:val="0"/>
                      <w:ind w:right="70"/>
                      <w:jc w:val="right"/>
                      <w:rPr>
                        <w:lang w:val="en-GB"/>
                      </w:rPr>
                    </w:pPr>
                    <w:r w:rsidRPr="00C01624">
                      <w:rPr>
                        <w:sz w:val="13"/>
                        <w:lang w:val="en-GB"/>
                      </w:rPr>
                      <w:t>12,399,496,008</w:t>
                    </w:r>
                  </w:p>
                </w:tc>
              </w:tr>
              <w:tr w:rsidR="00C01624" w:rsidRPr="00C01624" w:rsidTr="00DB008B">
                <w:trPr>
                  <w:jc w:val="right"/>
                </w:trPr>
                <w:tc>
                  <w:tcPr>
                    <w:tcW w:w="2424" w:type="dxa"/>
                    <w:vAlign w:val="bottom"/>
                    <w:hideMark/>
                  </w:tcPr>
                  <w:p w:rsidR="00C01624" w:rsidRPr="00C01624" w:rsidRDefault="00C01624" w:rsidP="00DB008B">
                    <w:pPr>
                      <w:snapToGrid w:val="0"/>
                      <w:ind w:left="136" w:hanging="136"/>
                      <w:rPr>
                        <w:lang w:val="en-GB"/>
                      </w:rPr>
                    </w:pPr>
                    <w:r w:rsidRPr="00C01624">
                      <w:rPr>
                        <w:rFonts w:hint="eastAsia"/>
                        <w:sz w:val="13"/>
                        <w:lang w:val="en-GB"/>
                      </w:rPr>
                      <w:t>应付债券</w:t>
                    </w:r>
                  </w:p>
                </w:tc>
                <w:tc>
                  <w:tcPr>
                    <w:tcW w:w="1069" w:type="dxa"/>
                    <w:vAlign w:val="bottom"/>
                    <w:hideMark/>
                  </w:tcPr>
                  <w:p w:rsidR="00C01624" w:rsidRPr="00C01624" w:rsidRDefault="00C01624" w:rsidP="00871496">
                    <w:pPr>
                      <w:snapToGrid w:val="0"/>
                      <w:ind w:right="65"/>
                      <w:jc w:val="right"/>
                      <w:rPr>
                        <w:lang w:val="en-GB"/>
                      </w:rPr>
                    </w:pPr>
                    <w:r w:rsidRPr="00C01624">
                      <w:rPr>
                        <w:sz w:val="13"/>
                        <w:lang w:val="en-GB"/>
                      </w:rPr>
                      <w:t>159,995,610</w:t>
                    </w:r>
                  </w:p>
                </w:tc>
                <w:tc>
                  <w:tcPr>
                    <w:tcW w:w="1068" w:type="dxa"/>
                    <w:vAlign w:val="bottom"/>
                    <w:hideMark/>
                  </w:tcPr>
                  <w:p w:rsidR="00C01624" w:rsidRPr="00C01624" w:rsidRDefault="00C01624" w:rsidP="00871496">
                    <w:pPr>
                      <w:snapToGrid w:val="0"/>
                      <w:ind w:right="79"/>
                      <w:jc w:val="right"/>
                      <w:rPr>
                        <w:lang w:val="en-GB"/>
                      </w:rPr>
                    </w:pPr>
                    <w:r w:rsidRPr="00C01624">
                      <w:rPr>
                        <w:sz w:val="13"/>
                        <w:lang w:val="en-GB"/>
                      </w:rPr>
                      <w:t>319,991,220</w:t>
                    </w:r>
                  </w:p>
                </w:tc>
                <w:tc>
                  <w:tcPr>
                    <w:tcW w:w="1068" w:type="dxa"/>
                    <w:vAlign w:val="bottom"/>
                    <w:hideMark/>
                  </w:tcPr>
                  <w:p w:rsidR="00C01624" w:rsidRPr="00C01624" w:rsidRDefault="00C01624" w:rsidP="00871496">
                    <w:pPr>
                      <w:snapToGrid w:val="0"/>
                      <w:ind w:right="60"/>
                      <w:jc w:val="right"/>
                      <w:rPr>
                        <w:lang w:val="en-GB"/>
                      </w:rPr>
                    </w:pPr>
                    <w:r w:rsidRPr="00C01624">
                      <w:rPr>
                        <w:sz w:val="13"/>
                        <w:lang w:val="en-GB"/>
                      </w:rPr>
                      <w:t>2,367,935,028</w:t>
                    </w:r>
                  </w:p>
                </w:tc>
                <w:tc>
                  <w:tcPr>
                    <w:tcW w:w="1068" w:type="dxa"/>
                    <w:vAlign w:val="bottom"/>
                    <w:hideMark/>
                  </w:tcPr>
                  <w:p w:rsidR="00C01624" w:rsidRPr="00C01624" w:rsidRDefault="00C01624" w:rsidP="00871496">
                    <w:pPr>
                      <w:snapToGrid w:val="0"/>
                      <w:ind w:right="89"/>
                      <w:jc w:val="right"/>
                      <w:rPr>
                        <w:lang w:val="en-GB"/>
                      </w:rPr>
                    </w:pPr>
                    <w:r w:rsidRPr="00C01624">
                      <w:rPr>
                        <w:sz w:val="13"/>
                        <w:lang w:val="en-GB"/>
                      </w:rPr>
                      <w:t>34,559,051,760</w:t>
                    </w:r>
                  </w:p>
                </w:tc>
                <w:tc>
                  <w:tcPr>
                    <w:tcW w:w="1068" w:type="dxa"/>
                    <w:vAlign w:val="bottom"/>
                    <w:hideMark/>
                  </w:tcPr>
                  <w:p w:rsidR="00C01624" w:rsidRPr="00C01624" w:rsidRDefault="00C01624" w:rsidP="00871496">
                    <w:pPr>
                      <w:snapToGrid w:val="0"/>
                      <w:ind w:right="56"/>
                      <w:jc w:val="right"/>
                      <w:rPr>
                        <w:lang w:val="en-GB"/>
                      </w:rPr>
                    </w:pPr>
                    <w:r w:rsidRPr="00C01624">
                      <w:rPr>
                        <w:sz w:val="13"/>
                        <w:lang w:val="en-GB"/>
                      </w:rPr>
                      <w:t>37,406,973,618</w:t>
                    </w:r>
                  </w:p>
                </w:tc>
                <w:tc>
                  <w:tcPr>
                    <w:tcW w:w="1068" w:type="dxa"/>
                    <w:vAlign w:val="bottom"/>
                    <w:hideMark/>
                  </w:tcPr>
                  <w:p w:rsidR="00C01624" w:rsidRPr="00C01624" w:rsidRDefault="00C01624" w:rsidP="00871496">
                    <w:pPr>
                      <w:snapToGrid w:val="0"/>
                      <w:ind w:right="70"/>
                      <w:jc w:val="right"/>
                      <w:rPr>
                        <w:lang w:val="en-GB"/>
                      </w:rPr>
                    </w:pPr>
                    <w:r w:rsidRPr="00C01624">
                      <w:rPr>
                        <w:sz w:val="13"/>
                        <w:lang w:val="en-GB"/>
                      </w:rPr>
                      <w:t>29,577,474,953</w:t>
                    </w:r>
                  </w:p>
                </w:tc>
              </w:tr>
              <w:tr w:rsidR="00C01624" w:rsidRPr="00C01624" w:rsidTr="00DB008B">
                <w:trPr>
                  <w:jc w:val="right"/>
                </w:trPr>
                <w:tc>
                  <w:tcPr>
                    <w:tcW w:w="2424" w:type="dxa"/>
                    <w:vAlign w:val="bottom"/>
                    <w:hideMark/>
                  </w:tcPr>
                  <w:p w:rsidR="00C01624" w:rsidRPr="00C01624" w:rsidRDefault="00C01624" w:rsidP="00DB008B">
                    <w:pPr>
                      <w:snapToGrid w:val="0"/>
                      <w:ind w:left="136" w:hanging="136"/>
                      <w:rPr>
                        <w:lang w:val="en-GB"/>
                      </w:rPr>
                    </w:pPr>
                    <w:r w:rsidRPr="00C01624">
                      <w:rPr>
                        <w:rFonts w:hint="eastAsia"/>
                        <w:sz w:val="13"/>
                        <w:lang w:val="en-GB"/>
                      </w:rPr>
                      <w:t>长期应付款</w:t>
                    </w:r>
                    <w:r w:rsidRPr="00C01624">
                      <w:rPr>
                        <w:sz w:val="13"/>
                        <w:lang w:val="en-GB"/>
                      </w:rPr>
                      <w:t xml:space="preserve"> (</w:t>
                    </w:r>
                    <w:r w:rsidRPr="00C01624">
                      <w:rPr>
                        <w:rFonts w:hint="eastAsia"/>
                        <w:sz w:val="13"/>
                        <w:lang w:val="en-GB"/>
                      </w:rPr>
                      <w:t>不含专项应付款</w:t>
                    </w:r>
                    <w:r w:rsidRPr="00C01624">
                      <w:rPr>
                        <w:sz w:val="13"/>
                        <w:lang w:val="en-GB"/>
                      </w:rPr>
                      <w:t>)</w:t>
                    </w:r>
                  </w:p>
                </w:tc>
                <w:tc>
                  <w:tcPr>
                    <w:tcW w:w="1069" w:type="dxa"/>
                    <w:vAlign w:val="bottom"/>
                    <w:hideMark/>
                  </w:tcPr>
                  <w:p w:rsidR="00C01624" w:rsidRPr="00C01624" w:rsidRDefault="00C01624" w:rsidP="00871496">
                    <w:pPr>
                      <w:snapToGrid w:val="0"/>
                      <w:ind w:right="65"/>
                      <w:jc w:val="right"/>
                      <w:rPr>
                        <w:lang w:val="en-GB"/>
                      </w:rPr>
                    </w:pPr>
                    <w:r w:rsidRPr="00C01624">
                      <w:rPr>
                        <w:sz w:val="13"/>
                        <w:lang w:val="en-GB"/>
                      </w:rPr>
                      <w:t>0</w:t>
                    </w:r>
                  </w:p>
                </w:tc>
                <w:tc>
                  <w:tcPr>
                    <w:tcW w:w="1068" w:type="dxa"/>
                    <w:vAlign w:val="bottom"/>
                    <w:hideMark/>
                  </w:tcPr>
                  <w:p w:rsidR="00C01624" w:rsidRPr="00C01624" w:rsidRDefault="00C01624" w:rsidP="00871496">
                    <w:pPr>
                      <w:snapToGrid w:val="0"/>
                      <w:ind w:right="79"/>
                      <w:jc w:val="right"/>
                      <w:rPr>
                        <w:lang w:val="en-GB"/>
                      </w:rPr>
                    </w:pPr>
                    <w:r w:rsidRPr="00C01624">
                      <w:rPr>
                        <w:sz w:val="13"/>
                        <w:lang w:val="en-GB"/>
                      </w:rPr>
                      <w:t>0</w:t>
                    </w:r>
                  </w:p>
                </w:tc>
                <w:tc>
                  <w:tcPr>
                    <w:tcW w:w="1068" w:type="dxa"/>
                    <w:vAlign w:val="bottom"/>
                    <w:hideMark/>
                  </w:tcPr>
                  <w:p w:rsidR="00C01624" w:rsidRPr="00C01624" w:rsidRDefault="00C01624" w:rsidP="00871496">
                    <w:pPr>
                      <w:snapToGrid w:val="0"/>
                      <w:ind w:right="60"/>
                      <w:jc w:val="right"/>
                      <w:rPr>
                        <w:lang w:val="en-GB"/>
                      </w:rPr>
                    </w:pPr>
                    <w:r w:rsidRPr="00C01624">
                      <w:rPr>
                        <w:sz w:val="13"/>
                        <w:lang w:val="en-GB"/>
                      </w:rPr>
                      <w:t>0</w:t>
                    </w:r>
                  </w:p>
                </w:tc>
                <w:tc>
                  <w:tcPr>
                    <w:tcW w:w="1068" w:type="dxa"/>
                    <w:vAlign w:val="bottom"/>
                    <w:hideMark/>
                  </w:tcPr>
                  <w:p w:rsidR="00C01624" w:rsidRPr="00C01624" w:rsidRDefault="00C01624" w:rsidP="00871496">
                    <w:pPr>
                      <w:snapToGrid w:val="0"/>
                      <w:ind w:right="89"/>
                      <w:jc w:val="right"/>
                      <w:rPr>
                        <w:lang w:val="en-GB"/>
                      </w:rPr>
                    </w:pPr>
                    <w:r w:rsidRPr="00C01624">
                      <w:rPr>
                        <w:sz w:val="13"/>
                        <w:lang w:val="en-GB"/>
                      </w:rPr>
                      <w:t>637,580</w:t>
                    </w:r>
                  </w:p>
                </w:tc>
                <w:tc>
                  <w:tcPr>
                    <w:tcW w:w="1068" w:type="dxa"/>
                    <w:vAlign w:val="bottom"/>
                    <w:hideMark/>
                  </w:tcPr>
                  <w:p w:rsidR="00C01624" w:rsidRPr="00C01624" w:rsidRDefault="00C01624" w:rsidP="00871496">
                    <w:pPr>
                      <w:snapToGrid w:val="0"/>
                      <w:ind w:right="56"/>
                      <w:jc w:val="right"/>
                      <w:rPr>
                        <w:lang w:val="en-GB"/>
                      </w:rPr>
                    </w:pPr>
                    <w:r w:rsidRPr="00C01624">
                      <w:rPr>
                        <w:sz w:val="13"/>
                        <w:lang w:val="en-GB"/>
                      </w:rPr>
                      <w:t>637,580</w:t>
                    </w:r>
                  </w:p>
                </w:tc>
                <w:tc>
                  <w:tcPr>
                    <w:tcW w:w="1068" w:type="dxa"/>
                    <w:vAlign w:val="bottom"/>
                    <w:hideMark/>
                  </w:tcPr>
                  <w:p w:rsidR="00C01624" w:rsidRPr="00C01624" w:rsidRDefault="00C01624" w:rsidP="00871496">
                    <w:pPr>
                      <w:snapToGrid w:val="0"/>
                      <w:ind w:right="70"/>
                      <w:jc w:val="right"/>
                      <w:rPr>
                        <w:lang w:val="en-GB"/>
                      </w:rPr>
                    </w:pPr>
                    <w:r w:rsidRPr="00C01624">
                      <w:rPr>
                        <w:sz w:val="13"/>
                        <w:lang w:val="en-GB"/>
                      </w:rPr>
                      <w:t>637,580</w:t>
                    </w:r>
                  </w:p>
                </w:tc>
              </w:tr>
              <w:tr w:rsidR="00C01624" w:rsidRPr="00C01624" w:rsidTr="00DB008B">
                <w:trPr>
                  <w:jc w:val="right"/>
                </w:trPr>
                <w:tc>
                  <w:tcPr>
                    <w:tcW w:w="2424" w:type="dxa"/>
                    <w:vAlign w:val="bottom"/>
                    <w:hideMark/>
                  </w:tcPr>
                  <w:p w:rsidR="00C01624" w:rsidRPr="00C01624" w:rsidRDefault="00C01624" w:rsidP="00DB008B">
                    <w:pPr>
                      <w:snapToGrid w:val="0"/>
                      <w:ind w:left="136" w:hanging="136"/>
                      <w:rPr>
                        <w:lang w:val="en-GB"/>
                      </w:rPr>
                    </w:pPr>
                    <w:r w:rsidRPr="00C01624">
                      <w:rPr>
                        <w:rFonts w:hint="eastAsia"/>
                        <w:sz w:val="13"/>
                        <w:lang w:val="en-GB"/>
                      </w:rPr>
                      <w:t>租赁负债</w:t>
                    </w:r>
                  </w:p>
                </w:tc>
                <w:tc>
                  <w:tcPr>
                    <w:tcW w:w="1069" w:type="dxa"/>
                    <w:vAlign w:val="bottom"/>
                    <w:hideMark/>
                  </w:tcPr>
                  <w:p w:rsidR="00C01624" w:rsidRPr="00C01624" w:rsidRDefault="00C01624" w:rsidP="00871496">
                    <w:pPr>
                      <w:snapToGrid w:val="0"/>
                      <w:ind w:right="65"/>
                      <w:jc w:val="right"/>
                      <w:rPr>
                        <w:lang w:val="en-GB"/>
                      </w:rPr>
                    </w:pPr>
                    <w:r w:rsidRPr="00C01624">
                      <w:rPr>
                        <w:sz w:val="13"/>
                        <w:lang w:val="en-GB"/>
                      </w:rPr>
                      <w:t>290,572,243</w:t>
                    </w:r>
                  </w:p>
                </w:tc>
                <w:tc>
                  <w:tcPr>
                    <w:tcW w:w="1068" w:type="dxa"/>
                    <w:vAlign w:val="bottom"/>
                    <w:hideMark/>
                  </w:tcPr>
                  <w:p w:rsidR="00C01624" w:rsidRPr="00C01624" w:rsidRDefault="00C01624" w:rsidP="00871496">
                    <w:pPr>
                      <w:snapToGrid w:val="0"/>
                      <w:ind w:right="79"/>
                      <w:jc w:val="right"/>
                      <w:rPr>
                        <w:lang w:val="en-GB"/>
                      </w:rPr>
                    </w:pPr>
                    <w:r w:rsidRPr="00C01624">
                      <w:rPr>
                        <w:sz w:val="13"/>
                        <w:lang w:val="en-GB"/>
                      </w:rPr>
                      <w:t>268,518,942</w:t>
                    </w:r>
                  </w:p>
                </w:tc>
                <w:tc>
                  <w:tcPr>
                    <w:tcW w:w="1068" w:type="dxa"/>
                    <w:vAlign w:val="bottom"/>
                    <w:hideMark/>
                  </w:tcPr>
                  <w:p w:rsidR="00C01624" w:rsidRPr="00C01624" w:rsidRDefault="00C01624" w:rsidP="00871496">
                    <w:pPr>
                      <w:snapToGrid w:val="0"/>
                      <w:ind w:right="60"/>
                      <w:jc w:val="right"/>
                      <w:rPr>
                        <w:lang w:val="en-GB"/>
                      </w:rPr>
                    </w:pPr>
                    <w:r w:rsidRPr="00C01624">
                      <w:rPr>
                        <w:sz w:val="13"/>
                        <w:lang w:val="en-GB"/>
                      </w:rPr>
                      <w:t>107,987,755</w:t>
                    </w:r>
                  </w:p>
                </w:tc>
                <w:tc>
                  <w:tcPr>
                    <w:tcW w:w="1068" w:type="dxa"/>
                    <w:vAlign w:val="bottom"/>
                    <w:hideMark/>
                  </w:tcPr>
                  <w:p w:rsidR="00C01624" w:rsidRPr="00C01624" w:rsidRDefault="00C01624" w:rsidP="00871496">
                    <w:pPr>
                      <w:snapToGrid w:val="0"/>
                      <w:ind w:right="89"/>
                      <w:jc w:val="right"/>
                      <w:rPr>
                        <w:lang w:val="en-GB"/>
                      </w:rPr>
                    </w:pPr>
                    <w:r w:rsidRPr="00C01624">
                      <w:rPr>
                        <w:sz w:val="13"/>
                        <w:lang w:val="en-GB"/>
                      </w:rPr>
                      <w:t>920,524,269</w:t>
                    </w:r>
                  </w:p>
                </w:tc>
                <w:tc>
                  <w:tcPr>
                    <w:tcW w:w="1068" w:type="dxa"/>
                    <w:vAlign w:val="bottom"/>
                    <w:hideMark/>
                  </w:tcPr>
                  <w:p w:rsidR="00C01624" w:rsidRPr="00C01624" w:rsidRDefault="00C01624" w:rsidP="00871496">
                    <w:pPr>
                      <w:snapToGrid w:val="0"/>
                      <w:ind w:right="56"/>
                      <w:jc w:val="right"/>
                      <w:rPr>
                        <w:lang w:val="en-GB"/>
                      </w:rPr>
                    </w:pPr>
                    <w:r w:rsidRPr="00C01624">
                      <w:rPr>
                        <w:sz w:val="13"/>
                        <w:lang w:val="en-GB"/>
                      </w:rPr>
                      <w:t>1,587,603,209</w:t>
                    </w:r>
                  </w:p>
                </w:tc>
                <w:tc>
                  <w:tcPr>
                    <w:tcW w:w="1068" w:type="dxa"/>
                    <w:vAlign w:val="bottom"/>
                    <w:hideMark/>
                  </w:tcPr>
                  <w:p w:rsidR="00C01624" w:rsidRPr="00C01624" w:rsidRDefault="00C01624" w:rsidP="00871496">
                    <w:pPr>
                      <w:snapToGrid w:val="0"/>
                      <w:ind w:right="70"/>
                      <w:jc w:val="right"/>
                      <w:rPr>
                        <w:lang w:val="en-GB"/>
                      </w:rPr>
                    </w:pPr>
                    <w:r w:rsidRPr="00C01624">
                      <w:rPr>
                        <w:sz w:val="13"/>
                        <w:lang w:val="en-GB"/>
                      </w:rPr>
                      <w:t>1,007,692,416</w:t>
                    </w:r>
                  </w:p>
                </w:tc>
              </w:tr>
              <w:tr w:rsidR="00C01624" w:rsidRPr="00C01624" w:rsidTr="00DB008B">
                <w:trPr>
                  <w:jc w:val="right"/>
                </w:trPr>
                <w:tc>
                  <w:tcPr>
                    <w:tcW w:w="2424" w:type="dxa"/>
                    <w:vAlign w:val="bottom"/>
                    <w:hideMark/>
                  </w:tcPr>
                  <w:p w:rsidR="00C01624" w:rsidRPr="00C01624" w:rsidRDefault="00C01624" w:rsidP="00DB008B">
                    <w:pPr>
                      <w:snapToGrid w:val="0"/>
                      <w:ind w:left="136" w:hanging="136"/>
                      <w:rPr>
                        <w:lang w:val="en-GB"/>
                      </w:rPr>
                    </w:pPr>
                    <w:r w:rsidRPr="00C01624">
                      <w:rPr>
                        <w:rFonts w:hint="eastAsia"/>
                        <w:sz w:val="13"/>
                        <w:lang w:val="en-GB"/>
                      </w:rPr>
                      <w:t>合计</w:t>
                    </w:r>
                  </w:p>
                </w:tc>
                <w:tc>
                  <w:tcPr>
                    <w:tcW w:w="1069" w:type="dxa"/>
                    <w:vAlign w:val="bottom"/>
                    <w:hideMark/>
                  </w:tcPr>
                  <w:p w:rsidR="00C01624" w:rsidRPr="00C01624" w:rsidRDefault="00C01624" w:rsidP="00871496">
                    <w:pPr>
                      <w:snapToGrid w:val="0"/>
                      <w:ind w:right="65"/>
                      <w:jc w:val="right"/>
                      <w:rPr>
                        <w:lang w:val="en-GB"/>
                      </w:rPr>
                    </w:pPr>
                    <w:r w:rsidRPr="00C01624">
                      <w:rPr>
                        <w:sz w:val="13"/>
                        <w:lang w:val="en-GB"/>
                      </w:rPr>
                      <w:t>13,755,993,966</w:t>
                    </w:r>
                  </w:p>
                </w:tc>
                <w:tc>
                  <w:tcPr>
                    <w:tcW w:w="1068" w:type="dxa"/>
                    <w:vAlign w:val="bottom"/>
                    <w:hideMark/>
                  </w:tcPr>
                  <w:p w:rsidR="00C01624" w:rsidRPr="00C01624" w:rsidRDefault="00C01624" w:rsidP="00871496">
                    <w:pPr>
                      <w:snapToGrid w:val="0"/>
                      <w:ind w:right="79"/>
                      <w:jc w:val="right"/>
                      <w:rPr>
                        <w:lang w:val="en-GB"/>
                      </w:rPr>
                    </w:pPr>
                    <w:r w:rsidRPr="00C01624">
                      <w:rPr>
                        <w:sz w:val="13"/>
                        <w:lang w:val="en-GB"/>
                      </w:rPr>
                      <w:t>1,982,628,761</w:t>
                    </w:r>
                  </w:p>
                </w:tc>
                <w:tc>
                  <w:tcPr>
                    <w:tcW w:w="1068" w:type="dxa"/>
                    <w:vAlign w:val="bottom"/>
                    <w:hideMark/>
                  </w:tcPr>
                  <w:p w:rsidR="00C01624" w:rsidRPr="00C01624" w:rsidRDefault="00C01624" w:rsidP="00871496">
                    <w:pPr>
                      <w:snapToGrid w:val="0"/>
                      <w:ind w:right="60"/>
                      <w:jc w:val="right"/>
                      <w:rPr>
                        <w:lang w:val="en-GB"/>
                      </w:rPr>
                    </w:pPr>
                    <w:r w:rsidRPr="00C01624">
                      <w:rPr>
                        <w:sz w:val="13"/>
                        <w:lang w:val="en-GB"/>
                      </w:rPr>
                      <w:t>7,351,056,525</w:t>
                    </w:r>
                  </w:p>
                </w:tc>
                <w:tc>
                  <w:tcPr>
                    <w:tcW w:w="1068" w:type="dxa"/>
                    <w:vAlign w:val="bottom"/>
                    <w:hideMark/>
                  </w:tcPr>
                  <w:p w:rsidR="00C01624" w:rsidRPr="00C01624" w:rsidRDefault="00C01624" w:rsidP="00871496">
                    <w:pPr>
                      <w:snapToGrid w:val="0"/>
                      <w:ind w:right="89"/>
                      <w:jc w:val="right"/>
                      <w:rPr>
                        <w:lang w:val="en-GB"/>
                      </w:rPr>
                    </w:pPr>
                    <w:r w:rsidRPr="00C01624">
                      <w:rPr>
                        <w:sz w:val="13"/>
                        <w:lang w:val="en-GB"/>
                      </w:rPr>
                      <w:t>43,127,721,044</w:t>
                    </w:r>
                  </w:p>
                </w:tc>
                <w:tc>
                  <w:tcPr>
                    <w:tcW w:w="1068" w:type="dxa"/>
                    <w:vAlign w:val="bottom"/>
                    <w:hideMark/>
                  </w:tcPr>
                  <w:p w:rsidR="00C01624" w:rsidRPr="00C01624" w:rsidRDefault="00C01624" w:rsidP="00871496">
                    <w:pPr>
                      <w:snapToGrid w:val="0"/>
                      <w:ind w:right="56"/>
                      <w:jc w:val="right"/>
                      <w:rPr>
                        <w:lang w:val="en-GB"/>
                      </w:rPr>
                    </w:pPr>
                    <w:r w:rsidRPr="00C01624">
                      <w:rPr>
                        <w:sz w:val="13"/>
                        <w:lang w:val="en-GB"/>
                      </w:rPr>
                      <w:t>66,217,400,296</w:t>
                    </w:r>
                  </w:p>
                </w:tc>
                <w:tc>
                  <w:tcPr>
                    <w:tcW w:w="1068" w:type="dxa"/>
                    <w:vAlign w:val="bottom"/>
                    <w:hideMark/>
                  </w:tcPr>
                  <w:p w:rsidR="00C01624" w:rsidRPr="00C01624" w:rsidRDefault="00C01624" w:rsidP="00871496">
                    <w:pPr>
                      <w:snapToGrid w:val="0"/>
                      <w:ind w:right="70"/>
                      <w:jc w:val="right"/>
                      <w:rPr>
                        <w:lang w:val="en-GB"/>
                      </w:rPr>
                    </w:pPr>
                    <w:r w:rsidRPr="00C01624">
                      <w:rPr>
                        <w:sz w:val="13"/>
                        <w:lang w:val="en-GB"/>
                      </w:rPr>
                      <w:t>55,197,822,653</w:t>
                    </w:r>
                  </w:p>
                </w:tc>
              </w:tr>
            </w:tbl>
            <w:p w:rsidR="003167B5" w:rsidRDefault="003167B5" w:rsidP="003167B5">
              <w:pPr>
                <w:tabs>
                  <w:tab w:val="left" w:pos="2410"/>
                  <w:tab w:val="center" w:pos="5103"/>
                  <w:tab w:val="right" w:pos="7938"/>
                  <w:tab w:val="right" w:pos="9072"/>
                </w:tabs>
                <w:overflowPunct w:val="0"/>
                <w:adjustRightInd w:val="0"/>
                <w:snapToGrid w:val="0"/>
                <w:rPr>
                  <w:rFonts w:ascii="Arial" w:hAnsi="Arial" w:cs="Arial"/>
                  <w:sz w:val="22"/>
                  <w:szCs w:val="22"/>
                </w:rPr>
              </w:pPr>
            </w:p>
            <w:p w:rsidR="00461982" w:rsidRPr="001F185D" w:rsidRDefault="00461982" w:rsidP="00FF17C7">
              <w:pPr>
                <w:pStyle w:val="3"/>
                <w:keepNext w:val="0"/>
                <w:widowControl/>
                <w:numPr>
                  <w:ilvl w:val="0"/>
                  <w:numId w:val="135"/>
                </w:numPr>
                <w:tabs>
                  <w:tab w:val="left" w:pos="0"/>
                </w:tabs>
                <w:overflowPunct w:val="0"/>
                <w:adjustRightInd w:val="0"/>
                <w:snapToGrid w:val="0"/>
                <w:spacing w:before="0" w:after="0"/>
                <w:rPr>
                  <w:rFonts w:ascii="Arial" w:hAnsi="Arial" w:cs="Arial"/>
                  <w:b w:val="0"/>
                  <w:kern w:val="0"/>
                  <w:sz w:val="22"/>
                  <w:szCs w:val="22"/>
                </w:rPr>
              </w:pPr>
              <w:r w:rsidRPr="001F185D">
                <w:rPr>
                  <w:rFonts w:ascii="Arial" w:hAnsi="Arial" w:cs="Arial" w:hint="eastAsia"/>
                  <w:b w:val="0"/>
                  <w:kern w:val="0"/>
                  <w:sz w:val="22"/>
                  <w:szCs w:val="22"/>
                </w:rPr>
                <w:t>利率风险</w:t>
              </w:r>
            </w:p>
            <w:p w:rsidR="00461982" w:rsidRPr="001F185D" w:rsidRDefault="00461982" w:rsidP="00461982">
              <w:pPr>
                <w:overflowPunct w:val="0"/>
                <w:adjustRightInd w:val="0"/>
                <w:snapToGrid w:val="0"/>
                <w:rPr>
                  <w:rFonts w:cs="Arial"/>
                  <w:sz w:val="22"/>
                  <w:szCs w:val="22"/>
                </w:rPr>
              </w:pPr>
            </w:p>
            <w:p w:rsidR="00461982" w:rsidRPr="001F185D" w:rsidRDefault="00461982" w:rsidP="00461982">
              <w:pPr>
                <w:overflowPunct w:val="0"/>
                <w:adjustRightInd w:val="0"/>
                <w:snapToGrid w:val="0"/>
                <w:rPr>
                  <w:rFonts w:cs="Arial"/>
                  <w:sz w:val="22"/>
                  <w:szCs w:val="22"/>
                </w:rPr>
              </w:pPr>
              <w:r w:rsidRPr="001F185D">
                <w:rPr>
                  <w:rFonts w:cs="Arial" w:hint="eastAsia"/>
                  <w:sz w:val="22"/>
                  <w:szCs w:val="22"/>
                </w:rPr>
                <w:t>固定利率和浮动利率的带息金融工具分别使本集团面临公允价值利率风险及现金流量利率风险。本集团根据市场环境来决定固定利率与浮动利率工具的比例，并通过定期审阅与监察维持适当的固定和浮动利率工具组合。</w:t>
              </w:r>
            </w:p>
            <w:p w:rsidR="00461982" w:rsidRPr="001F185D" w:rsidRDefault="00461982" w:rsidP="00461982">
              <w:pPr>
                <w:overflowPunct w:val="0"/>
                <w:adjustRightInd w:val="0"/>
                <w:snapToGrid w:val="0"/>
                <w:rPr>
                  <w:rFonts w:cs="Arial"/>
                  <w:sz w:val="22"/>
                  <w:szCs w:val="22"/>
                </w:rPr>
              </w:pPr>
            </w:p>
            <w:p w:rsidR="00461982" w:rsidRPr="00C01624" w:rsidRDefault="00461982" w:rsidP="00461982">
              <w:pPr>
                <w:pStyle w:val="6"/>
                <w:keepNext w:val="0"/>
                <w:keepLines w:val="0"/>
                <w:tabs>
                  <w:tab w:val="left" w:pos="0"/>
                </w:tabs>
                <w:overflowPunct w:val="0"/>
                <w:adjustRightInd w:val="0"/>
                <w:snapToGrid w:val="0"/>
                <w:spacing w:before="0" w:after="0"/>
                <w:rPr>
                  <w:rFonts w:asciiTheme="majorEastAsia" w:eastAsiaTheme="majorEastAsia" w:hAnsiTheme="majorEastAsia" w:cs="Arial"/>
                  <w:b w:val="0"/>
                  <w:sz w:val="22"/>
                  <w:szCs w:val="22"/>
                </w:rPr>
              </w:pPr>
              <w:r w:rsidRPr="00C01624">
                <w:rPr>
                  <w:rFonts w:asciiTheme="majorEastAsia" w:eastAsiaTheme="majorEastAsia" w:hAnsiTheme="majorEastAsia" w:cs="Arial" w:hint="eastAsia"/>
                  <w:b w:val="0"/>
                  <w:sz w:val="22"/>
                  <w:szCs w:val="22"/>
                </w:rPr>
                <w:t>(1)</w:t>
              </w:r>
              <w:r w:rsidRPr="00C01624">
                <w:rPr>
                  <w:rFonts w:asciiTheme="majorEastAsia" w:eastAsiaTheme="majorEastAsia" w:hAnsiTheme="majorEastAsia" w:cs="Arial" w:hint="eastAsia"/>
                  <w:b w:val="0"/>
                  <w:sz w:val="22"/>
                  <w:szCs w:val="22"/>
                </w:rPr>
                <w:tab/>
                <w:t>本集团于12月31日持有的计息金融工具如下：</w:t>
              </w:r>
            </w:p>
            <w:p w:rsidR="00461982" w:rsidRPr="001F185D" w:rsidRDefault="00461982" w:rsidP="00461982">
              <w:pPr>
                <w:overflowPunct w:val="0"/>
                <w:adjustRightInd w:val="0"/>
                <w:snapToGrid w:val="0"/>
                <w:rPr>
                  <w:rFonts w:cs="Arial"/>
                  <w:sz w:val="22"/>
                </w:rPr>
              </w:pPr>
            </w:p>
            <w:p w:rsidR="00461982" w:rsidRDefault="00461982" w:rsidP="00461982">
              <w:pPr>
                <w:overflowPunct w:val="0"/>
                <w:adjustRightInd w:val="0"/>
                <w:snapToGrid w:val="0"/>
                <w:rPr>
                  <w:rFonts w:cs="Arial"/>
                  <w:sz w:val="22"/>
                </w:rPr>
              </w:pPr>
              <w:r w:rsidRPr="001F185D">
                <w:rPr>
                  <w:rFonts w:cs="Arial" w:hint="eastAsia"/>
                  <w:sz w:val="22"/>
                </w:rPr>
                <w:t>固定利率金融工具：</w:t>
              </w:r>
            </w:p>
            <w:p w:rsidR="0059413F" w:rsidRPr="0059413F" w:rsidRDefault="0059413F" w:rsidP="0059413F">
              <w:pPr>
                <w:overflowPunct w:val="0"/>
                <w:adjustRightInd w:val="0"/>
                <w:snapToGrid w:val="0"/>
                <w:jc w:val="right"/>
                <w:rPr>
                  <w:rFonts w:asciiTheme="majorEastAsia" w:eastAsiaTheme="majorEastAsia" w:hAnsiTheme="majorEastAsia" w:cs="Arial"/>
                  <w:sz w:val="22"/>
                </w:rPr>
              </w:pPr>
              <w:r w:rsidRPr="0059413F">
                <w:rPr>
                  <w:rFonts w:asciiTheme="majorEastAsia" w:eastAsiaTheme="majorEastAsia" w:hAnsiTheme="majorEastAsia" w:cs="PMingLiU" w:hint="eastAsia"/>
                  <w:szCs w:val="21"/>
                </w:rPr>
                <w:t>单</w:t>
              </w:r>
              <w:r w:rsidRPr="0059413F">
                <w:rPr>
                  <w:rFonts w:asciiTheme="majorEastAsia" w:eastAsiaTheme="majorEastAsia" w:hAnsiTheme="majorEastAsia" w:cs="Yu Gothic" w:hint="eastAsia"/>
                  <w:szCs w:val="21"/>
                </w:rPr>
                <w:t>位：元</w:t>
              </w:r>
              <w:r w:rsidRPr="0059413F">
                <w:rPr>
                  <w:rFonts w:asciiTheme="majorEastAsia" w:eastAsiaTheme="majorEastAsia" w:hAnsiTheme="majorEastAsia" w:cs="螳倶ｽ・"/>
                  <w:szCs w:val="21"/>
                </w:rPr>
                <w:t xml:space="preserve"> </w:t>
              </w:r>
              <w:r w:rsidRPr="0059413F">
                <w:rPr>
                  <w:rFonts w:asciiTheme="majorEastAsia" w:eastAsiaTheme="majorEastAsia" w:hAnsiTheme="majorEastAsia" w:cs="PMingLiU" w:hint="eastAsia"/>
                  <w:szCs w:val="21"/>
                </w:rPr>
                <w:t>币</w:t>
              </w:r>
              <w:r w:rsidRPr="0059413F">
                <w:rPr>
                  <w:rFonts w:asciiTheme="majorEastAsia" w:eastAsiaTheme="majorEastAsia" w:hAnsiTheme="majorEastAsia" w:cs="Yu Gothic" w:hint="eastAsia"/>
                  <w:szCs w:val="21"/>
                </w:rPr>
                <w:t>种：人民</w:t>
              </w:r>
              <w:r w:rsidRPr="0059413F">
                <w:rPr>
                  <w:rFonts w:asciiTheme="majorEastAsia" w:eastAsiaTheme="majorEastAsia" w:hAnsiTheme="majorEastAsia" w:cs="PMingLiU" w:hint="eastAsia"/>
                  <w:szCs w:val="21"/>
                </w:rPr>
                <w:t>币</w:t>
              </w: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28" w:type="dxa"/>
                </w:tblCellMar>
                <w:tblLook w:val="04A0"/>
              </w:tblPr>
              <w:tblGrid>
                <w:gridCol w:w="5197"/>
                <w:gridCol w:w="1937"/>
                <w:gridCol w:w="1797"/>
              </w:tblGrid>
              <w:tr w:rsidR="00461982" w:rsidRPr="001F185D" w:rsidTr="0059413F">
                <w:tc>
                  <w:tcPr>
                    <w:tcW w:w="5197" w:type="dxa"/>
                    <w:vAlign w:val="center"/>
                  </w:tcPr>
                  <w:p w:rsidR="00461982" w:rsidRPr="00461982" w:rsidRDefault="00461982" w:rsidP="00871496">
                    <w:pPr>
                      <w:snapToGrid w:val="0"/>
                      <w:ind w:left="221" w:hanging="221"/>
                      <w:jc w:val="center"/>
                    </w:pPr>
                    <w:bookmarkStart w:id="252" w:name="_Hlk132035103"/>
                    <w:r w:rsidRPr="00461982">
                      <w:t> </w:t>
                    </w:r>
                  </w:p>
                </w:tc>
                <w:tc>
                  <w:tcPr>
                    <w:tcW w:w="1937" w:type="dxa"/>
                    <w:vAlign w:val="center"/>
                  </w:tcPr>
                  <w:p w:rsidR="00461982" w:rsidRPr="00461982" w:rsidRDefault="00461982" w:rsidP="0059413F">
                    <w:pPr>
                      <w:snapToGrid w:val="0"/>
                      <w:jc w:val="center"/>
                    </w:pPr>
                    <w:r w:rsidRPr="00461982">
                      <w:t>2022年</w:t>
                    </w:r>
                  </w:p>
                </w:tc>
                <w:tc>
                  <w:tcPr>
                    <w:tcW w:w="1797" w:type="dxa"/>
                    <w:vAlign w:val="center"/>
                  </w:tcPr>
                  <w:p w:rsidR="00461982" w:rsidRPr="00461982" w:rsidRDefault="00461982" w:rsidP="0059413F">
                    <w:pPr>
                      <w:snapToGrid w:val="0"/>
                      <w:jc w:val="center"/>
                    </w:pPr>
                    <w:r w:rsidRPr="00461982">
                      <w:t>2021年</w:t>
                    </w:r>
                  </w:p>
                </w:tc>
              </w:tr>
              <w:tr w:rsidR="00461982" w:rsidRPr="001F185D" w:rsidTr="00461982">
                <w:tc>
                  <w:tcPr>
                    <w:tcW w:w="5197" w:type="dxa"/>
                    <w:vAlign w:val="bottom"/>
                  </w:tcPr>
                  <w:p w:rsidR="00461982" w:rsidRPr="00461982" w:rsidRDefault="00461982" w:rsidP="00871496">
                    <w:pPr>
                      <w:snapToGrid w:val="0"/>
                      <w:ind w:left="221" w:hanging="221"/>
                      <w:jc w:val="center"/>
                    </w:pPr>
                    <w:r w:rsidRPr="00461982">
                      <w:t>项目</w:t>
                    </w:r>
                  </w:p>
                </w:tc>
                <w:tc>
                  <w:tcPr>
                    <w:tcW w:w="1937" w:type="dxa"/>
                    <w:vAlign w:val="bottom"/>
                  </w:tcPr>
                  <w:p w:rsidR="00461982" w:rsidRPr="00461982" w:rsidRDefault="00461982" w:rsidP="009112BF">
                    <w:pPr>
                      <w:snapToGrid w:val="0"/>
                      <w:jc w:val="center"/>
                    </w:pPr>
                    <w:r w:rsidRPr="00461982">
                      <w:t>金额</w:t>
                    </w:r>
                  </w:p>
                </w:tc>
                <w:tc>
                  <w:tcPr>
                    <w:tcW w:w="1797" w:type="dxa"/>
                    <w:vAlign w:val="bottom"/>
                  </w:tcPr>
                  <w:p w:rsidR="00461982" w:rsidRPr="00461982" w:rsidRDefault="00461982" w:rsidP="009112BF">
                    <w:pPr>
                      <w:snapToGrid w:val="0"/>
                      <w:jc w:val="center"/>
                    </w:pPr>
                    <w:r w:rsidRPr="00461982">
                      <w:t>金额</w:t>
                    </w:r>
                  </w:p>
                </w:tc>
              </w:tr>
              <w:tr w:rsidR="00461982" w:rsidRPr="001F185D" w:rsidTr="00461982">
                <w:tc>
                  <w:tcPr>
                    <w:tcW w:w="5197" w:type="dxa"/>
                    <w:vAlign w:val="bottom"/>
                  </w:tcPr>
                  <w:p w:rsidR="00461982" w:rsidRPr="00461982" w:rsidRDefault="00461982" w:rsidP="00DB008B">
                    <w:pPr>
                      <w:snapToGrid w:val="0"/>
                      <w:ind w:left="221" w:hanging="221"/>
                    </w:pPr>
                    <w:r w:rsidRPr="00461982">
                      <w:t>金融负债</w:t>
                    </w:r>
                  </w:p>
                </w:tc>
                <w:tc>
                  <w:tcPr>
                    <w:tcW w:w="1937" w:type="dxa"/>
                    <w:vAlign w:val="bottom"/>
                  </w:tcPr>
                  <w:p w:rsidR="00461982" w:rsidRPr="00461982" w:rsidRDefault="00461982" w:rsidP="00DB008B">
                    <w:pPr>
                      <w:snapToGrid w:val="0"/>
                      <w:jc w:val="right"/>
                    </w:pPr>
                    <w:r w:rsidRPr="00461982">
                      <w:t> </w:t>
                    </w:r>
                  </w:p>
                </w:tc>
                <w:tc>
                  <w:tcPr>
                    <w:tcW w:w="1797" w:type="dxa"/>
                    <w:vAlign w:val="bottom"/>
                  </w:tcPr>
                  <w:p w:rsidR="00461982" w:rsidRPr="00461982" w:rsidRDefault="00461982" w:rsidP="00DB008B">
                    <w:pPr>
                      <w:snapToGrid w:val="0"/>
                      <w:jc w:val="right"/>
                    </w:pPr>
                    <w:r w:rsidRPr="00461982">
                      <w:t> </w:t>
                    </w:r>
                  </w:p>
                </w:tc>
              </w:tr>
              <w:tr w:rsidR="00461982" w:rsidRPr="001F185D" w:rsidTr="00461982">
                <w:tc>
                  <w:tcPr>
                    <w:tcW w:w="5197" w:type="dxa"/>
                    <w:vAlign w:val="bottom"/>
                  </w:tcPr>
                  <w:p w:rsidR="00461982" w:rsidRPr="00461982" w:rsidRDefault="00461982" w:rsidP="00DB008B">
                    <w:pPr>
                      <w:snapToGrid w:val="0"/>
                      <w:ind w:left="442" w:hanging="221"/>
                    </w:pPr>
                    <w:r w:rsidRPr="00461982">
                      <w:t>- 短期借款</w:t>
                    </w:r>
                  </w:p>
                </w:tc>
                <w:tc>
                  <w:tcPr>
                    <w:tcW w:w="1937" w:type="dxa"/>
                    <w:vAlign w:val="bottom"/>
                  </w:tcPr>
                  <w:p w:rsidR="00461982" w:rsidRPr="00461982" w:rsidRDefault="00461982" w:rsidP="00871496">
                    <w:pPr>
                      <w:snapToGrid w:val="0"/>
                      <w:ind w:right="86"/>
                      <w:jc w:val="right"/>
                    </w:pPr>
                    <w:r w:rsidRPr="00461982">
                      <w:t>164,000,000</w:t>
                    </w:r>
                  </w:p>
                </w:tc>
                <w:tc>
                  <w:tcPr>
                    <w:tcW w:w="1797" w:type="dxa"/>
                    <w:vAlign w:val="bottom"/>
                  </w:tcPr>
                  <w:p w:rsidR="00461982" w:rsidRPr="00461982" w:rsidRDefault="00461982" w:rsidP="00871496">
                    <w:pPr>
                      <w:snapToGrid w:val="0"/>
                      <w:ind w:right="79"/>
                      <w:jc w:val="right"/>
                    </w:pPr>
                    <w:r w:rsidRPr="00461982">
                      <w:t>115,000,000</w:t>
                    </w:r>
                  </w:p>
                </w:tc>
              </w:tr>
              <w:tr w:rsidR="00461982" w:rsidRPr="001F185D" w:rsidTr="00461982">
                <w:tc>
                  <w:tcPr>
                    <w:tcW w:w="5197" w:type="dxa"/>
                    <w:vAlign w:val="bottom"/>
                  </w:tcPr>
                  <w:p w:rsidR="00461982" w:rsidRPr="00461982" w:rsidRDefault="00461982" w:rsidP="00DB008B">
                    <w:pPr>
                      <w:snapToGrid w:val="0"/>
                      <w:ind w:left="442" w:hanging="221"/>
                    </w:pPr>
                    <w:r w:rsidRPr="00461982">
                      <w:t>- 长期借款</w:t>
                    </w:r>
                  </w:p>
                </w:tc>
                <w:tc>
                  <w:tcPr>
                    <w:tcW w:w="1937" w:type="dxa"/>
                    <w:vAlign w:val="bottom"/>
                  </w:tcPr>
                  <w:p w:rsidR="00461982" w:rsidRPr="00461982" w:rsidRDefault="00461982" w:rsidP="00871496">
                    <w:pPr>
                      <w:snapToGrid w:val="0"/>
                      <w:ind w:right="86"/>
                      <w:jc w:val="right"/>
                    </w:pPr>
                    <w:r w:rsidRPr="00461982">
                      <w:t>390,000,000</w:t>
                    </w:r>
                  </w:p>
                </w:tc>
                <w:tc>
                  <w:tcPr>
                    <w:tcW w:w="1797" w:type="dxa"/>
                    <w:vAlign w:val="bottom"/>
                  </w:tcPr>
                  <w:p w:rsidR="00461982" w:rsidRPr="00461982" w:rsidRDefault="00461982" w:rsidP="00871496">
                    <w:pPr>
                      <w:snapToGrid w:val="0"/>
                      <w:ind w:right="79"/>
                      <w:jc w:val="right"/>
                    </w:pPr>
                    <w:r w:rsidRPr="00461982">
                      <w:t>390,000,000</w:t>
                    </w:r>
                  </w:p>
                </w:tc>
              </w:tr>
              <w:tr w:rsidR="00461982" w:rsidRPr="001F185D" w:rsidTr="00461982">
                <w:tc>
                  <w:tcPr>
                    <w:tcW w:w="5197" w:type="dxa"/>
                    <w:vAlign w:val="bottom"/>
                  </w:tcPr>
                  <w:p w:rsidR="00461982" w:rsidRPr="00461982" w:rsidRDefault="00461982" w:rsidP="00DB008B">
                    <w:pPr>
                      <w:snapToGrid w:val="0"/>
                      <w:ind w:left="442" w:hanging="221"/>
                    </w:pPr>
                    <w:r w:rsidRPr="00461982">
                      <w:t>- 应付债券</w:t>
                    </w:r>
                  </w:p>
                </w:tc>
                <w:tc>
                  <w:tcPr>
                    <w:tcW w:w="1937" w:type="dxa"/>
                    <w:vAlign w:val="bottom"/>
                  </w:tcPr>
                  <w:p w:rsidR="00461982" w:rsidRPr="00461982" w:rsidRDefault="00461982" w:rsidP="00871496">
                    <w:pPr>
                      <w:snapToGrid w:val="0"/>
                      <w:ind w:right="86"/>
                      <w:jc w:val="right"/>
                    </w:pPr>
                    <w:r w:rsidRPr="00461982">
                      <w:t>30,227,177,413</w:t>
                    </w:r>
                  </w:p>
                </w:tc>
                <w:tc>
                  <w:tcPr>
                    <w:tcW w:w="1797" w:type="dxa"/>
                    <w:vAlign w:val="bottom"/>
                  </w:tcPr>
                  <w:p w:rsidR="00461982" w:rsidRPr="00461982" w:rsidRDefault="00461982" w:rsidP="00871496">
                    <w:pPr>
                      <w:snapToGrid w:val="0"/>
                      <w:ind w:right="79"/>
                      <w:jc w:val="right"/>
                    </w:pPr>
                    <w:r w:rsidRPr="00461982">
                      <w:t>29,570,023,092</w:t>
                    </w:r>
                  </w:p>
                </w:tc>
              </w:tr>
              <w:tr w:rsidR="00461982" w:rsidRPr="001F185D" w:rsidTr="00461982">
                <w:tc>
                  <w:tcPr>
                    <w:tcW w:w="5197" w:type="dxa"/>
                    <w:vAlign w:val="bottom"/>
                  </w:tcPr>
                  <w:p w:rsidR="00461982" w:rsidRPr="00461982" w:rsidRDefault="00461982" w:rsidP="00DB008B">
                    <w:pPr>
                      <w:snapToGrid w:val="0"/>
                      <w:ind w:left="442" w:hanging="221"/>
                    </w:pPr>
                    <w:r w:rsidRPr="00461982">
                      <w:t>- 租赁负债</w:t>
                    </w:r>
                  </w:p>
                </w:tc>
                <w:tc>
                  <w:tcPr>
                    <w:tcW w:w="1937" w:type="dxa"/>
                    <w:vAlign w:val="bottom"/>
                  </w:tcPr>
                  <w:p w:rsidR="00461982" w:rsidRPr="00461982" w:rsidRDefault="00461982" w:rsidP="00871496">
                    <w:pPr>
                      <w:snapToGrid w:val="0"/>
                      <w:ind w:right="86"/>
                      <w:jc w:val="right"/>
                    </w:pPr>
                    <w:r w:rsidRPr="00461982">
                      <w:t>609,948,405</w:t>
                    </w:r>
                  </w:p>
                </w:tc>
                <w:tc>
                  <w:tcPr>
                    <w:tcW w:w="1797" w:type="dxa"/>
                    <w:vAlign w:val="bottom"/>
                  </w:tcPr>
                  <w:p w:rsidR="00461982" w:rsidRPr="00461982" w:rsidRDefault="00461982" w:rsidP="00871496">
                    <w:pPr>
                      <w:snapToGrid w:val="0"/>
                      <w:ind w:right="79"/>
                      <w:jc w:val="right"/>
                    </w:pPr>
                    <w:r w:rsidRPr="00461982">
                      <w:t>837,345,036</w:t>
                    </w:r>
                  </w:p>
                </w:tc>
              </w:tr>
              <w:tr w:rsidR="00461982" w:rsidRPr="001F185D" w:rsidTr="00461982">
                <w:tc>
                  <w:tcPr>
                    <w:tcW w:w="5197" w:type="dxa"/>
                    <w:vAlign w:val="bottom"/>
                  </w:tcPr>
                  <w:p w:rsidR="00461982" w:rsidRPr="00461982" w:rsidRDefault="00461982" w:rsidP="00DB008B">
                    <w:pPr>
                      <w:snapToGrid w:val="0"/>
                      <w:ind w:left="442" w:hanging="221"/>
                    </w:pPr>
                    <w:r w:rsidRPr="00461982">
                      <w:t>- 一年内到期的非流动负债</w:t>
                    </w:r>
                  </w:p>
                </w:tc>
                <w:tc>
                  <w:tcPr>
                    <w:tcW w:w="1937" w:type="dxa"/>
                    <w:vAlign w:val="bottom"/>
                  </w:tcPr>
                  <w:p w:rsidR="00461982" w:rsidRPr="00461982" w:rsidRDefault="00461982" w:rsidP="00871496">
                    <w:pPr>
                      <w:snapToGrid w:val="0"/>
                      <w:ind w:right="86"/>
                      <w:jc w:val="right"/>
                    </w:pPr>
                    <w:r w:rsidRPr="00461982">
                      <w:t>243,532,542</w:t>
                    </w:r>
                  </w:p>
                </w:tc>
                <w:tc>
                  <w:tcPr>
                    <w:tcW w:w="1797" w:type="dxa"/>
                    <w:vAlign w:val="bottom"/>
                  </w:tcPr>
                  <w:p w:rsidR="00461982" w:rsidRPr="00461982" w:rsidRDefault="00461982" w:rsidP="00871496">
                    <w:pPr>
                      <w:snapToGrid w:val="0"/>
                      <w:ind w:right="79"/>
                      <w:jc w:val="right"/>
                    </w:pPr>
                    <w:r w:rsidRPr="00461982">
                      <w:t>177,799,241</w:t>
                    </w:r>
                  </w:p>
                </w:tc>
              </w:tr>
              <w:tr w:rsidR="00461982" w:rsidRPr="001F185D" w:rsidTr="00461982">
                <w:tc>
                  <w:tcPr>
                    <w:tcW w:w="5197" w:type="dxa"/>
                    <w:vAlign w:val="bottom"/>
                  </w:tcPr>
                  <w:p w:rsidR="00461982" w:rsidRPr="00461982" w:rsidRDefault="00461982" w:rsidP="00DB008B">
                    <w:pPr>
                      <w:snapToGrid w:val="0"/>
                      <w:ind w:left="221" w:hanging="221"/>
                    </w:pPr>
                    <w:r w:rsidRPr="00461982">
                      <w:t>合计</w:t>
                    </w:r>
                  </w:p>
                </w:tc>
                <w:tc>
                  <w:tcPr>
                    <w:tcW w:w="1937" w:type="dxa"/>
                    <w:vAlign w:val="bottom"/>
                  </w:tcPr>
                  <w:p w:rsidR="00461982" w:rsidRPr="00461982" w:rsidRDefault="00461982" w:rsidP="00871496">
                    <w:pPr>
                      <w:snapToGrid w:val="0"/>
                      <w:ind w:right="86"/>
                      <w:jc w:val="right"/>
                    </w:pPr>
                    <w:r w:rsidRPr="00461982">
                      <w:t>31,634,658,360</w:t>
                    </w:r>
                  </w:p>
                </w:tc>
                <w:tc>
                  <w:tcPr>
                    <w:tcW w:w="1797" w:type="dxa"/>
                    <w:vAlign w:val="bottom"/>
                  </w:tcPr>
                  <w:p w:rsidR="00461982" w:rsidRPr="00461982" w:rsidRDefault="00461982" w:rsidP="00871496">
                    <w:pPr>
                      <w:snapToGrid w:val="0"/>
                      <w:ind w:right="79"/>
                      <w:jc w:val="right"/>
                    </w:pPr>
                    <w:r w:rsidRPr="00461982">
                      <w:t>31,090,167,369</w:t>
                    </w:r>
                  </w:p>
                </w:tc>
              </w:tr>
              <w:bookmarkEnd w:id="252"/>
            </w:tbl>
            <w:p w:rsidR="00461982" w:rsidRPr="001F185D" w:rsidRDefault="00461982" w:rsidP="00461982">
              <w:pPr>
                <w:overflowPunct w:val="0"/>
                <w:adjustRightInd w:val="0"/>
                <w:snapToGrid w:val="0"/>
                <w:rPr>
                  <w:rFonts w:cs="Arial"/>
                  <w:sz w:val="22"/>
                  <w:szCs w:val="22"/>
                  <w:lang w:val="en-GB"/>
                </w:rPr>
              </w:pPr>
            </w:p>
            <w:p w:rsidR="00461982" w:rsidRPr="001F185D" w:rsidRDefault="00461982" w:rsidP="00461982">
              <w:pPr>
                <w:overflowPunct w:val="0"/>
                <w:adjustRightInd w:val="0"/>
                <w:snapToGrid w:val="0"/>
                <w:rPr>
                  <w:rFonts w:cs="Arial"/>
                  <w:sz w:val="22"/>
                  <w:szCs w:val="22"/>
                </w:rPr>
              </w:pPr>
              <w:r w:rsidRPr="001F185D">
                <w:rPr>
                  <w:rFonts w:cs="Arial" w:hint="eastAsia"/>
                  <w:sz w:val="22"/>
                  <w:szCs w:val="22"/>
                </w:rPr>
                <w:t>浮动利率金融工具：</w:t>
              </w:r>
            </w:p>
            <w:p w:rsidR="00461982" w:rsidRPr="0059413F" w:rsidRDefault="0059413F" w:rsidP="0059413F">
              <w:pPr>
                <w:overflowPunct w:val="0"/>
                <w:adjustRightInd w:val="0"/>
                <w:snapToGrid w:val="0"/>
                <w:jc w:val="right"/>
                <w:rPr>
                  <w:rFonts w:asciiTheme="majorEastAsia" w:eastAsiaTheme="majorEastAsia" w:hAnsiTheme="majorEastAsia" w:cs="Arial"/>
                  <w:sz w:val="22"/>
                </w:rPr>
              </w:pPr>
              <w:r w:rsidRPr="0059413F">
                <w:rPr>
                  <w:rFonts w:asciiTheme="majorEastAsia" w:eastAsiaTheme="majorEastAsia" w:hAnsiTheme="majorEastAsia" w:cs="PMingLiU" w:hint="eastAsia"/>
                  <w:szCs w:val="21"/>
                </w:rPr>
                <w:t>单</w:t>
              </w:r>
              <w:r w:rsidRPr="0059413F">
                <w:rPr>
                  <w:rFonts w:asciiTheme="majorEastAsia" w:eastAsiaTheme="majorEastAsia" w:hAnsiTheme="majorEastAsia" w:cs="Yu Gothic" w:hint="eastAsia"/>
                  <w:szCs w:val="21"/>
                </w:rPr>
                <w:t>位：元</w:t>
              </w:r>
              <w:r w:rsidRPr="0059413F">
                <w:rPr>
                  <w:rFonts w:asciiTheme="majorEastAsia" w:eastAsiaTheme="majorEastAsia" w:hAnsiTheme="majorEastAsia" w:cs="螳倶ｽ・"/>
                  <w:szCs w:val="21"/>
                </w:rPr>
                <w:t xml:space="preserve"> </w:t>
              </w:r>
              <w:r w:rsidRPr="0059413F">
                <w:rPr>
                  <w:rFonts w:asciiTheme="majorEastAsia" w:eastAsiaTheme="majorEastAsia" w:hAnsiTheme="majorEastAsia" w:cs="PMingLiU" w:hint="eastAsia"/>
                  <w:szCs w:val="21"/>
                </w:rPr>
                <w:t>币</w:t>
              </w:r>
              <w:r w:rsidRPr="0059413F">
                <w:rPr>
                  <w:rFonts w:asciiTheme="majorEastAsia" w:eastAsiaTheme="majorEastAsia" w:hAnsiTheme="majorEastAsia" w:cs="Yu Gothic" w:hint="eastAsia"/>
                  <w:szCs w:val="21"/>
                </w:rPr>
                <w:t>种：人民</w:t>
              </w:r>
              <w:r w:rsidRPr="0059413F">
                <w:rPr>
                  <w:rFonts w:asciiTheme="majorEastAsia" w:eastAsiaTheme="majorEastAsia" w:hAnsiTheme="majorEastAsia" w:cs="PMingLiU" w:hint="eastAsia"/>
                  <w:szCs w:val="21"/>
                </w:rPr>
                <w:t>币</w:t>
              </w:r>
            </w:p>
            <w:tbl>
              <w:tblPr>
                <w:tblW w:w="880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28" w:type="dxa"/>
                </w:tblCellMar>
                <w:tblLook w:val="04A0"/>
              </w:tblPr>
              <w:tblGrid>
                <w:gridCol w:w="4931"/>
                <w:gridCol w:w="1937"/>
                <w:gridCol w:w="1937"/>
              </w:tblGrid>
              <w:tr w:rsidR="00461982" w:rsidRPr="00461982" w:rsidTr="0059413F">
                <w:trPr>
                  <w:jc w:val="right"/>
                </w:trPr>
                <w:tc>
                  <w:tcPr>
                    <w:tcW w:w="4931" w:type="dxa"/>
                    <w:vAlign w:val="bottom"/>
                  </w:tcPr>
                  <w:p w:rsidR="00461982" w:rsidRPr="00461982" w:rsidRDefault="00461982" w:rsidP="00DB008B">
                    <w:pPr>
                      <w:snapToGrid w:val="0"/>
                      <w:ind w:left="221" w:hanging="221"/>
                    </w:pPr>
                    <w:bookmarkStart w:id="253" w:name="_Hlk132035255"/>
                    <w:r w:rsidRPr="00461982">
                      <w:t> </w:t>
                    </w:r>
                  </w:p>
                </w:tc>
                <w:tc>
                  <w:tcPr>
                    <w:tcW w:w="1937" w:type="dxa"/>
                    <w:vAlign w:val="center"/>
                  </w:tcPr>
                  <w:p w:rsidR="00461982" w:rsidRPr="00461982" w:rsidRDefault="00461982" w:rsidP="0059413F">
                    <w:pPr>
                      <w:snapToGrid w:val="0"/>
                      <w:jc w:val="center"/>
                    </w:pPr>
                    <w:r w:rsidRPr="00461982">
                      <w:t>2022年</w:t>
                    </w:r>
                  </w:p>
                </w:tc>
                <w:tc>
                  <w:tcPr>
                    <w:tcW w:w="1937" w:type="dxa"/>
                    <w:vAlign w:val="center"/>
                  </w:tcPr>
                  <w:p w:rsidR="00461982" w:rsidRPr="00461982" w:rsidRDefault="00461982" w:rsidP="0059413F">
                    <w:pPr>
                      <w:snapToGrid w:val="0"/>
                      <w:jc w:val="center"/>
                    </w:pPr>
                    <w:r w:rsidRPr="00461982">
                      <w:t>2021年</w:t>
                    </w:r>
                  </w:p>
                </w:tc>
              </w:tr>
              <w:tr w:rsidR="00461982" w:rsidRPr="00461982" w:rsidTr="00461982">
                <w:trPr>
                  <w:jc w:val="right"/>
                </w:trPr>
                <w:tc>
                  <w:tcPr>
                    <w:tcW w:w="4931" w:type="dxa"/>
                    <w:vAlign w:val="bottom"/>
                  </w:tcPr>
                  <w:p w:rsidR="00461982" w:rsidRPr="00461982" w:rsidRDefault="00461982" w:rsidP="00DB008B">
                    <w:pPr>
                      <w:snapToGrid w:val="0"/>
                      <w:ind w:left="221" w:hanging="221"/>
                    </w:pPr>
                    <w:r w:rsidRPr="00461982">
                      <w:t>项目</w:t>
                    </w:r>
                  </w:p>
                </w:tc>
                <w:tc>
                  <w:tcPr>
                    <w:tcW w:w="1937" w:type="dxa"/>
                    <w:vAlign w:val="bottom"/>
                  </w:tcPr>
                  <w:p w:rsidR="00461982" w:rsidRPr="00461982" w:rsidRDefault="00461982" w:rsidP="009112BF">
                    <w:pPr>
                      <w:snapToGrid w:val="0"/>
                      <w:jc w:val="center"/>
                    </w:pPr>
                    <w:r w:rsidRPr="00461982">
                      <w:t>金额</w:t>
                    </w:r>
                  </w:p>
                </w:tc>
                <w:tc>
                  <w:tcPr>
                    <w:tcW w:w="1937" w:type="dxa"/>
                    <w:vAlign w:val="bottom"/>
                  </w:tcPr>
                  <w:p w:rsidR="00461982" w:rsidRPr="00461982" w:rsidRDefault="00461982" w:rsidP="009112BF">
                    <w:pPr>
                      <w:snapToGrid w:val="0"/>
                      <w:jc w:val="center"/>
                    </w:pPr>
                    <w:r w:rsidRPr="00461982">
                      <w:t>金额</w:t>
                    </w:r>
                  </w:p>
                </w:tc>
              </w:tr>
              <w:tr w:rsidR="00461982" w:rsidRPr="00461982" w:rsidTr="00461982">
                <w:trPr>
                  <w:jc w:val="right"/>
                </w:trPr>
                <w:tc>
                  <w:tcPr>
                    <w:tcW w:w="4931" w:type="dxa"/>
                    <w:vAlign w:val="bottom"/>
                  </w:tcPr>
                  <w:p w:rsidR="00461982" w:rsidRPr="00461982" w:rsidRDefault="00461982" w:rsidP="00DB008B">
                    <w:pPr>
                      <w:snapToGrid w:val="0"/>
                      <w:ind w:left="221" w:hanging="221"/>
                    </w:pPr>
                    <w:r w:rsidRPr="00461982">
                      <w:t>金融资产</w:t>
                    </w:r>
                  </w:p>
                </w:tc>
                <w:tc>
                  <w:tcPr>
                    <w:tcW w:w="1937" w:type="dxa"/>
                    <w:vAlign w:val="bottom"/>
                  </w:tcPr>
                  <w:p w:rsidR="00461982" w:rsidRPr="00461982" w:rsidRDefault="00461982" w:rsidP="00DB008B">
                    <w:pPr>
                      <w:snapToGrid w:val="0"/>
                      <w:jc w:val="right"/>
                    </w:pPr>
                    <w:r w:rsidRPr="00461982">
                      <w:t> </w:t>
                    </w:r>
                  </w:p>
                </w:tc>
                <w:tc>
                  <w:tcPr>
                    <w:tcW w:w="1937" w:type="dxa"/>
                    <w:vAlign w:val="bottom"/>
                  </w:tcPr>
                  <w:p w:rsidR="00461982" w:rsidRPr="00461982" w:rsidRDefault="00461982" w:rsidP="00DB008B">
                    <w:pPr>
                      <w:snapToGrid w:val="0"/>
                      <w:jc w:val="right"/>
                    </w:pPr>
                    <w:r w:rsidRPr="00461982">
                      <w:t> </w:t>
                    </w:r>
                  </w:p>
                </w:tc>
              </w:tr>
              <w:tr w:rsidR="00461982" w:rsidRPr="00461982" w:rsidTr="00461982">
                <w:trPr>
                  <w:jc w:val="right"/>
                </w:trPr>
                <w:tc>
                  <w:tcPr>
                    <w:tcW w:w="4931" w:type="dxa"/>
                    <w:vAlign w:val="bottom"/>
                  </w:tcPr>
                  <w:p w:rsidR="00461982" w:rsidRPr="00461982" w:rsidRDefault="00461982" w:rsidP="00DB008B">
                    <w:pPr>
                      <w:snapToGrid w:val="0"/>
                      <w:ind w:left="442" w:hanging="221"/>
                    </w:pPr>
                    <w:r w:rsidRPr="00461982">
                      <w:t>- 货币资金</w:t>
                    </w:r>
                  </w:p>
                </w:tc>
                <w:tc>
                  <w:tcPr>
                    <w:tcW w:w="1937" w:type="dxa"/>
                    <w:vAlign w:val="bottom"/>
                  </w:tcPr>
                  <w:p w:rsidR="00461982" w:rsidRPr="00461982" w:rsidRDefault="00461982" w:rsidP="00DB008B">
                    <w:pPr>
                      <w:snapToGrid w:val="0"/>
                      <w:jc w:val="right"/>
                    </w:pPr>
                    <w:r w:rsidRPr="00461982">
                      <w:t>62,525,811,550</w:t>
                    </w:r>
                  </w:p>
                </w:tc>
                <w:tc>
                  <w:tcPr>
                    <w:tcW w:w="1937" w:type="dxa"/>
                    <w:vAlign w:val="bottom"/>
                  </w:tcPr>
                  <w:p w:rsidR="00461982" w:rsidRPr="00461982" w:rsidRDefault="00461982" w:rsidP="00DB008B">
                    <w:pPr>
                      <w:snapToGrid w:val="0"/>
                      <w:jc w:val="right"/>
                    </w:pPr>
                    <w:r w:rsidRPr="00461982">
                      <w:t>59,409,064,413</w:t>
                    </w:r>
                  </w:p>
                </w:tc>
              </w:tr>
              <w:tr w:rsidR="00461982" w:rsidRPr="00461982" w:rsidTr="00461982">
                <w:trPr>
                  <w:jc w:val="right"/>
                </w:trPr>
                <w:tc>
                  <w:tcPr>
                    <w:tcW w:w="4931" w:type="dxa"/>
                    <w:vAlign w:val="bottom"/>
                  </w:tcPr>
                  <w:p w:rsidR="00461982" w:rsidRPr="00461982" w:rsidRDefault="00461982" w:rsidP="00DB008B">
                    <w:pPr>
                      <w:snapToGrid w:val="0"/>
                      <w:ind w:left="221" w:hanging="221"/>
                    </w:pPr>
                    <w:r w:rsidRPr="00461982">
                      <w:t>金融负债</w:t>
                    </w:r>
                  </w:p>
                </w:tc>
                <w:tc>
                  <w:tcPr>
                    <w:tcW w:w="1937" w:type="dxa"/>
                    <w:vAlign w:val="bottom"/>
                  </w:tcPr>
                  <w:p w:rsidR="00461982" w:rsidRPr="00461982" w:rsidRDefault="00461982" w:rsidP="00DB008B">
                    <w:pPr>
                      <w:snapToGrid w:val="0"/>
                      <w:jc w:val="right"/>
                    </w:pPr>
                    <w:r w:rsidRPr="00461982">
                      <w:t> </w:t>
                    </w:r>
                  </w:p>
                </w:tc>
                <w:tc>
                  <w:tcPr>
                    <w:tcW w:w="1937" w:type="dxa"/>
                    <w:vAlign w:val="bottom"/>
                  </w:tcPr>
                  <w:p w:rsidR="00461982" w:rsidRPr="00461982" w:rsidRDefault="00461982" w:rsidP="00DB008B">
                    <w:pPr>
                      <w:snapToGrid w:val="0"/>
                      <w:jc w:val="right"/>
                    </w:pPr>
                    <w:r w:rsidRPr="00461982">
                      <w:t> </w:t>
                    </w:r>
                  </w:p>
                </w:tc>
              </w:tr>
              <w:tr w:rsidR="00461982" w:rsidRPr="00461982" w:rsidTr="00461982">
                <w:trPr>
                  <w:jc w:val="right"/>
                </w:trPr>
                <w:tc>
                  <w:tcPr>
                    <w:tcW w:w="4931" w:type="dxa"/>
                    <w:vAlign w:val="bottom"/>
                  </w:tcPr>
                  <w:p w:rsidR="00461982" w:rsidRPr="00461982" w:rsidRDefault="00461982" w:rsidP="00DB008B">
                    <w:pPr>
                      <w:snapToGrid w:val="0"/>
                      <w:ind w:left="442" w:hanging="221"/>
                    </w:pPr>
                    <w:r w:rsidRPr="00461982">
                      <w:t>- 短期借款</w:t>
                    </w:r>
                  </w:p>
                </w:tc>
                <w:tc>
                  <w:tcPr>
                    <w:tcW w:w="1937" w:type="dxa"/>
                    <w:vAlign w:val="bottom"/>
                  </w:tcPr>
                  <w:p w:rsidR="00461982" w:rsidRPr="00461982" w:rsidRDefault="00461982" w:rsidP="00DB008B">
                    <w:pPr>
                      <w:snapToGrid w:val="0"/>
                      <w:jc w:val="right"/>
                    </w:pPr>
                    <w:r w:rsidRPr="00461982">
                      <w:t>59,000,000</w:t>
                    </w:r>
                  </w:p>
                </w:tc>
                <w:tc>
                  <w:tcPr>
                    <w:tcW w:w="1937" w:type="dxa"/>
                    <w:vAlign w:val="bottom"/>
                  </w:tcPr>
                  <w:p w:rsidR="00461982" w:rsidRPr="00461982" w:rsidRDefault="00461982" w:rsidP="00DB008B">
                    <w:pPr>
                      <w:snapToGrid w:val="0"/>
                      <w:jc w:val="right"/>
                    </w:pPr>
                    <w:r w:rsidRPr="00461982">
                      <w:t>806,800,000</w:t>
                    </w:r>
                  </w:p>
                </w:tc>
              </w:tr>
              <w:tr w:rsidR="00461982" w:rsidRPr="00461982" w:rsidTr="00461982">
                <w:trPr>
                  <w:jc w:val="right"/>
                </w:trPr>
                <w:tc>
                  <w:tcPr>
                    <w:tcW w:w="4931" w:type="dxa"/>
                    <w:vAlign w:val="bottom"/>
                  </w:tcPr>
                  <w:p w:rsidR="00461982" w:rsidRPr="00461982" w:rsidRDefault="00461982" w:rsidP="00DB008B">
                    <w:pPr>
                      <w:snapToGrid w:val="0"/>
                      <w:ind w:left="442" w:hanging="221"/>
                    </w:pPr>
                    <w:r w:rsidRPr="00461982">
                      <w:t>- 一年内到期的非流动负债</w:t>
                    </w:r>
                  </w:p>
                </w:tc>
                <w:tc>
                  <w:tcPr>
                    <w:tcW w:w="1937" w:type="dxa"/>
                    <w:vAlign w:val="bottom"/>
                  </w:tcPr>
                  <w:p w:rsidR="00461982" w:rsidRPr="00461982" w:rsidRDefault="00461982" w:rsidP="00DB008B">
                    <w:pPr>
                      <w:snapToGrid w:val="0"/>
                      <w:jc w:val="right"/>
                    </w:pPr>
                    <w:r w:rsidRPr="00461982">
                      <w:t>633,846,641</w:t>
                    </w:r>
                  </w:p>
                </w:tc>
                <w:tc>
                  <w:tcPr>
                    <w:tcW w:w="1937" w:type="dxa"/>
                    <w:vAlign w:val="bottom"/>
                  </w:tcPr>
                  <w:p w:rsidR="00461982" w:rsidRPr="00461982" w:rsidRDefault="00461982" w:rsidP="00DB008B">
                    <w:pPr>
                      <w:snapToGrid w:val="0"/>
                      <w:jc w:val="right"/>
                    </w:pPr>
                    <w:r w:rsidRPr="00461982">
                      <w:t>577,332,000</w:t>
                    </w:r>
                  </w:p>
                </w:tc>
              </w:tr>
              <w:tr w:rsidR="00461982" w:rsidRPr="00461982" w:rsidTr="00461982">
                <w:trPr>
                  <w:jc w:val="right"/>
                </w:trPr>
                <w:tc>
                  <w:tcPr>
                    <w:tcW w:w="4931" w:type="dxa"/>
                    <w:vAlign w:val="bottom"/>
                  </w:tcPr>
                  <w:p w:rsidR="00461982" w:rsidRPr="00461982" w:rsidRDefault="00461982" w:rsidP="00DB008B">
                    <w:pPr>
                      <w:snapToGrid w:val="0"/>
                      <w:ind w:left="442" w:hanging="221"/>
                    </w:pPr>
                    <w:r w:rsidRPr="00461982">
                      <w:t>- 长期借款</w:t>
                    </w:r>
                  </w:p>
                </w:tc>
                <w:tc>
                  <w:tcPr>
                    <w:tcW w:w="1937" w:type="dxa"/>
                    <w:vAlign w:val="bottom"/>
                  </w:tcPr>
                  <w:p w:rsidR="00461982" w:rsidRPr="00461982" w:rsidRDefault="00461982" w:rsidP="00DB008B">
                    <w:pPr>
                      <w:snapToGrid w:val="0"/>
                      <w:jc w:val="right"/>
                    </w:pPr>
                    <w:r w:rsidRPr="00461982">
                      <w:t>10,651,491,504</w:t>
                    </w:r>
                  </w:p>
                </w:tc>
                <w:tc>
                  <w:tcPr>
                    <w:tcW w:w="1937" w:type="dxa"/>
                    <w:vAlign w:val="bottom"/>
                  </w:tcPr>
                  <w:p w:rsidR="00461982" w:rsidRPr="00461982" w:rsidRDefault="00461982" w:rsidP="00DB008B">
                    <w:pPr>
                      <w:snapToGrid w:val="0"/>
                      <w:jc w:val="right"/>
                    </w:pPr>
                    <w:r w:rsidRPr="00461982">
                      <w:t>11,430,336,829</w:t>
                    </w:r>
                  </w:p>
                </w:tc>
              </w:tr>
              <w:tr w:rsidR="00461982" w:rsidRPr="00461982" w:rsidTr="00461982">
                <w:trPr>
                  <w:jc w:val="right"/>
                </w:trPr>
                <w:tc>
                  <w:tcPr>
                    <w:tcW w:w="4931" w:type="dxa"/>
                    <w:vAlign w:val="bottom"/>
                  </w:tcPr>
                  <w:p w:rsidR="00461982" w:rsidRPr="00461982" w:rsidRDefault="00461982" w:rsidP="00DB008B">
                    <w:pPr>
                      <w:snapToGrid w:val="0"/>
                      <w:ind w:left="221" w:hanging="221"/>
                    </w:pPr>
                    <w:r w:rsidRPr="00461982">
                      <w:lastRenderedPageBreak/>
                      <w:t>合计</w:t>
                    </w:r>
                  </w:p>
                </w:tc>
                <w:tc>
                  <w:tcPr>
                    <w:tcW w:w="1937" w:type="dxa"/>
                    <w:vAlign w:val="bottom"/>
                  </w:tcPr>
                  <w:p w:rsidR="00461982" w:rsidRPr="00461982" w:rsidRDefault="00461982" w:rsidP="00DB008B">
                    <w:pPr>
                      <w:snapToGrid w:val="0"/>
                      <w:jc w:val="right"/>
                    </w:pPr>
                    <w:r w:rsidRPr="00461982">
                      <w:t>51,181,473,405</w:t>
                    </w:r>
                  </w:p>
                </w:tc>
                <w:tc>
                  <w:tcPr>
                    <w:tcW w:w="1937" w:type="dxa"/>
                    <w:vAlign w:val="bottom"/>
                  </w:tcPr>
                  <w:p w:rsidR="00461982" w:rsidRPr="00461982" w:rsidRDefault="00461982" w:rsidP="00DB008B">
                    <w:pPr>
                      <w:snapToGrid w:val="0"/>
                      <w:jc w:val="right"/>
                    </w:pPr>
                    <w:r w:rsidRPr="00461982">
                      <w:t>46,594,595,584</w:t>
                    </w:r>
                  </w:p>
                </w:tc>
              </w:tr>
              <w:bookmarkEnd w:id="253"/>
            </w:tbl>
            <w:p w:rsidR="00461982" w:rsidRPr="001F185D" w:rsidRDefault="00461982" w:rsidP="00461982">
              <w:pPr>
                <w:overflowPunct w:val="0"/>
                <w:adjustRightInd w:val="0"/>
                <w:snapToGrid w:val="0"/>
                <w:rPr>
                  <w:rFonts w:cs="Arial"/>
                  <w:bCs/>
                  <w:sz w:val="22"/>
                  <w:szCs w:val="22"/>
                </w:rPr>
              </w:pPr>
            </w:p>
            <w:p w:rsidR="00461982" w:rsidRPr="00C01624" w:rsidRDefault="00461982" w:rsidP="00711265">
              <w:pPr>
                <w:pStyle w:val="6"/>
                <w:keepNext w:val="0"/>
                <w:keepLines w:val="0"/>
                <w:tabs>
                  <w:tab w:val="left" w:pos="0"/>
                </w:tabs>
                <w:overflowPunct w:val="0"/>
                <w:adjustRightInd w:val="0"/>
                <w:snapToGrid w:val="0"/>
                <w:spacing w:before="0" w:after="0"/>
                <w:rPr>
                  <w:rFonts w:asciiTheme="majorEastAsia" w:eastAsiaTheme="majorEastAsia" w:hAnsiTheme="majorEastAsia" w:cs="Arial"/>
                  <w:b w:val="0"/>
                  <w:sz w:val="22"/>
                  <w:szCs w:val="22"/>
                </w:rPr>
              </w:pPr>
              <w:r w:rsidRPr="00C01624">
                <w:rPr>
                  <w:rFonts w:asciiTheme="majorEastAsia" w:eastAsiaTheme="majorEastAsia" w:hAnsiTheme="majorEastAsia" w:cs="Arial" w:hint="eastAsia"/>
                  <w:b w:val="0"/>
                  <w:sz w:val="22"/>
                  <w:szCs w:val="22"/>
                </w:rPr>
                <w:t>(2)</w:t>
              </w:r>
              <w:r w:rsidRPr="00C01624">
                <w:rPr>
                  <w:rFonts w:asciiTheme="majorEastAsia" w:eastAsiaTheme="majorEastAsia" w:hAnsiTheme="majorEastAsia" w:cs="Arial" w:hint="eastAsia"/>
                  <w:b w:val="0"/>
                  <w:sz w:val="22"/>
                  <w:szCs w:val="22"/>
                </w:rPr>
                <w:tab/>
                <w:t>敏感性分析</w:t>
              </w:r>
            </w:p>
            <w:p w:rsidR="00461982" w:rsidRPr="001F185D" w:rsidRDefault="00461982" w:rsidP="00461982">
              <w:pPr>
                <w:overflowPunct w:val="0"/>
                <w:adjustRightInd w:val="0"/>
                <w:snapToGrid w:val="0"/>
                <w:rPr>
                  <w:rFonts w:cs="Arial"/>
                  <w:sz w:val="22"/>
                  <w:szCs w:val="28"/>
                </w:rPr>
              </w:pPr>
            </w:p>
            <w:p w:rsidR="00461982" w:rsidRDefault="00461982" w:rsidP="00C01624">
              <w:pPr>
                <w:overflowPunct w:val="0"/>
                <w:adjustRightInd w:val="0"/>
                <w:snapToGrid w:val="0"/>
                <w:jc w:val="both"/>
                <w:rPr>
                  <w:rFonts w:cs="Arial"/>
                  <w:sz w:val="22"/>
                  <w:szCs w:val="22"/>
                </w:rPr>
              </w:pPr>
              <w:r w:rsidRPr="001F185D">
                <w:rPr>
                  <w:rFonts w:cs="Arial" w:hint="eastAsia"/>
                  <w:sz w:val="22"/>
                  <w:szCs w:val="22"/>
                </w:rPr>
                <w:t>于2022年12月31日，在其他变量不变的情况下，假定利率上升或下降50个基点将会导致本集团股东权益增加或减少约人民币178,373,064元 (2021年12月31日：人民币160,880,715元)，净利润增加或减少人民币178,373,064元 (2021年12月31日：人民币160,880,715元)。</w:t>
              </w:r>
            </w:p>
            <w:p w:rsidR="00205D87" w:rsidRPr="001F185D" w:rsidRDefault="00205D87" w:rsidP="00C01624">
              <w:pPr>
                <w:overflowPunct w:val="0"/>
                <w:adjustRightInd w:val="0"/>
                <w:snapToGrid w:val="0"/>
                <w:jc w:val="both"/>
                <w:rPr>
                  <w:rFonts w:cs="Arial"/>
                  <w:sz w:val="22"/>
                  <w:szCs w:val="22"/>
                </w:rPr>
              </w:pPr>
            </w:p>
            <w:p w:rsidR="00461982" w:rsidRPr="001F185D" w:rsidRDefault="00461982" w:rsidP="00461982">
              <w:pPr>
                <w:overflowPunct w:val="0"/>
                <w:adjustRightInd w:val="0"/>
                <w:snapToGrid w:val="0"/>
                <w:rPr>
                  <w:rFonts w:cs="Arial"/>
                  <w:sz w:val="22"/>
                  <w:szCs w:val="22"/>
                </w:rPr>
              </w:pPr>
              <w:r w:rsidRPr="001F185D">
                <w:rPr>
                  <w:rFonts w:cs="Arial" w:hint="eastAsia"/>
                  <w:sz w:val="22"/>
                  <w:szCs w:val="22"/>
                </w:rPr>
                <w:t>对于资产负债表日持有的、使本集团面临现金流量利率风险的浮动利率非衍生工具，上述敏感性分析中的净利润及股东权益的影响是上述利率变动对按年度估算的利息费用或收入的影响。上一年度的分析基于同样的假设和方法。</w:t>
              </w:r>
            </w:p>
            <w:p w:rsidR="00806678" w:rsidRDefault="00F80B6C">
              <w:pPr>
                <w:rPr>
                  <w:b/>
                  <w:szCs w:val="21"/>
                </w:rPr>
              </w:pPr>
            </w:p>
          </w:sdtContent>
        </w:sdt>
        <w:p w:rsidR="00806678" w:rsidRDefault="00F80B6C">
          <w:pPr>
            <w:rPr>
              <w:color w:val="808080"/>
              <w:szCs w:val="21"/>
            </w:rPr>
          </w:pPr>
        </w:p>
      </w:sdtContent>
    </w:sdt>
    <w:p w:rsidR="00806678" w:rsidRDefault="00B16377" w:rsidP="00FF17C7">
      <w:pPr>
        <w:pStyle w:val="2"/>
        <w:numPr>
          <w:ilvl w:val="0"/>
          <w:numId w:val="37"/>
        </w:numPr>
        <w:rPr>
          <w:rFonts w:ascii="宋体" w:hAnsi="宋体"/>
        </w:rPr>
      </w:pPr>
      <w:r>
        <w:rPr>
          <w:rFonts w:ascii="宋体" w:hAnsi="宋体" w:hint="eastAsia"/>
        </w:rPr>
        <w:t>公允价值的披露</w:t>
      </w:r>
    </w:p>
    <w:bookmarkStart w:id="254" w:name="_Hlk24030209" w:displacedByCustomXml="next"/>
    <w:sdt>
      <w:sdtPr>
        <w:rPr>
          <w:rFonts w:ascii="宋体" w:hAnsi="宋体" w:cs="宋体"/>
          <w:b w:val="0"/>
          <w:bCs w:val="0"/>
          <w:kern w:val="0"/>
          <w:szCs w:val="24"/>
        </w:rPr>
        <w:alias w:val="模块:"/>
        <w:tag w:val="_SEC_c2e6f9f8026e4755b0d598a62dfd0d45"/>
        <w:id w:val="-434825768"/>
        <w:lock w:val="sdtLocked"/>
        <w:placeholder>
          <w:docPart w:val="GBC22222222222222222222222222222"/>
        </w:placeholder>
      </w:sdtPr>
      <w:sdtContent>
        <w:bookmarkStart w:id="255" w:name="_Hlk10539195" w:displacedByCustomXml="prev"/>
        <w:p w:rsidR="00806678" w:rsidRDefault="00B16377" w:rsidP="00FF17C7">
          <w:pPr>
            <w:pStyle w:val="3"/>
            <w:numPr>
              <w:ilvl w:val="0"/>
              <w:numId w:val="53"/>
            </w:numPr>
          </w:pPr>
          <w:r>
            <w:rPr>
              <w:rFonts w:hint="eastAsia"/>
            </w:rPr>
            <w:t>以公允价值计量的资产和负债的期末公允价值</w:t>
          </w:r>
        </w:p>
        <w:sdt>
          <w:sdtPr>
            <w:alias w:val="是否适用：以公允价值计量的资产和负债的期末公允价值[双击切换]"/>
            <w:tag w:val="_GBC_6fbb4bafbfc548fdbb4a25b91f07bd6a"/>
            <w:id w:val="786391676"/>
            <w:lock w:val="sdtLocked"/>
            <w:placeholder>
              <w:docPart w:val="GBC22222222222222222222222222222"/>
            </w:placeholder>
          </w:sdtPr>
          <w:sdtContent>
            <w:p w:rsidR="00806678" w:rsidRDefault="00F80B6C">
              <w:r>
                <w:fldChar w:fldCharType="begin"/>
              </w:r>
              <w:r w:rsidR="00711265">
                <w:instrText xml:space="preserve"> MACROBUTTON  SnrToggleCheckbox √适用 </w:instrText>
              </w:r>
              <w:r>
                <w:fldChar w:fldCharType="end"/>
              </w:r>
              <w:r>
                <w:fldChar w:fldCharType="begin"/>
              </w:r>
              <w:r w:rsidR="00711265">
                <w:instrText xml:space="preserve"> MACROBUTTON  SnrToggleCheckbox □不适用 </w:instrText>
              </w:r>
              <w:r>
                <w:fldChar w:fldCharType="end"/>
              </w:r>
            </w:p>
          </w:sdtContent>
        </w:sdt>
        <w:p w:rsidR="00806678" w:rsidRDefault="00B16377">
          <w:pPr>
            <w:jc w:val="right"/>
          </w:pPr>
          <w:r>
            <w:rPr>
              <w:rFonts w:hint="eastAsia"/>
            </w:rPr>
            <w:t>单位:</w:t>
          </w:r>
          <w:sdt>
            <w:sdtPr>
              <w:rPr>
                <w:rFonts w:hint="eastAsia"/>
              </w:rPr>
              <w:alias w:val="单位：财务附注：以公允价值计量的资产和负债的期末公允价值"/>
              <w:tag w:val="_GBC_2c45ed0b719e4292b6389023b9ce1031"/>
              <w:id w:val="-129213122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以公允价值计量的资产和负债的期末公允价值"/>
              <w:tag w:val="_GBC_4c0658ced5d64a5f80dc11bb84ac9dbd"/>
              <w:id w:val="51303694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23"/>
            <w:gridCol w:w="1708"/>
            <w:gridCol w:w="1669"/>
            <w:gridCol w:w="1736"/>
            <w:gridCol w:w="1513"/>
          </w:tblGrid>
          <w:tr w:rsidR="00806678" w:rsidTr="004B2C8E">
            <w:trPr>
              <w:trHeight w:val="145"/>
            </w:trPr>
            <w:sdt>
              <w:sdtPr>
                <w:tag w:val="_PLD_163e93b7c897498dae37bc5c38a11afe"/>
                <w:id w:val="1128597817"/>
                <w:lock w:val="sdtLocked"/>
              </w:sdtPr>
              <w:sdtContent>
                <w:tc>
                  <w:tcPr>
                    <w:tcW w:w="1339" w:type="pct"/>
                    <w:vMerge w:val="restart"/>
                    <w:tcBorders>
                      <w:top w:val="single" w:sz="4" w:space="0" w:color="auto"/>
                      <w:left w:val="single" w:sz="4" w:space="0" w:color="auto"/>
                      <w:right w:val="single" w:sz="4" w:space="0" w:color="auto"/>
                    </w:tcBorders>
                    <w:shd w:val="clear" w:color="auto" w:fill="auto"/>
                    <w:vAlign w:val="center"/>
                  </w:tcPr>
                  <w:p w:rsidR="00806678" w:rsidRDefault="00B16377">
                    <w:pPr>
                      <w:jc w:val="center"/>
                      <w:outlineLvl w:val="2"/>
                      <w:rPr>
                        <w:rFonts w:cs="Cambria"/>
                        <w:szCs w:val="21"/>
                      </w:rPr>
                    </w:pPr>
                    <w:r>
                      <w:rPr>
                        <w:rFonts w:cs="Cambria" w:hint="eastAsia"/>
                        <w:szCs w:val="21"/>
                      </w:rPr>
                      <w:t>项目</w:t>
                    </w:r>
                  </w:p>
                </w:tc>
              </w:sdtContent>
            </w:sdt>
            <w:sdt>
              <w:sdtPr>
                <w:tag w:val="_PLD_b8bd62f651414617bea8612c55db30ce"/>
                <w:id w:val="334119728"/>
                <w:lock w:val="sdtLocked"/>
              </w:sdtPr>
              <w:sdtContent>
                <w:tc>
                  <w:tcPr>
                    <w:tcW w:w="3661"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806678" w:rsidRDefault="00B16377">
                    <w:pPr>
                      <w:jc w:val="center"/>
                      <w:outlineLvl w:val="2"/>
                      <w:rPr>
                        <w:rFonts w:cs="Cambria"/>
                        <w:szCs w:val="21"/>
                      </w:rPr>
                    </w:pPr>
                    <w:r>
                      <w:rPr>
                        <w:rFonts w:cs="Cambria" w:hint="eastAsia"/>
                        <w:szCs w:val="21"/>
                      </w:rPr>
                      <w:t>期末公允价值</w:t>
                    </w:r>
                  </w:p>
                </w:tc>
              </w:sdtContent>
            </w:sdt>
          </w:tr>
          <w:tr w:rsidR="00806678" w:rsidTr="004B2C8E">
            <w:trPr>
              <w:trHeight w:val="145"/>
            </w:trPr>
            <w:tc>
              <w:tcPr>
                <w:tcW w:w="1339" w:type="pct"/>
                <w:vMerge/>
                <w:tcBorders>
                  <w:left w:val="single" w:sz="4" w:space="0" w:color="auto"/>
                  <w:bottom w:val="single" w:sz="4" w:space="0" w:color="auto"/>
                  <w:right w:val="single" w:sz="4" w:space="0" w:color="auto"/>
                </w:tcBorders>
                <w:shd w:val="clear" w:color="auto" w:fill="auto"/>
                <w:vAlign w:val="center"/>
              </w:tcPr>
              <w:p w:rsidR="00806678" w:rsidRDefault="00806678">
                <w:pPr>
                  <w:jc w:val="center"/>
                  <w:outlineLvl w:val="2"/>
                  <w:rPr>
                    <w:rFonts w:cs="Cambria"/>
                    <w:szCs w:val="21"/>
                  </w:rPr>
                </w:pPr>
              </w:p>
            </w:tc>
            <w:sdt>
              <w:sdtPr>
                <w:tag w:val="_PLD_8b204b4b1832494b8312fec08990548b"/>
                <w:id w:val="-642496288"/>
                <w:lock w:val="sdtLocked"/>
              </w:sdtPr>
              <w:sdtContent>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rsidR="00806678" w:rsidRDefault="00B16377">
                    <w:pPr>
                      <w:jc w:val="center"/>
                      <w:outlineLvl w:val="2"/>
                      <w:rPr>
                        <w:rFonts w:cs="Cambria"/>
                        <w:szCs w:val="21"/>
                      </w:rPr>
                    </w:pPr>
                    <w:r>
                      <w:rPr>
                        <w:rFonts w:cs="Cambria" w:hint="eastAsia"/>
                        <w:szCs w:val="21"/>
                      </w:rPr>
                      <w:t>第一层次公允价值计量</w:t>
                    </w:r>
                  </w:p>
                </w:tc>
              </w:sdtContent>
            </w:sdt>
            <w:sdt>
              <w:sdtPr>
                <w:tag w:val="_PLD_de23a118a4e8435d9b0e1e2e2e494f30"/>
                <w:id w:val="416299510"/>
                <w:lock w:val="sdtLocked"/>
              </w:sdtPr>
              <w:sdtContent>
                <w:tc>
                  <w:tcPr>
                    <w:tcW w:w="922" w:type="pct"/>
                    <w:tcBorders>
                      <w:top w:val="single" w:sz="4" w:space="0" w:color="auto"/>
                      <w:left w:val="single" w:sz="4" w:space="0" w:color="auto"/>
                      <w:bottom w:val="single" w:sz="4" w:space="0" w:color="auto"/>
                      <w:right w:val="single" w:sz="4" w:space="0" w:color="auto"/>
                    </w:tcBorders>
                    <w:shd w:val="clear" w:color="auto" w:fill="auto"/>
                    <w:vAlign w:val="center"/>
                  </w:tcPr>
                  <w:p w:rsidR="00806678" w:rsidRDefault="00B16377">
                    <w:pPr>
                      <w:jc w:val="center"/>
                      <w:outlineLvl w:val="2"/>
                      <w:rPr>
                        <w:rFonts w:cs="Cambria"/>
                        <w:szCs w:val="21"/>
                      </w:rPr>
                    </w:pPr>
                    <w:r>
                      <w:rPr>
                        <w:rFonts w:cs="Cambria" w:hint="eastAsia"/>
                        <w:szCs w:val="21"/>
                      </w:rPr>
                      <w:t>第二层次公允价值计量</w:t>
                    </w:r>
                  </w:p>
                </w:tc>
              </w:sdtContent>
            </w:sdt>
            <w:sdt>
              <w:sdtPr>
                <w:tag w:val="_PLD_4cb787262d4b4096b0d321ac48721dd2"/>
                <w:id w:val="-744947165"/>
                <w:lock w:val="sdtLocked"/>
              </w:sdtPr>
              <w:sdtContent>
                <w:tc>
                  <w:tcPr>
                    <w:tcW w:w="959" w:type="pct"/>
                    <w:tcBorders>
                      <w:top w:val="single" w:sz="4" w:space="0" w:color="auto"/>
                      <w:left w:val="single" w:sz="4" w:space="0" w:color="auto"/>
                      <w:bottom w:val="single" w:sz="4" w:space="0" w:color="auto"/>
                      <w:right w:val="single" w:sz="4" w:space="0" w:color="auto"/>
                    </w:tcBorders>
                    <w:shd w:val="clear" w:color="auto" w:fill="auto"/>
                    <w:vAlign w:val="center"/>
                  </w:tcPr>
                  <w:p w:rsidR="00806678" w:rsidRDefault="00B16377">
                    <w:pPr>
                      <w:jc w:val="center"/>
                      <w:outlineLvl w:val="2"/>
                      <w:rPr>
                        <w:rFonts w:cs="Cambria"/>
                        <w:szCs w:val="21"/>
                      </w:rPr>
                    </w:pPr>
                    <w:r>
                      <w:rPr>
                        <w:rFonts w:cs="Cambria" w:hint="eastAsia"/>
                        <w:szCs w:val="21"/>
                      </w:rPr>
                      <w:t>第三层次公允价值计量</w:t>
                    </w:r>
                  </w:p>
                </w:tc>
              </w:sdtContent>
            </w:sdt>
            <w:sdt>
              <w:sdtPr>
                <w:tag w:val="_PLD_fb89c54d0c8e4fe2990587a96b78b5ca"/>
                <w:id w:val="1345441188"/>
                <w:lock w:val="sdtLocked"/>
              </w:sdtPr>
              <w:sdtContent>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rsidR="00806678" w:rsidRDefault="00B16377">
                    <w:pPr>
                      <w:jc w:val="center"/>
                      <w:outlineLvl w:val="2"/>
                      <w:rPr>
                        <w:rFonts w:cs="Cambria"/>
                        <w:szCs w:val="21"/>
                      </w:rPr>
                    </w:pPr>
                    <w:r>
                      <w:rPr>
                        <w:rFonts w:cs="Cambria" w:hint="eastAsia"/>
                        <w:szCs w:val="21"/>
                      </w:rPr>
                      <w:t>合计</w:t>
                    </w:r>
                  </w:p>
                </w:tc>
              </w:sdtContent>
            </w:sdt>
          </w:tr>
          <w:tr w:rsidR="00806678" w:rsidTr="004B2C8E">
            <w:trPr>
              <w:trHeight w:val="227"/>
            </w:trPr>
            <w:sdt>
              <w:sdtPr>
                <w:tag w:val="_PLD_e49fdea230ef4b0da0cf964b389819eb"/>
                <w:id w:val="1874187520"/>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rsidR="00806678" w:rsidRDefault="00B16377">
                    <w:pPr>
                      <w:outlineLvl w:val="2"/>
                      <w:rPr>
                        <w:rFonts w:cs="Cambria"/>
                        <w:b/>
                        <w:szCs w:val="21"/>
                      </w:rPr>
                    </w:pPr>
                    <w:r>
                      <w:rPr>
                        <w:rFonts w:cs="Cambria" w:hint="eastAsia"/>
                        <w:b/>
                        <w:szCs w:val="21"/>
                      </w:rPr>
                      <w:t>一、持续的公允价值计量</w:t>
                    </w:r>
                  </w:p>
                </w:tc>
              </w:sdtContent>
            </w:sdt>
            <w:tc>
              <w:tcPr>
                <w:tcW w:w="944"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r>
          <w:tr w:rsidR="00806678" w:rsidTr="004B2C8E">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sdt>
                <w:sdtPr>
                  <w:rPr>
                    <w:rFonts w:hint="eastAsia"/>
                  </w:rPr>
                  <w:tag w:val="_PLD_f82db915b16a4b2899a6b3bfdd4f9c38"/>
                  <w:id w:val="353619543"/>
                  <w:lock w:val="sdtLocked"/>
                </w:sdtPr>
                <w:sdtContent>
                  <w:p w:rsidR="00806678" w:rsidRDefault="00B16377">
                    <w:pPr>
                      <w:outlineLvl w:val="2"/>
                    </w:pPr>
                    <w:r>
                      <w:rPr>
                        <w:rFonts w:hint="eastAsia"/>
                      </w:rPr>
                      <w:t>（一）交易性金融资产</w:t>
                    </w:r>
                  </w:p>
                </w:sdtContent>
              </w:sdt>
            </w:tc>
            <w:tc>
              <w:tcPr>
                <w:tcW w:w="944"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r>
          <w:tr w:rsidR="00806678" w:rsidTr="004B2C8E">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sdt>
                <w:sdtPr>
                  <w:tag w:val="_PLD_8cc0c5e5643d48d2bba6cb5b17fb8d94"/>
                  <w:id w:val="-1352946833"/>
                  <w:lock w:val="sdtLocked"/>
                </w:sdtPr>
                <w:sdtContent>
                  <w:p w:rsidR="00806678" w:rsidRDefault="00B16377">
                    <w:pPr>
                      <w:outlineLvl w:val="2"/>
                    </w:pPr>
                    <w:r>
                      <w:t>1.以公允价值计量且变动计入当期损益的金融资产</w:t>
                    </w:r>
                  </w:p>
                </w:sdtContent>
              </w:sdt>
            </w:tc>
            <w:tc>
              <w:tcPr>
                <w:tcW w:w="944"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r>
          <w:tr w:rsidR="00806678" w:rsidTr="004B2C8E">
            <w:trPr>
              <w:trHeight w:val="240"/>
            </w:trPr>
            <w:sdt>
              <w:sdtPr>
                <w:tag w:val="_PLD_4d7769188dcd4c7c8df05e497b03295d"/>
                <w:id w:val="1318843813"/>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rsidR="00806678" w:rsidRDefault="00B16377">
                    <w:pPr>
                      <w:outlineLvl w:val="2"/>
                      <w:rPr>
                        <w:rFonts w:cs="Cambria"/>
                        <w:szCs w:val="21"/>
                      </w:rPr>
                    </w:pPr>
                    <w:r>
                      <w:rPr>
                        <w:rFonts w:cs="Cambria" w:hint="eastAsia"/>
                        <w:szCs w:val="21"/>
                      </w:rPr>
                      <w:t>（</w:t>
                    </w:r>
                    <w:r>
                      <w:rPr>
                        <w:rFonts w:cs="Cambria"/>
                        <w:szCs w:val="21"/>
                      </w:rPr>
                      <w:t>1</w:t>
                    </w:r>
                    <w:r>
                      <w:rPr>
                        <w:rFonts w:cs="Cambria" w:hint="eastAsia"/>
                        <w:szCs w:val="21"/>
                      </w:rPr>
                      <w:t>）债务工具投资</w:t>
                    </w:r>
                  </w:p>
                </w:tc>
              </w:sdtContent>
            </w:sdt>
            <w:tc>
              <w:tcPr>
                <w:tcW w:w="944"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r>
          <w:tr w:rsidR="00806678" w:rsidTr="004B2C8E">
            <w:trPr>
              <w:trHeight w:val="240"/>
            </w:trPr>
            <w:sdt>
              <w:sdtPr>
                <w:tag w:val="_PLD_6d020123248541b497fe0c0712f8e722"/>
                <w:id w:val="854079642"/>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rsidR="00806678" w:rsidRDefault="00B16377">
                    <w:pPr>
                      <w:outlineLvl w:val="2"/>
                      <w:rPr>
                        <w:rFonts w:cs="Cambria"/>
                        <w:szCs w:val="21"/>
                      </w:rPr>
                    </w:pPr>
                    <w:r>
                      <w:rPr>
                        <w:rFonts w:cs="Cambria" w:hint="eastAsia"/>
                        <w:szCs w:val="21"/>
                      </w:rPr>
                      <w:t>（</w:t>
                    </w:r>
                    <w:r>
                      <w:rPr>
                        <w:rFonts w:cs="Cambria"/>
                        <w:szCs w:val="21"/>
                      </w:rPr>
                      <w:t>2</w:t>
                    </w:r>
                    <w:r>
                      <w:rPr>
                        <w:rFonts w:cs="Cambria" w:hint="eastAsia"/>
                        <w:szCs w:val="21"/>
                      </w:rPr>
                      <w:t>）权益工具投资</w:t>
                    </w:r>
                  </w:p>
                </w:tc>
              </w:sdtContent>
            </w:sdt>
            <w:tc>
              <w:tcPr>
                <w:tcW w:w="944"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r>
          <w:tr w:rsidR="00806678" w:rsidTr="004B2C8E">
            <w:trPr>
              <w:trHeight w:val="240"/>
            </w:trPr>
            <w:sdt>
              <w:sdtPr>
                <w:tag w:val="_PLD_5c6de5dc139e4fa8b27c123299927fa0"/>
                <w:id w:val="-1216507079"/>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rsidR="00806678" w:rsidRDefault="00B16377">
                    <w:pPr>
                      <w:outlineLvl w:val="2"/>
                      <w:rPr>
                        <w:rFonts w:cs="Cambria"/>
                        <w:szCs w:val="21"/>
                      </w:rPr>
                    </w:pPr>
                    <w:r>
                      <w:rPr>
                        <w:rFonts w:cs="Cambria" w:hint="eastAsia"/>
                        <w:szCs w:val="21"/>
                      </w:rPr>
                      <w:t>（</w:t>
                    </w:r>
                    <w:r>
                      <w:rPr>
                        <w:rFonts w:cs="Cambria"/>
                        <w:szCs w:val="21"/>
                      </w:rPr>
                      <w:t>3</w:t>
                    </w:r>
                    <w:r>
                      <w:rPr>
                        <w:rFonts w:cs="Cambria" w:hint="eastAsia"/>
                        <w:szCs w:val="21"/>
                      </w:rPr>
                      <w:t>）衍生金融资产</w:t>
                    </w:r>
                  </w:p>
                </w:tc>
              </w:sdtContent>
            </w:sdt>
            <w:tc>
              <w:tcPr>
                <w:tcW w:w="944"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r>
          <w:tr w:rsidR="00806678" w:rsidTr="004B2C8E">
            <w:trPr>
              <w:trHeight w:val="799"/>
            </w:trPr>
            <w:tc>
              <w:tcPr>
                <w:tcW w:w="1339" w:type="pct"/>
                <w:tcBorders>
                  <w:top w:val="single" w:sz="4" w:space="0" w:color="auto"/>
                  <w:left w:val="single" w:sz="4" w:space="0" w:color="auto"/>
                  <w:bottom w:val="single" w:sz="4" w:space="0" w:color="auto"/>
                  <w:right w:val="single" w:sz="4" w:space="0" w:color="auto"/>
                </w:tcBorders>
                <w:shd w:val="clear" w:color="auto" w:fill="auto"/>
              </w:tcPr>
              <w:sdt>
                <w:sdtPr>
                  <w:rPr>
                    <w:rFonts w:cs="Cambria"/>
                    <w:szCs w:val="21"/>
                  </w:rPr>
                  <w:tag w:val="_PLD_972e03bea0e746bba61543d32de4d4d9"/>
                  <w:id w:val="1926533584"/>
                  <w:lock w:val="sdtLocked"/>
                </w:sdtPr>
                <w:sdtEndPr>
                  <w:rPr>
                    <w:rFonts w:hint="eastAsia"/>
                  </w:rPr>
                </w:sdtEndPr>
                <w:sdtContent>
                  <w:p w:rsidR="00806678" w:rsidRDefault="00B16377">
                    <w:pPr>
                      <w:outlineLvl w:val="2"/>
                      <w:rPr>
                        <w:rFonts w:cs="Cambria"/>
                        <w:szCs w:val="21"/>
                      </w:rPr>
                    </w:pPr>
                    <w:r>
                      <w:rPr>
                        <w:rFonts w:cs="Cambria"/>
                        <w:szCs w:val="21"/>
                      </w:rPr>
                      <w:t xml:space="preserve">2. </w:t>
                    </w:r>
                    <w:r>
                      <w:rPr>
                        <w:rFonts w:cs="Cambria" w:hint="eastAsia"/>
                        <w:szCs w:val="21"/>
                      </w:rPr>
                      <w:t>指定以公允价值计量且其变动计入当期损益的金融资产</w:t>
                    </w:r>
                  </w:p>
                </w:sdtContent>
              </w:sdt>
            </w:tc>
            <w:tc>
              <w:tcPr>
                <w:tcW w:w="944"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r>
          <w:tr w:rsidR="00806678" w:rsidTr="004B2C8E">
            <w:trPr>
              <w:trHeight w:val="240"/>
            </w:trPr>
            <w:sdt>
              <w:sdtPr>
                <w:tag w:val="_PLD_ae29c63764c44046a189418dfeab18ec"/>
                <w:id w:val="16281842"/>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rsidR="00806678" w:rsidRDefault="00B16377">
                    <w:pPr>
                      <w:outlineLvl w:val="2"/>
                      <w:rPr>
                        <w:rFonts w:cs="Cambria"/>
                        <w:szCs w:val="21"/>
                      </w:rPr>
                    </w:pPr>
                    <w:r>
                      <w:rPr>
                        <w:rFonts w:cs="Cambria" w:hint="eastAsia"/>
                        <w:szCs w:val="21"/>
                      </w:rPr>
                      <w:t>（</w:t>
                    </w:r>
                    <w:r>
                      <w:rPr>
                        <w:rFonts w:cs="Cambria"/>
                        <w:szCs w:val="21"/>
                      </w:rPr>
                      <w:t>1</w:t>
                    </w:r>
                    <w:r>
                      <w:rPr>
                        <w:rFonts w:cs="Cambria" w:hint="eastAsia"/>
                        <w:szCs w:val="21"/>
                      </w:rPr>
                      <w:t>）债务工具投资</w:t>
                    </w:r>
                  </w:p>
                </w:tc>
              </w:sdtContent>
            </w:sdt>
            <w:tc>
              <w:tcPr>
                <w:tcW w:w="944"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r>
          <w:tr w:rsidR="00806678" w:rsidTr="004B2C8E">
            <w:trPr>
              <w:trHeight w:val="240"/>
            </w:trPr>
            <w:sdt>
              <w:sdtPr>
                <w:tag w:val="_PLD_f3278e5971c94432b7eded39bbc3b41c"/>
                <w:id w:val="1061838346"/>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rsidR="00806678" w:rsidRDefault="00B16377">
                    <w:pPr>
                      <w:outlineLvl w:val="2"/>
                      <w:rPr>
                        <w:rFonts w:cs="Cambria"/>
                        <w:szCs w:val="21"/>
                      </w:rPr>
                    </w:pPr>
                    <w:r>
                      <w:rPr>
                        <w:rFonts w:cs="Cambria" w:hint="eastAsia"/>
                        <w:szCs w:val="21"/>
                      </w:rPr>
                      <w:t>（</w:t>
                    </w:r>
                    <w:r>
                      <w:rPr>
                        <w:rFonts w:cs="Cambria"/>
                        <w:szCs w:val="21"/>
                      </w:rPr>
                      <w:t>2</w:t>
                    </w:r>
                    <w:r>
                      <w:rPr>
                        <w:rFonts w:cs="Cambria" w:hint="eastAsia"/>
                        <w:szCs w:val="21"/>
                      </w:rPr>
                      <w:t>）权益工具投资</w:t>
                    </w:r>
                  </w:p>
                </w:tc>
              </w:sdtContent>
            </w:sdt>
            <w:tc>
              <w:tcPr>
                <w:tcW w:w="944"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r>
          <w:tr w:rsidR="00806678" w:rsidTr="004B2C8E">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sdt>
                <w:sdtPr>
                  <w:rPr>
                    <w:rFonts w:hint="eastAsia"/>
                  </w:rPr>
                  <w:tag w:val="_PLD_266c2ca89c8741648af2e0617434a8f6"/>
                  <w:id w:val="915206705"/>
                  <w:lock w:val="sdtLocked"/>
                </w:sdtPr>
                <w:sdtContent>
                  <w:p w:rsidR="00806678" w:rsidRDefault="00B16377">
                    <w:pPr>
                      <w:outlineLvl w:val="2"/>
                    </w:pPr>
                    <w:r>
                      <w:rPr>
                        <w:rFonts w:hint="eastAsia"/>
                      </w:rPr>
                      <w:t>（二）其他债权投资</w:t>
                    </w:r>
                  </w:p>
                </w:sdtContent>
              </w:sdt>
            </w:tc>
            <w:tc>
              <w:tcPr>
                <w:tcW w:w="944"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r>
          <w:tr w:rsidR="00806678" w:rsidTr="004B2C8E">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sdt>
                <w:sdtPr>
                  <w:rPr>
                    <w:rFonts w:hint="eastAsia"/>
                  </w:rPr>
                  <w:tag w:val="_PLD_48dae83294284453b5b29803ac364c49"/>
                  <w:id w:val="522748391"/>
                  <w:lock w:val="sdtLocked"/>
                </w:sdtPr>
                <w:sdtContent>
                  <w:p w:rsidR="00806678" w:rsidRDefault="00B16377">
                    <w:pPr>
                      <w:outlineLvl w:val="2"/>
                    </w:pPr>
                    <w:r>
                      <w:rPr>
                        <w:rFonts w:hint="eastAsia"/>
                      </w:rPr>
                      <w:t>（三）其他权益工具投资</w:t>
                    </w:r>
                  </w:p>
                </w:sdtContent>
              </w:sdt>
            </w:tc>
            <w:tc>
              <w:tcPr>
                <w:tcW w:w="944" w:type="pct"/>
                <w:tcBorders>
                  <w:top w:val="single" w:sz="4" w:space="0" w:color="auto"/>
                  <w:left w:val="single" w:sz="4" w:space="0" w:color="auto"/>
                  <w:bottom w:val="single" w:sz="4" w:space="0" w:color="auto"/>
                  <w:right w:val="single" w:sz="4" w:space="0" w:color="auto"/>
                </w:tcBorders>
              </w:tcPr>
              <w:p w:rsidR="00806678" w:rsidRDefault="00EB2D70">
                <w:pPr>
                  <w:jc w:val="right"/>
                  <w:outlineLvl w:val="2"/>
                  <w:rPr>
                    <w:rFonts w:cs="Cambria"/>
                    <w:szCs w:val="21"/>
                  </w:rPr>
                </w:pPr>
                <w:r>
                  <w:rPr>
                    <w:rFonts w:cs="Cambria"/>
                    <w:szCs w:val="21"/>
                  </w:rPr>
                  <w:t>117,562,500</w:t>
                </w:r>
              </w:p>
            </w:tc>
            <w:tc>
              <w:tcPr>
                <w:tcW w:w="922" w:type="pct"/>
                <w:tcBorders>
                  <w:top w:val="single" w:sz="4" w:space="0" w:color="auto"/>
                  <w:left w:val="single" w:sz="4" w:space="0" w:color="auto"/>
                  <w:bottom w:val="single" w:sz="4" w:space="0" w:color="auto"/>
                  <w:right w:val="single" w:sz="4" w:space="0" w:color="auto"/>
                </w:tcBorders>
              </w:tcPr>
              <w:p w:rsidR="00806678" w:rsidRDefault="00EB2D70">
                <w:pPr>
                  <w:jc w:val="right"/>
                  <w:outlineLvl w:val="2"/>
                  <w:rPr>
                    <w:rFonts w:cs="Cambria"/>
                    <w:szCs w:val="21"/>
                  </w:rPr>
                </w:pPr>
                <w:r>
                  <w:rPr>
                    <w:rFonts w:cs="Cambria"/>
                    <w:szCs w:val="21"/>
                  </w:rPr>
                  <w:t>0</w:t>
                </w:r>
              </w:p>
            </w:tc>
            <w:tc>
              <w:tcPr>
                <w:tcW w:w="959" w:type="pct"/>
                <w:tcBorders>
                  <w:top w:val="single" w:sz="4" w:space="0" w:color="auto"/>
                  <w:left w:val="single" w:sz="4" w:space="0" w:color="auto"/>
                  <w:bottom w:val="single" w:sz="4" w:space="0" w:color="auto"/>
                  <w:right w:val="single" w:sz="4" w:space="0" w:color="auto"/>
                </w:tcBorders>
              </w:tcPr>
              <w:p w:rsidR="00806678" w:rsidRDefault="00EB2D70">
                <w:pPr>
                  <w:jc w:val="right"/>
                  <w:outlineLvl w:val="2"/>
                  <w:rPr>
                    <w:rFonts w:cs="Cambria"/>
                    <w:szCs w:val="21"/>
                  </w:rPr>
                </w:pPr>
                <w:r>
                  <w:rPr>
                    <w:rFonts w:cs="Cambria"/>
                    <w:szCs w:val="21"/>
                  </w:rPr>
                  <w:t>0</w:t>
                </w:r>
              </w:p>
            </w:tc>
            <w:tc>
              <w:tcPr>
                <w:tcW w:w="836" w:type="pct"/>
                <w:tcBorders>
                  <w:top w:val="single" w:sz="4" w:space="0" w:color="auto"/>
                  <w:left w:val="single" w:sz="4" w:space="0" w:color="auto"/>
                  <w:bottom w:val="single" w:sz="4" w:space="0" w:color="auto"/>
                  <w:right w:val="single" w:sz="4" w:space="0" w:color="auto"/>
                </w:tcBorders>
              </w:tcPr>
              <w:p w:rsidR="00806678" w:rsidRDefault="00EB2D70">
                <w:pPr>
                  <w:jc w:val="right"/>
                  <w:outlineLvl w:val="2"/>
                  <w:rPr>
                    <w:rFonts w:cs="Cambria"/>
                    <w:szCs w:val="21"/>
                  </w:rPr>
                </w:pPr>
                <w:r>
                  <w:rPr>
                    <w:rFonts w:cs="Cambria"/>
                    <w:szCs w:val="21"/>
                  </w:rPr>
                  <w:t>117,562,500</w:t>
                </w:r>
              </w:p>
            </w:tc>
          </w:tr>
          <w:tr w:rsidR="00806678" w:rsidTr="004B2C8E">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sdt>
                <w:sdtPr>
                  <w:rPr>
                    <w:rFonts w:cs="Cambria" w:hint="eastAsia"/>
                    <w:szCs w:val="21"/>
                  </w:rPr>
                  <w:tag w:val="_PLD_acb73a1ad42944619fe34047b4d651e8"/>
                  <w:id w:val="-441837294"/>
                  <w:lock w:val="sdtLocked"/>
                </w:sdtPr>
                <w:sdtContent>
                  <w:p w:rsidR="00806678" w:rsidRDefault="00B16377">
                    <w:pPr>
                      <w:outlineLvl w:val="2"/>
                      <w:rPr>
                        <w:rFonts w:cs="Cambria"/>
                        <w:szCs w:val="21"/>
                      </w:rPr>
                    </w:pPr>
                    <w:r>
                      <w:rPr>
                        <w:rFonts w:cs="Cambria" w:hint="eastAsia"/>
                        <w:szCs w:val="21"/>
                      </w:rPr>
                      <w:t>（四）投资性房地产</w:t>
                    </w:r>
                  </w:p>
                </w:sdtContent>
              </w:sdt>
            </w:tc>
            <w:tc>
              <w:tcPr>
                <w:tcW w:w="944"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r>
          <w:tr w:rsidR="00806678" w:rsidTr="004B2C8E">
            <w:trPr>
              <w:trHeight w:val="240"/>
            </w:trPr>
            <w:sdt>
              <w:sdtPr>
                <w:tag w:val="_PLD_b66f736c06194bd98411f07092155516"/>
                <w:id w:val="1920127735"/>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rsidR="00806678" w:rsidRDefault="00B16377">
                    <w:pPr>
                      <w:outlineLvl w:val="2"/>
                      <w:rPr>
                        <w:rFonts w:cs="Cambria"/>
                        <w:szCs w:val="21"/>
                      </w:rPr>
                    </w:pPr>
                    <w:r>
                      <w:rPr>
                        <w:rFonts w:cs="Cambria"/>
                        <w:szCs w:val="21"/>
                      </w:rPr>
                      <w:t>1.</w:t>
                    </w:r>
                    <w:r>
                      <w:rPr>
                        <w:rFonts w:cs="Cambria" w:hint="eastAsia"/>
                        <w:szCs w:val="21"/>
                      </w:rPr>
                      <w:t>出租用的土地使用权</w:t>
                    </w:r>
                  </w:p>
                </w:tc>
              </w:sdtContent>
            </w:sdt>
            <w:tc>
              <w:tcPr>
                <w:tcW w:w="944"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r>
          <w:tr w:rsidR="00806678" w:rsidTr="004B2C8E">
            <w:trPr>
              <w:trHeight w:val="240"/>
            </w:trPr>
            <w:sdt>
              <w:sdtPr>
                <w:tag w:val="_PLD_bfcce1b42b274af2b3b32ebc29ea315b"/>
                <w:id w:val="-1281957937"/>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rsidR="00806678" w:rsidRDefault="00B16377">
                    <w:pPr>
                      <w:outlineLvl w:val="2"/>
                      <w:rPr>
                        <w:rFonts w:cs="Cambria"/>
                        <w:szCs w:val="21"/>
                      </w:rPr>
                    </w:pPr>
                    <w:r>
                      <w:rPr>
                        <w:rFonts w:cs="Cambria"/>
                        <w:szCs w:val="21"/>
                      </w:rPr>
                      <w:t>2.</w:t>
                    </w:r>
                    <w:r>
                      <w:rPr>
                        <w:rFonts w:cs="Cambria" w:hint="eastAsia"/>
                        <w:szCs w:val="21"/>
                      </w:rPr>
                      <w:t>出租的建筑物</w:t>
                    </w:r>
                  </w:p>
                </w:tc>
              </w:sdtContent>
            </w:sdt>
            <w:tc>
              <w:tcPr>
                <w:tcW w:w="944"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r>
          <w:tr w:rsidR="00806678" w:rsidTr="004B2C8E">
            <w:trPr>
              <w:trHeight w:val="468"/>
            </w:trPr>
            <w:sdt>
              <w:sdtPr>
                <w:tag w:val="_PLD_a8730f331c814080932f692c9a71fecb"/>
                <w:id w:val="2090113080"/>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rsidR="00806678" w:rsidRDefault="00B16377">
                    <w:pPr>
                      <w:outlineLvl w:val="2"/>
                      <w:rPr>
                        <w:rFonts w:cs="Cambria"/>
                        <w:szCs w:val="21"/>
                      </w:rPr>
                    </w:pPr>
                    <w:r>
                      <w:rPr>
                        <w:rFonts w:cs="Cambria"/>
                        <w:szCs w:val="21"/>
                      </w:rPr>
                      <w:t>3.</w:t>
                    </w:r>
                    <w:r>
                      <w:rPr>
                        <w:rFonts w:cs="Cambria" w:hint="eastAsia"/>
                        <w:szCs w:val="21"/>
                      </w:rPr>
                      <w:t>持有并准备增值后转让的土地使用权</w:t>
                    </w:r>
                  </w:p>
                </w:tc>
              </w:sdtContent>
            </w:sdt>
            <w:tc>
              <w:tcPr>
                <w:tcW w:w="944"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r>
          <w:tr w:rsidR="00806678" w:rsidTr="004B2C8E">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sdt>
                <w:sdtPr>
                  <w:rPr>
                    <w:rFonts w:cs="Cambria" w:hint="eastAsia"/>
                    <w:szCs w:val="21"/>
                  </w:rPr>
                  <w:tag w:val="_PLD_e9c4c9fa7647482182a0267ec9cc21bf"/>
                  <w:id w:val="576866635"/>
                  <w:lock w:val="sdtLocked"/>
                </w:sdtPr>
                <w:sdtContent>
                  <w:p w:rsidR="00806678" w:rsidRDefault="00B16377">
                    <w:pPr>
                      <w:outlineLvl w:val="2"/>
                      <w:rPr>
                        <w:rFonts w:cs="Cambria"/>
                        <w:szCs w:val="21"/>
                      </w:rPr>
                    </w:pPr>
                    <w:r>
                      <w:rPr>
                        <w:rFonts w:cs="Cambria" w:hint="eastAsia"/>
                        <w:szCs w:val="21"/>
                      </w:rPr>
                      <w:t>（五）生物资产</w:t>
                    </w:r>
                  </w:p>
                </w:sdtContent>
              </w:sdt>
            </w:tc>
            <w:tc>
              <w:tcPr>
                <w:tcW w:w="944"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r>
          <w:tr w:rsidR="00806678" w:rsidTr="004B2C8E">
            <w:trPr>
              <w:trHeight w:val="240"/>
            </w:trPr>
            <w:sdt>
              <w:sdtPr>
                <w:tag w:val="_PLD_5e685393939a40609058af0b583b7e1d"/>
                <w:id w:val="-1945680712"/>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rsidR="00806678" w:rsidRDefault="00B16377">
                    <w:pPr>
                      <w:outlineLvl w:val="2"/>
                      <w:rPr>
                        <w:rFonts w:cs="Cambria"/>
                        <w:szCs w:val="21"/>
                      </w:rPr>
                    </w:pPr>
                    <w:r>
                      <w:rPr>
                        <w:rFonts w:cs="Cambria"/>
                        <w:szCs w:val="21"/>
                      </w:rPr>
                      <w:t>1.</w:t>
                    </w:r>
                    <w:r>
                      <w:rPr>
                        <w:rFonts w:cs="Cambria" w:hint="eastAsia"/>
                        <w:szCs w:val="21"/>
                      </w:rPr>
                      <w:t>消耗性生物资产</w:t>
                    </w:r>
                  </w:p>
                </w:tc>
              </w:sdtContent>
            </w:sdt>
            <w:tc>
              <w:tcPr>
                <w:tcW w:w="944"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r>
          <w:tr w:rsidR="00806678" w:rsidTr="004B2C8E">
            <w:trPr>
              <w:trHeight w:val="240"/>
            </w:trPr>
            <w:sdt>
              <w:sdtPr>
                <w:tag w:val="_PLD_2834b6ebaefb4889beb6a38ba25ca38f"/>
                <w:id w:val="-1566635421"/>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rsidR="00806678" w:rsidRDefault="00B16377">
                    <w:pPr>
                      <w:outlineLvl w:val="2"/>
                      <w:rPr>
                        <w:rFonts w:cs="Cambria"/>
                        <w:szCs w:val="21"/>
                      </w:rPr>
                    </w:pPr>
                    <w:r>
                      <w:rPr>
                        <w:rFonts w:cs="Cambria"/>
                        <w:szCs w:val="21"/>
                      </w:rPr>
                      <w:t>2.</w:t>
                    </w:r>
                    <w:r>
                      <w:rPr>
                        <w:rFonts w:cs="Cambria" w:hint="eastAsia"/>
                        <w:szCs w:val="21"/>
                      </w:rPr>
                      <w:t>生产性生物资产</w:t>
                    </w:r>
                  </w:p>
                </w:tc>
              </w:sdtContent>
            </w:sdt>
            <w:tc>
              <w:tcPr>
                <w:tcW w:w="944"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r>
          <w:sdt>
            <w:sdtPr>
              <w:rPr>
                <w:rFonts w:cs="Cambria"/>
                <w:szCs w:val="21"/>
              </w:rPr>
              <w:alias w:val="持续以公允价值计量的资产总额明细"/>
              <w:tag w:val="_TUP_4e6c46d6136147f2b16d042dc98083e9"/>
              <w:id w:val="264738955"/>
              <w:lock w:val="sdtLocked"/>
            </w:sdtPr>
            <w:sdtContent>
              <w:tr w:rsidR="00806678" w:rsidTr="004B2C8E">
                <w:trPr>
                  <w:trHeight w:val="215"/>
                </w:trPr>
                <w:tc>
                  <w:tcPr>
                    <w:tcW w:w="1339" w:type="pct"/>
                    <w:tcBorders>
                      <w:top w:val="single" w:sz="4" w:space="0" w:color="auto"/>
                      <w:left w:val="single" w:sz="4" w:space="0" w:color="auto"/>
                      <w:bottom w:val="single" w:sz="4" w:space="0" w:color="auto"/>
                      <w:right w:val="single" w:sz="4" w:space="0" w:color="auto"/>
                    </w:tcBorders>
                    <w:shd w:val="clear" w:color="auto" w:fill="auto"/>
                  </w:tcPr>
                  <w:p w:rsidR="00806678" w:rsidRDefault="00EB2D70">
                    <w:pPr>
                      <w:outlineLvl w:val="2"/>
                      <w:rPr>
                        <w:rFonts w:cs="Cambria"/>
                        <w:szCs w:val="21"/>
                      </w:rPr>
                    </w:pPr>
                    <w:r w:rsidRPr="00EB2D70">
                      <w:rPr>
                        <w:rFonts w:cs="Cambria" w:hint="eastAsia"/>
                        <w:szCs w:val="21"/>
                      </w:rPr>
                      <w:t>（六）</w:t>
                    </w:r>
                    <w:r>
                      <w:rPr>
                        <w:rFonts w:cs="Cambria" w:hint="eastAsia"/>
                        <w:szCs w:val="21"/>
                      </w:rPr>
                      <w:t>应收款项融资</w:t>
                    </w:r>
                  </w:p>
                </w:tc>
                <w:tc>
                  <w:tcPr>
                    <w:tcW w:w="944" w:type="pct"/>
                    <w:tcBorders>
                      <w:top w:val="single" w:sz="4" w:space="0" w:color="auto"/>
                      <w:left w:val="single" w:sz="4" w:space="0" w:color="auto"/>
                      <w:bottom w:val="single" w:sz="4" w:space="0" w:color="auto"/>
                      <w:right w:val="single" w:sz="4" w:space="0" w:color="auto"/>
                    </w:tcBorders>
                  </w:tcPr>
                  <w:p w:rsidR="00806678" w:rsidRDefault="00EB2D70">
                    <w:pPr>
                      <w:jc w:val="right"/>
                      <w:outlineLvl w:val="2"/>
                      <w:rPr>
                        <w:rFonts w:cs="Cambria"/>
                        <w:szCs w:val="21"/>
                      </w:rPr>
                    </w:pPr>
                    <w:r>
                      <w:rPr>
                        <w:rFonts w:cs="Cambria"/>
                        <w:szCs w:val="21"/>
                      </w:rPr>
                      <w:t>0</w:t>
                    </w:r>
                  </w:p>
                </w:tc>
                <w:tc>
                  <w:tcPr>
                    <w:tcW w:w="922" w:type="pct"/>
                    <w:tcBorders>
                      <w:top w:val="single" w:sz="4" w:space="0" w:color="auto"/>
                      <w:left w:val="single" w:sz="4" w:space="0" w:color="auto"/>
                      <w:bottom w:val="single" w:sz="4" w:space="0" w:color="auto"/>
                      <w:right w:val="single" w:sz="4" w:space="0" w:color="auto"/>
                    </w:tcBorders>
                  </w:tcPr>
                  <w:p w:rsidR="00806678" w:rsidRDefault="00EB2D70">
                    <w:pPr>
                      <w:jc w:val="right"/>
                      <w:outlineLvl w:val="2"/>
                      <w:rPr>
                        <w:rFonts w:cs="Cambria"/>
                        <w:szCs w:val="21"/>
                      </w:rPr>
                    </w:pPr>
                    <w:r>
                      <w:rPr>
                        <w:rFonts w:cs="Cambria"/>
                        <w:szCs w:val="21"/>
                      </w:rPr>
                      <w:t>0</w:t>
                    </w:r>
                  </w:p>
                </w:tc>
                <w:tc>
                  <w:tcPr>
                    <w:tcW w:w="959" w:type="pct"/>
                    <w:tcBorders>
                      <w:top w:val="single" w:sz="4" w:space="0" w:color="auto"/>
                      <w:left w:val="single" w:sz="4" w:space="0" w:color="auto"/>
                      <w:bottom w:val="single" w:sz="4" w:space="0" w:color="auto"/>
                      <w:right w:val="single" w:sz="4" w:space="0" w:color="auto"/>
                    </w:tcBorders>
                  </w:tcPr>
                  <w:p w:rsidR="00806678" w:rsidRDefault="00EB2D70">
                    <w:pPr>
                      <w:jc w:val="right"/>
                      <w:outlineLvl w:val="2"/>
                      <w:rPr>
                        <w:rFonts w:cs="Cambria"/>
                        <w:szCs w:val="21"/>
                      </w:rPr>
                    </w:pPr>
                    <w:r>
                      <w:rPr>
                        <w:rFonts w:cs="Cambria"/>
                        <w:szCs w:val="21"/>
                      </w:rPr>
                      <w:t>374,668,679</w:t>
                    </w:r>
                  </w:p>
                </w:tc>
                <w:tc>
                  <w:tcPr>
                    <w:tcW w:w="836" w:type="pct"/>
                    <w:tcBorders>
                      <w:top w:val="single" w:sz="4" w:space="0" w:color="auto"/>
                      <w:left w:val="single" w:sz="4" w:space="0" w:color="auto"/>
                      <w:bottom w:val="single" w:sz="4" w:space="0" w:color="auto"/>
                      <w:right w:val="single" w:sz="4" w:space="0" w:color="auto"/>
                    </w:tcBorders>
                  </w:tcPr>
                  <w:p w:rsidR="00806678" w:rsidRDefault="00EB2D70">
                    <w:pPr>
                      <w:jc w:val="right"/>
                      <w:outlineLvl w:val="2"/>
                      <w:rPr>
                        <w:rFonts w:cs="Cambria"/>
                        <w:szCs w:val="21"/>
                      </w:rPr>
                    </w:pPr>
                    <w:r>
                      <w:rPr>
                        <w:rFonts w:cs="Cambria"/>
                        <w:szCs w:val="21"/>
                      </w:rPr>
                      <w:t>374,668,679</w:t>
                    </w:r>
                  </w:p>
                </w:tc>
              </w:tr>
            </w:sdtContent>
          </w:sdt>
          <w:tr w:rsidR="00806678" w:rsidTr="004B2C8E">
            <w:trPr>
              <w:trHeight w:val="468"/>
            </w:trPr>
            <w:sdt>
              <w:sdtPr>
                <w:tag w:val="_PLD_4c7c69ac72c0449cb781fcf42a2b9e63"/>
                <w:id w:val="-1202324775"/>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rsidR="00806678" w:rsidRDefault="00B16377">
                    <w:pPr>
                      <w:outlineLvl w:val="2"/>
                      <w:rPr>
                        <w:rFonts w:cs="Cambria"/>
                        <w:b/>
                        <w:szCs w:val="21"/>
                      </w:rPr>
                    </w:pPr>
                    <w:r>
                      <w:rPr>
                        <w:rFonts w:cs="Cambria" w:hint="eastAsia"/>
                        <w:b/>
                        <w:szCs w:val="21"/>
                      </w:rPr>
                      <w:t>持续以公允价值计量的资产总额</w:t>
                    </w:r>
                  </w:p>
                </w:tc>
              </w:sdtContent>
            </w:sdt>
            <w:tc>
              <w:tcPr>
                <w:tcW w:w="944" w:type="pct"/>
                <w:tcBorders>
                  <w:top w:val="single" w:sz="4" w:space="0" w:color="auto"/>
                  <w:left w:val="single" w:sz="4" w:space="0" w:color="auto"/>
                  <w:bottom w:val="single" w:sz="4" w:space="0" w:color="auto"/>
                  <w:right w:val="single" w:sz="4" w:space="0" w:color="auto"/>
                </w:tcBorders>
              </w:tcPr>
              <w:p w:rsidR="00806678" w:rsidRDefault="007361CC">
                <w:pPr>
                  <w:jc w:val="right"/>
                  <w:outlineLvl w:val="2"/>
                  <w:rPr>
                    <w:rFonts w:cs="Cambria"/>
                    <w:szCs w:val="21"/>
                  </w:rPr>
                </w:pPr>
                <w:r>
                  <w:rPr>
                    <w:rFonts w:cs="Cambria"/>
                    <w:szCs w:val="21"/>
                  </w:rPr>
                  <w:t>117,562,500</w:t>
                </w:r>
              </w:p>
            </w:tc>
            <w:tc>
              <w:tcPr>
                <w:tcW w:w="922" w:type="pct"/>
                <w:tcBorders>
                  <w:top w:val="single" w:sz="4" w:space="0" w:color="auto"/>
                  <w:left w:val="single" w:sz="4" w:space="0" w:color="auto"/>
                  <w:bottom w:val="single" w:sz="4" w:space="0" w:color="auto"/>
                  <w:right w:val="single" w:sz="4" w:space="0" w:color="auto"/>
                </w:tcBorders>
              </w:tcPr>
              <w:p w:rsidR="00806678" w:rsidRDefault="007361CC">
                <w:pPr>
                  <w:jc w:val="right"/>
                  <w:outlineLvl w:val="2"/>
                  <w:rPr>
                    <w:rFonts w:cs="Cambria"/>
                    <w:szCs w:val="21"/>
                  </w:rPr>
                </w:pPr>
                <w:r>
                  <w:rPr>
                    <w:rFonts w:cs="Cambria"/>
                    <w:szCs w:val="21"/>
                  </w:rPr>
                  <w:t>0</w:t>
                </w:r>
              </w:p>
            </w:tc>
            <w:tc>
              <w:tcPr>
                <w:tcW w:w="959" w:type="pct"/>
                <w:tcBorders>
                  <w:top w:val="single" w:sz="4" w:space="0" w:color="auto"/>
                  <w:left w:val="single" w:sz="4" w:space="0" w:color="auto"/>
                  <w:bottom w:val="single" w:sz="4" w:space="0" w:color="auto"/>
                  <w:right w:val="single" w:sz="4" w:space="0" w:color="auto"/>
                </w:tcBorders>
              </w:tcPr>
              <w:p w:rsidR="00806678" w:rsidRDefault="007361CC">
                <w:pPr>
                  <w:jc w:val="right"/>
                  <w:outlineLvl w:val="2"/>
                  <w:rPr>
                    <w:rFonts w:cs="Cambria"/>
                    <w:szCs w:val="21"/>
                  </w:rPr>
                </w:pPr>
                <w:r>
                  <w:rPr>
                    <w:rFonts w:cs="Cambria"/>
                    <w:szCs w:val="21"/>
                  </w:rPr>
                  <w:t>374,668,679</w:t>
                </w:r>
              </w:p>
            </w:tc>
            <w:tc>
              <w:tcPr>
                <w:tcW w:w="836" w:type="pct"/>
                <w:tcBorders>
                  <w:top w:val="single" w:sz="4" w:space="0" w:color="auto"/>
                  <w:left w:val="single" w:sz="4" w:space="0" w:color="auto"/>
                  <w:bottom w:val="single" w:sz="4" w:space="0" w:color="auto"/>
                  <w:right w:val="single" w:sz="4" w:space="0" w:color="auto"/>
                </w:tcBorders>
              </w:tcPr>
              <w:p w:rsidR="00806678" w:rsidRDefault="007361CC">
                <w:pPr>
                  <w:jc w:val="right"/>
                  <w:outlineLvl w:val="2"/>
                  <w:rPr>
                    <w:rFonts w:cs="Cambria"/>
                    <w:szCs w:val="21"/>
                  </w:rPr>
                </w:pPr>
                <w:r>
                  <w:rPr>
                    <w:rFonts w:cs="Cambria"/>
                    <w:szCs w:val="21"/>
                  </w:rPr>
                  <w:t>492,231,179</w:t>
                </w:r>
              </w:p>
            </w:tc>
          </w:tr>
          <w:tr w:rsidR="00806678" w:rsidTr="004B2C8E">
            <w:trPr>
              <w:trHeight w:val="296"/>
            </w:trPr>
            <w:tc>
              <w:tcPr>
                <w:tcW w:w="1339" w:type="pct"/>
                <w:tcBorders>
                  <w:top w:val="single" w:sz="4" w:space="0" w:color="auto"/>
                  <w:left w:val="single" w:sz="4" w:space="0" w:color="auto"/>
                  <w:bottom w:val="single" w:sz="4" w:space="0" w:color="auto"/>
                  <w:right w:val="single" w:sz="4" w:space="0" w:color="auto"/>
                </w:tcBorders>
                <w:shd w:val="clear" w:color="auto" w:fill="auto"/>
              </w:tcPr>
              <w:sdt>
                <w:sdtPr>
                  <w:rPr>
                    <w:rFonts w:cs="Cambria" w:hint="eastAsia"/>
                    <w:szCs w:val="21"/>
                  </w:rPr>
                  <w:tag w:val="_PLD_f3a68c183c2048ee9d182e3250db3dc1"/>
                  <w:id w:val="568155260"/>
                  <w:lock w:val="sdtLocked"/>
                </w:sdtPr>
                <w:sdtContent>
                  <w:p w:rsidR="00806678" w:rsidRDefault="00B16377">
                    <w:pPr>
                      <w:outlineLvl w:val="2"/>
                      <w:rPr>
                        <w:rFonts w:cs="Cambria"/>
                        <w:szCs w:val="21"/>
                      </w:rPr>
                    </w:pPr>
                    <w:r>
                      <w:rPr>
                        <w:rFonts w:cs="Cambria" w:hint="eastAsia"/>
                        <w:szCs w:val="21"/>
                      </w:rPr>
                      <w:t>（六）交易性金融负债</w:t>
                    </w:r>
                  </w:p>
                </w:sdtContent>
              </w:sdt>
            </w:tc>
            <w:tc>
              <w:tcPr>
                <w:tcW w:w="944"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r>
          <w:tr w:rsidR="00806678" w:rsidTr="004B2C8E">
            <w:trPr>
              <w:trHeight w:val="296"/>
            </w:trPr>
            <w:tc>
              <w:tcPr>
                <w:tcW w:w="1339" w:type="pct"/>
                <w:tcBorders>
                  <w:top w:val="single" w:sz="4" w:space="0" w:color="auto"/>
                  <w:left w:val="single" w:sz="4" w:space="0" w:color="auto"/>
                  <w:bottom w:val="single" w:sz="4" w:space="0" w:color="auto"/>
                  <w:right w:val="single" w:sz="4" w:space="0" w:color="auto"/>
                </w:tcBorders>
                <w:shd w:val="clear" w:color="auto" w:fill="auto"/>
              </w:tcPr>
              <w:sdt>
                <w:sdtPr>
                  <w:rPr>
                    <w:rFonts w:cs="Cambria"/>
                    <w:szCs w:val="21"/>
                  </w:rPr>
                  <w:tag w:val="_PLD_69b42d614c9c40bfb60714b8e1e9b78b"/>
                  <w:id w:val="780839005"/>
                  <w:lock w:val="sdtLocked"/>
                </w:sdtPr>
                <w:sdtContent>
                  <w:p w:rsidR="00806678" w:rsidRDefault="00B16377">
                    <w:pPr>
                      <w:outlineLvl w:val="2"/>
                      <w:rPr>
                        <w:rFonts w:cs="Cambria"/>
                        <w:szCs w:val="21"/>
                      </w:rPr>
                    </w:pPr>
                    <w:r>
                      <w:rPr>
                        <w:rFonts w:cs="Cambria"/>
                        <w:szCs w:val="21"/>
                      </w:rPr>
                      <w:t>1.以公允价值计量且变动计入当期损益的金融负债</w:t>
                    </w:r>
                  </w:p>
                </w:sdtContent>
              </w:sdt>
            </w:tc>
            <w:tc>
              <w:tcPr>
                <w:tcW w:w="944"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r>
          <w:tr w:rsidR="00806678" w:rsidTr="004B2C8E">
            <w:trPr>
              <w:trHeight w:val="240"/>
            </w:trPr>
            <w:sdt>
              <w:sdtPr>
                <w:tag w:val="_PLD_437a55be492044b6bbc13cc4f7a3e1c8"/>
                <w:id w:val="-384870284"/>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rsidR="00806678" w:rsidRDefault="00B16377">
                    <w:pPr>
                      <w:outlineLvl w:val="2"/>
                      <w:rPr>
                        <w:rFonts w:cs="Cambria"/>
                        <w:szCs w:val="21"/>
                      </w:rPr>
                    </w:pPr>
                    <w:r>
                      <w:rPr>
                        <w:rFonts w:cs="Cambria" w:hint="eastAsia"/>
                        <w:szCs w:val="21"/>
                      </w:rPr>
                      <w:t>其中：发行的交易性债券</w:t>
                    </w:r>
                  </w:p>
                </w:tc>
              </w:sdtContent>
            </w:sdt>
            <w:tc>
              <w:tcPr>
                <w:tcW w:w="944"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806678" w:rsidRDefault="00806678">
                <w:pPr>
                  <w:jc w:val="right"/>
                </w:pPr>
              </w:p>
            </w:tc>
            <w:tc>
              <w:tcPr>
                <w:tcW w:w="959" w:type="pct"/>
                <w:tcBorders>
                  <w:top w:val="single" w:sz="4" w:space="0" w:color="auto"/>
                  <w:left w:val="single" w:sz="4" w:space="0" w:color="auto"/>
                  <w:bottom w:val="single" w:sz="4" w:space="0" w:color="auto"/>
                  <w:right w:val="single" w:sz="4" w:space="0" w:color="auto"/>
                </w:tcBorders>
              </w:tcPr>
              <w:p w:rsidR="00806678" w:rsidRDefault="00806678">
                <w:pPr>
                  <w:jc w:val="right"/>
                </w:pPr>
              </w:p>
            </w:tc>
            <w:tc>
              <w:tcPr>
                <w:tcW w:w="836" w:type="pct"/>
                <w:tcBorders>
                  <w:top w:val="single" w:sz="4" w:space="0" w:color="auto"/>
                  <w:left w:val="single" w:sz="4" w:space="0" w:color="auto"/>
                  <w:bottom w:val="single" w:sz="4" w:space="0" w:color="auto"/>
                  <w:right w:val="single" w:sz="4" w:space="0" w:color="auto"/>
                </w:tcBorders>
              </w:tcPr>
              <w:p w:rsidR="00806678" w:rsidRDefault="00806678">
                <w:pPr>
                  <w:jc w:val="right"/>
                </w:pPr>
              </w:p>
            </w:tc>
          </w:tr>
          <w:tr w:rsidR="00806678" w:rsidTr="004B2C8E">
            <w:trPr>
              <w:trHeight w:val="286"/>
            </w:trPr>
            <w:sdt>
              <w:sdtPr>
                <w:tag w:val="_PLD_fb7a31e6724f445da1ca76cad7164c6b"/>
                <w:id w:val="-1233080579"/>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rsidR="00806678" w:rsidRDefault="00B16377">
                    <w:pPr>
                      <w:tabs>
                        <w:tab w:val="left" w:pos="432"/>
                        <w:tab w:val="center" w:pos="5630"/>
                        <w:tab w:val="center" w:pos="7430"/>
                      </w:tabs>
                      <w:ind w:firstLineChars="300" w:firstLine="630"/>
                      <w:rPr>
                        <w:rFonts w:cs="Cambria"/>
                        <w:szCs w:val="21"/>
                      </w:rPr>
                    </w:pPr>
                    <w:r>
                      <w:rPr>
                        <w:rFonts w:cs="Cambria" w:hint="eastAsia"/>
                        <w:szCs w:val="21"/>
                      </w:rPr>
                      <w:t>衍生金融负债</w:t>
                    </w:r>
                  </w:p>
                </w:tc>
              </w:sdtContent>
            </w:sdt>
            <w:tc>
              <w:tcPr>
                <w:tcW w:w="944"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r>
          <w:tr w:rsidR="00806678" w:rsidTr="004B2C8E">
            <w:trPr>
              <w:trHeight w:val="284"/>
            </w:trPr>
            <w:sdt>
              <w:sdtPr>
                <w:tag w:val="_PLD_5cdaea850a7f43b4825235eb81a29e58"/>
                <w:id w:val="-1995639478"/>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rsidR="00806678" w:rsidRDefault="00B16377">
                    <w:pPr>
                      <w:tabs>
                        <w:tab w:val="left" w:pos="432"/>
                        <w:tab w:val="center" w:pos="5630"/>
                        <w:tab w:val="center" w:pos="7430"/>
                      </w:tabs>
                      <w:ind w:firstLineChars="300" w:firstLine="630"/>
                      <w:rPr>
                        <w:rFonts w:cs="Cambria"/>
                        <w:szCs w:val="21"/>
                      </w:rPr>
                    </w:pPr>
                    <w:r>
                      <w:rPr>
                        <w:rFonts w:cs="Cambria" w:hint="eastAsia"/>
                        <w:szCs w:val="21"/>
                      </w:rPr>
                      <w:t>其他</w:t>
                    </w:r>
                  </w:p>
                </w:tc>
              </w:sdtContent>
            </w:sdt>
            <w:tc>
              <w:tcPr>
                <w:tcW w:w="944"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r>
          <w:tr w:rsidR="00806678" w:rsidTr="004B2C8E">
            <w:trPr>
              <w:trHeight w:val="468"/>
            </w:trPr>
            <w:tc>
              <w:tcPr>
                <w:tcW w:w="1339" w:type="pct"/>
                <w:tcBorders>
                  <w:top w:val="single" w:sz="4" w:space="0" w:color="auto"/>
                  <w:left w:val="single" w:sz="4" w:space="0" w:color="auto"/>
                  <w:bottom w:val="single" w:sz="4" w:space="0" w:color="auto"/>
                  <w:right w:val="single" w:sz="4" w:space="0" w:color="auto"/>
                </w:tcBorders>
                <w:shd w:val="clear" w:color="auto" w:fill="auto"/>
              </w:tcPr>
              <w:p w:rsidR="00806678" w:rsidRDefault="00F80B6C">
                <w:pPr>
                  <w:outlineLvl w:val="2"/>
                  <w:rPr>
                    <w:rFonts w:cs="Cambria"/>
                    <w:szCs w:val="21"/>
                  </w:rPr>
                </w:pPr>
                <w:sdt>
                  <w:sdtPr>
                    <w:rPr>
                      <w:rFonts w:cs="Cambria" w:hint="eastAsia"/>
                      <w:szCs w:val="21"/>
                    </w:rPr>
                    <w:tag w:val="_PLD_71d29e00429842e89dcaae5044b2777e"/>
                    <w:id w:val="-1504582684"/>
                    <w:lock w:val="sdtLocked"/>
                  </w:sdtPr>
                  <w:sdtContent>
                    <w:r w:rsidR="00B16377">
                      <w:rPr>
                        <w:rFonts w:cs="Cambria" w:hint="eastAsia"/>
                        <w:szCs w:val="21"/>
                      </w:rPr>
                      <w:t>2.指定为以公允价值计量且变动计入当期损益的金融负债</w:t>
                    </w:r>
                  </w:sdtContent>
                </w:sdt>
              </w:p>
            </w:tc>
            <w:tc>
              <w:tcPr>
                <w:tcW w:w="944"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r>
          <w:tr w:rsidR="00806678" w:rsidTr="004B2C8E">
            <w:trPr>
              <w:trHeight w:val="468"/>
            </w:trPr>
            <w:sdt>
              <w:sdtPr>
                <w:tag w:val="_PLD_dee064280d7f4ce987d1217b5a2d835e"/>
                <w:id w:val="-640353934"/>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rsidR="00806678" w:rsidRDefault="00B16377">
                    <w:pPr>
                      <w:outlineLvl w:val="2"/>
                      <w:rPr>
                        <w:rFonts w:cs="Cambria"/>
                        <w:b/>
                        <w:szCs w:val="21"/>
                      </w:rPr>
                    </w:pPr>
                    <w:r>
                      <w:rPr>
                        <w:rFonts w:cs="Cambria" w:hint="eastAsia"/>
                        <w:b/>
                        <w:szCs w:val="21"/>
                      </w:rPr>
                      <w:t>持续以公允价值计量的负债总额</w:t>
                    </w:r>
                  </w:p>
                </w:tc>
              </w:sdtContent>
            </w:sdt>
            <w:tc>
              <w:tcPr>
                <w:tcW w:w="944"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806678" w:rsidRDefault="00806678">
                <w:pPr>
                  <w:tabs>
                    <w:tab w:val="center" w:pos="824"/>
                    <w:tab w:val="right" w:pos="1649"/>
                  </w:tabs>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r>
          <w:tr w:rsidR="00806678" w:rsidTr="004B2C8E">
            <w:trPr>
              <w:trHeight w:val="240"/>
            </w:trPr>
            <w:sdt>
              <w:sdtPr>
                <w:tag w:val="_PLD_3677c8ec547a41a18a813df278be4892"/>
                <w:id w:val="-197546876"/>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rsidR="00806678" w:rsidRDefault="00B16377">
                    <w:pPr>
                      <w:outlineLvl w:val="2"/>
                      <w:rPr>
                        <w:rFonts w:cs="Cambria"/>
                        <w:b/>
                        <w:szCs w:val="21"/>
                      </w:rPr>
                    </w:pPr>
                    <w:r>
                      <w:rPr>
                        <w:rFonts w:cs="Cambria" w:hint="eastAsia"/>
                        <w:b/>
                        <w:szCs w:val="21"/>
                      </w:rPr>
                      <w:t>二、非持续的公允价值计量</w:t>
                    </w:r>
                  </w:p>
                </w:tc>
              </w:sdtContent>
            </w:sdt>
            <w:tc>
              <w:tcPr>
                <w:tcW w:w="944"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r>
          <w:tr w:rsidR="00806678" w:rsidTr="004B2C8E">
            <w:trPr>
              <w:trHeight w:val="240"/>
            </w:trPr>
            <w:sdt>
              <w:sdtPr>
                <w:tag w:val="_PLD_962ee473798b4c4f90e0116bb1c13e3a"/>
                <w:id w:val="-1603637637"/>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rsidR="00806678" w:rsidRDefault="00B16377">
                    <w:pPr>
                      <w:outlineLvl w:val="2"/>
                      <w:rPr>
                        <w:rFonts w:cs="Cambria"/>
                        <w:szCs w:val="21"/>
                      </w:rPr>
                    </w:pPr>
                    <w:r>
                      <w:rPr>
                        <w:rFonts w:cs="Cambria" w:hint="eastAsia"/>
                        <w:szCs w:val="21"/>
                      </w:rPr>
                      <w:t>（一）持有待售资产</w:t>
                    </w:r>
                  </w:p>
                </w:tc>
              </w:sdtContent>
            </w:sdt>
            <w:tc>
              <w:tcPr>
                <w:tcW w:w="944"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r>
          <w:tr w:rsidR="00806678" w:rsidTr="004B2C8E">
            <w:trPr>
              <w:trHeight w:val="468"/>
            </w:trPr>
            <w:sdt>
              <w:sdtPr>
                <w:tag w:val="_PLD_773dc57c83904359ba2f38528b8617fc"/>
                <w:id w:val="-1358342487"/>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rsidR="00806678" w:rsidRDefault="00B16377">
                    <w:pPr>
                      <w:outlineLvl w:val="2"/>
                      <w:rPr>
                        <w:rFonts w:cs="Cambria"/>
                        <w:b/>
                        <w:szCs w:val="21"/>
                      </w:rPr>
                    </w:pPr>
                    <w:r>
                      <w:rPr>
                        <w:rFonts w:cs="Cambria" w:hint="eastAsia"/>
                        <w:b/>
                        <w:szCs w:val="21"/>
                      </w:rPr>
                      <w:t>非持续以公允价值计量的资产总额</w:t>
                    </w:r>
                  </w:p>
                </w:tc>
              </w:sdtContent>
            </w:sdt>
            <w:tc>
              <w:tcPr>
                <w:tcW w:w="944"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p w:rsidR="00806678" w:rsidRDefault="00806678">
                <w:pPr>
                  <w:jc w:val="center"/>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r>
          <w:tr w:rsidR="00806678" w:rsidTr="004B2C8E">
            <w:trPr>
              <w:trHeight w:val="481"/>
            </w:trPr>
            <w:sdt>
              <w:sdtPr>
                <w:tag w:val="_PLD_6184d0fd90c54a57b4462d57cdb614ce"/>
                <w:id w:val="-424499606"/>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rsidR="00806678" w:rsidRDefault="00B16377">
                    <w:pPr>
                      <w:outlineLvl w:val="2"/>
                      <w:rPr>
                        <w:rFonts w:cs="Cambria"/>
                        <w:b/>
                        <w:szCs w:val="21"/>
                      </w:rPr>
                    </w:pPr>
                    <w:r>
                      <w:rPr>
                        <w:rFonts w:cs="Cambria" w:hint="eastAsia"/>
                        <w:b/>
                        <w:szCs w:val="21"/>
                      </w:rPr>
                      <w:t>非持续以公允价值计量的负债总额</w:t>
                    </w:r>
                  </w:p>
                </w:tc>
              </w:sdtContent>
            </w:sdt>
            <w:tc>
              <w:tcPr>
                <w:tcW w:w="944"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806678" w:rsidRDefault="00806678">
                <w:pPr>
                  <w:jc w:val="right"/>
                  <w:outlineLvl w:val="2"/>
                  <w:rPr>
                    <w:rFonts w:cs="Cambria"/>
                    <w:szCs w:val="21"/>
                  </w:rPr>
                </w:pPr>
              </w:p>
            </w:tc>
          </w:tr>
        </w:tbl>
        <w:p w:rsidR="00806678" w:rsidRDefault="00F80B6C"/>
        <w:bookmarkEnd w:id="255" w:displacedByCustomXml="next"/>
      </w:sdtContent>
    </w:sdt>
    <w:bookmarkEnd w:id="254" w:displacedByCustomXml="prev"/>
    <w:sdt>
      <w:sdtPr>
        <w:rPr>
          <w:rFonts w:ascii="宋体" w:hAnsi="宋体" w:cs="Arial" w:hint="eastAsia"/>
          <w:b w:val="0"/>
          <w:bCs w:val="0"/>
          <w:kern w:val="0"/>
          <w:szCs w:val="21"/>
        </w:rPr>
        <w:alias w:val="模块:持续和非持续第一层次公允价值计量项目市价的确定依据"/>
        <w:tag w:val="_GBC_9cf59ced96b14247921100dffef5784f"/>
        <w:id w:val="527914424"/>
        <w:lock w:val="sdtLocked"/>
        <w:placeholder>
          <w:docPart w:val="GBC22222222222222222222222222222"/>
        </w:placeholder>
      </w:sdtPr>
      <w:sdtEndPr>
        <w:rPr>
          <w:rFonts w:cs="Cambria"/>
          <w:b/>
        </w:rPr>
      </w:sdtEndPr>
      <w:sdtContent>
        <w:p w:rsidR="00806678" w:rsidRDefault="00B16377" w:rsidP="00FF17C7">
          <w:pPr>
            <w:pStyle w:val="3"/>
            <w:numPr>
              <w:ilvl w:val="0"/>
              <w:numId w:val="53"/>
            </w:numPr>
            <w:rPr>
              <w:rFonts w:ascii="宋体" w:hAnsi="宋体" w:cs="Arial"/>
              <w:szCs w:val="21"/>
            </w:rPr>
          </w:pPr>
          <w:r>
            <w:rPr>
              <w:rFonts w:ascii="宋体" w:hAnsi="宋体" w:cs="Arial" w:hint="eastAsia"/>
              <w:szCs w:val="21"/>
            </w:rPr>
            <w:t>持续和非持续第一层次公允价值计量项目市价的确定依据</w:t>
          </w:r>
        </w:p>
        <w:sdt>
          <w:sdtPr>
            <w:rPr>
              <w:rFonts w:cs="Arial" w:hint="eastAsia"/>
              <w:szCs w:val="21"/>
            </w:rPr>
            <w:alias w:val="是否适用：持续和非持续第一层次公允价值计量项目市价的确定依据[双击切换]"/>
            <w:tag w:val="_GBC_fc42dd94906341819da0f825b0c88571"/>
            <w:id w:val="-1721039342"/>
            <w:lock w:val="sdtLocked"/>
            <w:placeholder>
              <w:docPart w:val="GBC22222222222222222222222222222"/>
            </w:placeholder>
          </w:sdtPr>
          <w:sdtContent>
            <w:p w:rsidR="00806678" w:rsidRDefault="00F80B6C">
              <w:pPr>
                <w:rPr>
                  <w:rFonts w:cs="Arial"/>
                  <w:szCs w:val="21"/>
                </w:rPr>
              </w:pPr>
              <w:r>
                <w:rPr>
                  <w:rFonts w:cs="Arial"/>
                  <w:szCs w:val="21"/>
                </w:rPr>
                <w:fldChar w:fldCharType="begin"/>
              </w:r>
              <w:r w:rsidR="001850A0">
                <w:rPr>
                  <w:rFonts w:cs="Arial"/>
                  <w:szCs w:val="21"/>
                </w:rPr>
                <w:instrText xml:space="preserve"> MACROBUTTON  SnrToggleCheckbox √适用  </w:instrText>
              </w:r>
              <w:r>
                <w:rPr>
                  <w:rFonts w:cs="Arial"/>
                  <w:szCs w:val="21"/>
                </w:rPr>
                <w:fldChar w:fldCharType="end"/>
              </w:r>
              <w:r>
                <w:rPr>
                  <w:rFonts w:cs="Arial"/>
                  <w:szCs w:val="21"/>
                </w:rPr>
                <w:fldChar w:fldCharType="begin"/>
              </w:r>
              <w:r w:rsidR="001850A0">
                <w:rPr>
                  <w:rFonts w:cs="Arial"/>
                  <w:szCs w:val="21"/>
                </w:rPr>
                <w:instrText xml:space="preserve"> MACROBUTTON  SnrToggleCheckbox □不适用 </w:instrText>
              </w:r>
              <w:r>
                <w:rPr>
                  <w:rFonts w:cs="Arial"/>
                  <w:szCs w:val="21"/>
                </w:rPr>
                <w:fldChar w:fldCharType="end"/>
              </w:r>
            </w:p>
          </w:sdtContent>
        </w:sdt>
        <w:p w:rsidR="00806678" w:rsidRDefault="00F80B6C">
          <w:pPr>
            <w:rPr>
              <w:rFonts w:cs="Arial"/>
              <w:szCs w:val="21"/>
            </w:rPr>
          </w:pPr>
          <w:sdt>
            <w:sdtPr>
              <w:rPr>
                <w:rFonts w:cs="Arial" w:hint="eastAsia"/>
                <w:szCs w:val="21"/>
              </w:rPr>
              <w:alias w:val="持续和非持续第一层次公允价值计量项目市价的确定依据"/>
              <w:tag w:val="_GBC_8db65a2ca59047da919942f97cfc594e"/>
              <w:id w:val="1144087782"/>
              <w:lock w:val="sdtLocked"/>
              <w:placeholder>
                <w:docPart w:val="GBC22222222222222222222222222222"/>
              </w:placeholder>
            </w:sdtPr>
            <w:sdtContent>
              <w:r w:rsidR="001850A0" w:rsidRPr="001850A0">
                <w:rPr>
                  <w:rFonts w:cs="Arial" w:hint="eastAsia"/>
                  <w:szCs w:val="21"/>
                </w:rPr>
                <w:t>本公司所持秦皇岛港股份有限公司的股票以每个期末的最后一个交易日该公司</w:t>
              </w:r>
              <w:r w:rsidR="001850A0" w:rsidRPr="001850A0">
                <w:rPr>
                  <w:rFonts w:cs="Arial"/>
                  <w:szCs w:val="21"/>
                </w:rPr>
                <w:t>A股收盘价格为依据进行公允价值计量。</w:t>
              </w:r>
            </w:sdtContent>
          </w:sdt>
        </w:p>
        <w:p w:rsidR="00806678" w:rsidRDefault="00F80B6C">
          <w:pPr>
            <w:tabs>
              <w:tab w:val="left" w:pos="1134"/>
            </w:tabs>
            <w:rPr>
              <w:rFonts w:cs="Cambria"/>
              <w:b/>
              <w:szCs w:val="21"/>
            </w:rPr>
          </w:pPr>
        </w:p>
      </w:sdtContent>
    </w:sdt>
    <w:sdt>
      <w:sdtPr>
        <w:rPr>
          <w:rFonts w:ascii="宋体" w:hAnsi="宋体" w:cs="Arial" w:hint="eastAsia"/>
          <w:b w:val="0"/>
          <w:bCs w:val="0"/>
          <w:kern w:val="0"/>
          <w:szCs w:val="21"/>
        </w:rPr>
        <w:alias w:val="模块:持续和非持续第二层次公允价值计量项目，采用的估值技术和重要参数的定性及定量信息"/>
        <w:tag w:val="_GBC_8e00be36ed6245f895b032b3059a4854"/>
        <w:id w:val="546416813"/>
        <w:lock w:val="sdtLocked"/>
        <w:placeholder>
          <w:docPart w:val="GBC22222222222222222222222222222"/>
        </w:placeholder>
      </w:sdtPr>
      <w:sdtEndPr>
        <w:rPr>
          <w:rFonts w:cs="Cambria" w:hint="default"/>
        </w:rPr>
      </w:sdtEndPr>
      <w:sdtContent>
        <w:p w:rsidR="00806678" w:rsidRDefault="00B16377" w:rsidP="00FF17C7">
          <w:pPr>
            <w:pStyle w:val="3"/>
            <w:numPr>
              <w:ilvl w:val="0"/>
              <w:numId w:val="53"/>
            </w:numPr>
          </w:pPr>
          <w:r>
            <w:rPr>
              <w:rFonts w:ascii="宋体" w:hAnsi="宋体" w:cs="Arial" w:hint="eastAsia"/>
              <w:szCs w:val="21"/>
            </w:rPr>
            <w:t>持续和非持续第二层次公允价值计量项目，采用的估值技术和重要参数的定性及定量信息</w:t>
          </w:r>
        </w:p>
        <w:sdt>
          <w:sdtPr>
            <w:rPr>
              <w:rFonts w:cs="Cambria" w:hint="eastAsia"/>
              <w:szCs w:val="21"/>
            </w:rPr>
            <w:alias w:val="是否适用：持续和非持续第二层次公允价值计量项目，采用的估值技术和重要参数的定性及定量信息[双击切换]"/>
            <w:tag w:val="_GBC_524db4de656b4bccac2fc473643fe7a6"/>
            <w:id w:val="-902527605"/>
            <w:lock w:val="sdtLocked"/>
            <w:placeholder>
              <w:docPart w:val="GBC22222222222222222222222222222"/>
            </w:placeholder>
          </w:sdtPr>
          <w:sdtContent>
            <w:p w:rsidR="00806678" w:rsidRDefault="00F80B6C" w:rsidP="001850A0">
              <w:pPr>
                <w:tabs>
                  <w:tab w:val="left" w:pos="1134"/>
                </w:tabs>
                <w:rPr>
                  <w:rFonts w:cs="Cambria"/>
                  <w:szCs w:val="21"/>
                </w:rPr>
              </w:pPr>
              <w:r>
                <w:rPr>
                  <w:rFonts w:cs="Cambria"/>
                  <w:szCs w:val="21"/>
                </w:rPr>
                <w:fldChar w:fldCharType="begin"/>
              </w:r>
              <w:r w:rsidR="001850A0">
                <w:rPr>
                  <w:rFonts w:cs="Cambria"/>
                  <w:szCs w:val="21"/>
                </w:rPr>
                <w:instrText xml:space="preserve"> MACROBUTTON  SnrToggleCheckbox □适用  </w:instrText>
              </w:r>
              <w:r>
                <w:rPr>
                  <w:rFonts w:cs="Cambria"/>
                  <w:szCs w:val="21"/>
                </w:rPr>
                <w:fldChar w:fldCharType="end"/>
              </w:r>
              <w:r>
                <w:rPr>
                  <w:rFonts w:cs="Cambria"/>
                  <w:szCs w:val="21"/>
                </w:rPr>
                <w:fldChar w:fldCharType="begin"/>
              </w:r>
              <w:r w:rsidR="001850A0">
                <w:rPr>
                  <w:rFonts w:cs="Cambria"/>
                  <w:szCs w:val="21"/>
                </w:rPr>
                <w:instrText xml:space="preserve"> MACROBUTTON  SnrToggleCheckbox √不适用 </w:instrText>
              </w:r>
              <w:r>
                <w:rPr>
                  <w:rFonts w:cs="Cambria"/>
                  <w:szCs w:val="21"/>
                </w:rPr>
                <w:fldChar w:fldCharType="end"/>
              </w:r>
            </w:p>
          </w:sdtContent>
        </w:sdt>
      </w:sdtContent>
    </w:sdt>
    <w:p w:rsidR="00806678" w:rsidRDefault="00806678">
      <w:pPr>
        <w:rPr>
          <w:szCs w:val="21"/>
        </w:rPr>
      </w:pPr>
    </w:p>
    <w:sdt>
      <w:sdtPr>
        <w:rPr>
          <w:rFonts w:ascii="宋体" w:hAnsi="宋体" w:cs="Arial" w:hint="eastAsia"/>
          <w:b w:val="0"/>
          <w:bCs w:val="0"/>
          <w:kern w:val="0"/>
          <w:szCs w:val="21"/>
        </w:rPr>
        <w:alias w:val="模块:持续和非持续第三层次公允价值计量项目，采用的估值技术和重要参数的定性及定量信息"/>
        <w:tag w:val="_GBC_5d389bac3ad747a292eb45fd87ce5896"/>
        <w:id w:val="284544477"/>
        <w:lock w:val="sdtLocked"/>
        <w:placeholder>
          <w:docPart w:val="GBC22222222222222222222222222222"/>
        </w:placeholder>
      </w:sdtPr>
      <w:sdtEndPr>
        <w:rPr>
          <w:rFonts w:cs="Cambria"/>
          <w:color w:val="808080"/>
        </w:rPr>
      </w:sdtEndPr>
      <w:sdtContent>
        <w:p w:rsidR="00806678" w:rsidRDefault="00B16377" w:rsidP="00FF17C7">
          <w:pPr>
            <w:pStyle w:val="3"/>
            <w:numPr>
              <w:ilvl w:val="0"/>
              <w:numId w:val="53"/>
            </w:numPr>
          </w:pPr>
          <w:r>
            <w:rPr>
              <w:rFonts w:ascii="宋体" w:hAnsi="宋体" w:cs="Arial" w:hint="eastAsia"/>
              <w:szCs w:val="21"/>
            </w:rPr>
            <w:t>持续和非持续第三层次公允价值计量项目，采用的估值技术和重要参数的定性及定量信息</w:t>
          </w:r>
        </w:p>
        <w:sdt>
          <w:sdtPr>
            <w:rPr>
              <w:rFonts w:hint="eastAsia"/>
              <w:szCs w:val="21"/>
            </w:rPr>
            <w:alias w:val="是否适用：持续和非持续第三层次公允价值计量项目，采用的估值技术和重要参数的定性及定量信息[双击切换]"/>
            <w:tag w:val="_GBC_2fc8e5a18cee4309a229e736040a7cfd"/>
            <w:id w:val="-1260053423"/>
            <w:lock w:val="sdtLocked"/>
            <w:placeholder>
              <w:docPart w:val="GBC22222222222222222222222222222"/>
            </w:placeholder>
          </w:sdtPr>
          <w:sdtContent>
            <w:p w:rsidR="00806678" w:rsidRDefault="00F80B6C">
              <w:pPr>
                <w:rPr>
                  <w:szCs w:val="21"/>
                </w:rPr>
              </w:pPr>
              <w:r>
                <w:rPr>
                  <w:szCs w:val="21"/>
                </w:rPr>
                <w:fldChar w:fldCharType="begin"/>
              </w:r>
              <w:r w:rsidR="001850A0">
                <w:rPr>
                  <w:szCs w:val="21"/>
                </w:rPr>
                <w:instrText xml:space="preserve"> MACROBUTTON  SnrToggleCheckbox √适用  </w:instrText>
              </w:r>
              <w:r>
                <w:rPr>
                  <w:szCs w:val="21"/>
                </w:rPr>
                <w:fldChar w:fldCharType="end"/>
              </w:r>
              <w:r>
                <w:rPr>
                  <w:szCs w:val="21"/>
                </w:rPr>
                <w:fldChar w:fldCharType="begin"/>
              </w:r>
              <w:r w:rsidR="001850A0">
                <w:rPr>
                  <w:szCs w:val="21"/>
                </w:rPr>
                <w:instrText xml:space="preserve"> MACROBUTTON  SnrToggleCheckbox □不适用 </w:instrText>
              </w:r>
              <w:r>
                <w:rPr>
                  <w:szCs w:val="21"/>
                </w:rPr>
                <w:fldChar w:fldCharType="end"/>
              </w:r>
            </w:p>
          </w:sdtContent>
        </w:sdt>
        <w:sdt>
          <w:sdtPr>
            <w:rPr>
              <w:rFonts w:hint="eastAsia"/>
              <w:szCs w:val="21"/>
            </w:rPr>
            <w:alias w:val="持续和非持续第三层次公允价值计量项目，采用的估值技术和重要参数的定性及定量信息"/>
            <w:tag w:val="_GBC_db2fdcfb26ce4ca9ac1e8da23b16aaaa"/>
            <w:id w:val="2010707771"/>
            <w:lock w:val="sdtLocked"/>
            <w:placeholder>
              <w:docPart w:val="GBC22222222222222222222222222222"/>
            </w:placeholder>
          </w:sdtPr>
          <w:sdtContent>
            <w:p w:rsidR="00806678" w:rsidRDefault="001850A0">
              <w:pPr>
                <w:rPr>
                  <w:szCs w:val="21"/>
                </w:rPr>
              </w:pPr>
              <w:r w:rsidRPr="001850A0">
                <w:rPr>
                  <w:rFonts w:hint="eastAsia"/>
                  <w:szCs w:val="21"/>
                </w:rPr>
                <w:t>本公司持有的银行承兑汇票，由于不存在活跃市场的金融工具，本集团采用估值技术确定其公允价值。在估值时，本集团采用在当前情况下适用并且有足够可利用数据和其他信息支持的估值技术，选择与市场参与者在相关资产或负债的交易中所考虑的资产或负债特征相一致的输入值，并尽可能优先使用相关可观察输入值。在相关可观察输入值无法取得或取得不切实可行的情况下，使用不可观察输入值。</w:t>
              </w:r>
            </w:p>
          </w:sdtContent>
        </w:sdt>
        <w:p w:rsidR="00806678" w:rsidRDefault="00F80B6C">
          <w:pPr>
            <w:tabs>
              <w:tab w:val="left" w:pos="1134"/>
            </w:tabs>
            <w:rPr>
              <w:rFonts w:cs="Cambria"/>
              <w:b/>
              <w:szCs w:val="21"/>
            </w:rPr>
          </w:pPr>
        </w:p>
      </w:sdtContent>
    </w:sdt>
    <w:sdt>
      <w:sdtPr>
        <w:rPr>
          <w:rFonts w:ascii="宋体" w:hAnsi="宋体" w:cs="宋体" w:hint="eastAsia"/>
          <w:b w:val="0"/>
          <w:bCs w:val="0"/>
          <w:kern w:val="0"/>
          <w:szCs w:val="24"/>
        </w:rPr>
        <w:alias w:val="模块:持续的第三层次公允价值计量的项目期初与期末账面价值之间的调节信息及不可观察参数的敏感性分析"/>
        <w:tag w:val="_GBC_353ab3e0cb19455ab2c2c2a397421afe"/>
        <w:id w:val="1082880174"/>
        <w:lock w:val="sdtLocked"/>
        <w:placeholder>
          <w:docPart w:val="GBC22222222222222222222222222222"/>
        </w:placeholder>
      </w:sdtPr>
      <w:sdtEndPr>
        <w:rPr>
          <w:rFonts w:cs="Cambria"/>
          <w:color w:val="808080"/>
          <w:szCs w:val="21"/>
        </w:rPr>
      </w:sdtEndPr>
      <w:sdtContent>
        <w:p w:rsidR="00806678" w:rsidRDefault="00B16377" w:rsidP="00FF17C7">
          <w:pPr>
            <w:pStyle w:val="3"/>
            <w:numPr>
              <w:ilvl w:val="0"/>
              <w:numId w:val="53"/>
            </w:numPr>
          </w:pPr>
          <w:r>
            <w:rPr>
              <w:rFonts w:hint="eastAsia"/>
            </w:rPr>
            <w:t>持续的第三层次公允价值计量项目，期初与期末账面价值间的调节信息及不可观察参数敏感性分析</w:t>
          </w:r>
        </w:p>
        <w:sdt>
          <w:sdtPr>
            <w:rPr>
              <w:rFonts w:hint="eastAsia"/>
              <w:szCs w:val="21"/>
            </w:rPr>
            <w:alias w:val="是否适用：持续的第三层次公允价值计量项目，期初与期末账面价值间的调节信息及不可观察参数敏感性分析[双击切换]"/>
            <w:tag w:val="_GBC_71e79e015e97438a812cfd612b604172"/>
            <w:id w:val="-459346025"/>
            <w:lock w:val="sdtLocked"/>
            <w:placeholder>
              <w:docPart w:val="GBC22222222222222222222222222222"/>
            </w:placeholder>
          </w:sdtPr>
          <w:sdtContent>
            <w:p w:rsidR="00806678" w:rsidRPr="00C01624" w:rsidRDefault="00F80B6C" w:rsidP="00C01624">
              <w:pPr>
                <w:rPr>
                  <w:szCs w:val="21"/>
                </w:rPr>
              </w:pPr>
              <w:r>
                <w:rPr>
                  <w:szCs w:val="21"/>
                </w:rPr>
                <w:fldChar w:fldCharType="begin"/>
              </w:r>
              <w:r w:rsidR="001850A0">
                <w:rPr>
                  <w:szCs w:val="21"/>
                </w:rPr>
                <w:instrText xml:space="preserve"> MACROBUTTON  SnrToggleCheckbox □适用  </w:instrText>
              </w:r>
              <w:r>
                <w:rPr>
                  <w:szCs w:val="21"/>
                </w:rPr>
                <w:fldChar w:fldCharType="end"/>
              </w:r>
              <w:r>
                <w:rPr>
                  <w:szCs w:val="21"/>
                </w:rPr>
                <w:fldChar w:fldCharType="begin"/>
              </w:r>
              <w:r w:rsidR="001850A0">
                <w:rPr>
                  <w:szCs w:val="21"/>
                </w:rPr>
                <w:instrText xml:space="preserve"> MACROBUTTON  SnrToggleCheckbox √不适用 </w:instrText>
              </w:r>
              <w:r>
                <w:rPr>
                  <w:szCs w:val="21"/>
                </w:rPr>
                <w:fldChar w:fldCharType="end"/>
              </w:r>
            </w:p>
          </w:sdtContent>
        </w:sdt>
      </w:sdtContent>
    </w:sdt>
    <w:sdt>
      <w:sdtPr>
        <w:rPr>
          <w:rFonts w:ascii="宋体" w:hAnsi="宋体" w:cs="宋体" w:hint="eastAsia"/>
          <w:b w:val="0"/>
          <w:bCs w:val="0"/>
          <w:kern w:val="0"/>
          <w:szCs w:val="24"/>
        </w:rPr>
        <w:alias w:val="模块:持续的公允价值计量项目，本期内发生各层级之间转换的，转换的原因及确定转换时点的政策"/>
        <w:tag w:val="_GBC_a9200ec73b8d485e80b76f1a9ee34c49"/>
        <w:id w:val="-1908838014"/>
        <w:lock w:val="sdtLocked"/>
        <w:placeholder>
          <w:docPart w:val="GBC22222222222222222222222222222"/>
        </w:placeholder>
      </w:sdtPr>
      <w:sdtEndPr>
        <w:rPr>
          <w:rFonts w:cs="Cambria"/>
          <w:szCs w:val="21"/>
        </w:rPr>
      </w:sdtEndPr>
      <w:sdtContent>
        <w:p w:rsidR="00806678" w:rsidRDefault="00B16377" w:rsidP="00FF17C7">
          <w:pPr>
            <w:pStyle w:val="3"/>
            <w:numPr>
              <w:ilvl w:val="0"/>
              <w:numId w:val="53"/>
            </w:numPr>
          </w:pPr>
          <w:r>
            <w:rPr>
              <w:rFonts w:hint="eastAsia"/>
            </w:rPr>
            <w:t>持续的公允价值计量项目，本期内发生各层级之间转换的，转换的原因及确定转换时点的政策</w:t>
          </w:r>
        </w:p>
        <w:sdt>
          <w:sdtPr>
            <w:rPr>
              <w:rFonts w:hint="eastAsia"/>
              <w:szCs w:val="21"/>
            </w:rPr>
            <w:alias w:val="是否适用：持续的公允价值计量项目，本期内发生各层级之间转换的，转换的原因及确定转换时点的政策[双击切换]"/>
            <w:tag w:val="_GBC_eebf98ea60f047d9917b79bbe8e1b6a3"/>
            <w:id w:val="667368296"/>
            <w:lock w:val="sdtLocked"/>
            <w:placeholder>
              <w:docPart w:val="GBC22222222222222222222222222222"/>
            </w:placeholder>
          </w:sdtPr>
          <w:sdtContent>
            <w:p w:rsidR="00806678" w:rsidRPr="00C01624" w:rsidRDefault="00F80B6C" w:rsidP="00C01624">
              <w:pPr>
                <w:rPr>
                  <w:szCs w:val="21"/>
                </w:rPr>
              </w:pPr>
              <w:r>
                <w:rPr>
                  <w:szCs w:val="21"/>
                </w:rPr>
                <w:fldChar w:fldCharType="begin"/>
              </w:r>
              <w:r w:rsidR="001850A0">
                <w:rPr>
                  <w:szCs w:val="21"/>
                </w:rPr>
                <w:instrText xml:space="preserve"> MACROBUTTON  SnrToggleCheckbox □适用  </w:instrText>
              </w:r>
              <w:r>
                <w:rPr>
                  <w:szCs w:val="21"/>
                </w:rPr>
                <w:fldChar w:fldCharType="end"/>
              </w:r>
              <w:r>
                <w:rPr>
                  <w:szCs w:val="21"/>
                </w:rPr>
                <w:fldChar w:fldCharType="begin"/>
              </w:r>
              <w:r w:rsidR="001850A0">
                <w:rPr>
                  <w:szCs w:val="21"/>
                </w:rPr>
                <w:instrText xml:space="preserve"> MACROBUTTON  SnrToggleCheckbox √不适用 </w:instrText>
              </w:r>
              <w:r>
                <w:rPr>
                  <w:szCs w:val="21"/>
                </w:rPr>
                <w:fldChar w:fldCharType="end"/>
              </w:r>
            </w:p>
          </w:sdtContent>
        </w:sdt>
      </w:sdtContent>
    </w:sdt>
    <w:sdt>
      <w:sdtPr>
        <w:rPr>
          <w:rFonts w:ascii="宋体" w:hAnsi="宋体" w:cs="宋体" w:hint="eastAsia"/>
          <w:b w:val="0"/>
          <w:bCs w:val="0"/>
          <w:kern w:val="0"/>
          <w:szCs w:val="24"/>
        </w:rPr>
        <w:alias w:val="模块:本期内发生的估值技术变更及变更原因"/>
        <w:tag w:val="_GBC_8e563310a4b84a5d9dfe74fdbc178926"/>
        <w:id w:val="2122875796"/>
        <w:lock w:val="sdtLocked"/>
        <w:placeholder>
          <w:docPart w:val="GBC22222222222222222222222222222"/>
        </w:placeholder>
      </w:sdtPr>
      <w:sdtEndPr>
        <w:rPr>
          <w:rFonts w:cstheme="minorBidi"/>
          <w:szCs w:val="21"/>
        </w:rPr>
      </w:sdtEndPr>
      <w:sdtContent>
        <w:p w:rsidR="00806678" w:rsidRDefault="00B16377" w:rsidP="00FF17C7">
          <w:pPr>
            <w:pStyle w:val="3"/>
            <w:numPr>
              <w:ilvl w:val="0"/>
              <w:numId w:val="53"/>
            </w:numPr>
          </w:pPr>
          <w:r>
            <w:rPr>
              <w:rFonts w:hint="eastAsia"/>
            </w:rPr>
            <w:t>本期内发生的估值技术变更及变更原因</w:t>
          </w:r>
        </w:p>
        <w:sdt>
          <w:sdtPr>
            <w:rPr>
              <w:rFonts w:hint="eastAsia"/>
              <w:szCs w:val="21"/>
            </w:rPr>
            <w:alias w:val="是否适用：本期内发生的估值技术变更及变更原因[双击切换]"/>
            <w:tag w:val="_GBC_c8355b64faff425ebd05215313c85419"/>
            <w:id w:val="1242135935"/>
            <w:lock w:val="sdtLocked"/>
            <w:placeholder>
              <w:docPart w:val="GBC22222222222222222222222222222"/>
            </w:placeholder>
          </w:sdtPr>
          <w:sdtContent>
            <w:p w:rsidR="00806678" w:rsidRPr="00C01624" w:rsidRDefault="00F80B6C">
              <w:pPr>
                <w:rPr>
                  <w:szCs w:val="21"/>
                </w:rPr>
              </w:pPr>
              <w:r>
                <w:rPr>
                  <w:szCs w:val="21"/>
                </w:rPr>
                <w:fldChar w:fldCharType="begin"/>
              </w:r>
              <w:r w:rsidR="001850A0">
                <w:rPr>
                  <w:szCs w:val="21"/>
                </w:rPr>
                <w:instrText xml:space="preserve"> MACROBUTTON  SnrToggleCheckbox □适用  </w:instrText>
              </w:r>
              <w:r>
                <w:rPr>
                  <w:szCs w:val="21"/>
                </w:rPr>
                <w:fldChar w:fldCharType="end"/>
              </w:r>
              <w:r>
                <w:rPr>
                  <w:szCs w:val="21"/>
                </w:rPr>
                <w:fldChar w:fldCharType="begin"/>
              </w:r>
              <w:r w:rsidR="001850A0">
                <w:rPr>
                  <w:szCs w:val="21"/>
                </w:rPr>
                <w:instrText xml:space="preserve"> MACROBUTTON  SnrToggleCheckbox √不适用 </w:instrText>
              </w:r>
              <w:r>
                <w:rPr>
                  <w:szCs w:val="21"/>
                </w:rPr>
                <w:fldChar w:fldCharType="end"/>
              </w:r>
            </w:p>
          </w:sdtContent>
        </w:sdt>
      </w:sdtContent>
    </w:sdt>
    <w:sdt>
      <w:sdtPr>
        <w:rPr>
          <w:rFonts w:ascii="宋体" w:hAnsi="宋体" w:cstheme="minorBidi" w:hint="eastAsia"/>
          <w:b w:val="0"/>
          <w:bCs w:val="0"/>
          <w:kern w:val="0"/>
          <w:szCs w:val="21"/>
        </w:rPr>
        <w:alias w:val="模块:不以公允价值计量的金融资产和金融负债的公允价值情况"/>
        <w:tag w:val="_GBC_e354e1f41f824854b8f3345d52a9cfab"/>
        <w:id w:val="1128209772"/>
        <w:lock w:val="sdtLocked"/>
        <w:placeholder>
          <w:docPart w:val="GBC22222222222222222222222222222"/>
        </w:placeholder>
      </w:sdtPr>
      <w:sdtContent>
        <w:p w:rsidR="00806678" w:rsidRDefault="00B16377" w:rsidP="00FF17C7">
          <w:pPr>
            <w:pStyle w:val="3"/>
            <w:numPr>
              <w:ilvl w:val="0"/>
              <w:numId w:val="53"/>
            </w:numPr>
            <w:rPr>
              <w:rFonts w:cstheme="minorBidi"/>
              <w:szCs w:val="21"/>
            </w:rPr>
          </w:pPr>
          <w:r>
            <w:rPr>
              <w:rFonts w:cstheme="minorBidi" w:hint="eastAsia"/>
              <w:szCs w:val="21"/>
            </w:rPr>
            <w:t>不以公允价值计量的</w:t>
          </w:r>
          <w:r>
            <w:rPr>
              <w:rFonts w:hint="eastAsia"/>
            </w:rPr>
            <w:t>金融资产</w:t>
          </w:r>
          <w:r>
            <w:rPr>
              <w:rFonts w:cstheme="minorBidi" w:hint="eastAsia"/>
              <w:szCs w:val="21"/>
            </w:rPr>
            <w:t>和金融负债的公允价值情况</w:t>
          </w:r>
        </w:p>
        <w:sdt>
          <w:sdtPr>
            <w:rPr>
              <w:rFonts w:cstheme="minorBidi" w:hint="eastAsia"/>
              <w:szCs w:val="21"/>
            </w:rPr>
            <w:alias w:val="是否适用：不以公允价值计量的金融资产和金融负债的公允价值情况[双击切换]"/>
            <w:tag w:val="_GBC_734377ec924449c3ae79732fec24b52d"/>
            <w:id w:val="751636967"/>
            <w:lock w:val="sdtLocked"/>
            <w:placeholder>
              <w:docPart w:val="GBC22222222222222222222222222222"/>
            </w:placeholder>
          </w:sdtPr>
          <w:sdtContent>
            <w:p w:rsidR="00806678" w:rsidRDefault="00F80B6C">
              <w:pPr>
                <w:rPr>
                  <w:rFonts w:cstheme="minorBidi"/>
                  <w:szCs w:val="21"/>
                </w:rPr>
              </w:pPr>
              <w:r>
                <w:rPr>
                  <w:rFonts w:cstheme="minorBidi"/>
                  <w:szCs w:val="21"/>
                </w:rPr>
                <w:fldChar w:fldCharType="begin"/>
              </w:r>
              <w:r w:rsidR="001850A0">
                <w:rPr>
                  <w:rFonts w:cstheme="minorBidi"/>
                  <w:szCs w:val="21"/>
                </w:rPr>
                <w:instrText xml:space="preserve"> MACROBUTTON  SnrToggleCheckbox √适用  </w:instrText>
              </w:r>
              <w:r>
                <w:rPr>
                  <w:rFonts w:cstheme="minorBidi"/>
                  <w:szCs w:val="21"/>
                </w:rPr>
                <w:fldChar w:fldCharType="end"/>
              </w:r>
              <w:r>
                <w:rPr>
                  <w:rFonts w:cstheme="minorBidi"/>
                  <w:szCs w:val="21"/>
                </w:rPr>
                <w:fldChar w:fldCharType="begin"/>
              </w:r>
              <w:r w:rsidR="001850A0">
                <w:rPr>
                  <w:rFonts w:cstheme="minorBidi"/>
                  <w:szCs w:val="21"/>
                </w:rPr>
                <w:instrText xml:space="preserve"> MACROBUTTON  SnrToggleCheckbox □不适用 </w:instrText>
              </w:r>
              <w:r>
                <w:rPr>
                  <w:rFonts w:cstheme="minorBidi"/>
                  <w:szCs w:val="21"/>
                </w:rPr>
                <w:fldChar w:fldCharType="end"/>
              </w:r>
            </w:p>
          </w:sdtContent>
        </w:sdt>
        <w:sdt>
          <w:sdtPr>
            <w:rPr>
              <w:rFonts w:cstheme="minorBidi" w:hint="eastAsia"/>
              <w:szCs w:val="21"/>
            </w:rPr>
            <w:alias w:val="不以公允价值计量的金融资产和金融负债的公允价值情况"/>
            <w:tag w:val="_GBC_b98a8914aa7341d8811e287268440b08"/>
            <w:id w:val="-1677640305"/>
            <w:lock w:val="sdtLocked"/>
            <w:placeholder>
              <w:docPart w:val="GBC22222222222222222222222222222"/>
            </w:placeholder>
          </w:sdtPr>
          <w:sdtContent>
            <w:p w:rsidR="00806678" w:rsidRDefault="00B854E7">
              <w:pPr>
                <w:rPr>
                  <w:rFonts w:cstheme="minorBidi"/>
                  <w:szCs w:val="21"/>
                </w:rPr>
              </w:pPr>
              <w:r w:rsidRPr="00B854E7">
                <w:rPr>
                  <w:rFonts w:cstheme="minorBidi" w:hint="eastAsia"/>
                  <w:szCs w:val="21"/>
                </w:rPr>
                <w:t>本集团</w:t>
              </w:r>
              <w:r w:rsidRPr="00B854E7">
                <w:rPr>
                  <w:rFonts w:cstheme="minorBidi"/>
                  <w:szCs w:val="21"/>
                </w:rPr>
                <w:t>12月31日各项金融资产和金融负债的账面价值与公允价值之间无重大差异。</w:t>
              </w:r>
            </w:p>
          </w:sdtContent>
        </w:sdt>
      </w:sdtContent>
    </w:sdt>
    <w:sdt>
      <w:sdtPr>
        <w:rPr>
          <w:rFonts w:ascii="宋体" w:hAnsi="宋体" w:cs="宋体"/>
          <w:b w:val="0"/>
          <w:bCs w:val="0"/>
          <w:kern w:val="0"/>
          <w:szCs w:val="21"/>
        </w:rPr>
        <w:alias w:val="模块:公允价值其他需要披露的事项"/>
        <w:tag w:val="_GBC_1551c1b4fedc4ac0ae859b67b4b79904"/>
        <w:id w:val="1018898348"/>
        <w:lock w:val="sdtLocked"/>
        <w:placeholder>
          <w:docPart w:val="GBC22222222222222222222222222222"/>
        </w:placeholder>
      </w:sdtPr>
      <w:sdtContent>
        <w:p w:rsidR="00806678" w:rsidRDefault="00B16377" w:rsidP="00FF17C7">
          <w:pPr>
            <w:pStyle w:val="3"/>
            <w:numPr>
              <w:ilvl w:val="0"/>
              <w:numId w:val="53"/>
            </w:numPr>
            <w:rPr>
              <w:szCs w:val="21"/>
            </w:rPr>
          </w:pPr>
          <w:r>
            <w:rPr>
              <w:rFonts w:hint="eastAsia"/>
              <w:szCs w:val="21"/>
            </w:rPr>
            <w:t>其他</w:t>
          </w:r>
        </w:p>
        <w:sdt>
          <w:sdtPr>
            <w:rPr>
              <w:rFonts w:hint="eastAsia"/>
              <w:szCs w:val="21"/>
            </w:rPr>
            <w:alias w:val="是否适用：公允价值其他需要披露的事项[双击切换]"/>
            <w:tag w:val="_GBC_face0919374341aba02b14f2247ac908"/>
            <w:id w:val="-1898664042"/>
            <w:lock w:val="sdtLocked"/>
            <w:placeholder>
              <w:docPart w:val="GBC22222222222222222222222222222"/>
            </w:placeholder>
          </w:sdtPr>
          <w:sdtContent>
            <w:p w:rsidR="00C01624" w:rsidRDefault="00F80B6C" w:rsidP="00B854E7">
              <w:pPr>
                <w:rPr>
                  <w:szCs w:val="21"/>
                </w:rPr>
              </w:pPr>
              <w:r>
                <w:rPr>
                  <w:szCs w:val="21"/>
                </w:rPr>
                <w:fldChar w:fldCharType="begin"/>
              </w:r>
              <w:r w:rsidR="00B854E7">
                <w:rPr>
                  <w:szCs w:val="21"/>
                </w:rPr>
                <w:instrText xml:space="preserve"> MACROBUTTON  SnrToggleCheckbox □适用  </w:instrText>
              </w:r>
              <w:r>
                <w:rPr>
                  <w:szCs w:val="21"/>
                </w:rPr>
                <w:fldChar w:fldCharType="end"/>
              </w:r>
              <w:r>
                <w:rPr>
                  <w:szCs w:val="21"/>
                </w:rPr>
                <w:fldChar w:fldCharType="begin"/>
              </w:r>
              <w:r w:rsidR="00B854E7">
                <w:rPr>
                  <w:szCs w:val="21"/>
                </w:rPr>
                <w:instrText xml:space="preserve"> MACROBUTTON  SnrToggleCheckbox √不适用 </w:instrText>
              </w:r>
              <w:r>
                <w:rPr>
                  <w:szCs w:val="21"/>
                </w:rPr>
                <w:fldChar w:fldCharType="end"/>
              </w:r>
            </w:p>
            <w:p w:rsidR="00806678" w:rsidRDefault="00F80B6C" w:rsidP="00B854E7">
              <w:pPr>
                <w:rPr>
                  <w:szCs w:val="21"/>
                </w:rPr>
              </w:pPr>
            </w:p>
          </w:sdtContent>
        </w:sdt>
      </w:sdtContent>
    </w:sdt>
    <w:p w:rsidR="00806678" w:rsidRDefault="00B16377" w:rsidP="00FF17C7">
      <w:pPr>
        <w:pStyle w:val="2"/>
        <w:numPr>
          <w:ilvl w:val="0"/>
          <w:numId w:val="37"/>
        </w:numPr>
        <w:rPr>
          <w:rFonts w:ascii="宋体" w:hAnsi="宋体"/>
        </w:rPr>
      </w:pPr>
      <w:r>
        <w:rPr>
          <w:rFonts w:ascii="宋体" w:hAnsi="宋体" w:hint="eastAsia"/>
        </w:rPr>
        <w:t>关联方及关联交易</w:t>
      </w:r>
    </w:p>
    <w:sdt>
      <w:sdtPr>
        <w:rPr>
          <w:rFonts w:ascii="宋体" w:hAnsi="宋体" w:cs="宋体" w:hint="eastAsia"/>
          <w:b w:val="0"/>
          <w:bCs w:val="0"/>
          <w:kern w:val="0"/>
          <w:szCs w:val="24"/>
        </w:rPr>
        <w:alias w:val="模块:本企业的母公司情况"/>
        <w:tag w:val="_GBC_29e1f7491caa4c3e96eef8c84532de84"/>
        <w:id w:val="-1052152164"/>
        <w:lock w:val="sdtLocked"/>
        <w:placeholder>
          <w:docPart w:val="GBC22222222222222222222222222222"/>
        </w:placeholder>
      </w:sdtPr>
      <w:sdtEndPr>
        <w:rPr>
          <w:rFonts w:cs="Cambria"/>
          <w:szCs w:val="21"/>
        </w:rPr>
      </w:sdtEndPr>
      <w:sdtContent>
        <w:p w:rsidR="00806678" w:rsidRDefault="00B16377" w:rsidP="00FF17C7">
          <w:pPr>
            <w:pStyle w:val="3"/>
            <w:numPr>
              <w:ilvl w:val="0"/>
              <w:numId w:val="54"/>
            </w:numPr>
          </w:pPr>
          <w:r>
            <w:rPr>
              <w:rFonts w:hint="eastAsia"/>
            </w:rPr>
            <w:t>本企业的母公司情况</w:t>
          </w:r>
        </w:p>
        <w:sdt>
          <w:sdtPr>
            <w:rPr>
              <w:rFonts w:hint="eastAsia"/>
            </w:rPr>
            <w:alias w:val="是否适用：本企业的母公司情况[双击切换]"/>
            <w:tag w:val="_GBC_fe5dd4a2c9ad405db72189e05b735e0c"/>
            <w:id w:val="-1495797695"/>
            <w:lock w:val="sdtLocked"/>
            <w:placeholder>
              <w:docPart w:val="GBC22222222222222222222222222222"/>
            </w:placeholder>
          </w:sdtPr>
          <w:sdtContent>
            <w:p w:rsidR="00806678" w:rsidRDefault="00F80B6C">
              <w:r>
                <w:fldChar w:fldCharType="begin"/>
              </w:r>
              <w:r w:rsidR="009C54D9">
                <w:instrText xml:space="preserve"> MACROBUTTON  SnrToggleCheckbox √适用  </w:instrText>
              </w:r>
              <w:r>
                <w:fldChar w:fldCharType="end"/>
              </w:r>
              <w:r>
                <w:fldChar w:fldCharType="begin"/>
              </w:r>
              <w:r w:rsidR="009C54D9">
                <w:instrText xml:space="preserve"> MACROBUTTON  SnrToggleCheckbox □不适用 </w:instrText>
              </w:r>
              <w:r>
                <w:fldChar w:fldCharType="end"/>
              </w:r>
            </w:p>
          </w:sdtContent>
        </w:sdt>
        <w:p w:rsidR="00806678" w:rsidRDefault="00B16377">
          <w:pPr>
            <w:jc w:val="right"/>
          </w:pPr>
          <w:r>
            <w:rPr>
              <w:rFonts w:hint="eastAsia"/>
            </w:rPr>
            <w:t>单位：</w:t>
          </w:r>
          <w:sdt>
            <w:sdtPr>
              <w:rPr>
                <w:rFonts w:hint="eastAsia"/>
              </w:rPr>
              <w:alias w:val="单位：财务附注：本企业的母公司情况"/>
              <w:tag w:val="_GBC_4bdd8b08e4ce41af93512866e6012a92"/>
              <w:id w:val="290781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2A15DE">
                <w:rPr>
                  <w:rFonts w:hint="eastAsia"/>
                </w:rPr>
                <w:t>亿元</w:t>
              </w:r>
            </w:sdtContent>
          </w:sdt>
          <w:r>
            <w:rPr>
              <w:rFonts w:hint="eastAsia"/>
            </w:rPr>
            <w:t xml:space="preserve">  币种：</w:t>
          </w:r>
          <w:sdt>
            <w:sdtPr>
              <w:rPr>
                <w:rFonts w:hint="eastAsia"/>
              </w:rPr>
              <w:alias w:val="币种：财务附注：本企业的母公司情况"/>
              <w:tag w:val="_GBC_8b4816800b024cd884a92208e149b0bf"/>
              <w:id w:val="290782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84"/>
            <w:gridCol w:w="1276"/>
            <w:gridCol w:w="1276"/>
            <w:gridCol w:w="876"/>
            <w:gridCol w:w="1499"/>
            <w:gridCol w:w="1632"/>
            <w:gridCol w:w="1106"/>
          </w:tblGrid>
          <w:tr w:rsidR="002A15DE" w:rsidTr="00C51425">
            <w:trPr>
              <w:trHeight w:val="842"/>
            </w:trPr>
            <w:sdt>
              <w:sdtPr>
                <w:tag w:val="_PLD_78501cc34b694302b18c1ea75399510e"/>
                <w:id w:val="2130197842"/>
                <w:lock w:val="sdtLocked"/>
              </w:sdtPr>
              <w:sdtContent>
                <w:tc>
                  <w:tcPr>
                    <w:tcW w:w="765" w:type="pct"/>
                    <w:tcBorders>
                      <w:top w:val="single" w:sz="4" w:space="0" w:color="auto"/>
                      <w:left w:val="single" w:sz="4" w:space="0" w:color="auto"/>
                      <w:bottom w:val="single" w:sz="4" w:space="0" w:color="auto"/>
                      <w:right w:val="single" w:sz="4" w:space="0" w:color="auto"/>
                    </w:tcBorders>
                    <w:shd w:val="clear" w:color="auto" w:fill="auto"/>
                    <w:vAlign w:val="center"/>
                  </w:tcPr>
                  <w:p w:rsidR="002A15DE" w:rsidRDefault="002A15DE" w:rsidP="00DB008B">
                    <w:pPr>
                      <w:jc w:val="center"/>
                      <w:rPr>
                        <w:rFonts w:cs="Cambria"/>
                        <w:szCs w:val="21"/>
                      </w:rPr>
                    </w:pPr>
                    <w:r>
                      <w:rPr>
                        <w:rFonts w:cs="Cambria" w:hint="eastAsia"/>
                        <w:szCs w:val="21"/>
                      </w:rPr>
                      <w:t>母公司名称</w:t>
                    </w:r>
                  </w:p>
                </w:tc>
              </w:sdtContent>
            </w:sdt>
            <w:sdt>
              <w:sdtPr>
                <w:tag w:val="_PLD_9cf29fdb6dc54a2ca1191c007bb19ceb"/>
                <w:id w:val="-1159845257"/>
                <w:lock w:val="sdtLocked"/>
              </w:sdtPr>
              <w:sdtContent>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rsidR="002A15DE" w:rsidRDefault="002A15DE" w:rsidP="00DB008B">
                    <w:pPr>
                      <w:jc w:val="center"/>
                      <w:rPr>
                        <w:rFonts w:cs="Cambria"/>
                        <w:szCs w:val="21"/>
                      </w:rPr>
                    </w:pPr>
                    <w:r>
                      <w:rPr>
                        <w:rFonts w:cs="Cambria" w:hint="eastAsia"/>
                        <w:szCs w:val="21"/>
                      </w:rPr>
                      <w:t>注册地</w:t>
                    </w:r>
                  </w:p>
                </w:tc>
              </w:sdtContent>
            </w:sdt>
            <w:sdt>
              <w:sdtPr>
                <w:tag w:val="_PLD_738e924675434f8ea1a19e9f01f12c6a"/>
                <w:id w:val="1528061858"/>
                <w:lock w:val="sdtLocked"/>
              </w:sdtPr>
              <w:sdtContent>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rsidR="002A15DE" w:rsidRDefault="002A15DE" w:rsidP="00DB008B">
                    <w:pPr>
                      <w:jc w:val="center"/>
                      <w:rPr>
                        <w:rFonts w:cs="Cambria"/>
                        <w:szCs w:val="21"/>
                      </w:rPr>
                    </w:pPr>
                    <w:r>
                      <w:rPr>
                        <w:rFonts w:cs="Cambria" w:hint="eastAsia"/>
                        <w:szCs w:val="21"/>
                      </w:rPr>
                      <w:t>业务性质</w:t>
                    </w:r>
                  </w:p>
                </w:tc>
              </w:sdtContent>
            </w:sdt>
            <w:sdt>
              <w:sdtPr>
                <w:tag w:val="_PLD_8f8ae05947724183906b020ada85e914"/>
                <w:id w:val="785313342"/>
                <w:lock w:val="sdtLocked"/>
              </w:sdtPr>
              <w:sdtContent>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2A15DE" w:rsidRDefault="002A15DE" w:rsidP="00DB008B">
                    <w:pPr>
                      <w:jc w:val="center"/>
                      <w:rPr>
                        <w:rFonts w:cs="Cambria"/>
                        <w:szCs w:val="21"/>
                      </w:rPr>
                    </w:pPr>
                    <w:r>
                      <w:rPr>
                        <w:rFonts w:cs="Cambria" w:hint="eastAsia"/>
                        <w:szCs w:val="21"/>
                      </w:rPr>
                      <w:t>注册资本</w:t>
                    </w:r>
                  </w:p>
                </w:tc>
              </w:sdtContent>
            </w:sdt>
            <w:sdt>
              <w:sdtPr>
                <w:tag w:val="_PLD_41f7f469dbcc4ee39514954cb008b0a4"/>
                <w:id w:val="839892109"/>
                <w:lock w:val="sdtLocked"/>
              </w:sdtPr>
              <w:sdtContent>
                <w:tc>
                  <w:tcPr>
                    <w:tcW w:w="828" w:type="pct"/>
                    <w:tcBorders>
                      <w:top w:val="single" w:sz="4" w:space="0" w:color="auto"/>
                      <w:left w:val="single" w:sz="4" w:space="0" w:color="auto"/>
                      <w:bottom w:val="single" w:sz="4" w:space="0" w:color="auto"/>
                      <w:right w:val="single" w:sz="4" w:space="0" w:color="auto"/>
                    </w:tcBorders>
                    <w:shd w:val="clear" w:color="auto" w:fill="auto"/>
                    <w:vAlign w:val="center"/>
                  </w:tcPr>
                  <w:p w:rsidR="002A15DE" w:rsidRDefault="002A15DE" w:rsidP="00DB008B">
                    <w:pPr>
                      <w:jc w:val="center"/>
                      <w:rPr>
                        <w:rFonts w:cs="Cambria"/>
                        <w:szCs w:val="21"/>
                      </w:rPr>
                    </w:pPr>
                    <w:r>
                      <w:rPr>
                        <w:rFonts w:cs="Cambria" w:hint="eastAsia"/>
                        <w:szCs w:val="21"/>
                      </w:rPr>
                      <w:t>母公司对本企业的持股比例</w:t>
                    </w:r>
                    <w:r>
                      <w:rPr>
                        <w:rFonts w:cs="Cambria"/>
                        <w:szCs w:val="21"/>
                      </w:rPr>
                      <w:t>(%)</w:t>
                    </w:r>
                  </w:p>
                </w:tc>
              </w:sdtContent>
            </w:sdt>
            <w:sdt>
              <w:sdtPr>
                <w:tag w:val="_PLD_dab7bc4321ca44eb9d8565239cbf42f7"/>
                <w:id w:val="-973833872"/>
                <w:lock w:val="sdtLocked"/>
              </w:sdtPr>
              <w:sdtContent>
                <w:tc>
                  <w:tcPr>
                    <w:tcW w:w="902" w:type="pct"/>
                    <w:tcBorders>
                      <w:top w:val="single" w:sz="4" w:space="0" w:color="auto"/>
                      <w:left w:val="single" w:sz="4" w:space="0" w:color="auto"/>
                      <w:bottom w:val="single" w:sz="4" w:space="0" w:color="auto"/>
                      <w:right w:val="single" w:sz="4" w:space="0" w:color="auto"/>
                    </w:tcBorders>
                    <w:shd w:val="clear" w:color="auto" w:fill="auto"/>
                    <w:vAlign w:val="center"/>
                  </w:tcPr>
                  <w:p w:rsidR="002A15DE" w:rsidRDefault="002A15DE" w:rsidP="00DB008B">
                    <w:pPr>
                      <w:jc w:val="center"/>
                      <w:rPr>
                        <w:rFonts w:cs="Cambria"/>
                        <w:szCs w:val="21"/>
                      </w:rPr>
                    </w:pPr>
                    <w:r>
                      <w:rPr>
                        <w:rFonts w:cs="Cambria" w:hint="eastAsia"/>
                        <w:szCs w:val="21"/>
                      </w:rPr>
                      <w:t>母公司对本企业的表决权比例</w:t>
                    </w:r>
                    <w:r>
                      <w:rPr>
                        <w:rFonts w:cs="Cambria"/>
                        <w:szCs w:val="21"/>
                      </w:rPr>
                      <w:t>(%)</w:t>
                    </w:r>
                  </w:p>
                </w:tc>
              </w:sdtContent>
            </w:sdt>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rsidR="002A15DE" w:rsidRDefault="002A15DE" w:rsidP="00DB008B">
                <w:pPr>
                  <w:jc w:val="center"/>
                  <w:rPr>
                    <w:rFonts w:cs="Cambria"/>
                    <w:szCs w:val="21"/>
                  </w:rPr>
                </w:pPr>
                <w:r>
                  <w:rPr>
                    <w:rFonts w:cs="Cambria" w:hint="eastAsia"/>
                    <w:szCs w:val="21"/>
                  </w:rPr>
                  <w:t>本公司最终控制方</w:t>
                </w:r>
              </w:p>
            </w:tc>
          </w:tr>
          <w:sdt>
            <w:sdtPr>
              <w:rPr>
                <w:rFonts w:cs="Cambria"/>
                <w:szCs w:val="21"/>
              </w:rPr>
              <w:alias w:val="本企业的母公司情况明细"/>
              <w:tag w:val="_GBC_e3a0ec4880544cc4ad472a056e28a2a2"/>
              <w:id w:val="-1293595486"/>
              <w:lock w:val="sdtLocked"/>
            </w:sdtPr>
            <w:sdtContent>
              <w:tr w:rsidR="002A15DE" w:rsidTr="00C51425">
                <w:trPr>
                  <w:trHeight w:val="255"/>
                </w:trPr>
                <w:tc>
                  <w:tcPr>
                    <w:tcW w:w="765" w:type="pct"/>
                    <w:tcBorders>
                      <w:top w:val="single" w:sz="4" w:space="0" w:color="auto"/>
                      <w:left w:val="single" w:sz="4" w:space="0" w:color="auto"/>
                      <w:bottom w:val="single" w:sz="4" w:space="0" w:color="auto"/>
                      <w:right w:val="single" w:sz="4" w:space="0" w:color="auto"/>
                    </w:tcBorders>
                    <w:shd w:val="clear" w:color="auto" w:fill="auto"/>
                    <w:vAlign w:val="center"/>
                  </w:tcPr>
                  <w:p w:rsidR="002A15DE" w:rsidRDefault="002A15DE" w:rsidP="00DB008B">
                    <w:pPr>
                      <w:rPr>
                        <w:rFonts w:cs="Cambria"/>
                        <w:szCs w:val="21"/>
                      </w:rPr>
                    </w:pPr>
                    <w:r w:rsidRPr="002A15DE">
                      <w:rPr>
                        <w:rFonts w:cs="Cambria" w:hint="eastAsia"/>
                        <w:szCs w:val="21"/>
                      </w:rPr>
                      <w:t>中国铁路太原局集团有限公司</w:t>
                    </w:r>
                  </w:p>
                </w:tc>
                <w:tc>
                  <w:tcPr>
                    <w:tcW w:w="705" w:type="pct"/>
                    <w:tcBorders>
                      <w:top w:val="single" w:sz="4" w:space="0" w:color="auto"/>
                      <w:left w:val="single" w:sz="4" w:space="0" w:color="auto"/>
                      <w:bottom w:val="single" w:sz="4" w:space="0" w:color="auto"/>
                      <w:right w:val="single" w:sz="4" w:space="0" w:color="auto"/>
                    </w:tcBorders>
                    <w:shd w:val="clear" w:color="auto" w:fill="auto"/>
                  </w:tcPr>
                  <w:p w:rsidR="002A15DE" w:rsidRDefault="002A15DE" w:rsidP="00DB008B">
                    <w:pPr>
                      <w:rPr>
                        <w:rFonts w:cs="Cambria"/>
                        <w:szCs w:val="21"/>
                      </w:rPr>
                    </w:pPr>
                    <w:r w:rsidRPr="002A15DE">
                      <w:rPr>
                        <w:rFonts w:cs="Cambria" w:hint="eastAsia"/>
                        <w:szCs w:val="21"/>
                      </w:rPr>
                      <w:t>山西省太原市建设北路</w:t>
                    </w:r>
                    <w:r w:rsidRPr="002A15DE">
                      <w:rPr>
                        <w:rFonts w:cs="Cambria"/>
                        <w:szCs w:val="21"/>
                      </w:rPr>
                      <w:t>202号</w:t>
                    </w:r>
                  </w:p>
                </w:tc>
                <w:tc>
                  <w:tcPr>
                    <w:tcW w:w="705" w:type="pct"/>
                    <w:tcBorders>
                      <w:top w:val="single" w:sz="4" w:space="0" w:color="auto"/>
                      <w:left w:val="single" w:sz="4" w:space="0" w:color="auto"/>
                      <w:bottom w:val="single" w:sz="4" w:space="0" w:color="auto"/>
                      <w:right w:val="single" w:sz="4" w:space="0" w:color="auto"/>
                    </w:tcBorders>
                    <w:shd w:val="clear" w:color="auto" w:fill="auto"/>
                  </w:tcPr>
                  <w:p w:rsidR="002A15DE" w:rsidRDefault="002A15DE" w:rsidP="00DB008B">
                    <w:pPr>
                      <w:rPr>
                        <w:rFonts w:cs="Cambria"/>
                        <w:szCs w:val="21"/>
                      </w:rPr>
                    </w:pPr>
                    <w:r w:rsidRPr="002A15DE">
                      <w:rPr>
                        <w:rFonts w:cs="Cambria" w:hint="eastAsia"/>
                        <w:szCs w:val="21"/>
                      </w:rPr>
                      <w:t>铁路客货运输等</w:t>
                    </w:r>
                  </w:p>
                </w:tc>
                <w:tc>
                  <w:tcPr>
                    <w:tcW w:w="484" w:type="pct"/>
                    <w:tcBorders>
                      <w:top w:val="single" w:sz="4" w:space="0" w:color="auto"/>
                      <w:left w:val="single" w:sz="4" w:space="0" w:color="auto"/>
                      <w:bottom w:val="single" w:sz="4" w:space="0" w:color="auto"/>
                      <w:right w:val="single" w:sz="4" w:space="0" w:color="auto"/>
                    </w:tcBorders>
                    <w:shd w:val="clear" w:color="auto" w:fill="auto"/>
                  </w:tcPr>
                  <w:p w:rsidR="002A15DE" w:rsidRPr="00C51425" w:rsidRDefault="002A15DE" w:rsidP="00DB008B">
                    <w:pPr>
                      <w:pStyle w:val="Default"/>
                      <w:jc w:val="right"/>
                      <w:rPr>
                        <w:sz w:val="21"/>
                        <w:szCs w:val="21"/>
                      </w:rPr>
                    </w:pPr>
                    <w:r w:rsidRPr="00C51425">
                      <w:rPr>
                        <w:sz w:val="21"/>
                        <w:szCs w:val="21"/>
                      </w:rPr>
                      <w:t xml:space="preserve">920.11 </w:t>
                    </w:r>
                  </w:p>
                  <w:p w:rsidR="002A15DE" w:rsidRPr="00C51425" w:rsidRDefault="002A15DE" w:rsidP="00DB008B">
                    <w:pPr>
                      <w:jc w:val="right"/>
                      <w:rPr>
                        <w:rFonts w:cs="Cambria"/>
                        <w:szCs w:val="21"/>
                      </w:rPr>
                    </w:pPr>
                  </w:p>
                </w:tc>
                <w:tc>
                  <w:tcPr>
                    <w:tcW w:w="828" w:type="pct"/>
                    <w:tcBorders>
                      <w:top w:val="single" w:sz="4" w:space="0" w:color="auto"/>
                      <w:left w:val="single" w:sz="4" w:space="0" w:color="auto"/>
                      <w:bottom w:val="single" w:sz="4" w:space="0" w:color="auto"/>
                      <w:right w:val="single" w:sz="4" w:space="0" w:color="auto"/>
                    </w:tcBorders>
                    <w:shd w:val="clear" w:color="auto" w:fill="auto"/>
                  </w:tcPr>
                  <w:p w:rsidR="002A15DE" w:rsidRPr="00C51425" w:rsidRDefault="00C51425" w:rsidP="00C51425">
                    <w:pPr>
                      <w:pStyle w:val="Default"/>
                      <w:jc w:val="right"/>
                      <w:rPr>
                        <w:sz w:val="21"/>
                        <w:szCs w:val="21"/>
                      </w:rPr>
                    </w:pPr>
                    <w:r w:rsidRPr="00C51425">
                      <w:rPr>
                        <w:sz w:val="21"/>
                        <w:szCs w:val="21"/>
                      </w:rPr>
                      <w:t>62.69</w:t>
                    </w:r>
                    <w:r w:rsidR="002A15DE" w:rsidRPr="00C51425">
                      <w:rPr>
                        <w:sz w:val="21"/>
                        <w:szCs w:val="21"/>
                      </w:rPr>
                      <w:t xml:space="preserve"> </w:t>
                    </w:r>
                  </w:p>
                </w:tc>
                <w:tc>
                  <w:tcPr>
                    <w:tcW w:w="902" w:type="pct"/>
                    <w:tcBorders>
                      <w:top w:val="single" w:sz="4" w:space="0" w:color="auto"/>
                      <w:left w:val="single" w:sz="4" w:space="0" w:color="auto"/>
                      <w:bottom w:val="single" w:sz="4" w:space="0" w:color="auto"/>
                      <w:right w:val="single" w:sz="4" w:space="0" w:color="auto"/>
                    </w:tcBorders>
                    <w:shd w:val="clear" w:color="auto" w:fill="auto"/>
                  </w:tcPr>
                  <w:p w:rsidR="002A15DE" w:rsidRDefault="002A15DE" w:rsidP="00DB008B">
                    <w:pPr>
                      <w:jc w:val="right"/>
                      <w:rPr>
                        <w:rFonts w:cs="Cambria"/>
                        <w:szCs w:val="21"/>
                      </w:rPr>
                    </w:pPr>
                    <w:r w:rsidRPr="002A15DE">
                      <w:rPr>
                        <w:rFonts w:cs="Cambria"/>
                        <w:szCs w:val="21"/>
                      </w:rPr>
                      <w:t>62.69</w:t>
                    </w:r>
                  </w:p>
                </w:tc>
                <w:sdt>
                  <w:sdtPr>
                    <w:alias w:val="本公司最终控制方"/>
                    <w:tag w:val="_GBC_70998d161faa4f6bbdda2f200f8ef1eb"/>
                    <w:id w:val="-532571292"/>
                    <w:lock w:val="sdtLocked"/>
                  </w:sdtPr>
                  <w:sdtContent>
                    <w:tc>
                      <w:tcPr>
                        <w:tcW w:w="611" w:type="pct"/>
                        <w:tcBorders>
                          <w:top w:val="single" w:sz="4" w:space="0" w:color="auto"/>
                          <w:left w:val="single" w:sz="4" w:space="0" w:color="auto"/>
                          <w:bottom w:val="single" w:sz="4" w:space="0" w:color="auto"/>
                          <w:right w:val="single" w:sz="4" w:space="0" w:color="auto"/>
                        </w:tcBorders>
                        <w:shd w:val="clear" w:color="auto" w:fill="auto"/>
                      </w:tcPr>
                      <w:p w:rsidR="002A15DE" w:rsidRDefault="002A15DE" w:rsidP="00DB008B">
                        <w:pPr>
                          <w:jc w:val="right"/>
                          <w:rPr>
                            <w:rFonts w:cs="Cambria"/>
                            <w:szCs w:val="21"/>
                          </w:rPr>
                        </w:pPr>
                        <w:r w:rsidRPr="002A15DE">
                          <w:rPr>
                            <w:rFonts w:hint="eastAsia"/>
                          </w:rPr>
                          <w:t>中国国家铁路集团有限公司</w:t>
                        </w:r>
                      </w:p>
                    </w:tc>
                  </w:sdtContent>
                </w:sdt>
              </w:tr>
            </w:sdtContent>
          </w:sdt>
        </w:tbl>
        <w:p w:rsidR="00C01624" w:rsidRDefault="00C01624">
          <w:pPr>
            <w:tabs>
              <w:tab w:val="left" w:pos="1134"/>
            </w:tabs>
            <w:rPr>
              <w:rFonts w:cs="Cambria"/>
              <w:szCs w:val="21"/>
            </w:rPr>
          </w:pPr>
        </w:p>
        <w:p w:rsidR="00806678" w:rsidRDefault="00B16377">
          <w:pPr>
            <w:tabs>
              <w:tab w:val="left" w:pos="1134"/>
            </w:tabs>
            <w:rPr>
              <w:rFonts w:cs="Cambria"/>
              <w:szCs w:val="21"/>
            </w:rPr>
          </w:pPr>
          <w:r>
            <w:rPr>
              <w:rFonts w:cs="Cambria" w:hint="eastAsia"/>
              <w:szCs w:val="21"/>
            </w:rPr>
            <w:t>本企业的母公司情况的说明</w:t>
          </w:r>
        </w:p>
        <w:sdt>
          <w:sdtPr>
            <w:rPr>
              <w:rFonts w:cs="Cambria"/>
              <w:szCs w:val="21"/>
            </w:rPr>
            <w:alias w:val="本企业的母公司情况的说明"/>
            <w:tag w:val="_GBC_23f67537c1df4d9d9ede9fbc78ad06a4"/>
            <w:id w:val="548966000"/>
            <w:lock w:val="sdtLocked"/>
            <w:placeholder>
              <w:docPart w:val="GBC22222222222222222222222222222"/>
            </w:placeholder>
          </w:sdtPr>
          <w:sdtContent>
            <w:p w:rsidR="00806678" w:rsidRDefault="002A15DE">
              <w:pPr>
                <w:tabs>
                  <w:tab w:val="left" w:pos="1134"/>
                </w:tabs>
                <w:rPr>
                  <w:rFonts w:cs="Cambria"/>
                  <w:szCs w:val="21"/>
                </w:rPr>
              </w:pPr>
              <w:r w:rsidRPr="002A15DE">
                <w:rPr>
                  <w:rFonts w:cs="Cambria" w:hint="eastAsia"/>
                  <w:szCs w:val="21"/>
                </w:rPr>
                <w:t>本公司的控股股东为中国铁路太原局集团有限公司。</w:t>
              </w:r>
            </w:p>
          </w:sdtContent>
        </w:sdt>
        <w:p w:rsidR="00806678" w:rsidRDefault="00B16377">
          <w:pPr>
            <w:rPr>
              <w:szCs w:val="21"/>
            </w:rPr>
          </w:pPr>
          <w:r>
            <w:rPr>
              <w:rFonts w:hint="eastAsia"/>
              <w:szCs w:val="21"/>
            </w:rPr>
            <w:t>本企业最终控制方是</w:t>
          </w:r>
          <w:sdt>
            <w:sdtPr>
              <w:rPr>
                <w:rFonts w:hint="eastAsia"/>
                <w:szCs w:val="21"/>
              </w:rPr>
              <w:alias w:val="本企业最终控制方"/>
              <w:tag w:val="_GBC_951a676520994ab7a3822c5f58c20b7d"/>
              <w:id w:val="466630387"/>
              <w:lock w:val="sdtLocked"/>
              <w:placeholder>
                <w:docPart w:val="GBC22222222222222222222222222222"/>
              </w:placeholder>
            </w:sdtPr>
            <w:sdtContent>
              <w:r w:rsidR="002A15DE">
                <w:t>中国国家铁路集团有限公司。</w:t>
              </w:r>
            </w:sdtContent>
          </w:sdt>
        </w:p>
        <w:p w:rsidR="00806678" w:rsidRDefault="00B16377">
          <w:pPr>
            <w:rPr>
              <w:szCs w:val="21"/>
            </w:rPr>
          </w:pPr>
          <w:r>
            <w:rPr>
              <w:rFonts w:hint="eastAsia"/>
              <w:szCs w:val="21"/>
            </w:rPr>
            <w:t>其他说明：</w:t>
          </w:r>
        </w:p>
        <w:sdt>
          <w:sdtPr>
            <w:rPr>
              <w:szCs w:val="21"/>
            </w:rPr>
            <w:alias w:val="本企业的母公司情况的其他说明"/>
            <w:tag w:val="_GBC_72b4ca7a02944263a74be4174baff4cf"/>
            <w:id w:val="1929927469"/>
            <w:lock w:val="sdtLocked"/>
            <w:placeholder>
              <w:docPart w:val="GBC22222222222222222222222222222"/>
            </w:placeholder>
          </w:sdtPr>
          <w:sdtContent>
            <w:p w:rsidR="002A15DE" w:rsidRDefault="002A15DE" w:rsidP="002A15DE">
              <w:pPr>
                <w:rPr>
                  <w:szCs w:val="21"/>
                </w:rPr>
              </w:pPr>
              <w:r w:rsidRPr="002A15DE">
                <w:rPr>
                  <w:rFonts w:hint="eastAsia"/>
                  <w:szCs w:val="21"/>
                </w:rPr>
                <w:t>根据《国务院关于组建中国铁路总公司有关问题的批复》</w:t>
              </w:r>
              <w:r w:rsidRPr="002A15DE">
                <w:rPr>
                  <w:szCs w:val="21"/>
                </w:rPr>
                <w:t>(国函【2013】47号)，公司实际控制人原铁道部实施“政企分开”，其所属的18个铁路局(含太原局集团公司、广州铁路集团公司)、3个专业运输公司及其他企业的权益划入新组建成立的中国铁路总公司。2019年6月18日，中国铁路总公司改制为中国国家铁路集团有限公司。因国铁集团不具有原铁道部的政府属性，在所有与改革有关的一切必要手续及程序正式完成之后，根据上交所《股票上市规则》的规定，国铁集团及其附属公司(包括实体)作为本公司关联方，公司与国铁集团及其下属单位因铁路</w:t>
              </w:r>
              <w:r w:rsidRPr="002A15DE">
                <w:rPr>
                  <w:rFonts w:hint="eastAsia"/>
                  <w:szCs w:val="21"/>
                </w:rPr>
                <w:t>运输业务持续发生的相关交易构成关联交易。</w:t>
              </w:r>
            </w:p>
            <w:p w:rsidR="00806678" w:rsidRDefault="00F80B6C" w:rsidP="002A15DE">
              <w:pPr>
                <w:rPr>
                  <w:szCs w:val="21"/>
                </w:rPr>
              </w:pPr>
            </w:p>
          </w:sdtContent>
        </w:sdt>
      </w:sdtContent>
    </w:sdt>
    <w:sdt>
      <w:sdtPr>
        <w:rPr>
          <w:rFonts w:ascii="宋体" w:hAnsi="宋体" w:cs="Arial" w:hint="eastAsia"/>
          <w:b w:val="0"/>
          <w:bCs w:val="0"/>
          <w:kern w:val="0"/>
          <w:szCs w:val="21"/>
        </w:rPr>
        <w:alias w:val="模块:本企业的子公司情况"/>
        <w:tag w:val="_GBC_244a434a920446c1838410fee0ac8ba8"/>
        <w:id w:val="-1430571002"/>
        <w:lock w:val="sdtLocked"/>
        <w:placeholder>
          <w:docPart w:val="GBC22222222222222222222222222222"/>
        </w:placeholder>
      </w:sdtPr>
      <w:sdtEndPr>
        <w:rPr>
          <w:rFonts w:cs="Cambria"/>
        </w:rPr>
      </w:sdtEndPr>
      <w:sdtContent>
        <w:p w:rsidR="00806678" w:rsidRDefault="00B16377" w:rsidP="00FF17C7">
          <w:pPr>
            <w:pStyle w:val="3"/>
            <w:numPr>
              <w:ilvl w:val="0"/>
              <w:numId w:val="54"/>
            </w:numPr>
            <w:rPr>
              <w:rFonts w:ascii="宋体" w:hAnsi="宋体" w:cs="Arial"/>
              <w:szCs w:val="21"/>
            </w:rPr>
          </w:pPr>
          <w:r>
            <w:rPr>
              <w:rFonts w:ascii="宋体" w:hAnsi="宋体" w:cs="Arial" w:hint="eastAsia"/>
              <w:szCs w:val="21"/>
            </w:rPr>
            <w:t>本企业的子公司情况</w:t>
          </w:r>
        </w:p>
        <w:p w:rsidR="00806678" w:rsidRDefault="00B16377">
          <w:pPr>
            <w:rPr>
              <w:szCs w:val="21"/>
            </w:rPr>
          </w:pPr>
          <w:r>
            <w:rPr>
              <w:rFonts w:hint="eastAsia"/>
              <w:szCs w:val="21"/>
            </w:rPr>
            <w:t>本企业子公司的情况详见附注</w:t>
          </w:r>
        </w:p>
        <w:sdt>
          <w:sdtPr>
            <w:rPr>
              <w:rFonts w:hint="eastAsia"/>
              <w:szCs w:val="21"/>
            </w:rPr>
            <w:alias w:val="是否适用：本公司的子公司情况详见附注[双击切换]"/>
            <w:tag w:val="_GBC_b3fd954877e04ee589f6c4ce95e1384a"/>
            <w:id w:val="356474301"/>
            <w:lock w:val="sdtLocked"/>
            <w:placeholder>
              <w:docPart w:val="GBC22222222222222222222222222222"/>
            </w:placeholder>
          </w:sdtPr>
          <w:sdtContent>
            <w:p w:rsidR="00806678" w:rsidRDefault="00F80B6C">
              <w:pPr>
                <w:rPr>
                  <w:szCs w:val="21"/>
                </w:rPr>
              </w:pPr>
              <w:r>
                <w:rPr>
                  <w:szCs w:val="21"/>
                </w:rPr>
                <w:fldChar w:fldCharType="begin"/>
              </w:r>
              <w:r w:rsidR="002A15DE">
                <w:rPr>
                  <w:szCs w:val="21"/>
                </w:rPr>
                <w:instrText xml:space="preserve"> MACROBUTTON  SnrToggleCheckbox √适用  </w:instrText>
              </w:r>
              <w:r>
                <w:rPr>
                  <w:szCs w:val="21"/>
                </w:rPr>
                <w:fldChar w:fldCharType="end"/>
              </w:r>
              <w:r>
                <w:rPr>
                  <w:szCs w:val="21"/>
                </w:rPr>
                <w:fldChar w:fldCharType="begin"/>
              </w:r>
              <w:r w:rsidR="002A15DE">
                <w:rPr>
                  <w:szCs w:val="21"/>
                </w:rPr>
                <w:instrText xml:space="preserve"> MACROBUTTON  SnrToggleCheckbox □不适用 </w:instrText>
              </w:r>
              <w:r>
                <w:rPr>
                  <w:szCs w:val="21"/>
                </w:rPr>
                <w:fldChar w:fldCharType="end"/>
              </w:r>
            </w:p>
          </w:sdtContent>
        </w:sdt>
        <w:sdt>
          <w:sdtPr>
            <w:rPr>
              <w:rFonts w:hint="eastAsia"/>
              <w:szCs w:val="21"/>
            </w:rPr>
            <w:alias w:val="本公司的子公司情况详见附注"/>
            <w:tag w:val="_GBC_bb3e2669c3cc45d0a6637b1809087708"/>
            <w:id w:val="-1464038270"/>
            <w:lock w:val="sdtLocked"/>
            <w:placeholder>
              <w:docPart w:val="GBC22222222222222222222222222222"/>
            </w:placeholder>
          </w:sdtPr>
          <w:sdtContent>
            <w:p w:rsidR="00806678" w:rsidRDefault="002A15DE">
              <w:pPr>
                <w:rPr>
                  <w:szCs w:val="21"/>
                </w:rPr>
              </w:pPr>
              <w:r w:rsidRPr="002A15DE">
                <w:rPr>
                  <w:rFonts w:hint="eastAsia"/>
                  <w:szCs w:val="21"/>
                </w:rPr>
                <w:t>本企业子公司的情况详见附注九、</w:t>
              </w:r>
              <w:r w:rsidRPr="002A15DE">
                <w:rPr>
                  <w:szCs w:val="21"/>
                </w:rPr>
                <w:t>1。</w:t>
              </w:r>
            </w:p>
          </w:sdtContent>
        </w:sdt>
        <w:p w:rsidR="00806678" w:rsidRDefault="00F80B6C">
          <w:pPr>
            <w:tabs>
              <w:tab w:val="left" w:pos="1134"/>
            </w:tabs>
            <w:rPr>
              <w:rFonts w:cs="Cambria"/>
              <w:szCs w:val="21"/>
            </w:rPr>
          </w:pPr>
        </w:p>
      </w:sdtContent>
    </w:sdt>
    <w:sdt>
      <w:sdtPr>
        <w:rPr>
          <w:rFonts w:ascii="宋体" w:hAnsi="宋体" w:cs="宋体" w:hint="eastAsia"/>
          <w:b w:val="0"/>
          <w:bCs w:val="0"/>
          <w:kern w:val="0"/>
          <w:szCs w:val="24"/>
        </w:rPr>
        <w:alias w:val="模块:存在关联方交易或余额的合营和联营企业情况"/>
        <w:tag w:val="_GBC_a5638b7fd6a848a19564209060b6909a"/>
        <w:id w:val="1899400680"/>
        <w:lock w:val="sdtLocked"/>
        <w:placeholder>
          <w:docPart w:val="GBC22222222222222222222222222222"/>
        </w:placeholder>
      </w:sdtPr>
      <w:sdtEndPr>
        <w:rPr>
          <w:rFonts w:cs="Cambria"/>
          <w:szCs w:val="21"/>
        </w:rPr>
      </w:sdtEndPr>
      <w:sdtContent>
        <w:p w:rsidR="00806678" w:rsidRDefault="00B16377" w:rsidP="00FF17C7">
          <w:pPr>
            <w:pStyle w:val="3"/>
            <w:numPr>
              <w:ilvl w:val="0"/>
              <w:numId w:val="54"/>
            </w:numPr>
          </w:pPr>
          <w:r>
            <w:rPr>
              <w:rFonts w:hint="eastAsia"/>
            </w:rPr>
            <w:t>本企业合营和联营企业情况</w:t>
          </w:r>
        </w:p>
        <w:p w:rsidR="00806678" w:rsidRDefault="00B16377">
          <w:r>
            <w:rPr>
              <w:rFonts w:hint="eastAsia"/>
            </w:rPr>
            <w:t>本企业重要的合营或联营企业详见附注</w:t>
          </w:r>
        </w:p>
        <w:sdt>
          <w:sdtPr>
            <w:alias w:val="是否适用：本企业重要的合营或联营企业详见附注[双击切换]"/>
            <w:tag w:val="_GBC_a44d5ddc347344bcaadf8652bc7a927c"/>
            <w:id w:val="-1679032137"/>
            <w:lock w:val="sdtLocked"/>
            <w:placeholder>
              <w:docPart w:val="GBC22222222222222222222222222222"/>
            </w:placeholder>
          </w:sdtPr>
          <w:sdtContent>
            <w:p w:rsidR="00C01624" w:rsidRDefault="00F80B6C">
              <w:r>
                <w:fldChar w:fldCharType="begin"/>
              </w:r>
              <w:r w:rsidR="002A15DE">
                <w:instrText xml:space="preserve">MACROBUTTON  SnrToggleCheckbox √适用 </w:instrText>
              </w:r>
              <w:r>
                <w:fldChar w:fldCharType="end"/>
              </w:r>
              <w:r>
                <w:fldChar w:fldCharType="begin"/>
              </w:r>
              <w:r w:rsidR="002A15DE">
                <w:instrText xml:space="preserve"> MACROBUTTON  SnrToggleCheckbox □不适用 </w:instrText>
              </w:r>
              <w:r>
                <w:fldChar w:fldCharType="end"/>
              </w:r>
            </w:p>
            <w:p w:rsidR="00806678" w:rsidRDefault="00F80B6C"/>
          </w:sdtContent>
        </w:sdt>
        <w:sdt>
          <w:sdtPr>
            <w:rPr>
              <w:rFonts w:hint="eastAsia"/>
            </w:rPr>
            <w:alias w:val="本企业重要的合营或联营企业详见附注"/>
            <w:tag w:val="_GBC_3c58c586b3d3412d9989e9dff0b9f4cf"/>
            <w:id w:val="65071680"/>
            <w:lock w:val="sdtLocked"/>
            <w:placeholder>
              <w:docPart w:val="GBC22222222222222222222222222222"/>
            </w:placeholder>
          </w:sdtPr>
          <w:sdtContent>
            <w:p w:rsidR="00806678" w:rsidRDefault="002A15DE">
              <w:r w:rsidRPr="002A15DE">
                <w:rPr>
                  <w:rFonts w:hint="eastAsia"/>
                </w:rPr>
                <w:t>本企业重要的合营或联营企业详见附注九、</w:t>
              </w:r>
              <w:r w:rsidRPr="002A15DE">
                <w:t>3。</w:t>
              </w:r>
            </w:p>
          </w:sdtContent>
        </w:sdt>
        <w:p w:rsidR="00806678" w:rsidRDefault="00B16377">
          <w:r>
            <w:rPr>
              <w:rFonts w:hint="eastAsia"/>
            </w:rPr>
            <w:t>本期与本公司发生关联方交易，或前期与本公司发生关联方交易形成余额的其他合营或联营企业情况如下</w:t>
          </w:r>
        </w:p>
        <w:sdt>
          <w:sdtPr>
            <w:alias w:val="是否适用：本期与本公司发生关联方交易，或前期与本公司发生关联方交易形成余额的其他合营或联营企业情况如下[双击切换]"/>
            <w:tag w:val="_GBC_3340148c9e9e4091aa65b3b3355a3a37"/>
            <w:id w:val="1036698952"/>
            <w:lock w:val="sdtLocked"/>
            <w:placeholder>
              <w:docPart w:val="GBC22222222222222222222222222222"/>
            </w:placeholder>
          </w:sdtPr>
          <w:sdtContent>
            <w:p w:rsidR="00C01624" w:rsidRDefault="00F80B6C">
              <w:r>
                <w:fldChar w:fldCharType="begin"/>
              </w:r>
              <w:r w:rsidR="002A15DE">
                <w:instrText xml:space="preserve">MACROBUTTON  SnrToggleCheckbox √适用 </w:instrText>
              </w:r>
              <w:r>
                <w:fldChar w:fldCharType="end"/>
              </w:r>
              <w:r>
                <w:fldChar w:fldCharType="begin"/>
              </w:r>
              <w:r w:rsidR="002A15DE">
                <w:instrText xml:space="preserve"> MACROBUTTON  SnrToggleCheckbox □不适用 </w:instrText>
              </w:r>
              <w:r>
                <w:fldChar w:fldCharType="end"/>
              </w:r>
            </w:p>
            <w:p w:rsidR="00806678" w:rsidRDefault="00F80B6C"/>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85"/>
            <w:gridCol w:w="5064"/>
          </w:tblGrid>
          <w:tr w:rsidR="00806678" w:rsidTr="00A77D13">
            <w:trPr>
              <w:trHeight w:val="284"/>
            </w:trPr>
            <w:sdt>
              <w:sdtPr>
                <w:tag w:val="_PLD_0e6d2a60380d424fbe39edbe16e876ad"/>
                <w:id w:val="-1642420073"/>
                <w:lock w:val="sdtLocked"/>
              </w:sdtPr>
              <w:sdtContent>
                <w:tc>
                  <w:tcPr>
                    <w:tcW w:w="2202" w:type="pct"/>
                    <w:tcBorders>
                      <w:top w:val="single" w:sz="4" w:space="0" w:color="auto"/>
                      <w:left w:val="single" w:sz="4" w:space="0" w:color="auto"/>
                      <w:bottom w:val="single" w:sz="4" w:space="0" w:color="auto"/>
                      <w:right w:val="single" w:sz="4" w:space="0" w:color="auto"/>
                    </w:tcBorders>
                    <w:shd w:val="clear" w:color="auto" w:fill="auto"/>
                  </w:tcPr>
                  <w:p w:rsidR="00806678" w:rsidRDefault="00B16377">
                    <w:pPr>
                      <w:jc w:val="center"/>
                      <w:rPr>
                        <w:rFonts w:cs="Cambria"/>
                        <w:szCs w:val="21"/>
                      </w:rPr>
                    </w:pPr>
                    <w:r>
                      <w:rPr>
                        <w:rFonts w:cs="Cambria" w:hint="eastAsia"/>
                        <w:szCs w:val="21"/>
                      </w:rPr>
                      <w:t>合营或联营企业名称</w:t>
                    </w:r>
                  </w:p>
                </w:tc>
              </w:sdtContent>
            </w:sdt>
            <w:sdt>
              <w:sdtPr>
                <w:tag w:val="_PLD_7a4c0374bc514021b6a270655cb81e9e"/>
                <w:id w:val="252090492"/>
                <w:lock w:val="sdtLocked"/>
              </w:sdtPr>
              <w:sdtContent>
                <w:tc>
                  <w:tcPr>
                    <w:tcW w:w="2798" w:type="pct"/>
                    <w:tcBorders>
                      <w:top w:val="single" w:sz="4" w:space="0" w:color="auto"/>
                      <w:left w:val="single" w:sz="4" w:space="0" w:color="auto"/>
                      <w:bottom w:val="single" w:sz="4" w:space="0" w:color="auto"/>
                      <w:right w:val="single" w:sz="4" w:space="0" w:color="auto"/>
                    </w:tcBorders>
                    <w:shd w:val="clear" w:color="auto" w:fill="auto"/>
                  </w:tcPr>
                  <w:p w:rsidR="00806678" w:rsidRDefault="00B16377">
                    <w:pPr>
                      <w:jc w:val="center"/>
                      <w:rPr>
                        <w:rFonts w:cs="Cambria"/>
                        <w:szCs w:val="21"/>
                      </w:rPr>
                    </w:pPr>
                    <w:r>
                      <w:rPr>
                        <w:rFonts w:cs="Cambria" w:hint="eastAsia"/>
                        <w:szCs w:val="21"/>
                      </w:rPr>
                      <w:t>与本企业关系</w:t>
                    </w:r>
                  </w:p>
                </w:tc>
              </w:sdtContent>
            </w:sdt>
          </w:tr>
          <w:sdt>
            <w:sdtPr>
              <w:rPr>
                <w:szCs w:val="21"/>
              </w:rPr>
              <w:alias w:val="存在关联方交易或余额的合营和联营企业情况明细"/>
              <w:tag w:val="_GBC_ef970ecfd5a24d47a5d96098bbd65e25"/>
              <w:id w:val="-1154135344"/>
              <w:lock w:val="sdtLocked"/>
            </w:sdtPr>
            <w:sdtContent>
              <w:tr w:rsidR="00806678" w:rsidTr="00A77D13">
                <w:trPr>
                  <w:trHeight w:val="250"/>
                </w:trPr>
                <w:tc>
                  <w:tcPr>
                    <w:tcW w:w="2202" w:type="pct"/>
                    <w:tcBorders>
                      <w:top w:val="single" w:sz="4" w:space="0" w:color="auto"/>
                      <w:left w:val="single" w:sz="4" w:space="0" w:color="auto"/>
                      <w:bottom w:val="single" w:sz="4" w:space="0" w:color="auto"/>
                      <w:right w:val="single" w:sz="4" w:space="0" w:color="auto"/>
                    </w:tcBorders>
                  </w:tcPr>
                  <w:p w:rsidR="00806678" w:rsidRDefault="002A15DE">
                    <w:pPr>
                      <w:rPr>
                        <w:szCs w:val="21"/>
                      </w:rPr>
                    </w:pPr>
                    <w:r>
                      <w:rPr>
                        <w:rFonts w:hint="eastAsia"/>
                        <w:szCs w:val="21"/>
                      </w:rPr>
                      <w:t>山西国基海川能源有限公司</w:t>
                    </w:r>
                  </w:p>
                </w:tc>
                <w:tc>
                  <w:tcPr>
                    <w:tcW w:w="2798" w:type="pct"/>
                    <w:tcBorders>
                      <w:top w:val="single" w:sz="4" w:space="0" w:color="auto"/>
                      <w:left w:val="single" w:sz="4" w:space="0" w:color="auto"/>
                      <w:bottom w:val="single" w:sz="4" w:space="0" w:color="auto"/>
                      <w:right w:val="single" w:sz="4" w:space="0" w:color="auto"/>
                    </w:tcBorders>
                  </w:tcPr>
                  <w:p w:rsidR="00806678" w:rsidRDefault="002A15DE">
                    <w:pPr>
                      <w:rPr>
                        <w:szCs w:val="21"/>
                      </w:rPr>
                    </w:pPr>
                    <w:r w:rsidRPr="002A15DE">
                      <w:rPr>
                        <w:rFonts w:hint="eastAsia"/>
                        <w:szCs w:val="21"/>
                      </w:rPr>
                      <w:t>与本公司同受太原局集团公司控制</w:t>
                    </w:r>
                  </w:p>
                </w:tc>
              </w:tr>
            </w:sdtContent>
          </w:sdt>
        </w:tbl>
        <w:p w:rsidR="00806678" w:rsidRDefault="00806678">
          <w:pPr>
            <w:tabs>
              <w:tab w:val="left" w:pos="1134"/>
            </w:tabs>
            <w:rPr>
              <w:rFonts w:cs="Cambria"/>
              <w:szCs w:val="21"/>
            </w:rPr>
          </w:pPr>
        </w:p>
        <w:p w:rsidR="00806678" w:rsidRDefault="00B16377">
          <w:pPr>
            <w:tabs>
              <w:tab w:val="left" w:pos="1134"/>
            </w:tabs>
            <w:rPr>
              <w:rFonts w:cs="Cambria"/>
              <w:szCs w:val="21"/>
            </w:rPr>
          </w:pPr>
          <w:r>
            <w:rPr>
              <w:rFonts w:cs="Cambria" w:hint="eastAsia"/>
              <w:szCs w:val="21"/>
            </w:rPr>
            <w:t>其他说明</w:t>
          </w:r>
        </w:p>
        <w:sdt>
          <w:sdtPr>
            <w:rPr>
              <w:rFonts w:cs="Cambria"/>
              <w:szCs w:val="21"/>
            </w:rPr>
            <w:alias w:val="是否适用：存在关联方交易或余额的合营和联营企业情况说明[双击切换]"/>
            <w:tag w:val="_GBC_491f62bb76ba49c482a64272865cc4a1"/>
            <w:id w:val="-1017076471"/>
            <w:lock w:val="sdtLocked"/>
            <w:placeholder>
              <w:docPart w:val="GBC22222222222222222222222222222"/>
            </w:placeholder>
          </w:sdtPr>
          <w:sdtContent>
            <w:p w:rsidR="00806678" w:rsidRDefault="00F80B6C" w:rsidP="00D27F63">
              <w:pPr>
                <w:tabs>
                  <w:tab w:val="left" w:pos="1134"/>
                </w:tabs>
                <w:rPr>
                  <w:rFonts w:cs="Cambria"/>
                  <w:szCs w:val="21"/>
                </w:rPr>
              </w:pPr>
              <w:r>
                <w:rPr>
                  <w:rFonts w:cs="Cambria"/>
                  <w:szCs w:val="21"/>
                </w:rPr>
                <w:fldChar w:fldCharType="begin"/>
              </w:r>
              <w:r w:rsidR="00D27F63">
                <w:rPr>
                  <w:rFonts w:cs="Cambria"/>
                  <w:szCs w:val="21"/>
                </w:rPr>
                <w:instrText xml:space="preserve">MACROBUTTON  SnrToggleCheckbox □适用 </w:instrText>
              </w:r>
              <w:r>
                <w:rPr>
                  <w:rFonts w:cs="Cambria"/>
                  <w:szCs w:val="21"/>
                </w:rPr>
                <w:fldChar w:fldCharType="end"/>
              </w:r>
              <w:r>
                <w:rPr>
                  <w:rFonts w:cs="Cambria"/>
                  <w:szCs w:val="21"/>
                </w:rPr>
                <w:fldChar w:fldCharType="begin"/>
              </w:r>
              <w:r w:rsidR="00D27F63">
                <w:rPr>
                  <w:rFonts w:cs="Cambria"/>
                  <w:szCs w:val="21"/>
                </w:rPr>
                <w:instrText xml:space="preserve"> MACROBUTTON  SnrToggleCheckbox √不适用 </w:instrText>
              </w:r>
              <w:r>
                <w:rPr>
                  <w:rFonts w:cs="Cambria"/>
                  <w:szCs w:val="21"/>
                </w:rPr>
                <w:fldChar w:fldCharType="end"/>
              </w:r>
            </w:p>
          </w:sdtContent>
        </w:sdt>
        <w:p w:rsidR="00806678" w:rsidRDefault="00F80B6C">
          <w:pPr>
            <w:tabs>
              <w:tab w:val="left" w:pos="1134"/>
            </w:tabs>
            <w:rPr>
              <w:rFonts w:cs="Cambria"/>
              <w:szCs w:val="21"/>
            </w:rPr>
          </w:pPr>
        </w:p>
      </w:sdtContent>
    </w:sdt>
    <w:sdt>
      <w:sdtPr>
        <w:rPr>
          <w:rFonts w:ascii="宋体" w:hAnsi="宋体" w:cs="宋体" w:hint="eastAsia"/>
          <w:b w:val="0"/>
          <w:bCs w:val="0"/>
          <w:kern w:val="0"/>
          <w:szCs w:val="24"/>
        </w:rPr>
        <w:alias w:val="模块:其他关联方情况"/>
        <w:tag w:val="_SEC_4da82436ee754a98b1f572e1fb4440db"/>
        <w:id w:val="806830455"/>
        <w:lock w:val="sdtLocked"/>
        <w:placeholder>
          <w:docPart w:val="GBC22222222222222222222222222222"/>
        </w:placeholder>
      </w:sdtPr>
      <w:sdtEndPr>
        <w:rPr>
          <w:rFonts w:cs="Cambria"/>
          <w:szCs w:val="21"/>
        </w:rPr>
      </w:sdtEndPr>
      <w:sdtContent>
        <w:p w:rsidR="00806678" w:rsidRDefault="00B16377" w:rsidP="00FF17C7">
          <w:pPr>
            <w:pStyle w:val="3"/>
            <w:numPr>
              <w:ilvl w:val="0"/>
              <w:numId w:val="54"/>
            </w:numPr>
          </w:pPr>
          <w:r>
            <w:rPr>
              <w:rFonts w:hint="eastAsia"/>
            </w:rPr>
            <w:t>其他关联方情况</w:t>
          </w:r>
        </w:p>
        <w:sdt>
          <w:sdtPr>
            <w:alias w:val="是否适用：其他关联方情况[双击切换]"/>
            <w:tag w:val="_GBC_42246b4c04fc4462b5fb05a5db67f4d0"/>
            <w:id w:val="-669868457"/>
            <w:lock w:val="sdtLocked"/>
            <w:placeholder>
              <w:docPart w:val="GBC22222222222222222222222222222"/>
            </w:placeholder>
          </w:sdtPr>
          <w:sdtContent>
            <w:p w:rsidR="00806678" w:rsidRDefault="00F80B6C">
              <w:r>
                <w:fldChar w:fldCharType="begin"/>
              </w:r>
              <w:r w:rsidR="00E92A63">
                <w:instrText xml:space="preserve">MACROBUTTON  SnrToggleCheckbox √适用 </w:instrText>
              </w:r>
              <w:r>
                <w:fldChar w:fldCharType="end"/>
              </w:r>
              <w:r>
                <w:fldChar w:fldCharType="begin"/>
              </w:r>
              <w:r w:rsidR="00E92A63">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78"/>
            <w:gridCol w:w="5071"/>
          </w:tblGrid>
          <w:tr w:rsidR="004E34F4" w:rsidTr="00DB008B">
            <w:trPr>
              <w:trHeight w:val="267"/>
            </w:trPr>
            <w:sdt>
              <w:sdtPr>
                <w:tag w:val="_PLD_36db3e8c12e04d279b0c2956ad69d8a6"/>
                <w:id w:val="-1477529196"/>
                <w:lock w:val="sdtLocked"/>
              </w:sdtPr>
              <w:sdtContent>
                <w:tc>
                  <w:tcPr>
                    <w:tcW w:w="2198" w:type="pct"/>
                    <w:tcBorders>
                      <w:top w:val="single" w:sz="4" w:space="0" w:color="auto"/>
                      <w:left w:val="single" w:sz="4" w:space="0" w:color="auto"/>
                      <w:bottom w:val="single" w:sz="4" w:space="0" w:color="auto"/>
                      <w:right w:val="single" w:sz="4" w:space="0" w:color="auto"/>
                    </w:tcBorders>
                    <w:shd w:val="clear" w:color="auto" w:fill="auto"/>
                  </w:tcPr>
                  <w:p w:rsidR="004E34F4" w:rsidRDefault="004E34F4" w:rsidP="00DB008B">
                    <w:pPr>
                      <w:jc w:val="center"/>
                      <w:rPr>
                        <w:rFonts w:cs="Cambria"/>
                        <w:szCs w:val="21"/>
                      </w:rPr>
                    </w:pPr>
                    <w:r>
                      <w:rPr>
                        <w:rFonts w:cs="Cambria" w:hint="eastAsia"/>
                        <w:szCs w:val="21"/>
                      </w:rPr>
                      <w:t>其他关联方名称</w:t>
                    </w:r>
                  </w:p>
                </w:tc>
              </w:sdtContent>
            </w:sdt>
            <w:sdt>
              <w:sdtPr>
                <w:tag w:val="_PLD_b851a2cc9280416290b9ebf815c49236"/>
                <w:id w:val="-306865888"/>
                <w:lock w:val="sdtLocked"/>
              </w:sdtPr>
              <w:sdtContent>
                <w:tc>
                  <w:tcPr>
                    <w:tcW w:w="2802" w:type="pct"/>
                    <w:tcBorders>
                      <w:top w:val="single" w:sz="4" w:space="0" w:color="auto"/>
                      <w:left w:val="single" w:sz="4" w:space="0" w:color="auto"/>
                      <w:bottom w:val="single" w:sz="4" w:space="0" w:color="auto"/>
                      <w:right w:val="single" w:sz="4" w:space="0" w:color="auto"/>
                    </w:tcBorders>
                    <w:shd w:val="clear" w:color="auto" w:fill="auto"/>
                  </w:tcPr>
                  <w:p w:rsidR="004E34F4" w:rsidRDefault="004E34F4" w:rsidP="00DB008B">
                    <w:pPr>
                      <w:jc w:val="center"/>
                      <w:rPr>
                        <w:rFonts w:cs="Cambria"/>
                        <w:szCs w:val="21"/>
                      </w:rPr>
                    </w:pPr>
                    <w:r>
                      <w:rPr>
                        <w:rFonts w:cs="Cambria" w:hint="eastAsia"/>
                        <w:szCs w:val="21"/>
                      </w:rPr>
                      <w:t>其他关联方与本企业关系</w:t>
                    </w:r>
                  </w:p>
                </w:tc>
              </w:sdtContent>
            </w:sdt>
          </w:tr>
          <w:sdt>
            <w:sdtPr>
              <w:rPr>
                <w:rFonts w:cs="Cambria"/>
                <w:szCs w:val="21"/>
              </w:rPr>
              <w:alias w:val="本企业的其他关联方情况明细"/>
              <w:tag w:val="_TUP_a783e3455e3448cbb8198b1265f2df23"/>
              <w:id w:val="-1026548755"/>
              <w:lock w:val="sdtLocked"/>
            </w:sdtPr>
            <w:sdtContent>
              <w:tr w:rsidR="004E34F4" w:rsidTr="00DB008B">
                <w:trPr>
                  <w:trHeight w:val="267"/>
                </w:trPr>
                <w:tc>
                  <w:tcPr>
                    <w:tcW w:w="2198" w:type="pct"/>
                    <w:tcBorders>
                      <w:top w:val="single" w:sz="4" w:space="0" w:color="auto"/>
                      <w:left w:val="single" w:sz="4" w:space="0" w:color="auto"/>
                      <w:bottom w:val="single" w:sz="4" w:space="0" w:color="auto"/>
                      <w:right w:val="single" w:sz="4" w:space="0" w:color="auto"/>
                    </w:tcBorders>
                    <w:vAlign w:val="center"/>
                  </w:tcPr>
                  <w:p w:rsidR="004E34F4" w:rsidRDefault="004E34F4" w:rsidP="00DB008B">
                    <w:pPr>
                      <w:rPr>
                        <w:rFonts w:cs="Cambria"/>
                        <w:szCs w:val="21"/>
                      </w:rPr>
                    </w:pPr>
                    <w:r>
                      <w:t>中国国家铁路集团有限公司</w:t>
                    </w:r>
                  </w:p>
                </w:tc>
                <w:sdt>
                  <w:sdtPr>
                    <w:rPr>
                      <w:rFonts w:cs="Cambria"/>
                      <w:szCs w:val="21"/>
                    </w:rPr>
                    <w:alias w:val="本企业的其他关联方情况明细－其他关联方与本公司关系"/>
                    <w:tag w:val="_GBC_58cfdd73098648d8af76645c4007a3fa"/>
                    <w:id w:val="-995954473"/>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4E34F4" w:rsidRDefault="004E34F4" w:rsidP="00DB008B">
                        <w:pPr>
                          <w:rPr>
                            <w:rFonts w:cs="Cambria"/>
                            <w:szCs w:val="21"/>
                          </w:rPr>
                        </w:pPr>
                        <w:r>
                          <w:rPr>
                            <w:rFonts w:cs="Cambria"/>
                            <w:szCs w:val="21"/>
                          </w:rPr>
                          <w:t>最终控股公司</w:t>
                        </w:r>
                      </w:p>
                    </w:tc>
                  </w:sdtContent>
                </w:sdt>
              </w:tr>
            </w:sdtContent>
          </w:sdt>
          <w:sdt>
            <w:sdtPr>
              <w:rPr>
                <w:rFonts w:cs="Cambria"/>
                <w:szCs w:val="21"/>
              </w:rPr>
              <w:alias w:val="本企业的其他关联方情况明细"/>
              <w:tag w:val="_TUP_a783e3455e3448cbb8198b1265f2df23"/>
              <w:id w:val="-958641433"/>
              <w:lock w:val="sdtLocked"/>
            </w:sdtPr>
            <w:sdtContent>
              <w:tr w:rsidR="004E34F4" w:rsidTr="00DB008B">
                <w:trPr>
                  <w:trHeight w:val="267"/>
                </w:trPr>
                <w:tc>
                  <w:tcPr>
                    <w:tcW w:w="2198" w:type="pct"/>
                    <w:tcBorders>
                      <w:top w:val="single" w:sz="4" w:space="0" w:color="auto"/>
                      <w:left w:val="single" w:sz="4" w:space="0" w:color="auto"/>
                      <w:bottom w:val="single" w:sz="4" w:space="0" w:color="auto"/>
                      <w:right w:val="single" w:sz="4" w:space="0" w:color="auto"/>
                    </w:tcBorders>
                    <w:vAlign w:val="center"/>
                  </w:tcPr>
                  <w:p w:rsidR="004E34F4" w:rsidRDefault="004E34F4" w:rsidP="00DB008B">
                    <w:pPr>
                      <w:rPr>
                        <w:rFonts w:cs="Cambria"/>
                        <w:szCs w:val="21"/>
                      </w:rPr>
                    </w:pPr>
                    <w:r>
                      <w:t>太原振北实业开发有限公司</w:t>
                    </w:r>
                  </w:p>
                </w:tc>
                <w:sdt>
                  <w:sdtPr>
                    <w:rPr>
                      <w:rFonts w:cs="Cambria"/>
                      <w:szCs w:val="21"/>
                    </w:rPr>
                    <w:alias w:val="本企业的其他关联方情况明细－其他关联方与本公司关系"/>
                    <w:tag w:val="_GBC_58cfdd73098648d8af76645c4007a3fa"/>
                    <w:id w:val="-1328363428"/>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4E34F4" w:rsidRDefault="004E34F4" w:rsidP="00DB008B">
                        <w:pPr>
                          <w:rPr>
                            <w:rFonts w:cs="Cambria"/>
                            <w:szCs w:val="21"/>
                          </w:rPr>
                        </w:pPr>
                        <w:r w:rsidRPr="000E7D8B">
                          <w:rPr>
                            <w:rFonts w:cs="Cambria"/>
                            <w:szCs w:val="21"/>
                          </w:rPr>
                          <w:t>母公司的全资子公司</w:t>
                        </w:r>
                      </w:p>
                    </w:tc>
                  </w:sdtContent>
                </w:sdt>
              </w:tr>
            </w:sdtContent>
          </w:sdt>
          <w:sdt>
            <w:sdtPr>
              <w:rPr>
                <w:rFonts w:cs="Cambria"/>
                <w:szCs w:val="21"/>
              </w:rPr>
              <w:alias w:val="本企业的其他关联方情况明细"/>
              <w:tag w:val="_TUP_a783e3455e3448cbb8198b1265f2df23"/>
              <w:id w:val="-1069113186"/>
              <w:lock w:val="sdtLocked"/>
            </w:sdtPr>
            <w:sdtContent>
              <w:tr w:rsidR="004E34F4" w:rsidTr="00DB008B">
                <w:trPr>
                  <w:trHeight w:val="267"/>
                </w:trPr>
                <w:tc>
                  <w:tcPr>
                    <w:tcW w:w="2198" w:type="pct"/>
                    <w:tcBorders>
                      <w:top w:val="single" w:sz="4" w:space="0" w:color="auto"/>
                      <w:left w:val="single" w:sz="4" w:space="0" w:color="auto"/>
                      <w:bottom w:val="single" w:sz="4" w:space="0" w:color="auto"/>
                      <w:right w:val="single" w:sz="4" w:space="0" w:color="auto"/>
                    </w:tcBorders>
                    <w:vAlign w:val="center"/>
                  </w:tcPr>
                  <w:p w:rsidR="004E34F4" w:rsidRDefault="004E34F4" w:rsidP="00DB008B">
                    <w:pPr>
                      <w:rPr>
                        <w:rFonts w:cs="Cambria"/>
                        <w:szCs w:val="21"/>
                      </w:rPr>
                    </w:pPr>
                    <w:r>
                      <w:t>山西铁路装备制造集团有限公司</w:t>
                    </w:r>
                  </w:p>
                </w:tc>
                <w:sdt>
                  <w:sdtPr>
                    <w:rPr>
                      <w:rFonts w:cs="Cambria"/>
                      <w:szCs w:val="21"/>
                    </w:rPr>
                    <w:alias w:val="本企业的其他关联方情况明细－其他关联方与本公司关系"/>
                    <w:tag w:val="_GBC_58cfdd73098648d8af76645c4007a3fa"/>
                    <w:id w:val="-1349712202"/>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4E34F4" w:rsidRDefault="004E34F4" w:rsidP="00DB008B">
                        <w:pPr>
                          <w:rPr>
                            <w:rFonts w:cs="Cambria"/>
                            <w:szCs w:val="21"/>
                          </w:rPr>
                        </w:pPr>
                        <w:r w:rsidRPr="000E7D8B">
                          <w:rPr>
                            <w:rFonts w:cs="Cambria"/>
                            <w:szCs w:val="21"/>
                          </w:rPr>
                          <w:t>母公司的全资子公司</w:t>
                        </w:r>
                      </w:p>
                    </w:tc>
                  </w:sdtContent>
                </w:sdt>
              </w:tr>
            </w:sdtContent>
          </w:sdt>
          <w:sdt>
            <w:sdtPr>
              <w:rPr>
                <w:rFonts w:cs="Cambria"/>
                <w:szCs w:val="21"/>
              </w:rPr>
              <w:alias w:val="本企业的其他关联方情况明细"/>
              <w:tag w:val="_TUP_a783e3455e3448cbb8198b1265f2df23"/>
              <w:id w:val="-1315553969"/>
              <w:lock w:val="sdtLocked"/>
            </w:sdtPr>
            <w:sdtContent>
              <w:tr w:rsidR="004E34F4" w:rsidTr="00DB008B">
                <w:trPr>
                  <w:trHeight w:val="267"/>
                </w:trPr>
                <w:tc>
                  <w:tcPr>
                    <w:tcW w:w="2198" w:type="pct"/>
                    <w:tcBorders>
                      <w:top w:val="single" w:sz="4" w:space="0" w:color="auto"/>
                      <w:left w:val="single" w:sz="4" w:space="0" w:color="auto"/>
                      <w:bottom w:val="single" w:sz="4" w:space="0" w:color="auto"/>
                      <w:right w:val="single" w:sz="4" w:space="0" w:color="auto"/>
                    </w:tcBorders>
                    <w:vAlign w:val="center"/>
                  </w:tcPr>
                  <w:p w:rsidR="004E34F4" w:rsidRDefault="004E34F4" w:rsidP="00DB008B">
                    <w:pPr>
                      <w:rPr>
                        <w:rFonts w:cs="Cambria"/>
                        <w:szCs w:val="21"/>
                      </w:rPr>
                    </w:pPr>
                    <w:r>
                      <w:t>朔州市宏达铁路工贸有限公司</w:t>
                    </w:r>
                  </w:p>
                </w:tc>
                <w:sdt>
                  <w:sdtPr>
                    <w:rPr>
                      <w:rFonts w:cs="Cambria"/>
                      <w:szCs w:val="21"/>
                    </w:rPr>
                    <w:alias w:val="本企业的其他关联方情况明细－其他关联方与本公司关系"/>
                    <w:tag w:val="_GBC_58cfdd73098648d8af76645c4007a3fa"/>
                    <w:id w:val="186492883"/>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4E34F4" w:rsidRDefault="004E34F4" w:rsidP="00DB008B">
                        <w:pPr>
                          <w:rPr>
                            <w:rFonts w:cs="Cambria"/>
                            <w:szCs w:val="21"/>
                          </w:rPr>
                        </w:pPr>
                        <w:r w:rsidRPr="000E7D8B">
                          <w:rPr>
                            <w:rFonts w:cs="Cambria"/>
                            <w:szCs w:val="21"/>
                          </w:rPr>
                          <w:t>母公司的全资子公司</w:t>
                        </w:r>
                      </w:p>
                    </w:tc>
                  </w:sdtContent>
                </w:sdt>
              </w:tr>
            </w:sdtContent>
          </w:sdt>
          <w:sdt>
            <w:sdtPr>
              <w:rPr>
                <w:rFonts w:cs="Cambria"/>
                <w:szCs w:val="21"/>
              </w:rPr>
              <w:alias w:val="本企业的其他关联方情况明细"/>
              <w:tag w:val="_TUP_a783e3455e3448cbb8198b1265f2df23"/>
              <w:id w:val="1556196992"/>
              <w:lock w:val="sdtLocked"/>
            </w:sdtPr>
            <w:sdtContent>
              <w:tr w:rsidR="004E34F4" w:rsidTr="00DB008B">
                <w:trPr>
                  <w:trHeight w:val="267"/>
                </w:trPr>
                <w:tc>
                  <w:tcPr>
                    <w:tcW w:w="2198" w:type="pct"/>
                    <w:tcBorders>
                      <w:top w:val="single" w:sz="4" w:space="0" w:color="auto"/>
                      <w:left w:val="single" w:sz="4" w:space="0" w:color="auto"/>
                      <w:bottom w:val="single" w:sz="4" w:space="0" w:color="auto"/>
                      <w:right w:val="single" w:sz="4" w:space="0" w:color="auto"/>
                    </w:tcBorders>
                    <w:vAlign w:val="center"/>
                  </w:tcPr>
                  <w:p w:rsidR="004E34F4" w:rsidRDefault="004E34F4" w:rsidP="00DB008B">
                    <w:pPr>
                      <w:rPr>
                        <w:rFonts w:cs="Cambria"/>
                        <w:szCs w:val="21"/>
                      </w:rPr>
                    </w:pPr>
                    <w:r>
                      <w:t>山西三晋地方铁路开发集团有限公司</w:t>
                    </w:r>
                  </w:p>
                </w:tc>
                <w:sdt>
                  <w:sdtPr>
                    <w:rPr>
                      <w:rFonts w:cs="Cambria"/>
                      <w:szCs w:val="21"/>
                    </w:rPr>
                    <w:alias w:val="本企业的其他关联方情况明细－其他关联方与本公司关系"/>
                    <w:tag w:val="_GBC_58cfdd73098648d8af76645c4007a3fa"/>
                    <w:id w:val="-1863500858"/>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4E34F4" w:rsidRDefault="004E34F4" w:rsidP="00DB008B">
                        <w:pPr>
                          <w:rPr>
                            <w:rFonts w:cs="Cambria"/>
                            <w:szCs w:val="21"/>
                          </w:rPr>
                        </w:pPr>
                        <w:r w:rsidRPr="000E7D8B">
                          <w:rPr>
                            <w:rFonts w:cs="Cambria"/>
                            <w:szCs w:val="21"/>
                          </w:rPr>
                          <w:t>母公司的全资子公司</w:t>
                        </w:r>
                      </w:p>
                    </w:tc>
                  </w:sdtContent>
                </w:sdt>
              </w:tr>
            </w:sdtContent>
          </w:sdt>
          <w:sdt>
            <w:sdtPr>
              <w:rPr>
                <w:rFonts w:cs="Cambria"/>
                <w:szCs w:val="21"/>
              </w:rPr>
              <w:alias w:val="本企业的其他关联方情况明细"/>
              <w:tag w:val="_TUP_a783e3455e3448cbb8198b1265f2df23"/>
              <w:id w:val="-1600094534"/>
              <w:lock w:val="sdtLocked"/>
            </w:sdtPr>
            <w:sdtContent>
              <w:tr w:rsidR="004E34F4" w:rsidTr="00DB008B">
                <w:trPr>
                  <w:trHeight w:val="267"/>
                </w:trPr>
                <w:tc>
                  <w:tcPr>
                    <w:tcW w:w="2198" w:type="pct"/>
                    <w:tcBorders>
                      <w:top w:val="single" w:sz="4" w:space="0" w:color="auto"/>
                      <w:left w:val="single" w:sz="4" w:space="0" w:color="auto"/>
                      <w:bottom w:val="single" w:sz="4" w:space="0" w:color="auto"/>
                      <w:right w:val="single" w:sz="4" w:space="0" w:color="auto"/>
                    </w:tcBorders>
                    <w:vAlign w:val="center"/>
                  </w:tcPr>
                  <w:p w:rsidR="004E34F4" w:rsidRDefault="004E34F4" w:rsidP="00DB008B">
                    <w:pPr>
                      <w:rPr>
                        <w:rFonts w:cs="Cambria"/>
                        <w:szCs w:val="21"/>
                      </w:rPr>
                    </w:pPr>
                    <w:r>
                      <w:t>太原市华威通水电工程有限公司</w:t>
                    </w:r>
                  </w:p>
                </w:tc>
                <w:sdt>
                  <w:sdtPr>
                    <w:rPr>
                      <w:rFonts w:cs="Cambria"/>
                      <w:szCs w:val="21"/>
                    </w:rPr>
                    <w:alias w:val="本企业的其他关联方情况明细－其他关联方与本公司关系"/>
                    <w:tag w:val="_GBC_58cfdd73098648d8af76645c4007a3fa"/>
                    <w:id w:val="-1018237175"/>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4E34F4" w:rsidRDefault="004E34F4" w:rsidP="00DB008B">
                        <w:pPr>
                          <w:rPr>
                            <w:rFonts w:cs="Cambria"/>
                            <w:szCs w:val="21"/>
                          </w:rPr>
                        </w:pPr>
                        <w:r w:rsidRPr="000E7D8B">
                          <w:rPr>
                            <w:rFonts w:cs="Cambria"/>
                            <w:szCs w:val="21"/>
                          </w:rPr>
                          <w:t>母公司的全资子公司</w:t>
                        </w:r>
                      </w:p>
                    </w:tc>
                  </w:sdtContent>
                </w:sdt>
              </w:tr>
            </w:sdtContent>
          </w:sdt>
          <w:sdt>
            <w:sdtPr>
              <w:rPr>
                <w:rFonts w:cs="Cambria"/>
                <w:szCs w:val="21"/>
              </w:rPr>
              <w:alias w:val="本企业的其他关联方情况明细"/>
              <w:tag w:val="_TUP_a783e3455e3448cbb8198b1265f2df23"/>
              <w:id w:val="-1524088988"/>
              <w:lock w:val="sdtLocked"/>
            </w:sdtPr>
            <w:sdtContent>
              <w:tr w:rsidR="004E34F4" w:rsidTr="00DB008B">
                <w:trPr>
                  <w:trHeight w:val="267"/>
                </w:trPr>
                <w:tc>
                  <w:tcPr>
                    <w:tcW w:w="2198" w:type="pct"/>
                    <w:tcBorders>
                      <w:top w:val="single" w:sz="4" w:space="0" w:color="auto"/>
                      <w:left w:val="single" w:sz="4" w:space="0" w:color="auto"/>
                      <w:bottom w:val="single" w:sz="4" w:space="0" w:color="auto"/>
                      <w:right w:val="single" w:sz="4" w:space="0" w:color="auto"/>
                    </w:tcBorders>
                    <w:vAlign w:val="center"/>
                  </w:tcPr>
                  <w:p w:rsidR="004E34F4" w:rsidRDefault="004E34F4" w:rsidP="00DB008B">
                    <w:pPr>
                      <w:rPr>
                        <w:rFonts w:cs="Cambria"/>
                        <w:szCs w:val="21"/>
                      </w:rPr>
                    </w:pPr>
                    <w:r>
                      <w:t>太原晋太实业 (集团) 有限公司</w:t>
                    </w:r>
                  </w:p>
                </w:tc>
                <w:sdt>
                  <w:sdtPr>
                    <w:rPr>
                      <w:rFonts w:cs="Cambria"/>
                      <w:szCs w:val="21"/>
                    </w:rPr>
                    <w:alias w:val="本企业的其他关联方情况明细－其他关联方与本公司关系"/>
                    <w:tag w:val="_GBC_58cfdd73098648d8af76645c4007a3fa"/>
                    <w:id w:val="-133493"/>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4E34F4" w:rsidRDefault="004E34F4" w:rsidP="00DB008B">
                        <w:pPr>
                          <w:rPr>
                            <w:rFonts w:cs="Cambria"/>
                            <w:szCs w:val="21"/>
                          </w:rPr>
                        </w:pPr>
                        <w:r w:rsidRPr="000E7D8B">
                          <w:rPr>
                            <w:rFonts w:cs="Cambria"/>
                            <w:szCs w:val="21"/>
                          </w:rPr>
                          <w:t>母公司的控股子公司</w:t>
                        </w:r>
                      </w:p>
                    </w:tc>
                  </w:sdtContent>
                </w:sdt>
              </w:tr>
            </w:sdtContent>
          </w:sdt>
          <w:sdt>
            <w:sdtPr>
              <w:rPr>
                <w:rFonts w:cs="Cambria"/>
                <w:szCs w:val="21"/>
              </w:rPr>
              <w:alias w:val="本企业的其他关联方情况明细"/>
              <w:tag w:val="_TUP_a783e3455e3448cbb8198b1265f2df23"/>
              <w:id w:val="-703948203"/>
              <w:lock w:val="sdtLocked"/>
            </w:sdtPr>
            <w:sdtContent>
              <w:tr w:rsidR="004E34F4" w:rsidTr="00DB008B">
                <w:trPr>
                  <w:trHeight w:val="267"/>
                </w:trPr>
                <w:tc>
                  <w:tcPr>
                    <w:tcW w:w="2198" w:type="pct"/>
                    <w:tcBorders>
                      <w:top w:val="single" w:sz="4" w:space="0" w:color="auto"/>
                      <w:left w:val="single" w:sz="4" w:space="0" w:color="auto"/>
                      <w:bottom w:val="single" w:sz="4" w:space="0" w:color="auto"/>
                      <w:right w:val="single" w:sz="4" w:space="0" w:color="auto"/>
                    </w:tcBorders>
                    <w:vAlign w:val="center"/>
                  </w:tcPr>
                  <w:p w:rsidR="004E34F4" w:rsidRDefault="004E34F4" w:rsidP="00DB008B">
                    <w:pPr>
                      <w:rPr>
                        <w:rFonts w:cs="Cambria"/>
                        <w:szCs w:val="21"/>
                      </w:rPr>
                    </w:pPr>
                    <w:r>
                      <w:t>太原铁路新创实业集团有限公司</w:t>
                    </w:r>
                  </w:p>
                </w:tc>
                <w:sdt>
                  <w:sdtPr>
                    <w:rPr>
                      <w:rFonts w:cs="Cambria"/>
                      <w:szCs w:val="21"/>
                    </w:rPr>
                    <w:alias w:val="本企业的其他关联方情况明细－其他关联方与本公司关系"/>
                    <w:tag w:val="_GBC_58cfdd73098648d8af76645c4007a3fa"/>
                    <w:id w:val="656889012"/>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4E34F4" w:rsidRDefault="004E34F4" w:rsidP="00DB008B">
                        <w:pPr>
                          <w:rPr>
                            <w:rFonts w:cs="Cambria"/>
                            <w:szCs w:val="21"/>
                          </w:rPr>
                        </w:pPr>
                        <w:r w:rsidRPr="000E7D8B">
                          <w:rPr>
                            <w:rFonts w:cs="Cambria"/>
                            <w:szCs w:val="21"/>
                          </w:rPr>
                          <w:t>母公司的控股子公司</w:t>
                        </w:r>
                      </w:p>
                    </w:tc>
                  </w:sdtContent>
                </w:sdt>
              </w:tr>
            </w:sdtContent>
          </w:sdt>
          <w:sdt>
            <w:sdtPr>
              <w:rPr>
                <w:rFonts w:cs="Cambria"/>
                <w:szCs w:val="21"/>
              </w:rPr>
              <w:alias w:val="本企业的其他关联方情况明细"/>
              <w:tag w:val="_TUP_a783e3455e3448cbb8198b1265f2df23"/>
              <w:id w:val="-1988167187"/>
              <w:lock w:val="sdtLocked"/>
            </w:sdtPr>
            <w:sdtContent>
              <w:tr w:rsidR="004E34F4" w:rsidTr="00DB008B">
                <w:trPr>
                  <w:trHeight w:val="267"/>
                </w:trPr>
                <w:tc>
                  <w:tcPr>
                    <w:tcW w:w="2198" w:type="pct"/>
                    <w:tcBorders>
                      <w:top w:val="single" w:sz="4" w:space="0" w:color="auto"/>
                      <w:left w:val="single" w:sz="4" w:space="0" w:color="auto"/>
                      <w:bottom w:val="single" w:sz="4" w:space="0" w:color="auto"/>
                      <w:right w:val="single" w:sz="4" w:space="0" w:color="auto"/>
                    </w:tcBorders>
                    <w:vAlign w:val="center"/>
                  </w:tcPr>
                  <w:p w:rsidR="004E34F4" w:rsidRDefault="004E34F4" w:rsidP="00DB008B">
                    <w:pPr>
                      <w:rPr>
                        <w:rFonts w:cs="Cambria"/>
                        <w:szCs w:val="21"/>
                      </w:rPr>
                    </w:pPr>
                    <w:r>
                      <w:t>朔州平朔路达铁路运输有限公司</w:t>
                    </w:r>
                  </w:p>
                </w:tc>
                <w:sdt>
                  <w:sdtPr>
                    <w:rPr>
                      <w:rFonts w:cs="Cambria"/>
                      <w:szCs w:val="21"/>
                    </w:rPr>
                    <w:alias w:val="本企业的其他关联方情况明细－其他关联方与本公司关系"/>
                    <w:tag w:val="_GBC_58cfdd73098648d8af76645c4007a3fa"/>
                    <w:id w:val="213784989"/>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4E34F4" w:rsidRDefault="004E34F4" w:rsidP="00DB008B">
                        <w:pPr>
                          <w:rPr>
                            <w:rFonts w:cs="Cambria"/>
                            <w:szCs w:val="21"/>
                          </w:rPr>
                        </w:pPr>
                        <w:r w:rsidRPr="000E7D8B">
                          <w:rPr>
                            <w:rFonts w:cs="Cambria"/>
                            <w:szCs w:val="21"/>
                          </w:rPr>
                          <w:t>母公司的控股子公司</w:t>
                        </w:r>
                      </w:p>
                    </w:tc>
                  </w:sdtContent>
                </w:sdt>
              </w:tr>
            </w:sdtContent>
          </w:sdt>
          <w:sdt>
            <w:sdtPr>
              <w:rPr>
                <w:rFonts w:cs="Cambria"/>
                <w:szCs w:val="21"/>
              </w:rPr>
              <w:alias w:val="本企业的其他关联方情况明细"/>
              <w:tag w:val="_TUP_a783e3455e3448cbb8198b1265f2df23"/>
              <w:id w:val="1450354118"/>
              <w:lock w:val="sdtLocked"/>
            </w:sdtPr>
            <w:sdtContent>
              <w:tr w:rsidR="004E34F4" w:rsidTr="00DB008B">
                <w:trPr>
                  <w:trHeight w:val="267"/>
                </w:trPr>
                <w:tc>
                  <w:tcPr>
                    <w:tcW w:w="2198" w:type="pct"/>
                    <w:tcBorders>
                      <w:top w:val="single" w:sz="4" w:space="0" w:color="auto"/>
                      <w:left w:val="single" w:sz="4" w:space="0" w:color="auto"/>
                      <w:bottom w:val="single" w:sz="4" w:space="0" w:color="auto"/>
                      <w:right w:val="single" w:sz="4" w:space="0" w:color="auto"/>
                    </w:tcBorders>
                    <w:vAlign w:val="center"/>
                  </w:tcPr>
                  <w:p w:rsidR="004E34F4" w:rsidRDefault="004E34F4" w:rsidP="00DB008B">
                    <w:pPr>
                      <w:rPr>
                        <w:rFonts w:cs="Cambria"/>
                        <w:szCs w:val="21"/>
                      </w:rPr>
                    </w:pPr>
                    <w:r>
                      <w:t>大西铁路客运专线有限责任公司</w:t>
                    </w:r>
                  </w:p>
                </w:tc>
                <w:sdt>
                  <w:sdtPr>
                    <w:rPr>
                      <w:rFonts w:cs="Cambria"/>
                      <w:szCs w:val="21"/>
                    </w:rPr>
                    <w:alias w:val="本企业的其他关联方情况明细－其他关联方与本公司关系"/>
                    <w:tag w:val="_GBC_58cfdd73098648d8af76645c4007a3fa"/>
                    <w:id w:val="2059742775"/>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4E34F4" w:rsidRDefault="004E34F4" w:rsidP="00DB008B">
                        <w:pPr>
                          <w:rPr>
                            <w:rFonts w:cs="Cambria"/>
                            <w:szCs w:val="21"/>
                          </w:rPr>
                        </w:pPr>
                        <w:r w:rsidRPr="000E7D8B">
                          <w:rPr>
                            <w:rFonts w:cs="Cambria"/>
                            <w:szCs w:val="21"/>
                          </w:rPr>
                          <w:t>母公司的控股子公司</w:t>
                        </w:r>
                      </w:p>
                    </w:tc>
                  </w:sdtContent>
                </w:sdt>
              </w:tr>
            </w:sdtContent>
          </w:sdt>
          <w:sdt>
            <w:sdtPr>
              <w:rPr>
                <w:rFonts w:cs="Cambria"/>
                <w:szCs w:val="21"/>
              </w:rPr>
              <w:alias w:val="本企业的其他关联方情况明细"/>
              <w:tag w:val="_TUP_a783e3455e3448cbb8198b1265f2df23"/>
              <w:id w:val="292033454"/>
              <w:lock w:val="sdtLocked"/>
            </w:sdtPr>
            <w:sdtContent>
              <w:tr w:rsidR="004E34F4" w:rsidTr="00DB008B">
                <w:trPr>
                  <w:trHeight w:val="267"/>
                </w:trPr>
                <w:tc>
                  <w:tcPr>
                    <w:tcW w:w="2198" w:type="pct"/>
                    <w:tcBorders>
                      <w:top w:val="single" w:sz="4" w:space="0" w:color="auto"/>
                      <w:left w:val="single" w:sz="4" w:space="0" w:color="auto"/>
                      <w:bottom w:val="single" w:sz="4" w:space="0" w:color="auto"/>
                      <w:right w:val="single" w:sz="4" w:space="0" w:color="auto"/>
                    </w:tcBorders>
                    <w:vAlign w:val="center"/>
                  </w:tcPr>
                  <w:p w:rsidR="004E34F4" w:rsidRDefault="004E34F4" w:rsidP="00DB008B">
                    <w:pPr>
                      <w:rPr>
                        <w:rFonts w:cs="Cambria"/>
                        <w:szCs w:val="21"/>
                      </w:rPr>
                    </w:pPr>
                    <w:r>
                      <w:t>晋豫鲁铁路通道股份有限公司</w:t>
                    </w:r>
                  </w:p>
                </w:tc>
                <w:sdt>
                  <w:sdtPr>
                    <w:rPr>
                      <w:rFonts w:cs="Cambria"/>
                      <w:szCs w:val="21"/>
                    </w:rPr>
                    <w:alias w:val="本企业的其他关联方情况明细－其他关联方与本公司关系"/>
                    <w:tag w:val="_GBC_58cfdd73098648d8af76645c4007a3fa"/>
                    <w:id w:val="259495812"/>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4E34F4" w:rsidRDefault="004E34F4" w:rsidP="00DB008B">
                        <w:pPr>
                          <w:rPr>
                            <w:rFonts w:cs="Cambria"/>
                            <w:szCs w:val="21"/>
                          </w:rPr>
                        </w:pPr>
                        <w:r w:rsidRPr="000E7D8B">
                          <w:rPr>
                            <w:rFonts w:cs="Cambria"/>
                            <w:szCs w:val="21"/>
                          </w:rPr>
                          <w:t>母公司的控股子公司</w:t>
                        </w:r>
                      </w:p>
                    </w:tc>
                  </w:sdtContent>
                </w:sdt>
              </w:tr>
            </w:sdtContent>
          </w:sdt>
          <w:sdt>
            <w:sdtPr>
              <w:rPr>
                <w:rFonts w:cs="Cambria"/>
                <w:szCs w:val="21"/>
              </w:rPr>
              <w:alias w:val="本企业的其他关联方情况明细"/>
              <w:tag w:val="_TUP_a783e3455e3448cbb8198b1265f2df23"/>
              <w:id w:val="-862358575"/>
              <w:lock w:val="sdtLocked"/>
            </w:sdtPr>
            <w:sdtContent>
              <w:tr w:rsidR="004E34F4" w:rsidTr="00DB008B">
                <w:trPr>
                  <w:trHeight w:val="267"/>
                </w:trPr>
                <w:tc>
                  <w:tcPr>
                    <w:tcW w:w="2198" w:type="pct"/>
                    <w:tcBorders>
                      <w:top w:val="single" w:sz="4" w:space="0" w:color="auto"/>
                      <w:left w:val="single" w:sz="4" w:space="0" w:color="auto"/>
                      <w:bottom w:val="single" w:sz="4" w:space="0" w:color="auto"/>
                      <w:right w:val="single" w:sz="4" w:space="0" w:color="auto"/>
                    </w:tcBorders>
                    <w:vAlign w:val="center"/>
                  </w:tcPr>
                  <w:p w:rsidR="004E34F4" w:rsidRDefault="004E34F4" w:rsidP="00DB008B">
                    <w:pPr>
                      <w:rPr>
                        <w:rFonts w:cs="Cambria"/>
                        <w:szCs w:val="21"/>
                      </w:rPr>
                    </w:pPr>
                    <w:r>
                      <w:t>吕临铁路有限责任公司</w:t>
                    </w:r>
                  </w:p>
                </w:tc>
                <w:sdt>
                  <w:sdtPr>
                    <w:rPr>
                      <w:rFonts w:cs="Cambria"/>
                      <w:szCs w:val="21"/>
                    </w:rPr>
                    <w:alias w:val="本企业的其他关联方情况明细－其他关联方与本公司关系"/>
                    <w:tag w:val="_GBC_58cfdd73098648d8af76645c4007a3fa"/>
                    <w:id w:val="1171995719"/>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4E34F4" w:rsidRDefault="004E34F4" w:rsidP="00DB008B">
                        <w:pPr>
                          <w:rPr>
                            <w:rFonts w:cs="Cambria"/>
                            <w:szCs w:val="21"/>
                          </w:rPr>
                        </w:pPr>
                        <w:r>
                          <w:rPr>
                            <w:rFonts w:cs="Cambria"/>
                            <w:szCs w:val="21"/>
                          </w:rPr>
                          <w:t>母公司的控股子公司</w:t>
                        </w:r>
                      </w:p>
                    </w:tc>
                  </w:sdtContent>
                </w:sdt>
              </w:tr>
            </w:sdtContent>
          </w:sdt>
          <w:sdt>
            <w:sdtPr>
              <w:rPr>
                <w:rFonts w:cs="Cambria"/>
                <w:szCs w:val="21"/>
              </w:rPr>
              <w:alias w:val="本企业的其他关联方情况明细"/>
              <w:tag w:val="_TUP_a783e3455e3448cbb8198b1265f2df23"/>
              <w:id w:val="-771467236"/>
              <w:lock w:val="sdtLocked"/>
            </w:sdtPr>
            <w:sdtContent>
              <w:tr w:rsidR="004E34F4" w:rsidTr="00DB008B">
                <w:trPr>
                  <w:trHeight w:val="267"/>
                </w:trPr>
                <w:tc>
                  <w:tcPr>
                    <w:tcW w:w="2198" w:type="pct"/>
                    <w:tcBorders>
                      <w:top w:val="single" w:sz="4" w:space="0" w:color="auto"/>
                      <w:left w:val="single" w:sz="4" w:space="0" w:color="auto"/>
                      <w:bottom w:val="single" w:sz="4" w:space="0" w:color="auto"/>
                      <w:right w:val="single" w:sz="4" w:space="0" w:color="auto"/>
                    </w:tcBorders>
                    <w:vAlign w:val="center"/>
                  </w:tcPr>
                  <w:p w:rsidR="004E34F4" w:rsidRDefault="004E34F4" w:rsidP="00DB008B">
                    <w:pPr>
                      <w:rPr>
                        <w:rFonts w:cs="Cambria"/>
                        <w:szCs w:val="21"/>
                      </w:rPr>
                    </w:pPr>
                    <w:r>
                      <w:t>准朔铁路有限责任公司</w:t>
                    </w:r>
                  </w:p>
                </w:tc>
                <w:sdt>
                  <w:sdtPr>
                    <w:rPr>
                      <w:rFonts w:cs="Cambria"/>
                      <w:szCs w:val="21"/>
                    </w:rPr>
                    <w:alias w:val="本企业的其他关联方情况明细－其他关联方与本公司关系"/>
                    <w:tag w:val="_GBC_58cfdd73098648d8af76645c4007a3fa"/>
                    <w:id w:val="1627432022"/>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4E34F4" w:rsidRDefault="004E34F4" w:rsidP="00DB008B">
                        <w:pPr>
                          <w:rPr>
                            <w:rFonts w:cs="Cambria"/>
                            <w:szCs w:val="21"/>
                          </w:rPr>
                        </w:pPr>
                        <w:r w:rsidRPr="000E7D8B">
                          <w:rPr>
                            <w:rFonts w:cs="Cambria"/>
                            <w:szCs w:val="21"/>
                          </w:rPr>
                          <w:t>母公司的控股子公司</w:t>
                        </w:r>
                      </w:p>
                    </w:tc>
                  </w:sdtContent>
                </w:sdt>
              </w:tr>
            </w:sdtContent>
          </w:sdt>
          <w:sdt>
            <w:sdtPr>
              <w:rPr>
                <w:rFonts w:cs="Cambria"/>
                <w:szCs w:val="21"/>
              </w:rPr>
              <w:alias w:val="本企业的其他关联方情况明细"/>
              <w:tag w:val="_TUP_a783e3455e3448cbb8198b1265f2df23"/>
              <w:id w:val="427239853"/>
              <w:lock w:val="sdtLocked"/>
            </w:sdtPr>
            <w:sdtContent>
              <w:tr w:rsidR="004E34F4" w:rsidTr="00DB008B">
                <w:trPr>
                  <w:trHeight w:val="267"/>
                </w:trPr>
                <w:tc>
                  <w:tcPr>
                    <w:tcW w:w="2198" w:type="pct"/>
                    <w:tcBorders>
                      <w:top w:val="single" w:sz="4" w:space="0" w:color="auto"/>
                      <w:left w:val="single" w:sz="4" w:space="0" w:color="auto"/>
                      <w:bottom w:val="single" w:sz="4" w:space="0" w:color="auto"/>
                      <w:right w:val="single" w:sz="4" w:space="0" w:color="auto"/>
                    </w:tcBorders>
                    <w:vAlign w:val="center"/>
                  </w:tcPr>
                  <w:p w:rsidR="004E34F4" w:rsidRDefault="004E34F4" w:rsidP="00DB008B">
                    <w:pPr>
                      <w:rPr>
                        <w:rFonts w:cs="Cambria"/>
                        <w:szCs w:val="21"/>
                      </w:rPr>
                    </w:pPr>
                    <w:r>
                      <w:t>中国铁路北京局集团有限公司</w:t>
                    </w:r>
                  </w:p>
                </w:tc>
                <w:sdt>
                  <w:sdtPr>
                    <w:rPr>
                      <w:rFonts w:cs="Cambria"/>
                      <w:szCs w:val="21"/>
                    </w:rPr>
                    <w:alias w:val="本企业的其他关联方情况明细－其他关联方与本公司关系"/>
                    <w:tag w:val="_GBC_58cfdd73098648d8af76645c4007a3fa"/>
                    <w:id w:val="1948115547"/>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4E34F4" w:rsidRDefault="004E34F4" w:rsidP="00DB008B">
                        <w:pPr>
                          <w:rPr>
                            <w:rFonts w:cs="Cambria"/>
                            <w:szCs w:val="21"/>
                          </w:rPr>
                        </w:pPr>
                        <w:r w:rsidRPr="000E7D8B">
                          <w:rPr>
                            <w:rFonts w:cs="Cambria"/>
                            <w:szCs w:val="21"/>
                          </w:rPr>
                          <w:t>最终控股公司之子公司</w:t>
                        </w:r>
                      </w:p>
                    </w:tc>
                  </w:sdtContent>
                </w:sdt>
              </w:tr>
            </w:sdtContent>
          </w:sdt>
          <w:sdt>
            <w:sdtPr>
              <w:rPr>
                <w:rFonts w:cs="Cambria"/>
                <w:szCs w:val="21"/>
              </w:rPr>
              <w:alias w:val="本企业的其他关联方情况明细"/>
              <w:tag w:val="_TUP_a783e3455e3448cbb8198b1265f2df23"/>
              <w:id w:val="2126878020"/>
              <w:lock w:val="sdtLocked"/>
            </w:sdtPr>
            <w:sdtContent>
              <w:tr w:rsidR="004E34F4" w:rsidTr="00DB008B">
                <w:trPr>
                  <w:trHeight w:val="267"/>
                </w:trPr>
                <w:tc>
                  <w:tcPr>
                    <w:tcW w:w="2198" w:type="pct"/>
                    <w:tcBorders>
                      <w:top w:val="single" w:sz="4" w:space="0" w:color="auto"/>
                      <w:left w:val="single" w:sz="4" w:space="0" w:color="auto"/>
                      <w:bottom w:val="single" w:sz="4" w:space="0" w:color="auto"/>
                      <w:right w:val="single" w:sz="4" w:space="0" w:color="auto"/>
                    </w:tcBorders>
                    <w:vAlign w:val="center"/>
                  </w:tcPr>
                  <w:p w:rsidR="004E34F4" w:rsidRDefault="004E34F4" w:rsidP="00DB008B">
                    <w:pPr>
                      <w:rPr>
                        <w:rFonts w:cs="Cambria"/>
                        <w:szCs w:val="21"/>
                      </w:rPr>
                    </w:pPr>
                    <w:r>
                      <w:t>中国铁路西安局集团有限公司</w:t>
                    </w:r>
                  </w:p>
                </w:tc>
                <w:sdt>
                  <w:sdtPr>
                    <w:rPr>
                      <w:rFonts w:cs="Cambria"/>
                      <w:szCs w:val="21"/>
                    </w:rPr>
                    <w:alias w:val="本企业的其他关联方情况明细－其他关联方与本公司关系"/>
                    <w:tag w:val="_GBC_58cfdd73098648d8af76645c4007a3fa"/>
                    <w:id w:val="419920196"/>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4E34F4" w:rsidRDefault="004E34F4" w:rsidP="00DB008B">
                        <w:pPr>
                          <w:rPr>
                            <w:rFonts w:cs="Cambria"/>
                            <w:szCs w:val="21"/>
                          </w:rPr>
                        </w:pPr>
                        <w:r w:rsidRPr="000E7D8B">
                          <w:rPr>
                            <w:rFonts w:cs="Cambria"/>
                            <w:szCs w:val="21"/>
                          </w:rPr>
                          <w:t>最终控股公司之子公司</w:t>
                        </w:r>
                      </w:p>
                    </w:tc>
                  </w:sdtContent>
                </w:sdt>
              </w:tr>
            </w:sdtContent>
          </w:sdt>
          <w:sdt>
            <w:sdtPr>
              <w:rPr>
                <w:rFonts w:cs="Cambria"/>
                <w:szCs w:val="21"/>
              </w:rPr>
              <w:alias w:val="本企业的其他关联方情况明细"/>
              <w:tag w:val="_TUP_a783e3455e3448cbb8198b1265f2df23"/>
              <w:id w:val="749084572"/>
              <w:lock w:val="sdtLocked"/>
            </w:sdtPr>
            <w:sdtContent>
              <w:tr w:rsidR="004E34F4" w:rsidTr="00DB008B">
                <w:trPr>
                  <w:trHeight w:val="267"/>
                </w:trPr>
                <w:tc>
                  <w:tcPr>
                    <w:tcW w:w="2198" w:type="pct"/>
                    <w:tcBorders>
                      <w:top w:val="single" w:sz="4" w:space="0" w:color="auto"/>
                      <w:left w:val="single" w:sz="4" w:space="0" w:color="auto"/>
                      <w:bottom w:val="single" w:sz="4" w:space="0" w:color="auto"/>
                      <w:right w:val="single" w:sz="4" w:space="0" w:color="auto"/>
                    </w:tcBorders>
                    <w:vAlign w:val="center"/>
                  </w:tcPr>
                  <w:p w:rsidR="004E34F4" w:rsidRDefault="004E34F4" w:rsidP="00DB008B">
                    <w:pPr>
                      <w:rPr>
                        <w:rFonts w:cs="Cambria"/>
                        <w:szCs w:val="21"/>
                      </w:rPr>
                    </w:pPr>
                    <w:r>
                      <w:t>中国铁路上海局集团有限公司</w:t>
                    </w:r>
                  </w:p>
                </w:tc>
                <w:sdt>
                  <w:sdtPr>
                    <w:rPr>
                      <w:rFonts w:cs="Cambria"/>
                      <w:szCs w:val="21"/>
                    </w:rPr>
                    <w:alias w:val="本企业的其他关联方情况明细－其他关联方与本公司关系"/>
                    <w:tag w:val="_GBC_58cfdd73098648d8af76645c4007a3fa"/>
                    <w:id w:val="-1559633784"/>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4E34F4" w:rsidRDefault="004E34F4" w:rsidP="00DB008B">
                        <w:pPr>
                          <w:rPr>
                            <w:rFonts w:cs="Cambria"/>
                            <w:szCs w:val="21"/>
                          </w:rPr>
                        </w:pPr>
                        <w:r w:rsidRPr="000E7D8B">
                          <w:rPr>
                            <w:rFonts w:cs="Cambria"/>
                            <w:szCs w:val="21"/>
                          </w:rPr>
                          <w:t>最终控股公司之子公司</w:t>
                        </w:r>
                      </w:p>
                    </w:tc>
                  </w:sdtContent>
                </w:sdt>
              </w:tr>
            </w:sdtContent>
          </w:sdt>
          <w:sdt>
            <w:sdtPr>
              <w:rPr>
                <w:rFonts w:cs="Cambria"/>
                <w:szCs w:val="21"/>
              </w:rPr>
              <w:alias w:val="本企业的其他关联方情况明细"/>
              <w:tag w:val="_TUP_a783e3455e3448cbb8198b1265f2df23"/>
              <w:id w:val="1896149121"/>
              <w:lock w:val="sdtLocked"/>
            </w:sdtPr>
            <w:sdtContent>
              <w:tr w:rsidR="004E34F4" w:rsidTr="00DB008B">
                <w:trPr>
                  <w:trHeight w:val="267"/>
                </w:trPr>
                <w:tc>
                  <w:tcPr>
                    <w:tcW w:w="2198" w:type="pct"/>
                    <w:tcBorders>
                      <w:top w:val="single" w:sz="4" w:space="0" w:color="auto"/>
                      <w:left w:val="single" w:sz="4" w:space="0" w:color="auto"/>
                      <w:bottom w:val="single" w:sz="4" w:space="0" w:color="auto"/>
                      <w:right w:val="single" w:sz="4" w:space="0" w:color="auto"/>
                    </w:tcBorders>
                    <w:vAlign w:val="center"/>
                  </w:tcPr>
                  <w:p w:rsidR="004E34F4" w:rsidRDefault="004E34F4" w:rsidP="00DB008B">
                    <w:pPr>
                      <w:rPr>
                        <w:rFonts w:cs="Cambria"/>
                        <w:szCs w:val="21"/>
                      </w:rPr>
                    </w:pPr>
                    <w:r>
                      <w:t>中国铁路西安局集团有限公司</w:t>
                    </w:r>
                  </w:p>
                </w:tc>
                <w:sdt>
                  <w:sdtPr>
                    <w:rPr>
                      <w:rFonts w:cs="Cambria"/>
                      <w:szCs w:val="21"/>
                    </w:rPr>
                    <w:alias w:val="本企业的其他关联方情况明细－其他关联方与本公司关系"/>
                    <w:tag w:val="_GBC_58cfdd73098648d8af76645c4007a3fa"/>
                    <w:id w:val="-35579527"/>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4E34F4" w:rsidRDefault="004E34F4" w:rsidP="00DB008B">
                        <w:pPr>
                          <w:rPr>
                            <w:rFonts w:cs="Cambria"/>
                            <w:szCs w:val="21"/>
                          </w:rPr>
                        </w:pPr>
                        <w:r w:rsidRPr="000E7D8B">
                          <w:rPr>
                            <w:rFonts w:cs="Cambria"/>
                            <w:szCs w:val="21"/>
                          </w:rPr>
                          <w:t>最终控股公司之子公司</w:t>
                        </w:r>
                      </w:p>
                    </w:tc>
                  </w:sdtContent>
                </w:sdt>
              </w:tr>
            </w:sdtContent>
          </w:sdt>
          <w:sdt>
            <w:sdtPr>
              <w:rPr>
                <w:rFonts w:cs="Cambria"/>
                <w:szCs w:val="21"/>
              </w:rPr>
              <w:alias w:val="本企业的其他关联方情况明细"/>
              <w:tag w:val="_TUP_a783e3455e3448cbb8198b1265f2df23"/>
              <w:id w:val="-230774540"/>
              <w:lock w:val="sdtLocked"/>
            </w:sdtPr>
            <w:sdtContent>
              <w:tr w:rsidR="004E34F4" w:rsidTr="00DB008B">
                <w:trPr>
                  <w:trHeight w:val="267"/>
                </w:trPr>
                <w:tc>
                  <w:tcPr>
                    <w:tcW w:w="2198" w:type="pct"/>
                    <w:tcBorders>
                      <w:top w:val="single" w:sz="4" w:space="0" w:color="auto"/>
                      <w:left w:val="single" w:sz="4" w:space="0" w:color="auto"/>
                      <w:bottom w:val="single" w:sz="4" w:space="0" w:color="auto"/>
                      <w:right w:val="single" w:sz="4" w:space="0" w:color="auto"/>
                    </w:tcBorders>
                    <w:vAlign w:val="center"/>
                  </w:tcPr>
                  <w:p w:rsidR="004E34F4" w:rsidRDefault="004E34F4" w:rsidP="00DB008B">
                    <w:pPr>
                      <w:rPr>
                        <w:rFonts w:cs="Cambria"/>
                        <w:szCs w:val="21"/>
                      </w:rPr>
                    </w:pPr>
                    <w:r>
                      <w:t>中国铁路上海局集团有限公司</w:t>
                    </w:r>
                  </w:p>
                </w:tc>
                <w:sdt>
                  <w:sdtPr>
                    <w:rPr>
                      <w:rFonts w:cs="Cambria"/>
                      <w:szCs w:val="21"/>
                    </w:rPr>
                    <w:alias w:val="本企业的其他关联方情况明细－其他关联方与本公司关系"/>
                    <w:tag w:val="_GBC_58cfdd73098648d8af76645c4007a3fa"/>
                    <w:id w:val="-260602722"/>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4E34F4" w:rsidRDefault="004E34F4" w:rsidP="00DB008B">
                        <w:pPr>
                          <w:rPr>
                            <w:rFonts w:cs="Cambria"/>
                            <w:szCs w:val="21"/>
                          </w:rPr>
                        </w:pPr>
                        <w:r w:rsidRPr="000E7D8B">
                          <w:rPr>
                            <w:rFonts w:cs="Cambria"/>
                            <w:szCs w:val="21"/>
                          </w:rPr>
                          <w:t>最终控股公司之子公司</w:t>
                        </w:r>
                      </w:p>
                    </w:tc>
                  </w:sdtContent>
                </w:sdt>
              </w:tr>
            </w:sdtContent>
          </w:sdt>
          <w:sdt>
            <w:sdtPr>
              <w:rPr>
                <w:rFonts w:cs="Cambria"/>
                <w:szCs w:val="21"/>
              </w:rPr>
              <w:alias w:val="本企业的其他关联方情况明细"/>
              <w:tag w:val="_TUP_a783e3455e3448cbb8198b1265f2df23"/>
              <w:id w:val="329799283"/>
              <w:lock w:val="sdtLocked"/>
            </w:sdtPr>
            <w:sdtContent>
              <w:tr w:rsidR="004E34F4" w:rsidTr="00DB008B">
                <w:trPr>
                  <w:trHeight w:val="267"/>
                </w:trPr>
                <w:tc>
                  <w:tcPr>
                    <w:tcW w:w="2198" w:type="pct"/>
                    <w:tcBorders>
                      <w:top w:val="single" w:sz="4" w:space="0" w:color="auto"/>
                      <w:left w:val="single" w:sz="4" w:space="0" w:color="auto"/>
                      <w:bottom w:val="single" w:sz="4" w:space="0" w:color="auto"/>
                      <w:right w:val="single" w:sz="4" w:space="0" w:color="auto"/>
                    </w:tcBorders>
                    <w:vAlign w:val="center"/>
                  </w:tcPr>
                  <w:p w:rsidR="004E34F4" w:rsidRDefault="004E34F4" w:rsidP="00DB008B">
                    <w:pPr>
                      <w:rPr>
                        <w:rFonts w:cs="Cambria"/>
                        <w:szCs w:val="21"/>
                      </w:rPr>
                    </w:pPr>
                    <w:r>
                      <w:t>中国铁路兰州局集团有限公司</w:t>
                    </w:r>
                  </w:p>
                </w:tc>
                <w:sdt>
                  <w:sdtPr>
                    <w:rPr>
                      <w:rFonts w:cs="Cambria"/>
                      <w:szCs w:val="21"/>
                    </w:rPr>
                    <w:alias w:val="本企业的其他关联方情况明细－其他关联方与本公司关系"/>
                    <w:tag w:val="_GBC_58cfdd73098648d8af76645c4007a3fa"/>
                    <w:id w:val="-17160764"/>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4E34F4" w:rsidRDefault="004E34F4" w:rsidP="00DB008B">
                        <w:pPr>
                          <w:rPr>
                            <w:rFonts w:cs="Cambria"/>
                            <w:szCs w:val="21"/>
                          </w:rPr>
                        </w:pPr>
                        <w:r w:rsidRPr="000E7D8B">
                          <w:rPr>
                            <w:rFonts w:cs="Cambria"/>
                            <w:szCs w:val="21"/>
                          </w:rPr>
                          <w:t>最终控股公司之子公司</w:t>
                        </w:r>
                      </w:p>
                    </w:tc>
                  </w:sdtContent>
                </w:sdt>
              </w:tr>
            </w:sdtContent>
          </w:sdt>
          <w:sdt>
            <w:sdtPr>
              <w:rPr>
                <w:rFonts w:cs="Cambria"/>
                <w:szCs w:val="21"/>
              </w:rPr>
              <w:alias w:val="本企业的其他关联方情况明细"/>
              <w:tag w:val="_TUP_a783e3455e3448cbb8198b1265f2df23"/>
              <w:id w:val="1223954299"/>
              <w:lock w:val="sdtLocked"/>
            </w:sdtPr>
            <w:sdtContent>
              <w:tr w:rsidR="004E34F4" w:rsidTr="00DB008B">
                <w:trPr>
                  <w:trHeight w:val="267"/>
                </w:trPr>
                <w:tc>
                  <w:tcPr>
                    <w:tcW w:w="2198" w:type="pct"/>
                    <w:tcBorders>
                      <w:top w:val="single" w:sz="4" w:space="0" w:color="auto"/>
                      <w:left w:val="single" w:sz="4" w:space="0" w:color="auto"/>
                      <w:bottom w:val="single" w:sz="4" w:space="0" w:color="auto"/>
                      <w:right w:val="single" w:sz="4" w:space="0" w:color="auto"/>
                    </w:tcBorders>
                    <w:vAlign w:val="center"/>
                  </w:tcPr>
                  <w:p w:rsidR="004E34F4" w:rsidRDefault="004E34F4" w:rsidP="00DB008B">
                    <w:pPr>
                      <w:rPr>
                        <w:rFonts w:cs="Cambria"/>
                        <w:szCs w:val="21"/>
                      </w:rPr>
                    </w:pPr>
                    <w:r>
                      <w:t>中国铁路呼和浩特局集团有限公司</w:t>
                    </w:r>
                  </w:p>
                </w:tc>
                <w:sdt>
                  <w:sdtPr>
                    <w:rPr>
                      <w:rFonts w:cs="Cambria"/>
                      <w:szCs w:val="21"/>
                    </w:rPr>
                    <w:alias w:val="本企业的其他关联方情况明细－其他关联方与本公司关系"/>
                    <w:tag w:val="_GBC_58cfdd73098648d8af76645c4007a3fa"/>
                    <w:id w:val="-559400115"/>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4E34F4" w:rsidRDefault="004E34F4" w:rsidP="00DB008B">
                        <w:pPr>
                          <w:rPr>
                            <w:rFonts w:cs="Cambria"/>
                            <w:szCs w:val="21"/>
                          </w:rPr>
                        </w:pPr>
                        <w:r w:rsidRPr="000E7D8B">
                          <w:rPr>
                            <w:rFonts w:cs="Cambria"/>
                            <w:szCs w:val="21"/>
                          </w:rPr>
                          <w:t>最终控股公司之子公司</w:t>
                        </w:r>
                      </w:p>
                    </w:tc>
                  </w:sdtContent>
                </w:sdt>
              </w:tr>
            </w:sdtContent>
          </w:sdt>
          <w:sdt>
            <w:sdtPr>
              <w:rPr>
                <w:rFonts w:cs="Cambria"/>
                <w:szCs w:val="21"/>
              </w:rPr>
              <w:alias w:val="本企业的其他关联方情况明细"/>
              <w:tag w:val="_TUP_a783e3455e3448cbb8198b1265f2df23"/>
              <w:id w:val="-1215577839"/>
              <w:lock w:val="sdtLocked"/>
            </w:sdtPr>
            <w:sdtContent>
              <w:tr w:rsidR="004E34F4" w:rsidTr="00DB008B">
                <w:trPr>
                  <w:trHeight w:val="267"/>
                </w:trPr>
                <w:tc>
                  <w:tcPr>
                    <w:tcW w:w="2198" w:type="pct"/>
                    <w:tcBorders>
                      <w:top w:val="single" w:sz="4" w:space="0" w:color="auto"/>
                      <w:left w:val="single" w:sz="4" w:space="0" w:color="auto"/>
                      <w:bottom w:val="single" w:sz="4" w:space="0" w:color="auto"/>
                      <w:right w:val="single" w:sz="4" w:space="0" w:color="auto"/>
                    </w:tcBorders>
                    <w:vAlign w:val="center"/>
                  </w:tcPr>
                  <w:p w:rsidR="004E34F4" w:rsidRDefault="004E34F4" w:rsidP="00DB008B">
                    <w:pPr>
                      <w:rPr>
                        <w:rFonts w:cs="Cambria"/>
                        <w:szCs w:val="21"/>
                      </w:rPr>
                    </w:pPr>
                    <w:r>
                      <w:t>中国铁路郑州局集团有限公司</w:t>
                    </w:r>
                  </w:p>
                </w:tc>
                <w:sdt>
                  <w:sdtPr>
                    <w:rPr>
                      <w:rFonts w:cs="Cambria"/>
                      <w:szCs w:val="21"/>
                    </w:rPr>
                    <w:alias w:val="本企业的其他关联方情况明细－其他关联方与本公司关系"/>
                    <w:tag w:val="_GBC_58cfdd73098648d8af76645c4007a3fa"/>
                    <w:id w:val="1064307953"/>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4E34F4" w:rsidRDefault="004E34F4" w:rsidP="00DB008B">
                        <w:pPr>
                          <w:rPr>
                            <w:rFonts w:cs="Cambria"/>
                            <w:szCs w:val="21"/>
                          </w:rPr>
                        </w:pPr>
                        <w:r w:rsidRPr="000E7D8B">
                          <w:rPr>
                            <w:rFonts w:cs="Cambria"/>
                            <w:szCs w:val="21"/>
                          </w:rPr>
                          <w:t>最终控股公司之子公司</w:t>
                        </w:r>
                      </w:p>
                    </w:tc>
                  </w:sdtContent>
                </w:sdt>
              </w:tr>
            </w:sdtContent>
          </w:sdt>
          <w:sdt>
            <w:sdtPr>
              <w:rPr>
                <w:rFonts w:cs="Cambria"/>
                <w:szCs w:val="21"/>
              </w:rPr>
              <w:alias w:val="本企业的其他关联方情况明细"/>
              <w:tag w:val="_TUP_a783e3455e3448cbb8198b1265f2df23"/>
              <w:id w:val="-1864812480"/>
              <w:lock w:val="sdtLocked"/>
            </w:sdtPr>
            <w:sdtContent>
              <w:tr w:rsidR="004E34F4" w:rsidTr="00DB008B">
                <w:trPr>
                  <w:trHeight w:val="267"/>
                </w:trPr>
                <w:tc>
                  <w:tcPr>
                    <w:tcW w:w="2198" w:type="pct"/>
                    <w:tcBorders>
                      <w:top w:val="single" w:sz="4" w:space="0" w:color="auto"/>
                      <w:left w:val="single" w:sz="4" w:space="0" w:color="auto"/>
                      <w:bottom w:val="single" w:sz="4" w:space="0" w:color="auto"/>
                      <w:right w:val="single" w:sz="4" w:space="0" w:color="auto"/>
                    </w:tcBorders>
                    <w:vAlign w:val="center"/>
                  </w:tcPr>
                  <w:p w:rsidR="004E34F4" w:rsidRDefault="004E34F4" w:rsidP="00DB008B">
                    <w:pPr>
                      <w:rPr>
                        <w:rFonts w:cs="Cambria"/>
                        <w:szCs w:val="21"/>
                      </w:rPr>
                    </w:pPr>
                    <w:r>
                      <w:t>中国铁路武汉局集团有限公司</w:t>
                    </w:r>
                  </w:p>
                </w:tc>
                <w:sdt>
                  <w:sdtPr>
                    <w:rPr>
                      <w:rFonts w:cs="Cambria"/>
                      <w:szCs w:val="21"/>
                    </w:rPr>
                    <w:alias w:val="本企业的其他关联方情况明细－其他关联方与本公司关系"/>
                    <w:tag w:val="_GBC_58cfdd73098648d8af76645c4007a3fa"/>
                    <w:id w:val="120112275"/>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4E34F4" w:rsidRDefault="004E34F4" w:rsidP="00DB008B">
                        <w:pPr>
                          <w:rPr>
                            <w:rFonts w:cs="Cambria"/>
                            <w:szCs w:val="21"/>
                          </w:rPr>
                        </w:pPr>
                        <w:r w:rsidRPr="000E7D8B">
                          <w:rPr>
                            <w:rFonts w:cs="Cambria"/>
                            <w:szCs w:val="21"/>
                          </w:rPr>
                          <w:t>最终控股公司之子公司</w:t>
                        </w:r>
                      </w:p>
                    </w:tc>
                  </w:sdtContent>
                </w:sdt>
              </w:tr>
            </w:sdtContent>
          </w:sdt>
          <w:sdt>
            <w:sdtPr>
              <w:rPr>
                <w:rFonts w:cs="Cambria"/>
                <w:szCs w:val="21"/>
              </w:rPr>
              <w:alias w:val="本企业的其他关联方情况明细"/>
              <w:tag w:val="_TUP_a783e3455e3448cbb8198b1265f2df23"/>
              <w:id w:val="785622322"/>
              <w:lock w:val="sdtLocked"/>
            </w:sdtPr>
            <w:sdtContent>
              <w:tr w:rsidR="004E34F4" w:rsidTr="00DB008B">
                <w:trPr>
                  <w:trHeight w:val="267"/>
                </w:trPr>
                <w:tc>
                  <w:tcPr>
                    <w:tcW w:w="2198" w:type="pct"/>
                    <w:tcBorders>
                      <w:top w:val="single" w:sz="4" w:space="0" w:color="auto"/>
                      <w:left w:val="single" w:sz="4" w:space="0" w:color="auto"/>
                      <w:bottom w:val="single" w:sz="4" w:space="0" w:color="auto"/>
                      <w:right w:val="single" w:sz="4" w:space="0" w:color="auto"/>
                    </w:tcBorders>
                    <w:vAlign w:val="center"/>
                  </w:tcPr>
                  <w:p w:rsidR="004E34F4" w:rsidRDefault="004E34F4" w:rsidP="00DB008B">
                    <w:pPr>
                      <w:rPr>
                        <w:rFonts w:cs="Cambria"/>
                        <w:szCs w:val="21"/>
                      </w:rPr>
                    </w:pPr>
                    <w:r>
                      <w:t>中国铁路成都局集团有限公司</w:t>
                    </w:r>
                  </w:p>
                </w:tc>
                <w:sdt>
                  <w:sdtPr>
                    <w:rPr>
                      <w:rFonts w:cs="Cambria"/>
                      <w:szCs w:val="21"/>
                    </w:rPr>
                    <w:alias w:val="本企业的其他关联方情况明细－其他关联方与本公司关系"/>
                    <w:tag w:val="_GBC_58cfdd73098648d8af76645c4007a3fa"/>
                    <w:id w:val="1141777086"/>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4E34F4" w:rsidRDefault="004E34F4" w:rsidP="00DB008B">
                        <w:pPr>
                          <w:rPr>
                            <w:rFonts w:cs="Cambria"/>
                            <w:szCs w:val="21"/>
                          </w:rPr>
                        </w:pPr>
                        <w:r w:rsidRPr="000E7D8B">
                          <w:rPr>
                            <w:rFonts w:cs="Cambria"/>
                            <w:szCs w:val="21"/>
                          </w:rPr>
                          <w:t>最终控股公司之子公司</w:t>
                        </w:r>
                      </w:p>
                    </w:tc>
                  </w:sdtContent>
                </w:sdt>
              </w:tr>
            </w:sdtContent>
          </w:sdt>
          <w:sdt>
            <w:sdtPr>
              <w:rPr>
                <w:rFonts w:cs="Cambria"/>
                <w:szCs w:val="21"/>
              </w:rPr>
              <w:alias w:val="本企业的其他关联方情况明细"/>
              <w:tag w:val="_TUP_a783e3455e3448cbb8198b1265f2df23"/>
              <w:id w:val="-1411692309"/>
              <w:lock w:val="sdtLocked"/>
            </w:sdtPr>
            <w:sdtContent>
              <w:tr w:rsidR="004E34F4" w:rsidTr="00DB008B">
                <w:trPr>
                  <w:trHeight w:val="267"/>
                </w:trPr>
                <w:tc>
                  <w:tcPr>
                    <w:tcW w:w="2198" w:type="pct"/>
                    <w:tcBorders>
                      <w:top w:val="single" w:sz="4" w:space="0" w:color="auto"/>
                      <w:left w:val="single" w:sz="4" w:space="0" w:color="auto"/>
                      <w:bottom w:val="single" w:sz="4" w:space="0" w:color="auto"/>
                      <w:right w:val="single" w:sz="4" w:space="0" w:color="auto"/>
                    </w:tcBorders>
                    <w:vAlign w:val="center"/>
                  </w:tcPr>
                  <w:p w:rsidR="004E34F4" w:rsidRDefault="004E34F4" w:rsidP="00DB008B">
                    <w:pPr>
                      <w:rPr>
                        <w:rFonts w:cs="Cambria"/>
                        <w:szCs w:val="21"/>
                      </w:rPr>
                    </w:pPr>
                    <w:r>
                      <w:t>中国铁路哈尔滨局集团有限公司</w:t>
                    </w:r>
                  </w:p>
                </w:tc>
                <w:sdt>
                  <w:sdtPr>
                    <w:rPr>
                      <w:rFonts w:cs="Cambria"/>
                      <w:szCs w:val="21"/>
                    </w:rPr>
                    <w:alias w:val="本企业的其他关联方情况明细－其他关联方与本公司关系"/>
                    <w:tag w:val="_GBC_58cfdd73098648d8af76645c4007a3fa"/>
                    <w:id w:val="-585767419"/>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4E34F4" w:rsidRDefault="004E34F4" w:rsidP="00DB008B">
                        <w:pPr>
                          <w:rPr>
                            <w:rFonts w:cs="Cambria"/>
                            <w:szCs w:val="21"/>
                          </w:rPr>
                        </w:pPr>
                        <w:r w:rsidRPr="000E7D8B">
                          <w:rPr>
                            <w:rFonts w:cs="Cambria"/>
                            <w:szCs w:val="21"/>
                          </w:rPr>
                          <w:t>最终控股公司之子公司</w:t>
                        </w:r>
                      </w:p>
                    </w:tc>
                  </w:sdtContent>
                </w:sdt>
              </w:tr>
            </w:sdtContent>
          </w:sdt>
          <w:sdt>
            <w:sdtPr>
              <w:rPr>
                <w:rFonts w:cs="Cambria"/>
                <w:szCs w:val="21"/>
              </w:rPr>
              <w:alias w:val="本企业的其他关联方情况明细"/>
              <w:tag w:val="_TUP_a783e3455e3448cbb8198b1265f2df23"/>
              <w:id w:val="940193448"/>
              <w:lock w:val="sdtLocked"/>
            </w:sdtPr>
            <w:sdtContent>
              <w:tr w:rsidR="004E34F4" w:rsidTr="00DB008B">
                <w:trPr>
                  <w:trHeight w:val="267"/>
                </w:trPr>
                <w:tc>
                  <w:tcPr>
                    <w:tcW w:w="2198" w:type="pct"/>
                    <w:tcBorders>
                      <w:top w:val="single" w:sz="4" w:space="0" w:color="auto"/>
                      <w:left w:val="single" w:sz="4" w:space="0" w:color="auto"/>
                      <w:bottom w:val="single" w:sz="4" w:space="0" w:color="auto"/>
                      <w:right w:val="single" w:sz="4" w:space="0" w:color="auto"/>
                    </w:tcBorders>
                    <w:vAlign w:val="center"/>
                  </w:tcPr>
                  <w:p w:rsidR="004E34F4" w:rsidRDefault="004E34F4" w:rsidP="00DB008B">
                    <w:pPr>
                      <w:rPr>
                        <w:rFonts w:cs="Cambria"/>
                        <w:szCs w:val="21"/>
                      </w:rPr>
                    </w:pPr>
                    <w:r>
                      <w:t>中铁快运股份有限公司</w:t>
                    </w:r>
                  </w:p>
                </w:tc>
                <w:sdt>
                  <w:sdtPr>
                    <w:rPr>
                      <w:rFonts w:cs="Cambria"/>
                      <w:szCs w:val="21"/>
                    </w:rPr>
                    <w:alias w:val="本企业的其他关联方情况明细－其他关联方与本公司关系"/>
                    <w:tag w:val="_GBC_58cfdd73098648d8af76645c4007a3fa"/>
                    <w:id w:val="-1073655909"/>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4E34F4" w:rsidRDefault="004E34F4" w:rsidP="00DB008B">
                        <w:pPr>
                          <w:rPr>
                            <w:rFonts w:cs="Cambria"/>
                            <w:szCs w:val="21"/>
                          </w:rPr>
                        </w:pPr>
                        <w:r w:rsidRPr="000E7D8B">
                          <w:rPr>
                            <w:rFonts w:cs="Cambria"/>
                            <w:szCs w:val="21"/>
                          </w:rPr>
                          <w:t>最终控股公司之子公司</w:t>
                        </w:r>
                      </w:p>
                    </w:tc>
                  </w:sdtContent>
                </w:sdt>
              </w:tr>
            </w:sdtContent>
          </w:sdt>
          <w:sdt>
            <w:sdtPr>
              <w:rPr>
                <w:rFonts w:cs="Cambria"/>
                <w:szCs w:val="21"/>
              </w:rPr>
              <w:alias w:val="本企业的其他关联方情况明细"/>
              <w:tag w:val="_TUP_a783e3455e3448cbb8198b1265f2df23"/>
              <w:id w:val="388311659"/>
              <w:lock w:val="sdtLocked"/>
            </w:sdtPr>
            <w:sdtContent>
              <w:tr w:rsidR="004E34F4" w:rsidTr="00DB008B">
                <w:trPr>
                  <w:trHeight w:val="267"/>
                </w:trPr>
                <w:tc>
                  <w:tcPr>
                    <w:tcW w:w="2198" w:type="pct"/>
                    <w:tcBorders>
                      <w:top w:val="single" w:sz="4" w:space="0" w:color="auto"/>
                      <w:left w:val="single" w:sz="4" w:space="0" w:color="auto"/>
                      <w:bottom w:val="single" w:sz="4" w:space="0" w:color="auto"/>
                      <w:right w:val="single" w:sz="4" w:space="0" w:color="auto"/>
                    </w:tcBorders>
                    <w:vAlign w:val="center"/>
                  </w:tcPr>
                  <w:p w:rsidR="004E34F4" w:rsidRDefault="004E34F4" w:rsidP="00DB008B">
                    <w:pPr>
                      <w:rPr>
                        <w:rFonts w:cs="Cambria"/>
                        <w:szCs w:val="21"/>
                      </w:rPr>
                    </w:pPr>
                    <w:r>
                      <w:t>广深铁路股份有限公司</w:t>
                    </w:r>
                  </w:p>
                </w:tc>
                <w:sdt>
                  <w:sdtPr>
                    <w:rPr>
                      <w:rFonts w:cs="Cambria"/>
                      <w:szCs w:val="21"/>
                    </w:rPr>
                    <w:alias w:val="本企业的其他关联方情况明细－其他关联方与本公司关系"/>
                    <w:tag w:val="_GBC_58cfdd73098648d8af76645c4007a3fa"/>
                    <w:id w:val="761259721"/>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4E34F4" w:rsidRDefault="004E34F4" w:rsidP="00DB008B">
                        <w:pPr>
                          <w:rPr>
                            <w:rFonts w:cs="Cambria"/>
                            <w:szCs w:val="21"/>
                          </w:rPr>
                        </w:pPr>
                        <w:r w:rsidRPr="000E7D8B">
                          <w:rPr>
                            <w:rFonts w:cs="Cambria"/>
                            <w:szCs w:val="21"/>
                          </w:rPr>
                          <w:t>最终控股公司之子公司</w:t>
                        </w:r>
                      </w:p>
                    </w:tc>
                  </w:sdtContent>
                </w:sdt>
              </w:tr>
            </w:sdtContent>
          </w:sdt>
          <w:sdt>
            <w:sdtPr>
              <w:rPr>
                <w:rFonts w:cs="Cambria"/>
                <w:szCs w:val="21"/>
              </w:rPr>
              <w:alias w:val="本企业的其他关联方情况明细"/>
              <w:tag w:val="_TUP_a783e3455e3448cbb8198b1265f2df23"/>
              <w:id w:val="1949809359"/>
              <w:lock w:val="sdtLocked"/>
            </w:sdtPr>
            <w:sdtContent>
              <w:tr w:rsidR="004E34F4" w:rsidTr="00DB008B">
                <w:trPr>
                  <w:trHeight w:val="267"/>
                </w:trPr>
                <w:tc>
                  <w:tcPr>
                    <w:tcW w:w="2198" w:type="pct"/>
                    <w:tcBorders>
                      <w:top w:val="single" w:sz="4" w:space="0" w:color="auto"/>
                      <w:left w:val="single" w:sz="4" w:space="0" w:color="auto"/>
                      <w:bottom w:val="single" w:sz="4" w:space="0" w:color="auto"/>
                      <w:right w:val="single" w:sz="4" w:space="0" w:color="auto"/>
                    </w:tcBorders>
                    <w:vAlign w:val="center"/>
                  </w:tcPr>
                  <w:p w:rsidR="004E34F4" w:rsidRDefault="004E34F4" w:rsidP="00DB008B">
                    <w:pPr>
                      <w:rPr>
                        <w:rFonts w:cs="Cambria"/>
                        <w:szCs w:val="21"/>
                      </w:rPr>
                    </w:pPr>
                    <w:r>
                      <w:t>石太铁路客运专线有限责任公司</w:t>
                    </w:r>
                  </w:p>
                </w:tc>
                <w:sdt>
                  <w:sdtPr>
                    <w:rPr>
                      <w:rFonts w:cs="Cambria"/>
                      <w:szCs w:val="21"/>
                    </w:rPr>
                    <w:alias w:val="本企业的其他关联方情况明细－其他关联方与本公司关系"/>
                    <w:tag w:val="_GBC_58cfdd73098648d8af76645c4007a3fa"/>
                    <w:id w:val="-1779935545"/>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4E34F4" w:rsidRDefault="004E34F4" w:rsidP="00DB008B">
                        <w:pPr>
                          <w:rPr>
                            <w:rFonts w:cs="Cambria"/>
                            <w:szCs w:val="21"/>
                          </w:rPr>
                        </w:pPr>
                        <w:r w:rsidRPr="000E7D8B">
                          <w:rPr>
                            <w:rFonts w:cs="Cambria"/>
                            <w:szCs w:val="21"/>
                          </w:rPr>
                          <w:t>最终控股公司之子公司</w:t>
                        </w:r>
                      </w:p>
                    </w:tc>
                  </w:sdtContent>
                </w:sdt>
              </w:tr>
            </w:sdtContent>
          </w:sdt>
          <w:sdt>
            <w:sdtPr>
              <w:rPr>
                <w:rFonts w:cs="Cambria"/>
                <w:szCs w:val="21"/>
              </w:rPr>
              <w:alias w:val="本企业的其他关联方情况明细"/>
              <w:tag w:val="_TUP_a783e3455e3448cbb8198b1265f2df23"/>
              <w:id w:val="-2086978961"/>
              <w:lock w:val="sdtLocked"/>
            </w:sdtPr>
            <w:sdtContent>
              <w:tr w:rsidR="004E34F4" w:rsidTr="00DB008B">
                <w:trPr>
                  <w:trHeight w:val="267"/>
                </w:trPr>
                <w:tc>
                  <w:tcPr>
                    <w:tcW w:w="2198" w:type="pct"/>
                    <w:tcBorders>
                      <w:top w:val="single" w:sz="4" w:space="0" w:color="auto"/>
                      <w:left w:val="single" w:sz="4" w:space="0" w:color="auto"/>
                      <w:bottom w:val="single" w:sz="4" w:space="0" w:color="auto"/>
                      <w:right w:val="single" w:sz="4" w:space="0" w:color="auto"/>
                    </w:tcBorders>
                    <w:vAlign w:val="center"/>
                  </w:tcPr>
                  <w:p w:rsidR="004E34F4" w:rsidRDefault="004E34F4" w:rsidP="00DB008B">
                    <w:pPr>
                      <w:rPr>
                        <w:rFonts w:cs="Cambria"/>
                        <w:szCs w:val="21"/>
                      </w:rPr>
                    </w:pPr>
                    <w:r>
                      <w:t>太中银铁路有限责任公司</w:t>
                    </w:r>
                  </w:p>
                </w:tc>
                <w:sdt>
                  <w:sdtPr>
                    <w:rPr>
                      <w:rFonts w:cs="Cambria"/>
                      <w:szCs w:val="21"/>
                    </w:rPr>
                    <w:alias w:val="本企业的其他关联方情况明细－其他关联方与本公司关系"/>
                    <w:tag w:val="_GBC_58cfdd73098648d8af76645c4007a3fa"/>
                    <w:id w:val="107171714"/>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4E34F4" w:rsidRDefault="004E34F4" w:rsidP="00DB008B">
                        <w:pPr>
                          <w:rPr>
                            <w:rFonts w:cs="Cambria"/>
                            <w:szCs w:val="21"/>
                          </w:rPr>
                        </w:pPr>
                        <w:r w:rsidRPr="000E7D8B">
                          <w:rPr>
                            <w:rFonts w:cs="Cambria"/>
                            <w:szCs w:val="21"/>
                          </w:rPr>
                          <w:t>最终控股公司之子公司</w:t>
                        </w:r>
                      </w:p>
                    </w:tc>
                  </w:sdtContent>
                </w:sdt>
              </w:tr>
            </w:sdtContent>
          </w:sdt>
          <w:sdt>
            <w:sdtPr>
              <w:rPr>
                <w:rFonts w:cs="Cambria"/>
                <w:szCs w:val="21"/>
              </w:rPr>
              <w:alias w:val="本企业的其他关联方情况明细"/>
              <w:tag w:val="_TUP_a783e3455e3448cbb8198b1265f2df23"/>
              <w:id w:val="-1976908317"/>
              <w:lock w:val="sdtLocked"/>
            </w:sdtPr>
            <w:sdtContent>
              <w:tr w:rsidR="004E34F4" w:rsidTr="00DB008B">
                <w:trPr>
                  <w:trHeight w:val="267"/>
                </w:trPr>
                <w:tc>
                  <w:tcPr>
                    <w:tcW w:w="2198" w:type="pct"/>
                    <w:tcBorders>
                      <w:top w:val="single" w:sz="4" w:space="0" w:color="auto"/>
                      <w:left w:val="single" w:sz="4" w:space="0" w:color="auto"/>
                      <w:bottom w:val="single" w:sz="4" w:space="0" w:color="auto"/>
                      <w:right w:val="single" w:sz="4" w:space="0" w:color="auto"/>
                    </w:tcBorders>
                    <w:vAlign w:val="center"/>
                  </w:tcPr>
                  <w:p w:rsidR="004E34F4" w:rsidRDefault="004E34F4" w:rsidP="00DB008B">
                    <w:pPr>
                      <w:rPr>
                        <w:rFonts w:cs="Cambria"/>
                        <w:szCs w:val="21"/>
                      </w:rPr>
                    </w:pPr>
                    <w:r>
                      <w:t>中国铁路财务有限责任公司</w:t>
                    </w:r>
                  </w:p>
                </w:tc>
                <w:sdt>
                  <w:sdtPr>
                    <w:rPr>
                      <w:rFonts w:cs="Cambria"/>
                      <w:szCs w:val="21"/>
                    </w:rPr>
                    <w:alias w:val="本企业的其他关联方情况明细－其他关联方与本公司关系"/>
                    <w:tag w:val="_GBC_58cfdd73098648d8af76645c4007a3fa"/>
                    <w:id w:val="162822402"/>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4E34F4" w:rsidRDefault="004E34F4" w:rsidP="00DB008B">
                        <w:pPr>
                          <w:rPr>
                            <w:rFonts w:cs="Cambria"/>
                            <w:szCs w:val="21"/>
                          </w:rPr>
                        </w:pPr>
                        <w:r w:rsidRPr="000E7D8B">
                          <w:rPr>
                            <w:rFonts w:cs="Cambria"/>
                            <w:szCs w:val="21"/>
                          </w:rPr>
                          <w:t>最终控股公司之子公司</w:t>
                        </w:r>
                      </w:p>
                    </w:tc>
                  </w:sdtContent>
                </w:sdt>
              </w:tr>
            </w:sdtContent>
          </w:sdt>
          <w:sdt>
            <w:sdtPr>
              <w:rPr>
                <w:rFonts w:cs="Cambria"/>
                <w:szCs w:val="21"/>
              </w:rPr>
              <w:alias w:val="本企业的其他关联方情况明细"/>
              <w:tag w:val="_TUP_a783e3455e3448cbb8198b1265f2df23"/>
              <w:id w:val="1167984222"/>
              <w:lock w:val="sdtLocked"/>
            </w:sdtPr>
            <w:sdtContent>
              <w:tr w:rsidR="004E34F4" w:rsidTr="00DB008B">
                <w:trPr>
                  <w:trHeight w:val="267"/>
                </w:trPr>
                <w:tc>
                  <w:tcPr>
                    <w:tcW w:w="2198" w:type="pct"/>
                    <w:tcBorders>
                      <w:top w:val="single" w:sz="4" w:space="0" w:color="auto"/>
                      <w:left w:val="single" w:sz="4" w:space="0" w:color="auto"/>
                      <w:bottom w:val="single" w:sz="4" w:space="0" w:color="auto"/>
                      <w:right w:val="single" w:sz="4" w:space="0" w:color="auto"/>
                    </w:tcBorders>
                    <w:vAlign w:val="center"/>
                  </w:tcPr>
                  <w:p w:rsidR="004E34F4" w:rsidRDefault="004E34F4" w:rsidP="00DB008B">
                    <w:pPr>
                      <w:rPr>
                        <w:rFonts w:cs="Cambria"/>
                        <w:szCs w:val="21"/>
                      </w:rPr>
                    </w:pPr>
                    <w:r>
                      <w:t>太焦城际铁路山西有限责任公司</w:t>
                    </w:r>
                  </w:p>
                </w:tc>
                <w:sdt>
                  <w:sdtPr>
                    <w:rPr>
                      <w:rFonts w:cs="Cambria"/>
                      <w:szCs w:val="21"/>
                    </w:rPr>
                    <w:alias w:val="本企业的其他关联方情况明细－其他关联方与本公司关系"/>
                    <w:tag w:val="_GBC_58cfdd73098648d8af76645c4007a3fa"/>
                    <w:id w:val="-332465484"/>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4E34F4" w:rsidRDefault="004E34F4" w:rsidP="00DB008B">
                        <w:pPr>
                          <w:rPr>
                            <w:rFonts w:cs="Cambria"/>
                            <w:szCs w:val="21"/>
                          </w:rPr>
                        </w:pPr>
                        <w:r w:rsidRPr="000E7D8B">
                          <w:rPr>
                            <w:rFonts w:cs="Cambria"/>
                            <w:szCs w:val="21"/>
                          </w:rPr>
                          <w:t>最终控股公司的联营企业</w:t>
                        </w:r>
                      </w:p>
                    </w:tc>
                  </w:sdtContent>
                </w:sdt>
              </w:tr>
            </w:sdtContent>
          </w:sdt>
          <w:sdt>
            <w:sdtPr>
              <w:rPr>
                <w:rFonts w:cs="Cambria"/>
                <w:szCs w:val="21"/>
              </w:rPr>
              <w:alias w:val="本企业的其他关联方情况明细"/>
              <w:tag w:val="_TUP_a783e3455e3448cbb8198b1265f2df23"/>
              <w:id w:val="-57479629"/>
              <w:lock w:val="sdtLocked"/>
            </w:sdtPr>
            <w:sdtContent>
              <w:tr w:rsidR="004E34F4" w:rsidTr="00DB008B">
                <w:trPr>
                  <w:trHeight w:val="267"/>
                </w:trPr>
                <w:tc>
                  <w:tcPr>
                    <w:tcW w:w="2198" w:type="pct"/>
                    <w:tcBorders>
                      <w:top w:val="single" w:sz="4" w:space="0" w:color="auto"/>
                      <w:left w:val="single" w:sz="4" w:space="0" w:color="auto"/>
                      <w:bottom w:val="single" w:sz="4" w:space="0" w:color="auto"/>
                      <w:right w:val="single" w:sz="4" w:space="0" w:color="auto"/>
                    </w:tcBorders>
                    <w:vAlign w:val="center"/>
                  </w:tcPr>
                  <w:p w:rsidR="004E34F4" w:rsidRDefault="004E34F4" w:rsidP="00DB008B">
                    <w:pPr>
                      <w:rPr>
                        <w:rFonts w:cs="Cambria"/>
                        <w:szCs w:val="21"/>
                      </w:rPr>
                    </w:pPr>
                    <w:r>
                      <w:t>大同地方铁路有限责任公司</w:t>
                    </w:r>
                  </w:p>
                </w:tc>
                <w:sdt>
                  <w:sdtPr>
                    <w:rPr>
                      <w:rFonts w:cs="Cambria"/>
                      <w:szCs w:val="21"/>
                    </w:rPr>
                    <w:alias w:val="本企业的其他关联方情况明细－其他关联方与本公司关系"/>
                    <w:tag w:val="_GBC_58cfdd73098648d8af76645c4007a3fa"/>
                    <w:id w:val="2092275721"/>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4E34F4" w:rsidRDefault="004E34F4" w:rsidP="00DB008B">
                        <w:pPr>
                          <w:rPr>
                            <w:rFonts w:cs="Cambria"/>
                            <w:szCs w:val="21"/>
                          </w:rPr>
                        </w:pPr>
                        <w:r w:rsidRPr="000E7D8B">
                          <w:rPr>
                            <w:rFonts w:cs="Cambria"/>
                            <w:szCs w:val="21"/>
                          </w:rPr>
                          <w:t>母公司的合营企业</w:t>
                        </w:r>
                      </w:p>
                    </w:tc>
                  </w:sdtContent>
                </w:sdt>
              </w:tr>
            </w:sdtContent>
          </w:sdt>
        </w:tbl>
        <w:p w:rsidR="00C01624" w:rsidRDefault="00C01624">
          <w:pPr>
            <w:tabs>
              <w:tab w:val="left" w:pos="1134"/>
            </w:tabs>
            <w:rPr>
              <w:rFonts w:cs="Cambria"/>
              <w:szCs w:val="21"/>
            </w:rPr>
          </w:pPr>
        </w:p>
        <w:p w:rsidR="00806678" w:rsidRDefault="00B16377">
          <w:pPr>
            <w:tabs>
              <w:tab w:val="left" w:pos="1134"/>
            </w:tabs>
            <w:rPr>
              <w:rFonts w:cs="Cambria"/>
              <w:szCs w:val="21"/>
            </w:rPr>
          </w:pPr>
          <w:r>
            <w:rPr>
              <w:rFonts w:cs="Cambria" w:hint="eastAsia"/>
              <w:szCs w:val="21"/>
            </w:rPr>
            <w:t>其他说明</w:t>
          </w:r>
        </w:p>
        <w:sdt>
          <w:sdtPr>
            <w:rPr>
              <w:rFonts w:cs="Cambria"/>
              <w:szCs w:val="21"/>
            </w:rPr>
            <w:alias w:val="本企业的其他关联方情况的说明"/>
            <w:tag w:val="_GBC_117952daaba845fa964eb3e2e22e8fc5"/>
            <w:id w:val="47661102"/>
            <w:lock w:val="sdtLocked"/>
            <w:placeholder>
              <w:docPart w:val="GBC22222222222222222222222222222"/>
            </w:placeholder>
          </w:sdtPr>
          <w:sdtContent>
            <w:p w:rsidR="00806678" w:rsidRDefault="004E34F4">
              <w:pPr>
                <w:tabs>
                  <w:tab w:val="left" w:pos="1134"/>
                </w:tabs>
                <w:rPr>
                  <w:rFonts w:cs="Cambria"/>
                  <w:szCs w:val="21"/>
                </w:rPr>
              </w:pPr>
              <w:r w:rsidRPr="004E34F4">
                <w:rPr>
                  <w:rFonts w:cs="Cambria" w:hint="eastAsia"/>
                  <w:szCs w:val="21"/>
                </w:rPr>
                <w:t>上述所列关联方为本集团本期发生交易的主要关联方。</w:t>
              </w:r>
            </w:p>
          </w:sdtContent>
        </w:sdt>
        <w:p w:rsidR="00806678" w:rsidRDefault="00F80B6C">
          <w:pPr>
            <w:tabs>
              <w:tab w:val="left" w:pos="1134"/>
            </w:tabs>
            <w:rPr>
              <w:rFonts w:cs="Cambria"/>
              <w:b/>
              <w:szCs w:val="21"/>
            </w:rPr>
          </w:pPr>
        </w:p>
      </w:sdtContent>
    </w:sdt>
    <w:p w:rsidR="00806678" w:rsidRDefault="00B16377" w:rsidP="00FF17C7">
      <w:pPr>
        <w:pStyle w:val="3"/>
        <w:numPr>
          <w:ilvl w:val="0"/>
          <w:numId w:val="54"/>
        </w:numPr>
      </w:pPr>
      <w:r>
        <w:rPr>
          <w:rFonts w:hint="eastAsia"/>
        </w:rPr>
        <w:t>关联交易情况</w:t>
      </w:r>
    </w:p>
    <w:p w:rsidR="004E34F4" w:rsidRPr="004E34F4" w:rsidRDefault="004E34F4" w:rsidP="004E34F4"/>
    <w:p w:rsidR="004E34F4" w:rsidRDefault="004E34F4" w:rsidP="004E34F4">
      <w:r w:rsidRPr="004E34F4">
        <w:rPr>
          <w:rFonts w:hint="eastAsia"/>
        </w:rPr>
        <w:t>本集团与国铁集团下属各铁路局及其他铁路运输企业之间发生的收入</w:t>
      </w:r>
      <w:r w:rsidRPr="004E34F4">
        <w:t xml:space="preserve"> (包括跨局机车牵引费收入、线路使用费收入等) 和支出 (接触网使用费支出、客货运服务费支出等) 由国铁集团进行统一定价、统一清算，并以净额结算。其他服务收入、购买商品、接受其他服务支付的成本费用及资产转让等关联交易定价参考与市场独立第三方的非关联交易价格，并以协议方式协商确定。</w:t>
      </w:r>
    </w:p>
    <w:p w:rsidR="004E34F4" w:rsidRPr="004E34F4" w:rsidRDefault="004E34F4" w:rsidP="004E34F4"/>
    <w:p w:rsidR="00806678" w:rsidRDefault="00B16377" w:rsidP="00FF17C7">
      <w:pPr>
        <w:pStyle w:val="4"/>
        <w:numPr>
          <w:ilvl w:val="3"/>
          <w:numId w:val="105"/>
        </w:numPr>
        <w:ind w:left="424" w:hangingChars="201" w:hanging="424"/>
      </w:pPr>
      <w:r>
        <w:rPr>
          <w:rFonts w:hint="eastAsia"/>
        </w:rPr>
        <w:t>购销商品、提供和接受劳务的关联交易</w:t>
      </w:r>
    </w:p>
    <w:sdt>
      <w:sdtPr>
        <w:rPr>
          <w:rFonts w:hint="eastAsia"/>
        </w:rPr>
        <w:alias w:val="模块:采购商品/接受劳务情况表"/>
        <w:tag w:val="_SEC_b6443abb06dd41c7944d441c27c48f7d"/>
        <w:id w:val="-2085758075"/>
        <w:lock w:val="sdtLocked"/>
        <w:placeholder>
          <w:docPart w:val="GBC22222222222222222222222222222"/>
        </w:placeholder>
      </w:sdtPr>
      <w:sdtEndPr>
        <w:rPr>
          <w:rFonts w:hint="default"/>
        </w:rPr>
      </w:sdtEndPr>
      <w:sdtContent>
        <w:p w:rsidR="00806678" w:rsidRDefault="00B16377">
          <w:r>
            <w:rPr>
              <w:rFonts w:hint="eastAsia"/>
            </w:rPr>
            <w:t>采购商品/接受劳务情况表</w:t>
          </w:r>
        </w:p>
        <w:sdt>
          <w:sdtPr>
            <w:alias w:val="是否适用：采购商品或接受劳务情况表[双击切换]"/>
            <w:tag w:val="_GBC_c080653feddc4cf2a468adfbb755dff3"/>
            <w:id w:val="1091662124"/>
            <w:lock w:val="sdtLocked"/>
            <w:placeholder>
              <w:docPart w:val="GBC22222222222222222222222222222"/>
            </w:placeholder>
          </w:sdtPr>
          <w:sdtContent>
            <w:p w:rsidR="00806678" w:rsidRDefault="00F80B6C">
              <w:r>
                <w:fldChar w:fldCharType="begin"/>
              </w:r>
              <w:r w:rsidR="004E34F4">
                <w:instrText xml:space="preserve">MACROBUTTON  SnrToggleCheckbox √适用 </w:instrText>
              </w:r>
              <w:r>
                <w:fldChar w:fldCharType="end"/>
              </w:r>
              <w:r>
                <w:fldChar w:fldCharType="begin"/>
              </w:r>
              <w:r w:rsidR="004E34F4">
                <w:instrText xml:space="preserve"> MACROBUTTON  SnrToggleCheckbox □不适用 </w:instrText>
              </w:r>
              <w:r>
                <w:fldChar w:fldCharType="end"/>
              </w:r>
            </w:p>
          </w:sdtContent>
        </w:sdt>
        <w:p w:rsidR="00806678" w:rsidRDefault="00B16377">
          <w:pPr>
            <w:jc w:val="right"/>
            <w:rPr>
              <w:rFonts w:cs="Cambria"/>
              <w:b/>
              <w:bCs/>
              <w:szCs w:val="21"/>
            </w:rPr>
          </w:pPr>
          <w:r>
            <w:rPr>
              <w:rFonts w:cs="Cambria" w:hint="eastAsia"/>
              <w:szCs w:val="21"/>
            </w:rPr>
            <w:t>单位：</w:t>
          </w:r>
          <w:sdt>
            <w:sdtPr>
              <w:rPr>
                <w:rFonts w:cs="Cambria" w:hint="eastAsia"/>
                <w:szCs w:val="21"/>
              </w:rPr>
              <w:alias w:val="单位：采购商品接受劳务情况表"/>
              <w:tag w:val="_GBC_60c7e55aaf24447a8a860810d4064a69"/>
              <w:id w:val="205611521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cs="Cambria" w:hint="eastAsia"/>
                  <w:szCs w:val="21"/>
                </w:rPr>
                <w:t>元</w:t>
              </w:r>
            </w:sdtContent>
          </w:sdt>
          <w:r>
            <w:rPr>
              <w:rFonts w:cs="Cambria" w:hint="eastAsia"/>
              <w:szCs w:val="21"/>
            </w:rPr>
            <w:t xml:space="preserve">  币种：</w:t>
          </w:r>
          <w:sdt>
            <w:sdtPr>
              <w:rPr>
                <w:rFonts w:cs="Cambria" w:hint="eastAsia"/>
                <w:szCs w:val="21"/>
              </w:rPr>
              <w:alias w:val="币种：采购商品接受劳务情况表"/>
              <w:tag w:val="_GBC_18feeecfa5c34459a62da7de5d6b5a90"/>
              <w:id w:val="75663936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cs="Cambria"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052"/>
            <w:gridCol w:w="1709"/>
            <w:gridCol w:w="2189"/>
            <w:gridCol w:w="2099"/>
          </w:tblGrid>
          <w:tr w:rsidR="004E34F4" w:rsidTr="00DB008B">
            <w:trPr>
              <w:cantSplit/>
              <w:trHeight w:val="295"/>
            </w:trPr>
            <w:sdt>
              <w:sdtPr>
                <w:rPr>
                  <w:rFonts w:asciiTheme="majorEastAsia" w:eastAsiaTheme="majorEastAsia" w:hAnsiTheme="majorEastAsia"/>
                </w:rPr>
                <w:tag w:val="_PLD_ed4fd195f176464f83eb8db1dbcbc443"/>
                <w:id w:val="-403370343"/>
                <w:lock w:val="sdtLocked"/>
              </w:sdtPr>
              <w:sdtContent>
                <w:tc>
                  <w:tcPr>
                    <w:tcW w:w="1684" w:type="pct"/>
                    <w:tcBorders>
                      <w:top w:val="single" w:sz="4" w:space="0" w:color="auto"/>
                      <w:left w:val="single" w:sz="4" w:space="0" w:color="auto"/>
                      <w:bottom w:val="single" w:sz="4" w:space="0" w:color="auto"/>
                      <w:right w:val="single" w:sz="4" w:space="0" w:color="auto"/>
                    </w:tcBorders>
                    <w:shd w:val="clear" w:color="auto" w:fill="auto"/>
                    <w:vAlign w:val="center"/>
                  </w:tcPr>
                  <w:p w:rsidR="004E34F4" w:rsidRPr="004E34F4" w:rsidRDefault="004E34F4" w:rsidP="00DB008B">
                    <w:pPr>
                      <w:jc w:val="center"/>
                      <w:rPr>
                        <w:rFonts w:asciiTheme="majorEastAsia" w:eastAsiaTheme="majorEastAsia" w:hAnsiTheme="majorEastAsia" w:cs="Cambria"/>
                        <w:szCs w:val="21"/>
                      </w:rPr>
                    </w:pPr>
                    <w:r w:rsidRPr="004E34F4">
                      <w:rPr>
                        <w:rFonts w:asciiTheme="majorEastAsia" w:eastAsiaTheme="majorEastAsia" w:hAnsiTheme="majorEastAsia" w:cs="Cambria" w:hint="eastAsia"/>
                        <w:szCs w:val="21"/>
                      </w:rPr>
                      <w:t>关联方</w:t>
                    </w:r>
                  </w:p>
                </w:tc>
              </w:sdtContent>
            </w:sdt>
            <w:sdt>
              <w:sdtPr>
                <w:rPr>
                  <w:rFonts w:asciiTheme="majorEastAsia" w:eastAsiaTheme="majorEastAsia" w:hAnsiTheme="majorEastAsia"/>
                </w:rPr>
                <w:tag w:val="_PLD_013e7578c973447da6bccdb1a3924d96"/>
                <w:id w:val="1016045191"/>
                <w:lock w:val="sdtLocked"/>
              </w:sdtPr>
              <w:sdtContent>
                <w:tc>
                  <w:tcPr>
                    <w:tcW w:w="943" w:type="pct"/>
                    <w:tcBorders>
                      <w:top w:val="single" w:sz="4" w:space="0" w:color="auto"/>
                      <w:left w:val="single" w:sz="4" w:space="0" w:color="auto"/>
                      <w:bottom w:val="single" w:sz="4" w:space="0" w:color="auto"/>
                      <w:right w:val="single" w:sz="4" w:space="0" w:color="auto"/>
                    </w:tcBorders>
                    <w:shd w:val="clear" w:color="auto" w:fill="auto"/>
                    <w:vAlign w:val="center"/>
                  </w:tcPr>
                  <w:p w:rsidR="004E34F4" w:rsidRPr="004E34F4" w:rsidRDefault="004E34F4" w:rsidP="00DB008B">
                    <w:pPr>
                      <w:jc w:val="center"/>
                      <w:rPr>
                        <w:rFonts w:asciiTheme="majorEastAsia" w:eastAsiaTheme="majorEastAsia" w:hAnsiTheme="majorEastAsia" w:cs="Cambria"/>
                        <w:szCs w:val="21"/>
                      </w:rPr>
                    </w:pPr>
                    <w:r w:rsidRPr="004E34F4">
                      <w:rPr>
                        <w:rFonts w:asciiTheme="majorEastAsia" w:eastAsiaTheme="majorEastAsia" w:hAnsiTheme="majorEastAsia" w:cs="Cambria" w:hint="eastAsia"/>
                        <w:szCs w:val="21"/>
                      </w:rPr>
                      <w:t>关联交易内容</w:t>
                    </w:r>
                  </w:p>
                </w:tc>
              </w:sdtContent>
            </w:sdt>
            <w:sdt>
              <w:sdtPr>
                <w:rPr>
                  <w:rFonts w:asciiTheme="majorEastAsia" w:eastAsiaTheme="majorEastAsia" w:hAnsiTheme="majorEastAsia"/>
                </w:rPr>
                <w:tag w:val="_PLD_6b54e09a146a4c34bba286909831c05b"/>
                <w:id w:val="-169259073"/>
                <w:lock w:val="sdtLocked"/>
              </w:sdtPr>
              <w:sdtContent>
                <w:tc>
                  <w:tcPr>
                    <w:tcW w:w="1208" w:type="pct"/>
                    <w:tcBorders>
                      <w:top w:val="single" w:sz="4" w:space="0" w:color="auto"/>
                      <w:left w:val="single" w:sz="4" w:space="0" w:color="auto"/>
                      <w:right w:val="single" w:sz="4" w:space="0" w:color="auto"/>
                    </w:tcBorders>
                    <w:shd w:val="clear" w:color="auto" w:fill="auto"/>
                    <w:vAlign w:val="center"/>
                  </w:tcPr>
                  <w:p w:rsidR="004E34F4" w:rsidRPr="004E34F4" w:rsidRDefault="004E34F4" w:rsidP="00DB008B">
                    <w:pPr>
                      <w:jc w:val="center"/>
                      <w:rPr>
                        <w:rFonts w:asciiTheme="majorEastAsia" w:eastAsiaTheme="majorEastAsia" w:hAnsiTheme="majorEastAsia" w:cs="Cambria"/>
                        <w:szCs w:val="21"/>
                      </w:rPr>
                    </w:pPr>
                    <w:r w:rsidRPr="004E34F4">
                      <w:rPr>
                        <w:rFonts w:asciiTheme="majorEastAsia" w:eastAsiaTheme="majorEastAsia" w:hAnsiTheme="majorEastAsia" w:cs="Cambria" w:hint="eastAsia"/>
                        <w:szCs w:val="21"/>
                      </w:rPr>
                      <w:t>本期发生额</w:t>
                    </w:r>
                  </w:p>
                </w:tc>
              </w:sdtContent>
            </w:sdt>
            <w:sdt>
              <w:sdtPr>
                <w:rPr>
                  <w:rFonts w:asciiTheme="majorEastAsia" w:eastAsiaTheme="majorEastAsia" w:hAnsiTheme="majorEastAsia"/>
                </w:rPr>
                <w:tag w:val="_PLD_9f856a67de3d45acbef7ccb12b35985d"/>
                <w:id w:val="-1543664285"/>
                <w:lock w:val="sdtLocked"/>
              </w:sdtPr>
              <w:sdtContent>
                <w:tc>
                  <w:tcPr>
                    <w:tcW w:w="1159" w:type="pct"/>
                    <w:tcBorders>
                      <w:top w:val="single" w:sz="4" w:space="0" w:color="auto"/>
                      <w:left w:val="single" w:sz="4" w:space="0" w:color="auto"/>
                      <w:right w:val="single" w:sz="4" w:space="0" w:color="auto"/>
                    </w:tcBorders>
                    <w:shd w:val="clear" w:color="auto" w:fill="auto"/>
                    <w:vAlign w:val="center"/>
                  </w:tcPr>
                  <w:p w:rsidR="004E34F4" w:rsidRPr="004E34F4" w:rsidRDefault="004E34F4" w:rsidP="00DB008B">
                    <w:pPr>
                      <w:jc w:val="center"/>
                      <w:rPr>
                        <w:rFonts w:asciiTheme="majorEastAsia" w:eastAsiaTheme="majorEastAsia" w:hAnsiTheme="majorEastAsia" w:cs="Cambria"/>
                        <w:szCs w:val="21"/>
                      </w:rPr>
                    </w:pPr>
                    <w:r w:rsidRPr="004E34F4">
                      <w:rPr>
                        <w:rFonts w:asciiTheme="majorEastAsia" w:eastAsiaTheme="majorEastAsia" w:hAnsiTheme="majorEastAsia" w:cs="Cambria" w:hint="eastAsia"/>
                        <w:szCs w:val="21"/>
                      </w:rPr>
                      <w:t>上期发生额</w:t>
                    </w:r>
                  </w:p>
                </w:tc>
              </w:sdtContent>
            </w:sdt>
          </w:tr>
          <w:sdt>
            <w:sdtPr>
              <w:rPr>
                <w:rFonts w:asciiTheme="majorEastAsia" w:eastAsiaTheme="majorEastAsia" w:hAnsiTheme="majorEastAsia"/>
                <w:szCs w:val="21"/>
              </w:rPr>
              <w:alias w:val="采购商品接受劳务情况明细"/>
              <w:tag w:val="_TUP_21b06c19d7ae4c2ea8596d9fcb57283b"/>
              <w:id w:val="1655726451"/>
              <w:lock w:val="sdtLocked"/>
            </w:sdtPr>
            <w:sdtContent>
              <w:tr w:rsidR="004E34F4" w:rsidTr="00DB008B">
                <w:trPr>
                  <w:cantSplit/>
                </w:trPr>
                <w:tc>
                  <w:tcPr>
                    <w:tcW w:w="1684" w:type="pct"/>
                    <w:tcBorders>
                      <w:top w:val="single" w:sz="4" w:space="0" w:color="auto"/>
                      <w:left w:val="single" w:sz="4" w:space="0" w:color="auto"/>
                      <w:bottom w:val="single" w:sz="4" w:space="0" w:color="auto"/>
                      <w:right w:val="single" w:sz="4" w:space="0" w:color="auto"/>
                    </w:tcBorders>
                    <w:shd w:val="clear" w:color="auto" w:fill="auto"/>
                  </w:tcPr>
                  <w:p w:rsidR="004E34F4" w:rsidRPr="004E34F4" w:rsidRDefault="004E34F4" w:rsidP="00DB008B">
                    <w:pPr>
                      <w:rPr>
                        <w:rFonts w:asciiTheme="majorEastAsia" w:eastAsiaTheme="majorEastAsia" w:hAnsiTheme="majorEastAsia"/>
                        <w:szCs w:val="21"/>
                      </w:rPr>
                    </w:pPr>
                    <w:r w:rsidRPr="004E34F4">
                      <w:rPr>
                        <w:rFonts w:asciiTheme="majorEastAsia" w:eastAsiaTheme="majorEastAsia" w:hAnsiTheme="majorEastAsia"/>
                      </w:rPr>
                      <w:t>国铁集团及其下属单位</w:t>
                    </w:r>
                  </w:p>
                </w:tc>
                <w:tc>
                  <w:tcPr>
                    <w:tcW w:w="943" w:type="pct"/>
                    <w:tcBorders>
                      <w:top w:val="single" w:sz="4" w:space="0" w:color="auto"/>
                      <w:left w:val="single" w:sz="4" w:space="0" w:color="auto"/>
                      <w:bottom w:val="single" w:sz="4" w:space="0" w:color="auto"/>
                      <w:right w:val="single" w:sz="4" w:space="0" w:color="auto"/>
                    </w:tcBorders>
                    <w:shd w:val="clear" w:color="auto" w:fill="auto"/>
                    <w:vAlign w:val="center"/>
                  </w:tcPr>
                  <w:p w:rsidR="004E34F4" w:rsidRPr="004E34F4" w:rsidRDefault="004E34F4" w:rsidP="00DB008B">
                    <w:pPr>
                      <w:rPr>
                        <w:rFonts w:asciiTheme="majorEastAsia" w:eastAsiaTheme="majorEastAsia" w:hAnsiTheme="majorEastAsia"/>
                        <w:szCs w:val="21"/>
                      </w:rPr>
                    </w:pPr>
                    <w:r w:rsidRPr="004E34F4">
                      <w:rPr>
                        <w:rFonts w:asciiTheme="majorEastAsia" w:eastAsiaTheme="majorEastAsia" w:hAnsiTheme="majorEastAsia"/>
                      </w:rPr>
                      <w:t>线路使用</w:t>
                    </w:r>
                    <w:r w:rsidRPr="004E34F4">
                      <w:rPr>
                        <w:rFonts w:asciiTheme="majorEastAsia" w:eastAsiaTheme="majorEastAsia" w:hAnsiTheme="majorEastAsia" w:cs="PMingLiU" w:hint="eastAsia"/>
                      </w:rPr>
                      <w:t>费</w:t>
                    </w:r>
                  </w:p>
                </w:tc>
                <w:tc>
                  <w:tcPr>
                    <w:tcW w:w="1208" w:type="pct"/>
                    <w:tcBorders>
                      <w:top w:val="single" w:sz="4" w:space="0" w:color="auto"/>
                      <w:left w:val="single" w:sz="4" w:space="0" w:color="auto"/>
                      <w:bottom w:val="single" w:sz="4" w:space="0" w:color="auto"/>
                      <w:right w:val="single" w:sz="4" w:space="0" w:color="auto"/>
                    </w:tcBorders>
                    <w:shd w:val="clear" w:color="auto" w:fill="auto"/>
                    <w:vAlign w:val="center"/>
                  </w:tcPr>
                  <w:p w:rsidR="004E34F4" w:rsidRPr="004E34F4" w:rsidRDefault="004E34F4" w:rsidP="00DB008B">
                    <w:pPr>
                      <w:jc w:val="right"/>
                      <w:rPr>
                        <w:rFonts w:asciiTheme="majorEastAsia" w:eastAsiaTheme="majorEastAsia" w:hAnsiTheme="majorEastAsia"/>
                        <w:szCs w:val="21"/>
                      </w:rPr>
                    </w:pPr>
                    <w:r w:rsidRPr="004E34F4">
                      <w:rPr>
                        <w:rFonts w:asciiTheme="majorEastAsia" w:eastAsiaTheme="majorEastAsia" w:hAnsiTheme="majorEastAsia"/>
                      </w:rPr>
                      <w:t>6,777,660,563</w:t>
                    </w:r>
                  </w:p>
                </w:tc>
                <w:tc>
                  <w:tcPr>
                    <w:tcW w:w="1159" w:type="pct"/>
                    <w:tcBorders>
                      <w:top w:val="single" w:sz="4" w:space="0" w:color="auto"/>
                      <w:left w:val="single" w:sz="4" w:space="0" w:color="auto"/>
                      <w:bottom w:val="single" w:sz="4" w:space="0" w:color="auto"/>
                      <w:right w:val="single" w:sz="4" w:space="0" w:color="auto"/>
                    </w:tcBorders>
                    <w:shd w:val="clear" w:color="auto" w:fill="auto"/>
                  </w:tcPr>
                  <w:p w:rsidR="004E34F4" w:rsidRPr="004E34F4" w:rsidRDefault="004E34F4" w:rsidP="00DB008B">
                    <w:pPr>
                      <w:jc w:val="right"/>
                      <w:rPr>
                        <w:rFonts w:asciiTheme="majorEastAsia" w:eastAsiaTheme="majorEastAsia" w:hAnsiTheme="majorEastAsia"/>
                        <w:szCs w:val="21"/>
                      </w:rPr>
                    </w:pPr>
                    <w:r w:rsidRPr="004E34F4">
                      <w:rPr>
                        <w:rFonts w:asciiTheme="majorEastAsia" w:eastAsiaTheme="majorEastAsia" w:hAnsiTheme="majorEastAsia"/>
                      </w:rPr>
                      <w:t>7,610,272,461</w:t>
                    </w:r>
                  </w:p>
                </w:tc>
              </w:tr>
            </w:sdtContent>
          </w:sdt>
          <w:sdt>
            <w:sdtPr>
              <w:rPr>
                <w:rFonts w:asciiTheme="majorEastAsia" w:eastAsiaTheme="majorEastAsia" w:hAnsiTheme="majorEastAsia"/>
                <w:szCs w:val="21"/>
              </w:rPr>
              <w:alias w:val="采购商品接受劳务情况明细"/>
              <w:tag w:val="_TUP_21b06c19d7ae4c2ea8596d9fcb57283b"/>
              <w:id w:val="-537193051"/>
              <w:lock w:val="sdtLocked"/>
            </w:sdtPr>
            <w:sdtContent>
              <w:tr w:rsidR="004E34F4" w:rsidTr="00DB008B">
                <w:trPr>
                  <w:cantSplit/>
                </w:trPr>
                <w:tc>
                  <w:tcPr>
                    <w:tcW w:w="1684" w:type="pct"/>
                    <w:tcBorders>
                      <w:top w:val="single" w:sz="4" w:space="0" w:color="auto"/>
                      <w:left w:val="single" w:sz="4" w:space="0" w:color="auto"/>
                      <w:bottom w:val="single" w:sz="4" w:space="0" w:color="auto"/>
                      <w:right w:val="single" w:sz="4" w:space="0" w:color="auto"/>
                    </w:tcBorders>
                    <w:shd w:val="clear" w:color="auto" w:fill="auto"/>
                  </w:tcPr>
                  <w:p w:rsidR="004E34F4" w:rsidRPr="004E34F4" w:rsidRDefault="004E34F4" w:rsidP="00DB008B">
                    <w:pPr>
                      <w:rPr>
                        <w:rFonts w:asciiTheme="majorEastAsia" w:eastAsiaTheme="majorEastAsia" w:hAnsiTheme="majorEastAsia"/>
                        <w:szCs w:val="21"/>
                      </w:rPr>
                    </w:pPr>
                    <w:r w:rsidRPr="004E34F4">
                      <w:rPr>
                        <w:rFonts w:asciiTheme="majorEastAsia" w:eastAsiaTheme="majorEastAsia" w:hAnsiTheme="majorEastAsia"/>
                      </w:rPr>
                      <w:t>国铁集团及其下属单位</w:t>
                    </w:r>
                  </w:p>
                </w:tc>
                <w:tc>
                  <w:tcPr>
                    <w:tcW w:w="943" w:type="pct"/>
                    <w:tcBorders>
                      <w:top w:val="single" w:sz="4" w:space="0" w:color="auto"/>
                      <w:left w:val="single" w:sz="4" w:space="0" w:color="auto"/>
                      <w:bottom w:val="single" w:sz="4" w:space="0" w:color="auto"/>
                      <w:right w:val="single" w:sz="4" w:space="0" w:color="auto"/>
                    </w:tcBorders>
                    <w:shd w:val="clear" w:color="auto" w:fill="auto"/>
                    <w:vAlign w:val="center"/>
                  </w:tcPr>
                  <w:p w:rsidR="004E34F4" w:rsidRPr="004E34F4" w:rsidRDefault="004E34F4" w:rsidP="00DB008B">
                    <w:pPr>
                      <w:rPr>
                        <w:rFonts w:asciiTheme="majorEastAsia" w:eastAsiaTheme="majorEastAsia" w:hAnsiTheme="majorEastAsia"/>
                        <w:szCs w:val="21"/>
                      </w:rPr>
                    </w:pPr>
                    <w:r w:rsidRPr="004E34F4">
                      <w:rPr>
                        <w:rFonts w:asciiTheme="majorEastAsia" w:eastAsiaTheme="majorEastAsia" w:hAnsiTheme="majorEastAsia" w:cs="PMingLiU" w:hint="eastAsia"/>
                      </w:rPr>
                      <w:t>机车牵引费</w:t>
                    </w:r>
                  </w:p>
                </w:tc>
                <w:tc>
                  <w:tcPr>
                    <w:tcW w:w="1208" w:type="pct"/>
                    <w:tcBorders>
                      <w:top w:val="single" w:sz="4" w:space="0" w:color="auto"/>
                      <w:left w:val="single" w:sz="4" w:space="0" w:color="auto"/>
                      <w:bottom w:val="single" w:sz="4" w:space="0" w:color="auto"/>
                      <w:right w:val="single" w:sz="4" w:space="0" w:color="auto"/>
                    </w:tcBorders>
                    <w:shd w:val="clear" w:color="auto" w:fill="auto"/>
                    <w:vAlign w:val="center"/>
                  </w:tcPr>
                  <w:p w:rsidR="004E34F4" w:rsidRPr="004E34F4" w:rsidRDefault="004E34F4" w:rsidP="00DB008B">
                    <w:pPr>
                      <w:jc w:val="right"/>
                      <w:rPr>
                        <w:rFonts w:asciiTheme="majorEastAsia" w:eastAsiaTheme="majorEastAsia" w:hAnsiTheme="majorEastAsia"/>
                        <w:szCs w:val="21"/>
                      </w:rPr>
                    </w:pPr>
                    <w:r w:rsidRPr="004E34F4">
                      <w:rPr>
                        <w:rFonts w:asciiTheme="majorEastAsia" w:eastAsiaTheme="majorEastAsia" w:hAnsiTheme="majorEastAsia"/>
                      </w:rPr>
                      <w:t>5,077,478,313</w:t>
                    </w:r>
                  </w:p>
                </w:tc>
                <w:tc>
                  <w:tcPr>
                    <w:tcW w:w="1159" w:type="pct"/>
                    <w:tcBorders>
                      <w:top w:val="single" w:sz="4" w:space="0" w:color="auto"/>
                      <w:left w:val="single" w:sz="4" w:space="0" w:color="auto"/>
                      <w:bottom w:val="single" w:sz="4" w:space="0" w:color="auto"/>
                      <w:right w:val="single" w:sz="4" w:space="0" w:color="auto"/>
                    </w:tcBorders>
                    <w:shd w:val="clear" w:color="auto" w:fill="auto"/>
                  </w:tcPr>
                  <w:p w:rsidR="004E34F4" w:rsidRPr="004E34F4" w:rsidRDefault="004E34F4" w:rsidP="00DB008B">
                    <w:pPr>
                      <w:jc w:val="right"/>
                      <w:rPr>
                        <w:rFonts w:asciiTheme="majorEastAsia" w:eastAsiaTheme="majorEastAsia" w:hAnsiTheme="majorEastAsia"/>
                        <w:szCs w:val="21"/>
                      </w:rPr>
                    </w:pPr>
                    <w:r w:rsidRPr="004E34F4">
                      <w:rPr>
                        <w:rFonts w:asciiTheme="majorEastAsia" w:eastAsiaTheme="majorEastAsia" w:hAnsiTheme="majorEastAsia"/>
                      </w:rPr>
                      <w:t>5,122,981,918</w:t>
                    </w:r>
                  </w:p>
                </w:tc>
              </w:tr>
            </w:sdtContent>
          </w:sdt>
          <w:sdt>
            <w:sdtPr>
              <w:rPr>
                <w:rFonts w:asciiTheme="majorEastAsia" w:eastAsiaTheme="majorEastAsia" w:hAnsiTheme="majorEastAsia"/>
                <w:szCs w:val="21"/>
              </w:rPr>
              <w:alias w:val="采购商品接受劳务情况明细"/>
              <w:tag w:val="_TUP_21b06c19d7ae4c2ea8596d9fcb57283b"/>
              <w:id w:val="-1466424581"/>
              <w:lock w:val="sdtLocked"/>
            </w:sdtPr>
            <w:sdtContent>
              <w:tr w:rsidR="004E34F4" w:rsidTr="00DB008B">
                <w:trPr>
                  <w:cantSplit/>
                </w:trPr>
                <w:tc>
                  <w:tcPr>
                    <w:tcW w:w="1684" w:type="pct"/>
                    <w:tcBorders>
                      <w:top w:val="single" w:sz="4" w:space="0" w:color="auto"/>
                      <w:left w:val="single" w:sz="4" w:space="0" w:color="auto"/>
                      <w:bottom w:val="single" w:sz="4" w:space="0" w:color="auto"/>
                      <w:right w:val="single" w:sz="4" w:space="0" w:color="auto"/>
                    </w:tcBorders>
                    <w:shd w:val="clear" w:color="auto" w:fill="auto"/>
                  </w:tcPr>
                  <w:p w:rsidR="004E34F4" w:rsidRPr="004E34F4" w:rsidRDefault="004E34F4" w:rsidP="00DB008B">
                    <w:pPr>
                      <w:rPr>
                        <w:rFonts w:asciiTheme="majorEastAsia" w:eastAsiaTheme="majorEastAsia" w:hAnsiTheme="majorEastAsia"/>
                        <w:szCs w:val="21"/>
                      </w:rPr>
                    </w:pPr>
                    <w:r w:rsidRPr="004E34F4">
                      <w:rPr>
                        <w:rFonts w:asciiTheme="majorEastAsia" w:eastAsiaTheme="majorEastAsia" w:hAnsiTheme="majorEastAsia"/>
                      </w:rPr>
                      <w:t>国铁集团及其下属单位</w:t>
                    </w:r>
                  </w:p>
                </w:tc>
                <w:tc>
                  <w:tcPr>
                    <w:tcW w:w="943" w:type="pct"/>
                    <w:tcBorders>
                      <w:top w:val="single" w:sz="4" w:space="0" w:color="auto"/>
                      <w:left w:val="single" w:sz="4" w:space="0" w:color="auto"/>
                      <w:bottom w:val="single" w:sz="4" w:space="0" w:color="auto"/>
                      <w:right w:val="single" w:sz="4" w:space="0" w:color="auto"/>
                    </w:tcBorders>
                    <w:shd w:val="clear" w:color="auto" w:fill="auto"/>
                    <w:vAlign w:val="center"/>
                  </w:tcPr>
                  <w:p w:rsidR="004E34F4" w:rsidRPr="004E34F4" w:rsidRDefault="004E34F4" w:rsidP="00DB008B">
                    <w:pPr>
                      <w:rPr>
                        <w:rFonts w:asciiTheme="majorEastAsia" w:eastAsiaTheme="majorEastAsia" w:hAnsiTheme="majorEastAsia"/>
                        <w:szCs w:val="21"/>
                      </w:rPr>
                    </w:pPr>
                    <w:r w:rsidRPr="004E34F4">
                      <w:rPr>
                        <w:rFonts w:asciiTheme="majorEastAsia" w:eastAsiaTheme="majorEastAsia" w:hAnsiTheme="majorEastAsia" w:cs="PMingLiU" w:hint="eastAsia"/>
                      </w:rPr>
                      <w:t>接触网使用费</w:t>
                    </w:r>
                  </w:p>
                </w:tc>
                <w:tc>
                  <w:tcPr>
                    <w:tcW w:w="1208" w:type="pct"/>
                    <w:tcBorders>
                      <w:top w:val="single" w:sz="4" w:space="0" w:color="auto"/>
                      <w:left w:val="single" w:sz="4" w:space="0" w:color="auto"/>
                      <w:bottom w:val="single" w:sz="4" w:space="0" w:color="auto"/>
                      <w:right w:val="single" w:sz="4" w:space="0" w:color="auto"/>
                    </w:tcBorders>
                    <w:shd w:val="clear" w:color="auto" w:fill="auto"/>
                    <w:vAlign w:val="center"/>
                  </w:tcPr>
                  <w:p w:rsidR="004E34F4" w:rsidRPr="004E34F4" w:rsidRDefault="004E34F4" w:rsidP="00DB008B">
                    <w:pPr>
                      <w:jc w:val="right"/>
                      <w:rPr>
                        <w:rFonts w:asciiTheme="majorEastAsia" w:eastAsiaTheme="majorEastAsia" w:hAnsiTheme="majorEastAsia"/>
                        <w:szCs w:val="21"/>
                      </w:rPr>
                    </w:pPr>
                    <w:r w:rsidRPr="004E34F4">
                      <w:rPr>
                        <w:rFonts w:asciiTheme="majorEastAsia" w:eastAsiaTheme="majorEastAsia" w:hAnsiTheme="majorEastAsia"/>
                      </w:rPr>
                      <w:t>1,379,588,596</w:t>
                    </w:r>
                  </w:p>
                </w:tc>
                <w:tc>
                  <w:tcPr>
                    <w:tcW w:w="1159" w:type="pct"/>
                    <w:tcBorders>
                      <w:top w:val="single" w:sz="4" w:space="0" w:color="auto"/>
                      <w:left w:val="single" w:sz="4" w:space="0" w:color="auto"/>
                      <w:bottom w:val="single" w:sz="4" w:space="0" w:color="auto"/>
                      <w:right w:val="single" w:sz="4" w:space="0" w:color="auto"/>
                    </w:tcBorders>
                    <w:shd w:val="clear" w:color="auto" w:fill="auto"/>
                  </w:tcPr>
                  <w:p w:rsidR="004E34F4" w:rsidRPr="004E34F4" w:rsidRDefault="004E34F4" w:rsidP="00DB008B">
                    <w:pPr>
                      <w:jc w:val="right"/>
                      <w:rPr>
                        <w:rFonts w:asciiTheme="majorEastAsia" w:eastAsiaTheme="majorEastAsia" w:hAnsiTheme="majorEastAsia"/>
                        <w:szCs w:val="21"/>
                      </w:rPr>
                    </w:pPr>
                    <w:r w:rsidRPr="004E34F4">
                      <w:rPr>
                        <w:rFonts w:asciiTheme="majorEastAsia" w:eastAsiaTheme="majorEastAsia" w:hAnsiTheme="majorEastAsia"/>
                      </w:rPr>
                      <w:t>1,536,951,789</w:t>
                    </w:r>
                  </w:p>
                </w:tc>
              </w:tr>
            </w:sdtContent>
          </w:sdt>
          <w:sdt>
            <w:sdtPr>
              <w:rPr>
                <w:rFonts w:asciiTheme="majorEastAsia" w:eastAsiaTheme="majorEastAsia" w:hAnsiTheme="majorEastAsia"/>
                <w:szCs w:val="21"/>
              </w:rPr>
              <w:alias w:val="采购商品接受劳务情况明细"/>
              <w:tag w:val="_TUP_21b06c19d7ae4c2ea8596d9fcb57283b"/>
              <w:id w:val="1316762704"/>
              <w:lock w:val="sdtLocked"/>
            </w:sdtPr>
            <w:sdtContent>
              <w:tr w:rsidR="004E34F4" w:rsidTr="00DB008B">
                <w:trPr>
                  <w:cantSplit/>
                </w:trPr>
                <w:tc>
                  <w:tcPr>
                    <w:tcW w:w="1684" w:type="pct"/>
                    <w:tcBorders>
                      <w:top w:val="single" w:sz="4" w:space="0" w:color="auto"/>
                      <w:left w:val="single" w:sz="4" w:space="0" w:color="auto"/>
                      <w:bottom w:val="single" w:sz="4" w:space="0" w:color="auto"/>
                      <w:right w:val="single" w:sz="4" w:space="0" w:color="auto"/>
                    </w:tcBorders>
                    <w:shd w:val="clear" w:color="auto" w:fill="auto"/>
                  </w:tcPr>
                  <w:p w:rsidR="004E34F4" w:rsidRPr="004E34F4" w:rsidRDefault="004E34F4" w:rsidP="00DB008B">
                    <w:pPr>
                      <w:rPr>
                        <w:rFonts w:asciiTheme="majorEastAsia" w:eastAsiaTheme="majorEastAsia" w:hAnsiTheme="majorEastAsia"/>
                        <w:szCs w:val="21"/>
                      </w:rPr>
                    </w:pPr>
                    <w:r w:rsidRPr="004E34F4">
                      <w:rPr>
                        <w:rFonts w:asciiTheme="majorEastAsia" w:eastAsiaTheme="majorEastAsia" w:hAnsiTheme="majorEastAsia"/>
                      </w:rPr>
                      <w:t>国铁集团及其下属单位</w:t>
                    </w:r>
                  </w:p>
                </w:tc>
                <w:tc>
                  <w:tcPr>
                    <w:tcW w:w="943" w:type="pct"/>
                    <w:tcBorders>
                      <w:top w:val="single" w:sz="4" w:space="0" w:color="auto"/>
                      <w:left w:val="single" w:sz="4" w:space="0" w:color="auto"/>
                      <w:bottom w:val="single" w:sz="4" w:space="0" w:color="auto"/>
                      <w:right w:val="single" w:sz="4" w:space="0" w:color="auto"/>
                    </w:tcBorders>
                    <w:shd w:val="clear" w:color="auto" w:fill="auto"/>
                    <w:vAlign w:val="center"/>
                  </w:tcPr>
                  <w:p w:rsidR="004E34F4" w:rsidRPr="004E34F4" w:rsidRDefault="004E34F4" w:rsidP="00DB008B">
                    <w:pPr>
                      <w:rPr>
                        <w:rFonts w:asciiTheme="majorEastAsia" w:eastAsiaTheme="majorEastAsia" w:hAnsiTheme="majorEastAsia"/>
                        <w:szCs w:val="21"/>
                      </w:rPr>
                    </w:pPr>
                    <w:r w:rsidRPr="004E34F4">
                      <w:rPr>
                        <w:rFonts w:asciiTheme="majorEastAsia" w:eastAsiaTheme="majorEastAsia" w:hAnsiTheme="majorEastAsia" w:cs="PMingLiU" w:hint="eastAsia"/>
                      </w:rPr>
                      <w:t>到达作业服务费</w:t>
                    </w:r>
                  </w:p>
                </w:tc>
                <w:tc>
                  <w:tcPr>
                    <w:tcW w:w="1208" w:type="pct"/>
                    <w:tcBorders>
                      <w:top w:val="single" w:sz="4" w:space="0" w:color="auto"/>
                      <w:left w:val="single" w:sz="4" w:space="0" w:color="auto"/>
                      <w:bottom w:val="single" w:sz="4" w:space="0" w:color="auto"/>
                      <w:right w:val="single" w:sz="4" w:space="0" w:color="auto"/>
                    </w:tcBorders>
                    <w:shd w:val="clear" w:color="auto" w:fill="auto"/>
                    <w:vAlign w:val="center"/>
                  </w:tcPr>
                  <w:p w:rsidR="004E34F4" w:rsidRPr="004E34F4" w:rsidRDefault="004E34F4" w:rsidP="00DB008B">
                    <w:pPr>
                      <w:jc w:val="right"/>
                      <w:rPr>
                        <w:rFonts w:asciiTheme="majorEastAsia" w:eastAsiaTheme="majorEastAsia" w:hAnsiTheme="majorEastAsia"/>
                        <w:szCs w:val="21"/>
                      </w:rPr>
                    </w:pPr>
                    <w:r w:rsidRPr="004E34F4">
                      <w:rPr>
                        <w:rFonts w:asciiTheme="majorEastAsia" w:eastAsiaTheme="majorEastAsia" w:hAnsiTheme="majorEastAsia"/>
                      </w:rPr>
                      <w:t>1,306,454,969</w:t>
                    </w:r>
                  </w:p>
                </w:tc>
                <w:tc>
                  <w:tcPr>
                    <w:tcW w:w="1159" w:type="pct"/>
                    <w:tcBorders>
                      <w:top w:val="single" w:sz="4" w:space="0" w:color="auto"/>
                      <w:left w:val="single" w:sz="4" w:space="0" w:color="auto"/>
                      <w:bottom w:val="single" w:sz="4" w:space="0" w:color="auto"/>
                      <w:right w:val="single" w:sz="4" w:space="0" w:color="auto"/>
                    </w:tcBorders>
                    <w:shd w:val="clear" w:color="auto" w:fill="auto"/>
                  </w:tcPr>
                  <w:p w:rsidR="004E34F4" w:rsidRPr="004E34F4" w:rsidRDefault="004E34F4" w:rsidP="00DB008B">
                    <w:pPr>
                      <w:jc w:val="right"/>
                      <w:rPr>
                        <w:rFonts w:asciiTheme="majorEastAsia" w:eastAsiaTheme="majorEastAsia" w:hAnsiTheme="majorEastAsia"/>
                        <w:szCs w:val="21"/>
                      </w:rPr>
                    </w:pPr>
                    <w:r w:rsidRPr="004E34F4">
                      <w:rPr>
                        <w:rFonts w:asciiTheme="majorEastAsia" w:eastAsiaTheme="majorEastAsia" w:hAnsiTheme="majorEastAsia"/>
                      </w:rPr>
                      <w:t>1,324,398,481</w:t>
                    </w:r>
                  </w:p>
                </w:tc>
              </w:tr>
            </w:sdtContent>
          </w:sdt>
          <w:sdt>
            <w:sdtPr>
              <w:rPr>
                <w:rFonts w:asciiTheme="majorEastAsia" w:eastAsiaTheme="majorEastAsia" w:hAnsiTheme="majorEastAsia"/>
                <w:szCs w:val="21"/>
              </w:rPr>
              <w:alias w:val="采购商品接受劳务情况明细"/>
              <w:tag w:val="_TUP_21b06c19d7ae4c2ea8596d9fcb57283b"/>
              <w:id w:val="793640817"/>
              <w:lock w:val="sdtLocked"/>
            </w:sdtPr>
            <w:sdtContent>
              <w:tr w:rsidR="004E34F4" w:rsidTr="00DB008B">
                <w:trPr>
                  <w:cantSplit/>
                </w:trPr>
                <w:tc>
                  <w:tcPr>
                    <w:tcW w:w="1684" w:type="pct"/>
                    <w:tcBorders>
                      <w:top w:val="single" w:sz="4" w:space="0" w:color="auto"/>
                      <w:left w:val="single" w:sz="4" w:space="0" w:color="auto"/>
                      <w:bottom w:val="single" w:sz="4" w:space="0" w:color="auto"/>
                      <w:right w:val="single" w:sz="4" w:space="0" w:color="auto"/>
                    </w:tcBorders>
                    <w:shd w:val="clear" w:color="auto" w:fill="auto"/>
                  </w:tcPr>
                  <w:p w:rsidR="004E34F4" w:rsidRPr="004E34F4" w:rsidRDefault="004E34F4" w:rsidP="00DB008B">
                    <w:pPr>
                      <w:rPr>
                        <w:rFonts w:asciiTheme="majorEastAsia" w:eastAsiaTheme="majorEastAsia" w:hAnsiTheme="majorEastAsia"/>
                        <w:szCs w:val="21"/>
                      </w:rPr>
                    </w:pPr>
                    <w:r w:rsidRPr="004E34F4">
                      <w:rPr>
                        <w:rFonts w:asciiTheme="majorEastAsia" w:eastAsiaTheme="majorEastAsia" w:hAnsiTheme="majorEastAsia"/>
                      </w:rPr>
                      <w:t>国铁集团及其下属单位</w:t>
                    </w:r>
                  </w:p>
                </w:tc>
                <w:tc>
                  <w:tcPr>
                    <w:tcW w:w="943" w:type="pct"/>
                    <w:tcBorders>
                      <w:top w:val="single" w:sz="4" w:space="0" w:color="auto"/>
                      <w:left w:val="single" w:sz="4" w:space="0" w:color="auto"/>
                      <w:bottom w:val="single" w:sz="4" w:space="0" w:color="auto"/>
                      <w:right w:val="single" w:sz="4" w:space="0" w:color="auto"/>
                    </w:tcBorders>
                    <w:shd w:val="clear" w:color="auto" w:fill="auto"/>
                    <w:vAlign w:val="center"/>
                  </w:tcPr>
                  <w:p w:rsidR="004E34F4" w:rsidRPr="004E34F4" w:rsidRDefault="004E34F4" w:rsidP="00DB008B">
                    <w:pPr>
                      <w:rPr>
                        <w:rFonts w:asciiTheme="majorEastAsia" w:eastAsiaTheme="majorEastAsia" w:hAnsiTheme="majorEastAsia"/>
                        <w:szCs w:val="21"/>
                      </w:rPr>
                    </w:pPr>
                    <w:r w:rsidRPr="004E34F4">
                      <w:rPr>
                        <w:rFonts w:asciiTheme="majorEastAsia" w:eastAsiaTheme="majorEastAsia" w:hAnsiTheme="majorEastAsia" w:cs="PMingLiU" w:hint="eastAsia"/>
                      </w:rPr>
                      <w:t>车辆服务费</w:t>
                    </w:r>
                  </w:p>
                </w:tc>
                <w:tc>
                  <w:tcPr>
                    <w:tcW w:w="1208" w:type="pct"/>
                    <w:tcBorders>
                      <w:top w:val="single" w:sz="4" w:space="0" w:color="auto"/>
                      <w:left w:val="single" w:sz="4" w:space="0" w:color="auto"/>
                      <w:bottom w:val="single" w:sz="4" w:space="0" w:color="auto"/>
                      <w:right w:val="single" w:sz="4" w:space="0" w:color="auto"/>
                    </w:tcBorders>
                    <w:shd w:val="clear" w:color="auto" w:fill="auto"/>
                    <w:vAlign w:val="center"/>
                  </w:tcPr>
                  <w:p w:rsidR="004E34F4" w:rsidRPr="004E34F4" w:rsidRDefault="004E34F4" w:rsidP="00DB008B">
                    <w:pPr>
                      <w:jc w:val="right"/>
                      <w:rPr>
                        <w:rFonts w:asciiTheme="majorEastAsia" w:eastAsiaTheme="majorEastAsia" w:hAnsiTheme="majorEastAsia"/>
                        <w:szCs w:val="21"/>
                      </w:rPr>
                    </w:pPr>
                    <w:r w:rsidRPr="004E34F4">
                      <w:rPr>
                        <w:rFonts w:asciiTheme="majorEastAsia" w:eastAsiaTheme="majorEastAsia" w:hAnsiTheme="majorEastAsia"/>
                      </w:rPr>
                      <w:t>2,184,491,592</w:t>
                    </w:r>
                  </w:p>
                </w:tc>
                <w:tc>
                  <w:tcPr>
                    <w:tcW w:w="1159" w:type="pct"/>
                    <w:tcBorders>
                      <w:top w:val="single" w:sz="4" w:space="0" w:color="auto"/>
                      <w:left w:val="single" w:sz="4" w:space="0" w:color="auto"/>
                      <w:bottom w:val="single" w:sz="4" w:space="0" w:color="auto"/>
                      <w:right w:val="single" w:sz="4" w:space="0" w:color="auto"/>
                    </w:tcBorders>
                    <w:shd w:val="clear" w:color="auto" w:fill="auto"/>
                  </w:tcPr>
                  <w:p w:rsidR="004E34F4" w:rsidRPr="004E34F4" w:rsidRDefault="004E34F4" w:rsidP="00DB008B">
                    <w:pPr>
                      <w:jc w:val="right"/>
                      <w:rPr>
                        <w:rFonts w:asciiTheme="majorEastAsia" w:eastAsiaTheme="majorEastAsia" w:hAnsiTheme="majorEastAsia"/>
                        <w:szCs w:val="21"/>
                      </w:rPr>
                    </w:pPr>
                    <w:r w:rsidRPr="004E34F4">
                      <w:rPr>
                        <w:rFonts w:asciiTheme="majorEastAsia" w:eastAsiaTheme="majorEastAsia" w:hAnsiTheme="majorEastAsia"/>
                      </w:rPr>
                      <w:t>2,177,449,942</w:t>
                    </w:r>
                  </w:p>
                </w:tc>
              </w:tr>
            </w:sdtContent>
          </w:sdt>
          <w:sdt>
            <w:sdtPr>
              <w:rPr>
                <w:rFonts w:asciiTheme="majorEastAsia" w:eastAsiaTheme="majorEastAsia" w:hAnsiTheme="majorEastAsia"/>
                <w:szCs w:val="21"/>
              </w:rPr>
              <w:alias w:val="采购商品接受劳务情况明细"/>
              <w:tag w:val="_TUP_21b06c19d7ae4c2ea8596d9fcb57283b"/>
              <w:id w:val="-97489388"/>
              <w:lock w:val="sdtLocked"/>
            </w:sdtPr>
            <w:sdtContent>
              <w:tr w:rsidR="004E34F4" w:rsidTr="00DB008B">
                <w:trPr>
                  <w:cantSplit/>
                </w:trPr>
                <w:tc>
                  <w:tcPr>
                    <w:tcW w:w="1684" w:type="pct"/>
                    <w:tcBorders>
                      <w:top w:val="single" w:sz="4" w:space="0" w:color="auto"/>
                      <w:left w:val="single" w:sz="4" w:space="0" w:color="auto"/>
                      <w:bottom w:val="single" w:sz="4" w:space="0" w:color="auto"/>
                      <w:right w:val="single" w:sz="4" w:space="0" w:color="auto"/>
                    </w:tcBorders>
                    <w:shd w:val="clear" w:color="auto" w:fill="auto"/>
                  </w:tcPr>
                  <w:p w:rsidR="004E34F4" w:rsidRPr="004E34F4" w:rsidRDefault="004E34F4" w:rsidP="00DB008B">
                    <w:pPr>
                      <w:rPr>
                        <w:rFonts w:asciiTheme="majorEastAsia" w:eastAsiaTheme="majorEastAsia" w:hAnsiTheme="majorEastAsia"/>
                        <w:szCs w:val="21"/>
                      </w:rPr>
                    </w:pPr>
                    <w:r w:rsidRPr="004E34F4">
                      <w:rPr>
                        <w:rFonts w:asciiTheme="majorEastAsia" w:eastAsiaTheme="majorEastAsia" w:hAnsiTheme="majorEastAsia"/>
                      </w:rPr>
                      <w:t>国铁集团及其下属单位</w:t>
                    </w:r>
                  </w:p>
                </w:tc>
                <w:tc>
                  <w:tcPr>
                    <w:tcW w:w="943" w:type="pct"/>
                    <w:tcBorders>
                      <w:top w:val="single" w:sz="4" w:space="0" w:color="auto"/>
                      <w:left w:val="single" w:sz="4" w:space="0" w:color="auto"/>
                      <w:bottom w:val="single" w:sz="4" w:space="0" w:color="auto"/>
                      <w:right w:val="single" w:sz="4" w:space="0" w:color="auto"/>
                    </w:tcBorders>
                    <w:shd w:val="clear" w:color="auto" w:fill="auto"/>
                    <w:vAlign w:val="center"/>
                  </w:tcPr>
                  <w:p w:rsidR="004E34F4" w:rsidRPr="004E34F4" w:rsidRDefault="004E34F4" w:rsidP="00DB008B">
                    <w:pPr>
                      <w:rPr>
                        <w:rFonts w:asciiTheme="majorEastAsia" w:eastAsiaTheme="majorEastAsia" w:hAnsiTheme="majorEastAsia"/>
                        <w:szCs w:val="21"/>
                      </w:rPr>
                    </w:pPr>
                    <w:r w:rsidRPr="004E34F4">
                      <w:rPr>
                        <w:rFonts w:asciiTheme="majorEastAsia" w:eastAsiaTheme="majorEastAsia" w:hAnsiTheme="majorEastAsia" w:cs="PMingLiU" w:hint="eastAsia"/>
                      </w:rPr>
                      <w:t>综合服务费</w:t>
                    </w:r>
                  </w:p>
                </w:tc>
                <w:tc>
                  <w:tcPr>
                    <w:tcW w:w="1208" w:type="pct"/>
                    <w:tcBorders>
                      <w:top w:val="single" w:sz="4" w:space="0" w:color="auto"/>
                      <w:left w:val="single" w:sz="4" w:space="0" w:color="auto"/>
                      <w:bottom w:val="single" w:sz="4" w:space="0" w:color="auto"/>
                      <w:right w:val="single" w:sz="4" w:space="0" w:color="auto"/>
                    </w:tcBorders>
                    <w:shd w:val="clear" w:color="auto" w:fill="auto"/>
                    <w:vAlign w:val="center"/>
                  </w:tcPr>
                  <w:p w:rsidR="004E34F4" w:rsidRPr="004E34F4" w:rsidRDefault="004E34F4" w:rsidP="00DB008B">
                    <w:pPr>
                      <w:jc w:val="right"/>
                      <w:rPr>
                        <w:rFonts w:asciiTheme="majorEastAsia" w:eastAsiaTheme="majorEastAsia" w:hAnsiTheme="majorEastAsia"/>
                        <w:szCs w:val="21"/>
                      </w:rPr>
                    </w:pPr>
                    <w:r w:rsidRPr="004E34F4">
                      <w:rPr>
                        <w:rFonts w:asciiTheme="majorEastAsia" w:eastAsiaTheme="majorEastAsia" w:hAnsiTheme="majorEastAsia"/>
                      </w:rPr>
                      <w:t>3,939,834,413</w:t>
                    </w:r>
                  </w:p>
                </w:tc>
                <w:tc>
                  <w:tcPr>
                    <w:tcW w:w="1159" w:type="pct"/>
                    <w:tcBorders>
                      <w:top w:val="single" w:sz="4" w:space="0" w:color="auto"/>
                      <w:left w:val="single" w:sz="4" w:space="0" w:color="auto"/>
                      <w:bottom w:val="single" w:sz="4" w:space="0" w:color="auto"/>
                      <w:right w:val="single" w:sz="4" w:space="0" w:color="auto"/>
                    </w:tcBorders>
                    <w:shd w:val="clear" w:color="auto" w:fill="auto"/>
                  </w:tcPr>
                  <w:p w:rsidR="004E34F4" w:rsidRPr="004E34F4" w:rsidRDefault="004E34F4" w:rsidP="00DB008B">
                    <w:pPr>
                      <w:jc w:val="right"/>
                      <w:rPr>
                        <w:rFonts w:asciiTheme="majorEastAsia" w:eastAsiaTheme="majorEastAsia" w:hAnsiTheme="majorEastAsia"/>
                        <w:szCs w:val="21"/>
                      </w:rPr>
                    </w:pPr>
                    <w:r w:rsidRPr="004E34F4">
                      <w:rPr>
                        <w:rFonts w:asciiTheme="majorEastAsia" w:eastAsiaTheme="majorEastAsia" w:hAnsiTheme="majorEastAsia"/>
                      </w:rPr>
                      <w:t>4,039,027,307</w:t>
                    </w:r>
                  </w:p>
                </w:tc>
              </w:tr>
            </w:sdtContent>
          </w:sdt>
          <w:sdt>
            <w:sdtPr>
              <w:rPr>
                <w:rFonts w:asciiTheme="majorEastAsia" w:eastAsiaTheme="majorEastAsia" w:hAnsiTheme="majorEastAsia"/>
                <w:szCs w:val="21"/>
              </w:rPr>
              <w:alias w:val="采购商品接受劳务情况明细"/>
              <w:tag w:val="_TUP_21b06c19d7ae4c2ea8596d9fcb57283b"/>
              <w:id w:val="1428079730"/>
              <w:lock w:val="sdtLocked"/>
            </w:sdtPr>
            <w:sdtContent>
              <w:tr w:rsidR="004E34F4" w:rsidTr="00DB008B">
                <w:trPr>
                  <w:cantSplit/>
                </w:trPr>
                <w:tc>
                  <w:tcPr>
                    <w:tcW w:w="1684" w:type="pct"/>
                    <w:tcBorders>
                      <w:top w:val="single" w:sz="4" w:space="0" w:color="auto"/>
                      <w:left w:val="single" w:sz="4" w:space="0" w:color="auto"/>
                      <w:bottom w:val="single" w:sz="4" w:space="0" w:color="auto"/>
                      <w:right w:val="single" w:sz="4" w:space="0" w:color="auto"/>
                    </w:tcBorders>
                    <w:shd w:val="clear" w:color="auto" w:fill="auto"/>
                  </w:tcPr>
                  <w:p w:rsidR="004E34F4" w:rsidRPr="004E34F4" w:rsidRDefault="004E34F4" w:rsidP="00DB008B">
                    <w:pPr>
                      <w:rPr>
                        <w:rFonts w:asciiTheme="majorEastAsia" w:eastAsiaTheme="majorEastAsia" w:hAnsiTheme="majorEastAsia"/>
                        <w:szCs w:val="21"/>
                      </w:rPr>
                    </w:pPr>
                    <w:r w:rsidRPr="004E34F4">
                      <w:rPr>
                        <w:rFonts w:asciiTheme="majorEastAsia" w:eastAsiaTheme="majorEastAsia" w:hAnsiTheme="majorEastAsia"/>
                      </w:rPr>
                      <w:t>国铁集团及其下属单位</w:t>
                    </w:r>
                  </w:p>
                </w:tc>
                <w:tc>
                  <w:tcPr>
                    <w:tcW w:w="943" w:type="pct"/>
                    <w:tcBorders>
                      <w:top w:val="single" w:sz="4" w:space="0" w:color="auto"/>
                      <w:left w:val="single" w:sz="4" w:space="0" w:color="auto"/>
                      <w:bottom w:val="single" w:sz="4" w:space="0" w:color="auto"/>
                      <w:right w:val="single" w:sz="4" w:space="0" w:color="auto"/>
                    </w:tcBorders>
                    <w:shd w:val="clear" w:color="auto" w:fill="auto"/>
                    <w:vAlign w:val="center"/>
                  </w:tcPr>
                  <w:p w:rsidR="004E34F4" w:rsidRPr="004E34F4" w:rsidRDefault="004E34F4" w:rsidP="00DB008B">
                    <w:pPr>
                      <w:rPr>
                        <w:rFonts w:asciiTheme="majorEastAsia" w:eastAsiaTheme="majorEastAsia" w:hAnsiTheme="majorEastAsia"/>
                        <w:szCs w:val="21"/>
                      </w:rPr>
                    </w:pPr>
                    <w:r w:rsidRPr="004E34F4">
                      <w:rPr>
                        <w:rFonts w:asciiTheme="majorEastAsia" w:eastAsiaTheme="majorEastAsia" w:hAnsiTheme="majorEastAsia" w:cs="PMingLiU" w:hint="eastAsia"/>
                      </w:rPr>
                      <w:t>其他服务费支出</w:t>
                    </w:r>
                  </w:p>
                </w:tc>
                <w:tc>
                  <w:tcPr>
                    <w:tcW w:w="1208" w:type="pct"/>
                    <w:tcBorders>
                      <w:top w:val="single" w:sz="4" w:space="0" w:color="auto"/>
                      <w:left w:val="single" w:sz="4" w:space="0" w:color="auto"/>
                      <w:bottom w:val="single" w:sz="4" w:space="0" w:color="auto"/>
                      <w:right w:val="single" w:sz="4" w:space="0" w:color="auto"/>
                    </w:tcBorders>
                    <w:shd w:val="clear" w:color="auto" w:fill="auto"/>
                    <w:vAlign w:val="center"/>
                  </w:tcPr>
                  <w:p w:rsidR="004E34F4" w:rsidRPr="004E34F4" w:rsidRDefault="004E34F4" w:rsidP="00DB008B">
                    <w:pPr>
                      <w:jc w:val="right"/>
                      <w:rPr>
                        <w:rFonts w:asciiTheme="majorEastAsia" w:eastAsiaTheme="majorEastAsia" w:hAnsiTheme="majorEastAsia"/>
                        <w:szCs w:val="21"/>
                      </w:rPr>
                    </w:pPr>
                    <w:r w:rsidRPr="004E34F4">
                      <w:rPr>
                        <w:rFonts w:asciiTheme="majorEastAsia" w:eastAsiaTheme="majorEastAsia" w:hAnsiTheme="majorEastAsia"/>
                      </w:rPr>
                      <w:t>215,188,495</w:t>
                    </w:r>
                  </w:p>
                </w:tc>
                <w:tc>
                  <w:tcPr>
                    <w:tcW w:w="1159" w:type="pct"/>
                    <w:tcBorders>
                      <w:top w:val="single" w:sz="4" w:space="0" w:color="auto"/>
                      <w:left w:val="single" w:sz="4" w:space="0" w:color="auto"/>
                      <w:bottom w:val="single" w:sz="4" w:space="0" w:color="auto"/>
                      <w:right w:val="single" w:sz="4" w:space="0" w:color="auto"/>
                    </w:tcBorders>
                    <w:shd w:val="clear" w:color="auto" w:fill="auto"/>
                  </w:tcPr>
                  <w:p w:rsidR="004E34F4" w:rsidRPr="004E34F4" w:rsidRDefault="004E34F4" w:rsidP="00DB008B">
                    <w:pPr>
                      <w:jc w:val="right"/>
                      <w:rPr>
                        <w:rFonts w:asciiTheme="majorEastAsia" w:eastAsiaTheme="majorEastAsia" w:hAnsiTheme="majorEastAsia"/>
                        <w:szCs w:val="21"/>
                      </w:rPr>
                    </w:pPr>
                    <w:r w:rsidRPr="004E34F4">
                      <w:rPr>
                        <w:rFonts w:asciiTheme="majorEastAsia" w:eastAsiaTheme="majorEastAsia" w:hAnsiTheme="majorEastAsia"/>
                      </w:rPr>
                      <w:t>349,080,901</w:t>
                    </w:r>
                  </w:p>
                </w:tc>
              </w:tr>
            </w:sdtContent>
          </w:sdt>
        </w:tbl>
        <w:p w:rsidR="006A0D53" w:rsidRDefault="00F80B6C" w:rsidP="006A0D53"/>
      </w:sdtContent>
    </w:sdt>
    <w:p w:rsidR="006A0D53" w:rsidRPr="00F66245" w:rsidRDefault="006A0D53" w:rsidP="00F66245">
      <w:pPr>
        <w:pStyle w:val="7"/>
        <w:spacing w:before="100" w:after="0" w:line="319" w:lineRule="auto"/>
        <w:rPr>
          <w:rFonts w:cs="Arial"/>
          <w:b w:val="0"/>
          <w:sz w:val="22"/>
          <w:szCs w:val="22"/>
        </w:rPr>
      </w:pPr>
      <w:r w:rsidRPr="00F66245">
        <w:rPr>
          <w:rFonts w:cs="Arial" w:hint="eastAsia"/>
          <w:b w:val="0"/>
          <w:sz w:val="22"/>
          <w:szCs w:val="22"/>
        </w:rPr>
        <w:t>- 铁路基础设施及运输设备租赁、使用</w:t>
      </w:r>
    </w:p>
    <w:p w:rsidR="006A0D53" w:rsidRDefault="006A0D53" w:rsidP="006A0D53">
      <w:pPr>
        <w:jc w:val="right"/>
        <w:rPr>
          <w:rFonts w:cs="Arial"/>
          <w:sz w:val="22"/>
          <w:szCs w:val="22"/>
          <w:lang w:val="fr-FR"/>
        </w:rPr>
      </w:pPr>
      <w:r w:rsidRPr="0059413F">
        <w:rPr>
          <w:rFonts w:cs="Arial" w:hint="eastAsia"/>
          <w:sz w:val="22"/>
          <w:szCs w:val="22"/>
          <w:lang w:val="fr-FR"/>
        </w:rPr>
        <w:t>单位：元</w:t>
      </w:r>
      <w:r w:rsidRPr="0059413F">
        <w:rPr>
          <w:rFonts w:cs="Arial"/>
          <w:sz w:val="22"/>
          <w:szCs w:val="22"/>
          <w:lang w:val="fr-FR"/>
        </w:rPr>
        <w:t xml:space="preserve"> 币种：人民币</w:t>
      </w:r>
    </w:p>
    <w:tbl>
      <w:tblPr>
        <w:tblW w:w="9053"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28" w:type="dxa"/>
        </w:tblCellMar>
        <w:tblLook w:val="04A0"/>
      </w:tblPr>
      <w:tblGrid>
        <w:gridCol w:w="3514"/>
        <w:gridCol w:w="2035"/>
        <w:gridCol w:w="1640"/>
        <w:gridCol w:w="1864"/>
      </w:tblGrid>
      <w:tr w:rsidR="006A0D53" w:rsidRPr="0059413F" w:rsidTr="004B4952">
        <w:trPr>
          <w:trHeight w:val="283"/>
        </w:trPr>
        <w:tc>
          <w:tcPr>
            <w:tcW w:w="3514" w:type="dxa"/>
            <w:vAlign w:val="center"/>
          </w:tcPr>
          <w:p w:rsidR="006A0D53" w:rsidRPr="0059413F" w:rsidRDefault="006A0D53" w:rsidP="004B4952">
            <w:pPr>
              <w:snapToGrid w:val="0"/>
              <w:ind w:left="181" w:hanging="181"/>
              <w:jc w:val="center"/>
              <w:rPr>
                <w:szCs w:val="21"/>
              </w:rPr>
            </w:pPr>
            <w:r w:rsidRPr="0059413F">
              <w:rPr>
                <w:szCs w:val="21"/>
              </w:rPr>
              <w:t>关联方</w:t>
            </w:r>
          </w:p>
        </w:tc>
        <w:tc>
          <w:tcPr>
            <w:tcW w:w="2035" w:type="dxa"/>
            <w:vAlign w:val="center"/>
          </w:tcPr>
          <w:p w:rsidR="006A0D53" w:rsidRPr="0059413F" w:rsidRDefault="006A0D53" w:rsidP="004B4952">
            <w:pPr>
              <w:snapToGrid w:val="0"/>
              <w:jc w:val="center"/>
              <w:rPr>
                <w:szCs w:val="21"/>
              </w:rPr>
            </w:pPr>
            <w:r w:rsidRPr="0059413F">
              <w:rPr>
                <w:szCs w:val="21"/>
              </w:rPr>
              <w:t>关联交易内容</w:t>
            </w:r>
          </w:p>
        </w:tc>
        <w:tc>
          <w:tcPr>
            <w:tcW w:w="1640" w:type="dxa"/>
            <w:vAlign w:val="center"/>
          </w:tcPr>
          <w:p w:rsidR="006A0D53" w:rsidRPr="0059413F" w:rsidRDefault="006A0D53" w:rsidP="004B4952">
            <w:pPr>
              <w:snapToGrid w:val="0"/>
              <w:jc w:val="center"/>
              <w:rPr>
                <w:szCs w:val="21"/>
              </w:rPr>
            </w:pPr>
            <w:r w:rsidRPr="0059413F">
              <w:rPr>
                <w:szCs w:val="21"/>
              </w:rPr>
              <w:t>本期发生额</w:t>
            </w:r>
          </w:p>
        </w:tc>
        <w:tc>
          <w:tcPr>
            <w:tcW w:w="1864" w:type="dxa"/>
            <w:vAlign w:val="center"/>
          </w:tcPr>
          <w:p w:rsidR="006A0D53" w:rsidRPr="0059413F" w:rsidRDefault="006A0D53" w:rsidP="004B4952">
            <w:pPr>
              <w:snapToGrid w:val="0"/>
              <w:jc w:val="center"/>
              <w:rPr>
                <w:szCs w:val="21"/>
              </w:rPr>
            </w:pPr>
            <w:r w:rsidRPr="0059413F">
              <w:rPr>
                <w:szCs w:val="21"/>
              </w:rPr>
              <w:t>上期发生额</w:t>
            </w:r>
          </w:p>
        </w:tc>
      </w:tr>
      <w:tr w:rsidR="006A0D53" w:rsidRPr="0059413F" w:rsidTr="004B4952">
        <w:trPr>
          <w:trHeight w:val="283"/>
        </w:trPr>
        <w:tc>
          <w:tcPr>
            <w:tcW w:w="3514" w:type="dxa"/>
            <w:vAlign w:val="bottom"/>
          </w:tcPr>
          <w:p w:rsidR="006A0D53" w:rsidRPr="0059413F" w:rsidRDefault="006A0D53" w:rsidP="004B4952">
            <w:pPr>
              <w:snapToGrid w:val="0"/>
              <w:ind w:left="181" w:hanging="181"/>
              <w:rPr>
                <w:szCs w:val="21"/>
              </w:rPr>
            </w:pPr>
            <w:r w:rsidRPr="0059413F">
              <w:rPr>
                <w:szCs w:val="21"/>
              </w:rPr>
              <w:t>国铁集团及其下属单位</w:t>
            </w:r>
          </w:p>
        </w:tc>
        <w:tc>
          <w:tcPr>
            <w:tcW w:w="2035" w:type="dxa"/>
            <w:vAlign w:val="center"/>
          </w:tcPr>
          <w:p w:rsidR="006A0D53" w:rsidRPr="0059413F" w:rsidRDefault="006A0D53" w:rsidP="004B4952">
            <w:pPr>
              <w:snapToGrid w:val="0"/>
              <w:ind w:left="107" w:firstLine="35"/>
              <w:rPr>
                <w:szCs w:val="21"/>
              </w:rPr>
            </w:pPr>
            <w:r w:rsidRPr="0059413F">
              <w:rPr>
                <w:szCs w:val="21"/>
              </w:rPr>
              <w:t>货车使用费支出</w:t>
            </w:r>
          </w:p>
        </w:tc>
        <w:tc>
          <w:tcPr>
            <w:tcW w:w="1640" w:type="dxa"/>
            <w:vAlign w:val="bottom"/>
          </w:tcPr>
          <w:p w:rsidR="006A0D53" w:rsidRPr="0059413F" w:rsidRDefault="006A0D53" w:rsidP="004B4952">
            <w:pPr>
              <w:snapToGrid w:val="0"/>
              <w:ind w:right="98"/>
              <w:jc w:val="right"/>
              <w:rPr>
                <w:szCs w:val="21"/>
              </w:rPr>
            </w:pPr>
            <w:r w:rsidRPr="0059413F">
              <w:rPr>
                <w:szCs w:val="21"/>
              </w:rPr>
              <w:t>3,363,897,819</w:t>
            </w:r>
          </w:p>
        </w:tc>
        <w:tc>
          <w:tcPr>
            <w:tcW w:w="1864" w:type="dxa"/>
            <w:vAlign w:val="bottom"/>
          </w:tcPr>
          <w:p w:rsidR="006A0D53" w:rsidRPr="0059413F" w:rsidRDefault="006A0D53" w:rsidP="004B4952">
            <w:pPr>
              <w:snapToGrid w:val="0"/>
              <w:ind w:right="124"/>
              <w:jc w:val="right"/>
              <w:rPr>
                <w:szCs w:val="21"/>
              </w:rPr>
            </w:pPr>
            <w:r w:rsidRPr="0059413F">
              <w:rPr>
                <w:szCs w:val="21"/>
              </w:rPr>
              <w:t>3,165,350,252</w:t>
            </w:r>
          </w:p>
        </w:tc>
      </w:tr>
      <w:tr w:rsidR="006A0D53" w:rsidRPr="0059413F" w:rsidTr="004B4952">
        <w:trPr>
          <w:trHeight w:val="283"/>
        </w:trPr>
        <w:tc>
          <w:tcPr>
            <w:tcW w:w="3514" w:type="dxa"/>
            <w:vAlign w:val="bottom"/>
          </w:tcPr>
          <w:p w:rsidR="006A0D53" w:rsidRPr="0059413F" w:rsidRDefault="006A0D53" w:rsidP="004B4952">
            <w:pPr>
              <w:snapToGrid w:val="0"/>
              <w:ind w:left="181" w:hanging="181"/>
              <w:rPr>
                <w:szCs w:val="21"/>
              </w:rPr>
            </w:pPr>
            <w:r w:rsidRPr="0059413F">
              <w:rPr>
                <w:szCs w:val="21"/>
              </w:rPr>
              <w:t>国铁集团及其下属单位</w:t>
            </w:r>
          </w:p>
        </w:tc>
        <w:tc>
          <w:tcPr>
            <w:tcW w:w="2035" w:type="dxa"/>
            <w:vAlign w:val="center"/>
          </w:tcPr>
          <w:p w:rsidR="006A0D53" w:rsidRPr="0059413F" w:rsidRDefault="006A0D53" w:rsidP="004B4952">
            <w:pPr>
              <w:snapToGrid w:val="0"/>
              <w:ind w:left="107" w:firstLine="35"/>
              <w:rPr>
                <w:szCs w:val="21"/>
              </w:rPr>
            </w:pPr>
            <w:r w:rsidRPr="0059413F">
              <w:rPr>
                <w:szCs w:val="21"/>
              </w:rPr>
              <w:t>机客车租赁费</w:t>
            </w:r>
          </w:p>
        </w:tc>
        <w:tc>
          <w:tcPr>
            <w:tcW w:w="1640" w:type="dxa"/>
            <w:vAlign w:val="bottom"/>
          </w:tcPr>
          <w:p w:rsidR="006A0D53" w:rsidRPr="0059413F" w:rsidRDefault="006A0D53" w:rsidP="004B4952">
            <w:pPr>
              <w:snapToGrid w:val="0"/>
              <w:ind w:right="98"/>
              <w:jc w:val="right"/>
              <w:rPr>
                <w:szCs w:val="21"/>
              </w:rPr>
            </w:pPr>
            <w:r w:rsidRPr="0059413F">
              <w:rPr>
                <w:szCs w:val="21"/>
              </w:rPr>
              <w:t>913,001,297</w:t>
            </w:r>
          </w:p>
        </w:tc>
        <w:tc>
          <w:tcPr>
            <w:tcW w:w="1864" w:type="dxa"/>
            <w:vAlign w:val="bottom"/>
          </w:tcPr>
          <w:p w:rsidR="006A0D53" w:rsidRPr="0059413F" w:rsidRDefault="006A0D53" w:rsidP="004B4952">
            <w:pPr>
              <w:snapToGrid w:val="0"/>
              <w:ind w:right="124"/>
              <w:jc w:val="right"/>
              <w:rPr>
                <w:szCs w:val="21"/>
              </w:rPr>
            </w:pPr>
            <w:r w:rsidRPr="0059413F">
              <w:rPr>
                <w:szCs w:val="21"/>
              </w:rPr>
              <w:t>1,131,163,635</w:t>
            </w:r>
          </w:p>
        </w:tc>
      </w:tr>
      <w:tr w:rsidR="006A0D53" w:rsidRPr="0059413F" w:rsidTr="004B4952">
        <w:trPr>
          <w:trHeight w:val="283"/>
        </w:trPr>
        <w:tc>
          <w:tcPr>
            <w:tcW w:w="3514" w:type="dxa"/>
            <w:vAlign w:val="bottom"/>
          </w:tcPr>
          <w:p w:rsidR="006A0D53" w:rsidRPr="0059413F" w:rsidRDefault="006A0D53" w:rsidP="004B4952">
            <w:pPr>
              <w:snapToGrid w:val="0"/>
              <w:ind w:left="363" w:hanging="344"/>
              <w:rPr>
                <w:szCs w:val="21"/>
              </w:rPr>
            </w:pPr>
            <w:r w:rsidRPr="0059413F">
              <w:rPr>
                <w:szCs w:val="21"/>
              </w:rPr>
              <w:t>其中：太原局集团公司及其下属单位</w:t>
            </w:r>
          </w:p>
        </w:tc>
        <w:tc>
          <w:tcPr>
            <w:tcW w:w="2035" w:type="dxa"/>
            <w:vAlign w:val="center"/>
          </w:tcPr>
          <w:p w:rsidR="006A0D53" w:rsidRPr="0059413F" w:rsidRDefault="006A0D53" w:rsidP="004B4952">
            <w:pPr>
              <w:snapToGrid w:val="0"/>
              <w:ind w:left="107" w:firstLine="35"/>
              <w:rPr>
                <w:szCs w:val="21"/>
              </w:rPr>
            </w:pPr>
            <w:r w:rsidRPr="0059413F">
              <w:rPr>
                <w:szCs w:val="21"/>
              </w:rPr>
              <w:t>机客车租赁费</w:t>
            </w:r>
          </w:p>
        </w:tc>
        <w:tc>
          <w:tcPr>
            <w:tcW w:w="1640" w:type="dxa"/>
            <w:vAlign w:val="bottom"/>
          </w:tcPr>
          <w:p w:rsidR="006A0D53" w:rsidRPr="0059413F" w:rsidRDefault="006A0D53" w:rsidP="004B4952">
            <w:pPr>
              <w:snapToGrid w:val="0"/>
              <w:ind w:right="98"/>
              <w:jc w:val="right"/>
              <w:rPr>
                <w:szCs w:val="21"/>
              </w:rPr>
            </w:pPr>
            <w:r w:rsidRPr="0059413F">
              <w:rPr>
                <w:szCs w:val="21"/>
              </w:rPr>
              <w:t>912,235,939</w:t>
            </w:r>
          </w:p>
        </w:tc>
        <w:tc>
          <w:tcPr>
            <w:tcW w:w="1864" w:type="dxa"/>
            <w:vAlign w:val="bottom"/>
          </w:tcPr>
          <w:p w:rsidR="006A0D53" w:rsidRPr="0059413F" w:rsidRDefault="006A0D53" w:rsidP="004B4952">
            <w:pPr>
              <w:snapToGrid w:val="0"/>
              <w:ind w:right="124"/>
              <w:jc w:val="right"/>
              <w:rPr>
                <w:szCs w:val="21"/>
              </w:rPr>
            </w:pPr>
            <w:r w:rsidRPr="0059413F">
              <w:rPr>
                <w:szCs w:val="21"/>
              </w:rPr>
              <w:t>1,130,047,401</w:t>
            </w:r>
          </w:p>
        </w:tc>
      </w:tr>
      <w:tr w:rsidR="006A0D53" w:rsidRPr="0059413F" w:rsidTr="004B4952">
        <w:trPr>
          <w:trHeight w:val="283"/>
        </w:trPr>
        <w:tc>
          <w:tcPr>
            <w:tcW w:w="3514" w:type="dxa"/>
            <w:vAlign w:val="bottom"/>
          </w:tcPr>
          <w:p w:rsidR="006A0D53" w:rsidRPr="0059413F" w:rsidRDefault="006A0D53" w:rsidP="004B4952">
            <w:pPr>
              <w:snapToGrid w:val="0"/>
              <w:ind w:left="181" w:hanging="181"/>
              <w:rPr>
                <w:szCs w:val="21"/>
              </w:rPr>
            </w:pPr>
            <w:r w:rsidRPr="0059413F">
              <w:rPr>
                <w:szCs w:val="21"/>
              </w:rPr>
              <w:t>太原局集团公司及其下属单位</w:t>
            </w:r>
          </w:p>
        </w:tc>
        <w:tc>
          <w:tcPr>
            <w:tcW w:w="2035" w:type="dxa"/>
            <w:vAlign w:val="center"/>
          </w:tcPr>
          <w:p w:rsidR="006A0D53" w:rsidRPr="0059413F" w:rsidRDefault="006A0D53" w:rsidP="004B4952">
            <w:pPr>
              <w:snapToGrid w:val="0"/>
              <w:ind w:left="107" w:firstLine="35"/>
              <w:rPr>
                <w:szCs w:val="21"/>
              </w:rPr>
            </w:pPr>
            <w:r w:rsidRPr="0059413F">
              <w:rPr>
                <w:szCs w:val="21"/>
              </w:rPr>
              <w:t>土地房屋使用租赁</w:t>
            </w:r>
          </w:p>
        </w:tc>
        <w:tc>
          <w:tcPr>
            <w:tcW w:w="1640" w:type="dxa"/>
            <w:vAlign w:val="bottom"/>
          </w:tcPr>
          <w:p w:rsidR="006A0D53" w:rsidRPr="0059413F" w:rsidRDefault="006A0D53" w:rsidP="004B4952">
            <w:pPr>
              <w:snapToGrid w:val="0"/>
              <w:ind w:right="98"/>
              <w:jc w:val="right"/>
              <w:rPr>
                <w:szCs w:val="21"/>
              </w:rPr>
            </w:pPr>
            <w:r w:rsidRPr="0059413F">
              <w:rPr>
                <w:szCs w:val="21"/>
              </w:rPr>
              <w:t>704,797,615</w:t>
            </w:r>
          </w:p>
        </w:tc>
        <w:tc>
          <w:tcPr>
            <w:tcW w:w="1864" w:type="dxa"/>
            <w:vAlign w:val="bottom"/>
          </w:tcPr>
          <w:p w:rsidR="006A0D53" w:rsidRPr="0059413F" w:rsidRDefault="006A0D53" w:rsidP="004B4952">
            <w:pPr>
              <w:snapToGrid w:val="0"/>
              <w:ind w:right="124"/>
              <w:jc w:val="right"/>
              <w:rPr>
                <w:szCs w:val="21"/>
              </w:rPr>
            </w:pPr>
            <w:r w:rsidRPr="0059413F">
              <w:rPr>
                <w:szCs w:val="21"/>
              </w:rPr>
              <w:t>731,098,308</w:t>
            </w:r>
          </w:p>
        </w:tc>
      </w:tr>
      <w:tr w:rsidR="006A0D53" w:rsidRPr="0059413F" w:rsidTr="004B4952">
        <w:trPr>
          <w:trHeight w:val="283"/>
        </w:trPr>
        <w:tc>
          <w:tcPr>
            <w:tcW w:w="3514" w:type="dxa"/>
            <w:vAlign w:val="bottom"/>
          </w:tcPr>
          <w:p w:rsidR="006A0D53" w:rsidRPr="0059413F" w:rsidRDefault="006A0D53" w:rsidP="004B4952">
            <w:pPr>
              <w:snapToGrid w:val="0"/>
              <w:ind w:left="181" w:hanging="181"/>
              <w:rPr>
                <w:szCs w:val="21"/>
              </w:rPr>
            </w:pPr>
            <w:r w:rsidRPr="0059413F">
              <w:rPr>
                <w:szCs w:val="21"/>
              </w:rPr>
              <w:t>太原局集团公司及其下属单位</w:t>
            </w:r>
          </w:p>
        </w:tc>
        <w:tc>
          <w:tcPr>
            <w:tcW w:w="2035" w:type="dxa"/>
            <w:vAlign w:val="center"/>
          </w:tcPr>
          <w:p w:rsidR="006A0D53" w:rsidRPr="0059413F" w:rsidRDefault="006A0D53" w:rsidP="004B4952">
            <w:pPr>
              <w:tabs>
                <w:tab w:val="left" w:pos="865"/>
              </w:tabs>
              <w:snapToGrid w:val="0"/>
              <w:ind w:left="107" w:right="-25" w:firstLine="35"/>
              <w:rPr>
                <w:szCs w:val="21"/>
              </w:rPr>
            </w:pPr>
            <w:r w:rsidRPr="0059413F">
              <w:rPr>
                <w:szCs w:val="21"/>
              </w:rPr>
              <w:t>其他设施设备</w:t>
            </w:r>
            <w:r w:rsidRPr="0059413F">
              <w:rPr>
                <w:rFonts w:hint="eastAsia"/>
                <w:szCs w:val="21"/>
              </w:rPr>
              <w:t>租赁</w:t>
            </w:r>
            <w:r w:rsidRPr="0059413F">
              <w:rPr>
                <w:szCs w:val="21"/>
              </w:rPr>
              <w:t>费</w:t>
            </w:r>
          </w:p>
        </w:tc>
        <w:tc>
          <w:tcPr>
            <w:tcW w:w="1640" w:type="dxa"/>
            <w:vAlign w:val="bottom"/>
          </w:tcPr>
          <w:p w:rsidR="006A0D53" w:rsidRPr="0059413F" w:rsidRDefault="006A0D53" w:rsidP="004B4952">
            <w:pPr>
              <w:snapToGrid w:val="0"/>
              <w:ind w:right="98"/>
              <w:jc w:val="right"/>
              <w:rPr>
                <w:szCs w:val="21"/>
              </w:rPr>
            </w:pPr>
            <w:r w:rsidRPr="0059413F">
              <w:rPr>
                <w:szCs w:val="21"/>
              </w:rPr>
              <w:t>105,998,058</w:t>
            </w:r>
          </w:p>
        </w:tc>
        <w:tc>
          <w:tcPr>
            <w:tcW w:w="1864" w:type="dxa"/>
            <w:vAlign w:val="bottom"/>
          </w:tcPr>
          <w:p w:rsidR="006A0D53" w:rsidRPr="0059413F" w:rsidRDefault="006A0D53" w:rsidP="004B4952">
            <w:pPr>
              <w:snapToGrid w:val="0"/>
              <w:ind w:right="124"/>
              <w:jc w:val="right"/>
              <w:rPr>
                <w:szCs w:val="21"/>
              </w:rPr>
            </w:pPr>
            <w:r w:rsidRPr="0059413F">
              <w:rPr>
                <w:szCs w:val="21"/>
              </w:rPr>
              <w:t>106,486,989</w:t>
            </w:r>
          </w:p>
        </w:tc>
      </w:tr>
    </w:tbl>
    <w:p w:rsidR="006A0D53" w:rsidRDefault="006A0D53" w:rsidP="00F66245">
      <w:pPr>
        <w:pStyle w:val="7"/>
        <w:spacing w:before="100" w:after="0" w:line="319" w:lineRule="auto"/>
        <w:rPr>
          <w:rFonts w:cs="Arial"/>
          <w:b w:val="0"/>
          <w:sz w:val="22"/>
          <w:szCs w:val="22"/>
        </w:rPr>
      </w:pPr>
      <w:r w:rsidRPr="001F185D">
        <w:rPr>
          <w:rFonts w:cs="Arial" w:hint="eastAsia"/>
          <w:b w:val="0"/>
          <w:sz w:val="22"/>
          <w:szCs w:val="22"/>
        </w:rPr>
        <w:t>(</w:t>
      </w:r>
      <w:r>
        <w:rPr>
          <w:rFonts w:cs="Arial" w:hint="eastAsia"/>
          <w:b w:val="0"/>
          <w:sz w:val="22"/>
          <w:szCs w:val="22"/>
        </w:rPr>
        <w:t>a</w:t>
      </w:r>
      <w:r w:rsidRPr="001F185D">
        <w:rPr>
          <w:rFonts w:cs="Arial" w:hint="eastAsia"/>
          <w:b w:val="0"/>
          <w:sz w:val="22"/>
          <w:szCs w:val="22"/>
        </w:rPr>
        <w:t>)</w:t>
      </w:r>
      <w:r w:rsidRPr="001F185D">
        <w:rPr>
          <w:rFonts w:cs="Arial" w:hint="eastAsia"/>
          <w:b w:val="0"/>
          <w:sz w:val="22"/>
          <w:szCs w:val="22"/>
        </w:rPr>
        <w:tab/>
        <w:t>铁路相关服务</w:t>
      </w:r>
    </w:p>
    <w:p w:rsidR="006A0D53" w:rsidRPr="0059413F" w:rsidRDefault="006A0D53" w:rsidP="006A0D53">
      <w:pPr>
        <w:jc w:val="right"/>
      </w:pPr>
      <w:r w:rsidRPr="0059413F">
        <w:rPr>
          <w:rFonts w:hint="eastAsia"/>
        </w:rPr>
        <w:t>单位：元</w:t>
      </w:r>
      <w:r w:rsidRPr="0059413F">
        <w:t xml:space="preserve"> 币种：人民币</w:t>
      </w: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28" w:type="dxa"/>
        </w:tblCellMar>
        <w:tblLook w:val="04A0"/>
      </w:tblPr>
      <w:tblGrid>
        <w:gridCol w:w="3491"/>
        <w:gridCol w:w="1969"/>
        <w:gridCol w:w="1667"/>
        <w:gridCol w:w="1818"/>
      </w:tblGrid>
      <w:tr w:rsidR="006A0D53" w:rsidRPr="00AB091B" w:rsidTr="004B4952">
        <w:trPr>
          <w:trHeight w:val="243"/>
        </w:trPr>
        <w:tc>
          <w:tcPr>
            <w:tcW w:w="3491" w:type="dxa"/>
            <w:vAlign w:val="center"/>
          </w:tcPr>
          <w:p w:rsidR="006A0D53" w:rsidRPr="0059413F" w:rsidRDefault="006A0D53" w:rsidP="004B4952">
            <w:pPr>
              <w:snapToGrid w:val="0"/>
              <w:ind w:left="181" w:hanging="181"/>
              <w:jc w:val="center"/>
              <w:rPr>
                <w:szCs w:val="21"/>
              </w:rPr>
            </w:pPr>
            <w:r w:rsidRPr="0059413F">
              <w:rPr>
                <w:szCs w:val="21"/>
              </w:rPr>
              <w:t>关联方</w:t>
            </w:r>
          </w:p>
        </w:tc>
        <w:tc>
          <w:tcPr>
            <w:tcW w:w="1969" w:type="dxa"/>
            <w:vAlign w:val="center"/>
          </w:tcPr>
          <w:p w:rsidR="006A0D53" w:rsidRPr="0059413F" w:rsidRDefault="006A0D53" w:rsidP="004B4952">
            <w:pPr>
              <w:snapToGrid w:val="0"/>
              <w:jc w:val="center"/>
              <w:rPr>
                <w:szCs w:val="21"/>
              </w:rPr>
            </w:pPr>
            <w:r w:rsidRPr="0059413F">
              <w:rPr>
                <w:szCs w:val="21"/>
              </w:rPr>
              <w:t>关联交易内容</w:t>
            </w:r>
          </w:p>
        </w:tc>
        <w:tc>
          <w:tcPr>
            <w:tcW w:w="1667" w:type="dxa"/>
            <w:vAlign w:val="center"/>
          </w:tcPr>
          <w:p w:rsidR="006A0D53" w:rsidRPr="0059413F" w:rsidRDefault="006A0D53" w:rsidP="004B4952">
            <w:pPr>
              <w:snapToGrid w:val="0"/>
              <w:jc w:val="center"/>
              <w:rPr>
                <w:szCs w:val="21"/>
              </w:rPr>
            </w:pPr>
            <w:r w:rsidRPr="0059413F">
              <w:rPr>
                <w:szCs w:val="21"/>
              </w:rPr>
              <w:t>本期发生额</w:t>
            </w:r>
          </w:p>
        </w:tc>
        <w:tc>
          <w:tcPr>
            <w:tcW w:w="1818" w:type="dxa"/>
            <w:vAlign w:val="center"/>
          </w:tcPr>
          <w:p w:rsidR="006A0D53" w:rsidRPr="0059413F" w:rsidRDefault="006A0D53" w:rsidP="004B4952">
            <w:pPr>
              <w:snapToGrid w:val="0"/>
              <w:jc w:val="center"/>
              <w:rPr>
                <w:szCs w:val="21"/>
              </w:rPr>
            </w:pPr>
            <w:r w:rsidRPr="0059413F">
              <w:rPr>
                <w:szCs w:val="21"/>
              </w:rPr>
              <w:t>上期发生额</w:t>
            </w:r>
          </w:p>
        </w:tc>
      </w:tr>
      <w:tr w:rsidR="006A0D53" w:rsidRPr="00AB091B" w:rsidTr="004B4952">
        <w:trPr>
          <w:trHeight w:val="485"/>
        </w:trPr>
        <w:tc>
          <w:tcPr>
            <w:tcW w:w="3491" w:type="dxa"/>
            <w:vAlign w:val="center"/>
          </w:tcPr>
          <w:p w:rsidR="006A0D53" w:rsidRPr="0059413F" w:rsidRDefault="006A0D53" w:rsidP="004B4952">
            <w:pPr>
              <w:snapToGrid w:val="0"/>
              <w:ind w:left="181" w:hanging="181"/>
              <w:rPr>
                <w:szCs w:val="21"/>
              </w:rPr>
            </w:pPr>
            <w:r w:rsidRPr="0059413F">
              <w:rPr>
                <w:szCs w:val="21"/>
              </w:rPr>
              <w:t>国铁集团及其下属单位</w:t>
            </w:r>
          </w:p>
        </w:tc>
        <w:tc>
          <w:tcPr>
            <w:tcW w:w="1969" w:type="dxa"/>
            <w:vAlign w:val="bottom"/>
          </w:tcPr>
          <w:p w:rsidR="006A0D53" w:rsidRPr="0059413F" w:rsidRDefault="006A0D53" w:rsidP="004B4952">
            <w:pPr>
              <w:snapToGrid w:val="0"/>
              <w:ind w:left="86"/>
              <w:rPr>
                <w:szCs w:val="21"/>
              </w:rPr>
            </w:pPr>
            <w:r w:rsidRPr="0059413F">
              <w:rPr>
                <w:szCs w:val="21"/>
              </w:rPr>
              <w:t>铁路基础设施及</w:t>
            </w:r>
            <w:r w:rsidRPr="0059413F">
              <w:rPr>
                <w:szCs w:val="21"/>
              </w:rPr>
              <w:br/>
              <w:t>设备维修服务支出</w:t>
            </w:r>
          </w:p>
        </w:tc>
        <w:tc>
          <w:tcPr>
            <w:tcW w:w="1667" w:type="dxa"/>
            <w:vAlign w:val="center"/>
          </w:tcPr>
          <w:p w:rsidR="006A0D53" w:rsidRPr="0059413F" w:rsidRDefault="006A0D53" w:rsidP="004B4952">
            <w:pPr>
              <w:snapToGrid w:val="0"/>
              <w:ind w:right="77"/>
              <w:jc w:val="right"/>
              <w:rPr>
                <w:szCs w:val="21"/>
              </w:rPr>
            </w:pPr>
            <w:r w:rsidRPr="0059413F">
              <w:rPr>
                <w:szCs w:val="21"/>
              </w:rPr>
              <w:t>69,157,518</w:t>
            </w:r>
          </w:p>
        </w:tc>
        <w:tc>
          <w:tcPr>
            <w:tcW w:w="1818" w:type="dxa"/>
            <w:vAlign w:val="center"/>
          </w:tcPr>
          <w:p w:rsidR="006A0D53" w:rsidRPr="0059413F" w:rsidRDefault="006A0D53" w:rsidP="004B4952">
            <w:pPr>
              <w:snapToGrid w:val="0"/>
              <w:ind w:right="103"/>
              <w:jc w:val="right"/>
              <w:rPr>
                <w:szCs w:val="21"/>
              </w:rPr>
            </w:pPr>
            <w:r w:rsidRPr="0059413F">
              <w:rPr>
                <w:szCs w:val="21"/>
              </w:rPr>
              <w:t>73,476,785</w:t>
            </w:r>
          </w:p>
        </w:tc>
      </w:tr>
      <w:tr w:rsidR="006A0D53" w:rsidRPr="00AB091B" w:rsidTr="004B4952">
        <w:trPr>
          <w:trHeight w:val="475"/>
        </w:trPr>
        <w:tc>
          <w:tcPr>
            <w:tcW w:w="3491" w:type="dxa"/>
            <w:vAlign w:val="center"/>
          </w:tcPr>
          <w:p w:rsidR="006A0D53" w:rsidRPr="0059413F" w:rsidRDefault="006A0D53" w:rsidP="004B4952">
            <w:pPr>
              <w:snapToGrid w:val="0"/>
              <w:ind w:left="363" w:hanging="363"/>
              <w:rPr>
                <w:szCs w:val="21"/>
              </w:rPr>
            </w:pPr>
            <w:r w:rsidRPr="0059413F">
              <w:rPr>
                <w:szCs w:val="21"/>
              </w:rPr>
              <w:t>其中：太原局集团公司及其下属单位</w:t>
            </w:r>
          </w:p>
        </w:tc>
        <w:tc>
          <w:tcPr>
            <w:tcW w:w="1969" w:type="dxa"/>
            <w:vAlign w:val="bottom"/>
          </w:tcPr>
          <w:p w:rsidR="006A0D53" w:rsidRPr="0059413F" w:rsidRDefault="006A0D53" w:rsidP="004B4952">
            <w:pPr>
              <w:snapToGrid w:val="0"/>
              <w:ind w:left="86"/>
              <w:rPr>
                <w:szCs w:val="21"/>
              </w:rPr>
            </w:pPr>
            <w:r w:rsidRPr="0059413F">
              <w:rPr>
                <w:szCs w:val="21"/>
              </w:rPr>
              <w:t>铁路基础设施及</w:t>
            </w:r>
            <w:r w:rsidRPr="0059413F">
              <w:rPr>
                <w:szCs w:val="21"/>
              </w:rPr>
              <w:br/>
              <w:t>设备维修服务支出</w:t>
            </w:r>
          </w:p>
        </w:tc>
        <w:tc>
          <w:tcPr>
            <w:tcW w:w="1667" w:type="dxa"/>
            <w:vAlign w:val="center"/>
          </w:tcPr>
          <w:p w:rsidR="006A0D53" w:rsidRPr="0059413F" w:rsidRDefault="006A0D53" w:rsidP="004B4952">
            <w:pPr>
              <w:snapToGrid w:val="0"/>
              <w:ind w:right="77"/>
              <w:jc w:val="right"/>
              <w:rPr>
                <w:szCs w:val="21"/>
              </w:rPr>
            </w:pPr>
            <w:r w:rsidRPr="0059413F">
              <w:rPr>
                <w:szCs w:val="21"/>
              </w:rPr>
              <w:t>31,475,472</w:t>
            </w:r>
          </w:p>
        </w:tc>
        <w:tc>
          <w:tcPr>
            <w:tcW w:w="1818" w:type="dxa"/>
            <w:vAlign w:val="center"/>
          </w:tcPr>
          <w:p w:rsidR="006A0D53" w:rsidRPr="0059413F" w:rsidRDefault="006A0D53" w:rsidP="004B4952">
            <w:pPr>
              <w:snapToGrid w:val="0"/>
              <w:ind w:right="103"/>
              <w:jc w:val="right"/>
              <w:rPr>
                <w:szCs w:val="21"/>
              </w:rPr>
            </w:pPr>
            <w:r w:rsidRPr="0059413F">
              <w:rPr>
                <w:szCs w:val="21"/>
              </w:rPr>
              <w:t>38,235,034</w:t>
            </w:r>
          </w:p>
        </w:tc>
      </w:tr>
      <w:tr w:rsidR="006A0D53" w:rsidRPr="00AB091B" w:rsidTr="004B4952">
        <w:trPr>
          <w:trHeight w:val="485"/>
        </w:trPr>
        <w:tc>
          <w:tcPr>
            <w:tcW w:w="3491" w:type="dxa"/>
            <w:vAlign w:val="center"/>
          </w:tcPr>
          <w:p w:rsidR="006A0D53" w:rsidRPr="0059413F" w:rsidRDefault="006A0D53" w:rsidP="004B4952">
            <w:pPr>
              <w:snapToGrid w:val="0"/>
              <w:ind w:left="181" w:hanging="181"/>
              <w:rPr>
                <w:szCs w:val="21"/>
              </w:rPr>
            </w:pPr>
            <w:r w:rsidRPr="0059413F">
              <w:rPr>
                <w:szCs w:val="21"/>
              </w:rPr>
              <w:t>国铁集团及其下属单位</w:t>
            </w:r>
          </w:p>
        </w:tc>
        <w:tc>
          <w:tcPr>
            <w:tcW w:w="1969" w:type="dxa"/>
            <w:vAlign w:val="bottom"/>
          </w:tcPr>
          <w:p w:rsidR="006A0D53" w:rsidRPr="0059413F" w:rsidRDefault="006A0D53" w:rsidP="004B4952">
            <w:pPr>
              <w:snapToGrid w:val="0"/>
              <w:ind w:left="86"/>
              <w:rPr>
                <w:szCs w:val="21"/>
              </w:rPr>
            </w:pPr>
            <w:r w:rsidRPr="0059413F">
              <w:rPr>
                <w:szCs w:val="21"/>
              </w:rPr>
              <w:t>机客货车维修</w:t>
            </w:r>
            <w:r w:rsidRPr="0059413F">
              <w:rPr>
                <w:szCs w:val="21"/>
              </w:rPr>
              <w:br/>
              <w:t>服务支出</w:t>
            </w:r>
          </w:p>
        </w:tc>
        <w:tc>
          <w:tcPr>
            <w:tcW w:w="1667" w:type="dxa"/>
            <w:vAlign w:val="center"/>
          </w:tcPr>
          <w:p w:rsidR="006A0D53" w:rsidRPr="0059413F" w:rsidRDefault="006A0D53" w:rsidP="004B4952">
            <w:pPr>
              <w:snapToGrid w:val="0"/>
              <w:ind w:right="77"/>
              <w:jc w:val="right"/>
              <w:rPr>
                <w:szCs w:val="21"/>
              </w:rPr>
            </w:pPr>
            <w:r w:rsidRPr="0059413F">
              <w:rPr>
                <w:szCs w:val="21"/>
              </w:rPr>
              <w:t>25,541,896</w:t>
            </w:r>
          </w:p>
        </w:tc>
        <w:tc>
          <w:tcPr>
            <w:tcW w:w="1818" w:type="dxa"/>
            <w:vAlign w:val="center"/>
          </w:tcPr>
          <w:p w:rsidR="006A0D53" w:rsidRPr="0059413F" w:rsidRDefault="006A0D53" w:rsidP="004B4952">
            <w:pPr>
              <w:snapToGrid w:val="0"/>
              <w:ind w:right="103"/>
              <w:jc w:val="right"/>
              <w:rPr>
                <w:szCs w:val="21"/>
              </w:rPr>
            </w:pPr>
            <w:r w:rsidRPr="0059413F">
              <w:rPr>
                <w:szCs w:val="21"/>
              </w:rPr>
              <w:t>41,806,137</w:t>
            </w:r>
          </w:p>
        </w:tc>
      </w:tr>
      <w:tr w:rsidR="006A0D53" w:rsidRPr="00AB091B" w:rsidTr="004B4952">
        <w:trPr>
          <w:trHeight w:val="485"/>
        </w:trPr>
        <w:tc>
          <w:tcPr>
            <w:tcW w:w="3491" w:type="dxa"/>
            <w:vAlign w:val="center"/>
          </w:tcPr>
          <w:p w:rsidR="006A0D53" w:rsidRPr="0059413F" w:rsidRDefault="006A0D53" w:rsidP="004B4952">
            <w:pPr>
              <w:snapToGrid w:val="0"/>
              <w:ind w:left="363" w:hanging="363"/>
              <w:rPr>
                <w:szCs w:val="21"/>
              </w:rPr>
            </w:pPr>
            <w:r w:rsidRPr="0059413F">
              <w:rPr>
                <w:szCs w:val="21"/>
              </w:rPr>
              <w:t>其中：太原局集团公司及其下属单位</w:t>
            </w:r>
          </w:p>
        </w:tc>
        <w:tc>
          <w:tcPr>
            <w:tcW w:w="1969" w:type="dxa"/>
            <w:vAlign w:val="bottom"/>
          </w:tcPr>
          <w:p w:rsidR="006A0D53" w:rsidRPr="0059413F" w:rsidRDefault="006A0D53" w:rsidP="004B4952">
            <w:pPr>
              <w:snapToGrid w:val="0"/>
              <w:ind w:left="86"/>
              <w:rPr>
                <w:szCs w:val="21"/>
              </w:rPr>
            </w:pPr>
            <w:r w:rsidRPr="0059413F">
              <w:rPr>
                <w:szCs w:val="21"/>
              </w:rPr>
              <w:t>机客货车维修</w:t>
            </w:r>
            <w:r w:rsidRPr="0059413F">
              <w:rPr>
                <w:szCs w:val="21"/>
              </w:rPr>
              <w:br/>
              <w:t>服务支出</w:t>
            </w:r>
          </w:p>
        </w:tc>
        <w:tc>
          <w:tcPr>
            <w:tcW w:w="1667" w:type="dxa"/>
            <w:vAlign w:val="center"/>
          </w:tcPr>
          <w:p w:rsidR="006A0D53" w:rsidRPr="0059413F" w:rsidRDefault="006A0D53" w:rsidP="004B4952">
            <w:pPr>
              <w:snapToGrid w:val="0"/>
              <w:ind w:right="77"/>
              <w:jc w:val="right"/>
              <w:rPr>
                <w:szCs w:val="21"/>
              </w:rPr>
            </w:pPr>
            <w:r w:rsidRPr="0059413F">
              <w:rPr>
                <w:szCs w:val="21"/>
              </w:rPr>
              <w:t>14,129,159</w:t>
            </w:r>
          </w:p>
        </w:tc>
        <w:tc>
          <w:tcPr>
            <w:tcW w:w="1818" w:type="dxa"/>
            <w:vAlign w:val="center"/>
          </w:tcPr>
          <w:p w:rsidR="006A0D53" w:rsidRPr="0059413F" w:rsidRDefault="006A0D53" w:rsidP="004B4952">
            <w:pPr>
              <w:snapToGrid w:val="0"/>
              <w:ind w:right="103"/>
              <w:jc w:val="right"/>
              <w:rPr>
                <w:szCs w:val="21"/>
              </w:rPr>
            </w:pPr>
            <w:r w:rsidRPr="0059413F">
              <w:rPr>
                <w:szCs w:val="21"/>
              </w:rPr>
              <w:t>24,486,700</w:t>
            </w:r>
          </w:p>
        </w:tc>
      </w:tr>
      <w:tr w:rsidR="006A0D53" w:rsidRPr="00AB091B" w:rsidTr="004B4952">
        <w:trPr>
          <w:trHeight w:val="232"/>
        </w:trPr>
        <w:tc>
          <w:tcPr>
            <w:tcW w:w="3491" w:type="dxa"/>
            <w:vAlign w:val="center"/>
          </w:tcPr>
          <w:p w:rsidR="006A0D53" w:rsidRPr="0059413F" w:rsidRDefault="006A0D53" w:rsidP="004B4952">
            <w:pPr>
              <w:snapToGrid w:val="0"/>
              <w:ind w:left="181" w:hanging="181"/>
              <w:rPr>
                <w:szCs w:val="21"/>
              </w:rPr>
            </w:pPr>
            <w:r w:rsidRPr="0059413F">
              <w:rPr>
                <w:szCs w:val="21"/>
              </w:rPr>
              <w:t>国铁集团及其下属单位</w:t>
            </w:r>
          </w:p>
        </w:tc>
        <w:tc>
          <w:tcPr>
            <w:tcW w:w="1969" w:type="dxa"/>
            <w:vAlign w:val="bottom"/>
          </w:tcPr>
          <w:p w:rsidR="006A0D53" w:rsidRPr="0059413F" w:rsidRDefault="006A0D53" w:rsidP="004B4952">
            <w:pPr>
              <w:snapToGrid w:val="0"/>
              <w:ind w:left="86"/>
              <w:rPr>
                <w:szCs w:val="21"/>
              </w:rPr>
            </w:pPr>
            <w:r w:rsidRPr="0059413F">
              <w:rPr>
                <w:szCs w:val="21"/>
              </w:rPr>
              <w:t>物资采购</w:t>
            </w:r>
          </w:p>
        </w:tc>
        <w:tc>
          <w:tcPr>
            <w:tcW w:w="1667" w:type="dxa"/>
            <w:vAlign w:val="center"/>
          </w:tcPr>
          <w:p w:rsidR="006A0D53" w:rsidRPr="0059413F" w:rsidRDefault="006A0D53" w:rsidP="004B4952">
            <w:pPr>
              <w:snapToGrid w:val="0"/>
              <w:ind w:right="77"/>
              <w:jc w:val="right"/>
              <w:rPr>
                <w:szCs w:val="21"/>
              </w:rPr>
            </w:pPr>
            <w:r w:rsidRPr="0059413F">
              <w:rPr>
                <w:szCs w:val="21"/>
              </w:rPr>
              <w:t>440,410,030</w:t>
            </w:r>
          </w:p>
        </w:tc>
        <w:tc>
          <w:tcPr>
            <w:tcW w:w="1818" w:type="dxa"/>
            <w:vAlign w:val="center"/>
          </w:tcPr>
          <w:p w:rsidR="006A0D53" w:rsidRPr="0059413F" w:rsidRDefault="006A0D53" w:rsidP="004B4952">
            <w:pPr>
              <w:snapToGrid w:val="0"/>
              <w:ind w:right="103"/>
              <w:jc w:val="right"/>
              <w:rPr>
                <w:szCs w:val="21"/>
              </w:rPr>
            </w:pPr>
            <w:r w:rsidRPr="0059413F">
              <w:rPr>
                <w:szCs w:val="21"/>
              </w:rPr>
              <w:t>477,959,327</w:t>
            </w:r>
          </w:p>
        </w:tc>
      </w:tr>
      <w:tr w:rsidR="006A0D53" w:rsidRPr="00AB091B" w:rsidTr="004B4952">
        <w:trPr>
          <w:trHeight w:val="243"/>
        </w:trPr>
        <w:tc>
          <w:tcPr>
            <w:tcW w:w="3491" w:type="dxa"/>
            <w:vAlign w:val="center"/>
          </w:tcPr>
          <w:p w:rsidR="006A0D53" w:rsidRPr="0059413F" w:rsidRDefault="006A0D53" w:rsidP="004B4952">
            <w:pPr>
              <w:snapToGrid w:val="0"/>
              <w:ind w:left="363" w:hanging="363"/>
              <w:rPr>
                <w:szCs w:val="21"/>
              </w:rPr>
            </w:pPr>
            <w:r w:rsidRPr="0059413F">
              <w:rPr>
                <w:szCs w:val="21"/>
              </w:rPr>
              <w:t>其中：太原局集团公司及其下属单位</w:t>
            </w:r>
          </w:p>
        </w:tc>
        <w:tc>
          <w:tcPr>
            <w:tcW w:w="1969" w:type="dxa"/>
            <w:vAlign w:val="bottom"/>
          </w:tcPr>
          <w:p w:rsidR="006A0D53" w:rsidRPr="0059413F" w:rsidRDefault="006A0D53" w:rsidP="004B4952">
            <w:pPr>
              <w:snapToGrid w:val="0"/>
              <w:ind w:left="86"/>
              <w:rPr>
                <w:szCs w:val="21"/>
              </w:rPr>
            </w:pPr>
            <w:r w:rsidRPr="0059413F">
              <w:rPr>
                <w:szCs w:val="21"/>
              </w:rPr>
              <w:t>物资采购</w:t>
            </w:r>
          </w:p>
        </w:tc>
        <w:tc>
          <w:tcPr>
            <w:tcW w:w="1667" w:type="dxa"/>
            <w:vAlign w:val="center"/>
          </w:tcPr>
          <w:p w:rsidR="006A0D53" w:rsidRPr="0059413F" w:rsidRDefault="006A0D53" w:rsidP="004B4952">
            <w:pPr>
              <w:snapToGrid w:val="0"/>
              <w:ind w:right="77"/>
              <w:jc w:val="right"/>
              <w:rPr>
                <w:szCs w:val="21"/>
              </w:rPr>
            </w:pPr>
            <w:r w:rsidRPr="0059413F">
              <w:rPr>
                <w:szCs w:val="21"/>
              </w:rPr>
              <w:t>361,736,514</w:t>
            </w:r>
          </w:p>
        </w:tc>
        <w:tc>
          <w:tcPr>
            <w:tcW w:w="1818" w:type="dxa"/>
            <w:vAlign w:val="center"/>
          </w:tcPr>
          <w:p w:rsidR="006A0D53" w:rsidRPr="0059413F" w:rsidRDefault="006A0D53" w:rsidP="004B4952">
            <w:pPr>
              <w:snapToGrid w:val="0"/>
              <w:ind w:right="103"/>
              <w:jc w:val="right"/>
              <w:rPr>
                <w:szCs w:val="21"/>
              </w:rPr>
            </w:pPr>
            <w:r w:rsidRPr="0059413F">
              <w:rPr>
                <w:szCs w:val="21"/>
              </w:rPr>
              <w:t>469,734,753</w:t>
            </w:r>
          </w:p>
        </w:tc>
      </w:tr>
      <w:tr w:rsidR="006A0D53" w:rsidRPr="00AB091B" w:rsidTr="004B4952">
        <w:trPr>
          <w:trHeight w:val="243"/>
        </w:trPr>
        <w:tc>
          <w:tcPr>
            <w:tcW w:w="3491" w:type="dxa"/>
            <w:vAlign w:val="center"/>
          </w:tcPr>
          <w:p w:rsidR="006A0D53" w:rsidRPr="0059413F" w:rsidRDefault="006A0D53" w:rsidP="004B4952">
            <w:pPr>
              <w:snapToGrid w:val="0"/>
              <w:ind w:left="181" w:hanging="181"/>
              <w:rPr>
                <w:szCs w:val="21"/>
              </w:rPr>
            </w:pPr>
            <w:r w:rsidRPr="0059413F">
              <w:rPr>
                <w:szCs w:val="21"/>
              </w:rPr>
              <w:t>国铁集团及其下属单位</w:t>
            </w:r>
          </w:p>
        </w:tc>
        <w:tc>
          <w:tcPr>
            <w:tcW w:w="1969" w:type="dxa"/>
            <w:vAlign w:val="bottom"/>
          </w:tcPr>
          <w:p w:rsidR="006A0D53" w:rsidRPr="0059413F" w:rsidRDefault="006A0D53" w:rsidP="004B4952">
            <w:pPr>
              <w:snapToGrid w:val="0"/>
              <w:ind w:left="86"/>
              <w:rPr>
                <w:szCs w:val="21"/>
              </w:rPr>
            </w:pPr>
            <w:r w:rsidRPr="0059413F">
              <w:rPr>
                <w:szCs w:val="21"/>
              </w:rPr>
              <w:t>铁路后勤服务支出</w:t>
            </w:r>
          </w:p>
        </w:tc>
        <w:tc>
          <w:tcPr>
            <w:tcW w:w="1667" w:type="dxa"/>
            <w:vAlign w:val="center"/>
          </w:tcPr>
          <w:p w:rsidR="006A0D53" w:rsidRPr="0059413F" w:rsidRDefault="006A0D53" w:rsidP="004B4952">
            <w:pPr>
              <w:snapToGrid w:val="0"/>
              <w:ind w:right="77"/>
              <w:jc w:val="right"/>
              <w:rPr>
                <w:szCs w:val="21"/>
              </w:rPr>
            </w:pPr>
            <w:r w:rsidRPr="0059413F">
              <w:rPr>
                <w:szCs w:val="21"/>
              </w:rPr>
              <w:t>215,835,973</w:t>
            </w:r>
          </w:p>
        </w:tc>
        <w:tc>
          <w:tcPr>
            <w:tcW w:w="1818" w:type="dxa"/>
            <w:vAlign w:val="center"/>
          </w:tcPr>
          <w:p w:rsidR="006A0D53" w:rsidRPr="0059413F" w:rsidRDefault="006A0D53" w:rsidP="004B4952">
            <w:pPr>
              <w:snapToGrid w:val="0"/>
              <w:ind w:right="103"/>
              <w:jc w:val="right"/>
              <w:rPr>
                <w:szCs w:val="21"/>
              </w:rPr>
            </w:pPr>
            <w:r w:rsidRPr="0059413F">
              <w:rPr>
                <w:szCs w:val="21"/>
              </w:rPr>
              <w:t>227,075,216</w:t>
            </w:r>
          </w:p>
        </w:tc>
      </w:tr>
      <w:tr w:rsidR="006A0D53" w:rsidRPr="00AB091B" w:rsidTr="004B4952">
        <w:trPr>
          <w:trHeight w:val="243"/>
        </w:trPr>
        <w:tc>
          <w:tcPr>
            <w:tcW w:w="3491" w:type="dxa"/>
            <w:vAlign w:val="center"/>
          </w:tcPr>
          <w:p w:rsidR="006A0D53" w:rsidRPr="0059413F" w:rsidRDefault="006A0D53" w:rsidP="004B4952">
            <w:pPr>
              <w:snapToGrid w:val="0"/>
              <w:ind w:left="363" w:hanging="363"/>
              <w:rPr>
                <w:szCs w:val="21"/>
              </w:rPr>
            </w:pPr>
            <w:r w:rsidRPr="0059413F">
              <w:rPr>
                <w:szCs w:val="21"/>
              </w:rPr>
              <w:t>其中：太原局集团公司及其下属单位</w:t>
            </w:r>
          </w:p>
        </w:tc>
        <w:tc>
          <w:tcPr>
            <w:tcW w:w="1969" w:type="dxa"/>
            <w:vAlign w:val="bottom"/>
          </w:tcPr>
          <w:p w:rsidR="006A0D53" w:rsidRPr="0059413F" w:rsidRDefault="006A0D53" w:rsidP="004B4952">
            <w:pPr>
              <w:snapToGrid w:val="0"/>
              <w:ind w:left="86"/>
              <w:rPr>
                <w:szCs w:val="21"/>
              </w:rPr>
            </w:pPr>
            <w:r w:rsidRPr="0059413F">
              <w:rPr>
                <w:szCs w:val="21"/>
              </w:rPr>
              <w:t>铁路后勤服务支出</w:t>
            </w:r>
          </w:p>
        </w:tc>
        <w:tc>
          <w:tcPr>
            <w:tcW w:w="1667" w:type="dxa"/>
            <w:vAlign w:val="center"/>
          </w:tcPr>
          <w:p w:rsidR="006A0D53" w:rsidRPr="0059413F" w:rsidRDefault="006A0D53" w:rsidP="004B4952">
            <w:pPr>
              <w:snapToGrid w:val="0"/>
              <w:ind w:right="77"/>
              <w:jc w:val="right"/>
              <w:rPr>
                <w:szCs w:val="21"/>
              </w:rPr>
            </w:pPr>
            <w:r w:rsidRPr="0059413F">
              <w:rPr>
                <w:szCs w:val="21"/>
              </w:rPr>
              <w:t>167,511,496</w:t>
            </w:r>
          </w:p>
        </w:tc>
        <w:tc>
          <w:tcPr>
            <w:tcW w:w="1818" w:type="dxa"/>
            <w:vAlign w:val="center"/>
          </w:tcPr>
          <w:p w:rsidR="006A0D53" w:rsidRPr="0059413F" w:rsidRDefault="006A0D53" w:rsidP="004B4952">
            <w:pPr>
              <w:snapToGrid w:val="0"/>
              <w:ind w:right="103"/>
              <w:jc w:val="right"/>
              <w:rPr>
                <w:szCs w:val="21"/>
              </w:rPr>
            </w:pPr>
            <w:r w:rsidRPr="0059413F">
              <w:rPr>
                <w:szCs w:val="21"/>
              </w:rPr>
              <w:t>195,835,790</w:t>
            </w:r>
          </w:p>
        </w:tc>
      </w:tr>
    </w:tbl>
    <w:p w:rsidR="006A0D53" w:rsidRDefault="006A0D53" w:rsidP="00F66245">
      <w:pPr>
        <w:pStyle w:val="7"/>
        <w:spacing w:before="100" w:after="0" w:line="319" w:lineRule="auto"/>
        <w:rPr>
          <w:rFonts w:cs="Arial"/>
          <w:b w:val="0"/>
          <w:sz w:val="22"/>
          <w:szCs w:val="22"/>
        </w:rPr>
      </w:pPr>
      <w:r w:rsidRPr="001F185D">
        <w:rPr>
          <w:rFonts w:cs="Arial" w:hint="eastAsia"/>
          <w:b w:val="0"/>
          <w:sz w:val="22"/>
          <w:szCs w:val="22"/>
        </w:rPr>
        <w:t>(</w:t>
      </w:r>
      <w:r>
        <w:rPr>
          <w:rFonts w:cs="Arial" w:hint="eastAsia"/>
          <w:b w:val="0"/>
          <w:sz w:val="22"/>
          <w:szCs w:val="22"/>
        </w:rPr>
        <w:t>b</w:t>
      </w:r>
      <w:r w:rsidRPr="001F185D">
        <w:rPr>
          <w:rFonts w:cs="Arial" w:hint="eastAsia"/>
          <w:b w:val="0"/>
          <w:sz w:val="22"/>
          <w:szCs w:val="22"/>
        </w:rPr>
        <w:t>)</w:t>
      </w:r>
      <w:r w:rsidRPr="001F185D">
        <w:rPr>
          <w:rFonts w:cs="Arial" w:hint="eastAsia"/>
          <w:b w:val="0"/>
          <w:sz w:val="22"/>
          <w:szCs w:val="22"/>
        </w:rPr>
        <w:tab/>
        <w:t>铁路专项委托运输服务</w:t>
      </w:r>
    </w:p>
    <w:p w:rsidR="006A0D53" w:rsidRPr="008651A8" w:rsidRDefault="006A0D53" w:rsidP="006A0D53">
      <w:pPr>
        <w:jc w:val="right"/>
      </w:pPr>
      <w:r w:rsidRPr="0059413F">
        <w:rPr>
          <w:rFonts w:hint="eastAsia"/>
        </w:rPr>
        <w:t>单位：元</w:t>
      </w:r>
      <w:r w:rsidRPr="0059413F">
        <w:t xml:space="preserve"> 币种：人民币</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28" w:type="dxa"/>
        </w:tblCellMar>
        <w:tblLook w:val="04A0"/>
      </w:tblPr>
      <w:tblGrid>
        <w:gridCol w:w="3544"/>
        <w:gridCol w:w="1843"/>
        <w:gridCol w:w="1559"/>
        <w:gridCol w:w="1843"/>
      </w:tblGrid>
      <w:tr w:rsidR="006A0D53" w:rsidRPr="00AB091B" w:rsidTr="004B4952">
        <w:tc>
          <w:tcPr>
            <w:tcW w:w="3544" w:type="dxa"/>
            <w:vAlign w:val="bottom"/>
          </w:tcPr>
          <w:p w:rsidR="006A0D53" w:rsidRPr="008651A8" w:rsidRDefault="006A0D53" w:rsidP="004B4952">
            <w:pPr>
              <w:snapToGrid w:val="0"/>
              <w:ind w:left="181" w:hanging="181"/>
              <w:jc w:val="center"/>
              <w:rPr>
                <w:szCs w:val="21"/>
              </w:rPr>
            </w:pPr>
            <w:r w:rsidRPr="008651A8">
              <w:rPr>
                <w:szCs w:val="21"/>
              </w:rPr>
              <w:t>关联方</w:t>
            </w:r>
          </w:p>
        </w:tc>
        <w:tc>
          <w:tcPr>
            <w:tcW w:w="1843" w:type="dxa"/>
            <w:vAlign w:val="bottom"/>
          </w:tcPr>
          <w:p w:rsidR="006A0D53" w:rsidRPr="008651A8" w:rsidRDefault="006A0D53" w:rsidP="004B4952">
            <w:pPr>
              <w:snapToGrid w:val="0"/>
              <w:jc w:val="center"/>
              <w:rPr>
                <w:szCs w:val="21"/>
              </w:rPr>
            </w:pPr>
            <w:r w:rsidRPr="008651A8">
              <w:rPr>
                <w:szCs w:val="21"/>
              </w:rPr>
              <w:t>关联交易内容</w:t>
            </w:r>
          </w:p>
        </w:tc>
        <w:tc>
          <w:tcPr>
            <w:tcW w:w="1559" w:type="dxa"/>
            <w:vAlign w:val="bottom"/>
          </w:tcPr>
          <w:p w:rsidR="006A0D53" w:rsidRPr="008651A8" w:rsidRDefault="006A0D53" w:rsidP="004B4952">
            <w:pPr>
              <w:snapToGrid w:val="0"/>
              <w:jc w:val="center"/>
              <w:rPr>
                <w:szCs w:val="21"/>
              </w:rPr>
            </w:pPr>
            <w:r w:rsidRPr="008651A8">
              <w:rPr>
                <w:szCs w:val="21"/>
              </w:rPr>
              <w:t>本期发生额</w:t>
            </w:r>
          </w:p>
        </w:tc>
        <w:tc>
          <w:tcPr>
            <w:tcW w:w="1843" w:type="dxa"/>
            <w:vAlign w:val="bottom"/>
          </w:tcPr>
          <w:p w:rsidR="006A0D53" w:rsidRPr="008651A8" w:rsidRDefault="006A0D53" w:rsidP="004B4952">
            <w:pPr>
              <w:snapToGrid w:val="0"/>
              <w:jc w:val="center"/>
              <w:rPr>
                <w:szCs w:val="21"/>
              </w:rPr>
            </w:pPr>
            <w:r w:rsidRPr="008651A8">
              <w:rPr>
                <w:szCs w:val="21"/>
              </w:rPr>
              <w:t>上期发生额</w:t>
            </w:r>
          </w:p>
        </w:tc>
      </w:tr>
      <w:tr w:rsidR="006A0D53" w:rsidRPr="00AB091B" w:rsidTr="004B4952">
        <w:tc>
          <w:tcPr>
            <w:tcW w:w="3544" w:type="dxa"/>
            <w:vAlign w:val="center"/>
          </w:tcPr>
          <w:p w:rsidR="006A0D53" w:rsidRPr="008651A8" w:rsidRDefault="006A0D53" w:rsidP="004B4952">
            <w:pPr>
              <w:snapToGrid w:val="0"/>
              <w:ind w:left="181" w:hanging="181"/>
              <w:rPr>
                <w:szCs w:val="21"/>
              </w:rPr>
            </w:pPr>
            <w:r w:rsidRPr="008651A8">
              <w:rPr>
                <w:szCs w:val="21"/>
              </w:rPr>
              <w:t>国铁集团及其下属单位</w:t>
            </w:r>
          </w:p>
        </w:tc>
        <w:tc>
          <w:tcPr>
            <w:tcW w:w="1843" w:type="dxa"/>
            <w:vAlign w:val="bottom"/>
          </w:tcPr>
          <w:p w:rsidR="006A0D53" w:rsidRPr="008651A8" w:rsidRDefault="006A0D53" w:rsidP="004B4952">
            <w:pPr>
              <w:snapToGrid w:val="0"/>
              <w:ind w:left="71"/>
              <w:rPr>
                <w:szCs w:val="21"/>
              </w:rPr>
            </w:pPr>
            <w:r w:rsidRPr="008651A8">
              <w:rPr>
                <w:szCs w:val="21"/>
              </w:rPr>
              <w:t>运输设施及</w:t>
            </w:r>
            <w:r w:rsidRPr="008651A8">
              <w:rPr>
                <w:szCs w:val="21"/>
              </w:rPr>
              <w:br/>
              <w:t>其他辅助服务支出</w:t>
            </w:r>
          </w:p>
        </w:tc>
        <w:tc>
          <w:tcPr>
            <w:tcW w:w="1559" w:type="dxa"/>
            <w:vAlign w:val="center"/>
          </w:tcPr>
          <w:p w:rsidR="006A0D53" w:rsidRPr="008651A8" w:rsidRDefault="006A0D53" w:rsidP="004B4952">
            <w:pPr>
              <w:snapToGrid w:val="0"/>
              <w:ind w:right="98"/>
              <w:jc w:val="right"/>
              <w:rPr>
                <w:szCs w:val="21"/>
              </w:rPr>
            </w:pPr>
            <w:r w:rsidRPr="008651A8">
              <w:rPr>
                <w:szCs w:val="21"/>
              </w:rPr>
              <w:t>98,882,962</w:t>
            </w:r>
          </w:p>
        </w:tc>
        <w:tc>
          <w:tcPr>
            <w:tcW w:w="1843" w:type="dxa"/>
            <w:vAlign w:val="center"/>
          </w:tcPr>
          <w:p w:rsidR="006A0D53" w:rsidRPr="008651A8" w:rsidRDefault="006A0D53" w:rsidP="004B4952">
            <w:pPr>
              <w:snapToGrid w:val="0"/>
              <w:ind w:right="79"/>
              <w:jc w:val="right"/>
              <w:rPr>
                <w:szCs w:val="21"/>
              </w:rPr>
            </w:pPr>
            <w:r w:rsidRPr="008651A8">
              <w:rPr>
                <w:szCs w:val="21"/>
              </w:rPr>
              <w:t>92,136,001</w:t>
            </w:r>
          </w:p>
        </w:tc>
      </w:tr>
      <w:tr w:rsidR="006A0D53" w:rsidRPr="00AB091B" w:rsidTr="004B4952">
        <w:tc>
          <w:tcPr>
            <w:tcW w:w="3544" w:type="dxa"/>
            <w:vAlign w:val="center"/>
          </w:tcPr>
          <w:p w:rsidR="006A0D53" w:rsidRPr="008651A8" w:rsidRDefault="006A0D53" w:rsidP="004B4952">
            <w:pPr>
              <w:snapToGrid w:val="0"/>
              <w:ind w:left="363" w:hanging="363"/>
              <w:rPr>
                <w:szCs w:val="21"/>
              </w:rPr>
            </w:pPr>
            <w:r w:rsidRPr="008651A8">
              <w:rPr>
                <w:szCs w:val="21"/>
              </w:rPr>
              <w:t>其中：太原局集团公司及其下属单位</w:t>
            </w:r>
          </w:p>
        </w:tc>
        <w:tc>
          <w:tcPr>
            <w:tcW w:w="1843" w:type="dxa"/>
            <w:vAlign w:val="bottom"/>
          </w:tcPr>
          <w:p w:rsidR="006A0D53" w:rsidRPr="008651A8" w:rsidRDefault="006A0D53" w:rsidP="004B4952">
            <w:pPr>
              <w:snapToGrid w:val="0"/>
              <w:ind w:left="71"/>
              <w:rPr>
                <w:szCs w:val="21"/>
              </w:rPr>
            </w:pPr>
            <w:r w:rsidRPr="008651A8">
              <w:rPr>
                <w:szCs w:val="21"/>
              </w:rPr>
              <w:t>运输设施及</w:t>
            </w:r>
            <w:r w:rsidRPr="008651A8">
              <w:rPr>
                <w:szCs w:val="21"/>
              </w:rPr>
              <w:br/>
              <w:t>其他辅助服务支出</w:t>
            </w:r>
          </w:p>
        </w:tc>
        <w:tc>
          <w:tcPr>
            <w:tcW w:w="1559" w:type="dxa"/>
            <w:vAlign w:val="center"/>
          </w:tcPr>
          <w:p w:rsidR="006A0D53" w:rsidRPr="008651A8" w:rsidRDefault="006A0D53" w:rsidP="004B4952">
            <w:pPr>
              <w:snapToGrid w:val="0"/>
              <w:ind w:right="98"/>
              <w:jc w:val="right"/>
              <w:rPr>
                <w:szCs w:val="21"/>
              </w:rPr>
            </w:pPr>
            <w:r w:rsidRPr="008651A8">
              <w:rPr>
                <w:szCs w:val="21"/>
              </w:rPr>
              <w:t>19,008,621</w:t>
            </w:r>
          </w:p>
        </w:tc>
        <w:tc>
          <w:tcPr>
            <w:tcW w:w="1843" w:type="dxa"/>
            <w:vAlign w:val="center"/>
          </w:tcPr>
          <w:p w:rsidR="006A0D53" w:rsidRPr="008651A8" w:rsidRDefault="006A0D53" w:rsidP="004B4952">
            <w:pPr>
              <w:snapToGrid w:val="0"/>
              <w:ind w:right="79"/>
              <w:jc w:val="right"/>
              <w:rPr>
                <w:szCs w:val="21"/>
              </w:rPr>
            </w:pPr>
            <w:r w:rsidRPr="008651A8">
              <w:rPr>
                <w:szCs w:val="21"/>
              </w:rPr>
              <w:t>43,536,001</w:t>
            </w:r>
          </w:p>
        </w:tc>
      </w:tr>
    </w:tbl>
    <w:p w:rsidR="006A0D53" w:rsidRDefault="006A0D53" w:rsidP="00F66245">
      <w:pPr>
        <w:pStyle w:val="7"/>
        <w:spacing w:before="100" w:after="0" w:line="319" w:lineRule="auto"/>
        <w:rPr>
          <w:rFonts w:cs="Arial"/>
          <w:b w:val="0"/>
          <w:sz w:val="22"/>
          <w:szCs w:val="22"/>
        </w:rPr>
      </w:pPr>
      <w:r w:rsidRPr="001F185D">
        <w:rPr>
          <w:rFonts w:cs="Arial" w:hint="eastAsia"/>
          <w:b w:val="0"/>
          <w:sz w:val="22"/>
          <w:szCs w:val="22"/>
        </w:rPr>
        <w:t>(</w:t>
      </w:r>
      <w:r>
        <w:rPr>
          <w:rFonts w:cs="Arial" w:hint="eastAsia"/>
          <w:b w:val="0"/>
          <w:sz w:val="22"/>
          <w:szCs w:val="22"/>
        </w:rPr>
        <w:t>c</w:t>
      </w:r>
      <w:r w:rsidRPr="001F185D">
        <w:rPr>
          <w:rFonts w:cs="Arial" w:hint="eastAsia"/>
          <w:b w:val="0"/>
          <w:sz w:val="22"/>
          <w:szCs w:val="22"/>
        </w:rPr>
        <w:t>)</w:t>
      </w:r>
      <w:r w:rsidRPr="001F185D">
        <w:rPr>
          <w:rFonts w:cs="Arial" w:hint="eastAsia"/>
          <w:b w:val="0"/>
          <w:sz w:val="22"/>
          <w:szCs w:val="22"/>
        </w:rPr>
        <w:tab/>
        <w:t>铁路其他服务</w:t>
      </w:r>
    </w:p>
    <w:p w:rsidR="006A0D53" w:rsidRPr="00170C02" w:rsidRDefault="006A0D53" w:rsidP="006A0D53">
      <w:pPr>
        <w:jc w:val="right"/>
        <w:rPr>
          <w:rFonts w:asciiTheme="majorEastAsia" w:eastAsiaTheme="majorEastAsia" w:hAnsiTheme="majorEastAsia"/>
        </w:rPr>
      </w:pPr>
      <w:r w:rsidRPr="00170C02">
        <w:rPr>
          <w:rFonts w:asciiTheme="majorEastAsia" w:eastAsiaTheme="majorEastAsia" w:hAnsiTheme="majorEastAsia" w:cs="PMingLiU" w:hint="eastAsia"/>
          <w:szCs w:val="21"/>
        </w:rPr>
        <w:t>单</w:t>
      </w:r>
      <w:r w:rsidRPr="00170C02">
        <w:rPr>
          <w:rFonts w:asciiTheme="majorEastAsia" w:eastAsiaTheme="majorEastAsia" w:hAnsiTheme="majorEastAsia" w:cs="Yu Gothic" w:hint="eastAsia"/>
          <w:szCs w:val="21"/>
        </w:rPr>
        <w:t>位：元</w:t>
      </w:r>
      <w:r w:rsidRPr="00170C02">
        <w:rPr>
          <w:rFonts w:asciiTheme="majorEastAsia" w:eastAsiaTheme="majorEastAsia" w:hAnsiTheme="majorEastAsia" w:cs="螳倶ｽ・"/>
          <w:szCs w:val="21"/>
        </w:rPr>
        <w:t xml:space="preserve"> </w:t>
      </w:r>
      <w:r w:rsidRPr="00170C02">
        <w:rPr>
          <w:rFonts w:asciiTheme="majorEastAsia" w:eastAsiaTheme="majorEastAsia" w:hAnsiTheme="majorEastAsia" w:cs="PMingLiU" w:hint="eastAsia"/>
          <w:szCs w:val="21"/>
        </w:rPr>
        <w:t>币</w:t>
      </w:r>
      <w:r w:rsidRPr="00170C02">
        <w:rPr>
          <w:rFonts w:asciiTheme="majorEastAsia" w:eastAsiaTheme="majorEastAsia" w:hAnsiTheme="majorEastAsia" w:cs="Yu Gothic" w:hint="eastAsia"/>
          <w:szCs w:val="21"/>
        </w:rPr>
        <w:t>种：人民</w:t>
      </w:r>
      <w:r w:rsidRPr="00170C02">
        <w:rPr>
          <w:rFonts w:asciiTheme="majorEastAsia" w:eastAsiaTheme="majorEastAsia" w:hAnsiTheme="majorEastAsia" w:cs="PMingLiU" w:hint="eastAsia"/>
          <w:szCs w:val="21"/>
        </w:rPr>
        <w:t>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28" w:type="dxa"/>
        </w:tblCellMar>
        <w:tblLook w:val="04A0"/>
      </w:tblPr>
      <w:tblGrid>
        <w:gridCol w:w="2952"/>
        <w:gridCol w:w="2305"/>
        <w:gridCol w:w="1800"/>
        <w:gridCol w:w="1800"/>
      </w:tblGrid>
      <w:tr w:rsidR="006A0D53" w:rsidRPr="00791F02" w:rsidTr="004B4952">
        <w:trPr>
          <w:trHeight w:val="265"/>
        </w:trPr>
        <w:tc>
          <w:tcPr>
            <w:tcW w:w="2952" w:type="dxa"/>
            <w:vAlign w:val="center"/>
          </w:tcPr>
          <w:p w:rsidR="006A0D53" w:rsidRPr="008651A8" w:rsidRDefault="006A0D53" w:rsidP="004B4952">
            <w:pPr>
              <w:snapToGrid w:val="0"/>
              <w:ind w:left="181" w:hanging="181"/>
              <w:jc w:val="center"/>
              <w:rPr>
                <w:szCs w:val="21"/>
              </w:rPr>
            </w:pPr>
            <w:r w:rsidRPr="008651A8">
              <w:rPr>
                <w:szCs w:val="21"/>
              </w:rPr>
              <w:t>关联方</w:t>
            </w:r>
          </w:p>
        </w:tc>
        <w:tc>
          <w:tcPr>
            <w:tcW w:w="2305" w:type="dxa"/>
            <w:vAlign w:val="center"/>
          </w:tcPr>
          <w:p w:rsidR="006A0D53" w:rsidRPr="008651A8" w:rsidRDefault="006A0D53" w:rsidP="004B4952">
            <w:pPr>
              <w:snapToGrid w:val="0"/>
              <w:jc w:val="center"/>
              <w:rPr>
                <w:szCs w:val="21"/>
              </w:rPr>
            </w:pPr>
            <w:r w:rsidRPr="008651A8">
              <w:rPr>
                <w:szCs w:val="21"/>
              </w:rPr>
              <w:t>关联交易内容</w:t>
            </w:r>
          </w:p>
        </w:tc>
        <w:tc>
          <w:tcPr>
            <w:tcW w:w="1800" w:type="dxa"/>
            <w:vAlign w:val="center"/>
          </w:tcPr>
          <w:p w:rsidR="006A0D53" w:rsidRPr="008651A8" w:rsidRDefault="006A0D53" w:rsidP="004B4952">
            <w:pPr>
              <w:snapToGrid w:val="0"/>
              <w:jc w:val="center"/>
              <w:rPr>
                <w:szCs w:val="21"/>
              </w:rPr>
            </w:pPr>
            <w:r w:rsidRPr="008651A8">
              <w:rPr>
                <w:szCs w:val="21"/>
              </w:rPr>
              <w:t>本期发生额</w:t>
            </w:r>
          </w:p>
        </w:tc>
        <w:tc>
          <w:tcPr>
            <w:tcW w:w="1800" w:type="dxa"/>
            <w:vAlign w:val="center"/>
          </w:tcPr>
          <w:p w:rsidR="006A0D53" w:rsidRPr="008651A8" w:rsidRDefault="006A0D53" w:rsidP="004B4952">
            <w:pPr>
              <w:snapToGrid w:val="0"/>
              <w:jc w:val="center"/>
              <w:rPr>
                <w:szCs w:val="21"/>
              </w:rPr>
            </w:pPr>
            <w:r w:rsidRPr="008651A8">
              <w:rPr>
                <w:szCs w:val="21"/>
              </w:rPr>
              <w:t>上期发生额</w:t>
            </w:r>
          </w:p>
        </w:tc>
      </w:tr>
      <w:tr w:rsidR="006A0D53" w:rsidRPr="00791F02" w:rsidTr="004B4952">
        <w:trPr>
          <w:trHeight w:val="265"/>
        </w:trPr>
        <w:tc>
          <w:tcPr>
            <w:tcW w:w="2952" w:type="dxa"/>
            <w:vAlign w:val="bottom"/>
          </w:tcPr>
          <w:p w:rsidR="006A0D53" w:rsidRPr="008651A8" w:rsidRDefault="006A0D53" w:rsidP="004B4952">
            <w:pPr>
              <w:snapToGrid w:val="0"/>
              <w:ind w:left="181" w:hanging="181"/>
              <w:rPr>
                <w:szCs w:val="21"/>
              </w:rPr>
            </w:pPr>
            <w:r w:rsidRPr="008651A8">
              <w:rPr>
                <w:szCs w:val="21"/>
              </w:rPr>
              <w:t>中国铁路财务有限责任公司</w:t>
            </w:r>
          </w:p>
        </w:tc>
        <w:tc>
          <w:tcPr>
            <w:tcW w:w="2305" w:type="dxa"/>
            <w:vAlign w:val="bottom"/>
          </w:tcPr>
          <w:p w:rsidR="006A0D53" w:rsidRPr="008651A8" w:rsidRDefault="006A0D53" w:rsidP="004B4952">
            <w:pPr>
              <w:snapToGrid w:val="0"/>
              <w:ind w:left="94"/>
              <w:rPr>
                <w:szCs w:val="21"/>
              </w:rPr>
            </w:pPr>
            <w:r w:rsidRPr="008651A8">
              <w:rPr>
                <w:szCs w:val="21"/>
              </w:rPr>
              <w:t>资金存管变动净额</w:t>
            </w:r>
          </w:p>
        </w:tc>
        <w:tc>
          <w:tcPr>
            <w:tcW w:w="1800" w:type="dxa"/>
            <w:vAlign w:val="bottom"/>
          </w:tcPr>
          <w:p w:rsidR="006A0D53" w:rsidRPr="008651A8" w:rsidRDefault="006A0D53" w:rsidP="004B4952">
            <w:pPr>
              <w:snapToGrid w:val="0"/>
              <w:ind w:right="75"/>
              <w:jc w:val="right"/>
              <w:rPr>
                <w:szCs w:val="21"/>
              </w:rPr>
            </w:pPr>
            <w:r w:rsidRPr="008651A8">
              <w:rPr>
                <w:szCs w:val="21"/>
              </w:rPr>
              <w:t>831,336,159</w:t>
            </w:r>
          </w:p>
        </w:tc>
        <w:tc>
          <w:tcPr>
            <w:tcW w:w="1800" w:type="dxa"/>
            <w:vAlign w:val="bottom"/>
          </w:tcPr>
          <w:p w:rsidR="006A0D53" w:rsidRPr="008651A8" w:rsidRDefault="006A0D53" w:rsidP="004B4952">
            <w:pPr>
              <w:snapToGrid w:val="0"/>
              <w:ind w:right="102"/>
              <w:jc w:val="right"/>
              <w:rPr>
                <w:szCs w:val="21"/>
              </w:rPr>
            </w:pPr>
            <w:r w:rsidRPr="008651A8">
              <w:rPr>
                <w:szCs w:val="21"/>
              </w:rPr>
              <w:t>225,191,793</w:t>
            </w:r>
          </w:p>
        </w:tc>
      </w:tr>
      <w:tr w:rsidR="006A0D53" w:rsidRPr="00791F02" w:rsidTr="004B4952">
        <w:trPr>
          <w:trHeight w:val="253"/>
        </w:trPr>
        <w:tc>
          <w:tcPr>
            <w:tcW w:w="2952" w:type="dxa"/>
            <w:vAlign w:val="bottom"/>
          </w:tcPr>
          <w:p w:rsidR="006A0D53" w:rsidRPr="008651A8" w:rsidRDefault="006A0D53" w:rsidP="004B4952">
            <w:pPr>
              <w:snapToGrid w:val="0"/>
              <w:ind w:left="181" w:hanging="181"/>
              <w:rPr>
                <w:szCs w:val="21"/>
              </w:rPr>
            </w:pPr>
            <w:r w:rsidRPr="008651A8">
              <w:rPr>
                <w:szCs w:val="21"/>
              </w:rPr>
              <w:t>中国铁路财务有限责任公司</w:t>
            </w:r>
          </w:p>
        </w:tc>
        <w:tc>
          <w:tcPr>
            <w:tcW w:w="2305" w:type="dxa"/>
            <w:vAlign w:val="bottom"/>
          </w:tcPr>
          <w:p w:rsidR="006A0D53" w:rsidRPr="008651A8" w:rsidRDefault="006A0D53" w:rsidP="004B4952">
            <w:pPr>
              <w:snapToGrid w:val="0"/>
              <w:ind w:left="94"/>
              <w:rPr>
                <w:szCs w:val="21"/>
              </w:rPr>
            </w:pPr>
            <w:r w:rsidRPr="008651A8">
              <w:rPr>
                <w:szCs w:val="21"/>
              </w:rPr>
              <w:t>票据贴现</w:t>
            </w:r>
          </w:p>
        </w:tc>
        <w:tc>
          <w:tcPr>
            <w:tcW w:w="1800" w:type="dxa"/>
            <w:vAlign w:val="bottom"/>
          </w:tcPr>
          <w:p w:rsidR="006A0D53" w:rsidRPr="008651A8" w:rsidRDefault="006A0D53" w:rsidP="004B4952">
            <w:pPr>
              <w:snapToGrid w:val="0"/>
              <w:ind w:right="75"/>
              <w:jc w:val="right"/>
              <w:rPr>
                <w:szCs w:val="21"/>
              </w:rPr>
            </w:pPr>
            <w:r w:rsidRPr="008651A8">
              <w:rPr>
                <w:szCs w:val="21"/>
              </w:rPr>
              <w:t>0</w:t>
            </w:r>
          </w:p>
        </w:tc>
        <w:tc>
          <w:tcPr>
            <w:tcW w:w="1800" w:type="dxa"/>
            <w:vAlign w:val="bottom"/>
          </w:tcPr>
          <w:p w:rsidR="006A0D53" w:rsidRPr="008651A8" w:rsidRDefault="006A0D53" w:rsidP="004B4952">
            <w:pPr>
              <w:snapToGrid w:val="0"/>
              <w:ind w:right="102"/>
              <w:jc w:val="right"/>
              <w:rPr>
                <w:szCs w:val="21"/>
              </w:rPr>
            </w:pPr>
            <w:r w:rsidRPr="008651A8">
              <w:rPr>
                <w:szCs w:val="21"/>
              </w:rPr>
              <w:t>200,824,740</w:t>
            </w:r>
          </w:p>
        </w:tc>
      </w:tr>
      <w:tr w:rsidR="006A0D53" w:rsidRPr="00791F02" w:rsidTr="004B4952">
        <w:trPr>
          <w:trHeight w:val="265"/>
        </w:trPr>
        <w:tc>
          <w:tcPr>
            <w:tcW w:w="2952" w:type="dxa"/>
            <w:vAlign w:val="bottom"/>
          </w:tcPr>
          <w:p w:rsidR="006A0D53" w:rsidRPr="008651A8" w:rsidRDefault="006A0D53" w:rsidP="004B4952">
            <w:pPr>
              <w:snapToGrid w:val="0"/>
              <w:ind w:left="181" w:hanging="181"/>
              <w:rPr>
                <w:szCs w:val="21"/>
              </w:rPr>
            </w:pPr>
            <w:r w:rsidRPr="008651A8">
              <w:rPr>
                <w:szCs w:val="21"/>
              </w:rPr>
              <w:t>中国铁路财务有限责任公司</w:t>
            </w:r>
          </w:p>
        </w:tc>
        <w:tc>
          <w:tcPr>
            <w:tcW w:w="2305" w:type="dxa"/>
            <w:vAlign w:val="bottom"/>
          </w:tcPr>
          <w:p w:rsidR="006A0D53" w:rsidRPr="008651A8" w:rsidRDefault="006A0D53" w:rsidP="004B4952">
            <w:pPr>
              <w:snapToGrid w:val="0"/>
              <w:ind w:left="94"/>
              <w:rPr>
                <w:szCs w:val="21"/>
              </w:rPr>
            </w:pPr>
            <w:r w:rsidRPr="008651A8">
              <w:rPr>
                <w:szCs w:val="21"/>
              </w:rPr>
              <w:t>贴现支付的利息费用</w:t>
            </w:r>
          </w:p>
        </w:tc>
        <w:tc>
          <w:tcPr>
            <w:tcW w:w="1800" w:type="dxa"/>
            <w:vAlign w:val="bottom"/>
          </w:tcPr>
          <w:p w:rsidR="006A0D53" w:rsidRPr="008651A8" w:rsidRDefault="006A0D53" w:rsidP="004B4952">
            <w:pPr>
              <w:snapToGrid w:val="0"/>
              <w:ind w:right="75"/>
              <w:jc w:val="right"/>
              <w:rPr>
                <w:szCs w:val="21"/>
              </w:rPr>
            </w:pPr>
            <w:r w:rsidRPr="008651A8">
              <w:rPr>
                <w:szCs w:val="21"/>
              </w:rPr>
              <w:t>0</w:t>
            </w:r>
          </w:p>
        </w:tc>
        <w:tc>
          <w:tcPr>
            <w:tcW w:w="1800" w:type="dxa"/>
            <w:vAlign w:val="bottom"/>
          </w:tcPr>
          <w:p w:rsidR="006A0D53" w:rsidRPr="008651A8" w:rsidRDefault="006A0D53" w:rsidP="004B4952">
            <w:pPr>
              <w:snapToGrid w:val="0"/>
              <w:ind w:right="102"/>
              <w:jc w:val="right"/>
              <w:rPr>
                <w:szCs w:val="21"/>
              </w:rPr>
            </w:pPr>
            <w:r w:rsidRPr="008651A8">
              <w:rPr>
                <w:szCs w:val="21"/>
              </w:rPr>
              <w:t>1,621,466</w:t>
            </w:r>
          </w:p>
        </w:tc>
      </w:tr>
    </w:tbl>
    <w:p w:rsidR="006A0D53" w:rsidRDefault="006A0D53"/>
    <w:sdt>
      <w:sdtPr>
        <w:rPr>
          <w:rFonts w:hint="eastAsia"/>
          <w:szCs w:val="21"/>
        </w:rPr>
        <w:alias w:val="模块:出售商品/提供劳务情况"/>
        <w:tag w:val="_SEC_0bdaba437cb6402f9ab2a655956dbb9b"/>
        <w:id w:val="-2015915295"/>
        <w:lock w:val="sdtLocked"/>
        <w:placeholder>
          <w:docPart w:val="GBC22222222222222222222222222222"/>
        </w:placeholder>
      </w:sdtPr>
      <w:sdtEndPr>
        <w:rPr>
          <w:rFonts w:cs="Cambria"/>
        </w:rPr>
      </w:sdtEndPr>
      <w:sdtContent>
        <w:p w:rsidR="00806678" w:rsidRDefault="00B16377">
          <w:pPr>
            <w:ind w:rightChars="-369" w:right="-775"/>
            <w:rPr>
              <w:szCs w:val="21"/>
            </w:rPr>
          </w:pPr>
          <w:r>
            <w:rPr>
              <w:rFonts w:hint="eastAsia"/>
              <w:szCs w:val="21"/>
            </w:rPr>
            <w:t>出售商品/提供劳务情况表</w:t>
          </w:r>
        </w:p>
        <w:sdt>
          <w:sdtPr>
            <w:rPr>
              <w:szCs w:val="21"/>
            </w:rPr>
            <w:alias w:val="是否适用：出售商品或提供劳务情况表[双击切换]"/>
            <w:tag w:val="_GBC_38804595ac014174a1f7bfa274a356d2"/>
            <w:id w:val="-366298914"/>
            <w:lock w:val="sdtLocked"/>
            <w:placeholder>
              <w:docPart w:val="GBC22222222222222222222222222222"/>
            </w:placeholder>
          </w:sdtPr>
          <w:sdtContent>
            <w:p w:rsidR="00806678" w:rsidRDefault="00F80B6C">
              <w:pPr>
                <w:ind w:rightChars="-369" w:right="-775"/>
                <w:rPr>
                  <w:szCs w:val="21"/>
                </w:rPr>
              </w:pPr>
              <w:r>
                <w:rPr>
                  <w:szCs w:val="21"/>
                </w:rPr>
                <w:fldChar w:fldCharType="begin"/>
              </w:r>
              <w:r w:rsidR="007F4B78">
                <w:rPr>
                  <w:szCs w:val="21"/>
                </w:rPr>
                <w:instrText xml:space="preserve">MACROBUTTON  SnrToggleCheckbox √适用 </w:instrText>
              </w:r>
              <w:r>
                <w:rPr>
                  <w:szCs w:val="21"/>
                </w:rPr>
                <w:fldChar w:fldCharType="end"/>
              </w:r>
              <w:r>
                <w:rPr>
                  <w:szCs w:val="21"/>
                </w:rPr>
                <w:fldChar w:fldCharType="begin"/>
              </w:r>
              <w:r w:rsidR="007F4B78">
                <w:rPr>
                  <w:szCs w:val="21"/>
                </w:rPr>
                <w:instrText xml:space="preserve"> MACROBUTTON  SnrToggleCheckbox □不适用 </w:instrText>
              </w:r>
              <w:r>
                <w:rPr>
                  <w:szCs w:val="21"/>
                </w:rPr>
                <w:fldChar w:fldCharType="end"/>
              </w:r>
            </w:p>
          </w:sdtContent>
        </w:sdt>
        <w:p w:rsidR="00806678" w:rsidRDefault="00B16377">
          <w:pPr>
            <w:tabs>
              <w:tab w:val="left" w:pos="3870"/>
            </w:tabs>
            <w:jc w:val="right"/>
            <w:rPr>
              <w:rFonts w:cs="Cambria"/>
              <w:szCs w:val="21"/>
            </w:rPr>
          </w:pPr>
          <w:r>
            <w:rPr>
              <w:szCs w:val="21"/>
            </w:rPr>
            <w:t>单位</w:t>
          </w:r>
          <w:r>
            <w:rPr>
              <w:rFonts w:hint="eastAsia"/>
              <w:szCs w:val="21"/>
            </w:rPr>
            <w:t>：</w:t>
          </w:r>
          <w:sdt>
            <w:sdtPr>
              <w:rPr>
                <w:szCs w:val="21"/>
              </w:rPr>
              <w:alias w:val="单位：出售商品提供劳务情况表"/>
              <w:tag w:val="_GBC_74429e932533428390da29c9e567c1c8"/>
              <w:id w:val="132901863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szCs w:val="21"/>
                </w:rPr>
                <w:t>元</w:t>
              </w:r>
            </w:sdtContent>
          </w:sdt>
          <w:r>
            <w:rPr>
              <w:szCs w:val="21"/>
            </w:rPr>
            <w:t xml:space="preserve">  币种：</w:t>
          </w:r>
          <w:sdt>
            <w:sdtPr>
              <w:rPr>
                <w:szCs w:val="21"/>
              </w:rPr>
              <w:alias w:val="币种：出售商品提供劳务情况表"/>
              <w:tag w:val="_GBC_4fc61a58f8e34c3c8024ea0b63c2bd2f"/>
              <w:id w:val="-189449650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2395"/>
            <w:gridCol w:w="2391"/>
            <w:gridCol w:w="2032"/>
            <w:gridCol w:w="2231"/>
          </w:tblGrid>
          <w:tr w:rsidR="00805F6D" w:rsidTr="00805F6D">
            <w:trPr>
              <w:cantSplit/>
              <w:trHeight w:val="273"/>
            </w:trPr>
            <w:sdt>
              <w:sdtPr>
                <w:tag w:val="_PLD_8f46d61b556c4e7e9874d48274581d06"/>
                <w:id w:val="-647128545"/>
                <w:lock w:val="sdtLocked"/>
              </w:sdtPr>
              <w:sdtContent>
                <w:tc>
                  <w:tcPr>
                    <w:tcW w:w="1323" w:type="pct"/>
                    <w:tcBorders>
                      <w:top w:val="single" w:sz="4" w:space="0" w:color="auto"/>
                      <w:left w:val="single" w:sz="4" w:space="0" w:color="auto"/>
                      <w:bottom w:val="single" w:sz="4" w:space="0" w:color="auto"/>
                      <w:right w:val="single" w:sz="4" w:space="0" w:color="auto"/>
                    </w:tcBorders>
                    <w:shd w:val="clear" w:color="auto" w:fill="auto"/>
                    <w:vAlign w:val="center"/>
                  </w:tcPr>
                  <w:p w:rsidR="00805F6D" w:rsidRDefault="00805F6D" w:rsidP="00DB008B">
                    <w:pPr>
                      <w:jc w:val="center"/>
                      <w:rPr>
                        <w:rFonts w:cs="Cambria"/>
                        <w:szCs w:val="21"/>
                      </w:rPr>
                    </w:pPr>
                    <w:r>
                      <w:rPr>
                        <w:rFonts w:cs="Cambria" w:hint="eastAsia"/>
                        <w:szCs w:val="21"/>
                      </w:rPr>
                      <w:t>关联方</w:t>
                    </w:r>
                  </w:p>
                </w:tc>
              </w:sdtContent>
            </w:sdt>
            <w:sdt>
              <w:sdtPr>
                <w:tag w:val="_PLD_86c6996d2c00443589b89411b2b4bde3"/>
                <w:id w:val="-384960508"/>
                <w:lock w:val="sdtLocked"/>
              </w:sdtPr>
              <w:sdtContent>
                <w:tc>
                  <w:tcPr>
                    <w:tcW w:w="1321" w:type="pct"/>
                    <w:tcBorders>
                      <w:top w:val="single" w:sz="4" w:space="0" w:color="auto"/>
                      <w:left w:val="single" w:sz="4" w:space="0" w:color="auto"/>
                      <w:bottom w:val="single" w:sz="4" w:space="0" w:color="auto"/>
                      <w:right w:val="single" w:sz="4" w:space="0" w:color="auto"/>
                    </w:tcBorders>
                    <w:shd w:val="clear" w:color="auto" w:fill="auto"/>
                    <w:vAlign w:val="center"/>
                  </w:tcPr>
                  <w:p w:rsidR="00805F6D" w:rsidRDefault="00805F6D" w:rsidP="00DB008B">
                    <w:pPr>
                      <w:jc w:val="center"/>
                      <w:rPr>
                        <w:rFonts w:cs="Cambria"/>
                        <w:szCs w:val="21"/>
                      </w:rPr>
                    </w:pPr>
                    <w:r>
                      <w:rPr>
                        <w:rFonts w:cs="Cambria" w:hint="eastAsia"/>
                        <w:szCs w:val="21"/>
                      </w:rPr>
                      <w:t>关联交易内容</w:t>
                    </w:r>
                  </w:p>
                </w:tc>
              </w:sdtContent>
            </w:sdt>
            <w:sdt>
              <w:sdtPr>
                <w:tag w:val="_PLD_52688fb5000a4ccb8c43276d58764eb4"/>
                <w:id w:val="537628094"/>
                <w:lock w:val="sdtLocked"/>
              </w:sdtPr>
              <w:sdtContent>
                <w:tc>
                  <w:tcPr>
                    <w:tcW w:w="1123" w:type="pct"/>
                    <w:tcBorders>
                      <w:top w:val="single" w:sz="4" w:space="0" w:color="auto"/>
                      <w:left w:val="single" w:sz="4" w:space="0" w:color="auto"/>
                      <w:right w:val="single" w:sz="4" w:space="0" w:color="auto"/>
                    </w:tcBorders>
                    <w:shd w:val="clear" w:color="auto" w:fill="auto"/>
                    <w:vAlign w:val="center"/>
                  </w:tcPr>
                  <w:p w:rsidR="00805F6D" w:rsidRDefault="00805F6D" w:rsidP="00DB008B">
                    <w:pPr>
                      <w:jc w:val="center"/>
                      <w:rPr>
                        <w:rFonts w:cs="Cambria"/>
                        <w:szCs w:val="21"/>
                      </w:rPr>
                    </w:pPr>
                    <w:r>
                      <w:rPr>
                        <w:rFonts w:cs="Cambria" w:hint="eastAsia"/>
                        <w:szCs w:val="21"/>
                      </w:rPr>
                      <w:t>本期发生额</w:t>
                    </w:r>
                  </w:p>
                </w:tc>
              </w:sdtContent>
            </w:sdt>
            <w:sdt>
              <w:sdtPr>
                <w:tag w:val="_PLD_e0158fcec29a443ca9e08a44a2489407"/>
                <w:id w:val="123434836"/>
                <w:lock w:val="sdtLocked"/>
              </w:sdtPr>
              <w:sdtContent>
                <w:tc>
                  <w:tcPr>
                    <w:tcW w:w="1233" w:type="pct"/>
                    <w:tcBorders>
                      <w:top w:val="single" w:sz="4" w:space="0" w:color="auto"/>
                      <w:left w:val="single" w:sz="4" w:space="0" w:color="auto"/>
                      <w:right w:val="single" w:sz="4" w:space="0" w:color="auto"/>
                    </w:tcBorders>
                    <w:shd w:val="clear" w:color="auto" w:fill="auto"/>
                    <w:vAlign w:val="center"/>
                  </w:tcPr>
                  <w:p w:rsidR="00805F6D" w:rsidRDefault="00805F6D" w:rsidP="00DB008B">
                    <w:pPr>
                      <w:jc w:val="center"/>
                      <w:rPr>
                        <w:rFonts w:cs="Cambria"/>
                        <w:szCs w:val="21"/>
                      </w:rPr>
                    </w:pPr>
                    <w:r>
                      <w:rPr>
                        <w:rFonts w:cs="Cambria" w:hint="eastAsia"/>
                        <w:szCs w:val="21"/>
                      </w:rPr>
                      <w:t>上期发生额</w:t>
                    </w:r>
                  </w:p>
                </w:tc>
              </w:sdtContent>
            </w:sdt>
          </w:tr>
          <w:sdt>
            <w:sdtPr>
              <w:rPr>
                <w:rFonts w:asciiTheme="majorEastAsia" w:eastAsiaTheme="majorEastAsia" w:hAnsiTheme="majorEastAsia"/>
                <w:szCs w:val="21"/>
              </w:rPr>
              <w:alias w:val="出售商品提供劳务情况明细"/>
              <w:tag w:val="_TUP_c080581d6b634c7bacd27d6542159620"/>
              <w:id w:val="951988134"/>
              <w:lock w:val="sdtLocked"/>
            </w:sdtPr>
            <w:sdtContent>
              <w:tr w:rsidR="00805F6D" w:rsidTr="00805F6D">
                <w:trPr>
                  <w:cantSplit/>
                </w:trPr>
                <w:tc>
                  <w:tcPr>
                    <w:tcW w:w="1323" w:type="pct"/>
                    <w:tcBorders>
                      <w:top w:val="single" w:sz="4" w:space="0" w:color="auto"/>
                      <w:left w:val="single" w:sz="4" w:space="0" w:color="auto"/>
                      <w:bottom w:val="single" w:sz="4" w:space="0" w:color="auto"/>
                      <w:right w:val="single" w:sz="4" w:space="0" w:color="auto"/>
                    </w:tcBorders>
                    <w:shd w:val="clear" w:color="auto" w:fill="auto"/>
                  </w:tcPr>
                  <w:p w:rsidR="00805F6D" w:rsidRPr="00805F6D" w:rsidRDefault="00805F6D" w:rsidP="00DB008B">
                    <w:pPr>
                      <w:rPr>
                        <w:rFonts w:asciiTheme="majorEastAsia" w:eastAsiaTheme="majorEastAsia" w:hAnsiTheme="majorEastAsia"/>
                        <w:szCs w:val="21"/>
                      </w:rPr>
                    </w:pPr>
                    <w:r w:rsidRPr="00805F6D">
                      <w:rPr>
                        <w:rFonts w:asciiTheme="majorEastAsia" w:eastAsiaTheme="majorEastAsia" w:hAnsiTheme="majorEastAsia"/>
                      </w:rPr>
                      <w:t>国铁集团及其下属单位</w:t>
                    </w:r>
                  </w:p>
                </w:tc>
                <w:tc>
                  <w:tcPr>
                    <w:tcW w:w="1321" w:type="pct"/>
                    <w:tcBorders>
                      <w:top w:val="single" w:sz="4" w:space="0" w:color="auto"/>
                      <w:left w:val="single" w:sz="4" w:space="0" w:color="auto"/>
                      <w:bottom w:val="single" w:sz="4" w:space="0" w:color="auto"/>
                      <w:right w:val="single" w:sz="4" w:space="0" w:color="auto"/>
                    </w:tcBorders>
                    <w:shd w:val="clear" w:color="auto" w:fill="auto"/>
                    <w:vAlign w:val="center"/>
                  </w:tcPr>
                  <w:p w:rsidR="00805F6D" w:rsidRPr="00805F6D" w:rsidRDefault="00805F6D" w:rsidP="00DB008B">
                    <w:pPr>
                      <w:rPr>
                        <w:rFonts w:asciiTheme="majorEastAsia" w:eastAsiaTheme="majorEastAsia" w:hAnsiTheme="majorEastAsia"/>
                        <w:szCs w:val="21"/>
                      </w:rPr>
                    </w:pPr>
                    <w:r w:rsidRPr="00805F6D">
                      <w:rPr>
                        <w:rFonts w:asciiTheme="majorEastAsia" w:eastAsiaTheme="majorEastAsia" w:hAnsiTheme="majorEastAsia"/>
                      </w:rPr>
                      <w:t>线路使用</w:t>
                    </w:r>
                    <w:r w:rsidRPr="00805F6D">
                      <w:rPr>
                        <w:rFonts w:asciiTheme="majorEastAsia" w:eastAsiaTheme="majorEastAsia" w:hAnsiTheme="majorEastAsia" w:cs="PMingLiU" w:hint="eastAsia"/>
                      </w:rPr>
                      <w:t>费</w:t>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805F6D" w:rsidRPr="00805F6D" w:rsidRDefault="00805F6D" w:rsidP="00DB008B">
                    <w:pPr>
                      <w:jc w:val="right"/>
                      <w:rPr>
                        <w:rFonts w:asciiTheme="majorEastAsia" w:eastAsiaTheme="majorEastAsia" w:hAnsiTheme="majorEastAsia"/>
                        <w:szCs w:val="21"/>
                      </w:rPr>
                    </w:pPr>
                    <w:r>
                      <w:t>980,128,951</w:t>
                    </w:r>
                  </w:p>
                </w:tc>
                <w:tc>
                  <w:tcPr>
                    <w:tcW w:w="1233" w:type="pct"/>
                    <w:tcBorders>
                      <w:top w:val="single" w:sz="4" w:space="0" w:color="auto"/>
                      <w:left w:val="single" w:sz="4" w:space="0" w:color="auto"/>
                      <w:bottom w:val="single" w:sz="4" w:space="0" w:color="auto"/>
                      <w:right w:val="single" w:sz="4" w:space="0" w:color="auto"/>
                    </w:tcBorders>
                    <w:shd w:val="clear" w:color="auto" w:fill="auto"/>
                  </w:tcPr>
                  <w:p w:rsidR="00805F6D" w:rsidRPr="00805F6D" w:rsidRDefault="00805F6D" w:rsidP="00DB008B">
                    <w:pPr>
                      <w:jc w:val="right"/>
                      <w:rPr>
                        <w:rFonts w:asciiTheme="majorEastAsia" w:eastAsiaTheme="majorEastAsia" w:hAnsiTheme="majorEastAsia"/>
                        <w:szCs w:val="21"/>
                      </w:rPr>
                    </w:pPr>
                    <w:r>
                      <w:t>909,678,525</w:t>
                    </w:r>
                  </w:p>
                </w:tc>
              </w:tr>
            </w:sdtContent>
          </w:sdt>
          <w:sdt>
            <w:sdtPr>
              <w:rPr>
                <w:rFonts w:asciiTheme="majorEastAsia" w:eastAsiaTheme="majorEastAsia" w:hAnsiTheme="majorEastAsia"/>
                <w:szCs w:val="21"/>
              </w:rPr>
              <w:alias w:val="出售商品提供劳务情况明细"/>
              <w:tag w:val="_TUP_c080581d6b634c7bacd27d6542159620"/>
              <w:id w:val="1361014098"/>
              <w:lock w:val="sdtLocked"/>
            </w:sdtPr>
            <w:sdtContent>
              <w:tr w:rsidR="00805F6D" w:rsidTr="00805F6D">
                <w:trPr>
                  <w:cantSplit/>
                </w:trPr>
                <w:tc>
                  <w:tcPr>
                    <w:tcW w:w="1323" w:type="pct"/>
                    <w:tcBorders>
                      <w:top w:val="single" w:sz="4" w:space="0" w:color="auto"/>
                      <w:left w:val="single" w:sz="4" w:space="0" w:color="auto"/>
                      <w:bottom w:val="single" w:sz="4" w:space="0" w:color="auto"/>
                      <w:right w:val="single" w:sz="4" w:space="0" w:color="auto"/>
                    </w:tcBorders>
                    <w:shd w:val="clear" w:color="auto" w:fill="auto"/>
                  </w:tcPr>
                  <w:p w:rsidR="00805F6D" w:rsidRPr="00805F6D" w:rsidRDefault="00805F6D" w:rsidP="00DB008B">
                    <w:pPr>
                      <w:rPr>
                        <w:rFonts w:asciiTheme="majorEastAsia" w:eastAsiaTheme="majorEastAsia" w:hAnsiTheme="majorEastAsia"/>
                        <w:szCs w:val="21"/>
                      </w:rPr>
                    </w:pPr>
                    <w:r w:rsidRPr="00805F6D">
                      <w:rPr>
                        <w:rFonts w:asciiTheme="majorEastAsia" w:eastAsiaTheme="majorEastAsia" w:hAnsiTheme="majorEastAsia"/>
                      </w:rPr>
                      <w:t>国铁集团及其下属单位</w:t>
                    </w:r>
                  </w:p>
                </w:tc>
                <w:tc>
                  <w:tcPr>
                    <w:tcW w:w="1321" w:type="pct"/>
                    <w:tcBorders>
                      <w:top w:val="single" w:sz="4" w:space="0" w:color="auto"/>
                      <w:left w:val="single" w:sz="4" w:space="0" w:color="auto"/>
                      <w:bottom w:val="single" w:sz="4" w:space="0" w:color="auto"/>
                      <w:right w:val="single" w:sz="4" w:space="0" w:color="auto"/>
                    </w:tcBorders>
                    <w:shd w:val="clear" w:color="auto" w:fill="auto"/>
                    <w:vAlign w:val="center"/>
                  </w:tcPr>
                  <w:p w:rsidR="00805F6D" w:rsidRPr="00805F6D" w:rsidRDefault="00805F6D" w:rsidP="00DB008B">
                    <w:pPr>
                      <w:rPr>
                        <w:rFonts w:asciiTheme="majorEastAsia" w:eastAsiaTheme="majorEastAsia" w:hAnsiTheme="majorEastAsia"/>
                        <w:szCs w:val="21"/>
                      </w:rPr>
                    </w:pPr>
                    <w:r w:rsidRPr="00805F6D">
                      <w:rPr>
                        <w:rFonts w:asciiTheme="majorEastAsia" w:eastAsiaTheme="majorEastAsia" w:hAnsiTheme="majorEastAsia" w:cs="PMingLiU" w:hint="eastAsia"/>
                      </w:rPr>
                      <w:t>机车牵引费</w:t>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805F6D" w:rsidRPr="00805F6D" w:rsidRDefault="00805F6D" w:rsidP="00DB008B">
                    <w:pPr>
                      <w:jc w:val="right"/>
                      <w:rPr>
                        <w:rFonts w:asciiTheme="majorEastAsia" w:eastAsiaTheme="majorEastAsia" w:hAnsiTheme="majorEastAsia"/>
                        <w:szCs w:val="21"/>
                      </w:rPr>
                    </w:pPr>
                    <w:r>
                      <w:t>1,560,178,510</w:t>
                    </w:r>
                  </w:p>
                </w:tc>
                <w:tc>
                  <w:tcPr>
                    <w:tcW w:w="1233" w:type="pct"/>
                    <w:tcBorders>
                      <w:top w:val="single" w:sz="4" w:space="0" w:color="auto"/>
                      <w:left w:val="single" w:sz="4" w:space="0" w:color="auto"/>
                      <w:bottom w:val="single" w:sz="4" w:space="0" w:color="auto"/>
                      <w:right w:val="single" w:sz="4" w:space="0" w:color="auto"/>
                    </w:tcBorders>
                    <w:shd w:val="clear" w:color="auto" w:fill="auto"/>
                  </w:tcPr>
                  <w:p w:rsidR="00805F6D" w:rsidRPr="00805F6D" w:rsidRDefault="00805F6D" w:rsidP="00DB008B">
                    <w:pPr>
                      <w:jc w:val="right"/>
                      <w:rPr>
                        <w:rFonts w:asciiTheme="majorEastAsia" w:eastAsiaTheme="majorEastAsia" w:hAnsiTheme="majorEastAsia"/>
                        <w:szCs w:val="21"/>
                      </w:rPr>
                    </w:pPr>
                    <w:r>
                      <w:t>1,417,050,977</w:t>
                    </w:r>
                  </w:p>
                </w:tc>
              </w:tr>
            </w:sdtContent>
          </w:sdt>
          <w:sdt>
            <w:sdtPr>
              <w:rPr>
                <w:rFonts w:asciiTheme="majorEastAsia" w:eastAsiaTheme="majorEastAsia" w:hAnsiTheme="majorEastAsia"/>
                <w:szCs w:val="21"/>
              </w:rPr>
              <w:alias w:val="出售商品提供劳务情况明细"/>
              <w:tag w:val="_TUP_c080581d6b634c7bacd27d6542159620"/>
              <w:id w:val="815692414"/>
              <w:lock w:val="sdtLocked"/>
            </w:sdtPr>
            <w:sdtContent>
              <w:tr w:rsidR="00805F6D" w:rsidTr="00805F6D">
                <w:trPr>
                  <w:cantSplit/>
                </w:trPr>
                <w:tc>
                  <w:tcPr>
                    <w:tcW w:w="1323" w:type="pct"/>
                    <w:tcBorders>
                      <w:top w:val="single" w:sz="4" w:space="0" w:color="auto"/>
                      <w:left w:val="single" w:sz="4" w:space="0" w:color="auto"/>
                      <w:bottom w:val="single" w:sz="4" w:space="0" w:color="auto"/>
                      <w:right w:val="single" w:sz="4" w:space="0" w:color="auto"/>
                    </w:tcBorders>
                    <w:shd w:val="clear" w:color="auto" w:fill="auto"/>
                  </w:tcPr>
                  <w:p w:rsidR="00805F6D" w:rsidRPr="00805F6D" w:rsidRDefault="00805F6D" w:rsidP="00DB008B">
                    <w:pPr>
                      <w:rPr>
                        <w:rFonts w:asciiTheme="majorEastAsia" w:eastAsiaTheme="majorEastAsia" w:hAnsiTheme="majorEastAsia"/>
                        <w:szCs w:val="21"/>
                      </w:rPr>
                    </w:pPr>
                    <w:r w:rsidRPr="00805F6D">
                      <w:rPr>
                        <w:rFonts w:asciiTheme="majorEastAsia" w:eastAsiaTheme="majorEastAsia" w:hAnsiTheme="majorEastAsia"/>
                      </w:rPr>
                      <w:t>国铁集团及其下属单位</w:t>
                    </w:r>
                  </w:p>
                </w:tc>
                <w:tc>
                  <w:tcPr>
                    <w:tcW w:w="1321" w:type="pct"/>
                    <w:tcBorders>
                      <w:top w:val="single" w:sz="4" w:space="0" w:color="auto"/>
                      <w:left w:val="single" w:sz="4" w:space="0" w:color="auto"/>
                      <w:bottom w:val="single" w:sz="4" w:space="0" w:color="auto"/>
                      <w:right w:val="single" w:sz="4" w:space="0" w:color="auto"/>
                    </w:tcBorders>
                    <w:shd w:val="clear" w:color="auto" w:fill="auto"/>
                    <w:vAlign w:val="center"/>
                  </w:tcPr>
                  <w:p w:rsidR="00805F6D" w:rsidRPr="00805F6D" w:rsidRDefault="00805F6D" w:rsidP="00DB008B">
                    <w:pPr>
                      <w:rPr>
                        <w:rFonts w:asciiTheme="majorEastAsia" w:eastAsiaTheme="majorEastAsia" w:hAnsiTheme="majorEastAsia"/>
                        <w:szCs w:val="21"/>
                      </w:rPr>
                    </w:pPr>
                    <w:r w:rsidRPr="00805F6D">
                      <w:rPr>
                        <w:rFonts w:asciiTheme="majorEastAsia" w:eastAsiaTheme="majorEastAsia" w:hAnsiTheme="majorEastAsia" w:cs="PMingLiU" w:hint="eastAsia"/>
                      </w:rPr>
                      <w:t>接触网使用费</w:t>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805F6D" w:rsidRPr="00805F6D" w:rsidRDefault="00805F6D" w:rsidP="00DB008B">
                    <w:pPr>
                      <w:jc w:val="right"/>
                      <w:rPr>
                        <w:rFonts w:asciiTheme="majorEastAsia" w:eastAsiaTheme="majorEastAsia" w:hAnsiTheme="majorEastAsia"/>
                        <w:szCs w:val="21"/>
                      </w:rPr>
                    </w:pPr>
                    <w:r>
                      <w:t>415,136,749</w:t>
                    </w:r>
                  </w:p>
                </w:tc>
                <w:tc>
                  <w:tcPr>
                    <w:tcW w:w="1233" w:type="pct"/>
                    <w:tcBorders>
                      <w:top w:val="single" w:sz="4" w:space="0" w:color="auto"/>
                      <w:left w:val="single" w:sz="4" w:space="0" w:color="auto"/>
                      <w:bottom w:val="single" w:sz="4" w:space="0" w:color="auto"/>
                      <w:right w:val="single" w:sz="4" w:space="0" w:color="auto"/>
                    </w:tcBorders>
                    <w:shd w:val="clear" w:color="auto" w:fill="auto"/>
                  </w:tcPr>
                  <w:p w:rsidR="00805F6D" w:rsidRPr="00805F6D" w:rsidRDefault="00805F6D" w:rsidP="00DB008B">
                    <w:pPr>
                      <w:jc w:val="right"/>
                      <w:rPr>
                        <w:rFonts w:asciiTheme="majorEastAsia" w:eastAsiaTheme="majorEastAsia" w:hAnsiTheme="majorEastAsia"/>
                        <w:szCs w:val="21"/>
                      </w:rPr>
                    </w:pPr>
                    <w:r>
                      <w:t>372,961,889</w:t>
                    </w:r>
                  </w:p>
                </w:tc>
              </w:tr>
            </w:sdtContent>
          </w:sdt>
          <w:sdt>
            <w:sdtPr>
              <w:rPr>
                <w:rFonts w:asciiTheme="majorEastAsia" w:eastAsiaTheme="majorEastAsia" w:hAnsiTheme="majorEastAsia"/>
                <w:szCs w:val="21"/>
              </w:rPr>
              <w:alias w:val="出售商品提供劳务情况明细"/>
              <w:tag w:val="_TUP_c080581d6b634c7bacd27d6542159620"/>
              <w:id w:val="2114705680"/>
              <w:lock w:val="sdtLocked"/>
            </w:sdtPr>
            <w:sdtContent>
              <w:tr w:rsidR="00805F6D" w:rsidTr="00805F6D">
                <w:trPr>
                  <w:cantSplit/>
                </w:trPr>
                <w:tc>
                  <w:tcPr>
                    <w:tcW w:w="1323" w:type="pct"/>
                    <w:tcBorders>
                      <w:top w:val="single" w:sz="4" w:space="0" w:color="auto"/>
                      <w:left w:val="single" w:sz="4" w:space="0" w:color="auto"/>
                      <w:bottom w:val="single" w:sz="4" w:space="0" w:color="auto"/>
                      <w:right w:val="single" w:sz="4" w:space="0" w:color="auto"/>
                    </w:tcBorders>
                    <w:shd w:val="clear" w:color="auto" w:fill="auto"/>
                  </w:tcPr>
                  <w:p w:rsidR="00805F6D" w:rsidRPr="00805F6D" w:rsidRDefault="00805F6D" w:rsidP="00DB008B">
                    <w:pPr>
                      <w:rPr>
                        <w:rFonts w:asciiTheme="majorEastAsia" w:eastAsiaTheme="majorEastAsia" w:hAnsiTheme="majorEastAsia"/>
                        <w:szCs w:val="21"/>
                      </w:rPr>
                    </w:pPr>
                    <w:r w:rsidRPr="00805F6D">
                      <w:rPr>
                        <w:rFonts w:asciiTheme="majorEastAsia" w:eastAsiaTheme="majorEastAsia" w:hAnsiTheme="majorEastAsia"/>
                      </w:rPr>
                      <w:t>国铁集团及其下属单位</w:t>
                    </w:r>
                  </w:p>
                </w:tc>
                <w:tc>
                  <w:tcPr>
                    <w:tcW w:w="1321" w:type="pct"/>
                    <w:tcBorders>
                      <w:top w:val="single" w:sz="4" w:space="0" w:color="auto"/>
                      <w:left w:val="single" w:sz="4" w:space="0" w:color="auto"/>
                      <w:bottom w:val="single" w:sz="4" w:space="0" w:color="auto"/>
                      <w:right w:val="single" w:sz="4" w:space="0" w:color="auto"/>
                    </w:tcBorders>
                    <w:shd w:val="clear" w:color="auto" w:fill="auto"/>
                    <w:vAlign w:val="center"/>
                  </w:tcPr>
                  <w:p w:rsidR="00805F6D" w:rsidRPr="00805F6D" w:rsidRDefault="00805F6D" w:rsidP="00DB008B">
                    <w:pPr>
                      <w:rPr>
                        <w:rFonts w:asciiTheme="majorEastAsia" w:eastAsiaTheme="majorEastAsia" w:hAnsiTheme="majorEastAsia"/>
                        <w:szCs w:val="21"/>
                      </w:rPr>
                    </w:pPr>
                    <w:r w:rsidRPr="00805F6D">
                      <w:rPr>
                        <w:rFonts w:asciiTheme="majorEastAsia" w:eastAsiaTheme="majorEastAsia" w:hAnsiTheme="majorEastAsia" w:cs="PMingLiU" w:hint="eastAsia"/>
                      </w:rPr>
                      <w:t>到达作业服务收入</w:t>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805F6D" w:rsidRPr="00805F6D" w:rsidRDefault="00805F6D" w:rsidP="00DB008B">
                    <w:pPr>
                      <w:jc w:val="right"/>
                      <w:rPr>
                        <w:rFonts w:asciiTheme="majorEastAsia" w:eastAsiaTheme="majorEastAsia" w:hAnsiTheme="majorEastAsia"/>
                        <w:szCs w:val="21"/>
                      </w:rPr>
                    </w:pPr>
                    <w:r>
                      <w:t>1,067,345,777</w:t>
                    </w:r>
                  </w:p>
                </w:tc>
                <w:tc>
                  <w:tcPr>
                    <w:tcW w:w="1233" w:type="pct"/>
                    <w:tcBorders>
                      <w:top w:val="single" w:sz="4" w:space="0" w:color="auto"/>
                      <w:left w:val="single" w:sz="4" w:space="0" w:color="auto"/>
                      <w:bottom w:val="single" w:sz="4" w:space="0" w:color="auto"/>
                      <w:right w:val="single" w:sz="4" w:space="0" w:color="auto"/>
                    </w:tcBorders>
                    <w:shd w:val="clear" w:color="auto" w:fill="auto"/>
                  </w:tcPr>
                  <w:p w:rsidR="00805F6D" w:rsidRPr="00805F6D" w:rsidRDefault="00805F6D" w:rsidP="00DB008B">
                    <w:pPr>
                      <w:jc w:val="right"/>
                      <w:rPr>
                        <w:rFonts w:asciiTheme="majorEastAsia" w:eastAsiaTheme="majorEastAsia" w:hAnsiTheme="majorEastAsia"/>
                        <w:szCs w:val="21"/>
                      </w:rPr>
                    </w:pPr>
                    <w:r>
                      <w:t>920,250,043</w:t>
                    </w:r>
                  </w:p>
                </w:tc>
              </w:tr>
            </w:sdtContent>
          </w:sdt>
          <w:sdt>
            <w:sdtPr>
              <w:rPr>
                <w:rFonts w:asciiTheme="majorEastAsia" w:eastAsiaTheme="majorEastAsia" w:hAnsiTheme="majorEastAsia"/>
                <w:szCs w:val="21"/>
              </w:rPr>
              <w:alias w:val="出售商品提供劳务情况明细"/>
              <w:tag w:val="_TUP_c080581d6b634c7bacd27d6542159620"/>
              <w:id w:val="-1313709358"/>
              <w:lock w:val="sdtLocked"/>
            </w:sdtPr>
            <w:sdtContent>
              <w:tr w:rsidR="00805F6D" w:rsidTr="00805F6D">
                <w:trPr>
                  <w:cantSplit/>
                </w:trPr>
                <w:tc>
                  <w:tcPr>
                    <w:tcW w:w="1323" w:type="pct"/>
                    <w:tcBorders>
                      <w:top w:val="single" w:sz="4" w:space="0" w:color="auto"/>
                      <w:left w:val="single" w:sz="4" w:space="0" w:color="auto"/>
                      <w:bottom w:val="single" w:sz="4" w:space="0" w:color="auto"/>
                      <w:right w:val="single" w:sz="4" w:space="0" w:color="auto"/>
                    </w:tcBorders>
                    <w:shd w:val="clear" w:color="auto" w:fill="auto"/>
                  </w:tcPr>
                  <w:p w:rsidR="00805F6D" w:rsidRPr="00805F6D" w:rsidRDefault="00805F6D" w:rsidP="00DB008B">
                    <w:pPr>
                      <w:rPr>
                        <w:rFonts w:asciiTheme="majorEastAsia" w:eastAsiaTheme="majorEastAsia" w:hAnsiTheme="majorEastAsia"/>
                        <w:szCs w:val="21"/>
                      </w:rPr>
                    </w:pPr>
                    <w:r w:rsidRPr="00805F6D">
                      <w:rPr>
                        <w:rFonts w:asciiTheme="majorEastAsia" w:eastAsiaTheme="majorEastAsia" w:hAnsiTheme="majorEastAsia"/>
                      </w:rPr>
                      <w:t>国铁集团及其下属单位</w:t>
                    </w:r>
                  </w:p>
                </w:tc>
                <w:tc>
                  <w:tcPr>
                    <w:tcW w:w="1321" w:type="pct"/>
                    <w:tcBorders>
                      <w:top w:val="single" w:sz="4" w:space="0" w:color="auto"/>
                      <w:left w:val="single" w:sz="4" w:space="0" w:color="auto"/>
                      <w:bottom w:val="single" w:sz="4" w:space="0" w:color="auto"/>
                      <w:right w:val="single" w:sz="4" w:space="0" w:color="auto"/>
                    </w:tcBorders>
                    <w:shd w:val="clear" w:color="auto" w:fill="auto"/>
                    <w:vAlign w:val="center"/>
                  </w:tcPr>
                  <w:p w:rsidR="00805F6D" w:rsidRPr="00805F6D" w:rsidRDefault="00805F6D" w:rsidP="00DB008B">
                    <w:pPr>
                      <w:rPr>
                        <w:rFonts w:asciiTheme="majorEastAsia" w:eastAsiaTheme="majorEastAsia" w:hAnsiTheme="majorEastAsia"/>
                        <w:szCs w:val="21"/>
                      </w:rPr>
                    </w:pPr>
                    <w:r w:rsidRPr="00805F6D">
                      <w:rPr>
                        <w:rFonts w:asciiTheme="majorEastAsia" w:eastAsiaTheme="majorEastAsia" w:hAnsiTheme="majorEastAsia" w:cs="PMingLiU" w:hint="eastAsia"/>
                      </w:rPr>
                      <w:t>车辆服务收入</w:t>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805F6D" w:rsidRPr="00805F6D" w:rsidRDefault="00805F6D" w:rsidP="00DB008B">
                    <w:pPr>
                      <w:jc w:val="right"/>
                      <w:rPr>
                        <w:rFonts w:asciiTheme="majorEastAsia" w:eastAsiaTheme="majorEastAsia" w:hAnsiTheme="majorEastAsia"/>
                        <w:szCs w:val="21"/>
                      </w:rPr>
                    </w:pPr>
                    <w:r>
                      <w:t>525,794,088</w:t>
                    </w:r>
                  </w:p>
                </w:tc>
                <w:tc>
                  <w:tcPr>
                    <w:tcW w:w="1233" w:type="pct"/>
                    <w:tcBorders>
                      <w:top w:val="single" w:sz="4" w:space="0" w:color="auto"/>
                      <w:left w:val="single" w:sz="4" w:space="0" w:color="auto"/>
                      <w:bottom w:val="single" w:sz="4" w:space="0" w:color="auto"/>
                      <w:right w:val="single" w:sz="4" w:space="0" w:color="auto"/>
                    </w:tcBorders>
                    <w:shd w:val="clear" w:color="auto" w:fill="auto"/>
                  </w:tcPr>
                  <w:p w:rsidR="00805F6D" w:rsidRPr="00805F6D" w:rsidRDefault="00805F6D" w:rsidP="00DB008B">
                    <w:pPr>
                      <w:jc w:val="right"/>
                      <w:rPr>
                        <w:rFonts w:asciiTheme="majorEastAsia" w:eastAsiaTheme="majorEastAsia" w:hAnsiTheme="majorEastAsia"/>
                        <w:szCs w:val="21"/>
                      </w:rPr>
                    </w:pPr>
                    <w:r>
                      <w:t>460,051,493</w:t>
                    </w:r>
                  </w:p>
                </w:tc>
              </w:tr>
            </w:sdtContent>
          </w:sdt>
          <w:sdt>
            <w:sdtPr>
              <w:rPr>
                <w:rFonts w:asciiTheme="majorEastAsia" w:eastAsiaTheme="majorEastAsia" w:hAnsiTheme="majorEastAsia"/>
                <w:szCs w:val="21"/>
              </w:rPr>
              <w:alias w:val="出售商品提供劳务情况明细"/>
              <w:tag w:val="_TUP_c080581d6b634c7bacd27d6542159620"/>
              <w:id w:val="1711540494"/>
              <w:lock w:val="sdtLocked"/>
            </w:sdtPr>
            <w:sdtContent>
              <w:tr w:rsidR="00805F6D" w:rsidTr="00805F6D">
                <w:trPr>
                  <w:cantSplit/>
                </w:trPr>
                <w:tc>
                  <w:tcPr>
                    <w:tcW w:w="1323" w:type="pct"/>
                    <w:tcBorders>
                      <w:top w:val="single" w:sz="4" w:space="0" w:color="auto"/>
                      <w:left w:val="single" w:sz="4" w:space="0" w:color="auto"/>
                      <w:bottom w:val="single" w:sz="4" w:space="0" w:color="auto"/>
                      <w:right w:val="single" w:sz="4" w:space="0" w:color="auto"/>
                    </w:tcBorders>
                    <w:shd w:val="clear" w:color="auto" w:fill="auto"/>
                  </w:tcPr>
                  <w:p w:rsidR="00805F6D" w:rsidRPr="00805F6D" w:rsidRDefault="00805F6D" w:rsidP="00DB008B">
                    <w:pPr>
                      <w:rPr>
                        <w:rFonts w:asciiTheme="majorEastAsia" w:eastAsiaTheme="majorEastAsia" w:hAnsiTheme="majorEastAsia"/>
                        <w:szCs w:val="21"/>
                      </w:rPr>
                    </w:pPr>
                    <w:r w:rsidRPr="00805F6D">
                      <w:rPr>
                        <w:rFonts w:asciiTheme="majorEastAsia" w:eastAsiaTheme="majorEastAsia" w:hAnsiTheme="majorEastAsia"/>
                      </w:rPr>
                      <w:t>国铁集团及其下属单位</w:t>
                    </w:r>
                  </w:p>
                </w:tc>
                <w:tc>
                  <w:tcPr>
                    <w:tcW w:w="1321" w:type="pct"/>
                    <w:tcBorders>
                      <w:top w:val="single" w:sz="4" w:space="0" w:color="auto"/>
                      <w:left w:val="single" w:sz="4" w:space="0" w:color="auto"/>
                      <w:bottom w:val="single" w:sz="4" w:space="0" w:color="auto"/>
                      <w:right w:val="single" w:sz="4" w:space="0" w:color="auto"/>
                    </w:tcBorders>
                    <w:shd w:val="clear" w:color="auto" w:fill="auto"/>
                    <w:vAlign w:val="center"/>
                  </w:tcPr>
                  <w:p w:rsidR="00805F6D" w:rsidRPr="00805F6D" w:rsidRDefault="00805F6D" w:rsidP="00DB008B">
                    <w:pPr>
                      <w:rPr>
                        <w:rFonts w:asciiTheme="majorEastAsia" w:eastAsiaTheme="majorEastAsia" w:hAnsiTheme="majorEastAsia"/>
                        <w:szCs w:val="21"/>
                      </w:rPr>
                    </w:pPr>
                    <w:r w:rsidRPr="00805F6D">
                      <w:rPr>
                        <w:rFonts w:asciiTheme="majorEastAsia" w:eastAsiaTheme="majorEastAsia" w:hAnsiTheme="majorEastAsia" w:cs="PMingLiU" w:hint="eastAsia"/>
                      </w:rPr>
                      <w:t>中转服务收入</w:t>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805F6D" w:rsidRPr="00805F6D" w:rsidRDefault="00805F6D" w:rsidP="00DB008B">
                    <w:pPr>
                      <w:jc w:val="right"/>
                      <w:rPr>
                        <w:rFonts w:asciiTheme="majorEastAsia" w:eastAsiaTheme="majorEastAsia" w:hAnsiTheme="majorEastAsia"/>
                        <w:szCs w:val="21"/>
                      </w:rPr>
                    </w:pPr>
                    <w:r>
                      <w:t>279,014,912</w:t>
                    </w:r>
                  </w:p>
                </w:tc>
                <w:tc>
                  <w:tcPr>
                    <w:tcW w:w="1233" w:type="pct"/>
                    <w:tcBorders>
                      <w:top w:val="single" w:sz="4" w:space="0" w:color="auto"/>
                      <w:left w:val="single" w:sz="4" w:space="0" w:color="auto"/>
                      <w:bottom w:val="single" w:sz="4" w:space="0" w:color="auto"/>
                      <w:right w:val="single" w:sz="4" w:space="0" w:color="auto"/>
                    </w:tcBorders>
                    <w:shd w:val="clear" w:color="auto" w:fill="auto"/>
                  </w:tcPr>
                  <w:p w:rsidR="00805F6D" w:rsidRPr="00805F6D" w:rsidRDefault="00805F6D" w:rsidP="00DB008B">
                    <w:pPr>
                      <w:jc w:val="right"/>
                      <w:rPr>
                        <w:rFonts w:asciiTheme="majorEastAsia" w:eastAsiaTheme="majorEastAsia" w:hAnsiTheme="majorEastAsia"/>
                        <w:szCs w:val="21"/>
                      </w:rPr>
                    </w:pPr>
                    <w:r>
                      <w:t>272,211,259</w:t>
                    </w:r>
                  </w:p>
                </w:tc>
              </w:tr>
            </w:sdtContent>
          </w:sdt>
          <w:sdt>
            <w:sdtPr>
              <w:rPr>
                <w:rFonts w:asciiTheme="majorEastAsia" w:eastAsiaTheme="majorEastAsia" w:hAnsiTheme="majorEastAsia"/>
                <w:szCs w:val="21"/>
              </w:rPr>
              <w:alias w:val="出售商品提供劳务情况明细"/>
              <w:tag w:val="_TUP_c080581d6b634c7bacd27d6542159620"/>
              <w:id w:val="-1441908283"/>
              <w:lock w:val="sdtLocked"/>
            </w:sdtPr>
            <w:sdtContent>
              <w:tr w:rsidR="00805F6D" w:rsidTr="00805F6D">
                <w:trPr>
                  <w:cantSplit/>
                </w:trPr>
                <w:tc>
                  <w:tcPr>
                    <w:tcW w:w="1323" w:type="pct"/>
                    <w:tcBorders>
                      <w:top w:val="single" w:sz="4" w:space="0" w:color="auto"/>
                      <w:left w:val="single" w:sz="4" w:space="0" w:color="auto"/>
                      <w:bottom w:val="single" w:sz="4" w:space="0" w:color="auto"/>
                      <w:right w:val="single" w:sz="4" w:space="0" w:color="auto"/>
                    </w:tcBorders>
                    <w:shd w:val="clear" w:color="auto" w:fill="auto"/>
                  </w:tcPr>
                  <w:p w:rsidR="00805F6D" w:rsidRPr="00805F6D" w:rsidRDefault="00805F6D" w:rsidP="00DB008B">
                    <w:pPr>
                      <w:rPr>
                        <w:rFonts w:asciiTheme="majorEastAsia" w:eastAsiaTheme="majorEastAsia" w:hAnsiTheme="majorEastAsia"/>
                        <w:szCs w:val="21"/>
                      </w:rPr>
                    </w:pPr>
                    <w:r w:rsidRPr="00805F6D">
                      <w:rPr>
                        <w:rFonts w:asciiTheme="majorEastAsia" w:eastAsiaTheme="majorEastAsia" w:hAnsiTheme="majorEastAsia"/>
                      </w:rPr>
                      <w:t>国铁集团及其下属单位</w:t>
                    </w:r>
                  </w:p>
                </w:tc>
                <w:tc>
                  <w:tcPr>
                    <w:tcW w:w="1321" w:type="pct"/>
                    <w:tcBorders>
                      <w:top w:val="single" w:sz="4" w:space="0" w:color="auto"/>
                      <w:left w:val="single" w:sz="4" w:space="0" w:color="auto"/>
                      <w:bottom w:val="single" w:sz="4" w:space="0" w:color="auto"/>
                      <w:right w:val="single" w:sz="4" w:space="0" w:color="auto"/>
                    </w:tcBorders>
                    <w:shd w:val="clear" w:color="auto" w:fill="auto"/>
                    <w:vAlign w:val="center"/>
                  </w:tcPr>
                  <w:p w:rsidR="00805F6D" w:rsidRPr="00805F6D" w:rsidRDefault="00805F6D" w:rsidP="00DB008B">
                    <w:pPr>
                      <w:rPr>
                        <w:rFonts w:asciiTheme="majorEastAsia" w:eastAsiaTheme="majorEastAsia" w:hAnsiTheme="majorEastAsia"/>
                        <w:szCs w:val="21"/>
                      </w:rPr>
                    </w:pPr>
                    <w:r w:rsidRPr="00805F6D">
                      <w:rPr>
                        <w:rFonts w:asciiTheme="majorEastAsia" w:eastAsiaTheme="majorEastAsia" w:hAnsiTheme="majorEastAsia" w:cs="PMingLiU" w:hint="eastAsia"/>
                      </w:rPr>
                      <w:t>货运空车走行服务收入</w:t>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805F6D" w:rsidRPr="00805F6D" w:rsidRDefault="00805F6D" w:rsidP="00DB008B">
                    <w:pPr>
                      <w:jc w:val="right"/>
                      <w:rPr>
                        <w:rFonts w:asciiTheme="majorEastAsia" w:eastAsiaTheme="majorEastAsia" w:hAnsiTheme="majorEastAsia"/>
                        <w:szCs w:val="21"/>
                      </w:rPr>
                    </w:pPr>
                    <w:r>
                      <w:t>789,048,212</w:t>
                    </w:r>
                  </w:p>
                </w:tc>
                <w:tc>
                  <w:tcPr>
                    <w:tcW w:w="1233" w:type="pct"/>
                    <w:tcBorders>
                      <w:top w:val="single" w:sz="4" w:space="0" w:color="auto"/>
                      <w:left w:val="single" w:sz="4" w:space="0" w:color="auto"/>
                      <w:bottom w:val="single" w:sz="4" w:space="0" w:color="auto"/>
                      <w:right w:val="single" w:sz="4" w:space="0" w:color="auto"/>
                    </w:tcBorders>
                    <w:shd w:val="clear" w:color="auto" w:fill="auto"/>
                  </w:tcPr>
                  <w:p w:rsidR="00805F6D" w:rsidRPr="00805F6D" w:rsidRDefault="00805F6D" w:rsidP="00DB008B">
                    <w:pPr>
                      <w:jc w:val="right"/>
                      <w:rPr>
                        <w:rFonts w:asciiTheme="majorEastAsia" w:eastAsiaTheme="majorEastAsia" w:hAnsiTheme="majorEastAsia"/>
                        <w:szCs w:val="21"/>
                      </w:rPr>
                    </w:pPr>
                    <w:r>
                      <w:t>791,183,808</w:t>
                    </w:r>
                  </w:p>
                </w:tc>
              </w:tr>
            </w:sdtContent>
          </w:sdt>
          <w:sdt>
            <w:sdtPr>
              <w:rPr>
                <w:rFonts w:asciiTheme="majorEastAsia" w:eastAsiaTheme="majorEastAsia" w:hAnsiTheme="majorEastAsia"/>
                <w:szCs w:val="21"/>
              </w:rPr>
              <w:alias w:val="出售商品提供劳务情况明细"/>
              <w:tag w:val="_TUP_c080581d6b634c7bacd27d6542159620"/>
              <w:id w:val="-1743094474"/>
              <w:lock w:val="sdtLocked"/>
            </w:sdtPr>
            <w:sdtContent>
              <w:tr w:rsidR="00805F6D" w:rsidTr="00805F6D">
                <w:trPr>
                  <w:cantSplit/>
                </w:trPr>
                <w:tc>
                  <w:tcPr>
                    <w:tcW w:w="1323" w:type="pct"/>
                    <w:tcBorders>
                      <w:top w:val="single" w:sz="4" w:space="0" w:color="auto"/>
                      <w:left w:val="single" w:sz="4" w:space="0" w:color="auto"/>
                      <w:bottom w:val="single" w:sz="4" w:space="0" w:color="auto"/>
                      <w:right w:val="single" w:sz="4" w:space="0" w:color="auto"/>
                    </w:tcBorders>
                    <w:shd w:val="clear" w:color="auto" w:fill="auto"/>
                  </w:tcPr>
                  <w:p w:rsidR="00805F6D" w:rsidRPr="00805F6D" w:rsidRDefault="00805F6D" w:rsidP="00DB008B">
                    <w:pPr>
                      <w:rPr>
                        <w:rFonts w:asciiTheme="majorEastAsia" w:eastAsiaTheme="majorEastAsia" w:hAnsiTheme="majorEastAsia"/>
                        <w:szCs w:val="21"/>
                      </w:rPr>
                    </w:pPr>
                    <w:r w:rsidRPr="00805F6D">
                      <w:rPr>
                        <w:rFonts w:asciiTheme="majorEastAsia" w:eastAsiaTheme="majorEastAsia" w:hAnsiTheme="majorEastAsia"/>
                      </w:rPr>
                      <w:t>国铁集团及其下属单位</w:t>
                    </w:r>
                  </w:p>
                </w:tc>
                <w:tc>
                  <w:tcPr>
                    <w:tcW w:w="1321" w:type="pct"/>
                    <w:tcBorders>
                      <w:top w:val="single" w:sz="4" w:space="0" w:color="auto"/>
                      <w:left w:val="single" w:sz="4" w:space="0" w:color="auto"/>
                      <w:bottom w:val="single" w:sz="4" w:space="0" w:color="auto"/>
                      <w:right w:val="single" w:sz="4" w:space="0" w:color="auto"/>
                    </w:tcBorders>
                    <w:shd w:val="clear" w:color="auto" w:fill="auto"/>
                    <w:vAlign w:val="center"/>
                  </w:tcPr>
                  <w:p w:rsidR="00805F6D" w:rsidRPr="00805F6D" w:rsidRDefault="00805F6D" w:rsidP="00DB008B">
                    <w:pPr>
                      <w:rPr>
                        <w:rFonts w:asciiTheme="majorEastAsia" w:eastAsiaTheme="majorEastAsia" w:hAnsiTheme="majorEastAsia"/>
                        <w:szCs w:val="21"/>
                      </w:rPr>
                    </w:pPr>
                    <w:r w:rsidRPr="00805F6D">
                      <w:rPr>
                        <w:rFonts w:asciiTheme="majorEastAsia" w:eastAsiaTheme="majorEastAsia" w:hAnsiTheme="majorEastAsia" w:cs="PMingLiU" w:hint="eastAsia"/>
                      </w:rPr>
                      <w:t>其他服务收入</w:t>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805F6D" w:rsidRPr="00805F6D" w:rsidRDefault="00805F6D" w:rsidP="00DB008B">
                    <w:pPr>
                      <w:jc w:val="right"/>
                      <w:rPr>
                        <w:rFonts w:asciiTheme="majorEastAsia" w:eastAsiaTheme="majorEastAsia" w:hAnsiTheme="majorEastAsia"/>
                        <w:szCs w:val="21"/>
                      </w:rPr>
                    </w:pPr>
                    <w:r>
                      <w:t>124,271,730</w:t>
                    </w:r>
                  </w:p>
                </w:tc>
                <w:tc>
                  <w:tcPr>
                    <w:tcW w:w="1233" w:type="pct"/>
                    <w:tcBorders>
                      <w:top w:val="single" w:sz="4" w:space="0" w:color="auto"/>
                      <w:left w:val="single" w:sz="4" w:space="0" w:color="auto"/>
                      <w:bottom w:val="single" w:sz="4" w:space="0" w:color="auto"/>
                      <w:right w:val="single" w:sz="4" w:space="0" w:color="auto"/>
                    </w:tcBorders>
                    <w:shd w:val="clear" w:color="auto" w:fill="auto"/>
                  </w:tcPr>
                  <w:p w:rsidR="00805F6D" w:rsidRPr="00805F6D" w:rsidRDefault="00805F6D" w:rsidP="00DB008B">
                    <w:pPr>
                      <w:jc w:val="right"/>
                      <w:rPr>
                        <w:rFonts w:asciiTheme="majorEastAsia" w:eastAsiaTheme="majorEastAsia" w:hAnsiTheme="majorEastAsia"/>
                        <w:szCs w:val="21"/>
                      </w:rPr>
                    </w:pPr>
                    <w:r>
                      <w:t>145,820,951</w:t>
                    </w:r>
                  </w:p>
                </w:tc>
              </w:tr>
            </w:sdtContent>
          </w:sdt>
        </w:tbl>
        <w:p w:rsidR="00805F6D" w:rsidRPr="00805F6D" w:rsidRDefault="00805F6D">
          <w:pPr>
            <w:rPr>
              <w:lang w:val="fr-FR"/>
            </w:rPr>
          </w:pPr>
        </w:p>
        <w:p w:rsidR="00806678" w:rsidRDefault="00B16377">
          <w:pPr>
            <w:rPr>
              <w:rFonts w:cs="Cambria"/>
              <w:szCs w:val="21"/>
            </w:rPr>
          </w:pPr>
          <w:r>
            <w:rPr>
              <w:rFonts w:cs="Cambria" w:hint="eastAsia"/>
              <w:szCs w:val="21"/>
            </w:rPr>
            <w:t>购销商品、提供和接受劳务的关联交易说明</w:t>
          </w:r>
        </w:p>
        <w:sdt>
          <w:sdtPr>
            <w:rPr>
              <w:rFonts w:cs="Cambria"/>
              <w:szCs w:val="21"/>
            </w:rPr>
            <w:alias w:val="是否适用：购销商品、提供和接受劳务的关联交易说明[双击切换]"/>
            <w:tag w:val="_GBC_bfac708300bd4f9886d4b6bc97c99022"/>
            <w:id w:val="-1849781935"/>
            <w:lock w:val="sdtLocked"/>
            <w:placeholder>
              <w:docPart w:val="GBC22222222222222222222222222222"/>
            </w:placeholder>
          </w:sdtPr>
          <w:sdtContent>
            <w:p w:rsidR="00806678" w:rsidRDefault="00F80B6C">
              <w:pPr>
                <w:rPr>
                  <w:rFonts w:cs="Cambria"/>
                  <w:szCs w:val="21"/>
                </w:rPr>
              </w:pPr>
              <w:r>
                <w:rPr>
                  <w:rFonts w:cs="Cambria"/>
                  <w:szCs w:val="21"/>
                </w:rPr>
                <w:fldChar w:fldCharType="begin"/>
              </w:r>
              <w:r w:rsidR="002630FB">
                <w:rPr>
                  <w:rFonts w:cs="Cambria"/>
                  <w:szCs w:val="21"/>
                </w:rPr>
                <w:instrText xml:space="preserve">MACROBUTTON  SnrToggleCheckbox √适用 </w:instrText>
              </w:r>
              <w:r>
                <w:rPr>
                  <w:rFonts w:cs="Cambria"/>
                  <w:szCs w:val="21"/>
                </w:rPr>
                <w:fldChar w:fldCharType="end"/>
              </w:r>
              <w:r>
                <w:rPr>
                  <w:rFonts w:cs="Cambria"/>
                  <w:szCs w:val="21"/>
                </w:rPr>
                <w:fldChar w:fldCharType="begin"/>
              </w:r>
              <w:r w:rsidR="002630FB">
                <w:rPr>
                  <w:rFonts w:cs="Cambria"/>
                  <w:szCs w:val="21"/>
                </w:rPr>
                <w:instrText xml:space="preserve"> MACROBUTTON  SnrToggleCheckbox □不适用 </w:instrText>
              </w:r>
              <w:r>
                <w:rPr>
                  <w:rFonts w:cs="Cambria"/>
                  <w:szCs w:val="21"/>
                </w:rPr>
                <w:fldChar w:fldCharType="end"/>
              </w:r>
            </w:p>
          </w:sdtContent>
        </w:sdt>
        <w:sdt>
          <w:sdtPr>
            <w:rPr>
              <w:rFonts w:cs="Cambria"/>
              <w:szCs w:val="21"/>
            </w:rPr>
            <w:alias w:val="购销商品、提供和接受劳务的关联交易说明"/>
            <w:tag w:val="_GBC_2e3d658b1c454acb945f621162cfd0e7"/>
            <w:id w:val="-1205394742"/>
            <w:lock w:val="sdtLocked"/>
            <w:placeholder>
              <w:docPart w:val="GBC22222222222222222222222222222"/>
            </w:placeholder>
          </w:sdtPr>
          <w:sdtContent>
            <w:p w:rsidR="002630FB" w:rsidRPr="00F66245" w:rsidRDefault="006420B9" w:rsidP="006420B9">
              <w:pPr>
                <w:rPr>
                  <w:rFonts w:cs="Arial"/>
                  <w:bCs/>
                  <w:sz w:val="22"/>
                  <w:szCs w:val="22"/>
                </w:rPr>
              </w:pPr>
              <w:r w:rsidRPr="00F66245">
                <w:rPr>
                  <w:rFonts w:cs="Arial"/>
                  <w:bCs/>
                  <w:sz w:val="22"/>
                  <w:szCs w:val="22"/>
                </w:rPr>
                <w:t xml:space="preserve">- </w:t>
              </w:r>
              <w:r w:rsidRPr="00F66245">
                <w:rPr>
                  <w:rFonts w:cs="Arial" w:hint="eastAsia"/>
                  <w:bCs/>
                  <w:sz w:val="22"/>
                  <w:szCs w:val="22"/>
                </w:rPr>
                <w:t>铁路基础设施及运输设备租赁、使用</w:t>
              </w:r>
            </w:p>
            <w:p w:rsidR="006420B9" w:rsidRPr="00170C02" w:rsidRDefault="00170C02" w:rsidP="00170C02">
              <w:pPr>
                <w:jc w:val="right"/>
                <w:rPr>
                  <w:rFonts w:asciiTheme="majorEastAsia" w:eastAsiaTheme="majorEastAsia" w:hAnsiTheme="majorEastAsia"/>
                  <w:szCs w:val="21"/>
                </w:rPr>
              </w:pPr>
              <w:r w:rsidRPr="00170C02">
                <w:rPr>
                  <w:rFonts w:asciiTheme="majorEastAsia" w:eastAsiaTheme="majorEastAsia" w:hAnsiTheme="majorEastAsia" w:cs="PMingLiU" w:hint="eastAsia"/>
                  <w:szCs w:val="21"/>
                </w:rPr>
                <w:t>单</w:t>
              </w:r>
              <w:r w:rsidRPr="00170C02">
                <w:rPr>
                  <w:rFonts w:asciiTheme="majorEastAsia" w:eastAsiaTheme="majorEastAsia" w:hAnsiTheme="majorEastAsia" w:cs="Yu Gothic" w:hint="eastAsia"/>
                  <w:szCs w:val="21"/>
                </w:rPr>
                <w:t>位：元</w:t>
              </w:r>
              <w:r w:rsidRPr="00170C02">
                <w:rPr>
                  <w:rFonts w:asciiTheme="majorEastAsia" w:eastAsiaTheme="majorEastAsia" w:hAnsiTheme="majorEastAsia" w:cs="螳倶ｽ・"/>
                  <w:szCs w:val="21"/>
                </w:rPr>
                <w:t xml:space="preserve"> </w:t>
              </w:r>
              <w:r w:rsidRPr="00170C02">
                <w:rPr>
                  <w:rFonts w:asciiTheme="majorEastAsia" w:eastAsiaTheme="majorEastAsia" w:hAnsiTheme="majorEastAsia" w:cs="PMingLiU" w:hint="eastAsia"/>
                  <w:szCs w:val="21"/>
                </w:rPr>
                <w:t>币</w:t>
              </w:r>
              <w:r w:rsidRPr="00170C02">
                <w:rPr>
                  <w:rFonts w:asciiTheme="majorEastAsia" w:eastAsiaTheme="majorEastAsia" w:hAnsiTheme="majorEastAsia" w:cs="Yu Gothic" w:hint="eastAsia"/>
                  <w:szCs w:val="21"/>
                </w:rPr>
                <w:t>种：人民</w:t>
              </w:r>
              <w:r w:rsidRPr="00170C02">
                <w:rPr>
                  <w:rFonts w:asciiTheme="majorEastAsia" w:eastAsiaTheme="majorEastAsia" w:hAnsiTheme="majorEastAsia" w:cs="PMingLiU" w:hint="eastAsia"/>
                  <w:szCs w:val="21"/>
                </w:rPr>
                <w:t>币</w:t>
              </w:r>
            </w:p>
            <w:tbl>
              <w:tblPr>
                <w:tblpPr w:leftFromText="180" w:rightFromText="180" w:vertAnchor="text" w:horzAnchor="margin" w:tblpY="159"/>
                <w:tblW w:w="8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28" w:type="dxa"/>
                </w:tblCellMar>
                <w:tblLook w:val="04A0"/>
              </w:tblPr>
              <w:tblGrid>
                <w:gridCol w:w="3547"/>
                <w:gridCol w:w="2127"/>
                <w:gridCol w:w="1582"/>
                <w:gridCol w:w="1610"/>
              </w:tblGrid>
              <w:tr w:rsidR="006420B9" w:rsidRPr="00805F6D" w:rsidTr="008651A8">
                <w:trPr>
                  <w:trHeight w:val="284"/>
                </w:trPr>
                <w:tc>
                  <w:tcPr>
                    <w:tcW w:w="3547" w:type="dxa"/>
                    <w:vAlign w:val="bottom"/>
                  </w:tcPr>
                  <w:p w:rsidR="006420B9" w:rsidRPr="008651A8" w:rsidRDefault="006420B9" w:rsidP="008651A8">
                    <w:pPr>
                      <w:snapToGrid w:val="0"/>
                      <w:ind w:left="181" w:hanging="181"/>
                      <w:jc w:val="center"/>
                      <w:rPr>
                        <w:szCs w:val="21"/>
                      </w:rPr>
                    </w:pPr>
                    <w:r w:rsidRPr="008651A8">
                      <w:rPr>
                        <w:szCs w:val="21"/>
                      </w:rPr>
                      <w:t>关联方</w:t>
                    </w:r>
                  </w:p>
                </w:tc>
                <w:tc>
                  <w:tcPr>
                    <w:tcW w:w="2127" w:type="dxa"/>
                    <w:vAlign w:val="bottom"/>
                  </w:tcPr>
                  <w:p w:rsidR="006420B9" w:rsidRPr="008651A8" w:rsidRDefault="006420B9" w:rsidP="008651A8">
                    <w:pPr>
                      <w:snapToGrid w:val="0"/>
                      <w:jc w:val="center"/>
                      <w:rPr>
                        <w:szCs w:val="21"/>
                      </w:rPr>
                    </w:pPr>
                    <w:r w:rsidRPr="008651A8">
                      <w:rPr>
                        <w:szCs w:val="21"/>
                      </w:rPr>
                      <w:t>关联交易内容</w:t>
                    </w:r>
                  </w:p>
                </w:tc>
                <w:tc>
                  <w:tcPr>
                    <w:tcW w:w="1582" w:type="dxa"/>
                    <w:vAlign w:val="bottom"/>
                  </w:tcPr>
                  <w:p w:rsidR="006420B9" w:rsidRPr="008651A8" w:rsidRDefault="006420B9" w:rsidP="008651A8">
                    <w:pPr>
                      <w:snapToGrid w:val="0"/>
                      <w:jc w:val="center"/>
                      <w:rPr>
                        <w:szCs w:val="21"/>
                      </w:rPr>
                    </w:pPr>
                    <w:r w:rsidRPr="008651A8">
                      <w:rPr>
                        <w:szCs w:val="21"/>
                      </w:rPr>
                      <w:t>本期发生额</w:t>
                    </w:r>
                  </w:p>
                </w:tc>
                <w:tc>
                  <w:tcPr>
                    <w:tcW w:w="1610" w:type="dxa"/>
                    <w:vAlign w:val="bottom"/>
                  </w:tcPr>
                  <w:p w:rsidR="006420B9" w:rsidRPr="008651A8" w:rsidRDefault="006420B9" w:rsidP="008651A8">
                    <w:pPr>
                      <w:snapToGrid w:val="0"/>
                      <w:jc w:val="center"/>
                      <w:rPr>
                        <w:szCs w:val="21"/>
                      </w:rPr>
                    </w:pPr>
                    <w:r w:rsidRPr="008651A8">
                      <w:rPr>
                        <w:szCs w:val="21"/>
                      </w:rPr>
                      <w:t>上期发生额</w:t>
                    </w:r>
                  </w:p>
                </w:tc>
              </w:tr>
              <w:tr w:rsidR="006420B9" w:rsidRPr="00805F6D" w:rsidTr="008651A8">
                <w:trPr>
                  <w:trHeight w:val="284"/>
                </w:trPr>
                <w:tc>
                  <w:tcPr>
                    <w:tcW w:w="3547" w:type="dxa"/>
                    <w:vAlign w:val="bottom"/>
                  </w:tcPr>
                  <w:p w:rsidR="006420B9" w:rsidRPr="008651A8" w:rsidRDefault="006420B9" w:rsidP="00DB008B">
                    <w:pPr>
                      <w:snapToGrid w:val="0"/>
                      <w:ind w:left="181" w:hanging="181"/>
                      <w:rPr>
                        <w:szCs w:val="21"/>
                      </w:rPr>
                    </w:pPr>
                    <w:r w:rsidRPr="008651A8">
                      <w:rPr>
                        <w:szCs w:val="21"/>
                      </w:rPr>
                      <w:t>国铁集团及其下属单位</w:t>
                    </w:r>
                  </w:p>
                </w:tc>
                <w:tc>
                  <w:tcPr>
                    <w:tcW w:w="2127" w:type="dxa"/>
                    <w:vAlign w:val="bottom"/>
                  </w:tcPr>
                  <w:p w:rsidR="006420B9" w:rsidRPr="008651A8" w:rsidRDefault="006420B9" w:rsidP="00170C02">
                    <w:pPr>
                      <w:snapToGrid w:val="0"/>
                      <w:ind w:left="85"/>
                      <w:rPr>
                        <w:szCs w:val="21"/>
                      </w:rPr>
                    </w:pPr>
                    <w:r w:rsidRPr="008651A8">
                      <w:rPr>
                        <w:szCs w:val="21"/>
                      </w:rPr>
                      <w:t>货车使用费收入</w:t>
                    </w:r>
                  </w:p>
                </w:tc>
                <w:tc>
                  <w:tcPr>
                    <w:tcW w:w="1582" w:type="dxa"/>
                    <w:vAlign w:val="bottom"/>
                  </w:tcPr>
                  <w:p w:rsidR="006420B9" w:rsidRPr="008651A8" w:rsidRDefault="006420B9" w:rsidP="00170C02">
                    <w:pPr>
                      <w:snapToGrid w:val="0"/>
                      <w:ind w:right="73"/>
                      <w:jc w:val="right"/>
                      <w:rPr>
                        <w:szCs w:val="21"/>
                      </w:rPr>
                    </w:pPr>
                    <w:r w:rsidRPr="008651A8">
                      <w:rPr>
                        <w:szCs w:val="21"/>
                      </w:rPr>
                      <w:t>277,934,677</w:t>
                    </w:r>
                  </w:p>
                </w:tc>
                <w:tc>
                  <w:tcPr>
                    <w:tcW w:w="1610" w:type="dxa"/>
                    <w:vAlign w:val="bottom"/>
                  </w:tcPr>
                  <w:p w:rsidR="006420B9" w:rsidRPr="008651A8" w:rsidRDefault="006420B9" w:rsidP="00170C02">
                    <w:pPr>
                      <w:snapToGrid w:val="0"/>
                      <w:ind w:right="73"/>
                      <w:jc w:val="right"/>
                      <w:rPr>
                        <w:szCs w:val="21"/>
                      </w:rPr>
                    </w:pPr>
                    <w:r w:rsidRPr="008651A8">
                      <w:rPr>
                        <w:szCs w:val="21"/>
                      </w:rPr>
                      <w:t>239,702,215</w:t>
                    </w:r>
                  </w:p>
                </w:tc>
              </w:tr>
              <w:tr w:rsidR="006420B9" w:rsidRPr="00805F6D" w:rsidTr="008651A8">
                <w:trPr>
                  <w:trHeight w:val="270"/>
                </w:trPr>
                <w:tc>
                  <w:tcPr>
                    <w:tcW w:w="3547" w:type="dxa"/>
                    <w:vAlign w:val="bottom"/>
                  </w:tcPr>
                  <w:p w:rsidR="006420B9" w:rsidRPr="008651A8" w:rsidRDefault="006420B9" w:rsidP="00DB008B">
                    <w:pPr>
                      <w:snapToGrid w:val="0"/>
                      <w:ind w:left="181" w:hanging="181"/>
                      <w:rPr>
                        <w:szCs w:val="21"/>
                      </w:rPr>
                    </w:pPr>
                    <w:r w:rsidRPr="008651A8">
                      <w:rPr>
                        <w:szCs w:val="21"/>
                      </w:rPr>
                      <w:t>国铁集团及其下属单位</w:t>
                    </w:r>
                  </w:p>
                </w:tc>
                <w:tc>
                  <w:tcPr>
                    <w:tcW w:w="2127" w:type="dxa"/>
                    <w:vAlign w:val="bottom"/>
                  </w:tcPr>
                  <w:p w:rsidR="006420B9" w:rsidRPr="008651A8" w:rsidRDefault="006420B9" w:rsidP="00170C02">
                    <w:pPr>
                      <w:snapToGrid w:val="0"/>
                      <w:ind w:left="85"/>
                      <w:rPr>
                        <w:szCs w:val="21"/>
                      </w:rPr>
                    </w:pPr>
                    <w:r w:rsidRPr="008651A8">
                      <w:rPr>
                        <w:szCs w:val="21"/>
                      </w:rPr>
                      <w:t>客车借调收入</w:t>
                    </w:r>
                  </w:p>
                </w:tc>
                <w:tc>
                  <w:tcPr>
                    <w:tcW w:w="1582" w:type="dxa"/>
                    <w:vAlign w:val="bottom"/>
                  </w:tcPr>
                  <w:p w:rsidR="006420B9" w:rsidRPr="008651A8" w:rsidRDefault="006420B9" w:rsidP="00170C02">
                    <w:pPr>
                      <w:snapToGrid w:val="0"/>
                      <w:ind w:right="73"/>
                      <w:jc w:val="right"/>
                      <w:rPr>
                        <w:szCs w:val="21"/>
                      </w:rPr>
                    </w:pPr>
                    <w:r w:rsidRPr="008651A8">
                      <w:rPr>
                        <w:szCs w:val="21"/>
                      </w:rPr>
                      <w:t>9,071,746</w:t>
                    </w:r>
                  </w:p>
                </w:tc>
                <w:tc>
                  <w:tcPr>
                    <w:tcW w:w="1610" w:type="dxa"/>
                    <w:vAlign w:val="bottom"/>
                  </w:tcPr>
                  <w:p w:rsidR="006420B9" w:rsidRPr="008651A8" w:rsidRDefault="006420B9" w:rsidP="00170C02">
                    <w:pPr>
                      <w:snapToGrid w:val="0"/>
                      <w:ind w:right="73"/>
                      <w:jc w:val="right"/>
                      <w:rPr>
                        <w:szCs w:val="21"/>
                      </w:rPr>
                    </w:pPr>
                    <w:r w:rsidRPr="008651A8">
                      <w:rPr>
                        <w:szCs w:val="21"/>
                      </w:rPr>
                      <w:t>9,807,595</w:t>
                    </w:r>
                  </w:p>
                </w:tc>
              </w:tr>
            </w:tbl>
            <w:p w:rsidR="002630FB" w:rsidRDefault="002630FB" w:rsidP="00F66245">
              <w:pPr>
                <w:pStyle w:val="7"/>
                <w:spacing w:before="100" w:after="0" w:line="319" w:lineRule="auto"/>
                <w:rPr>
                  <w:rFonts w:cs="Arial"/>
                  <w:b w:val="0"/>
                  <w:sz w:val="22"/>
                  <w:szCs w:val="22"/>
                </w:rPr>
              </w:pPr>
              <w:r w:rsidRPr="001F185D">
                <w:rPr>
                  <w:rFonts w:cs="Arial" w:hint="eastAsia"/>
                  <w:b w:val="0"/>
                  <w:sz w:val="22"/>
                  <w:szCs w:val="22"/>
                </w:rPr>
                <w:t>(</w:t>
              </w:r>
              <w:r>
                <w:rPr>
                  <w:rFonts w:cs="Arial" w:hint="eastAsia"/>
                  <w:b w:val="0"/>
                  <w:sz w:val="22"/>
                  <w:szCs w:val="22"/>
                </w:rPr>
                <w:t>a</w:t>
              </w:r>
              <w:r w:rsidRPr="001F185D">
                <w:rPr>
                  <w:rFonts w:cs="Arial" w:hint="eastAsia"/>
                  <w:b w:val="0"/>
                  <w:sz w:val="22"/>
                  <w:szCs w:val="22"/>
                </w:rPr>
                <w:t>)</w:t>
              </w:r>
              <w:r w:rsidRPr="001F185D">
                <w:rPr>
                  <w:rFonts w:cs="Arial" w:hint="eastAsia"/>
                  <w:b w:val="0"/>
                  <w:sz w:val="22"/>
                  <w:szCs w:val="22"/>
                </w:rPr>
                <w:tab/>
                <w:t>铁路相关服务</w:t>
              </w:r>
            </w:p>
            <w:p w:rsidR="00170C02" w:rsidRPr="00170C02" w:rsidRDefault="00170C02" w:rsidP="00170C02">
              <w:pPr>
                <w:jc w:val="right"/>
                <w:rPr>
                  <w:rFonts w:asciiTheme="majorEastAsia" w:eastAsiaTheme="majorEastAsia" w:hAnsiTheme="majorEastAsia"/>
                </w:rPr>
              </w:pPr>
              <w:r w:rsidRPr="00170C02">
                <w:rPr>
                  <w:rFonts w:asciiTheme="majorEastAsia" w:eastAsiaTheme="majorEastAsia" w:hAnsiTheme="majorEastAsia" w:cs="PMingLiU" w:hint="eastAsia"/>
                  <w:szCs w:val="21"/>
                </w:rPr>
                <w:t>单</w:t>
              </w:r>
              <w:r w:rsidRPr="00170C02">
                <w:rPr>
                  <w:rFonts w:asciiTheme="majorEastAsia" w:eastAsiaTheme="majorEastAsia" w:hAnsiTheme="majorEastAsia" w:cs="Yu Gothic" w:hint="eastAsia"/>
                  <w:szCs w:val="21"/>
                </w:rPr>
                <w:t>位：元</w:t>
              </w:r>
              <w:r w:rsidRPr="00170C02">
                <w:rPr>
                  <w:rFonts w:asciiTheme="majorEastAsia" w:eastAsiaTheme="majorEastAsia" w:hAnsiTheme="majorEastAsia" w:cs="螳倶ｽ・"/>
                  <w:szCs w:val="21"/>
                </w:rPr>
                <w:t xml:space="preserve"> </w:t>
              </w:r>
              <w:r w:rsidRPr="00170C02">
                <w:rPr>
                  <w:rFonts w:asciiTheme="majorEastAsia" w:eastAsiaTheme="majorEastAsia" w:hAnsiTheme="majorEastAsia" w:cs="PMingLiU" w:hint="eastAsia"/>
                  <w:szCs w:val="21"/>
                </w:rPr>
                <w:t>币</w:t>
              </w:r>
              <w:r w:rsidRPr="00170C02">
                <w:rPr>
                  <w:rFonts w:asciiTheme="majorEastAsia" w:eastAsiaTheme="majorEastAsia" w:hAnsiTheme="majorEastAsia" w:cs="Yu Gothic" w:hint="eastAsia"/>
                  <w:szCs w:val="21"/>
                </w:rPr>
                <w:t>种：人民</w:t>
              </w:r>
              <w:r w:rsidRPr="00170C02">
                <w:rPr>
                  <w:rFonts w:asciiTheme="majorEastAsia" w:eastAsiaTheme="majorEastAsia" w:hAnsiTheme="majorEastAsia" w:cs="PMingLiU" w:hint="eastAsia"/>
                  <w:szCs w:val="21"/>
                </w:rPr>
                <w:t>币</w:t>
              </w:r>
            </w:p>
            <w:tbl>
              <w:tblPr>
                <w:tblW w:w="8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28" w:type="dxa"/>
                </w:tblCellMar>
                <w:tblLook w:val="04A0"/>
              </w:tblPr>
              <w:tblGrid>
                <w:gridCol w:w="3549"/>
                <w:gridCol w:w="2126"/>
                <w:gridCol w:w="1560"/>
                <w:gridCol w:w="1644"/>
              </w:tblGrid>
              <w:tr w:rsidR="002630FB" w:rsidRPr="00805F6D" w:rsidTr="008651A8">
                <w:trPr>
                  <w:trHeight w:val="241"/>
                </w:trPr>
                <w:tc>
                  <w:tcPr>
                    <w:tcW w:w="3549" w:type="dxa"/>
                    <w:vAlign w:val="bottom"/>
                  </w:tcPr>
                  <w:p w:rsidR="002630FB" w:rsidRPr="008651A8" w:rsidRDefault="002630FB" w:rsidP="008651A8">
                    <w:pPr>
                      <w:snapToGrid w:val="0"/>
                      <w:ind w:left="181" w:hanging="181"/>
                      <w:jc w:val="center"/>
                      <w:rPr>
                        <w:szCs w:val="21"/>
                      </w:rPr>
                    </w:pPr>
                    <w:r w:rsidRPr="008651A8">
                      <w:rPr>
                        <w:szCs w:val="21"/>
                      </w:rPr>
                      <w:t>关联方</w:t>
                    </w:r>
                  </w:p>
                </w:tc>
                <w:tc>
                  <w:tcPr>
                    <w:tcW w:w="2126" w:type="dxa"/>
                    <w:vAlign w:val="bottom"/>
                  </w:tcPr>
                  <w:p w:rsidR="002630FB" w:rsidRPr="008651A8" w:rsidRDefault="002630FB" w:rsidP="008651A8">
                    <w:pPr>
                      <w:snapToGrid w:val="0"/>
                      <w:jc w:val="center"/>
                      <w:rPr>
                        <w:szCs w:val="21"/>
                      </w:rPr>
                    </w:pPr>
                    <w:r w:rsidRPr="008651A8">
                      <w:rPr>
                        <w:szCs w:val="21"/>
                      </w:rPr>
                      <w:t>关联交易内容</w:t>
                    </w:r>
                  </w:p>
                </w:tc>
                <w:tc>
                  <w:tcPr>
                    <w:tcW w:w="1560" w:type="dxa"/>
                    <w:vAlign w:val="bottom"/>
                  </w:tcPr>
                  <w:p w:rsidR="002630FB" w:rsidRPr="008651A8" w:rsidRDefault="002630FB" w:rsidP="008651A8">
                    <w:pPr>
                      <w:snapToGrid w:val="0"/>
                      <w:jc w:val="center"/>
                      <w:rPr>
                        <w:szCs w:val="21"/>
                      </w:rPr>
                    </w:pPr>
                    <w:r w:rsidRPr="008651A8">
                      <w:rPr>
                        <w:szCs w:val="21"/>
                      </w:rPr>
                      <w:t>本期发生额</w:t>
                    </w:r>
                  </w:p>
                </w:tc>
                <w:tc>
                  <w:tcPr>
                    <w:tcW w:w="1644" w:type="dxa"/>
                    <w:vAlign w:val="bottom"/>
                  </w:tcPr>
                  <w:p w:rsidR="002630FB" w:rsidRPr="008651A8" w:rsidRDefault="002630FB" w:rsidP="008651A8">
                    <w:pPr>
                      <w:snapToGrid w:val="0"/>
                      <w:jc w:val="center"/>
                      <w:rPr>
                        <w:szCs w:val="21"/>
                      </w:rPr>
                    </w:pPr>
                    <w:r w:rsidRPr="008651A8">
                      <w:rPr>
                        <w:szCs w:val="21"/>
                      </w:rPr>
                      <w:t>上期发生额</w:t>
                    </w:r>
                  </w:p>
                </w:tc>
              </w:tr>
              <w:tr w:rsidR="002630FB" w:rsidRPr="00805F6D" w:rsidTr="008651A8">
                <w:trPr>
                  <w:trHeight w:val="482"/>
                </w:trPr>
                <w:tc>
                  <w:tcPr>
                    <w:tcW w:w="3549" w:type="dxa"/>
                    <w:vAlign w:val="bottom"/>
                  </w:tcPr>
                  <w:p w:rsidR="002630FB" w:rsidRPr="008651A8" w:rsidRDefault="002630FB" w:rsidP="00DB008B">
                    <w:pPr>
                      <w:snapToGrid w:val="0"/>
                      <w:ind w:left="181" w:hanging="181"/>
                      <w:rPr>
                        <w:szCs w:val="21"/>
                      </w:rPr>
                    </w:pPr>
                    <w:r w:rsidRPr="008651A8">
                      <w:rPr>
                        <w:szCs w:val="21"/>
                      </w:rPr>
                      <w:t>国铁集团及其下属单位</w:t>
                    </w:r>
                  </w:p>
                </w:tc>
                <w:tc>
                  <w:tcPr>
                    <w:tcW w:w="2126" w:type="dxa"/>
                    <w:vAlign w:val="bottom"/>
                  </w:tcPr>
                  <w:p w:rsidR="002630FB" w:rsidRPr="008651A8" w:rsidRDefault="002630FB" w:rsidP="00170C02">
                    <w:pPr>
                      <w:snapToGrid w:val="0"/>
                      <w:ind w:left="3"/>
                      <w:rPr>
                        <w:szCs w:val="21"/>
                      </w:rPr>
                    </w:pPr>
                    <w:r w:rsidRPr="008651A8">
                      <w:rPr>
                        <w:szCs w:val="21"/>
                      </w:rPr>
                      <w:t>铁路基础设施及</w:t>
                    </w:r>
                    <w:r w:rsidRPr="008651A8">
                      <w:rPr>
                        <w:szCs w:val="21"/>
                      </w:rPr>
                      <w:br/>
                      <w:t>设备维修收入</w:t>
                    </w:r>
                  </w:p>
                </w:tc>
                <w:tc>
                  <w:tcPr>
                    <w:tcW w:w="1560" w:type="dxa"/>
                    <w:vAlign w:val="bottom"/>
                  </w:tcPr>
                  <w:p w:rsidR="002630FB" w:rsidRPr="008651A8" w:rsidRDefault="002630FB" w:rsidP="00170C02">
                    <w:pPr>
                      <w:snapToGrid w:val="0"/>
                      <w:ind w:right="112"/>
                      <w:jc w:val="right"/>
                      <w:rPr>
                        <w:szCs w:val="21"/>
                      </w:rPr>
                    </w:pPr>
                    <w:r w:rsidRPr="008651A8">
                      <w:rPr>
                        <w:szCs w:val="21"/>
                      </w:rPr>
                      <w:t>49,795,033</w:t>
                    </w:r>
                  </w:p>
                </w:tc>
                <w:tc>
                  <w:tcPr>
                    <w:tcW w:w="1644" w:type="dxa"/>
                    <w:vAlign w:val="bottom"/>
                  </w:tcPr>
                  <w:p w:rsidR="002630FB" w:rsidRPr="008651A8" w:rsidRDefault="002630FB" w:rsidP="00170C02">
                    <w:pPr>
                      <w:snapToGrid w:val="0"/>
                      <w:ind w:right="86"/>
                      <w:jc w:val="right"/>
                      <w:rPr>
                        <w:szCs w:val="21"/>
                      </w:rPr>
                    </w:pPr>
                    <w:r w:rsidRPr="008651A8">
                      <w:rPr>
                        <w:szCs w:val="21"/>
                      </w:rPr>
                      <w:t>49,039,021</w:t>
                    </w:r>
                  </w:p>
                </w:tc>
              </w:tr>
              <w:tr w:rsidR="002630FB" w:rsidRPr="00805F6D" w:rsidTr="008651A8">
                <w:trPr>
                  <w:trHeight w:val="472"/>
                </w:trPr>
                <w:tc>
                  <w:tcPr>
                    <w:tcW w:w="3549" w:type="dxa"/>
                    <w:vAlign w:val="bottom"/>
                  </w:tcPr>
                  <w:p w:rsidR="002630FB" w:rsidRPr="008651A8" w:rsidRDefault="002630FB" w:rsidP="00170C02">
                    <w:pPr>
                      <w:snapToGrid w:val="0"/>
                      <w:ind w:left="363" w:hanging="363"/>
                      <w:rPr>
                        <w:szCs w:val="21"/>
                      </w:rPr>
                    </w:pPr>
                    <w:r w:rsidRPr="008651A8">
                      <w:rPr>
                        <w:szCs w:val="21"/>
                      </w:rPr>
                      <w:t>其中：太原局集团公司及其下属单位</w:t>
                    </w:r>
                  </w:p>
                </w:tc>
                <w:tc>
                  <w:tcPr>
                    <w:tcW w:w="2126" w:type="dxa"/>
                    <w:vAlign w:val="bottom"/>
                  </w:tcPr>
                  <w:p w:rsidR="002630FB" w:rsidRPr="008651A8" w:rsidRDefault="002630FB" w:rsidP="00170C02">
                    <w:pPr>
                      <w:snapToGrid w:val="0"/>
                      <w:ind w:left="3"/>
                      <w:rPr>
                        <w:szCs w:val="21"/>
                      </w:rPr>
                    </w:pPr>
                    <w:r w:rsidRPr="008651A8">
                      <w:rPr>
                        <w:szCs w:val="21"/>
                      </w:rPr>
                      <w:t>铁路基础设施及</w:t>
                    </w:r>
                    <w:r w:rsidRPr="008651A8">
                      <w:rPr>
                        <w:szCs w:val="21"/>
                      </w:rPr>
                      <w:br/>
                      <w:t>设备维修收入</w:t>
                    </w:r>
                  </w:p>
                </w:tc>
                <w:tc>
                  <w:tcPr>
                    <w:tcW w:w="1560" w:type="dxa"/>
                    <w:vAlign w:val="bottom"/>
                  </w:tcPr>
                  <w:p w:rsidR="002630FB" w:rsidRPr="008651A8" w:rsidRDefault="002630FB" w:rsidP="00170C02">
                    <w:pPr>
                      <w:snapToGrid w:val="0"/>
                      <w:ind w:right="112"/>
                      <w:jc w:val="right"/>
                      <w:rPr>
                        <w:szCs w:val="21"/>
                      </w:rPr>
                    </w:pPr>
                    <w:r w:rsidRPr="008651A8">
                      <w:rPr>
                        <w:szCs w:val="21"/>
                      </w:rPr>
                      <w:t>38,367,434</w:t>
                    </w:r>
                  </w:p>
                </w:tc>
                <w:tc>
                  <w:tcPr>
                    <w:tcW w:w="1644" w:type="dxa"/>
                    <w:vAlign w:val="bottom"/>
                  </w:tcPr>
                  <w:p w:rsidR="002630FB" w:rsidRPr="008651A8" w:rsidRDefault="002630FB" w:rsidP="00170C02">
                    <w:pPr>
                      <w:snapToGrid w:val="0"/>
                      <w:ind w:right="86"/>
                      <w:jc w:val="right"/>
                      <w:rPr>
                        <w:szCs w:val="21"/>
                      </w:rPr>
                    </w:pPr>
                    <w:r w:rsidRPr="008651A8">
                      <w:rPr>
                        <w:szCs w:val="21"/>
                      </w:rPr>
                      <w:t>48,947,544</w:t>
                    </w:r>
                  </w:p>
                </w:tc>
              </w:tr>
              <w:tr w:rsidR="002630FB" w:rsidRPr="00805F6D" w:rsidTr="008651A8">
                <w:trPr>
                  <w:trHeight w:val="241"/>
                </w:trPr>
                <w:tc>
                  <w:tcPr>
                    <w:tcW w:w="3549" w:type="dxa"/>
                    <w:vAlign w:val="bottom"/>
                  </w:tcPr>
                  <w:p w:rsidR="002630FB" w:rsidRPr="008651A8" w:rsidRDefault="002630FB" w:rsidP="00DB008B">
                    <w:pPr>
                      <w:snapToGrid w:val="0"/>
                      <w:ind w:left="181" w:hanging="181"/>
                      <w:rPr>
                        <w:szCs w:val="21"/>
                      </w:rPr>
                    </w:pPr>
                    <w:r w:rsidRPr="008651A8">
                      <w:rPr>
                        <w:szCs w:val="21"/>
                      </w:rPr>
                      <w:t>国铁集团及其下属单位</w:t>
                    </w:r>
                  </w:p>
                </w:tc>
                <w:tc>
                  <w:tcPr>
                    <w:tcW w:w="2126" w:type="dxa"/>
                    <w:vAlign w:val="bottom"/>
                  </w:tcPr>
                  <w:p w:rsidR="002630FB" w:rsidRPr="008651A8" w:rsidRDefault="002630FB" w:rsidP="00170C02">
                    <w:pPr>
                      <w:snapToGrid w:val="0"/>
                      <w:ind w:left="3"/>
                      <w:rPr>
                        <w:szCs w:val="21"/>
                      </w:rPr>
                    </w:pPr>
                    <w:r w:rsidRPr="008651A8">
                      <w:rPr>
                        <w:szCs w:val="21"/>
                      </w:rPr>
                      <w:t>货车维修服务收入</w:t>
                    </w:r>
                  </w:p>
                </w:tc>
                <w:tc>
                  <w:tcPr>
                    <w:tcW w:w="1560" w:type="dxa"/>
                    <w:vAlign w:val="bottom"/>
                  </w:tcPr>
                  <w:p w:rsidR="002630FB" w:rsidRPr="008651A8" w:rsidRDefault="002630FB" w:rsidP="00170C02">
                    <w:pPr>
                      <w:snapToGrid w:val="0"/>
                      <w:ind w:right="112"/>
                      <w:jc w:val="right"/>
                      <w:rPr>
                        <w:szCs w:val="21"/>
                      </w:rPr>
                    </w:pPr>
                    <w:r w:rsidRPr="008651A8">
                      <w:rPr>
                        <w:szCs w:val="21"/>
                      </w:rPr>
                      <w:t>963,911,928</w:t>
                    </w:r>
                  </w:p>
                </w:tc>
                <w:tc>
                  <w:tcPr>
                    <w:tcW w:w="1644" w:type="dxa"/>
                    <w:vAlign w:val="bottom"/>
                  </w:tcPr>
                  <w:p w:rsidR="002630FB" w:rsidRPr="008651A8" w:rsidRDefault="002630FB" w:rsidP="00170C02">
                    <w:pPr>
                      <w:snapToGrid w:val="0"/>
                      <w:ind w:right="86"/>
                      <w:jc w:val="right"/>
                      <w:rPr>
                        <w:szCs w:val="21"/>
                      </w:rPr>
                    </w:pPr>
                    <w:r w:rsidRPr="008651A8">
                      <w:rPr>
                        <w:szCs w:val="21"/>
                      </w:rPr>
                      <w:t>805,321,896</w:t>
                    </w:r>
                  </w:p>
                </w:tc>
              </w:tr>
              <w:tr w:rsidR="002630FB" w:rsidRPr="00805F6D" w:rsidTr="008651A8">
                <w:trPr>
                  <w:trHeight w:val="241"/>
                </w:trPr>
                <w:tc>
                  <w:tcPr>
                    <w:tcW w:w="3549" w:type="dxa"/>
                    <w:vAlign w:val="bottom"/>
                  </w:tcPr>
                  <w:p w:rsidR="002630FB" w:rsidRPr="008651A8" w:rsidRDefault="002630FB" w:rsidP="00DB008B">
                    <w:pPr>
                      <w:snapToGrid w:val="0"/>
                      <w:ind w:left="181" w:hanging="181"/>
                      <w:rPr>
                        <w:szCs w:val="21"/>
                      </w:rPr>
                    </w:pPr>
                    <w:r w:rsidRPr="008651A8">
                      <w:rPr>
                        <w:szCs w:val="21"/>
                      </w:rPr>
                      <w:t>国铁集团及其下属单位</w:t>
                    </w:r>
                  </w:p>
                </w:tc>
                <w:tc>
                  <w:tcPr>
                    <w:tcW w:w="2126" w:type="dxa"/>
                    <w:vAlign w:val="bottom"/>
                  </w:tcPr>
                  <w:p w:rsidR="002630FB" w:rsidRPr="008651A8" w:rsidRDefault="002630FB" w:rsidP="00170C02">
                    <w:pPr>
                      <w:snapToGrid w:val="0"/>
                      <w:ind w:left="3"/>
                      <w:rPr>
                        <w:szCs w:val="21"/>
                      </w:rPr>
                    </w:pPr>
                    <w:r w:rsidRPr="008651A8">
                      <w:rPr>
                        <w:szCs w:val="21"/>
                      </w:rPr>
                      <w:t>铁路物资销售收入</w:t>
                    </w:r>
                  </w:p>
                </w:tc>
                <w:tc>
                  <w:tcPr>
                    <w:tcW w:w="1560" w:type="dxa"/>
                    <w:vAlign w:val="bottom"/>
                  </w:tcPr>
                  <w:p w:rsidR="002630FB" w:rsidRPr="008651A8" w:rsidRDefault="002630FB" w:rsidP="00170C02">
                    <w:pPr>
                      <w:snapToGrid w:val="0"/>
                      <w:ind w:right="112"/>
                      <w:jc w:val="right"/>
                      <w:rPr>
                        <w:szCs w:val="21"/>
                      </w:rPr>
                    </w:pPr>
                    <w:r w:rsidRPr="008651A8">
                      <w:rPr>
                        <w:szCs w:val="21"/>
                      </w:rPr>
                      <w:t>49,076,431</w:t>
                    </w:r>
                  </w:p>
                </w:tc>
                <w:tc>
                  <w:tcPr>
                    <w:tcW w:w="1644" w:type="dxa"/>
                    <w:vAlign w:val="bottom"/>
                  </w:tcPr>
                  <w:p w:rsidR="002630FB" w:rsidRPr="008651A8" w:rsidRDefault="002630FB" w:rsidP="00170C02">
                    <w:pPr>
                      <w:snapToGrid w:val="0"/>
                      <w:ind w:right="86"/>
                      <w:jc w:val="right"/>
                      <w:rPr>
                        <w:szCs w:val="21"/>
                      </w:rPr>
                    </w:pPr>
                    <w:r w:rsidRPr="008651A8">
                      <w:rPr>
                        <w:szCs w:val="21"/>
                      </w:rPr>
                      <w:t>39,722,074</w:t>
                    </w:r>
                  </w:p>
                </w:tc>
              </w:tr>
              <w:tr w:rsidR="002630FB" w:rsidRPr="00805F6D" w:rsidTr="008651A8">
                <w:trPr>
                  <w:trHeight w:val="241"/>
                </w:trPr>
                <w:tc>
                  <w:tcPr>
                    <w:tcW w:w="3549" w:type="dxa"/>
                    <w:vAlign w:val="bottom"/>
                  </w:tcPr>
                  <w:p w:rsidR="002630FB" w:rsidRPr="008651A8" w:rsidRDefault="002630FB" w:rsidP="00170C02">
                    <w:pPr>
                      <w:snapToGrid w:val="0"/>
                      <w:ind w:left="363" w:hanging="363"/>
                      <w:rPr>
                        <w:szCs w:val="21"/>
                      </w:rPr>
                    </w:pPr>
                    <w:r w:rsidRPr="008651A8">
                      <w:rPr>
                        <w:szCs w:val="21"/>
                      </w:rPr>
                      <w:t>其中：太原局集团公司及其下属单位</w:t>
                    </w:r>
                  </w:p>
                </w:tc>
                <w:tc>
                  <w:tcPr>
                    <w:tcW w:w="2126" w:type="dxa"/>
                    <w:vAlign w:val="bottom"/>
                  </w:tcPr>
                  <w:p w:rsidR="002630FB" w:rsidRPr="008651A8" w:rsidRDefault="002630FB" w:rsidP="00170C02">
                    <w:pPr>
                      <w:snapToGrid w:val="0"/>
                      <w:ind w:left="3"/>
                      <w:rPr>
                        <w:szCs w:val="21"/>
                      </w:rPr>
                    </w:pPr>
                    <w:r w:rsidRPr="008651A8">
                      <w:rPr>
                        <w:szCs w:val="21"/>
                      </w:rPr>
                      <w:t>铁路物资销售收入</w:t>
                    </w:r>
                  </w:p>
                </w:tc>
                <w:tc>
                  <w:tcPr>
                    <w:tcW w:w="1560" w:type="dxa"/>
                    <w:vAlign w:val="bottom"/>
                  </w:tcPr>
                  <w:p w:rsidR="002630FB" w:rsidRPr="008651A8" w:rsidRDefault="002630FB" w:rsidP="00170C02">
                    <w:pPr>
                      <w:snapToGrid w:val="0"/>
                      <w:ind w:right="112"/>
                      <w:jc w:val="right"/>
                      <w:rPr>
                        <w:szCs w:val="21"/>
                      </w:rPr>
                    </w:pPr>
                    <w:r w:rsidRPr="008651A8">
                      <w:rPr>
                        <w:szCs w:val="21"/>
                      </w:rPr>
                      <w:t>48,404,051</w:t>
                    </w:r>
                  </w:p>
                </w:tc>
                <w:tc>
                  <w:tcPr>
                    <w:tcW w:w="1644" w:type="dxa"/>
                    <w:vAlign w:val="bottom"/>
                  </w:tcPr>
                  <w:p w:rsidR="002630FB" w:rsidRPr="008651A8" w:rsidRDefault="002630FB" w:rsidP="00170C02">
                    <w:pPr>
                      <w:snapToGrid w:val="0"/>
                      <w:ind w:right="86"/>
                      <w:jc w:val="right"/>
                      <w:rPr>
                        <w:szCs w:val="21"/>
                      </w:rPr>
                    </w:pPr>
                    <w:r w:rsidRPr="008651A8">
                      <w:rPr>
                        <w:szCs w:val="21"/>
                      </w:rPr>
                      <w:t>36,702,492</w:t>
                    </w:r>
                  </w:p>
                </w:tc>
              </w:tr>
              <w:tr w:rsidR="002630FB" w:rsidRPr="00805F6D" w:rsidTr="008651A8">
                <w:trPr>
                  <w:trHeight w:val="284"/>
                </w:trPr>
                <w:tc>
                  <w:tcPr>
                    <w:tcW w:w="3549" w:type="dxa"/>
                    <w:vAlign w:val="bottom"/>
                  </w:tcPr>
                  <w:p w:rsidR="002630FB" w:rsidRPr="008651A8" w:rsidRDefault="002630FB" w:rsidP="00DB008B">
                    <w:pPr>
                      <w:snapToGrid w:val="0"/>
                      <w:ind w:left="181" w:hanging="181"/>
                      <w:rPr>
                        <w:szCs w:val="21"/>
                      </w:rPr>
                    </w:pPr>
                    <w:r w:rsidRPr="008651A8">
                      <w:rPr>
                        <w:szCs w:val="21"/>
                      </w:rPr>
                      <w:t>国铁集团及其下属单位</w:t>
                    </w:r>
                  </w:p>
                </w:tc>
                <w:tc>
                  <w:tcPr>
                    <w:tcW w:w="2126" w:type="dxa"/>
                    <w:vAlign w:val="bottom"/>
                  </w:tcPr>
                  <w:p w:rsidR="002630FB" w:rsidRPr="008651A8" w:rsidRDefault="002630FB" w:rsidP="00170C02">
                    <w:pPr>
                      <w:snapToGrid w:val="0"/>
                      <w:ind w:left="3" w:right="135"/>
                      <w:rPr>
                        <w:szCs w:val="21"/>
                      </w:rPr>
                    </w:pPr>
                    <w:r w:rsidRPr="008651A8">
                      <w:rPr>
                        <w:szCs w:val="21"/>
                      </w:rPr>
                      <w:t>铁路后勤服务收入等</w:t>
                    </w:r>
                  </w:p>
                </w:tc>
                <w:tc>
                  <w:tcPr>
                    <w:tcW w:w="1560" w:type="dxa"/>
                    <w:vAlign w:val="bottom"/>
                  </w:tcPr>
                  <w:p w:rsidR="002630FB" w:rsidRPr="008651A8" w:rsidRDefault="002630FB" w:rsidP="00170C02">
                    <w:pPr>
                      <w:snapToGrid w:val="0"/>
                      <w:ind w:right="112"/>
                      <w:jc w:val="right"/>
                      <w:rPr>
                        <w:szCs w:val="21"/>
                      </w:rPr>
                    </w:pPr>
                    <w:r w:rsidRPr="008651A8">
                      <w:rPr>
                        <w:szCs w:val="21"/>
                      </w:rPr>
                      <w:t>137,066,518</w:t>
                    </w:r>
                  </w:p>
                </w:tc>
                <w:tc>
                  <w:tcPr>
                    <w:tcW w:w="1644" w:type="dxa"/>
                    <w:vAlign w:val="bottom"/>
                  </w:tcPr>
                  <w:p w:rsidR="002630FB" w:rsidRPr="008651A8" w:rsidRDefault="002630FB" w:rsidP="00170C02">
                    <w:pPr>
                      <w:snapToGrid w:val="0"/>
                      <w:ind w:right="86"/>
                      <w:jc w:val="right"/>
                      <w:rPr>
                        <w:szCs w:val="21"/>
                      </w:rPr>
                    </w:pPr>
                    <w:r w:rsidRPr="008651A8">
                      <w:rPr>
                        <w:szCs w:val="21"/>
                      </w:rPr>
                      <w:t>144,636,393</w:t>
                    </w:r>
                  </w:p>
                </w:tc>
              </w:tr>
              <w:tr w:rsidR="002630FB" w:rsidRPr="00805F6D" w:rsidTr="008651A8">
                <w:trPr>
                  <w:trHeight w:val="274"/>
                </w:trPr>
                <w:tc>
                  <w:tcPr>
                    <w:tcW w:w="3549" w:type="dxa"/>
                    <w:vAlign w:val="bottom"/>
                  </w:tcPr>
                  <w:p w:rsidR="002630FB" w:rsidRPr="008651A8" w:rsidRDefault="002630FB" w:rsidP="00170C02">
                    <w:pPr>
                      <w:snapToGrid w:val="0"/>
                      <w:ind w:left="363" w:hanging="363"/>
                      <w:rPr>
                        <w:szCs w:val="21"/>
                      </w:rPr>
                    </w:pPr>
                    <w:r w:rsidRPr="008651A8">
                      <w:rPr>
                        <w:szCs w:val="21"/>
                      </w:rPr>
                      <w:t>其中：太原局集团公司及其下属单位</w:t>
                    </w:r>
                  </w:p>
                </w:tc>
                <w:tc>
                  <w:tcPr>
                    <w:tcW w:w="2126" w:type="dxa"/>
                    <w:vAlign w:val="bottom"/>
                  </w:tcPr>
                  <w:p w:rsidR="002630FB" w:rsidRPr="008651A8" w:rsidRDefault="002630FB" w:rsidP="00170C02">
                    <w:pPr>
                      <w:snapToGrid w:val="0"/>
                      <w:ind w:left="3" w:right="135"/>
                      <w:rPr>
                        <w:szCs w:val="21"/>
                      </w:rPr>
                    </w:pPr>
                    <w:r w:rsidRPr="008651A8">
                      <w:rPr>
                        <w:szCs w:val="21"/>
                      </w:rPr>
                      <w:t>铁路后勤服务收入等</w:t>
                    </w:r>
                  </w:p>
                </w:tc>
                <w:tc>
                  <w:tcPr>
                    <w:tcW w:w="1560" w:type="dxa"/>
                    <w:vAlign w:val="bottom"/>
                  </w:tcPr>
                  <w:p w:rsidR="002630FB" w:rsidRPr="008651A8" w:rsidRDefault="002630FB" w:rsidP="00170C02">
                    <w:pPr>
                      <w:snapToGrid w:val="0"/>
                      <w:ind w:right="112"/>
                      <w:jc w:val="right"/>
                      <w:rPr>
                        <w:szCs w:val="21"/>
                      </w:rPr>
                    </w:pPr>
                    <w:r w:rsidRPr="008651A8">
                      <w:rPr>
                        <w:szCs w:val="21"/>
                      </w:rPr>
                      <w:t>132,083,866</w:t>
                    </w:r>
                  </w:p>
                </w:tc>
                <w:tc>
                  <w:tcPr>
                    <w:tcW w:w="1644" w:type="dxa"/>
                    <w:vAlign w:val="bottom"/>
                  </w:tcPr>
                  <w:p w:rsidR="002630FB" w:rsidRPr="008651A8" w:rsidRDefault="002630FB" w:rsidP="00170C02">
                    <w:pPr>
                      <w:snapToGrid w:val="0"/>
                      <w:ind w:right="86"/>
                      <w:jc w:val="right"/>
                      <w:rPr>
                        <w:szCs w:val="21"/>
                      </w:rPr>
                    </w:pPr>
                    <w:r w:rsidRPr="008651A8">
                      <w:rPr>
                        <w:szCs w:val="21"/>
                      </w:rPr>
                      <w:t>123,357,646</w:t>
                    </w:r>
                  </w:p>
                </w:tc>
              </w:tr>
            </w:tbl>
            <w:p w:rsidR="002630FB" w:rsidRDefault="002630FB" w:rsidP="002630FB">
              <w:pPr>
                <w:pStyle w:val="7"/>
                <w:rPr>
                  <w:rFonts w:cs="Arial"/>
                  <w:b w:val="0"/>
                  <w:sz w:val="22"/>
                  <w:szCs w:val="22"/>
                </w:rPr>
              </w:pPr>
              <w:r w:rsidRPr="001F185D">
                <w:rPr>
                  <w:rFonts w:cs="Arial" w:hint="eastAsia"/>
                  <w:b w:val="0"/>
                  <w:sz w:val="22"/>
                  <w:szCs w:val="22"/>
                </w:rPr>
                <w:t>(</w:t>
              </w:r>
              <w:r>
                <w:rPr>
                  <w:rFonts w:cs="Arial" w:hint="eastAsia"/>
                  <w:b w:val="0"/>
                  <w:sz w:val="22"/>
                  <w:szCs w:val="22"/>
                </w:rPr>
                <w:t>b</w:t>
              </w:r>
              <w:r w:rsidRPr="001F185D">
                <w:rPr>
                  <w:rFonts w:cs="Arial" w:hint="eastAsia"/>
                  <w:b w:val="0"/>
                  <w:sz w:val="22"/>
                  <w:szCs w:val="22"/>
                </w:rPr>
                <w:t>)</w:t>
              </w:r>
              <w:r w:rsidRPr="001F185D">
                <w:rPr>
                  <w:rFonts w:cs="Arial" w:hint="eastAsia"/>
                  <w:b w:val="0"/>
                  <w:sz w:val="22"/>
                  <w:szCs w:val="22"/>
                </w:rPr>
                <w:tab/>
                <w:t>铁路专项委托运输服务</w:t>
              </w:r>
            </w:p>
            <w:p w:rsidR="00170C02" w:rsidRPr="00170C02" w:rsidRDefault="00170C02" w:rsidP="00170C02">
              <w:pPr>
                <w:jc w:val="right"/>
                <w:rPr>
                  <w:rFonts w:asciiTheme="majorEastAsia" w:eastAsiaTheme="majorEastAsia" w:hAnsiTheme="majorEastAsia"/>
                </w:rPr>
              </w:pPr>
              <w:r w:rsidRPr="00170C02">
                <w:rPr>
                  <w:rFonts w:asciiTheme="majorEastAsia" w:eastAsiaTheme="majorEastAsia" w:hAnsiTheme="majorEastAsia" w:cs="PMingLiU" w:hint="eastAsia"/>
                  <w:szCs w:val="21"/>
                </w:rPr>
                <w:t>单</w:t>
              </w:r>
              <w:r w:rsidRPr="00170C02">
                <w:rPr>
                  <w:rFonts w:asciiTheme="majorEastAsia" w:eastAsiaTheme="majorEastAsia" w:hAnsiTheme="majorEastAsia" w:cs="Yu Gothic" w:hint="eastAsia"/>
                  <w:szCs w:val="21"/>
                </w:rPr>
                <w:t>位：元</w:t>
              </w:r>
              <w:r w:rsidRPr="00170C02">
                <w:rPr>
                  <w:rFonts w:asciiTheme="majorEastAsia" w:eastAsiaTheme="majorEastAsia" w:hAnsiTheme="majorEastAsia" w:cs="螳倶ｽ・"/>
                  <w:szCs w:val="21"/>
                </w:rPr>
                <w:t xml:space="preserve"> </w:t>
              </w:r>
              <w:r w:rsidRPr="00170C02">
                <w:rPr>
                  <w:rFonts w:asciiTheme="majorEastAsia" w:eastAsiaTheme="majorEastAsia" w:hAnsiTheme="majorEastAsia" w:cs="PMingLiU" w:hint="eastAsia"/>
                  <w:szCs w:val="21"/>
                </w:rPr>
                <w:t>币</w:t>
              </w:r>
              <w:r w:rsidRPr="00170C02">
                <w:rPr>
                  <w:rFonts w:asciiTheme="majorEastAsia" w:eastAsiaTheme="majorEastAsia" w:hAnsiTheme="majorEastAsia" w:cs="Yu Gothic" w:hint="eastAsia"/>
                  <w:szCs w:val="21"/>
                </w:rPr>
                <w:t>种：人民</w:t>
              </w:r>
              <w:r w:rsidRPr="00170C02">
                <w:rPr>
                  <w:rFonts w:asciiTheme="majorEastAsia" w:eastAsiaTheme="majorEastAsia" w:hAnsiTheme="majorEastAsia" w:cs="PMingLiU" w:hint="eastAsia"/>
                  <w:szCs w:val="21"/>
                </w:rPr>
                <w:t>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28" w:type="dxa"/>
                </w:tblCellMar>
                <w:tblLook w:val="04A0"/>
              </w:tblPr>
              <w:tblGrid>
                <w:gridCol w:w="3444"/>
                <w:gridCol w:w="1794"/>
                <w:gridCol w:w="1794"/>
                <w:gridCol w:w="1794"/>
              </w:tblGrid>
              <w:tr w:rsidR="002630FB" w:rsidRPr="00FE4DE2" w:rsidTr="00DB008B">
                <w:trPr>
                  <w:trHeight w:val="296"/>
                </w:trPr>
                <w:tc>
                  <w:tcPr>
                    <w:tcW w:w="3444" w:type="dxa"/>
                    <w:vAlign w:val="bottom"/>
                  </w:tcPr>
                  <w:p w:rsidR="002630FB" w:rsidRPr="00FE4DE2" w:rsidRDefault="002630FB" w:rsidP="00C05EA5">
                    <w:pPr>
                      <w:snapToGrid w:val="0"/>
                      <w:ind w:left="181" w:hanging="181"/>
                      <w:jc w:val="center"/>
                    </w:pPr>
                    <w:r w:rsidRPr="00FE4DE2">
                      <w:rPr>
                        <w:sz w:val="18"/>
                      </w:rPr>
                      <w:t>关联方</w:t>
                    </w:r>
                  </w:p>
                </w:tc>
                <w:tc>
                  <w:tcPr>
                    <w:tcW w:w="1794" w:type="dxa"/>
                    <w:vAlign w:val="bottom"/>
                  </w:tcPr>
                  <w:p w:rsidR="002630FB" w:rsidRPr="00FE4DE2" w:rsidRDefault="002630FB" w:rsidP="00C05EA5">
                    <w:pPr>
                      <w:snapToGrid w:val="0"/>
                      <w:jc w:val="center"/>
                    </w:pPr>
                    <w:r w:rsidRPr="00FE4DE2">
                      <w:rPr>
                        <w:sz w:val="18"/>
                      </w:rPr>
                      <w:t>关联交易内容</w:t>
                    </w:r>
                  </w:p>
                </w:tc>
                <w:tc>
                  <w:tcPr>
                    <w:tcW w:w="1794" w:type="dxa"/>
                    <w:vAlign w:val="bottom"/>
                  </w:tcPr>
                  <w:p w:rsidR="002630FB" w:rsidRPr="00FE4DE2" w:rsidRDefault="002630FB" w:rsidP="00C05EA5">
                    <w:pPr>
                      <w:snapToGrid w:val="0"/>
                      <w:jc w:val="center"/>
                    </w:pPr>
                    <w:r w:rsidRPr="00FE4DE2">
                      <w:rPr>
                        <w:sz w:val="18"/>
                      </w:rPr>
                      <w:t>本期发生额</w:t>
                    </w:r>
                  </w:p>
                </w:tc>
                <w:tc>
                  <w:tcPr>
                    <w:tcW w:w="1794" w:type="dxa"/>
                    <w:vAlign w:val="bottom"/>
                  </w:tcPr>
                  <w:p w:rsidR="002630FB" w:rsidRPr="00FE4DE2" w:rsidRDefault="002630FB" w:rsidP="00C05EA5">
                    <w:pPr>
                      <w:snapToGrid w:val="0"/>
                      <w:jc w:val="center"/>
                    </w:pPr>
                    <w:r w:rsidRPr="00FE4DE2">
                      <w:rPr>
                        <w:sz w:val="18"/>
                      </w:rPr>
                      <w:t>上期发生额</w:t>
                    </w:r>
                  </w:p>
                </w:tc>
              </w:tr>
              <w:tr w:rsidR="002630FB" w:rsidRPr="00FE4DE2" w:rsidTr="00DB008B">
                <w:trPr>
                  <w:trHeight w:val="296"/>
                </w:trPr>
                <w:tc>
                  <w:tcPr>
                    <w:tcW w:w="3444" w:type="dxa"/>
                    <w:vAlign w:val="bottom"/>
                  </w:tcPr>
                  <w:p w:rsidR="002630FB" w:rsidRPr="00FE4DE2" w:rsidRDefault="002630FB" w:rsidP="00170C02">
                    <w:pPr>
                      <w:snapToGrid w:val="0"/>
                      <w:ind w:left="238" w:hanging="181"/>
                    </w:pPr>
                    <w:r w:rsidRPr="00FE4DE2">
                      <w:rPr>
                        <w:sz w:val="18"/>
                      </w:rPr>
                      <w:t>大西铁路、太中银等</w:t>
                    </w:r>
                  </w:p>
                </w:tc>
                <w:tc>
                  <w:tcPr>
                    <w:tcW w:w="1794" w:type="dxa"/>
                    <w:vAlign w:val="bottom"/>
                  </w:tcPr>
                  <w:p w:rsidR="002630FB" w:rsidRPr="00FE4DE2" w:rsidRDefault="002630FB" w:rsidP="00170C02">
                    <w:pPr>
                      <w:snapToGrid w:val="0"/>
                      <w:ind w:left="107"/>
                    </w:pPr>
                    <w:r w:rsidRPr="00FE4DE2">
                      <w:rPr>
                        <w:sz w:val="18"/>
                      </w:rPr>
                      <w:t>委托运输服务收入</w:t>
                    </w:r>
                  </w:p>
                </w:tc>
                <w:tc>
                  <w:tcPr>
                    <w:tcW w:w="1794" w:type="dxa"/>
                    <w:vAlign w:val="bottom"/>
                  </w:tcPr>
                  <w:p w:rsidR="002630FB" w:rsidRPr="00FE4DE2" w:rsidRDefault="002630FB" w:rsidP="00170C02">
                    <w:pPr>
                      <w:snapToGrid w:val="0"/>
                      <w:ind w:right="48"/>
                      <w:jc w:val="right"/>
                    </w:pPr>
                    <w:r w:rsidRPr="00FE4DE2">
                      <w:rPr>
                        <w:sz w:val="18"/>
                      </w:rPr>
                      <w:t>2,317,520,000</w:t>
                    </w:r>
                  </w:p>
                </w:tc>
                <w:tc>
                  <w:tcPr>
                    <w:tcW w:w="1794" w:type="dxa"/>
                    <w:vAlign w:val="bottom"/>
                  </w:tcPr>
                  <w:p w:rsidR="002630FB" w:rsidRPr="00FE4DE2" w:rsidRDefault="002630FB" w:rsidP="00170C02">
                    <w:pPr>
                      <w:snapToGrid w:val="0"/>
                      <w:ind w:right="90"/>
                      <w:jc w:val="right"/>
                    </w:pPr>
                    <w:r w:rsidRPr="00FE4DE2">
                      <w:rPr>
                        <w:sz w:val="18"/>
                      </w:rPr>
                      <w:t>2,163,119,164</w:t>
                    </w:r>
                  </w:p>
                </w:tc>
              </w:tr>
            </w:tbl>
            <w:p w:rsidR="002630FB" w:rsidRDefault="002630FB" w:rsidP="002630FB">
              <w:pPr>
                <w:pStyle w:val="7"/>
                <w:rPr>
                  <w:rFonts w:cs="Arial"/>
                  <w:b w:val="0"/>
                  <w:sz w:val="22"/>
                  <w:szCs w:val="22"/>
                </w:rPr>
              </w:pPr>
              <w:r w:rsidRPr="001F185D">
                <w:rPr>
                  <w:rFonts w:cs="Arial" w:hint="eastAsia"/>
                  <w:b w:val="0"/>
                  <w:sz w:val="22"/>
                  <w:szCs w:val="22"/>
                </w:rPr>
                <w:t>(</w:t>
              </w:r>
              <w:r>
                <w:rPr>
                  <w:rFonts w:cs="Arial" w:hint="eastAsia"/>
                  <w:b w:val="0"/>
                  <w:sz w:val="22"/>
                  <w:szCs w:val="22"/>
                </w:rPr>
                <w:t>c</w:t>
              </w:r>
              <w:r w:rsidRPr="001F185D">
                <w:rPr>
                  <w:rFonts w:cs="Arial" w:hint="eastAsia"/>
                  <w:b w:val="0"/>
                  <w:sz w:val="22"/>
                  <w:szCs w:val="22"/>
                </w:rPr>
                <w:t>)</w:t>
              </w:r>
              <w:r w:rsidRPr="001F185D">
                <w:rPr>
                  <w:rFonts w:cs="Arial" w:hint="eastAsia"/>
                  <w:b w:val="0"/>
                  <w:sz w:val="22"/>
                  <w:szCs w:val="22"/>
                </w:rPr>
                <w:tab/>
                <w:t>铁路其他服务</w:t>
              </w:r>
            </w:p>
            <w:p w:rsidR="00170C02" w:rsidRPr="00170C02" w:rsidRDefault="00170C02" w:rsidP="00170C02">
              <w:pPr>
                <w:jc w:val="right"/>
                <w:rPr>
                  <w:rFonts w:asciiTheme="majorEastAsia" w:eastAsiaTheme="majorEastAsia" w:hAnsiTheme="majorEastAsia"/>
                </w:rPr>
              </w:pPr>
              <w:r w:rsidRPr="00170C02">
                <w:rPr>
                  <w:rFonts w:asciiTheme="majorEastAsia" w:eastAsiaTheme="majorEastAsia" w:hAnsiTheme="majorEastAsia" w:cs="PMingLiU" w:hint="eastAsia"/>
                  <w:szCs w:val="21"/>
                </w:rPr>
                <w:t>单</w:t>
              </w:r>
              <w:r w:rsidRPr="00170C02">
                <w:rPr>
                  <w:rFonts w:asciiTheme="majorEastAsia" w:eastAsiaTheme="majorEastAsia" w:hAnsiTheme="majorEastAsia" w:cs="Yu Gothic" w:hint="eastAsia"/>
                  <w:szCs w:val="21"/>
                </w:rPr>
                <w:t>位：元</w:t>
              </w:r>
              <w:r w:rsidRPr="00170C02">
                <w:rPr>
                  <w:rFonts w:asciiTheme="majorEastAsia" w:eastAsiaTheme="majorEastAsia" w:hAnsiTheme="majorEastAsia" w:cs="螳倶ｽ・"/>
                  <w:szCs w:val="21"/>
                </w:rPr>
                <w:t xml:space="preserve"> </w:t>
              </w:r>
              <w:r w:rsidRPr="00170C02">
                <w:rPr>
                  <w:rFonts w:asciiTheme="majorEastAsia" w:eastAsiaTheme="majorEastAsia" w:hAnsiTheme="majorEastAsia" w:cs="PMingLiU" w:hint="eastAsia"/>
                  <w:szCs w:val="21"/>
                </w:rPr>
                <w:t>币</w:t>
              </w:r>
              <w:r w:rsidRPr="00170C02">
                <w:rPr>
                  <w:rFonts w:asciiTheme="majorEastAsia" w:eastAsiaTheme="majorEastAsia" w:hAnsiTheme="majorEastAsia" w:cs="Yu Gothic" w:hint="eastAsia"/>
                  <w:szCs w:val="21"/>
                </w:rPr>
                <w:t>种：人民</w:t>
              </w:r>
              <w:r w:rsidRPr="00170C02">
                <w:rPr>
                  <w:rFonts w:asciiTheme="majorEastAsia" w:eastAsiaTheme="majorEastAsia" w:hAnsiTheme="majorEastAsia" w:cs="PMingLiU" w:hint="eastAsia"/>
                  <w:szCs w:val="21"/>
                </w:rPr>
                <w:t>币</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28" w:type="dxa"/>
                </w:tblCellMar>
                <w:tblLook w:val="04A0"/>
              </w:tblPr>
              <w:tblGrid>
                <w:gridCol w:w="3435"/>
                <w:gridCol w:w="1789"/>
                <w:gridCol w:w="1789"/>
                <w:gridCol w:w="1789"/>
              </w:tblGrid>
              <w:tr w:rsidR="002630FB" w:rsidRPr="002630FB" w:rsidTr="00DB008B">
                <w:trPr>
                  <w:trHeight w:val="306"/>
                </w:trPr>
                <w:tc>
                  <w:tcPr>
                    <w:tcW w:w="3435" w:type="dxa"/>
                    <w:vAlign w:val="bottom"/>
                  </w:tcPr>
                  <w:p w:rsidR="002630FB" w:rsidRPr="008651A8" w:rsidRDefault="002630FB" w:rsidP="00170C02">
                    <w:pPr>
                      <w:snapToGrid w:val="0"/>
                      <w:ind w:left="181" w:hanging="181"/>
                      <w:jc w:val="center"/>
                      <w:rPr>
                        <w:szCs w:val="21"/>
                      </w:rPr>
                    </w:pPr>
                    <w:r w:rsidRPr="008651A8">
                      <w:rPr>
                        <w:szCs w:val="21"/>
                      </w:rPr>
                      <w:t>关联方</w:t>
                    </w:r>
                  </w:p>
                </w:tc>
                <w:tc>
                  <w:tcPr>
                    <w:tcW w:w="1789" w:type="dxa"/>
                    <w:vAlign w:val="bottom"/>
                  </w:tcPr>
                  <w:p w:rsidR="002630FB" w:rsidRPr="008651A8" w:rsidRDefault="002630FB" w:rsidP="00170C02">
                    <w:pPr>
                      <w:snapToGrid w:val="0"/>
                      <w:jc w:val="center"/>
                      <w:rPr>
                        <w:szCs w:val="21"/>
                      </w:rPr>
                    </w:pPr>
                    <w:r w:rsidRPr="008651A8">
                      <w:rPr>
                        <w:szCs w:val="21"/>
                      </w:rPr>
                      <w:t>关联交易内容</w:t>
                    </w:r>
                  </w:p>
                </w:tc>
                <w:tc>
                  <w:tcPr>
                    <w:tcW w:w="1789" w:type="dxa"/>
                    <w:vAlign w:val="bottom"/>
                  </w:tcPr>
                  <w:p w:rsidR="002630FB" w:rsidRPr="008651A8" w:rsidRDefault="002630FB" w:rsidP="00170C02">
                    <w:pPr>
                      <w:snapToGrid w:val="0"/>
                      <w:jc w:val="center"/>
                      <w:rPr>
                        <w:szCs w:val="21"/>
                      </w:rPr>
                    </w:pPr>
                    <w:r w:rsidRPr="008651A8">
                      <w:rPr>
                        <w:szCs w:val="21"/>
                      </w:rPr>
                      <w:t>本期发生额</w:t>
                    </w:r>
                  </w:p>
                </w:tc>
                <w:tc>
                  <w:tcPr>
                    <w:tcW w:w="1789" w:type="dxa"/>
                    <w:vAlign w:val="bottom"/>
                  </w:tcPr>
                  <w:p w:rsidR="002630FB" w:rsidRPr="008651A8" w:rsidRDefault="002630FB" w:rsidP="00170C02">
                    <w:pPr>
                      <w:snapToGrid w:val="0"/>
                      <w:jc w:val="center"/>
                      <w:rPr>
                        <w:szCs w:val="21"/>
                      </w:rPr>
                    </w:pPr>
                    <w:r w:rsidRPr="008651A8">
                      <w:rPr>
                        <w:szCs w:val="21"/>
                      </w:rPr>
                      <w:t>上期发生额</w:t>
                    </w:r>
                  </w:p>
                </w:tc>
              </w:tr>
              <w:tr w:rsidR="002630FB" w:rsidRPr="002630FB" w:rsidTr="00DB008B">
                <w:trPr>
                  <w:trHeight w:val="306"/>
                </w:trPr>
                <w:tc>
                  <w:tcPr>
                    <w:tcW w:w="3435" w:type="dxa"/>
                    <w:vAlign w:val="bottom"/>
                  </w:tcPr>
                  <w:p w:rsidR="002630FB" w:rsidRPr="008651A8" w:rsidRDefault="002630FB" w:rsidP="00DB008B">
                    <w:pPr>
                      <w:snapToGrid w:val="0"/>
                      <w:ind w:left="181" w:hanging="181"/>
                      <w:rPr>
                        <w:szCs w:val="21"/>
                      </w:rPr>
                    </w:pPr>
                    <w:r w:rsidRPr="008651A8">
                      <w:rPr>
                        <w:szCs w:val="21"/>
                      </w:rPr>
                      <w:t>中国铁路财务有限责任公司</w:t>
                    </w:r>
                  </w:p>
                </w:tc>
                <w:tc>
                  <w:tcPr>
                    <w:tcW w:w="1789" w:type="dxa"/>
                    <w:vAlign w:val="bottom"/>
                  </w:tcPr>
                  <w:p w:rsidR="002630FB" w:rsidRPr="008651A8" w:rsidRDefault="002630FB" w:rsidP="00AA6F46">
                    <w:pPr>
                      <w:snapToGrid w:val="0"/>
                      <w:ind w:firstLine="110"/>
                      <w:rPr>
                        <w:szCs w:val="21"/>
                      </w:rPr>
                    </w:pPr>
                    <w:r w:rsidRPr="008651A8">
                      <w:rPr>
                        <w:szCs w:val="21"/>
                      </w:rPr>
                      <w:t>利息收入</w:t>
                    </w:r>
                  </w:p>
                </w:tc>
                <w:tc>
                  <w:tcPr>
                    <w:tcW w:w="1789" w:type="dxa"/>
                    <w:vAlign w:val="bottom"/>
                  </w:tcPr>
                  <w:p w:rsidR="002630FB" w:rsidRPr="008651A8" w:rsidRDefault="002630FB" w:rsidP="00170C02">
                    <w:pPr>
                      <w:snapToGrid w:val="0"/>
                      <w:ind w:right="92"/>
                      <w:jc w:val="right"/>
                      <w:rPr>
                        <w:szCs w:val="21"/>
                      </w:rPr>
                    </w:pPr>
                    <w:r w:rsidRPr="008651A8">
                      <w:rPr>
                        <w:szCs w:val="21"/>
                      </w:rPr>
                      <w:t>6,402,999</w:t>
                    </w:r>
                  </w:p>
                </w:tc>
                <w:tc>
                  <w:tcPr>
                    <w:tcW w:w="1789" w:type="dxa"/>
                    <w:vAlign w:val="bottom"/>
                  </w:tcPr>
                  <w:p w:rsidR="002630FB" w:rsidRPr="008651A8" w:rsidRDefault="002630FB" w:rsidP="00170C02">
                    <w:pPr>
                      <w:snapToGrid w:val="0"/>
                      <w:ind w:right="92"/>
                      <w:jc w:val="right"/>
                      <w:rPr>
                        <w:szCs w:val="21"/>
                      </w:rPr>
                    </w:pPr>
                    <w:r w:rsidRPr="008651A8">
                      <w:rPr>
                        <w:szCs w:val="21"/>
                      </w:rPr>
                      <w:t>2,512,859</w:t>
                    </w:r>
                  </w:p>
                </w:tc>
              </w:tr>
            </w:tbl>
            <w:p w:rsidR="00806678" w:rsidRDefault="00F80B6C">
              <w:pPr>
                <w:rPr>
                  <w:rFonts w:cs="Cambria"/>
                  <w:szCs w:val="21"/>
                </w:rPr>
              </w:pPr>
            </w:p>
          </w:sdtContent>
        </w:sdt>
        <w:p w:rsidR="00806678" w:rsidRDefault="00F80B6C">
          <w:pPr>
            <w:rPr>
              <w:rFonts w:cs="Cambria"/>
              <w:szCs w:val="21"/>
            </w:rPr>
          </w:pPr>
        </w:p>
      </w:sdtContent>
    </w:sdt>
    <w:sdt>
      <w:sdtPr>
        <w:rPr>
          <w:rFonts w:ascii="宋体" w:eastAsia="宋体" w:hAnsi="宋体" w:cs="宋体" w:hint="eastAsia"/>
          <w:b w:val="0"/>
          <w:bCs w:val="0"/>
          <w:kern w:val="0"/>
          <w:szCs w:val="24"/>
        </w:rPr>
        <w:alias w:val="模块:关联受托管理/承包及委托管理/出包情况"/>
        <w:tag w:val="_SEC_2cd4d729a4f5443b98e8d2f79dcdd221"/>
        <w:id w:val="-532111530"/>
        <w:lock w:val="sdtLocked"/>
        <w:placeholder>
          <w:docPart w:val="GBC22222222222222222222222222222"/>
        </w:placeholder>
      </w:sdtPr>
      <w:sdtEndPr>
        <w:rPr>
          <w:rFonts w:cs="Cambria" w:hint="default"/>
          <w:szCs w:val="21"/>
        </w:rPr>
      </w:sdtEndPr>
      <w:sdtContent>
        <w:p w:rsidR="00806678" w:rsidRDefault="00B16377" w:rsidP="00FF17C7">
          <w:pPr>
            <w:pStyle w:val="4"/>
            <w:numPr>
              <w:ilvl w:val="3"/>
              <w:numId w:val="105"/>
            </w:numPr>
            <w:ind w:left="424" w:hangingChars="202" w:hanging="424"/>
          </w:pPr>
          <w:r>
            <w:rPr>
              <w:rFonts w:hint="eastAsia"/>
            </w:rPr>
            <w:t>关联受托管理/承包及委托管理/出包情况</w:t>
          </w:r>
        </w:p>
        <w:p w:rsidR="00806678" w:rsidRDefault="00B16377">
          <w:pPr>
            <w:rPr>
              <w:szCs w:val="21"/>
            </w:rPr>
          </w:pPr>
          <w:r>
            <w:rPr>
              <w:rFonts w:hint="eastAsia"/>
              <w:szCs w:val="21"/>
            </w:rPr>
            <w:t>本公司受托管理/承包情况表：</w:t>
          </w:r>
        </w:p>
        <w:sdt>
          <w:sdtPr>
            <w:rPr>
              <w:rFonts w:cs="Cambria"/>
              <w:szCs w:val="21"/>
            </w:rPr>
            <w:alias w:val="是否适用：本公司受托管理或承包情况表[双击切换]"/>
            <w:tag w:val="_GBC_30440fae2d7246f59be82c31d907217a"/>
            <w:id w:val="-1509444283"/>
            <w:lock w:val="sdtLocked"/>
            <w:placeholder>
              <w:docPart w:val="GBC22222222222222222222222222222"/>
            </w:placeholder>
          </w:sdtPr>
          <w:sdtContent>
            <w:p w:rsidR="00806678" w:rsidRDefault="00F80B6C" w:rsidP="006420B9">
              <w:pPr>
                <w:rPr>
                  <w:rFonts w:cs="Cambria"/>
                  <w:szCs w:val="21"/>
                </w:rPr>
              </w:pPr>
              <w:r>
                <w:rPr>
                  <w:rFonts w:cs="Cambria"/>
                  <w:szCs w:val="21"/>
                </w:rPr>
                <w:fldChar w:fldCharType="begin"/>
              </w:r>
              <w:r w:rsidR="006420B9">
                <w:rPr>
                  <w:rFonts w:cs="Cambria"/>
                  <w:szCs w:val="21"/>
                </w:rPr>
                <w:instrText xml:space="preserve">MACROBUTTON  SnrToggleCheckbox □适用 </w:instrText>
              </w:r>
              <w:r>
                <w:rPr>
                  <w:rFonts w:cs="Cambria"/>
                  <w:szCs w:val="21"/>
                </w:rPr>
                <w:fldChar w:fldCharType="end"/>
              </w:r>
              <w:r>
                <w:rPr>
                  <w:rFonts w:cs="Cambria"/>
                  <w:szCs w:val="21"/>
                </w:rPr>
                <w:fldChar w:fldCharType="begin"/>
              </w:r>
              <w:r w:rsidR="006420B9">
                <w:rPr>
                  <w:rFonts w:cs="Cambria"/>
                  <w:szCs w:val="21"/>
                </w:rPr>
                <w:instrText xml:space="preserve"> MACROBUTTON  SnrToggleCheckbox √不适用 </w:instrText>
              </w:r>
              <w:r>
                <w:rPr>
                  <w:rFonts w:cs="Cambria"/>
                  <w:szCs w:val="21"/>
                </w:rPr>
                <w:fldChar w:fldCharType="end"/>
              </w:r>
            </w:p>
          </w:sdtContent>
        </w:sdt>
        <w:p w:rsidR="00806678" w:rsidRDefault="00B16377">
          <w:pPr>
            <w:rPr>
              <w:rFonts w:cs="Cambria"/>
              <w:szCs w:val="21"/>
            </w:rPr>
          </w:pPr>
          <w:r>
            <w:rPr>
              <w:rFonts w:cs="Cambria" w:hint="eastAsia"/>
              <w:szCs w:val="21"/>
            </w:rPr>
            <w:lastRenderedPageBreak/>
            <w:t>关联托管/承包情况说明</w:t>
          </w:r>
        </w:p>
        <w:sdt>
          <w:sdtPr>
            <w:rPr>
              <w:rFonts w:cs="Cambria"/>
              <w:szCs w:val="21"/>
            </w:rPr>
            <w:alias w:val="是否适用：关联托管或承包情况说明[双击切换]"/>
            <w:tag w:val="_GBC_60aca51a92e545e9bbad9ba5228083c8"/>
            <w:id w:val="-1562015719"/>
            <w:lock w:val="sdtLocked"/>
            <w:placeholder>
              <w:docPart w:val="GBC22222222222222222222222222222"/>
            </w:placeholder>
          </w:sdtPr>
          <w:sdtContent>
            <w:p w:rsidR="00806678" w:rsidRDefault="00F80B6C" w:rsidP="006420B9">
              <w:pPr>
                <w:rPr>
                  <w:rFonts w:cs="Cambria"/>
                  <w:szCs w:val="21"/>
                </w:rPr>
              </w:pPr>
              <w:r>
                <w:rPr>
                  <w:rFonts w:cs="Cambria"/>
                  <w:szCs w:val="21"/>
                </w:rPr>
                <w:fldChar w:fldCharType="begin"/>
              </w:r>
              <w:r w:rsidR="006420B9">
                <w:rPr>
                  <w:rFonts w:cs="Cambria"/>
                  <w:szCs w:val="21"/>
                </w:rPr>
                <w:instrText xml:space="preserve">MACROBUTTON  SnrToggleCheckbox □适用 </w:instrText>
              </w:r>
              <w:r>
                <w:rPr>
                  <w:rFonts w:cs="Cambria"/>
                  <w:szCs w:val="21"/>
                </w:rPr>
                <w:fldChar w:fldCharType="end"/>
              </w:r>
              <w:r>
                <w:rPr>
                  <w:rFonts w:cs="Cambria"/>
                  <w:szCs w:val="21"/>
                </w:rPr>
                <w:fldChar w:fldCharType="begin"/>
              </w:r>
              <w:r w:rsidR="006420B9">
                <w:rPr>
                  <w:rFonts w:cs="Cambria"/>
                  <w:szCs w:val="21"/>
                </w:rPr>
                <w:instrText xml:space="preserve"> MACROBUTTON  SnrToggleCheckbox √不适用 </w:instrText>
              </w:r>
              <w:r>
                <w:rPr>
                  <w:rFonts w:cs="Cambria"/>
                  <w:szCs w:val="21"/>
                </w:rPr>
                <w:fldChar w:fldCharType="end"/>
              </w:r>
            </w:p>
          </w:sdtContent>
        </w:sdt>
        <w:p w:rsidR="00806678" w:rsidRDefault="00B16377">
          <w:pPr>
            <w:rPr>
              <w:rFonts w:cs="Cambria"/>
              <w:bCs/>
              <w:szCs w:val="21"/>
            </w:rPr>
          </w:pPr>
          <w:r>
            <w:rPr>
              <w:rFonts w:hint="eastAsia"/>
              <w:szCs w:val="21"/>
            </w:rPr>
            <w:t>本公司</w:t>
          </w:r>
          <w:r>
            <w:rPr>
              <w:rFonts w:cs="Cambria" w:hint="eastAsia"/>
              <w:bCs/>
              <w:szCs w:val="21"/>
            </w:rPr>
            <w:t>委托管理/出包情况表</w:t>
          </w:r>
        </w:p>
        <w:sdt>
          <w:sdtPr>
            <w:rPr>
              <w:rFonts w:cs="Cambria"/>
              <w:bCs/>
              <w:szCs w:val="21"/>
            </w:rPr>
            <w:alias w:val="是否适用：本公司委托管理或出包情况表[双击切换]"/>
            <w:tag w:val="_GBC_4655dfffa9a7464b8715035e819d5968"/>
            <w:id w:val="95523461"/>
            <w:lock w:val="sdtLocked"/>
            <w:placeholder>
              <w:docPart w:val="GBC22222222222222222222222222222"/>
            </w:placeholder>
          </w:sdtPr>
          <w:sdtContent>
            <w:p w:rsidR="00806678" w:rsidRDefault="00F80B6C" w:rsidP="006420B9">
              <w:pPr>
                <w:rPr>
                  <w:rFonts w:cs="Cambria"/>
                  <w:bCs/>
                  <w:szCs w:val="21"/>
                </w:rPr>
              </w:pPr>
              <w:r>
                <w:rPr>
                  <w:rFonts w:cs="Cambria"/>
                  <w:bCs/>
                  <w:szCs w:val="21"/>
                </w:rPr>
                <w:fldChar w:fldCharType="begin"/>
              </w:r>
              <w:r w:rsidR="006420B9">
                <w:rPr>
                  <w:rFonts w:cs="Cambria"/>
                  <w:bCs/>
                  <w:szCs w:val="21"/>
                </w:rPr>
                <w:instrText xml:space="preserve">MACROBUTTON  SnrToggleCheckbox □适用 </w:instrText>
              </w:r>
              <w:r>
                <w:rPr>
                  <w:rFonts w:cs="Cambria"/>
                  <w:bCs/>
                  <w:szCs w:val="21"/>
                </w:rPr>
                <w:fldChar w:fldCharType="end"/>
              </w:r>
              <w:r>
                <w:rPr>
                  <w:rFonts w:cs="Cambria"/>
                  <w:bCs/>
                  <w:szCs w:val="21"/>
                </w:rPr>
                <w:fldChar w:fldCharType="begin"/>
              </w:r>
              <w:r w:rsidR="006420B9">
                <w:rPr>
                  <w:rFonts w:cs="Cambria"/>
                  <w:bCs/>
                  <w:szCs w:val="21"/>
                </w:rPr>
                <w:instrText xml:space="preserve"> MACROBUTTON  SnrToggleCheckbox √不适用 </w:instrText>
              </w:r>
              <w:r>
                <w:rPr>
                  <w:rFonts w:cs="Cambria"/>
                  <w:bCs/>
                  <w:szCs w:val="21"/>
                </w:rPr>
                <w:fldChar w:fldCharType="end"/>
              </w:r>
            </w:p>
          </w:sdtContent>
        </w:sdt>
        <w:p w:rsidR="00806678" w:rsidRDefault="00B16377">
          <w:pPr>
            <w:rPr>
              <w:rFonts w:cs="Cambria"/>
              <w:bCs/>
              <w:szCs w:val="21"/>
            </w:rPr>
          </w:pPr>
          <w:r>
            <w:rPr>
              <w:rFonts w:cs="Cambria" w:hint="eastAsia"/>
              <w:bCs/>
              <w:szCs w:val="21"/>
            </w:rPr>
            <w:t>关联管理/出包情况说明</w:t>
          </w:r>
        </w:p>
        <w:sdt>
          <w:sdtPr>
            <w:rPr>
              <w:rFonts w:cs="Cambria"/>
              <w:bCs/>
              <w:szCs w:val="21"/>
            </w:rPr>
            <w:alias w:val="是否适用：关联管理或出包情况说明[双击切换]"/>
            <w:tag w:val="_GBC_a21df8e7013c4b70bab4125cabda8c46"/>
            <w:id w:val="-1318262587"/>
            <w:lock w:val="sdtLocked"/>
            <w:placeholder>
              <w:docPart w:val="GBC22222222222222222222222222222"/>
            </w:placeholder>
          </w:sdtPr>
          <w:sdtContent>
            <w:p w:rsidR="00806678" w:rsidRDefault="00F80B6C" w:rsidP="006420B9">
              <w:pPr>
                <w:rPr>
                  <w:rFonts w:cs="Cambria"/>
                  <w:bCs/>
                  <w:szCs w:val="21"/>
                </w:rPr>
              </w:pPr>
              <w:r>
                <w:rPr>
                  <w:rFonts w:cs="Cambria"/>
                  <w:bCs/>
                  <w:szCs w:val="21"/>
                </w:rPr>
                <w:fldChar w:fldCharType="begin"/>
              </w:r>
              <w:r w:rsidR="006420B9">
                <w:rPr>
                  <w:rFonts w:cs="Cambria"/>
                  <w:bCs/>
                  <w:szCs w:val="21"/>
                </w:rPr>
                <w:instrText xml:space="preserve">MACROBUTTON  SnrToggleCheckbox □适用 </w:instrText>
              </w:r>
              <w:r>
                <w:rPr>
                  <w:rFonts w:cs="Cambria"/>
                  <w:bCs/>
                  <w:szCs w:val="21"/>
                </w:rPr>
                <w:fldChar w:fldCharType="end"/>
              </w:r>
              <w:r>
                <w:rPr>
                  <w:rFonts w:cs="Cambria"/>
                  <w:bCs/>
                  <w:szCs w:val="21"/>
                </w:rPr>
                <w:fldChar w:fldCharType="begin"/>
              </w:r>
              <w:r w:rsidR="006420B9">
                <w:rPr>
                  <w:rFonts w:cs="Cambria"/>
                  <w:bCs/>
                  <w:szCs w:val="21"/>
                </w:rPr>
                <w:instrText xml:space="preserve"> MACROBUTTON  SnrToggleCheckbox √不适用 </w:instrText>
              </w:r>
              <w:r>
                <w:rPr>
                  <w:rFonts w:cs="Cambria"/>
                  <w:bCs/>
                  <w:szCs w:val="21"/>
                </w:rPr>
                <w:fldChar w:fldCharType="end"/>
              </w:r>
            </w:p>
          </w:sdtContent>
        </w:sdt>
        <w:p w:rsidR="00806678" w:rsidRDefault="00F80B6C">
          <w:pPr>
            <w:rPr>
              <w:rFonts w:cs="Cambria"/>
              <w:szCs w:val="21"/>
            </w:rPr>
          </w:pPr>
        </w:p>
      </w:sdtContent>
    </w:sdt>
    <w:sdt>
      <w:sdtPr>
        <w:rPr>
          <w:rFonts w:ascii="宋体" w:eastAsia="宋体" w:hAnsi="宋体" w:cs="宋体" w:hint="eastAsia"/>
          <w:b w:val="0"/>
          <w:bCs w:val="0"/>
          <w:kern w:val="0"/>
          <w:szCs w:val="24"/>
        </w:rPr>
        <w:alias w:val="模块:关联租赁情况"/>
        <w:tag w:val="_SEC_5900c0566dab441987567990bccbe124"/>
        <w:id w:val="-1479614316"/>
        <w:lock w:val="sdtLocked"/>
        <w:placeholder>
          <w:docPart w:val="GBC22222222222222222222222222222"/>
        </w:placeholder>
      </w:sdtPr>
      <w:sdtContent>
        <w:p w:rsidR="00806678" w:rsidRDefault="00B16377" w:rsidP="00FF17C7">
          <w:pPr>
            <w:pStyle w:val="4"/>
            <w:numPr>
              <w:ilvl w:val="3"/>
              <w:numId w:val="105"/>
            </w:numPr>
            <w:ind w:left="424" w:hangingChars="202" w:hanging="424"/>
          </w:pPr>
          <w:r>
            <w:rPr>
              <w:rFonts w:hint="eastAsia"/>
            </w:rPr>
            <w:t>关联租赁情况</w:t>
          </w:r>
        </w:p>
        <w:p w:rsidR="00806678" w:rsidRDefault="00B16377">
          <w:pPr>
            <w:rPr>
              <w:szCs w:val="21"/>
            </w:rPr>
          </w:pPr>
          <w:r>
            <w:rPr>
              <w:rFonts w:hint="eastAsia"/>
              <w:szCs w:val="21"/>
            </w:rPr>
            <w:t>本公司作为出租方：</w:t>
          </w:r>
        </w:p>
        <w:sdt>
          <w:sdtPr>
            <w:rPr>
              <w:szCs w:val="21"/>
            </w:rPr>
            <w:alias w:val="是否适用：本公司作为出租方的租赁情况表[双击切换]"/>
            <w:tag w:val="_GBC_b67e8ccf7ec147d698f9f192968e98bf"/>
            <w:id w:val="-1885391456"/>
            <w:lock w:val="sdtLocked"/>
            <w:placeholder>
              <w:docPart w:val="GBC22222222222222222222222222222"/>
            </w:placeholder>
          </w:sdtPr>
          <w:sdtContent>
            <w:p w:rsidR="006420B9" w:rsidRDefault="00F80B6C" w:rsidP="006420B9">
              <w:pPr>
                <w:rPr>
                  <w:szCs w:val="21"/>
                </w:rPr>
              </w:pPr>
              <w:r>
                <w:rPr>
                  <w:szCs w:val="21"/>
                </w:rPr>
                <w:fldChar w:fldCharType="begin"/>
              </w:r>
              <w:r w:rsidR="006420B9">
                <w:rPr>
                  <w:szCs w:val="21"/>
                </w:rPr>
                <w:instrText xml:space="preserve">MACROBUTTON  SnrToggleCheckbox □适用 </w:instrText>
              </w:r>
              <w:r>
                <w:rPr>
                  <w:szCs w:val="21"/>
                </w:rPr>
                <w:fldChar w:fldCharType="end"/>
              </w:r>
              <w:r>
                <w:rPr>
                  <w:szCs w:val="21"/>
                </w:rPr>
                <w:fldChar w:fldCharType="begin"/>
              </w:r>
              <w:r w:rsidR="006420B9">
                <w:rPr>
                  <w:szCs w:val="21"/>
                </w:rPr>
                <w:instrText xml:space="preserve"> MACROBUTTON  SnrToggleCheckbox √不适用 </w:instrText>
              </w:r>
              <w:r>
                <w:rPr>
                  <w:szCs w:val="21"/>
                </w:rPr>
                <w:fldChar w:fldCharType="end"/>
              </w:r>
            </w:p>
          </w:sdtContent>
        </w:sdt>
        <w:p w:rsidR="00806678" w:rsidRDefault="00806678">
          <w:pPr>
            <w:rPr>
              <w:szCs w:val="21"/>
            </w:rPr>
          </w:pPr>
        </w:p>
        <w:p w:rsidR="00806678" w:rsidRDefault="00B16377">
          <w:pPr>
            <w:rPr>
              <w:szCs w:val="21"/>
            </w:rPr>
          </w:pPr>
          <w:r>
            <w:rPr>
              <w:rFonts w:hint="eastAsia"/>
              <w:szCs w:val="21"/>
            </w:rPr>
            <w:t>本公司作为承租方：</w:t>
          </w:r>
        </w:p>
        <w:sdt>
          <w:sdtPr>
            <w:rPr>
              <w:szCs w:val="21"/>
            </w:rPr>
            <w:alias w:val="是否适用：本公司作为承租方的租赁情况表[双击切换]"/>
            <w:tag w:val="_GBC_f8542afd84e2430aad299d7024543330"/>
            <w:id w:val="-91009513"/>
            <w:lock w:val="sdtLocked"/>
            <w:placeholder>
              <w:docPart w:val="GBC22222222222222222222222222222"/>
            </w:placeholder>
          </w:sdtPr>
          <w:sdtContent>
            <w:p w:rsidR="00806678" w:rsidRDefault="00F80B6C">
              <w:pPr>
                <w:rPr>
                  <w:szCs w:val="21"/>
                </w:rPr>
              </w:pPr>
              <w:r>
                <w:rPr>
                  <w:szCs w:val="21"/>
                </w:rPr>
                <w:fldChar w:fldCharType="begin"/>
              </w:r>
              <w:r w:rsidR="006420B9">
                <w:rPr>
                  <w:szCs w:val="21"/>
                </w:rPr>
                <w:instrText xml:space="preserve">MACROBUTTON  SnrToggleCheckbox √适用 </w:instrText>
              </w:r>
              <w:r>
                <w:rPr>
                  <w:szCs w:val="21"/>
                </w:rPr>
                <w:fldChar w:fldCharType="end"/>
              </w:r>
              <w:r>
                <w:rPr>
                  <w:szCs w:val="21"/>
                </w:rPr>
                <w:fldChar w:fldCharType="begin"/>
              </w:r>
              <w:r w:rsidR="006420B9">
                <w:rPr>
                  <w:szCs w:val="21"/>
                </w:rPr>
                <w:instrText xml:space="preserve"> MACROBUTTON  SnrToggleCheckbox □不适用 </w:instrText>
              </w:r>
              <w:r>
                <w:rPr>
                  <w:szCs w:val="21"/>
                </w:rPr>
                <w:fldChar w:fldCharType="end"/>
              </w:r>
            </w:p>
          </w:sdtContent>
        </w:sdt>
        <w:p w:rsidR="00806678" w:rsidRDefault="00B16377">
          <w:pPr>
            <w:jc w:val="right"/>
            <w:rPr>
              <w:szCs w:val="21"/>
            </w:rPr>
          </w:pPr>
          <w:r>
            <w:rPr>
              <w:rFonts w:hint="eastAsia"/>
              <w:szCs w:val="21"/>
            </w:rPr>
            <w:t>单位：</w:t>
          </w:r>
          <w:sdt>
            <w:sdtPr>
              <w:rPr>
                <w:rFonts w:hint="eastAsia"/>
                <w:szCs w:val="21"/>
              </w:rPr>
              <w:alias w:val="单位：公司承租情况表"/>
              <w:tag w:val="_GBC_8ac97dab93ef410a9d23b3aefc024986"/>
              <w:id w:val="-136104146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公司承租情况表"/>
              <w:tag w:val="_GBC_634ba3e46c2f477ca3c544a6d05a7b33"/>
              <w:id w:val="-92873523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49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0"/>
            <w:gridCol w:w="2002"/>
            <w:gridCol w:w="1962"/>
            <w:gridCol w:w="1937"/>
          </w:tblGrid>
          <w:tr w:rsidR="006420B9" w:rsidTr="001B3719">
            <w:trPr>
              <w:trHeight w:val="249"/>
            </w:trPr>
            <w:sdt>
              <w:sdtPr>
                <w:rPr>
                  <w:rFonts w:hint="eastAsia"/>
                </w:rPr>
                <w:tag w:val="_PLD_e1362814a2c74f61b2928db98e04eae7"/>
                <w:id w:val="-319880837"/>
                <w:lock w:val="sdtLocked"/>
              </w:sdtPr>
              <w:sdtContent>
                <w:tc>
                  <w:tcPr>
                    <w:tcW w:w="1718" w:type="pct"/>
                    <w:shd w:val="clear" w:color="auto" w:fill="auto"/>
                    <w:vAlign w:val="center"/>
                  </w:tcPr>
                  <w:p w:rsidR="006420B9" w:rsidRDefault="006420B9" w:rsidP="00DB008B">
                    <w:pPr>
                      <w:widowControl w:val="0"/>
                      <w:jc w:val="center"/>
                    </w:pPr>
                    <w:r>
                      <w:rPr>
                        <w:rFonts w:hint="eastAsia"/>
                      </w:rPr>
                      <w:t>出租方名称</w:t>
                    </w:r>
                  </w:p>
                </w:tc>
              </w:sdtContent>
            </w:sdt>
            <w:sdt>
              <w:sdtPr>
                <w:rPr>
                  <w:rFonts w:hint="eastAsia"/>
                </w:rPr>
                <w:tag w:val="_PLD_047e2a729b7746bcb598e4fead4c9704"/>
                <w:id w:val="99920126"/>
                <w:lock w:val="sdtLocked"/>
              </w:sdtPr>
              <w:sdtContent>
                <w:tc>
                  <w:tcPr>
                    <w:tcW w:w="1113" w:type="pct"/>
                    <w:shd w:val="clear" w:color="auto" w:fill="auto"/>
                    <w:vAlign w:val="center"/>
                  </w:tcPr>
                  <w:p w:rsidR="006420B9" w:rsidRDefault="006420B9" w:rsidP="00DB008B">
                    <w:pPr>
                      <w:widowControl w:val="0"/>
                      <w:jc w:val="center"/>
                    </w:pPr>
                    <w:r>
                      <w:rPr>
                        <w:rFonts w:hint="eastAsia"/>
                      </w:rPr>
                      <w:t>租赁资产种类</w:t>
                    </w:r>
                  </w:p>
                </w:tc>
              </w:sdtContent>
            </w:sdt>
            <w:tc>
              <w:tcPr>
                <w:tcW w:w="1091" w:type="pct"/>
                <w:shd w:val="clear" w:color="auto" w:fill="auto"/>
                <w:vAlign w:val="center"/>
              </w:tcPr>
              <w:p w:rsidR="006420B9" w:rsidRDefault="006420B9" w:rsidP="00DB008B">
                <w:pPr>
                  <w:widowControl w:val="0"/>
                  <w:jc w:val="center"/>
                </w:pPr>
                <w:r>
                  <w:rPr>
                    <w:rFonts w:hint="eastAsia"/>
                  </w:rPr>
                  <w:t>本期确认的租赁费</w:t>
                </w:r>
              </w:p>
            </w:tc>
            <w:tc>
              <w:tcPr>
                <w:tcW w:w="1077" w:type="pct"/>
                <w:shd w:val="clear" w:color="auto" w:fill="auto"/>
                <w:vAlign w:val="center"/>
              </w:tcPr>
              <w:p w:rsidR="006420B9" w:rsidRDefault="006420B9" w:rsidP="00DB008B">
                <w:pPr>
                  <w:widowControl w:val="0"/>
                  <w:jc w:val="center"/>
                </w:pPr>
                <w:r>
                  <w:rPr>
                    <w:rFonts w:hint="eastAsia"/>
                  </w:rPr>
                  <w:t>上期确认的租赁费</w:t>
                </w:r>
              </w:p>
            </w:tc>
          </w:tr>
          <w:sdt>
            <w:sdtPr>
              <w:alias w:val="公司承租情况明细"/>
              <w:tag w:val="_TUP_22950a4f60c547f8bcbf5b17df08505b"/>
              <w:id w:val="-429592309"/>
              <w:lock w:val="sdtLocked"/>
            </w:sdtPr>
            <w:sdtContent>
              <w:tr w:rsidR="006420B9" w:rsidTr="008651A8">
                <w:tc>
                  <w:tcPr>
                    <w:tcW w:w="1718" w:type="pct"/>
                    <w:shd w:val="clear" w:color="auto" w:fill="auto"/>
                    <w:vAlign w:val="center"/>
                  </w:tcPr>
                  <w:p w:rsidR="006420B9" w:rsidRDefault="006420B9" w:rsidP="00DB008B">
                    <w:pPr>
                      <w:widowControl w:val="0"/>
                    </w:pPr>
                    <w:r w:rsidRPr="006420B9">
                      <w:rPr>
                        <w:rFonts w:hint="eastAsia"/>
                      </w:rPr>
                      <w:t>太原局集团公司</w:t>
                    </w:r>
                  </w:p>
                </w:tc>
                <w:tc>
                  <w:tcPr>
                    <w:tcW w:w="1113" w:type="pct"/>
                    <w:shd w:val="clear" w:color="auto" w:fill="auto"/>
                    <w:vAlign w:val="center"/>
                  </w:tcPr>
                  <w:p w:rsidR="006420B9" w:rsidRDefault="006420B9" w:rsidP="00170C02">
                    <w:pPr>
                      <w:widowControl w:val="0"/>
                    </w:pPr>
                    <w:r w:rsidRPr="006420B9">
                      <w:rPr>
                        <w:rFonts w:hint="eastAsia"/>
                      </w:rPr>
                      <w:t>土地及房屋</w:t>
                    </w:r>
                  </w:p>
                </w:tc>
                <w:tc>
                  <w:tcPr>
                    <w:tcW w:w="1091" w:type="pct"/>
                    <w:shd w:val="clear" w:color="auto" w:fill="auto"/>
                    <w:vAlign w:val="center"/>
                  </w:tcPr>
                  <w:sdt>
                    <w:sdtPr>
                      <w:rPr>
                        <w:szCs w:val="21"/>
                      </w:rPr>
                      <w:alias w:val="本期确认的租赁费"/>
                      <w:tag w:val="_GBC_8ce65044ce2b455791735677aa1c22e1"/>
                      <w:id w:val="-1909448410"/>
                      <w:lock w:val="sdtLocked"/>
                    </w:sdtPr>
                    <w:sdtContent>
                      <w:p w:rsidR="006420B9" w:rsidRPr="006420B9" w:rsidRDefault="006420B9" w:rsidP="00170C02">
                        <w:pPr>
                          <w:widowControl w:val="0"/>
                          <w:jc w:val="right"/>
                          <w:rPr>
                            <w:szCs w:val="21"/>
                          </w:rPr>
                        </w:pPr>
                        <w:r w:rsidRPr="006420B9">
                          <w:rPr>
                            <w:szCs w:val="21"/>
                          </w:rPr>
                          <w:t>704,797,615</w:t>
                        </w:r>
                      </w:p>
                    </w:sdtContent>
                  </w:sdt>
                </w:tc>
                <w:tc>
                  <w:tcPr>
                    <w:tcW w:w="1077" w:type="pct"/>
                    <w:shd w:val="clear" w:color="auto" w:fill="auto"/>
                    <w:vAlign w:val="center"/>
                  </w:tcPr>
                  <w:p w:rsidR="006420B9" w:rsidRDefault="006420B9" w:rsidP="00170C02">
                    <w:pPr>
                      <w:widowControl w:val="0"/>
                      <w:jc w:val="right"/>
                    </w:pPr>
                    <w:r>
                      <w:t>731,098,308</w:t>
                    </w:r>
                  </w:p>
                </w:tc>
              </w:tr>
            </w:sdtContent>
          </w:sdt>
        </w:tbl>
        <w:p w:rsidR="006420B9" w:rsidRDefault="006420B9">
          <w:pPr>
            <w:rPr>
              <w:szCs w:val="21"/>
            </w:rPr>
          </w:pPr>
        </w:p>
        <w:p w:rsidR="006420B9" w:rsidRDefault="006420B9">
          <w:pPr>
            <w:rPr>
              <w:szCs w:val="21"/>
            </w:rPr>
          </w:pPr>
          <w:r>
            <w:rPr>
              <w:rFonts w:hint="eastAsia"/>
              <w:szCs w:val="21"/>
            </w:rPr>
            <w:t>本公司对符合条件的租赁资产在资产负债表确认使用权资产及相关租赁负债，相关折旧费用以及利息费用计入当期利润表。</w:t>
          </w:r>
        </w:p>
        <w:p w:rsidR="006420B9" w:rsidRPr="00170C02" w:rsidRDefault="00170C02" w:rsidP="00170C02">
          <w:pPr>
            <w:jc w:val="right"/>
            <w:rPr>
              <w:rFonts w:asciiTheme="majorEastAsia" w:eastAsiaTheme="majorEastAsia" w:hAnsiTheme="majorEastAsia"/>
            </w:rPr>
          </w:pPr>
          <w:r w:rsidRPr="00170C02">
            <w:rPr>
              <w:rFonts w:asciiTheme="majorEastAsia" w:eastAsiaTheme="majorEastAsia" w:hAnsiTheme="majorEastAsia" w:cs="PMingLiU" w:hint="eastAsia"/>
              <w:szCs w:val="21"/>
            </w:rPr>
            <w:t>单</w:t>
          </w:r>
          <w:r w:rsidRPr="00170C02">
            <w:rPr>
              <w:rFonts w:asciiTheme="majorEastAsia" w:eastAsiaTheme="majorEastAsia" w:hAnsiTheme="majorEastAsia" w:cs="Yu Gothic" w:hint="eastAsia"/>
              <w:szCs w:val="21"/>
            </w:rPr>
            <w:t>位：元</w:t>
          </w:r>
          <w:r w:rsidRPr="00170C02">
            <w:rPr>
              <w:rFonts w:asciiTheme="majorEastAsia" w:eastAsiaTheme="majorEastAsia" w:hAnsiTheme="majorEastAsia" w:cs="螳倶ｽ・"/>
              <w:szCs w:val="21"/>
            </w:rPr>
            <w:t xml:space="preserve"> </w:t>
          </w:r>
          <w:r w:rsidRPr="00170C02">
            <w:rPr>
              <w:rFonts w:asciiTheme="majorEastAsia" w:eastAsiaTheme="majorEastAsia" w:hAnsiTheme="majorEastAsia" w:cs="PMingLiU" w:hint="eastAsia"/>
              <w:szCs w:val="21"/>
            </w:rPr>
            <w:t>币</w:t>
          </w:r>
          <w:r w:rsidRPr="00170C02">
            <w:rPr>
              <w:rFonts w:asciiTheme="majorEastAsia" w:eastAsiaTheme="majorEastAsia" w:hAnsiTheme="majorEastAsia" w:cs="Yu Gothic" w:hint="eastAsia"/>
              <w:szCs w:val="21"/>
            </w:rPr>
            <w:t>种：人民</w:t>
          </w:r>
          <w:r w:rsidRPr="00170C02">
            <w:rPr>
              <w:rFonts w:asciiTheme="majorEastAsia" w:eastAsiaTheme="majorEastAsia" w:hAnsiTheme="majorEastAsia" w:cs="PMingLiU" w:hint="eastAsia"/>
              <w:szCs w:val="21"/>
            </w:rPr>
            <w:t>币</w:t>
          </w:r>
        </w:p>
        <w:tbl>
          <w:tblPr>
            <w:tblStyle w:val="a6"/>
            <w:tblW w:w="0" w:type="auto"/>
            <w:tblLook w:val="04A0"/>
          </w:tblPr>
          <w:tblGrid>
            <w:gridCol w:w="3085"/>
            <w:gridCol w:w="1985"/>
            <w:gridCol w:w="1984"/>
            <w:gridCol w:w="1995"/>
          </w:tblGrid>
          <w:tr w:rsidR="006420B9" w:rsidTr="00E86165">
            <w:tc>
              <w:tcPr>
                <w:tcW w:w="3085" w:type="dxa"/>
              </w:tcPr>
              <w:p w:rsidR="006420B9" w:rsidRDefault="006420B9" w:rsidP="00AA6F46">
                <w:pPr>
                  <w:jc w:val="center"/>
                  <w:rPr>
                    <w:szCs w:val="21"/>
                  </w:rPr>
                </w:pPr>
                <w:r>
                  <w:t>出租方名称</w:t>
                </w:r>
              </w:p>
            </w:tc>
            <w:tc>
              <w:tcPr>
                <w:tcW w:w="1985" w:type="dxa"/>
              </w:tcPr>
              <w:p w:rsidR="006420B9" w:rsidRDefault="006420B9" w:rsidP="00AA6F46">
                <w:pPr>
                  <w:jc w:val="center"/>
                  <w:rPr>
                    <w:szCs w:val="21"/>
                  </w:rPr>
                </w:pPr>
                <w:r>
                  <w:t>租赁资产种类</w:t>
                </w:r>
              </w:p>
            </w:tc>
            <w:tc>
              <w:tcPr>
                <w:tcW w:w="1984" w:type="dxa"/>
              </w:tcPr>
              <w:p w:rsidR="006420B9" w:rsidRDefault="006420B9" w:rsidP="00AA6F46">
                <w:pPr>
                  <w:jc w:val="center"/>
                  <w:rPr>
                    <w:szCs w:val="21"/>
                  </w:rPr>
                </w:pPr>
                <w:r>
                  <w:t>本</w:t>
                </w:r>
                <w:r w:rsidR="00C05EA5">
                  <w:rPr>
                    <w:rFonts w:hint="eastAsia"/>
                  </w:rPr>
                  <w:t>期</w:t>
                </w:r>
                <w:r>
                  <w:t>确认折旧费用</w:t>
                </w:r>
              </w:p>
            </w:tc>
            <w:tc>
              <w:tcPr>
                <w:tcW w:w="1995" w:type="dxa"/>
              </w:tcPr>
              <w:p w:rsidR="006420B9" w:rsidRDefault="006420B9" w:rsidP="00AA6F46">
                <w:pPr>
                  <w:jc w:val="center"/>
                  <w:rPr>
                    <w:szCs w:val="21"/>
                  </w:rPr>
                </w:pPr>
                <w:r>
                  <w:t>本</w:t>
                </w:r>
                <w:r w:rsidR="00C05EA5">
                  <w:rPr>
                    <w:rFonts w:hint="eastAsia"/>
                  </w:rPr>
                  <w:t>期</w:t>
                </w:r>
                <w:r>
                  <w:t>确认财务费用</w:t>
                </w:r>
              </w:p>
            </w:tc>
          </w:tr>
          <w:tr w:rsidR="006420B9" w:rsidTr="00E86165">
            <w:tc>
              <w:tcPr>
                <w:tcW w:w="3085" w:type="dxa"/>
              </w:tcPr>
              <w:p w:rsidR="006420B9" w:rsidRDefault="006420B9" w:rsidP="00DB008B">
                <w:pPr>
                  <w:rPr>
                    <w:szCs w:val="21"/>
                  </w:rPr>
                </w:pPr>
                <w:r>
                  <w:t>太原局集团公司及其下属单位</w:t>
                </w:r>
              </w:p>
            </w:tc>
            <w:tc>
              <w:tcPr>
                <w:tcW w:w="1985" w:type="dxa"/>
              </w:tcPr>
              <w:p w:rsidR="006420B9" w:rsidRDefault="006420B9" w:rsidP="00DB008B">
                <w:pPr>
                  <w:rPr>
                    <w:szCs w:val="21"/>
                  </w:rPr>
                </w:pPr>
                <w:r>
                  <w:t>房屋及建筑物</w:t>
                </w:r>
              </w:p>
            </w:tc>
            <w:tc>
              <w:tcPr>
                <w:tcW w:w="1984" w:type="dxa"/>
              </w:tcPr>
              <w:p w:rsidR="006420B9" w:rsidRDefault="006420B9" w:rsidP="00170C02">
                <w:pPr>
                  <w:jc w:val="right"/>
                  <w:rPr>
                    <w:szCs w:val="21"/>
                  </w:rPr>
                </w:pPr>
                <w:r>
                  <w:t>7,474,780</w:t>
                </w:r>
              </w:p>
            </w:tc>
            <w:tc>
              <w:tcPr>
                <w:tcW w:w="1995" w:type="dxa"/>
              </w:tcPr>
              <w:p w:rsidR="006420B9" w:rsidRDefault="006420B9" w:rsidP="00170C02">
                <w:pPr>
                  <w:jc w:val="right"/>
                  <w:rPr>
                    <w:szCs w:val="21"/>
                  </w:rPr>
                </w:pPr>
                <w:r>
                  <w:t>153,847</w:t>
                </w:r>
              </w:p>
            </w:tc>
          </w:tr>
          <w:tr w:rsidR="006420B9" w:rsidTr="00E86165">
            <w:tc>
              <w:tcPr>
                <w:tcW w:w="3085" w:type="dxa"/>
              </w:tcPr>
              <w:p w:rsidR="006420B9" w:rsidRDefault="006420B9" w:rsidP="00DB008B">
                <w:pPr>
                  <w:rPr>
                    <w:szCs w:val="21"/>
                  </w:rPr>
                </w:pPr>
                <w:r>
                  <w:t>太原局集团公司及其下属单位</w:t>
                </w:r>
              </w:p>
            </w:tc>
            <w:tc>
              <w:tcPr>
                <w:tcW w:w="1985" w:type="dxa"/>
              </w:tcPr>
              <w:p w:rsidR="006420B9" w:rsidRDefault="006420B9" w:rsidP="00DB008B">
                <w:pPr>
                  <w:rPr>
                    <w:szCs w:val="21"/>
                  </w:rPr>
                </w:pPr>
                <w:r>
                  <w:t>机车车辆</w:t>
                </w:r>
              </w:p>
            </w:tc>
            <w:tc>
              <w:tcPr>
                <w:tcW w:w="1984" w:type="dxa"/>
              </w:tcPr>
              <w:p w:rsidR="006420B9" w:rsidRDefault="006420B9" w:rsidP="00170C02">
                <w:pPr>
                  <w:jc w:val="right"/>
                  <w:rPr>
                    <w:szCs w:val="21"/>
                  </w:rPr>
                </w:pPr>
                <w:r>
                  <w:t>186,697,613</w:t>
                </w:r>
              </w:p>
            </w:tc>
            <w:tc>
              <w:tcPr>
                <w:tcW w:w="1995" w:type="dxa"/>
              </w:tcPr>
              <w:p w:rsidR="006420B9" w:rsidRDefault="006420B9" w:rsidP="00170C02">
                <w:pPr>
                  <w:jc w:val="right"/>
                  <w:rPr>
                    <w:szCs w:val="21"/>
                  </w:rPr>
                </w:pPr>
                <w:r>
                  <w:t>10,816,753</w:t>
                </w:r>
              </w:p>
            </w:tc>
          </w:tr>
        </w:tbl>
        <w:p w:rsidR="006420B9" w:rsidRDefault="006420B9">
          <w:pPr>
            <w:rPr>
              <w:szCs w:val="21"/>
            </w:rPr>
          </w:pPr>
        </w:p>
        <w:p w:rsidR="00806678" w:rsidRDefault="00B16377">
          <w:pPr>
            <w:rPr>
              <w:szCs w:val="21"/>
            </w:rPr>
          </w:pPr>
          <w:r>
            <w:rPr>
              <w:rFonts w:hint="eastAsia"/>
              <w:szCs w:val="21"/>
            </w:rPr>
            <w:t>关联租赁情况说明</w:t>
          </w:r>
        </w:p>
        <w:sdt>
          <w:sdtPr>
            <w:rPr>
              <w:szCs w:val="21"/>
            </w:rPr>
            <w:alias w:val="是否适用：关联租赁情况说明[双击切换]"/>
            <w:tag w:val="_GBC_f11304240a9e46d8b340976a035205d3"/>
            <w:id w:val="-2007434550"/>
            <w:lock w:val="sdtLocked"/>
            <w:placeholder>
              <w:docPart w:val="GBC22222222222222222222222222222"/>
            </w:placeholder>
          </w:sdtPr>
          <w:sdtContent>
            <w:p w:rsidR="00806678" w:rsidRDefault="00F80B6C" w:rsidP="006420B9">
              <w:pPr>
                <w:rPr>
                  <w:szCs w:val="21"/>
                </w:rPr>
              </w:pPr>
              <w:r>
                <w:rPr>
                  <w:szCs w:val="21"/>
                </w:rPr>
                <w:fldChar w:fldCharType="begin"/>
              </w:r>
              <w:r w:rsidR="006420B9">
                <w:rPr>
                  <w:szCs w:val="21"/>
                </w:rPr>
                <w:instrText xml:space="preserve">MACROBUTTON  SnrToggleCheckbox □适用 </w:instrText>
              </w:r>
              <w:r>
                <w:rPr>
                  <w:szCs w:val="21"/>
                </w:rPr>
                <w:fldChar w:fldCharType="end"/>
              </w:r>
              <w:r>
                <w:rPr>
                  <w:szCs w:val="21"/>
                </w:rPr>
                <w:fldChar w:fldCharType="begin"/>
              </w:r>
              <w:r w:rsidR="006420B9">
                <w:rPr>
                  <w:szCs w:val="21"/>
                </w:rPr>
                <w:instrText xml:space="preserve"> MACROBUTTON  SnrToggleCheckbox √不适用 </w:instrText>
              </w:r>
              <w:r>
                <w:rPr>
                  <w:szCs w:val="21"/>
                </w:rPr>
                <w:fldChar w:fldCharType="end"/>
              </w:r>
            </w:p>
          </w:sdtContent>
        </w:sdt>
        <w:p w:rsidR="00806678" w:rsidRDefault="00F80B6C"/>
      </w:sdtContent>
    </w:sdt>
    <w:sdt>
      <w:sdtPr>
        <w:rPr>
          <w:rFonts w:ascii="宋体" w:eastAsia="宋体" w:hAnsi="宋体" w:cs="宋体" w:hint="eastAsia"/>
          <w:b w:val="0"/>
          <w:bCs w:val="0"/>
          <w:kern w:val="0"/>
          <w:szCs w:val="24"/>
        </w:rPr>
        <w:alias w:val="模块:关联担保情况"/>
        <w:tag w:val="_SEC_efa05712c0bd499d89e4752caaaebdd6"/>
        <w:id w:val="1392770044"/>
        <w:lock w:val="sdtLocked"/>
        <w:placeholder>
          <w:docPart w:val="GBC22222222222222222222222222222"/>
        </w:placeholder>
      </w:sdtPr>
      <w:sdtEndPr>
        <w:rPr>
          <w:rFonts w:ascii="Cambria" w:hAnsi="Cambria" w:cs="Cambria" w:hint="default"/>
          <w:sz w:val="20"/>
          <w:szCs w:val="20"/>
        </w:rPr>
      </w:sdtEndPr>
      <w:sdtContent>
        <w:p w:rsidR="00806678" w:rsidRDefault="00B16377" w:rsidP="00FF17C7">
          <w:pPr>
            <w:pStyle w:val="4"/>
            <w:numPr>
              <w:ilvl w:val="3"/>
              <w:numId w:val="105"/>
            </w:numPr>
            <w:ind w:left="424" w:hangingChars="202" w:hanging="424"/>
          </w:pPr>
          <w:r>
            <w:rPr>
              <w:rFonts w:hint="eastAsia"/>
            </w:rPr>
            <w:t>关联担保情况</w:t>
          </w:r>
        </w:p>
        <w:p w:rsidR="00806678" w:rsidRDefault="00B16377">
          <w:r>
            <w:rPr>
              <w:rFonts w:hint="eastAsia"/>
            </w:rPr>
            <w:t>本公司作为担保方</w:t>
          </w:r>
        </w:p>
        <w:sdt>
          <w:sdtPr>
            <w:alias w:val="是否适用：本公司作为担保方的担保情况表[双击切换]"/>
            <w:tag w:val="_GBC_4ba390d56c0645788c7893af84ca2773"/>
            <w:id w:val="32550046"/>
            <w:lock w:val="sdtLocked"/>
            <w:placeholder>
              <w:docPart w:val="GBC22222222222222222222222222222"/>
            </w:placeholder>
          </w:sdtPr>
          <w:sdtContent>
            <w:p w:rsidR="00806678" w:rsidRDefault="00F80B6C" w:rsidP="005C40A6">
              <w:r>
                <w:fldChar w:fldCharType="begin"/>
              </w:r>
              <w:r w:rsidR="005C40A6">
                <w:instrText xml:space="preserve">MACROBUTTON  SnrToggleCheckbox □适用 </w:instrText>
              </w:r>
              <w:r>
                <w:fldChar w:fldCharType="end"/>
              </w:r>
              <w:r>
                <w:fldChar w:fldCharType="begin"/>
              </w:r>
              <w:r w:rsidR="005C40A6">
                <w:instrText xml:space="preserve"> MACROBUTTON  SnrToggleCheckbox √不适用 </w:instrText>
              </w:r>
              <w:r>
                <w:fldChar w:fldCharType="end"/>
              </w:r>
            </w:p>
          </w:sdtContent>
        </w:sdt>
        <w:p w:rsidR="00806678" w:rsidRDefault="00B16377">
          <w:pPr>
            <w:rPr>
              <w:rFonts w:ascii="Cambria" w:hAnsi="Cambria" w:cs="Cambria"/>
            </w:rPr>
          </w:pPr>
          <w:r>
            <w:rPr>
              <w:rFonts w:ascii="Cambria" w:hAnsi="Cambria" w:cs="Cambria" w:hint="eastAsia"/>
            </w:rPr>
            <w:t>本公司作为被担保方</w:t>
          </w:r>
        </w:p>
        <w:sdt>
          <w:sdtPr>
            <w:rPr>
              <w:rFonts w:ascii="Cambria" w:hAnsi="Cambria" w:cs="Cambria"/>
            </w:rPr>
            <w:alias w:val="是否适用：本公司作为被担保方的担保情况表[双击切换]"/>
            <w:tag w:val="_GBC_24ee28d66e214f089c669dca4a51a3a4"/>
            <w:id w:val="1626352907"/>
            <w:lock w:val="sdtLocked"/>
            <w:placeholder>
              <w:docPart w:val="GBC22222222222222222222222222222"/>
            </w:placeholder>
          </w:sdtPr>
          <w:sdtContent>
            <w:p w:rsidR="00806678" w:rsidRDefault="00F80B6C" w:rsidP="005C40A6">
              <w:r>
                <w:rPr>
                  <w:rFonts w:cs="Cambria"/>
                </w:rPr>
                <w:fldChar w:fldCharType="begin"/>
              </w:r>
              <w:r w:rsidR="005C40A6">
                <w:rPr>
                  <w:rFonts w:cs="Cambria"/>
                </w:rPr>
                <w:instrText xml:space="preserve">MACROBUTTON  SnrToggleCheckbox □适用 </w:instrText>
              </w:r>
              <w:r>
                <w:rPr>
                  <w:rFonts w:cs="Cambria"/>
                </w:rPr>
                <w:fldChar w:fldCharType="end"/>
              </w:r>
              <w:r>
                <w:rPr>
                  <w:rFonts w:cs="Cambria"/>
                </w:rPr>
                <w:fldChar w:fldCharType="begin"/>
              </w:r>
              <w:r w:rsidR="005C40A6">
                <w:rPr>
                  <w:rFonts w:cs="Cambria"/>
                </w:rPr>
                <w:instrText xml:space="preserve"> MACROBUTTON  SnrToggleCheckbox √不适用 </w:instrText>
              </w:r>
              <w:r>
                <w:rPr>
                  <w:rFonts w:cs="Cambria"/>
                </w:rPr>
                <w:fldChar w:fldCharType="end"/>
              </w:r>
            </w:p>
          </w:sdtContent>
        </w:sdt>
        <w:p w:rsidR="00806678" w:rsidRDefault="00B16377">
          <w:pPr>
            <w:rPr>
              <w:rFonts w:ascii="Cambria" w:hAnsi="Cambria" w:cs="Cambria"/>
            </w:rPr>
          </w:pPr>
          <w:r>
            <w:rPr>
              <w:rFonts w:ascii="Cambria" w:hAnsi="Cambria" w:cs="Cambria" w:hint="eastAsia"/>
            </w:rPr>
            <w:t>关联担保情况说明</w:t>
          </w:r>
        </w:p>
        <w:sdt>
          <w:sdtPr>
            <w:rPr>
              <w:rFonts w:ascii="Cambria" w:hAnsi="Cambria" w:cs="Cambria"/>
            </w:rPr>
            <w:alias w:val="是否适用：关联担保情况说明[双击切换]"/>
            <w:tag w:val="_GBC_455c21d6a2674726afee6a2386be7898"/>
            <w:id w:val="855230633"/>
            <w:lock w:val="sdtLocked"/>
            <w:placeholder>
              <w:docPart w:val="GBC22222222222222222222222222222"/>
            </w:placeholder>
          </w:sdtPr>
          <w:sdtContent>
            <w:p w:rsidR="00806678" w:rsidRDefault="00F80B6C" w:rsidP="005C40A6">
              <w:pPr>
                <w:rPr>
                  <w:rFonts w:ascii="Cambria" w:hAnsi="Cambria" w:cs="Cambria"/>
                </w:rPr>
              </w:pPr>
              <w:r>
                <w:rPr>
                  <w:rFonts w:cs="Cambria"/>
                </w:rPr>
                <w:fldChar w:fldCharType="begin"/>
              </w:r>
              <w:r w:rsidR="005C40A6">
                <w:rPr>
                  <w:rFonts w:cs="Cambria"/>
                </w:rPr>
                <w:instrText xml:space="preserve">MACROBUTTON  SnrToggleCheckbox □适用 </w:instrText>
              </w:r>
              <w:r>
                <w:rPr>
                  <w:rFonts w:cs="Cambria"/>
                </w:rPr>
                <w:fldChar w:fldCharType="end"/>
              </w:r>
              <w:r>
                <w:rPr>
                  <w:rFonts w:cs="Cambria"/>
                </w:rPr>
                <w:fldChar w:fldCharType="begin"/>
              </w:r>
              <w:r w:rsidR="005C40A6">
                <w:rPr>
                  <w:rFonts w:cs="Cambria"/>
                </w:rPr>
                <w:instrText xml:space="preserve"> MACROBUTTON  SnrToggleCheckbox √不适用 </w:instrText>
              </w:r>
              <w:r>
                <w:rPr>
                  <w:rFonts w:cs="Cambria"/>
                </w:rPr>
                <w:fldChar w:fldCharType="end"/>
              </w:r>
            </w:p>
          </w:sdtContent>
        </w:sdt>
        <w:p w:rsidR="00806678" w:rsidRDefault="00F80B6C">
          <w:pPr>
            <w:rPr>
              <w:rFonts w:ascii="Cambria" w:hAnsi="Cambria" w:cs="Cambria"/>
              <w:sz w:val="20"/>
              <w:szCs w:val="20"/>
            </w:rPr>
          </w:pPr>
        </w:p>
      </w:sdtContent>
    </w:sdt>
    <w:sdt>
      <w:sdtPr>
        <w:rPr>
          <w:rFonts w:ascii="宋体" w:eastAsia="宋体" w:hAnsi="宋体" w:cs="宋体" w:hint="eastAsia"/>
          <w:b w:val="0"/>
          <w:bCs w:val="0"/>
          <w:kern w:val="0"/>
          <w:szCs w:val="24"/>
        </w:rPr>
        <w:alias w:val="模块:关联方资金拆借"/>
        <w:tag w:val="_SEC_e662f655e98144708ee022291e4d2c28"/>
        <w:id w:val="-1643121640"/>
        <w:lock w:val="sdtLocked"/>
        <w:placeholder>
          <w:docPart w:val="GBC22222222222222222222222222222"/>
        </w:placeholder>
      </w:sdtPr>
      <w:sdtEndPr>
        <w:rPr>
          <w:rFonts w:cstheme="minorBidi" w:hint="default"/>
          <w:szCs w:val="21"/>
        </w:rPr>
      </w:sdtEndPr>
      <w:sdtContent>
        <w:p w:rsidR="00806678" w:rsidRDefault="00B16377" w:rsidP="00FF17C7">
          <w:pPr>
            <w:pStyle w:val="4"/>
            <w:numPr>
              <w:ilvl w:val="3"/>
              <w:numId w:val="105"/>
            </w:numPr>
            <w:ind w:left="424" w:hangingChars="202" w:hanging="424"/>
          </w:pPr>
          <w:r>
            <w:rPr>
              <w:rFonts w:hint="eastAsia"/>
            </w:rPr>
            <w:t>关联方资金拆借</w:t>
          </w:r>
        </w:p>
        <w:sdt>
          <w:sdtPr>
            <w:alias w:val="是否适用：关联方资金拆借[双击切换]"/>
            <w:tag w:val="_GBC_9b5630a86e1e452494249106e2600b15"/>
            <w:id w:val="-684129372"/>
            <w:lock w:val="sdtLocked"/>
            <w:placeholder>
              <w:docPart w:val="GBC22222222222222222222222222222"/>
            </w:placeholder>
          </w:sdtPr>
          <w:sdtContent>
            <w:p w:rsidR="00C01624" w:rsidRDefault="00F80B6C" w:rsidP="005C40A6">
              <w:r>
                <w:fldChar w:fldCharType="begin"/>
              </w:r>
              <w:r w:rsidR="005C40A6">
                <w:instrText xml:space="preserve">MACROBUTTON  SnrToggleCheckbox □适用 </w:instrText>
              </w:r>
              <w:r>
                <w:fldChar w:fldCharType="end"/>
              </w:r>
              <w:r>
                <w:fldChar w:fldCharType="begin"/>
              </w:r>
              <w:r w:rsidR="005C40A6">
                <w:instrText xml:space="preserve"> MACROBUTTON  SnrToggleCheckbox √不适用 </w:instrText>
              </w:r>
              <w:r>
                <w:fldChar w:fldCharType="end"/>
              </w:r>
            </w:p>
            <w:p w:rsidR="00806678" w:rsidRDefault="00F80B6C" w:rsidP="005C40A6">
              <w:pPr>
                <w:rPr>
                  <w:szCs w:val="21"/>
                </w:rPr>
              </w:pPr>
            </w:p>
          </w:sdtContent>
        </w:sdt>
      </w:sdtContent>
    </w:sdt>
    <w:sdt>
      <w:sdtPr>
        <w:rPr>
          <w:rFonts w:ascii="宋体" w:eastAsia="宋体" w:hAnsi="宋体" w:cs="宋体" w:hint="eastAsia"/>
          <w:b w:val="0"/>
          <w:bCs w:val="0"/>
          <w:kern w:val="0"/>
          <w:szCs w:val="24"/>
        </w:rPr>
        <w:alias w:val="模块:关联方资产转让、债务重组情况"/>
        <w:tag w:val="_SEC_d9d6435f8ac54597b97d51dd0f61d03f"/>
        <w:id w:val="2106541084"/>
        <w:lock w:val="sdtLocked"/>
        <w:placeholder>
          <w:docPart w:val="GBC22222222222222222222222222222"/>
        </w:placeholder>
      </w:sdtPr>
      <w:sdtEndPr>
        <w:rPr>
          <w:rFonts w:hint="default"/>
        </w:rPr>
      </w:sdtEndPr>
      <w:sdtContent>
        <w:p w:rsidR="00806678" w:rsidRDefault="00B16377" w:rsidP="00FF17C7">
          <w:pPr>
            <w:pStyle w:val="4"/>
            <w:numPr>
              <w:ilvl w:val="3"/>
              <w:numId w:val="105"/>
            </w:numPr>
            <w:ind w:left="424" w:hangingChars="202" w:hanging="424"/>
          </w:pPr>
          <w:r>
            <w:rPr>
              <w:rFonts w:hint="eastAsia"/>
            </w:rPr>
            <w:t>关联方资产转让、债务重组情况</w:t>
          </w:r>
        </w:p>
        <w:sdt>
          <w:sdtPr>
            <w:alias w:val="是否适用：关联方资产转让、债务重组情况[双击切换]"/>
            <w:tag w:val="_GBC_6f8fce72ce784c23aba8af28c51de336"/>
            <w:id w:val="-1433501930"/>
            <w:lock w:val="sdtLocked"/>
            <w:placeholder>
              <w:docPart w:val="GBC22222222222222222222222222222"/>
            </w:placeholder>
          </w:sdtPr>
          <w:sdtContent>
            <w:p w:rsidR="00806678" w:rsidRDefault="00F80B6C">
              <w:r>
                <w:fldChar w:fldCharType="begin"/>
              </w:r>
              <w:r w:rsidR="005C40A6">
                <w:instrText xml:space="preserve">MACROBUTTON  SnrToggleCheckbox √适用 </w:instrText>
              </w:r>
              <w:r>
                <w:fldChar w:fldCharType="end"/>
              </w:r>
              <w:r>
                <w:fldChar w:fldCharType="begin"/>
              </w:r>
              <w:r w:rsidR="005C40A6">
                <w:instrText xml:space="preserve"> MACROBUTTON  SnrToggleCheckbox □不适用 </w:instrText>
              </w:r>
              <w:r>
                <w:fldChar w:fldCharType="end"/>
              </w:r>
            </w:p>
          </w:sdtContent>
        </w:sdt>
        <w:p w:rsidR="00806678" w:rsidRDefault="00B16377">
          <w:pPr>
            <w:jc w:val="right"/>
            <w:rPr>
              <w:szCs w:val="21"/>
            </w:rPr>
          </w:pPr>
          <w:r>
            <w:rPr>
              <w:rFonts w:hint="eastAsia"/>
              <w:szCs w:val="21"/>
            </w:rPr>
            <w:t>单位：</w:t>
          </w:r>
          <w:sdt>
            <w:sdtPr>
              <w:rPr>
                <w:rFonts w:hint="eastAsia"/>
                <w:szCs w:val="21"/>
              </w:rPr>
              <w:alias w:val="单位：关联方资产转让、债务重组情况"/>
              <w:tag w:val="_GBC_11798a48ec2f45e49b07d6c9abc571a5"/>
              <w:id w:val="109799207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关联方资产转让、债务重组情况"/>
              <w:tag w:val="_GBC_ae7ae62d8d5c4a7f82a3664f4e9abebf"/>
              <w:id w:val="-47615026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Look w:val="0000"/>
          </w:tblPr>
          <w:tblGrid>
            <w:gridCol w:w="3509"/>
            <w:gridCol w:w="2411"/>
            <w:gridCol w:w="1424"/>
            <w:gridCol w:w="1705"/>
          </w:tblGrid>
          <w:tr w:rsidR="0029490B" w:rsidTr="00DB008B">
            <w:trPr>
              <w:trHeight w:val="324"/>
            </w:trPr>
            <w:sdt>
              <w:sdtPr>
                <w:rPr>
                  <w:rFonts w:asciiTheme="majorEastAsia" w:eastAsiaTheme="majorEastAsia" w:hAnsiTheme="majorEastAsia"/>
                </w:rPr>
                <w:tag w:val="_PLD_22ce680888944f14b3e7264684be604e"/>
                <w:id w:val="-902672266"/>
                <w:lock w:val="sdtLocked"/>
              </w:sdtPr>
              <w:sdtContent>
                <w:tc>
                  <w:tcPr>
                    <w:tcW w:w="1939" w:type="pct"/>
                    <w:tcBorders>
                      <w:top w:val="single" w:sz="4" w:space="0" w:color="auto"/>
                      <w:left w:val="single" w:sz="4" w:space="0" w:color="auto"/>
                      <w:bottom w:val="single" w:sz="4" w:space="0" w:color="auto"/>
                      <w:right w:val="single" w:sz="4" w:space="0" w:color="auto"/>
                    </w:tcBorders>
                    <w:vAlign w:val="center"/>
                  </w:tcPr>
                  <w:p w:rsidR="0029490B" w:rsidRPr="005C40A6" w:rsidRDefault="0029490B" w:rsidP="00DB008B">
                    <w:pPr>
                      <w:jc w:val="center"/>
                      <w:rPr>
                        <w:rFonts w:asciiTheme="majorEastAsia" w:eastAsiaTheme="majorEastAsia" w:hAnsiTheme="majorEastAsia"/>
                        <w:szCs w:val="21"/>
                      </w:rPr>
                    </w:pPr>
                    <w:r w:rsidRPr="005C40A6">
                      <w:rPr>
                        <w:rFonts w:asciiTheme="majorEastAsia" w:eastAsiaTheme="majorEastAsia" w:hAnsiTheme="majorEastAsia" w:hint="eastAsia"/>
                        <w:szCs w:val="21"/>
                      </w:rPr>
                      <w:t>关联方</w:t>
                    </w:r>
                  </w:p>
                </w:tc>
              </w:sdtContent>
            </w:sdt>
            <w:sdt>
              <w:sdtPr>
                <w:rPr>
                  <w:rFonts w:asciiTheme="majorEastAsia" w:eastAsiaTheme="majorEastAsia" w:hAnsiTheme="majorEastAsia"/>
                </w:rPr>
                <w:tag w:val="_PLD_7ddb67ea8a4948d4a2436ccd4c3a53a7"/>
                <w:id w:val="80803736"/>
                <w:lock w:val="sdtLocked"/>
              </w:sdtPr>
              <w:sdtContent>
                <w:tc>
                  <w:tcPr>
                    <w:tcW w:w="1332" w:type="pct"/>
                    <w:tcBorders>
                      <w:top w:val="single" w:sz="4" w:space="0" w:color="auto"/>
                      <w:left w:val="single" w:sz="4" w:space="0" w:color="auto"/>
                      <w:bottom w:val="single" w:sz="4" w:space="0" w:color="auto"/>
                      <w:right w:val="single" w:sz="4" w:space="0" w:color="auto"/>
                    </w:tcBorders>
                    <w:vAlign w:val="center"/>
                  </w:tcPr>
                  <w:p w:rsidR="0029490B" w:rsidRPr="005C40A6" w:rsidRDefault="0029490B" w:rsidP="00DB008B">
                    <w:pPr>
                      <w:jc w:val="center"/>
                      <w:rPr>
                        <w:rFonts w:asciiTheme="majorEastAsia" w:eastAsiaTheme="majorEastAsia" w:hAnsiTheme="majorEastAsia"/>
                        <w:szCs w:val="21"/>
                      </w:rPr>
                    </w:pPr>
                    <w:r w:rsidRPr="005C40A6">
                      <w:rPr>
                        <w:rFonts w:asciiTheme="majorEastAsia" w:eastAsiaTheme="majorEastAsia" w:hAnsiTheme="majorEastAsia" w:hint="eastAsia"/>
                        <w:szCs w:val="21"/>
                      </w:rPr>
                      <w:t>关联交易内容</w:t>
                    </w:r>
                  </w:p>
                </w:tc>
              </w:sdtContent>
            </w:sdt>
            <w:sdt>
              <w:sdtPr>
                <w:rPr>
                  <w:rFonts w:asciiTheme="majorEastAsia" w:eastAsiaTheme="majorEastAsia" w:hAnsiTheme="majorEastAsia"/>
                </w:rPr>
                <w:tag w:val="_PLD_d6af393840d741f1884a5e969b07e0e0"/>
                <w:id w:val="-197316727"/>
                <w:lock w:val="sdtLocked"/>
              </w:sdtPr>
              <w:sdtContent>
                <w:tc>
                  <w:tcPr>
                    <w:tcW w:w="787" w:type="pct"/>
                    <w:tcBorders>
                      <w:top w:val="single" w:sz="4" w:space="0" w:color="auto"/>
                      <w:left w:val="single" w:sz="4" w:space="0" w:color="auto"/>
                      <w:right w:val="single" w:sz="4" w:space="0" w:color="auto"/>
                    </w:tcBorders>
                    <w:vAlign w:val="center"/>
                  </w:tcPr>
                  <w:p w:rsidR="0029490B" w:rsidRPr="005C40A6" w:rsidRDefault="0029490B" w:rsidP="00DB008B">
                    <w:pPr>
                      <w:jc w:val="center"/>
                      <w:rPr>
                        <w:rFonts w:asciiTheme="majorEastAsia" w:eastAsiaTheme="majorEastAsia" w:hAnsiTheme="majorEastAsia"/>
                        <w:szCs w:val="21"/>
                      </w:rPr>
                    </w:pPr>
                    <w:r w:rsidRPr="005C40A6">
                      <w:rPr>
                        <w:rFonts w:asciiTheme="majorEastAsia" w:eastAsiaTheme="majorEastAsia" w:hAnsiTheme="majorEastAsia" w:hint="eastAsia"/>
                        <w:szCs w:val="21"/>
                      </w:rPr>
                      <w:t>本期发生额</w:t>
                    </w:r>
                  </w:p>
                </w:tc>
              </w:sdtContent>
            </w:sdt>
            <w:sdt>
              <w:sdtPr>
                <w:rPr>
                  <w:rFonts w:asciiTheme="majorEastAsia" w:eastAsiaTheme="majorEastAsia" w:hAnsiTheme="majorEastAsia"/>
                </w:rPr>
                <w:tag w:val="_PLD_b93cea02524a421badcc18b1374e1edb"/>
                <w:id w:val="-52934508"/>
                <w:lock w:val="sdtLocked"/>
              </w:sdtPr>
              <w:sdtContent>
                <w:tc>
                  <w:tcPr>
                    <w:tcW w:w="942" w:type="pct"/>
                    <w:tcBorders>
                      <w:top w:val="single" w:sz="4" w:space="0" w:color="auto"/>
                      <w:left w:val="single" w:sz="4" w:space="0" w:color="auto"/>
                      <w:right w:val="single" w:sz="4" w:space="0" w:color="auto"/>
                    </w:tcBorders>
                    <w:vAlign w:val="center"/>
                  </w:tcPr>
                  <w:p w:rsidR="0029490B" w:rsidRPr="005C40A6" w:rsidRDefault="0029490B" w:rsidP="00DB008B">
                    <w:pPr>
                      <w:jc w:val="center"/>
                      <w:rPr>
                        <w:rFonts w:asciiTheme="majorEastAsia" w:eastAsiaTheme="majorEastAsia" w:hAnsiTheme="majorEastAsia"/>
                        <w:szCs w:val="21"/>
                      </w:rPr>
                    </w:pPr>
                    <w:r w:rsidRPr="005C40A6">
                      <w:rPr>
                        <w:rFonts w:asciiTheme="majorEastAsia" w:eastAsiaTheme="majorEastAsia" w:hAnsiTheme="majorEastAsia" w:hint="eastAsia"/>
                        <w:szCs w:val="21"/>
                      </w:rPr>
                      <w:t>上期发生额</w:t>
                    </w:r>
                  </w:p>
                </w:tc>
              </w:sdtContent>
            </w:sdt>
          </w:tr>
          <w:sdt>
            <w:sdtPr>
              <w:rPr>
                <w:rFonts w:asciiTheme="majorEastAsia" w:eastAsiaTheme="majorEastAsia" w:hAnsiTheme="majorEastAsia" w:hint="eastAsia"/>
                <w:szCs w:val="21"/>
              </w:rPr>
              <w:alias w:val="关联方资产转让、债务重组情况明细"/>
              <w:tag w:val="_TUP_406c9f28d38a4e8db9cabf711831f923"/>
              <w:id w:val="-1693223209"/>
              <w:lock w:val="sdtLocked"/>
            </w:sdtPr>
            <w:sdtContent>
              <w:tr w:rsidR="0029490B" w:rsidTr="00DB008B">
                <w:tc>
                  <w:tcPr>
                    <w:tcW w:w="1939" w:type="pct"/>
                    <w:tcBorders>
                      <w:top w:val="single" w:sz="4" w:space="0" w:color="auto"/>
                      <w:left w:val="single" w:sz="4" w:space="0" w:color="auto"/>
                      <w:bottom w:val="single" w:sz="4" w:space="0" w:color="auto"/>
                      <w:right w:val="single" w:sz="4" w:space="0" w:color="auto"/>
                    </w:tcBorders>
                  </w:tcPr>
                  <w:p w:rsidR="0029490B" w:rsidRPr="005C40A6" w:rsidRDefault="0029490B" w:rsidP="00DB008B">
                    <w:pPr>
                      <w:rPr>
                        <w:rFonts w:asciiTheme="majorEastAsia" w:eastAsiaTheme="majorEastAsia" w:hAnsiTheme="majorEastAsia"/>
                        <w:szCs w:val="21"/>
                      </w:rPr>
                    </w:pPr>
                    <w:r w:rsidRPr="005C40A6">
                      <w:rPr>
                        <w:rFonts w:asciiTheme="majorEastAsia" w:eastAsiaTheme="majorEastAsia" w:hAnsiTheme="majorEastAsia"/>
                      </w:rPr>
                      <w:t>国铁集团及其下属单位</w:t>
                    </w:r>
                  </w:p>
                </w:tc>
                <w:tc>
                  <w:tcPr>
                    <w:tcW w:w="1332" w:type="pct"/>
                    <w:tcBorders>
                      <w:top w:val="single" w:sz="4" w:space="0" w:color="auto"/>
                      <w:left w:val="single" w:sz="4" w:space="0" w:color="auto"/>
                      <w:bottom w:val="single" w:sz="4" w:space="0" w:color="auto"/>
                      <w:right w:val="single" w:sz="4" w:space="0" w:color="auto"/>
                    </w:tcBorders>
                    <w:vAlign w:val="center"/>
                  </w:tcPr>
                  <w:p w:rsidR="0029490B" w:rsidRPr="005C40A6" w:rsidRDefault="0029490B" w:rsidP="00DB008B">
                    <w:pPr>
                      <w:rPr>
                        <w:rFonts w:asciiTheme="majorEastAsia" w:eastAsiaTheme="majorEastAsia" w:hAnsiTheme="majorEastAsia"/>
                        <w:szCs w:val="21"/>
                      </w:rPr>
                    </w:pPr>
                    <w:r w:rsidRPr="005C40A6">
                      <w:rPr>
                        <w:rFonts w:asciiTheme="majorEastAsia" w:eastAsiaTheme="majorEastAsia" w:hAnsiTheme="majorEastAsia"/>
                      </w:rPr>
                      <w:t>设备采购及外购工程</w:t>
                    </w:r>
                    <w:r w:rsidRPr="005C40A6">
                      <w:rPr>
                        <w:rFonts w:asciiTheme="majorEastAsia" w:eastAsiaTheme="majorEastAsia" w:hAnsiTheme="majorEastAsia" w:cs="PMingLiU" w:hint="eastAsia"/>
                      </w:rPr>
                      <w:t>等</w:t>
                    </w:r>
                  </w:p>
                </w:tc>
                <w:tc>
                  <w:tcPr>
                    <w:tcW w:w="787" w:type="pct"/>
                    <w:tcBorders>
                      <w:top w:val="single" w:sz="4" w:space="0" w:color="auto"/>
                      <w:left w:val="single" w:sz="4" w:space="0" w:color="auto"/>
                      <w:bottom w:val="single" w:sz="4" w:space="0" w:color="auto"/>
                      <w:right w:val="single" w:sz="4" w:space="0" w:color="auto"/>
                    </w:tcBorders>
                    <w:vAlign w:val="center"/>
                  </w:tcPr>
                  <w:p w:rsidR="0029490B" w:rsidRPr="005C40A6" w:rsidRDefault="0029490B" w:rsidP="00DB008B">
                    <w:pPr>
                      <w:jc w:val="right"/>
                      <w:rPr>
                        <w:rFonts w:asciiTheme="majorEastAsia" w:eastAsiaTheme="majorEastAsia" w:hAnsiTheme="majorEastAsia"/>
                        <w:szCs w:val="21"/>
                      </w:rPr>
                    </w:pPr>
                    <w:r w:rsidRPr="005C40A6">
                      <w:rPr>
                        <w:rFonts w:asciiTheme="majorEastAsia" w:eastAsiaTheme="majorEastAsia" w:hAnsiTheme="majorEastAsia"/>
                      </w:rPr>
                      <w:t>85,248,634</w:t>
                    </w:r>
                  </w:p>
                </w:tc>
                <w:tc>
                  <w:tcPr>
                    <w:tcW w:w="942" w:type="pct"/>
                    <w:tcBorders>
                      <w:top w:val="single" w:sz="4" w:space="0" w:color="auto"/>
                      <w:left w:val="single" w:sz="4" w:space="0" w:color="auto"/>
                      <w:bottom w:val="single" w:sz="4" w:space="0" w:color="auto"/>
                      <w:right w:val="single" w:sz="4" w:space="0" w:color="auto"/>
                    </w:tcBorders>
                  </w:tcPr>
                  <w:p w:rsidR="0029490B" w:rsidRPr="005C40A6" w:rsidRDefault="0029490B" w:rsidP="00DB008B">
                    <w:pPr>
                      <w:jc w:val="right"/>
                      <w:rPr>
                        <w:rFonts w:asciiTheme="majorEastAsia" w:eastAsiaTheme="majorEastAsia" w:hAnsiTheme="majorEastAsia"/>
                        <w:szCs w:val="21"/>
                      </w:rPr>
                    </w:pPr>
                    <w:r w:rsidRPr="005C40A6">
                      <w:rPr>
                        <w:rFonts w:asciiTheme="majorEastAsia" w:eastAsiaTheme="majorEastAsia" w:hAnsiTheme="majorEastAsia"/>
                      </w:rPr>
                      <w:t>73,792,232</w:t>
                    </w:r>
                  </w:p>
                </w:tc>
              </w:tr>
            </w:sdtContent>
          </w:sdt>
          <w:sdt>
            <w:sdtPr>
              <w:rPr>
                <w:rFonts w:asciiTheme="majorEastAsia" w:eastAsiaTheme="majorEastAsia" w:hAnsiTheme="majorEastAsia" w:hint="eastAsia"/>
                <w:szCs w:val="21"/>
              </w:rPr>
              <w:alias w:val="关联方资产转让、债务重组情况明细"/>
              <w:tag w:val="_TUP_406c9f28d38a4e8db9cabf711831f923"/>
              <w:id w:val="1798875023"/>
              <w:lock w:val="sdtLocked"/>
            </w:sdtPr>
            <w:sdtContent>
              <w:tr w:rsidR="0029490B" w:rsidTr="00DB008B">
                <w:tc>
                  <w:tcPr>
                    <w:tcW w:w="1939" w:type="pct"/>
                    <w:tcBorders>
                      <w:top w:val="single" w:sz="4" w:space="0" w:color="auto"/>
                      <w:left w:val="single" w:sz="4" w:space="0" w:color="auto"/>
                      <w:bottom w:val="single" w:sz="4" w:space="0" w:color="auto"/>
                      <w:right w:val="single" w:sz="4" w:space="0" w:color="auto"/>
                    </w:tcBorders>
                  </w:tcPr>
                  <w:p w:rsidR="0029490B" w:rsidRPr="005C40A6" w:rsidRDefault="0029490B" w:rsidP="00DB008B">
                    <w:pPr>
                      <w:rPr>
                        <w:rFonts w:asciiTheme="majorEastAsia" w:eastAsiaTheme="majorEastAsia" w:hAnsiTheme="majorEastAsia"/>
                        <w:szCs w:val="21"/>
                      </w:rPr>
                    </w:pPr>
                    <w:r w:rsidRPr="005C40A6">
                      <w:rPr>
                        <w:rFonts w:asciiTheme="majorEastAsia" w:eastAsiaTheme="majorEastAsia" w:hAnsiTheme="majorEastAsia"/>
                      </w:rPr>
                      <w:t>其中：太原局集团公司及其下属单位</w:t>
                    </w:r>
                  </w:p>
                </w:tc>
                <w:tc>
                  <w:tcPr>
                    <w:tcW w:w="1332" w:type="pct"/>
                    <w:tcBorders>
                      <w:top w:val="single" w:sz="4" w:space="0" w:color="auto"/>
                      <w:left w:val="single" w:sz="4" w:space="0" w:color="auto"/>
                      <w:bottom w:val="single" w:sz="4" w:space="0" w:color="auto"/>
                      <w:right w:val="single" w:sz="4" w:space="0" w:color="auto"/>
                    </w:tcBorders>
                    <w:vAlign w:val="center"/>
                  </w:tcPr>
                  <w:p w:rsidR="0029490B" w:rsidRPr="005C40A6" w:rsidRDefault="0029490B" w:rsidP="00DB008B">
                    <w:pPr>
                      <w:rPr>
                        <w:rFonts w:asciiTheme="majorEastAsia" w:eastAsiaTheme="majorEastAsia" w:hAnsiTheme="majorEastAsia"/>
                        <w:szCs w:val="21"/>
                      </w:rPr>
                    </w:pPr>
                    <w:r w:rsidRPr="005C40A6">
                      <w:rPr>
                        <w:rFonts w:asciiTheme="majorEastAsia" w:eastAsiaTheme="majorEastAsia" w:hAnsiTheme="majorEastAsia" w:cs="PMingLiU" w:hint="eastAsia"/>
                      </w:rPr>
                      <w:t>设备采购及外购工程等</w:t>
                    </w:r>
                  </w:p>
                </w:tc>
                <w:tc>
                  <w:tcPr>
                    <w:tcW w:w="787" w:type="pct"/>
                    <w:tcBorders>
                      <w:top w:val="single" w:sz="4" w:space="0" w:color="auto"/>
                      <w:left w:val="single" w:sz="4" w:space="0" w:color="auto"/>
                      <w:bottom w:val="single" w:sz="4" w:space="0" w:color="auto"/>
                      <w:right w:val="single" w:sz="4" w:space="0" w:color="auto"/>
                    </w:tcBorders>
                    <w:vAlign w:val="center"/>
                  </w:tcPr>
                  <w:p w:rsidR="0029490B" w:rsidRPr="005C40A6" w:rsidRDefault="0029490B" w:rsidP="00DB008B">
                    <w:pPr>
                      <w:jc w:val="right"/>
                      <w:rPr>
                        <w:rFonts w:asciiTheme="majorEastAsia" w:eastAsiaTheme="majorEastAsia" w:hAnsiTheme="majorEastAsia"/>
                        <w:szCs w:val="21"/>
                      </w:rPr>
                    </w:pPr>
                    <w:r w:rsidRPr="005C40A6">
                      <w:rPr>
                        <w:rFonts w:asciiTheme="majorEastAsia" w:eastAsiaTheme="majorEastAsia" w:hAnsiTheme="majorEastAsia"/>
                      </w:rPr>
                      <w:t>69,525,438</w:t>
                    </w:r>
                  </w:p>
                </w:tc>
                <w:tc>
                  <w:tcPr>
                    <w:tcW w:w="942" w:type="pct"/>
                    <w:tcBorders>
                      <w:top w:val="single" w:sz="4" w:space="0" w:color="auto"/>
                      <w:left w:val="single" w:sz="4" w:space="0" w:color="auto"/>
                      <w:bottom w:val="single" w:sz="4" w:space="0" w:color="auto"/>
                      <w:right w:val="single" w:sz="4" w:space="0" w:color="auto"/>
                    </w:tcBorders>
                  </w:tcPr>
                  <w:p w:rsidR="0029490B" w:rsidRPr="005C40A6" w:rsidRDefault="0029490B" w:rsidP="00DB008B">
                    <w:pPr>
                      <w:jc w:val="right"/>
                      <w:rPr>
                        <w:rFonts w:asciiTheme="majorEastAsia" w:eastAsiaTheme="majorEastAsia" w:hAnsiTheme="majorEastAsia"/>
                        <w:szCs w:val="21"/>
                      </w:rPr>
                    </w:pPr>
                    <w:r w:rsidRPr="005C40A6">
                      <w:rPr>
                        <w:rFonts w:asciiTheme="majorEastAsia" w:eastAsiaTheme="majorEastAsia" w:hAnsiTheme="majorEastAsia"/>
                      </w:rPr>
                      <w:t>68,907,276</w:t>
                    </w:r>
                  </w:p>
                </w:tc>
              </w:tr>
            </w:sdtContent>
          </w:sdt>
          <w:sdt>
            <w:sdtPr>
              <w:rPr>
                <w:rFonts w:asciiTheme="majorEastAsia" w:eastAsiaTheme="majorEastAsia" w:hAnsiTheme="majorEastAsia" w:hint="eastAsia"/>
                <w:szCs w:val="21"/>
              </w:rPr>
              <w:alias w:val="关联方资产转让、债务重组情况明细"/>
              <w:tag w:val="_TUP_406c9f28d38a4e8db9cabf711831f923"/>
              <w:id w:val="1953203777"/>
              <w:lock w:val="sdtLocked"/>
            </w:sdtPr>
            <w:sdtContent>
              <w:tr w:rsidR="0029490B" w:rsidTr="00DB008B">
                <w:tc>
                  <w:tcPr>
                    <w:tcW w:w="1939" w:type="pct"/>
                    <w:tcBorders>
                      <w:top w:val="single" w:sz="4" w:space="0" w:color="auto"/>
                      <w:left w:val="single" w:sz="4" w:space="0" w:color="auto"/>
                      <w:bottom w:val="single" w:sz="4" w:space="0" w:color="auto"/>
                      <w:right w:val="single" w:sz="4" w:space="0" w:color="auto"/>
                    </w:tcBorders>
                  </w:tcPr>
                  <w:p w:rsidR="0029490B" w:rsidRPr="005C40A6" w:rsidRDefault="0029490B" w:rsidP="00DB008B">
                    <w:pPr>
                      <w:rPr>
                        <w:rFonts w:asciiTheme="majorEastAsia" w:eastAsiaTheme="majorEastAsia" w:hAnsiTheme="majorEastAsia"/>
                        <w:szCs w:val="21"/>
                      </w:rPr>
                    </w:pPr>
                    <w:r w:rsidRPr="005C40A6">
                      <w:rPr>
                        <w:rFonts w:asciiTheme="majorEastAsia" w:eastAsiaTheme="majorEastAsia" w:hAnsiTheme="majorEastAsia"/>
                      </w:rPr>
                      <w:t>太原局集团公司及其下属单位</w:t>
                    </w:r>
                  </w:p>
                </w:tc>
                <w:tc>
                  <w:tcPr>
                    <w:tcW w:w="1332" w:type="pct"/>
                    <w:tcBorders>
                      <w:top w:val="single" w:sz="4" w:space="0" w:color="auto"/>
                      <w:left w:val="single" w:sz="4" w:space="0" w:color="auto"/>
                      <w:bottom w:val="single" w:sz="4" w:space="0" w:color="auto"/>
                      <w:right w:val="single" w:sz="4" w:space="0" w:color="auto"/>
                    </w:tcBorders>
                    <w:vAlign w:val="center"/>
                  </w:tcPr>
                  <w:p w:rsidR="0029490B" w:rsidRPr="005C40A6" w:rsidRDefault="0029490B" w:rsidP="00DB008B">
                    <w:pPr>
                      <w:rPr>
                        <w:rFonts w:asciiTheme="majorEastAsia" w:eastAsiaTheme="majorEastAsia" w:hAnsiTheme="majorEastAsia"/>
                        <w:szCs w:val="21"/>
                      </w:rPr>
                    </w:pPr>
                    <w:r w:rsidRPr="005C40A6">
                      <w:rPr>
                        <w:rFonts w:asciiTheme="majorEastAsia" w:eastAsiaTheme="majorEastAsia" w:hAnsiTheme="majorEastAsia" w:cs="PMingLiU" w:hint="eastAsia"/>
                      </w:rPr>
                      <w:t>股权收购</w:t>
                    </w:r>
                  </w:p>
                </w:tc>
                <w:tc>
                  <w:tcPr>
                    <w:tcW w:w="787" w:type="pct"/>
                    <w:tcBorders>
                      <w:top w:val="single" w:sz="4" w:space="0" w:color="auto"/>
                      <w:left w:val="single" w:sz="4" w:space="0" w:color="auto"/>
                      <w:bottom w:val="single" w:sz="4" w:space="0" w:color="auto"/>
                      <w:right w:val="single" w:sz="4" w:space="0" w:color="auto"/>
                    </w:tcBorders>
                    <w:vAlign w:val="center"/>
                  </w:tcPr>
                  <w:p w:rsidR="0029490B" w:rsidRPr="005C40A6" w:rsidRDefault="0029490B" w:rsidP="00DB008B">
                    <w:pPr>
                      <w:jc w:val="right"/>
                      <w:rPr>
                        <w:rFonts w:asciiTheme="majorEastAsia" w:eastAsiaTheme="majorEastAsia" w:hAnsiTheme="majorEastAsia"/>
                        <w:szCs w:val="21"/>
                      </w:rPr>
                    </w:pPr>
                    <w:r w:rsidRPr="005C40A6">
                      <w:rPr>
                        <w:rFonts w:asciiTheme="majorEastAsia" w:eastAsiaTheme="majorEastAsia" w:hAnsiTheme="majorEastAsia"/>
                      </w:rPr>
                      <w:t>0</w:t>
                    </w:r>
                  </w:p>
                </w:tc>
                <w:tc>
                  <w:tcPr>
                    <w:tcW w:w="942" w:type="pct"/>
                    <w:tcBorders>
                      <w:top w:val="single" w:sz="4" w:space="0" w:color="auto"/>
                      <w:left w:val="single" w:sz="4" w:space="0" w:color="auto"/>
                      <w:bottom w:val="single" w:sz="4" w:space="0" w:color="auto"/>
                      <w:right w:val="single" w:sz="4" w:space="0" w:color="auto"/>
                    </w:tcBorders>
                  </w:tcPr>
                  <w:p w:rsidR="0029490B" w:rsidRPr="005C40A6" w:rsidRDefault="0029490B" w:rsidP="00DB008B">
                    <w:pPr>
                      <w:jc w:val="right"/>
                      <w:rPr>
                        <w:rFonts w:asciiTheme="majorEastAsia" w:eastAsiaTheme="majorEastAsia" w:hAnsiTheme="majorEastAsia"/>
                        <w:szCs w:val="21"/>
                      </w:rPr>
                    </w:pPr>
                    <w:r w:rsidRPr="005C40A6">
                      <w:rPr>
                        <w:rFonts w:asciiTheme="majorEastAsia" w:eastAsiaTheme="majorEastAsia" w:hAnsiTheme="majorEastAsia"/>
                      </w:rPr>
                      <w:t>3,980,250,900</w:t>
                    </w:r>
                  </w:p>
                </w:tc>
              </w:tr>
            </w:sdtContent>
          </w:sdt>
        </w:tbl>
        <w:p w:rsidR="00806678" w:rsidRDefault="00F80B6C"/>
      </w:sdtContent>
    </w:sdt>
    <w:sdt>
      <w:sdtPr>
        <w:rPr>
          <w:rFonts w:ascii="宋体" w:eastAsia="宋体" w:hAnsi="宋体" w:cs="宋体" w:hint="eastAsia"/>
          <w:b w:val="0"/>
          <w:bCs w:val="0"/>
          <w:kern w:val="0"/>
          <w:szCs w:val="24"/>
        </w:rPr>
        <w:alias w:val="模块:关键管理人员报酬"/>
        <w:tag w:val="_SEC_3b5cc9d011f04ea3b064e0de02da00f5"/>
        <w:id w:val="854622726"/>
        <w:lock w:val="sdtLocked"/>
        <w:placeholder>
          <w:docPart w:val="GBC22222222222222222222222222222"/>
        </w:placeholder>
      </w:sdtPr>
      <w:sdtEndPr>
        <w:rPr>
          <w:rFonts w:hint="default"/>
        </w:rPr>
      </w:sdtEndPr>
      <w:sdtContent>
        <w:p w:rsidR="00806678" w:rsidRDefault="00B16377" w:rsidP="00FF17C7">
          <w:pPr>
            <w:pStyle w:val="4"/>
            <w:numPr>
              <w:ilvl w:val="3"/>
              <w:numId w:val="105"/>
            </w:numPr>
            <w:ind w:left="424" w:hangingChars="202" w:hanging="424"/>
          </w:pPr>
          <w:r>
            <w:rPr>
              <w:rFonts w:hint="eastAsia"/>
            </w:rPr>
            <w:t>关键管理人员报酬</w:t>
          </w:r>
        </w:p>
        <w:sdt>
          <w:sdtPr>
            <w:alias w:val="是否适用：关键管理人员报酬[双击切换]"/>
            <w:tag w:val="_GBC_4768ccd806f845f4b6f5f0ec038ec747"/>
            <w:id w:val="-1833674608"/>
            <w:lock w:val="sdtLocked"/>
            <w:placeholder>
              <w:docPart w:val="GBC22222222222222222222222222222"/>
            </w:placeholder>
          </w:sdtPr>
          <w:sdtContent>
            <w:p w:rsidR="00806678" w:rsidRDefault="00F80B6C">
              <w:r>
                <w:fldChar w:fldCharType="begin"/>
              </w:r>
              <w:r w:rsidR="009C54D9">
                <w:instrText xml:space="preserve">MACROBUTTON  SnrToggleCheckbox √适用 </w:instrText>
              </w:r>
              <w:r>
                <w:fldChar w:fldCharType="end"/>
              </w:r>
              <w:r>
                <w:fldChar w:fldCharType="begin"/>
              </w:r>
              <w:r w:rsidR="009C54D9">
                <w:instrText xml:space="preserve"> MACROBUTTON  SnrToggleCheckbox □不适用 </w:instrText>
              </w:r>
              <w:r>
                <w:fldChar w:fldCharType="end"/>
              </w:r>
            </w:p>
          </w:sdtContent>
        </w:sdt>
        <w:p w:rsidR="00806678" w:rsidRDefault="00B16377">
          <w:pPr>
            <w:jc w:val="right"/>
            <w:rPr>
              <w:rFonts w:ascii="Cambria" w:hAnsi="Cambria" w:cs="Cambria"/>
            </w:rPr>
          </w:pPr>
          <w:r>
            <w:rPr>
              <w:rFonts w:ascii="Cambria" w:hAnsi="Cambria" w:cs="Cambria" w:hint="eastAsia"/>
            </w:rPr>
            <w:lastRenderedPageBreak/>
            <w:t>单位：</w:t>
          </w:r>
          <w:sdt>
            <w:sdtPr>
              <w:rPr>
                <w:rFonts w:ascii="Cambria" w:hAnsi="Cambria" w:cs="Cambria" w:hint="eastAsia"/>
              </w:rPr>
              <w:alias w:val="单位：财务附注：关键管理人员报酬"/>
              <w:tag w:val="_GBC_3dcac03c36954e5ab3dab539e6a2f735"/>
              <w:id w:val="208903907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Cambria" w:hAnsi="Cambria" w:cs="Cambria" w:hint="eastAsia"/>
                </w:rPr>
                <w:t>万元</w:t>
              </w:r>
            </w:sdtContent>
          </w:sdt>
          <w:r>
            <w:rPr>
              <w:rFonts w:ascii="Cambria" w:hAnsi="Cambria" w:cs="Cambria" w:hint="eastAsia"/>
            </w:rPr>
            <w:t xml:space="preserve">  </w:t>
          </w:r>
          <w:r>
            <w:rPr>
              <w:rFonts w:ascii="Cambria" w:hAnsi="Cambria" w:cs="Cambria" w:hint="eastAsia"/>
            </w:rPr>
            <w:t>币种：</w:t>
          </w:r>
          <w:sdt>
            <w:sdtPr>
              <w:rPr>
                <w:rFonts w:ascii="Cambria" w:hAnsi="Cambria" w:cs="Cambria" w:hint="eastAsia"/>
              </w:rPr>
              <w:alias w:val="币种：财务附注：关键管理人员报酬"/>
              <w:tag w:val="_GBC_9bf846a4da0046829fd7baa3fd1fe348"/>
              <w:id w:val="148234273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Cambria" w:hAnsi="Cambria" w:cs="Cambria"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74"/>
            <w:gridCol w:w="3274"/>
            <w:gridCol w:w="2501"/>
          </w:tblGrid>
          <w:tr w:rsidR="00806678" w:rsidTr="00DE1C41">
            <w:sdt>
              <w:sdtPr>
                <w:tag w:val="_PLD_3d38745be5c64397b1dab92289838da1"/>
                <w:id w:val="66694966"/>
                <w:lock w:val="sdtLocked"/>
              </w:sdtPr>
              <w:sdtContent>
                <w:tc>
                  <w:tcPr>
                    <w:tcW w:w="1809" w:type="pct"/>
                    <w:tcBorders>
                      <w:top w:val="single" w:sz="4" w:space="0" w:color="auto"/>
                      <w:left w:val="single" w:sz="4" w:space="0" w:color="auto"/>
                      <w:bottom w:val="single" w:sz="4" w:space="0" w:color="auto"/>
                      <w:right w:val="single" w:sz="4" w:space="0" w:color="auto"/>
                    </w:tcBorders>
                    <w:shd w:val="clear" w:color="auto" w:fill="auto"/>
                    <w:vAlign w:val="center"/>
                  </w:tcPr>
                  <w:p w:rsidR="00806678" w:rsidRDefault="00B16377">
                    <w:pPr>
                      <w:jc w:val="center"/>
                      <w:rPr>
                        <w:rFonts w:cs="Cambria"/>
                      </w:rPr>
                    </w:pPr>
                    <w:r>
                      <w:rPr>
                        <w:rFonts w:cs="Cambria" w:hint="eastAsia"/>
                      </w:rPr>
                      <w:t>项目</w:t>
                    </w:r>
                  </w:p>
                </w:tc>
              </w:sdtContent>
            </w:sdt>
            <w:sdt>
              <w:sdtPr>
                <w:tag w:val="_PLD_31133ff59dcf4a7b93a7991d1f435b05"/>
                <w:id w:val="166221412"/>
                <w:lock w:val="sdtLocked"/>
              </w:sdtPr>
              <w:sdtContent>
                <w:tc>
                  <w:tcPr>
                    <w:tcW w:w="1809" w:type="pct"/>
                    <w:tcBorders>
                      <w:top w:val="single" w:sz="4" w:space="0" w:color="auto"/>
                      <w:left w:val="single" w:sz="4" w:space="0" w:color="auto"/>
                      <w:bottom w:val="single" w:sz="4" w:space="0" w:color="auto"/>
                      <w:right w:val="single" w:sz="4" w:space="0" w:color="auto"/>
                    </w:tcBorders>
                    <w:shd w:val="clear" w:color="auto" w:fill="auto"/>
                    <w:vAlign w:val="center"/>
                  </w:tcPr>
                  <w:p w:rsidR="00806678" w:rsidRDefault="00B16377">
                    <w:pPr>
                      <w:jc w:val="center"/>
                      <w:rPr>
                        <w:rFonts w:cs="Cambria"/>
                      </w:rPr>
                    </w:pPr>
                    <w:r>
                      <w:rPr>
                        <w:rFonts w:cs="Cambria" w:hint="eastAsia"/>
                      </w:rPr>
                      <w:t>本期发生额</w:t>
                    </w:r>
                  </w:p>
                </w:tc>
              </w:sdtContent>
            </w:sdt>
            <w:sdt>
              <w:sdtPr>
                <w:tag w:val="_PLD_e08658a238f7419ca0d4ce3386ff565e"/>
                <w:id w:val="-1941677507"/>
                <w:lock w:val="sdtLocked"/>
              </w:sdtPr>
              <w:sdtContent>
                <w:tc>
                  <w:tcPr>
                    <w:tcW w:w="1382" w:type="pct"/>
                    <w:tcBorders>
                      <w:top w:val="single" w:sz="4" w:space="0" w:color="auto"/>
                      <w:left w:val="single" w:sz="4" w:space="0" w:color="auto"/>
                      <w:bottom w:val="single" w:sz="4" w:space="0" w:color="auto"/>
                      <w:right w:val="single" w:sz="4" w:space="0" w:color="auto"/>
                    </w:tcBorders>
                    <w:shd w:val="clear" w:color="auto" w:fill="auto"/>
                    <w:vAlign w:val="center"/>
                  </w:tcPr>
                  <w:p w:rsidR="00806678" w:rsidRDefault="00B16377">
                    <w:pPr>
                      <w:jc w:val="center"/>
                      <w:rPr>
                        <w:rFonts w:cs="Cambria"/>
                      </w:rPr>
                    </w:pPr>
                    <w:r>
                      <w:rPr>
                        <w:rFonts w:cs="Cambria" w:hint="eastAsia"/>
                      </w:rPr>
                      <w:t>上期发生额</w:t>
                    </w:r>
                  </w:p>
                </w:tc>
              </w:sdtContent>
            </w:sdt>
          </w:tr>
          <w:tr w:rsidR="0029490B" w:rsidTr="00DB008B">
            <w:sdt>
              <w:sdtPr>
                <w:tag w:val="_PLD_351d1928c6ce40d2b5b46143c5f31f00"/>
                <w:id w:val="674701663"/>
                <w:lock w:val="sdtLocked"/>
              </w:sdtPr>
              <w:sdtContent>
                <w:tc>
                  <w:tcPr>
                    <w:tcW w:w="1809" w:type="pct"/>
                    <w:tcBorders>
                      <w:top w:val="single" w:sz="4" w:space="0" w:color="auto"/>
                      <w:left w:val="single" w:sz="4" w:space="0" w:color="auto"/>
                      <w:bottom w:val="single" w:sz="4" w:space="0" w:color="auto"/>
                      <w:right w:val="single" w:sz="4" w:space="0" w:color="auto"/>
                    </w:tcBorders>
                    <w:shd w:val="clear" w:color="auto" w:fill="auto"/>
                  </w:tcPr>
                  <w:p w:rsidR="0029490B" w:rsidRDefault="0029490B" w:rsidP="0029490B">
                    <w:pPr>
                      <w:rPr>
                        <w:rFonts w:cs="Cambria"/>
                      </w:rPr>
                    </w:pPr>
                    <w:r>
                      <w:rPr>
                        <w:rFonts w:cs="Cambria" w:hint="eastAsia"/>
                      </w:rPr>
                      <w:t>关键管理人员报酬</w:t>
                    </w:r>
                  </w:p>
                </w:tc>
              </w:sdtContent>
            </w:sdt>
            <w:tc>
              <w:tcPr>
                <w:tcW w:w="1809" w:type="pct"/>
                <w:tcBorders>
                  <w:top w:val="single" w:sz="4" w:space="0" w:color="auto"/>
                  <w:left w:val="single" w:sz="4" w:space="0" w:color="auto"/>
                  <w:bottom w:val="single" w:sz="4" w:space="0" w:color="auto"/>
                  <w:right w:val="single" w:sz="4" w:space="0" w:color="auto"/>
                </w:tcBorders>
                <w:shd w:val="clear" w:color="auto" w:fill="auto"/>
                <w:vAlign w:val="center"/>
              </w:tcPr>
              <w:p w:rsidR="0029490B" w:rsidRDefault="0025695E" w:rsidP="005B2133">
                <w:pPr>
                  <w:jc w:val="right"/>
                  <w:rPr>
                    <w:rFonts w:cs="Cambria"/>
                  </w:rPr>
                </w:pPr>
                <w:r>
                  <w:rPr>
                    <w:rFonts w:hint="eastAsia"/>
                  </w:rPr>
                  <w:t>408.23</w:t>
                </w:r>
              </w:p>
            </w:tc>
            <w:tc>
              <w:tcPr>
                <w:tcW w:w="1382" w:type="pct"/>
                <w:tcBorders>
                  <w:top w:val="single" w:sz="4" w:space="0" w:color="auto"/>
                  <w:left w:val="single" w:sz="4" w:space="0" w:color="auto"/>
                  <w:bottom w:val="single" w:sz="4" w:space="0" w:color="auto"/>
                  <w:right w:val="single" w:sz="4" w:space="0" w:color="auto"/>
                </w:tcBorders>
                <w:shd w:val="clear" w:color="auto" w:fill="auto"/>
                <w:vAlign w:val="center"/>
              </w:tcPr>
              <w:p w:rsidR="0029490B" w:rsidRDefault="0025695E" w:rsidP="0029490B">
                <w:pPr>
                  <w:jc w:val="right"/>
                  <w:rPr>
                    <w:rFonts w:cs="Cambria"/>
                  </w:rPr>
                </w:pPr>
                <w:r>
                  <w:rPr>
                    <w:rFonts w:hint="eastAsia"/>
                  </w:rPr>
                  <w:t>450.42</w:t>
                </w:r>
              </w:p>
            </w:tc>
          </w:tr>
        </w:tbl>
        <w:p w:rsidR="00806678" w:rsidRDefault="00F80B6C"/>
      </w:sdtContent>
    </w:sdt>
    <w:sdt>
      <w:sdtPr>
        <w:rPr>
          <w:rFonts w:ascii="宋体" w:eastAsia="宋体" w:hAnsi="宋体" w:cs="宋体" w:hint="eastAsia"/>
          <w:b w:val="0"/>
          <w:bCs w:val="0"/>
          <w:kern w:val="0"/>
          <w:szCs w:val="24"/>
        </w:rPr>
        <w:alias w:val="模块:其他关联交易"/>
        <w:tag w:val="_SEC_3ee0d5867a8b45ac909e0cf39151d6d4"/>
        <w:id w:val="-658149226"/>
        <w:lock w:val="sdtLocked"/>
        <w:placeholder>
          <w:docPart w:val="GBC22222222222222222222222222222"/>
        </w:placeholder>
      </w:sdtPr>
      <w:sdtEndPr>
        <w:rPr>
          <w:rFonts w:asciiTheme="minorHAnsi" w:hAnsiTheme="minorHAnsi" w:cstheme="minorBidi" w:hint="default"/>
          <w:szCs w:val="21"/>
        </w:rPr>
      </w:sdtEndPr>
      <w:sdtContent>
        <w:p w:rsidR="00806678" w:rsidRDefault="00B16377" w:rsidP="00FF17C7">
          <w:pPr>
            <w:pStyle w:val="4"/>
            <w:numPr>
              <w:ilvl w:val="3"/>
              <w:numId w:val="105"/>
            </w:numPr>
            <w:ind w:left="424" w:hangingChars="202" w:hanging="424"/>
          </w:pPr>
          <w:r>
            <w:rPr>
              <w:rFonts w:hint="eastAsia"/>
            </w:rPr>
            <w:t>其他关联交易</w:t>
          </w:r>
        </w:p>
        <w:sdt>
          <w:sdtPr>
            <w:rPr>
              <w:rFonts w:hint="eastAsia"/>
              <w:szCs w:val="21"/>
            </w:rPr>
            <w:alias w:val="是否适用：其他关联交易[双击切换]"/>
            <w:tag w:val="_GBC_a1203a07d7684e08bdc2f1959f1cb9ae"/>
            <w:id w:val="133846746"/>
            <w:lock w:val="sdtLocked"/>
            <w:placeholder>
              <w:docPart w:val="GBC22222222222222222222222222222"/>
            </w:placeholder>
          </w:sdtPr>
          <w:sdtContent>
            <w:p w:rsidR="00806678" w:rsidRDefault="00F80B6C">
              <w:pPr>
                <w:rPr>
                  <w:szCs w:val="21"/>
                </w:rPr>
              </w:pPr>
              <w:r>
                <w:rPr>
                  <w:szCs w:val="21"/>
                </w:rPr>
                <w:fldChar w:fldCharType="begin"/>
              </w:r>
              <w:r w:rsidR="0029490B">
                <w:rPr>
                  <w:szCs w:val="21"/>
                </w:rPr>
                <w:instrText xml:space="preserve"> MACROBUTTON  SnrToggleCheckbox √适用  </w:instrText>
              </w:r>
              <w:r>
                <w:rPr>
                  <w:szCs w:val="21"/>
                </w:rPr>
                <w:fldChar w:fldCharType="end"/>
              </w:r>
              <w:r>
                <w:rPr>
                  <w:szCs w:val="21"/>
                </w:rPr>
                <w:fldChar w:fldCharType="begin"/>
              </w:r>
              <w:r w:rsidR="0029490B">
                <w:rPr>
                  <w:szCs w:val="21"/>
                </w:rPr>
                <w:instrText xml:space="preserve"> MACROBUTTON  SnrToggleCheckbox □不适用 </w:instrText>
              </w:r>
              <w:r>
                <w:rPr>
                  <w:szCs w:val="21"/>
                </w:rPr>
                <w:fldChar w:fldCharType="end"/>
              </w:r>
            </w:p>
          </w:sdtContent>
        </w:sdt>
        <w:sdt>
          <w:sdtPr>
            <w:rPr>
              <w:b w:val="0"/>
              <w:bCs w:val="0"/>
              <w:sz w:val="21"/>
              <w:szCs w:val="21"/>
            </w:rPr>
            <w:alias w:val="其他关联交易的情况"/>
            <w:tag w:val="_GBC_568a4950b7f046d3a08a3d8b97923495"/>
            <w:id w:val="-1976448249"/>
            <w:lock w:val="sdtLocked"/>
            <w:placeholder>
              <w:docPart w:val="GBC22222222222222222222222222222"/>
            </w:placeholder>
          </w:sdtPr>
          <w:sdtContent>
            <w:p w:rsidR="0029490B" w:rsidRPr="001F185D" w:rsidRDefault="0029490B" w:rsidP="0029490B">
              <w:pPr>
                <w:pStyle w:val="7"/>
                <w:spacing w:before="60" w:after="20" w:line="240" w:lineRule="auto"/>
                <w:rPr>
                  <w:rFonts w:cs="Arial"/>
                  <w:b w:val="0"/>
                  <w:sz w:val="22"/>
                  <w:szCs w:val="22"/>
                  <w:lang w:val="fr-FR"/>
                </w:rPr>
              </w:pPr>
              <w:r w:rsidRPr="001F185D">
                <w:rPr>
                  <w:rFonts w:cs="Arial" w:hint="eastAsia"/>
                  <w:b w:val="0"/>
                  <w:sz w:val="22"/>
                  <w:szCs w:val="22"/>
                </w:rPr>
                <w:t>(a)</w:t>
              </w:r>
              <w:r w:rsidRPr="001F185D">
                <w:rPr>
                  <w:rFonts w:cs="Arial"/>
                  <w:b w:val="0"/>
                  <w:sz w:val="22"/>
                  <w:szCs w:val="22"/>
                </w:rPr>
                <w:t xml:space="preserve"> </w:t>
              </w:r>
              <w:r w:rsidRPr="001F185D">
                <w:rPr>
                  <w:rFonts w:cs="Arial" w:hint="eastAsia"/>
                  <w:b w:val="0"/>
                  <w:sz w:val="22"/>
                  <w:szCs w:val="22"/>
                </w:rPr>
                <w:t>资金代管服务</w:t>
              </w:r>
            </w:p>
            <w:p w:rsidR="00F66245" w:rsidRDefault="00F66245" w:rsidP="0029490B">
              <w:pPr>
                <w:overflowPunct w:val="0"/>
                <w:adjustRightInd w:val="0"/>
                <w:snapToGrid w:val="0"/>
                <w:ind w:left="510"/>
                <w:rPr>
                  <w:rFonts w:cs="Arial"/>
                  <w:sz w:val="22"/>
                  <w:szCs w:val="22"/>
                  <w:lang w:val="en-GB"/>
                </w:rPr>
              </w:pPr>
            </w:p>
            <w:p w:rsidR="0029490B" w:rsidRPr="001F185D" w:rsidRDefault="0029490B" w:rsidP="00F66245">
              <w:pPr>
                <w:overflowPunct w:val="0"/>
                <w:adjustRightInd w:val="0"/>
                <w:snapToGrid w:val="0"/>
                <w:ind w:left="510"/>
                <w:jc w:val="both"/>
                <w:rPr>
                  <w:rFonts w:cs="Arial"/>
                  <w:sz w:val="22"/>
                  <w:szCs w:val="22"/>
                  <w:lang w:val="en-GB"/>
                </w:rPr>
              </w:pPr>
              <w:r w:rsidRPr="001F185D">
                <w:rPr>
                  <w:rFonts w:cs="Arial" w:hint="eastAsia"/>
                  <w:sz w:val="22"/>
                  <w:szCs w:val="22"/>
                  <w:lang w:val="en-GB"/>
                </w:rPr>
                <w:t>本集团于2005年9月成立结算所。根据本集团与太原局集团公司签署的代管资金协议，本集团向太原局集团公司及太原局集团公司下属其他单位提供资金代管业务 (含尚未拨付至企业年金专门账户的资金) 。本集团的主要职责为将代管资金存入银行并代收代付相应的利息。根据协议规定，此种资金代管服务为无偿服务，不收取任何费用。</w:t>
              </w:r>
            </w:p>
            <w:p w:rsidR="0029490B" w:rsidRPr="001F185D" w:rsidRDefault="0029490B" w:rsidP="0029490B">
              <w:pPr>
                <w:pStyle w:val="7"/>
                <w:spacing w:before="60" w:after="20" w:line="240" w:lineRule="auto"/>
                <w:rPr>
                  <w:rFonts w:cs="Arial"/>
                  <w:b w:val="0"/>
                  <w:sz w:val="22"/>
                  <w:szCs w:val="22"/>
                </w:rPr>
              </w:pPr>
              <w:r w:rsidRPr="001F185D">
                <w:rPr>
                  <w:rFonts w:cs="Arial" w:hint="eastAsia"/>
                  <w:b w:val="0"/>
                  <w:sz w:val="22"/>
                  <w:szCs w:val="22"/>
                </w:rPr>
                <w:t>(b)</w:t>
              </w:r>
              <w:r w:rsidR="00F66245">
                <w:rPr>
                  <w:rFonts w:cs="Arial"/>
                  <w:b w:val="0"/>
                  <w:sz w:val="22"/>
                  <w:szCs w:val="22"/>
                </w:rPr>
                <w:t xml:space="preserve"> </w:t>
              </w:r>
              <w:r w:rsidRPr="001F185D">
                <w:rPr>
                  <w:rFonts w:cs="Arial" w:hint="eastAsia"/>
                  <w:b w:val="0"/>
                  <w:sz w:val="22"/>
                  <w:szCs w:val="22"/>
                </w:rPr>
                <w:t>代收代付</w:t>
              </w:r>
            </w:p>
            <w:p w:rsidR="0029490B" w:rsidRPr="001F185D" w:rsidRDefault="0029490B" w:rsidP="0029490B">
              <w:pPr>
                <w:overflowPunct w:val="0"/>
                <w:adjustRightInd w:val="0"/>
                <w:snapToGrid w:val="0"/>
                <w:ind w:left="567"/>
                <w:rPr>
                  <w:rFonts w:cs="Arial"/>
                  <w:sz w:val="22"/>
                  <w:szCs w:val="22"/>
                  <w:lang w:val="en-GB"/>
                </w:rPr>
              </w:pPr>
            </w:p>
            <w:p w:rsidR="0029490B" w:rsidRDefault="0029490B" w:rsidP="008651A8">
              <w:pPr>
                <w:overflowPunct w:val="0"/>
                <w:adjustRightInd w:val="0"/>
                <w:snapToGrid w:val="0"/>
                <w:ind w:left="567" w:hanging="425"/>
                <w:rPr>
                  <w:rFonts w:cs="Arial"/>
                  <w:sz w:val="22"/>
                  <w:szCs w:val="22"/>
                  <w:lang w:val="en-GB"/>
                </w:rPr>
              </w:pPr>
              <w:r w:rsidRPr="001F185D">
                <w:rPr>
                  <w:rFonts w:cs="Arial" w:hint="eastAsia"/>
                  <w:sz w:val="22"/>
                  <w:szCs w:val="22"/>
                  <w:lang w:val="en-GB"/>
                </w:rPr>
                <w:t>太原局集团公司及其下属单位</w:t>
              </w:r>
            </w:p>
            <w:p w:rsidR="00170C02" w:rsidRPr="00170C02" w:rsidRDefault="00170C02" w:rsidP="00170C02">
              <w:pPr>
                <w:jc w:val="right"/>
                <w:rPr>
                  <w:rFonts w:asciiTheme="majorEastAsia" w:eastAsiaTheme="majorEastAsia" w:hAnsiTheme="majorEastAsia"/>
                </w:rPr>
              </w:pPr>
              <w:r w:rsidRPr="00170C02">
                <w:rPr>
                  <w:rFonts w:asciiTheme="majorEastAsia" w:eastAsiaTheme="majorEastAsia" w:hAnsiTheme="majorEastAsia" w:cs="PMingLiU" w:hint="eastAsia"/>
                  <w:szCs w:val="21"/>
                </w:rPr>
                <w:t>单</w:t>
              </w:r>
              <w:r w:rsidRPr="00170C02">
                <w:rPr>
                  <w:rFonts w:asciiTheme="majorEastAsia" w:eastAsiaTheme="majorEastAsia" w:hAnsiTheme="majorEastAsia" w:cs="Yu Gothic" w:hint="eastAsia"/>
                  <w:szCs w:val="21"/>
                </w:rPr>
                <w:t>位：元</w:t>
              </w:r>
              <w:r w:rsidRPr="00170C02">
                <w:rPr>
                  <w:rFonts w:asciiTheme="majorEastAsia" w:eastAsiaTheme="majorEastAsia" w:hAnsiTheme="majorEastAsia" w:cs="螳倶ｽ・"/>
                  <w:szCs w:val="21"/>
                </w:rPr>
                <w:t xml:space="preserve"> </w:t>
              </w:r>
              <w:r w:rsidRPr="00170C02">
                <w:rPr>
                  <w:rFonts w:asciiTheme="majorEastAsia" w:eastAsiaTheme="majorEastAsia" w:hAnsiTheme="majorEastAsia" w:cs="PMingLiU" w:hint="eastAsia"/>
                  <w:szCs w:val="21"/>
                </w:rPr>
                <w:t>币</w:t>
              </w:r>
              <w:r w:rsidRPr="00170C02">
                <w:rPr>
                  <w:rFonts w:asciiTheme="majorEastAsia" w:eastAsiaTheme="majorEastAsia" w:hAnsiTheme="majorEastAsia" w:cs="Yu Gothic" w:hint="eastAsia"/>
                  <w:szCs w:val="21"/>
                </w:rPr>
                <w:t>种：人民</w:t>
              </w:r>
              <w:r w:rsidRPr="00170C02">
                <w:rPr>
                  <w:rFonts w:asciiTheme="majorEastAsia" w:eastAsiaTheme="majorEastAsia" w:hAnsiTheme="majorEastAsia" w:cs="PMingLiU" w:hint="eastAsia"/>
                  <w:szCs w:val="21"/>
                </w:rPr>
                <w:t>币</w:t>
              </w:r>
            </w:p>
            <w:tbl>
              <w:tblPr>
                <w:tblW w:w="90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28" w:type="dxa"/>
                </w:tblCellMar>
                <w:tblLook w:val="04A0"/>
              </w:tblPr>
              <w:tblGrid>
                <w:gridCol w:w="4962"/>
                <w:gridCol w:w="1990"/>
                <w:gridCol w:w="2051"/>
              </w:tblGrid>
              <w:tr w:rsidR="0029490B" w:rsidRPr="0029490B" w:rsidTr="00252993">
                <w:trPr>
                  <w:trHeight w:val="270"/>
                </w:trPr>
                <w:tc>
                  <w:tcPr>
                    <w:tcW w:w="4962" w:type="dxa"/>
                    <w:vAlign w:val="center"/>
                  </w:tcPr>
                  <w:p w:rsidR="0029490B" w:rsidRPr="0029490B" w:rsidRDefault="0029490B" w:rsidP="00CE55F0">
                    <w:pPr>
                      <w:snapToGrid w:val="0"/>
                      <w:ind w:left="221" w:hanging="221"/>
                      <w:jc w:val="center"/>
                    </w:pPr>
                    <w:r w:rsidRPr="0029490B">
                      <w:t>项目</w:t>
                    </w:r>
                  </w:p>
                </w:tc>
                <w:tc>
                  <w:tcPr>
                    <w:tcW w:w="1990" w:type="dxa"/>
                    <w:vAlign w:val="center"/>
                  </w:tcPr>
                  <w:p w:rsidR="0029490B" w:rsidRPr="0029490B" w:rsidRDefault="0029490B" w:rsidP="00CE55F0">
                    <w:pPr>
                      <w:snapToGrid w:val="0"/>
                      <w:jc w:val="center"/>
                    </w:pPr>
                    <w:r w:rsidRPr="0029490B">
                      <w:t>本期发生额</w:t>
                    </w:r>
                  </w:p>
                </w:tc>
                <w:tc>
                  <w:tcPr>
                    <w:tcW w:w="2051" w:type="dxa"/>
                    <w:vAlign w:val="center"/>
                  </w:tcPr>
                  <w:p w:rsidR="0029490B" w:rsidRPr="0029490B" w:rsidRDefault="0029490B" w:rsidP="00CE55F0">
                    <w:pPr>
                      <w:snapToGrid w:val="0"/>
                      <w:jc w:val="center"/>
                    </w:pPr>
                    <w:r w:rsidRPr="0029490B">
                      <w:t>上期发生额</w:t>
                    </w:r>
                  </w:p>
                </w:tc>
              </w:tr>
              <w:tr w:rsidR="0029490B" w:rsidRPr="0029490B" w:rsidTr="00252993">
                <w:trPr>
                  <w:trHeight w:val="254"/>
                </w:trPr>
                <w:tc>
                  <w:tcPr>
                    <w:tcW w:w="4962" w:type="dxa"/>
                    <w:vAlign w:val="bottom"/>
                  </w:tcPr>
                  <w:p w:rsidR="0029490B" w:rsidRPr="0029490B" w:rsidRDefault="0029490B" w:rsidP="00252993">
                    <w:pPr>
                      <w:snapToGrid w:val="0"/>
                      <w:ind w:left="221" w:hanging="221"/>
                    </w:pPr>
                    <w:r w:rsidRPr="0029490B">
                      <w:t>代本集团支付其他铁路企业运输款及铁路建设基金等</w:t>
                    </w:r>
                  </w:p>
                </w:tc>
                <w:tc>
                  <w:tcPr>
                    <w:tcW w:w="1990" w:type="dxa"/>
                    <w:vAlign w:val="bottom"/>
                  </w:tcPr>
                  <w:p w:rsidR="0029490B" w:rsidRPr="0029490B" w:rsidRDefault="0029490B" w:rsidP="00170C02">
                    <w:pPr>
                      <w:snapToGrid w:val="0"/>
                      <w:ind w:right="69"/>
                      <w:jc w:val="right"/>
                    </w:pPr>
                    <w:r w:rsidRPr="0029490B">
                      <w:t>58,409,438,717</w:t>
                    </w:r>
                  </w:p>
                </w:tc>
                <w:tc>
                  <w:tcPr>
                    <w:tcW w:w="2051" w:type="dxa"/>
                    <w:vAlign w:val="bottom"/>
                  </w:tcPr>
                  <w:p w:rsidR="0029490B" w:rsidRPr="0029490B" w:rsidRDefault="0029490B" w:rsidP="00170C02">
                    <w:pPr>
                      <w:snapToGrid w:val="0"/>
                      <w:ind w:right="89"/>
                      <w:jc w:val="right"/>
                    </w:pPr>
                    <w:r w:rsidRPr="0029490B">
                      <w:t>65,619,743,720</w:t>
                    </w:r>
                  </w:p>
                </w:tc>
              </w:tr>
              <w:tr w:rsidR="0029490B" w:rsidRPr="0029490B" w:rsidTr="00252993">
                <w:trPr>
                  <w:trHeight w:val="280"/>
                </w:trPr>
                <w:tc>
                  <w:tcPr>
                    <w:tcW w:w="4962" w:type="dxa"/>
                    <w:vAlign w:val="bottom"/>
                  </w:tcPr>
                  <w:p w:rsidR="0029490B" w:rsidRPr="0029490B" w:rsidRDefault="0029490B" w:rsidP="00DB008B">
                    <w:pPr>
                      <w:snapToGrid w:val="0"/>
                      <w:ind w:left="221" w:hanging="221"/>
                    </w:pPr>
                    <w:r w:rsidRPr="0029490B">
                      <w:t>代本集团支付货车使用费</w:t>
                    </w:r>
                  </w:p>
                </w:tc>
                <w:tc>
                  <w:tcPr>
                    <w:tcW w:w="1990" w:type="dxa"/>
                    <w:vAlign w:val="bottom"/>
                  </w:tcPr>
                  <w:p w:rsidR="0029490B" w:rsidRPr="0029490B" w:rsidRDefault="0029490B" w:rsidP="00170C02">
                    <w:pPr>
                      <w:snapToGrid w:val="0"/>
                      <w:ind w:right="69"/>
                      <w:jc w:val="right"/>
                    </w:pPr>
                    <w:r w:rsidRPr="0029490B">
                      <w:t>3,363,897,819</w:t>
                    </w:r>
                  </w:p>
                </w:tc>
                <w:tc>
                  <w:tcPr>
                    <w:tcW w:w="2051" w:type="dxa"/>
                    <w:vAlign w:val="bottom"/>
                  </w:tcPr>
                  <w:p w:rsidR="0029490B" w:rsidRPr="0029490B" w:rsidRDefault="0029490B" w:rsidP="00170C02">
                    <w:pPr>
                      <w:snapToGrid w:val="0"/>
                      <w:ind w:right="89"/>
                      <w:jc w:val="right"/>
                    </w:pPr>
                    <w:r w:rsidRPr="0029490B">
                      <w:t>3,165,350,252</w:t>
                    </w:r>
                  </w:p>
                </w:tc>
              </w:tr>
              <w:tr w:rsidR="0029490B" w:rsidRPr="0029490B" w:rsidTr="00252993">
                <w:trPr>
                  <w:trHeight w:val="270"/>
                </w:trPr>
                <w:tc>
                  <w:tcPr>
                    <w:tcW w:w="4962" w:type="dxa"/>
                    <w:vAlign w:val="bottom"/>
                  </w:tcPr>
                  <w:p w:rsidR="0029490B" w:rsidRPr="0029490B" w:rsidRDefault="0029490B" w:rsidP="00DB008B">
                    <w:pPr>
                      <w:snapToGrid w:val="0"/>
                      <w:ind w:left="221" w:hanging="221"/>
                    </w:pPr>
                    <w:r w:rsidRPr="0029490B">
                      <w:t>其他代付</w:t>
                    </w:r>
                  </w:p>
                </w:tc>
                <w:tc>
                  <w:tcPr>
                    <w:tcW w:w="1990" w:type="dxa"/>
                    <w:vAlign w:val="bottom"/>
                  </w:tcPr>
                  <w:p w:rsidR="0029490B" w:rsidRPr="0029490B" w:rsidRDefault="0029490B" w:rsidP="00170C02">
                    <w:pPr>
                      <w:snapToGrid w:val="0"/>
                      <w:ind w:right="69"/>
                      <w:jc w:val="right"/>
                    </w:pPr>
                    <w:r w:rsidRPr="0029490B">
                      <w:t>22,869,309</w:t>
                    </w:r>
                  </w:p>
                </w:tc>
                <w:tc>
                  <w:tcPr>
                    <w:tcW w:w="2051" w:type="dxa"/>
                    <w:vAlign w:val="bottom"/>
                  </w:tcPr>
                  <w:p w:rsidR="0029490B" w:rsidRPr="0029490B" w:rsidRDefault="0029490B" w:rsidP="00170C02">
                    <w:pPr>
                      <w:snapToGrid w:val="0"/>
                      <w:ind w:right="89"/>
                      <w:jc w:val="right"/>
                    </w:pPr>
                    <w:r w:rsidRPr="0029490B">
                      <w:t>62,423,915</w:t>
                    </w:r>
                  </w:p>
                </w:tc>
              </w:tr>
              <w:tr w:rsidR="0029490B" w:rsidRPr="0029490B" w:rsidTr="00252993">
                <w:trPr>
                  <w:trHeight w:val="280"/>
                </w:trPr>
                <w:tc>
                  <w:tcPr>
                    <w:tcW w:w="4962" w:type="dxa"/>
                    <w:vAlign w:val="bottom"/>
                  </w:tcPr>
                  <w:p w:rsidR="0029490B" w:rsidRPr="0029490B" w:rsidRDefault="0029490B" w:rsidP="00DB008B">
                    <w:pPr>
                      <w:snapToGrid w:val="0"/>
                      <w:ind w:left="221" w:hanging="221"/>
                    </w:pPr>
                    <w:r w:rsidRPr="0029490B">
                      <w:t>合计</w:t>
                    </w:r>
                  </w:p>
                </w:tc>
                <w:tc>
                  <w:tcPr>
                    <w:tcW w:w="1990" w:type="dxa"/>
                    <w:vAlign w:val="bottom"/>
                  </w:tcPr>
                  <w:p w:rsidR="0029490B" w:rsidRPr="0029490B" w:rsidRDefault="0029490B" w:rsidP="00170C02">
                    <w:pPr>
                      <w:snapToGrid w:val="0"/>
                      <w:ind w:right="69"/>
                      <w:jc w:val="right"/>
                    </w:pPr>
                    <w:r w:rsidRPr="0029490B">
                      <w:t>61,796,205,845</w:t>
                    </w:r>
                  </w:p>
                </w:tc>
                <w:tc>
                  <w:tcPr>
                    <w:tcW w:w="2051" w:type="dxa"/>
                    <w:vAlign w:val="bottom"/>
                  </w:tcPr>
                  <w:p w:rsidR="0029490B" w:rsidRPr="0029490B" w:rsidRDefault="0029490B" w:rsidP="00170C02">
                    <w:pPr>
                      <w:snapToGrid w:val="0"/>
                      <w:ind w:right="89"/>
                      <w:jc w:val="right"/>
                    </w:pPr>
                    <w:r w:rsidRPr="0029490B">
                      <w:t>68,847,517,887</w:t>
                    </w:r>
                  </w:p>
                </w:tc>
              </w:tr>
            </w:tbl>
            <w:p w:rsidR="00806678" w:rsidRDefault="00F80B6C">
              <w:pPr>
                <w:rPr>
                  <w:szCs w:val="21"/>
                </w:rPr>
              </w:pPr>
            </w:p>
          </w:sdtContent>
        </w:sdt>
      </w:sdtContent>
    </w:sdt>
    <w:p w:rsidR="00806678" w:rsidRDefault="00B16377" w:rsidP="00FF17C7">
      <w:pPr>
        <w:pStyle w:val="3"/>
        <w:numPr>
          <w:ilvl w:val="0"/>
          <w:numId w:val="54"/>
        </w:numPr>
        <w:rPr>
          <w:rFonts w:ascii="宋体" w:hAnsi="宋体" w:cs="Arial"/>
          <w:szCs w:val="21"/>
        </w:rPr>
      </w:pPr>
      <w:r>
        <w:rPr>
          <w:rFonts w:ascii="宋体" w:hAnsi="宋体" w:cs="Arial" w:hint="eastAsia"/>
          <w:szCs w:val="21"/>
        </w:rPr>
        <w:t>关联方应收应付款项</w:t>
      </w:r>
    </w:p>
    <w:sdt>
      <w:sdtPr>
        <w:rPr>
          <w:rFonts w:ascii="宋体" w:eastAsia="宋体" w:hAnsi="宋体" w:cs="Arial" w:hint="eastAsia"/>
          <w:b w:val="0"/>
          <w:bCs w:val="0"/>
          <w:kern w:val="0"/>
          <w:szCs w:val="21"/>
        </w:rPr>
        <w:alias w:val="模块:上市公司应收关联方款项"/>
        <w:tag w:val="_SEC_7fd751377539429292ed4eb39a787549"/>
        <w:id w:val="916510973"/>
        <w:lock w:val="sdtLocked"/>
        <w:placeholder>
          <w:docPart w:val="GBC22222222222222222222222222222"/>
        </w:placeholder>
      </w:sdtPr>
      <w:sdtEndPr>
        <w:rPr>
          <w:rFonts w:ascii="仿宋_GB2312" w:eastAsia="仿宋_GB2312" w:hAnsiTheme="minorHAnsi" w:cstheme="minorBidi"/>
        </w:rPr>
      </w:sdtEndPr>
      <w:sdtContent>
        <w:p w:rsidR="00806678" w:rsidRDefault="00B16377" w:rsidP="00FF17C7">
          <w:pPr>
            <w:pStyle w:val="4"/>
            <w:numPr>
              <w:ilvl w:val="3"/>
              <w:numId w:val="106"/>
            </w:numPr>
            <w:ind w:left="424" w:hangingChars="202" w:hanging="424"/>
            <w:rPr>
              <w:rFonts w:ascii="宋体" w:hAnsi="宋体" w:cs="Arial"/>
              <w:szCs w:val="21"/>
            </w:rPr>
          </w:pPr>
          <w:r>
            <w:rPr>
              <w:rFonts w:hint="eastAsia"/>
            </w:rPr>
            <w:t>应收项目</w:t>
          </w:r>
        </w:p>
        <w:sdt>
          <w:sdtPr>
            <w:rPr>
              <w:rFonts w:hint="eastAsia"/>
              <w:szCs w:val="21"/>
            </w:rPr>
            <w:alias w:val="是否适用：应收项目[双击切换]"/>
            <w:tag w:val="_GBC_4ae94d538d2e44ae839d59a1751a6d01"/>
            <w:id w:val="1136065909"/>
            <w:lock w:val="sdtLocked"/>
            <w:placeholder>
              <w:docPart w:val="GBC22222222222222222222222222222"/>
            </w:placeholder>
          </w:sdtPr>
          <w:sdtContent>
            <w:p w:rsidR="00806678" w:rsidRDefault="00F80B6C">
              <w:pPr>
                <w:rPr>
                  <w:szCs w:val="21"/>
                </w:rPr>
              </w:pPr>
              <w:r>
                <w:rPr>
                  <w:szCs w:val="21"/>
                </w:rPr>
                <w:fldChar w:fldCharType="begin"/>
              </w:r>
              <w:r w:rsidR="0029490B">
                <w:rPr>
                  <w:szCs w:val="21"/>
                </w:rPr>
                <w:instrText xml:space="preserve"> MACROBUTTON  SnrToggleCheckbox √适用  </w:instrText>
              </w:r>
              <w:r>
                <w:rPr>
                  <w:szCs w:val="21"/>
                </w:rPr>
                <w:fldChar w:fldCharType="end"/>
              </w:r>
              <w:r>
                <w:rPr>
                  <w:szCs w:val="21"/>
                </w:rPr>
                <w:fldChar w:fldCharType="begin"/>
              </w:r>
              <w:r w:rsidR="0029490B">
                <w:rPr>
                  <w:szCs w:val="21"/>
                </w:rPr>
                <w:instrText xml:space="preserve"> MACROBUTTON  SnrToggleCheckbox □不适用 </w:instrText>
              </w:r>
              <w:r>
                <w:rPr>
                  <w:szCs w:val="21"/>
                </w:rPr>
                <w:fldChar w:fldCharType="end"/>
              </w:r>
            </w:p>
          </w:sdtContent>
        </w:sdt>
        <w:p w:rsidR="00806678" w:rsidRDefault="00B16377">
          <w:pPr>
            <w:jc w:val="right"/>
            <w:rPr>
              <w:szCs w:val="21"/>
            </w:rPr>
          </w:pPr>
          <w:r>
            <w:rPr>
              <w:rFonts w:hint="eastAsia"/>
              <w:szCs w:val="21"/>
            </w:rPr>
            <w:t>单位:</w:t>
          </w:r>
          <w:sdt>
            <w:sdtPr>
              <w:rPr>
                <w:rFonts w:hint="eastAsia"/>
                <w:szCs w:val="21"/>
              </w:rPr>
              <w:alias w:val="单位：上市公司应收关联方款项"/>
              <w:tag w:val="_GBC_83968b233566404db428b085bcb695b8"/>
              <w:id w:val="-105800307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上市公司应收关联方款项"/>
              <w:tag w:val="_GBC_546206ef37784e9ca5284158e64b95dc"/>
              <w:id w:val="102853228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25"/>
            <w:gridCol w:w="1526"/>
            <w:gridCol w:w="1591"/>
            <w:gridCol w:w="1419"/>
            <w:gridCol w:w="1616"/>
            <w:gridCol w:w="1372"/>
          </w:tblGrid>
          <w:tr w:rsidR="0029490B" w:rsidTr="008651A8">
            <w:sdt>
              <w:sdtPr>
                <w:rPr>
                  <w:rFonts w:asciiTheme="majorEastAsia" w:eastAsiaTheme="majorEastAsia" w:hAnsiTheme="majorEastAsia"/>
                </w:rPr>
                <w:tag w:val="_PLD_c0c6dc2d23f94f929199b42c584f57ca"/>
                <w:id w:val="467009366"/>
                <w:lock w:val="sdtLocked"/>
              </w:sdtPr>
              <w:sdtContent>
                <w:tc>
                  <w:tcPr>
                    <w:tcW w:w="843" w:type="pct"/>
                    <w:vMerge w:val="restart"/>
                    <w:tcBorders>
                      <w:top w:val="single" w:sz="4" w:space="0" w:color="auto"/>
                      <w:left w:val="single" w:sz="4" w:space="0" w:color="auto"/>
                      <w:right w:val="single" w:sz="4" w:space="0" w:color="auto"/>
                    </w:tcBorders>
                    <w:vAlign w:val="center"/>
                  </w:tcPr>
                  <w:p w:rsidR="0029490B" w:rsidRPr="0029490B" w:rsidRDefault="0029490B" w:rsidP="00DB008B">
                    <w:pPr>
                      <w:jc w:val="center"/>
                      <w:rPr>
                        <w:rFonts w:asciiTheme="majorEastAsia" w:eastAsiaTheme="majorEastAsia" w:hAnsiTheme="majorEastAsia"/>
                        <w:szCs w:val="21"/>
                      </w:rPr>
                    </w:pPr>
                    <w:r w:rsidRPr="0029490B">
                      <w:rPr>
                        <w:rFonts w:asciiTheme="majorEastAsia" w:eastAsiaTheme="majorEastAsia" w:hAnsiTheme="majorEastAsia" w:hint="eastAsia"/>
                        <w:szCs w:val="21"/>
                      </w:rPr>
                      <w:t>项目名称</w:t>
                    </w:r>
                  </w:p>
                </w:tc>
              </w:sdtContent>
            </w:sdt>
            <w:sdt>
              <w:sdtPr>
                <w:rPr>
                  <w:rFonts w:asciiTheme="majorEastAsia" w:eastAsiaTheme="majorEastAsia" w:hAnsiTheme="majorEastAsia"/>
                </w:rPr>
                <w:tag w:val="_PLD_56aedf077d5c4d3b814d04d193f71af7"/>
                <w:id w:val="-252357954"/>
                <w:lock w:val="sdtLocked"/>
              </w:sdtPr>
              <w:sdtContent>
                <w:tc>
                  <w:tcPr>
                    <w:tcW w:w="843" w:type="pct"/>
                    <w:vMerge w:val="restart"/>
                    <w:tcBorders>
                      <w:top w:val="single" w:sz="4" w:space="0" w:color="auto"/>
                      <w:left w:val="single" w:sz="4" w:space="0" w:color="auto"/>
                      <w:right w:val="single" w:sz="4" w:space="0" w:color="auto"/>
                    </w:tcBorders>
                    <w:vAlign w:val="center"/>
                  </w:tcPr>
                  <w:p w:rsidR="0029490B" w:rsidRPr="0029490B" w:rsidRDefault="0029490B" w:rsidP="00DB008B">
                    <w:pPr>
                      <w:jc w:val="center"/>
                      <w:rPr>
                        <w:rFonts w:asciiTheme="majorEastAsia" w:eastAsiaTheme="majorEastAsia" w:hAnsiTheme="majorEastAsia"/>
                        <w:szCs w:val="21"/>
                      </w:rPr>
                    </w:pPr>
                    <w:r w:rsidRPr="0029490B">
                      <w:rPr>
                        <w:rFonts w:asciiTheme="majorEastAsia" w:eastAsiaTheme="majorEastAsia" w:hAnsiTheme="majorEastAsia" w:hint="eastAsia"/>
                        <w:szCs w:val="21"/>
                      </w:rPr>
                      <w:t>关联方</w:t>
                    </w:r>
                  </w:p>
                </w:tc>
              </w:sdtContent>
            </w:sdt>
            <w:sdt>
              <w:sdtPr>
                <w:rPr>
                  <w:rFonts w:asciiTheme="majorEastAsia" w:eastAsiaTheme="majorEastAsia" w:hAnsiTheme="majorEastAsia"/>
                </w:rPr>
                <w:tag w:val="_PLD_e8867e7b52fb42f4b447e445a20beebc"/>
                <w:id w:val="-1534639171"/>
                <w:lock w:val="sdtLocked"/>
              </w:sdtPr>
              <w:sdtContent>
                <w:tc>
                  <w:tcPr>
                    <w:tcW w:w="1663" w:type="pct"/>
                    <w:gridSpan w:val="2"/>
                    <w:tcBorders>
                      <w:top w:val="single" w:sz="4" w:space="0" w:color="auto"/>
                      <w:left w:val="single" w:sz="4" w:space="0" w:color="auto"/>
                      <w:bottom w:val="single" w:sz="4" w:space="0" w:color="auto"/>
                      <w:right w:val="single" w:sz="4" w:space="0" w:color="auto"/>
                    </w:tcBorders>
                    <w:vAlign w:val="center"/>
                  </w:tcPr>
                  <w:p w:rsidR="0029490B" w:rsidRPr="0029490B" w:rsidRDefault="0029490B" w:rsidP="00DB008B">
                    <w:pPr>
                      <w:jc w:val="center"/>
                      <w:rPr>
                        <w:rFonts w:asciiTheme="majorEastAsia" w:eastAsiaTheme="majorEastAsia" w:hAnsiTheme="majorEastAsia"/>
                        <w:szCs w:val="21"/>
                      </w:rPr>
                    </w:pPr>
                    <w:r w:rsidRPr="0029490B">
                      <w:rPr>
                        <w:rFonts w:asciiTheme="majorEastAsia" w:eastAsiaTheme="majorEastAsia" w:hAnsiTheme="majorEastAsia" w:hint="eastAsia"/>
                        <w:szCs w:val="21"/>
                      </w:rPr>
                      <w:t>期末余额</w:t>
                    </w:r>
                  </w:p>
                </w:tc>
              </w:sdtContent>
            </w:sdt>
            <w:sdt>
              <w:sdtPr>
                <w:rPr>
                  <w:rFonts w:asciiTheme="majorEastAsia" w:eastAsiaTheme="majorEastAsia" w:hAnsiTheme="majorEastAsia"/>
                </w:rPr>
                <w:tag w:val="_PLD_6a4888e558004037a5faac678bea523c"/>
                <w:id w:val="22610189"/>
                <w:lock w:val="sdtLocked"/>
              </w:sdtPr>
              <w:sdtContent>
                <w:tc>
                  <w:tcPr>
                    <w:tcW w:w="1650" w:type="pct"/>
                    <w:gridSpan w:val="2"/>
                    <w:tcBorders>
                      <w:top w:val="single" w:sz="4" w:space="0" w:color="auto"/>
                      <w:left w:val="single" w:sz="4" w:space="0" w:color="auto"/>
                      <w:bottom w:val="single" w:sz="4" w:space="0" w:color="auto"/>
                      <w:right w:val="single" w:sz="4" w:space="0" w:color="auto"/>
                    </w:tcBorders>
                    <w:vAlign w:val="center"/>
                  </w:tcPr>
                  <w:p w:rsidR="0029490B" w:rsidRPr="0029490B" w:rsidRDefault="0029490B" w:rsidP="00DB008B">
                    <w:pPr>
                      <w:jc w:val="center"/>
                      <w:rPr>
                        <w:rFonts w:asciiTheme="majorEastAsia" w:eastAsiaTheme="majorEastAsia" w:hAnsiTheme="majorEastAsia"/>
                        <w:szCs w:val="21"/>
                      </w:rPr>
                    </w:pPr>
                    <w:r w:rsidRPr="0029490B">
                      <w:rPr>
                        <w:rFonts w:asciiTheme="majorEastAsia" w:eastAsiaTheme="majorEastAsia" w:hAnsiTheme="majorEastAsia" w:hint="eastAsia"/>
                        <w:szCs w:val="21"/>
                      </w:rPr>
                      <w:t>期初余额</w:t>
                    </w:r>
                  </w:p>
                </w:tc>
              </w:sdtContent>
            </w:sdt>
          </w:tr>
          <w:tr w:rsidR="0029490B" w:rsidTr="008651A8">
            <w:tc>
              <w:tcPr>
                <w:tcW w:w="843" w:type="pct"/>
                <w:vMerge/>
                <w:tcBorders>
                  <w:left w:val="single" w:sz="4" w:space="0" w:color="auto"/>
                  <w:bottom w:val="single" w:sz="4" w:space="0" w:color="auto"/>
                  <w:right w:val="single" w:sz="4" w:space="0" w:color="auto"/>
                </w:tcBorders>
                <w:vAlign w:val="center"/>
              </w:tcPr>
              <w:p w:rsidR="0029490B" w:rsidRPr="0029490B" w:rsidRDefault="0029490B" w:rsidP="00DB008B">
                <w:pPr>
                  <w:jc w:val="center"/>
                  <w:rPr>
                    <w:rFonts w:asciiTheme="majorEastAsia" w:eastAsiaTheme="majorEastAsia" w:hAnsiTheme="majorEastAsia"/>
                    <w:szCs w:val="21"/>
                  </w:rPr>
                </w:pPr>
              </w:p>
            </w:tc>
            <w:tc>
              <w:tcPr>
                <w:tcW w:w="843" w:type="pct"/>
                <w:vMerge/>
                <w:tcBorders>
                  <w:left w:val="single" w:sz="4" w:space="0" w:color="auto"/>
                  <w:bottom w:val="single" w:sz="4" w:space="0" w:color="auto"/>
                  <w:right w:val="single" w:sz="4" w:space="0" w:color="auto"/>
                </w:tcBorders>
                <w:vAlign w:val="center"/>
              </w:tcPr>
              <w:p w:rsidR="0029490B" w:rsidRPr="0029490B" w:rsidRDefault="0029490B" w:rsidP="00DB008B">
                <w:pPr>
                  <w:jc w:val="center"/>
                  <w:rPr>
                    <w:rFonts w:asciiTheme="majorEastAsia" w:eastAsiaTheme="majorEastAsia" w:hAnsiTheme="majorEastAsia"/>
                    <w:szCs w:val="21"/>
                  </w:rPr>
                </w:pPr>
              </w:p>
            </w:tc>
            <w:sdt>
              <w:sdtPr>
                <w:rPr>
                  <w:rFonts w:asciiTheme="majorEastAsia" w:eastAsiaTheme="majorEastAsia" w:hAnsiTheme="majorEastAsia"/>
                </w:rPr>
                <w:tag w:val="_PLD_0545f54235344f978e1e8356e1b05042"/>
                <w:id w:val="-1692299263"/>
                <w:lock w:val="sdtLocked"/>
              </w:sdtPr>
              <w:sdtContent>
                <w:tc>
                  <w:tcPr>
                    <w:tcW w:w="879" w:type="pct"/>
                    <w:tcBorders>
                      <w:top w:val="single" w:sz="4" w:space="0" w:color="auto"/>
                      <w:left w:val="single" w:sz="4" w:space="0" w:color="auto"/>
                      <w:bottom w:val="single" w:sz="4" w:space="0" w:color="auto"/>
                      <w:right w:val="single" w:sz="4" w:space="0" w:color="auto"/>
                    </w:tcBorders>
                    <w:vAlign w:val="center"/>
                  </w:tcPr>
                  <w:p w:rsidR="0029490B" w:rsidRPr="0029490B" w:rsidRDefault="0029490B" w:rsidP="00DB008B">
                    <w:pPr>
                      <w:jc w:val="center"/>
                      <w:rPr>
                        <w:rFonts w:asciiTheme="majorEastAsia" w:eastAsiaTheme="majorEastAsia" w:hAnsiTheme="majorEastAsia"/>
                        <w:szCs w:val="21"/>
                      </w:rPr>
                    </w:pPr>
                    <w:r w:rsidRPr="0029490B">
                      <w:rPr>
                        <w:rFonts w:asciiTheme="majorEastAsia" w:eastAsiaTheme="majorEastAsia" w:hAnsiTheme="majorEastAsia" w:hint="eastAsia"/>
                        <w:szCs w:val="21"/>
                      </w:rPr>
                      <w:t>账面余额</w:t>
                    </w:r>
                  </w:p>
                </w:tc>
              </w:sdtContent>
            </w:sdt>
            <w:sdt>
              <w:sdtPr>
                <w:rPr>
                  <w:rFonts w:asciiTheme="majorEastAsia" w:eastAsiaTheme="majorEastAsia" w:hAnsiTheme="majorEastAsia"/>
                </w:rPr>
                <w:tag w:val="_PLD_9e6982f3b5cd46e9b3be23eda364cd7a"/>
                <w:id w:val="-1004969682"/>
                <w:lock w:val="sdtLocked"/>
              </w:sdtPr>
              <w:sdtContent>
                <w:tc>
                  <w:tcPr>
                    <w:tcW w:w="784" w:type="pct"/>
                    <w:tcBorders>
                      <w:top w:val="single" w:sz="4" w:space="0" w:color="auto"/>
                      <w:left w:val="single" w:sz="4" w:space="0" w:color="auto"/>
                      <w:bottom w:val="single" w:sz="4" w:space="0" w:color="auto"/>
                      <w:right w:val="single" w:sz="4" w:space="0" w:color="auto"/>
                    </w:tcBorders>
                    <w:vAlign w:val="center"/>
                  </w:tcPr>
                  <w:p w:rsidR="0029490B" w:rsidRPr="0029490B" w:rsidRDefault="0029490B" w:rsidP="00DB008B">
                    <w:pPr>
                      <w:jc w:val="center"/>
                      <w:rPr>
                        <w:rFonts w:asciiTheme="majorEastAsia" w:eastAsiaTheme="majorEastAsia" w:hAnsiTheme="majorEastAsia"/>
                        <w:szCs w:val="21"/>
                      </w:rPr>
                    </w:pPr>
                    <w:r w:rsidRPr="0029490B">
                      <w:rPr>
                        <w:rFonts w:asciiTheme="majorEastAsia" w:eastAsiaTheme="majorEastAsia" w:hAnsiTheme="majorEastAsia" w:hint="eastAsia"/>
                        <w:szCs w:val="21"/>
                      </w:rPr>
                      <w:t>坏账准备</w:t>
                    </w:r>
                  </w:p>
                </w:tc>
              </w:sdtContent>
            </w:sdt>
            <w:sdt>
              <w:sdtPr>
                <w:rPr>
                  <w:rFonts w:asciiTheme="majorEastAsia" w:eastAsiaTheme="majorEastAsia" w:hAnsiTheme="majorEastAsia"/>
                </w:rPr>
                <w:tag w:val="_PLD_5c8e0a4ac99e4539bea932f77317d8de"/>
                <w:id w:val="1913892545"/>
                <w:lock w:val="sdtLocked"/>
              </w:sdtPr>
              <w:sdtContent>
                <w:tc>
                  <w:tcPr>
                    <w:tcW w:w="893" w:type="pct"/>
                    <w:tcBorders>
                      <w:top w:val="single" w:sz="4" w:space="0" w:color="auto"/>
                      <w:left w:val="single" w:sz="4" w:space="0" w:color="auto"/>
                      <w:bottom w:val="single" w:sz="4" w:space="0" w:color="auto"/>
                      <w:right w:val="single" w:sz="4" w:space="0" w:color="auto"/>
                    </w:tcBorders>
                    <w:vAlign w:val="center"/>
                  </w:tcPr>
                  <w:p w:rsidR="0029490B" w:rsidRPr="0029490B" w:rsidRDefault="0029490B" w:rsidP="00DB008B">
                    <w:pPr>
                      <w:jc w:val="center"/>
                      <w:rPr>
                        <w:rFonts w:asciiTheme="majorEastAsia" w:eastAsiaTheme="majorEastAsia" w:hAnsiTheme="majorEastAsia"/>
                        <w:szCs w:val="21"/>
                      </w:rPr>
                    </w:pPr>
                    <w:r w:rsidRPr="0029490B">
                      <w:rPr>
                        <w:rFonts w:asciiTheme="majorEastAsia" w:eastAsiaTheme="majorEastAsia" w:hAnsiTheme="majorEastAsia" w:hint="eastAsia"/>
                        <w:szCs w:val="21"/>
                      </w:rPr>
                      <w:t>账面余额</w:t>
                    </w:r>
                  </w:p>
                </w:tc>
              </w:sdtContent>
            </w:sdt>
            <w:sdt>
              <w:sdtPr>
                <w:rPr>
                  <w:rFonts w:asciiTheme="majorEastAsia" w:eastAsiaTheme="majorEastAsia" w:hAnsiTheme="majorEastAsia"/>
                </w:rPr>
                <w:tag w:val="_PLD_c5afa9908d794831a4bc715802a1061d"/>
                <w:id w:val="1924612070"/>
                <w:lock w:val="sdtLocked"/>
              </w:sdtPr>
              <w:sdtContent>
                <w:tc>
                  <w:tcPr>
                    <w:tcW w:w="758" w:type="pct"/>
                    <w:tcBorders>
                      <w:top w:val="single" w:sz="4" w:space="0" w:color="auto"/>
                      <w:left w:val="single" w:sz="4" w:space="0" w:color="auto"/>
                      <w:bottom w:val="single" w:sz="4" w:space="0" w:color="auto"/>
                      <w:right w:val="single" w:sz="4" w:space="0" w:color="auto"/>
                    </w:tcBorders>
                    <w:vAlign w:val="center"/>
                  </w:tcPr>
                  <w:p w:rsidR="0029490B" w:rsidRPr="0029490B" w:rsidRDefault="0029490B" w:rsidP="00DB008B">
                    <w:pPr>
                      <w:jc w:val="center"/>
                      <w:rPr>
                        <w:rFonts w:asciiTheme="majorEastAsia" w:eastAsiaTheme="majorEastAsia" w:hAnsiTheme="majorEastAsia"/>
                        <w:szCs w:val="21"/>
                      </w:rPr>
                    </w:pPr>
                    <w:r w:rsidRPr="0029490B">
                      <w:rPr>
                        <w:rFonts w:asciiTheme="majorEastAsia" w:eastAsiaTheme="majorEastAsia" w:hAnsiTheme="majorEastAsia" w:hint="eastAsia"/>
                        <w:szCs w:val="21"/>
                      </w:rPr>
                      <w:t>坏账准备</w:t>
                    </w:r>
                  </w:p>
                </w:tc>
              </w:sdtContent>
            </w:sdt>
          </w:tr>
          <w:sdt>
            <w:sdtPr>
              <w:rPr>
                <w:rFonts w:asciiTheme="majorEastAsia" w:eastAsiaTheme="majorEastAsia" w:hAnsiTheme="majorEastAsia" w:hint="eastAsia"/>
                <w:szCs w:val="21"/>
              </w:rPr>
              <w:alias w:val="上市公司应收关联方款项明细"/>
              <w:tag w:val="_TUP_d4126a8f8e414ce2b32aead159dba06a"/>
              <w:id w:val="-1215040285"/>
              <w:lock w:val="sdtLocked"/>
            </w:sdtPr>
            <w:sdtContent>
              <w:tr w:rsidR="0029490B" w:rsidTr="00170C02">
                <w:tc>
                  <w:tcPr>
                    <w:tcW w:w="843" w:type="pct"/>
                    <w:tcBorders>
                      <w:top w:val="single" w:sz="4" w:space="0" w:color="auto"/>
                      <w:left w:val="single" w:sz="4" w:space="0" w:color="auto"/>
                      <w:bottom w:val="single" w:sz="4" w:space="0" w:color="auto"/>
                      <w:right w:val="single" w:sz="4" w:space="0" w:color="auto"/>
                    </w:tcBorders>
                    <w:vAlign w:val="center"/>
                  </w:tcPr>
                  <w:p w:rsidR="0029490B" w:rsidRPr="0029490B" w:rsidRDefault="0029490B" w:rsidP="00DB008B">
                    <w:pPr>
                      <w:autoSpaceDE w:val="0"/>
                      <w:autoSpaceDN w:val="0"/>
                      <w:adjustRightInd w:val="0"/>
                      <w:rPr>
                        <w:rFonts w:asciiTheme="majorEastAsia" w:eastAsiaTheme="majorEastAsia" w:hAnsiTheme="majorEastAsia"/>
                        <w:szCs w:val="21"/>
                      </w:rPr>
                    </w:pPr>
                    <w:r w:rsidRPr="0029490B">
                      <w:rPr>
                        <w:rFonts w:asciiTheme="majorEastAsia" w:eastAsiaTheme="majorEastAsia" w:hAnsiTheme="majorEastAsia"/>
                      </w:rPr>
                      <w:t>应收账款</w:t>
                    </w:r>
                  </w:p>
                </w:tc>
                <w:tc>
                  <w:tcPr>
                    <w:tcW w:w="843" w:type="pct"/>
                    <w:tcBorders>
                      <w:top w:val="single" w:sz="4" w:space="0" w:color="auto"/>
                      <w:left w:val="single" w:sz="4" w:space="0" w:color="auto"/>
                      <w:bottom w:val="single" w:sz="4" w:space="0" w:color="auto"/>
                      <w:right w:val="single" w:sz="4" w:space="0" w:color="auto"/>
                    </w:tcBorders>
                    <w:vAlign w:val="center"/>
                  </w:tcPr>
                  <w:p w:rsidR="0029490B" w:rsidRPr="0029490B" w:rsidRDefault="0029490B" w:rsidP="00DB008B">
                    <w:pPr>
                      <w:autoSpaceDE w:val="0"/>
                      <w:autoSpaceDN w:val="0"/>
                      <w:adjustRightInd w:val="0"/>
                      <w:rPr>
                        <w:rFonts w:asciiTheme="majorEastAsia" w:eastAsiaTheme="majorEastAsia" w:hAnsiTheme="majorEastAsia"/>
                        <w:szCs w:val="21"/>
                      </w:rPr>
                    </w:pPr>
                    <w:r w:rsidRPr="0029490B">
                      <w:rPr>
                        <w:rFonts w:asciiTheme="majorEastAsia" w:eastAsiaTheme="majorEastAsia" w:hAnsiTheme="majorEastAsia"/>
                      </w:rPr>
                      <w:t>国铁集团及其下属单</w:t>
                    </w:r>
                    <w:r w:rsidRPr="0029490B">
                      <w:rPr>
                        <w:rFonts w:asciiTheme="majorEastAsia" w:eastAsiaTheme="majorEastAsia" w:hAnsiTheme="majorEastAsia" w:cs="PMingLiU" w:hint="eastAsia"/>
                      </w:rPr>
                      <w:t>位</w:t>
                    </w:r>
                  </w:p>
                </w:tc>
                <w:tc>
                  <w:tcPr>
                    <w:tcW w:w="879" w:type="pct"/>
                    <w:tcBorders>
                      <w:top w:val="single" w:sz="4" w:space="0" w:color="auto"/>
                      <w:left w:val="single" w:sz="4" w:space="0" w:color="auto"/>
                      <w:bottom w:val="single" w:sz="4" w:space="0" w:color="auto"/>
                      <w:right w:val="single" w:sz="4" w:space="0" w:color="auto"/>
                    </w:tcBorders>
                    <w:vAlign w:val="center"/>
                  </w:tcPr>
                  <w:p w:rsidR="0029490B" w:rsidRPr="0029490B" w:rsidRDefault="0029490B" w:rsidP="00170C02">
                    <w:pPr>
                      <w:autoSpaceDE w:val="0"/>
                      <w:autoSpaceDN w:val="0"/>
                      <w:adjustRightInd w:val="0"/>
                      <w:jc w:val="right"/>
                      <w:rPr>
                        <w:rFonts w:asciiTheme="majorEastAsia" w:eastAsiaTheme="majorEastAsia" w:hAnsiTheme="majorEastAsia"/>
                        <w:szCs w:val="21"/>
                      </w:rPr>
                    </w:pPr>
                    <w:r>
                      <w:t>7,862,163,786</w:t>
                    </w:r>
                  </w:p>
                </w:tc>
                <w:tc>
                  <w:tcPr>
                    <w:tcW w:w="784" w:type="pct"/>
                    <w:tcBorders>
                      <w:top w:val="single" w:sz="4" w:space="0" w:color="auto"/>
                      <w:left w:val="single" w:sz="4" w:space="0" w:color="auto"/>
                      <w:bottom w:val="single" w:sz="4" w:space="0" w:color="auto"/>
                      <w:right w:val="single" w:sz="4" w:space="0" w:color="auto"/>
                    </w:tcBorders>
                    <w:vAlign w:val="center"/>
                  </w:tcPr>
                  <w:p w:rsidR="0029490B" w:rsidRPr="0029490B" w:rsidRDefault="0029490B" w:rsidP="00170C02">
                    <w:pPr>
                      <w:autoSpaceDE w:val="0"/>
                      <w:autoSpaceDN w:val="0"/>
                      <w:adjustRightInd w:val="0"/>
                      <w:jc w:val="right"/>
                      <w:rPr>
                        <w:rFonts w:asciiTheme="majorEastAsia" w:eastAsiaTheme="majorEastAsia" w:hAnsiTheme="majorEastAsia"/>
                        <w:szCs w:val="21"/>
                      </w:rPr>
                    </w:pPr>
                    <w:r>
                      <w:t>198,273,726</w:t>
                    </w:r>
                  </w:p>
                </w:tc>
                <w:tc>
                  <w:tcPr>
                    <w:tcW w:w="893" w:type="pct"/>
                    <w:tcBorders>
                      <w:top w:val="single" w:sz="4" w:space="0" w:color="auto"/>
                      <w:left w:val="single" w:sz="4" w:space="0" w:color="auto"/>
                      <w:bottom w:val="single" w:sz="4" w:space="0" w:color="auto"/>
                      <w:right w:val="single" w:sz="4" w:space="0" w:color="auto"/>
                    </w:tcBorders>
                    <w:vAlign w:val="center"/>
                  </w:tcPr>
                  <w:p w:rsidR="0029490B" w:rsidRPr="0029490B" w:rsidRDefault="0029490B" w:rsidP="00170C02">
                    <w:pPr>
                      <w:autoSpaceDE w:val="0"/>
                      <w:autoSpaceDN w:val="0"/>
                      <w:adjustRightInd w:val="0"/>
                      <w:jc w:val="right"/>
                      <w:rPr>
                        <w:rFonts w:asciiTheme="majorEastAsia" w:eastAsiaTheme="majorEastAsia" w:hAnsiTheme="majorEastAsia"/>
                        <w:szCs w:val="21"/>
                      </w:rPr>
                    </w:pPr>
                    <w:r>
                      <w:t>6,309,354,154</w:t>
                    </w:r>
                  </w:p>
                </w:tc>
                <w:tc>
                  <w:tcPr>
                    <w:tcW w:w="758" w:type="pct"/>
                    <w:tcBorders>
                      <w:top w:val="single" w:sz="4" w:space="0" w:color="auto"/>
                      <w:left w:val="single" w:sz="4" w:space="0" w:color="auto"/>
                      <w:bottom w:val="single" w:sz="4" w:space="0" w:color="auto"/>
                      <w:right w:val="single" w:sz="4" w:space="0" w:color="auto"/>
                    </w:tcBorders>
                    <w:vAlign w:val="center"/>
                  </w:tcPr>
                  <w:p w:rsidR="0029490B" w:rsidRPr="0029490B" w:rsidRDefault="0029490B" w:rsidP="00170C02">
                    <w:pPr>
                      <w:autoSpaceDE w:val="0"/>
                      <w:autoSpaceDN w:val="0"/>
                      <w:adjustRightInd w:val="0"/>
                      <w:jc w:val="right"/>
                      <w:rPr>
                        <w:rFonts w:asciiTheme="majorEastAsia" w:eastAsiaTheme="majorEastAsia" w:hAnsiTheme="majorEastAsia"/>
                        <w:szCs w:val="21"/>
                      </w:rPr>
                    </w:pPr>
                    <w:r>
                      <w:t>366,758,933</w:t>
                    </w:r>
                  </w:p>
                </w:tc>
              </w:tr>
            </w:sdtContent>
          </w:sdt>
          <w:sdt>
            <w:sdtPr>
              <w:rPr>
                <w:rFonts w:asciiTheme="majorEastAsia" w:eastAsiaTheme="majorEastAsia" w:hAnsiTheme="majorEastAsia" w:hint="eastAsia"/>
                <w:szCs w:val="21"/>
              </w:rPr>
              <w:alias w:val="上市公司应收关联方款项明细"/>
              <w:tag w:val="_TUP_d4126a8f8e414ce2b32aead159dba06a"/>
              <w:id w:val="190576098"/>
              <w:lock w:val="sdtLocked"/>
            </w:sdtPr>
            <w:sdtContent>
              <w:tr w:rsidR="0029490B" w:rsidTr="00170C02">
                <w:tc>
                  <w:tcPr>
                    <w:tcW w:w="843" w:type="pct"/>
                    <w:tcBorders>
                      <w:top w:val="single" w:sz="4" w:space="0" w:color="auto"/>
                      <w:left w:val="single" w:sz="4" w:space="0" w:color="auto"/>
                      <w:bottom w:val="single" w:sz="4" w:space="0" w:color="auto"/>
                      <w:right w:val="single" w:sz="4" w:space="0" w:color="auto"/>
                    </w:tcBorders>
                    <w:vAlign w:val="center"/>
                  </w:tcPr>
                  <w:p w:rsidR="0029490B" w:rsidRPr="0029490B" w:rsidRDefault="0029490B" w:rsidP="00DB008B">
                    <w:pPr>
                      <w:autoSpaceDE w:val="0"/>
                      <w:autoSpaceDN w:val="0"/>
                      <w:adjustRightInd w:val="0"/>
                      <w:rPr>
                        <w:rFonts w:asciiTheme="majorEastAsia" w:eastAsiaTheme="majorEastAsia" w:hAnsiTheme="majorEastAsia"/>
                        <w:szCs w:val="21"/>
                      </w:rPr>
                    </w:pPr>
                    <w:r w:rsidRPr="0029490B">
                      <w:rPr>
                        <w:rFonts w:asciiTheme="majorEastAsia" w:eastAsiaTheme="majorEastAsia" w:hAnsiTheme="majorEastAsia"/>
                      </w:rPr>
                      <w:t>应收账款</w:t>
                    </w:r>
                  </w:p>
                </w:tc>
                <w:tc>
                  <w:tcPr>
                    <w:tcW w:w="843" w:type="pct"/>
                    <w:tcBorders>
                      <w:top w:val="single" w:sz="4" w:space="0" w:color="auto"/>
                      <w:left w:val="single" w:sz="4" w:space="0" w:color="auto"/>
                      <w:bottom w:val="single" w:sz="4" w:space="0" w:color="auto"/>
                      <w:right w:val="single" w:sz="4" w:space="0" w:color="auto"/>
                    </w:tcBorders>
                    <w:vAlign w:val="center"/>
                  </w:tcPr>
                  <w:p w:rsidR="0029490B" w:rsidRPr="0029490B" w:rsidRDefault="0029490B" w:rsidP="00DB008B">
                    <w:pPr>
                      <w:autoSpaceDE w:val="0"/>
                      <w:autoSpaceDN w:val="0"/>
                      <w:adjustRightInd w:val="0"/>
                      <w:rPr>
                        <w:rFonts w:asciiTheme="majorEastAsia" w:eastAsiaTheme="majorEastAsia" w:hAnsiTheme="majorEastAsia"/>
                        <w:szCs w:val="21"/>
                      </w:rPr>
                    </w:pPr>
                    <w:r w:rsidRPr="0029490B">
                      <w:rPr>
                        <w:rFonts w:asciiTheme="majorEastAsia" w:eastAsiaTheme="majorEastAsia" w:hAnsiTheme="majorEastAsia" w:cs="PMingLiU" w:hint="eastAsia"/>
                      </w:rPr>
                      <w:t>其中：太原局集团公司及其下属单位</w:t>
                    </w:r>
                  </w:p>
                </w:tc>
                <w:tc>
                  <w:tcPr>
                    <w:tcW w:w="879" w:type="pct"/>
                    <w:tcBorders>
                      <w:top w:val="single" w:sz="4" w:space="0" w:color="auto"/>
                      <w:left w:val="single" w:sz="4" w:space="0" w:color="auto"/>
                      <w:bottom w:val="single" w:sz="4" w:space="0" w:color="auto"/>
                      <w:right w:val="single" w:sz="4" w:space="0" w:color="auto"/>
                    </w:tcBorders>
                    <w:vAlign w:val="center"/>
                  </w:tcPr>
                  <w:p w:rsidR="0029490B" w:rsidRPr="0029490B" w:rsidRDefault="0029490B" w:rsidP="00170C02">
                    <w:pPr>
                      <w:autoSpaceDE w:val="0"/>
                      <w:autoSpaceDN w:val="0"/>
                      <w:adjustRightInd w:val="0"/>
                      <w:jc w:val="right"/>
                      <w:rPr>
                        <w:rFonts w:asciiTheme="majorEastAsia" w:eastAsiaTheme="majorEastAsia" w:hAnsiTheme="majorEastAsia"/>
                        <w:szCs w:val="21"/>
                      </w:rPr>
                    </w:pPr>
                    <w:r>
                      <w:t>3,123,843,192</w:t>
                    </w:r>
                  </w:p>
                </w:tc>
                <w:tc>
                  <w:tcPr>
                    <w:tcW w:w="784" w:type="pct"/>
                    <w:tcBorders>
                      <w:top w:val="single" w:sz="4" w:space="0" w:color="auto"/>
                      <w:left w:val="single" w:sz="4" w:space="0" w:color="auto"/>
                      <w:bottom w:val="single" w:sz="4" w:space="0" w:color="auto"/>
                      <w:right w:val="single" w:sz="4" w:space="0" w:color="auto"/>
                    </w:tcBorders>
                    <w:vAlign w:val="center"/>
                  </w:tcPr>
                  <w:p w:rsidR="0029490B" w:rsidRPr="0029490B" w:rsidRDefault="0029490B" w:rsidP="00170C02">
                    <w:pPr>
                      <w:autoSpaceDE w:val="0"/>
                      <w:autoSpaceDN w:val="0"/>
                      <w:adjustRightInd w:val="0"/>
                      <w:jc w:val="right"/>
                      <w:rPr>
                        <w:rFonts w:asciiTheme="majorEastAsia" w:eastAsiaTheme="majorEastAsia" w:hAnsiTheme="majorEastAsia"/>
                        <w:szCs w:val="21"/>
                      </w:rPr>
                    </w:pPr>
                    <w:r>
                      <w:t>194,941,639</w:t>
                    </w:r>
                  </w:p>
                </w:tc>
                <w:tc>
                  <w:tcPr>
                    <w:tcW w:w="893" w:type="pct"/>
                    <w:tcBorders>
                      <w:top w:val="single" w:sz="4" w:space="0" w:color="auto"/>
                      <w:left w:val="single" w:sz="4" w:space="0" w:color="auto"/>
                      <w:bottom w:val="single" w:sz="4" w:space="0" w:color="auto"/>
                      <w:right w:val="single" w:sz="4" w:space="0" w:color="auto"/>
                    </w:tcBorders>
                    <w:vAlign w:val="center"/>
                  </w:tcPr>
                  <w:p w:rsidR="0029490B" w:rsidRPr="0029490B" w:rsidRDefault="0029490B" w:rsidP="00170C02">
                    <w:pPr>
                      <w:autoSpaceDE w:val="0"/>
                      <w:autoSpaceDN w:val="0"/>
                      <w:adjustRightInd w:val="0"/>
                      <w:jc w:val="right"/>
                      <w:rPr>
                        <w:rFonts w:asciiTheme="majorEastAsia" w:eastAsiaTheme="majorEastAsia" w:hAnsiTheme="majorEastAsia"/>
                        <w:szCs w:val="21"/>
                      </w:rPr>
                    </w:pPr>
                    <w:r>
                      <w:t>3,627,459,100</w:t>
                    </w:r>
                  </w:p>
                </w:tc>
                <w:tc>
                  <w:tcPr>
                    <w:tcW w:w="758" w:type="pct"/>
                    <w:tcBorders>
                      <w:top w:val="single" w:sz="4" w:space="0" w:color="auto"/>
                      <w:left w:val="single" w:sz="4" w:space="0" w:color="auto"/>
                      <w:bottom w:val="single" w:sz="4" w:space="0" w:color="auto"/>
                      <w:right w:val="single" w:sz="4" w:space="0" w:color="auto"/>
                    </w:tcBorders>
                    <w:vAlign w:val="center"/>
                  </w:tcPr>
                  <w:p w:rsidR="0029490B" w:rsidRPr="0029490B" w:rsidRDefault="0029490B" w:rsidP="00170C02">
                    <w:pPr>
                      <w:autoSpaceDE w:val="0"/>
                      <w:autoSpaceDN w:val="0"/>
                      <w:adjustRightInd w:val="0"/>
                      <w:jc w:val="right"/>
                      <w:rPr>
                        <w:rFonts w:asciiTheme="majorEastAsia" w:eastAsiaTheme="majorEastAsia" w:hAnsiTheme="majorEastAsia"/>
                        <w:szCs w:val="21"/>
                      </w:rPr>
                    </w:pPr>
                    <w:r>
                      <w:t>231,298,712</w:t>
                    </w:r>
                  </w:p>
                </w:tc>
              </w:tr>
            </w:sdtContent>
          </w:sdt>
          <w:sdt>
            <w:sdtPr>
              <w:rPr>
                <w:rFonts w:asciiTheme="majorEastAsia" w:eastAsiaTheme="majorEastAsia" w:hAnsiTheme="majorEastAsia" w:hint="eastAsia"/>
                <w:szCs w:val="21"/>
              </w:rPr>
              <w:alias w:val="上市公司应收关联方款项明细"/>
              <w:tag w:val="_TUP_d4126a8f8e414ce2b32aead159dba06a"/>
              <w:id w:val="1563834564"/>
              <w:lock w:val="sdtLocked"/>
            </w:sdtPr>
            <w:sdtContent>
              <w:tr w:rsidR="0029490B" w:rsidTr="00170C02">
                <w:tc>
                  <w:tcPr>
                    <w:tcW w:w="843" w:type="pct"/>
                    <w:tcBorders>
                      <w:top w:val="single" w:sz="4" w:space="0" w:color="auto"/>
                      <w:left w:val="single" w:sz="4" w:space="0" w:color="auto"/>
                      <w:bottom w:val="single" w:sz="4" w:space="0" w:color="auto"/>
                      <w:right w:val="single" w:sz="4" w:space="0" w:color="auto"/>
                    </w:tcBorders>
                    <w:vAlign w:val="center"/>
                  </w:tcPr>
                  <w:p w:rsidR="0029490B" w:rsidRPr="0029490B" w:rsidRDefault="0029490B" w:rsidP="00DB008B">
                    <w:pPr>
                      <w:autoSpaceDE w:val="0"/>
                      <w:autoSpaceDN w:val="0"/>
                      <w:adjustRightInd w:val="0"/>
                      <w:rPr>
                        <w:rFonts w:asciiTheme="majorEastAsia" w:eastAsiaTheme="majorEastAsia" w:hAnsiTheme="majorEastAsia"/>
                        <w:szCs w:val="21"/>
                      </w:rPr>
                    </w:pPr>
                    <w:r w:rsidRPr="0029490B">
                      <w:rPr>
                        <w:rFonts w:asciiTheme="majorEastAsia" w:eastAsiaTheme="majorEastAsia" w:hAnsiTheme="majorEastAsia"/>
                      </w:rPr>
                      <w:t>其他应收款</w:t>
                    </w:r>
                  </w:p>
                </w:tc>
                <w:tc>
                  <w:tcPr>
                    <w:tcW w:w="843" w:type="pct"/>
                    <w:tcBorders>
                      <w:top w:val="single" w:sz="4" w:space="0" w:color="auto"/>
                      <w:left w:val="single" w:sz="4" w:space="0" w:color="auto"/>
                      <w:bottom w:val="single" w:sz="4" w:space="0" w:color="auto"/>
                      <w:right w:val="single" w:sz="4" w:space="0" w:color="auto"/>
                    </w:tcBorders>
                    <w:vAlign w:val="center"/>
                  </w:tcPr>
                  <w:p w:rsidR="0029490B" w:rsidRPr="0029490B" w:rsidRDefault="0029490B" w:rsidP="00DB008B">
                    <w:pPr>
                      <w:autoSpaceDE w:val="0"/>
                      <w:autoSpaceDN w:val="0"/>
                      <w:adjustRightInd w:val="0"/>
                      <w:rPr>
                        <w:rFonts w:asciiTheme="majorEastAsia" w:eastAsiaTheme="majorEastAsia" w:hAnsiTheme="majorEastAsia"/>
                        <w:szCs w:val="21"/>
                      </w:rPr>
                    </w:pPr>
                    <w:r w:rsidRPr="0029490B">
                      <w:rPr>
                        <w:rFonts w:asciiTheme="majorEastAsia" w:eastAsiaTheme="majorEastAsia" w:hAnsiTheme="majorEastAsia" w:cs="PMingLiU" w:hint="eastAsia"/>
                      </w:rPr>
                      <w:t>国铁集团及其下属单位</w:t>
                    </w:r>
                  </w:p>
                </w:tc>
                <w:tc>
                  <w:tcPr>
                    <w:tcW w:w="879" w:type="pct"/>
                    <w:tcBorders>
                      <w:top w:val="single" w:sz="4" w:space="0" w:color="auto"/>
                      <w:left w:val="single" w:sz="4" w:space="0" w:color="auto"/>
                      <w:bottom w:val="single" w:sz="4" w:space="0" w:color="auto"/>
                      <w:right w:val="single" w:sz="4" w:space="0" w:color="auto"/>
                    </w:tcBorders>
                    <w:vAlign w:val="center"/>
                  </w:tcPr>
                  <w:p w:rsidR="0029490B" w:rsidRPr="0029490B" w:rsidRDefault="0029490B" w:rsidP="00170C02">
                    <w:pPr>
                      <w:autoSpaceDE w:val="0"/>
                      <w:autoSpaceDN w:val="0"/>
                      <w:adjustRightInd w:val="0"/>
                      <w:jc w:val="right"/>
                      <w:rPr>
                        <w:rFonts w:asciiTheme="majorEastAsia" w:eastAsiaTheme="majorEastAsia" w:hAnsiTheme="majorEastAsia"/>
                        <w:szCs w:val="21"/>
                      </w:rPr>
                    </w:pPr>
                    <w:r>
                      <w:t>1,708,191,620</w:t>
                    </w:r>
                  </w:p>
                </w:tc>
                <w:tc>
                  <w:tcPr>
                    <w:tcW w:w="784" w:type="pct"/>
                    <w:tcBorders>
                      <w:top w:val="single" w:sz="4" w:space="0" w:color="auto"/>
                      <w:left w:val="single" w:sz="4" w:space="0" w:color="auto"/>
                      <w:bottom w:val="single" w:sz="4" w:space="0" w:color="auto"/>
                      <w:right w:val="single" w:sz="4" w:space="0" w:color="auto"/>
                    </w:tcBorders>
                    <w:vAlign w:val="center"/>
                  </w:tcPr>
                  <w:p w:rsidR="0029490B" w:rsidRPr="0029490B" w:rsidRDefault="0029490B" w:rsidP="00170C02">
                    <w:pPr>
                      <w:autoSpaceDE w:val="0"/>
                      <w:autoSpaceDN w:val="0"/>
                      <w:adjustRightInd w:val="0"/>
                      <w:jc w:val="right"/>
                      <w:rPr>
                        <w:rFonts w:asciiTheme="majorEastAsia" w:eastAsiaTheme="majorEastAsia" w:hAnsiTheme="majorEastAsia"/>
                        <w:szCs w:val="21"/>
                      </w:rPr>
                    </w:pPr>
                    <w:r>
                      <w:t>0</w:t>
                    </w:r>
                  </w:p>
                </w:tc>
                <w:tc>
                  <w:tcPr>
                    <w:tcW w:w="893" w:type="pct"/>
                    <w:tcBorders>
                      <w:top w:val="single" w:sz="4" w:space="0" w:color="auto"/>
                      <w:left w:val="single" w:sz="4" w:space="0" w:color="auto"/>
                      <w:bottom w:val="single" w:sz="4" w:space="0" w:color="auto"/>
                      <w:right w:val="single" w:sz="4" w:space="0" w:color="auto"/>
                    </w:tcBorders>
                    <w:vAlign w:val="center"/>
                  </w:tcPr>
                  <w:p w:rsidR="0029490B" w:rsidRPr="0029490B" w:rsidRDefault="0029490B" w:rsidP="00170C02">
                    <w:pPr>
                      <w:autoSpaceDE w:val="0"/>
                      <w:autoSpaceDN w:val="0"/>
                      <w:adjustRightInd w:val="0"/>
                      <w:jc w:val="right"/>
                      <w:rPr>
                        <w:rFonts w:asciiTheme="majorEastAsia" w:eastAsiaTheme="majorEastAsia" w:hAnsiTheme="majorEastAsia"/>
                        <w:szCs w:val="21"/>
                      </w:rPr>
                    </w:pPr>
                    <w:r>
                      <w:t>3,115,756,702</w:t>
                    </w:r>
                  </w:p>
                </w:tc>
                <w:tc>
                  <w:tcPr>
                    <w:tcW w:w="758" w:type="pct"/>
                    <w:tcBorders>
                      <w:top w:val="single" w:sz="4" w:space="0" w:color="auto"/>
                      <w:left w:val="single" w:sz="4" w:space="0" w:color="auto"/>
                      <w:bottom w:val="single" w:sz="4" w:space="0" w:color="auto"/>
                      <w:right w:val="single" w:sz="4" w:space="0" w:color="auto"/>
                    </w:tcBorders>
                    <w:vAlign w:val="center"/>
                  </w:tcPr>
                  <w:p w:rsidR="0029490B" w:rsidRPr="0029490B" w:rsidRDefault="0029490B" w:rsidP="00170C02">
                    <w:pPr>
                      <w:autoSpaceDE w:val="0"/>
                      <w:autoSpaceDN w:val="0"/>
                      <w:adjustRightInd w:val="0"/>
                      <w:jc w:val="right"/>
                      <w:rPr>
                        <w:rFonts w:asciiTheme="majorEastAsia" w:eastAsiaTheme="majorEastAsia" w:hAnsiTheme="majorEastAsia"/>
                        <w:szCs w:val="21"/>
                      </w:rPr>
                    </w:pPr>
                    <w:r>
                      <w:t>0</w:t>
                    </w:r>
                  </w:p>
                </w:tc>
              </w:tr>
            </w:sdtContent>
          </w:sdt>
          <w:sdt>
            <w:sdtPr>
              <w:rPr>
                <w:rFonts w:asciiTheme="majorEastAsia" w:eastAsiaTheme="majorEastAsia" w:hAnsiTheme="majorEastAsia" w:hint="eastAsia"/>
                <w:szCs w:val="21"/>
              </w:rPr>
              <w:alias w:val="上市公司应收关联方款项明细"/>
              <w:tag w:val="_TUP_d4126a8f8e414ce2b32aead159dba06a"/>
              <w:id w:val="296041555"/>
              <w:lock w:val="sdtLocked"/>
            </w:sdtPr>
            <w:sdtContent>
              <w:tr w:rsidR="0029490B" w:rsidTr="00170C02">
                <w:tc>
                  <w:tcPr>
                    <w:tcW w:w="843" w:type="pct"/>
                    <w:tcBorders>
                      <w:top w:val="single" w:sz="4" w:space="0" w:color="auto"/>
                      <w:left w:val="single" w:sz="4" w:space="0" w:color="auto"/>
                      <w:bottom w:val="single" w:sz="4" w:space="0" w:color="auto"/>
                      <w:right w:val="single" w:sz="4" w:space="0" w:color="auto"/>
                    </w:tcBorders>
                    <w:vAlign w:val="center"/>
                  </w:tcPr>
                  <w:p w:rsidR="0029490B" w:rsidRPr="0029490B" w:rsidRDefault="0029490B" w:rsidP="00DB008B">
                    <w:pPr>
                      <w:autoSpaceDE w:val="0"/>
                      <w:autoSpaceDN w:val="0"/>
                      <w:adjustRightInd w:val="0"/>
                      <w:rPr>
                        <w:rFonts w:asciiTheme="majorEastAsia" w:eastAsiaTheme="majorEastAsia" w:hAnsiTheme="majorEastAsia"/>
                        <w:szCs w:val="21"/>
                      </w:rPr>
                    </w:pPr>
                    <w:r w:rsidRPr="0029490B">
                      <w:rPr>
                        <w:rFonts w:asciiTheme="majorEastAsia" w:eastAsiaTheme="majorEastAsia" w:hAnsiTheme="majorEastAsia"/>
                      </w:rPr>
                      <w:t>其他应收款</w:t>
                    </w:r>
                  </w:p>
                </w:tc>
                <w:tc>
                  <w:tcPr>
                    <w:tcW w:w="843" w:type="pct"/>
                    <w:tcBorders>
                      <w:top w:val="single" w:sz="4" w:space="0" w:color="auto"/>
                      <w:left w:val="single" w:sz="4" w:space="0" w:color="auto"/>
                      <w:bottom w:val="single" w:sz="4" w:space="0" w:color="auto"/>
                      <w:right w:val="single" w:sz="4" w:space="0" w:color="auto"/>
                    </w:tcBorders>
                    <w:vAlign w:val="center"/>
                  </w:tcPr>
                  <w:p w:rsidR="0029490B" w:rsidRPr="0029490B" w:rsidRDefault="0029490B" w:rsidP="00DB008B">
                    <w:pPr>
                      <w:autoSpaceDE w:val="0"/>
                      <w:autoSpaceDN w:val="0"/>
                      <w:adjustRightInd w:val="0"/>
                      <w:rPr>
                        <w:rFonts w:asciiTheme="majorEastAsia" w:eastAsiaTheme="majorEastAsia" w:hAnsiTheme="majorEastAsia"/>
                        <w:szCs w:val="21"/>
                      </w:rPr>
                    </w:pPr>
                    <w:r w:rsidRPr="0029490B">
                      <w:rPr>
                        <w:rFonts w:asciiTheme="majorEastAsia" w:eastAsiaTheme="majorEastAsia" w:hAnsiTheme="majorEastAsia" w:cs="PMingLiU" w:hint="eastAsia"/>
                      </w:rPr>
                      <w:t>其中：太原局集团公司及其下属单位</w:t>
                    </w:r>
                  </w:p>
                </w:tc>
                <w:tc>
                  <w:tcPr>
                    <w:tcW w:w="879" w:type="pct"/>
                    <w:tcBorders>
                      <w:top w:val="single" w:sz="4" w:space="0" w:color="auto"/>
                      <w:left w:val="single" w:sz="4" w:space="0" w:color="auto"/>
                      <w:bottom w:val="single" w:sz="4" w:space="0" w:color="auto"/>
                      <w:right w:val="single" w:sz="4" w:space="0" w:color="auto"/>
                    </w:tcBorders>
                    <w:vAlign w:val="center"/>
                  </w:tcPr>
                  <w:p w:rsidR="0029490B" w:rsidRPr="0029490B" w:rsidRDefault="0029490B" w:rsidP="00170C02">
                    <w:pPr>
                      <w:autoSpaceDE w:val="0"/>
                      <w:autoSpaceDN w:val="0"/>
                      <w:adjustRightInd w:val="0"/>
                      <w:jc w:val="right"/>
                      <w:rPr>
                        <w:rFonts w:asciiTheme="majorEastAsia" w:eastAsiaTheme="majorEastAsia" w:hAnsiTheme="majorEastAsia"/>
                        <w:szCs w:val="21"/>
                      </w:rPr>
                    </w:pPr>
                    <w:r>
                      <w:t>1,698,284,014</w:t>
                    </w:r>
                  </w:p>
                </w:tc>
                <w:tc>
                  <w:tcPr>
                    <w:tcW w:w="784" w:type="pct"/>
                    <w:tcBorders>
                      <w:top w:val="single" w:sz="4" w:space="0" w:color="auto"/>
                      <w:left w:val="single" w:sz="4" w:space="0" w:color="auto"/>
                      <w:bottom w:val="single" w:sz="4" w:space="0" w:color="auto"/>
                      <w:right w:val="single" w:sz="4" w:space="0" w:color="auto"/>
                    </w:tcBorders>
                    <w:vAlign w:val="center"/>
                  </w:tcPr>
                  <w:p w:rsidR="0029490B" w:rsidRPr="0029490B" w:rsidRDefault="0029490B" w:rsidP="00170C02">
                    <w:pPr>
                      <w:autoSpaceDE w:val="0"/>
                      <w:autoSpaceDN w:val="0"/>
                      <w:adjustRightInd w:val="0"/>
                      <w:jc w:val="right"/>
                      <w:rPr>
                        <w:rFonts w:asciiTheme="majorEastAsia" w:eastAsiaTheme="majorEastAsia" w:hAnsiTheme="majorEastAsia"/>
                        <w:szCs w:val="21"/>
                      </w:rPr>
                    </w:pPr>
                    <w:r>
                      <w:t>0 </w:t>
                    </w:r>
                  </w:p>
                </w:tc>
                <w:tc>
                  <w:tcPr>
                    <w:tcW w:w="893" w:type="pct"/>
                    <w:tcBorders>
                      <w:top w:val="single" w:sz="4" w:space="0" w:color="auto"/>
                      <w:left w:val="single" w:sz="4" w:space="0" w:color="auto"/>
                      <w:bottom w:val="single" w:sz="4" w:space="0" w:color="auto"/>
                      <w:right w:val="single" w:sz="4" w:space="0" w:color="auto"/>
                    </w:tcBorders>
                    <w:vAlign w:val="center"/>
                  </w:tcPr>
                  <w:p w:rsidR="0029490B" w:rsidRPr="0029490B" w:rsidRDefault="0029490B" w:rsidP="00170C02">
                    <w:pPr>
                      <w:autoSpaceDE w:val="0"/>
                      <w:autoSpaceDN w:val="0"/>
                      <w:adjustRightInd w:val="0"/>
                      <w:jc w:val="right"/>
                      <w:rPr>
                        <w:rFonts w:asciiTheme="majorEastAsia" w:eastAsiaTheme="majorEastAsia" w:hAnsiTheme="majorEastAsia"/>
                        <w:szCs w:val="21"/>
                      </w:rPr>
                    </w:pPr>
                    <w:r>
                      <w:t>3,114,456,493</w:t>
                    </w:r>
                  </w:p>
                </w:tc>
                <w:tc>
                  <w:tcPr>
                    <w:tcW w:w="758" w:type="pct"/>
                    <w:tcBorders>
                      <w:top w:val="single" w:sz="4" w:space="0" w:color="auto"/>
                      <w:left w:val="single" w:sz="4" w:space="0" w:color="auto"/>
                      <w:bottom w:val="single" w:sz="4" w:space="0" w:color="auto"/>
                      <w:right w:val="single" w:sz="4" w:space="0" w:color="auto"/>
                    </w:tcBorders>
                    <w:vAlign w:val="center"/>
                  </w:tcPr>
                  <w:p w:rsidR="0029490B" w:rsidRPr="0029490B" w:rsidRDefault="0029490B" w:rsidP="00170C02">
                    <w:pPr>
                      <w:autoSpaceDE w:val="0"/>
                      <w:autoSpaceDN w:val="0"/>
                      <w:adjustRightInd w:val="0"/>
                      <w:jc w:val="right"/>
                      <w:rPr>
                        <w:rFonts w:asciiTheme="majorEastAsia" w:eastAsiaTheme="majorEastAsia" w:hAnsiTheme="majorEastAsia"/>
                        <w:szCs w:val="21"/>
                      </w:rPr>
                    </w:pPr>
                    <w:r>
                      <w:t>0</w:t>
                    </w:r>
                  </w:p>
                </w:tc>
              </w:tr>
            </w:sdtContent>
          </w:sdt>
          <w:sdt>
            <w:sdtPr>
              <w:rPr>
                <w:rFonts w:asciiTheme="majorEastAsia" w:eastAsiaTheme="majorEastAsia" w:hAnsiTheme="majorEastAsia" w:hint="eastAsia"/>
                <w:szCs w:val="21"/>
              </w:rPr>
              <w:alias w:val="上市公司应收关联方款项明细"/>
              <w:tag w:val="_TUP_d4126a8f8e414ce2b32aead159dba06a"/>
              <w:id w:val="-1648425782"/>
              <w:lock w:val="sdtLocked"/>
            </w:sdtPr>
            <w:sdtContent>
              <w:tr w:rsidR="0029490B" w:rsidTr="00170C02">
                <w:tc>
                  <w:tcPr>
                    <w:tcW w:w="843" w:type="pct"/>
                    <w:tcBorders>
                      <w:top w:val="single" w:sz="4" w:space="0" w:color="auto"/>
                      <w:left w:val="single" w:sz="4" w:space="0" w:color="auto"/>
                      <w:bottom w:val="single" w:sz="4" w:space="0" w:color="auto"/>
                      <w:right w:val="single" w:sz="4" w:space="0" w:color="auto"/>
                    </w:tcBorders>
                    <w:vAlign w:val="center"/>
                  </w:tcPr>
                  <w:p w:rsidR="0029490B" w:rsidRPr="0029490B" w:rsidRDefault="0029490B" w:rsidP="00DB008B">
                    <w:pPr>
                      <w:autoSpaceDE w:val="0"/>
                      <w:autoSpaceDN w:val="0"/>
                      <w:adjustRightInd w:val="0"/>
                      <w:rPr>
                        <w:rFonts w:asciiTheme="majorEastAsia" w:eastAsiaTheme="majorEastAsia" w:hAnsiTheme="majorEastAsia"/>
                        <w:szCs w:val="21"/>
                      </w:rPr>
                    </w:pPr>
                    <w:r w:rsidRPr="0029490B">
                      <w:rPr>
                        <w:rFonts w:asciiTheme="majorEastAsia" w:eastAsiaTheme="majorEastAsia" w:hAnsiTheme="majorEastAsia"/>
                      </w:rPr>
                      <w:t>其他应收款</w:t>
                    </w:r>
                  </w:p>
                </w:tc>
                <w:tc>
                  <w:tcPr>
                    <w:tcW w:w="843" w:type="pct"/>
                    <w:tcBorders>
                      <w:top w:val="single" w:sz="4" w:space="0" w:color="auto"/>
                      <w:left w:val="single" w:sz="4" w:space="0" w:color="auto"/>
                      <w:bottom w:val="single" w:sz="4" w:space="0" w:color="auto"/>
                      <w:right w:val="single" w:sz="4" w:space="0" w:color="auto"/>
                    </w:tcBorders>
                    <w:vAlign w:val="center"/>
                  </w:tcPr>
                  <w:p w:rsidR="0029490B" w:rsidRPr="0029490B" w:rsidRDefault="0029490B" w:rsidP="00DB008B">
                    <w:pPr>
                      <w:autoSpaceDE w:val="0"/>
                      <w:autoSpaceDN w:val="0"/>
                      <w:adjustRightInd w:val="0"/>
                      <w:rPr>
                        <w:rFonts w:asciiTheme="majorEastAsia" w:eastAsiaTheme="majorEastAsia" w:hAnsiTheme="majorEastAsia"/>
                        <w:szCs w:val="21"/>
                      </w:rPr>
                    </w:pPr>
                    <w:r w:rsidRPr="0029490B">
                      <w:rPr>
                        <w:rFonts w:asciiTheme="majorEastAsia" w:eastAsiaTheme="majorEastAsia" w:hAnsiTheme="majorEastAsia" w:cs="PMingLiU" w:hint="eastAsia"/>
                      </w:rPr>
                      <w:t>本公司之联营企业</w:t>
                    </w:r>
                  </w:p>
                </w:tc>
                <w:tc>
                  <w:tcPr>
                    <w:tcW w:w="879" w:type="pct"/>
                    <w:tcBorders>
                      <w:top w:val="single" w:sz="4" w:space="0" w:color="auto"/>
                      <w:left w:val="single" w:sz="4" w:space="0" w:color="auto"/>
                      <w:bottom w:val="single" w:sz="4" w:space="0" w:color="auto"/>
                      <w:right w:val="single" w:sz="4" w:space="0" w:color="auto"/>
                    </w:tcBorders>
                    <w:vAlign w:val="center"/>
                  </w:tcPr>
                  <w:p w:rsidR="0029490B" w:rsidRPr="0029490B" w:rsidRDefault="0029490B" w:rsidP="00170C02">
                    <w:pPr>
                      <w:autoSpaceDE w:val="0"/>
                      <w:autoSpaceDN w:val="0"/>
                      <w:adjustRightInd w:val="0"/>
                      <w:jc w:val="right"/>
                      <w:rPr>
                        <w:rFonts w:asciiTheme="majorEastAsia" w:eastAsiaTheme="majorEastAsia" w:hAnsiTheme="majorEastAsia"/>
                        <w:szCs w:val="21"/>
                      </w:rPr>
                    </w:pPr>
                    <w:r>
                      <w:t>2,406,670,308</w:t>
                    </w:r>
                  </w:p>
                </w:tc>
                <w:tc>
                  <w:tcPr>
                    <w:tcW w:w="784" w:type="pct"/>
                    <w:tcBorders>
                      <w:top w:val="single" w:sz="4" w:space="0" w:color="auto"/>
                      <w:left w:val="single" w:sz="4" w:space="0" w:color="auto"/>
                      <w:bottom w:val="single" w:sz="4" w:space="0" w:color="auto"/>
                      <w:right w:val="single" w:sz="4" w:space="0" w:color="auto"/>
                    </w:tcBorders>
                    <w:vAlign w:val="center"/>
                  </w:tcPr>
                  <w:p w:rsidR="0029490B" w:rsidRPr="0029490B" w:rsidRDefault="0029490B" w:rsidP="00170C02">
                    <w:pPr>
                      <w:autoSpaceDE w:val="0"/>
                      <w:autoSpaceDN w:val="0"/>
                      <w:adjustRightInd w:val="0"/>
                      <w:jc w:val="right"/>
                      <w:rPr>
                        <w:rFonts w:asciiTheme="majorEastAsia" w:eastAsiaTheme="majorEastAsia" w:hAnsiTheme="majorEastAsia"/>
                        <w:szCs w:val="21"/>
                      </w:rPr>
                    </w:pPr>
                    <w:r>
                      <w:t>0</w:t>
                    </w:r>
                  </w:p>
                </w:tc>
                <w:tc>
                  <w:tcPr>
                    <w:tcW w:w="893" w:type="pct"/>
                    <w:tcBorders>
                      <w:top w:val="single" w:sz="4" w:space="0" w:color="auto"/>
                      <w:left w:val="single" w:sz="4" w:space="0" w:color="auto"/>
                      <w:bottom w:val="single" w:sz="4" w:space="0" w:color="auto"/>
                      <w:right w:val="single" w:sz="4" w:space="0" w:color="auto"/>
                    </w:tcBorders>
                    <w:vAlign w:val="center"/>
                  </w:tcPr>
                  <w:p w:rsidR="0029490B" w:rsidRPr="0029490B" w:rsidRDefault="0029490B" w:rsidP="00170C02">
                    <w:pPr>
                      <w:autoSpaceDE w:val="0"/>
                      <w:autoSpaceDN w:val="0"/>
                      <w:adjustRightInd w:val="0"/>
                      <w:jc w:val="right"/>
                      <w:rPr>
                        <w:rFonts w:asciiTheme="majorEastAsia" w:eastAsiaTheme="majorEastAsia" w:hAnsiTheme="majorEastAsia"/>
                        <w:szCs w:val="21"/>
                      </w:rPr>
                    </w:pPr>
                    <w:r>
                      <w:t>0</w:t>
                    </w:r>
                  </w:p>
                </w:tc>
                <w:tc>
                  <w:tcPr>
                    <w:tcW w:w="758" w:type="pct"/>
                    <w:tcBorders>
                      <w:top w:val="single" w:sz="4" w:space="0" w:color="auto"/>
                      <w:left w:val="single" w:sz="4" w:space="0" w:color="auto"/>
                      <w:bottom w:val="single" w:sz="4" w:space="0" w:color="auto"/>
                      <w:right w:val="single" w:sz="4" w:space="0" w:color="auto"/>
                    </w:tcBorders>
                    <w:vAlign w:val="center"/>
                  </w:tcPr>
                  <w:p w:rsidR="0029490B" w:rsidRPr="0029490B" w:rsidRDefault="0029490B" w:rsidP="00170C02">
                    <w:pPr>
                      <w:autoSpaceDE w:val="0"/>
                      <w:autoSpaceDN w:val="0"/>
                      <w:adjustRightInd w:val="0"/>
                      <w:jc w:val="right"/>
                      <w:rPr>
                        <w:rFonts w:asciiTheme="majorEastAsia" w:eastAsiaTheme="majorEastAsia" w:hAnsiTheme="majorEastAsia"/>
                        <w:szCs w:val="21"/>
                      </w:rPr>
                    </w:pPr>
                    <w:r>
                      <w:t>0</w:t>
                    </w:r>
                  </w:p>
                </w:tc>
              </w:tr>
            </w:sdtContent>
          </w:sdt>
          <w:sdt>
            <w:sdtPr>
              <w:rPr>
                <w:rFonts w:asciiTheme="majorEastAsia" w:eastAsiaTheme="majorEastAsia" w:hAnsiTheme="majorEastAsia" w:hint="eastAsia"/>
                <w:szCs w:val="21"/>
              </w:rPr>
              <w:alias w:val="上市公司应收关联方款项明细"/>
              <w:tag w:val="_TUP_d4126a8f8e414ce2b32aead159dba06a"/>
              <w:id w:val="-263837489"/>
              <w:lock w:val="sdtLocked"/>
            </w:sdtPr>
            <w:sdtContent>
              <w:tr w:rsidR="0029490B" w:rsidTr="00170C02">
                <w:tc>
                  <w:tcPr>
                    <w:tcW w:w="843" w:type="pct"/>
                    <w:tcBorders>
                      <w:top w:val="single" w:sz="4" w:space="0" w:color="auto"/>
                      <w:left w:val="single" w:sz="4" w:space="0" w:color="auto"/>
                      <w:bottom w:val="single" w:sz="4" w:space="0" w:color="auto"/>
                      <w:right w:val="single" w:sz="4" w:space="0" w:color="auto"/>
                    </w:tcBorders>
                    <w:vAlign w:val="center"/>
                  </w:tcPr>
                  <w:p w:rsidR="0029490B" w:rsidRPr="0029490B" w:rsidRDefault="0029490B" w:rsidP="00DB008B">
                    <w:pPr>
                      <w:autoSpaceDE w:val="0"/>
                      <w:autoSpaceDN w:val="0"/>
                      <w:adjustRightInd w:val="0"/>
                      <w:rPr>
                        <w:rFonts w:asciiTheme="majorEastAsia" w:eastAsiaTheme="majorEastAsia" w:hAnsiTheme="majorEastAsia"/>
                        <w:szCs w:val="21"/>
                      </w:rPr>
                    </w:pPr>
                    <w:r w:rsidRPr="0029490B">
                      <w:rPr>
                        <w:rFonts w:asciiTheme="majorEastAsia" w:eastAsiaTheme="majorEastAsia" w:hAnsiTheme="majorEastAsia"/>
                      </w:rPr>
                      <w:t>预付账款</w:t>
                    </w:r>
                  </w:p>
                </w:tc>
                <w:tc>
                  <w:tcPr>
                    <w:tcW w:w="843" w:type="pct"/>
                    <w:tcBorders>
                      <w:top w:val="single" w:sz="4" w:space="0" w:color="auto"/>
                      <w:left w:val="single" w:sz="4" w:space="0" w:color="auto"/>
                      <w:bottom w:val="single" w:sz="4" w:space="0" w:color="auto"/>
                      <w:right w:val="single" w:sz="4" w:space="0" w:color="auto"/>
                    </w:tcBorders>
                    <w:vAlign w:val="center"/>
                  </w:tcPr>
                  <w:p w:rsidR="0029490B" w:rsidRPr="0029490B" w:rsidRDefault="0029490B" w:rsidP="00DB008B">
                    <w:pPr>
                      <w:autoSpaceDE w:val="0"/>
                      <w:autoSpaceDN w:val="0"/>
                      <w:adjustRightInd w:val="0"/>
                      <w:rPr>
                        <w:rFonts w:asciiTheme="majorEastAsia" w:eastAsiaTheme="majorEastAsia" w:hAnsiTheme="majorEastAsia"/>
                        <w:szCs w:val="21"/>
                      </w:rPr>
                    </w:pPr>
                    <w:r w:rsidRPr="0029490B">
                      <w:rPr>
                        <w:rFonts w:asciiTheme="majorEastAsia" w:eastAsiaTheme="majorEastAsia" w:hAnsiTheme="majorEastAsia" w:cs="PMingLiU" w:hint="eastAsia"/>
                      </w:rPr>
                      <w:t>国铁集团及其下属单位</w:t>
                    </w:r>
                  </w:p>
                </w:tc>
                <w:tc>
                  <w:tcPr>
                    <w:tcW w:w="879" w:type="pct"/>
                    <w:tcBorders>
                      <w:top w:val="single" w:sz="4" w:space="0" w:color="auto"/>
                      <w:left w:val="single" w:sz="4" w:space="0" w:color="auto"/>
                      <w:bottom w:val="single" w:sz="4" w:space="0" w:color="auto"/>
                      <w:right w:val="single" w:sz="4" w:space="0" w:color="auto"/>
                    </w:tcBorders>
                    <w:vAlign w:val="center"/>
                  </w:tcPr>
                  <w:p w:rsidR="0029490B" w:rsidRPr="0029490B" w:rsidRDefault="0029490B" w:rsidP="00170C02">
                    <w:pPr>
                      <w:autoSpaceDE w:val="0"/>
                      <w:autoSpaceDN w:val="0"/>
                      <w:adjustRightInd w:val="0"/>
                      <w:jc w:val="right"/>
                      <w:rPr>
                        <w:rFonts w:asciiTheme="majorEastAsia" w:eastAsiaTheme="majorEastAsia" w:hAnsiTheme="majorEastAsia"/>
                        <w:szCs w:val="21"/>
                      </w:rPr>
                    </w:pPr>
                    <w:r>
                      <w:t>194,660</w:t>
                    </w:r>
                  </w:p>
                </w:tc>
                <w:tc>
                  <w:tcPr>
                    <w:tcW w:w="784" w:type="pct"/>
                    <w:tcBorders>
                      <w:top w:val="single" w:sz="4" w:space="0" w:color="auto"/>
                      <w:left w:val="single" w:sz="4" w:space="0" w:color="auto"/>
                      <w:bottom w:val="single" w:sz="4" w:space="0" w:color="auto"/>
                      <w:right w:val="single" w:sz="4" w:space="0" w:color="auto"/>
                    </w:tcBorders>
                    <w:vAlign w:val="center"/>
                  </w:tcPr>
                  <w:p w:rsidR="0029490B" w:rsidRPr="0029490B" w:rsidRDefault="0029490B" w:rsidP="00170C02">
                    <w:pPr>
                      <w:autoSpaceDE w:val="0"/>
                      <w:autoSpaceDN w:val="0"/>
                      <w:adjustRightInd w:val="0"/>
                      <w:jc w:val="right"/>
                      <w:rPr>
                        <w:rFonts w:asciiTheme="majorEastAsia" w:eastAsiaTheme="majorEastAsia" w:hAnsiTheme="majorEastAsia"/>
                        <w:szCs w:val="21"/>
                      </w:rPr>
                    </w:pPr>
                    <w:r>
                      <w:t>0</w:t>
                    </w:r>
                  </w:p>
                </w:tc>
                <w:tc>
                  <w:tcPr>
                    <w:tcW w:w="893" w:type="pct"/>
                    <w:tcBorders>
                      <w:top w:val="single" w:sz="4" w:space="0" w:color="auto"/>
                      <w:left w:val="single" w:sz="4" w:space="0" w:color="auto"/>
                      <w:bottom w:val="single" w:sz="4" w:space="0" w:color="auto"/>
                      <w:right w:val="single" w:sz="4" w:space="0" w:color="auto"/>
                    </w:tcBorders>
                    <w:vAlign w:val="center"/>
                  </w:tcPr>
                  <w:p w:rsidR="0029490B" w:rsidRPr="0029490B" w:rsidRDefault="0029490B" w:rsidP="00170C02">
                    <w:pPr>
                      <w:autoSpaceDE w:val="0"/>
                      <w:autoSpaceDN w:val="0"/>
                      <w:adjustRightInd w:val="0"/>
                      <w:jc w:val="right"/>
                      <w:rPr>
                        <w:rFonts w:asciiTheme="majorEastAsia" w:eastAsiaTheme="majorEastAsia" w:hAnsiTheme="majorEastAsia"/>
                        <w:szCs w:val="21"/>
                      </w:rPr>
                    </w:pPr>
                    <w:r>
                      <w:t>7,558,187</w:t>
                    </w:r>
                  </w:p>
                </w:tc>
                <w:tc>
                  <w:tcPr>
                    <w:tcW w:w="758" w:type="pct"/>
                    <w:tcBorders>
                      <w:top w:val="single" w:sz="4" w:space="0" w:color="auto"/>
                      <w:left w:val="single" w:sz="4" w:space="0" w:color="auto"/>
                      <w:bottom w:val="single" w:sz="4" w:space="0" w:color="auto"/>
                      <w:right w:val="single" w:sz="4" w:space="0" w:color="auto"/>
                    </w:tcBorders>
                    <w:vAlign w:val="center"/>
                  </w:tcPr>
                  <w:p w:rsidR="0029490B" w:rsidRPr="0029490B" w:rsidRDefault="0029490B" w:rsidP="00170C02">
                    <w:pPr>
                      <w:autoSpaceDE w:val="0"/>
                      <w:autoSpaceDN w:val="0"/>
                      <w:adjustRightInd w:val="0"/>
                      <w:jc w:val="right"/>
                      <w:rPr>
                        <w:rFonts w:asciiTheme="majorEastAsia" w:eastAsiaTheme="majorEastAsia" w:hAnsiTheme="majorEastAsia"/>
                        <w:szCs w:val="21"/>
                      </w:rPr>
                    </w:pPr>
                    <w:r>
                      <w:t>0</w:t>
                    </w:r>
                  </w:p>
                </w:tc>
              </w:tr>
            </w:sdtContent>
          </w:sdt>
          <w:sdt>
            <w:sdtPr>
              <w:rPr>
                <w:rFonts w:asciiTheme="majorEastAsia" w:eastAsiaTheme="majorEastAsia" w:hAnsiTheme="majorEastAsia" w:hint="eastAsia"/>
                <w:szCs w:val="21"/>
              </w:rPr>
              <w:alias w:val="上市公司应收关联方款项明细"/>
              <w:tag w:val="_TUP_d4126a8f8e414ce2b32aead159dba06a"/>
              <w:id w:val="-562871229"/>
              <w:lock w:val="sdtLocked"/>
            </w:sdtPr>
            <w:sdtContent>
              <w:tr w:rsidR="0029490B" w:rsidTr="00170C02">
                <w:tc>
                  <w:tcPr>
                    <w:tcW w:w="843" w:type="pct"/>
                    <w:tcBorders>
                      <w:top w:val="single" w:sz="4" w:space="0" w:color="auto"/>
                      <w:left w:val="single" w:sz="4" w:space="0" w:color="auto"/>
                      <w:bottom w:val="single" w:sz="4" w:space="0" w:color="auto"/>
                      <w:right w:val="single" w:sz="4" w:space="0" w:color="auto"/>
                    </w:tcBorders>
                    <w:vAlign w:val="center"/>
                  </w:tcPr>
                  <w:p w:rsidR="0029490B" w:rsidRPr="0029490B" w:rsidRDefault="0029490B" w:rsidP="00DB008B">
                    <w:pPr>
                      <w:autoSpaceDE w:val="0"/>
                      <w:autoSpaceDN w:val="0"/>
                      <w:adjustRightInd w:val="0"/>
                      <w:rPr>
                        <w:rFonts w:asciiTheme="majorEastAsia" w:eastAsiaTheme="majorEastAsia" w:hAnsiTheme="majorEastAsia"/>
                        <w:szCs w:val="21"/>
                      </w:rPr>
                    </w:pPr>
                    <w:r w:rsidRPr="0029490B">
                      <w:rPr>
                        <w:rFonts w:asciiTheme="majorEastAsia" w:eastAsiaTheme="majorEastAsia" w:hAnsiTheme="majorEastAsia"/>
                      </w:rPr>
                      <w:t>预付账款</w:t>
                    </w:r>
                  </w:p>
                </w:tc>
                <w:tc>
                  <w:tcPr>
                    <w:tcW w:w="843" w:type="pct"/>
                    <w:tcBorders>
                      <w:top w:val="single" w:sz="4" w:space="0" w:color="auto"/>
                      <w:left w:val="single" w:sz="4" w:space="0" w:color="auto"/>
                      <w:bottom w:val="single" w:sz="4" w:space="0" w:color="auto"/>
                      <w:right w:val="single" w:sz="4" w:space="0" w:color="auto"/>
                    </w:tcBorders>
                    <w:vAlign w:val="center"/>
                  </w:tcPr>
                  <w:p w:rsidR="0029490B" w:rsidRPr="0029490B" w:rsidRDefault="0029490B" w:rsidP="00DB008B">
                    <w:pPr>
                      <w:autoSpaceDE w:val="0"/>
                      <w:autoSpaceDN w:val="0"/>
                      <w:adjustRightInd w:val="0"/>
                      <w:rPr>
                        <w:rFonts w:asciiTheme="majorEastAsia" w:eastAsiaTheme="majorEastAsia" w:hAnsiTheme="majorEastAsia"/>
                        <w:szCs w:val="21"/>
                      </w:rPr>
                    </w:pPr>
                    <w:r w:rsidRPr="0029490B">
                      <w:rPr>
                        <w:rFonts w:asciiTheme="majorEastAsia" w:eastAsiaTheme="majorEastAsia" w:hAnsiTheme="majorEastAsia" w:cs="PMingLiU" w:hint="eastAsia"/>
                      </w:rPr>
                      <w:t>其中：太原局集团公司及其下属单位</w:t>
                    </w:r>
                  </w:p>
                </w:tc>
                <w:tc>
                  <w:tcPr>
                    <w:tcW w:w="879" w:type="pct"/>
                    <w:tcBorders>
                      <w:top w:val="single" w:sz="4" w:space="0" w:color="auto"/>
                      <w:left w:val="single" w:sz="4" w:space="0" w:color="auto"/>
                      <w:bottom w:val="single" w:sz="4" w:space="0" w:color="auto"/>
                      <w:right w:val="single" w:sz="4" w:space="0" w:color="auto"/>
                    </w:tcBorders>
                    <w:vAlign w:val="center"/>
                  </w:tcPr>
                  <w:p w:rsidR="0029490B" w:rsidRPr="0029490B" w:rsidRDefault="0029490B" w:rsidP="00170C02">
                    <w:pPr>
                      <w:autoSpaceDE w:val="0"/>
                      <w:autoSpaceDN w:val="0"/>
                      <w:adjustRightInd w:val="0"/>
                      <w:jc w:val="right"/>
                      <w:rPr>
                        <w:rFonts w:asciiTheme="majorEastAsia" w:eastAsiaTheme="majorEastAsia" w:hAnsiTheme="majorEastAsia"/>
                        <w:szCs w:val="21"/>
                      </w:rPr>
                    </w:pPr>
                    <w:r>
                      <w:t>194,660</w:t>
                    </w:r>
                  </w:p>
                </w:tc>
                <w:tc>
                  <w:tcPr>
                    <w:tcW w:w="784" w:type="pct"/>
                    <w:tcBorders>
                      <w:top w:val="single" w:sz="4" w:space="0" w:color="auto"/>
                      <w:left w:val="single" w:sz="4" w:space="0" w:color="auto"/>
                      <w:bottom w:val="single" w:sz="4" w:space="0" w:color="auto"/>
                      <w:right w:val="single" w:sz="4" w:space="0" w:color="auto"/>
                    </w:tcBorders>
                    <w:vAlign w:val="center"/>
                  </w:tcPr>
                  <w:p w:rsidR="0029490B" w:rsidRPr="0029490B" w:rsidRDefault="0029490B" w:rsidP="00170C02">
                    <w:pPr>
                      <w:autoSpaceDE w:val="0"/>
                      <w:autoSpaceDN w:val="0"/>
                      <w:adjustRightInd w:val="0"/>
                      <w:jc w:val="right"/>
                      <w:rPr>
                        <w:rFonts w:asciiTheme="majorEastAsia" w:eastAsiaTheme="majorEastAsia" w:hAnsiTheme="majorEastAsia"/>
                        <w:szCs w:val="21"/>
                      </w:rPr>
                    </w:pPr>
                    <w:r>
                      <w:t>0</w:t>
                    </w:r>
                  </w:p>
                </w:tc>
                <w:tc>
                  <w:tcPr>
                    <w:tcW w:w="893" w:type="pct"/>
                    <w:tcBorders>
                      <w:top w:val="single" w:sz="4" w:space="0" w:color="auto"/>
                      <w:left w:val="single" w:sz="4" w:space="0" w:color="auto"/>
                      <w:bottom w:val="single" w:sz="4" w:space="0" w:color="auto"/>
                      <w:right w:val="single" w:sz="4" w:space="0" w:color="auto"/>
                    </w:tcBorders>
                    <w:vAlign w:val="center"/>
                  </w:tcPr>
                  <w:p w:rsidR="0029490B" w:rsidRPr="0029490B" w:rsidRDefault="0029490B" w:rsidP="00170C02">
                    <w:pPr>
                      <w:autoSpaceDE w:val="0"/>
                      <w:autoSpaceDN w:val="0"/>
                      <w:adjustRightInd w:val="0"/>
                      <w:jc w:val="right"/>
                      <w:rPr>
                        <w:rFonts w:asciiTheme="majorEastAsia" w:eastAsiaTheme="majorEastAsia" w:hAnsiTheme="majorEastAsia"/>
                        <w:szCs w:val="21"/>
                      </w:rPr>
                    </w:pPr>
                    <w:r>
                      <w:t>200,730</w:t>
                    </w:r>
                  </w:p>
                </w:tc>
                <w:tc>
                  <w:tcPr>
                    <w:tcW w:w="758" w:type="pct"/>
                    <w:tcBorders>
                      <w:top w:val="single" w:sz="4" w:space="0" w:color="auto"/>
                      <w:left w:val="single" w:sz="4" w:space="0" w:color="auto"/>
                      <w:bottom w:val="single" w:sz="4" w:space="0" w:color="auto"/>
                      <w:right w:val="single" w:sz="4" w:space="0" w:color="auto"/>
                    </w:tcBorders>
                    <w:vAlign w:val="center"/>
                  </w:tcPr>
                  <w:p w:rsidR="0029490B" w:rsidRPr="0029490B" w:rsidRDefault="0029490B" w:rsidP="00170C02">
                    <w:pPr>
                      <w:autoSpaceDE w:val="0"/>
                      <w:autoSpaceDN w:val="0"/>
                      <w:adjustRightInd w:val="0"/>
                      <w:jc w:val="right"/>
                      <w:rPr>
                        <w:rFonts w:asciiTheme="majorEastAsia" w:eastAsiaTheme="majorEastAsia" w:hAnsiTheme="majorEastAsia"/>
                        <w:szCs w:val="21"/>
                      </w:rPr>
                    </w:pPr>
                    <w:r>
                      <w:t>0</w:t>
                    </w:r>
                  </w:p>
                </w:tc>
              </w:tr>
            </w:sdtContent>
          </w:sdt>
          <w:sdt>
            <w:sdtPr>
              <w:rPr>
                <w:rFonts w:asciiTheme="majorEastAsia" w:eastAsiaTheme="majorEastAsia" w:hAnsiTheme="majorEastAsia" w:hint="eastAsia"/>
                <w:szCs w:val="21"/>
              </w:rPr>
              <w:alias w:val="上市公司应收关联方款项明细"/>
              <w:tag w:val="_TUP_d4126a8f8e414ce2b32aead159dba06a"/>
              <w:id w:val="167382697"/>
              <w:lock w:val="sdtLocked"/>
            </w:sdtPr>
            <w:sdtContent>
              <w:tr w:rsidR="0029490B" w:rsidTr="00170C02">
                <w:tc>
                  <w:tcPr>
                    <w:tcW w:w="843" w:type="pct"/>
                    <w:tcBorders>
                      <w:top w:val="single" w:sz="4" w:space="0" w:color="auto"/>
                      <w:left w:val="single" w:sz="4" w:space="0" w:color="auto"/>
                      <w:bottom w:val="single" w:sz="4" w:space="0" w:color="auto"/>
                      <w:right w:val="single" w:sz="4" w:space="0" w:color="auto"/>
                    </w:tcBorders>
                    <w:vAlign w:val="center"/>
                  </w:tcPr>
                  <w:p w:rsidR="0029490B" w:rsidRPr="0029490B" w:rsidRDefault="0029490B" w:rsidP="00DB008B">
                    <w:pPr>
                      <w:autoSpaceDE w:val="0"/>
                      <w:autoSpaceDN w:val="0"/>
                      <w:adjustRightInd w:val="0"/>
                      <w:rPr>
                        <w:rFonts w:asciiTheme="majorEastAsia" w:eastAsiaTheme="majorEastAsia" w:hAnsiTheme="majorEastAsia"/>
                        <w:szCs w:val="21"/>
                      </w:rPr>
                    </w:pPr>
                    <w:r w:rsidRPr="0029490B">
                      <w:rPr>
                        <w:rFonts w:asciiTheme="majorEastAsia" w:eastAsiaTheme="majorEastAsia" w:hAnsiTheme="majorEastAsia"/>
                      </w:rPr>
                      <w:t>应收款项融资</w:t>
                    </w:r>
                  </w:p>
                </w:tc>
                <w:tc>
                  <w:tcPr>
                    <w:tcW w:w="843" w:type="pct"/>
                    <w:tcBorders>
                      <w:top w:val="single" w:sz="4" w:space="0" w:color="auto"/>
                      <w:left w:val="single" w:sz="4" w:space="0" w:color="auto"/>
                      <w:bottom w:val="single" w:sz="4" w:space="0" w:color="auto"/>
                      <w:right w:val="single" w:sz="4" w:space="0" w:color="auto"/>
                    </w:tcBorders>
                    <w:vAlign w:val="center"/>
                  </w:tcPr>
                  <w:p w:rsidR="0029490B" w:rsidRPr="0029490B" w:rsidRDefault="0029490B" w:rsidP="00DB008B">
                    <w:pPr>
                      <w:autoSpaceDE w:val="0"/>
                      <w:autoSpaceDN w:val="0"/>
                      <w:adjustRightInd w:val="0"/>
                      <w:rPr>
                        <w:rFonts w:asciiTheme="majorEastAsia" w:eastAsiaTheme="majorEastAsia" w:hAnsiTheme="majorEastAsia"/>
                        <w:szCs w:val="21"/>
                      </w:rPr>
                    </w:pPr>
                    <w:r w:rsidRPr="0029490B">
                      <w:rPr>
                        <w:rFonts w:asciiTheme="majorEastAsia" w:eastAsiaTheme="majorEastAsia" w:hAnsiTheme="majorEastAsia" w:cs="PMingLiU" w:hint="eastAsia"/>
                      </w:rPr>
                      <w:t>国铁集团及其下属单位</w:t>
                    </w:r>
                  </w:p>
                </w:tc>
                <w:tc>
                  <w:tcPr>
                    <w:tcW w:w="879" w:type="pct"/>
                    <w:tcBorders>
                      <w:top w:val="single" w:sz="4" w:space="0" w:color="auto"/>
                      <w:left w:val="single" w:sz="4" w:space="0" w:color="auto"/>
                      <w:bottom w:val="single" w:sz="4" w:space="0" w:color="auto"/>
                      <w:right w:val="single" w:sz="4" w:space="0" w:color="auto"/>
                    </w:tcBorders>
                    <w:vAlign w:val="center"/>
                  </w:tcPr>
                  <w:p w:rsidR="0029490B" w:rsidRPr="0029490B" w:rsidRDefault="0029490B" w:rsidP="00170C02">
                    <w:pPr>
                      <w:autoSpaceDE w:val="0"/>
                      <w:autoSpaceDN w:val="0"/>
                      <w:adjustRightInd w:val="0"/>
                      <w:jc w:val="right"/>
                      <w:rPr>
                        <w:rFonts w:asciiTheme="majorEastAsia" w:eastAsiaTheme="majorEastAsia" w:hAnsiTheme="majorEastAsia"/>
                        <w:szCs w:val="21"/>
                      </w:rPr>
                    </w:pPr>
                    <w:r>
                      <w:t>197,600,000</w:t>
                    </w:r>
                  </w:p>
                </w:tc>
                <w:tc>
                  <w:tcPr>
                    <w:tcW w:w="784" w:type="pct"/>
                    <w:tcBorders>
                      <w:top w:val="single" w:sz="4" w:space="0" w:color="auto"/>
                      <w:left w:val="single" w:sz="4" w:space="0" w:color="auto"/>
                      <w:bottom w:val="single" w:sz="4" w:space="0" w:color="auto"/>
                      <w:right w:val="single" w:sz="4" w:space="0" w:color="auto"/>
                    </w:tcBorders>
                    <w:vAlign w:val="center"/>
                  </w:tcPr>
                  <w:p w:rsidR="0029490B" w:rsidRPr="0029490B" w:rsidRDefault="0029490B" w:rsidP="00170C02">
                    <w:pPr>
                      <w:autoSpaceDE w:val="0"/>
                      <w:autoSpaceDN w:val="0"/>
                      <w:adjustRightInd w:val="0"/>
                      <w:jc w:val="right"/>
                      <w:rPr>
                        <w:rFonts w:asciiTheme="majorEastAsia" w:eastAsiaTheme="majorEastAsia" w:hAnsiTheme="majorEastAsia"/>
                        <w:szCs w:val="21"/>
                      </w:rPr>
                    </w:pPr>
                    <w:r>
                      <w:t>0</w:t>
                    </w:r>
                  </w:p>
                </w:tc>
                <w:tc>
                  <w:tcPr>
                    <w:tcW w:w="893" w:type="pct"/>
                    <w:tcBorders>
                      <w:top w:val="single" w:sz="4" w:space="0" w:color="auto"/>
                      <w:left w:val="single" w:sz="4" w:space="0" w:color="auto"/>
                      <w:bottom w:val="single" w:sz="4" w:space="0" w:color="auto"/>
                      <w:right w:val="single" w:sz="4" w:space="0" w:color="auto"/>
                    </w:tcBorders>
                    <w:vAlign w:val="center"/>
                  </w:tcPr>
                  <w:p w:rsidR="0029490B" w:rsidRPr="0029490B" w:rsidRDefault="0029490B" w:rsidP="00170C02">
                    <w:pPr>
                      <w:autoSpaceDE w:val="0"/>
                      <w:autoSpaceDN w:val="0"/>
                      <w:adjustRightInd w:val="0"/>
                      <w:jc w:val="right"/>
                      <w:rPr>
                        <w:rFonts w:asciiTheme="majorEastAsia" w:eastAsiaTheme="majorEastAsia" w:hAnsiTheme="majorEastAsia"/>
                        <w:szCs w:val="21"/>
                      </w:rPr>
                    </w:pPr>
                    <w:r>
                      <w:t>269,000,000</w:t>
                    </w:r>
                  </w:p>
                </w:tc>
                <w:tc>
                  <w:tcPr>
                    <w:tcW w:w="758" w:type="pct"/>
                    <w:tcBorders>
                      <w:top w:val="single" w:sz="4" w:space="0" w:color="auto"/>
                      <w:left w:val="single" w:sz="4" w:space="0" w:color="auto"/>
                      <w:bottom w:val="single" w:sz="4" w:space="0" w:color="auto"/>
                      <w:right w:val="single" w:sz="4" w:space="0" w:color="auto"/>
                    </w:tcBorders>
                    <w:vAlign w:val="center"/>
                  </w:tcPr>
                  <w:p w:rsidR="0029490B" w:rsidRPr="0029490B" w:rsidRDefault="0029490B" w:rsidP="00170C02">
                    <w:pPr>
                      <w:autoSpaceDE w:val="0"/>
                      <w:autoSpaceDN w:val="0"/>
                      <w:adjustRightInd w:val="0"/>
                      <w:jc w:val="right"/>
                      <w:rPr>
                        <w:rFonts w:asciiTheme="majorEastAsia" w:eastAsiaTheme="majorEastAsia" w:hAnsiTheme="majorEastAsia"/>
                        <w:szCs w:val="21"/>
                      </w:rPr>
                    </w:pPr>
                    <w:r>
                      <w:t>0</w:t>
                    </w:r>
                  </w:p>
                </w:tc>
              </w:tr>
            </w:sdtContent>
          </w:sdt>
          <w:sdt>
            <w:sdtPr>
              <w:rPr>
                <w:rFonts w:asciiTheme="majorEastAsia" w:eastAsiaTheme="majorEastAsia" w:hAnsiTheme="majorEastAsia" w:hint="eastAsia"/>
                <w:szCs w:val="21"/>
              </w:rPr>
              <w:alias w:val="上市公司应收关联方款项明细"/>
              <w:tag w:val="_TUP_d4126a8f8e414ce2b32aead159dba06a"/>
              <w:id w:val="-1284103471"/>
              <w:lock w:val="sdtLocked"/>
            </w:sdtPr>
            <w:sdtContent>
              <w:tr w:rsidR="0029490B" w:rsidTr="00170C02">
                <w:tc>
                  <w:tcPr>
                    <w:tcW w:w="843" w:type="pct"/>
                    <w:tcBorders>
                      <w:top w:val="single" w:sz="4" w:space="0" w:color="auto"/>
                      <w:left w:val="single" w:sz="4" w:space="0" w:color="auto"/>
                      <w:bottom w:val="single" w:sz="4" w:space="0" w:color="auto"/>
                      <w:right w:val="single" w:sz="4" w:space="0" w:color="auto"/>
                    </w:tcBorders>
                    <w:vAlign w:val="center"/>
                  </w:tcPr>
                  <w:p w:rsidR="0029490B" w:rsidRPr="0029490B" w:rsidRDefault="0029490B" w:rsidP="00DB008B">
                    <w:pPr>
                      <w:autoSpaceDE w:val="0"/>
                      <w:autoSpaceDN w:val="0"/>
                      <w:adjustRightInd w:val="0"/>
                      <w:rPr>
                        <w:rFonts w:asciiTheme="majorEastAsia" w:eastAsiaTheme="majorEastAsia" w:hAnsiTheme="majorEastAsia"/>
                        <w:szCs w:val="21"/>
                      </w:rPr>
                    </w:pPr>
                    <w:r w:rsidRPr="0029490B">
                      <w:rPr>
                        <w:rFonts w:asciiTheme="majorEastAsia" w:eastAsiaTheme="majorEastAsia" w:hAnsiTheme="majorEastAsia"/>
                      </w:rPr>
                      <w:t>应收款项融资</w:t>
                    </w:r>
                  </w:p>
                </w:tc>
                <w:tc>
                  <w:tcPr>
                    <w:tcW w:w="843" w:type="pct"/>
                    <w:tcBorders>
                      <w:top w:val="single" w:sz="4" w:space="0" w:color="auto"/>
                      <w:left w:val="single" w:sz="4" w:space="0" w:color="auto"/>
                      <w:bottom w:val="single" w:sz="4" w:space="0" w:color="auto"/>
                      <w:right w:val="single" w:sz="4" w:space="0" w:color="auto"/>
                    </w:tcBorders>
                    <w:vAlign w:val="center"/>
                  </w:tcPr>
                  <w:p w:rsidR="0029490B" w:rsidRPr="0029490B" w:rsidRDefault="0029490B" w:rsidP="00DB008B">
                    <w:pPr>
                      <w:autoSpaceDE w:val="0"/>
                      <w:autoSpaceDN w:val="0"/>
                      <w:adjustRightInd w:val="0"/>
                      <w:rPr>
                        <w:rFonts w:asciiTheme="majorEastAsia" w:eastAsiaTheme="majorEastAsia" w:hAnsiTheme="majorEastAsia"/>
                        <w:szCs w:val="21"/>
                      </w:rPr>
                    </w:pPr>
                    <w:r w:rsidRPr="0029490B">
                      <w:rPr>
                        <w:rFonts w:asciiTheme="majorEastAsia" w:eastAsiaTheme="majorEastAsia" w:hAnsiTheme="majorEastAsia" w:cs="PMingLiU" w:hint="eastAsia"/>
                      </w:rPr>
                      <w:t>其中：太原局集团公司及其下属单位</w:t>
                    </w:r>
                  </w:p>
                </w:tc>
                <w:tc>
                  <w:tcPr>
                    <w:tcW w:w="879" w:type="pct"/>
                    <w:tcBorders>
                      <w:top w:val="single" w:sz="4" w:space="0" w:color="auto"/>
                      <w:left w:val="single" w:sz="4" w:space="0" w:color="auto"/>
                      <w:bottom w:val="single" w:sz="4" w:space="0" w:color="auto"/>
                      <w:right w:val="single" w:sz="4" w:space="0" w:color="auto"/>
                    </w:tcBorders>
                    <w:vAlign w:val="center"/>
                  </w:tcPr>
                  <w:p w:rsidR="0029490B" w:rsidRPr="0029490B" w:rsidRDefault="0029490B" w:rsidP="00170C02">
                    <w:pPr>
                      <w:autoSpaceDE w:val="0"/>
                      <w:autoSpaceDN w:val="0"/>
                      <w:adjustRightInd w:val="0"/>
                      <w:jc w:val="right"/>
                      <w:rPr>
                        <w:rFonts w:asciiTheme="majorEastAsia" w:eastAsiaTheme="majorEastAsia" w:hAnsiTheme="majorEastAsia"/>
                        <w:szCs w:val="21"/>
                      </w:rPr>
                    </w:pPr>
                    <w:r>
                      <w:t>197,600,000</w:t>
                    </w:r>
                  </w:p>
                </w:tc>
                <w:tc>
                  <w:tcPr>
                    <w:tcW w:w="784" w:type="pct"/>
                    <w:tcBorders>
                      <w:top w:val="single" w:sz="4" w:space="0" w:color="auto"/>
                      <w:left w:val="single" w:sz="4" w:space="0" w:color="auto"/>
                      <w:bottom w:val="single" w:sz="4" w:space="0" w:color="auto"/>
                      <w:right w:val="single" w:sz="4" w:space="0" w:color="auto"/>
                    </w:tcBorders>
                    <w:vAlign w:val="center"/>
                  </w:tcPr>
                  <w:p w:rsidR="0029490B" w:rsidRPr="0029490B" w:rsidRDefault="0029490B" w:rsidP="00170C02">
                    <w:pPr>
                      <w:autoSpaceDE w:val="0"/>
                      <w:autoSpaceDN w:val="0"/>
                      <w:adjustRightInd w:val="0"/>
                      <w:jc w:val="right"/>
                      <w:rPr>
                        <w:rFonts w:asciiTheme="majorEastAsia" w:eastAsiaTheme="majorEastAsia" w:hAnsiTheme="majorEastAsia"/>
                        <w:szCs w:val="21"/>
                      </w:rPr>
                    </w:pPr>
                    <w:r>
                      <w:t>0</w:t>
                    </w:r>
                  </w:p>
                </w:tc>
                <w:tc>
                  <w:tcPr>
                    <w:tcW w:w="893" w:type="pct"/>
                    <w:tcBorders>
                      <w:top w:val="single" w:sz="4" w:space="0" w:color="auto"/>
                      <w:left w:val="single" w:sz="4" w:space="0" w:color="auto"/>
                      <w:bottom w:val="single" w:sz="4" w:space="0" w:color="auto"/>
                      <w:right w:val="single" w:sz="4" w:space="0" w:color="auto"/>
                    </w:tcBorders>
                    <w:vAlign w:val="center"/>
                  </w:tcPr>
                  <w:p w:rsidR="0029490B" w:rsidRPr="0029490B" w:rsidRDefault="0029490B" w:rsidP="00170C02">
                    <w:pPr>
                      <w:autoSpaceDE w:val="0"/>
                      <w:autoSpaceDN w:val="0"/>
                      <w:adjustRightInd w:val="0"/>
                      <w:jc w:val="right"/>
                      <w:rPr>
                        <w:rFonts w:asciiTheme="majorEastAsia" w:eastAsiaTheme="majorEastAsia" w:hAnsiTheme="majorEastAsia"/>
                        <w:szCs w:val="21"/>
                      </w:rPr>
                    </w:pPr>
                    <w:r>
                      <w:t>269,000,000</w:t>
                    </w:r>
                  </w:p>
                </w:tc>
                <w:tc>
                  <w:tcPr>
                    <w:tcW w:w="758" w:type="pct"/>
                    <w:tcBorders>
                      <w:top w:val="single" w:sz="4" w:space="0" w:color="auto"/>
                      <w:left w:val="single" w:sz="4" w:space="0" w:color="auto"/>
                      <w:bottom w:val="single" w:sz="4" w:space="0" w:color="auto"/>
                      <w:right w:val="single" w:sz="4" w:space="0" w:color="auto"/>
                    </w:tcBorders>
                    <w:vAlign w:val="center"/>
                  </w:tcPr>
                  <w:p w:rsidR="0029490B" w:rsidRPr="0029490B" w:rsidRDefault="0029490B" w:rsidP="00170C02">
                    <w:pPr>
                      <w:autoSpaceDE w:val="0"/>
                      <w:autoSpaceDN w:val="0"/>
                      <w:adjustRightInd w:val="0"/>
                      <w:jc w:val="right"/>
                      <w:rPr>
                        <w:rFonts w:asciiTheme="majorEastAsia" w:eastAsiaTheme="majorEastAsia" w:hAnsiTheme="majorEastAsia"/>
                        <w:szCs w:val="21"/>
                      </w:rPr>
                    </w:pPr>
                    <w:r>
                      <w:t>0</w:t>
                    </w:r>
                  </w:p>
                </w:tc>
              </w:tr>
            </w:sdtContent>
          </w:sdt>
        </w:tbl>
        <w:p w:rsidR="00C01624" w:rsidRDefault="00C01624" w:rsidP="0029490B">
          <w:pPr>
            <w:overflowPunct w:val="0"/>
            <w:adjustRightInd w:val="0"/>
            <w:snapToGrid w:val="0"/>
            <w:rPr>
              <w:rFonts w:cs="Arial"/>
              <w:sz w:val="22"/>
              <w:szCs w:val="22"/>
            </w:rPr>
          </w:pPr>
        </w:p>
        <w:p w:rsidR="0029490B" w:rsidRPr="001F185D" w:rsidRDefault="0029490B" w:rsidP="0029490B">
          <w:pPr>
            <w:overflowPunct w:val="0"/>
            <w:adjustRightInd w:val="0"/>
            <w:snapToGrid w:val="0"/>
            <w:rPr>
              <w:rFonts w:cs="Arial"/>
              <w:sz w:val="22"/>
              <w:szCs w:val="22"/>
            </w:rPr>
          </w:pPr>
          <w:r w:rsidRPr="001F185D">
            <w:rPr>
              <w:rFonts w:cs="Arial" w:hint="eastAsia"/>
              <w:sz w:val="22"/>
              <w:szCs w:val="22"/>
            </w:rPr>
            <w:t>于202</w:t>
          </w:r>
          <w:r w:rsidRPr="001F185D">
            <w:rPr>
              <w:rFonts w:cs="Arial"/>
              <w:sz w:val="22"/>
              <w:szCs w:val="22"/>
            </w:rPr>
            <w:t>2</w:t>
          </w:r>
          <w:r w:rsidRPr="001F185D">
            <w:rPr>
              <w:rFonts w:cs="Arial" w:hint="eastAsia"/>
              <w:sz w:val="22"/>
              <w:szCs w:val="22"/>
            </w:rPr>
            <w:t>年12月31日，本集团的货币资金中共有人民币</w:t>
          </w:r>
          <w:r w:rsidRPr="001F185D">
            <w:rPr>
              <w:rStyle w:val="ui-provider"/>
            </w:rPr>
            <w:t>1,140,453,517</w:t>
          </w:r>
          <w:r w:rsidRPr="001F185D">
            <w:rPr>
              <w:rFonts w:cs="Arial" w:hint="eastAsia"/>
              <w:sz w:val="22"/>
              <w:szCs w:val="22"/>
            </w:rPr>
            <w:t>元 (202</w:t>
          </w:r>
          <w:r w:rsidRPr="001F185D">
            <w:rPr>
              <w:rFonts w:cs="Arial"/>
              <w:sz w:val="22"/>
              <w:szCs w:val="22"/>
            </w:rPr>
            <w:t>1</w:t>
          </w:r>
          <w:r w:rsidRPr="001F185D">
            <w:rPr>
              <w:rFonts w:cs="Arial" w:hint="eastAsia"/>
              <w:sz w:val="22"/>
              <w:szCs w:val="22"/>
            </w:rPr>
            <w:t>年：人民币309,117,358元)</w:t>
          </w:r>
          <w:r w:rsidRPr="001F185D">
            <w:rPr>
              <w:rFonts w:cs="Arial"/>
              <w:sz w:val="22"/>
              <w:szCs w:val="22"/>
            </w:rPr>
            <w:t xml:space="preserve"> </w:t>
          </w:r>
          <w:r w:rsidRPr="001F185D">
            <w:rPr>
              <w:rFonts w:cs="Arial" w:hint="eastAsia"/>
              <w:sz w:val="22"/>
              <w:szCs w:val="22"/>
            </w:rPr>
            <w:t>存放在中国铁路财务有限责任公司。</w:t>
          </w:r>
        </w:p>
        <w:p w:rsidR="00806678" w:rsidRDefault="00F80B6C">
          <w:pPr>
            <w:rPr>
              <w:rFonts w:ascii="仿宋_GB2312" w:eastAsia="仿宋_GB2312"/>
              <w:szCs w:val="21"/>
            </w:rPr>
          </w:pPr>
        </w:p>
      </w:sdtContent>
    </w:sdt>
    <w:sdt>
      <w:sdtPr>
        <w:rPr>
          <w:rFonts w:ascii="宋体" w:eastAsia="宋体" w:hAnsi="宋体" w:cs="宋体" w:hint="eastAsia"/>
          <w:b w:val="0"/>
          <w:bCs w:val="0"/>
          <w:kern w:val="0"/>
          <w:szCs w:val="24"/>
        </w:rPr>
        <w:alias w:val="模块:上市公司应付关联方款项"/>
        <w:tag w:val="_SEC_84b9cc5f716e4a019a46df88b355093c"/>
        <w:id w:val="-207802708"/>
        <w:lock w:val="sdtLocked"/>
        <w:placeholder>
          <w:docPart w:val="GBC22222222222222222222222222222"/>
        </w:placeholder>
      </w:sdtPr>
      <w:sdtEndPr>
        <w:rPr>
          <w:rFonts w:ascii="仿宋_GB2312" w:eastAsia="仿宋_GB2312" w:hAnsiTheme="minorHAnsi" w:cstheme="minorBidi"/>
          <w:szCs w:val="21"/>
        </w:rPr>
      </w:sdtEndPr>
      <w:sdtContent>
        <w:p w:rsidR="00806678" w:rsidRDefault="00B16377" w:rsidP="00FF17C7">
          <w:pPr>
            <w:pStyle w:val="4"/>
            <w:numPr>
              <w:ilvl w:val="3"/>
              <w:numId w:val="106"/>
            </w:numPr>
            <w:ind w:left="424" w:hangingChars="202" w:hanging="424"/>
          </w:pPr>
          <w:r>
            <w:rPr>
              <w:rFonts w:hint="eastAsia"/>
            </w:rPr>
            <w:t>应付项目</w:t>
          </w:r>
        </w:p>
        <w:sdt>
          <w:sdtPr>
            <w:rPr>
              <w:rFonts w:hint="eastAsia"/>
              <w:szCs w:val="21"/>
            </w:rPr>
            <w:alias w:val="是否适用：应付项目[双击切换]"/>
            <w:tag w:val="_GBC_41bc31a1fefb4e25918c1ece7c27be62"/>
            <w:id w:val="38399650"/>
            <w:lock w:val="sdtLocked"/>
            <w:placeholder>
              <w:docPart w:val="GBC22222222222222222222222222222"/>
            </w:placeholder>
          </w:sdtPr>
          <w:sdtContent>
            <w:p w:rsidR="00806678" w:rsidRDefault="00F80B6C">
              <w:pPr>
                <w:rPr>
                  <w:szCs w:val="21"/>
                </w:rPr>
              </w:pPr>
              <w:r>
                <w:rPr>
                  <w:szCs w:val="21"/>
                </w:rPr>
                <w:fldChar w:fldCharType="begin"/>
              </w:r>
              <w:r w:rsidR="00916EAA">
                <w:rPr>
                  <w:szCs w:val="21"/>
                </w:rPr>
                <w:instrText xml:space="preserve"> MACROBUTTON  SnrToggleCheckbox √适用  </w:instrText>
              </w:r>
              <w:r>
                <w:rPr>
                  <w:szCs w:val="21"/>
                </w:rPr>
                <w:fldChar w:fldCharType="end"/>
              </w:r>
              <w:r>
                <w:rPr>
                  <w:szCs w:val="21"/>
                </w:rPr>
                <w:fldChar w:fldCharType="begin"/>
              </w:r>
              <w:r w:rsidR="00916EAA">
                <w:rPr>
                  <w:szCs w:val="21"/>
                </w:rPr>
                <w:instrText xml:space="preserve"> MACROBUTTON  SnrToggleCheckbox □不适用 </w:instrText>
              </w:r>
              <w:r>
                <w:rPr>
                  <w:szCs w:val="21"/>
                </w:rPr>
                <w:fldChar w:fldCharType="end"/>
              </w:r>
            </w:p>
          </w:sdtContent>
        </w:sdt>
        <w:p w:rsidR="00806678" w:rsidRDefault="00B16377">
          <w:pPr>
            <w:jc w:val="right"/>
            <w:rPr>
              <w:szCs w:val="21"/>
            </w:rPr>
          </w:pPr>
          <w:r>
            <w:rPr>
              <w:rFonts w:hint="eastAsia"/>
              <w:szCs w:val="21"/>
            </w:rPr>
            <w:t>单位:</w:t>
          </w:r>
          <w:sdt>
            <w:sdtPr>
              <w:rPr>
                <w:rFonts w:hint="eastAsia"/>
                <w:szCs w:val="21"/>
              </w:rPr>
              <w:alias w:val="单位：上市公司应付关联方款项"/>
              <w:tag w:val="_GBC_dda5edeadff34e4f829b49a813d869a1"/>
              <w:id w:val="-100906303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上市公司应付关联方款项"/>
              <w:tag w:val="_GBC_5830ef25ff41407f8d8b3fde33e4bdf1"/>
              <w:id w:val="146330610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02"/>
            <w:gridCol w:w="2695"/>
            <w:gridCol w:w="1844"/>
            <w:gridCol w:w="1708"/>
          </w:tblGrid>
          <w:tr w:rsidR="00916EAA" w:rsidTr="00C84467">
            <w:sdt>
              <w:sdtPr>
                <w:rPr>
                  <w:rFonts w:asciiTheme="majorEastAsia" w:eastAsiaTheme="majorEastAsia" w:hAnsiTheme="majorEastAsia"/>
                </w:rPr>
                <w:tag w:val="_PLD_e606617d378f48ec942565c9488249ee"/>
                <w:id w:val="-463196498"/>
                <w:lock w:val="sdtLocked"/>
              </w:sdtPr>
              <w:sdtContent>
                <w:tc>
                  <w:tcPr>
                    <w:tcW w:w="1548" w:type="pct"/>
                    <w:tcBorders>
                      <w:top w:val="single" w:sz="4" w:space="0" w:color="auto"/>
                      <w:left w:val="single" w:sz="4" w:space="0" w:color="auto"/>
                      <w:right w:val="single" w:sz="4" w:space="0" w:color="auto"/>
                    </w:tcBorders>
                  </w:tcPr>
                  <w:p w:rsidR="00916EAA" w:rsidRPr="00916EAA" w:rsidRDefault="00916EAA" w:rsidP="00DB008B">
                    <w:pPr>
                      <w:jc w:val="center"/>
                      <w:rPr>
                        <w:rFonts w:asciiTheme="majorEastAsia" w:eastAsiaTheme="majorEastAsia" w:hAnsiTheme="majorEastAsia"/>
                        <w:szCs w:val="21"/>
                      </w:rPr>
                    </w:pPr>
                    <w:r w:rsidRPr="00916EAA">
                      <w:rPr>
                        <w:rFonts w:asciiTheme="majorEastAsia" w:eastAsiaTheme="majorEastAsia" w:hAnsiTheme="majorEastAsia" w:hint="eastAsia"/>
                        <w:szCs w:val="21"/>
                      </w:rPr>
                      <w:t>项目名称</w:t>
                    </w:r>
                  </w:p>
                </w:tc>
              </w:sdtContent>
            </w:sdt>
            <w:sdt>
              <w:sdtPr>
                <w:rPr>
                  <w:rFonts w:asciiTheme="majorEastAsia" w:eastAsiaTheme="majorEastAsia" w:hAnsiTheme="majorEastAsia"/>
                </w:rPr>
                <w:tag w:val="_PLD_8c0f65fb9987497db9d8cb750665f14a"/>
                <w:id w:val="544417821"/>
                <w:lock w:val="sdtLocked"/>
              </w:sdtPr>
              <w:sdtContent>
                <w:tc>
                  <w:tcPr>
                    <w:tcW w:w="1489" w:type="pct"/>
                    <w:tcBorders>
                      <w:top w:val="single" w:sz="4" w:space="0" w:color="auto"/>
                      <w:left w:val="single" w:sz="4" w:space="0" w:color="auto"/>
                      <w:right w:val="single" w:sz="4" w:space="0" w:color="auto"/>
                    </w:tcBorders>
                  </w:tcPr>
                  <w:p w:rsidR="00916EAA" w:rsidRPr="00916EAA" w:rsidRDefault="00916EAA" w:rsidP="00DB008B">
                    <w:pPr>
                      <w:jc w:val="center"/>
                      <w:rPr>
                        <w:rFonts w:asciiTheme="majorEastAsia" w:eastAsiaTheme="majorEastAsia" w:hAnsiTheme="majorEastAsia"/>
                        <w:szCs w:val="21"/>
                      </w:rPr>
                    </w:pPr>
                    <w:r w:rsidRPr="00916EAA">
                      <w:rPr>
                        <w:rFonts w:asciiTheme="majorEastAsia" w:eastAsiaTheme="majorEastAsia" w:hAnsiTheme="majorEastAsia" w:hint="eastAsia"/>
                        <w:szCs w:val="21"/>
                      </w:rPr>
                      <w:t>关联方</w:t>
                    </w:r>
                  </w:p>
                </w:tc>
              </w:sdtContent>
            </w:sdt>
            <w:sdt>
              <w:sdtPr>
                <w:rPr>
                  <w:rFonts w:asciiTheme="majorEastAsia" w:eastAsiaTheme="majorEastAsia" w:hAnsiTheme="majorEastAsia"/>
                </w:rPr>
                <w:tag w:val="_PLD_6abb3a201708442494b9fede0eddf518"/>
                <w:id w:val="1092277091"/>
                <w:lock w:val="sdtLocked"/>
              </w:sdtPr>
              <w:sdtContent>
                <w:tc>
                  <w:tcPr>
                    <w:tcW w:w="1019" w:type="pct"/>
                    <w:tcBorders>
                      <w:top w:val="single" w:sz="4" w:space="0" w:color="auto"/>
                      <w:left w:val="single" w:sz="4" w:space="0" w:color="auto"/>
                      <w:bottom w:val="single" w:sz="4" w:space="0" w:color="auto"/>
                      <w:right w:val="single" w:sz="4" w:space="0" w:color="auto"/>
                    </w:tcBorders>
                  </w:tcPr>
                  <w:p w:rsidR="00916EAA" w:rsidRPr="00916EAA" w:rsidRDefault="00916EAA" w:rsidP="00DB008B">
                    <w:pPr>
                      <w:jc w:val="center"/>
                      <w:rPr>
                        <w:rFonts w:asciiTheme="majorEastAsia" w:eastAsiaTheme="majorEastAsia" w:hAnsiTheme="majorEastAsia"/>
                        <w:szCs w:val="21"/>
                      </w:rPr>
                    </w:pPr>
                    <w:r w:rsidRPr="00916EAA">
                      <w:rPr>
                        <w:rFonts w:asciiTheme="majorEastAsia" w:eastAsiaTheme="majorEastAsia" w:hAnsiTheme="majorEastAsia" w:hint="eastAsia"/>
                        <w:szCs w:val="21"/>
                      </w:rPr>
                      <w:t>期末账面余额</w:t>
                    </w:r>
                  </w:p>
                </w:tc>
              </w:sdtContent>
            </w:sdt>
            <w:sdt>
              <w:sdtPr>
                <w:rPr>
                  <w:rFonts w:asciiTheme="majorEastAsia" w:eastAsiaTheme="majorEastAsia" w:hAnsiTheme="majorEastAsia"/>
                </w:rPr>
                <w:tag w:val="_PLD_55efe2bab54445818fecaf16ed9366f9"/>
                <w:id w:val="-181902536"/>
                <w:lock w:val="sdtLocked"/>
              </w:sdtPr>
              <w:sdtContent>
                <w:tc>
                  <w:tcPr>
                    <w:tcW w:w="944" w:type="pct"/>
                    <w:tcBorders>
                      <w:top w:val="single" w:sz="4" w:space="0" w:color="auto"/>
                      <w:left w:val="single" w:sz="4" w:space="0" w:color="auto"/>
                      <w:bottom w:val="single" w:sz="4" w:space="0" w:color="auto"/>
                      <w:right w:val="single" w:sz="4" w:space="0" w:color="auto"/>
                    </w:tcBorders>
                  </w:tcPr>
                  <w:p w:rsidR="00916EAA" w:rsidRPr="00916EAA" w:rsidRDefault="00916EAA" w:rsidP="00DB008B">
                    <w:pPr>
                      <w:jc w:val="center"/>
                      <w:rPr>
                        <w:rFonts w:asciiTheme="majorEastAsia" w:eastAsiaTheme="majorEastAsia" w:hAnsiTheme="majorEastAsia"/>
                        <w:szCs w:val="21"/>
                      </w:rPr>
                    </w:pPr>
                    <w:r w:rsidRPr="00916EAA">
                      <w:rPr>
                        <w:rFonts w:asciiTheme="majorEastAsia" w:eastAsiaTheme="majorEastAsia" w:hAnsiTheme="majorEastAsia" w:hint="eastAsia"/>
                        <w:szCs w:val="21"/>
                      </w:rPr>
                      <w:t>期初账面余额</w:t>
                    </w:r>
                  </w:p>
                </w:tc>
              </w:sdtContent>
            </w:sdt>
          </w:tr>
          <w:sdt>
            <w:sdtPr>
              <w:rPr>
                <w:rFonts w:asciiTheme="majorEastAsia" w:eastAsiaTheme="majorEastAsia" w:hAnsiTheme="majorEastAsia" w:hint="eastAsia"/>
                <w:szCs w:val="21"/>
              </w:rPr>
              <w:alias w:val="上市公司应付关联方款项明细"/>
              <w:tag w:val="_TUP_f8595985c4a74e809f3ab4e90cbed7c1"/>
              <w:id w:val="-1494474522"/>
              <w:lock w:val="sdtLocked"/>
            </w:sdtPr>
            <w:sdtContent>
              <w:tr w:rsidR="00916EAA" w:rsidTr="00C84467">
                <w:tc>
                  <w:tcPr>
                    <w:tcW w:w="1548" w:type="pct"/>
                    <w:tcBorders>
                      <w:top w:val="single" w:sz="4" w:space="0" w:color="auto"/>
                      <w:left w:val="single" w:sz="4" w:space="0" w:color="auto"/>
                      <w:bottom w:val="single" w:sz="4" w:space="0" w:color="auto"/>
                      <w:right w:val="single" w:sz="4" w:space="0" w:color="auto"/>
                    </w:tcBorders>
                    <w:vAlign w:val="center"/>
                  </w:tcPr>
                  <w:p w:rsidR="00916EAA" w:rsidRPr="00916EAA" w:rsidRDefault="00916EAA" w:rsidP="00C84467">
                    <w:pPr>
                      <w:autoSpaceDE w:val="0"/>
                      <w:autoSpaceDN w:val="0"/>
                      <w:adjustRightInd w:val="0"/>
                      <w:rPr>
                        <w:rFonts w:asciiTheme="majorEastAsia" w:eastAsiaTheme="majorEastAsia" w:hAnsiTheme="majorEastAsia"/>
                        <w:szCs w:val="21"/>
                      </w:rPr>
                    </w:pPr>
                    <w:r w:rsidRPr="00916EAA">
                      <w:rPr>
                        <w:rFonts w:asciiTheme="majorEastAsia" w:eastAsiaTheme="majorEastAsia" w:hAnsiTheme="majorEastAsia"/>
                      </w:rPr>
                      <w:t>应付账款 (注1)</w:t>
                    </w:r>
                  </w:p>
                </w:tc>
                <w:tc>
                  <w:tcPr>
                    <w:tcW w:w="1489" w:type="pct"/>
                    <w:tcBorders>
                      <w:top w:val="single" w:sz="4" w:space="0" w:color="auto"/>
                      <w:left w:val="single" w:sz="4" w:space="0" w:color="auto"/>
                      <w:bottom w:val="single" w:sz="4" w:space="0" w:color="auto"/>
                      <w:right w:val="single" w:sz="4" w:space="0" w:color="auto"/>
                    </w:tcBorders>
                    <w:vAlign w:val="center"/>
                  </w:tcPr>
                  <w:p w:rsidR="00916EAA" w:rsidRPr="00916EAA" w:rsidRDefault="00916EAA" w:rsidP="00DB008B">
                    <w:pPr>
                      <w:autoSpaceDE w:val="0"/>
                      <w:autoSpaceDN w:val="0"/>
                      <w:adjustRightInd w:val="0"/>
                      <w:rPr>
                        <w:rFonts w:asciiTheme="majorEastAsia" w:eastAsiaTheme="majorEastAsia" w:hAnsiTheme="majorEastAsia"/>
                        <w:szCs w:val="21"/>
                      </w:rPr>
                    </w:pPr>
                    <w:r w:rsidRPr="00916EAA">
                      <w:rPr>
                        <w:rFonts w:asciiTheme="majorEastAsia" w:eastAsiaTheme="majorEastAsia" w:hAnsiTheme="majorEastAsia"/>
                      </w:rPr>
                      <w:t>国铁集团及其下属单</w:t>
                    </w:r>
                    <w:r w:rsidRPr="00916EAA">
                      <w:rPr>
                        <w:rFonts w:asciiTheme="majorEastAsia" w:eastAsiaTheme="majorEastAsia" w:hAnsiTheme="majorEastAsia" w:cs="PMingLiU" w:hint="eastAsia"/>
                      </w:rPr>
                      <w:t>位</w:t>
                    </w:r>
                  </w:p>
                </w:tc>
                <w:tc>
                  <w:tcPr>
                    <w:tcW w:w="1019" w:type="pct"/>
                    <w:tcBorders>
                      <w:top w:val="single" w:sz="4" w:space="0" w:color="auto"/>
                      <w:left w:val="single" w:sz="4" w:space="0" w:color="auto"/>
                      <w:bottom w:val="single" w:sz="4" w:space="0" w:color="auto"/>
                      <w:right w:val="single" w:sz="4" w:space="0" w:color="auto"/>
                    </w:tcBorders>
                    <w:vAlign w:val="center"/>
                  </w:tcPr>
                  <w:p w:rsidR="00916EAA" w:rsidRPr="00916EAA" w:rsidRDefault="00916EAA" w:rsidP="00C84467">
                    <w:pPr>
                      <w:autoSpaceDE w:val="0"/>
                      <w:autoSpaceDN w:val="0"/>
                      <w:adjustRightInd w:val="0"/>
                      <w:jc w:val="right"/>
                      <w:rPr>
                        <w:rFonts w:asciiTheme="majorEastAsia" w:eastAsiaTheme="majorEastAsia" w:hAnsiTheme="majorEastAsia"/>
                        <w:szCs w:val="21"/>
                      </w:rPr>
                    </w:pPr>
                    <w:r w:rsidRPr="00916EAA">
                      <w:rPr>
                        <w:rFonts w:asciiTheme="majorEastAsia" w:eastAsiaTheme="majorEastAsia" w:hAnsiTheme="majorEastAsia"/>
                      </w:rPr>
                      <w:t>1,184,912,166</w:t>
                    </w:r>
                  </w:p>
                </w:tc>
                <w:tc>
                  <w:tcPr>
                    <w:tcW w:w="944" w:type="pct"/>
                    <w:tcBorders>
                      <w:top w:val="single" w:sz="4" w:space="0" w:color="auto"/>
                      <w:left w:val="single" w:sz="4" w:space="0" w:color="auto"/>
                      <w:bottom w:val="single" w:sz="4" w:space="0" w:color="auto"/>
                      <w:right w:val="single" w:sz="4" w:space="0" w:color="auto"/>
                    </w:tcBorders>
                    <w:vAlign w:val="center"/>
                  </w:tcPr>
                  <w:p w:rsidR="00916EAA" w:rsidRPr="00916EAA" w:rsidRDefault="00916EAA" w:rsidP="00C84467">
                    <w:pPr>
                      <w:autoSpaceDE w:val="0"/>
                      <w:autoSpaceDN w:val="0"/>
                      <w:adjustRightInd w:val="0"/>
                      <w:jc w:val="right"/>
                      <w:rPr>
                        <w:rFonts w:asciiTheme="majorEastAsia" w:eastAsiaTheme="majorEastAsia" w:hAnsiTheme="majorEastAsia"/>
                        <w:szCs w:val="21"/>
                      </w:rPr>
                    </w:pPr>
                    <w:r w:rsidRPr="00916EAA">
                      <w:rPr>
                        <w:rFonts w:asciiTheme="majorEastAsia" w:eastAsiaTheme="majorEastAsia" w:hAnsiTheme="majorEastAsia"/>
                      </w:rPr>
                      <w:t>362,447,364</w:t>
                    </w:r>
                  </w:p>
                </w:tc>
              </w:tr>
            </w:sdtContent>
          </w:sdt>
          <w:sdt>
            <w:sdtPr>
              <w:rPr>
                <w:rFonts w:asciiTheme="majorEastAsia" w:eastAsiaTheme="majorEastAsia" w:hAnsiTheme="majorEastAsia" w:hint="eastAsia"/>
                <w:szCs w:val="21"/>
              </w:rPr>
              <w:alias w:val="上市公司应付关联方款项明细"/>
              <w:tag w:val="_TUP_f8595985c4a74e809f3ab4e90cbed7c1"/>
              <w:id w:val="1860312540"/>
              <w:lock w:val="sdtLocked"/>
            </w:sdtPr>
            <w:sdtContent>
              <w:tr w:rsidR="00916EAA" w:rsidTr="00C84467">
                <w:tc>
                  <w:tcPr>
                    <w:tcW w:w="1548" w:type="pct"/>
                    <w:tcBorders>
                      <w:top w:val="single" w:sz="4" w:space="0" w:color="auto"/>
                      <w:left w:val="single" w:sz="4" w:space="0" w:color="auto"/>
                      <w:bottom w:val="single" w:sz="4" w:space="0" w:color="auto"/>
                      <w:right w:val="single" w:sz="4" w:space="0" w:color="auto"/>
                    </w:tcBorders>
                    <w:vAlign w:val="center"/>
                  </w:tcPr>
                  <w:p w:rsidR="00916EAA" w:rsidRPr="00916EAA" w:rsidRDefault="00916EAA" w:rsidP="00C84467">
                    <w:pPr>
                      <w:autoSpaceDE w:val="0"/>
                      <w:autoSpaceDN w:val="0"/>
                      <w:adjustRightInd w:val="0"/>
                      <w:rPr>
                        <w:rFonts w:asciiTheme="majorEastAsia" w:eastAsiaTheme="majorEastAsia" w:hAnsiTheme="majorEastAsia"/>
                        <w:szCs w:val="21"/>
                      </w:rPr>
                    </w:pPr>
                    <w:r w:rsidRPr="00916EAA">
                      <w:rPr>
                        <w:rFonts w:asciiTheme="majorEastAsia" w:eastAsiaTheme="majorEastAsia" w:hAnsiTheme="majorEastAsia"/>
                      </w:rPr>
                      <w:t>应付账款 (注1)</w:t>
                    </w:r>
                  </w:p>
                </w:tc>
                <w:tc>
                  <w:tcPr>
                    <w:tcW w:w="1489" w:type="pct"/>
                    <w:tcBorders>
                      <w:top w:val="single" w:sz="4" w:space="0" w:color="auto"/>
                      <w:left w:val="single" w:sz="4" w:space="0" w:color="auto"/>
                      <w:bottom w:val="single" w:sz="4" w:space="0" w:color="auto"/>
                      <w:right w:val="single" w:sz="4" w:space="0" w:color="auto"/>
                    </w:tcBorders>
                    <w:vAlign w:val="center"/>
                  </w:tcPr>
                  <w:p w:rsidR="00916EAA" w:rsidRPr="00916EAA" w:rsidRDefault="00916EAA" w:rsidP="00DB008B">
                    <w:pPr>
                      <w:autoSpaceDE w:val="0"/>
                      <w:autoSpaceDN w:val="0"/>
                      <w:adjustRightInd w:val="0"/>
                      <w:rPr>
                        <w:rFonts w:asciiTheme="majorEastAsia" w:eastAsiaTheme="majorEastAsia" w:hAnsiTheme="majorEastAsia"/>
                        <w:szCs w:val="21"/>
                      </w:rPr>
                    </w:pPr>
                    <w:r w:rsidRPr="00916EAA">
                      <w:rPr>
                        <w:rFonts w:asciiTheme="majorEastAsia" w:eastAsiaTheme="majorEastAsia" w:hAnsiTheme="majorEastAsia" w:cs="PMingLiU" w:hint="eastAsia"/>
                      </w:rPr>
                      <w:t>其中：太原局集团公司及其下属单位</w:t>
                    </w:r>
                  </w:p>
                </w:tc>
                <w:tc>
                  <w:tcPr>
                    <w:tcW w:w="1019" w:type="pct"/>
                    <w:tcBorders>
                      <w:top w:val="single" w:sz="4" w:space="0" w:color="auto"/>
                      <w:left w:val="single" w:sz="4" w:space="0" w:color="auto"/>
                      <w:bottom w:val="single" w:sz="4" w:space="0" w:color="auto"/>
                      <w:right w:val="single" w:sz="4" w:space="0" w:color="auto"/>
                    </w:tcBorders>
                    <w:vAlign w:val="center"/>
                  </w:tcPr>
                  <w:p w:rsidR="00916EAA" w:rsidRPr="00916EAA" w:rsidRDefault="00916EAA" w:rsidP="00C84467">
                    <w:pPr>
                      <w:autoSpaceDE w:val="0"/>
                      <w:autoSpaceDN w:val="0"/>
                      <w:adjustRightInd w:val="0"/>
                      <w:jc w:val="right"/>
                      <w:rPr>
                        <w:rFonts w:asciiTheme="majorEastAsia" w:eastAsiaTheme="majorEastAsia" w:hAnsiTheme="majorEastAsia"/>
                        <w:szCs w:val="21"/>
                      </w:rPr>
                    </w:pPr>
                    <w:r w:rsidRPr="00916EAA">
                      <w:rPr>
                        <w:rFonts w:asciiTheme="majorEastAsia" w:eastAsiaTheme="majorEastAsia" w:hAnsiTheme="majorEastAsia"/>
                      </w:rPr>
                      <w:t>943,150,588</w:t>
                    </w:r>
                  </w:p>
                </w:tc>
                <w:tc>
                  <w:tcPr>
                    <w:tcW w:w="944" w:type="pct"/>
                    <w:tcBorders>
                      <w:top w:val="single" w:sz="4" w:space="0" w:color="auto"/>
                      <w:left w:val="single" w:sz="4" w:space="0" w:color="auto"/>
                      <w:bottom w:val="single" w:sz="4" w:space="0" w:color="auto"/>
                      <w:right w:val="single" w:sz="4" w:space="0" w:color="auto"/>
                    </w:tcBorders>
                    <w:vAlign w:val="center"/>
                  </w:tcPr>
                  <w:p w:rsidR="00916EAA" w:rsidRPr="00916EAA" w:rsidRDefault="00916EAA" w:rsidP="00C84467">
                    <w:pPr>
                      <w:autoSpaceDE w:val="0"/>
                      <w:autoSpaceDN w:val="0"/>
                      <w:adjustRightInd w:val="0"/>
                      <w:jc w:val="right"/>
                      <w:rPr>
                        <w:rFonts w:asciiTheme="majorEastAsia" w:eastAsiaTheme="majorEastAsia" w:hAnsiTheme="majorEastAsia"/>
                        <w:szCs w:val="21"/>
                      </w:rPr>
                    </w:pPr>
                    <w:r w:rsidRPr="00916EAA">
                      <w:rPr>
                        <w:rFonts w:asciiTheme="majorEastAsia" w:eastAsiaTheme="majorEastAsia" w:hAnsiTheme="majorEastAsia"/>
                      </w:rPr>
                      <w:t>293,417,316</w:t>
                    </w:r>
                  </w:p>
                </w:tc>
              </w:tr>
            </w:sdtContent>
          </w:sdt>
          <w:sdt>
            <w:sdtPr>
              <w:rPr>
                <w:rFonts w:asciiTheme="majorEastAsia" w:eastAsiaTheme="majorEastAsia" w:hAnsiTheme="majorEastAsia" w:hint="eastAsia"/>
                <w:szCs w:val="21"/>
              </w:rPr>
              <w:alias w:val="上市公司应付关联方款项明细"/>
              <w:tag w:val="_TUP_f8595985c4a74e809f3ab4e90cbed7c1"/>
              <w:id w:val="-886339649"/>
              <w:lock w:val="sdtLocked"/>
            </w:sdtPr>
            <w:sdtContent>
              <w:tr w:rsidR="00916EAA" w:rsidTr="00C84467">
                <w:tc>
                  <w:tcPr>
                    <w:tcW w:w="1548" w:type="pct"/>
                    <w:tcBorders>
                      <w:top w:val="single" w:sz="4" w:space="0" w:color="auto"/>
                      <w:left w:val="single" w:sz="4" w:space="0" w:color="auto"/>
                      <w:bottom w:val="single" w:sz="4" w:space="0" w:color="auto"/>
                      <w:right w:val="single" w:sz="4" w:space="0" w:color="auto"/>
                    </w:tcBorders>
                    <w:vAlign w:val="center"/>
                  </w:tcPr>
                  <w:p w:rsidR="00916EAA" w:rsidRPr="00916EAA" w:rsidRDefault="00916EAA" w:rsidP="00C84467">
                    <w:pPr>
                      <w:autoSpaceDE w:val="0"/>
                      <w:autoSpaceDN w:val="0"/>
                      <w:adjustRightInd w:val="0"/>
                      <w:rPr>
                        <w:rFonts w:asciiTheme="majorEastAsia" w:eastAsiaTheme="majorEastAsia" w:hAnsiTheme="majorEastAsia"/>
                        <w:szCs w:val="21"/>
                      </w:rPr>
                    </w:pPr>
                    <w:r w:rsidRPr="00916EAA">
                      <w:rPr>
                        <w:rFonts w:asciiTheme="majorEastAsia" w:eastAsiaTheme="majorEastAsia" w:hAnsiTheme="majorEastAsia"/>
                      </w:rPr>
                      <w:t>其他应付款 (注2)</w:t>
                    </w:r>
                  </w:p>
                </w:tc>
                <w:tc>
                  <w:tcPr>
                    <w:tcW w:w="1489" w:type="pct"/>
                    <w:tcBorders>
                      <w:top w:val="single" w:sz="4" w:space="0" w:color="auto"/>
                      <w:left w:val="single" w:sz="4" w:space="0" w:color="auto"/>
                      <w:bottom w:val="single" w:sz="4" w:space="0" w:color="auto"/>
                      <w:right w:val="single" w:sz="4" w:space="0" w:color="auto"/>
                    </w:tcBorders>
                    <w:vAlign w:val="center"/>
                  </w:tcPr>
                  <w:p w:rsidR="00916EAA" w:rsidRPr="00916EAA" w:rsidRDefault="00916EAA" w:rsidP="00DB008B">
                    <w:pPr>
                      <w:autoSpaceDE w:val="0"/>
                      <w:autoSpaceDN w:val="0"/>
                      <w:adjustRightInd w:val="0"/>
                      <w:rPr>
                        <w:rFonts w:asciiTheme="majorEastAsia" w:eastAsiaTheme="majorEastAsia" w:hAnsiTheme="majorEastAsia"/>
                        <w:szCs w:val="21"/>
                      </w:rPr>
                    </w:pPr>
                    <w:r w:rsidRPr="00916EAA">
                      <w:rPr>
                        <w:rFonts w:asciiTheme="majorEastAsia" w:eastAsiaTheme="majorEastAsia" w:hAnsiTheme="majorEastAsia" w:cs="PMingLiU" w:hint="eastAsia"/>
                      </w:rPr>
                      <w:t>国铁集团及其下属单位</w:t>
                    </w:r>
                  </w:p>
                </w:tc>
                <w:tc>
                  <w:tcPr>
                    <w:tcW w:w="1019" w:type="pct"/>
                    <w:tcBorders>
                      <w:top w:val="single" w:sz="4" w:space="0" w:color="auto"/>
                      <w:left w:val="single" w:sz="4" w:space="0" w:color="auto"/>
                      <w:bottom w:val="single" w:sz="4" w:space="0" w:color="auto"/>
                      <w:right w:val="single" w:sz="4" w:space="0" w:color="auto"/>
                    </w:tcBorders>
                    <w:vAlign w:val="center"/>
                  </w:tcPr>
                  <w:p w:rsidR="00916EAA" w:rsidRPr="00916EAA" w:rsidRDefault="00916EAA" w:rsidP="00C84467">
                    <w:pPr>
                      <w:autoSpaceDE w:val="0"/>
                      <w:autoSpaceDN w:val="0"/>
                      <w:adjustRightInd w:val="0"/>
                      <w:jc w:val="right"/>
                      <w:rPr>
                        <w:rFonts w:asciiTheme="majorEastAsia" w:eastAsiaTheme="majorEastAsia" w:hAnsiTheme="majorEastAsia"/>
                        <w:szCs w:val="21"/>
                      </w:rPr>
                    </w:pPr>
                    <w:r w:rsidRPr="00916EAA">
                      <w:rPr>
                        <w:rFonts w:asciiTheme="majorEastAsia" w:eastAsiaTheme="majorEastAsia" w:hAnsiTheme="majorEastAsia"/>
                      </w:rPr>
                      <w:t>728,833,728</w:t>
                    </w:r>
                  </w:p>
                </w:tc>
                <w:tc>
                  <w:tcPr>
                    <w:tcW w:w="944" w:type="pct"/>
                    <w:tcBorders>
                      <w:top w:val="single" w:sz="4" w:space="0" w:color="auto"/>
                      <w:left w:val="single" w:sz="4" w:space="0" w:color="auto"/>
                      <w:bottom w:val="single" w:sz="4" w:space="0" w:color="auto"/>
                      <w:right w:val="single" w:sz="4" w:space="0" w:color="auto"/>
                    </w:tcBorders>
                    <w:vAlign w:val="center"/>
                  </w:tcPr>
                  <w:p w:rsidR="00916EAA" w:rsidRPr="00916EAA" w:rsidRDefault="00916EAA" w:rsidP="00C84467">
                    <w:pPr>
                      <w:autoSpaceDE w:val="0"/>
                      <w:autoSpaceDN w:val="0"/>
                      <w:adjustRightInd w:val="0"/>
                      <w:jc w:val="right"/>
                      <w:rPr>
                        <w:rFonts w:asciiTheme="majorEastAsia" w:eastAsiaTheme="majorEastAsia" w:hAnsiTheme="majorEastAsia"/>
                        <w:szCs w:val="21"/>
                      </w:rPr>
                    </w:pPr>
                    <w:r w:rsidRPr="00916EAA">
                      <w:rPr>
                        <w:rFonts w:asciiTheme="majorEastAsia" w:eastAsiaTheme="majorEastAsia" w:hAnsiTheme="majorEastAsia"/>
                      </w:rPr>
                      <w:t>462,227,847</w:t>
                    </w:r>
                  </w:p>
                </w:tc>
              </w:tr>
            </w:sdtContent>
          </w:sdt>
          <w:sdt>
            <w:sdtPr>
              <w:rPr>
                <w:rFonts w:asciiTheme="majorEastAsia" w:eastAsiaTheme="majorEastAsia" w:hAnsiTheme="majorEastAsia" w:hint="eastAsia"/>
                <w:szCs w:val="21"/>
              </w:rPr>
              <w:alias w:val="上市公司应付关联方款项明细"/>
              <w:tag w:val="_TUP_f8595985c4a74e809f3ab4e90cbed7c1"/>
              <w:id w:val="-25408243"/>
              <w:lock w:val="sdtLocked"/>
            </w:sdtPr>
            <w:sdtContent>
              <w:tr w:rsidR="00916EAA" w:rsidTr="00C84467">
                <w:tc>
                  <w:tcPr>
                    <w:tcW w:w="1548" w:type="pct"/>
                    <w:tcBorders>
                      <w:top w:val="single" w:sz="4" w:space="0" w:color="auto"/>
                      <w:left w:val="single" w:sz="4" w:space="0" w:color="auto"/>
                      <w:bottom w:val="single" w:sz="4" w:space="0" w:color="auto"/>
                      <w:right w:val="single" w:sz="4" w:space="0" w:color="auto"/>
                    </w:tcBorders>
                    <w:vAlign w:val="center"/>
                  </w:tcPr>
                  <w:p w:rsidR="00916EAA" w:rsidRPr="00916EAA" w:rsidRDefault="00916EAA" w:rsidP="00C84467">
                    <w:pPr>
                      <w:autoSpaceDE w:val="0"/>
                      <w:autoSpaceDN w:val="0"/>
                      <w:adjustRightInd w:val="0"/>
                      <w:rPr>
                        <w:rFonts w:asciiTheme="majorEastAsia" w:eastAsiaTheme="majorEastAsia" w:hAnsiTheme="majorEastAsia"/>
                        <w:szCs w:val="21"/>
                      </w:rPr>
                    </w:pPr>
                    <w:r w:rsidRPr="00916EAA">
                      <w:rPr>
                        <w:rFonts w:asciiTheme="majorEastAsia" w:eastAsiaTheme="majorEastAsia" w:hAnsiTheme="majorEastAsia"/>
                      </w:rPr>
                      <w:t>其他应付款 (注2)</w:t>
                    </w:r>
                  </w:p>
                </w:tc>
                <w:tc>
                  <w:tcPr>
                    <w:tcW w:w="1489" w:type="pct"/>
                    <w:tcBorders>
                      <w:top w:val="single" w:sz="4" w:space="0" w:color="auto"/>
                      <w:left w:val="single" w:sz="4" w:space="0" w:color="auto"/>
                      <w:bottom w:val="single" w:sz="4" w:space="0" w:color="auto"/>
                      <w:right w:val="single" w:sz="4" w:space="0" w:color="auto"/>
                    </w:tcBorders>
                    <w:vAlign w:val="center"/>
                  </w:tcPr>
                  <w:p w:rsidR="00916EAA" w:rsidRPr="00916EAA" w:rsidRDefault="00916EAA" w:rsidP="00DB008B">
                    <w:pPr>
                      <w:autoSpaceDE w:val="0"/>
                      <w:autoSpaceDN w:val="0"/>
                      <w:adjustRightInd w:val="0"/>
                      <w:rPr>
                        <w:rFonts w:asciiTheme="majorEastAsia" w:eastAsiaTheme="majorEastAsia" w:hAnsiTheme="majorEastAsia"/>
                        <w:szCs w:val="21"/>
                      </w:rPr>
                    </w:pPr>
                    <w:r w:rsidRPr="00916EAA">
                      <w:rPr>
                        <w:rFonts w:asciiTheme="majorEastAsia" w:eastAsiaTheme="majorEastAsia" w:hAnsiTheme="majorEastAsia" w:cs="PMingLiU" w:hint="eastAsia"/>
                      </w:rPr>
                      <w:t>其中：太原局集团公司及其下属单位</w:t>
                    </w:r>
                  </w:p>
                </w:tc>
                <w:tc>
                  <w:tcPr>
                    <w:tcW w:w="1019" w:type="pct"/>
                    <w:tcBorders>
                      <w:top w:val="single" w:sz="4" w:space="0" w:color="auto"/>
                      <w:left w:val="single" w:sz="4" w:space="0" w:color="auto"/>
                      <w:bottom w:val="single" w:sz="4" w:space="0" w:color="auto"/>
                      <w:right w:val="single" w:sz="4" w:space="0" w:color="auto"/>
                    </w:tcBorders>
                    <w:vAlign w:val="center"/>
                  </w:tcPr>
                  <w:p w:rsidR="00916EAA" w:rsidRPr="00916EAA" w:rsidRDefault="00916EAA" w:rsidP="00C84467">
                    <w:pPr>
                      <w:autoSpaceDE w:val="0"/>
                      <w:autoSpaceDN w:val="0"/>
                      <w:adjustRightInd w:val="0"/>
                      <w:jc w:val="right"/>
                      <w:rPr>
                        <w:rFonts w:asciiTheme="majorEastAsia" w:eastAsiaTheme="majorEastAsia" w:hAnsiTheme="majorEastAsia"/>
                        <w:szCs w:val="21"/>
                      </w:rPr>
                    </w:pPr>
                    <w:r w:rsidRPr="00916EAA">
                      <w:rPr>
                        <w:rFonts w:asciiTheme="majorEastAsia" w:eastAsiaTheme="majorEastAsia" w:hAnsiTheme="majorEastAsia"/>
                      </w:rPr>
                      <w:t>459,769,459</w:t>
                    </w:r>
                  </w:p>
                </w:tc>
                <w:tc>
                  <w:tcPr>
                    <w:tcW w:w="944" w:type="pct"/>
                    <w:tcBorders>
                      <w:top w:val="single" w:sz="4" w:space="0" w:color="auto"/>
                      <w:left w:val="single" w:sz="4" w:space="0" w:color="auto"/>
                      <w:bottom w:val="single" w:sz="4" w:space="0" w:color="auto"/>
                      <w:right w:val="single" w:sz="4" w:space="0" w:color="auto"/>
                    </w:tcBorders>
                    <w:vAlign w:val="center"/>
                  </w:tcPr>
                  <w:p w:rsidR="00916EAA" w:rsidRPr="00916EAA" w:rsidRDefault="00916EAA" w:rsidP="00C84467">
                    <w:pPr>
                      <w:autoSpaceDE w:val="0"/>
                      <w:autoSpaceDN w:val="0"/>
                      <w:adjustRightInd w:val="0"/>
                      <w:jc w:val="right"/>
                      <w:rPr>
                        <w:rFonts w:asciiTheme="majorEastAsia" w:eastAsiaTheme="majorEastAsia" w:hAnsiTheme="majorEastAsia"/>
                        <w:szCs w:val="21"/>
                      </w:rPr>
                    </w:pPr>
                    <w:r w:rsidRPr="00916EAA">
                      <w:rPr>
                        <w:rFonts w:asciiTheme="majorEastAsia" w:eastAsiaTheme="majorEastAsia" w:hAnsiTheme="majorEastAsia"/>
                      </w:rPr>
                      <w:t>338,637,761</w:t>
                    </w:r>
                  </w:p>
                </w:tc>
              </w:tr>
            </w:sdtContent>
          </w:sdt>
          <w:sdt>
            <w:sdtPr>
              <w:rPr>
                <w:rFonts w:asciiTheme="majorEastAsia" w:eastAsiaTheme="majorEastAsia" w:hAnsiTheme="majorEastAsia" w:hint="eastAsia"/>
                <w:szCs w:val="21"/>
              </w:rPr>
              <w:alias w:val="上市公司应付关联方款项明细"/>
              <w:tag w:val="_TUP_f8595985c4a74e809f3ab4e90cbed7c1"/>
              <w:id w:val="1283466188"/>
              <w:lock w:val="sdtLocked"/>
            </w:sdtPr>
            <w:sdtContent>
              <w:tr w:rsidR="00916EAA" w:rsidTr="00C84467">
                <w:tc>
                  <w:tcPr>
                    <w:tcW w:w="1548" w:type="pct"/>
                    <w:tcBorders>
                      <w:top w:val="single" w:sz="4" w:space="0" w:color="auto"/>
                      <w:left w:val="single" w:sz="4" w:space="0" w:color="auto"/>
                      <w:bottom w:val="single" w:sz="4" w:space="0" w:color="auto"/>
                      <w:right w:val="single" w:sz="4" w:space="0" w:color="auto"/>
                    </w:tcBorders>
                    <w:vAlign w:val="center"/>
                  </w:tcPr>
                  <w:p w:rsidR="00916EAA" w:rsidRPr="00916EAA" w:rsidRDefault="00916EAA" w:rsidP="00C84467">
                    <w:pPr>
                      <w:autoSpaceDE w:val="0"/>
                      <w:autoSpaceDN w:val="0"/>
                      <w:adjustRightInd w:val="0"/>
                      <w:rPr>
                        <w:rFonts w:asciiTheme="majorEastAsia" w:eastAsiaTheme="majorEastAsia" w:hAnsiTheme="majorEastAsia"/>
                        <w:szCs w:val="21"/>
                      </w:rPr>
                    </w:pPr>
                    <w:r w:rsidRPr="00916EAA">
                      <w:rPr>
                        <w:rFonts w:asciiTheme="majorEastAsia" w:eastAsiaTheme="majorEastAsia" w:hAnsiTheme="majorEastAsia"/>
                      </w:rPr>
                      <w:t>合同负债</w:t>
                    </w:r>
                  </w:p>
                </w:tc>
                <w:tc>
                  <w:tcPr>
                    <w:tcW w:w="1489" w:type="pct"/>
                    <w:tcBorders>
                      <w:top w:val="single" w:sz="4" w:space="0" w:color="auto"/>
                      <w:left w:val="single" w:sz="4" w:space="0" w:color="auto"/>
                      <w:bottom w:val="single" w:sz="4" w:space="0" w:color="auto"/>
                      <w:right w:val="single" w:sz="4" w:space="0" w:color="auto"/>
                    </w:tcBorders>
                    <w:vAlign w:val="center"/>
                  </w:tcPr>
                  <w:p w:rsidR="00916EAA" w:rsidRPr="00916EAA" w:rsidRDefault="00916EAA" w:rsidP="00DB008B">
                    <w:pPr>
                      <w:autoSpaceDE w:val="0"/>
                      <w:autoSpaceDN w:val="0"/>
                      <w:adjustRightInd w:val="0"/>
                      <w:rPr>
                        <w:rFonts w:asciiTheme="majorEastAsia" w:eastAsiaTheme="majorEastAsia" w:hAnsiTheme="majorEastAsia"/>
                        <w:szCs w:val="21"/>
                      </w:rPr>
                    </w:pPr>
                    <w:r w:rsidRPr="00916EAA">
                      <w:rPr>
                        <w:rFonts w:asciiTheme="majorEastAsia" w:eastAsiaTheme="majorEastAsia" w:hAnsiTheme="majorEastAsia" w:cs="PMingLiU" w:hint="eastAsia"/>
                      </w:rPr>
                      <w:t>国铁集团及其下属单位</w:t>
                    </w:r>
                  </w:p>
                </w:tc>
                <w:tc>
                  <w:tcPr>
                    <w:tcW w:w="1019" w:type="pct"/>
                    <w:tcBorders>
                      <w:top w:val="single" w:sz="4" w:space="0" w:color="auto"/>
                      <w:left w:val="single" w:sz="4" w:space="0" w:color="auto"/>
                      <w:bottom w:val="single" w:sz="4" w:space="0" w:color="auto"/>
                      <w:right w:val="single" w:sz="4" w:space="0" w:color="auto"/>
                    </w:tcBorders>
                    <w:vAlign w:val="center"/>
                  </w:tcPr>
                  <w:p w:rsidR="00916EAA" w:rsidRPr="00916EAA" w:rsidRDefault="00916EAA" w:rsidP="00C84467">
                    <w:pPr>
                      <w:autoSpaceDE w:val="0"/>
                      <w:autoSpaceDN w:val="0"/>
                      <w:adjustRightInd w:val="0"/>
                      <w:jc w:val="right"/>
                      <w:rPr>
                        <w:rFonts w:asciiTheme="majorEastAsia" w:eastAsiaTheme="majorEastAsia" w:hAnsiTheme="majorEastAsia"/>
                        <w:szCs w:val="21"/>
                      </w:rPr>
                    </w:pPr>
                    <w:r w:rsidRPr="00916EAA">
                      <w:rPr>
                        <w:rFonts w:asciiTheme="majorEastAsia" w:eastAsiaTheme="majorEastAsia" w:hAnsiTheme="majorEastAsia"/>
                      </w:rPr>
                      <w:t>1,346,513</w:t>
                    </w:r>
                  </w:p>
                </w:tc>
                <w:tc>
                  <w:tcPr>
                    <w:tcW w:w="944" w:type="pct"/>
                    <w:tcBorders>
                      <w:top w:val="single" w:sz="4" w:space="0" w:color="auto"/>
                      <w:left w:val="single" w:sz="4" w:space="0" w:color="auto"/>
                      <w:bottom w:val="single" w:sz="4" w:space="0" w:color="auto"/>
                      <w:right w:val="single" w:sz="4" w:space="0" w:color="auto"/>
                    </w:tcBorders>
                    <w:vAlign w:val="center"/>
                  </w:tcPr>
                  <w:p w:rsidR="00916EAA" w:rsidRPr="00916EAA" w:rsidRDefault="00916EAA" w:rsidP="00C84467">
                    <w:pPr>
                      <w:autoSpaceDE w:val="0"/>
                      <w:autoSpaceDN w:val="0"/>
                      <w:adjustRightInd w:val="0"/>
                      <w:jc w:val="right"/>
                      <w:rPr>
                        <w:rFonts w:asciiTheme="majorEastAsia" w:eastAsiaTheme="majorEastAsia" w:hAnsiTheme="majorEastAsia"/>
                        <w:szCs w:val="21"/>
                      </w:rPr>
                    </w:pPr>
                    <w:r w:rsidRPr="00916EAA">
                      <w:rPr>
                        <w:rFonts w:asciiTheme="majorEastAsia" w:eastAsiaTheme="majorEastAsia" w:hAnsiTheme="majorEastAsia"/>
                      </w:rPr>
                      <w:t>8,469,717</w:t>
                    </w:r>
                  </w:p>
                </w:tc>
              </w:tr>
            </w:sdtContent>
          </w:sdt>
          <w:sdt>
            <w:sdtPr>
              <w:rPr>
                <w:rFonts w:asciiTheme="majorEastAsia" w:eastAsiaTheme="majorEastAsia" w:hAnsiTheme="majorEastAsia" w:hint="eastAsia"/>
                <w:szCs w:val="21"/>
              </w:rPr>
              <w:alias w:val="上市公司应付关联方款项明细"/>
              <w:tag w:val="_TUP_f8595985c4a74e809f3ab4e90cbed7c1"/>
              <w:id w:val="-2068408582"/>
              <w:lock w:val="sdtLocked"/>
            </w:sdtPr>
            <w:sdtContent>
              <w:tr w:rsidR="00916EAA" w:rsidTr="00C84467">
                <w:tc>
                  <w:tcPr>
                    <w:tcW w:w="1548" w:type="pct"/>
                    <w:tcBorders>
                      <w:top w:val="single" w:sz="4" w:space="0" w:color="auto"/>
                      <w:left w:val="single" w:sz="4" w:space="0" w:color="auto"/>
                      <w:bottom w:val="single" w:sz="4" w:space="0" w:color="auto"/>
                      <w:right w:val="single" w:sz="4" w:space="0" w:color="auto"/>
                    </w:tcBorders>
                    <w:vAlign w:val="center"/>
                  </w:tcPr>
                  <w:p w:rsidR="00916EAA" w:rsidRPr="00916EAA" w:rsidRDefault="00916EAA" w:rsidP="00C84467">
                    <w:pPr>
                      <w:autoSpaceDE w:val="0"/>
                      <w:autoSpaceDN w:val="0"/>
                      <w:adjustRightInd w:val="0"/>
                      <w:rPr>
                        <w:rFonts w:asciiTheme="majorEastAsia" w:eastAsiaTheme="majorEastAsia" w:hAnsiTheme="majorEastAsia"/>
                        <w:szCs w:val="21"/>
                      </w:rPr>
                    </w:pPr>
                    <w:r w:rsidRPr="00916EAA">
                      <w:rPr>
                        <w:rFonts w:asciiTheme="majorEastAsia" w:eastAsiaTheme="majorEastAsia" w:hAnsiTheme="majorEastAsia"/>
                      </w:rPr>
                      <w:t>合同负债</w:t>
                    </w:r>
                  </w:p>
                </w:tc>
                <w:tc>
                  <w:tcPr>
                    <w:tcW w:w="1489" w:type="pct"/>
                    <w:tcBorders>
                      <w:top w:val="single" w:sz="4" w:space="0" w:color="auto"/>
                      <w:left w:val="single" w:sz="4" w:space="0" w:color="auto"/>
                      <w:bottom w:val="single" w:sz="4" w:space="0" w:color="auto"/>
                      <w:right w:val="single" w:sz="4" w:space="0" w:color="auto"/>
                    </w:tcBorders>
                    <w:vAlign w:val="center"/>
                  </w:tcPr>
                  <w:p w:rsidR="00916EAA" w:rsidRPr="00916EAA" w:rsidRDefault="00916EAA" w:rsidP="00DB008B">
                    <w:pPr>
                      <w:autoSpaceDE w:val="0"/>
                      <w:autoSpaceDN w:val="0"/>
                      <w:adjustRightInd w:val="0"/>
                      <w:rPr>
                        <w:rFonts w:asciiTheme="majorEastAsia" w:eastAsiaTheme="majorEastAsia" w:hAnsiTheme="majorEastAsia"/>
                        <w:szCs w:val="21"/>
                      </w:rPr>
                    </w:pPr>
                    <w:r w:rsidRPr="00916EAA">
                      <w:rPr>
                        <w:rFonts w:asciiTheme="majorEastAsia" w:eastAsiaTheme="majorEastAsia" w:hAnsiTheme="majorEastAsia" w:cs="PMingLiU" w:hint="eastAsia"/>
                      </w:rPr>
                      <w:t>其中：太原局集团公司及其下属单位</w:t>
                    </w:r>
                  </w:p>
                </w:tc>
                <w:tc>
                  <w:tcPr>
                    <w:tcW w:w="1019" w:type="pct"/>
                    <w:tcBorders>
                      <w:top w:val="single" w:sz="4" w:space="0" w:color="auto"/>
                      <w:left w:val="single" w:sz="4" w:space="0" w:color="auto"/>
                      <w:bottom w:val="single" w:sz="4" w:space="0" w:color="auto"/>
                      <w:right w:val="single" w:sz="4" w:space="0" w:color="auto"/>
                    </w:tcBorders>
                    <w:vAlign w:val="center"/>
                  </w:tcPr>
                  <w:p w:rsidR="00916EAA" w:rsidRPr="00916EAA" w:rsidRDefault="00916EAA" w:rsidP="00C84467">
                    <w:pPr>
                      <w:autoSpaceDE w:val="0"/>
                      <w:autoSpaceDN w:val="0"/>
                      <w:adjustRightInd w:val="0"/>
                      <w:jc w:val="right"/>
                      <w:rPr>
                        <w:rFonts w:asciiTheme="majorEastAsia" w:eastAsiaTheme="majorEastAsia" w:hAnsiTheme="majorEastAsia"/>
                        <w:szCs w:val="21"/>
                      </w:rPr>
                    </w:pPr>
                    <w:r w:rsidRPr="00916EAA">
                      <w:rPr>
                        <w:rFonts w:asciiTheme="majorEastAsia" w:eastAsiaTheme="majorEastAsia" w:hAnsiTheme="majorEastAsia"/>
                      </w:rPr>
                      <w:t>1,321,328</w:t>
                    </w:r>
                  </w:p>
                </w:tc>
                <w:tc>
                  <w:tcPr>
                    <w:tcW w:w="944" w:type="pct"/>
                    <w:tcBorders>
                      <w:top w:val="single" w:sz="4" w:space="0" w:color="auto"/>
                      <w:left w:val="single" w:sz="4" w:space="0" w:color="auto"/>
                      <w:bottom w:val="single" w:sz="4" w:space="0" w:color="auto"/>
                      <w:right w:val="single" w:sz="4" w:space="0" w:color="auto"/>
                    </w:tcBorders>
                    <w:vAlign w:val="center"/>
                  </w:tcPr>
                  <w:p w:rsidR="00916EAA" w:rsidRPr="00916EAA" w:rsidRDefault="00916EAA" w:rsidP="00C84467">
                    <w:pPr>
                      <w:autoSpaceDE w:val="0"/>
                      <w:autoSpaceDN w:val="0"/>
                      <w:adjustRightInd w:val="0"/>
                      <w:jc w:val="right"/>
                      <w:rPr>
                        <w:rFonts w:asciiTheme="majorEastAsia" w:eastAsiaTheme="majorEastAsia" w:hAnsiTheme="majorEastAsia"/>
                        <w:szCs w:val="21"/>
                      </w:rPr>
                    </w:pPr>
                    <w:r w:rsidRPr="00916EAA">
                      <w:rPr>
                        <w:rFonts w:asciiTheme="majorEastAsia" w:eastAsiaTheme="majorEastAsia" w:hAnsiTheme="majorEastAsia"/>
                      </w:rPr>
                      <w:t>8,431,512</w:t>
                    </w:r>
                  </w:p>
                </w:tc>
              </w:tr>
            </w:sdtContent>
          </w:sdt>
          <w:sdt>
            <w:sdtPr>
              <w:rPr>
                <w:rFonts w:asciiTheme="majorEastAsia" w:eastAsiaTheme="majorEastAsia" w:hAnsiTheme="majorEastAsia" w:hint="eastAsia"/>
                <w:szCs w:val="21"/>
              </w:rPr>
              <w:alias w:val="上市公司应付关联方款项明细"/>
              <w:tag w:val="_TUP_f8595985c4a74e809f3ab4e90cbed7c1"/>
              <w:id w:val="1222477827"/>
              <w:lock w:val="sdtLocked"/>
            </w:sdtPr>
            <w:sdtContent>
              <w:tr w:rsidR="00916EAA" w:rsidTr="00C84467">
                <w:tc>
                  <w:tcPr>
                    <w:tcW w:w="1548" w:type="pct"/>
                    <w:tcBorders>
                      <w:top w:val="single" w:sz="4" w:space="0" w:color="auto"/>
                      <w:left w:val="single" w:sz="4" w:space="0" w:color="auto"/>
                      <w:bottom w:val="single" w:sz="4" w:space="0" w:color="auto"/>
                      <w:right w:val="single" w:sz="4" w:space="0" w:color="auto"/>
                    </w:tcBorders>
                    <w:vAlign w:val="center"/>
                  </w:tcPr>
                  <w:p w:rsidR="00916EAA" w:rsidRPr="00916EAA" w:rsidRDefault="00916EAA" w:rsidP="00C84467">
                    <w:pPr>
                      <w:autoSpaceDE w:val="0"/>
                      <w:autoSpaceDN w:val="0"/>
                      <w:adjustRightInd w:val="0"/>
                      <w:rPr>
                        <w:rFonts w:asciiTheme="majorEastAsia" w:eastAsiaTheme="majorEastAsia" w:hAnsiTheme="majorEastAsia"/>
                        <w:szCs w:val="21"/>
                      </w:rPr>
                    </w:pPr>
                    <w:r w:rsidRPr="00916EAA">
                      <w:rPr>
                        <w:rFonts w:asciiTheme="majorEastAsia" w:eastAsiaTheme="majorEastAsia" w:hAnsiTheme="majorEastAsia"/>
                      </w:rPr>
                      <w:t>租赁负债</w:t>
                    </w:r>
                  </w:p>
                </w:tc>
                <w:tc>
                  <w:tcPr>
                    <w:tcW w:w="1489" w:type="pct"/>
                    <w:tcBorders>
                      <w:top w:val="single" w:sz="4" w:space="0" w:color="auto"/>
                      <w:left w:val="single" w:sz="4" w:space="0" w:color="auto"/>
                      <w:bottom w:val="single" w:sz="4" w:space="0" w:color="auto"/>
                      <w:right w:val="single" w:sz="4" w:space="0" w:color="auto"/>
                    </w:tcBorders>
                    <w:vAlign w:val="center"/>
                  </w:tcPr>
                  <w:p w:rsidR="00916EAA" w:rsidRPr="00916EAA" w:rsidRDefault="00916EAA" w:rsidP="00DB008B">
                    <w:pPr>
                      <w:autoSpaceDE w:val="0"/>
                      <w:autoSpaceDN w:val="0"/>
                      <w:adjustRightInd w:val="0"/>
                      <w:rPr>
                        <w:rFonts w:asciiTheme="majorEastAsia" w:eastAsiaTheme="majorEastAsia" w:hAnsiTheme="majorEastAsia"/>
                        <w:szCs w:val="21"/>
                      </w:rPr>
                    </w:pPr>
                    <w:r w:rsidRPr="00916EAA">
                      <w:rPr>
                        <w:rFonts w:asciiTheme="majorEastAsia" w:eastAsiaTheme="majorEastAsia" w:hAnsiTheme="majorEastAsia" w:cs="PMingLiU" w:hint="eastAsia"/>
                      </w:rPr>
                      <w:t>国铁集团及其下属单位</w:t>
                    </w:r>
                  </w:p>
                </w:tc>
                <w:tc>
                  <w:tcPr>
                    <w:tcW w:w="1019" w:type="pct"/>
                    <w:tcBorders>
                      <w:top w:val="single" w:sz="4" w:space="0" w:color="auto"/>
                      <w:left w:val="single" w:sz="4" w:space="0" w:color="auto"/>
                      <w:bottom w:val="single" w:sz="4" w:space="0" w:color="auto"/>
                      <w:right w:val="single" w:sz="4" w:space="0" w:color="auto"/>
                    </w:tcBorders>
                    <w:vAlign w:val="center"/>
                  </w:tcPr>
                  <w:p w:rsidR="00916EAA" w:rsidRPr="00916EAA" w:rsidRDefault="00916EAA" w:rsidP="00C84467">
                    <w:pPr>
                      <w:autoSpaceDE w:val="0"/>
                      <w:autoSpaceDN w:val="0"/>
                      <w:adjustRightInd w:val="0"/>
                      <w:jc w:val="right"/>
                      <w:rPr>
                        <w:rFonts w:asciiTheme="majorEastAsia" w:eastAsiaTheme="majorEastAsia" w:hAnsiTheme="majorEastAsia"/>
                        <w:szCs w:val="21"/>
                      </w:rPr>
                    </w:pPr>
                    <w:r w:rsidRPr="00916EAA">
                      <w:rPr>
                        <w:rFonts w:asciiTheme="majorEastAsia" w:eastAsiaTheme="majorEastAsia" w:hAnsiTheme="majorEastAsia"/>
                      </w:rPr>
                      <w:t>581,448,405</w:t>
                    </w:r>
                  </w:p>
                </w:tc>
                <w:tc>
                  <w:tcPr>
                    <w:tcW w:w="944" w:type="pct"/>
                    <w:tcBorders>
                      <w:top w:val="single" w:sz="4" w:space="0" w:color="auto"/>
                      <w:left w:val="single" w:sz="4" w:space="0" w:color="auto"/>
                      <w:bottom w:val="single" w:sz="4" w:space="0" w:color="auto"/>
                      <w:right w:val="single" w:sz="4" w:space="0" w:color="auto"/>
                    </w:tcBorders>
                    <w:vAlign w:val="center"/>
                  </w:tcPr>
                  <w:p w:rsidR="00916EAA" w:rsidRPr="00916EAA" w:rsidRDefault="00916EAA" w:rsidP="00C84467">
                    <w:pPr>
                      <w:autoSpaceDE w:val="0"/>
                      <w:autoSpaceDN w:val="0"/>
                      <w:adjustRightInd w:val="0"/>
                      <w:jc w:val="right"/>
                      <w:rPr>
                        <w:rFonts w:asciiTheme="majorEastAsia" w:eastAsiaTheme="majorEastAsia" w:hAnsiTheme="majorEastAsia"/>
                        <w:szCs w:val="21"/>
                      </w:rPr>
                    </w:pPr>
                    <w:r w:rsidRPr="00916EAA">
                      <w:rPr>
                        <w:rFonts w:asciiTheme="majorEastAsia" w:eastAsiaTheme="majorEastAsia" w:hAnsiTheme="majorEastAsia"/>
                      </w:rPr>
                      <w:t>770,845,036</w:t>
                    </w:r>
                  </w:p>
                </w:tc>
              </w:tr>
            </w:sdtContent>
          </w:sdt>
          <w:sdt>
            <w:sdtPr>
              <w:rPr>
                <w:rFonts w:asciiTheme="majorEastAsia" w:eastAsiaTheme="majorEastAsia" w:hAnsiTheme="majorEastAsia" w:hint="eastAsia"/>
                <w:szCs w:val="21"/>
              </w:rPr>
              <w:alias w:val="上市公司应付关联方款项明细"/>
              <w:tag w:val="_TUP_f8595985c4a74e809f3ab4e90cbed7c1"/>
              <w:id w:val="898936697"/>
              <w:lock w:val="sdtLocked"/>
            </w:sdtPr>
            <w:sdtContent>
              <w:tr w:rsidR="00916EAA" w:rsidTr="00C84467">
                <w:tc>
                  <w:tcPr>
                    <w:tcW w:w="1548" w:type="pct"/>
                    <w:tcBorders>
                      <w:top w:val="single" w:sz="4" w:space="0" w:color="auto"/>
                      <w:left w:val="single" w:sz="4" w:space="0" w:color="auto"/>
                      <w:bottom w:val="single" w:sz="4" w:space="0" w:color="auto"/>
                      <w:right w:val="single" w:sz="4" w:space="0" w:color="auto"/>
                    </w:tcBorders>
                    <w:vAlign w:val="center"/>
                  </w:tcPr>
                  <w:p w:rsidR="00916EAA" w:rsidRPr="00916EAA" w:rsidRDefault="00916EAA" w:rsidP="00C84467">
                    <w:pPr>
                      <w:autoSpaceDE w:val="0"/>
                      <w:autoSpaceDN w:val="0"/>
                      <w:adjustRightInd w:val="0"/>
                      <w:rPr>
                        <w:rFonts w:asciiTheme="majorEastAsia" w:eastAsiaTheme="majorEastAsia" w:hAnsiTheme="majorEastAsia"/>
                        <w:szCs w:val="21"/>
                      </w:rPr>
                    </w:pPr>
                    <w:r w:rsidRPr="00916EAA">
                      <w:rPr>
                        <w:rFonts w:asciiTheme="majorEastAsia" w:eastAsiaTheme="majorEastAsia" w:hAnsiTheme="majorEastAsia"/>
                      </w:rPr>
                      <w:t>租赁负债</w:t>
                    </w:r>
                  </w:p>
                </w:tc>
                <w:tc>
                  <w:tcPr>
                    <w:tcW w:w="1489" w:type="pct"/>
                    <w:tcBorders>
                      <w:top w:val="single" w:sz="4" w:space="0" w:color="auto"/>
                      <w:left w:val="single" w:sz="4" w:space="0" w:color="auto"/>
                      <w:bottom w:val="single" w:sz="4" w:space="0" w:color="auto"/>
                      <w:right w:val="single" w:sz="4" w:space="0" w:color="auto"/>
                    </w:tcBorders>
                    <w:vAlign w:val="center"/>
                  </w:tcPr>
                  <w:p w:rsidR="00916EAA" w:rsidRPr="00916EAA" w:rsidRDefault="00916EAA" w:rsidP="00DB008B">
                    <w:pPr>
                      <w:autoSpaceDE w:val="0"/>
                      <w:autoSpaceDN w:val="0"/>
                      <w:adjustRightInd w:val="0"/>
                      <w:rPr>
                        <w:rFonts w:asciiTheme="majorEastAsia" w:eastAsiaTheme="majorEastAsia" w:hAnsiTheme="majorEastAsia"/>
                        <w:szCs w:val="21"/>
                      </w:rPr>
                    </w:pPr>
                    <w:r w:rsidRPr="00916EAA">
                      <w:rPr>
                        <w:rFonts w:asciiTheme="majorEastAsia" w:eastAsiaTheme="majorEastAsia" w:hAnsiTheme="majorEastAsia" w:cs="PMingLiU" w:hint="eastAsia"/>
                      </w:rPr>
                      <w:t>其中：太原局集团公司及其下属单位</w:t>
                    </w:r>
                  </w:p>
                </w:tc>
                <w:tc>
                  <w:tcPr>
                    <w:tcW w:w="1019" w:type="pct"/>
                    <w:tcBorders>
                      <w:top w:val="single" w:sz="4" w:space="0" w:color="auto"/>
                      <w:left w:val="single" w:sz="4" w:space="0" w:color="auto"/>
                      <w:bottom w:val="single" w:sz="4" w:space="0" w:color="auto"/>
                      <w:right w:val="single" w:sz="4" w:space="0" w:color="auto"/>
                    </w:tcBorders>
                    <w:vAlign w:val="center"/>
                  </w:tcPr>
                  <w:p w:rsidR="00916EAA" w:rsidRPr="00916EAA" w:rsidRDefault="00916EAA" w:rsidP="00C84467">
                    <w:pPr>
                      <w:autoSpaceDE w:val="0"/>
                      <w:autoSpaceDN w:val="0"/>
                      <w:adjustRightInd w:val="0"/>
                      <w:jc w:val="right"/>
                      <w:rPr>
                        <w:rFonts w:asciiTheme="majorEastAsia" w:eastAsiaTheme="majorEastAsia" w:hAnsiTheme="majorEastAsia"/>
                        <w:szCs w:val="21"/>
                      </w:rPr>
                    </w:pPr>
                    <w:r w:rsidRPr="00916EAA">
                      <w:rPr>
                        <w:rFonts w:asciiTheme="majorEastAsia" w:eastAsiaTheme="majorEastAsia" w:hAnsiTheme="majorEastAsia"/>
                      </w:rPr>
                      <w:t>581,448,405</w:t>
                    </w:r>
                  </w:p>
                </w:tc>
                <w:tc>
                  <w:tcPr>
                    <w:tcW w:w="944" w:type="pct"/>
                    <w:tcBorders>
                      <w:top w:val="single" w:sz="4" w:space="0" w:color="auto"/>
                      <w:left w:val="single" w:sz="4" w:space="0" w:color="auto"/>
                      <w:bottom w:val="single" w:sz="4" w:space="0" w:color="auto"/>
                      <w:right w:val="single" w:sz="4" w:space="0" w:color="auto"/>
                    </w:tcBorders>
                    <w:vAlign w:val="center"/>
                  </w:tcPr>
                  <w:p w:rsidR="00916EAA" w:rsidRPr="00916EAA" w:rsidRDefault="00916EAA" w:rsidP="00C84467">
                    <w:pPr>
                      <w:autoSpaceDE w:val="0"/>
                      <w:autoSpaceDN w:val="0"/>
                      <w:adjustRightInd w:val="0"/>
                      <w:jc w:val="right"/>
                      <w:rPr>
                        <w:rFonts w:asciiTheme="majorEastAsia" w:eastAsiaTheme="majorEastAsia" w:hAnsiTheme="majorEastAsia"/>
                        <w:szCs w:val="21"/>
                      </w:rPr>
                    </w:pPr>
                    <w:r w:rsidRPr="00916EAA">
                      <w:rPr>
                        <w:rFonts w:asciiTheme="majorEastAsia" w:eastAsiaTheme="majorEastAsia" w:hAnsiTheme="majorEastAsia"/>
                      </w:rPr>
                      <w:t>770,845,036</w:t>
                    </w:r>
                  </w:p>
                </w:tc>
              </w:tr>
            </w:sdtContent>
          </w:sdt>
          <w:sdt>
            <w:sdtPr>
              <w:rPr>
                <w:rFonts w:asciiTheme="majorEastAsia" w:eastAsiaTheme="majorEastAsia" w:hAnsiTheme="majorEastAsia" w:hint="eastAsia"/>
                <w:szCs w:val="21"/>
              </w:rPr>
              <w:alias w:val="上市公司应付关联方款项明细"/>
              <w:tag w:val="_TUP_f8595985c4a74e809f3ab4e90cbed7c1"/>
              <w:id w:val="679709484"/>
              <w:lock w:val="sdtLocked"/>
            </w:sdtPr>
            <w:sdtContent>
              <w:tr w:rsidR="00916EAA" w:rsidTr="00C84467">
                <w:tc>
                  <w:tcPr>
                    <w:tcW w:w="1548" w:type="pct"/>
                    <w:tcBorders>
                      <w:top w:val="single" w:sz="4" w:space="0" w:color="auto"/>
                      <w:left w:val="single" w:sz="4" w:space="0" w:color="auto"/>
                      <w:bottom w:val="single" w:sz="4" w:space="0" w:color="auto"/>
                      <w:right w:val="single" w:sz="4" w:space="0" w:color="auto"/>
                    </w:tcBorders>
                    <w:vAlign w:val="center"/>
                  </w:tcPr>
                  <w:p w:rsidR="00916EAA" w:rsidRPr="00916EAA" w:rsidRDefault="00916EAA" w:rsidP="00C84467">
                    <w:pPr>
                      <w:autoSpaceDE w:val="0"/>
                      <w:autoSpaceDN w:val="0"/>
                      <w:adjustRightInd w:val="0"/>
                      <w:rPr>
                        <w:rFonts w:asciiTheme="majorEastAsia" w:eastAsiaTheme="majorEastAsia" w:hAnsiTheme="majorEastAsia"/>
                        <w:szCs w:val="21"/>
                      </w:rPr>
                    </w:pPr>
                    <w:r w:rsidRPr="00916EAA">
                      <w:rPr>
                        <w:rFonts w:asciiTheme="majorEastAsia" w:eastAsiaTheme="majorEastAsia" w:hAnsiTheme="majorEastAsia"/>
                      </w:rPr>
                      <w:t>一年内到期的非流动负债</w:t>
                    </w:r>
                  </w:p>
                </w:tc>
                <w:tc>
                  <w:tcPr>
                    <w:tcW w:w="1489" w:type="pct"/>
                    <w:tcBorders>
                      <w:top w:val="single" w:sz="4" w:space="0" w:color="auto"/>
                      <w:left w:val="single" w:sz="4" w:space="0" w:color="auto"/>
                      <w:bottom w:val="single" w:sz="4" w:space="0" w:color="auto"/>
                      <w:right w:val="single" w:sz="4" w:space="0" w:color="auto"/>
                    </w:tcBorders>
                    <w:vAlign w:val="center"/>
                  </w:tcPr>
                  <w:p w:rsidR="00916EAA" w:rsidRPr="00916EAA" w:rsidRDefault="00916EAA" w:rsidP="00DB008B">
                    <w:pPr>
                      <w:autoSpaceDE w:val="0"/>
                      <w:autoSpaceDN w:val="0"/>
                      <w:adjustRightInd w:val="0"/>
                      <w:rPr>
                        <w:rFonts w:asciiTheme="majorEastAsia" w:eastAsiaTheme="majorEastAsia" w:hAnsiTheme="majorEastAsia"/>
                        <w:szCs w:val="21"/>
                      </w:rPr>
                    </w:pPr>
                    <w:r w:rsidRPr="00916EAA">
                      <w:rPr>
                        <w:rFonts w:asciiTheme="majorEastAsia" w:eastAsiaTheme="majorEastAsia" w:hAnsiTheme="majorEastAsia" w:cs="PMingLiU" w:hint="eastAsia"/>
                      </w:rPr>
                      <w:t>国铁集团及其下属单位</w:t>
                    </w:r>
                  </w:p>
                </w:tc>
                <w:tc>
                  <w:tcPr>
                    <w:tcW w:w="1019" w:type="pct"/>
                    <w:tcBorders>
                      <w:top w:val="single" w:sz="4" w:space="0" w:color="auto"/>
                      <w:left w:val="single" w:sz="4" w:space="0" w:color="auto"/>
                      <w:bottom w:val="single" w:sz="4" w:space="0" w:color="auto"/>
                      <w:right w:val="single" w:sz="4" w:space="0" w:color="auto"/>
                    </w:tcBorders>
                    <w:vAlign w:val="center"/>
                  </w:tcPr>
                  <w:p w:rsidR="00916EAA" w:rsidRPr="00916EAA" w:rsidRDefault="00916EAA" w:rsidP="00C84467">
                    <w:pPr>
                      <w:autoSpaceDE w:val="0"/>
                      <w:autoSpaceDN w:val="0"/>
                      <w:adjustRightInd w:val="0"/>
                      <w:jc w:val="right"/>
                      <w:rPr>
                        <w:rFonts w:asciiTheme="majorEastAsia" w:eastAsiaTheme="majorEastAsia" w:hAnsiTheme="majorEastAsia"/>
                        <w:szCs w:val="21"/>
                      </w:rPr>
                    </w:pPr>
                    <w:r w:rsidRPr="00916EAA">
                      <w:rPr>
                        <w:rFonts w:asciiTheme="majorEastAsia" w:eastAsiaTheme="majorEastAsia" w:hAnsiTheme="majorEastAsia"/>
                      </w:rPr>
                      <w:t>190,628,963</w:t>
                    </w:r>
                  </w:p>
                </w:tc>
                <w:tc>
                  <w:tcPr>
                    <w:tcW w:w="944" w:type="pct"/>
                    <w:tcBorders>
                      <w:top w:val="single" w:sz="4" w:space="0" w:color="auto"/>
                      <w:left w:val="single" w:sz="4" w:space="0" w:color="auto"/>
                      <w:bottom w:val="single" w:sz="4" w:space="0" w:color="auto"/>
                      <w:right w:val="single" w:sz="4" w:space="0" w:color="auto"/>
                    </w:tcBorders>
                    <w:vAlign w:val="center"/>
                  </w:tcPr>
                  <w:p w:rsidR="00916EAA" w:rsidRPr="00916EAA" w:rsidRDefault="00916EAA" w:rsidP="00C84467">
                    <w:pPr>
                      <w:autoSpaceDE w:val="0"/>
                      <w:autoSpaceDN w:val="0"/>
                      <w:adjustRightInd w:val="0"/>
                      <w:jc w:val="right"/>
                      <w:rPr>
                        <w:rFonts w:asciiTheme="majorEastAsia" w:eastAsiaTheme="majorEastAsia" w:hAnsiTheme="majorEastAsia"/>
                        <w:szCs w:val="21"/>
                      </w:rPr>
                    </w:pPr>
                    <w:r w:rsidRPr="00916EAA">
                      <w:rPr>
                        <w:rFonts w:asciiTheme="majorEastAsia" w:eastAsiaTheme="majorEastAsia" w:hAnsiTheme="majorEastAsia"/>
                      </w:rPr>
                      <w:t>132,347,380</w:t>
                    </w:r>
                  </w:p>
                </w:tc>
              </w:tr>
            </w:sdtContent>
          </w:sdt>
          <w:sdt>
            <w:sdtPr>
              <w:rPr>
                <w:rFonts w:asciiTheme="majorEastAsia" w:eastAsiaTheme="majorEastAsia" w:hAnsiTheme="majorEastAsia" w:hint="eastAsia"/>
                <w:szCs w:val="21"/>
              </w:rPr>
              <w:alias w:val="上市公司应付关联方款项明细"/>
              <w:tag w:val="_TUP_f8595985c4a74e809f3ab4e90cbed7c1"/>
              <w:id w:val="1879662580"/>
              <w:lock w:val="sdtLocked"/>
            </w:sdtPr>
            <w:sdtContent>
              <w:tr w:rsidR="00916EAA" w:rsidTr="00C84467">
                <w:tc>
                  <w:tcPr>
                    <w:tcW w:w="1548" w:type="pct"/>
                    <w:tcBorders>
                      <w:top w:val="single" w:sz="4" w:space="0" w:color="auto"/>
                      <w:left w:val="single" w:sz="4" w:space="0" w:color="auto"/>
                      <w:bottom w:val="single" w:sz="4" w:space="0" w:color="auto"/>
                      <w:right w:val="single" w:sz="4" w:space="0" w:color="auto"/>
                    </w:tcBorders>
                    <w:vAlign w:val="center"/>
                  </w:tcPr>
                  <w:p w:rsidR="00916EAA" w:rsidRPr="00916EAA" w:rsidRDefault="00916EAA" w:rsidP="00C84467">
                    <w:pPr>
                      <w:autoSpaceDE w:val="0"/>
                      <w:autoSpaceDN w:val="0"/>
                      <w:adjustRightInd w:val="0"/>
                      <w:rPr>
                        <w:rFonts w:asciiTheme="majorEastAsia" w:eastAsiaTheme="majorEastAsia" w:hAnsiTheme="majorEastAsia"/>
                        <w:szCs w:val="21"/>
                      </w:rPr>
                    </w:pPr>
                    <w:r w:rsidRPr="00916EAA">
                      <w:rPr>
                        <w:rFonts w:asciiTheme="majorEastAsia" w:eastAsiaTheme="majorEastAsia" w:hAnsiTheme="majorEastAsia"/>
                      </w:rPr>
                      <w:t>一年内到期的非流动负债</w:t>
                    </w:r>
                  </w:p>
                </w:tc>
                <w:tc>
                  <w:tcPr>
                    <w:tcW w:w="1489" w:type="pct"/>
                    <w:tcBorders>
                      <w:top w:val="single" w:sz="4" w:space="0" w:color="auto"/>
                      <w:left w:val="single" w:sz="4" w:space="0" w:color="auto"/>
                      <w:bottom w:val="single" w:sz="4" w:space="0" w:color="auto"/>
                      <w:right w:val="single" w:sz="4" w:space="0" w:color="auto"/>
                    </w:tcBorders>
                    <w:vAlign w:val="center"/>
                  </w:tcPr>
                  <w:p w:rsidR="00916EAA" w:rsidRPr="00916EAA" w:rsidRDefault="00916EAA" w:rsidP="00DB008B">
                    <w:pPr>
                      <w:autoSpaceDE w:val="0"/>
                      <w:autoSpaceDN w:val="0"/>
                      <w:adjustRightInd w:val="0"/>
                      <w:rPr>
                        <w:rFonts w:asciiTheme="majorEastAsia" w:eastAsiaTheme="majorEastAsia" w:hAnsiTheme="majorEastAsia"/>
                        <w:szCs w:val="21"/>
                      </w:rPr>
                    </w:pPr>
                    <w:r w:rsidRPr="00916EAA">
                      <w:rPr>
                        <w:rFonts w:asciiTheme="majorEastAsia" w:eastAsiaTheme="majorEastAsia" w:hAnsiTheme="majorEastAsia" w:cs="PMingLiU" w:hint="eastAsia"/>
                      </w:rPr>
                      <w:t>其中：太原局集团公司及其下属单位</w:t>
                    </w:r>
                  </w:p>
                </w:tc>
                <w:tc>
                  <w:tcPr>
                    <w:tcW w:w="1019" w:type="pct"/>
                    <w:tcBorders>
                      <w:top w:val="single" w:sz="4" w:space="0" w:color="auto"/>
                      <w:left w:val="single" w:sz="4" w:space="0" w:color="auto"/>
                      <w:bottom w:val="single" w:sz="4" w:space="0" w:color="auto"/>
                      <w:right w:val="single" w:sz="4" w:space="0" w:color="auto"/>
                    </w:tcBorders>
                    <w:vAlign w:val="center"/>
                  </w:tcPr>
                  <w:p w:rsidR="00916EAA" w:rsidRPr="00916EAA" w:rsidRDefault="00916EAA" w:rsidP="00C84467">
                    <w:pPr>
                      <w:autoSpaceDE w:val="0"/>
                      <w:autoSpaceDN w:val="0"/>
                      <w:adjustRightInd w:val="0"/>
                      <w:jc w:val="right"/>
                      <w:rPr>
                        <w:rFonts w:asciiTheme="majorEastAsia" w:eastAsiaTheme="majorEastAsia" w:hAnsiTheme="majorEastAsia"/>
                        <w:szCs w:val="21"/>
                      </w:rPr>
                    </w:pPr>
                    <w:r w:rsidRPr="00916EAA">
                      <w:rPr>
                        <w:rFonts w:asciiTheme="majorEastAsia" w:eastAsiaTheme="majorEastAsia" w:hAnsiTheme="majorEastAsia"/>
                      </w:rPr>
                      <w:t>190,628,963</w:t>
                    </w:r>
                  </w:p>
                </w:tc>
                <w:tc>
                  <w:tcPr>
                    <w:tcW w:w="944" w:type="pct"/>
                    <w:tcBorders>
                      <w:top w:val="single" w:sz="4" w:space="0" w:color="auto"/>
                      <w:left w:val="single" w:sz="4" w:space="0" w:color="auto"/>
                      <w:bottom w:val="single" w:sz="4" w:space="0" w:color="auto"/>
                      <w:right w:val="single" w:sz="4" w:space="0" w:color="auto"/>
                    </w:tcBorders>
                    <w:vAlign w:val="center"/>
                  </w:tcPr>
                  <w:p w:rsidR="00916EAA" w:rsidRPr="00916EAA" w:rsidRDefault="00916EAA" w:rsidP="00C84467">
                    <w:pPr>
                      <w:autoSpaceDE w:val="0"/>
                      <w:autoSpaceDN w:val="0"/>
                      <w:adjustRightInd w:val="0"/>
                      <w:jc w:val="right"/>
                      <w:rPr>
                        <w:rFonts w:asciiTheme="majorEastAsia" w:eastAsiaTheme="majorEastAsia" w:hAnsiTheme="majorEastAsia"/>
                        <w:szCs w:val="21"/>
                      </w:rPr>
                    </w:pPr>
                    <w:r w:rsidRPr="00916EAA">
                      <w:rPr>
                        <w:rFonts w:asciiTheme="majorEastAsia" w:eastAsiaTheme="majorEastAsia" w:hAnsiTheme="majorEastAsia"/>
                      </w:rPr>
                      <w:t>132,347,380</w:t>
                    </w:r>
                  </w:p>
                </w:tc>
              </w:tr>
            </w:sdtContent>
          </w:sdt>
          <w:sdt>
            <w:sdtPr>
              <w:rPr>
                <w:rFonts w:asciiTheme="majorEastAsia" w:eastAsiaTheme="majorEastAsia" w:hAnsiTheme="majorEastAsia" w:hint="eastAsia"/>
                <w:szCs w:val="21"/>
              </w:rPr>
              <w:alias w:val="上市公司应付关联方款项明细"/>
              <w:tag w:val="_TUP_f8595985c4a74e809f3ab4e90cbed7c1"/>
              <w:id w:val="1738976185"/>
              <w:lock w:val="sdtLocked"/>
            </w:sdtPr>
            <w:sdtContent>
              <w:tr w:rsidR="00916EAA" w:rsidTr="00C84467">
                <w:tc>
                  <w:tcPr>
                    <w:tcW w:w="1548" w:type="pct"/>
                    <w:tcBorders>
                      <w:top w:val="single" w:sz="4" w:space="0" w:color="auto"/>
                      <w:left w:val="single" w:sz="4" w:space="0" w:color="auto"/>
                      <w:bottom w:val="single" w:sz="4" w:space="0" w:color="auto"/>
                      <w:right w:val="single" w:sz="4" w:space="0" w:color="auto"/>
                    </w:tcBorders>
                    <w:vAlign w:val="center"/>
                  </w:tcPr>
                  <w:p w:rsidR="00916EAA" w:rsidRPr="00916EAA" w:rsidRDefault="00916EAA" w:rsidP="00C84467">
                    <w:pPr>
                      <w:autoSpaceDE w:val="0"/>
                      <w:autoSpaceDN w:val="0"/>
                      <w:adjustRightInd w:val="0"/>
                      <w:rPr>
                        <w:rFonts w:asciiTheme="majorEastAsia" w:eastAsiaTheme="majorEastAsia" w:hAnsiTheme="majorEastAsia"/>
                        <w:szCs w:val="21"/>
                      </w:rPr>
                    </w:pPr>
                    <w:r w:rsidRPr="00916EAA">
                      <w:rPr>
                        <w:rFonts w:asciiTheme="majorEastAsia" w:eastAsiaTheme="majorEastAsia" w:hAnsiTheme="majorEastAsia"/>
                      </w:rPr>
                      <w:t>长期借款</w:t>
                    </w:r>
                  </w:p>
                </w:tc>
                <w:tc>
                  <w:tcPr>
                    <w:tcW w:w="1489" w:type="pct"/>
                    <w:tcBorders>
                      <w:top w:val="single" w:sz="4" w:space="0" w:color="auto"/>
                      <w:left w:val="single" w:sz="4" w:space="0" w:color="auto"/>
                      <w:bottom w:val="single" w:sz="4" w:space="0" w:color="auto"/>
                      <w:right w:val="single" w:sz="4" w:space="0" w:color="auto"/>
                    </w:tcBorders>
                    <w:vAlign w:val="center"/>
                  </w:tcPr>
                  <w:p w:rsidR="00916EAA" w:rsidRPr="00916EAA" w:rsidRDefault="00916EAA" w:rsidP="00DB008B">
                    <w:pPr>
                      <w:autoSpaceDE w:val="0"/>
                      <w:autoSpaceDN w:val="0"/>
                      <w:adjustRightInd w:val="0"/>
                      <w:rPr>
                        <w:rFonts w:asciiTheme="majorEastAsia" w:eastAsiaTheme="majorEastAsia" w:hAnsiTheme="majorEastAsia"/>
                        <w:szCs w:val="21"/>
                      </w:rPr>
                    </w:pPr>
                    <w:r w:rsidRPr="00916EAA">
                      <w:rPr>
                        <w:rFonts w:asciiTheme="majorEastAsia" w:eastAsiaTheme="majorEastAsia" w:hAnsiTheme="majorEastAsia" w:cs="PMingLiU" w:hint="eastAsia"/>
                      </w:rPr>
                      <w:t>太原局集团公司</w:t>
                    </w:r>
                  </w:p>
                </w:tc>
                <w:tc>
                  <w:tcPr>
                    <w:tcW w:w="1019" w:type="pct"/>
                    <w:tcBorders>
                      <w:top w:val="single" w:sz="4" w:space="0" w:color="auto"/>
                      <w:left w:val="single" w:sz="4" w:space="0" w:color="auto"/>
                      <w:bottom w:val="single" w:sz="4" w:space="0" w:color="auto"/>
                      <w:right w:val="single" w:sz="4" w:space="0" w:color="auto"/>
                    </w:tcBorders>
                    <w:vAlign w:val="center"/>
                  </w:tcPr>
                  <w:p w:rsidR="00916EAA" w:rsidRPr="00916EAA" w:rsidRDefault="00916EAA" w:rsidP="00C84467">
                    <w:pPr>
                      <w:autoSpaceDE w:val="0"/>
                      <w:autoSpaceDN w:val="0"/>
                      <w:adjustRightInd w:val="0"/>
                      <w:jc w:val="right"/>
                      <w:rPr>
                        <w:rFonts w:asciiTheme="majorEastAsia" w:eastAsiaTheme="majorEastAsia" w:hAnsiTheme="majorEastAsia"/>
                        <w:szCs w:val="21"/>
                      </w:rPr>
                    </w:pPr>
                    <w:r w:rsidRPr="00916EAA">
                      <w:rPr>
                        <w:rFonts w:asciiTheme="majorEastAsia" w:eastAsiaTheme="majorEastAsia" w:hAnsiTheme="majorEastAsia"/>
                      </w:rPr>
                      <w:t>208,000,000</w:t>
                    </w:r>
                  </w:p>
                </w:tc>
                <w:tc>
                  <w:tcPr>
                    <w:tcW w:w="944" w:type="pct"/>
                    <w:tcBorders>
                      <w:top w:val="single" w:sz="4" w:space="0" w:color="auto"/>
                      <w:left w:val="single" w:sz="4" w:space="0" w:color="auto"/>
                      <w:bottom w:val="single" w:sz="4" w:space="0" w:color="auto"/>
                      <w:right w:val="single" w:sz="4" w:space="0" w:color="auto"/>
                    </w:tcBorders>
                    <w:vAlign w:val="center"/>
                  </w:tcPr>
                  <w:p w:rsidR="00916EAA" w:rsidRPr="00916EAA" w:rsidRDefault="00916EAA" w:rsidP="00C84467">
                    <w:pPr>
                      <w:autoSpaceDE w:val="0"/>
                      <w:autoSpaceDN w:val="0"/>
                      <w:adjustRightInd w:val="0"/>
                      <w:jc w:val="right"/>
                      <w:rPr>
                        <w:rFonts w:asciiTheme="majorEastAsia" w:eastAsiaTheme="majorEastAsia" w:hAnsiTheme="majorEastAsia"/>
                        <w:szCs w:val="21"/>
                      </w:rPr>
                    </w:pPr>
                    <w:r w:rsidRPr="00916EAA">
                      <w:rPr>
                        <w:rFonts w:asciiTheme="majorEastAsia" w:eastAsiaTheme="majorEastAsia" w:hAnsiTheme="majorEastAsia"/>
                      </w:rPr>
                      <w:t>0</w:t>
                    </w:r>
                  </w:p>
                </w:tc>
              </w:tr>
            </w:sdtContent>
          </w:sdt>
        </w:tbl>
        <w:p w:rsidR="00916EAA" w:rsidRDefault="00916EAA">
          <w:pPr>
            <w:rPr>
              <w:rFonts w:ascii="仿宋_GB2312" w:eastAsia="仿宋_GB2312"/>
              <w:szCs w:val="21"/>
            </w:rPr>
          </w:pPr>
        </w:p>
        <w:p w:rsidR="00916EAA" w:rsidRPr="001F185D" w:rsidRDefault="00916EAA" w:rsidP="00916EAA">
          <w:pPr>
            <w:overflowPunct w:val="0"/>
            <w:adjustRightInd w:val="0"/>
            <w:snapToGrid w:val="0"/>
            <w:ind w:left="709" w:hanging="709"/>
            <w:rPr>
              <w:rFonts w:cs="Arial"/>
              <w:sz w:val="22"/>
            </w:rPr>
          </w:pPr>
          <w:r w:rsidRPr="001F185D">
            <w:rPr>
              <w:rFonts w:cs="Arial" w:hint="eastAsia"/>
              <w:sz w:val="22"/>
            </w:rPr>
            <w:t>注1：</w:t>
          </w:r>
          <w:r w:rsidRPr="001F185D">
            <w:rPr>
              <w:rFonts w:cs="Arial" w:hint="eastAsia"/>
              <w:sz w:val="22"/>
            </w:rPr>
            <w:tab/>
            <w:t>应付账款主要包括接受服务支出以及尚未支付的劳务费及材料采购款等。</w:t>
          </w:r>
        </w:p>
        <w:p w:rsidR="00916EAA" w:rsidRPr="001F185D" w:rsidRDefault="00916EAA" w:rsidP="00916EAA">
          <w:pPr>
            <w:overflowPunct w:val="0"/>
            <w:adjustRightInd w:val="0"/>
            <w:snapToGrid w:val="0"/>
            <w:ind w:left="709" w:hanging="709"/>
            <w:rPr>
              <w:rFonts w:cs="Arial"/>
              <w:sz w:val="22"/>
            </w:rPr>
          </w:pPr>
        </w:p>
        <w:p w:rsidR="00916EAA" w:rsidRPr="001F185D" w:rsidRDefault="00916EAA" w:rsidP="00916EAA">
          <w:pPr>
            <w:overflowPunct w:val="0"/>
            <w:adjustRightInd w:val="0"/>
            <w:snapToGrid w:val="0"/>
            <w:ind w:left="709" w:hanging="709"/>
            <w:rPr>
              <w:rFonts w:cs="Arial"/>
              <w:sz w:val="22"/>
            </w:rPr>
          </w:pPr>
          <w:r w:rsidRPr="001F185D">
            <w:rPr>
              <w:rFonts w:cs="Arial" w:hint="eastAsia"/>
              <w:sz w:val="22"/>
            </w:rPr>
            <w:t>注2：</w:t>
          </w:r>
          <w:r w:rsidRPr="001F185D">
            <w:rPr>
              <w:rFonts w:cs="Arial" w:hint="eastAsia"/>
              <w:sz w:val="22"/>
            </w:rPr>
            <w:tab/>
            <w:t>其他应付款主要包括应付太原局集团公司及其下属单位代管资金及尚未结算的工程款等。</w:t>
          </w:r>
        </w:p>
        <w:p w:rsidR="00806678" w:rsidRDefault="00F80B6C">
          <w:pPr>
            <w:rPr>
              <w:rFonts w:ascii="仿宋_GB2312" w:eastAsia="仿宋_GB2312"/>
              <w:szCs w:val="21"/>
            </w:rPr>
          </w:pPr>
        </w:p>
      </w:sdtContent>
    </w:sdt>
    <w:sdt>
      <w:sdtPr>
        <w:rPr>
          <w:rFonts w:ascii="宋体" w:hAnsi="宋体" w:cs="宋体" w:hint="eastAsia"/>
          <w:b w:val="0"/>
          <w:bCs w:val="0"/>
          <w:kern w:val="0"/>
          <w:szCs w:val="24"/>
        </w:rPr>
        <w:alias w:val="模块:关联方承诺"/>
        <w:tag w:val="_SEC_af8d9e9e43fe4f6c94313043ab032c00"/>
        <w:id w:val="-941988016"/>
        <w:lock w:val="sdtLocked"/>
        <w:placeholder>
          <w:docPart w:val="GBC22222222222222222222222222222"/>
        </w:placeholder>
      </w:sdtPr>
      <w:sdtEndPr>
        <w:rPr>
          <w:rFonts w:ascii="Cambria" w:eastAsiaTheme="minorEastAsia" w:hAnsi="Cambria" w:cs="Cambria"/>
          <w:sz w:val="20"/>
          <w:szCs w:val="20"/>
        </w:rPr>
      </w:sdtEndPr>
      <w:sdtContent>
        <w:p w:rsidR="00806678" w:rsidRDefault="00B16377" w:rsidP="00FF17C7">
          <w:pPr>
            <w:pStyle w:val="3"/>
            <w:numPr>
              <w:ilvl w:val="0"/>
              <w:numId w:val="54"/>
            </w:numPr>
          </w:pPr>
          <w:r>
            <w:rPr>
              <w:rFonts w:hint="eastAsia"/>
            </w:rPr>
            <w:t>关联方</w:t>
          </w:r>
          <w:r>
            <w:rPr>
              <w:rFonts w:ascii="宋体" w:hAnsi="宋体" w:cs="Arial" w:hint="eastAsia"/>
              <w:szCs w:val="21"/>
            </w:rPr>
            <w:t>承诺</w:t>
          </w:r>
        </w:p>
        <w:sdt>
          <w:sdtPr>
            <w:rPr>
              <w:rFonts w:hint="eastAsia"/>
              <w:szCs w:val="21"/>
            </w:rPr>
            <w:alias w:val="是否适用：关联方承诺[双击切换]"/>
            <w:tag w:val="_GBC_cf52a7b0760b4670b5fc5ea8d7363a6c"/>
            <w:id w:val="-1427188279"/>
            <w:lock w:val="sdtLocked"/>
            <w:placeholder>
              <w:docPart w:val="GBC22222222222222222222222222222"/>
            </w:placeholder>
          </w:sdtPr>
          <w:sdtContent>
            <w:p w:rsidR="00806678" w:rsidRDefault="00F80B6C">
              <w:pPr>
                <w:rPr>
                  <w:szCs w:val="21"/>
                </w:rPr>
              </w:pPr>
              <w:r>
                <w:rPr>
                  <w:szCs w:val="21"/>
                </w:rPr>
                <w:fldChar w:fldCharType="begin"/>
              </w:r>
              <w:r w:rsidR="00FC301B">
                <w:rPr>
                  <w:szCs w:val="21"/>
                </w:rPr>
                <w:instrText xml:space="preserve"> MACROBUTTON  SnrToggleCheckbox √适用  </w:instrText>
              </w:r>
              <w:r>
                <w:rPr>
                  <w:szCs w:val="21"/>
                </w:rPr>
                <w:fldChar w:fldCharType="end"/>
              </w:r>
              <w:r>
                <w:rPr>
                  <w:szCs w:val="21"/>
                </w:rPr>
                <w:fldChar w:fldCharType="begin"/>
              </w:r>
              <w:r w:rsidR="00FC301B">
                <w:rPr>
                  <w:szCs w:val="21"/>
                </w:rPr>
                <w:instrText xml:space="preserve"> MACROBUTTON  SnrToggleCheckbox □不适用 </w:instrText>
              </w:r>
              <w:r>
                <w:rPr>
                  <w:szCs w:val="21"/>
                </w:rPr>
                <w:fldChar w:fldCharType="end"/>
              </w:r>
            </w:p>
          </w:sdtContent>
        </w:sdt>
        <w:sdt>
          <w:sdtPr>
            <w:rPr>
              <w:szCs w:val="21"/>
            </w:rPr>
            <w:alias w:val="关联方相关承诺"/>
            <w:tag w:val="_GBC_df70b8e1996646148a5cf3439a4f4327"/>
            <w:id w:val="-1075350226"/>
            <w:lock w:val="sdtLocked"/>
            <w:placeholder>
              <w:docPart w:val="GBC22222222222222222222222222222"/>
            </w:placeholder>
          </w:sdtPr>
          <w:sdtContent>
            <w:p w:rsidR="00F55D44" w:rsidRDefault="00F55D44">
              <w:pPr>
                <w:rPr>
                  <w:szCs w:val="21"/>
                </w:rPr>
              </w:pPr>
              <w:r>
                <w:rPr>
                  <w:rFonts w:hint="eastAsia"/>
                  <w:szCs w:val="21"/>
                </w:rPr>
                <w:t>以下为本集团于资产负债表日，已签约而尚不必在资产负债表上列示的与关联方有关的承诺事项：</w:t>
              </w:r>
            </w:p>
            <w:p w:rsidR="00F55D44" w:rsidRDefault="00F55D44" w:rsidP="00F55D44">
              <w:pPr>
                <w:jc w:val="right"/>
                <w:rPr>
                  <w:szCs w:val="21"/>
                </w:rPr>
              </w:pPr>
              <w:r>
                <w:rPr>
                  <w:rFonts w:hint="eastAsia"/>
                  <w:szCs w:val="21"/>
                </w:rPr>
                <w:t>单位：元</w:t>
              </w:r>
              <w:r>
                <w:rPr>
                  <w:szCs w:val="21"/>
                </w:rPr>
                <w:t xml:space="preserve"> </w:t>
              </w:r>
              <w:r>
                <w:rPr>
                  <w:rFonts w:hint="eastAsia"/>
                  <w:szCs w:val="21"/>
                </w:rPr>
                <w:t>币种：人民币</w:t>
              </w:r>
            </w:p>
            <w:tbl>
              <w:tblPr>
                <w:tblW w:w="9071" w:type="dxa"/>
                <w:jc w:val="right"/>
                <w:tblLayout w:type="fixed"/>
                <w:tblCellMar>
                  <w:left w:w="0" w:type="dxa"/>
                  <w:right w:w="28" w:type="dxa"/>
                </w:tblCellMar>
                <w:tblLook w:val="04A0"/>
              </w:tblPr>
              <w:tblGrid>
                <w:gridCol w:w="5197"/>
                <w:gridCol w:w="1937"/>
                <w:gridCol w:w="1937"/>
              </w:tblGrid>
              <w:tr w:rsidR="00CE55F0" w:rsidRPr="00F55D44" w:rsidTr="00DB008B">
                <w:trPr>
                  <w:jc w:val="right"/>
                </w:trPr>
                <w:tc>
                  <w:tcPr>
                    <w:tcW w:w="5197" w:type="dxa"/>
                    <w:tcBorders>
                      <w:top w:val="single" w:sz="4" w:space="0" w:color="auto"/>
                      <w:left w:val="single" w:sz="4" w:space="0" w:color="auto"/>
                      <w:bottom w:val="single" w:sz="4" w:space="0" w:color="auto"/>
                      <w:right w:val="single" w:sz="4" w:space="0" w:color="auto"/>
                    </w:tcBorders>
                    <w:vAlign w:val="bottom"/>
                  </w:tcPr>
                  <w:p w:rsidR="00CE55F0" w:rsidRPr="00F55D44" w:rsidRDefault="00CE55F0" w:rsidP="00411E82">
                    <w:pPr>
                      <w:snapToGrid w:val="0"/>
                      <w:ind w:left="311" w:hanging="168"/>
                    </w:pPr>
                    <w:r w:rsidRPr="00F55D44">
                      <w:rPr>
                        <w:rFonts w:hint="eastAsia"/>
                      </w:rPr>
                      <w:t>接受劳务</w:t>
                    </w:r>
                  </w:p>
                </w:tc>
                <w:tc>
                  <w:tcPr>
                    <w:tcW w:w="1937" w:type="dxa"/>
                    <w:tcBorders>
                      <w:top w:val="single" w:sz="4" w:space="0" w:color="auto"/>
                      <w:left w:val="single" w:sz="4" w:space="0" w:color="auto"/>
                      <w:bottom w:val="single" w:sz="4" w:space="0" w:color="auto"/>
                      <w:right w:val="single" w:sz="4" w:space="0" w:color="auto"/>
                    </w:tcBorders>
                    <w:vAlign w:val="bottom"/>
                  </w:tcPr>
                  <w:p w:rsidR="00CE55F0" w:rsidRPr="00F55D44" w:rsidRDefault="00CE55F0" w:rsidP="00DB008B">
                    <w:pPr>
                      <w:snapToGrid w:val="0"/>
                      <w:jc w:val="right"/>
                    </w:pPr>
                  </w:p>
                </w:tc>
                <w:tc>
                  <w:tcPr>
                    <w:tcW w:w="1937" w:type="dxa"/>
                    <w:tcBorders>
                      <w:top w:val="single" w:sz="4" w:space="0" w:color="auto"/>
                      <w:left w:val="single" w:sz="4" w:space="0" w:color="auto"/>
                      <w:bottom w:val="single" w:sz="4" w:space="0" w:color="auto"/>
                      <w:right w:val="single" w:sz="4" w:space="0" w:color="auto"/>
                    </w:tcBorders>
                    <w:vAlign w:val="bottom"/>
                  </w:tcPr>
                  <w:p w:rsidR="00CE55F0" w:rsidRPr="00F55D44" w:rsidRDefault="00CE55F0" w:rsidP="00DB008B">
                    <w:pPr>
                      <w:snapToGrid w:val="0"/>
                      <w:jc w:val="right"/>
                    </w:pPr>
                  </w:p>
                </w:tc>
              </w:tr>
              <w:tr w:rsidR="00CE55F0" w:rsidRPr="00F55D44" w:rsidTr="00DB008B">
                <w:trPr>
                  <w:jc w:val="right"/>
                </w:trPr>
                <w:tc>
                  <w:tcPr>
                    <w:tcW w:w="5197" w:type="dxa"/>
                    <w:tcBorders>
                      <w:top w:val="single" w:sz="4" w:space="0" w:color="auto"/>
                      <w:left w:val="single" w:sz="4" w:space="0" w:color="auto"/>
                      <w:bottom w:val="single" w:sz="4" w:space="0" w:color="auto"/>
                      <w:right w:val="single" w:sz="4" w:space="0" w:color="auto"/>
                    </w:tcBorders>
                    <w:vAlign w:val="bottom"/>
                  </w:tcPr>
                  <w:p w:rsidR="00CE55F0" w:rsidRPr="00F55D44" w:rsidRDefault="00CE55F0" w:rsidP="00411E82">
                    <w:pPr>
                      <w:snapToGrid w:val="0"/>
                      <w:ind w:left="311" w:hanging="221"/>
                    </w:pPr>
                  </w:p>
                </w:tc>
                <w:tc>
                  <w:tcPr>
                    <w:tcW w:w="1937" w:type="dxa"/>
                    <w:tcBorders>
                      <w:top w:val="single" w:sz="4" w:space="0" w:color="auto"/>
                      <w:left w:val="single" w:sz="4" w:space="0" w:color="auto"/>
                      <w:bottom w:val="single" w:sz="4" w:space="0" w:color="auto"/>
                      <w:right w:val="single" w:sz="4" w:space="0" w:color="auto"/>
                    </w:tcBorders>
                    <w:vAlign w:val="center"/>
                  </w:tcPr>
                  <w:p w:rsidR="00CE55F0" w:rsidRPr="00F55D44" w:rsidRDefault="00CE55F0" w:rsidP="00C17700">
                    <w:pPr>
                      <w:snapToGrid w:val="0"/>
                      <w:jc w:val="right"/>
                    </w:pPr>
                    <w:r>
                      <w:t>2022年</w:t>
                    </w:r>
                  </w:p>
                </w:tc>
                <w:tc>
                  <w:tcPr>
                    <w:tcW w:w="1937" w:type="dxa"/>
                    <w:tcBorders>
                      <w:top w:val="single" w:sz="4" w:space="0" w:color="auto"/>
                      <w:left w:val="single" w:sz="4" w:space="0" w:color="auto"/>
                      <w:bottom w:val="single" w:sz="4" w:space="0" w:color="auto"/>
                      <w:right w:val="single" w:sz="4" w:space="0" w:color="auto"/>
                    </w:tcBorders>
                    <w:vAlign w:val="center"/>
                  </w:tcPr>
                  <w:p w:rsidR="00CE55F0" w:rsidRPr="00F55D44" w:rsidRDefault="00CE55F0" w:rsidP="00C17700">
                    <w:pPr>
                      <w:snapToGrid w:val="0"/>
                      <w:jc w:val="right"/>
                    </w:pPr>
                    <w:r>
                      <w:t>2021年</w:t>
                    </w:r>
                  </w:p>
                </w:tc>
              </w:tr>
              <w:tr w:rsidR="00CE55F0" w:rsidRPr="00F55D44" w:rsidTr="00DB008B">
                <w:trPr>
                  <w:jc w:val="right"/>
                </w:trPr>
                <w:tc>
                  <w:tcPr>
                    <w:tcW w:w="5197" w:type="dxa"/>
                    <w:tcBorders>
                      <w:top w:val="single" w:sz="4" w:space="0" w:color="auto"/>
                      <w:left w:val="single" w:sz="4" w:space="0" w:color="auto"/>
                      <w:bottom w:val="single" w:sz="4" w:space="0" w:color="auto"/>
                      <w:right w:val="single" w:sz="4" w:space="0" w:color="auto"/>
                    </w:tcBorders>
                    <w:vAlign w:val="bottom"/>
                  </w:tcPr>
                  <w:p w:rsidR="00CE55F0" w:rsidRPr="00F55D44" w:rsidRDefault="00CE55F0" w:rsidP="00411E82">
                    <w:pPr>
                      <w:snapToGrid w:val="0"/>
                      <w:ind w:left="311" w:hanging="221"/>
                    </w:pPr>
                    <w:r w:rsidRPr="00F55D44">
                      <w:t>国铁集团及其下属单位</w:t>
                    </w:r>
                  </w:p>
                </w:tc>
                <w:tc>
                  <w:tcPr>
                    <w:tcW w:w="1937" w:type="dxa"/>
                    <w:tcBorders>
                      <w:top w:val="single" w:sz="4" w:space="0" w:color="auto"/>
                      <w:left w:val="single" w:sz="4" w:space="0" w:color="auto"/>
                      <w:bottom w:val="single" w:sz="4" w:space="0" w:color="auto"/>
                      <w:right w:val="single" w:sz="4" w:space="0" w:color="auto"/>
                    </w:tcBorders>
                    <w:vAlign w:val="bottom"/>
                  </w:tcPr>
                  <w:p w:rsidR="00CE55F0" w:rsidRPr="00F55D44" w:rsidRDefault="00CE55F0" w:rsidP="00DB008B">
                    <w:pPr>
                      <w:snapToGrid w:val="0"/>
                      <w:ind w:left="221"/>
                      <w:jc w:val="right"/>
                    </w:pPr>
                    <w:r w:rsidRPr="00F55D44">
                      <w:t>26,171,763</w:t>
                    </w:r>
                  </w:p>
                </w:tc>
                <w:tc>
                  <w:tcPr>
                    <w:tcW w:w="1937" w:type="dxa"/>
                    <w:tcBorders>
                      <w:top w:val="single" w:sz="4" w:space="0" w:color="auto"/>
                      <w:left w:val="single" w:sz="4" w:space="0" w:color="auto"/>
                      <w:bottom w:val="single" w:sz="4" w:space="0" w:color="auto"/>
                      <w:right w:val="single" w:sz="4" w:space="0" w:color="auto"/>
                    </w:tcBorders>
                    <w:vAlign w:val="bottom"/>
                  </w:tcPr>
                  <w:p w:rsidR="00CE55F0" w:rsidRPr="00F55D44" w:rsidRDefault="00CE55F0" w:rsidP="00DB008B">
                    <w:pPr>
                      <w:snapToGrid w:val="0"/>
                      <w:ind w:left="221"/>
                      <w:jc w:val="right"/>
                    </w:pPr>
                    <w:r w:rsidRPr="00F55D44">
                      <w:t>299,295</w:t>
                    </w:r>
                  </w:p>
                </w:tc>
              </w:tr>
              <w:tr w:rsidR="00CE55F0" w:rsidRPr="00F55D44" w:rsidTr="00DB008B">
                <w:trPr>
                  <w:jc w:val="right"/>
                </w:trPr>
                <w:tc>
                  <w:tcPr>
                    <w:tcW w:w="5197" w:type="dxa"/>
                    <w:tcBorders>
                      <w:top w:val="single" w:sz="4" w:space="0" w:color="auto"/>
                      <w:left w:val="single" w:sz="4" w:space="0" w:color="auto"/>
                      <w:bottom w:val="single" w:sz="4" w:space="0" w:color="auto"/>
                      <w:right w:val="single" w:sz="4" w:space="0" w:color="auto"/>
                    </w:tcBorders>
                    <w:vAlign w:val="bottom"/>
                  </w:tcPr>
                  <w:p w:rsidR="00CE55F0" w:rsidRPr="00F55D44" w:rsidRDefault="00CE55F0" w:rsidP="00411E82">
                    <w:pPr>
                      <w:snapToGrid w:val="0"/>
                      <w:ind w:left="311" w:hanging="221"/>
                    </w:pPr>
                    <w:r w:rsidRPr="00F55D44">
                      <w:t>其中：太原局集团公司及其下属单位</w:t>
                    </w:r>
                  </w:p>
                </w:tc>
                <w:tc>
                  <w:tcPr>
                    <w:tcW w:w="1937" w:type="dxa"/>
                    <w:tcBorders>
                      <w:top w:val="single" w:sz="4" w:space="0" w:color="auto"/>
                      <w:left w:val="single" w:sz="4" w:space="0" w:color="auto"/>
                      <w:bottom w:val="single" w:sz="4" w:space="0" w:color="auto"/>
                      <w:right w:val="single" w:sz="4" w:space="0" w:color="auto"/>
                    </w:tcBorders>
                    <w:vAlign w:val="bottom"/>
                  </w:tcPr>
                  <w:p w:rsidR="00CE55F0" w:rsidRPr="00F55D44" w:rsidRDefault="00CE55F0" w:rsidP="00DB008B">
                    <w:pPr>
                      <w:snapToGrid w:val="0"/>
                      <w:ind w:left="221"/>
                      <w:jc w:val="right"/>
                    </w:pPr>
                    <w:r w:rsidRPr="00F55D44">
                      <w:t>26,171,763</w:t>
                    </w:r>
                  </w:p>
                </w:tc>
                <w:tc>
                  <w:tcPr>
                    <w:tcW w:w="1937" w:type="dxa"/>
                    <w:tcBorders>
                      <w:top w:val="single" w:sz="4" w:space="0" w:color="auto"/>
                      <w:left w:val="single" w:sz="4" w:space="0" w:color="auto"/>
                      <w:bottom w:val="single" w:sz="4" w:space="0" w:color="auto"/>
                      <w:right w:val="single" w:sz="4" w:space="0" w:color="auto"/>
                    </w:tcBorders>
                    <w:vAlign w:val="bottom"/>
                  </w:tcPr>
                  <w:p w:rsidR="00CE55F0" w:rsidRPr="00F55D44" w:rsidRDefault="00CE55F0" w:rsidP="00DB008B">
                    <w:pPr>
                      <w:snapToGrid w:val="0"/>
                      <w:jc w:val="right"/>
                    </w:pPr>
                    <w:r w:rsidRPr="00F55D44">
                      <w:t>299,295</w:t>
                    </w:r>
                  </w:p>
                </w:tc>
              </w:tr>
              <w:tr w:rsidR="00CE55F0" w:rsidRPr="00F55D44" w:rsidTr="00DB008B">
                <w:trPr>
                  <w:trHeight w:val="380"/>
                  <w:jc w:val="right"/>
                </w:trPr>
                <w:tc>
                  <w:tcPr>
                    <w:tcW w:w="5197" w:type="dxa"/>
                    <w:tcBorders>
                      <w:top w:val="single" w:sz="4" w:space="0" w:color="auto"/>
                      <w:bottom w:val="single" w:sz="4" w:space="0" w:color="auto"/>
                    </w:tcBorders>
                    <w:vAlign w:val="bottom"/>
                  </w:tcPr>
                  <w:p w:rsidR="00CE55F0" w:rsidRPr="00F55D44" w:rsidRDefault="00CE55F0" w:rsidP="00411E82">
                    <w:pPr>
                      <w:snapToGrid w:val="0"/>
                      <w:ind w:left="311" w:hanging="221"/>
                    </w:pPr>
                    <w:r w:rsidRPr="00F55D44">
                      <w:t> </w:t>
                    </w:r>
                  </w:p>
                </w:tc>
                <w:tc>
                  <w:tcPr>
                    <w:tcW w:w="1937" w:type="dxa"/>
                    <w:tcBorders>
                      <w:top w:val="single" w:sz="4" w:space="0" w:color="auto"/>
                      <w:bottom w:val="single" w:sz="4" w:space="0" w:color="auto"/>
                    </w:tcBorders>
                    <w:vAlign w:val="bottom"/>
                  </w:tcPr>
                  <w:p w:rsidR="00CE55F0" w:rsidRPr="00F55D44" w:rsidRDefault="00CE55F0" w:rsidP="00DB008B">
                    <w:pPr>
                      <w:snapToGrid w:val="0"/>
                      <w:ind w:left="221"/>
                      <w:jc w:val="right"/>
                    </w:pPr>
                    <w:r w:rsidRPr="00F55D44">
                      <w:t> </w:t>
                    </w:r>
                  </w:p>
                </w:tc>
                <w:tc>
                  <w:tcPr>
                    <w:tcW w:w="1937" w:type="dxa"/>
                    <w:tcBorders>
                      <w:top w:val="single" w:sz="4" w:space="0" w:color="auto"/>
                      <w:bottom w:val="single" w:sz="4" w:space="0" w:color="auto"/>
                    </w:tcBorders>
                    <w:vAlign w:val="bottom"/>
                  </w:tcPr>
                  <w:p w:rsidR="00CE55F0" w:rsidRPr="00F55D44" w:rsidRDefault="00CE55F0" w:rsidP="00DB008B">
                    <w:pPr>
                      <w:snapToGrid w:val="0"/>
                      <w:jc w:val="right"/>
                    </w:pPr>
                    <w:r w:rsidRPr="00F55D44">
                      <w:t> </w:t>
                    </w:r>
                  </w:p>
                </w:tc>
              </w:tr>
              <w:tr w:rsidR="00CE55F0" w:rsidRPr="00F55D44" w:rsidTr="00C84467">
                <w:trPr>
                  <w:trHeight w:val="296"/>
                  <w:jc w:val="right"/>
                </w:trPr>
                <w:tc>
                  <w:tcPr>
                    <w:tcW w:w="5197" w:type="dxa"/>
                    <w:tcBorders>
                      <w:top w:val="single" w:sz="4" w:space="0" w:color="auto"/>
                      <w:left w:val="single" w:sz="4" w:space="0" w:color="auto"/>
                      <w:bottom w:val="single" w:sz="4" w:space="0" w:color="auto"/>
                      <w:right w:val="single" w:sz="4" w:space="0" w:color="auto"/>
                    </w:tcBorders>
                    <w:vAlign w:val="bottom"/>
                  </w:tcPr>
                  <w:p w:rsidR="00CE55F0" w:rsidRPr="00F55D44" w:rsidRDefault="00CE55F0" w:rsidP="00411E82">
                    <w:pPr>
                      <w:snapToGrid w:val="0"/>
                      <w:ind w:left="311" w:hanging="168"/>
                    </w:pPr>
                    <w:r w:rsidRPr="00F55D44">
                      <w:t>采购商品</w:t>
                    </w:r>
                  </w:p>
                </w:tc>
                <w:tc>
                  <w:tcPr>
                    <w:tcW w:w="1937" w:type="dxa"/>
                    <w:tcBorders>
                      <w:top w:val="single" w:sz="4" w:space="0" w:color="auto"/>
                      <w:left w:val="single" w:sz="4" w:space="0" w:color="auto"/>
                      <w:bottom w:val="single" w:sz="4" w:space="0" w:color="auto"/>
                      <w:right w:val="single" w:sz="4" w:space="0" w:color="auto"/>
                    </w:tcBorders>
                    <w:vAlign w:val="bottom"/>
                  </w:tcPr>
                  <w:p w:rsidR="00CE55F0" w:rsidRPr="00F55D44" w:rsidRDefault="00CE55F0" w:rsidP="00DB008B">
                    <w:pPr>
                      <w:snapToGrid w:val="0"/>
                      <w:ind w:left="221"/>
                      <w:jc w:val="right"/>
                    </w:pPr>
                    <w:r w:rsidRPr="00F55D44">
                      <w:t> </w:t>
                    </w:r>
                  </w:p>
                </w:tc>
                <w:tc>
                  <w:tcPr>
                    <w:tcW w:w="1937" w:type="dxa"/>
                    <w:tcBorders>
                      <w:top w:val="single" w:sz="4" w:space="0" w:color="auto"/>
                      <w:left w:val="single" w:sz="4" w:space="0" w:color="auto"/>
                      <w:bottom w:val="single" w:sz="4" w:space="0" w:color="auto"/>
                      <w:right w:val="single" w:sz="4" w:space="0" w:color="auto"/>
                    </w:tcBorders>
                    <w:vAlign w:val="bottom"/>
                  </w:tcPr>
                  <w:p w:rsidR="00CE55F0" w:rsidRPr="00F55D44" w:rsidRDefault="00CE55F0" w:rsidP="00DB008B">
                    <w:pPr>
                      <w:snapToGrid w:val="0"/>
                      <w:jc w:val="right"/>
                    </w:pPr>
                    <w:r w:rsidRPr="00F55D44">
                      <w:t> </w:t>
                    </w:r>
                  </w:p>
                </w:tc>
              </w:tr>
              <w:tr w:rsidR="00CE55F0" w:rsidRPr="00F55D44" w:rsidTr="00DB008B">
                <w:trPr>
                  <w:jc w:val="right"/>
                </w:trPr>
                <w:tc>
                  <w:tcPr>
                    <w:tcW w:w="5197" w:type="dxa"/>
                    <w:tcBorders>
                      <w:top w:val="single" w:sz="4" w:space="0" w:color="auto"/>
                      <w:left w:val="single" w:sz="4" w:space="0" w:color="auto"/>
                      <w:bottom w:val="single" w:sz="4" w:space="0" w:color="auto"/>
                      <w:right w:val="single" w:sz="4" w:space="0" w:color="auto"/>
                    </w:tcBorders>
                    <w:vAlign w:val="bottom"/>
                  </w:tcPr>
                  <w:p w:rsidR="00CE55F0" w:rsidRPr="00F55D44" w:rsidRDefault="00CE55F0" w:rsidP="00411E82">
                    <w:pPr>
                      <w:snapToGrid w:val="0"/>
                      <w:ind w:left="311" w:hanging="221"/>
                    </w:pPr>
                  </w:p>
                </w:tc>
                <w:tc>
                  <w:tcPr>
                    <w:tcW w:w="1937" w:type="dxa"/>
                    <w:tcBorders>
                      <w:top w:val="single" w:sz="4" w:space="0" w:color="auto"/>
                      <w:left w:val="single" w:sz="4" w:space="0" w:color="auto"/>
                      <w:bottom w:val="single" w:sz="4" w:space="0" w:color="auto"/>
                      <w:right w:val="single" w:sz="4" w:space="0" w:color="auto"/>
                    </w:tcBorders>
                    <w:vAlign w:val="center"/>
                  </w:tcPr>
                  <w:p w:rsidR="00CE55F0" w:rsidRPr="00F55D44" w:rsidRDefault="00CE55F0" w:rsidP="00C17700">
                    <w:pPr>
                      <w:snapToGrid w:val="0"/>
                      <w:ind w:left="221"/>
                      <w:jc w:val="right"/>
                    </w:pPr>
                    <w:r>
                      <w:t>2022年</w:t>
                    </w:r>
                  </w:p>
                </w:tc>
                <w:tc>
                  <w:tcPr>
                    <w:tcW w:w="1937" w:type="dxa"/>
                    <w:tcBorders>
                      <w:top w:val="single" w:sz="4" w:space="0" w:color="auto"/>
                      <w:left w:val="single" w:sz="4" w:space="0" w:color="auto"/>
                      <w:bottom w:val="single" w:sz="4" w:space="0" w:color="auto"/>
                      <w:right w:val="single" w:sz="4" w:space="0" w:color="auto"/>
                    </w:tcBorders>
                    <w:vAlign w:val="center"/>
                  </w:tcPr>
                  <w:p w:rsidR="00CE55F0" w:rsidRPr="00F55D44" w:rsidRDefault="00CE55F0" w:rsidP="00C17700">
                    <w:pPr>
                      <w:snapToGrid w:val="0"/>
                      <w:jc w:val="right"/>
                    </w:pPr>
                    <w:r>
                      <w:t>2021年</w:t>
                    </w:r>
                  </w:p>
                </w:tc>
              </w:tr>
              <w:tr w:rsidR="00CE55F0" w:rsidRPr="00F55D44" w:rsidTr="00DB008B">
                <w:trPr>
                  <w:jc w:val="right"/>
                </w:trPr>
                <w:tc>
                  <w:tcPr>
                    <w:tcW w:w="5197" w:type="dxa"/>
                    <w:tcBorders>
                      <w:top w:val="single" w:sz="4" w:space="0" w:color="auto"/>
                      <w:left w:val="single" w:sz="4" w:space="0" w:color="auto"/>
                      <w:bottom w:val="single" w:sz="4" w:space="0" w:color="auto"/>
                      <w:right w:val="single" w:sz="4" w:space="0" w:color="auto"/>
                    </w:tcBorders>
                    <w:vAlign w:val="bottom"/>
                  </w:tcPr>
                  <w:p w:rsidR="00CE55F0" w:rsidRPr="00F55D44" w:rsidRDefault="00CE55F0" w:rsidP="00411E82">
                    <w:pPr>
                      <w:snapToGrid w:val="0"/>
                      <w:ind w:left="311" w:hanging="221"/>
                    </w:pPr>
                    <w:r w:rsidRPr="00F55D44">
                      <w:t>国铁集团及其下属单位</w:t>
                    </w:r>
                  </w:p>
                </w:tc>
                <w:tc>
                  <w:tcPr>
                    <w:tcW w:w="1937" w:type="dxa"/>
                    <w:tcBorders>
                      <w:top w:val="single" w:sz="4" w:space="0" w:color="auto"/>
                      <w:left w:val="single" w:sz="4" w:space="0" w:color="auto"/>
                      <w:bottom w:val="single" w:sz="4" w:space="0" w:color="auto"/>
                      <w:right w:val="single" w:sz="4" w:space="0" w:color="auto"/>
                    </w:tcBorders>
                    <w:vAlign w:val="bottom"/>
                  </w:tcPr>
                  <w:p w:rsidR="00CE55F0" w:rsidRPr="00F55D44" w:rsidRDefault="00CE55F0" w:rsidP="00DB008B">
                    <w:pPr>
                      <w:snapToGrid w:val="0"/>
                      <w:ind w:left="221"/>
                      <w:jc w:val="right"/>
                    </w:pPr>
                    <w:r w:rsidRPr="00F55D44">
                      <w:t>16,558,707</w:t>
                    </w:r>
                  </w:p>
                </w:tc>
                <w:tc>
                  <w:tcPr>
                    <w:tcW w:w="1937" w:type="dxa"/>
                    <w:tcBorders>
                      <w:top w:val="single" w:sz="4" w:space="0" w:color="auto"/>
                      <w:left w:val="single" w:sz="4" w:space="0" w:color="auto"/>
                      <w:bottom w:val="single" w:sz="4" w:space="0" w:color="auto"/>
                      <w:right w:val="single" w:sz="4" w:space="0" w:color="auto"/>
                    </w:tcBorders>
                    <w:vAlign w:val="bottom"/>
                  </w:tcPr>
                  <w:p w:rsidR="00CE55F0" w:rsidRPr="00F55D44" w:rsidRDefault="00CE55F0" w:rsidP="00DB008B">
                    <w:pPr>
                      <w:snapToGrid w:val="0"/>
                      <w:ind w:left="221"/>
                      <w:jc w:val="right"/>
                    </w:pPr>
                    <w:r w:rsidRPr="00F55D44">
                      <w:t>38,225,016</w:t>
                    </w:r>
                  </w:p>
                </w:tc>
              </w:tr>
              <w:tr w:rsidR="00CE55F0" w:rsidRPr="00F55D44" w:rsidTr="00DB008B">
                <w:trPr>
                  <w:jc w:val="right"/>
                </w:trPr>
                <w:tc>
                  <w:tcPr>
                    <w:tcW w:w="5197" w:type="dxa"/>
                    <w:tcBorders>
                      <w:top w:val="single" w:sz="4" w:space="0" w:color="auto"/>
                      <w:left w:val="single" w:sz="4" w:space="0" w:color="auto"/>
                      <w:bottom w:val="single" w:sz="4" w:space="0" w:color="auto"/>
                      <w:right w:val="single" w:sz="4" w:space="0" w:color="auto"/>
                    </w:tcBorders>
                    <w:vAlign w:val="bottom"/>
                  </w:tcPr>
                  <w:p w:rsidR="00CE55F0" w:rsidRPr="00F55D44" w:rsidRDefault="00CE55F0" w:rsidP="00411E82">
                    <w:pPr>
                      <w:snapToGrid w:val="0"/>
                      <w:ind w:left="353" w:hanging="221"/>
                    </w:pPr>
                    <w:r w:rsidRPr="00F55D44">
                      <w:t>其中：太原局集团公司及其下属单位</w:t>
                    </w:r>
                  </w:p>
                </w:tc>
                <w:tc>
                  <w:tcPr>
                    <w:tcW w:w="1937" w:type="dxa"/>
                    <w:tcBorders>
                      <w:top w:val="single" w:sz="4" w:space="0" w:color="auto"/>
                      <w:left w:val="single" w:sz="4" w:space="0" w:color="auto"/>
                      <w:bottom w:val="single" w:sz="4" w:space="0" w:color="auto"/>
                      <w:right w:val="single" w:sz="4" w:space="0" w:color="auto"/>
                    </w:tcBorders>
                    <w:vAlign w:val="bottom"/>
                  </w:tcPr>
                  <w:p w:rsidR="00CE55F0" w:rsidRPr="00F55D44" w:rsidRDefault="00CE55F0" w:rsidP="00DB008B">
                    <w:pPr>
                      <w:snapToGrid w:val="0"/>
                      <w:ind w:left="221"/>
                      <w:jc w:val="right"/>
                    </w:pPr>
                    <w:r w:rsidRPr="00F55D44">
                      <w:t>16,558,707</w:t>
                    </w:r>
                  </w:p>
                </w:tc>
                <w:tc>
                  <w:tcPr>
                    <w:tcW w:w="1937" w:type="dxa"/>
                    <w:tcBorders>
                      <w:top w:val="single" w:sz="4" w:space="0" w:color="auto"/>
                      <w:left w:val="single" w:sz="4" w:space="0" w:color="auto"/>
                      <w:bottom w:val="single" w:sz="4" w:space="0" w:color="auto"/>
                      <w:right w:val="single" w:sz="4" w:space="0" w:color="auto"/>
                    </w:tcBorders>
                    <w:vAlign w:val="bottom"/>
                  </w:tcPr>
                  <w:p w:rsidR="00CE55F0" w:rsidRPr="00F55D44" w:rsidRDefault="00CE55F0" w:rsidP="00DB008B">
                    <w:pPr>
                      <w:snapToGrid w:val="0"/>
                      <w:jc w:val="right"/>
                    </w:pPr>
                    <w:r w:rsidRPr="00F55D44">
                      <w:t>38,225,016</w:t>
                    </w:r>
                  </w:p>
                </w:tc>
              </w:tr>
              <w:tr w:rsidR="00CE55F0" w:rsidRPr="00F55D44" w:rsidTr="00DB008B">
                <w:trPr>
                  <w:trHeight w:val="380"/>
                  <w:jc w:val="right"/>
                </w:trPr>
                <w:tc>
                  <w:tcPr>
                    <w:tcW w:w="5197" w:type="dxa"/>
                    <w:tcBorders>
                      <w:top w:val="single" w:sz="4" w:space="0" w:color="auto"/>
                      <w:bottom w:val="single" w:sz="4" w:space="0" w:color="auto"/>
                    </w:tcBorders>
                    <w:vAlign w:val="bottom"/>
                  </w:tcPr>
                  <w:p w:rsidR="00CE55F0" w:rsidRPr="00F55D44" w:rsidRDefault="00CE55F0" w:rsidP="00411E82">
                    <w:pPr>
                      <w:snapToGrid w:val="0"/>
                      <w:ind w:left="353" w:hanging="221"/>
                    </w:pPr>
                    <w:r w:rsidRPr="00F55D44">
                      <w:t> </w:t>
                    </w:r>
                  </w:p>
                </w:tc>
                <w:tc>
                  <w:tcPr>
                    <w:tcW w:w="1937" w:type="dxa"/>
                    <w:tcBorders>
                      <w:top w:val="single" w:sz="4" w:space="0" w:color="auto"/>
                      <w:bottom w:val="single" w:sz="4" w:space="0" w:color="auto"/>
                    </w:tcBorders>
                    <w:vAlign w:val="bottom"/>
                  </w:tcPr>
                  <w:p w:rsidR="00CE55F0" w:rsidRPr="00F55D44" w:rsidRDefault="00CE55F0" w:rsidP="00DB008B">
                    <w:pPr>
                      <w:snapToGrid w:val="0"/>
                      <w:ind w:left="221"/>
                      <w:jc w:val="right"/>
                    </w:pPr>
                    <w:r w:rsidRPr="00F55D44">
                      <w:t> </w:t>
                    </w:r>
                  </w:p>
                </w:tc>
                <w:tc>
                  <w:tcPr>
                    <w:tcW w:w="1937" w:type="dxa"/>
                    <w:tcBorders>
                      <w:top w:val="single" w:sz="4" w:space="0" w:color="auto"/>
                      <w:bottom w:val="single" w:sz="4" w:space="0" w:color="auto"/>
                    </w:tcBorders>
                    <w:vAlign w:val="bottom"/>
                  </w:tcPr>
                  <w:p w:rsidR="00CE55F0" w:rsidRPr="00F55D44" w:rsidRDefault="00CE55F0" w:rsidP="00DB008B">
                    <w:pPr>
                      <w:snapToGrid w:val="0"/>
                      <w:jc w:val="right"/>
                    </w:pPr>
                    <w:r w:rsidRPr="00F55D44">
                      <w:t> </w:t>
                    </w:r>
                  </w:p>
                </w:tc>
              </w:tr>
              <w:tr w:rsidR="00CE55F0" w:rsidRPr="00F55D44" w:rsidTr="00DB008B">
                <w:trPr>
                  <w:jc w:val="right"/>
                </w:trPr>
                <w:tc>
                  <w:tcPr>
                    <w:tcW w:w="5197" w:type="dxa"/>
                    <w:tcBorders>
                      <w:top w:val="single" w:sz="4" w:space="0" w:color="auto"/>
                      <w:left w:val="single" w:sz="4" w:space="0" w:color="auto"/>
                      <w:bottom w:val="single" w:sz="4" w:space="0" w:color="auto"/>
                      <w:right w:val="single" w:sz="4" w:space="0" w:color="auto"/>
                    </w:tcBorders>
                    <w:vAlign w:val="bottom"/>
                  </w:tcPr>
                  <w:p w:rsidR="00CE55F0" w:rsidRPr="00F55D44" w:rsidRDefault="00CE55F0" w:rsidP="00411E82">
                    <w:pPr>
                      <w:snapToGrid w:val="0"/>
                      <w:ind w:left="353" w:hanging="182"/>
                    </w:pPr>
                    <w:r w:rsidRPr="00F55D44">
                      <w:lastRenderedPageBreak/>
                      <w:t>资产收购</w:t>
                    </w:r>
                  </w:p>
                </w:tc>
                <w:tc>
                  <w:tcPr>
                    <w:tcW w:w="1937" w:type="dxa"/>
                    <w:tcBorders>
                      <w:top w:val="single" w:sz="4" w:space="0" w:color="auto"/>
                      <w:left w:val="single" w:sz="4" w:space="0" w:color="auto"/>
                      <w:bottom w:val="single" w:sz="4" w:space="0" w:color="auto"/>
                      <w:right w:val="single" w:sz="4" w:space="0" w:color="auto"/>
                    </w:tcBorders>
                    <w:vAlign w:val="bottom"/>
                  </w:tcPr>
                  <w:p w:rsidR="00CE55F0" w:rsidRPr="00F55D44" w:rsidRDefault="00CE55F0" w:rsidP="00DB008B">
                    <w:pPr>
                      <w:snapToGrid w:val="0"/>
                      <w:ind w:left="221"/>
                      <w:jc w:val="right"/>
                    </w:pPr>
                    <w:r w:rsidRPr="00F55D44">
                      <w:t> </w:t>
                    </w:r>
                  </w:p>
                </w:tc>
                <w:tc>
                  <w:tcPr>
                    <w:tcW w:w="1937" w:type="dxa"/>
                    <w:tcBorders>
                      <w:top w:val="single" w:sz="4" w:space="0" w:color="auto"/>
                      <w:left w:val="single" w:sz="4" w:space="0" w:color="auto"/>
                      <w:bottom w:val="single" w:sz="4" w:space="0" w:color="auto"/>
                      <w:right w:val="single" w:sz="4" w:space="0" w:color="auto"/>
                    </w:tcBorders>
                    <w:vAlign w:val="bottom"/>
                  </w:tcPr>
                  <w:p w:rsidR="00CE55F0" w:rsidRPr="00F55D44" w:rsidRDefault="00CE55F0" w:rsidP="00DB008B">
                    <w:pPr>
                      <w:snapToGrid w:val="0"/>
                      <w:jc w:val="right"/>
                    </w:pPr>
                    <w:r w:rsidRPr="00F55D44">
                      <w:t> </w:t>
                    </w:r>
                  </w:p>
                </w:tc>
              </w:tr>
              <w:tr w:rsidR="00CE55F0" w:rsidRPr="00F55D44" w:rsidTr="00DB008B">
                <w:trPr>
                  <w:jc w:val="right"/>
                </w:trPr>
                <w:tc>
                  <w:tcPr>
                    <w:tcW w:w="5197" w:type="dxa"/>
                    <w:tcBorders>
                      <w:top w:val="single" w:sz="4" w:space="0" w:color="auto"/>
                      <w:left w:val="single" w:sz="4" w:space="0" w:color="auto"/>
                      <w:bottom w:val="single" w:sz="4" w:space="0" w:color="auto"/>
                      <w:right w:val="single" w:sz="4" w:space="0" w:color="auto"/>
                    </w:tcBorders>
                    <w:vAlign w:val="bottom"/>
                  </w:tcPr>
                  <w:p w:rsidR="00CE55F0" w:rsidRPr="00F55D44" w:rsidRDefault="00CE55F0" w:rsidP="00411E82">
                    <w:pPr>
                      <w:snapToGrid w:val="0"/>
                      <w:ind w:left="353" w:hanging="221"/>
                    </w:pPr>
                  </w:p>
                </w:tc>
                <w:tc>
                  <w:tcPr>
                    <w:tcW w:w="1937" w:type="dxa"/>
                    <w:tcBorders>
                      <w:top w:val="single" w:sz="4" w:space="0" w:color="auto"/>
                      <w:left w:val="single" w:sz="4" w:space="0" w:color="auto"/>
                      <w:bottom w:val="single" w:sz="4" w:space="0" w:color="auto"/>
                      <w:right w:val="single" w:sz="4" w:space="0" w:color="auto"/>
                    </w:tcBorders>
                    <w:vAlign w:val="center"/>
                  </w:tcPr>
                  <w:p w:rsidR="00CE55F0" w:rsidRPr="00F55D44" w:rsidRDefault="00CE55F0" w:rsidP="00C17700">
                    <w:pPr>
                      <w:snapToGrid w:val="0"/>
                      <w:ind w:left="221"/>
                      <w:jc w:val="right"/>
                    </w:pPr>
                    <w:r>
                      <w:t>2022年</w:t>
                    </w:r>
                  </w:p>
                </w:tc>
                <w:tc>
                  <w:tcPr>
                    <w:tcW w:w="1937" w:type="dxa"/>
                    <w:tcBorders>
                      <w:top w:val="single" w:sz="4" w:space="0" w:color="auto"/>
                      <w:left w:val="single" w:sz="4" w:space="0" w:color="auto"/>
                      <w:bottom w:val="single" w:sz="4" w:space="0" w:color="auto"/>
                      <w:right w:val="single" w:sz="4" w:space="0" w:color="auto"/>
                    </w:tcBorders>
                    <w:vAlign w:val="center"/>
                  </w:tcPr>
                  <w:p w:rsidR="00CE55F0" w:rsidRPr="00F55D44" w:rsidRDefault="00CE55F0" w:rsidP="00C17700">
                    <w:pPr>
                      <w:snapToGrid w:val="0"/>
                      <w:jc w:val="right"/>
                    </w:pPr>
                    <w:r>
                      <w:t>2021年</w:t>
                    </w:r>
                  </w:p>
                </w:tc>
              </w:tr>
              <w:tr w:rsidR="00CE55F0" w:rsidRPr="00F55D44" w:rsidTr="00DB008B">
                <w:trPr>
                  <w:jc w:val="right"/>
                </w:trPr>
                <w:tc>
                  <w:tcPr>
                    <w:tcW w:w="5197" w:type="dxa"/>
                    <w:tcBorders>
                      <w:top w:val="single" w:sz="4" w:space="0" w:color="auto"/>
                      <w:left w:val="single" w:sz="4" w:space="0" w:color="auto"/>
                      <w:bottom w:val="single" w:sz="4" w:space="0" w:color="auto"/>
                      <w:right w:val="single" w:sz="4" w:space="0" w:color="auto"/>
                    </w:tcBorders>
                    <w:vAlign w:val="bottom"/>
                  </w:tcPr>
                  <w:p w:rsidR="00CE55F0" w:rsidRPr="00F55D44" w:rsidRDefault="00CE55F0" w:rsidP="00411E82">
                    <w:pPr>
                      <w:snapToGrid w:val="0"/>
                      <w:ind w:left="353" w:hanging="221"/>
                    </w:pPr>
                    <w:r w:rsidRPr="00F55D44">
                      <w:t>国铁集团及其下属单位</w:t>
                    </w:r>
                  </w:p>
                </w:tc>
                <w:tc>
                  <w:tcPr>
                    <w:tcW w:w="1937" w:type="dxa"/>
                    <w:tcBorders>
                      <w:top w:val="single" w:sz="4" w:space="0" w:color="auto"/>
                      <w:left w:val="single" w:sz="4" w:space="0" w:color="auto"/>
                      <w:bottom w:val="single" w:sz="4" w:space="0" w:color="auto"/>
                      <w:right w:val="single" w:sz="4" w:space="0" w:color="auto"/>
                    </w:tcBorders>
                    <w:vAlign w:val="bottom"/>
                  </w:tcPr>
                  <w:p w:rsidR="00CE55F0" w:rsidRPr="00F55D44" w:rsidRDefault="00CE55F0" w:rsidP="00DB008B">
                    <w:pPr>
                      <w:snapToGrid w:val="0"/>
                      <w:ind w:left="221"/>
                      <w:jc w:val="right"/>
                    </w:pPr>
                    <w:r w:rsidRPr="00F55D44">
                      <w:t>28,309,015,300</w:t>
                    </w:r>
                  </w:p>
                </w:tc>
                <w:tc>
                  <w:tcPr>
                    <w:tcW w:w="1937" w:type="dxa"/>
                    <w:tcBorders>
                      <w:top w:val="single" w:sz="4" w:space="0" w:color="auto"/>
                      <w:left w:val="single" w:sz="4" w:space="0" w:color="auto"/>
                      <w:bottom w:val="single" w:sz="4" w:space="0" w:color="auto"/>
                      <w:right w:val="single" w:sz="4" w:space="0" w:color="auto"/>
                    </w:tcBorders>
                    <w:vAlign w:val="bottom"/>
                  </w:tcPr>
                  <w:p w:rsidR="00CE55F0" w:rsidRPr="00F55D44" w:rsidRDefault="00CE55F0" w:rsidP="00DB008B">
                    <w:pPr>
                      <w:snapToGrid w:val="0"/>
                      <w:ind w:left="221"/>
                      <w:jc w:val="right"/>
                    </w:pPr>
                    <w:r w:rsidRPr="00F55D44">
                      <w:t>28,309,015,300</w:t>
                    </w:r>
                  </w:p>
                </w:tc>
              </w:tr>
              <w:tr w:rsidR="00CE55F0" w:rsidRPr="00F55D44" w:rsidTr="00DB008B">
                <w:trPr>
                  <w:jc w:val="right"/>
                </w:trPr>
                <w:tc>
                  <w:tcPr>
                    <w:tcW w:w="5197" w:type="dxa"/>
                    <w:tcBorders>
                      <w:top w:val="single" w:sz="4" w:space="0" w:color="auto"/>
                      <w:left w:val="single" w:sz="4" w:space="0" w:color="auto"/>
                      <w:bottom w:val="single" w:sz="4" w:space="0" w:color="auto"/>
                      <w:right w:val="single" w:sz="4" w:space="0" w:color="auto"/>
                    </w:tcBorders>
                    <w:vAlign w:val="bottom"/>
                  </w:tcPr>
                  <w:p w:rsidR="00CE55F0" w:rsidRPr="00F55D44" w:rsidRDefault="00CE55F0" w:rsidP="00411E82">
                    <w:pPr>
                      <w:snapToGrid w:val="0"/>
                      <w:ind w:left="353" w:hanging="221"/>
                    </w:pPr>
                    <w:r w:rsidRPr="00F55D44">
                      <w:t>其中：太原局集团公司及其下属单位</w:t>
                    </w:r>
                  </w:p>
                </w:tc>
                <w:tc>
                  <w:tcPr>
                    <w:tcW w:w="1937" w:type="dxa"/>
                    <w:tcBorders>
                      <w:top w:val="single" w:sz="4" w:space="0" w:color="auto"/>
                      <w:left w:val="single" w:sz="4" w:space="0" w:color="auto"/>
                      <w:bottom w:val="single" w:sz="4" w:space="0" w:color="auto"/>
                      <w:right w:val="single" w:sz="4" w:space="0" w:color="auto"/>
                    </w:tcBorders>
                    <w:vAlign w:val="bottom"/>
                  </w:tcPr>
                  <w:p w:rsidR="00CE55F0" w:rsidRPr="00F55D44" w:rsidRDefault="00CE55F0" w:rsidP="00DB008B">
                    <w:pPr>
                      <w:snapToGrid w:val="0"/>
                      <w:ind w:left="221"/>
                      <w:jc w:val="right"/>
                    </w:pPr>
                    <w:r w:rsidRPr="00F55D44">
                      <w:t>28,309,015,300</w:t>
                    </w:r>
                  </w:p>
                </w:tc>
                <w:tc>
                  <w:tcPr>
                    <w:tcW w:w="1937" w:type="dxa"/>
                    <w:tcBorders>
                      <w:top w:val="single" w:sz="4" w:space="0" w:color="auto"/>
                      <w:left w:val="single" w:sz="4" w:space="0" w:color="auto"/>
                      <w:bottom w:val="single" w:sz="4" w:space="0" w:color="auto"/>
                      <w:right w:val="single" w:sz="4" w:space="0" w:color="auto"/>
                    </w:tcBorders>
                    <w:vAlign w:val="bottom"/>
                  </w:tcPr>
                  <w:p w:rsidR="00CE55F0" w:rsidRPr="00F55D44" w:rsidRDefault="00CE55F0" w:rsidP="00DB008B">
                    <w:pPr>
                      <w:snapToGrid w:val="0"/>
                      <w:ind w:left="221"/>
                      <w:jc w:val="right"/>
                    </w:pPr>
                    <w:r w:rsidRPr="00F55D44">
                      <w:t>28,309,015,300</w:t>
                    </w:r>
                  </w:p>
                </w:tc>
              </w:tr>
              <w:tr w:rsidR="00CE55F0" w:rsidRPr="00F55D44" w:rsidTr="00DB008B">
                <w:trPr>
                  <w:trHeight w:val="380"/>
                  <w:jc w:val="right"/>
                </w:trPr>
                <w:tc>
                  <w:tcPr>
                    <w:tcW w:w="5197" w:type="dxa"/>
                    <w:tcBorders>
                      <w:top w:val="single" w:sz="4" w:space="0" w:color="auto"/>
                      <w:bottom w:val="single" w:sz="4" w:space="0" w:color="auto"/>
                    </w:tcBorders>
                    <w:vAlign w:val="bottom"/>
                  </w:tcPr>
                  <w:p w:rsidR="00CE55F0" w:rsidRPr="00F55D44" w:rsidRDefault="00CE55F0" w:rsidP="00411E82">
                    <w:pPr>
                      <w:snapToGrid w:val="0"/>
                      <w:ind w:left="353" w:hanging="221"/>
                    </w:pPr>
                    <w:r w:rsidRPr="00F55D44">
                      <w:t> </w:t>
                    </w:r>
                  </w:p>
                </w:tc>
                <w:tc>
                  <w:tcPr>
                    <w:tcW w:w="1937" w:type="dxa"/>
                    <w:tcBorders>
                      <w:top w:val="single" w:sz="4" w:space="0" w:color="auto"/>
                      <w:bottom w:val="single" w:sz="4" w:space="0" w:color="auto"/>
                    </w:tcBorders>
                    <w:vAlign w:val="bottom"/>
                  </w:tcPr>
                  <w:p w:rsidR="00CE55F0" w:rsidRPr="00F55D44" w:rsidRDefault="00CE55F0" w:rsidP="00DB008B">
                    <w:pPr>
                      <w:snapToGrid w:val="0"/>
                      <w:ind w:left="221"/>
                      <w:jc w:val="right"/>
                    </w:pPr>
                    <w:r w:rsidRPr="00F55D44">
                      <w:t> </w:t>
                    </w:r>
                  </w:p>
                </w:tc>
                <w:tc>
                  <w:tcPr>
                    <w:tcW w:w="1937" w:type="dxa"/>
                    <w:tcBorders>
                      <w:top w:val="single" w:sz="4" w:space="0" w:color="auto"/>
                      <w:bottom w:val="single" w:sz="4" w:space="0" w:color="auto"/>
                    </w:tcBorders>
                    <w:vAlign w:val="bottom"/>
                  </w:tcPr>
                  <w:p w:rsidR="00CE55F0" w:rsidRPr="00F55D44" w:rsidRDefault="00CE55F0" w:rsidP="00DB008B">
                    <w:pPr>
                      <w:snapToGrid w:val="0"/>
                      <w:jc w:val="right"/>
                    </w:pPr>
                    <w:r w:rsidRPr="00F55D44">
                      <w:t> </w:t>
                    </w:r>
                  </w:p>
                </w:tc>
              </w:tr>
              <w:tr w:rsidR="00CE55F0" w:rsidRPr="00F55D44" w:rsidTr="00DB008B">
                <w:trPr>
                  <w:jc w:val="right"/>
                </w:trPr>
                <w:tc>
                  <w:tcPr>
                    <w:tcW w:w="5197" w:type="dxa"/>
                    <w:tcBorders>
                      <w:top w:val="single" w:sz="4" w:space="0" w:color="auto"/>
                      <w:left w:val="single" w:sz="4" w:space="0" w:color="auto"/>
                      <w:bottom w:val="single" w:sz="4" w:space="0" w:color="auto"/>
                      <w:right w:val="single" w:sz="4" w:space="0" w:color="auto"/>
                    </w:tcBorders>
                    <w:vAlign w:val="bottom"/>
                  </w:tcPr>
                  <w:p w:rsidR="00CE55F0" w:rsidRPr="00F55D44" w:rsidRDefault="00CE55F0" w:rsidP="00411E82">
                    <w:pPr>
                      <w:snapToGrid w:val="0"/>
                      <w:ind w:left="353" w:hanging="154"/>
                    </w:pPr>
                    <w:r w:rsidRPr="00F55D44">
                      <w:t>租赁</w:t>
                    </w:r>
                  </w:p>
                </w:tc>
                <w:tc>
                  <w:tcPr>
                    <w:tcW w:w="1937" w:type="dxa"/>
                    <w:tcBorders>
                      <w:top w:val="single" w:sz="4" w:space="0" w:color="auto"/>
                      <w:left w:val="single" w:sz="4" w:space="0" w:color="auto"/>
                      <w:bottom w:val="single" w:sz="4" w:space="0" w:color="auto"/>
                      <w:right w:val="single" w:sz="4" w:space="0" w:color="auto"/>
                    </w:tcBorders>
                    <w:vAlign w:val="bottom"/>
                  </w:tcPr>
                  <w:p w:rsidR="00CE55F0" w:rsidRPr="00F55D44" w:rsidRDefault="00CE55F0" w:rsidP="00DB008B">
                    <w:pPr>
                      <w:snapToGrid w:val="0"/>
                      <w:jc w:val="right"/>
                    </w:pPr>
                    <w:r w:rsidRPr="00F55D44">
                      <w:t> </w:t>
                    </w:r>
                  </w:p>
                </w:tc>
                <w:tc>
                  <w:tcPr>
                    <w:tcW w:w="1937" w:type="dxa"/>
                    <w:tcBorders>
                      <w:top w:val="single" w:sz="4" w:space="0" w:color="auto"/>
                      <w:left w:val="single" w:sz="4" w:space="0" w:color="auto"/>
                      <w:bottom w:val="single" w:sz="4" w:space="0" w:color="auto"/>
                      <w:right w:val="single" w:sz="4" w:space="0" w:color="auto"/>
                    </w:tcBorders>
                    <w:vAlign w:val="bottom"/>
                  </w:tcPr>
                  <w:p w:rsidR="00CE55F0" w:rsidRPr="00F55D44" w:rsidRDefault="00CE55F0" w:rsidP="00DB008B">
                    <w:pPr>
                      <w:snapToGrid w:val="0"/>
                      <w:jc w:val="right"/>
                    </w:pPr>
                    <w:r w:rsidRPr="00F55D44">
                      <w:t> </w:t>
                    </w:r>
                  </w:p>
                </w:tc>
              </w:tr>
              <w:tr w:rsidR="00CE55F0" w:rsidRPr="00F55D44" w:rsidTr="00804836">
                <w:trPr>
                  <w:trHeight w:val="275"/>
                  <w:jc w:val="right"/>
                </w:trPr>
                <w:tc>
                  <w:tcPr>
                    <w:tcW w:w="5197" w:type="dxa"/>
                    <w:tcBorders>
                      <w:top w:val="single" w:sz="4" w:space="0" w:color="auto"/>
                      <w:left w:val="single" w:sz="4" w:space="0" w:color="auto"/>
                      <w:bottom w:val="single" w:sz="4" w:space="0" w:color="auto"/>
                      <w:right w:val="single" w:sz="4" w:space="0" w:color="auto"/>
                    </w:tcBorders>
                    <w:vAlign w:val="bottom"/>
                  </w:tcPr>
                  <w:p w:rsidR="00CE55F0" w:rsidRPr="00F55D44" w:rsidRDefault="00CE55F0" w:rsidP="00411E82">
                    <w:pPr>
                      <w:snapToGrid w:val="0"/>
                      <w:ind w:left="353" w:hanging="221"/>
                    </w:pPr>
                    <w:r w:rsidRPr="00F55D44">
                      <w:t> </w:t>
                    </w:r>
                  </w:p>
                </w:tc>
                <w:tc>
                  <w:tcPr>
                    <w:tcW w:w="1937" w:type="dxa"/>
                    <w:tcBorders>
                      <w:top w:val="single" w:sz="4" w:space="0" w:color="auto"/>
                      <w:left w:val="single" w:sz="4" w:space="0" w:color="auto"/>
                      <w:bottom w:val="single" w:sz="4" w:space="0" w:color="auto"/>
                      <w:right w:val="single" w:sz="4" w:space="0" w:color="auto"/>
                    </w:tcBorders>
                    <w:vAlign w:val="center"/>
                  </w:tcPr>
                  <w:p w:rsidR="00CE55F0" w:rsidRPr="00F55D44" w:rsidRDefault="00CE55F0" w:rsidP="00C17700">
                    <w:pPr>
                      <w:snapToGrid w:val="0"/>
                      <w:jc w:val="right"/>
                    </w:pPr>
                    <w:r>
                      <w:rPr>
                        <w:rFonts w:hint="eastAsia"/>
                      </w:rPr>
                      <w:t>2</w:t>
                    </w:r>
                    <w:r>
                      <w:t>022</w:t>
                    </w:r>
                    <w:r>
                      <w:rPr>
                        <w:rFonts w:hint="eastAsia"/>
                      </w:rPr>
                      <w:t>年</w:t>
                    </w:r>
                  </w:p>
                </w:tc>
                <w:tc>
                  <w:tcPr>
                    <w:tcW w:w="1937" w:type="dxa"/>
                    <w:tcBorders>
                      <w:top w:val="single" w:sz="4" w:space="0" w:color="auto"/>
                      <w:left w:val="single" w:sz="4" w:space="0" w:color="auto"/>
                      <w:bottom w:val="single" w:sz="4" w:space="0" w:color="auto"/>
                      <w:right w:val="single" w:sz="4" w:space="0" w:color="auto"/>
                    </w:tcBorders>
                    <w:vAlign w:val="center"/>
                  </w:tcPr>
                  <w:p w:rsidR="00CE55F0" w:rsidRPr="00F55D44" w:rsidRDefault="00CE55F0" w:rsidP="00C17700">
                    <w:pPr>
                      <w:snapToGrid w:val="0"/>
                      <w:ind w:right="17"/>
                      <w:jc w:val="right"/>
                    </w:pPr>
                    <w:r>
                      <w:rPr>
                        <w:rFonts w:hint="eastAsia"/>
                      </w:rPr>
                      <w:t>2</w:t>
                    </w:r>
                    <w:r>
                      <w:t>021</w:t>
                    </w:r>
                    <w:r>
                      <w:rPr>
                        <w:rFonts w:hint="eastAsia"/>
                      </w:rPr>
                      <w:t>年</w:t>
                    </w:r>
                  </w:p>
                </w:tc>
              </w:tr>
              <w:tr w:rsidR="00CE55F0" w:rsidRPr="00F55D44" w:rsidTr="00804836">
                <w:trPr>
                  <w:trHeight w:val="324"/>
                  <w:jc w:val="right"/>
                </w:trPr>
                <w:tc>
                  <w:tcPr>
                    <w:tcW w:w="9071" w:type="dxa"/>
                    <w:gridSpan w:val="3"/>
                    <w:tcBorders>
                      <w:top w:val="single" w:sz="4" w:space="0" w:color="auto"/>
                      <w:left w:val="single" w:sz="4" w:space="0" w:color="auto"/>
                      <w:bottom w:val="single" w:sz="4" w:space="0" w:color="auto"/>
                      <w:right w:val="single" w:sz="4" w:space="0" w:color="auto"/>
                    </w:tcBorders>
                    <w:vAlign w:val="bottom"/>
                  </w:tcPr>
                  <w:p w:rsidR="00CE55F0" w:rsidRPr="00F55D44" w:rsidRDefault="00CE55F0" w:rsidP="00411E82">
                    <w:pPr>
                      <w:snapToGrid w:val="0"/>
                      <w:ind w:firstLine="185"/>
                    </w:pPr>
                    <w:r w:rsidRPr="00F55D44">
                      <w:t>租入土地、房屋及设备</w:t>
                    </w:r>
                  </w:p>
                </w:tc>
              </w:tr>
              <w:tr w:rsidR="00CE55F0" w:rsidRPr="00F55D44" w:rsidTr="00804836">
                <w:trPr>
                  <w:trHeight w:val="286"/>
                  <w:jc w:val="right"/>
                </w:trPr>
                <w:tc>
                  <w:tcPr>
                    <w:tcW w:w="5197" w:type="dxa"/>
                    <w:tcBorders>
                      <w:top w:val="single" w:sz="4" w:space="0" w:color="auto"/>
                      <w:left w:val="single" w:sz="4" w:space="0" w:color="auto"/>
                      <w:bottom w:val="single" w:sz="4" w:space="0" w:color="auto"/>
                      <w:right w:val="single" w:sz="4" w:space="0" w:color="auto"/>
                    </w:tcBorders>
                    <w:vAlign w:val="bottom"/>
                  </w:tcPr>
                  <w:p w:rsidR="00CE55F0" w:rsidRPr="00804836" w:rsidRDefault="00CE55F0" w:rsidP="00DB008B">
                    <w:pPr>
                      <w:snapToGrid w:val="0"/>
                      <w:ind w:left="221" w:hanging="221"/>
                      <w:rPr>
                        <w:sz w:val="18"/>
                        <w:szCs w:val="18"/>
                      </w:rPr>
                    </w:pPr>
                    <w:r w:rsidRPr="00804836">
                      <w:rPr>
                        <w:sz w:val="18"/>
                        <w:szCs w:val="18"/>
                      </w:rPr>
                      <w:t> </w:t>
                    </w:r>
                  </w:p>
                </w:tc>
                <w:tc>
                  <w:tcPr>
                    <w:tcW w:w="1937" w:type="dxa"/>
                    <w:tcBorders>
                      <w:top w:val="single" w:sz="4" w:space="0" w:color="auto"/>
                      <w:left w:val="single" w:sz="4" w:space="0" w:color="auto"/>
                      <w:bottom w:val="single" w:sz="4" w:space="0" w:color="auto"/>
                      <w:right w:val="single" w:sz="4" w:space="0" w:color="auto"/>
                    </w:tcBorders>
                    <w:vAlign w:val="bottom"/>
                  </w:tcPr>
                  <w:p w:rsidR="00CE55F0" w:rsidRPr="00804836" w:rsidRDefault="00CE55F0" w:rsidP="00DB008B">
                    <w:pPr>
                      <w:snapToGrid w:val="0"/>
                      <w:jc w:val="right"/>
                      <w:rPr>
                        <w:sz w:val="18"/>
                        <w:szCs w:val="18"/>
                      </w:rPr>
                    </w:pPr>
                  </w:p>
                </w:tc>
                <w:tc>
                  <w:tcPr>
                    <w:tcW w:w="1937" w:type="dxa"/>
                    <w:tcBorders>
                      <w:top w:val="single" w:sz="4" w:space="0" w:color="auto"/>
                      <w:left w:val="single" w:sz="4" w:space="0" w:color="auto"/>
                      <w:bottom w:val="single" w:sz="4" w:space="0" w:color="auto"/>
                      <w:right w:val="single" w:sz="4" w:space="0" w:color="auto"/>
                    </w:tcBorders>
                    <w:vAlign w:val="bottom"/>
                  </w:tcPr>
                  <w:p w:rsidR="00CE55F0" w:rsidRPr="00804836" w:rsidRDefault="00CE55F0" w:rsidP="00DB008B">
                    <w:pPr>
                      <w:snapToGrid w:val="0"/>
                      <w:jc w:val="right"/>
                      <w:rPr>
                        <w:sz w:val="18"/>
                        <w:szCs w:val="18"/>
                      </w:rPr>
                    </w:pPr>
                  </w:p>
                </w:tc>
              </w:tr>
              <w:tr w:rsidR="00CE55F0" w:rsidRPr="00F55D44" w:rsidTr="00DB008B">
                <w:trPr>
                  <w:jc w:val="right"/>
                </w:trPr>
                <w:tc>
                  <w:tcPr>
                    <w:tcW w:w="5197" w:type="dxa"/>
                    <w:tcBorders>
                      <w:top w:val="single" w:sz="4" w:space="0" w:color="auto"/>
                      <w:left w:val="single" w:sz="4" w:space="0" w:color="auto"/>
                      <w:bottom w:val="single" w:sz="4" w:space="0" w:color="auto"/>
                      <w:right w:val="single" w:sz="4" w:space="0" w:color="auto"/>
                    </w:tcBorders>
                    <w:vAlign w:val="bottom"/>
                  </w:tcPr>
                  <w:p w:rsidR="00CE55F0" w:rsidRPr="00F55D44" w:rsidRDefault="00CE55F0" w:rsidP="00DB008B">
                    <w:pPr>
                      <w:snapToGrid w:val="0"/>
                      <w:ind w:left="442" w:hanging="221"/>
                    </w:pPr>
                    <w:r w:rsidRPr="00F55D44">
                      <w:t>一年以内</w:t>
                    </w:r>
                  </w:p>
                </w:tc>
                <w:tc>
                  <w:tcPr>
                    <w:tcW w:w="1937" w:type="dxa"/>
                    <w:tcBorders>
                      <w:top w:val="single" w:sz="4" w:space="0" w:color="auto"/>
                      <w:left w:val="single" w:sz="4" w:space="0" w:color="auto"/>
                      <w:bottom w:val="single" w:sz="4" w:space="0" w:color="auto"/>
                      <w:right w:val="single" w:sz="4" w:space="0" w:color="auto"/>
                    </w:tcBorders>
                    <w:vAlign w:val="bottom"/>
                  </w:tcPr>
                  <w:p w:rsidR="00CE55F0" w:rsidRPr="00F55D44" w:rsidRDefault="006E01A8" w:rsidP="00DB008B">
                    <w:pPr>
                      <w:snapToGrid w:val="0"/>
                      <w:jc w:val="right"/>
                    </w:pPr>
                    <w:r>
                      <w:t>1</w:t>
                    </w:r>
                    <w:r w:rsidR="00CE55F0" w:rsidRPr="00F55D44">
                      <w:t>,</w:t>
                    </w:r>
                    <w:r>
                      <w:t>842</w:t>
                    </w:r>
                    <w:r w:rsidR="00CE55F0" w:rsidRPr="00F55D44">
                      <w:t>,</w:t>
                    </w:r>
                    <w:r>
                      <w:t>518</w:t>
                    </w:r>
                  </w:p>
                </w:tc>
                <w:tc>
                  <w:tcPr>
                    <w:tcW w:w="1937" w:type="dxa"/>
                    <w:tcBorders>
                      <w:top w:val="single" w:sz="4" w:space="0" w:color="auto"/>
                      <w:left w:val="single" w:sz="4" w:space="0" w:color="auto"/>
                      <w:bottom w:val="single" w:sz="4" w:space="0" w:color="auto"/>
                      <w:right w:val="single" w:sz="4" w:space="0" w:color="auto"/>
                    </w:tcBorders>
                    <w:vAlign w:val="bottom"/>
                  </w:tcPr>
                  <w:p w:rsidR="00CE55F0" w:rsidRPr="00F55D44" w:rsidRDefault="00CE55F0" w:rsidP="00DB008B">
                    <w:pPr>
                      <w:snapToGrid w:val="0"/>
                      <w:jc w:val="right"/>
                    </w:pPr>
                    <w:r w:rsidRPr="00F55D44">
                      <w:t>3,058,500</w:t>
                    </w:r>
                  </w:p>
                </w:tc>
              </w:tr>
              <w:tr w:rsidR="00CE55F0" w:rsidRPr="00F55D44" w:rsidTr="00DB008B">
                <w:trPr>
                  <w:jc w:val="right"/>
                </w:trPr>
                <w:tc>
                  <w:tcPr>
                    <w:tcW w:w="5197" w:type="dxa"/>
                    <w:tcBorders>
                      <w:top w:val="single" w:sz="4" w:space="0" w:color="auto"/>
                      <w:left w:val="single" w:sz="4" w:space="0" w:color="auto"/>
                      <w:bottom w:val="single" w:sz="4" w:space="0" w:color="auto"/>
                      <w:right w:val="single" w:sz="4" w:space="0" w:color="auto"/>
                    </w:tcBorders>
                    <w:vAlign w:val="bottom"/>
                  </w:tcPr>
                  <w:p w:rsidR="00CE55F0" w:rsidRPr="00F55D44" w:rsidRDefault="00CE55F0" w:rsidP="00411E82">
                    <w:pPr>
                      <w:snapToGrid w:val="0"/>
                      <w:ind w:left="442" w:hanging="442"/>
                    </w:pPr>
                    <w:r>
                      <w:rPr>
                        <w:rFonts w:hint="eastAsia"/>
                      </w:rPr>
                      <w:t>合计</w:t>
                    </w:r>
                  </w:p>
                </w:tc>
                <w:tc>
                  <w:tcPr>
                    <w:tcW w:w="1937" w:type="dxa"/>
                    <w:tcBorders>
                      <w:top w:val="single" w:sz="4" w:space="0" w:color="auto"/>
                      <w:left w:val="single" w:sz="4" w:space="0" w:color="auto"/>
                      <w:bottom w:val="single" w:sz="4" w:space="0" w:color="auto"/>
                      <w:right w:val="single" w:sz="4" w:space="0" w:color="auto"/>
                    </w:tcBorders>
                    <w:vAlign w:val="bottom"/>
                  </w:tcPr>
                  <w:p w:rsidR="00CE55F0" w:rsidRPr="00F55D44" w:rsidRDefault="006E01A8" w:rsidP="00DB008B">
                    <w:pPr>
                      <w:snapToGrid w:val="0"/>
                      <w:jc w:val="right"/>
                    </w:pPr>
                    <w:r>
                      <w:t>1,842,518</w:t>
                    </w:r>
                  </w:p>
                </w:tc>
                <w:tc>
                  <w:tcPr>
                    <w:tcW w:w="1937" w:type="dxa"/>
                    <w:tcBorders>
                      <w:top w:val="single" w:sz="4" w:space="0" w:color="auto"/>
                      <w:left w:val="single" w:sz="4" w:space="0" w:color="auto"/>
                      <w:bottom w:val="single" w:sz="4" w:space="0" w:color="auto"/>
                      <w:right w:val="single" w:sz="4" w:space="0" w:color="auto"/>
                    </w:tcBorders>
                    <w:vAlign w:val="bottom"/>
                  </w:tcPr>
                  <w:p w:rsidR="00CE55F0" w:rsidRPr="00F55D44" w:rsidRDefault="00CE55F0" w:rsidP="00DB008B">
                    <w:pPr>
                      <w:snapToGrid w:val="0"/>
                      <w:jc w:val="right"/>
                    </w:pPr>
                    <w:r>
                      <w:t>3,058,500</w:t>
                    </w:r>
                  </w:p>
                </w:tc>
              </w:tr>
            </w:tbl>
            <w:p w:rsidR="00F55D44" w:rsidRDefault="00F55D44">
              <w:pPr>
                <w:rPr>
                  <w:szCs w:val="21"/>
                </w:rPr>
              </w:pPr>
            </w:p>
            <w:p w:rsidR="00806678" w:rsidRDefault="00ED2568" w:rsidP="00ED2568">
              <w:pPr>
                <w:ind w:left="-284"/>
                <w:rPr>
                  <w:szCs w:val="21"/>
                </w:rPr>
              </w:pPr>
              <w:r w:rsidRPr="00ED2568">
                <w:rPr>
                  <w:rFonts w:hint="eastAsia"/>
                  <w:szCs w:val="21"/>
                </w:rPr>
                <w:t>注：本公司与关联公司的以上交易事项以合同为准，定价政策遵循政府定价、指导价或参考与市场独立第三方的非关联交易价格，并以协议方式协商确定。</w:t>
              </w:r>
            </w:p>
          </w:sdtContent>
        </w:sdt>
        <w:p w:rsidR="00806678" w:rsidRDefault="00F80B6C">
          <w:pPr>
            <w:tabs>
              <w:tab w:val="left" w:pos="1134"/>
            </w:tabs>
            <w:rPr>
              <w:rFonts w:ascii="Cambria" w:eastAsiaTheme="minorEastAsia" w:hAnsi="Cambria" w:cs="Cambria"/>
              <w:sz w:val="20"/>
              <w:szCs w:val="20"/>
            </w:rPr>
          </w:pPr>
        </w:p>
      </w:sdtContent>
    </w:sdt>
    <w:sdt>
      <w:sdtPr>
        <w:rPr>
          <w:rFonts w:ascii="宋体" w:hAnsi="宋体" w:cs="Arial" w:hint="eastAsia"/>
          <w:b w:val="0"/>
          <w:bCs w:val="0"/>
          <w:kern w:val="0"/>
          <w:szCs w:val="21"/>
        </w:rPr>
        <w:alias w:val="模块:关联方及关联情况的其他说明"/>
        <w:tag w:val="_SEC_a11f8a68634b4b4a8cc63a6200f2d79c"/>
        <w:id w:val="-1354260440"/>
        <w:lock w:val="sdtLocked"/>
        <w:placeholder>
          <w:docPart w:val="GBC22222222222222222222222222222"/>
        </w:placeholder>
      </w:sdtPr>
      <w:sdtEndPr>
        <w:rPr>
          <w:rFonts w:ascii="Cambria" w:eastAsiaTheme="minorEastAsia" w:hAnsi="Cambria" w:cs="Cambria"/>
          <w:sz w:val="20"/>
          <w:szCs w:val="20"/>
        </w:rPr>
      </w:sdtEndPr>
      <w:sdtContent>
        <w:p w:rsidR="00806678" w:rsidRDefault="00B16377" w:rsidP="00FF17C7">
          <w:pPr>
            <w:pStyle w:val="3"/>
            <w:numPr>
              <w:ilvl w:val="0"/>
              <w:numId w:val="54"/>
            </w:numPr>
            <w:rPr>
              <w:rFonts w:ascii="Cambria" w:eastAsiaTheme="minorEastAsia" w:hAnsi="Cambria" w:cs="Cambria"/>
              <w:sz w:val="20"/>
              <w:szCs w:val="20"/>
            </w:rPr>
          </w:pPr>
          <w:r>
            <w:rPr>
              <w:rFonts w:ascii="宋体" w:hAnsi="宋体" w:cs="Arial" w:hint="eastAsia"/>
              <w:szCs w:val="21"/>
            </w:rPr>
            <w:t>其他</w:t>
          </w:r>
        </w:p>
        <w:sdt>
          <w:sdtPr>
            <w:rPr>
              <w:rFonts w:hint="eastAsia"/>
            </w:rPr>
            <w:alias w:val="是否适用：关联方及关联情况的其他说明[双击切换]"/>
            <w:tag w:val="_GBC_0fbd096440c645128adaffccb05f4e2f"/>
            <w:id w:val="-1013446145"/>
            <w:lock w:val="sdtLocked"/>
            <w:placeholder>
              <w:docPart w:val="GBC22222222222222222222222222222"/>
            </w:placeholder>
          </w:sdtPr>
          <w:sdtContent>
            <w:p w:rsidR="00806678" w:rsidRDefault="00F80B6C">
              <w:pPr>
                <w:tabs>
                  <w:tab w:val="left" w:pos="1134"/>
                </w:tabs>
              </w:pPr>
              <w:r>
                <w:fldChar w:fldCharType="begin"/>
              </w:r>
              <w:r w:rsidR="00FC301B">
                <w:instrText xml:space="preserve"> MACROBUTTON  SnrToggleCheckbox √适用  </w:instrText>
              </w:r>
              <w:r>
                <w:fldChar w:fldCharType="end"/>
              </w:r>
              <w:r>
                <w:fldChar w:fldCharType="begin"/>
              </w:r>
              <w:r w:rsidR="00FC301B">
                <w:instrText xml:space="preserve"> MACROBUTTON  SnrToggleCheckbox □不适用 </w:instrText>
              </w:r>
              <w:r>
                <w:fldChar w:fldCharType="end"/>
              </w:r>
            </w:p>
          </w:sdtContent>
        </w:sdt>
        <w:sdt>
          <w:sdtPr>
            <w:rPr>
              <w:rFonts w:ascii="Cambria" w:hAnsi="Cambria" w:cs="Cambria"/>
              <w:b/>
              <w:sz w:val="20"/>
              <w:szCs w:val="20"/>
            </w:rPr>
            <w:alias w:val="关联方及关联情况的其他说明"/>
            <w:tag w:val="_GBC_50cd215b09e740e1922a5ca84bb00a96"/>
            <w:id w:val="-2048288525"/>
            <w:lock w:val="sdtLocked"/>
            <w:placeholder>
              <w:docPart w:val="GBC22222222222222222222222222222"/>
            </w:placeholder>
          </w:sdtPr>
          <w:sdtContent>
            <w:p w:rsidR="00ED2568" w:rsidRPr="007409AC" w:rsidRDefault="00ED2568">
              <w:pPr>
                <w:tabs>
                  <w:tab w:val="left" w:pos="1134"/>
                </w:tabs>
                <w:rPr>
                  <w:rFonts w:ascii="Cambria" w:hAnsi="Cambria" w:cs="Cambria"/>
                  <w:bCs/>
                  <w:sz w:val="20"/>
                  <w:szCs w:val="20"/>
                </w:rPr>
              </w:pPr>
              <w:r w:rsidRPr="007409AC">
                <w:rPr>
                  <w:rFonts w:ascii="Cambria" w:hAnsi="Cambria" w:cs="Cambria" w:hint="eastAsia"/>
                  <w:bCs/>
                  <w:sz w:val="20"/>
                  <w:szCs w:val="20"/>
                </w:rPr>
                <w:t>国铁集团及其下属单位代本公司结算款项</w:t>
              </w:r>
            </w:p>
            <w:p w:rsidR="00170C02" w:rsidRPr="00170C02" w:rsidRDefault="00170C02" w:rsidP="00170C02">
              <w:pPr>
                <w:jc w:val="right"/>
                <w:rPr>
                  <w:rFonts w:asciiTheme="majorEastAsia" w:eastAsiaTheme="majorEastAsia" w:hAnsiTheme="majorEastAsia"/>
                </w:rPr>
              </w:pPr>
              <w:r w:rsidRPr="00170C02">
                <w:rPr>
                  <w:rFonts w:asciiTheme="majorEastAsia" w:eastAsiaTheme="majorEastAsia" w:hAnsiTheme="majorEastAsia" w:cs="PMingLiU" w:hint="eastAsia"/>
                  <w:szCs w:val="21"/>
                </w:rPr>
                <w:t>单</w:t>
              </w:r>
              <w:r w:rsidRPr="00170C02">
                <w:rPr>
                  <w:rFonts w:asciiTheme="majorEastAsia" w:eastAsiaTheme="majorEastAsia" w:hAnsiTheme="majorEastAsia" w:cs="Yu Gothic" w:hint="eastAsia"/>
                  <w:szCs w:val="21"/>
                </w:rPr>
                <w:t>位：元</w:t>
              </w:r>
              <w:r w:rsidRPr="00170C02">
                <w:rPr>
                  <w:rFonts w:asciiTheme="majorEastAsia" w:eastAsiaTheme="majorEastAsia" w:hAnsiTheme="majorEastAsia" w:cs="螳倶ｽ・"/>
                  <w:szCs w:val="21"/>
                </w:rPr>
                <w:t xml:space="preserve"> </w:t>
              </w:r>
              <w:r w:rsidRPr="00170C02">
                <w:rPr>
                  <w:rFonts w:asciiTheme="majorEastAsia" w:eastAsiaTheme="majorEastAsia" w:hAnsiTheme="majorEastAsia" w:cs="PMingLiU" w:hint="eastAsia"/>
                  <w:szCs w:val="21"/>
                </w:rPr>
                <w:t>币</w:t>
              </w:r>
              <w:r w:rsidRPr="00170C02">
                <w:rPr>
                  <w:rFonts w:asciiTheme="majorEastAsia" w:eastAsiaTheme="majorEastAsia" w:hAnsiTheme="majorEastAsia" w:cs="Yu Gothic" w:hint="eastAsia"/>
                  <w:szCs w:val="21"/>
                </w:rPr>
                <w:t>种：人民</w:t>
              </w:r>
              <w:r w:rsidRPr="00170C02">
                <w:rPr>
                  <w:rFonts w:asciiTheme="majorEastAsia" w:eastAsiaTheme="majorEastAsia" w:hAnsiTheme="majorEastAsia" w:cs="PMingLiU" w:hint="eastAsia"/>
                  <w:szCs w:val="21"/>
                </w:rPr>
                <w:t>币</w:t>
              </w:r>
            </w:p>
            <w:tbl>
              <w:tblPr>
                <w:tblW w:w="907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28" w:type="dxa"/>
                </w:tblCellMar>
                <w:tblLook w:val="04A0"/>
              </w:tblPr>
              <w:tblGrid>
                <w:gridCol w:w="5197"/>
                <w:gridCol w:w="1937"/>
                <w:gridCol w:w="1937"/>
              </w:tblGrid>
              <w:tr w:rsidR="00ED2568" w:rsidRPr="00ED2568" w:rsidTr="00CE55F0">
                <w:trPr>
                  <w:jc w:val="right"/>
                </w:trPr>
                <w:tc>
                  <w:tcPr>
                    <w:tcW w:w="5196" w:type="dxa"/>
                    <w:vAlign w:val="bottom"/>
                  </w:tcPr>
                  <w:p w:rsidR="00ED2568" w:rsidRPr="00ED2568" w:rsidRDefault="00ED2568" w:rsidP="00AA6F46">
                    <w:pPr>
                      <w:snapToGrid w:val="0"/>
                      <w:ind w:left="221" w:hanging="221"/>
                      <w:jc w:val="center"/>
                    </w:pPr>
                    <w:r w:rsidRPr="00ED2568">
                      <w:t>项目</w:t>
                    </w:r>
                  </w:p>
                </w:tc>
                <w:tc>
                  <w:tcPr>
                    <w:tcW w:w="1937" w:type="dxa"/>
                    <w:vAlign w:val="center"/>
                  </w:tcPr>
                  <w:p w:rsidR="00ED2568" w:rsidRPr="00ED2568" w:rsidRDefault="00ED2568" w:rsidP="001F4A31">
                    <w:pPr>
                      <w:snapToGrid w:val="0"/>
                      <w:jc w:val="center"/>
                    </w:pPr>
                    <w:r w:rsidRPr="00ED2568">
                      <w:t>本期发生额</w:t>
                    </w:r>
                  </w:p>
                </w:tc>
                <w:tc>
                  <w:tcPr>
                    <w:tcW w:w="1937" w:type="dxa"/>
                    <w:vAlign w:val="center"/>
                  </w:tcPr>
                  <w:p w:rsidR="00ED2568" w:rsidRPr="00ED2568" w:rsidRDefault="00ED2568" w:rsidP="001F4A31">
                    <w:pPr>
                      <w:snapToGrid w:val="0"/>
                      <w:jc w:val="center"/>
                    </w:pPr>
                    <w:r w:rsidRPr="00ED2568">
                      <w:t>上期发生额</w:t>
                    </w:r>
                  </w:p>
                </w:tc>
              </w:tr>
              <w:tr w:rsidR="00ED2568" w:rsidRPr="00ED2568" w:rsidTr="00DB008B">
                <w:trPr>
                  <w:jc w:val="right"/>
                </w:trPr>
                <w:tc>
                  <w:tcPr>
                    <w:tcW w:w="5196" w:type="dxa"/>
                    <w:vAlign w:val="bottom"/>
                  </w:tcPr>
                  <w:p w:rsidR="00ED2568" w:rsidRPr="00ED2568" w:rsidRDefault="00ED2568" w:rsidP="00DB008B">
                    <w:pPr>
                      <w:snapToGrid w:val="0"/>
                      <w:ind w:left="221" w:hanging="221"/>
                    </w:pPr>
                    <w:r w:rsidRPr="00ED2568">
                      <w:t>代本公司结算收入</w:t>
                    </w:r>
                  </w:p>
                </w:tc>
                <w:tc>
                  <w:tcPr>
                    <w:tcW w:w="1937" w:type="dxa"/>
                    <w:vAlign w:val="bottom"/>
                  </w:tcPr>
                  <w:p w:rsidR="00ED2568" w:rsidRPr="00ED2568" w:rsidRDefault="00ED2568" w:rsidP="00DB008B">
                    <w:pPr>
                      <w:snapToGrid w:val="0"/>
                      <w:jc w:val="right"/>
                    </w:pPr>
                    <w:r w:rsidRPr="00ED2568">
                      <w:t>9,662,205,779</w:t>
                    </w:r>
                  </w:p>
                </w:tc>
                <w:tc>
                  <w:tcPr>
                    <w:tcW w:w="1937" w:type="dxa"/>
                    <w:vAlign w:val="bottom"/>
                  </w:tcPr>
                  <w:p w:rsidR="00ED2568" w:rsidRPr="00ED2568" w:rsidRDefault="00ED2568" w:rsidP="00DB008B">
                    <w:pPr>
                      <w:snapToGrid w:val="0"/>
                      <w:jc w:val="right"/>
                    </w:pPr>
                    <w:r w:rsidRPr="00ED2568">
                      <w:t>11,171,384,596</w:t>
                    </w:r>
                  </w:p>
                </w:tc>
              </w:tr>
            </w:tbl>
            <w:p w:rsidR="00806678" w:rsidRPr="00ED2568" w:rsidRDefault="00F80B6C">
              <w:pPr>
                <w:tabs>
                  <w:tab w:val="left" w:pos="1134"/>
                </w:tabs>
                <w:rPr>
                  <w:rFonts w:ascii="Cambria" w:hAnsi="Cambria" w:cs="Cambria"/>
                  <w:b/>
                  <w:sz w:val="20"/>
                  <w:szCs w:val="20"/>
                </w:rPr>
              </w:pPr>
            </w:p>
          </w:sdtContent>
        </w:sdt>
      </w:sdtContent>
    </w:sdt>
    <w:p w:rsidR="00806678" w:rsidRDefault="00B16377" w:rsidP="00FF17C7">
      <w:pPr>
        <w:pStyle w:val="2"/>
        <w:numPr>
          <w:ilvl w:val="0"/>
          <w:numId w:val="37"/>
        </w:numPr>
      </w:pPr>
      <w:r>
        <w:rPr>
          <w:rFonts w:hint="eastAsia"/>
        </w:rPr>
        <w:t>股份支付</w:t>
      </w:r>
    </w:p>
    <w:sdt>
      <w:sdtPr>
        <w:rPr>
          <w:rFonts w:ascii="宋体" w:hAnsi="宋体" w:cs="宋体" w:hint="eastAsia"/>
          <w:b w:val="0"/>
          <w:bCs w:val="0"/>
          <w:kern w:val="0"/>
          <w:szCs w:val="24"/>
        </w:rPr>
        <w:alias w:val="模块:股份支付总体情况"/>
        <w:tag w:val="_GBC_07972b1f6b5c4904b730c6b344e432ee"/>
        <w:id w:val="-345637912"/>
        <w:lock w:val="sdtLocked"/>
        <w:placeholder>
          <w:docPart w:val="GBC22222222222222222222222222222"/>
        </w:placeholder>
      </w:sdtPr>
      <w:sdtEndPr>
        <w:rPr>
          <w:rFonts w:asciiTheme="minorHAnsi" w:eastAsiaTheme="minorEastAsia" w:hAnsiTheme="minorHAnsi" w:cstheme="minorBidi"/>
          <w:szCs w:val="21"/>
        </w:rPr>
      </w:sdtEndPr>
      <w:sdtContent>
        <w:bookmarkStart w:id="256" w:name="_Hlk132040647" w:displacedByCustomXml="prev"/>
        <w:p w:rsidR="00806678" w:rsidRDefault="00B16377" w:rsidP="00FF17C7">
          <w:pPr>
            <w:pStyle w:val="3"/>
            <w:numPr>
              <w:ilvl w:val="0"/>
              <w:numId w:val="55"/>
            </w:numPr>
          </w:pPr>
          <w:r>
            <w:rPr>
              <w:rFonts w:hint="eastAsia"/>
            </w:rPr>
            <w:t>股份支付总体情况</w:t>
          </w:r>
        </w:p>
        <w:sdt>
          <w:sdtPr>
            <w:alias w:val="是否适用：股份支付总体情况[双击切换]"/>
            <w:tag w:val="_GBC_7d36569622d040fb870ad46d99420cd2"/>
            <w:id w:val="-43833004"/>
            <w:lock w:val="sdtLocked"/>
            <w:placeholder>
              <w:docPart w:val="GBC22222222222222222222222222222"/>
            </w:placeholder>
          </w:sdtPr>
          <w:sdtContent>
            <w:p w:rsidR="00806678" w:rsidRPr="00C01624" w:rsidRDefault="00F80B6C">
              <w:r>
                <w:fldChar w:fldCharType="begin"/>
              </w:r>
              <w:r w:rsidR="00FC301B">
                <w:instrText xml:space="preserve">MACROBUTTON  SnrToggleCheckbox □适用 </w:instrText>
              </w:r>
              <w:r>
                <w:fldChar w:fldCharType="end"/>
              </w:r>
              <w:r>
                <w:fldChar w:fldCharType="begin"/>
              </w:r>
              <w:r w:rsidR="00FC301B">
                <w:instrText xml:space="preserve"> MACROBUTTON  SnrToggleCheckbox √不适用 </w:instrText>
              </w:r>
              <w:r>
                <w:fldChar w:fldCharType="end"/>
              </w:r>
            </w:p>
          </w:sdtContent>
        </w:sdt>
      </w:sdtContent>
    </w:sdt>
    <w:bookmarkEnd w:id="256" w:displacedByCustomXml="prev"/>
    <w:sdt>
      <w:sdtPr>
        <w:rPr>
          <w:rFonts w:ascii="宋体" w:hAnsi="宋体" w:cs="宋体" w:hint="eastAsia"/>
          <w:b w:val="0"/>
          <w:bCs w:val="0"/>
          <w:kern w:val="0"/>
          <w:szCs w:val="24"/>
        </w:rPr>
        <w:alias w:val="模块:以权益结算的股份支付情况"/>
        <w:tag w:val="_GBC_a6f090c303de426580c058a0a463c95f"/>
        <w:id w:val="1827313757"/>
        <w:lock w:val="sdtLocked"/>
        <w:placeholder>
          <w:docPart w:val="GBC22222222222222222222222222222"/>
        </w:placeholder>
      </w:sdtPr>
      <w:sdtEndPr>
        <w:rPr>
          <w:rFonts w:asciiTheme="minorHAnsi" w:eastAsiaTheme="minorEastAsia" w:hAnsiTheme="minorHAnsi" w:cstheme="minorBidi"/>
          <w:szCs w:val="21"/>
        </w:rPr>
      </w:sdtEndPr>
      <w:sdtContent>
        <w:p w:rsidR="00806678" w:rsidRDefault="00B16377" w:rsidP="00FF17C7">
          <w:pPr>
            <w:pStyle w:val="3"/>
            <w:numPr>
              <w:ilvl w:val="0"/>
              <w:numId w:val="55"/>
            </w:numPr>
          </w:pPr>
          <w:r>
            <w:rPr>
              <w:rFonts w:hint="eastAsia"/>
            </w:rPr>
            <w:t>以权益结算的股份支付情况</w:t>
          </w:r>
        </w:p>
        <w:sdt>
          <w:sdtPr>
            <w:alias w:val="是否适用：以权益结算的股份支付情况[双击切换]"/>
            <w:tag w:val="_GBC_5d901e3b36be4331aac030c8e4b9b1a5"/>
            <w:id w:val="-293610917"/>
            <w:lock w:val="sdtLocked"/>
            <w:placeholder>
              <w:docPart w:val="GBC22222222222222222222222222222"/>
            </w:placeholder>
          </w:sdtPr>
          <w:sdtContent>
            <w:p w:rsidR="00806678" w:rsidRPr="00C01624" w:rsidRDefault="00F80B6C">
              <w:r>
                <w:fldChar w:fldCharType="begin"/>
              </w:r>
              <w:r w:rsidR="00FC301B">
                <w:instrText xml:space="preserve">MACROBUTTON  SnrToggleCheckbox □适用 </w:instrText>
              </w:r>
              <w:r>
                <w:fldChar w:fldCharType="end"/>
              </w:r>
              <w:r>
                <w:fldChar w:fldCharType="begin"/>
              </w:r>
              <w:r w:rsidR="00FC301B">
                <w:instrText xml:space="preserve"> MACROBUTTON  SnrToggleCheckbox √不适用 </w:instrText>
              </w:r>
              <w:r>
                <w:fldChar w:fldCharType="end"/>
              </w:r>
            </w:p>
          </w:sdtContent>
        </w:sdt>
      </w:sdtContent>
    </w:sdt>
    <w:sdt>
      <w:sdtPr>
        <w:rPr>
          <w:rFonts w:ascii="宋体" w:hAnsi="宋体" w:cs="宋体" w:hint="eastAsia"/>
          <w:b w:val="0"/>
          <w:bCs w:val="0"/>
          <w:kern w:val="0"/>
          <w:szCs w:val="24"/>
        </w:rPr>
        <w:alias w:val="模块:以现金结算的股份支付情况"/>
        <w:tag w:val="_GBC_e8a0c7296300463994744e877be96129"/>
        <w:id w:val="1587337663"/>
        <w:lock w:val="sdtLocked"/>
        <w:placeholder>
          <w:docPart w:val="GBC22222222222222222222222222222"/>
        </w:placeholder>
      </w:sdtPr>
      <w:sdtEndPr>
        <w:rPr>
          <w:rFonts w:asciiTheme="minorHAnsi" w:eastAsiaTheme="minorEastAsia" w:hAnsiTheme="minorHAnsi" w:cstheme="minorBidi"/>
          <w:szCs w:val="21"/>
        </w:rPr>
      </w:sdtEndPr>
      <w:sdtContent>
        <w:p w:rsidR="00806678" w:rsidRDefault="00B16377" w:rsidP="00FF17C7">
          <w:pPr>
            <w:pStyle w:val="3"/>
            <w:numPr>
              <w:ilvl w:val="0"/>
              <w:numId w:val="55"/>
            </w:numPr>
          </w:pPr>
          <w:r>
            <w:rPr>
              <w:rFonts w:hint="eastAsia"/>
            </w:rPr>
            <w:t>以现金结算的股份支付情况</w:t>
          </w:r>
        </w:p>
        <w:sdt>
          <w:sdtPr>
            <w:alias w:val="是否适用：以现金结算的股份支付情况[双击切换]"/>
            <w:tag w:val="_GBC_aa134f611909486bb3a2d6258058f88d"/>
            <w:id w:val="-1574734363"/>
            <w:lock w:val="sdtLocked"/>
            <w:placeholder>
              <w:docPart w:val="GBC22222222222222222222222222222"/>
            </w:placeholder>
          </w:sdtPr>
          <w:sdtContent>
            <w:p w:rsidR="00806678" w:rsidRPr="00C01624" w:rsidRDefault="00F80B6C">
              <w:r>
                <w:fldChar w:fldCharType="begin"/>
              </w:r>
              <w:r w:rsidR="00FB05BA">
                <w:instrText xml:space="preserve">MACROBUTTON  SnrToggleCheckbox □适用 </w:instrText>
              </w:r>
              <w:r>
                <w:fldChar w:fldCharType="end"/>
              </w:r>
              <w:r>
                <w:fldChar w:fldCharType="begin"/>
              </w:r>
              <w:r w:rsidR="00FB05BA">
                <w:instrText xml:space="preserve"> MACROBUTTON  SnrToggleCheckbox √不适用 </w:instrText>
              </w:r>
              <w:r>
                <w:fldChar w:fldCharType="end"/>
              </w:r>
            </w:p>
          </w:sdtContent>
        </w:sdt>
      </w:sdtContent>
    </w:sdt>
    <w:sdt>
      <w:sdtPr>
        <w:rPr>
          <w:rFonts w:ascii="宋体" w:hAnsi="宋体" w:cs="宋体" w:hint="eastAsia"/>
          <w:b w:val="0"/>
          <w:bCs w:val="0"/>
          <w:kern w:val="0"/>
          <w:szCs w:val="24"/>
        </w:rPr>
        <w:alias w:val="模块:股份支付的修改、终止情况"/>
        <w:tag w:val="_GBC_ae153862caea4ff5a57470b6f594f167"/>
        <w:id w:val="-248354384"/>
        <w:lock w:val="sdtLocked"/>
        <w:placeholder>
          <w:docPart w:val="GBC22222222222222222222222222222"/>
        </w:placeholder>
      </w:sdtPr>
      <w:sdtEndPr>
        <w:rPr>
          <w:rFonts w:asciiTheme="minorHAnsi" w:eastAsiaTheme="minorEastAsia" w:hAnsiTheme="minorHAnsi" w:cstheme="minorBidi" w:hint="default"/>
          <w:szCs w:val="21"/>
        </w:rPr>
      </w:sdtEndPr>
      <w:sdtContent>
        <w:p w:rsidR="00806678" w:rsidRDefault="00B16377" w:rsidP="00FF17C7">
          <w:pPr>
            <w:pStyle w:val="3"/>
            <w:numPr>
              <w:ilvl w:val="0"/>
              <w:numId w:val="55"/>
            </w:numPr>
          </w:pPr>
          <w:r>
            <w:rPr>
              <w:rFonts w:hint="eastAsia"/>
            </w:rPr>
            <w:t>股份支付的修改、终止情况</w:t>
          </w:r>
        </w:p>
        <w:sdt>
          <w:sdtPr>
            <w:rPr>
              <w:rFonts w:hint="eastAsia"/>
              <w:szCs w:val="21"/>
            </w:rPr>
            <w:alias w:val="是否适用：股份支付的修改、终止情况[双击切换]"/>
            <w:tag w:val="_GBC_6da986e9834d42b9bb7548673f325962"/>
            <w:id w:val="81496917"/>
            <w:lock w:val="sdtLocked"/>
            <w:placeholder>
              <w:docPart w:val="GBC22222222222222222222222222222"/>
            </w:placeholder>
          </w:sdtPr>
          <w:sdtContent>
            <w:p w:rsidR="00806678" w:rsidRPr="00C01624" w:rsidRDefault="00F80B6C" w:rsidP="00C01624">
              <w:pPr>
                <w:rPr>
                  <w:rFonts w:asciiTheme="minorHAnsi" w:eastAsiaTheme="minorEastAsia" w:hAnsiTheme="minorHAnsi" w:cstheme="minorBidi"/>
                  <w:szCs w:val="21"/>
                </w:rPr>
              </w:pPr>
              <w:r>
                <w:rPr>
                  <w:szCs w:val="21"/>
                </w:rPr>
                <w:fldChar w:fldCharType="begin"/>
              </w:r>
              <w:r w:rsidR="00FB05BA">
                <w:rPr>
                  <w:szCs w:val="21"/>
                </w:rPr>
                <w:instrText xml:space="preserve"> MACROBUTTON  SnrToggleCheckbox □适用  </w:instrText>
              </w:r>
              <w:r>
                <w:rPr>
                  <w:szCs w:val="21"/>
                </w:rPr>
                <w:fldChar w:fldCharType="end"/>
              </w:r>
              <w:r>
                <w:rPr>
                  <w:szCs w:val="21"/>
                </w:rPr>
                <w:fldChar w:fldCharType="begin"/>
              </w:r>
              <w:r w:rsidR="00FB05BA">
                <w:rPr>
                  <w:szCs w:val="21"/>
                </w:rPr>
                <w:instrText xml:space="preserve"> MACROBUTTON  SnrToggleCheckbox √不适用 </w:instrText>
              </w:r>
              <w:r>
                <w:rPr>
                  <w:szCs w:val="21"/>
                </w:rPr>
                <w:fldChar w:fldCharType="end"/>
              </w:r>
            </w:p>
          </w:sdtContent>
        </w:sdt>
      </w:sdtContent>
    </w:sdt>
    <w:sdt>
      <w:sdtPr>
        <w:rPr>
          <w:rFonts w:ascii="宋体" w:hAnsi="宋体" w:cs="宋体"/>
          <w:b w:val="0"/>
          <w:bCs w:val="0"/>
          <w:kern w:val="0"/>
          <w:szCs w:val="21"/>
        </w:rPr>
        <w:alias w:val="模块:股份支付的其他情况说明"/>
        <w:tag w:val="_GBC_d9554f13d811474eab6fe8ab0c5c8811"/>
        <w:id w:val="231745841"/>
        <w:lock w:val="sdtLocked"/>
        <w:placeholder>
          <w:docPart w:val="GBC22222222222222222222222222222"/>
        </w:placeholder>
      </w:sdtPr>
      <w:sdtContent>
        <w:p w:rsidR="00806678" w:rsidRDefault="00B16377" w:rsidP="00FF17C7">
          <w:pPr>
            <w:pStyle w:val="3"/>
            <w:numPr>
              <w:ilvl w:val="0"/>
              <w:numId w:val="55"/>
            </w:numPr>
            <w:rPr>
              <w:szCs w:val="21"/>
            </w:rPr>
          </w:pPr>
          <w:r>
            <w:rPr>
              <w:rFonts w:hint="eastAsia"/>
              <w:szCs w:val="21"/>
            </w:rPr>
            <w:t>其他</w:t>
          </w:r>
        </w:p>
        <w:sdt>
          <w:sdtPr>
            <w:rPr>
              <w:rFonts w:hint="eastAsia"/>
              <w:szCs w:val="21"/>
            </w:rPr>
            <w:alias w:val="是否适用：股份支付的其他情况说明[双击切换]"/>
            <w:tag w:val="_GBC_d03d26e0d4844b798c3d4b87d2578ece"/>
            <w:id w:val="1720546885"/>
            <w:lock w:val="sdtLocked"/>
            <w:placeholder>
              <w:docPart w:val="GBC22222222222222222222222222222"/>
            </w:placeholder>
          </w:sdtPr>
          <w:sdtContent>
            <w:p w:rsidR="00C01624" w:rsidRDefault="00F80B6C">
              <w:pPr>
                <w:rPr>
                  <w:szCs w:val="21"/>
                </w:rPr>
              </w:pPr>
              <w:r>
                <w:rPr>
                  <w:szCs w:val="21"/>
                </w:rPr>
                <w:fldChar w:fldCharType="begin"/>
              </w:r>
              <w:r w:rsidR="00FB05BA">
                <w:rPr>
                  <w:szCs w:val="21"/>
                </w:rPr>
                <w:instrText xml:space="preserve"> MACROBUTTON  SnrToggleCheckbox □适用  </w:instrText>
              </w:r>
              <w:r>
                <w:rPr>
                  <w:szCs w:val="21"/>
                </w:rPr>
                <w:fldChar w:fldCharType="end"/>
              </w:r>
              <w:r>
                <w:rPr>
                  <w:szCs w:val="21"/>
                </w:rPr>
                <w:fldChar w:fldCharType="begin"/>
              </w:r>
              <w:r w:rsidR="00FB05BA">
                <w:rPr>
                  <w:szCs w:val="21"/>
                </w:rPr>
                <w:instrText xml:space="preserve"> MACROBUTTON  SnrToggleCheckbox √不适用 </w:instrText>
              </w:r>
              <w:r>
                <w:rPr>
                  <w:szCs w:val="21"/>
                </w:rPr>
                <w:fldChar w:fldCharType="end"/>
              </w:r>
            </w:p>
            <w:p w:rsidR="00806678" w:rsidRDefault="00F80B6C">
              <w:pPr>
                <w:rPr>
                  <w:szCs w:val="21"/>
                </w:rPr>
              </w:pPr>
            </w:p>
          </w:sdtContent>
        </w:sdt>
      </w:sdtContent>
    </w:sdt>
    <w:p w:rsidR="00806678" w:rsidRDefault="00B16377" w:rsidP="00FF17C7">
      <w:pPr>
        <w:pStyle w:val="2"/>
        <w:numPr>
          <w:ilvl w:val="0"/>
          <w:numId w:val="37"/>
        </w:numPr>
      </w:pPr>
      <w:r>
        <w:rPr>
          <w:rFonts w:hint="eastAsia"/>
        </w:rPr>
        <w:t>承诺及或有事项</w:t>
      </w:r>
    </w:p>
    <w:p w:rsidR="00806678" w:rsidRDefault="00B16377" w:rsidP="00FF17C7">
      <w:pPr>
        <w:pStyle w:val="3"/>
        <w:numPr>
          <w:ilvl w:val="0"/>
          <w:numId w:val="56"/>
        </w:numPr>
        <w:rPr>
          <w:rFonts w:ascii="宋体" w:hAnsi="宋体"/>
        </w:rPr>
      </w:pPr>
      <w:r>
        <w:rPr>
          <w:rFonts w:ascii="宋体" w:hAnsi="宋体" w:hint="eastAsia"/>
        </w:rPr>
        <w:t>重要承诺事项</w:t>
      </w:r>
    </w:p>
    <w:sdt>
      <w:sdtPr>
        <w:alias w:val="是否适用：重要承诺事项[双击切换]"/>
        <w:tag w:val="_GBC_568be9a6805040a8b9fbd5c5d07b45dd"/>
        <w:id w:val="-1716730342"/>
        <w:lock w:val="sdtContentLocked"/>
        <w:placeholder>
          <w:docPart w:val="GBC22222222222222222222222222222"/>
        </w:placeholder>
      </w:sdtPr>
      <w:sdtContent>
        <w:p w:rsidR="00806678" w:rsidRDefault="00F80B6C">
          <w:r>
            <w:fldChar w:fldCharType="begin"/>
          </w:r>
          <w:r w:rsidR="00FB05BA">
            <w:instrText xml:space="preserve">MACROBUTTON  SnrToggleCheckbox √适用 </w:instrText>
          </w:r>
          <w:r>
            <w:fldChar w:fldCharType="end"/>
          </w:r>
          <w:r>
            <w:fldChar w:fldCharType="begin"/>
          </w:r>
          <w:r w:rsidR="00FB05BA">
            <w:instrText xml:space="preserve"> MACROBUTTON  SnrToggleCheckbox □不适用 </w:instrText>
          </w:r>
          <w:r>
            <w:fldChar w:fldCharType="end"/>
          </w:r>
        </w:p>
      </w:sdtContent>
    </w:sdt>
    <w:sdt>
      <w:sdtPr>
        <w:rPr>
          <w:rFonts w:hint="eastAsia"/>
          <w:b/>
          <w:bCs/>
        </w:rPr>
        <w:alias w:val="模块:资产负债表日存在的重大承诺"/>
        <w:tag w:val="_SEC_5ebba82f117d48db8c37854cf072cc17"/>
        <w:id w:val="241681114"/>
        <w:lock w:val="sdtLocked"/>
        <w:placeholder>
          <w:docPart w:val="GBC22222222222222222222222222222"/>
        </w:placeholder>
      </w:sdtPr>
      <w:sdtEndPr>
        <w:rPr>
          <w:rFonts w:asciiTheme="minorHAnsi" w:hAnsiTheme="minorHAnsi" w:cstheme="minorBidi"/>
          <w:b w:val="0"/>
          <w:bCs w:val="0"/>
        </w:rPr>
      </w:sdtEndPr>
      <w:sdtContent>
        <w:p w:rsidR="00806678" w:rsidRDefault="00B16377">
          <w:r>
            <w:rPr>
              <w:rFonts w:hint="eastAsia"/>
            </w:rPr>
            <w:t>资产负债表日存在的对外重要承诺、性质、金额</w:t>
          </w:r>
        </w:p>
        <w:sdt>
          <w:sdtPr>
            <w:rPr>
              <w:rFonts w:ascii="宋体" w:hAnsi="宋体" w:cs="Cambria"/>
              <w:b w:val="0"/>
              <w:bCs w:val="0"/>
              <w:kern w:val="0"/>
              <w:szCs w:val="24"/>
            </w:rPr>
            <w:alias w:val="资产负债表日存在的重要承诺"/>
            <w:tag w:val="_GBC_d8961aa2bd524a56bb4914de9e5d2dc3"/>
            <w:id w:val="-2022466711"/>
            <w:lock w:val="sdtLocked"/>
            <w:placeholder>
              <w:docPart w:val="GBC22222222222222222222222222222"/>
            </w:placeholder>
          </w:sdtPr>
          <w:sdtEndPr>
            <w:rPr>
              <w:bCs/>
            </w:rPr>
          </w:sdtEndPr>
          <w:sdtContent>
            <w:p w:rsidR="00ED2568" w:rsidRPr="00C01624" w:rsidRDefault="00ED2568" w:rsidP="00ED2568">
              <w:pPr>
                <w:pStyle w:val="3"/>
                <w:keepNext w:val="0"/>
                <w:widowControl/>
                <w:tabs>
                  <w:tab w:val="left" w:pos="0"/>
                </w:tabs>
                <w:overflowPunct w:val="0"/>
                <w:adjustRightInd w:val="0"/>
                <w:snapToGrid w:val="0"/>
                <w:spacing w:before="0" w:after="0"/>
                <w:rPr>
                  <w:rFonts w:asciiTheme="majorEastAsia" w:eastAsiaTheme="majorEastAsia" w:hAnsiTheme="majorEastAsia" w:cs="Arial"/>
                  <w:b w:val="0"/>
                  <w:kern w:val="0"/>
                  <w:sz w:val="22"/>
                  <w:szCs w:val="22"/>
                </w:rPr>
              </w:pPr>
              <w:r w:rsidRPr="00C01624">
                <w:rPr>
                  <w:rFonts w:asciiTheme="majorEastAsia" w:eastAsiaTheme="majorEastAsia" w:hAnsiTheme="majorEastAsia" w:cs="Cambria" w:hint="eastAsia"/>
                  <w:b w:val="0"/>
                </w:rPr>
                <w:t>（1</w:t>
              </w:r>
              <w:r w:rsidRPr="00C01624">
                <w:rPr>
                  <w:rFonts w:asciiTheme="majorEastAsia" w:eastAsiaTheme="majorEastAsia" w:hAnsiTheme="majorEastAsia" w:cs="Arial" w:hint="eastAsia"/>
                  <w:b w:val="0"/>
                  <w:kern w:val="0"/>
                  <w:sz w:val="22"/>
                  <w:szCs w:val="22"/>
                </w:rPr>
                <w:t>）资本性支出承诺事项</w:t>
              </w:r>
            </w:p>
            <w:p w:rsidR="00ED2568" w:rsidRPr="00C01624" w:rsidRDefault="00ED2568" w:rsidP="00ED2568">
              <w:pPr>
                <w:tabs>
                  <w:tab w:val="left" w:pos="851"/>
                </w:tabs>
                <w:overflowPunct w:val="0"/>
                <w:adjustRightInd w:val="0"/>
                <w:snapToGrid w:val="0"/>
                <w:rPr>
                  <w:rFonts w:asciiTheme="majorEastAsia" w:eastAsiaTheme="majorEastAsia" w:hAnsiTheme="majorEastAsia" w:cs="Arial"/>
                  <w:bCs/>
                  <w:sz w:val="22"/>
                  <w:szCs w:val="22"/>
                </w:rPr>
              </w:pPr>
            </w:p>
            <w:p w:rsidR="00ED2568" w:rsidRPr="00C01624" w:rsidRDefault="00ED2568" w:rsidP="00ED2568">
              <w:pPr>
                <w:overflowPunct w:val="0"/>
                <w:adjustRightInd w:val="0"/>
                <w:snapToGrid w:val="0"/>
                <w:rPr>
                  <w:rFonts w:asciiTheme="majorEastAsia" w:eastAsiaTheme="majorEastAsia" w:hAnsiTheme="majorEastAsia" w:cs="Arial"/>
                  <w:bCs/>
                  <w:sz w:val="22"/>
                  <w:szCs w:val="22"/>
                </w:rPr>
              </w:pPr>
              <w:r w:rsidRPr="00C01624">
                <w:rPr>
                  <w:rFonts w:asciiTheme="majorEastAsia" w:eastAsiaTheme="majorEastAsia" w:hAnsiTheme="majorEastAsia" w:cs="Arial" w:hint="eastAsia"/>
                  <w:bCs/>
                  <w:sz w:val="22"/>
                  <w:szCs w:val="22"/>
                </w:rPr>
                <w:t>于202</w:t>
              </w:r>
              <w:r w:rsidRPr="00C01624">
                <w:rPr>
                  <w:rFonts w:asciiTheme="majorEastAsia" w:eastAsiaTheme="majorEastAsia" w:hAnsiTheme="majorEastAsia" w:cs="Arial"/>
                  <w:bCs/>
                  <w:sz w:val="22"/>
                  <w:szCs w:val="22"/>
                </w:rPr>
                <w:t>2</w:t>
              </w:r>
              <w:r w:rsidRPr="00C01624">
                <w:rPr>
                  <w:rFonts w:asciiTheme="majorEastAsia" w:eastAsiaTheme="majorEastAsia" w:hAnsiTheme="majorEastAsia" w:cs="Arial" w:hint="eastAsia"/>
                  <w:bCs/>
                  <w:sz w:val="22"/>
                  <w:szCs w:val="22"/>
                </w:rPr>
                <w:t>年12月31日，本集团已签约而尚不必在财务报表中予以确认的资本性支出约为</w:t>
              </w:r>
              <w:r w:rsidR="001914D3">
                <w:rPr>
                  <w:rFonts w:asciiTheme="majorEastAsia" w:eastAsiaTheme="majorEastAsia" w:hAnsiTheme="majorEastAsia" w:cs="Arial" w:hint="eastAsia"/>
                  <w:bCs/>
                  <w:sz w:val="22"/>
                  <w:szCs w:val="22"/>
                </w:rPr>
                <w:t>人民币</w:t>
              </w:r>
              <w:r w:rsidRPr="00C01624">
                <w:rPr>
                  <w:rFonts w:asciiTheme="majorEastAsia" w:eastAsiaTheme="majorEastAsia" w:hAnsiTheme="majorEastAsia" w:cs="Arial"/>
                  <w:bCs/>
                  <w:sz w:val="22"/>
                  <w:szCs w:val="22"/>
                </w:rPr>
                <w:t>312.54</w:t>
              </w:r>
              <w:r w:rsidRPr="00C01624">
                <w:rPr>
                  <w:rFonts w:asciiTheme="majorEastAsia" w:eastAsiaTheme="majorEastAsia" w:hAnsiTheme="majorEastAsia" w:cs="Arial" w:hint="eastAsia"/>
                  <w:bCs/>
                  <w:sz w:val="22"/>
                  <w:szCs w:val="22"/>
                </w:rPr>
                <w:t>亿元 (202</w:t>
              </w:r>
              <w:r w:rsidRPr="00C01624">
                <w:rPr>
                  <w:rFonts w:asciiTheme="majorEastAsia" w:eastAsiaTheme="majorEastAsia" w:hAnsiTheme="majorEastAsia" w:cs="Arial"/>
                  <w:bCs/>
                  <w:sz w:val="22"/>
                  <w:szCs w:val="22"/>
                </w:rPr>
                <w:t>1</w:t>
              </w:r>
              <w:r w:rsidRPr="00C01624">
                <w:rPr>
                  <w:rFonts w:asciiTheme="majorEastAsia" w:eastAsiaTheme="majorEastAsia" w:hAnsiTheme="majorEastAsia" w:cs="Arial" w:hint="eastAsia"/>
                  <w:bCs/>
                  <w:sz w:val="22"/>
                  <w:szCs w:val="22"/>
                </w:rPr>
                <w:t>年12月31日：</w:t>
              </w:r>
              <w:r w:rsidR="001914D3">
                <w:rPr>
                  <w:rFonts w:asciiTheme="majorEastAsia" w:eastAsiaTheme="majorEastAsia" w:hAnsiTheme="majorEastAsia" w:cs="Arial" w:hint="eastAsia"/>
                  <w:bCs/>
                  <w:sz w:val="22"/>
                  <w:szCs w:val="22"/>
                </w:rPr>
                <w:t>人民币</w:t>
              </w:r>
              <w:r w:rsidRPr="00C01624">
                <w:rPr>
                  <w:rFonts w:asciiTheme="majorEastAsia" w:eastAsiaTheme="majorEastAsia" w:hAnsiTheme="majorEastAsia" w:cs="Arial" w:hint="eastAsia"/>
                  <w:bCs/>
                  <w:sz w:val="22"/>
                  <w:szCs w:val="22"/>
                </w:rPr>
                <w:t>310.70亿元)</w:t>
              </w:r>
              <w:r w:rsidRPr="00C01624">
                <w:rPr>
                  <w:rFonts w:asciiTheme="majorEastAsia" w:eastAsiaTheme="majorEastAsia" w:hAnsiTheme="majorEastAsia" w:cs="Arial"/>
                  <w:bCs/>
                  <w:sz w:val="22"/>
                  <w:szCs w:val="22"/>
                </w:rPr>
                <w:t xml:space="preserve"> </w:t>
              </w:r>
              <w:r w:rsidRPr="00C01624">
                <w:rPr>
                  <w:rFonts w:asciiTheme="majorEastAsia" w:eastAsiaTheme="majorEastAsia" w:hAnsiTheme="majorEastAsia" w:cs="Arial" w:hint="eastAsia"/>
                  <w:bCs/>
                  <w:sz w:val="22"/>
                  <w:szCs w:val="22"/>
                </w:rPr>
                <w:t>。</w:t>
              </w:r>
            </w:p>
            <w:p w:rsidR="00ED2568" w:rsidRPr="00C01624" w:rsidRDefault="00ED2568" w:rsidP="00ED2568">
              <w:pPr>
                <w:pStyle w:val="3"/>
                <w:keepNext w:val="0"/>
                <w:widowControl/>
                <w:tabs>
                  <w:tab w:val="left" w:pos="0"/>
                </w:tabs>
                <w:overflowPunct w:val="0"/>
                <w:adjustRightInd w:val="0"/>
                <w:snapToGrid w:val="0"/>
                <w:spacing w:before="0" w:after="0"/>
                <w:rPr>
                  <w:rFonts w:asciiTheme="majorEastAsia" w:eastAsiaTheme="majorEastAsia" w:hAnsiTheme="majorEastAsia" w:cs="Arial"/>
                  <w:b w:val="0"/>
                  <w:kern w:val="0"/>
                  <w:sz w:val="22"/>
                  <w:szCs w:val="22"/>
                </w:rPr>
              </w:pPr>
              <w:r w:rsidRPr="00C01624">
                <w:rPr>
                  <w:rFonts w:asciiTheme="majorEastAsia" w:eastAsiaTheme="majorEastAsia" w:hAnsiTheme="majorEastAsia" w:cs="Arial" w:hint="eastAsia"/>
                  <w:b w:val="0"/>
                  <w:kern w:val="0"/>
                  <w:sz w:val="22"/>
                  <w:szCs w:val="22"/>
                </w:rPr>
                <w:t>（2）</w:t>
              </w:r>
              <w:r w:rsidRPr="00C01624">
                <w:rPr>
                  <w:rFonts w:asciiTheme="majorEastAsia" w:eastAsiaTheme="majorEastAsia" w:hAnsiTheme="majorEastAsia" w:cs="Arial" w:hint="eastAsia"/>
                  <w:b w:val="0"/>
                  <w:kern w:val="0"/>
                  <w:sz w:val="22"/>
                  <w:szCs w:val="22"/>
                </w:rPr>
                <w:tab/>
                <w:t>根据已签订的不可撤销的经营性租赁合同，本集团于202</w:t>
              </w:r>
              <w:r w:rsidRPr="00C01624">
                <w:rPr>
                  <w:rFonts w:asciiTheme="majorEastAsia" w:eastAsiaTheme="majorEastAsia" w:hAnsiTheme="majorEastAsia" w:cs="Arial"/>
                  <w:b w:val="0"/>
                  <w:kern w:val="0"/>
                  <w:sz w:val="22"/>
                  <w:szCs w:val="22"/>
                </w:rPr>
                <w:t>2</w:t>
              </w:r>
              <w:r w:rsidRPr="00C01624">
                <w:rPr>
                  <w:rFonts w:asciiTheme="majorEastAsia" w:eastAsiaTheme="majorEastAsia" w:hAnsiTheme="majorEastAsia" w:cs="Arial" w:hint="eastAsia"/>
                  <w:b w:val="0"/>
                  <w:kern w:val="0"/>
                  <w:sz w:val="22"/>
                  <w:szCs w:val="22"/>
                </w:rPr>
                <w:t>年12月31日以后最低应支付租金汇总如下：</w:t>
              </w:r>
            </w:p>
            <w:p w:rsidR="00ED2568" w:rsidRPr="00170C02" w:rsidRDefault="00170C02" w:rsidP="00170C02">
              <w:pPr>
                <w:jc w:val="right"/>
                <w:rPr>
                  <w:rFonts w:asciiTheme="majorEastAsia" w:eastAsiaTheme="majorEastAsia" w:hAnsiTheme="majorEastAsia"/>
                </w:rPr>
              </w:pPr>
              <w:r w:rsidRPr="00170C02">
                <w:rPr>
                  <w:rFonts w:asciiTheme="majorEastAsia" w:eastAsiaTheme="majorEastAsia" w:hAnsiTheme="majorEastAsia" w:cs="PMingLiU" w:hint="eastAsia"/>
                  <w:szCs w:val="21"/>
                </w:rPr>
                <w:t>单</w:t>
              </w:r>
              <w:r w:rsidRPr="00170C02">
                <w:rPr>
                  <w:rFonts w:asciiTheme="majorEastAsia" w:eastAsiaTheme="majorEastAsia" w:hAnsiTheme="majorEastAsia" w:cs="Yu Gothic" w:hint="eastAsia"/>
                  <w:szCs w:val="21"/>
                </w:rPr>
                <w:t>位：元</w:t>
              </w:r>
              <w:r w:rsidRPr="00170C02">
                <w:rPr>
                  <w:rFonts w:asciiTheme="majorEastAsia" w:eastAsiaTheme="majorEastAsia" w:hAnsiTheme="majorEastAsia" w:cs="螳倶ｽ・"/>
                  <w:szCs w:val="21"/>
                </w:rPr>
                <w:t xml:space="preserve"> </w:t>
              </w:r>
              <w:r w:rsidRPr="00170C02">
                <w:rPr>
                  <w:rFonts w:asciiTheme="majorEastAsia" w:eastAsiaTheme="majorEastAsia" w:hAnsiTheme="majorEastAsia" w:cs="PMingLiU" w:hint="eastAsia"/>
                  <w:szCs w:val="21"/>
                </w:rPr>
                <w:t>币</w:t>
              </w:r>
              <w:r w:rsidRPr="00170C02">
                <w:rPr>
                  <w:rFonts w:asciiTheme="majorEastAsia" w:eastAsiaTheme="majorEastAsia" w:hAnsiTheme="majorEastAsia" w:cs="Yu Gothic" w:hint="eastAsia"/>
                  <w:szCs w:val="21"/>
                </w:rPr>
                <w:t>种：人民</w:t>
              </w:r>
              <w:r w:rsidRPr="00170C02">
                <w:rPr>
                  <w:rFonts w:asciiTheme="majorEastAsia" w:eastAsiaTheme="majorEastAsia" w:hAnsiTheme="majorEastAsia" w:cs="PMingLiU" w:hint="eastAsia"/>
                  <w:szCs w:val="21"/>
                </w:rPr>
                <w:t>币</w:t>
              </w:r>
            </w:p>
            <w:tbl>
              <w:tblPr>
                <w:tblW w:w="883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28" w:type="dxa"/>
                </w:tblCellMar>
                <w:tblLook w:val="04A0"/>
              </w:tblPr>
              <w:tblGrid>
                <w:gridCol w:w="4959"/>
                <w:gridCol w:w="1937"/>
                <w:gridCol w:w="1937"/>
              </w:tblGrid>
              <w:tr w:rsidR="00ED2568" w:rsidRPr="00ED2568" w:rsidTr="001914D3">
                <w:trPr>
                  <w:trHeight w:val="181"/>
                  <w:jc w:val="right"/>
                </w:trPr>
                <w:tc>
                  <w:tcPr>
                    <w:tcW w:w="4959" w:type="dxa"/>
                    <w:vAlign w:val="bottom"/>
                  </w:tcPr>
                  <w:p w:rsidR="00ED2568" w:rsidRPr="00ED2568" w:rsidRDefault="00ED2568" w:rsidP="00AA6F46">
                    <w:pPr>
                      <w:snapToGrid w:val="0"/>
                      <w:ind w:left="221" w:hanging="221"/>
                      <w:jc w:val="center"/>
                    </w:pPr>
                    <w:bookmarkStart w:id="257" w:name="_Hlk132041240"/>
                    <w:r w:rsidRPr="00ED2568">
                      <w:t>项目</w:t>
                    </w:r>
                  </w:p>
                </w:tc>
                <w:tc>
                  <w:tcPr>
                    <w:tcW w:w="1937" w:type="dxa"/>
                    <w:vAlign w:val="bottom"/>
                  </w:tcPr>
                  <w:p w:rsidR="00ED2568" w:rsidRPr="00ED2568" w:rsidRDefault="00ED2568" w:rsidP="00DB008B">
                    <w:pPr>
                      <w:snapToGrid w:val="0"/>
                      <w:jc w:val="right"/>
                    </w:pPr>
                    <w:r w:rsidRPr="00ED2568">
                      <w:t>2022年</w:t>
                    </w:r>
                    <w:r>
                      <w:rPr>
                        <w:rFonts w:hint="eastAsia"/>
                      </w:rPr>
                      <w:t>1</w:t>
                    </w:r>
                    <w:r>
                      <w:t>2</w:t>
                    </w:r>
                    <w:r>
                      <w:rPr>
                        <w:rFonts w:hint="eastAsia"/>
                      </w:rPr>
                      <w:t>月3</w:t>
                    </w:r>
                    <w:r>
                      <w:t>1</w:t>
                    </w:r>
                    <w:r>
                      <w:rPr>
                        <w:rFonts w:hint="eastAsia"/>
                      </w:rPr>
                      <w:t>日</w:t>
                    </w:r>
                  </w:p>
                </w:tc>
                <w:tc>
                  <w:tcPr>
                    <w:tcW w:w="1937" w:type="dxa"/>
                    <w:vAlign w:val="bottom"/>
                  </w:tcPr>
                  <w:p w:rsidR="00ED2568" w:rsidRPr="00ED2568" w:rsidRDefault="00ED2568" w:rsidP="00DB008B">
                    <w:pPr>
                      <w:snapToGrid w:val="0"/>
                      <w:jc w:val="right"/>
                    </w:pPr>
                    <w:r w:rsidRPr="00ED2568">
                      <w:t>202</w:t>
                    </w:r>
                    <w:r>
                      <w:t>1</w:t>
                    </w:r>
                    <w:r w:rsidRPr="00ED2568">
                      <w:t>年12月31日</w:t>
                    </w:r>
                  </w:p>
                </w:tc>
              </w:tr>
              <w:tr w:rsidR="00ED2568" w:rsidRPr="00ED2568" w:rsidTr="001914D3">
                <w:trPr>
                  <w:trHeight w:val="179"/>
                  <w:jc w:val="right"/>
                </w:trPr>
                <w:tc>
                  <w:tcPr>
                    <w:tcW w:w="4959" w:type="dxa"/>
                    <w:vAlign w:val="bottom"/>
                  </w:tcPr>
                  <w:p w:rsidR="00ED2568" w:rsidRPr="00ED2568" w:rsidRDefault="00ED2568" w:rsidP="00DB008B">
                    <w:pPr>
                      <w:snapToGrid w:val="0"/>
                      <w:ind w:left="221" w:hanging="221"/>
                    </w:pPr>
                    <w:r w:rsidRPr="00ED2568">
                      <w:rPr>
                        <w:rFonts w:hint="eastAsia"/>
                      </w:rPr>
                      <w:lastRenderedPageBreak/>
                      <w:t>一年以内</w:t>
                    </w:r>
                  </w:p>
                </w:tc>
                <w:tc>
                  <w:tcPr>
                    <w:tcW w:w="1937" w:type="dxa"/>
                    <w:vAlign w:val="bottom"/>
                  </w:tcPr>
                  <w:p w:rsidR="00ED2568" w:rsidRPr="00ED2568" w:rsidRDefault="00ED2568" w:rsidP="00DB008B">
                    <w:pPr>
                      <w:snapToGrid w:val="0"/>
                      <w:jc w:val="right"/>
                    </w:pPr>
                    <w:r w:rsidRPr="00ED2568">
                      <w:t>27,</w:t>
                    </w:r>
                    <w:r w:rsidR="009E3385">
                      <w:t>092</w:t>
                    </w:r>
                    <w:r w:rsidRPr="00ED2568">
                      <w:t>,</w:t>
                    </w:r>
                    <w:r w:rsidR="009E3385">
                      <w:t>430</w:t>
                    </w:r>
                  </w:p>
                </w:tc>
                <w:tc>
                  <w:tcPr>
                    <w:tcW w:w="1937" w:type="dxa"/>
                    <w:vAlign w:val="bottom"/>
                  </w:tcPr>
                  <w:p w:rsidR="00ED2568" w:rsidRPr="00ED2568" w:rsidRDefault="00ED2568" w:rsidP="00DB008B">
                    <w:pPr>
                      <w:snapToGrid w:val="0"/>
                      <w:jc w:val="right"/>
                    </w:pPr>
                    <w:r w:rsidRPr="00ED2568">
                      <w:t>32,157,672</w:t>
                    </w:r>
                  </w:p>
                </w:tc>
              </w:tr>
            </w:tbl>
            <w:p w:rsidR="00806678" w:rsidRPr="00CE55F0" w:rsidRDefault="00F80B6C">
              <w:pPr>
                <w:rPr>
                  <w:rFonts w:cs="Cambria"/>
                  <w:bCs/>
                </w:rPr>
              </w:pPr>
            </w:p>
            <w:bookmarkEnd w:id="257" w:displacedByCustomXml="next"/>
          </w:sdtContent>
        </w:sdt>
      </w:sdtContent>
    </w:sdt>
    <w:p w:rsidR="00806678" w:rsidRDefault="00B16377" w:rsidP="00FF17C7">
      <w:pPr>
        <w:pStyle w:val="3"/>
        <w:numPr>
          <w:ilvl w:val="0"/>
          <w:numId w:val="56"/>
        </w:numPr>
      </w:pPr>
      <w:r>
        <w:rPr>
          <w:rFonts w:hint="eastAsia"/>
        </w:rPr>
        <w:t>或有事项</w:t>
      </w:r>
    </w:p>
    <w:sdt>
      <w:sdtPr>
        <w:rPr>
          <w:rFonts w:ascii="宋体" w:eastAsia="宋体" w:hAnsi="宋体" w:cs="宋体" w:hint="eastAsia"/>
          <w:b w:val="0"/>
          <w:bCs w:val="0"/>
          <w:kern w:val="0"/>
          <w:szCs w:val="24"/>
        </w:rPr>
        <w:alias w:val="模块:资产负债表日存在的或有事项"/>
        <w:tag w:val="_SEC_6da34404b73540309fc9634730ac0066"/>
        <w:id w:val="2012953030"/>
        <w:lock w:val="sdtLocked"/>
        <w:placeholder>
          <w:docPart w:val="GBC22222222222222222222222222222"/>
        </w:placeholder>
      </w:sdtPr>
      <w:sdtEndPr>
        <w:rPr>
          <w:rFonts w:asciiTheme="minorHAnsi" w:hAnsiTheme="minorHAnsi" w:cstheme="minorBidi"/>
        </w:rPr>
      </w:sdtEndPr>
      <w:sdtContent>
        <w:p w:rsidR="00806678" w:rsidRDefault="00B16377" w:rsidP="00FF17C7">
          <w:pPr>
            <w:pStyle w:val="4"/>
            <w:numPr>
              <w:ilvl w:val="3"/>
              <w:numId w:val="107"/>
            </w:numPr>
            <w:ind w:left="424" w:hangingChars="202" w:hanging="424"/>
          </w:pPr>
          <w:r>
            <w:rPr>
              <w:rFonts w:hint="eastAsia"/>
            </w:rPr>
            <w:t>资产负债表日存在的重要或有事项</w:t>
          </w:r>
        </w:p>
        <w:sdt>
          <w:sdtPr>
            <w:rPr>
              <w:rFonts w:hint="eastAsia"/>
            </w:rPr>
            <w:alias w:val="是否适用：资产负债表日存在的重要或有事项[双击切换]"/>
            <w:tag w:val="_GBC_d987504ad98e408986b4fc6f62089ffe"/>
            <w:id w:val="681702435"/>
            <w:lock w:val="sdtLocked"/>
            <w:placeholder>
              <w:docPart w:val="GBC22222222222222222222222222222"/>
            </w:placeholder>
          </w:sdtPr>
          <w:sdtContent>
            <w:p w:rsidR="00806678" w:rsidRDefault="00F80B6C">
              <w:r>
                <w:fldChar w:fldCharType="begin"/>
              </w:r>
              <w:r w:rsidR="00ED2568">
                <w:instrText xml:space="preserve"> MACROBUTTON  SnrToggleCheckbox □适用  </w:instrText>
              </w:r>
              <w:r>
                <w:fldChar w:fldCharType="end"/>
              </w:r>
              <w:r>
                <w:fldChar w:fldCharType="begin"/>
              </w:r>
              <w:r w:rsidR="00ED2568">
                <w:instrText xml:space="preserve"> MACROBUTTON  SnrToggleCheckbox √不适用 </w:instrText>
              </w:r>
              <w:r>
                <w:fldChar w:fldCharType="end"/>
              </w:r>
            </w:p>
          </w:sdtContent>
        </w:sdt>
      </w:sdtContent>
    </w:sdt>
    <w:sdt>
      <w:sdtPr>
        <w:rPr>
          <w:rFonts w:ascii="宋体" w:eastAsia="宋体" w:hAnsi="宋体" w:cs="宋体" w:hint="eastAsia"/>
          <w:b w:val="0"/>
          <w:bCs w:val="0"/>
          <w:kern w:val="0"/>
          <w:szCs w:val="24"/>
        </w:rPr>
        <w:alias w:val="模块:公司没有需要披露的或有事项，也应予以说明"/>
        <w:tag w:val="_SEC_07f5db79000646bfa85b73f1179896b8"/>
        <w:id w:val="-404305911"/>
        <w:lock w:val="sdtLocked"/>
        <w:placeholder>
          <w:docPart w:val="GBC22222222222222222222222222222"/>
        </w:placeholder>
      </w:sdtPr>
      <w:sdtEndPr>
        <w:rPr>
          <w:rFonts w:asciiTheme="minorHAnsi" w:hAnsiTheme="minorHAnsi" w:cstheme="minorBidi"/>
        </w:rPr>
      </w:sdtEndPr>
      <w:sdtContent>
        <w:p w:rsidR="00806678" w:rsidRDefault="00B16377" w:rsidP="00FF17C7">
          <w:pPr>
            <w:pStyle w:val="4"/>
            <w:numPr>
              <w:ilvl w:val="3"/>
              <w:numId w:val="107"/>
            </w:numPr>
            <w:ind w:left="424" w:hangingChars="202" w:hanging="424"/>
          </w:pPr>
          <w:r>
            <w:rPr>
              <w:rFonts w:hint="eastAsia"/>
            </w:rPr>
            <w:t>公司没有需要披露的重要或有事项，也应予以说明：</w:t>
          </w:r>
        </w:p>
        <w:sdt>
          <w:sdtPr>
            <w:rPr>
              <w:rFonts w:hint="eastAsia"/>
            </w:rPr>
            <w:alias w:val="是否适用：公司没有需要披露的重要或有事项，也应予以说明[双击切换]"/>
            <w:tag w:val="_GBC_07f7b2e649f24a948656f8714cbf5345"/>
            <w:id w:val="-1086151028"/>
            <w:lock w:val="sdtLocked"/>
            <w:placeholder>
              <w:docPart w:val="GBC22222222222222222222222222222"/>
            </w:placeholder>
          </w:sdtPr>
          <w:sdtContent>
            <w:p w:rsidR="00806678" w:rsidRPr="00CE55F0" w:rsidRDefault="00F80B6C">
              <w:r>
                <w:fldChar w:fldCharType="begin"/>
              </w:r>
              <w:r w:rsidR="00ED2568">
                <w:instrText xml:space="preserve"> MACROBUTTON  SnrToggleCheckbox □适用  </w:instrText>
              </w:r>
              <w:r>
                <w:fldChar w:fldCharType="end"/>
              </w:r>
              <w:r>
                <w:fldChar w:fldCharType="begin"/>
              </w:r>
              <w:r w:rsidR="00ED2568">
                <w:instrText xml:space="preserve"> MACROBUTTON  SnrToggleCheckbox √不适用 </w:instrText>
              </w:r>
              <w:r>
                <w:fldChar w:fldCharType="end"/>
              </w:r>
            </w:p>
          </w:sdtContent>
        </w:sdt>
      </w:sdtContent>
    </w:sdt>
    <w:sdt>
      <w:sdtPr>
        <w:rPr>
          <w:rFonts w:ascii="宋体" w:hAnsi="宋体" w:cs="宋体"/>
          <w:b w:val="0"/>
          <w:bCs w:val="0"/>
          <w:kern w:val="0"/>
          <w:szCs w:val="24"/>
        </w:rPr>
        <w:alias w:val="模块:承诺及或有事项的其他情况说明"/>
        <w:tag w:val="_SEC_95ab34fb3b4a4254a4373a5a29c6b84d"/>
        <w:id w:val="1450355733"/>
        <w:lock w:val="sdtLocked"/>
        <w:placeholder>
          <w:docPart w:val="GBC22222222222222222222222222222"/>
        </w:placeholder>
      </w:sdtPr>
      <w:sdtContent>
        <w:p w:rsidR="00806678" w:rsidRDefault="00B16377" w:rsidP="00FF17C7">
          <w:pPr>
            <w:pStyle w:val="3"/>
            <w:numPr>
              <w:ilvl w:val="0"/>
              <w:numId w:val="56"/>
            </w:numPr>
          </w:pPr>
          <w:r>
            <w:rPr>
              <w:rFonts w:hint="eastAsia"/>
            </w:rPr>
            <w:t>其他</w:t>
          </w:r>
        </w:p>
        <w:sdt>
          <w:sdtPr>
            <w:rPr>
              <w:rFonts w:hint="eastAsia"/>
            </w:rPr>
            <w:alias w:val="是否适用：承诺及或有事项的其他情况说明[双击切换]"/>
            <w:tag w:val="_GBC_cf5b3c02da904b4ea27843983d9a6248"/>
            <w:id w:val="-338699856"/>
            <w:lock w:val="sdtLocked"/>
            <w:placeholder>
              <w:docPart w:val="GBC22222222222222222222222222222"/>
            </w:placeholder>
          </w:sdtPr>
          <w:sdtContent>
            <w:p w:rsidR="00806678" w:rsidRDefault="00F80B6C" w:rsidP="00ED2568">
              <w:r>
                <w:fldChar w:fldCharType="begin"/>
              </w:r>
              <w:r w:rsidR="00ED2568">
                <w:instrText xml:space="preserve"> MACROBUTTON  SnrToggleCheckbox □适用  </w:instrText>
              </w:r>
              <w:r>
                <w:fldChar w:fldCharType="end"/>
              </w:r>
              <w:r>
                <w:fldChar w:fldCharType="begin"/>
              </w:r>
              <w:r w:rsidR="00ED2568">
                <w:instrText xml:space="preserve"> MACROBUTTON  SnrToggleCheckbox √不适用 </w:instrText>
              </w:r>
              <w:r>
                <w:fldChar w:fldCharType="end"/>
              </w:r>
            </w:p>
          </w:sdtContent>
        </w:sdt>
      </w:sdtContent>
    </w:sdt>
    <w:p w:rsidR="00806678" w:rsidRDefault="00806678">
      <w:pPr>
        <w:rPr>
          <w:szCs w:val="21"/>
        </w:rPr>
      </w:pPr>
    </w:p>
    <w:p w:rsidR="00806678" w:rsidRDefault="00B16377" w:rsidP="00FF17C7">
      <w:pPr>
        <w:pStyle w:val="2"/>
        <w:numPr>
          <w:ilvl w:val="0"/>
          <w:numId w:val="37"/>
        </w:numPr>
      </w:pPr>
      <w:r>
        <w:rPr>
          <w:rFonts w:hint="eastAsia"/>
        </w:rPr>
        <w:t>资产负债表日后事项</w:t>
      </w:r>
    </w:p>
    <w:sdt>
      <w:sdtPr>
        <w:rPr>
          <w:rFonts w:ascii="宋体" w:hAnsi="宋体" w:cs="宋体" w:hint="eastAsia"/>
          <w:b w:val="0"/>
          <w:bCs w:val="0"/>
          <w:kern w:val="0"/>
          <w:szCs w:val="24"/>
        </w:rPr>
        <w:alias w:val="模块:重要的非调整事项"/>
        <w:tag w:val="_SEC_3654dcc239a241d4891042df05a6f256"/>
        <w:id w:val="1801567590"/>
        <w:lock w:val="sdtLocked"/>
        <w:placeholder>
          <w:docPart w:val="GBC22222222222222222222222222222"/>
        </w:placeholder>
      </w:sdtPr>
      <w:sdtEndPr>
        <w:rPr>
          <w:rFonts w:asciiTheme="minorHAnsi" w:eastAsiaTheme="minorEastAsia" w:hAnsiTheme="minorHAnsi" w:cstheme="minorBidi"/>
          <w:szCs w:val="22"/>
        </w:rPr>
      </w:sdtEndPr>
      <w:sdtContent>
        <w:p w:rsidR="00806678" w:rsidRPr="001C6677" w:rsidRDefault="00B16377" w:rsidP="00FF17C7">
          <w:pPr>
            <w:pStyle w:val="3"/>
            <w:numPr>
              <w:ilvl w:val="0"/>
              <w:numId w:val="57"/>
            </w:numPr>
            <w:rPr>
              <w:rFonts w:asciiTheme="majorEastAsia" w:eastAsiaTheme="majorEastAsia" w:hAnsiTheme="majorEastAsia"/>
            </w:rPr>
          </w:pPr>
          <w:r w:rsidRPr="001C6677">
            <w:rPr>
              <w:rFonts w:asciiTheme="majorEastAsia" w:eastAsiaTheme="majorEastAsia" w:hAnsiTheme="majorEastAsia" w:hint="eastAsia"/>
            </w:rPr>
            <w:t>重要的非调整事项</w:t>
          </w:r>
        </w:p>
        <w:sdt>
          <w:sdtPr>
            <w:alias w:val="是否适用：重要的非调整事项[双击切换]"/>
            <w:tag w:val="_GBC_5d94a9ce52454687be716014c1894fef"/>
            <w:id w:val="603395345"/>
            <w:lock w:val="sdtLocked"/>
            <w:placeholder>
              <w:docPart w:val="GBC22222222222222222222222222222"/>
            </w:placeholder>
          </w:sdtPr>
          <w:sdtContent>
            <w:p w:rsidR="00806678" w:rsidRDefault="00F80B6C" w:rsidP="00ED2568">
              <w:r>
                <w:fldChar w:fldCharType="begin"/>
              </w:r>
              <w:r w:rsidR="00ED2568">
                <w:instrText xml:space="preserve">MACROBUTTON  SnrToggleCheckbox □适用 </w:instrText>
              </w:r>
              <w:r>
                <w:fldChar w:fldCharType="end"/>
              </w:r>
              <w:r>
                <w:fldChar w:fldCharType="begin"/>
              </w:r>
              <w:r w:rsidR="00ED2568">
                <w:instrText xml:space="preserve"> MACROBUTTON  SnrToggleCheckbox √不适用 </w:instrText>
              </w:r>
              <w:r>
                <w:fldChar w:fldCharType="end"/>
              </w:r>
            </w:p>
          </w:sdtContent>
        </w:sdt>
      </w:sdtContent>
    </w:sdt>
    <w:sdt>
      <w:sdtPr>
        <w:rPr>
          <w:rFonts w:ascii="宋体" w:hAnsi="宋体" w:cs="宋体" w:hint="eastAsia"/>
          <w:b w:val="0"/>
          <w:bCs w:val="0"/>
          <w:kern w:val="0"/>
          <w:szCs w:val="24"/>
        </w:rPr>
        <w:alias w:val="模块:资产负债表日后利润分配情况说明"/>
        <w:tag w:val="_SEC_a0182471338a435e9bfa33dc5b5d68ed"/>
        <w:id w:val="1136995784"/>
        <w:lock w:val="sdtLocked"/>
        <w:placeholder>
          <w:docPart w:val="GBC22222222222222222222222222222"/>
        </w:placeholder>
      </w:sdtPr>
      <w:sdtEndPr>
        <w:rPr>
          <w:rFonts w:hint="default"/>
        </w:rPr>
      </w:sdtEndPr>
      <w:sdtContent>
        <w:p w:rsidR="00806678" w:rsidRPr="001C6677" w:rsidRDefault="00B16377" w:rsidP="00FF17C7">
          <w:pPr>
            <w:pStyle w:val="3"/>
            <w:numPr>
              <w:ilvl w:val="0"/>
              <w:numId w:val="57"/>
            </w:numPr>
            <w:rPr>
              <w:rFonts w:asciiTheme="majorEastAsia" w:eastAsiaTheme="majorEastAsia" w:hAnsiTheme="majorEastAsia"/>
            </w:rPr>
          </w:pPr>
          <w:r w:rsidRPr="001C6677">
            <w:rPr>
              <w:rFonts w:asciiTheme="majorEastAsia" w:eastAsiaTheme="majorEastAsia" w:hAnsiTheme="majorEastAsia" w:hint="eastAsia"/>
            </w:rPr>
            <w:t>利润分配情况</w:t>
          </w:r>
        </w:p>
        <w:sdt>
          <w:sdtPr>
            <w:alias w:val="是否适用：利润分配情况[双击切换]"/>
            <w:tag w:val="_GBC_9a91fb54a6c146e5b9ee1ecff3141237"/>
            <w:id w:val="-1708560670"/>
            <w:lock w:val="sdtLocked"/>
            <w:placeholder>
              <w:docPart w:val="GBC22222222222222222222222222222"/>
            </w:placeholder>
          </w:sdtPr>
          <w:sdtContent>
            <w:p w:rsidR="00806678" w:rsidRDefault="00F80B6C">
              <w:r>
                <w:fldChar w:fldCharType="begin"/>
              </w:r>
              <w:r w:rsidR="00ED2568">
                <w:instrText xml:space="preserve">MACROBUTTON  SnrToggleCheckbox √适用 </w:instrText>
              </w:r>
              <w:r>
                <w:fldChar w:fldCharType="end"/>
              </w:r>
              <w:r>
                <w:fldChar w:fldCharType="begin"/>
              </w:r>
              <w:r w:rsidR="00ED2568">
                <w:instrText xml:space="preserve"> MACROBUTTON  SnrToggleCheckbox □不适用 </w:instrText>
              </w:r>
              <w:r>
                <w:fldChar w:fldCharType="end"/>
              </w:r>
            </w:p>
          </w:sdtContent>
        </w:sdt>
        <w:p w:rsidR="00806678" w:rsidRDefault="00B16377">
          <w:pPr>
            <w:jc w:val="right"/>
            <w:rPr>
              <w:szCs w:val="21"/>
            </w:rPr>
          </w:pPr>
          <w:r>
            <w:rPr>
              <w:rFonts w:hint="eastAsia"/>
              <w:szCs w:val="21"/>
            </w:rPr>
            <w:t>单位：</w:t>
          </w:r>
          <w:sdt>
            <w:sdtPr>
              <w:rPr>
                <w:rFonts w:hint="eastAsia"/>
                <w:szCs w:val="21"/>
              </w:rPr>
              <w:alias w:val="单位：财务附注：资产负债表日后利润分配情况说明"/>
              <w:tag w:val="_GBC_6424df7632ca4cf5ab9e9760e3119d62"/>
              <w:id w:val="-154220401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资产负债表日后利润分配情况说明"/>
              <w:tag w:val="_GBC_e75fd1607c614d249844c767ceffa84e"/>
              <w:id w:val="199028885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23"/>
            <w:gridCol w:w="5326"/>
          </w:tblGrid>
          <w:tr w:rsidR="00806678" w:rsidTr="00DE1C41">
            <w:sdt>
              <w:sdtPr>
                <w:tag w:val="_PLD_bf262968d8f642798440b0d07b3a1dda"/>
                <w:id w:val="-1435979552"/>
                <w:lock w:val="sdtLocked"/>
              </w:sdtPr>
              <w:sdtContent>
                <w:tc>
                  <w:tcPr>
                    <w:tcW w:w="2057" w:type="pct"/>
                    <w:tcBorders>
                      <w:top w:val="single" w:sz="4" w:space="0" w:color="auto"/>
                      <w:left w:val="single" w:sz="4" w:space="0" w:color="auto"/>
                      <w:bottom w:val="single" w:sz="4" w:space="0" w:color="auto"/>
                      <w:right w:val="single" w:sz="4" w:space="0" w:color="auto"/>
                    </w:tcBorders>
                  </w:tcPr>
                  <w:p w:rsidR="00806678" w:rsidRDefault="00B16377">
                    <w:pPr>
                      <w:rPr>
                        <w:szCs w:val="21"/>
                      </w:rPr>
                    </w:pPr>
                    <w:r>
                      <w:rPr>
                        <w:rFonts w:hint="eastAsia"/>
                        <w:szCs w:val="21"/>
                      </w:rPr>
                      <w:t>拟分配的利润或股利</w:t>
                    </w:r>
                  </w:p>
                </w:tc>
              </w:sdtContent>
            </w:sdt>
            <w:sdt>
              <w:sdtPr>
                <w:rPr>
                  <w:szCs w:val="21"/>
                </w:rPr>
                <w:alias w:val="资产负债表日后拟分配的利润或股利"/>
                <w:tag w:val="_GBC_3add72466c2e49709858581a726eb392"/>
                <w:id w:val="-1055697415"/>
                <w:lock w:val="sdtLocked"/>
              </w:sdtPr>
              <w:sdtContent>
                <w:tc>
                  <w:tcPr>
                    <w:tcW w:w="2943" w:type="pct"/>
                    <w:tcBorders>
                      <w:top w:val="single" w:sz="4" w:space="0" w:color="auto"/>
                      <w:left w:val="single" w:sz="4" w:space="0" w:color="auto"/>
                      <w:bottom w:val="single" w:sz="4" w:space="0" w:color="auto"/>
                      <w:right w:val="single" w:sz="4" w:space="0" w:color="auto"/>
                    </w:tcBorders>
                  </w:tcPr>
                  <w:p w:rsidR="00806678" w:rsidRDefault="00917D06">
                    <w:pPr>
                      <w:jc w:val="right"/>
                      <w:rPr>
                        <w:szCs w:val="21"/>
                      </w:rPr>
                    </w:pPr>
                    <w:r w:rsidRPr="00917D06">
                      <w:rPr>
                        <w:szCs w:val="21"/>
                      </w:rPr>
                      <w:t>7,136,134,035</w:t>
                    </w:r>
                  </w:p>
                </w:tc>
              </w:sdtContent>
            </w:sdt>
          </w:tr>
          <w:tr w:rsidR="00806678" w:rsidTr="00DE1C41">
            <w:sdt>
              <w:sdtPr>
                <w:tag w:val="_PLD_3700532321ff4d58acce19d491336488"/>
                <w:id w:val="-568114700"/>
                <w:lock w:val="sdtLocked"/>
              </w:sdtPr>
              <w:sdtContent>
                <w:tc>
                  <w:tcPr>
                    <w:tcW w:w="2057" w:type="pct"/>
                    <w:tcBorders>
                      <w:top w:val="single" w:sz="4" w:space="0" w:color="auto"/>
                      <w:left w:val="single" w:sz="4" w:space="0" w:color="auto"/>
                      <w:bottom w:val="single" w:sz="4" w:space="0" w:color="auto"/>
                      <w:right w:val="single" w:sz="4" w:space="0" w:color="auto"/>
                    </w:tcBorders>
                  </w:tcPr>
                  <w:p w:rsidR="00806678" w:rsidRDefault="00B16377">
                    <w:pPr>
                      <w:rPr>
                        <w:szCs w:val="21"/>
                      </w:rPr>
                    </w:pPr>
                    <w:r>
                      <w:rPr>
                        <w:rFonts w:hint="eastAsia"/>
                        <w:szCs w:val="21"/>
                      </w:rPr>
                      <w:t>经审议批准宣告发放的利润或股利</w:t>
                    </w:r>
                  </w:p>
                </w:tc>
              </w:sdtContent>
            </w:sdt>
            <w:tc>
              <w:tcPr>
                <w:tcW w:w="2943" w:type="pct"/>
                <w:tcBorders>
                  <w:top w:val="single" w:sz="4" w:space="0" w:color="auto"/>
                  <w:left w:val="single" w:sz="4" w:space="0" w:color="auto"/>
                  <w:bottom w:val="single" w:sz="4" w:space="0" w:color="auto"/>
                  <w:right w:val="single" w:sz="4" w:space="0" w:color="auto"/>
                </w:tcBorders>
              </w:tcPr>
              <w:p w:rsidR="00806678" w:rsidRDefault="00917D06">
                <w:pPr>
                  <w:jc w:val="right"/>
                  <w:rPr>
                    <w:szCs w:val="21"/>
                  </w:rPr>
                </w:pPr>
                <w:r w:rsidRPr="00917D06">
                  <w:rPr>
                    <w:szCs w:val="21"/>
                  </w:rPr>
                  <w:t>7,136,134,035</w:t>
                </w:r>
              </w:p>
            </w:tc>
          </w:tr>
        </w:tbl>
        <w:p w:rsidR="00917D06" w:rsidRDefault="00917D06" w:rsidP="00917D06">
          <w:pPr>
            <w:overflowPunct w:val="0"/>
            <w:adjustRightInd w:val="0"/>
            <w:snapToGrid w:val="0"/>
            <w:rPr>
              <w:rFonts w:cs="Arial"/>
              <w:sz w:val="22"/>
              <w:szCs w:val="22"/>
            </w:rPr>
          </w:pPr>
        </w:p>
        <w:p w:rsidR="00917D06" w:rsidRDefault="00917D06" w:rsidP="00917D06">
          <w:pPr>
            <w:overflowPunct w:val="0"/>
            <w:adjustRightInd w:val="0"/>
            <w:snapToGrid w:val="0"/>
            <w:rPr>
              <w:rFonts w:cs="Arial"/>
              <w:sz w:val="22"/>
              <w:szCs w:val="22"/>
            </w:rPr>
          </w:pPr>
          <w:r w:rsidRPr="001F185D">
            <w:rPr>
              <w:rFonts w:cs="Arial" w:hint="eastAsia"/>
              <w:sz w:val="22"/>
              <w:szCs w:val="22"/>
            </w:rPr>
            <w:t>根据202</w:t>
          </w:r>
          <w:r w:rsidRPr="001F185D">
            <w:rPr>
              <w:rFonts w:cs="Arial"/>
              <w:sz w:val="22"/>
              <w:szCs w:val="22"/>
            </w:rPr>
            <w:t>3</w:t>
          </w:r>
          <w:r w:rsidRPr="001F185D">
            <w:rPr>
              <w:rFonts w:cs="Arial" w:hint="eastAsia"/>
              <w:sz w:val="22"/>
              <w:szCs w:val="22"/>
            </w:rPr>
            <w:t>年4月</w:t>
          </w:r>
          <w:r w:rsidRPr="001F185D">
            <w:rPr>
              <w:rFonts w:cs="Arial"/>
              <w:sz w:val="22"/>
              <w:szCs w:val="22"/>
            </w:rPr>
            <w:t>25</w:t>
          </w:r>
          <w:r w:rsidRPr="001F185D">
            <w:rPr>
              <w:rFonts w:cs="Arial" w:hint="eastAsia"/>
              <w:sz w:val="22"/>
              <w:szCs w:val="22"/>
            </w:rPr>
            <w:t>日董事会决议，董事会提议本公司以202</w:t>
          </w:r>
          <w:r w:rsidRPr="001F185D">
            <w:rPr>
              <w:rFonts w:cs="Arial"/>
              <w:sz w:val="22"/>
              <w:szCs w:val="22"/>
            </w:rPr>
            <w:t>2</w:t>
          </w:r>
          <w:r w:rsidRPr="001F185D">
            <w:rPr>
              <w:rFonts w:cs="Arial" w:hint="eastAsia"/>
              <w:sz w:val="22"/>
              <w:szCs w:val="22"/>
            </w:rPr>
            <w:t>年末公司总股本14,866,9</w:t>
          </w:r>
          <w:r w:rsidRPr="001F185D">
            <w:rPr>
              <w:rFonts w:cs="Arial"/>
              <w:sz w:val="22"/>
              <w:szCs w:val="22"/>
            </w:rPr>
            <w:t>45</w:t>
          </w:r>
          <w:r w:rsidRPr="001F185D">
            <w:rPr>
              <w:rFonts w:cs="Arial" w:hint="eastAsia"/>
              <w:sz w:val="22"/>
              <w:szCs w:val="22"/>
            </w:rPr>
            <w:t>,</w:t>
          </w:r>
          <w:r w:rsidRPr="001F185D">
            <w:rPr>
              <w:rFonts w:cs="Arial"/>
              <w:sz w:val="22"/>
              <w:szCs w:val="22"/>
            </w:rPr>
            <w:t>907</w:t>
          </w:r>
          <w:r w:rsidRPr="001F185D">
            <w:rPr>
              <w:rFonts w:cs="Arial" w:hint="eastAsia"/>
              <w:sz w:val="22"/>
              <w:szCs w:val="22"/>
            </w:rPr>
            <w:t>股为基数，每股派现金股利0.48元 (含税)，共分配现金股利人民币7,136,</w:t>
          </w:r>
          <w:r w:rsidRPr="001F185D">
            <w:rPr>
              <w:rFonts w:cs="Arial"/>
              <w:sz w:val="22"/>
              <w:szCs w:val="22"/>
            </w:rPr>
            <w:t>134</w:t>
          </w:r>
          <w:r w:rsidRPr="001F185D">
            <w:rPr>
              <w:rFonts w:cs="Arial" w:hint="eastAsia"/>
              <w:sz w:val="22"/>
              <w:szCs w:val="22"/>
            </w:rPr>
            <w:t>,</w:t>
          </w:r>
          <w:r w:rsidRPr="001F185D">
            <w:rPr>
              <w:rFonts w:cs="Arial"/>
              <w:sz w:val="22"/>
              <w:szCs w:val="22"/>
            </w:rPr>
            <w:t>035</w:t>
          </w:r>
          <w:r w:rsidRPr="001F185D">
            <w:rPr>
              <w:rFonts w:cs="Arial" w:hint="eastAsia"/>
              <w:sz w:val="22"/>
              <w:szCs w:val="22"/>
            </w:rPr>
            <w:t>元。由于公司公开发行的可转换公司债券已于2021年6月18日进入转股期，上述利润分配方案披露之日起至实施利润分配股权登记日期间，公司总股本存在增加的可能。公司拟维持每股现金分红的金额不变，最终将以利润分配股权登记日的总股本数量为基数，相应调整派发现金股利总额。</w:t>
          </w:r>
        </w:p>
        <w:p w:rsidR="00917D06" w:rsidRDefault="00917D06" w:rsidP="00917D06">
          <w:pPr>
            <w:overflowPunct w:val="0"/>
            <w:adjustRightInd w:val="0"/>
            <w:snapToGrid w:val="0"/>
            <w:rPr>
              <w:rFonts w:cs="Arial"/>
              <w:sz w:val="22"/>
              <w:szCs w:val="22"/>
            </w:rPr>
          </w:pPr>
        </w:p>
        <w:p w:rsidR="00917D06" w:rsidRPr="001F185D" w:rsidRDefault="00917D06" w:rsidP="00917D06">
          <w:pPr>
            <w:overflowPunct w:val="0"/>
            <w:adjustRightInd w:val="0"/>
            <w:snapToGrid w:val="0"/>
            <w:rPr>
              <w:rFonts w:cs="Arial"/>
              <w:sz w:val="22"/>
              <w:szCs w:val="22"/>
            </w:rPr>
          </w:pPr>
          <w:r w:rsidRPr="001F185D">
            <w:rPr>
              <w:rFonts w:cs="Arial" w:hint="eastAsia"/>
              <w:sz w:val="22"/>
              <w:szCs w:val="22"/>
            </w:rPr>
            <w:t>该利润分配决议尚待股东大会批准，未在本财务报表中确认为负债。</w:t>
          </w:r>
        </w:p>
        <w:p w:rsidR="00806678" w:rsidRDefault="00F80B6C"/>
      </w:sdtContent>
    </w:sdt>
    <w:sdt>
      <w:sdtPr>
        <w:rPr>
          <w:rFonts w:ascii="宋体" w:hAnsi="宋体" w:cs="宋体"/>
          <w:b w:val="0"/>
          <w:bCs w:val="0"/>
          <w:kern w:val="0"/>
          <w:szCs w:val="21"/>
        </w:rPr>
        <w:alias w:val="模块:资产负债表日后事项-销售退回说明"/>
        <w:tag w:val="_SEC_6346fe8809f74901abff74c752033e25"/>
        <w:id w:val="1059441252"/>
        <w:lock w:val="sdtLocked"/>
        <w:placeholder>
          <w:docPart w:val="GBC22222222222222222222222222222"/>
        </w:placeholder>
      </w:sdtPr>
      <w:sdtContent>
        <w:p w:rsidR="00806678" w:rsidRPr="001C6677" w:rsidRDefault="00B16377" w:rsidP="00FF17C7">
          <w:pPr>
            <w:pStyle w:val="3"/>
            <w:numPr>
              <w:ilvl w:val="0"/>
              <w:numId w:val="57"/>
            </w:numPr>
            <w:rPr>
              <w:rFonts w:asciiTheme="majorEastAsia" w:eastAsiaTheme="majorEastAsia" w:hAnsiTheme="majorEastAsia"/>
            </w:rPr>
          </w:pPr>
          <w:r w:rsidRPr="001C6677">
            <w:rPr>
              <w:rFonts w:asciiTheme="majorEastAsia" w:eastAsiaTheme="majorEastAsia" w:hAnsiTheme="majorEastAsia" w:hint="eastAsia"/>
              <w:szCs w:val="21"/>
            </w:rPr>
            <w:t>销售</w:t>
          </w:r>
          <w:r w:rsidRPr="001C6677">
            <w:rPr>
              <w:rFonts w:asciiTheme="majorEastAsia" w:eastAsiaTheme="majorEastAsia" w:hAnsiTheme="majorEastAsia" w:hint="eastAsia"/>
            </w:rPr>
            <w:t>退回</w:t>
          </w:r>
        </w:p>
        <w:sdt>
          <w:sdtPr>
            <w:alias w:val="是否适用：销售退回[双击切换]"/>
            <w:tag w:val="_GBC_7fb2ecaa1ffb494486f4a8b2e94240d2"/>
            <w:id w:val="845444715"/>
            <w:lock w:val="sdtLocked"/>
            <w:placeholder>
              <w:docPart w:val="GBC22222222222222222222222222222"/>
            </w:placeholder>
          </w:sdtPr>
          <w:sdtContent>
            <w:p w:rsidR="00CE55F0" w:rsidRDefault="00F80B6C">
              <w:pPr>
                <w:rPr>
                  <w:szCs w:val="21"/>
                </w:rPr>
              </w:pPr>
              <w:r>
                <w:fldChar w:fldCharType="begin"/>
              </w:r>
              <w:r w:rsidR="00CE55F0">
                <w:instrText xml:space="preserve">MACROBUTTON  SnrToggleCheckbox □适用 </w:instrText>
              </w:r>
              <w:r>
                <w:fldChar w:fldCharType="end"/>
              </w:r>
              <w:r>
                <w:fldChar w:fldCharType="begin"/>
              </w:r>
              <w:r w:rsidR="00CE55F0">
                <w:instrText xml:space="preserve"> MACROBUTTON  SnrToggleCheckbox √不适用 </w:instrText>
              </w:r>
              <w:r>
                <w:fldChar w:fldCharType="end"/>
              </w:r>
            </w:p>
            <w:p w:rsidR="00806678" w:rsidRDefault="00F80B6C">
              <w:pPr>
                <w:rPr>
                  <w:szCs w:val="21"/>
                </w:rPr>
              </w:pPr>
            </w:p>
          </w:sdtContent>
        </w:sdt>
      </w:sdtContent>
    </w:sdt>
    <w:sdt>
      <w:sdtPr>
        <w:rPr>
          <w:rFonts w:ascii="宋体" w:hAnsi="宋体" w:cs="宋体" w:hint="eastAsia"/>
          <w:b w:val="0"/>
          <w:bCs w:val="0"/>
          <w:kern w:val="0"/>
          <w:szCs w:val="24"/>
        </w:rPr>
        <w:alias w:val="模块:其他资产负债表日后事项说明"/>
        <w:tag w:val="_SEC_776c6ddc183543f7a3beb6d8a088d64e"/>
        <w:id w:val="999004685"/>
        <w:lock w:val="sdtLocked"/>
        <w:placeholder>
          <w:docPart w:val="GBC22222222222222222222222222222"/>
        </w:placeholder>
      </w:sdtPr>
      <w:sdtContent>
        <w:p w:rsidR="00806678" w:rsidRPr="001C6677" w:rsidRDefault="00B16377" w:rsidP="00FF17C7">
          <w:pPr>
            <w:pStyle w:val="3"/>
            <w:numPr>
              <w:ilvl w:val="0"/>
              <w:numId w:val="57"/>
            </w:numPr>
            <w:rPr>
              <w:rFonts w:asciiTheme="majorEastAsia" w:eastAsiaTheme="majorEastAsia" w:hAnsiTheme="majorEastAsia"/>
            </w:rPr>
          </w:pPr>
          <w:r w:rsidRPr="001C6677">
            <w:rPr>
              <w:rFonts w:asciiTheme="majorEastAsia" w:eastAsiaTheme="majorEastAsia" w:hAnsiTheme="majorEastAsia" w:hint="eastAsia"/>
            </w:rPr>
            <w:t>其他资产负债表日后事项说明</w:t>
          </w:r>
        </w:p>
        <w:sdt>
          <w:sdtPr>
            <w:rPr>
              <w:rFonts w:hint="eastAsia"/>
            </w:rPr>
            <w:alias w:val="是否适用：其他资产负债表日后事项说明[双击切换]"/>
            <w:tag w:val="_GBC_4fc0f824aaea4ed096cae3b9f97ff314"/>
            <w:id w:val="964775057"/>
            <w:lock w:val="sdtLocked"/>
            <w:placeholder>
              <w:docPart w:val="GBC22222222222222222222222222222"/>
            </w:placeholder>
          </w:sdtPr>
          <w:sdtContent>
            <w:p w:rsidR="00806678" w:rsidRDefault="00F80B6C" w:rsidP="00917D06">
              <w:r>
                <w:fldChar w:fldCharType="begin"/>
              </w:r>
              <w:r w:rsidR="00917D06">
                <w:instrText xml:space="preserve"> MACROBUTTON  SnrToggleCheckbox □适用  </w:instrText>
              </w:r>
              <w:r>
                <w:fldChar w:fldCharType="end"/>
              </w:r>
              <w:r>
                <w:fldChar w:fldCharType="begin"/>
              </w:r>
              <w:r w:rsidR="00917D06">
                <w:instrText xml:space="preserve"> MACROBUTTON  SnrToggleCheckbox √不适用 </w:instrText>
              </w:r>
              <w:r>
                <w:fldChar w:fldCharType="end"/>
              </w:r>
            </w:p>
          </w:sdtContent>
        </w:sdt>
        <w:bookmarkStart w:id="258" w:name="_Hlk132041361" w:displacedByCustomXml="next"/>
      </w:sdtContent>
    </w:sdt>
    <w:bookmarkEnd w:id="258" w:displacedByCustomXml="prev"/>
    <w:p w:rsidR="00806678" w:rsidRDefault="00806678">
      <w:pPr>
        <w:rPr>
          <w:szCs w:val="21"/>
        </w:rPr>
      </w:pPr>
    </w:p>
    <w:p w:rsidR="00806678" w:rsidRDefault="00B16377" w:rsidP="00FF17C7">
      <w:pPr>
        <w:pStyle w:val="2"/>
        <w:numPr>
          <w:ilvl w:val="0"/>
          <w:numId w:val="37"/>
        </w:numPr>
      </w:pPr>
      <w:r>
        <w:rPr>
          <w:rFonts w:hint="eastAsia"/>
        </w:rPr>
        <w:t>其他重要事项</w:t>
      </w:r>
    </w:p>
    <w:p w:rsidR="00806678" w:rsidRDefault="00B16377" w:rsidP="00FF17C7">
      <w:pPr>
        <w:pStyle w:val="3"/>
        <w:numPr>
          <w:ilvl w:val="0"/>
          <w:numId w:val="58"/>
        </w:numPr>
      </w:pPr>
      <w:r>
        <w:rPr>
          <w:rFonts w:hint="eastAsia"/>
        </w:rPr>
        <w:t>前期会计差错更正</w:t>
      </w:r>
    </w:p>
    <w:sdt>
      <w:sdtPr>
        <w:rPr>
          <w:rFonts w:ascii="宋体" w:eastAsia="宋体" w:hAnsi="宋体" w:cs="宋体" w:hint="eastAsia"/>
          <w:b w:val="0"/>
          <w:bCs w:val="0"/>
          <w:kern w:val="0"/>
          <w:szCs w:val="21"/>
        </w:rPr>
        <w:alias w:val="模块:会计差错更正(追溯重述)"/>
        <w:tag w:val="_SEC_4c087918288648c6a9deb057067a9fc5"/>
        <w:id w:val="2115553333"/>
        <w:lock w:val="sdtLocked"/>
        <w:placeholder>
          <w:docPart w:val="GBC22222222222222222222222222222"/>
        </w:placeholder>
      </w:sdtPr>
      <w:sdtEndPr>
        <w:rPr>
          <w:rFonts w:hint="default"/>
          <w:szCs w:val="24"/>
        </w:rPr>
      </w:sdtEndPr>
      <w:sdtContent>
        <w:p w:rsidR="00806678" w:rsidRDefault="00B16377" w:rsidP="00FF17C7">
          <w:pPr>
            <w:pStyle w:val="4"/>
            <w:numPr>
              <w:ilvl w:val="3"/>
              <w:numId w:val="108"/>
            </w:numPr>
            <w:ind w:left="424" w:hangingChars="202" w:hanging="424"/>
          </w:pPr>
          <w:r>
            <w:rPr>
              <w:rFonts w:hint="eastAsia"/>
            </w:rPr>
            <w:t>追溯重述法</w:t>
          </w:r>
        </w:p>
        <w:sdt>
          <w:sdtPr>
            <w:rPr>
              <w:rFonts w:hint="eastAsia"/>
              <w:szCs w:val="21"/>
            </w:rPr>
            <w:alias w:val="是否适用：追溯重述法[双击切换]"/>
            <w:tag w:val="_GBC_19d462bfe01047cd87b083dddf885193"/>
            <w:id w:val="18058296"/>
            <w:lock w:val="sdtLocked"/>
            <w:placeholder>
              <w:docPart w:val="GBC22222222222222222222222222222"/>
            </w:placeholder>
          </w:sdtPr>
          <w:sdtContent>
            <w:p w:rsidR="00806678" w:rsidRDefault="00F80B6C" w:rsidP="00C70402">
              <w:r>
                <w:rPr>
                  <w:szCs w:val="21"/>
                </w:rPr>
                <w:fldChar w:fldCharType="begin"/>
              </w:r>
              <w:r w:rsidR="00C70402">
                <w:rPr>
                  <w:szCs w:val="21"/>
                </w:rPr>
                <w:instrText xml:space="preserve">MACROBUTTON  SnrToggleCheckbox □适用 </w:instrText>
              </w:r>
              <w:r>
                <w:rPr>
                  <w:szCs w:val="21"/>
                </w:rPr>
                <w:fldChar w:fldCharType="end"/>
              </w:r>
              <w:r>
                <w:rPr>
                  <w:szCs w:val="21"/>
                </w:rPr>
                <w:fldChar w:fldCharType="begin"/>
              </w:r>
              <w:r w:rsidR="00C70402">
                <w:rPr>
                  <w:szCs w:val="21"/>
                </w:rPr>
                <w:instrText xml:space="preserve"> MACROBUTTON  SnrToggleCheckbox √不适用 </w:instrText>
              </w:r>
              <w:r>
                <w:rPr>
                  <w:szCs w:val="21"/>
                </w:rPr>
                <w:fldChar w:fldCharType="end"/>
              </w:r>
            </w:p>
          </w:sdtContent>
        </w:sdt>
      </w:sdtContent>
    </w:sdt>
    <w:sdt>
      <w:sdtPr>
        <w:rPr>
          <w:rFonts w:ascii="宋体" w:eastAsia="宋体" w:hAnsi="宋体" w:cs="宋体" w:hint="eastAsia"/>
          <w:b w:val="0"/>
          <w:bCs w:val="0"/>
          <w:kern w:val="0"/>
          <w:szCs w:val="24"/>
        </w:rPr>
        <w:alias w:val="模块:未来适用法本报告期是否发现采用未来适用法的前期会计差错：（..."/>
        <w:tag w:val="_SEC_77642b56d283484890d54c9ec194b354"/>
        <w:id w:val="1106769971"/>
        <w:lock w:val="sdtLocked"/>
        <w:placeholder>
          <w:docPart w:val="GBC22222222222222222222222222222"/>
        </w:placeholder>
      </w:sdtPr>
      <w:sdtEndPr>
        <w:rPr>
          <w:rFonts w:hint="default"/>
        </w:rPr>
      </w:sdtEndPr>
      <w:sdtContent>
        <w:p w:rsidR="00806678" w:rsidRDefault="00B16377" w:rsidP="00FF17C7">
          <w:pPr>
            <w:pStyle w:val="4"/>
            <w:numPr>
              <w:ilvl w:val="3"/>
              <w:numId w:val="108"/>
            </w:numPr>
            <w:ind w:left="424" w:hangingChars="202" w:hanging="424"/>
          </w:pPr>
          <w:r>
            <w:rPr>
              <w:rFonts w:hint="eastAsia"/>
            </w:rPr>
            <w:t>未来适用法</w:t>
          </w:r>
        </w:p>
        <w:sdt>
          <w:sdtPr>
            <w:alias w:val="是否适用：未来适用法[双击切换]"/>
            <w:tag w:val="_GBC_6fd6421ddf524335aa8fac02bc322e70"/>
            <w:id w:val="-2026244243"/>
            <w:lock w:val="sdtLocked"/>
            <w:placeholder>
              <w:docPart w:val="GBC22222222222222222222222222222"/>
            </w:placeholder>
          </w:sdtPr>
          <w:sdtContent>
            <w:p w:rsidR="00806678" w:rsidRDefault="00F80B6C" w:rsidP="00C70402">
              <w:r>
                <w:fldChar w:fldCharType="begin"/>
              </w:r>
              <w:r w:rsidR="00C70402">
                <w:instrText xml:space="preserve">MACROBUTTON  SnrToggleCheckbox □适用 </w:instrText>
              </w:r>
              <w:r>
                <w:fldChar w:fldCharType="end"/>
              </w:r>
              <w:r>
                <w:fldChar w:fldCharType="begin"/>
              </w:r>
              <w:r w:rsidR="00C70402">
                <w:instrText xml:space="preserve"> MACROBUTTON  SnrToggleCheckbox √不适用 </w:instrText>
              </w:r>
              <w:r>
                <w:fldChar w:fldCharType="end"/>
              </w:r>
            </w:p>
          </w:sdtContent>
        </w:sdt>
      </w:sdtContent>
    </w:sdt>
    <w:sdt>
      <w:sdtPr>
        <w:rPr>
          <w:rFonts w:ascii="宋体" w:hAnsi="宋体" w:cs="宋体" w:hint="eastAsia"/>
          <w:b w:val="0"/>
          <w:bCs w:val="0"/>
          <w:kern w:val="0"/>
          <w:szCs w:val="24"/>
        </w:rPr>
        <w:alias w:val="模块:债务重组"/>
        <w:tag w:val="_SEC_010853a024e74ff2955558ced7301626"/>
        <w:id w:val="1224258172"/>
        <w:lock w:val="sdtLocked"/>
        <w:placeholder>
          <w:docPart w:val="GBC22222222222222222222222222222"/>
        </w:placeholder>
      </w:sdtPr>
      <w:sdtEndPr>
        <w:rPr>
          <w:rFonts w:asciiTheme="minorHAnsi" w:eastAsiaTheme="minorEastAsia" w:hAnsiTheme="minorHAnsi" w:cstheme="minorBidi"/>
          <w:szCs w:val="21"/>
        </w:rPr>
      </w:sdtEndPr>
      <w:sdtContent>
        <w:p w:rsidR="00806678" w:rsidRDefault="00B16377" w:rsidP="00FF17C7">
          <w:pPr>
            <w:pStyle w:val="3"/>
            <w:numPr>
              <w:ilvl w:val="0"/>
              <w:numId w:val="58"/>
            </w:numPr>
          </w:pPr>
          <w:r>
            <w:rPr>
              <w:rFonts w:hint="eastAsia"/>
            </w:rPr>
            <w:t>债务重组</w:t>
          </w:r>
        </w:p>
        <w:sdt>
          <w:sdtPr>
            <w:alias w:val="是否适用：债务重组[双击切换]"/>
            <w:tag w:val="_GBC_1697accce6f645f7a5b19e8e900eb26c"/>
            <w:id w:val="836419151"/>
            <w:lock w:val="sdtLocked"/>
            <w:placeholder>
              <w:docPart w:val="GBC22222222222222222222222222222"/>
            </w:placeholder>
          </w:sdtPr>
          <w:sdtContent>
            <w:p w:rsidR="00806678" w:rsidRDefault="00F80B6C">
              <w:pPr>
                <w:rPr>
                  <w:szCs w:val="21"/>
                </w:rPr>
              </w:pPr>
              <w:r>
                <w:fldChar w:fldCharType="begin"/>
              </w:r>
              <w:r w:rsidR="00C70402">
                <w:instrText xml:space="preserve">MACROBUTTON  SnrToggleCheckbox □适用 </w:instrText>
              </w:r>
              <w:r>
                <w:fldChar w:fldCharType="end"/>
              </w:r>
              <w:r>
                <w:fldChar w:fldCharType="begin"/>
              </w:r>
              <w:r w:rsidR="00C70402">
                <w:instrText xml:space="preserve"> MACROBUTTON  SnrToggleCheckbox √不适用 </w:instrText>
              </w:r>
              <w:r>
                <w:fldChar w:fldCharType="end"/>
              </w:r>
            </w:p>
          </w:sdtContent>
        </w:sdt>
      </w:sdtContent>
    </w:sdt>
    <w:p w:rsidR="00806678" w:rsidRDefault="00B16377" w:rsidP="00FF17C7">
      <w:pPr>
        <w:pStyle w:val="3"/>
        <w:numPr>
          <w:ilvl w:val="0"/>
          <w:numId w:val="58"/>
        </w:numPr>
      </w:pPr>
      <w:r>
        <w:rPr>
          <w:rFonts w:hint="eastAsia"/>
        </w:rPr>
        <w:lastRenderedPageBreak/>
        <w:t>资产置换</w:t>
      </w:r>
    </w:p>
    <w:sdt>
      <w:sdtPr>
        <w:rPr>
          <w:rFonts w:ascii="宋体" w:eastAsia="宋体" w:hAnsi="宋体" w:cs="宋体" w:hint="eastAsia"/>
          <w:b w:val="0"/>
          <w:bCs w:val="0"/>
          <w:kern w:val="0"/>
          <w:szCs w:val="24"/>
        </w:rPr>
        <w:alias w:val="模块:非货币性资产交换"/>
        <w:tag w:val="_SEC_a959a47edc2446e5acfd29b49364046c"/>
        <w:id w:val="1558503476"/>
        <w:lock w:val="sdtLocked"/>
        <w:placeholder>
          <w:docPart w:val="GBC22222222222222222222222222222"/>
        </w:placeholder>
      </w:sdtPr>
      <w:sdtEndPr>
        <w:rPr>
          <w:rFonts w:asciiTheme="minorHAnsi" w:hAnsiTheme="minorHAnsi" w:cstheme="minorBidi"/>
          <w:szCs w:val="21"/>
        </w:rPr>
      </w:sdtEndPr>
      <w:sdtContent>
        <w:p w:rsidR="00806678" w:rsidRDefault="00B16377" w:rsidP="00FF17C7">
          <w:pPr>
            <w:pStyle w:val="4"/>
            <w:numPr>
              <w:ilvl w:val="3"/>
              <w:numId w:val="109"/>
            </w:numPr>
            <w:ind w:left="424" w:hangingChars="202" w:hanging="424"/>
          </w:pPr>
          <w:r>
            <w:rPr>
              <w:rFonts w:hint="eastAsia"/>
            </w:rPr>
            <w:t>非货币性资产交换</w:t>
          </w:r>
        </w:p>
        <w:sdt>
          <w:sdtPr>
            <w:rPr>
              <w:rFonts w:hint="eastAsia"/>
              <w:szCs w:val="21"/>
            </w:rPr>
            <w:alias w:val="是否适用：非货币性资产交换[双击切换]"/>
            <w:tag w:val="_GBC_480975ada702478dae8a1468d6e0c3cd"/>
            <w:id w:val="-1199621872"/>
            <w:lock w:val="sdtLocked"/>
            <w:placeholder>
              <w:docPart w:val="GBC22222222222222222222222222222"/>
            </w:placeholder>
          </w:sdtPr>
          <w:sdtContent>
            <w:p w:rsidR="00806678" w:rsidRDefault="00F80B6C" w:rsidP="00C70402">
              <w:pPr>
                <w:spacing w:line="360" w:lineRule="exact"/>
                <w:ind w:right="5"/>
                <w:rPr>
                  <w:szCs w:val="21"/>
                </w:rPr>
              </w:pPr>
              <w:r>
                <w:rPr>
                  <w:szCs w:val="21"/>
                </w:rPr>
                <w:fldChar w:fldCharType="begin"/>
              </w:r>
              <w:r w:rsidR="00C70402">
                <w:rPr>
                  <w:szCs w:val="21"/>
                </w:rPr>
                <w:instrText xml:space="preserve"> MACROBUTTON  SnrToggleCheckbox □适用  </w:instrText>
              </w:r>
              <w:r>
                <w:rPr>
                  <w:szCs w:val="21"/>
                </w:rPr>
                <w:fldChar w:fldCharType="end"/>
              </w:r>
              <w:r>
                <w:rPr>
                  <w:szCs w:val="21"/>
                </w:rPr>
                <w:fldChar w:fldCharType="begin"/>
              </w:r>
              <w:r w:rsidR="00C70402">
                <w:rPr>
                  <w:szCs w:val="21"/>
                </w:rPr>
                <w:instrText xml:space="preserve"> MACROBUTTON  SnrToggleCheckbox √不适用 </w:instrText>
              </w:r>
              <w:r>
                <w:rPr>
                  <w:szCs w:val="21"/>
                </w:rPr>
                <w:fldChar w:fldCharType="end"/>
              </w:r>
            </w:p>
          </w:sdtContent>
        </w:sdt>
      </w:sdtContent>
    </w:sdt>
    <w:sdt>
      <w:sdtPr>
        <w:rPr>
          <w:rFonts w:ascii="宋体" w:eastAsia="宋体" w:hAnsi="宋体" w:cs="宋体" w:hint="eastAsia"/>
          <w:b w:val="0"/>
          <w:bCs w:val="0"/>
          <w:kern w:val="0"/>
          <w:szCs w:val="24"/>
        </w:rPr>
        <w:alias w:val="模块:其他资产置换资产说明"/>
        <w:tag w:val="_SEC_1d69b9d18d514fd19619562c4673a46d"/>
        <w:id w:val="-1545441316"/>
        <w:lock w:val="sdtLocked"/>
        <w:placeholder>
          <w:docPart w:val="GBC22222222222222222222222222222"/>
        </w:placeholder>
      </w:sdtPr>
      <w:sdtEndPr>
        <w:rPr>
          <w:rFonts w:asciiTheme="minorHAnsi" w:hAnsiTheme="minorHAnsi" w:cstheme="minorBidi"/>
        </w:rPr>
      </w:sdtEndPr>
      <w:sdtContent>
        <w:p w:rsidR="00806678" w:rsidRDefault="00B16377" w:rsidP="00FF17C7">
          <w:pPr>
            <w:pStyle w:val="4"/>
            <w:numPr>
              <w:ilvl w:val="3"/>
              <w:numId w:val="109"/>
            </w:numPr>
            <w:ind w:left="424" w:hangingChars="202" w:hanging="424"/>
          </w:pPr>
          <w:r>
            <w:rPr>
              <w:rFonts w:hint="eastAsia"/>
            </w:rPr>
            <w:t>其他资产置换</w:t>
          </w:r>
        </w:p>
        <w:sdt>
          <w:sdtPr>
            <w:rPr>
              <w:rFonts w:hint="eastAsia"/>
              <w:szCs w:val="21"/>
            </w:rPr>
            <w:alias w:val="是否适用：其他资产置换[双击切换]"/>
            <w:tag w:val="_GBC_d4d75cf02549483681739e6eb10910ff"/>
            <w:id w:val="1263644826"/>
            <w:lock w:val="sdtLocked"/>
            <w:placeholder>
              <w:docPart w:val="GBC22222222222222222222222222222"/>
            </w:placeholder>
          </w:sdtPr>
          <w:sdtContent>
            <w:p w:rsidR="00806678" w:rsidRPr="00C70402" w:rsidRDefault="00F80B6C">
              <w:pPr>
                <w:rPr>
                  <w:szCs w:val="21"/>
                </w:rPr>
              </w:pPr>
              <w:r>
                <w:rPr>
                  <w:szCs w:val="21"/>
                </w:rPr>
                <w:fldChar w:fldCharType="begin"/>
              </w:r>
              <w:r w:rsidR="00C70402">
                <w:rPr>
                  <w:szCs w:val="21"/>
                </w:rPr>
                <w:instrText xml:space="preserve"> MACROBUTTON  SnrToggleCheckbox □适用  </w:instrText>
              </w:r>
              <w:r>
                <w:rPr>
                  <w:szCs w:val="21"/>
                </w:rPr>
                <w:fldChar w:fldCharType="end"/>
              </w:r>
              <w:r>
                <w:rPr>
                  <w:szCs w:val="21"/>
                </w:rPr>
                <w:fldChar w:fldCharType="begin"/>
              </w:r>
              <w:r w:rsidR="00C70402">
                <w:rPr>
                  <w:szCs w:val="21"/>
                </w:rPr>
                <w:instrText xml:space="preserve"> MACROBUTTON  SnrToggleCheckbox √不适用 </w:instrText>
              </w:r>
              <w:r>
                <w:rPr>
                  <w:szCs w:val="21"/>
                </w:rPr>
                <w:fldChar w:fldCharType="end"/>
              </w:r>
            </w:p>
          </w:sdtContent>
        </w:sdt>
      </w:sdtContent>
    </w:sdt>
    <w:sdt>
      <w:sdtPr>
        <w:rPr>
          <w:rFonts w:ascii="宋体" w:hAnsi="宋体" w:cs="宋体" w:hint="eastAsia"/>
          <w:b w:val="0"/>
          <w:bCs w:val="0"/>
          <w:kern w:val="0"/>
          <w:szCs w:val="24"/>
        </w:rPr>
        <w:alias w:val="模块:年金计划主要内容及重大变化"/>
        <w:tag w:val="_SEC_e99af52cf73147c3943e3f4044942350"/>
        <w:id w:val="1274366165"/>
        <w:lock w:val="sdtLocked"/>
        <w:placeholder>
          <w:docPart w:val="GBC22222222222222222222222222222"/>
        </w:placeholder>
      </w:sdtPr>
      <w:sdtEndPr>
        <w:rPr>
          <w:rFonts w:asciiTheme="minorHAnsi" w:eastAsiaTheme="minorEastAsia" w:hAnsiTheme="minorHAnsi" w:cstheme="minorBidi"/>
          <w:szCs w:val="21"/>
        </w:rPr>
      </w:sdtEndPr>
      <w:sdtContent>
        <w:p w:rsidR="00806678" w:rsidRDefault="00B16377" w:rsidP="00FF17C7">
          <w:pPr>
            <w:pStyle w:val="3"/>
            <w:numPr>
              <w:ilvl w:val="0"/>
              <w:numId w:val="58"/>
            </w:numPr>
          </w:pPr>
          <w:r>
            <w:rPr>
              <w:rFonts w:hint="eastAsia"/>
            </w:rPr>
            <w:t>年金计划</w:t>
          </w:r>
        </w:p>
        <w:sdt>
          <w:sdtPr>
            <w:alias w:val="是否适用：年金计划[双击切换]"/>
            <w:tag w:val="_GBC_7abcd6901bc848d8b58391e0ddd63034"/>
            <w:id w:val="1782444888"/>
            <w:lock w:val="sdtLocked"/>
            <w:placeholder>
              <w:docPart w:val="GBC22222222222222222222222222222"/>
            </w:placeholder>
          </w:sdtPr>
          <w:sdtContent>
            <w:p w:rsidR="00806678" w:rsidRPr="00C70402" w:rsidRDefault="00F80B6C">
              <w:pPr>
                <w:rPr>
                  <w:rFonts w:asciiTheme="minorHAnsi" w:eastAsiaTheme="minorEastAsia" w:hAnsiTheme="minorHAnsi" w:cstheme="minorBidi"/>
                  <w:szCs w:val="21"/>
                </w:rPr>
              </w:pPr>
              <w:r>
                <w:fldChar w:fldCharType="begin"/>
              </w:r>
              <w:r w:rsidR="00C70402">
                <w:instrText xml:space="preserve">MACROBUTTON  SnrToggleCheckbox □适用 </w:instrText>
              </w:r>
              <w:r>
                <w:fldChar w:fldCharType="end"/>
              </w:r>
              <w:r>
                <w:fldChar w:fldCharType="begin"/>
              </w:r>
              <w:r w:rsidR="00C70402">
                <w:instrText xml:space="preserve"> MACROBUTTON  SnrToggleCheckbox √不适用 </w:instrText>
              </w:r>
              <w:r>
                <w:fldChar w:fldCharType="end"/>
              </w:r>
            </w:p>
          </w:sdtContent>
        </w:sdt>
      </w:sdtContent>
    </w:sdt>
    <w:sdt>
      <w:sdtPr>
        <w:rPr>
          <w:rFonts w:ascii="宋体" w:hAnsi="宋体" w:cs="宋体" w:hint="eastAsia"/>
          <w:b w:val="0"/>
          <w:bCs w:val="0"/>
          <w:kern w:val="0"/>
          <w:szCs w:val="21"/>
        </w:rPr>
        <w:alias w:val="模块:终止经营"/>
        <w:tag w:val="_SEC_83c382ff9499445b86fea4e0e1e5715d"/>
        <w:id w:val="878208643"/>
        <w:lock w:val="sdtLocked"/>
        <w:placeholder>
          <w:docPart w:val="GBC22222222222222222222222222222"/>
        </w:placeholder>
      </w:sdtPr>
      <w:sdtEndPr>
        <w:rPr>
          <w:rFonts w:cstheme="minorBidi"/>
          <w:kern w:val="2"/>
        </w:rPr>
      </w:sdtEndPr>
      <w:sdtContent>
        <w:p w:rsidR="00806678" w:rsidRDefault="00B16377" w:rsidP="00FF17C7">
          <w:pPr>
            <w:pStyle w:val="3"/>
            <w:numPr>
              <w:ilvl w:val="0"/>
              <w:numId w:val="58"/>
            </w:numPr>
            <w:rPr>
              <w:rFonts w:ascii="宋体" w:hAnsi="宋体"/>
              <w:szCs w:val="21"/>
            </w:rPr>
          </w:pPr>
          <w:r>
            <w:rPr>
              <w:rFonts w:ascii="宋体" w:hAnsi="宋体" w:hint="eastAsia"/>
              <w:szCs w:val="21"/>
            </w:rPr>
            <w:t>终止经营</w:t>
          </w:r>
        </w:p>
        <w:p w:rsidR="00806678" w:rsidRPr="00C70402" w:rsidRDefault="00F80B6C">
          <w:sdt>
            <w:sdtPr>
              <w:alias w:val="是否适用：终止经营[双击切换]"/>
              <w:tag w:val="_GBC_667e81a5639a48488e957a55e45c7763"/>
              <w:id w:val="801663190"/>
              <w:lock w:val="sdtLocked"/>
              <w:placeholder>
                <w:docPart w:val="GBC22222222222222222222222222222"/>
              </w:placeholder>
            </w:sdtPr>
            <w:sdtContent>
              <w:r>
                <w:fldChar w:fldCharType="begin"/>
              </w:r>
              <w:r w:rsidR="00C70402">
                <w:instrText xml:space="preserve">MACROBUTTON  SnrToggleCheckbox □适用 </w:instrText>
              </w:r>
              <w:r>
                <w:fldChar w:fldCharType="end"/>
              </w:r>
              <w:r>
                <w:fldChar w:fldCharType="begin"/>
              </w:r>
              <w:r w:rsidR="00C70402">
                <w:instrText xml:space="preserve"> MACROBUTTON  SnrToggleCheckbox √不适用 </w:instrText>
              </w:r>
              <w:r>
                <w:fldChar w:fldCharType="end"/>
              </w:r>
            </w:sdtContent>
          </w:sdt>
        </w:p>
      </w:sdtContent>
    </w:sdt>
    <w:p w:rsidR="00806678" w:rsidRDefault="00806678">
      <w:pPr>
        <w:rPr>
          <w:szCs w:val="21"/>
        </w:rPr>
      </w:pPr>
    </w:p>
    <w:p w:rsidR="00806678" w:rsidRDefault="00B16377" w:rsidP="00FF17C7">
      <w:pPr>
        <w:pStyle w:val="3"/>
        <w:numPr>
          <w:ilvl w:val="0"/>
          <w:numId w:val="58"/>
        </w:numPr>
        <w:rPr>
          <w:rFonts w:ascii="宋体" w:hAnsi="宋体"/>
          <w:szCs w:val="21"/>
        </w:rPr>
      </w:pPr>
      <w:r>
        <w:rPr>
          <w:rFonts w:ascii="宋体" w:hAnsi="宋体" w:hint="eastAsia"/>
          <w:szCs w:val="21"/>
        </w:rPr>
        <w:t>分部信息</w:t>
      </w:r>
    </w:p>
    <w:sdt>
      <w:sdtPr>
        <w:rPr>
          <w:rFonts w:ascii="宋体" w:eastAsia="宋体" w:hAnsi="宋体" w:cs="宋体" w:hint="eastAsia"/>
          <w:b w:val="0"/>
          <w:bCs w:val="0"/>
          <w:kern w:val="0"/>
          <w:szCs w:val="24"/>
        </w:rPr>
        <w:alias w:val="模块:分部信息报告分部的确定依据与会计政策"/>
        <w:tag w:val="_SEC_dfc3b46bd4f54afdb4c7d8f4cdf9baf2"/>
        <w:id w:val="-1284582263"/>
        <w:lock w:val="sdtLocked"/>
        <w:placeholder>
          <w:docPart w:val="GBC22222222222222222222222222222"/>
        </w:placeholder>
      </w:sdtPr>
      <w:sdtEndPr>
        <w:rPr>
          <w:rFonts w:hint="default"/>
          <w:szCs w:val="21"/>
        </w:rPr>
      </w:sdtEndPr>
      <w:sdtContent>
        <w:p w:rsidR="00806678" w:rsidRDefault="00B16377" w:rsidP="00FF17C7">
          <w:pPr>
            <w:pStyle w:val="4"/>
            <w:numPr>
              <w:ilvl w:val="3"/>
              <w:numId w:val="110"/>
            </w:numPr>
            <w:ind w:left="424" w:hangingChars="202" w:hanging="424"/>
          </w:pPr>
          <w:r>
            <w:rPr>
              <w:rFonts w:hint="eastAsia"/>
            </w:rPr>
            <w:t>报告分部的确定依据与会计政策</w:t>
          </w:r>
        </w:p>
        <w:sdt>
          <w:sdtPr>
            <w:rPr>
              <w:rFonts w:hint="eastAsia"/>
              <w:szCs w:val="21"/>
            </w:rPr>
            <w:alias w:val="是否适用：报告分部的确定依据与会计政策[双击切换]"/>
            <w:tag w:val="_GBC_b3cac5485321452cadb6e7ec2be5d907"/>
            <w:id w:val="2049103090"/>
            <w:lock w:val="sdtLocked"/>
            <w:placeholder>
              <w:docPart w:val="GBC22222222222222222222222222222"/>
            </w:placeholder>
          </w:sdtPr>
          <w:sdtContent>
            <w:p w:rsidR="00806678" w:rsidRDefault="00F80B6C">
              <w:pPr>
                <w:rPr>
                  <w:szCs w:val="21"/>
                </w:rPr>
              </w:pPr>
              <w:r>
                <w:rPr>
                  <w:szCs w:val="21"/>
                </w:rPr>
                <w:fldChar w:fldCharType="begin"/>
              </w:r>
              <w:r w:rsidR="00C70402">
                <w:rPr>
                  <w:szCs w:val="21"/>
                </w:rPr>
                <w:instrText xml:space="preserve"> MACROBUTTON  SnrToggleCheckbox √适用  </w:instrText>
              </w:r>
              <w:r>
                <w:rPr>
                  <w:szCs w:val="21"/>
                </w:rPr>
                <w:fldChar w:fldCharType="end"/>
              </w:r>
              <w:r>
                <w:rPr>
                  <w:szCs w:val="21"/>
                </w:rPr>
                <w:fldChar w:fldCharType="begin"/>
              </w:r>
              <w:r w:rsidR="00C70402">
                <w:rPr>
                  <w:szCs w:val="21"/>
                </w:rPr>
                <w:instrText xml:space="preserve"> MACROBUTTON  SnrToggleCheckbox □不适用 </w:instrText>
              </w:r>
              <w:r>
                <w:rPr>
                  <w:szCs w:val="21"/>
                </w:rPr>
                <w:fldChar w:fldCharType="end"/>
              </w:r>
            </w:p>
          </w:sdtContent>
        </w:sdt>
        <w:sdt>
          <w:sdtPr>
            <w:rPr>
              <w:szCs w:val="21"/>
            </w:rPr>
            <w:alias w:val="报告分部的确定依据与会计政策"/>
            <w:tag w:val="_GBC_93ce2d8a1bb34f5498420754de576c4b"/>
            <w:id w:val="85507480"/>
            <w:lock w:val="sdtLocked"/>
            <w:placeholder>
              <w:docPart w:val="GBC22222222222222222222222222222"/>
            </w:placeholder>
          </w:sdtPr>
          <w:sdtContent>
            <w:p w:rsidR="00D46D76" w:rsidRPr="00D46D76" w:rsidRDefault="00D46D76" w:rsidP="00D46D76">
              <w:pPr>
                <w:rPr>
                  <w:szCs w:val="21"/>
                </w:rPr>
              </w:pPr>
              <w:r w:rsidRPr="00D46D76">
                <w:rPr>
                  <w:rFonts w:hint="eastAsia"/>
                  <w:szCs w:val="21"/>
                </w:rPr>
                <w:t>本集团以内部组织结构、管理要求、内部报告制度为依据确定经营分部，以经营分部为基础确定报告分部并披露分部信息。</w:t>
              </w:r>
            </w:p>
            <w:p w:rsidR="00D46D76" w:rsidRPr="00D46D76" w:rsidRDefault="00D46D76" w:rsidP="00D46D76">
              <w:pPr>
                <w:rPr>
                  <w:szCs w:val="21"/>
                </w:rPr>
              </w:pPr>
            </w:p>
            <w:p w:rsidR="00806678" w:rsidRDefault="00D46D76" w:rsidP="00D46D76">
              <w:pPr>
                <w:rPr>
                  <w:szCs w:val="21"/>
                </w:rPr>
              </w:pPr>
              <w:r w:rsidRPr="00D46D76">
                <w:rPr>
                  <w:rFonts w:hint="eastAsia"/>
                  <w:szCs w:val="21"/>
                </w:rPr>
                <w:t>经营分部是指本集团内同时满足下列条件的组成部分：</w:t>
              </w:r>
              <w:r w:rsidRPr="00D46D76">
                <w:rPr>
                  <w:szCs w:val="21"/>
                </w:rPr>
                <w:t>(1) 、该组成部分能够在日常活动中产生收入、发生费用；(2) 、本集团管理层能够定期评价该组成部分的经营成果，以决定向其配置资源、评价其业绩；(3) 、本集团能够取得该组成部分的财务状况、经营成果和现金流量等有关会计信息。两个或多个经营分部具有相似的经济特征，并且满足一定条件的，则合并为一个经营分部。</w:t>
              </w:r>
            </w:p>
          </w:sdtContent>
        </w:sdt>
        <w:p w:rsidR="00806678" w:rsidRDefault="00F80B6C">
          <w:pPr>
            <w:rPr>
              <w:szCs w:val="21"/>
            </w:rPr>
          </w:pPr>
        </w:p>
      </w:sdtContent>
    </w:sdt>
    <w:sdt>
      <w:sdtPr>
        <w:rPr>
          <w:rFonts w:ascii="宋体" w:eastAsia="宋体" w:hAnsi="宋体" w:cs="宋体" w:hint="eastAsia"/>
          <w:b w:val="0"/>
          <w:bCs w:val="0"/>
          <w:kern w:val="0"/>
          <w:szCs w:val="24"/>
        </w:rPr>
        <w:alias w:val="模块:报告分部的财务信息"/>
        <w:tag w:val="_SEC_c88228a13efc40bf8facbaa3643e4cb3"/>
        <w:id w:val="-872148566"/>
        <w:lock w:val="sdtLocked"/>
        <w:placeholder>
          <w:docPart w:val="GBC22222222222222222222222222222"/>
        </w:placeholder>
      </w:sdtPr>
      <w:sdtEndPr>
        <w:rPr>
          <w:rFonts w:ascii="Calibri" w:hAnsi="Calibri" w:cs="Times New Roman" w:hint="default"/>
          <w:kern w:val="2"/>
          <w:szCs w:val="21"/>
        </w:rPr>
      </w:sdtEndPr>
      <w:sdtContent>
        <w:p w:rsidR="00806678" w:rsidRDefault="00B16377" w:rsidP="00FF17C7">
          <w:pPr>
            <w:pStyle w:val="4"/>
            <w:numPr>
              <w:ilvl w:val="3"/>
              <w:numId w:val="110"/>
            </w:numPr>
            <w:ind w:left="424" w:hangingChars="202" w:hanging="424"/>
          </w:pPr>
          <w:r>
            <w:rPr>
              <w:rFonts w:hint="eastAsia"/>
            </w:rPr>
            <w:t>报告分部的财务信息</w:t>
          </w:r>
        </w:p>
        <w:sdt>
          <w:sdtPr>
            <w:rPr>
              <w:rFonts w:ascii="宋体" w:hAnsi="宋体" w:hint="eastAsia"/>
              <w:szCs w:val="21"/>
            </w:rPr>
            <w:alias w:val="是否适用：报告分部的财务信息[双击切换]"/>
            <w:tag w:val="_GBC_560c7b592f324714b8c87339e43684af"/>
            <w:id w:val="-1515831801"/>
            <w:lock w:val="sdtLocked"/>
            <w:placeholder>
              <w:docPart w:val="GBC22222222222222222222222222222"/>
            </w:placeholder>
          </w:sdtPr>
          <w:sdtContent>
            <w:p w:rsidR="000033B3" w:rsidRDefault="00F80B6C" w:rsidP="00D46D76">
              <w:pPr>
                <w:pStyle w:val="a9"/>
                <w:ind w:firstLineChars="0" w:firstLine="0"/>
                <w:jc w:val="left"/>
                <w:rPr>
                  <w:rFonts w:ascii="宋体" w:hAnsi="宋体"/>
                  <w:szCs w:val="21"/>
                </w:rPr>
              </w:pPr>
              <w:r>
                <w:rPr>
                  <w:rFonts w:ascii="宋体" w:hAnsi="宋体"/>
                  <w:szCs w:val="21"/>
                </w:rPr>
                <w:fldChar w:fldCharType="begin"/>
              </w:r>
              <w:r w:rsidR="00D46D76">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sidR="00D46D76">
                <w:rPr>
                  <w:rFonts w:ascii="宋体" w:hAnsi="宋体"/>
                  <w:szCs w:val="21"/>
                </w:rPr>
                <w:instrText xml:space="preserve"> MACROBUTTON  SnrToggleCheckbox √不适用 </w:instrText>
              </w:r>
              <w:r>
                <w:rPr>
                  <w:rFonts w:ascii="宋体" w:hAnsi="宋体"/>
                  <w:szCs w:val="21"/>
                </w:rPr>
                <w:fldChar w:fldCharType="end"/>
              </w:r>
            </w:p>
            <w:p w:rsidR="00806678" w:rsidRDefault="00F80B6C" w:rsidP="00D46D76">
              <w:pPr>
                <w:pStyle w:val="a9"/>
                <w:ind w:firstLineChars="0" w:firstLine="0"/>
                <w:jc w:val="left"/>
              </w:pPr>
            </w:p>
          </w:sdtContent>
        </w:sdt>
        <w:bookmarkStart w:id="259" w:name="_Hlk132041456" w:displacedByCustomXml="next"/>
      </w:sdtContent>
    </w:sdt>
    <w:bookmarkEnd w:id="259" w:displacedByCustomXml="prev"/>
    <w:sdt>
      <w:sdtPr>
        <w:rPr>
          <w:rFonts w:ascii="宋体" w:eastAsia="宋体" w:hAnsi="宋体" w:cs="宋体" w:hint="eastAsia"/>
          <w:b w:val="0"/>
          <w:bCs w:val="0"/>
          <w:kern w:val="0"/>
          <w:szCs w:val="24"/>
        </w:rPr>
        <w:alias w:val="模块:公司无报告分部的，或者不能披露各报告分部的资产总额和负债总额的，应说明原因"/>
        <w:tag w:val="_SEC_3849a00c602340b897b4e927f6a3c0d9"/>
        <w:id w:val="-334921971"/>
        <w:lock w:val="sdtLocked"/>
        <w:placeholder>
          <w:docPart w:val="GBC22222222222222222222222222222"/>
        </w:placeholder>
      </w:sdtPr>
      <w:sdtEndPr>
        <w:rPr>
          <w:szCs w:val="21"/>
        </w:rPr>
      </w:sdtEndPr>
      <w:sdtContent>
        <w:p w:rsidR="00806678" w:rsidRDefault="00B16377" w:rsidP="00FF17C7">
          <w:pPr>
            <w:pStyle w:val="4"/>
            <w:numPr>
              <w:ilvl w:val="3"/>
              <w:numId w:val="110"/>
            </w:numPr>
            <w:ind w:left="424" w:hangingChars="202" w:hanging="424"/>
          </w:pPr>
          <w:r>
            <w:t>公司无报告分部的，或者不能披露各报告分部的资产总额和负债总额的，应说明原因</w:t>
          </w:r>
        </w:p>
        <w:sdt>
          <w:sdtPr>
            <w:rPr>
              <w:rFonts w:hint="eastAsia"/>
              <w:szCs w:val="21"/>
            </w:rPr>
            <w:alias w:val="是否适用：公司无报告分部的，或者不能披露各报告分部的资产总额和负债总额的，应说明原因[双击切换]"/>
            <w:tag w:val="_GBC_bcab2070d3744848a3b9d7010db71172"/>
            <w:id w:val="1296563002"/>
            <w:lock w:val="sdtLocked"/>
            <w:placeholder>
              <w:docPart w:val="GBC22222222222222222222222222222"/>
            </w:placeholder>
          </w:sdtPr>
          <w:sdtContent>
            <w:p w:rsidR="00806678" w:rsidRDefault="00F80B6C">
              <w:pPr>
                <w:jc w:val="both"/>
                <w:rPr>
                  <w:szCs w:val="21"/>
                </w:rPr>
              </w:pPr>
              <w:r>
                <w:rPr>
                  <w:szCs w:val="21"/>
                </w:rPr>
                <w:fldChar w:fldCharType="begin"/>
              </w:r>
              <w:r w:rsidR="00D46D76">
                <w:rPr>
                  <w:szCs w:val="21"/>
                </w:rPr>
                <w:instrText xml:space="preserve"> MACROBUTTON  SnrToggleCheckbox √适用  </w:instrText>
              </w:r>
              <w:r>
                <w:rPr>
                  <w:szCs w:val="21"/>
                </w:rPr>
                <w:fldChar w:fldCharType="end"/>
              </w:r>
              <w:r>
                <w:rPr>
                  <w:szCs w:val="21"/>
                </w:rPr>
                <w:fldChar w:fldCharType="begin"/>
              </w:r>
              <w:r w:rsidR="00D46D76">
                <w:rPr>
                  <w:szCs w:val="21"/>
                </w:rPr>
                <w:instrText xml:space="preserve"> MACROBUTTON  SnrToggleCheckbox □不适用 </w:instrText>
              </w:r>
              <w:r>
                <w:rPr>
                  <w:szCs w:val="21"/>
                </w:rPr>
                <w:fldChar w:fldCharType="end"/>
              </w:r>
            </w:p>
          </w:sdtContent>
        </w:sdt>
        <w:sdt>
          <w:sdtPr>
            <w:rPr>
              <w:rFonts w:hint="eastAsia"/>
              <w:szCs w:val="21"/>
            </w:rPr>
            <w:alias w:val="公司无报告分部的，或者不能披露各报告分部的资产总额和负债总额的，应说明原因"/>
            <w:tag w:val="_GBC_24d3747d9ce0483b8c7ef78297d80fb7"/>
            <w:id w:val="1745066262"/>
            <w:lock w:val="sdtLocked"/>
            <w:placeholder>
              <w:docPart w:val="GBC22222222222222222222222222222"/>
            </w:placeholder>
          </w:sdtPr>
          <w:sdtContent>
            <w:p w:rsidR="00616297" w:rsidRDefault="00616297">
              <w:pPr>
                <w:rPr>
                  <w:szCs w:val="21"/>
                </w:rPr>
              </w:pPr>
            </w:p>
            <w:p w:rsidR="00806678" w:rsidRDefault="00D46D76">
              <w:pPr>
                <w:rPr>
                  <w:szCs w:val="21"/>
                </w:rPr>
              </w:pPr>
              <w:r w:rsidRPr="00D46D76">
                <w:rPr>
                  <w:rFonts w:hint="eastAsia"/>
                  <w:szCs w:val="21"/>
                </w:rPr>
                <w:t>本集团主要从事铁路客</w:t>
              </w:r>
              <w:r w:rsidRPr="00D46D76">
                <w:rPr>
                  <w:szCs w:val="21"/>
                </w:rPr>
                <w:t xml:space="preserve"> / 货运输业务，全部服务均在中华人民共和国境内提供。本集团管理层并不单独核算客 / 货运业务在日常经营活动中发生的成本、费用，也未单独评价客 / 货运业务的经营成果，因此不需提供分部报告。</w:t>
              </w:r>
            </w:p>
          </w:sdtContent>
        </w:sdt>
      </w:sdtContent>
    </w:sdt>
    <w:p w:rsidR="00806678" w:rsidRDefault="00806678">
      <w:pPr>
        <w:rPr>
          <w:szCs w:val="21"/>
        </w:rPr>
      </w:pPr>
    </w:p>
    <w:sdt>
      <w:sdtPr>
        <w:rPr>
          <w:rFonts w:ascii="宋体" w:eastAsia="宋体" w:hAnsi="宋体" w:cs="宋体" w:hint="eastAsia"/>
          <w:b w:val="0"/>
          <w:bCs w:val="0"/>
          <w:kern w:val="0"/>
          <w:szCs w:val="24"/>
        </w:rPr>
        <w:alias w:val="模块:分部信息其他说明"/>
        <w:tag w:val="_SEC_83dbb92e05854ff09d00691d7141ac0b"/>
        <w:id w:val="804894450"/>
        <w:lock w:val="sdtLocked"/>
        <w:placeholder>
          <w:docPart w:val="GBC22222222222222222222222222222"/>
        </w:placeholder>
      </w:sdtPr>
      <w:sdtEndPr>
        <w:rPr>
          <w:szCs w:val="21"/>
        </w:rPr>
      </w:sdtEndPr>
      <w:sdtContent>
        <w:p w:rsidR="00806678" w:rsidRDefault="00B16377" w:rsidP="00FF17C7">
          <w:pPr>
            <w:pStyle w:val="4"/>
            <w:numPr>
              <w:ilvl w:val="3"/>
              <w:numId w:val="110"/>
            </w:numPr>
            <w:ind w:left="424" w:hangingChars="202" w:hanging="424"/>
          </w:pPr>
          <w:r>
            <w:rPr>
              <w:rFonts w:hint="eastAsia"/>
            </w:rPr>
            <w:t>其他说明</w:t>
          </w:r>
        </w:p>
        <w:sdt>
          <w:sdtPr>
            <w:rPr>
              <w:rFonts w:hint="eastAsia"/>
              <w:szCs w:val="21"/>
            </w:rPr>
            <w:alias w:val="是否适用：分部信息的其他说明[双击切换]"/>
            <w:tag w:val="_GBC_a7173613038248df8d31b8ffe91e1e27"/>
            <w:id w:val="-1524543608"/>
            <w:lock w:val="sdtLocked"/>
            <w:placeholder>
              <w:docPart w:val="GBC22222222222222222222222222222"/>
            </w:placeholder>
          </w:sdtPr>
          <w:sdtContent>
            <w:p w:rsidR="00806678" w:rsidRDefault="00F80B6C" w:rsidP="00D46D76">
              <w:pPr>
                <w:rPr>
                  <w:szCs w:val="21"/>
                </w:rPr>
              </w:pPr>
              <w:r>
                <w:rPr>
                  <w:szCs w:val="21"/>
                </w:rPr>
                <w:fldChar w:fldCharType="begin"/>
              </w:r>
              <w:r w:rsidR="00D46D76">
                <w:rPr>
                  <w:szCs w:val="21"/>
                </w:rPr>
                <w:instrText xml:space="preserve"> MACROBUTTON  SnrToggleCheckbox □适用  </w:instrText>
              </w:r>
              <w:r>
                <w:rPr>
                  <w:szCs w:val="21"/>
                </w:rPr>
                <w:fldChar w:fldCharType="end"/>
              </w:r>
              <w:r>
                <w:rPr>
                  <w:szCs w:val="21"/>
                </w:rPr>
                <w:fldChar w:fldCharType="begin"/>
              </w:r>
              <w:r w:rsidR="00D46D76">
                <w:rPr>
                  <w:szCs w:val="21"/>
                </w:rPr>
                <w:instrText xml:space="preserve"> MACROBUTTON  SnrToggleCheckbox √不适用 </w:instrText>
              </w:r>
              <w:r>
                <w:rPr>
                  <w:szCs w:val="21"/>
                </w:rPr>
                <w:fldChar w:fldCharType="end"/>
              </w:r>
            </w:p>
          </w:sdtContent>
        </w:sdt>
        <w:p w:rsidR="00806678" w:rsidRDefault="00F80B6C">
          <w:pPr>
            <w:rPr>
              <w:szCs w:val="21"/>
            </w:rPr>
          </w:pPr>
        </w:p>
      </w:sdtContent>
    </w:sdt>
    <w:sdt>
      <w:sdtPr>
        <w:rPr>
          <w:rFonts w:ascii="宋体" w:hAnsi="宋体" w:cs="宋体" w:hint="eastAsia"/>
          <w:b w:val="0"/>
          <w:bCs w:val="0"/>
          <w:kern w:val="0"/>
          <w:szCs w:val="21"/>
        </w:rPr>
        <w:alias w:val="模块:其他重要事项说明"/>
        <w:tag w:val="_SEC_ba4247a6c1994dc98e0b1c339dfe0f23"/>
        <w:id w:val="953210971"/>
        <w:lock w:val="sdtLocked"/>
        <w:placeholder>
          <w:docPart w:val="GBC22222222222222222222222222222"/>
        </w:placeholder>
      </w:sdtPr>
      <w:sdtEndPr>
        <w:rPr>
          <w:rFonts w:cstheme="minorBidi"/>
          <w:kern w:val="2"/>
        </w:rPr>
      </w:sdtEndPr>
      <w:sdtContent>
        <w:p w:rsidR="00806678" w:rsidRDefault="00B16377" w:rsidP="00FF17C7">
          <w:pPr>
            <w:pStyle w:val="3"/>
            <w:numPr>
              <w:ilvl w:val="0"/>
              <w:numId w:val="58"/>
            </w:numPr>
          </w:pPr>
          <w:r>
            <w:rPr>
              <w:rFonts w:ascii="宋体" w:hAnsi="宋体" w:cs="宋体" w:hint="eastAsia"/>
              <w:bCs w:val="0"/>
              <w:kern w:val="0"/>
              <w:szCs w:val="21"/>
            </w:rPr>
            <w:t>其他对投资者决策有影响的重要交易和事项</w:t>
          </w:r>
        </w:p>
        <w:sdt>
          <w:sdtPr>
            <w:rPr>
              <w:rFonts w:hint="eastAsia"/>
              <w:szCs w:val="21"/>
            </w:rPr>
            <w:alias w:val="是否适用：其他对投资者决策有影响的重要交易和事项[双击切换]"/>
            <w:tag w:val="_GBC_fb50fde0c1774b5b8ae2688488649ea7"/>
            <w:id w:val="-830372112"/>
            <w:lock w:val="sdtLocked"/>
            <w:placeholder>
              <w:docPart w:val="GBC22222222222222222222222222222"/>
            </w:placeholder>
          </w:sdtPr>
          <w:sdtContent>
            <w:p w:rsidR="00806678" w:rsidRDefault="00F80B6C" w:rsidP="00D46D76">
              <w:pPr>
                <w:spacing w:line="360" w:lineRule="exact"/>
                <w:rPr>
                  <w:szCs w:val="21"/>
                </w:rPr>
              </w:pPr>
              <w:r>
                <w:rPr>
                  <w:szCs w:val="21"/>
                </w:rPr>
                <w:fldChar w:fldCharType="begin"/>
              </w:r>
              <w:r w:rsidR="00D46D76">
                <w:rPr>
                  <w:szCs w:val="21"/>
                </w:rPr>
                <w:instrText xml:space="preserve"> MACROBUTTON  SnrToggleCheckbox □适用  </w:instrText>
              </w:r>
              <w:r>
                <w:rPr>
                  <w:szCs w:val="21"/>
                </w:rPr>
                <w:fldChar w:fldCharType="end"/>
              </w:r>
              <w:r>
                <w:rPr>
                  <w:szCs w:val="21"/>
                </w:rPr>
                <w:fldChar w:fldCharType="begin"/>
              </w:r>
              <w:r w:rsidR="00D46D76">
                <w:rPr>
                  <w:szCs w:val="21"/>
                </w:rPr>
                <w:instrText xml:space="preserve"> MACROBUTTON  SnrToggleCheckbox √不适用 </w:instrText>
              </w:r>
              <w:r>
                <w:rPr>
                  <w:szCs w:val="21"/>
                </w:rPr>
                <w:fldChar w:fldCharType="end"/>
              </w:r>
            </w:p>
          </w:sdtContent>
        </w:sdt>
        <w:bookmarkStart w:id="260" w:name="_Hlk132041640" w:displacedByCustomXml="next"/>
      </w:sdtContent>
    </w:sdt>
    <w:bookmarkEnd w:id="260" w:displacedByCustomXml="prev"/>
    <w:p w:rsidR="00806678" w:rsidRDefault="00806678">
      <w:pPr>
        <w:rPr>
          <w:szCs w:val="21"/>
        </w:rPr>
      </w:pPr>
    </w:p>
    <w:sdt>
      <w:sdtPr>
        <w:rPr>
          <w:rFonts w:ascii="宋体" w:hAnsi="宋体" w:cs="宋体" w:hint="eastAsia"/>
          <w:b w:val="0"/>
          <w:bCs w:val="0"/>
          <w:kern w:val="0"/>
          <w:szCs w:val="21"/>
        </w:rPr>
        <w:alias w:val="模块:其他"/>
        <w:tag w:val="_SEC_626a705e9bde404ab67dae61d8e62116"/>
        <w:id w:val="-2004046150"/>
        <w:lock w:val="sdtLocked"/>
        <w:placeholder>
          <w:docPart w:val="GBC22222222222222222222222222222"/>
        </w:placeholder>
      </w:sdtPr>
      <w:sdtEndPr>
        <w:rPr>
          <w:rFonts w:hint="default"/>
        </w:rPr>
      </w:sdtEndPr>
      <w:sdtContent>
        <w:p w:rsidR="00806678" w:rsidRDefault="00B16377" w:rsidP="00FF17C7">
          <w:pPr>
            <w:pStyle w:val="3"/>
            <w:numPr>
              <w:ilvl w:val="0"/>
              <w:numId w:val="58"/>
            </w:numPr>
            <w:rPr>
              <w:szCs w:val="21"/>
            </w:rPr>
          </w:pPr>
          <w:r>
            <w:rPr>
              <w:rFonts w:ascii="宋体" w:hAnsi="宋体" w:hint="eastAsia"/>
              <w:szCs w:val="21"/>
            </w:rPr>
            <w:t>其他</w:t>
          </w:r>
        </w:p>
        <w:sdt>
          <w:sdtPr>
            <w:rPr>
              <w:rFonts w:hint="eastAsia"/>
              <w:szCs w:val="21"/>
            </w:rPr>
            <w:alias w:val="是否适用：其他重要事项的说明[双击切换]"/>
            <w:tag w:val="_GBC_fb43f52ac5bc49a4b33e34d6b1758f09"/>
            <w:id w:val="-395127559"/>
            <w:lock w:val="sdtLocked"/>
            <w:placeholder>
              <w:docPart w:val="GBC22222222222222222222222222222"/>
            </w:placeholder>
          </w:sdtPr>
          <w:sdtContent>
            <w:p w:rsidR="00806678" w:rsidRDefault="00F80B6C">
              <w:pPr>
                <w:rPr>
                  <w:szCs w:val="21"/>
                </w:rPr>
              </w:pPr>
              <w:r>
                <w:rPr>
                  <w:szCs w:val="21"/>
                </w:rPr>
                <w:fldChar w:fldCharType="begin"/>
              </w:r>
              <w:r w:rsidR="00D46D76">
                <w:rPr>
                  <w:szCs w:val="21"/>
                </w:rPr>
                <w:instrText xml:space="preserve"> MACROBUTTON  SnrToggleCheckbox √适用  </w:instrText>
              </w:r>
              <w:r>
                <w:rPr>
                  <w:szCs w:val="21"/>
                </w:rPr>
                <w:fldChar w:fldCharType="end"/>
              </w:r>
              <w:r>
                <w:rPr>
                  <w:szCs w:val="21"/>
                </w:rPr>
                <w:fldChar w:fldCharType="begin"/>
              </w:r>
              <w:r w:rsidR="00D46D76">
                <w:rPr>
                  <w:szCs w:val="21"/>
                </w:rPr>
                <w:instrText xml:space="preserve"> MACROBUTTON  SnrToggleCheckbox □不适用 </w:instrText>
              </w:r>
              <w:r>
                <w:rPr>
                  <w:szCs w:val="21"/>
                </w:rPr>
                <w:fldChar w:fldCharType="end"/>
              </w:r>
            </w:p>
          </w:sdtContent>
        </w:sdt>
        <w:sdt>
          <w:sdtPr>
            <w:rPr>
              <w:szCs w:val="21"/>
            </w:rPr>
            <w:alias w:val="其他重要事项的说明"/>
            <w:tag w:val="_GBC_9e15ecd4789249ed82657888c33292a4"/>
            <w:id w:val="362878641"/>
            <w:lock w:val="sdtLocked"/>
            <w:placeholder>
              <w:docPart w:val="GBC22222222222222222222222222222"/>
            </w:placeholder>
          </w:sdtPr>
          <w:sdtContent>
            <w:p w:rsidR="00D46D76" w:rsidRPr="00D46D76" w:rsidRDefault="00D46D76" w:rsidP="00D46D76">
              <w:pPr>
                <w:rPr>
                  <w:szCs w:val="21"/>
                </w:rPr>
              </w:pPr>
              <w:r w:rsidRPr="00D46D76">
                <w:rPr>
                  <w:rFonts w:hint="eastAsia"/>
                  <w:szCs w:val="21"/>
                </w:rPr>
                <w:t>本集团资本管理政策的目标是为了保障本集团能够持续经营，从而为股东提供回报，并使其他利益相关者获益，同时维持最佳的资本结构以降低资本成本。</w:t>
              </w:r>
            </w:p>
            <w:p w:rsidR="00D46D76" w:rsidRPr="00D46D76" w:rsidRDefault="00D46D76" w:rsidP="00D46D76">
              <w:pPr>
                <w:rPr>
                  <w:szCs w:val="21"/>
                </w:rPr>
              </w:pPr>
            </w:p>
            <w:p w:rsidR="00D46D76" w:rsidRPr="00D46D76" w:rsidRDefault="00D46D76" w:rsidP="00D46D76">
              <w:pPr>
                <w:rPr>
                  <w:szCs w:val="21"/>
                </w:rPr>
              </w:pPr>
              <w:r w:rsidRPr="00D46D76">
                <w:rPr>
                  <w:rFonts w:hint="eastAsia"/>
                  <w:szCs w:val="21"/>
                </w:rPr>
                <w:t>为了维持或调整资本结构，本集团可能会调整支付给股东的股利金额、向股东返还资本、发行新股或出售资产以减低债务。</w:t>
              </w:r>
            </w:p>
            <w:p w:rsidR="00D46D76" w:rsidRPr="00D46D76" w:rsidRDefault="00D46D76" w:rsidP="00D46D76">
              <w:pPr>
                <w:rPr>
                  <w:szCs w:val="21"/>
                </w:rPr>
              </w:pPr>
              <w:r w:rsidRPr="00D46D76">
                <w:rPr>
                  <w:rFonts w:hint="eastAsia"/>
                  <w:szCs w:val="21"/>
                </w:rPr>
                <w:lastRenderedPageBreak/>
                <w:t>本集团的总资本为合并资产负债表中所列示的股东权益。本集团不受制于外部强制性资本要求，利用资产负债率监控资本。</w:t>
              </w:r>
            </w:p>
            <w:p w:rsidR="00D46D76" w:rsidRPr="00D46D76" w:rsidRDefault="00D46D76" w:rsidP="00D46D76">
              <w:pPr>
                <w:rPr>
                  <w:szCs w:val="21"/>
                </w:rPr>
              </w:pPr>
            </w:p>
            <w:p w:rsidR="00D46D76" w:rsidRDefault="00D46D76" w:rsidP="00D46D76">
              <w:pPr>
                <w:rPr>
                  <w:szCs w:val="21"/>
                </w:rPr>
              </w:pPr>
              <w:r w:rsidRPr="00D46D76">
                <w:rPr>
                  <w:rFonts w:hint="eastAsia"/>
                  <w:szCs w:val="21"/>
                </w:rPr>
                <w:t>于</w:t>
              </w:r>
              <w:r w:rsidRPr="00D46D76">
                <w:rPr>
                  <w:szCs w:val="21"/>
                </w:rPr>
                <w:t>2022年12月31日及2021年12月31日，本集团的资产负债率列示如下：</w:t>
              </w:r>
            </w:p>
            <w:p w:rsidR="00C84467" w:rsidRDefault="00C84467" w:rsidP="00D46D76">
              <w:pPr>
                <w:rPr>
                  <w:szCs w:val="21"/>
                </w:rPr>
              </w:pPr>
            </w:p>
            <w:tbl>
              <w:tblPr>
                <w:tblW w:w="883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28" w:type="dxa"/>
                </w:tblCellMar>
                <w:tblLook w:val="04A0"/>
              </w:tblPr>
              <w:tblGrid>
                <w:gridCol w:w="2930"/>
                <w:gridCol w:w="3307"/>
                <w:gridCol w:w="2596"/>
              </w:tblGrid>
              <w:tr w:rsidR="00D46D76" w:rsidRPr="00D46D76" w:rsidTr="00AA6F46">
                <w:trPr>
                  <w:trHeight w:val="170"/>
                  <w:jc w:val="right"/>
                </w:trPr>
                <w:tc>
                  <w:tcPr>
                    <w:tcW w:w="2930" w:type="dxa"/>
                    <w:vAlign w:val="bottom"/>
                  </w:tcPr>
                  <w:p w:rsidR="00D46D76" w:rsidRPr="00D46D76" w:rsidRDefault="00D46D76" w:rsidP="00DB008B">
                    <w:pPr>
                      <w:snapToGrid w:val="0"/>
                      <w:ind w:left="221" w:hanging="221"/>
                    </w:pPr>
                    <w:bookmarkStart w:id="261" w:name="_Hlk132041675"/>
                    <w:r w:rsidRPr="00D46D76">
                      <w:t> </w:t>
                    </w:r>
                  </w:p>
                </w:tc>
                <w:tc>
                  <w:tcPr>
                    <w:tcW w:w="3307" w:type="dxa"/>
                    <w:vAlign w:val="center"/>
                  </w:tcPr>
                  <w:p w:rsidR="00D46D76" w:rsidRPr="00D46D76" w:rsidRDefault="00D46D76" w:rsidP="00C84467">
                    <w:pPr>
                      <w:snapToGrid w:val="0"/>
                      <w:ind w:right="112"/>
                      <w:jc w:val="center"/>
                    </w:pPr>
                    <w:r w:rsidRPr="00D46D76">
                      <w:t>2022年12月31日</w:t>
                    </w:r>
                  </w:p>
                </w:tc>
                <w:tc>
                  <w:tcPr>
                    <w:tcW w:w="2596" w:type="dxa"/>
                    <w:vAlign w:val="center"/>
                  </w:tcPr>
                  <w:p w:rsidR="00D46D76" w:rsidRPr="00D46D76" w:rsidRDefault="00D46D76" w:rsidP="00C84467">
                    <w:pPr>
                      <w:snapToGrid w:val="0"/>
                      <w:ind w:right="210"/>
                      <w:jc w:val="center"/>
                    </w:pPr>
                    <w:r w:rsidRPr="00D46D76">
                      <w:t>2021年12月31日</w:t>
                    </w:r>
                  </w:p>
                </w:tc>
              </w:tr>
              <w:tr w:rsidR="00D46D76" w:rsidRPr="00D46D76" w:rsidTr="00D46D76">
                <w:trPr>
                  <w:jc w:val="right"/>
                </w:trPr>
                <w:tc>
                  <w:tcPr>
                    <w:tcW w:w="2930" w:type="dxa"/>
                    <w:vAlign w:val="bottom"/>
                  </w:tcPr>
                  <w:p w:rsidR="00D46D76" w:rsidRPr="00D46D76" w:rsidRDefault="00D46D76" w:rsidP="00DB008B">
                    <w:pPr>
                      <w:snapToGrid w:val="0"/>
                      <w:ind w:left="221" w:hanging="221"/>
                    </w:pPr>
                    <w:r w:rsidRPr="00D46D76">
                      <w:t>资产负债率</w:t>
                    </w:r>
                  </w:p>
                </w:tc>
                <w:tc>
                  <w:tcPr>
                    <w:tcW w:w="3307" w:type="dxa"/>
                    <w:vAlign w:val="bottom"/>
                  </w:tcPr>
                  <w:p w:rsidR="00D46D76" w:rsidRPr="00D46D76" w:rsidRDefault="00D46D76" w:rsidP="00DB008B">
                    <w:pPr>
                      <w:snapToGrid w:val="0"/>
                      <w:jc w:val="right"/>
                    </w:pPr>
                    <w:r w:rsidRPr="00D46D76">
                      <w:t>31%</w:t>
                    </w:r>
                  </w:p>
                </w:tc>
                <w:tc>
                  <w:tcPr>
                    <w:tcW w:w="2596" w:type="dxa"/>
                    <w:vAlign w:val="bottom"/>
                  </w:tcPr>
                  <w:p w:rsidR="00D46D76" w:rsidRPr="00D46D76" w:rsidRDefault="00D46D76" w:rsidP="00DB008B">
                    <w:pPr>
                      <w:snapToGrid w:val="0"/>
                      <w:jc w:val="right"/>
                    </w:pPr>
                    <w:r w:rsidRPr="00D46D76">
                      <w:t>32%</w:t>
                    </w:r>
                  </w:p>
                </w:tc>
              </w:tr>
            </w:tbl>
            <w:p w:rsidR="00806678" w:rsidRDefault="00F80B6C" w:rsidP="00D46D76">
              <w:pPr>
                <w:rPr>
                  <w:szCs w:val="21"/>
                </w:rPr>
              </w:pPr>
            </w:p>
            <w:bookmarkEnd w:id="261" w:displacedByCustomXml="next"/>
          </w:sdtContent>
        </w:sdt>
      </w:sdtContent>
    </w:sdt>
    <w:p w:rsidR="00806678" w:rsidRDefault="00B16377" w:rsidP="00FF17C7">
      <w:pPr>
        <w:pStyle w:val="2"/>
        <w:numPr>
          <w:ilvl w:val="0"/>
          <w:numId w:val="37"/>
        </w:numPr>
        <w:rPr>
          <w:rFonts w:ascii="宋体" w:hAnsi="宋体"/>
        </w:rPr>
      </w:pPr>
      <w:r>
        <w:rPr>
          <w:rFonts w:ascii="宋体" w:hAnsi="宋体" w:hint="eastAsia"/>
        </w:rPr>
        <w:t>母公司财务报表主要项目注释</w:t>
      </w:r>
    </w:p>
    <w:p w:rsidR="00806678" w:rsidRDefault="00B16377" w:rsidP="00FF17C7">
      <w:pPr>
        <w:pStyle w:val="3"/>
        <w:numPr>
          <w:ilvl w:val="0"/>
          <w:numId w:val="59"/>
        </w:numPr>
      </w:pPr>
      <w:r>
        <w:rPr>
          <w:rFonts w:ascii="宋体" w:hAnsi="宋体" w:hint="eastAsia"/>
          <w:szCs w:val="21"/>
        </w:rPr>
        <w:t>应收账款</w:t>
      </w:r>
    </w:p>
    <w:bookmarkStart w:id="262" w:name="_Hlk533796665" w:displacedByCustomXml="next"/>
    <w:sdt>
      <w:sdtPr>
        <w:rPr>
          <w:rFonts w:ascii="宋体" w:eastAsia="宋体" w:hAnsi="宋体" w:cs="宋体" w:hint="eastAsia"/>
          <w:b w:val="0"/>
          <w:bCs w:val="0"/>
          <w:kern w:val="0"/>
          <w:szCs w:val="24"/>
        </w:rPr>
        <w:alias w:val="模块:按账龄披露"/>
        <w:tag w:val="_SEC_9c6dac1b3bd94073bae16a9f5e7fe960"/>
        <w:id w:val="-1257907969"/>
        <w:lock w:val="sdtLocked"/>
        <w:placeholder>
          <w:docPart w:val="GBC22222222222222222222222222222"/>
        </w:placeholder>
      </w:sdtPr>
      <w:sdtEndPr>
        <w:rPr>
          <w:rFonts w:hint="default"/>
        </w:rPr>
      </w:sdtEndPr>
      <w:sdtContent>
        <w:p w:rsidR="00806678" w:rsidRDefault="00B16377" w:rsidP="00FF17C7">
          <w:pPr>
            <w:pStyle w:val="4"/>
            <w:numPr>
              <w:ilvl w:val="3"/>
              <w:numId w:val="111"/>
            </w:numPr>
            <w:ind w:left="424" w:hangingChars="202" w:hanging="424"/>
          </w:pPr>
          <w:r>
            <w:rPr>
              <w:rFonts w:hint="eastAsia"/>
            </w:rPr>
            <w:t>按账龄披露</w:t>
          </w:r>
        </w:p>
        <w:sdt>
          <w:sdtPr>
            <w:alias w:val="是否适用：母公司应收账款按账龄披露[双击切换]"/>
            <w:tag w:val="_GBC_dafcd7d733014c4a8aaa9a9a4b6c92f1"/>
            <w:id w:val="733588422"/>
            <w:lock w:val="sdtLocked"/>
            <w:placeholder>
              <w:docPart w:val="GBC22222222222222222222222222222"/>
            </w:placeholder>
          </w:sdtPr>
          <w:sdtContent>
            <w:p w:rsidR="00806678" w:rsidRDefault="00F80B6C">
              <w:r>
                <w:fldChar w:fldCharType="begin"/>
              </w:r>
              <w:r w:rsidR="009C54D9">
                <w:instrText xml:space="preserve"> MACROBUTTON  SnrToggleCheckbox √适用 </w:instrText>
              </w:r>
              <w:r>
                <w:fldChar w:fldCharType="end"/>
              </w:r>
              <w:r>
                <w:fldChar w:fldCharType="begin"/>
              </w:r>
              <w:r w:rsidR="009C54D9">
                <w:instrText xml:space="preserve"> MACROBUTTON  SnrToggleCheckbox □不适用 </w:instrText>
              </w:r>
              <w:r>
                <w:fldChar w:fldCharType="end"/>
              </w:r>
            </w:p>
          </w:sdtContent>
        </w:sdt>
        <w:p w:rsidR="00806678" w:rsidRDefault="00B16377">
          <w:pPr>
            <w:jc w:val="right"/>
            <w:rPr>
              <w:szCs w:val="21"/>
            </w:rPr>
          </w:pPr>
          <w:r>
            <w:rPr>
              <w:rFonts w:hint="eastAsia"/>
              <w:szCs w:val="21"/>
            </w:rPr>
            <w:t>单位：</w:t>
          </w:r>
          <w:sdt>
            <w:sdtPr>
              <w:rPr>
                <w:rFonts w:hint="eastAsia"/>
                <w:szCs w:val="21"/>
              </w:rPr>
              <w:alias w:val="单位：母公司应收账款按账龄披露"/>
              <w:tag w:val="_GBC_6f3238355b1f4a02b89a4d1aa10b0026"/>
              <w:id w:val="-125073062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母公司应收账款按账龄披露"/>
              <w:tag w:val="_GBC_c255ef872ced4f4ba9701062491ddd60"/>
              <w:id w:val="104749615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3444"/>
            <w:gridCol w:w="2906"/>
            <w:gridCol w:w="2709"/>
          </w:tblGrid>
          <w:tr w:rsidR="00974630" w:rsidTr="00CE55F0">
            <w:trPr>
              <w:cantSplit/>
            </w:trPr>
            <w:sdt>
              <w:sdtPr>
                <w:tag w:val="_PLD_306ac63f3585491ab4c995e84aaeaae8"/>
                <w:id w:val="-1897963387"/>
                <w:lock w:val="sdtLocked"/>
              </w:sdtPr>
              <w:sdtContent>
                <w:tc>
                  <w:tcPr>
                    <w:tcW w:w="1901" w:type="pct"/>
                    <w:tcBorders>
                      <w:top w:val="single" w:sz="4" w:space="0" w:color="auto"/>
                      <w:left w:val="single" w:sz="4" w:space="0" w:color="auto"/>
                      <w:bottom w:val="single" w:sz="4" w:space="0" w:color="auto"/>
                      <w:right w:val="single" w:sz="4" w:space="0" w:color="auto"/>
                    </w:tcBorders>
                    <w:vAlign w:val="center"/>
                  </w:tcPr>
                  <w:p w:rsidR="00974630" w:rsidRDefault="00974630" w:rsidP="00DB008B">
                    <w:pPr>
                      <w:jc w:val="center"/>
                      <w:rPr>
                        <w:szCs w:val="21"/>
                      </w:rPr>
                    </w:pPr>
                    <w:r>
                      <w:rPr>
                        <w:rFonts w:hint="eastAsia"/>
                        <w:szCs w:val="21"/>
                      </w:rPr>
                      <w:t>账龄</w:t>
                    </w:r>
                  </w:p>
                </w:tc>
              </w:sdtContent>
            </w:sdt>
            <w:sdt>
              <w:sdtPr>
                <w:tag w:val="_PLD_af5c2c2bfbf14ab3a9bc2f164f5d2a9c"/>
                <w:id w:val="493766290"/>
                <w:lock w:val="sdtLocked"/>
              </w:sdtPr>
              <w:sdtContent>
                <w:tc>
                  <w:tcPr>
                    <w:tcW w:w="1604" w:type="pct"/>
                    <w:tcBorders>
                      <w:top w:val="single" w:sz="4" w:space="0" w:color="auto"/>
                      <w:left w:val="single" w:sz="4" w:space="0" w:color="auto"/>
                      <w:bottom w:val="single" w:sz="4" w:space="0" w:color="auto"/>
                      <w:right w:val="single" w:sz="4" w:space="0" w:color="auto"/>
                    </w:tcBorders>
                    <w:vAlign w:val="center"/>
                  </w:tcPr>
                  <w:p w:rsidR="00974630" w:rsidRDefault="00974630" w:rsidP="00DB008B">
                    <w:pPr>
                      <w:jc w:val="center"/>
                      <w:rPr>
                        <w:szCs w:val="21"/>
                      </w:rPr>
                    </w:pPr>
                    <w:r>
                      <w:rPr>
                        <w:rFonts w:hint="eastAsia"/>
                        <w:szCs w:val="21"/>
                      </w:rPr>
                      <w:t>期末账面余额</w:t>
                    </w:r>
                  </w:p>
                </w:tc>
              </w:sdtContent>
            </w:sdt>
            <w:tc>
              <w:tcPr>
                <w:tcW w:w="1495" w:type="pct"/>
                <w:tcBorders>
                  <w:top w:val="single" w:sz="4" w:space="0" w:color="auto"/>
                  <w:left w:val="single" w:sz="4" w:space="0" w:color="auto"/>
                  <w:bottom w:val="single" w:sz="4" w:space="0" w:color="auto"/>
                  <w:right w:val="single" w:sz="4" w:space="0" w:color="auto"/>
                </w:tcBorders>
                <w:vAlign w:val="center"/>
              </w:tcPr>
              <w:p w:rsidR="00974630" w:rsidRDefault="00974630" w:rsidP="00DB008B">
                <w:pPr>
                  <w:jc w:val="center"/>
                  <w:rPr>
                    <w:szCs w:val="21"/>
                  </w:rPr>
                </w:pPr>
                <w:r>
                  <w:rPr>
                    <w:rFonts w:hint="eastAsia"/>
                    <w:szCs w:val="21"/>
                  </w:rPr>
                  <w:t>期初账面余额</w:t>
                </w:r>
              </w:p>
            </w:tc>
          </w:tr>
          <w:tr w:rsidR="00974630" w:rsidTr="00974630">
            <w:trPr>
              <w:cantSplit/>
            </w:trPr>
            <w:sdt>
              <w:sdtPr>
                <w:tag w:val="_PLD_7f5863b5059b4a88ba2215c89b2dad39"/>
                <w:id w:val="-1314790276"/>
                <w:lock w:val="sdtLocked"/>
              </w:sdtPr>
              <w:sdtContent>
                <w:tc>
                  <w:tcPr>
                    <w:tcW w:w="5000" w:type="pct"/>
                    <w:gridSpan w:val="3"/>
                    <w:tcBorders>
                      <w:top w:val="single" w:sz="4" w:space="0" w:color="auto"/>
                      <w:left w:val="single" w:sz="4" w:space="0" w:color="auto"/>
                      <w:bottom w:val="single" w:sz="4" w:space="0" w:color="auto"/>
                      <w:right w:val="single" w:sz="4" w:space="0" w:color="auto"/>
                    </w:tcBorders>
                  </w:tcPr>
                  <w:p w:rsidR="00974630" w:rsidRDefault="00974630" w:rsidP="00DB008B">
                    <w:pPr>
                      <w:rPr>
                        <w:color w:val="FF0000"/>
                        <w:szCs w:val="21"/>
                      </w:rPr>
                    </w:pPr>
                    <w:r>
                      <w:rPr>
                        <w:rFonts w:hint="eastAsia"/>
                        <w:szCs w:val="21"/>
                      </w:rPr>
                      <w:t>1年以内</w:t>
                    </w:r>
                  </w:p>
                </w:tc>
              </w:sdtContent>
            </w:sdt>
          </w:tr>
          <w:tr w:rsidR="00974630" w:rsidTr="00974630">
            <w:trPr>
              <w:cantSplit/>
            </w:trPr>
            <w:sdt>
              <w:sdtPr>
                <w:tag w:val="_PLD_b978e1978e654c4cb4661534099479b9"/>
                <w:id w:val="-694769422"/>
                <w:lock w:val="sdtLocked"/>
              </w:sdtPr>
              <w:sdtContent>
                <w:tc>
                  <w:tcPr>
                    <w:tcW w:w="5000" w:type="pct"/>
                    <w:gridSpan w:val="3"/>
                    <w:tcBorders>
                      <w:top w:val="single" w:sz="4" w:space="0" w:color="auto"/>
                      <w:left w:val="single" w:sz="4" w:space="0" w:color="auto"/>
                      <w:bottom w:val="single" w:sz="4" w:space="0" w:color="auto"/>
                      <w:right w:val="single" w:sz="4" w:space="0" w:color="auto"/>
                    </w:tcBorders>
                  </w:tcPr>
                  <w:p w:rsidR="00974630" w:rsidRDefault="00974630" w:rsidP="00DB008B">
                    <w:pPr>
                      <w:rPr>
                        <w:szCs w:val="21"/>
                      </w:rPr>
                    </w:pPr>
                    <w:r>
                      <w:rPr>
                        <w:rFonts w:hint="eastAsia"/>
                        <w:szCs w:val="21"/>
                      </w:rPr>
                      <w:t>其中：1年以内分项</w:t>
                    </w:r>
                  </w:p>
                </w:tc>
              </w:sdtContent>
            </w:sdt>
          </w:tr>
          <w:sdt>
            <w:sdtPr>
              <w:rPr>
                <w:szCs w:val="21"/>
              </w:rPr>
              <w:alias w:val="一年以内应收账款金额明细"/>
              <w:tag w:val="_TUP_b61cca260e7641f2bce034ce2df2cd0d"/>
              <w:id w:val="-905847359"/>
              <w:lock w:val="sdtLocked"/>
            </w:sdtPr>
            <w:sdtContent>
              <w:tr w:rsidR="00974630" w:rsidTr="00CE55F0">
                <w:trPr>
                  <w:cantSplit/>
                </w:trPr>
                <w:tc>
                  <w:tcPr>
                    <w:tcW w:w="1901" w:type="pct"/>
                    <w:tcBorders>
                      <w:top w:val="single" w:sz="4" w:space="0" w:color="auto"/>
                      <w:left w:val="single" w:sz="4" w:space="0" w:color="auto"/>
                      <w:bottom w:val="single" w:sz="4" w:space="0" w:color="auto"/>
                      <w:right w:val="single" w:sz="4" w:space="0" w:color="auto"/>
                    </w:tcBorders>
                  </w:tcPr>
                  <w:p w:rsidR="00974630" w:rsidRDefault="00974630" w:rsidP="00DB008B">
                    <w:pPr>
                      <w:rPr>
                        <w:szCs w:val="21"/>
                      </w:rPr>
                    </w:pPr>
                    <w:r>
                      <w:rPr>
                        <w:rFonts w:hint="eastAsia"/>
                        <w:szCs w:val="21"/>
                      </w:rPr>
                      <w:t>1年以内</w:t>
                    </w:r>
                  </w:p>
                </w:tc>
                <w:tc>
                  <w:tcPr>
                    <w:tcW w:w="1604" w:type="pct"/>
                    <w:tcBorders>
                      <w:top w:val="single" w:sz="4" w:space="0" w:color="auto"/>
                      <w:left w:val="single" w:sz="4" w:space="0" w:color="auto"/>
                      <w:bottom w:val="single" w:sz="4" w:space="0" w:color="auto"/>
                      <w:right w:val="single" w:sz="4" w:space="0" w:color="auto"/>
                    </w:tcBorders>
                  </w:tcPr>
                  <w:p w:rsidR="00974630" w:rsidRDefault="00974630" w:rsidP="00DB008B">
                    <w:pPr>
                      <w:jc w:val="right"/>
                      <w:rPr>
                        <w:szCs w:val="21"/>
                      </w:rPr>
                    </w:pPr>
                    <w:r>
                      <w:t>5,762,842,439</w:t>
                    </w:r>
                  </w:p>
                </w:tc>
                <w:sdt>
                  <w:sdtPr>
                    <w:alias w:val="期初账面余额"/>
                    <w:tag w:val="_GBC_65f781c4b91149778886b40e8f32b609"/>
                    <w:id w:val="-1292893758"/>
                    <w:lock w:val="sdtLocked"/>
                  </w:sdtPr>
                  <w:sdtContent>
                    <w:tc>
                      <w:tcPr>
                        <w:tcW w:w="1495" w:type="pct"/>
                        <w:tcBorders>
                          <w:top w:val="single" w:sz="4" w:space="0" w:color="auto"/>
                          <w:left w:val="single" w:sz="4" w:space="0" w:color="auto"/>
                          <w:bottom w:val="single" w:sz="4" w:space="0" w:color="auto"/>
                          <w:right w:val="single" w:sz="4" w:space="0" w:color="auto"/>
                        </w:tcBorders>
                      </w:tcPr>
                      <w:p w:rsidR="00974630" w:rsidRDefault="00974630" w:rsidP="00DB008B">
                        <w:pPr>
                          <w:jc w:val="right"/>
                          <w:rPr>
                            <w:szCs w:val="21"/>
                          </w:rPr>
                        </w:pPr>
                        <w:r>
                          <w:t>3,276,761,631</w:t>
                        </w:r>
                      </w:p>
                    </w:tc>
                  </w:sdtContent>
                </w:sdt>
              </w:tr>
            </w:sdtContent>
          </w:sdt>
          <w:tr w:rsidR="00974630" w:rsidTr="00CE55F0">
            <w:trPr>
              <w:cantSplit/>
            </w:trPr>
            <w:sdt>
              <w:sdtPr>
                <w:tag w:val="_PLD_8aef9ce83d614b3c8a918a411c19a08d"/>
                <w:id w:val="-1587760517"/>
                <w:lock w:val="sdtLocked"/>
              </w:sdtPr>
              <w:sdtContent>
                <w:tc>
                  <w:tcPr>
                    <w:tcW w:w="1901" w:type="pct"/>
                    <w:tcBorders>
                      <w:top w:val="single" w:sz="4" w:space="0" w:color="auto"/>
                      <w:left w:val="single" w:sz="4" w:space="0" w:color="auto"/>
                      <w:bottom w:val="single" w:sz="4" w:space="0" w:color="auto"/>
                      <w:right w:val="single" w:sz="4" w:space="0" w:color="auto"/>
                    </w:tcBorders>
                  </w:tcPr>
                  <w:p w:rsidR="00974630" w:rsidRDefault="00974630" w:rsidP="00974630">
                    <w:pPr>
                      <w:rPr>
                        <w:szCs w:val="21"/>
                      </w:rPr>
                    </w:pPr>
                    <w:r>
                      <w:rPr>
                        <w:rFonts w:hint="eastAsia"/>
                        <w:szCs w:val="21"/>
                      </w:rPr>
                      <w:t>1年以内小计</w:t>
                    </w:r>
                  </w:p>
                </w:tc>
              </w:sdtContent>
            </w:sdt>
            <w:tc>
              <w:tcPr>
                <w:tcW w:w="1604" w:type="pct"/>
                <w:tcBorders>
                  <w:top w:val="single" w:sz="4" w:space="0" w:color="auto"/>
                  <w:left w:val="single" w:sz="4" w:space="0" w:color="auto"/>
                  <w:bottom w:val="single" w:sz="4" w:space="0" w:color="auto"/>
                  <w:right w:val="single" w:sz="4" w:space="0" w:color="auto"/>
                </w:tcBorders>
                <w:vAlign w:val="center"/>
              </w:tcPr>
              <w:p w:rsidR="00974630" w:rsidRDefault="00974630" w:rsidP="00974630">
                <w:pPr>
                  <w:jc w:val="right"/>
                  <w:rPr>
                    <w:szCs w:val="21"/>
                  </w:rPr>
                </w:pPr>
                <w:r>
                  <w:t>5,762,842,439</w:t>
                </w:r>
              </w:p>
            </w:tc>
            <w:tc>
              <w:tcPr>
                <w:tcW w:w="1495" w:type="pct"/>
                <w:tcBorders>
                  <w:top w:val="single" w:sz="4" w:space="0" w:color="auto"/>
                  <w:left w:val="single" w:sz="4" w:space="0" w:color="auto"/>
                  <w:bottom w:val="single" w:sz="4" w:space="0" w:color="auto"/>
                  <w:right w:val="single" w:sz="4" w:space="0" w:color="auto"/>
                </w:tcBorders>
                <w:vAlign w:val="center"/>
              </w:tcPr>
              <w:p w:rsidR="00974630" w:rsidRDefault="00974630" w:rsidP="00974630">
                <w:pPr>
                  <w:jc w:val="right"/>
                  <w:rPr>
                    <w:szCs w:val="21"/>
                  </w:rPr>
                </w:pPr>
                <w:r>
                  <w:t>3,276,761,631</w:t>
                </w:r>
              </w:p>
            </w:tc>
          </w:tr>
          <w:tr w:rsidR="00974630" w:rsidTr="00CE55F0">
            <w:trPr>
              <w:cantSplit/>
            </w:trPr>
            <w:sdt>
              <w:sdtPr>
                <w:tag w:val="_PLD_60171e3c09014ca6aa27c8d4e453d92d"/>
                <w:id w:val="-1990470523"/>
                <w:lock w:val="sdtLocked"/>
              </w:sdtPr>
              <w:sdtContent>
                <w:tc>
                  <w:tcPr>
                    <w:tcW w:w="1901" w:type="pct"/>
                    <w:tcBorders>
                      <w:top w:val="single" w:sz="4" w:space="0" w:color="auto"/>
                      <w:left w:val="single" w:sz="4" w:space="0" w:color="auto"/>
                      <w:bottom w:val="single" w:sz="4" w:space="0" w:color="auto"/>
                      <w:right w:val="single" w:sz="4" w:space="0" w:color="auto"/>
                    </w:tcBorders>
                  </w:tcPr>
                  <w:p w:rsidR="00974630" w:rsidRDefault="00974630" w:rsidP="00974630">
                    <w:pPr>
                      <w:rPr>
                        <w:szCs w:val="21"/>
                      </w:rPr>
                    </w:pPr>
                    <w:r>
                      <w:rPr>
                        <w:rFonts w:hint="eastAsia"/>
                        <w:szCs w:val="21"/>
                      </w:rPr>
                      <w:t>1至2年</w:t>
                    </w:r>
                  </w:p>
                </w:tc>
              </w:sdtContent>
            </w:sdt>
            <w:tc>
              <w:tcPr>
                <w:tcW w:w="1604" w:type="pct"/>
                <w:tcBorders>
                  <w:top w:val="single" w:sz="4" w:space="0" w:color="auto"/>
                  <w:left w:val="single" w:sz="4" w:space="0" w:color="auto"/>
                  <w:bottom w:val="single" w:sz="4" w:space="0" w:color="auto"/>
                  <w:right w:val="single" w:sz="4" w:space="0" w:color="auto"/>
                </w:tcBorders>
                <w:vAlign w:val="center"/>
              </w:tcPr>
              <w:p w:rsidR="00974630" w:rsidRDefault="00974630" w:rsidP="00974630">
                <w:pPr>
                  <w:jc w:val="right"/>
                  <w:rPr>
                    <w:szCs w:val="21"/>
                  </w:rPr>
                </w:pPr>
                <w:r>
                  <w:t>1,226,013,394</w:t>
                </w:r>
              </w:p>
            </w:tc>
            <w:tc>
              <w:tcPr>
                <w:tcW w:w="1495" w:type="pct"/>
                <w:tcBorders>
                  <w:top w:val="single" w:sz="4" w:space="0" w:color="auto"/>
                  <w:left w:val="single" w:sz="4" w:space="0" w:color="auto"/>
                  <w:bottom w:val="single" w:sz="4" w:space="0" w:color="auto"/>
                  <w:right w:val="single" w:sz="4" w:space="0" w:color="auto"/>
                </w:tcBorders>
                <w:vAlign w:val="center"/>
              </w:tcPr>
              <w:p w:rsidR="00974630" w:rsidRDefault="00974630" w:rsidP="00974630">
                <w:pPr>
                  <w:jc w:val="right"/>
                  <w:rPr>
                    <w:szCs w:val="21"/>
                  </w:rPr>
                </w:pPr>
                <w:r>
                  <w:t>1,427,545,930</w:t>
                </w:r>
              </w:p>
            </w:tc>
          </w:tr>
          <w:tr w:rsidR="00974630" w:rsidTr="00CE55F0">
            <w:trPr>
              <w:cantSplit/>
            </w:trPr>
            <w:sdt>
              <w:sdtPr>
                <w:tag w:val="_PLD_89731acfd60f443eba6c0e13bea601ba"/>
                <w:id w:val="1615250415"/>
                <w:lock w:val="sdtLocked"/>
              </w:sdtPr>
              <w:sdtContent>
                <w:tc>
                  <w:tcPr>
                    <w:tcW w:w="1901" w:type="pct"/>
                    <w:tcBorders>
                      <w:top w:val="single" w:sz="4" w:space="0" w:color="auto"/>
                      <w:left w:val="single" w:sz="4" w:space="0" w:color="auto"/>
                      <w:bottom w:val="single" w:sz="4" w:space="0" w:color="auto"/>
                      <w:right w:val="single" w:sz="4" w:space="0" w:color="auto"/>
                    </w:tcBorders>
                  </w:tcPr>
                  <w:p w:rsidR="00974630" w:rsidRDefault="00974630" w:rsidP="00974630">
                    <w:pPr>
                      <w:rPr>
                        <w:szCs w:val="21"/>
                      </w:rPr>
                    </w:pPr>
                    <w:r>
                      <w:rPr>
                        <w:rFonts w:hint="eastAsia"/>
                        <w:szCs w:val="21"/>
                      </w:rPr>
                      <w:t>2至3年</w:t>
                    </w:r>
                  </w:p>
                </w:tc>
              </w:sdtContent>
            </w:sdt>
            <w:tc>
              <w:tcPr>
                <w:tcW w:w="1604" w:type="pct"/>
                <w:tcBorders>
                  <w:top w:val="single" w:sz="4" w:space="0" w:color="auto"/>
                  <w:left w:val="single" w:sz="4" w:space="0" w:color="auto"/>
                  <w:bottom w:val="single" w:sz="4" w:space="0" w:color="auto"/>
                  <w:right w:val="single" w:sz="4" w:space="0" w:color="auto"/>
                </w:tcBorders>
                <w:vAlign w:val="center"/>
              </w:tcPr>
              <w:p w:rsidR="00974630" w:rsidRDefault="00974630" w:rsidP="00974630">
                <w:pPr>
                  <w:jc w:val="right"/>
                  <w:rPr>
                    <w:szCs w:val="21"/>
                  </w:rPr>
                </w:pPr>
                <w:r>
                  <w:t>585,552,963</w:t>
                </w:r>
              </w:p>
            </w:tc>
            <w:tc>
              <w:tcPr>
                <w:tcW w:w="1495" w:type="pct"/>
                <w:tcBorders>
                  <w:top w:val="single" w:sz="4" w:space="0" w:color="auto"/>
                  <w:left w:val="single" w:sz="4" w:space="0" w:color="auto"/>
                  <w:bottom w:val="single" w:sz="4" w:space="0" w:color="auto"/>
                  <w:right w:val="single" w:sz="4" w:space="0" w:color="auto"/>
                </w:tcBorders>
                <w:vAlign w:val="center"/>
              </w:tcPr>
              <w:p w:rsidR="00974630" w:rsidRDefault="00974630" w:rsidP="00974630">
                <w:pPr>
                  <w:jc w:val="right"/>
                  <w:rPr>
                    <w:szCs w:val="21"/>
                  </w:rPr>
                </w:pPr>
                <w:r>
                  <w:t>911,615,845</w:t>
                </w:r>
              </w:p>
            </w:tc>
          </w:tr>
          <w:tr w:rsidR="00974630" w:rsidTr="00CE55F0">
            <w:trPr>
              <w:cantSplit/>
            </w:trPr>
            <w:sdt>
              <w:sdtPr>
                <w:tag w:val="_PLD_0a8b1ad1c8d741279fdfef343d4a9485"/>
                <w:id w:val="-62645457"/>
                <w:lock w:val="sdtLocked"/>
              </w:sdtPr>
              <w:sdtContent>
                <w:tc>
                  <w:tcPr>
                    <w:tcW w:w="1901" w:type="pct"/>
                    <w:tcBorders>
                      <w:top w:val="single" w:sz="4" w:space="0" w:color="auto"/>
                      <w:left w:val="single" w:sz="4" w:space="0" w:color="auto"/>
                      <w:bottom w:val="single" w:sz="4" w:space="0" w:color="auto"/>
                      <w:right w:val="single" w:sz="4" w:space="0" w:color="auto"/>
                    </w:tcBorders>
                  </w:tcPr>
                  <w:p w:rsidR="00974630" w:rsidRDefault="00974630" w:rsidP="00974630">
                    <w:pPr>
                      <w:rPr>
                        <w:szCs w:val="21"/>
                      </w:rPr>
                    </w:pPr>
                    <w:r>
                      <w:rPr>
                        <w:rFonts w:hint="eastAsia"/>
                        <w:szCs w:val="21"/>
                      </w:rPr>
                      <w:t>3年以上</w:t>
                    </w:r>
                  </w:p>
                </w:tc>
              </w:sdtContent>
            </w:sdt>
            <w:tc>
              <w:tcPr>
                <w:tcW w:w="1604" w:type="pct"/>
                <w:tcBorders>
                  <w:top w:val="single" w:sz="4" w:space="0" w:color="auto"/>
                  <w:left w:val="single" w:sz="4" w:space="0" w:color="auto"/>
                  <w:bottom w:val="single" w:sz="4" w:space="0" w:color="auto"/>
                  <w:right w:val="single" w:sz="4" w:space="0" w:color="auto"/>
                </w:tcBorders>
              </w:tcPr>
              <w:p w:rsidR="00974630" w:rsidRDefault="00974630" w:rsidP="00974630">
                <w:pPr>
                  <w:jc w:val="right"/>
                  <w:rPr>
                    <w:szCs w:val="21"/>
                  </w:rPr>
                </w:pPr>
              </w:p>
            </w:tc>
            <w:tc>
              <w:tcPr>
                <w:tcW w:w="1495" w:type="pct"/>
                <w:tcBorders>
                  <w:top w:val="single" w:sz="4" w:space="0" w:color="auto"/>
                  <w:left w:val="single" w:sz="4" w:space="0" w:color="auto"/>
                  <w:bottom w:val="single" w:sz="4" w:space="0" w:color="auto"/>
                  <w:right w:val="single" w:sz="4" w:space="0" w:color="auto"/>
                </w:tcBorders>
              </w:tcPr>
              <w:p w:rsidR="00974630" w:rsidRDefault="00974630" w:rsidP="00974630">
                <w:pPr>
                  <w:jc w:val="right"/>
                  <w:rPr>
                    <w:szCs w:val="21"/>
                  </w:rPr>
                </w:pPr>
              </w:p>
            </w:tc>
          </w:tr>
          <w:tr w:rsidR="00974630" w:rsidTr="00CE55F0">
            <w:trPr>
              <w:cantSplit/>
            </w:trPr>
            <w:sdt>
              <w:sdtPr>
                <w:tag w:val="_PLD_a5e068719bf940b2b449eb719c2ac726"/>
                <w:id w:val="820619595"/>
                <w:lock w:val="sdtLocked"/>
              </w:sdtPr>
              <w:sdtContent>
                <w:tc>
                  <w:tcPr>
                    <w:tcW w:w="1901" w:type="pct"/>
                    <w:tcBorders>
                      <w:top w:val="single" w:sz="4" w:space="0" w:color="auto"/>
                      <w:left w:val="single" w:sz="4" w:space="0" w:color="auto"/>
                      <w:bottom w:val="single" w:sz="4" w:space="0" w:color="auto"/>
                      <w:right w:val="single" w:sz="4" w:space="0" w:color="auto"/>
                    </w:tcBorders>
                  </w:tcPr>
                  <w:p w:rsidR="00974630" w:rsidRDefault="00974630" w:rsidP="00974630">
                    <w:pPr>
                      <w:rPr>
                        <w:szCs w:val="21"/>
                      </w:rPr>
                    </w:pPr>
                    <w:r>
                      <w:rPr>
                        <w:rFonts w:hint="eastAsia"/>
                        <w:szCs w:val="21"/>
                      </w:rPr>
                      <w:t>3至4年</w:t>
                    </w:r>
                  </w:p>
                </w:tc>
              </w:sdtContent>
            </w:sdt>
            <w:tc>
              <w:tcPr>
                <w:tcW w:w="1604" w:type="pct"/>
                <w:tcBorders>
                  <w:top w:val="single" w:sz="4" w:space="0" w:color="auto"/>
                  <w:left w:val="single" w:sz="4" w:space="0" w:color="auto"/>
                  <w:bottom w:val="single" w:sz="4" w:space="0" w:color="auto"/>
                  <w:right w:val="single" w:sz="4" w:space="0" w:color="auto"/>
                </w:tcBorders>
                <w:vAlign w:val="center"/>
              </w:tcPr>
              <w:p w:rsidR="00974630" w:rsidRDefault="00974630" w:rsidP="00974630">
                <w:pPr>
                  <w:jc w:val="right"/>
                  <w:rPr>
                    <w:szCs w:val="21"/>
                  </w:rPr>
                </w:pPr>
                <w:r>
                  <w:t>36,190,770</w:t>
                </w:r>
              </w:p>
            </w:tc>
            <w:tc>
              <w:tcPr>
                <w:tcW w:w="1495" w:type="pct"/>
                <w:tcBorders>
                  <w:top w:val="single" w:sz="4" w:space="0" w:color="auto"/>
                  <w:left w:val="single" w:sz="4" w:space="0" w:color="auto"/>
                  <w:bottom w:val="single" w:sz="4" w:space="0" w:color="auto"/>
                  <w:right w:val="single" w:sz="4" w:space="0" w:color="auto"/>
                </w:tcBorders>
                <w:vAlign w:val="center"/>
              </w:tcPr>
              <w:p w:rsidR="00974630" w:rsidRDefault="00974630" w:rsidP="00974630">
                <w:pPr>
                  <w:jc w:val="right"/>
                  <w:rPr>
                    <w:szCs w:val="21"/>
                  </w:rPr>
                </w:pPr>
                <w:r>
                  <w:t>573,674,892</w:t>
                </w:r>
              </w:p>
            </w:tc>
          </w:tr>
          <w:tr w:rsidR="00974630" w:rsidTr="00CE55F0">
            <w:trPr>
              <w:cantSplit/>
            </w:trPr>
            <w:sdt>
              <w:sdtPr>
                <w:tag w:val="_PLD_2c21885973f74a85b1bcce595393c67c"/>
                <w:id w:val="-162939606"/>
                <w:lock w:val="sdtLocked"/>
              </w:sdtPr>
              <w:sdtContent>
                <w:tc>
                  <w:tcPr>
                    <w:tcW w:w="1901" w:type="pct"/>
                    <w:tcBorders>
                      <w:top w:val="single" w:sz="4" w:space="0" w:color="auto"/>
                      <w:left w:val="single" w:sz="4" w:space="0" w:color="auto"/>
                      <w:bottom w:val="single" w:sz="4" w:space="0" w:color="auto"/>
                      <w:right w:val="single" w:sz="4" w:space="0" w:color="auto"/>
                    </w:tcBorders>
                  </w:tcPr>
                  <w:p w:rsidR="00974630" w:rsidRDefault="00974630" w:rsidP="00974630">
                    <w:pPr>
                      <w:rPr>
                        <w:szCs w:val="21"/>
                      </w:rPr>
                    </w:pPr>
                    <w:r>
                      <w:rPr>
                        <w:rFonts w:hint="eastAsia"/>
                        <w:szCs w:val="21"/>
                      </w:rPr>
                      <w:t>4至5年</w:t>
                    </w:r>
                  </w:p>
                </w:tc>
              </w:sdtContent>
            </w:sdt>
            <w:tc>
              <w:tcPr>
                <w:tcW w:w="1604" w:type="pct"/>
                <w:tcBorders>
                  <w:top w:val="single" w:sz="4" w:space="0" w:color="auto"/>
                  <w:left w:val="single" w:sz="4" w:space="0" w:color="auto"/>
                  <w:bottom w:val="single" w:sz="4" w:space="0" w:color="auto"/>
                  <w:right w:val="single" w:sz="4" w:space="0" w:color="auto"/>
                </w:tcBorders>
                <w:vAlign w:val="center"/>
              </w:tcPr>
              <w:p w:rsidR="00974630" w:rsidRDefault="00974630" w:rsidP="00974630">
                <w:pPr>
                  <w:jc w:val="right"/>
                  <w:rPr>
                    <w:szCs w:val="21"/>
                  </w:rPr>
                </w:pPr>
                <w:r>
                  <w:t>34,590,148</w:t>
                </w:r>
              </w:p>
            </w:tc>
            <w:tc>
              <w:tcPr>
                <w:tcW w:w="1495" w:type="pct"/>
                <w:tcBorders>
                  <w:top w:val="single" w:sz="4" w:space="0" w:color="auto"/>
                  <w:left w:val="single" w:sz="4" w:space="0" w:color="auto"/>
                  <w:bottom w:val="single" w:sz="4" w:space="0" w:color="auto"/>
                  <w:right w:val="single" w:sz="4" w:space="0" w:color="auto"/>
                </w:tcBorders>
                <w:vAlign w:val="center"/>
              </w:tcPr>
              <w:p w:rsidR="00974630" w:rsidRDefault="00974630" w:rsidP="00974630">
                <w:pPr>
                  <w:jc w:val="right"/>
                  <w:rPr>
                    <w:szCs w:val="21"/>
                  </w:rPr>
                </w:pPr>
                <w:r>
                  <w:t>30,345,500</w:t>
                </w:r>
              </w:p>
            </w:tc>
          </w:tr>
          <w:tr w:rsidR="00974630" w:rsidTr="00CE55F0">
            <w:trPr>
              <w:cantSplit/>
            </w:trPr>
            <w:sdt>
              <w:sdtPr>
                <w:tag w:val="_PLD_02f976cd9e144b12bbb6cc4715ee8be6"/>
                <w:id w:val="1774895293"/>
                <w:lock w:val="sdtLocked"/>
              </w:sdtPr>
              <w:sdtContent>
                <w:tc>
                  <w:tcPr>
                    <w:tcW w:w="1901" w:type="pct"/>
                    <w:tcBorders>
                      <w:top w:val="single" w:sz="4" w:space="0" w:color="auto"/>
                      <w:left w:val="single" w:sz="4" w:space="0" w:color="auto"/>
                      <w:bottom w:val="single" w:sz="4" w:space="0" w:color="auto"/>
                      <w:right w:val="single" w:sz="4" w:space="0" w:color="auto"/>
                    </w:tcBorders>
                  </w:tcPr>
                  <w:p w:rsidR="00974630" w:rsidRDefault="00974630" w:rsidP="00974630">
                    <w:pPr>
                      <w:rPr>
                        <w:szCs w:val="21"/>
                      </w:rPr>
                    </w:pPr>
                    <w:r>
                      <w:rPr>
                        <w:rFonts w:hint="eastAsia"/>
                        <w:szCs w:val="21"/>
                      </w:rPr>
                      <w:t>5年以上</w:t>
                    </w:r>
                  </w:p>
                </w:tc>
              </w:sdtContent>
            </w:sdt>
            <w:tc>
              <w:tcPr>
                <w:tcW w:w="1604" w:type="pct"/>
                <w:tcBorders>
                  <w:top w:val="single" w:sz="4" w:space="0" w:color="auto"/>
                  <w:left w:val="single" w:sz="4" w:space="0" w:color="auto"/>
                  <w:bottom w:val="single" w:sz="4" w:space="0" w:color="auto"/>
                  <w:right w:val="single" w:sz="4" w:space="0" w:color="auto"/>
                </w:tcBorders>
                <w:vAlign w:val="center"/>
              </w:tcPr>
              <w:p w:rsidR="00974630" w:rsidRDefault="00974630" w:rsidP="00974630">
                <w:pPr>
                  <w:jc w:val="right"/>
                  <w:rPr>
                    <w:szCs w:val="21"/>
                  </w:rPr>
                </w:pPr>
                <w:r>
                  <w:t>43,183,851</w:t>
                </w:r>
              </w:p>
            </w:tc>
            <w:tc>
              <w:tcPr>
                <w:tcW w:w="1495" w:type="pct"/>
                <w:tcBorders>
                  <w:top w:val="single" w:sz="4" w:space="0" w:color="auto"/>
                  <w:left w:val="single" w:sz="4" w:space="0" w:color="auto"/>
                  <w:bottom w:val="single" w:sz="4" w:space="0" w:color="auto"/>
                  <w:right w:val="single" w:sz="4" w:space="0" w:color="auto"/>
                </w:tcBorders>
                <w:vAlign w:val="center"/>
              </w:tcPr>
              <w:p w:rsidR="00974630" w:rsidRDefault="00974630" w:rsidP="00974630">
                <w:pPr>
                  <w:jc w:val="right"/>
                  <w:rPr>
                    <w:szCs w:val="21"/>
                  </w:rPr>
                </w:pPr>
                <w:r>
                  <w:t>43,263,482</w:t>
                </w:r>
              </w:p>
            </w:tc>
          </w:tr>
          <w:tr w:rsidR="00974630" w:rsidTr="00CE55F0">
            <w:trPr>
              <w:cantSplit/>
            </w:trPr>
            <w:sdt>
              <w:sdtPr>
                <w:tag w:val="_PLD_a4d3a76dbc2f4319a93b8e99313ee064"/>
                <w:id w:val="-1242181804"/>
                <w:lock w:val="sdtLocked"/>
              </w:sdtPr>
              <w:sdtContent>
                <w:tc>
                  <w:tcPr>
                    <w:tcW w:w="1901" w:type="pct"/>
                    <w:tcBorders>
                      <w:top w:val="single" w:sz="4" w:space="0" w:color="auto"/>
                      <w:left w:val="single" w:sz="4" w:space="0" w:color="auto"/>
                      <w:bottom w:val="single" w:sz="4" w:space="0" w:color="auto"/>
                      <w:right w:val="single" w:sz="4" w:space="0" w:color="auto"/>
                    </w:tcBorders>
                    <w:vAlign w:val="center"/>
                  </w:tcPr>
                  <w:p w:rsidR="00974630" w:rsidRDefault="00974630" w:rsidP="00974630">
                    <w:pPr>
                      <w:jc w:val="center"/>
                      <w:rPr>
                        <w:szCs w:val="21"/>
                      </w:rPr>
                    </w:pPr>
                    <w:r>
                      <w:rPr>
                        <w:rFonts w:hint="eastAsia"/>
                        <w:szCs w:val="21"/>
                      </w:rPr>
                      <w:t>合计</w:t>
                    </w:r>
                  </w:p>
                </w:tc>
              </w:sdtContent>
            </w:sdt>
            <w:tc>
              <w:tcPr>
                <w:tcW w:w="1604" w:type="pct"/>
                <w:tcBorders>
                  <w:top w:val="single" w:sz="4" w:space="0" w:color="auto"/>
                  <w:left w:val="single" w:sz="4" w:space="0" w:color="auto"/>
                  <w:bottom w:val="single" w:sz="4" w:space="0" w:color="auto"/>
                  <w:right w:val="single" w:sz="4" w:space="0" w:color="auto"/>
                </w:tcBorders>
                <w:vAlign w:val="center"/>
              </w:tcPr>
              <w:p w:rsidR="00974630" w:rsidRDefault="00974630" w:rsidP="00974630">
                <w:pPr>
                  <w:jc w:val="right"/>
                  <w:rPr>
                    <w:szCs w:val="21"/>
                  </w:rPr>
                </w:pPr>
                <w:r>
                  <w:t>7,688,373,565</w:t>
                </w:r>
              </w:p>
            </w:tc>
            <w:tc>
              <w:tcPr>
                <w:tcW w:w="1495" w:type="pct"/>
                <w:tcBorders>
                  <w:top w:val="single" w:sz="4" w:space="0" w:color="auto"/>
                  <w:left w:val="single" w:sz="4" w:space="0" w:color="auto"/>
                  <w:bottom w:val="single" w:sz="4" w:space="0" w:color="auto"/>
                  <w:right w:val="single" w:sz="4" w:space="0" w:color="auto"/>
                </w:tcBorders>
                <w:vAlign w:val="center"/>
              </w:tcPr>
              <w:p w:rsidR="00974630" w:rsidRDefault="00974630" w:rsidP="00974630">
                <w:pPr>
                  <w:jc w:val="right"/>
                  <w:rPr>
                    <w:szCs w:val="21"/>
                  </w:rPr>
                </w:pPr>
                <w:r>
                  <w:t>6,263,207,280</w:t>
                </w:r>
              </w:p>
            </w:tc>
          </w:tr>
        </w:tbl>
        <w:p w:rsidR="00806678" w:rsidRDefault="00806678"/>
        <w:p w:rsidR="0038552F" w:rsidRDefault="0038552F">
          <w:pPr>
            <w:sectPr w:rsidR="0038552F" w:rsidSect="007C6651">
              <w:pgSz w:w="11906" w:h="16838"/>
              <w:pgMar w:top="1525" w:right="1276" w:bottom="1440" w:left="1797" w:header="856" w:footer="992" w:gutter="0"/>
              <w:cols w:space="425"/>
              <w:docGrid w:linePitch="312"/>
            </w:sectPr>
          </w:pPr>
        </w:p>
        <w:p w:rsidR="00806678" w:rsidRDefault="00F80B6C"/>
      </w:sdtContent>
    </w:sdt>
    <w:bookmarkEnd w:id="262" w:displacedByCustomXml="prev"/>
    <w:bookmarkStart w:id="263" w:name="_Hlk533796703" w:displacedByCustomXml="next"/>
    <w:sdt>
      <w:sdtPr>
        <w:rPr>
          <w:rFonts w:ascii="宋体" w:eastAsia="宋体" w:hAnsi="宋体" w:cs="宋体" w:hint="eastAsia"/>
          <w:b w:val="0"/>
          <w:bCs w:val="0"/>
          <w:kern w:val="0"/>
          <w:szCs w:val="24"/>
        </w:rPr>
        <w:alias w:val="模块:按坏账计提方法分类披露"/>
        <w:tag w:val="_SEC_131d28c67a9247ee8559c47dff9a25ad"/>
        <w:id w:val="-1737848653"/>
        <w:lock w:val="sdtLocked"/>
        <w:placeholder>
          <w:docPart w:val="GBC22222222222222222222222222222"/>
        </w:placeholder>
      </w:sdtPr>
      <w:sdtEndPr>
        <w:rPr>
          <w:rFonts w:hint="default"/>
        </w:rPr>
      </w:sdtEndPr>
      <w:sdtContent>
        <w:p w:rsidR="00806678" w:rsidRDefault="00B16377" w:rsidP="00FF17C7">
          <w:pPr>
            <w:pStyle w:val="4"/>
            <w:numPr>
              <w:ilvl w:val="3"/>
              <w:numId w:val="111"/>
            </w:numPr>
            <w:ind w:left="424" w:hangingChars="202" w:hanging="424"/>
          </w:pPr>
          <w:r>
            <w:rPr>
              <w:rFonts w:hint="eastAsia"/>
            </w:rPr>
            <w:t>按坏账计提方法分类披露</w:t>
          </w:r>
        </w:p>
        <w:sdt>
          <w:sdtPr>
            <w:alias w:val="是否适用：母公司应收账款按坏账计提方法分类披露[双击切换]"/>
            <w:tag w:val="_GBC_7881b37ba62844928bb3a0f84fa1312c"/>
            <w:id w:val="-1162465994"/>
            <w:lock w:val="sdtLocked"/>
            <w:placeholder>
              <w:docPart w:val="GBC22222222222222222222222222222"/>
            </w:placeholder>
          </w:sdtPr>
          <w:sdtContent>
            <w:p w:rsidR="00806678" w:rsidRDefault="00F80B6C">
              <w:r>
                <w:fldChar w:fldCharType="begin"/>
              </w:r>
              <w:r w:rsidR="0038552F">
                <w:instrText xml:space="preserve"> MACROBUTTON  SnrToggleCheckbox √适用 </w:instrText>
              </w:r>
              <w:r>
                <w:fldChar w:fldCharType="end"/>
              </w:r>
              <w:r>
                <w:fldChar w:fldCharType="begin"/>
              </w:r>
              <w:r w:rsidR="0038552F">
                <w:instrText xml:space="preserve"> MACROBUTTON  SnrToggleCheckbox □不适用 </w:instrText>
              </w:r>
              <w:r>
                <w:fldChar w:fldCharType="end"/>
              </w:r>
            </w:p>
          </w:sdtContent>
        </w:sdt>
        <w:p w:rsidR="00806678" w:rsidRDefault="00B16377">
          <w:pPr>
            <w:pStyle w:val="a9"/>
            <w:autoSpaceDE w:val="0"/>
            <w:autoSpaceDN w:val="0"/>
            <w:adjustRightInd w:val="0"/>
            <w:ind w:left="425" w:right="105" w:firstLineChars="0" w:firstLine="0"/>
            <w:jc w:val="right"/>
            <w:rPr>
              <w:szCs w:val="21"/>
            </w:rPr>
          </w:pPr>
          <w:r>
            <w:rPr>
              <w:rFonts w:hint="eastAsia"/>
              <w:szCs w:val="21"/>
            </w:rPr>
            <w:t>单位：</w:t>
          </w:r>
          <w:sdt>
            <w:sdtPr>
              <w:rPr>
                <w:rFonts w:hint="eastAsia"/>
                <w:szCs w:val="21"/>
              </w:rPr>
              <w:alias w:val="单位：母公司应收账款按坏账计提方法分类披露"/>
              <w:tag w:val="_GBC_57cfa95657c1492d995c84aaa01cd7a5"/>
              <w:id w:val="-157273886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母公司应收账款按坏账计提方法分类披露"/>
              <w:tag w:val="_GBC_b8d2fec8e15e43c8b9a141c04cb5fea0"/>
              <w:id w:val="172324856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30"/>
            <w:gridCol w:w="1581"/>
            <w:gridCol w:w="694"/>
            <w:gridCol w:w="1371"/>
            <w:gridCol w:w="636"/>
            <w:gridCol w:w="1581"/>
            <w:gridCol w:w="1581"/>
            <w:gridCol w:w="858"/>
            <w:gridCol w:w="1371"/>
            <w:gridCol w:w="805"/>
            <w:gridCol w:w="1581"/>
          </w:tblGrid>
          <w:tr w:rsidR="00E05476" w:rsidTr="00DB008B">
            <w:trPr>
              <w:cantSplit/>
              <w:trHeight w:val="259"/>
            </w:trPr>
            <w:sdt>
              <w:sdtPr>
                <w:tag w:val="_PLD_0b6f94bf734a49f28ff9eb2211eccc4e"/>
                <w:id w:val="-1930948500"/>
                <w:lock w:val="sdtLocked"/>
              </w:sdtPr>
              <w:sdtContent>
                <w:tc>
                  <w:tcPr>
                    <w:tcW w:w="754" w:type="pct"/>
                    <w:vMerge w:val="restart"/>
                    <w:tcBorders>
                      <w:top w:val="single" w:sz="4" w:space="0" w:color="auto"/>
                      <w:left w:val="single" w:sz="4" w:space="0" w:color="auto"/>
                      <w:right w:val="single" w:sz="4" w:space="0" w:color="auto"/>
                    </w:tcBorders>
                    <w:vAlign w:val="center"/>
                  </w:tcPr>
                  <w:p w:rsidR="00E05476" w:rsidRDefault="00E05476" w:rsidP="00DB008B">
                    <w:pPr>
                      <w:jc w:val="center"/>
                      <w:rPr>
                        <w:szCs w:val="21"/>
                      </w:rPr>
                    </w:pPr>
                    <w:r>
                      <w:rPr>
                        <w:rFonts w:hint="eastAsia"/>
                        <w:szCs w:val="21"/>
                      </w:rPr>
                      <w:t>类别</w:t>
                    </w:r>
                  </w:p>
                </w:tc>
              </w:sdtContent>
            </w:sdt>
            <w:sdt>
              <w:sdtPr>
                <w:tag w:val="_PLD_cadda055920649559b4578dc73b6f05e"/>
                <w:id w:val="1103387560"/>
                <w:lock w:val="sdtLocked"/>
              </w:sdtPr>
              <w:sdtContent>
                <w:tc>
                  <w:tcPr>
                    <w:tcW w:w="2175" w:type="pct"/>
                    <w:gridSpan w:val="5"/>
                    <w:tcBorders>
                      <w:top w:val="single" w:sz="4" w:space="0" w:color="auto"/>
                      <w:left w:val="single" w:sz="4" w:space="0" w:color="auto"/>
                      <w:right w:val="single" w:sz="4" w:space="0" w:color="auto"/>
                    </w:tcBorders>
                    <w:vAlign w:val="center"/>
                  </w:tcPr>
                  <w:p w:rsidR="00E05476" w:rsidRDefault="00E05476" w:rsidP="00DB008B">
                    <w:pPr>
                      <w:autoSpaceDE w:val="0"/>
                      <w:autoSpaceDN w:val="0"/>
                      <w:adjustRightInd w:val="0"/>
                      <w:snapToGrid w:val="0"/>
                      <w:spacing w:line="240" w:lineRule="atLeast"/>
                      <w:jc w:val="center"/>
                      <w:rPr>
                        <w:szCs w:val="21"/>
                      </w:rPr>
                    </w:pPr>
                    <w:r>
                      <w:rPr>
                        <w:rFonts w:hint="eastAsia"/>
                        <w:szCs w:val="21"/>
                      </w:rPr>
                      <w:t>期末余额</w:t>
                    </w:r>
                  </w:p>
                </w:tc>
              </w:sdtContent>
            </w:sdt>
            <w:sdt>
              <w:sdtPr>
                <w:tag w:val="_PLD_28a8aaa48276458aa987282704951cc5"/>
                <w:id w:val="-1898659094"/>
                <w:lock w:val="sdtLocked"/>
              </w:sdtPr>
              <w:sdtContent>
                <w:tc>
                  <w:tcPr>
                    <w:tcW w:w="2071" w:type="pct"/>
                    <w:gridSpan w:val="5"/>
                    <w:tcBorders>
                      <w:top w:val="single" w:sz="4" w:space="0" w:color="auto"/>
                      <w:left w:val="single" w:sz="4" w:space="0" w:color="auto"/>
                      <w:right w:val="single" w:sz="4" w:space="0" w:color="auto"/>
                    </w:tcBorders>
                    <w:vAlign w:val="center"/>
                  </w:tcPr>
                  <w:p w:rsidR="00E05476" w:rsidRDefault="00E05476" w:rsidP="00DB008B">
                    <w:pPr>
                      <w:autoSpaceDE w:val="0"/>
                      <w:autoSpaceDN w:val="0"/>
                      <w:adjustRightInd w:val="0"/>
                      <w:snapToGrid w:val="0"/>
                      <w:spacing w:line="240" w:lineRule="atLeast"/>
                      <w:jc w:val="center"/>
                      <w:rPr>
                        <w:szCs w:val="21"/>
                      </w:rPr>
                    </w:pPr>
                    <w:r>
                      <w:rPr>
                        <w:rFonts w:hint="eastAsia"/>
                        <w:szCs w:val="21"/>
                      </w:rPr>
                      <w:t>期初余额</w:t>
                    </w:r>
                  </w:p>
                </w:tc>
              </w:sdtContent>
            </w:sdt>
          </w:tr>
          <w:tr w:rsidR="00E05476" w:rsidTr="00DB008B">
            <w:trPr>
              <w:cantSplit/>
              <w:trHeight w:val="227"/>
            </w:trPr>
            <w:tc>
              <w:tcPr>
                <w:tcW w:w="754" w:type="pct"/>
                <w:vMerge/>
                <w:tcBorders>
                  <w:left w:val="single" w:sz="4" w:space="0" w:color="auto"/>
                  <w:right w:val="single" w:sz="4" w:space="0" w:color="auto"/>
                </w:tcBorders>
                <w:vAlign w:val="center"/>
              </w:tcPr>
              <w:p w:rsidR="00E05476" w:rsidRDefault="00E05476" w:rsidP="00DB008B">
                <w:pPr>
                  <w:rPr>
                    <w:szCs w:val="21"/>
                  </w:rPr>
                </w:pPr>
              </w:p>
            </w:tc>
            <w:sdt>
              <w:sdtPr>
                <w:tag w:val="_PLD_b6e4cad360f948d68bd5af2c3f52e83a"/>
                <w:id w:val="-525027231"/>
                <w:lock w:val="sdtLocked"/>
              </w:sdtPr>
              <w:sdtContent>
                <w:tc>
                  <w:tcPr>
                    <w:tcW w:w="841" w:type="pct"/>
                    <w:gridSpan w:val="2"/>
                    <w:tcBorders>
                      <w:top w:val="single" w:sz="4" w:space="0" w:color="auto"/>
                      <w:left w:val="single" w:sz="4" w:space="0" w:color="auto"/>
                      <w:bottom w:val="single" w:sz="4" w:space="0" w:color="auto"/>
                      <w:right w:val="single" w:sz="4" w:space="0" w:color="auto"/>
                    </w:tcBorders>
                    <w:vAlign w:val="center"/>
                  </w:tcPr>
                  <w:p w:rsidR="00E05476" w:rsidRDefault="00E05476" w:rsidP="00DB008B">
                    <w:pPr>
                      <w:jc w:val="center"/>
                      <w:rPr>
                        <w:szCs w:val="21"/>
                      </w:rPr>
                    </w:pPr>
                    <w:r>
                      <w:rPr>
                        <w:rFonts w:hint="eastAsia"/>
                        <w:szCs w:val="21"/>
                      </w:rPr>
                      <w:t>账面余额</w:t>
                    </w:r>
                  </w:p>
                </w:tc>
              </w:sdtContent>
            </w:sdt>
            <w:sdt>
              <w:sdtPr>
                <w:tag w:val="_PLD_1812a70770914fa4b8145f493ad4c468"/>
                <w:id w:val="-1089157582"/>
                <w:lock w:val="sdtLocked"/>
              </w:sdtPr>
              <w:sdtContent>
                <w:tc>
                  <w:tcPr>
                    <w:tcW w:w="773" w:type="pct"/>
                    <w:gridSpan w:val="2"/>
                    <w:tcBorders>
                      <w:top w:val="single" w:sz="4" w:space="0" w:color="auto"/>
                      <w:left w:val="single" w:sz="4" w:space="0" w:color="auto"/>
                      <w:bottom w:val="single" w:sz="4" w:space="0" w:color="auto"/>
                      <w:right w:val="single" w:sz="4" w:space="0" w:color="auto"/>
                    </w:tcBorders>
                    <w:vAlign w:val="center"/>
                  </w:tcPr>
                  <w:p w:rsidR="00E05476" w:rsidRDefault="00E05476" w:rsidP="00DB008B">
                    <w:pPr>
                      <w:jc w:val="center"/>
                      <w:rPr>
                        <w:szCs w:val="21"/>
                      </w:rPr>
                    </w:pPr>
                    <w:r>
                      <w:rPr>
                        <w:rFonts w:hint="eastAsia"/>
                        <w:szCs w:val="21"/>
                      </w:rPr>
                      <w:t>坏账准备</w:t>
                    </w:r>
                  </w:p>
                </w:tc>
              </w:sdtContent>
            </w:sdt>
            <w:sdt>
              <w:sdtPr>
                <w:tag w:val="_PLD_970be2ae3a84456bb0feb4eb360d2b2f"/>
                <w:id w:val="-534273874"/>
                <w:lock w:val="sdtLocked"/>
              </w:sdtPr>
              <w:sdtContent>
                <w:tc>
                  <w:tcPr>
                    <w:tcW w:w="561" w:type="pct"/>
                    <w:vMerge w:val="restart"/>
                    <w:tcBorders>
                      <w:top w:val="single" w:sz="4" w:space="0" w:color="auto"/>
                      <w:left w:val="single" w:sz="4" w:space="0" w:color="auto"/>
                      <w:right w:val="single" w:sz="4" w:space="0" w:color="auto"/>
                    </w:tcBorders>
                    <w:vAlign w:val="center"/>
                  </w:tcPr>
                  <w:p w:rsidR="00E05476" w:rsidRDefault="00E05476" w:rsidP="00DB008B">
                    <w:pPr>
                      <w:jc w:val="center"/>
                      <w:rPr>
                        <w:szCs w:val="21"/>
                      </w:rPr>
                    </w:pPr>
                    <w:r>
                      <w:rPr>
                        <w:rFonts w:hint="eastAsia"/>
                        <w:szCs w:val="21"/>
                      </w:rPr>
                      <w:t>账面</w:t>
                    </w:r>
                  </w:p>
                  <w:p w:rsidR="00E05476" w:rsidRDefault="00E05476" w:rsidP="00DB008B">
                    <w:pPr>
                      <w:jc w:val="center"/>
                      <w:rPr>
                        <w:szCs w:val="21"/>
                      </w:rPr>
                    </w:pPr>
                    <w:r>
                      <w:rPr>
                        <w:rFonts w:hint="eastAsia"/>
                        <w:szCs w:val="21"/>
                      </w:rPr>
                      <w:t>价值</w:t>
                    </w:r>
                  </w:p>
                </w:tc>
              </w:sdtContent>
            </w:sdt>
            <w:sdt>
              <w:sdtPr>
                <w:tag w:val="_PLD_be04f05fbfa341e1a7546ee304164c92"/>
                <w:id w:val="-1553912884"/>
                <w:lock w:val="sdtLocked"/>
              </w:sdtPr>
              <w:sdtContent>
                <w:tc>
                  <w:tcPr>
                    <w:tcW w:w="905" w:type="pct"/>
                    <w:gridSpan w:val="2"/>
                    <w:tcBorders>
                      <w:top w:val="single" w:sz="4" w:space="0" w:color="auto"/>
                      <w:left w:val="single" w:sz="4" w:space="0" w:color="auto"/>
                      <w:right w:val="single" w:sz="4" w:space="0" w:color="auto"/>
                    </w:tcBorders>
                    <w:vAlign w:val="center"/>
                  </w:tcPr>
                  <w:p w:rsidR="00E05476" w:rsidRDefault="00E05476" w:rsidP="00DB008B">
                    <w:pPr>
                      <w:jc w:val="center"/>
                      <w:rPr>
                        <w:szCs w:val="21"/>
                      </w:rPr>
                    </w:pPr>
                    <w:r>
                      <w:rPr>
                        <w:rFonts w:hint="eastAsia"/>
                        <w:szCs w:val="21"/>
                      </w:rPr>
                      <w:t>账面余额</w:t>
                    </w:r>
                  </w:p>
                </w:tc>
              </w:sdtContent>
            </w:sdt>
            <w:sdt>
              <w:sdtPr>
                <w:tag w:val="_PLD_708baf88b6ab4f6ca208582ef2033d3e"/>
                <w:id w:val="-1984000496"/>
                <w:lock w:val="sdtLocked"/>
              </w:sdtPr>
              <w:sdtContent>
                <w:tc>
                  <w:tcPr>
                    <w:tcW w:w="839" w:type="pct"/>
                    <w:gridSpan w:val="2"/>
                    <w:tcBorders>
                      <w:top w:val="single" w:sz="4" w:space="0" w:color="auto"/>
                      <w:left w:val="single" w:sz="4" w:space="0" w:color="auto"/>
                      <w:right w:val="single" w:sz="4" w:space="0" w:color="auto"/>
                    </w:tcBorders>
                    <w:vAlign w:val="center"/>
                  </w:tcPr>
                  <w:p w:rsidR="00E05476" w:rsidRDefault="00E05476" w:rsidP="00DB008B">
                    <w:pPr>
                      <w:jc w:val="center"/>
                      <w:rPr>
                        <w:szCs w:val="21"/>
                      </w:rPr>
                    </w:pPr>
                    <w:r>
                      <w:rPr>
                        <w:rFonts w:hint="eastAsia"/>
                        <w:szCs w:val="21"/>
                      </w:rPr>
                      <w:t>坏账准备</w:t>
                    </w:r>
                  </w:p>
                </w:tc>
              </w:sdtContent>
            </w:sdt>
            <w:sdt>
              <w:sdtPr>
                <w:tag w:val="_PLD_7c2453d3d43547428eaaafae8df8b7d0"/>
                <w:id w:val="1326629915"/>
                <w:lock w:val="sdtLocked"/>
              </w:sdtPr>
              <w:sdtContent>
                <w:tc>
                  <w:tcPr>
                    <w:tcW w:w="327" w:type="pct"/>
                    <w:vMerge w:val="restart"/>
                    <w:tcBorders>
                      <w:top w:val="single" w:sz="4" w:space="0" w:color="auto"/>
                      <w:left w:val="single" w:sz="4" w:space="0" w:color="auto"/>
                      <w:right w:val="single" w:sz="4" w:space="0" w:color="auto"/>
                    </w:tcBorders>
                    <w:vAlign w:val="center"/>
                  </w:tcPr>
                  <w:p w:rsidR="00E05476" w:rsidRDefault="00E05476" w:rsidP="00DB008B">
                    <w:pPr>
                      <w:jc w:val="center"/>
                      <w:rPr>
                        <w:szCs w:val="21"/>
                      </w:rPr>
                    </w:pPr>
                    <w:r>
                      <w:rPr>
                        <w:rFonts w:hint="eastAsia"/>
                        <w:szCs w:val="21"/>
                      </w:rPr>
                      <w:t>账面</w:t>
                    </w:r>
                  </w:p>
                  <w:p w:rsidR="00E05476" w:rsidRDefault="00E05476" w:rsidP="00DB008B">
                    <w:pPr>
                      <w:jc w:val="center"/>
                      <w:rPr>
                        <w:szCs w:val="21"/>
                      </w:rPr>
                    </w:pPr>
                    <w:r>
                      <w:rPr>
                        <w:rFonts w:hint="eastAsia"/>
                        <w:szCs w:val="21"/>
                      </w:rPr>
                      <w:t>价值</w:t>
                    </w:r>
                  </w:p>
                </w:tc>
              </w:sdtContent>
            </w:sdt>
          </w:tr>
          <w:tr w:rsidR="00E05476" w:rsidTr="00DB008B">
            <w:trPr>
              <w:cantSplit/>
              <w:trHeight w:val="375"/>
            </w:trPr>
            <w:tc>
              <w:tcPr>
                <w:tcW w:w="754" w:type="pct"/>
                <w:vMerge/>
                <w:tcBorders>
                  <w:left w:val="single" w:sz="4" w:space="0" w:color="auto"/>
                  <w:bottom w:val="single" w:sz="4" w:space="0" w:color="auto"/>
                  <w:right w:val="single" w:sz="4" w:space="0" w:color="auto"/>
                </w:tcBorders>
                <w:vAlign w:val="center"/>
              </w:tcPr>
              <w:p w:rsidR="00E05476" w:rsidRDefault="00E05476" w:rsidP="00DB008B">
                <w:pPr>
                  <w:rPr>
                    <w:szCs w:val="21"/>
                  </w:rPr>
                </w:pPr>
              </w:p>
            </w:tc>
            <w:sdt>
              <w:sdtPr>
                <w:tag w:val="_PLD_c5c981ae53b144af90139d228c5285af"/>
                <w:id w:val="-1302463289"/>
                <w:lock w:val="sdtLocked"/>
              </w:sdtPr>
              <w:sdtContent>
                <w:tc>
                  <w:tcPr>
                    <w:tcW w:w="561" w:type="pct"/>
                    <w:tcBorders>
                      <w:left w:val="single" w:sz="4" w:space="0" w:color="auto"/>
                      <w:bottom w:val="single" w:sz="4" w:space="0" w:color="auto"/>
                      <w:right w:val="single" w:sz="4" w:space="0" w:color="auto"/>
                    </w:tcBorders>
                    <w:vAlign w:val="center"/>
                  </w:tcPr>
                  <w:p w:rsidR="00E05476" w:rsidRDefault="00E05476" w:rsidP="00DB008B">
                    <w:pPr>
                      <w:jc w:val="center"/>
                      <w:rPr>
                        <w:szCs w:val="21"/>
                      </w:rPr>
                    </w:pPr>
                    <w:r>
                      <w:rPr>
                        <w:rFonts w:hint="eastAsia"/>
                        <w:szCs w:val="21"/>
                      </w:rPr>
                      <w:t>金额</w:t>
                    </w:r>
                  </w:p>
                </w:tc>
              </w:sdtContent>
            </w:sdt>
            <w:sdt>
              <w:sdtPr>
                <w:tag w:val="_PLD_c62cdb22fba648808acfebda9f29289b"/>
                <w:id w:val="-1031423064"/>
                <w:lock w:val="sdtLocked"/>
              </w:sdtPr>
              <w:sdtContent>
                <w:tc>
                  <w:tcPr>
                    <w:tcW w:w="280" w:type="pct"/>
                    <w:tcBorders>
                      <w:left w:val="single" w:sz="4" w:space="0" w:color="auto"/>
                      <w:bottom w:val="single" w:sz="4" w:space="0" w:color="auto"/>
                      <w:right w:val="single" w:sz="4" w:space="0" w:color="auto"/>
                    </w:tcBorders>
                    <w:vAlign w:val="center"/>
                  </w:tcPr>
                  <w:p w:rsidR="00E05476" w:rsidRDefault="00E05476" w:rsidP="00DB008B">
                    <w:pPr>
                      <w:jc w:val="center"/>
                      <w:rPr>
                        <w:szCs w:val="21"/>
                      </w:rPr>
                    </w:pPr>
                    <w:r>
                      <w:rPr>
                        <w:rFonts w:hint="eastAsia"/>
                        <w:szCs w:val="21"/>
                      </w:rPr>
                      <w:t>比例</w:t>
                    </w:r>
                    <w:r>
                      <w:rPr>
                        <w:szCs w:val="21"/>
                      </w:rPr>
                      <w:t>(%)</w:t>
                    </w:r>
                  </w:p>
                </w:tc>
              </w:sdtContent>
            </w:sdt>
            <w:sdt>
              <w:sdtPr>
                <w:tag w:val="_PLD_d259a31756a946a6a441328cc78413fc"/>
                <w:id w:val="-2042973152"/>
                <w:lock w:val="sdtLocked"/>
              </w:sdtPr>
              <w:sdtContent>
                <w:tc>
                  <w:tcPr>
                    <w:tcW w:w="487" w:type="pct"/>
                    <w:tcBorders>
                      <w:left w:val="single" w:sz="4" w:space="0" w:color="auto"/>
                      <w:bottom w:val="single" w:sz="4" w:space="0" w:color="auto"/>
                      <w:right w:val="single" w:sz="4" w:space="0" w:color="auto"/>
                    </w:tcBorders>
                    <w:vAlign w:val="center"/>
                  </w:tcPr>
                  <w:p w:rsidR="00E05476" w:rsidRDefault="00E05476" w:rsidP="00DB008B">
                    <w:pPr>
                      <w:jc w:val="center"/>
                      <w:rPr>
                        <w:szCs w:val="21"/>
                      </w:rPr>
                    </w:pPr>
                    <w:r>
                      <w:rPr>
                        <w:rFonts w:hint="eastAsia"/>
                        <w:szCs w:val="21"/>
                      </w:rPr>
                      <w:t>金额</w:t>
                    </w:r>
                  </w:p>
                </w:tc>
              </w:sdtContent>
            </w:sdt>
            <w:sdt>
              <w:sdtPr>
                <w:tag w:val="_PLD_f74078100e7348efb6fa93b2ac934809"/>
                <w:id w:val="-1809858554"/>
                <w:lock w:val="sdtLocked"/>
              </w:sdtPr>
              <w:sdtContent>
                <w:tc>
                  <w:tcPr>
                    <w:tcW w:w="286" w:type="pct"/>
                    <w:tcBorders>
                      <w:left w:val="single" w:sz="4" w:space="0" w:color="auto"/>
                      <w:bottom w:val="single" w:sz="4" w:space="0" w:color="auto"/>
                      <w:right w:val="single" w:sz="4" w:space="0" w:color="auto"/>
                    </w:tcBorders>
                    <w:vAlign w:val="center"/>
                  </w:tcPr>
                  <w:p w:rsidR="00E05476" w:rsidRDefault="00E05476" w:rsidP="00DB008B">
                    <w:pPr>
                      <w:jc w:val="center"/>
                      <w:rPr>
                        <w:szCs w:val="21"/>
                      </w:rPr>
                    </w:pPr>
                    <w:r>
                      <w:rPr>
                        <w:rFonts w:hint="eastAsia"/>
                        <w:szCs w:val="21"/>
                      </w:rPr>
                      <w:t>计提比例</w:t>
                    </w:r>
                    <w:r>
                      <w:rPr>
                        <w:szCs w:val="21"/>
                      </w:rPr>
                      <w:t>(%)</w:t>
                    </w:r>
                  </w:p>
                </w:tc>
              </w:sdtContent>
            </w:sdt>
            <w:tc>
              <w:tcPr>
                <w:tcW w:w="561" w:type="pct"/>
                <w:vMerge/>
                <w:tcBorders>
                  <w:left w:val="single" w:sz="4" w:space="0" w:color="auto"/>
                  <w:bottom w:val="single" w:sz="4" w:space="0" w:color="auto"/>
                  <w:right w:val="single" w:sz="4" w:space="0" w:color="auto"/>
                </w:tcBorders>
                <w:vAlign w:val="center"/>
              </w:tcPr>
              <w:p w:rsidR="00E05476" w:rsidRDefault="00E05476" w:rsidP="00DB008B">
                <w:pPr>
                  <w:jc w:val="center"/>
                  <w:rPr>
                    <w:szCs w:val="21"/>
                  </w:rPr>
                </w:pPr>
              </w:p>
            </w:tc>
            <w:sdt>
              <w:sdtPr>
                <w:tag w:val="_PLD_4b188b463cd04b5f935c04bb97091ad7"/>
                <w:id w:val="-45913483"/>
                <w:lock w:val="sdtLocked"/>
              </w:sdtPr>
              <w:sdtContent>
                <w:tc>
                  <w:tcPr>
                    <w:tcW w:w="561" w:type="pct"/>
                    <w:tcBorders>
                      <w:left w:val="single" w:sz="4" w:space="0" w:color="auto"/>
                      <w:bottom w:val="single" w:sz="4" w:space="0" w:color="auto"/>
                      <w:right w:val="single" w:sz="4" w:space="0" w:color="auto"/>
                    </w:tcBorders>
                    <w:vAlign w:val="center"/>
                  </w:tcPr>
                  <w:p w:rsidR="00E05476" w:rsidRDefault="00E05476" w:rsidP="00DB008B">
                    <w:pPr>
                      <w:jc w:val="center"/>
                      <w:rPr>
                        <w:szCs w:val="21"/>
                      </w:rPr>
                    </w:pPr>
                    <w:r>
                      <w:rPr>
                        <w:rFonts w:hint="eastAsia"/>
                        <w:szCs w:val="21"/>
                      </w:rPr>
                      <w:t>金额</w:t>
                    </w:r>
                  </w:p>
                </w:tc>
              </w:sdtContent>
            </w:sdt>
            <w:sdt>
              <w:sdtPr>
                <w:tag w:val="_PLD_0eb49b8077f24050b883fe1c83156c6a"/>
                <w:id w:val="1709526692"/>
                <w:lock w:val="sdtLocked"/>
              </w:sdtPr>
              <w:sdtContent>
                <w:tc>
                  <w:tcPr>
                    <w:tcW w:w="344" w:type="pct"/>
                    <w:tcBorders>
                      <w:left w:val="single" w:sz="4" w:space="0" w:color="auto"/>
                      <w:bottom w:val="single" w:sz="4" w:space="0" w:color="auto"/>
                      <w:right w:val="single" w:sz="4" w:space="0" w:color="auto"/>
                    </w:tcBorders>
                    <w:vAlign w:val="center"/>
                  </w:tcPr>
                  <w:p w:rsidR="00E05476" w:rsidRDefault="00E05476" w:rsidP="00DB008B">
                    <w:pPr>
                      <w:jc w:val="center"/>
                      <w:rPr>
                        <w:szCs w:val="21"/>
                      </w:rPr>
                    </w:pPr>
                    <w:r>
                      <w:rPr>
                        <w:rFonts w:hint="eastAsia"/>
                        <w:szCs w:val="21"/>
                      </w:rPr>
                      <w:t>比例</w:t>
                    </w:r>
                    <w:r>
                      <w:rPr>
                        <w:szCs w:val="21"/>
                      </w:rPr>
                      <w:t>(%)</w:t>
                    </w:r>
                  </w:p>
                </w:tc>
              </w:sdtContent>
            </w:sdt>
            <w:sdt>
              <w:sdtPr>
                <w:tag w:val="_PLD_97b959dafb2649fe9097ba91d4d77a2f"/>
                <w:id w:val="768974274"/>
                <w:lock w:val="sdtLocked"/>
              </w:sdtPr>
              <w:sdtContent>
                <w:tc>
                  <w:tcPr>
                    <w:tcW w:w="487" w:type="pct"/>
                    <w:tcBorders>
                      <w:left w:val="single" w:sz="4" w:space="0" w:color="auto"/>
                      <w:bottom w:val="single" w:sz="4" w:space="0" w:color="auto"/>
                      <w:right w:val="single" w:sz="4" w:space="0" w:color="auto"/>
                    </w:tcBorders>
                    <w:vAlign w:val="center"/>
                  </w:tcPr>
                  <w:p w:rsidR="00E05476" w:rsidRDefault="00E05476" w:rsidP="00DB008B">
                    <w:pPr>
                      <w:jc w:val="center"/>
                      <w:rPr>
                        <w:szCs w:val="21"/>
                      </w:rPr>
                    </w:pPr>
                    <w:r>
                      <w:rPr>
                        <w:rFonts w:hint="eastAsia"/>
                        <w:szCs w:val="21"/>
                      </w:rPr>
                      <w:t>金额</w:t>
                    </w:r>
                  </w:p>
                </w:tc>
              </w:sdtContent>
            </w:sdt>
            <w:sdt>
              <w:sdtPr>
                <w:tag w:val="_PLD_99dda048c2a04725a5d8bfac8b356378"/>
                <w:id w:val="-2052685548"/>
                <w:lock w:val="sdtLocked"/>
              </w:sdtPr>
              <w:sdtContent>
                <w:tc>
                  <w:tcPr>
                    <w:tcW w:w="352" w:type="pct"/>
                    <w:tcBorders>
                      <w:left w:val="single" w:sz="4" w:space="0" w:color="auto"/>
                      <w:bottom w:val="single" w:sz="4" w:space="0" w:color="auto"/>
                      <w:right w:val="single" w:sz="4" w:space="0" w:color="auto"/>
                    </w:tcBorders>
                    <w:vAlign w:val="center"/>
                  </w:tcPr>
                  <w:p w:rsidR="00E05476" w:rsidRDefault="00E05476" w:rsidP="00DB008B">
                    <w:pPr>
                      <w:jc w:val="center"/>
                      <w:rPr>
                        <w:szCs w:val="21"/>
                      </w:rPr>
                    </w:pPr>
                    <w:r>
                      <w:rPr>
                        <w:rFonts w:hint="eastAsia"/>
                        <w:szCs w:val="21"/>
                      </w:rPr>
                      <w:t>计提比例</w:t>
                    </w:r>
                    <w:r>
                      <w:rPr>
                        <w:szCs w:val="21"/>
                      </w:rPr>
                      <w:t>(%)</w:t>
                    </w:r>
                  </w:p>
                </w:tc>
              </w:sdtContent>
            </w:sdt>
            <w:tc>
              <w:tcPr>
                <w:tcW w:w="327" w:type="pct"/>
                <w:vMerge/>
                <w:tcBorders>
                  <w:left w:val="single" w:sz="4" w:space="0" w:color="auto"/>
                  <w:bottom w:val="single" w:sz="4" w:space="0" w:color="auto"/>
                  <w:right w:val="single" w:sz="4" w:space="0" w:color="auto"/>
                </w:tcBorders>
              </w:tcPr>
              <w:p w:rsidR="00E05476" w:rsidRDefault="00E05476" w:rsidP="00DB008B">
                <w:pPr>
                  <w:jc w:val="center"/>
                  <w:rPr>
                    <w:szCs w:val="21"/>
                  </w:rPr>
                </w:pPr>
              </w:p>
            </w:tc>
          </w:tr>
          <w:tr w:rsidR="00E05476" w:rsidTr="0029498F">
            <w:trPr>
              <w:cantSplit/>
            </w:trPr>
            <w:sdt>
              <w:sdtPr>
                <w:tag w:val="_PLD_02bffe1f94e84163b993cc9c68974aa3"/>
                <w:id w:val="985900062"/>
                <w:lock w:val="sdtLocked"/>
              </w:sdtPr>
              <w:sdtContent>
                <w:tc>
                  <w:tcPr>
                    <w:tcW w:w="754" w:type="pct"/>
                    <w:tcBorders>
                      <w:top w:val="single" w:sz="4" w:space="0" w:color="auto"/>
                      <w:left w:val="single" w:sz="4" w:space="0" w:color="auto"/>
                      <w:bottom w:val="single" w:sz="4" w:space="0" w:color="auto"/>
                      <w:right w:val="single" w:sz="4" w:space="0" w:color="auto"/>
                    </w:tcBorders>
                  </w:tcPr>
                  <w:p w:rsidR="00E05476" w:rsidRDefault="00E05476" w:rsidP="00DB008B">
                    <w:pPr>
                      <w:rPr>
                        <w:szCs w:val="21"/>
                      </w:rPr>
                    </w:pPr>
                    <w:r>
                      <w:rPr>
                        <w:rFonts w:hint="eastAsia"/>
                        <w:szCs w:val="21"/>
                      </w:rPr>
                      <w:t>按组合计提坏账准备</w:t>
                    </w:r>
                  </w:p>
                </w:tc>
              </w:sdtContent>
            </w:sdt>
            <w:tc>
              <w:tcPr>
                <w:tcW w:w="561" w:type="pct"/>
                <w:tcBorders>
                  <w:top w:val="single" w:sz="4" w:space="0" w:color="auto"/>
                  <w:left w:val="single" w:sz="4" w:space="0" w:color="auto"/>
                  <w:bottom w:val="single" w:sz="4" w:space="0" w:color="auto"/>
                  <w:right w:val="single" w:sz="4" w:space="0" w:color="auto"/>
                </w:tcBorders>
                <w:vAlign w:val="center"/>
              </w:tcPr>
              <w:p w:rsidR="00E05476" w:rsidRDefault="00E05476" w:rsidP="00DB008B">
                <w:pPr>
                  <w:jc w:val="right"/>
                  <w:rPr>
                    <w:szCs w:val="21"/>
                  </w:rPr>
                </w:pPr>
                <w:r>
                  <w:t>7,688,373,565</w:t>
                </w:r>
              </w:p>
            </w:tc>
            <w:tc>
              <w:tcPr>
                <w:tcW w:w="280" w:type="pct"/>
                <w:tcBorders>
                  <w:top w:val="single" w:sz="4" w:space="0" w:color="auto"/>
                  <w:left w:val="single" w:sz="4" w:space="0" w:color="auto"/>
                  <w:bottom w:val="single" w:sz="4" w:space="0" w:color="auto"/>
                  <w:right w:val="single" w:sz="4" w:space="0" w:color="auto"/>
                </w:tcBorders>
                <w:vAlign w:val="center"/>
              </w:tcPr>
              <w:p w:rsidR="00E05476" w:rsidRDefault="00E05476" w:rsidP="00DB008B">
                <w:pPr>
                  <w:jc w:val="right"/>
                  <w:rPr>
                    <w:szCs w:val="21"/>
                  </w:rPr>
                </w:pPr>
                <w:r>
                  <w:t>100</w:t>
                </w:r>
              </w:p>
            </w:tc>
            <w:tc>
              <w:tcPr>
                <w:tcW w:w="487" w:type="pct"/>
                <w:tcBorders>
                  <w:top w:val="single" w:sz="4" w:space="0" w:color="auto"/>
                  <w:left w:val="single" w:sz="4" w:space="0" w:color="auto"/>
                  <w:bottom w:val="single" w:sz="4" w:space="0" w:color="auto"/>
                  <w:right w:val="single" w:sz="4" w:space="0" w:color="auto"/>
                </w:tcBorders>
                <w:vAlign w:val="center"/>
              </w:tcPr>
              <w:p w:rsidR="00E05476" w:rsidRDefault="00E05476" w:rsidP="00DB008B">
                <w:pPr>
                  <w:jc w:val="right"/>
                  <w:rPr>
                    <w:szCs w:val="21"/>
                  </w:rPr>
                </w:pPr>
                <w:r>
                  <w:t>211,310,516</w:t>
                </w:r>
              </w:p>
            </w:tc>
            <w:tc>
              <w:tcPr>
                <w:tcW w:w="286" w:type="pct"/>
                <w:tcBorders>
                  <w:top w:val="single" w:sz="4" w:space="0" w:color="auto"/>
                  <w:left w:val="single" w:sz="4" w:space="0" w:color="auto"/>
                  <w:bottom w:val="single" w:sz="4" w:space="0" w:color="auto"/>
                  <w:right w:val="single" w:sz="4" w:space="0" w:color="auto"/>
                </w:tcBorders>
                <w:vAlign w:val="center"/>
              </w:tcPr>
              <w:p w:rsidR="00E05476" w:rsidRDefault="00E05476" w:rsidP="00DB008B">
                <w:pPr>
                  <w:jc w:val="right"/>
                  <w:rPr>
                    <w:szCs w:val="21"/>
                  </w:rPr>
                </w:pPr>
                <w:r>
                  <w:t>2.75</w:t>
                </w:r>
              </w:p>
            </w:tc>
            <w:tc>
              <w:tcPr>
                <w:tcW w:w="561" w:type="pct"/>
                <w:tcBorders>
                  <w:top w:val="single" w:sz="4" w:space="0" w:color="auto"/>
                  <w:left w:val="single" w:sz="4" w:space="0" w:color="auto"/>
                  <w:bottom w:val="single" w:sz="4" w:space="0" w:color="auto"/>
                  <w:right w:val="single" w:sz="4" w:space="0" w:color="auto"/>
                </w:tcBorders>
                <w:vAlign w:val="center"/>
              </w:tcPr>
              <w:p w:rsidR="00E05476" w:rsidRDefault="00E05476" w:rsidP="0021152A">
                <w:pPr>
                  <w:jc w:val="right"/>
                  <w:rPr>
                    <w:szCs w:val="21"/>
                  </w:rPr>
                </w:pPr>
                <w:r>
                  <w:rPr>
                    <w:szCs w:val="21"/>
                  </w:rPr>
                  <w:t>7,477,063,049</w:t>
                </w:r>
              </w:p>
            </w:tc>
            <w:tc>
              <w:tcPr>
                <w:tcW w:w="561" w:type="pct"/>
                <w:tcBorders>
                  <w:top w:val="single" w:sz="4" w:space="0" w:color="auto"/>
                  <w:left w:val="single" w:sz="4" w:space="0" w:color="auto"/>
                  <w:bottom w:val="single" w:sz="4" w:space="0" w:color="auto"/>
                  <w:right w:val="single" w:sz="4" w:space="0" w:color="auto"/>
                </w:tcBorders>
                <w:vAlign w:val="center"/>
              </w:tcPr>
              <w:p w:rsidR="00E05476" w:rsidRDefault="00E05476" w:rsidP="00DB008B">
                <w:pPr>
                  <w:jc w:val="right"/>
                  <w:rPr>
                    <w:szCs w:val="21"/>
                  </w:rPr>
                </w:pPr>
                <w:r>
                  <w:t>6,263,207,280</w:t>
                </w:r>
              </w:p>
            </w:tc>
            <w:tc>
              <w:tcPr>
                <w:tcW w:w="344" w:type="pct"/>
                <w:tcBorders>
                  <w:top w:val="single" w:sz="4" w:space="0" w:color="auto"/>
                  <w:left w:val="single" w:sz="4" w:space="0" w:color="auto"/>
                  <w:bottom w:val="single" w:sz="4" w:space="0" w:color="auto"/>
                  <w:right w:val="single" w:sz="4" w:space="0" w:color="auto"/>
                </w:tcBorders>
                <w:vAlign w:val="center"/>
              </w:tcPr>
              <w:p w:rsidR="00E05476" w:rsidRDefault="00E05476" w:rsidP="00DB008B">
                <w:pPr>
                  <w:jc w:val="right"/>
                  <w:rPr>
                    <w:szCs w:val="21"/>
                  </w:rPr>
                </w:pPr>
                <w:r>
                  <w:t>100</w:t>
                </w:r>
              </w:p>
            </w:tc>
            <w:tc>
              <w:tcPr>
                <w:tcW w:w="487" w:type="pct"/>
                <w:tcBorders>
                  <w:top w:val="single" w:sz="4" w:space="0" w:color="auto"/>
                  <w:left w:val="single" w:sz="4" w:space="0" w:color="auto"/>
                  <w:bottom w:val="single" w:sz="4" w:space="0" w:color="auto"/>
                  <w:right w:val="single" w:sz="4" w:space="0" w:color="auto"/>
                </w:tcBorders>
                <w:vAlign w:val="center"/>
              </w:tcPr>
              <w:p w:rsidR="00E05476" w:rsidRDefault="00E05476" w:rsidP="0029498F">
                <w:pPr>
                  <w:jc w:val="right"/>
                  <w:rPr>
                    <w:szCs w:val="21"/>
                  </w:rPr>
                </w:pPr>
                <w:r>
                  <w:rPr>
                    <w:szCs w:val="21"/>
                  </w:rPr>
                  <w:t>381,498,919</w:t>
                </w:r>
              </w:p>
            </w:tc>
            <w:tc>
              <w:tcPr>
                <w:tcW w:w="352" w:type="pct"/>
                <w:tcBorders>
                  <w:top w:val="single" w:sz="4" w:space="0" w:color="auto"/>
                  <w:left w:val="single" w:sz="4" w:space="0" w:color="auto"/>
                  <w:bottom w:val="single" w:sz="4" w:space="0" w:color="auto"/>
                  <w:right w:val="single" w:sz="4" w:space="0" w:color="auto"/>
                </w:tcBorders>
                <w:vAlign w:val="center"/>
              </w:tcPr>
              <w:p w:rsidR="00E05476" w:rsidRDefault="00E05476" w:rsidP="0029498F">
                <w:pPr>
                  <w:jc w:val="right"/>
                  <w:rPr>
                    <w:szCs w:val="21"/>
                  </w:rPr>
                </w:pPr>
                <w:r>
                  <w:rPr>
                    <w:szCs w:val="21"/>
                  </w:rPr>
                  <w:t>6.09</w:t>
                </w:r>
              </w:p>
            </w:tc>
            <w:tc>
              <w:tcPr>
                <w:tcW w:w="327" w:type="pct"/>
                <w:tcBorders>
                  <w:top w:val="single" w:sz="4" w:space="0" w:color="auto"/>
                  <w:left w:val="single" w:sz="4" w:space="0" w:color="auto"/>
                  <w:bottom w:val="single" w:sz="4" w:space="0" w:color="auto"/>
                  <w:right w:val="single" w:sz="4" w:space="0" w:color="auto"/>
                </w:tcBorders>
                <w:vAlign w:val="center"/>
              </w:tcPr>
              <w:p w:rsidR="00E05476" w:rsidRDefault="00E05476" w:rsidP="0029498F">
                <w:pPr>
                  <w:jc w:val="right"/>
                  <w:rPr>
                    <w:szCs w:val="21"/>
                  </w:rPr>
                </w:pPr>
                <w:r>
                  <w:rPr>
                    <w:szCs w:val="21"/>
                  </w:rPr>
                  <w:t>5,881,708,361</w:t>
                </w:r>
              </w:p>
            </w:tc>
          </w:tr>
          <w:tr w:rsidR="00E05476" w:rsidTr="00DB008B">
            <w:trPr>
              <w:cantSplit/>
            </w:trPr>
            <w:sdt>
              <w:sdtPr>
                <w:tag w:val="_PLD_3e90aa50b20c494dafda2d9726e46570"/>
                <w:id w:val="1949046363"/>
                <w:lock w:val="sdtLocked"/>
              </w:sdtPr>
              <w:sdtContent>
                <w:tc>
                  <w:tcPr>
                    <w:tcW w:w="5000" w:type="pct"/>
                    <w:gridSpan w:val="11"/>
                    <w:tcBorders>
                      <w:top w:val="single" w:sz="4" w:space="0" w:color="auto"/>
                      <w:left w:val="single" w:sz="4" w:space="0" w:color="auto"/>
                      <w:bottom w:val="single" w:sz="4" w:space="0" w:color="auto"/>
                      <w:right w:val="single" w:sz="4" w:space="0" w:color="auto"/>
                    </w:tcBorders>
                  </w:tcPr>
                  <w:p w:rsidR="00E05476" w:rsidRDefault="00E05476" w:rsidP="00DB008B">
                    <w:pPr>
                      <w:rPr>
                        <w:szCs w:val="21"/>
                      </w:rPr>
                    </w:pPr>
                    <w:r>
                      <w:rPr>
                        <w:rFonts w:hint="eastAsia"/>
                        <w:szCs w:val="21"/>
                      </w:rPr>
                      <w:t>其中：</w:t>
                    </w:r>
                  </w:p>
                </w:tc>
              </w:sdtContent>
            </w:sdt>
          </w:tr>
          <w:sdt>
            <w:sdtPr>
              <w:rPr>
                <w:szCs w:val="21"/>
              </w:rPr>
              <w:alias w:val="按组合计提坏账准备的应收账款明细"/>
              <w:tag w:val="_TUP_7a6c39545aaf46e8a7ac5c180ce248c9"/>
              <w:id w:val="2119872324"/>
              <w:lock w:val="sdtLocked"/>
            </w:sdtPr>
            <w:sdtContent>
              <w:tr w:rsidR="00E05476" w:rsidTr="00DB008B">
                <w:trPr>
                  <w:cantSplit/>
                </w:trPr>
                <w:sdt>
                  <w:sdtPr>
                    <w:rPr>
                      <w:szCs w:val="21"/>
                    </w:rPr>
                    <w:alias w:val="按组合计提坏账准备的应收账款明细-组合名称"/>
                    <w:tag w:val="_GBC_bb95ca191c6548418732405aecc5c303"/>
                    <w:id w:val="-431825172"/>
                    <w:lock w:val="sdtLocked"/>
                  </w:sdtPr>
                  <w:sdtContent>
                    <w:tc>
                      <w:tcPr>
                        <w:tcW w:w="754" w:type="pct"/>
                        <w:tcBorders>
                          <w:top w:val="single" w:sz="4" w:space="0" w:color="auto"/>
                          <w:left w:val="single" w:sz="4" w:space="0" w:color="auto"/>
                          <w:bottom w:val="single" w:sz="4" w:space="0" w:color="auto"/>
                          <w:right w:val="single" w:sz="4" w:space="0" w:color="auto"/>
                        </w:tcBorders>
                      </w:tcPr>
                      <w:p w:rsidR="00E05476" w:rsidRDefault="00E05476" w:rsidP="00DB008B">
                        <w:pPr>
                          <w:jc w:val="both"/>
                          <w:rPr>
                            <w:szCs w:val="21"/>
                          </w:rPr>
                        </w:pPr>
                        <w:r>
                          <w:rPr>
                            <w:szCs w:val="21"/>
                          </w:rPr>
                          <w:t>- 组合一</w:t>
                        </w:r>
                      </w:p>
                    </w:tc>
                  </w:sdtContent>
                </w:sdt>
                <w:tc>
                  <w:tcPr>
                    <w:tcW w:w="561" w:type="pct"/>
                    <w:tcBorders>
                      <w:top w:val="single" w:sz="4" w:space="0" w:color="auto"/>
                      <w:left w:val="single" w:sz="4" w:space="0" w:color="auto"/>
                      <w:bottom w:val="single" w:sz="4" w:space="0" w:color="auto"/>
                      <w:right w:val="single" w:sz="4" w:space="0" w:color="auto"/>
                    </w:tcBorders>
                    <w:vAlign w:val="center"/>
                  </w:tcPr>
                  <w:p w:rsidR="00E05476" w:rsidRDefault="00E05476" w:rsidP="00DB008B">
                    <w:pPr>
                      <w:jc w:val="right"/>
                      <w:rPr>
                        <w:szCs w:val="21"/>
                      </w:rPr>
                    </w:pPr>
                    <w:r>
                      <w:t>7,436,374,212</w:t>
                    </w:r>
                  </w:p>
                </w:tc>
                <w:tc>
                  <w:tcPr>
                    <w:tcW w:w="280" w:type="pct"/>
                    <w:tcBorders>
                      <w:top w:val="single" w:sz="4" w:space="0" w:color="auto"/>
                      <w:left w:val="single" w:sz="4" w:space="0" w:color="auto"/>
                      <w:bottom w:val="single" w:sz="4" w:space="0" w:color="auto"/>
                      <w:right w:val="single" w:sz="4" w:space="0" w:color="auto"/>
                    </w:tcBorders>
                    <w:vAlign w:val="center"/>
                  </w:tcPr>
                  <w:p w:rsidR="00E05476" w:rsidRDefault="00E05476" w:rsidP="00DB008B">
                    <w:pPr>
                      <w:jc w:val="right"/>
                      <w:rPr>
                        <w:szCs w:val="21"/>
                      </w:rPr>
                    </w:pPr>
                    <w:r>
                      <w:t>97</w:t>
                    </w:r>
                  </w:p>
                </w:tc>
                <w:tc>
                  <w:tcPr>
                    <w:tcW w:w="487" w:type="pct"/>
                    <w:tcBorders>
                      <w:top w:val="single" w:sz="4" w:space="0" w:color="auto"/>
                      <w:left w:val="single" w:sz="4" w:space="0" w:color="auto"/>
                      <w:bottom w:val="single" w:sz="4" w:space="0" w:color="auto"/>
                      <w:right w:val="single" w:sz="4" w:space="0" w:color="auto"/>
                    </w:tcBorders>
                    <w:vAlign w:val="center"/>
                  </w:tcPr>
                  <w:p w:rsidR="00E05476" w:rsidRDefault="00E05476" w:rsidP="00DB008B">
                    <w:pPr>
                      <w:jc w:val="right"/>
                      <w:rPr>
                        <w:szCs w:val="21"/>
                      </w:rPr>
                    </w:pPr>
                    <w:r>
                      <w:t>198,273,726</w:t>
                    </w:r>
                  </w:p>
                </w:tc>
                <w:tc>
                  <w:tcPr>
                    <w:tcW w:w="286" w:type="pct"/>
                    <w:tcBorders>
                      <w:top w:val="single" w:sz="4" w:space="0" w:color="auto"/>
                      <w:left w:val="single" w:sz="4" w:space="0" w:color="auto"/>
                      <w:bottom w:val="single" w:sz="4" w:space="0" w:color="auto"/>
                      <w:right w:val="single" w:sz="4" w:space="0" w:color="auto"/>
                    </w:tcBorders>
                    <w:vAlign w:val="center"/>
                  </w:tcPr>
                  <w:p w:rsidR="00E05476" w:rsidRDefault="00E05476" w:rsidP="00DB008B">
                    <w:pPr>
                      <w:jc w:val="right"/>
                      <w:rPr>
                        <w:szCs w:val="21"/>
                      </w:rPr>
                    </w:pPr>
                    <w:r>
                      <w:t>2.67</w:t>
                    </w:r>
                  </w:p>
                </w:tc>
                <w:tc>
                  <w:tcPr>
                    <w:tcW w:w="561" w:type="pct"/>
                    <w:tcBorders>
                      <w:top w:val="single" w:sz="4" w:space="0" w:color="auto"/>
                      <w:left w:val="single" w:sz="4" w:space="0" w:color="auto"/>
                      <w:bottom w:val="single" w:sz="4" w:space="0" w:color="auto"/>
                      <w:right w:val="single" w:sz="4" w:space="0" w:color="auto"/>
                    </w:tcBorders>
                    <w:vAlign w:val="center"/>
                  </w:tcPr>
                  <w:p w:rsidR="00E05476" w:rsidRDefault="00E05476" w:rsidP="00DB008B">
                    <w:pPr>
                      <w:jc w:val="right"/>
                      <w:rPr>
                        <w:szCs w:val="21"/>
                      </w:rPr>
                    </w:pPr>
                    <w:r>
                      <w:t>7,238,100,486</w:t>
                    </w:r>
                  </w:p>
                </w:tc>
                <w:tc>
                  <w:tcPr>
                    <w:tcW w:w="561" w:type="pct"/>
                    <w:tcBorders>
                      <w:top w:val="single" w:sz="4" w:space="0" w:color="auto"/>
                      <w:left w:val="single" w:sz="4" w:space="0" w:color="auto"/>
                      <w:bottom w:val="single" w:sz="4" w:space="0" w:color="auto"/>
                      <w:right w:val="single" w:sz="4" w:space="0" w:color="auto"/>
                    </w:tcBorders>
                    <w:vAlign w:val="center"/>
                  </w:tcPr>
                  <w:p w:rsidR="00E05476" w:rsidRDefault="00E05476" w:rsidP="00DB008B">
                    <w:pPr>
                      <w:jc w:val="right"/>
                      <w:rPr>
                        <w:szCs w:val="21"/>
                      </w:rPr>
                    </w:pPr>
                    <w:r>
                      <w:t>6,061,819,012</w:t>
                    </w:r>
                  </w:p>
                </w:tc>
                <w:tc>
                  <w:tcPr>
                    <w:tcW w:w="344" w:type="pct"/>
                    <w:tcBorders>
                      <w:top w:val="single" w:sz="4" w:space="0" w:color="auto"/>
                      <w:left w:val="single" w:sz="4" w:space="0" w:color="auto"/>
                      <w:bottom w:val="single" w:sz="4" w:space="0" w:color="auto"/>
                      <w:right w:val="single" w:sz="4" w:space="0" w:color="auto"/>
                    </w:tcBorders>
                    <w:vAlign w:val="center"/>
                  </w:tcPr>
                  <w:p w:rsidR="00E05476" w:rsidRDefault="00E05476" w:rsidP="00DB008B">
                    <w:pPr>
                      <w:jc w:val="right"/>
                      <w:rPr>
                        <w:szCs w:val="21"/>
                      </w:rPr>
                    </w:pPr>
                    <w:r>
                      <w:t>97</w:t>
                    </w:r>
                  </w:p>
                </w:tc>
                <w:tc>
                  <w:tcPr>
                    <w:tcW w:w="487" w:type="pct"/>
                    <w:tcBorders>
                      <w:top w:val="single" w:sz="4" w:space="0" w:color="auto"/>
                      <w:left w:val="single" w:sz="4" w:space="0" w:color="auto"/>
                      <w:bottom w:val="single" w:sz="4" w:space="0" w:color="auto"/>
                      <w:right w:val="single" w:sz="4" w:space="0" w:color="auto"/>
                    </w:tcBorders>
                    <w:vAlign w:val="center"/>
                  </w:tcPr>
                  <w:p w:rsidR="00E05476" w:rsidRDefault="00E05476" w:rsidP="00DB008B">
                    <w:pPr>
                      <w:jc w:val="right"/>
                      <w:rPr>
                        <w:szCs w:val="21"/>
                      </w:rPr>
                    </w:pPr>
                    <w:r>
                      <w:t>366,758,928</w:t>
                    </w:r>
                  </w:p>
                </w:tc>
                <w:tc>
                  <w:tcPr>
                    <w:tcW w:w="352" w:type="pct"/>
                    <w:tcBorders>
                      <w:top w:val="single" w:sz="4" w:space="0" w:color="auto"/>
                      <w:left w:val="single" w:sz="4" w:space="0" w:color="auto"/>
                      <w:bottom w:val="single" w:sz="4" w:space="0" w:color="auto"/>
                      <w:right w:val="single" w:sz="4" w:space="0" w:color="auto"/>
                    </w:tcBorders>
                    <w:vAlign w:val="center"/>
                  </w:tcPr>
                  <w:p w:rsidR="00E05476" w:rsidRDefault="00E05476" w:rsidP="00DB008B">
                    <w:pPr>
                      <w:jc w:val="right"/>
                      <w:rPr>
                        <w:szCs w:val="21"/>
                      </w:rPr>
                    </w:pPr>
                    <w:r>
                      <w:t>6.05</w:t>
                    </w:r>
                  </w:p>
                </w:tc>
                <w:tc>
                  <w:tcPr>
                    <w:tcW w:w="327" w:type="pct"/>
                    <w:tcBorders>
                      <w:top w:val="single" w:sz="4" w:space="0" w:color="auto"/>
                      <w:left w:val="single" w:sz="4" w:space="0" w:color="auto"/>
                      <w:bottom w:val="single" w:sz="4" w:space="0" w:color="auto"/>
                      <w:right w:val="single" w:sz="4" w:space="0" w:color="auto"/>
                    </w:tcBorders>
                  </w:tcPr>
                  <w:p w:rsidR="00E05476" w:rsidRDefault="00E05476" w:rsidP="00DB008B">
                    <w:pPr>
                      <w:jc w:val="right"/>
                      <w:rPr>
                        <w:szCs w:val="21"/>
                      </w:rPr>
                    </w:pPr>
                    <w:r>
                      <w:t>5,695,060,084</w:t>
                    </w:r>
                  </w:p>
                </w:tc>
              </w:tr>
            </w:sdtContent>
          </w:sdt>
          <w:sdt>
            <w:sdtPr>
              <w:rPr>
                <w:szCs w:val="21"/>
              </w:rPr>
              <w:alias w:val="按组合计提坏账准备的应收账款明细"/>
              <w:tag w:val="_TUP_7a6c39545aaf46e8a7ac5c180ce248c9"/>
              <w:id w:val="-118839816"/>
              <w:lock w:val="sdtLocked"/>
            </w:sdtPr>
            <w:sdtContent>
              <w:tr w:rsidR="00E05476" w:rsidTr="00DB008B">
                <w:trPr>
                  <w:cantSplit/>
                </w:trPr>
                <w:sdt>
                  <w:sdtPr>
                    <w:rPr>
                      <w:szCs w:val="21"/>
                    </w:rPr>
                    <w:alias w:val="按组合计提坏账准备的应收账款明细-组合名称"/>
                    <w:tag w:val="_GBC_bb95ca191c6548418732405aecc5c303"/>
                    <w:id w:val="422387198"/>
                    <w:lock w:val="sdtLocked"/>
                  </w:sdtPr>
                  <w:sdtContent>
                    <w:tc>
                      <w:tcPr>
                        <w:tcW w:w="754" w:type="pct"/>
                        <w:tcBorders>
                          <w:top w:val="single" w:sz="4" w:space="0" w:color="auto"/>
                          <w:left w:val="single" w:sz="4" w:space="0" w:color="auto"/>
                          <w:bottom w:val="single" w:sz="4" w:space="0" w:color="auto"/>
                          <w:right w:val="single" w:sz="4" w:space="0" w:color="auto"/>
                        </w:tcBorders>
                      </w:tcPr>
                      <w:p w:rsidR="00E05476" w:rsidRDefault="00E05476" w:rsidP="00DB008B">
                        <w:pPr>
                          <w:jc w:val="both"/>
                          <w:rPr>
                            <w:szCs w:val="21"/>
                          </w:rPr>
                        </w:pPr>
                        <w:r>
                          <w:rPr>
                            <w:szCs w:val="21"/>
                          </w:rPr>
                          <w:t>- 组合二</w:t>
                        </w:r>
                      </w:p>
                    </w:tc>
                  </w:sdtContent>
                </w:sdt>
                <w:tc>
                  <w:tcPr>
                    <w:tcW w:w="561" w:type="pct"/>
                    <w:tcBorders>
                      <w:top w:val="single" w:sz="4" w:space="0" w:color="auto"/>
                      <w:left w:val="single" w:sz="4" w:space="0" w:color="auto"/>
                      <w:bottom w:val="single" w:sz="4" w:space="0" w:color="auto"/>
                      <w:right w:val="single" w:sz="4" w:space="0" w:color="auto"/>
                    </w:tcBorders>
                    <w:vAlign w:val="center"/>
                  </w:tcPr>
                  <w:p w:rsidR="00E05476" w:rsidRDefault="00E05476" w:rsidP="00DB008B">
                    <w:pPr>
                      <w:jc w:val="right"/>
                      <w:rPr>
                        <w:szCs w:val="21"/>
                      </w:rPr>
                    </w:pPr>
                    <w:r>
                      <w:t>251,999,353</w:t>
                    </w:r>
                  </w:p>
                </w:tc>
                <w:tc>
                  <w:tcPr>
                    <w:tcW w:w="280" w:type="pct"/>
                    <w:tcBorders>
                      <w:top w:val="single" w:sz="4" w:space="0" w:color="auto"/>
                      <w:left w:val="single" w:sz="4" w:space="0" w:color="auto"/>
                      <w:bottom w:val="single" w:sz="4" w:space="0" w:color="auto"/>
                      <w:right w:val="single" w:sz="4" w:space="0" w:color="auto"/>
                    </w:tcBorders>
                    <w:vAlign w:val="center"/>
                  </w:tcPr>
                  <w:p w:rsidR="00E05476" w:rsidRDefault="00E05476" w:rsidP="00DB008B">
                    <w:pPr>
                      <w:jc w:val="right"/>
                      <w:rPr>
                        <w:szCs w:val="21"/>
                      </w:rPr>
                    </w:pPr>
                    <w:r>
                      <w:t>3</w:t>
                    </w:r>
                  </w:p>
                </w:tc>
                <w:tc>
                  <w:tcPr>
                    <w:tcW w:w="487" w:type="pct"/>
                    <w:tcBorders>
                      <w:top w:val="single" w:sz="4" w:space="0" w:color="auto"/>
                      <w:left w:val="single" w:sz="4" w:space="0" w:color="auto"/>
                      <w:bottom w:val="single" w:sz="4" w:space="0" w:color="auto"/>
                      <w:right w:val="single" w:sz="4" w:space="0" w:color="auto"/>
                    </w:tcBorders>
                    <w:vAlign w:val="center"/>
                  </w:tcPr>
                  <w:p w:rsidR="00E05476" w:rsidRDefault="00E05476" w:rsidP="00DB008B">
                    <w:pPr>
                      <w:jc w:val="right"/>
                      <w:rPr>
                        <w:szCs w:val="21"/>
                      </w:rPr>
                    </w:pPr>
                    <w:r>
                      <w:t>13,036,790</w:t>
                    </w:r>
                  </w:p>
                </w:tc>
                <w:tc>
                  <w:tcPr>
                    <w:tcW w:w="286" w:type="pct"/>
                    <w:tcBorders>
                      <w:top w:val="single" w:sz="4" w:space="0" w:color="auto"/>
                      <w:left w:val="single" w:sz="4" w:space="0" w:color="auto"/>
                      <w:bottom w:val="single" w:sz="4" w:space="0" w:color="auto"/>
                      <w:right w:val="single" w:sz="4" w:space="0" w:color="auto"/>
                    </w:tcBorders>
                    <w:vAlign w:val="center"/>
                  </w:tcPr>
                  <w:p w:rsidR="00E05476" w:rsidRDefault="00E05476" w:rsidP="00DB008B">
                    <w:pPr>
                      <w:jc w:val="right"/>
                      <w:rPr>
                        <w:szCs w:val="21"/>
                      </w:rPr>
                    </w:pPr>
                    <w:r>
                      <w:t>5.17</w:t>
                    </w:r>
                  </w:p>
                </w:tc>
                <w:tc>
                  <w:tcPr>
                    <w:tcW w:w="561" w:type="pct"/>
                    <w:tcBorders>
                      <w:top w:val="single" w:sz="4" w:space="0" w:color="auto"/>
                      <w:left w:val="single" w:sz="4" w:space="0" w:color="auto"/>
                      <w:bottom w:val="single" w:sz="4" w:space="0" w:color="auto"/>
                      <w:right w:val="single" w:sz="4" w:space="0" w:color="auto"/>
                    </w:tcBorders>
                    <w:vAlign w:val="center"/>
                  </w:tcPr>
                  <w:p w:rsidR="00E05476" w:rsidRDefault="00E05476" w:rsidP="00DB008B">
                    <w:pPr>
                      <w:jc w:val="right"/>
                      <w:rPr>
                        <w:szCs w:val="21"/>
                      </w:rPr>
                    </w:pPr>
                    <w:r>
                      <w:t>238,962,563</w:t>
                    </w:r>
                  </w:p>
                </w:tc>
                <w:tc>
                  <w:tcPr>
                    <w:tcW w:w="561" w:type="pct"/>
                    <w:tcBorders>
                      <w:top w:val="single" w:sz="4" w:space="0" w:color="auto"/>
                      <w:left w:val="single" w:sz="4" w:space="0" w:color="auto"/>
                      <w:bottom w:val="single" w:sz="4" w:space="0" w:color="auto"/>
                      <w:right w:val="single" w:sz="4" w:space="0" w:color="auto"/>
                    </w:tcBorders>
                    <w:vAlign w:val="center"/>
                  </w:tcPr>
                  <w:p w:rsidR="00E05476" w:rsidRDefault="00E05476" w:rsidP="00DB008B">
                    <w:pPr>
                      <w:jc w:val="right"/>
                      <w:rPr>
                        <w:szCs w:val="21"/>
                      </w:rPr>
                    </w:pPr>
                    <w:r>
                      <w:t>201,388,268</w:t>
                    </w:r>
                  </w:p>
                </w:tc>
                <w:tc>
                  <w:tcPr>
                    <w:tcW w:w="344" w:type="pct"/>
                    <w:tcBorders>
                      <w:top w:val="single" w:sz="4" w:space="0" w:color="auto"/>
                      <w:left w:val="single" w:sz="4" w:space="0" w:color="auto"/>
                      <w:bottom w:val="single" w:sz="4" w:space="0" w:color="auto"/>
                      <w:right w:val="single" w:sz="4" w:space="0" w:color="auto"/>
                    </w:tcBorders>
                    <w:vAlign w:val="center"/>
                  </w:tcPr>
                  <w:p w:rsidR="00E05476" w:rsidRDefault="00E05476" w:rsidP="00DB008B">
                    <w:pPr>
                      <w:jc w:val="right"/>
                      <w:rPr>
                        <w:szCs w:val="21"/>
                      </w:rPr>
                    </w:pPr>
                    <w:r>
                      <w:t>3</w:t>
                    </w:r>
                  </w:p>
                </w:tc>
                <w:tc>
                  <w:tcPr>
                    <w:tcW w:w="487" w:type="pct"/>
                    <w:tcBorders>
                      <w:top w:val="single" w:sz="4" w:space="0" w:color="auto"/>
                      <w:left w:val="single" w:sz="4" w:space="0" w:color="auto"/>
                      <w:bottom w:val="single" w:sz="4" w:space="0" w:color="auto"/>
                      <w:right w:val="single" w:sz="4" w:space="0" w:color="auto"/>
                    </w:tcBorders>
                    <w:vAlign w:val="center"/>
                  </w:tcPr>
                  <w:p w:rsidR="00E05476" w:rsidRDefault="00E05476" w:rsidP="00DB008B">
                    <w:pPr>
                      <w:jc w:val="right"/>
                      <w:rPr>
                        <w:szCs w:val="21"/>
                      </w:rPr>
                    </w:pPr>
                    <w:r>
                      <w:t>14,739,991</w:t>
                    </w:r>
                  </w:p>
                </w:tc>
                <w:tc>
                  <w:tcPr>
                    <w:tcW w:w="352" w:type="pct"/>
                    <w:tcBorders>
                      <w:top w:val="single" w:sz="4" w:space="0" w:color="auto"/>
                      <w:left w:val="single" w:sz="4" w:space="0" w:color="auto"/>
                      <w:bottom w:val="single" w:sz="4" w:space="0" w:color="auto"/>
                      <w:right w:val="single" w:sz="4" w:space="0" w:color="auto"/>
                    </w:tcBorders>
                    <w:vAlign w:val="center"/>
                  </w:tcPr>
                  <w:p w:rsidR="00E05476" w:rsidRDefault="00E05476" w:rsidP="00DB008B">
                    <w:pPr>
                      <w:jc w:val="right"/>
                      <w:rPr>
                        <w:szCs w:val="21"/>
                      </w:rPr>
                    </w:pPr>
                    <w:r>
                      <w:t>7.32</w:t>
                    </w:r>
                  </w:p>
                </w:tc>
                <w:tc>
                  <w:tcPr>
                    <w:tcW w:w="327" w:type="pct"/>
                    <w:tcBorders>
                      <w:top w:val="single" w:sz="4" w:space="0" w:color="auto"/>
                      <w:left w:val="single" w:sz="4" w:space="0" w:color="auto"/>
                      <w:bottom w:val="single" w:sz="4" w:space="0" w:color="auto"/>
                      <w:right w:val="single" w:sz="4" w:space="0" w:color="auto"/>
                    </w:tcBorders>
                  </w:tcPr>
                  <w:p w:rsidR="00E05476" w:rsidRDefault="00E05476" w:rsidP="00DB008B">
                    <w:pPr>
                      <w:jc w:val="right"/>
                      <w:rPr>
                        <w:szCs w:val="21"/>
                      </w:rPr>
                    </w:pPr>
                    <w:r>
                      <w:t>186,648,277</w:t>
                    </w:r>
                  </w:p>
                </w:tc>
              </w:tr>
            </w:sdtContent>
          </w:sdt>
          <w:tr w:rsidR="00E05476" w:rsidTr="00DB008B">
            <w:trPr>
              <w:cantSplit/>
            </w:trPr>
            <w:sdt>
              <w:sdtPr>
                <w:tag w:val="_PLD_e313afc46a9f4b128ed746e538550a57"/>
                <w:id w:val="-1933037377"/>
                <w:lock w:val="sdtLocked"/>
              </w:sdtPr>
              <w:sdtContent>
                <w:tc>
                  <w:tcPr>
                    <w:tcW w:w="754" w:type="pct"/>
                    <w:tcBorders>
                      <w:top w:val="single" w:sz="4" w:space="0" w:color="auto"/>
                      <w:left w:val="single" w:sz="4" w:space="0" w:color="auto"/>
                      <w:bottom w:val="single" w:sz="4" w:space="0" w:color="auto"/>
                      <w:right w:val="single" w:sz="4" w:space="0" w:color="auto"/>
                    </w:tcBorders>
                    <w:vAlign w:val="center"/>
                  </w:tcPr>
                  <w:p w:rsidR="00E05476" w:rsidRDefault="00E05476" w:rsidP="00DB008B">
                    <w:pPr>
                      <w:autoSpaceDE w:val="0"/>
                      <w:autoSpaceDN w:val="0"/>
                      <w:adjustRightInd w:val="0"/>
                      <w:jc w:val="center"/>
                      <w:rPr>
                        <w:szCs w:val="21"/>
                      </w:rPr>
                    </w:pPr>
                    <w:r>
                      <w:rPr>
                        <w:rFonts w:hint="eastAsia"/>
                        <w:szCs w:val="21"/>
                      </w:rPr>
                      <w:t>合计</w:t>
                    </w:r>
                  </w:p>
                </w:tc>
              </w:sdtContent>
            </w:sdt>
            <w:tc>
              <w:tcPr>
                <w:tcW w:w="561" w:type="pct"/>
                <w:tcBorders>
                  <w:top w:val="single" w:sz="4" w:space="0" w:color="auto"/>
                  <w:left w:val="single" w:sz="4" w:space="0" w:color="auto"/>
                  <w:bottom w:val="single" w:sz="4" w:space="0" w:color="auto"/>
                  <w:right w:val="single" w:sz="4" w:space="0" w:color="auto"/>
                </w:tcBorders>
              </w:tcPr>
              <w:p w:rsidR="00E05476" w:rsidRDefault="00E05476" w:rsidP="00DB008B">
                <w:pPr>
                  <w:jc w:val="right"/>
                  <w:rPr>
                    <w:szCs w:val="21"/>
                  </w:rPr>
                </w:pPr>
                <w:r>
                  <w:rPr>
                    <w:szCs w:val="21"/>
                  </w:rPr>
                  <w:t>7,688,373,565</w:t>
                </w:r>
              </w:p>
            </w:tc>
            <w:tc>
              <w:tcPr>
                <w:tcW w:w="280" w:type="pct"/>
                <w:tcBorders>
                  <w:top w:val="single" w:sz="4" w:space="0" w:color="auto"/>
                  <w:left w:val="single" w:sz="4" w:space="0" w:color="auto"/>
                  <w:bottom w:val="single" w:sz="4" w:space="0" w:color="auto"/>
                  <w:right w:val="single" w:sz="4" w:space="0" w:color="auto"/>
                </w:tcBorders>
              </w:tcPr>
              <w:p w:rsidR="00E05476" w:rsidRDefault="00E05476" w:rsidP="00DB008B">
                <w:pPr>
                  <w:jc w:val="center"/>
                  <w:rPr>
                    <w:szCs w:val="21"/>
                  </w:rPr>
                </w:pPr>
                <w:r>
                  <w:rPr>
                    <w:rFonts w:hint="eastAsia"/>
                    <w:szCs w:val="21"/>
                  </w:rPr>
                  <w:t>/</w:t>
                </w:r>
              </w:p>
            </w:tc>
            <w:tc>
              <w:tcPr>
                <w:tcW w:w="487" w:type="pct"/>
                <w:tcBorders>
                  <w:top w:val="single" w:sz="4" w:space="0" w:color="auto"/>
                  <w:left w:val="single" w:sz="4" w:space="0" w:color="auto"/>
                  <w:bottom w:val="single" w:sz="4" w:space="0" w:color="auto"/>
                  <w:right w:val="single" w:sz="4" w:space="0" w:color="auto"/>
                </w:tcBorders>
              </w:tcPr>
              <w:p w:rsidR="00E05476" w:rsidRDefault="00E05476" w:rsidP="00DB008B">
                <w:pPr>
                  <w:jc w:val="right"/>
                  <w:rPr>
                    <w:szCs w:val="21"/>
                  </w:rPr>
                </w:pPr>
                <w:r>
                  <w:rPr>
                    <w:szCs w:val="21"/>
                  </w:rPr>
                  <w:t>211,310,516</w:t>
                </w:r>
              </w:p>
            </w:tc>
            <w:tc>
              <w:tcPr>
                <w:tcW w:w="286" w:type="pct"/>
                <w:tcBorders>
                  <w:top w:val="single" w:sz="4" w:space="0" w:color="auto"/>
                  <w:left w:val="single" w:sz="4" w:space="0" w:color="auto"/>
                  <w:bottom w:val="single" w:sz="4" w:space="0" w:color="auto"/>
                  <w:right w:val="single" w:sz="4" w:space="0" w:color="auto"/>
                </w:tcBorders>
              </w:tcPr>
              <w:p w:rsidR="00E05476" w:rsidRDefault="00E05476" w:rsidP="00DB008B">
                <w:pPr>
                  <w:jc w:val="center"/>
                  <w:rPr>
                    <w:szCs w:val="21"/>
                  </w:rPr>
                </w:pPr>
                <w:r>
                  <w:rPr>
                    <w:rFonts w:hint="eastAsia"/>
                    <w:szCs w:val="21"/>
                  </w:rPr>
                  <w:t>/</w:t>
                </w:r>
              </w:p>
            </w:tc>
            <w:tc>
              <w:tcPr>
                <w:tcW w:w="561" w:type="pct"/>
                <w:tcBorders>
                  <w:top w:val="single" w:sz="4" w:space="0" w:color="auto"/>
                  <w:left w:val="single" w:sz="4" w:space="0" w:color="auto"/>
                  <w:bottom w:val="single" w:sz="4" w:space="0" w:color="auto"/>
                  <w:right w:val="single" w:sz="4" w:space="0" w:color="auto"/>
                </w:tcBorders>
              </w:tcPr>
              <w:p w:rsidR="00E05476" w:rsidRDefault="00E05476" w:rsidP="00DB008B">
                <w:pPr>
                  <w:jc w:val="right"/>
                  <w:rPr>
                    <w:szCs w:val="21"/>
                  </w:rPr>
                </w:pPr>
                <w:r>
                  <w:rPr>
                    <w:szCs w:val="21"/>
                  </w:rPr>
                  <w:t>7,477,063,049</w:t>
                </w:r>
              </w:p>
            </w:tc>
            <w:tc>
              <w:tcPr>
                <w:tcW w:w="561" w:type="pct"/>
                <w:tcBorders>
                  <w:top w:val="single" w:sz="4" w:space="0" w:color="auto"/>
                  <w:left w:val="single" w:sz="4" w:space="0" w:color="auto"/>
                  <w:bottom w:val="single" w:sz="4" w:space="0" w:color="auto"/>
                  <w:right w:val="single" w:sz="4" w:space="0" w:color="auto"/>
                </w:tcBorders>
              </w:tcPr>
              <w:p w:rsidR="00E05476" w:rsidRDefault="00E05476" w:rsidP="00DB008B">
                <w:pPr>
                  <w:jc w:val="right"/>
                  <w:rPr>
                    <w:szCs w:val="21"/>
                  </w:rPr>
                </w:pPr>
                <w:r>
                  <w:rPr>
                    <w:szCs w:val="21"/>
                  </w:rPr>
                  <w:t>6,263,207,280</w:t>
                </w:r>
              </w:p>
            </w:tc>
            <w:tc>
              <w:tcPr>
                <w:tcW w:w="344" w:type="pct"/>
                <w:tcBorders>
                  <w:top w:val="single" w:sz="4" w:space="0" w:color="auto"/>
                  <w:left w:val="single" w:sz="4" w:space="0" w:color="auto"/>
                  <w:bottom w:val="single" w:sz="4" w:space="0" w:color="auto"/>
                  <w:right w:val="single" w:sz="4" w:space="0" w:color="auto"/>
                </w:tcBorders>
              </w:tcPr>
              <w:p w:rsidR="00E05476" w:rsidRDefault="00E05476" w:rsidP="00DB008B">
                <w:pPr>
                  <w:jc w:val="center"/>
                  <w:rPr>
                    <w:szCs w:val="21"/>
                  </w:rPr>
                </w:pPr>
                <w:r>
                  <w:rPr>
                    <w:rFonts w:hint="eastAsia"/>
                    <w:szCs w:val="21"/>
                  </w:rPr>
                  <w:t>/</w:t>
                </w:r>
              </w:p>
            </w:tc>
            <w:tc>
              <w:tcPr>
                <w:tcW w:w="487" w:type="pct"/>
                <w:tcBorders>
                  <w:top w:val="single" w:sz="4" w:space="0" w:color="auto"/>
                  <w:left w:val="single" w:sz="4" w:space="0" w:color="auto"/>
                  <w:bottom w:val="single" w:sz="4" w:space="0" w:color="auto"/>
                  <w:right w:val="single" w:sz="4" w:space="0" w:color="auto"/>
                </w:tcBorders>
              </w:tcPr>
              <w:p w:rsidR="00E05476" w:rsidRDefault="00E05476" w:rsidP="00DB008B">
                <w:pPr>
                  <w:jc w:val="right"/>
                  <w:rPr>
                    <w:szCs w:val="21"/>
                  </w:rPr>
                </w:pPr>
                <w:r>
                  <w:rPr>
                    <w:szCs w:val="21"/>
                  </w:rPr>
                  <w:t>381,498,919</w:t>
                </w:r>
              </w:p>
            </w:tc>
            <w:tc>
              <w:tcPr>
                <w:tcW w:w="352" w:type="pct"/>
                <w:tcBorders>
                  <w:top w:val="single" w:sz="4" w:space="0" w:color="auto"/>
                  <w:left w:val="single" w:sz="4" w:space="0" w:color="auto"/>
                  <w:bottom w:val="single" w:sz="4" w:space="0" w:color="auto"/>
                  <w:right w:val="single" w:sz="4" w:space="0" w:color="auto"/>
                </w:tcBorders>
              </w:tcPr>
              <w:p w:rsidR="00E05476" w:rsidRDefault="00E05476" w:rsidP="00DB008B">
                <w:pPr>
                  <w:jc w:val="center"/>
                  <w:rPr>
                    <w:szCs w:val="21"/>
                  </w:rPr>
                </w:pPr>
                <w:r>
                  <w:rPr>
                    <w:rFonts w:hint="eastAsia"/>
                    <w:szCs w:val="21"/>
                  </w:rPr>
                  <w:t>/</w:t>
                </w:r>
              </w:p>
            </w:tc>
            <w:tc>
              <w:tcPr>
                <w:tcW w:w="327" w:type="pct"/>
                <w:tcBorders>
                  <w:top w:val="single" w:sz="4" w:space="0" w:color="auto"/>
                  <w:left w:val="single" w:sz="4" w:space="0" w:color="auto"/>
                  <w:bottom w:val="single" w:sz="4" w:space="0" w:color="auto"/>
                  <w:right w:val="single" w:sz="4" w:space="0" w:color="auto"/>
                </w:tcBorders>
              </w:tcPr>
              <w:p w:rsidR="00E05476" w:rsidRDefault="00E05476" w:rsidP="00DB008B">
                <w:pPr>
                  <w:jc w:val="right"/>
                  <w:rPr>
                    <w:szCs w:val="21"/>
                  </w:rPr>
                </w:pPr>
                <w:r>
                  <w:rPr>
                    <w:szCs w:val="21"/>
                  </w:rPr>
                  <w:t>5,881,708,361</w:t>
                </w:r>
              </w:p>
            </w:tc>
          </w:tr>
        </w:tbl>
        <w:p w:rsidR="0038552F" w:rsidRDefault="0038552F">
          <w:pPr>
            <w:sectPr w:rsidR="0038552F" w:rsidSect="0038552F">
              <w:pgSz w:w="16838" w:h="11906" w:orient="landscape"/>
              <w:pgMar w:top="1797" w:right="1525" w:bottom="1276" w:left="1440" w:header="856" w:footer="992" w:gutter="0"/>
              <w:cols w:space="425"/>
              <w:docGrid w:linePitch="312"/>
            </w:sectPr>
          </w:pPr>
        </w:p>
        <w:p w:rsidR="00806678" w:rsidRDefault="00F80B6C"/>
      </w:sdtContent>
    </w:sdt>
    <w:bookmarkEnd w:id="263" w:displacedByCustomXml="next"/>
    <w:sdt>
      <w:sdtPr>
        <w:rPr>
          <w:rFonts w:hint="eastAsia"/>
          <w:szCs w:val="21"/>
        </w:rPr>
        <w:alias w:val="模块:按单项计提坏账准备"/>
        <w:tag w:val="_SEC_8c8d26b6244849bea9eb936271eeb8f9"/>
        <w:id w:val="119196882"/>
        <w:lock w:val="sdtLocked"/>
        <w:placeholder>
          <w:docPart w:val="GBC22222222222222222222222222222"/>
        </w:placeholder>
      </w:sdtPr>
      <w:sdtEndPr>
        <w:rPr>
          <w:rFonts w:hint="default"/>
          <w:szCs w:val="24"/>
        </w:rPr>
      </w:sdtEndPr>
      <w:sdtContent>
        <w:bookmarkStart w:id="264" w:name="_Hlk533796752" w:displacedByCustomXml="prev"/>
        <w:p w:rsidR="00806678" w:rsidRDefault="00B16377">
          <w:pPr>
            <w:rPr>
              <w:szCs w:val="21"/>
            </w:rPr>
          </w:pPr>
          <w:r>
            <w:rPr>
              <w:rFonts w:hint="eastAsia"/>
              <w:szCs w:val="21"/>
            </w:rPr>
            <w:t>按单项计提坏账准备：</w:t>
          </w:r>
        </w:p>
        <w:sdt>
          <w:sdtPr>
            <w:alias w:val="是否适用：母公司应收账款按单项计提坏账准备[双击切换]"/>
            <w:tag w:val="_GBC_1cd34dae0bf14ebba3d99534844e7d95"/>
            <w:id w:val="-1009361087"/>
            <w:lock w:val="sdtLocked"/>
            <w:placeholder>
              <w:docPart w:val="GBC22222222222222222222222222222"/>
            </w:placeholder>
          </w:sdtPr>
          <w:sdtContent>
            <w:p w:rsidR="00E05476" w:rsidRDefault="00F80B6C" w:rsidP="00E05476">
              <w:pPr>
                <w:rPr>
                  <w:szCs w:val="21"/>
                </w:rPr>
              </w:pPr>
              <w:r>
                <w:fldChar w:fldCharType="begin"/>
              </w:r>
              <w:r w:rsidR="00E05476">
                <w:instrText xml:space="preserve"> MACROBUTTON  SnrToggleCheckbox □适用 </w:instrText>
              </w:r>
              <w:r>
                <w:fldChar w:fldCharType="end"/>
              </w:r>
              <w:r>
                <w:fldChar w:fldCharType="begin"/>
              </w:r>
              <w:r w:rsidR="00E05476">
                <w:instrText xml:space="preserve"> MACROBUTTON  SnrToggleCheckbox √不适用 </w:instrText>
              </w:r>
              <w:r>
                <w:fldChar w:fldCharType="end"/>
              </w:r>
            </w:p>
          </w:sdtContent>
        </w:sdt>
        <w:p w:rsidR="00806678" w:rsidRDefault="00F80B6C"/>
      </w:sdtContent>
    </w:sdt>
    <w:bookmarkEnd w:id="264" w:displacedByCustomXml="next"/>
    <w:sdt>
      <w:sdtPr>
        <w:rPr>
          <w:rFonts w:hint="eastAsia"/>
          <w:szCs w:val="21"/>
        </w:rPr>
        <w:tag w:val="_PLD_23aec57fe4b34ac2aa7d42cb52467101"/>
        <w:id w:val="40257877"/>
        <w:lock w:val="sdtLocked"/>
        <w:placeholder>
          <w:docPart w:val="GBC22222222222222222222222222222"/>
        </w:placeholder>
      </w:sdtPr>
      <w:sdtContent>
        <w:p w:rsidR="00806678" w:rsidRDefault="00B16377">
          <w:pPr>
            <w:rPr>
              <w:szCs w:val="21"/>
            </w:rPr>
          </w:pPr>
          <w:r>
            <w:rPr>
              <w:rFonts w:hint="eastAsia"/>
              <w:szCs w:val="21"/>
            </w:rPr>
            <w:t>按组合计提坏账准备：</w:t>
          </w:r>
        </w:p>
      </w:sdtContent>
    </w:sdt>
    <w:sdt>
      <w:sdtPr>
        <w:alias w:val="是否适用：母公司应收账款按组合计提坏账准备[双击切换]"/>
        <w:tag w:val="_GBC_70ac43d24876403083fb1d281c12cd7e"/>
        <w:id w:val="1062222538"/>
        <w:lock w:val="sdtContentLocked"/>
        <w:placeholder>
          <w:docPart w:val="GBC22222222222222222222222222222"/>
        </w:placeholder>
      </w:sdtPr>
      <w:sdtContent>
        <w:p w:rsidR="00806678" w:rsidRDefault="00F80B6C">
          <w:r>
            <w:fldChar w:fldCharType="begin"/>
          </w:r>
          <w:r w:rsidR="00E05476">
            <w:instrText xml:space="preserve"> MACROBUTTON  SnrToggleCheckbox √适用 </w:instrText>
          </w:r>
          <w:r>
            <w:fldChar w:fldCharType="end"/>
          </w:r>
          <w:r>
            <w:fldChar w:fldCharType="begin"/>
          </w:r>
          <w:r w:rsidR="00E05476">
            <w:instrText xml:space="preserve"> MACROBUTTON  SnrToggleCheckbox □不适用 </w:instrText>
          </w:r>
          <w:r>
            <w:fldChar w:fldCharType="end"/>
          </w:r>
        </w:p>
      </w:sdtContent>
    </w:sdt>
    <w:bookmarkStart w:id="265" w:name="_Hlk132042321" w:displacedByCustomXml="next"/>
    <w:bookmarkStart w:id="266" w:name="_Hlk533796778" w:displacedByCustomXml="next"/>
    <w:sdt>
      <w:sdtPr>
        <w:rPr>
          <w:rFonts w:hint="eastAsia"/>
          <w:szCs w:val="21"/>
        </w:rPr>
        <w:alias w:val="模块:按组合计提坏账准备"/>
        <w:tag w:val="_SEC_8d0ccf9e1dd949dba37f2f7800d0070a@93edaeaa94684383"/>
        <w:id w:val="-1406133044"/>
        <w:lock w:val="sdtLocked"/>
        <w:placeholder>
          <w:docPart w:val="GBC22222222222222222222222222222"/>
        </w:placeholder>
      </w:sdtPr>
      <w:sdtEndPr>
        <w:rPr>
          <w:rFonts w:hint="default"/>
          <w:szCs w:val="24"/>
        </w:rPr>
      </w:sdtEndPr>
      <w:sdtContent>
        <w:p w:rsidR="00806678" w:rsidRDefault="00B16377">
          <w:pPr>
            <w:rPr>
              <w:szCs w:val="21"/>
            </w:rPr>
          </w:pPr>
          <w:r>
            <w:rPr>
              <w:rFonts w:hint="eastAsia"/>
              <w:szCs w:val="21"/>
            </w:rPr>
            <w:t>组合计提项目：</w:t>
          </w:r>
          <w:sdt>
            <w:sdtPr>
              <w:rPr>
                <w:rFonts w:hint="eastAsia"/>
                <w:szCs w:val="21"/>
              </w:rPr>
              <w:alias w:val="按组合计提坏账准备的应收账款明细-组合名称"/>
              <w:tag w:val="_GBC_f2cd2e7d8a6f493ebfd1838be7b87223"/>
              <w:id w:val="332258280"/>
              <w:lock w:val="sdtLocked"/>
              <w:placeholder>
                <w:docPart w:val="GBC22222222222222222222222222222"/>
              </w:placeholder>
              <w:comboBox>
                <w:listItem w:displayText="- 组合一" w:value="- 组合一"/>
                <w:listItem w:displayText="- 组合二" w:value="- 组合二"/>
              </w:comboBox>
            </w:sdtPr>
            <w:sdtContent>
              <w:r w:rsidR="00E05476">
                <w:rPr>
                  <w:rFonts w:hint="eastAsia"/>
                  <w:szCs w:val="21"/>
                </w:rPr>
                <w:t>- 组合一</w:t>
              </w:r>
            </w:sdtContent>
          </w:sdt>
        </w:p>
        <w:p w:rsidR="00806678" w:rsidRDefault="00B16377">
          <w:pPr>
            <w:autoSpaceDE w:val="0"/>
            <w:autoSpaceDN w:val="0"/>
            <w:adjustRightInd w:val="0"/>
            <w:ind w:left="5880" w:right="105"/>
            <w:jc w:val="right"/>
            <w:rPr>
              <w:szCs w:val="21"/>
            </w:rPr>
          </w:pPr>
          <w:r>
            <w:rPr>
              <w:rFonts w:hint="eastAsia"/>
              <w:szCs w:val="21"/>
            </w:rPr>
            <w:t>单位：</w:t>
          </w:r>
          <w:sdt>
            <w:sdtPr>
              <w:rPr>
                <w:rFonts w:hint="eastAsia"/>
                <w:szCs w:val="21"/>
              </w:rPr>
              <w:alias w:val="单位：母公司应收账款按组合计提坏账准备"/>
              <w:tag w:val="_GBC_2da079c1515b4a8f95770937142fdccb"/>
              <w:id w:val="131846633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母公司应收账款按组合计提坏账准备"/>
              <w:tag w:val="_GBC_f64b56aa027540f0b7ab78abc6fef514"/>
              <w:id w:val="-96118271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96"/>
            <w:gridCol w:w="2309"/>
            <w:gridCol w:w="2351"/>
            <w:gridCol w:w="2293"/>
          </w:tblGrid>
          <w:tr w:rsidR="00806678" w:rsidTr="008F147F">
            <w:sdt>
              <w:sdtPr>
                <w:tag w:val="_PLD_685d7e84e47740668b70cce04f42de5b"/>
                <w:id w:val="-2004268209"/>
                <w:lock w:val="sdtLocked"/>
              </w:sdtPr>
              <w:sdtContent>
                <w:tc>
                  <w:tcPr>
                    <w:tcW w:w="1158" w:type="pct"/>
                    <w:vMerge w:val="restart"/>
                    <w:vAlign w:val="center"/>
                  </w:tcPr>
                  <w:p w:rsidR="00806678" w:rsidRDefault="00B16377">
                    <w:pPr>
                      <w:jc w:val="center"/>
                      <w:rPr>
                        <w:szCs w:val="21"/>
                      </w:rPr>
                    </w:pPr>
                    <w:r>
                      <w:rPr>
                        <w:rFonts w:hint="eastAsia"/>
                        <w:szCs w:val="21"/>
                      </w:rPr>
                      <w:t>名称</w:t>
                    </w:r>
                  </w:p>
                </w:tc>
              </w:sdtContent>
            </w:sdt>
            <w:sdt>
              <w:sdtPr>
                <w:tag w:val="_PLD_80bd7906b1fa41658076794e93d74585"/>
                <w:id w:val="1964463790"/>
                <w:lock w:val="sdtLocked"/>
              </w:sdtPr>
              <w:sdtContent>
                <w:tc>
                  <w:tcPr>
                    <w:tcW w:w="3842" w:type="pct"/>
                    <w:gridSpan w:val="3"/>
                    <w:vAlign w:val="center"/>
                  </w:tcPr>
                  <w:p w:rsidR="00806678" w:rsidRDefault="00B16377">
                    <w:pPr>
                      <w:jc w:val="center"/>
                      <w:rPr>
                        <w:szCs w:val="21"/>
                      </w:rPr>
                    </w:pPr>
                    <w:r>
                      <w:rPr>
                        <w:rFonts w:hint="eastAsia"/>
                        <w:szCs w:val="21"/>
                      </w:rPr>
                      <w:t>期末余额</w:t>
                    </w:r>
                  </w:p>
                </w:tc>
              </w:sdtContent>
            </w:sdt>
          </w:tr>
          <w:tr w:rsidR="00806678" w:rsidTr="008F147F">
            <w:tc>
              <w:tcPr>
                <w:tcW w:w="1158" w:type="pct"/>
                <w:vMerge/>
              </w:tcPr>
              <w:p w:rsidR="00806678" w:rsidRDefault="00806678">
                <w:pPr>
                  <w:jc w:val="center"/>
                  <w:rPr>
                    <w:szCs w:val="21"/>
                  </w:rPr>
                </w:pPr>
              </w:p>
            </w:tc>
            <w:sdt>
              <w:sdtPr>
                <w:tag w:val="_PLD_696cb3bb4809472f88c41396728262f5"/>
                <w:id w:val="-1754117858"/>
                <w:lock w:val="sdtLocked"/>
              </w:sdtPr>
              <w:sdtContent>
                <w:tc>
                  <w:tcPr>
                    <w:tcW w:w="1276" w:type="pct"/>
                    <w:vAlign w:val="center"/>
                  </w:tcPr>
                  <w:p w:rsidR="00806678" w:rsidRDefault="00B16377">
                    <w:pPr>
                      <w:jc w:val="center"/>
                      <w:rPr>
                        <w:szCs w:val="21"/>
                      </w:rPr>
                    </w:pPr>
                    <w:r>
                      <w:rPr>
                        <w:rFonts w:hint="eastAsia"/>
                        <w:szCs w:val="21"/>
                      </w:rPr>
                      <w:t>应收账款</w:t>
                    </w:r>
                  </w:p>
                </w:tc>
              </w:sdtContent>
            </w:sdt>
            <w:sdt>
              <w:sdtPr>
                <w:tag w:val="_PLD_70e2c6a60e9b4f08bbbb1a23cd403ade"/>
                <w:id w:val="1493290204"/>
                <w:lock w:val="sdtLocked"/>
              </w:sdtPr>
              <w:sdtContent>
                <w:tc>
                  <w:tcPr>
                    <w:tcW w:w="1299" w:type="pct"/>
                    <w:vAlign w:val="center"/>
                  </w:tcPr>
                  <w:p w:rsidR="00806678" w:rsidRDefault="00B16377">
                    <w:pPr>
                      <w:jc w:val="center"/>
                      <w:rPr>
                        <w:szCs w:val="21"/>
                      </w:rPr>
                    </w:pPr>
                    <w:r>
                      <w:rPr>
                        <w:rFonts w:hint="eastAsia"/>
                        <w:szCs w:val="21"/>
                      </w:rPr>
                      <w:t>坏账准备</w:t>
                    </w:r>
                  </w:p>
                </w:tc>
              </w:sdtContent>
            </w:sdt>
            <w:sdt>
              <w:sdtPr>
                <w:tag w:val="_PLD_1fd76d95bed54fc5b0c669cf7b1d5e18"/>
                <w:id w:val="-1915076255"/>
                <w:lock w:val="sdtLocked"/>
              </w:sdtPr>
              <w:sdtContent>
                <w:tc>
                  <w:tcPr>
                    <w:tcW w:w="1267" w:type="pct"/>
                    <w:vAlign w:val="center"/>
                  </w:tcPr>
                  <w:p w:rsidR="00806678" w:rsidRDefault="00B16377">
                    <w:pPr>
                      <w:jc w:val="center"/>
                      <w:rPr>
                        <w:szCs w:val="21"/>
                      </w:rPr>
                    </w:pPr>
                    <w:r>
                      <w:rPr>
                        <w:szCs w:val="21"/>
                      </w:rPr>
                      <w:t>计提比例</w:t>
                    </w:r>
                    <w:r>
                      <w:rPr>
                        <w:rFonts w:hint="eastAsia"/>
                        <w:szCs w:val="21"/>
                      </w:rPr>
                      <w:t>（%）</w:t>
                    </w:r>
                  </w:p>
                </w:tc>
              </w:sdtContent>
            </w:sdt>
          </w:tr>
          <w:sdt>
            <w:sdtPr>
              <w:rPr>
                <w:b/>
                <w:bCs/>
                <w:color w:val="008000"/>
                <w:szCs w:val="21"/>
              </w:rPr>
              <w:alias w:val="按组合计提坏账准备的应收账款详细名称明细"/>
              <w:tag w:val="_TUP_ff03caedecbd42d5812f3c8525ab32f6"/>
              <w:id w:val="2054191263"/>
              <w:lock w:val="sdtLocked"/>
            </w:sdtPr>
            <w:sdtEndPr>
              <w:rPr>
                <w:b w:val="0"/>
                <w:bCs w:val="0"/>
                <w:highlight w:val="yellow"/>
              </w:rPr>
            </w:sdtEndPr>
            <w:sdtContent>
              <w:tr w:rsidR="00DE511A" w:rsidTr="00DB008B">
                <w:tc>
                  <w:tcPr>
                    <w:tcW w:w="1158" w:type="pct"/>
                  </w:tcPr>
                  <w:p w:rsidR="00DE511A" w:rsidRPr="004F5F9E" w:rsidRDefault="00DE511A" w:rsidP="00DE511A">
                    <w:pPr>
                      <w:rPr>
                        <w:szCs w:val="21"/>
                      </w:rPr>
                    </w:pPr>
                    <w:r w:rsidRPr="004F5F9E">
                      <w:rPr>
                        <w:rFonts w:hint="eastAsia"/>
                        <w:szCs w:val="21"/>
                      </w:rPr>
                      <w:t>组合一</w:t>
                    </w:r>
                  </w:p>
                </w:tc>
                <w:tc>
                  <w:tcPr>
                    <w:tcW w:w="1276" w:type="pct"/>
                    <w:vAlign w:val="center"/>
                  </w:tcPr>
                  <w:p w:rsidR="00DE511A" w:rsidRDefault="00DE511A" w:rsidP="00DE511A">
                    <w:pPr>
                      <w:jc w:val="right"/>
                      <w:rPr>
                        <w:szCs w:val="21"/>
                      </w:rPr>
                    </w:pPr>
                    <w:r>
                      <w:t>7,436,374,212</w:t>
                    </w:r>
                  </w:p>
                </w:tc>
                <w:tc>
                  <w:tcPr>
                    <w:tcW w:w="1299" w:type="pct"/>
                    <w:vAlign w:val="center"/>
                  </w:tcPr>
                  <w:p w:rsidR="00DE511A" w:rsidRDefault="00DE511A" w:rsidP="00DE511A">
                    <w:pPr>
                      <w:jc w:val="right"/>
                      <w:rPr>
                        <w:szCs w:val="21"/>
                      </w:rPr>
                    </w:pPr>
                    <w:r>
                      <w:t>198,273,726</w:t>
                    </w:r>
                  </w:p>
                </w:tc>
                <w:tc>
                  <w:tcPr>
                    <w:tcW w:w="1267" w:type="pct"/>
                  </w:tcPr>
                  <w:p w:rsidR="00DE511A" w:rsidRDefault="00DE511A" w:rsidP="00DE511A">
                    <w:pPr>
                      <w:jc w:val="right"/>
                      <w:rPr>
                        <w:szCs w:val="21"/>
                      </w:rPr>
                    </w:pPr>
                    <w:r>
                      <w:rPr>
                        <w:szCs w:val="21"/>
                      </w:rPr>
                      <w:t>2.67</w:t>
                    </w:r>
                  </w:p>
                </w:tc>
              </w:tr>
            </w:sdtContent>
          </w:sdt>
          <w:tr w:rsidR="00DE511A" w:rsidTr="00DB008B">
            <w:sdt>
              <w:sdtPr>
                <w:tag w:val="_PLD_2750d29c5651406489a9e89bb76f027a"/>
                <w:id w:val="-1309240143"/>
                <w:lock w:val="sdtLocked"/>
              </w:sdtPr>
              <w:sdtContent>
                <w:tc>
                  <w:tcPr>
                    <w:tcW w:w="1158" w:type="pct"/>
                    <w:vAlign w:val="center"/>
                  </w:tcPr>
                  <w:p w:rsidR="00DE511A" w:rsidRDefault="00DE511A" w:rsidP="00DE511A">
                    <w:pPr>
                      <w:jc w:val="center"/>
                      <w:rPr>
                        <w:szCs w:val="21"/>
                      </w:rPr>
                    </w:pPr>
                    <w:r>
                      <w:rPr>
                        <w:rFonts w:hint="eastAsia"/>
                        <w:szCs w:val="21"/>
                      </w:rPr>
                      <w:t>合计</w:t>
                    </w:r>
                  </w:p>
                </w:tc>
              </w:sdtContent>
            </w:sdt>
            <w:tc>
              <w:tcPr>
                <w:tcW w:w="1276" w:type="pct"/>
                <w:vAlign w:val="center"/>
              </w:tcPr>
              <w:p w:rsidR="00DE511A" w:rsidRDefault="00DE511A" w:rsidP="00DE511A">
                <w:pPr>
                  <w:jc w:val="right"/>
                  <w:rPr>
                    <w:szCs w:val="21"/>
                  </w:rPr>
                </w:pPr>
                <w:r>
                  <w:t>7,436,374,212</w:t>
                </w:r>
              </w:p>
            </w:tc>
            <w:tc>
              <w:tcPr>
                <w:tcW w:w="1299" w:type="pct"/>
                <w:vAlign w:val="center"/>
              </w:tcPr>
              <w:p w:rsidR="00DE511A" w:rsidRDefault="00DE511A" w:rsidP="00DE511A">
                <w:pPr>
                  <w:jc w:val="right"/>
                  <w:rPr>
                    <w:szCs w:val="21"/>
                  </w:rPr>
                </w:pPr>
                <w:r>
                  <w:t>198,273,726</w:t>
                </w:r>
              </w:p>
            </w:tc>
            <w:tc>
              <w:tcPr>
                <w:tcW w:w="1267" w:type="pct"/>
                <w:vAlign w:val="center"/>
              </w:tcPr>
              <w:p w:rsidR="00DE511A" w:rsidRDefault="00DE511A" w:rsidP="00DE511A">
                <w:pPr>
                  <w:jc w:val="right"/>
                  <w:rPr>
                    <w:szCs w:val="21"/>
                  </w:rPr>
                </w:pPr>
                <w:r>
                  <w:t>2.67</w:t>
                </w:r>
              </w:p>
            </w:tc>
          </w:tr>
        </w:tbl>
        <w:p w:rsidR="00806678" w:rsidRDefault="00F80B6C"/>
      </w:sdtContent>
    </w:sdt>
    <w:bookmarkEnd w:id="265" w:displacedByCustomXml="prev"/>
    <w:sdt>
      <w:sdtPr>
        <w:alias w:val="模块:按组合计提坏账准备"/>
        <w:tag w:val="_SEC_8d0ccf9e1dd949dba37f2f7800d0070a"/>
        <w:id w:val="507098602"/>
        <w:lock w:val="sdtLocked"/>
      </w:sdtPr>
      <w:sdtContent>
        <w:p w:rsidR="00F90304" w:rsidRDefault="00F90304">
          <w:pPr>
            <w:rPr>
              <w:szCs w:val="21"/>
            </w:rPr>
          </w:pPr>
          <w:r>
            <w:rPr>
              <w:rFonts w:hint="eastAsia"/>
              <w:szCs w:val="21"/>
            </w:rPr>
            <w:t>组合计提项目：</w:t>
          </w:r>
          <w:sdt>
            <w:sdtPr>
              <w:rPr>
                <w:rFonts w:hint="eastAsia"/>
                <w:szCs w:val="21"/>
              </w:rPr>
              <w:alias w:val="按组合计提坏账准备的应收账款明细-组合名称"/>
              <w:tag w:val="_GBC_f2cd2e7d8a6f493ebfd1838be7b87223"/>
              <w:id w:val="-254591774"/>
              <w:lock w:val="sdtLocked"/>
              <w:comboBox/>
            </w:sdtPr>
            <w:sdtContent>
              <w:r>
                <w:rPr>
                  <w:szCs w:val="21"/>
                </w:rPr>
                <w:t xml:space="preserve">- </w:t>
              </w:r>
              <w:r>
                <w:rPr>
                  <w:rFonts w:hint="eastAsia"/>
                  <w:szCs w:val="21"/>
                </w:rPr>
                <w:t>组合二</w:t>
              </w:r>
            </w:sdtContent>
          </w:sdt>
        </w:p>
        <w:p w:rsidR="00F90304" w:rsidRDefault="00F90304">
          <w:pPr>
            <w:autoSpaceDE w:val="0"/>
            <w:autoSpaceDN w:val="0"/>
            <w:adjustRightInd w:val="0"/>
            <w:ind w:left="5880" w:right="105"/>
            <w:jc w:val="right"/>
            <w:rPr>
              <w:szCs w:val="21"/>
            </w:rPr>
          </w:pPr>
          <w:r>
            <w:rPr>
              <w:rFonts w:hint="eastAsia"/>
              <w:szCs w:val="21"/>
            </w:rPr>
            <w:t>单位：</w:t>
          </w:r>
          <w:sdt>
            <w:sdtPr>
              <w:rPr>
                <w:rFonts w:hint="eastAsia"/>
                <w:szCs w:val="21"/>
              </w:rPr>
              <w:alias w:val="单位：母公司应收账款按组合计提坏账准备"/>
              <w:tag w:val="_GBC_2da079c1515b4a8f95770937142fdccb"/>
              <w:id w:val="189663815"/>
              <w:lock w:val="sdtLocked"/>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母公司应收账款按组合计提坏账准备"/>
              <w:tag w:val="_GBC_f64b56aa027540f0b7ab78abc6fef514"/>
              <w:id w:val="-1935815331"/>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96"/>
            <w:gridCol w:w="2309"/>
            <w:gridCol w:w="2351"/>
            <w:gridCol w:w="2293"/>
          </w:tblGrid>
          <w:tr w:rsidR="00F90304" w:rsidTr="00D9583F">
            <w:sdt>
              <w:sdtPr>
                <w:tag w:val="_PLD_685d7e84e47740668b70cce04f42de5b"/>
                <w:id w:val="-2116439226"/>
                <w:lock w:val="sdtLocked"/>
              </w:sdtPr>
              <w:sdtContent>
                <w:tc>
                  <w:tcPr>
                    <w:tcW w:w="1158" w:type="pct"/>
                    <w:vMerge w:val="restart"/>
                    <w:vAlign w:val="center"/>
                  </w:tcPr>
                  <w:p w:rsidR="00F90304" w:rsidRDefault="00F90304" w:rsidP="00D9583F">
                    <w:pPr>
                      <w:jc w:val="center"/>
                      <w:rPr>
                        <w:szCs w:val="21"/>
                      </w:rPr>
                    </w:pPr>
                    <w:r>
                      <w:rPr>
                        <w:rFonts w:hint="eastAsia"/>
                        <w:szCs w:val="21"/>
                      </w:rPr>
                      <w:t>名称</w:t>
                    </w:r>
                  </w:p>
                </w:tc>
              </w:sdtContent>
            </w:sdt>
            <w:sdt>
              <w:sdtPr>
                <w:tag w:val="_PLD_80bd7906b1fa41658076794e93d74585"/>
                <w:id w:val="-373311424"/>
                <w:lock w:val="sdtLocked"/>
              </w:sdtPr>
              <w:sdtContent>
                <w:tc>
                  <w:tcPr>
                    <w:tcW w:w="3842" w:type="pct"/>
                    <w:gridSpan w:val="3"/>
                    <w:vAlign w:val="center"/>
                  </w:tcPr>
                  <w:p w:rsidR="00F90304" w:rsidRDefault="00F90304" w:rsidP="00D9583F">
                    <w:pPr>
                      <w:jc w:val="center"/>
                      <w:rPr>
                        <w:szCs w:val="21"/>
                      </w:rPr>
                    </w:pPr>
                    <w:r>
                      <w:rPr>
                        <w:rFonts w:hint="eastAsia"/>
                        <w:szCs w:val="21"/>
                      </w:rPr>
                      <w:t>期末余额</w:t>
                    </w:r>
                  </w:p>
                </w:tc>
              </w:sdtContent>
            </w:sdt>
          </w:tr>
          <w:tr w:rsidR="00F90304" w:rsidTr="00D9583F">
            <w:tc>
              <w:tcPr>
                <w:tcW w:w="1158" w:type="pct"/>
                <w:vMerge/>
              </w:tcPr>
              <w:p w:rsidR="00F90304" w:rsidRDefault="00F90304" w:rsidP="00D9583F">
                <w:pPr>
                  <w:jc w:val="center"/>
                  <w:rPr>
                    <w:szCs w:val="21"/>
                  </w:rPr>
                </w:pPr>
              </w:p>
            </w:tc>
            <w:sdt>
              <w:sdtPr>
                <w:tag w:val="_PLD_696cb3bb4809472f88c41396728262f5"/>
                <w:id w:val="-657462551"/>
                <w:lock w:val="sdtLocked"/>
              </w:sdtPr>
              <w:sdtContent>
                <w:tc>
                  <w:tcPr>
                    <w:tcW w:w="1276" w:type="pct"/>
                    <w:vAlign w:val="center"/>
                  </w:tcPr>
                  <w:p w:rsidR="00F90304" w:rsidRDefault="00F90304" w:rsidP="00D9583F">
                    <w:pPr>
                      <w:jc w:val="center"/>
                      <w:rPr>
                        <w:szCs w:val="21"/>
                      </w:rPr>
                    </w:pPr>
                    <w:r>
                      <w:rPr>
                        <w:rFonts w:hint="eastAsia"/>
                        <w:szCs w:val="21"/>
                      </w:rPr>
                      <w:t>应收账款</w:t>
                    </w:r>
                  </w:p>
                </w:tc>
              </w:sdtContent>
            </w:sdt>
            <w:sdt>
              <w:sdtPr>
                <w:tag w:val="_PLD_70e2c6a60e9b4f08bbbb1a23cd403ade"/>
                <w:id w:val="1347137479"/>
                <w:lock w:val="sdtLocked"/>
              </w:sdtPr>
              <w:sdtContent>
                <w:tc>
                  <w:tcPr>
                    <w:tcW w:w="1299" w:type="pct"/>
                    <w:vAlign w:val="center"/>
                  </w:tcPr>
                  <w:p w:rsidR="00F90304" w:rsidRDefault="00F90304" w:rsidP="00D9583F">
                    <w:pPr>
                      <w:jc w:val="center"/>
                      <w:rPr>
                        <w:szCs w:val="21"/>
                      </w:rPr>
                    </w:pPr>
                    <w:r>
                      <w:rPr>
                        <w:rFonts w:hint="eastAsia"/>
                        <w:szCs w:val="21"/>
                      </w:rPr>
                      <w:t>坏账准备</w:t>
                    </w:r>
                  </w:p>
                </w:tc>
              </w:sdtContent>
            </w:sdt>
            <w:sdt>
              <w:sdtPr>
                <w:tag w:val="_PLD_1fd76d95bed54fc5b0c669cf7b1d5e18"/>
                <w:id w:val="-965820552"/>
                <w:lock w:val="sdtLocked"/>
              </w:sdtPr>
              <w:sdtContent>
                <w:tc>
                  <w:tcPr>
                    <w:tcW w:w="1267" w:type="pct"/>
                    <w:vAlign w:val="center"/>
                  </w:tcPr>
                  <w:p w:rsidR="00F90304" w:rsidRDefault="00F90304" w:rsidP="00D9583F">
                    <w:pPr>
                      <w:jc w:val="center"/>
                      <w:rPr>
                        <w:szCs w:val="21"/>
                      </w:rPr>
                    </w:pPr>
                    <w:r>
                      <w:rPr>
                        <w:szCs w:val="21"/>
                      </w:rPr>
                      <w:t>计提比例</w:t>
                    </w:r>
                    <w:r>
                      <w:rPr>
                        <w:rFonts w:hint="eastAsia"/>
                        <w:szCs w:val="21"/>
                      </w:rPr>
                      <w:t>（%）</w:t>
                    </w:r>
                  </w:p>
                </w:tc>
              </w:sdtContent>
            </w:sdt>
          </w:tr>
          <w:sdt>
            <w:sdtPr>
              <w:rPr>
                <w:color w:val="008000"/>
                <w:szCs w:val="21"/>
              </w:rPr>
              <w:alias w:val="按组合计提坏账准备的应收账款详细名称明细"/>
              <w:tag w:val="_TUP_ff03caedecbd42d5812f3c8525ab32f6"/>
              <w:id w:val="-1303299873"/>
              <w:lock w:val="sdtLocked"/>
            </w:sdtPr>
            <w:sdtEndPr>
              <w:rPr>
                <w:highlight w:val="yellow"/>
              </w:rPr>
            </w:sdtEndPr>
            <w:sdtContent>
              <w:tr w:rsidR="00F90304" w:rsidTr="00D9583F">
                <w:tc>
                  <w:tcPr>
                    <w:tcW w:w="1158" w:type="pct"/>
                  </w:tcPr>
                  <w:p w:rsidR="00F90304" w:rsidRDefault="00F90304" w:rsidP="00D9583F">
                    <w:pPr>
                      <w:rPr>
                        <w:szCs w:val="21"/>
                      </w:rPr>
                    </w:pPr>
                    <w:r>
                      <w:t>组合二</w:t>
                    </w:r>
                  </w:p>
                </w:tc>
                <w:tc>
                  <w:tcPr>
                    <w:tcW w:w="1276" w:type="pct"/>
                  </w:tcPr>
                  <w:p w:rsidR="00F90304" w:rsidRDefault="00F90304" w:rsidP="00D9583F">
                    <w:pPr>
                      <w:jc w:val="right"/>
                      <w:rPr>
                        <w:szCs w:val="21"/>
                      </w:rPr>
                    </w:pPr>
                    <w:r>
                      <w:t>251,999,353</w:t>
                    </w:r>
                  </w:p>
                </w:tc>
                <w:tc>
                  <w:tcPr>
                    <w:tcW w:w="1299" w:type="pct"/>
                  </w:tcPr>
                  <w:p w:rsidR="00F90304" w:rsidRDefault="00F90304" w:rsidP="00D9583F">
                    <w:pPr>
                      <w:jc w:val="right"/>
                      <w:rPr>
                        <w:szCs w:val="21"/>
                      </w:rPr>
                    </w:pPr>
                    <w:r>
                      <w:t>13,036,790</w:t>
                    </w:r>
                  </w:p>
                </w:tc>
                <w:tc>
                  <w:tcPr>
                    <w:tcW w:w="1267" w:type="pct"/>
                  </w:tcPr>
                  <w:p w:rsidR="00F90304" w:rsidRDefault="00F90304" w:rsidP="00D9583F">
                    <w:pPr>
                      <w:jc w:val="right"/>
                      <w:rPr>
                        <w:szCs w:val="21"/>
                      </w:rPr>
                    </w:pPr>
                    <w:r>
                      <w:t>5.17</w:t>
                    </w:r>
                  </w:p>
                </w:tc>
              </w:tr>
            </w:sdtContent>
          </w:sdt>
          <w:tr w:rsidR="00F90304" w:rsidTr="00301EF8">
            <w:sdt>
              <w:sdtPr>
                <w:tag w:val="_PLD_2750d29c5651406489a9e89bb76f027a"/>
                <w:id w:val="111865375"/>
                <w:lock w:val="sdtLocked"/>
              </w:sdtPr>
              <w:sdtContent>
                <w:tc>
                  <w:tcPr>
                    <w:tcW w:w="1158" w:type="pct"/>
                    <w:vAlign w:val="center"/>
                  </w:tcPr>
                  <w:p w:rsidR="00F90304" w:rsidRDefault="00F90304" w:rsidP="00F90304">
                    <w:pPr>
                      <w:jc w:val="center"/>
                      <w:rPr>
                        <w:szCs w:val="21"/>
                      </w:rPr>
                    </w:pPr>
                    <w:r>
                      <w:rPr>
                        <w:rFonts w:hint="eastAsia"/>
                        <w:szCs w:val="21"/>
                      </w:rPr>
                      <w:t>合计</w:t>
                    </w:r>
                  </w:p>
                </w:tc>
              </w:sdtContent>
            </w:sdt>
            <w:tc>
              <w:tcPr>
                <w:tcW w:w="1276" w:type="pct"/>
                <w:vAlign w:val="center"/>
              </w:tcPr>
              <w:p w:rsidR="00F90304" w:rsidRDefault="00F90304" w:rsidP="00F90304">
                <w:pPr>
                  <w:jc w:val="right"/>
                  <w:rPr>
                    <w:szCs w:val="21"/>
                  </w:rPr>
                </w:pPr>
                <w:r>
                  <w:t>251,999,353</w:t>
                </w:r>
              </w:p>
            </w:tc>
            <w:tc>
              <w:tcPr>
                <w:tcW w:w="1299" w:type="pct"/>
                <w:vAlign w:val="center"/>
              </w:tcPr>
              <w:p w:rsidR="00F90304" w:rsidRDefault="00F90304" w:rsidP="00F90304">
                <w:pPr>
                  <w:jc w:val="right"/>
                  <w:rPr>
                    <w:szCs w:val="21"/>
                  </w:rPr>
                </w:pPr>
                <w:r>
                  <w:t>13,036,790</w:t>
                </w:r>
              </w:p>
            </w:tc>
            <w:tc>
              <w:tcPr>
                <w:tcW w:w="1267" w:type="pct"/>
                <w:vAlign w:val="center"/>
              </w:tcPr>
              <w:p w:rsidR="00F90304" w:rsidRDefault="00F90304" w:rsidP="00F90304">
                <w:pPr>
                  <w:jc w:val="right"/>
                  <w:rPr>
                    <w:szCs w:val="21"/>
                  </w:rPr>
                </w:pPr>
                <w:r>
                  <w:t>5.17</w:t>
                </w:r>
              </w:p>
            </w:tc>
          </w:tr>
        </w:tbl>
        <w:p w:rsidR="003C052B" w:rsidRDefault="003C052B">
          <w:pPr>
            <w:rPr>
              <w:szCs w:val="21"/>
            </w:rPr>
          </w:pPr>
        </w:p>
        <w:p w:rsidR="00F90304" w:rsidRDefault="00F90304">
          <w:pPr>
            <w:rPr>
              <w:szCs w:val="21"/>
            </w:rPr>
          </w:pPr>
          <w:r>
            <w:rPr>
              <w:rFonts w:hint="eastAsia"/>
              <w:szCs w:val="21"/>
            </w:rPr>
            <w:t>按组合计提坏账的确认标准及说明：</w:t>
          </w:r>
        </w:p>
        <w:sdt>
          <w:sdtPr>
            <w:rPr>
              <w:szCs w:val="21"/>
            </w:rPr>
            <w:alias w:val="是否适用：母公司应收账款按组合计提坏账的确认标准及说明[双击切换]"/>
            <w:tag w:val="_GBC_63044b38e77844689beec86348cdea93"/>
            <w:id w:val="958447880"/>
            <w:lock w:val="sdtLocked"/>
          </w:sdtPr>
          <w:sdtContent>
            <w:p w:rsidR="00F90304" w:rsidRDefault="00F80B6C">
              <w:pPr>
                <w:rPr>
                  <w:szCs w:val="21"/>
                </w:rPr>
              </w:pPr>
              <w:r>
                <w:rPr>
                  <w:szCs w:val="21"/>
                </w:rPr>
                <w:fldChar w:fldCharType="begin"/>
              </w:r>
              <w:r w:rsidR="00F90304">
                <w:rPr>
                  <w:szCs w:val="21"/>
                </w:rPr>
                <w:instrText xml:space="preserve"> MACROBUTTON  SnrToggleCheckbox √适用 </w:instrText>
              </w:r>
              <w:r>
                <w:rPr>
                  <w:szCs w:val="21"/>
                </w:rPr>
                <w:fldChar w:fldCharType="end"/>
              </w:r>
              <w:r>
                <w:rPr>
                  <w:szCs w:val="21"/>
                </w:rPr>
                <w:fldChar w:fldCharType="begin"/>
              </w:r>
              <w:r w:rsidR="00F90304">
                <w:rPr>
                  <w:szCs w:val="21"/>
                </w:rPr>
                <w:instrText xml:space="preserve"> MACROBUTTON  SnrToggleCheckbox □不适用 </w:instrText>
              </w:r>
              <w:r>
                <w:rPr>
                  <w:szCs w:val="21"/>
                </w:rPr>
                <w:fldChar w:fldCharType="end"/>
              </w:r>
            </w:p>
          </w:sdtContent>
        </w:sdt>
        <w:sdt>
          <w:sdtPr>
            <w:rPr>
              <w:szCs w:val="21"/>
            </w:rPr>
            <w:alias w:val="按组合计提坏账准备的应收账款确认标准"/>
            <w:tag w:val="_GBC_805eac1ee4394c0cb635112a70e241dd"/>
            <w:id w:val="-1173486093"/>
            <w:lock w:val="sdtLocked"/>
          </w:sdtPr>
          <w:sdtContent>
            <w:p w:rsidR="00F90304" w:rsidRPr="00F90304" w:rsidRDefault="00F90304" w:rsidP="00F90304">
              <w:pPr>
                <w:rPr>
                  <w:szCs w:val="21"/>
                </w:rPr>
              </w:pPr>
              <w:r w:rsidRPr="00F90304">
                <w:rPr>
                  <w:rFonts w:hint="eastAsia"/>
                  <w:szCs w:val="21"/>
                </w:rPr>
                <w:t>本集团依据信用风险特征将应收账款划分为若干组合，在组合基础上计算预期信用损失，确定组合的标准如下：</w:t>
              </w:r>
            </w:p>
            <w:p w:rsidR="00F90304" w:rsidRPr="00F90304" w:rsidRDefault="00F90304" w:rsidP="00F90304">
              <w:pPr>
                <w:rPr>
                  <w:szCs w:val="21"/>
                </w:rPr>
              </w:pPr>
            </w:p>
            <w:p w:rsidR="00F90304" w:rsidRPr="00F90304" w:rsidRDefault="00F90304" w:rsidP="00F90304">
              <w:pPr>
                <w:rPr>
                  <w:szCs w:val="21"/>
                </w:rPr>
              </w:pPr>
              <w:r w:rsidRPr="00F90304">
                <w:rPr>
                  <w:rFonts w:hint="eastAsia"/>
                  <w:szCs w:val="21"/>
                </w:rPr>
                <w:t>组合一：国铁集团及其下属单位</w:t>
              </w:r>
            </w:p>
            <w:p w:rsidR="00F90304" w:rsidRPr="00F90304" w:rsidRDefault="00F90304" w:rsidP="00F90304">
              <w:pPr>
                <w:rPr>
                  <w:szCs w:val="21"/>
                </w:rPr>
              </w:pPr>
            </w:p>
            <w:p w:rsidR="00F90304" w:rsidRPr="00F90304" w:rsidRDefault="00F90304" w:rsidP="00F90304">
              <w:pPr>
                <w:rPr>
                  <w:szCs w:val="21"/>
                </w:rPr>
              </w:pPr>
              <w:r w:rsidRPr="00F90304">
                <w:rPr>
                  <w:rFonts w:hint="eastAsia"/>
                  <w:szCs w:val="21"/>
                </w:rPr>
                <w:t>组合二：应收非关联方</w:t>
              </w:r>
            </w:p>
            <w:p w:rsidR="00F90304" w:rsidRPr="00F90304" w:rsidRDefault="00F90304" w:rsidP="00F90304">
              <w:pPr>
                <w:rPr>
                  <w:szCs w:val="21"/>
                </w:rPr>
              </w:pPr>
            </w:p>
            <w:p w:rsidR="00F90304" w:rsidRPr="00F90304" w:rsidRDefault="00F90304" w:rsidP="00F90304">
              <w:pPr>
                <w:rPr>
                  <w:szCs w:val="21"/>
                </w:rPr>
              </w:pPr>
              <w:r w:rsidRPr="00F90304">
                <w:rPr>
                  <w:rFonts w:hint="eastAsia"/>
                  <w:szCs w:val="21"/>
                </w:rPr>
                <w:t>本集团始终按照相当于整个存续期内预期信用损失的金额计量应收账款的减值准备。按照本集团应收账款坏账准备的会计政策，管理层基于历史信用损失经验计算应收账款的预期信用损失，相关历史经验根据资产负债表日借款人的特定因素、以及对当前状况和未来经济状况预测的评估进行调整。</w:t>
              </w:r>
            </w:p>
            <w:p w:rsidR="00F90304" w:rsidRPr="00F90304" w:rsidRDefault="00F80B6C" w:rsidP="00F90304">
              <w:pPr>
                <w:rPr>
                  <w:szCs w:val="21"/>
                </w:rPr>
              </w:pPr>
            </w:p>
          </w:sdtContent>
        </w:sdt>
      </w:sdtContent>
    </w:sdt>
    <w:bookmarkEnd w:id="266" w:displacedByCustomXml="next"/>
    <w:bookmarkStart w:id="267" w:name="_Hlk534616017" w:displacedByCustomXml="next"/>
    <w:sdt>
      <w:sdtPr>
        <w:alias w:val="模块:如按照一般预计信用损失模型计提坏账，请参照其他应收款的披露方式披露"/>
        <w:tag w:val="_SEC_204080107f654b539d9fcb8781629182"/>
        <w:id w:val="466244138"/>
        <w:lock w:val="sdtLocked"/>
        <w:placeholder>
          <w:docPart w:val="GBC22222222222222222222222222222"/>
        </w:placeholder>
      </w:sdtPr>
      <w:sdtContent>
        <w:p w:rsidR="00806678" w:rsidRDefault="00B16377">
          <w:r>
            <w:rPr>
              <w:rFonts w:hint="eastAsia"/>
            </w:rPr>
            <w:t>如按预期信用损失一般模型计提坏账准备，请参照其他应收款披露：</w:t>
          </w:r>
        </w:p>
        <w:sdt>
          <w:sdtPr>
            <w:alias w:val="是否适用：母公司应收账款按一般预计信用损失模型计提坏账[双击切换]"/>
            <w:tag w:val="_GBC_681a6428f5004327ac9c72b5eb632f13"/>
            <w:id w:val="-1904898670"/>
            <w:lock w:val="sdtLocked"/>
            <w:placeholder>
              <w:docPart w:val="GBC22222222222222222222222222222"/>
            </w:placeholder>
          </w:sdtPr>
          <w:sdtContent>
            <w:p w:rsidR="00806678" w:rsidRDefault="00F80B6C" w:rsidP="00192A4C">
              <w:r>
                <w:fldChar w:fldCharType="begin"/>
              </w:r>
              <w:r w:rsidR="00192A4C">
                <w:instrText xml:space="preserve"> MACROBUTTON  SnrToggleCheckbox □适用 </w:instrText>
              </w:r>
              <w:r>
                <w:fldChar w:fldCharType="end"/>
              </w:r>
              <w:r>
                <w:fldChar w:fldCharType="begin"/>
              </w:r>
              <w:r w:rsidR="00192A4C">
                <w:instrText xml:space="preserve"> MACROBUTTON  SnrToggleCheckbox √不适用 </w:instrText>
              </w:r>
              <w:r>
                <w:fldChar w:fldCharType="end"/>
              </w:r>
            </w:p>
          </w:sdtContent>
        </w:sdt>
        <w:p w:rsidR="00806678" w:rsidRDefault="00F80B6C"/>
      </w:sdtContent>
    </w:sdt>
    <w:bookmarkEnd w:id="267" w:displacedByCustomXml="prev"/>
    <w:bookmarkStart w:id="268" w:name="_Hlk534890665" w:displacedByCustomXml="next"/>
    <w:sdt>
      <w:sdtPr>
        <w:rPr>
          <w:rFonts w:ascii="宋体" w:eastAsia="宋体" w:hAnsi="宋体" w:cs="宋体" w:hint="eastAsia"/>
          <w:b w:val="0"/>
          <w:bCs w:val="0"/>
          <w:kern w:val="0"/>
          <w:szCs w:val="22"/>
        </w:rPr>
        <w:alias w:val="模块:应收账款坏账准备的情况"/>
        <w:tag w:val="_SEC_d03baee572c2484a8896573f749f99a5"/>
        <w:id w:val="957686146"/>
        <w:lock w:val="sdtLocked"/>
        <w:placeholder>
          <w:docPart w:val="GBC22222222222222222222222222222"/>
        </w:placeholder>
      </w:sdtPr>
      <w:sdtEndPr>
        <w:rPr>
          <w:rFonts w:ascii="Calibri" w:hAnsi="Calibri" w:cs="Times New Roman" w:hint="default"/>
          <w:kern w:val="2"/>
          <w:szCs w:val="21"/>
        </w:rPr>
      </w:sdtEndPr>
      <w:sdtContent>
        <w:p w:rsidR="00806678" w:rsidRDefault="00B16377" w:rsidP="00FF17C7">
          <w:pPr>
            <w:pStyle w:val="4"/>
            <w:numPr>
              <w:ilvl w:val="3"/>
              <w:numId w:val="111"/>
            </w:numPr>
            <w:ind w:left="424" w:hangingChars="202" w:hanging="424"/>
          </w:pPr>
          <w:r>
            <w:rPr>
              <w:rFonts w:hint="eastAsia"/>
            </w:rPr>
            <w:t>坏账准备的情况</w:t>
          </w:r>
        </w:p>
        <w:sdt>
          <w:sdtPr>
            <w:alias w:val="是否适用：母公司应收账款坏账准备情况[双击切换]"/>
            <w:tag w:val="_GBC_c4b273c4d86b423ea0abe5794b3a9a07"/>
            <w:id w:val="-684820359"/>
            <w:lock w:val="sdtLocked"/>
            <w:placeholder>
              <w:docPart w:val="GBC22222222222222222222222222222"/>
            </w:placeholder>
          </w:sdtPr>
          <w:sdtContent>
            <w:p w:rsidR="00806678" w:rsidRDefault="00F80B6C">
              <w:r>
                <w:fldChar w:fldCharType="begin"/>
              </w:r>
              <w:r w:rsidR="00192A4C">
                <w:instrText xml:space="preserve"> MACROBUTTON  SnrToggleCheckbox √适用 </w:instrText>
              </w:r>
              <w:r>
                <w:fldChar w:fldCharType="end"/>
              </w:r>
              <w:r>
                <w:fldChar w:fldCharType="begin"/>
              </w:r>
              <w:r w:rsidR="00192A4C">
                <w:instrText xml:space="preserve"> MACROBUTTON  SnrToggleCheckbox □不适用 </w:instrText>
              </w:r>
              <w:r>
                <w:fldChar w:fldCharType="end"/>
              </w:r>
            </w:p>
          </w:sdtContent>
        </w:sdt>
        <w:p w:rsidR="00806678" w:rsidRDefault="00B16377">
          <w:pPr>
            <w:pStyle w:val="a9"/>
            <w:snapToGrid w:val="0"/>
            <w:spacing w:line="240" w:lineRule="atLeast"/>
            <w:ind w:left="425" w:firstLineChars="0" w:firstLine="0"/>
            <w:jc w:val="right"/>
            <w:rPr>
              <w:szCs w:val="21"/>
            </w:rPr>
          </w:pPr>
          <w:r>
            <w:rPr>
              <w:rFonts w:hint="eastAsia"/>
              <w:szCs w:val="21"/>
            </w:rPr>
            <w:t>单位：</w:t>
          </w:r>
          <w:sdt>
            <w:sdtPr>
              <w:rPr>
                <w:rFonts w:hint="eastAsia"/>
                <w:szCs w:val="21"/>
              </w:rPr>
              <w:alias w:val="单位：母公司应收账款坏账准备情况"/>
              <w:tag w:val="_GBC_297876b5a195460cabc3796e317c400c"/>
              <w:id w:val="6569335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母公司应收账款坏账准备情况"/>
              <w:tag w:val="_GBC_e88786d88c2b4853820fef447c6f542a"/>
              <w:id w:val="-136281276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tblPr>
          <w:tblGrid>
            <w:gridCol w:w="1380"/>
            <w:gridCol w:w="1381"/>
            <w:gridCol w:w="1248"/>
            <w:gridCol w:w="1381"/>
            <w:gridCol w:w="1145"/>
            <w:gridCol w:w="1143"/>
            <w:gridCol w:w="1381"/>
          </w:tblGrid>
          <w:tr w:rsidR="00806678" w:rsidTr="003576BC">
            <w:trPr>
              <w:jc w:val="center"/>
            </w:trPr>
            <w:sdt>
              <w:sdtPr>
                <w:tag w:val="_PLD_98300d230c0347eb87a2635ad51c1d00"/>
                <w:id w:val="-390651669"/>
                <w:lock w:val="sdtLocked"/>
              </w:sdtPr>
              <w:sdtContent>
                <w:tc>
                  <w:tcPr>
                    <w:tcW w:w="762" w:type="pct"/>
                    <w:vMerge w:val="restart"/>
                    <w:shd w:val="clear" w:color="auto" w:fill="FFFFFF"/>
                    <w:vAlign w:val="center"/>
                  </w:tcPr>
                  <w:p w:rsidR="00806678" w:rsidRDefault="00B16377">
                    <w:pPr>
                      <w:widowControl w:val="0"/>
                      <w:jc w:val="center"/>
                    </w:pPr>
                    <w:r>
                      <w:t>类别</w:t>
                    </w:r>
                  </w:p>
                </w:tc>
              </w:sdtContent>
            </w:sdt>
            <w:sdt>
              <w:sdtPr>
                <w:tag w:val="_PLD_7769f2b383ef45cea01b90026bb353c2"/>
                <w:id w:val="829330116"/>
                <w:lock w:val="sdtLocked"/>
              </w:sdtPr>
              <w:sdtContent>
                <w:tc>
                  <w:tcPr>
                    <w:tcW w:w="762" w:type="pct"/>
                    <w:vMerge w:val="restart"/>
                    <w:shd w:val="clear" w:color="auto" w:fill="FFFFFF"/>
                    <w:vAlign w:val="center"/>
                  </w:tcPr>
                  <w:p w:rsidR="00806678" w:rsidRDefault="00B16377">
                    <w:pPr>
                      <w:widowControl w:val="0"/>
                      <w:jc w:val="center"/>
                    </w:pPr>
                    <w:r>
                      <w:t>期初余额</w:t>
                    </w:r>
                  </w:p>
                </w:tc>
              </w:sdtContent>
            </w:sdt>
            <w:sdt>
              <w:sdtPr>
                <w:tag w:val="_PLD_cd024d723ca84c77aded9d7b7313563b"/>
                <w:id w:val="-945073981"/>
                <w:lock w:val="sdtLocked"/>
              </w:sdtPr>
              <w:sdtContent>
                <w:tc>
                  <w:tcPr>
                    <w:tcW w:w="2714" w:type="pct"/>
                    <w:gridSpan w:val="4"/>
                    <w:shd w:val="clear" w:color="auto" w:fill="FFFFFF"/>
                    <w:vAlign w:val="center"/>
                  </w:tcPr>
                  <w:p w:rsidR="00806678" w:rsidRDefault="00B16377">
                    <w:pPr>
                      <w:widowControl w:val="0"/>
                      <w:jc w:val="center"/>
                    </w:pPr>
                    <w:r>
                      <w:rPr>
                        <w:rFonts w:hint="eastAsia"/>
                      </w:rPr>
                      <w:t>本期变动</w:t>
                    </w:r>
                    <w:r>
                      <w:t>金额</w:t>
                    </w:r>
                  </w:p>
                </w:tc>
              </w:sdtContent>
            </w:sdt>
            <w:sdt>
              <w:sdtPr>
                <w:tag w:val="_PLD_1225558b3fd34599bc2c3f9eb23fba1e"/>
                <w:id w:val="-1922473136"/>
                <w:lock w:val="sdtLocked"/>
              </w:sdtPr>
              <w:sdtContent>
                <w:tc>
                  <w:tcPr>
                    <w:tcW w:w="762" w:type="pct"/>
                    <w:vMerge w:val="restart"/>
                    <w:shd w:val="clear" w:color="auto" w:fill="FFFFFF"/>
                    <w:vAlign w:val="center"/>
                  </w:tcPr>
                  <w:p w:rsidR="00806678" w:rsidRDefault="00B16377">
                    <w:pPr>
                      <w:widowControl w:val="0"/>
                      <w:jc w:val="center"/>
                    </w:pPr>
                    <w:r>
                      <w:t>期末余额</w:t>
                    </w:r>
                  </w:p>
                </w:tc>
              </w:sdtContent>
            </w:sdt>
          </w:tr>
          <w:tr w:rsidR="00806678" w:rsidTr="003576BC">
            <w:trPr>
              <w:jc w:val="center"/>
            </w:trPr>
            <w:tc>
              <w:tcPr>
                <w:tcW w:w="762" w:type="pct"/>
                <w:vMerge/>
                <w:shd w:val="clear" w:color="auto" w:fill="FFFFFF"/>
              </w:tcPr>
              <w:p w:rsidR="00806678" w:rsidRDefault="00806678">
                <w:pPr>
                  <w:widowControl w:val="0"/>
                  <w:jc w:val="center"/>
                </w:pPr>
              </w:p>
            </w:tc>
            <w:tc>
              <w:tcPr>
                <w:tcW w:w="762" w:type="pct"/>
                <w:vMerge/>
                <w:shd w:val="clear" w:color="auto" w:fill="FFFFFF"/>
              </w:tcPr>
              <w:p w:rsidR="00806678" w:rsidRDefault="00806678">
                <w:pPr>
                  <w:widowControl w:val="0"/>
                  <w:jc w:val="center"/>
                </w:pPr>
              </w:p>
            </w:tc>
            <w:sdt>
              <w:sdtPr>
                <w:tag w:val="_PLD_3e1ba6e4785f430c89e70b3081ee1f0a"/>
                <w:id w:val="1425992325"/>
                <w:lock w:val="sdtLocked"/>
              </w:sdtPr>
              <w:sdtContent>
                <w:tc>
                  <w:tcPr>
                    <w:tcW w:w="689" w:type="pct"/>
                    <w:shd w:val="clear" w:color="auto" w:fill="FFFFFF"/>
                    <w:vAlign w:val="center"/>
                  </w:tcPr>
                  <w:p w:rsidR="00806678" w:rsidRDefault="00B16377">
                    <w:pPr>
                      <w:widowControl w:val="0"/>
                      <w:jc w:val="center"/>
                    </w:pPr>
                    <w:r>
                      <w:t>计提</w:t>
                    </w:r>
                  </w:p>
                </w:tc>
              </w:sdtContent>
            </w:sdt>
            <w:sdt>
              <w:sdtPr>
                <w:tag w:val="_PLD_e1238ab8ec634edb975aa51e169f4488"/>
                <w:id w:val="1266802857"/>
                <w:lock w:val="sdtLocked"/>
              </w:sdtPr>
              <w:sdtContent>
                <w:tc>
                  <w:tcPr>
                    <w:tcW w:w="762" w:type="pct"/>
                    <w:shd w:val="clear" w:color="auto" w:fill="FFFFFF"/>
                    <w:vAlign w:val="center"/>
                  </w:tcPr>
                  <w:p w:rsidR="00806678" w:rsidRDefault="00B16377">
                    <w:pPr>
                      <w:widowControl w:val="0"/>
                      <w:jc w:val="center"/>
                    </w:pPr>
                    <w:r>
                      <w:rPr>
                        <w:rFonts w:hint="eastAsia"/>
                      </w:rPr>
                      <w:t>收回或转回</w:t>
                    </w:r>
                  </w:p>
                </w:tc>
              </w:sdtContent>
            </w:sdt>
            <w:tc>
              <w:tcPr>
                <w:tcW w:w="632" w:type="pct"/>
                <w:shd w:val="clear" w:color="auto" w:fill="FFFFFF"/>
                <w:vAlign w:val="center"/>
              </w:tcPr>
              <w:sdt>
                <w:sdtPr>
                  <w:rPr>
                    <w:rFonts w:hint="eastAsia"/>
                  </w:rPr>
                  <w:tag w:val="_PLD_4909ee6a3062412caf5e93a150ca2e23"/>
                  <w:id w:val="334036860"/>
                  <w:lock w:val="sdtLocked"/>
                </w:sdtPr>
                <w:sdtContent>
                  <w:p w:rsidR="00806678" w:rsidRDefault="00B16377">
                    <w:pPr>
                      <w:widowControl w:val="0"/>
                      <w:jc w:val="center"/>
                    </w:pPr>
                    <w:r>
                      <w:rPr>
                        <w:rFonts w:hint="eastAsia"/>
                      </w:rPr>
                      <w:t>转销或核销</w:t>
                    </w:r>
                  </w:p>
                </w:sdtContent>
              </w:sdt>
            </w:tc>
            <w:tc>
              <w:tcPr>
                <w:tcW w:w="630" w:type="pct"/>
                <w:shd w:val="clear" w:color="auto" w:fill="FFFFFF"/>
                <w:vAlign w:val="center"/>
              </w:tcPr>
              <w:sdt>
                <w:sdtPr>
                  <w:rPr>
                    <w:rFonts w:hint="eastAsia"/>
                  </w:rPr>
                  <w:tag w:val="_PLD_b95e9591908443ef8eef29a18814ebfa"/>
                  <w:id w:val="1205221604"/>
                  <w:lock w:val="sdtLocked"/>
                </w:sdtPr>
                <w:sdtContent>
                  <w:p w:rsidR="00806678" w:rsidRDefault="00B16377">
                    <w:pPr>
                      <w:widowControl w:val="0"/>
                      <w:jc w:val="right"/>
                    </w:pPr>
                    <w:r>
                      <w:rPr>
                        <w:rFonts w:hint="eastAsia"/>
                      </w:rPr>
                      <w:t>其他变动</w:t>
                    </w:r>
                  </w:p>
                </w:sdtContent>
              </w:sdt>
            </w:tc>
            <w:tc>
              <w:tcPr>
                <w:tcW w:w="762" w:type="pct"/>
                <w:vMerge/>
                <w:shd w:val="clear" w:color="auto" w:fill="FFFFFF"/>
              </w:tcPr>
              <w:p w:rsidR="00806678" w:rsidRDefault="00806678">
                <w:pPr>
                  <w:widowControl w:val="0"/>
                  <w:jc w:val="right"/>
                </w:pPr>
              </w:p>
            </w:tc>
          </w:tr>
          <w:sdt>
            <w:sdtPr>
              <w:alias w:val="应收账款坏账准备明细"/>
              <w:tag w:val="_TUP_7b3a53982d9c49ed80b7a656931aaf2b"/>
              <w:id w:val="-1487936691"/>
              <w:lock w:val="sdtLocked"/>
            </w:sdtPr>
            <w:sdtContent>
              <w:tr w:rsidR="00806678" w:rsidTr="003576BC">
                <w:trPr>
                  <w:jc w:val="center"/>
                </w:trPr>
                <w:tc>
                  <w:tcPr>
                    <w:tcW w:w="762" w:type="pct"/>
                    <w:shd w:val="clear" w:color="auto" w:fill="auto"/>
                  </w:tcPr>
                  <w:p w:rsidR="00806678" w:rsidRDefault="00192A4C">
                    <w:pPr>
                      <w:widowControl w:val="0"/>
                    </w:pPr>
                    <w:r>
                      <w:rPr>
                        <w:rFonts w:hint="eastAsia"/>
                      </w:rPr>
                      <w:t>坏账准备</w:t>
                    </w:r>
                  </w:p>
                </w:tc>
                <w:tc>
                  <w:tcPr>
                    <w:tcW w:w="762" w:type="pct"/>
                    <w:shd w:val="clear" w:color="auto" w:fill="auto"/>
                  </w:tcPr>
                  <w:p w:rsidR="00806678" w:rsidRDefault="00192A4C">
                    <w:pPr>
                      <w:widowControl w:val="0"/>
                      <w:jc w:val="right"/>
                    </w:pPr>
                    <w:r w:rsidRPr="00192A4C">
                      <w:t>381,498,919</w:t>
                    </w:r>
                  </w:p>
                </w:tc>
                <w:tc>
                  <w:tcPr>
                    <w:tcW w:w="689" w:type="pct"/>
                    <w:shd w:val="clear" w:color="auto" w:fill="auto"/>
                  </w:tcPr>
                  <w:p w:rsidR="00806678" w:rsidRDefault="003576BC">
                    <w:pPr>
                      <w:widowControl w:val="0"/>
                      <w:jc w:val="right"/>
                    </w:pPr>
                    <w:r w:rsidRPr="003576BC">
                      <w:t>86,345</w:t>
                    </w:r>
                  </w:p>
                </w:tc>
                <w:tc>
                  <w:tcPr>
                    <w:tcW w:w="762" w:type="pct"/>
                    <w:shd w:val="clear" w:color="auto" w:fill="auto"/>
                  </w:tcPr>
                  <w:p w:rsidR="00806678" w:rsidRDefault="003576BC">
                    <w:pPr>
                      <w:widowControl w:val="0"/>
                      <w:jc w:val="right"/>
                    </w:pPr>
                    <w:r w:rsidRPr="003576BC">
                      <w:t>169,870,217</w:t>
                    </w:r>
                  </w:p>
                </w:tc>
                <w:tc>
                  <w:tcPr>
                    <w:tcW w:w="632" w:type="pct"/>
                  </w:tcPr>
                  <w:p w:rsidR="00806678" w:rsidRDefault="003576BC">
                    <w:pPr>
                      <w:widowControl w:val="0"/>
                      <w:jc w:val="right"/>
                    </w:pPr>
                    <w:r w:rsidRPr="003576BC">
                      <w:t>404,531</w:t>
                    </w:r>
                  </w:p>
                </w:tc>
                <w:tc>
                  <w:tcPr>
                    <w:tcW w:w="630" w:type="pct"/>
                  </w:tcPr>
                  <w:p w:rsidR="00806678" w:rsidRDefault="003576BC">
                    <w:pPr>
                      <w:widowControl w:val="0"/>
                      <w:jc w:val="right"/>
                    </w:pPr>
                    <w:r>
                      <w:t>0</w:t>
                    </w:r>
                  </w:p>
                </w:tc>
                <w:tc>
                  <w:tcPr>
                    <w:tcW w:w="762" w:type="pct"/>
                    <w:shd w:val="clear" w:color="auto" w:fill="auto"/>
                  </w:tcPr>
                  <w:p w:rsidR="00806678" w:rsidRDefault="003576BC">
                    <w:pPr>
                      <w:widowControl w:val="0"/>
                      <w:jc w:val="right"/>
                    </w:pPr>
                    <w:r w:rsidRPr="003576BC">
                      <w:t>211,310,516</w:t>
                    </w:r>
                  </w:p>
                </w:tc>
              </w:tr>
            </w:sdtContent>
          </w:sdt>
          <w:tr w:rsidR="003576BC" w:rsidTr="003576BC">
            <w:trPr>
              <w:jc w:val="center"/>
            </w:trPr>
            <w:sdt>
              <w:sdtPr>
                <w:tag w:val="_PLD_5eaa03fd78014651ae8a44c156a7fde3"/>
                <w:id w:val="-790357791"/>
                <w:lock w:val="sdtLocked"/>
              </w:sdtPr>
              <w:sdtContent>
                <w:tc>
                  <w:tcPr>
                    <w:tcW w:w="762" w:type="pct"/>
                    <w:shd w:val="clear" w:color="auto" w:fill="auto"/>
                  </w:tcPr>
                  <w:p w:rsidR="003576BC" w:rsidRDefault="003576BC" w:rsidP="003576BC">
                    <w:pPr>
                      <w:widowControl w:val="0"/>
                      <w:jc w:val="center"/>
                    </w:pPr>
                    <w:r>
                      <w:rPr>
                        <w:rFonts w:hint="eastAsia"/>
                      </w:rPr>
                      <w:t>合计</w:t>
                    </w:r>
                  </w:p>
                </w:tc>
              </w:sdtContent>
            </w:sdt>
            <w:tc>
              <w:tcPr>
                <w:tcW w:w="762" w:type="pct"/>
                <w:shd w:val="clear" w:color="auto" w:fill="auto"/>
              </w:tcPr>
              <w:p w:rsidR="003576BC" w:rsidRPr="00192A4C" w:rsidRDefault="003576BC" w:rsidP="003576BC">
                <w:pPr>
                  <w:pStyle w:val="Default"/>
                  <w:jc w:val="right"/>
                  <w:rPr>
                    <w:szCs w:val="21"/>
                  </w:rPr>
                </w:pPr>
                <w:r>
                  <w:rPr>
                    <w:sz w:val="21"/>
                    <w:szCs w:val="21"/>
                  </w:rPr>
                  <w:t xml:space="preserve">381,498,919 </w:t>
                </w:r>
              </w:p>
            </w:tc>
            <w:tc>
              <w:tcPr>
                <w:tcW w:w="689" w:type="pct"/>
                <w:shd w:val="clear" w:color="auto" w:fill="auto"/>
                <w:vAlign w:val="center"/>
              </w:tcPr>
              <w:p w:rsidR="003576BC" w:rsidRDefault="003576BC" w:rsidP="003576BC">
                <w:pPr>
                  <w:widowControl w:val="0"/>
                  <w:jc w:val="right"/>
                </w:pPr>
                <w:r>
                  <w:t>86,345</w:t>
                </w:r>
              </w:p>
            </w:tc>
            <w:tc>
              <w:tcPr>
                <w:tcW w:w="762" w:type="pct"/>
                <w:shd w:val="clear" w:color="auto" w:fill="auto"/>
                <w:vAlign w:val="center"/>
              </w:tcPr>
              <w:p w:rsidR="003576BC" w:rsidRDefault="003576BC" w:rsidP="003576BC">
                <w:pPr>
                  <w:widowControl w:val="0"/>
                  <w:jc w:val="right"/>
                </w:pPr>
                <w:r>
                  <w:t>169,870,217</w:t>
                </w:r>
              </w:p>
            </w:tc>
            <w:tc>
              <w:tcPr>
                <w:tcW w:w="632" w:type="pct"/>
                <w:vAlign w:val="center"/>
              </w:tcPr>
              <w:p w:rsidR="003576BC" w:rsidRDefault="003576BC" w:rsidP="003576BC">
                <w:pPr>
                  <w:widowControl w:val="0"/>
                  <w:jc w:val="right"/>
                </w:pPr>
                <w:r>
                  <w:t>404,531</w:t>
                </w:r>
              </w:p>
            </w:tc>
            <w:tc>
              <w:tcPr>
                <w:tcW w:w="630" w:type="pct"/>
                <w:vAlign w:val="center"/>
              </w:tcPr>
              <w:p w:rsidR="003576BC" w:rsidRDefault="003576BC" w:rsidP="003576BC">
                <w:pPr>
                  <w:widowControl w:val="0"/>
                  <w:jc w:val="right"/>
                </w:pPr>
                <w:r>
                  <w:t>0</w:t>
                </w:r>
              </w:p>
            </w:tc>
            <w:tc>
              <w:tcPr>
                <w:tcW w:w="762" w:type="pct"/>
                <w:shd w:val="clear" w:color="auto" w:fill="auto"/>
                <w:vAlign w:val="center"/>
              </w:tcPr>
              <w:p w:rsidR="003576BC" w:rsidRDefault="003576BC" w:rsidP="003576BC">
                <w:pPr>
                  <w:widowControl w:val="0"/>
                  <w:jc w:val="right"/>
                </w:pPr>
                <w:r>
                  <w:t>211,310,516</w:t>
                </w:r>
              </w:p>
            </w:tc>
          </w:tr>
        </w:tbl>
        <w:p w:rsidR="00806678" w:rsidRDefault="00F80B6C">
          <w:pPr>
            <w:pStyle w:val="af7"/>
          </w:pPr>
        </w:p>
      </w:sdtContent>
    </w:sdt>
    <w:bookmarkEnd w:id="268" w:displacedByCustomXml="prev"/>
    <w:sdt>
      <w:sdtPr>
        <w:rPr>
          <w:rFonts w:asciiTheme="minorHAnsi" w:hAnsiTheme="minorHAnsi"/>
          <w:b/>
          <w:bCs/>
          <w:szCs w:val="22"/>
        </w:rPr>
        <w:alias w:val="模块:本期转回或收回情况"/>
        <w:tag w:val="_GBC_4659654dc3bf4a4eba447daf2829f609"/>
        <w:id w:val="1429233994"/>
        <w:lock w:val="sdtLocked"/>
        <w:placeholder>
          <w:docPart w:val="GBC22222222222222222222222222222"/>
        </w:placeholder>
      </w:sdtPr>
      <w:sdtEndPr>
        <w:rPr>
          <w:rFonts w:ascii="Times New Roman" w:hAnsi="Times New Roman" w:cs="Times New Roman"/>
          <w:b w:val="0"/>
          <w:bCs w:val="0"/>
          <w:kern w:val="2"/>
          <w:szCs w:val="24"/>
        </w:rPr>
      </w:sdtEndPr>
      <w:sdtContent>
        <w:p w:rsidR="00806678" w:rsidRDefault="00B16377">
          <w:r>
            <w:rPr>
              <w:rFonts w:hint="eastAsia"/>
            </w:rPr>
            <w:t>其中本期坏账准备收回或转回金额重要的：</w:t>
          </w:r>
        </w:p>
        <w:sdt>
          <w:sdtPr>
            <w:alias w:val="是否适用：母公司其中本期坏账准备收回或转回金额重要的[双击切换]"/>
            <w:tag w:val="_GBC_5f9ff028d97f4757bc779516f257bedd"/>
            <w:id w:val="-1169172795"/>
            <w:lock w:val="sdtLocked"/>
            <w:placeholder>
              <w:docPart w:val="GBC22222222222222222222222222222"/>
            </w:placeholder>
          </w:sdtPr>
          <w:sdtContent>
            <w:p w:rsidR="00192A4C" w:rsidRDefault="00F80B6C" w:rsidP="00192A4C">
              <w:pPr>
                <w:rPr>
                  <w:szCs w:val="21"/>
                </w:rPr>
              </w:pPr>
              <w:r>
                <w:fldChar w:fldCharType="begin"/>
              </w:r>
              <w:r w:rsidR="00192A4C">
                <w:instrText xml:space="preserve">MACROBUTTON  SnrToggleCheckbox □适用 </w:instrText>
              </w:r>
              <w:r>
                <w:fldChar w:fldCharType="end"/>
              </w:r>
              <w:r>
                <w:fldChar w:fldCharType="begin"/>
              </w:r>
              <w:r w:rsidR="00192A4C">
                <w:instrText xml:space="preserve"> MACROBUTTON  SnrToggleCheckbox √不适用 </w:instrText>
              </w:r>
              <w:r>
                <w:fldChar w:fldCharType="end"/>
              </w:r>
            </w:p>
          </w:sdtContent>
        </w:sdt>
        <w:p w:rsidR="00806678" w:rsidRDefault="00806678">
          <w:pPr>
            <w:ind w:rightChars="-759" w:right="-1594"/>
            <w:rPr>
              <w:szCs w:val="21"/>
            </w:rPr>
          </w:pPr>
        </w:p>
        <w:p w:rsidR="00806678" w:rsidRDefault="00F80B6C">
          <w:pPr>
            <w:ind w:rightChars="-759" w:right="-1594"/>
          </w:pPr>
        </w:p>
      </w:sdtContent>
    </w:sdt>
    <w:sdt>
      <w:sdtPr>
        <w:rPr>
          <w:rFonts w:ascii="Times New Roman" w:eastAsia="宋体" w:hAnsi="Times New Roman" w:cs="宋体" w:hint="eastAsia"/>
          <w:b w:val="0"/>
          <w:bCs w:val="0"/>
          <w:kern w:val="0"/>
          <w:szCs w:val="24"/>
        </w:rPr>
        <w:alias w:val="模块:本报告期实际核销的应收账款情况"/>
        <w:tag w:val="_GBC_72fe1bcd09e2470f910107f1e159af49"/>
        <w:id w:val="75478544"/>
        <w:lock w:val="sdtLocked"/>
        <w:placeholder>
          <w:docPart w:val="GBC22222222222222222222222222222"/>
        </w:placeholder>
      </w:sdtPr>
      <w:sdtEndPr>
        <w:rPr>
          <w:rFonts w:ascii="宋体" w:hAnsi="宋体" w:hint="default"/>
        </w:rPr>
      </w:sdtEndPr>
      <w:sdtContent>
        <w:p w:rsidR="00806678" w:rsidRDefault="00B16377" w:rsidP="00FF17C7">
          <w:pPr>
            <w:pStyle w:val="4"/>
            <w:numPr>
              <w:ilvl w:val="3"/>
              <w:numId w:val="111"/>
            </w:numPr>
            <w:ind w:left="424" w:hangingChars="202" w:hanging="424"/>
          </w:pPr>
          <w:r>
            <w:t>本期实际核销的应收</w:t>
          </w:r>
          <w:r>
            <w:rPr>
              <w:rFonts w:hint="eastAsia"/>
            </w:rPr>
            <w:t>账款</w:t>
          </w:r>
          <w:r>
            <w:t>情况</w:t>
          </w:r>
        </w:p>
        <w:sdt>
          <w:sdtPr>
            <w:alias w:val="是否适用：母公司本期实际核销的应收账款情况[双击切换]"/>
            <w:tag w:val="_GBC_a30d476ac6184bc98f9b334fa55067ac"/>
            <w:id w:val="-93092690"/>
            <w:lock w:val="sdtLocked"/>
            <w:placeholder>
              <w:docPart w:val="GBC22222222222222222222222222222"/>
            </w:placeholder>
          </w:sdtPr>
          <w:sdtContent>
            <w:p w:rsidR="00806678" w:rsidRDefault="00F80B6C">
              <w:r>
                <w:fldChar w:fldCharType="begin"/>
              </w:r>
              <w:r w:rsidR="00192A4C">
                <w:instrText xml:space="preserve">MACROBUTTON  SnrToggleCheckbox √适用 </w:instrText>
              </w:r>
              <w:r>
                <w:fldChar w:fldCharType="end"/>
              </w:r>
              <w:r>
                <w:fldChar w:fldCharType="begin"/>
              </w:r>
              <w:r w:rsidR="00192A4C">
                <w:instrText xml:space="preserve"> MACROBUTTON  SnrToggleCheckbox □不适用 </w:instrText>
              </w:r>
              <w:r>
                <w:fldChar w:fldCharType="end"/>
              </w:r>
            </w:p>
          </w:sdtContent>
        </w:sdt>
        <w:p w:rsidR="00806678" w:rsidRDefault="00B16377">
          <w:pPr>
            <w:jc w:val="right"/>
            <w:rPr>
              <w:szCs w:val="21"/>
            </w:rPr>
          </w:pPr>
          <w:r>
            <w:rPr>
              <w:rFonts w:hint="eastAsia"/>
              <w:szCs w:val="21"/>
            </w:rPr>
            <w:t>单位：</w:t>
          </w:r>
          <w:sdt>
            <w:sdtPr>
              <w:rPr>
                <w:rFonts w:hint="eastAsia"/>
                <w:szCs w:val="21"/>
              </w:rPr>
              <w:alias w:val="单位：母公司财务附注：本报告期实际核销的应收款项情况"/>
              <w:tag w:val="_GBC_a5c3b5e8c8bf477abc83c1766768abf2"/>
              <w:id w:val="-65152383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母公司财务附注：本报告期实际核销的应收款项情况"/>
              <w:tag w:val="_GBC_c46c6c481aca4428892d83e0d45ec77c"/>
              <w:id w:val="98905484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73"/>
            <w:gridCol w:w="4776"/>
          </w:tblGrid>
          <w:tr w:rsidR="00806678" w:rsidTr="00CA6943">
            <w:sdt>
              <w:sdtPr>
                <w:tag w:val="_PLD_5c7267345db44379846ba86d759302da"/>
                <w:id w:val="-996407089"/>
                <w:lock w:val="sdtLocked"/>
              </w:sdtPr>
              <w:sdtContent>
                <w:tc>
                  <w:tcPr>
                    <w:tcW w:w="2361" w:type="pct"/>
                    <w:vAlign w:val="center"/>
                  </w:tcPr>
                  <w:p w:rsidR="00806678" w:rsidRDefault="00B16377">
                    <w:pPr>
                      <w:jc w:val="center"/>
                      <w:rPr>
                        <w:szCs w:val="21"/>
                      </w:rPr>
                    </w:pPr>
                    <w:r>
                      <w:rPr>
                        <w:rFonts w:hint="eastAsia"/>
                        <w:szCs w:val="21"/>
                      </w:rPr>
                      <w:t>项目</w:t>
                    </w:r>
                  </w:p>
                </w:tc>
              </w:sdtContent>
            </w:sdt>
            <w:sdt>
              <w:sdtPr>
                <w:tag w:val="_PLD_99874d480e864cddaf845b554cb24ccb"/>
                <w:id w:val="975578787"/>
                <w:lock w:val="sdtLocked"/>
              </w:sdtPr>
              <w:sdtContent>
                <w:tc>
                  <w:tcPr>
                    <w:tcW w:w="2639" w:type="pct"/>
                  </w:tcPr>
                  <w:p w:rsidR="00806678" w:rsidRDefault="00B16377">
                    <w:pPr>
                      <w:jc w:val="center"/>
                      <w:rPr>
                        <w:szCs w:val="21"/>
                      </w:rPr>
                    </w:pPr>
                    <w:r>
                      <w:rPr>
                        <w:rFonts w:hint="eastAsia"/>
                        <w:szCs w:val="21"/>
                      </w:rPr>
                      <w:t>核销金额</w:t>
                    </w:r>
                  </w:p>
                </w:tc>
              </w:sdtContent>
            </w:sdt>
          </w:tr>
          <w:tr w:rsidR="00806678" w:rsidTr="00CA6943">
            <w:sdt>
              <w:sdtPr>
                <w:tag w:val="_PLD_3480556ab3314cc6b4ebb3dffc625a1e"/>
                <w:id w:val="-1996953993"/>
                <w:lock w:val="sdtLocked"/>
              </w:sdtPr>
              <w:sdtContent>
                <w:tc>
                  <w:tcPr>
                    <w:tcW w:w="2361" w:type="pct"/>
                  </w:tcPr>
                  <w:p w:rsidR="00806678" w:rsidRDefault="00B16377">
                    <w:pPr>
                      <w:rPr>
                        <w:szCs w:val="21"/>
                      </w:rPr>
                    </w:pPr>
                    <w:r>
                      <w:rPr>
                        <w:rFonts w:hint="eastAsia"/>
                        <w:szCs w:val="21"/>
                      </w:rPr>
                      <w:t>实际核销的应收账款</w:t>
                    </w:r>
                  </w:p>
                </w:tc>
              </w:sdtContent>
            </w:sdt>
            <w:tc>
              <w:tcPr>
                <w:tcW w:w="2639" w:type="pct"/>
              </w:tcPr>
              <w:p w:rsidR="00806678" w:rsidRDefault="003576BC">
                <w:pPr>
                  <w:jc w:val="right"/>
                  <w:rPr>
                    <w:szCs w:val="21"/>
                  </w:rPr>
                </w:pPr>
                <w:r>
                  <w:rPr>
                    <w:szCs w:val="21"/>
                  </w:rPr>
                  <w:t>404,531</w:t>
                </w:r>
              </w:p>
            </w:tc>
          </w:tr>
        </w:tbl>
        <w:p w:rsidR="00806678" w:rsidRDefault="00806678">
          <w:pPr>
            <w:rPr>
              <w:szCs w:val="21"/>
            </w:rPr>
          </w:pPr>
        </w:p>
        <w:p w:rsidR="00806678" w:rsidRDefault="00B16377">
          <w:pPr>
            <w:rPr>
              <w:szCs w:val="21"/>
            </w:rPr>
          </w:pPr>
          <w:r>
            <w:rPr>
              <w:rFonts w:hint="eastAsia"/>
              <w:szCs w:val="21"/>
            </w:rPr>
            <w:t>其中重要的应收账款核销情况</w:t>
          </w:r>
        </w:p>
        <w:sdt>
          <w:sdtPr>
            <w:rPr>
              <w:szCs w:val="21"/>
            </w:rPr>
            <w:alias w:val="是否适用：母公司其中重要的应收账款核销情况[双击切换]"/>
            <w:tag w:val="_GBC_7110dba4b9b14a6ea7177cba57fd2d03"/>
            <w:id w:val="-1077362939"/>
            <w:lock w:val="sdtLocked"/>
            <w:placeholder>
              <w:docPart w:val="GBC22222222222222222222222222222"/>
            </w:placeholder>
          </w:sdtPr>
          <w:sdtContent>
            <w:p w:rsidR="003576BC" w:rsidRDefault="00F80B6C" w:rsidP="003576BC">
              <w:pPr>
                <w:rPr>
                  <w:szCs w:val="21"/>
                </w:rPr>
              </w:pPr>
              <w:r>
                <w:rPr>
                  <w:szCs w:val="21"/>
                </w:rPr>
                <w:fldChar w:fldCharType="begin"/>
              </w:r>
              <w:r w:rsidR="003576BC">
                <w:rPr>
                  <w:szCs w:val="21"/>
                </w:rPr>
                <w:instrText xml:space="preserve">MACROBUTTON  SnrToggleCheckbox □适用 </w:instrText>
              </w:r>
              <w:r>
                <w:rPr>
                  <w:szCs w:val="21"/>
                </w:rPr>
                <w:fldChar w:fldCharType="end"/>
              </w:r>
              <w:r>
                <w:rPr>
                  <w:szCs w:val="21"/>
                </w:rPr>
                <w:fldChar w:fldCharType="begin"/>
              </w:r>
              <w:r w:rsidR="003576BC">
                <w:rPr>
                  <w:szCs w:val="21"/>
                </w:rPr>
                <w:instrText xml:space="preserve"> MACROBUTTON  SnrToggleCheckbox √不适用 </w:instrText>
              </w:r>
              <w:r>
                <w:rPr>
                  <w:szCs w:val="21"/>
                </w:rPr>
                <w:fldChar w:fldCharType="end"/>
              </w:r>
            </w:p>
          </w:sdtContent>
        </w:sdt>
        <w:p w:rsidR="00806678" w:rsidRDefault="00F80B6C"/>
      </w:sdtContent>
    </w:sdt>
    <w:bookmarkStart w:id="269" w:name="_Hlk90023019" w:displacedByCustomXml="next"/>
    <w:sdt>
      <w:sdtPr>
        <w:rPr>
          <w:rFonts w:ascii="Times New Roman" w:eastAsia="宋体" w:hAnsi="Times New Roman" w:cs="宋体" w:hint="eastAsia"/>
          <w:b w:val="0"/>
          <w:bCs w:val="0"/>
          <w:kern w:val="0"/>
          <w:szCs w:val="24"/>
        </w:rPr>
        <w:alias w:val="模块:按欠款方归集的期末余额前五名的应收账款情况："/>
        <w:tag w:val="_SEC_93f8cf3ec4204ee79716a5cc7e9c978b"/>
        <w:id w:val="-977686501"/>
        <w:lock w:val="sdtLocked"/>
        <w:placeholder>
          <w:docPart w:val="GBC22222222222222222222222222222"/>
        </w:placeholder>
      </w:sdtPr>
      <w:sdtContent>
        <w:p w:rsidR="00806678" w:rsidRDefault="00B16377" w:rsidP="00FF17C7">
          <w:pPr>
            <w:pStyle w:val="4"/>
            <w:numPr>
              <w:ilvl w:val="3"/>
              <w:numId w:val="111"/>
            </w:numPr>
            <w:ind w:left="424" w:hangingChars="202" w:hanging="424"/>
          </w:pPr>
          <w:r>
            <w:rPr>
              <w:rFonts w:hint="eastAsia"/>
            </w:rPr>
            <w:t>按欠款方归集的期末余额前五名的应收账款情况</w:t>
          </w:r>
        </w:p>
        <w:sdt>
          <w:sdtPr>
            <w:rPr>
              <w:rFonts w:hint="eastAsia"/>
              <w:szCs w:val="21"/>
            </w:rPr>
            <w:alias w:val="是否适用：按欠款方归集的期末余额前五名的应收账款情况[双击切换]"/>
            <w:tag w:val="_GBC_7fffc10e897f45d19e0dc3f8ffc2224f"/>
            <w:id w:val="1401953994"/>
            <w:lock w:val="sdtLocked"/>
            <w:placeholder>
              <w:docPart w:val="GBC22222222222222222222222222222"/>
            </w:placeholder>
          </w:sdtPr>
          <w:sdtContent>
            <w:p w:rsidR="00806678" w:rsidRDefault="00F80B6C">
              <w:pPr>
                <w:snapToGrid w:val="0"/>
                <w:spacing w:line="240" w:lineRule="atLeast"/>
                <w:rPr>
                  <w:szCs w:val="21"/>
                </w:rPr>
              </w:pPr>
              <w:r>
                <w:rPr>
                  <w:szCs w:val="21"/>
                </w:rPr>
                <w:fldChar w:fldCharType="begin"/>
              </w:r>
              <w:r w:rsidR="003576BC">
                <w:rPr>
                  <w:szCs w:val="21"/>
                </w:rPr>
                <w:instrText xml:space="preserve"> MACROBUTTON  SnrToggleCheckbox √适用  </w:instrText>
              </w:r>
              <w:r>
                <w:rPr>
                  <w:szCs w:val="21"/>
                </w:rPr>
                <w:fldChar w:fldCharType="end"/>
              </w:r>
              <w:r>
                <w:rPr>
                  <w:szCs w:val="21"/>
                </w:rPr>
                <w:fldChar w:fldCharType="begin"/>
              </w:r>
              <w:r w:rsidR="003576BC">
                <w:rPr>
                  <w:szCs w:val="21"/>
                </w:rPr>
                <w:instrText xml:space="preserve"> MACROBUTTON  SnrToggleCheckbox □不适用 </w:instrText>
              </w:r>
              <w:r>
                <w:rPr>
                  <w:szCs w:val="21"/>
                </w:rPr>
                <w:fldChar w:fldCharType="end"/>
              </w:r>
            </w:p>
          </w:sdtContent>
        </w:sdt>
        <w:p w:rsidR="00806678" w:rsidRDefault="00B16377">
          <w:pPr>
            <w:snapToGrid w:val="0"/>
            <w:spacing w:line="240" w:lineRule="atLeast"/>
            <w:jc w:val="right"/>
            <w:rPr>
              <w:szCs w:val="21"/>
            </w:rPr>
          </w:pPr>
          <w:r>
            <w:rPr>
              <w:rFonts w:hint="eastAsia"/>
              <w:szCs w:val="21"/>
            </w:rPr>
            <w:t>单位：</w:t>
          </w:r>
          <w:sdt>
            <w:sdtPr>
              <w:rPr>
                <w:szCs w:val="21"/>
              </w:rPr>
              <w:alias w:val="单位：财务附注：应收账款前五名欠款情况"/>
              <w:tag w:val="_GBC_e41caaf031c645a09f9ff82e1bde3008"/>
              <w:id w:val="2108234403"/>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szCs w:val="21"/>
                </w:rPr>
                <w:t>元</w:t>
              </w:r>
            </w:sdtContent>
          </w:sdt>
          <w:r>
            <w:rPr>
              <w:rFonts w:hint="eastAsia"/>
              <w:szCs w:val="21"/>
            </w:rPr>
            <w:t xml:space="preserve">  币种：</w:t>
          </w:r>
          <w:sdt>
            <w:sdtPr>
              <w:rPr>
                <w:rFonts w:hint="eastAsia"/>
                <w:szCs w:val="21"/>
              </w:rPr>
              <w:alias w:val="币种：财务附注：应收账款前五名欠款情况"/>
              <w:tag w:val="_GBC_03b6faf9055245869ad37558d10f0525"/>
              <w:id w:val="56068666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16"/>
            <w:gridCol w:w="1654"/>
            <w:gridCol w:w="2234"/>
            <w:gridCol w:w="2234"/>
          </w:tblGrid>
          <w:tr w:rsidR="00806678" w:rsidTr="0021083C">
            <w:trPr>
              <w:cantSplit/>
            </w:trPr>
            <w:sdt>
              <w:sdtPr>
                <w:rPr>
                  <w:rFonts w:hint="eastAsia"/>
                  <w:szCs w:val="21"/>
                </w:rPr>
                <w:tag w:val="_PLD_ba8e081a146b4929b94b1e7860a07612"/>
                <w:id w:val="-1360203806"/>
                <w:lock w:val="sdtLocked"/>
              </w:sdtPr>
              <w:sdtContent>
                <w:tc>
                  <w:tcPr>
                    <w:tcW w:w="1628" w:type="pct"/>
                    <w:vAlign w:val="center"/>
                  </w:tcPr>
                  <w:p w:rsidR="00806678" w:rsidRDefault="00B16377">
                    <w:pPr>
                      <w:ind w:right="105"/>
                      <w:jc w:val="center"/>
                      <w:rPr>
                        <w:szCs w:val="21"/>
                      </w:rPr>
                    </w:pPr>
                    <w:r>
                      <w:rPr>
                        <w:rFonts w:hint="eastAsia"/>
                        <w:szCs w:val="21"/>
                      </w:rPr>
                      <w:t>单位名称</w:t>
                    </w:r>
                  </w:p>
                </w:tc>
              </w:sdtContent>
            </w:sdt>
            <w:sdt>
              <w:sdtPr>
                <w:rPr>
                  <w:rFonts w:hint="eastAsia"/>
                  <w:szCs w:val="21"/>
                </w:rPr>
                <w:tag w:val="_PLD_7f0743e057334ea5b63a706ec512478e"/>
                <w:id w:val="759486447"/>
                <w:lock w:val="sdtLocked"/>
              </w:sdtPr>
              <w:sdtContent>
                <w:tc>
                  <w:tcPr>
                    <w:tcW w:w="871" w:type="pct"/>
                    <w:vAlign w:val="center"/>
                  </w:tcPr>
                  <w:p w:rsidR="00806678" w:rsidRDefault="00B16377">
                    <w:pPr>
                      <w:ind w:right="73"/>
                      <w:jc w:val="center"/>
                      <w:rPr>
                        <w:szCs w:val="21"/>
                      </w:rPr>
                    </w:pPr>
                    <w:r>
                      <w:rPr>
                        <w:rFonts w:hint="eastAsia"/>
                        <w:szCs w:val="21"/>
                      </w:rPr>
                      <w:t>期末余额</w:t>
                    </w:r>
                  </w:p>
                </w:tc>
              </w:sdtContent>
            </w:sdt>
            <w:sdt>
              <w:sdtPr>
                <w:rPr>
                  <w:rFonts w:hint="eastAsia"/>
                  <w:szCs w:val="21"/>
                </w:rPr>
                <w:tag w:val="_PLD_e75877d256a147ac9d9df384e8fa830b"/>
                <w:id w:val="1655948105"/>
                <w:lock w:val="sdtLocked"/>
              </w:sdtPr>
              <w:sdtEndPr>
                <w:rPr>
                  <w:rFonts w:hint="default"/>
                </w:rPr>
              </w:sdtEndPr>
              <w:sdtContent>
                <w:tc>
                  <w:tcPr>
                    <w:tcW w:w="1250" w:type="pct"/>
                    <w:vAlign w:val="center"/>
                  </w:tcPr>
                  <w:p w:rsidR="00806678" w:rsidRDefault="00B16377">
                    <w:pPr>
                      <w:jc w:val="center"/>
                      <w:rPr>
                        <w:szCs w:val="21"/>
                      </w:rPr>
                    </w:pPr>
                    <w:r>
                      <w:rPr>
                        <w:rFonts w:hint="eastAsia"/>
                        <w:szCs w:val="21"/>
                      </w:rPr>
                      <w:t>占应收账款期末余额合计数的比例(</w:t>
                    </w:r>
                    <w:r>
                      <w:rPr>
                        <w:szCs w:val="21"/>
                      </w:rPr>
                      <w:t>%)</w:t>
                    </w:r>
                  </w:p>
                </w:tc>
              </w:sdtContent>
            </w:sdt>
            <w:sdt>
              <w:sdtPr>
                <w:rPr>
                  <w:rFonts w:hint="eastAsia"/>
                  <w:szCs w:val="21"/>
                </w:rPr>
                <w:tag w:val="_PLD_d764ee0f6fc342709f76bbf8c692aaa3"/>
                <w:id w:val="974182554"/>
                <w:lock w:val="sdtLocked"/>
              </w:sdtPr>
              <w:sdtContent>
                <w:tc>
                  <w:tcPr>
                    <w:tcW w:w="1250" w:type="pct"/>
                    <w:vAlign w:val="center"/>
                  </w:tcPr>
                  <w:p w:rsidR="00806678" w:rsidRDefault="00B16377">
                    <w:pPr>
                      <w:jc w:val="center"/>
                      <w:rPr>
                        <w:szCs w:val="21"/>
                      </w:rPr>
                    </w:pPr>
                    <w:r>
                      <w:rPr>
                        <w:rFonts w:hint="eastAsia"/>
                        <w:szCs w:val="21"/>
                      </w:rPr>
                      <w:t>坏账准备期末余额</w:t>
                    </w:r>
                  </w:p>
                </w:tc>
              </w:sdtContent>
            </w:sdt>
          </w:tr>
          <w:sdt>
            <w:sdtPr>
              <w:rPr>
                <w:szCs w:val="21"/>
              </w:rPr>
              <w:alias w:val="应收账款欠款户"/>
              <w:tag w:val="_TUP_82ab10c1600a45a088bba002258a622f"/>
              <w:id w:val="-248119739"/>
              <w:lock w:val="sdtLocked"/>
            </w:sdtPr>
            <w:sdtContent>
              <w:tr w:rsidR="00806678" w:rsidTr="0021083C">
                <w:trPr>
                  <w:cantSplit/>
                </w:trPr>
                <w:tc>
                  <w:tcPr>
                    <w:tcW w:w="1628" w:type="pct"/>
                  </w:tcPr>
                  <w:p w:rsidR="00806678" w:rsidRDefault="003576BC">
                    <w:pPr>
                      <w:ind w:right="105"/>
                      <w:rPr>
                        <w:szCs w:val="21"/>
                      </w:rPr>
                    </w:pPr>
                    <w:r>
                      <w:rPr>
                        <w:rFonts w:hint="eastAsia"/>
                        <w:szCs w:val="21"/>
                      </w:rPr>
                      <w:t>余额前五名的应收账款总额</w:t>
                    </w:r>
                    <w:r>
                      <w:rPr>
                        <w:szCs w:val="21"/>
                      </w:rPr>
                      <w:t xml:space="preserve"> </w:t>
                    </w:r>
                  </w:p>
                </w:tc>
                <w:tc>
                  <w:tcPr>
                    <w:tcW w:w="871" w:type="pct"/>
                  </w:tcPr>
                  <w:p w:rsidR="00806678" w:rsidRDefault="003576BC">
                    <w:pPr>
                      <w:ind w:right="73"/>
                      <w:jc w:val="right"/>
                      <w:rPr>
                        <w:szCs w:val="21"/>
                      </w:rPr>
                    </w:pPr>
                    <w:r w:rsidRPr="003576BC">
                      <w:rPr>
                        <w:szCs w:val="21"/>
                      </w:rPr>
                      <w:t>6,980,258,084</w:t>
                    </w:r>
                  </w:p>
                </w:tc>
                <w:tc>
                  <w:tcPr>
                    <w:tcW w:w="1250" w:type="pct"/>
                  </w:tcPr>
                  <w:p w:rsidR="00806678" w:rsidRDefault="003576BC">
                    <w:pPr>
                      <w:jc w:val="right"/>
                      <w:rPr>
                        <w:szCs w:val="21"/>
                      </w:rPr>
                    </w:pPr>
                    <w:r w:rsidRPr="003576BC">
                      <w:rPr>
                        <w:szCs w:val="21"/>
                      </w:rPr>
                      <w:t>91%</w:t>
                    </w:r>
                  </w:p>
                </w:tc>
                <w:tc>
                  <w:tcPr>
                    <w:tcW w:w="1250" w:type="pct"/>
                  </w:tcPr>
                  <w:p w:rsidR="00806678" w:rsidRDefault="003576BC">
                    <w:pPr>
                      <w:jc w:val="right"/>
                      <w:rPr>
                        <w:szCs w:val="21"/>
                      </w:rPr>
                    </w:pPr>
                    <w:r w:rsidRPr="003576BC">
                      <w:rPr>
                        <w:szCs w:val="21"/>
                      </w:rPr>
                      <w:t>197,011,651</w:t>
                    </w:r>
                  </w:p>
                </w:tc>
              </w:tr>
            </w:sdtContent>
          </w:sdt>
          <w:tr w:rsidR="003576BC" w:rsidTr="0021083C">
            <w:trPr>
              <w:cantSplit/>
            </w:trPr>
            <w:tc>
              <w:tcPr>
                <w:tcW w:w="1628" w:type="pct"/>
              </w:tcPr>
              <w:sdt>
                <w:sdtPr>
                  <w:rPr>
                    <w:rFonts w:hint="eastAsia"/>
                    <w:szCs w:val="21"/>
                  </w:rPr>
                  <w:tag w:val="_PLD_557ea29534ab4fc9a2f6c805e7d2f163"/>
                  <w:id w:val="-1095471855"/>
                  <w:lock w:val="sdtLocked"/>
                </w:sdtPr>
                <w:sdtContent>
                  <w:p w:rsidR="003576BC" w:rsidRDefault="003576BC" w:rsidP="003576BC">
                    <w:pPr>
                      <w:ind w:right="105"/>
                      <w:jc w:val="center"/>
                      <w:rPr>
                        <w:szCs w:val="21"/>
                      </w:rPr>
                    </w:pPr>
                    <w:r>
                      <w:rPr>
                        <w:rFonts w:hint="eastAsia"/>
                        <w:szCs w:val="21"/>
                      </w:rPr>
                      <w:t>合计</w:t>
                    </w:r>
                  </w:p>
                </w:sdtContent>
              </w:sdt>
            </w:tc>
            <w:tc>
              <w:tcPr>
                <w:tcW w:w="871" w:type="pct"/>
                <w:vAlign w:val="center"/>
              </w:tcPr>
              <w:p w:rsidR="003576BC" w:rsidRDefault="003576BC" w:rsidP="003576BC">
                <w:pPr>
                  <w:ind w:right="73"/>
                  <w:jc w:val="right"/>
                  <w:rPr>
                    <w:szCs w:val="21"/>
                  </w:rPr>
                </w:pPr>
                <w:r>
                  <w:t>6,980,258,084</w:t>
                </w:r>
              </w:p>
            </w:tc>
            <w:tc>
              <w:tcPr>
                <w:tcW w:w="1250" w:type="pct"/>
                <w:vAlign w:val="center"/>
              </w:tcPr>
              <w:p w:rsidR="003576BC" w:rsidRDefault="003576BC" w:rsidP="003576BC">
                <w:pPr>
                  <w:jc w:val="right"/>
                  <w:rPr>
                    <w:szCs w:val="21"/>
                  </w:rPr>
                </w:pPr>
                <w:r>
                  <w:t>91%</w:t>
                </w:r>
              </w:p>
            </w:tc>
            <w:tc>
              <w:tcPr>
                <w:tcW w:w="1250" w:type="pct"/>
                <w:vAlign w:val="center"/>
              </w:tcPr>
              <w:p w:rsidR="003576BC" w:rsidRDefault="003576BC" w:rsidP="003576BC">
                <w:pPr>
                  <w:jc w:val="right"/>
                  <w:rPr>
                    <w:szCs w:val="21"/>
                  </w:rPr>
                </w:pPr>
                <w:r>
                  <w:t>197,011,651</w:t>
                </w:r>
              </w:p>
            </w:tc>
          </w:tr>
        </w:tbl>
        <w:p w:rsidR="00806678" w:rsidRDefault="00806678">
          <w:pPr>
            <w:snapToGrid w:val="0"/>
            <w:spacing w:line="240" w:lineRule="atLeast"/>
            <w:rPr>
              <w:szCs w:val="21"/>
            </w:rPr>
          </w:pPr>
        </w:p>
        <w:p w:rsidR="00806678" w:rsidRDefault="00B16377">
          <w:pPr>
            <w:snapToGrid w:val="0"/>
            <w:spacing w:line="240" w:lineRule="atLeast"/>
            <w:rPr>
              <w:szCs w:val="21"/>
            </w:rPr>
          </w:pPr>
          <w:r>
            <w:rPr>
              <w:rFonts w:hint="eastAsia"/>
              <w:szCs w:val="21"/>
            </w:rPr>
            <w:t>其他说明</w:t>
          </w:r>
        </w:p>
        <w:sdt>
          <w:sdtPr>
            <w:rPr>
              <w:szCs w:val="21"/>
            </w:rPr>
            <w:alias w:val="按欠款方归集的期末余额前五名的应收账款情况的说明"/>
            <w:tag w:val="_GBC_4233d26567cb46b2a0053fbc4949e5ad"/>
            <w:id w:val="-747420125"/>
            <w:lock w:val="sdtLocked"/>
            <w:placeholder>
              <w:docPart w:val="GBC22222222222222222222222222222"/>
            </w:placeholder>
          </w:sdtPr>
          <w:sdtContent>
            <w:p w:rsidR="00806678" w:rsidRDefault="003576BC">
              <w:pPr>
                <w:snapToGrid w:val="0"/>
                <w:spacing w:line="240" w:lineRule="atLeast"/>
                <w:rPr>
                  <w:szCs w:val="21"/>
                </w:rPr>
              </w:pPr>
              <w:r>
                <w:rPr>
                  <w:rFonts w:hint="eastAsia"/>
                  <w:szCs w:val="21"/>
                </w:rPr>
                <w:t>无</w:t>
              </w:r>
            </w:p>
          </w:sdtContent>
        </w:sdt>
        <w:p w:rsidR="00806678" w:rsidRDefault="00F80B6C">
          <w:pPr>
            <w:snapToGrid w:val="0"/>
            <w:spacing w:line="240" w:lineRule="atLeast"/>
            <w:rPr>
              <w:rFonts w:ascii="Times New Roman" w:hAnsi="Times New Roman"/>
            </w:rPr>
          </w:pPr>
        </w:p>
      </w:sdtContent>
    </w:sdt>
    <w:bookmarkEnd w:id="269" w:displacedByCustomXml="next"/>
    <w:sdt>
      <w:sdtPr>
        <w:rPr>
          <w:rFonts w:ascii="Times New Roman" w:eastAsia="宋体" w:hAnsi="Times New Roman" w:cs="宋体" w:hint="eastAsia"/>
          <w:b w:val="0"/>
          <w:bCs w:val="0"/>
          <w:kern w:val="0"/>
          <w:szCs w:val="24"/>
        </w:rPr>
        <w:alias w:val="模块:因金融资产转移而终止确认的应收账款"/>
        <w:tag w:val="_GBC_ab73666b561d47cbb383aa21715b406f"/>
        <w:id w:val="-1083751971"/>
        <w:lock w:val="sdtLocked"/>
        <w:placeholder>
          <w:docPart w:val="GBC22222222222222222222222222222"/>
        </w:placeholder>
      </w:sdtPr>
      <w:sdtContent>
        <w:p w:rsidR="00806678" w:rsidRDefault="00B16377" w:rsidP="00FF17C7">
          <w:pPr>
            <w:pStyle w:val="4"/>
            <w:numPr>
              <w:ilvl w:val="3"/>
              <w:numId w:val="111"/>
            </w:numPr>
            <w:ind w:left="424" w:hangingChars="202" w:hanging="424"/>
          </w:pPr>
          <w:r>
            <w:rPr>
              <w:rFonts w:hint="eastAsia"/>
            </w:rPr>
            <w:t>因金融资产转移而终止确认的应收账款</w:t>
          </w:r>
        </w:p>
        <w:sdt>
          <w:sdtPr>
            <w:rPr>
              <w:rFonts w:hint="eastAsia"/>
              <w:szCs w:val="21"/>
            </w:rPr>
            <w:alias w:val="是否适用：母公司因金融资产转移而终止确认的应收账款[双击切换]"/>
            <w:tag w:val="_GBC_99837dd63e6b487092e9bee163f867d0"/>
            <w:id w:val="-1721975099"/>
            <w:lock w:val="sdtLocked"/>
            <w:placeholder>
              <w:docPart w:val="GBC22222222222222222222222222222"/>
            </w:placeholder>
          </w:sdtPr>
          <w:sdtContent>
            <w:p w:rsidR="00806678" w:rsidRPr="00450A99" w:rsidRDefault="00F80B6C">
              <w:pPr>
                <w:snapToGrid w:val="0"/>
                <w:spacing w:line="240" w:lineRule="atLeast"/>
                <w:rPr>
                  <w:szCs w:val="21"/>
                </w:rPr>
              </w:pPr>
              <w:r>
                <w:rPr>
                  <w:szCs w:val="21"/>
                </w:rPr>
                <w:fldChar w:fldCharType="begin"/>
              </w:r>
              <w:r w:rsidR="003576BC">
                <w:rPr>
                  <w:szCs w:val="21"/>
                </w:rPr>
                <w:instrText xml:space="preserve"> MACROBUTTON  SnrToggleCheckbox □适用  </w:instrText>
              </w:r>
              <w:r>
                <w:rPr>
                  <w:szCs w:val="21"/>
                </w:rPr>
                <w:fldChar w:fldCharType="end"/>
              </w:r>
              <w:r>
                <w:rPr>
                  <w:szCs w:val="21"/>
                </w:rPr>
                <w:fldChar w:fldCharType="begin"/>
              </w:r>
              <w:r w:rsidR="003576BC">
                <w:rPr>
                  <w:szCs w:val="21"/>
                </w:rPr>
                <w:instrText xml:space="preserve"> MACROBUTTON  SnrToggleCheckbox √不适用 </w:instrText>
              </w:r>
              <w:r>
                <w:rPr>
                  <w:szCs w:val="21"/>
                </w:rPr>
                <w:fldChar w:fldCharType="end"/>
              </w:r>
            </w:p>
          </w:sdtContent>
        </w:sdt>
      </w:sdtContent>
    </w:sdt>
    <w:sdt>
      <w:sdtPr>
        <w:rPr>
          <w:rFonts w:ascii="Times New Roman" w:eastAsia="宋体" w:hAnsi="Times New Roman" w:cs="宋体" w:hint="eastAsia"/>
          <w:b w:val="0"/>
          <w:bCs w:val="0"/>
          <w:kern w:val="0"/>
          <w:szCs w:val="24"/>
        </w:rPr>
        <w:alias w:val="模块:转移应收账款且继续涉入的，分项列示继续涉入形成的资产、负债的金额"/>
        <w:tag w:val="_GBC_0fefb2630375419f8e496c310f6ec9ee"/>
        <w:id w:val="-57864420"/>
        <w:lock w:val="sdtLocked"/>
        <w:placeholder>
          <w:docPart w:val="GBC22222222222222222222222222222"/>
        </w:placeholder>
      </w:sdtPr>
      <w:sdtContent>
        <w:p w:rsidR="00806678" w:rsidRDefault="00B16377" w:rsidP="00FF17C7">
          <w:pPr>
            <w:pStyle w:val="4"/>
            <w:numPr>
              <w:ilvl w:val="3"/>
              <w:numId w:val="111"/>
            </w:numPr>
            <w:ind w:left="424" w:hangingChars="202" w:hanging="424"/>
          </w:pPr>
          <w:r>
            <w:rPr>
              <w:rFonts w:hint="eastAsia"/>
            </w:rPr>
            <w:t>转移应收账款且继续涉入形成的资产、负债金额</w:t>
          </w:r>
        </w:p>
        <w:sdt>
          <w:sdtPr>
            <w:rPr>
              <w:rFonts w:hint="eastAsia"/>
            </w:rPr>
            <w:alias w:val="是否适用：母公司转移应收账款且继续涉入形成的资产、负债金额[双击切换]"/>
            <w:tag w:val="_GBC_b5cedca581884fa7882254e959e44358"/>
            <w:id w:val="1131287687"/>
            <w:lock w:val="sdtLocked"/>
            <w:placeholder>
              <w:docPart w:val="GBC22222222222222222222222222222"/>
            </w:placeholder>
          </w:sdtPr>
          <w:sdtContent>
            <w:p w:rsidR="00806678" w:rsidRDefault="00F80B6C" w:rsidP="00450A99">
              <w:pPr>
                <w:snapToGrid w:val="0"/>
                <w:spacing w:line="240" w:lineRule="atLeast"/>
                <w:rPr>
                  <w:rFonts w:ascii="Times New Roman" w:hAnsi="Times New Roman"/>
                </w:rPr>
              </w:pPr>
              <w:r>
                <w:fldChar w:fldCharType="begin"/>
              </w:r>
              <w:r w:rsidR="003576BC">
                <w:instrText xml:space="preserve"> MACROBUTTON  SnrToggleCheckbox □适用  </w:instrText>
              </w:r>
              <w:r>
                <w:fldChar w:fldCharType="end"/>
              </w:r>
              <w:r>
                <w:fldChar w:fldCharType="begin"/>
              </w:r>
              <w:r w:rsidR="003576BC">
                <w:instrText xml:space="preserve"> MACROBUTTON  SnrToggleCheckbox √不适用 </w:instrText>
              </w:r>
              <w:r>
                <w:fldChar w:fldCharType="end"/>
              </w:r>
            </w:p>
          </w:sdtContent>
        </w:sdt>
      </w:sdtContent>
    </w:sdt>
    <w:sdt>
      <w:sdtPr>
        <w:rPr>
          <w:rFonts w:ascii="Times New Roman" w:hAnsi="Times New Roman" w:hint="eastAsia"/>
          <w:b/>
          <w:bCs/>
        </w:rPr>
        <w:alias w:val="模块:其他说明："/>
        <w:tag w:val="_GBC_eac4abdf299a4312a10e680c5fc79ef9"/>
        <w:id w:val="679471175"/>
        <w:lock w:val="sdtLocked"/>
        <w:placeholder>
          <w:docPart w:val="GBC22222222222222222222222222222"/>
        </w:placeholder>
      </w:sdtPr>
      <w:sdtEndPr>
        <w:rPr>
          <w:rFonts w:hint="default"/>
          <w:b w:val="0"/>
          <w:bCs w:val="0"/>
        </w:rPr>
      </w:sdtEndPr>
      <w:sdtContent>
        <w:p w:rsidR="00806678" w:rsidRDefault="00B16377">
          <w:r>
            <w:rPr>
              <w:rFonts w:hint="eastAsia"/>
            </w:rPr>
            <w:t>其他</w:t>
          </w:r>
          <w:r>
            <w:t>说明：</w:t>
          </w:r>
        </w:p>
        <w:sdt>
          <w:sdtPr>
            <w:alias w:val="是否适用：母公司应收账款其他说明[双击切换]"/>
            <w:tag w:val="_GBC_4765684a53b9474f898fa6c2bd313427"/>
            <w:id w:val="1931937510"/>
            <w:lock w:val="sdtLocked"/>
            <w:placeholder>
              <w:docPart w:val="GBC22222222222222222222222222222"/>
            </w:placeholder>
          </w:sdtPr>
          <w:sdtContent>
            <w:p w:rsidR="00806678" w:rsidRDefault="00F80B6C" w:rsidP="003576BC">
              <w:r>
                <w:fldChar w:fldCharType="begin"/>
              </w:r>
              <w:r w:rsidR="003576BC">
                <w:instrText xml:space="preserve">MACROBUTTON  SnrToggleCheckbox □适用 </w:instrText>
              </w:r>
              <w:r>
                <w:fldChar w:fldCharType="end"/>
              </w:r>
              <w:r>
                <w:fldChar w:fldCharType="begin"/>
              </w:r>
              <w:r w:rsidR="003576BC">
                <w:instrText xml:space="preserve"> MACROBUTTON  SnrToggleCheckbox √不适用 </w:instrText>
              </w:r>
              <w:r>
                <w:fldChar w:fldCharType="end"/>
              </w:r>
            </w:p>
          </w:sdtContent>
        </w:sdt>
        <w:p w:rsidR="00806678" w:rsidRDefault="00F80B6C">
          <w:pPr>
            <w:snapToGrid w:val="0"/>
            <w:spacing w:line="240" w:lineRule="atLeast"/>
          </w:pPr>
        </w:p>
      </w:sdtContent>
    </w:sdt>
    <w:p w:rsidR="00806678" w:rsidRDefault="00B16377" w:rsidP="00FF17C7">
      <w:pPr>
        <w:pStyle w:val="3"/>
        <w:numPr>
          <w:ilvl w:val="0"/>
          <w:numId w:val="59"/>
        </w:numPr>
        <w:rPr>
          <w:rFonts w:ascii="宋体" w:hAnsi="宋体"/>
          <w:szCs w:val="21"/>
        </w:rPr>
      </w:pPr>
      <w:r>
        <w:rPr>
          <w:rFonts w:ascii="宋体" w:hAnsi="宋体" w:hint="eastAsia"/>
          <w:szCs w:val="21"/>
        </w:rPr>
        <w:t>其他应收款</w:t>
      </w:r>
    </w:p>
    <w:bookmarkStart w:id="270" w:name="_Hlk533796954" w:displacedByCustomXml="next"/>
    <w:sdt>
      <w:sdtPr>
        <w:rPr>
          <w:rFonts w:ascii="宋体" w:eastAsia="宋体" w:hAnsi="宋体" w:cs="宋体" w:hint="eastAsia"/>
          <w:b w:val="0"/>
          <w:bCs w:val="0"/>
          <w:kern w:val="0"/>
          <w:szCs w:val="24"/>
        </w:rPr>
        <w:alias w:val="模块:其他应收款分类列示"/>
        <w:tag w:val="_SEC_74a857229cce4d58b9294f2d79542480"/>
        <w:id w:val="-533724523"/>
        <w:lock w:val="sdtLocked"/>
        <w:placeholder>
          <w:docPart w:val="GBC22222222222222222222222222222"/>
        </w:placeholder>
      </w:sdtPr>
      <w:sdtEndPr>
        <w:rPr>
          <w:rFonts w:hint="default"/>
        </w:rPr>
      </w:sdtEndPr>
      <w:sdtContent>
        <w:p w:rsidR="00806678" w:rsidRDefault="00B16377">
          <w:pPr>
            <w:pStyle w:val="4"/>
          </w:pPr>
          <w:r>
            <w:rPr>
              <w:rFonts w:hint="eastAsia"/>
            </w:rPr>
            <w:t>项目列示</w:t>
          </w:r>
        </w:p>
        <w:sdt>
          <w:sdtPr>
            <w:alias w:val="是否适用：母公司其他应收款分类列示[双击切换]"/>
            <w:tag w:val="_GBC_eca97260629e4985b01404cfe0f9630b"/>
            <w:id w:val="-324975760"/>
            <w:lock w:val="sdtLocked"/>
            <w:placeholder>
              <w:docPart w:val="GBC22222222222222222222222222222"/>
            </w:placeholder>
          </w:sdtPr>
          <w:sdtContent>
            <w:p w:rsidR="00806678" w:rsidRDefault="00F80B6C">
              <w:r>
                <w:fldChar w:fldCharType="begin"/>
              </w:r>
              <w:r w:rsidR="003576BC">
                <w:instrText xml:space="preserve"> MACROBUTTON  SnrToggleCheckbox √适用 </w:instrText>
              </w:r>
              <w:r>
                <w:fldChar w:fldCharType="end"/>
              </w:r>
              <w:r>
                <w:fldChar w:fldCharType="begin"/>
              </w:r>
              <w:r w:rsidR="003576BC">
                <w:instrText xml:space="preserve"> MACROBUTTON  SnrToggleCheckbox □不适用 </w:instrText>
              </w:r>
              <w:r>
                <w:fldChar w:fldCharType="end"/>
              </w:r>
            </w:p>
          </w:sdtContent>
        </w:sdt>
        <w:p w:rsidR="00806678" w:rsidRDefault="00B16377">
          <w:pPr>
            <w:jc w:val="right"/>
            <w:rPr>
              <w:szCs w:val="21"/>
            </w:rPr>
          </w:pPr>
          <w:r>
            <w:rPr>
              <w:rFonts w:hint="eastAsia"/>
              <w:szCs w:val="21"/>
            </w:rPr>
            <w:t>单位：</w:t>
          </w:r>
          <w:sdt>
            <w:sdtPr>
              <w:rPr>
                <w:rFonts w:hint="eastAsia"/>
                <w:szCs w:val="21"/>
              </w:rPr>
              <w:alias w:val="单位：母公司其他应收款分类列示"/>
              <w:tag w:val="_GBC_3e648241a63447daac5dd00971efb146"/>
              <w:id w:val="142816122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母公司其他应收款分类列示"/>
              <w:tag w:val="_GBC_c7b8206dd7dd44fcb02f4cced206c1b8"/>
              <w:id w:val="-8191470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93"/>
            <w:gridCol w:w="2935"/>
            <w:gridCol w:w="2921"/>
          </w:tblGrid>
          <w:tr w:rsidR="00806678" w:rsidTr="004B2C8E">
            <w:trPr>
              <w:cantSplit/>
            </w:trPr>
            <w:sdt>
              <w:sdtPr>
                <w:tag w:val="_PLD_b479f5d2152744d795c782ce31071693"/>
                <w:id w:val="1911429300"/>
                <w:lock w:val="sdtLocked"/>
              </w:sdtPr>
              <w:sdtContent>
                <w:tc>
                  <w:tcPr>
                    <w:tcW w:w="1764" w:type="pct"/>
                    <w:vAlign w:val="center"/>
                  </w:tcPr>
                  <w:p w:rsidR="00806678" w:rsidRDefault="00B16377">
                    <w:pPr>
                      <w:jc w:val="center"/>
                      <w:rPr>
                        <w:szCs w:val="21"/>
                      </w:rPr>
                    </w:pPr>
                    <w:r>
                      <w:rPr>
                        <w:rFonts w:hint="eastAsia"/>
                        <w:szCs w:val="21"/>
                      </w:rPr>
                      <w:t>项目</w:t>
                    </w:r>
                  </w:p>
                </w:tc>
              </w:sdtContent>
            </w:sdt>
            <w:sdt>
              <w:sdtPr>
                <w:tag w:val="_PLD_35a9734d9ab442afab77b957de461f60"/>
                <w:id w:val="-259216682"/>
                <w:lock w:val="sdtLocked"/>
              </w:sdtPr>
              <w:sdtContent>
                <w:tc>
                  <w:tcPr>
                    <w:tcW w:w="1622" w:type="pct"/>
                    <w:vAlign w:val="center"/>
                  </w:tcPr>
                  <w:p w:rsidR="00806678" w:rsidRDefault="00B16377">
                    <w:pPr>
                      <w:jc w:val="center"/>
                      <w:rPr>
                        <w:szCs w:val="21"/>
                      </w:rPr>
                    </w:pPr>
                    <w:r>
                      <w:rPr>
                        <w:rFonts w:hint="eastAsia"/>
                        <w:szCs w:val="21"/>
                      </w:rPr>
                      <w:t>期末余额</w:t>
                    </w:r>
                  </w:p>
                </w:tc>
              </w:sdtContent>
            </w:sdt>
            <w:sdt>
              <w:sdtPr>
                <w:tag w:val="_PLD_b7c7812d7c504706a7e2b4952bc5c120"/>
                <w:id w:val="998463655"/>
                <w:lock w:val="sdtLocked"/>
              </w:sdtPr>
              <w:sdtContent>
                <w:tc>
                  <w:tcPr>
                    <w:tcW w:w="1614" w:type="pct"/>
                    <w:vAlign w:val="center"/>
                  </w:tcPr>
                  <w:p w:rsidR="00806678" w:rsidRDefault="00B16377">
                    <w:pPr>
                      <w:jc w:val="center"/>
                      <w:rPr>
                        <w:szCs w:val="21"/>
                      </w:rPr>
                    </w:pPr>
                    <w:r>
                      <w:rPr>
                        <w:rFonts w:hint="eastAsia"/>
                        <w:szCs w:val="21"/>
                      </w:rPr>
                      <w:t>期初余额</w:t>
                    </w:r>
                  </w:p>
                </w:tc>
              </w:sdtContent>
            </w:sdt>
          </w:tr>
          <w:tr w:rsidR="00806678" w:rsidTr="004B2C8E">
            <w:trPr>
              <w:cantSplit/>
            </w:trPr>
            <w:sdt>
              <w:sdtPr>
                <w:tag w:val="_PLD_1bc5521157c247638b1dab0ce984af82"/>
                <w:id w:val="1456224455"/>
                <w:lock w:val="sdtLocked"/>
              </w:sdtPr>
              <w:sdtContent>
                <w:tc>
                  <w:tcPr>
                    <w:tcW w:w="1764" w:type="pct"/>
                  </w:tcPr>
                  <w:p w:rsidR="00806678" w:rsidRDefault="00B16377">
                    <w:pPr>
                      <w:ind w:right="5"/>
                      <w:rPr>
                        <w:szCs w:val="21"/>
                      </w:rPr>
                    </w:pPr>
                    <w:r>
                      <w:rPr>
                        <w:rFonts w:hint="eastAsia"/>
                        <w:szCs w:val="21"/>
                      </w:rPr>
                      <w:t>应收利息</w:t>
                    </w:r>
                  </w:p>
                </w:tc>
              </w:sdtContent>
            </w:sdt>
            <w:tc>
              <w:tcPr>
                <w:tcW w:w="1622" w:type="pct"/>
              </w:tcPr>
              <w:p w:rsidR="00806678" w:rsidRDefault="003576BC">
                <w:pPr>
                  <w:ind w:right="5"/>
                  <w:jc w:val="right"/>
                  <w:rPr>
                    <w:szCs w:val="21"/>
                  </w:rPr>
                </w:pPr>
                <w:r>
                  <w:rPr>
                    <w:szCs w:val="21"/>
                  </w:rPr>
                  <w:t>0</w:t>
                </w:r>
              </w:p>
            </w:tc>
            <w:tc>
              <w:tcPr>
                <w:tcW w:w="1614" w:type="pct"/>
              </w:tcPr>
              <w:p w:rsidR="00806678" w:rsidRDefault="003576BC">
                <w:pPr>
                  <w:ind w:right="5"/>
                  <w:jc w:val="right"/>
                  <w:rPr>
                    <w:szCs w:val="21"/>
                  </w:rPr>
                </w:pPr>
                <w:r>
                  <w:rPr>
                    <w:szCs w:val="21"/>
                  </w:rPr>
                  <w:t>0</w:t>
                </w:r>
              </w:p>
            </w:tc>
          </w:tr>
          <w:tr w:rsidR="003576BC" w:rsidTr="00DB008B">
            <w:trPr>
              <w:cantSplit/>
            </w:trPr>
            <w:sdt>
              <w:sdtPr>
                <w:tag w:val="_PLD_83a9c7439441458ba848d242b0cb5b8d"/>
                <w:id w:val="-1911228400"/>
                <w:lock w:val="sdtLocked"/>
              </w:sdtPr>
              <w:sdtContent>
                <w:tc>
                  <w:tcPr>
                    <w:tcW w:w="1764" w:type="pct"/>
                  </w:tcPr>
                  <w:p w:rsidR="003576BC" w:rsidRDefault="003576BC" w:rsidP="003576BC">
                    <w:pPr>
                      <w:ind w:right="5"/>
                      <w:rPr>
                        <w:szCs w:val="21"/>
                      </w:rPr>
                    </w:pPr>
                    <w:r>
                      <w:rPr>
                        <w:rFonts w:hint="eastAsia"/>
                        <w:szCs w:val="21"/>
                      </w:rPr>
                      <w:t>应收股利</w:t>
                    </w:r>
                  </w:p>
                </w:tc>
              </w:sdtContent>
            </w:sdt>
            <w:tc>
              <w:tcPr>
                <w:tcW w:w="1622" w:type="pct"/>
                <w:vAlign w:val="center"/>
              </w:tcPr>
              <w:p w:rsidR="003576BC" w:rsidRDefault="003576BC" w:rsidP="003576BC">
                <w:pPr>
                  <w:ind w:right="5"/>
                  <w:jc w:val="right"/>
                  <w:rPr>
                    <w:szCs w:val="21"/>
                  </w:rPr>
                </w:pPr>
                <w:r>
                  <w:t>2,406,670,308</w:t>
                </w:r>
              </w:p>
            </w:tc>
            <w:tc>
              <w:tcPr>
                <w:tcW w:w="1614" w:type="pct"/>
                <w:vAlign w:val="center"/>
              </w:tcPr>
              <w:p w:rsidR="003576BC" w:rsidRDefault="003576BC" w:rsidP="003576BC">
                <w:pPr>
                  <w:ind w:right="5"/>
                  <w:jc w:val="right"/>
                  <w:rPr>
                    <w:szCs w:val="21"/>
                  </w:rPr>
                </w:pPr>
                <w:r>
                  <w:t>0</w:t>
                </w:r>
              </w:p>
            </w:tc>
          </w:tr>
          <w:tr w:rsidR="003576BC" w:rsidTr="00DB008B">
            <w:trPr>
              <w:cantSplit/>
            </w:trPr>
            <w:sdt>
              <w:sdtPr>
                <w:tag w:val="_PLD_2a2907d83de84461a0358f08f3ff2448"/>
                <w:id w:val="-30575361"/>
                <w:lock w:val="sdtLocked"/>
              </w:sdtPr>
              <w:sdtContent>
                <w:tc>
                  <w:tcPr>
                    <w:tcW w:w="1764" w:type="pct"/>
                  </w:tcPr>
                  <w:p w:rsidR="003576BC" w:rsidRDefault="003576BC" w:rsidP="003576BC">
                    <w:pPr>
                      <w:ind w:right="5"/>
                      <w:rPr>
                        <w:szCs w:val="21"/>
                      </w:rPr>
                    </w:pPr>
                    <w:r>
                      <w:rPr>
                        <w:rFonts w:hint="eastAsia"/>
                        <w:szCs w:val="21"/>
                      </w:rPr>
                      <w:t>其他应收款</w:t>
                    </w:r>
                  </w:p>
                </w:tc>
              </w:sdtContent>
            </w:sdt>
            <w:tc>
              <w:tcPr>
                <w:tcW w:w="1622" w:type="pct"/>
                <w:vAlign w:val="center"/>
              </w:tcPr>
              <w:p w:rsidR="003576BC" w:rsidRDefault="003576BC" w:rsidP="003576BC">
                <w:pPr>
                  <w:ind w:right="5"/>
                  <w:jc w:val="right"/>
                  <w:rPr>
                    <w:szCs w:val="21"/>
                  </w:rPr>
                </w:pPr>
                <w:r>
                  <w:t>1,410,867,255</w:t>
                </w:r>
              </w:p>
            </w:tc>
            <w:tc>
              <w:tcPr>
                <w:tcW w:w="1614" w:type="pct"/>
                <w:vAlign w:val="center"/>
              </w:tcPr>
              <w:p w:rsidR="003576BC" w:rsidRDefault="003576BC" w:rsidP="003576BC">
                <w:pPr>
                  <w:ind w:right="5"/>
                  <w:jc w:val="right"/>
                  <w:rPr>
                    <w:szCs w:val="21"/>
                  </w:rPr>
                </w:pPr>
                <w:r>
                  <w:t>2,798,509,630</w:t>
                </w:r>
              </w:p>
            </w:tc>
          </w:tr>
          <w:tr w:rsidR="003576BC" w:rsidTr="00DB008B">
            <w:trPr>
              <w:cantSplit/>
            </w:trPr>
            <w:sdt>
              <w:sdtPr>
                <w:tag w:val="_PLD_cfd0d36043fb47cda6f36f696576dc28"/>
                <w:id w:val="-1983839436"/>
                <w:lock w:val="sdtLocked"/>
              </w:sdtPr>
              <w:sdtContent>
                <w:tc>
                  <w:tcPr>
                    <w:tcW w:w="1764" w:type="pct"/>
                    <w:vAlign w:val="center"/>
                  </w:tcPr>
                  <w:p w:rsidR="003576BC" w:rsidRDefault="003576BC" w:rsidP="003576BC">
                    <w:pPr>
                      <w:autoSpaceDE w:val="0"/>
                      <w:autoSpaceDN w:val="0"/>
                      <w:adjustRightInd w:val="0"/>
                      <w:jc w:val="center"/>
                      <w:rPr>
                        <w:szCs w:val="21"/>
                      </w:rPr>
                    </w:pPr>
                    <w:r>
                      <w:rPr>
                        <w:rFonts w:hint="eastAsia"/>
                        <w:szCs w:val="21"/>
                      </w:rPr>
                      <w:t>合计</w:t>
                    </w:r>
                  </w:p>
                </w:tc>
              </w:sdtContent>
            </w:sdt>
            <w:tc>
              <w:tcPr>
                <w:tcW w:w="1622" w:type="pct"/>
                <w:vAlign w:val="center"/>
              </w:tcPr>
              <w:p w:rsidR="003576BC" w:rsidRDefault="003576BC" w:rsidP="003576BC">
                <w:pPr>
                  <w:jc w:val="right"/>
                  <w:rPr>
                    <w:szCs w:val="21"/>
                  </w:rPr>
                </w:pPr>
                <w:r>
                  <w:t>3,817,537,563</w:t>
                </w:r>
              </w:p>
            </w:tc>
            <w:tc>
              <w:tcPr>
                <w:tcW w:w="1614" w:type="pct"/>
                <w:vAlign w:val="center"/>
              </w:tcPr>
              <w:p w:rsidR="003576BC" w:rsidRDefault="003576BC" w:rsidP="003576BC">
                <w:pPr>
                  <w:jc w:val="right"/>
                  <w:rPr>
                    <w:szCs w:val="21"/>
                  </w:rPr>
                </w:pPr>
                <w:r>
                  <w:t>2,798,509,630</w:t>
                </w:r>
              </w:p>
            </w:tc>
          </w:tr>
        </w:tbl>
        <w:p w:rsidR="00806678" w:rsidRDefault="00F80B6C"/>
      </w:sdtContent>
    </w:sdt>
    <w:bookmarkEnd w:id="270" w:displacedByCustomXml="next"/>
    <w:bookmarkStart w:id="271" w:name="_Hlk533797002" w:displacedByCustomXml="next"/>
    <w:sdt>
      <w:sdtPr>
        <w:rPr>
          <w:rFonts w:hint="eastAsia"/>
          <w:szCs w:val="21"/>
        </w:rPr>
        <w:alias w:val="模块:其他应收款分类列示其他说明"/>
        <w:tag w:val="_SEC_1a3871c3656a46aa979e92498f91509a"/>
        <w:id w:val="-950781467"/>
        <w:lock w:val="sdtLocked"/>
        <w:placeholder>
          <w:docPart w:val="GBC22222222222222222222222222222"/>
        </w:placeholder>
      </w:sdtPr>
      <w:sdtEndPr>
        <w:rPr>
          <w:rFonts w:hint="default"/>
        </w:rPr>
      </w:sdtEndPr>
      <w:sdtContent>
        <w:p w:rsidR="00806678" w:rsidRDefault="00B16377">
          <w:pPr>
            <w:rPr>
              <w:szCs w:val="21"/>
            </w:rPr>
          </w:pPr>
          <w:r>
            <w:rPr>
              <w:rFonts w:hint="eastAsia"/>
              <w:szCs w:val="21"/>
            </w:rPr>
            <w:t>其他说明：</w:t>
          </w:r>
        </w:p>
        <w:sdt>
          <w:sdtPr>
            <w:rPr>
              <w:szCs w:val="21"/>
            </w:rPr>
            <w:alias w:val="是否适用：母公司其他应收款分类列示其他说明[双击切换]"/>
            <w:tag w:val="_GBC_17d0b67d20cb486dbc08e07c11e1224a"/>
            <w:id w:val="1220785770"/>
            <w:lock w:val="sdtLocked"/>
            <w:placeholder>
              <w:docPart w:val="GBC22222222222222222222222222222"/>
            </w:placeholder>
          </w:sdtPr>
          <w:sdtContent>
            <w:p w:rsidR="00806678" w:rsidRDefault="00F80B6C" w:rsidP="003576BC">
              <w:pPr>
                <w:rPr>
                  <w:szCs w:val="21"/>
                </w:rPr>
              </w:pPr>
              <w:r>
                <w:rPr>
                  <w:szCs w:val="21"/>
                </w:rPr>
                <w:fldChar w:fldCharType="begin"/>
              </w:r>
              <w:r w:rsidR="003576BC">
                <w:rPr>
                  <w:szCs w:val="21"/>
                </w:rPr>
                <w:instrText xml:space="preserve"> MACROBUTTON  SnrToggleCheckbox □适用 </w:instrText>
              </w:r>
              <w:r>
                <w:rPr>
                  <w:szCs w:val="21"/>
                </w:rPr>
                <w:fldChar w:fldCharType="end"/>
              </w:r>
              <w:r>
                <w:rPr>
                  <w:szCs w:val="21"/>
                </w:rPr>
                <w:fldChar w:fldCharType="begin"/>
              </w:r>
              <w:r w:rsidR="003576BC">
                <w:rPr>
                  <w:szCs w:val="21"/>
                </w:rPr>
                <w:instrText xml:space="preserve"> MACROBUTTON  SnrToggleCheckbox √不适用 </w:instrText>
              </w:r>
              <w:r>
                <w:rPr>
                  <w:szCs w:val="21"/>
                </w:rPr>
                <w:fldChar w:fldCharType="end"/>
              </w:r>
            </w:p>
          </w:sdtContent>
        </w:sdt>
      </w:sdtContent>
    </w:sdt>
    <w:bookmarkEnd w:id="271"/>
    <w:p w:rsidR="00806678" w:rsidRDefault="00806678"/>
    <w:p w:rsidR="00806678" w:rsidRDefault="00B16377">
      <w:pPr>
        <w:pStyle w:val="4"/>
        <w:ind w:left="360" w:hanging="360"/>
      </w:pPr>
      <w:r>
        <w:rPr>
          <w:rFonts w:hint="eastAsia"/>
        </w:rPr>
        <w:t>应收利息</w:t>
      </w:r>
    </w:p>
    <w:bookmarkStart w:id="272" w:name="_Hlk533797042" w:displacedByCustomXml="next"/>
    <w:sdt>
      <w:sdtPr>
        <w:rPr>
          <w:rFonts w:asciiTheme="minorHAnsi" w:eastAsia="宋体" w:hAnsiTheme="minorHAnsi" w:cs="宋体" w:hint="eastAsia"/>
          <w:b w:val="0"/>
          <w:bCs w:val="0"/>
          <w:kern w:val="0"/>
          <w:szCs w:val="22"/>
        </w:rPr>
        <w:alias w:val="模块:应收利息"/>
        <w:tag w:val="_SEC_e39fae55cd97406480ebaf5b6cc99a7a"/>
        <w:id w:val="1501544772"/>
        <w:lock w:val="sdtLocked"/>
        <w:placeholder>
          <w:docPart w:val="GBC22222222222222222222222222222"/>
        </w:placeholder>
      </w:sdtPr>
      <w:sdtEndPr>
        <w:rPr>
          <w:rFonts w:ascii="Times New Roman" w:hAnsi="Times New Roman" w:cs="Times New Roman"/>
          <w:kern w:val="2"/>
          <w:szCs w:val="24"/>
        </w:rPr>
      </w:sdtEndPr>
      <w:sdtContent>
        <w:p w:rsidR="00806678" w:rsidRDefault="00B16377" w:rsidP="00FF17C7">
          <w:pPr>
            <w:pStyle w:val="4"/>
            <w:numPr>
              <w:ilvl w:val="3"/>
              <w:numId w:val="121"/>
            </w:numPr>
            <w:ind w:left="426" w:hanging="426"/>
          </w:pPr>
          <w:r>
            <w:rPr>
              <w:rFonts w:hint="eastAsia"/>
            </w:rPr>
            <w:t>应收利息分类</w:t>
          </w:r>
        </w:p>
        <w:sdt>
          <w:sdtPr>
            <w:alias w:val="是否适用：母公司应收利息分类[双击切换]"/>
            <w:tag w:val="_GBC_5e0cba78d09b4764ada25ce89de1c4fd"/>
            <w:id w:val="-1243791716"/>
            <w:lock w:val="sdtLocked"/>
            <w:placeholder>
              <w:docPart w:val="GBC22222222222222222222222222222"/>
            </w:placeholder>
          </w:sdtPr>
          <w:sdtContent>
            <w:p w:rsidR="00806678" w:rsidRDefault="00F80B6C" w:rsidP="003576BC">
              <w:pPr>
                <w:rPr>
                  <w:szCs w:val="21"/>
                </w:rPr>
              </w:pPr>
              <w:r>
                <w:fldChar w:fldCharType="begin"/>
              </w:r>
              <w:r w:rsidR="003576BC">
                <w:instrText xml:space="preserve"> MACROBUTTON  SnrToggleCheckbox □适用 </w:instrText>
              </w:r>
              <w:r>
                <w:fldChar w:fldCharType="end"/>
              </w:r>
              <w:r>
                <w:fldChar w:fldCharType="begin"/>
              </w:r>
              <w:r w:rsidR="003576BC">
                <w:instrText xml:space="preserve"> MACROBUTTON  SnrToggleCheckbox √不适用 </w:instrText>
              </w:r>
              <w:r>
                <w:fldChar w:fldCharType="end"/>
              </w:r>
            </w:p>
          </w:sdtContent>
        </w:sdt>
      </w:sdtContent>
    </w:sdt>
    <w:bookmarkEnd w:id="272" w:displacedByCustomXml="next"/>
    <w:bookmarkStart w:id="273" w:name="_Hlk533797114" w:displacedByCustomXml="next"/>
    <w:sdt>
      <w:sdtPr>
        <w:rPr>
          <w:rFonts w:ascii="宋体" w:eastAsia="宋体" w:hAnsi="宋体" w:cs="宋体" w:hint="eastAsia"/>
          <w:b w:val="0"/>
          <w:bCs w:val="0"/>
          <w:kern w:val="0"/>
          <w:szCs w:val="24"/>
        </w:rPr>
        <w:alias w:val="模块:逾期利息"/>
        <w:tag w:val="_SEC_0eba643091a6470aada89466b37489ac"/>
        <w:id w:val="2076012361"/>
        <w:lock w:val="sdtLocked"/>
        <w:placeholder>
          <w:docPart w:val="GBC22222222222222222222222222222"/>
        </w:placeholder>
      </w:sdtPr>
      <w:sdtEndPr>
        <w:rPr>
          <w:rFonts w:hint="default"/>
        </w:rPr>
      </w:sdtEndPr>
      <w:sdtContent>
        <w:p w:rsidR="00806678" w:rsidRDefault="00B16377" w:rsidP="00FF17C7">
          <w:pPr>
            <w:pStyle w:val="4"/>
            <w:numPr>
              <w:ilvl w:val="3"/>
              <w:numId w:val="121"/>
            </w:numPr>
            <w:ind w:left="426" w:hanging="426"/>
          </w:pPr>
          <w:r>
            <w:rPr>
              <w:rFonts w:hint="eastAsia"/>
            </w:rPr>
            <w:t>重要逾期利息</w:t>
          </w:r>
        </w:p>
        <w:sdt>
          <w:sdtPr>
            <w:alias w:val="是否适用：母公司重要逾期利息[双击切换]"/>
            <w:tag w:val="_GBC_2d954f5af6a64a34941652eeb166dce8"/>
            <w:id w:val="-1107804201"/>
            <w:lock w:val="sdtLocked"/>
            <w:placeholder>
              <w:docPart w:val="GBC22222222222222222222222222222"/>
            </w:placeholder>
          </w:sdtPr>
          <w:sdtContent>
            <w:p w:rsidR="00806678" w:rsidRDefault="00F80B6C" w:rsidP="003576BC">
              <w:r>
                <w:fldChar w:fldCharType="begin"/>
              </w:r>
              <w:r w:rsidR="003576BC">
                <w:instrText xml:space="preserve"> MACROBUTTON  SnrToggleCheckbox □适用 </w:instrText>
              </w:r>
              <w:r>
                <w:fldChar w:fldCharType="end"/>
              </w:r>
              <w:r>
                <w:fldChar w:fldCharType="begin"/>
              </w:r>
              <w:r w:rsidR="003576BC">
                <w:instrText xml:space="preserve"> MACROBUTTON  SnrToggleCheckbox √不适用 </w:instrText>
              </w:r>
              <w:r>
                <w:fldChar w:fldCharType="end"/>
              </w:r>
            </w:p>
          </w:sdtContent>
        </w:sdt>
      </w:sdtContent>
    </w:sdt>
    <w:bookmarkEnd w:id="273" w:displacedByCustomXml="next"/>
    <w:bookmarkStart w:id="274" w:name="_Hlk533868784" w:displacedByCustomXml="next"/>
    <w:sdt>
      <w:sdtPr>
        <w:rPr>
          <w:rFonts w:ascii="宋体" w:eastAsia="宋体" w:hAnsi="宋体" w:cs="宋体" w:hint="eastAsia"/>
          <w:b w:val="0"/>
          <w:bCs w:val="0"/>
          <w:kern w:val="0"/>
          <w:szCs w:val="24"/>
        </w:rPr>
        <w:alias w:val="模块:坏账准备的期初期末调节表"/>
        <w:tag w:val="_SEC_db389788aeeb4531b9fed1397a2cd7fe"/>
        <w:id w:val="-1068108986"/>
        <w:lock w:val="sdtLocked"/>
        <w:placeholder>
          <w:docPart w:val="GBC22222222222222222222222222222"/>
        </w:placeholder>
      </w:sdtPr>
      <w:sdtEndPr>
        <w:rPr>
          <w:rFonts w:hint="default"/>
        </w:rPr>
      </w:sdtEndPr>
      <w:sdtContent>
        <w:p w:rsidR="00806678" w:rsidRDefault="00B16377" w:rsidP="00FF17C7">
          <w:pPr>
            <w:pStyle w:val="4"/>
            <w:numPr>
              <w:ilvl w:val="3"/>
              <w:numId w:val="121"/>
            </w:numPr>
            <w:ind w:left="426" w:hanging="426"/>
          </w:pPr>
          <w:r>
            <w:rPr>
              <w:rFonts w:ascii="宋体" w:eastAsia="宋体" w:hAnsi="宋体" w:cs="宋体" w:hint="eastAsia"/>
              <w:bCs w:val="0"/>
              <w:kern w:val="0"/>
              <w:szCs w:val="24"/>
            </w:rPr>
            <w:t>坏账准备计提情况</w:t>
          </w:r>
        </w:p>
        <w:sdt>
          <w:sdtPr>
            <w:rPr>
              <w:szCs w:val="21"/>
            </w:rPr>
            <w:alias w:val="是否适用：母公司应收利息坏账准备调节表[双击切换]"/>
            <w:tag w:val="_GBC_f31c9323c5434941917fd7e42ea1fd1b"/>
            <w:id w:val="-1515997636"/>
            <w:lock w:val="sdtLocked"/>
            <w:placeholder>
              <w:docPart w:val="GBC22222222222222222222222222222"/>
            </w:placeholder>
          </w:sdtPr>
          <w:sdtContent>
            <w:p w:rsidR="00806678" w:rsidRDefault="00F80B6C">
              <w:r>
                <w:rPr>
                  <w:szCs w:val="21"/>
                </w:rPr>
                <w:fldChar w:fldCharType="begin"/>
              </w:r>
              <w:r w:rsidR="003576BC">
                <w:rPr>
                  <w:szCs w:val="21"/>
                </w:rPr>
                <w:instrText xml:space="preserve"> MACROBUTTON  SnrToggleCheckbox □适用 </w:instrText>
              </w:r>
              <w:r>
                <w:rPr>
                  <w:szCs w:val="21"/>
                </w:rPr>
                <w:fldChar w:fldCharType="end"/>
              </w:r>
              <w:r>
                <w:rPr>
                  <w:szCs w:val="21"/>
                </w:rPr>
                <w:fldChar w:fldCharType="begin"/>
              </w:r>
              <w:r w:rsidR="003576BC">
                <w:rPr>
                  <w:szCs w:val="21"/>
                </w:rPr>
                <w:instrText xml:space="preserve"> MACROBUTTON  SnrToggleCheckbox √不适用 </w:instrText>
              </w:r>
              <w:r>
                <w:rPr>
                  <w:szCs w:val="21"/>
                </w:rPr>
                <w:fldChar w:fldCharType="end"/>
              </w:r>
            </w:p>
          </w:sdtContent>
        </w:sdt>
      </w:sdtContent>
    </w:sdt>
    <w:bookmarkEnd w:id="274" w:displacedByCustomXml="prev"/>
    <w:bookmarkStart w:id="275" w:name="_Hlk533797211" w:displacedByCustomXml="next"/>
    <w:sdt>
      <w:sdtPr>
        <w:rPr>
          <w:rFonts w:hint="eastAsia"/>
          <w:b/>
          <w:bCs/>
        </w:rPr>
        <w:alias w:val="模块:应收利息的说明"/>
        <w:tag w:val="_SEC_420c39c62dbc49c58e111f47e5cba702"/>
        <w:id w:val="589812166"/>
        <w:lock w:val="sdtLocked"/>
        <w:placeholder>
          <w:docPart w:val="GBC22222222222222222222222222222"/>
        </w:placeholder>
      </w:sdtPr>
      <w:sdtEndPr>
        <w:rPr>
          <w:rFonts w:hint="default"/>
          <w:b w:val="0"/>
          <w:bCs w:val="0"/>
          <w:szCs w:val="21"/>
        </w:rPr>
      </w:sdtEndPr>
      <w:sdtContent>
        <w:p w:rsidR="00806678" w:rsidRDefault="00B16377">
          <w:r>
            <w:rPr>
              <w:rFonts w:hint="eastAsia"/>
            </w:rPr>
            <w:t>其他说明：</w:t>
          </w:r>
        </w:p>
        <w:sdt>
          <w:sdtPr>
            <w:rPr>
              <w:szCs w:val="21"/>
            </w:rPr>
            <w:alias w:val="是否适用：母公司应收利息其他说明[双击切换]"/>
            <w:tag w:val="_GBC_422a110cf0624865b634bb6f2d1a28bd"/>
            <w:id w:val="-1380776493"/>
            <w:lock w:val="sdtLocked"/>
            <w:placeholder>
              <w:docPart w:val="GBC22222222222222222222222222222"/>
            </w:placeholder>
          </w:sdtPr>
          <w:sdtContent>
            <w:p w:rsidR="00806678" w:rsidRDefault="00F80B6C" w:rsidP="003576BC">
              <w:pPr>
                <w:rPr>
                  <w:szCs w:val="21"/>
                </w:rPr>
              </w:pPr>
              <w:r>
                <w:rPr>
                  <w:szCs w:val="21"/>
                </w:rPr>
                <w:fldChar w:fldCharType="begin"/>
              </w:r>
              <w:r w:rsidR="003576BC">
                <w:rPr>
                  <w:szCs w:val="21"/>
                </w:rPr>
                <w:instrText xml:space="preserve"> MACROBUTTON  SnrToggleCheckbox □适用 </w:instrText>
              </w:r>
              <w:r>
                <w:rPr>
                  <w:szCs w:val="21"/>
                </w:rPr>
                <w:fldChar w:fldCharType="end"/>
              </w:r>
              <w:r>
                <w:rPr>
                  <w:szCs w:val="21"/>
                </w:rPr>
                <w:fldChar w:fldCharType="begin"/>
              </w:r>
              <w:r w:rsidR="003576BC">
                <w:rPr>
                  <w:szCs w:val="21"/>
                </w:rPr>
                <w:instrText xml:space="preserve"> MACROBUTTON  SnrToggleCheckbox √不适用 </w:instrText>
              </w:r>
              <w:r>
                <w:rPr>
                  <w:szCs w:val="21"/>
                </w:rPr>
                <w:fldChar w:fldCharType="end"/>
              </w:r>
            </w:p>
          </w:sdtContent>
        </w:sdt>
      </w:sdtContent>
    </w:sdt>
    <w:bookmarkEnd w:id="275"/>
    <w:p w:rsidR="00806678" w:rsidRDefault="00806678"/>
    <w:p w:rsidR="00806678" w:rsidRDefault="00B16377">
      <w:pPr>
        <w:pStyle w:val="4"/>
        <w:ind w:left="360" w:hanging="360"/>
      </w:pPr>
      <w:r>
        <w:rPr>
          <w:rFonts w:hint="eastAsia"/>
        </w:rPr>
        <w:t>应收股利</w:t>
      </w:r>
    </w:p>
    <w:bookmarkStart w:id="276" w:name="_Hlk533797257" w:displacedByCustomXml="next"/>
    <w:sdt>
      <w:sdtPr>
        <w:rPr>
          <w:rFonts w:asciiTheme="minorHAnsi" w:eastAsia="宋体" w:hAnsiTheme="minorHAnsi" w:cstheme="minorBidi" w:hint="eastAsia"/>
          <w:b w:val="0"/>
          <w:bCs w:val="0"/>
          <w:kern w:val="0"/>
          <w:szCs w:val="22"/>
        </w:rPr>
        <w:alias w:val="模块:应收股利"/>
        <w:tag w:val="_SEC_97c2573729ab4e7fad4323aaa9228ada"/>
        <w:id w:val="-2122823761"/>
        <w:lock w:val="sdtLocked"/>
        <w:placeholder>
          <w:docPart w:val="GBC22222222222222222222222222222"/>
        </w:placeholder>
      </w:sdtPr>
      <w:sdtEndPr>
        <w:rPr>
          <w:rFonts w:ascii="Times New Roman" w:hAnsi="Times New Roman" w:cs="Times New Roman"/>
          <w:szCs w:val="24"/>
        </w:rPr>
      </w:sdtEndPr>
      <w:sdtContent>
        <w:p w:rsidR="00806678" w:rsidRDefault="00B16377" w:rsidP="00FF17C7">
          <w:pPr>
            <w:pStyle w:val="4"/>
            <w:numPr>
              <w:ilvl w:val="3"/>
              <w:numId w:val="120"/>
            </w:numPr>
            <w:ind w:left="426" w:hanging="426"/>
          </w:pPr>
          <w:r>
            <w:rPr>
              <w:rFonts w:hint="eastAsia"/>
            </w:rPr>
            <w:t>应收股利</w:t>
          </w:r>
        </w:p>
        <w:sdt>
          <w:sdtPr>
            <w:alias w:val="是否适用：母公司应收股利[双击切换]"/>
            <w:tag w:val="_GBC_a52dcf5153694fbe9527781c61a5006e"/>
            <w:id w:val="-1917862333"/>
            <w:lock w:val="sdtLocked"/>
            <w:placeholder>
              <w:docPart w:val="GBC22222222222222222222222222222"/>
            </w:placeholder>
          </w:sdtPr>
          <w:sdtContent>
            <w:p w:rsidR="00806678" w:rsidRDefault="00F80B6C">
              <w:r>
                <w:fldChar w:fldCharType="begin"/>
              </w:r>
              <w:r w:rsidR="003576BC">
                <w:instrText xml:space="preserve"> MACROBUTTON  SnrToggleCheckbox √适用 </w:instrText>
              </w:r>
              <w:r>
                <w:fldChar w:fldCharType="end"/>
              </w:r>
              <w:r>
                <w:fldChar w:fldCharType="begin"/>
              </w:r>
              <w:r w:rsidR="003576BC">
                <w:instrText xml:space="preserve"> MACROBUTTON  SnrToggleCheckbox □不适用 </w:instrText>
              </w:r>
              <w:r>
                <w:fldChar w:fldCharType="end"/>
              </w:r>
            </w:p>
          </w:sdtContent>
        </w:sdt>
        <w:p w:rsidR="00806678" w:rsidRDefault="00B16377">
          <w:pPr>
            <w:jc w:val="right"/>
            <w:rPr>
              <w:szCs w:val="21"/>
            </w:rPr>
          </w:pPr>
          <w:r>
            <w:rPr>
              <w:rFonts w:hint="eastAsia"/>
              <w:szCs w:val="21"/>
            </w:rPr>
            <w:t>单位：</w:t>
          </w:r>
          <w:sdt>
            <w:sdtPr>
              <w:rPr>
                <w:rFonts w:hint="eastAsia"/>
                <w:szCs w:val="21"/>
              </w:rPr>
              <w:alias w:val="单位：母公司应收股利"/>
              <w:tag w:val="_GBC_6ca836a3bcad480a9c85951f0ab366a6"/>
              <w:id w:val="198634967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母公司应收股利"/>
              <w:tag w:val="_GBC_f127bcdbe1e14dfb9de9ff2ea28f8849"/>
              <w:id w:val="66259244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13"/>
            <w:gridCol w:w="2811"/>
            <w:gridCol w:w="2825"/>
          </w:tblGrid>
          <w:tr w:rsidR="00806678" w:rsidTr="00DE48B3">
            <w:sdt>
              <w:sdtPr>
                <w:tag w:val="_PLD_2f33eddb4e264906aec2f02b43b353c9"/>
                <w:id w:val="-346938647"/>
                <w:lock w:val="sdtLocked"/>
              </w:sdtPr>
              <w:sdtContent>
                <w:tc>
                  <w:tcPr>
                    <w:tcW w:w="1886" w:type="pct"/>
                    <w:vAlign w:val="center"/>
                  </w:tcPr>
                  <w:p w:rsidR="00806678" w:rsidRDefault="00B16377">
                    <w:pPr>
                      <w:jc w:val="center"/>
                      <w:rPr>
                        <w:szCs w:val="21"/>
                      </w:rPr>
                    </w:pPr>
                    <w:r>
                      <w:rPr>
                        <w:rFonts w:hint="eastAsia"/>
                        <w:szCs w:val="21"/>
                      </w:rPr>
                      <w:t>项目(或被投资单位)</w:t>
                    </w:r>
                  </w:p>
                </w:tc>
              </w:sdtContent>
            </w:sdt>
            <w:sdt>
              <w:sdtPr>
                <w:tag w:val="_PLD_d5c6465a5d04498caa02c0445ea9f2a6"/>
                <w:id w:val="-1948302195"/>
                <w:lock w:val="sdtLocked"/>
              </w:sdtPr>
              <w:sdtContent>
                <w:tc>
                  <w:tcPr>
                    <w:tcW w:w="1553" w:type="pct"/>
                    <w:vAlign w:val="center"/>
                  </w:tcPr>
                  <w:p w:rsidR="00806678" w:rsidRDefault="00B16377">
                    <w:pPr>
                      <w:jc w:val="center"/>
                      <w:rPr>
                        <w:szCs w:val="21"/>
                      </w:rPr>
                    </w:pPr>
                    <w:r>
                      <w:rPr>
                        <w:rFonts w:hint="eastAsia"/>
                        <w:szCs w:val="21"/>
                      </w:rPr>
                      <w:t>期末余额</w:t>
                    </w:r>
                  </w:p>
                </w:tc>
              </w:sdtContent>
            </w:sdt>
            <w:sdt>
              <w:sdtPr>
                <w:tag w:val="_PLD_c14a5a3826574e7ebd8083db63a7a818"/>
                <w:id w:val="719561171"/>
                <w:lock w:val="sdtLocked"/>
              </w:sdtPr>
              <w:sdtContent>
                <w:tc>
                  <w:tcPr>
                    <w:tcW w:w="1561" w:type="pct"/>
                    <w:vAlign w:val="center"/>
                  </w:tcPr>
                  <w:p w:rsidR="00806678" w:rsidRDefault="00B16377">
                    <w:pPr>
                      <w:jc w:val="center"/>
                      <w:rPr>
                        <w:szCs w:val="21"/>
                      </w:rPr>
                    </w:pPr>
                    <w:r>
                      <w:rPr>
                        <w:rFonts w:hint="eastAsia"/>
                        <w:szCs w:val="21"/>
                      </w:rPr>
                      <w:t>期初余额</w:t>
                    </w:r>
                  </w:p>
                </w:tc>
              </w:sdtContent>
            </w:sdt>
          </w:tr>
          <w:sdt>
            <w:sdtPr>
              <w:rPr>
                <w:rFonts w:cstheme="minorBidi" w:hint="eastAsia"/>
                <w:kern w:val="2"/>
                <w:szCs w:val="21"/>
              </w:rPr>
              <w:alias w:val="应收股利明细"/>
              <w:tag w:val="_TUP_b0681d9cb56941359c9206686f31360e"/>
              <w:id w:val="2019878157"/>
              <w:lock w:val="sdtLocked"/>
            </w:sdtPr>
            <w:sdtContent>
              <w:tr w:rsidR="00806678" w:rsidTr="00DE48B3">
                <w:tc>
                  <w:tcPr>
                    <w:tcW w:w="1886" w:type="pct"/>
                  </w:tcPr>
                  <w:p w:rsidR="00806678" w:rsidRDefault="003576BC">
                    <w:pPr>
                      <w:rPr>
                        <w:szCs w:val="21"/>
                      </w:rPr>
                    </w:pPr>
                    <w:r>
                      <w:rPr>
                        <w:rFonts w:cstheme="minorBidi"/>
                        <w:kern w:val="2"/>
                        <w:szCs w:val="21"/>
                      </w:rPr>
                      <w:t>应收联营公司股利</w:t>
                    </w:r>
                  </w:p>
                </w:tc>
                <w:tc>
                  <w:tcPr>
                    <w:tcW w:w="1553" w:type="pct"/>
                  </w:tcPr>
                  <w:p w:rsidR="00806678" w:rsidRDefault="003576BC">
                    <w:pPr>
                      <w:jc w:val="right"/>
                      <w:rPr>
                        <w:szCs w:val="21"/>
                      </w:rPr>
                    </w:pPr>
                    <w:r>
                      <w:rPr>
                        <w:szCs w:val="21"/>
                      </w:rPr>
                      <w:t>2,406,670,308</w:t>
                    </w:r>
                  </w:p>
                </w:tc>
                <w:tc>
                  <w:tcPr>
                    <w:tcW w:w="1561" w:type="pct"/>
                  </w:tcPr>
                  <w:p w:rsidR="00806678" w:rsidRDefault="003576BC">
                    <w:pPr>
                      <w:jc w:val="right"/>
                      <w:rPr>
                        <w:szCs w:val="21"/>
                      </w:rPr>
                    </w:pPr>
                    <w:r>
                      <w:rPr>
                        <w:szCs w:val="21"/>
                      </w:rPr>
                      <w:t>0</w:t>
                    </w:r>
                  </w:p>
                </w:tc>
              </w:tr>
            </w:sdtContent>
          </w:sdt>
          <w:tr w:rsidR="003576BC" w:rsidTr="00DB008B">
            <w:sdt>
              <w:sdtPr>
                <w:tag w:val="_PLD_a741a6bfa33b45a3a122df8cd1a46358"/>
                <w:id w:val="2127806358"/>
                <w:lock w:val="sdtLocked"/>
              </w:sdtPr>
              <w:sdtContent>
                <w:tc>
                  <w:tcPr>
                    <w:tcW w:w="1886" w:type="pct"/>
                    <w:vAlign w:val="center"/>
                  </w:tcPr>
                  <w:p w:rsidR="003576BC" w:rsidRDefault="003576BC" w:rsidP="003576BC">
                    <w:pPr>
                      <w:jc w:val="center"/>
                      <w:rPr>
                        <w:szCs w:val="21"/>
                      </w:rPr>
                    </w:pPr>
                    <w:r>
                      <w:rPr>
                        <w:rFonts w:hint="eastAsia"/>
                        <w:szCs w:val="21"/>
                      </w:rPr>
                      <w:t>合计</w:t>
                    </w:r>
                  </w:p>
                </w:tc>
              </w:sdtContent>
            </w:sdt>
            <w:tc>
              <w:tcPr>
                <w:tcW w:w="1553" w:type="pct"/>
                <w:vAlign w:val="center"/>
              </w:tcPr>
              <w:p w:rsidR="003576BC" w:rsidRDefault="003576BC" w:rsidP="003576BC">
                <w:pPr>
                  <w:jc w:val="right"/>
                  <w:rPr>
                    <w:szCs w:val="21"/>
                  </w:rPr>
                </w:pPr>
                <w:r>
                  <w:t>2,406,670,308</w:t>
                </w:r>
              </w:p>
            </w:tc>
            <w:tc>
              <w:tcPr>
                <w:tcW w:w="1561" w:type="pct"/>
                <w:vAlign w:val="center"/>
              </w:tcPr>
              <w:p w:rsidR="003576BC" w:rsidRDefault="003576BC" w:rsidP="003576BC">
                <w:pPr>
                  <w:jc w:val="right"/>
                  <w:rPr>
                    <w:szCs w:val="21"/>
                  </w:rPr>
                </w:pPr>
                <w:r>
                  <w:t>0</w:t>
                </w:r>
              </w:p>
            </w:tc>
          </w:tr>
        </w:tbl>
        <w:p w:rsidR="00806678" w:rsidRDefault="00F80B6C">
          <w:pPr>
            <w:rPr>
              <w:szCs w:val="21"/>
            </w:rPr>
          </w:pPr>
        </w:p>
      </w:sdtContent>
    </w:sdt>
    <w:bookmarkEnd w:id="276" w:displacedByCustomXml="next"/>
    <w:bookmarkStart w:id="277" w:name="_Hlk533797316" w:displacedByCustomXml="next"/>
    <w:sdt>
      <w:sdtPr>
        <w:rPr>
          <w:rFonts w:asciiTheme="minorHAnsi" w:eastAsia="宋体" w:hAnsiTheme="minorHAnsi" w:cstheme="minorBidi" w:hint="eastAsia"/>
          <w:b w:val="0"/>
          <w:bCs w:val="0"/>
          <w:kern w:val="0"/>
          <w:szCs w:val="22"/>
        </w:rPr>
        <w:alias w:val="模块:重要的账龄超过1年的应收股利"/>
        <w:tag w:val="_SEC_dd6d08748fed41928b221e9407607582"/>
        <w:id w:val="158208063"/>
        <w:lock w:val="sdtLocked"/>
        <w:placeholder>
          <w:docPart w:val="GBC22222222222222222222222222222"/>
        </w:placeholder>
      </w:sdtPr>
      <w:sdtEndPr>
        <w:rPr>
          <w:rFonts w:ascii="宋体" w:hAnsi="宋体" w:cs="宋体" w:hint="default"/>
          <w:szCs w:val="24"/>
        </w:rPr>
      </w:sdtEndPr>
      <w:sdtContent>
        <w:p w:rsidR="00806678" w:rsidRDefault="00B16377" w:rsidP="00FF17C7">
          <w:pPr>
            <w:pStyle w:val="4"/>
            <w:numPr>
              <w:ilvl w:val="3"/>
              <w:numId w:val="120"/>
            </w:numPr>
            <w:ind w:left="426" w:hanging="426"/>
          </w:pPr>
          <w:r>
            <w:rPr>
              <w:rFonts w:hint="eastAsia"/>
            </w:rPr>
            <w:t>重要的账龄超过1年的应收股利</w:t>
          </w:r>
        </w:p>
        <w:sdt>
          <w:sdtPr>
            <w:rPr>
              <w:szCs w:val="21"/>
            </w:rPr>
            <w:alias w:val="是否适用：母公司重要的账龄超过1年的应收股利[双击切换]"/>
            <w:tag w:val="_GBC_70eb463d08894908bb104ae0b258e76e"/>
            <w:id w:val="1536166363"/>
            <w:lock w:val="sdtLocked"/>
            <w:placeholder>
              <w:docPart w:val="GBC22222222222222222222222222222"/>
            </w:placeholder>
          </w:sdtPr>
          <w:sdtContent>
            <w:p w:rsidR="00806678" w:rsidRDefault="00F80B6C" w:rsidP="003576BC">
              <w:r>
                <w:rPr>
                  <w:szCs w:val="21"/>
                </w:rPr>
                <w:fldChar w:fldCharType="begin"/>
              </w:r>
              <w:r w:rsidR="003576BC">
                <w:rPr>
                  <w:szCs w:val="21"/>
                </w:rPr>
                <w:instrText xml:space="preserve"> MACROBUTTON  SnrToggleCheckbox □适用 </w:instrText>
              </w:r>
              <w:r>
                <w:rPr>
                  <w:szCs w:val="21"/>
                </w:rPr>
                <w:fldChar w:fldCharType="end"/>
              </w:r>
              <w:r>
                <w:rPr>
                  <w:szCs w:val="21"/>
                </w:rPr>
                <w:fldChar w:fldCharType="begin"/>
              </w:r>
              <w:r w:rsidR="003576BC">
                <w:rPr>
                  <w:szCs w:val="21"/>
                </w:rPr>
                <w:instrText xml:space="preserve"> MACROBUTTON  SnrToggleCheckbox √不适用 </w:instrText>
              </w:r>
              <w:r>
                <w:rPr>
                  <w:szCs w:val="21"/>
                </w:rPr>
                <w:fldChar w:fldCharType="end"/>
              </w:r>
            </w:p>
          </w:sdtContent>
        </w:sdt>
      </w:sdtContent>
    </w:sdt>
    <w:bookmarkEnd w:id="277" w:displacedByCustomXml="next"/>
    <w:bookmarkStart w:id="278" w:name="_Hlk533868874" w:displacedByCustomXml="next"/>
    <w:sdt>
      <w:sdtPr>
        <w:rPr>
          <w:rFonts w:ascii="宋体" w:eastAsia="宋体" w:hAnsi="宋体" w:cs="宋体" w:hint="eastAsia"/>
          <w:b w:val="0"/>
          <w:bCs w:val="0"/>
          <w:kern w:val="0"/>
          <w:szCs w:val="24"/>
        </w:rPr>
        <w:alias w:val="模块:坏账准备的期初期末调节表"/>
        <w:tag w:val="_SEC_1be97d9195ef4b7391f2b818d70c754f"/>
        <w:id w:val="-1335145496"/>
        <w:lock w:val="sdtLocked"/>
        <w:placeholder>
          <w:docPart w:val="GBC22222222222222222222222222222"/>
        </w:placeholder>
      </w:sdtPr>
      <w:sdtEndPr>
        <w:rPr>
          <w:rFonts w:hint="default"/>
        </w:rPr>
      </w:sdtEndPr>
      <w:sdtContent>
        <w:p w:rsidR="00806678" w:rsidRDefault="00B16377" w:rsidP="00FF17C7">
          <w:pPr>
            <w:pStyle w:val="4"/>
            <w:numPr>
              <w:ilvl w:val="3"/>
              <w:numId w:val="120"/>
            </w:numPr>
            <w:ind w:left="426" w:hanging="426"/>
          </w:pPr>
          <w:r>
            <w:rPr>
              <w:rFonts w:ascii="宋体" w:eastAsia="宋体" w:hAnsi="宋体" w:cs="宋体" w:hint="eastAsia"/>
              <w:bCs w:val="0"/>
              <w:kern w:val="0"/>
              <w:szCs w:val="24"/>
            </w:rPr>
            <w:t>坏账准备计提情况</w:t>
          </w:r>
        </w:p>
        <w:sdt>
          <w:sdtPr>
            <w:alias w:val="是否适用：母公司应收股利坏账准备调节表[双击切换]"/>
            <w:tag w:val="_GBC_5cbd8c1c52fa42d19db26aadad6a74b8"/>
            <w:id w:val="-88006743"/>
            <w:lock w:val="sdtLocked"/>
            <w:placeholder>
              <w:docPart w:val="GBC22222222222222222222222222222"/>
            </w:placeholder>
          </w:sdtPr>
          <w:sdtContent>
            <w:p w:rsidR="00806678" w:rsidRDefault="00F80B6C">
              <w:r>
                <w:fldChar w:fldCharType="begin"/>
              </w:r>
              <w:r w:rsidR="003576BC">
                <w:instrText xml:space="preserve"> MACROBUTTON  SnrToggleCheckbox □适用 </w:instrText>
              </w:r>
              <w:r>
                <w:fldChar w:fldCharType="end"/>
              </w:r>
              <w:r>
                <w:fldChar w:fldCharType="begin"/>
              </w:r>
              <w:r w:rsidR="003576BC">
                <w:instrText xml:space="preserve"> MACROBUTTON  SnrToggleCheckbox √不适用 </w:instrText>
              </w:r>
              <w:r>
                <w:fldChar w:fldCharType="end"/>
              </w:r>
            </w:p>
          </w:sdtContent>
        </w:sdt>
      </w:sdtContent>
    </w:sdt>
    <w:bookmarkEnd w:id="278" w:displacedByCustomXml="prev"/>
    <w:bookmarkStart w:id="279" w:name="_Hlk533797406" w:displacedByCustomXml="next"/>
    <w:sdt>
      <w:sdtPr>
        <w:rPr>
          <w:rFonts w:hint="eastAsia"/>
          <w:szCs w:val="21"/>
        </w:rPr>
        <w:alias w:val="模块:应收股利的说明"/>
        <w:tag w:val="_SEC_4b48a7a88233455db21eb1078781bdde"/>
        <w:id w:val="-837998841"/>
        <w:lock w:val="sdtLocked"/>
        <w:placeholder>
          <w:docPart w:val="GBC22222222222222222222222222222"/>
        </w:placeholder>
      </w:sdtPr>
      <w:sdtEndPr>
        <w:rPr>
          <w:rFonts w:hint="default"/>
        </w:rPr>
      </w:sdtEndPr>
      <w:sdtContent>
        <w:p w:rsidR="00806678" w:rsidRDefault="00B16377">
          <w:pPr>
            <w:rPr>
              <w:szCs w:val="21"/>
            </w:rPr>
          </w:pPr>
          <w:r>
            <w:rPr>
              <w:rFonts w:hint="eastAsia"/>
              <w:szCs w:val="21"/>
            </w:rPr>
            <w:t>其他说明：</w:t>
          </w:r>
        </w:p>
        <w:sdt>
          <w:sdtPr>
            <w:rPr>
              <w:szCs w:val="21"/>
            </w:rPr>
            <w:alias w:val="是否适用：母公司应收股利其他说明[双击切换]"/>
            <w:tag w:val="_GBC_75450c3c0332439986937f5dec59f65c"/>
            <w:id w:val="1695351074"/>
            <w:lock w:val="sdtLocked"/>
            <w:placeholder>
              <w:docPart w:val="GBC22222222222222222222222222222"/>
            </w:placeholder>
          </w:sdtPr>
          <w:sdtContent>
            <w:p w:rsidR="00806678" w:rsidRDefault="00F80B6C" w:rsidP="003576BC">
              <w:pPr>
                <w:rPr>
                  <w:szCs w:val="21"/>
                </w:rPr>
              </w:pPr>
              <w:r>
                <w:rPr>
                  <w:szCs w:val="21"/>
                </w:rPr>
                <w:fldChar w:fldCharType="begin"/>
              </w:r>
              <w:r w:rsidR="003576BC">
                <w:rPr>
                  <w:szCs w:val="21"/>
                </w:rPr>
                <w:instrText xml:space="preserve"> MACROBUTTON  SnrToggleCheckbox □适用 </w:instrText>
              </w:r>
              <w:r>
                <w:rPr>
                  <w:szCs w:val="21"/>
                </w:rPr>
                <w:fldChar w:fldCharType="end"/>
              </w:r>
              <w:r>
                <w:rPr>
                  <w:szCs w:val="21"/>
                </w:rPr>
                <w:fldChar w:fldCharType="begin"/>
              </w:r>
              <w:r w:rsidR="003576BC">
                <w:rPr>
                  <w:szCs w:val="21"/>
                </w:rPr>
                <w:instrText xml:space="preserve"> MACROBUTTON  SnrToggleCheckbox √不适用 </w:instrText>
              </w:r>
              <w:r>
                <w:rPr>
                  <w:szCs w:val="21"/>
                </w:rPr>
                <w:fldChar w:fldCharType="end"/>
              </w:r>
            </w:p>
          </w:sdtContent>
        </w:sdt>
      </w:sdtContent>
    </w:sdt>
    <w:bookmarkEnd w:id="279"/>
    <w:p w:rsidR="00806678" w:rsidRDefault="00806678"/>
    <w:p w:rsidR="00806678" w:rsidRDefault="00B16377">
      <w:pPr>
        <w:pStyle w:val="4"/>
        <w:ind w:left="360" w:hanging="360"/>
      </w:pPr>
      <w:r>
        <w:rPr>
          <w:rFonts w:hint="eastAsia"/>
        </w:rPr>
        <w:t>其他应收款</w:t>
      </w:r>
    </w:p>
    <w:bookmarkStart w:id="280" w:name="_Hlk533797447" w:displacedByCustomXml="next"/>
    <w:sdt>
      <w:sdtPr>
        <w:rPr>
          <w:rFonts w:ascii="宋体" w:eastAsia="宋体" w:hAnsi="宋体" w:cs="宋体" w:hint="eastAsia"/>
          <w:b w:val="0"/>
          <w:bCs w:val="0"/>
          <w:kern w:val="0"/>
          <w:szCs w:val="24"/>
        </w:rPr>
        <w:alias w:val="模块:按账龄披露"/>
        <w:tag w:val="_SEC_9f001837707a4e748573115d0229b591"/>
        <w:id w:val="412051668"/>
        <w:lock w:val="sdtLocked"/>
        <w:placeholder>
          <w:docPart w:val="GBC22222222222222222222222222222"/>
        </w:placeholder>
      </w:sdtPr>
      <w:sdtContent>
        <w:p w:rsidR="003576BC" w:rsidRDefault="003576BC" w:rsidP="00FF17C7">
          <w:pPr>
            <w:pStyle w:val="4"/>
            <w:numPr>
              <w:ilvl w:val="0"/>
              <w:numId w:val="60"/>
            </w:numPr>
            <w:rPr>
              <w:szCs w:val="21"/>
            </w:rPr>
          </w:pPr>
          <w:r>
            <w:rPr>
              <w:rFonts w:hint="eastAsia"/>
              <w:szCs w:val="21"/>
            </w:rPr>
            <w:t>按客户类别</w:t>
          </w:r>
        </w:p>
        <w:tbl>
          <w:tblPr>
            <w:tblW w:w="912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28" w:type="dxa"/>
            </w:tblCellMar>
            <w:tblLook w:val="04A0"/>
          </w:tblPr>
          <w:tblGrid>
            <w:gridCol w:w="5032"/>
            <w:gridCol w:w="2046"/>
            <w:gridCol w:w="2046"/>
          </w:tblGrid>
          <w:tr w:rsidR="003576BC" w:rsidRPr="003576BC" w:rsidTr="00C84467">
            <w:trPr>
              <w:trHeight w:val="279"/>
            </w:trPr>
            <w:tc>
              <w:tcPr>
                <w:tcW w:w="5032" w:type="dxa"/>
                <w:vAlign w:val="bottom"/>
              </w:tcPr>
              <w:p w:rsidR="003576BC" w:rsidRPr="003576BC" w:rsidRDefault="003576BC" w:rsidP="003C052B">
                <w:pPr>
                  <w:adjustRightInd w:val="0"/>
                  <w:snapToGrid w:val="0"/>
                  <w:ind w:left="221" w:hanging="221"/>
                  <w:jc w:val="center"/>
                </w:pPr>
                <w:r w:rsidRPr="003576BC">
                  <w:t>客户类别</w:t>
                </w:r>
              </w:p>
            </w:tc>
            <w:tc>
              <w:tcPr>
                <w:tcW w:w="2046" w:type="dxa"/>
                <w:vAlign w:val="bottom"/>
              </w:tcPr>
              <w:p w:rsidR="003576BC" w:rsidRPr="003576BC" w:rsidRDefault="003576BC" w:rsidP="003C052B">
                <w:pPr>
                  <w:adjustRightInd w:val="0"/>
                  <w:snapToGrid w:val="0"/>
                  <w:jc w:val="center"/>
                </w:pPr>
                <w:r w:rsidRPr="003576BC">
                  <w:t>期末账面余额</w:t>
                </w:r>
              </w:p>
            </w:tc>
            <w:tc>
              <w:tcPr>
                <w:tcW w:w="2046" w:type="dxa"/>
                <w:vAlign w:val="bottom"/>
              </w:tcPr>
              <w:p w:rsidR="003576BC" w:rsidRPr="003576BC" w:rsidRDefault="003576BC" w:rsidP="003C052B">
                <w:pPr>
                  <w:adjustRightInd w:val="0"/>
                  <w:snapToGrid w:val="0"/>
                  <w:jc w:val="center"/>
                </w:pPr>
                <w:r w:rsidRPr="003576BC">
                  <w:t>期初账面余额</w:t>
                </w:r>
              </w:p>
            </w:tc>
          </w:tr>
          <w:tr w:rsidR="003576BC" w:rsidRPr="003576BC" w:rsidTr="00C84467">
            <w:trPr>
              <w:trHeight w:val="289"/>
            </w:trPr>
            <w:tc>
              <w:tcPr>
                <w:tcW w:w="5032" w:type="dxa"/>
                <w:vAlign w:val="bottom"/>
              </w:tcPr>
              <w:p w:rsidR="003576BC" w:rsidRPr="003576BC" w:rsidRDefault="003576BC" w:rsidP="00DB008B">
                <w:pPr>
                  <w:adjustRightInd w:val="0"/>
                  <w:snapToGrid w:val="0"/>
                  <w:ind w:left="221" w:hanging="221"/>
                </w:pPr>
                <w:r w:rsidRPr="003576BC">
                  <w:t>应收国铁集团及其下属单位</w:t>
                </w:r>
              </w:p>
            </w:tc>
            <w:tc>
              <w:tcPr>
                <w:tcW w:w="2046" w:type="dxa"/>
                <w:vAlign w:val="bottom"/>
              </w:tcPr>
              <w:p w:rsidR="003576BC" w:rsidRPr="003576BC" w:rsidRDefault="003576BC" w:rsidP="003C052B">
                <w:pPr>
                  <w:adjustRightInd w:val="0"/>
                  <w:snapToGrid w:val="0"/>
                  <w:ind w:right="78"/>
                  <w:jc w:val="right"/>
                </w:pPr>
                <w:r w:rsidRPr="003576BC">
                  <w:t>1,374,378,427</w:t>
                </w:r>
              </w:p>
            </w:tc>
            <w:tc>
              <w:tcPr>
                <w:tcW w:w="2046" w:type="dxa"/>
                <w:vAlign w:val="bottom"/>
              </w:tcPr>
              <w:p w:rsidR="003576BC" w:rsidRPr="003576BC" w:rsidRDefault="003576BC" w:rsidP="003C052B">
                <w:pPr>
                  <w:adjustRightInd w:val="0"/>
                  <w:snapToGrid w:val="0"/>
                  <w:ind w:right="97"/>
                  <w:jc w:val="right"/>
                </w:pPr>
                <w:r w:rsidRPr="003576BC">
                  <w:t>2,771,227,480</w:t>
                </w:r>
              </w:p>
            </w:tc>
          </w:tr>
          <w:tr w:rsidR="003576BC" w:rsidRPr="003576BC" w:rsidTr="00C84467">
            <w:trPr>
              <w:trHeight w:val="279"/>
            </w:trPr>
            <w:tc>
              <w:tcPr>
                <w:tcW w:w="5032" w:type="dxa"/>
                <w:vAlign w:val="bottom"/>
              </w:tcPr>
              <w:p w:rsidR="003576BC" w:rsidRPr="003576BC" w:rsidRDefault="003576BC" w:rsidP="00DB008B">
                <w:pPr>
                  <w:adjustRightInd w:val="0"/>
                  <w:snapToGrid w:val="0"/>
                  <w:ind w:left="221" w:hanging="221"/>
                </w:pPr>
                <w:r w:rsidRPr="003576BC">
                  <w:t>应收其他</w:t>
                </w:r>
              </w:p>
            </w:tc>
            <w:tc>
              <w:tcPr>
                <w:tcW w:w="2046" w:type="dxa"/>
                <w:vAlign w:val="bottom"/>
              </w:tcPr>
              <w:p w:rsidR="003576BC" w:rsidRPr="003576BC" w:rsidRDefault="003576BC" w:rsidP="003C052B">
                <w:pPr>
                  <w:adjustRightInd w:val="0"/>
                  <w:snapToGrid w:val="0"/>
                  <w:ind w:right="78"/>
                  <w:jc w:val="right"/>
                </w:pPr>
                <w:r w:rsidRPr="003576BC">
                  <w:t>37,176,858</w:t>
                </w:r>
              </w:p>
            </w:tc>
            <w:tc>
              <w:tcPr>
                <w:tcW w:w="2046" w:type="dxa"/>
                <w:vAlign w:val="bottom"/>
              </w:tcPr>
              <w:p w:rsidR="003576BC" w:rsidRPr="003576BC" w:rsidRDefault="003576BC" w:rsidP="003C052B">
                <w:pPr>
                  <w:adjustRightInd w:val="0"/>
                  <w:snapToGrid w:val="0"/>
                  <w:ind w:right="97"/>
                  <w:jc w:val="right"/>
                </w:pPr>
                <w:r w:rsidRPr="003576BC">
                  <w:t>28,002,543</w:t>
                </w:r>
              </w:p>
            </w:tc>
          </w:tr>
          <w:tr w:rsidR="003576BC" w:rsidRPr="003576BC" w:rsidTr="00C84467">
            <w:trPr>
              <w:trHeight w:val="289"/>
            </w:trPr>
            <w:tc>
              <w:tcPr>
                <w:tcW w:w="5032" w:type="dxa"/>
                <w:vAlign w:val="bottom"/>
              </w:tcPr>
              <w:p w:rsidR="003576BC" w:rsidRPr="003576BC" w:rsidRDefault="003576BC" w:rsidP="00DB008B">
                <w:pPr>
                  <w:adjustRightInd w:val="0"/>
                  <w:snapToGrid w:val="0"/>
                  <w:ind w:left="221" w:hanging="221"/>
                </w:pPr>
                <w:r w:rsidRPr="003576BC">
                  <w:t>减：坏账准备</w:t>
                </w:r>
              </w:p>
            </w:tc>
            <w:tc>
              <w:tcPr>
                <w:tcW w:w="2046" w:type="dxa"/>
                <w:vAlign w:val="bottom"/>
              </w:tcPr>
              <w:p w:rsidR="003576BC" w:rsidRPr="003576BC" w:rsidRDefault="003576BC" w:rsidP="003C052B">
                <w:pPr>
                  <w:adjustRightInd w:val="0"/>
                  <w:snapToGrid w:val="0"/>
                  <w:ind w:right="78"/>
                  <w:jc w:val="right"/>
                </w:pPr>
                <w:r w:rsidRPr="003576BC">
                  <w:t>688,030</w:t>
                </w:r>
              </w:p>
            </w:tc>
            <w:tc>
              <w:tcPr>
                <w:tcW w:w="2046" w:type="dxa"/>
                <w:vAlign w:val="bottom"/>
              </w:tcPr>
              <w:p w:rsidR="003576BC" w:rsidRPr="003576BC" w:rsidRDefault="003576BC" w:rsidP="003C052B">
                <w:pPr>
                  <w:adjustRightInd w:val="0"/>
                  <w:snapToGrid w:val="0"/>
                  <w:ind w:right="97"/>
                  <w:jc w:val="right"/>
                </w:pPr>
                <w:r w:rsidRPr="003576BC">
                  <w:t>720,393</w:t>
                </w:r>
              </w:p>
            </w:tc>
          </w:tr>
          <w:tr w:rsidR="003576BC" w:rsidRPr="003576BC" w:rsidTr="00C84467">
            <w:trPr>
              <w:trHeight w:val="279"/>
            </w:trPr>
            <w:tc>
              <w:tcPr>
                <w:tcW w:w="5032" w:type="dxa"/>
                <w:vAlign w:val="bottom"/>
              </w:tcPr>
              <w:p w:rsidR="003576BC" w:rsidRPr="003576BC" w:rsidRDefault="003576BC" w:rsidP="00DB008B">
                <w:pPr>
                  <w:adjustRightInd w:val="0"/>
                  <w:snapToGrid w:val="0"/>
                  <w:ind w:left="221" w:hanging="221"/>
                </w:pPr>
                <w:r w:rsidRPr="003576BC">
                  <w:t>合计</w:t>
                </w:r>
              </w:p>
            </w:tc>
            <w:tc>
              <w:tcPr>
                <w:tcW w:w="2046" w:type="dxa"/>
                <w:vAlign w:val="bottom"/>
              </w:tcPr>
              <w:p w:rsidR="003576BC" w:rsidRPr="003576BC" w:rsidRDefault="003576BC" w:rsidP="003C052B">
                <w:pPr>
                  <w:adjustRightInd w:val="0"/>
                  <w:snapToGrid w:val="0"/>
                  <w:ind w:right="78"/>
                  <w:jc w:val="right"/>
                </w:pPr>
                <w:r w:rsidRPr="003576BC">
                  <w:t>1,410,867,255</w:t>
                </w:r>
              </w:p>
            </w:tc>
            <w:tc>
              <w:tcPr>
                <w:tcW w:w="2046" w:type="dxa"/>
                <w:vAlign w:val="bottom"/>
              </w:tcPr>
              <w:p w:rsidR="003576BC" w:rsidRPr="003576BC" w:rsidRDefault="003576BC" w:rsidP="003C052B">
                <w:pPr>
                  <w:adjustRightInd w:val="0"/>
                  <w:snapToGrid w:val="0"/>
                  <w:ind w:right="97"/>
                  <w:jc w:val="right"/>
                </w:pPr>
                <w:r w:rsidRPr="003576BC">
                  <w:t>2,798,509,630</w:t>
                </w:r>
              </w:p>
            </w:tc>
          </w:tr>
        </w:tbl>
        <w:p w:rsidR="003576BC" w:rsidRPr="003576BC" w:rsidRDefault="003576BC" w:rsidP="003576BC"/>
        <w:p w:rsidR="00806678" w:rsidRDefault="00B16377" w:rsidP="00FF17C7">
          <w:pPr>
            <w:pStyle w:val="4"/>
            <w:numPr>
              <w:ilvl w:val="0"/>
              <w:numId w:val="60"/>
            </w:numPr>
          </w:pPr>
          <w:r>
            <w:rPr>
              <w:rFonts w:hint="eastAsia"/>
            </w:rPr>
            <w:t>按账龄披露</w:t>
          </w:r>
        </w:p>
        <w:sdt>
          <w:sdtPr>
            <w:rPr>
              <w:szCs w:val="21"/>
            </w:rPr>
            <w:alias w:val="是否适用：母公司其他应收款按账龄披露[双击切换]"/>
            <w:tag w:val="_GBC_5c11b96990fa439da812b87b47ed4c80"/>
            <w:id w:val="218402979"/>
            <w:lock w:val="sdtLocked"/>
            <w:placeholder>
              <w:docPart w:val="GBC22222222222222222222222222222"/>
            </w:placeholder>
          </w:sdtPr>
          <w:sdtContent>
            <w:p w:rsidR="00806678" w:rsidRDefault="00F80B6C">
              <w:pPr>
                <w:rPr>
                  <w:szCs w:val="21"/>
                </w:rPr>
              </w:pPr>
              <w:r>
                <w:rPr>
                  <w:szCs w:val="21"/>
                </w:rPr>
                <w:fldChar w:fldCharType="begin"/>
              </w:r>
              <w:r w:rsidR="009C54D9">
                <w:rPr>
                  <w:szCs w:val="21"/>
                </w:rPr>
                <w:instrText xml:space="preserve"> MACROBUTTON  SnrToggleCheckbox √适用 </w:instrText>
              </w:r>
              <w:r>
                <w:rPr>
                  <w:szCs w:val="21"/>
                </w:rPr>
                <w:fldChar w:fldCharType="end"/>
              </w:r>
              <w:r>
                <w:rPr>
                  <w:szCs w:val="21"/>
                </w:rPr>
                <w:fldChar w:fldCharType="begin"/>
              </w:r>
              <w:r w:rsidR="009C54D9">
                <w:rPr>
                  <w:szCs w:val="21"/>
                </w:rPr>
                <w:instrText xml:space="preserve"> MACROBUTTON  SnrToggleCheckbox □不适用 </w:instrText>
              </w:r>
              <w:r>
                <w:rPr>
                  <w:szCs w:val="21"/>
                </w:rPr>
                <w:fldChar w:fldCharType="end"/>
              </w:r>
            </w:p>
          </w:sdtContent>
        </w:sdt>
        <w:p w:rsidR="00806678" w:rsidRDefault="00B16377">
          <w:pPr>
            <w:jc w:val="right"/>
            <w:rPr>
              <w:szCs w:val="21"/>
            </w:rPr>
          </w:pPr>
          <w:r>
            <w:rPr>
              <w:rFonts w:hint="eastAsia"/>
              <w:szCs w:val="21"/>
            </w:rPr>
            <w:t>单位：</w:t>
          </w:r>
          <w:sdt>
            <w:sdtPr>
              <w:rPr>
                <w:rFonts w:hint="eastAsia"/>
                <w:szCs w:val="21"/>
              </w:rPr>
              <w:alias w:val="单位：母公司其他应收款按账龄披露"/>
              <w:tag w:val="_GBC_41616ef98f834aa2b100f687773d3969"/>
              <w:id w:val="183025269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母公司其他应收款按账龄披露"/>
              <w:tag w:val="_GBC_5e3917487f6647c3bad62a8fb87ea91e"/>
              <w:id w:val="95305637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63"/>
            <w:gridCol w:w="3477"/>
            <w:gridCol w:w="2009"/>
          </w:tblGrid>
          <w:tr w:rsidR="003576BC" w:rsidTr="00DB008B">
            <w:trPr>
              <w:cantSplit/>
            </w:trPr>
            <w:sdt>
              <w:sdtPr>
                <w:tag w:val="_PLD_fb6e0031222146c590a7f36a89af5d89"/>
                <w:id w:val="-1532649627"/>
                <w:lock w:val="sdtLocked"/>
              </w:sdtPr>
              <w:sdtContent>
                <w:tc>
                  <w:tcPr>
                    <w:tcW w:w="1969" w:type="pct"/>
                    <w:tcBorders>
                      <w:top w:val="single" w:sz="4" w:space="0" w:color="auto"/>
                      <w:left w:val="single" w:sz="4" w:space="0" w:color="auto"/>
                      <w:bottom w:val="single" w:sz="4" w:space="0" w:color="auto"/>
                      <w:right w:val="single" w:sz="4" w:space="0" w:color="auto"/>
                    </w:tcBorders>
                    <w:vAlign w:val="center"/>
                  </w:tcPr>
                  <w:p w:rsidR="003576BC" w:rsidRDefault="003576BC" w:rsidP="00DB008B">
                    <w:pPr>
                      <w:jc w:val="center"/>
                      <w:rPr>
                        <w:szCs w:val="21"/>
                      </w:rPr>
                    </w:pPr>
                    <w:r>
                      <w:rPr>
                        <w:rFonts w:hint="eastAsia"/>
                        <w:szCs w:val="21"/>
                      </w:rPr>
                      <w:t>账龄</w:t>
                    </w:r>
                  </w:p>
                </w:tc>
              </w:sdtContent>
            </w:sdt>
            <w:sdt>
              <w:sdtPr>
                <w:tag w:val="_PLD_b7a8f0ef2fc44826974051ac32f6569e"/>
                <w:id w:val="1350070069"/>
                <w:lock w:val="sdtLocked"/>
              </w:sdtPr>
              <w:sdtContent>
                <w:tc>
                  <w:tcPr>
                    <w:tcW w:w="1921" w:type="pct"/>
                    <w:tcBorders>
                      <w:top w:val="single" w:sz="4" w:space="0" w:color="auto"/>
                      <w:left w:val="single" w:sz="4" w:space="0" w:color="auto"/>
                      <w:bottom w:val="single" w:sz="4" w:space="0" w:color="auto"/>
                      <w:right w:val="single" w:sz="4" w:space="0" w:color="auto"/>
                    </w:tcBorders>
                    <w:vAlign w:val="center"/>
                  </w:tcPr>
                  <w:p w:rsidR="003576BC" w:rsidRDefault="003576BC" w:rsidP="00DB008B">
                    <w:pPr>
                      <w:jc w:val="center"/>
                      <w:rPr>
                        <w:szCs w:val="21"/>
                      </w:rPr>
                    </w:pPr>
                    <w:r>
                      <w:rPr>
                        <w:rFonts w:hint="eastAsia"/>
                        <w:szCs w:val="21"/>
                      </w:rPr>
                      <w:t>期末账面余额</w:t>
                    </w:r>
                  </w:p>
                </w:tc>
              </w:sdtContent>
            </w:sdt>
            <w:tc>
              <w:tcPr>
                <w:tcW w:w="1110" w:type="pct"/>
                <w:tcBorders>
                  <w:top w:val="single" w:sz="4" w:space="0" w:color="auto"/>
                  <w:left w:val="single" w:sz="4" w:space="0" w:color="auto"/>
                  <w:bottom w:val="single" w:sz="4" w:space="0" w:color="auto"/>
                  <w:right w:val="single" w:sz="4" w:space="0" w:color="auto"/>
                </w:tcBorders>
                <w:vAlign w:val="center"/>
              </w:tcPr>
              <w:p w:rsidR="003576BC" w:rsidRDefault="003576BC" w:rsidP="00DB008B">
                <w:pPr>
                  <w:jc w:val="center"/>
                  <w:rPr>
                    <w:szCs w:val="21"/>
                  </w:rPr>
                </w:pPr>
                <w:r>
                  <w:rPr>
                    <w:rFonts w:hint="eastAsia"/>
                    <w:szCs w:val="21"/>
                  </w:rPr>
                  <w:t>期初账面余额</w:t>
                </w:r>
              </w:p>
            </w:tc>
          </w:tr>
          <w:tr w:rsidR="003576BC" w:rsidTr="00DB008B">
            <w:trPr>
              <w:cantSplit/>
            </w:trPr>
            <w:sdt>
              <w:sdtPr>
                <w:tag w:val="_PLD_aa09828675c94452a03d450effabdb09"/>
                <w:id w:val="-1514149119"/>
                <w:lock w:val="sdtLocked"/>
              </w:sdtPr>
              <w:sdtContent>
                <w:tc>
                  <w:tcPr>
                    <w:tcW w:w="5000" w:type="pct"/>
                    <w:gridSpan w:val="3"/>
                    <w:tcBorders>
                      <w:top w:val="single" w:sz="4" w:space="0" w:color="auto"/>
                      <w:left w:val="single" w:sz="4" w:space="0" w:color="auto"/>
                      <w:bottom w:val="single" w:sz="4" w:space="0" w:color="auto"/>
                      <w:right w:val="single" w:sz="4" w:space="0" w:color="auto"/>
                    </w:tcBorders>
                  </w:tcPr>
                  <w:p w:rsidR="003576BC" w:rsidRDefault="003576BC" w:rsidP="00DB008B">
                    <w:pPr>
                      <w:rPr>
                        <w:color w:val="FF0000"/>
                        <w:szCs w:val="21"/>
                      </w:rPr>
                    </w:pPr>
                    <w:r>
                      <w:rPr>
                        <w:rFonts w:hint="eastAsia"/>
                        <w:szCs w:val="21"/>
                      </w:rPr>
                      <w:t>1年以内</w:t>
                    </w:r>
                  </w:p>
                </w:tc>
              </w:sdtContent>
            </w:sdt>
          </w:tr>
          <w:tr w:rsidR="003576BC" w:rsidTr="00DB008B">
            <w:trPr>
              <w:cantSplit/>
            </w:trPr>
            <w:sdt>
              <w:sdtPr>
                <w:tag w:val="_PLD_b4e83e918d2f4cbf873eb1b02624a672"/>
                <w:id w:val="-38590591"/>
                <w:lock w:val="sdtLocked"/>
              </w:sdtPr>
              <w:sdtContent>
                <w:tc>
                  <w:tcPr>
                    <w:tcW w:w="5000" w:type="pct"/>
                    <w:gridSpan w:val="3"/>
                    <w:tcBorders>
                      <w:top w:val="single" w:sz="4" w:space="0" w:color="auto"/>
                      <w:left w:val="single" w:sz="4" w:space="0" w:color="auto"/>
                      <w:bottom w:val="single" w:sz="4" w:space="0" w:color="auto"/>
                      <w:right w:val="single" w:sz="4" w:space="0" w:color="auto"/>
                    </w:tcBorders>
                  </w:tcPr>
                  <w:p w:rsidR="003576BC" w:rsidRDefault="003576BC" w:rsidP="00DB008B">
                    <w:pPr>
                      <w:rPr>
                        <w:szCs w:val="21"/>
                      </w:rPr>
                    </w:pPr>
                    <w:r>
                      <w:rPr>
                        <w:rFonts w:hint="eastAsia"/>
                        <w:szCs w:val="21"/>
                      </w:rPr>
                      <w:t>其中：1年以内分项</w:t>
                    </w:r>
                  </w:p>
                </w:tc>
              </w:sdtContent>
            </w:sdt>
          </w:tr>
          <w:sdt>
            <w:sdtPr>
              <w:rPr>
                <w:rFonts w:hint="eastAsia"/>
                <w:szCs w:val="21"/>
              </w:rPr>
              <w:alias w:val="一年以内其他应收款金额明细"/>
              <w:tag w:val="_TUP_203a5c6f6bd849ce89daa93732cb6683"/>
              <w:id w:val="1132680844"/>
              <w:lock w:val="sdtLocked"/>
            </w:sdtPr>
            <w:sdtContent>
              <w:tr w:rsidR="003576BC" w:rsidTr="00DB008B">
                <w:trPr>
                  <w:cantSplit/>
                </w:trPr>
                <w:tc>
                  <w:tcPr>
                    <w:tcW w:w="1969" w:type="pct"/>
                    <w:tcBorders>
                      <w:top w:val="single" w:sz="4" w:space="0" w:color="auto"/>
                      <w:left w:val="single" w:sz="4" w:space="0" w:color="auto"/>
                      <w:bottom w:val="single" w:sz="4" w:space="0" w:color="auto"/>
                      <w:right w:val="single" w:sz="4" w:space="0" w:color="auto"/>
                    </w:tcBorders>
                  </w:tcPr>
                  <w:p w:rsidR="003576BC" w:rsidRDefault="003576BC" w:rsidP="00DB008B">
                    <w:pPr>
                      <w:rPr>
                        <w:szCs w:val="21"/>
                      </w:rPr>
                    </w:pPr>
                    <w:r>
                      <w:rPr>
                        <w:szCs w:val="21"/>
                      </w:rPr>
                      <w:t>1</w:t>
                    </w:r>
                    <w:r>
                      <w:rPr>
                        <w:rFonts w:hint="eastAsia"/>
                        <w:szCs w:val="21"/>
                      </w:rPr>
                      <w:t>年以内</w:t>
                    </w:r>
                  </w:p>
                </w:tc>
                <w:tc>
                  <w:tcPr>
                    <w:tcW w:w="1921" w:type="pct"/>
                    <w:tcBorders>
                      <w:top w:val="single" w:sz="4" w:space="0" w:color="auto"/>
                      <w:left w:val="single" w:sz="4" w:space="0" w:color="auto"/>
                      <w:bottom w:val="single" w:sz="4" w:space="0" w:color="auto"/>
                      <w:right w:val="single" w:sz="4" w:space="0" w:color="auto"/>
                    </w:tcBorders>
                  </w:tcPr>
                  <w:p w:rsidR="003576BC" w:rsidRDefault="003576BC" w:rsidP="00DB008B">
                    <w:pPr>
                      <w:jc w:val="right"/>
                      <w:rPr>
                        <w:szCs w:val="21"/>
                      </w:rPr>
                    </w:pPr>
                    <w:r>
                      <w:t>1,408,958,392</w:t>
                    </w:r>
                  </w:p>
                </w:tc>
                <w:sdt>
                  <w:sdtPr>
                    <w:alias w:val="期初账面余额"/>
                    <w:tag w:val="_GBC_40693c5c429149bca176418acd558d57"/>
                    <w:id w:val="-696228300"/>
                    <w:lock w:val="sdtLocked"/>
                  </w:sdtPr>
                  <w:sdtContent>
                    <w:tc>
                      <w:tcPr>
                        <w:tcW w:w="1110" w:type="pct"/>
                        <w:tcBorders>
                          <w:top w:val="single" w:sz="4" w:space="0" w:color="auto"/>
                          <w:left w:val="single" w:sz="4" w:space="0" w:color="auto"/>
                          <w:bottom w:val="single" w:sz="4" w:space="0" w:color="auto"/>
                          <w:right w:val="single" w:sz="4" w:space="0" w:color="auto"/>
                        </w:tcBorders>
                      </w:tcPr>
                      <w:p w:rsidR="003576BC" w:rsidRDefault="003576BC" w:rsidP="00DB008B">
                        <w:pPr>
                          <w:jc w:val="right"/>
                          <w:rPr>
                            <w:szCs w:val="21"/>
                          </w:rPr>
                        </w:pPr>
                        <w:r>
                          <w:t>2,798,358,801</w:t>
                        </w:r>
                      </w:p>
                    </w:tc>
                  </w:sdtContent>
                </w:sdt>
              </w:tr>
            </w:sdtContent>
          </w:sdt>
          <w:tr w:rsidR="003576BC" w:rsidTr="00DB008B">
            <w:trPr>
              <w:cantSplit/>
            </w:trPr>
            <w:sdt>
              <w:sdtPr>
                <w:tag w:val="_PLD_2bd42e1725dc4d958c3d78b2ac54993c"/>
                <w:id w:val="2135447907"/>
                <w:lock w:val="sdtLocked"/>
              </w:sdtPr>
              <w:sdtContent>
                <w:tc>
                  <w:tcPr>
                    <w:tcW w:w="1969" w:type="pct"/>
                    <w:tcBorders>
                      <w:top w:val="single" w:sz="4" w:space="0" w:color="auto"/>
                      <w:left w:val="single" w:sz="4" w:space="0" w:color="auto"/>
                      <w:bottom w:val="single" w:sz="4" w:space="0" w:color="auto"/>
                      <w:right w:val="single" w:sz="4" w:space="0" w:color="auto"/>
                    </w:tcBorders>
                  </w:tcPr>
                  <w:p w:rsidR="003576BC" w:rsidRDefault="003576BC" w:rsidP="00DB008B">
                    <w:pPr>
                      <w:rPr>
                        <w:szCs w:val="21"/>
                      </w:rPr>
                    </w:pPr>
                    <w:r>
                      <w:rPr>
                        <w:rFonts w:hint="eastAsia"/>
                        <w:szCs w:val="21"/>
                      </w:rPr>
                      <w:t>1年以内小计</w:t>
                    </w:r>
                  </w:p>
                </w:tc>
              </w:sdtContent>
            </w:sdt>
            <w:tc>
              <w:tcPr>
                <w:tcW w:w="1921" w:type="pct"/>
                <w:tcBorders>
                  <w:top w:val="single" w:sz="4" w:space="0" w:color="auto"/>
                  <w:left w:val="single" w:sz="4" w:space="0" w:color="auto"/>
                  <w:bottom w:val="single" w:sz="4" w:space="0" w:color="auto"/>
                  <w:right w:val="single" w:sz="4" w:space="0" w:color="auto"/>
                </w:tcBorders>
                <w:vAlign w:val="center"/>
              </w:tcPr>
              <w:p w:rsidR="003576BC" w:rsidRDefault="003576BC" w:rsidP="00DB008B">
                <w:pPr>
                  <w:jc w:val="right"/>
                  <w:rPr>
                    <w:szCs w:val="21"/>
                  </w:rPr>
                </w:pPr>
                <w:r>
                  <w:t>1,408,958,392</w:t>
                </w:r>
              </w:p>
            </w:tc>
            <w:tc>
              <w:tcPr>
                <w:tcW w:w="1110" w:type="pct"/>
                <w:tcBorders>
                  <w:top w:val="single" w:sz="4" w:space="0" w:color="auto"/>
                  <w:left w:val="single" w:sz="4" w:space="0" w:color="auto"/>
                  <w:bottom w:val="single" w:sz="4" w:space="0" w:color="auto"/>
                  <w:right w:val="single" w:sz="4" w:space="0" w:color="auto"/>
                </w:tcBorders>
                <w:vAlign w:val="center"/>
              </w:tcPr>
              <w:p w:rsidR="003576BC" w:rsidRDefault="003576BC" w:rsidP="00DB008B">
                <w:pPr>
                  <w:jc w:val="right"/>
                  <w:rPr>
                    <w:szCs w:val="21"/>
                  </w:rPr>
                </w:pPr>
                <w:r>
                  <w:t>2,798,358,801</w:t>
                </w:r>
              </w:p>
            </w:tc>
          </w:tr>
          <w:tr w:rsidR="003576BC" w:rsidTr="00DB008B">
            <w:trPr>
              <w:cantSplit/>
            </w:trPr>
            <w:sdt>
              <w:sdtPr>
                <w:tag w:val="_PLD_b295760b85b94947a6ad5c12a8473fc6"/>
                <w:id w:val="-1970194225"/>
                <w:lock w:val="sdtLocked"/>
              </w:sdtPr>
              <w:sdtContent>
                <w:tc>
                  <w:tcPr>
                    <w:tcW w:w="1969" w:type="pct"/>
                    <w:tcBorders>
                      <w:top w:val="single" w:sz="4" w:space="0" w:color="auto"/>
                      <w:left w:val="single" w:sz="4" w:space="0" w:color="auto"/>
                      <w:bottom w:val="single" w:sz="4" w:space="0" w:color="auto"/>
                      <w:right w:val="single" w:sz="4" w:space="0" w:color="auto"/>
                    </w:tcBorders>
                  </w:tcPr>
                  <w:p w:rsidR="003576BC" w:rsidRDefault="003576BC" w:rsidP="00DB008B">
                    <w:pPr>
                      <w:rPr>
                        <w:szCs w:val="21"/>
                      </w:rPr>
                    </w:pPr>
                    <w:r>
                      <w:rPr>
                        <w:rFonts w:hint="eastAsia"/>
                        <w:szCs w:val="21"/>
                      </w:rPr>
                      <w:t>1至2年</w:t>
                    </w:r>
                  </w:p>
                </w:tc>
              </w:sdtContent>
            </w:sdt>
            <w:tc>
              <w:tcPr>
                <w:tcW w:w="1921" w:type="pct"/>
                <w:tcBorders>
                  <w:top w:val="single" w:sz="4" w:space="0" w:color="auto"/>
                  <w:left w:val="single" w:sz="4" w:space="0" w:color="auto"/>
                  <w:bottom w:val="single" w:sz="4" w:space="0" w:color="auto"/>
                  <w:right w:val="single" w:sz="4" w:space="0" w:color="auto"/>
                </w:tcBorders>
                <w:vAlign w:val="center"/>
              </w:tcPr>
              <w:p w:rsidR="003576BC" w:rsidRDefault="003576BC" w:rsidP="00DB008B">
                <w:pPr>
                  <w:jc w:val="right"/>
                  <w:rPr>
                    <w:szCs w:val="21"/>
                  </w:rPr>
                </w:pPr>
                <w:r>
                  <w:t>1,932,747</w:t>
                </w:r>
              </w:p>
            </w:tc>
            <w:tc>
              <w:tcPr>
                <w:tcW w:w="1110" w:type="pct"/>
                <w:tcBorders>
                  <w:top w:val="single" w:sz="4" w:space="0" w:color="auto"/>
                  <w:left w:val="single" w:sz="4" w:space="0" w:color="auto"/>
                  <w:bottom w:val="single" w:sz="4" w:space="0" w:color="auto"/>
                  <w:right w:val="single" w:sz="4" w:space="0" w:color="auto"/>
                </w:tcBorders>
                <w:vAlign w:val="center"/>
              </w:tcPr>
              <w:p w:rsidR="003576BC" w:rsidRDefault="003576BC" w:rsidP="00DB008B">
                <w:pPr>
                  <w:jc w:val="right"/>
                  <w:rPr>
                    <w:szCs w:val="21"/>
                  </w:rPr>
                </w:pPr>
                <w:r>
                  <w:t>204,808</w:t>
                </w:r>
              </w:p>
            </w:tc>
          </w:tr>
          <w:tr w:rsidR="003576BC" w:rsidTr="00DB008B">
            <w:trPr>
              <w:cantSplit/>
            </w:trPr>
            <w:sdt>
              <w:sdtPr>
                <w:tag w:val="_PLD_3312d6acbf264aa98fed1c58941b83ed"/>
                <w:id w:val="-1475904846"/>
                <w:lock w:val="sdtLocked"/>
              </w:sdtPr>
              <w:sdtContent>
                <w:tc>
                  <w:tcPr>
                    <w:tcW w:w="1969" w:type="pct"/>
                    <w:tcBorders>
                      <w:top w:val="single" w:sz="4" w:space="0" w:color="auto"/>
                      <w:left w:val="single" w:sz="4" w:space="0" w:color="auto"/>
                      <w:bottom w:val="single" w:sz="4" w:space="0" w:color="auto"/>
                      <w:right w:val="single" w:sz="4" w:space="0" w:color="auto"/>
                    </w:tcBorders>
                  </w:tcPr>
                  <w:p w:rsidR="003576BC" w:rsidRDefault="003576BC" w:rsidP="00DB008B">
                    <w:pPr>
                      <w:rPr>
                        <w:szCs w:val="21"/>
                      </w:rPr>
                    </w:pPr>
                    <w:r>
                      <w:rPr>
                        <w:rFonts w:hint="eastAsia"/>
                        <w:szCs w:val="21"/>
                      </w:rPr>
                      <w:t>2至3年</w:t>
                    </w:r>
                  </w:p>
                </w:tc>
              </w:sdtContent>
            </w:sdt>
            <w:tc>
              <w:tcPr>
                <w:tcW w:w="1921" w:type="pct"/>
                <w:tcBorders>
                  <w:top w:val="single" w:sz="4" w:space="0" w:color="auto"/>
                  <w:left w:val="single" w:sz="4" w:space="0" w:color="auto"/>
                  <w:bottom w:val="single" w:sz="4" w:space="0" w:color="auto"/>
                  <w:right w:val="single" w:sz="4" w:space="0" w:color="auto"/>
                </w:tcBorders>
                <w:vAlign w:val="center"/>
              </w:tcPr>
              <w:p w:rsidR="003576BC" w:rsidRDefault="003576BC" w:rsidP="00DB008B">
                <w:pPr>
                  <w:jc w:val="right"/>
                  <w:rPr>
                    <w:szCs w:val="21"/>
                  </w:rPr>
                </w:pPr>
                <w:r>
                  <w:t>0</w:t>
                </w:r>
              </w:p>
            </w:tc>
            <w:tc>
              <w:tcPr>
                <w:tcW w:w="1110" w:type="pct"/>
                <w:tcBorders>
                  <w:top w:val="single" w:sz="4" w:space="0" w:color="auto"/>
                  <w:left w:val="single" w:sz="4" w:space="0" w:color="auto"/>
                  <w:bottom w:val="single" w:sz="4" w:space="0" w:color="auto"/>
                  <w:right w:val="single" w:sz="4" w:space="0" w:color="auto"/>
                </w:tcBorders>
                <w:vAlign w:val="center"/>
              </w:tcPr>
              <w:p w:rsidR="003576BC" w:rsidRDefault="00F565AC" w:rsidP="00DB008B">
                <w:pPr>
                  <w:jc w:val="right"/>
                  <w:rPr>
                    <w:szCs w:val="21"/>
                  </w:rPr>
                </w:pPr>
                <w:r>
                  <w:rPr>
                    <w:szCs w:val="21"/>
                  </w:rPr>
                  <w:t>0</w:t>
                </w:r>
              </w:p>
            </w:tc>
          </w:tr>
          <w:tr w:rsidR="003576BC" w:rsidTr="00DB008B">
            <w:trPr>
              <w:cantSplit/>
            </w:trPr>
            <w:sdt>
              <w:sdtPr>
                <w:tag w:val="_PLD_351283d3715846b881cd8b124c458d71"/>
                <w:id w:val="1807273892"/>
                <w:lock w:val="sdtLocked"/>
              </w:sdtPr>
              <w:sdtContent>
                <w:tc>
                  <w:tcPr>
                    <w:tcW w:w="1969" w:type="pct"/>
                    <w:tcBorders>
                      <w:top w:val="single" w:sz="4" w:space="0" w:color="auto"/>
                      <w:left w:val="single" w:sz="4" w:space="0" w:color="auto"/>
                      <w:bottom w:val="single" w:sz="4" w:space="0" w:color="auto"/>
                      <w:right w:val="single" w:sz="4" w:space="0" w:color="auto"/>
                    </w:tcBorders>
                  </w:tcPr>
                  <w:p w:rsidR="003576BC" w:rsidRDefault="003576BC" w:rsidP="00DB008B">
                    <w:pPr>
                      <w:rPr>
                        <w:szCs w:val="21"/>
                      </w:rPr>
                    </w:pPr>
                    <w:r>
                      <w:rPr>
                        <w:rFonts w:hint="eastAsia"/>
                        <w:szCs w:val="21"/>
                      </w:rPr>
                      <w:t>3年以上</w:t>
                    </w:r>
                  </w:p>
                </w:tc>
              </w:sdtContent>
            </w:sdt>
            <w:tc>
              <w:tcPr>
                <w:tcW w:w="1921" w:type="pct"/>
                <w:tcBorders>
                  <w:top w:val="single" w:sz="4" w:space="0" w:color="auto"/>
                  <w:left w:val="single" w:sz="4" w:space="0" w:color="auto"/>
                  <w:bottom w:val="single" w:sz="4" w:space="0" w:color="auto"/>
                  <w:right w:val="single" w:sz="4" w:space="0" w:color="auto"/>
                </w:tcBorders>
              </w:tcPr>
              <w:p w:rsidR="003576BC" w:rsidRDefault="003576BC" w:rsidP="00DB008B">
                <w:pPr>
                  <w:jc w:val="right"/>
                  <w:rPr>
                    <w:szCs w:val="21"/>
                  </w:rPr>
                </w:pPr>
              </w:p>
            </w:tc>
            <w:tc>
              <w:tcPr>
                <w:tcW w:w="1110" w:type="pct"/>
                <w:tcBorders>
                  <w:top w:val="single" w:sz="4" w:space="0" w:color="auto"/>
                  <w:left w:val="single" w:sz="4" w:space="0" w:color="auto"/>
                  <w:bottom w:val="single" w:sz="4" w:space="0" w:color="auto"/>
                  <w:right w:val="single" w:sz="4" w:space="0" w:color="auto"/>
                </w:tcBorders>
              </w:tcPr>
              <w:p w:rsidR="003576BC" w:rsidRDefault="003576BC" w:rsidP="00DB008B">
                <w:pPr>
                  <w:jc w:val="right"/>
                  <w:rPr>
                    <w:szCs w:val="21"/>
                  </w:rPr>
                </w:pPr>
              </w:p>
            </w:tc>
          </w:tr>
          <w:tr w:rsidR="003576BC" w:rsidTr="00DB008B">
            <w:trPr>
              <w:cantSplit/>
            </w:trPr>
            <w:sdt>
              <w:sdtPr>
                <w:tag w:val="_PLD_b1c91c3990a84e939d457adc3bdb1876"/>
                <w:id w:val="676398564"/>
                <w:lock w:val="sdtLocked"/>
              </w:sdtPr>
              <w:sdtContent>
                <w:tc>
                  <w:tcPr>
                    <w:tcW w:w="1969" w:type="pct"/>
                    <w:tcBorders>
                      <w:top w:val="single" w:sz="4" w:space="0" w:color="auto"/>
                      <w:left w:val="single" w:sz="4" w:space="0" w:color="auto"/>
                      <w:bottom w:val="single" w:sz="4" w:space="0" w:color="auto"/>
                      <w:right w:val="single" w:sz="4" w:space="0" w:color="auto"/>
                    </w:tcBorders>
                  </w:tcPr>
                  <w:p w:rsidR="003576BC" w:rsidRDefault="003576BC" w:rsidP="00DB008B">
                    <w:pPr>
                      <w:rPr>
                        <w:szCs w:val="21"/>
                      </w:rPr>
                    </w:pPr>
                    <w:r>
                      <w:rPr>
                        <w:rFonts w:hint="eastAsia"/>
                        <w:szCs w:val="21"/>
                      </w:rPr>
                      <w:t>3至4年</w:t>
                    </w:r>
                  </w:p>
                </w:tc>
              </w:sdtContent>
            </w:sdt>
            <w:tc>
              <w:tcPr>
                <w:tcW w:w="1921" w:type="pct"/>
                <w:tcBorders>
                  <w:top w:val="single" w:sz="4" w:space="0" w:color="auto"/>
                  <w:left w:val="single" w:sz="4" w:space="0" w:color="auto"/>
                  <w:bottom w:val="single" w:sz="4" w:space="0" w:color="auto"/>
                  <w:right w:val="single" w:sz="4" w:space="0" w:color="auto"/>
                </w:tcBorders>
              </w:tcPr>
              <w:p w:rsidR="003576BC" w:rsidRDefault="003576BC" w:rsidP="00DB008B">
                <w:pPr>
                  <w:jc w:val="right"/>
                  <w:rPr>
                    <w:szCs w:val="21"/>
                  </w:rPr>
                </w:pPr>
                <w:r>
                  <w:rPr>
                    <w:szCs w:val="21"/>
                  </w:rPr>
                  <w:t>0</w:t>
                </w:r>
              </w:p>
            </w:tc>
            <w:tc>
              <w:tcPr>
                <w:tcW w:w="1110" w:type="pct"/>
                <w:tcBorders>
                  <w:top w:val="single" w:sz="4" w:space="0" w:color="auto"/>
                  <w:left w:val="single" w:sz="4" w:space="0" w:color="auto"/>
                  <w:bottom w:val="single" w:sz="4" w:space="0" w:color="auto"/>
                  <w:right w:val="single" w:sz="4" w:space="0" w:color="auto"/>
                </w:tcBorders>
              </w:tcPr>
              <w:p w:rsidR="003576BC" w:rsidRDefault="00F565AC" w:rsidP="00DB008B">
                <w:pPr>
                  <w:jc w:val="right"/>
                  <w:rPr>
                    <w:szCs w:val="21"/>
                  </w:rPr>
                </w:pPr>
                <w:r w:rsidRPr="00F565AC">
                  <w:rPr>
                    <w:szCs w:val="21"/>
                  </w:rPr>
                  <w:t>226,314</w:t>
                </w:r>
              </w:p>
            </w:tc>
          </w:tr>
          <w:tr w:rsidR="003576BC" w:rsidTr="00DB008B">
            <w:trPr>
              <w:cantSplit/>
            </w:trPr>
            <w:sdt>
              <w:sdtPr>
                <w:tag w:val="_PLD_9fca30ebf7624dc09019e71101e0bed5"/>
                <w:id w:val="1478650758"/>
                <w:lock w:val="sdtLocked"/>
              </w:sdtPr>
              <w:sdtContent>
                <w:tc>
                  <w:tcPr>
                    <w:tcW w:w="1969" w:type="pct"/>
                    <w:tcBorders>
                      <w:top w:val="single" w:sz="4" w:space="0" w:color="auto"/>
                      <w:left w:val="single" w:sz="4" w:space="0" w:color="auto"/>
                      <w:bottom w:val="single" w:sz="4" w:space="0" w:color="auto"/>
                      <w:right w:val="single" w:sz="4" w:space="0" w:color="auto"/>
                    </w:tcBorders>
                  </w:tcPr>
                  <w:p w:rsidR="003576BC" w:rsidRDefault="003576BC" w:rsidP="00DB008B">
                    <w:pPr>
                      <w:rPr>
                        <w:szCs w:val="21"/>
                      </w:rPr>
                    </w:pPr>
                    <w:r>
                      <w:rPr>
                        <w:rFonts w:hint="eastAsia"/>
                        <w:szCs w:val="21"/>
                      </w:rPr>
                      <w:t>4至5年</w:t>
                    </w:r>
                  </w:p>
                </w:tc>
              </w:sdtContent>
            </w:sdt>
            <w:tc>
              <w:tcPr>
                <w:tcW w:w="1921" w:type="pct"/>
                <w:tcBorders>
                  <w:top w:val="single" w:sz="4" w:space="0" w:color="auto"/>
                  <w:left w:val="single" w:sz="4" w:space="0" w:color="auto"/>
                  <w:bottom w:val="single" w:sz="4" w:space="0" w:color="auto"/>
                  <w:right w:val="single" w:sz="4" w:space="0" w:color="auto"/>
                </w:tcBorders>
                <w:vAlign w:val="center"/>
              </w:tcPr>
              <w:p w:rsidR="003576BC" w:rsidRDefault="003576BC" w:rsidP="00DB008B">
                <w:pPr>
                  <w:jc w:val="right"/>
                  <w:rPr>
                    <w:szCs w:val="21"/>
                  </w:rPr>
                </w:pPr>
                <w:r>
                  <w:t>226,314</w:t>
                </w:r>
              </w:p>
            </w:tc>
            <w:tc>
              <w:tcPr>
                <w:tcW w:w="1110" w:type="pct"/>
                <w:tcBorders>
                  <w:top w:val="single" w:sz="4" w:space="0" w:color="auto"/>
                  <w:left w:val="single" w:sz="4" w:space="0" w:color="auto"/>
                  <w:bottom w:val="single" w:sz="4" w:space="0" w:color="auto"/>
                  <w:right w:val="single" w:sz="4" w:space="0" w:color="auto"/>
                </w:tcBorders>
                <w:vAlign w:val="center"/>
              </w:tcPr>
              <w:p w:rsidR="003576BC" w:rsidRDefault="003576BC" w:rsidP="00DB008B">
                <w:pPr>
                  <w:jc w:val="right"/>
                  <w:rPr>
                    <w:szCs w:val="21"/>
                  </w:rPr>
                </w:pPr>
                <w:r>
                  <w:t>0</w:t>
                </w:r>
              </w:p>
            </w:tc>
          </w:tr>
          <w:tr w:rsidR="003576BC" w:rsidTr="00DB008B">
            <w:trPr>
              <w:cantSplit/>
            </w:trPr>
            <w:sdt>
              <w:sdtPr>
                <w:tag w:val="_PLD_89debe9f331a40d8b1cebf8df7dd2ef7"/>
                <w:id w:val="1552810906"/>
                <w:lock w:val="sdtLocked"/>
              </w:sdtPr>
              <w:sdtContent>
                <w:tc>
                  <w:tcPr>
                    <w:tcW w:w="1969" w:type="pct"/>
                    <w:tcBorders>
                      <w:top w:val="single" w:sz="4" w:space="0" w:color="auto"/>
                      <w:left w:val="single" w:sz="4" w:space="0" w:color="auto"/>
                      <w:bottom w:val="single" w:sz="4" w:space="0" w:color="auto"/>
                      <w:right w:val="single" w:sz="4" w:space="0" w:color="auto"/>
                    </w:tcBorders>
                  </w:tcPr>
                  <w:p w:rsidR="003576BC" w:rsidRDefault="003576BC" w:rsidP="00DB008B">
                    <w:pPr>
                      <w:rPr>
                        <w:szCs w:val="21"/>
                      </w:rPr>
                    </w:pPr>
                    <w:r>
                      <w:rPr>
                        <w:rFonts w:hint="eastAsia"/>
                        <w:szCs w:val="21"/>
                      </w:rPr>
                      <w:t>5年以上</w:t>
                    </w:r>
                  </w:p>
                </w:tc>
              </w:sdtContent>
            </w:sdt>
            <w:tc>
              <w:tcPr>
                <w:tcW w:w="1921" w:type="pct"/>
                <w:tcBorders>
                  <w:top w:val="single" w:sz="4" w:space="0" w:color="auto"/>
                  <w:left w:val="single" w:sz="4" w:space="0" w:color="auto"/>
                  <w:bottom w:val="single" w:sz="4" w:space="0" w:color="auto"/>
                  <w:right w:val="single" w:sz="4" w:space="0" w:color="auto"/>
                </w:tcBorders>
                <w:vAlign w:val="center"/>
              </w:tcPr>
              <w:p w:rsidR="003576BC" w:rsidRDefault="003576BC" w:rsidP="00DB008B">
                <w:pPr>
                  <w:jc w:val="right"/>
                  <w:rPr>
                    <w:szCs w:val="21"/>
                  </w:rPr>
                </w:pPr>
                <w:r>
                  <w:t>437,832</w:t>
                </w:r>
              </w:p>
            </w:tc>
            <w:tc>
              <w:tcPr>
                <w:tcW w:w="1110" w:type="pct"/>
                <w:tcBorders>
                  <w:top w:val="single" w:sz="4" w:space="0" w:color="auto"/>
                  <w:left w:val="single" w:sz="4" w:space="0" w:color="auto"/>
                  <w:bottom w:val="single" w:sz="4" w:space="0" w:color="auto"/>
                  <w:right w:val="single" w:sz="4" w:space="0" w:color="auto"/>
                </w:tcBorders>
                <w:vAlign w:val="center"/>
              </w:tcPr>
              <w:p w:rsidR="003576BC" w:rsidRDefault="003576BC" w:rsidP="00DB008B">
                <w:pPr>
                  <w:jc w:val="right"/>
                  <w:rPr>
                    <w:szCs w:val="21"/>
                  </w:rPr>
                </w:pPr>
                <w:r>
                  <w:t>440,100</w:t>
                </w:r>
              </w:p>
            </w:tc>
          </w:tr>
          <w:tr w:rsidR="003576BC" w:rsidTr="00DB008B">
            <w:trPr>
              <w:cantSplit/>
            </w:trPr>
            <w:tc>
              <w:tcPr>
                <w:tcW w:w="1969" w:type="pct"/>
                <w:tcBorders>
                  <w:top w:val="single" w:sz="4" w:space="0" w:color="auto"/>
                  <w:left w:val="single" w:sz="4" w:space="0" w:color="auto"/>
                  <w:bottom w:val="single" w:sz="4" w:space="0" w:color="auto"/>
                  <w:right w:val="single" w:sz="4" w:space="0" w:color="auto"/>
                </w:tcBorders>
              </w:tcPr>
              <w:p w:rsidR="003576BC" w:rsidRDefault="003576BC" w:rsidP="003576BC">
                <w:r>
                  <w:rPr>
                    <w:rFonts w:hint="eastAsia"/>
                  </w:rPr>
                  <w:t>减：坏账准备</w:t>
                </w:r>
              </w:p>
            </w:tc>
            <w:tc>
              <w:tcPr>
                <w:tcW w:w="1921" w:type="pct"/>
                <w:tcBorders>
                  <w:top w:val="single" w:sz="4" w:space="0" w:color="auto"/>
                  <w:left w:val="single" w:sz="4" w:space="0" w:color="auto"/>
                  <w:bottom w:val="single" w:sz="4" w:space="0" w:color="auto"/>
                  <w:right w:val="single" w:sz="4" w:space="0" w:color="auto"/>
                </w:tcBorders>
                <w:vAlign w:val="center"/>
              </w:tcPr>
              <w:p w:rsidR="003576BC" w:rsidRDefault="003576BC" w:rsidP="003576BC">
                <w:pPr>
                  <w:jc w:val="right"/>
                </w:pPr>
                <w:r>
                  <w:t>688,030</w:t>
                </w:r>
              </w:p>
            </w:tc>
            <w:tc>
              <w:tcPr>
                <w:tcW w:w="1110" w:type="pct"/>
                <w:tcBorders>
                  <w:top w:val="single" w:sz="4" w:space="0" w:color="auto"/>
                  <w:left w:val="single" w:sz="4" w:space="0" w:color="auto"/>
                  <w:bottom w:val="single" w:sz="4" w:space="0" w:color="auto"/>
                  <w:right w:val="single" w:sz="4" w:space="0" w:color="auto"/>
                </w:tcBorders>
                <w:vAlign w:val="center"/>
              </w:tcPr>
              <w:p w:rsidR="003576BC" w:rsidRDefault="003576BC" w:rsidP="003576BC">
                <w:pPr>
                  <w:jc w:val="right"/>
                </w:pPr>
                <w:r>
                  <w:t>720,393</w:t>
                </w:r>
              </w:p>
            </w:tc>
          </w:tr>
          <w:tr w:rsidR="003576BC" w:rsidTr="00DB008B">
            <w:trPr>
              <w:cantSplit/>
            </w:trPr>
            <w:sdt>
              <w:sdtPr>
                <w:tag w:val="_PLD_fd195ee4a8be4228aad7b7bd4a201d76"/>
                <w:id w:val="-1341468879"/>
                <w:lock w:val="sdtLocked"/>
              </w:sdtPr>
              <w:sdtContent>
                <w:tc>
                  <w:tcPr>
                    <w:tcW w:w="1969" w:type="pct"/>
                    <w:tcBorders>
                      <w:top w:val="single" w:sz="4" w:space="0" w:color="auto"/>
                      <w:left w:val="single" w:sz="4" w:space="0" w:color="auto"/>
                      <w:bottom w:val="single" w:sz="4" w:space="0" w:color="auto"/>
                      <w:right w:val="single" w:sz="4" w:space="0" w:color="auto"/>
                    </w:tcBorders>
                    <w:vAlign w:val="center"/>
                  </w:tcPr>
                  <w:p w:rsidR="003576BC" w:rsidRDefault="003576BC" w:rsidP="003576BC">
                    <w:pPr>
                      <w:jc w:val="center"/>
                      <w:rPr>
                        <w:szCs w:val="21"/>
                      </w:rPr>
                    </w:pPr>
                    <w:r>
                      <w:rPr>
                        <w:rFonts w:hint="eastAsia"/>
                        <w:szCs w:val="21"/>
                      </w:rPr>
                      <w:t>合计</w:t>
                    </w:r>
                  </w:p>
                </w:tc>
              </w:sdtContent>
            </w:sdt>
            <w:tc>
              <w:tcPr>
                <w:tcW w:w="1921" w:type="pct"/>
                <w:tcBorders>
                  <w:top w:val="single" w:sz="4" w:space="0" w:color="auto"/>
                  <w:left w:val="single" w:sz="4" w:space="0" w:color="auto"/>
                  <w:bottom w:val="single" w:sz="4" w:space="0" w:color="auto"/>
                  <w:right w:val="single" w:sz="4" w:space="0" w:color="auto"/>
                </w:tcBorders>
                <w:vAlign w:val="center"/>
              </w:tcPr>
              <w:p w:rsidR="003576BC" w:rsidRDefault="003576BC" w:rsidP="003576BC">
                <w:pPr>
                  <w:jc w:val="right"/>
                  <w:rPr>
                    <w:szCs w:val="21"/>
                  </w:rPr>
                </w:pPr>
                <w:r>
                  <w:t>1,410,867,255</w:t>
                </w:r>
              </w:p>
            </w:tc>
            <w:tc>
              <w:tcPr>
                <w:tcW w:w="1110" w:type="pct"/>
                <w:tcBorders>
                  <w:top w:val="single" w:sz="4" w:space="0" w:color="auto"/>
                  <w:left w:val="single" w:sz="4" w:space="0" w:color="auto"/>
                  <w:bottom w:val="single" w:sz="4" w:space="0" w:color="auto"/>
                  <w:right w:val="single" w:sz="4" w:space="0" w:color="auto"/>
                </w:tcBorders>
                <w:vAlign w:val="center"/>
              </w:tcPr>
              <w:p w:rsidR="003576BC" w:rsidRDefault="003576BC" w:rsidP="003576BC">
                <w:pPr>
                  <w:jc w:val="right"/>
                  <w:rPr>
                    <w:szCs w:val="21"/>
                  </w:rPr>
                </w:pPr>
                <w:r>
                  <w:t>2,798,509,630</w:t>
                </w:r>
              </w:p>
            </w:tc>
          </w:tr>
        </w:tbl>
        <w:p w:rsidR="00D66EFC" w:rsidRDefault="00D66EFC" w:rsidP="00D66EFC">
          <w:pPr>
            <w:overflowPunct w:val="0"/>
            <w:adjustRightInd w:val="0"/>
            <w:snapToGrid w:val="0"/>
            <w:rPr>
              <w:rFonts w:cs="Arial"/>
              <w:sz w:val="22"/>
            </w:rPr>
          </w:pPr>
          <w:r w:rsidRPr="001F185D">
            <w:rPr>
              <w:rFonts w:cs="Arial" w:hint="eastAsia"/>
              <w:sz w:val="22"/>
            </w:rPr>
            <w:t>账龄自其他应收款确认日起开始计算。</w:t>
          </w:r>
        </w:p>
        <w:p w:rsidR="00D66EFC" w:rsidRDefault="00D66EFC" w:rsidP="00D66EFC">
          <w:pPr>
            <w:overflowPunct w:val="0"/>
            <w:adjustRightInd w:val="0"/>
            <w:snapToGrid w:val="0"/>
            <w:rPr>
              <w:rFonts w:cs="Arial"/>
              <w:sz w:val="22"/>
            </w:rPr>
            <w:sectPr w:rsidR="00D66EFC" w:rsidSect="007C6651">
              <w:pgSz w:w="11906" w:h="16838"/>
              <w:pgMar w:top="1525" w:right="1276" w:bottom="1440" w:left="1797" w:header="856" w:footer="992" w:gutter="0"/>
              <w:cols w:space="425"/>
              <w:docGrid w:linePitch="312"/>
            </w:sectPr>
          </w:pPr>
        </w:p>
        <w:p w:rsidR="00806678" w:rsidRPr="00D66EFC" w:rsidRDefault="00F80B6C" w:rsidP="00D66EFC">
          <w:pPr>
            <w:overflowPunct w:val="0"/>
            <w:adjustRightInd w:val="0"/>
            <w:snapToGrid w:val="0"/>
            <w:rPr>
              <w:rFonts w:cs="Arial"/>
              <w:sz w:val="22"/>
            </w:rPr>
          </w:pPr>
        </w:p>
      </w:sdtContent>
    </w:sdt>
    <w:sdt>
      <w:sdtPr>
        <w:rPr>
          <w:rFonts w:ascii="宋体" w:eastAsia="宋体" w:hAnsi="宋体" w:cs="宋体" w:hint="eastAsia"/>
          <w:b w:val="0"/>
          <w:bCs w:val="0"/>
          <w:kern w:val="0"/>
          <w:szCs w:val="24"/>
        </w:rPr>
        <w:alias w:val="模块:按款项性质分类情况"/>
        <w:tag w:val="_SEC_71c0adb787a04266be2102ec385a07d9"/>
        <w:id w:val="799797853"/>
        <w:lock w:val="sdtLocked"/>
        <w:placeholder>
          <w:docPart w:val="GBC22222222222222222222222222222"/>
        </w:placeholder>
      </w:sdtPr>
      <w:sdtContent>
        <w:p w:rsidR="00450A99" w:rsidRPr="00450A99" w:rsidRDefault="00450A99" w:rsidP="00FF17C7">
          <w:pPr>
            <w:pStyle w:val="4"/>
            <w:numPr>
              <w:ilvl w:val="0"/>
              <w:numId w:val="60"/>
            </w:numPr>
          </w:pPr>
          <w:r>
            <w:rPr>
              <w:rFonts w:hint="eastAsia"/>
              <w:szCs w:val="21"/>
            </w:rPr>
            <w:t>按坏账准备计提方法分类披露</w:t>
          </w:r>
        </w:p>
        <w:tbl>
          <w:tblPr>
            <w:tblpPr w:leftFromText="180" w:rightFromText="180" w:vertAnchor="page" w:horzAnchor="margin" w:tblpY="2136"/>
            <w:tblW w:w="13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28" w:type="dxa"/>
            </w:tblCellMar>
            <w:tblLook w:val="04A0"/>
          </w:tblPr>
          <w:tblGrid>
            <w:gridCol w:w="2877"/>
            <w:gridCol w:w="1055"/>
            <w:gridCol w:w="1055"/>
            <w:gridCol w:w="1056"/>
            <w:gridCol w:w="1056"/>
            <w:gridCol w:w="1056"/>
            <w:gridCol w:w="1056"/>
            <w:gridCol w:w="1056"/>
            <w:gridCol w:w="1056"/>
            <w:gridCol w:w="1056"/>
            <w:gridCol w:w="1056"/>
          </w:tblGrid>
          <w:tr w:rsidR="00450A99" w:rsidRPr="00450A99" w:rsidTr="00450A99">
            <w:tc>
              <w:tcPr>
                <w:tcW w:w="2877" w:type="dxa"/>
                <w:vMerge w:val="restart"/>
                <w:vAlign w:val="center"/>
              </w:tcPr>
              <w:p w:rsidR="00450A99" w:rsidRPr="00450A99" w:rsidRDefault="00450A99" w:rsidP="00450A99">
                <w:pPr>
                  <w:snapToGrid w:val="0"/>
                  <w:jc w:val="center"/>
                </w:pPr>
                <w:r w:rsidRPr="00450A99">
                  <w:rPr>
                    <w:sz w:val="14"/>
                  </w:rPr>
                  <w:t>类别</w:t>
                </w:r>
              </w:p>
            </w:tc>
            <w:tc>
              <w:tcPr>
                <w:tcW w:w="5278" w:type="dxa"/>
                <w:gridSpan w:val="5"/>
                <w:vAlign w:val="bottom"/>
              </w:tcPr>
              <w:p w:rsidR="00450A99" w:rsidRPr="00450A99" w:rsidRDefault="00450A99" w:rsidP="00DB008B">
                <w:pPr>
                  <w:snapToGrid w:val="0"/>
                  <w:jc w:val="center"/>
                </w:pPr>
                <w:r>
                  <w:rPr>
                    <w:rFonts w:hint="eastAsia"/>
                    <w:sz w:val="14"/>
                  </w:rPr>
                  <w:t>期末余额</w:t>
                </w:r>
              </w:p>
            </w:tc>
            <w:tc>
              <w:tcPr>
                <w:tcW w:w="5280" w:type="dxa"/>
                <w:gridSpan w:val="5"/>
                <w:vAlign w:val="bottom"/>
              </w:tcPr>
              <w:p w:rsidR="00450A99" w:rsidRPr="00450A99" w:rsidRDefault="00450A99" w:rsidP="00DB008B">
                <w:pPr>
                  <w:snapToGrid w:val="0"/>
                  <w:jc w:val="center"/>
                </w:pPr>
                <w:r>
                  <w:rPr>
                    <w:rFonts w:hint="eastAsia"/>
                    <w:sz w:val="14"/>
                  </w:rPr>
                  <w:t>期初余额</w:t>
                </w:r>
              </w:p>
            </w:tc>
          </w:tr>
          <w:tr w:rsidR="009669CD" w:rsidRPr="00450A99" w:rsidTr="009669CD">
            <w:tc>
              <w:tcPr>
                <w:tcW w:w="2877" w:type="dxa"/>
                <w:vMerge/>
                <w:vAlign w:val="bottom"/>
              </w:tcPr>
              <w:p w:rsidR="009669CD" w:rsidRPr="00450A99" w:rsidRDefault="009669CD" w:rsidP="00DB008B">
                <w:pPr>
                  <w:snapToGrid w:val="0"/>
                  <w:ind w:left="142" w:hanging="142"/>
                </w:pPr>
              </w:p>
            </w:tc>
            <w:tc>
              <w:tcPr>
                <w:tcW w:w="2110" w:type="dxa"/>
                <w:gridSpan w:val="2"/>
                <w:vAlign w:val="bottom"/>
              </w:tcPr>
              <w:p w:rsidR="009669CD" w:rsidRPr="00450A99" w:rsidRDefault="009669CD" w:rsidP="00DB008B">
                <w:pPr>
                  <w:snapToGrid w:val="0"/>
                  <w:jc w:val="center"/>
                </w:pPr>
                <w:r w:rsidRPr="00450A99">
                  <w:rPr>
                    <w:sz w:val="14"/>
                  </w:rPr>
                  <w:t>账面余额</w:t>
                </w:r>
              </w:p>
            </w:tc>
            <w:tc>
              <w:tcPr>
                <w:tcW w:w="2112" w:type="dxa"/>
                <w:gridSpan w:val="2"/>
                <w:vAlign w:val="bottom"/>
              </w:tcPr>
              <w:p w:rsidR="009669CD" w:rsidRPr="00450A99" w:rsidRDefault="009669CD" w:rsidP="00DB008B">
                <w:pPr>
                  <w:snapToGrid w:val="0"/>
                  <w:jc w:val="center"/>
                </w:pPr>
                <w:r w:rsidRPr="00450A99">
                  <w:rPr>
                    <w:sz w:val="14"/>
                  </w:rPr>
                  <w:t>坏账准备</w:t>
                </w:r>
              </w:p>
            </w:tc>
            <w:tc>
              <w:tcPr>
                <w:tcW w:w="1056" w:type="dxa"/>
                <w:vMerge w:val="restart"/>
                <w:vAlign w:val="center"/>
              </w:tcPr>
              <w:p w:rsidR="009669CD" w:rsidRPr="00450A99" w:rsidRDefault="009669CD" w:rsidP="009669CD">
                <w:pPr>
                  <w:snapToGrid w:val="0"/>
                  <w:jc w:val="center"/>
                </w:pPr>
                <w:r w:rsidRPr="00450A99">
                  <w:rPr>
                    <w:sz w:val="14"/>
                  </w:rPr>
                  <w:t>账面价值 </w:t>
                </w:r>
              </w:p>
            </w:tc>
            <w:tc>
              <w:tcPr>
                <w:tcW w:w="2112" w:type="dxa"/>
                <w:gridSpan w:val="2"/>
                <w:vAlign w:val="center"/>
              </w:tcPr>
              <w:p w:rsidR="009669CD" w:rsidRPr="00450A99" w:rsidRDefault="009669CD" w:rsidP="009669CD">
                <w:pPr>
                  <w:snapToGrid w:val="0"/>
                  <w:jc w:val="center"/>
                </w:pPr>
                <w:r w:rsidRPr="00450A99">
                  <w:rPr>
                    <w:sz w:val="14"/>
                  </w:rPr>
                  <w:t>账面余额</w:t>
                </w:r>
              </w:p>
            </w:tc>
            <w:tc>
              <w:tcPr>
                <w:tcW w:w="2112" w:type="dxa"/>
                <w:gridSpan w:val="2"/>
                <w:vAlign w:val="center"/>
              </w:tcPr>
              <w:p w:rsidR="009669CD" w:rsidRPr="00450A99" w:rsidRDefault="009669CD" w:rsidP="009669CD">
                <w:pPr>
                  <w:snapToGrid w:val="0"/>
                  <w:jc w:val="center"/>
                </w:pPr>
                <w:r w:rsidRPr="00450A99">
                  <w:rPr>
                    <w:sz w:val="14"/>
                  </w:rPr>
                  <w:t>坏账准备</w:t>
                </w:r>
              </w:p>
            </w:tc>
            <w:tc>
              <w:tcPr>
                <w:tcW w:w="1056" w:type="dxa"/>
                <w:vMerge w:val="restart"/>
                <w:vAlign w:val="center"/>
              </w:tcPr>
              <w:p w:rsidR="009669CD" w:rsidRPr="00450A99" w:rsidRDefault="009669CD" w:rsidP="009669CD">
                <w:pPr>
                  <w:snapToGrid w:val="0"/>
                  <w:jc w:val="center"/>
                </w:pPr>
                <w:r w:rsidRPr="00450A99">
                  <w:rPr>
                    <w:sz w:val="14"/>
                  </w:rPr>
                  <w:t>账面价值 </w:t>
                </w:r>
              </w:p>
            </w:tc>
          </w:tr>
          <w:tr w:rsidR="009669CD" w:rsidRPr="00450A99" w:rsidTr="007B4468">
            <w:tc>
              <w:tcPr>
                <w:tcW w:w="2877" w:type="dxa"/>
                <w:vMerge/>
                <w:vAlign w:val="bottom"/>
              </w:tcPr>
              <w:p w:rsidR="009669CD" w:rsidRPr="00450A99" w:rsidRDefault="009669CD" w:rsidP="00DB008B">
                <w:pPr>
                  <w:snapToGrid w:val="0"/>
                  <w:ind w:left="142" w:hanging="142"/>
                </w:pPr>
              </w:p>
            </w:tc>
            <w:tc>
              <w:tcPr>
                <w:tcW w:w="1055" w:type="dxa"/>
                <w:vAlign w:val="bottom"/>
              </w:tcPr>
              <w:p w:rsidR="009669CD" w:rsidRPr="00450A99" w:rsidRDefault="009669CD" w:rsidP="007B4468">
                <w:pPr>
                  <w:snapToGrid w:val="0"/>
                  <w:jc w:val="center"/>
                </w:pPr>
                <w:r w:rsidRPr="00450A99">
                  <w:rPr>
                    <w:sz w:val="14"/>
                  </w:rPr>
                  <w:t>金额</w:t>
                </w:r>
              </w:p>
            </w:tc>
            <w:tc>
              <w:tcPr>
                <w:tcW w:w="1055" w:type="dxa"/>
                <w:vAlign w:val="bottom"/>
              </w:tcPr>
              <w:p w:rsidR="009669CD" w:rsidRPr="00450A99" w:rsidRDefault="009669CD" w:rsidP="007B4468">
                <w:pPr>
                  <w:snapToGrid w:val="0"/>
                  <w:jc w:val="center"/>
                </w:pPr>
                <w:r w:rsidRPr="00450A99">
                  <w:rPr>
                    <w:sz w:val="14"/>
                  </w:rPr>
                  <w:t>比例 (%)</w:t>
                </w:r>
              </w:p>
            </w:tc>
            <w:tc>
              <w:tcPr>
                <w:tcW w:w="1056" w:type="dxa"/>
                <w:vAlign w:val="bottom"/>
              </w:tcPr>
              <w:p w:rsidR="009669CD" w:rsidRPr="00450A99" w:rsidRDefault="009669CD" w:rsidP="007B4468">
                <w:pPr>
                  <w:snapToGrid w:val="0"/>
                  <w:jc w:val="center"/>
                </w:pPr>
                <w:r w:rsidRPr="00450A99">
                  <w:rPr>
                    <w:sz w:val="14"/>
                  </w:rPr>
                  <w:t>金额</w:t>
                </w:r>
              </w:p>
            </w:tc>
            <w:tc>
              <w:tcPr>
                <w:tcW w:w="1056" w:type="dxa"/>
                <w:vAlign w:val="bottom"/>
              </w:tcPr>
              <w:p w:rsidR="009669CD" w:rsidRPr="00450A99" w:rsidRDefault="009669CD" w:rsidP="00DB008B">
                <w:pPr>
                  <w:snapToGrid w:val="0"/>
                  <w:jc w:val="right"/>
                </w:pPr>
                <w:r>
                  <w:rPr>
                    <w:rFonts w:hint="eastAsia"/>
                    <w:sz w:val="14"/>
                  </w:rPr>
                  <w:t>计提</w:t>
                </w:r>
                <w:r w:rsidRPr="00450A99">
                  <w:rPr>
                    <w:sz w:val="14"/>
                  </w:rPr>
                  <w:t>比例 (%)</w:t>
                </w:r>
              </w:p>
            </w:tc>
            <w:tc>
              <w:tcPr>
                <w:tcW w:w="1056" w:type="dxa"/>
                <w:vMerge/>
                <w:vAlign w:val="bottom"/>
              </w:tcPr>
              <w:p w:rsidR="009669CD" w:rsidRPr="00450A99" w:rsidRDefault="009669CD" w:rsidP="00DB008B">
                <w:pPr>
                  <w:snapToGrid w:val="0"/>
                  <w:jc w:val="right"/>
                </w:pPr>
              </w:p>
            </w:tc>
            <w:tc>
              <w:tcPr>
                <w:tcW w:w="1056" w:type="dxa"/>
                <w:vAlign w:val="bottom"/>
              </w:tcPr>
              <w:p w:rsidR="009669CD" w:rsidRPr="00450A99" w:rsidRDefault="009669CD" w:rsidP="007B4468">
                <w:pPr>
                  <w:snapToGrid w:val="0"/>
                  <w:jc w:val="center"/>
                </w:pPr>
                <w:r w:rsidRPr="00450A99">
                  <w:rPr>
                    <w:sz w:val="14"/>
                  </w:rPr>
                  <w:t>金额</w:t>
                </w:r>
              </w:p>
            </w:tc>
            <w:tc>
              <w:tcPr>
                <w:tcW w:w="1056" w:type="dxa"/>
                <w:vAlign w:val="bottom"/>
              </w:tcPr>
              <w:p w:rsidR="009669CD" w:rsidRPr="00450A99" w:rsidRDefault="009669CD" w:rsidP="00DB008B">
                <w:pPr>
                  <w:snapToGrid w:val="0"/>
                  <w:jc w:val="right"/>
                </w:pPr>
                <w:r w:rsidRPr="00450A99">
                  <w:rPr>
                    <w:sz w:val="14"/>
                  </w:rPr>
                  <w:t>比例 (%)</w:t>
                </w:r>
              </w:p>
            </w:tc>
            <w:tc>
              <w:tcPr>
                <w:tcW w:w="1056" w:type="dxa"/>
                <w:vAlign w:val="bottom"/>
              </w:tcPr>
              <w:p w:rsidR="009669CD" w:rsidRPr="00450A99" w:rsidRDefault="009669CD" w:rsidP="007B4468">
                <w:pPr>
                  <w:snapToGrid w:val="0"/>
                  <w:jc w:val="center"/>
                </w:pPr>
                <w:r w:rsidRPr="00450A99">
                  <w:rPr>
                    <w:sz w:val="14"/>
                  </w:rPr>
                  <w:t>金额</w:t>
                </w:r>
              </w:p>
            </w:tc>
            <w:tc>
              <w:tcPr>
                <w:tcW w:w="1056" w:type="dxa"/>
                <w:vAlign w:val="bottom"/>
              </w:tcPr>
              <w:p w:rsidR="009669CD" w:rsidRPr="00450A99" w:rsidRDefault="009669CD" w:rsidP="00DB008B">
                <w:pPr>
                  <w:snapToGrid w:val="0"/>
                  <w:jc w:val="right"/>
                </w:pPr>
                <w:r>
                  <w:rPr>
                    <w:rFonts w:hint="eastAsia"/>
                    <w:sz w:val="14"/>
                  </w:rPr>
                  <w:t>计提</w:t>
                </w:r>
                <w:r w:rsidRPr="00450A99">
                  <w:rPr>
                    <w:sz w:val="14"/>
                  </w:rPr>
                  <w:t>比例 (%)</w:t>
                </w:r>
              </w:p>
            </w:tc>
            <w:tc>
              <w:tcPr>
                <w:tcW w:w="1056" w:type="dxa"/>
                <w:vMerge/>
                <w:vAlign w:val="bottom"/>
              </w:tcPr>
              <w:p w:rsidR="009669CD" w:rsidRPr="00450A99" w:rsidRDefault="009669CD" w:rsidP="00DB008B">
                <w:pPr>
                  <w:snapToGrid w:val="0"/>
                  <w:jc w:val="right"/>
                </w:pPr>
              </w:p>
            </w:tc>
          </w:tr>
          <w:tr w:rsidR="00450A99" w:rsidRPr="00450A99" w:rsidTr="00450A99">
            <w:trPr>
              <w:trHeight w:val="244"/>
            </w:trPr>
            <w:tc>
              <w:tcPr>
                <w:tcW w:w="2877" w:type="dxa"/>
                <w:vAlign w:val="bottom"/>
              </w:tcPr>
              <w:p w:rsidR="00450A99" w:rsidRPr="00450A99" w:rsidRDefault="00450A99" w:rsidP="00DB008B">
                <w:pPr>
                  <w:snapToGrid w:val="0"/>
                </w:pPr>
                <w:r w:rsidRPr="00450A99">
                  <w:rPr>
                    <w:sz w:val="14"/>
                  </w:rPr>
                  <w:t> </w:t>
                </w:r>
              </w:p>
            </w:tc>
            <w:tc>
              <w:tcPr>
                <w:tcW w:w="1055" w:type="dxa"/>
                <w:vAlign w:val="bottom"/>
              </w:tcPr>
              <w:p w:rsidR="00450A99" w:rsidRPr="00450A99" w:rsidRDefault="00450A99" w:rsidP="00DB008B">
                <w:pPr>
                  <w:snapToGrid w:val="0"/>
                  <w:jc w:val="right"/>
                </w:pPr>
                <w:r w:rsidRPr="00450A99">
                  <w:rPr>
                    <w:sz w:val="14"/>
                  </w:rPr>
                  <w:t> </w:t>
                </w:r>
              </w:p>
            </w:tc>
            <w:tc>
              <w:tcPr>
                <w:tcW w:w="1055" w:type="dxa"/>
                <w:vAlign w:val="bottom"/>
              </w:tcPr>
              <w:p w:rsidR="00450A99" w:rsidRPr="00450A99" w:rsidRDefault="00450A99" w:rsidP="00DB008B">
                <w:pPr>
                  <w:snapToGrid w:val="0"/>
                  <w:jc w:val="right"/>
                </w:pPr>
                <w:r w:rsidRPr="00450A99">
                  <w:rPr>
                    <w:sz w:val="14"/>
                  </w:rPr>
                  <w:t> </w:t>
                </w:r>
              </w:p>
            </w:tc>
            <w:tc>
              <w:tcPr>
                <w:tcW w:w="1056" w:type="dxa"/>
                <w:vAlign w:val="bottom"/>
              </w:tcPr>
              <w:p w:rsidR="00450A99" w:rsidRPr="00450A99" w:rsidRDefault="00450A99" w:rsidP="00DB008B">
                <w:pPr>
                  <w:snapToGrid w:val="0"/>
                  <w:jc w:val="right"/>
                </w:pPr>
                <w:r w:rsidRPr="00450A99">
                  <w:rPr>
                    <w:sz w:val="14"/>
                  </w:rPr>
                  <w:t> </w:t>
                </w:r>
              </w:p>
            </w:tc>
            <w:tc>
              <w:tcPr>
                <w:tcW w:w="1056" w:type="dxa"/>
                <w:vAlign w:val="bottom"/>
              </w:tcPr>
              <w:p w:rsidR="00450A99" w:rsidRPr="00450A99" w:rsidRDefault="00450A99" w:rsidP="00DB008B">
                <w:pPr>
                  <w:snapToGrid w:val="0"/>
                  <w:jc w:val="right"/>
                </w:pPr>
                <w:r w:rsidRPr="00450A99">
                  <w:rPr>
                    <w:sz w:val="14"/>
                  </w:rPr>
                  <w:t> </w:t>
                </w:r>
              </w:p>
            </w:tc>
            <w:tc>
              <w:tcPr>
                <w:tcW w:w="1056" w:type="dxa"/>
                <w:vAlign w:val="bottom"/>
              </w:tcPr>
              <w:p w:rsidR="00450A99" w:rsidRPr="00450A99" w:rsidRDefault="00450A99" w:rsidP="00DB008B">
                <w:pPr>
                  <w:snapToGrid w:val="0"/>
                  <w:jc w:val="right"/>
                </w:pPr>
                <w:r w:rsidRPr="00450A99">
                  <w:rPr>
                    <w:sz w:val="14"/>
                  </w:rPr>
                  <w:t> </w:t>
                </w:r>
              </w:p>
            </w:tc>
            <w:tc>
              <w:tcPr>
                <w:tcW w:w="1056" w:type="dxa"/>
                <w:vAlign w:val="bottom"/>
              </w:tcPr>
              <w:p w:rsidR="00450A99" w:rsidRPr="00450A99" w:rsidRDefault="00450A99" w:rsidP="00DB008B">
                <w:pPr>
                  <w:snapToGrid w:val="0"/>
                  <w:jc w:val="right"/>
                </w:pPr>
                <w:r w:rsidRPr="00450A99">
                  <w:rPr>
                    <w:sz w:val="14"/>
                  </w:rPr>
                  <w:t> </w:t>
                </w:r>
              </w:p>
            </w:tc>
            <w:tc>
              <w:tcPr>
                <w:tcW w:w="1056" w:type="dxa"/>
                <w:vAlign w:val="bottom"/>
              </w:tcPr>
              <w:p w:rsidR="00450A99" w:rsidRPr="00450A99" w:rsidRDefault="00450A99" w:rsidP="00DB008B">
                <w:pPr>
                  <w:snapToGrid w:val="0"/>
                  <w:jc w:val="right"/>
                </w:pPr>
                <w:r w:rsidRPr="00450A99">
                  <w:rPr>
                    <w:sz w:val="14"/>
                  </w:rPr>
                  <w:t> </w:t>
                </w:r>
              </w:p>
            </w:tc>
            <w:tc>
              <w:tcPr>
                <w:tcW w:w="1056" w:type="dxa"/>
                <w:vAlign w:val="bottom"/>
              </w:tcPr>
              <w:p w:rsidR="00450A99" w:rsidRPr="00450A99" w:rsidRDefault="00450A99" w:rsidP="00DB008B">
                <w:pPr>
                  <w:snapToGrid w:val="0"/>
                  <w:jc w:val="right"/>
                </w:pPr>
                <w:r w:rsidRPr="00450A99">
                  <w:rPr>
                    <w:sz w:val="14"/>
                  </w:rPr>
                  <w:t> </w:t>
                </w:r>
              </w:p>
            </w:tc>
            <w:tc>
              <w:tcPr>
                <w:tcW w:w="1056" w:type="dxa"/>
                <w:vAlign w:val="bottom"/>
              </w:tcPr>
              <w:p w:rsidR="00450A99" w:rsidRPr="00450A99" w:rsidRDefault="00450A99" w:rsidP="00DB008B">
                <w:pPr>
                  <w:snapToGrid w:val="0"/>
                  <w:jc w:val="right"/>
                </w:pPr>
                <w:r w:rsidRPr="00450A99">
                  <w:rPr>
                    <w:sz w:val="14"/>
                  </w:rPr>
                  <w:t> </w:t>
                </w:r>
              </w:p>
            </w:tc>
            <w:tc>
              <w:tcPr>
                <w:tcW w:w="1056" w:type="dxa"/>
                <w:vAlign w:val="bottom"/>
              </w:tcPr>
              <w:p w:rsidR="00450A99" w:rsidRPr="00450A99" w:rsidRDefault="00450A99" w:rsidP="00DB008B">
                <w:pPr>
                  <w:snapToGrid w:val="0"/>
                  <w:jc w:val="right"/>
                </w:pPr>
                <w:r w:rsidRPr="00450A99">
                  <w:rPr>
                    <w:sz w:val="14"/>
                  </w:rPr>
                  <w:t> </w:t>
                </w:r>
              </w:p>
            </w:tc>
          </w:tr>
          <w:tr w:rsidR="00450A99" w:rsidRPr="00450A99" w:rsidTr="00450A99">
            <w:tc>
              <w:tcPr>
                <w:tcW w:w="2877" w:type="dxa"/>
                <w:vAlign w:val="bottom"/>
              </w:tcPr>
              <w:p w:rsidR="00450A99" w:rsidRPr="00450A99" w:rsidRDefault="00450A99" w:rsidP="00DB008B">
                <w:pPr>
                  <w:snapToGrid w:val="0"/>
                  <w:ind w:left="142" w:hanging="142"/>
                </w:pPr>
                <w:r w:rsidRPr="00450A99">
                  <w:rPr>
                    <w:sz w:val="14"/>
                  </w:rPr>
                  <w:t>按单项计提坏账准备</w:t>
                </w:r>
              </w:p>
            </w:tc>
            <w:tc>
              <w:tcPr>
                <w:tcW w:w="1055" w:type="dxa"/>
                <w:vAlign w:val="bottom"/>
              </w:tcPr>
              <w:p w:rsidR="00450A99" w:rsidRPr="00450A99" w:rsidRDefault="00450A99" w:rsidP="00DB008B">
                <w:pPr>
                  <w:snapToGrid w:val="0"/>
                  <w:jc w:val="right"/>
                </w:pPr>
                <w:r w:rsidRPr="00450A99">
                  <w:rPr>
                    <w:sz w:val="14"/>
                  </w:rPr>
                  <w:t>226,314</w:t>
                </w:r>
              </w:p>
            </w:tc>
            <w:tc>
              <w:tcPr>
                <w:tcW w:w="1055" w:type="dxa"/>
                <w:vAlign w:val="bottom"/>
              </w:tcPr>
              <w:p w:rsidR="00450A99" w:rsidRPr="00450A99" w:rsidRDefault="00450A99" w:rsidP="00DB008B">
                <w:pPr>
                  <w:snapToGrid w:val="0"/>
                  <w:jc w:val="right"/>
                </w:pPr>
                <w:r>
                  <w:rPr>
                    <w:sz w:val="14"/>
                  </w:rPr>
                  <w:t>0</w:t>
                </w:r>
              </w:p>
            </w:tc>
            <w:tc>
              <w:tcPr>
                <w:tcW w:w="1056" w:type="dxa"/>
                <w:vAlign w:val="bottom"/>
              </w:tcPr>
              <w:p w:rsidR="00450A99" w:rsidRPr="00450A99" w:rsidRDefault="00450A99" w:rsidP="00DB008B">
                <w:pPr>
                  <w:snapToGrid w:val="0"/>
                  <w:jc w:val="right"/>
                </w:pPr>
                <w:r w:rsidRPr="00450A99">
                  <w:rPr>
                    <w:sz w:val="14"/>
                  </w:rPr>
                  <w:t>226,314</w:t>
                </w:r>
              </w:p>
            </w:tc>
            <w:tc>
              <w:tcPr>
                <w:tcW w:w="1056" w:type="dxa"/>
                <w:vAlign w:val="bottom"/>
              </w:tcPr>
              <w:p w:rsidR="00450A99" w:rsidRPr="00450A99" w:rsidRDefault="00450A99" w:rsidP="00DB008B">
                <w:pPr>
                  <w:snapToGrid w:val="0"/>
                  <w:jc w:val="right"/>
                </w:pPr>
                <w:r w:rsidRPr="00450A99">
                  <w:rPr>
                    <w:sz w:val="14"/>
                  </w:rPr>
                  <w:t>100</w:t>
                </w:r>
              </w:p>
            </w:tc>
            <w:tc>
              <w:tcPr>
                <w:tcW w:w="1056" w:type="dxa"/>
                <w:vAlign w:val="bottom"/>
              </w:tcPr>
              <w:p w:rsidR="00450A99" w:rsidRPr="00450A99" w:rsidRDefault="00450A99" w:rsidP="00DB008B">
                <w:pPr>
                  <w:snapToGrid w:val="0"/>
                  <w:jc w:val="right"/>
                </w:pPr>
                <w:r>
                  <w:rPr>
                    <w:sz w:val="14"/>
                  </w:rPr>
                  <w:t>0</w:t>
                </w:r>
              </w:p>
            </w:tc>
            <w:tc>
              <w:tcPr>
                <w:tcW w:w="1056" w:type="dxa"/>
                <w:vAlign w:val="bottom"/>
              </w:tcPr>
              <w:p w:rsidR="00450A99" w:rsidRPr="00450A99" w:rsidRDefault="00450A99" w:rsidP="00DB008B">
                <w:pPr>
                  <w:snapToGrid w:val="0"/>
                  <w:jc w:val="right"/>
                </w:pPr>
                <w:r w:rsidRPr="00450A99">
                  <w:rPr>
                    <w:sz w:val="14"/>
                  </w:rPr>
                  <w:t>226,314</w:t>
                </w:r>
              </w:p>
            </w:tc>
            <w:tc>
              <w:tcPr>
                <w:tcW w:w="1056" w:type="dxa"/>
                <w:vAlign w:val="bottom"/>
              </w:tcPr>
              <w:p w:rsidR="00450A99" w:rsidRPr="00450A99" w:rsidRDefault="00450A99" w:rsidP="00DB008B">
                <w:pPr>
                  <w:snapToGrid w:val="0"/>
                  <w:jc w:val="right"/>
                </w:pPr>
                <w:r>
                  <w:rPr>
                    <w:sz w:val="14"/>
                  </w:rPr>
                  <w:t>0</w:t>
                </w:r>
              </w:p>
            </w:tc>
            <w:tc>
              <w:tcPr>
                <w:tcW w:w="1056" w:type="dxa"/>
                <w:vAlign w:val="bottom"/>
              </w:tcPr>
              <w:p w:rsidR="00450A99" w:rsidRPr="00450A99" w:rsidRDefault="00450A99" w:rsidP="00DB008B">
                <w:pPr>
                  <w:snapToGrid w:val="0"/>
                  <w:jc w:val="right"/>
                </w:pPr>
                <w:r w:rsidRPr="00450A99">
                  <w:rPr>
                    <w:sz w:val="14"/>
                  </w:rPr>
                  <w:t>226,314</w:t>
                </w:r>
              </w:p>
            </w:tc>
            <w:tc>
              <w:tcPr>
                <w:tcW w:w="1056" w:type="dxa"/>
                <w:vAlign w:val="bottom"/>
              </w:tcPr>
              <w:p w:rsidR="00450A99" w:rsidRPr="00450A99" w:rsidRDefault="00450A99" w:rsidP="00DB008B">
                <w:pPr>
                  <w:snapToGrid w:val="0"/>
                  <w:jc w:val="right"/>
                </w:pPr>
                <w:r w:rsidRPr="00450A99">
                  <w:rPr>
                    <w:sz w:val="14"/>
                  </w:rPr>
                  <w:t>100</w:t>
                </w:r>
              </w:p>
            </w:tc>
            <w:tc>
              <w:tcPr>
                <w:tcW w:w="1056" w:type="dxa"/>
                <w:vAlign w:val="bottom"/>
              </w:tcPr>
              <w:p w:rsidR="00450A99" w:rsidRPr="00450A99" w:rsidRDefault="00450A99" w:rsidP="00DB008B">
                <w:pPr>
                  <w:snapToGrid w:val="0"/>
                  <w:jc w:val="right"/>
                </w:pPr>
                <w:r>
                  <w:rPr>
                    <w:sz w:val="14"/>
                  </w:rPr>
                  <w:t>0</w:t>
                </w:r>
              </w:p>
            </w:tc>
          </w:tr>
          <w:tr w:rsidR="00450A99" w:rsidRPr="00450A99" w:rsidTr="00450A99">
            <w:tc>
              <w:tcPr>
                <w:tcW w:w="2877" w:type="dxa"/>
                <w:vAlign w:val="bottom"/>
              </w:tcPr>
              <w:p w:rsidR="00450A99" w:rsidRPr="00450A99" w:rsidRDefault="00450A99" w:rsidP="00DB008B">
                <w:pPr>
                  <w:snapToGrid w:val="0"/>
                  <w:ind w:left="142" w:hanging="142"/>
                </w:pPr>
                <w:r w:rsidRPr="00450A99">
                  <w:rPr>
                    <w:sz w:val="14"/>
                  </w:rPr>
                  <w:t>按组合计提坏账准备</w:t>
                </w:r>
              </w:p>
            </w:tc>
            <w:tc>
              <w:tcPr>
                <w:tcW w:w="1055" w:type="dxa"/>
                <w:vAlign w:val="bottom"/>
              </w:tcPr>
              <w:p w:rsidR="00450A99" w:rsidRPr="00450A99" w:rsidRDefault="00450A99" w:rsidP="00DB008B">
                <w:pPr>
                  <w:snapToGrid w:val="0"/>
                  <w:jc w:val="right"/>
                </w:pPr>
                <w:r w:rsidRPr="00450A99">
                  <w:rPr>
                    <w:sz w:val="14"/>
                  </w:rPr>
                  <w:t>1,411,328,971</w:t>
                </w:r>
              </w:p>
            </w:tc>
            <w:tc>
              <w:tcPr>
                <w:tcW w:w="1055" w:type="dxa"/>
                <w:vAlign w:val="bottom"/>
              </w:tcPr>
              <w:p w:rsidR="00450A99" w:rsidRPr="00450A99" w:rsidRDefault="00450A99" w:rsidP="00DB008B">
                <w:pPr>
                  <w:snapToGrid w:val="0"/>
                  <w:jc w:val="right"/>
                </w:pPr>
                <w:r w:rsidRPr="00450A99">
                  <w:rPr>
                    <w:sz w:val="14"/>
                  </w:rPr>
                  <w:t>100</w:t>
                </w:r>
              </w:p>
            </w:tc>
            <w:tc>
              <w:tcPr>
                <w:tcW w:w="1056" w:type="dxa"/>
                <w:vAlign w:val="bottom"/>
              </w:tcPr>
              <w:p w:rsidR="00450A99" w:rsidRPr="00450A99" w:rsidRDefault="00450A99" w:rsidP="00DB008B">
                <w:pPr>
                  <w:snapToGrid w:val="0"/>
                  <w:jc w:val="right"/>
                </w:pPr>
                <w:r w:rsidRPr="00450A99">
                  <w:rPr>
                    <w:sz w:val="14"/>
                  </w:rPr>
                  <w:t>461,716</w:t>
                </w:r>
              </w:p>
            </w:tc>
            <w:tc>
              <w:tcPr>
                <w:tcW w:w="1056" w:type="dxa"/>
                <w:vAlign w:val="bottom"/>
              </w:tcPr>
              <w:p w:rsidR="00450A99" w:rsidRPr="00450A99" w:rsidRDefault="00450A99" w:rsidP="00DB008B">
                <w:pPr>
                  <w:snapToGrid w:val="0"/>
                  <w:jc w:val="right"/>
                </w:pPr>
                <w:r w:rsidRPr="00450A99">
                  <w:rPr>
                    <w:sz w:val="14"/>
                  </w:rPr>
                  <w:t>0.03</w:t>
                </w:r>
              </w:p>
            </w:tc>
            <w:tc>
              <w:tcPr>
                <w:tcW w:w="1056" w:type="dxa"/>
                <w:vAlign w:val="bottom"/>
              </w:tcPr>
              <w:p w:rsidR="00450A99" w:rsidRPr="00450A99" w:rsidRDefault="00450A99" w:rsidP="00DB008B">
                <w:pPr>
                  <w:snapToGrid w:val="0"/>
                  <w:jc w:val="right"/>
                </w:pPr>
                <w:r w:rsidRPr="00450A99">
                  <w:rPr>
                    <w:sz w:val="14"/>
                  </w:rPr>
                  <w:t>1,410,867,255</w:t>
                </w:r>
              </w:p>
            </w:tc>
            <w:tc>
              <w:tcPr>
                <w:tcW w:w="1056" w:type="dxa"/>
                <w:vAlign w:val="bottom"/>
              </w:tcPr>
              <w:p w:rsidR="00450A99" w:rsidRPr="00450A99" w:rsidRDefault="00450A99" w:rsidP="00DB008B">
                <w:pPr>
                  <w:snapToGrid w:val="0"/>
                  <w:jc w:val="right"/>
                </w:pPr>
                <w:r w:rsidRPr="00450A99">
                  <w:rPr>
                    <w:sz w:val="14"/>
                  </w:rPr>
                  <w:t>2,799,003,709</w:t>
                </w:r>
              </w:p>
            </w:tc>
            <w:tc>
              <w:tcPr>
                <w:tcW w:w="1056" w:type="dxa"/>
                <w:vAlign w:val="bottom"/>
              </w:tcPr>
              <w:p w:rsidR="00450A99" w:rsidRPr="00450A99" w:rsidRDefault="00450A99" w:rsidP="00DB008B">
                <w:pPr>
                  <w:snapToGrid w:val="0"/>
                  <w:jc w:val="right"/>
                </w:pPr>
                <w:r w:rsidRPr="00450A99">
                  <w:rPr>
                    <w:sz w:val="14"/>
                  </w:rPr>
                  <w:t>100</w:t>
                </w:r>
              </w:p>
            </w:tc>
            <w:tc>
              <w:tcPr>
                <w:tcW w:w="1056" w:type="dxa"/>
                <w:vAlign w:val="bottom"/>
              </w:tcPr>
              <w:p w:rsidR="00450A99" w:rsidRPr="00450A99" w:rsidRDefault="00450A99" w:rsidP="00DB008B">
                <w:pPr>
                  <w:snapToGrid w:val="0"/>
                  <w:jc w:val="right"/>
                </w:pPr>
                <w:r w:rsidRPr="00450A99">
                  <w:rPr>
                    <w:sz w:val="14"/>
                  </w:rPr>
                  <w:t>494,079</w:t>
                </w:r>
              </w:p>
            </w:tc>
            <w:tc>
              <w:tcPr>
                <w:tcW w:w="1056" w:type="dxa"/>
                <w:vAlign w:val="bottom"/>
              </w:tcPr>
              <w:p w:rsidR="00450A99" w:rsidRPr="00450A99" w:rsidRDefault="00450A99" w:rsidP="00DB008B">
                <w:pPr>
                  <w:snapToGrid w:val="0"/>
                  <w:jc w:val="right"/>
                </w:pPr>
                <w:r>
                  <w:rPr>
                    <w:sz w:val="14"/>
                  </w:rPr>
                  <w:t>0</w:t>
                </w:r>
              </w:p>
            </w:tc>
            <w:tc>
              <w:tcPr>
                <w:tcW w:w="1056" w:type="dxa"/>
                <w:vAlign w:val="bottom"/>
              </w:tcPr>
              <w:p w:rsidR="00450A99" w:rsidRPr="00450A99" w:rsidRDefault="00450A99" w:rsidP="00DB008B">
                <w:pPr>
                  <w:snapToGrid w:val="0"/>
                  <w:jc w:val="right"/>
                </w:pPr>
                <w:r w:rsidRPr="00450A99">
                  <w:rPr>
                    <w:sz w:val="14"/>
                  </w:rPr>
                  <w:t>2,798,509,630</w:t>
                </w:r>
              </w:p>
            </w:tc>
          </w:tr>
          <w:tr w:rsidR="007B4468" w:rsidRPr="00450A99" w:rsidTr="00450A99">
            <w:tc>
              <w:tcPr>
                <w:tcW w:w="2877" w:type="dxa"/>
                <w:vAlign w:val="bottom"/>
              </w:tcPr>
              <w:p w:rsidR="007B4468" w:rsidRPr="00450A99" w:rsidRDefault="007B4468" w:rsidP="00DB008B">
                <w:pPr>
                  <w:snapToGrid w:val="0"/>
                  <w:ind w:left="142" w:hanging="142"/>
                  <w:rPr>
                    <w:sz w:val="14"/>
                  </w:rPr>
                </w:pPr>
                <w:r>
                  <w:rPr>
                    <w:rFonts w:hint="eastAsia"/>
                    <w:sz w:val="14"/>
                  </w:rPr>
                  <w:t>其中</w:t>
                </w:r>
              </w:p>
            </w:tc>
            <w:tc>
              <w:tcPr>
                <w:tcW w:w="1055" w:type="dxa"/>
                <w:vAlign w:val="bottom"/>
              </w:tcPr>
              <w:p w:rsidR="007B4468" w:rsidRPr="00450A99" w:rsidRDefault="007B4468" w:rsidP="00DB008B">
                <w:pPr>
                  <w:snapToGrid w:val="0"/>
                  <w:jc w:val="right"/>
                  <w:rPr>
                    <w:sz w:val="14"/>
                  </w:rPr>
                </w:pPr>
              </w:p>
            </w:tc>
            <w:tc>
              <w:tcPr>
                <w:tcW w:w="1055" w:type="dxa"/>
                <w:vAlign w:val="bottom"/>
              </w:tcPr>
              <w:p w:rsidR="007B4468" w:rsidRPr="00450A99" w:rsidRDefault="007B4468" w:rsidP="00DB008B">
                <w:pPr>
                  <w:snapToGrid w:val="0"/>
                  <w:jc w:val="right"/>
                  <w:rPr>
                    <w:sz w:val="14"/>
                  </w:rPr>
                </w:pPr>
              </w:p>
            </w:tc>
            <w:tc>
              <w:tcPr>
                <w:tcW w:w="1056" w:type="dxa"/>
                <w:vAlign w:val="bottom"/>
              </w:tcPr>
              <w:p w:rsidR="007B4468" w:rsidRPr="00450A99" w:rsidRDefault="007B4468" w:rsidP="00DB008B">
                <w:pPr>
                  <w:snapToGrid w:val="0"/>
                  <w:jc w:val="right"/>
                  <w:rPr>
                    <w:sz w:val="14"/>
                  </w:rPr>
                </w:pPr>
              </w:p>
            </w:tc>
            <w:tc>
              <w:tcPr>
                <w:tcW w:w="1056" w:type="dxa"/>
                <w:vAlign w:val="bottom"/>
              </w:tcPr>
              <w:p w:rsidR="007B4468" w:rsidRPr="00450A99" w:rsidRDefault="007B4468" w:rsidP="00DB008B">
                <w:pPr>
                  <w:snapToGrid w:val="0"/>
                  <w:jc w:val="right"/>
                  <w:rPr>
                    <w:sz w:val="14"/>
                  </w:rPr>
                </w:pPr>
              </w:p>
            </w:tc>
            <w:tc>
              <w:tcPr>
                <w:tcW w:w="1056" w:type="dxa"/>
                <w:vAlign w:val="bottom"/>
              </w:tcPr>
              <w:p w:rsidR="007B4468" w:rsidRPr="00450A99" w:rsidRDefault="007B4468" w:rsidP="00DB008B">
                <w:pPr>
                  <w:snapToGrid w:val="0"/>
                  <w:jc w:val="right"/>
                  <w:rPr>
                    <w:sz w:val="14"/>
                  </w:rPr>
                </w:pPr>
              </w:p>
            </w:tc>
            <w:tc>
              <w:tcPr>
                <w:tcW w:w="1056" w:type="dxa"/>
                <w:vAlign w:val="bottom"/>
              </w:tcPr>
              <w:p w:rsidR="007B4468" w:rsidRPr="00450A99" w:rsidRDefault="007B4468" w:rsidP="00DB008B">
                <w:pPr>
                  <w:snapToGrid w:val="0"/>
                  <w:jc w:val="right"/>
                  <w:rPr>
                    <w:sz w:val="14"/>
                  </w:rPr>
                </w:pPr>
              </w:p>
            </w:tc>
            <w:tc>
              <w:tcPr>
                <w:tcW w:w="1056" w:type="dxa"/>
                <w:vAlign w:val="bottom"/>
              </w:tcPr>
              <w:p w:rsidR="007B4468" w:rsidRPr="00450A99" w:rsidRDefault="007B4468" w:rsidP="00DB008B">
                <w:pPr>
                  <w:snapToGrid w:val="0"/>
                  <w:jc w:val="right"/>
                  <w:rPr>
                    <w:sz w:val="14"/>
                  </w:rPr>
                </w:pPr>
              </w:p>
            </w:tc>
            <w:tc>
              <w:tcPr>
                <w:tcW w:w="1056" w:type="dxa"/>
                <w:vAlign w:val="bottom"/>
              </w:tcPr>
              <w:p w:rsidR="007B4468" w:rsidRPr="00450A99" w:rsidRDefault="007B4468" w:rsidP="00DB008B">
                <w:pPr>
                  <w:snapToGrid w:val="0"/>
                  <w:jc w:val="right"/>
                  <w:rPr>
                    <w:sz w:val="14"/>
                  </w:rPr>
                </w:pPr>
              </w:p>
            </w:tc>
            <w:tc>
              <w:tcPr>
                <w:tcW w:w="1056" w:type="dxa"/>
                <w:vAlign w:val="bottom"/>
              </w:tcPr>
              <w:p w:rsidR="007B4468" w:rsidRDefault="007B4468" w:rsidP="00DB008B">
                <w:pPr>
                  <w:snapToGrid w:val="0"/>
                  <w:jc w:val="right"/>
                  <w:rPr>
                    <w:sz w:val="14"/>
                  </w:rPr>
                </w:pPr>
              </w:p>
            </w:tc>
            <w:tc>
              <w:tcPr>
                <w:tcW w:w="1056" w:type="dxa"/>
                <w:vAlign w:val="bottom"/>
              </w:tcPr>
              <w:p w:rsidR="007B4468" w:rsidRPr="00450A99" w:rsidRDefault="007B4468" w:rsidP="00DB008B">
                <w:pPr>
                  <w:snapToGrid w:val="0"/>
                  <w:jc w:val="right"/>
                  <w:rPr>
                    <w:sz w:val="14"/>
                  </w:rPr>
                </w:pPr>
              </w:p>
            </w:tc>
          </w:tr>
          <w:tr w:rsidR="00450A99" w:rsidRPr="00450A99" w:rsidTr="00450A99">
            <w:tc>
              <w:tcPr>
                <w:tcW w:w="2877" w:type="dxa"/>
                <w:vAlign w:val="bottom"/>
              </w:tcPr>
              <w:p w:rsidR="00450A99" w:rsidRPr="00450A99" w:rsidRDefault="00450A99" w:rsidP="00DB008B">
                <w:pPr>
                  <w:snapToGrid w:val="0"/>
                  <w:ind w:left="283" w:hanging="142"/>
                </w:pPr>
                <w:r w:rsidRPr="00450A99">
                  <w:rPr>
                    <w:sz w:val="14"/>
                  </w:rPr>
                  <w:t>- 组合</w:t>
                </w:r>
                <w:r>
                  <w:rPr>
                    <w:rFonts w:hint="eastAsia"/>
                    <w:sz w:val="14"/>
                  </w:rPr>
                  <w:t>一</w:t>
                </w:r>
              </w:p>
            </w:tc>
            <w:tc>
              <w:tcPr>
                <w:tcW w:w="1055" w:type="dxa"/>
                <w:vAlign w:val="bottom"/>
              </w:tcPr>
              <w:p w:rsidR="00450A99" w:rsidRPr="00450A99" w:rsidRDefault="00450A99" w:rsidP="00DB008B">
                <w:pPr>
                  <w:snapToGrid w:val="0"/>
                  <w:jc w:val="right"/>
                </w:pPr>
                <w:r w:rsidRPr="00450A99">
                  <w:rPr>
                    <w:sz w:val="14"/>
                  </w:rPr>
                  <w:t>1,374,378,427</w:t>
                </w:r>
              </w:p>
            </w:tc>
            <w:tc>
              <w:tcPr>
                <w:tcW w:w="1055" w:type="dxa"/>
                <w:vAlign w:val="bottom"/>
              </w:tcPr>
              <w:p w:rsidR="00450A99" w:rsidRPr="00450A99" w:rsidRDefault="00450A99" w:rsidP="00DB008B">
                <w:pPr>
                  <w:snapToGrid w:val="0"/>
                  <w:jc w:val="right"/>
                </w:pPr>
                <w:r w:rsidRPr="00450A99">
                  <w:rPr>
                    <w:sz w:val="14"/>
                  </w:rPr>
                  <w:t>97</w:t>
                </w:r>
              </w:p>
            </w:tc>
            <w:tc>
              <w:tcPr>
                <w:tcW w:w="1056" w:type="dxa"/>
                <w:vAlign w:val="bottom"/>
              </w:tcPr>
              <w:p w:rsidR="00450A99" w:rsidRPr="00450A99" w:rsidRDefault="00C84467" w:rsidP="00DB008B">
                <w:pPr>
                  <w:snapToGrid w:val="0"/>
                  <w:jc w:val="right"/>
                </w:pPr>
                <w:r>
                  <w:rPr>
                    <w:sz w:val="14"/>
                  </w:rPr>
                  <w:t>0</w:t>
                </w:r>
              </w:p>
            </w:tc>
            <w:tc>
              <w:tcPr>
                <w:tcW w:w="1056" w:type="dxa"/>
                <w:vAlign w:val="bottom"/>
              </w:tcPr>
              <w:p w:rsidR="00450A99" w:rsidRPr="00450A99" w:rsidRDefault="00C84467" w:rsidP="00DB008B">
                <w:pPr>
                  <w:snapToGrid w:val="0"/>
                  <w:jc w:val="right"/>
                </w:pPr>
                <w:r>
                  <w:rPr>
                    <w:sz w:val="14"/>
                  </w:rPr>
                  <w:t>0</w:t>
                </w:r>
              </w:p>
            </w:tc>
            <w:tc>
              <w:tcPr>
                <w:tcW w:w="1056" w:type="dxa"/>
                <w:vAlign w:val="bottom"/>
              </w:tcPr>
              <w:p w:rsidR="00450A99" w:rsidRPr="00450A99" w:rsidRDefault="00450A99" w:rsidP="00DB008B">
                <w:pPr>
                  <w:snapToGrid w:val="0"/>
                  <w:jc w:val="right"/>
                </w:pPr>
                <w:r w:rsidRPr="00450A99">
                  <w:rPr>
                    <w:sz w:val="14"/>
                  </w:rPr>
                  <w:t>1,374,378,427</w:t>
                </w:r>
              </w:p>
            </w:tc>
            <w:tc>
              <w:tcPr>
                <w:tcW w:w="1056" w:type="dxa"/>
                <w:vAlign w:val="bottom"/>
              </w:tcPr>
              <w:p w:rsidR="00450A99" w:rsidRPr="00450A99" w:rsidRDefault="00450A99" w:rsidP="00DB008B">
                <w:pPr>
                  <w:snapToGrid w:val="0"/>
                  <w:jc w:val="right"/>
                </w:pPr>
                <w:r w:rsidRPr="00450A99">
                  <w:rPr>
                    <w:sz w:val="14"/>
                  </w:rPr>
                  <w:t>2,771,227,480</w:t>
                </w:r>
              </w:p>
            </w:tc>
            <w:tc>
              <w:tcPr>
                <w:tcW w:w="1056" w:type="dxa"/>
                <w:vAlign w:val="bottom"/>
              </w:tcPr>
              <w:p w:rsidR="00450A99" w:rsidRPr="00450A99" w:rsidRDefault="00450A99" w:rsidP="00DB008B">
                <w:pPr>
                  <w:snapToGrid w:val="0"/>
                  <w:jc w:val="right"/>
                </w:pPr>
                <w:r w:rsidRPr="00450A99">
                  <w:rPr>
                    <w:sz w:val="14"/>
                  </w:rPr>
                  <w:t>99</w:t>
                </w:r>
              </w:p>
            </w:tc>
            <w:tc>
              <w:tcPr>
                <w:tcW w:w="1056" w:type="dxa"/>
                <w:vAlign w:val="bottom"/>
              </w:tcPr>
              <w:p w:rsidR="00450A99" w:rsidRPr="00450A99" w:rsidRDefault="00450A99" w:rsidP="00DB008B">
                <w:pPr>
                  <w:snapToGrid w:val="0"/>
                  <w:jc w:val="right"/>
                </w:pPr>
                <w:r>
                  <w:rPr>
                    <w:sz w:val="14"/>
                  </w:rPr>
                  <w:t>0</w:t>
                </w:r>
              </w:p>
            </w:tc>
            <w:tc>
              <w:tcPr>
                <w:tcW w:w="1056" w:type="dxa"/>
                <w:vAlign w:val="bottom"/>
              </w:tcPr>
              <w:p w:rsidR="00450A99" w:rsidRPr="00450A99" w:rsidRDefault="00450A99" w:rsidP="00DB008B">
                <w:pPr>
                  <w:snapToGrid w:val="0"/>
                  <w:jc w:val="right"/>
                </w:pPr>
                <w:r>
                  <w:rPr>
                    <w:sz w:val="14"/>
                  </w:rPr>
                  <w:t>0</w:t>
                </w:r>
              </w:p>
            </w:tc>
            <w:tc>
              <w:tcPr>
                <w:tcW w:w="1056" w:type="dxa"/>
                <w:vAlign w:val="bottom"/>
              </w:tcPr>
              <w:p w:rsidR="00450A99" w:rsidRPr="00450A99" w:rsidRDefault="00450A99" w:rsidP="00DB008B">
                <w:pPr>
                  <w:snapToGrid w:val="0"/>
                  <w:jc w:val="right"/>
                </w:pPr>
                <w:r w:rsidRPr="00450A99">
                  <w:rPr>
                    <w:sz w:val="14"/>
                  </w:rPr>
                  <w:t>2,771,227,480</w:t>
                </w:r>
              </w:p>
            </w:tc>
          </w:tr>
          <w:tr w:rsidR="00450A99" w:rsidRPr="00450A99" w:rsidTr="00450A99">
            <w:tc>
              <w:tcPr>
                <w:tcW w:w="2877" w:type="dxa"/>
                <w:vAlign w:val="bottom"/>
              </w:tcPr>
              <w:p w:rsidR="00450A99" w:rsidRPr="00450A99" w:rsidRDefault="00450A99" w:rsidP="00DB008B">
                <w:pPr>
                  <w:snapToGrid w:val="0"/>
                  <w:ind w:left="283" w:hanging="142"/>
                </w:pPr>
                <w:r w:rsidRPr="00450A99">
                  <w:rPr>
                    <w:sz w:val="14"/>
                  </w:rPr>
                  <w:t>- 组合</w:t>
                </w:r>
                <w:r>
                  <w:rPr>
                    <w:rFonts w:hint="eastAsia"/>
                    <w:sz w:val="14"/>
                  </w:rPr>
                  <w:t>二</w:t>
                </w:r>
              </w:p>
            </w:tc>
            <w:tc>
              <w:tcPr>
                <w:tcW w:w="1055" w:type="dxa"/>
                <w:vAlign w:val="bottom"/>
              </w:tcPr>
              <w:p w:rsidR="00450A99" w:rsidRPr="00450A99" w:rsidRDefault="00450A99" w:rsidP="00DB008B">
                <w:pPr>
                  <w:snapToGrid w:val="0"/>
                  <w:jc w:val="right"/>
                </w:pPr>
                <w:r w:rsidRPr="00450A99">
                  <w:rPr>
                    <w:sz w:val="14"/>
                  </w:rPr>
                  <w:t>36,950,544</w:t>
                </w:r>
              </w:p>
            </w:tc>
            <w:tc>
              <w:tcPr>
                <w:tcW w:w="1055" w:type="dxa"/>
                <w:vAlign w:val="bottom"/>
              </w:tcPr>
              <w:p w:rsidR="00450A99" w:rsidRPr="00450A99" w:rsidRDefault="00450A99" w:rsidP="00DB008B">
                <w:pPr>
                  <w:snapToGrid w:val="0"/>
                  <w:jc w:val="right"/>
                </w:pPr>
                <w:r w:rsidRPr="00450A99">
                  <w:rPr>
                    <w:sz w:val="14"/>
                  </w:rPr>
                  <w:t>3</w:t>
                </w:r>
              </w:p>
            </w:tc>
            <w:tc>
              <w:tcPr>
                <w:tcW w:w="1056" w:type="dxa"/>
                <w:vAlign w:val="bottom"/>
              </w:tcPr>
              <w:p w:rsidR="00450A99" w:rsidRPr="00450A99" w:rsidRDefault="00450A99" w:rsidP="00DB008B">
                <w:pPr>
                  <w:snapToGrid w:val="0"/>
                  <w:jc w:val="right"/>
                </w:pPr>
                <w:r w:rsidRPr="00450A99">
                  <w:rPr>
                    <w:sz w:val="14"/>
                  </w:rPr>
                  <w:t>461,716</w:t>
                </w:r>
              </w:p>
            </w:tc>
            <w:tc>
              <w:tcPr>
                <w:tcW w:w="1056" w:type="dxa"/>
                <w:vAlign w:val="bottom"/>
              </w:tcPr>
              <w:p w:rsidR="00450A99" w:rsidRPr="00450A99" w:rsidRDefault="00450A99" w:rsidP="00DB008B">
                <w:pPr>
                  <w:snapToGrid w:val="0"/>
                  <w:jc w:val="right"/>
                </w:pPr>
                <w:r w:rsidRPr="00450A99">
                  <w:rPr>
                    <w:sz w:val="14"/>
                  </w:rPr>
                  <w:t>1.25</w:t>
                </w:r>
              </w:p>
            </w:tc>
            <w:tc>
              <w:tcPr>
                <w:tcW w:w="1056" w:type="dxa"/>
                <w:vAlign w:val="bottom"/>
              </w:tcPr>
              <w:p w:rsidR="00450A99" w:rsidRPr="00450A99" w:rsidRDefault="00450A99" w:rsidP="00DB008B">
                <w:pPr>
                  <w:snapToGrid w:val="0"/>
                  <w:jc w:val="right"/>
                </w:pPr>
                <w:r w:rsidRPr="00450A99">
                  <w:rPr>
                    <w:sz w:val="14"/>
                  </w:rPr>
                  <w:t>36,488,828</w:t>
                </w:r>
              </w:p>
            </w:tc>
            <w:tc>
              <w:tcPr>
                <w:tcW w:w="1056" w:type="dxa"/>
                <w:vAlign w:val="bottom"/>
              </w:tcPr>
              <w:p w:rsidR="00450A99" w:rsidRPr="00450A99" w:rsidRDefault="00450A99" w:rsidP="00DB008B">
                <w:pPr>
                  <w:snapToGrid w:val="0"/>
                  <w:jc w:val="right"/>
                </w:pPr>
                <w:r w:rsidRPr="00450A99">
                  <w:rPr>
                    <w:sz w:val="14"/>
                  </w:rPr>
                  <w:t>27,776,229</w:t>
                </w:r>
              </w:p>
            </w:tc>
            <w:tc>
              <w:tcPr>
                <w:tcW w:w="1056" w:type="dxa"/>
                <w:vAlign w:val="bottom"/>
              </w:tcPr>
              <w:p w:rsidR="00450A99" w:rsidRPr="00450A99" w:rsidRDefault="00450A99" w:rsidP="00DB008B">
                <w:pPr>
                  <w:snapToGrid w:val="0"/>
                  <w:jc w:val="right"/>
                </w:pPr>
                <w:r w:rsidRPr="00450A99">
                  <w:rPr>
                    <w:sz w:val="14"/>
                  </w:rPr>
                  <w:t>1</w:t>
                </w:r>
              </w:p>
            </w:tc>
            <w:tc>
              <w:tcPr>
                <w:tcW w:w="1056" w:type="dxa"/>
                <w:vAlign w:val="bottom"/>
              </w:tcPr>
              <w:p w:rsidR="00450A99" w:rsidRPr="00450A99" w:rsidRDefault="00450A99" w:rsidP="00DB008B">
                <w:pPr>
                  <w:snapToGrid w:val="0"/>
                  <w:jc w:val="right"/>
                </w:pPr>
                <w:r w:rsidRPr="00450A99">
                  <w:rPr>
                    <w:sz w:val="14"/>
                  </w:rPr>
                  <w:t>494,079</w:t>
                </w:r>
              </w:p>
            </w:tc>
            <w:tc>
              <w:tcPr>
                <w:tcW w:w="1056" w:type="dxa"/>
                <w:vAlign w:val="bottom"/>
              </w:tcPr>
              <w:p w:rsidR="00450A99" w:rsidRPr="00450A99" w:rsidRDefault="00450A99" w:rsidP="00DB008B">
                <w:pPr>
                  <w:snapToGrid w:val="0"/>
                  <w:jc w:val="right"/>
                </w:pPr>
                <w:r w:rsidRPr="00450A99">
                  <w:rPr>
                    <w:sz w:val="14"/>
                  </w:rPr>
                  <w:t>1.78</w:t>
                </w:r>
              </w:p>
            </w:tc>
            <w:tc>
              <w:tcPr>
                <w:tcW w:w="1056" w:type="dxa"/>
                <w:vAlign w:val="bottom"/>
              </w:tcPr>
              <w:p w:rsidR="00450A99" w:rsidRPr="00450A99" w:rsidRDefault="00450A99" w:rsidP="00DB008B">
                <w:pPr>
                  <w:snapToGrid w:val="0"/>
                  <w:jc w:val="right"/>
                </w:pPr>
                <w:r w:rsidRPr="00450A99">
                  <w:rPr>
                    <w:sz w:val="14"/>
                  </w:rPr>
                  <w:t>27,282,150</w:t>
                </w:r>
              </w:p>
            </w:tc>
          </w:tr>
          <w:tr w:rsidR="00450A99" w:rsidRPr="00450A99" w:rsidTr="00450A99">
            <w:tc>
              <w:tcPr>
                <w:tcW w:w="2877" w:type="dxa"/>
                <w:vAlign w:val="bottom"/>
              </w:tcPr>
              <w:p w:rsidR="00450A99" w:rsidRPr="00450A99" w:rsidRDefault="00450A99" w:rsidP="00DB008B">
                <w:pPr>
                  <w:snapToGrid w:val="0"/>
                  <w:ind w:left="142" w:hanging="142"/>
                </w:pPr>
                <w:r w:rsidRPr="00450A99">
                  <w:rPr>
                    <w:sz w:val="14"/>
                  </w:rPr>
                  <w:t>合计</w:t>
                </w:r>
              </w:p>
            </w:tc>
            <w:tc>
              <w:tcPr>
                <w:tcW w:w="1055" w:type="dxa"/>
                <w:vAlign w:val="bottom"/>
              </w:tcPr>
              <w:p w:rsidR="00450A99" w:rsidRPr="00450A99" w:rsidRDefault="00450A99" w:rsidP="00DB008B">
                <w:pPr>
                  <w:snapToGrid w:val="0"/>
                  <w:jc w:val="right"/>
                </w:pPr>
                <w:r w:rsidRPr="00450A99">
                  <w:rPr>
                    <w:sz w:val="14"/>
                  </w:rPr>
                  <w:t>1,411,555,285</w:t>
                </w:r>
              </w:p>
            </w:tc>
            <w:tc>
              <w:tcPr>
                <w:tcW w:w="1055" w:type="dxa"/>
                <w:vAlign w:val="bottom"/>
              </w:tcPr>
              <w:p w:rsidR="00450A99" w:rsidRPr="00450A99" w:rsidRDefault="00450A99" w:rsidP="00DB008B">
                <w:pPr>
                  <w:snapToGrid w:val="0"/>
                  <w:jc w:val="right"/>
                </w:pPr>
                <w:r w:rsidRPr="00450A99">
                  <w:rPr>
                    <w:sz w:val="14"/>
                  </w:rPr>
                  <w:t>/</w:t>
                </w:r>
              </w:p>
            </w:tc>
            <w:tc>
              <w:tcPr>
                <w:tcW w:w="1056" w:type="dxa"/>
                <w:vAlign w:val="bottom"/>
              </w:tcPr>
              <w:p w:rsidR="00450A99" w:rsidRPr="00450A99" w:rsidRDefault="00450A99" w:rsidP="00DB008B">
                <w:pPr>
                  <w:snapToGrid w:val="0"/>
                  <w:jc w:val="right"/>
                </w:pPr>
                <w:r w:rsidRPr="00450A99">
                  <w:rPr>
                    <w:sz w:val="14"/>
                  </w:rPr>
                  <w:t>688,030</w:t>
                </w:r>
              </w:p>
            </w:tc>
            <w:tc>
              <w:tcPr>
                <w:tcW w:w="1056" w:type="dxa"/>
                <w:vAlign w:val="bottom"/>
              </w:tcPr>
              <w:p w:rsidR="00450A99" w:rsidRPr="00450A99" w:rsidRDefault="00450A99" w:rsidP="00DB008B">
                <w:pPr>
                  <w:snapToGrid w:val="0"/>
                  <w:jc w:val="right"/>
                </w:pPr>
                <w:r w:rsidRPr="00450A99">
                  <w:rPr>
                    <w:sz w:val="14"/>
                  </w:rPr>
                  <w:t>/</w:t>
                </w:r>
              </w:p>
            </w:tc>
            <w:tc>
              <w:tcPr>
                <w:tcW w:w="1056" w:type="dxa"/>
                <w:vAlign w:val="bottom"/>
              </w:tcPr>
              <w:p w:rsidR="00450A99" w:rsidRPr="00450A99" w:rsidRDefault="00450A99" w:rsidP="00DB008B">
                <w:pPr>
                  <w:snapToGrid w:val="0"/>
                  <w:jc w:val="right"/>
                </w:pPr>
                <w:r w:rsidRPr="00450A99">
                  <w:rPr>
                    <w:sz w:val="14"/>
                  </w:rPr>
                  <w:t>1,410,867,255</w:t>
                </w:r>
              </w:p>
            </w:tc>
            <w:tc>
              <w:tcPr>
                <w:tcW w:w="1056" w:type="dxa"/>
                <w:vAlign w:val="bottom"/>
              </w:tcPr>
              <w:p w:rsidR="00450A99" w:rsidRPr="00450A99" w:rsidRDefault="00450A99" w:rsidP="00DB008B">
                <w:pPr>
                  <w:snapToGrid w:val="0"/>
                  <w:jc w:val="right"/>
                </w:pPr>
                <w:r w:rsidRPr="00450A99">
                  <w:rPr>
                    <w:sz w:val="14"/>
                  </w:rPr>
                  <w:t>2,799,230,023</w:t>
                </w:r>
              </w:p>
            </w:tc>
            <w:tc>
              <w:tcPr>
                <w:tcW w:w="1056" w:type="dxa"/>
                <w:vAlign w:val="bottom"/>
              </w:tcPr>
              <w:p w:rsidR="00450A99" w:rsidRPr="00450A99" w:rsidRDefault="00450A99" w:rsidP="00DB008B">
                <w:pPr>
                  <w:snapToGrid w:val="0"/>
                  <w:jc w:val="right"/>
                </w:pPr>
                <w:r w:rsidRPr="00450A99">
                  <w:rPr>
                    <w:sz w:val="14"/>
                  </w:rPr>
                  <w:t>/</w:t>
                </w:r>
              </w:p>
            </w:tc>
            <w:tc>
              <w:tcPr>
                <w:tcW w:w="1056" w:type="dxa"/>
                <w:vAlign w:val="bottom"/>
              </w:tcPr>
              <w:p w:rsidR="00450A99" w:rsidRPr="00450A99" w:rsidRDefault="00450A99" w:rsidP="00DB008B">
                <w:pPr>
                  <w:snapToGrid w:val="0"/>
                  <w:jc w:val="right"/>
                </w:pPr>
                <w:r w:rsidRPr="00450A99">
                  <w:rPr>
                    <w:sz w:val="14"/>
                  </w:rPr>
                  <w:t>720,393</w:t>
                </w:r>
              </w:p>
            </w:tc>
            <w:tc>
              <w:tcPr>
                <w:tcW w:w="1056" w:type="dxa"/>
                <w:vAlign w:val="bottom"/>
              </w:tcPr>
              <w:p w:rsidR="00450A99" w:rsidRPr="00450A99" w:rsidRDefault="00450A99" w:rsidP="00DB008B">
                <w:pPr>
                  <w:snapToGrid w:val="0"/>
                  <w:jc w:val="right"/>
                </w:pPr>
                <w:r w:rsidRPr="00450A99">
                  <w:rPr>
                    <w:sz w:val="14"/>
                  </w:rPr>
                  <w:t>/</w:t>
                </w:r>
              </w:p>
            </w:tc>
            <w:tc>
              <w:tcPr>
                <w:tcW w:w="1056" w:type="dxa"/>
                <w:vAlign w:val="bottom"/>
              </w:tcPr>
              <w:p w:rsidR="00450A99" w:rsidRPr="00450A99" w:rsidRDefault="00450A99" w:rsidP="00DB008B">
                <w:pPr>
                  <w:snapToGrid w:val="0"/>
                  <w:jc w:val="right"/>
                </w:pPr>
                <w:r w:rsidRPr="00450A99">
                  <w:rPr>
                    <w:sz w:val="14"/>
                  </w:rPr>
                  <w:t>2,798,509,630</w:t>
                </w:r>
              </w:p>
            </w:tc>
          </w:tr>
        </w:tbl>
        <w:p w:rsidR="00450A99" w:rsidRDefault="00450A99" w:rsidP="00450A99"/>
        <w:p w:rsidR="00450A99" w:rsidRDefault="00450A99" w:rsidP="00450A99"/>
        <w:p w:rsidR="00450A99" w:rsidRPr="00450A99" w:rsidRDefault="00450A99" w:rsidP="00450A99"/>
        <w:p w:rsidR="00450A99" w:rsidRDefault="00450A99" w:rsidP="00450A99"/>
        <w:p w:rsidR="00450A99" w:rsidRPr="00450A99" w:rsidRDefault="00450A99" w:rsidP="00450A99">
          <w:pPr>
            <w:sectPr w:rsidR="00450A99" w:rsidRPr="00450A99" w:rsidSect="00450A99">
              <w:pgSz w:w="16838" w:h="11906" w:orient="landscape"/>
              <w:pgMar w:top="1276" w:right="1440" w:bottom="1797" w:left="1525" w:header="856" w:footer="992" w:gutter="0"/>
              <w:cols w:space="425"/>
              <w:docGrid w:linePitch="312"/>
            </w:sectPr>
          </w:pPr>
        </w:p>
        <w:p w:rsidR="00806678" w:rsidRDefault="00F565AC" w:rsidP="00FF17C7">
          <w:pPr>
            <w:pStyle w:val="4"/>
            <w:numPr>
              <w:ilvl w:val="0"/>
              <w:numId w:val="60"/>
            </w:numPr>
          </w:pPr>
          <w:r>
            <w:rPr>
              <w:rFonts w:hint="eastAsia"/>
            </w:rPr>
            <w:lastRenderedPageBreak/>
            <w:t>按款项性质分类情况</w:t>
          </w:r>
        </w:p>
        <w:p w:rsidR="00806678" w:rsidRDefault="00F80B6C">
          <w:sdt>
            <w:sdtPr>
              <w:alias w:val="是否适用：母公司其他应收款按款项性质分类情况[双击切换]"/>
              <w:tag w:val="_GBC_a5e5418d19394a1c8f8093184d9b360a"/>
              <w:id w:val="-465122121"/>
              <w:lock w:val="sdtLocked"/>
              <w:placeholder>
                <w:docPart w:val="GBC22222222222222222222222222222"/>
              </w:placeholder>
            </w:sdtPr>
            <w:sdtContent>
              <w:r>
                <w:fldChar w:fldCharType="begin"/>
              </w:r>
              <w:r w:rsidR="00CE55F0">
                <w:instrText xml:space="preserve">MACROBUTTON  SnrToggleCheckbox √适用 </w:instrText>
              </w:r>
              <w:r>
                <w:fldChar w:fldCharType="end"/>
              </w:r>
              <w:r>
                <w:fldChar w:fldCharType="begin"/>
              </w:r>
              <w:r w:rsidR="00CE55F0">
                <w:instrText xml:space="preserve"> MACROBUTTON  SnrToggleCheckbox □不适用 </w:instrText>
              </w:r>
              <w:r>
                <w:fldChar w:fldCharType="end"/>
              </w:r>
            </w:sdtContent>
          </w:sdt>
        </w:p>
        <w:p w:rsidR="00806678" w:rsidRDefault="00B16377">
          <w:pPr>
            <w:jc w:val="right"/>
          </w:pPr>
          <w:r>
            <w:rPr>
              <w:rFonts w:hint="eastAsia"/>
            </w:rPr>
            <w:t>单位：</w:t>
          </w:r>
          <w:sdt>
            <w:sdtPr>
              <w:rPr>
                <w:rFonts w:hint="eastAsia"/>
              </w:rPr>
              <w:alias w:val="单位：财务附注：母公司其他应收款按款项性质分类情况"/>
              <w:tag w:val="_GBC_451485fc33dc4b2c9be5a44730242ca7"/>
              <w:id w:val="290814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母公司其他应收款按款项性质分类情况"/>
              <w:tag w:val="_GBC_f3e8ad411fc545a19718a43203281efd"/>
              <w:id w:val="290815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a6"/>
            <w:tblW w:w="5000" w:type="pct"/>
            <w:tblLayout w:type="fixed"/>
            <w:tblLook w:val="0000"/>
          </w:tblPr>
          <w:tblGrid>
            <w:gridCol w:w="3076"/>
            <w:gridCol w:w="2981"/>
            <w:gridCol w:w="2992"/>
          </w:tblGrid>
          <w:tr w:rsidR="0035349D" w:rsidTr="00DB008B">
            <w:sdt>
              <w:sdtPr>
                <w:tag w:val="_PLD_fa2a2127303b4deebb2bcaea193eb6d9"/>
                <w:id w:val="65691934"/>
                <w:lock w:val="sdtLocked"/>
              </w:sdtPr>
              <w:sdtContent>
                <w:tc>
                  <w:tcPr>
                    <w:tcW w:w="1700" w:type="pct"/>
                  </w:tcPr>
                  <w:p w:rsidR="0035349D" w:rsidRDefault="0035349D" w:rsidP="00DB008B">
                    <w:pPr>
                      <w:jc w:val="center"/>
                    </w:pPr>
                    <w:r>
                      <w:rPr>
                        <w:rFonts w:hint="eastAsia"/>
                      </w:rPr>
                      <w:t>款项性质</w:t>
                    </w:r>
                  </w:p>
                </w:tc>
              </w:sdtContent>
            </w:sdt>
            <w:sdt>
              <w:sdtPr>
                <w:tag w:val="_PLD_aa55d719329144e5a0eafd36222d0851"/>
                <w:id w:val="581411108"/>
                <w:lock w:val="sdtLocked"/>
              </w:sdtPr>
              <w:sdtContent>
                <w:tc>
                  <w:tcPr>
                    <w:tcW w:w="1647" w:type="pct"/>
                  </w:tcPr>
                  <w:p w:rsidR="0035349D" w:rsidRDefault="0035349D" w:rsidP="00DB008B">
                    <w:pPr>
                      <w:jc w:val="center"/>
                    </w:pPr>
                    <w:r>
                      <w:rPr>
                        <w:rFonts w:hint="eastAsia"/>
                      </w:rPr>
                      <w:t>期末账面余额</w:t>
                    </w:r>
                  </w:p>
                </w:tc>
              </w:sdtContent>
            </w:sdt>
            <w:sdt>
              <w:sdtPr>
                <w:tag w:val="_PLD_146282129b6a4b52a6963dad9647679a"/>
                <w:id w:val="2056658077"/>
                <w:lock w:val="sdtLocked"/>
              </w:sdtPr>
              <w:sdtContent>
                <w:tc>
                  <w:tcPr>
                    <w:tcW w:w="1653" w:type="pct"/>
                  </w:tcPr>
                  <w:p w:rsidR="0035349D" w:rsidRDefault="0035349D" w:rsidP="00DB008B">
                    <w:pPr>
                      <w:jc w:val="center"/>
                    </w:pPr>
                    <w:r>
                      <w:rPr>
                        <w:rFonts w:hint="eastAsia"/>
                      </w:rPr>
                      <w:t>期初账面余额</w:t>
                    </w:r>
                  </w:p>
                </w:tc>
              </w:sdtContent>
            </w:sdt>
          </w:tr>
          <w:sdt>
            <w:sdtPr>
              <w:rPr>
                <w:rFonts w:asciiTheme="minorHAnsi" w:eastAsiaTheme="minorEastAsia" w:hAnsiTheme="minorHAnsi" w:cstheme="minorBidi" w:hint="eastAsia"/>
                <w:sz w:val="22"/>
                <w:szCs w:val="22"/>
              </w:rPr>
              <w:alias w:val="其他应收款按款项性质分类情况明细"/>
              <w:tag w:val="_TUP_48f6c039e4a84e3fbd2e75f4cdeeeb67"/>
              <w:id w:val="140233077"/>
              <w:lock w:val="sdtLocked"/>
            </w:sdtPr>
            <w:sdtContent>
              <w:tr w:rsidR="0035349D" w:rsidTr="00DB008B">
                <w:tc>
                  <w:tcPr>
                    <w:tcW w:w="1700" w:type="pct"/>
                  </w:tcPr>
                  <w:p w:rsidR="0035349D" w:rsidRDefault="0035349D" w:rsidP="00DB008B">
                    <w:pPr>
                      <w:rPr>
                        <w:highlight w:val="yellow"/>
                      </w:rPr>
                    </w:pPr>
                    <w:r>
                      <w:t>增值税流转</w:t>
                    </w:r>
                  </w:p>
                </w:tc>
                <w:tc>
                  <w:tcPr>
                    <w:tcW w:w="1647" w:type="pct"/>
                    <w:vAlign w:val="center"/>
                  </w:tcPr>
                  <w:p w:rsidR="0035349D" w:rsidRDefault="0035349D" w:rsidP="00DB008B">
                    <w:pPr>
                      <w:jc w:val="right"/>
                    </w:pPr>
                    <w:r>
                      <w:t>775,830,773</w:t>
                    </w:r>
                  </w:p>
                </w:tc>
                <w:tc>
                  <w:tcPr>
                    <w:tcW w:w="1653" w:type="pct"/>
                  </w:tcPr>
                  <w:p w:rsidR="0035349D" w:rsidRDefault="0035349D" w:rsidP="00DB008B">
                    <w:pPr>
                      <w:jc w:val="right"/>
                    </w:pPr>
                    <w:r>
                      <w:t>1,391,923,188</w:t>
                    </w:r>
                  </w:p>
                </w:tc>
              </w:tr>
            </w:sdtContent>
          </w:sdt>
          <w:sdt>
            <w:sdtPr>
              <w:rPr>
                <w:rFonts w:asciiTheme="minorHAnsi" w:eastAsiaTheme="minorEastAsia" w:hAnsiTheme="minorHAnsi" w:cstheme="minorBidi" w:hint="eastAsia"/>
                <w:sz w:val="22"/>
                <w:szCs w:val="22"/>
              </w:rPr>
              <w:alias w:val="其他应收款按款项性质分类情况明细"/>
              <w:tag w:val="_TUP_48f6c039e4a84e3fbd2e75f4cdeeeb67"/>
              <w:id w:val="-242481501"/>
              <w:lock w:val="sdtLocked"/>
            </w:sdtPr>
            <w:sdtContent>
              <w:tr w:rsidR="0035349D" w:rsidTr="00DB008B">
                <w:tc>
                  <w:tcPr>
                    <w:tcW w:w="1700" w:type="pct"/>
                  </w:tcPr>
                  <w:p w:rsidR="0035349D" w:rsidRDefault="0035349D" w:rsidP="00DB008B">
                    <w:pPr>
                      <w:rPr>
                        <w:highlight w:val="yellow"/>
                      </w:rPr>
                    </w:pPr>
                    <w:r>
                      <w:t>应收三供一业补助资金 (注1)</w:t>
                    </w:r>
                  </w:p>
                </w:tc>
                <w:tc>
                  <w:tcPr>
                    <w:tcW w:w="1647" w:type="pct"/>
                    <w:vAlign w:val="center"/>
                  </w:tcPr>
                  <w:p w:rsidR="0035349D" w:rsidRDefault="0035349D" w:rsidP="00DB008B">
                    <w:pPr>
                      <w:jc w:val="right"/>
                    </w:pPr>
                    <w:r>
                      <w:t>245,414,448</w:t>
                    </w:r>
                  </w:p>
                </w:tc>
                <w:tc>
                  <w:tcPr>
                    <w:tcW w:w="1653" w:type="pct"/>
                  </w:tcPr>
                  <w:p w:rsidR="0035349D" w:rsidRDefault="0035349D" w:rsidP="00DB008B">
                    <w:pPr>
                      <w:jc w:val="right"/>
                    </w:pPr>
                    <w:r>
                      <w:t>1,148,241,033</w:t>
                    </w:r>
                  </w:p>
                </w:tc>
              </w:tr>
            </w:sdtContent>
          </w:sdt>
          <w:sdt>
            <w:sdtPr>
              <w:rPr>
                <w:rFonts w:asciiTheme="minorHAnsi" w:eastAsiaTheme="minorEastAsia" w:hAnsiTheme="minorHAnsi" w:cstheme="minorBidi" w:hint="eastAsia"/>
                <w:sz w:val="22"/>
                <w:szCs w:val="22"/>
              </w:rPr>
              <w:alias w:val="其他应收款按款项性质分类情况明细"/>
              <w:tag w:val="_TUP_48f6c039e4a84e3fbd2e75f4cdeeeb67"/>
              <w:id w:val="-445382651"/>
              <w:lock w:val="sdtLocked"/>
            </w:sdtPr>
            <w:sdtContent>
              <w:tr w:rsidR="0035349D" w:rsidTr="00DB008B">
                <w:tc>
                  <w:tcPr>
                    <w:tcW w:w="1700" w:type="pct"/>
                  </w:tcPr>
                  <w:p w:rsidR="0035349D" w:rsidRDefault="0035349D" w:rsidP="00DB008B">
                    <w:r>
                      <w:t>其他</w:t>
                    </w:r>
                  </w:p>
                </w:tc>
                <w:tc>
                  <w:tcPr>
                    <w:tcW w:w="1647" w:type="pct"/>
                    <w:vAlign w:val="center"/>
                  </w:tcPr>
                  <w:p w:rsidR="0035349D" w:rsidRDefault="0035349D" w:rsidP="00DB008B">
                    <w:pPr>
                      <w:jc w:val="right"/>
                    </w:pPr>
                    <w:r>
                      <w:t>390,310,064</w:t>
                    </w:r>
                  </w:p>
                </w:tc>
                <w:tc>
                  <w:tcPr>
                    <w:tcW w:w="1653" w:type="pct"/>
                  </w:tcPr>
                  <w:p w:rsidR="0035349D" w:rsidRDefault="0035349D" w:rsidP="00DB008B">
                    <w:pPr>
                      <w:jc w:val="right"/>
                    </w:pPr>
                    <w:r>
                      <w:t>259,065,802</w:t>
                    </w:r>
                  </w:p>
                </w:tc>
              </w:tr>
            </w:sdtContent>
          </w:sdt>
          <w:sdt>
            <w:sdtPr>
              <w:rPr>
                <w:rFonts w:asciiTheme="minorHAnsi" w:eastAsiaTheme="minorEastAsia" w:hAnsiTheme="minorHAnsi" w:cstheme="minorBidi" w:hint="eastAsia"/>
                <w:sz w:val="22"/>
                <w:szCs w:val="22"/>
              </w:rPr>
              <w:alias w:val="其他应收款按款项性质分类情况明细"/>
              <w:tag w:val="_TUP_48f6c039e4a84e3fbd2e75f4cdeeeb67"/>
              <w:id w:val="-4826127"/>
              <w:lock w:val="sdtLocked"/>
            </w:sdtPr>
            <w:sdtContent>
              <w:tr w:rsidR="0035349D" w:rsidTr="00DB008B">
                <w:tc>
                  <w:tcPr>
                    <w:tcW w:w="1700" w:type="pct"/>
                  </w:tcPr>
                  <w:p w:rsidR="0035349D" w:rsidRDefault="0035349D" w:rsidP="00DB008B">
                    <w:r>
                      <w:rPr>
                        <w:rFonts w:asciiTheme="minorHAnsi" w:eastAsiaTheme="minorEastAsia" w:hAnsiTheme="minorHAnsi" w:cstheme="minorBidi" w:hint="eastAsia"/>
                        <w:sz w:val="22"/>
                        <w:szCs w:val="22"/>
                      </w:rPr>
                      <w:t>减：坏账准备</w:t>
                    </w:r>
                  </w:p>
                </w:tc>
                <w:tc>
                  <w:tcPr>
                    <w:tcW w:w="1647" w:type="pct"/>
                  </w:tcPr>
                  <w:p w:rsidR="0035349D" w:rsidRDefault="0035349D" w:rsidP="00DB008B">
                    <w:pPr>
                      <w:jc w:val="right"/>
                    </w:pPr>
                    <w:r>
                      <w:t>688,030</w:t>
                    </w:r>
                  </w:p>
                </w:tc>
                <w:tc>
                  <w:tcPr>
                    <w:tcW w:w="1653" w:type="pct"/>
                  </w:tcPr>
                  <w:p w:rsidR="0035349D" w:rsidRDefault="0035349D" w:rsidP="00DB008B">
                    <w:pPr>
                      <w:jc w:val="right"/>
                    </w:pPr>
                    <w:r>
                      <w:t>720,393</w:t>
                    </w:r>
                  </w:p>
                </w:tc>
              </w:tr>
            </w:sdtContent>
          </w:sdt>
          <w:tr w:rsidR="0035349D" w:rsidTr="00DB008B">
            <w:sdt>
              <w:sdtPr>
                <w:tag w:val="_PLD_1f66553994c94872937c5863bb704857"/>
                <w:id w:val="-2045518008"/>
                <w:lock w:val="sdtLocked"/>
              </w:sdtPr>
              <w:sdtContent>
                <w:tc>
                  <w:tcPr>
                    <w:tcW w:w="1700" w:type="pct"/>
                  </w:tcPr>
                  <w:p w:rsidR="0035349D" w:rsidRDefault="0035349D" w:rsidP="0035349D">
                    <w:pPr>
                      <w:jc w:val="center"/>
                    </w:pPr>
                    <w:r>
                      <w:t>合计</w:t>
                    </w:r>
                  </w:p>
                </w:tc>
              </w:sdtContent>
            </w:sdt>
            <w:tc>
              <w:tcPr>
                <w:tcW w:w="1647" w:type="pct"/>
                <w:vAlign w:val="center"/>
              </w:tcPr>
              <w:p w:rsidR="0035349D" w:rsidRDefault="0035349D" w:rsidP="0035349D">
                <w:pPr>
                  <w:jc w:val="right"/>
                </w:pPr>
                <w:r>
                  <w:t>1,410,867,255</w:t>
                </w:r>
              </w:p>
            </w:tc>
            <w:tc>
              <w:tcPr>
                <w:tcW w:w="1653" w:type="pct"/>
                <w:vAlign w:val="center"/>
              </w:tcPr>
              <w:p w:rsidR="0035349D" w:rsidRDefault="0035349D" w:rsidP="0035349D">
                <w:pPr>
                  <w:jc w:val="right"/>
                </w:pPr>
                <w:r>
                  <w:t>2,798,509,630</w:t>
                </w:r>
              </w:p>
            </w:tc>
          </w:tr>
        </w:tbl>
        <w:p w:rsidR="0035349D" w:rsidRDefault="0035349D" w:rsidP="0035349D">
          <w:pPr>
            <w:overflowPunct w:val="0"/>
            <w:adjustRightInd w:val="0"/>
            <w:snapToGrid w:val="0"/>
            <w:rPr>
              <w:rFonts w:cs="Arial"/>
              <w:sz w:val="22"/>
              <w:szCs w:val="22"/>
            </w:rPr>
          </w:pPr>
        </w:p>
        <w:p w:rsidR="0035349D" w:rsidRPr="001F185D" w:rsidRDefault="0035349D" w:rsidP="0035349D">
          <w:pPr>
            <w:overflowPunct w:val="0"/>
            <w:adjustRightInd w:val="0"/>
            <w:snapToGrid w:val="0"/>
            <w:rPr>
              <w:rFonts w:cs="Arial"/>
              <w:sz w:val="22"/>
              <w:szCs w:val="22"/>
            </w:rPr>
          </w:pPr>
          <w:r w:rsidRPr="001F185D">
            <w:rPr>
              <w:rFonts w:cs="Arial" w:hint="eastAsia"/>
              <w:sz w:val="22"/>
              <w:szCs w:val="22"/>
            </w:rPr>
            <w:t>注1：如附注</w:t>
          </w:r>
          <w:r w:rsidR="006B51B4">
            <w:rPr>
              <w:rFonts w:cs="Arial" w:hint="eastAsia"/>
              <w:sz w:val="22"/>
              <w:szCs w:val="22"/>
            </w:rPr>
            <w:t>七</w:t>
          </w:r>
          <w:r w:rsidRPr="001F185D">
            <w:rPr>
              <w:rFonts w:cs="Arial" w:hint="eastAsia"/>
              <w:sz w:val="22"/>
              <w:szCs w:val="22"/>
            </w:rPr>
            <w:t>、</w:t>
          </w:r>
          <w:r w:rsidR="006B51B4">
            <w:rPr>
              <w:rFonts w:cs="Arial"/>
              <w:sz w:val="22"/>
              <w:szCs w:val="22"/>
            </w:rPr>
            <w:t>13</w:t>
          </w:r>
          <w:r w:rsidRPr="001F185D">
            <w:rPr>
              <w:rFonts w:cs="Arial" w:hint="eastAsia"/>
              <w:sz w:val="22"/>
              <w:szCs w:val="22"/>
            </w:rPr>
            <w:t>所述，于202</w:t>
          </w:r>
          <w:r w:rsidRPr="001F185D">
            <w:rPr>
              <w:rFonts w:cs="Arial"/>
              <w:sz w:val="22"/>
              <w:szCs w:val="22"/>
            </w:rPr>
            <w:t>2</w:t>
          </w:r>
          <w:r w:rsidRPr="001F185D">
            <w:rPr>
              <w:rFonts w:cs="Arial" w:hint="eastAsia"/>
              <w:sz w:val="22"/>
              <w:szCs w:val="22"/>
            </w:rPr>
            <w:t>年12月31日，本公司应收与“三供一业”分离移交相关的中央财政补助资金人民币</w:t>
          </w:r>
          <w:r w:rsidRPr="001F185D">
            <w:rPr>
              <w:rFonts w:cs="Arial"/>
              <w:sz w:val="22"/>
              <w:szCs w:val="22"/>
            </w:rPr>
            <w:t>245,414,448</w:t>
          </w:r>
          <w:r w:rsidRPr="001F185D">
            <w:rPr>
              <w:rFonts w:cs="Arial" w:hint="eastAsia"/>
              <w:sz w:val="22"/>
              <w:szCs w:val="22"/>
            </w:rPr>
            <w:t>元</w:t>
          </w:r>
          <w:r w:rsidR="001B0023" w:rsidRPr="00F31477">
            <w:rPr>
              <w:rFonts w:cs="Arial"/>
              <w:sz w:val="22"/>
              <w:szCs w:val="22"/>
            </w:rPr>
            <w:t>(2021</w:t>
          </w:r>
          <w:r w:rsidR="001B0023" w:rsidRPr="00F31477">
            <w:rPr>
              <w:rFonts w:cs="Arial" w:hint="eastAsia"/>
              <w:sz w:val="22"/>
              <w:szCs w:val="22"/>
            </w:rPr>
            <w:t>年：人民币1,148,241,033元)</w:t>
          </w:r>
          <w:r w:rsidR="001B0023">
            <w:rPr>
              <w:rFonts w:cs="Arial" w:hint="eastAsia"/>
              <w:sz w:val="22"/>
              <w:szCs w:val="22"/>
            </w:rPr>
            <w:t>。</w:t>
          </w:r>
        </w:p>
        <w:p w:rsidR="00806678" w:rsidRDefault="00F80B6C"/>
      </w:sdtContent>
    </w:sdt>
    <w:bookmarkEnd w:id="280" w:displacedByCustomXml="next"/>
    <w:bookmarkStart w:id="281" w:name="_Hlk533870927" w:displacedByCustomXml="next"/>
    <w:sdt>
      <w:sdtPr>
        <w:rPr>
          <w:rFonts w:ascii="宋体" w:eastAsia="宋体" w:hAnsi="宋体" w:cs="宋体" w:hint="eastAsia"/>
          <w:b w:val="0"/>
          <w:bCs w:val="0"/>
          <w:kern w:val="0"/>
          <w:szCs w:val="24"/>
        </w:rPr>
        <w:alias w:val="模块:坏账准备的期初期末调节表"/>
        <w:tag w:val="_SEC_fa119e5c9017431b9876ee9427039406"/>
        <w:id w:val="2022658368"/>
        <w:lock w:val="sdtLocked"/>
        <w:placeholder>
          <w:docPart w:val="GBC22222222222222222222222222222"/>
        </w:placeholder>
      </w:sdtPr>
      <w:sdtEndPr>
        <w:rPr>
          <w:rFonts w:hint="default"/>
        </w:rPr>
      </w:sdtEndPr>
      <w:sdtContent>
        <w:p w:rsidR="00806678" w:rsidRDefault="00B16377" w:rsidP="00FF17C7">
          <w:pPr>
            <w:pStyle w:val="4"/>
            <w:numPr>
              <w:ilvl w:val="0"/>
              <w:numId w:val="60"/>
            </w:numPr>
          </w:pPr>
          <w:r>
            <w:rPr>
              <w:rFonts w:ascii="宋体" w:eastAsia="宋体" w:hAnsi="宋体" w:cs="宋体" w:hint="eastAsia"/>
              <w:bCs w:val="0"/>
              <w:kern w:val="0"/>
              <w:szCs w:val="24"/>
            </w:rPr>
            <w:t>坏账准备计提情况</w:t>
          </w:r>
        </w:p>
        <w:sdt>
          <w:sdtPr>
            <w:alias w:val="是否适用：母公司其他应收款坏账准备调节表[双击切换]"/>
            <w:tag w:val="_GBC_34d55fda2adc4508bb77a03583cd3d2d"/>
            <w:id w:val="-1665860601"/>
            <w:lock w:val="sdtLocked"/>
            <w:placeholder>
              <w:docPart w:val="GBC22222222222222222222222222222"/>
            </w:placeholder>
          </w:sdtPr>
          <w:sdtContent>
            <w:p w:rsidR="00806678" w:rsidRDefault="00F80B6C">
              <w:r>
                <w:fldChar w:fldCharType="begin"/>
              </w:r>
              <w:r w:rsidR="00114E27">
                <w:instrText xml:space="preserve"> MACROBUTTON  SnrToggleCheckbox √适用 </w:instrText>
              </w:r>
              <w:r>
                <w:fldChar w:fldCharType="end"/>
              </w:r>
              <w:r>
                <w:fldChar w:fldCharType="begin"/>
              </w:r>
              <w:r w:rsidR="00114E27">
                <w:instrText xml:space="preserve"> MACROBUTTON  SnrToggleCheckbox □不适用 </w:instrText>
              </w:r>
              <w:r>
                <w:fldChar w:fldCharType="end"/>
              </w:r>
            </w:p>
          </w:sdtContent>
        </w:sdt>
        <w:p w:rsidR="00806678" w:rsidRDefault="00B16377">
          <w:pPr>
            <w:autoSpaceDE w:val="0"/>
            <w:autoSpaceDN w:val="0"/>
            <w:adjustRightInd w:val="0"/>
            <w:ind w:rightChars="50" w:right="105"/>
            <w:jc w:val="right"/>
            <w:rPr>
              <w:szCs w:val="21"/>
            </w:rPr>
          </w:pPr>
          <w:r>
            <w:rPr>
              <w:rFonts w:hint="eastAsia"/>
              <w:szCs w:val="21"/>
            </w:rPr>
            <w:t>单位：</w:t>
          </w:r>
          <w:sdt>
            <w:sdtPr>
              <w:rPr>
                <w:rFonts w:hint="eastAsia"/>
                <w:szCs w:val="21"/>
              </w:rPr>
              <w:alias w:val="单位：母公司其他应收款坏账准备调节表"/>
              <w:tag w:val="_GBC_b494dbb0c2794f39b9fb29a12fc478f8"/>
              <w:id w:val="59390968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母公司其他应收款坏账准备调节表"/>
              <w:tag w:val="_GBC_a5fe64b13e1448e3b1446e3cf0428cfc"/>
              <w:id w:val="-210355254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92"/>
            <w:gridCol w:w="1280"/>
            <w:gridCol w:w="1985"/>
            <w:gridCol w:w="1985"/>
            <w:gridCol w:w="1707"/>
          </w:tblGrid>
          <w:tr w:rsidR="00806678" w:rsidTr="003C052B">
            <w:sdt>
              <w:sdtPr>
                <w:tag w:val="_PLD_21b2d66f9e3e44f9a3867e2f9fa483ea"/>
                <w:id w:val="766584364"/>
                <w:lock w:val="sdtLocked"/>
              </w:sdtPr>
              <w:sdtContent>
                <w:tc>
                  <w:tcPr>
                    <w:tcW w:w="1156" w:type="pct"/>
                    <w:vMerge w:val="restart"/>
                    <w:vAlign w:val="center"/>
                  </w:tcPr>
                  <w:p w:rsidR="00806678" w:rsidRDefault="00B16377" w:rsidP="003C052B">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坏账准备</w:t>
                    </w:r>
                  </w:p>
                </w:tc>
              </w:sdtContent>
            </w:sdt>
            <w:sdt>
              <w:sdtPr>
                <w:tag w:val="_PLD_34b0b4bcbee6472f945ee1ca26e45970"/>
                <w:id w:val="-1520313625"/>
                <w:lock w:val="sdtLocked"/>
              </w:sdtPr>
              <w:sdtContent>
                <w:tc>
                  <w:tcPr>
                    <w:tcW w:w="707" w:type="pct"/>
                    <w:vAlign w:val="center"/>
                  </w:tcPr>
                  <w:p w:rsidR="00806678" w:rsidRDefault="00B16377" w:rsidP="003C052B">
                    <w:pPr>
                      <w:pStyle w:val="TableParagraph"/>
                      <w:spacing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第一阶段</w:t>
                    </w:r>
                  </w:p>
                </w:tc>
              </w:sdtContent>
            </w:sdt>
            <w:sdt>
              <w:sdtPr>
                <w:tag w:val="_PLD_aa89fd65169d424f824fd7e383c25916"/>
                <w:id w:val="1013495773"/>
                <w:lock w:val="sdtLocked"/>
              </w:sdtPr>
              <w:sdtContent>
                <w:tc>
                  <w:tcPr>
                    <w:tcW w:w="1097" w:type="pct"/>
                    <w:vAlign w:val="center"/>
                  </w:tcPr>
                  <w:p w:rsidR="00806678" w:rsidRDefault="00B16377" w:rsidP="003C052B">
                    <w:pPr>
                      <w:pStyle w:val="TableParagraph"/>
                      <w:spacing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第二阶段</w:t>
                    </w:r>
                  </w:p>
                </w:tc>
              </w:sdtContent>
            </w:sdt>
            <w:sdt>
              <w:sdtPr>
                <w:tag w:val="_PLD_12639a93161546c79f54a930c0ece668"/>
                <w:id w:val="152345891"/>
                <w:lock w:val="sdtLocked"/>
              </w:sdtPr>
              <w:sdtContent>
                <w:tc>
                  <w:tcPr>
                    <w:tcW w:w="1097" w:type="pct"/>
                    <w:vAlign w:val="center"/>
                  </w:tcPr>
                  <w:p w:rsidR="00806678" w:rsidRDefault="00B16377" w:rsidP="003C052B">
                    <w:pPr>
                      <w:pStyle w:val="TableParagraph"/>
                      <w:spacing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第三阶段</w:t>
                    </w:r>
                  </w:p>
                </w:tc>
              </w:sdtContent>
            </w:sdt>
            <w:sdt>
              <w:sdtPr>
                <w:tag w:val="_PLD_5a93d463a9c749a7a3988972a030308e"/>
                <w:id w:val="-1742317624"/>
                <w:lock w:val="sdtLocked"/>
              </w:sdtPr>
              <w:sdtContent>
                <w:tc>
                  <w:tcPr>
                    <w:tcW w:w="943" w:type="pct"/>
                    <w:vMerge w:val="restart"/>
                    <w:vAlign w:val="center"/>
                  </w:tcPr>
                  <w:p w:rsidR="00806678" w:rsidRDefault="00B16377">
                    <w:pPr>
                      <w:pStyle w:val="TableParagraph"/>
                      <w:spacing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合计</w:t>
                    </w:r>
                  </w:p>
                </w:tc>
              </w:sdtContent>
            </w:sdt>
          </w:tr>
          <w:tr w:rsidR="00806678" w:rsidTr="003C052B">
            <w:tc>
              <w:tcPr>
                <w:tcW w:w="1156" w:type="pct"/>
                <w:vMerge/>
                <w:vAlign w:val="center"/>
              </w:tcPr>
              <w:p w:rsidR="00806678" w:rsidRDefault="00806678" w:rsidP="003C052B">
                <w:pPr>
                  <w:jc w:val="center"/>
                  <w:rPr>
                    <w:color w:val="008000"/>
                    <w:szCs w:val="21"/>
                  </w:rPr>
                </w:pPr>
              </w:p>
            </w:tc>
            <w:sdt>
              <w:sdtPr>
                <w:tag w:val="_PLD_6c31319b241149a587899b0690e3641d"/>
                <w:id w:val="-570653943"/>
                <w:lock w:val="sdtLocked"/>
              </w:sdtPr>
              <w:sdtContent>
                <w:tc>
                  <w:tcPr>
                    <w:tcW w:w="707" w:type="pct"/>
                    <w:vAlign w:val="center"/>
                  </w:tcPr>
                  <w:p w:rsidR="00806678" w:rsidRDefault="00B16377" w:rsidP="003C052B">
                    <w:pPr>
                      <w:pStyle w:val="TableParagraph"/>
                      <w:spacing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未来12个月预期信用损失</w:t>
                    </w:r>
                  </w:p>
                </w:tc>
              </w:sdtContent>
            </w:sdt>
            <w:sdt>
              <w:sdtPr>
                <w:tag w:val="_PLD_4c23d250a4214769af939ed6c6506e15"/>
                <w:id w:val="1528750496"/>
                <w:lock w:val="sdtLocked"/>
              </w:sdtPr>
              <w:sdtContent>
                <w:tc>
                  <w:tcPr>
                    <w:tcW w:w="1097" w:type="pct"/>
                    <w:vAlign w:val="center"/>
                  </w:tcPr>
                  <w:p w:rsidR="00806678" w:rsidRDefault="00B16377" w:rsidP="003C052B">
                    <w:pPr>
                      <w:pStyle w:val="TableParagraph"/>
                      <w:spacing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整个存续期预期信用损失(未发生信用减值)</w:t>
                    </w:r>
                  </w:p>
                </w:tc>
              </w:sdtContent>
            </w:sdt>
            <w:sdt>
              <w:sdtPr>
                <w:tag w:val="_PLD_96f4d1ff5d1541a5bcedcc9d7d297735"/>
                <w:id w:val="507564765"/>
                <w:lock w:val="sdtLocked"/>
              </w:sdtPr>
              <w:sdtContent>
                <w:tc>
                  <w:tcPr>
                    <w:tcW w:w="1097" w:type="pct"/>
                    <w:vAlign w:val="center"/>
                  </w:tcPr>
                  <w:p w:rsidR="00806678" w:rsidRDefault="00B16377" w:rsidP="003C052B">
                    <w:pPr>
                      <w:pStyle w:val="TableParagraph"/>
                      <w:spacing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整个存续期预期信用损失(已发生信用减值)</w:t>
                    </w:r>
                  </w:p>
                </w:tc>
              </w:sdtContent>
            </w:sdt>
            <w:tc>
              <w:tcPr>
                <w:tcW w:w="943" w:type="pct"/>
                <w:vMerge/>
              </w:tcPr>
              <w:p w:rsidR="00806678" w:rsidRDefault="00806678">
                <w:pPr>
                  <w:jc w:val="center"/>
                  <w:rPr>
                    <w:color w:val="008000"/>
                    <w:szCs w:val="21"/>
                  </w:rPr>
                </w:pPr>
              </w:p>
            </w:tc>
          </w:tr>
          <w:tr w:rsidR="00806678" w:rsidTr="00C84467">
            <w:sdt>
              <w:sdtPr>
                <w:tag w:val="_PLD_636c6852b25a4d6c858770d90584cecd"/>
                <w:id w:val="-629022688"/>
                <w:lock w:val="sdtLocked"/>
              </w:sdtPr>
              <w:sdtContent>
                <w:tc>
                  <w:tcPr>
                    <w:tcW w:w="1156" w:type="pct"/>
                    <w:vAlign w:val="center"/>
                  </w:tcPr>
                  <w:p w:rsidR="00806678" w:rsidRDefault="00B16377">
                    <w:pPr>
                      <w:pStyle w:val="TableParagraph"/>
                      <w:spacing w:after="0" w:line="240" w:lineRule="auto"/>
                      <w:jc w:val="both"/>
                      <w:rPr>
                        <w:rFonts w:ascii="宋体" w:eastAsia="宋体" w:hAnsi="宋体" w:cs="宋体"/>
                        <w:sz w:val="21"/>
                        <w:szCs w:val="21"/>
                        <w:lang w:eastAsia="zh-CN"/>
                      </w:rPr>
                    </w:pPr>
                    <w:r>
                      <w:rPr>
                        <w:rFonts w:ascii="宋体" w:eastAsia="宋体" w:hAnsi="宋体" w:cs="宋体"/>
                        <w:sz w:val="21"/>
                        <w:szCs w:val="21"/>
                        <w:lang w:eastAsia="zh-CN"/>
                      </w:rPr>
                      <w:t>2022年</w:t>
                    </w:r>
                    <w:r>
                      <w:rPr>
                        <w:rFonts w:ascii="宋体" w:eastAsia="宋体" w:hAnsi="宋体" w:cs="宋体" w:hint="eastAsia"/>
                        <w:sz w:val="21"/>
                        <w:szCs w:val="21"/>
                        <w:lang w:eastAsia="zh-CN"/>
                      </w:rPr>
                      <w:t>1月1日余额</w:t>
                    </w:r>
                  </w:p>
                </w:tc>
              </w:sdtContent>
            </w:sdt>
            <w:tc>
              <w:tcPr>
                <w:tcW w:w="707" w:type="pct"/>
              </w:tcPr>
              <w:p w:rsidR="00806678" w:rsidRDefault="002E6BBE">
                <w:pPr>
                  <w:jc w:val="right"/>
                  <w:rPr>
                    <w:szCs w:val="21"/>
                  </w:rPr>
                </w:pPr>
                <w:r>
                  <w:rPr>
                    <w:szCs w:val="21"/>
                  </w:rPr>
                  <w:t>494,079</w:t>
                </w:r>
              </w:p>
            </w:tc>
            <w:tc>
              <w:tcPr>
                <w:tcW w:w="1097" w:type="pct"/>
              </w:tcPr>
              <w:p w:rsidR="00806678" w:rsidRDefault="00806678">
                <w:pPr>
                  <w:jc w:val="right"/>
                  <w:rPr>
                    <w:szCs w:val="21"/>
                  </w:rPr>
                </w:pPr>
              </w:p>
            </w:tc>
            <w:tc>
              <w:tcPr>
                <w:tcW w:w="1097" w:type="pct"/>
              </w:tcPr>
              <w:p w:rsidR="00806678" w:rsidRDefault="002E6BBE">
                <w:pPr>
                  <w:jc w:val="right"/>
                  <w:rPr>
                    <w:szCs w:val="21"/>
                  </w:rPr>
                </w:pPr>
                <w:r>
                  <w:rPr>
                    <w:szCs w:val="21"/>
                  </w:rPr>
                  <w:t>226,314</w:t>
                </w:r>
              </w:p>
            </w:tc>
            <w:tc>
              <w:tcPr>
                <w:tcW w:w="943" w:type="pct"/>
              </w:tcPr>
              <w:p w:rsidR="00806678" w:rsidRDefault="002E6BBE">
                <w:pPr>
                  <w:jc w:val="right"/>
                  <w:rPr>
                    <w:szCs w:val="21"/>
                  </w:rPr>
                </w:pPr>
                <w:r>
                  <w:rPr>
                    <w:szCs w:val="21"/>
                  </w:rPr>
                  <w:t>720,393</w:t>
                </w:r>
              </w:p>
            </w:tc>
          </w:tr>
          <w:tr w:rsidR="00806678" w:rsidTr="00C84467">
            <w:sdt>
              <w:sdtPr>
                <w:tag w:val="_PLD_8d76e101f18446c7aefc9b77547c240d"/>
                <w:id w:val="-1480377309"/>
                <w:lock w:val="sdtLocked"/>
              </w:sdtPr>
              <w:sdtContent>
                <w:tc>
                  <w:tcPr>
                    <w:tcW w:w="1156" w:type="pct"/>
                    <w:vAlign w:val="center"/>
                  </w:tcPr>
                  <w:p w:rsidR="00806678" w:rsidRDefault="00B16377">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2022年1月1日余额在本期</w:t>
                    </w:r>
                  </w:p>
                </w:tc>
              </w:sdtContent>
            </w:sdt>
            <w:tc>
              <w:tcPr>
                <w:tcW w:w="707" w:type="pct"/>
              </w:tcPr>
              <w:p w:rsidR="00806678" w:rsidRDefault="00806678">
                <w:pPr>
                  <w:jc w:val="right"/>
                  <w:rPr>
                    <w:szCs w:val="21"/>
                  </w:rPr>
                </w:pPr>
              </w:p>
            </w:tc>
            <w:tc>
              <w:tcPr>
                <w:tcW w:w="1097" w:type="pct"/>
              </w:tcPr>
              <w:p w:rsidR="00806678" w:rsidRDefault="00806678">
                <w:pPr>
                  <w:jc w:val="right"/>
                  <w:rPr>
                    <w:szCs w:val="21"/>
                  </w:rPr>
                </w:pPr>
              </w:p>
            </w:tc>
            <w:tc>
              <w:tcPr>
                <w:tcW w:w="1097" w:type="pct"/>
              </w:tcPr>
              <w:p w:rsidR="00806678" w:rsidRDefault="00806678">
                <w:pPr>
                  <w:jc w:val="right"/>
                  <w:rPr>
                    <w:szCs w:val="21"/>
                  </w:rPr>
                </w:pPr>
              </w:p>
            </w:tc>
            <w:tc>
              <w:tcPr>
                <w:tcW w:w="943" w:type="pct"/>
              </w:tcPr>
              <w:p w:rsidR="00806678" w:rsidRDefault="00806678">
                <w:pPr>
                  <w:jc w:val="right"/>
                  <w:rPr>
                    <w:szCs w:val="21"/>
                  </w:rPr>
                </w:pPr>
              </w:p>
            </w:tc>
          </w:tr>
          <w:tr w:rsidR="00806678" w:rsidTr="00C84467">
            <w:sdt>
              <w:sdtPr>
                <w:tag w:val="_PLD_5e010be371bc49ac988bdf2cd90316dd"/>
                <w:id w:val="1613710764"/>
                <w:lock w:val="sdtLocked"/>
              </w:sdtPr>
              <w:sdtContent>
                <w:tc>
                  <w:tcPr>
                    <w:tcW w:w="1156" w:type="pct"/>
                    <w:vAlign w:val="center"/>
                  </w:tcPr>
                  <w:p w:rsidR="00806678" w:rsidRDefault="00B16377">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--转入第二阶段</w:t>
                    </w:r>
                  </w:p>
                </w:tc>
              </w:sdtContent>
            </w:sdt>
            <w:tc>
              <w:tcPr>
                <w:tcW w:w="707" w:type="pct"/>
              </w:tcPr>
              <w:p w:rsidR="00806678" w:rsidRDefault="00806678">
                <w:pPr>
                  <w:jc w:val="right"/>
                  <w:rPr>
                    <w:szCs w:val="21"/>
                  </w:rPr>
                </w:pPr>
              </w:p>
            </w:tc>
            <w:tc>
              <w:tcPr>
                <w:tcW w:w="1097" w:type="pct"/>
              </w:tcPr>
              <w:p w:rsidR="00806678" w:rsidRDefault="00806678">
                <w:pPr>
                  <w:jc w:val="right"/>
                  <w:rPr>
                    <w:szCs w:val="21"/>
                  </w:rPr>
                </w:pPr>
              </w:p>
            </w:tc>
            <w:tc>
              <w:tcPr>
                <w:tcW w:w="1097" w:type="pct"/>
              </w:tcPr>
              <w:p w:rsidR="00806678" w:rsidRDefault="00806678">
                <w:pPr>
                  <w:jc w:val="right"/>
                  <w:rPr>
                    <w:szCs w:val="21"/>
                  </w:rPr>
                </w:pPr>
              </w:p>
            </w:tc>
            <w:tc>
              <w:tcPr>
                <w:tcW w:w="943" w:type="pct"/>
              </w:tcPr>
              <w:p w:rsidR="00806678" w:rsidRDefault="00806678">
                <w:pPr>
                  <w:jc w:val="right"/>
                  <w:rPr>
                    <w:szCs w:val="21"/>
                  </w:rPr>
                </w:pPr>
              </w:p>
            </w:tc>
          </w:tr>
          <w:tr w:rsidR="00806678" w:rsidTr="00C84467">
            <w:sdt>
              <w:sdtPr>
                <w:tag w:val="_PLD_63738a038d3449bca2847d835279dc89"/>
                <w:id w:val="608545286"/>
                <w:lock w:val="sdtLocked"/>
              </w:sdtPr>
              <w:sdtContent>
                <w:tc>
                  <w:tcPr>
                    <w:tcW w:w="1156" w:type="pct"/>
                    <w:vAlign w:val="center"/>
                  </w:tcPr>
                  <w:p w:rsidR="00806678" w:rsidRDefault="00B16377">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--转入第三阶段</w:t>
                    </w:r>
                  </w:p>
                </w:tc>
              </w:sdtContent>
            </w:sdt>
            <w:tc>
              <w:tcPr>
                <w:tcW w:w="707" w:type="pct"/>
              </w:tcPr>
              <w:p w:rsidR="00806678" w:rsidRDefault="00806678">
                <w:pPr>
                  <w:jc w:val="right"/>
                  <w:rPr>
                    <w:szCs w:val="21"/>
                  </w:rPr>
                </w:pPr>
              </w:p>
            </w:tc>
            <w:tc>
              <w:tcPr>
                <w:tcW w:w="1097" w:type="pct"/>
              </w:tcPr>
              <w:p w:rsidR="00806678" w:rsidRDefault="00806678">
                <w:pPr>
                  <w:jc w:val="right"/>
                  <w:rPr>
                    <w:szCs w:val="21"/>
                  </w:rPr>
                </w:pPr>
              </w:p>
            </w:tc>
            <w:tc>
              <w:tcPr>
                <w:tcW w:w="1097" w:type="pct"/>
              </w:tcPr>
              <w:p w:rsidR="00806678" w:rsidRDefault="00806678">
                <w:pPr>
                  <w:jc w:val="right"/>
                  <w:rPr>
                    <w:szCs w:val="21"/>
                  </w:rPr>
                </w:pPr>
              </w:p>
            </w:tc>
            <w:tc>
              <w:tcPr>
                <w:tcW w:w="943" w:type="pct"/>
              </w:tcPr>
              <w:p w:rsidR="00806678" w:rsidRDefault="00806678">
                <w:pPr>
                  <w:jc w:val="right"/>
                  <w:rPr>
                    <w:szCs w:val="21"/>
                  </w:rPr>
                </w:pPr>
              </w:p>
            </w:tc>
          </w:tr>
          <w:tr w:rsidR="00806678" w:rsidTr="00C84467">
            <w:sdt>
              <w:sdtPr>
                <w:tag w:val="_PLD_afa70f36c93c48438cc961eb5a2a425b"/>
                <w:id w:val="221029679"/>
                <w:lock w:val="sdtLocked"/>
              </w:sdtPr>
              <w:sdtContent>
                <w:tc>
                  <w:tcPr>
                    <w:tcW w:w="1156" w:type="pct"/>
                    <w:vAlign w:val="center"/>
                  </w:tcPr>
                  <w:p w:rsidR="00806678" w:rsidRDefault="00B16377">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--转回第二阶段</w:t>
                    </w:r>
                  </w:p>
                </w:tc>
              </w:sdtContent>
            </w:sdt>
            <w:tc>
              <w:tcPr>
                <w:tcW w:w="707" w:type="pct"/>
              </w:tcPr>
              <w:p w:rsidR="00806678" w:rsidRDefault="00806678">
                <w:pPr>
                  <w:jc w:val="right"/>
                  <w:rPr>
                    <w:szCs w:val="21"/>
                  </w:rPr>
                </w:pPr>
              </w:p>
            </w:tc>
            <w:tc>
              <w:tcPr>
                <w:tcW w:w="1097" w:type="pct"/>
              </w:tcPr>
              <w:p w:rsidR="00806678" w:rsidRDefault="00806678">
                <w:pPr>
                  <w:jc w:val="right"/>
                  <w:rPr>
                    <w:szCs w:val="21"/>
                  </w:rPr>
                </w:pPr>
              </w:p>
            </w:tc>
            <w:tc>
              <w:tcPr>
                <w:tcW w:w="1097" w:type="pct"/>
              </w:tcPr>
              <w:p w:rsidR="00806678" w:rsidRDefault="00806678">
                <w:pPr>
                  <w:jc w:val="right"/>
                  <w:rPr>
                    <w:szCs w:val="21"/>
                  </w:rPr>
                </w:pPr>
              </w:p>
            </w:tc>
            <w:tc>
              <w:tcPr>
                <w:tcW w:w="943" w:type="pct"/>
              </w:tcPr>
              <w:p w:rsidR="00806678" w:rsidRDefault="00806678">
                <w:pPr>
                  <w:jc w:val="right"/>
                  <w:rPr>
                    <w:szCs w:val="21"/>
                  </w:rPr>
                </w:pPr>
              </w:p>
            </w:tc>
          </w:tr>
          <w:tr w:rsidR="00806678" w:rsidTr="00C84467">
            <w:sdt>
              <w:sdtPr>
                <w:tag w:val="_PLD_fe20cbca965349efad48e278ca08bce9"/>
                <w:id w:val="1339810999"/>
                <w:lock w:val="sdtLocked"/>
              </w:sdtPr>
              <w:sdtContent>
                <w:tc>
                  <w:tcPr>
                    <w:tcW w:w="1156" w:type="pct"/>
                    <w:vAlign w:val="center"/>
                  </w:tcPr>
                  <w:p w:rsidR="00806678" w:rsidRDefault="00B16377">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--转回第一阶段</w:t>
                    </w:r>
                  </w:p>
                </w:tc>
              </w:sdtContent>
            </w:sdt>
            <w:tc>
              <w:tcPr>
                <w:tcW w:w="707" w:type="pct"/>
              </w:tcPr>
              <w:p w:rsidR="00806678" w:rsidRDefault="00806678">
                <w:pPr>
                  <w:jc w:val="right"/>
                  <w:rPr>
                    <w:szCs w:val="21"/>
                  </w:rPr>
                </w:pPr>
              </w:p>
            </w:tc>
            <w:tc>
              <w:tcPr>
                <w:tcW w:w="1097" w:type="pct"/>
              </w:tcPr>
              <w:p w:rsidR="00806678" w:rsidRDefault="00806678">
                <w:pPr>
                  <w:jc w:val="right"/>
                  <w:rPr>
                    <w:szCs w:val="21"/>
                  </w:rPr>
                </w:pPr>
              </w:p>
            </w:tc>
            <w:tc>
              <w:tcPr>
                <w:tcW w:w="1097" w:type="pct"/>
              </w:tcPr>
              <w:p w:rsidR="00806678" w:rsidRDefault="00806678">
                <w:pPr>
                  <w:jc w:val="right"/>
                  <w:rPr>
                    <w:szCs w:val="21"/>
                  </w:rPr>
                </w:pPr>
              </w:p>
            </w:tc>
            <w:tc>
              <w:tcPr>
                <w:tcW w:w="943" w:type="pct"/>
              </w:tcPr>
              <w:p w:rsidR="00806678" w:rsidRDefault="00806678">
                <w:pPr>
                  <w:jc w:val="right"/>
                  <w:rPr>
                    <w:szCs w:val="21"/>
                  </w:rPr>
                </w:pPr>
              </w:p>
            </w:tc>
          </w:tr>
          <w:tr w:rsidR="002E6BBE" w:rsidTr="00C84467">
            <w:sdt>
              <w:sdtPr>
                <w:tag w:val="_PLD_50c9dbe685d24b538a9f91471f897441"/>
                <w:id w:val="2012788750"/>
                <w:lock w:val="sdtLocked"/>
              </w:sdtPr>
              <w:sdtContent>
                <w:tc>
                  <w:tcPr>
                    <w:tcW w:w="1156" w:type="pct"/>
                    <w:vAlign w:val="center"/>
                  </w:tcPr>
                  <w:p w:rsidR="002E6BBE" w:rsidRDefault="002E6BBE" w:rsidP="002E6BBE">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本期计提</w:t>
                    </w:r>
                  </w:p>
                </w:tc>
              </w:sdtContent>
            </w:sdt>
            <w:tc>
              <w:tcPr>
                <w:tcW w:w="707" w:type="pct"/>
                <w:vAlign w:val="center"/>
              </w:tcPr>
              <w:p w:rsidR="002E6BBE" w:rsidRDefault="002E6BBE" w:rsidP="002E6BBE">
                <w:pPr>
                  <w:jc w:val="right"/>
                  <w:rPr>
                    <w:szCs w:val="21"/>
                  </w:rPr>
                </w:pPr>
                <w:r>
                  <w:t>7,566</w:t>
                </w:r>
              </w:p>
            </w:tc>
            <w:tc>
              <w:tcPr>
                <w:tcW w:w="1097" w:type="pct"/>
              </w:tcPr>
              <w:p w:rsidR="002E6BBE" w:rsidRDefault="002E6BBE" w:rsidP="002E6BBE">
                <w:pPr>
                  <w:jc w:val="right"/>
                  <w:rPr>
                    <w:szCs w:val="21"/>
                  </w:rPr>
                </w:pPr>
              </w:p>
            </w:tc>
            <w:tc>
              <w:tcPr>
                <w:tcW w:w="1097" w:type="pct"/>
              </w:tcPr>
              <w:p w:rsidR="002E6BBE" w:rsidRDefault="002E6BBE" w:rsidP="002E6BBE">
                <w:pPr>
                  <w:jc w:val="right"/>
                  <w:rPr>
                    <w:szCs w:val="21"/>
                  </w:rPr>
                </w:pPr>
              </w:p>
            </w:tc>
            <w:tc>
              <w:tcPr>
                <w:tcW w:w="943" w:type="pct"/>
                <w:vAlign w:val="center"/>
              </w:tcPr>
              <w:p w:rsidR="002E6BBE" w:rsidRDefault="002E6BBE" w:rsidP="002E6BBE">
                <w:pPr>
                  <w:jc w:val="right"/>
                  <w:rPr>
                    <w:szCs w:val="21"/>
                  </w:rPr>
                </w:pPr>
                <w:r>
                  <w:t>7,566</w:t>
                </w:r>
              </w:p>
            </w:tc>
          </w:tr>
          <w:tr w:rsidR="002E6BBE" w:rsidTr="00C84467">
            <w:tc>
              <w:tcPr>
                <w:tcW w:w="1156" w:type="pct"/>
                <w:vAlign w:val="center"/>
              </w:tcPr>
              <w:sdt>
                <w:sdtPr>
                  <w:rPr>
                    <w:rFonts w:asciiTheme="minorEastAsia" w:eastAsiaTheme="minorEastAsia" w:hAnsiTheme="minorEastAsia" w:hint="eastAsia"/>
                    <w:sz w:val="21"/>
                    <w:szCs w:val="21"/>
                    <w:lang w:eastAsia="zh-CN"/>
                  </w:rPr>
                  <w:tag w:val="_PLD_79504f893fac4dabb6855f65540330eb"/>
                  <w:id w:val="-167026692"/>
                  <w:lock w:val="sdtLocked"/>
                </w:sdtPr>
                <w:sdtContent>
                  <w:p w:rsidR="002E6BBE" w:rsidRDefault="002E6BBE" w:rsidP="002E6BBE">
                    <w:pPr>
                      <w:pStyle w:val="TableParagraph"/>
                      <w:spacing w:after="0" w:line="240" w:lineRule="auto"/>
                      <w:jc w:val="both"/>
                      <w:rPr>
                        <w:rFonts w:asciiTheme="minorEastAsia" w:eastAsiaTheme="minorEastAsia" w:hAnsiTheme="minorEastAsia"/>
                        <w:sz w:val="21"/>
                        <w:szCs w:val="21"/>
                      </w:rPr>
                    </w:pPr>
                    <w:r>
                      <w:rPr>
                        <w:rFonts w:asciiTheme="minorEastAsia" w:eastAsiaTheme="minorEastAsia" w:hAnsiTheme="minorEastAsia" w:hint="eastAsia"/>
                        <w:sz w:val="21"/>
                        <w:szCs w:val="21"/>
                        <w:lang w:eastAsia="zh-CN"/>
                      </w:rPr>
                      <w:t>本期转回</w:t>
                    </w:r>
                  </w:p>
                </w:sdtContent>
              </w:sdt>
            </w:tc>
            <w:tc>
              <w:tcPr>
                <w:tcW w:w="707" w:type="pct"/>
                <w:vAlign w:val="center"/>
              </w:tcPr>
              <w:p w:rsidR="002E6BBE" w:rsidRDefault="002E6BBE" w:rsidP="002E6BBE">
                <w:pPr>
                  <w:jc w:val="right"/>
                  <w:rPr>
                    <w:szCs w:val="21"/>
                  </w:rPr>
                </w:pPr>
                <w:r>
                  <w:t>-39,929</w:t>
                </w:r>
              </w:p>
            </w:tc>
            <w:tc>
              <w:tcPr>
                <w:tcW w:w="1097" w:type="pct"/>
              </w:tcPr>
              <w:p w:rsidR="002E6BBE" w:rsidRDefault="002E6BBE" w:rsidP="002E6BBE">
                <w:pPr>
                  <w:jc w:val="right"/>
                  <w:rPr>
                    <w:szCs w:val="21"/>
                  </w:rPr>
                </w:pPr>
              </w:p>
            </w:tc>
            <w:tc>
              <w:tcPr>
                <w:tcW w:w="1097" w:type="pct"/>
              </w:tcPr>
              <w:p w:rsidR="002E6BBE" w:rsidRDefault="002E6BBE" w:rsidP="002E6BBE">
                <w:pPr>
                  <w:jc w:val="right"/>
                  <w:rPr>
                    <w:szCs w:val="21"/>
                  </w:rPr>
                </w:pPr>
              </w:p>
            </w:tc>
            <w:tc>
              <w:tcPr>
                <w:tcW w:w="943" w:type="pct"/>
                <w:vAlign w:val="center"/>
              </w:tcPr>
              <w:p w:rsidR="002E6BBE" w:rsidRDefault="002E6BBE" w:rsidP="002E6BBE">
                <w:pPr>
                  <w:jc w:val="right"/>
                  <w:rPr>
                    <w:szCs w:val="21"/>
                  </w:rPr>
                </w:pPr>
                <w:r>
                  <w:t>-39,929</w:t>
                </w:r>
              </w:p>
            </w:tc>
          </w:tr>
          <w:tr w:rsidR="002E6BBE" w:rsidTr="00C84467">
            <w:sdt>
              <w:sdtPr>
                <w:tag w:val="_PLD_475397d5def24e16954d676c7af7c2a1"/>
                <w:id w:val="1478413927"/>
                <w:lock w:val="sdtLocked"/>
              </w:sdtPr>
              <w:sdtContent>
                <w:tc>
                  <w:tcPr>
                    <w:tcW w:w="1156" w:type="pct"/>
                    <w:vAlign w:val="center"/>
                  </w:tcPr>
                  <w:p w:rsidR="002E6BBE" w:rsidRDefault="002E6BBE" w:rsidP="002E6BBE">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本期转销</w:t>
                    </w:r>
                  </w:p>
                </w:tc>
              </w:sdtContent>
            </w:sdt>
            <w:tc>
              <w:tcPr>
                <w:tcW w:w="707" w:type="pct"/>
              </w:tcPr>
              <w:p w:rsidR="002E6BBE" w:rsidRDefault="002E6BBE" w:rsidP="002E6BBE">
                <w:pPr>
                  <w:jc w:val="right"/>
                  <w:rPr>
                    <w:szCs w:val="21"/>
                  </w:rPr>
                </w:pPr>
              </w:p>
            </w:tc>
            <w:tc>
              <w:tcPr>
                <w:tcW w:w="1097" w:type="pct"/>
              </w:tcPr>
              <w:p w:rsidR="002E6BBE" w:rsidRDefault="002E6BBE" w:rsidP="002E6BBE">
                <w:pPr>
                  <w:jc w:val="right"/>
                  <w:rPr>
                    <w:szCs w:val="21"/>
                  </w:rPr>
                </w:pPr>
              </w:p>
            </w:tc>
            <w:tc>
              <w:tcPr>
                <w:tcW w:w="1097" w:type="pct"/>
              </w:tcPr>
              <w:p w:rsidR="002E6BBE" w:rsidRDefault="002E6BBE" w:rsidP="002E6BBE">
                <w:pPr>
                  <w:jc w:val="right"/>
                  <w:rPr>
                    <w:szCs w:val="21"/>
                  </w:rPr>
                </w:pPr>
              </w:p>
            </w:tc>
            <w:tc>
              <w:tcPr>
                <w:tcW w:w="943" w:type="pct"/>
              </w:tcPr>
              <w:p w:rsidR="002E6BBE" w:rsidRDefault="002E6BBE" w:rsidP="002E6BBE">
                <w:pPr>
                  <w:jc w:val="right"/>
                  <w:rPr>
                    <w:szCs w:val="21"/>
                  </w:rPr>
                </w:pPr>
              </w:p>
            </w:tc>
          </w:tr>
          <w:tr w:rsidR="002E6BBE" w:rsidTr="00C84467">
            <w:tc>
              <w:tcPr>
                <w:tcW w:w="1156" w:type="pct"/>
                <w:vAlign w:val="center"/>
              </w:tcPr>
              <w:sdt>
                <w:sdtPr>
                  <w:rPr>
                    <w:rFonts w:asciiTheme="minorEastAsia" w:eastAsiaTheme="minorEastAsia" w:hAnsiTheme="minorEastAsia" w:hint="eastAsia"/>
                    <w:sz w:val="21"/>
                    <w:szCs w:val="21"/>
                    <w:lang w:eastAsia="zh-CN"/>
                  </w:rPr>
                  <w:tag w:val="_PLD_cb7c12fe888d4a778dd9f6f245a14b28"/>
                  <w:id w:val="-1371605815"/>
                  <w:lock w:val="sdtLocked"/>
                </w:sdtPr>
                <w:sdtContent>
                  <w:p w:rsidR="002E6BBE" w:rsidRDefault="002E6BBE" w:rsidP="002E6BBE">
                    <w:pPr>
                      <w:pStyle w:val="TableParagraph"/>
                      <w:spacing w:after="0" w:line="240" w:lineRule="auto"/>
                      <w:jc w:val="both"/>
                      <w:rPr>
                        <w:rFonts w:asciiTheme="minorEastAsia" w:eastAsiaTheme="minorEastAsia" w:hAnsiTheme="minorEastAsia"/>
                        <w:sz w:val="21"/>
                        <w:szCs w:val="21"/>
                      </w:rPr>
                    </w:pPr>
                    <w:r>
                      <w:rPr>
                        <w:rFonts w:asciiTheme="minorEastAsia" w:eastAsiaTheme="minorEastAsia" w:hAnsiTheme="minorEastAsia" w:hint="eastAsia"/>
                        <w:sz w:val="21"/>
                        <w:szCs w:val="21"/>
                        <w:lang w:eastAsia="zh-CN"/>
                      </w:rPr>
                      <w:t>本期核销</w:t>
                    </w:r>
                  </w:p>
                </w:sdtContent>
              </w:sdt>
            </w:tc>
            <w:tc>
              <w:tcPr>
                <w:tcW w:w="707" w:type="pct"/>
              </w:tcPr>
              <w:p w:rsidR="002E6BBE" w:rsidRDefault="002E6BBE" w:rsidP="002E6BBE">
                <w:pPr>
                  <w:jc w:val="right"/>
                  <w:rPr>
                    <w:szCs w:val="21"/>
                  </w:rPr>
                </w:pPr>
              </w:p>
            </w:tc>
            <w:tc>
              <w:tcPr>
                <w:tcW w:w="1097" w:type="pct"/>
              </w:tcPr>
              <w:p w:rsidR="002E6BBE" w:rsidRDefault="002E6BBE" w:rsidP="002E6BBE">
                <w:pPr>
                  <w:jc w:val="right"/>
                  <w:rPr>
                    <w:szCs w:val="21"/>
                  </w:rPr>
                </w:pPr>
              </w:p>
            </w:tc>
            <w:tc>
              <w:tcPr>
                <w:tcW w:w="1097" w:type="pct"/>
              </w:tcPr>
              <w:p w:rsidR="002E6BBE" w:rsidRDefault="002E6BBE" w:rsidP="002E6BBE">
                <w:pPr>
                  <w:jc w:val="right"/>
                  <w:rPr>
                    <w:szCs w:val="21"/>
                  </w:rPr>
                </w:pPr>
              </w:p>
            </w:tc>
            <w:tc>
              <w:tcPr>
                <w:tcW w:w="943" w:type="pct"/>
              </w:tcPr>
              <w:p w:rsidR="002E6BBE" w:rsidRDefault="002E6BBE" w:rsidP="002E6BBE">
                <w:pPr>
                  <w:jc w:val="right"/>
                  <w:rPr>
                    <w:szCs w:val="21"/>
                  </w:rPr>
                </w:pPr>
              </w:p>
            </w:tc>
          </w:tr>
          <w:tr w:rsidR="002E6BBE" w:rsidTr="00C84467">
            <w:sdt>
              <w:sdtPr>
                <w:tag w:val="_PLD_fd1e6581892848cf98bea9d0e50db1c2"/>
                <w:id w:val="-1157293578"/>
                <w:lock w:val="sdtLocked"/>
              </w:sdtPr>
              <w:sdtContent>
                <w:tc>
                  <w:tcPr>
                    <w:tcW w:w="1156" w:type="pct"/>
                    <w:vAlign w:val="center"/>
                  </w:tcPr>
                  <w:p w:rsidR="002E6BBE" w:rsidRDefault="002E6BBE" w:rsidP="002E6BBE">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其他变动</w:t>
                    </w:r>
                  </w:p>
                </w:tc>
              </w:sdtContent>
            </w:sdt>
            <w:tc>
              <w:tcPr>
                <w:tcW w:w="707" w:type="pct"/>
              </w:tcPr>
              <w:p w:rsidR="002E6BBE" w:rsidRDefault="002E6BBE" w:rsidP="002E6BBE">
                <w:pPr>
                  <w:jc w:val="right"/>
                  <w:rPr>
                    <w:szCs w:val="21"/>
                  </w:rPr>
                </w:pPr>
              </w:p>
            </w:tc>
            <w:tc>
              <w:tcPr>
                <w:tcW w:w="1097" w:type="pct"/>
              </w:tcPr>
              <w:p w:rsidR="002E6BBE" w:rsidRDefault="002E6BBE" w:rsidP="002E6BBE">
                <w:pPr>
                  <w:jc w:val="right"/>
                  <w:rPr>
                    <w:szCs w:val="21"/>
                  </w:rPr>
                </w:pPr>
              </w:p>
            </w:tc>
            <w:tc>
              <w:tcPr>
                <w:tcW w:w="1097" w:type="pct"/>
              </w:tcPr>
              <w:p w:rsidR="002E6BBE" w:rsidRDefault="002E6BBE" w:rsidP="002E6BBE">
                <w:pPr>
                  <w:jc w:val="right"/>
                  <w:rPr>
                    <w:szCs w:val="21"/>
                  </w:rPr>
                </w:pPr>
              </w:p>
            </w:tc>
            <w:tc>
              <w:tcPr>
                <w:tcW w:w="943" w:type="pct"/>
              </w:tcPr>
              <w:p w:rsidR="002E6BBE" w:rsidRDefault="002E6BBE" w:rsidP="002E6BBE">
                <w:pPr>
                  <w:jc w:val="right"/>
                  <w:rPr>
                    <w:szCs w:val="21"/>
                  </w:rPr>
                </w:pPr>
              </w:p>
            </w:tc>
          </w:tr>
          <w:tr w:rsidR="002E6BBE" w:rsidTr="00C84467">
            <w:sdt>
              <w:sdtPr>
                <w:tag w:val="_PLD_01c7357707ce462eb575e4dfd7b344fa"/>
                <w:id w:val="878059499"/>
                <w:lock w:val="sdtLocked"/>
              </w:sdtPr>
              <w:sdtContent>
                <w:tc>
                  <w:tcPr>
                    <w:tcW w:w="1156" w:type="pct"/>
                    <w:vAlign w:val="center"/>
                  </w:tcPr>
                  <w:p w:rsidR="002E6BBE" w:rsidRDefault="002E6BBE" w:rsidP="002E6BBE">
                    <w:pPr>
                      <w:pStyle w:val="TableParagraph"/>
                      <w:spacing w:after="0" w:line="240" w:lineRule="auto"/>
                      <w:rPr>
                        <w:rFonts w:ascii="宋体" w:eastAsia="宋体" w:hAnsi="宋体" w:cs="宋体"/>
                        <w:sz w:val="21"/>
                        <w:szCs w:val="21"/>
                        <w:lang w:eastAsia="zh-CN"/>
                      </w:rPr>
                    </w:pPr>
                    <w:r>
                      <w:rPr>
                        <w:rFonts w:ascii="宋体" w:eastAsia="宋体" w:hAnsi="宋体" w:cs="宋体"/>
                        <w:sz w:val="21"/>
                        <w:szCs w:val="21"/>
                        <w:lang w:eastAsia="zh-CN"/>
                      </w:rPr>
                      <w:t>2022年12月31日</w:t>
                    </w:r>
                    <w:r>
                      <w:rPr>
                        <w:rFonts w:ascii="宋体" w:eastAsia="宋体" w:hAnsi="宋体" w:cs="宋体" w:hint="eastAsia"/>
                        <w:sz w:val="21"/>
                        <w:szCs w:val="21"/>
                        <w:lang w:eastAsia="zh-CN"/>
                      </w:rPr>
                      <w:t>余额</w:t>
                    </w:r>
                  </w:p>
                </w:tc>
              </w:sdtContent>
            </w:sdt>
            <w:tc>
              <w:tcPr>
                <w:tcW w:w="707" w:type="pct"/>
              </w:tcPr>
              <w:p w:rsidR="002E6BBE" w:rsidRDefault="002E6BBE" w:rsidP="002E6BBE">
                <w:pPr>
                  <w:jc w:val="right"/>
                  <w:rPr>
                    <w:szCs w:val="21"/>
                  </w:rPr>
                </w:pPr>
                <w:r>
                  <w:rPr>
                    <w:szCs w:val="21"/>
                  </w:rPr>
                  <w:t>461,716</w:t>
                </w:r>
              </w:p>
            </w:tc>
            <w:tc>
              <w:tcPr>
                <w:tcW w:w="1097" w:type="pct"/>
              </w:tcPr>
              <w:p w:rsidR="002E6BBE" w:rsidRDefault="002E6BBE" w:rsidP="002E6BBE">
                <w:pPr>
                  <w:jc w:val="right"/>
                  <w:rPr>
                    <w:szCs w:val="21"/>
                  </w:rPr>
                </w:pPr>
              </w:p>
            </w:tc>
            <w:tc>
              <w:tcPr>
                <w:tcW w:w="1097" w:type="pct"/>
              </w:tcPr>
              <w:p w:rsidR="002E6BBE" w:rsidRDefault="002E6BBE" w:rsidP="002E6BBE">
                <w:pPr>
                  <w:jc w:val="right"/>
                  <w:rPr>
                    <w:szCs w:val="21"/>
                  </w:rPr>
                </w:pPr>
                <w:r>
                  <w:rPr>
                    <w:szCs w:val="21"/>
                  </w:rPr>
                  <w:t>226,314</w:t>
                </w:r>
              </w:p>
            </w:tc>
            <w:tc>
              <w:tcPr>
                <w:tcW w:w="943" w:type="pct"/>
              </w:tcPr>
              <w:p w:rsidR="002E6BBE" w:rsidRDefault="002E6BBE" w:rsidP="002E6BBE">
                <w:pPr>
                  <w:jc w:val="right"/>
                  <w:rPr>
                    <w:szCs w:val="21"/>
                  </w:rPr>
                </w:pPr>
                <w:r>
                  <w:rPr>
                    <w:szCs w:val="21"/>
                  </w:rPr>
                  <w:t>688,030</w:t>
                </w:r>
              </w:p>
            </w:tc>
          </w:tr>
        </w:tbl>
        <w:p w:rsidR="00806678" w:rsidRDefault="00806678"/>
        <w:p w:rsidR="00806678" w:rsidRDefault="00B16377">
          <w:pPr>
            <w:pStyle w:val="af7"/>
          </w:pPr>
          <w:r>
            <w:rPr>
              <w:rFonts w:hint="eastAsia"/>
            </w:rPr>
            <w:t>对本期发生损失准备变动的其他应收款账面余额显著变动的情况说明：</w:t>
          </w:r>
        </w:p>
        <w:sdt>
          <w:sdtPr>
            <w:alias w:val="是否适用：母公司其他应收款本期发生损失准备变动且账面余额显著变动的情况说明[双击切换]"/>
            <w:tag w:val="_GBC_ef54a1b6105d438ab26e495100db4163"/>
            <w:id w:val="290094522"/>
            <w:lock w:val="sdtLocked"/>
            <w:placeholder>
              <w:docPart w:val="GBC22222222222222222222222222222"/>
            </w:placeholder>
          </w:sdtPr>
          <w:sdtContent>
            <w:p w:rsidR="00806678" w:rsidRDefault="00F80B6C">
              <w:r>
                <w:fldChar w:fldCharType="begin"/>
              </w:r>
              <w:r w:rsidR="00114E27">
                <w:instrText xml:space="preserve"> MACROBUTTON  SnrToggleCheckbox □适用 </w:instrText>
              </w:r>
              <w:r>
                <w:fldChar w:fldCharType="end"/>
              </w:r>
              <w:r>
                <w:fldChar w:fldCharType="begin"/>
              </w:r>
              <w:r w:rsidR="00114E27">
                <w:instrText xml:space="preserve"> MACROBUTTON  SnrToggleCheckbox √不适用 </w:instrText>
              </w:r>
              <w:r>
                <w:fldChar w:fldCharType="end"/>
              </w:r>
            </w:p>
          </w:sdtContent>
        </w:sdt>
      </w:sdtContent>
    </w:sdt>
    <w:bookmarkEnd w:id="281" w:displacedByCustomXml="prev"/>
    <w:bookmarkStart w:id="282" w:name="_Hlk534806894" w:displacedByCustomXml="next"/>
    <w:sdt>
      <w:sdtPr>
        <w:alias w:val="模块:本期坏账准备计提金额以及评估金融工具的信用风险是否显著增加的采用依据"/>
        <w:tag w:val="_SEC_fbab0742fc2c44e3ad68d85a2a28dba0"/>
        <w:id w:val="1857921457"/>
        <w:lock w:val="sdtLocked"/>
        <w:placeholder>
          <w:docPart w:val="GBC22222222222222222222222222222"/>
        </w:placeholder>
      </w:sdtPr>
      <w:sdtContent>
        <w:p w:rsidR="00806678" w:rsidRDefault="00B16377">
          <w:r>
            <w:rPr>
              <w:rFonts w:hint="eastAsia"/>
            </w:rPr>
            <w:t>本期坏账准备计提金额以及评估金融工具的信用风险是否显著增加的采用依据：</w:t>
          </w:r>
        </w:p>
        <w:sdt>
          <w:sdtPr>
            <w:alias w:val="是否适用：母公司其他应收款坏账准备计提金额以及评估金融工具的信用风险是否显著增加的采用依据[双击切换]"/>
            <w:tag w:val="_GBC_4dddf1fe216a4414afb56ff70de3d722"/>
            <w:id w:val="-854960538"/>
            <w:lock w:val="sdtLocked"/>
            <w:placeholder>
              <w:docPart w:val="GBC22222222222222222222222222222"/>
            </w:placeholder>
          </w:sdtPr>
          <w:sdtContent>
            <w:p w:rsidR="00806678" w:rsidRDefault="00F80B6C" w:rsidP="00114E27">
              <w:r>
                <w:fldChar w:fldCharType="begin"/>
              </w:r>
              <w:r w:rsidR="00114E27">
                <w:instrText xml:space="preserve"> MACROBUTTON  SnrToggleCheckbox □适用 </w:instrText>
              </w:r>
              <w:r>
                <w:fldChar w:fldCharType="end"/>
              </w:r>
              <w:r>
                <w:fldChar w:fldCharType="begin"/>
              </w:r>
              <w:r w:rsidR="00114E27">
                <w:instrText xml:space="preserve"> MACROBUTTON  SnrToggleCheckbox √不适用 </w:instrText>
              </w:r>
              <w:r>
                <w:fldChar w:fldCharType="end"/>
              </w:r>
            </w:p>
          </w:sdtContent>
        </w:sdt>
        <w:p w:rsidR="00806678" w:rsidRDefault="00F80B6C"/>
      </w:sdtContent>
    </w:sdt>
    <w:bookmarkEnd w:id="282" w:displacedByCustomXml="prev"/>
    <w:bookmarkStart w:id="283" w:name="_Hlk533797618" w:displacedByCustomXml="next"/>
    <w:sdt>
      <w:sdtPr>
        <w:rPr>
          <w:rFonts w:ascii="宋体" w:eastAsia="宋体" w:hAnsi="宋体" w:cs="宋体" w:hint="eastAsia"/>
          <w:b w:val="0"/>
          <w:bCs w:val="0"/>
          <w:kern w:val="0"/>
          <w:szCs w:val="24"/>
        </w:rPr>
        <w:alias w:val="模块:坏账准备的情况"/>
        <w:tag w:val="_SEC_f423d6eb34fc4ed68280e4e283cb023a"/>
        <w:id w:val="-1688602162"/>
        <w:lock w:val="sdtLocked"/>
        <w:placeholder>
          <w:docPart w:val="GBC22222222222222222222222222222"/>
        </w:placeholder>
      </w:sdtPr>
      <w:sdtEndPr>
        <w:rPr>
          <w:rFonts w:hint="default"/>
          <w:szCs w:val="21"/>
        </w:rPr>
      </w:sdtEndPr>
      <w:sdtContent>
        <w:p w:rsidR="00806678" w:rsidRDefault="00B16377" w:rsidP="00FF17C7">
          <w:pPr>
            <w:pStyle w:val="4"/>
            <w:numPr>
              <w:ilvl w:val="0"/>
              <w:numId w:val="60"/>
            </w:numPr>
          </w:pPr>
          <w:r>
            <w:rPr>
              <w:rFonts w:hint="eastAsia"/>
            </w:rPr>
            <w:t>坏账准备的情况</w:t>
          </w:r>
        </w:p>
        <w:sdt>
          <w:sdtPr>
            <w:alias w:val="是否适用：母公司其他应收款坏账准备情况[双击切换]"/>
            <w:tag w:val="_GBC_fe964b2b8e824335995eaad4df852022"/>
            <w:id w:val="-1267530833"/>
            <w:lock w:val="sdtLocked"/>
            <w:placeholder>
              <w:docPart w:val="GBC22222222222222222222222222222"/>
            </w:placeholder>
          </w:sdtPr>
          <w:sdtContent>
            <w:p w:rsidR="00806678" w:rsidRDefault="00F80B6C" w:rsidP="00114E27">
              <w:pPr>
                <w:rPr>
                  <w:szCs w:val="21"/>
                </w:rPr>
              </w:pPr>
              <w:r>
                <w:fldChar w:fldCharType="begin"/>
              </w:r>
              <w:r w:rsidR="00114E27">
                <w:instrText xml:space="preserve"> MACROBUTTON  SnrToggleCheckbox □适用 </w:instrText>
              </w:r>
              <w:r>
                <w:fldChar w:fldCharType="end"/>
              </w:r>
              <w:r>
                <w:fldChar w:fldCharType="begin"/>
              </w:r>
              <w:r w:rsidR="00114E27">
                <w:instrText xml:space="preserve"> MACROBUTTON  SnrToggleCheckbox √不适用 </w:instrText>
              </w:r>
              <w:r>
                <w:fldChar w:fldCharType="end"/>
              </w:r>
            </w:p>
          </w:sdtContent>
        </w:sdt>
        <w:bookmarkEnd w:id="283" w:displacedByCustomXml="next"/>
      </w:sdtContent>
    </w:sdt>
    <w:sdt>
      <w:sdtPr>
        <w:rPr>
          <w:rFonts w:asciiTheme="minorHAnsi" w:eastAsia="宋体" w:hAnsiTheme="minorHAnsi" w:cs="宋体" w:hint="eastAsia"/>
          <w:b w:val="0"/>
          <w:bCs w:val="0"/>
          <w:kern w:val="0"/>
          <w:szCs w:val="22"/>
        </w:rPr>
        <w:alias w:val="模块:本报告期实际核销的其他应收款情况"/>
        <w:tag w:val="_SEC_95497f8a3ba04097840502fb3e809791"/>
        <w:id w:val="740842068"/>
        <w:lock w:val="sdtLocked"/>
        <w:placeholder>
          <w:docPart w:val="GBC22222222222222222222222222222"/>
        </w:placeholder>
      </w:sdtPr>
      <w:sdtEndPr>
        <w:rPr>
          <w:rFonts w:ascii="Times New Roman" w:hAnsi="Times New Roman" w:cs="Times New Roman"/>
          <w:kern w:val="2"/>
          <w:szCs w:val="24"/>
        </w:rPr>
      </w:sdtEndPr>
      <w:sdtContent>
        <w:p w:rsidR="00806678" w:rsidRDefault="00B16377" w:rsidP="00FF17C7">
          <w:pPr>
            <w:pStyle w:val="4"/>
            <w:numPr>
              <w:ilvl w:val="0"/>
              <w:numId w:val="60"/>
            </w:numPr>
          </w:pPr>
          <w:r>
            <w:rPr>
              <w:rFonts w:hint="eastAsia"/>
            </w:rPr>
            <w:t>本期实际核销的其他应收款情况</w:t>
          </w:r>
        </w:p>
        <w:sdt>
          <w:sdtPr>
            <w:alias w:val="是否适用：母公司本期实际核销的其他应收款情况[双击切换]"/>
            <w:tag w:val="_GBC_1513ed448adb4dda8e855e090428591f"/>
            <w:id w:val="-440074624"/>
            <w:lock w:val="sdtLocked"/>
            <w:placeholder>
              <w:docPart w:val="GBC22222222222222222222222222222"/>
            </w:placeholder>
          </w:sdtPr>
          <w:sdtContent>
            <w:p w:rsidR="00114E27" w:rsidRDefault="00F80B6C" w:rsidP="00114E27">
              <w:pPr>
                <w:rPr>
                  <w:szCs w:val="21"/>
                </w:rPr>
              </w:pPr>
              <w:r>
                <w:fldChar w:fldCharType="begin"/>
              </w:r>
              <w:r w:rsidR="00114E27">
                <w:instrText xml:space="preserve">MACROBUTTON  SnrToggleCheckbox □适用 </w:instrText>
              </w:r>
              <w:r>
                <w:fldChar w:fldCharType="end"/>
              </w:r>
              <w:r>
                <w:fldChar w:fldCharType="begin"/>
              </w:r>
              <w:r w:rsidR="00114E27">
                <w:instrText xml:space="preserve"> MACROBUTTON  SnrToggleCheckbox √不适用 </w:instrText>
              </w:r>
              <w:r>
                <w:fldChar w:fldCharType="end"/>
              </w:r>
            </w:p>
          </w:sdtContent>
        </w:sdt>
        <w:p w:rsidR="00806678" w:rsidRDefault="00806678">
          <w:pPr>
            <w:snapToGrid w:val="0"/>
            <w:spacing w:line="240" w:lineRule="atLeast"/>
            <w:rPr>
              <w:szCs w:val="21"/>
            </w:rPr>
          </w:pPr>
        </w:p>
        <w:p w:rsidR="00806678" w:rsidRDefault="00F80B6C"/>
      </w:sdtContent>
    </w:sdt>
    <w:sdt>
      <w:sdtPr>
        <w:rPr>
          <w:rFonts w:ascii="宋体" w:eastAsia="宋体" w:hAnsi="宋体" w:cs="宋体" w:hint="eastAsia"/>
          <w:b w:val="0"/>
          <w:bCs w:val="0"/>
          <w:kern w:val="0"/>
          <w:szCs w:val="24"/>
        </w:rPr>
        <w:alias w:val="模块:按欠款方归集的期末余额前五名的其他应收款情况"/>
        <w:tag w:val="_SEC_6f759e5be9a9426cadf575a65a7d3434"/>
        <w:id w:val="-1871603012"/>
        <w:lock w:val="sdtLocked"/>
        <w:placeholder>
          <w:docPart w:val="GBC22222222222222222222222222222"/>
        </w:placeholder>
      </w:sdtPr>
      <w:sdtEndPr>
        <w:rPr>
          <w:rFonts w:hint="default"/>
        </w:rPr>
      </w:sdtEndPr>
      <w:sdtContent>
        <w:p w:rsidR="00806678" w:rsidRDefault="00B16377" w:rsidP="00FF17C7">
          <w:pPr>
            <w:pStyle w:val="4"/>
            <w:numPr>
              <w:ilvl w:val="0"/>
              <w:numId w:val="60"/>
            </w:numPr>
          </w:pPr>
          <w:r>
            <w:rPr>
              <w:rFonts w:hint="eastAsia"/>
            </w:rPr>
            <w:t>按欠款方归集的期末余额前五名的其他应收款情况</w:t>
          </w:r>
        </w:p>
        <w:sdt>
          <w:sdtPr>
            <w:alias w:val="是否适用：母公司按欠款方归集的期末余额前五名的其他应收款情况[双击切换]"/>
            <w:tag w:val="_GBC_40b667221c1442478b0cdaa57feca3d8"/>
            <w:id w:val="1506857089"/>
            <w:lock w:val="sdtLocked"/>
            <w:placeholder>
              <w:docPart w:val="GBC22222222222222222222222222222"/>
            </w:placeholder>
          </w:sdtPr>
          <w:sdtContent>
            <w:p w:rsidR="00806678" w:rsidRDefault="00F80B6C">
              <w:r>
                <w:fldChar w:fldCharType="begin"/>
              </w:r>
              <w:r w:rsidR="00114E27">
                <w:instrText xml:space="preserve">MACROBUTTON  SnrToggleCheckbox √适用 </w:instrText>
              </w:r>
              <w:r>
                <w:fldChar w:fldCharType="end"/>
              </w:r>
              <w:r>
                <w:fldChar w:fldCharType="begin"/>
              </w:r>
              <w:r w:rsidR="00114E27">
                <w:instrText xml:space="preserve"> MACROBUTTON  SnrToggleCheckbox □不适用 </w:instrText>
              </w:r>
              <w:r>
                <w:fldChar w:fldCharType="end"/>
              </w:r>
            </w:p>
          </w:sdtContent>
        </w:sdt>
        <w:p w:rsidR="00806678" w:rsidRDefault="00B16377">
          <w:pPr>
            <w:jc w:val="right"/>
          </w:pPr>
          <w:r>
            <w:rPr>
              <w:rFonts w:hint="eastAsia"/>
            </w:rPr>
            <w:t>单位：</w:t>
          </w:r>
          <w:sdt>
            <w:sdtPr>
              <w:rPr>
                <w:rFonts w:hint="eastAsia"/>
              </w:rPr>
              <w:alias w:val="单位：母公司财务附注：其他应收账款前五名欠款情况"/>
              <w:tag w:val="_GBC_a5049697dafb47839070e9dec68636fd"/>
              <w:id w:val="-214141484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母公司财务附注：其他应收账款前五名欠款情况"/>
              <w:tag w:val="_GBC_6c4661b2d22f41aeb2f5a016fbe1a3ac"/>
              <w:id w:val="31307996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68"/>
            <w:gridCol w:w="1542"/>
            <w:gridCol w:w="1459"/>
            <w:gridCol w:w="1062"/>
            <w:gridCol w:w="1707"/>
            <w:gridCol w:w="1611"/>
          </w:tblGrid>
          <w:tr w:rsidR="002E6BBE" w:rsidRPr="002E6BBE" w:rsidTr="002E6BBE">
            <w:trPr>
              <w:cantSplit/>
            </w:trPr>
            <w:sdt>
              <w:sdtPr>
                <w:rPr>
                  <w:rFonts w:asciiTheme="majorEastAsia" w:eastAsiaTheme="majorEastAsia" w:hAnsiTheme="majorEastAsia"/>
                  <w:sz w:val="18"/>
                  <w:szCs w:val="18"/>
                </w:rPr>
                <w:tag w:val="_PLD_5d9d48950c334f3ebe69358594de6f5a"/>
                <w:id w:val="-1821650442"/>
                <w:lock w:val="sdtLocked"/>
              </w:sdtPr>
              <w:sdtContent>
                <w:tc>
                  <w:tcPr>
                    <w:tcW w:w="922" w:type="pct"/>
                    <w:vAlign w:val="center"/>
                  </w:tcPr>
                  <w:p w:rsidR="002E6BBE" w:rsidRPr="002E6BBE" w:rsidRDefault="002E6BBE" w:rsidP="00DB008B">
                    <w:pPr>
                      <w:ind w:right="105"/>
                      <w:jc w:val="center"/>
                      <w:rPr>
                        <w:rFonts w:asciiTheme="majorEastAsia" w:eastAsiaTheme="majorEastAsia" w:hAnsiTheme="majorEastAsia"/>
                        <w:sz w:val="18"/>
                        <w:szCs w:val="18"/>
                      </w:rPr>
                    </w:pPr>
                    <w:r w:rsidRPr="002E6BBE">
                      <w:rPr>
                        <w:rFonts w:asciiTheme="majorEastAsia" w:eastAsiaTheme="majorEastAsia" w:hAnsiTheme="majorEastAsia" w:hint="eastAsia"/>
                        <w:sz w:val="18"/>
                        <w:szCs w:val="18"/>
                      </w:rPr>
                      <w:t>单位名称</w:t>
                    </w:r>
                  </w:p>
                </w:tc>
              </w:sdtContent>
            </w:sdt>
            <w:sdt>
              <w:sdtPr>
                <w:rPr>
                  <w:rFonts w:asciiTheme="majorEastAsia" w:eastAsiaTheme="majorEastAsia" w:hAnsiTheme="majorEastAsia"/>
                  <w:sz w:val="18"/>
                  <w:szCs w:val="18"/>
                </w:rPr>
                <w:tag w:val="_PLD_df4099a15e4547eca8a8712932025d41"/>
                <w:id w:val="941647050"/>
                <w:lock w:val="sdtLocked"/>
              </w:sdtPr>
              <w:sdtContent>
                <w:tc>
                  <w:tcPr>
                    <w:tcW w:w="852" w:type="pct"/>
                    <w:vAlign w:val="center"/>
                  </w:tcPr>
                  <w:p w:rsidR="002E6BBE" w:rsidRPr="002E6BBE" w:rsidRDefault="002E6BBE" w:rsidP="00DB008B">
                    <w:pPr>
                      <w:ind w:right="73"/>
                      <w:jc w:val="center"/>
                      <w:rPr>
                        <w:rFonts w:asciiTheme="majorEastAsia" w:eastAsiaTheme="majorEastAsia" w:hAnsiTheme="majorEastAsia"/>
                        <w:sz w:val="18"/>
                        <w:szCs w:val="18"/>
                      </w:rPr>
                    </w:pPr>
                    <w:r w:rsidRPr="002E6BBE">
                      <w:rPr>
                        <w:rFonts w:asciiTheme="majorEastAsia" w:eastAsiaTheme="majorEastAsia" w:hAnsiTheme="majorEastAsia" w:hint="eastAsia"/>
                        <w:sz w:val="18"/>
                        <w:szCs w:val="18"/>
                      </w:rPr>
                      <w:t>款项的性质</w:t>
                    </w:r>
                  </w:p>
                </w:tc>
              </w:sdtContent>
            </w:sdt>
            <w:sdt>
              <w:sdtPr>
                <w:rPr>
                  <w:rFonts w:asciiTheme="majorEastAsia" w:eastAsiaTheme="majorEastAsia" w:hAnsiTheme="majorEastAsia"/>
                  <w:sz w:val="18"/>
                  <w:szCs w:val="18"/>
                </w:rPr>
                <w:tag w:val="_PLD_bddd90579b9f4693b33fb01a34a3cc74"/>
                <w:id w:val="-172504720"/>
                <w:lock w:val="sdtLocked"/>
              </w:sdtPr>
              <w:sdtContent>
                <w:tc>
                  <w:tcPr>
                    <w:tcW w:w="806" w:type="pct"/>
                    <w:vAlign w:val="center"/>
                  </w:tcPr>
                  <w:p w:rsidR="002E6BBE" w:rsidRPr="002E6BBE" w:rsidRDefault="002E6BBE" w:rsidP="00DB008B">
                    <w:pPr>
                      <w:ind w:right="73"/>
                      <w:jc w:val="center"/>
                      <w:rPr>
                        <w:rFonts w:asciiTheme="majorEastAsia" w:eastAsiaTheme="majorEastAsia" w:hAnsiTheme="majorEastAsia"/>
                        <w:sz w:val="18"/>
                        <w:szCs w:val="18"/>
                      </w:rPr>
                    </w:pPr>
                    <w:r w:rsidRPr="002E6BBE">
                      <w:rPr>
                        <w:rFonts w:asciiTheme="majorEastAsia" w:eastAsiaTheme="majorEastAsia" w:hAnsiTheme="majorEastAsia" w:hint="eastAsia"/>
                        <w:sz w:val="18"/>
                        <w:szCs w:val="18"/>
                      </w:rPr>
                      <w:t>期末余额</w:t>
                    </w:r>
                  </w:p>
                </w:tc>
              </w:sdtContent>
            </w:sdt>
            <w:sdt>
              <w:sdtPr>
                <w:rPr>
                  <w:rFonts w:asciiTheme="majorEastAsia" w:eastAsiaTheme="majorEastAsia" w:hAnsiTheme="majorEastAsia"/>
                  <w:sz w:val="18"/>
                  <w:szCs w:val="18"/>
                </w:rPr>
                <w:tag w:val="_PLD_ebce2f2b8a5b44c0a8efa1f8472d726f"/>
                <w:id w:val="679019699"/>
                <w:lock w:val="sdtLocked"/>
              </w:sdtPr>
              <w:sdtContent>
                <w:tc>
                  <w:tcPr>
                    <w:tcW w:w="587" w:type="pct"/>
                    <w:vAlign w:val="center"/>
                  </w:tcPr>
                  <w:p w:rsidR="002E6BBE" w:rsidRPr="002E6BBE" w:rsidRDefault="002E6BBE" w:rsidP="00DB008B">
                    <w:pPr>
                      <w:ind w:right="73"/>
                      <w:jc w:val="center"/>
                      <w:rPr>
                        <w:rFonts w:asciiTheme="majorEastAsia" w:eastAsiaTheme="majorEastAsia" w:hAnsiTheme="majorEastAsia"/>
                        <w:sz w:val="18"/>
                        <w:szCs w:val="18"/>
                      </w:rPr>
                    </w:pPr>
                    <w:r w:rsidRPr="002E6BBE">
                      <w:rPr>
                        <w:rFonts w:asciiTheme="majorEastAsia" w:eastAsiaTheme="majorEastAsia" w:hAnsiTheme="majorEastAsia" w:hint="eastAsia"/>
                        <w:sz w:val="18"/>
                        <w:szCs w:val="18"/>
                      </w:rPr>
                      <w:t>账龄</w:t>
                    </w:r>
                  </w:p>
                </w:tc>
              </w:sdtContent>
            </w:sdt>
            <w:sdt>
              <w:sdtPr>
                <w:rPr>
                  <w:rFonts w:asciiTheme="majorEastAsia" w:eastAsiaTheme="majorEastAsia" w:hAnsiTheme="majorEastAsia"/>
                  <w:sz w:val="18"/>
                  <w:szCs w:val="18"/>
                </w:rPr>
                <w:tag w:val="_PLD_4ee275521dbe4dc2baaaf49d9294de38"/>
                <w:id w:val="-1709640683"/>
                <w:lock w:val="sdtLocked"/>
              </w:sdtPr>
              <w:sdtContent>
                <w:tc>
                  <w:tcPr>
                    <w:tcW w:w="943" w:type="pct"/>
                    <w:vAlign w:val="center"/>
                  </w:tcPr>
                  <w:p w:rsidR="002E6BBE" w:rsidRPr="002E6BBE" w:rsidRDefault="002E6BBE" w:rsidP="00DB008B">
                    <w:pPr>
                      <w:jc w:val="center"/>
                      <w:rPr>
                        <w:rFonts w:asciiTheme="majorEastAsia" w:eastAsiaTheme="majorEastAsia" w:hAnsiTheme="majorEastAsia"/>
                        <w:sz w:val="18"/>
                        <w:szCs w:val="18"/>
                      </w:rPr>
                    </w:pPr>
                    <w:r w:rsidRPr="002E6BBE">
                      <w:rPr>
                        <w:rFonts w:asciiTheme="majorEastAsia" w:eastAsiaTheme="majorEastAsia" w:hAnsiTheme="majorEastAsia" w:hint="eastAsia"/>
                        <w:sz w:val="18"/>
                        <w:szCs w:val="18"/>
                      </w:rPr>
                      <w:t>占其他应收款期末余额合计数的比例(</w:t>
                    </w:r>
                    <w:r w:rsidRPr="002E6BBE">
                      <w:rPr>
                        <w:rFonts w:asciiTheme="majorEastAsia" w:eastAsiaTheme="majorEastAsia" w:hAnsiTheme="majorEastAsia"/>
                        <w:sz w:val="18"/>
                        <w:szCs w:val="18"/>
                      </w:rPr>
                      <w:t>%)</w:t>
                    </w:r>
                  </w:p>
                </w:tc>
              </w:sdtContent>
            </w:sdt>
            <w:sdt>
              <w:sdtPr>
                <w:rPr>
                  <w:rFonts w:asciiTheme="majorEastAsia" w:eastAsiaTheme="majorEastAsia" w:hAnsiTheme="majorEastAsia"/>
                  <w:sz w:val="18"/>
                  <w:szCs w:val="18"/>
                </w:rPr>
                <w:tag w:val="_PLD_f63b55aec3964290829b6afe171881b8"/>
                <w:id w:val="744621212"/>
                <w:lock w:val="sdtLocked"/>
              </w:sdtPr>
              <w:sdtContent>
                <w:tc>
                  <w:tcPr>
                    <w:tcW w:w="890" w:type="pct"/>
                    <w:vAlign w:val="center"/>
                  </w:tcPr>
                  <w:p w:rsidR="002E6BBE" w:rsidRPr="002E6BBE" w:rsidRDefault="002E6BBE" w:rsidP="00DB008B">
                    <w:pPr>
                      <w:jc w:val="center"/>
                      <w:rPr>
                        <w:rFonts w:asciiTheme="majorEastAsia" w:eastAsiaTheme="majorEastAsia" w:hAnsiTheme="majorEastAsia"/>
                        <w:sz w:val="18"/>
                        <w:szCs w:val="18"/>
                      </w:rPr>
                    </w:pPr>
                    <w:r w:rsidRPr="002E6BBE">
                      <w:rPr>
                        <w:rFonts w:asciiTheme="majorEastAsia" w:eastAsiaTheme="majorEastAsia" w:hAnsiTheme="majorEastAsia" w:hint="eastAsia"/>
                        <w:sz w:val="18"/>
                        <w:szCs w:val="18"/>
                      </w:rPr>
                      <w:t>坏账准备</w:t>
                    </w:r>
                  </w:p>
                  <w:p w:rsidR="002E6BBE" w:rsidRPr="002E6BBE" w:rsidRDefault="002E6BBE" w:rsidP="00DB008B">
                    <w:pPr>
                      <w:jc w:val="center"/>
                      <w:rPr>
                        <w:rFonts w:asciiTheme="majorEastAsia" w:eastAsiaTheme="majorEastAsia" w:hAnsiTheme="majorEastAsia"/>
                        <w:sz w:val="18"/>
                        <w:szCs w:val="18"/>
                      </w:rPr>
                    </w:pPr>
                    <w:r w:rsidRPr="002E6BBE">
                      <w:rPr>
                        <w:rFonts w:asciiTheme="majorEastAsia" w:eastAsiaTheme="majorEastAsia" w:hAnsiTheme="majorEastAsia" w:hint="eastAsia"/>
                        <w:sz w:val="18"/>
                        <w:szCs w:val="18"/>
                      </w:rPr>
                      <w:t>期末余额</w:t>
                    </w:r>
                  </w:p>
                </w:tc>
              </w:sdtContent>
            </w:sdt>
          </w:tr>
          <w:sdt>
            <w:sdtPr>
              <w:rPr>
                <w:rFonts w:asciiTheme="majorEastAsia" w:eastAsiaTheme="majorEastAsia" w:hAnsiTheme="majorEastAsia" w:hint="eastAsia"/>
                <w:sz w:val="18"/>
                <w:szCs w:val="18"/>
              </w:rPr>
              <w:alias w:val="其他应收款欠款户"/>
              <w:tag w:val="_TUP_0146960361f9400f96cf10884e0c6b7e"/>
              <w:id w:val="215484687"/>
              <w:lock w:val="sdtLocked"/>
            </w:sdtPr>
            <w:sdtContent>
              <w:tr w:rsidR="002E6BBE" w:rsidRPr="002E6BBE" w:rsidTr="00C84467">
                <w:trPr>
                  <w:cantSplit/>
                </w:trPr>
                <w:tc>
                  <w:tcPr>
                    <w:tcW w:w="922" w:type="pct"/>
                  </w:tcPr>
                  <w:p w:rsidR="002E6BBE" w:rsidRPr="002E6BBE" w:rsidRDefault="002E6BBE" w:rsidP="002E6BBE">
                    <w:pPr>
                      <w:ind w:right="105"/>
                      <w:rPr>
                        <w:rFonts w:asciiTheme="majorEastAsia" w:eastAsiaTheme="majorEastAsia" w:hAnsiTheme="majorEastAsia"/>
                        <w:sz w:val="18"/>
                        <w:szCs w:val="18"/>
                      </w:rPr>
                    </w:pPr>
                    <w:r w:rsidRPr="002E6BBE">
                      <w:rPr>
                        <w:rFonts w:asciiTheme="majorEastAsia" w:eastAsiaTheme="majorEastAsia" w:hAnsiTheme="majorEastAsia"/>
                        <w:sz w:val="18"/>
                        <w:szCs w:val="18"/>
                      </w:rPr>
                      <w:t>中国铁路太原局集团有限公司</w:t>
                    </w:r>
                  </w:p>
                </w:tc>
                <w:tc>
                  <w:tcPr>
                    <w:tcW w:w="852" w:type="pct"/>
                    <w:vAlign w:val="center"/>
                  </w:tcPr>
                  <w:p w:rsidR="002E6BBE" w:rsidRPr="002E6BBE" w:rsidRDefault="002E6BBE" w:rsidP="002E6BBE">
                    <w:pPr>
                      <w:ind w:right="73"/>
                      <w:rPr>
                        <w:rFonts w:asciiTheme="majorEastAsia" w:eastAsiaTheme="majorEastAsia" w:hAnsiTheme="majorEastAsia"/>
                        <w:sz w:val="18"/>
                        <w:szCs w:val="18"/>
                      </w:rPr>
                    </w:pPr>
                    <w:r w:rsidRPr="002E6BBE">
                      <w:rPr>
                        <w:rFonts w:asciiTheme="majorEastAsia" w:eastAsiaTheme="majorEastAsia" w:hAnsiTheme="majorEastAsia"/>
                        <w:sz w:val="18"/>
                        <w:szCs w:val="18"/>
                      </w:rPr>
                      <w:t>增值税流转、“三供一业”中央财政补助资金</w:t>
                    </w:r>
                    <w:r w:rsidRPr="002E6BBE">
                      <w:rPr>
                        <w:rFonts w:asciiTheme="majorEastAsia" w:eastAsiaTheme="majorEastAsia" w:hAnsiTheme="majorEastAsia" w:cs="PMingLiU" w:hint="eastAsia"/>
                        <w:sz w:val="18"/>
                        <w:szCs w:val="18"/>
                      </w:rPr>
                      <w:t>等</w:t>
                    </w:r>
                  </w:p>
                </w:tc>
                <w:tc>
                  <w:tcPr>
                    <w:tcW w:w="806" w:type="pct"/>
                    <w:vAlign w:val="center"/>
                  </w:tcPr>
                  <w:p w:rsidR="002E6BBE" w:rsidRPr="002E6BBE" w:rsidRDefault="002E6BBE" w:rsidP="002E6BBE">
                    <w:pPr>
                      <w:ind w:right="73"/>
                      <w:jc w:val="right"/>
                      <w:rPr>
                        <w:rFonts w:asciiTheme="majorEastAsia" w:eastAsiaTheme="majorEastAsia" w:hAnsiTheme="majorEastAsia"/>
                        <w:sz w:val="18"/>
                        <w:szCs w:val="18"/>
                      </w:rPr>
                    </w:pPr>
                    <w:r w:rsidRPr="002E6BBE">
                      <w:rPr>
                        <w:rFonts w:asciiTheme="majorEastAsia" w:eastAsiaTheme="majorEastAsia" w:hAnsiTheme="majorEastAsia"/>
                        <w:sz w:val="18"/>
                        <w:szCs w:val="18"/>
                      </w:rPr>
                      <w:t>1,374,337,838</w:t>
                    </w:r>
                  </w:p>
                </w:tc>
                <w:tc>
                  <w:tcPr>
                    <w:tcW w:w="587" w:type="pct"/>
                    <w:vAlign w:val="center"/>
                  </w:tcPr>
                  <w:p w:rsidR="002E6BBE" w:rsidRPr="002E6BBE" w:rsidRDefault="002E6BBE" w:rsidP="002E6BBE">
                    <w:pPr>
                      <w:ind w:right="73"/>
                      <w:rPr>
                        <w:rFonts w:asciiTheme="majorEastAsia" w:eastAsiaTheme="majorEastAsia" w:hAnsiTheme="majorEastAsia"/>
                        <w:sz w:val="18"/>
                        <w:szCs w:val="18"/>
                      </w:rPr>
                    </w:pPr>
                    <w:r w:rsidRPr="002E6BBE">
                      <w:rPr>
                        <w:rFonts w:asciiTheme="majorEastAsia" w:eastAsiaTheme="majorEastAsia" w:hAnsiTheme="majorEastAsia"/>
                        <w:sz w:val="18"/>
                        <w:szCs w:val="18"/>
                      </w:rPr>
                      <w:t>二年以</w:t>
                    </w:r>
                    <w:r w:rsidRPr="002E6BBE">
                      <w:rPr>
                        <w:rFonts w:asciiTheme="majorEastAsia" w:eastAsiaTheme="majorEastAsia" w:hAnsiTheme="majorEastAsia" w:cs="PMingLiU" w:hint="eastAsia"/>
                        <w:sz w:val="18"/>
                        <w:szCs w:val="18"/>
                      </w:rPr>
                      <w:t>内</w:t>
                    </w:r>
                  </w:p>
                </w:tc>
                <w:tc>
                  <w:tcPr>
                    <w:tcW w:w="943" w:type="pct"/>
                    <w:vAlign w:val="center"/>
                  </w:tcPr>
                  <w:p w:rsidR="002E6BBE" w:rsidRPr="002E6BBE" w:rsidRDefault="002E6BBE" w:rsidP="002E6BBE">
                    <w:pPr>
                      <w:jc w:val="right"/>
                      <w:rPr>
                        <w:rFonts w:asciiTheme="majorEastAsia" w:eastAsiaTheme="majorEastAsia" w:hAnsiTheme="majorEastAsia"/>
                        <w:sz w:val="18"/>
                        <w:szCs w:val="18"/>
                      </w:rPr>
                    </w:pPr>
                    <w:r w:rsidRPr="002E6BBE">
                      <w:rPr>
                        <w:rFonts w:asciiTheme="majorEastAsia" w:eastAsiaTheme="majorEastAsia" w:hAnsiTheme="majorEastAsia"/>
                        <w:sz w:val="18"/>
                        <w:szCs w:val="18"/>
                      </w:rPr>
                      <w:t>97.36</w:t>
                    </w:r>
                  </w:p>
                </w:tc>
                <w:tc>
                  <w:tcPr>
                    <w:tcW w:w="890" w:type="pct"/>
                    <w:vAlign w:val="center"/>
                  </w:tcPr>
                  <w:p w:rsidR="002E6BBE" w:rsidRPr="002E6BBE" w:rsidRDefault="002E6BBE" w:rsidP="00C84467">
                    <w:pPr>
                      <w:jc w:val="right"/>
                      <w:rPr>
                        <w:rFonts w:asciiTheme="majorEastAsia" w:eastAsiaTheme="majorEastAsia" w:hAnsiTheme="majorEastAsia"/>
                        <w:sz w:val="18"/>
                        <w:szCs w:val="18"/>
                      </w:rPr>
                    </w:pPr>
                    <w:r w:rsidRPr="002E6BBE">
                      <w:rPr>
                        <w:rFonts w:asciiTheme="majorEastAsia" w:eastAsiaTheme="majorEastAsia" w:hAnsiTheme="majorEastAsia"/>
                        <w:sz w:val="18"/>
                        <w:szCs w:val="18"/>
                      </w:rPr>
                      <w:t>0</w:t>
                    </w:r>
                  </w:p>
                </w:tc>
              </w:tr>
            </w:sdtContent>
          </w:sdt>
          <w:sdt>
            <w:sdtPr>
              <w:rPr>
                <w:rFonts w:asciiTheme="majorEastAsia" w:eastAsiaTheme="majorEastAsia" w:hAnsiTheme="majorEastAsia" w:hint="eastAsia"/>
                <w:sz w:val="18"/>
                <w:szCs w:val="18"/>
              </w:rPr>
              <w:alias w:val="其他应收款欠款户"/>
              <w:tag w:val="_TUP_0146960361f9400f96cf10884e0c6b7e"/>
              <w:id w:val="-781339005"/>
              <w:lock w:val="sdtLocked"/>
            </w:sdtPr>
            <w:sdtContent>
              <w:tr w:rsidR="002E6BBE" w:rsidRPr="002E6BBE" w:rsidTr="00C84467">
                <w:trPr>
                  <w:cantSplit/>
                </w:trPr>
                <w:tc>
                  <w:tcPr>
                    <w:tcW w:w="922" w:type="pct"/>
                  </w:tcPr>
                  <w:p w:rsidR="002E6BBE" w:rsidRPr="002E6BBE" w:rsidRDefault="002E6BBE" w:rsidP="002E6BBE">
                    <w:pPr>
                      <w:ind w:right="105"/>
                      <w:rPr>
                        <w:rFonts w:asciiTheme="majorEastAsia" w:eastAsiaTheme="majorEastAsia" w:hAnsiTheme="majorEastAsia"/>
                        <w:sz w:val="18"/>
                        <w:szCs w:val="18"/>
                      </w:rPr>
                    </w:pPr>
                    <w:r w:rsidRPr="002E6BBE">
                      <w:rPr>
                        <w:rFonts w:asciiTheme="majorEastAsia" w:eastAsiaTheme="majorEastAsia" w:hAnsiTheme="majorEastAsia"/>
                        <w:sz w:val="18"/>
                        <w:szCs w:val="18"/>
                      </w:rPr>
                      <w:t>中铁十四局集团有限公司昌源河抢险工程项目部</w:t>
                    </w:r>
                  </w:p>
                </w:tc>
                <w:tc>
                  <w:tcPr>
                    <w:tcW w:w="852" w:type="pct"/>
                    <w:vAlign w:val="center"/>
                  </w:tcPr>
                  <w:p w:rsidR="002E6BBE" w:rsidRPr="002E6BBE" w:rsidRDefault="002E6BBE" w:rsidP="002E6BBE">
                    <w:pPr>
                      <w:ind w:right="73"/>
                      <w:rPr>
                        <w:rFonts w:asciiTheme="majorEastAsia" w:eastAsiaTheme="majorEastAsia" w:hAnsiTheme="majorEastAsia"/>
                        <w:sz w:val="18"/>
                        <w:szCs w:val="18"/>
                      </w:rPr>
                    </w:pPr>
                    <w:r w:rsidRPr="002E6BBE">
                      <w:rPr>
                        <w:rFonts w:asciiTheme="majorEastAsia" w:eastAsiaTheme="majorEastAsia" w:hAnsiTheme="majorEastAsia" w:cs="PMingLiU" w:hint="eastAsia"/>
                        <w:sz w:val="18"/>
                        <w:szCs w:val="18"/>
                      </w:rPr>
                      <w:t>代垫款项</w:t>
                    </w:r>
                  </w:p>
                </w:tc>
                <w:tc>
                  <w:tcPr>
                    <w:tcW w:w="806" w:type="pct"/>
                    <w:vAlign w:val="center"/>
                  </w:tcPr>
                  <w:p w:rsidR="002E6BBE" w:rsidRPr="002E6BBE" w:rsidRDefault="002E6BBE" w:rsidP="002E6BBE">
                    <w:pPr>
                      <w:ind w:right="73"/>
                      <w:jc w:val="right"/>
                      <w:rPr>
                        <w:rFonts w:asciiTheme="majorEastAsia" w:eastAsiaTheme="majorEastAsia" w:hAnsiTheme="majorEastAsia"/>
                        <w:sz w:val="18"/>
                        <w:szCs w:val="18"/>
                      </w:rPr>
                    </w:pPr>
                    <w:r w:rsidRPr="002E6BBE">
                      <w:rPr>
                        <w:rFonts w:asciiTheme="majorEastAsia" w:eastAsiaTheme="majorEastAsia" w:hAnsiTheme="majorEastAsia"/>
                        <w:sz w:val="18"/>
                        <w:szCs w:val="18"/>
                      </w:rPr>
                      <w:t>4,844,395</w:t>
                    </w:r>
                  </w:p>
                </w:tc>
                <w:tc>
                  <w:tcPr>
                    <w:tcW w:w="587" w:type="pct"/>
                    <w:vAlign w:val="center"/>
                  </w:tcPr>
                  <w:p w:rsidR="002E6BBE" w:rsidRPr="002E6BBE" w:rsidRDefault="002E6BBE" w:rsidP="002E6BBE">
                    <w:pPr>
                      <w:ind w:right="73"/>
                      <w:rPr>
                        <w:rFonts w:asciiTheme="majorEastAsia" w:eastAsiaTheme="majorEastAsia" w:hAnsiTheme="majorEastAsia"/>
                        <w:sz w:val="18"/>
                        <w:szCs w:val="18"/>
                      </w:rPr>
                    </w:pPr>
                    <w:r w:rsidRPr="002E6BBE">
                      <w:rPr>
                        <w:rFonts w:asciiTheme="majorEastAsia" w:eastAsiaTheme="majorEastAsia" w:hAnsiTheme="majorEastAsia" w:cs="PMingLiU" w:hint="eastAsia"/>
                        <w:sz w:val="18"/>
                        <w:szCs w:val="18"/>
                      </w:rPr>
                      <w:t>一年以内</w:t>
                    </w:r>
                  </w:p>
                </w:tc>
                <w:tc>
                  <w:tcPr>
                    <w:tcW w:w="943" w:type="pct"/>
                    <w:vAlign w:val="center"/>
                  </w:tcPr>
                  <w:p w:rsidR="002E6BBE" w:rsidRPr="002E6BBE" w:rsidRDefault="002E6BBE" w:rsidP="002E6BBE">
                    <w:pPr>
                      <w:jc w:val="right"/>
                      <w:rPr>
                        <w:rFonts w:asciiTheme="majorEastAsia" w:eastAsiaTheme="majorEastAsia" w:hAnsiTheme="majorEastAsia"/>
                        <w:sz w:val="18"/>
                        <w:szCs w:val="18"/>
                      </w:rPr>
                    </w:pPr>
                    <w:r w:rsidRPr="002E6BBE">
                      <w:rPr>
                        <w:rFonts w:asciiTheme="majorEastAsia" w:eastAsiaTheme="majorEastAsia" w:hAnsiTheme="majorEastAsia"/>
                        <w:sz w:val="18"/>
                        <w:szCs w:val="18"/>
                      </w:rPr>
                      <w:t>0.34</w:t>
                    </w:r>
                  </w:p>
                </w:tc>
                <w:tc>
                  <w:tcPr>
                    <w:tcW w:w="890" w:type="pct"/>
                    <w:vAlign w:val="center"/>
                  </w:tcPr>
                  <w:p w:rsidR="002E6BBE" w:rsidRPr="002E6BBE" w:rsidRDefault="002E6BBE" w:rsidP="00C84467">
                    <w:pPr>
                      <w:jc w:val="right"/>
                      <w:rPr>
                        <w:rFonts w:asciiTheme="majorEastAsia" w:eastAsiaTheme="majorEastAsia" w:hAnsiTheme="majorEastAsia"/>
                        <w:sz w:val="18"/>
                        <w:szCs w:val="18"/>
                      </w:rPr>
                    </w:pPr>
                    <w:r w:rsidRPr="002E6BBE">
                      <w:rPr>
                        <w:rFonts w:asciiTheme="majorEastAsia" w:eastAsiaTheme="majorEastAsia" w:hAnsiTheme="majorEastAsia"/>
                        <w:sz w:val="18"/>
                        <w:szCs w:val="18"/>
                      </w:rPr>
                      <w:t>0</w:t>
                    </w:r>
                  </w:p>
                </w:tc>
              </w:tr>
            </w:sdtContent>
          </w:sdt>
          <w:sdt>
            <w:sdtPr>
              <w:rPr>
                <w:rFonts w:asciiTheme="majorEastAsia" w:eastAsiaTheme="majorEastAsia" w:hAnsiTheme="majorEastAsia" w:hint="eastAsia"/>
                <w:sz w:val="18"/>
                <w:szCs w:val="18"/>
              </w:rPr>
              <w:alias w:val="其他应收款欠款户"/>
              <w:tag w:val="_TUP_0146960361f9400f96cf10884e0c6b7e"/>
              <w:id w:val="662041326"/>
              <w:lock w:val="sdtLocked"/>
            </w:sdtPr>
            <w:sdtContent>
              <w:tr w:rsidR="002E6BBE" w:rsidRPr="002E6BBE" w:rsidTr="00C84467">
                <w:trPr>
                  <w:cantSplit/>
                </w:trPr>
                <w:tc>
                  <w:tcPr>
                    <w:tcW w:w="922" w:type="pct"/>
                  </w:tcPr>
                  <w:p w:rsidR="002E6BBE" w:rsidRPr="002E6BBE" w:rsidRDefault="002E6BBE" w:rsidP="002E6BBE">
                    <w:pPr>
                      <w:ind w:right="105"/>
                      <w:rPr>
                        <w:rFonts w:asciiTheme="majorEastAsia" w:eastAsiaTheme="majorEastAsia" w:hAnsiTheme="majorEastAsia"/>
                        <w:sz w:val="18"/>
                        <w:szCs w:val="18"/>
                      </w:rPr>
                    </w:pPr>
                    <w:r w:rsidRPr="002E6BBE">
                      <w:rPr>
                        <w:rFonts w:asciiTheme="majorEastAsia" w:eastAsiaTheme="majorEastAsia" w:hAnsiTheme="majorEastAsia"/>
                        <w:sz w:val="18"/>
                        <w:szCs w:val="18"/>
                      </w:rPr>
                      <w:t>中铁物轨道科技服务集团有限公司</w:t>
                    </w:r>
                  </w:p>
                </w:tc>
                <w:tc>
                  <w:tcPr>
                    <w:tcW w:w="852" w:type="pct"/>
                    <w:vAlign w:val="center"/>
                  </w:tcPr>
                  <w:p w:rsidR="002E6BBE" w:rsidRPr="002E6BBE" w:rsidRDefault="002E6BBE" w:rsidP="002E6BBE">
                    <w:pPr>
                      <w:ind w:right="73"/>
                      <w:rPr>
                        <w:rFonts w:asciiTheme="majorEastAsia" w:eastAsiaTheme="majorEastAsia" w:hAnsiTheme="majorEastAsia"/>
                        <w:sz w:val="18"/>
                        <w:szCs w:val="18"/>
                      </w:rPr>
                    </w:pPr>
                    <w:r w:rsidRPr="002E6BBE">
                      <w:rPr>
                        <w:rFonts w:asciiTheme="majorEastAsia" w:eastAsiaTheme="majorEastAsia" w:hAnsiTheme="majorEastAsia" w:cs="PMingLiU" w:hint="eastAsia"/>
                        <w:sz w:val="18"/>
                        <w:szCs w:val="18"/>
                      </w:rPr>
                      <w:t>代垫款项</w:t>
                    </w:r>
                  </w:p>
                </w:tc>
                <w:tc>
                  <w:tcPr>
                    <w:tcW w:w="806" w:type="pct"/>
                    <w:vAlign w:val="center"/>
                  </w:tcPr>
                  <w:p w:rsidR="002E6BBE" w:rsidRPr="002E6BBE" w:rsidRDefault="002E6BBE" w:rsidP="002E6BBE">
                    <w:pPr>
                      <w:ind w:right="73"/>
                      <w:jc w:val="right"/>
                      <w:rPr>
                        <w:rFonts w:asciiTheme="majorEastAsia" w:eastAsiaTheme="majorEastAsia" w:hAnsiTheme="majorEastAsia"/>
                        <w:sz w:val="18"/>
                        <w:szCs w:val="18"/>
                      </w:rPr>
                    </w:pPr>
                    <w:r w:rsidRPr="002E6BBE">
                      <w:rPr>
                        <w:rFonts w:asciiTheme="majorEastAsia" w:eastAsiaTheme="majorEastAsia" w:hAnsiTheme="majorEastAsia"/>
                        <w:sz w:val="18"/>
                        <w:szCs w:val="18"/>
                      </w:rPr>
                      <w:t>2,867,107</w:t>
                    </w:r>
                  </w:p>
                </w:tc>
                <w:tc>
                  <w:tcPr>
                    <w:tcW w:w="587" w:type="pct"/>
                    <w:vAlign w:val="center"/>
                  </w:tcPr>
                  <w:p w:rsidR="002E6BBE" w:rsidRPr="002E6BBE" w:rsidRDefault="002E6BBE" w:rsidP="002E6BBE">
                    <w:pPr>
                      <w:ind w:right="73"/>
                      <w:rPr>
                        <w:rFonts w:asciiTheme="majorEastAsia" w:eastAsiaTheme="majorEastAsia" w:hAnsiTheme="majorEastAsia"/>
                        <w:sz w:val="18"/>
                        <w:szCs w:val="18"/>
                      </w:rPr>
                    </w:pPr>
                    <w:r w:rsidRPr="002E6BBE">
                      <w:rPr>
                        <w:rFonts w:asciiTheme="majorEastAsia" w:eastAsiaTheme="majorEastAsia" w:hAnsiTheme="majorEastAsia" w:cs="PMingLiU" w:hint="eastAsia"/>
                        <w:sz w:val="18"/>
                        <w:szCs w:val="18"/>
                      </w:rPr>
                      <w:t>二年以内</w:t>
                    </w:r>
                  </w:p>
                </w:tc>
                <w:tc>
                  <w:tcPr>
                    <w:tcW w:w="943" w:type="pct"/>
                    <w:vAlign w:val="center"/>
                  </w:tcPr>
                  <w:p w:rsidR="002E6BBE" w:rsidRPr="002E6BBE" w:rsidRDefault="002E6BBE" w:rsidP="002E6BBE">
                    <w:pPr>
                      <w:jc w:val="right"/>
                      <w:rPr>
                        <w:rFonts w:asciiTheme="majorEastAsia" w:eastAsiaTheme="majorEastAsia" w:hAnsiTheme="majorEastAsia"/>
                        <w:sz w:val="18"/>
                        <w:szCs w:val="18"/>
                      </w:rPr>
                    </w:pPr>
                    <w:r w:rsidRPr="002E6BBE">
                      <w:rPr>
                        <w:rFonts w:asciiTheme="majorEastAsia" w:eastAsiaTheme="majorEastAsia" w:hAnsiTheme="majorEastAsia"/>
                        <w:sz w:val="18"/>
                        <w:szCs w:val="18"/>
                      </w:rPr>
                      <w:t>0.20</w:t>
                    </w:r>
                  </w:p>
                </w:tc>
                <w:tc>
                  <w:tcPr>
                    <w:tcW w:w="890" w:type="pct"/>
                    <w:vAlign w:val="center"/>
                  </w:tcPr>
                  <w:p w:rsidR="002E6BBE" w:rsidRPr="002E6BBE" w:rsidRDefault="002E6BBE" w:rsidP="00C84467">
                    <w:pPr>
                      <w:jc w:val="right"/>
                      <w:rPr>
                        <w:rFonts w:asciiTheme="majorEastAsia" w:eastAsiaTheme="majorEastAsia" w:hAnsiTheme="majorEastAsia"/>
                        <w:sz w:val="18"/>
                        <w:szCs w:val="18"/>
                      </w:rPr>
                    </w:pPr>
                    <w:r w:rsidRPr="002E6BBE">
                      <w:rPr>
                        <w:rFonts w:asciiTheme="majorEastAsia" w:eastAsiaTheme="majorEastAsia" w:hAnsiTheme="majorEastAsia"/>
                        <w:sz w:val="18"/>
                        <w:szCs w:val="18"/>
                      </w:rPr>
                      <w:t>0</w:t>
                    </w:r>
                  </w:p>
                </w:tc>
              </w:tr>
            </w:sdtContent>
          </w:sdt>
          <w:sdt>
            <w:sdtPr>
              <w:rPr>
                <w:rFonts w:asciiTheme="majorEastAsia" w:eastAsiaTheme="majorEastAsia" w:hAnsiTheme="majorEastAsia" w:hint="eastAsia"/>
                <w:sz w:val="18"/>
                <w:szCs w:val="18"/>
              </w:rPr>
              <w:alias w:val="其他应收款欠款户"/>
              <w:tag w:val="_TUP_0146960361f9400f96cf10884e0c6b7e"/>
              <w:id w:val="-11149598"/>
              <w:lock w:val="sdtLocked"/>
            </w:sdtPr>
            <w:sdtContent>
              <w:tr w:rsidR="002E6BBE" w:rsidRPr="002E6BBE" w:rsidTr="00C84467">
                <w:trPr>
                  <w:cantSplit/>
                </w:trPr>
                <w:tc>
                  <w:tcPr>
                    <w:tcW w:w="922" w:type="pct"/>
                  </w:tcPr>
                  <w:p w:rsidR="002E6BBE" w:rsidRPr="002E6BBE" w:rsidRDefault="002E6BBE" w:rsidP="002E6BBE">
                    <w:pPr>
                      <w:ind w:right="105"/>
                      <w:rPr>
                        <w:rFonts w:asciiTheme="majorEastAsia" w:eastAsiaTheme="majorEastAsia" w:hAnsiTheme="majorEastAsia"/>
                        <w:sz w:val="18"/>
                        <w:szCs w:val="18"/>
                      </w:rPr>
                    </w:pPr>
                    <w:r w:rsidRPr="002E6BBE">
                      <w:rPr>
                        <w:rFonts w:asciiTheme="majorEastAsia" w:eastAsiaTheme="majorEastAsia" w:hAnsiTheme="majorEastAsia"/>
                        <w:sz w:val="18"/>
                        <w:szCs w:val="18"/>
                      </w:rPr>
                      <w:t>大同市云冈能源发展有限公司</w:t>
                    </w:r>
                  </w:p>
                </w:tc>
                <w:tc>
                  <w:tcPr>
                    <w:tcW w:w="852" w:type="pct"/>
                    <w:vAlign w:val="center"/>
                  </w:tcPr>
                  <w:p w:rsidR="002E6BBE" w:rsidRPr="002E6BBE" w:rsidRDefault="002E6BBE" w:rsidP="002E6BBE">
                    <w:pPr>
                      <w:ind w:right="73"/>
                      <w:rPr>
                        <w:rFonts w:asciiTheme="majorEastAsia" w:eastAsiaTheme="majorEastAsia" w:hAnsiTheme="majorEastAsia"/>
                        <w:sz w:val="18"/>
                        <w:szCs w:val="18"/>
                      </w:rPr>
                    </w:pPr>
                    <w:r w:rsidRPr="002E6BBE">
                      <w:rPr>
                        <w:rFonts w:asciiTheme="majorEastAsia" w:eastAsiaTheme="majorEastAsia" w:hAnsiTheme="majorEastAsia" w:cs="PMingLiU" w:hint="eastAsia"/>
                        <w:sz w:val="18"/>
                        <w:szCs w:val="18"/>
                      </w:rPr>
                      <w:t>代垫款项</w:t>
                    </w:r>
                  </w:p>
                </w:tc>
                <w:tc>
                  <w:tcPr>
                    <w:tcW w:w="806" w:type="pct"/>
                    <w:vAlign w:val="center"/>
                  </w:tcPr>
                  <w:p w:rsidR="002E6BBE" w:rsidRPr="002E6BBE" w:rsidRDefault="002E6BBE" w:rsidP="002E6BBE">
                    <w:pPr>
                      <w:ind w:right="73"/>
                      <w:jc w:val="right"/>
                      <w:rPr>
                        <w:rFonts w:asciiTheme="majorEastAsia" w:eastAsiaTheme="majorEastAsia" w:hAnsiTheme="majorEastAsia"/>
                        <w:sz w:val="18"/>
                        <w:szCs w:val="18"/>
                      </w:rPr>
                    </w:pPr>
                    <w:r w:rsidRPr="002E6BBE">
                      <w:rPr>
                        <w:rFonts w:asciiTheme="majorEastAsia" w:eastAsiaTheme="majorEastAsia" w:hAnsiTheme="majorEastAsia"/>
                        <w:sz w:val="18"/>
                        <w:szCs w:val="18"/>
                      </w:rPr>
                      <w:t>669,980</w:t>
                    </w:r>
                  </w:p>
                </w:tc>
                <w:tc>
                  <w:tcPr>
                    <w:tcW w:w="587" w:type="pct"/>
                    <w:vAlign w:val="center"/>
                  </w:tcPr>
                  <w:p w:rsidR="002E6BBE" w:rsidRPr="002E6BBE" w:rsidRDefault="002E6BBE" w:rsidP="002E6BBE">
                    <w:pPr>
                      <w:ind w:right="73"/>
                      <w:rPr>
                        <w:rFonts w:asciiTheme="majorEastAsia" w:eastAsiaTheme="majorEastAsia" w:hAnsiTheme="majorEastAsia"/>
                        <w:sz w:val="18"/>
                        <w:szCs w:val="18"/>
                      </w:rPr>
                    </w:pPr>
                    <w:r w:rsidRPr="002E6BBE">
                      <w:rPr>
                        <w:rFonts w:asciiTheme="majorEastAsia" w:eastAsiaTheme="majorEastAsia" w:hAnsiTheme="majorEastAsia" w:cs="PMingLiU" w:hint="eastAsia"/>
                        <w:sz w:val="18"/>
                        <w:szCs w:val="18"/>
                      </w:rPr>
                      <w:t>一年以内</w:t>
                    </w:r>
                  </w:p>
                </w:tc>
                <w:tc>
                  <w:tcPr>
                    <w:tcW w:w="943" w:type="pct"/>
                    <w:vAlign w:val="center"/>
                  </w:tcPr>
                  <w:p w:rsidR="002E6BBE" w:rsidRPr="002E6BBE" w:rsidRDefault="002E6BBE" w:rsidP="002E6BBE">
                    <w:pPr>
                      <w:jc w:val="right"/>
                      <w:rPr>
                        <w:rFonts w:asciiTheme="majorEastAsia" w:eastAsiaTheme="majorEastAsia" w:hAnsiTheme="majorEastAsia"/>
                        <w:sz w:val="18"/>
                        <w:szCs w:val="18"/>
                      </w:rPr>
                    </w:pPr>
                    <w:r w:rsidRPr="002E6BBE">
                      <w:rPr>
                        <w:rFonts w:asciiTheme="majorEastAsia" w:eastAsiaTheme="majorEastAsia" w:hAnsiTheme="majorEastAsia"/>
                        <w:sz w:val="18"/>
                        <w:szCs w:val="18"/>
                      </w:rPr>
                      <w:t>0.05</w:t>
                    </w:r>
                  </w:p>
                </w:tc>
                <w:tc>
                  <w:tcPr>
                    <w:tcW w:w="890" w:type="pct"/>
                    <w:vAlign w:val="center"/>
                  </w:tcPr>
                  <w:p w:rsidR="002E6BBE" w:rsidRPr="002E6BBE" w:rsidRDefault="002E6BBE" w:rsidP="00C84467">
                    <w:pPr>
                      <w:jc w:val="right"/>
                      <w:rPr>
                        <w:rFonts w:asciiTheme="majorEastAsia" w:eastAsiaTheme="majorEastAsia" w:hAnsiTheme="majorEastAsia"/>
                        <w:sz w:val="18"/>
                        <w:szCs w:val="18"/>
                      </w:rPr>
                    </w:pPr>
                    <w:r w:rsidRPr="002E6BBE">
                      <w:rPr>
                        <w:rFonts w:asciiTheme="majorEastAsia" w:eastAsiaTheme="majorEastAsia" w:hAnsiTheme="majorEastAsia"/>
                        <w:sz w:val="18"/>
                        <w:szCs w:val="18"/>
                      </w:rPr>
                      <w:t>0</w:t>
                    </w:r>
                  </w:p>
                </w:tc>
              </w:tr>
            </w:sdtContent>
          </w:sdt>
          <w:sdt>
            <w:sdtPr>
              <w:rPr>
                <w:rFonts w:asciiTheme="majorEastAsia" w:eastAsiaTheme="majorEastAsia" w:hAnsiTheme="majorEastAsia" w:hint="eastAsia"/>
                <w:sz w:val="18"/>
                <w:szCs w:val="18"/>
              </w:rPr>
              <w:alias w:val="其他应收款欠款户"/>
              <w:tag w:val="_TUP_0146960361f9400f96cf10884e0c6b7e"/>
              <w:id w:val="-60110120"/>
              <w:lock w:val="sdtLocked"/>
            </w:sdtPr>
            <w:sdtContent>
              <w:tr w:rsidR="002E6BBE" w:rsidRPr="002E6BBE" w:rsidTr="00C84467">
                <w:trPr>
                  <w:cantSplit/>
                </w:trPr>
                <w:tc>
                  <w:tcPr>
                    <w:tcW w:w="922" w:type="pct"/>
                  </w:tcPr>
                  <w:p w:rsidR="002E6BBE" w:rsidRPr="002E6BBE" w:rsidRDefault="002E6BBE" w:rsidP="002E6BBE">
                    <w:pPr>
                      <w:ind w:right="105"/>
                      <w:rPr>
                        <w:rFonts w:asciiTheme="majorEastAsia" w:eastAsiaTheme="majorEastAsia" w:hAnsiTheme="majorEastAsia"/>
                        <w:sz w:val="18"/>
                        <w:szCs w:val="18"/>
                      </w:rPr>
                    </w:pPr>
                    <w:r w:rsidRPr="002E6BBE">
                      <w:rPr>
                        <w:rFonts w:asciiTheme="majorEastAsia" w:eastAsiaTheme="majorEastAsia" w:hAnsiTheme="majorEastAsia"/>
                        <w:sz w:val="18"/>
                        <w:szCs w:val="18"/>
                      </w:rPr>
                      <w:t>秦皇岛华润燃气有限公司</w:t>
                    </w:r>
                  </w:p>
                </w:tc>
                <w:tc>
                  <w:tcPr>
                    <w:tcW w:w="852" w:type="pct"/>
                    <w:vAlign w:val="center"/>
                  </w:tcPr>
                  <w:p w:rsidR="002E6BBE" w:rsidRPr="002E6BBE" w:rsidRDefault="002E6BBE" w:rsidP="002E6BBE">
                    <w:pPr>
                      <w:ind w:right="73"/>
                      <w:rPr>
                        <w:rFonts w:asciiTheme="majorEastAsia" w:eastAsiaTheme="majorEastAsia" w:hAnsiTheme="majorEastAsia"/>
                        <w:sz w:val="18"/>
                        <w:szCs w:val="18"/>
                      </w:rPr>
                    </w:pPr>
                    <w:r w:rsidRPr="002E6BBE">
                      <w:rPr>
                        <w:rFonts w:asciiTheme="majorEastAsia" w:eastAsiaTheme="majorEastAsia" w:hAnsiTheme="majorEastAsia" w:cs="PMingLiU" w:hint="eastAsia"/>
                        <w:sz w:val="18"/>
                        <w:szCs w:val="18"/>
                      </w:rPr>
                      <w:t>代垫款项</w:t>
                    </w:r>
                  </w:p>
                </w:tc>
                <w:tc>
                  <w:tcPr>
                    <w:tcW w:w="806" w:type="pct"/>
                    <w:vAlign w:val="center"/>
                  </w:tcPr>
                  <w:p w:rsidR="002E6BBE" w:rsidRPr="002E6BBE" w:rsidRDefault="002E6BBE" w:rsidP="002E6BBE">
                    <w:pPr>
                      <w:ind w:right="73"/>
                      <w:jc w:val="right"/>
                      <w:rPr>
                        <w:rFonts w:asciiTheme="majorEastAsia" w:eastAsiaTheme="majorEastAsia" w:hAnsiTheme="majorEastAsia"/>
                        <w:sz w:val="18"/>
                        <w:szCs w:val="18"/>
                      </w:rPr>
                    </w:pPr>
                    <w:r w:rsidRPr="002E6BBE">
                      <w:rPr>
                        <w:rFonts w:asciiTheme="majorEastAsia" w:eastAsiaTheme="majorEastAsia" w:hAnsiTheme="majorEastAsia"/>
                        <w:sz w:val="18"/>
                        <w:szCs w:val="18"/>
                      </w:rPr>
                      <w:t>400,000</w:t>
                    </w:r>
                  </w:p>
                </w:tc>
                <w:tc>
                  <w:tcPr>
                    <w:tcW w:w="587" w:type="pct"/>
                    <w:vAlign w:val="center"/>
                  </w:tcPr>
                  <w:p w:rsidR="002E6BBE" w:rsidRPr="002E6BBE" w:rsidRDefault="002E6BBE" w:rsidP="002E6BBE">
                    <w:pPr>
                      <w:ind w:right="73"/>
                      <w:rPr>
                        <w:rFonts w:asciiTheme="majorEastAsia" w:eastAsiaTheme="majorEastAsia" w:hAnsiTheme="majorEastAsia"/>
                        <w:sz w:val="18"/>
                        <w:szCs w:val="18"/>
                      </w:rPr>
                    </w:pPr>
                    <w:r w:rsidRPr="002E6BBE">
                      <w:rPr>
                        <w:rFonts w:asciiTheme="majorEastAsia" w:eastAsiaTheme="majorEastAsia" w:hAnsiTheme="majorEastAsia" w:cs="PMingLiU" w:hint="eastAsia"/>
                        <w:sz w:val="18"/>
                        <w:szCs w:val="18"/>
                      </w:rPr>
                      <w:t>一年以内</w:t>
                    </w:r>
                  </w:p>
                </w:tc>
                <w:tc>
                  <w:tcPr>
                    <w:tcW w:w="943" w:type="pct"/>
                    <w:vAlign w:val="center"/>
                  </w:tcPr>
                  <w:p w:rsidR="002E6BBE" w:rsidRPr="002E6BBE" w:rsidRDefault="002E6BBE" w:rsidP="002E6BBE">
                    <w:pPr>
                      <w:jc w:val="right"/>
                      <w:rPr>
                        <w:rFonts w:asciiTheme="majorEastAsia" w:eastAsiaTheme="majorEastAsia" w:hAnsiTheme="majorEastAsia"/>
                        <w:sz w:val="18"/>
                        <w:szCs w:val="18"/>
                      </w:rPr>
                    </w:pPr>
                    <w:r w:rsidRPr="002E6BBE">
                      <w:rPr>
                        <w:rFonts w:asciiTheme="majorEastAsia" w:eastAsiaTheme="majorEastAsia" w:hAnsiTheme="majorEastAsia"/>
                        <w:sz w:val="18"/>
                        <w:szCs w:val="18"/>
                      </w:rPr>
                      <w:t>0.03</w:t>
                    </w:r>
                  </w:p>
                </w:tc>
                <w:tc>
                  <w:tcPr>
                    <w:tcW w:w="890" w:type="pct"/>
                    <w:vAlign w:val="center"/>
                  </w:tcPr>
                  <w:p w:rsidR="002E6BBE" w:rsidRPr="002E6BBE" w:rsidRDefault="002E6BBE" w:rsidP="00C84467">
                    <w:pPr>
                      <w:jc w:val="right"/>
                      <w:rPr>
                        <w:rFonts w:asciiTheme="majorEastAsia" w:eastAsiaTheme="majorEastAsia" w:hAnsiTheme="majorEastAsia"/>
                        <w:sz w:val="18"/>
                        <w:szCs w:val="18"/>
                      </w:rPr>
                    </w:pPr>
                    <w:r w:rsidRPr="002E6BBE">
                      <w:rPr>
                        <w:rFonts w:asciiTheme="majorEastAsia" w:eastAsiaTheme="majorEastAsia" w:hAnsiTheme="majorEastAsia"/>
                        <w:sz w:val="18"/>
                        <w:szCs w:val="18"/>
                      </w:rPr>
                      <w:t>0</w:t>
                    </w:r>
                  </w:p>
                </w:tc>
              </w:tr>
            </w:sdtContent>
          </w:sdt>
          <w:tr w:rsidR="002E6BBE" w:rsidRPr="002E6BBE" w:rsidTr="00C84467">
            <w:trPr>
              <w:cantSplit/>
            </w:trPr>
            <w:sdt>
              <w:sdtPr>
                <w:rPr>
                  <w:rFonts w:asciiTheme="majorEastAsia" w:eastAsiaTheme="majorEastAsia" w:hAnsiTheme="majorEastAsia"/>
                  <w:sz w:val="18"/>
                  <w:szCs w:val="18"/>
                </w:rPr>
                <w:tag w:val="_PLD_a7f472d740c84362a157258c79bd0672"/>
                <w:id w:val="411668233"/>
                <w:lock w:val="sdtLocked"/>
              </w:sdtPr>
              <w:sdtContent>
                <w:tc>
                  <w:tcPr>
                    <w:tcW w:w="922" w:type="pct"/>
                  </w:tcPr>
                  <w:p w:rsidR="002E6BBE" w:rsidRPr="002E6BBE" w:rsidRDefault="002E6BBE" w:rsidP="002E6BBE">
                    <w:pPr>
                      <w:ind w:right="105"/>
                      <w:jc w:val="center"/>
                      <w:rPr>
                        <w:rFonts w:asciiTheme="majorEastAsia" w:eastAsiaTheme="majorEastAsia" w:hAnsiTheme="majorEastAsia"/>
                        <w:sz w:val="18"/>
                        <w:szCs w:val="18"/>
                      </w:rPr>
                    </w:pPr>
                    <w:r w:rsidRPr="002E6BBE">
                      <w:rPr>
                        <w:rFonts w:asciiTheme="majorEastAsia" w:eastAsiaTheme="majorEastAsia" w:hAnsiTheme="majorEastAsia" w:hint="eastAsia"/>
                        <w:sz w:val="18"/>
                        <w:szCs w:val="18"/>
                      </w:rPr>
                      <w:t>合计</w:t>
                    </w:r>
                  </w:p>
                </w:tc>
              </w:sdtContent>
            </w:sdt>
            <w:tc>
              <w:tcPr>
                <w:tcW w:w="852" w:type="pct"/>
              </w:tcPr>
              <w:p w:rsidR="002E6BBE" w:rsidRPr="002E6BBE" w:rsidRDefault="002E6BBE" w:rsidP="002E6BBE">
                <w:pPr>
                  <w:ind w:right="73"/>
                  <w:jc w:val="center"/>
                  <w:rPr>
                    <w:rFonts w:asciiTheme="majorEastAsia" w:eastAsiaTheme="majorEastAsia" w:hAnsiTheme="majorEastAsia"/>
                    <w:sz w:val="18"/>
                    <w:szCs w:val="18"/>
                  </w:rPr>
                </w:pPr>
                <w:r w:rsidRPr="002E6BBE">
                  <w:rPr>
                    <w:rFonts w:asciiTheme="majorEastAsia" w:eastAsiaTheme="majorEastAsia" w:hAnsiTheme="majorEastAsia"/>
                    <w:sz w:val="18"/>
                    <w:szCs w:val="18"/>
                  </w:rPr>
                  <w:t>/</w:t>
                </w:r>
              </w:p>
            </w:tc>
            <w:tc>
              <w:tcPr>
                <w:tcW w:w="806" w:type="pct"/>
              </w:tcPr>
              <w:p w:rsidR="002E6BBE" w:rsidRPr="002E6BBE" w:rsidRDefault="002E6BBE" w:rsidP="002E6BBE">
                <w:pPr>
                  <w:ind w:right="73"/>
                  <w:jc w:val="right"/>
                  <w:rPr>
                    <w:rFonts w:asciiTheme="majorEastAsia" w:eastAsiaTheme="majorEastAsia" w:hAnsiTheme="majorEastAsia"/>
                    <w:sz w:val="18"/>
                    <w:szCs w:val="18"/>
                  </w:rPr>
                </w:pPr>
                <w:r w:rsidRPr="002E6BBE">
                  <w:rPr>
                    <w:rFonts w:asciiTheme="majorEastAsia" w:eastAsiaTheme="majorEastAsia" w:hAnsiTheme="majorEastAsia"/>
                    <w:sz w:val="18"/>
                    <w:szCs w:val="18"/>
                  </w:rPr>
                  <w:t>1,383,119,320</w:t>
                </w:r>
              </w:p>
            </w:tc>
            <w:tc>
              <w:tcPr>
                <w:tcW w:w="587" w:type="pct"/>
              </w:tcPr>
              <w:p w:rsidR="002E6BBE" w:rsidRPr="002E6BBE" w:rsidRDefault="002E6BBE" w:rsidP="002E6BBE">
                <w:pPr>
                  <w:ind w:right="73"/>
                  <w:jc w:val="center"/>
                  <w:rPr>
                    <w:rFonts w:asciiTheme="majorEastAsia" w:eastAsiaTheme="majorEastAsia" w:hAnsiTheme="majorEastAsia"/>
                    <w:sz w:val="18"/>
                    <w:szCs w:val="18"/>
                  </w:rPr>
                </w:pPr>
                <w:r w:rsidRPr="002E6BBE">
                  <w:rPr>
                    <w:rFonts w:asciiTheme="majorEastAsia" w:eastAsiaTheme="majorEastAsia" w:hAnsiTheme="majorEastAsia"/>
                    <w:sz w:val="18"/>
                    <w:szCs w:val="18"/>
                  </w:rPr>
                  <w:t>/</w:t>
                </w:r>
              </w:p>
            </w:tc>
            <w:tc>
              <w:tcPr>
                <w:tcW w:w="943" w:type="pct"/>
              </w:tcPr>
              <w:p w:rsidR="002E6BBE" w:rsidRPr="002E6BBE" w:rsidRDefault="002471D8" w:rsidP="002E6BBE">
                <w:pPr>
                  <w:jc w:val="right"/>
                  <w:rPr>
                    <w:rFonts w:asciiTheme="majorEastAsia" w:eastAsiaTheme="majorEastAsia" w:hAnsiTheme="majorEastAsia"/>
                    <w:sz w:val="18"/>
                    <w:szCs w:val="18"/>
                  </w:rPr>
                </w:pPr>
                <w:r w:rsidRPr="002471D8">
                  <w:rPr>
                    <w:rFonts w:asciiTheme="majorEastAsia" w:eastAsiaTheme="majorEastAsia" w:hAnsiTheme="majorEastAsia"/>
                    <w:sz w:val="18"/>
                    <w:szCs w:val="18"/>
                  </w:rPr>
                  <w:t>97.</w:t>
                </w:r>
                <w:r>
                  <w:rPr>
                    <w:rFonts w:asciiTheme="majorEastAsia" w:eastAsiaTheme="majorEastAsia" w:hAnsiTheme="majorEastAsia"/>
                    <w:sz w:val="18"/>
                    <w:szCs w:val="18"/>
                  </w:rPr>
                  <w:t>98</w:t>
                </w:r>
              </w:p>
            </w:tc>
            <w:tc>
              <w:tcPr>
                <w:tcW w:w="890" w:type="pct"/>
                <w:vAlign w:val="center"/>
              </w:tcPr>
              <w:p w:rsidR="002E6BBE" w:rsidRPr="002E6BBE" w:rsidRDefault="002E6BBE" w:rsidP="00C84467">
                <w:pPr>
                  <w:jc w:val="right"/>
                  <w:rPr>
                    <w:rFonts w:asciiTheme="majorEastAsia" w:eastAsiaTheme="majorEastAsia" w:hAnsiTheme="majorEastAsia"/>
                    <w:sz w:val="18"/>
                    <w:szCs w:val="18"/>
                  </w:rPr>
                </w:pPr>
                <w:r w:rsidRPr="002E6BBE">
                  <w:rPr>
                    <w:rFonts w:asciiTheme="majorEastAsia" w:eastAsiaTheme="majorEastAsia" w:hAnsiTheme="majorEastAsia"/>
                    <w:sz w:val="18"/>
                    <w:szCs w:val="18"/>
                  </w:rPr>
                  <w:t>0</w:t>
                </w:r>
              </w:p>
            </w:tc>
          </w:tr>
        </w:tbl>
        <w:p w:rsidR="00806678" w:rsidRDefault="00F80B6C"/>
      </w:sdtContent>
    </w:sdt>
    <w:sdt>
      <w:sdtPr>
        <w:rPr>
          <w:rFonts w:ascii="Times New Roman" w:eastAsia="宋体" w:hAnsi="Times New Roman" w:cs="宋体" w:hint="eastAsia"/>
          <w:b w:val="0"/>
          <w:bCs w:val="0"/>
          <w:kern w:val="0"/>
          <w:szCs w:val="24"/>
        </w:rPr>
        <w:alias w:val="模块:按应收金额确认的政府补助"/>
        <w:tag w:val="_SEC_c503ea1b9c7e4198b86f2abbf23b2ab9"/>
        <w:id w:val="-1804534439"/>
        <w:lock w:val="sdtLocked"/>
        <w:placeholder>
          <w:docPart w:val="GBC22222222222222222222222222222"/>
        </w:placeholder>
      </w:sdtPr>
      <w:sdtContent>
        <w:p w:rsidR="00806678" w:rsidRDefault="00B16377" w:rsidP="00FF17C7">
          <w:pPr>
            <w:pStyle w:val="4"/>
            <w:numPr>
              <w:ilvl w:val="0"/>
              <w:numId w:val="60"/>
            </w:numPr>
          </w:pPr>
          <w:r>
            <w:rPr>
              <w:rFonts w:hint="eastAsia"/>
            </w:rPr>
            <w:t>涉及政府补助的应收款项</w:t>
          </w:r>
        </w:p>
        <w:sdt>
          <w:sdtPr>
            <w:alias w:val="是否适用：母公司涉及政府补助的应收款项[双击切换]"/>
            <w:tag w:val="_GBC_5e2cfb8b8db54872b314bf1b01b59f87"/>
            <w:id w:val="-2023465871"/>
            <w:lock w:val="sdtLocked"/>
            <w:placeholder>
              <w:docPart w:val="GBC22222222222222222222222222222"/>
            </w:placeholder>
          </w:sdtPr>
          <w:sdtContent>
            <w:p w:rsidR="00806678" w:rsidRDefault="00F80B6C" w:rsidP="00114E27">
              <w:r>
                <w:fldChar w:fldCharType="begin"/>
              </w:r>
              <w:r w:rsidR="00114E27">
                <w:instrText xml:space="preserve">MACROBUTTON  SnrToggleCheckbox □适用 </w:instrText>
              </w:r>
              <w:r>
                <w:fldChar w:fldCharType="end"/>
              </w:r>
              <w:r>
                <w:fldChar w:fldCharType="begin"/>
              </w:r>
              <w:r w:rsidR="00114E27">
                <w:instrText xml:space="preserve"> MACROBUTTON  SnrToggleCheckbox √不适用 </w:instrText>
              </w:r>
              <w:r>
                <w:fldChar w:fldCharType="end"/>
              </w:r>
            </w:p>
          </w:sdtContent>
        </w:sdt>
      </w:sdtContent>
    </w:sdt>
    <w:sdt>
      <w:sdtPr>
        <w:rPr>
          <w:rFonts w:ascii="Times New Roman" w:eastAsia="宋体" w:hAnsi="Times New Roman" w:cs="宋体"/>
          <w:b w:val="0"/>
          <w:bCs w:val="0"/>
          <w:kern w:val="0"/>
          <w:szCs w:val="24"/>
        </w:rPr>
        <w:alias w:val="模块:因金融资产转移而终止确认的其他应收款"/>
        <w:tag w:val="_SEC_7f211e4933374e0fb33af86ebc3ae729"/>
        <w:id w:val="42721351"/>
        <w:lock w:val="sdtLocked"/>
        <w:placeholder>
          <w:docPart w:val="GBC22222222222222222222222222222"/>
        </w:placeholder>
      </w:sdtPr>
      <w:sdtContent>
        <w:p w:rsidR="00806678" w:rsidRDefault="00B16377" w:rsidP="00FF17C7">
          <w:pPr>
            <w:pStyle w:val="4"/>
            <w:numPr>
              <w:ilvl w:val="0"/>
              <w:numId w:val="60"/>
            </w:numPr>
          </w:pPr>
          <w:r>
            <w:rPr>
              <w:rFonts w:hint="eastAsia"/>
            </w:rPr>
            <w:t>因金融资产转移而终止确认的其他应收款</w:t>
          </w:r>
        </w:p>
        <w:sdt>
          <w:sdtPr>
            <w:rPr>
              <w:rFonts w:hint="eastAsia"/>
              <w:szCs w:val="21"/>
            </w:rPr>
            <w:alias w:val="是否适用：母公司因金融资产转移而终止确认的其他应收款[双击切换]"/>
            <w:tag w:val="_GBC_a1072f4ea6b0466c87fd57cea2a97c32"/>
            <w:id w:val="-540435604"/>
            <w:lock w:val="sdtLocked"/>
            <w:placeholder>
              <w:docPart w:val="GBC22222222222222222222222222222"/>
            </w:placeholder>
          </w:sdtPr>
          <w:sdtContent>
            <w:p w:rsidR="00806678" w:rsidRDefault="00F80B6C">
              <w:pPr>
                <w:ind w:right="57"/>
                <w:rPr>
                  <w:szCs w:val="21"/>
                </w:rPr>
              </w:pPr>
              <w:r>
                <w:rPr>
                  <w:szCs w:val="21"/>
                </w:rPr>
                <w:fldChar w:fldCharType="begin"/>
              </w:r>
              <w:r w:rsidR="00114E27">
                <w:rPr>
                  <w:szCs w:val="21"/>
                </w:rPr>
                <w:instrText xml:space="preserve"> MACROBUTTON  SnrToggleCheckbox □适用  </w:instrText>
              </w:r>
              <w:r>
                <w:rPr>
                  <w:szCs w:val="21"/>
                </w:rPr>
                <w:fldChar w:fldCharType="end"/>
              </w:r>
              <w:r>
                <w:rPr>
                  <w:szCs w:val="21"/>
                </w:rPr>
                <w:fldChar w:fldCharType="begin"/>
              </w:r>
              <w:r w:rsidR="00114E27">
                <w:rPr>
                  <w:szCs w:val="21"/>
                </w:rPr>
                <w:instrText xml:space="preserve"> MACROBUTTON  SnrToggleCheckbox √不适用 </w:instrText>
              </w:r>
              <w:r>
                <w:rPr>
                  <w:szCs w:val="21"/>
                </w:rPr>
                <w:fldChar w:fldCharType="end"/>
              </w:r>
            </w:p>
          </w:sdtContent>
        </w:sdt>
      </w:sdtContent>
    </w:sdt>
    <w:sdt>
      <w:sdtPr>
        <w:rPr>
          <w:rFonts w:ascii="Times New Roman" w:eastAsia="宋体" w:hAnsi="Times New Roman" w:cs="宋体" w:hint="eastAsia"/>
          <w:b w:val="0"/>
          <w:bCs w:val="0"/>
          <w:kern w:val="0"/>
          <w:szCs w:val="24"/>
        </w:rPr>
        <w:alias w:val="模块:转移其他应收款且继续涉入的，分项列示继续涉入形成的资产、负债..."/>
        <w:tag w:val="_SEC_f556994e476e4a6caca86b06f3c7242b"/>
        <w:id w:val="-874302267"/>
        <w:lock w:val="sdtLocked"/>
        <w:placeholder>
          <w:docPart w:val="GBC22222222222222222222222222222"/>
        </w:placeholder>
      </w:sdtPr>
      <w:sdtContent>
        <w:p w:rsidR="00806678" w:rsidRDefault="00B16377" w:rsidP="00FF17C7">
          <w:pPr>
            <w:pStyle w:val="4"/>
            <w:numPr>
              <w:ilvl w:val="0"/>
              <w:numId w:val="60"/>
            </w:numPr>
          </w:pPr>
          <w:r>
            <w:rPr>
              <w:rFonts w:hint="eastAsia"/>
            </w:rPr>
            <w:t>转移其他应收款且继续涉入形成的资产、负债金额</w:t>
          </w:r>
        </w:p>
        <w:sdt>
          <w:sdtPr>
            <w:rPr>
              <w:rFonts w:hint="eastAsia"/>
              <w:szCs w:val="21"/>
            </w:rPr>
            <w:alias w:val="是否适用：母公司转移其他应收款且继续涉入形成的资产、负债金额[双击切换]"/>
            <w:tag w:val="_GBC_224565c49ed14f80bdfc18b78aff3ed8"/>
            <w:id w:val="1362252469"/>
            <w:lock w:val="sdtLocked"/>
            <w:placeholder>
              <w:docPart w:val="GBC22222222222222222222222222222"/>
            </w:placeholder>
          </w:sdtPr>
          <w:sdtContent>
            <w:p w:rsidR="00806678" w:rsidRDefault="00F80B6C">
              <w:pPr>
                <w:rPr>
                  <w:szCs w:val="21"/>
                </w:rPr>
              </w:pPr>
              <w:r>
                <w:rPr>
                  <w:szCs w:val="21"/>
                </w:rPr>
                <w:fldChar w:fldCharType="begin"/>
              </w:r>
              <w:r w:rsidR="00114E27">
                <w:rPr>
                  <w:szCs w:val="21"/>
                </w:rPr>
                <w:instrText xml:space="preserve"> MACROBUTTON  SnrToggleCheckbox □适用  </w:instrText>
              </w:r>
              <w:r>
                <w:rPr>
                  <w:szCs w:val="21"/>
                </w:rPr>
                <w:fldChar w:fldCharType="end"/>
              </w:r>
              <w:r>
                <w:rPr>
                  <w:szCs w:val="21"/>
                </w:rPr>
                <w:fldChar w:fldCharType="begin"/>
              </w:r>
              <w:r w:rsidR="00114E27">
                <w:rPr>
                  <w:szCs w:val="21"/>
                </w:rPr>
                <w:instrText xml:space="preserve"> MACROBUTTON  SnrToggleCheckbox √不适用 </w:instrText>
              </w:r>
              <w:r>
                <w:rPr>
                  <w:szCs w:val="21"/>
                </w:rPr>
                <w:fldChar w:fldCharType="end"/>
              </w:r>
            </w:p>
          </w:sdtContent>
        </w:sdt>
      </w:sdtContent>
    </w:sdt>
    <w:sdt>
      <w:sdtPr>
        <w:rPr>
          <w:rFonts w:ascii="Times New Roman" w:hAnsi="Times New Roman" w:hint="eastAsia"/>
          <w:b/>
          <w:bCs/>
        </w:rPr>
        <w:alias w:val="模块:其他应收款其他说明"/>
        <w:tag w:val="_SEC_57c4dfafa9d0491a91f70b4527c847b3"/>
        <w:id w:val="-307624454"/>
        <w:lock w:val="sdtLocked"/>
        <w:placeholder>
          <w:docPart w:val="GBC22222222222222222222222222222"/>
        </w:placeholder>
      </w:sdtPr>
      <w:sdtEndPr>
        <w:rPr>
          <w:b w:val="0"/>
          <w:bCs w:val="0"/>
        </w:rPr>
      </w:sdtEndPr>
      <w:sdtContent>
        <w:p w:rsidR="00806678" w:rsidRDefault="00B16377">
          <w:r>
            <w:rPr>
              <w:rFonts w:hint="eastAsia"/>
            </w:rPr>
            <w:t>其他</w:t>
          </w:r>
          <w:r>
            <w:t>说明：</w:t>
          </w:r>
        </w:p>
        <w:sdt>
          <w:sdtPr>
            <w:rPr>
              <w:rFonts w:hint="eastAsia"/>
              <w:szCs w:val="21"/>
            </w:rPr>
            <w:alias w:val="是否适用：母公司其他应收款的其他说明[双击切换]"/>
            <w:tag w:val="_GBC_479bc9ed241548c695a3905f38eb23fd"/>
            <w:id w:val="-621997207"/>
            <w:lock w:val="sdtLocked"/>
            <w:placeholder>
              <w:docPart w:val="GBC22222222222222222222222222222"/>
            </w:placeholder>
          </w:sdtPr>
          <w:sdtContent>
            <w:p w:rsidR="00CE55F0" w:rsidRDefault="00F80B6C">
              <w:pPr>
                <w:rPr>
                  <w:szCs w:val="21"/>
                </w:rPr>
              </w:pPr>
              <w:r>
                <w:rPr>
                  <w:szCs w:val="21"/>
                </w:rPr>
                <w:fldChar w:fldCharType="begin"/>
              </w:r>
              <w:r w:rsidR="00114E27">
                <w:rPr>
                  <w:szCs w:val="21"/>
                </w:rPr>
                <w:instrText xml:space="preserve"> MACROBUTTON  SnrToggleCheckbox □适用  </w:instrText>
              </w:r>
              <w:r>
                <w:rPr>
                  <w:szCs w:val="21"/>
                </w:rPr>
                <w:fldChar w:fldCharType="end"/>
              </w:r>
              <w:r>
                <w:rPr>
                  <w:szCs w:val="21"/>
                </w:rPr>
                <w:fldChar w:fldCharType="begin"/>
              </w:r>
              <w:r w:rsidR="00114E27">
                <w:rPr>
                  <w:szCs w:val="21"/>
                </w:rPr>
                <w:instrText xml:space="preserve"> MACROBUTTON  SnrToggleCheckbox √不适用 </w:instrText>
              </w:r>
              <w:r>
                <w:rPr>
                  <w:szCs w:val="21"/>
                </w:rPr>
                <w:fldChar w:fldCharType="end"/>
              </w:r>
            </w:p>
            <w:p w:rsidR="00806678" w:rsidRDefault="00F80B6C">
              <w:pPr>
                <w:rPr>
                  <w:szCs w:val="21"/>
                </w:rPr>
              </w:pPr>
            </w:p>
          </w:sdtContent>
        </w:sdt>
      </w:sdtContent>
    </w:sdt>
    <w:p w:rsidR="00806678" w:rsidRDefault="00B16377" w:rsidP="00FF17C7">
      <w:pPr>
        <w:pStyle w:val="3"/>
        <w:numPr>
          <w:ilvl w:val="0"/>
          <w:numId w:val="59"/>
        </w:numPr>
        <w:rPr>
          <w:rFonts w:ascii="宋体" w:hAnsi="宋体"/>
          <w:szCs w:val="21"/>
        </w:rPr>
      </w:pPr>
      <w:r>
        <w:rPr>
          <w:rFonts w:ascii="宋体" w:hAnsi="宋体" w:hint="eastAsia"/>
          <w:szCs w:val="21"/>
        </w:rPr>
        <w:t>长期股权投资</w:t>
      </w:r>
    </w:p>
    <w:sdt>
      <w:sdtPr>
        <w:alias w:val="是否适用：母公司长期股权投资[双击切换]"/>
        <w:tag w:val="_GBC_57a2f87498c64eab83308bdf3afc6268"/>
        <w:id w:val="-173720596"/>
        <w:lock w:val="sdtContentLocked"/>
        <w:placeholder>
          <w:docPart w:val="GBC22222222222222222222222222222"/>
        </w:placeholder>
      </w:sdtPr>
      <w:sdtContent>
        <w:p w:rsidR="00806678" w:rsidRDefault="00F80B6C">
          <w:r>
            <w:fldChar w:fldCharType="begin"/>
          </w:r>
          <w:r w:rsidR="00114E27">
            <w:instrText xml:space="preserve">MACROBUTTON  SnrToggleCheckbox √适用 </w:instrText>
          </w:r>
          <w:r>
            <w:fldChar w:fldCharType="end"/>
          </w:r>
          <w:r>
            <w:fldChar w:fldCharType="begin"/>
          </w:r>
          <w:r w:rsidR="00114E27">
            <w:instrText xml:space="preserve"> MACROBUTTON  SnrToggleCheckbox □不适用 </w:instrText>
          </w:r>
          <w:r>
            <w:fldChar w:fldCharType="end"/>
          </w:r>
        </w:p>
      </w:sdtContent>
    </w:sdt>
    <w:sdt>
      <w:sdtPr>
        <w:rPr>
          <w:rFonts w:hint="eastAsia"/>
          <w:b/>
          <w:bCs/>
          <w:szCs w:val="21"/>
        </w:rPr>
        <w:alias w:val="模块:长期股权投资按成本法核算"/>
        <w:tag w:val="_SEC_315fa330edb445329400b10ee17c89ff"/>
        <w:id w:val="1189808005"/>
        <w:lock w:val="sdtLocked"/>
        <w:placeholder>
          <w:docPart w:val="GBC22222222222222222222222222222"/>
        </w:placeholder>
      </w:sdtPr>
      <w:sdtEndPr>
        <w:rPr>
          <w:b w:val="0"/>
          <w:bCs w:val="0"/>
        </w:rPr>
      </w:sdtEndPr>
      <w:sdtContent>
        <w:p w:rsidR="00806678" w:rsidRDefault="00B16377">
          <w:pPr>
            <w:jc w:val="right"/>
            <w:rPr>
              <w:szCs w:val="21"/>
            </w:rPr>
          </w:pPr>
          <w:r>
            <w:rPr>
              <w:rFonts w:hint="eastAsia"/>
              <w:szCs w:val="21"/>
            </w:rPr>
            <w:t>单位：</w:t>
          </w:r>
          <w:sdt>
            <w:sdtPr>
              <w:rPr>
                <w:rFonts w:hint="eastAsia"/>
                <w:szCs w:val="21"/>
              </w:rPr>
              <w:alias w:val="单位：母公司财务附注：长期股权投资"/>
              <w:tag w:val="_GBC_9d11e81055cb4017a0055a75ae95ae64"/>
              <w:id w:val="-121936366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母公司财务附注：长期股权投资"/>
              <w:tag w:val="_GBC_fbeeb4a7e8254b6dbbd1030f26dad505"/>
              <w:id w:val="199090326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2"/>
            <w:gridCol w:w="1686"/>
            <w:gridCol w:w="426"/>
            <w:gridCol w:w="1686"/>
            <w:gridCol w:w="1687"/>
            <w:gridCol w:w="426"/>
            <w:gridCol w:w="1686"/>
          </w:tblGrid>
          <w:tr w:rsidR="00806678" w:rsidTr="00AC521D">
            <w:trPr>
              <w:cantSplit/>
            </w:trPr>
            <w:sdt>
              <w:sdtPr>
                <w:tag w:val="_PLD_0747ffd7336145fcb6d5e622fab54966"/>
                <w:id w:val="1804354950"/>
                <w:lock w:val="sdtLocked"/>
              </w:sdtPr>
              <w:sdtContent>
                <w:tc>
                  <w:tcPr>
                    <w:tcW w:w="803" w:type="pct"/>
                    <w:vMerge w:val="restart"/>
                    <w:shd w:val="clear" w:color="auto" w:fill="auto"/>
                    <w:vAlign w:val="center"/>
                  </w:tcPr>
                  <w:p w:rsidR="00806678" w:rsidRDefault="00B16377">
                    <w:pPr>
                      <w:jc w:val="center"/>
                    </w:pPr>
                    <w:r>
                      <w:rPr>
                        <w:rFonts w:hint="eastAsia"/>
                      </w:rPr>
                      <w:t>项目</w:t>
                    </w:r>
                  </w:p>
                </w:tc>
              </w:sdtContent>
            </w:sdt>
            <w:sdt>
              <w:sdtPr>
                <w:tag w:val="_PLD_0b9f6f6d89c44029bf1de3ed5f6a4aa0"/>
                <w:id w:val="2021579145"/>
                <w:lock w:val="sdtLocked"/>
              </w:sdtPr>
              <w:sdtContent>
                <w:tc>
                  <w:tcPr>
                    <w:tcW w:w="2099" w:type="pct"/>
                    <w:gridSpan w:val="3"/>
                    <w:shd w:val="clear" w:color="auto" w:fill="auto"/>
                    <w:vAlign w:val="center"/>
                  </w:tcPr>
                  <w:p w:rsidR="00806678" w:rsidRDefault="00B16377">
                    <w:pPr>
                      <w:jc w:val="center"/>
                    </w:pPr>
                    <w:r>
                      <w:rPr>
                        <w:rFonts w:hint="eastAsia"/>
                      </w:rPr>
                      <w:t>期末余额</w:t>
                    </w:r>
                  </w:p>
                </w:tc>
              </w:sdtContent>
            </w:sdt>
            <w:sdt>
              <w:sdtPr>
                <w:tag w:val="_PLD_d1ebeae29ff34029a10a8e0c447a171b"/>
                <w:id w:val="-842550115"/>
                <w:lock w:val="sdtLocked"/>
              </w:sdtPr>
              <w:sdtContent>
                <w:tc>
                  <w:tcPr>
                    <w:tcW w:w="2099" w:type="pct"/>
                    <w:gridSpan w:val="3"/>
                    <w:shd w:val="clear" w:color="auto" w:fill="auto"/>
                    <w:vAlign w:val="center"/>
                  </w:tcPr>
                  <w:p w:rsidR="00806678" w:rsidRDefault="00B16377">
                    <w:pPr>
                      <w:jc w:val="center"/>
                    </w:pPr>
                    <w:r>
                      <w:rPr>
                        <w:rFonts w:hint="eastAsia"/>
                      </w:rPr>
                      <w:t>期初余额</w:t>
                    </w:r>
                  </w:p>
                </w:tc>
              </w:sdtContent>
            </w:sdt>
          </w:tr>
          <w:tr w:rsidR="00806678" w:rsidTr="00AC521D">
            <w:trPr>
              <w:cantSplit/>
            </w:trPr>
            <w:tc>
              <w:tcPr>
                <w:tcW w:w="803" w:type="pct"/>
                <w:vMerge/>
                <w:shd w:val="clear" w:color="auto" w:fill="auto"/>
                <w:vAlign w:val="center"/>
              </w:tcPr>
              <w:p w:rsidR="00806678" w:rsidRDefault="00806678">
                <w:pPr>
                  <w:jc w:val="center"/>
                </w:pPr>
              </w:p>
            </w:tc>
            <w:sdt>
              <w:sdtPr>
                <w:tag w:val="_PLD_dd00c7deeb1e4ede9c3e40d64760a230"/>
                <w:id w:val="1625431723"/>
                <w:lock w:val="sdtLocked"/>
              </w:sdtPr>
              <w:sdtContent>
                <w:tc>
                  <w:tcPr>
                    <w:tcW w:w="932" w:type="pct"/>
                    <w:shd w:val="clear" w:color="auto" w:fill="auto"/>
                    <w:vAlign w:val="center"/>
                  </w:tcPr>
                  <w:p w:rsidR="00806678" w:rsidRDefault="00B16377">
                    <w:pPr>
                      <w:jc w:val="center"/>
                    </w:pPr>
                    <w:r>
                      <w:rPr>
                        <w:rFonts w:hint="eastAsia"/>
                      </w:rPr>
                      <w:t>账面余额</w:t>
                    </w:r>
                  </w:p>
                </w:tc>
              </w:sdtContent>
            </w:sdt>
            <w:sdt>
              <w:sdtPr>
                <w:tag w:val="_PLD_dc4e6ed6511949b7a546924cafae2546"/>
                <w:id w:val="-462964796"/>
                <w:lock w:val="sdtLocked"/>
              </w:sdtPr>
              <w:sdtContent>
                <w:tc>
                  <w:tcPr>
                    <w:tcW w:w="235" w:type="pct"/>
                    <w:shd w:val="clear" w:color="auto" w:fill="auto"/>
                    <w:vAlign w:val="center"/>
                  </w:tcPr>
                  <w:p w:rsidR="00806678" w:rsidRDefault="00B16377">
                    <w:pPr>
                      <w:jc w:val="center"/>
                    </w:pPr>
                    <w:r>
                      <w:rPr>
                        <w:rFonts w:hint="eastAsia"/>
                      </w:rPr>
                      <w:t>减值准备</w:t>
                    </w:r>
                  </w:p>
                </w:tc>
              </w:sdtContent>
            </w:sdt>
            <w:sdt>
              <w:sdtPr>
                <w:tag w:val="_PLD_1d7bbdc4e6144c95a3fcb7369904bea6"/>
                <w:id w:val="1295098811"/>
                <w:lock w:val="sdtLocked"/>
              </w:sdtPr>
              <w:sdtContent>
                <w:tc>
                  <w:tcPr>
                    <w:tcW w:w="932" w:type="pct"/>
                    <w:shd w:val="clear" w:color="auto" w:fill="auto"/>
                    <w:vAlign w:val="center"/>
                  </w:tcPr>
                  <w:p w:rsidR="00806678" w:rsidRDefault="00B16377">
                    <w:pPr>
                      <w:jc w:val="center"/>
                    </w:pPr>
                    <w:r>
                      <w:rPr>
                        <w:rFonts w:hint="eastAsia"/>
                      </w:rPr>
                      <w:t>账面价值</w:t>
                    </w:r>
                  </w:p>
                </w:tc>
              </w:sdtContent>
            </w:sdt>
            <w:sdt>
              <w:sdtPr>
                <w:tag w:val="_PLD_bd8a9c944702423e9ff20ddba1c4b3aa"/>
                <w:id w:val="-1824647953"/>
                <w:lock w:val="sdtLocked"/>
              </w:sdtPr>
              <w:sdtContent>
                <w:tc>
                  <w:tcPr>
                    <w:tcW w:w="932" w:type="pct"/>
                    <w:shd w:val="clear" w:color="auto" w:fill="auto"/>
                    <w:vAlign w:val="center"/>
                  </w:tcPr>
                  <w:p w:rsidR="00806678" w:rsidRDefault="00B16377">
                    <w:pPr>
                      <w:jc w:val="center"/>
                    </w:pPr>
                    <w:r>
                      <w:rPr>
                        <w:rFonts w:hint="eastAsia"/>
                      </w:rPr>
                      <w:t>账面余额</w:t>
                    </w:r>
                  </w:p>
                </w:tc>
              </w:sdtContent>
            </w:sdt>
            <w:sdt>
              <w:sdtPr>
                <w:tag w:val="_PLD_708c7153bc9a48c792e109da0ba5f2f8"/>
                <w:id w:val="1807817539"/>
                <w:lock w:val="sdtLocked"/>
              </w:sdtPr>
              <w:sdtContent>
                <w:tc>
                  <w:tcPr>
                    <w:tcW w:w="235" w:type="pct"/>
                    <w:shd w:val="clear" w:color="auto" w:fill="auto"/>
                    <w:vAlign w:val="center"/>
                  </w:tcPr>
                  <w:p w:rsidR="00806678" w:rsidRDefault="00B16377">
                    <w:pPr>
                      <w:jc w:val="center"/>
                    </w:pPr>
                    <w:r>
                      <w:rPr>
                        <w:rFonts w:hint="eastAsia"/>
                      </w:rPr>
                      <w:t>减值准备</w:t>
                    </w:r>
                  </w:p>
                </w:tc>
              </w:sdtContent>
            </w:sdt>
            <w:sdt>
              <w:sdtPr>
                <w:tag w:val="_PLD_1516e7000a9747a28074e3f321fa96a7"/>
                <w:id w:val="766902878"/>
                <w:lock w:val="sdtLocked"/>
              </w:sdtPr>
              <w:sdtContent>
                <w:tc>
                  <w:tcPr>
                    <w:tcW w:w="932" w:type="pct"/>
                    <w:shd w:val="clear" w:color="auto" w:fill="auto"/>
                    <w:vAlign w:val="center"/>
                  </w:tcPr>
                  <w:p w:rsidR="00806678" w:rsidRDefault="00B16377">
                    <w:pPr>
                      <w:jc w:val="center"/>
                    </w:pPr>
                    <w:r>
                      <w:rPr>
                        <w:rFonts w:hint="eastAsia"/>
                      </w:rPr>
                      <w:t>账面价值</w:t>
                    </w:r>
                  </w:p>
                </w:tc>
              </w:sdtContent>
            </w:sdt>
          </w:tr>
          <w:tr w:rsidR="00AC521D" w:rsidTr="00634310">
            <w:trPr>
              <w:cantSplit/>
            </w:trPr>
            <w:sdt>
              <w:sdtPr>
                <w:tag w:val="_PLD_4ebe1ee9ac3f4ad385baa94779730fbb"/>
                <w:id w:val="720628931"/>
                <w:lock w:val="sdtLocked"/>
              </w:sdtPr>
              <w:sdtContent>
                <w:tc>
                  <w:tcPr>
                    <w:tcW w:w="803" w:type="pct"/>
                    <w:shd w:val="clear" w:color="auto" w:fill="auto"/>
                  </w:tcPr>
                  <w:p w:rsidR="00AC521D" w:rsidRDefault="00AC521D" w:rsidP="00AC521D">
                    <w:r>
                      <w:rPr>
                        <w:rFonts w:hint="eastAsia"/>
                      </w:rPr>
                      <w:t>对子公司投资</w:t>
                    </w:r>
                  </w:p>
                </w:tc>
              </w:sdtContent>
            </w:sdt>
            <w:tc>
              <w:tcPr>
                <w:tcW w:w="932" w:type="pct"/>
                <w:shd w:val="clear" w:color="auto" w:fill="auto"/>
                <w:vAlign w:val="center"/>
              </w:tcPr>
              <w:p w:rsidR="00AC521D" w:rsidRDefault="00AC521D" w:rsidP="00AC521D">
                <w:pPr>
                  <w:jc w:val="right"/>
                </w:pPr>
                <w:r>
                  <w:t>12,359,253,719</w:t>
                </w:r>
              </w:p>
            </w:tc>
            <w:tc>
              <w:tcPr>
                <w:tcW w:w="235" w:type="pct"/>
                <w:shd w:val="clear" w:color="auto" w:fill="auto"/>
                <w:vAlign w:val="center"/>
              </w:tcPr>
              <w:p w:rsidR="00AC521D" w:rsidRDefault="00AC521D" w:rsidP="00634310">
                <w:pPr>
                  <w:jc w:val="right"/>
                </w:pPr>
                <w:r>
                  <w:t>0</w:t>
                </w:r>
              </w:p>
            </w:tc>
            <w:tc>
              <w:tcPr>
                <w:tcW w:w="932" w:type="pct"/>
                <w:shd w:val="clear" w:color="auto" w:fill="auto"/>
                <w:vAlign w:val="center"/>
              </w:tcPr>
              <w:p w:rsidR="00AC521D" w:rsidRDefault="00AC521D" w:rsidP="00AC521D">
                <w:pPr>
                  <w:jc w:val="right"/>
                </w:pPr>
                <w:r>
                  <w:t>12,359,253,719</w:t>
                </w:r>
              </w:p>
            </w:tc>
            <w:tc>
              <w:tcPr>
                <w:tcW w:w="932" w:type="pct"/>
                <w:shd w:val="clear" w:color="auto" w:fill="auto"/>
                <w:vAlign w:val="center"/>
              </w:tcPr>
              <w:p w:rsidR="00AC521D" w:rsidRDefault="00AC521D" w:rsidP="00AC521D">
                <w:pPr>
                  <w:jc w:val="right"/>
                </w:pPr>
                <w:r>
                  <w:t>12,359,253,719</w:t>
                </w:r>
              </w:p>
            </w:tc>
            <w:tc>
              <w:tcPr>
                <w:tcW w:w="235" w:type="pct"/>
                <w:shd w:val="clear" w:color="auto" w:fill="auto"/>
                <w:vAlign w:val="center"/>
              </w:tcPr>
              <w:p w:rsidR="00AC521D" w:rsidRDefault="00AC521D" w:rsidP="00AC521D">
                <w:pPr>
                  <w:jc w:val="right"/>
                </w:pPr>
                <w:r>
                  <w:t>0</w:t>
                </w:r>
              </w:p>
            </w:tc>
            <w:tc>
              <w:tcPr>
                <w:tcW w:w="932" w:type="pct"/>
                <w:shd w:val="clear" w:color="auto" w:fill="auto"/>
                <w:vAlign w:val="center"/>
              </w:tcPr>
              <w:p w:rsidR="00AC521D" w:rsidRDefault="00AC521D" w:rsidP="00AC521D">
                <w:pPr>
                  <w:jc w:val="right"/>
                </w:pPr>
                <w:r>
                  <w:t>12,359,253,719</w:t>
                </w:r>
              </w:p>
            </w:tc>
          </w:tr>
          <w:tr w:rsidR="00AC521D" w:rsidTr="00634310">
            <w:trPr>
              <w:cantSplit/>
            </w:trPr>
            <w:sdt>
              <w:sdtPr>
                <w:tag w:val="_PLD_9263aaad34014fc5b2f7cd8ae963698b"/>
                <w:id w:val="1384916147"/>
                <w:lock w:val="sdtLocked"/>
              </w:sdtPr>
              <w:sdtContent>
                <w:tc>
                  <w:tcPr>
                    <w:tcW w:w="803" w:type="pct"/>
                    <w:shd w:val="clear" w:color="auto" w:fill="auto"/>
                  </w:tcPr>
                  <w:p w:rsidR="00AC521D" w:rsidRDefault="00AC521D" w:rsidP="00AC521D">
                    <w:r>
                      <w:rPr>
                        <w:rFonts w:hint="eastAsia"/>
                      </w:rPr>
                      <w:t>对联营、合营企业投资</w:t>
                    </w:r>
                  </w:p>
                </w:tc>
              </w:sdtContent>
            </w:sdt>
            <w:tc>
              <w:tcPr>
                <w:tcW w:w="932" w:type="pct"/>
                <w:shd w:val="clear" w:color="auto" w:fill="auto"/>
                <w:vAlign w:val="center"/>
              </w:tcPr>
              <w:p w:rsidR="00AC521D" w:rsidRDefault="00AC521D" w:rsidP="00AC521D">
                <w:pPr>
                  <w:jc w:val="right"/>
                </w:pPr>
                <w:r>
                  <w:t>23,900,752,982</w:t>
                </w:r>
              </w:p>
            </w:tc>
            <w:tc>
              <w:tcPr>
                <w:tcW w:w="235" w:type="pct"/>
                <w:shd w:val="clear" w:color="auto" w:fill="auto"/>
                <w:vAlign w:val="center"/>
              </w:tcPr>
              <w:p w:rsidR="00AC521D" w:rsidRDefault="00AC521D" w:rsidP="00634310">
                <w:pPr>
                  <w:jc w:val="right"/>
                </w:pPr>
                <w:r>
                  <w:t>0</w:t>
                </w:r>
              </w:p>
            </w:tc>
            <w:tc>
              <w:tcPr>
                <w:tcW w:w="932" w:type="pct"/>
                <w:shd w:val="clear" w:color="auto" w:fill="auto"/>
                <w:vAlign w:val="center"/>
              </w:tcPr>
              <w:p w:rsidR="00AC521D" w:rsidRDefault="00AC521D" w:rsidP="00AC521D">
                <w:pPr>
                  <w:jc w:val="right"/>
                </w:pPr>
                <w:r>
                  <w:t>23,900,752,982</w:t>
                </w:r>
              </w:p>
            </w:tc>
            <w:tc>
              <w:tcPr>
                <w:tcW w:w="932" w:type="pct"/>
                <w:shd w:val="clear" w:color="auto" w:fill="auto"/>
                <w:vAlign w:val="center"/>
              </w:tcPr>
              <w:p w:rsidR="00AC521D" w:rsidRDefault="00AC521D" w:rsidP="00AC521D">
                <w:pPr>
                  <w:jc w:val="right"/>
                </w:pPr>
                <w:r>
                  <w:t>26,470,519,303</w:t>
                </w:r>
              </w:p>
            </w:tc>
            <w:tc>
              <w:tcPr>
                <w:tcW w:w="235" w:type="pct"/>
                <w:shd w:val="clear" w:color="auto" w:fill="auto"/>
                <w:vAlign w:val="center"/>
              </w:tcPr>
              <w:p w:rsidR="00AC521D" w:rsidRDefault="00AC521D" w:rsidP="00AC521D">
                <w:pPr>
                  <w:jc w:val="right"/>
                </w:pPr>
                <w:r>
                  <w:t>0</w:t>
                </w:r>
              </w:p>
            </w:tc>
            <w:tc>
              <w:tcPr>
                <w:tcW w:w="932" w:type="pct"/>
                <w:shd w:val="clear" w:color="auto" w:fill="auto"/>
                <w:vAlign w:val="center"/>
              </w:tcPr>
              <w:p w:rsidR="00AC521D" w:rsidRDefault="00AC521D" w:rsidP="00AC521D">
                <w:pPr>
                  <w:jc w:val="right"/>
                </w:pPr>
                <w:r>
                  <w:t>26,470,519,303</w:t>
                </w:r>
              </w:p>
            </w:tc>
          </w:tr>
          <w:tr w:rsidR="00657CA8" w:rsidTr="00634310">
            <w:trPr>
              <w:cantSplit/>
            </w:trPr>
            <w:sdt>
              <w:sdtPr>
                <w:tag w:val="_PLD_5ced5d3fd2d845df89e0e68805ac19fe"/>
                <w:id w:val="878747714"/>
                <w:lock w:val="sdtLocked"/>
              </w:sdtPr>
              <w:sdtContent>
                <w:tc>
                  <w:tcPr>
                    <w:tcW w:w="803" w:type="pct"/>
                    <w:shd w:val="clear" w:color="auto" w:fill="auto"/>
                    <w:vAlign w:val="center"/>
                  </w:tcPr>
                  <w:p w:rsidR="00657CA8" w:rsidRDefault="00657CA8" w:rsidP="00657CA8">
                    <w:pPr>
                      <w:jc w:val="center"/>
                    </w:pPr>
                    <w:r>
                      <w:rPr>
                        <w:rFonts w:hint="eastAsia"/>
                      </w:rPr>
                      <w:t>合计</w:t>
                    </w:r>
                  </w:p>
                </w:tc>
              </w:sdtContent>
            </w:sdt>
            <w:tc>
              <w:tcPr>
                <w:tcW w:w="932" w:type="pct"/>
                <w:shd w:val="clear" w:color="auto" w:fill="auto"/>
              </w:tcPr>
              <w:p w:rsidR="00657CA8" w:rsidRDefault="00657CA8" w:rsidP="00657CA8">
                <w:pPr>
                  <w:jc w:val="right"/>
                </w:pPr>
                <w:r>
                  <w:t>36,260,006,701</w:t>
                </w:r>
              </w:p>
            </w:tc>
            <w:tc>
              <w:tcPr>
                <w:tcW w:w="235" w:type="pct"/>
                <w:shd w:val="clear" w:color="auto" w:fill="auto"/>
                <w:vAlign w:val="center"/>
              </w:tcPr>
              <w:p w:rsidR="00657CA8" w:rsidRDefault="00657CA8" w:rsidP="00634310">
                <w:pPr>
                  <w:jc w:val="right"/>
                </w:pPr>
                <w:r>
                  <w:t>0</w:t>
                </w:r>
              </w:p>
            </w:tc>
            <w:tc>
              <w:tcPr>
                <w:tcW w:w="932" w:type="pct"/>
                <w:shd w:val="clear" w:color="auto" w:fill="auto"/>
                <w:vAlign w:val="center"/>
              </w:tcPr>
              <w:p w:rsidR="00657CA8" w:rsidRDefault="00657CA8" w:rsidP="00657CA8">
                <w:pPr>
                  <w:jc w:val="right"/>
                </w:pPr>
                <w:r>
                  <w:t>36,260,006,701</w:t>
                </w:r>
              </w:p>
            </w:tc>
            <w:tc>
              <w:tcPr>
                <w:tcW w:w="932" w:type="pct"/>
                <w:shd w:val="clear" w:color="auto" w:fill="auto"/>
              </w:tcPr>
              <w:p w:rsidR="00657CA8" w:rsidRDefault="00657CA8" w:rsidP="00657CA8">
                <w:pPr>
                  <w:jc w:val="right"/>
                </w:pPr>
                <w:r>
                  <w:t>38,829,773,022</w:t>
                </w:r>
              </w:p>
            </w:tc>
            <w:tc>
              <w:tcPr>
                <w:tcW w:w="235" w:type="pct"/>
                <w:shd w:val="clear" w:color="auto" w:fill="auto"/>
                <w:vAlign w:val="center"/>
              </w:tcPr>
              <w:p w:rsidR="00657CA8" w:rsidRDefault="00657CA8" w:rsidP="00657CA8">
                <w:pPr>
                  <w:jc w:val="right"/>
                </w:pPr>
                <w:r>
                  <w:t>0</w:t>
                </w:r>
              </w:p>
            </w:tc>
            <w:tc>
              <w:tcPr>
                <w:tcW w:w="932" w:type="pct"/>
                <w:shd w:val="clear" w:color="auto" w:fill="auto"/>
                <w:vAlign w:val="center"/>
              </w:tcPr>
              <w:p w:rsidR="00657CA8" w:rsidRDefault="00AC521D" w:rsidP="00657CA8">
                <w:pPr>
                  <w:jc w:val="right"/>
                </w:pPr>
                <w:r>
                  <w:t>38,829,773,022</w:t>
                </w:r>
              </w:p>
            </w:tc>
          </w:tr>
        </w:tbl>
        <w:p w:rsidR="00C84467" w:rsidRDefault="00C84467">
          <w:pPr>
            <w:rPr>
              <w:szCs w:val="21"/>
            </w:rPr>
          </w:pPr>
        </w:p>
        <w:p w:rsidR="00C84467" w:rsidRDefault="00C84467">
          <w:pPr>
            <w:rPr>
              <w:szCs w:val="21"/>
            </w:rPr>
          </w:pPr>
        </w:p>
        <w:p w:rsidR="00C84467" w:rsidRDefault="00C84467">
          <w:pPr>
            <w:rPr>
              <w:szCs w:val="21"/>
            </w:rPr>
          </w:pPr>
        </w:p>
        <w:p w:rsidR="00C84467" w:rsidRDefault="00C84467">
          <w:pPr>
            <w:rPr>
              <w:szCs w:val="21"/>
            </w:rPr>
          </w:pPr>
        </w:p>
        <w:p w:rsidR="00806678" w:rsidRDefault="00F80B6C">
          <w:pPr>
            <w:rPr>
              <w:szCs w:val="21"/>
            </w:rPr>
          </w:pPr>
        </w:p>
      </w:sdtContent>
    </w:sdt>
    <w:sdt>
      <w:sdtPr>
        <w:rPr>
          <w:rFonts w:ascii="宋体" w:eastAsia="宋体" w:hAnsi="宋体" w:cs="宋体" w:hint="eastAsia"/>
          <w:b w:val="0"/>
          <w:bCs w:val="0"/>
          <w:kern w:val="0"/>
          <w:szCs w:val="24"/>
        </w:rPr>
        <w:alias w:val="模块:对子公司投资"/>
        <w:tag w:val="_SEC_f8a5b8b7954e47eb81f4b0c9ee167266"/>
        <w:id w:val="-1750733603"/>
        <w:lock w:val="sdtLocked"/>
        <w:placeholder>
          <w:docPart w:val="GBC22222222222222222222222222222"/>
        </w:placeholder>
      </w:sdtPr>
      <w:sdtEndPr>
        <w:rPr>
          <w:szCs w:val="21"/>
        </w:rPr>
      </w:sdtEndPr>
      <w:sdtContent>
        <w:p w:rsidR="00806678" w:rsidRDefault="00B16377" w:rsidP="00FF17C7">
          <w:pPr>
            <w:pStyle w:val="4"/>
            <w:numPr>
              <w:ilvl w:val="0"/>
              <w:numId w:val="112"/>
            </w:numPr>
          </w:pPr>
          <w:r>
            <w:rPr>
              <w:rFonts w:hint="eastAsia"/>
            </w:rPr>
            <w:t>对子公司投资</w:t>
          </w:r>
        </w:p>
        <w:sdt>
          <w:sdtPr>
            <w:alias w:val="是否适用：母公司对子公司投资[双击切换]"/>
            <w:tag w:val="_GBC_db6ca6099b0a42bca0cbba7ead69557f"/>
            <w:id w:val="958080113"/>
            <w:lock w:val="sdtLocked"/>
            <w:placeholder>
              <w:docPart w:val="GBC22222222222222222222222222222"/>
            </w:placeholder>
          </w:sdtPr>
          <w:sdtContent>
            <w:p w:rsidR="00806678" w:rsidRDefault="00F80B6C">
              <w:r>
                <w:fldChar w:fldCharType="begin"/>
              </w:r>
              <w:r w:rsidR="00657CA8">
                <w:instrText xml:space="preserve">MACROBUTTON  SnrToggleCheckbox √适用 </w:instrText>
              </w:r>
              <w:r>
                <w:fldChar w:fldCharType="end"/>
              </w:r>
              <w:r>
                <w:fldChar w:fldCharType="begin"/>
              </w:r>
              <w:r w:rsidR="00657CA8">
                <w:instrText xml:space="preserve"> MACROBUTTON  SnrToggleCheckbox □不适用 </w:instrText>
              </w:r>
              <w:r>
                <w:fldChar w:fldCharType="end"/>
              </w:r>
            </w:p>
          </w:sdtContent>
        </w:sdt>
        <w:p w:rsidR="00806678" w:rsidRDefault="00B16377">
          <w:pPr>
            <w:jc w:val="right"/>
            <w:rPr>
              <w:szCs w:val="21"/>
            </w:rPr>
          </w:pPr>
          <w:r>
            <w:rPr>
              <w:rFonts w:hint="eastAsia"/>
              <w:szCs w:val="21"/>
            </w:rPr>
            <w:t>单位：</w:t>
          </w:r>
          <w:sdt>
            <w:sdtPr>
              <w:rPr>
                <w:rFonts w:hint="eastAsia"/>
                <w:szCs w:val="21"/>
              </w:rPr>
              <w:alias w:val="单位：母公司财务附注：对子公司投资"/>
              <w:tag w:val="_GBC_744810ff600d4176af7d45c0bf0b7978"/>
              <w:id w:val="106785350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母公司财务附注：对子公司投资"/>
              <w:tag w:val="_GBC_d2f8249dd813484db8850cd3e6e60609"/>
              <w:id w:val="-195802564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80"/>
            <w:gridCol w:w="1686"/>
            <w:gridCol w:w="931"/>
            <w:gridCol w:w="1000"/>
            <w:gridCol w:w="1686"/>
            <w:gridCol w:w="971"/>
            <w:gridCol w:w="995"/>
          </w:tblGrid>
          <w:tr w:rsidR="00657CA8" w:rsidTr="0021083C">
            <w:sdt>
              <w:sdtPr>
                <w:tag w:val="_PLD_43f5c326f4e64acb83b7062be90601f4"/>
                <w:id w:val="-1541816786"/>
                <w:lock w:val="sdtLocked"/>
              </w:sdtPr>
              <w:sdtContent>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657CA8" w:rsidRDefault="00657CA8" w:rsidP="00DB008B">
                    <w:pPr>
                      <w:jc w:val="center"/>
                    </w:pPr>
                    <w:r>
                      <w:rPr>
                        <w:rFonts w:hint="eastAsia"/>
                      </w:rPr>
                      <w:t>被投资单位</w:t>
                    </w:r>
                  </w:p>
                </w:tc>
              </w:sdtContent>
            </w:sdt>
            <w:sdt>
              <w:sdtPr>
                <w:tag w:val="_PLD_bfc01ff1dea540d68a163c0b4f2658e7"/>
                <w:id w:val="1398315880"/>
                <w:lock w:val="sdtLocked"/>
              </w:sdtPr>
              <w:sdtContent>
                <w:tc>
                  <w:tcPr>
                    <w:tcW w:w="833" w:type="pct"/>
                    <w:tcBorders>
                      <w:top w:val="single" w:sz="4" w:space="0" w:color="auto"/>
                      <w:left w:val="single" w:sz="4" w:space="0" w:color="auto"/>
                      <w:bottom w:val="single" w:sz="4" w:space="0" w:color="auto"/>
                      <w:right w:val="single" w:sz="4" w:space="0" w:color="auto"/>
                    </w:tcBorders>
                    <w:shd w:val="clear" w:color="auto" w:fill="auto"/>
                    <w:vAlign w:val="center"/>
                  </w:tcPr>
                  <w:p w:rsidR="00657CA8" w:rsidRDefault="00657CA8" w:rsidP="00DB008B">
                    <w:pPr>
                      <w:jc w:val="center"/>
                    </w:pPr>
                    <w:r>
                      <w:rPr>
                        <w:rFonts w:hint="eastAsia"/>
                      </w:rPr>
                      <w:t>期初余额</w:t>
                    </w:r>
                  </w:p>
                </w:tc>
              </w:sdtContent>
            </w:sdt>
            <w:sdt>
              <w:sdtPr>
                <w:tag w:val="_PLD_2868730cdc514c8c888f9e5fbbf1861b"/>
                <w:id w:val="1323234942"/>
                <w:lock w:val="sdtLocked"/>
              </w:sdtPr>
              <w:sdtContent>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rsidR="00657CA8" w:rsidRDefault="00657CA8" w:rsidP="00DB008B">
                    <w:pPr>
                      <w:jc w:val="center"/>
                    </w:pPr>
                    <w:r>
                      <w:rPr>
                        <w:rFonts w:hint="eastAsia"/>
                      </w:rPr>
                      <w:t>本期增加</w:t>
                    </w:r>
                  </w:p>
                </w:tc>
              </w:sdtContent>
            </w:sdt>
            <w:sdt>
              <w:sdtPr>
                <w:tag w:val="_PLD_53aab3e541434694890e1daaef86892e"/>
                <w:id w:val="-1202782592"/>
                <w:lock w:val="sdtLocked"/>
              </w:sdtPr>
              <w:sdtContent>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rsidR="00657CA8" w:rsidRDefault="00657CA8" w:rsidP="00DB008B">
                    <w:pPr>
                      <w:jc w:val="center"/>
                    </w:pPr>
                    <w:r>
                      <w:rPr>
                        <w:rFonts w:hint="eastAsia"/>
                      </w:rPr>
                      <w:t>本期减少</w:t>
                    </w:r>
                  </w:p>
                </w:tc>
              </w:sdtContent>
            </w:sdt>
            <w:sdt>
              <w:sdtPr>
                <w:tag w:val="_PLD_eeaa6cf867964b44953ca6fa9f1417b3"/>
                <w:id w:val="-584447797"/>
                <w:lock w:val="sdtLocked"/>
              </w:sdtPr>
              <w:sdtContent>
                <w:tc>
                  <w:tcPr>
                    <w:tcW w:w="932" w:type="pct"/>
                    <w:tcBorders>
                      <w:top w:val="single" w:sz="4" w:space="0" w:color="auto"/>
                      <w:left w:val="single" w:sz="4" w:space="0" w:color="auto"/>
                      <w:bottom w:val="single" w:sz="4" w:space="0" w:color="auto"/>
                      <w:right w:val="single" w:sz="4" w:space="0" w:color="auto"/>
                    </w:tcBorders>
                    <w:shd w:val="clear" w:color="auto" w:fill="auto"/>
                    <w:vAlign w:val="center"/>
                  </w:tcPr>
                  <w:p w:rsidR="00657CA8" w:rsidRDefault="00657CA8" w:rsidP="00DB008B">
                    <w:pPr>
                      <w:jc w:val="center"/>
                    </w:pPr>
                    <w:r>
                      <w:rPr>
                        <w:rFonts w:hint="eastAsia"/>
                      </w:rPr>
                      <w:t>期末余额</w:t>
                    </w:r>
                  </w:p>
                </w:tc>
              </w:sdtContent>
            </w:sdt>
            <w:sdt>
              <w:sdtPr>
                <w:tag w:val="_PLD_4365562ff41a4c1fbb543509a4ea61f6"/>
                <w:id w:val="-1734770367"/>
                <w:lock w:val="sdtLocked"/>
              </w:sdtPr>
              <w:sdtContent>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rsidR="00657CA8" w:rsidRDefault="00657CA8" w:rsidP="00DB008B">
                    <w:pPr>
                      <w:jc w:val="center"/>
                      <w:rPr>
                        <w:szCs w:val="21"/>
                      </w:rPr>
                    </w:pPr>
                    <w:r>
                      <w:rPr>
                        <w:rFonts w:hint="eastAsia"/>
                      </w:rPr>
                      <w:t>本期计提减值准备</w:t>
                    </w:r>
                  </w:p>
                </w:tc>
              </w:sdtContent>
            </w:sdt>
            <w:sdt>
              <w:sdtPr>
                <w:tag w:val="_PLD_1d05d35b40794516842b0264b05f0a95"/>
                <w:id w:val="-35889947"/>
                <w:lock w:val="sdtLocked"/>
              </w:sdtPr>
              <w:sdtContent>
                <w:tc>
                  <w:tcPr>
                    <w:tcW w:w="566" w:type="pct"/>
                    <w:tcBorders>
                      <w:top w:val="single" w:sz="4" w:space="0" w:color="auto"/>
                      <w:left w:val="single" w:sz="4" w:space="0" w:color="auto"/>
                      <w:bottom w:val="single" w:sz="4" w:space="0" w:color="auto"/>
                      <w:right w:val="single" w:sz="4" w:space="0" w:color="auto"/>
                    </w:tcBorders>
                    <w:shd w:val="clear" w:color="auto" w:fill="auto"/>
                    <w:vAlign w:val="center"/>
                  </w:tcPr>
                  <w:p w:rsidR="00657CA8" w:rsidRDefault="00657CA8" w:rsidP="00DB008B">
                    <w:pPr>
                      <w:jc w:val="center"/>
                    </w:pPr>
                    <w:r>
                      <w:rPr>
                        <w:rFonts w:hint="eastAsia"/>
                      </w:rPr>
                      <w:t>减值准备期末余额</w:t>
                    </w:r>
                  </w:p>
                </w:tc>
              </w:sdtContent>
            </w:sdt>
          </w:tr>
          <w:sdt>
            <w:sdtPr>
              <w:alias w:val="长期股权投资明细"/>
              <w:tag w:val="_TUP_ffd53d91c32d4e5ea37a6c2ca799f0e2"/>
              <w:id w:val="593985614"/>
              <w:lock w:val="sdtLocked"/>
            </w:sdtPr>
            <w:sdtContent>
              <w:tr w:rsidR="00657CA8" w:rsidTr="0021083C">
                <w:tc>
                  <w:tcPr>
                    <w:tcW w:w="1000" w:type="pct"/>
                    <w:tcBorders>
                      <w:top w:val="single" w:sz="4" w:space="0" w:color="auto"/>
                      <w:left w:val="single" w:sz="4" w:space="0" w:color="auto"/>
                      <w:bottom w:val="single" w:sz="4" w:space="0" w:color="auto"/>
                      <w:right w:val="single" w:sz="4" w:space="0" w:color="auto"/>
                    </w:tcBorders>
                    <w:vAlign w:val="center"/>
                  </w:tcPr>
                  <w:p w:rsidR="00657CA8" w:rsidRDefault="00657CA8" w:rsidP="00DB008B">
                    <w:r>
                      <w:t>侯禹铁路公司</w:t>
                    </w:r>
                  </w:p>
                </w:tc>
                <w:tc>
                  <w:tcPr>
                    <w:tcW w:w="833" w:type="pct"/>
                    <w:tcBorders>
                      <w:top w:val="single" w:sz="4" w:space="0" w:color="auto"/>
                      <w:left w:val="single" w:sz="4" w:space="0" w:color="auto"/>
                      <w:bottom w:val="single" w:sz="4" w:space="0" w:color="auto"/>
                      <w:right w:val="single" w:sz="4" w:space="0" w:color="auto"/>
                    </w:tcBorders>
                    <w:vAlign w:val="center"/>
                  </w:tcPr>
                  <w:p w:rsidR="00657CA8" w:rsidRDefault="00657CA8" w:rsidP="00DB008B">
                    <w:pPr>
                      <w:jc w:val="right"/>
                    </w:pPr>
                    <w:r>
                      <w:t>1,850,000,000</w:t>
                    </w:r>
                  </w:p>
                </w:tc>
                <w:tc>
                  <w:tcPr>
                    <w:tcW w:w="531" w:type="pct"/>
                    <w:tcBorders>
                      <w:top w:val="single" w:sz="4" w:space="0" w:color="auto"/>
                      <w:left w:val="single" w:sz="4" w:space="0" w:color="auto"/>
                      <w:bottom w:val="single" w:sz="4" w:space="0" w:color="auto"/>
                      <w:right w:val="single" w:sz="4" w:space="0" w:color="auto"/>
                    </w:tcBorders>
                  </w:tcPr>
                  <w:p w:rsidR="00657CA8" w:rsidRDefault="00657CA8" w:rsidP="00DB008B">
                    <w:pPr>
                      <w:jc w:val="right"/>
                    </w:pPr>
                    <w:r>
                      <w:t>0</w:t>
                    </w:r>
                  </w:p>
                </w:tc>
                <w:tc>
                  <w:tcPr>
                    <w:tcW w:w="569" w:type="pct"/>
                    <w:tcBorders>
                      <w:top w:val="single" w:sz="4" w:space="0" w:color="auto"/>
                      <w:left w:val="single" w:sz="4" w:space="0" w:color="auto"/>
                      <w:bottom w:val="single" w:sz="4" w:space="0" w:color="auto"/>
                      <w:right w:val="single" w:sz="4" w:space="0" w:color="auto"/>
                    </w:tcBorders>
                    <w:vAlign w:val="center"/>
                  </w:tcPr>
                  <w:p w:rsidR="00657CA8" w:rsidRDefault="00657CA8" w:rsidP="00DB008B">
                    <w:pPr>
                      <w:jc w:val="right"/>
                    </w:pPr>
                    <w:r>
                      <w:t>0</w:t>
                    </w:r>
                  </w:p>
                </w:tc>
                <w:tc>
                  <w:tcPr>
                    <w:tcW w:w="932" w:type="pct"/>
                    <w:tcBorders>
                      <w:top w:val="single" w:sz="4" w:space="0" w:color="auto"/>
                      <w:left w:val="single" w:sz="4" w:space="0" w:color="auto"/>
                      <w:bottom w:val="single" w:sz="4" w:space="0" w:color="auto"/>
                      <w:right w:val="single" w:sz="4" w:space="0" w:color="auto"/>
                    </w:tcBorders>
                    <w:vAlign w:val="center"/>
                  </w:tcPr>
                  <w:p w:rsidR="00657CA8" w:rsidRDefault="00657CA8" w:rsidP="00DB008B">
                    <w:pPr>
                      <w:jc w:val="right"/>
                    </w:pPr>
                    <w:r>
                      <w:t>1,850,000,000</w:t>
                    </w:r>
                  </w:p>
                </w:tc>
                <w:tc>
                  <w:tcPr>
                    <w:tcW w:w="569" w:type="pct"/>
                    <w:tcBorders>
                      <w:top w:val="single" w:sz="4" w:space="0" w:color="auto"/>
                      <w:left w:val="single" w:sz="4" w:space="0" w:color="auto"/>
                      <w:bottom w:val="single" w:sz="4" w:space="0" w:color="auto"/>
                      <w:right w:val="single" w:sz="4" w:space="0" w:color="auto"/>
                    </w:tcBorders>
                    <w:vAlign w:val="center"/>
                  </w:tcPr>
                  <w:p w:rsidR="00657CA8" w:rsidRDefault="00657CA8" w:rsidP="006B51B4">
                    <w:pPr>
                      <w:jc w:val="right"/>
                    </w:pPr>
                    <w:r>
                      <w:t>0</w:t>
                    </w:r>
                  </w:p>
                </w:tc>
                <w:tc>
                  <w:tcPr>
                    <w:tcW w:w="566" w:type="pct"/>
                    <w:tcBorders>
                      <w:top w:val="single" w:sz="4" w:space="0" w:color="auto"/>
                      <w:left w:val="single" w:sz="4" w:space="0" w:color="auto"/>
                      <w:bottom w:val="single" w:sz="4" w:space="0" w:color="auto"/>
                      <w:right w:val="single" w:sz="4" w:space="0" w:color="auto"/>
                    </w:tcBorders>
                    <w:vAlign w:val="center"/>
                  </w:tcPr>
                  <w:p w:rsidR="00657CA8" w:rsidRDefault="00657CA8" w:rsidP="006B51B4">
                    <w:pPr>
                      <w:jc w:val="right"/>
                    </w:pPr>
                    <w:r>
                      <w:t>0</w:t>
                    </w:r>
                  </w:p>
                </w:tc>
              </w:tr>
            </w:sdtContent>
          </w:sdt>
          <w:sdt>
            <w:sdtPr>
              <w:alias w:val="长期股权投资明细"/>
              <w:tag w:val="_TUP_ffd53d91c32d4e5ea37a6c2ca799f0e2"/>
              <w:id w:val="-1767217672"/>
              <w:lock w:val="sdtLocked"/>
            </w:sdtPr>
            <w:sdtContent>
              <w:tr w:rsidR="00657CA8" w:rsidTr="0021083C">
                <w:tc>
                  <w:tcPr>
                    <w:tcW w:w="1000" w:type="pct"/>
                    <w:tcBorders>
                      <w:top w:val="single" w:sz="4" w:space="0" w:color="auto"/>
                      <w:left w:val="single" w:sz="4" w:space="0" w:color="auto"/>
                      <w:bottom w:val="single" w:sz="4" w:space="0" w:color="auto"/>
                      <w:right w:val="single" w:sz="4" w:space="0" w:color="auto"/>
                    </w:tcBorders>
                    <w:vAlign w:val="center"/>
                  </w:tcPr>
                  <w:p w:rsidR="00657CA8" w:rsidRDefault="00657CA8" w:rsidP="00DB008B">
                    <w:r>
                      <w:t>大秦经贸</w:t>
                    </w:r>
                  </w:p>
                </w:tc>
                <w:tc>
                  <w:tcPr>
                    <w:tcW w:w="833" w:type="pct"/>
                    <w:tcBorders>
                      <w:top w:val="single" w:sz="4" w:space="0" w:color="auto"/>
                      <w:left w:val="single" w:sz="4" w:space="0" w:color="auto"/>
                      <w:bottom w:val="single" w:sz="4" w:space="0" w:color="auto"/>
                      <w:right w:val="single" w:sz="4" w:space="0" w:color="auto"/>
                    </w:tcBorders>
                    <w:vAlign w:val="center"/>
                  </w:tcPr>
                  <w:p w:rsidR="00657CA8" w:rsidRDefault="00657CA8" w:rsidP="00DB008B">
                    <w:pPr>
                      <w:jc w:val="right"/>
                    </w:pPr>
                    <w:r>
                      <w:t>128,239,795</w:t>
                    </w:r>
                  </w:p>
                </w:tc>
                <w:tc>
                  <w:tcPr>
                    <w:tcW w:w="531" w:type="pct"/>
                    <w:tcBorders>
                      <w:top w:val="single" w:sz="4" w:space="0" w:color="auto"/>
                      <w:left w:val="single" w:sz="4" w:space="0" w:color="auto"/>
                      <w:bottom w:val="single" w:sz="4" w:space="0" w:color="auto"/>
                      <w:right w:val="single" w:sz="4" w:space="0" w:color="auto"/>
                    </w:tcBorders>
                  </w:tcPr>
                  <w:p w:rsidR="00657CA8" w:rsidRDefault="00657CA8" w:rsidP="00DB008B">
                    <w:pPr>
                      <w:jc w:val="right"/>
                    </w:pPr>
                    <w:r>
                      <w:t>0</w:t>
                    </w:r>
                  </w:p>
                </w:tc>
                <w:tc>
                  <w:tcPr>
                    <w:tcW w:w="569" w:type="pct"/>
                    <w:tcBorders>
                      <w:top w:val="single" w:sz="4" w:space="0" w:color="auto"/>
                      <w:left w:val="single" w:sz="4" w:space="0" w:color="auto"/>
                      <w:bottom w:val="single" w:sz="4" w:space="0" w:color="auto"/>
                      <w:right w:val="single" w:sz="4" w:space="0" w:color="auto"/>
                    </w:tcBorders>
                    <w:vAlign w:val="center"/>
                  </w:tcPr>
                  <w:p w:rsidR="00657CA8" w:rsidRDefault="00657CA8" w:rsidP="00DB008B">
                    <w:pPr>
                      <w:jc w:val="right"/>
                    </w:pPr>
                    <w:r>
                      <w:t>0</w:t>
                    </w:r>
                  </w:p>
                </w:tc>
                <w:tc>
                  <w:tcPr>
                    <w:tcW w:w="932" w:type="pct"/>
                    <w:tcBorders>
                      <w:top w:val="single" w:sz="4" w:space="0" w:color="auto"/>
                      <w:left w:val="single" w:sz="4" w:space="0" w:color="auto"/>
                      <w:bottom w:val="single" w:sz="4" w:space="0" w:color="auto"/>
                      <w:right w:val="single" w:sz="4" w:space="0" w:color="auto"/>
                    </w:tcBorders>
                    <w:vAlign w:val="center"/>
                  </w:tcPr>
                  <w:p w:rsidR="00657CA8" w:rsidRDefault="00657CA8" w:rsidP="00DB008B">
                    <w:pPr>
                      <w:jc w:val="right"/>
                    </w:pPr>
                    <w:r>
                      <w:t>128,239,795</w:t>
                    </w:r>
                  </w:p>
                </w:tc>
                <w:tc>
                  <w:tcPr>
                    <w:tcW w:w="569" w:type="pct"/>
                    <w:tcBorders>
                      <w:top w:val="single" w:sz="4" w:space="0" w:color="auto"/>
                      <w:left w:val="single" w:sz="4" w:space="0" w:color="auto"/>
                      <w:bottom w:val="single" w:sz="4" w:space="0" w:color="auto"/>
                      <w:right w:val="single" w:sz="4" w:space="0" w:color="auto"/>
                    </w:tcBorders>
                    <w:vAlign w:val="center"/>
                  </w:tcPr>
                  <w:p w:rsidR="00657CA8" w:rsidRDefault="00657CA8" w:rsidP="006B51B4">
                    <w:pPr>
                      <w:jc w:val="right"/>
                    </w:pPr>
                    <w:r>
                      <w:t>0</w:t>
                    </w:r>
                  </w:p>
                </w:tc>
                <w:tc>
                  <w:tcPr>
                    <w:tcW w:w="566" w:type="pct"/>
                    <w:tcBorders>
                      <w:top w:val="single" w:sz="4" w:space="0" w:color="auto"/>
                      <w:left w:val="single" w:sz="4" w:space="0" w:color="auto"/>
                      <w:bottom w:val="single" w:sz="4" w:space="0" w:color="auto"/>
                      <w:right w:val="single" w:sz="4" w:space="0" w:color="auto"/>
                    </w:tcBorders>
                    <w:vAlign w:val="center"/>
                  </w:tcPr>
                  <w:p w:rsidR="00657CA8" w:rsidRDefault="00657CA8" w:rsidP="006B51B4">
                    <w:pPr>
                      <w:jc w:val="right"/>
                    </w:pPr>
                    <w:r>
                      <w:t>0</w:t>
                    </w:r>
                  </w:p>
                </w:tc>
              </w:tr>
            </w:sdtContent>
          </w:sdt>
          <w:sdt>
            <w:sdtPr>
              <w:alias w:val="长期股权投资明细"/>
              <w:tag w:val="_TUP_ffd53d91c32d4e5ea37a6c2ca799f0e2"/>
              <w:id w:val="972644296"/>
              <w:lock w:val="sdtLocked"/>
            </w:sdtPr>
            <w:sdtContent>
              <w:tr w:rsidR="00657CA8" w:rsidTr="0021083C">
                <w:tc>
                  <w:tcPr>
                    <w:tcW w:w="1000" w:type="pct"/>
                    <w:tcBorders>
                      <w:top w:val="single" w:sz="4" w:space="0" w:color="auto"/>
                      <w:left w:val="single" w:sz="4" w:space="0" w:color="auto"/>
                      <w:bottom w:val="single" w:sz="4" w:space="0" w:color="auto"/>
                      <w:right w:val="single" w:sz="4" w:space="0" w:color="auto"/>
                    </w:tcBorders>
                    <w:vAlign w:val="center"/>
                  </w:tcPr>
                  <w:p w:rsidR="00657CA8" w:rsidRDefault="00657CA8" w:rsidP="00DB008B">
                    <w:r>
                      <w:t>太兴铁路公司</w:t>
                    </w:r>
                  </w:p>
                </w:tc>
                <w:tc>
                  <w:tcPr>
                    <w:tcW w:w="833" w:type="pct"/>
                    <w:tcBorders>
                      <w:top w:val="single" w:sz="4" w:space="0" w:color="auto"/>
                      <w:left w:val="single" w:sz="4" w:space="0" w:color="auto"/>
                      <w:bottom w:val="single" w:sz="4" w:space="0" w:color="auto"/>
                      <w:right w:val="single" w:sz="4" w:space="0" w:color="auto"/>
                    </w:tcBorders>
                    <w:vAlign w:val="center"/>
                  </w:tcPr>
                  <w:p w:rsidR="00657CA8" w:rsidRDefault="00657CA8" w:rsidP="00DB008B">
                    <w:pPr>
                      <w:jc w:val="right"/>
                    </w:pPr>
                    <w:r>
                      <w:t>3,753,654,496</w:t>
                    </w:r>
                  </w:p>
                </w:tc>
                <w:tc>
                  <w:tcPr>
                    <w:tcW w:w="531" w:type="pct"/>
                    <w:tcBorders>
                      <w:top w:val="single" w:sz="4" w:space="0" w:color="auto"/>
                      <w:left w:val="single" w:sz="4" w:space="0" w:color="auto"/>
                      <w:bottom w:val="single" w:sz="4" w:space="0" w:color="auto"/>
                      <w:right w:val="single" w:sz="4" w:space="0" w:color="auto"/>
                    </w:tcBorders>
                  </w:tcPr>
                  <w:p w:rsidR="00657CA8" w:rsidRDefault="00657CA8" w:rsidP="00DB008B">
                    <w:pPr>
                      <w:jc w:val="right"/>
                    </w:pPr>
                    <w:r>
                      <w:t>0</w:t>
                    </w:r>
                  </w:p>
                </w:tc>
                <w:tc>
                  <w:tcPr>
                    <w:tcW w:w="569" w:type="pct"/>
                    <w:tcBorders>
                      <w:top w:val="single" w:sz="4" w:space="0" w:color="auto"/>
                      <w:left w:val="single" w:sz="4" w:space="0" w:color="auto"/>
                      <w:bottom w:val="single" w:sz="4" w:space="0" w:color="auto"/>
                      <w:right w:val="single" w:sz="4" w:space="0" w:color="auto"/>
                    </w:tcBorders>
                    <w:vAlign w:val="center"/>
                  </w:tcPr>
                  <w:p w:rsidR="00657CA8" w:rsidRDefault="00657CA8" w:rsidP="00DB008B">
                    <w:pPr>
                      <w:jc w:val="right"/>
                    </w:pPr>
                    <w:r>
                      <w:t>0</w:t>
                    </w:r>
                  </w:p>
                </w:tc>
                <w:tc>
                  <w:tcPr>
                    <w:tcW w:w="932" w:type="pct"/>
                    <w:tcBorders>
                      <w:top w:val="single" w:sz="4" w:space="0" w:color="auto"/>
                      <w:left w:val="single" w:sz="4" w:space="0" w:color="auto"/>
                      <w:bottom w:val="single" w:sz="4" w:space="0" w:color="auto"/>
                      <w:right w:val="single" w:sz="4" w:space="0" w:color="auto"/>
                    </w:tcBorders>
                    <w:vAlign w:val="center"/>
                  </w:tcPr>
                  <w:p w:rsidR="00657CA8" w:rsidRDefault="00657CA8" w:rsidP="00DB008B">
                    <w:pPr>
                      <w:jc w:val="right"/>
                    </w:pPr>
                    <w:r>
                      <w:t>3,753,654,496</w:t>
                    </w:r>
                  </w:p>
                </w:tc>
                <w:tc>
                  <w:tcPr>
                    <w:tcW w:w="569" w:type="pct"/>
                    <w:tcBorders>
                      <w:top w:val="single" w:sz="4" w:space="0" w:color="auto"/>
                      <w:left w:val="single" w:sz="4" w:space="0" w:color="auto"/>
                      <w:bottom w:val="single" w:sz="4" w:space="0" w:color="auto"/>
                      <w:right w:val="single" w:sz="4" w:space="0" w:color="auto"/>
                    </w:tcBorders>
                    <w:vAlign w:val="center"/>
                  </w:tcPr>
                  <w:p w:rsidR="00657CA8" w:rsidRDefault="00657CA8" w:rsidP="006B51B4">
                    <w:pPr>
                      <w:jc w:val="right"/>
                    </w:pPr>
                    <w:r>
                      <w:t>0</w:t>
                    </w:r>
                  </w:p>
                </w:tc>
                <w:tc>
                  <w:tcPr>
                    <w:tcW w:w="566" w:type="pct"/>
                    <w:tcBorders>
                      <w:top w:val="single" w:sz="4" w:space="0" w:color="auto"/>
                      <w:left w:val="single" w:sz="4" w:space="0" w:color="auto"/>
                      <w:bottom w:val="single" w:sz="4" w:space="0" w:color="auto"/>
                      <w:right w:val="single" w:sz="4" w:space="0" w:color="auto"/>
                    </w:tcBorders>
                    <w:vAlign w:val="center"/>
                  </w:tcPr>
                  <w:p w:rsidR="00657CA8" w:rsidRDefault="00657CA8" w:rsidP="006B51B4">
                    <w:pPr>
                      <w:jc w:val="right"/>
                    </w:pPr>
                    <w:r>
                      <w:t>0</w:t>
                    </w:r>
                  </w:p>
                </w:tc>
              </w:tr>
            </w:sdtContent>
          </w:sdt>
          <w:sdt>
            <w:sdtPr>
              <w:alias w:val="长期股权投资明细"/>
              <w:tag w:val="_TUP_ffd53d91c32d4e5ea37a6c2ca799f0e2"/>
              <w:id w:val="-713652290"/>
              <w:lock w:val="sdtLocked"/>
            </w:sdtPr>
            <w:sdtContent>
              <w:tr w:rsidR="00657CA8" w:rsidTr="0021083C">
                <w:tc>
                  <w:tcPr>
                    <w:tcW w:w="1000" w:type="pct"/>
                    <w:tcBorders>
                      <w:top w:val="single" w:sz="4" w:space="0" w:color="auto"/>
                      <w:left w:val="single" w:sz="4" w:space="0" w:color="auto"/>
                      <w:bottom w:val="single" w:sz="4" w:space="0" w:color="auto"/>
                      <w:right w:val="single" w:sz="4" w:space="0" w:color="auto"/>
                    </w:tcBorders>
                    <w:vAlign w:val="center"/>
                  </w:tcPr>
                  <w:p w:rsidR="00657CA8" w:rsidRDefault="00657CA8" w:rsidP="00DB008B">
                    <w:r>
                      <w:t>晋云物流公司</w:t>
                    </w:r>
                  </w:p>
                </w:tc>
                <w:tc>
                  <w:tcPr>
                    <w:tcW w:w="833" w:type="pct"/>
                    <w:tcBorders>
                      <w:top w:val="single" w:sz="4" w:space="0" w:color="auto"/>
                      <w:left w:val="single" w:sz="4" w:space="0" w:color="auto"/>
                      <w:bottom w:val="single" w:sz="4" w:space="0" w:color="auto"/>
                      <w:right w:val="single" w:sz="4" w:space="0" w:color="auto"/>
                    </w:tcBorders>
                    <w:vAlign w:val="center"/>
                  </w:tcPr>
                  <w:p w:rsidR="00657CA8" w:rsidRDefault="00657CA8" w:rsidP="00DB008B">
                    <w:pPr>
                      <w:jc w:val="right"/>
                    </w:pPr>
                    <w:r>
                      <w:t>46,998,268</w:t>
                    </w:r>
                  </w:p>
                </w:tc>
                <w:tc>
                  <w:tcPr>
                    <w:tcW w:w="531" w:type="pct"/>
                    <w:tcBorders>
                      <w:top w:val="single" w:sz="4" w:space="0" w:color="auto"/>
                      <w:left w:val="single" w:sz="4" w:space="0" w:color="auto"/>
                      <w:bottom w:val="single" w:sz="4" w:space="0" w:color="auto"/>
                      <w:right w:val="single" w:sz="4" w:space="0" w:color="auto"/>
                    </w:tcBorders>
                  </w:tcPr>
                  <w:p w:rsidR="00657CA8" w:rsidRDefault="00657CA8" w:rsidP="00DB008B">
                    <w:pPr>
                      <w:jc w:val="right"/>
                    </w:pPr>
                    <w:r>
                      <w:t>0</w:t>
                    </w:r>
                  </w:p>
                </w:tc>
                <w:tc>
                  <w:tcPr>
                    <w:tcW w:w="569" w:type="pct"/>
                    <w:tcBorders>
                      <w:top w:val="single" w:sz="4" w:space="0" w:color="auto"/>
                      <w:left w:val="single" w:sz="4" w:space="0" w:color="auto"/>
                      <w:bottom w:val="single" w:sz="4" w:space="0" w:color="auto"/>
                      <w:right w:val="single" w:sz="4" w:space="0" w:color="auto"/>
                    </w:tcBorders>
                    <w:vAlign w:val="center"/>
                  </w:tcPr>
                  <w:p w:rsidR="00657CA8" w:rsidRDefault="00657CA8" w:rsidP="00DB008B">
                    <w:pPr>
                      <w:jc w:val="right"/>
                    </w:pPr>
                    <w:r>
                      <w:t>0</w:t>
                    </w:r>
                  </w:p>
                </w:tc>
                <w:tc>
                  <w:tcPr>
                    <w:tcW w:w="932" w:type="pct"/>
                    <w:tcBorders>
                      <w:top w:val="single" w:sz="4" w:space="0" w:color="auto"/>
                      <w:left w:val="single" w:sz="4" w:space="0" w:color="auto"/>
                      <w:bottom w:val="single" w:sz="4" w:space="0" w:color="auto"/>
                      <w:right w:val="single" w:sz="4" w:space="0" w:color="auto"/>
                    </w:tcBorders>
                    <w:vAlign w:val="center"/>
                  </w:tcPr>
                  <w:p w:rsidR="00657CA8" w:rsidRDefault="00657CA8" w:rsidP="00DB008B">
                    <w:pPr>
                      <w:jc w:val="right"/>
                    </w:pPr>
                    <w:r>
                      <w:t>46,998,268</w:t>
                    </w:r>
                  </w:p>
                </w:tc>
                <w:tc>
                  <w:tcPr>
                    <w:tcW w:w="569" w:type="pct"/>
                    <w:tcBorders>
                      <w:top w:val="single" w:sz="4" w:space="0" w:color="auto"/>
                      <w:left w:val="single" w:sz="4" w:space="0" w:color="auto"/>
                      <w:bottom w:val="single" w:sz="4" w:space="0" w:color="auto"/>
                      <w:right w:val="single" w:sz="4" w:space="0" w:color="auto"/>
                    </w:tcBorders>
                    <w:vAlign w:val="center"/>
                  </w:tcPr>
                  <w:p w:rsidR="00657CA8" w:rsidRDefault="00657CA8" w:rsidP="006B51B4">
                    <w:pPr>
                      <w:jc w:val="right"/>
                    </w:pPr>
                    <w:r>
                      <w:t>0</w:t>
                    </w:r>
                  </w:p>
                </w:tc>
                <w:tc>
                  <w:tcPr>
                    <w:tcW w:w="566" w:type="pct"/>
                    <w:tcBorders>
                      <w:top w:val="single" w:sz="4" w:space="0" w:color="auto"/>
                      <w:left w:val="single" w:sz="4" w:space="0" w:color="auto"/>
                      <w:bottom w:val="single" w:sz="4" w:space="0" w:color="auto"/>
                      <w:right w:val="single" w:sz="4" w:space="0" w:color="auto"/>
                    </w:tcBorders>
                    <w:vAlign w:val="center"/>
                  </w:tcPr>
                  <w:p w:rsidR="00657CA8" w:rsidRDefault="00657CA8" w:rsidP="006B51B4">
                    <w:pPr>
                      <w:jc w:val="right"/>
                    </w:pPr>
                    <w:r>
                      <w:t>0</w:t>
                    </w:r>
                  </w:p>
                </w:tc>
              </w:tr>
            </w:sdtContent>
          </w:sdt>
          <w:sdt>
            <w:sdtPr>
              <w:alias w:val="长期股权投资明细"/>
              <w:tag w:val="_TUP_ffd53d91c32d4e5ea37a6c2ca799f0e2"/>
              <w:id w:val="-419867699"/>
              <w:lock w:val="sdtLocked"/>
            </w:sdtPr>
            <w:sdtContent>
              <w:tr w:rsidR="00657CA8" w:rsidTr="0021083C">
                <w:tc>
                  <w:tcPr>
                    <w:tcW w:w="1000" w:type="pct"/>
                    <w:tcBorders>
                      <w:top w:val="single" w:sz="4" w:space="0" w:color="auto"/>
                      <w:left w:val="single" w:sz="4" w:space="0" w:color="auto"/>
                      <w:bottom w:val="single" w:sz="4" w:space="0" w:color="auto"/>
                      <w:right w:val="single" w:sz="4" w:space="0" w:color="auto"/>
                    </w:tcBorders>
                    <w:vAlign w:val="center"/>
                  </w:tcPr>
                  <w:p w:rsidR="00657CA8" w:rsidRDefault="00657CA8" w:rsidP="00DB008B">
                    <w:r>
                      <w:t>唐港铁路公司</w:t>
                    </w:r>
                  </w:p>
                </w:tc>
                <w:tc>
                  <w:tcPr>
                    <w:tcW w:w="833" w:type="pct"/>
                    <w:tcBorders>
                      <w:top w:val="single" w:sz="4" w:space="0" w:color="auto"/>
                      <w:left w:val="single" w:sz="4" w:space="0" w:color="auto"/>
                      <w:bottom w:val="single" w:sz="4" w:space="0" w:color="auto"/>
                      <w:right w:val="single" w:sz="4" w:space="0" w:color="auto"/>
                    </w:tcBorders>
                    <w:vAlign w:val="center"/>
                  </w:tcPr>
                  <w:p w:rsidR="00657CA8" w:rsidRDefault="00657CA8" w:rsidP="00DB008B">
                    <w:pPr>
                      <w:jc w:val="right"/>
                    </w:pPr>
                    <w:r>
                      <w:t>1,558,427,644</w:t>
                    </w:r>
                  </w:p>
                </w:tc>
                <w:tc>
                  <w:tcPr>
                    <w:tcW w:w="531" w:type="pct"/>
                    <w:tcBorders>
                      <w:top w:val="single" w:sz="4" w:space="0" w:color="auto"/>
                      <w:left w:val="single" w:sz="4" w:space="0" w:color="auto"/>
                      <w:bottom w:val="single" w:sz="4" w:space="0" w:color="auto"/>
                      <w:right w:val="single" w:sz="4" w:space="0" w:color="auto"/>
                    </w:tcBorders>
                  </w:tcPr>
                  <w:p w:rsidR="00657CA8" w:rsidRDefault="00657CA8" w:rsidP="00DB008B">
                    <w:pPr>
                      <w:jc w:val="right"/>
                    </w:pPr>
                    <w:r>
                      <w:t>0</w:t>
                    </w:r>
                  </w:p>
                </w:tc>
                <w:tc>
                  <w:tcPr>
                    <w:tcW w:w="569" w:type="pct"/>
                    <w:tcBorders>
                      <w:top w:val="single" w:sz="4" w:space="0" w:color="auto"/>
                      <w:left w:val="single" w:sz="4" w:space="0" w:color="auto"/>
                      <w:bottom w:val="single" w:sz="4" w:space="0" w:color="auto"/>
                      <w:right w:val="single" w:sz="4" w:space="0" w:color="auto"/>
                    </w:tcBorders>
                    <w:vAlign w:val="center"/>
                  </w:tcPr>
                  <w:p w:rsidR="00657CA8" w:rsidRDefault="00657CA8" w:rsidP="00DB008B">
                    <w:pPr>
                      <w:jc w:val="right"/>
                    </w:pPr>
                    <w:r>
                      <w:t>0</w:t>
                    </w:r>
                  </w:p>
                </w:tc>
                <w:tc>
                  <w:tcPr>
                    <w:tcW w:w="932" w:type="pct"/>
                    <w:tcBorders>
                      <w:top w:val="single" w:sz="4" w:space="0" w:color="auto"/>
                      <w:left w:val="single" w:sz="4" w:space="0" w:color="auto"/>
                      <w:bottom w:val="single" w:sz="4" w:space="0" w:color="auto"/>
                      <w:right w:val="single" w:sz="4" w:space="0" w:color="auto"/>
                    </w:tcBorders>
                    <w:vAlign w:val="center"/>
                  </w:tcPr>
                  <w:p w:rsidR="00657CA8" w:rsidRDefault="00657CA8" w:rsidP="00DB008B">
                    <w:pPr>
                      <w:jc w:val="right"/>
                    </w:pPr>
                    <w:r>
                      <w:t>1,558,427,644</w:t>
                    </w:r>
                  </w:p>
                </w:tc>
                <w:tc>
                  <w:tcPr>
                    <w:tcW w:w="569" w:type="pct"/>
                    <w:tcBorders>
                      <w:top w:val="single" w:sz="4" w:space="0" w:color="auto"/>
                      <w:left w:val="single" w:sz="4" w:space="0" w:color="auto"/>
                      <w:bottom w:val="single" w:sz="4" w:space="0" w:color="auto"/>
                      <w:right w:val="single" w:sz="4" w:space="0" w:color="auto"/>
                    </w:tcBorders>
                    <w:vAlign w:val="center"/>
                  </w:tcPr>
                  <w:p w:rsidR="00657CA8" w:rsidRDefault="00657CA8" w:rsidP="006B51B4">
                    <w:pPr>
                      <w:jc w:val="right"/>
                    </w:pPr>
                    <w:r>
                      <w:t>0</w:t>
                    </w:r>
                  </w:p>
                </w:tc>
                <w:tc>
                  <w:tcPr>
                    <w:tcW w:w="566" w:type="pct"/>
                    <w:tcBorders>
                      <w:top w:val="single" w:sz="4" w:space="0" w:color="auto"/>
                      <w:left w:val="single" w:sz="4" w:space="0" w:color="auto"/>
                      <w:bottom w:val="single" w:sz="4" w:space="0" w:color="auto"/>
                      <w:right w:val="single" w:sz="4" w:space="0" w:color="auto"/>
                    </w:tcBorders>
                    <w:vAlign w:val="center"/>
                  </w:tcPr>
                  <w:p w:rsidR="00657CA8" w:rsidRDefault="00657CA8" w:rsidP="006B51B4">
                    <w:pPr>
                      <w:jc w:val="right"/>
                    </w:pPr>
                    <w:r>
                      <w:t>0</w:t>
                    </w:r>
                  </w:p>
                </w:tc>
              </w:tr>
            </w:sdtContent>
          </w:sdt>
          <w:sdt>
            <w:sdtPr>
              <w:alias w:val="长期股权投资明细"/>
              <w:tag w:val="_TUP_ffd53d91c32d4e5ea37a6c2ca799f0e2"/>
              <w:id w:val="-1128551036"/>
              <w:lock w:val="sdtLocked"/>
            </w:sdtPr>
            <w:sdtContent>
              <w:tr w:rsidR="00657CA8" w:rsidTr="0021083C">
                <w:tc>
                  <w:tcPr>
                    <w:tcW w:w="1000" w:type="pct"/>
                    <w:tcBorders>
                      <w:top w:val="single" w:sz="4" w:space="0" w:color="auto"/>
                      <w:left w:val="single" w:sz="4" w:space="0" w:color="auto"/>
                      <w:bottom w:val="single" w:sz="4" w:space="0" w:color="auto"/>
                      <w:right w:val="single" w:sz="4" w:space="0" w:color="auto"/>
                    </w:tcBorders>
                    <w:vAlign w:val="center"/>
                  </w:tcPr>
                  <w:p w:rsidR="00657CA8" w:rsidRDefault="00657CA8" w:rsidP="00DB008B">
                    <w:r>
                      <w:t>西南环铁路公司</w:t>
                    </w:r>
                  </w:p>
                </w:tc>
                <w:tc>
                  <w:tcPr>
                    <w:tcW w:w="833" w:type="pct"/>
                    <w:tcBorders>
                      <w:top w:val="single" w:sz="4" w:space="0" w:color="auto"/>
                      <w:left w:val="single" w:sz="4" w:space="0" w:color="auto"/>
                      <w:bottom w:val="single" w:sz="4" w:space="0" w:color="auto"/>
                      <w:right w:val="single" w:sz="4" w:space="0" w:color="auto"/>
                    </w:tcBorders>
                    <w:vAlign w:val="center"/>
                  </w:tcPr>
                  <w:p w:rsidR="00657CA8" w:rsidRDefault="00657CA8" w:rsidP="00DB008B">
                    <w:pPr>
                      <w:jc w:val="right"/>
                    </w:pPr>
                    <w:r>
                      <w:t>3,271,833,516</w:t>
                    </w:r>
                  </w:p>
                </w:tc>
                <w:tc>
                  <w:tcPr>
                    <w:tcW w:w="531" w:type="pct"/>
                    <w:tcBorders>
                      <w:top w:val="single" w:sz="4" w:space="0" w:color="auto"/>
                      <w:left w:val="single" w:sz="4" w:space="0" w:color="auto"/>
                      <w:bottom w:val="single" w:sz="4" w:space="0" w:color="auto"/>
                      <w:right w:val="single" w:sz="4" w:space="0" w:color="auto"/>
                    </w:tcBorders>
                  </w:tcPr>
                  <w:p w:rsidR="00657CA8" w:rsidRDefault="00657CA8" w:rsidP="00DB008B">
                    <w:pPr>
                      <w:jc w:val="right"/>
                    </w:pPr>
                    <w:r>
                      <w:t>0</w:t>
                    </w:r>
                  </w:p>
                </w:tc>
                <w:tc>
                  <w:tcPr>
                    <w:tcW w:w="569" w:type="pct"/>
                    <w:tcBorders>
                      <w:top w:val="single" w:sz="4" w:space="0" w:color="auto"/>
                      <w:left w:val="single" w:sz="4" w:space="0" w:color="auto"/>
                      <w:bottom w:val="single" w:sz="4" w:space="0" w:color="auto"/>
                      <w:right w:val="single" w:sz="4" w:space="0" w:color="auto"/>
                    </w:tcBorders>
                    <w:vAlign w:val="center"/>
                  </w:tcPr>
                  <w:p w:rsidR="00657CA8" w:rsidRDefault="00657CA8" w:rsidP="00DB008B">
                    <w:pPr>
                      <w:jc w:val="right"/>
                    </w:pPr>
                    <w:r>
                      <w:t>0</w:t>
                    </w:r>
                  </w:p>
                </w:tc>
                <w:tc>
                  <w:tcPr>
                    <w:tcW w:w="932" w:type="pct"/>
                    <w:tcBorders>
                      <w:top w:val="single" w:sz="4" w:space="0" w:color="auto"/>
                      <w:left w:val="single" w:sz="4" w:space="0" w:color="auto"/>
                      <w:bottom w:val="single" w:sz="4" w:space="0" w:color="auto"/>
                      <w:right w:val="single" w:sz="4" w:space="0" w:color="auto"/>
                    </w:tcBorders>
                    <w:vAlign w:val="center"/>
                  </w:tcPr>
                  <w:p w:rsidR="00657CA8" w:rsidRDefault="00657CA8" w:rsidP="00DB008B">
                    <w:pPr>
                      <w:jc w:val="right"/>
                    </w:pPr>
                    <w:r>
                      <w:t>3,271,833,516</w:t>
                    </w:r>
                  </w:p>
                </w:tc>
                <w:tc>
                  <w:tcPr>
                    <w:tcW w:w="569" w:type="pct"/>
                    <w:tcBorders>
                      <w:top w:val="single" w:sz="4" w:space="0" w:color="auto"/>
                      <w:left w:val="single" w:sz="4" w:space="0" w:color="auto"/>
                      <w:bottom w:val="single" w:sz="4" w:space="0" w:color="auto"/>
                      <w:right w:val="single" w:sz="4" w:space="0" w:color="auto"/>
                    </w:tcBorders>
                    <w:vAlign w:val="center"/>
                  </w:tcPr>
                  <w:p w:rsidR="00657CA8" w:rsidRDefault="00657CA8" w:rsidP="006B51B4">
                    <w:pPr>
                      <w:jc w:val="right"/>
                    </w:pPr>
                    <w:r>
                      <w:t>0</w:t>
                    </w:r>
                  </w:p>
                </w:tc>
                <w:tc>
                  <w:tcPr>
                    <w:tcW w:w="566" w:type="pct"/>
                    <w:tcBorders>
                      <w:top w:val="single" w:sz="4" w:space="0" w:color="auto"/>
                      <w:left w:val="single" w:sz="4" w:space="0" w:color="auto"/>
                      <w:bottom w:val="single" w:sz="4" w:space="0" w:color="auto"/>
                      <w:right w:val="single" w:sz="4" w:space="0" w:color="auto"/>
                    </w:tcBorders>
                    <w:vAlign w:val="center"/>
                  </w:tcPr>
                  <w:p w:rsidR="00657CA8" w:rsidRDefault="00657CA8" w:rsidP="006B51B4">
                    <w:pPr>
                      <w:jc w:val="right"/>
                    </w:pPr>
                    <w:r>
                      <w:t>0</w:t>
                    </w:r>
                  </w:p>
                </w:tc>
              </w:tr>
            </w:sdtContent>
          </w:sdt>
          <w:sdt>
            <w:sdtPr>
              <w:alias w:val="长期股权投资明细"/>
              <w:tag w:val="_TUP_ffd53d91c32d4e5ea37a6c2ca799f0e2"/>
              <w:id w:val="343677479"/>
              <w:lock w:val="sdtLocked"/>
            </w:sdtPr>
            <w:sdtContent>
              <w:tr w:rsidR="00657CA8" w:rsidTr="0021083C">
                <w:tc>
                  <w:tcPr>
                    <w:tcW w:w="1000" w:type="pct"/>
                    <w:tcBorders>
                      <w:top w:val="single" w:sz="4" w:space="0" w:color="auto"/>
                      <w:left w:val="single" w:sz="4" w:space="0" w:color="auto"/>
                      <w:bottom w:val="single" w:sz="4" w:space="0" w:color="auto"/>
                      <w:right w:val="single" w:sz="4" w:space="0" w:color="auto"/>
                    </w:tcBorders>
                    <w:vAlign w:val="center"/>
                  </w:tcPr>
                  <w:p w:rsidR="00657CA8" w:rsidRDefault="00657CA8" w:rsidP="00DB008B">
                    <w:r>
                      <w:t>中鼎物流公司</w:t>
                    </w:r>
                  </w:p>
                </w:tc>
                <w:tc>
                  <w:tcPr>
                    <w:tcW w:w="833" w:type="pct"/>
                    <w:tcBorders>
                      <w:top w:val="single" w:sz="4" w:space="0" w:color="auto"/>
                      <w:left w:val="single" w:sz="4" w:space="0" w:color="auto"/>
                      <w:bottom w:val="single" w:sz="4" w:space="0" w:color="auto"/>
                      <w:right w:val="single" w:sz="4" w:space="0" w:color="auto"/>
                    </w:tcBorders>
                    <w:vAlign w:val="center"/>
                  </w:tcPr>
                  <w:p w:rsidR="00657CA8" w:rsidRDefault="00657CA8" w:rsidP="00DB008B">
                    <w:pPr>
                      <w:jc w:val="right"/>
                    </w:pPr>
                    <w:r>
                      <w:t>1,750,100,000</w:t>
                    </w:r>
                  </w:p>
                </w:tc>
                <w:tc>
                  <w:tcPr>
                    <w:tcW w:w="531" w:type="pct"/>
                    <w:tcBorders>
                      <w:top w:val="single" w:sz="4" w:space="0" w:color="auto"/>
                      <w:left w:val="single" w:sz="4" w:space="0" w:color="auto"/>
                      <w:bottom w:val="single" w:sz="4" w:space="0" w:color="auto"/>
                      <w:right w:val="single" w:sz="4" w:space="0" w:color="auto"/>
                    </w:tcBorders>
                  </w:tcPr>
                  <w:p w:rsidR="00657CA8" w:rsidRDefault="00657CA8" w:rsidP="00DB008B">
                    <w:pPr>
                      <w:jc w:val="right"/>
                    </w:pPr>
                    <w:r>
                      <w:t>0</w:t>
                    </w:r>
                  </w:p>
                </w:tc>
                <w:tc>
                  <w:tcPr>
                    <w:tcW w:w="569" w:type="pct"/>
                    <w:tcBorders>
                      <w:top w:val="single" w:sz="4" w:space="0" w:color="auto"/>
                      <w:left w:val="single" w:sz="4" w:space="0" w:color="auto"/>
                      <w:bottom w:val="single" w:sz="4" w:space="0" w:color="auto"/>
                      <w:right w:val="single" w:sz="4" w:space="0" w:color="auto"/>
                    </w:tcBorders>
                    <w:vAlign w:val="center"/>
                  </w:tcPr>
                  <w:p w:rsidR="00657CA8" w:rsidRDefault="00657CA8" w:rsidP="00DB008B">
                    <w:pPr>
                      <w:jc w:val="right"/>
                    </w:pPr>
                    <w:r>
                      <w:t>0</w:t>
                    </w:r>
                  </w:p>
                </w:tc>
                <w:tc>
                  <w:tcPr>
                    <w:tcW w:w="932" w:type="pct"/>
                    <w:tcBorders>
                      <w:top w:val="single" w:sz="4" w:space="0" w:color="auto"/>
                      <w:left w:val="single" w:sz="4" w:space="0" w:color="auto"/>
                      <w:bottom w:val="single" w:sz="4" w:space="0" w:color="auto"/>
                      <w:right w:val="single" w:sz="4" w:space="0" w:color="auto"/>
                    </w:tcBorders>
                    <w:vAlign w:val="center"/>
                  </w:tcPr>
                  <w:p w:rsidR="00657CA8" w:rsidRDefault="00657CA8" w:rsidP="00DB008B">
                    <w:pPr>
                      <w:jc w:val="right"/>
                    </w:pPr>
                    <w:r>
                      <w:t>1,750,100,000</w:t>
                    </w:r>
                  </w:p>
                </w:tc>
                <w:tc>
                  <w:tcPr>
                    <w:tcW w:w="569" w:type="pct"/>
                    <w:tcBorders>
                      <w:top w:val="single" w:sz="4" w:space="0" w:color="auto"/>
                      <w:left w:val="single" w:sz="4" w:space="0" w:color="auto"/>
                      <w:bottom w:val="single" w:sz="4" w:space="0" w:color="auto"/>
                      <w:right w:val="single" w:sz="4" w:space="0" w:color="auto"/>
                    </w:tcBorders>
                    <w:vAlign w:val="center"/>
                  </w:tcPr>
                  <w:p w:rsidR="00657CA8" w:rsidRDefault="00657CA8" w:rsidP="006B51B4">
                    <w:pPr>
                      <w:jc w:val="right"/>
                    </w:pPr>
                    <w:r>
                      <w:t>0</w:t>
                    </w:r>
                  </w:p>
                </w:tc>
                <w:tc>
                  <w:tcPr>
                    <w:tcW w:w="566" w:type="pct"/>
                    <w:tcBorders>
                      <w:top w:val="single" w:sz="4" w:space="0" w:color="auto"/>
                      <w:left w:val="single" w:sz="4" w:space="0" w:color="auto"/>
                      <w:bottom w:val="single" w:sz="4" w:space="0" w:color="auto"/>
                      <w:right w:val="single" w:sz="4" w:space="0" w:color="auto"/>
                    </w:tcBorders>
                    <w:vAlign w:val="center"/>
                  </w:tcPr>
                  <w:p w:rsidR="00657CA8" w:rsidRDefault="00657CA8" w:rsidP="006B51B4">
                    <w:pPr>
                      <w:jc w:val="right"/>
                    </w:pPr>
                    <w:r>
                      <w:t>0</w:t>
                    </w:r>
                  </w:p>
                </w:tc>
              </w:tr>
            </w:sdtContent>
          </w:sdt>
          <w:tr w:rsidR="00657CA8" w:rsidTr="0021083C">
            <w:sdt>
              <w:sdtPr>
                <w:tag w:val="_PLD_6d78abc7997f45e2969ef24257800aca"/>
                <w:id w:val="-328754391"/>
                <w:lock w:val="sdtLocked"/>
              </w:sdtPr>
              <w:sdtContent>
                <w:tc>
                  <w:tcPr>
                    <w:tcW w:w="1000" w:type="pct"/>
                    <w:tcBorders>
                      <w:top w:val="single" w:sz="4" w:space="0" w:color="auto"/>
                      <w:left w:val="single" w:sz="4" w:space="0" w:color="auto"/>
                      <w:bottom w:val="single" w:sz="4" w:space="0" w:color="auto"/>
                      <w:right w:val="single" w:sz="4" w:space="0" w:color="auto"/>
                    </w:tcBorders>
                    <w:vAlign w:val="center"/>
                  </w:tcPr>
                  <w:p w:rsidR="00657CA8" w:rsidRDefault="00657CA8" w:rsidP="00657CA8">
                    <w:pPr>
                      <w:jc w:val="center"/>
                    </w:pPr>
                    <w:r>
                      <w:rPr>
                        <w:rFonts w:hint="eastAsia"/>
                      </w:rPr>
                      <w:t>合计</w:t>
                    </w:r>
                  </w:p>
                </w:tc>
              </w:sdtContent>
            </w:sdt>
            <w:tc>
              <w:tcPr>
                <w:tcW w:w="833" w:type="pct"/>
                <w:tcBorders>
                  <w:top w:val="single" w:sz="4" w:space="0" w:color="auto"/>
                  <w:left w:val="single" w:sz="4" w:space="0" w:color="auto"/>
                  <w:bottom w:val="single" w:sz="4" w:space="0" w:color="auto"/>
                  <w:right w:val="single" w:sz="4" w:space="0" w:color="auto"/>
                </w:tcBorders>
              </w:tcPr>
              <w:p w:rsidR="00657CA8" w:rsidRDefault="00657CA8" w:rsidP="00657CA8">
                <w:pPr>
                  <w:jc w:val="right"/>
                </w:pPr>
                <w:r>
                  <w:t>12,359,253,719</w:t>
                </w:r>
              </w:p>
            </w:tc>
            <w:tc>
              <w:tcPr>
                <w:tcW w:w="531" w:type="pct"/>
                <w:tcBorders>
                  <w:top w:val="single" w:sz="4" w:space="0" w:color="auto"/>
                  <w:left w:val="single" w:sz="4" w:space="0" w:color="auto"/>
                  <w:bottom w:val="single" w:sz="4" w:space="0" w:color="auto"/>
                  <w:right w:val="single" w:sz="4" w:space="0" w:color="auto"/>
                </w:tcBorders>
                <w:vAlign w:val="center"/>
              </w:tcPr>
              <w:p w:rsidR="00657CA8" w:rsidRDefault="00657CA8" w:rsidP="00657CA8">
                <w:pPr>
                  <w:jc w:val="right"/>
                </w:pPr>
                <w:r>
                  <w:t>0</w:t>
                </w:r>
              </w:p>
            </w:tc>
            <w:tc>
              <w:tcPr>
                <w:tcW w:w="569" w:type="pct"/>
                <w:tcBorders>
                  <w:top w:val="single" w:sz="4" w:space="0" w:color="auto"/>
                  <w:left w:val="single" w:sz="4" w:space="0" w:color="auto"/>
                  <w:bottom w:val="single" w:sz="4" w:space="0" w:color="auto"/>
                  <w:right w:val="single" w:sz="4" w:space="0" w:color="auto"/>
                </w:tcBorders>
                <w:vAlign w:val="center"/>
              </w:tcPr>
              <w:p w:rsidR="00657CA8" w:rsidRDefault="00657CA8" w:rsidP="00657CA8">
                <w:pPr>
                  <w:jc w:val="right"/>
                </w:pPr>
                <w:r>
                  <w:t>0</w:t>
                </w:r>
              </w:p>
            </w:tc>
            <w:tc>
              <w:tcPr>
                <w:tcW w:w="932" w:type="pct"/>
                <w:tcBorders>
                  <w:top w:val="single" w:sz="4" w:space="0" w:color="auto"/>
                  <w:left w:val="single" w:sz="4" w:space="0" w:color="auto"/>
                  <w:bottom w:val="single" w:sz="4" w:space="0" w:color="auto"/>
                  <w:right w:val="single" w:sz="4" w:space="0" w:color="auto"/>
                </w:tcBorders>
              </w:tcPr>
              <w:p w:rsidR="00657CA8" w:rsidRDefault="00657CA8" w:rsidP="00657CA8">
                <w:pPr>
                  <w:jc w:val="right"/>
                </w:pPr>
                <w:r>
                  <w:t>12,359,253,719</w:t>
                </w:r>
              </w:p>
            </w:tc>
            <w:tc>
              <w:tcPr>
                <w:tcW w:w="569" w:type="pct"/>
                <w:tcBorders>
                  <w:top w:val="single" w:sz="4" w:space="0" w:color="auto"/>
                  <w:left w:val="single" w:sz="4" w:space="0" w:color="auto"/>
                  <w:bottom w:val="single" w:sz="4" w:space="0" w:color="auto"/>
                  <w:right w:val="single" w:sz="4" w:space="0" w:color="auto"/>
                </w:tcBorders>
                <w:vAlign w:val="center"/>
              </w:tcPr>
              <w:p w:rsidR="00657CA8" w:rsidRDefault="00657CA8" w:rsidP="006B51B4">
                <w:pPr>
                  <w:jc w:val="right"/>
                </w:pPr>
                <w:r>
                  <w:t>0</w:t>
                </w:r>
              </w:p>
            </w:tc>
            <w:tc>
              <w:tcPr>
                <w:tcW w:w="566" w:type="pct"/>
                <w:tcBorders>
                  <w:top w:val="single" w:sz="4" w:space="0" w:color="auto"/>
                  <w:left w:val="single" w:sz="4" w:space="0" w:color="auto"/>
                  <w:bottom w:val="single" w:sz="4" w:space="0" w:color="auto"/>
                  <w:right w:val="single" w:sz="4" w:space="0" w:color="auto"/>
                </w:tcBorders>
                <w:vAlign w:val="center"/>
              </w:tcPr>
              <w:p w:rsidR="00657CA8" w:rsidRDefault="00657CA8" w:rsidP="006B51B4">
                <w:pPr>
                  <w:jc w:val="right"/>
                </w:pPr>
                <w:r>
                  <w:t>0</w:t>
                </w:r>
              </w:p>
            </w:tc>
          </w:tr>
        </w:tbl>
        <w:p w:rsidR="00694E6F" w:rsidRDefault="00694E6F">
          <w:pPr>
            <w:rPr>
              <w:szCs w:val="21"/>
            </w:rPr>
            <w:sectPr w:rsidR="00694E6F" w:rsidSect="007C6651">
              <w:pgSz w:w="11906" w:h="16838"/>
              <w:pgMar w:top="1525" w:right="1276" w:bottom="1440" w:left="1797" w:header="856" w:footer="992" w:gutter="0"/>
              <w:cols w:space="425"/>
              <w:docGrid w:linePitch="312"/>
            </w:sectPr>
          </w:pPr>
        </w:p>
        <w:p w:rsidR="00806678" w:rsidRDefault="00F80B6C">
          <w:pPr>
            <w:rPr>
              <w:szCs w:val="21"/>
            </w:rPr>
          </w:pPr>
        </w:p>
      </w:sdtContent>
    </w:sdt>
    <w:sdt>
      <w:sdtPr>
        <w:rPr>
          <w:rFonts w:ascii="宋体" w:eastAsia="宋体" w:hAnsi="宋体" w:cs="宋体" w:hint="eastAsia"/>
          <w:b w:val="0"/>
          <w:bCs w:val="0"/>
          <w:kern w:val="0"/>
          <w:szCs w:val="24"/>
        </w:rPr>
        <w:alias w:val="模块:对联营、合营企业投资"/>
        <w:tag w:val="_SEC_4a653049f75d481585b4f9d9da6a8d0e"/>
        <w:id w:val="1918905847"/>
        <w:lock w:val="sdtLocked"/>
        <w:placeholder>
          <w:docPart w:val="GBC22222222222222222222222222222"/>
        </w:placeholder>
      </w:sdtPr>
      <w:sdtEndPr>
        <w:rPr>
          <w:szCs w:val="21"/>
        </w:rPr>
      </w:sdtEndPr>
      <w:sdtContent>
        <w:p w:rsidR="00806678" w:rsidRDefault="00B16377" w:rsidP="00FF17C7">
          <w:pPr>
            <w:pStyle w:val="4"/>
            <w:numPr>
              <w:ilvl w:val="0"/>
              <w:numId w:val="112"/>
            </w:numPr>
          </w:pPr>
          <w:r>
            <w:rPr>
              <w:rFonts w:hint="eastAsia"/>
            </w:rPr>
            <w:t>对联营、合营企业投资</w:t>
          </w:r>
        </w:p>
        <w:sdt>
          <w:sdtPr>
            <w:alias w:val="是否适用：母公司对联营、合营企业投资[双击切换]"/>
            <w:tag w:val="_GBC_2e4760cb979247e69579530b3868e897"/>
            <w:id w:val="-2080443941"/>
            <w:lock w:val="sdtLocked"/>
            <w:placeholder>
              <w:docPart w:val="GBC22222222222222222222222222222"/>
            </w:placeholder>
          </w:sdtPr>
          <w:sdtContent>
            <w:p w:rsidR="00806678" w:rsidRDefault="00F80B6C">
              <w:r>
                <w:fldChar w:fldCharType="begin"/>
              </w:r>
              <w:r w:rsidR="009C54D9">
                <w:instrText xml:space="preserve">MACROBUTTON  SnrToggleCheckbox √适用 </w:instrText>
              </w:r>
              <w:r>
                <w:fldChar w:fldCharType="end"/>
              </w:r>
              <w:r>
                <w:fldChar w:fldCharType="begin"/>
              </w:r>
              <w:r w:rsidR="009C54D9">
                <w:instrText xml:space="preserve"> MACROBUTTON  SnrToggleCheckbox □不适用 </w:instrText>
              </w:r>
              <w:r>
                <w:fldChar w:fldCharType="end"/>
              </w:r>
            </w:p>
          </w:sdtContent>
        </w:sdt>
        <w:p w:rsidR="00806678" w:rsidRDefault="00B16377">
          <w:pPr>
            <w:jc w:val="right"/>
            <w:rPr>
              <w:szCs w:val="21"/>
            </w:rPr>
          </w:pPr>
          <w:r>
            <w:rPr>
              <w:rFonts w:hint="eastAsia"/>
              <w:szCs w:val="21"/>
            </w:rPr>
            <w:t>单位：</w:t>
          </w:r>
          <w:sdt>
            <w:sdtPr>
              <w:rPr>
                <w:rFonts w:hint="eastAsia"/>
                <w:szCs w:val="21"/>
              </w:rPr>
              <w:alias w:val="单位：母公司财务附注：对联营、合营企业投资"/>
              <w:tag w:val="_GBC_ccad125c53784121bdbf82967e585280"/>
              <w:id w:val="-141023141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母公司财务附注：对联营、合营企业投资"/>
              <w:tag w:val="_GBC_f572fc517d504bef8d5942b395a68d39"/>
              <w:id w:val="16714443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26"/>
            <w:gridCol w:w="1276"/>
            <w:gridCol w:w="850"/>
            <w:gridCol w:w="1044"/>
            <w:gridCol w:w="1224"/>
            <w:gridCol w:w="1100"/>
            <w:gridCol w:w="1106"/>
            <w:gridCol w:w="1221"/>
            <w:gridCol w:w="1207"/>
            <w:gridCol w:w="1176"/>
            <w:gridCol w:w="1199"/>
            <w:gridCol w:w="1143"/>
          </w:tblGrid>
          <w:tr w:rsidR="00694E6F" w:rsidTr="00C84467">
            <w:sdt>
              <w:sdtPr>
                <w:rPr>
                  <w:sz w:val="13"/>
                  <w:szCs w:val="13"/>
                </w:rPr>
                <w:tag w:val="_PLD_cddf860d624b41069bef0850b92b7db2"/>
                <w:id w:val="487515515"/>
                <w:lock w:val="sdtLocked"/>
              </w:sdtPr>
              <w:sdtContent>
                <w:tc>
                  <w:tcPr>
                    <w:tcW w:w="542" w:type="pct"/>
                    <w:vMerge w:val="restart"/>
                    <w:tcBorders>
                      <w:top w:val="single" w:sz="4" w:space="0" w:color="auto"/>
                      <w:left w:val="single" w:sz="4" w:space="0" w:color="auto"/>
                      <w:right w:val="single" w:sz="4" w:space="0" w:color="auto"/>
                    </w:tcBorders>
                    <w:shd w:val="clear" w:color="auto" w:fill="auto"/>
                    <w:vAlign w:val="center"/>
                  </w:tcPr>
                  <w:p w:rsidR="00694E6F" w:rsidRPr="00694E6F" w:rsidRDefault="00694E6F" w:rsidP="00DB008B">
                    <w:pPr>
                      <w:jc w:val="center"/>
                      <w:rPr>
                        <w:sz w:val="13"/>
                        <w:szCs w:val="13"/>
                      </w:rPr>
                    </w:pPr>
                    <w:r w:rsidRPr="00694E6F">
                      <w:rPr>
                        <w:rFonts w:hint="eastAsia"/>
                        <w:sz w:val="13"/>
                        <w:szCs w:val="13"/>
                      </w:rPr>
                      <w:t>投资</w:t>
                    </w:r>
                  </w:p>
                  <w:p w:rsidR="00694E6F" w:rsidRPr="00694E6F" w:rsidRDefault="00694E6F" w:rsidP="00DB008B">
                    <w:pPr>
                      <w:jc w:val="center"/>
                      <w:rPr>
                        <w:sz w:val="13"/>
                        <w:szCs w:val="13"/>
                      </w:rPr>
                    </w:pPr>
                    <w:r w:rsidRPr="00694E6F">
                      <w:rPr>
                        <w:rFonts w:hint="eastAsia"/>
                        <w:sz w:val="13"/>
                        <w:szCs w:val="13"/>
                      </w:rPr>
                      <w:t>单位</w:t>
                    </w:r>
                  </w:p>
                </w:tc>
              </w:sdtContent>
            </w:sdt>
            <w:sdt>
              <w:sdtPr>
                <w:rPr>
                  <w:sz w:val="13"/>
                  <w:szCs w:val="13"/>
                </w:rPr>
                <w:tag w:val="_PLD_1e9893e3e3854470a87271f1c7db6cdb"/>
                <w:id w:val="293259097"/>
                <w:lock w:val="sdtLocked"/>
              </w:sdtPr>
              <w:sdtContent>
                <w:tc>
                  <w:tcPr>
                    <w:tcW w:w="453" w:type="pct"/>
                    <w:vMerge w:val="restart"/>
                    <w:tcBorders>
                      <w:top w:val="single" w:sz="4" w:space="0" w:color="auto"/>
                      <w:left w:val="single" w:sz="4" w:space="0" w:color="auto"/>
                      <w:right w:val="single" w:sz="4" w:space="0" w:color="auto"/>
                    </w:tcBorders>
                    <w:shd w:val="clear" w:color="auto" w:fill="auto"/>
                    <w:vAlign w:val="center"/>
                  </w:tcPr>
                  <w:p w:rsidR="00694E6F" w:rsidRPr="00694E6F" w:rsidRDefault="00694E6F" w:rsidP="00DB008B">
                    <w:pPr>
                      <w:jc w:val="center"/>
                      <w:rPr>
                        <w:sz w:val="13"/>
                        <w:szCs w:val="13"/>
                      </w:rPr>
                    </w:pPr>
                    <w:r w:rsidRPr="00694E6F">
                      <w:rPr>
                        <w:rFonts w:hint="eastAsia"/>
                        <w:sz w:val="13"/>
                        <w:szCs w:val="13"/>
                      </w:rPr>
                      <w:t>期初</w:t>
                    </w:r>
                  </w:p>
                  <w:p w:rsidR="00694E6F" w:rsidRPr="00694E6F" w:rsidRDefault="00694E6F" w:rsidP="00DB008B">
                    <w:pPr>
                      <w:jc w:val="center"/>
                      <w:rPr>
                        <w:sz w:val="13"/>
                        <w:szCs w:val="13"/>
                      </w:rPr>
                    </w:pPr>
                    <w:r w:rsidRPr="00694E6F">
                      <w:rPr>
                        <w:rFonts w:hint="eastAsia"/>
                        <w:sz w:val="13"/>
                        <w:szCs w:val="13"/>
                      </w:rPr>
                      <w:t>余额</w:t>
                    </w:r>
                  </w:p>
                </w:tc>
              </w:sdtContent>
            </w:sdt>
            <w:sdt>
              <w:sdtPr>
                <w:rPr>
                  <w:sz w:val="13"/>
                  <w:szCs w:val="13"/>
                </w:rPr>
                <w:tag w:val="_PLD_51e202fa7d4541e8b1073ad1aab00e23"/>
                <w:id w:val="-14238539"/>
                <w:lock w:val="sdtLocked"/>
              </w:sdtPr>
              <w:sdtContent>
                <w:tc>
                  <w:tcPr>
                    <w:tcW w:w="3172"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694E6F" w:rsidRPr="00694E6F" w:rsidRDefault="00694E6F" w:rsidP="00DB008B">
                    <w:pPr>
                      <w:jc w:val="center"/>
                      <w:rPr>
                        <w:sz w:val="13"/>
                        <w:szCs w:val="13"/>
                      </w:rPr>
                    </w:pPr>
                    <w:r w:rsidRPr="00694E6F">
                      <w:rPr>
                        <w:rFonts w:hint="eastAsia"/>
                        <w:sz w:val="13"/>
                        <w:szCs w:val="13"/>
                      </w:rPr>
                      <w:t>本期增减变动</w:t>
                    </w:r>
                  </w:p>
                </w:tc>
              </w:sdtContent>
            </w:sdt>
            <w:sdt>
              <w:sdtPr>
                <w:rPr>
                  <w:sz w:val="13"/>
                  <w:szCs w:val="13"/>
                </w:rPr>
                <w:tag w:val="_PLD_fb68ab3bfe254cb4ac4728b9c324a1ea"/>
                <w:id w:val="-909765203"/>
                <w:lock w:val="sdtLocked"/>
              </w:sdtPr>
              <w:sdtContent>
                <w:tc>
                  <w:tcPr>
                    <w:tcW w:w="426" w:type="pct"/>
                    <w:vMerge w:val="restart"/>
                    <w:tcBorders>
                      <w:top w:val="single" w:sz="4" w:space="0" w:color="auto"/>
                      <w:left w:val="single" w:sz="4" w:space="0" w:color="auto"/>
                      <w:right w:val="single" w:sz="4" w:space="0" w:color="auto"/>
                    </w:tcBorders>
                    <w:shd w:val="clear" w:color="auto" w:fill="auto"/>
                    <w:vAlign w:val="center"/>
                  </w:tcPr>
                  <w:p w:rsidR="00694E6F" w:rsidRPr="00694E6F" w:rsidRDefault="00694E6F" w:rsidP="00DB008B">
                    <w:pPr>
                      <w:jc w:val="center"/>
                      <w:rPr>
                        <w:sz w:val="13"/>
                        <w:szCs w:val="13"/>
                      </w:rPr>
                    </w:pPr>
                    <w:r w:rsidRPr="00694E6F">
                      <w:rPr>
                        <w:rFonts w:hint="eastAsia"/>
                        <w:sz w:val="13"/>
                        <w:szCs w:val="13"/>
                      </w:rPr>
                      <w:t>期末</w:t>
                    </w:r>
                  </w:p>
                  <w:p w:rsidR="00694E6F" w:rsidRPr="00694E6F" w:rsidRDefault="00694E6F" w:rsidP="00DB008B">
                    <w:pPr>
                      <w:jc w:val="center"/>
                      <w:rPr>
                        <w:sz w:val="13"/>
                        <w:szCs w:val="13"/>
                      </w:rPr>
                    </w:pPr>
                    <w:r w:rsidRPr="00694E6F">
                      <w:rPr>
                        <w:rFonts w:hint="eastAsia"/>
                        <w:sz w:val="13"/>
                        <w:szCs w:val="13"/>
                      </w:rPr>
                      <w:t>余额</w:t>
                    </w:r>
                  </w:p>
                </w:tc>
              </w:sdtContent>
            </w:sdt>
            <w:sdt>
              <w:sdtPr>
                <w:rPr>
                  <w:sz w:val="13"/>
                  <w:szCs w:val="13"/>
                </w:rPr>
                <w:tag w:val="_PLD_79ea6426597c4707b961bbd96c8cf19f"/>
                <w:id w:val="-569267937"/>
                <w:lock w:val="sdtLocked"/>
              </w:sdtPr>
              <w:sdtContent>
                <w:tc>
                  <w:tcPr>
                    <w:tcW w:w="406" w:type="pct"/>
                    <w:vMerge w:val="restart"/>
                    <w:tcBorders>
                      <w:top w:val="single" w:sz="4" w:space="0" w:color="auto"/>
                      <w:left w:val="single" w:sz="4" w:space="0" w:color="auto"/>
                      <w:right w:val="single" w:sz="4" w:space="0" w:color="auto"/>
                    </w:tcBorders>
                    <w:shd w:val="clear" w:color="auto" w:fill="auto"/>
                    <w:vAlign w:val="center"/>
                  </w:tcPr>
                  <w:p w:rsidR="00694E6F" w:rsidRPr="00694E6F" w:rsidRDefault="00694E6F" w:rsidP="00DB008B">
                    <w:pPr>
                      <w:jc w:val="center"/>
                      <w:rPr>
                        <w:sz w:val="13"/>
                        <w:szCs w:val="13"/>
                      </w:rPr>
                    </w:pPr>
                    <w:r w:rsidRPr="00694E6F">
                      <w:rPr>
                        <w:rFonts w:hint="eastAsia"/>
                        <w:sz w:val="13"/>
                        <w:szCs w:val="13"/>
                      </w:rPr>
                      <w:t>减值准备期末余额</w:t>
                    </w:r>
                  </w:p>
                </w:tc>
              </w:sdtContent>
            </w:sdt>
          </w:tr>
          <w:tr w:rsidR="00694E6F" w:rsidTr="00C84467">
            <w:tc>
              <w:tcPr>
                <w:tcW w:w="542" w:type="pct"/>
                <w:vMerge/>
                <w:tcBorders>
                  <w:left w:val="single" w:sz="4" w:space="0" w:color="auto"/>
                  <w:bottom w:val="single" w:sz="4" w:space="0" w:color="auto"/>
                  <w:right w:val="single" w:sz="4" w:space="0" w:color="auto"/>
                </w:tcBorders>
                <w:shd w:val="clear" w:color="auto" w:fill="auto"/>
              </w:tcPr>
              <w:p w:rsidR="00694E6F" w:rsidRPr="00694E6F" w:rsidRDefault="00694E6F" w:rsidP="00DB008B">
                <w:pPr>
                  <w:jc w:val="center"/>
                  <w:rPr>
                    <w:sz w:val="13"/>
                    <w:szCs w:val="13"/>
                  </w:rPr>
                </w:pPr>
              </w:p>
            </w:tc>
            <w:tc>
              <w:tcPr>
                <w:tcW w:w="453" w:type="pct"/>
                <w:vMerge/>
                <w:tcBorders>
                  <w:left w:val="single" w:sz="4" w:space="0" w:color="auto"/>
                  <w:bottom w:val="single" w:sz="4" w:space="0" w:color="auto"/>
                  <w:right w:val="single" w:sz="4" w:space="0" w:color="auto"/>
                </w:tcBorders>
                <w:shd w:val="clear" w:color="auto" w:fill="auto"/>
              </w:tcPr>
              <w:p w:rsidR="00694E6F" w:rsidRPr="00694E6F" w:rsidRDefault="00694E6F" w:rsidP="00DB008B">
                <w:pPr>
                  <w:jc w:val="center"/>
                  <w:rPr>
                    <w:sz w:val="13"/>
                    <w:szCs w:val="13"/>
                  </w:rPr>
                </w:pPr>
              </w:p>
            </w:tc>
            <w:sdt>
              <w:sdtPr>
                <w:rPr>
                  <w:sz w:val="13"/>
                  <w:szCs w:val="13"/>
                </w:rPr>
                <w:tag w:val="_PLD_759fe0f59b6046308988b932a5f90e06"/>
                <w:id w:val="1918816585"/>
                <w:lock w:val="sdtLocked"/>
              </w:sdtPr>
              <w:sdtContent>
                <w:tc>
                  <w:tcPr>
                    <w:tcW w:w="302" w:type="pct"/>
                    <w:tcBorders>
                      <w:top w:val="single" w:sz="4" w:space="0" w:color="auto"/>
                      <w:left w:val="single" w:sz="4" w:space="0" w:color="auto"/>
                      <w:bottom w:val="single" w:sz="4" w:space="0" w:color="auto"/>
                      <w:right w:val="single" w:sz="4" w:space="0" w:color="auto"/>
                    </w:tcBorders>
                    <w:shd w:val="clear" w:color="auto" w:fill="auto"/>
                    <w:vAlign w:val="center"/>
                  </w:tcPr>
                  <w:p w:rsidR="00694E6F" w:rsidRPr="00694E6F" w:rsidRDefault="00694E6F" w:rsidP="00DB008B">
                    <w:pPr>
                      <w:jc w:val="center"/>
                      <w:rPr>
                        <w:sz w:val="13"/>
                        <w:szCs w:val="13"/>
                      </w:rPr>
                    </w:pPr>
                    <w:r w:rsidRPr="00694E6F">
                      <w:rPr>
                        <w:rFonts w:hint="eastAsia"/>
                        <w:sz w:val="13"/>
                        <w:szCs w:val="13"/>
                      </w:rPr>
                      <w:t>追加投资</w:t>
                    </w:r>
                  </w:p>
                </w:tc>
              </w:sdtContent>
            </w:sdt>
            <w:sdt>
              <w:sdtPr>
                <w:rPr>
                  <w:sz w:val="13"/>
                  <w:szCs w:val="13"/>
                </w:rPr>
                <w:tag w:val="_PLD_6f033bedb79a4bd7bc36dc52845a5ea0"/>
                <w:id w:val="1322322947"/>
                <w:lock w:val="sdtLocked"/>
              </w:sdtPr>
              <w:sdtContent>
                <w:tc>
                  <w:tcPr>
                    <w:tcW w:w="371" w:type="pct"/>
                    <w:tcBorders>
                      <w:top w:val="single" w:sz="4" w:space="0" w:color="auto"/>
                      <w:left w:val="single" w:sz="4" w:space="0" w:color="auto"/>
                      <w:bottom w:val="single" w:sz="4" w:space="0" w:color="auto"/>
                      <w:right w:val="single" w:sz="4" w:space="0" w:color="auto"/>
                    </w:tcBorders>
                    <w:shd w:val="clear" w:color="auto" w:fill="auto"/>
                    <w:vAlign w:val="center"/>
                  </w:tcPr>
                  <w:p w:rsidR="00694E6F" w:rsidRPr="00694E6F" w:rsidRDefault="00694E6F" w:rsidP="00DB008B">
                    <w:pPr>
                      <w:jc w:val="center"/>
                      <w:rPr>
                        <w:sz w:val="13"/>
                        <w:szCs w:val="13"/>
                      </w:rPr>
                    </w:pPr>
                    <w:r w:rsidRPr="00694E6F">
                      <w:rPr>
                        <w:rFonts w:hint="eastAsia"/>
                        <w:sz w:val="13"/>
                        <w:szCs w:val="13"/>
                      </w:rPr>
                      <w:t>减少投资</w:t>
                    </w:r>
                  </w:p>
                </w:tc>
              </w:sdtContent>
            </w:sdt>
            <w:sdt>
              <w:sdtPr>
                <w:rPr>
                  <w:sz w:val="13"/>
                  <w:szCs w:val="13"/>
                </w:rPr>
                <w:tag w:val="_PLD_67e4baac3d05451d940d328c18f19014"/>
                <w:id w:val="681631034"/>
                <w:lock w:val="sdtLocked"/>
              </w:sdtPr>
              <w:sdtContent>
                <w:tc>
                  <w:tcPr>
                    <w:tcW w:w="435" w:type="pct"/>
                    <w:tcBorders>
                      <w:top w:val="single" w:sz="4" w:space="0" w:color="auto"/>
                      <w:left w:val="single" w:sz="4" w:space="0" w:color="auto"/>
                      <w:bottom w:val="single" w:sz="4" w:space="0" w:color="auto"/>
                      <w:right w:val="single" w:sz="4" w:space="0" w:color="auto"/>
                    </w:tcBorders>
                    <w:shd w:val="clear" w:color="auto" w:fill="auto"/>
                    <w:vAlign w:val="center"/>
                  </w:tcPr>
                  <w:p w:rsidR="00694E6F" w:rsidRPr="00694E6F" w:rsidRDefault="00694E6F" w:rsidP="00DB008B">
                    <w:pPr>
                      <w:jc w:val="center"/>
                      <w:rPr>
                        <w:sz w:val="13"/>
                        <w:szCs w:val="13"/>
                      </w:rPr>
                    </w:pPr>
                    <w:r w:rsidRPr="00694E6F">
                      <w:rPr>
                        <w:rFonts w:hint="eastAsia"/>
                        <w:sz w:val="13"/>
                        <w:szCs w:val="13"/>
                      </w:rPr>
                      <w:t>权益法下确认的投资损益</w:t>
                    </w:r>
                  </w:p>
                </w:tc>
              </w:sdtContent>
            </w:sdt>
            <w:sdt>
              <w:sdtPr>
                <w:rPr>
                  <w:sz w:val="13"/>
                  <w:szCs w:val="13"/>
                </w:rPr>
                <w:tag w:val="_PLD_700419003e5b4596b973710043374374"/>
                <w:id w:val="1488748964"/>
                <w:lock w:val="sdtLocked"/>
              </w:sdtPr>
              <w:sdtContent>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rsidR="00694E6F" w:rsidRPr="00694E6F" w:rsidRDefault="00694E6F" w:rsidP="00DB008B">
                    <w:pPr>
                      <w:jc w:val="center"/>
                      <w:rPr>
                        <w:sz w:val="13"/>
                        <w:szCs w:val="13"/>
                      </w:rPr>
                    </w:pPr>
                    <w:r w:rsidRPr="00694E6F">
                      <w:rPr>
                        <w:rFonts w:hint="eastAsia"/>
                        <w:sz w:val="13"/>
                        <w:szCs w:val="13"/>
                      </w:rPr>
                      <w:t>其他综合收益调整</w:t>
                    </w:r>
                  </w:p>
                </w:tc>
              </w:sdtContent>
            </w:sdt>
            <w:sdt>
              <w:sdtPr>
                <w:rPr>
                  <w:sz w:val="13"/>
                  <w:szCs w:val="13"/>
                </w:rPr>
                <w:tag w:val="_PLD_9318c7f257d249e0a0b9bf70263601d5"/>
                <w:id w:val="-709961031"/>
                <w:lock w:val="sdtLocked"/>
              </w:sdtPr>
              <w:sdtContent>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rsidR="00694E6F" w:rsidRPr="00694E6F" w:rsidRDefault="00694E6F" w:rsidP="00DB008B">
                    <w:pPr>
                      <w:jc w:val="center"/>
                      <w:rPr>
                        <w:sz w:val="13"/>
                        <w:szCs w:val="13"/>
                      </w:rPr>
                    </w:pPr>
                    <w:r w:rsidRPr="00694E6F">
                      <w:rPr>
                        <w:rFonts w:hint="eastAsia"/>
                        <w:sz w:val="13"/>
                        <w:szCs w:val="13"/>
                      </w:rPr>
                      <w:t>其他权益变动</w:t>
                    </w:r>
                  </w:p>
                </w:tc>
              </w:sdtContent>
            </w:sdt>
            <w:sdt>
              <w:sdtPr>
                <w:rPr>
                  <w:sz w:val="13"/>
                  <w:szCs w:val="13"/>
                </w:rPr>
                <w:tag w:val="_PLD_efb3a8c8f6b64ad1a5fbb4cf67eb4c96"/>
                <w:id w:val="1602681485"/>
                <w:lock w:val="sdtLocked"/>
              </w:sdtPr>
              <w:sdtContent>
                <w:tc>
                  <w:tcPr>
                    <w:tcW w:w="434" w:type="pct"/>
                    <w:tcBorders>
                      <w:top w:val="single" w:sz="4" w:space="0" w:color="auto"/>
                      <w:left w:val="single" w:sz="4" w:space="0" w:color="auto"/>
                      <w:bottom w:val="single" w:sz="4" w:space="0" w:color="auto"/>
                      <w:right w:val="single" w:sz="4" w:space="0" w:color="auto"/>
                    </w:tcBorders>
                    <w:shd w:val="clear" w:color="auto" w:fill="auto"/>
                    <w:vAlign w:val="center"/>
                  </w:tcPr>
                  <w:p w:rsidR="00694E6F" w:rsidRPr="00694E6F" w:rsidRDefault="00694E6F" w:rsidP="00DB008B">
                    <w:pPr>
                      <w:jc w:val="center"/>
                      <w:rPr>
                        <w:sz w:val="13"/>
                        <w:szCs w:val="13"/>
                      </w:rPr>
                    </w:pPr>
                    <w:r w:rsidRPr="00694E6F">
                      <w:rPr>
                        <w:rFonts w:hint="eastAsia"/>
                        <w:sz w:val="13"/>
                        <w:szCs w:val="13"/>
                      </w:rPr>
                      <w:t>宣告发放现金股利或利润</w:t>
                    </w:r>
                  </w:p>
                </w:tc>
              </w:sdtContent>
            </w:sdt>
            <w:sdt>
              <w:sdtPr>
                <w:rPr>
                  <w:sz w:val="13"/>
                  <w:szCs w:val="13"/>
                </w:rPr>
                <w:tag w:val="_PLD_2cc45ca82119420bb4d261a3eb788ba0"/>
                <w:id w:val="1520044668"/>
                <w:lock w:val="sdtLocked"/>
              </w:sdtPr>
              <w:sdtContent>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694E6F" w:rsidRPr="00694E6F" w:rsidRDefault="00694E6F" w:rsidP="00DB008B">
                    <w:pPr>
                      <w:jc w:val="center"/>
                      <w:rPr>
                        <w:sz w:val="13"/>
                        <w:szCs w:val="13"/>
                      </w:rPr>
                    </w:pPr>
                    <w:r w:rsidRPr="00694E6F">
                      <w:rPr>
                        <w:rFonts w:hint="eastAsia"/>
                        <w:sz w:val="13"/>
                        <w:szCs w:val="13"/>
                      </w:rPr>
                      <w:t>计提减值准备</w:t>
                    </w:r>
                  </w:p>
                </w:tc>
              </w:sdtContent>
            </w:sdt>
            <w:sdt>
              <w:sdtPr>
                <w:rPr>
                  <w:sz w:val="13"/>
                  <w:szCs w:val="13"/>
                </w:rPr>
                <w:tag w:val="_PLD_85d3aa0f514447b38d92097f7a30e385"/>
                <w:id w:val="2086334269"/>
                <w:lock w:val="sdtLocked"/>
              </w:sdtPr>
              <w:sdtContent>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694E6F" w:rsidRPr="00694E6F" w:rsidRDefault="00694E6F" w:rsidP="00DB008B">
                    <w:pPr>
                      <w:jc w:val="center"/>
                      <w:rPr>
                        <w:sz w:val="13"/>
                        <w:szCs w:val="13"/>
                      </w:rPr>
                    </w:pPr>
                    <w:r w:rsidRPr="00694E6F">
                      <w:rPr>
                        <w:rFonts w:hint="eastAsia"/>
                        <w:sz w:val="13"/>
                        <w:szCs w:val="13"/>
                      </w:rPr>
                      <w:t>其他</w:t>
                    </w:r>
                  </w:p>
                </w:tc>
              </w:sdtContent>
            </w:sdt>
            <w:tc>
              <w:tcPr>
                <w:tcW w:w="426" w:type="pct"/>
                <w:vMerge/>
                <w:tcBorders>
                  <w:left w:val="single" w:sz="4" w:space="0" w:color="auto"/>
                  <w:bottom w:val="single" w:sz="4" w:space="0" w:color="auto"/>
                  <w:right w:val="single" w:sz="4" w:space="0" w:color="auto"/>
                </w:tcBorders>
                <w:shd w:val="clear" w:color="auto" w:fill="auto"/>
              </w:tcPr>
              <w:p w:rsidR="00694E6F" w:rsidRPr="00694E6F" w:rsidRDefault="00694E6F" w:rsidP="00DB008B">
                <w:pPr>
                  <w:jc w:val="center"/>
                  <w:rPr>
                    <w:sz w:val="13"/>
                    <w:szCs w:val="13"/>
                  </w:rPr>
                </w:pPr>
              </w:p>
            </w:tc>
            <w:tc>
              <w:tcPr>
                <w:tcW w:w="406" w:type="pct"/>
                <w:vMerge/>
                <w:tcBorders>
                  <w:left w:val="single" w:sz="4" w:space="0" w:color="auto"/>
                  <w:bottom w:val="single" w:sz="4" w:space="0" w:color="auto"/>
                  <w:right w:val="single" w:sz="4" w:space="0" w:color="auto"/>
                </w:tcBorders>
                <w:shd w:val="clear" w:color="auto" w:fill="auto"/>
              </w:tcPr>
              <w:p w:rsidR="00694E6F" w:rsidRPr="00694E6F" w:rsidRDefault="00694E6F" w:rsidP="00DB008B">
                <w:pPr>
                  <w:jc w:val="center"/>
                  <w:rPr>
                    <w:sz w:val="13"/>
                    <w:szCs w:val="13"/>
                  </w:rPr>
                </w:pPr>
              </w:p>
            </w:tc>
          </w:tr>
          <w:tr w:rsidR="00694E6F" w:rsidTr="00DB008B">
            <w:sdt>
              <w:sdtPr>
                <w:rPr>
                  <w:sz w:val="13"/>
                  <w:szCs w:val="13"/>
                </w:rPr>
                <w:tag w:val="_PLD_b5de7a3b12554dad8d8701df843651f7"/>
                <w:id w:val="1867866179"/>
                <w:lock w:val="sdtLocked"/>
              </w:sdtPr>
              <w:sdtContent>
                <w:tc>
                  <w:tcPr>
                    <w:tcW w:w="5000" w:type="pct"/>
                    <w:gridSpan w:val="12"/>
                    <w:tcBorders>
                      <w:top w:val="single" w:sz="4" w:space="0" w:color="auto"/>
                      <w:left w:val="single" w:sz="4" w:space="0" w:color="auto"/>
                      <w:bottom w:val="single" w:sz="4" w:space="0" w:color="auto"/>
                      <w:right w:val="single" w:sz="4" w:space="0" w:color="auto"/>
                    </w:tcBorders>
                    <w:shd w:val="clear" w:color="auto" w:fill="auto"/>
                  </w:tcPr>
                  <w:p w:rsidR="00694E6F" w:rsidRPr="00694E6F" w:rsidRDefault="00694E6F" w:rsidP="00DB008B">
                    <w:pPr>
                      <w:jc w:val="both"/>
                      <w:rPr>
                        <w:sz w:val="13"/>
                        <w:szCs w:val="13"/>
                      </w:rPr>
                    </w:pPr>
                    <w:r w:rsidRPr="00694E6F">
                      <w:rPr>
                        <w:rFonts w:hint="eastAsia"/>
                        <w:sz w:val="13"/>
                        <w:szCs w:val="13"/>
                      </w:rPr>
                      <w:t>一、合营企业</w:t>
                    </w:r>
                  </w:p>
                </w:tc>
              </w:sdtContent>
            </w:sdt>
          </w:tr>
          <w:sdt>
            <w:sdtPr>
              <w:rPr>
                <w:sz w:val="13"/>
                <w:szCs w:val="13"/>
              </w:rPr>
              <w:alias w:val="合营企业投资信息明细"/>
              <w:tag w:val="_TUP_7ae7c93a76644e18b4ce7e7962b3c843"/>
              <w:id w:val="944038539"/>
              <w:lock w:val="sdtLocked"/>
            </w:sdtPr>
            <w:sdtContent>
              <w:tr w:rsidR="00694E6F" w:rsidTr="00C84467">
                <w:tc>
                  <w:tcPr>
                    <w:tcW w:w="542" w:type="pct"/>
                    <w:tcBorders>
                      <w:top w:val="single" w:sz="4" w:space="0" w:color="auto"/>
                      <w:left w:val="single" w:sz="4" w:space="0" w:color="auto"/>
                      <w:bottom w:val="single" w:sz="4" w:space="0" w:color="auto"/>
                      <w:right w:val="single" w:sz="4" w:space="0" w:color="auto"/>
                    </w:tcBorders>
                    <w:shd w:val="clear" w:color="auto" w:fill="auto"/>
                  </w:tcPr>
                  <w:p w:rsidR="00694E6F" w:rsidRPr="00694E6F" w:rsidRDefault="00694E6F" w:rsidP="00DB008B">
                    <w:pPr>
                      <w:rPr>
                        <w:sz w:val="13"/>
                        <w:szCs w:val="13"/>
                      </w:rPr>
                    </w:pPr>
                    <w:r w:rsidRPr="00694E6F">
                      <w:rPr>
                        <w:rFonts w:hint="eastAsia"/>
                        <w:sz w:val="13"/>
                        <w:szCs w:val="13"/>
                      </w:rPr>
                      <w:t>无</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694E6F" w:rsidRPr="00694E6F" w:rsidRDefault="00694E6F" w:rsidP="00DB008B">
                    <w:pPr>
                      <w:jc w:val="right"/>
                      <w:rPr>
                        <w:sz w:val="13"/>
                        <w:szCs w:val="13"/>
                      </w:rPr>
                    </w:pPr>
                  </w:p>
                </w:tc>
                <w:tc>
                  <w:tcPr>
                    <w:tcW w:w="302" w:type="pct"/>
                    <w:tcBorders>
                      <w:top w:val="single" w:sz="4" w:space="0" w:color="auto"/>
                      <w:left w:val="single" w:sz="4" w:space="0" w:color="auto"/>
                      <w:bottom w:val="single" w:sz="4" w:space="0" w:color="auto"/>
                      <w:right w:val="single" w:sz="4" w:space="0" w:color="auto"/>
                    </w:tcBorders>
                    <w:shd w:val="clear" w:color="auto" w:fill="auto"/>
                  </w:tcPr>
                  <w:p w:rsidR="00694E6F" w:rsidRPr="00694E6F" w:rsidRDefault="00694E6F" w:rsidP="00DB008B">
                    <w:pPr>
                      <w:jc w:val="right"/>
                      <w:rPr>
                        <w:sz w:val="13"/>
                        <w:szCs w:val="13"/>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694E6F" w:rsidRPr="00694E6F" w:rsidRDefault="00694E6F" w:rsidP="00DB008B">
                    <w:pPr>
                      <w:jc w:val="right"/>
                      <w:rPr>
                        <w:sz w:val="13"/>
                        <w:szCs w:val="13"/>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694E6F" w:rsidRPr="00694E6F" w:rsidRDefault="00694E6F" w:rsidP="00DB008B">
                    <w:pPr>
                      <w:jc w:val="right"/>
                      <w:rPr>
                        <w:sz w:val="13"/>
                        <w:szCs w:val="13"/>
                      </w:rPr>
                    </w:pPr>
                  </w:p>
                </w:tc>
                <w:tc>
                  <w:tcPr>
                    <w:tcW w:w="391" w:type="pct"/>
                    <w:tcBorders>
                      <w:top w:val="single" w:sz="4" w:space="0" w:color="auto"/>
                      <w:left w:val="single" w:sz="4" w:space="0" w:color="auto"/>
                      <w:bottom w:val="single" w:sz="4" w:space="0" w:color="auto"/>
                      <w:right w:val="single" w:sz="4" w:space="0" w:color="auto"/>
                    </w:tcBorders>
                    <w:shd w:val="clear" w:color="auto" w:fill="auto"/>
                  </w:tcPr>
                  <w:p w:rsidR="00694E6F" w:rsidRPr="00694E6F" w:rsidRDefault="00694E6F" w:rsidP="00DB008B">
                    <w:pPr>
                      <w:jc w:val="right"/>
                      <w:rPr>
                        <w:sz w:val="13"/>
                        <w:szCs w:val="13"/>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694E6F" w:rsidRPr="00694E6F" w:rsidRDefault="00694E6F" w:rsidP="00DB008B">
                    <w:pPr>
                      <w:jc w:val="right"/>
                      <w:rPr>
                        <w:sz w:val="13"/>
                        <w:szCs w:val="13"/>
                      </w:rPr>
                    </w:pPr>
                  </w:p>
                </w:tc>
                <w:tc>
                  <w:tcPr>
                    <w:tcW w:w="434" w:type="pct"/>
                    <w:tcBorders>
                      <w:top w:val="single" w:sz="4" w:space="0" w:color="auto"/>
                      <w:left w:val="single" w:sz="4" w:space="0" w:color="auto"/>
                      <w:bottom w:val="single" w:sz="4" w:space="0" w:color="auto"/>
                      <w:right w:val="single" w:sz="4" w:space="0" w:color="auto"/>
                    </w:tcBorders>
                    <w:shd w:val="clear" w:color="auto" w:fill="auto"/>
                  </w:tcPr>
                  <w:p w:rsidR="00694E6F" w:rsidRPr="00694E6F" w:rsidRDefault="00694E6F" w:rsidP="00DB008B">
                    <w:pPr>
                      <w:jc w:val="right"/>
                      <w:rPr>
                        <w:sz w:val="13"/>
                        <w:szCs w:val="13"/>
                      </w:rPr>
                    </w:pPr>
                  </w:p>
                </w:tc>
                <w:tc>
                  <w:tcPr>
                    <w:tcW w:w="429" w:type="pct"/>
                    <w:tcBorders>
                      <w:top w:val="single" w:sz="4" w:space="0" w:color="auto"/>
                      <w:left w:val="single" w:sz="4" w:space="0" w:color="auto"/>
                      <w:bottom w:val="single" w:sz="4" w:space="0" w:color="auto"/>
                      <w:right w:val="single" w:sz="4" w:space="0" w:color="auto"/>
                    </w:tcBorders>
                    <w:shd w:val="clear" w:color="auto" w:fill="auto"/>
                  </w:tcPr>
                  <w:p w:rsidR="00694E6F" w:rsidRPr="00694E6F" w:rsidRDefault="00694E6F" w:rsidP="00DB008B">
                    <w:pPr>
                      <w:jc w:val="right"/>
                      <w:rPr>
                        <w:sz w:val="13"/>
                        <w:szCs w:val="13"/>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694E6F" w:rsidRPr="00694E6F" w:rsidRDefault="00694E6F" w:rsidP="00DB008B">
                    <w:pPr>
                      <w:jc w:val="right"/>
                      <w:rPr>
                        <w:sz w:val="13"/>
                        <w:szCs w:val="13"/>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694E6F" w:rsidRPr="00694E6F" w:rsidRDefault="00694E6F" w:rsidP="00DB008B">
                    <w:pPr>
                      <w:jc w:val="right"/>
                      <w:rPr>
                        <w:sz w:val="13"/>
                        <w:szCs w:val="13"/>
                      </w:rPr>
                    </w:pPr>
                  </w:p>
                </w:tc>
                <w:tc>
                  <w:tcPr>
                    <w:tcW w:w="406" w:type="pct"/>
                    <w:tcBorders>
                      <w:top w:val="single" w:sz="4" w:space="0" w:color="auto"/>
                      <w:left w:val="single" w:sz="4" w:space="0" w:color="auto"/>
                      <w:bottom w:val="single" w:sz="4" w:space="0" w:color="auto"/>
                      <w:right w:val="single" w:sz="4" w:space="0" w:color="auto"/>
                    </w:tcBorders>
                    <w:shd w:val="clear" w:color="auto" w:fill="auto"/>
                  </w:tcPr>
                  <w:p w:rsidR="00694E6F" w:rsidRPr="00694E6F" w:rsidRDefault="00694E6F" w:rsidP="00DB008B">
                    <w:pPr>
                      <w:jc w:val="right"/>
                      <w:rPr>
                        <w:sz w:val="13"/>
                        <w:szCs w:val="13"/>
                      </w:rPr>
                    </w:pPr>
                  </w:p>
                </w:tc>
              </w:tr>
            </w:sdtContent>
          </w:sdt>
          <w:tr w:rsidR="00694E6F" w:rsidTr="00C84467">
            <w:sdt>
              <w:sdtPr>
                <w:rPr>
                  <w:sz w:val="13"/>
                  <w:szCs w:val="13"/>
                </w:rPr>
                <w:tag w:val="_PLD_75532ff6de38446798c10c6b50f591fc"/>
                <w:id w:val="-1425102758"/>
                <w:lock w:val="sdtLocked"/>
              </w:sdtPr>
              <w:sdtContent>
                <w:tc>
                  <w:tcPr>
                    <w:tcW w:w="542" w:type="pct"/>
                    <w:tcBorders>
                      <w:top w:val="single" w:sz="4" w:space="0" w:color="auto"/>
                      <w:left w:val="single" w:sz="4" w:space="0" w:color="auto"/>
                      <w:bottom w:val="single" w:sz="4" w:space="0" w:color="auto"/>
                      <w:right w:val="single" w:sz="4" w:space="0" w:color="auto"/>
                    </w:tcBorders>
                    <w:shd w:val="clear" w:color="auto" w:fill="auto"/>
                  </w:tcPr>
                  <w:p w:rsidR="00694E6F" w:rsidRPr="00694E6F" w:rsidRDefault="00694E6F" w:rsidP="00DB008B">
                    <w:pPr>
                      <w:jc w:val="both"/>
                      <w:rPr>
                        <w:sz w:val="13"/>
                        <w:szCs w:val="13"/>
                      </w:rPr>
                    </w:pPr>
                    <w:r w:rsidRPr="00694E6F">
                      <w:rPr>
                        <w:rFonts w:hint="eastAsia"/>
                        <w:sz w:val="13"/>
                        <w:szCs w:val="13"/>
                      </w:rPr>
                      <w:t>小计</w:t>
                    </w:r>
                  </w:p>
                </w:tc>
              </w:sdtContent>
            </w:sdt>
            <w:tc>
              <w:tcPr>
                <w:tcW w:w="453" w:type="pct"/>
                <w:tcBorders>
                  <w:top w:val="single" w:sz="4" w:space="0" w:color="auto"/>
                  <w:left w:val="single" w:sz="4" w:space="0" w:color="auto"/>
                  <w:bottom w:val="single" w:sz="4" w:space="0" w:color="auto"/>
                  <w:right w:val="single" w:sz="4" w:space="0" w:color="auto"/>
                </w:tcBorders>
                <w:shd w:val="clear" w:color="auto" w:fill="auto"/>
              </w:tcPr>
              <w:p w:rsidR="00694E6F" w:rsidRPr="00694E6F" w:rsidRDefault="00694E6F" w:rsidP="00DB008B">
                <w:pPr>
                  <w:jc w:val="right"/>
                  <w:rPr>
                    <w:sz w:val="13"/>
                    <w:szCs w:val="13"/>
                  </w:rPr>
                </w:pPr>
              </w:p>
            </w:tc>
            <w:tc>
              <w:tcPr>
                <w:tcW w:w="302" w:type="pct"/>
                <w:tcBorders>
                  <w:top w:val="single" w:sz="4" w:space="0" w:color="auto"/>
                  <w:left w:val="single" w:sz="4" w:space="0" w:color="auto"/>
                  <w:bottom w:val="single" w:sz="4" w:space="0" w:color="auto"/>
                  <w:right w:val="single" w:sz="4" w:space="0" w:color="auto"/>
                </w:tcBorders>
                <w:shd w:val="clear" w:color="auto" w:fill="auto"/>
              </w:tcPr>
              <w:p w:rsidR="00694E6F" w:rsidRPr="00694E6F" w:rsidRDefault="00694E6F" w:rsidP="00DB008B">
                <w:pPr>
                  <w:jc w:val="right"/>
                  <w:rPr>
                    <w:sz w:val="13"/>
                    <w:szCs w:val="13"/>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694E6F" w:rsidRPr="00694E6F" w:rsidRDefault="00694E6F" w:rsidP="00DB008B">
                <w:pPr>
                  <w:jc w:val="right"/>
                  <w:rPr>
                    <w:sz w:val="13"/>
                    <w:szCs w:val="13"/>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694E6F" w:rsidRPr="00694E6F" w:rsidRDefault="00694E6F" w:rsidP="00DB008B">
                <w:pPr>
                  <w:jc w:val="right"/>
                  <w:rPr>
                    <w:sz w:val="13"/>
                    <w:szCs w:val="13"/>
                  </w:rPr>
                </w:pPr>
              </w:p>
            </w:tc>
            <w:tc>
              <w:tcPr>
                <w:tcW w:w="391" w:type="pct"/>
                <w:tcBorders>
                  <w:top w:val="single" w:sz="4" w:space="0" w:color="auto"/>
                  <w:left w:val="single" w:sz="4" w:space="0" w:color="auto"/>
                  <w:bottom w:val="single" w:sz="4" w:space="0" w:color="auto"/>
                  <w:right w:val="single" w:sz="4" w:space="0" w:color="auto"/>
                </w:tcBorders>
                <w:shd w:val="clear" w:color="auto" w:fill="auto"/>
              </w:tcPr>
              <w:p w:rsidR="00694E6F" w:rsidRPr="00694E6F" w:rsidRDefault="00694E6F" w:rsidP="00DB008B">
                <w:pPr>
                  <w:jc w:val="right"/>
                  <w:rPr>
                    <w:sz w:val="13"/>
                    <w:szCs w:val="13"/>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694E6F" w:rsidRPr="00694E6F" w:rsidRDefault="00694E6F" w:rsidP="00DB008B">
                <w:pPr>
                  <w:jc w:val="right"/>
                  <w:rPr>
                    <w:sz w:val="13"/>
                    <w:szCs w:val="13"/>
                  </w:rPr>
                </w:pPr>
              </w:p>
            </w:tc>
            <w:tc>
              <w:tcPr>
                <w:tcW w:w="434" w:type="pct"/>
                <w:tcBorders>
                  <w:top w:val="single" w:sz="4" w:space="0" w:color="auto"/>
                  <w:left w:val="single" w:sz="4" w:space="0" w:color="auto"/>
                  <w:bottom w:val="single" w:sz="4" w:space="0" w:color="auto"/>
                  <w:right w:val="single" w:sz="4" w:space="0" w:color="auto"/>
                </w:tcBorders>
                <w:shd w:val="clear" w:color="auto" w:fill="auto"/>
              </w:tcPr>
              <w:p w:rsidR="00694E6F" w:rsidRPr="00694E6F" w:rsidRDefault="00694E6F" w:rsidP="00DB008B">
                <w:pPr>
                  <w:jc w:val="right"/>
                  <w:rPr>
                    <w:sz w:val="13"/>
                    <w:szCs w:val="13"/>
                  </w:rPr>
                </w:pPr>
              </w:p>
            </w:tc>
            <w:tc>
              <w:tcPr>
                <w:tcW w:w="429" w:type="pct"/>
                <w:tcBorders>
                  <w:top w:val="single" w:sz="4" w:space="0" w:color="auto"/>
                  <w:left w:val="single" w:sz="4" w:space="0" w:color="auto"/>
                  <w:bottom w:val="single" w:sz="4" w:space="0" w:color="auto"/>
                  <w:right w:val="single" w:sz="4" w:space="0" w:color="auto"/>
                </w:tcBorders>
                <w:shd w:val="clear" w:color="auto" w:fill="auto"/>
              </w:tcPr>
              <w:p w:rsidR="00694E6F" w:rsidRPr="00694E6F" w:rsidRDefault="00694E6F" w:rsidP="00DB008B">
                <w:pPr>
                  <w:jc w:val="right"/>
                  <w:rPr>
                    <w:sz w:val="13"/>
                    <w:szCs w:val="13"/>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694E6F" w:rsidRPr="00694E6F" w:rsidRDefault="00694E6F" w:rsidP="00DB008B">
                <w:pPr>
                  <w:jc w:val="right"/>
                  <w:rPr>
                    <w:sz w:val="13"/>
                    <w:szCs w:val="13"/>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694E6F" w:rsidRPr="00694E6F" w:rsidRDefault="00694E6F" w:rsidP="00DB008B">
                <w:pPr>
                  <w:jc w:val="right"/>
                  <w:rPr>
                    <w:sz w:val="13"/>
                    <w:szCs w:val="13"/>
                  </w:rPr>
                </w:pPr>
              </w:p>
            </w:tc>
            <w:tc>
              <w:tcPr>
                <w:tcW w:w="406" w:type="pct"/>
                <w:tcBorders>
                  <w:top w:val="single" w:sz="4" w:space="0" w:color="auto"/>
                  <w:left w:val="single" w:sz="4" w:space="0" w:color="auto"/>
                  <w:bottom w:val="single" w:sz="4" w:space="0" w:color="auto"/>
                  <w:right w:val="single" w:sz="4" w:space="0" w:color="auto"/>
                </w:tcBorders>
                <w:shd w:val="clear" w:color="auto" w:fill="auto"/>
              </w:tcPr>
              <w:p w:rsidR="00694E6F" w:rsidRPr="00694E6F" w:rsidRDefault="00694E6F" w:rsidP="00DB008B">
                <w:pPr>
                  <w:jc w:val="right"/>
                  <w:rPr>
                    <w:sz w:val="13"/>
                    <w:szCs w:val="13"/>
                  </w:rPr>
                </w:pPr>
              </w:p>
            </w:tc>
          </w:tr>
          <w:tr w:rsidR="00694E6F" w:rsidTr="00DB008B">
            <w:sdt>
              <w:sdtPr>
                <w:rPr>
                  <w:sz w:val="13"/>
                  <w:szCs w:val="13"/>
                </w:rPr>
                <w:tag w:val="_PLD_473021cffa734643a0c35649ee4b5043"/>
                <w:id w:val="-711576054"/>
                <w:lock w:val="sdtLocked"/>
              </w:sdtPr>
              <w:sdtContent>
                <w:tc>
                  <w:tcPr>
                    <w:tcW w:w="5000" w:type="pct"/>
                    <w:gridSpan w:val="12"/>
                    <w:tcBorders>
                      <w:top w:val="single" w:sz="4" w:space="0" w:color="auto"/>
                      <w:left w:val="single" w:sz="4" w:space="0" w:color="auto"/>
                      <w:bottom w:val="single" w:sz="4" w:space="0" w:color="auto"/>
                      <w:right w:val="single" w:sz="4" w:space="0" w:color="auto"/>
                    </w:tcBorders>
                    <w:shd w:val="clear" w:color="auto" w:fill="auto"/>
                  </w:tcPr>
                  <w:p w:rsidR="00694E6F" w:rsidRPr="00694E6F" w:rsidRDefault="00694E6F" w:rsidP="00DB008B">
                    <w:pPr>
                      <w:jc w:val="both"/>
                      <w:rPr>
                        <w:sz w:val="13"/>
                        <w:szCs w:val="13"/>
                      </w:rPr>
                    </w:pPr>
                    <w:r w:rsidRPr="00694E6F">
                      <w:rPr>
                        <w:rFonts w:hint="eastAsia"/>
                        <w:sz w:val="13"/>
                        <w:szCs w:val="13"/>
                      </w:rPr>
                      <w:t>二、联营企业</w:t>
                    </w:r>
                  </w:p>
                </w:tc>
              </w:sdtContent>
            </w:sdt>
          </w:tr>
          <w:sdt>
            <w:sdtPr>
              <w:rPr>
                <w:rFonts w:hint="eastAsia"/>
                <w:sz w:val="13"/>
                <w:szCs w:val="13"/>
              </w:rPr>
              <w:alias w:val="联营企业投资信息明细"/>
              <w:tag w:val="_TUP_eaba507245ee4361a2dbb347dbaafb94"/>
              <w:id w:val="2022733532"/>
              <w:lock w:val="sdtLocked"/>
            </w:sdtPr>
            <w:sdtEndPr>
              <w:rPr>
                <w:rFonts w:hint="default"/>
              </w:rPr>
            </w:sdtEndPr>
            <w:sdtContent>
              <w:tr w:rsidR="00694E6F" w:rsidTr="00C84467">
                <w:tc>
                  <w:tcPr>
                    <w:tcW w:w="542" w:type="pct"/>
                    <w:tcBorders>
                      <w:top w:val="single" w:sz="4" w:space="0" w:color="auto"/>
                      <w:left w:val="single" w:sz="4" w:space="0" w:color="auto"/>
                      <w:bottom w:val="single" w:sz="4" w:space="0" w:color="auto"/>
                      <w:right w:val="single" w:sz="4" w:space="0" w:color="auto"/>
                    </w:tcBorders>
                    <w:shd w:val="clear" w:color="auto" w:fill="auto"/>
                  </w:tcPr>
                  <w:p w:rsidR="00694E6F" w:rsidRPr="00694E6F" w:rsidRDefault="000C0A5A" w:rsidP="00DB008B">
                    <w:pPr>
                      <w:jc w:val="both"/>
                      <w:rPr>
                        <w:sz w:val="13"/>
                        <w:szCs w:val="13"/>
                      </w:rPr>
                    </w:pPr>
                    <w:r w:rsidRPr="000C0A5A">
                      <w:rPr>
                        <w:rFonts w:hint="eastAsia"/>
                        <w:sz w:val="13"/>
                        <w:szCs w:val="13"/>
                      </w:rPr>
                      <w:t>国能朔黄铁路发展有限责任公司</w:t>
                    </w:r>
                  </w:p>
                </w:tc>
                <w:tc>
                  <w:tcPr>
                    <w:tcW w:w="453" w:type="pct"/>
                    <w:tcBorders>
                      <w:top w:val="single" w:sz="4" w:space="0" w:color="auto"/>
                      <w:left w:val="single" w:sz="4" w:space="0" w:color="auto"/>
                      <w:bottom w:val="single" w:sz="4" w:space="0" w:color="auto"/>
                      <w:right w:val="single" w:sz="4" w:space="0" w:color="auto"/>
                    </w:tcBorders>
                    <w:shd w:val="clear" w:color="auto" w:fill="auto"/>
                    <w:vAlign w:val="center"/>
                  </w:tcPr>
                  <w:p w:rsidR="00694E6F" w:rsidRPr="00694E6F" w:rsidRDefault="00694E6F" w:rsidP="00DB008B">
                    <w:pPr>
                      <w:jc w:val="right"/>
                      <w:rPr>
                        <w:sz w:val="13"/>
                        <w:szCs w:val="13"/>
                      </w:rPr>
                    </w:pPr>
                    <w:r w:rsidRPr="00694E6F">
                      <w:rPr>
                        <w:sz w:val="13"/>
                        <w:szCs w:val="13"/>
                      </w:rPr>
                      <w:t>5,148,932,173</w:t>
                    </w:r>
                  </w:p>
                </w:tc>
                <w:tc>
                  <w:tcPr>
                    <w:tcW w:w="302" w:type="pct"/>
                    <w:tcBorders>
                      <w:top w:val="single" w:sz="4" w:space="0" w:color="auto"/>
                      <w:left w:val="single" w:sz="4" w:space="0" w:color="auto"/>
                      <w:bottom w:val="single" w:sz="4" w:space="0" w:color="auto"/>
                      <w:right w:val="single" w:sz="4" w:space="0" w:color="auto"/>
                    </w:tcBorders>
                    <w:shd w:val="clear" w:color="auto" w:fill="auto"/>
                    <w:vAlign w:val="center"/>
                  </w:tcPr>
                  <w:p w:rsidR="00694E6F" w:rsidRPr="00694E6F" w:rsidRDefault="00694E6F" w:rsidP="00C84467">
                    <w:pPr>
                      <w:jc w:val="right"/>
                      <w:rPr>
                        <w:sz w:val="13"/>
                        <w:szCs w:val="13"/>
                      </w:rPr>
                    </w:pPr>
                    <w:r w:rsidRPr="00694E6F">
                      <w:rPr>
                        <w:sz w:val="13"/>
                        <w:szCs w:val="13"/>
                      </w:rPr>
                      <w:t>0</w:t>
                    </w:r>
                  </w:p>
                </w:tc>
                <w:tc>
                  <w:tcPr>
                    <w:tcW w:w="371" w:type="pct"/>
                    <w:tcBorders>
                      <w:top w:val="single" w:sz="4" w:space="0" w:color="auto"/>
                      <w:left w:val="single" w:sz="4" w:space="0" w:color="auto"/>
                      <w:bottom w:val="single" w:sz="4" w:space="0" w:color="auto"/>
                      <w:right w:val="single" w:sz="4" w:space="0" w:color="auto"/>
                    </w:tcBorders>
                    <w:shd w:val="clear" w:color="auto" w:fill="auto"/>
                    <w:vAlign w:val="center"/>
                  </w:tcPr>
                  <w:p w:rsidR="00694E6F" w:rsidRPr="00694E6F" w:rsidRDefault="00694E6F" w:rsidP="00C84467">
                    <w:pPr>
                      <w:jc w:val="right"/>
                      <w:rPr>
                        <w:sz w:val="13"/>
                        <w:szCs w:val="13"/>
                      </w:rPr>
                    </w:pPr>
                    <w:r w:rsidRPr="00694E6F">
                      <w:rPr>
                        <w:sz w:val="13"/>
                        <w:szCs w:val="13"/>
                      </w:rPr>
                      <w:t>0</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tcPr>
                  <w:p w:rsidR="00694E6F" w:rsidRPr="00694E6F" w:rsidRDefault="00694E6F" w:rsidP="00C84467">
                    <w:pPr>
                      <w:jc w:val="right"/>
                      <w:rPr>
                        <w:sz w:val="13"/>
                        <w:szCs w:val="13"/>
                      </w:rPr>
                    </w:pPr>
                    <w:r w:rsidRPr="00694E6F">
                      <w:rPr>
                        <w:sz w:val="13"/>
                        <w:szCs w:val="13"/>
                      </w:rPr>
                      <w:t>25,343,568</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rsidR="00694E6F" w:rsidRPr="00694E6F" w:rsidRDefault="00694E6F" w:rsidP="00C84467">
                    <w:pPr>
                      <w:jc w:val="right"/>
                      <w:rPr>
                        <w:sz w:val="13"/>
                        <w:szCs w:val="13"/>
                      </w:rPr>
                    </w:pPr>
                    <w:r w:rsidRPr="00694E6F">
                      <w:rPr>
                        <w:sz w:val="13"/>
                        <w:szCs w:val="13"/>
                      </w:rPr>
                      <w:t>0</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rsidR="00694E6F" w:rsidRPr="00694E6F" w:rsidRDefault="00694E6F" w:rsidP="00C84467">
                    <w:pPr>
                      <w:jc w:val="right"/>
                      <w:rPr>
                        <w:sz w:val="13"/>
                        <w:szCs w:val="13"/>
                      </w:rPr>
                    </w:pPr>
                    <w:r w:rsidRPr="00694E6F">
                      <w:rPr>
                        <w:sz w:val="13"/>
                        <w:szCs w:val="13"/>
                      </w:rPr>
                      <w:t>3,488,455</w:t>
                    </w:r>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tcPr>
                  <w:p w:rsidR="00694E6F" w:rsidRPr="00694E6F" w:rsidRDefault="00CE55F0" w:rsidP="00C84467">
                    <w:pPr>
                      <w:jc w:val="right"/>
                      <w:rPr>
                        <w:sz w:val="13"/>
                        <w:szCs w:val="13"/>
                      </w:rPr>
                    </w:pPr>
                    <w:r>
                      <w:rPr>
                        <w:sz w:val="13"/>
                        <w:szCs w:val="13"/>
                      </w:rPr>
                      <w:t>0</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694E6F" w:rsidRPr="00694E6F" w:rsidRDefault="00694E6F" w:rsidP="00C84467">
                    <w:pPr>
                      <w:jc w:val="right"/>
                      <w:rPr>
                        <w:sz w:val="13"/>
                        <w:szCs w:val="13"/>
                      </w:rPr>
                    </w:pPr>
                    <w:r w:rsidRPr="00694E6F">
                      <w:rPr>
                        <w:sz w:val="13"/>
                        <w:szCs w:val="13"/>
                      </w:rPr>
                      <w:t>0</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694E6F" w:rsidRPr="00694E6F" w:rsidRDefault="00694E6F" w:rsidP="00C84467">
                    <w:pPr>
                      <w:jc w:val="right"/>
                      <w:rPr>
                        <w:sz w:val="13"/>
                        <w:szCs w:val="13"/>
                      </w:rPr>
                    </w:pPr>
                    <w:r w:rsidRPr="00694E6F">
                      <w:rPr>
                        <w:sz w:val="13"/>
                        <w:szCs w:val="13"/>
                      </w:rPr>
                      <w:t>0</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rsidR="00694E6F" w:rsidRPr="00694E6F" w:rsidRDefault="00694E6F" w:rsidP="00C84467">
                    <w:pPr>
                      <w:jc w:val="right"/>
                      <w:rPr>
                        <w:sz w:val="13"/>
                        <w:szCs w:val="13"/>
                      </w:rPr>
                    </w:pPr>
                    <w:r w:rsidRPr="00694E6F">
                      <w:rPr>
                        <w:sz w:val="13"/>
                        <w:szCs w:val="13"/>
                      </w:rPr>
                      <w:t>5,177,764,196</w:t>
                    </w:r>
                  </w:p>
                </w:tc>
                <w:tc>
                  <w:tcPr>
                    <w:tcW w:w="406" w:type="pct"/>
                    <w:tcBorders>
                      <w:top w:val="single" w:sz="4" w:space="0" w:color="auto"/>
                      <w:left w:val="single" w:sz="4" w:space="0" w:color="auto"/>
                      <w:bottom w:val="single" w:sz="4" w:space="0" w:color="auto"/>
                      <w:right w:val="single" w:sz="4" w:space="0" w:color="auto"/>
                    </w:tcBorders>
                    <w:shd w:val="clear" w:color="auto" w:fill="auto"/>
                    <w:vAlign w:val="center"/>
                  </w:tcPr>
                  <w:p w:rsidR="00694E6F" w:rsidRPr="00694E6F" w:rsidRDefault="00694E6F" w:rsidP="00C84467">
                    <w:pPr>
                      <w:jc w:val="right"/>
                      <w:rPr>
                        <w:sz w:val="13"/>
                        <w:szCs w:val="13"/>
                      </w:rPr>
                    </w:pPr>
                    <w:r w:rsidRPr="00694E6F">
                      <w:rPr>
                        <w:sz w:val="13"/>
                        <w:szCs w:val="13"/>
                      </w:rPr>
                      <w:t>0</w:t>
                    </w:r>
                  </w:p>
                </w:tc>
              </w:tr>
            </w:sdtContent>
          </w:sdt>
          <w:sdt>
            <w:sdtPr>
              <w:rPr>
                <w:rFonts w:hint="eastAsia"/>
                <w:sz w:val="13"/>
                <w:szCs w:val="13"/>
              </w:rPr>
              <w:alias w:val="联营企业投资信息明细"/>
              <w:tag w:val="_TUP_eaba507245ee4361a2dbb347dbaafb94"/>
              <w:id w:val="923770320"/>
              <w:lock w:val="sdtLocked"/>
            </w:sdtPr>
            <w:sdtEndPr>
              <w:rPr>
                <w:rFonts w:hint="default"/>
              </w:rPr>
            </w:sdtEndPr>
            <w:sdtContent>
              <w:tr w:rsidR="00694E6F" w:rsidTr="00C84467">
                <w:tc>
                  <w:tcPr>
                    <w:tcW w:w="542" w:type="pct"/>
                    <w:tcBorders>
                      <w:top w:val="single" w:sz="4" w:space="0" w:color="auto"/>
                      <w:left w:val="single" w:sz="4" w:space="0" w:color="auto"/>
                      <w:bottom w:val="single" w:sz="4" w:space="0" w:color="auto"/>
                      <w:right w:val="single" w:sz="4" w:space="0" w:color="auto"/>
                    </w:tcBorders>
                    <w:shd w:val="clear" w:color="auto" w:fill="auto"/>
                  </w:tcPr>
                  <w:p w:rsidR="00694E6F" w:rsidRPr="00694E6F" w:rsidRDefault="000C0A5A" w:rsidP="00DB008B">
                    <w:pPr>
                      <w:jc w:val="both"/>
                      <w:rPr>
                        <w:sz w:val="13"/>
                        <w:szCs w:val="13"/>
                      </w:rPr>
                    </w:pPr>
                    <w:r w:rsidRPr="000C0A5A">
                      <w:rPr>
                        <w:rFonts w:hint="eastAsia"/>
                        <w:sz w:val="13"/>
                        <w:szCs w:val="13"/>
                      </w:rPr>
                      <w:t>浩吉铁路股份有限公司</w:t>
                    </w:r>
                  </w:p>
                </w:tc>
                <w:tc>
                  <w:tcPr>
                    <w:tcW w:w="453" w:type="pct"/>
                    <w:tcBorders>
                      <w:top w:val="single" w:sz="4" w:space="0" w:color="auto"/>
                      <w:left w:val="single" w:sz="4" w:space="0" w:color="auto"/>
                      <w:bottom w:val="single" w:sz="4" w:space="0" w:color="auto"/>
                      <w:right w:val="single" w:sz="4" w:space="0" w:color="auto"/>
                    </w:tcBorders>
                    <w:shd w:val="clear" w:color="auto" w:fill="auto"/>
                    <w:vAlign w:val="center"/>
                  </w:tcPr>
                  <w:p w:rsidR="00694E6F" w:rsidRPr="00694E6F" w:rsidRDefault="00694E6F" w:rsidP="00DB008B">
                    <w:pPr>
                      <w:jc w:val="right"/>
                      <w:rPr>
                        <w:sz w:val="13"/>
                        <w:szCs w:val="13"/>
                      </w:rPr>
                    </w:pPr>
                    <w:r w:rsidRPr="00694E6F">
                      <w:rPr>
                        <w:sz w:val="13"/>
                        <w:szCs w:val="13"/>
                      </w:rPr>
                      <w:t>21,321,587,130</w:t>
                    </w:r>
                  </w:p>
                </w:tc>
                <w:tc>
                  <w:tcPr>
                    <w:tcW w:w="302" w:type="pct"/>
                    <w:tcBorders>
                      <w:top w:val="single" w:sz="4" w:space="0" w:color="auto"/>
                      <w:left w:val="single" w:sz="4" w:space="0" w:color="auto"/>
                      <w:bottom w:val="single" w:sz="4" w:space="0" w:color="auto"/>
                      <w:right w:val="single" w:sz="4" w:space="0" w:color="auto"/>
                    </w:tcBorders>
                    <w:shd w:val="clear" w:color="auto" w:fill="auto"/>
                    <w:vAlign w:val="center"/>
                  </w:tcPr>
                  <w:p w:rsidR="00694E6F" w:rsidRPr="00694E6F" w:rsidRDefault="00694E6F" w:rsidP="00C84467">
                    <w:pPr>
                      <w:jc w:val="right"/>
                      <w:rPr>
                        <w:sz w:val="13"/>
                        <w:szCs w:val="13"/>
                      </w:rPr>
                    </w:pPr>
                    <w:r w:rsidRPr="00694E6F">
                      <w:rPr>
                        <w:sz w:val="13"/>
                        <w:szCs w:val="13"/>
                      </w:rPr>
                      <w:t>0</w:t>
                    </w:r>
                  </w:p>
                </w:tc>
                <w:tc>
                  <w:tcPr>
                    <w:tcW w:w="371" w:type="pct"/>
                    <w:tcBorders>
                      <w:top w:val="single" w:sz="4" w:space="0" w:color="auto"/>
                      <w:left w:val="single" w:sz="4" w:space="0" w:color="auto"/>
                      <w:bottom w:val="single" w:sz="4" w:space="0" w:color="auto"/>
                      <w:right w:val="single" w:sz="4" w:space="0" w:color="auto"/>
                    </w:tcBorders>
                    <w:shd w:val="clear" w:color="auto" w:fill="auto"/>
                    <w:vAlign w:val="center"/>
                  </w:tcPr>
                  <w:p w:rsidR="00694E6F" w:rsidRPr="00694E6F" w:rsidRDefault="00694E6F" w:rsidP="00C84467">
                    <w:pPr>
                      <w:jc w:val="right"/>
                      <w:rPr>
                        <w:sz w:val="13"/>
                        <w:szCs w:val="13"/>
                      </w:rPr>
                    </w:pPr>
                    <w:r w:rsidRPr="00694E6F">
                      <w:rPr>
                        <w:sz w:val="13"/>
                        <w:szCs w:val="13"/>
                      </w:rPr>
                      <w:t>0</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tcPr>
                  <w:p w:rsidR="00694E6F" w:rsidRPr="00694E6F" w:rsidRDefault="00694E6F" w:rsidP="00C84467">
                    <w:pPr>
                      <w:jc w:val="right"/>
                      <w:rPr>
                        <w:sz w:val="13"/>
                        <w:szCs w:val="13"/>
                      </w:rPr>
                    </w:pPr>
                    <w:r w:rsidRPr="00694E6F">
                      <w:rPr>
                        <w:sz w:val="13"/>
                        <w:szCs w:val="13"/>
                      </w:rPr>
                      <w:t>2,680,015,510</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rsidR="00694E6F" w:rsidRPr="00694E6F" w:rsidRDefault="00694E6F" w:rsidP="00C84467">
                    <w:pPr>
                      <w:jc w:val="right"/>
                      <w:rPr>
                        <w:sz w:val="13"/>
                        <w:szCs w:val="13"/>
                      </w:rPr>
                    </w:pPr>
                    <w:r w:rsidRPr="00694E6F">
                      <w:rPr>
                        <w:sz w:val="13"/>
                        <w:szCs w:val="13"/>
                      </w:rPr>
                      <w:t>0</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rsidR="00694E6F" w:rsidRPr="00694E6F" w:rsidRDefault="00694E6F" w:rsidP="00C84467">
                    <w:pPr>
                      <w:jc w:val="right"/>
                      <w:rPr>
                        <w:sz w:val="13"/>
                        <w:szCs w:val="13"/>
                      </w:rPr>
                    </w:pPr>
                    <w:r w:rsidRPr="00694E6F">
                      <w:rPr>
                        <w:sz w:val="13"/>
                        <w:szCs w:val="13"/>
                      </w:rPr>
                      <w:t>0</w:t>
                    </w:r>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tcPr>
                  <w:p w:rsidR="00694E6F" w:rsidRPr="00694E6F" w:rsidRDefault="00694E6F" w:rsidP="00C84467">
                    <w:pPr>
                      <w:jc w:val="right"/>
                      <w:rPr>
                        <w:sz w:val="13"/>
                        <w:szCs w:val="13"/>
                      </w:rPr>
                    </w:pPr>
                    <w:r w:rsidRPr="00694E6F">
                      <w:rPr>
                        <w:sz w:val="13"/>
                        <w:szCs w:val="13"/>
                      </w:rPr>
                      <w:t>5,278,613,854</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694E6F" w:rsidRPr="00694E6F" w:rsidRDefault="00694E6F" w:rsidP="00C84467">
                    <w:pPr>
                      <w:jc w:val="right"/>
                      <w:rPr>
                        <w:sz w:val="13"/>
                        <w:szCs w:val="13"/>
                      </w:rPr>
                    </w:pPr>
                    <w:r w:rsidRPr="00694E6F">
                      <w:rPr>
                        <w:sz w:val="13"/>
                        <w:szCs w:val="13"/>
                      </w:rPr>
                      <w:t>0</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694E6F" w:rsidRPr="00694E6F" w:rsidRDefault="00694E6F" w:rsidP="00C84467">
                    <w:pPr>
                      <w:jc w:val="right"/>
                      <w:rPr>
                        <w:sz w:val="13"/>
                        <w:szCs w:val="13"/>
                      </w:rPr>
                    </w:pPr>
                    <w:r w:rsidRPr="00694E6F">
                      <w:rPr>
                        <w:sz w:val="13"/>
                        <w:szCs w:val="13"/>
                      </w:rPr>
                      <w:t>0</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rsidR="00694E6F" w:rsidRPr="00694E6F" w:rsidRDefault="00694E6F" w:rsidP="00C84467">
                    <w:pPr>
                      <w:jc w:val="right"/>
                      <w:rPr>
                        <w:sz w:val="13"/>
                        <w:szCs w:val="13"/>
                      </w:rPr>
                    </w:pPr>
                    <w:r w:rsidRPr="00694E6F">
                      <w:rPr>
                        <w:sz w:val="13"/>
                        <w:szCs w:val="13"/>
                      </w:rPr>
                      <w:t>18,722,988,786</w:t>
                    </w:r>
                  </w:p>
                </w:tc>
                <w:tc>
                  <w:tcPr>
                    <w:tcW w:w="406" w:type="pct"/>
                    <w:tcBorders>
                      <w:top w:val="single" w:sz="4" w:space="0" w:color="auto"/>
                      <w:left w:val="single" w:sz="4" w:space="0" w:color="auto"/>
                      <w:bottom w:val="single" w:sz="4" w:space="0" w:color="auto"/>
                      <w:right w:val="single" w:sz="4" w:space="0" w:color="auto"/>
                    </w:tcBorders>
                    <w:shd w:val="clear" w:color="auto" w:fill="auto"/>
                    <w:vAlign w:val="center"/>
                  </w:tcPr>
                  <w:p w:rsidR="00694E6F" w:rsidRPr="00694E6F" w:rsidRDefault="00694E6F" w:rsidP="00C84467">
                    <w:pPr>
                      <w:jc w:val="right"/>
                      <w:rPr>
                        <w:sz w:val="13"/>
                        <w:szCs w:val="13"/>
                      </w:rPr>
                    </w:pPr>
                    <w:r w:rsidRPr="00694E6F">
                      <w:rPr>
                        <w:sz w:val="13"/>
                        <w:szCs w:val="13"/>
                      </w:rPr>
                      <w:t>0</w:t>
                    </w:r>
                  </w:p>
                </w:tc>
              </w:tr>
            </w:sdtContent>
          </w:sdt>
          <w:tr w:rsidR="00694E6F" w:rsidTr="00C84467">
            <w:sdt>
              <w:sdtPr>
                <w:rPr>
                  <w:sz w:val="13"/>
                  <w:szCs w:val="13"/>
                </w:rPr>
                <w:tag w:val="_PLD_f8383730084541adb8db21cc185c3f8a"/>
                <w:id w:val="-1926948386"/>
                <w:lock w:val="sdtLocked"/>
              </w:sdtPr>
              <w:sdtContent>
                <w:tc>
                  <w:tcPr>
                    <w:tcW w:w="542" w:type="pct"/>
                    <w:tcBorders>
                      <w:top w:val="single" w:sz="4" w:space="0" w:color="auto"/>
                      <w:left w:val="single" w:sz="4" w:space="0" w:color="auto"/>
                      <w:bottom w:val="single" w:sz="4" w:space="0" w:color="auto"/>
                      <w:right w:val="single" w:sz="4" w:space="0" w:color="auto"/>
                    </w:tcBorders>
                    <w:shd w:val="clear" w:color="auto" w:fill="auto"/>
                  </w:tcPr>
                  <w:p w:rsidR="00694E6F" w:rsidRPr="00694E6F" w:rsidRDefault="00694E6F" w:rsidP="00694E6F">
                    <w:pPr>
                      <w:jc w:val="both"/>
                      <w:rPr>
                        <w:sz w:val="13"/>
                        <w:szCs w:val="13"/>
                      </w:rPr>
                    </w:pPr>
                    <w:r w:rsidRPr="00694E6F">
                      <w:rPr>
                        <w:rFonts w:hint="eastAsia"/>
                        <w:sz w:val="13"/>
                        <w:szCs w:val="13"/>
                      </w:rPr>
                      <w:t>小计</w:t>
                    </w:r>
                  </w:p>
                </w:tc>
              </w:sdtContent>
            </w:sdt>
            <w:tc>
              <w:tcPr>
                <w:tcW w:w="453" w:type="pct"/>
                <w:tcBorders>
                  <w:top w:val="single" w:sz="4" w:space="0" w:color="auto"/>
                  <w:left w:val="single" w:sz="4" w:space="0" w:color="auto"/>
                  <w:bottom w:val="single" w:sz="4" w:space="0" w:color="auto"/>
                  <w:right w:val="single" w:sz="4" w:space="0" w:color="auto"/>
                </w:tcBorders>
                <w:shd w:val="clear" w:color="auto" w:fill="auto"/>
              </w:tcPr>
              <w:p w:rsidR="00694E6F" w:rsidRPr="00694E6F" w:rsidRDefault="00694E6F" w:rsidP="00694E6F">
                <w:pPr>
                  <w:jc w:val="right"/>
                  <w:rPr>
                    <w:sz w:val="13"/>
                    <w:szCs w:val="13"/>
                  </w:rPr>
                </w:pPr>
                <w:r w:rsidRPr="00694E6F">
                  <w:rPr>
                    <w:sz w:val="13"/>
                    <w:szCs w:val="13"/>
                  </w:rPr>
                  <w:t>26,470,519,303</w:t>
                </w:r>
              </w:p>
            </w:tc>
            <w:tc>
              <w:tcPr>
                <w:tcW w:w="302" w:type="pct"/>
                <w:tcBorders>
                  <w:top w:val="single" w:sz="4" w:space="0" w:color="auto"/>
                  <w:left w:val="single" w:sz="4" w:space="0" w:color="auto"/>
                  <w:bottom w:val="single" w:sz="4" w:space="0" w:color="auto"/>
                  <w:right w:val="single" w:sz="4" w:space="0" w:color="auto"/>
                </w:tcBorders>
                <w:shd w:val="clear" w:color="auto" w:fill="auto"/>
                <w:vAlign w:val="center"/>
              </w:tcPr>
              <w:p w:rsidR="00694E6F" w:rsidRPr="00694E6F" w:rsidRDefault="00694E6F" w:rsidP="00C84467">
                <w:pPr>
                  <w:jc w:val="right"/>
                  <w:rPr>
                    <w:sz w:val="13"/>
                    <w:szCs w:val="13"/>
                  </w:rPr>
                </w:pPr>
                <w:r w:rsidRPr="00694E6F">
                  <w:rPr>
                    <w:sz w:val="13"/>
                    <w:szCs w:val="13"/>
                  </w:rPr>
                  <w:t>0</w:t>
                </w:r>
              </w:p>
            </w:tc>
            <w:tc>
              <w:tcPr>
                <w:tcW w:w="371" w:type="pct"/>
                <w:tcBorders>
                  <w:top w:val="single" w:sz="4" w:space="0" w:color="auto"/>
                  <w:left w:val="single" w:sz="4" w:space="0" w:color="auto"/>
                  <w:bottom w:val="single" w:sz="4" w:space="0" w:color="auto"/>
                  <w:right w:val="single" w:sz="4" w:space="0" w:color="auto"/>
                </w:tcBorders>
                <w:shd w:val="clear" w:color="auto" w:fill="auto"/>
                <w:vAlign w:val="center"/>
              </w:tcPr>
              <w:p w:rsidR="00694E6F" w:rsidRPr="00694E6F" w:rsidRDefault="00694E6F" w:rsidP="00C84467">
                <w:pPr>
                  <w:jc w:val="right"/>
                  <w:rPr>
                    <w:sz w:val="13"/>
                    <w:szCs w:val="13"/>
                  </w:rPr>
                </w:pPr>
                <w:r w:rsidRPr="00694E6F">
                  <w:rPr>
                    <w:sz w:val="13"/>
                    <w:szCs w:val="13"/>
                  </w:rPr>
                  <w:t>0</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tcPr>
              <w:p w:rsidR="00694E6F" w:rsidRPr="00694E6F" w:rsidRDefault="00694E6F" w:rsidP="00C84467">
                <w:pPr>
                  <w:jc w:val="right"/>
                  <w:rPr>
                    <w:sz w:val="13"/>
                    <w:szCs w:val="13"/>
                  </w:rPr>
                </w:pPr>
                <w:r w:rsidRPr="00694E6F">
                  <w:rPr>
                    <w:sz w:val="13"/>
                    <w:szCs w:val="13"/>
                  </w:rPr>
                  <w:t>2,705,359,078</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rsidR="00694E6F" w:rsidRPr="00694E6F" w:rsidRDefault="00694E6F" w:rsidP="00C84467">
                <w:pPr>
                  <w:jc w:val="right"/>
                  <w:rPr>
                    <w:sz w:val="13"/>
                    <w:szCs w:val="13"/>
                  </w:rPr>
                </w:pPr>
                <w:r w:rsidRPr="00694E6F">
                  <w:rPr>
                    <w:sz w:val="13"/>
                    <w:szCs w:val="13"/>
                  </w:rPr>
                  <w:t>0</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rsidR="00694E6F" w:rsidRPr="00694E6F" w:rsidRDefault="00694E6F" w:rsidP="00C84467">
                <w:pPr>
                  <w:jc w:val="right"/>
                  <w:rPr>
                    <w:sz w:val="13"/>
                    <w:szCs w:val="13"/>
                  </w:rPr>
                </w:pPr>
                <w:r w:rsidRPr="00694E6F">
                  <w:rPr>
                    <w:sz w:val="13"/>
                    <w:szCs w:val="13"/>
                  </w:rPr>
                  <w:t>3,488,455</w:t>
                </w:r>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tcPr>
              <w:p w:rsidR="00694E6F" w:rsidRPr="00694E6F" w:rsidRDefault="00694E6F" w:rsidP="00C84467">
                <w:pPr>
                  <w:jc w:val="right"/>
                  <w:rPr>
                    <w:sz w:val="13"/>
                    <w:szCs w:val="13"/>
                  </w:rPr>
                </w:pPr>
                <w:r w:rsidRPr="00694E6F">
                  <w:rPr>
                    <w:sz w:val="13"/>
                    <w:szCs w:val="13"/>
                  </w:rPr>
                  <w:t>5,278,613,854</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694E6F" w:rsidRPr="00694E6F" w:rsidRDefault="00694E6F" w:rsidP="00C84467">
                <w:pPr>
                  <w:jc w:val="right"/>
                  <w:rPr>
                    <w:sz w:val="13"/>
                    <w:szCs w:val="13"/>
                  </w:rPr>
                </w:pPr>
                <w:r w:rsidRPr="00694E6F">
                  <w:rPr>
                    <w:sz w:val="13"/>
                    <w:szCs w:val="13"/>
                  </w:rPr>
                  <w:t>0</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694E6F" w:rsidRPr="00694E6F" w:rsidRDefault="00694E6F" w:rsidP="00C84467">
                <w:pPr>
                  <w:jc w:val="right"/>
                  <w:rPr>
                    <w:sz w:val="13"/>
                    <w:szCs w:val="13"/>
                  </w:rPr>
                </w:pPr>
                <w:r w:rsidRPr="00694E6F">
                  <w:rPr>
                    <w:sz w:val="13"/>
                    <w:szCs w:val="13"/>
                  </w:rPr>
                  <w:t>0</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rsidR="00694E6F" w:rsidRPr="00694E6F" w:rsidRDefault="00694E6F" w:rsidP="00C84467">
                <w:pPr>
                  <w:jc w:val="right"/>
                  <w:rPr>
                    <w:sz w:val="13"/>
                    <w:szCs w:val="13"/>
                  </w:rPr>
                </w:pPr>
                <w:r w:rsidRPr="00694E6F">
                  <w:rPr>
                    <w:sz w:val="13"/>
                    <w:szCs w:val="13"/>
                  </w:rPr>
                  <w:t>23,900,752,982</w:t>
                </w:r>
              </w:p>
            </w:tc>
            <w:tc>
              <w:tcPr>
                <w:tcW w:w="406" w:type="pct"/>
                <w:tcBorders>
                  <w:top w:val="single" w:sz="4" w:space="0" w:color="auto"/>
                  <w:left w:val="single" w:sz="4" w:space="0" w:color="auto"/>
                  <w:bottom w:val="single" w:sz="4" w:space="0" w:color="auto"/>
                  <w:right w:val="single" w:sz="4" w:space="0" w:color="auto"/>
                </w:tcBorders>
                <w:shd w:val="clear" w:color="auto" w:fill="auto"/>
                <w:vAlign w:val="center"/>
              </w:tcPr>
              <w:p w:rsidR="00694E6F" w:rsidRPr="00694E6F" w:rsidRDefault="00694E6F" w:rsidP="00C84467">
                <w:pPr>
                  <w:jc w:val="right"/>
                  <w:rPr>
                    <w:sz w:val="13"/>
                    <w:szCs w:val="13"/>
                  </w:rPr>
                </w:pPr>
                <w:r w:rsidRPr="00694E6F">
                  <w:rPr>
                    <w:sz w:val="13"/>
                    <w:szCs w:val="13"/>
                  </w:rPr>
                  <w:t>0</w:t>
                </w:r>
              </w:p>
            </w:tc>
          </w:tr>
          <w:tr w:rsidR="00694E6F" w:rsidTr="00C84467">
            <w:sdt>
              <w:sdtPr>
                <w:rPr>
                  <w:sz w:val="13"/>
                  <w:szCs w:val="13"/>
                </w:rPr>
                <w:tag w:val="_PLD_4b0583c56526447a8a37f554e73cdf58"/>
                <w:id w:val="-1268224997"/>
                <w:lock w:val="sdtLocked"/>
              </w:sdtPr>
              <w:sdtContent>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rsidR="00694E6F" w:rsidRPr="00694E6F" w:rsidRDefault="00694E6F" w:rsidP="00694E6F">
                    <w:pPr>
                      <w:jc w:val="center"/>
                      <w:rPr>
                        <w:sz w:val="13"/>
                        <w:szCs w:val="13"/>
                      </w:rPr>
                    </w:pPr>
                    <w:r w:rsidRPr="00694E6F">
                      <w:rPr>
                        <w:rFonts w:hint="eastAsia"/>
                        <w:sz w:val="13"/>
                        <w:szCs w:val="13"/>
                      </w:rPr>
                      <w:t>合计</w:t>
                    </w:r>
                  </w:p>
                </w:tc>
              </w:sdtContent>
            </w:sdt>
            <w:tc>
              <w:tcPr>
                <w:tcW w:w="453" w:type="pct"/>
                <w:tcBorders>
                  <w:top w:val="single" w:sz="4" w:space="0" w:color="auto"/>
                  <w:left w:val="single" w:sz="4" w:space="0" w:color="auto"/>
                  <w:bottom w:val="single" w:sz="4" w:space="0" w:color="auto"/>
                  <w:right w:val="single" w:sz="4" w:space="0" w:color="auto"/>
                </w:tcBorders>
                <w:shd w:val="clear" w:color="auto" w:fill="auto"/>
              </w:tcPr>
              <w:p w:rsidR="00694E6F" w:rsidRPr="00694E6F" w:rsidRDefault="00694E6F" w:rsidP="00694E6F">
                <w:pPr>
                  <w:jc w:val="right"/>
                  <w:rPr>
                    <w:sz w:val="13"/>
                    <w:szCs w:val="13"/>
                  </w:rPr>
                </w:pPr>
                <w:r w:rsidRPr="00694E6F">
                  <w:rPr>
                    <w:sz w:val="13"/>
                    <w:szCs w:val="13"/>
                  </w:rPr>
                  <w:t>26,470,519,303</w:t>
                </w:r>
              </w:p>
            </w:tc>
            <w:tc>
              <w:tcPr>
                <w:tcW w:w="302" w:type="pct"/>
                <w:tcBorders>
                  <w:top w:val="single" w:sz="4" w:space="0" w:color="auto"/>
                  <w:left w:val="single" w:sz="4" w:space="0" w:color="auto"/>
                  <w:bottom w:val="single" w:sz="4" w:space="0" w:color="auto"/>
                  <w:right w:val="single" w:sz="4" w:space="0" w:color="auto"/>
                </w:tcBorders>
                <w:shd w:val="clear" w:color="auto" w:fill="auto"/>
                <w:vAlign w:val="center"/>
              </w:tcPr>
              <w:p w:rsidR="00694E6F" w:rsidRPr="00694E6F" w:rsidRDefault="00694E6F" w:rsidP="00694E6F">
                <w:pPr>
                  <w:jc w:val="right"/>
                  <w:rPr>
                    <w:sz w:val="13"/>
                    <w:szCs w:val="13"/>
                  </w:rPr>
                </w:pPr>
                <w:r w:rsidRPr="00694E6F">
                  <w:rPr>
                    <w:sz w:val="13"/>
                    <w:szCs w:val="13"/>
                  </w:rPr>
                  <w:t>0</w:t>
                </w:r>
              </w:p>
            </w:tc>
            <w:tc>
              <w:tcPr>
                <w:tcW w:w="371" w:type="pct"/>
                <w:tcBorders>
                  <w:top w:val="single" w:sz="4" w:space="0" w:color="auto"/>
                  <w:left w:val="single" w:sz="4" w:space="0" w:color="auto"/>
                  <w:bottom w:val="single" w:sz="4" w:space="0" w:color="auto"/>
                  <w:right w:val="single" w:sz="4" w:space="0" w:color="auto"/>
                </w:tcBorders>
                <w:shd w:val="clear" w:color="auto" w:fill="auto"/>
                <w:vAlign w:val="center"/>
              </w:tcPr>
              <w:p w:rsidR="00694E6F" w:rsidRPr="00694E6F" w:rsidRDefault="00694E6F" w:rsidP="00694E6F">
                <w:pPr>
                  <w:jc w:val="right"/>
                  <w:rPr>
                    <w:sz w:val="13"/>
                    <w:szCs w:val="13"/>
                  </w:rPr>
                </w:pPr>
                <w:r w:rsidRPr="00694E6F">
                  <w:rPr>
                    <w:sz w:val="13"/>
                    <w:szCs w:val="13"/>
                  </w:rPr>
                  <w:t>0</w:t>
                </w: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694E6F" w:rsidRPr="00694E6F" w:rsidRDefault="00694E6F" w:rsidP="00694E6F">
                <w:pPr>
                  <w:jc w:val="right"/>
                  <w:rPr>
                    <w:sz w:val="13"/>
                    <w:szCs w:val="13"/>
                  </w:rPr>
                </w:pPr>
                <w:r w:rsidRPr="00694E6F">
                  <w:rPr>
                    <w:sz w:val="13"/>
                    <w:szCs w:val="13"/>
                  </w:rPr>
                  <w:t>2,705,359,078</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rsidR="00694E6F" w:rsidRPr="00694E6F" w:rsidRDefault="00694E6F" w:rsidP="00694E6F">
                <w:pPr>
                  <w:jc w:val="right"/>
                  <w:rPr>
                    <w:sz w:val="13"/>
                    <w:szCs w:val="13"/>
                  </w:rPr>
                </w:pPr>
                <w:r w:rsidRPr="00694E6F">
                  <w:rPr>
                    <w:sz w:val="13"/>
                    <w:szCs w:val="13"/>
                  </w:rPr>
                  <w:t>0</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694E6F" w:rsidRPr="00694E6F" w:rsidRDefault="00694E6F" w:rsidP="00694E6F">
                <w:pPr>
                  <w:jc w:val="right"/>
                  <w:rPr>
                    <w:sz w:val="13"/>
                    <w:szCs w:val="13"/>
                  </w:rPr>
                </w:pPr>
                <w:r w:rsidRPr="00694E6F">
                  <w:rPr>
                    <w:sz w:val="13"/>
                    <w:szCs w:val="13"/>
                  </w:rPr>
                  <w:t>3,488,455</w:t>
                </w:r>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tcPr>
              <w:p w:rsidR="00694E6F" w:rsidRPr="00694E6F" w:rsidRDefault="00694E6F" w:rsidP="00694E6F">
                <w:pPr>
                  <w:jc w:val="right"/>
                  <w:rPr>
                    <w:sz w:val="13"/>
                    <w:szCs w:val="13"/>
                  </w:rPr>
                </w:pPr>
                <w:r w:rsidRPr="00694E6F">
                  <w:rPr>
                    <w:sz w:val="13"/>
                    <w:szCs w:val="13"/>
                  </w:rPr>
                  <w:t>5,278,613,854</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694E6F" w:rsidRPr="00694E6F" w:rsidRDefault="00694E6F" w:rsidP="00694E6F">
                <w:pPr>
                  <w:jc w:val="right"/>
                  <w:rPr>
                    <w:sz w:val="13"/>
                    <w:szCs w:val="13"/>
                  </w:rPr>
                </w:pPr>
                <w:r w:rsidRPr="00694E6F">
                  <w:rPr>
                    <w:sz w:val="13"/>
                    <w:szCs w:val="13"/>
                  </w:rPr>
                  <w:t>0</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694E6F" w:rsidRPr="00694E6F" w:rsidRDefault="00694E6F" w:rsidP="00C84467">
                <w:pPr>
                  <w:jc w:val="right"/>
                  <w:rPr>
                    <w:sz w:val="13"/>
                    <w:szCs w:val="13"/>
                  </w:rPr>
                </w:pPr>
                <w:r w:rsidRPr="00694E6F">
                  <w:rPr>
                    <w:sz w:val="13"/>
                    <w:szCs w:val="13"/>
                  </w:rPr>
                  <w:t>0</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rsidR="00694E6F" w:rsidRPr="00694E6F" w:rsidRDefault="00694E6F" w:rsidP="00C84467">
                <w:pPr>
                  <w:jc w:val="right"/>
                  <w:rPr>
                    <w:sz w:val="13"/>
                    <w:szCs w:val="13"/>
                  </w:rPr>
                </w:pPr>
                <w:r w:rsidRPr="00694E6F">
                  <w:rPr>
                    <w:sz w:val="13"/>
                    <w:szCs w:val="13"/>
                  </w:rPr>
                  <w:t>23,900,752,982</w:t>
                </w:r>
              </w:p>
            </w:tc>
            <w:tc>
              <w:tcPr>
                <w:tcW w:w="406" w:type="pct"/>
                <w:tcBorders>
                  <w:top w:val="single" w:sz="4" w:space="0" w:color="auto"/>
                  <w:left w:val="single" w:sz="4" w:space="0" w:color="auto"/>
                  <w:bottom w:val="single" w:sz="4" w:space="0" w:color="auto"/>
                  <w:right w:val="single" w:sz="4" w:space="0" w:color="auto"/>
                </w:tcBorders>
                <w:shd w:val="clear" w:color="auto" w:fill="auto"/>
                <w:vAlign w:val="center"/>
              </w:tcPr>
              <w:p w:rsidR="00694E6F" w:rsidRPr="00694E6F" w:rsidRDefault="00694E6F" w:rsidP="00C84467">
                <w:pPr>
                  <w:jc w:val="right"/>
                  <w:rPr>
                    <w:sz w:val="13"/>
                    <w:szCs w:val="13"/>
                  </w:rPr>
                </w:pPr>
                <w:r w:rsidRPr="00694E6F">
                  <w:rPr>
                    <w:sz w:val="13"/>
                    <w:szCs w:val="13"/>
                  </w:rPr>
                  <w:t>0</w:t>
                </w:r>
              </w:p>
            </w:tc>
          </w:tr>
        </w:tbl>
        <w:p w:rsidR="00806678" w:rsidRDefault="00F80B6C">
          <w:pPr>
            <w:rPr>
              <w:szCs w:val="21"/>
            </w:rPr>
          </w:pPr>
        </w:p>
      </w:sdtContent>
    </w:sdt>
    <w:sdt>
      <w:sdtPr>
        <w:rPr>
          <w:rFonts w:hint="eastAsia"/>
          <w:szCs w:val="21"/>
        </w:rPr>
        <w:alias w:val="模块:长期股权投资的说明"/>
        <w:tag w:val="_SEC_fd3a826cdca04967a4205d04f587b774"/>
        <w:id w:val="-474909351"/>
        <w:lock w:val="sdtLocked"/>
        <w:placeholder>
          <w:docPart w:val="GBC22222222222222222222222222222"/>
        </w:placeholder>
      </w:sdtPr>
      <w:sdtContent>
        <w:p w:rsidR="00806678" w:rsidRDefault="00B16377">
          <w:pPr>
            <w:rPr>
              <w:szCs w:val="21"/>
            </w:rPr>
          </w:pPr>
          <w:r>
            <w:rPr>
              <w:rFonts w:hint="eastAsia"/>
              <w:szCs w:val="21"/>
            </w:rPr>
            <w:t>其他说明：</w:t>
          </w:r>
        </w:p>
        <w:sdt>
          <w:sdtPr>
            <w:rPr>
              <w:rFonts w:hint="eastAsia"/>
              <w:szCs w:val="21"/>
            </w:rPr>
            <w:alias w:val="长期股权投资的说明"/>
            <w:tag w:val="_GBC_938f2ac679ca480c83553ff73f8b80b6"/>
            <w:id w:val="936018598"/>
            <w:lock w:val="sdtLocked"/>
            <w:placeholder>
              <w:docPart w:val="GBC22222222222222222222222222222"/>
            </w:placeholder>
          </w:sdtPr>
          <w:sdtContent>
            <w:p w:rsidR="00806678" w:rsidRDefault="00694E6F">
              <w:pPr>
                <w:rPr>
                  <w:szCs w:val="21"/>
                </w:rPr>
              </w:pPr>
              <w:r>
                <w:rPr>
                  <w:rFonts w:hint="eastAsia"/>
                  <w:szCs w:val="21"/>
                </w:rPr>
                <w:t>无</w:t>
              </w:r>
            </w:p>
          </w:sdtContent>
        </w:sdt>
      </w:sdtContent>
    </w:sdt>
    <w:p w:rsidR="00694E6F" w:rsidRDefault="00694E6F">
      <w:pPr>
        <w:rPr>
          <w:szCs w:val="21"/>
        </w:rPr>
        <w:sectPr w:rsidR="00694E6F" w:rsidSect="00694E6F">
          <w:pgSz w:w="16838" w:h="11906" w:orient="landscape"/>
          <w:pgMar w:top="1276" w:right="1440" w:bottom="1797" w:left="1525" w:header="856" w:footer="992" w:gutter="0"/>
          <w:cols w:space="425"/>
          <w:docGrid w:linePitch="312"/>
        </w:sectPr>
      </w:pPr>
    </w:p>
    <w:p w:rsidR="00806678" w:rsidRDefault="00806678">
      <w:pPr>
        <w:rPr>
          <w:szCs w:val="21"/>
        </w:rPr>
      </w:pPr>
    </w:p>
    <w:sdt>
      <w:sdtPr>
        <w:rPr>
          <w:rFonts w:ascii="宋体" w:hAnsi="宋体" w:cs="宋体" w:hint="eastAsia"/>
          <w:b w:val="0"/>
          <w:bCs w:val="0"/>
          <w:kern w:val="0"/>
          <w:szCs w:val="24"/>
        </w:rPr>
        <w:alias w:val="模块:营业收入"/>
        <w:tag w:val="_SEC_167f1b451fcb4d4d88898ec4d506ea2d"/>
        <w:id w:val="2128430583"/>
        <w:lock w:val="sdtLocked"/>
        <w:placeholder>
          <w:docPart w:val="GBC22222222222222222222222222222"/>
        </w:placeholder>
      </w:sdtPr>
      <w:sdtEndPr>
        <w:rPr>
          <w:rFonts w:hint="default"/>
        </w:rPr>
      </w:sdtEndPr>
      <w:sdtContent>
        <w:p w:rsidR="00806678" w:rsidRDefault="00B16377" w:rsidP="00FF17C7">
          <w:pPr>
            <w:pStyle w:val="3"/>
            <w:numPr>
              <w:ilvl w:val="0"/>
              <w:numId w:val="59"/>
            </w:numPr>
          </w:pPr>
          <w:r>
            <w:rPr>
              <w:rFonts w:hint="eastAsia"/>
            </w:rPr>
            <w:t>营业收入和营业成本</w:t>
          </w:r>
        </w:p>
        <w:p w:rsidR="00806678" w:rsidRDefault="00B16377" w:rsidP="00FF17C7">
          <w:pPr>
            <w:pStyle w:val="4"/>
            <w:numPr>
              <w:ilvl w:val="0"/>
              <w:numId w:val="122"/>
            </w:numPr>
          </w:pPr>
          <w:r>
            <w:rPr>
              <w:rFonts w:hint="eastAsia"/>
            </w:rPr>
            <w:t>营业收入和营业成本情况</w:t>
          </w:r>
        </w:p>
        <w:sdt>
          <w:sdtPr>
            <w:rPr>
              <w:rFonts w:ascii="宋体" w:hAnsi="宋体" w:hint="eastAsia"/>
              <w:bCs/>
              <w:szCs w:val="21"/>
            </w:rPr>
            <w:alias w:val="是否适用：母公司营业收入和营业成本[双击切换]"/>
            <w:tag w:val="_GBC_3cf10265cb614c79a538bd06daf8da74"/>
            <w:id w:val="1292553111"/>
            <w:lock w:val="sdtLocked"/>
            <w:placeholder>
              <w:docPart w:val="GBC22222222222222222222222222222"/>
            </w:placeholder>
          </w:sdtPr>
          <w:sdtContent>
            <w:p w:rsidR="00806678" w:rsidRDefault="00F80B6C">
              <w:pPr>
                <w:pStyle w:val="a9"/>
                <w:ind w:firstLineChars="0" w:firstLine="0"/>
                <w:jc w:val="left"/>
                <w:rPr>
                  <w:rFonts w:ascii="宋体" w:hAnsi="宋体"/>
                  <w:bCs/>
                  <w:szCs w:val="21"/>
                </w:rPr>
              </w:pPr>
              <w:r>
                <w:rPr>
                  <w:rFonts w:ascii="宋体" w:hAnsi="宋体"/>
                  <w:bCs/>
                  <w:szCs w:val="21"/>
                </w:rPr>
                <w:fldChar w:fldCharType="begin"/>
              </w:r>
              <w:r w:rsidR="00694E6F">
                <w:rPr>
                  <w:rFonts w:ascii="宋体" w:hAnsi="宋体"/>
                  <w:bCs/>
                  <w:szCs w:val="21"/>
                </w:rPr>
                <w:instrText xml:space="preserve"> MACROBUTTON  SnrToggleCheckbox √适用  </w:instrText>
              </w:r>
              <w:r>
                <w:rPr>
                  <w:rFonts w:ascii="宋体" w:hAnsi="宋体"/>
                  <w:bCs/>
                  <w:szCs w:val="21"/>
                </w:rPr>
                <w:fldChar w:fldCharType="end"/>
              </w:r>
              <w:r>
                <w:rPr>
                  <w:rFonts w:ascii="宋体" w:hAnsi="宋体"/>
                  <w:bCs/>
                  <w:szCs w:val="21"/>
                </w:rPr>
                <w:fldChar w:fldCharType="begin"/>
              </w:r>
              <w:r w:rsidR="00694E6F">
                <w:rPr>
                  <w:rFonts w:ascii="宋体" w:hAnsi="宋体"/>
                  <w:bCs/>
                  <w:szCs w:val="21"/>
                </w:rPr>
                <w:instrText xml:space="preserve"> MACROBUTTON  SnrToggleCheckbox □不适用 </w:instrText>
              </w:r>
              <w:r>
                <w:rPr>
                  <w:rFonts w:ascii="宋体" w:hAnsi="宋体"/>
                  <w:bCs/>
                  <w:szCs w:val="21"/>
                </w:rPr>
                <w:fldChar w:fldCharType="end"/>
              </w:r>
            </w:p>
          </w:sdtContent>
        </w:sdt>
        <w:p w:rsidR="00806678" w:rsidRDefault="00B16377">
          <w:pPr>
            <w:pStyle w:val="a9"/>
            <w:ind w:firstLineChars="0" w:firstLine="0"/>
            <w:jc w:val="right"/>
            <w:rPr>
              <w:rFonts w:ascii="宋体" w:hAnsi="宋体"/>
              <w:kern w:val="0"/>
              <w:szCs w:val="21"/>
            </w:rPr>
          </w:pPr>
          <w:r>
            <w:rPr>
              <w:rFonts w:ascii="宋体" w:hAnsi="宋体" w:hint="eastAsia"/>
              <w:bCs/>
              <w:szCs w:val="21"/>
            </w:rPr>
            <w:t>单位：</w:t>
          </w:r>
          <w:sdt>
            <w:sdtPr>
              <w:rPr>
                <w:rFonts w:ascii="宋体" w:hAnsi="宋体" w:hint="eastAsia"/>
                <w:bCs/>
                <w:szCs w:val="21"/>
              </w:rPr>
              <w:alias w:val="单位：母公司财务附注：营业收入"/>
              <w:tag w:val="_GBC_5e6e6011a00b4111b618be40fba11dc1"/>
              <w:id w:val="190085413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hint="eastAsia"/>
                  <w:bCs/>
                  <w:szCs w:val="21"/>
                </w:rPr>
                <w:t>元</w:t>
              </w:r>
            </w:sdtContent>
          </w:sdt>
          <w:r>
            <w:rPr>
              <w:rFonts w:ascii="宋体" w:hAnsi="宋体" w:hint="eastAsia"/>
              <w:bCs/>
              <w:szCs w:val="21"/>
            </w:rPr>
            <w:t xml:space="preserve">  币种：</w:t>
          </w:r>
          <w:sdt>
            <w:sdtPr>
              <w:rPr>
                <w:rFonts w:ascii="宋体" w:hAnsi="宋体" w:hint="eastAsia"/>
                <w:bCs/>
                <w:szCs w:val="21"/>
              </w:rPr>
              <w:alias w:val="币种：母公司财务附注：营业收入"/>
              <w:tag w:val="_GBC_5940d445dfb6426f97376a89f3df08e7"/>
              <w:id w:val="-186998098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bCs/>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05"/>
            <w:gridCol w:w="1686"/>
            <w:gridCol w:w="1686"/>
            <w:gridCol w:w="1686"/>
            <w:gridCol w:w="1686"/>
          </w:tblGrid>
          <w:tr w:rsidR="00C171E8" w:rsidTr="00DB008B">
            <w:sdt>
              <w:sdtPr>
                <w:tag w:val="_PLD_03d52d676cf8435a8f7a530f92cd7617"/>
                <w:id w:val="-1384942880"/>
                <w:lock w:val="sdtLocked"/>
              </w:sdtPr>
              <w:sdtContent>
                <w:tc>
                  <w:tcPr>
                    <w:tcW w:w="1274" w:type="pct"/>
                    <w:vMerge w:val="restart"/>
                    <w:tcBorders>
                      <w:top w:val="single" w:sz="4" w:space="0" w:color="auto"/>
                      <w:left w:val="single" w:sz="4" w:space="0" w:color="auto"/>
                      <w:right w:val="single" w:sz="4" w:space="0" w:color="auto"/>
                    </w:tcBorders>
                    <w:shd w:val="clear" w:color="auto" w:fill="auto"/>
                    <w:vAlign w:val="center"/>
                  </w:tcPr>
                  <w:p w:rsidR="00C171E8" w:rsidRDefault="00C171E8" w:rsidP="00DB008B">
                    <w:pPr>
                      <w:jc w:val="center"/>
                      <w:rPr>
                        <w:szCs w:val="21"/>
                      </w:rPr>
                    </w:pPr>
                    <w:r>
                      <w:rPr>
                        <w:rFonts w:hint="eastAsia"/>
                        <w:szCs w:val="21"/>
                      </w:rPr>
                      <w:t>项目</w:t>
                    </w:r>
                  </w:p>
                </w:tc>
              </w:sdtContent>
            </w:sdt>
            <w:sdt>
              <w:sdtPr>
                <w:tag w:val="_PLD_32b5faadfe0b45d19044be5526af3c2d"/>
                <w:id w:val="1570461468"/>
                <w:lock w:val="sdtLocked"/>
              </w:sdtPr>
              <w:sdtContent>
                <w:tc>
                  <w:tcPr>
                    <w:tcW w:w="186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171E8" w:rsidRDefault="00C171E8" w:rsidP="00DB008B">
                    <w:pPr>
                      <w:jc w:val="center"/>
                      <w:rPr>
                        <w:szCs w:val="21"/>
                      </w:rPr>
                    </w:pPr>
                    <w:r>
                      <w:rPr>
                        <w:rFonts w:hint="eastAsia"/>
                        <w:szCs w:val="21"/>
                      </w:rPr>
                      <w:t>本期发生额</w:t>
                    </w:r>
                  </w:p>
                </w:tc>
              </w:sdtContent>
            </w:sdt>
            <w:sdt>
              <w:sdtPr>
                <w:tag w:val="_PLD_5e3b95dc7e564cbabd77bf88c8a43781"/>
                <w:id w:val="422005142"/>
                <w:lock w:val="sdtLocked"/>
              </w:sdtPr>
              <w:sdtContent>
                <w:tc>
                  <w:tcPr>
                    <w:tcW w:w="186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171E8" w:rsidRDefault="00C171E8" w:rsidP="00DB008B">
                    <w:pPr>
                      <w:jc w:val="center"/>
                      <w:rPr>
                        <w:szCs w:val="21"/>
                      </w:rPr>
                    </w:pPr>
                    <w:r>
                      <w:rPr>
                        <w:rFonts w:hint="eastAsia"/>
                        <w:szCs w:val="21"/>
                      </w:rPr>
                      <w:t>上期发生额</w:t>
                    </w:r>
                  </w:p>
                </w:tc>
              </w:sdtContent>
            </w:sdt>
          </w:tr>
          <w:tr w:rsidR="00C171E8" w:rsidTr="00DB008B">
            <w:tc>
              <w:tcPr>
                <w:tcW w:w="1274" w:type="pct"/>
                <w:vMerge/>
                <w:tcBorders>
                  <w:left w:val="single" w:sz="4" w:space="0" w:color="auto"/>
                  <w:bottom w:val="single" w:sz="4" w:space="0" w:color="auto"/>
                  <w:right w:val="single" w:sz="4" w:space="0" w:color="auto"/>
                </w:tcBorders>
                <w:shd w:val="clear" w:color="auto" w:fill="auto"/>
                <w:vAlign w:val="center"/>
              </w:tcPr>
              <w:p w:rsidR="00C171E8" w:rsidRDefault="00C171E8" w:rsidP="00DB008B">
                <w:pPr>
                  <w:jc w:val="center"/>
                  <w:rPr>
                    <w:szCs w:val="21"/>
                  </w:rPr>
                </w:pPr>
              </w:p>
            </w:tc>
            <w:sdt>
              <w:sdtPr>
                <w:tag w:val="_PLD_35d68e9def174e9fb111f9c26dc6e586"/>
                <w:id w:val="1511803888"/>
                <w:lock w:val="sdtLocked"/>
              </w:sdtPr>
              <w:sdtContent>
                <w:tc>
                  <w:tcPr>
                    <w:tcW w:w="932" w:type="pct"/>
                    <w:tcBorders>
                      <w:top w:val="single" w:sz="4" w:space="0" w:color="auto"/>
                      <w:left w:val="single" w:sz="4" w:space="0" w:color="auto"/>
                      <w:bottom w:val="single" w:sz="4" w:space="0" w:color="auto"/>
                      <w:right w:val="single" w:sz="4" w:space="0" w:color="auto"/>
                    </w:tcBorders>
                    <w:shd w:val="clear" w:color="auto" w:fill="auto"/>
                    <w:vAlign w:val="center"/>
                  </w:tcPr>
                  <w:p w:rsidR="00C171E8" w:rsidRDefault="00C171E8" w:rsidP="00DB008B">
                    <w:pPr>
                      <w:jc w:val="center"/>
                      <w:rPr>
                        <w:szCs w:val="21"/>
                      </w:rPr>
                    </w:pPr>
                    <w:r>
                      <w:rPr>
                        <w:rFonts w:hint="eastAsia"/>
                        <w:szCs w:val="21"/>
                      </w:rPr>
                      <w:t>收入</w:t>
                    </w:r>
                  </w:p>
                </w:tc>
              </w:sdtContent>
            </w:sdt>
            <w:sdt>
              <w:sdtPr>
                <w:tag w:val="_PLD_bca4c40811a6455bb6f684093a6c0c7d"/>
                <w:id w:val="-2068244988"/>
                <w:lock w:val="sdtLocked"/>
              </w:sdtPr>
              <w:sdtContent>
                <w:tc>
                  <w:tcPr>
                    <w:tcW w:w="932" w:type="pct"/>
                    <w:tcBorders>
                      <w:top w:val="single" w:sz="4" w:space="0" w:color="auto"/>
                      <w:left w:val="single" w:sz="4" w:space="0" w:color="auto"/>
                      <w:bottom w:val="single" w:sz="4" w:space="0" w:color="auto"/>
                      <w:right w:val="single" w:sz="4" w:space="0" w:color="auto"/>
                    </w:tcBorders>
                    <w:shd w:val="clear" w:color="auto" w:fill="auto"/>
                    <w:vAlign w:val="center"/>
                  </w:tcPr>
                  <w:p w:rsidR="00C171E8" w:rsidRDefault="00C171E8" w:rsidP="00DB008B">
                    <w:pPr>
                      <w:jc w:val="center"/>
                      <w:rPr>
                        <w:szCs w:val="21"/>
                      </w:rPr>
                    </w:pPr>
                    <w:r>
                      <w:rPr>
                        <w:rFonts w:hint="eastAsia"/>
                        <w:szCs w:val="21"/>
                      </w:rPr>
                      <w:t>成本</w:t>
                    </w:r>
                  </w:p>
                </w:tc>
              </w:sdtContent>
            </w:sdt>
            <w:sdt>
              <w:sdtPr>
                <w:tag w:val="_PLD_913bf231029842ff9aedaf2297b238c1"/>
                <w:id w:val="-464280893"/>
                <w:lock w:val="sdtLocked"/>
              </w:sdtPr>
              <w:sdtContent>
                <w:tc>
                  <w:tcPr>
                    <w:tcW w:w="932" w:type="pct"/>
                    <w:tcBorders>
                      <w:top w:val="single" w:sz="4" w:space="0" w:color="auto"/>
                      <w:left w:val="single" w:sz="4" w:space="0" w:color="auto"/>
                      <w:bottom w:val="single" w:sz="4" w:space="0" w:color="auto"/>
                      <w:right w:val="single" w:sz="4" w:space="0" w:color="auto"/>
                    </w:tcBorders>
                    <w:shd w:val="clear" w:color="auto" w:fill="auto"/>
                    <w:vAlign w:val="center"/>
                  </w:tcPr>
                  <w:p w:rsidR="00C171E8" w:rsidRDefault="00C171E8" w:rsidP="00DB008B">
                    <w:pPr>
                      <w:jc w:val="center"/>
                      <w:rPr>
                        <w:szCs w:val="21"/>
                      </w:rPr>
                    </w:pPr>
                    <w:r>
                      <w:rPr>
                        <w:rFonts w:hint="eastAsia"/>
                        <w:szCs w:val="21"/>
                      </w:rPr>
                      <w:t>收入</w:t>
                    </w:r>
                  </w:p>
                </w:tc>
              </w:sdtContent>
            </w:sdt>
            <w:sdt>
              <w:sdtPr>
                <w:tag w:val="_PLD_f626f406150145439510a3b7f1a71e39"/>
                <w:id w:val="1755698172"/>
                <w:lock w:val="sdtLocked"/>
              </w:sdtPr>
              <w:sdtContent>
                <w:tc>
                  <w:tcPr>
                    <w:tcW w:w="932" w:type="pct"/>
                    <w:tcBorders>
                      <w:top w:val="single" w:sz="4" w:space="0" w:color="auto"/>
                      <w:left w:val="single" w:sz="4" w:space="0" w:color="auto"/>
                      <w:bottom w:val="single" w:sz="4" w:space="0" w:color="auto"/>
                      <w:right w:val="single" w:sz="4" w:space="0" w:color="auto"/>
                    </w:tcBorders>
                    <w:shd w:val="clear" w:color="auto" w:fill="auto"/>
                    <w:vAlign w:val="center"/>
                  </w:tcPr>
                  <w:p w:rsidR="00C171E8" w:rsidRDefault="00C171E8" w:rsidP="00DB008B">
                    <w:pPr>
                      <w:jc w:val="center"/>
                      <w:rPr>
                        <w:szCs w:val="21"/>
                      </w:rPr>
                    </w:pPr>
                    <w:r>
                      <w:rPr>
                        <w:rFonts w:hint="eastAsia"/>
                        <w:szCs w:val="21"/>
                      </w:rPr>
                      <w:t>成本</w:t>
                    </w:r>
                  </w:p>
                </w:tc>
              </w:sdtContent>
            </w:sdt>
          </w:tr>
          <w:tr w:rsidR="00C171E8" w:rsidTr="00DB008B">
            <w:sdt>
              <w:sdtPr>
                <w:tag w:val="_PLD_5e96be68b278431da8715a6c739b83b7"/>
                <w:id w:val="-769232058"/>
                <w:lock w:val="sdtLocked"/>
              </w:sdtPr>
              <w:sdtContent>
                <w:tc>
                  <w:tcPr>
                    <w:tcW w:w="1274" w:type="pct"/>
                    <w:tcBorders>
                      <w:top w:val="single" w:sz="4" w:space="0" w:color="auto"/>
                      <w:left w:val="single" w:sz="4" w:space="0" w:color="auto"/>
                      <w:bottom w:val="single" w:sz="4" w:space="0" w:color="auto"/>
                      <w:right w:val="single" w:sz="4" w:space="0" w:color="auto"/>
                    </w:tcBorders>
                    <w:shd w:val="clear" w:color="auto" w:fill="auto"/>
                  </w:tcPr>
                  <w:p w:rsidR="00C171E8" w:rsidRDefault="00C171E8" w:rsidP="00DB008B">
                    <w:pPr>
                      <w:rPr>
                        <w:szCs w:val="21"/>
                      </w:rPr>
                    </w:pPr>
                    <w:r>
                      <w:rPr>
                        <w:rFonts w:hint="eastAsia"/>
                        <w:szCs w:val="21"/>
                      </w:rPr>
                      <w:t>主营业务</w:t>
                    </w:r>
                  </w:p>
                </w:tc>
              </w:sdtContent>
            </w:sdt>
            <w:tc>
              <w:tcPr>
                <w:tcW w:w="932" w:type="pct"/>
                <w:tcBorders>
                  <w:top w:val="single" w:sz="4" w:space="0" w:color="auto"/>
                  <w:left w:val="single" w:sz="4" w:space="0" w:color="auto"/>
                  <w:bottom w:val="single" w:sz="4" w:space="0" w:color="auto"/>
                  <w:right w:val="single" w:sz="4" w:space="0" w:color="auto"/>
                </w:tcBorders>
                <w:shd w:val="clear" w:color="auto" w:fill="auto"/>
                <w:vAlign w:val="center"/>
              </w:tcPr>
              <w:p w:rsidR="00C171E8" w:rsidRDefault="00C171E8" w:rsidP="00DB008B">
                <w:pPr>
                  <w:jc w:val="right"/>
                  <w:rPr>
                    <w:szCs w:val="21"/>
                  </w:rPr>
                </w:pPr>
                <w:r>
                  <w:t>68,680,136,704</w:t>
                </w:r>
              </w:p>
            </w:tc>
            <w:tc>
              <w:tcPr>
                <w:tcW w:w="932" w:type="pct"/>
                <w:tcBorders>
                  <w:top w:val="single" w:sz="4" w:space="0" w:color="auto"/>
                  <w:left w:val="single" w:sz="4" w:space="0" w:color="auto"/>
                  <w:bottom w:val="single" w:sz="4" w:space="0" w:color="auto"/>
                  <w:right w:val="single" w:sz="4" w:space="0" w:color="auto"/>
                </w:tcBorders>
                <w:shd w:val="clear" w:color="auto" w:fill="auto"/>
                <w:vAlign w:val="center"/>
              </w:tcPr>
              <w:p w:rsidR="00C171E8" w:rsidRDefault="00C171E8" w:rsidP="00DB008B">
                <w:pPr>
                  <w:jc w:val="right"/>
                  <w:rPr>
                    <w:szCs w:val="21"/>
                  </w:rPr>
                </w:pPr>
                <w:r>
                  <w:t>57,447,500,488</w:t>
                </w:r>
              </w:p>
            </w:tc>
            <w:tc>
              <w:tcPr>
                <w:tcW w:w="932" w:type="pct"/>
                <w:tcBorders>
                  <w:top w:val="single" w:sz="4" w:space="0" w:color="auto"/>
                  <w:left w:val="single" w:sz="4" w:space="0" w:color="auto"/>
                  <w:bottom w:val="single" w:sz="4" w:space="0" w:color="auto"/>
                  <w:right w:val="single" w:sz="4" w:space="0" w:color="auto"/>
                </w:tcBorders>
                <w:shd w:val="clear" w:color="auto" w:fill="auto"/>
                <w:vAlign w:val="center"/>
              </w:tcPr>
              <w:p w:rsidR="00C171E8" w:rsidRDefault="00C171E8" w:rsidP="00DB008B">
                <w:pPr>
                  <w:jc w:val="right"/>
                  <w:rPr>
                    <w:szCs w:val="21"/>
                  </w:rPr>
                </w:pPr>
                <w:r>
                  <w:t>71,778,913,021</w:t>
                </w:r>
              </w:p>
            </w:tc>
            <w:tc>
              <w:tcPr>
                <w:tcW w:w="932" w:type="pct"/>
                <w:tcBorders>
                  <w:top w:val="single" w:sz="4" w:space="0" w:color="auto"/>
                  <w:left w:val="single" w:sz="4" w:space="0" w:color="auto"/>
                  <w:bottom w:val="single" w:sz="4" w:space="0" w:color="auto"/>
                  <w:right w:val="single" w:sz="4" w:space="0" w:color="auto"/>
                </w:tcBorders>
                <w:shd w:val="clear" w:color="auto" w:fill="auto"/>
                <w:vAlign w:val="center"/>
              </w:tcPr>
              <w:p w:rsidR="00C171E8" w:rsidRDefault="00C171E8" w:rsidP="00DB008B">
                <w:pPr>
                  <w:jc w:val="right"/>
                  <w:rPr>
                    <w:szCs w:val="21"/>
                  </w:rPr>
                </w:pPr>
                <w:r>
                  <w:t>58,332,406,438</w:t>
                </w:r>
              </w:p>
            </w:tc>
          </w:tr>
          <w:tr w:rsidR="00C171E8" w:rsidTr="00DB008B">
            <w:sdt>
              <w:sdtPr>
                <w:tag w:val="_PLD_6bfc9b53230c4537ab9d4895c4ac21b6"/>
                <w:id w:val="-1935358340"/>
                <w:lock w:val="sdtLocked"/>
              </w:sdtPr>
              <w:sdtContent>
                <w:tc>
                  <w:tcPr>
                    <w:tcW w:w="1274" w:type="pct"/>
                    <w:tcBorders>
                      <w:top w:val="single" w:sz="4" w:space="0" w:color="auto"/>
                      <w:left w:val="single" w:sz="4" w:space="0" w:color="auto"/>
                      <w:bottom w:val="single" w:sz="4" w:space="0" w:color="auto"/>
                      <w:right w:val="single" w:sz="4" w:space="0" w:color="auto"/>
                    </w:tcBorders>
                    <w:shd w:val="clear" w:color="auto" w:fill="auto"/>
                  </w:tcPr>
                  <w:p w:rsidR="00C171E8" w:rsidRDefault="00C171E8" w:rsidP="00DB008B">
                    <w:pPr>
                      <w:rPr>
                        <w:szCs w:val="21"/>
                      </w:rPr>
                    </w:pPr>
                    <w:r>
                      <w:rPr>
                        <w:rFonts w:hint="eastAsia"/>
                        <w:szCs w:val="21"/>
                      </w:rPr>
                      <w:t>其他业务</w:t>
                    </w:r>
                  </w:p>
                </w:tc>
              </w:sdtContent>
            </w:sdt>
            <w:tc>
              <w:tcPr>
                <w:tcW w:w="932" w:type="pct"/>
                <w:tcBorders>
                  <w:top w:val="single" w:sz="4" w:space="0" w:color="auto"/>
                  <w:left w:val="single" w:sz="4" w:space="0" w:color="auto"/>
                  <w:bottom w:val="single" w:sz="4" w:space="0" w:color="auto"/>
                  <w:right w:val="single" w:sz="4" w:space="0" w:color="auto"/>
                </w:tcBorders>
                <w:shd w:val="clear" w:color="auto" w:fill="auto"/>
                <w:vAlign w:val="center"/>
              </w:tcPr>
              <w:p w:rsidR="00C171E8" w:rsidRDefault="00C171E8" w:rsidP="00DB008B">
                <w:pPr>
                  <w:jc w:val="right"/>
                  <w:rPr>
                    <w:szCs w:val="21"/>
                  </w:rPr>
                </w:pPr>
                <w:r>
                  <w:t>1,478,752,029</w:t>
                </w:r>
              </w:p>
            </w:tc>
            <w:tc>
              <w:tcPr>
                <w:tcW w:w="932" w:type="pct"/>
                <w:tcBorders>
                  <w:top w:val="single" w:sz="4" w:space="0" w:color="auto"/>
                  <w:left w:val="single" w:sz="4" w:space="0" w:color="auto"/>
                  <w:bottom w:val="single" w:sz="4" w:space="0" w:color="auto"/>
                  <w:right w:val="single" w:sz="4" w:space="0" w:color="auto"/>
                </w:tcBorders>
                <w:shd w:val="clear" w:color="auto" w:fill="auto"/>
                <w:vAlign w:val="center"/>
              </w:tcPr>
              <w:p w:rsidR="00C171E8" w:rsidRDefault="00C171E8" w:rsidP="00DB008B">
                <w:pPr>
                  <w:jc w:val="right"/>
                  <w:rPr>
                    <w:szCs w:val="21"/>
                  </w:rPr>
                </w:pPr>
                <w:r>
                  <w:t>1,165,225,852</w:t>
                </w:r>
              </w:p>
            </w:tc>
            <w:tc>
              <w:tcPr>
                <w:tcW w:w="932" w:type="pct"/>
                <w:tcBorders>
                  <w:top w:val="single" w:sz="4" w:space="0" w:color="auto"/>
                  <w:left w:val="single" w:sz="4" w:space="0" w:color="auto"/>
                  <w:bottom w:val="single" w:sz="4" w:space="0" w:color="auto"/>
                  <w:right w:val="single" w:sz="4" w:space="0" w:color="auto"/>
                </w:tcBorders>
                <w:shd w:val="clear" w:color="auto" w:fill="auto"/>
                <w:vAlign w:val="center"/>
              </w:tcPr>
              <w:p w:rsidR="00C171E8" w:rsidRDefault="00C171E8" w:rsidP="00DB008B">
                <w:pPr>
                  <w:jc w:val="right"/>
                  <w:rPr>
                    <w:szCs w:val="21"/>
                  </w:rPr>
                </w:pPr>
                <w:r>
                  <w:t>1,452,594,881</w:t>
                </w:r>
              </w:p>
            </w:tc>
            <w:tc>
              <w:tcPr>
                <w:tcW w:w="932" w:type="pct"/>
                <w:tcBorders>
                  <w:top w:val="single" w:sz="4" w:space="0" w:color="auto"/>
                  <w:left w:val="single" w:sz="4" w:space="0" w:color="auto"/>
                  <w:bottom w:val="single" w:sz="4" w:space="0" w:color="auto"/>
                  <w:right w:val="single" w:sz="4" w:space="0" w:color="auto"/>
                </w:tcBorders>
                <w:shd w:val="clear" w:color="auto" w:fill="auto"/>
                <w:vAlign w:val="center"/>
              </w:tcPr>
              <w:p w:rsidR="00C171E8" w:rsidRDefault="00C171E8" w:rsidP="00DB008B">
                <w:pPr>
                  <w:jc w:val="right"/>
                  <w:rPr>
                    <w:szCs w:val="21"/>
                  </w:rPr>
                </w:pPr>
                <w:r>
                  <w:t>1,205,513,886</w:t>
                </w:r>
              </w:p>
            </w:tc>
          </w:tr>
          <w:tr w:rsidR="00C171E8" w:rsidTr="00DB008B">
            <w:sdt>
              <w:sdtPr>
                <w:tag w:val="_PLD_d72589b11fca4f8e9290f2128cc382b9"/>
                <w:id w:val="-200558986"/>
                <w:lock w:val="sdtLocked"/>
              </w:sdtPr>
              <w:sdtContent>
                <w:tc>
                  <w:tcPr>
                    <w:tcW w:w="1274" w:type="pct"/>
                    <w:tcBorders>
                      <w:top w:val="single" w:sz="4" w:space="0" w:color="auto"/>
                      <w:left w:val="single" w:sz="4" w:space="0" w:color="auto"/>
                      <w:bottom w:val="single" w:sz="4" w:space="0" w:color="auto"/>
                      <w:right w:val="single" w:sz="4" w:space="0" w:color="auto"/>
                    </w:tcBorders>
                    <w:shd w:val="clear" w:color="auto" w:fill="auto"/>
                    <w:vAlign w:val="center"/>
                  </w:tcPr>
                  <w:p w:rsidR="00C171E8" w:rsidRDefault="00C171E8" w:rsidP="00DB008B">
                    <w:pPr>
                      <w:jc w:val="center"/>
                      <w:rPr>
                        <w:szCs w:val="21"/>
                      </w:rPr>
                    </w:pPr>
                    <w:r>
                      <w:rPr>
                        <w:rFonts w:hint="eastAsia"/>
                        <w:szCs w:val="21"/>
                      </w:rPr>
                      <w:t>合计</w:t>
                    </w:r>
                  </w:p>
                </w:tc>
              </w:sdtContent>
            </w:sdt>
            <w:tc>
              <w:tcPr>
                <w:tcW w:w="932" w:type="pct"/>
                <w:tcBorders>
                  <w:top w:val="single" w:sz="4" w:space="0" w:color="auto"/>
                  <w:left w:val="single" w:sz="4" w:space="0" w:color="auto"/>
                  <w:bottom w:val="single" w:sz="4" w:space="0" w:color="auto"/>
                  <w:right w:val="single" w:sz="4" w:space="0" w:color="auto"/>
                </w:tcBorders>
                <w:shd w:val="clear" w:color="auto" w:fill="auto"/>
                <w:vAlign w:val="center"/>
              </w:tcPr>
              <w:p w:rsidR="00C171E8" w:rsidRDefault="00C171E8" w:rsidP="00DB008B">
                <w:pPr>
                  <w:jc w:val="right"/>
                  <w:rPr>
                    <w:szCs w:val="21"/>
                  </w:rPr>
                </w:pPr>
                <w:r>
                  <w:t>70,158,888,733</w:t>
                </w:r>
              </w:p>
            </w:tc>
            <w:tc>
              <w:tcPr>
                <w:tcW w:w="932" w:type="pct"/>
                <w:tcBorders>
                  <w:top w:val="single" w:sz="4" w:space="0" w:color="auto"/>
                  <w:left w:val="single" w:sz="4" w:space="0" w:color="auto"/>
                  <w:bottom w:val="single" w:sz="4" w:space="0" w:color="auto"/>
                  <w:right w:val="single" w:sz="4" w:space="0" w:color="auto"/>
                </w:tcBorders>
                <w:shd w:val="clear" w:color="auto" w:fill="auto"/>
                <w:vAlign w:val="center"/>
              </w:tcPr>
              <w:p w:rsidR="00C171E8" w:rsidRDefault="00C171E8" w:rsidP="00DB008B">
                <w:pPr>
                  <w:jc w:val="right"/>
                  <w:rPr>
                    <w:szCs w:val="21"/>
                  </w:rPr>
                </w:pPr>
                <w:r>
                  <w:t>58,612,726,340</w:t>
                </w:r>
              </w:p>
            </w:tc>
            <w:tc>
              <w:tcPr>
                <w:tcW w:w="932" w:type="pct"/>
                <w:tcBorders>
                  <w:top w:val="single" w:sz="4" w:space="0" w:color="auto"/>
                  <w:left w:val="single" w:sz="4" w:space="0" w:color="auto"/>
                  <w:bottom w:val="single" w:sz="4" w:space="0" w:color="auto"/>
                  <w:right w:val="single" w:sz="4" w:space="0" w:color="auto"/>
                </w:tcBorders>
                <w:shd w:val="clear" w:color="auto" w:fill="auto"/>
                <w:vAlign w:val="center"/>
              </w:tcPr>
              <w:p w:rsidR="00C171E8" w:rsidRDefault="00C171E8" w:rsidP="00DB008B">
                <w:pPr>
                  <w:jc w:val="right"/>
                  <w:rPr>
                    <w:szCs w:val="21"/>
                  </w:rPr>
                </w:pPr>
                <w:r>
                  <w:t>73,231,507,902</w:t>
                </w:r>
              </w:p>
            </w:tc>
            <w:tc>
              <w:tcPr>
                <w:tcW w:w="932" w:type="pct"/>
                <w:tcBorders>
                  <w:top w:val="single" w:sz="4" w:space="0" w:color="auto"/>
                  <w:left w:val="single" w:sz="4" w:space="0" w:color="auto"/>
                  <w:bottom w:val="single" w:sz="4" w:space="0" w:color="auto"/>
                  <w:right w:val="single" w:sz="4" w:space="0" w:color="auto"/>
                </w:tcBorders>
                <w:shd w:val="clear" w:color="auto" w:fill="auto"/>
                <w:vAlign w:val="center"/>
              </w:tcPr>
              <w:p w:rsidR="00C171E8" w:rsidRDefault="00C171E8" w:rsidP="00DB008B">
                <w:pPr>
                  <w:jc w:val="right"/>
                  <w:rPr>
                    <w:szCs w:val="21"/>
                  </w:rPr>
                </w:pPr>
                <w:r>
                  <w:t>59,537,920,324</w:t>
                </w:r>
              </w:p>
            </w:tc>
          </w:tr>
          <w:tr w:rsidR="00C171E8" w:rsidTr="00DB008B">
            <w:tc>
              <w:tcPr>
                <w:tcW w:w="1274" w:type="pct"/>
                <w:tcBorders>
                  <w:top w:val="single" w:sz="4" w:space="0" w:color="auto"/>
                  <w:left w:val="single" w:sz="4" w:space="0" w:color="auto"/>
                  <w:bottom w:val="single" w:sz="4" w:space="0" w:color="auto"/>
                  <w:right w:val="single" w:sz="4" w:space="0" w:color="auto"/>
                </w:tcBorders>
                <w:shd w:val="clear" w:color="auto" w:fill="auto"/>
                <w:vAlign w:val="center"/>
              </w:tcPr>
              <w:p w:rsidR="00C171E8" w:rsidRDefault="00C171E8" w:rsidP="00C171E8">
                <w:pPr>
                  <w:jc w:val="center"/>
                </w:pPr>
                <w:r>
                  <w:t>其中：合同产生的收入</w:t>
                </w:r>
              </w:p>
            </w:tc>
            <w:tc>
              <w:tcPr>
                <w:tcW w:w="932" w:type="pct"/>
                <w:tcBorders>
                  <w:top w:val="single" w:sz="4" w:space="0" w:color="auto"/>
                  <w:left w:val="single" w:sz="4" w:space="0" w:color="auto"/>
                  <w:bottom w:val="single" w:sz="4" w:space="0" w:color="auto"/>
                  <w:right w:val="single" w:sz="4" w:space="0" w:color="auto"/>
                </w:tcBorders>
                <w:shd w:val="clear" w:color="auto" w:fill="auto"/>
                <w:vAlign w:val="center"/>
              </w:tcPr>
              <w:p w:rsidR="00C171E8" w:rsidRDefault="00C171E8" w:rsidP="00C171E8">
                <w:pPr>
                  <w:jc w:val="right"/>
                </w:pPr>
                <w:r>
                  <w:t>70,123,889,258</w:t>
                </w:r>
              </w:p>
            </w:tc>
            <w:tc>
              <w:tcPr>
                <w:tcW w:w="932" w:type="pct"/>
                <w:tcBorders>
                  <w:top w:val="single" w:sz="4" w:space="0" w:color="auto"/>
                  <w:left w:val="single" w:sz="4" w:space="0" w:color="auto"/>
                  <w:bottom w:val="single" w:sz="4" w:space="0" w:color="auto"/>
                  <w:right w:val="single" w:sz="4" w:space="0" w:color="auto"/>
                </w:tcBorders>
                <w:shd w:val="clear" w:color="auto" w:fill="auto"/>
                <w:vAlign w:val="center"/>
              </w:tcPr>
              <w:p w:rsidR="00C171E8" w:rsidRDefault="00C171E8" w:rsidP="00C171E8">
                <w:pPr>
                  <w:jc w:val="right"/>
                </w:pPr>
                <w:r>
                  <w:t>/</w:t>
                </w:r>
              </w:p>
            </w:tc>
            <w:tc>
              <w:tcPr>
                <w:tcW w:w="932" w:type="pct"/>
                <w:tcBorders>
                  <w:top w:val="single" w:sz="4" w:space="0" w:color="auto"/>
                  <w:left w:val="single" w:sz="4" w:space="0" w:color="auto"/>
                  <w:bottom w:val="single" w:sz="4" w:space="0" w:color="auto"/>
                  <w:right w:val="single" w:sz="4" w:space="0" w:color="auto"/>
                </w:tcBorders>
                <w:shd w:val="clear" w:color="auto" w:fill="auto"/>
                <w:vAlign w:val="center"/>
              </w:tcPr>
              <w:p w:rsidR="00C171E8" w:rsidRDefault="00C171E8" w:rsidP="00C171E8">
                <w:pPr>
                  <w:jc w:val="right"/>
                </w:pPr>
                <w:r>
                  <w:t>73,185,703,783</w:t>
                </w:r>
              </w:p>
            </w:tc>
            <w:tc>
              <w:tcPr>
                <w:tcW w:w="932" w:type="pct"/>
                <w:tcBorders>
                  <w:top w:val="single" w:sz="4" w:space="0" w:color="auto"/>
                  <w:left w:val="single" w:sz="4" w:space="0" w:color="auto"/>
                  <w:bottom w:val="single" w:sz="4" w:space="0" w:color="auto"/>
                  <w:right w:val="single" w:sz="4" w:space="0" w:color="auto"/>
                </w:tcBorders>
                <w:shd w:val="clear" w:color="auto" w:fill="auto"/>
                <w:vAlign w:val="center"/>
              </w:tcPr>
              <w:p w:rsidR="00C171E8" w:rsidRDefault="00C171E8" w:rsidP="00C171E8">
                <w:pPr>
                  <w:jc w:val="right"/>
                </w:pPr>
                <w:r>
                  <w:t>/</w:t>
                </w:r>
              </w:p>
            </w:tc>
          </w:tr>
          <w:tr w:rsidR="00C171E8" w:rsidTr="00DB008B">
            <w:tc>
              <w:tcPr>
                <w:tcW w:w="1274" w:type="pct"/>
                <w:tcBorders>
                  <w:top w:val="single" w:sz="4" w:space="0" w:color="auto"/>
                  <w:left w:val="single" w:sz="4" w:space="0" w:color="auto"/>
                  <w:bottom w:val="single" w:sz="4" w:space="0" w:color="auto"/>
                  <w:right w:val="single" w:sz="4" w:space="0" w:color="auto"/>
                </w:tcBorders>
                <w:shd w:val="clear" w:color="auto" w:fill="auto"/>
                <w:vAlign w:val="center"/>
              </w:tcPr>
              <w:p w:rsidR="00C171E8" w:rsidRDefault="00C171E8" w:rsidP="00C171E8">
                <w:pPr>
                  <w:jc w:val="center"/>
                </w:pPr>
                <w:r>
                  <w:t>其他收入</w:t>
                </w:r>
              </w:p>
            </w:tc>
            <w:tc>
              <w:tcPr>
                <w:tcW w:w="932" w:type="pct"/>
                <w:tcBorders>
                  <w:top w:val="single" w:sz="4" w:space="0" w:color="auto"/>
                  <w:left w:val="single" w:sz="4" w:space="0" w:color="auto"/>
                  <w:bottom w:val="single" w:sz="4" w:space="0" w:color="auto"/>
                  <w:right w:val="single" w:sz="4" w:space="0" w:color="auto"/>
                </w:tcBorders>
                <w:shd w:val="clear" w:color="auto" w:fill="auto"/>
                <w:vAlign w:val="center"/>
              </w:tcPr>
              <w:p w:rsidR="00C171E8" w:rsidRDefault="00C171E8" w:rsidP="00C171E8">
                <w:pPr>
                  <w:jc w:val="right"/>
                </w:pPr>
                <w:r>
                  <w:t>34,999,475</w:t>
                </w:r>
              </w:p>
            </w:tc>
            <w:tc>
              <w:tcPr>
                <w:tcW w:w="932" w:type="pct"/>
                <w:tcBorders>
                  <w:top w:val="single" w:sz="4" w:space="0" w:color="auto"/>
                  <w:left w:val="single" w:sz="4" w:space="0" w:color="auto"/>
                  <w:bottom w:val="single" w:sz="4" w:space="0" w:color="auto"/>
                  <w:right w:val="single" w:sz="4" w:space="0" w:color="auto"/>
                </w:tcBorders>
                <w:shd w:val="clear" w:color="auto" w:fill="auto"/>
                <w:vAlign w:val="center"/>
              </w:tcPr>
              <w:p w:rsidR="00C171E8" w:rsidRDefault="00C171E8" w:rsidP="00C171E8">
                <w:pPr>
                  <w:jc w:val="right"/>
                </w:pPr>
                <w:r>
                  <w:t>/</w:t>
                </w:r>
              </w:p>
            </w:tc>
            <w:tc>
              <w:tcPr>
                <w:tcW w:w="932" w:type="pct"/>
                <w:tcBorders>
                  <w:top w:val="single" w:sz="4" w:space="0" w:color="auto"/>
                  <w:left w:val="single" w:sz="4" w:space="0" w:color="auto"/>
                  <w:bottom w:val="single" w:sz="4" w:space="0" w:color="auto"/>
                  <w:right w:val="single" w:sz="4" w:space="0" w:color="auto"/>
                </w:tcBorders>
                <w:shd w:val="clear" w:color="auto" w:fill="auto"/>
                <w:vAlign w:val="center"/>
              </w:tcPr>
              <w:p w:rsidR="00C171E8" w:rsidRDefault="00C171E8" w:rsidP="00C171E8">
                <w:pPr>
                  <w:jc w:val="right"/>
                </w:pPr>
                <w:r>
                  <w:t>45,804,119</w:t>
                </w:r>
              </w:p>
            </w:tc>
            <w:tc>
              <w:tcPr>
                <w:tcW w:w="932" w:type="pct"/>
                <w:tcBorders>
                  <w:top w:val="single" w:sz="4" w:space="0" w:color="auto"/>
                  <w:left w:val="single" w:sz="4" w:space="0" w:color="auto"/>
                  <w:bottom w:val="single" w:sz="4" w:space="0" w:color="auto"/>
                  <w:right w:val="single" w:sz="4" w:space="0" w:color="auto"/>
                </w:tcBorders>
                <w:shd w:val="clear" w:color="auto" w:fill="auto"/>
                <w:vAlign w:val="center"/>
              </w:tcPr>
              <w:p w:rsidR="00C171E8" w:rsidRDefault="00C171E8" w:rsidP="00C171E8">
                <w:pPr>
                  <w:jc w:val="right"/>
                </w:pPr>
                <w:r>
                  <w:t>/</w:t>
                </w:r>
              </w:p>
            </w:tc>
          </w:tr>
        </w:tbl>
        <w:p w:rsidR="001A27C3" w:rsidRDefault="00F80B6C" w:rsidP="001A27C3"/>
      </w:sdtContent>
    </w:sdt>
    <w:p w:rsidR="001A27C3" w:rsidRPr="00917880" w:rsidRDefault="001A27C3" w:rsidP="001A27C3">
      <w:pPr>
        <w:pStyle w:val="6"/>
        <w:keepNext w:val="0"/>
        <w:keepLines w:val="0"/>
        <w:tabs>
          <w:tab w:val="left" w:pos="0"/>
        </w:tabs>
        <w:overflowPunct w:val="0"/>
        <w:adjustRightInd w:val="0"/>
        <w:snapToGrid w:val="0"/>
        <w:spacing w:before="0" w:after="0"/>
        <w:ind w:hanging="142"/>
        <w:rPr>
          <w:rFonts w:asciiTheme="majorEastAsia" w:eastAsiaTheme="majorEastAsia" w:hAnsiTheme="majorEastAsia" w:cs="Arial"/>
          <w:b w:val="0"/>
          <w:sz w:val="22"/>
          <w:szCs w:val="22"/>
        </w:rPr>
      </w:pPr>
      <w:r w:rsidRPr="00917880">
        <w:rPr>
          <w:rFonts w:asciiTheme="majorEastAsia" w:eastAsiaTheme="majorEastAsia" w:hAnsiTheme="majorEastAsia" w:cs="Arial" w:hint="eastAsia"/>
          <w:b w:val="0"/>
          <w:sz w:val="22"/>
          <w:szCs w:val="22"/>
        </w:rPr>
        <w:t>(a)</w:t>
      </w:r>
      <w:r w:rsidRPr="00917880">
        <w:rPr>
          <w:rFonts w:asciiTheme="majorEastAsia" w:eastAsiaTheme="majorEastAsia" w:hAnsiTheme="majorEastAsia" w:cs="Arial" w:hint="eastAsia"/>
          <w:b w:val="0"/>
          <w:sz w:val="22"/>
          <w:szCs w:val="22"/>
        </w:rPr>
        <w:tab/>
        <w:t>主营业务收入和成本</w:t>
      </w:r>
    </w:p>
    <w:p w:rsidR="001A27C3" w:rsidRPr="00917880" w:rsidRDefault="001A27C3" w:rsidP="001A27C3">
      <w:pPr>
        <w:overflowPunct w:val="0"/>
        <w:adjustRightInd w:val="0"/>
        <w:snapToGrid w:val="0"/>
        <w:rPr>
          <w:rFonts w:asciiTheme="majorEastAsia" w:eastAsiaTheme="majorEastAsia" w:hAnsiTheme="majorEastAsia" w:cs="Arial"/>
          <w:sz w:val="22"/>
        </w:rPr>
      </w:pPr>
      <w:r w:rsidRPr="00917880">
        <w:rPr>
          <w:rFonts w:asciiTheme="majorEastAsia" w:eastAsiaTheme="majorEastAsia" w:hAnsiTheme="majorEastAsia" w:cs="Arial" w:hint="eastAsia"/>
          <w:sz w:val="22"/>
        </w:rPr>
        <w:t>按行业分析如下：</w:t>
      </w:r>
    </w:p>
    <w:p w:rsidR="001A27C3" w:rsidRPr="00917880" w:rsidRDefault="001A27C3" w:rsidP="001A27C3">
      <w:pPr>
        <w:overflowPunct w:val="0"/>
        <w:adjustRightInd w:val="0"/>
        <w:snapToGrid w:val="0"/>
        <w:jc w:val="right"/>
        <w:rPr>
          <w:rFonts w:asciiTheme="majorEastAsia" w:eastAsiaTheme="majorEastAsia" w:hAnsiTheme="majorEastAsia" w:cs="Arial"/>
          <w:sz w:val="22"/>
        </w:rPr>
      </w:pPr>
      <w:r w:rsidRPr="00917880">
        <w:rPr>
          <w:rFonts w:asciiTheme="majorEastAsia" w:eastAsiaTheme="majorEastAsia" w:hAnsiTheme="majorEastAsia" w:cs="PMingLiU" w:hint="eastAsia"/>
          <w:szCs w:val="21"/>
        </w:rPr>
        <w:t>单</w:t>
      </w:r>
      <w:r w:rsidRPr="00917880">
        <w:rPr>
          <w:rFonts w:asciiTheme="majorEastAsia" w:eastAsiaTheme="majorEastAsia" w:hAnsiTheme="majorEastAsia" w:cs="Yu Gothic" w:hint="eastAsia"/>
          <w:szCs w:val="21"/>
        </w:rPr>
        <w:t>位：元</w:t>
      </w:r>
      <w:r w:rsidRPr="00917880">
        <w:rPr>
          <w:rFonts w:asciiTheme="majorEastAsia" w:eastAsiaTheme="majorEastAsia" w:hAnsiTheme="majorEastAsia" w:cs="螳倶ｽ・"/>
          <w:szCs w:val="21"/>
        </w:rPr>
        <w:t xml:space="preserve"> </w:t>
      </w:r>
      <w:r w:rsidRPr="00917880">
        <w:rPr>
          <w:rFonts w:asciiTheme="majorEastAsia" w:eastAsiaTheme="majorEastAsia" w:hAnsiTheme="majorEastAsia" w:cs="PMingLiU" w:hint="eastAsia"/>
          <w:szCs w:val="21"/>
        </w:rPr>
        <w:t>币</w:t>
      </w:r>
      <w:r w:rsidRPr="00917880">
        <w:rPr>
          <w:rFonts w:asciiTheme="majorEastAsia" w:eastAsiaTheme="majorEastAsia" w:hAnsiTheme="majorEastAsia" w:cs="Yu Gothic" w:hint="eastAsia"/>
          <w:szCs w:val="21"/>
        </w:rPr>
        <w:t>种：人民</w:t>
      </w:r>
      <w:r w:rsidRPr="00917880">
        <w:rPr>
          <w:rFonts w:asciiTheme="majorEastAsia" w:eastAsiaTheme="majorEastAsia" w:hAnsiTheme="majorEastAsia" w:cs="PMingLiU" w:hint="eastAsia"/>
          <w:szCs w:val="21"/>
        </w:rPr>
        <w:t>币</w:t>
      </w:r>
    </w:p>
    <w:tbl>
      <w:tblPr>
        <w:tblW w:w="901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28" w:type="dxa"/>
        </w:tblCellMar>
        <w:tblLook w:val="04A0"/>
      </w:tblPr>
      <w:tblGrid>
        <w:gridCol w:w="2650"/>
        <w:gridCol w:w="1559"/>
        <w:gridCol w:w="1559"/>
        <w:gridCol w:w="1644"/>
        <w:gridCol w:w="1603"/>
      </w:tblGrid>
      <w:tr w:rsidR="001A27C3" w:rsidRPr="00FB4DDB" w:rsidTr="004B4952">
        <w:trPr>
          <w:trHeight w:val="259"/>
          <w:jc w:val="right"/>
        </w:trPr>
        <w:tc>
          <w:tcPr>
            <w:tcW w:w="2650" w:type="dxa"/>
            <w:vAlign w:val="bottom"/>
          </w:tcPr>
          <w:p w:rsidR="001A27C3" w:rsidRPr="00545050" w:rsidRDefault="001A27C3" w:rsidP="004B4952">
            <w:pPr>
              <w:snapToGrid w:val="0"/>
              <w:rPr>
                <w:szCs w:val="21"/>
              </w:rPr>
            </w:pPr>
            <w:r w:rsidRPr="00545050">
              <w:rPr>
                <w:szCs w:val="21"/>
              </w:rPr>
              <w:t> </w:t>
            </w:r>
          </w:p>
        </w:tc>
        <w:tc>
          <w:tcPr>
            <w:tcW w:w="3118" w:type="dxa"/>
            <w:gridSpan w:val="2"/>
            <w:vAlign w:val="bottom"/>
          </w:tcPr>
          <w:p w:rsidR="001A27C3" w:rsidRPr="00545050" w:rsidRDefault="001A27C3" w:rsidP="004B4952">
            <w:pPr>
              <w:snapToGrid w:val="0"/>
              <w:jc w:val="center"/>
              <w:rPr>
                <w:szCs w:val="21"/>
              </w:rPr>
            </w:pPr>
            <w:r w:rsidRPr="00545050">
              <w:rPr>
                <w:szCs w:val="21"/>
              </w:rPr>
              <w:t>本期发生额</w:t>
            </w:r>
          </w:p>
        </w:tc>
        <w:tc>
          <w:tcPr>
            <w:tcW w:w="3247" w:type="dxa"/>
            <w:gridSpan w:val="2"/>
            <w:vAlign w:val="bottom"/>
          </w:tcPr>
          <w:p w:rsidR="001A27C3" w:rsidRPr="00545050" w:rsidRDefault="001A27C3" w:rsidP="004B4952">
            <w:pPr>
              <w:snapToGrid w:val="0"/>
              <w:jc w:val="center"/>
              <w:rPr>
                <w:szCs w:val="21"/>
              </w:rPr>
            </w:pPr>
            <w:r w:rsidRPr="00545050">
              <w:rPr>
                <w:szCs w:val="21"/>
              </w:rPr>
              <w:t>上期发生额</w:t>
            </w:r>
          </w:p>
        </w:tc>
      </w:tr>
      <w:tr w:rsidR="001A27C3" w:rsidRPr="00FB4DDB" w:rsidTr="004B4952">
        <w:trPr>
          <w:trHeight w:val="259"/>
          <w:jc w:val="right"/>
        </w:trPr>
        <w:tc>
          <w:tcPr>
            <w:tcW w:w="2650" w:type="dxa"/>
            <w:vAlign w:val="center"/>
          </w:tcPr>
          <w:p w:rsidR="001A27C3" w:rsidRPr="00545050" w:rsidRDefault="001A27C3" w:rsidP="004B4952">
            <w:pPr>
              <w:snapToGrid w:val="0"/>
              <w:jc w:val="center"/>
              <w:rPr>
                <w:szCs w:val="21"/>
              </w:rPr>
            </w:pPr>
            <w:r w:rsidRPr="00545050">
              <w:rPr>
                <w:szCs w:val="21"/>
              </w:rPr>
              <w:t>项目</w:t>
            </w:r>
          </w:p>
        </w:tc>
        <w:tc>
          <w:tcPr>
            <w:tcW w:w="1559" w:type="dxa"/>
            <w:vAlign w:val="center"/>
          </w:tcPr>
          <w:p w:rsidR="001A27C3" w:rsidRPr="00545050" w:rsidRDefault="001A27C3" w:rsidP="004B4952">
            <w:pPr>
              <w:snapToGrid w:val="0"/>
              <w:jc w:val="center"/>
              <w:rPr>
                <w:szCs w:val="21"/>
              </w:rPr>
            </w:pPr>
            <w:r w:rsidRPr="00545050">
              <w:rPr>
                <w:szCs w:val="21"/>
              </w:rPr>
              <w:t>主营业务收入</w:t>
            </w:r>
          </w:p>
        </w:tc>
        <w:tc>
          <w:tcPr>
            <w:tcW w:w="1559" w:type="dxa"/>
            <w:vAlign w:val="center"/>
          </w:tcPr>
          <w:p w:rsidR="001A27C3" w:rsidRPr="00545050" w:rsidRDefault="001A27C3" w:rsidP="004B4952">
            <w:pPr>
              <w:snapToGrid w:val="0"/>
              <w:jc w:val="center"/>
              <w:rPr>
                <w:szCs w:val="21"/>
              </w:rPr>
            </w:pPr>
            <w:r w:rsidRPr="00545050">
              <w:rPr>
                <w:szCs w:val="21"/>
              </w:rPr>
              <w:t>主营业务成本</w:t>
            </w:r>
          </w:p>
        </w:tc>
        <w:tc>
          <w:tcPr>
            <w:tcW w:w="1644" w:type="dxa"/>
            <w:vAlign w:val="center"/>
          </w:tcPr>
          <w:p w:rsidR="001A27C3" w:rsidRPr="00545050" w:rsidRDefault="001A27C3" w:rsidP="004B4952">
            <w:pPr>
              <w:snapToGrid w:val="0"/>
              <w:jc w:val="center"/>
              <w:rPr>
                <w:szCs w:val="21"/>
              </w:rPr>
            </w:pPr>
            <w:r w:rsidRPr="00545050">
              <w:rPr>
                <w:szCs w:val="21"/>
              </w:rPr>
              <w:t>主营业务收入</w:t>
            </w:r>
          </w:p>
        </w:tc>
        <w:tc>
          <w:tcPr>
            <w:tcW w:w="1603" w:type="dxa"/>
            <w:vAlign w:val="center"/>
          </w:tcPr>
          <w:p w:rsidR="001A27C3" w:rsidRPr="00545050" w:rsidRDefault="001A27C3" w:rsidP="004B4952">
            <w:pPr>
              <w:snapToGrid w:val="0"/>
              <w:jc w:val="center"/>
              <w:rPr>
                <w:szCs w:val="21"/>
              </w:rPr>
            </w:pPr>
            <w:r w:rsidRPr="00545050">
              <w:rPr>
                <w:szCs w:val="21"/>
              </w:rPr>
              <w:t>主营业务成本</w:t>
            </w:r>
          </w:p>
        </w:tc>
      </w:tr>
      <w:tr w:rsidR="001A27C3" w:rsidRPr="00FB4DDB" w:rsidTr="004B4952">
        <w:trPr>
          <w:trHeight w:val="259"/>
          <w:jc w:val="right"/>
        </w:trPr>
        <w:tc>
          <w:tcPr>
            <w:tcW w:w="2650" w:type="dxa"/>
            <w:vAlign w:val="bottom"/>
          </w:tcPr>
          <w:p w:rsidR="001A27C3" w:rsidRPr="00545050" w:rsidRDefault="001A27C3" w:rsidP="004B4952">
            <w:pPr>
              <w:snapToGrid w:val="0"/>
              <w:rPr>
                <w:szCs w:val="21"/>
              </w:rPr>
            </w:pPr>
            <w:r w:rsidRPr="00545050">
              <w:rPr>
                <w:szCs w:val="21"/>
              </w:rPr>
              <w:t>铁路运输业</w:t>
            </w:r>
          </w:p>
        </w:tc>
        <w:tc>
          <w:tcPr>
            <w:tcW w:w="1559" w:type="dxa"/>
            <w:vAlign w:val="bottom"/>
          </w:tcPr>
          <w:p w:rsidR="001A27C3" w:rsidRPr="00545050" w:rsidRDefault="001A27C3" w:rsidP="004B4952">
            <w:pPr>
              <w:snapToGrid w:val="0"/>
              <w:jc w:val="right"/>
              <w:rPr>
                <w:szCs w:val="21"/>
              </w:rPr>
            </w:pPr>
            <w:r w:rsidRPr="00545050">
              <w:rPr>
                <w:szCs w:val="21"/>
              </w:rPr>
              <w:t>68,680,136,704</w:t>
            </w:r>
          </w:p>
        </w:tc>
        <w:tc>
          <w:tcPr>
            <w:tcW w:w="1559" w:type="dxa"/>
            <w:vAlign w:val="bottom"/>
          </w:tcPr>
          <w:p w:rsidR="001A27C3" w:rsidRPr="00545050" w:rsidRDefault="001A27C3" w:rsidP="004B4952">
            <w:pPr>
              <w:snapToGrid w:val="0"/>
              <w:jc w:val="right"/>
              <w:rPr>
                <w:szCs w:val="21"/>
              </w:rPr>
            </w:pPr>
            <w:r w:rsidRPr="00545050">
              <w:rPr>
                <w:szCs w:val="21"/>
              </w:rPr>
              <w:t>57,447,500,488</w:t>
            </w:r>
          </w:p>
        </w:tc>
        <w:tc>
          <w:tcPr>
            <w:tcW w:w="1644" w:type="dxa"/>
            <w:vAlign w:val="bottom"/>
          </w:tcPr>
          <w:p w:rsidR="001A27C3" w:rsidRPr="00545050" w:rsidRDefault="001A27C3" w:rsidP="004B4952">
            <w:pPr>
              <w:snapToGrid w:val="0"/>
              <w:jc w:val="right"/>
              <w:rPr>
                <w:szCs w:val="21"/>
              </w:rPr>
            </w:pPr>
            <w:r w:rsidRPr="00545050">
              <w:rPr>
                <w:szCs w:val="21"/>
              </w:rPr>
              <w:t>71,778,913,021</w:t>
            </w:r>
          </w:p>
        </w:tc>
        <w:tc>
          <w:tcPr>
            <w:tcW w:w="1603" w:type="dxa"/>
            <w:vAlign w:val="bottom"/>
          </w:tcPr>
          <w:p w:rsidR="001A27C3" w:rsidRPr="00545050" w:rsidRDefault="001A27C3" w:rsidP="004B4952">
            <w:pPr>
              <w:snapToGrid w:val="0"/>
              <w:jc w:val="right"/>
              <w:rPr>
                <w:szCs w:val="21"/>
              </w:rPr>
            </w:pPr>
            <w:r w:rsidRPr="00545050">
              <w:rPr>
                <w:szCs w:val="21"/>
              </w:rPr>
              <w:t>58,332,406,438</w:t>
            </w:r>
          </w:p>
        </w:tc>
      </w:tr>
    </w:tbl>
    <w:p w:rsidR="001A27C3" w:rsidRPr="001F185D" w:rsidRDefault="001A27C3" w:rsidP="001A27C3">
      <w:pPr>
        <w:overflowPunct w:val="0"/>
        <w:adjustRightInd w:val="0"/>
        <w:snapToGrid w:val="0"/>
        <w:rPr>
          <w:rFonts w:cs="Arial"/>
          <w:sz w:val="22"/>
        </w:rPr>
      </w:pPr>
    </w:p>
    <w:p w:rsidR="001A27C3" w:rsidRPr="00917880" w:rsidRDefault="001A27C3" w:rsidP="001A27C3">
      <w:pPr>
        <w:pStyle w:val="6"/>
        <w:keepNext w:val="0"/>
        <w:keepLines w:val="0"/>
        <w:tabs>
          <w:tab w:val="left" w:pos="0"/>
        </w:tabs>
        <w:overflowPunct w:val="0"/>
        <w:adjustRightInd w:val="0"/>
        <w:snapToGrid w:val="0"/>
        <w:spacing w:before="0" w:after="0"/>
        <w:ind w:hanging="142"/>
        <w:rPr>
          <w:rFonts w:asciiTheme="majorEastAsia" w:eastAsiaTheme="majorEastAsia" w:hAnsiTheme="majorEastAsia" w:cs="Arial"/>
          <w:b w:val="0"/>
          <w:sz w:val="22"/>
          <w:szCs w:val="22"/>
        </w:rPr>
      </w:pPr>
      <w:r w:rsidRPr="00917880">
        <w:rPr>
          <w:rFonts w:asciiTheme="majorEastAsia" w:eastAsiaTheme="majorEastAsia" w:hAnsiTheme="majorEastAsia" w:cs="Arial" w:hint="eastAsia"/>
          <w:b w:val="0"/>
          <w:sz w:val="22"/>
          <w:szCs w:val="22"/>
        </w:rPr>
        <w:t>(b)</w:t>
      </w:r>
      <w:r w:rsidRPr="00917880">
        <w:rPr>
          <w:rFonts w:asciiTheme="majorEastAsia" w:eastAsiaTheme="majorEastAsia" w:hAnsiTheme="majorEastAsia" w:cs="Arial" w:hint="eastAsia"/>
          <w:b w:val="0"/>
          <w:sz w:val="22"/>
          <w:szCs w:val="22"/>
        </w:rPr>
        <w:tab/>
        <w:t>其他业务收入和成本</w:t>
      </w:r>
    </w:p>
    <w:p w:rsidR="001A27C3" w:rsidRPr="00917880" w:rsidRDefault="001A27C3" w:rsidP="001A27C3">
      <w:pPr>
        <w:jc w:val="right"/>
        <w:rPr>
          <w:rFonts w:asciiTheme="majorEastAsia" w:eastAsiaTheme="majorEastAsia" w:hAnsiTheme="majorEastAsia"/>
        </w:rPr>
      </w:pPr>
      <w:r w:rsidRPr="00917880">
        <w:rPr>
          <w:rFonts w:asciiTheme="majorEastAsia" w:eastAsiaTheme="majorEastAsia" w:hAnsiTheme="majorEastAsia" w:cs="PMingLiU" w:hint="eastAsia"/>
          <w:szCs w:val="21"/>
        </w:rPr>
        <w:t>单</w:t>
      </w:r>
      <w:r w:rsidRPr="00917880">
        <w:rPr>
          <w:rFonts w:asciiTheme="majorEastAsia" w:eastAsiaTheme="majorEastAsia" w:hAnsiTheme="majorEastAsia" w:cs="Yu Gothic" w:hint="eastAsia"/>
          <w:szCs w:val="21"/>
        </w:rPr>
        <w:t>位：元</w:t>
      </w:r>
      <w:r w:rsidRPr="00917880">
        <w:rPr>
          <w:rFonts w:asciiTheme="majorEastAsia" w:eastAsiaTheme="majorEastAsia" w:hAnsiTheme="majorEastAsia" w:cs="螳倶ｽ・"/>
          <w:szCs w:val="21"/>
        </w:rPr>
        <w:t xml:space="preserve"> </w:t>
      </w:r>
      <w:r w:rsidRPr="00917880">
        <w:rPr>
          <w:rFonts w:asciiTheme="majorEastAsia" w:eastAsiaTheme="majorEastAsia" w:hAnsiTheme="majorEastAsia" w:cs="PMingLiU" w:hint="eastAsia"/>
          <w:szCs w:val="21"/>
        </w:rPr>
        <w:t>币</w:t>
      </w:r>
      <w:r w:rsidRPr="00917880">
        <w:rPr>
          <w:rFonts w:asciiTheme="majorEastAsia" w:eastAsiaTheme="majorEastAsia" w:hAnsiTheme="majorEastAsia" w:cs="Yu Gothic" w:hint="eastAsia"/>
          <w:szCs w:val="21"/>
        </w:rPr>
        <w:t>种：人民</w:t>
      </w:r>
      <w:r w:rsidRPr="00917880">
        <w:rPr>
          <w:rFonts w:asciiTheme="majorEastAsia" w:eastAsiaTheme="majorEastAsia" w:hAnsiTheme="majorEastAsia" w:cs="PMingLiU" w:hint="eastAsia"/>
          <w:szCs w:val="21"/>
        </w:rPr>
        <w:t>币</w:t>
      </w:r>
    </w:p>
    <w:tbl>
      <w:tblPr>
        <w:tblW w:w="894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28" w:type="dxa"/>
        </w:tblCellMar>
        <w:tblLook w:val="04A0"/>
      </w:tblPr>
      <w:tblGrid>
        <w:gridCol w:w="3229"/>
        <w:gridCol w:w="1429"/>
        <w:gridCol w:w="1429"/>
        <w:gridCol w:w="1429"/>
        <w:gridCol w:w="1429"/>
      </w:tblGrid>
      <w:tr w:rsidR="001A27C3" w:rsidRPr="00F814B0" w:rsidTr="004B4952">
        <w:trPr>
          <w:trHeight w:val="265"/>
          <w:jc w:val="right"/>
        </w:trPr>
        <w:tc>
          <w:tcPr>
            <w:tcW w:w="3229" w:type="dxa"/>
            <w:vAlign w:val="bottom"/>
          </w:tcPr>
          <w:p w:rsidR="001A27C3" w:rsidRPr="00545050" w:rsidRDefault="001A27C3" w:rsidP="004B4952">
            <w:pPr>
              <w:snapToGrid w:val="0"/>
              <w:rPr>
                <w:sz w:val="18"/>
                <w:szCs w:val="18"/>
              </w:rPr>
            </w:pPr>
            <w:r w:rsidRPr="00545050">
              <w:rPr>
                <w:sz w:val="18"/>
                <w:szCs w:val="18"/>
              </w:rPr>
              <w:t> </w:t>
            </w:r>
          </w:p>
        </w:tc>
        <w:tc>
          <w:tcPr>
            <w:tcW w:w="2858" w:type="dxa"/>
            <w:gridSpan w:val="2"/>
            <w:vAlign w:val="center"/>
          </w:tcPr>
          <w:p w:rsidR="001A27C3" w:rsidRPr="00545050" w:rsidRDefault="001A27C3" w:rsidP="004B4952">
            <w:pPr>
              <w:snapToGrid w:val="0"/>
              <w:jc w:val="center"/>
              <w:rPr>
                <w:sz w:val="18"/>
                <w:szCs w:val="18"/>
              </w:rPr>
            </w:pPr>
            <w:r w:rsidRPr="00545050">
              <w:rPr>
                <w:sz w:val="18"/>
                <w:szCs w:val="18"/>
              </w:rPr>
              <w:t>本期发生额</w:t>
            </w:r>
          </w:p>
        </w:tc>
        <w:tc>
          <w:tcPr>
            <w:tcW w:w="2858" w:type="dxa"/>
            <w:gridSpan w:val="2"/>
            <w:vAlign w:val="center"/>
          </w:tcPr>
          <w:p w:rsidR="001A27C3" w:rsidRPr="00545050" w:rsidRDefault="001A27C3" w:rsidP="004B4952">
            <w:pPr>
              <w:snapToGrid w:val="0"/>
              <w:jc w:val="center"/>
              <w:rPr>
                <w:sz w:val="18"/>
                <w:szCs w:val="18"/>
              </w:rPr>
            </w:pPr>
            <w:r w:rsidRPr="00545050">
              <w:rPr>
                <w:sz w:val="18"/>
                <w:szCs w:val="18"/>
              </w:rPr>
              <w:t>上期发生额</w:t>
            </w:r>
          </w:p>
        </w:tc>
      </w:tr>
      <w:tr w:rsidR="001A27C3" w:rsidRPr="00F814B0" w:rsidTr="004B4952">
        <w:trPr>
          <w:trHeight w:val="265"/>
          <w:jc w:val="right"/>
        </w:trPr>
        <w:tc>
          <w:tcPr>
            <w:tcW w:w="3229" w:type="dxa"/>
            <w:vAlign w:val="center"/>
          </w:tcPr>
          <w:p w:rsidR="001A27C3" w:rsidRPr="00545050" w:rsidRDefault="001A27C3" w:rsidP="004B4952">
            <w:pPr>
              <w:snapToGrid w:val="0"/>
              <w:jc w:val="center"/>
              <w:rPr>
                <w:sz w:val="18"/>
                <w:szCs w:val="18"/>
              </w:rPr>
            </w:pPr>
            <w:r w:rsidRPr="00545050">
              <w:rPr>
                <w:sz w:val="18"/>
                <w:szCs w:val="18"/>
              </w:rPr>
              <w:t>项目</w:t>
            </w:r>
          </w:p>
        </w:tc>
        <w:tc>
          <w:tcPr>
            <w:tcW w:w="1429" w:type="dxa"/>
            <w:vAlign w:val="bottom"/>
          </w:tcPr>
          <w:p w:rsidR="001A27C3" w:rsidRPr="00545050" w:rsidRDefault="001A27C3" w:rsidP="004B4952">
            <w:pPr>
              <w:snapToGrid w:val="0"/>
              <w:jc w:val="right"/>
              <w:rPr>
                <w:sz w:val="18"/>
                <w:szCs w:val="18"/>
              </w:rPr>
            </w:pPr>
            <w:r w:rsidRPr="00545050">
              <w:rPr>
                <w:sz w:val="18"/>
                <w:szCs w:val="18"/>
              </w:rPr>
              <w:t>其他业务收入</w:t>
            </w:r>
          </w:p>
        </w:tc>
        <w:tc>
          <w:tcPr>
            <w:tcW w:w="1429" w:type="dxa"/>
            <w:vAlign w:val="bottom"/>
          </w:tcPr>
          <w:p w:rsidR="001A27C3" w:rsidRPr="00545050" w:rsidRDefault="001A27C3" w:rsidP="004B4952">
            <w:pPr>
              <w:snapToGrid w:val="0"/>
              <w:jc w:val="right"/>
              <w:rPr>
                <w:sz w:val="18"/>
                <w:szCs w:val="18"/>
              </w:rPr>
            </w:pPr>
            <w:r w:rsidRPr="00545050">
              <w:rPr>
                <w:sz w:val="18"/>
                <w:szCs w:val="18"/>
              </w:rPr>
              <w:t>其他业务成本</w:t>
            </w:r>
          </w:p>
        </w:tc>
        <w:tc>
          <w:tcPr>
            <w:tcW w:w="1429" w:type="dxa"/>
            <w:vAlign w:val="bottom"/>
          </w:tcPr>
          <w:p w:rsidR="001A27C3" w:rsidRPr="00545050" w:rsidRDefault="001A27C3" w:rsidP="004B4952">
            <w:pPr>
              <w:snapToGrid w:val="0"/>
              <w:jc w:val="right"/>
              <w:rPr>
                <w:sz w:val="18"/>
                <w:szCs w:val="18"/>
              </w:rPr>
            </w:pPr>
            <w:r w:rsidRPr="00545050">
              <w:rPr>
                <w:sz w:val="18"/>
                <w:szCs w:val="18"/>
              </w:rPr>
              <w:t>其他业务收入</w:t>
            </w:r>
          </w:p>
        </w:tc>
        <w:tc>
          <w:tcPr>
            <w:tcW w:w="1429" w:type="dxa"/>
            <w:vAlign w:val="bottom"/>
          </w:tcPr>
          <w:p w:rsidR="001A27C3" w:rsidRPr="00545050" w:rsidRDefault="001A27C3" w:rsidP="004B4952">
            <w:pPr>
              <w:snapToGrid w:val="0"/>
              <w:jc w:val="right"/>
              <w:rPr>
                <w:sz w:val="18"/>
                <w:szCs w:val="18"/>
              </w:rPr>
            </w:pPr>
            <w:r w:rsidRPr="00545050">
              <w:rPr>
                <w:sz w:val="18"/>
                <w:szCs w:val="18"/>
              </w:rPr>
              <w:t>其他业务成本</w:t>
            </w:r>
          </w:p>
        </w:tc>
      </w:tr>
      <w:tr w:rsidR="001A27C3" w:rsidRPr="00F814B0" w:rsidTr="004B4952">
        <w:trPr>
          <w:trHeight w:val="265"/>
          <w:jc w:val="right"/>
        </w:trPr>
        <w:tc>
          <w:tcPr>
            <w:tcW w:w="3229" w:type="dxa"/>
            <w:vAlign w:val="bottom"/>
          </w:tcPr>
          <w:p w:rsidR="001A27C3" w:rsidRPr="00545050" w:rsidRDefault="001A27C3" w:rsidP="004B4952">
            <w:pPr>
              <w:snapToGrid w:val="0"/>
              <w:rPr>
                <w:sz w:val="18"/>
                <w:szCs w:val="18"/>
              </w:rPr>
            </w:pPr>
            <w:r w:rsidRPr="00545050">
              <w:rPr>
                <w:sz w:val="18"/>
                <w:szCs w:val="18"/>
              </w:rPr>
              <w:t>材料物品销售</w:t>
            </w:r>
          </w:p>
        </w:tc>
        <w:tc>
          <w:tcPr>
            <w:tcW w:w="1429" w:type="dxa"/>
            <w:vAlign w:val="bottom"/>
          </w:tcPr>
          <w:p w:rsidR="001A27C3" w:rsidRPr="00545050" w:rsidRDefault="001A27C3" w:rsidP="004B4952">
            <w:pPr>
              <w:snapToGrid w:val="0"/>
              <w:jc w:val="right"/>
              <w:rPr>
                <w:sz w:val="18"/>
                <w:szCs w:val="18"/>
              </w:rPr>
            </w:pPr>
            <w:r w:rsidRPr="00545050">
              <w:rPr>
                <w:sz w:val="18"/>
                <w:szCs w:val="18"/>
              </w:rPr>
              <w:t>548,998,571</w:t>
            </w:r>
          </w:p>
        </w:tc>
        <w:tc>
          <w:tcPr>
            <w:tcW w:w="1429" w:type="dxa"/>
            <w:vAlign w:val="bottom"/>
          </w:tcPr>
          <w:p w:rsidR="001A27C3" w:rsidRPr="00545050" w:rsidRDefault="001A27C3" w:rsidP="004B4952">
            <w:pPr>
              <w:snapToGrid w:val="0"/>
              <w:jc w:val="right"/>
              <w:rPr>
                <w:sz w:val="18"/>
                <w:szCs w:val="18"/>
              </w:rPr>
            </w:pPr>
            <w:r w:rsidRPr="00545050">
              <w:rPr>
                <w:sz w:val="18"/>
                <w:szCs w:val="18"/>
              </w:rPr>
              <w:t>435,042,041</w:t>
            </w:r>
          </w:p>
        </w:tc>
        <w:tc>
          <w:tcPr>
            <w:tcW w:w="1429" w:type="dxa"/>
            <w:vAlign w:val="bottom"/>
          </w:tcPr>
          <w:p w:rsidR="001A27C3" w:rsidRPr="00545050" w:rsidRDefault="001A27C3" w:rsidP="004B4952">
            <w:pPr>
              <w:snapToGrid w:val="0"/>
              <w:jc w:val="right"/>
              <w:rPr>
                <w:sz w:val="18"/>
                <w:szCs w:val="18"/>
              </w:rPr>
            </w:pPr>
            <w:r w:rsidRPr="00545050">
              <w:rPr>
                <w:sz w:val="18"/>
                <w:szCs w:val="18"/>
              </w:rPr>
              <w:t>521,878,768</w:t>
            </w:r>
          </w:p>
        </w:tc>
        <w:tc>
          <w:tcPr>
            <w:tcW w:w="1429" w:type="dxa"/>
            <w:vAlign w:val="bottom"/>
          </w:tcPr>
          <w:p w:rsidR="001A27C3" w:rsidRPr="00545050" w:rsidRDefault="001A27C3" w:rsidP="004B4952">
            <w:pPr>
              <w:snapToGrid w:val="0"/>
              <w:jc w:val="right"/>
              <w:rPr>
                <w:sz w:val="18"/>
                <w:szCs w:val="18"/>
              </w:rPr>
            </w:pPr>
            <w:r w:rsidRPr="00545050">
              <w:rPr>
                <w:sz w:val="18"/>
                <w:szCs w:val="18"/>
              </w:rPr>
              <w:t>427,432,839</w:t>
            </w:r>
          </w:p>
        </w:tc>
      </w:tr>
      <w:tr w:rsidR="001A27C3" w:rsidRPr="00F814B0" w:rsidTr="004B4952">
        <w:trPr>
          <w:trHeight w:val="265"/>
          <w:jc w:val="right"/>
        </w:trPr>
        <w:tc>
          <w:tcPr>
            <w:tcW w:w="3229" w:type="dxa"/>
            <w:vAlign w:val="bottom"/>
          </w:tcPr>
          <w:p w:rsidR="001A27C3" w:rsidRPr="00545050" w:rsidRDefault="001A27C3" w:rsidP="004B4952">
            <w:pPr>
              <w:snapToGrid w:val="0"/>
              <w:rPr>
                <w:sz w:val="18"/>
                <w:szCs w:val="18"/>
              </w:rPr>
            </w:pPr>
            <w:r w:rsidRPr="00545050">
              <w:rPr>
                <w:sz w:val="18"/>
                <w:szCs w:val="18"/>
              </w:rPr>
              <w:t>维修</w:t>
            </w:r>
          </w:p>
        </w:tc>
        <w:tc>
          <w:tcPr>
            <w:tcW w:w="1429" w:type="dxa"/>
            <w:vAlign w:val="bottom"/>
          </w:tcPr>
          <w:p w:rsidR="001A27C3" w:rsidRPr="00545050" w:rsidRDefault="001A27C3" w:rsidP="004B4952">
            <w:pPr>
              <w:snapToGrid w:val="0"/>
              <w:jc w:val="right"/>
              <w:rPr>
                <w:sz w:val="18"/>
                <w:szCs w:val="18"/>
              </w:rPr>
            </w:pPr>
            <w:r w:rsidRPr="00545050">
              <w:rPr>
                <w:sz w:val="18"/>
                <w:szCs w:val="18"/>
              </w:rPr>
              <w:t>497,606,475</w:t>
            </w:r>
          </w:p>
        </w:tc>
        <w:tc>
          <w:tcPr>
            <w:tcW w:w="1429" w:type="dxa"/>
            <w:vAlign w:val="bottom"/>
          </w:tcPr>
          <w:p w:rsidR="001A27C3" w:rsidRPr="00545050" w:rsidRDefault="001A27C3" w:rsidP="004B4952">
            <w:pPr>
              <w:snapToGrid w:val="0"/>
              <w:jc w:val="right"/>
              <w:rPr>
                <w:sz w:val="18"/>
                <w:szCs w:val="18"/>
              </w:rPr>
            </w:pPr>
            <w:r w:rsidRPr="00545050">
              <w:rPr>
                <w:sz w:val="18"/>
                <w:szCs w:val="18"/>
              </w:rPr>
              <w:t>365,946,275</w:t>
            </w:r>
          </w:p>
        </w:tc>
        <w:tc>
          <w:tcPr>
            <w:tcW w:w="1429" w:type="dxa"/>
            <w:vAlign w:val="bottom"/>
          </w:tcPr>
          <w:p w:rsidR="001A27C3" w:rsidRPr="00545050" w:rsidRDefault="001A27C3" w:rsidP="004B4952">
            <w:pPr>
              <w:snapToGrid w:val="0"/>
              <w:jc w:val="right"/>
              <w:rPr>
                <w:sz w:val="18"/>
                <w:szCs w:val="18"/>
              </w:rPr>
            </w:pPr>
            <w:r w:rsidRPr="00545050">
              <w:rPr>
                <w:sz w:val="18"/>
                <w:szCs w:val="18"/>
              </w:rPr>
              <w:t>483,283,359</w:t>
            </w:r>
          </w:p>
        </w:tc>
        <w:tc>
          <w:tcPr>
            <w:tcW w:w="1429" w:type="dxa"/>
            <w:vAlign w:val="bottom"/>
          </w:tcPr>
          <w:p w:rsidR="001A27C3" w:rsidRPr="00545050" w:rsidRDefault="001A27C3" w:rsidP="004B4952">
            <w:pPr>
              <w:snapToGrid w:val="0"/>
              <w:jc w:val="right"/>
              <w:rPr>
                <w:sz w:val="18"/>
                <w:szCs w:val="18"/>
              </w:rPr>
            </w:pPr>
            <w:r w:rsidRPr="00545050">
              <w:rPr>
                <w:sz w:val="18"/>
                <w:szCs w:val="18"/>
              </w:rPr>
              <w:t>388,533,637</w:t>
            </w:r>
          </w:p>
        </w:tc>
      </w:tr>
      <w:tr w:rsidR="001A27C3" w:rsidRPr="00F814B0" w:rsidTr="004B4952">
        <w:trPr>
          <w:trHeight w:val="279"/>
          <w:jc w:val="right"/>
        </w:trPr>
        <w:tc>
          <w:tcPr>
            <w:tcW w:w="3229" w:type="dxa"/>
            <w:vAlign w:val="bottom"/>
          </w:tcPr>
          <w:p w:rsidR="001A27C3" w:rsidRPr="00545050" w:rsidRDefault="001A27C3" w:rsidP="004B4952">
            <w:pPr>
              <w:snapToGrid w:val="0"/>
              <w:rPr>
                <w:sz w:val="18"/>
                <w:szCs w:val="18"/>
              </w:rPr>
            </w:pPr>
            <w:r w:rsidRPr="00545050">
              <w:rPr>
                <w:sz w:val="18"/>
                <w:szCs w:val="18"/>
              </w:rPr>
              <w:t>劳务</w:t>
            </w:r>
          </w:p>
        </w:tc>
        <w:tc>
          <w:tcPr>
            <w:tcW w:w="1429" w:type="dxa"/>
            <w:vAlign w:val="bottom"/>
          </w:tcPr>
          <w:p w:rsidR="001A27C3" w:rsidRPr="00545050" w:rsidRDefault="001A27C3" w:rsidP="004B4952">
            <w:pPr>
              <w:snapToGrid w:val="0"/>
              <w:jc w:val="right"/>
              <w:rPr>
                <w:sz w:val="18"/>
                <w:szCs w:val="18"/>
              </w:rPr>
            </w:pPr>
            <w:r w:rsidRPr="00545050">
              <w:rPr>
                <w:sz w:val="18"/>
                <w:szCs w:val="18"/>
              </w:rPr>
              <w:t>233,490,369</w:t>
            </w:r>
          </w:p>
        </w:tc>
        <w:tc>
          <w:tcPr>
            <w:tcW w:w="1429" w:type="dxa"/>
            <w:vAlign w:val="bottom"/>
          </w:tcPr>
          <w:p w:rsidR="001A27C3" w:rsidRPr="00545050" w:rsidRDefault="001A27C3" w:rsidP="004B4952">
            <w:pPr>
              <w:snapToGrid w:val="0"/>
              <w:jc w:val="right"/>
              <w:rPr>
                <w:sz w:val="18"/>
                <w:szCs w:val="18"/>
              </w:rPr>
            </w:pPr>
            <w:r w:rsidRPr="00545050">
              <w:rPr>
                <w:sz w:val="18"/>
                <w:szCs w:val="18"/>
              </w:rPr>
              <w:t>198,733,203</w:t>
            </w:r>
          </w:p>
        </w:tc>
        <w:tc>
          <w:tcPr>
            <w:tcW w:w="1429" w:type="dxa"/>
            <w:vAlign w:val="bottom"/>
          </w:tcPr>
          <w:p w:rsidR="001A27C3" w:rsidRPr="00545050" w:rsidRDefault="001A27C3" w:rsidP="004B4952">
            <w:pPr>
              <w:snapToGrid w:val="0"/>
              <w:jc w:val="right"/>
              <w:rPr>
                <w:sz w:val="18"/>
                <w:szCs w:val="18"/>
              </w:rPr>
            </w:pPr>
            <w:r w:rsidRPr="00545050">
              <w:rPr>
                <w:sz w:val="18"/>
                <w:szCs w:val="18"/>
              </w:rPr>
              <w:t>262,311,137</w:t>
            </w:r>
          </w:p>
        </w:tc>
        <w:tc>
          <w:tcPr>
            <w:tcW w:w="1429" w:type="dxa"/>
            <w:vAlign w:val="bottom"/>
          </w:tcPr>
          <w:p w:rsidR="001A27C3" w:rsidRPr="00545050" w:rsidRDefault="001A27C3" w:rsidP="004B4952">
            <w:pPr>
              <w:snapToGrid w:val="0"/>
              <w:jc w:val="right"/>
              <w:rPr>
                <w:sz w:val="18"/>
                <w:szCs w:val="18"/>
              </w:rPr>
            </w:pPr>
            <w:r w:rsidRPr="00545050">
              <w:rPr>
                <w:sz w:val="18"/>
                <w:szCs w:val="18"/>
              </w:rPr>
              <w:t>224,271,928</w:t>
            </w:r>
          </w:p>
        </w:tc>
      </w:tr>
      <w:tr w:rsidR="001A27C3" w:rsidRPr="00F814B0" w:rsidTr="004B4952">
        <w:trPr>
          <w:trHeight w:val="265"/>
          <w:jc w:val="right"/>
        </w:trPr>
        <w:tc>
          <w:tcPr>
            <w:tcW w:w="3229" w:type="dxa"/>
            <w:vAlign w:val="bottom"/>
          </w:tcPr>
          <w:p w:rsidR="001A27C3" w:rsidRPr="00545050" w:rsidRDefault="001A27C3" w:rsidP="004B4952">
            <w:pPr>
              <w:snapToGrid w:val="0"/>
              <w:rPr>
                <w:sz w:val="18"/>
                <w:szCs w:val="18"/>
              </w:rPr>
            </w:pPr>
            <w:r w:rsidRPr="00545050">
              <w:rPr>
                <w:sz w:val="18"/>
                <w:szCs w:val="18"/>
              </w:rPr>
              <w:t>其他</w:t>
            </w:r>
          </w:p>
        </w:tc>
        <w:tc>
          <w:tcPr>
            <w:tcW w:w="1429" w:type="dxa"/>
            <w:vAlign w:val="bottom"/>
          </w:tcPr>
          <w:p w:rsidR="001A27C3" w:rsidRPr="00545050" w:rsidRDefault="001A27C3" w:rsidP="004B4952">
            <w:pPr>
              <w:snapToGrid w:val="0"/>
              <w:jc w:val="right"/>
              <w:rPr>
                <w:sz w:val="18"/>
                <w:szCs w:val="18"/>
              </w:rPr>
            </w:pPr>
            <w:r w:rsidRPr="00545050">
              <w:rPr>
                <w:sz w:val="18"/>
                <w:szCs w:val="18"/>
              </w:rPr>
              <w:t>198,656,614</w:t>
            </w:r>
          </w:p>
        </w:tc>
        <w:tc>
          <w:tcPr>
            <w:tcW w:w="1429" w:type="dxa"/>
            <w:vAlign w:val="bottom"/>
          </w:tcPr>
          <w:p w:rsidR="001A27C3" w:rsidRPr="00545050" w:rsidRDefault="001A27C3" w:rsidP="004B4952">
            <w:pPr>
              <w:snapToGrid w:val="0"/>
              <w:jc w:val="right"/>
              <w:rPr>
                <w:sz w:val="18"/>
                <w:szCs w:val="18"/>
              </w:rPr>
            </w:pPr>
            <w:r w:rsidRPr="00545050">
              <w:rPr>
                <w:sz w:val="18"/>
                <w:szCs w:val="18"/>
              </w:rPr>
              <w:t>165,504,333</w:t>
            </w:r>
          </w:p>
        </w:tc>
        <w:tc>
          <w:tcPr>
            <w:tcW w:w="1429" w:type="dxa"/>
            <w:vAlign w:val="bottom"/>
          </w:tcPr>
          <w:p w:rsidR="001A27C3" w:rsidRPr="00545050" w:rsidRDefault="001A27C3" w:rsidP="004B4952">
            <w:pPr>
              <w:snapToGrid w:val="0"/>
              <w:jc w:val="right"/>
              <w:rPr>
                <w:sz w:val="18"/>
                <w:szCs w:val="18"/>
              </w:rPr>
            </w:pPr>
            <w:r w:rsidRPr="00545050">
              <w:rPr>
                <w:sz w:val="18"/>
                <w:szCs w:val="18"/>
              </w:rPr>
              <w:t>185,121,617</w:t>
            </w:r>
          </w:p>
        </w:tc>
        <w:tc>
          <w:tcPr>
            <w:tcW w:w="1429" w:type="dxa"/>
            <w:vAlign w:val="bottom"/>
          </w:tcPr>
          <w:p w:rsidR="001A27C3" w:rsidRPr="00545050" w:rsidRDefault="001A27C3" w:rsidP="004B4952">
            <w:pPr>
              <w:snapToGrid w:val="0"/>
              <w:jc w:val="right"/>
              <w:rPr>
                <w:sz w:val="18"/>
                <w:szCs w:val="18"/>
              </w:rPr>
            </w:pPr>
            <w:r w:rsidRPr="00545050">
              <w:rPr>
                <w:sz w:val="18"/>
                <w:szCs w:val="18"/>
              </w:rPr>
              <w:t>165,275,482</w:t>
            </w:r>
          </w:p>
        </w:tc>
      </w:tr>
      <w:tr w:rsidR="001A27C3" w:rsidRPr="00F814B0" w:rsidTr="004B4952">
        <w:trPr>
          <w:trHeight w:val="265"/>
          <w:jc w:val="right"/>
        </w:trPr>
        <w:tc>
          <w:tcPr>
            <w:tcW w:w="3229" w:type="dxa"/>
            <w:vAlign w:val="bottom"/>
          </w:tcPr>
          <w:p w:rsidR="001A27C3" w:rsidRPr="00545050" w:rsidRDefault="001A27C3" w:rsidP="004B4952">
            <w:pPr>
              <w:snapToGrid w:val="0"/>
              <w:rPr>
                <w:sz w:val="18"/>
                <w:szCs w:val="18"/>
              </w:rPr>
            </w:pPr>
            <w:r w:rsidRPr="00545050">
              <w:rPr>
                <w:sz w:val="18"/>
                <w:szCs w:val="18"/>
              </w:rPr>
              <w:t>合计</w:t>
            </w:r>
          </w:p>
        </w:tc>
        <w:tc>
          <w:tcPr>
            <w:tcW w:w="1429" w:type="dxa"/>
            <w:vAlign w:val="bottom"/>
          </w:tcPr>
          <w:p w:rsidR="001A27C3" w:rsidRPr="00545050" w:rsidRDefault="001A27C3" w:rsidP="004B4952">
            <w:pPr>
              <w:snapToGrid w:val="0"/>
              <w:jc w:val="right"/>
              <w:rPr>
                <w:sz w:val="18"/>
                <w:szCs w:val="18"/>
              </w:rPr>
            </w:pPr>
            <w:r w:rsidRPr="00545050">
              <w:rPr>
                <w:sz w:val="18"/>
                <w:szCs w:val="18"/>
              </w:rPr>
              <w:t>1,478,752,029</w:t>
            </w:r>
          </w:p>
        </w:tc>
        <w:tc>
          <w:tcPr>
            <w:tcW w:w="1429" w:type="dxa"/>
            <w:vAlign w:val="bottom"/>
          </w:tcPr>
          <w:p w:rsidR="001A27C3" w:rsidRPr="00545050" w:rsidRDefault="001A27C3" w:rsidP="004B4952">
            <w:pPr>
              <w:snapToGrid w:val="0"/>
              <w:jc w:val="right"/>
              <w:rPr>
                <w:sz w:val="18"/>
                <w:szCs w:val="18"/>
              </w:rPr>
            </w:pPr>
            <w:r w:rsidRPr="00545050">
              <w:rPr>
                <w:sz w:val="18"/>
                <w:szCs w:val="18"/>
              </w:rPr>
              <w:t>1,165,225,852</w:t>
            </w:r>
          </w:p>
        </w:tc>
        <w:tc>
          <w:tcPr>
            <w:tcW w:w="1429" w:type="dxa"/>
            <w:vAlign w:val="bottom"/>
          </w:tcPr>
          <w:p w:rsidR="001A27C3" w:rsidRPr="00545050" w:rsidRDefault="001A27C3" w:rsidP="004B4952">
            <w:pPr>
              <w:snapToGrid w:val="0"/>
              <w:jc w:val="right"/>
              <w:rPr>
                <w:sz w:val="18"/>
                <w:szCs w:val="18"/>
              </w:rPr>
            </w:pPr>
            <w:r w:rsidRPr="00545050">
              <w:rPr>
                <w:sz w:val="18"/>
                <w:szCs w:val="18"/>
              </w:rPr>
              <w:t>1,452,594,881</w:t>
            </w:r>
          </w:p>
        </w:tc>
        <w:tc>
          <w:tcPr>
            <w:tcW w:w="1429" w:type="dxa"/>
            <w:vAlign w:val="bottom"/>
          </w:tcPr>
          <w:p w:rsidR="001A27C3" w:rsidRPr="00545050" w:rsidRDefault="001A27C3" w:rsidP="004B4952">
            <w:pPr>
              <w:snapToGrid w:val="0"/>
              <w:jc w:val="right"/>
              <w:rPr>
                <w:sz w:val="18"/>
                <w:szCs w:val="18"/>
              </w:rPr>
            </w:pPr>
            <w:r w:rsidRPr="00545050">
              <w:rPr>
                <w:sz w:val="18"/>
                <w:szCs w:val="18"/>
              </w:rPr>
              <w:t>1,205,513,886</w:t>
            </w:r>
          </w:p>
        </w:tc>
      </w:tr>
    </w:tbl>
    <w:p w:rsidR="001A27C3" w:rsidRDefault="001A27C3"/>
    <w:bookmarkStart w:id="284" w:name="_Hlk533798810" w:displacedByCustomXml="next"/>
    <w:sdt>
      <w:sdtPr>
        <w:rPr>
          <w:rFonts w:ascii="宋体" w:eastAsia="宋体" w:hAnsi="宋体" w:cs="宋体" w:hint="eastAsia"/>
          <w:b w:val="0"/>
          <w:bCs w:val="0"/>
          <w:kern w:val="0"/>
          <w:szCs w:val="24"/>
        </w:rPr>
        <w:alias w:val="模块:合同产生的收入的情况"/>
        <w:tag w:val="_SEC_a0a33d96e9f9469a9966c7cb475fdfc4"/>
        <w:id w:val="730654175"/>
        <w:lock w:val="sdtLocked"/>
        <w:placeholder>
          <w:docPart w:val="GBC22222222222222222222222222222"/>
        </w:placeholder>
      </w:sdtPr>
      <w:sdtEndPr>
        <w:rPr>
          <w:rFonts w:hint="default"/>
        </w:rPr>
      </w:sdtEndPr>
      <w:sdtContent>
        <w:p w:rsidR="00806678" w:rsidRDefault="00B16377" w:rsidP="00FF17C7">
          <w:pPr>
            <w:pStyle w:val="4"/>
            <w:numPr>
              <w:ilvl w:val="0"/>
              <w:numId w:val="122"/>
            </w:numPr>
          </w:pPr>
          <w:r>
            <w:rPr>
              <w:rFonts w:hint="eastAsia"/>
            </w:rPr>
            <w:t>合同产生的收入的情况</w:t>
          </w:r>
        </w:p>
        <w:sdt>
          <w:sdtPr>
            <w:rPr>
              <w:rFonts w:ascii="宋体" w:hAnsi="宋体"/>
              <w:szCs w:val="21"/>
            </w:rPr>
            <w:alias w:val="是否适用：母公司合同产生的收入[双击切换]"/>
            <w:tag w:val="_GBC_f459dad39f414a73aa2c0673b99e3d8b"/>
            <w:id w:val="-736157569"/>
            <w:lock w:val="sdtLocked"/>
            <w:placeholder>
              <w:docPart w:val="GBC22222222222222222222222222222"/>
            </w:placeholder>
          </w:sdtPr>
          <w:sdtContent>
            <w:p w:rsidR="00806678" w:rsidRDefault="00F80B6C">
              <w:pPr>
                <w:pStyle w:val="a9"/>
                <w:ind w:firstLineChars="0" w:firstLine="0"/>
                <w:jc w:val="left"/>
                <w:rPr>
                  <w:rFonts w:ascii="宋体" w:hAnsi="宋体"/>
                  <w:szCs w:val="21"/>
                </w:rPr>
              </w:pPr>
              <w:r>
                <w:rPr>
                  <w:rFonts w:ascii="宋体" w:hAnsi="宋体"/>
                  <w:szCs w:val="21"/>
                </w:rPr>
                <w:fldChar w:fldCharType="begin"/>
              </w:r>
              <w:r w:rsidR="00CE55F0">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sidR="00CE55F0">
                <w:rPr>
                  <w:rFonts w:ascii="宋体" w:hAnsi="宋体"/>
                  <w:szCs w:val="21"/>
                </w:rPr>
                <w:instrText xml:space="preserve"> MACROBUTTON  SnrToggleCheckbox □不适用 </w:instrText>
              </w:r>
              <w:r>
                <w:rPr>
                  <w:rFonts w:ascii="宋体" w:hAnsi="宋体"/>
                  <w:szCs w:val="21"/>
                </w:rPr>
                <w:fldChar w:fldCharType="end"/>
              </w:r>
            </w:p>
          </w:sdtContent>
        </w:sdt>
        <w:p w:rsidR="00806678" w:rsidRDefault="00B16377">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母公司合同产生的收入"/>
              <w:tag w:val="_GBC_d1186f24866544ad94eb5bd536cb9cb0"/>
              <w:id w:val="46130513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母公司合同产生的收入"/>
              <w:tag w:val="_GBC_fa50fd88a1514f848579e2fcc2ea7405"/>
              <w:id w:val="170404987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szCs w:val="21"/>
                </w:rPr>
                <w:t>人民币</w:t>
              </w:r>
            </w:sdtContent>
          </w:sdt>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999"/>
            <w:gridCol w:w="3956"/>
          </w:tblGrid>
          <w:tr w:rsidR="00816448" w:rsidTr="00917880">
            <w:sdt>
              <w:sdtPr>
                <w:rPr>
                  <w:rFonts w:hint="eastAsia"/>
                  <w:szCs w:val="21"/>
                </w:rPr>
                <w:tag w:val="_PLD_dfb6c310f9d34b449d34c1354a62eefa"/>
                <w:id w:val="-1178111915"/>
                <w:lock w:val="sdtLocked"/>
              </w:sdtPr>
              <w:sdtContent>
                <w:tc>
                  <w:tcPr>
                    <w:tcW w:w="2791" w:type="pct"/>
                    <w:tcBorders>
                      <w:top w:val="single" w:sz="4" w:space="0" w:color="auto"/>
                      <w:left w:val="single" w:sz="4" w:space="0" w:color="auto"/>
                      <w:bottom w:val="single" w:sz="4" w:space="0" w:color="auto"/>
                      <w:right w:val="single" w:sz="4" w:space="0" w:color="auto"/>
                    </w:tcBorders>
                    <w:shd w:val="clear" w:color="auto" w:fill="auto"/>
                  </w:tcPr>
                  <w:p w:rsidR="00816448" w:rsidRDefault="00816448" w:rsidP="00DB008B">
                    <w:pPr>
                      <w:jc w:val="center"/>
                      <w:rPr>
                        <w:szCs w:val="21"/>
                      </w:rPr>
                    </w:pPr>
                    <w:r>
                      <w:rPr>
                        <w:rFonts w:hint="eastAsia"/>
                        <w:szCs w:val="21"/>
                      </w:rPr>
                      <w:t>合同分类</w:t>
                    </w:r>
                  </w:p>
                </w:tc>
              </w:sdtContent>
            </w:sdt>
            <w:sdt>
              <w:sdtPr>
                <w:rPr>
                  <w:rFonts w:hint="eastAsia"/>
                  <w:szCs w:val="21"/>
                </w:rPr>
                <w:tag w:val="_PLD_6ae38f0e9acc4ae69efe10e142d45ca6"/>
                <w:id w:val="-739939944"/>
                <w:lock w:val="sdtLocked"/>
              </w:sdtPr>
              <w:sdtContent>
                <w:tc>
                  <w:tcPr>
                    <w:tcW w:w="2209" w:type="pct"/>
                    <w:tcBorders>
                      <w:top w:val="single" w:sz="4" w:space="0" w:color="auto"/>
                      <w:left w:val="single" w:sz="4" w:space="0" w:color="auto"/>
                      <w:bottom w:val="single" w:sz="4" w:space="0" w:color="auto"/>
                      <w:right w:val="single" w:sz="4" w:space="0" w:color="auto"/>
                    </w:tcBorders>
                    <w:vAlign w:val="center"/>
                  </w:tcPr>
                  <w:p w:rsidR="00816448" w:rsidRDefault="00816448" w:rsidP="00DB008B">
                    <w:pPr>
                      <w:jc w:val="center"/>
                      <w:rPr>
                        <w:color w:val="808080"/>
                        <w:szCs w:val="21"/>
                      </w:rPr>
                    </w:pPr>
                    <w:r>
                      <w:rPr>
                        <w:rFonts w:hint="eastAsia"/>
                        <w:szCs w:val="21"/>
                      </w:rPr>
                      <w:t>合计</w:t>
                    </w:r>
                  </w:p>
                </w:tc>
              </w:sdtContent>
            </w:sdt>
          </w:tr>
          <w:tr w:rsidR="00816448" w:rsidTr="00917880">
            <w:tc>
              <w:tcPr>
                <w:tcW w:w="2791" w:type="pct"/>
                <w:tcBorders>
                  <w:top w:val="single" w:sz="4" w:space="0" w:color="auto"/>
                  <w:left w:val="single" w:sz="4" w:space="0" w:color="auto"/>
                  <w:bottom w:val="single" w:sz="4" w:space="0" w:color="auto"/>
                  <w:right w:val="single" w:sz="4" w:space="0" w:color="auto"/>
                </w:tcBorders>
                <w:shd w:val="clear" w:color="auto" w:fill="auto"/>
              </w:tcPr>
              <w:sdt>
                <w:sdtPr>
                  <w:rPr>
                    <w:rFonts w:hint="eastAsia"/>
                    <w:szCs w:val="21"/>
                  </w:rPr>
                  <w:tag w:val="_PLD_bb1c34855d9346afb58fa69b0b8b6c4d"/>
                  <w:id w:val="1473168005"/>
                  <w:lock w:val="sdtLocked"/>
                </w:sdtPr>
                <w:sdtContent>
                  <w:p w:rsidR="00816448" w:rsidRDefault="00816448" w:rsidP="00DB008B">
                    <w:pPr>
                      <w:rPr>
                        <w:szCs w:val="21"/>
                      </w:rPr>
                    </w:pPr>
                    <w:r>
                      <w:rPr>
                        <w:rFonts w:hint="eastAsia"/>
                        <w:szCs w:val="21"/>
                      </w:rPr>
                      <w:t>按商品转让的时间分类</w:t>
                    </w:r>
                  </w:p>
                </w:sdtContent>
              </w:sdt>
            </w:tc>
            <w:sdt>
              <w:sdtPr>
                <w:rPr>
                  <w:szCs w:val="21"/>
                </w:rPr>
                <w:alias w:val="按商品转让的时间分类合同产生的收入"/>
                <w:tag w:val="_GBC_e0cd0e25dfa94ea888f91993faaeb871"/>
                <w:id w:val="-792980223"/>
                <w:lock w:val="sdtLocked"/>
                <w:showingPlcHdr/>
              </w:sdtPr>
              <w:sdtContent>
                <w:tc>
                  <w:tcPr>
                    <w:tcW w:w="2209" w:type="pct"/>
                    <w:tcBorders>
                      <w:top w:val="single" w:sz="4" w:space="0" w:color="auto"/>
                      <w:left w:val="single" w:sz="4" w:space="0" w:color="auto"/>
                      <w:bottom w:val="single" w:sz="4" w:space="0" w:color="auto"/>
                      <w:right w:val="single" w:sz="4" w:space="0" w:color="auto"/>
                    </w:tcBorders>
                  </w:tcPr>
                  <w:p w:rsidR="00816448" w:rsidRDefault="00816448" w:rsidP="00DB008B">
                    <w:pPr>
                      <w:jc w:val="right"/>
                      <w:rPr>
                        <w:szCs w:val="21"/>
                      </w:rPr>
                    </w:pPr>
                    <w:r>
                      <w:rPr>
                        <w:rFonts w:hint="eastAsia"/>
                      </w:rPr>
                      <w:t xml:space="preserve">　</w:t>
                    </w:r>
                  </w:p>
                </w:tc>
              </w:sdtContent>
            </w:sdt>
          </w:tr>
          <w:tr w:rsidR="00816448" w:rsidTr="00917880">
            <w:sdt>
              <w:sdtPr>
                <w:rPr>
                  <w:rFonts w:hint="eastAsia"/>
                  <w:szCs w:val="21"/>
                </w:rPr>
                <w:alias w:val="分部按商品转让的时间分类明细名称"/>
                <w:tag w:val="_GBC_e7adafc7e85a4108a25866f292559bdc"/>
                <w:id w:val="519428083"/>
                <w:lock w:val="sdtLocked"/>
              </w:sdtPr>
              <w:sdtContent>
                <w:tc>
                  <w:tcPr>
                    <w:tcW w:w="2791" w:type="pct"/>
                    <w:tcBorders>
                      <w:top w:val="single" w:sz="4" w:space="0" w:color="auto"/>
                      <w:left w:val="single" w:sz="4" w:space="0" w:color="auto"/>
                      <w:bottom w:val="single" w:sz="4" w:space="0" w:color="auto"/>
                      <w:right w:val="single" w:sz="4" w:space="0" w:color="auto"/>
                    </w:tcBorders>
                    <w:shd w:val="clear" w:color="auto" w:fill="auto"/>
                  </w:tcPr>
                  <w:p w:rsidR="00816448" w:rsidRDefault="00816448" w:rsidP="00DB008B">
                    <w:pPr>
                      <w:ind w:firstLineChars="200" w:firstLine="420"/>
                      <w:rPr>
                        <w:szCs w:val="21"/>
                      </w:rPr>
                    </w:pPr>
                    <w:r>
                      <w:rPr>
                        <w:rFonts w:hint="eastAsia"/>
                        <w:szCs w:val="21"/>
                      </w:rPr>
                      <w:t>在某一时点确认收入</w:t>
                    </w:r>
                  </w:p>
                </w:tc>
              </w:sdtContent>
            </w:sdt>
            <w:sdt>
              <w:sdtPr>
                <w:rPr>
                  <w:szCs w:val="21"/>
                </w:rPr>
                <w:alias w:val="按商品转让的时间分类明细合同产生的收入"/>
                <w:tag w:val="_GBC_1040de7bcebb4e4d9868bf1d25d6a370"/>
                <w:id w:val="-138423145"/>
                <w:lock w:val="sdtLocked"/>
              </w:sdtPr>
              <w:sdtContent>
                <w:tc>
                  <w:tcPr>
                    <w:tcW w:w="2209" w:type="pct"/>
                    <w:tcBorders>
                      <w:top w:val="single" w:sz="4" w:space="0" w:color="auto"/>
                      <w:left w:val="single" w:sz="4" w:space="0" w:color="auto"/>
                      <w:bottom w:val="single" w:sz="4" w:space="0" w:color="auto"/>
                      <w:right w:val="single" w:sz="4" w:space="0" w:color="auto"/>
                    </w:tcBorders>
                  </w:tcPr>
                  <w:p w:rsidR="00816448" w:rsidRDefault="00816448" w:rsidP="00DB008B">
                    <w:pPr>
                      <w:jc w:val="right"/>
                      <w:rPr>
                        <w:szCs w:val="21"/>
                      </w:rPr>
                    </w:pPr>
                    <w:r>
                      <w:rPr>
                        <w:szCs w:val="21"/>
                      </w:rPr>
                      <w:t>548,998,571</w:t>
                    </w:r>
                  </w:p>
                </w:tc>
              </w:sdtContent>
            </w:sdt>
          </w:tr>
          <w:tr w:rsidR="00816448" w:rsidTr="00917880">
            <w:sdt>
              <w:sdtPr>
                <w:rPr>
                  <w:rFonts w:hint="eastAsia"/>
                  <w:szCs w:val="21"/>
                </w:rPr>
                <w:alias w:val="分部按商品转让的时间分类明细名称"/>
                <w:tag w:val="_GBC_e7adafc7e85a4108a25866f292559bdc"/>
                <w:id w:val="266672793"/>
                <w:lock w:val="sdtLocked"/>
              </w:sdtPr>
              <w:sdtContent>
                <w:tc>
                  <w:tcPr>
                    <w:tcW w:w="2791" w:type="pct"/>
                    <w:tcBorders>
                      <w:top w:val="single" w:sz="4" w:space="0" w:color="auto"/>
                      <w:left w:val="single" w:sz="4" w:space="0" w:color="auto"/>
                      <w:bottom w:val="single" w:sz="4" w:space="0" w:color="auto"/>
                      <w:right w:val="single" w:sz="4" w:space="0" w:color="auto"/>
                    </w:tcBorders>
                    <w:shd w:val="clear" w:color="auto" w:fill="auto"/>
                  </w:tcPr>
                  <w:p w:rsidR="00816448" w:rsidRDefault="00816448" w:rsidP="00DB008B">
                    <w:pPr>
                      <w:ind w:firstLineChars="200" w:firstLine="420"/>
                      <w:rPr>
                        <w:szCs w:val="21"/>
                      </w:rPr>
                    </w:pPr>
                    <w:r>
                      <w:rPr>
                        <w:rFonts w:hint="eastAsia"/>
                        <w:szCs w:val="21"/>
                      </w:rPr>
                      <w:t>在某一时段内确认收入</w:t>
                    </w:r>
                  </w:p>
                </w:tc>
              </w:sdtContent>
            </w:sdt>
            <w:sdt>
              <w:sdtPr>
                <w:rPr>
                  <w:szCs w:val="21"/>
                </w:rPr>
                <w:alias w:val="按商品转让的时间分类明细合同产生的收入"/>
                <w:tag w:val="_GBC_1040de7bcebb4e4d9868bf1d25d6a370"/>
                <w:id w:val="-1086296408"/>
                <w:lock w:val="sdtLocked"/>
              </w:sdtPr>
              <w:sdtContent>
                <w:tc>
                  <w:tcPr>
                    <w:tcW w:w="2209" w:type="pct"/>
                    <w:tcBorders>
                      <w:top w:val="single" w:sz="4" w:space="0" w:color="auto"/>
                      <w:left w:val="single" w:sz="4" w:space="0" w:color="auto"/>
                      <w:bottom w:val="single" w:sz="4" w:space="0" w:color="auto"/>
                      <w:right w:val="single" w:sz="4" w:space="0" w:color="auto"/>
                    </w:tcBorders>
                  </w:tcPr>
                  <w:p w:rsidR="00816448" w:rsidRDefault="00816448" w:rsidP="00DB008B">
                    <w:pPr>
                      <w:jc w:val="right"/>
                      <w:rPr>
                        <w:szCs w:val="21"/>
                      </w:rPr>
                    </w:pPr>
                    <w:r>
                      <w:rPr>
                        <w:szCs w:val="21"/>
                      </w:rPr>
                      <w:t>69,574,890,687</w:t>
                    </w:r>
                  </w:p>
                </w:tc>
              </w:sdtContent>
            </w:sdt>
          </w:tr>
          <w:tr w:rsidR="00816448" w:rsidTr="00917880">
            <w:tc>
              <w:tcPr>
                <w:tcW w:w="2791" w:type="pct"/>
                <w:tcBorders>
                  <w:top w:val="single" w:sz="4" w:space="0" w:color="auto"/>
                  <w:left w:val="single" w:sz="4" w:space="0" w:color="auto"/>
                  <w:bottom w:val="single" w:sz="4" w:space="0" w:color="auto"/>
                  <w:right w:val="single" w:sz="4" w:space="0" w:color="auto"/>
                </w:tcBorders>
                <w:shd w:val="clear" w:color="auto" w:fill="auto"/>
              </w:tcPr>
              <w:sdt>
                <w:sdtPr>
                  <w:rPr>
                    <w:rFonts w:hint="eastAsia"/>
                    <w:szCs w:val="21"/>
                  </w:rPr>
                  <w:tag w:val="_PLD_2be217fe6a7a41fe82015e942f45feab"/>
                  <w:id w:val="1885607027"/>
                  <w:lock w:val="sdtLocked"/>
                </w:sdtPr>
                <w:sdtContent>
                  <w:p w:rsidR="00816448" w:rsidRDefault="00816448" w:rsidP="00DB008B">
                    <w:pPr>
                      <w:jc w:val="center"/>
                      <w:rPr>
                        <w:szCs w:val="21"/>
                      </w:rPr>
                    </w:pPr>
                    <w:r>
                      <w:rPr>
                        <w:rFonts w:hint="eastAsia"/>
                        <w:szCs w:val="21"/>
                      </w:rPr>
                      <w:t>合计</w:t>
                    </w:r>
                  </w:p>
                </w:sdtContent>
              </w:sdt>
            </w:tc>
            <w:sdt>
              <w:sdtPr>
                <w:rPr>
                  <w:szCs w:val="21"/>
                </w:rPr>
                <w:alias w:val="合同产生的收入"/>
                <w:tag w:val="_GBC_45b9233f9c4d4d8bb3b70fa63aac52b6"/>
                <w:id w:val="-986698013"/>
                <w:lock w:val="sdtLocked"/>
              </w:sdtPr>
              <w:sdtContent>
                <w:tc>
                  <w:tcPr>
                    <w:tcW w:w="2209" w:type="pct"/>
                    <w:tcBorders>
                      <w:top w:val="single" w:sz="4" w:space="0" w:color="auto"/>
                      <w:left w:val="single" w:sz="4" w:space="0" w:color="auto"/>
                      <w:bottom w:val="single" w:sz="4" w:space="0" w:color="auto"/>
                      <w:right w:val="single" w:sz="4" w:space="0" w:color="auto"/>
                    </w:tcBorders>
                  </w:tcPr>
                  <w:p w:rsidR="00816448" w:rsidRDefault="00816448" w:rsidP="00DB008B">
                    <w:pPr>
                      <w:jc w:val="right"/>
                      <w:rPr>
                        <w:szCs w:val="21"/>
                      </w:rPr>
                    </w:pPr>
                    <w:r>
                      <w:rPr>
                        <w:szCs w:val="21"/>
                      </w:rPr>
                      <w:t>70,123,889,258</w:t>
                    </w:r>
                  </w:p>
                </w:tc>
              </w:sdtContent>
            </w:sdt>
          </w:tr>
        </w:tbl>
        <w:p w:rsidR="00545050" w:rsidRDefault="00545050"/>
        <w:p w:rsidR="00806678" w:rsidRDefault="00B16377">
          <w:r>
            <w:rPr>
              <w:rFonts w:hint="eastAsia"/>
            </w:rPr>
            <w:t>合同产生的收入说明：</w:t>
          </w:r>
        </w:p>
        <w:sdt>
          <w:sdtPr>
            <w:alias w:val="是否适用：母公司合同产生的收入说明[双击切换]"/>
            <w:tag w:val="_GBC_0a5efc18ea53426e80858adb455aa9c3"/>
            <w:id w:val="-1647277366"/>
            <w:lock w:val="sdtLocked"/>
            <w:placeholder>
              <w:docPart w:val="GBC22222222222222222222222222222"/>
            </w:placeholder>
          </w:sdtPr>
          <w:sdtContent>
            <w:p w:rsidR="00806678" w:rsidRDefault="00F80B6C" w:rsidP="00816448">
              <w:r>
                <w:fldChar w:fldCharType="begin"/>
              </w:r>
              <w:r w:rsidR="00816448">
                <w:instrText xml:space="preserve"> MACROBUTTON  SnrToggleCheckbox □适用 </w:instrText>
              </w:r>
              <w:r>
                <w:fldChar w:fldCharType="end"/>
              </w:r>
              <w:r>
                <w:fldChar w:fldCharType="begin"/>
              </w:r>
              <w:r w:rsidR="00816448">
                <w:instrText xml:space="preserve"> MACROBUTTON  SnrToggleCheckbox √不适用 </w:instrText>
              </w:r>
              <w:r>
                <w:fldChar w:fldCharType="end"/>
              </w:r>
            </w:p>
          </w:sdtContent>
        </w:sdt>
        <w:p w:rsidR="00806678" w:rsidRDefault="00F80B6C"/>
      </w:sdtContent>
    </w:sdt>
    <w:bookmarkEnd w:id="284" w:displacedByCustomXml="next"/>
    <w:bookmarkStart w:id="285" w:name="_Hlk533798917" w:displacedByCustomXml="next"/>
    <w:sdt>
      <w:sdtPr>
        <w:rPr>
          <w:rFonts w:ascii="宋体" w:eastAsia="宋体" w:hAnsi="宋体" w:cs="宋体" w:hint="eastAsia"/>
          <w:b w:val="0"/>
          <w:bCs w:val="0"/>
          <w:kern w:val="0"/>
          <w:szCs w:val="24"/>
        </w:rPr>
        <w:alias w:val="模块:履约义务的说明"/>
        <w:tag w:val="_SEC_52d2e3e0b9aa4fa7a4925852d3c67b9d"/>
        <w:id w:val="248624096"/>
        <w:lock w:val="sdtLocked"/>
        <w:placeholder>
          <w:docPart w:val="GBC22222222222222222222222222222"/>
        </w:placeholder>
      </w:sdtPr>
      <w:sdtEndPr>
        <w:rPr>
          <w:rFonts w:hint="default"/>
        </w:rPr>
      </w:sdtEndPr>
      <w:sdtContent>
        <w:p w:rsidR="00806678" w:rsidRDefault="00B16377" w:rsidP="00FF17C7">
          <w:pPr>
            <w:pStyle w:val="4"/>
            <w:numPr>
              <w:ilvl w:val="0"/>
              <w:numId w:val="122"/>
            </w:numPr>
          </w:pPr>
          <w:r>
            <w:rPr>
              <w:rFonts w:hint="eastAsia"/>
            </w:rPr>
            <w:t>履约义务的说明</w:t>
          </w:r>
        </w:p>
        <w:sdt>
          <w:sdtPr>
            <w:alias w:val="是否适用：母公司履约义务的说明[双击切换]"/>
            <w:tag w:val="_GBC_2fc3f5c164844c5a8203f2c7e77870c1"/>
            <w:id w:val="1445498976"/>
            <w:lock w:val="sdtLocked"/>
            <w:placeholder>
              <w:docPart w:val="GBC22222222222222222222222222222"/>
            </w:placeholder>
          </w:sdtPr>
          <w:sdtContent>
            <w:p w:rsidR="00806678" w:rsidRDefault="00F80B6C">
              <w:r>
                <w:fldChar w:fldCharType="begin"/>
              </w:r>
              <w:r w:rsidR="00816448">
                <w:instrText xml:space="preserve"> MACROBUTTON  SnrToggleCheckbox □适用 </w:instrText>
              </w:r>
              <w:r>
                <w:fldChar w:fldCharType="end"/>
              </w:r>
              <w:r>
                <w:fldChar w:fldCharType="begin"/>
              </w:r>
              <w:r w:rsidR="00816448">
                <w:instrText xml:space="preserve"> MACROBUTTON  SnrToggleCheckbox √不适用 </w:instrText>
              </w:r>
              <w:r>
                <w:fldChar w:fldCharType="end"/>
              </w:r>
            </w:p>
          </w:sdtContent>
        </w:sdt>
      </w:sdtContent>
    </w:sdt>
    <w:bookmarkEnd w:id="285" w:displacedByCustomXml="next"/>
    <w:bookmarkStart w:id="286" w:name="_Hlk533798958" w:displacedByCustomXml="next"/>
    <w:sdt>
      <w:sdtPr>
        <w:rPr>
          <w:rFonts w:ascii="宋体" w:eastAsia="宋体" w:hAnsi="宋体" w:cs="宋体" w:hint="eastAsia"/>
          <w:b w:val="0"/>
          <w:bCs w:val="0"/>
          <w:kern w:val="0"/>
          <w:szCs w:val="24"/>
        </w:rPr>
        <w:alias w:val="模块:分摊至剩余履约义务的说明"/>
        <w:tag w:val="_SEC_b803be9d61b44303b6da1e3330ef906c"/>
        <w:id w:val="-1545204613"/>
        <w:lock w:val="sdtLocked"/>
        <w:placeholder>
          <w:docPart w:val="GBC22222222222222222222222222222"/>
        </w:placeholder>
      </w:sdtPr>
      <w:sdtEndPr>
        <w:rPr>
          <w:rFonts w:ascii="Arial" w:hAnsi="Arial"/>
          <w:szCs w:val="21"/>
        </w:rPr>
      </w:sdtEndPr>
      <w:sdtContent>
        <w:p w:rsidR="00806678" w:rsidRDefault="00B16377" w:rsidP="00FF17C7">
          <w:pPr>
            <w:pStyle w:val="4"/>
            <w:numPr>
              <w:ilvl w:val="0"/>
              <w:numId w:val="122"/>
            </w:numPr>
          </w:pPr>
          <w:r>
            <w:rPr>
              <w:rFonts w:hint="eastAsia"/>
            </w:rPr>
            <w:t>分摊至剩余履约义务的说明</w:t>
          </w:r>
        </w:p>
        <w:sdt>
          <w:sdtPr>
            <w:alias w:val="是否适用：母公司分摊至剩余履约义务的说明[双击切换]"/>
            <w:tag w:val="_GBC_7f0a9adae5ea4624a849a396f1ce90b1"/>
            <w:id w:val="-1540422217"/>
            <w:lock w:val="sdtLocked"/>
            <w:placeholder>
              <w:docPart w:val="GBC22222222222222222222222222222"/>
            </w:placeholder>
          </w:sdtPr>
          <w:sdtContent>
            <w:p w:rsidR="00806678" w:rsidRPr="00545050" w:rsidRDefault="00F80B6C">
              <w:pPr>
                <w:rPr>
                  <w:szCs w:val="21"/>
                </w:rPr>
              </w:pPr>
              <w:r>
                <w:fldChar w:fldCharType="begin"/>
              </w:r>
              <w:r w:rsidR="00816448">
                <w:instrText xml:space="preserve"> MACROBUTTON  SnrToggleCheckbox □适用 </w:instrText>
              </w:r>
              <w:r>
                <w:fldChar w:fldCharType="end"/>
              </w:r>
              <w:r>
                <w:fldChar w:fldCharType="begin"/>
              </w:r>
              <w:r w:rsidR="00816448">
                <w:instrText xml:space="preserve"> MACROBUTTON  SnrToggleCheckbox √不适用 </w:instrText>
              </w:r>
              <w:r>
                <w:fldChar w:fldCharType="end"/>
              </w:r>
            </w:p>
          </w:sdtContent>
        </w:sdt>
      </w:sdtContent>
    </w:sdt>
    <w:bookmarkEnd w:id="286" w:displacedByCustomXml="prev"/>
    <w:bookmarkStart w:id="287" w:name="_Hlk533798751" w:displacedByCustomXml="next"/>
    <w:sdt>
      <w:sdtPr>
        <w:rPr>
          <w:szCs w:val="21"/>
        </w:rPr>
        <w:alias w:val="模块:营业收入和营业成本其他说明"/>
        <w:tag w:val="_SEC_7467cf4c7aa441d78594101b88f0996b"/>
        <w:id w:val="759947480"/>
        <w:lock w:val="sdtLocked"/>
        <w:placeholder>
          <w:docPart w:val="GBC22222222222222222222222222222"/>
        </w:placeholder>
      </w:sdtPr>
      <w:sdtContent>
        <w:p w:rsidR="00806678" w:rsidRDefault="00B16377">
          <w:pPr>
            <w:spacing w:before="60" w:after="60"/>
            <w:rPr>
              <w:szCs w:val="21"/>
            </w:rPr>
          </w:pPr>
          <w:r>
            <w:rPr>
              <w:rFonts w:hint="eastAsia"/>
              <w:szCs w:val="21"/>
            </w:rPr>
            <w:t>其他说明：</w:t>
          </w:r>
        </w:p>
        <w:p w:rsidR="00806678" w:rsidRDefault="00F80B6C">
          <w:pPr>
            <w:rPr>
              <w:szCs w:val="21"/>
            </w:rPr>
          </w:pPr>
          <w:sdt>
            <w:sdtPr>
              <w:rPr>
                <w:szCs w:val="21"/>
              </w:rPr>
              <w:alias w:val="主营业务说明"/>
              <w:tag w:val="_GBC_fd583c7468404a3e83de872adae134a2"/>
              <w:id w:val="-1607735135"/>
              <w:lock w:val="sdtLocked"/>
              <w:placeholder>
                <w:docPart w:val="GBC22222222222222222222222222222"/>
              </w:placeholder>
            </w:sdtPr>
            <w:sdtContent>
              <w:r w:rsidR="00816448">
                <w:rPr>
                  <w:rFonts w:hint="eastAsia"/>
                  <w:szCs w:val="21"/>
                </w:rPr>
                <w:t>无</w:t>
              </w:r>
            </w:sdtContent>
          </w:sdt>
        </w:p>
        <w:p w:rsidR="00806678" w:rsidRDefault="00F80B6C">
          <w:pPr>
            <w:rPr>
              <w:szCs w:val="21"/>
            </w:rPr>
          </w:pPr>
        </w:p>
      </w:sdtContent>
    </w:sdt>
    <w:bookmarkEnd w:id="287" w:displacedByCustomXml="prev"/>
    <w:bookmarkStart w:id="288" w:name="_Hlk24031063" w:displacedByCustomXml="next"/>
    <w:sdt>
      <w:sdtPr>
        <w:rPr>
          <w:rFonts w:ascii="宋体" w:hAnsi="宋体" w:cs="宋体"/>
          <w:b w:val="0"/>
          <w:bCs w:val="0"/>
          <w:kern w:val="0"/>
          <w:szCs w:val="21"/>
        </w:rPr>
        <w:alias w:val="模块:"/>
        <w:tag w:val="_SEC_0ba2a4db50ed47afbd78e67c0a069c58"/>
        <w:id w:val="920366851"/>
        <w:lock w:val="sdtLocked"/>
        <w:placeholder>
          <w:docPart w:val="GBC22222222222222222222222222222"/>
        </w:placeholder>
      </w:sdtPr>
      <w:sdtContent>
        <w:bookmarkStart w:id="289" w:name="OLE_LINK6" w:displacedByCustomXml="prev"/>
        <w:bookmarkStart w:id="290" w:name="_Hlk10548739" w:displacedByCustomXml="prev"/>
        <w:p w:rsidR="00806678" w:rsidRDefault="00B16377" w:rsidP="00FF17C7">
          <w:pPr>
            <w:pStyle w:val="3"/>
            <w:numPr>
              <w:ilvl w:val="0"/>
              <w:numId w:val="59"/>
            </w:numPr>
            <w:rPr>
              <w:rFonts w:ascii="宋体" w:hAnsi="宋体"/>
              <w:szCs w:val="21"/>
            </w:rPr>
          </w:pPr>
          <w:r>
            <w:rPr>
              <w:rFonts w:ascii="宋体" w:hAnsi="宋体" w:hint="eastAsia"/>
              <w:szCs w:val="21"/>
            </w:rPr>
            <w:t>投资收益</w:t>
          </w:r>
          <w:bookmarkEnd w:id="289"/>
        </w:p>
        <w:sdt>
          <w:sdtPr>
            <w:alias w:val="是否适用：母公司投资收益[双击切换]"/>
            <w:tag w:val="_GBC_c2bb46ec06e343088b38ac6340f45fb2"/>
            <w:id w:val="-2082749639"/>
            <w:lock w:val="sdtLocked"/>
            <w:placeholder>
              <w:docPart w:val="GBC22222222222222222222222222222"/>
            </w:placeholder>
          </w:sdtPr>
          <w:sdtContent>
            <w:p w:rsidR="00806678" w:rsidRDefault="00F80B6C">
              <w:r>
                <w:fldChar w:fldCharType="begin"/>
              </w:r>
              <w:r w:rsidR="00816448">
                <w:instrText xml:space="preserve"> MACROBUTTON  SnrToggleCheckbox √适用 </w:instrText>
              </w:r>
              <w:r>
                <w:fldChar w:fldCharType="end"/>
              </w:r>
              <w:r>
                <w:fldChar w:fldCharType="begin"/>
              </w:r>
              <w:r w:rsidR="00816448">
                <w:instrText xml:space="preserve"> MACROBUTTON  SnrToggleCheckbox □不适用 </w:instrText>
              </w:r>
              <w:r>
                <w:fldChar w:fldCharType="end"/>
              </w:r>
            </w:p>
          </w:sdtContent>
        </w:sdt>
        <w:p w:rsidR="00806678" w:rsidRDefault="00B16377">
          <w:pPr>
            <w:jc w:val="right"/>
            <w:rPr>
              <w:color w:val="FF0000"/>
            </w:rPr>
          </w:pPr>
          <w:r>
            <w:t>单位</w:t>
          </w:r>
          <w:r>
            <w:rPr>
              <w:rFonts w:hint="eastAsia"/>
            </w:rPr>
            <w:t>：</w:t>
          </w:r>
          <w:sdt>
            <w:sdtPr>
              <w:rPr>
                <w:rFonts w:hint="eastAsia"/>
              </w:rPr>
              <w:alias w:val="单位：财务附注：会计报表中的投资收益项目增加"/>
              <w:tag w:val="_GBC_12c9db09bbc645b69cfb011197b5e700"/>
              <w:id w:val="-91092890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r>
            <w:rPr>
              <w:rFonts w:hint="eastAsia"/>
            </w:rPr>
            <w:t>：</w:t>
          </w:r>
          <w:sdt>
            <w:sdtPr>
              <w:rPr>
                <w:rFonts w:hint="eastAsia"/>
              </w:rPr>
              <w:alias w:val="币种：财务附注：会计报表中的投资收益项目增加"/>
              <w:tag w:val="_GBC_4090bf40cd1647838a8c5908dbc544c5"/>
              <w:id w:val="-127895172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52"/>
            <w:gridCol w:w="2693"/>
            <w:gridCol w:w="2704"/>
          </w:tblGrid>
          <w:tr w:rsidR="00806678" w:rsidTr="00DA51A9">
            <w:bookmarkStart w:id="291" w:name="_Hlk24031106" w:displacedByCustomXml="next"/>
            <w:sdt>
              <w:sdtPr>
                <w:tag w:val="_PLD_507ed5c985ab48c59a18c2d57dd68c9c"/>
                <w:id w:val="2720060"/>
                <w:lock w:val="sdtLocked"/>
              </w:sdtPr>
              <w:sdtContent>
                <w:tc>
                  <w:tcPr>
                    <w:tcW w:w="2018" w:type="pct"/>
                    <w:vAlign w:val="center"/>
                  </w:tcPr>
                  <w:p w:rsidR="00806678" w:rsidRDefault="00B16377">
                    <w:pPr>
                      <w:ind w:left="420" w:hanging="420"/>
                      <w:jc w:val="center"/>
                      <w:rPr>
                        <w:szCs w:val="21"/>
                      </w:rPr>
                    </w:pPr>
                    <w:r>
                      <w:rPr>
                        <w:rFonts w:hint="eastAsia"/>
                        <w:szCs w:val="21"/>
                      </w:rPr>
                      <w:t>项目</w:t>
                    </w:r>
                  </w:p>
                </w:tc>
              </w:sdtContent>
            </w:sdt>
            <w:sdt>
              <w:sdtPr>
                <w:tag w:val="_PLD_47187d04b5814de2ac4d8e7ab7f3dcf5"/>
                <w:id w:val="705919547"/>
                <w:lock w:val="sdtLocked"/>
              </w:sdtPr>
              <w:sdtContent>
                <w:tc>
                  <w:tcPr>
                    <w:tcW w:w="1488" w:type="pct"/>
                    <w:vAlign w:val="center"/>
                  </w:tcPr>
                  <w:p w:rsidR="00806678" w:rsidRDefault="00B16377">
                    <w:pPr>
                      <w:jc w:val="center"/>
                      <w:rPr>
                        <w:szCs w:val="21"/>
                      </w:rPr>
                    </w:pPr>
                    <w:r>
                      <w:rPr>
                        <w:rFonts w:hint="eastAsia"/>
                        <w:szCs w:val="21"/>
                      </w:rPr>
                      <w:t>本期发生额</w:t>
                    </w:r>
                  </w:p>
                </w:tc>
              </w:sdtContent>
            </w:sdt>
            <w:sdt>
              <w:sdtPr>
                <w:tag w:val="_PLD_9b38c11702ff453c93beb78507ab4be2"/>
                <w:id w:val="-1766992805"/>
                <w:lock w:val="sdtLocked"/>
              </w:sdtPr>
              <w:sdtContent>
                <w:tc>
                  <w:tcPr>
                    <w:tcW w:w="1494" w:type="pct"/>
                    <w:vAlign w:val="center"/>
                  </w:tcPr>
                  <w:p w:rsidR="00806678" w:rsidRDefault="00B16377">
                    <w:pPr>
                      <w:jc w:val="center"/>
                      <w:rPr>
                        <w:szCs w:val="21"/>
                      </w:rPr>
                    </w:pPr>
                    <w:r>
                      <w:rPr>
                        <w:rFonts w:hint="eastAsia"/>
                        <w:szCs w:val="21"/>
                      </w:rPr>
                      <w:t>上期发生额</w:t>
                    </w:r>
                  </w:p>
                </w:tc>
              </w:sdtContent>
            </w:sdt>
          </w:tr>
          <w:tr w:rsidR="00816448" w:rsidTr="00DB008B">
            <w:tc>
              <w:tcPr>
                <w:tcW w:w="2018" w:type="pct"/>
              </w:tcPr>
              <w:sdt>
                <w:sdtPr>
                  <w:tag w:val="_PLD_8cd2c80808be48458043e409ca328206"/>
                  <w:id w:val="362790618"/>
                  <w:lock w:val="sdtLocked"/>
                </w:sdtPr>
                <w:sdtContent>
                  <w:p w:rsidR="00816448" w:rsidRDefault="00816448" w:rsidP="00816448">
                    <w:r>
                      <w:t>成本法核算的长期股权投资收益</w:t>
                    </w:r>
                  </w:p>
                </w:sdtContent>
              </w:sdt>
            </w:tc>
            <w:tc>
              <w:tcPr>
                <w:tcW w:w="1488" w:type="pct"/>
                <w:vAlign w:val="center"/>
              </w:tcPr>
              <w:p w:rsidR="00816448" w:rsidRDefault="00816448" w:rsidP="00816448">
                <w:pPr>
                  <w:jc w:val="right"/>
                  <w:rPr>
                    <w:szCs w:val="21"/>
                  </w:rPr>
                </w:pPr>
                <w:r>
                  <w:t>177,718,993</w:t>
                </w:r>
              </w:p>
            </w:tc>
            <w:tc>
              <w:tcPr>
                <w:tcW w:w="1494" w:type="pct"/>
                <w:vAlign w:val="center"/>
              </w:tcPr>
              <w:p w:rsidR="00816448" w:rsidRDefault="00816448" w:rsidP="00816448">
                <w:pPr>
                  <w:jc w:val="right"/>
                  <w:rPr>
                    <w:szCs w:val="21"/>
                  </w:rPr>
                </w:pPr>
                <w:r>
                  <w:t>89,167,666</w:t>
                </w:r>
              </w:p>
            </w:tc>
          </w:tr>
          <w:tr w:rsidR="00816448" w:rsidTr="00DB008B">
            <w:sdt>
              <w:sdtPr>
                <w:tag w:val="_PLD_a78aae1ee78b444e907d11c241833812"/>
                <w:id w:val="550044151"/>
                <w:lock w:val="sdtLocked"/>
              </w:sdtPr>
              <w:sdtContent>
                <w:tc>
                  <w:tcPr>
                    <w:tcW w:w="2018" w:type="pct"/>
                  </w:tcPr>
                  <w:p w:rsidR="00816448" w:rsidRDefault="00816448" w:rsidP="00816448">
                    <w:pPr>
                      <w:rPr>
                        <w:szCs w:val="21"/>
                      </w:rPr>
                    </w:pPr>
                    <w:r>
                      <w:rPr>
                        <w:rFonts w:hint="eastAsia"/>
                        <w:szCs w:val="21"/>
                      </w:rPr>
                      <w:t>权益法核算的长期股权投资收益</w:t>
                    </w:r>
                  </w:p>
                </w:tc>
              </w:sdtContent>
            </w:sdt>
            <w:tc>
              <w:tcPr>
                <w:tcW w:w="1488" w:type="pct"/>
                <w:vAlign w:val="center"/>
              </w:tcPr>
              <w:p w:rsidR="00816448" w:rsidRDefault="00816448" w:rsidP="00816448">
                <w:pPr>
                  <w:jc w:val="right"/>
                  <w:rPr>
                    <w:szCs w:val="21"/>
                  </w:rPr>
                </w:pPr>
                <w:r>
                  <w:t>2,705,359,078</w:t>
                </w:r>
              </w:p>
            </w:tc>
            <w:tc>
              <w:tcPr>
                <w:tcW w:w="1494" w:type="pct"/>
                <w:vAlign w:val="center"/>
              </w:tcPr>
              <w:p w:rsidR="00816448" w:rsidRDefault="00816448" w:rsidP="00816448">
                <w:pPr>
                  <w:jc w:val="right"/>
                  <w:rPr>
                    <w:szCs w:val="21"/>
                  </w:rPr>
                </w:pPr>
                <w:r>
                  <w:t>3,002,259,058</w:t>
                </w:r>
              </w:p>
            </w:tc>
          </w:tr>
          <w:tr w:rsidR="00816448" w:rsidTr="00DB008B">
            <w:sdt>
              <w:sdtPr>
                <w:tag w:val="_PLD_2ac3541301b34caa9c5158401e6bfd0d"/>
                <w:id w:val="1351527557"/>
                <w:lock w:val="sdtLocked"/>
              </w:sdtPr>
              <w:sdtContent>
                <w:tc>
                  <w:tcPr>
                    <w:tcW w:w="2018" w:type="pct"/>
                  </w:tcPr>
                  <w:p w:rsidR="00816448" w:rsidRDefault="00816448" w:rsidP="00816448">
                    <w:pPr>
                      <w:rPr>
                        <w:szCs w:val="21"/>
                      </w:rPr>
                    </w:pPr>
                    <w:r>
                      <w:rPr>
                        <w:rFonts w:hint="eastAsia"/>
                        <w:szCs w:val="21"/>
                      </w:rPr>
                      <w:t>处置长期股权投资产生的投资收益</w:t>
                    </w:r>
                  </w:p>
                </w:tc>
              </w:sdtContent>
            </w:sdt>
            <w:tc>
              <w:tcPr>
                <w:tcW w:w="1488" w:type="pct"/>
                <w:vAlign w:val="center"/>
              </w:tcPr>
              <w:p w:rsidR="00816448" w:rsidRDefault="00816448" w:rsidP="00816448">
                <w:pPr>
                  <w:jc w:val="right"/>
                  <w:rPr>
                    <w:szCs w:val="21"/>
                  </w:rPr>
                </w:pPr>
                <w:r>
                  <w:t>0</w:t>
                </w:r>
              </w:p>
            </w:tc>
            <w:tc>
              <w:tcPr>
                <w:tcW w:w="1494" w:type="pct"/>
                <w:vAlign w:val="center"/>
              </w:tcPr>
              <w:p w:rsidR="00816448" w:rsidRDefault="00816448" w:rsidP="00816448">
                <w:pPr>
                  <w:jc w:val="right"/>
                  <w:rPr>
                    <w:szCs w:val="21"/>
                  </w:rPr>
                </w:pPr>
                <w:r>
                  <w:t>4,337,159</w:t>
                </w:r>
              </w:p>
            </w:tc>
          </w:tr>
          <w:tr w:rsidR="00816448" w:rsidTr="00DA51A9">
            <w:tc>
              <w:tcPr>
                <w:tcW w:w="2018" w:type="pct"/>
              </w:tcPr>
              <w:sdt>
                <w:sdtPr>
                  <w:rPr>
                    <w:rFonts w:hint="eastAsia"/>
                  </w:rPr>
                  <w:tag w:val="_PLD_374e0bfdf40b4b1cb34581f2b2a66168"/>
                  <w:id w:val="249245054"/>
                  <w:lock w:val="sdtLocked"/>
                </w:sdtPr>
                <w:sdtContent>
                  <w:p w:rsidR="00816448" w:rsidRDefault="00816448" w:rsidP="00816448">
                    <w:r>
                      <w:rPr>
                        <w:rFonts w:hint="eastAsia"/>
                      </w:rPr>
                      <w:t>交易性金融资产在持有期间的投资收益</w:t>
                    </w:r>
                  </w:p>
                </w:sdtContent>
              </w:sdt>
            </w:tc>
            <w:tc>
              <w:tcPr>
                <w:tcW w:w="1488" w:type="pct"/>
              </w:tcPr>
              <w:p w:rsidR="00816448" w:rsidRDefault="00816448" w:rsidP="00816448">
                <w:pPr>
                  <w:jc w:val="right"/>
                  <w:rPr>
                    <w:szCs w:val="21"/>
                  </w:rPr>
                </w:pPr>
              </w:p>
            </w:tc>
            <w:tc>
              <w:tcPr>
                <w:tcW w:w="1494" w:type="pct"/>
              </w:tcPr>
              <w:p w:rsidR="00816448" w:rsidRDefault="00816448" w:rsidP="00816448">
                <w:pPr>
                  <w:jc w:val="right"/>
                  <w:rPr>
                    <w:szCs w:val="21"/>
                  </w:rPr>
                </w:pPr>
              </w:p>
            </w:tc>
          </w:tr>
          <w:tr w:rsidR="00816448" w:rsidTr="00DB008B">
            <w:tc>
              <w:tcPr>
                <w:tcW w:w="2018" w:type="pct"/>
              </w:tcPr>
              <w:sdt>
                <w:sdtPr>
                  <w:rPr>
                    <w:rFonts w:hint="eastAsia"/>
                  </w:rPr>
                  <w:tag w:val="_PLD_1b350f75b27b4ec1915755daf5ccab96"/>
                  <w:id w:val="-255134652"/>
                  <w:lock w:val="sdtLocked"/>
                </w:sdtPr>
                <w:sdtContent>
                  <w:p w:rsidR="00816448" w:rsidRDefault="00816448" w:rsidP="00816448">
                    <w:r>
                      <w:rPr>
                        <w:rFonts w:hint="eastAsia"/>
                      </w:rPr>
                      <w:t>其他权益工具投资在持有期间取得的股利收入</w:t>
                    </w:r>
                  </w:p>
                </w:sdtContent>
              </w:sdt>
            </w:tc>
            <w:tc>
              <w:tcPr>
                <w:tcW w:w="1488" w:type="pct"/>
                <w:vAlign w:val="center"/>
              </w:tcPr>
              <w:p w:rsidR="00816448" w:rsidRDefault="00816448" w:rsidP="00816448">
                <w:pPr>
                  <w:jc w:val="right"/>
                  <w:rPr>
                    <w:szCs w:val="21"/>
                  </w:rPr>
                </w:pPr>
                <w:r>
                  <w:t>2,394,000</w:t>
                </w:r>
              </w:p>
            </w:tc>
            <w:tc>
              <w:tcPr>
                <w:tcW w:w="1494" w:type="pct"/>
                <w:vAlign w:val="center"/>
              </w:tcPr>
              <w:p w:rsidR="00816448" w:rsidRDefault="00816448" w:rsidP="00816448">
                <w:pPr>
                  <w:jc w:val="right"/>
                  <w:rPr>
                    <w:szCs w:val="21"/>
                  </w:rPr>
                </w:pPr>
                <w:r>
                  <w:t>2,736,000</w:t>
                </w:r>
              </w:p>
            </w:tc>
          </w:tr>
          <w:tr w:rsidR="00816448" w:rsidTr="00DA51A9">
            <w:tc>
              <w:tcPr>
                <w:tcW w:w="2018" w:type="pct"/>
              </w:tcPr>
              <w:sdt>
                <w:sdtPr>
                  <w:rPr>
                    <w:rFonts w:hint="eastAsia"/>
                  </w:rPr>
                  <w:tag w:val="_PLD_631be1516e0b415d8f100eb0dcf09db0"/>
                  <w:id w:val="-1726672004"/>
                  <w:lock w:val="sdtLocked"/>
                </w:sdtPr>
                <w:sdtContent>
                  <w:p w:rsidR="00816448" w:rsidRDefault="00816448" w:rsidP="00816448">
                    <w:r>
                      <w:rPr>
                        <w:rFonts w:hint="eastAsia"/>
                      </w:rPr>
                      <w:t>债权投资在持有期间取得的利息收入</w:t>
                    </w:r>
                  </w:p>
                </w:sdtContent>
              </w:sdt>
            </w:tc>
            <w:tc>
              <w:tcPr>
                <w:tcW w:w="1488" w:type="pct"/>
              </w:tcPr>
              <w:p w:rsidR="00816448" w:rsidRDefault="00816448" w:rsidP="00816448">
                <w:pPr>
                  <w:jc w:val="right"/>
                  <w:rPr>
                    <w:szCs w:val="21"/>
                  </w:rPr>
                </w:pPr>
              </w:p>
            </w:tc>
            <w:tc>
              <w:tcPr>
                <w:tcW w:w="1494" w:type="pct"/>
              </w:tcPr>
              <w:p w:rsidR="00816448" w:rsidRDefault="00816448" w:rsidP="00816448">
                <w:pPr>
                  <w:jc w:val="right"/>
                  <w:rPr>
                    <w:szCs w:val="21"/>
                  </w:rPr>
                </w:pPr>
              </w:p>
            </w:tc>
          </w:tr>
          <w:tr w:rsidR="00816448" w:rsidTr="00DA51A9">
            <w:tc>
              <w:tcPr>
                <w:tcW w:w="2018" w:type="pct"/>
              </w:tcPr>
              <w:sdt>
                <w:sdtPr>
                  <w:rPr>
                    <w:rFonts w:hint="eastAsia"/>
                  </w:rPr>
                  <w:tag w:val="_PLD_ee3b83cd3a7249b686afc560545ae359"/>
                  <w:id w:val="-2125911912"/>
                  <w:lock w:val="sdtLocked"/>
                </w:sdtPr>
                <w:sdtContent>
                  <w:p w:rsidR="00816448" w:rsidRDefault="00816448" w:rsidP="00816448">
                    <w:r>
                      <w:rPr>
                        <w:rFonts w:hint="eastAsia"/>
                      </w:rPr>
                      <w:t>其他债权投资在持有期间取得的利息收入</w:t>
                    </w:r>
                  </w:p>
                </w:sdtContent>
              </w:sdt>
            </w:tc>
            <w:tc>
              <w:tcPr>
                <w:tcW w:w="1488" w:type="pct"/>
              </w:tcPr>
              <w:p w:rsidR="00816448" w:rsidRDefault="00816448" w:rsidP="00816448">
                <w:pPr>
                  <w:jc w:val="right"/>
                  <w:rPr>
                    <w:szCs w:val="21"/>
                  </w:rPr>
                </w:pPr>
              </w:p>
            </w:tc>
            <w:tc>
              <w:tcPr>
                <w:tcW w:w="1494" w:type="pct"/>
              </w:tcPr>
              <w:p w:rsidR="00816448" w:rsidRDefault="00816448" w:rsidP="00816448">
                <w:pPr>
                  <w:jc w:val="right"/>
                  <w:rPr>
                    <w:szCs w:val="21"/>
                  </w:rPr>
                </w:pPr>
              </w:p>
            </w:tc>
          </w:tr>
          <w:tr w:rsidR="00816448" w:rsidTr="00DA51A9">
            <w:tc>
              <w:tcPr>
                <w:tcW w:w="2018" w:type="pct"/>
              </w:tcPr>
              <w:sdt>
                <w:sdtPr>
                  <w:rPr>
                    <w:rFonts w:hint="eastAsia"/>
                  </w:rPr>
                  <w:tag w:val="_PLD_758e14bdd66344efaa98853500ab9b1b"/>
                  <w:id w:val="-897202947"/>
                  <w:lock w:val="sdtLocked"/>
                </w:sdtPr>
                <w:sdtContent>
                  <w:p w:rsidR="00816448" w:rsidRDefault="00816448" w:rsidP="00816448">
                    <w:r>
                      <w:rPr>
                        <w:rFonts w:hint="eastAsia"/>
                      </w:rPr>
                      <w:t>处置交易性金融资产取得的投资收益</w:t>
                    </w:r>
                  </w:p>
                </w:sdtContent>
              </w:sdt>
            </w:tc>
            <w:tc>
              <w:tcPr>
                <w:tcW w:w="1488" w:type="pct"/>
              </w:tcPr>
              <w:p w:rsidR="00816448" w:rsidRDefault="00816448" w:rsidP="00816448">
                <w:pPr>
                  <w:jc w:val="right"/>
                  <w:rPr>
                    <w:szCs w:val="21"/>
                  </w:rPr>
                </w:pPr>
              </w:p>
            </w:tc>
            <w:tc>
              <w:tcPr>
                <w:tcW w:w="1494" w:type="pct"/>
              </w:tcPr>
              <w:p w:rsidR="00816448" w:rsidRDefault="00816448" w:rsidP="00816448">
                <w:pPr>
                  <w:jc w:val="right"/>
                  <w:rPr>
                    <w:szCs w:val="21"/>
                  </w:rPr>
                </w:pPr>
              </w:p>
            </w:tc>
          </w:tr>
          <w:tr w:rsidR="00816448" w:rsidTr="00DA51A9">
            <w:tc>
              <w:tcPr>
                <w:tcW w:w="2018" w:type="pct"/>
              </w:tcPr>
              <w:sdt>
                <w:sdtPr>
                  <w:rPr>
                    <w:rFonts w:hint="eastAsia"/>
                  </w:rPr>
                  <w:tag w:val="_PLD_58142a07ed7f48d08e7ca9c34b6953c0"/>
                  <w:id w:val="-655063950"/>
                  <w:lock w:val="sdtLocked"/>
                </w:sdtPr>
                <w:sdtContent>
                  <w:p w:rsidR="00816448" w:rsidRDefault="00816448" w:rsidP="00816448">
                    <w:r>
                      <w:rPr>
                        <w:rFonts w:hint="eastAsia"/>
                      </w:rPr>
                      <w:t>处置其他权益工具投资取得的投资收益</w:t>
                    </w:r>
                  </w:p>
                </w:sdtContent>
              </w:sdt>
            </w:tc>
            <w:tc>
              <w:tcPr>
                <w:tcW w:w="1488" w:type="pct"/>
              </w:tcPr>
              <w:p w:rsidR="00816448" w:rsidRDefault="00816448" w:rsidP="00816448">
                <w:pPr>
                  <w:jc w:val="right"/>
                  <w:rPr>
                    <w:szCs w:val="21"/>
                  </w:rPr>
                </w:pPr>
              </w:p>
            </w:tc>
            <w:tc>
              <w:tcPr>
                <w:tcW w:w="1494" w:type="pct"/>
              </w:tcPr>
              <w:p w:rsidR="00816448" w:rsidRDefault="00816448" w:rsidP="00816448">
                <w:pPr>
                  <w:jc w:val="right"/>
                  <w:rPr>
                    <w:szCs w:val="21"/>
                  </w:rPr>
                </w:pPr>
              </w:p>
            </w:tc>
          </w:tr>
          <w:tr w:rsidR="00816448" w:rsidTr="00DA51A9">
            <w:tc>
              <w:tcPr>
                <w:tcW w:w="2018" w:type="pct"/>
              </w:tcPr>
              <w:sdt>
                <w:sdtPr>
                  <w:rPr>
                    <w:rFonts w:hint="eastAsia"/>
                  </w:rPr>
                  <w:tag w:val="_PLD_dd85e904694c430990d653da7e3d92c5"/>
                  <w:id w:val="-1429267626"/>
                  <w:lock w:val="sdtLocked"/>
                </w:sdtPr>
                <w:sdtContent>
                  <w:p w:rsidR="00816448" w:rsidRDefault="00816448" w:rsidP="00816448">
                    <w:r>
                      <w:rPr>
                        <w:rFonts w:hint="eastAsia"/>
                      </w:rPr>
                      <w:t>处置债权投资取得的投资收益</w:t>
                    </w:r>
                  </w:p>
                </w:sdtContent>
              </w:sdt>
            </w:tc>
            <w:tc>
              <w:tcPr>
                <w:tcW w:w="1488" w:type="pct"/>
              </w:tcPr>
              <w:p w:rsidR="00816448" w:rsidRDefault="00816448" w:rsidP="00816448">
                <w:pPr>
                  <w:jc w:val="right"/>
                  <w:rPr>
                    <w:szCs w:val="21"/>
                  </w:rPr>
                </w:pPr>
              </w:p>
            </w:tc>
            <w:tc>
              <w:tcPr>
                <w:tcW w:w="1494" w:type="pct"/>
              </w:tcPr>
              <w:p w:rsidR="00816448" w:rsidRDefault="00816448" w:rsidP="00816448">
                <w:pPr>
                  <w:jc w:val="right"/>
                  <w:rPr>
                    <w:szCs w:val="21"/>
                  </w:rPr>
                </w:pPr>
              </w:p>
            </w:tc>
          </w:tr>
          <w:tr w:rsidR="00816448" w:rsidTr="00DA51A9">
            <w:tc>
              <w:tcPr>
                <w:tcW w:w="2018" w:type="pct"/>
              </w:tcPr>
              <w:sdt>
                <w:sdtPr>
                  <w:rPr>
                    <w:rFonts w:hint="eastAsia"/>
                  </w:rPr>
                  <w:tag w:val="_PLD_cabbb65cd6154c50a0174edd2786682c"/>
                  <w:id w:val="-69121130"/>
                  <w:lock w:val="sdtLocked"/>
                </w:sdtPr>
                <w:sdtContent>
                  <w:p w:rsidR="00816448" w:rsidRDefault="00816448" w:rsidP="00816448">
                    <w:r>
                      <w:rPr>
                        <w:rFonts w:hint="eastAsia"/>
                      </w:rPr>
                      <w:t>处置其他债权投资取得的投资收益</w:t>
                    </w:r>
                  </w:p>
                </w:sdtContent>
              </w:sdt>
            </w:tc>
            <w:tc>
              <w:tcPr>
                <w:tcW w:w="1488" w:type="pct"/>
              </w:tcPr>
              <w:p w:rsidR="00816448" w:rsidRDefault="00816448" w:rsidP="00816448">
                <w:pPr>
                  <w:jc w:val="right"/>
                  <w:rPr>
                    <w:szCs w:val="21"/>
                  </w:rPr>
                </w:pPr>
              </w:p>
            </w:tc>
            <w:tc>
              <w:tcPr>
                <w:tcW w:w="1494" w:type="pct"/>
              </w:tcPr>
              <w:p w:rsidR="00816448" w:rsidRDefault="00816448" w:rsidP="00816448">
                <w:pPr>
                  <w:jc w:val="right"/>
                  <w:rPr>
                    <w:szCs w:val="21"/>
                  </w:rPr>
                </w:pPr>
              </w:p>
            </w:tc>
          </w:tr>
          <w:tr w:rsidR="00816448" w:rsidTr="00DA51A9">
            <w:tc>
              <w:tcPr>
                <w:tcW w:w="2018" w:type="pct"/>
              </w:tcPr>
              <w:sdt>
                <w:sdtPr>
                  <w:rPr>
                    <w:rFonts w:hint="eastAsia"/>
                  </w:rPr>
                  <w:tag w:val="_PLD_ebfd5e63b1a34f1ea8395cc25654112a"/>
                  <w:id w:val="-1268385801"/>
                  <w:lock w:val="sdtLocked"/>
                </w:sdtPr>
                <w:sdtContent>
                  <w:p w:rsidR="00816448" w:rsidRDefault="00816448" w:rsidP="00816448">
                    <w:r>
                      <w:rPr>
                        <w:rFonts w:hint="eastAsia"/>
                      </w:rPr>
                      <w:t>债务重组收益</w:t>
                    </w:r>
                  </w:p>
                </w:sdtContent>
              </w:sdt>
            </w:tc>
            <w:tc>
              <w:tcPr>
                <w:tcW w:w="1488" w:type="pct"/>
              </w:tcPr>
              <w:p w:rsidR="00816448" w:rsidRDefault="00816448" w:rsidP="00816448">
                <w:pPr>
                  <w:jc w:val="right"/>
                  <w:rPr>
                    <w:szCs w:val="21"/>
                  </w:rPr>
                </w:pPr>
              </w:p>
            </w:tc>
            <w:tc>
              <w:tcPr>
                <w:tcW w:w="1494" w:type="pct"/>
              </w:tcPr>
              <w:p w:rsidR="00816448" w:rsidRDefault="00816448" w:rsidP="00816448">
                <w:pPr>
                  <w:jc w:val="right"/>
                  <w:rPr>
                    <w:szCs w:val="21"/>
                  </w:rPr>
                </w:pPr>
              </w:p>
            </w:tc>
          </w:tr>
          <w:tr w:rsidR="00816448" w:rsidTr="00DB008B">
            <w:sdt>
              <w:sdtPr>
                <w:tag w:val="_PLD_e7e132d296704c1e97e8e07a1418d74b"/>
                <w:id w:val="1662883349"/>
                <w:lock w:val="sdtLocked"/>
              </w:sdtPr>
              <w:sdtContent>
                <w:tc>
                  <w:tcPr>
                    <w:tcW w:w="2018" w:type="pct"/>
                    <w:vAlign w:val="center"/>
                  </w:tcPr>
                  <w:p w:rsidR="00816448" w:rsidRDefault="00816448" w:rsidP="00816448">
                    <w:pPr>
                      <w:jc w:val="center"/>
                      <w:rPr>
                        <w:szCs w:val="21"/>
                      </w:rPr>
                    </w:pPr>
                    <w:r>
                      <w:rPr>
                        <w:rFonts w:hint="eastAsia"/>
                        <w:szCs w:val="21"/>
                      </w:rPr>
                      <w:t>合计</w:t>
                    </w:r>
                  </w:p>
                </w:tc>
              </w:sdtContent>
            </w:sdt>
            <w:tc>
              <w:tcPr>
                <w:tcW w:w="1488" w:type="pct"/>
                <w:vAlign w:val="center"/>
              </w:tcPr>
              <w:p w:rsidR="00816448" w:rsidRDefault="00816448" w:rsidP="00816448">
                <w:pPr>
                  <w:jc w:val="right"/>
                  <w:rPr>
                    <w:szCs w:val="21"/>
                  </w:rPr>
                </w:pPr>
                <w:r>
                  <w:t>2,885,472,071</w:t>
                </w:r>
              </w:p>
            </w:tc>
            <w:tc>
              <w:tcPr>
                <w:tcW w:w="1494" w:type="pct"/>
                <w:vAlign w:val="center"/>
              </w:tcPr>
              <w:p w:rsidR="00816448" w:rsidRDefault="00816448" w:rsidP="00816448">
                <w:pPr>
                  <w:jc w:val="right"/>
                  <w:rPr>
                    <w:szCs w:val="21"/>
                  </w:rPr>
                </w:pPr>
                <w:r>
                  <w:t>3,098,499,883</w:t>
                </w:r>
              </w:p>
            </w:tc>
          </w:tr>
        </w:tbl>
        <w:p w:rsidR="00545050" w:rsidRDefault="00545050">
          <w:pPr>
            <w:spacing w:line="360" w:lineRule="exact"/>
            <w:rPr>
              <w:szCs w:val="21"/>
            </w:rPr>
          </w:pPr>
          <w:bookmarkStart w:id="292" w:name="_Hlk10720480"/>
          <w:bookmarkEnd w:id="290"/>
          <w:bookmarkEnd w:id="291"/>
        </w:p>
        <w:p w:rsidR="00806678" w:rsidRDefault="00B16377">
          <w:pPr>
            <w:spacing w:line="360" w:lineRule="exact"/>
            <w:rPr>
              <w:szCs w:val="21"/>
            </w:rPr>
          </w:pPr>
          <w:r>
            <w:rPr>
              <w:rFonts w:hint="eastAsia"/>
              <w:szCs w:val="21"/>
            </w:rPr>
            <w:t>其他说明：</w:t>
          </w:r>
          <w:bookmarkEnd w:id="292"/>
        </w:p>
        <w:sdt>
          <w:sdtPr>
            <w:rPr>
              <w:szCs w:val="21"/>
            </w:rPr>
            <w:alias w:val="投资收益说明"/>
            <w:tag w:val="_GBC_003661b91b5144cfbf329a4aeb060fe6"/>
            <w:id w:val="1911344018"/>
            <w:lock w:val="sdtLocked"/>
            <w:placeholder>
              <w:docPart w:val="GBC22222222222222222222222222222"/>
            </w:placeholder>
          </w:sdtPr>
          <w:sdtContent>
            <w:p w:rsidR="00806678" w:rsidRDefault="00816448">
              <w:pPr>
                <w:rPr>
                  <w:szCs w:val="21"/>
                </w:rPr>
              </w:pPr>
              <w:r>
                <w:rPr>
                  <w:rFonts w:hint="eastAsia"/>
                  <w:szCs w:val="21"/>
                </w:rPr>
                <w:t>无</w:t>
              </w:r>
            </w:p>
          </w:sdtContent>
        </w:sdt>
      </w:sdtContent>
    </w:sdt>
    <w:bookmarkEnd w:id="288" w:displacedByCustomXml="prev"/>
    <w:p w:rsidR="00806678" w:rsidRDefault="00806678">
      <w:pPr>
        <w:rPr>
          <w:szCs w:val="21"/>
        </w:rPr>
      </w:pPr>
    </w:p>
    <w:sdt>
      <w:sdtPr>
        <w:rPr>
          <w:rFonts w:ascii="宋体" w:hAnsi="宋体" w:cs="宋体" w:hint="eastAsia"/>
          <w:b w:val="0"/>
          <w:bCs w:val="0"/>
          <w:kern w:val="0"/>
          <w:szCs w:val="21"/>
        </w:rPr>
        <w:alias w:val="模块:母公司会计报表附注的其他说明事项"/>
        <w:tag w:val="_SEC_f254d1d0764b4d7ab6b701d7ac057625"/>
        <w:id w:val="1709455980"/>
        <w:lock w:val="sdtLocked"/>
        <w:placeholder>
          <w:docPart w:val="GBC22222222222222222222222222222"/>
        </w:placeholder>
      </w:sdtPr>
      <w:sdtContent>
        <w:p w:rsidR="00806678" w:rsidRDefault="00B16377" w:rsidP="00FF17C7">
          <w:pPr>
            <w:pStyle w:val="3"/>
            <w:numPr>
              <w:ilvl w:val="0"/>
              <w:numId w:val="59"/>
            </w:numPr>
            <w:rPr>
              <w:szCs w:val="21"/>
            </w:rPr>
          </w:pPr>
          <w:r>
            <w:rPr>
              <w:rFonts w:hint="eastAsia"/>
              <w:szCs w:val="21"/>
            </w:rPr>
            <w:t>其他</w:t>
          </w:r>
        </w:p>
        <w:sdt>
          <w:sdtPr>
            <w:rPr>
              <w:rFonts w:hint="eastAsia"/>
              <w:szCs w:val="21"/>
            </w:rPr>
            <w:alias w:val="是否适用：母公司会计报表附注的其他说明事项[双击切换]"/>
            <w:tag w:val="_GBC_da1bbbf487cd4e98b945920735517f12"/>
            <w:id w:val="78024495"/>
            <w:lock w:val="sdtLocked"/>
            <w:placeholder>
              <w:docPart w:val="GBC22222222222222222222222222222"/>
            </w:placeholder>
          </w:sdtPr>
          <w:sdtContent>
            <w:p w:rsidR="00806678" w:rsidRDefault="00F80B6C" w:rsidP="00816448">
              <w:pPr>
                <w:rPr>
                  <w:szCs w:val="21"/>
                </w:rPr>
              </w:pPr>
              <w:r>
                <w:rPr>
                  <w:szCs w:val="21"/>
                </w:rPr>
                <w:fldChar w:fldCharType="begin"/>
              </w:r>
              <w:r w:rsidR="00816448">
                <w:rPr>
                  <w:szCs w:val="21"/>
                </w:rPr>
                <w:instrText xml:space="preserve"> MACROBUTTON  SnrToggleCheckbox □适用  </w:instrText>
              </w:r>
              <w:r>
                <w:rPr>
                  <w:szCs w:val="21"/>
                </w:rPr>
                <w:fldChar w:fldCharType="end"/>
              </w:r>
              <w:r>
                <w:rPr>
                  <w:szCs w:val="21"/>
                </w:rPr>
                <w:fldChar w:fldCharType="begin"/>
              </w:r>
              <w:r w:rsidR="00816448">
                <w:rPr>
                  <w:szCs w:val="21"/>
                </w:rPr>
                <w:instrText xml:space="preserve"> MACROBUTTON  SnrToggleCheckbox √不适用 </w:instrText>
              </w:r>
              <w:r>
                <w:rPr>
                  <w:szCs w:val="21"/>
                </w:rPr>
                <w:fldChar w:fldCharType="end"/>
              </w:r>
            </w:p>
          </w:sdtContent>
        </w:sdt>
      </w:sdtContent>
    </w:sdt>
    <w:p w:rsidR="00806678" w:rsidRDefault="00806678">
      <w:pPr>
        <w:ind w:rightChars="-759" w:right="-1594"/>
        <w:rPr>
          <w:szCs w:val="21"/>
        </w:rPr>
      </w:pPr>
    </w:p>
    <w:p w:rsidR="00806678" w:rsidRDefault="00B16377" w:rsidP="00FF17C7">
      <w:pPr>
        <w:pStyle w:val="2"/>
        <w:numPr>
          <w:ilvl w:val="0"/>
          <w:numId w:val="37"/>
        </w:numPr>
        <w:rPr>
          <w:rFonts w:ascii="宋体" w:hAnsi="宋体"/>
        </w:rPr>
      </w:pPr>
      <w:r>
        <w:rPr>
          <w:rFonts w:ascii="宋体" w:hAnsi="宋体" w:hint="eastAsia"/>
        </w:rPr>
        <w:t>补充资料</w:t>
      </w:r>
    </w:p>
    <w:sdt>
      <w:sdtPr>
        <w:rPr>
          <w:rFonts w:ascii="宋体" w:hAnsi="宋体" w:cs="宋体" w:hint="eastAsia"/>
          <w:b w:val="0"/>
          <w:bCs w:val="0"/>
          <w:kern w:val="0"/>
          <w:szCs w:val="21"/>
        </w:rPr>
        <w:alias w:val="模块:当期非经常性损益明细"/>
        <w:tag w:val="_GBC_08eb8d7076584daebd23121ab43f25e0"/>
        <w:id w:val="-1983295544"/>
        <w:lock w:val="sdtLocked"/>
        <w:placeholder>
          <w:docPart w:val="GBC22222222222222222222222222222"/>
        </w:placeholder>
      </w:sdtPr>
      <w:sdtEndPr>
        <w:rPr>
          <w:szCs w:val="24"/>
        </w:rPr>
      </w:sdtEndPr>
      <w:sdtContent>
        <w:p w:rsidR="00806678" w:rsidRDefault="00B16377">
          <w:pPr>
            <w:pStyle w:val="3"/>
            <w:numPr>
              <w:ilvl w:val="0"/>
              <w:numId w:val="5"/>
            </w:numPr>
            <w:rPr>
              <w:rFonts w:ascii="宋体" w:hAnsi="宋体"/>
              <w:szCs w:val="21"/>
            </w:rPr>
          </w:pPr>
          <w:r>
            <w:rPr>
              <w:rFonts w:ascii="宋体" w:hAnsi="宋体" w:hint="eastAsia"/>
              <w:szCs w:val="21"/>
            </w:rPr>
            <w:t>当期非经常性损益明细表</w:t>
          </w:r>
        </w:p>
        <w:sdt>
          <w:sdtPr>
            <w:rPr>
              <w:rFonts w:hint="eastAsia"/>
              <w:szCs w:val="21"/>
            </w:rPr>
            <w:alias w:val="是否适用：当期非经常性损益明细表[双击切换]"/>
            <w:tag w:val="_GBC_53fa4135e87442d59ce21ca91ff749e7"/>
            <w:id w:val="-946460688"/>
            <w:lock w:val="sdtLocked"/>
            <w:placeholder>
              <w:docPart w:val="GBC22222222222222222222222222222"/>
            </w:placeholder>
          </w:sdtPr>
          <w:sdtContent>
            <w:p w:rsidR="00806678" w:rsidRDefault="00F80B6C">
              <w:pPr>
                <w:rPr>
                  <w:szCs w:val="21"/>
                </w:rPr>
              </w:pPr>
              <w:r>
                <w:rPr>
                  <w:szCs w:val="21"/>
                </w:rPr>
                <w:fldChar w:fldCharType="begin"/>
              </w:r>
              <w:r w:rsidR="00816448">
                <w:rPr>
                  <w:szCs w:val="21"/>
                </w:rPr>
                <w:instrText xml:space="preserve"> MACROBUTTON  SnrToggleCheckbox √适用  </w:instrText>
              </w:r>
              <w:r>
                <w:rPr>
                  <w:szCs w:val="21"/>
                </w:rPr>
                <w:fldChar w:fldCharType="end"/>
              </w:r>
              <w:r>
                <w:rPr>
                  <w:szCs w:val="21"/>
                </w:rPr>
                <w:fldChar w:fldCharType="begin"/>
              </w:r>
              <w:r w:rsidR="00816448">
                <w:rPr>
                  <w:szCs w:val="21"/>
                </w:rPr>
                <w:instrText xml:space="preserve"> MACROBUTTON  SnrToggleCheckbox □不适用 </w:instrText>
              </w:r>
              <w:r>
                <w:rPr>
                  <w:szCs w:val="21"/>
                </w:rPr>
                <w:fldChar w:fldCharType="end"/>
              </w:r>
            </w:p>
          </w:sdtContent>
        </w:sdt>
        <w:p w:rsidR="00806678" w:rsidRDefault="00B16377">
          <w:pPr>
            <w:jc w:val="right"/>
            <w:rPr>
              <w:szCs w:val="21"/>
            </w:rPr>
          </w:pPr>
          <w:r>
            <w:rPr>
              <w:rFonts w:hint="eastAsia"/>
              <w:szCs w:val="21"/>
            </w:rPr>
            <w:t>单位：</w:t>
          </w:r>
          <w:sdt>
            <w:sdtPr>
              <w:rPr>
                <w:rFonts w:hint="eastAsia"/>
                <w:szCs w:val="21"/>
              </w:rPr>
              <w:alias w:val="单位：扣除非经常性损益项目和金额"/>
              <w:tag w:val="_GBC_5c7a78a144ce4f78943f6ba4db018dd1"/>
              <w:id w:val="1121343326"/>
              <w:lock w:val="sdtLocked"/>
              <w:placeholder>
                <w:docPart w:val="GBC22222222222222222222222222222"/>
              </w:placeholder>
              <w:dataBinding w:prefixMappings="xmlns:clcid-ci-ar='clcid-ci-ar'" w:xpath="/*/clcid-ci-ar:DanWeiKouChuFeiJingChangXingSunYiXiangMuHeJinE[not(@periodRef)]" w:storeItemID="{89EBAB94-44A0-46A2-B712-30D997D04A6D}"/>
              <w:comboBox w:lastValue="1">
                <w:listItem w:displayText="元" w:value="1"/>
                <w:listItem w:displayText="千元" w:value="1000"/>
                <w:listItem w:displayText="万元" w:value="10000"/>
                <w:listItem w:displayText="百万元" w:value="1000000"/>
                <w:listItem w:displayText="亿元" w:value="100000000"/>
              </w:comboBox>
            </w:sdtPr>
            <w:sdtContent>
              <w:r w:rsidR="006F32FB">
                <w:rPr>
                  <w:rFonts w:hint="eastAsia"/>
                  <w:szCs w:val="21"/>
                </w:rPr>
                <w:t>元</w:t>
              </w:r>
            </w:sdtContent>
          </w:sdt>
          <w:r>
            <w:rPr>
              <w:rFonts w:hint="eastAsia"/>
              <w:szCs w:val="21"/>
            </w:rPr>
            <w:t xml:space="preserve">  币种：</w:t>
          </w:r>
          <w:sdt>
            <w:sdtPr>
              <w:rPr>
                <w:rFonts w:hint="eastAsia"/>
                <w:szCs w:val="21"/>
              </w:rPr>
              <w:alias w:val="币种：扣除非经常性损益项目和金额"/>
              <w:tag w:val="_GBC_1075279105e04a71a72ba148188834c9"/>
              <w:id w:val="-28108182"/>
              <w:lock w:val="sdtLocked"/>
              <w:placeholder>
                <w:docPart w:val="GBC22222222222222222222222222222"/>
              </w:placeholder>
              <w:dataBinding w:prefixMappings="xmlns:clcid-ci-ar='clcid-ci-ar'" w:xpath="/*/clcid-ci-ar:BiZhongKouChuFeiJingChangXingSunYiXiangMuHeJinE[not(@periodRef)]" w:storeItemID="{89EBAB94-44A0-46A2-B712-30D997D04A6D}"/>
              <w:comboBox w:lastValue="CNY">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6F32FB">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44"/>
            <w:gridCol w:w="1904"/>
            <w:gridCol w:w="2501"/>
          </w:tblGrid>
          <w:tr w:rsidR="00806678" w:rsidTr="00545050">
            <w:sdt>
              <w:sdtPr>
                <w:tag w:val="_PLD_21836bed4dfd441e8a48a625518a8f5f"/>
                <w:id w:val="-308486960"/>
                <w:lock w:val="sdtLocked"/>
              </w:sdtPr>
              <w:sdtContent>
                <w:tc>
                  <w:tcPr>
                    <w:tcW w:w="2566" w:type="pct"/>
                    <w:shd w:val="clear" w:color="auto" w:fill="auto"/>
                    <w:vAlign w:val="center"/>
                  </w:tcPr>
                  <w:p w:rsidR="00806678" w:rsidRDefault="00B16377">
                    <w:pPr>
                      <w:jc w:val="center"/>
                      <w:rPr>
                        <w:szCs w:val="21"/>
                      </w:rPr>
                    </w:pPr>
                    <w:r>
                      <w:rPr>
                        <w:rFonts w:hint="eastAsia"/>
                        <w:szCs w:val="21"/>
                      </w:rPr>
                      <w:t>项目</w:t>
                    </w:r>
                  </w:p>
                </w:tc>
              </w:sdtContent>
            </w:sdt>
            <w:sdt>
              <w:sdtPr>
                <w:tag w:val="_PLD_52741206370c4e1799f79141c7f871df"/>
                <w:id w:val="-1876920199"/>
                <w:lock w:val="sdtLocked"/>
              </w:sdtPr>
              <w:sdtContent>
                <w:tc>
                  <w:tcPr>
                    <w:tcW w:w="1052" w:type="pct"/>
                    <w:shd w:val="clear" w:color="auto" w:fill="auto"/>
                  </w:tcPr>
                  <w:p w:rsidR="00806678" w:rsidRDefault="00B16377">
                    <w:pPr>
                      <w:jc w:val="center"/>
                      <w:rPr>
                        <w:szCs w:val="21"/>
                      </w:rPr>
                    </w:pPr>
                    <w:r>
                      <w:rPr>
                        <w:rFonts w:hint="eastAsia"/>
                        <w:szCs w:val="21"/>
                      </w:rPr>
                      <w:t>金额</w:t>
                    </w:r>
                  </w:p>
                </w:tc>
              </w:sdtContent>
            </w:sdt>
            <w:sdt>
              <w:sdtPr>
                <w:tag w:val="_PLD_ac90403c6a634936b93313c407ed4e35"/>
                <w:id w:val="310921449"/>
                <w:lock w:val="sdtLocked"/>
              </w:sdtPr>
              <w:sdtContent>
                <w:tc>
                  <w:tcPr>
                    <w:tcW w:w="1382" w:type="pct"/>
                  </w:tcPr>
                  <w:p w:rsidR="00806678" w:rsidRDefault="00B16377">
                    <w:pPr>
                      <w:jc w:val="center"/>
                      <w:rPr>
                        <w:szCs w:val="21"/>
                      </w:rPr>
                    </w:pPr>
                    <w:r>
                      <w:rPr>
                        <w:rFonts w:hint="eastAsia"/>
                        <w:szCs w:val="21"/>
                      </w:rPr>
                      <w:t>说明</w:t>
                    </w:r>
                  </w:p>
                </w:tc>
              </w:sdtContent>
            </w:sdt>
          </w:tr>
          <w:tr w:rsidR="00806678" w:rsidTr="00545050">
            <w:sdt>
              <w:sdtPr>
                <w:tag w:val="_PLD_26d005fae80c40c5b439c091e256805a"/>
                <w:id w:val="1409886849"/>
                <w:lock w:val="sdtLocked"/>
              </w:sdtPr>
              <w:sdtContent>
                <w:tc>
                  <w:tcPr>
                    <w:tcW w:w="2566" w:type="pct"/>
                    <w:shd w:val="clear" w:color="auto" w:fill="auto"/>
                    <w:vAlign w:val="center"/>
                  </w:tcPr>
                  <w:p w:rsidR="00806678" w:rsidRDefault="00B16377">
                    <w:pPr>
                      <w:rPr>
                        <w:szCs w:val="21"/>
                      </w:rPr>
                    </w:pPr>
                    <w:r>
                      <w:rPr>
                        <w:rFonts w:hint="eastAsia"/>
                        <w:szCs w:val="21"/>
                      </w:rPr>
                      <w:t>非流动资产处置损益</w:t>
                    </w:r>
                  </w:p>
                </w:tc>
              </w:sdtContent>
            </w:sdt>
            <w:sdt>
              <w:sdtPr>
                <w:rPr>
                  <w:rFonts w:hint="eastAsia"/>
                  <w:szCs w:val="21"/>
                </w:rPr>
                <w:alias w:val="非流动性资产处置损益，包括已计提资产减值准备的冲销部分（非经常性损益项目）"/>
                <w:tag w:val="_GBC_f045781906b04458b3ad625ee4515c61"/>
                <w:id w:val="-389575586"/>
                <w:lock w:val="sdtLocked"/>
                <w:dataBinding w:prefixMappings="xmlns:clcid-pte='clcid-pte'" w:xpath="/*/clcid-pte:FeiLiuDongXingZiChanChuZhiSunYiBaoKuoYiJiTiZiChanJianZhiZhunBeiDeChongXiaoBuFenFeiJingChangXingSunYiXiangMu[not(@periodRef)]" w:storeItemID="{89EBAB94-44A0-46A2-B712-30D997D04A6D}"/>
                <w:text/>
              </w:sdtPr>
              <w:sdtContent>
                <w:tc>
                  <w:tcPr>
                    <w:tcW w:w="1052" w:type="pct"/>
                    <w:shd w:val="clear" w:color="auto" w:fill="auto"/>
                    <w:vAlign w:val="center"/>
                  </w:tcPr>
                  <w:p w:rsidR="00806678" w:rsidRDefault="006144EF">
                    <w:pPr>
                      <w:jc w:val="right"/>
                      <w:rPr>
                        <w:szCs w:val="21"/>
                      </w:rPr>
                    </w:pPr>
                    <w:r>
                      <w:rPr>
                        <w:rFonts w:hint="eastAsia"/>
                        <w:szCs w:val="21"/>
                      </w:rPr>
                      <w:t>-20,596,427</w:t>
                    </w:r>
                  </w:p>
                </w:tc>
              </w:sdtContent>
            </w:sdt>
            <w:sdt>
              <w:sdtPr>
                <w:rPr>
                  <w:szCs w:val="21"/>
                </w:rPr>
                <w:alias w:val="非流动性资产处置损益，包括已计提资产减值准备的冲销部分的说明（非经常性损益项目）"/>
                <w:tag w:val="_GBC_dbf112280e8b447b803745e3222ebaab"/>
                <w:id w:val="1397167951"/>
                <w:lock w:val="sdtLocked"/>
                <w:dataBinding w:prefixMappings="xmlns:clcid-pte='clcid-pte'" w:xpath="/*/clcid-pte:FeiLiuDongXingZiChanChuZhiSunYiBaoKuoYiJiTiZiChanJianZhiZhunBeiDeChongXiaoBuFenFeiJingChangXingSunYiXiangMuShuoMing[not(@periodRef)]" w:storeItemID="{89EBAB94-44A0-46A2-B712-30D997D04A6D}"/>
                <w:text/>
              </w:sdtPr>
              <w:sdtContent>
                <w:tc>
                  <w:tcPr>
                    <w:tcW w:w="1382" w:type="pct"/>
                    <w:vAlign w:val="center"/>
                  </w:tcPr>
                  <w:p w:rsidR="00806678" w:rsidRDefault="006144EF">
                    <w:pPr>
                      <w:rPr>
                        <w:b/>
                        <w:szCs w:val="21"/>
                      </w:rPr>
                    </w:pPr>
                    <w:r>
                      <w:rPr>
                        <w:rFonts w:hint="eastAsia"/>
                        <w:szCs w:val="21"/>
                      </w:rPr>
                      <w:t xml:space="preserve">　</w:t>
                    </w:r>
                  </w:p>
                </w:tc>
              </w:sdtContent>
            </w:sdt>
          </w:tr>
          <w:tr w:rsidR="00806678" w:rsidTr="00545050">
            <w:sdt>
              <w:sdtPr>
                <w:tag w:val="_PLD_03620343c03e4c9cbdbbf7ce4be9b435"/>
                <w:id w:val="-657694520"/>
                <w:lock w:val="sdtLocked"/>
              </w:sdtPr>
              <w:sdtContent>
                <w:tc>
                  <w:tcPr>
                    <w:tcW w:w="2566" w:type="pct"/>
                    <w:shd w:val="clear" w:color="auto" w:fill="auto"/>
                    <w:vAlign w:val="center"/>
                  </w:tcPr>
                  <w:p w:rsidR="00806678" w:rsidRDefault="00B16377">
                    <w:pPr>
                      <w:rPr>
                        <w:szCs w:val="21"/>
                      </w:rPr>
                    </w:pPr>
                    <w:r>
                      <w:rPr>
                        <w:rFonts w:hint="eastAsia"/>
                        <w:szCs w:val="21"/>
                      </w:rPr>
                      <w:t>越权审批或无正式批准文件的税收返还、减免</w:t>
                    </w:r>
                  </w:p>
                </w:tc>
              </w:sdtContent>
            </w:sdt>
            <w:sdt>
              <w:sdtPr>
                <w:rPr>
                  <w:rFonts w:hint="eastAsia"/>
                  <w:szCs w:val="21"/>
                </w:rPr>
                <w:alias w:val="越权审批，或无正式批准文件，或偶发性的税收返还、减免（非经常性损益项目）"/>
                <w:tag w:val="_GBC_739acef0a8fb4cf9ba3480cbf144d0bd"/>
                <w:id w:val="-1987856523"/>
                <w:lock w:val="sdtLocked"/>
                <w:showingPlcHdr/>
                <w:dataBinding w:prefixMappings="xmlns:clcid-pte='clcid-pte'" w:xpath="/*/clcid-pte:FeiJingChangXingSunYiZhongYueQuanShenPiHuoWuZhengShiPiZhunWenJianDeShuiShouFanHuanJianMian[not(@periodRef)]" w:storeItemID="{89EBAB94-44A0-46A2-B712-30D997D04A6D}"/>
                <w:text/>
              </w:sdtPr>
              <w:sdtContent>
                <w:tc>
                  <w:tcPr>
                    <w:tcW w:w="1052" w:type="pct"/>
                    <w:shd w:val="clear" w:color="auto" w:fill="auto"/>
                    <w:vAlign w:val="center"/>
                  </w:tcPr>
                  <w:p w:rsidR="00806678" w:rsidRDefault="00B16377">
                    <w:pPr>
                      <w:ind w:right="6"/>
                      <w:jc w:val="right"/>
                      <w:rPr>
                        <w:szCs w:val="21"/>
                      </w:rPr>
                    </w:pPr>
                    <w:r>
                      <w:rPr>
                        <w:rFonts w:hint="eastAsia"/>
                        <w:color w:val="0000FF"/>
                        <w:szCs w:val="21"/>
                      </w:rPr>
                      <w:t xml:space="preserve">　</w:t>
                    </w:r>
                  </w:p>
                </w:tc>
              </w:sdtContent>
            </w:sdt>
            <w:sdt>
              <w:sdtPr>
                <w:rPr>
                  <w:szCs w:val="21"/>
                </w:rPr>
                <w:alias w:val="越权审批，或无正式批准文件，或偶发性的税收返还、减免的说明（非经常性损益项目）"/>
                <w:tag w:val="_GBC_d1e6861f45b64ca2a145ec60b8eb30fc"/>
                <w:id w:val="2048798567"/>
                <w:lock w:val="sdtLocked"/>
                <w:showingPlcHdr/>
                <w:dataBinding w:prefixMappings="xmlns:clcid-pte='clcid-pte'" w:xpath="/*/clcid-pte:FeiJingChangXingSunYiZhongYueQuanShenPiHuoWuZhengShiPiZhunWenJianDeShuiShouFanHuanJianMianShuoMing[not(@periodRef)]" w:storeItemID="{89EBAB94-44A0-46A2-B712-30D997D04A6D}"/>
                <w:text/>
              </w:sdtPr>
              <w:sdtContent>
                <w:tc>
                  <w:tcPr>
                    <w:tcW w:w="1382" w:type="pct"/>
                    <w:vAlign w:val="center"/>
                  </w:tcPr>
                  <w:p w:rsidR="00806678" w:rsidRDefault="00B16377">
                    <w:pPr>
                      <w:rPr>
                        <w:szCs w:val="21"/>
                      </w:rPr>
                    </w:pPr>
                    <w:r>
                      <w:rPr>
                        <w:rFonts w:hint="eastAsia"/>
                        <w:color w:val="0000FF"/>
                        <w:szCs w:val="21"/>
                      </w:rPr>
                      <w:t xml:space="preserve">　</w:t>
                    </w:r>
                  </w:p>
                </w:tc>
              </w:sdtContent>
            </w:sdt>
          </w:tr>
          <w:tr w:rsidR="00806678" w:rsidTr="00545050">
            <w:sdt>
              <w:sdtPr>
                <w:tag w:val="_PLD_4971661f1d5e4d61b7fad7606c1c1bb7"/>
                <w:id w:val="550428109"/>
                <w:lock w:val="sdtLocked"/>
              </w:sdtPr>
              <w:sdtContent>
                <w:tc>
                  <w:tcPr>
                    <w:tcW w:w="2566" w:type="pct"/>
                    <w:shd w:val="clear" w:color="auto" w:fill="auto"/>
                    <w:vAlign w:val="center"/>
                  </w:tcPr>
                  <w:p w:rsidR="00806678" w:rsidRDefault="00B16377">
                    <w:pPr>
                      <w:rPr>
                        <w:szCs w:val="21"/>
                      </w:rPr>
                    </w:pPr>
                    <w:r>
                      <w:rPr>
                        <w:rFonts w:hint="eastAsia"/>
                        <w:szCs w:val="21"/>
                      </w:rPr>
                      <w:t>计入当期损益的政府补助（与企业业务密切相关，按照国家统一标准定额或定量享受的政府补助除外）</w:t>
                    </w:r>
                  </w:p>
                </w:tc>
              </w:sdtContent>
            </w:sdt>
            <w:sdt>
              <w:sdtPr>
                <w:rPr>
                  <w:rFonts w:hint="eastAsia"/>
                  <w:szCs w:val="21"/>
                </w:rPr>
                <w:alias w:val="计入当期损益的政府补助，但与公司正常经营业务密切相关，符合国家政策规定、按照一定标准定额或定量持续享受的政府补助除外（非经常性损"/>
                <w:tag w:val="_GBC_87d17071bbe748b28c703f8eaec85e23"/>
                <w:id w:val="-494347184"/>
                <w:lock w:val="sdtLocked"/>
                <w:dataBinding w:prefixMappings="xmlns:clcid-pte='clcid-pte'" w:xpath="/*/clcid-pte:FeiJingChangXingSunYiZhongGeZhongXingShiDeZhengFuBuTie[not(@periodRef)]" w:storeItemID="{89EBAB94-44A0-46A2-B712-30D997D04A6D}"/>
                <w:text/>
              </w:sdtPr>
              <w:sdtContent>
                <w:tc>
                  <w:tcPr>
                    <w:tcW w:w="1052" w:type="pct"/>
                    <w:shd w:val="clear" w:color="auto" w:fill="auto"/>
                    <w:vAlign w:val="center"/>
                  </w:tcPr>
                  <w:p w:rsidR="00806678" w:rsidRDefault="006144EF">
                    <w:pPr>
                      <w:jc w:val="right"/>
                      <w:rPr>
                        <w:szCs w:val="21"/>
                      </w:rPr>
                    </w:pPr>
                    <w:r>
                      <w:rPr>
                        <w:rFonts w:hint="eastAsia"/>
                        <w:szCs w:val="21"/>
                      </w:rPr>
                      <w:t>188,372,378</w:t>
                    </w:r>
                  </w:p>
                </w:tc>
              </w:sdtContent>
            </w:sdt>
            <w:sdt>
              <w:sdtPr>
                <w:rPr>
                  <w:szCs w:val="21"/>
                </w:rPr>
                <w:alias w:val="计入当期损益的政府补助，但与公司正常经营业务密切相关，符合国家政策规定、按照一定标准定额或定量持续享受的政府补助除外的说明（非经"/>
                <w:tag w:val="_GBC_4513591570d449de9208898ef81e191f"/>
                <w:id w:val="1308130361"/>
                <w:lock w:val="sdtLocked"/>
                <w:dataBinding w:prefixMappings="xmlns:clcid-pte='clcid-pte'" w:xpath="/*/clcid-pte:FeiJingChangXingSunYiZhongGeZhongXingShiDeZhengFuBuTieShuoMing[not(@periodRef)]" w:storeItemID="{89EBAB94-44A0-46A2-B712-30D997D04A6D}"/>
                <w:text/>
              </w:sdtPr>
              <w:sdtContent>
                <w:tc>
                  <w:tcPr>
                    <w:tcW w:w="1382" w:type="pct"/>
                    <w:vAlign w:val="center"/>
                  </w:tcPr>
                  <w:p w:rsidR="00806678" w:rsidRDefault="006144EF">
                    <w:pPr>
                      <w:rPr>
                        <w:szCs w:val="21"/>
                      </w:rPr>
                    </w:pPr>
                    <w:r>
                      <w:rPr>
                        <w:rFonts w:hint="eastAsia"/>
                        <w:szCs w:val="21"/>
                      </w:rPr>
                      <w:t xml:space="preserve">　</w:t>
                    </w:r>
                  </w:p>
                </w:tc>
              </w:sdtContent>
            </w:sdt>
          </w:tr>
          <w:tr w:rsidR="00806678" w:rsidTr="00545050">
            <w:sdt>
              <w:sdtPr>
                <w:tag w:val="_PLD_e96201eca75b4ddd84b118ba8f346132"/>
                <w:id w:val="1761863106"/>
                <w:lock w:val="sdtLocked"/>
              </w:sdtPr>
              <w:sdtContent>
                <w:tc>
                  <w:tcPr>
                    <w:tcW w:w="2566" w:type="pct"/>
                    <w:shd w:val="clear" w:color="auto" w:fill="auto"/>
                    <w:vAlign w:val="center"/>
                  </w:tcPr>
                  <w:p w:rsidR="00806678" w:rsidRDefault="00B16377">
                    <w:pPr>
                      <w:rPr>
                        <w:szCs w:val="21"/>
                      </w:rPr>
                    </w:pPr>
                    <w:r>
                      <w:rPr>
                        <w:rFonts w:hint="eastAsia"/>
                        <w:szCs w:val="21"/>
                      </w:rPr>
                      <w:t>计入当期损益的对非金融企业收取的资金占用费</w:t>
                    </w:r>
                  </w:p>
                </w:tc>
              </w:sdtContent>
            </w:sdt>
            <w:sdt>
              <w:sdtPr>
                <w:rPr>
                  <w:rFonts w:hint="eastAsia"/>
                  <w:szCs w:val="21"/>
                </w:rPr>
                <w:alias w:val="计入当期损益的对非金融企业收取的资金占用费（非经常性损益项目）"/>
                <w:tag w:val="_GBC_fa05ceca6bca4dd9a7d215044dce1e08"/>
                <w:id w:val="-38674445"/>
                <w:lock w:val="sdtLocked"/>
                <w:showingPlcHdr/>
                <w:dataBinding w:prefixMappings="xmlns:clcid-pte='clcid-pte'" w:xpath="/*/clcid-pte:JiRuDangQiSunYiDeDuiFeiJinRongQiYeShouQuDeZiJinZhanYongFeiFeiJingChangXingSunYiXiangMu[not(@periodRef)]" w:storeItemID="{89EBAB94-44A0-46A2-B712-30D997D04A6D}"/>
                <w:text/>
              </w:sdtPr>
              <w:sdtContent>
                <w:tc>
                  <w:tcPr>
                    <w:tcW w:w="1052" w:type="pct"/>
                    <w:shd w:val="clear" w:color="auto" w:fill="auto"/>
                    <w:vAlign w:val="center"/>
                  </w:tcPr>
                  <w:p w:rsidR="00806678" w:rsidRDefault="00B16377">
                    <w:pPr>
                      <w:jc w:val="right"/>
                      <w:rPr>
                        <w:szCs w:val="21"/>
                      </w:rPr>
                    </w:pPr>
                    <w:r>
                      <w:rPr>
                        <w:rFonts w:hint="eastAsia"/>
                        <w:color w:val="0000FF"/>
                        <w:szCs w:val="21"/>
                      </w:rPr>
                      <w:t xml:space="preserve">　</w:t>
                    </w:r>
                  </w:p>
                </w:tc>
              </w:sdtContent>
            </w:sdt>
            <w:sdt>
              <w:sdtPr>
                <w:rPr>
                  <w:szCs w:val="21"/>
                </w:rPr>
                <w:alias w:val="计入当期损益的对非金融企业收取的资金占用费的说明（非经常性损益项目）"/>
                <w:tag w:val="_GBC_e39bef666fc347c4b548b1702cce8f81"/>
                <w:id w:val="-758369337"/>
                <w:lock w:val="sdtLocked"/>
                <w:showingPlcHdr/>
                <w:dataBinding w:prefixMappings="xmlns:clcid-pte='clcid-pte'" w:xpath="/*/clcid-pte:JiRuDangQiSunYiDeDuiFeiJinRongQiYeShouQuDeZiJinZhanYongFeiFeiJingChangXingSunYiXiangMuShuoMing[not(@periodRef)]" w:storeItemID="{89EBAB94-44A0-46A2-B712-30D997D04A6D}"/>
                <w:text/>
              </w:sdtPr>
              <w:sdtContent>
                <w:tc>
                  <w:tcPr>
                    <w:tcW w:w="1382" w:type="pct"/>
                    <w:vAlign w:val="center"/>
                  </w:tcPr>
                  <w:p w:rsidR="00806678" w:rsidRDefault="00B16377">
                    <w:pPr>
                      <w:rPr>
                        <w:szCs w:val="21"/>
                      </w:rPr>
                    </w:pPr>
                    <w:r>
                      <w:rPr>
                        <w:rFonts w:hint="eastAsia"/>
                        <w:color w:val="0000FF"/>
                        <w:szCs w:val="21"/>
                      </w:rPr>
                      <w:t xml:space="preserve">　</w:t>
                    </w:r>
                  </w:p>
                </w:tc>
              </w:sdtContent>
            </w:sdt>
          </w:tr>
          <w:tr w:rsidR="00806678" w:rsidTr="00545050">
            <w:sdt>
              <w:sdtPr>
                <w:tag w:val="_PLD_a04712aa3e2145e7873c6bd060038eb3"/>
                <w:id w:val="-1309703098"/>
                <w:lock w:val="sdtLocked"/>
              </w:sdtPr>
              <w:sdtContent>
                <w:tc>
                  <w:tcPr>
                    <w:tcW w:w="2566" w:type="pct"/>
                    <w:shd w:val="clear" w:color="auto" w:fill="auto"/>
                    <w:vAlign w:val="center"/>
                  </w:tcPr>
                  <w:p w:rsidR="00806678" w:rsidRDefault="00B16377">
                    <w:pPr>
                      <w:rPr>
                        <w:szCs w:val="21"/>
                      </w:rPr>
                    </w:pPr>
                    <w:r>
                      <w:rPr>
                        <w:rFonts w:hint="eastAsia"/>
                        <w:szCs w:val="21"/>
                      </w:rPr>
                      <w:t>企业取得子公司、联营企业及合营企业的投资成本小于取得投资时应享有被投资单位可辨认净资产公允价值产生的收益</w:t>
                    </w:r>
                  </w:p>
                </w:tc>
              </w:sdtContent>
            </w:sdt>
            <w:sdt>
              <w:sdtPr>
                <w:rPr>
                  <w:rFonts w:hint="eastAsia"/>
                  <w:szCs w:val="21"/>
                </w:rPr>
                <w:alias w:val="企业取得子公司、联营企业及合营企业的投资成本小于取得投资时应享有被投资单位可辨认净资产公允价值产生的收益（非经常性损益项目）"/>
                <w:tag w:val="_GBC_da8567332bf1414f9b00448bf14a2046"/>
                <w:id w:val="-1336451007"/>
                <w:lock w:val="sdtLocked"/>
                <w:showingPlcHdr/>
                <w:dataBinding w:prefixMappings="xmlns:clcid-pte='clcid-pte'" w:xpath="/*/clcid-pte:QiYeHeBingDeHeBingChengBenXiaoYuHeBingShiYingXiangYouBeiHeBingDanWeiKeBianRenJingZiChanGongYunJiaZhiChanShengDeSunYi[not(@periodRef)]" w:storeItemID="{89EBAB94-44A0-46A2-B712-30D997D04A6D}"/>
                <w:text/>
              </w:sdtPr>
              <w:sdtContent>
                <w:tc>
                  <w:tcPr>
                    <w:tcW w:w="1052" w:type="pct"/>
                    <w:shd w:val="clear" w:color="auto" w:fill="auto"/>
                    <w:vAlign w:val="center"/>
                  </w:tcPr>
                  <w:p w:rsidR="00806678" w:rsidRDefault="00B16377">
                    <w:pPr>
                      <w:jc w:val="right"/>
                      <w:rPr>
                        <w:szCs w:val="21"/>
                      </w:rPr>
                    </w:pPr>
                    <w:r>
                      <w:rPr>
                        <w:rFonts w:hint="eastAsia"/>
                        <w:color w:val="0000FF"/>
                        <w:szCs w:val="21"/>
                      </w:rPr>
                      <w:t xml:space="preserve">　</w:t>
                    </w:r>
                  </w:p>
                </w:tc>
              </w:sdtContent>
            </w:sdt>
            <w:sdt>
              <w:sdtPr>
                <w:rPr>
                  <w:szCs w:val="21"/>
                </w:rPr>
                <w:alias w:val="企业取得子公司、联营企业及合营企业的投资成本小于取得投资时应享有被投资单位可辨认净资产公允价值产生的收益的说明（非经常性损益项目"/>
                <w:tag w:val="_GBC_5140be5466d24c06aa7c5dd7b7497384"/>
                <w:id w:val="59533986"/>
                <w:lock w:val="sdtLocked"/>
                <w:showingPlcHdr/>
                <w:dataBinding w:prefixMappings="xmlns:clcid-pte='clcid-pte'" w:xpath="/*/clcid-pte:QiYeHeBingDeHeBingChengBenXiaoYuHeBingShiYingXiangYouBeiHeBingDanWeiKeBianRenJingZiChanGongYunJiaZhiChanShengDeSunYiShuoMing[not(@periodRef)]" w:storeItemID="{89EBAB94-44A0-46A2-B712-30D997D04A6D}"/>
                <w:text/>
              </w:sdtPr>
              <w:sdtContent>
                <w:tc>
                  <w:tcPr>
                    <w:tcW w:w="1382" w:type="pct"/>
                    <w:vAlign w:val="center"/>
                  </w:tcPr>
                  <w:p w:rsidR="00806678" w:rsidRDefault="00B16377">
                    <w:pPr>
                      <w:rPr>
                        <w:szCs w:val="21"/>
                      </w:rPr>
                    </w:pPr>
                    <w:r>
                      <w:rPr>
                        <w:rFonts w:hint="eastAsia"/>
                        <w:color w:val="0000FF"/>
                        <w:szCs w:val="21"/>
                      </w:rPr>
                      <w:t xml:space="preserve">　</w:t>
                    </w:r>
                  </w:p>
                </w:tc>
              </w:sdtContent>
            </w:sdt>
          </w:tr>
          <w:tr w:rsidR="00806678" w:rsidTr="00545050">
            <w:sdt>
              <w:sdtPr>
                <w:tag w:val="_PLD_5a96b14725f54837a87e61ee4c501071"/>
                <w:id w:val="-926888564"/>
                <w:lock w:val="sdtLocked"/>
              </w:sdtPr>
              <w:sdtContent>
                <w:tc>
                  <w:tcPr>
                    <w:tcW w:w="2566" w:type="pct"/>
                    <w:shd w:val="clear" w:color="auto" w:fill="auto"/>
                    <w:vAlign w:val="center"/>
                  </w:tcPr>
                  <w:p w:rsidR="00806678" w:rsidRDefault="00B16377">
                    <w:pPr>
                      <w:rPr>
                        <w:szCs w:val="21"/>
                      </w:rPr>
                    </w:pPr>
                    <w:r>
                      <w:rPr>
                        <w:rFonts w:hint="eastAsia"/>
                        <w:szCs w:val="21"/>
                      </w:rPr>
                      <w:t>非货币性资产交换损益</w:t>
                    </w:r>
                  </w:p>
                </w:tc>
              </w:sdtContent>
            </w:sdt>
            <w:sdt>
              <w:sdtPr>
                <w:rPr>
                  <w:rFonts w:hint="eastAsia"/>
                  <w:szCs w:val="21"/>
                </w:rPr>
                <w:alias w:val="非货币性资产交换损益（非经常性损益项目）"/>
                <w:tag w:val="_GBC_4cbe5f86242143498e8a8e52a9159cf4"/>
                <w:id w:val="370651151"/>
                <w:lock w:val="sdtLocked"/>
                <w:showingPlcHdr/>
                <w:dataBinding w:prefixMappings="xmlns:clcid-pte='clcid-pte'" w:xpath="/*/clcid-pte:FeiJingChangXingSunYiZhongZiChanZhiHuanSunYi[not(@periodRef)]" w:storeItemID="{89EBAB94-44A0-46A2-B712-30D997D04A6D}"/>
                <w:text/>
              </w:sdtPr>
              <w:sdtContent>
                <w:tc>
                  <w:tcPr>
                    <w:tcW w:w="1052" w:type="pct"/>
                    <w:shd w:val="clear" w:color="auto" w:fill="auto"/>
                    <w:vAlign w:val="center"/>
                  </w:tcPr>
                  <w:p w:rsidR="00806678" w:rsidRDefault="00B16377">
                    <w:pPr>
                      <w:jc w:val="right"/>
                      <w:rPr>
                        <w:szCs w:val="21"/>
                      </w:rPr>
                    </w:pPr>
                    <w:r>
                      <w:rPr>
                        <w:rFonts w:hint="eastAsia"/>
                        <w:color w:val="0000FF"/>
                        <w:szCs w:val="21"/>
                      </w:rPr>
                      <w:t xml:space="preserve">　</w:t>
                    </w:r>
                  </w:p>
                </w:tc>
              </w:sdtContent>
            </w:sdt>
            <w:sdt>
              <w:sdtPr>
                <w:rPr>
                  <w:szCs w:val="21"/>
                </w:rPr>
                <w:alias w:val="非货币性资产交换损益的说明（非经常性损益项目）"/>
                <w:tag w:val="_GBC_0c3795502b03479fa5ac233060ebd95d"/>
                <w:id w:val="-1849158430"/>
                <w:lock w:val="sdtLocked"/>
                <w:showingPlcHdr/>
                <w:dataBinding w:prefixMappings="xmlns:clcid-pte='clcid-pte'" w:xpath="/*/clcid-pte:FeiJingChangXingSunYiZhongZiChanZhiHuanSunYiShuoMing[not(@periodRef)]" w:storeItemID="{89EBAB94-44A0-46A2-B712-30D997D04A6D}"/>
                <w:text/>
              </w:sdtPr>
              <w:sdtContent>
                <w:tc>
                  <w:tcPr>
                    <w:tcW w:w="1382" w:type="pct"/>
                    <w:vAlign w:val="center"/>
                  </w:tcPr>
                  <w:p w:rsidR="00806678" w:rsidRDefault="00B16377">
                    <w:pPr>
                      <w:rPr>
                        <w:szCs w:val="21"/>
                      </w:rPr>
                    </w:pPr>
                    <w:r>
                      <w:rPr>
                        <w:rFonts w:hint="eastAsia"/>
                        <w:color w:val="0000FF"/>
                        <w:szCs w:val="21"/>
                      </w:rPr>
                      <w:t xml:space="preserve">　</w:t>
                    </w:r>
                  </w:p>
                </w:tc>
              </w:sdtContent>
            </w:sdt>
          </w:tr>
          <w:tr w:rsidR="00806678" w:rsidTr="00545050">
            <w:sdt>
              <w:sdtPr>
                <w:tag w:val="_PLD_a676c98d931749ce9093d2cc38be0fa2"/>
                <w:id w:val="-326595743"/>
                <w:lock w:val="sdtLocked"/>
              </w:sdtPr>
              <w:sdtContent>
                <w:tc>
                  <w:tcPr>
                    <w:tcW w:w="2566" w:type="pct"/>
                    <w:shd w:val="clear" w:color="auto" w:fill="auto"/>
                    <w:vAlign w:val="center"/>
                  </w:tcPr>
                  <w:p w:rsidR="00806678" w:rsidRDefault="00B16377">
                    <w:pPr>
                      <w:rPr>
                        <w:szCs w:val="21"/>
                      </w:rPr>
                    </w:pPr>
                    <w:r>
                      <w:rPr>
                        <w:rFonts w:hint="eastAsia"/>
                        <w:szCs w:val="21"/>
                      </w:rPr>
                      <w:t>委托他人投资或管理资产的损益</w:t>
                    </w:r>
                  </w:p>
                </w:tc>
              </w:sdtContent>
            </w:sdt>
            <w:sdt>
              <w:sdtPr>
                <w:rPr>
                  <w:rFonts w:hint="eastAsia"/>
                  <w:szCs w:val="21"/>
                </w:rPr>
                <w:alias w:val="委托他人投资或管理资产的损益（非经常性损益项目）"/>
                <w:tag w:val="_GBC_d2fd11aa21804a79bf75d80767cb7622"/>
                <w:id w:val="1615334561"/>
                <w:lock w:val="sdtLocked"/>
                <w:showingPlcHdr/>
                <w:dataBinding w:prefixMappings="xmlns:clcid-pte='clcid-pte'" w:xpath="/*/clcid-pte:WeiTuoTaRenTouZiHuoGuanLiZiChanDeSunYiFeiJingChangXingSunYiXiangMu[not(@periodRef)]" w:storeItemID="{89EBAB94-44A0-46A2-B712-30D997D04A6D}"/>
                <w:text/>
              </w:sdtPr>
              <w:sdtContent>
                <w:tc>
                  <w:tcPr>
                    <w:tcW w:w="1052" w:type="pct"/>
                    <w:shd w:val="clear" w:color="auto" w:fill="auto"/>
                    <w:vAlign w:val="center"/>
                  </w:tcPr>
                  <w:p w:rsidR="00806678" w:rsidRDefault="00B16377">
                    <w:pPr>
                      <w:jc w:val="right"/>
                      <w:rPr>
                        <w:szCs w:val="21"/>
                      </w:rPr>
                    </w:pPr>
                    <w:r>
                      <w:rPr>
                        <w:rFonts w:hint="eastAsia"/>
                        <w:color w:val="0000FF"/>
                        <w:szCs w:val="21"/>
                      </w:rPr>
                      <w:t xml:space="preserve">　</w:t>
                    </w:r>
                  </w:p>
                </w:tc>
              </w:sdtContent>
            </w:sdt>
            <w:sdt>
              <w:sdtPr>
                <w:rPr>
                  <w:szCs w:val="21"/>
                </w:rPr>
                <w:alias w:val="委托他人投资或管理资产的损益的说明（非经常性损益项目）"/>
                <w:tag w:val="_GBC_556f9aa856334b9cba18fb2f97b39cc5"/>
                <w:id w:val="-1059868239"/>
                <w:lock w:val="sdtLocked"/>
                <w:showingPlcHdr/>
                <w:dataBinding w:prefixMappings="xmlns:clcid-pte='clcid-pte'" w:xpath="/*/clcid-pte:WeiTuoTaRenTouZiHuoGuanLiZiChanDeSunYiFeiJingChangXingSunYiXiangMuShuoMing[not(@periodRef)]" w:storeItemID="{89EBAB94-44A0-46A2-B712-30D997D04A6D}"/>
                <w:text/>
              </w:sdtPr>
              <w:sdtContent>
                <w:tc>
                  <w:tcPr>
                    <w:tcW w:w="1382" w:type="pct"/>
                    <w:vAlign w:val="center"/>
                  </w:tcPr>
                  <w:p w:rsidR="00806678" w:rsidRDefault="00B16377">
                    <w:pPr>
                      <w:rPr>
                        <w:szCs w:val="21"/>
                      </w:rPr>
                    </w:pPr>
                    <w:r>
                      <w:rPr>
                        <w:rFonts w:hint="eastAsia"/>
                        <w:color w:val="0000FF"/>
                        <w:szCs w:val="21"/>
                      </w:rPr>
                      <w:t xml:space="preserve">　</w:t>
                    </w:r>
                  </w:p>
                </w:tc>
              </w:sdtContent>
            </w:sdt>
          </w:tr>
          <w:tr w:rsidR="00806678" w:rsidTr="00545050">
            <w:sdt>
              <w:sdtPr>
                <w:tag w:val="_PLD_26d12c8a27f5433fa2f660641cd44700"/>
                <w:id w:val="1721546774"/>
                <w:lock w:val="sdtLocked"/>
              </w:sdtPr>
              <w:sdtContent>
                <w:tc>
                  <w:tcPr>
                    <w:tcW w:w="2566" w:type="pct"/>
                    <w:shd w:val="clear" w:color="auto" w:fill="auto"/>
                    <w:vAlign w:val="center"/>
                  </w:tcPr>
                  <w:p w:rsidR="00806678" w:rsidRDefault="00B16377">
                    <w:pPr>
                      <w:rPr>
                        <w:szCs w:val="21"/>
                      </w:rPr>
                    </w:pPr>
                    <w:r>
                      <w:rPr>
                        <w:rFonts w:hint="eastAsia"/>
                        <w:szCs w:val="21"/>
                      </w:rPr>
                      <w:t>因不可抗力因素，如遭受自然灾害而计提的各项</w:t>
                    </w:r>
                    <w:r>
                      <w:rPr>
                        <w:rFonts w:hint="eastAsia"/>
                        <w:szCs w:val="21"/>
                      </w:rPr>
                      <w:lastRenderedPageBreak/>
                      <w:t>资产减值准备</w:t>
                    </w:r>
                  </w:p>
                </w:tc>
              </w:sdtContent>
            </w:sdt>
            <w:sdt>
              <w:sdtPr>
                <w:rPr>
                  <w:rFonts w:hint="eastAsia"/>
                  <w:szCs w:val="21"/>
                </w:rPr>
                <w:alias w:val="因不可抗力因素，如遭受自然灾害而计提的各项资产减值准备（非经常性损益项目）"/>
                <w:tag w:val="_GBC_40e59f580b8446b6a448bfa2d9c39106"/>
                <w:id w:val="1056668542"/>
                <w:lock w:val="sdtLocked"/>
                <w:showingPlcHdr/>
                <w:dataBinding w:prefixMappings="xmlns:clcid-pte='clcid-pte'" w:xpath="/*/clcid-pte:FeiJingChangXingSunYiZhongJiTiDeGeXiangZiChanJianZhiZhunBei[not(@periodRef)]" w:storeItemID="{89EBAB94-44A0-46A2-B712-30D997D04A6D}"/>
                <w:text/>
              </w:sdtPr>
              <w:sdtContent>
                <w:tc>
                  <w:tcPr>
                    <w:tcW w:w="1052" w:type="pct"/>
                    <w:shd w:val="clear" w:color="auto" w:fill="auto"/>
                    <w:vAlign w:val="center"/>
                  </w:tcPr>
                  <w:p w:rsidR="00806678" w:rsidRDefault="00B16377">
                    <w:pPr>
                      <w:jc w:val="right"/>
                      <w:rPr>
                        <w:szCs w:val="21"/>
                      </w:rPr>
                    </w:pPr>
                    <w:r>
                      <w:rPr>
                        <w:rFonts w:hint="eastAsia"/>
                        <w:color w:val="0000FF"/>
                        <w:szCs w:val="21"/>
                      </w:rPr>
                      <w:t xml:space="preserve">　</w:t>
                    </w:r>
                  </w:p>
                </w:tc>
              </w:sdtContent>
            </w:sdt>
            <w:sdt>
              <w:sdtPr>
                <w:rPr>
                  <w:szCs w:val="21"/>
                </w:rPr>
                <w:alias w:val="因不可抗力因素，如遭受自然灾害而计提的各项资产减值准备的说明（非经常性损益项目）"/>
                <w:tag w:val="_GBC_4f29c0d978134f4d9ade4cfb9e6e5bfa"/>
                <w:id w:val="-35040033"/>
                <w:lock w:val="sdtLocked"/>
                <w:showingPlcHdr/>
                <w:dataBinding w:prefixMappings="xmlns:clcid-pte='clcid-pte'" w:xpath="/*/clcid-pte:FeiJingChangXingSunYiZhongJiTiDeGeXiangZiChanJianZhiZhunBeiShuoMing[not(@periodRef)]" w:storeItemID="{89EBAB94-44A0-46A2-B712-30D997D04A6D}"/>
                <w:text/>
              </w:sdtPr>
              <w:sdtContent>
                <w:tc>
                  <w:tcPr>
                    <w:tcW w:w="1382" w:type="pct"/>
                    <w:vAlign w:val="center"/>
                  </w:tcPr>
                  <w:p w:rsidR="00806678" w:rsidRDefault="00B16377">
                    <w:pPr>
                      <w:rPr>
                        <w:szCs w:val="21"/>
                      </w:rPr>
                    </w:pPr>
                    <w:r>
                      <w:rPr>
                        <w:rFonts w:hint="eastAsia"/>
                        <w:color w:val="0000FF"/>
                        <w:szCs w:val="21"/>
                      </w:rPr>
                      <w:t xml:space="preserve">　</w:t>
                    </w:r>
                  </w:p>
                </w:tc>
              </w:sdtContent>
            </w:sdt>
          </w:tr>
          <w:tr w:rsidR="00806678" w:rsidTr="00545050">
            <w:sdt>
              <w:sdtPr>
                <w:tag w:val="_PLD_8bcaae140d1341cdbbecefeb642d9613"/>
                <w:id w:val="-2094154352"/>
                <w:lock w:val="sdtLocked"/>
              </w:sdtPr>
              <w:sdtContent>
                <w:tc>
                  <w:tcPr>
                    <w:tcW w:w="2566" w:type="pct"/>
                    <w:shd w:val="clear" w:color="auto" w:fill="auto"/>
                    <w:vAlign w:val="center"/>
                  </w:tcPr>
                  <w:p w:rsidR="00806678" w:rsidRDefault="00B16377">
                    <w:pPr>
                      <w:rPr>
                        <w:szCs w:val="21"/>
                      </w:rPr>
                    </w:pPr>
                    <w:r>
                      <w:rPr>
                        <w:rFonts w:hint="eastAsia"/>
                        <w:szCs w:val="21"/>
                      </w:rPr>
                      <w:t>债务重组损益</w:t>
                    </w:r>
                  </w:p>
                </w:tc>
              </w:sdtContent>
            </w:sdt>
            <w:sdt>
              <w:sdtPr>
                <w:rPr>
                  <w:rFonts w:hint="eastAsia"/>
                  <w:szCs w:val="21"/>
                </w:rPr>
                <w:alias w:val="债务重组损益（非经常性损益项目）"/>
                <w:tag w:val="_GBC_562f390e991e466084ffd0680a094232"/>
                <w:id w:val="1457832251"/>
                <w:lock w:val="sdtLocked"/>
                <w:showingPlcHdr/>
                <w:dataBinding w:prefixMappings="xmlns:clcid-pte='clcid-pte'" w:xpath="/*/clcid-pte:FeiJingChangXingSunYiZhongZhaiWuZhongZuSunYi[not(@periodRef)]" w:storeItemID="{89EBAB94-44A0-46A2-B712-30D997D04A6D}"/>
                <w:text/>
              </w:sdtPr>
              <w:sdtContent>
                <w:tc>
                  <w:tcPr>
                    <w:tcW w:w="1052" w:type="pct"/>
                    <w:shd w:val="clear" w:color="auto" w:fill="auto"/>
                    <w:vAlign w:val="center"/>
                  </w:tcPr>
                  <w:p w:rsidR="00806678" w:rsidRDefault="00B16377">
                    <w:pPr>
                      <w:jc w:val="right"/>
                      <w:rPr>
                        <w:szCs w:val="21"/>
                      </w:rPr>
                    </w:pPr>
                    <w:r>
                      <w:rPr>
                        <w:rFonts w:hint="eastAsia"/>
                        <w:color w:val="0000FF"/>
                        <w:szCs w:val="21"/>
                      </w:rPr>
                      <w:t xml:space="preserve">　</w:t>
                    </w:r>
                  </w:p>
                </w:tc>
              </w:sdtContent>
            </w:sdt>
            <w:sdt>
              <w:sdtPr>
                <w:rPr>
                  <w:szCs w:val="21"/>
                </w:rPr>
                <w:alias w:val="债务重组损益的说明（非经常性损益项目）"/>
                <w:tag w:val="_GBC_f43aef808f214d7383de39e3b6c398f4"/>
                <w:id w:val="1244061818"/>
                <w:lock w:val="sdtLocked"/>
                <w:showingPlcHdr/>
                <w:dataBinding w:prefixMappings="xmlns:clcid-pte='clcid-pte'" w:xpath="/*/clcid-pte:FeiJingChangXingSunYiZhongZhaiWuZhongZuSunYiShuoMing[not(@periodRef)]" w:storeItemID="{89EBAB94-44A0-46A2-B712-30D997D04A6D}"/>
                <w:text/>
              </w:sdtPr>
              <w:sdtContent>
                <w:tc>
                  <w:tcPr>
                    <w:tcW w:w="1382" w:type="pct"/>
                    <w:vAlign w:val="center"/>
                  </w:tcPr>
                  <w:p w:rsidR="00806678" w:rsidRDefault="00B16377">
                    <w:pPr>
                      <w:rPr>
                        <w:szCs w:val="21"/>
                      </w:rPr>
                    </w:pPr>
                    <w:r>
                      <w:rPr>
                        <w:rFonts w:hint="eastAsia"/>
                        <w:color w:val="0000FF"/>
                        <w:szCs w:val="21"/>
                      </w:rPr>
                      <w:t xml:space="preserve">　</w:t>
                    </w:r>
                  </w:p>
                </w:tc>
              </w:sdtContent>
            </w:sdt>
          </w:tr>
          <w:tr w:rsidR="00806678" w:rsidTr="00545050">
            <w:sdt>
              <w:sdtPr>
                <w:tag w:val="_PLD_8f7d113d42fb4410b8855e99585354db"/>
                <w:id w:val="-1600331054"/>
                <w:lock w:val="sdtLocked"/>
              </w:sdtPr>
              <w:sdtContent>
                <w:tc>
                  <w:tcPr>
                    <w:tcW w:w="2566" w:type="pct"/>
                    <w:shd w:val="clear" w:color="auto" w:fill="auto"/>
                    <w:vAlign w:val="center"/>
                  </w:tcPr>
                  <w:p w:rsidR="00806678" w:rsidRDefault="00B16377">
                    <w:pPr>
                      <w:rPr>
                        <w:szCs w:val="21"/>
                      </w:rPr>
                    </w:pPr>
                    <w:r>
                      <w:rPr>
                        <w:rFonts w:hint="eastAsia"/>
                        <w:szCs w:val="21"/>
                      </w:rPr>
                      <w:t>企业重组费用，如安置职工的支出、整合费用等</w:t>
                    </w:r>
                  </w:p>
                </w:tc>
              </w:sdtContent>
            </w:sdt>
            <w:sdt>
              <w:sdtPr>
                <w:rPr>
                  <w:rFonts w:hint="eastAsia"/>
                  <w:szCs w:val="21"/>
                </w:rPr>
                <w:alias w:val="企业重组费用，如安置职工的支出、整合费用等（非经常性损益项目）"/>
                <w:tag w:val="_GBC_56ec47ca87774d5abcabbca8deefec34"/>
                <w:id w:val="550047629"/>
                <w:lock w:val="sdtLocked"/>
                <w:showingPlcHdr/>
                <w:dataBinding w:prefixMappings="xmlns:clcid-pte='clcid-pte'" w:xpath="/*/clcid-pte:QiYeZhongZuFeiYongRuAnZhiZhiGongDeZhiChuZhengHeFeiYongDeng[not(@periodRef)]" w:storeItemID="{89EBAB94-44A0-46A2-B712-30D997D04A6D}"/>
                <w:text/>
              </w:sdtPr>
              <w:sdtContent>
                <w:tc>
                  <w:tcPr>
                    <w:tcW w:w="1052" w:type="pct"/>
                    <w:shd w:val="clear" w:color="auto" w:fill="auto"/>
                    <w:vAlign w:val="center"/>
                  </w:tcPr>
                  <w:p w:rsidR="00806678" w:rsidRDefault="00B16377">
                    <w:pPr>
                      <w:jc w:val="right"/>
                      <w:rPr>
                        <w:szCs w:val="21"/>
                      </w:rPr>
                    </w:pPr>
                    <w:r>
                      <w:rPr>
                        <w:rFonts w:hint="eastAsia"/>
                        <w:color w:val="0000FF"/>
                        <w:szCs w:val="21"/>
                      </w:rPr>
                      <w:t xml:space="preserve">　</w:t>
                    </w:r>
                  </w:p>
                </w:tc>
              </w:sdtContent>
            </w:sdt>
            <w:sdt>
              <w:sdtPr>
                <w:rPr>
                  <w:szCs w:val="21"/>
                </w:rPr>
                <w:alias w:val="企业重组费用，如安置职工的支出、整合费用等的说明（非经常性损益项目）"/>
                <w:tag w:val="_GBC_a7c33259b38d4d119cc648f5a3558bfe"/>
                <w:id w:val="-512680045"/>
                <w:lock w:val="sdtLocked"/>
                <w:showingPlcHdr/>
                <w:dataBinding w:prefixMappings="xmlns:clcid-pte='clcid-pte'" w:xpath="/*/clcid-pte:QiYeZhongZuFeiYongRuAnZhiZhiGongDeZhiChuZhengHeFeiYongDengShuoMing[not(@periodRef)]" w:storeItemID="{89EBAB94-44A0-46A2-B712-30D997D04A6D}"/>
                <w:text/>
              </w:sdtPr>
              <w:sdtContent>
                <w:tc>
                  <w:tcPr>
                    <w:tcW w:w="1382" w:type="pct"/>
                    <w:vAlign w:val="center"/>
                  </w:tcPr>
                  <w:p w:rsidR="00806678" w:rsidRDefault="00B16377">
                    <w:pPr>
                      <w:rPr>
                        <w:szCs w:val="21"/>
                      </w:rPr>
                    </w:pPr>
                    <w:r>
                      <w:rPr>
                        <w:rFonts w:hint="eastAsia"/>
                        <w:color w:val="0000FF"/>
                        <w:szCs w:val="21"/>
                      </w:rPr>
                      <w:t xml:space="preserve">　</w:t>
                    </w:r>
                  </w:p>
                </w:tc>
              </w:sdtContent>
            </w:sdt>
          </w:tr>
          <w:tr w:rsidR="00806678" w:rsidTr="00545050">
            <w:sdt>
              <w:sdtPr>
                <w:tag w:val="_PLD_0aaa1b7e693f4556ba93d4252bbe667a"/>
                <w:id w:val="18291848"/>
                <w:lock w:val="sdtLocked"/>
              </w:sdtPr>
              <w:sdtContent>
                <w:tc>
                  <w:tcPr>
                    <w:tcW w:w="2566" w:type="pct"/>
                    <w:shd w:val="clear" w:color="auto" w:fill="auto"/>
                    <w:vAlign w:val="center"/>
                  </w:tcPr>
                  <w:p w:rsidR="00806678" w:rsidRDefault="00B16377">
                    <w:pPr>
                      <w:rPr>
                        <w:szCs w:val="21"/>
                      </w:rPr>
                    </w:pPr>
                    <w:r>
                      <w:rPr>
                        <w:rFonts w:hint="eastAsia"/>
                        <w:szCs w:val="21"/>
                      </w:rPr>
                      <w:t>交易价格显失公允的交易产生的超过公允价值部分的损益</w:t>
                    </w:r>
                  </w:p>
                </w:tc>
              </w:sdtContent>
            </w:sdt>
            <w:sdt>
              <w:sdtPr>
                <w:rPr>
                  <w:rFonts w:hint="eastAsia"/>
                  <w:szCs w:val="21"/>
                </w:rPr>
                <w:alias w:val="交易价格显失公允的交易产生的超过公允价值部分的损益（非经常性损益项目）"/>
                <w:tag w:val="_GBC_6704ec57bd314db499ba1bfa7fe212ec"/>
                <w:id w:val="-1642256338"/>
                <w:lock w:val="sdtLocked"/>
                <w:showingPlcHdr/>
                <w:dataBinding w:prefixMappings="xmlns:clcid-pte='clcid-pte'" w:xpath="/*/clcid-pte:FeiJingChangXingSunYiZhongJiaoYiJiaGeXianShiGongYunDeJiaoYiChanShengDeSunYi[not(@periodRef)]" w:storeItemID="{89EBAB94-44A0-46A2-B712-30D997D04A6D}"/>
                <w:text/>
              </w:sdtPr>
              <w:sdtContent>
                <w:tc>
                  <w:tcPr>
                    <w:tcW w:w="1052" w:type="pct"/>
                    <w:shd w:val="clear" w:color="auto" w:fill="auto"/>
                    <w:vAlign w:val="center"/>
                  </w:tcPr>
                  <w:p w:rsidR="00806678" w:rsidRDefault="00B16377">
                    <w:pPr>
                      <w:jc w:val="right"/>
                      <w:rPr>
                        <w:szCs w:val="21"/>
                      </w:rPr>
                    </w:pPr>
                    <w:r>
                      <w:rPr>
                        <w:rFonts w:hint="eastAsia"/>
                        <w:color w:val="0000FF"/>
                        <w:szCs w:val="21"/>
                      </w:rPr>
                      <w:t xml:space="preserve">　</w:t>
                    </w:r>
                  </w:p>
                </w:tc>
              </w:sdtContent>
            </w:sdt>
            <w:sdt>
              <w:sdtPr>
                <w:rPr>
                  <w:szCs w:val="21"/>
                </w:rPr>
                <w:alias w:val="交易价格显失公允的交易产生的超过公允价值部分的损益的说明（非经常性损益项目）"/>
                <w:tag w:val="_GBC_8924193e761244e8b5efdfb510613a4f"/>
                <w:id w:val="-1008589835"/>
                <w:lock w:val="sdtLocked"/>
                <w:showingPlcHdr/>
                <w:dataBinding w:prefixMappings="xmlns:clcid-pte='clcid-pte'" w:xpath="/*/clcid-pte:FeiJingChangXingSunYiZhongJiaoYiJiaGeXianShiGongYunDeJiaoYiChanShengDeSunYiShuoMing[not(@periodRef)]" w:storeItemID="{89EBAB94-44A0-46A2-B712-30D997D04A6D}"/>
                <w:text/>
              </w:sdtPr>
              <w:sdtContent>
                <w:tc>
                  <w:tcPr>
                    <w:tcW w:w="1382" w:type="pct"/>
                    <w:vAlign w:val="center"/>
                  </w:tcPr>
                  <w:p w:rsidR="00806678" w:rsidRDefault="00B16377">
                    <w:pPr>
                      <w:rPr>
                        <w:szCs w:val="21"/>
                      </w:rPr>
                    </w:pPr>
                    <w:r>
                      <w:rPr>
                        <w:rFonts w:hint="eastAsia"/>
                        <w:color w:val="0000FF"/>
                        <w:szCs w:val="21"/>
                      </w:rPr>
                      <w:t xml:space="preserve">　</w:t>
                    </w:r>
                  </w:p>
                </w:tc>
              </w:sdtContent>
            </w:sdt>
          </w:tr>
          <w:tr w:rsidR="00806678" w:rsidTr="00545050">
            <w:sdt>
              <w:sdtPr>
                <w:tag w:val="_PLD_f7d35e9773ec4a5bbdcaaab7ce867607"/>
                <w:id w:val="-457560621"/>
                <w:lock w:val="sdtLocked"/>
              </w:sdtPr>
              <w:sdtContent>
                <w:tc>
                  <w:tcPr>
                    <w:tcW w:w="2566" w:type="pct"/>
                    <w:shd w:val="clear" w:color="auto" w:fill="auto"/>
                    <w:vAlign w:val="center"/>
                  </w:tcPr>
                  <w:p w:rsidR="00806678" w:rsidRDefault="00B16377">
                    <w:pPr>
                      <w:rPr>
                        <w:szCs w:val="21"/>
                      </w:rPr>
                    </w:pPr>
                    <w:r>
                      <w:rPr>
                        <w:rFonts w:hint="eastAsia"/>
                        <w:szCs w:val="21"/>
                      </w:rPr>
                      <w:t>同一控制下企业合并产生的子公司期初至合并日的当期净损益</w:t>
                    </w:r>
                  </w:p>
                </w:tc>
              </w:sdtContent>
            </w:sdt>
            <w:sdt>
              <w:sdtPr>
                <w:rPr>
                  <w:rFonts w:hint="eastAsia"/>
                  <w:szCs w:val="21"/>
                </w:rPr>
                <w:alias w:val="同一控制下企业合并产生的子公司期初至合并日的当期净损益（非经常性损益项目）"/>
                <w:tag w:val="_GBC_41b40e6e0f3848d69f00e71731aaf0e1"/>
                <w:id w:val="-965191918"/>
                <w:lock w:val="sdtLocked"/>
                <w:showingPlcHdr/>
                <w:dataBinding w:prefixMappings="xmlns:clcid-pte='clcid-pte'" w:xpath="/*/clcid-pte:TongYiKongZhiXiaQiYeHeBingChanShengDeZiGongSiQiChuZhiHeBingRiDeDangQiJingSunYi[not(@periodRef)]" w:storeItemID="{89EBAB94-44A0-46A2-B712-30D997D04A6D}"/>
                <w:text/>
              </w:sdtPr>
              <w:sdtContent>
                <w:tc>
                  <w:tcPr>
                    <w:tcW w:w="1052" w:type="pct"/>
                    <w:shd w:val="clear" w:color="auto" w:fill="auto"/>
                    <w:vAlign w:val="center"/>
                  </w:tcPr>
                  <w:p w:rsidR="00806678" w:rsidRDefault="00B16377">
                    <w:pPr>
                      <w:jc w:val="right"/>
                      <w:rPr>
                        <w:szCs w:val="21"/>
                      </w:rPr>
                    </w:pPr>
                    <w:r>
                      <w:rPr>
                        <w:rFonts w:hint="eastAsia"/>
                        <w:color w:val="0000FF"/>
                        <w:szCs w:val="21"/>
                      </w:rPr>
                      <w:t xml:space="preserve">　</w:t>
                    </w:r>
                  </w:p>
                </w:tc>
              </w:sdtContent>
            </w:sdt>
            <w:sdt>
              <w:sdtPr>
                <w:rPr>
                  <w:szCs w:val="21"/>
                </w:rPr>
                <w:alias w:val="同一控制下企业合并产生的子公司期初至合并日的当期净损益的说明（非经常性损益项目）"/>
                <w:tag w:val="_GBC_b89a03114e86456eb0c9e31e114ed87a"/>
                <w:id w:val="-1344017585"/>
                <w:lock w:val="sdtLocked"/>
                <w:showingPlcHdr/>
                <w:dataBinding w:prefixMappings="xmlns:clcid-pte='clcid-pte'" w:xpath="/*/clcid-pte:TongYiKongZhiXiaQiYeHeBingChanShengDeZiGongSiQiChuZhiHeBingRiDeDangQiJingSunYiShuoMing[not(@periodRef)]" w:storeItemID="{89EBAB94-44A0-46A2-B712-30D997D04A6D}"/>
                <w:text/>
              </w:sdtPr>
              <w:sdtContent>
                <w:tc>
                  <w:tcPr>
                    <w:tcW w:w="1382" w:type="pct"/>
                    <w:vAlign w:val="center"/>
                  </w:tcPr>
                  <w:p w:rsidR="00806678" w:rsidRDefault="00B16377">
                    <w:pPr>
                      <w:rPr>
                        <w:szCs w:val="21"/>
                      </w:rPr>
                    </w:pPr>
                    <w:r>
                      <w:rPr>
                        <w:rFonts w:hint="eastAsia"/>
                        <w:color w:val="0000FF"/>
                        <w:szCs w:val="21"/>
                      </w:rPr>
                      <w:t xml:space="preserve">　</w:t>
                    </w:r>
                  </w:p>
                </w:tc>
              </w:sdtContent>
            </w:sdt>
          </w:tr>
          <w:tr w:rsidR="00806678" w:rsidTr="00545050">
            <w:sdt>
              <w:sdtPr>
                <w:tag w:val="_PLD_821952d95e284af59e77fce066babe2c"/>
                <w:id w:val="1498152964"/>
                <w:lock w:val="sdtLocked"/>
              </w:sdtPr>
              <w:sdtContent>
                <w:tc>
                  <w:tcPr>
                    <w:tcW w:w="2566" w:type="pct"/>
                    <w:shd w:val="clear" w:color="auto" w:fill="auto"/>
                    <w:vAlign w:val="center"/>
                  </w:tcPr>
                  <w:p w:rsidR="00806678" w:rsidRDefault="00B16377">
                    <w:pPr>
                      <w:rPr>
                        <w:szCs w:val="21"/>
                      </w:rPr>
                    </w:pPr>
                    <w:r>
                      <w:rPr>
                        <w:rFonts w:hint="eastAsia"/>
                        <w:szCs w:val="21"/>
                      </w:rPr>
                      <w:t>与公司正常经营业务无关的或有事项产生的损益</w:t>
                    </w:r>
                  </w:p>
                </w:tc>
              </w:sdtContent>
            </w:sdt>
            <w:sdt>
              <w:sdtPr>
                <w:rPr>
                  <w:rFonts w:hint="eastAsia"/>
                  <w:szCs w:val="21"/>
                </w:rPr>
                <w:alias w:val="与公司正常经营业务无关的或有事项产生的损益（非经常性损益项目）"/>
                <w:tag w:val="_GBC_87c0e437c14d4dd3bd5dd001c159ec09"/>
                <w:id w:val="-1818017247"/>
                <w:lock w:val="sdtLocked"/>
                <w:showingPlcHdr/>
                <w:dataBinding w:prefixMappings="xmlns:clcid-pte='clcid-pte'" w:xpath="/*/clcid-pte:YuGongSiZhuYingYeWuWuGuanDeYuJiFuZhaiChanShengDeSunYi[not(@periodRef)]" w:storeItemID="{89EBAB94-44A0-46A2-B712-30D997D04A6D}"/>
                <w:text/>
              </w:sdtPr>
              <w:sdtContent>
                <w:tc>
                  <w:tcPr>
                    <w:tcW w:w="1052" w:type="pct"/>
                    <w:shd w:val="clear" w:color="auto" w:fill="auto"/>
                    <w:vAlign w:val="center"/>
                  </w:tcPr>
                  <w:p w:rsidR="00806678" w:rsidRDefault="00B16377">
                    <w:pPr>
                      <w:jc w:val="right"/>
                      <w:rPr>
                        <w:szCs w:val="21"/>
                      </w:rPr>
                    </w:pPr>
                    <w:r>
                      <w:rPr>
                        <w:rFonts w:hint="eastAsia"/>
                        <w:color w:val="0000FF"/>
                        <w:szCs w:val="21"/>
                      </w:rPr>
                      <w:t xml:space="preserve">　</w:t>
                    </w:r>
                  </w:p>
                </w:tc>
              </w:sdtContent>
            </w:sdt>
            <w:sdt>
              <w:sdtPr>
                <w:rPr>
                  <w:szCs w:val="21"/>
                </w:rPr>
                <w:alias w:val="与公司正常经营业务无关的或有事项产生的损益的说明（非经常性损益项目）"/>
                <w:tag w:val="_GBC_c092dcb18a4049e7b48c3f5c5a57f1aa"/>
                <w:id w:val="1225175720"/>
                <w:lock w:val="sdtLocked"/>
                <w:showingPlcHdr/>
                <w:dataBinding w:prefixMappings="xmlns:clcid-pte='clcid-pte'" w:xpath="/*/clcid-pte:YuGongSiZhuYingYeWuWuGuanDeYuJiFuZhaiChanShengDeSunYiShuoMing[not(@periodRef)]" w:storeItemID="{89EBAB94-44A0-46A2-B712-30D997D04A6D}"/>
                <w:text/>
              </w:sdtPr>
              <w:sdtContent>
                <w:tc>
                  <w:tcPr>
                    <w:tcW w:w="1382" w:type="pct"/>
                    <w:vAlign w:val="center"/>
                  </w:tcPr>
                  <w:p w:rsidR="00806678" w:rsidRDefault="00B16377">
                    <w:pPr>
                      <w:rPr>
                        <w:szCs w:val="21"/>
                      </w:rPr>
                    </w:pPr>
                    <w:r>
                      <w:rPr>
                        <w:rFonts w:hint="eastAsia"/>
                        <w:color w:val="0000FF"/>
                        <w:szCs w:val="21"/>
                      </w:rPr>
                      <w:t xml:space="preserve">　</w:t>
                    </w:r>
                  </w:p>
                </w:tc>
              </w:sdtContent>
            </w:sdt>
          </w:tr>
          <w:tr w:rsidR="00806678" w:rsidTr="00545050">
            <w:tc>
              <w:tcPr>
                <w:tcW w:w="2566" w:type="pct"/>
                <w:shd w:val="clear" w:color="auto" w:fill="auto"/>
                <w:vAlign w:val="center"/>
              </w:tcPr>
              <w:sdt>
                <w:sdtPr>
                  <w:rPr>
                    <w:rFonts w:hint="eastAsia"/>
                  </w:rPr>
                  <w:tag w:val="_PLD_38fa6e04d36242f19ed1ab1a61f69468"/>
                  <w:id w:val="-1182889727"/>
                  <w:lock w:val="sdtLocked"/>
                </w:sdtPr>
                <w:sdtContent>
                  <w:p w:rsidR="00806678" w:rsidRDefault="00B16377">
                    <w:r>
                      <w:rPr>
                        <w:rFonts w:hint="eastAsia"/>
                      </w:rPr>
                      <w:t>除同公司正常经营业务相关的有效套期保值业务外，持有交易性金融资产、衍生金融资产、交易性金融负债、衍生金融负债产生的公允价值变动损益，以及处置交易性金融资产、衍生金融资产、交易性金融负债、衍生金融负债和其他债权投资取得的投资收益</w:t>
                    </w:r>
                  </w:p>
                </w:sdtContent>
              </w:sdt>
            </w:tc>
            <w:sdt>
              <w:sdtPr>
                <w:rPr>
                  <w:rFonts w:hint="eastAsia"/>
                  <w:szCs w:val="21"/>
                </w:rPr>
                <w:alias w:val="除同公司正常经营业务相关的有效套期保值业务外，持有交易性金融资产、衍生金融资产、交易性金融负债、衍生金融负债产生的公允价值变动损"/>
                <w:tag w:val="_GBC_a664e906ddd54caa90780ec8ba442193"/>
                <w:id w:val="-215121289"/>
                <w:lock w:val="sdtLocked"/>
                <w:showingPlcHdr/>
                <w:dataBinding w:prefixMappings="xmlns:clcid-pte='clcid-pte'" w:xpath="/*/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FeiJingChangXingSunYiXiangMu[not(@periodRef)]" w:storeItemID="{89EBAB94-44A0-46A2-B712-30D997D04A6D}"/>
                <w:text/>
              </w:sdtPr>
              <w:sdtContent>
                <w:tc>
                  <w:tcPr>
                    <w:tcW w:w="1052" w:type="pct"/>
                    <w:shd w:val="clear" w:color="auto" w:fill="auto"/>
                    <w:vAlign w:val="center"/>
                  </w:tcPr>
                  <w:p w:rsidR="00806678" w:rsidRDefault="00B16377">
                    <w:pPr>
                      <w:jc w:val="right"/>
                      <w:rPr>
                        <w:szCs w:val="21"/>
                      </w:rPr>
                    </w:pPr>
                    <w:r>
                      <w:rPr>
                        <w:rFonts w:hint="eastAsia"/>
                      </w:rPr>
                      <w:t xml:space="preserve">　</w:t>
                    </w:r>
                  </w:p>
                </w:tc>
              </w:sdtContent>
            </w:sdt>
            <w:sdt>
              <w:sdtPr>
                <w:rPr>
                  <w:szCs w:val="21"/>
                </w:rPr>
                <w:alias w:val="除同公司正常经营业务相关的有效套期保值业务外，持有交易性金融资产、衍生金融资产、交易性金融负债、衍生金融负债产生的公允价值变动损"/>
                <w:tag w:val="_GBC_70f48b80bc7d4cab8656bd06820e6b08"/>
                <w:id w:val="-1624848337"/>
                <w:lock w:val="sdtLocked"/>
                <w:showingPlcHdr/>
                <w:dataBinding w:prefixMappings="xmlns:clcid-pte='clcid-pte'" w:xpath="/*/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DeShuoMingFeiJingChangXingSunYiXiangMu[not(@periodRef)]" w:storeItemID="{89EBAB94-44A0-46A2-B712-30D997D04A6D}"/>
                <w:text/>
              </w:sdtPr>
              <w:sdtContent>
                <w:tc>
                  <w:tcPr>
                    <w:tcW w:w="1382" w:type="pct"/>
                    <w:vAlign w:val="center"/>
                  </w:tcPr>
                  <w:p w:rsidR="00806678" w:rsidRDefault="00B16377">
                    <w:pPr>
                      <w:rPr>
                        <w:szCs w:val="21"/>
                      </w:rPr>
                    </w:pPr>
                    <w:r>
                      <w:rPr>
                        <w:rFonts w:hint="eastAsia"/>
                      </w:rPr>
                      <w:t xml:space="preserve">　</w:t>
                    </w:r>
                  </w:p>
                </w:tc>
              </w:sdtContent>
            </w:sdt>
          </w:tr>
          <w:tr w:rsidR="00806678" w:rsidTr="00545050">
            <w:tc>
              <w:tcPr>
                <w:tcW w:w="2566" w:type="pct"/>
                <w:shd w:val="clear" w:color="auto" w:fill="auto"/>
                <w:vAlign w:val="center"/>
              </w:tcPr>
              <w:sdt>
                <w:sdtPr>
                  <w:rPr>
                    <w:rFonts w:hint="eastAsia"/>
                  </w:rPr>
                  <w:tag w:val="_PLD_a11363d103554f4a9712ef6c15497670"/>
                  <w:id w:val="1614476219"/>
                  <w:lock w:val="sdtLocked"/>
                </w:sdtPr>
                <w:sdtContent>
                  <w:p w:rsidR="00806678" w:rsidRDefault="00B16377">
                    <w:r>
                      <w:rPr>
                        <w:rFonts w:hint="eastAsia"/>
                      </w:rPr>
                      <w:t>单独进行减值测试的应收款项、合同资产减值准备转回</w:t>
                    </w:r>
                  </w:p>
                </w:sdtContent>
              </w:sdt>
            </w:tc>
            <w:sdt>
              <w:sdtPr>
                <w:rPr>
                  <w:rFonts w:hint="eastAsia"/>
                  <w:szCs w:val="21"/>
                </w:rPr>
                <w:alias w:val="单独进行减值测试的应收款项、合同资产减值准备转回（非经常性损益项目） "/>
                <w:tag w:val="_GBC_d6e61e27dc844df9a58fb06a8bd759ba"/>
                <w:id w:val="-1538273072"/>
                <w:lock w:val="sdtLocked"/>
                <w:showingPlcHdr/>
                <w:dataBinding w:prefixMappings="xmlns:clcid-pte='clcid-pte'" w:xpath="/*/clcid-pte:DanDuJinXingJianZhiCeShiDeYingShouKuanXiangHeTongZiChanJianZhiZhunBeiZhuanHuiFeiJingChangXingSunYiXiangMu[not(@periodRef)]" w:storeItemID="{89EBAB94-44A0-46A2-B712-30D997D04A6D}"/>
                <w:text/>
              </w:sdtPr>
              <w:sdtContent>
                <w:tc>
                  <w:tcPr>
                    <w:tcW w:w="1052" w:type="pct"/>
                    <w:shd w:val="clear" w:color="auto" w:fill="auto"/>
                    <w:vAlign w:val="center"/>
                  </w:tcPr>
                  <w:p w:rsidR="00806678" w:rsidRDefault="00B16377">
                    <w:pPr>
                      <w:jc w:val="right"/>
                      <w:rPr>
                        <w:szCs w:val="21"/>
                      </w:rPr>
                    </w:pPr>
                    <w:r>
                      <w:rPr>
                        <w:rFonts w:hint="eastAsia"/>
                      </w:rPr>
                      <w:t xml:space="preserve">　</w:t>
                    </w:r>
                  </w:p>
                </w:tc>
              </w:sdtContent>
            </w:sdt>
            <w:sdt>
              <w:sdtPr>
                <w:rPr>
                  <w:szCs w:val="21"/>
                </w:rPr>
                <w:alias w:val="单独进行减值测试的应收款项、合同资产减值准备转回的说明（非经常性损益项目）"/>
                <w:tag w:val="_GBC_3cdfac21f2ce4278a0df448d9c6bb54b"/>
                <w:id w:val="598148244"/>
                <w:lock w:val="sdtLocked"/>
                <w:showingPlcHdr/>
                <w:dataBinding w:prefixMappings="xmlns:clcid-pte='clcid-pte'" w:xpath="/*/clcid-pte:DanDuJinXingJianZhiCeShiDeYingShouKuanXiangHeTongZiChanJianZhiZhunBeiZhuanHuiDeShuoMingFeiJingChangXingSunYiXiangMu[not(@periodRef)]" w:storeItemID="{89EBAB94-44A0-46A2-B712-30D997D04A6D}"/>
                <w:text/>
              </w:sdtPr>
              <w:sdtContent>
                <w:tc>
                  <w:tcPr>
                    <w:tcW w:w="1382" w:type="pct"/>
                    <w:vAlign w:val="center"/>
                  </w:tcPr>
                  <w:p w:rsidR="00806678" w:rsidRDefault="00B16377">
                    <w:pPr>
                      <w:rPr>
                        <w:szCs w:val="21"/>
                      </w:rPr>
                    </w:pPr>
                    <w:r>
                      <w:rPr>
                        <w:rFonts w:hint="eastAsia"/>
                      </w:rPr>
                      <w:t xml:space="preserve">　</w:t>
                    </w:r>
                  </w:p>
                </w:tc>
              </w:sdtContent>
            </w:sdt>
          </w:tr>
          <w:tr w:rsidR="00806678" w:rsidTr="00545050">
            <w:sdt>
              <w:sdtPr>
                <w:tag w:val="_PLD_00edb491e0914e1e92443df61931119d"/>
                <w:id w:val="-2090527379"/>
                <w:lock w:val="sdtLocked"/>
              </w:sdtPr>
              <w:sdtContent>
                <w:tc>
                  <w:tcPr>
                    <w:tcW w:w="2566" w:type="pct"/>
                    <w:shd w:val="clear" w:color="auto" w:fill="auto"/>
                    <w:vAlign w:val="center"/>
                  </w:tcPr>
                  <w:p w:rsidR="00806678" w:rsidRDefault="00B16377">
                    <w:pPr>
                      <w:rPr>
                        <w:szCs w:val="21"/>
                      </w:rPr>
                    </w:pPr>
                    <w:r>
                      <w:rPr>
                        <w:rFonts w:hint="eastAsia"/>
                        <w:szCs w:val="21"/>
                      </w:rPr>
                      <w:t>对外委托贷款取得的损益</w:t>
                    </w:r>
                  </w:p>
                </w:tc>
              </w:sdtContent>
            </w:sdt>
            <w:sdt>
              <w:sdtPr>
                <w:rPr>
                  <w:rFonts w:hint="eastAsia"/>
                  <w:szCs w:val="21"/>
                </w:rPr>
                <w:alias w:val="对外委托贷款取得的损益（非经常性损益项目）"/>
                <w:tag w:val="_GBC_27b47ed06c97431897415150396a2093"/>
                <w:id w:val="-824820193"/>
                <w:lock w:val="sdtLocked"/>
                <w:showingPlcHdr/>
                <w:dataBinding w:prefixMappings="xmlns:clcid-pte='clcid-pte'" w:xpath="/*/clcid-pte:DuiWaiWeiTuoDaiKuanQuDeDeSunYi[not(@periodRef)]" w:storeItemID="{89EBAB94-44A0-46A2-B712-30D997D04A6D}"/>
                <w:text/>
              </w:sdtPr>
              <w:sdtContent>
                <w:tc>
                  <w:tcPr>
                    <w:tcW w:w="1052" w:type="pct"/>
                    <w:shd w:val="clear" w:color="auto" w:fill="auto"/>
                    <w:vAlign w:val="center"/>
                  </w:tcPr>
                  <w:p w:rsidR="00806678" w:rsidRDefault="00B16377">
                    <w:pPr>
                      <w:jc w:val="right"/>
                      <w:rPr>
                        <w:szCs w:val="21"/>
                      </w:rPr>
                    </w:pPr>
                    <w:r>
                      <w:rPr>
                        <w:rFonts w:hint="eastAsia"/>
                        <w:color w:val="0000FF"/>
                        <w:szCs w:val="21"/>
                      </w:rPr>
                      <w:t xml:space="preserve">　</w:t>
                    </w:r>
                  </w:p>
                </w:tc>
              </w:sdtContent>
            </w:sdt>
            <w:sdt>
              <w:sdtPr>
                <w:rPr>
                  <w:szCs w:val="21"/>
                </w:rPr>
                <w:alias w:val="对外委托贷款取得的损益的说明（非经常性损益项目）"/>
                <w:tag w:val="_GBC_72c375360c99465bb8170713ed413fe3"/>
                <w:id w:val="1940320442"/>
                <w:lock w:val="sdtLocked"/>
                <w:showingPlcHdr/>
                <w:dataBinding w:prefixMappings="xmlns:clcid-pte='clcid-pte'" w:xpath="/*/clcid-pte:DuiWaiWeiTuoDaiKuanQuDeDeSunYiShuoMing[not(@periodRef)]" w:storeItemID="{89EBAB94-44A0-46A2-B712-30D997D04A6D}"/>
                <w:text/>
              </w:sdtPr>
              <w:sdtContent>
                <w:tc>
                  <w:tcPr>
                    <w:tcW w:w="1382" w:type="pct"/>
                    <w:vAlign w:val="center"/>
                  </w:tcPr>
                  <w:p w:rsidR="00806678" w:rsidRDefault="00B16377">
                    <w:pPr>
                      <w:rPr>
                        <w:szCs w:val="21"/>
                      </w:rPr>
                    </w:pPr>
                    <w:r>
                      <w:rPr>
                        <w:rFonts w:hint="eastAsia"/>
                        <w:color w:val="0000FF"/>
                        <w:szCs w:val="21"/>
                      </w:rPr>
                      <w:t xml:space="preserve">　</w:t>
                    </w:r>
                  </w:p>
                </w:tc>
              </w:sdtContent>
            </w:sdt>
          </w:tr>
          <w:tr w:rsidR="00806678" w:rsidTr="00545050">
            <w:sdt>
              <w:sdtPr>
                <w:tag w:val="_PLD_e332f963d97a4e5f8bfc7e17443ac5ee"/>
                <w:id w:val="1180470643"/>
                <w:lock w:val="sdtLocked"/>
              </w:sdtPr>
              <w:sdtContent>
                <w:tc>
                  <w:tcPr>
                    <w:tcW w:w="2566" w:type="pct"/>
                    <w:shd w:val="clear" w:color="auto" w:fill="auto"/>
                    <w:vAlign w:val="center"/>
                  </w:tcPr>
                  <w:p w:rsidR="00806678" w:rsidRDefault="00B16377">
                    <w:pPr>
                      <w:rPr>
                        <w:szCs w:val="21"/>
                      </w:rPr>
                    </w:pPr>
                    <w:r>
                      <w:rPr>
                        <w:rFonts w:hint="eastAsia"/>
                        <w:szCs w:val="21"/>
                      </w:rPr>
                      <w:t>采用公允价值模式进行后续计量的投资性房地产公允价值变动产生的损益</w:t>
                    </w:r>
                  </w:p>
                </w:tc>
              </w:sdtContent>
            </w:sdt>
            <w:sdt>
              <w:sdtPr>
                <w:rPr>
                  <w:rFonts w:hint="eastAsia"/>
                  <w:szCs w:val="21"/>
                </w:rPr>
                <w:alias w:val="采用公允价值模式进行后续计量的投资性房地产公允价值变动产生的损益（非经常性损益项目）"/>
                <w:tag w:val="_GBC_190716d7e441475687cb1bc366ad6b0c"/>
                <w:id w:val="1955588198"/>
                <w:lock w:val="sdtLocked"/>
                <w:showingPlcHdr/>
                <w:dataBinding w:prefixMappings="xmlns:clcid-pte='clcid-pte'" w:xpath="/*/clcid-pte:CaiYongGongYunJiaZhiMoShiJinXingHouXuJiLiangDeTouZiXingFangDiChanGongYunJiaZhiBianDongChanShengDeSunYi[not(@periodRef)]" w:storeItemID="{89EBAB94-44A0-46A2-B712-30D997D04A6D}"/>
                <w:text/>
              </w:sdtPr>
              <w:sdtContent>
                <w:tc>
                  <w:tcPr>
                    <w:tcW w:w="1052" w:type="pct"/>
                    <w:shd w:val="clear" w:color="auto" w:fill="auto"/>
                    <w:vAlign w:val="center"/>
                  </w:tcPr>
                  <w:p w:rsidR="00806678" w:rsidRDefault="00B16377">
                    <w:pPr>
                      <w:jc w:val="right"/>
                      <w:rPr>
                        <w:szCs w:val="21"/>
                      </w:rPr>
                    </w:pPr>
                    <w:r>
                      <w:rPr>
                        <w:rFonts w:hint="eastAsia"/>
                        <w:color w:val="0000FF"/>
                        <w:szCs w:val="21"/>
                      </w:rPr>
                      <w:t xml:space="preserve">　</w:t>
                    </w:r>
                  </w:p>
                </w:tc>
              </w:sdtContent>
            </w:sdt>
            <w:sdt>
              <w:sdtPr>
                <w:rPr>
                  <w:szCs w:val="21"/>
                </w:rPr>
                <w:alias w:val="采用公允价值模式进行后续计量的投资性房地产公允价值变动产生的损益的说明（非经常性损益项目）"/>
                <w:tag w:val="_GBC_c174c1c48c424f2b93a5298b3c87d544"/>
                <w:id w:val="-53699844"/>
                <w:lock w:val="sdtLocked"/>
                <w:showingPlcHdr/>
                <w:dataBinding w:prefixMappings="xmlns:clcid-pte='clcid-pte'" w:xpath="/*/clcid-pte:CaiYongGongYunJiaZhiMoShiJinXingHouXuJiLiangDeTouZiXingFangDiChanGongYunJiaZhiBianDongChanShengDeSunYiShuoMing[not(@periodRef)]" w:storeItemID="{89EBAB94-44A0-46A2-B712-30D997D04A6D}"/>
                <w:text/>
              </w:sdtPr>
              <w:sdtContent>
                <w:tc>
                  <w:tcPr>
                    <w:tcW w:w="1382" w:type="pct"/>
                    <w:vAlign w:val="center"/>
                  </w:tcPr>
                  <w:p w:rsidR="00806678" w:rsidRDefault="00B16377">
                    <w:pPr>
                      <w:rPr>
                        <w:szCs w:val="21"/>
                      </w:rPr>
                    </w:pPr>
                    <w:r>
                      <w:rPr>
                        <w:rFonts w:hint="eastAsia"/>
                        <w:color w:val="0000FF"/>
                        <w:szCs w:val="21"/>
                      </w:rPr>
                      <w:t xml:space="preserve">　</w:t>
                    </w:r>
                  </w:p>
                </w:tc>
              </w:sdtContent>
            </w:sdt>
          </w:tr>
          <w:tr w:rsidR="00806678" w:rsidTr="00545050">
            <w:sdt>
              <w:sdtPr>
                <w:tag w:val="_PLD_b6722851d3af4fe3afc659a8e56d5fb8"/>
                <w:id w:val="-799989156"/>
                <w:lock w:val="sdtLocked"/>
              </w:sdtPr>
              <w:sdtContent>
                <w:tc>
                  <w:tcPr>
                    <w:tcW w:w="2566" w:type="pct"/>
                    <w:shd w:val="clear" w:color="auto" w:fill="auto"/>
                    <w:vAlign w:val="center"/>
                  </w:tcPr>
                  <w:p w:rsidR="00806678" w:rsidRDefault="00B16377">
                    <w:pPr>
                      <w:rPr>
                        <w:szCs w:val="21"/>
                      </w:rPr>
                    </w:pPr>
                    <w:r>
                      <w:rPr>
                        <w:rFonts w:hint="eastAsia"/>
                        <w:szCs w:val="21"/>
                      </w:rPr>
                      <w:t>根据税收、会计等法律、法规的要求对当期损益进行一次性调整对当期损益的影响</w:t>
                    </w:r>
                  </w:p>
                </w:tc>
              </w:sdtContent>
            </w:sdt>
            <w:sdt>
              <w:sdtPr>
                <w:rPr>
                  <w:rFonts w:hint="eastAsia"/>
                  <w:szCs w:val="21"/>
                </w:rPr>
                <w:alias w:val="根据税收、会计等法律、法规的要求对当期损益进行一次性调整对当期损益的影响（非经常性损益项目）"/>
                <w:tag w:val="_GBC_58c2953c03634423ac62d3dec1a8cbf0"/>
                <w:id w:val="253102629"/>
                <w:lock w:val="sdtLocked"/>
                <w:showingPlcHdr/>
                <w:dataBinding w:prefixMappings="xmlns:clcid-pte='clcid-pte'" w:xpath="/*/clcid-pte:GenJuShuiShouKuaiJiDengFaLvFaGuiDeYaoQiuDuiDangQiSunYiJinXingYiCiXingTiaoZhengDuiDangQiSunYiDeYingXiang[not(@periodRef)]" w:storeItemID="{89EBAB94-44A0-46A2-B712-30D997D04A6D}"/>
                <w:text/>
              </w:sdtPr>
              <w:sdtContent>
                <w:tc>
                  <w:tcPr>
                    <w:tcW w:w="1052" w:type="pct"/>
                    <w:shd w:val="clear" w:color="auto" w:fill="auto"/>
                    <w:vAlign w:val="center"/>
                  </w:tcPr>
                  <w:p w:rsidR="00806678" w:rsidRDefault="00B16377">
                    <w:pPr>
                      <w:jc w:val="right"/>
                      <w:rPr>
                        <w:szCs w:val="21"/>
                      </w:rPr>
                    </w:pPr>
                    <w:r>
                      <w:rPr>
                        <w:rFonts w:hint="eastAsia"/>
                        <w:color w:val="0000FF"/>
                        <w:szCs w:val="21"/>
                      </w:rPr>
                      <w:t xml:space="preserve">　</w:t>
                    </w:r>
                  </w:p>
                </w:tc>
              </w:sdtContent>
            </w:sdt>
            <w:sdt>
              <w:sdtPr>
                <w:rPr>
                  <w:szCs w:val="21"/>
                </w:rPr>
                <w:alias w:val="根据税收、会计等法律、法规的要求对当期损益进行一次性调整对当期损益的影响的说明（非经常性损益项目）"/>
                <w:tag w:val="_GBC_b3ddb30991974cd88ba33a7fc1b11cdc"/>
                <w:id w:val="2023432431"/>
                <w:lock w:val="sdtLocked"/>
                <w:showingPlcHdr/>
                <w:dataBinding w:prefixMappings="xmlns:clcid-pte='clcid-pte'" w:xpath="/*/clcid-pte:GenJuShuiShouKuaiJiDengFaLvFaGuiDeYaoQiuDuiDangQiSunYiJinXingYiCiXingTiaoZhengDuiDangQiSunYiDeYingXiangShuoMing[not(@periodRef)]" w:storeItemID="{89EBAB94-44A0-46A2-B712-30D997D04A6D}"/>
                <w:text/>
              </w:sdtPr>
              <w:sdtContent>
                <w:tc>
                  <w:tcPr>
                    <w:tcW w:w="1382" w:type="pct"/>
                    <w:vAlign w:val="center"/>
                  </w:tcPr>
                  <w:p w:rsidR="00806678" w:rsidRDefault="00B16377">
                    <w:pPr>
                      <w:rPr>
                        <w:szCs w:val="21"/>
                      </w:rPr>
                    </w:pPr>
                    <w:r>
                      <w:rPr>
                        <w:rFonts w:hint="eastAsia"/>
                        <w:color w:val="0000FF"/>
                        <w:szCs w:val="21"/>
                      </w:rPr>
                      <w:t xml:space="preserve">　</w:t>
                    </w:r>
                  </w:p>
                </w:tc>
              </w:sdtContent>
            </w:sdt>
          </w:tr>
          <w:tr w:rsidR="00806678" w:rsidTr="00545050">
            <w:sdt>
              <w:sdtPr>
                <w:tag w:val="_PLD_c4def2df1c1c46b4a323a839a0727abf"/>
                <w:id w:val="1810666765"/>
                <w:lock w:val="sdtLocked"/>
              </w:sdtPr>
              <w:sdtContent>
                <w:tc>
                  <w:tcPr>
                    <w:tcW w:w="2566" w:type="pct"/>
                    <w:shd w:val="clear" w:color="auto" w:fill="auto"/>
                    <w:vAlign w:val="center"/>
                  </w:tcPr>
                  <w:p w:rsidR="00806678" w:rsidRDefault="00B16377">
                    <w:pPr>
                      <w:rPr>
                        <w:szCs w:val="21"/>
                      </w:rPr>
                    </w:pPr>
                    <w:r>
                      <w:rPr>
                        <w:rFonts w:hint="eastAsia"/>
                        <w:szCs w:val="21"/>
                      </w:rPr>
                      <w:t>受托经营取得的托管费收入</w:t>
                    </w:r>
                  </w:p>
                </w:tc>
              </w:sdtContent>
            </w:sdt>
            <w:sdt>
              <w:sdtPr>
                <w:rPr>
                  <w:rFonts w:hint="eastAsia"/>
                  <w:szCs w:val="21"/>
                </w:rPr>
                <w:alias w:val="受托经营取得的托管费收入（非经常性损益项目）"/>
                <w:tag w:val="_GBC_663696f2cd0a4fd2bdca4465abf7993f"/>
                <w:id w:val="-1136868913"/>
                <w:lock w:val="sdtLocked"/>
                <w:showingPlcHdr/>
                <w:dataBinding w:prefixMappings="xmlns:clcid-pte='clcid-pte'" w:xpath="/*/clcid-pte:ShouTuoJingYingQuDeDeTuoGuanFeiShouRu[not(@periodRef)]" w:storeItemID="{89EBAB94-44A0-46A2-B712-30D997D04A6D}"/>
                <w:text/>
              </w:sdtPr>
              <w:sdtContent>
                <w:tc>
                  <w:tcPr>
                    <w:tcW w:w="1052" w:type="pct"/>
                    <w:shd w:val="clear" w:color="auto" w:fill="auto"/>
                    <w:vAlign w:val="center"/>
                  </w:tcPr>
                  <w:p w:rsidR="00806678" w:rsidRDefault="00B16377">
                    <w:pPr>
                      <w:jc w:val="right"/>
                      <w:rPr>
                        <w:szCs w:val="21"/>
                      </w:rPr>
                    </w:pPr>
                    <w:r>
                      <w:rPr>
                        <w:rFonts w:hint="eastAsia"/>
                        <w:color w:val="0000FF"/>
                        <w:szCs w:val="21"/>
                      </w:rPr>
                      <w:t xml:space="preserve">　</w:t>
                    </w:r>
                  </w:p>
                </w:tc>
              </w:sdtContent>
            </w:sdt>
            <w:sdt>
              <w:sdtPr>
                <w:rPr>
                  <w:szCs w:val="21"/>
                </w:rPr>
                <w:alias w:val="受托经营取得的托管费收入的说明（非经常性损益项目）"/>
                <w:tag w:val="_GBC_55cffaeec7534a328908ea82413d2702"/>
                <w:id w:val="-1876611561"/>
                <w:lock w:val="sdtLocked"/>
                <w:showingPlcHdr/>
                <w:dataBinding w:prefixMappings="xmlns:clcid-pte='clcid-pte'" w:xpath="/*/clcid-pte:ShouTuoJingYingQuDeDeTuoGuanFeiShouRuShuoMing[not(@periodRef)]" w:storeItemID="{89EBAB94-44A0-46A2-B712-30D997D04A6D}"/>
                <w:text/>
              </w:sdtPr>
              <w:sdtContent>
                <w:tc>
                  <w:tcPr>
                    <w:tcW w:w="1382" w:type="pct"/>
                    <w:vAlign w:val="center"/>
                  </w:tcPr>
                  <w:p w:rsidR="00806678" w:rsidRDefault="00B16377">
                    <w:pPr>
                      <w:rPr>
                        <w:szCs w:val="21"/>
                      </w:rPr>
                    </w:pPr>
                    <w:r>
                      <w:rPr>
                        <w:rFonts w:hint="eastAsia"/>
                        <w:color w:val="0000FF"/>
                        <w:szCs w:val="21"/>
                      </w:rPr>
                      <w:t xml:space="preserve">　</w:t>
                    </w:r>
                  </w:p>
                </w:tc>
              </w:sdtContent>
            </w:sdt>
          </w:tr>
          <w:tr w:rsidR="00806678" w:rsidTr="00545050">
            <w:sdt>
              <w:sdtPr>
                <w:tag w:val="_PLD_62562e8b8e8748b7bc3bcbcc53f02716"/>
                <w:id w:val="-2092147531"/>
                <w:lock w:val="sdtLocked"/>
              </w:sdtPr>
              <w:sdtContent>
                <w:tc>
                  <w:tcPr>
                    <w:tcW w:w="2566" w:type="pct"/>
                    <w:shd w:val="clear" w:color="auto" w:fill="auto"/>
                    <w:vAlign w:val="center"/>
                  </w:tcPr>
                  <w:p w:rsidR="00806678" w:rsidRDefault="00B16377">
                    <w:pPr>
                      <w:rPr>
                        <w:szCs w:val="21"/>
                      </w:rPr>
                    </w:pPr>
                    <w:r>
                      <w:rPr>
                        <w:rFonts w:hint="eastAsia"/>
                        <w:szCs w:val="21"/>
                      </w:rPr>
                      <w:t>除上述各项之外的其他营业外收入和支出</w:t>
                    </w:r>
                  </w:p>
                </w:tc>
              </w:sdtContent>
            </w:sdt>
            <w:sdt>
              <w:sdtPr>
                <w:rPr>
                  <w:rFonts w:hint="eastAsia"/>
                  <w:szCs w:val="21"/>
                </w:rPr>
                <w:alias w:val="除上述各项之外的其他营业外收入和支出（非经常性损益项目）"/>
                <w:tag w:val="_GBC_6402a2f652bb4c68acec62c34d96d8ab"/>
                <w:id w:val="-1994406389"/>
                <w:lock w:val="sdtLocked"/>
                <w:dataBinding w:prefixMappings="xmlns:clcid-pte='clcid-pte'" w:xpath="/*/clcid-pte:ChuShangShuGeXiangZhiWaiDeQiTaYingYeWaiShouZhiJingE[not(@periodRef)]" w:storeItemID="{89EBAB94-44A0-46A2-B712-30D997D04A6D}"/>
                <w:text/>
              </w:sdtPr>
              <w:sdtContent>
                <w:tc>
                  <w:tcPr>
                    <w:tcW w:w="1052" w:type="pct"/>
                    <w:shd w:val="clear" w:color="auto" w:fill="auto"/>
                    <w:vAlign w:val="center"/>
                  </w:tcPr>
                  <w:p w:rsidR="00806678" w:rsidRDefault="006144EF">
                    <w:pPr>
                      <w:jc w:val="right"/>
                      <w:rPr>
                        <w:szCs w:val="21"/>
                      </w:rPr>
                    </w:pPr>
                    <w:r>
                      <w:rPr>
                        <w:rFonts w:hint="eastAsia"/>
                        <w:szCs w:val="21"/>
                      </w:rPr>
                      <w:t>-79,788,830</w:t>
                    </w:r>
                  </w:p>
                </w:tc>
              </w:sdtContent>
            </w:sdt>
            <w:sdt>
              <w:sdtPr>
                <w:rPr>
                  <w:szCs w:val="21"/>
                </w:rPr>
                <w:alias w:val="除上述各项之外的其他营业外收入和支出的说明（非经常性损益项目）"/>
                <w:tag w:val="_GBC_c4fc3e35307e455db3b9161cb811a087"/>
                <w:id w:val="195896526"/>
                <w:lock w:val="sdtLocked"/>
                <w:dataBinding w:prefixMappings="xmlns:clcid-pte='clcid-pte'" w:xpath="/*/clcid-pte:ChuShangShuGeXiangZhiWaiDeQiTaYingYeWaiShouZhiJingEShuoMing[not(@periodRef)]" w:storeItemID="{89EBAB94-44A0-46A2-B712-30D997D04A6D}"/>
                <w:text/>
              </w:sdtPr>
              <w:sdtContent>
                <w:tc>
                  <w:tcPr>
                    <w:tcW w:w="1382" w:type="pct"/>
                    <w:vAlign w:val="center"/>
                  </w:tcPr>
                  <w:p w:rsidR="00806678" w:rsidRDefault="006144EF">
                    <w:pPr>
                      <w:rPr>
                        <w:szCs w:val="21"/>
                      </w:rPr>
                    </w:pPr>
                    <w:r>
                      <w:rPr>
                        <w:rFonts w:hint="eastAsia"/>
                        <w:szCs w:val="21"/>
                      </w:rPr>
                      <w:t xml:space="preserve">　</w:t>
                    </w:r>
                  </w:p>
                </w:tc>
              </w:sdtContent>
            </w:sdt>
          </w:tr>
          <w:tr w:rsidR="00806678" w:rsidTr="00545050">
            <w:sdt>
              <w:sdtPr>
                <w:tag w:val="_PLD_5346d1e2f473468580a990d3ad282ce2"/>
                <w:id w:val="-767696445"/>
                <w:lock w:val="sdtLocked"/>
              </w:sdtPr>
              <w:sdtContent>
                <w:tc>
                  <w:tcPr>
                    <w:tcW w:w="2566" w:type="pct"/>
                    <w:shd w:val="clear" w:color="auto" w:fill="auto"/>
                    <w:vAlign w:val="center"/>
                  </w:tcPr>
                  <w:p w:rsidR="00806678" w:rsidRDefault="00B16377">
                    <w:pPr>
                      <w:rPr>
                        <w:szCs w:val="21"/>
                      </w:rPr>
                    </w:pPr>
                    <w:r>
                      <w:rPr>
                        <w:rFonts w:hint="eastAsia"/>
                        <w:szCs w:val="21"/>
                      </w:rPr>
                      <w:t>其他符合非经常性损益定义的损益项目</w:t>
                    </w:r>
                  </w:p>
                </w:tc>
              </w:sdtContent>
            </w:sdt>
            <w:sdt>
              <w:sdtPr>
                <w:rPr>
                  <w:rFonts w:hint="eastAsia"/>
                  <w:szCs w:val="21"/>
                </w:rPr>
                <w:alias w:val="其他符合非经常性损益定义的损益项目（非经常性损益项目）"/>
                <w:tag w:val="_GBC_fe4d2d743517484083fb57df1a93df08"/>
                <w:id w:val="1386912824"/>
                <w:lock w:val="sdtLocked"/>
                <w:showingPlcHdr/>
                <w:dataBinding w:prefixMappings="xmlns:clcid-pte='clcid-pte'" w:xpath="/*/clcid-pte:QiTaFeiJingChangXingSunYiXiangMu[not(@periodRef)]" w:storeItemID="{89EBAB94-44A0-46A2-B712-30D997D04A6D}"/>
                <w:text/>
              </w:sdtPr>
              <w:sdtContent>
                <w:tc>
                  <w:tcPr>
                    <w:tcW w:w="1052" w:type="pct"/>
                    <w:shd w:val="clear" w:color="auto" w:fill="auto"/>
                    <w:vAlign w:val="center"/>
                  </w:tcPr>
                  <w:p w:rsidR="00806678" w:rsidRDefault="00B16377">
                    <w:pPr>
                      <w:jc w:val="right"/>
                      <w:rPr>
                        <w:szCs w:val="21"/>
                      </w:rPr>
                    </w:pPr>
                    <w:r>
                      <w:rPr>
                        <w:rFonts w:hint="eastAsia"/>
                        <w:color w:val="0000FF"/>
                        <w:szCs w:val="21"/>
                      </w:rPr>
                      <w:t xml:space="preserve">　</w:t>
                    </w:r>
                  </w:p>
                </w:tc>
              </w:sdtContent>
            </w:sdt>
            <w:sdt>
              <w:sdtPr>
                <w:rPr>
                  <w:rFonts w:hint="eastAsia"/>
                  <w:szCs w:val="21"/>
                </w:rPr>
                <w:alias w:val="其他符合非经常性损益定义的损益项目说明（非经常性损益项目）"/>
                <w:tag w:val="_GBC_88d5aaf5624d44b4a912d7c291f5337b"/>
                <w:id w:val="1888378042"/>
                <w:lock w:val="sdtLocked"/>
                <w:showingPlcHdr/>
                <w:dataBinding w:prefixMappings="xmlns:clcid-pte='clcid-pte'" w:xpath="/*/clcid-pte:QiTaFeiJingChangXingSunYiXiangMuShuoMing[not(@periodRef)]" w:storeItemID="{89EBAB94-44A0-46A2-B712-30D997D04A6D}"/>
                <w:text/>
              </w:sdtPr>
              <w:sdtContent>
                <w:tc>
                  <w:tcPr>
                    <w:tcW w:w="1382" w:type="pct"/>
                    <w:vAlign w:val="center"/>
                  </w:tcPr>
                  <w:p w:rsidR="00806678" w:rsidRDefault="00B16377">
                    <w:pPr>
                      <w:rPr>
                        <w:szCs w:val="21"/>
                      </w:rPr>
                    </w:pPr>
                    <w:r>
                      <w:rPr>
                        <w:rFonts w:hint="eastAsia"/>
                        <w:color w:val="0000FF"/>
                        <w:szCs w:val="21"/>
                      </w:rPr>
                      <w:t xml:space="preserve">　</w:t>
                    </w:r>
                  </w:p>
                </w:tc>
              </w:sdtContent>
            </w:sdt>
          </w:tr>
          <w:tr w:rsidR="00806678" w:rsidTr="00545050">
            <w:sdt>
              <w:sdtPr>
                <w:tag w:val="_PLD_74e101e61b874b57a1570c979109fa20"/>
                <w:id w:val="1306359988"/>
                <w:lock w:val="sdtLocked"/>
              </w:sdtPr>
              <w:sdtContent>
                <w:tc>
                  <w:tcPr>
                    <w:tcW w:w="2566" w:type="pct"/>
                    <w:shd w:val="clear" w:color="auto" w:fill="auto"/>
                    <w:vAlign w:val="center"/>
                  </w:tcPr>
                  <w:p w:rsidR="00806678" w:rsidRDefault="00B16377">
                    <w:pPr>
                      <w:rPr>
                        <w:szCs w:val="21"/>
                      </w:rPr>
                    </w:pPr>
                    <w:r>
                      <w:rPr>
                        <w:rFonts w:hint="eastAsia"/>
                      </w:rPr>
                      <w:t>减：</w:t>
                    </w:r>
                    <w:r>
                      <w:rPr>
                        <w:rFonts w:hint="eastAsia"/>
                        <w:szCs w:val="21"/>
                      </w:rPr>
                      <w:t>所得税影响额</w:t>
                    </w:r>
                  </w:p>
                </w:tc>
              </w:sdtContent>
            </w:sdt>
            <w:sdt>
              <w:sdtPr>
                <w:rPr>
                  <w:rFonts w:hint="eastAsia"/>
                  <w:szCs w:val="21"/>
                </w:rPr>
                <w:alias w:val="非经常性损益_对所得税的影响"/>
                <w:tag w:val="_GBC_7c06520ea03942669b02b787ffcbb214"/>
                <w:id w:val="-1632931082"/>
                <w:lock w:val="sdtLocked"/>
                <w:dataBinding w:prefixMappings="xmlns:clcid-pte='clcid-pte'" w:xpath="/*/clcid-pte:FeiJingChangXingSunYiDeKouChuXiangMuDuiSuoDeShuiDeYingXiang[not(@periodRef)]" w:storeItemID="{89EBAB94-44A0-46A2-B712-30D997D04A6D}"/>
                <w:text/>
              </w:sdtPr>
              <w:sdtContent>
                <w:tc>
                  <w:tcPr>
                    <w:tcW w:w="1052" w:type="pct"/>
                    <w:shd w:val="clear" w:color="auto" w:fill="auto"/>
                    <w:vAlign w:val="center"/>
                  </w:tcPr>
                  <w:p w:rsidR="00806678" w:rsidRDefault="006144EF">
                    <w:pPr>
                      <w:jc w:val="right"/>
                      <w:rPr>
                        <w:szCs w:val="21"/>
                      </w:rPr>
                    </w:pPr>
                    <w:r>
                      <w:rPr>
                        <w:rFonts w:hint="eastAsia"/>
                        <w:szCs w:val="21"/>
                      </w:rPr>
                      <w:t>22,542,683</w:t>
                    </w:r>
                  </w:p>
                </w:tc>
              </w:sdtContent>
            </w:sdt>
            <w:sdt>
              <w:sdtPr>
                <w:rPr>
                  <w:szCs w:val="21"/>
                </w:rPr>
                <w:alias w:val="所得税影响额的说明（非经常性损益项目）"/>
                <w:tag w:val="_GBC_7ed1b962000f41dc8da48b033f074791"/>
                <w:id w:val="-1512830381"/>
                <w:lock w:val="sdtLocked"/>
                <w:dataBinding w:prefixMappings="xmlns:clcid-pte='clcid-pte'" w:xpath="/*/clcid-pte:FeiJingChangXingSunYiDeKouChuXiangMuDuiSuoDeShuiDeYingXiangShuoMing[not(@periodRef)]" w:storeItemID="{89EBAB94-44A0-46A2-B712-30D997D04A6D}"/>
                <w:text/>
              </w:sdtPr>
              <w:sdtContent>
                <w:tc>
                  <w:tcPr>
                    <w:tcW w:w="1382" w:type="pct"/>
                    <w:vAlign w:val="center"/>
                  </w:tcPr>
                  <w:p w:rsidR="00806678" w:rsidRDefault="006144EF">
                    <w:pPr>
                      <w:rPr>
                        <w:szCs w:val="21"/>
                      </w:rPr>
                    </w:pPr>
                    <w:r>
                      <w:rPr>
                        <w:rFonts w:hint="eastAsia"/>
                        <w:szCs w:val="21"/>
                      </w:rPr>
                      <w:t xml:space="preserve">　</w:t>
                    </w:r>
                  </w:p>
                </w:tc>
              </w:sdtContent>
            </w:sdt>
          </w:tr>
          <w:tr w:rsidR="00806678" w:rsidTr="00545050">
            <w:sdt>
              <w:sdtPr>
                <w:tag w:val="_PLD_7ef8314272f64724b14118b0bf880aae"/>
                <w:id w:val="-636942454"/>
                <w:lock w:val="sdtLocked"/>
              </w:sdtPr>
              <w:sdtContent>
                <w:tc>
                  <w:tcPr>
                    <w:tcW w:w="2566" w:type="pct"/>
                    <w:shd w:val="clear" w:color="auto" w:fill="auto"/>
                    <w:vAlign w:val="center"/>
                  </w:tcPr>
                  <w:p w:rsidR="00806678" w:rsidRDefault="00B16377">
                    <w:pPr>
                      <w:rPr>
                        <w:szCs w:val="21"/>
                      </w:rPr>
                    </w:pPr>
                    <w:r>
                      <w:rPr>
                        <w:rFonts w:hint="eastAsia"/>
                        <w:szCs w:val="21"/>
                      </w:rPr>
                      <w:t>少数股东权益影响额</w:t>
                    </w:r>
                  </w:p>
                </w:tc>
              </w:sdtContent>
            </w:sdt>
            <w:sdt>
              <w:sdtPr>
                <w:rPr>
                  <w:rFonts w:hint="eastAsia"/>
                  <w:szCs w:val="21"/>
                </w:rPr>
                <w:alias w:val="少数股东权益影响额（非经常性损益项目）"/>
                <w:tag w:val="_GBC_285f00e961c943a8a9d140a4d52403f1"/>
                <w:id w:val="1780523920"/>
                <w:lock w:val="sdtLocked"/>
                <w:dataBinding w:prefixMappings="xmlns:clcid-pte='clcid-pte'" w:xpath="/*/clcid-pte:FeiJingChangXingSunYiXiangMuZhongShaoShuGuDongQuanYiYingXiangE[not(@periodRef)]" w:storeItemID="{89EBAB94-44A0-46A2-B712-30D997D04A6D}"/>
                <w:text/>
              </w:sdtPr>
              <w:sdtContent>
                <w:tc>
                  <w:tcPr>
                    <w:tcW w:w="1052" w:type="pct"/>
                    <w:shd w:val="clear" w:color="auto" w:fill="auto"/>
                    <w:vAlign w:val="center"/>
                  </w:tcPr>
                  <w:p w:rsidR="00806678" w:rsidRDefault="00053743">
                    <w:pPr>
                      <w:jc w:val="right"/>
                      <w:rPr>
                        <w:szCs w:val="21"/>
                      </w:rPr>
                    </w:pPr>
                    <w:r>
                      <w:rPr>
                        <w:rFonts w:hint="eastAsia"/>
                        <w:szCs w:val="21"/>
                      </w:rPr>
                      <w:t>-127,743</w:t>
                    </w:r>
                  </w:p>
                </w:tc>
              </w:sdtContent>
            </w:sdt>
            <w:sdt>
              <w:sdtPr>
                <w:rPr>
                  <w:szCs w:val="21"/>
                </w:rPr>
                <w:alias w:val="少数股东权益影响额的说明（非经常性损益项目）"/>
                <w:tag w:val="_GBC_c9a288fb29d348cbb8d20de9f399a549"/>
                <w:id w:val="788247062"/>
                <w:lock w:val="sdtLocked"/>
                <w:dataBinding w:prefixMappings="xmlns:clcid-pte='clcid-pte'" w:xpath="/*/clcid-pte:FeiJingChangXingSunYiXiangMuZhongShaoShuGuDongQuanYiYingXiangEShuoMing[not(@periodRef)]" w:storeItemID="{89EBAB94-44A0-46A2-B712-30D997D04A6D}"/>
                <w:text/>
              </w:sdtPr>
              <w:sdtContent>
                <w:tc>
                  <w:tcPr>
                    <w:tcW w:w="1382" w:type="pct"/>
                    <w:vAlign w:val="center"/>
                  </w:tcPr>
                  <w:p w:rsidR="00806678" w:rsidRDefault="006144EF">
                    <w:pPr>
                      <w:rPr>
                        <w:szCs w:val="21"/>
                      </w:rPr>
                    </w:pPr>
                    <w:r>
                      <w:rPr>
                        <w:rFonts w:hint="eastAsia"/>
                        <w:szCs w:val="21"/>
                      </w:rPr>
                      <w:t xml:space="preserve">　</w:t>
                    </w:r>
                  </w:p>
                </w:tc>
              </w:sdtContent>
            </w:sdt>
          </w:tr>
          <w:tr w:rsidR="00806678" w:rsidTr="00545050">
            <w:sdt>
              <w:sdtPr>
                <w:tag w:val="_PLD_e8b8fcf7dc3d486cbd794deec60f6f28"/>
                <w:id w:val="-1773002510"/>
                <w:lock w:val="sdtLocked"/>
              </w:sdtPr>
              <w:sdtContent>
                <w:tc>
                  <w:tcPr>
                    <w:tcW w:w="2566" w:type="pct"/>
                    <w:shd w:val="clear" w:color="auto" w:fill="auto"/>
                    <w:vAlign w:val="center"/>
                  </w:tcPr>
                  <w:p w:rsidR="00806678" w:rsidRDefault="00B16377">
                    <w:pPr>
                      <w:jc w:val="center"/>
                      <w:rPr>
                        <w:szCs w:val="21"/>
                      </w:rPr>
                    </w:pPr>
                    <w:r>
                      <w:rPr>
                        <w:rFonts w:hint="eastAsia"/>
                        <w:szCs w:val="21"/>
                      </w:rPr>
                      <w:t>合计</w:t>
                    </w:r>
                  </w:p>
                </w:tc>
              </w:sdtContent>
            </w:sdt>
            <w:sdt>
              <w:sdtPr>
                <w:rPr>
                  <w:rFonts w:hint="eastAsia"/>
                  <w:szCs w:val="21"/>
                </w:rPr>
                <w:alias w:val="扣除的非经常性损益合计"/>
                <w:tag w:val="_GBC_dbd56aa5278f45e1a3a0a62cc2b32d3d"/>
                <w:id w:val="1804648548"/>
                <w:lock w:val="sdtLocked"/>
                <w:dataBinding w:prefixMappings="xmlns:clcid-pte='clcid-pte'" w:xpath="/*/clcid-pte:KouChuDeFeiJingChangXingSunYiHeJi[not(@periodRef)]" w:storeItemID="{89EBAB94-44A0-46A2-B712-30D997D04A6D}"/>
                <w:text/>
              </w:sdtPr>
              <w:sdtContent>
                <w:tc>
                  <w:tcPr>
                    <w:tcW w:w="1052" w:type="pct"/>
                    <w:shd w:val="clear" w:color="auto" w:fill="auto"/>
                    <w:vAlign w:val="center"/>
                  </w:tcPr>
                  <w:p w:rsidR="00806678" w:rsidRDefault="006144EF">
                    <w:pPr>
                      <w:jc w:val="right"/>
                      <w:rPr>
                        <w:szCs w:val="21"/>
                      </w:rPr>
                    </w:pPr>
                    <w:r>
                      <w:rPr>
                        <w:rFonts w:hint="eastAsia"/>
                        <w:szCs w:val="21"/>
                      </w:rPr>
                      <w:t>65,572,181</w:t>
                    </w:r>
                  </w:p>
                </w:tc>
              </w:sdtContent>
            </w:sdt>
            <w:sdt>
              <w:sdtPr>
                <w:rPr>
                  <w:rFonts w:hint="eastAsia"/>
                  <w:szCs w:val="21"/>
                </w:rPr>
                <w:alias w:val="扣除的非经常性损益合计说明"/>
                <w:tag w:val="_GBC_fd47d890fc7a493192e451b6575f5e8a"/>
                <w:id w:val="879282904"/>
                <w:lock w:val="sdtLocked"/>
                <w:dataBinding w:prefixMappings="xmlns:clcid-pte='clcid-pte'" w:xpath="/*/clcid-pte:KouChuDeFeiJingChangXingSunYiHeJiShuoMing[not(@periodRef)]" w:storeItemID="{89EBAB94-44A0-46A2-B712-30D997D04A6D}"/>
                <w:text/>
              </w:sdtPr>
              <w:sdtContent>
                <w:tc>
                  <w:tcPr>
                    <w:tcW w:w="1382" w:type="pct"/>
                    <w:vAlign w:val="center"/>
                  </w:tcPr>
                  <w:p w:rsidR="00806678" w:rsidRDefault="006144EF">
                    <w:pPr>
                      <w:rPr>
                        <w:szCs w:val="21"/>
                      </w:rPr>
                    </w:pPr>
                    <w:r>
                      <w:rPr>
                        <w:rFonts w:hint="eastAsia"/>
                        <w:szCs w:val="21"/>
                      </w:rPr>
                      <w:t xml:space="preserve">　</w:t>
                    </w:r>
                  </w:p>
                </w:tc>
              </w:sdtContent>
            </w:sdt>
          </w:tr>
        </w:tbl>
        <w:p w:rsidR="00806678" w:rsidRDefault="00F80B6C"/>
      </w:sdtContent>
    </w:sdt>
    <w:sdt>
      <w:sdtPr>
        <w:rPr>
          <w:rFonts w:hint="eastAsia"/>
          <w:szCs w:val="21"/>
        </w:rPr>
        <w:alias w:val="模块:对公司根据《公开发行证券的公司信息披露解释性公告第1号——非..."/>
        <w:tag w:val="_GBC_7944e47348cd4cd186b958ba1902ea3f"/>
        <w:id w:val="-1094470273"/>
        <w:lock w:val="sdtLocked"/>
        <w:placeholder>
          <w:docPart w:val="GBC22222222222222222222222222222"/>
        </w:placeholder>
      </w:sdtPr>
      <w:sdtEndPr>
        <w:rPr>
          <w:rFonts w:hint="default"/>
          <w:szCs w:val="24"/>
        </w:rPr>
      </w:sdtEndPr>
      <w:sdtContent>
        <w:p w:rsidR="00806678" w:rsidRDefault="00B16377">
          <w:pPr>
            <w:rPr>
              <w:szCs w:val="21"/>
            </w:rPr>
          </w:pPr>
          <w:r>
            <w:rPr>
              <w:rFonts w:hint="eastAsia"/>
              <w:szCs w:val="21"/>
            </w:rPr>
            <w:t>对公司根据《公开发行证券的公司信息披露解释性公告第</w:t>
          </w:r>
          <w:r>
            <w:rPr>
              <w:szCs w:val="21"/>
            </w:rPr>
            <w:t>1号——非经常性损益》定义界定的非经常性损益项目，以及把《公开发行证券的公司信息披露解释性公告第1号——非经常性损益》中列举的非经常性损益项目界定为经常性损益的项目，应说明原因。</w:t>
          </w:r>
        </w:p>
        <w:sdt>
          <w:sdtPr>
            <w:rPr>
              <w:szCs w:val="21"/>
            </w:rPr>
            <w:alias w:val="是否适用：将非经常性损益项目界定为经常性损益项目[双击切换]"/>
            <w:tag w:val="_GBC_a967cba183d54f83a4f652d6d31302c3"/>
            <w:id w:val="-134018459"/>
            <w:lock w:val="sdtLocked"/>
            <w:placeholder>
              <w:docPart w:val="GBC22222222222222222222222222222"/>
            </w:placeholder>
          </w:sdtPr>
          <w:sdtContent>
            <w:p w:rsidR="006E17FF" w:rsidRDefault="00F80B6C" w:rsidP="00816448">
              <w:pPr>
                <w:rPr>
                  <w:szCs w:val="21"/>
                </w:rPr>
              </w:pPr>
              <w:r>
                <w:rPr>
                  <w:szCs w:val="21"/>
                </w:rPr>
                <w:fldChar w:fldCharType="begin"/>
              </w:r>
              <w:r w:rsidR="00816448">
                <w:rPr>
                  <w:szCs w:val="21"/>
                </w:rPr>
                <w:instrText xml:space="preserve">MACROBUTTON  SnrToggleCheckbox □适用 </w:instrText>
              </w:r>
              <w:r>
                <w:rPr>
                  <w:szCs w:val="21"/>
                </w:rPr>
                <w:fldChar w:fldCharType="end"/>
              </w:r>
              <w:r>
                <w:rPr>
                  <w:szCs w:val="21"/>
                </w:rPr>
                <w:fldChar w:fldCharType="begin"/>
              </w:r>
              <w:r w:rsidR="00816448">
                <w:rPr>
                  <w:szCs w:val="21"/>
                </w:rPr>
                <w:instrText xml:space="preserve"> MACROBUTTON  SnrToggleCheckbox √不适用 </w:instrText>
              </w:r>
              <w:r>
                <w:rPr>
                  <w:szCs w:val="21"/>
                </w:rPr>
                <w:fldChar w:fldCharType="end"/>
              </w:r>
            </w:p>
            <w:p w:rsidR="00806678" w:rsidRDefault="00F80B6C" w:rsidP="00816448"/>
          </w:sdtContent>
        </w:sdt>
        <w:bookmarkStart w:id="293" w:name="_Hlk132055783" w:displacedByCustomXml="next"/>
      </w:sdtContent>
    </w:sdt>
    <w:bookmarkEnd w:id="293" w:displacedByCustomXml="prev"/>
    <w:sdt>
      <w:sdtPr>
        <w:rPr>
          <w:rFonts w:ascii="宋体" w:hAnsi="宋体" w:cs="宋体" w:hint="eastAsia"/>
          <w:b w:val="0"/>
          <w:bCs w:val="0"/>
          <w:kern w:val="0"/>
          <w:szCs w:val="21"/>
        </w:rPr>
        <w:alias w:val="模块:净资产收益率及每股收益"/>
        <w:tag w:val="_GBC_146d888914ac4591bea1ff0ea9e89617"/>
        <w:id w:val="-1868905101"/>
        <w:lock w:val="sdtLocked"/>
        <w:placeholder>
          <w:docPart w:val="GBC22222222222222222222222222222"/>
        </w:placeholder>
      </w:sdtPr>
      <w:sdtContent>
        <w:p w:rsidR="00806678" w:rsidRDefault="00B16377">
          <w:pPr>
            <w:pStyle w:val="3"/>
            <w:numPr>
              <w:ilvl w:val="0"/>
              <w:numId w:val="5"/>
            </w:numPr>
            <w:rPr>
              <w:szCs w:val="21"/>
            </w:rPr>
          </w:pPr>
          <w:r>
            <w:rPr>
              <w:rFonts w:hint="eastAsia"/>
              <w:szCs w:val="21"/>
            </w:rPr>
            <w:t>净资产</w:t>
          </w:r>
          <w:r>
            <w:rPr>
              <w:rFonts w:ascii="宋体" w:hAnsi="宋体" w:hint="eastAsia"/>
              <w:szCs w:val="21"/>
            </w:rPr>
            <w:t>收益率</w:t>
          </w:r>
          <w:r>
            <w:rPr>
              <w:rFonts w:hint="eastAsia"/>
              <w:szCs w:val="21"/>
            </w:rPr>
            <w:t>及每股收益</w:t>
          </w:r>
        </w:p>
        <w:sdt>
          <w:sdtPr>
            <w:alias w:val="是否适用：净资产收益率及每股收益[双击切换]"/>
            <w:tag w:val="_GBC_c0f530bdf9ee48239f470eda08b303d7"/>
            <w:id w:val="-1208404159"/>
            <w:lock w:val="sdtLocked"/>
            <w:placeholder>
              <w:docPart w:val="GBC22222222222222222222222222222"/>
            </w:placeholder>
          </w:sdtPr>
          <w:sdtContent>
            <w:p w:rsidR="00806678" w:rsidRDefault="00F80B6C">
              <w:r>
                <w:fldChar w:fldCharType="begin"/>
              </w:r>
              <w:r w:rsidR="00816448">
                <w:instrText xml:space="preserve">MACROBUTTON  SnrToggleCheckbox √适用 </w:instrText>
              </w:r>
              <w:r>
                <w:fldChar w:fldCharType="end"/>
              </w:r>
              <w:r>
                <w:fldChar w:fldCharType="begin"/>
              </w:r>
              <w:r w:rsidR="00816448">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tblBorders>
            <w:tblLook w:val="0000"/>
          </w:tblPr>
          <w:tblGrid>
            <w:gridCol w:w="3227"/>
            <w:gridCol w:w="2411"/>
            <w:gridCol w:w="1558"/>
            <w:gridCol w:w="1853"/>
          </w:tblGrid>
          <w:tr w:rsidR="00806678" w:rsidTr="00545050">
            <w:trPr>
              <w:trHeight w:val="270"/>
            </w:trPr>
            <w:sdt>
              <w:sdtPr>
                <w:tag w:val="_PLD_85d9a7abc9cd45768b2b5f99afa4a4ef"/>
                <w:id w:val="129838068"/>
                <w:lock w:val="sdtLocked"/>
              </w:sdtPr>
              <w:sdtContent>
                <w:tc>
                  <w:tcPr>
                    <w:tcW w:w="1783" w:type="pct"/>
                    <w:vMerge w:val="restart"/>
                    <w:tcBorders>
                      <w:top w:val="single" w:sz="4" w:space="0" w:color="auto"/>
                      <w:left w:val="single" w:sz="4" w:space="0" w:color="auto"/>
                      <w:bottom w:val="single" w:sz="4" w:space="0" w:color="auto"/>
                      <w:right w:val="single" w:sz="4" w:space="0" w:color="auto"/>
                    </w:tcBorders>
                    <w:vAlign w:val="center"/>
                  </w:tcPr>
                  <w:p w:rsidR="00806678" w:rsidRDefault="00B16377">
                    <w:pPr>
                      <w:jc w:val="center"/>
                      <w:rPr>
                        <w:szCs w:val="21"/>
                      </w:rPr>
                    </w:pPr>
                    <w:r>
                      <w:rPr>
                        <w:szCs w:val="21"/>
                      </w:rPr>
                      <w:t>报告期利润</w:t>
                    </w:r>
                  </w:p>
                </w:tc>
              </w:sdtContent>
            </w:sdt>
            <w:sdt>
              <w:sdtPr>
                <w:tag w:val="_PLD_7f5ad103cbb04f7d904001b07266bf41"/>
                <w:id w:val="2117094329"/>
                <w:lock w:val="sdtLocked"/>
              </w:sdtPr>
              <w:sdtContent>
                <w:tc>
                  <w:tcPr>
                    <w:tcW w:w="1332" w:type="pct"/>
                    <w:vMerge w:val="restart"/>
                    <w:tcBorders>
                      <w:top w:val="single" w:sz="4" w:space="0" w:color="auto"/>
                      <w:left w:val="single" w:sz="4" w:space="0" w:color="auto"/>
                      <w:right w:val="single" w:sz="4" w:space="0" w:color="auto"/>
                    </w:tcBorders>
                    <w:vAlign w:val="center"/>
                  </w:tcPr>
                  <w:p w:rsidR="00806678" w:rsidRDefault="00B16377">
                    <w:pPr>
                      <w:jc w:val="center"/>
                      <w:rPr>
                        <w:szCs w:val="21"/>
                      </w:rPr>
                    </w:pPr>
                    <w:r>
                      <w:rPr>
                        <w:szCs w:val="21"/>
                      </w:rPr>
                      <w:t>加权平均净资产收益率（%）</w:t>
                    </w:r>
                  </w:p>
                </w:tc>
              </w:sdtContent>
            </w:sdt>
            <w:sdt>
              <w:sdtPr>
                <w:tag w:val="_PLD_adaa515ff68f455d8bcd75e516da3040"/>
                <w:id w:val="1156031133"/>
                <w:lock w:val="sdtLocked"/>
              </w:sdtPr>
              <w:sdtContent>
                <w:tc>
                  <w:tcPr>
                    <w:tcW w:w="1885" w:type="pct"/>
                    <w:gridSpan w:val="2"/>
                    <w:tcBorders>
                      <w:top w:val="single" w:sz="4" w:space="0" w:color="auto"/>
                      <w:left w:val="single" w:sz="4" w:space="0" w:color="auto"/>
                      <w:bottom w:val="single" w:sz="4" w:space="0" w:color="auto"/>
                      <w:right w:val="single" w:sz="4" w:space="0" w:color="auto"/>
                    </w:tcBorders>
                    <w:vAlign w:val="center"/>
                  </w:tcPr>
                  <w:p w:rsidR="00806678" w:rsidRDefault="00B16377">
                    <w:pPr>
                      <w:jc w:val="center"/>
                      <w:rPr>
                        <w:szCs w:val="21"/>
                      </w:rPr>
                    </w:pPr>
                    <w:r>
                      <w:rPr>
                        <w:szCs w:val="21"/>
                      </w:rPr>
                      <w:t>每股收益</w:t>
                    </w:r>
                  </w:p>
                </w:tc>
              </w:sdtContent>
            </w:sdt>
          </w:tr>
          <w:tr w:rsidR="00806678" w:rsidTr="00545050">
            <w:trPr>
              <w:trHeight w:val="360"/>
            </w:trPr>
            <w:tc>
              <w:tcPr>
                <w:tcW w:w="1783" w:type="pct"/>
                <w:vMerge/>
                <w:tcBorders>
                  <w:top w:val="single" w:sz="4" w:space="0" w:color="auto"/>
                  <w:left w:val="single" w:sz="4" w:space="0" w:color="auto"/>
                  <w:bottom w:val="single" w:sz="4" w:space="0" w:color="auto"/>
                  <w:right w:val="single" w:sz="4" w:space="0" w:color="auto"/>
                </w:tcBorders>
                <w:vAlign w:val="center"/>
              </w:tcPr>
              <w:p w:rsidR="00806678" w:rsidRDefault="00806678">
                <w:pPr>
                  <w:jc w:val="center"/>
                  <w:rPr>
                    <w:szCs w:val="21"/>
                  </w:rPr>
                </w:pPr>
              </w:p>
            </w:tc>
            <w:tc>
              <w:tcPr>
                <w:tcW w:w="1332" w:type="pct"/>
                <w:vMerge/>
                <w:tcBorders>
                  <w:left w:val="single" w:sz="4" w:space="0" w:color="auto"/>
                  <w:bottom w:val="single" w:sz="4" w:space="0" w:color="auto"/>
                  <w:right w:val="single" w:sz="4" w:space="0" w:color="auto"/>
                </w:tcBorders>
                <w:vAlign w:val="center"/>
              </w:tcPr>
              <w:p w:rsidR="00806678" w:rsidRDefault="00806678">
                <w:pPr>
                  <w:jc w:val="center"/>
                  <w:rPr>
                    <w:szCs w:val="21"/>
                  </w:rPr>
                </w:pPr>
              </w:p>
            </w:tc>
            <w:sdt>
              <w:sdtPr>
                <w:tag w:val="_PLD_503a9e353572491fb64751c75881b5ac"/>
                <w:id w:val="-876164969"/>
                <w:lock w:val="sdtLocked"/>
              </w:sdtPr>
              <w:sdtContent>
                <w:tc>
                  <w:tcPr>
                    <w:tcW w:w="861" w:type="pct"/>
                    <w:tcBorders>
                      <w:top w:val="single" w:sz="4" w:space="0" w:color="auto"/>
                      <w:left w:val="single" w:sz="4" w:space="0" w:color="auto"/>
                      <w:bottom w:val="single" w:sz="4" w:space="0" w:color="auto"/>
                      <w:right w:val="single" w:sz="4" w:space="0" w:color="auto"/>
                    </w:tcBorders>
                    <w:vAlign w:val="center"/>
                  </w:tcPr>
                  <w:p w:rsidR="00806678" w:rsidRDefault="00B16377">
                    <w:pPr>
                      <w:jc w:val="center"/>
                      <w:rPr>
                        <w:szCs w:val="21"/>
                      </w:rPr>
                    </w:pPr>
                    <w:r>
                      <w:rPr>
                        <w:szCs w:val="21"/>
                      </w:rPr>
                      <w:t>基本每股收益</w:t>
                    </w:r>
                  </w:p>
                </w:tc>
              </w:sdtContent>
            </w:sdt>
            <w:sdt>
              <w:sdtPr>
                <w:tag w:val="_PLD_b57959d0e3714f2590eb4529892e5c18"/>
                <w:id w:val="-1097394972"/>
                <w:lock w:val="sdtLocked"/>
              </w:sdtPr>
              <w:sdtContent>
                <w:tc>
                  <w:tcPr>
                    <w:tcW w:w="1024" w:type="pct"/>
                    <w:tcBorders>
                      <w:top w:val="single" w:sz="4" w:space="0" w:color="auto"/>
                      <w:left w:val="single" w:sz="4" w:space="0" w:color="auto"/>
                      <w:bottom w:val="single" w:sz="4" w:space="0" w:color="auto"/>
                      <w:right w:val="single" w:sz="4" w:space="0" w:color="auto"/>
                    </w:tcBorders>
                    <w:vAlign w:val="center"/>
                  </w:tcPr>
                  <w:p w:rsidR="00806678" w:rsidRDefault="00B16377">
                    <w:pPr>
                      <w:jc w:val="center"/>
                      <w:rPr>
                        <w:szCs w:val="21"/>
                      </w:rPr>
                    </w:pPr>
                    <w:r>
                      <w:rPr>
                        <w:szCs w:val="21"/>
                      </w:rPr>
                      <w:t>稀释每股收益</w:t>
                    </w:r>
                  </w:p>
                </w:tc>
              </w:sdtContent>
            </w:sdt>
          </w:tr>
          <w:tr w:rsidR="00816448" w:rsidTr="00545050">
            <w:trPr>
              <w:trHeight w:val="360"/>
            </w:trPr>
            <w:sdt>
              <w:sdtPr>
                <w:tag w:val="_PLD_c5b1926e38d64ba1ae7baa00924da8f8"/>
                <w:id w:val="-1048144803"/>
                <w:lock w:val="sdtLocked"/>
              </w:sdtPr>
              <w:sdtContent>
                <w:tc>
                  <w:tcPr>
                    <w:tcW w:w="1783" w:type="pct"/>
                    <w:tcBorders>
                      <w:top w:val="single" w:sz="4" w:space="0" w:color="auto"/>
                      <w:left w:val="single" w:sz="4" w:space="0" w:color="auto"/>
                      <w:bottom w:val="single" w:sz="4" w:space="0" w:color="auto"/>
                      <w:right w:val="single" w:sz="4" w:space="0" w:color="auto"/>
                    </w:tcBorders>
                  </w:tcPr>
                  <w:p w:rsidR="00816448" w:rsidRDefault="00816448" w:rsidP="00816448">
                    <w:pPr>
                      <w:rPr>
                        <w:szCs w:val="21"/>
                      </w:rPr>
                    </w:pPr>
                    <w:r>
                      <w:rPr>
                        <w:szCs w:val="21"/>
                      </w:rPr>
                      <w:t>归属于公司普通股股东的净利润</w:t>
                    </w:r>
                  </w:p>
                </w:tc>
              </w:sdtContent>
            </w:sdt>
            <w:tc>
              <w:tcPr>
                <w:tcW w:w="1332" w:type="pct"/>
                <w:tcBorders>
                  <w:top w:val="single" w:sz="4" w:space="0" w:color="auto"/>
                  <w:left w:val="single" w:sz="4" w:space="0" w:color="auto"/>
                  <w:bottom w:val="single" w:sz="4" w:space="0" w:color="auto"/>
                  <w:right w:val="single" w:sz="4" w:space="0" w:color="auto"/>
                </w:tcBorders>
                <w:vAlign w:val="center"/>
              </w:tcPr>
              <w:p w:rsidR="00816448" w:rsidRDefault="00816448" w:rsidP="00816448">
                <w:pPr>
                  <w:jc w:val="right"/>
                  <w:rPr>
                    <w:szCs w:val="21"/>
                  </w:rPr>
                </w:pPr>
                <w:r>
                  <w:t>8.90</w:t>
                </w:r>
              </w:p>
            </w:tc>
            <w:tc>
              <w:tcPr>
                <w:tcW w:w="861" w:type="pct"/>
                <w:tcBorders>
                  <w:top w:val="single" w:sz="4" w:space="0" w:color="auto"/>
                  <w:left w:val="single" w:sz="4" w:space="0" w:color="auto"/>
                  <w:bottom w:val="single" w:sz="4" w:space="0" w:color="auto"/>
                  <w:right w:val="single" w:sz="4" w:space="0" w:color="auto"/>
                </w:tcBorders>
                <w:vAlign w:val="center"/>
              </w:tcPr>
              <w:p w:rsidR="00816448" w:rsidRDefault="00816448" w:rsidP="00816448">
                <w:pPr>
                  <w:jc w:val="right"/>
                  <w:rPr>
                    <w:szCs w:val="21"/>
                  </w:rPr>
                </w:pPr>
                <w:r>
                  <w:t>0.75</w:t>
                </w:r>
              </w:p>
            </w:tc>
            <w:tc>
              <w:tcPr>
                <w:tcW w:w="1024" w:type="pct"/>
                <w:tcBorders>
                  <w:top w:val="single" w:sz="4" w:space="0" w:color="auto"/>
                  <w:left w:val="single" w:sz="4" w:space="0" w:color="auto"/>
                  <w:bottom w:val="single" w:sz="4" w:space="0" w:color="auto"/>
                  <w:right w:val="single" w:sz="4" w:space="0" w:color="auto"/>
                </w:tcBorders>
                <w:vAlign w:val="center"/>
              </w:tcPr>
              <w:p w:rsidR="00816448" w:rsidRDefault="00816448" w:rsidP="00816448">
                <w:pPr>
                  <w:jc w:val="right"/>
                  <w:rPr>
                    <w:szCs w:val="21"/>
                  </w:rPr>
                </w:pPr>
                <w:r>
                  <w:t>0.61</w:t>
                </w:r>
              </w:p>
            </w:tc>
          </w:tr>
          <w:tr w:rsidR="00816448" w:rsidTr="00545050">
            <w:trPr>
              <w:trHeight w:val="360"/>
            </w:trPr>
            <w:sdt>
              <w:sdtPr>
                <w:tag w:val="_PLD_9faa0a246122481782395074d86cca8e"/>
                <w:id w:val="230271829"/>
                <w:lock w:val="sdtLocked"/>
              </w:sdtPr>
              <w:sdtContent>
                <w:tc>
                  <w:tcPr>
                    <w:tcW w:w="1783" w:type="pct"/>
                    <w:tcBorders>
                      <w:top w:val="single" w:sz="4" w:space="0" w:color="auto"/>
                      <w:left w:val="single" w:sz="4" w:space="0" w:color="auto"/>
                      <w:bottom w:val="single" w:sz="4" w:space="0" w:color="auto"/>
                      <w:right w:val="single" w:sz="4" w:space="0" w:color="auto"/>
                    </w:tcBorders>
                  </w:tcPr>
                  <w:p w:rsidR="00816448" w:rsidRDefault="00816448" w:rsidP="00816448">
                    <w:pPr>
                      <w:rPr>
                        <w:szCs w:val="21"/>
                      </w:rPr>
                    </w:pPr>
                    <w:r>
                      <w:rPr>
                        <w:szCs w:val="21"/>
                      </w:rPr>
                      <w:t>扣除非经常性损益后归属于公司普通股股东的净利润</w:t>
                    </w:r>
                  </w:p>
                </w:tc>
              </w:sdtContent>
            </w:sdt>
            <w:tc>
              <w:tcPr>
                <w:tcW w:w="1332" w:type="pct"/>
                <w:tcBorders>
                  <w:top w:val="single" w:sz="4" w:space="0" w:color="auto"/>
                  <w:left w:val="single" w:sz="4" w:space="0" w:color="auto"/>
                  <w:bottom w:val="single" w:sz="4" w:space="0" w:color="auto"/>
                  <w:right w:val="single" w:sz="4" w:space="0" w:color="auto"/>
                </w:tcBorders>
                <w:vAlign w:val="center"/>
              </w:tcPr>
              <w:p w:rsidR="00816448" w:rsidRDefault="00816448" w:rsidP="00816448">
                <w:pPr>
                  <w:jc w:val="right"/>
                  <w:rPr>
                    <w:szCs w:val="21"/>
                  </w:rPr>
                </w:pPr>
                <w:r>
                  <w:t>8.85</w:t>
                </w:r>
              </w:p>
            </w:tc>
            <w:tc>
              <w:tcPr>
                <w:tcW w:w="861" w:type="pct"/>
                <w:tcBorders>
                  <w:top w:val="single" w:sz="4" w:space="0" w:color="auto"/>
                  <w:left w:val="single" w:sz="4" w:space="0" w:color="auto"/>
                  <w:bottom w:val="single" w:sz="4" w:space="0" w:color="auto"/>
                  <w:right w:val="single" w:sz="4" w:space="0" w:color="auto"/>
                </w:tcBorders>
                <w:vAlign w:val="center"/>
              </w:tcPr>
              <w:p w:rsidR="00816448" w:rsidRDefault="00816448" w:rsidP="00816448">
                <w:pPr>
                  <w:jc w:val="right"/>
                  <w:rPr>
                    <w:szCs w:val="21"/>
                  </w:rPr>
                </w:pPr>
                <w:r>
                  <w:t>0.7</w:t>
                </w:r>
                <w:r w:rsidR="00FC6DE1">
                  <w:t>5</w:t>
                </w:r>
              </w:p>
            </w:tc>
            <w:tc>
              <w:tcPr>
                <w:tcW w:w="1024" w:type="pct"/>
                <w:tcBorders>
                  <w:top w:val="single" w:sz="4" w:space="0" w:color="auto"/>
                  <w:left w:val="single" w:sz="4" w:space="0" w:color="auto"/>
                  <w:bottom w:val="single" w:sz="4" w:space="0" w:color="auto"/>
                  <w:right w:val="single" w:sz="4" w:space="0" w:color="auto"/>
                </w:tcBorders>
                <w:vAlign w:val="center"/>
              </w:tcPr>
              <w:p w:rsidR="00816448" w:rsidRDefault="00816448" w:rsidP="00816448">
                <w:pPr>
                  <w:jc w:val="right"/>
                  <w:rPr>
                    <w:szCs w:val="21"/>
                  </w:rPr>
                </w:pPr>
                <w:r>
                  <w:t>0.6</w:t>
                </w:r>
                <w:r w:rsidR="00FC6DE1">
                  <w:t>1</w:t>
                </w:r>
              </w:p>
            </w:tc>
          </w:tr>
        </w:tbl>
        <w:p w:rsidR="00806678" w:rsidRDefault="00F80B6C">
          <w:pPr>
            <w:rPr>
              <w:szCs w:val="21"/>
            </w:rPr>
          </w:pPr>
        </w:p>
      </w:sdtContent>
    </w:sdt>
    <w:p w:rsidR="00806678" w:rsidRDefault="00B16377">
      <w:pPr>
        <w:pStyle w:val="3"/>
        <w:numPr>
          <w:ilvl w:val="0"/>
          <w:numId w:val="5"/>
        </w:numPr>
        <w:rPr>
          <w:rFonts w:ascii="宋体" w:hAnsi="宋体"/>
          <w:szCs w:val="21"/>
        </w:rPr>
      </w:pPr>
      <w:r>
        <w:rPr>
          <w:rFonts w:ascii="宋体" w:hAnsi="宋体" w:hint="eastAsia"/>
          <w:szCs w:val="21"/>
        </w:rPr>
        <w:t>境内外会计准则下会计数据差异</w:t>
      </w:r>
    </w:p>
    <w:sdt>
      <w:sdtPr>
        <w:alias w:val="是否适用：境内外会计准则下会计数据差异[双击切换]"/>
        <w:tag w:val="_GBC_256af937a96e4869ba07cb19341957bb"/>
        <w:id w:val="308216000"/>
        <w:lock w:val="sdtLocked"/>
        <w:placeholder>
          <w:docPart w:val="GBC22222222222222222222222222222"/>
        </w:placeholder>
      </w:sdtPr>
      <w:sdtContent>
        <w:p w:rsidR="00816448" w:rsidRDefault="00F80B6C" w:rsidP="00816448">
          <w:pPr>
            <w:rPr>
              <w:rFonts w:cstheme="minorBidi"/>
              <w:kern w:val="2"/>
              <w:szCs w:val="21"/>
            </w:rPr>
          </w:pPr>
          <w:r>
            <w:fldChar w:fldCharType="begin"/>
          </w:r>
          <w:r w:rsidR="00816448">
            <w:instrText xml:space="preserve">MACROBUTTON  SnrToggleCheckbox □适用 </w:instrText>
          </w:r>
          <w:r>
            <w:fldChar w:fldCharType="end"/>
          </w:r>
          <w:r>
            <w:fldChar w:fldCharType="begin"/>
          </w:r>
          <w:r w:rsidR="00816448">
            <w:instrText xml:space="preserve"> MACROBUTTON  SnrToggleCheckbox √不适用 </w:instrText>
          </w:r>
          <w:r>
            <w:fldChar w:fldCharType="end"/>
          </w:r>
        </w:p>
      </w:sdtContent>
    </w:sdt>
    <w:p w:rsidR="00806678" w:rsidRDefault="00806678">
      <w:pPr>
        <w:rPr>
          <w:szCs w:val="21"/>
        </w:rPr>
      </w:pPr>
    </w:p>
    <w:sdt>
      <w:sdtPr>
        <w:rPr>
          <w:rFonts w:ascii="宋体" w:hAnsi="宋体" w:cs="宋体"/>
          <w:b w:val="0"/>
          <w:bCs w:val="0"/>
          <w:kern w:val="0"/>
          <w:szCs w:val="21"/>
        </w:rPr>
        <w:alias w:val="模块:补充资料其他说明事项"/>
        <w:tag w:val="_GBC_a60672e5f86e422cbb864ef991c9106b"/>
        <w:id w:val="-996795210"/>
        <w:lock w:val="sdtLocked"/>
        <w:placeholder>
          <w:docPart w:val="GBC22222222222222222222222222222"/>
        </w:placeholder>
      </w:sdtPr>
      <w:sdtContent>
        <w:p w:rsidR="00806678" w:rsidRDefault="00B16377">
          <w:pPr>
            <w:pStyle w:val="3"/>
            <w:numPr>
              <w:ilvl w:val="0"/>
              <w:numId w:val="5"/>
            </w:numPr>
            <w:rPr>
              <w:szCs w:val="21"/>
            </w:rPr>
          </w:pPr>
          <w:r>
            <w:rPr>
              <w:rFonts w:hint="eastAsia"/>
              <w:szCs w:val="21"/>
            </w:rPr>
            <w:t>其他</w:t>
          </w:r>
        </w:p>
        <w:sdt>
          <w:sdtPr>
            <w:rPr>
              <w:rFonts w:hint="eastAsia"/>
              <w:szCs w:val="21"/>
            </w:rPr>
            <w:alias w:val="是否适用：补充资料其他说明事项[双击切换]"/>
            <w:tag w:val="_GBC_96c49cb17ab64891ac1d396be649be3c"/>
            <w:id w:val="1025749702"/>
            <w:lock w:val="sdtLocked"/>
            <w:placeholder>
              <w:docPart w:val="GBC22222222222222222222222222222"/>
            </w:placeholder>
          </w:sdtPr>
          <w:sdtContent>
            <w:p w:rsidR="00806678" w:rsidRDefault="00F80B6C">
              <w:pPr>
                <w:rPr>
                  <w:szCs w:val="21"/>
                </w:rPr>
              </w:pPr>
              <w:r>
                <w:rPr>
                  <w:szCs w:val="21"/>
                </w:rPr>
                <w:fldChar w:fldCharType="begin"/>
              </w:r>
              <w:r w:rsidR="00816448">
                <w:rPr>
                  <w:szCs w:val="21"/>
                </w:rPr>
                <w:instrText xml:space="preserve"> MACROBUTTON  SnrToggleCheckbox □适用  </w:instrText>
              </w:r>
              <w:r>
                <w:rPr>
                  <w:szCs w:val="21"/>
                </w:rPr>
                <w:fldChar w:fldCharType="end"/>
              </w:r>
              <w:r>
                <w:rPr>
                  <w:szCs w:val="21"/>
                </w:rPr>
                <w:fldChar w:fldCharType="begin"/>
              </w:r>
              <w:r w:rsidR="00816448">
                <w:rPr>
                  <w:szCs w:val="21"/>
                </w:rPr>
                <w:instrText xml:space="preserve"> MACROBUTTON  SnrToggleCheckbox √不适用 </w:instrText>
              </w:r>
              <w:r>
                <w:rPr>
                  <w:szCs w:val="21"/>
                </w:rPr>
                <w:fldChar w:fldCharType="end"/>
              </w:r>
            </w:p>
          </w:sdtContent>
        </w:sdt>
      </w:sdtContent>
    </w:sdt>
    <w:bookmarkStart w:id="294" w:name="_Hlk90043452" w:displacedByCustomXml="next"/>
    <w:bookmarkStart w:id="295" w:name="_Hlk89951888" w:displacedByCustomXml="next"/>
    <w:sdt>
      <w:sdtPr>
        <w:rPr>
          <w:b/>
          <w:bCs/>
          <w:sz w:val="24"/>
        </w:rPr>
        <w:alias w:val="模块:落款"/>
        <w:tag w:val="_SEC_ee292353ab9b4a589b48f1e0cbc5adcd"/>
        <w:id w:val="9528651"/>
        <w:lock w:val="sdtLocked"/>
        <w:placeholder>
          <w:docPart w:val="GBC22222222222222222222222222222"/>
        </w:placeholder>
      </w:sdtPr>
      <w:sdtEndPr>
        <w:rPr>
          <w:b w:val="0"/>
          <w:bCs w:val="0"/>
          <w:sz w:val="21"/>
        </w:rPr>
      </w:sdtEndPr>
      <w:sdtContent>
        <w:p w:rsidR="00806678" w:rsidRDefault="00806678">
          <w:pPr>
            <w:spacing w:line="360" w:lineRule="exact"/>
            <w:ind w:right="5"/>
            <w:rPr>
              <w:b/>
              <w:bCs/>
              <w:sz w:val="24"/>
            </w:rPr>
          </w:pPr>
        </w:p>
        <w:p w:rsidR="00806678" w:rsidRDefault="00B16377">
          <w:pPr>
            <w:wordWrap w:val="0"/>
            <w:spacing w:line="360" w:lineRule="exact"/>
            <w:jc w:val="right"/>
            <w:rPr>
              <w:u w:val="single"/>
            </w:rPr>
          </w:pPr>
          <w:r>
            <w:lastRenderedPageBreak/>
            <w:t>董事长：</w:t>
          </w:r>
          <w:sdt>
            <w:sdtPr>
              <w:alias w:val="报告发布人"/>
              <w:tag w:val="_GBC_728ad6dff57942a69e22fcccc1f10a3c"/>
              <w:id w:val="24350177"/>
              <w:lock w:val="sdtLocked"/>
              <w:placeholder>
                <w:docPart w:val="GBC22222222222222222222222222222"/>
              </w:placeholder>
            </w:sdtPr>
            <w:sdtContent>
              <w:r w:rsidR="0087621A">
                <w:rPr>
                  <w:rFonts w:hint="eastAsia"/>
                </w:rPr>
                <w:t>戴弘</w:t>
              </w:r>
            </w:sdtContent>
          </w:sdt>
          <w:r>
            <w:rPr>
              <w:rFonts w:hint="eastAsia"/>
            </w:rPr>
            <w:t xml:space="preserve"> </w:t>
          </w:r>
        </w:p>
        <w:p w:rsidR="00806678" w:rsidRDefault="00B16377">
          <w:pPr>
            <w:spacing w:line="360" w:lineRule="exact"/>
            <w:jc w:val="right"/>
          </w:pPr>
          <w:r>
            <w:t>董事会批准报送日期：</w:t>
          </w:r>
          <w:sdt>
            <w:sdtPr>
              <w:alias w:val="报告董事会批准报送日期"/>
              <w:tag w:val="_GBC_7b8c4a7926dc47299591537f5943936d"/>
              <w:id w:val="24350178"/>
              <w:lock w:val="sdtLocked"/>
              <w:placeholder>
                <w:docPart w:val="GBC22222222222222222222222222222"/>
              </w:placeholder>
              <w:date w:fullDate="2023-04-25T00:00:00Z">
                <w:dateFormat w:val="yyyy'年'M'月'd'日'"/>
                <w:lid w:val="zh-CN"/>
                <w:storeMappedDataAs w:val="dateTime"/>
                <w:calendar w:val="gregorian"/>
              </w:date>
            </w:sdtPr>
            <w:sdtContent>
              <w:r w:rsidR="0087621A">
                <w:rPr>
                  <w:rFonts w:hint="eastAsia"/>
                </w:rPr>
                <w:t>2023年4月25日</w:t>
              </w:r>
            </w:sdtContent>
          </w:sdt>
          <w:r>
            <w:rPr>
              <w:rFonts w:hint="eastAsia"/>
            </w:rPr>
            <w:t xml:space="preserve"> </w:t>
          </w:r>
        </w:p>
      </w:sdtContent>
    </w:sdt>
    <w:bookmarkEnd w:id="294" w:displacedByCustomXml="prev"/>
    <w:bookmarkEnd w:id="295"/>
    <w:p w:rsidR="00806678" w:rsidRDefault="00806678">
      <w:pPr>
        <w:spacing w:line="360" w:lineRule="exact"/>
        <w:ind w:right="5"/>
        <w:rPr>
          <w:u w:val="single"/>
        </w:rPr>
      </w:pPr>
    </w:p>
    <w:p w:rsidR="00806678" w:rsidRDefault="00806678">
      <w:pPr>
        <w:spacing w:line="360" w:lineRule="exact"/>
        <w:ind w:right="5"/>
      </w:pPr>
    </w:p>
    <w:sdt>
      <w:sdtPr>
        <w:rPr>
          <w:sz w:val="24"/>
        </w:rPr>
        <w:alias w:val="模块:修订信息 "/>
        <w:tag w:val="_GBC_e51b54728b2e4e53b95b0611d0df9b06"/>
        <w:id w:val="24350188"/>
        <w:lock w:val="sdtLocked"/>
        <w:placeholder>
          <w:docPart w:val="GBC22222222222222222222222222222"/>
        </w:placeholder>
      </w:sdtPr>
      <w:sdtEndPr>
        <w:rPr>
          <w:sz w:val="21"/>
        </w:rPr>
      </w:sdtEndPr>
      <w:sdtContent>
        <w:p w:rsidR="00806678" w:rsidRDefault="00B16377">
          <w:pPr>
            <w:spacing w:line="360" w:lineRule="exact"/>
            <w:ind w:right="5"/>
            <w:rPr>
              <w:b/>
              <w:sz w:val="24"/>
            </w:rPr>
          </w:pPr>
          <w:r>
            <w:rPr>
              <w:b/>
              <w:sz w:val="24"/>
            </w:rPr>
            <w:t>修订信息</w:t>
          </w:r>
        </w:p>
        <w:sdt>
          <w:sdtPr>
            <w:alias w:val="是否适用：修订信息表[双击切换]"/>
            <w:tag w:val="_GBC_888e757d42a24d3a87b71f50b0589b0a"/>
            <w:id w:val="-1454859791"/>
            <w:lock w:val="sdtLocked"/>
            <w:placeholder>
              <w:docPart w:val="GBC22222222222222222222222222222"/>
            </w:placeholder>
          </w:sdtPr>
          <w:sdtContent>
            <w:p w:rsidR="00806678" w:rsidRDefault="00F80B6C" w:rsidP="0087621A">
              <w:r>
                <w:fldChar w:fldCharType="begin"/>
              </w:r>
              <w:r w:rsidR="0087621A">
                <w:instrText xml:space="preserve">MACROBUTTON  SnrToggleCheckbox □适用 </w:instrText>
              </w:r>
              <w:r>
                <w:fldChar w:fldCharType="end"/>
              </w:r>
              <w:r>
                <w:fldChar w:fldCharType="begin"/>
              </w:r>
              <w:r w:rsidR="0087621A">
                <w:instrText xml:space="preserve"> MACROBUTTON  SnrToggleCheckbox √不适用 </w:instrText>
              </w:r>
              <w:r>
                <w:fldChar w:fldCharType="end"/>
              </w:r>
            </w:p>
          </w:sdtContent>
        </w:sdt>
      </w:sdtContent>
    </w:sdt>
    <w:sectPr w:rsidR="00806678" w:rsidSect="007C6651">
      <w:pgSz w:w="11906" w:h="16838"/>
      <w:pgMar w:top="1525" w:right="1276" w:bottom="1440" w:left="1797" w:header="856" w:footer="992" w:gutter="0"/>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2183" w:rsidRDefault="00CE2183" w:rsidP="00365E23">
      <w:r>
        <w:separator/>
      </w:r>
    </w:p>
  </w:endnote>
  <w:endnote w:type="continuationSeparator" w:id="0">
    <w:p w:rsidR="00CE2183" w:rsidRDefault="00CE2183" w:rsidP="00365E2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Narrow">
    <w:altName w:val="Arial Narrow"/>
    <w:charset w:val="00"/>
    <w:family w:val="swiss"/>
    <w:pitch w:val="default"/>
    <w:sig w:usb0="00000003" w:usb1="00000000" w:usb2="00000000" w:usb3="00000000" w:csb0="00000001" w:csb1="00000000"/>
  </w:font>
  <w:font w:name="Noto Sans CJK JP Regular">
    <w:altName w:val="黑体"/>
    <w:panose1 w:val="00000000000000000000"/>
    <w:charset w:val="86"/>
    <w:family w:val="swiss"/>
    <w:notTrueType/>
    <w:pitch w:val="variable"/>
    <w:sig w:usb0="30000207" w:usb1="2BDF3C10" w:usb2="00000016" w:usb3="00000000" w:csb0="002E0107" w:csb1="00000000"/>
  </w:font>
  <w:font w:name="FZLTSK--GBK1-0">
    <w:altName w:val="Times New Roman"/>
    <w:panose1 w:val="00000000000000000000"/>
    <w:charset w:val="00"/>
    <w:family w:val="roman"/>
    <w:notTrueType/>
    <w:pitch w:val="default"/>
    <w:sig w:usb0="00000000" w:usb1="00000000" w:usb2="00000000" w:usb3="00000000" w:csb0="00000000" w:csb1="00000000"/>
  </w:font>
  <w:font w:name="方正楷体_GBK">
    <w:altName w:val="Arial Unicode MS"/>
    <w:charset w:val="86"/>
    <w:family w:val="script"/>
    <w:pitch w:val="fixed"/>
    <w:sig w:usb0="00000001" w:usb1="080E0000" w:usb2="00000010" w:usb3="00000000" w:csb0="00040000" w:csb1="00000000"/>
  </w:font>
  <w:font w:name="楷体_GB2312">
    <w:altName w:val="楷体"/>
    <w:charset w:val="86"/>
    <w:family w:val="modern"/>
    <w:pitch w:val="default"/>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新宋体">
    <w:panose1 w:val="02010609030101010101"/>
    <w:charset w:val="86"/>
    <w:family w:val="modern"/>
    <w:pitch w:val="fixed"/>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宋体-方正超大字符集">
    <w:altName w:val="宋体"/>
    <w:charset w:val="86"/>
    <w:family w:val="script"/>
    <w:pitch w:val="fixed"/>
    <w:sig w:usb0="00000001" w:usb1="080E0000" w:usb2="00000010" w:usb3="00000000" w:csb0="00040000" w:csb1="00000000"/>
  </w:font>
  <w:font w:name="PMingLiU">
    <w:altName w:val="新細明體"/>
    <w:panose1 w:val="02020500000000000000"/>
    <w:charset w:val="88"/>
    <w:family w:val="roman"/>
    <w:pitch w:val="variable"/>
    <w:sig w:usb0="A00002FF" w:usb1="28CFFCFA" w:usb2="00000016" w:usb3="00000000" w:csb0="00100001" w:csb1="00000000"/>
  </w:font>
  <w:font w:name="Yu Gothic">
    <w:altName w:val="游ゴシック"/>
    <w:charset w:val="80"/>
    <w:family w:val="swiss"/>
    <w:pitch w:val="variable"/>
    <w:sig w:usb0="E00002FF" w:usb1="2AC7FDFF" w:usb2="00000016" w:usb3="00000000" w:csb0="0002009F" w:csb1="00000000"/>
  </w:font>
  <w:font w:name="螳倶ｽ・">
    <w:altName w:val="Yu Gothic"/>
    <w:panose1 w:val="00000000000000000000"/>
    <w:charset w:val="80"/>
    <w:family w:val="auto"/>
    <w:notTrueType/>
    <w:pitch w:val="default"/>
    <w:sig w:usb0="00000001" w:usb1="08070000" w:usb2="00000010" w:usb3="00000000" w:csb0="00020000"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87835307"/>
      <w:docPartObj>
        <w:docPartGallery w:val="Page Numbers (Bottom of Page)"/>
        <w:docPartUnique/>
      </w:docPartObj>
    </w:sdtPr>
    <w:sdtContent>
      <w:sdt>
        <w:sdtPr>
          <w:id w:val="1080646581"/>
          <w:docPartObj>
            <w:docPartGallery w:val="Page Numbers (Top of Page)"/>
            <w:docPartUnique/>
          </w:docPartObj>
        </w:sdtPr>
        <w:sdtContent>
          <w:p w:rsidR="004B4952" w:rsidRDefault="00F80B6C" w:rsidP="004860B6">
            <w:pPr>
              <w:pStyle w:val="ac"/>
              <w:jc w:val="center"/>
            </w:pPr>
            <w:r>
              <w:rPr>
                <w:b/>
                <w:bCs/>
                <w:sz w:val="24"/>
                <w:szCs w:val="24"/>
              </w:rPr>
              <w:fldChar w:fldCharType="begin"/>
            </w:r>
            <w:r w:rsidR="004B4952">
              <w:rPr>
                <w:b/>
                <w:bCs/>
              </w:rPr>
              <w:instrText>PAGE</w:instrText>
            </w:r>
            <w:r>
              <w:rPr>
                <w:b/>
                <w:bCs/>
                <w:sz w:val="24"/>
                <w:szCs w:val="24"/>
              </w:rPr>
              <w:fldChar w:fldCharType="separate"/>
            </w:r>
            <w:r w:rsidR="006F32FB">
              <w:rPr>
                <w:b/>
                <w:bCs/>
                <w:noProof/>
              </w:rPr>
              <w:t>2</w:t>
            </w:r>
            <w:r>
              <w:rPr>
                <w:b/>
                <w:bCs/>
                <w:sz w:val="24"/>
                <w:szCs w:val="24"/>
              </w:rPr>
              <w:fldChar w:fldCharType="end"/>
            </w:r>
            <w:r w:rsidR="004B4952">
              <w:rPr>
                <w:lang w:val="zh-CN"/>
              </w:rPr>
              <w:t xml:space="preserve"> / </w:t>
            </w:r>
            <w:r>
              <w:rPr>
                <w:b/>
                <w:bCs/>
                <w:sz w:val="24"/>
                <w:szCs w:val="24"/>
              </w:rPr>
              <w:fldChar w:fldCharType="begin"/>
            </w:r>
            <w:r w:rsidR="004B4952">
              <w:rPr>
                <w:b/>
                <w:bCs/>
              </w:rPr>
              <w:instrText>NUMPAGES</w:instrText>
            </w:r>
            <w:r>
              <w:rPr>
                <w:b/>
                <w:bCs/>
                <w:sz w:val="24"/>
                <w:szCs w:val="24"/>
              </w:rPr>
              <w:fldChar w:fldCharType="separate"/>
            </w:r>
            <w:r w:rsidR="006F32FB">
              <w:rPr>
                <w:b/>
                <w:bCs/>
                <w:noProof/>
              </w:rPr>
              <w:t>199</w:t>
            </w:r>
            <w:r>
              <w:rPr>
                <w:b/>
                <w:bCs/>
                <w:sz w:val="24"/>
                <w:szCs w:val="24"/>
              </w:rPr>
              <w:fldChar w:fldCharType="end"/>
            </w:r>
          </w:p>
        </w:sdtContent>
      </w:sdt>
    </w:sdtContent>
  </w:sdt>
  <w:p w:rsidR="004B4952" w:rsidRDefault="004B4952">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2183" w:rsidRDefault="00CE2183" w:rsidP="00365E23">
      <w:r>
        <w:separator/>
      </w:r>
    </w:p>
  </w:footnote>
  <w:footnote w:type="continuationSeparator" w:id="0">
    <w:p w:rsidR="00CE2183" w:rsidRDefault="00CE2183" w:rsidP="00365E2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952" w:rsidRPr="009B70CF" w:rsidRDefault="004B4952" w:rsidP="004B4ABF">
    <w:pPr>
      <w:pStyle w:val="ab"/>
      <w:tabs>
        <w:tab w:val="clear" w:pos="8306"/>
        <w:tab w:val="left" w:pos="8364"/>
        <w:tab w:val="left" w:pos="8505"/>
      </w:tabs>
      <w:ind w:rightChars="10" w:right="21"/>
      <w:rPr>
        <w:b/>
      </w:rPr>
    </w:pPr>
    <w:r>
      <w:rPr>
        <w:rFonts w:hint="eastAsia"/>
      </w:rPr>
      <w:t>2022</w:t>
    </w:r>
    <w:r>
      <w:rPr>
        <w:rFonts w:hint="eastAsia"/>
      </w:rPr>
      <w:t>年年度报告</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EB390DB"/>
    <w:multiLevelType w:val="singleLevel"/>
    <w:tmpl w:val="C1266434"/>
    <w:lvl w:ilvl="0">
      <w:start w:val="2"/>
      <w:numFmt w:val="decimal"/>
      <w:suff w:val="space"/>
      <w:lvlText w:val="%1."/>
      <w:lvlJc w:val="left"/>
      <w:rPr>
        <w:b/>
      </w:rPr>
    </w:lvl>
  </w:abstractNum>
  <w:abstractNum w:abstractNumId="1">
    <w:nsid w:val="D2824FBB"/>
    <w:multiLevelType w:val="singleLevel"/>
    <w:tmpl w:val="3326912E"/>
    <w:lvl w:ilvl="0">
      <w:start w:val="1"/>
      <w:numFmt w:val="decimal"/>
      <w:suff w:val="space"/>
      <w:lvlText w:val="%1."/>
      <w:lvlJc w:val="left"/>
      <w:rPr>
        <w:b/>
      </w:rPr>
    </w:lvl>
  </w:abstractNum>
  <w:abstractNum w:abstractNumId="2">
    <w:nsid w:val="D4F1AAB6"/>
    <w:multiLevelType w:val="singleLevel"/>
    <w:tmpl w:val="D4F1AAB6"/>
    <w:lvl w:ilvl="0">
      <w:start w:val="1"/>
      <w:numFmt w:val="decimal"/>
      <w:suff w:val="space"/>
      <w:lvlText w:val="%1."/>
      <w:lvlJc w:val="left"/>
    </w:lvl>
  </w:abstractNum>
  <w:abstractNum w:abstractNumId="3">
    <w:nsid w:val="00533058"/>
    <w:multiLevelType w:val="multilevel"/>
    <w:tmpl w:val="B6A0A524"/>
    <w:lvl w:ilvl="0">
      <w:start w:val="1"/>
      <w:numFmt w:val="decimal"/>
      <w:lvlText w:val="%1、"/>
      <w:lvlJc w:val="left"/>
      <w:pPr>
        <w:ind w:left="425" w:hanging="425"/>
      </w:pPr>
      <w:rPr>
        <w:rFonts w:ascii="宋体" w:eastAsia="宋体" w:hAnsi="宋体" w:hint="eastAsia"/>
        <w:color w:val="auto"/>
        <w:sz w:val="21"/>
        <w:szCs w:val="21"/>
        <w:u w:val="none"/>
      </w:rPr>
    </w:lvl>
    <w:lvl w:ilvl="1">
      <w:start w:val="1"/>
      <w:numFmt w:val="chineseCountingThousand"/>
      <w:lvlText w:val="%2、"/>
      <w:lvlJc w:val="left"/>
      <w:pPr>
        <w:ind w:left="567" w:hanging="567"/>
      </w:pPr>
      <w:rPr>
        <w:rFonts w:hint="eastAsia"/>
        <w:color w:val="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nsid w:val="017D348C"/>
    <w:multiLevelType w:val="hybridMultilevel"/>
    <w:tmpl w:val="880EF5E0"/>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01C7576E"/>
    <w:multiLevelType w:val="multilevel"/>
    <w:tmpl w:val="2108B9B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02E66CBA"/>
    <w:multiLevelType w:val="hybridMultilevel"/>
    <w:tmpl w:val="CB004812"/>
    <w:lvl w:ilvl="0" w:tplc="1472CAFC">
      <w:start w:val="1"/>
      <w:numFmt w:val="chineseCountingThousand"/>
      <w:suff w:val="nothing"/>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037142FD"/>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03B7239C"/>
    <w:multiLevelType w:val="hybridMultilevel"/>
    <w:tmpl w:val="198ED12A"/>
    <w:lvl w:ilvl="0" w:tplc="1D84CBBA">
      <w:start w:val="1"/>
      <w:numFmt w:val="chineseCountingThousand"/>
      <w:lvlText w:val="%1、"/>
      <w:lvlJc w:val="left"/>
      <w:pPr>
        <w:ind w:left="420" w:hanging="420"/>
      </w:pPr>
      <w:rPr>
        <w:rFonts w:ascii="宋体" w:eastAsia="宋体" w:hAnsi="宋体" w:hint="eastAsia"/>
        <w:b/>
        <w:bdr w:val="none" w:sz="0" w:space="0" w:color="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04364DD5"/>
    <w:multiLevelType w:val="hybridMultilevel"/>
    <w:tmpl w:val="FF5E6A46"/>
    <w:lvl w:ilvl="0" w:tplc="6F00D676">
      <w:start w:val="1"/>
      <w:numFmt w:val="chineseCountingThousand"/>
      <w:suff w:val="space"/>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043801AA"/>
    <w:multiLevelType w:val="hybridMultilevel"/>
    <w:tmpl w:val="F312959C"/>
    <w:lvl w:ilvl="0" w:tplc="08090001">
      <w:start w:val="1"/>
      <w:numFmt w:val="bullet"/>
      <w:lvlText w:val=""/>
      <w:lvlJc w:val="left"/>
      <w:pPr>
        <w:ind w:left="360" w:hanging="360"/>
      </w:pPr>
      <w:rPr>
        <w:rFonts w:ascii="Symbol" w:hAnsi="Symbol" w:hint="default"/>
        <w:color w:val="auto"/>
        <w:sz w:val="24"/>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nsid w:val="04560F83"/>
    <w:multiLevelType w:val="multilevel"/>
    <w:tmpl w:val="F5DC7BF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
    <w:nsid w:val="053336E3"/>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3">
    <w:nsid w:val="076A22C6"/>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07DD62F7"/>
    <w:multiLevelType w:val="multilevel"/>
    <w:tmpl w:val="DF8C8E18"/>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5">
    <w:nsid w:val="080D0CFB"/>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0D5E7200"/>
    <w:multiLevelType w:val="multilevel"/>
    <w:tmpl w:val="BD387FE0"/>
    <w:lvl w:ilvl="0">
      <w:start w:val="3"/>
      <w:numFmt w:val="decimal"/>
      <w:lvlText w:val="%1."/>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7">
    <w:nsid w:val="0DC97DB7"/>
    <w:multiLevelType w:val="hybridMultilevel"/>
    <w:tmpl w:val="8B1ADF06"/>
    <w:lvl w:ilvl="0" w:tplc="8C04220C">
      <w:start w:val="1"/>
      <w:numFmt w:val="japaneseCounting"/>
      <w:lvlText w:val="(%1)"/>
      <w:lvlJc w:val="left"/>
      <w:pPr>
        <w:ind w:left="465" w:hanging="46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0E1F5ED2"/>
    <w:multiLevelType w:val="multilevel"/>
    <w:tmpl w:val="87D0BEC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nsid w:val="0E2C2F9E"/>
    <w:multiLevelType w:val="singleLevel"/>
    <w:tmpl w:val="C9D0E4D6"/>
    <w:lvl w:ilvl="0">
      <w:start w:val="1"/>
      <w:numFmt w:val="decimal"/>
      <w:suff w:val="space"/>
      <w:lvlText w:val="%1."/>
      <w:lvlJc w:val="left"/>
      <w:rPr>
        <w:b/>
      </w:rPr>
    </w:lvl>
  </w:abstractNum>
  <w:abstractNum w:abstractNumId="20">
    <w:nsid w:val="0EFF791D"/>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1">
    <w:nsid w:val="0F171263"/>
    <w:multiLevelType w:val="multilevel"/>
    <w:tmpl w:val="DC16C7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2">
    <w:nsid w:val="0FB258AF"/>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3">
    <w:nsid w:val="10A00340"/>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11732E84"/>
    <w:multiLevelType w:val="multilevel"/>
    <w:tmpl w:val="AE86E8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5">
    <w:nsid w:val="15621257"/>
    <w:multiLevelType w:val="multilevel"/>
    <w:tmpl w:val="7E6C93B2"/>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6">
    <w:nsid w:val="185F3408"/>
    <w:multiLevelType w:val="multilevel"/>
    <w:tmpl w:val="C202402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7">
    <w:nsid w:val="18982D2E"/>
    <w:multiLevelType w:val="multilevel"/>
    <w:tmpl w:val="04185B84"/>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8">
    <w:nsid w:val="18A52FB9"/>
    <w:multiLevelType w:val="hybridMultilevel"/>
    <w:tmpl w:val="9980432E"/>
    <w:lvl w:ilvl="0" w:tplc="04090017">
      <w:start w:val="1"/>
      <w:numFmt w:val="chineseCountingThousand"/>
      <w:lvlText w:val="(%1)"/>
      <w:lvlJc w:val="left"/>
      <w:pPr>
        <w:ind w:left="420" w:hanging="420"/>
      </w:pPr>
    </w:lvl>
    <w:lvl w:ilvl="1" w:tplc="04090017">
      <w:start w:val="1"/>
      <w:numFmt w:val="chineseCountingThousand"/>
      <w:lvlText w:val="(%2)"/>
      <w:lvlJc w:val="left"/>
      <w:pPr>
        <w:ind w:left="840" w:hanging="420"/>
      </w:pPr>
    </w:lvl>
    <w:lvl w:ilvl="2" w:tplc="240E7F9C">
      <w:start w:val="1"/>
      <w:numFmt w:val="decimal"/>
      <w:lvlText w:val="%3、"/>
      <w:lvlJc w:val="left"/>
      <w:pPr>
        <w:ind w:left="1200" w:hanging="36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197D11C7"/>
    <w:multiLevelType w:val="multilevel"/>
    <w:tmpl w:val="07C6803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5"/>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0">
    <w:nsid w:val="19B61093"/>
    <w:multiLevelType w:val="hybridMultilevel"/>
    <w:tmpl w:val="435EE116"/>
    <w:lvl w:ilvl="0" w:tplc="901299E4">
      <w:start w:val="1"/>
      <w:numFmt w:val="chineseCountingThousand"/>
      <w:suff w:val="nothing"/>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1A876789"/>
    <w:multiLevelType w:val="hybridMultilevel"/>
    <w:tmpl w:val="D85020D4"/>
    <w:lvl w:ilvl="0" w:tplc="CC8239A4">
      <w:start w:val="1"/>
      <w:numFmt w:val="decimal"/>
      <w:lvlText w:val="%1."/>
      <w:lvlJc w:val="left"/>
      <w:pPr>
        <w:ind w:left="420" w:hanging="420"/>
      </w:pPr>
      <w:rPr>
        <w:rFonts w:asciiTheme="minorEastAsia" w:eastAsiaTheme="minorEastAsia" w:hAnsiTheme="minor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1B0970AA"/>
    <w:multiLevelType w:val="multilevel"/>
    <w:tmpl w:val="0742B2D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33">
    <w:nsid w:val="1BCF0D86"/>
    <w:multiLevelType w:val="hybridMultilevel"/>
    <w:tmpl w:val="73CAA810"/>
    <w:lvl w:ilvl="0" w:tplc="F47AA048">
      <w:start w:val="1"/>
      <w:numFmt w:val="decimal"/>
      <w:lvlText w:val="(%1)"/>
      <w:lvlJc w:val="left"/>
      <w:pPr>
        <w:ind w:left="360" w:hanging="360"/>
      </w:pPr>
      <w:rPr>
        <w:rFonts w:ascii="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1CEC30BF"/>
    <w:multiLevelType w:val="multilevel"/>
    <w:tmpl w:val="73D8BDBA"/>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5">
    <w:nsid w:val="1D11584D"/>
    <w:multiLevelType w:val="multilevel"/>
    <w:tmpl w:val="BDBE9148"/>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6">
    <w:nsid w:val="1E235F8B"/>
    <w:multiLevelType w:val="multilevel"/>
    <w:tmpl w:val="D92C258C"/>
    <w:lvl w:ilvl="0">
      <w:start w:val="1"/>
      <w:numFmt w:val="chineseCountingThousand"/>
      <w:lvlText w:val="第%1节"/>
      <w:lvlJc w:val="left"/>
      <w:pPr>
        <w:ind w:left="425" w:hanging="425"/>
      </w:pPr>
      <w:rPr>
        <w:rFonts w:hint="eastAsia"/>
        <w:color w:val="auto"/>
        <w:sz w:val="28"/>
        <w:szCs w:val="28"/>
        <w:u w:val="none"/>
        <w:lang w:val="en-US"/>
      </w:rPr>
    </w:lvl>
    <w:lvl w:ilvl="1">
      <w:start w:val="1"/>
      <w:numFmt w:val="chineseCountingThousand"/>
      <w:lvlText w:val="%2、"/>
      <w:lvlJc w:val="left"/>
      <w:pPr>
        <w:ind w:left="567" w:hanging="567"/>
      </w:pPr>
      <w:rPr>
        <w:rFonts w:hint="eastAsia"/>
        <w:color w:val="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7">
    <w:nsid w:val="1F4131F6"/>
    <w:multiLevelType w:val="hybridMultilevel"/>
    <w:tmpl w:val="E314175C"/>
    <w:lvl w:ilvl="0" w:tplc="A80206AA">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1F6D425C"/>
    <w:multiLevelType w:val="hybridMultilevel"/>
    <w:tmpl w:val="BB2C2E24"/>
    <w:lvl w:ilvl="0" w:tplc="7166D99E">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nsid w:val="1F9677B9"/>
    <w:multiLevelType w:val="multilevel"/>
    <w:tmpl w:val="04185B84"/>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4112"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0">
    <w:nsid w:val="1FD019D7"/>
    <w:multiLevelType w:val="multilevel"/>
    <w:tmpl w:val="0672BB86"/>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41">
    <w:nsid w:val="204F3B0A"/>
    <w:multiLevelType w:val="multilevel"/>
    <w:tmpl w:val="6834F940"/>
    <w:lvl w:ilvl="0">
      <w:start w:val="1"/>
      <w:numFmt w:val="chineseCountingThousand"/>
      <w:lvlText w:val="(%1)"/>
      <w:lvlJc w:val="left"/>
      <w:pPr>
        <w:ind w:left="0" w:firstLine="0"/>
      </w:pPr>
      <w:rPr>
        <w:rFonts w:hint="default"/>
      </w:rPr>
    </w:lvl>
    <w:lvl w:ilvl="1">
      <w:start w:val="1"/>
      <w:numFmt w:val="chineseCountingThousand"/>
      <w:suff w:val="space"/>
      <w:lvlText w:val="(%2)"/>
      <w:lvlJc w:val="left"/>
      <w:pPr>
        <w:ind w:left="0" w:firstLine="0"/>
      </w:pPr>
      <w:rPr>
        <w:rFonts w:ascii="宋体" w:eastAsia="宋体" w:hAnsi="宋体" w:hint="eastAsia"/>
      </w:rPr>
    </w:lvl>
    <w:lvl w:ilvl="2">
      <w:start w:val="1"/>
      <w:numFmt w:val="chineseCountingThousand"/>
      <w:suff w:val="nothing"/>
      <w:lvlText w:val="(%3)"/>
      <w:lvlJc w:val="left"/>
      <w:pPr>
        <w:ind w:left="0" w:firstLine="0"/>
      </w:pPr>
      <w:rPr>
        <w:rFonts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42">
    <w:nsid w:val="2121200C"/>
    <w:multiLevelType w:val="multilevel"/>
    <w:tmpl w:val="FB20889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3">
    <w:nsid w:val="217F3B1B"/>
    <w:multiLevelType w:val="multilevel"/>
    <w:tmpl w:val="5718AA3A"/>
    <w:lvl w:ilvl="0">
      <w:start w:val="1"/>
      <w:numFmt w:val="decimal"/>
      <w:lvlText w:val="(%1)."/>
      <w:lvlJc w:val="left"/>
      <w:pPr>
        <w:ind w:left="1842" w:hanging="425"/>
      </w:pPr>
      <w:rPr>
        <w:rFonts w:ascii="宋体" w:eastAsia="宋体" w:hAnsi="宋体" w:hint="default"/>
        <w:color w:val="auto"/>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4">
    <w:nsid w:val="21A7388C"/>
    <w:multiLevelType w:val="multilevel"/>
    <w:tmpl w:val="6B587320"/>
    <w:lvl w:ilvl="0">
      <w:start w:val="1"/>
      <w:numFmt w:val="chineseCountingThousand"/>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5">
    <w:nsid w:val="228F0FB9"/>
    <w:multiLevelType w:val="hybridMultilevel"/>
    <w:tmpl w:val="5C54935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6">
    <w:nsid w:val="246C0E3A"/>
    <w:multiLevelType w:val="multilevel"/>
    <w:tmpl w:val="6E7E6974"/>
    <w:lvl w:ilvl="0">
      <w:start w:val="1"/>
      <w:numFmt w:val="decimal"/>
      <w:lvlText w:val="(%1). "/>
      <w:lvlJc w:val="left"/>
      <w:pPr>
        <w:ind w:left="425" w:hanging="425"/>
      </w:pPr>
      <w:rPr>
        <w:rFonts w:hint="eastAsia"/>
        <w:color w:val="auto"/>
        <w:u w:val="none"/>
      </w:rPr>
    </w:lvl>
    <w:lvl w:ilvl="1">
      <w:start w:val="1"/>
      <w:numFmt w:val="chineseCountingThousand"/>
      <w:lvlText w:val="%2、"/>
      <w:lvlJc w:val="left"/>
      <w:pPr>
        <w:ind w:left="567" w:hanging="567"/>
      </w:pPr>
      <w:rPr>
        <w:rFonts w:hint="eastAsia"/>
        <w:color w:val="auto"/>
        <w:bdr w:val="none" w:sz="0" w:space="0" w:color="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7">
    <w:nsid w:val="273131BF"/>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8">
    <w:nsid w:val="2AB9492A"/>
    <w:multiLevelType w:val="multilevel"/>
    <w:tmpl w:val="D98C52EC"/>
    <w:lvl w:ilvl="0">
      <w:start w:val="1"/>
      <w:numFmt w:val="decimal"/>
      <w:lvlText w:val="%1."/>
      <w:lvlJc w:val="left"/>
      <w:pPr>
        <w:ind w:left="425" w:hanging="425"/>
      </w:pPr>
    </w:lvl>
    <w:lvl w:ilvl="1">
      <w:start w:val="1"/>
      <w:numFmt w:val="chineseCountingThousand"/>
      <w:lvlText w:val="(%2)"/>
      <w:lvlJc w:val="left"/>
      <w:pPr>
        <w:ind w:left="567" w:hanging="567"/>
      </w:pPr>
      <w:rPr>
        <w:rFonts w:ascii="宋体" w:eastAsia="宋体" w:hAnsi="宋体"/>
      </w:r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49">
    <w:nsid w:val="2ABA5091"/>
    <w:multiLevelType w:val="hybridMultilevel"/>
    <w:tmpl w:val="F27ADD1C"/>
    <w:lvl w:ilvl="0" w:tplc="F850BF5E">
      <w:start w:val="1"/>
      <w:numFmt w:val="japaneseCounting"/>
      <w:lvlText w:val="%1、"/>
      <w:lvlJc w:val="left"/>
      <w:pPr>
        <w:ind w:left="450" w:hanging="45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0">
    <w:nsid w:val="2AF651E5"/>
    <w:multiLevelType w:val="hybridMultilevel"/>
    <w:tmpl w:val="5F60557E"/>
    <w:lvl w:ilvl="0" w:tplc="3D0C5F60">
      <w:start w:val="1"/>
      <w:numFmt w:val="decimal"/>
      <w:suff w:val="nothing"/>
      <w:lvlText w:val="(%1). "/>
      <w:lvlJc w:val="left"/>
      <w:pPr>
        <w:ind w:left="420" w:hanging="420"/>
      </w:pPr>
      <w:rPr>
        <w:rFonts w:ascii="宋体" w:eastAsia="宋体" w:hAnsi="宋体" w:hint="eastAsia"/>
        <w:b/>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1">
    <w:nsid w:val="2B081EE9"/>
    <w:multiLevelType w:val="multilevel"/>
    <w:tmpl w:val="0F7205AE"/>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2">
    <w:nsid w:val="2C7D045A"/>
    <w:multiLevelType w:val="hybridMultilevel"/>
    <w:tmpl w:val="4F3E4BB4"/>
    <w:lvl w:ilvl="0" w:tplc="C910E878">
      <w:start w:val="1"/>
      <w:numFmt w:val="decimal"/>
      <w:suff w:val="nothing"/>
      <w:lvlText w:val="%1、 "/>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3">
    <w:nsid w:val="2DE55932"/>
    <w:multiLevelType w:val="hybridMultilevel"/>
    <w:tmpl w:val="B706DF16"/>
    <w:lvl w:ilvl="0" w:tplc="DA7428DA">
      <w:start w:val="1"/>
      <w:numFmt w:val="chineseCountingThousand"/>
      <w:suff w:val="nothing"/>
      <w:lvlText w:val="%1、"/>
      <w:lvlJc w:val="left"/>
      <w:pPr>
        <w:ind w:left="420" w:hanging="420"/>
      </w:pPr>
      <w:rPr>
        <w:rFonts w:hint="eastAsia"/>
        <w:b/>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4">
    <w:nsid w:val="2EE12A98"/>
    <w:multiLevelType w:val="multilevel"/>
    <w:tmpl w:val="04185B84"/>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5">
    <w:nsid w:val="31042AC8"/>
    <w:multiLevelType w:val="multilevel"/>
    <w:tmpl w:val="F0DA6E0C"/>
    <w:lvl w:ilvl="0">
      <w:start w:val="1"/>
      <w:numFmt w:val="chineseCountingThousand"/>
      <w:suff w:val="nothing"/>
      <w:lvlText w:val="%1、"/>
      <w:lvlJc w:val="left"/>
      <w:pPr>
        <w:ind w:left="420" w:hanging="420"/>
      </w:pPr>
      <w:rPr>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56">
    <w:nsid w:val="321F7C35"/>
    <w:multiLevelType w:val="multilevel"/>
    <w:tmpl w:val="382E96D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7">
    <w:nsid w:val="322A2C22"/>
    <w:multiLevelType w:val="hybridMultilevel"/>
    <w:tmpl w:val="E8B8890C"/>
    <w:lvl w:ilvl="0" w:tplc="32B46ABA">
      <w:start w:val="1"/>
      <w:numFmt w:val="decimal"/>
      <w:lvlText w:val="%1."/>
      <w:lvlJc w:val="left"/>
      <w:pPr>
        <w:ind w:left="420" w:hanging="420"/>
      </w:pPr>
      <w:rPr>
        <w:rFonts w:ascii="宋体" w:eastAsia="宋体" w:hAnsi="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8">
    <w:nsid w:val="326F7C0F"/>
    <w:multiLevelType w:val="hybridMultilevel"/>
    <w:tmpl w:val="7B12DC8E"/>
    <w:lvl w:ilvl="0" w:tplc="EC843682">
      <w:start w:val="1"/>
      <w:numFmt w:val="decimal"/>
      <w:suff w:val="nothing"/>
      <w:lvlText w:val="(%1)."/>
      <w:lvlJc w:val="left"/>
      <w:pPr>
        <w:ind w:left="420" w:hanging="420"/>
      </w:pPr>
      <w:rPr>
        <w:rFonts w:asciiTheme="minorEastAsia" w:eastAsia="宋体" w:hAnsiTheme="minorEastAsia"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9">
    <w:nsid w:val="3438131C"/>
    <w:multiLevelType w:val="multilevel"/>
    <w:tmpl w:val="1C3A43B8"/>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0">
    <w:nsid w:val="352B69DD"/>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1">
    <w:nsid w:val="352D39A8"/>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2">
    <w:nsid w:val="37C3610E"/>
    <w:multiLevelType w:val="hybridMultilevel"/>
    <w:tmpl w:val="DC6A6A30"/>
    <w:lvl w:ilvl="0" w:tplc="533CAED8">
      <w:start w:val="1"/>
      <w:numFmt w:val="chineseCountingThousand"/>
      <w:lvlText w:val="%1、"/>
      <w:lvlJc w:val="left"/>
      <w:pPr>
        <w:ind w:left="704" w:hanging="420"/>
      </w:pPr>
      <w:rPr>
        <w:rFonts w:hint="default"/>
        <w:b/>
        <w:i w:val="0"/>
        <w:color w:val="auto"/>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3">
    <w:nsid w:val="3D2B6D0A"/>
    <w:multiLevelType w:val="hybridMultilevel"/>
    <w:tmpl w:val="48F0A9F6"/>
    <w:lvl w:ilvl="0" w:tplc="6F963A76">
      <w:start w:val="1"/>
      <w:numFmt w:val="chineseCountingThousand"/>
      <w:suff w:val="space"/>
      <w:lvlText w:val="(%1)"/>
      <w:lvlJc w:val="left"/>
      <w:pPr>
        <w:ind w:left="420" w:hanging="420"/>
      </w:pPr>
      <w:rPr>
        <w:rFonts w:ascii="宋体" w:eastAsia="宋体" w:hAnsi="宋体" w:hint="eastAsia"/>
      </w:rPr>
    </w:lvl>
    <w:lvl w:ilvl="1" w:tplc="04090017">
      <w:start w:val="1"/>
      <w:numFmt w:val="chineseCountingThousand"/>
      <w:lvlText w:val="(%2)"/>
      <w:lvlJc w:val="left"/>
      <w:pPr>
        <w:ind w:left="840" w:hanging="420"/>
      </w:pPr>
    </w:lvl>
    <w:lvl w:ilvl="2" w:tplc="240E7F9C">
      <w:start w:val="1"/>
      <w:numFmt w:val="decimal"/>
      <w:lvlText w:val="%3、"/>
      <w:lvlJc w:val="left"/>
      <w:pPr>
        <w:ind w:left="1200" w:hanging="36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4">
    <w:nsid w:val="3D620F38"/>
    <w:multiLevelType w:val="hybridMultilevel"/>
    <w:tmpl w:val="0BAC2516"/>
    <w:lvl w:ilvl="0" w:tplc="0ACC847C">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5">
    <w:nsid w:val="3DC039A2"/>
    <w:multiLevelType w:val="multilevel"/>
    <w:tmpl w:val="DE20038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6">
    <w:nsid w:val="3EA740FE"/>
    <w:multiLevelType w:val="multilevel"/>
    <w:tmpl w:val="B4047FA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7">
    <w:nsid w:val="3F1C5616"/>
    <w:multiLevelType w:val="hybridMultilevel"/>
    <w:tmpl w:val="05B2DC96"/>
    <w:lvl w:ilvl="0" w:tplc="6018D580">
      <w:start w:val="1"/>
      <w:numFmt w:val="japaneseCounting"/>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8">
    <w:nsid w:val="3FAB46A5"/>
    <w:multiLevelType w:val="multilevel"/>
    <w:tmpl w:val="0742B2D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69">
    <w:nsid w:val="401A73B0"/>
    <w:multiLevelType w:val="multilevel"/>
    <w:tmpl w:val="3E8AA6D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b/>
        <w:color w:val="auto"/>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0">
    <w:nsid w:val="40973487"/>
    <w:multiLevelType w:val="multilevel"/>
    <w:tmpl w:val="0742B2D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71">
    <w:nsid w:val="40BA37A5"/>
    <w:multiLevelType w:val="singleLevel"/>
    <w:tmpl w:val="40BA37A5"/>
    <w:lvl w:ilvl="0">
      <w:start w:val="1"/>
      <w:numFmt w:val="decimal"/>
      <w:suff w:val="space"/>
      <w:lvlText w:val="%1."/>
      <w:lvlJc w:val="left"/>
    </w:lvl>
  </w:abstractNum>
  <w:abstractNum w:abstractNumId="72">
    <w:nsid w:val="42F33200"/>
    <w:multiLevelType w:val="hybridMultilevel"/>
    <w:tmpl w:val="7DBC2726"/>
    <w:lvl w:ilvl="0" w:tplc="57D88D64">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3">
    <w:nsid w:val="44360F32"/>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4">
    <w:nsid w:val="448C6887"/>
    <w:multiLevelType w:val="multilevel"/>
    <w:tmpl w:val="AE86E8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5">
    <w:nsid w:val="44D151ED"/>
    <w:multiLevelType w:val="hybridMultilevel"/>
    <w:tmpl w:val="6ECAA8B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6">
    <w:nsid w:val="45117240"/>
    <w:multiLevelType w:val="hybridMultilevel"/>
    <w:tmpl w:val="67DCBEA0"/>
    <w:lvl w:ilvl="0" w:tplc="6D32AA22">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452D24C2"/>
    <w:multiLevelType w:val="multilevel"/>
    <w:tmpl w:val="AAA647E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8">
    <w:nsid w:val="45796619"/>
    <w:multiLevelType w:val="multilevel"/>
    <w:tmpl w:val="F5DC7BF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9">
    <w:nsid w:val="45D95701"/>
    <w:multiLevelType w:val="multilevel"/>
    <w:tmpl w:val="023AC86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0">
    <w:nsid w:val="463E0B3C"/>
    <w:multiLevelType w:val="multilevel"/>
    <w:tmpl w:val="BC3CCC26"/>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1">
    <w:nsid w:val="464473E5"/>
    <w:multiLevelType w:val="multilevel"/>
    <w:tmpl w:val="04185B84"/>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2">
    <w:nsid w:val="46E20981"/>
    <w:multiLevelType w:val="multilevel"/>
    <w:tmpl w:val="AE86E8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3">
    <w:nsid w:val="49506E30"/>
    <w:multiLevelType w:val="singleLevel"/>
    <w:tmpl w:val="49506E30"/>
    <w:lvl w:ilvl="0">
      <w:start w:val="1"/>
      <w:numFmt w:val="decimal"/>
      <w:suff w:val="space"/>
      <w:lvlText w:val="%1."/>
      <w:lvlJc w:val="left"/>
    </w:lvl>
  </w:abstractNum>
  <w:abstractNum w:abstractNumId="84">
    <w:nsid w:val="49C71EB0"/>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5">
    <w:nsid w:val="4A125FEF"/>
    <w:multiLevelType w:val="hybridMultilevel"/>
    <w:tmpl w:val="51BA9D74"/>
    <w:lvl w:ilvl="0" w:tplc="18FAA64C">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6">
    <w:nsid w:val="4AC23DB8"/>
    <w:multiLevelType w:val="hybridMultilevel"/>
    <w:tmpl w:val="D6700C62"/>
    <w:lvl w:ilvl="0" w:tplc="541AEE26">
      <w:start w:val="1"/>
      <w:numFmt w:val="chineseCountingThousand"/>
      <w:suff w:val="space"/>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7">
    <w:nsid w:val="4ACD5C44"/>
    <w:multiLevelType w:val="hybridMultilevel"/>
    <w:tmpl w:val="BB2C2E24"/>
    <w:lvl w:ilvl="0" w:tplc="7166D99E">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8">
    <w:nsid w:val="4B8A1F74"/>
    <w:multiLevelType w:val="multilevel"/>
    <w:tmpl w:val="494C7C16"/>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89">
    <w:nsid w:val="4C5633A4"/>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0">
    <w:nsid w:val="4FF23454"/>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1">
    <w:nsid w:val="50F33864"/>
    <w:multiLevelType w:val="hybridMultilevel"/>
    <w:tmpl w:val="5492D05C"/>
    <w:lvl w:ilvl="0" w:tplc="BD40B6C8">
      <w:start w:val="1"/>
      <w:numFmt w:val="chineseCountingThousand"/>
      <w:lvlText w:val="(%1)"/>
      <w:lvlJc w:val="right"/>
      <w:pPr>
        <w:ind w:left="1260" w:hanging="420"/>
      </w:pPr>
      <w:rPr>
        <w:rFonts w:hint="eastAsia"/>
      </w:rPr>
    </w:lvl>
    <w:lvl w:ilvl="1" w:tplc="17240FA6">
      <w:numFmt w:val="bullet"/>
      <w:lvlText w:val="-"/>
      <w:lvlJc w:val="left"/>
      <w:pPr>
        <w:ind w:left="780" w:hanging="360"/>
      </w:pPr>
      <w:rPr>
        <w:rFonts w:ascii="宋体" w:eastAsia="宋体" w:hAnsi="宋体" w:cs="Arial" w:hint="eastAsia"/>
      </w:rPr>
    </w:lvl>
    <w:lvl w:ilvl="2" w:tplc="69C2D2E8">
      <w:start w:val="1"/>
      <w:numFmt w:val="chineseCountingThousand"/>
      <w:lvlText w:val="(%3)"/>
      <w:lvlJc w:val="right"/>
      <w:pPr>
        <w:ind w:left="420" w:hanging="420"/>
      </w:pPr>
      <w:rPr>
        <w:rFonts w:hint="eastAsia"/>
      </w:rPr>
    </w:lvl>
    <w:lvl w:ilvl="3" w:tplc="754A210A">
      <w:start w:val="1"/>
      <w:numFmt w:val="chineseCountingThousand"/>
      <w:suff w:val="nothing"/>
      <w:lvlText w:val="(%4)"/>
      <w:lvlJc w:val="left"/>
      <w:pPr>
        <w:ind w:left="1680" w:hanging="420"/>
      </w:pPr>
      <w:rPr>
        <w:rFonts w:ascii="宋体" w:eastAsia="宋体" w:hAnsi="宋体" w:hint="eastAsia"/>
      </w:r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2">
    <w:nsid w:val="511727FE"/>
    <w:multiLevelType w:val="multilevel"/>
    <w:tmpl w:val="22187B3E"/>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93">
    <w:nsid w:val="51265863"/>
    <w:multiLevelType w:val="hybridMultilevel"/>
    <w:tmpl w:val="EC7CDA9A"/>
    <w:lvl w:ilvl="0" w:tplc="04090017">
      <w:start w:val="1"/>
      <w:numFmt w:val="chineseCountingThousand"/>
      <w:lvlText w:val="(%1)"/>
      <w:lvlJc w:val="left"/>
      <w:pPr>
        <w:ind w:left="420" w:hanging="420"/>
      </w:pPr>
    </w:lvl>
    <w:lvl w:ilvl="1" w:tplc="38A0B97E">
      <w:start w:val="1"/>
      <w:numFmt w:val="decimal"/>
      <w:lvlText w:val="(%2). "/>
      <w:lvlJc w:val="left"/>
      <w:pPr>
        <w:ind w:left="840" w:hanging="420"/>
      </w:pPr>
      <w:rPr>
        <w:rFonts w:ascii="宋体" w:eastAsia="宋体" w:hAnsi="宋体"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4">
    <w:nsid w:val="520C604D"/>
    <w:multiLevelType w:val="hybridMultilevel"/>
    <w:tmpl w:val="73CAA810"/>
    <w:lvl w:ilvl="0" w:tplc="F47AA048">
      <w:start w:val="1"/>
      <w:numFmt w:val="decimal"/>
      <w:lvlText w:val="(%1)"/>
      <w:lvlJc w:val="left"/>
      <w:pPr>
        <w:ind w:left="360" w:hanging="360"/>
      </w:pPr>
      <w:rPr>
        <w:rFonts w:ascii="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5">
    <w:nsid w:val="531A49E7"/>
    <w:multiLevelType w:val="multilevel"/>
    <w:tmpl w:val="0742B2D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96">
    <w:nsid w:val="542027AB"/>
    <w:multiLevelType w:val="hybridMultilevel"/>
    <w:tmpl w:val="76425192"/>
    <w:lvl w:ilvl="0" w:tplc="CC4C3924">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7">
    <w:nsid w:val="54B577AB"/>
    <w:multiLevelType w:val="multilevel"/>
    <w:tmpl w:val="F5DC7BF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8">
    <w:nsid w:val="55724AC9"/>
    <w:multiLevelType w:val="multilevel"/>
    <w:tmpl w:val="659A2A90"/>
    <w:styleLink w:val="1"/>
    <w:lvl w:ilvl="0">
      <w:start w:val="1"/>
      <w:numFmt w:val="chineseCountingThousand"/>
      <w:lvlText w:val="第%1节"/>
      <w:lvlJc w:val="left"/>
      <w:pPr>
        <w:ind w:left="425" w:hanging="425"/>
      </w:pPr>
      <w:rPr>
        <w:rFonts w:hint="eastAsia"/>
        <w:color w:val="auto"/>
        <w:u w:val="none"/>
      </w:rPr>
    </w:lvl>
    <w:lvl w:ilvl="1">
      <w:start w:val="1"/>
      <w:numFmt w:val="chineseCountingThousand"/>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9">
    <w:nsid w:val="57D70C03"/>
    <w:multiLevelType w:val="multilevel"/>
    <w:tmpl w:val="741CB8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0">
    <w:nsid w:val="59862246"/>
    <w:multiLevelType w:val="multilevel"/>
    <w:tmpl w:val="647A25CE"/>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1">
    <w:nsid w:val="59EF7C0F"/>
    <w:multiLevelType w:val="multilevel"/>
    <w:tmpl w:val="B61CC524"/>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2">
    <w:nsid w:val="5BDC5A30"/>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03">
    <w:nsid w:val="5C673432"/>
    <w:multiLevelType w:val="multilevel"/>
    <w:tmpl w:val="AD74BCB2"/>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04">
    <w:nsid w:val="5CA85E2E"/>
    <w:multiLevelType w:val="multilevel"/>
    <w:tmpl w:val="63B46618"/>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suff w:val="nothing"/>
      <w:lvlText w:val="(%4). "/>
      <w:lvlJc w:val="left"/>
      <w:pPr>
        <w:ind w:left="851" w:hanging="851"/>
      </w:pPr>
      <w:rPr>
        <w:rFonts w:ascii="宋体" w:eastAsia="宋体" w:hAnsi="宋体" w:hint="default"/>
        <w:b/>
        <w:color w:val="auto"/>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05">
    <w:nsid w:val="5D107713"/>
    <w:multiLevelType w:val="multilevel"/>
    <w:tmpl w:val="DC16C7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6">
    <w:nsid w:val="5DB24638"/>
    <w:multiLevelType w:val="multilevel"/>
    <w:tmpl w:val="0742B2D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07">
    <w:nsid w:val="5F755A71"/>
    <w:multiLevelType w:val="multilevel"/>
    <w:tmpl w:val="0742B2D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08">
    <w:nsid w:val="60421A59"/>
    <w:multiLevelType w:val="hybridMultilevel"/>
    <w:tmpl w:val="E0DCDA58"/>
    <w:lvl w:ilvl="0" w:tplc="0088D230">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9">
    <w:nsid w:val="60D22A85"/>
    <w:multiLevelType w:val="multilevel"/>
    <w:tmpl w:val="04185B84"/>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10">
    <w:nsid w:val="60EB4FD5"/>
    <w:multiLevelType w:val="multilevel"/>
    <w:tmpl w:val="F5DC7BF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1">
    <w:nsid w:val="649E600F"/>
    <w:multiLevelType w:val="multilevel"/>
    <w:tmpl w:val="382E96D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12">
    <w:nsid w:val="69535DE9"/>
    <w:multiLevelType w:val="hybridMultilevel"/>
    <w:tmpl w:val="E58853C4"/>
    <w:lvl w:ilvl="0" w:tplc="F84ABCFC">
      <w:start w:val="1"/>
      <w:numFmt w:val="decimal"/>
      <w:suff w:val="nothing"/>
      <w:lvlText w:val="(%1). "/>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3">
    <w:nsid w:val="69BA4BB7"/>
    <w:multiLevelType w:val="hybridMultilevel"/>
    <w:tmpl w:val="9C7A825C"/>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4">
    <w:nsid w:val="6A405A3C"/>
    <w:multiLevelType w:val="multilevel"/>
    <w:tmpl w:val="07C6803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5"/>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15">
    <w:nsid w:val="6B96254F"/>
    <w:multiLevelType w:val="multilevel"/>
    <w:tmpl w:val="7A16278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4."/>
      <w:lvlJc w:val="left"/>
      <w:pPr>
        <w:ind w:left="1984" w:hanging="708"/>
      </w:pPr>
      <w:rPr>
        <w:rFonts w:ascii="宋体" w:eastAsia="宋体" w:hAnsi="宋体"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6">
    <w:nsid w:val="6C5C4B24"/>
    <w:multiLevelType w:val="multilevel"/>
    <w:tmpl w:val="DC16C7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7">
    <w:nsid w:val="6E97785F"/>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8">
    <w:nsid w:val="6F111C3A"/>
    <w:multiLevelType w:val="multilevel"/>
    <w:tmpl w:val="04185B84"/>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19">
    <w:nsid w:val="701D5786"/>
    <w:multiLevelType w:val="multilevel"/>
    <w:tmpl w:val="1DCED554"/>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20">
    <w:nsid w:val="70A4034A"/>
    <w:multiLevelType w:val="multilevel"/>
    <w:tmpl w:val="F09AD746"/>
    <w:lvl w:ilvl="0">
      <w:start w:val="1"/>
      <w:numFmt w:val="chineseCountingThousand"/>
      <w:suff w:val="nothing"/>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1">
    <w:nsid w:val="70E42A22"/>
    <w:multiLevelType w:val="multilevel"/>
    <w:tmpl w:val="3C2E1828"/>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22">
    <w:nsid w:val="728231A6"/>
    <w:multiLevelType w:val="hybridMultilevel"/>
    <w:tmpl w:val="4BE62B16"/>
    <w:lvl w:ilvl="0" w:tplc="3C9A67C8">
      <w:start w:val="1"/>
      <w:numFmt w:val="decimal"/>
      <w:lvlText w:val="(%1)"/>
      <w:lvlJc w:val="left"/>
      <w:pPr>
        <w:ind w:left="420" w:hanging="420"/>
      </w:pPr>
      <w:rPr>
        <w:rFonts w:ascii="宋体" w:eastAsia="宋体" w:hAnsi="宋体"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3">
    <w:nsid w:val="73FB28AC"/>
    <w:multiLevelType w:val="multilevel"/>
    <w:tmpl w:val="0742B2D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24">
    <w:nsid w:val="7405377B"/>
    <w:multiLevelType w:val="hybridMultilevel"/>
    <w:tmpl w:val="6A36F698"/>
    <w:lvl w:ilvl="0" w:tplc="AF0032CA">
      <w:start w:val="1"/>
      <w:numFmt w:val="chineseCountingThousand"/>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5">
    <w:nsid w:val="74716D69"/>
    <w:multiLevelType w:val="hybridMultilevel"/>
    <w:tmpl w:val="7688D31A"/>
    <w:lvl w:ilvl="0" w:tplc="4A565B92">
      <w:start w:val="1"/>
      <w:numFmt w:val="decimal"/>
      <w:suff w:val="nothing"/>
      <w:lvlText w:val="(%1)."/>
      <w:lvlJc w:val="left"/>
      <w:pPr>
        <w:ind w:left="420" w:hanging="420"/>
      </w:pPr>
      <w:rPr>
        <w:rFonts w:asciiTheme="minorEastAsia" w:eastAsia="宋体" w:hAnsiTheme="minorEastAsia"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6">
    <w:nsid w:val="75482B44"/>
    <w:multiLevelType w:val="hybridMultilevel"/>
    <w:tmpl w:val="E58853C4"/>
    <w:lvl w:ilvl="0" w:tplc="F84ABCFC">
      <w:start w:val="1"/>
      <w:numFmt w:val="decimal"/>
      <w:suff w:val="nothing"/>
      <w:lvlText w:val="(%1). "/>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7">
    <w:nsid w:val="761C7169"/>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8">
    <w:nsid w:val="76B4167B"/>
    <w:multiLevelType w:val="hybridMultilevel"/>
    <w:tmpl w:val="6BFC1580"/>
    <w:lvl w:ilvl="0" w:tplc="5538AEC8">
      <w:start w:val="1"/>
      <w:numFmt w:val="decimal"/>
      <w:lvlText w:val="%1、"/>
      <w:lvlJc w:val="left"/>
      <w:pPr>
        <w:ind w:left="420" w:hanging="420"/>
      </w:pPr>
      <w:rPr>
        <w:rFonts w:ascii="宋体" w:eastAsia="宋体" w:hAnsi="宋体"/>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9">
    <w:nsid w:val="76DD5C82"/>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0">
    <w:nsid w:val="77111D1D"/>
    <w:multiLevelType w:val="multilevel"/>
    <w:tmpl w:val="96C48490"/>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31">
    <w:nsid w:val="77194021"/>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32">
    <w:nsid w:val="787035DE"/>
    <w:multiLevelType w:val="hybridMultilevel"/>
    <w:tmpl w:val="BB2C2E24"/>
    <w:lvl w:ilvl="0" w:tplc="7166D99E">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3">
    <w:nsid w:val="7A1266A0"/>
    <w:multiLevelType w:val="multilevel"/>
    <w:tmpl w:val="0742B2D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34">
    <w:nsid w:val="7A6140D4"/>
    <w:multiLevelType w:val="multilevel"/>
    <w:tmpl w:val="43A4806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4."/>
      <w:lvlJc w:val="left"/>
      <w:pPr>
        <w:ind w:left="1984" w:hanging="708"/>
      </w:pPr>
      <w:rPr>
        <w:rFonts w:ascii="宋体" w:eastAsia="宋体" w:hAnsi="宋体"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35">
    <w:nsid w:val="7B1E025F"/>
    <w:multiLevelType w:val="hybridMultilevel"/>
    <w:tmpl w:val="D68AF990"/>
    <w:lvl w:ilvl="0" w:tplc="C5CA52A6">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6">
    <w:nsid w:val="7C0C1B4F"/>
    <w:multiLevelType w:val="multilevel"/>
    <w:tmpl w:val="0B3082E4"/>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suff w:val="nothing"/>
      <w:lvlText w:val="(%4). "/>
      <w:lvlJc w:val="left"/>
      <w:pPr>
        <w:ind w:left="0" w:firstLine="0"/>
      </w:pPr>
      <w:rPr>
        <w:rFonts w:ascii="宋体" w:eastAsia="宋体" w:hAnsi="宋体" w:hint="eastAsia"/>
        <w:b/>
        <w:color w:val="auto"/>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37">
    <w:nsid w:val="7C2B486F"/>
    <w:multiLevelType w:val="hybridMultilevel"/>
    <w:tmpl w:val="E58853C4"/>
    <w:lvl w:ilvl="0" w:tplc="F84ABCFC">
      <w:start w:val="1"/>
      <w:numFmt w:val="decimal"/>
      <w:suff w:val="nothing"/>
      <w:lvlText w:val="(%1). "/>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8">
    <w:nsid w:val="7C517E0C"/>
    <w:multiLevelType w:val="hybridMultilevel"/>
    <w:tmpl w:val="DA9C340A"/>
    <w:lvl w:ilvl="0" w:tplc="8C261AB6">
      <w:start w:val="3"/>
      <w:numFmt w:val="decimal"/>
      <w:lvlText w:val="(%1)"/>
      <w:lvlJc w:val="left"/>
      <w:pPr>
        <w:ind w:left="360" w:hanging="360"/>
      </w:pPr>
      <w:rPr>
        <w:rFonts w:ascii="宋体" w:hAnsi="宋体" w:cs="宋体"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nsid w:val="7D07444B"/>
    <w:multiLevelType w:val="multilevel"/>
    <w:tmpl w:val="DC16C7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40">
    <w:nsid w:val="7D1B5BAE"/>
    <w:multiLevelType w:val="hybridMultilevel"/>
    <w:tmpl w:val="BB2C2E24"/>
    <w:lvl w:ilvl="0" w:tplc="7166D99E">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1">
    <w:nsid w:val="7DDF1B1D"/>
    <w:multiLevelType w:val="multilevel"/>
    <w:tmpl w:val="0B3082E4"/>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suff w:val="nothing"/>
      <w:lvlText w:val="(%4). "/>
      <w:lvlJc w:val="left"/>
      <w:pPr>
        <w:ind w:left="0" w:firstLine="0"/>
      </w:pPr>
      <w:rPr>
        <w:rFonts w:ascii="宋体" w:eastAsia="宋体" w:hAnsi="宋体" w:hint="eastAsia"/>
        <w:b/>
        <w:color w:val="auto"/>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42">
    <w:nsid w:val="7E240716"/>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3">
    <w:nsid w:val="7E7E7E18"/>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44">
    <w:nsid w:val="7FCC199E"/>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num w:numId="1">
    <w:abstractNumId w:val="49"/>
  </w:num>
  <w:num w:numId="2">
    <w:abstractNumId w:val="41"/>
  </w:num>
  <w:num w:numId="3">
    <w:abstractNumId w:val="36"/>
  </w:num>
  <w:num w:numId="4">
    <w:abstractNumId w:val="46"/>
  </w:num>
  <w:num w:numId="5">
    <w:abstractNumId w:val="52"/>
  </w:num>
  <w:num w:numId="6">
    <w:abstractNumId w:val="62"/>
  </w:num>
  <w:num w:numId="7">
    <w:abstractNumId w:val="93"/>
  </w:num>
  <w:num w:numId="8">
    <w:abstractNumId w:val="63"/>
  </w:num>
  <w:num w:numId="9">
    <w:abstractNumId w:val="55"/>
  </w:num>
  <w:num w:numId="10">
    <w:abstractNumId w:val="48"/>
  </w:num>
  <w:num w:numId="11">
    <w:abstractNumId w:val="79"/>
  </w:num>
  <w:num w:numId="12">
    <w:abstractNumId w:val="121"/>
  </w:num>
  <w:num w:numId="13">
    <w:abstractNumId w:val="103"/>
  </w:num>
  <w:num w:numId="14">
    <w:abstractNumId w:val="25"/>
  </w:num>
  <w:num w:numId="15">
    <w:abstractNumId w:val="40"/>
  </w:num>
  <w:num w:numId="16">
    <w:abstractNumId w:val="53"/>
  </w:num>
  <w:num w:numId="17">
    <w:abstractNumId w:val="122"/>
  </w:num>
  <w:num w:numId="18">
    <w:abstractNumId w:val="128"/>
  </w:num>
  <w:num w:numId="19">
    <w:abstractNumId w:val="23"/>
  </w:num>
  <w:num w:numId="20">
    <w:abstractNumId w:val="8"/>
  </w:num>
  <w:num w:numId="21">
    <w:abstractNumId w:val="135"/>
  </w:num>
  <w:num w:numId="22">
    <w:abstractNumId w:val="96"/>
  </w:num>
  <w:num w:numId="23">
    <w:abstractNumId w:val="64"/>
  </w:num>
  <w:num w:numId="24">
    <w:abstractNumId w:val="86"/>
  </w:num>
  <w:num w:numId="25">
    <w:abstractNumId w:val="85"/>
  </w:num>
  <w:num w:numId="26">
    <w:abstractNumId w:val="4"/>
  </w:num>
  <w:num w:numId="27">
    <w:abstractNumId w:val="98"/>
  </w:num>
  <w:num w:numId="28">
    <w:abstractNumId w:val="91"/>
  </w:num>
  <w:num w:numId="29">
    <w:abstractNumId w:val="6"/>
  </w:num>
  <w:num w:numId="30">
    <w:abstractNumId w:val="44"/>
  </w:num>
  <w:num w:numId="31">
    <w:abstractNumId w:val="124"/>
  </w:num>
  <w:num w:numId="32">
    <w:abstractNumId w:val="37"/>
  </w:num>
  <w:num w:numId="33">
    <w:abstractNumId w:val="77"/>
  </w:num>
  <w:num w:numId="34">
    <w:abstractNumId w:val="34"/>
  </w:num>
  <w:num w:numId="35">
    <w:abstractNumId w:val="101"/>
  </w:num>
  <w:num w:numId="36">
    <w:abstractNumId w:val="80"/>
  </w:num>
  <w:num w:numId="37">
    <w:abstractNumId w:val="130"/>
  </w:num>
  <w:num w:numId="38">
    <w:abstractNumId w:val="65"/>
  </w:num>
  <w:num w:numId="39">
    <w:abstractNumId w:val="5"/>
  </w:num>
  <w:num w:numId="40">
    <w:abstractNumId w:val="42"/>
  </w:num>
  <w:num w:numId="41">
    <w:abstractNumId w:val="118"/>
  </w:num>
  <w:num w:numId="42">
    <w:abstractNumId w:val="119"/>
  </w:num>
  <w:num w:numId="43">
    <w:abstractNumId w:val="56"/>
  </w:num>
  <w:num w:numId="44">
    <w:abstractNumId w:val="26"/>
  </w:num>
  <w:num w:numId="45">
    <w:abstractNumId w:val="14"/>
  </w:num>
  <w:num w:numId="46">
    <w:abstractNumId w:val="132"/>
  </w:num>
  <w:num w:numId="47">
    <w:abstractNumId w:val="50"/>
  </w:num>
  <w:num w:numId="48">
    <w:abstractNumId w:val="136"/>
  </w:num>
  <w:num w:numId="49">
    <w:abstractNumId w:val="108"/>
  </w:num>
  <w:num w:numId="50">
    <w:abstractNumId w:val="88"/>
  </w:num>
  <w:num w:numId="51">
    <w:abstractNumId w:val="92"/>
  </w:num>
  <w:num w:numId="52">
    <w:abstractNumId w:val="123"/>
  </w:num>
  <w:num w:numId="53">
    <w:abstractNumId w:val="59"/>
  </w:num>
  <w:num w:numId="54">
    <w:abstractNumId w:val="18"/>
  </w:num>
  <w:num w:numId="55">
    <w:abstractNumId w:val="66"/>
  </w:num>
  <w:num w:numId="56">
    <w:abstractNumId w:val="99"/>
  </w:num>
  <w:num w:numId="57">
    <w:abstractNumId w:val="51"/>
  </w:num>
  <w:num w:numId="58">
    <w:abstractNumId w:val="100"/>
  </w:num>
  <w:num w:numId="59">
    <w:abstractNumId w:val="3"/>
  </w:num>
  <w:num w:numId="60">
    <w:abstractNumId w:val="137"/>
  </w:num>
  <w:num w:numId="61">
    <w:abstractNumId w:val="139"/>
  </w:num>
  <w:num w:numId="62">
    <w:abstractNumId w:val="28"/>
  </w:num>
  <w:num w:numId="63">
    <w:abstractNumId w:val="72"/>
  </w:num>
  <w:num w:numId="64">
    <w:abstractNumId w:val="57"/>
  </w:num>
  <w:num w:numId="65">
    <w:abstractNumId w:val="43"/>
  </w:num>
  <w:num w:numId="66">
    <w:abstractNumId w:val="35"/>
  </w:num>
  <w:num w:numId="67">
    <w:abstractNumId w:val="120"/>
  </w:num>
  <w:num w:numId="68">
    <w:abstractNumId w:val="115"/>
  </w:num>
  <w:num w:numId="69">
    <w:abstractNumId w:val="94"/>
  </w:num>
  <w:num w:numId="70">
    <w:abstractNumId w:val="33"/>
  </w:num>
  <w:num w:numId="71">
    <w:abstractNumId w:val="104"/>
  </w:num>
  <w:num w:numId="72">
    <w:abstractNumId w:val="21"/>
  </w:num>
  <w:num w:numId="73">
    <w:abstractNumId w:val="116"/>
  </w:num>
  <w:num w:numId="74">
    <w:abstractNumId w:val="109"/>
  </w:num>
  <w:num w:numId="75">
    <w:abstractNumId w:val="81"/>
  </w:num>
  <w:num w:numId="76">
    <w:abstractNumId w:val="54"/>
  </w:num>
  <w:num w:numId="77">
    <w:abstractNumId w:val="82"/>
  </w:num>
  <w:num w:numId="78">
    <w:abstractNumId w:val="24"/>
  </w:num>
  <w:num w:numId="79">
    <w:abstractNumId w:val="69"/>
  </w:num>
  <w:num w:numId="80">
    <w:abstractNumId w:val="131"/>
  </w:num>
  <w:num w:numId="81">
    <w:abstractNumId w:val="143"/>
  </w:num>
  <w:num w:numId="82">
    <w:abstractNumId w:val="144"/>
  </w:num>
  <w:num w:numId="83">
    <w:abstractNumId w:val="47"/>
  </w:num>
  <w:num w:numId="84">
    <w:abstractNumId w:val="22"/>
  </w:num>
  <w:num w:numId="85">
    <w:abstractNumId w:val="89"/>
  </w:num>
  <w:num w:numId="86">
    <w:abstractNumId w:val="20"/>
  </w:num>
  <w:num w:numId="87">
    <w:abstractNumId w:val="12"/>
  </w:num>
  <w:num w:numId="88">
    <w:abstractNumId w:val="102"/>
  </w:num>
  <w:num w:numId="89">
    <w:abstractNumId w:val="84"/>
  </w:num>
  <w:num w:numId="90">
    <w:abstractNumId w:val="73"/>
  </w:num>
  <w:num w:numId="91">
    <w:abstractNumId w:val="38"/>
  </w:num>
  <w:num w:numId="92">
    <w:abstractNumId w:val="87"/>
  </w:num>
  <w:num w:numId="93">
    <w:abstractNumId w:val="140"/>
  </w:num>
  <w:num w:numId="94">
    <w:abstractNumId w:val="105"/>
  </w:num>
  <w:num w:numId="95">
    <w:abstractNumId w:val="141"/>
  </w:num>
  <w:num w:numId="96">
    <w:abstractNumId w:val="127"/>
  </w:num>
  <w:num w:numId="97">
    <w:abstractNumId w:val="60"/>
  </w:num>
  <w:num w:numId="98">
    <w:abstractNumId w:val="117"/>
  </w:num>
  <w:num w:numId="99">
    <w:abstractNumId w:val="90"/>
  </w:num>
  <w:num w:numId="100">
    <w:abstractNumId w:val="7"/>
  </w:num>
  <w:num w:numId="101">
    <w:abstractNumId w:val="13"/>
  </w:num>
  <w:num w:numId="102">
    <w:abstractNumId w:val="15"/>
  </w:num>
  <w:num w:numId="103">
    <w:abstractNumId w:val="129"/>
  </w:num>
  <w:num w:numId="104">
    <w:abstractNumId w:val="142"/>
  </w:num>
  <w:num w:numId="105">
    <w:abstractNumId w:val="70"/>
  </w:num>
  <w:num w:numId="106">
    <w:abstractNumId w:val="95"/>
  </w:num>
  <w:num w:numId="107">
    <w:abstractNumId w:val="106"/>
  </w:num>
  <w:num w:numId="108">
    <w:abstractNumId w:val="107"/>
  </w:num>
  <w:num w:numId="109">
    <w:abstractNumId w:val="32"/>
  </w:num>
  <w:num w:numId="110">
    <w:abstractNumId w:val="68"/>
  </w:num>
  <w:num w:numId="111">
    <w:abstractNumId w:val="133"/>
  </w:num>
  <w:num w:numId="112">
    <w:abstractNumId w:val="112"/>
  </w:num>
  <w:num w:numId="113">
    <w:abstractNumId w:val="97"/>
  </w:num>
  <w:num w:numId="114">
    <w:abstractNumId w:val="110"/>
  </w:num>
  <w:num w:numId="115">
    <w:abstractNumId w:val="78"/>
  </w:num>
  <w:num w:numId="116">
    <w:abstractNumId w:val="11"/>
  </w:num>
  <w:num w:numId="117">
    <w:abstractNumId w:val="27"/>
  </w:num>
  <w:num w:numId="118">
    <w:abstractNumId w:val="39"/>
  </w:num>
  <w:num w:numId="119">
    <w:abstractNumId w:val="61"/>
  </w:num>
  <w:num w:numId="120">
    <w:abstractNumId w:val="111"/>
  </w:num>
  <w:num w:numId="121">
    <w:abstractNumId w:val="74"/>
  </w:num>
  <w:num w:numId="122">
    <w:abstractNumId w:val="126"/>
  </w:num>
  <w:num w:numId="123">
    <w:abstractNumId w:val="58"/>
  </w:num>
  <w:num w:numId="124">
    <w:abstractNumId w:val="67"/>
  </w:num>
  <w:num w:numId="125">
    <w:abstractNumId w:val="9"/>
  </w:num>
  <w:num w:numId="126">
    <w:abstractNumId w:val="134"/>
  </w:num>
  <w:num w:numId="127">
    <w:abstractNumId w:val="113"/>
  </w:num>
  <w:num w:numId="128">
    <w:abstractNumId w:val="45"/>
  </w:num>
  <w:num w:numId="129">
    <w:abstractNumId w:val="30"/>
  </w:num>
  <w:num w:numId="130">
    <w:abstractNumId w:val="31"/>
  </w:num>
  <w:num w:numId="131">
    <w:abstractNumId w:val="125"/>
  </w:num>
  <w:num w:numId="132">
    <w:abstractNumId w:val="75"/>
  </w:num>
  <w:num w:numId="133">
    <w:abstractNumId w:val="17"/>
  </w:num>
  <w:num w:numId="134">
    <w:abstractNumId w:val="138"/>
  </w:num>
  <w:num w:numId="135">
    <w:abstractNumId w:val="16"/>
  </w:num>
  <w:num w:numId="136">
    <w:abstractNumId w:val="10"/>
  </w:num>
  <w:num w:numId="137">
    <w:abstractNumId w:val="2"/>
  </w:num>
  <w:num w:numId="138">
    <w:abstractNumId w:val="0"/>
  </w:num>
  <w:num w:numId="139">
    <w:abstractNumId w:val="83"/>
  </w:num>
  <w:num w:numId="140">
    <w:abstractNumId w:val="71"/>
  </w:num>
  <w:num w:numId="141">
    <w:abstractNumId w:val="19"/>
  </w:num>
  <w:num w:numId="142">
    <w:abstractNumId w:val="1"/>
  </w:num>
  <w:num w:numId="143">
    <w:abstractNumId w:val="76"/>
  </w:num>
  <w:num w:numId="144">
    <w:abstractNumId w:val="29"/>
  </w:num>
  <w:num w:numId="145">
    <w:abstractNumId w:val="114"/>
  </w:num>
  <w:numIdMacAtCleanup w:val="1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bordersDoNotSurroundHeader/>
  <w:bordersDoNotSurroundFooter/>
  <w:hideSpellingErrors/>
  <w:proofState w:spelling="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Disclosure_Version" w:val="true"/>
  </w:docVars>
  <w:rsids>
    <w:rsidRoot w:val="00DD256F"/>
    <w:rsid w:val="000005A6"/>
    <w:rsid w:val="00000ADC"/>
    <w:rsid w:val="0000102D"/>
    <w:rsid w:val="00001469"/>
    <w:rsid w:val="000014FF"/>
    <w:rsid w:val="000018A3"/>
    <w:rsid w:val="000018FD"/>
    <w:rsid w:val="00001B33"/>
    <w:rsid w:val="00001CEB"/>
    <w:rsid w:val="00001E8C"/>
    <w:rsid w:val="0000230E"/>
    <w:rsid w:val="0000260F"/>
    <w:rsid w:val="000028BC"/>
    <w:rsid w:val="00002973"/>
    <w:rsid w:val="00002D77"/>
    <w:rsid w:val="000033A6"/>
    <w:rsid w:val="000033B3"/>
    <w:rsid w:val="00003442"/>
    <w:rsid w:val="0000372D"/>
    <w:rsid w:val="000037E4"/>
    <w:rsid w:val="00003C39"/>
    <w:rsid w:val="000048B5"/>
    <w:rsid w:val="00004A92"/>
    <w:rsid w:val="00004ADF"/>
    <w:rsid w:val="00004BD6"/>
    <w:rsid w:val="00004D9D"/>
    <w:rsid w:val="00004DB4"/>
    <w:rsid w:val="00004E58"/>
    <w:rsid w:val="00004F5B"/>
    <w:rsid w:val="00005071"/>
    <w:rsid w:val="00005409"/>
    <w:rsid w:val="0000568D"/>
    <w:rsid w:val="000061CF"/>
    <w:rsid w:val="000064FC"/>
    <w:rsid w:val="00006A0A"/>
    <w:rsid w:val="00006AED"/>
    <w:rsid w:val="00007207"/>
    <w:rsid w:val="000072B9"/>
    <w:rsid w:val="00007BBD"/>
    <w:rsid w:val="00010147"/>
    <w:rsid w:val="0001033D"/>
    <w:rsid w:val="0001046B"/>
    <w:rsid w:val="000109C4"/>
    <w:rsid w:val="00010A47"/>
    <w:rsid w:val="00010B7F"/>
    <w:rsid w:val="00010E18"/>
    <w:rsid w:val="00010EF1"/>
    <w:rsid w:val="00011A25"/>
    <w:rsid w:val="000121BF"/>
    <w:rsid w:val="000122EE"/>
    <w:rsid w:val="00012A60"/>
    <w:rsid w:val="00012AFC"/>
    <w:rsid w:val="000130AF"/>
    <w:rsid w:val="000136FC"/>
    <w:rsid w:val="000139E7"/>
    <w:rsid w:val="00013A9F"/>
    <w:rsid w:val="00013AF8"/>
    <w:rsid w:val="00013FF0"/>
    <w:rsid w:val="0001405F"/>
    <w:rsid w:val="000140AF"/>
    <w:rsid w:val="00014263"/>
    <w:rsid w:val="00014691"/>
    <w:rsid w:val="00014850"/>
    <w:rsid w:val="0001497A"/>
    <w:rsid w:val="00014DF5"/>
    <w:rsid w:val="000155A0"/>
    <w:rsid w:val="000157AA"/>
    <w:rsid w:val="000158A1"/>
    <w:rsid w:val="00015DD2"/>
    <w:rsid w:val="00015DF7"/>
    <w:rsid w:val="00016321"/>
    <w:rsid w:val="0001643B"/>
    <w:rsid w:val="00016B1C"/>
    <w:rsid w:val="00016D21"/>
    <w:rsid w:val="00016F6C"/>
    <w:rsid w:val="00016FD1"/>
    <w:rsid w:val="00017658"/>
    <w:rsid w:val="000176B6"/>
    <w:rsid w:val="00017D54"/>
    <w:rsid w:val="00020074"/>
    <w:rsid w:val="000203A5"/>
    <w:rsid w:val="00020728"/>
    <w:rsid w:val="00020766"/>
    <w:rsid w:val="00020C59"/>
    <w:rsid w:val="00020D46"/>
    <w:rsid w:val="00020DB9"/>
    <w:rsid w:val="00020F79"/>
    <w:rsid w:val="00021047"/>
    <w:rsid w:val="0002110B"/>
    <w:rsid w:val="00021213"/>
    <w:rsid w:val="00021700"/>
    <w:rsid w:val="00021782"/>
    <w:rsid w:val="000217BF"/>
    <w:rsid w:val="00021A0D"/>
    <w:rsid w:val="00021A0E"/>
    <w:rsid w:val="00021A19"/>
    <w:rsid w:val="00022465"/>
    <w:rsid w:val="000224B7"/>
    <w:rsid w:val="000225C5"/>
    <w:rsid w:val="00022805"/>
    <w:rsid w:val="0002292A"/>
    <w:rsid w:val="00022A86"/>
    <w:rsid w:val="00022EDA"/>
    <w:rsid w:val="00022F20"/>
    <w:rsid w:val="00022F95"/>
    <w:rsid w:val="0002301E"/>
    <w:rsid w:val="000231BD"/>
    <w:rsid w:val="000231DC"/>
    <w:rsid w:val="00023BEB"/>
    <w:rsid w:val="00023C73"/>
    <w:rsid w:val="00024562"/>
    <w:rsid w:val="00024694"/>
    <w:rsid w:val="0002476D"/>
    <w:rsid w:val="00024820"/>
    <w:rsid w:val="00024BEF"/>
    <w:rsid w:val="00025255"/>
    <w:rsid w:val="00025A7B"/>
    <w:rsid w:val="00025DD8"/>
    <w:rsid w:val="00025E29"/>
    <w:rsid w:val="00025EAF"/>
    <w:rsid w:val="0002612F"/>
    <w:rsid w:val="000264F8"/>
    <w:rsid w:val="00026939"/>
    <w:rsid w:val="00026A17"/>
    <w:rsid w:val="00027208"/>
    <w:rsid w:val="00027348"/>
    <w:rsid w:val="000275C9"/>
    <w:rsid w:val="000279AA"/>
    <w:rsid w:val="0003068A"/>
    <w:rsid w:val="000307AE"/>
    <w:rsid w:val="00030D13"/>
    <w:rsid w:val="00031700"/>
    <w:rsid w:val="000317A1"/>
    <w:rsid w:val="000317CB"/>
    <w:rsid w:val="000317E9"/>
    <w:rsid w:val="0003186E"/>
    <w:rsid w:val="00031B72"/>
    <w:rsid w:val="00031BD1"/>
    <w:rsid w:val="0003201F"/>
    <w:rsid w:val="0003243D"/>
    <w:rsid w:val="00032450"/>
    <w:rsid w:val="000325A2"/>
    <w:rsid w:val="0003260A"/>
    <w:rsid w:val="000326A4"/>
    <w:rsid w:val="00032BA9"/>
    <w:rsid w:val="00033956"/>
    <w:rsid w:val="00033EBB"/>
    <w:rsid w:val="0003408C"/>
    <w:rsid w:val="000343F2"/>
    <w:rsid w:val="0003468B"/>
    <w:rsid w:val="000348E9"/>
    <w:rsid w:val="00034C0D"/>
    <w:rsid w:val="00035352"/>
    <w:rsid w:val="00035464"/>
    <w:rsid w:val="00035EB9"/>
    <w:rsid w:val="0003626E"/>
    <w:rsid w:val="00036357"/>
    <w:rsid w:val="00036813"/>
    <w:rsid w:val="000369A7"/>
    <w:rsid w:val="000369DC"/>
    <w:rsid w:val="00036C1D"/>
    <w:rsid w:val="00036CE0"/>
    <w:rsid w:val="0003717B"/>
    <w:rsid w:val="000379B9"/>
    <w:rsid w:val="00037DB8"/>
    <w:rsid w:val="000407A5"/>
    <w:rsid w:val="000408DA"/>
    <w:rsid w:val="000411AF"/>
    <w:rsid w:val="0004146D"/>
    <w:rsid w:val="00041525"/>
    <w:rsid w:val="00041800"/>
    <w:rsid w:val="00041946"/>
    <w:rsid w:val="00041AC3"/>
    <w:rsid w:val="00042574"/>
    <w:rsid w:val="0004259D"/>
    <w:rsid w:val="000429ED"/>
    <w:rsid w:val="00043335"/>
    <w:rsid w:val="000436FE"/>
    <w:rsid w:val="000438A3"/>
    <w:rsid w:val="00043C00"/>
    <w:rsid w:val="00043E96"/>
    <w:rsid w:val="00043EED"/>
    <w:rsid w:val="00043EEE"/>
    <w:rsid w:val="00044368"/>
    <w:rsid w:val="000444AA"/>
    <w:rsid w:val="000444F4"/>
    <w:rsid w:val="00044579"/>
    <w:rsid w:val="000446C9"/>
    <w:rsid w:val="00044D1E"/>
    <w:rsid w:val="00044DDC"/>
    <w:rsid w:val="00044E3B"/>
    <w:rsid w:val="00044ECC"/>
    <w:rsid w:val="00044FE0"/>
    <w:rsid w:val="000451ED"/>
    <w:rsid w:val="00045D1C"/>
    <w:rsid w:val="00045DCB"/>
    <w:rsid w:val="00045F39"/>
    <w:rsid w:val="00046485"/>
    <w:rsid w:val="0004659D"/>
    <w:rsid w:val="000466E6"/>
    <w:rsid w:val="00046849"/>
    <w:rsid w:val="000468DA"/>
    <w:rsid w:val="00046B18"/>
    <w:rsid w:val="00046BF9"/>
    <w:rsid w:val="00046C4A"/>
    <w:rsid w:val="00046CA9"/>
    <w:rsid w:val="00046CF9"/>
    <w:rsid w:val="00046DD2"/>
    <w:rsid w:val="00046E32"/>
    <w:rsid w:val="000474F7"/>
    <w:rsid w:val="00047621"/>
    <w:rsid w:val="00047708"/>
    <w:rsid w:val="00050004"/>
    <w:rsid w:val="000500C7"/>
    <w:rsid w:val="000500E7"/>
    <w:rsid w:val="000501F1"/>
    <w:rsid w:val="00050236"/>
    <w:rsid w:val="00050420"/>
    <w:rsid w:val="00050C12"/>
    <w:rsid w:val="00050DFE"/>
    <w:rsid w:val="000510E3"/>
    <w:rsid w:val="0005154F"/>
    <w:rsid w:val="000515B0"/>
    <w:rsid w:val="000517E2"/>
    <w:rsid w:val="00051BE5"/>
    <w:rsid w:val="000524EF"/>
    <w:rsid w:val="00052B89"/>
    <w:rsid w:val="00052D38"/>
    <w:rsid w:val="00053743"/>
    <w:rsid w:val="000539E4"/>
    <w:rsid w:val="00053E2E"/>
    <w:rsid w:val="00053F3F"/>
    <w:rsid w:val="00054612"/>
    <w:rsid w:val="00054860"/>
    <w:rsid w:val="0005486C"/>
    <w:rsid w:val="00054D34"/>
    <w:rsid w:val="00054FFC"/>
    <w:rsid w:val="00055089"/>
    <w:rsid w:val="00055307"/>
    <w:rsid w:val="00055534"/>
    <w:rsid w:val="00055816"/>
    <w:rsid w:val="00055C3F"/>
    <w:rsid w:val="000561D7"/>
    <w:rsid w:val="000562C7"/>
    <w:rsid w:val="000569CC"/>
    <w:rsid w:val="00056AA5"/>
    <w:rsid w:val="00057032"/>
    <w:rsid w:val="000578C2"/>
    <w:rsid w:val="00057AD2"/>
    <w:rsid w:val="0006013C"/>
    <w:rsid w:val="00060342"/>
    <w:rsid w:val="000604A6"/>
    <w:rsid w:val="0006066E"/>
    <w:rsid w:val="00060C85"/>
    <w:rsid w:val="00061838"/>
    <w:rsid w:val="00061B4A"/>
    <w:rsid w:val="00061B54"/>
    <w:rsid w:val="00061DCB"/>
    <w:rsid w:val="00062017"/>
    <w:rsid w:val="0006271B"/>
    <w:rsid w:val="00062874"/>
    <w:rsid w:val="0006295C"/>
    <w:rsid w:val="00062AA3"/>
    <w:rsid w:val="00062D8E"/>
    <w:rsid w:val="0006325D"/>
    <w:rsid w:val="00063342"/>
    <w:rsid w:val="000636DE"/>
    <w:rsid w:val="00063893"/>
    <w:rsid w:val="000639D3"/>
    <w:rsid w:val="00063A04"/>
    <w:rsid w:val="00063BD0"/>
    <w:rsid w:val="00063EE6"/>
    <w:rsid w:val="0006463F"/>
    <w:rsid w:val="00064ADF"/>
    <w:rsid w:val="0006504C"/>
    <w:rsid w:val="0006528F"/>
    <w:rsid w:val="00065914"/>
    <w:rsid w:val="00065B7B"/>
    <w:rsid w:val="00065D51"/>
    <w:rsid w:val="00065F08"/>
    <w:rsid w:val="000665B9"/>
    <w:rsid w:val="00066688"/>
    <w:rsid w:val="00066AAE"/>
    <w:rsid w:val="00066B5B"/>
    <w:rsid w:val="00066C7F"/>
    <w:rsid w:val="00066F8C"/>
    <w:rsid w:val="0006720A"/>
    <w:rsid w:val="0006751E"/>
    <w:rsid w:val="00067AEB"/>
    <w:rsid w:val="00067BBB"/>
    <w:rsid w:val="000700F7"/>
    <w:rsid w:val="00070247"/>
    <w:rsid w:val="000704EE"/>
    <w:rsid w:val="000709B4"/>
    <w:rsid w:val="00070D92"/>
    <w:rsid w:val="00070E4B"/>
    <w:rsid w:val="00070E6F"/>
    <w:rsid w:val="00070E8D"/>
    <w:rsid w:val="00071243"/>
    <w:rsid w:val="000713CD"/>
    <w:rsid w:val="0007147E"/>
    <w:rsid w:val="000715AC"/>
    <w:rsid w:val="00072075"/>
    <w:rsid w:val="00072335"/>
    <w:rsid w:val="00072361"/>
    <w:rsid w:val="0007246C"/>
    <w:rsid w:val="000725CF"/>
    <w:rsid w:val="000729B8"/>
    <w:rsid w:val="00072D7F"/>
    <w:rsid w:val="0007305C"/>
    <w:rsid w:val="000730ED"/>
    <w:rsid w:val="000732D5"/>
    <w:rsid w:val="00073321"/>
    <w:rsid w:val="000735AF"/>
    <w:rsid w:val="00073BC2"/>
    <w:rsid w:val="000745DB"/>
    <w:rsid w:val="000746DB"/>
    <w:rsid w:val="00074C4E"/>
    <w:rsid w:val="00075175"/>
    <w:rsid w:val="000751AF"/>
    <w:rsid w:val="000752D2"/>
    <w:rsid w:val="00075C45"/>
    <w:rsid w:val="00075C48"/>
    <w:rsid w:val="00075E3A"/>
    <w:rsid w:val="00075E54"/>
    <w:rsid w:val="00075F13"/>
    <w:rsid w:val="00075F70"/>
    <w:rsid w:val="00076117"/>
    <w:rsid w:val="000764FD"/>
    <w:rsid w:val="00076669"/>
    <w:rsid w:val="00076703"/>
    <w:rsid w:val="0007679D"/>
    <w:rsid w:val="0007681F"/>
    <w:rsid w:val="00076ECB"/>
    <w:rsid w:val="00077397"/>
    <w:rsid w:val="000778E2"/>
    <w:rsid w:val="00077CD3"/>
    <w:rsid w:val="00077EF6"/>
    <w:rsid w:val="0008000C"/>
    <w:rsid w:val="000801CC"/>
    <w:rsid w:val="00080509"/>
    <w:rsid w:val="000808F7"/>
    <w:rsid w:val="0008095D"/>
    <w:rsid w:val="000809EA"/>
    <w:rsid w:val="00080A0F"/>
    <w:rsid w:val="00080E49"/>
    <w:rsid w:val="0008140D"/>
    <w:rsid w:val="000816EB"/>
    <w:rsid w:val="00081B15"/>
    <w:rsid w:val="00081D4A"/>
    <w:rsid w:val="0008231D"/>
    <w:rsid w:val="00082700"/>
    <w:rsid w:val="00082898"/>
    <w:rsid w:val="00082A1A"/>
    <w:rsid w:val="000830E6"/>
    <w:rsid w:val="0008328D"/>
    <w:rsid w:val="0008332B"/>
    <w:rsid w:val="0008352F"/>
    <w:rsid w:val="000837F0"/>
    <w:rsid w:val="000839C3"/>
    <w:rsid w:val="00083C0A"/>
    <w:rsid w:val="00083C1E"/>
    <w:rsid w:val="00084008"/>
    <w:rsid w:val="00084029"/>
    <w:rsid w:val="000841ED"/>
    <w:rsid w:val="00084531"/>
    <w:rsid w:val="00084634"/>
    <w:rsid w:val="00084A03"/>
    <w:rsid w:val="00084E9F"/>
    <w:rsid w:val="0008591C"/>
    <w:rsid w:val="00085AC7"/>
    <w:rsid w:val="00085C6B"/>
    <w:rsid w:val="00085E1A"/>
    <w:rsid w:val="00085E9B"/>
    <w:rsid w:val="000860E9"/>
    <w:rsid w:val="000862AC"/>
    <w:rsid w:val="00086615"/>
    <w:rsid w:val="000866A2"/>
    <w:rsid w:val="000868AD"/>
    <w:rsid w:val="00086A28"/>
    <w:rsid w:val="00086AC5"/>
    <w:rsid w:val="000871F7"/>
    <w:rsid w:val="000872AC"/>
    <w:rsid w:val="000877EF"/>
    <w:rsid w:val="000878F1"/>
    <w:rsid w:val="00087B6F"/>
    <w:rsid w:val="00087FC9"/>
    <w:rsid w:val="0009036A"/>
    <w:rsid w:val="00090454"/>
    <w:rsid w:val="00090ADC"/>
    <w:rsid w:val="00090B0F"/>
    <w:rsid w:val="00090C35"/>
    <w:rsid w:val="00090D7E"/>
    <w:rsid w:val="00090EE0"/>
    <w:rsid w:val="000913B6"/>
    <w:rsid w:val="0009141B"/>
    <w:rsid w:val="000914B8"/>
    <w:rsid w:val="00091702"/>
    <w:rsid w:val="00091724"/>
    <w:rsid w:val="00091743"/>
    <w:rsid w:val="000918CD"/>
    <w:rsid w:val="00091930"/>
    <w:rsid w:val="0009231C"/>
    <w:rsid w:val="0009268B"/>
    <w:rsid w:val="000927B1"/>
    <w:rsid w:val="00092823"/>
    <w:rsid w:val="00092C1E"/>
    <w:rsid w:val="00092F5A"/>
    <w:rsid w:val="00092FCE"/>
    <w:rsid w:val="000930A1"/>
    <w:rsid w:val="0009325E"/>
    <w:rsid w:val="000932D6"/>
    <w:rsid w:val="000934F7"/>
    <w:rsid w:val="000938DF"/>
    <w:rsid w:val="00094040"/>
    <w:rsid w:val="0009494E"/>
    <w:rsid w:val="00094A37"/>
    <w:rsid w:val="00094A55"/>
    <w:rsid w:val="00094CB6"/>
    <w:rsid w:val="00094FB5"/>
    <w:rsid w:val="00095136"/>
    <w:rsid w:val="000951D6"/>
    <w:rsid w:val="00095382"/>
    <w:rsid w:val="00095388"/>
    <w:rsid w:val="000955B9"/>
    <w:rsid w:val="00095A36"/>
    <w:rsid w:val="00095CD6"/>
    <w:rsid w:val="000960F5"/>
    <w:rsid w:val="00096746"/>
    <w:rsid w:val="00096E12"/>
    <w:rsid w:val="00097097"/>
    <w:rsid w:val="000974B2"/>
    <w:rsid w:val="000975B1"/>
    <w:rsid w:val="00097610"/>
    <w:rsid w:val="000976C1"/>
    <w:rsid w:val="00097AF1"/>
    <w:rsid w:val="00097B67"/>
    <w:rsid w:val="00097C70"/>
    <w:rsid w:val="00097E3C"/>
    <w:rsid w:val="00097F32"/>
    <w:rsid w:val="000A044E"/>
    <w:rsid w:val="000A04A2"/>
    <w:rsid w:val="000A0989"/>
    <w:rsid w:val="000A0E0D"/>
    <w:rsid w:val="000A1026"/>
    <w:rsid w:val="000A1547"/>
    <w:rsid w:val="000A1589"/>
    <w:rsid w:val="000A18C8"/>
    <w:rsid w:val="000A199C"/>
    <w:rsid w:val="000A1CBE"/>
    <w:rsid w:val="000A1DCF"/>
    <w:rsid w:val="000A1FDC"/>
    <w:rsid w:val="000A2F39"/>
    <w:rsid w:val="000A3645"/>
    <w:rsid w:val="000A36BE"/>
    <w:rsid w:val="000A4309"/>
    <w:rsid w:val="000A482A"/>
    <w:rsid w:val="000A4994"/>
    <w:rsid w:val="000A4AE5"/>
    <w:rsid w:val="000A4C9E"/>
    <w:rsid w:val="000A5126"/>
    <w:rsid w:val="000A517F"/>
    <w:rsid w:val="000A5188"/>
    <w:rsid w:val="000A5A58"/>
    <w:rsid w:val="000A6126"/>
    <w:rsid w:val="000A6410"/>
    <w:rsid w:val="000A67B6"/>
    <w:rsid w:val="000A6A70"/>
    <w:rsid w:val="000A6D3A"/>
    <w:rsid w:val="000A6F48"/>
    <w:rsid w:val="000A700E"/>
    <w:rsid w:val="000A7216"/>
    <w:rsid w:val="000A74D2"/>
    <w:rsid w:val="000A750C"/>
    <w:rsid w:val="000A78D8"/>
    <w:rsid w:val="000A79CF"/>
    <w:rsid w:val="000B024A"/>
    <w:rsid w:val="000B027E"/>
    <w:rsid w:val="000B0362"/>
    <w:rsid w:val="000B0469"/>
    <w:rsid w:val="000B06FC"/>
    <w:rsid w:val="000B072D"/>
    <w:rsid w:val="000B0ACA"/>
    <w:rsid w:val="000B0EE6"/>
    <w:rsid w:val="000B1683"/>
    <w:rsid w:val="000B19AD"/>
    <w:rsid w:val="000B1B10"/>
    <w:rsid w:val="000B1CD7"/>
    <w:rsid w:val="000B1DB0"/>
    <w:rsid w:val="000B1DB7"/>
    <w:rsid w:val="000B1EBA"/>
    <w:rsid w:val="000B2333"/>
    <w:rsid w:val="000B23C8"/>
    <w:rsid w:val="000B28AE"/>
    <w:rsid w:val="000B28F3"/>
    <w:rsid w:val="000B31E0"/>
    <w:rsid w:val="000B3351"/>
    <w:rsid w:val="000B3557"/>
    <w:rsid w:val="000B40B2"/>
    <w:rsid w:val="000B48F7"/>
    <w:rsid w:val="000B4A82"/>
    <w:rsid w:val="000B4BDA"/>
    <w:rsid w:val="000B4FF4"/>
    <w:rsid w:val="000B5098"/>
    <w:rsid w:val="000B534A"/>
    <w:rsid w:val="000B5590"/>
    <w:rsid w:val="000B568F"/>
    <w:rsid w:val="000B5992"/>
    <w:rsid w:val="000B5B47"/>
    <w:rsid w:val="000B5D5E"/>
    <w:rsid w:val="000B63D8"/>
    <w:rsid w:val="000B6AEA"/>
    <w:rsid w:val="000B6B2E"/>
    <w:rsid w:val="000B6BC7"/>
    <w:rsid w:val="000B6C66"/>
    <w:rsid w:val="000B6E84"/>
    <w:rsid w:val="000B717E"/>
    <w:rsid w:val="000B799A"/>
    <w:rsid w:val="000C0519"/>
    <w:rsid w:val="000C0671"/>
    <w:rsid w:val="000C08D1"/>
    <w:rsid w:val="000C0A5A"/>
    <w:rsid w:val="000C0D45"/>
    <w:rsid w:val="000C0D7B"/>
    <w:rsid w:val="000C131F"/>
    <w:rsid w:val="000C1CEC"/>
    <w:rsid w:val="000C1E2D"/>
    <w:rsid w:val="000C203B"/>
    <w:rsid w:val="000C2197"/>
    <w:rsid w:val="000C2337"/>
    <w:rsid w:val="000C25F5"/>
    <w:rsid w:val="000C26F5"/>
    <w:rsid w:val="000C28F2"/>
    <w:rsid w:val="000C2C2E"/>
    <w:rsid w:val="000C2C7F"/>
    <w:rsid w:val="000C3232"/>
    <w:rsid w:val="000C34C1"/>
    <w:rsid w:val="000C37A8"/>
    <w:rsid w:val="000C3957"/>
    <w:rsid w:val="000C3A06"/>
    <w:rsid w:val="000C3D52"/>
    <w:rsid w:val="000C40B3"/>
    <w:rsid w:val="000C4768"/>
    <w:rsid w:val="000C4B1F"/>
    <w:rsid w:val="000C4C03"/>
    <w:rsid w:val="000C5029"/>
    <w:rsid w:val="000C51AC"/>
    <w:rsid w:val="000C52A2"/>
    <w:rsid w:val="000C5A4D"/>
    <w:rsid w:val="000C5B58"/>
    <w:rsid w:val="000C5B78"/>
    <w:rsid w:val="000C60FC"/>
    <w:rsid w:val="000C63C4"/>
    <w:rsid w:val="000C6560"/>
    <w:rsid w:val="000C6584"/>
    <w:rsid w:val="000C698C"/>
    <w:rsid w:val="000C6A05"/>
    <w:rsid w:val="000C6B26"/>
    <w:rsid w:val="000C6CF9"/>
    <w:rsid w:val="000C6DAE"/>
    <w:rsid w:val="000C7371"/>
    <w:rsid w:val="000C73B9"/>
    <w:rsid w:val="000C74D4"/>
    <w:rsid w:val="000C768A"/>
    <w:rsid w:val="000C7889"/>
    <w:rsid w:val="000C7AA9"/>
    <w:rsid w:val="000C7C71"/>
    <w:rsid w:val="000C7D9C"/>
    <w:rsid w:val="000C7DF8"/>
    <w:rsid w:val="000C7F8B"/>
    <w:rsid w:val="000C7FA3"/>
    <w:rsid w:val="000D0271"/>
    <w:rsid w:val="000D057C"/>
    <w:rsid w:val="000D072A"/>
    <w:rsid w:val="000D0BE9"/>
    <w:rsid w:val="000D0E23"/>
    <w:rsid w:val="000D1028"/>
    <w:rsid w:val="000D136D"/>
    <w:rsid w:val="000D14E3"/>
    <w:rsid w:val="000D15CB"/>
    <w:rsid w:val="000D1BE4"/>
    <w:rsid w:val="000D26CD"/>
    <w:rsid w:val="000D28CF"/>
    <w:rsid w:val="000D2B20"/>
    <w:rsid w:val="000D2C5E"/>
    <w:rsid w:val="000D2D1C"/>
    <w:rsid w:val="000D2E18"/>
    <w:rsid w:val="000D2F52"/>
    <w:rsid w:val="000D333A"/>
    <w:rsid w:val="000D3B03"/>
    <w:rsid w:val="000D3B07"/>
    <w:rsid w:val="000D3BE8"/>
    <w:rsid w:val="000D3DED"/>
    <w:rsid w:val="000D426A"/>
    <w:rsid w:val="000D4559"/>
    <w:rsid w:val="000D47EE"/>
    <w:rsid w:val="000D482D"/>
    <w:rsid w:val="000D49EB"/>
    <w:rsid w:val="000D4D41"/>
    <w:rsid w:val="000D4DFD"/>
    <w:rsid w:val="000D4E12"/>
    <w:rsid w:val="000D50A0"/>
    <w:rsid w:val="000D5454"/>
    <w:rsid w:val="000D5A34"/>
    <w:rsid w:val="000D5C69"/>
    <w:rsid w:val="000D5D3B"/>
    <w:rsid w:val="000D5D86"/>
    <w:rsid w:val="000D5DC0"/>
    <w:rsid w:val="000D61FD"/>
    <w:rsid w:val="000D642E"/>
    <w:rsid w:val="000D6A9B"/>
    <w:rsid w:val="000D6BCB"/>
    <w:rsid w:val="000D6D8F"/>
    <w:rsid w:val="000D7213"/>
    <w:rsid w:val="000D7307"/>
    <w:rsid w:val="000D73A9"/>
    <w:rsid w:val="000D7559"/>
    <w:rsid w:val="000D7617"/>
    <w:rsid w:val="000D77D1"/>
    <w:rsid w:val="000D7ABF"/>
    <w:rsid w:val="000D7B5F"/>
    <w:rsid w:val="000D7CF9"/>
    <w:rsid w:val="000E0052"/>
    <w:rsid w:val="000E01A1"/>
    <w:rsid w:val="000E0C83"/>
    <w:rsid w:val="000E0F10"/>
    <w:rsid w:val="000E1521"/>
    <w:rsid w:val="000E15A7"/>
    <w:rsid w:val="000E165C"/>
    <w:rsid w:val="000E17B3"/>
    <w:rsid w:val="000E17C3"/>
    <w:rsid w:val="000E186D"/>
    <w:rsid w:val="000E18FC"/>
    <w:rsid w:val="000E1975"/>
    <w:rsid w:val="000E1B4F"/>
    <w:rsid w:val="000E1E69"/>
    <w:rsid w:val="000E2134"/>
    <w:rsid w:val="000E21DB"/>
    <w:rsid w:val="000E2265"/>
    <w:rsid w:val="000E22E0"/>
    <w:rsid w:val="000E2820"/>
    <w:rsid w:val="000E2BE4"/>
    <w:rsid w:val="000E2FD1"/>
    <w:rsid w:val="000E34CD"/>
    <w:rsid w:val="000E35F2"/>
    <w:rsid w:val="000E3BB8"/>
    <w:rsid w:val="000E3D2D"/>
    <w:rsid w:val="000E41A3"/>
    <w:rsid w:val="000E4352"/>
    <w:rsid w:val="000E4F17"/>
    <w:rsid w:val="000E4F1A"/>
    <w:rsid w:val="000E5115"/>
    <w:rsid w:val="000E518E"/>
    <w:rsid w:val="000E51C0"/>
    <w:rsid w:val="000E5535"/>
    <w:rsid w:val="000E567C"/>
    <w:rsid w:val="000E56D0"/>
    <w:rsid w:val="000E5B46"/>
    <w:rsid w:val="000E63DB"/>
    <w:rsid w:val="000E6763"/>
    <w:rsid w:val="000E6975"/>
    <w:rsid w:val="000E6977"/>
    <w:rsid w:val="000E6B32"/>
    <w:rsid w:val="000E6C67"/>
    <w:rsid w:val="000E6CD7"/>
    <w:rsid w:val="000E6F8A"/>
    <w:rsid w:val="000E70DA"/>
    <w:rsid w:val="000E7158"/>
    <w:rsid w:val="000E7291"/>
    <w:rsid w:val="000E7A93"/>
    <w:rsid w:val="000E7DC4"/>
    <w:rsid w:val="000E7F24"/>
    <w:rsid w:val="000E7FCD"/>
    <w:rsid w:val="000F01BF"/>
    <w:rsid w:val="000F030C"/>
    <w:rsid w:val="000F0456"/>
    <w:rsid w:val="000F04EC"/>
    <w:rsid w:val="000F0542"/>
    <w:rsid w:val="000F087F"/>
    <w:rsid w:val="000F0A16"/>
    <w:rsid w:val="000F0CF0"/>
    <w:rsid w:val="000F1117"/>
    <w:rsid w:val="000F192B"/>
    <w:rsid w:val="000F1A17"/>
    <w:rsid w:val="000F2055"/>
    <w:rsid w:val="000F2839"/>
    <w:rsid w:val="000F2990"/>
    <w:rsid w:val="000F2A73"/>
    <w:rsid w:val="000F2EC9"/>
    <w:rsid w:val="000F2F56"/>
    <w:rsid w:val="000F3016"/>
    <w:rsid w:val="000F3044"/>
    <w:rsid w:val="000F3234"/>
    <w:rsid w:val="000F33A9"/>
    <w:rsid w:val="000F3A4A"/>
    <w:rsid w:val="000F3D3A"/>
    <w:rsid w:val="000F40E8"/>
    <w:rsid w:val="000F4214"/>
    <w:rsid w:val="000F42F3"/>
    <w:rsid w:val="000F438A"/>
    <w:rsid w:val="000F460F"/>
    <w:rsid w:val="000F49E8"/>
    <w:rsid w:val="000F4C78"/>
    <w:rsid w:val="000F509F"/>
    <w:rsid w:val="000F52DA"/>
    <w:rsid w:val="000F538D"/>
    <w:rsid w:val="000F59FB"/>
    <w:rsid w:val="000F5E14"/>
    <w:rsid w:val="000F5E57"/>
    <w:rsid w:val="000F6058"/>
    <w:rsid w:val="000F68A0"/>
    <w:rsid w:val="000F6B1C"/>
    <w:rsid w:val="000F6E38"/>
    <w:rsid w:val="000F6E4A"/>
    <w:rsid w:val="000F6EE3"/>
    <w:rsid w:val="000F7633"/>
    <w:rsid w:val="000F78CA"/>
    <w:rsid w:val="000F7CB8"/>
    <w:rsid w:val="000F7D3C"/>
    <w:rsid w:val="000F7FA9"/>
    <w:rsid w:val="00100112"/>
    <w:rsid w:val="0010063A"/>
    <w:rsid w:val="001007FD"/>
    <w:rsid w:val="0010083C"/>
    <w:rsid w:val="00100B25"/>
    <w:rsid w:val="00100F27"/>
    <w:rsid w:val="0010120F"/>
    <w:rsid w:val="00101376"/>
    <w:rsid w:val="0010143B"/>
    <w:rsid w:val="00101B38"/>
    <w:rsid w:val="001022D3"/>
    <w:rsid w:val="0010234E"/>
    <w:rsid w:val="001026CF"/>
    <w:rsid w:val="0010288F"/>
    <w:rsid w:val="001033F3"/>
    <w:rsid w:val="0010345C"/>
    <w:rsid w:val="0010369A"/>
    <w:rsid w:val="001036AD"/>
    <w:rsid w:val="001038D1"/>
    <w:rsid w:val="00103BDD"/>
    <w:rsid w:val="00103EE7"/>
    <w:rsid w:val="00103FA1"/>
    <w:rsid w:val="00104087"/>
    <w:rsid w:val="0010420D"/>
    <w:rsid w:val="001042DD"/>
    <w:rsid w:val="001044B7"/>
    <w:rsid w:val="001044EA"/>
    <w:rsid w:val="001048FE"/>
    <w:rsid w:val="00104DD4"/>
    <w:rsid w:val="00105558"/>
    <w:rsid w:val="001056C5"/>
    <w:rsid w:val="001057CF"/>
    <w:rsid w:val="00105921"/>
    <w:rsid w:val="001059DB"/>
    <w:rsid w:val="00105F72"/>
    <w:rsid w:val="001060C7"/>
    <w:rsid w:val="001061C5"/>
    <w:rsid w:val="00106552"/>
    <w:rsid w:val="00106820"/>
    <w:rsid w:val="001068B7"/>
    <w:rsid w:val="00106B06"/>
    <w:rsid w:val="00106F25"/>
    <w:rsid w:val="00107599"/>
    <w:rsid w:val="00107A8E"/>
    <w:rsid w:val="0011023E"/>
    <w:rsid w:val="0011068F"/>
    <w:rsid w:val="00110717"/>
    <w:rsid w:val="00110B65"/>
    <w:rsid w:val="00110C81"/>
    <w:rsid w:val="00110D00"/>
    <w:rsid w:val="00110DBF"/>
    <w:rsid w:val="00110FBE"/>
    <w:rsid w:val="001116D4"/>
    <w:rsid w:val="00111BAC"/>
    <w:rsid w:val="00111D4E"/>
    <w:rsid w:val="00111E23"/>
    <w:rsid w:val="00111FA8"/>
    <w:rsid w:val="00112245"/>
    <w:rsid w:val="0011232C"/>
    <w:rsid w:val="001126AB"/>
    <w:rsid w:val="001127CC"/>
    <w:rsid w:val="0011287C"/>
    <w:rsid w:val="00112E26"/>
    <w:rsid w:val="00112F3E"/>
    <w:rsid w:val="00112F8F"/>
    <w:rsid w:val="001133FC"/>
    <w:rsid w:val="001134A1"/>
    <w:rsid w:val="00113552"/>
    <w:rsid w:val="00113582"/>
    <w:rsid w:val="00113781"/>
    <w:rsid w:val="001137A6"/>
    <w:rsid w:val="001139E6"/>
    <w:rsid w:val="00113DA2"/>
    <w:rsid w:val="00114189"/>
    <w:rsid w:val="00114336"/>
    <w:rsid w:val="001146AD"/>
    <w:rsid w:val="00114827"/>
    <w:rsid w:val="00114B0A"/>
    <w:rsid w:val="00114E27"/>
    <w:rsid w:val="00114E71"/>
    <w:rsid w:val="00114F3A"/>
    <w:rsid w:val="00115730"/>
    <w:rsid w:val="0011587B"/>
    <w:rsid w:val="00116051"/>
    <w:rsid w:val="00116177"/>
    <w:rsid w:val="0011652E"/>
    <w:rsid w:val="001165AE"/>
    <w:rsid w:val="001165D8"/>
    <w:rsid w:val="001167C6"/>
    <w:rsid w:val="001167C8"/>
    <w:rsid w:val="001169CC"/>
    <w:rsid w:val="00116AAC"/>
    <w:rsid w:val="00116B75"/>
    <w:rsid w:val="00116D81"/>
    <w:rsid w:val="0011736F"/>
    <w:rsid w:val="001173A8"/>
    <w:rsid w:val="00117404"/>
    <w:rsid w:val="00117A0C"/>
    <w:rsid w:val="0012016D"/>
    <w:rsid w:val="001203D4"/>
    <w:rsid w:val="0012063F"/>
    <w:rsid w:val="0012081A"/>
    <w:rsid w:val="00120986"/>
    <w:rsid w:val="00120A6A"/>
    <w:rsid w:val="00120A86"/>
    <w:rsid w:val="00120AB1"/>
    <w:rsid w:val="001211FE"/>
    <w:rsid w:val="0012158F"/>
    <w:rsid w:val="00121CFD"/>
    <w:rsid w:val="00121D25"/>
    <w:rsid w:val="0012227A"/>
    <w:rsid w:val="00122B47"/>
    <w:rsid w:val="00122BA4"/>
    <w:rsid w:val="001230A0"/>
    <w:rsid w:val="001230F3"/>
    <w:rsid w:val="001231A5"/>
    <w:rsid w:val="001234DF"/>
    <w:rsid w:val="001235D7"/>
    <w:rsid w:val="00123F0A"/>
    <w:rsid w:val="00124505"/>
    <w:rsid w:val="00124550"/>
    <w:rsid w:val="001245FB"/>
    <w:rsid w:val="00124A3D"/>
    <w:rsid w:val="00125135"/>
    <w:rsid w:val="001252F2"/>
    <w:rsid w:val="00125470"/>
    <w:rsid w:val="00125491"/>
    <w:rsid w:val="00125A67"/>
    <w:rsid w:val="00125EEF"/>
    <w:rsid w:val="0012608D"/>
    <w:rsid w:val="001260BC"/>
    <w:rsid w:val="00126125"/>
    <w:rsid w:val="00126CBD"/>
    <w:rsid w:val="00126E90"/>
    <w:rsid w:val="00127157"/>
    <w:rsid w:val="001271AE"/>
    <w:rsid w:val="00127266"/>
    <w:rsid w:val="001272F9"/>
    <w:rsid w:val="001273FD"/>
    <w:rsid w:val="00127E76"/>
    <w:rsid w:val="0013024B"/>
    <w:rsid w:val="001303F8"/>
    <w:rsid w:val="00130462"/>
    <w:rsid w:val="001304AD"/>
    <w:rsid w:val="00130697"/>
    <w:rsid w:val="00130995"/>
    <w:rsid w:val="00130D68"/>
    <w:rsid w:val="00130D6C"/>
    <w:rsid w:val="00130DE5"/>
    <w:rsid w:val="0013119E"/>
    <w:rsid w:val="001316FC"/>
    <w:rsid w:val="00131E94"/>
    <w:rsid w:val="00131FEF"/>
    <w:rsid w:val="0013204C"/>
    <w:rsid w:val="0013206D"/>
    <w:rsid w:val="0013237B"/>
    <w:rsid w:val="00132615"/>
    <w:rsid w:val="00132A09"/>
    <w:rsid w:val="00132A1B"/>
    <w:rsid w:val="00132BB9"/>
    <w:rsid w:val="0013309F"/>
    <w:rsid w:val="00133139"/>
    <w:rsid w:val="001332D2"/>
    <w:rsid w:val="0013379B"/>
    <w:rsid w:val="00133BDB"/>
    <w:rsid w:val="00133E33"/>
    <w:rsid w:val="00134470"/>
    <w:rsid w:val="001346BE"/>
    <w:rsid w:val="00134BA4"/>
    <w:rsid w:val="00134E3C"/>
    <w:rsid w:val="001354EA"/>
    <w:rsid w:val="00135556"/>
    <w:rsid w:val="0013555C"/>
    <w:rsid w:val="0013565E"/>
    <w:rsid w:val="00135774"/>
    <w:rsid w:val="001357E8"/>
    <w:rsid w:val="00135870"/>
    <w:rsid w:val="00135A39"/>
    <w:rsid w:val="00135FBD"/>
    <w:rsid w:val="0013624A"/>
    <w:rsid w:val="00136673"/>
    <w:rsid w:val="00136A9A"/>
    <w:rsid w:val="00136B9D"/>
    <w:rsid w:val="00136BB8"/>
    <w:rsid w:val="001372F3"/>
    <w:rsid w:val="001374C9"/>
    <w:rsid w:val="00137861"/>
    <w:rsid w:val="00137C75"/>
    <w:rsid w:val="001406FF"/>
    <w:rsid w:val="0014081B"/>
    <w:rsid w:val="00140BD7"/>
    <w:rsid w:val="00140D9B"/>
    <w:rsid w:val="00140E08"/>
    <w:rsid w:val="0014115B"/>
    <w:rsid w:val="00141331"/>
    <w:rsid w:val="0014141E"/>
    <w:rsid w:val="00141AC9"/>
    <w:rsid w:val="00141BE5"/>
    <w:rsid w:val="00141DD8"/>
    <w:rsid w:val="00141E8A"/>
    <w:rsid w:val="00142014"/>
    <w:rsid w:val="001420C3"/>
    <w:rsid w:val="0014231A"/>
    <w:rsid w:val="001423FD"/>
    <w:rsid w:val="001426C5"/>
    <w:rsid w:val="00142C4B"/>
    <w:rsid w:val="00142E7D"/>
    <w:rsid w:val="00142E8B"/>
    <w:rsid w:val="00143309"/>
    <w:rsid w:val="0014344C"/>
    <w:rsid w:val="00143813"/>
    <w:rsid w:val="00143975"/>
    <w:rsid w:val="00143D08"/>
    <w:rsid w:val="00143F15"/>
    <w:rsid w:val="00143F1C"/>
    <w:rsid w:val="00143F50"/>
    <w:rsid w:val="00143F60"/>
    <w:rsid w:val="00143FDE"/>
    <w:rsid w:val="001441EB"/>
    <w:rsid w:val="001444F7"/>
    <w:rsid w:val="00144592"/>
    <w:rsid w:val="001445D9"/>
    <w:rsid w:val="0014483D"/>
    <w:rsid w:val="00144B78"/>
    <w:rsid w:val="00144BF1"/>
    <w:rsid w:val="00144F9C"/>
    <w:rsid w:val="0014520A"/>
    <w:rsid w:val="00145561"/>
    <w:rsid w:val="0014558A"/>
    <w:rsid w:val="001455E9"/>
    <w:rsid w:val="0014596A"/>
    <w:rsid w:val="00145CC9"/>
    <w:rsid w:val="00145CD4"/>
    <w:rsid w:val="001464BB"/>
    <w:rsid w:val="00146D46"/>
    <w:rsid w:val="00146FA2"/>
    <w:rsid w:val="00147584"/>
    <w:rsid w:val="00147900"/>
    <w:rsid w:val="00147BFC"/>
    <w:rsid w:val="00147DB1"/>
    <w:rsid w:val="00147DCD"/>
    <w:rsid w:val="00147E48"/>
    <w:rsid w:val="00150856"/>
    <w:rsid w:val="001508C9"/>
    <w:rsid w:val="00150E78"/>
    <w:rsid w:val="00150F14"/>
    <w:rsid w:val="001511B5"/>
    <w:rsid w:val="0015156E"/>
    <w:rsid w:val="0015159B"/>
    <w:rsid w:val="001516EE"/>
    <w:rsid w:val="00151AC8"/>
    <w:rsid w:val="00151B6C"/>
    <w:rsid w:val="00151BA1"/>
    <w:rsid w:val="00151EEF"/>
    <w:rsid w:val="0015257A"/>
    <w:rsid w:val="00152A69"/>
    <w:rsid w:val="00152E71"/>
    <w:rsid w:val="00152FE0"/>
    <w:rsid w:val="001531AD"/>
    <w:rsid w:val="001536D8"/>
    <w:rsid w:val="001538B4"/>
    <w:rsid w:val="00153F4B"/>
    <w:rsid w:val="001541EB"/>
    <w:rsid w:val="001543D4"/>
    <w:rsid w:val="0015445C"/>
    <w:rsid w:val="0015450F"/>
    <w:rsid w:val="00154B6D"/>
    <w:rsid w:val="00154E72"/>
    <w:rsid w:val="00154E9A"/>
    <w:rsid w:val="0015523D"/>
    <w:rsid w:val="00155633"/>
    <w:rsid w:val="00155FB6"/>
    <w:rsid w:val="00156664"/>
    <w:rsid w:val="00156776"/>
    <w:rsid w:val="00156AC5"/>
    <w:rsid w:val="00156AC7"/>
    <w:rsid w:val="00156F5B"/>
    <w:rsid w:val="001570C3"/>
    <w:rsid w:val="00157106"/>
    <w:rsid w:val="0015713F"/>
    <w:rsid w:val="00157457"/>
    <w:rsid w:val="0015748D"/>
    <w:rsid w:val="001575B8"/>
    <w:rsid w:val="001575F4"/>
    <w:rsid w:val="001578DC"/>
    <w:rsid w:val="00157CE3"/>
    <w:rsid w:val="00157DE4"/>
    <w:rsid w:val="00160787"/>
    <w:rsid w:val="00160818"/>
    <w:rsid w:val="001608C9"/>
    <w:rsid w:val="00160D8E"/>
    <w:rsid w:val="00160E8C"/>
    <w:rsid w:val="00160FCE"/>
    <w:rsid w:val="001614D4"/>
    <w:rsid w:val="00161603"/>
    <w:rsid w:val="00161A39"/>
    <w:rsid w:val="00161B38"/>
    <w:rsid w:val="00161BBB"/>
    <w:rsid w:val="00161CAF"/>
    <w:rsid w:val="00161CE4"/>
    <w:rsid w:val="0016204C"/>
    <w:rsid w:val="001622B1"/>
    <w:rsid w:val="00162573"/>
    <w:rsid w:val="00162669"/>
    <w:rsid w:val="001626DD"/>
    <w:rsid w:val="0016283C"/>
    <w:rsid w:val="001629B7"/>
    <w:rsid w:val="00162AF4"/>
    <w:rsid w:val="00162C8A"/>
    <w:rsid w:val="0016329B"/>
    <w:rsid w:val="00163357"/>
    <w:rsid w:val="0016339A"/>
    <w:rsid w:val="0016353C"/>
    <w:rsid w:val="0016390B"/>
    <w:rsid w:val="0016402E"/>
    <w:rsid w:val="0016426E"/>
    <w:rsid w:val="001647B7"/>
    <w:rsid w:val="0016516F"/>
    <w:rsid w:val="001652AC"/>
    <w:rsid w:val="00165EAD"/>
    <w:rsid w:val="00165FED"/>
    <w:rsid w:val="0016620E"/>
    <w:rsid w:val="001662C0"/>
    <w:rsid w:val="001664D3"/>
    <w:rsid w:val="0016667B"/>
    <w:rsid w:val="00166753"/>
    <w:rsid w:val="001667A9"/>
    <w:rsid w:val="00166A4D"/>
    <w:rsid w:val="00166DDE"/>
    <w:rsid w:val="00166E16"/>
    <w:rsid w:val="00166FD5"/>
    <w:rsid w:val="00167185"/>
    <w:rsid w:val="0016766F"/>
    <w:rsid w:val="00167739"/>
    <w:rsid w:val="001677D2"/>
    <w:rsid w:val="00167B7A"/>
    <w:rsid w:val="00167D17"/>
    <w:rsid w:val="00167F50"/>
    <w:rsid w:val="00170327"/>
    <w:rsid w:val="00170450"/>
    <w:rsid w:val="00170650"/>
    <w:rsid w:val="00170C02"/>
    <w:rsid w:val="001712AC"/>
    <w:rsid w:val="0017134C"/>
    <w:rsid w:val="001715BD"/>
    <w:rsid w:val="00171955"/>
    <w:rsid w:val="00171ACD"/>
    <w:rsid w:val="00171B16"/>
    <w:rsid w:val="001721E1"/>
    <w:rsid w:val="00172229"/>
    <w:rsid w:val="001729CE"/>
    <w:rsid w:val="00172B99"/>
    <w:rsid w:val="00172E95"/>
    <w:rsid w:val="00173329"/>
    <w:rsid w:val="00173821"/>
    <w:rsid w:val="00174BD5"/>
    <w:rsid w:val="00174BD6"/>
    <w:rsid w:val="00174E30"/>
    <w:rsid w:val="00175145"/>
    <w:rsid w:val="0017520D"/>
    <w:rsid w:val="001754A4"/>
    <w:rsid w:val="00175D8D"/>
    <w:rsid w:val="00176294"/>
    <w:rsid w:val="00176395"/>
    <w:rsid w:val="001767C6"/>
    <w:rsid w:val="00176886"/>
    <w:rsid w:val="0017692B"/>
    <w:rsid w:val="00176C58"/>
    <w:rsid w:val="00176E6E"/>
    <w:rsid w:val="00176E78"/>
    <w:rsid w:val="0017711F"/>
    <w:rsid w:val="00177D11"/>
    <w:rsid w:val="0018015B"/>
    <w:rsid w:val="0018029E"/>
    <w:rsid w:val="00180C95"/>
    <w:rsid w:val="00180D07"/>
    <w:rsid w:val="00180E29"/>
    <w:rsid w:val="0018108B"/>
    <w:rsid w:val="001810B9"/>
    <w:rsid w:val="001811A0"/>
    <w:rsid w:val="001815B8"/>
    <w:rsid w:val="001815FB"/>
    <w:rsid w:val="001816A6"/>
    <w:rsid w:val="00181DBE"/>
    <w:rsid w:val="00182112"/>
    <w:rsid w:val="0018228D"/>
    <w:rsid w:val="001822A6"/>
    <w:rsid w:val="00182367"/>
    <w:rsid w:val="001826DB"/>
    <w:rsid w:val="0018280C"/>
    <w:rsid w:val="00182BAC"/>
    <w:rsid w:val="00182E37"/>
    <w:rsid w:val="0018313C"/>
    <w:rsid w:val="00183957"/>
    <w:rsid w:val="00183BDB"/>
    <w:rsid w:val="001840A2"/>
    <w:rsid w:val="0018413C"/>
    <w:rsid w:val="0018414D"/>
    <w:rsid w:val="00184169"/>
    <w:rsid w:val="001844E5"/>
    <w:rsid w:val="00184530"/>
    <w:rsid w:val="001847E6"/>
    <w:rsid w:val="001849F6"/>
    <w:rsid w:val="0018505C"/>
    <w:rsid w:val="00185085"/>
    <w:rsid w:val="001850A0"/>
    <w:rsid w:val="001851BD"/>
    <w:rsid w:val="0018565E"/>
    <w:rsid w:val="00185AF8"/>
    <w:rsid w:val="00185CE4"/>
    <w:rsid w:val="00185D0E"/>
    <w:rsid w:val="00186113"/>
    <w:rsid w:val="00186249"/>
    <w:rsid w:val="0018696A"/>
    <w:rsid w:val="00186A2D"/>
    <w:rsid w:val="00186C23"/>
    <w:rsid w:val="00186F1C"/>
    <w:rsid w:val="00186FCC"/>
    <w:rsid w:val="00187858"/>
    <w:rsid w:val="00187892"/>
    <w:rsid w:val="001878D9"/>
    <w:rsid w:val="00187B32"/>
    <w:rsid w:val="00187B4D"/>
    <w:rsid w:val="00187F67"/>
    <w:rsid w:val="0019008D"/>
    <w:rsid w:val="0019022B"/>
    <w:rsid w:val="0019037D"/>
    <w:rsid w:val="0019044D"/>
    <w:rsid w:val="00190694"/>
    <w:rsid w:val="00190A78"/>
    <w:rsid w:val="0019126B"/>
    <w:rsid w:val="00191483"/>
    <w:rsid w:val="001914D3"/>
    <w:rsid w:val="0019155A"/>
    <w:rsid w:val="00191C4F"/>
    <w:rsid w:val="00191F3A"/>
    <w:rsid w:val="001921F0"/>
    <w:rsid w:val="00192350"/>
    <w:rsid w:val="001924F6"/>
    <w:rsid w:val="001925C9"/>
    <w:rsid w:val="001925CE"/>
    <w:rsid w:val="00192896"/>
    <w:rsid w:val="00192A4C"/>
    <w:rsid w:val="00192A69"/>
    <w:rsid w:val="00192B7F"/>
    <w:rsid w:val="00192CCC"/>
    <w:rsid w:val="001931DF"/>
    <w:rsid w:val="00193278"/>
    <w:rsid w:val="00193417"/>
    <w:rsid w:val="00193479"/>
    <w:rsid w:val="0019388E"/>
    <w:rsid w:val="00193C5E"/>
    <w:rsid w:val="00193EA6"/>
    <w:rsid w:val="0019433F"/>
    <w:rsid w:val="001945BC"/>
    <w:rsid w:val="00194836"/>
    <w:rsid w:val="00194AB2"/>
    <w:rsid w:val="00194BC3"/>
    <w:rsid w:val="00194CA1"/>
    <w:rsid w:val="00194F95"/>
    <w:rsid w:val="00195201"/>
    <w:rsid w:val="0019530E"/>
    <w:rsid w:val="00195857"/>
    <w:rsid w:val="00195A1C"/>
    <w:rsid w:val="00195DE7"/>
    <w:rsid w:val="00195DFE"/>
    <w:rsid w:val="00195EF9"/>
    <w:rsid w:val="00196123"/>
    <w:rsid w:val="001963C9"/>
    <w:rsid w:val="00196771"/>
    <w:rsid w:val="00196E4C"/>
    <w:rsid w:val="00196F3D"/>
    <w:rsid w:val="0019711B"/>
    <w:rsid w:val="00197401"/>
    <w:rsid w:val="001976BC"/>
    <w:rsid w:val="0019788A"/>
    <w:rsid w:val="0019799A"/>
    <w:rsid w:val="00197C0F"/>
    <w:rsid w:val="00197F36"/>
    <w:rsid w:val="00197F8E"/>
    <w:rsid w:val="001A02FE"/>
    <w:rsid w:val="001A0769"/>
    <w:rsid w:val="001A0BFC"/>
    <w:rsid w:val="001A0F7A"/>
    <w:rsid w:val="001A105E"/>
    <w:rsid w:val="001A116E"/>
    <w:rsid w:val="001A13CA"/>
    <w:rsid w:val="001A1A11"/>
    <w:rsid w:val="001A2056"/>
    <w:rsid w:val="001A2076"/>
    <w:rsid w:val="001A2326"/>
    <w:rsid w:val="001A25C7"/>
    <w:rsid w:val="001A26F2"/>
    <w:rsid w:val="001A2706"/>
    <w:rsid w:val="001A27A6"/>
    <w:rsid w:val="001A27C3"/>
    <w:rsid w:val="001A2A9D"/>
    <w:rsid w:val="001A2AD1"/>
    <w:rsid w:val="001A3215"/>
    <w:rsid w:val="001A3375"/>
    <w:rsid w:val="001A33B9"/>
    <w:rsid w:val="001A35C2"/>
    <w:rsid w:val="001A3637"/>
    <w:rsid w:val="001A37C6"/>
    <w:rsid w:val="001A3B7D"/>
    <w:rsid w:val="001A3C77"/>
    <w:rsid w:val="001A409E"/>
    <w:rsid w:val="001A4780"/>
    <w:rsid w:val="001A47EC"/>
    <w:rsid w:val="001A48CD"/>
    <w:rsid w:val="001A4ACD"/>
    <w:rsid w:val="001A4B57"/>
    <w:rsid w:val="001A57A9"/>
    <w:rsid w:val="001A592A"/>
    <w:rsid w:val="001A5C8D"/>
    <w:rsid w:val="001A6136"/>
    <w:rsid w:val="001A6342"/>
    <w:rsid w:val="001A652B"/>
    <w:rsid w:val="001A657D"/>
    <w:rsid w:val="001A713F"/>
    <w:rsid w:val="001A71CB"/>
    <w:rsid w:val="001A7384"/>
    <w:rsid w:val="001A788E"/>
    <w:rsid w:val="001A7AE0"/>
    <w:rsid w:val="001A7B13"/>
    <w:rsid w:val="001A7F1C"/>
    <w:rsid w:val="001B0023"/>
    <w:rsid w:val="001B0143"/>
    <w:rsid w:val="001B03DD"/>
    <w:rsid w:val="001B0472"/>
    <w:rsid w:val="001B0873"/>
    <w:rsid w:val="001B0B8E"/>
    <w:rsid w:val="001B102B"/>
    <w:rsid w:val="001B1100"/>
    <w:rsid w:val="001B11CD"/>
    <w:rsid w:val="001B1B4D"/>
    <w:rsid w:val="001B1BE8"/>
    <w:rsid w:val="001B1D8E"/>
    <w:rsid w:val="001B1EF8"/>
    <w:rsid w:val="001B1F4A"/>
    <w:rsid w:val="001B20B4"/>
    <w:rsid w:val="001B21B7"/>
    <w:rsid w:val="001B25DC"/>
    <w:rsid w:val="001B2678"/>
    <w:rsid w:val="001B290C"/>
    <w:rsid w:val="001B2A6E"/>
    <w:rsid w:val="001B33A8"/>
    <w:rsid w:val="001B3719"/>
    <w:rsid w:val="001B4031"/>
    <w:rsid w:val="001B40F8"/>
    <w:rsid w:val="001B4C87"/>
    <w:rsid w:val="001B51EC"/>
    <w:rsid w:val="001B55DF"/>
    <w:rsid w:val="001B5903"/>
    <w:rsid w:val="001B592F"/>
    <w:rsid w:val="001B5AA9"/>
    <w:rsid w:val="001B5EAC"/>
    <w:rsid w:val="001B616C"/>
    <w:rsid w:val="001B627A"/>
    <w:rsid w:val="001B6C5E"/>
    <w:rsid w:val="001B704B"/>
    <w:rsid w:val="001B75FB"/>
    <w:rsid w:val="001B76F4"/>
    <w:rsid w:val="001B77C3"/>
    <w:rsid w:val="001B7BB2"/>
    <w:rsid w:val="001B7E08"/>
    <w:rsid w:val="001C00B3"/>
    <w:rsid w:val="001C0611"/>
    <w:rsid w:val="001C0AEC"/>
    <w:rsid w:val="001C0F26"/>
    <w:rsid w:val="001C114E"/>
    <w:rsid w:val="001C18F7"/>
    <w:rsid w:val="001C1B16"/>
    <w:rsid w:val="001C1E10"/>
    <w:rsid w:val="001C1E86"/>
    <w:rsid w:val="001C1FEF"/>
    <w:rsid w:val="001C2900"/>
    <w:rsid w:val="001C2C05"/>
    <w:rsid w:val="001C34EE"/>
    <w:rsid w:val="001C36D2"/>
    <w:rsid w:val="001C3754"/>
    <w:rsid w:val="001C3A5E"/>
    <w:rsid w:val="001C3C8B"/>
    <w:rsid w:val="001C3F9F"/>
    <w:rsid w:val="001C40C5"/>
    <w:rsid w:val="001C4117"/>
    <w:rsid w:val="001C41F9"/>
    <w:rsid w:val="001C43AD"/>
    <w:rsid w:val="001C4555"/>
    <w:rsid w:val="001C46D0"/>
    <w:rsid w:val="001C495E"/>
    <w:rsid w:val="001C499B"/>
    <w:rsid w:val="001C4AC0"/>
    <w:rsid w:val="001C4AE8"/>
    <w:rsid w:val="001C4B0F"/>
    <w:rsid w:val="001C4B98"/>
    <w:rsid w:val="001C4E94"/>
    <w:rsid w:val="001C5048"/>
    <w:rsid w:val="001C5199"/>
    <w:rsid w:val="001C51E6"/>
    <w:rsid w:val="001C5504"/>
    <w:rsid w:val="001C567D"/>
    <w:rsid w:val="001C57B1"/>
    <w:rsid w:val="001C62B5"/>
    <w:rsid w:val="001C62F4"/>
    <w:rsid w:val="001C6677"/>
    <w:rsid w:val="001C685A"/>
    <w:rsid w:val="001C6985"/>
    <w:rsid w:val="001C6BB5"/>
    <w:rsid w:val="001C6E80"/>
    <w:rsid w:val="001C6ECA"/>
    <w:rsid w:val="001C7153"/>
    <w:rsid w:val="001C7405"/>
    <w:rsid w:val="001C77D6"/>
    <w:rsid w:val="001C78B4"/>
    <w:rsid w:val="001C79F1"/>
    <w:rsid w:val="001C7A9D"/>
    <w:rsid w:val="001C7BD4"/>
    <w:rsid w:val="001C7CA1"/>
    <w:rsid w:val="001D0659"/>
    <w:rsid w:val="001D09D0"/>
    <w:rsid w:val="001D14AC"/>
    <w:rsid w:val="001D169E"/>
    <w:rsid w:val="001D19A9"/>
    <w:rsid w:val="001D1A87"/>
    <w:rsid w:val="001D1AF1"/>
    <w:rsid w:val="001D2208"/>
    <w:rsid w:val="001D25CB"/>
    <w:rsid w:val="001D285A"/>
    <w:rsid w:val="001D289D"/>
    <w:rsid w:val="001D2ABC"/>
    <w:rsid w:val="001D2C3C"/>
    <w:rsid w:val="001D2CD5"/>
    <w:rsid w:val="001D2FB6"/>
    <w:rsid w:val="001D3540"/>
    <w:rsid w:val="001D371D"/>
    <w:rsid w:val="001D38C2"/>
    <w:rsid w:val="001D39FD"/>
    <w:rsid w:val="001D46DF"/>
    <w:rsid w:val="001D48A4"/>
    <w:rsid w:val="001D48C9"/>
    <w:rsid w:val="001D4BFF"/>
    <w:rsid w:val="001D5589"/>
    <w:rsid w:val="001D58DA"/>
    <w:rsid w:val="001D599D"/>
    <w:rsid w:val="001D5DD4"/>
    <w:rsid w:val="001D5F54"/>
    <w:rsid w:val="001D61BD"/>
    <w:rsid w:val="001D6FEC"/>
    <w:rsid w:val="001D70BF"/>
    <w:rsid w:val="001D71B3"/>
    <w:rsid w:val="001D7974"/>
    <w:rsid w:val="001D7BCD"/>
    <w:rsid w:val="001D7BE3"/>
    <w:rsid w:val="001D7F7E"/>
    <w:rsid w:val="001E00D9"/>
    <w:rsid w:val="001E04DE"/>
    <w:rsid w:val="001E05B5"/>
    <w:rsid w:val="001E07EC"/>
    <w:rsid w:val="001E0A77"/>
    <w:rsid w:val="001E0AE6"/>
    <w:rsid w:val="001E0E65"/>
    <w:rsid w:val="001E0EAC"/>
    <w:rsid w:val="001E0F47"/>
    <w:rsid w:val="001E13C5"/>
    <w:rsid w:val="001E17C4"/>
    <w:rsid w:val="001E18AC"/>
    <w:rsid w:val="001E1926"/>
    <w:rsid w:val="001E1ADF"/>
    <w:rsid w:val="001E233C"/>
    <w:rsid w:val="001E2745"/>
    <w:rsid w:val="001E27EC"/>
    <w:rsid w:val="001E28D5"/>
    <w:rsid w:val="001E2B27"/>
    <w:rsid w:val="001E2DC3"/>
    <w:rsid w:val="001E2E26"/>
    <w:rsid w:val="001E2E8E"/>
    <w:rsid w:val="001E2EF4"/>
    <w:rsid w:val="001E35BF"/>
    <w:rsid w:val="001E35D2"/>
    <w:rsid w:val="001E37CF"/>
    <w:rsid w:val="001E39C5"/>
    <w:rsid w:val="001E4075"/>
    <w:rsid w:val="001E4092"/>
    <w:rsid w:val="001E45F1"/>
    <w:rsid w:val="001E4B1D"/>
    <w:rsid w:val="001E5479"/>
    <w:rsid w:val="001E55CD"/>
    <w:rsid w:val="001E5737"/>
    <w:rsid w:val="001E5BBC"/>
    <w:rsid w:val="001E5F29"/>
    <w:rsid w:val="001E60B4"/>
    <w:rsid w:val="001E6435"/>
    <w:rsid w:val="001E67D8"/>
    <w:rsid w:val="001E6802"/>
    <w:rsid w:val="001E691E"/>
    <w:rsid w:val="001E6AFD"/>
    <w:rsid w:val="001E6B0E"/>
    <w:rsid w:val="001E6D5D"/>
    <w:rsid w:val="001E7161"/>
    <w:rsid w:val="001E740B"/>
    <w:rsid w:val="001E75E4"/>
    <w:rsid w:val="001E7E60"/>
    <w:rsid w:val="001F0158"/>
    <w:rsid w:val="001F018E"/>
    <w:rsid w:val="001F019F"/>
    <w:rsid w:val="001F04D5"/>
    <w:rsid w:val="001F051D"/>
    <w:rsid w:val="001F07A5"/>
    <w:rsid w:val="001F07B9"/>
    <w:rsid w:val="001F0904"/>
    <w:rsid w:val="001F0B04"/>
    <w:rsid w:val="001F0B79"/>
    <w:rsid w:val="001F0C13"/>
    <w:rsid w:val="001F0F6E"/>
    <w:rsid w:val="001F11BD"/>
    <w:rsid w:val="001F126D"/>
    <w:rsid w:val="001F157A"/>
    <w:rsid w:val="001F166E"/>
    <w:rsid w:val="001F1868"/>
    <w:rsid w:val="001F1A82"/>
    <w:rsid w:val="001F1B25"/>
    <w:rsid w:val="001F2257"/>
    <w:rsid w:val="001F28AF"/>
    <w:rsid w:val="001F2A1C"/>
    <w:rsid w:val="001F2A57"/>
    <w:rsid w:val="001F2C3E"/>
    <w:rsid w:val="001F2DCA"/>
    <w:rsid w:val="001F2E4D"/>
    <w:rsid w:val="001F30EE"/>
    <w:rsid w:val="001F3221"/>
    <w:rsid w:val="001F33A0"/>
    <w:rsid w:val="001F3573"/>
    <w:rsid w:val="001F3AE4"/>
    <w:rsid w:val="001F3C0E"/>
    <w:rsid w:val="001F3C4B"/>
    <w:rsid w:val="001F3E2C"/>
    <w:rsid w:val="001F41C2"/>
    <w:rsid w:val="001F4427"/>
    <w:rsid w:val="001F4483"/>
    <w:rsid w:val="001F4A31"/>
    <w:rsid w:val="001F4B16"/>
    <w:rsid w:val="001F4C39"/>
    <w:rsid w:val="001F5C76"/>
    <w:rsid w:val="001F625E"/>
    <w:rsid w:val="001F62EA"/>
    <w:rsid w:val="001F65A3"/>
    <w:rsid w:val="001F6856"/>
    <w:rsid w:val="001F6F1E"/>
    <w:rsid w:val="001F7258"/>
    <w:rsid w:val="001F73D9"/>
    <w:rsid w:val="001F7478"/>
    <w:rsid w:val="001F76F1"/>
    <w:rsid w:val="001F7EDD"/>
    <w:rsid w:val="001F7FCA"/>
    <w:rsid w:val="002001ED"/>
    <w:rsid w:val="00200212"/>
    <w:rsid w:val="002008BE"/>
    <w:rsid w:val="0020111B"/>
    <w:rsid w:val="002019C7"/>
    <w:rsid w:val="00201F1D"/>
    <w:rsid w:val="00201FE8"/>
    <w:rsid w:val="00201FEF"/>
    <w:rsid w:val="00202129"/>
    <w:rsid w:val="002024FC"/>
    <w:rsid w:val="0020264D"/>
    <w:rsid w:val="002027BD"/>
    <w:rsid w:val="0020291A"/>
    <w:rsid w:val="00202936"/>
    <w:rsid w:val="00202AE4"/>
    <w:rsid w:val="002031C1"/>
    <w:rsid w:val="00203830"/>
    <w:rsid w:val="00203AFC"/>
    <w:rsid w:val="00203D79"/>
    <w:rsid w:val="0020406F"/>
    <w:rsid w:val="0020440C"/>
    <w:rsid w:val="00204411"/>
    <w:rsid w:val="00204F84"/>
    <w:rsid w:val="00205192"/>
    <w:rsid w:val="002051D4"/>
    <w:rsid w:val="002053E5"/>
    <w:rsid w:val="00205678"/>
    <w:rsid w:val="00205758"/>
    <w:rsid w:val="00205B56"/>
    <w:rsid w:val="00205C40"/>
    <w:rsid w:val="00205D87"/>
    <w:rsid w:val="00205EF7"/>
    <w:rsid w:val="0020627A"/>
    <w:rsid w:val="0020640C"/>
    <w:rsid w:val="002069B7"/>
    <w:rsid w:val="00206B72"/>
    <w:rsid w:val="00206F81"/>
    <w:rsid w:val="00207016"/>
    <w:rsid w:val="002071D1"/>
    <w:rsid w:val="002102F6"/>
    <w:rsid w:val="002104A6"/>
    <w:rsid w:val="00210673"/>
    <w:rsid w:val="0021083C"/>
    <w:rsid w:val="00210C91"/>
    <w:rsid w:val="00210D2D"/>
    <w:rsid w:val="00211245"/>
    <w:rsid w:val="00211381"/>
    <w:rsid w:val="00211389"/>
    <w:rsid w:val="0021152A"/>
    <w:rsid w:val="00211634"/>
    <w:rsid w:val="0021164B"/>
    <w:rsid w:val="002116B8"/>
    <w:rsid w:val="00211EF5"/>
    <w:rsid w:val="002121E4"/>
    <w:rsid w:val="002121FC"/>
    <w:rsid w:val="0021222A"/>
    <w:rsid w:val="002125F9"/>
    <w:rsid w:val="002125FF"/>
    <w:rsid w:val="00212A13"/>
    <w:rsid w:val="00212A82"/>
    <w:rsid w:val="00212C1C"/>
    <w:rsid w:val="00213330"/>
    <w:rsid w:val="002137DF"/>
    <w:rsid w:val="00213957"/>
    <w:rsid w:val="00213A28"/>
    <w:rsid w:val="00213BC9"/>
    <w:rsid w:val="00213D3C"/>
    <w:rsid w:val="00213DCF"/>
    <w:rsid w:val="00213DF2"/>
    <w:rsid w:val="00213EEE"/>
    <w:rsid w:val="00214143"/>
    <w:rsid w:val="0021448A"/>
    <w:rsid w:val="00214773"/>
    <w:rsid w:val="00214CC7"/>
    <w:rsid w:val="00214FEB"/>
    <w:rsid w:val="0021514C"/>
    <w:rsid w:val="00215773"/>
    <w:rsid w:val="00215B62"/>
    <w:rsid w:val="00215C8E"/>
    <w:rsid w:val="00215EA1"/>
    <w:rsid w:val="00216014"/>
    <w:rsid w:val="00216207"/>
    <w:rsid w:val="0021646B"/>
    <w:rsid w:val="002168AE"/>
    <w:rsid w:val="0021698E"/>
    <w:rsid w:val="00216A57"/>
    <w:rsid w:val="00216C14"/>
    <w:rsid w:val="00216CCB"/>
    <w:rsid w:val="00216E8F"/>
    <w:rsid w:val="00216FD9"/>
    <w:rsid w:val="0021707D"/>
    <w:rsid w:val="00217811"/>
    <w:rsid w:val="00217F10"/>
    <w:rsid w:val="00220005"/>
    <w:rsid w:val="0022005D"/>
    <w:rsid w:val="00220391"/>
    <w:rsid w:val="00220E16"/>
    <w:rsid w:val="00221055"/>
    <w:rsid w:val="00221421"/>
    <w:rsid w:val="00221450"/>
    <w:rsid w:val="002214C9"/>
    <w:rsid w:val="00221D4E"/>
    <w:rsid w:val="00221EF8"/>
    <w:rsid w:val="00221F4F"/>
    <w:rsid w:val="00222216"/>
    <w:rsid w:val="00222241"/>
    <w:rsid w:val="00222296"/>
    <w:rsid w:val="002222E1"/>
    <w:rsid w:val="002224A3"/>
    <w:rsid w:val="00222779"/>
    <w:rsid w:val="00223627"/>
    <w:rsid w:val="00223985"/>
    <w:rsid w:val="00223C32"/>
    <w:rsid w:val="00223D80"/>
    <w:rsid w:val="00224131"/>
    <w:rsid w:val="002244F7"/>
    <w:rsid w:val="002247C8"/>
    <w:rsid w:val="00224B81"/>
    <w:rsid w:val="00224C31"/>
    <w:rsid w:val="00224DB1"/>
    <w:rsid w:val="00225079"/>
    <w:rsid w:val="002252B6"/>
    <w:rsid w:val="002252F7"/>
    <w:rsid w:val="0022588B"/>
    <w:rsid w:val="00225B2A"/>
    <w:rsid w:val="00225BD5"/>
    <w:rsid w:val="00226069"/>
    <w:rsid w:val="0022618F"/>
    <w:rsid w:val="00226B61"/>
    <w:rsid w:val="00226C06"/>
    <w:rsid w:val="00226C0B"/>
    <w:rsid w:val="00226CB0"/>
    <w:rsid w:val="00227508"/>
    <w:rsid w:val="00227B03"/>
    <w:rsid w:val="00227F84"/>
    <w:rsid w:val="002308E1"/>
    <w:rsid w:val="002309E8"/>
    <w:rsid w:val="00230AC8"/>
    <w:rsid w:val="00230C63"/>
    <w:rsid w:val="00230CBE"/>
    <w:rsid w:val="002310A7"/>
    <w:rsid w:val="00231728"/>
    <w:rsid w:val="002319E2"/>
    <w:rsid w:val="00231FDB"/>
    <w:rsid w:val="0023218D"/>
    <w:rsid w:val="00232528"/>
    <w:rsid w:val="00232824"/>
    <w:rsid w:val="00232953"/>
    <w:rsid w:val="0023298F"/>
    <w:rsid w:val="002329B1"/>
    <w:rsid w:val="00232D34"/>
    <w:rsid w:val="00232EC1"/>
    <w:rsid w:val="00232FCF"/>
    <w:rsid w:val="002331FD"/>
    <w:rsid w:val="0023329F"/>
    <w:rsid w:val="0023340B"/>
    <w:rsid w:val="0023366B"/>
    <w:rsid w:val="0023372E"/>
    <w:rsid w:val="00233C59"/>
    <w:rsid w:val="00233C8B"/>
    <w:rsid w:val="00233F8F"/>
    <w:rsid w:val="00234111"/>
    <w:rsid w:val="00234207"/>
    <w:rsid w:val="002344EC"/>
    <w:rsid w:val="0023468B"/>
    <w:rsid w:val="00234717"/>
    <w:rsid w:val="00234B4B"/>
    <w:rsid w:val="00234B5F"/>
    <w:rsid w:val="00234DBF"/>
    <w:rsid w:val="00235054"/>
    <w:rsid w:val="00235292"/>
    <w:rsid w:val="002352AF"/>
    <w:rsid w:val="00235448"/>
    <w:rsid w:val="002354BB"/>
    <w:rsid w:val="0023599E"/>
    <w:rsid w:val="00235F58"/>
    <w:rsid w:val="002366AC"/>
    <w:rsid w:val="002366DD"/>
    <w:rsid w:val="00236E9F"/>
    <w:rsid w:val="0023721B"/>
    <w:rsid w:val="002376B4"/>
    <w:rsid w:val="002377F7"/>
    <w:rsid w:val="00237A44"/>
    <w:rsid w:val="00237BC1"/>
    <w:rsid w:val="00237D72"/>
    <w:rsid w:val="0024010C"/>
    <w:rsid w:val="002405B2"/>
    <w:rsid w:val="0024061C"/>
    <w:rsid w:val="0024082D"/>
    <w:rsid w:val="00241021"/>
    <w:rsid w:val="0024107A"/>
    <w:rsid w:val="002411E8"/>
    <w:rsid w:val="002417AE"/>
    <w:rsid w:val="00241BC8"/>
    <w:rsid w:val="00241D41"/>
    <w:rsid w:val="00242548"/>
    <w:rsid w:val="00242577"/>
    <w:rsid w:val="0024280E"/>
    <w:rsid w:val="002429EB"/>
    <w:rsid w:val="00242D9E"/>
    <w:rsid w:val="00242F37"/>
    <w:rsid w:val="00243224"/>
    <w:rsid w:val="002434A7"/>
    <w:rsid w:val="002434D1"/>
    <w:rsid w:val="00243AF6"/>
    <w:rsid w:val="00243B34"/>
    <w:rsid w:val="00243CBD"/>
    <w:rsid w:val="00244291"/>
    <w:rsid w:val="00244882"/>
    <w:rsid w:val="00244CD1"/>
    <w:rsid w:val="00244DE4"/>
    <w:rsid w:val="00245225"/>
    <w:rsid w:val="0024556F"/>
    <w:rsid w:val="00246013"/>
    <w:rsid w:val="00246834"/>
    <w:rsid w:val="00246851"/>
    <w:rsid w:val="00246872"/>
    <w:rsid w:val="002468AE"/>
    <w:rsid w:val="00246CB1"/>
    <w:rsid w:val="00246D02"/>
    <w:rsid w:val="00246D9D"/>
    <w:rsid w:val="0024707B"/>
    <w:rsid w:val="002471D8"/>
    <w:rsid w:val="00247828"/>
    <w:rsid w:val="00247C1D"/>
    <w:rsid w:val="00250287"/>
    <w:rsid w:val="002504BA"/>
    <w:rsid w:val="002507BB"/>
    <w:rsid w:val="00250879"/>
    <w:rsid w:val="002509A7"/>
    <w:rsid w:val="00250D47"/>
    <w:rsid w:val="00251203"/>
    <w:rsid w:val="00251555"/>
    <w:rsid w:val="00251605"/>
    <w:rsid w:val="00251786"/>
    <w:rsid w:val="0025183D"/>
    <w:rsid w:val="00251ACE"/>
    <w:rsid w:val="00251D59"/>
    <w:rsid w:val="00251FA9"/>
    <w:rsid w:val="00252017"/>
    <w:rsid w:val="00252036"/>
    <w:rsid w:val="0025274A"/>
    <w:rsid w:val="00252993"/>
    <w:rsid w:val="00252B31"/>
    <w:rsid w:val="00252DC2"/>
    <w:rsid w:val="00253025"/>
    <w:rsid w:val="002530CD"/>
    <w:rsid w:val="00253109"/>
    <w:rsid w:val="00253678"/>
    <w:rsid w:val="00253C48"/>
    <w:rsid w:val="00253FBF"/>
    <w:rsid w:val="002541D0"/>
    <w:rsid w:val="00254571"/>
    <w:rsid w:val="002548B1"/>
    <w:rsid w:val="0025526C"/>
    <w:rsid w:val="00255338"/>
    <w:rsid w:val="00255490"/>
    <w:rsid w:val="0025561E"/>
    <w:rsid w:val="002557C7"/>
    <w:rsid w:val="00256013"/>
    <w:rsid w:val="00256311"/>
    <w:rsid w:val="002564D7"/>
    <w:rsid w:val="002565B3"/>
    <w:rsid w:val="002567F1"/>
    <w:rsid w:val="0025695E"/>
    <w:rsid w:val="002569ED"/>
    <w:rsid w:val="00256D3D"/>
    <w:rsid w:val="00256E13"/>
    <w:rsid w:val="00257066"/>
    <w:rsid w:val="002574F3"/>
    <w:rsid w:val="00257722"/>
    <w:rsid w:val="002578DF"/>
    <w:rsid w:val="00257936"/>
    <w:rsid w:val="002579C0"/>
    <w:rsid w:val="00257E08"/>
    <w:rsid w:val="00257E14"/>
    <w:rsid w:val="00260461"/>
    <w:rsid w:val="00260656"/>
    <w:rsid w:val="002606F8"/>
    <w:rsid w:val="00260B69"/>
    <w:rsid w:val="00260C93"/>
    <w:rsid w:val="00260EA3"/>
    <w:rsid w:val="00261101"/>
    <w:rsid w:val="0026126F"/>
    <w:rsid w:val="00261580"/>
    <w:rsid w:val="00261743"/>
    <w:rsid w:val="00261879"/>
    <w:rsid w:val="00261BE2"/>
    <w:rsid w:val="00261C6D"/>
    <w:rsid w:val="00261D4C"/>
    <w:rsid w:val="002629FA"/>
    <w:rsid w:val="00262B60"/>
    <w:rsid w:val="00262D26"/>
    <w:rsid w:val="00262F5B"/>
    <w:rsid w:val="00262F63"/>
    <w:rsid w:val="00263072"/>
    <w:rsid w:val="002630FB"/>
    <w:rsid w:val="002633FC"/>
    <w:rsid w:val="00263459"/>
    <w:rsid w:val="0026377E"/>
    <w:rsid w:val="00263ABB"/>
    <w:rsid w:val="00264169"/>
    <w:rsid w:val="002643FD"/>
    <w:rsid w:val="00264752"/>
    <w:rsid w:val="00264DD7"/>
    <w:rsid w:val="00264FB9"/>
    <w:rsid w:val="00265040"/>
    <w:rsid w:val="002650E3"/>
    <w:rsid w:val="00265252"/>
    <w:rsid w:val="00265673"/>
    <w:rsid w:val="00265790"/>
    <w:rsid w:val="00265B1A"/>
    <w:rsid w:val="00265C78"/>
    <w:rsid w:val="002663A5"/>
    <w:rsid w:val="00266603"/>
    <w:rsid w:val="002669C0"/>
    <w:rsid w:val="00266B0F"/>
    <w:rsid w:val="002674BC"/>
    <w:rsid w:val="00267C19"/>
    <w:rsid w:val="00267FCC"/>
    <w:rsid w:val="0027098C"/>
    <w:rsid w:val="00270A70"/>
    <w:rsid w:val="00270C5C"/>
    <w:rsid w:val="00270F23"/>
    <w:rsid w:val="00271021"/>
    <w:rsid w:val="002711DC"/>
    <w:rsid w:val="002713F9"/>
    <w:rsid w:val="00271861"/>
    <w:rsid w:val="00271872"/>
    <w:rsid w:val="00271934"/>
    <w:rsid w:val="002721B5"/>
    <w:rsid w:val="00272416"/>
    <w:rsid w:val="00272D29"/>
    <w:rsid w:val="00272E23"/>
    <w:rsid w:val="00273102"/>
    <w:rsid w:val="002731AD"/>
    <w:rsid w:val="002734D5"/>
    <w:rsid w:val="002736D9"/>
    <w:rsid w:val="00273C7F"/>
    <w:rsid w:val="00273DE8"/>
    <w:rsid w:val="00273FE8"/>
    <w:rsid w:val="002741A6"/>
    <w:rsid w:val="00274494"/>
    <w:rsid w:val="00274B71"/>
    <w:rsid w:val="00274E95"/>
    <w:rsid w:val="00274FA6"/>
    <w:rsid w:val="00275145"/>
    <w:rsid w:val="002758BA"/>
    <w:rsid w:val="00275A0E"/>
    <w:rsid w:val="00275B34"/>
    <w:rsid w:val="00275E59"/>
    <w:rsid w:val="002765F4"/>
    <w:rsid w:val="00276959"/>
    <w:rsid w:val="00276974"/>
    <w:rsid w:val="002769EA"/>
    <w:rsid w:val="00276BA1"/>
    <w:rsid w:val="00277476"/>
    <w:rsid w:val="002775F0"/>
    <w:rsid w:val="00277B3D"/>
    <w:rsid w:val="00277BCB"/>
    <w:rsid w:val="00277DD9"/>
    <w:rsid w:val="002802DC"/>
    <w:rsid w:val="00280706"/>
    <w:rsid w:val="00280BBC"/>
    <w:rsid w:val="00280F8D"/>
    <w:rsid w:val="00281606"/>
    <w:rsid w:val="002817E2"/>
    <w:rsid w:val="0028188C"/>
    <w:rsid w:val="00281B29"/>
    <w:rsid w:val="00281EC3"/>
    <w:rsid w:val="00282592"/>
    <w:rsid w:val="002827AD"/>
    <w:rsid w:val="002828BF"/>
    <w:rsid w:val="00282A44"/>
    <w:rsid w:val="00283084"/>
    <w:rsid w:val="00283251"/>
    <w:rsid w:val="00283421"/>
    <w:rsid w:val="00283CD8"/>
    <w:rsid w:val="00283D22"/>
    <w:rsid w:val="00283E23"/>
    <w:rsid w:val="0028412B"/>
    <w:rsid w:val="002846C5"/>
    <w:rsid w:val="002849B1"/>
    <w:rsid w:val="00284A38"/>
    <w:rsid w:val="00284B0C"/>
    <w:rsid w:val="00284EBB"/>
    <w:rsid w:val="002851FB"/>
    <w:rsid w:val="0028552E"/>
    <w:rsid w:val="00285600"/>
    <w:rsid w:val="00285712"/>
    <w:rsid w:val="00286598"/>
    <w:rsid w:val="0028663A"/>
    <w:rsid w:val="00286ACD"/>
    <w:rsid w:val="00286B0E"/>
    <w:rsid w:val="00286B4B"/>
    <w:rsid w:val="00286BD1"/>
    <w:rsid w:val="00287088"/>
    <w:rsid w:val="0028710A"/>
    <w:rsid w:val="00287283"/>
    <w:rsid w:val="0028732F"/>
    <w:rsid w:val="00287865"/>
    <w:rsid w:val="00287BFE"/>
    <w:rsid w:val="00287E08"/>
    <w:rsid w:val="002900E2"/>
    <w:rsid w:val="00290222"/>
    <w:rsid w:val="00290319"/>
    <w:rsid w:val="0029079D"/>
    <w:rsid w:val="00290973"/>
    <w:rsid w:val="002910A2"/>
    <w:rsid w:val="002913B9"/>
    <w:rsid w:val="00291524"/>
    <w:rsid w:val="002917E3"/>
    <w:rsid w:val="002919AB"/>
    <w:rsid w:val="00291BF2"/>
    <w:rsid w:val="00291D71"/>
    <w:rsid w:val="00292313"/>
    <w:rsid w:val="00292614"/>
    <w:rsid w:val="00292704"/>
    <w:rsid w:val="002927F4"/>
    <w:rsid w:val="00292C86"/>
    <w:rsid w:val="00292D77"/>
    <w:rsid w:val="00293356"/>
    <w:rsid w:val="002935F9"/>
    <w:rsid w:val="00293AB8"/>
    <w:rsid w:val="00293C3E"/>
    <w:rsid w:val="00293F49"/>
    <w:rsid w:val="0029425A"/>
    <w:rsid w:val="0029439C"/>
    <w:rsid w:val="0029440E"/>
    <w:rsid w:val="002947D4"/>
    <w:rsid w:val="0029490B"/>
    <w:rsid w:val="0029493A"/>
    <w:rsid w:val="0029498F"/>
    <w:rsid w:val="00294A4E"/>
    <w:rsid w:val="00294D6F"/>
    <w:rsid w:val="00294DC9"/>
    <w:rsid w:val="00294EBD"/>
    <w:rsid w:val="0029514C"/>
    <w:rsid w:val="00295151"/>
    <w:rsid w:val="00295161"/>
    <w:rsid w:val="0029520D"/>
    <w:rsid w:val="00295279"/>
    <w:rsid w:val="0029538D"/>
    <w:rsid w:val="002955A1"/>
    <w:rsid w:val="00295915"/>
    <w:rsid w:val="00295D3A"/>
    <w:rsid w:val="0029603B"/>
    <w:rsid w:val="00296737"/>
    <w:rsid w:val="00296CAD"/>
    <w:rsid w:val="00296E62"/>
    <w:rsid w:val="00297269"/>
    <w:rsid w:val="002972DF"/>
    <w:rsid w:val="0029740A"/>
    <w:rsid w:val="0029749B"/>
    <w:rsid w:val="0029765E"/>
    <w:rsid w:val="00297785"/>
    <w:rsid w:val="00297A98"/>
    <w:rsid w:val="00297CD8"/>
    <w:rsid w:val="00297E78"/>
    <w:rsid w:val="002A0465"/>
    <w:rsid w:val="002A058E"/>
    <w:rsid w:val="002A0633"/>
    <w:rsid w:val="002A06C3"/>
    <w:rsid w:val="002A0826"/>
    <w:rsid w:val="002A0B3F"/>
    <w:rsid w:val="002A0DD3"/>
    <w:rsid w:val="002A12F1"/>
    <w:rsid w:val="002A1346"/>
    <w:rsid w:val="002A15DE"/>
    <w:rsid w:val="002A16A3"/>
    <w:rsid w:val="002A19B0"/>
    <w:rsid w:val="002A1AF4"/>
    <w:rsid w:val="002A1D39"/>
    <w:rsid w:val="002A1D74"/>
    <w:rsid w:val="002A1F07"/>
    <w:rsid w:val="002A2043"/>
    <w:rsid w:val="002A25CB"/>
    <w:rsid w:val="002A27EE"/>
    <w:rsid w:val="002A2C89"/>
    <w:rsid w:val="002A2D73"/>
    <w:rsid w:val="002A2E04"/>
    <w:rsid w:val="002A339F"/>
    <w:rsid w:val="002A33AF"/>
    <w:rsid w:val="002A393F"/>
    <w:rsid w:val="002A395B"/>
    <w:rsid w:val="002A3DA2"/>
    <w:rsid w:val="002A431A"/>
    <w:rsid w:val="002A432B"/>
    <w:rsid w:val="002A4A87"/>
    <w:rsid w:val="002A4B46"/>
    <w:rsid w:val="002A4B7E"/>
    <w:rsid w:val="002A4BB1"/>
    <w:rsid w:val="002A4C04"/>
    <w:rsid w:val="002A4D2A"/>
    <w:rsid w:val="002A4D9D"/>
    <w:rsid w:val="002A4F48"/>
    <w:rsid w:val="002A4F95"/>
    <w:rsid w:val="002A514F"/>
    <w:rsid w:val="002A5379"/>
    <w:rsid w:val="002A5403"/>
    <w:rsid w:val="002A572D"/>
    <w:rsid w:val="002A59FD"/>
    <w:rsid w:val="002A5D02"/>
    <w:rsid w:val="002A5DA0"/>
    <w:rsid w:val="002A60EC"/>
    <w:rsid w:val="002A65FE"/>
    <w:rsid w:val="002A69BC"/>
    <w:rsid w:val="002A69C8"/>
    <w:rsid w:val="002A6B6D"/>
    <w:rsid w:val="002A6DDE"/>
    <w:rsid w:val="002A6FA0"/>
    <w:rsid w:val="002A7272"/>
    <w:rsid w:val="002A7556"/>
    <w:rsid w:val="002A7E8B"/>
    <w:rsid w:val="002B013E"/>
    <w:rsid w:val="002B0C3A"/>
    <w:rsid w:val="002B0E2D"/>
    <w:rsid w:val="002B0F56"/>
    <w:rsid w:val="002B1390"/>
    <w:rsid w:val="002B16E0"/>
    <w:rsid w:val="002B1A2F"/>
    <w:rsid w:val="002B1B05"/>
    <w:rsid w:val="002B1D42"/>
    <w:rsid w:val="002B1D72"/>
    <w:rsid w:val="002B1EB2"/>
    <w:rsid w:val="002B2350"/>
    <w:rsid w:val="002B27C0"/>
    <w:rsid w:val="002B2A81"/>
    <w:rsid w:val="002B2B0D"/>
    <w:rsid w:val="002B3111"/>
    <w:rsid w:val="002B32FC"/>
    <w:rsid w:val="002B35A3"/>
    <w:rsid w:val="002B3BCE"/>
    <w:rsid w:val="002B3E02"/>
    <w:rsid w:val="002B407B"/>
    <w:rsid w:val="002B417F"/>
    <w:rsid w:val="002B468E"/>
    <w:rsid w:val="002B47E9"/>
    <w:rsid w:val="002B49C5"/>
    <w:rsid w:val="002B4DA6"/>
    <w:rsid w:val="002B4F0D"/>
    <w:rsid w:val="002B5024"/>
    <w:rsid w:val="002B525E"/>
    <w:rsid w:val="002B5650"/>
    <w:rsid w:val="002B566A"/>
    <w:rsid w:val="002B59CA"/>
    <w:rsid w:val="002B5AE4"/>
    <w:rsid w:val="002B5AFB"/>
    <w:rsid w:val="002B5BA7"/>
    <w:rsid w:val="002B5EAC"/>
    <w:rsid w:val="002B5FB0"/>
    <w:rsid w:val="002B622E"/>
    <w:rsid w:val="002B6274"/>
    <w:rsid w:val="002B6416"/>
    <w:rsid w:val="002B69F7"/>
    <w:rsid w:val="002B6BE2"/>
    <w:rsid w:val="002B709D"/>
    <w:rsid w:val="002B70F6"/>
    <w:rsid w:val="002B7106"/>
    <w:rsid w:val="002B7189"/>
    <w:rsid w:val="002B74C7"/>
    <w:rsid w:val="002B7900"/>
    <w:rsid w:val="002B7948"/>
    <w:rsid w:val="002B7FB8"/>
    <w:rsid w:val="002C0060"/>
    <w:rsid w:val="002C0078"/>
    <w:rsid w:val="002C03E4"/>
    <w:rsid w:val="002C076D"/>
    <w:rsid w:val="002C0AED"/>
    <w:rsid w:val="002C10F7"/>
    <w:rsid w:val="002C1218"/>
    <w:rsid w:val="002C134A"/>
    <w:rsid w:val="002C1409"/>
    <w:rsid w:val="002C146D"/>
    <w:rsid w:val="002C15DD"/>
    <w:rsid w:val="002C18B4"/>
    <w:rsid w:val="002C1DFA"/>
    <w:rsid w:val="002C1E79"/>
    <w:rsid w:val="002C1E98"/>
    <w:rsid w:val="002C1E9C"/>
    <w:rsid w:val="002C21D5"/>
    <w:rsid w:val="002C2264"/>
    <w:rsid w:val="002C2270"/>
    <w:rsid w:val="002C22E5"/>
    <w:rsid w:val="002C24F6"/>
    <w:rsid w:val="002C2532"/>
    <w:rsid w:val="002C2B83"/>
    <w:rsid w:val="002C2D41"/>
    <w:rsid w:val="002C2E51"/>
    <w:rsid w:val="002C2F4A"/>
    <w:rsid w:val="002C30A7"/>
    <w:rsid w:val="002C3297"/>
    <w:rsid w:val="002C3DB9"/>
    <w:rsid w:val="002C431F"/>
    <w:rsid w:val="002C437A"/>
    <w:rsid w:val="002C4C80"/>
    <w:rsid w:val="002C522F"/>
    <w:rsid w:val="002C52BF"/>
    <w:rsid w:val="002C54C1"/>
    <w:rsid w:val="002C556D"/>
    <w:rsid w:val="002C5DB9"/>
    <w:rsid w:val="002C5DE6"/>
    <w:rsid w:val="002C5E42"/>
    <w:rsid w:val="002C6236"/>
    <w:rsid w:val="002C62A6"/>
    <w:rsid w:val="002C6444"/>
    <w:rsid w:val="002C6677"/>
    <w:rsid w:val="002C69BD"/>
    <w:rsid w:val="002C6D69"/>
    <w:rsid w:val="002C6F73"/>
    <w:rsid w:val="002C70A1"/>
    <w:rsid w:val="002C70D8"/>
    <w:rsid w:val="002C7140"/>
    <w:rsid w:val="002C7212"/>
    <w:rsid w:val="002C77C6"/>
    <w:rsid w:val="002C7974"/>
    <w:rsid w:val="002C7C1A"/>
    <w:rsid w:val="002C7E63"/>
    <w:rsid w:val="002D006A"/>
    <w:rsid w:val="002D04A7"/>
    <w:rsid w:val="002D04CF"/>
    <w:rsid w:val="002D05B5"/>
    <w:rsid w:val="002D0B64"/>
    <w:rsid w:val="002D0E5F"/>
    <w:rsid w:val="002D11A3"/>
    <w:rsid w:val="002D16DB"/>
    <w:rsid w:val="002D18FC"/>
    <w:rsid w:val="002D19B4"/>
    <w:rsid w:val="002D19F6"/>
    <w:rsid w:val="002D1BD4"/>
    <w:rsid w:val="002D20A7"/>
    <w:rsid w:val="002D20EC"/>
    <w:rsid w:val="002D21E4"/>
    <w:rsid w:val="002D22A0"/>
    <w:rsid w:val="002D27B5"/>
    <w:rsid w:val="002D2973"/>
    <w:rsid w:val="002D2B57"/>
    <w:rsid w:val="002D2F09"/>
    <w:rsid w:val="002D301D"/>
    <w:rsid w:val="002D30DF"/>
    <w:rsid w:val="002D33D6"/>
    <w:rsid w:val="002D34BC"/>
    <w:rsid w:val="002D35C3"/>
    <w:rsid w:val="002D35D0"/>
    <w:rsid w:val="002D3E40"/>
    <w:rsid w:val="002D3F35"/>
    <w:rsid w:val="002D4489"/>
    <w:rsid w:val="002D44CD"/>
    <w:rsid w:val="002D4703"/>
    <w:rsid w:val="002D4769"/>
    <w:rsid w:val="002D4A5F"/>
    <w:rsid w:val="002D4BBD"/>
    <w:rsid w:val="002D5130"/>
    <w:rsid w:val="002D535D"/>
    <w:rsid w:val="002D548B"/>
    <w:rsid w:val="002D5528"/>
    <w:rsid w:val="002D57E2"/>
    <w:rsid w:val="002D588F"/>
    <w:rsid w:val="002D58C0"/>
    <w:rsid w:val="002D58E5"/>
    <w:rsid w:val="002D5E9D"/>
    <w:rsid w:val="002D5EC3"/>
    <w:rsid w:val="002D60FB"/>
    <w:rsid w:val="002D67B0"/>
    <w:rsid w:val="002D6996"/>
    <w:rsid w:val="002D6AB5"/>
    <w:rsid w:val="002D7D47"/>
    <w:rsid w:val="002E01CA"/>
    <w:rsid w:val="002E025C"/>
    <w:rsid w:val="002E0263"/>
    <w:rsid w:val="002E077B"/>
    <w:rsid w:val="002E0949"/>
    <w:rsid w:val="002E0B8F"/>
    <w:rsid w:val="002E0C25"/>
    <w:rsid w:val="002E0C56"/>
    <w:rsid w:val="002E0D3A"/>
    <w:rsid w:val="002E116E"/>
    <w:rsid w:val="002E12C5"/>
    <w:rsid w:val="002E149C"/>
    <w:rsid w:val="002E1AA5"/>
    <w:rsid w:val="002E1E43"/>
    <w:rsid w:val="002E231E"/>
    <w:rsid w:val="002E2330"/>
    <w:rsid w:val="002E26B3"/>
    <w:rsid w:val="002E2CBA"/>
    <w:rsid w:val="002E2D95"/>
    <w:rsid w:val="002E31A4"/>
    <w:rsid w:val="002E343A"/>
    <w:rsid w:val="002E374F"/>
    <w:rsid w:val="002E3AD5"/>
    <w:rsid w:val="002E3B74"/>
    <w:rsid w:val="002E3C2E"/>
    <w:rsid w:val="002E45C4"/>
    <w:rsid w:val="002E4724"/>
    <w:rsid w:val="002E475C"/>
    <w:rsid w:val="002E5039"/>
    <w:rsid w:val="002E52B7"/>
    <w:rsid w:val="002E5308"/>
    <w:rsid w:val="002E5AF6"/>
    <w:rsid w:val="002E604B"/>
    <w:rsid w:val="002E6106"/>
    <w:rsid w:val="002E6559"/>
    <w:rsid w:val="002E66AB"/>
    <w:rsid w:val="002E679B"/>
    <w:rsid w:val="002E685A"/>
    <w:rsid w:val="002E6ABC"/>
    <w:rsid w:val="002E6AC8"/>
    <w:rsid w:val="002E6BBE"/>
    <w:rsid w:val="002E703D"/>
    <w:rsid w:val="002E75A6"/>
    <w:rsid w:val="002E75F5"/>
    <w:rsid w:val="002E7602"/>
    <w:rsid w:val="002E7A37"/>
    <w:rsid w:val="002E7FD0"/>
    <w:rsid w:val="002F00FF"/>
    <w:rsid w:val="002F0ED2"/>
    <w:rsid w:val="002F11F3"/>
    <w:rsid w:val="002F148F"/>
    <w:rsid w:val="002F1777"/>
    <w:rsid w:val="002F1911"/>
    <w:rsid w:val="002F1D8C"/>
    <w:rsid w:val="002F1EE5"/>
    <w:rsid w:val="002F20F7"/>
    <w:rsid w:val="002F2CDC"/>
    <w:rsid w:val="002F2D17"/>
    <w:rsid w:val="002F2D68"/>
    <w:rsid w:val="002F3582"/>
    <w:rsid w:val="002F3F2F"/>
    <w:rsid w:val="002F40F4"/>
    <w:rsid w:val="002F45ED"/>
    <w:rsid w:val="002F460A"/>
    <w:rsid w:val="002F46E1"/>
    <w:rsid w:val="002F4D7D"/>
    <w:rsid w:val="002F4DCF"/>
    <w:rsid w:val="002F52A7"/>
    <w:rsid w:val="002F5553"/>
    <w:rsid w:val="002F55A8"/>
    <w:rsid w:val="002F5751"/>
    <w:rsid w:val="002F5C0F"/>
    <w:rsid w:val="002F5F03"/>
    <w:rsid w:val="002F606E"/>
    <w:rsid w:val="002F62A3"/>
    <w:rsid w:val="002F6316"/>
    <w:rsid w:val="002F660C"/>
    <w:rsid w:val="002F68FD"/>
    <w:rsid w:val="002F6A62"/>
    <w:rsid w:val="002F6C84"/>
    <w:rsid w:val="002F6E2D"/>
    <w:rsid w:val="002F6F98"/>
    <w:rsid w:val="002F6FE1"/>
    <w:rsid w:val="002F70F9"/>
    <w:rsid w:val="002F7233"/>
    <w:rsid w:val="002F7773"/>
    <w:rsid w:val="002F796A"/>
    <w:rsid w:val="002F797E"/>
    <w:rsid w:val="002F79F4"/>
    <w:rsid w:val="002F7FCB"/>
    <w:rsid w:val="0030014C"/>
    <w:rsid w:val="0030063B"/>
    <w:rsid w:val="003006A0"/>
    <w:rsid w:val="003007B5"/>
    <w:rsid w:val="00300809"/>
    <w:rsid w:val="003008E9"/>
    <w:rsid w:val="00300AA0"/>
    <w:rsid w:val="00301371"/>
    <w:rsid w:val="0030137B"/>
    <w:rsid w:val="0030172B"/>
    <w:rsid w:val="00301897"/>
    <w:rsid w:val="00301B2D"/>
    <w:rsid w:val="00301E85"/>
    <w:rsid w:val="00301ED5"/>
    <w:rsid w:val="00302084"/>
    <w:rsid w:val="00302635"/>
    <w:rsid w:val="00302826"/>
    <w:rsid w:val="003029AA"/>
    <w:rsid w:val="00302CD5"/>
    <w:rsid w:val="00302DEE"/>
    <w:rsid w:val="00302EA9"/>
    <w:rsid w:val="00303552"/>
    <w:rsid w:val="0030379A"/>
    <w:rsid w:val="0030383E"/>
    <w:rsid w:val="003038AA"/>
    <w:rsid w:val="00303ADC"/>
    <w:rsid w:val="00303AFA"/>
    <w:rsid w:val="00303B82"/>
    <w:rsid w:val="00303C15"/>
    <w:rsid w:val="00303CA2"/>
    <w:rsid w:val="00303F08"/>
    <w:rsid w:val="00304142"/>
    <w:rsid w:val="00304161"/>
    <w:rsid w:val="00304560"/>
    <w:rsid w:val="00304678"/>
    <w:rsid w:val="00304717"/>
    <w:rsid w:val="00304C02"/>
    <w:rsid w:val="00304CD8"/>
    <w:rsid w:val="00304D95"/>
    <w:rsid w:val="00305460"/>
    <w:rsid w:val="00305670"/>
    <w:rsid w:val="00305763"/>
    <w:rsid w:val="00305932"/>
    <w:rsid w:val="00305947"/>
    <w:rsid w:val="00306732"/>
    <w:rsid w:val="00306974"/>
    <w:rsid w:val="00306A0B"/>
    <w:rsid w:val="003070FA"/>
    <w:rsid w:val="00307186"/>
    <w:rsid w:val="003077A5"/>
    <w:rsid w:val="003078B9"/>
    <w:rsid w:val="00307F9B"/>
    <w:rsid w:val="00310043"/>
    <w:rsid w:val="0031029F"/>
    <w:rsid w:val="003103BE"/>
    <w:rsid w:val="0031087F"/>
    <w:rsid w:val="00310C67"/>
    <w:rsid w:val="00310D49"/>
    <w:rsid w:val="00310F45"/>
    <w:rsid w:val="0031134B"/>
    <w:rsid w:val="00311460"/>
    <w:rsid w:val="0031174E"/>
    <w:rsid w:val="00311824"/>
    <w:rsid w:val="00311971"/>
    <w:rsid w:val="00311EFA"/>
    <w:rsid w:val="003121A6"/>
    <w:rsid w:val="00312777"/>
    <w:rsid w:val="003127D5"/>
    <w:rsid w:val="00312878"/>
    <w:rsid w:val="00312888"/>
    <w:rsid w:val="00312B67"/>
    <w:rsid w:val="00312DF5"/>
    <w:rsid w:val="003130F1"/>
    <w:rsid w:val="003131DA"/>
    <w:rsid w:val="00313290"/>
    <w:rsid w:val="003132D1"/>
    <w:rsid w:val="00313783"/>
    <w:rsid w:val="00313C71"/>
    <w:rsid w:val="00313C7C"/>
    <w:rsid w:val="00313FC1"/>
    <w:rsid w:val="00314513"/>
    <w:rsid w:val="00314563"/>
    <w:rsid w:val="003148D6"/>
    <w:rsid w:val="00314BF3"/>
    <w:rsid w:val="003152E9"/>
    <w:rsid w:val="003153EE"/>
    <w:rsid w:val="003155D2"/>
    <w:rsid w:val="003155D5"/>
    <w:rsid w:val="0031567F"/>
    <w:rsid w:val="0031576D"/>
    <w:rsid w:val="00315A8B"/>
    <w:rsid w:val="0031643E"/>
    <w:rsid w:val="003165AF"/>
    <w:rsid w:val="00316616"/>
    <w:rsid w:val="003167B5"/>
    <w:rsid w:val="00316839"/>
    <w:rsid w:val="00316B0F"/>
    <w:rsid w:val="00316E30"/>
    <w:rsid w:val="0031716C"/>
    <w:rsid w:val="003174A2"/>
    <w:rsid w:val="00317519"/>
    <w:rsid w:val="00317969"/>
    <w:rsid w:val="00317C18"/>
    <w:rsid w:val="00317DE3"/>
    <w:rsid w:val="003200AD"/>
    <w:rsid w:val="003203F1"/>
    <w:rsid w:val="00320566"/>
    <w:rsid w:val="00320678"/>
    <w:rsid w:val="0032087F"/>
    <w:rsid w:val="00320996"/>
    <w:rsid w:val="00320C76"/>
    <w:rsid w:val="00320DBB"/>
    <w:rsid w:val="00321505"/>
    <w:rsid w:val="00321874"/>
    <w:rsid w:val="00321887"/>
    <w:rsid w:val="003218FA"/>
    <w:rsid w:val="003223DE"/>
    <w:rsid w:val="0032244B"/>
    <w:rsid w:val="003226F3"/>
    <w:rsid w:val="003228AC"/>
    <w:rsid w:val="00322B57"/>
    <w:rsid w:val="00322C1B"/>
    <w:rsid w:val="00322FCD"/>
    <w:rsid w:val="0032310A"/>
    <w:rsid w:val="0032348D"/>
    <w:rsid w:val="0032357F"/>
    <w:rsid w:val="00323783"/>
    <w:rsid w:val="003239FE"/>
    <w:rsid w:val="00323DC0"/>
    <w:rsid w:val="00323F7B"/>
    <w:rsid w:val="00324208"/>
    <w:rsid w:val="003245AA"/>
    <w:rsid w:val="00324674"/>
    <w:rsid w:val="00324AF7"/>
    <w:rsid w:val="00325827"/>
    <w:rsid w:val="003258A7"/>
    <w:rsid w:val="003259A3"/>
    <w:rsid w:val="00325A7A"/>
    <w:rsid w:val="00325ABC"/>
    <w:rsid w:val="00325E22"/>
    <w:rsid w:val="00325E50"/>
    <w:rsid w:val="0032670D"/>
    <w:rsid w:val="00326B19"/>
    <w:rsid w:val="00326BB2"/>
    <w:rsid w:val="00326BD8"/>
    <w:rsid w:val="00326EA2"/>
    <w:rsid w:val="00326ED8"/>
    <w:rsid w:val="00326EFB"/>
    <w:rsid w:val="00326F1D"/>
    <w:rsid w:val="00326FFB"/>
    <w:rsid w:val="00327CD1"/>
    <w:rsid w:val="00327D35"/>
    <w:rsid w:val="00330636"/>
    <w:rsid w:val="003308AC"/>
    <w:rsid w:val="00330B40"/>
    <w:rsid w:val="00330B78"/>
    <w:rsid w:val="00331156"/>
    <w:rsid w:val="003311C4"/>
    <w:rsid w:val="0033180A"/>
    <w:rsid w:val="00331E9C"/>
    <w:rsid w:val="00331FBE"/>
    <w:rsid w:val="0033253F"/>
    <w:rsid w:val="0033295D"/>
    <w:rsid w:val="0033296A"/>
    <w:rsid w:val="00332DFF"/>
    <w:rsid w:val="00332E1E"/>
    <w:rsid w:val="003330CD"/>
    <w:rsid w:val="00333128"/>
    <w:rsid w:val="00333223"/>
    <w:rsid w:val="0033335F"/>
    <w:rsid w:val="003334F6"/>
    <w:rsid w:val="00333646"/>
    <w:rsid w:val="003337D5"/>
    <w:rsid w:val="00333CC1"/>
    <w:rsid w:val="00333D1F"/>
    <w:rsid w:val="00333DBC"/>
    <w:rsid w:val="003344B4"/>
    <w:rsid w:val="003346CE"/>
    <w:rsid w:val="00334BD6"/>
    <w:rsid w:val="00334DF1"/>
    <w:rsid w:val="0033515F"/>
    <w:rsid w:val="00335467"/>
    <w:rsid w:val="00335474"/>
    <w:rsid w:val="00335589"/>
    <w:rsid w:val="003355AC"/>
    <w:rsid w:val="003356C8"/>
    <w:rsid w:val="003357EF"/>
    <w:rsid w:val="00335AFA"/>
    <w:rsid w:val="00335E52"/>
    <w:rsid w:val="0033610B"/>
    <w:rsid w:val="003367A4"/>
    <w:rsid w:val="003367B9"/>
    <w:rsid w:val="00336847"/>
    <w:rsid w:val="00337748"/>
    <w:rsid w:val="00337797"/>
    <w:rsid w:val="003377BE"/>
    <w:rsid w:val="00337F41"/>
    <w:rsid w:val="00340294"/>
    <w:rsid w:val="00340466"/>
    <w:rsid w:val="003407F9"/>
    <w:rsid w:val="00340821"/>
    <w:rsid w:val="00340878"/>
    <w:rsid w:val="00340B0C"/>
    <w:rsid w:val="00340B20"/>
    <w:rsid w:val="00340B7E"/>
    <w:rsid w:val="00340BFC"/>
    <w:rsid w:val="00340C3A"/>
    <w:rsid w:val="00340D58"/>
    <w:rsid w:val="00340F8A"/>
    <w:rsid w:val="00341011"/>
    <w:rsid w:val="0034111B"/>
    <w:rsid w:val="00341440"/>
    <w:rsid w:val="003414D2"/>
    <w:rsid w:val="00341619"/>
    <w:rsid w:val="003416BB"/>
    <w:rsid w:val="003417AD"/>
    <w:rsid w:val="00341A8C"/>
    <w:rsid w:val="003422F0"/>
    <w:rsid w:val="0034257E"/>
    <w:rsid w:val="003425B1"/>
    <w:rsid w:val="00342877"/>
    <w:rsid w:val="00342895"/>
    <w:rsid w:val="00342A74"/>
    <w:rsid w:val="00343161"/>
    <w:rsid w:val="0034333F"/>
    <w:rsid w:val="00343BF3"/>
    <w:rsid w:val="00343DB9"/>
    <w:rsid w:val="00343DE7"/>
    <w:rsid w:val="00344018"/>
    <w:rsid w:val="00344502"/>
    <w:rsid w:val="00344F56"/>
    <w:rsid w:val="003451F5"/>
    <w:rsid w:val="0034538F"/>
    <w:rsid w:val="00345754"/>
    <w:rsid w:val="003459BC"/>
    <w:rsid w:val="00345B71"/>
    <w:rsid w:val="00345C1B"/>
    <w:rsid w:val="003460E4"/>
    <w:rsid w:val="003461BF"/>
    <w:rsid w:val="0034641E"/>
    <w:rsid w:val="003469F1"/>
    <w:rsid w:val="00346A8C"/>
    <w:rsid w:val="00346C96"/>
    <w:rsid w:val="00346DBB"/>
    <w:rsid w:val="00346F98"/>
    <w:rsid w:val="00347009"/>
    <w:rsid w:val="00347056"/>
    <w:rsid w:val="00347992"/>
    <w:rsid w:val="00347A22"/>
    <w:rsid w:val="00347A62"/>
    <w:rsid w:val="00347C30"/>
    <w:rsid w:val="00347D0F"/>
    <w:rsid w:val="00347E52"/>
    <w:rsid w:val="003501F6"/>
    <w:rsid w:val="0035085E"/>
    <w:rsid w:val="00350A0C"/>
    <w:rsid w:val="00350DD2"/>
    <w:rsid w:val="00350E74"/>
    <w:rsid w:val="003511E5"/>
    <w:rsid w:val="00351203"/>
    <w:rsid w:val="0035121C"/>
    <w:rsid w:val="00351338"/>
    <w:rsid w:val="00351892"/>
    <w:rsid w:val="0035194B"/>
    <w:rsid w:val="00351D3A"/>
    <w:rsid w:val="0035204D"/>
    <w:rsid w:val="00352335"/>
    <w:rsid w:val="00352505"/>
    <w:rsid w:val="0035275B"/>
    <w:rsid w:val="003528A0"/>
    <w:rsid w:val="003528AE"/>
    <w:rsid w:val="00352904"/>
    <w:rsid w:val="00352A62"/>
    <w:rsid w:val="00352B17"/>
    <w:rsid w:val="00352B55"/>
    <w:rsid w:val="0035304A"/>
    <w:rsid w:val="0035309B"/>
    <w:rsid w:val="00353211"/>
    <w:rsid w:val="00353449"/>
    <w:rsid w:val="0035349D"/>
    <w:rsid w:val="003535A7"/>
    <w:rsid w:val="00353C5E"/>
    <w:rsid w:val="00354018"/>
    <w:rsid w:val="0035403B"/>
    <w:rsid w:val="0035409E"/>
    <w:rsid w:val="003540FA"/>
    <w:rsid w:val="00354733"/>
    <w:rsid w:val="00354A12"/>
    <w:rsid w:val="00355379"/>
    <w:rsid w:val="00355785"/>
    <w:rsid w:val="00355AC5"/>
    <w:rsid w:val="00355E65"/>
    <w:rsid w:val="003560BC"/>
    <w:rsid w:val="0035613B"/>
    <w:rsid w:val="003561CB"/>
    <w:rsid w:val="00356253"/>
    <w:rsid w:val="0035669B"/>
    <w:rsid w:val="00356AA4"/>
    <w:rsid w:val="00356CA6"/>
    <w:rsid w:val="003571FB"/>
    <w:rsid w:val="0035750A"/>
    <w:rsid w:val="00357680"/>
    <w:rsid w:val="003576BC"/>
    <w:rsid w:val="00357982"/>
    <w:rsid w:val="00357B69"/>
    <w:rsid w:val="00357D33"/>
    <w:rsid w:val="00360137"/>
    <w:rsid w:val="0036027D"/>
    <w:rsid w:val="0036059C"/>
    <w:rsid w:val="003605E3"/>
    <w:rsid w:val="003607FD"/>
    <w:rsid w:val="003608F6"/>
    <w:rsid w:val="00360AD9"/>
    <w:rsid w:val="00360C49"/>
    <w:rsid w:val="00360CF1"/>
    <w:rsid w:val="00360DA1"/>
    <w:rsid w:val="00360DAA"/>
    <w:rsid w:val="0036101D"/>
    <w:rsid w:val="003611C4"/>
    <w:rsid w:val="003614B0"/>
    <w:rsid w:val="003614B8"/>
    <w:rsid w:val="003617B8"/>
    <w:rsid w:val="00361C84"/>
    <w:rsid w:val="00361EC8"/>
    <w:rsid w:val="00361F52"/>
    <w:rsid w:val="00362919"/>
    <w:rsid w:val="00362B31"/>
    <w:rsid w:val="00362C4B"/>
    <w:rsid w:val="00362EBE"/>
    <w:rsid w:val="003634EA"/>
    <w:rsid w:val="003636FB"/>
    <w:rsid w:val="00363A15"/>
    <w:rsid w:val="00363B12"/>
    <w:rsid w:val="00363B7D"/>
    <w:rsid w:val="00363CDC"/>
    <w:rsid w:val="00363ECF"/>
    <w:rsid w:val="003646FB"/>
    <w:rsid w:val="00364A55"/>
    <w:rsid w:val="00364B2A"/>
    <w:rsid w:val="00364C5E"/>
    <w:rsid w:val="00365560"/>
    <w:rsid w:val="00365701"/>
    <w:rsid w:val="0036573A"/>
    <w:rsid w:val="00365C66"/>
    <w:rsid w:val="00365E23"/>
    <w:rsid w:val="0036635B"/>
    <w:rsid w:val="0036668C"/>
    <w:rsid w:val="003669A6"/>
    <w:rsid w:val="00366BFF"/>
    <w:rsid w:val="0036726C"/>
    <w:rsid w:val="00367366"/>
    <w:rsid w:val="0036747E"/>
    <w:rsid w:val="00367EF1"/>
    <w:rsid w:val="003701AC"/>
    <w:rsid w:val="00370640"/>
    <w:rsid w:val="00370645"/>
    <w:rsid w:val="003708D0"/>
    <w:rsid w:val="003709AB"/>
    <w:rsid w:val="00371090"/>
    <w:rsid w:val="003710E4"/>
    <w:rsid w:val="00371DBB"/>
    <w:rsid w:val="003725BF"/>
    <w:rsid w:val="003725E3"/>
    <w:rsid w:val="00372697"/>
    <w:rsid w:val="00372773"/>
    <w:rsid w:val="0037281D"/>
    <w:rsid w:val="003728D7"/>
    <w:rsid w:val="00372C0F"/>
    <w:rsid w:val="00372EC1"/>
    <w:rsid w:val="00372F8A"/>
    <w:rsid w:val="00372FB3"/>
    <w:rsid w:val="0037312C"/>
    <w:rsid w:val="003731C3"/>
    <w:rsid w:val="00373F94"/>
    <w:rsid w:val="00374200"/>
    <w:rsid w:val="003742E9"/>
    <w:rsid w:val="00374549"/>
    <w:rsid w:val="00374761"/>
    <w:rsid w:val="0037484D"/>
    <w:rsid w:val="00374C13"/>
    <w:rsid w:val="00374DC9"/>
    <w:rsid w:val="00375112"/>
    <w:rsid w:val="0037517D"/>
    <w:rsid w:val="00375406"/>
    <w:rsid w:val="003756A8"/>
    <w:rsid w:val="003756CE"/>
    <w:rsid w:val="00375DF8"/>
    <w:rsid w:val="0037647F"/>
    <w:rsid w:val="00376778"/>
    <w:rsid w:val="003768BA"/>
    <w:rsid w:val="00376B6A"/>
    <w:rsid w:val="00376F70"/>
    <w:rsid w:val="0037705C"/>
    <w:rsid w:val="0037727F"/>
    <w:rsid w:val="003772B2"/>
    <w:rsid w:val="003777E2"/>
    <w:rsid w:val="00377A00"/>
    <w:rsid w:val="00377A90"/>
    <w:rsid w:val="00377E05"/>
    <w:rsid w:val="00377E1A"/>
    <w:rsid w:val="0038054D"/>
    <w:rsid w:val="0038083C"/>
    <w:rsid w:val="00380FD2"/>
    <w:rsid w:val="003810E3"/>
    <w:rsid w:val="00381260"/>
    <w:rsid w:val="00381717"/>
    <w:rsid w:val="00381992"/>
    <w:rsid w:val="00381E70"/>
    <w:rsid w:val="00381F15"/>
    <w:rsid w:val="00381FA2"/>
    <w:rsid w:val="00381FB9"/>
    <w:rsid w:val="003821E7"/>
    <w:rsid w:val="00382324"/>
    <w:rsid w:val="00382326"/>
    <w:rsid w:val="003823A0"/>
    <w:rsid w:val="0038258C"/>
    <w:rsid w:val="00382636"/>
    <w:rsid w:val="0038295E"/>
    <w:rsid w:val="00382F70"/>
    <w:rsid w:val="00382F73"/>
    <w:rsid w:val="003831BC"/>
    <w:rsid w:val="003832AD"/>
    <w:rsid w:val="003833C5"/>
    <w:rsid w:val="00383718"/>
    <w:rsid w:val="003837CD"/>
    <w:rsid w:val="00383846"/>
    <w:rsid w:val="00383BA8"/>
    <w:rsid w:val="00383E45"/>
    <w:rsid w:val="0038417A"/>
    <w:rsid w:val="00384248"/>
    <w:rsid w:val="0038461D"/>
    <w:rsid w:val="0038480A"/>
    <w:rsid w:val="00384985"/>
    <w:rsid w:val="00384AB5"/>
    <w:rsid w:val="00384BC3"/>
    <w:rsid w:val="00384C92"/>
    <w:rsid w:val="00384D49"/>
    <w:rsid w:val="00384D9B"/>
    <w:rsid w:val="00384DD8"/>
    <w:rsid w:val="00384E83"/>
    <w:rsid w:val="00384F61"/>
    <w:rsid w:val="003852C5"/>
    <w:rsid w:val="0038552F"/>
    <w:rsid w:val="0038555F"/>
    <w:rsid w:val="0038567B"/>
    <w:rsid w:val="00385912"/>
    <w:rsid w:val="00385979"/>
    <w:rsid w:val="00385A4E"/>
    <w:rsid w:val="00385A72"/>
    <w:rsid w:val="00385D3D"/>
    <w:rsid w:val="003860AE"/>
    <w:rsid w:val="003861D5"/>
    <w:rsid w:val="00386D50"/>
    <w:rsid w:val="003876EA"/>
    <w:rsid w:val="00387938"/>
    <w:rsid w:val="003879E4"/>
    <w:rsid w:val="00387EAE"/>
    <w:rsid w:val="00387EC3"/>
    <w:rsid w:val="003900E9"/>
    <w:rsid w:val="0039048C"/>
    <w:rsid w:val="00390685"/>
    <w:rsid w:val="00390736"/>
    <w:rsid w:val="00390D13"/>
    <w:rsid w:val="00390D22"/>
    <w:rsid w:val="00390E7A"/>
    <w:rsid w:val="00390E8D"/>
    <w:rsid w:val="0039114E"/>
    <w:rsid w:val="00391591"/>
    <w:rsid w:val="00391716"/>
    <w:rsid w:val="0039191D"/>
    <w:rsid w:val="00391ABF"/>
    <w:rsid w:val="00391E30"/>
    <w:rsid w:val="00391E36"/>
    <w:rsid w:val="00392145"/>
    <w:rsid w:val="003922C1"/>
    <w:rsid w:val="003924E4"/>
    <w:rsid w:val="00392524"/>
    <w:rsid w:val="0039291E"/>
    <w:rsid w:val="00392970"/>
    <w:rsid w:val="003936DF"/>
    <w:rsid w:val="00393895"/>
    <w:rsid w:val="003939CA"/>
    <w:rsid w:val="00393CE6"/>
    <w:rsid w:val="00393DE6"/>
    <w:rsid w:val="00393EDF"/>
    <w:rsid w:val="00394211"/>
    <w:rsid w:val="0039438A"/>
    <w:rsid w:val="00394791"/>
    <w:rsid w:val="003947BF"/>
    <w:rsid w:val="00394BB3"/>
    <w:rsid w:val="00394D2B"/>
    <w:rsid w:val="00395229"/>
    <w:rsid w:val="00395286"/>
    <w:rsid w:val="00395389"/>
    <w:rsid w:val="0039554C"/>
    <w:rsid w:val="00395CF6"/>
    <w:rsid w:val="00395EDC"/>
    <w:rsid w:val="00395F99"/>
    <w:rsid w:val="00396437"/>
    <w:rsid w:val="0039687E"/>
    <w:rsid w:val="0039695D"/>
    <w:rsid w:val="00396A34"/>
    <w:rsid w:val="00396DC3"/>
    <w:rsid w:val="00396F82"/>
    <w:rsid w:val="0039769A"/>
    <w:rsid w:val="00397AE9"/>
    <w:rsid w:val="003A0277"/>
    <w:rsid w:val="003A0316"/>
    <w:rsid w:val="003A063D"/>
    <w:rsid w:val="003A090B"/>
    <w:rsid w:val="003A094A"/>
    <w:rsid w:val="003A0CB0"/>
    <w:rsid w:val="003A0F3D"/>
    <w:rsid w:val="003A12D7"/>
    <w:rsid w:val="003A13DE"/>
    <w:rsid w:val="003A17C3"/>
    <w:rsid w:val="003A1C92"/>
    <w:rsid w:val="003A21F8"/>
    <w:rsid w:val="003A2805"/>
    <w:rsid w:val="003A284B"/>
    <w:rsid w:val="003A2A56"/>
    <w:rsid w:val="003A2D67"/>
    <w:rsid w:val="003A30DA"/>
    <w:rsid w:val="003A36CE"/>
    <w:rsid w:val="003A3E68"/>
    <w:rsid w:val="003A4098"/>
    <w:rsid w:val="003A4340"/>
    <w:rsid w:val="003A4362"/>
    <w:rsid w:val="003A43B4"/>
    <w:rsid w:val="003A46E9"/>
    <w:rsid w:val="003A472D"/>
    <w:rsid w:val="003A4883"/>
    <w:rsid w:val="003A4A86"/>
    <w:rsid w:val="003A4C36"/>
    <w:rsid w:val="003A4C84"/>
    <w:rsid w:val="003A4D19"/>
    <w:rsid w:val="003A4FFA"/>
    <w:rsid w:val="003A510B"/>
    <w:rsid w:val="003A5438"/>
    <w:rsid w:val="003A54F3"/>
    <w:rsid w:val="003A550E"/>
    <w:rsid w:val="003A5C62"/>
    <w:rsid w:val="003A5D4F"/>
    <w:rsid w:val="003A6191"/>
    <w:rsid w:val="003A684C"/>
    <w:rsid w:val="003A6A5D"/>
    <w:rsid w:val="003A6D5D"/>
    <w:rsid w:val="003A6EBC"/>
    <w:rsid w:val="003A7518"/>
    <w:rsid w:val="003A77A6"/>
    <w:rsid w:val="003A7D3E"/>
    <w:rsid w:val="003A7DBA"/>
    <w:rsid w:val="003B01FF"/>
    <w:rsid w:val="003B053E"/>
    <w:rsid w:val="003B054B"/>
    <w:rsid w:val="003B07B8"/>
    <w:rsid w:val="003B0B3A"/>
    <w:rsid w:val="003B0DB6"/>
    <w:rsid w:val="003B0E84"/>
    <w:rsid w:val="003B0F1F"/>
    <w:rsid w:val="003B10A8"/>
    <w:rsid w:val="003B12C9"/>
    <w:rsid w:val="003B1371"/>
    <w:rsid w:val="003B1636"/>
    <w:rsid w:val="003B197A"/>
    <w:rsid w:val="003B1EE3"/>
    <w:rsid w:val="003B1F5E"/>
    <w:rsid w:val="003B2481"/>
    <w:rsid w:val="003B2537"/>
    <w:rsid w:val="003B29A6"/>
    <w:rsid w:val="003B2CAD"/>
    <w:rsid w:val="003B2E7E"/>
    <w:rsid w:val="003B2F22"/>
    <w:rsid w:val="003B3072"/>
    <w:rsid w:val="003B310A"/>
    <w:rsid w:val="003B33B7"/>
    <w:rsid w:val="003B3412"/>
    <w:rsid w:val="003B3441"/>
    <w:rsid w:val="003B37BC"/>
    <w:rsid w:val="003B3B2E"/>
    <w:rsid w:val="003B4158"/>
    <w:rsid w:val="003B41FC"/>
    <w:rsid w:val="003B45C0"/>
    <w:rsid w:val="003B4634"/>
    <w:rsid w:val="003B4B2A"/>
    <w:rsid w:val="003B4DB9"/>
    <w:rsid w:val="003B4F05"/>
    <w:rsid w:val="003B5035"/>
    <w:rsid w:val="003B5174"/>
    <w:rsid w:val="003B6183"/>
    <w:rsid w:val="003B61EE"/>
    <w:rsid w:val="003B631E"/>
    <w:rsid w:val="003B6C06"/>
    <w:rsid w:val="003B6CD9"/>
    <w:rsid w:val="003B6FEC"/>
    <w:rsid w:val="003B70FD"/>
    <w:rsid w:val="003B71CE"/>
    <w:rsid w:val="003B730A"/>
    <w:rsid w:val="003B769E"/>
    <w:rsid w:val="003B7B96"/>
    <w:rsid w:val="003B7C0A"/>
    <w:rsid w:val="003C0190"/>
    <w:rsid w:val="003C021F"/>
    <w:rsid w:val="003C048B"/>
    <w:rsid w:val="003C052B"/>
    <w:rsid w:val="003C0C33"/>
    <w:rsid w:val="003C0EB4"/>
    <w:rsid w:val="003C0FB8"/>
    <w:rsid w:val="003C105F"/>
    <w:rsid w:val="003C118B"/>
    <w:rsid w:val="003C11A8"/>
    <w:rsid w:val="003C1D4C"/>
    <w:rsid w:val="003C2213"/>
    <w:rsid w:val="003C2965"/>
    <w:rsid w:val="003C2F1E"/>
    <w:rsid w:val="003C2F67"/>
    <w:rsid w:val="003C30BF"/>
    <w:rsid w:val="003C3307"/>
    <w:rsid w:val="003C33A6"/>
    <w:rsid w:val="003C346F"/>
    <w:rsid w:val="003C37A3"/>
    <w:rsid w:val="003C3FC4"/>
    <w:rsid w:val="003C4281"/>
    <w:rsid w:val="003C4BBF"/>
    <w:rsid w:val="003C4C26"/>
    <w:rsid w:val="003C4C2D"/>
    <w:rsid w:val="003C521E"/>
    <w:rsid w:val="003C529D"/>
    <w:rsid w:val="003C54A5"/>
    <w:rsid w:val="003C5606"/>
    <w:rsid w:val="003C590E"/>
    <w:rsid w:val="003C594E"/>
    <w:rsid w:val="003C5E63"/>
    <w:rsid w:val="003C6565"/>
    <w:rsid w:val="003C67CB"/>
    <w:rsid w:val="003C7091"/>
    <w:rsid w:val="003C75E7"/>
    <w:rsid w:val="003C78AC"/>
    <w:rsid w:val="003C7B96"/>
    <w:rsid w:val="003C7E88"/>
    <w:rsid w:val="003D000A"/>
    <w:rsid w:val="003D04CC"/>
    <w:rsid w:val="003D04D6"/>
    <w:rsid w:val="003D0AB5"/>
    <w:rsid w:val="003D0BAF"/>
    <w:rsid w:val="003D0C96"/>
    <w:rsid w:val="003D0D3C"/>
    <w:rsid w:val="003D0F30"/>
    <w:rsid w:val="003D15BF"/>
    <w:rsid w:val="003D1A87"/>
    <w:rsid w:val="003D1C3F"/>
    <w:rsid w:val="003D1CBB"/>
    <w:rsid w:val="003D1E1C"/>
    <w:rsid w:val="003D1E88"/>
    <w:rsid w:val="003D1E97"/>
    <w:rsid w:val="003D1FF9"/>
    <w:rsid w:val="003D248C"/>
    <w:rsid w:val="003D2743"/>
    <w:rsid w:val="003D28ED"/>
    <w:rsid w:val="003D2999"/>
    <w:rsid w:val="003D2A68"/>
    <w:rsid w:val="003D2DC7"/>
    <w:rsid w:val="003D3EC6"/>
    <w:rsid w:val="003D44F6"/>
    <w:rsid w:val="003D4660"/>
    <w:rsid w:val="003D4A83"/>
    <w:rsid w:val="003D4A8D"/>
    <w:rsid w:val="003D583D"/>
    <w:rsid w:val="003D58FC"/>
    <w:rsid w:val="003D5A4A"/>
    <w:rsid w:val="003D5A9B"/>
    <w:rsid w:val="003D5AB0"/>
    <w:rsid w:val="003D5D51"/>
    <w:rsid w:val="003D5F07"/>
    <w:rsid w:val="003D6678"/>
    <w:rsid w:val="003D6860"/>
    <w:rsid w:val="003D68FD"/>
    <w:rsid w:val="003D6A24"/>
    <w:rsid w:val="003D6A9A"/>
    <w:rsid w:val="003D6AE2"/>
    <w:rsid w:val="003D70F6"/>
    <w:rsid w:val="003D7184"/>
    <w:rsid w:val="003D72CD"/>
    <w:rsid w:val="003D7508"/>
    <w:rsid w:val="003D771E"/>
    <w:rsid w:val="003D7742"/>
    <w:rsid w:val="003D77AF"/>
    <w:rsid w:val="003D7AFE"/>
    <w:rsid w:val="003D7F36"/>
    <w:rsid w:val="003E020B"/>
    <w:rsid w:val="003E039A"/>
    <w:rsid w:val="003E0406"/>
    <w:rsid w:val="003E0471"/>
    <w:rsid w:val="003E05BD"/>
    <w:rsid w:val="003E0DBA"/>
    <w:rsid w:val="003E10F4"/>
    <w:rsid w:val="003E111E"/>
    <w:rsid w:val="003E126E"/>
    <w:rsid w:val="003E13DF"/>
    <w:rsid w:val="003E151E"/>
    <w:rsid w:val="003E1535"/>
    <w:rsid w:val="003E1C08"/>
    <w:rsid w:val="003E1C42"/>
    <w:rsid w:val="003E1F75"/>
    <w:rsid w:val="003E2025"/>
    <w:rsid w:val="003E23AC"/>
    <w:rsid w:val="003E2428"/>
    <w:rsid w:val="003E263D"/>
    <w:rsid w:val="003E28F4"/>
    <w:rsid w:val="003E2B36"/>
    <w:rsid w:val="003E2D0C"/>
    <w:rsid w:val="003E2F1D"/>
    <w:rsid w:val="003E31BE"/>
    <w:rsid w:val="003E324D"/>
    <w:rsid w:val="003E35CF"/>
    <w:rsid w:val="003E3B0F"/>
    <w:rsid w:val="003E3CBD"/>
    <w:rsid w:val="003E3E94"/>
    <w:rsid w:val="003E3E9A"/>
    <w:rsid w:val="003E3EDB"/>
    <w:rsid w:val="003E3EE4"/>
    <w:rsid w:val="003E4721"/>
    <w:rsid w:val="003E4925"/>
    <w:rsid w:val="003E4DCC"/>
    <w:rsid w:val="003E5158"/>
    <w:rsid w:val="003E5405"/>
    <w:rsid w:val="003E5BF0"/>
    <w:rsid w:val="003E5DBD"/>
    <w:rsid w:val="003E6423"/>
    <w:rsid w:val="003E6513"/>
    <w:rsid w:val="003E6654"/>
    <w:rsid w:val="003E6CFA"/>
    <w:rsid w:val="003E6F40"/>
    <w:rsid w:val="003E710B"/>
    <w:rsid w:val="003E7163"/>
    <w:rsid w:val="003E7A91"/>
    <w:rsid w:val="003E7B02"/>
    <w:rsid w:val="003E7B17"/>
    <w:rsid w:val="003E7B8C"/>
    <w:rsid w:val="003E7FB2"/>
    <w:rsid w:val="003F05D2"/>
    <w:rsid w:val="003F165A"/>
    <w:rsid w:val="003F1776"/>
    <w:rsid w:val="003F1843"/>
    <w:rsid w:val="003F19FE"/>
    <w:rsid w:val="003F1A2F"/>
    <w:rsid w:val="003F1B52"/>
    <w:rsid w:val="003F1C97"/>
    <w:rsid w:val="003F1EB0"/>
    <w:rsid w:val="003F1FE6"/>
    <w:rsid w:val="003F20A4"/>
    <w:rsid w:val="003F20DE"/>
    <w:rsid w:val="003F2154"/>
    <w:rsid w:val="003F2201"/>
    <w:rsid w:val="003F2366"/>
    <w:rsid w:val="003F2488"/>
    <w:rsid w:val="003F25C4"/>
    <w:rsid w:val="003F274D"/>
    <w:rsid w:val="003F2764"/>
    <w:rsid w:val="003F3325"/>
    <w:rsid w:val="003F340D"/>
    <w:rsid w:val="003F356B"/>
    <w:rsid w:val="003F3B82"/>
    <w:rsid w:val="003F3BAE"/>
    <w:rsid w:val="003F3F36"/>
    <w:rsid w:val="003F3FAB"/>
    <w:rsid w:val="003F40D1"/>
    <w:rsid w:val="003F46E9"/>
    <w:rsid w:val="003F4D16"/>
    <w:rsid w:val="003F4F84"/>
    <w:rsid w:val="003F516E"/>
    <w:rsid w:val="003F5716"/>
    <w:rsid w:val="003F60C2"/>
    <w:rsid w:val="003F6396"/>
    <w:rsid w:val="003F6422"/>
    <w:rsid w:val="003F698E"/>
    <w:rsid w:val="003F6A6E"/>
    <w:rsid w:val="003F6A94"/>
    <w:rsid w:val="003F6DF5"/>
    <w:rsid w:val="003F73F1"/>
    <w:rsid w:val="003F74D8"/>
    <w:rsid w:val="003F75A5"/>
    <w:rsid w:val="003F761F"/>
    <w:rsid w:val="003F76F6"/>
    <w:rsid w:val="003F7758"/>
    <w:rsid w:val="003F7A92"/>
    <w:rsid w:val="003F7B4F"/>
    <w:rsid w:val="003F7D4A"/>
    <w:rsid w:val="004001A2"/>
    <w:rsid w:val="00400486"/>
    <w:rsid w:val="00400554"/>
    <w:rsid w:val="00400833"/>
    <w:rsid w:val="004008A0"/>
    <w:rsid w:val="00400E28"/>
    <w:rsid w:val="00401287"/>
    <w:rsid w:val="0040181B"/>
    <w:rsid w:val="00401EE3"/>
    <w:rsid w:val="0040218F"/>
    <w:rsid w:val="00402274"/>
    <w:rsid w:val="004028B6"/>
    <w:rsid w:val="00402AD4"/>
    <w:rsid w:val="00402E78"/>
    <w:rsid w:val="00403057"/>
    <w:rsid w:val="004030AA"/>
    <w:rsid w:val="00403E79"/>
    <w:rsid w:val="004040FE"/>
    <w:rsid w:val="00404212"/>
    <w:rsid w:val="004044C1"/>
    <w:rsid w:val="00404785"/>
    <w:rsid w:val="00404B18"/>
    <w:rsid w:val="00404B8A"/>
    <w:rsid w:val="00404D9D"/>
    <w:rsid w:val="00404F2A"/>
    <w:rsid w:val="004052AB"/>
    <w:rsid w:val="00405369"/>
    <w:rsid w:val="0040547F"/>
    <w:rsid w:val="0040554F"/>
    <w:rsid w:val="00405705"/>
    <w:rsid w:val="00405FB4"/>
    <w:rsid w:val="004062D7"/>
    <w:rsid w:val="004063BD"/>
    <w:rsid w:val="0040644B"/>
    <w:rsid w:val="004064E0"/>
    <w:rsid w:val="00406AC5"/>
    <w:rsid w:val="00406B8E"/>
    <w:rsid w:val="00406E42"/>
    <w:rsid w:val="00406E5A"/>
    <w:rsid w:val="00406E86"/>
    <w:rsid w:val="004071AA"/>
    <w:rsid w:val="004071E1"/>
    <w:rsid w:val="004073C0"/>
    <w:rsid w:val="00407B1E"/>
    <w:rsid w:val="00407B24"/>
    <w:rsid w:val="00410064"/>
    <w:rsid w:val="00410386"/>
    <w:rsid w:val="00410BBB"/>
    <w:rsid w:val="004115F5"/>
    <w:rsid w:val="00411607"/>
    <w:rsid w:val="004116E5"/>
    <w:rsid w:val="00411C04"/>
    <w:rsid w:val="00411E82"/>
    <w:rsid w:val="00411F9F"/>
    <w:rsid w:val="00412054"/>
    <w:rsid w:val="00412366"/>
    <w:rsid w:val="00412488"/>
    <w:rsid w:val="00412A5F"/>
    <w:rsid w:val="00412D38"/>
    <w:rsid w:val="00412EDB"/>
    <w:rsid w:val="00412EFF"/>
    <w:rsid w:val="00413527"/>
    <w:rsid w:val="0041372F"/>
    <w:rsid w:val="0041390D"/>
    <w:rsid w:val="00414424"/>
    <w:rsid w:val="00414470"/>
    <w:rsid w:val="00414636"/>
    <w:rsid w:val="00414936"/>
    <w:rsid w:val="00414D29"/>
    <w:rsid w:val="00414FAD"/>
    <w:rsid w:val="00415552"/>
    <w:rsid w:val="0041562D"/>
    <w:rsid w:val="00415807"/>
    <w:rsid w:val="00415ADE"/>
    <w:rsid w:val="004161FE"/>
    <w:rsid w:val="004168DB"/>
    <w:rsid w:val="00416D3B"/>
    <w:rsid w:val="00416F71"/>
    <w:rsid w:val="00417094"/>
    <w:rsid w:val="004171B0"/>
    <w:rsid w:val="00417431"/>
    <w:rsid w:val="004174A9"/>
    <w:rsid w:val="00417B83"/>
    <w:rsid w:val="004204F9"/>
    <w:rsid w:val="00420510"/>
    <w:rsid w:val="00420766"/>
    <w:rsid w:val="004207BD"/>
    <w:rsid w:val="00420984"/>
    <w:rsid w:val="00420A6E"/>
    <w:rsid w:val="00420BA9"/>
    <w:rsid w:val="004214FD"/>
    <w:rsid w:val="004216A1"/>
    <w:rsid w:val="004216E4"/>
    <w:rsid w:val="00421760"/>
    <w:rsid w:val="0042195B"/>
    <w:rsid w:val="00421A02"/>
    <w:rsid w:val="00421C65"/>
    <w:rsid w:val="00421E11"/>
    <w:rsid w:val="00421FC1"/>
    <w:rsid w:val="0042213B"/>
    <w:rsid w:val="00422195"/>
    <w:rsid w:val="00422260"/>
    <w:rsid w:val="004226E7"/>
    <w:rsid w:val="00422C3B"/>
    <w:rsid w:val="00422D5A"/>
    <w:rsid w:val="00422DF0"/>
    <w:rsid w:val="00423651"/>
    <w:rsid w:val="00423689"/>
    <w:rsid w:val="0042379C"/>
    <w:rsid w:val="004237D9"/>
    <w:rsid w:val="004237DE"/>
    <w:rsid w:val="00423847"/>
    <w:rsid w:val="00423B1B"/>
    <w:rsid w:val="00423C21"/>
    <w:rsid w:val="00423D4D"/>
    <w:rsid w:val="00423FDE"/>
    <w:rsid w:val="00424357"/>
    <w:rsid w:val="0042443E"/>
    <w:rsid w:val="0042500C"/>
    <w:rsid w:val="0042520E"/>
    <w:rsid w:val="00425440"/>
    <w:rsid w:val="004256F0"/>
    <w:rsid w:val="004257F8"/>
    <w:rsid w:val="00425A7E"/>
    <w:rsid w:val="00425B7D"/>
    <w:rsid w:val="00425DA7"/>
    <w:rsid w:val="004265C6"/>
    <w:rsid w:val="004265F6"/>
    <w:rsid w:val="0042695B"/>
    <w:rsid w:val="004271DB"/>
    <w:rsid w:val="004273AC"/>
    <w:rsid w:val="004276C1"/>
    <w:rsid w:val="0042785D"/>
    <w:rsid w:val="00427ACF"/>
    <w:rsid w:val="00427B55"/>
    <w:rsid w:val="00427F77"/>
    <w:rsid w:val="00430244"/>
    <w:rsid w:val="0043038F"/>
    <w:rsid w:val="00430559"/>
    <w:rsid w:val="0043120E"/>
    <w:rsid w:val="0043169B"/>
    <w:rsid w:val="00431DA4"/>
    <w:rsid w:val="00431ED7"/>
    <w:rsid w:val="00431FFB"/>
    <w:rsid w:val="00432950"/>
    <w:rsid w:val="00432AD4"/>
    <w:rsid w:val="00432C13"/>
    <w:rsid w:val="00432EBC"/>
    <w:rsid w:val="00433A5F"/>
    <w:rsid w:val="00433D7E"/>
    <w:rsid w:val="00433F92"/>
    <w:rsid w:val="00433F9B"/>
    <w:rsid w:val="0043421A"/>
    <w:rsid w:val="004342FA"/>
    <w:rsid w:val="00434642"/>
    <w:rsid w:val="00434D5D"/>
    <w:rsid w:val="00434FF6"/>
    <w:rsid w:val="00435BF1"/>
    <w:rsid w:val="00435BFA"/>
    <w:rsid w:val="00435FB3"/>
    <w:rsid w:val="004361F1"/>
    <w:rsid w:val="00436A99"/>
    <w:rsid w:val="00436B43"/>
    <w:rsid w:val="00436BF9"/>
    <w:rsid w:val="00436C0F"/>
    <w:rsid w:val="00436C11"/>
    <w:rsid w:val="00436FF7"/>
    <w:rsid w:val="0043720F"/>
    <w:rsid w:val="00437592"/>
    <w:rsid w:val="00437674"/>
    <w:rsid w:val="00437994"/>
    <w:rsid w:val="00437B42"/>
    <w:rsid w:val="00437C9C"/>
    <w:rsid w:val="0044008A"/>
    <w:rsid w:val="004401EA"/>
    <w:rsid w:val="0044058B"/>
    <w:rsid w:val="00440F02"/>
    <w:rsid w:val="0044121A"/>
    <w:rsid w:val="004416EF"/>
    <w:rsid w:val="00441C5C"/>
    <w:rsid w:val="00441E22"/>
    <w:rsid w:val="00442016"/>
    <w:rsid w:val="00442327"/>
    <w:rsid w:val="004425B1"/>
    <w:rsid w:val="0044281F"/>
    <w:rsid w:val="0044283B"/>
    <w:rsid w:val="0044288D"/>
    <w:rsid w:val="00442947"/>
    <w:rsid w:val="00442EB8"/>
    <w:rsid w:val="00442EC8"/>
    <w:rsid w:val="0044308C"/>
    <w:rsid w:val="00443493"/>
    <w:rsid w:val="00443790"/>
    <w:rsid w:val="00443C0F"/>
    <w:rsid w:val="00443F4D"/>
    <w:rsid w:val="004443BB"/>
    <w:rsid w:val="0044443D"/>
    <w:rsid w:val="004449C4"/>
    <w:rsid w:val="00444B47"/>
    <w:rsid w:val="00444B5E"/>
    <w:rsid w:val="00445260"/>
    <w:rsid w:val="004453B8"/>
    <w:rsid w:val="004456B2"/>
    <w:rsid w:val="00445875"/>
    <w:rsid w:val="004458D6"/>
    <w:rsid w:val="00445BC5"/>
    <w:rsid w:val="00446087"/>
    <w:rsid w:val="0044611D"/>
    <w:rsid w:val="00446595"/>
    <w:rsid w:val="00446D39"/>
    <w:rsid w:val="00446FAD"/>
    <w:rsid w:val="00447064"/>
    <w:rsid w:val="004470CE"/>
    <w:rsid w:val="004476C3"/>
    <w:rsid w:val="004478B1"/>
    <w:rsid w:val="004505E4"/>
    <w:rsid w:val="0045093D"/>
    <w:rsid w:val="00450A99"/>
    <w:rsid w:val="00450AF0"/>
    <w:rsid w:val="00450BC9"/>
    <w:rsid w:val="00450C2E"/>
    <w:rsid w:val="00450C3E"/>
    <w:rsid w:val="00450C9D"/>
    <w:rsid w:val="00450D05"/>
    <w:rsid w:val="00450E4B"/>
    <w:rsid w:val="00450FB6"/>
    <w:rsid w:val="004510C4"/>
    <w:rsid w:val="00451906"/>
    <w:rsid w:val="004519EA"/>
    <w:rsid w:val="00451A26"/>
    <w:rsid w:val="00451DF0"/>
    <w:rsid w:val="00451E2F"/>
    <w:rsid w:val="00452755"/>
    <w:rsid w:val="00452A0A"/>
    <w:rsid w:val="00452B48"/>
    <w:rsid w:val="00452EB4"/>
    <w:rsid w:val="00452ECF"/>
    <w:rsid w:val="00452F46"/>
    <w:rsid w:val="00452FD7"/>
    <w:rsid w:val="00453B5B"/>
    <w:rsid w:val="00453C6F"/>
    <w:rsid w:val="00453FC6"/>
    <w:rsid w:val="0045425F"/>
    <w:rsid w:val="00454442"/>
    <w:rsid w:val="004544DA"/>
    <w:rsid w:val="004546AB"/>
    <w:rsid w:val="00455127"/>
    <w:rsid w:val="00455256"/>
    <w:rsid w:val="00455427"/>
    <w:rsid w:val="0045548A"/>
    <w:rsid w:val="0045592B"/>
    <w:rsid w:val="00455A2B"/>
    <w:rsid w:val="00455C8B"/>
    <w:rsid w:val="00455D6E"/>
    <w:rsid w:val="00456124"/>
    <w:rsid w:val="00456237"/>
    <w:rsid w:val="0045644C"/>
    <w:rsid w:val="00456738"/>
    <w:rsid w:val="004568C0"/>
    <w:rsid w:val="00456A16"/>
    <w:rsid w:val="00456A88"/>
    <w:rsid w:val="00456BBD"/>
    <w:rsid w:val="00456CA0"/>
    <w:rsid w:val="00456E1F"/>
    <w:rsid w:val="00457105"/>
    <w:rsid w:val="0045710F"/>
    <w:rsid w:val="004572B1"/>
    <w:rsid w:val="0045732D"/>
    <w:rsid w:val="00457795"/>
    <w:rsid w:val="00460271"/>
    <w:rsid w:val="00460604"/>
    <w:rsid w:val="00460850"/>
    <w:rsid w:val="00460B03"/>
    <w:rsid w:val="00460B37"/>
    <w:rsid w:val="00460D60"/>
    <w:rsid w:val="00460F7A"/>
    <w:rsid w:val="0046107F"/>
    <w:rsid w:val="004611EC"/>
    <w:rsid w:val="0046177A"/>
    <w:rsid w:val="0046197F"/>
    <w:rsid w:val="00461982"/>
    <w:rsid w:val="00461C30"/>
    <w:rsid w:val="00461D21"/>
    <w:rsid w:val="00462113"/>
    <w:rsid w:val="00462917"/>
    <w:rsid w:val="0046305C"/>
    <w:rsid w:val="00463435"/>
    <w:rsid w:val="00463536"/>
    <w:rsid w:val="00463731"/>
    <w:rsid w:val="00463EF6"/>
    <w:rsid w:val="0046403B"/>
    <w:rsid w:val="00464220"/>
    <w:rsid w:val="0046433D"/>
    <w:rsid w:val="00464D6A"/>
    <w:rsid w:val="00464E85"/>
    <w:rsid w:val="0046517B"/>
    <w:rsid w:val="00465293"/>
    <w:rsid w:val="004653C3"/>
    <w:rsid w:val="00465C2D"/>
    <w:rsid w:val="00465F95"/>
    <w:rsid w:val="00465FDB"/>
    <w:rsid w:val="00466038"/>
    <w:rsid w:val="00466490"/>
    <w:rsid w:val="0046669C"/>
    <w:rsid w:val="00466B30"/>
    <w:rsid w:val="00466DA6"/>
    <w:rsid w:val="00466E88"/>
    <w:rsid w:val="0046703B"/>
    <w:rsid w:val="004676FF"/>
    <w:rsid w:val="00467AA5"/>
    <w:rsid w:val="00467B5D"/>
    <w:rsid w:val="00467D56"/>
    <w:rsid w:val="0047041E"/>
    <w:rsid w:val="00471044"/>
    <w:rsid w:val="0047110B"/>
    <w:rsid w:val="0047192C"/>
    <w:rsid w:val="00471D77"/>
    <w:rsid w:val="00471EAF"/>
    <w:rsid w:val="004720B0"/>
    <w:rsid w:val="0047217E"/>
    <w:rsid w:val="00472192"/>
    <w:rsid w:val="00472294"/>
    <w:rsid w:val="00472374"/>
    <w:rsid w:val="004727A6"/>
    <w:rsid w:val="00472C8E"/>
    <w:rsid w:val="004730B6"/>
    <w:rsid w:val="0047333D"/>
    <w:rsid w:val="00473624"/>
    <w:rsid w:val="004738EA"/>
    <w:rsid w:val="00473CFC"/>
    <w:rsid w:val="00474031"/>
    <w:rsid w:val="0047429B"/>
    <w:rsid w:val="0047450B"/>
    <w:rsid w:val="004749C5"/>
    <w:rsid w:val="00474B33"/>
    <w:rsid w:val="00474C30"/>
    <w:rsid w:val="00474D75"/>
    <w:rsid w:val="00474E89"/>
    <w:rsid w:val="00475139"/>
    <w:rsid w:val="004751CA"/>
    <w:rsid w:val="0047555D"/>
    <w:rsid w:val="004756BB"/>
    <w:rsid w:val="00475935"/>
    <w:rsid w:val="00475B14"/>
    <w:rsid w:val="00475C66"/>
    <w:rsid w:val="00475C87"/>
    <w:rsid w:val="0047667D"/>
    <w:rsid w:val="00476E4D"/>
    <w:rsid w:val="004772AB"/>
    <w:rsid w:val="0047739F"/>
    <w:rsid w:val="00477E57"/>
    <w:rsid w:val="00480208"/>
    <w:rsid w:val="00480223"/>
    <w:rsid w:val="00480867"/>
    <w:rsid w:val="00481794"/>
    <w:rsid w:val="00481BA3"/>
    <w:rsid w:val="004822A7"/>
    <w:rsid w:val="004822EB"/>
    <w:rsid w:val="0048239B"/>
    <w:rsid w:val="0048249D"/>
    <w:rsid w:val="00482834"/>
    <w:rsid w:val="00483530"/>
    <w:rsid w:val="0048374D"/>
    <w:rsid w:val="00483758"/>
    <w:rsid w:val="004838CA"/>
    <w:rsid w:val="004838E4"/>
    <w:rsid w:val="00483D85"/>
    <w:rsid w:val="0048432C"/>
    <w:rsid w:val="004843F9"/>
    <w:rsid w:val="00484611"/>
    <w:rsid w:val="00484722"/>
    <w:rsid w:val="00484873"/>
    <w:rsid w:val="0048500E"/>
    <w:rsid w:val="00485272"/>
    <w:rsid w:val="00485F83"/>
    <w:rsid w:val="004860B6"/>
    <w:rsid w:val="00486140"/>
    <w:rsid w:val="00486180"/>
    <w:rsid w:val="0048623D"/>
    <w:rsid w:val="00486694"/>
    <w:rsid w:val="004867AF"/>
    <w:rsid w:val="004869C8"/>
    <w:rsid w:val="00486A32"/>
    <w:rsid w:val="00487202"/>
    <w:rsid w:val="00487501"/>
    <w:rsid w:val="0048770D"/>
    <w:rsid w:val="004877B8"/>
    <w:rsid w:val="0048795E"/>
    <w:rsid w:val="00487C22"/>
    <w:rsid w:val="00487C90"/>
    <w:rsid w:val="00487D34"/>
    <w:rsid w:val="004900D9"/>
    <w:rsid w:val="00490414"/>
    <w:rsid w:val="00490437"/>
    <w:rsid w:val="0049043B"/>
    <w:rsid w:val="004908D4"/>
    <w:rsid w:val="00490A07"/>
    <w:rsid w:val="004910DF"/>
    <w:rsid w:val="004912BC"/>
    <w:rsid w:val="00491939"/>
    <w:rsid w:val="00491B2C"/>
    <w:rsid w:val="00491C77"/>
    <w:rsid w:val="00491E7A"/>
    <w:rsid w:val="00492045"/>
    <w:rsid w:val="0049239F"/>
    <w:rsid w:val="00492A88"/>
    <w:rsid w:val="00492C01"/>
    <w:rsid w:val="00492F01"/>
    <w:rsid w:val="00493172"/>
    <w:rsid w:val="004931F9"/>
    <w:rsid w:val="00493283"/>
    <w:rsid w:val="0049364B"/>
    <w:rsid w:val="004936CE"/>
    <w:rsid w:val="00494024"/>
    <w:rsid w:val="0049423B"/>
    <w:rsid w:val="00494449"/>
    <w:rsid w:val="00495181"/>
    <w:rsid w:val="0049558A"/>
    <w:rsid w:val="00495834"/>
    <w:rsid w:val="00495B68"/>
    <w:rsid w:val="00495E00"/>
    <w:rsid w:val="004960DF"/>
    <w:rsid w:val="004961B4"/>
    <w:rsid w:val="00496263"/>
    <w:rsid w:val="0049685F"/>
    <w:rsid w:val="004970D0"/>
    <w:rsid w:val="0049730C"/>
    <w:rsid w:val="004974A2"/>
    <w:rsid w:val="004979C9"/>
    <w:rsid w:val="00497CC5"/>
    <w:rsid w:val="00497DC0"/>
    <w:rsid w:val="00497E65"/>
    <w:rsid w:val="004A045D"/>
    <w:rsid w:val="004A0847"/>
    <w:rsid w:val="004A0AEE"/>
    <w:rsid w:val="004A0B68"/>
    <w:rsid w:val="004A0CFD"/>
    <w:rsid w:val="004A0D0A"/>
    <w:rsid w:val="004A0F79"/>
    <w:rsid w:val="004A119C"/>
    <w:rsid w:val="004A1263"/>
    <w:rsid w:val="004A12BA"/>
    <w:rsid w:val="004A1718"/>
    <w:rsid w:val="004A19A1"/>
    <w:rsid w:val="004A1FFB"/>
    <w:rsid w:val="004A2129"/>
    <w:rsid w:val="004A212B"/>
    <w:rsid w:val="004A2327"/>
    <w:rsid w:val="004A23C5"/>
    <w:rsid w:val="004A23DA"/>
    <w:rsid w:val="004A23DE"/>
    <w:rsid w:val="004A26AB"/>
    <w:rsid w:val="004A2A47"/>
    <w:rsid w:val="004A2AA4"/>
    <w:rsid w:val="004A2ADC"/>
    <w:rsid w:val="004A2B24"/>
    <w:rsid w:val="004A2C55"/>
    <w:rsid w:val="004A2CA7"/>
    <w:rsid w:val="004A2D6E"/>
    <w:rsid w:val="004A3249"/>
    <w:rsid w:val="004A37A5"/>
    <w:rsid w:val="004A3C0E"/>
    <w:rsid w:val="004A3E7A"/>
    <w:rsid w:val="004A3ECD"/>
    <w:rsid w:val="004A4151"/>
    <w:rsid w:val="004A4490"/>
    <w:rsid w:val="004A45DC"/>
    <w:rsid w:val="004A48E2"/>
    <w:rsid w:val="004A4A91"/>
    <w:rsid w:val="004A4AD2"/>
    <w:rsid w:val="004A4F19"/>
    <w:rsid w:val="004A4F80"/>
    <w:rsid w:val="004A506E"/>
    <w:rsid w:val="004A522D"/>
    <w:rsid w:val="004A55B8"/>
    <w:rsid w:val="004A580A"/>
    <w:rsid w:val="004A5E7D"/>
    <w:rsid w:val="004A63A3"/>
    <w:rsid w:val="004A65C5"/>
    <w:rsid w:val="004A66BC"/>
    <w:rsid w:val="004A67C0"/>
    <w:rsid w:val="004A6827"/>
    <w:rsid w:val="004A6BFE"/>
    <w:rsid w:val="004A6E93"/>
    <w:rsid w:val="004A731D"/>
    <w:rsid w:val="004A7556"/>
    <w:rsid w:val="004A7573"/>
    <w:rsid w:val="004A78AD"/>
    <w:rsid w:val="004A7B15"/>
    <w:rsid w:val="004B059F"/>
    <w:rsid w:val="004B0B58"/>
    <w:rsid w:val="004B0BD8"/>
    <w:rsid w:val="004B0E6E"/>
    <w:rsid w:val="004B1019"/>
    <w:rsid w:val="004B1282"/>
    <w:rsid w:val="004B1566"/>
    <w:rsid w:val="004B1638"/>
    <w:rsid w:val="004B167E"/>
    <w:rsid w:val="004B18A2"/>
    <w:rsid w:val="004B19D0"/>
    <w:rsid w:val="004B1B5B"/>
    <w:rsid w:val="004B1CD3"/>
    <w:rsid w:val="004B1CFF"/>
    <w:rsid w:val="004B1ECA"/>
    <w:rsid w:val="004B1F23"/>
    <w:rsid w:val="004B2396"/>
    <w:rsid w:val="004B24CB"/>
    <w:rsid w:val="004B2623"/>
    <w:rsid w:val="004B2C8E"/>
    <w:rsid w:val="004B30CF"/>
    <w:rsid w:val="004B35F0"/>
    <w:rsid w:val="004B3704"/>
    <w:rsid w:val="004B3729"/>
    <w:rsid w:val="004B3C43"/>
    <w:rsid w:val="004B3D3A"/>
    <w:rsid w:val="004B3DF8"/>
    <w:rsid w:val="004B3F31"/>
    <w:rsid w:val="004B42EB"/>
    <w:rsid w:val="004B44CB"/>
    <w:rsid w:val="004B45D5"/>
    <w:rsid w:val="004B4664"/>
    <w:rsid w:val="004B47DB"/>
    <w:rsid w:val="004B484B"/>
    <w:rsid w:val="004B4952"/>
    <w:rsid w:val="004B4ABF"/>
    <w:rsid w:val="004B4BD8"/>
    <w:rsid w:val="004B4C91"/>
    <w:rsid w:val="004B4CF8"/>
    <w:rsid w:val="004B4E46"/>
    <w:rsid w:val="004B58DA"/>
    <w:rsid w:val="004B591D"/>
    <w:rsid w:val="004B63F5"/>
    <w:rsid w:val="004B6A3A"/>
    <w:rsid w:val="004B6B1F"/>
    <w:rsid w:val="004B6D92"/>
    <w:rsid w:val="004B705E"/>
    <w:rsid w:val="004B7280"/>
    <w:rsid w:val="004B7FBD"/>
    <w:rsid w:val="004C01A4"/>
    <w:rsid w:val="004C04D9"/>
    <w:rsid w:val="004C05AD"/>
    <w:rsid w:val="004C0850"/>
    <w:rsid w:val="004C0857"/>
    <w:rsid w:val="004C09F5"/>
    <w:rsid w:val="004C0B84"/>
    <w:rsid w:val="004C0F00"/>
    <w:rsid w:val="004C11C8"/>
    <w:rsid w:val="004C123A"/>
    <w:rsid w:val="004C147B"/>
    <w:rsid w:val="004C19DB"/>
    <w:rsid w:val="004C1AB2"/>
    <w:rsid w:val="004C1DEA"/>
    <w:rsid w:val="004C1F0F"/>
    <w:rsid w:val="004C1F63"/>
    <w:rsid w:val="004C20B5"/>
    <w:rsid w:val="004C23FD"/>
    <w:rsid w:val="004C2630"/>
    <w:rsid w:val="004C27C3"/>
    <w:rsid w:val="004C2820"/>
    <w:rsid w:val="004C2CDB"/>
    <w:rsid w:val="004C3385"/>
    <w:rsid w:val="004C360B"/>
    <w:rsid w:val="004C3B42"/>
    <w:rsid w:val="004C3C22"/>
    <w:rsid w:val="004C3C92"/>
    <w:rsid w:val="004C43DB"/>
    <w:rsid w:val="004C469A"/>
    <w:rsid w:val="004C47F9"/>
    <w:rsid w:val="004C4A06"/>
    <w:rsid w:val="004C4CF6"/>
    <w:rsid w:val="004C54DC"/>
    <w:rsid w:val="004C5C3B"/>
    <w:rsid w:val="004C5C6B"/>
    <w:rsid w:val="004C5D0F"/>
    <w:rsid w:val="004C5DDD"/>
    <w:rsid w:val="004C6114"/>
    <w:rsid w:val="004C6307"/>
    <w:rsid w:val="004C6316"/>
    <w:rsid w:val="004C6861"/>
    <w:rsid w:val="004C6949"/>
    <w:rsid w:val="004C69CF"/>
    <w:rsid w:val="004C69D4"/>
    <w:rsid w:val="004C726D"/>
    <w:rsid w:val="004C7495"/>
    <w:rsid w:val="004C757E"/>
    <w:rsid w:val="004C75F6"/>
    <w:rsid w:val="004D0024"/>
    <w:rsid w:val="004D0614"/>
    <w:rsid w:val="004D09FD"/>
    <w:rsid w:val="004D0EF9"/>
    <w:rsid w:val="004D104F"/>
    <w:rsid w:val="004D1183"/>
    <w:rsid w:val="004D13B9"/>
    <w:rsid w:val="004D16CD"/>
    <w:rsid w:val="004D16F6"/>
    <w:rsid w:val="004D1B47"/>
    <w:rsid w:val="004D1BE3"/>
    <w:rsid w:val="004D1DD6"/>
    <w:rsid w:val="004D1F83"/>
    <w:rsid w:val="004D2158"/>
    <w:rsid w:val="004D21A7"/>
    <w:rsid w:val="004D2237"/>
    <w:rsid w:val="004D255A"/>
    <w:rsid w:val="004D261C"/>
    <w:rsid w:val="004D26DB"/>
    <w:rsid w:val="004D3381"/>
    <w:rsid w:val="004D36FF"/>
    <w:rsid w:val="004D3BBF"/>
    <w:rsid w:val="004D3FD8"/>
    <w:rsid w:val="004D40C2"/>
    <w:rsid w:val="004D40E1"/>
    <w:rsid w:val="004D4540"/>
    <w:rsid w:val="004D49D4"/>
    <w:rsid w:val="004D49FC"/>
    <w:rsid w:val="004D4CE3"/>
    <w:rsid w:val="004D4D77"/>
    <w:rsid w:val="004D5142"/>
    <w:rsid w:val="004D52DC"/>
    <w:rsid w:val="004D55CE"/>
    <w:rsid w:val="004D5817"/>
    <w:rsid w:val="004D584B"/>
    <w:rsid w:val="004D58EA"/>
    <w:rsid w:val="004D59C6"/>
    <w:rsid w:val="004D5AE9"/>
    <w:rsid w:val="004D5C91"/>
    <w:rsid w:val="004D5F68"/>
    <w:rsid w:val="004D601D"/>
    <w:rsid w:val="004D61ED"/>
    <w:rsid w:val="004D6533"/>
    <w:rsid w:val="004D655E"/>
    <w:rsid w:val="004D67E4"/>
    <w:rsid w:val="004D6920"/>
    <w:rsid w:val="004D6B48"/>
    <w:rsid w:val="004D6C5B"/>
    <w:rsid w:val="004D6D47"/>
    <w:rsid w:val="004D6E2E"/>
    <w:rsid w:val="004D75A0"/>
    <w:rsid w:val="004D7871"/>
    <w:rsid w:val="004D7ABB"/>
    <w:rsid w:val="004D7FF8"/>
    <w:rsid w:val="004E000C"/>
    <w:rsid w:val="004E05EF"/>
    <w:rsid w:val="004E0EB8"/>
    <w:rsid w:val="004E15B4"/>
    <w:rsid w:val="004E1821"/>
    <w:rsid w:val="004E1CF9"/>
    <w:rsid w:val="004E1F92"/>
    <w:rsid w:val="004E1FBD"/>
    <w:rsid w:val="004E1FDB"/>
    <w:rsid w:val="004E2108"/>
    <w:rsid w:val="004E2195"/>
    <w:rsid w:val="004E2446"/>
    <w:rsid w:val="004E24BB"/>
    <w:rsid w:val="004E2B62"/>
    <w:rsid w:val="004E2CF1"/>
    <w:rsid w:val="004E2D89"/>
    <w:rsid w:val="004E2E92"/>
    <w:rsid w:val="004E2FAB"/>
    <w:rsid w:val="004E30D1"/>
    <w:rsid w:val="004E32ED"/>
    <w:rsid w:val="004E32FD"/>
    <w:rsid w:val="004E34F4"/>
    <w:rsid w:val="004E3677"/>
    <w:rsid w:val="004E3823"/>
    <w:rsid w:val="004E3838"/>
    <w:rsid w:val="004E3D10"/>
    <w:rsid w:val="004E4013"/>
    <w:rsid w:val="004E41AF"/>
    <w:rsid w:val="004E4403"/>
    <w:rsid w:val="004E47B0"/>
    <w:rsid w:val="004E49A5"/>
    <w:rsid w:val="004E4B1E"/>
    <w:rsid w:val="004E4C1B"/>
    <w:rsid w:val="004E4E17"/>
    <w:rsid w:val="004E4E4F"/>
    <w:rsid w:val="004E502E"/>
    <w:rsid w:val="004E56B0"/>
    <w:rsid w:val="004E5C32"/>
    <w:rsid w:val="004E5ECA"/>
    <w:rsid w:val="004E62B3"/>
    <w:rsid w:val="004E6D38"/>
    <w:rsid w:val="004E6DA5"/>
    <w:rsid w:val="004E6DFA"/>
    <w:rsid w:val="004E7060"/>
    <w:rsid w:val="004E71FB"/>
    <w:rsid w:val="004E742A"/>
    <w:rsid w:val="004E75AC"/>
    <w:rsid w:val="004E789C"/>
    <w:rsid w:val="004E7A65"/>
    <w:rsid w:val="004E7AEF"/>
    <w:rsid w:val="004E7F14"/>
    <w:rsid w:val="004F02C9"/>
    <w:rsid w:val="004F031C"/>
    <w:rsid w:val="004F0486"/>
    <w:rsid w:val="004F0563"/>
    <w:rsid w:val="004F0A14"/>
    <w:rsid w:val="004F0A2B"/>
    <w:rsid w:val="004F0C1C"/>
    <w:rsid w:val="004F10AF"/>
    <w:rsid w:val="004F1142"/>
    <w:rsid w:val="004F1413"/>
    <w:rsid w:val="004F2136"/>
    <w:rsid w:val="004F2188"/>
    <w:rsid w:val="004F260D"/>
    <w:rsid w:val="004F2989"/>
    <w:rsid w:val="004F2EE2"/>
    <w:rsid w:val="004F30C8"/>
    <w:rsid w:val="004F3164"/>
    <w:rsid w:val="004F32DA"/>
    <w:rsid w:val="004F3359"/>
    <w:rsid w:val="004F38F7"/>
    <w:rsid w:val="004F3D0C"/>
    <w:rsid w:val="004F3DC4"/>
    <w:rsid w:val="004F405D"/>
    <w:rsid w:val="004F41B1"/>
    <w:rsid w:val="004F42CB"/>
    <w:rsid w:val="004F42E9"/>
    <w:rsid w:val="004F4600"/>
    <w:rsid w:val="004F4612"/>
    <w:rsid w:val="004F4855"/>
    <w:rsid w:val="004F4A04"/>
    <w:rsid w:val="004F4C1D"/>
    <w:rsid w:val="004F4CB4"/>
    <w:rsid w:val="004F4F6D"/>
    <w:rsid w:val="004F4F84"/>
    <w:rsid w:val="004F50BF"/>
    <w:rsid w:val="004F5454"/>
    <w:rsid w:val="004F56D0"/>
    <w:rsid w:val="004F596C"/>
    <w:rsid w:val="004F5BD1"/>
    <w:rsid w:val="004F5F9E"/>
    <w:rsid w:val="004F60FB"/>
    <w:rsid w:val="004F63C1"/>
    <w:rsid w:val="004F63E6"/>
    <w:rsid w:val="004F6AAD"/>
    <w:rsid w:val="004F6C0E"/>
    <w:rsid w:val="004F6C98"/>
    <w:rsid w:val="004F6E26"/>
    <w:rsid w:val="004F7034"/>
    <w:rsid w:val="004F77D4"/>
    <w:rsid w:val="004F784C"/>
    <w:rsid w:val="004F78D8"/>
    <w:rsid w:val="004F7901"/>
    <w:rsid w:val="004F7BE3"/>
    <w:rsid w:val="0050002D"/>
    <w:rsid w:val="00500220"/>
    <w:rsid w:val="0050036A"/>
    <w:rsid w:val="00500789"/>
    <w:rsid w:val="00500BCF"/>
    <w:rsid w:val="005014DF"/>
    <w:rsid w:val="0050170E"/>
    <w:rsid w:val="00501A4C"/>
    <w:rsid w:val="00501FDC"/>
    <w:rsid w:val="00501FDE"/>
    <w:rsid w:val="005022D9"/>
    <w:rsid w:val="005028AC"/>
    <w:rsid w:val="005028D9"/>
    <w:rsid w:val="00502B2A"/>
    <w:rsid w:val="00502D61"/>
    <w:rsid w:val="005030F5"/>
    <w:rsid w:val="00503394"/>
    <w:rsid w:val="00503687"/>
    <w:rsid w:val="00503A6E"/>
    <w:rsid w:val="00503C0D"/>
    <w:rsid w:val="00503CDD"/>
    <w:rsid w:val="00503CE1"/>
    <w:rsid w:val="00503D57"/>
    <w:rsid w:val="00503DB3"/>
    <w:rsid w:val="00503FD2"/>
    <w:rsid w:val="005047DA"/>
    <w:rsid w:val="00504A6D"/>
    <w:rsid w:val="00504CFC"/>
    <w:rsid w:val="0050524F"/>
    <w:rsid w:val="005052E6"/>
    <w:rsid w:val="005055C6"/>
    <w:rsid w:val="00505735"/>
    <w:rsid w:val="0050579E"/>
    <w:rsid w:val="00505894"/>
    <w:rsid w:val="00505979"/>
    <w:rsid w:val="00505E15"/>
    <w:rsid w:val="00506131"/>
    <w:rsid w:val="005067BD"/>
    <w:rsid w:val="00506B18"/>
    <w:rsid w:val="00507450"/>
    <w:rsid w:val="00507559"/>
    <w:rsid w:val="00507644"/>
    <w:rsid w:val="00507BE6"/>
    <w:rsid w:val="00507DFB"/>
    <w:rsid w:val="0051006C"/>
    <w:rsid w:val="0051023B"/>
    <w:rsid w:val="00510368"/>
    <w:rsid w:val="00510FCE"/>
    <w:rsid w:val="00510FEF"/>
    <w:rsid w:val="00511241"/>
    <w:rsid w:val="005115FE"/>
    <w:rsid w:val="00511826"/>
    <w:rsid w:val="00512072"/>
    <w:rsid w:val="0051209F"/>
    <w:rsid w:val="005122D4"/>
    <w:rsid w:val="00512685"/>
    <w:rsid w:val="00512744"/>
    <w:rsid w:val="005129E1"/>
    <w:rsid w:val="00512EFF"/>
    <w:rsid w:val="00513872"/>
    <w:rsid w:val="00513BC9"/>
    <w:rsid w:val="005141D3"/>
    <w:rsid w:val="005142BD"/>
    <w:rsid w:val="00514D88"/>
    <w:rsid w:val="00515377"/>
    <w:rsid w:val="005153DF"/>
    <w:rsid w:val="00515426"/>
    <w:rsid w:val="00515452"/>
    <w:rsid w:val="0051573E"/>
    <w:rsid w:val="0051589A"/>
    <w:rsid w:val="00515AEA"/>
    <w:rsid w:val="00515CE6"/>
    <w:rsid w:val="00515D01"/>
    <w:rsid w:val="00515E02"/>
    <w:rsid w:val="00515E0D"/>
    <w:rsid w:val="0051607A"/>
    <w:rsid w:val="0051612F"/>
    <w:rsid w:val="0051617A"/>
    <w:rsid w:val="0051684D"/>
    <w:rsid w:val="00516AC0"/>
    <w:rsid w:val="00516D47"/>
    <w:rsid w:val="00517010"/>
    <w:rsid w:val="00517B16"/>
    <w:rsid w:val="00517BBC"/>
    <w:rsid w:val="00517DC4"/>
    <w:rsid w:val="00517E80"/>
    <w:rsid w:val="005201CD"/>
    <w:rsid w:val="005202C6"/>
    <w:rsid w:val="0052094C"/>
    <w:rsid w:val="0052099A"/>
    <w:rsid w:val="00520AC5"/>
    <w:rsid w:val="00520E13"/>
    <w:rsid w:val="00520F38"/>
    <w:rsid w:val="00521302"/>
    <w:rsid w:val="005213BD"/>
    <w:rsid w:val="00521461"/>
    <w:rsid w:val="005215E0"/>
    <w:rsid w:val="00521711"/>
    <w:rsid w:val="00521DDA"/>
    <w:rsid w:val="00522095"/>
    <w:rsid w:val="0052254F"/>
    <w:rsid w:val="005225C4"/>
    <w:rsid w:val="005230E3"/>
    <w:rsid w:val="0052332D"/>
    <w:rsid w:val="005237FC"/>
    <w:rsid w:val="00523956"/>
    <w:rsid w:val="00523CB7"/>
    <w:rsid w:val="00523F6E"/>
    <w:rsid w:val="0052419D"/>
    <w:rsid w:val="005242F4"/>
    <w:rsid w:val="005242F6"/>
    <w:rsid w:val="005246E2"/>
    <w:rsid w:val="00524BC1"/>
    <w:rsid w:val="00524C31"/>
    <w:rsid w:val="00524C4E"/>
    <w:rsid w:val="00524C5F"/>
    <w:rsid w:val="00524EE7"/>
    <w:rsid w:val="005254F1"/>
    <w:rsid w:val="00525612"/>
    <w:rsid w:val="005256FB"/>
    <w:rsid w:val="00525A58"/>
    <w:rsid w:val="00525ABA"/>
    <w:rsid w:val="00525AEC"/>
    <w:rsid w:val="00526D0E"/>
    <w:rsid w:val="00526E3D"/>
    <w:rsid w:val="00526E94"/>
    <w:rsid w:val="00526EE2"/>
    <w:rsid w:val="0052711D"/>
    <w:rsid w:val="00527537"/>
    <w:rsid w:val="005278A1"/>
    <w:rsid w:val="0052795F"/>
    <w:rsid w:val="00527DBD"/>
    <w:rsid w:val="00527F62"/>
    <w:rsid w:val="00530219"/>
    <w:rsid w:val="0053033B"/>
    <w:rsid w:val="005303FF"/>
    <w:rsid w:val="00531053"/>
    <w:rsid w:val="0053120C"/>
    <w:rsid w:val="00531481"/>
    <w:rsid w:val="005314C2"/>
    <w:rsid w:val="005314FE"/>
    <w:rsid w:val="00531863"/>
    <w:rsid w:val="00531C1D"/>
    <w:rsid w:val="0053208E"/>
    <w:rsid w:val="005322A1"/>
    <w:rsid w:val="00532311"/>
    <w:rsid w:val="00532349"/>
    <w:rsid w:val="005325AA"/>
    <w:rsid w:val="00532A7B"/>
    <w:rsid w:val="00532A9E"/>
    <w:rsid w:val="00532B01"/>
    <w:rsid w:val="00532E48"/>
    <w:rsid w:val="0053300F"/>
    <w:rsid w:val="005330CC"/>
    <w:rsid w:val="005331DB"/>
    <w:rsid w:val="005331DF"/>
    <w:rsid w:val="005336A8"/>
    <w:rsid w:val="0053393A"/>
    <w:rsid w:val="00533A84"/>
    <w:rsid w:val="00533BC3"/>
    <w:rsid w:val="00533BF8"/>
    <w:rsid w:val="00533EA7"/>
    <w:rsid w:val="00534261"/>
    <w:rsid w:val="00534404"/>
    <w:rsid w:val="005348A0"/>
    <w:rsid w:val="0053528F"/>
    <w:rsid w:val="00535BEA"/>
    <w:rsid w:val="00535F02"/>
    <w:rsid w:val="00535FF6"/>
    <w:rsid w:val="00536315"/>
    <w:rsid w:val="00536362"/>
    <w:rsid w:val="005363C4"/>
    <w:rsid w:val="00536519"/>
    <w:rsid w:val="00536B42"/>
    <w:rsid w:val="005371F6"/>
    <w:rsid w:val="0053770E"/>
    <w:rsid w:val="00537775"/>
    <w:rsid w:val="005377EA"/>
    <w:rsid w:val="005379D4"/>
    <w:rsid w:val="00537BA9"/>
    <w:rsid w:val="00540476"/>
    <w:rsid w:val="005404FE"/>
    <w:rsid w:val="005406EC"/>
    <w:rsid w:val="00540969"/>
    <w:rsid w:val="00540BCA"/>
    <w:rsid w:val="00540FDE"/>
    <w:rsid w:val="00541319"/>
    <w:rsid w:val="0054147B"/>
    <w:rsid w:val="0054148A"/>
    <w:rsid w:val="005414DA"/>
    <w:rsid w:val="00541825"/>
    <w:rsid w:val="00541D70"/>
    <w:rsid w:val="00541FC4"/>
    <w:rsid w:val="00542063"/>
    <w:rsid w:val="0054213F"/>
    <w:rsid w:val="005421E8"/>
    <w:rsid w:val="00542449"/>
    <w:rsid w:val="005428A2"/>
    <w:rsid w:val="005428D1"/>
    <w:rsid w:val="00542B7D"/>
    <w:rsid w:val="00542CF6"/>
    <w:rsid w:val="00542F75"/>
    <w:rsid w:val="00543298"/>
    <w:rsid w:val="005432B2"/>
    <w:rsid w:val="0054344F"/>
    <w:rsid w:val="00543607"/>
    <w:rsid w:val="00543700"/>
    <w:rsid w:val="00543936"/>
    <w:rsid w:val="005443A8"/>
    <w:rsid w:val="00544A5D"/>
    <w:rsid w:val="00544AB8"/>
    <w:rsid w:val="00545050"/>
    <w:rsid w:val="0054505B"/>
    <w:rsid w:val="00545488"/>
    <w:rsid w:val="005455C1"/>
    <w:rsid w:val="00545710"/>
    <w:rsid w:val="0054583D"/>
    <w:rsid w:val="0054585F"/>
    <w:rsid w:val="005459A5"/>
    <w:rsid w:val="00545F29"/>
    <w:rsid w:val="0054615F"/>
    <w:rsid w:val="00546427"/>
    <w:rsid w:val="0054674E"/>
    <w:rsid w:val="00546851"/>
    <w:rsid w:val="0054750A"/>
    <w:rsid w:val="00547893"/>
    <w:rsid w:val="00547A70"/>
    <w:rsid w:val="00547A8E"/>
    <w:rsid w:val="00547E52"/>
    <w:rsid w:val="00550191"/>
    <w:rsid w:val="00550495"/>
    <w:rsid w:val="005507D2"/>
    <w:rsid w:val="005507F2"/>
    <w:rsid w:val="00550B4C"/>
    <w:rsid w:val="00550D5E"/>
    <w:rsid w:val="00550D87"/>
    <w:rsid w:val="00550FDD"/>
    <w:rsid w:val="005513C3"/>
    <w:rsid w:val="00551695"/>
    <w:rsid w:val="005519A1"/>
    <w:rsid w:val="00551D55"/>
    <w:rsid w:val="00551D5C"/>
    <w:rsid w:val="00551F5A"/>
    <w:rsid w:val="00551FC6"/>
    <w:rsid w:val="00552077"/>
    <w:rsid w:val="00552228"/>
    <w:rsid w:val="0055233C"/>
    <w:rsid w:val="00552374"/>
    <w:rsid w:val="005524DF"/>
    <w:rsid w:val="00552516"/>
    <w:rsid w:val="00552ABE"/>
    <w:rsid w:val="00552D04"/>
    <w:rsid w:val="0055339A"/>
    <w:rsid w:val="0055354A"/>
    <w:rsid w:val="005537A5"/>
    <w:rsid w:val="00553885"/>
    <w:rsid w:val="005538DB"/>
    <w:rsid w:val="00553949"/>
    <w:rsid w:val="00553B1D"/>
    <w:rsid w:val="00553E68"/>
    <w:rsid w:val="00554002"/>
    <w:rsid w:val="0055406E"/>
    <w:rsid w:val="0055418D"/>
    <w:rsid w:val="00554240"/>
    <w:rsid w:val="00554A8C"/>
    <w:rsid w:val="00554F56"/>
    <w:rsid w:val="005556DB"/>
    <w:rsid w:val="0055619C"/>
    <w:rsid w:val="00556469"/>
    <w:rsid w:val="00556565"/>
    <w:rsid w:val="00556C7A"/>
    <w:rsid w:val="00556CD8"/>
    <w:rsid w:val="005570A8"/>
    <w:rsid w:val="0055734A"/>
    <w:rsid w:val="00557A45"/>
    <w:rsid w:val="00557A53"/>
    <w:rsid w:val="00557CAA"/>
    <w:rsid w:val="00557DC6"/>
    <w:rsid w:val="005602B5"/>
    <w:rsid w:val="005602EE"/>
    <w:rsid w:val="005604B2"/>
    <w:rsid w:val="00560763"/>
    <w:rsid w:val="005607B6"/>
    <w:rsid w:val="005607C5"/>
    <w:rsid w:val="00560CD6"/>
    <w:rsid w:val="005610B6"/>
    <w:rsid w:val="0056124D"/>
    <w:rsid w:val="0056153E"/>
    <w:rsid w:val="00561AC7"/>
    <w:rsid w:val="00561B63"/>
    <w:rsid w:val="005620CF"/>
    <w:rsid w:val="005620D3"/>
    <w:rsid w:val="005621D4"/>
    <w:rsid w:val="005623D7"/>
    <w:rsid w:val="005627B1"/>
    <w:rsid w:val="00562862"/>
    <w:rsid w:val="00562922"/>
    <w:rsid w:val="005629E7"/>
    <w:rsid w:val="00562A24"/>
    <w:rsid w:val="00562C1B"/>
    <w:rsid w:val="00562C7E"/>
    <w:rsid w:val="00562E1D"/>
    <w:rsid w:val="00562FD5"/>
    <w:rsid w:val="00563059"/>
    <w:rsid w:val="00563150"/>
    <w:rsid w:val="005631AA"/>
    <w:rsid w:val="00563685"/>
    <w:rsid w:val="005636C8"/>
    <w:rsid w:val="00563752"/>
    <w:rsid w:val="00563B99"/>
    <w:rsid w:val="00563D2A"/>
    <w:rsid w:val="00563EE6"/>
    <w:rsid w:val="00564199"/>
    <w:rsid w:val="005641EF"/>
    <w:rsid w:val="005642A8"/>
    <w:rsid w:val="005642B4"/>
    <w:rsid w:val="00564918"/>
    <w:rsid w:val="00564F4B"/>
    <w:rsid w:val="00564FFD"/>
    <w:rsid w:val="005653EE"/>
    <w:rsid w:val="0056555C"/>
    <w:rsid w:val="00565A76"/>
    <w:rsid w:val="005661D6"/>
    <w:rsid w:val="0056637D"/>
    <w:rsid w:val="00566518"/>
    <w:rsid w:val="00566A26"/>
    <w:rsid w:val="00566AF5"/>
    <w:rsid w:val="00566B1D"/>
    <w:rsid w:val="005670E7"/>
    <w:rsid w:val="005671F2"/>
    <w:rsid w:val="005676FC"/>
    <w:rsid w:val="005676FD"/>
    <w:rsid w:val="0056780E"/>
    <w:rsid w:val="00567B0D"/>
    <w:rsid w:val="00567FA2"/>
    <w:rsid w:val="0057037C"/>
    <w:rsid w:val="00570BD8"/>
    <w:rsid w:val="00570F43"/>
    <w:rsid w:val="00571100"/>
    <w:rsid w:val="00571923"/>
    <w:rsid w:val="00571AE6"/>
    <w:rsid w:val="00571E22"/>
    <w:rsid w:val="00571FBA"/>
    <w:rsid w:val="005720BF"/>
    <w:rsid w:val="0057240D"/>
    <w:rsid w:val="00572729"/>
    <w:rsid w:val="00572A93"/>
    <w:rsid w:val="0057323E"/>
    <w:rsid w:val="00573521"/>
    <w:rsid w:val="0057385B"/>
    <w:rsid w:val="005739B2"/>
    <w:rsid w:val="00573B47"/>
    <w:rsid w:val="00573C5F"/>
    <w:rsid w:val="00573E58"/>
    <w:rsid w:val="0057428B"/>
    <w:rsid w:val="005745E0"/>
    <w:rsid w:val="00574629"/>
    <w:rsid w:val="005748E7"/>
    <w:rsid w:val="0057514C"/>
    <w:rsid w:val="005752E1"/>
    <w:rsid w:val="00575646"/>
    <w:rsid w:val="005757AF"/>
    <w:rsid w:val="00575876"/>
    <w:rsid w:val="00575A0C"/>
    <w:rsid w:val="0057630C"/>
    <w:rsid w:val="005764C7"/>
    <w:rsid w:val="005765FA"/>
    <w:rsid w:val="00576807"/>
    <w:rsid w:val="005769A0"/>
    <w:rsid w:val="00576DAC"/>
    <w:rsid w:val="00576E6C"/>
    <w:rsid w:val="00576F19"/>
    <w:rsid w:val="0057704B"/>
    <w:rsid w:val="0057729D"/>
    <w:rsid w:val="005772EE"/>
    <w:rsid w:val="0057734E"/>
    <w:rsid w:val="0057744D"/>
    <w:rsid w:val="005778ED"/>
    <w:rsid w:val="00577A6C"/>
    <w:rsid w:val="00577FF2"/>
    <w:rsid w:val="0058038D"/>
    <w:rsid w:val="005804F5"/>
    <w:rsid w:val="00580516"/>
    <w:rsid w:val="005809B6"/>
    <w:rsid w:val="00580B70"/>
    <w:rsid w:val="005810D2"/>
    <w:rsid w:val="005817B5"/>
    <w:rsid w:val="005817B7"/>
    <w:rsid w:val="00581B40"/>
    <w:rsid w:val="00581D3A"/>
    <w:rsid w:val="00581DE3"/>
    <w:rsid w:val="00581E9D"/>
    <w:rsid w:val="0058205F"/>
    <w:rsid w:val="005820A2"/>
    <w:rsid w:val="0058226A"/>
    <w:rsid w:val="00582418"/>
    <w:rsid w:val="0058254E"/>
    <w:rsid w:val="0058263E"/>
    <w:rsid w:val="00582681"/>
    <w:rsid w:val="00582A3B"/>
    <w:rsid w:val="00582C47"/>
    <w:rsid w:val="00582C5C"/>
    <w:rsid w:val="00582E12"/>
    <w:rsid w:val="00583050"/>
    <w:rsid w:val="0058316E"/>
    <w:rsid w:val="00583213"/>
    <w:rsid w:val="00583300"/>
    <w:rsid w:val="005834C8"/>
    <w:rsid w:val="00583522"/>
    <w:rsid w:val="0058420E"/>
    <w:rsid w:val="0058454D"/>
    <w:rsid w:val="00584742"/>
    <w:rsid w:val="00584AEF"/>
    <w:rsid w:val="00584D64"/>
    <w:rsid w:val="00585364"/>
    <w:rsid w:val="00585A6A"/>
    <w:rsid w:val="00585B64"/>
    <w:rsid w:val="00585C46"/>
    <w:rsid w:val="00585EF3"/>
    <w:rsid w:val="00586078"/>
    <w:rsid w:val="005860CC"/>
    <w:rsid w:val="005860FF"/>
    <w:rsid w:val="00586212"/>
    <w:rsid w:val="0058636A"/>
    <w:rsid w:val="00586460"/>
    <w:rsid w:val="00586796"/>
    <w:rsid w:val="00586811"/>
    <w:rsid w:val="00586A11"/>
    <w:rsid w:val="00586A14"/>
    <w:rsid w:val="00586E40"/>
    <w:rsid w:val="00587207"/>
    <w:rsid w:val="0058732A"/>
    <w:rsid w:val="005874B8"/>
    <w:rsid w:val="005874FE"/>
    <w:rsid w:val="0058770B"/>
    <w:rsid w:val="0058771A"/>
    <w:rsid w:val="00587782"/>
    <w:rsid w:val="00587864"/>
    <w:rsid w:val="00587A53"/>
    <w:rsid w:val="00587BC4"/>
    <w:rsid w:val="00587BDA"/>
    <w:rsid w:val="0059026E"/>
    <w:rsid w:val="005907E5"/>
    <w:rsid w:val="0059089C"/>
    <w:rsid w:val="00590A43"/>
    <w:rsid w:val="005910D7"/>
    <w:rsid w:val="005910FE"/>
    <w:rsid w:val="005911E9"/>
    <w:rsid w:val="005912D3"/>
    <w:rsid w:val="0059135E"/>
    <w:rsid w:val="00591669"/>
    <w:rsid w:val="00591782"/>
    <w:rsid w:val="00591C0D"/>
    <w:rsid w:val="00591C6D"/>
    <w:rsid w:val="00591E1C"/>
    <w:rsid w:val="00592401"/>
    <w:rsid w:val="00592768"/>
    <w:rsid w:val="00592817"/>
    <w:rsid w:val="0059290D"/>
    <w:rsid w:val="00593213"/>
    <w:rsid w:val="005932B0"/>
    <w:rsid w:val="005932EE"/>
    <w:rsid w:val="005933A4"/>
    <w:rsid w:val="005936E5"/>
    <w:rsid w:val="00593B83"/>
    <w:rsid w:val="00593E59"/>
    <w:rsid w:val="00593E9C"/>
    <w:rsid w:val="00593F7B"/>
    <w:rsid w:val="0059413F"/>
    <w:rsid w:val="0059421A"/>
    <w:rsid w:val="005945AF"/>
    <w:rsid w:val="00594C29"/>
    <w:rsid w:val="00595004"/>
    <w:rsid w:val="00595234"/>
    <w:rsid w:val="00595A3A"/>
    <w:rsid w:val="00595C0F"/>
    <w:rsid w:val="00595DA3"/>
    <w:rsid w:val="00595E52"/>
    <w:rsid w:val="00595EF1"/>
    <w:rsid w:val="00596021"/>
    <w:rsid w:val="005960CB"/>
    <w:rsid w:val="005962BE"/>
    <w:rsid w:val="00596419"/>
    <w:rsid w:val="00596609"/>
    <w:rsid w:val="0059692C"/>
    <w:rsid w:val="00596D74"/>
    <w:rsid w:val="00596D93"/>
    <w:rsid w:val="00596F36"/>
    <w:rsid w:val="005973A7"/>
    <w:rsid w:val="00597567"/>
    <w:rsid w:val="00597973"/>
    <w:rsid w:val="00597D48"/>
    <w:rsid w:val="005A007B"/>
    <w:rsid w:val="005A0465"/>
    <w:rsid w:val="005A0617"/>
    <w:rsid w:val="005A06DD"/>
    <w:rsid w:val="005A08EF"/>
    <w:rsid w:val="005A1455"/>
    <w:rsid w:val="005A19C2"/>
    <w:rsid w:val="005A2114"/>
    <w:rsid w:val="005A2201"/>
    <w:rsid w:val="005A22E4"/>
    <w:rsid w:val="005A2B01"/>
    <w:rsid w:val="005A2D39"/>
    <w:rsid w:val="005A2DF6"/>
    <w:rsid w:val="005A30B5"/>
    <w:rsid w:val="005A3306"/>
    <w:rsid w:val="005A3406"/>
    <w:rsid w:val="005A3754"/>
    <w:rsid w:val="005A3C62"/>
    <w:rsid w:val="005A3CB0"/>
    <w:rsid w:val="005A3CDA"/>
    <w:rsid w:val="005A3DA7"/>
    <w:rsid w:val="005A4184"/>
    <w:rsid w:val="005A46B2"/>
    <w:rsid w:val="005A4780"/>
    <w:rsid w:val="005A4BCE"/>
    <w:rsid w:val="005A4D7F"/>
    <w:rsid w:val="005A531E"/>
    <w:rsid w:val="005A5389"/>
    <w:rsid w:val="005A57C4"/>
    <w:rsid w:val="005A5856"/>
    <w:rsid w:val="005A585A"/>
    <w:rsid w:val="005A5A14"/>
    <w:rsid w:val="005A5AB2"/>
    <w:rsid w:val="005A5CA2"/>
    <w:rsid w:val="005A60EB"/>
    <w:rsid w:val="005A665B"/>
    <w:rsid w:val="005A6899"/>
    <w:rsid w:val="005A6946"/>
    <w:rsid w:val="005A6B7E"/>
    <w:rsid w:val="005A75B1"/>
    <w:rsid w:val="005A78F5"/>
    <w:rsid w:val="005B03CC"/>
    <w:rsid w:val="005B121D"/>
    <w:rsid w:val="005B150C"/>
    <w:rsid w:val="005B176B"/>
    <w:rsid w:val="005B1AD7"/>
    <w:rsid w:val="005B1F03"/>
    <w:rsid w:val="005B2133"/>
    <w:rsid w:val="005B2635"/>
    <w:rsid w:val="005B2E29"/>
    <w:rsid w:val="005B2E57"/>
    <w:rsid w:val="005B338D"/>
    <w:rsid w:val="005B39DF"/>
    <w:rsid w:val="005B3A75"/>
    <w:rsid w:val="005B3F08"/>
    <w:rsid w:val="005B40D8"/>
    <w:rsid w:val="005B41CC"/>
    <w:rsid w:val="005B46E2"/>
    <w:rsid w:val="005B4787"/>
    <w:rsid w:val="005B486F"/>
    <w:rsid w:val="005B49F6"/>
    <w:rsid w:val="005B5078"/>
    <w:rsid w:val="005B5389"/>
    <w:rsid w:val="005B567D"/>
    <w:rsid w:val="005B57DD"/>
    <w:rsid w:val="005B58B7"/>
    <w:rsid w:val="005B593B"/>
    <w:rsid w:val="005B5D50"/>
    <w:rsid w:val="005B65D6"/>
    <w:rsid w:val="005B6979"/>
    <w:rsid w:val="005B6DD9"/>
    <w:rsid w:val="005B6DEC"/>
    <w:rsid w:val="005B6E88"/>
    <w:rsid w:val="005B7093"/>
    <w:rsid w:val="005B7166"/>
    <w:rsid w:val="005B7363"/>
    <w:rsid w:val="005B7442"/>
    <w:rsid w:val="005B74FD"/>
    <w:rsid w:val="005B76CF"/>
    <w:rsid w:val="005B7F43"/>
    <w:rsid w:val="005C033A"/>
    <w:rsid w:val="005C066D"/>
    <w:rsid w:val="005C0682"/>
    <w:rsid w:val="005C09EA"/>
    <w:rsid w:val="005C0A6C"/>
    <w:rsid w:val="005C0E12"/>
    <w:rsid w:val="005C1159"/>
    <w:rsid w:val="005C1430"/>
    <w:rsid w:val="005C1EFF"/>
    <w:rsid w:val="005C254C"/>
    <w:rsid w:val="005C25AC"/>
    <w:rsid w:val="005C2B04"/>
    <w:rsid w:val="005C2B5F"/>
    <w:rsid w:val="005C3076"/>
    <w:rsid w:val="005C3215"/>
    <w:rsid w:val="005C3326"/>
    <w:rsid w:val="005C338A"/>
    <w:rsid w:val="005C3478"/>
    <w:rsid w:val="005C38AA"/>
    <w:rsid w:val="005C397C"/>
    <w:rsid w:val="005C3C88"/>
    <w:rsid w:val="005C3FA8"/>
    <w:rsid w:val="005C40A6"/>
    <w:rsid w:val="005C44B9"/>
    <w:rsid w:val="005C4632"/>
    <w:rsid w:val="005C46FB"/>
    <w:rsid w:val="005C4D49"/>
    <w:rsid w:val="005C5107"/>
    <w:rsid w:val="005C5151"/>
    <w:rsid w:val="005C51EE"/>
    <w:rsid w:val="005C5338"/>
    <w:rsid w:val="005C53E4"/>
    <w:rsid w:val="005C55F3"/>
    <w:rsid w:val="005C582D"/>
    <w:rsid w:val="005C5E9F"/>
    <w:rsid w:val="005C6545"/>
    <w:rsid w:val="005C6566"/>
    <w:rsid w:val="005C65CE"/>
    <w:rsid w:val="005C6ED4"/>
    <w:rsid w:val="005C6F0E"/>
    <w:rsid w:val="005C70E7"/>
    <w:rsid w:val="005C7548"/>
    <w:rsid w:val="005C75F9"/>
    <w:rsid w:val="005C7718"/>
    <w:rsid w:val="005C77AD"/>
    <w:rsid w:val="005C78B7"/>
    <w:rsid w:val="005C7944"/>
    <w:rsid w:val="005C79A0"/>
    <w:rsid w:val="005C7ED3"/>
    <w:rsid w:val="005D0233"/>
    <w:rsid w:val="005D02DD"/>
    <w:rsid w:val="005D04D9"/>
    <w:rsid w:val="005D0DFF"/>
    <w:rsid w:val="005D1436"/>
    <w:rsid w:val="005D149D"/>
    <w:rsid w:val="005D174B"/>
    <w:rsid w:val="005D19FA"/>
    <w:rsid w:val="005D1BB0"/>
    <w:rsid w:val="005D200F"/>
    <w:rsid w:val="005D2131"/>
    <w:rsid w:val="005D23CC"/>
    <w:rsid w:val="005D23FA"/>
    <w:rsid w:val="005D24D7"/>
    <w:rsid w:val="005D27D1"/>
    <w:rsid w:val="005D2B6F"/>
    <w:rsid w:val="005D2BB5"/>
    <w:rsid w:val="005D38BD"/>
    <w:rsid w:val="005D3BDC"/>
    <w:rsid w:val="005D3CDD"/>
    <w:rsid w:val="005D3EE5"/>
    <w:rsid w:val="005D4126"/>
    <w:rsid w:val="005D44EE"/>
    <w:rsid w:val="005D4A61"/>
    <w:rsid w:val="005D5048"/>
    <w:rsid w:val="005D5790"/>
    <w:rsid w:val="005D5C1C"/>
    <w:rsid w:val="005D5CF2"/>
    <w:rsid w:val="005D62F4"/>
    <w:rsid w:val="005D6614"/>
    <w:rsid w:val="005D68F3"/>
    <w:rsid w:val="005D696F"/>
    <w:rsid w:val="005D6DC6"/>
    <w:rsid w:val="005D6DD6"/>
    <w:rsid w:val="005D70A9"/>
    <w:rsid w:val="005D737F"/>
    <w:rsid w:val="005D7598"/>
    <w:rsid w:val="005D75C9"/>
    <w:rsid w:val="005D771B"/>
    <w:rsid w:val="005D78F6"/>
    <w:rsid w:val="005D79E2"/>
    <w:rsid w:val="005D7A3A"/>
    <w:rsid w:val="005D7B99"/>
    <w:rsid w:val="005D7BD2"/>
    <w:rsid w:val="005D7D23"/>
    <w:rsid w:val="005D7FBF"/>
    <w:rsid w:val="005E0938"/>
    <w:rsid w:val="005E1786"/>
    <w:rsid w:val="005E1A91"/>
    <w:rsid w:val="005E2150"/>
    <w:rsid w:val="005E262D"/>
    <w:rsid w:val="005E274B"/>
    <w:rsid w:val="005E2F8E"/>
    <w:rsid w:val="005E33F6"/>
    <w:rsid w:val="005E35B3"/>
    <w:rsid w:val="005E368E"/>
    <w:rsid w:val="005E3825"/>
    <w:rsid w:val="005E3BA1"/>
    <w:rsid w:val="005E3C66"/>
    <w:rsid w:val="005E48AA"/>
    <w:rsid w:val="005E4AC5"/>
    <w:rsid w:val="005E51EC"/>
    <w:rsid w:val="005E5652"/>
    <w:rsid w:val="005E5AA7"/>
    <w:rsid w:val="005E5B2C"/>
    <w:rsid w:val="005E5B6A"/>
    <w:rsid w:val="005E5C7E"/>
    <w:rsid w:val="005E5E05"/>
    <w:rsid w:val="005E5E0B"/>
    <w:rsid w:val="005E5E79"/>
    <w:rsid w:val="005E61DE"/>
    <w:rsid w:val="005E6263"/>
    <w:rsid w:val="005E6304"/>
    <w:rsid w:val="005E6DD6"/>
    <w:rsid w:val="005E6E01"/>
    <w:rsid w:val="005E72D8"/>
    <w:rsid w:val="005E7452"/>
    <w:rsid w:val="005E7460"/>
    <w:rsid w:val="005E75B2"/>
    <w:rsid w:val="005E793C"/>
    <w:rsid w:val="005E7AE0"/>
    <w:rsid w:val="005E7CB2"/>
    <w:rsid w:val="005F04F9"/>
    <w:rsid w:val="005F054D"/>
    <w:rsid w:val="005F0558"/>
    <w:rsid w:val="005F0B7D"/>
    <w:rsid w:val="005F0FB1"/>
    <w:rsid w:val="005F1102"/>
    <w:rsid w:val="005F114E"/>
    <w:rsid w:val="005F13AB"/>
    <w:rsid w:val="005F1B50"/>
    <w:rsid w:val="005F2354"/>
    <w:rsid w:val="005F2429"/>
    <w:rsid w:val="005F274F"/>
    <w:rsid w:val="005F2DF9"/>
    <w:rsid w:val="005F3050"/>
    <w:rsid w:val="005F321C"/>
    <w:rsid w:val="005F3350"/>
    <w:rsid w:val="005F34A4"/>
    <w:rsid w:val="005F3561"/>
    <w:rsid w:val="005F3920"/>
    <w:rsid w:val="005F3971"/>
    <w:rsid w:val="005F41A2"/>
    <w:rsid w:val="005F4539"/>
    <w:rsid w:val="005F457B"/>
    <w:rsid w:val="005F4706"/>
    <w:rsid w:val="005F4810"/>
    <w:rsid w:val="005F4A18"/>
    <w:rsid w:val="005F4A64"/>
    <w:rsid w:val="005F4C07"/>
    <w:rsid w:val="005F4D4A"/>
    <w:rsid w:val="005F505D"/>
    <w:rsid w:val="005F50CE"/>
    <w:rsid w:val="005F52E4"/>
    <w:rsid w:val="005F52E6"/>
    <w:rsid w:val="005F536D"/>
    <w:rsid w:val="005F5467"/>
    <w:rsid w:val="005F54A6"/>
    <w:rsid w:val="005F55E6"/>
    <w:rsid w:val="005F57E1"/>
    <w:rsid w:val="005F5E57"/>
    <w:rsid w:val="005F5EDF"/>
    <w:rsid w:val="005F60A7"/>
    <w:rsid w:val="005F6183"/>
    <w:rsid w:val="005F7039"/>
    <w:rsid w:val="005F7470"/>
    <w:rsid w:val="005F783A"/>
    <w:rsid w:val="005F7D9E"/>
    <w:rsid w:val="005F7F36"/>
    <w:rsid w:val="00600371"/>
    <w:rsid w:val="00600462"/>
    <w:rsid w:val="006005CA"/>
    <w:rsid w:val="0060090C"/>
    <w:rsid w:val="00600E75"/>
    <w:rsid w:val="00600E7D"/>
    <w:rsid w:val="00600F2E"/>
    <w:rsid w:val="006011CA"/>
    <w:rsid w:val="00601651"/>
    <w:rsid w:val="006017BC"/>
    <w:rsid w:val="006017FE"/>
    <w:rsid w:val="00601A7A"/>
    <w:rsid w:val="00601A8A"/>
    <w:rsid w:val="00601B01"/>
    <w:rsid w:val="00601CEB"/>
    <w:rsid w:val="00601D47"/>
    <w:rsid w:val="00601F27"/>
    <w:rsid w:val="006024B7"/>
    <w:rsid w:val="006027E0"/>
    <w:rsid w:val="006029E9"/>
    <w:rsid w:val="00602D22"/>
    <w:rsid w:val="00602D7D"/>
    <w:rsid w:val="00603745"/>
    <w:rsid w:val="006038F5"/>
    <w:rsid w:val="00603A0F"/>
    <w:rsid w:val="00603C76"/>
    <w:rsid w:val="00603DBA"/>
    <w:rsid w:val="00603DCC"/>
    <w:rsid w:val="00603E5F"/>
    <w:rsid w:val="006044C2"/>
    <w:rsid w:val="006046D0"/>
    <w:rsid w:val="006047EC"/>
    <w:rsid w:val="0060492D"/>
    <w:rsid w:val="00604965"/>
    <w:rsid w:val="00605510"/>
    <w:rsid w:val="006055BD"/>
    <w:rsid w:val="006055D6"/>
    <w:rsid w:val="00605C47"/>
    <w:rsid w:val="00605CBD"/>
    <w:rsid w:val="00606157"/>
    <w:rsid w:val="006061F9"/>
    <w:rsid w:val="00606223"/>
    <w:rsid w:val="00606798"/>
    <w:rsid w:val="00606888"/>
    <w:rsid w:val="006069D1"/>
    <w:rsid w:val="00606E67"/>
    <w:rsid w:val="00607334"/>
    <w:rsid w:val="00607688"/>
    <w:rsid w:val="0060772A"/>
    <w:rsid w:val="006078FA"/>
    <w:rsid w:val="006079D5"/>
    <w:rsid w:val="00607B15"/>
    <w:rsid w:val="00607C8B"/>
    <w:rsid w:val="0061069E"/>
    <w:rsid w:val="00610A53"/>
    <w:rsid w:val="00610B83"/>
    <w:rsid w:val="006110BB"/>
    <w:rsid w:val="006111F9"/>
    <w:rsid w:val="00611445"/>
    <w:rsid w:val="0061168C"/>
    <w:rsid w:val="00611BC7"/>
    <w:rsid w:val="00611F42"/>
    <w:rsid w:val="00611FC2"/>
    <w:rsid w:val="006122DF"/>
    <w:rsid w:val="006123FE"/>
    <w:rsid w:val="0061263E"/>
    <w:rsid w:val="00612A49"/>
    <w:rsid w:val="00612A69"/>
    <w:rsid w:val="00612B6F"/>
    <w:rsid w:val="00612E46"/>
    <w:rsid w:val="00613131"/>
    <w:rsid w:val="006131D7"/>
    <w:rsid w:val="006132AD"/>
    <w:rsid w:val="006132B6"/>
    <w:rsid w:val="00613838"/>
    <w:rsid w:val="006139B2"/>
    <w:rsid w:val="00613CB4"/>
    <w:rsid w:val="00613E94"/>
    <w:rsid w:val="00613F25"/>
    <w:rsid w:val="00614245"/>
    <w:rsid w:val="006144EF"/>
    <w:rsid w:val="00615141"/>
    <w:rsid w:val="00615609"/>
    <w:rsid w:val="00615882"/>
    <w:rsid w:val="006159EC"/>
    <w:rsid w:val="00615C61"/>
    <w:rsid w:val="00616150"/>
    <w:rsid w:val="00616297"/>
    <w:rsid w:val="006165DA"/>
    <w:rsid w:val="0061679B"/>
    <w:rsid w:val="00616875"/>
    <w:rsid w:val="00616CB1"/>
    <w:rsid w:val="0061747B"/>
    <w:rsid w:val="006176E8"/>
    <w:rsid w:val="00620068"/>
    <w:rsid w:val="00620121"/>
    <w:rsid w:val="0062015C"/>
    <w:rsid w:val="006201C8"/>
    <w:rsid w:val="00620541"/>
    <w:rsid w:val="00620573"/>
    <w:rsid w:val="00620578"/>
    <w:rsid w:val="006207D7"/>
    <w:rsid w:val="006208F8"/>
    <w:rsid w:val="00620CBA"/>
    <w:rsid w:val="006211DD"/>
    <w:rsid w:val="006214E8"/>
    <w:rsid w:val="006216E9"/>
    <w:rsid w:val="006218AB"/>
    <w:rsid w:val="006218C5"/>
    <w:rsid w:val="0062248D"/>
    <w:rsid w:val="00622978"/>
    <w:rsid w:val="00622CE0"/>
    <w:rsid w:val="00622E40"/>
    <w:rsid w:val="00623146"/>
    <w:rsid w:val="0062350A"/>
    <w:rsid w:val="006239B2"/>
    <w:rsid w:val="006239C6"/>
    <w:rsid w:val="00623BB1"/>
    <w:rsid w:val="00623C25"/>
    <w:rsid w:val="00623D67"/>
    <w:rsid w:val="006240C0"/>
    <w:rsid w:val="00624B0A"/>
    <w:rsid w:val="00624B65"/>
    <w:rsid w:val="00624D26"/>
    <w:rsid w:val="00624F98"/>
    <w:rsid w:val="006251CC"/>
    <w:rsid w:val="006252D9"/>
    <w:rsid w:val="00625367"/>
    <w:rsid w:val="0062554B"/>
    <w:rsid w:val="00625D70"/>
    <w:rsid w:val="00625E39"/>
    <w:rsid w:val="00625F92"/>
    <w:rsid w:val="00626082"/>
    <w:rsid w:val="00626598"/>
    <w:rsid w:val="00626D42"/>
    <w:rsid w:val="00626E22"/>
    <w:rsid w:val="00626E78"/>
    <w:rsid w:val="006277F0"/>
    <w:rsid w:val="00627A8A"/>
    <w:rsid w:val="00627E1A"/>
    <w:rsid w:val="00630263"/>
    <w:rsid w:val="006304D5"/>
    <w:rsid w:val="00630D87"/>
    <w:rsid w:val="00631301"/>
    <w:rsid w:val="006313F5"/>
    <w:rsid w:val="00631A22"/>
    <w:rsid w:val="00631A73"/>
    <w:rsid w:val="00632098"/>
    <w:rsid w:val="0063234C"/>
    <w:rsid w:val="00632508"/>
    <w:rsid w:val="006326B6"/>
    <w:rsid w:val="00632A7C"/>
    <w:rsid w:val="00632F2C"/>
    <w:rsid w:val="006334D3"/>
    <w:rsid w:val="006337CF"/>
    <w:rsid w:val="00633B78"/>
    <w:rsid w:val="00633DCA"/>
    <w:rsid w:val="00633EBC"/>
    <w:rsid w:val="00633F65"/>
    <w:rsid w:val="00634056"/>
    <w:rsid w:val="00634076"/>
    <w:rsid w:val="0063407D"/>
    <w:rsid w:val="006340F2"/>
    <w:rsid w:val="00634310"/>
    <w:rsid w:val="0063466E"/>
    <w:rsid w:val="0063467B"/>
    <w:rsid w:val="00634934"/>
    <w:rsid w:val="00634C71"/>
    <w:rsid w:val="00634E1A"/>
    <w:rsid w:val="006350DD"/>
    <w:rsid w:val="006351FE"/>
    <w:rsid w:val="006359A0"/>
    <w:rsid w:val="0063669B"/>
    <w:rsid w:val="00636860"/>
    <w:rsid w:val="00637104"/>
    <w:rsid w:val="006374D2"/>
    <w:rsid w:val="00637509"/>
    <w:rsid w:val="006377DF"/>
    <w:rsid w:val="00637B7D"/>
    <w:rsid w:val="006401DE"/>
    <w:rsid w:val="006402C7"/>
    <w:rsid w:val="00640336"/>
    <w:rsid w:val="006404D3"/>
    <w:rsid w:val="006406C5"/>
    <w:rsid w:val="006407D9"/>
    <w:rsid w:val="006409BE"/>
    <w:rsid w:val="00640C41"/>
    <w:rsid w:val="00640DF6"/>
    <w:rsid w:val="006410E4"/>
    <w:rsid w:val="0064117F"/>
    <w:rsid w:val="00641630"/>
    <w:rsid w:val="00641AF0"/>
    <w:rsid w:val="00641B27"/>
    <w:rsid w:val="00641DB7"/>
    <w:rsid w:val="006420B9"/>
    <w:rsid w:val="0064262F"/>
    <w:rsid w:val="00642693"/>
    <w:rsid w:val="00642D37"/>
    <w:rsid w:val="00642F62"/>
    <w:rsid w:val="00643006"/>
    <w:rsid w:val="006431A7"/>
    <w:rsid w:val="006431DA"/>
    <w:rsid w:val="006431DB"/>
    <w:rsid w:val="006439E0"/>
    <w:rsid w:val="00643A18"/>
    <w:rsid w:val="00643BE2"/>
    <w:rsid w:val="00643C26"/>
    <w:rsid w:val="00643D49"/>
    <w:rsid w:val="00644198"/>
    <w:rsid w:val="0064460C"/>
    <w:rsid w:val="00644868"/>
    <w:rsid w:val="00644C14"/>
    <w:rsid w:val="00644C9F"/>
    <w:rsid w:val="00645006"/>
    <w:rsid w:val="006450CC"/>
    <w:rsid w:val="006452DD"/>
    <w:rsid w:val="00645472"/>
    <w:rsid w:val="0064556B"/>
    <w:rsid w:val="00645804"/>
    <w:rsid w:val="006459E2"/>
    <w:rsid w:val="00645CD9"/>
    <w:rsid w:val="00645D6A"/>
    <w:rsid w:val="00645D7E"/>
    <w:rsid w:val="00646434"/>
    <w:rsid w:val="00646643"/>
    <w:rsid w:val="00646D13"/>
    <w:rsid w:val="00646EFA"/>
    <w:rsid w:val="00646FE1"/>
    <w:rsid w:val="006478C2"/>
    <w:rsid w:val="0064799B"/>
    <w:rsid w:val="006479BB"/>
    <w:rsid w:val="00647B29"/>
    <w:rsid w:val="00647BC9"/>
    <w:rsid w:val="00647D67"/>
    <w:rsid w:val="00650C4A"/>
    <w:rsid w:val="00650E53"/>
    <w:rsid w:val="00650ED6"/>
    <w:rsid w:val="0065101E"/>
    <w:rsid w:val="006512C1"/>
    <w:rsid w:val="0065142A"/>
    <w:rsid w:val="00651688"/>
    <w:rsid w:val="0065178C"/>
    <w:rsid w:val="00651AEA"/>
    <w:rsid w:val="00651B15"/>
    <w:rsid w:val="00652356"/>
    <w:rsid w:val="00652394"/>
    <w:rsid w:val="006527C9"/>
    <w:rsid w:val="00652FAF"/>
    <w:rsid w:val="006531D2"/>
    <w:rsid w:val="006536FA"/>
    <w:rsid w:val="00653738"/>
    <w:rsid w:val="0065453B"/>
    <w:rsid w:val="00654578"/>
    <w:rsid w:val="00654BAE"/>
    <w:rsid w:val="00654BDE"/>
    <w:rsid w:val="00654EF6"/>
    <w:rsid w:val="00655373"/>
    <w:rsid w:val="00655631"/>
    <w:rsid w:val="00655BC0"/>
    <w:rsid w:val="00655CCC"/>
    <w:rsid w:val="0065622D"/>
    <w:rsid w:val="006562D0"/>
    <w:rsid w:val="006563F3"/>
    <w:rsid w:val="006566AA"/>
    <w:rsid w:val="0065674B"/>
    <w:rsid w:val="00656F28"/>
    <w:rsid w:val="00657032"/>
    <w:rsid w:val="006574FB"/>
    <w:rsid w:val="0065763A"/>
    <w:rsid w:val="00657BFA"/>
    <w:rsid w:val="00657CA8"/>
    <w:rsid w:val="00657E5C"/>
    <w:rsid w:val="0066038B"/>
    <w:rsid w:val="00660424"/>
    <w:rsid w:val="006604A3"/>
    <w:rsid w:val="00660A03"/>
    <w:rsid w:val="00660BFA"/>
    <w:rsid w:val="00660BFE"/>
    <w:rsid w:val="00661066"/>
    <w:rsid w:val="00661281"/>
    <w:rsid w:val="00661608"/>
    <w:rsid w:val="00661913"/>
    <w:rsid w:val="00661D1E"/>
    <w:rsid w:val="00662113"/>
    <w:rsid w:val="006622BB"/>
    <w:rsid w:val="006623CC"/>
    <w:rsid w:val="00662419"/>
    <w:rsid w:val="00662949"/>
    <w:rsid w:val="00663132"/>
    <w:rsid w:val="0066317E"/>
    <w:rsid w:val="0066355E"/>
    <w:rsid w:val="00663580"/>
    <w:rsid w:val="00663607"/>
    <w:rsid w:val="00663DFF"/>
    <w:rsid w:val="00663E55"/>
    <w:rsid w:val="00663E99"/>
    <w:rsid w:val="0066425A"/>
    <w:rsid w:val="00664277"/>
    <w:rsid w:val="00664371"/>
    <w:rsid w:val="006644BB"/>
    <w:rsid w:val="0066452B"/>
    <w:rsid w:val="00664A3B"/>
    <w:rsid w:val="00664AA1"/>
    <w:rsid w:val="00664FE6"/>
    <w:rsid w:val="00665106"/>
    <w:rsid w:val="006654E2"/>
    <w:rsid w:val="0066581A"/>
    <w:rsid w:val="006659AB"/>
    <w:rsid w:val="006659D5"/>
    <w:rsid w:val="00665AF6"/>
    <w:rsid w:val="00665B52"/>
    <w:rsid w:val="00665CD1"/>
    <w:rsid w:val="00665D69"/>
    <w:rsid w:val="00665E22"/>
    <w:rsid w:val="00665F6B"/>
    <w:rsid w:val="006663F2"/>
    <w:rsid w:val="00666551"/>
    <w:rsid w:val="00666676"/>
    <w:rsid w:val="0066673C"/>
    <w:rsid w:val="00666CA7"/>
    <w:rsid w:val="00666D8E"/>
    <w:rsid w:val="006672F9"/>
    <w:rsid w:val="00667310"/>
    <w:rsid w:val="006676A1"/>
    <w:rsid w:val="0066775D"/>
    <w:rsid w:val="00667E0B"/>
    <w:rsid w:val="00667EC1"/>
    <w:rsid w:val="0067002B"/>
    <w:rsid w:val="0067038F"/>
    <w:rsid w:val="006703CD"/>
    <w:rsid w:val="00670C2F"/>
    <w:rsid w:val="00670DEC"/>
    <w:rsid w:val="00670E00"/>
    <w:rsid w:val="00670F32"/>
    <w:rsid w:val="00671192"/>
    <w:rsid w:val="006712F9"/>
    <w:rsid w:val="006717F3"/>
    <w:rsid w:val="00671994"/>
    <w:rsid w:val="00671BDC"/>
    <w:rsid w:val="00671CAA"/>
    <w:rsid w:val="00671EA0"/>
    <w:rsid w:val="00671EF1"/>
    <w:rsid w:val="00671FEC"/>
    <w:rsid w:val="006727C7"/>
    <w:rsid w:val="006730F1"/>
    <w:rsid w:val="006732EB"/>
    <w:rsid w:val="00673763"/>
    <w:rsid w:val="006738EC"/>
    <w:rsid w:val="00673905"/>
    <w:rsid w:val="00673B25"/>
    <w:rsid w:val="00673C8D"/>
    <w:rsid w:val="00674223"/>
    <w:rsid w:val="00674ADA"/>
    <w:rsid w:val="006750FE"/>
    <w:rsid w:val="0067525C"/>
    <w:rsid w:val="00675504"/>
    <w:rsid w:val="0067554D"/>
    <w:rsid w:val="00675A2C"/>
    <w:rsid w:val="00675BB9"/>
    <w:rsid w:val="00676031"/>
    <w:rsid w:val="006765D1"/>
    <w:rsid w:val="006766BB"/>
    <w:rsid w:val="006767A3"/>
    <w:rsid w:val="00676984"/>
    <w:rsid w:val="0067704A"/>
    <w:rsid w:val="006772D2"/>
    <w:rsid w:val="006773DB"/>
    <w:rsid w:val="0067754A"/>
    <w:rsid w:val="00677A30"/>
    <w:rsid w:val="00677AC9"/>
    <w:rsid w:val="00677C47"/>
    <w:rsid w:val="00677D1E"/>
    <w:rsid w:val="006800A3"/>
    <w:rsid w:val="006806EE"/>
    <w:rsid w:val="006808ED"/>
    <w:rsid w:val="0068092A"/>
    <w:rsid w:val="00680C0C"/>
    <w:rsid w:val="006819B7"/>
    <w:rsid w:val="00681AFD"/>
    <w:rsid w:val="00681B48"/>
    <w:rsid w:val="00681D2E"/>
    <w:rsid w:val="00681E6C"/>
    <w:rsid w:val="006820D2"/>
    <w:rsid w:val="00682544"/>
    <w:rsid w:val="006825B6"/>
    <w:rsid w:val="0068261F"/>
    <w:rsid w:val="00682846"/>
    <w:rsid w:val="00682D0A"/>
    <w:rsid w:val="00682D21"/>
    <w:rsid w:val="0068338A"/>
    <w:rsid w:val="006834D6"/>
    <w:rsid w:val="0068360F"/>
    <w:rsid w:val="0068376A"/>
    <w:rsid w:val="00684161"/>
    <w:rsid w:val="00684486"/>
    <w:rsid w:val="0068463C"/>
    <w:rsid w:val="00684686"/>
    <w:rsid w:val="00684EDC"/>
    <w:rsid w:val="00685387"/>
    <w:rsid w:val="0068547B"/>
    <w:rsid w:val="006854AB"/>
    <w:rsid w:val="006856C9"/>
    <w:rsid w:val="00685A70"/>
    <w:rsid w:val="00685D68"/>
    <w:rsid w:val="006863FB"/>
    <w:rsid w:val="0068684A"/>
    <w:rsid w:val="00686930"/>
    <w:rsid w:val="00686EAE"/>
    <w:rsid w:val="006871EE"/>
    <w:rsid w:val="00687421"/>
    <w:rsid w:val="00687528"/>
    <w:rsid w:val="00687556"/>
    <w:rsid w:val="0068782D"/>
    <w:rsid w:val="00687A7F"/>
    <w:rsid w:val="00687AE3"/>
    <w:rsid w:val="00687CC2"/>
    <w:rsid w:val="00687E95"/>
    <w:rsid w:val="00687EF6"/>
    <w:rsid w:val="00690729"/>
    <w:rsid w:val="00690DCC"/>
    <w:rsid w:val="006910DB"/>
    <w:rsid w:val="006912AD"/>
    <w:rsid w:val="00691380"/>
    <w:rsid w:val="006914A3"/>
    <w:rsid w:val="00691BC6"/>
    <w:rsid w:val="00691BDB"/>
    <w:rsid w:val="00691CD3"/>
    <w:rsid w:val="00691E79"/>
    <w:rsid w:val="00691E7A"/>
    <w:rsid w:val="00692111"/>
    <w:rsid w:val="006927AE"/>
    <w:rsid w:val="00692972"/>
    <w:rsid w:val="00692E5D"/>
    <w:rsid w:val="00692FD6"/>
    <w:rsid w:val="0069334D"/>
    <w:rsid w:val="00693497"/>
    <w:rsid w:val="00693853"/>
    <w:rsid w:val="00693900"/>
    <w:rsid w:val="00693ABF"/>
    <w:rsid w:val="00693B86"/>
    <w:rsid w:val="00693CBC"/>
    <w:rsid w:val="00693DD4"/>
    <w:rsid w:val="00693F9C"/>
    <w:rsid w:val="00694255"/>
    <w:rsid w:val="006948B0"/>
    <w:rsid w:val="00694E22"/>
    <w:rsid w:val="00694E6F"/>
    <w:rsid w:val="00694FA7"/>
    <w:rsid w:val="006950BC"/>
    <w:rsid w:val="00695271"/>
    <w:rsid w:val="006959B5"/>
    <w:rsid w:val="00695D61"/>
    <w:rsid w:val="00696061"/>
    <w:rsid w:val="00696744"/>
    <w:rsid w:val="0069699C"/>
    <w:rsid w:val="006969DA"/>
    <w:rsid w:val="006969DB"/>
    <w:rsid w:val="00696A4A"/>
    <w:rsid w:val="00697554"/>
    <w:rsid w:val="006975AC"/>
    <w:rsid w:val="00697873"/>
    <w:rsid w:val="00697CCF"/>
    <w:rsid w:val="00697DE5"/>
    <w:rsid w:val="00697FA5"/>
    <w:rsid w:val="006A0095"/>
    <w:rsid w:val="006A065C"/>
    <w:rsid w:val="006A092C"/>
    <w:rsid w:val="006A0D53"/>
    <w:rsid w:val="006A12E7"/>
    <w:rsid w:val="006A157B"/>
    <w:rsid w:val="006A15AB"/>
    <w:rsid w:val="006A15DF"/>
    <w:rsid w:val="006A1646"/>
    <w:rsid w:val="006A175A"/>
    <w:rsid w:val="006A1966"/>
    <w:rsid w:val="006A2007"/>
    <w:rsid w:val="006A204E"/>
    <w:rsid w:val="006A24A8"/>
    <w:rsid w:val="006A270E"/>
    <w:rsid w:val="006A29AB"/>
    <w:rsid w:val="006A331B"/>
    <w:rsid w:val="006A39F2"/>
    <w:rsid w:val="006A3A07"/>
    <w:rsid w:val="006A40A6"/>
    <w:rsid w:val="006A464C"/>
    <w:rsid w:val="006A4916"/>
    <w:rsid w:val="006A4C58"/>
    <w:rsid w:val="006A4CD3"/>
    <w:rsid w:val="006A502C"/>
    <w:rsid w:val="006A5414"/>
    <w:rsid w:val="006A55A3"/>
    <w:rsid w:val="006A5B55"/>
    <w:rsid w:val="006A5DBD"/>
    <w:rsid w:val="006A5EBB"/>
    <w:rsid w:val="006A5FAD"/>
    <w:rsid w:val="006A6273"/>
    <w:rsid w:val="006A6605"/>
    <w:rsid w:val="006A66BD"/>
    <w:rsid w:val="006A67B1"/>
    <w:rsid w:val="006A6962"/>
    <w:rsid w:val="006A6B50"/>
    <w:rsid w:val="006A6D1E"/>
    <w:rsid w:val="006A704C"/>
    <w:rsid w:val="006A7132"/>
    <w:rsid w:val="006A7648"/>
    <w:rsid w:val="006A7800"/>
    <w:rsid w:val="006A789B"/>
    <w:rsid w:val="006A78D9"/>
    <w:rsid w:val="006B00AC"/>
    <w:rsid w:val="006B00D5"/>
    <w:rsid w:val="006B0301"/>
    <w:rsid w:val="006B0358"/>
    <w:rsid w:val="006B0F30"/>
    <w:rsid w:val="006B11B6"/>
    <w:rsid w:val="006B1392"/>
    <w:rsid w:val="006B1708"/>
    <w:rsid w:val="006B1855"/>
    <w:rsid w:val="006B1DF9"/>
    <w:rsid w:val="006B231E"/>
    <w:rsid w:val="006B27BD"/>
    <w:rsid w:val="006B2877"/>
    <w:rsid w:val="006B2893"/>
    <w:rsid w:val="006B289A"/>
    <w:rsid w:val="006B2FF5"/>
    <w:rsid w:val="006B3411"/>
    <w:rsid w:val="006B344B"/>
    <w:rsid w:val="006B3629"/>
    <w:rsid w:val="006B38FD"/>
    <w:rsid w:val="006B3C41"/>
    <w:rsid w:val="006B3CDF"/>
    <w:rsid w:val="006B3E5B"/>
    <w:rsid w:val="006B456F"/>
    <w:rsid w:val="006B4605"/>
    <w:rsid w:val="006B499A"/>
    <w:rsid w:val="006B49F1"/>
    <w:rsid w:val="006B4C00"/>
    <w:rsid w:val="006B51B4"/>
    <w:rsid w:val="006B5413"/>
    <w:rsid w:val="006B5538"/>
    <w:rsid w:val="006B5769"/>
    <w:rsid w:val="006B58B6"/>
    <w:rsid w:val="006B591A"/>
    <w:rsid w:val="006B59A6"/>
    <w:rsid w:val="006B5F06"/>
    <w:rsid w:val="006B5F44"/>
    <w:rsid w:val="006B637A"/>
    <w:rsid w:val="006B639C"/>
    <w:rsid w:val="006B6C73"/>
    <w:rsid w:val="006B7228"/>
    <w:rsid w:val="006B7331"/>
    <w:rsid w:val="006B7472"/>
    <w:rsid w:val="006B7491"/>
    <w:rsid w:val="006B7561"/>
    <w:rsid w:val="006B767B"/>
    <w:rsid w:val="006B783F"/>
    <w:rsid w:val="006B7896"/>
    <w:rsid w:val="006B7AA0"/>
    <w:rsid w:val="006B7DE3"/>
    <w:rsid w:val="006B7F16"/>
    <w:rsid w:val="006C049C"/>
    <w:rsid w:val="006C071C"/>
    <w:rsid w:val="006C0CE5"/>
    <w:rsid w:val="006C0E2F"/>
    <w:rsid w:val="006C0EC1"/>
    <w:rsid w:val="006C0FAF"/>
    <w:rsid w:val="006C0FEF"/>
    <w:rsid w:val="006C1123"/>
    <w:rsid w:val="006C11CD"/>
    <w:rsid w:val="006C1227"/>
    <w:rsid w:val="006C12A2"/>
    <w:rsid w:val="006C12B6"/>
    <w:rsid w:val="006C1412"/>
    <w:rsid w:val="006C14DD"/>
    <w:rsid w:val="006C177D"/>
    <w:rsid w:val="006C1FDD"/>
    <w:rsid w:val="006C247C"/>
    <w:rsid w:val="006C2599"/>
    <w:rsid w:val="006C28EE"/>
    <w:rsid w:val="006C2B19"/>
    <w:rsid w:val="006C2E2C"/>
    <w:rsid w:val="006C2FE3"/>
    <w:rsid w:val="006C3143"/>
    <w:rsid w:val="006C3583"/>
    <w:rsid w:val="006C35C2"/>
    <w:rsid w:val="006C393A"/>
    <w:rsid w:val="006C3A62"/>
    <w:rsid w:val="006C3EA4"/>
    <w:rsid w:val="006C4000"/>
    <w:rsid w:val="006C4C17"/>
    <w:rsid w:val="006C4CAF"/>
    <w:rsid w:val="006C53C7"/>
    <w:rsid w:val="006C5571"/>
    <w:rsid w:val="006C58E0"/>
    <w:rsid w:val="006C5904"/>
    <w:rsid w:val="006C5A3B"/>
    <w:rsid w:val="006C5CC4"/>
    <w:rsid w:val="006C628A"/>
    <w:rsid w:val="006C67A7"/>
    <w:rsid w:val="006C6904"/>
    <w:rsid w:val="006C6EB1"/>
    <w:rsid w:val="006C6EC7"/>
    <w:rsid w:val="006C72DD"/>
    <w:rsid w:val="006C73D3"/>
    <w:rsid w:val="006C74D1"/>
    <w:rsid w:val="006C7507"/>
    <w:rsid w:val="006C7771"/>
    <w:rsid w:val="006C7BE5"/>
    <w:rsid w:val="006C7D05"/>
    <w:rsid w:val="006C7F94"/>
    <w:rsid w:val="006D0A5A"/>
    <w:rsid w:val="006D0BDE"/>
    <w:rsid w:val="006D0BE5"/>
    <w:rsid w:val="006D0CF1"/>
    <w:rsid w:val="006D0F26"/>
    <w:rsid w:val="006D0F7A"/>
    <w:rsid w:val="006D1100"/>
    <w:rsid w:val="006D141A"/>
    <w:rsid w:val="006D15FC"/>
    <w:rsid w:val="006D1B21"/>
    <w:rsid w:val="006D20D6"/>
    <w:rsid w:val="006D23C9"/>
    <w:rsid w:val="006D2543"/>
    <w:rsid w:val="006D2624"/>
    <w:rsid w:val="006D276D"/>
    <w:rsid w:val="006D2795"/>
    <w:rsid w:val="006D2984"/>
    <w:rsid w:val="006D29BE"/>
    <w:rsid w:val="006D29C4"/>
    <w:rsid w:val="006D2D35"/>
    <w:rsid w:val="006D2EA0"/>
    <w:rsid w:val="006D3C67"/>
    <w:rsid w:val="006D3E32"/>
    <w:rsid w:val="006D4803"/>
    <w:rsid w:val="006D4AB0"/>
    <w:rsid w:val="006D4CF0"/>
    <w:rsid w:val="006D4DFF"/>
    <w:rsid w:val="006D550F"/>
    <w:rsid w:val="006D5568"/>
    <w:rsid w:val="006D5571"/>
    <w:rsid w:val="006D5D9A"/>
    <w:rsid w:val="006D62B8"/>
    <w:rsid w:val="006D6525"/>
    <w:rsid w:val="006D67FE"/>
    <w:rsid w:val="006D70DC"/>
    <w:rsid w:val="006D75DB"/>
    <w:rsid w:val="006D76E6"/>
    <w:rsid w:val="006D770C"/>
    <w:rsid w:val="006D7767"/>
    <w:rsid w:val="006D7819"/>
    <w:rsid w:val="006D7F96"/>
    <w:rsid w:val="006E0030"/>
    <w:rsid w:val="006E00CA"/>
    <w:rsid w:val="006E01A8"/>
    <w:rsid w:val="006E0405"/>
    <w:rsid w:val="006E097F"/>
    <w:rsid w:val="006E0D0B"/>
    <w:rsid w:val="006E0F8D"/>
    <w:rsid w:val="006E0FA1"/>
    <w:rsid w:val="006E159C"/>
    <w:rsid w:val="006E1782"/>
    <w:rsid w:val="006E17FF"/>
    <w:rsid w:val="006E1CC2"/>
    <w:rsid w:val="006E1FF5"/>
    <w:rsid w:val="006E2092"/>
    <w:rsid w:val="006E22DB"/>
    <w:rsid w:val="006E24C9"/>
    <w:rsid w:val="006E24E3"/>
    <w:rsid w:val="006E2992"/>
    <w:rsid w:val="006E2E17"/>
    <w:rsid w:val="006E2F1D"/>
    <w:rsid w:val="006E2F6C"/>
    <w:rsid w:val="006E301B"/>
    <w:rsid w:val="006E3113"/>
    <w:rsid w:val="006E38C9"/>
    <w:rsid w:val="006E3A3B"/>
    <w:rsid w:val="006E4116"/>
    <w:rsid w:val="006E43A5"/>
    <w:rsid w:val="006E4445"/>
    <w:rsid w:val="006E4980"/>
    <w:rsid w:val="006E4EC9"/>
    <w:rsid w:val="006E50B3"/>
    <w:rsid w:val="006E55DF"/>
    <w:rsid w:val="006E5A2D"/>
    <w:rsid w:val="006E604F"/>
    <w:rsid w:val="006E635B"/>
    <w:rsid w:val="006E671D"/>
    <w:rsid w:val="006E6CDD"/>
    <w:rsid w:val="006E70A6"/>
    <w:rsid w:val="006E7383"/>
    <w:rsid w:val="006E758C"/>
    <w:rsid w:val="006E769B"/>
    <w:rsid w:val="006E7729"/>
    <w:rsid w:val="006E77B9"/>
    <w:rsid w:val="006E7903"/>
    <w:rsid w:val="006E7FD6"/>
    <w:rsid w:val="006F0001"/>
    <w:rsid w:val="006F0279"/>
    <w:rsid w:val="006F02F4"/>
    <w:rsid w:val="006F0AB0"/>
    <w:rsid w:val="006F0AF2"/>
    <w:rsid w:val="006F0F5C"/>
    <w:rsid w:val="006F0F97"/>
    <w:rsid w:val="006F0F9E"/>
    <w:rsid w:val="006F15FC"/>
    <w:rsid w:val="006F18C2"/>
    <w:rsid w:val="006F198D"/>
    <w:rsid w:val="006F1B12"/>
    <w:rsid w:val="006F1D69"/>
    <w:rsid w:val="006F20F6"/>
    <w:rsid w:val="006F2283"/>
    <w:rsid w:val="006F22B9"/>
    <w:rsid w:val="006F22DE"/>
    <w:rsid w:val="006F26A9"/>
    <w:rsid w:val="006F2738"/>
    <w:rsid w:val="006F2ACC"/>
    <w:rsid w:val="006F2B76"/>
    <w:rsid w:val="006F2C8E"/>
    <w:rsid w:val="006F325F"/>
    <w:rsid w:val="006F32FB"/>
    <w:rsid w:val="006F3422"/>
    <w:rsid w:val="006F3593"/>
    <w:rsid w:val="006F383D"/>
    <w:rsid w:val="006F3CE8"/>
    <w:rsid w:val="006F3D1A"/>
    <w:rsid w:val="006F3E73"/>
    <w:rsid w:val="006F4052"/>
    <w:rsid w:val="006F42DC"/>
    <w:rsid w:val="006F448B"/>
    <w:rsid w:val="006F4714"/>
    <w:rsid w:val="006F4854"/>
    <w:rsid w:val="006F49C5"/>
    <w:rsid w:val="006F4B33"/>
    <w:rsid w:val="006F4B59"/>
    <w:rsid w:val="006F5356"/>
    <w:rsid w:val="006F577D"/>
    <w:rsid w:val="006F585E"/>
    <w:rsid w:val="006F58F4"/>
    <w:rsid w:val="006F6C3B"/>
    <w:rsid w:val="006F7B86"/>
    <w:rsid w:val="006F7CD7"/>
    <w:rsid w:val="006F7F58"/>
    <w:rsid w:val="0070074B"/>
    <w:rsid w:val="0070088A"/>
    <w:rsid w:val="00700D8E"/>
    <w:rsid w:val="007011C5"/>
    <w:rsid w:val="00701A32"/>
    <w:rsid w:val="00701C0D"/>
    <w:rsid w:val="00701C2C"/>
    <w:rsid w:val="00701E09"/>
    <w:rsid w:val="00701EFE"/>
    <w:rsid w:val="00701FD4"/>
    <w:rsid w:val="00702249"/>
    <w:rsid w:val="0070227C"/>
    <w:rsid w:val="007022DA"/>
    <w:rsid w:val="00702439"/>
    <w:rsid w:val="007026EC"/>
    <w:rsid w:val="00702788"/>
    <w:rsid w:val="007027E3"/>
    <w:rsid w:val="007027E9"/>
    <w:rsid w:val="0070288F"/>
    <w:rsid w:val="00702B03"/>
    <w:rsid w:val="00702EAE"/>
    <w:rsid w:val="00702FD5"/>
    <w:rsid w:val="007032CA"/>
    <w:rsid w:val="007038F8"/>
    <w:rsid w:val="00703BAB"/>
    <w:rsid w:val="00703D6E"/>
    <w:rsid w:val="0070469E"/>
    <w:rsid w:val="00704CDE"/>
    <w:rsid w:val="00704D3E"/>
    <w:rsid w:val="00704F30"/>
    <w:rsid w:val="007051DB"/>
    <w:rsid w:val="007057DF"/>
    <w:rsid w:val="007058AA"/>
    <w:rsid w:val="00706228"/>
    <w:rsid w:val="00706638"/>
    <w:rsid w:val="0070681D"/>
    <w:rsid w:val="0070741C"/>
    <w:rsid w:val="0070760A"/>
    <w:rsid w:val="00707792"/>
    <w:rsid w:val="00707A30"/>
    <w:rsid w:val="00707C80"/>
    <w:rsid w:val="007100C5"/>
    <w:rsid w:val="00710166"/>
    <w:rsid w:val="007104B1"/>
    <w:rsid w:val="007105EE"/>
    <w:rsid w:val="0071079F"/>
    <w:rsid w:val="007108F4"/>
    <w:rsid w:val="00710995"/>
    <w:rsid w:val="007109A3"/>
    <w:rsid w:val="00710CC0"/>
    <w:rsid w:val="00710F38"/>
    <w:rsid w:val="00711265"/>
    <w:rsid w:val="00711410"/>
    <w:rsid w:val="0071162F"/>
    <w:rsid w:val="007116C1"/>
    <w:rsid w:val="007117A0"/>
    <w:rsid w:val="00711C6F"/>
    <w:rsid w:val="00711D39"/>
    <w:rsid w:val="007125A4"/>
    <w:rsid w:val="007125E4"/>
    <w:rsid w:val="00712889"/>
    <w:rsid w:val="007128DE"/>
    <w:rsid w:val="0071290D"/>
    <w:rsid w:val="00712B40"/>
    <w:rsid w:val="00712B9E"/>
    <w:rsid w:val="00712BC5"/>
    <w:rsid w:val="00712D26"/>
    <w:rsid w:val="007137DA"/>
    <w:rsid w:val="00713C2E"/>
    <w:rsid w:val="00713D67"/>
    <w:rsid w:val="00713E18"/>
    <w:rsid w:val="00713F20"/>
    <w:rsid w:val="00714081"/>
    <w:rsid w:val="00714093"/>
    <w:rsid w:val="007141B4"/>
    <w:rsid w:val="00714593"/>
    <w:rsid w:val="00714837"/>
    <w:rsid w:val="00714AA2"/>
    <w:rsid w:val="00715076"/>
    <w:rsid w:val="00715326"/>
    <w:rsid w:val="007153BB"/>
    <w:rsid w:val="00715799"/>
    <w:rsid w:val="00715A90"/>
    <w:rsid w:val="00715B99"/>
    <w:rsid w:val="00715EC3"/>
    <w:rsid w:val="007160E4"/>
    <w:rsid w:val="0071630E"/>
    <w:rsid w:val="0071711A"/>
    <w:rsid w:val="0071734A"/>
    <w:rsid w:val="00717669"/>
    <w:rsid w:val="0071791A"/>
    <w:rsid w:val="00720008"/>
    <w:rsid w:val="0072024F"/>
    <w:rsid w:val="0072034F"/>
    <w:rsid w:val="0072054F"/>
    <w:rsid w:val="00720715"/>
    <w:rsid w:val="00720A0F"/>
    <w:rsid w:val="00720AD8"/>
    <w:rsid w:val="00720D17"/>
    <w:rsid w:val="00720DC6"/>
    <w:rsid w:val="00721099"/>
    <w:rsid w:val="00721626"/>
    <w:rsid w:val="00721773"/>
    <w:rsid w:val="00721777"/>
    <w:rsid w:val="00721925"/>
    <w:rsid w:val="00721974"/>
    <w:rsid w:val="00721C88"/>
    <w:rsid w:val="00721FED"/>
    <w:rsid w:val="00722237"/>
    <w:rsid w:val="00722543"/>
    <w:rsid w:val="00722915"/>
    <w:rsid w:val="00722EB4"/>
    <w:rsid w:val="00722EBA"/>
    <w:rsid w:val="00723170"/>
    <w:rsid w:val="0072365E"/>
    <w:rsid w:val="007238CF"/>
    <w:rsid w:val="00723B70"/>
    <w:rsid w:val="00723FB6"/>
    <w:rsid w:val="007244BA"/>
    <w:rsid w:val="007244EA"/>
    <w:rsid w:val="00724E53"/>
    <w:rsid w:val="0072535D"/>
    <w:rsid w:val="007254F9"/>
    <w:rsid w:val="00725689"/>
    <w:rsid w:val="00725731"/>
    <w:rsid w:val="007259EF"/>
    <w:rsid w:val="0072652D"/>
    <w:rsid w:val="00726CD9"/>
    <w:rsid w:val="00726F58"/>
    <w:rsid w:val="00727533"/>
    <w:rsid w:val="00727B60"/>
    <w:rsid w:val="00727DE0"/>
    <w:rsid w:val="0073012E"/>
    <w:rsid w:val="007307E8"/>
    <w:rsid w:val="00730806"/>
    <w:rsid w:val="00730817"/>
    <w:rsid w:val="007309E1"/>
    <w:rsid w:val="00730BA6"/>
    <w:rsid w:val="00730E23"/>
    <w:rsid w:val="00730F0A"/>
    <w:rsid w:val="007312E9"/>
    <w:rsid w:val="007314B9"/>
    <w:rsid w:val="00731650"/>
    <w:rsid w:val="00731B86"/>
    <w:rsid w:val="00732055"/>
    <w:rsid w:val="0073232E"/>
    <w:rsid w:val="007325BF"/>
    <w:rsid w:val="007326C6"/>
    <w:rsid w:val="00732A57"/>
    <w:rsid w:val="00732AC2"/>
    <w:rsid w:val="00732FA8"/>
    <w:rsid w:val="007335E0"/>
    <w:rsid w:val="007337F7"/>
    <w:rsid w:val="00733941"/>
    <w:rsid w:val="0073399D"/>
    <w:rsid w:val="0073444E"/>
    <w:rsid w:val="00734496"/>
    <w:rsid w:val="007344C9"/>
    <w:rsid w:val="0073497F"/>
    <w:rsid w:val="00734A05"/>
    <w:rsid w:val="00734AEC"/>
    <w:rsid w:val="00734CF1"/>
    <w:rsid w:val="00734D04"/>
    <w:rsid w:val="00734EEB"/>
    <w:rsid w:val="00734EF2"/>
    <w:rsid w:val="00734FA4"/>
    <w:rsid w:val="007353BD"/>
    <w:rsid w:val="0073554E"/>
    <w:rsid w:val="00735786"/>
    <w:rsid w:val="007357AB"/>
    <w:rsid w:val="00735CA2"/>
    <w:rsid w:val="00735CBD"/>
    <w:rsid w:val="00735EAA"/>
    <w:rsid w:val="0073610B"/>
    <w:rsid w:val="007361CC"/>
    <w:rsid w:val="00736944"/>
    <w:rsid w:val="00736A63"/>
    <w:rsid w:val="00736D76"/>
    <w:rsid w:val="00737085"/>
    <w:rsid w:val="007372BC"/>
    <w:rsid w:val="007373A2"/>
    <w:rsid w:val="00737AB0"/>
    <w:rsid w:val="007406E8"/>
    <w:rsid w:val="007409AC"/>
    <w:rsid w:val="00740D08"/>
    <w:rsid w:val="00741050"/>
    <w:rsid w:val="0074132B"/>
    <w:rsid w:val="0074155B"/>
    <w:rsid w:val="00741B84"/>
    <w:rsid w:val="00741CA7"/>
    <w:rsid w:val="00741CDB"/>
    <w:rsid w:val="00742419"/>
    <w:rsid w:val="007425F8"/>
    <w:rsid w:val="007427BF"/>
    <w:rsid w:val="00742857"/>
    <w:rsid w:val="00742BA7"/>
    <w:rsid w:val="00742CE6"/>
    <w:rsid w:val="00742D99"/>
    <w:rsid w:val="00743248"/>
    <w:rsid w:val="007432F0"/>
    <w:rsid w:val="00743AE4"/>
    <w:rsid w:val="00743D6F"/>
    <w:rsid w:val="00743E0C"/>
    <w:rsid w:val="007445B5"/>
    <w:rsid w:val="0074495E"/>
    <w:rsid w:val="00744A17"/>
    <w:rsid w:val="00744A97"/>
    <w:rsid w:val="00744C0B"/>
    <w:rsid w:val="00744E0A"/>
    <w:rsid w:val="00744E23"/>
    <w:rsid w:val="00744F08"/>
    <w:rsid w:val="00745192"/>
    <w:rsid w:val="007451B2"/>
    <w:rsid w:val="00745421"/>
    <w:rsid w:val="0074557A"/>
    <w:rsid w:val="007456C2"/>
    <w:rsid w:val="0074598C"/>
    <w:rsid w:val="00745C2E"/>
    <w:rsid w:val="00745D81"/>
    <w:rsid w:val="00745E32"/>
    <w:rsid w:val="00745F15"/>
    <w:rsid w:val="00745FC7"/>
    <w:rsid w:val="00746482"/>
    <w:rsid w:val="007464C4"/>
    <w:rsid w:val="0074655C"/>
    <w:rsid w:val="007468D8"/>
    <w:rsid w:val="00746A18"/>
    <w:rsid w:val="00746A80"/>
    <w:rsid w:val="00746DCD"/>
    <w:rsid w:val="00746FF3"/>
    <w:rsid w:val="00747053"/>
    <w:rsid w:val="00747106"/>
    <w:rsid w:val="0074733C"/>
    <w:rsid w:val="0074742B"/>
    <w:rsid w:val="0074769C"/>
    <w:rsid w:val="00747827"/>
    <w:rsid w:val="007478A0"/>
    <w:rsid w:val="00747BCA"/>
    <w:rsid w:val="00747BDA"/>
    <w:rsid w:val="00747F28"/>
    <w:rsid w:val="00747FB9"/>
    <w:rsid w:val="007508AD"/>
    <w:rsid w:val="00750DBD"/>
    <w:rsid w:val="00751024"/>
    <w:rsid w:val="00751974"/>
    <w:rsid w:val="00751F0E"/>
    <w:rsid w:val="00751FE8"/>
    <w:rsid w:val="0075230E"/>
    <w:rsid w:val="007524F7"/>
    <w:rsid w:val="007527D2"/>
    <w:rsid w:val="00752AC2"/>
    <w:rsid w:val="00752B9E"/>
    <w:rsid w:val="00752F6B"/>
    <w:rsid w:val="0075321D"/>
    <w:rsid w:val="00753279"/>
    <w:rsid w:val="00754018"/>
    <w:rsid w:val="007541E6"/>
    <w:rsid w:val="00754472"/>
    <w:rsid w:val="007547DE"/>
    <w:rsid w:val="0075485B"/>
    <w:rsid w:val="007554E8"/>
    <w:rsid w:val="0075592D"/>
    <w:rsid w:val="00755B76"/>
    <w:rsid w:val="00755D90"/>
    <w:rsid w:val="00755EA3"/>
    <w:rsid w:val="00755F72"/>
    <w:rsid w:val="00755FB2"/>
    <w:rsid w:val="00756029"/>
    <w:rsid w:val="0075654C"/>
    <w:rsid w:val="0075684F"/>
    <w:rsid w:val="007569DE"/>
    <w:rsid w:val="00756AF7"/>
    <w:rsid w:val="007578FE"/>
    <w:rsid w:val="00757B85"/>
    <w:rsid w:val="00757E63"/>
    <w:rsid w:val="00757EFE"/>
    <w:rsid w:val="0076064D"/>
    <w:rsid w:val="007608C3"/>
    <w:rsid w:val="00760EB1"/>
    <w:rsid w:val="00760F67"/>
    <w:rsid w:val="00761193"/>
    <w:rsid w:val="00761EFD"/>
    <w:rsid w:val="00762198"/>
    <w:rsid w:val="007623EB"/>
    <w:rsid w:val="0076242C"/>
    <w:rsid w:val="0076258B"/>
    <w:rsid w:val="00762CCA"/>
    <w:rsid w:val="00762CE9"/>
    <w:rsid w:val="00762F17"/>
    <w:rsid w:val="00762FAD"/>
    <w:rsid w:val="0076353F"/>
    <w:rsid w:val="0076376C"/>
    <w:rsid w:val="00763A71"/>
    <w:rsid w:val="00763AF5"/>
    <w:rsid w:val="00763F7E"/>
    <w:rsid w:val="00764312"/>
    <w:rsid w:val="00764CB1"/>
    <w:rsid w:val="007656A8"/>
    <w:rsid w:val="00765759"/>
    <w:rsid w:val="00765F75"/>
    <w:rsid w:val="007661FB"/>
    <w:rsid w:val="007667A1"/>
    <w:rsid w:val="007667BF"/>
    <w:rsid w:val="007667D3"/>
    <w:rsid w:val="007669E0"/>
    <w:rsid w:val="00766C36"/>
    <w:rsid w:val="00766DB0"/>
    <w:rsid w:val="00767CEB"/>
    <w:rsid w:val="00767E82"/>
    <w:rsid w:val="0077061A"/>
    <w:rsid w:val="007709DA"/>
    <w:rsid w:val="00770C53"/>
    <w:rsid w:val="00770E20"/>
    <w:rsid w:val="00771135"/>
    <w:rsid w:val="0077134B"/>
    <w:rsid w:val="007713EE"/>
    <w:rsid w:val="00771551"/>
    <w:rsid w:val="00771A06"/>
    <w:rsid w:val="00771A18"/>
    <w:rsid w:val="00771F69"/>
    <w:rsid w:val="007722A8"/>
    <w:rsid w:val="00772654"/>
    <w:rsid w:val="00772AA0"/>
    <w:rsid w:val="00772BF0"/>
    <w:rsid w:val="00772D23"/>
    <w:rsid w:val="00772FB4"/>
    <w:rsid w:val="00772FEB"/>
    <w:rsid w:val="0077344F"/>
    <w:rsid w:val="00773788"/>
    <w:rsid w:val="00773C2C"/>
    <w:rsid w:val="00774441"/>
    <w:rsid w:val="00774598"/>
    <w:rsid w:val="00775137"/>
    <w:rsid w:val="007752A9"/>
    <w:rsid w:val="00775484"/>
    <w:rsid w:val="007754A4"/>
    <w:rsid w:val="00775651"/>
    <w:rsid w:val="0077565D"/>
    <w:rsid w:val="0077573C"/>
    <w:rsid w:val="00775746"/>
    <w:rsid w:val="00775AAC"/>
    <w:rsid w:val="00775B76"/>
    <w:rsid w:val="00775D93"/>
    <w:rsid w:val="00775F9F"/>
    <w:rsid w:val="00776590"/>
    <w:rsid w:val="0077677F"/>
    <w:rsid w:val="0077687C"/>
    <w:rsid w:val="007768F5"/>
    <w:rsid w:val="007768FC"/>
    <w:rsid w:val="00776EE9"/>
    <w:rsid w:val="007773E0"/>
    <w:rsid w:val="0077744F"/>
    <w:rsid w:val="0077784D"/>
    <w:rsid w:val="007778C5"/>
    <w:rsid w:val="007800A3"/>
    <w:rsid w:val="007800A6"/>
    <w:rsid w:val="0078103E"/>
    <w:rsid w:val="007811CE"/>
    <w:rsid w:val="007813F1"/>
    <w:rsid w:val="007817A4"/>
    <w:rsid w:val="007817E1"/>
    <w:rsid w:val="00781BDB"/>
    <w:rsid w:val="00781C30"/>
    <w:rsid w:val="00782C03"/>
    <w:rsid w:val="00782DCC"/>
    <w:rsid w:val="00782F3E"/>
    <w:rsid w:val="007833AF"/>
    <w:rsid w:val="0078343E"/>
    <w:rsid w:val="00783533"/>
    <w:rsid w:val="0078358C"/>
    <w:rsid w:val="007835AF"/>
    <w:rsid w:val="007836AB"/>
    <w:rsid w:val="007836FD"/>
    <w:rsid w:val="007837C5"/>
    <w:rsid w:val="0078384C"/>
    <w:rsid w:val="007838A5"/>
    <w:rsid w:val="00783D36"/>
    <w:rsid w:val="007845FA"/>
    <w:rsid w:val="007846A1"/>
    <w:rsid w:val="00784C66"/>
    <w:rsid w:val="00784C97"/>
    <w:rsid w:val="00784CE0"/>
    <w:rsid w:val="00784E13"/>
    <w:rsid w:val="00784EF8"/>
    <w:rsid w:val="00785013"/>
    <w:rsid w:val="007850CC"/>
    <w:rsid w:val="0078594D"/>
    <w:rsid w:val="00785956"/>
    <w:rsid w:val="00785B98"/>
    <w:rsid w:val="00785EFC"/>
    <w:rsid w:val="0078602F"/>
    <w:rsid w:val="007863E4"/>
    <w:rsid w:val="00786402"/>
    <w:rsid w:val="007867C4"/>
    <w:rsid w:val="00786A17"/>
    <w:rsid w:val="00786CB1"/>
    <w:rsid w:val="00786F74"/>
    <w:rsid w:val="00786FC1"/>
    <w:rsid w:val="00787026"/>
    <w:rsid w:val="00787097"/>
    <w:rsid w:val="00787510"/>
    <w:rsid w:val="007875DB"/>
    <w:rsid w:val="0078797B"/>
    <w:rsid w:val="0079047D"/>
    <w:rsid w:val="007905AE"/>
    <w:rsid w:val="00790651"/>
    <w:rsid w:val="007907AE"/>
    <w:rsid w:val="00790966"/>
    <w:rsid w:val="007909A2"/>
    <w:rsid w:val="00790EEF"/>
    <w:rsid w:val="00790F7F"/>
    <w:rsid w:val="00790F92"/>
    <w:rsid w:val="00791068"/>
    <w:rsid w:val="00791208"/>
    <w:rsid w:val="00791396"/>
    <w:rsid w:val="007913AE"/>
    <w:rsid w:val="00791565"/>
    <w:rsid w:val="00791A8A"/>
    <w:rsid w:val="00791ADB"/>
    <w:rsid w:val="00791C11"/>
    <w:rsid w:val="00791F02"/>
    <w:rsid w:val="00792103"/>
    <w:rsid w:val="007921AC"/>
    <w:rsid w:val="007924C4"/>
    <w:rsid w:val="00792C19"/>
    <w:rsid w:val="00792D43"/>
    <w:rsid w:val="00792F69"/>
    <w:rsid w:val="0079334B"/>
    <w:rsid w:val="00793574"/>
    <w:rsid w:val="007937FD"/>
    <w:rsid w:val="00793942"/>
    <w:rsid w:val="007939AE"/>
    <w:rsid w:val="00793A5A"/>
    <w:rsid w:val="00793CBE"/>
    <w:rsid w:val="007942DB"/>
    <w:rsid w:val="00794559"/>
    <w:rsid w:val="00794927"/>
    <w:rsid w:val="00794A2E"/>
    <w:rsid w:val="00794AA0"/>
    <w:rsid w:val="00794EA4"/>
    <w:rsid w:val="00794FC8"/>
    <w:rsid w:val="0079505C"/>
    <w:rsid w:val="007950E3"/>
    <w:rsid w:val="0079515F"/>
    <w:rsid w:val="0079545D"/>
    <w:rsid w:val="007954C1"/>
    <w:rsid w:val="00795694"/>
    <w:rsid w:val="0079574A"/>
    <w:rsid w:val="007957DE"/>
    <w:rsid w:val="007957E9"/>
    <w:rsid w:val="00795A6B"/>
    <w:rsid w:val="00795CC9"/>
    <w:rsid w:val="00795CE0"/>
    <w:rsid w:val="0079600C"/>
    <w:rsid w:val="0079616A"/>
    <w:rsid w:val="0079658D"/>
    <w:rsid w:val="00796898"/>
    <w:rsid w:val="007969A7"/>
    <w:rsid w:val="00796AA4"/>
    <w:rsid w:val="007973FA"/>
    <w:rsid w:val="00797765"/>
    <w:rsid w:val="007979F2"/>
    <w:rsid w:val="00797F24"/>
    <w:rsid w:val="007A01DE"/>
    <w:rsid w:val="007A031B"/>
    <w:rsid w:val="007A0B38"/>
    <w:rsid w:val="007A0B95"/>
    <w:rsid w:val="007A11CE"/>
    <w:rsid w:val="007A13F1"/>
    <w:rsid w:val="007A14E6"/>
    <w:rsid w:val="007A15FD"/>
    <w:rsid w:val="007A1619"/>
    <w:rsid w:val="007A1658"/>
    <w:rsid w:val="007A1DA0"/>
    <w:rsid w:val="007A270C"/>
    <w:rsid w:val="007A2778"/>
    <w:rsid w:val="007A2A31"/>
    <w:rsid w:val="007A2CB2"/>
    <w:rsid w:val="007A2E9B"/>
    <w:rsid w:val="007A34DB"/>
    <w:rsid w:val="007A3980"/>
    <w:rsid w:val="007A4012"/>
    <w:rsid w:val="007A45EF"/>
    <w:rsid w:val="007A4896"/>
    <w:rsid w:val="007A498E"/>
    <w:rsid w:val="007A4DF4"/>
    <w:rsid w:val="007A5CA4"/>
    <w:rsid w:val="007A6005"/>
    <w:rsid w:val="007A6050"/>
    <w:rsid w:val="007A62C2"/>
    <w:rsid w:val="007A63BE"/>
    <w:rsid w:val="007A688B"/>
    <w:rsid w:val="007A688C"/>
    <w:rsid w:val="007A6A1B"/>
    <w:rsid w:val="007A6C32"/>
    <w:rsid w:val="007A6D83"/>
    <w:rsid w:val="007A6D92"/>
    <w:rsid w:val="007A715D"/>
    <w:rsid w:val="007A721A"/>
    <w:rsid w:val="007A7446"/>
    <w:rsid w:val="007A7525"/>
    <w:rsid w:val="007A787A"/>
    <w:rsid w:val="007A7B7E"/>
    <w:rsid w:val="007A7D62"/>
    <w:rsid w:val="007A7E9B"/>
    <w:rsid w:val="007B021E"/>
    <w:rsid w:val="007B057A"/>
    <w:rsid w:val="007B0C89"/>
    <w:rsid w:val="007B0CCE"/>
    <w:rsid w:val="007B11D4"/>
    <w:rsid w:val="007B1478"/>
    <w:rsid w:val="007B15A9"/>
    <w:rsid w:val="007B169A"/>
    <w:rsid w:val="007B2322"/>
    <w:rsid w:val="007B28B1"/>
    <w:rsid w:val="007B2D9F"/>
    <w:rsid w:val="007B2F75"/>
    <w:rsid w:val="007B2FC1"/>
    <w:rsid w:val="007B3145"/>
    <w:rsid w:val="007B3489"/>
    <w:rsid w:val="007B3663"/>
    <w:rsid w:val="007B3A96"/>
    <w:rsid w:val="007B3AC3"/>
    <w:rsid w:val="007B3E42"/>
    <w:rsid w:val="007B3F6C"/>
    <w:rsid w:val="007B4327"/>
    <w:rsid w:val="007B4468"/>
    <w:rsid w:val="007B4685"/>
    <w:rsid w:val="007B468B"/>
    <w:rsid w:val="007B4736"/>
    <w:rsid w:val="007B48AC"/>
    <w:rsid w:val="007B4CFA"/>
    <w:rsid w:val="007B4F6F"/>
    <w:rsid w:val="007B5201"/>
    <w:rsid w:val="007B533F"/>
    <w:rsid w:val="007B5352"/>
    <w:rsid w:val="007B54D0"/>
    <w:rsid w:val="007B54D2"/>
    <w:rsid w:val="007B5581"/>
    <w:rsid w:val="007B55D6"/>
    <w:rsid w:val="007B58BF"/>
    <w:rsid w:val="007B5A6D"/>
    <w:rsid w:val="007B5BBD"/>
    <w:rsid w:val="007B5F3F"/>
    <w:rsid w:val="007B6092"/>
    <w:rsid w:val="007B66BB"/>
    <w:rsid w:val="007B66DA"/>
    <w:rsid w:val="007B6AFE"/>
    <w:rsid w:val="007B6B93"/>
    <w:rsid w:val="007B6E7A"/>
    <w:rsid w:val="007B6F05"/>
    <w:rsid w:val="007B71A6"/>
    <w:rsid w:val="007B7398"/>
    <w:rsid w:val="007B73F7"/>
    <w:rsid w:val="007B772F"/>
    <w:rsid w:val="007B7960"/>
    <w:rsid w:val="007B7963"/>
    <w:rsid w:val="007B7B4A"/>
    <w:rsid w:val="007B7D17"/>
    <w:rsid w:val="007B7D72"/>
    <w:rsid w:val="007B7DA4"/>
    <w:rsid w:val="007B7EA1"/>
    <w:rsid w:val="007C0028"/>
    <w:rsid w:val="007C0076"/>
    <w:rsid w:val="007C0405"/>
    <w:rsid w:val="007C0463"/>
    <w:rsid w:val="007C0DF2"/>
    <w:rsid w:val="007C1043"/>
    <w:rsid w:val="007C114B"/>
    <w:rsid w:val="007C11E9"/>
    <w:rsid w:val="007C1293"/>
    <w:rsid w:val="007C182F"/>
    <w:rsid w:val="007C1901"/>
    <w:rsid w:val="007C1FF6"/>
    <w:rsid w:val="007C2157"/>
    <w:rsid w:val="007C2224"/>
    <w:rsid w:val="007C236A"/>
    <w:rsid w:val="007C2429"/>
    <w:rsid w:val="007C245E"/>
    <w:rsid w:val="007C2609"/>
    <w:rsid w:val="007C282B"/>
    <w:rsid w:val="007C28A6"/>
    <w:rsid w:val="007C28B1"/>
    <w:rsid w:val="007C2929"/>
    <w:rsid w:val="007C2DD7"/>
    <w:rsid w:val="007C32CF"/>
    <w:rsid w:val="007C32D4"/>
    <w:rsid w:val="007C334A"/>
    <w:rsid w:val="007C3424"/>
    <w:rsid w:val="007C34C8"/>
    <w:rsid w:val="007C3A1E"/>
    <w:rsid w:val="007C3F4F"/>
    <w:rsid w:val="007C3F8A"/>
    <w:rsid w:val="007C4317"/>
    <w:rsid w:val="007C4471"/>
    <w:rsid w:val="007C4484"/>
    <w:rsid w:val="007C44CB"/>
    <w:rsid w:val="007C46C7"/>
    <w:rsid w:val="007C483E"/>
    <w:rsid w:val="007C4B2A"/>
    <w:rsid w:val="007C4CBC"/>
    <w:rsid w:val="007C55B9"/>
    <w:rsid w:val="007C5851"/>
    <w:rsid w:val="007C58AF"/>
    <w:rsid w:val="007C5A2E"/>
    <w:rsid w:val="007C5AD1"/>
    <w:rsid w:val="007C5C39"/>
    <w:rsid w:val="007C5F8D"/>
    <w:rsid w:val="007C634C"/>
    <w:rsid w:val="007C651F"/>
    <w:rsid w:val="007C6543"/>
    <w:rsid w:val="007C6651"/>
    <w:rsid w:val="007C6711"/>
    <w:rsid w:val="007C6AD7"/>
    <w:rsid w:val="007C73EA"/>
    <w:rsid w:val="007C7869"/>
    <w:rsid w:val="007C7948"/>
    <w:rsid w:val="007C794C"/>
    <w:rsid w:val="007C7C8D"/>
    <w:rsid w:val="007C7FCC"/>
    <w:rsid w:val="007D0517"/>
    <w:rsid w:val="007D07FB"/>
    <w:rsid w:val="007D09E0"/>
    <w:rsid w:val="007D0F35"/>
    <w:rsid w:val="007D1084"/>
    <w:rsid w:val="007D12C0"/>
    <w:rsid w:val="007D1772"/>
    <w:rsid w:val="007D1917"/>
    <w:rsid w:val="007D196D"/>
    <w:rsid w:val="007D20BF"/>
    <w:rsid w:val="007D29E3"/>
    <w:rsid w:val="007D29F6"/>
    <w:rsid w:val="007D29F7"/>
    <w:rsid w:val="007D32E7"/>
    <w:rsid w:val="007D34E0"/>
    <w:rsid w:val="007D399F"/>
    <w:rsid w:val="007D3A2E"/>
    <w:rsid w:val="007D3AAB"/>
    <w:rsid w:val="007D3CA9"/>
    <w:rsid w:val="007D3D98"/>
    <w:rsid w:val="007D3DF0"/>
    <w:rsid w:val="007D40B5"/>
    <w:rsid w:val="007D457E"/>
    <w:rsid w:val="007D556C"/>
    <w:rsid w:val="007D57CD"/>
    <w:rsid w:val="007D5844"/>
    <w:rsid w:val="007D5C60"/>
    <w:rsid w:val="007D5CB5"/>
    <w:rsid w:val="007D5DFB"/>
    <w:rsid w:val="007D6295"/>
    <w:rsid w:val="007D6529"/>
    <w:rsid w:val="007D65A0"/>
    <w:rsid w:val="007D687C"/>
    <w:rsid w:val="007D6AEE"/>
    <w:rsid w:val="007D6C82"/>
    <w:rsid w:val="007D71E7"/>
    <w:rsid w:val="007D733F"/>
    <w:rsid w:val="007D7343"/>
    <w:rsid w:val="007D7763"/>
    <w:rsid w:val="007D7939"/>
    <w:rsid w:val="007D7A7C"/>
    <w:rsid w:val="007D7D82"/>
    <w:rsid w:val="007D7E2C"/>
    <w:rsid w:val="007E0079"/>
    <w:rsid w:val="007E013D"/>
    <w:rsid w:val="007E0233"/>
    <w:rsid w:val="007E0304"/>
    <w:rsid w:val="007E0306"/>
    <w:rsid w:val="007E078A"/>
    <w:rsid w:val="007E08DF"/>
    <w:rsid w:val="007E0E82"/>
    <w:rsid w:val="007E0EC6"/>
    <w:rsid w:val="007E124E"/>
    <w:rsid w:val="007E1703"/>
    <w:rsid w:val="007E18DB"/>
    <w:rsid w:val="007E1A61"/>
    <w:rsid w:val="007E1D52"/>
    <w:rsid w:val="007E1F52"/>
    <w:rsid w:val="007E2500"/>
    <w:rsid w:val="007E2961"/>
    <w:rsid w:val="007E31A2"/>
    <w:rsid w:val="007E393B"/>
    <w:rsid w:val="007E3F5C"/>
    <w:rsid w:val="007E43C7"/>
    <w:rsid w:val="007E4433"/>
    <w:rsid w:val="007E4530"/>
    <w:rsid w:val="007E460E"/>
    <w:rsid w:val="007E4718"/>
    <w:rsid w:val="007E4D70"/>
    <w:rsid w:val="007E5332"/>
    <w:rsid w:val="007E53F0"/>
    <w:rsid w:val="007E54B4"/>
    <w:rsid w:val="007E562A"/>
    <w:rsid w:val="007E5958"/>
    <w:rsid w:val="007E5DA7"/>
    <w:rsid w:val="007E5F51"/>
    <w:rsid w:val="007E62A3"/>
    <w:rsid w:val="007E6515"/>
    <w:rsid w:val="007E696A"/>
    <w:rsid w:val="007E6AD8"/>
    <w:rsid w:val="007E6D7F"/>
    <w:rsid w:val="007E6F7B"/>
    <w:rsid w:val="007E74AD"/>
    <w:rsid w:val="007E7AE0"/>
    <w:rsid w:val="007E7C28"/>
    <w:rsid w:val="007E7C34"/>
    <w:rsid w:val="007E7D4F"/>
    <w:rsid w:val="007E7F5A"/>
    <w:rsid w:val="007F0108"/>
    <w:rsid w:val="007F02E5"/>
    <w:rsid w:val="007F0439"/>
    <w:rsid w:val="007F04ED"/>
    <w:rsid w:val="007F06EF"/>
    <w:rsid w:val="007F0996"/>
    <w:rsid w:val="007F0B5C"/>
    <w:rsid w:val="007F1042"/>
    <w:rsid w:val="007F11E4"/>
    <w:rsid w:val="007F178E"/>
    <w:rsid w:val="007F1D4C"/>
    <w:rsid w:val="007F1D93"/>
    <w:rsid w:val="007F1F96"/>
    <w:rsid w:val="007F201D"/>
    <w:rsid w:val="007F27A9"/>
    <w:rsid w:val="007F2E28"/>
    <w:rsid w:val="007F2EAE"/>
    <w:rsid w:val="007F3205"/>
    <w:rsid w:val="007F3353"/>
    <w:rsid w:val="007F3412"/>
    <w:rsid w:val="007F3479"/>
    <w:rsid w:val="007F3DD7"/>
    <w:rsid w:val="007F3E20"/>
    <w:rsid w:val="007F3E3F"/>
    <w:rsid w:val="007F4991"/>
    <w:rsid w:val="007F4ABA"/>
    <w:rsid w:val="007F4B78"/>
    <w:rsid w:val="007F549C"/>
    <w:rsid w:val="007F5575"/>
    <w:rsid w:val="007F590E"/>
    <w:rsid w:val="007F59E8"/>
    <w:rsid w:val="007F5AEA"/>
    <w:rsid w:val="007F607E"/>
    <w:rsid w:val="007F62C7"/>
    <w:rsid w:val="007F630C"/>
    <w:rsid w:val="007F6397"/>
    <w:rsid w:val="007F6926"/>
    <w:rsid w:val="007F6A16"/>
    <w:rsid w:val="007F7330"/>
    <w:rsid w:val="007F7378"/>
    <w:rsid w:val="007F73ED"/>
    <w:rsid w:val="007F7532"/>
    <w:rsid w:val="007F763A"/>
    <w:rsid w:val="007F763E"/>
    <w:rsid w:val="007F7853"/>
    <w:rsid w:val="007F785F"/>
    <w:rsid w:val="007F7B39"/>
    <w:rsid w:val="007F7BB0"/>
    <w:rsid w:val="007F7C9E"/>
    <w:rsid w:val="0080020D"/>
    <w:rsid w:val="00800457"/>
    <w:rsid w:val="00800D74"/>
    <w:rsid w:val="00801096"/>
    <w:rsid w:val="008014F8"/>
    <w:rsid w:val="00801798"/>
    <w:rsid w:val="008018BB"/>
    <w:rsid w:val="00801A27"/>
    <w:rsid w:val="00801D3E"/>
    <w:rsid w:val="008021B3"/>
    <w:rsid w:val="00802322"/>
    <w:rsid w:val="008024D9"/>
    <w:rsid w:val="00802705"/>
    <w:rsid w:val="00802832"/>
    <w:rsid w:val="00802936"/>
    <w:rsid w:val="00802A9F"/>
    <w:rsid w:val="00802CA4"/>
    <w:rsid w:val="008030CA"/>
    <w:rsid w:val="008030D8"/>
    <w:rsid w:val="008031BA"/>
    <w:rsid w:val="0080347A"/>
    <w:rsid w:val="0080351E"/>
    <w:rsid w:val="008036A6"/>
    <w:rsid w:val="00803792"/>
    <w:rsid w:val="0080380B"/>
    <w:rsid w:val="00803AA5"/>
    <w:rsid w:val="00803BFA"/>
    <w:rsid w:val="00803C1E"/>
    <w:rsid w:val="00803FC9"/>
    <w:rsid w:val="00803FE1"/>
    <w:rsid w:val="00804092"/>
    <w:rsid w:val="008043C2"/>
    <w:rsid w:val="0080457B"/>
    <w:rsid w:val="00804836"/>
    <w:rsid w:val="00804C78"/>
    <w:rsid w:val="00804F7C"/>
    <w:rsid w:val="008057CD"/>
    <w:rsid w:val="008059DB"/>
    <w:rsid w:val="00805CEC"/>
    <w:rsid w:val="00805D34"/>
    <w:rsid w:val="00805F6D"/>
    <w:rsid w:val="00805F9F"/>
    <w:rsid w:val="00805FEE"/>
    <w:rsid w:val="00806438"/>
    <w:rsid w:val="0080659B"/>
    <w:rsid w:val="00806678"/>
    <w:rsid w:val="008066CB"/>
    <w:rsid w:val="00806D32"/>
    <w:rsid w:val="00806F22"/>
    <w:rsid w:val="00806F6F"/>
    <w:rsid w:val="00807166"/>
    <w:rsid w:val="008072EF"/>
    <w:rsid w:val="008077F3"/>
    <w:rsid w:val="0080792E"/>
    <w:rsid w:val="00807BC9"/>
    <w:rsid w:val="00807DCC"/>
    <w:rsid w:val="00810053"/>
    <w:rsid w:val="00810155"/>
    <w:rsid w:val="0081023E"/>
    <w:rsid w:val="0081062E"/>
    <w:rsid w:val="00810654"/>
    <w:rsid w:val="00810ACB"/>
    <w:rsid w:val="00810BA1"/>
    <w:rsid w:val="00811103"/>
    <w:rsid w:val="00811868"/>
    <w:rsid w:val="00811C9D"/>
    <w:rsid w:val="00811D74"/>
    <w:rsid w:val="0081209B"/>
    <w:rsid w:val="008121E3"/>
    <w:rsid w:val="0081264B"/>
    <w:rsid w:val="00812D9E"/>
    <w:rsid w:val="00812E80"/>
    <w:rsid w:val="00812E9C"/>
    <w:rsid w:val="008130A0"/>
    <w:rsid w:val="00813126"/>
    <w:rsid w:val="0081340F"/>
    <w:rsid w:val="0081372B"/>
    <w:rsid w:val="008137A8"/>
    <w:rsid w:val="00813F5C"/>
    <w:rsid w:val="0081440D"/>
    <w:rsid w:val="008146F3"/>
    <w:rsid w:val="00814A5C"/>
    <w:rsid w:val="0081503C"/>
    <w:rsid w:val="00815058"/>
    <w:rsid w:val="00815271"/>
    <w:rsid w:val="008152E0"/>
    <w:rsid w:val="008156C3"/>
    <w:rsid w:val="008156E5"/>
    <w:rsid w:val="00815DB4"/>
    <w:rsid w:val="00815EC8"/>
    <w:rsid w:val="00815F07"/>
    <w:rsid w:val="00816276"/>
    <w:rsid w:val="008163BB"/>
    <w:rsid w:val="00816448"/>
    <w:rsid w:val="00816485"/>
    <w:rsid w:val="0081675F"/>
    <w:rsid w:val="00816984"/>
    <w:rsid w:val="00816DA3"/>
    <w:rsid w:val="00817976"/>
    <w:rsid w:val="00817AB3"/>
    <w:rsid w:val="00817FAF"/>
    <w:rsid w:val="0082008B"/>
    <w:rsid w:val="00820151"/>
    <w:rsid w:val="008206FE"/>
    <w:rsid w:val="00820D8E"/>
    <w:rsid w:val="00821113"/>
    <w:rsid w:val="00821743"/>
    <w:rsid w:val="00821F8C"/>
    <w:rsid w:val="0082233D"/>
    <w:rsid w:val="0082287F"/>
    <w:rsid w:val="00822A75"/>
    <w:rsid w:val="00822B27"/>
    <w:rsid w:val="00822FAF"/>
    <w:rsid w:val="0082388B"/>
    <w:rsid w:val="00823BCC"/>
    <w:rsid w:val="00823C1F"/>
    <w:rsid w:val="00823C25"/>
    <w:rsid w:val="00823DCC"/>
    <w:rsid w:val="00824A1D"/>
    <w:rsid w:val="00824B6D"/>
    <w:rsid w:val="00824F86"/>
    <w:rsid w:val="00824FD2"/>
    <w:rsid w:val="008254AB"/>
    <w:rsid w:val="008254FB"/>
    <w:rsid w:val="00825680"/>
    <w:rsid w:val="0082585E"/>
    <w:rsid w:val="00825FD4"/>
    <w:rsid w:val="0082664F"/>
    <w:rsid w:val="008266FD"/>
    <w:rsid w:val="00826701"/>
    <w:rsid w:val="00826D9D"/>
    <w:rsid w:val="0082700D"/>
    <w:rsid w:val="00827083"/>
    <w:rsid w:val="00827136"/>
    <w:rsid w:val="008272D4"/>
    <w:rsid w:val="0082755E"/>
    <w:rsid w:val="008275D5"/>
    <w:rsid w:val="008277F2"/>
    <w:rsid w:val="00827A5C"/>
    <w:rsid w:val="00827A84"/>
    <w:rsid w:val="00827FCF"/>
    <w:rsid w:val="008302B3"/>
    <w:rsid w:val="008303C3"/>
    <w:rsid w:val="008304F7"/>
    <w:rsid w:val="00830C5B"/>
    <w:rsid w:val="00830CD1"/>
    <w:rsid w:val="00830D84"/>
    <w:rsid w:val="00830FE0"/>
    <w:rsid w:val="0083119B"/>
    <w:rsid w:val="008314E2"/>
    <w:rsid w:val="0083185A"/>
    <w:rsid w:val="00831BC2"/>
    <w:rsid w:val="008322BA"/>
    <w:rsid w:val="008324C1"/>
    <w:rsid w:val="00832611"/>
    <w:rsid w:val="00832C15"/>
    <w:rsid w:val="00832C19"/>
    <w:rsid w:val="00832D9B"/>
    <w:rsid w:val="00833020"/>
    <w:rsid w:val="0083313D"/>
    <w:rsid w:val="0083328B"/>
    <w:rsid w:val="00833425"/>
    <w:rsid w:val="008336C9"/>
    <w:rsid w:val="00833957"/>
    <w:rsid w:val="00833AC6"/>
    <w:rsid w:val="00833C18"/>
    <w:rsid w:val="00833FF9"/>
    <w:rsid w:val="008340A6"/>
    <w:rsid w:val="008347EA"/>
    <w:rsid w:val="00834809"/>
    <w:rsid w:val="00834DBF"/>
    <w:rsid w:val="00834EA9"/>
    <w:rsid w:val="00834F7D"/>
    <w:rsid w:val="0083505D"/>
    <w:rsid w:val="008353AE"/>
    <w:rsid w:val="0083543B"/>
    <w:rsid w:val="0083583A"/>
    <w:rsid w:val="00835903"/>
    <w:rsid w:val="00835BD3"/>
    <w:rsid w:val="008364DF"/>
    <w:rsid w:val="00836EFA"/>
    <w:rsid w:val="008370A9"/>
    <w:rsid w:val="0083752B"/>
    <w:rsid w:val="0083766F"/>
    <w:rsid w:val="008376EB"/>
    <w:rsid w:val="008378FA"/>
    <w:rsid w:val="00840241"/>
    <w:rsid w:val="008402CC"/>
    <w:rsid w:val="008404EC"/>
    <w:rsid w:val="00840718"/>
    <w:rsid w:val="0084076B"/>
    <w:rsid w:val="0084121E"/>
    <w:rsid w:val="008412EE"/>
    <w:rsid w:val="008414EA"/>
    <w:rsid w:val="008414FC"/>
    <w:rsid w:val="0084186B"/>
    <w:rsid w:val="00841B2E"/>
    <w:rsid w:val="00842869"/>
    <w:rsid w:val="00842BE1"/>
    <w:rsid w:val="00842CD6"/>
    <w:rsid w:val="00842F01"/>
    <w:rsid w:val="00842F09"/>
    <w:rsid w:val="00842F34"/>
    <w:rsid w:val="00843099"/>
    <w:rsid w:val="00843431"/>
    <w:rsid w:val="008434FC"/>
    <w:rsid w:val="008436CD"/>
    <w:rsid w:val="0084373D"/>
    <w:rsid w:val="008439A1"/>
    <w:rsid w:val="008441E9"/>
    <w:rsid w:val="00844297"/>
    <w:rsid w:val="008442C1"/>
    <w:rsid w:val="008444C7"/>
    <w:rsid w:val="0084459A"/>
    <w:rsid w:val="008445B5"/>
    <w:rsid w:val="008447BB"/>
    <w:rsid w:val="00844D29"/>
    <w:rsid w:val="00844EDC"/>
    <w:rsid w:val="00844F8A"/>
    <w:rsid w:val="008453AD"/>
    <w:rsid w:val="00845673"/>
    <w:rsid w:val="0084593F"/>
    <w:rsid w:val="00845BE2"/>
    <w:rsid w:val="00845F9B"/>
    <w:rsid w:val="00845FFF"/>
    <w:rsid w:val="00846312"/>
    <w:rsid w:val="008463AC"/>
    <w:rsid w:val="00846654"/>
    <w:rsid w:val="00846CD3"/>
    <w:rsid w:val="008474C2"/>
    <w:rsid w:val="0084795A"/>
    <w:rsid w:val="00847AAD"/>
    <w:rsid w:val="00847B3C"/>
    <w:rsid w:val="00847E0D"/>
    <w:rsid w:val="00847F3D"/>
    <w:rsid w:val="00850450"/>
    <w:rsid w:val="0085051B"/>
    <w:rsid w:val="00850BCB"/>
    <w:rsid w:val="00850CBB"/>
    <w:rsid w:val="00850EE9"/>
    <w:rsid w:val="0085101D"/>
    <w:rsid w:val="0085108C"/>
    <w:rsid w:val="00851338"/>
    <w:rsid w:val="008513A0"/>
    <w:rsid w:val="0085169D"/>
    <w:rsid w:val="00851A37"/>
    <w:rsid w:val="00851BE3"/>
    <w:rsid w:val="008522A6"/>
    <w:rsid w:val="00852369"/>
    <w:rsid w:val="00852638"/>
    <w:rsid w:val="008526FA"/>
    <w:rsid w:val="008527DB"/>
    <w:rsid w:val="00852887"/>
    <w:rsid w:val="008528AF"/>
    <w:rsid w:val="00852BA9"/>
    <w:rsid w:val="00852CC6"/>
    <w:rsid w:val="00852D09"/>
    <w:rsid w:val="00852D4E"/>
    <w:rsid w:val="00852E8E"/>
    <w:rsid w:val="008533C3"/>
    <w:rsid w:val="00853497"/>
    <w:rsid w:val="008539A9"/>
    <w:rsid w:val="00853A9F"/>
    <w:rsid w:val="00853DE9"/>
    <w:rsid w:val="00853E14"/>
    <w:rsid w:val="00853EED"/>
    <w:rsid w:val="00854A8E"/>
    <w:rsid w:val="00854BC4"/>
    <w:rsid w:val="00854CA1"/>
    <w:rsid w:val="00854E54"/>
    <w:rsid w:val="008551C7"/>
    <w:rsid w:val="0085560D"/>
    <w:rsid w:val="00855637"/>
    <w:rsid w:val="008557D6"/>
    <w:rsid w:val="00855888"/>
    <w:rsid w:val="00855E2E"/>
    <w:rsid w:val="00855E33"/>
    <w:rsid w:val="00855F89"/>
    <w:rsid w:val="00856204"/>
    <w:rsid w:val="0085627B"/>
    <w:rsid w:val="008563F0"/>
    <w:rsid w:val="008563FC"/>
    <w:rsid w:val="00856459"/>
    <w:rsid w:val="008567AB"/>
    <w:rsid w:val="00856A54"/>
    <w:rsid w:val="00856CA4"/>
    <w:rsid w:val="00856D7B"/>
    <w:rsid w:val="00856E55"/>
    <w:rsid w:val="0085712D"/>
    <w:rsid w:val="00857272"/>
    <w:rsid w:val="00857331"/>
    <w:rsid w:val="0085739F"/>
    <w:rsid w:val="00857947"/>
    <w:rsid w:val="00857B00"/>
    <w:rsid w:val="00860077"/>
    <w:rsid w:val="0086013C"/>
    <w:rsid w:val="00860211"/>
    <w:rsid w:val="00860283"/>
    <w:rsid w:val="0086058E"/>
    <w:rsid w:val="00860B43"/>
    <w:rsid w:val="00860C34"/>
    <w:rsid w:val="00861196"/>
    <w:rsid w:val="00862090"/>
    <w:rsid w:val="00862F65"/>
    <w:rsid w:val="00862FC7"/>
    <w:rsid w:val="0086342F"/>
    <w:rsid w:val="0086360A"/>
    <w:rsid w:val="008638F0"/>
    <w:rsid w:val="00863A21"/>
    <w:rsid w:val="00863B9C"/>
    <w:rsid w:val="008641C2"/>
    <w:rsid w:val="00864323"/>
    <w:rsid w:val="0086471E"/>
    <w:rsid w:val="0086475E"/>
    <w:rsid w:val="00864760"/>
    <w:rsid w:val="00864A63"/>
    <w:rsid w:val="00864A7D"/>
    <w:rsid w:val="00864EE7"/>
    <w:rsid w:val="008651A8"/>
    <w:rsid w:val="00865D57"/>
    <w:rsid w:val="00865D9B"/>
    <w:rsid w:val="00866092"/>
    <w:rsid w:val="0086614C"/>
    <w:rsid w:val="0086653D"/>
    <w:rsid w:val="0086659C"/>
    <w:rsid w:val="008666EC"/>
    <w:rsid w:val="00867060"/>
    <w:rsid w:val="00867137"/>
    <w:rsid w:val="00867589"/>
    <w:rsid w:val="0086782F"/>
    <w:rsid w:val="0086785E"/>
    <w:rsid w:val="00867997"/>
    <w:rsid w:val="00867C38"/>
    <w:rsid w:val="00870002"/>
    <w:rsid w:val="0087073A"/>
    <w:rsid w:val="00870ED0"/>
    <w:rsid w:val="00871085"/>
    <w:rsid w:val="008711EA"/>
    <w:rsid w:val="00871496"/>
    <w:rsid w:val="0087149A"/>
    <w:rsid w:val="0087190D"/>
    <w:rsid w:val="00871B00"/>
    <w:rsid w:val="00871B63"/>
    <w:rsid w:val="00871C5A"/>
    <w:rsid w:val="00871CED"/>
    <w:rsid w:val="00871DC9"/>
    <w:rsid w:val="00871E74"/>
    <w:rsid w:val="008720C9"/>
    <w:rsid w:val="00872164"/>
    <w:rsid w:val="0087221C"/>
    <w:rsid w:val="008726DF"/>
    <w:rsid w:val="00872E78"/>
    <w:rsid w:val="00872F22"/>
    <w:rsid w:val="00872F59"/>
    <w:rsid w:val="00872FFA"/>
    <w:rsid w:val="0087304F"/>
    <w:rsid w:val="00873133"/>
    <w:rsid w:val="00873403"/>
    <w:rsid w:val="008735CE"/>
    <w:rsid w:val="008738B9"/>
    <w:rsid w:val="0087404B"/>
    <w:rsid w:val="008742E5"/>
    <w:rsid w:val="00874A5E"/>
    <w:rsid w:val="00874B4C"/>
    <w:rsid w:val="00874C17"/>
    <w:rsid w:val="00874F29"/>
    <w:rsid w:val="00875146"/>
    <w:rsid w:val="00875351"/>
    <w:rsid w:val="00875B37"/>
    <w:rsid w:val="0087606E"/>
    <w:rsid w:val="0087621A"/>
    <w:rsid w:val="0087622B"/>
    <w:rsid w:val="008764A6"/>
    <w:rsid w:val="00876747"/>
    <w:rsid w:val="00876903"/>
    <w:rsid w:val="00876C6A"/>
    <w:rsid w:val="00876D2A"/>
    <w:rsid w:val="00876EFF"/>
    <w:rsid w:val="00876F6B"/>
    <w:rsid w:val="00877605"/>
    <w:rsid w:val="0087760E"/>
    <w:rsid w:val="008779C5"/>
    <w:rsid w:val="00877C13"/>
    <w:rsid w:val="00877DBE"/>
    <w:rsid w:val="008800EB"/>
    <w:rsid w:val="00880E15"/>
    <w:rsid w:val="00880F48"/>
    <w:rsid w:val="0088175C"/>
    <w:rsid w:val="008818A5"/>
    <w:rsid w:val="008818EB"/>
    <w:rsid w:val="00881E57"/>
    <w:rsid w:val="00881F5F"/>
    <w:rsid w:val="00882575"/>
    <w:rsid w:val="00882710"/>
    <w:rsid w:val="00882A3B"/>
    <w:rsid w:val="00882F95"/>
    <w:rsid w:val="00883440"/>
    <w:rsid w:val="00883E78"/>
    <w:rsid w:val="00883F3D"/>
    <w:rsid w:val="00884193"/>
    <w:rsid w:val="0088432A"/>
    <w:rsid w:val="00884337"/>
    <w:rsid w:val="008844BB"/>
    <w:rsid w:val="00884539"/>
    <w:rsid w:val="008845DF"/>
    <w:rsid w:val="008846E0"/>
    <w:rsid w:val="00884FAA"/>
    <w:rsid w:val="00885467"/>
    <w:rsid w:val="00885BA7"/>
    <w:rsid w:val="008861A9"/>
    <w:rsid w:val="0088663D"/>
    <w:rsid w:val="008869E0"/>
    <w:rsid w:val="00886B62"/>
    <w:rsid w:val="00886DC6"/>
    <w:rsid w:val="00886F07"/>
    <w:rsid w:val="00886F21"/>
    <w:rsid w:val="0088704B"/>
    <w:rsid w:val="008870B3"/>
    <w:rsid w:val="008878AA"/>
    <w:rsid w:val="008879AE"/>
    <w:rsid w:val="00887ACA"/>
    <w:rsid w:val="008906CA"/>
    <w:rsid w:val="00890E4C"/>
    <w:rsid w:val="00890E81"/>
    <w:rsid w:val="00890FE6"/>
    <w:rsid w:val="008910FD"/>
    <w:rsid w:val="00891267"/>
    <w:rsid w:val="008913E0"/>
    <w:rsid w:val="00891454"/>
    <w:rsid w:val="00891AD4"/>
    <w:rsid w:val="00891C93"/>
    <w:rsid w:val="00891E05"/>
    <w:rsid w:val="00891EEF"/>
    <w:rsid w:val="008920E9"/>
    <w:rsid w:val="00892A59"/>
    <w:rsid w:val="00892A86"/>
    <w:rsid w:val="00892C74"/>
    <w:rsid w:val="00892C82"/>
    <w:rsid w:val="00892CB0"/>
    <w:rsid w:val="00892E08"/>
    <w:rsid w:val="00892E89"/>
    <w:rsid w:val="008932D5"/>
    <w:rsid w:val="00893493"/>
    <w:rsid w:val="00893B79"/>
    <w:rsid w:val="00893D8A"/>
    <w:rsid w:val="00893D8D"/>
    <w:rsid w:val="00894081"/>
    <w:rsid w:val="0089421F"/>
    <w:rsid w:val="0089431A"/>
    <w:rsid w:val="00894E93"/>
    <w:rsid w:val="00895253"/>
    <w:rsid w:val="00895623"/>
    <w:rsid w:val="00895643"/>
    <w:rsid w:val="00895695"/>
    <w:rsid w:val="00895896"/>
    <w:rsid w:val="00895CF0"/>
    <w:rsid w:val="0089630C"/>
    <w:rsid w:val="00896434"/>
    <w:rsid w:val="00896666"/>
    <w:rsid w:val="00896AA1"/>
    <w:rsid w:val="00896AD4"/>
    <w:rsid w:val="00897459"/>
    <w:rsid w:val="00897630"/>
    <w:rsid w:val="008977AF"/>
    <w:rsid w:val="00897EA6"/>
    <w:rsid w:val="008A004D"/>
    <w:rsid w:val="008A0B6B"/>
    <w:rsid w:val="008A0C6F"/>
    <w:rsid w:val="008A10DB"/>
    <w:rsid w:val="008A1319"/>
    <w:rsid w:val="008A1855"/>
    <w:rsid w:val="008A1AE1"/>
    <w:rsid w:val="008A1E33"/>
    <w:rsid w:val="008A1E48"/>
    <w:rsid w:val="008A1FAD"/>
    <w:rsid w:val="008A2106"/>
    <w:rsid w:val="008A23E6"/>
    <w:rsid w:val="008A2B9F"/>
    <w:rsid w:val="008A3048"/>
    <w:rsid w:val="008A31C9"/>
    <w:rsid w:val="008A327B"/>
    <w:rsid w:val="008A3C47"/>
    <w:rsid w:val="008A3C6A"/>
    <w:rsid w:val="008A3CFB"/>
    <w:rsid w:val="008A3D5E"/>
    <w:rsid w:val="008A409C"/>
    <w:rsid w:val="008A48C5"/>
    <w:rsid w:val="008A4D70"/>
    <w:rsid w:val="008A50A5"/>
    <w:rsid w:val="008A5DB5"/>
    <w:rsid w:val="008A5DEE"/>
    <w:rsid w:val="008A61AB"/>
    <w:rsid w:val="008A6A7A"/>
    <w:rsid w:val="008A6D09"/>
    <w:rsid w:val="008A717A"/>
    <w:rsid w:val="008A721A"/>
    <w:rsid w:val="008A739B"/>
    <w:rsid w:val="008A77CA"/>
    <w:rsid w:val="008A7866"/>
    <w:rsid w:val="008A7BD1"/>
    <w:rsid w:val="008A7E22"/>
    <w:rsid w:val="008A7EC8"/>
    <w:rsid w:val="008B0368"/>
    <w:rsid w:val="008B0376"/>
    <w:rsid w:val="008B049B"/>
    <w:rsid w:val="008B0CDC"/>
    <w:rsid w:val="008B0DCD"/>
    <w:rsid w:val="008B0F2C"/>
    <w:rsid w:val="008B11FA"/>
    <w:rsid w:val="008B13D9"/>
    <w:rsid w:val="008B14AF"/>
    <w:rsid w:val="008B14E6"/>
    <w:rsid w:val="008B158E"/>
    <w:rsid w:val="008B171F"/>
    <w:rsid w:val="008B177A"/>
    <w:rsid w:val="008B18AE"/>
    <w:rsid w:val="008B1DD6"/>
    <w:rsid w:val="008B2174"/>
    <w:rsid w:val="008B219F"/>
    <w:rsid w:val="008B299C"/>
    <w:rsid w:val="008B2AC7"/>
    <w:rsid w:val="008B2ECE"/>
    <w:rsid w:val="008B3041"/>
    <w:rsid w:val="008B3407"/>
    <w:rsid w:val="008B3ACF"/>
    <w:rsid w:val="008B3D35"/>
    <w:rsid w:val="008B3FBB"/>
    <w:rsid w:val="008B41B4"/>
    <w:rsid w:val="008B42B9"/>
    <w:rsid w:val="008B47F0"/>
    <w:rsid w:val="008B48DB"/>
    <w:rsid w:val="008B5078"/>
    <w:rsid w:val="008B5087"/>
    <w:rsid w:val="008B5235"/>
    <w:rsid w:val="008B598F"/>
    <w:rsid w:val="008B5C19"/>
    <w:rsid w:val="008B5D7A"/>
    <w:rsid w:val="008B6130"/>
    <w:rsid w:val="008B6212"/>
    <w:rsid w:val="008B621E"/>
    <w:rsid w:val="008B6536"/>
    <w:rsid w:val="008B6735"/>
    <w:rsid w:val="008B693D"/>
    <w:rsid w:val="008B6977"/>
    <w:rsid w:val="008B6979"/>
    <w:rsid w:val="008B69C4"/>
    <w:rsid w:val="008B6B7F"/>
    <w:rsid w:val="008B706D"/>
    <w:rsid w:val="008B710F"/>
    <w:rsid w:val="008B7129"/>
    <w:rsid w:val="008B72F8"/>
    <w:rsid w:val="008B7683"/>
    <w:rsid w:val="008B7EA0"/>
    <w:rsid w:val="008C0445"/>
    <w:rsid w:val="008C0C29"/>
    <w:rsid w:val="008C0F4C"/>
    <w:rsid w:val="008C119A"/>
    <w:rsid w:val="008C1331"/>
    <w:rsid w:val="008C1510"/>
    <w:rsid w:val="008C237C"/>
    <w:rsid w:val="008C26B2"/>
    <w:rsid w:val="008C29DD"/>
    <w:rsid w:val="008C3092"/>
    <w:rsid w:val="008C3287"/>
    <w:rsid w:val="008C34B6"/>
    <w:rsid w:val="008C3773"/>
    <w:rsid w:val="008C3806"/>
    <w:rsid w:val="008C3CFA"/>
    <w:rsid w:val="008C3EAC"/>
    <w:rsid w:val="008C3F0B"/>
    <w:rsid w:val="008C3F7C"/>
    <w:rsid w:val="008C4774"/>
    <w:rsid w:val="008C4AB5"/>
    <w:rsid w:val="008C4E73"/>
    <w:rsid w:val="008C4EF8"/>
    <w:rsid w:val="008C540A"/>
    <w:rsid w:val="008C5B54"/>
    <w:rsid w:val="008C6239"/>
    <w:rsid w:val="008C640B"/>
    <w:rsid w:val="008C649D"/>
    <w:rsid w:val="008C64AD"/>
    <w:rsid w:val="008C651E"/>
    <w:rsid w:val="008C6762"/>
    <w:rsid w:val="008C6845"/>
    <w:rsid w:val="008C6876"/>
    <w:rsid w:val="008C6975"/>
    <w:rsid w:val="008C6AE5"/>
    <w:rsid w:val="008C6BE4"/>
    <w:rsid w:val="008C6C7D"/>
    <w:rsid w:val="008C6F9E"/>
    <w:rsid w:val="008C7537"/>
    <w:rsid w:val="008C7892"/>
    <w:rsid w:val="008C79B0"/>
    <w:rsid w:val="008C7B38"/>
    <w:rsid w:val="008C7C99"/>
    <w:rsid w:val="008C7D36"/>
    <w:rsid w:val="008C7F75"/>
    <w:rsid w:val="008D0255"/>
    <w:rsid w:val="008D064E"/>
    <w:rsid w:val="008D0C1F"/>
    <w:rsid w:val="008D0E07"/>
    <w:rsid w:val="008D126E"/>
    <w:rsid w:val="008D129B"/>
    <w:rsid w:val="008D144B"/>
    <w:rsid w:val="008D14D5"/>
    <w:rsid w:val="008D1707"/>
    <w:rsid w:val="008D195A"/>
    <w:rsid w:val="008D19FC"/>
    <w:rsid w:val="008D1A59"/>
    <w:rsid w:val="008D1B81"/>
    <w:rsid w:val="008D1CF5"/>
    <w:rsid w:val="008D2274"/>
    <w:rsid w:val="008D258E"/>
    <w:rsid w:val="008D2725"/>
    <w:rsid w:val="008D27A8"/>
    <w:rsid w:val="008D2A15"/>
    <w:rsid w:val="008D2AD7"/>
    <w:rsid w:val="008D2C43"/>
    <w:rsid w:val="008D3242"/>
    <w:rsid w:val="008D3C38"/>
    <w:rsid w:val="008D3F15"/>
    <w:rsid w:val="008D3F63"/>
    <w:rsid w:val="008D4029"/>
    <w:rsid w:val="008D43F5"/>
    <w:rsid w:val="008D4656"/>
    <w:rsid w:val="008D4903"/>
    <w:rsid w:val="008D4AD1"/>
    <w:rsid w:val="008D4B00"/>
    <w:rsid w:val="008D4F97"/>
    <w:rsid w:val="008D50AC"/>
    <w:rsid w:val="008D514B"/>
    <w:rsid w:val="008D56A3"/>
    <w:rsid w:val="008D57D6"/>
    <w:rsid w:val="008D5BD2"/>
    <w:rsid w:val="008D5DEB"/>
    <w:rsid w:val="008D5FE8"/>
    <w:rsid w:val="008D6553"/>
    <w:rsid w:val="008D663D"/>
    <w:rsid w:val="008D668C"/>
    <w:rsid w:val="008D6ABD"/>
    <w:rsid w:val="008D6B9B"/>
    <w:rsid w:val="008D6F1B"/>
    <w:rsid w:val="008D7151"/>
    <w:rsid w:val="008D723D"/>
    <w:rsid w:val="008D75AC"/>
    <w:rsid w:val="008D75D3"/>
    <w:rsid w:val="008D77E3"/>
    <w:rsid w:val="008D780C"/>
    <w:rsid w:val="008D7B53"/>
    <w:rsid w:val="008D7F9F"/>
    <w:rsid w:val="008E018E"/>
    <w:rsid w:val="008E06E8"/>
    <w:rsid w:val="008E0743"/>
    <w:rsid w:val="008E0789"/>
    <w:rsid w:val="008E08C4"/>
    <w:rsid w:val="008E0A8C"/>
    <w:rsid w:val="008E0B26"/>
    <w:rsid w:val="008E0B9E"/>
    <w:rsid w:val="008E0F9B"/>
    <w:rsid w:val="008E1600"/>
    <w:rsid w:val="008E16A3"/>
    <w:rsid w:val="008E170F"/>
    <w:rsid w:val="008E1869"/>
    <w:rsid w:val="008E1C1C"/>
    <w:rsid w:val="008E1C2A"/>
    <w:rsid w:val="008E1E30"/>
    <w:rsid w:val="008E2160"/>
    <w:rsid w:val="008E2169"/>
    <w:rsid w:val="008E21B8"/>
    <w:rsid w:val="008E2463"/>
    <w:rsid w:val="008E2493"/>
    <w:rsid w:val="008E2576"/>
    <w:rsid w:val="008E3267"/>
    <w:rsid w:val="008E3357"/>
    <w:rsid w:val="008E3594"/>
    <w:rsid w:val="008E35C5"/>
    <w:rsid w:val="008E403B"/>
    <w:rsid w:val="008E4252"/>
    <w:rsid w:val="008E429A"/>
    <w:rsid w:val="008E4379"/>
    <w:rsid w:val="008E45D0"/>
    <w:rsid w:val="008E4761"/>
    <w:rsid w:val="008E4A8A"/>
    <w:rsid w:val="008E4D07"/>
    <w:rsid w:val="008E50AE"/>
    <w:rsid w:val="008E5886"/>
    <w:rsid w:val="008E58B9"/>
    <w:rsid w:val="008E5B41"/>
    <w:rsid w:val="008E5F5E"/>
    <w:rsid w:val="008E6483"/>
    <w:rsid w:val="008E66C1"/>
    <w:rsid w:val="008E6E04"/>
    <w:rsid w:val="008E6E17"/>
    <w:rsid w:val="008E6FA3"/>
    <w:rsid w:val="008E732D"/>
    <w:rsid w:val="008E74EE"/>
    <w:rsid w:val="008E78F4"/>
    <w:rsid w:val="008E7ABD"/>
    <w:rsid w:val="008E7C30"/>
    <w:rsid w:val="008E7D53"/>
    <w:rsid w:val="008F018C"/>
    <w:rsid w:val="008F02A3"/>
    <w:rsid w:val="008F040E"/>
    <w:rsid w:val="008F054E"/>
    <w:rsid w:val="008F0709"/>
    <w:rsid w:val="008F090E"/>
    <w:rsid w:val="008F0AA6"/>
    <w:rsid w:val="008F0C8B"/>
    <w:rsid w:val="008F1006"/>
    <w:rsid w:val="008F147F"/>
    <w:rsid w:val="008F15D6"/>
    <w:rsid w:val="008F15FA"/>
    <w:rsid w:val="008F1761"/>
    <w:rsid w:val="008F1880"/>
    <w:rsid w:val="008F1887"/>
    <w:rsid w:val="008F26A5"/>
    <w:rsid w:val="008F2771"/>
    <w:rsid w:val="008F2B79"/>
    <w:rsid w:val="008F2C91"/>
    <w:rsid w:val="008F2DEC"/>
    <w:rsid w:val="008F2EAC"/>
    <w:rsid w:val="008F36D1"/>
    <w:rsid w:val="008F3B8B"/>
    <w:rsid w:val="008F3F56"/>
    <w:rsid w:val="008F3FAC"/>
    <w:rsid w:val="008F4934"/>
    <w:rsid w:val="008F4AA6"/>
    <w:rsid w:val="008F4B52"/>
    <w:rsid w:val="008F5350"/>
    <w:rsid w:val="008F53BA"/>
    <w:rsid w:val="008F555E"/>
    <w:rsid w:val="008F59E4"/>
    <w:rsid w:val="008F5B80"/>
    <w:rsid w:val="008F5EDC"/>
    <w:rsid w:val="008F6260"/>
    <w:rsid w:val="008F6426"/>
    <w:rsid w:val="008F64E5"/>
    <w:rsid w:val="008F6729"/>
    <w:rsid w:val="008F67F4"/>
    <w:rsid w:val="008F686A"/>
    <w:rsid w:val="008F6A9B"/>
    <w:rsid w:val="008F6B5D"/>
    <w:rsid w:val="008F6DC3"/>
    <w:rsid w:val="008F7547"/>
    <w:rsid w:val="008F7705"/>
    <w:rsid w:val="0090088A"/>
    <w:rsid w:val="009008A3"/>
    <w:rsid w:val="00900B9A"/>
    <w:rsid w:val="00900D31"/>
    <w:rsid w:val="00900DA2"/>
    <w:rsid w:val="009010CE"/>
    <w:rsid w:val="009011AE"/>
    <w:rsid w:val="009011B7"/>
    <w:rsid w:val="0090128C"/>
    <w:rsid w:val="0090182A"/>
    <w:rsid w:val="00901A61"/>
    <w:rsid w:val="00901D44"/>
    <w:rsid w:val="00901FAB"/>
    <w:rsid w:val="0090201C"/>
    <w:rsid w:val="0090258F"/>
    <w:rsid w:val="00902687"/>
    <w:rsid w:val="0090269C"/>
    <w:rsid w:val="009029FF"/>
    <w:rsid w:val="00902B00"/>
    <w:rsid w:val="00902B41"/>
    <w:rsid w:val="00902BCF"/>
    <w:rsid w:val="009031AB"/>
    <w:rsid w:val="00903B2C"/>
    <w:rsid w:val="00903B7E"/>
    <w:rsid w:val="00903C74"/>
    <w:rsid w:val="00903D2A"/>
    <w:rsid w:val="00904B95"/>
    <w:rsid w:val="00905146"/>
    <w:rsid w:val="009051D6"/>
    <w:rsid w:val="0090527B"/>
    <w:rsid w:val="0090532F"/>
    <w:rsid w:val="00905460"/>
    <w:rsid w:val="009059B7"/>
    <w:rsid w:val="00905A4C"/>
    <w:rsid w:val="00905B8C"/>
    <w:rsid w:val="00905EAB"/>
    <w:rsid w:val="00906775"/>
    <w:rsid w:val="00907024"/>
    <w:rsid w:val="0090729C"/>
    <w:rsid w:val="00907703"/>
    <w:rsid w:val="00907DFC"/>
    <w:rsid w:val="00907EEB"/>
    <w:rsid w:val="00907F69"/>
    <w:rsid w:val="00907F74"/>
    <w:rsid w:val="00910087"/>
    <w:rsid w:val="00910281"/>
    <w:rsid w:val="009103F1"/>
    <w:rsid w:val="00910662"/>
    <w:rsid w:val="0091069C"/>
    <w:rsid w:val="0091086A"/>
    <w:rsid w:val="00910F6E"/>
    <w:rsid w:val="0091107D"/>
    <w:rsid w:val="00911195"/>
    <w:rsid w:val="009112BF"/>
    <w:rsid w:val="00911340"/>
    <w:rsid w:val="009114DD"/>
    <w:rsid w:val="00911B7D"/>
    <w:rsid w:val="00911D18"/>
    <w:rsid w:val="009123D2"/>
    <w:rsid w:val="009125BC"/>
    <w:rsid w:val="00912B40"/>
    <w:rsid w:val="00912B49"/>
    <w:rsid w:val="00912D09"/>
    <w:rsid w:val="00912D86"/>
    <w:rsid w:val="009131C5"/>
    <w:rsid w:val="0091333A"/>
    <w:rsid w:val="009134A1"/>
    <w:rsid w:val="00913783"/>
    <w:rsid w:val="0091381D"/>
    <w:rsid w:val="009138BF"/>
    <w:rsid w:val="00913A49"/>
    <w:rsid w:val="00913F55"/>
    <w:rsid w:val="009141B1"/>
    <w:rsid w:val="00914201"/>
    <w:rsid w:val="00914494"/>
    <w:rsid w:val="009146B1"/>
    <w:rsid w:val="00914CDA"/>
    <w:rsid w:val="009157F2"/>
    <w:rsid w:val="00915AAF"/>
    <w:rsid w:val="00916406"/>
    <w:rsid w:val="009164F1"/>
    <w:rsid w:val="009165C1"/>
    <w:rsid w:val="00916814"/>
    <w:rsid w:val="0091691D"/>
    <w:rsid w:val="00916A39"/>
    <w:rsid w:val="00916BAF"/>
    <w:rsid w:val="00916EAA"/>
    <w:rsid w:val="00917388"/>
    <w:rsid w:val="00917880"/>
    <w:rsid w:val="00917925"/>
    <w:rsid w:val="00917C21"/>
    <w:rsid w:val="00917D06"/>
    <w:rsid w:val="00920199"/>
    <w:rsid w:val="00920A39"/>
    <w:rsid w:val="00920F01"/>
    <w:rsid w:val="00920F25"/>
    <w:rsid w:val="00921177"/>
    <w:rsid w:val="00921252"/>
    <w:rsid w:val="00921528"/>
    <w:rsid w:val="00921813"/>
    <w:rsid w:val="00921872"/>
    <w:rsid w:val="00921C5A"/>
    <w:rsid w:val="00921EC9"/>
    <w:rsid w:val="00921FF2"/>
    <w:rsid w:val="009220F4"/>
    <w:rsid w:val="009221AD"/>
    <w:rsid w:val="0092246D"/>
    <w:rsid w:val="00922A7C"/>
    <w:rsid w:val="00922EE3"/>
    <w:rsid w:val="00922EF9"/>
    <w:rsid w:val="00923082"/>
    <w:rsid w:val="0092380B"/>
    <w:rsid w:val="00923A59"/>
    <w:rsid w:val="00923A78"/>
    <w:rsid w:val="00923AB0"/>
    <w:rsid w:val="00923C6D"/>
    <w:rsid w:val="00923C96"/>
    <w:rsid w:val="00923D47"/>
    <w:rsid w:val="00923D63"/>
    <w:rsid w:val="00923EF7"/>
    <w:rsid w:val="00924157"/>
    <w:rsid w:val="0092437C"/>
    <w:rsid w:val="0092479E"/>
    <w:rsid w:val="009248A2"/>
    <w:rsid w:val="00924946"/>
    <w:rsid w:val="00924B1A"/>
    <w:rsid w:val="00924B5F"/>
    <w:rsid w:val="00924DFB"/>
    <w:rsid w:val="00924FBF"/>
    <w:rsid w:val="00925F10"/>
    <w:rsid w:val="0092621F"/>
    <w:rsid w:val="009263A0"/>
    <w:rsid w:val="0092657D"/>
    <w:rsid w:val="0092690F"/>
    <w:rsid w:val="0092692E"/>
    <w:rsid w:val="00926F3D"/>
    <w:rsid w:val="00927516"/>
    <w:rsid w:val="009276D0"/>
    <w:rsid w:val="0092797D"/>
    <w:rsid w:val="00927A37"/>
    <w:rsid w:val="0093008A"/>
    <w:rsid w:val="009302D5"/>
    <w:rsid w:val="00930394"/>
    <w:rsid w:val="009303D1"/>
    <w:rsid w:val="00930674"/>
    <w:rsid w:val="00930989"/>
    <w:rsid w:val="0093129E"/>
    <w:rsid w:val="00931457"/>
    <w:rsid w:val="0093149B"/>
    <w:rsid w:val="00931519"/>
    <w:rsid w:val="0093157F"/>
    <w:rsid w:val="00931889"/>
    <w:rsid w:val="00931D4B"/>
    <w:rsid w:val="00931DB8"/>
    <w:rsid w:val="00931E9A"/>
    <w:rsid w:val="00931EF6"/>
    <w:rsid w:val="00931EF8"/>
    <w:rsid w:val="009320B7"/>
    <w:rsid w:val="00932119"/>
    <w:rsid w:val="00932375"/>
    <w:rsid w:val="009323D9"/>
    <w:rsid w:val="00932591"/>
    <w:rsid w:val="009325AB"/>
    <w:rsid w:val="00932BD6"/>
    <w:rsid w:val="00932C1A"/>
    <w:rsid w:val="00932CEB"/>
    <w:rsid w:val="00933656"/>
    <w:rsid w:val="00933B80"/>
    <w:rsid w:val="00933D9F"/>
    <w:rsid w:val="0093415B"/>
    <w:rsid w:val="009341A0"/>
    <w:rsid w:val="009341D8"/>
    <w:rsid w:val="0093472A"/>
    <w:rsid w:val="009347D4"/>
    <w:rsid w:val="0093508E"/>
    <w:rsid w:val="0093552B"/>
    <w:rsid w:val="009358A9"/>
    <w:rsid w:val="00935E61"/>
    <w:rsid w:val="00936053"/>
    <w:rsid w:val="0093651D"/>
    <w:rsid w:val="00936F4A"/>
    <w:rsid w:val="0093786B"/>
    <w:rsid w:val="009378CD"/>
    <w:rsid w:val="009379CF"/>
    <w:rsid w:val="009401A4"/>
    <w:rsid w:val="00940676"/>
    <w:rsid w:val="0094067B"/>
    <w:rsid w:val="00940846"/>
    <w:rsid w:val="00940937"/>
    <w:rsid w:val="00940A21"/>
    <w:rsid w:val="00940A29"/>
    <w:rsid w:val="00940B8E"/>
    <w:rsid w:val="00940C04"/>
    <w:rsid w:val="00940E9B"/>
    <w:rsid w:val="00941297"/>
    <w:rsid w:val="00941417"/>
    <w:rsid w:val="00941605"/>
    <w:rsid w:val="00941640"/>
    <w:rsid w:val="00941BA3"/>
    <w:rsid w:val="009427B9"/>
    <w:rsid w:val="00942C45"/>
    <w:rsid w:val="00942DB0"/>
    <w:rsid w:val="0094305F"/>
    <w:rsid w:val="009433FC"/>
    <w:rsid w:val="009436EA"/>
    <w:rsid w:val="009438A2"/>
    <w:rsid w:val="009438A4"/>
    <w:rsid w:val="009438E3"/>
    <w:rsid w:val="0094411A"/>
    <w:rsid w:val="009444C2"/>
    <w:rsid w:val="009445D8"/>
    <w:rsid w:val="00944AE7"/>
    <w:rsid w:val="00944B5A"/>
    <w:rsid w:val="0094562B"/>
    <w:rsid w:val="0094565C"/>
    <w:rsid w:val="00945971"/>
    <w:rsid w:val="00945D9A"/>
    <w:rsid w:val="009462BB"/>
    <w:rsid w:val="00946360"/>
    <w:rsid w:val="009463FB"/>
    <w:rsid w:val="0094665B"/>
    <w:rsid w:val="00947217"/>
    <w:rsid w:val="00947464"/>
    <w:rsid w:val="00947900"/>
    <w:rsid w:val="00947973"/>
    <w:rsid w:val="00947B87"/>
    <w:rsid w:val="00950077"/>
    <w:rsid w:val="009500A4"/>
    <w:rsid w:val="0095015A"/>
    <w:rsid w:val="0095066B"/>
    <w:rsid w:val="009509B5"/>
    <w:rsid w:val="00950D63"/>
    <w:rsid w:val="00951168"/>
    <w:rsid w:val="009518F2"/>
    <w:rsid w:val="00951A70"/>
    <w:rsid w:val="00951B60"/>
    <w:rsid w:val="00951CC7"/>
    <w:rsid w:val="00951FB0"/>
    <w:rsid w:val="009527F5"/>
    <w:rsid w:val="009528C9"/>
    <w:rsid w:val="00952CC5"/>
    <w:rsid w:val="00952CCE"/>
    <w:rsid w:val="00952D22"/>
    <w:rsid w:val="00952D24"/>
    <w:rsid w:val="00952FA5"/>
    <w:rsid w:val="00953111"/>
    <w:rsid w:val="009532B7"/>
    <w:rsid w:val="009536E6"/>
    <w:rsid w:val="00953886"/>
    <w:rsid w:val="0095388C"/>
    <w:rsid w:val="00953B99"/>
    <w:rsid w:val="00953F9D"/>
    <w:rsid w:val="009544CB"/>
    <w:rsid w:val="00954506"/>
    <w:rsid w:val="00954C2B"/>
    <w:rsid w:val="009554C1"/>
    <w:rsid w:val="009559B4"/>
    <w:rsid w:val="00955A11"/>
    <w:rsid w:val="00955A6B"/>
    <w:rsid w:val="00955B29"/>
    <w:rsid w:val="00955B9C"/>
    <w:rsid w:val="00955C28"/>
    <w:rsid w:val="00955CA0"/>
    <w:rsid w:val="00955E00"/>
    <w:rsid w:val="00955E61"/>
    <w:rsid w:val="009560B3"/>
    <w:rsid w:val="00956235"/>
    <w:rsid w:val="00956969"/>
    <w:rsid w:val="00956B8F"/>
    <w:rsid w:val="00956C16"/>
    <w:rsid w:val="0095710B"/>
    <w:rsid w:val="009575C4"/>
    <w:rsid w:val="0095762D"/>
    <w:rsid w:val="009578AA"/>
    <w:rsid w:val="00957C13"/>
    <w:rsid w:val="0096006A"/>
    <w:rsid w:val="00960180"/>
    <w:rsid w:val="00960A50"/>
    <w:rsid w:val="00960B83"/>
    <w:rsid w:val="0096103A"/>
    <w:rsid w:val="0096118E"/>
    <w:rsid w:val="00961291"/>
    <w:rsid w:val="00961A4B"/>
    <w:rsid w:val="00962651"/>
    <w:rsid w:val="00963ACA"/>
    <w:rsid w:val="00963D17"/>
    <w:rsid w:val="00963FCF"/>
    <w:rsid w:val="00964188"/>
    <w:rsid w:val="0096447C"/>
    <w:rsid w:val="00964499"/>
    <w:rsid w:val="00965050"/>
    <w:rsid w:val="0096527C"/>
    <w:rsid w:val="009654AF"/>
    <w:rsid w:val="00965D4F"/>
    <w:rsid w:val="00965FFD"/>
    <w:rsid w:val="009661AB"/>
    <w:rsid w:val="009663CC"/>
    <w:rsid w:val="00966511"/>
    <w:rsid w:val="00966598"/>
    <w:rsid w:val="009668BF"/>
    <w:rsid w:val="009669CD"/>
    <w:rsid w:val="00966B9F"/>
    <w:rsid w:val="00966BE7"/>
    <w:rsid w:val="00966CFF"/>
    <w:rsid w:val="00967169"/>
    <w:rsid w:val="00967793"/>
    <w:rsid w:val="00967C5E"/>
    <w:rsid w:val="00967DFA"/>
    <w:rsid w:val="0097038D"/>
    <w:rsid w:val="0097047C"/>
    <w:rsid w:val="00970627"/>
    <w:rsid w:val="00970C56"/>
    <w:rsid w:val="009713FE"/>
    <w:rsid w:val="00971566"/>
    <w:rsid w:val="009717E7"/>
    <w:rsid w:val="009719C1"/>
    <w:rsid w:val="00971A33"/>
    <w:rsid w:val="00971E19"/>
    <w:rsid w:val="00972166"/>
    <w:rsid w:val="00972484"/>
    <w:rsid w:val="009725CE"/>
    <w:rsid w:val="009726C7"/>
    <w:rsid w:val="00972B9C"/>
    <w:rsid w:val="00972DAD"/>
    <w:rsid w:val="00973047"/>
    <w:rsid w:val="009734E7"/>
    <w:rsid w:val="00973659"/>
    <w:rsid w:val="00973873"/>
    <w:rsid w:val="0097396C"/>
    <w:rsid w:val="00973CB8"/>
    <w:rsid w:val="00973D52"/>
    <w:rsid w:val="00973E9B"/>
    <w:rsid w:val="00974630"/>
    <w:rsid w:val="0097497C"/>
    <w:rsid w:val="009749D0"/>
    <w:rsid w:val="00974A0D"/>
    <w:rsid w:val="00974A7F"/>
    <w:rsid w:val="00974BEC"/>
    <w:rsid w:val="009752D5"/>
    <w:rsid w:val="00975374"/>
    <w:rsid w:val="009756A8"/>
    <w:rsid w:val="009756DC"/>
    <w:rsid w:val="009757C3"/>
    <w:rsid w:val="009758A9"/>
    <w:rsid w:val="009759E3"/>
    <w:rsid w:val="00975A47"/>
    <w:rsid w:val="00975C97"/>
    <w:rsid w:val="00975DBE"/>
    <w:rsid w:val="00975E26"/>
    <w:rsid w:val="00976086"/>
    <w:rsid w:val="0097630B"/>
    <w:rsid w:val="00976695"/>
    <w:rsid w:val="00976DE8"/>
    <w:rsid w:val="00976ECC"/>
    <w:rsid w:val="00977123"/>
    <w:rsid w:val="00977124"/>
    <w:rsid w:val="009778AE"/>
    <w:rsid w:val="00977A07"/>
    <w:rsid w:val="00977E4D"/>
    <w:rsid w:val="00977EC1"/>
    <w:rsid w:val="00980088"/>
    <w:rsid w:val="009802BE"/>
    <w:rsid w:val="0098056F"/>
    <w:rsid w:val="0098061A"/>
    <w:rsid w:val="009806D0"/>
    <w:rsid w:val="00980797"/>
    <w:rsid w:val="00980A1D"/>
    <w:rsid w:val="00981022"/>
    <w:rsid w:val="009811B6"/>
    <w:rsid w:val="009812A4"/>
    <w:rsid w:val="00981674"/>
    <w:rsid w:val="00981BC6"/>
    <w:rsid w:val="00981D7F"/>
    <w:rsid w:val="0098227B"/>
    <w:rsid w:val="00982413"/>
    <w:rsid w:val="009826E4"/>
    <w:rsid w:val="00982906"/>
    <w:rsid w:val="00983300"/>
    <w:rsid w:val="009834C6"/>
    <w:rsid w:val="0098358B"/>
    <w:rsid w:val="00983722"/>
    <w:rsid w:val="009837CE"/>
    <w:rsid w:val="0098382E"/>
    <w:rsid w:val="009838B0"/>
    <w:rsid w:val="00983BB5"/>
    <w:rsid w:val="00984296"/>
    <w:rsid w:val="009844E3"/>
    <w:rsid w:val="00984774"/>
    <w:rsid w:val="009849B1"/>
    <w:rsid w:val="00984D06"/>
    <w:rsid w:val="00984DAA"/>
    <w:rsid w:val="00985131"/>
    <w:rsid w:val="00985477"/>
    <w:rsid w:val="009854D3"/>
    <w:rsid w:val="00985B7F"/>
    <w:rsid w:val="00985BFA"/>
    <w:rsid w:val="00985C85"/>
    <w:rsid w:val="00985D06"/>
    <w:rsid w:val="009865AD"/>
    <w:rsid w:val="009867A0"/>
    <w:rsid w:val="0098699F"/>
    <w:rsid w:val="0098791E"/>
    <w:rsid w:val="00987C10"/>
    <w:rsid w:val="00987DC9"/>
    <w:rsid w:val="00987E8F"/>
    <w:rsid w:val="009901E7"/>
    <w:rsid w:val="00990290"/>
    <w:rsid w:val="00990368"/>
    <w:rsid w:val="0099071D"/>
    <w:rsid w:val="00991E59"/>
    <w:rsid w:val="009920E3"/>
    <w:rsid w:val="0099210B"/>
    <w:rsid w:val="009924F0"/>
    <w:rsid w:val="00992997"/>
    <w:rsid w:val="009937D3"/>
    <w:rsid w:val="00993984"/>
    <w:rsid w:val="00994057"/>
    <w:rsid w:val="00994286"/>
    <w:rsid w:val="009943CB"/>
    <w:rsid w:val="00994411"/>
    <w:rsid w:val="009945AF"/>
    <w:rsid w:val="00994634"/>
    <w:rsid w:val="0099470F"/>
    <w:rsid w:val="00994BAE"/>
    <w:rsid w:val="00994F46"/>
    <w:rsid w:val="00995077"/>
    <w:rsid w:val="0099534F"/>
    <w:rsid w:val="0099537E"/>
    <w:rsid w:val="00995FF5"/>
    <w:rsid w:val="00996319"/>
    <w:rsid w:val="00996492"/>
    <w:rsid w:val="009964E2"/>
    <w:rsid w:val="0099673D"/>
    <w:rsid w:val="00996B27"/>
    <w:rsid w:val="00996D56"/>
    <w:rsid w:val="00997CBE"/>
    <w:rsid w:val="009A0037"/>
    <w:rsid w:val="009A08FE"/>
    <w:rsid w:val="009A0CB4"/>
    <w:rsid w:val="009A17FB"/>
    <w:rsid w:val="009A18C3"/>
    <w:rsid w:val="009A191D"/>
    <w:rsid w:val="009A19FA"/>
    <w:rsid w:val="009A1E12"/>
    <w:rsid w:val="009A311B"/>
    <w:rsid w:val="009A32C9"/>
    <w:rsid w:val="009A36F7"/>
    <w:rsid w:val="009A3BEB"/>
    <w:rsid w:val="009A3C7B"/>
    <w:rsid w:val="009A4150"/>
    <w:rsid w:val="009A43FD"/>
    <w:rsid w:val="009A4A1D"/>
    <w:rsid w:val="009A4E04"/>
    <w:rsid w:val="009A4FE4"/>
    <w:rsid w:val="009A5678"/>
    <w:rsid w:val="009A5751"/>
    <w:rsid w:val="009A583C"/>
    <w:rsid w:val="009A58B2"/>
    <w:rsid w:val="009A5D84"/>
    <w:rsid w:val="009A60D8"/>
    <w:rsid w:val="009A6100"/>
    <w:rsid w:val="009A65CC"/>
    <w:rsid w:val="009A6671"/>
    <w:rsid w:val="009A676E"/>
    <w:rsid w:val="009A6C95"/>
    <w:rsid w:val="009A6CE5"/>
    <w:rsid w:val="009A7166"/>
    <w:rsid w:val="009A719F"/>
    <w:rsid w:val="009A72FC"/>
    <w:rsid w:val="009A7810"/>
    <w:rsid w:val="009A79ED"/>
    <w:rsid w:val="009B01E3"/>
    <w:rsid w:val="009B02F4"/>
    <w:rsid w:val="009B03E6"/>
    <w:rsid w:val="009B088B"/>
    <w:rsid w:val="009B08A9"/>
    <w:rsid w:val="009B097D"/>
    <w:rsid w:val="009B0E7C"/>
    <w:rsid w:val="009B1151"/>
    <w:rsid w:val="009B159B"/>
    <w:rsid w:val="009B163D"/>
    <w:rsid w:val="009B18A7"/>
    <w:rsid w:val="009B22E6"/>
    <w:rsid w:val="009B2898"/>
    <w:rsid w:val="009B2949"/>
    <w:rsid w:val="009B2AF2"/>
    <w:rsid w:val="009B2AF4"/>
    <w:rsid w:val="009B2FB6"/>
    <w:rsid w:val="009B317B"/>
    <w:rsid w:val="009B34C7"/>
    <w:rsid w:val="009B35CD"/>
    <w:rsid w:val="009B386E"/>
    <w:rsid w:val="009B3E33"/>
    <w:rsid w:val="009B3F8F"/>
    <w:rsid w:val="009B43CA"/>
    <w:rsid w:val="009B44B9"/>
    <w:rsid w:val="009B473F"/>
    <w:rsid w:val="009B4B40"/>
    <w:rsid w:val="009B4CF4"/>
    <w:rsid w:val="009B5104"/>
    <w:rsid w:val="009B5713"/>
    <w:rsid w:val="009B5AD1"/>
    <w:rsid w:val="009B621E"/>
    <w:rsid w:val="009B6B1C"/>
    <w:rsid w:val="009B6CA0"/>
    <w:rsid w:val="009B6FF9"/>
    <w:rsid w:val="009B70CF"/>
    <w:rsid w:val="009B71F5"/>
    <w:rsid w:val="009B722F"/>
    <w:rsid w:val="009B72B0"/>
    <w:rsid w:val="009B72CE"/>
    <w:rsid w:val="009C022D"/>
    <w:rsid w:val="009C0245"/>
    <w:rsid w:val="009C0AC2"/>
    <w:rsid w:val="009C0B73"/>
    <w:rsid w:val="009C0DFC"/>
    <w:rsid w:val="009C0E59"/>
    <w:rsid w:val="009C15AC"/>
    <w:rsid w:val="009C1AD3"/>
    <w:rsid w:val="009C2204"/>
    <w:rsid w:val="009C24E1"/>
    <w:rsid w:val="009C2696"/>
    <w:rsid w:val="009C2A3F"/>
    <w:rsid w:val="009C2A92"/>
    <w:rsid w:val="009C2B18"/>
    <w:rsid w:val="009C2D49"/>
    <w:rsid w:val="009C2D78"/>
    <w:rsid w:val="009C332F"/>
    <w:rsid w:val="009C3688"/>
    <w:rsid w:val="009C3E8C"/>
    <w:rsid w:val="009C4106"/>
    <w:rsid w:val="009C41CC"/>
    <w:rsid w:val="009C4268"/>
    <w:rsid w:val="009C4631"/>
    <w:rsid w:val="009C4B1A"/>
    <w:rsid w:val="009C4C72"/>
    <w:rsid w:val="009C4C78"/>
    <w:rsid w:val="009C4FC1"/>
    <w:rsid w:val="009C54D9"/>
    <w:rsid w:val="009C55B3"/>
    <w:rsid w:val="009C5963"/>
    <w:rsid w:val="009C6232"/>
    <w:rsid w:val="009C6966"/>
    <w:rsid w:val="009C6A0E"/>
    <w:rsid w:val="009C6A2C"/>
    <w:rsid w:val="009C6C76"/>
    <w:rsid w:val="009C6FF8"/>
    <w:rsid w:val="009C70DC"/>
    <w:rsid w:val="009C7187"/>
    <w:rsid w:val="009C739E"/>
    <w:rsid w:val="009C7447"/>
    <w:rsid w:val="009C7A5C"/>
    <w:rsid w:val="009C7A61"/>
    <w:rsid w:val="009C7B7E"/>
    <w:rsid w:val="009C7C2E"/>
    <w:rsid w:val="009C7ED1"/>
    <w:rsid w:val="009C7EF3"/>
    <w:rsid w:val="009D0317"/>
    <w:rsid w:val="009D0A5C"/>
    <w:rsid w:val="009D0A99"/>
    <w:rsid w:val="009D0E73"/>
    <w:rsid w:val="009D19F9"/>
    <w:rsid w:val="009D1A6C"/>
    <w:rsid w:val="009D21F3"/>
    <w:rsid w:val="009D2282"/>
    <w:rsid w:val="009D2551"/>
    <w:rsid w:val="009D26A5"/>
    <w:rsid w:val="009D2C07"/>
    <w:rsid w:val="009D2C6F"/>
    <w:rsid w:val="009D3B21"/>
    <w:rsid w:val="009D3BDB"/>
    <w:rsid w:val="009D3E49"/>
    <w:rsid w:val="009D457B"/>
    <w:rsid w:val="009D483E"/>
    <w:rsid w:val="009D4A70"/>
    <w:rsid w:val="009D4BF2"/>
    <w:rsid w:val="009D4CFD"/>
    <w:rsid w:val="009D5227"/>
    <w:rsid w:val="009D5387"/>
    <w:rsid w:val="009D5985"/>
    <w:rsid w:val="009D5BA1"/>
    <w:rsid w:val="009D5CD6"/>
    <w:rsid w:val="009D5F67"/>
    <w:rsid w:val="009D601F"/>
    <w:rsid w:val="009D6266"/>
    <w:rsid w:val="009D6820"/>
    <w:rsid w:val="009D6EEA"/>
    <w:rsid w:val="009D6F56"/>
    <w:rsid w:val="009D7261"/>
    <w:rsid w:val="009D72F9"/>
    <w:rsid w:val="009D7A63"/>
    <w:rsid w:val="009D7DE9"/>
    <w:rsid w:val="009D7FB6"/>
    <w:rsid w:val="009D7FD6"/>
    <w:rsid w:val="009E009B"/>
    <w:rsid w:val="009E014B"/>
    <w:rsid w:val="009E0BDC"/>
    <w:rsid w:val="009E134F"/>
    <w:rsid w:val="009E16A1"/>
    <w:rsid w:val="009E19F6"/>
    <w:rsid w:val="009E1C18"/>
    <w:rsid w:val="009E1DC4"/>
    <w:rsid w:val="009E1EE0"/>
    <w:rsid w:val="009E1F88"/>
    <w:rsid w:val="009E203F"/>
    <w:rsid w:val="009E2087"/>
    <w:rsid w:val="009E2088"/>
    <w:rsid w:val="009E2175"/>
    <w:rsid w:val="009E2401"/>
    <w:rsid w:val="009E275C"/>
    <w:rsid w:val="009E27BE"/>
    <w:rsid w:val="009E2AD9"/>
    <w:rsid w:val="009E3385"/>
    <w:rsid w:val="009E34AE"/>
    <w:rsid w:val="009E3506"/>
    <w:rsid w:val="009E3570"/>
    <w:rsid w:val="009E3589"/>
    <w:rsid w:val="009E36A0"/>
    <w:rsid w:val="009E465C"/>
    <w:rsid w:val="009E48E5"/>
    <w:rsid w:val="009E48EB"/>
    <w:rsid w:val="009E4AA8"/>
    <w:rsid w:val="009E4D0E"/>
    <w:rsid w:val="009E5180"/>
    <w:rsid w:val="009E5380"/>
    <w:rsid w:val="009E55B2"/>
    <w:rsid w:val="009E58BD"/>
    <w:rsid w:val="009E5AB0"/>
    <w:rsid w:val="009E5C2A"/>
    <w:rsid w:val="009E6017"/>
    <w:rsid w:val="009E65B9"/>
    <w:rsid w:val="009E66BC"/>
    <w:rsid w:val="009E677C"/>
    <w:rsid w:val="009E6ABC"/>
    <w:rsid w:val="009E708B"/>
    <w:rsid w:val="009E71AD"/>
    <w:rsid w:val="009E720E"/>
    <w:rsid w:val="009E72CC"/>
    <w:rsid w:val="009E7AF4"/>
    <w:rsid w:val="009E7CFF"/>
    <w:rsid w:val="009E7EAF"/>
    <w:rsid w:val="009E7EC6"/>
    <w:rsid w:val="009E7F33"/>
    <w:rsid w:val="009F0CDA"/>
    <w:rsid w:val="009F0FF8"/>
    <w:rsid w:val="009F1267"/>
    <w:rsid w:val="009F1418"/>
    <w:rsid w:val="009F179B"/>
    <w:rsid w:val="009F1A40"/>
    <w:rsid w:val="009F1CA4"/>
    <w:rsid w:val="009F229D"/>
    <w:rsid w:val="009F23EB"/>
    <w:rsid w:val="009F2510"/>
    <w:rsid w:val="009F2A71"/>
    <w:rsid w:val="009F2CEC"/>
    <w:rsid w:val="009F3178"/>
    <w:rsid w:val="009F3412"/>
    <w:rsid w:val="009F37B5"/>
    <w:rsid w:val="009F3AD4"/>
    <w:rsid w:val="009F3D4E"/>
    <w:rsid w:val="009F4407"/>
    <w:rsid w:val="009F47AD"/>
    <w:rsid w:val="009F4DC0"/>
    <w:rsid w:val="009F4E16"/>
    <w:rsid w:val="009F502C"/>
    <w:rsid w:val="009F50A5"/>
    <w:rsid w:val="009F5151"/>
    <w:rsid w:val="009F5AC0"/>
    <w:rsid w:val="009F5C5F"/>
    <w:rsid w:val="009F5C61"/>
    <w:rsid w:val="009F5F03"/>
    <w:rsid w:val="009F60FB"/>
    <w:rsid w:val="009F6722"/>
    <w:rsid w:val="009F69B9"/>
    <w:rsid w:val="009F6E67"/>
    <w:rsid w:val="009F6EB3"/>
    <w:rsid w:val="009F7915"/>
    <w:rsid w:val="009F7B27"/>
    <w:rsid w:val="009F7F65"/>
    <w:rsid w:val="00A00529"/>
    <w:rsid w:val="00A0098F"/>
    <w:rsid w:val="00A00D88"/>
    <w:rsid w:val="00A01304"/>
    <w:rsid w:val="00A01714"/>
    <w:rsid w:val="00A0171B"/>
    <w:rsid w:val="00A01CAF"/>
    <w:rsid w:val="00A01CF8"/>
    <w:rsid w:val="00A01E34"/>
    <w:rsid w:val="00A02115"/>
    <w:rsid w:val="00A0215C"/>
    <w:rsid w:val="00A024B8"/>
    <w:rsid w:val="00A02667"/>
    <w:rsid w:val="00A030FC"/>
    <w:rsid w:val="00A03205"/>
    <w:rsid w:val="00A034B4"/>
    <w:rsid w:val="00A037CA"/>
    <w:rsid w:val="00A037EC"/>
    <w:rsid w:val="00A03847"/>
    <w:rsid w:val="00A03BCA"/>
    <w:rsid w:val="00A03C06"/>
    <w:rsid w:val="00A03F7B"/>
    <w:rsid w:val="00A0453A"/>
    <w:rsid w:val="00A046A3"/>
    <w:rsid w:val="00A04D4D"/>
    <w:rsid w:val="00A04E74"/>
    <w:rsid w:val="00A051A6"/>
    <w:rsid w:val="00A0544B"/>
    <w:rsid w:val="00A059B4"/>
    <w:rsid w:val="00A05D57"/>
    <w:rsid w:val="00A05FB8"/>
    <w:rsid w:val="00A066C9"/>
    <w:rsid w:val="00A06BED"/>
    <w:rsid w:val="00A07161"/>
    <w:rsid w:val="00A07717"/>
    <w:rsid w:val="00A079B5"/>
    <w:rsid w:val="00A07B83"/>
    <w:rsid w:val="00A10286"/>
    <w:rsid w:val="00A105E8"/>
    <w:rsid w:val="00A10985"/>
    <w:rsid w:val="00A10AE5"/>
    <w:rsid w:val="00A110AF"/>
    <w:rsid w:val="00A114C6"/>
    <w:rsid w:val="00A118DD"/>
    <w:rsid w:val="00A11AC5"/>
    <w:rsid w:val="00A11BC6"/>
    <w:rsid w:val="00A11D5F"/>
    <w:rsid w:val="00A11E9A"/>
    <w:rsid w:val="00A121B0"/>
    <w:rsid w:val="00A12367"/>
    <w:rsid w:val="00A124EF"/>
    <w:rsid w:val="00A1271C"/>
    <w:rsid w:val="00A12BF2"/>
    <w:rsid w:val="00A12C60"/>
    <w:rsid w:val="00A12DE6"/>
    <w:rsid w:val="00A12FF3"/>
    <w:rsid w:val="00A13154"/>
    <w:rsid w:val="00A13448"/>
    <w:rsid w:val="00A138AD"/>
    <w:rsid w:val="00A1462A"/>
    <w:rsid w:val="00A14737"/>
    <w:rsid w:val="00A1478E"/>
    <w:rsid w:val="00A1495C"/>
    <w:rsid w:val="00A149E6"/>
    <w:rsid w:val="00A14C95"/>
    <w:rsid w:val="00A14F77"/>
    <w:rsid w:val="00A14F8D"/>
    <w:rsid w:val="00A15090"/>
    <w:rsid w:val="00A1513E"/>
    <w:rsid w:val="00A155BB"/>
    <w:rsid w:val="00A15638"/>
    <w:rsid w:val="00A15F5E"/>
    <w:rsid w:val="00A15F91"/>
    <w:rsid w:val="00A15FBC"/>
    <w:rsid w:val="00A15FD9"/>
    <w:rsid w:val="00A160B8"/>
    <w:rsid w:val="00A167F5"/>
    <w:rsid w:val="00A16AE5"/>
    <w:rsid w:val="00A16DD1"/>
    <w:rsid w:val="00A173CC"/>
    <w:rsid w:val="00A17500"/>
    <w:rsid w:val="00A1785F"/>
    <w:rsid w:val="00A17AFE"/>
    <w:rsid w:val="00A17F50"/>
    <w:rsid w:val="00A202ED"/>
    <w:rsid w:val="00A20AEA"/>
    <w:rsid w:val="00A20B3E"/>
    <w:rsid w:val="00A20B90"/>
    <w:rsid w:val="00A20BB9"/>
    <w:rsid w:val="00A210D8"/>
    <w:rsid w:val="00A21508"/>
    <w:rsid w:val="00A21BA3"/>
    <w:rsid w:val="00A21EC1"/>
    <w:rsid w:val="00A22495"/>
    <w:rsid w:val="00A224AE"/>
    <w:rsid w:val="00A2255C"/>
    <w:rsid w:val="00A2257B"/>
    <w:rsid w:val="00A225DC"/>
    <w:rsid w:val="00A228DC"/>
    <w:rsid w:val="00A228EF"/>
    <w:rsid w:val="00A22B95"/>
    <w:rsid w:val="00A22C40"/>
    <w:rsid w:val="00A2390C"/>
    <w:rsid w:val="00A239CA"/>
    <w:rsid w:val="00A23A2A"/>
    <w:rsid w:val="00A23D14"/>
    <w:rsid w:val="00A23DDA"/>
    <w:rsid w:val="00A24311"/>
    <w:rsid w:val="00A24828"/>
    <w:rsid w:val="00A24BE8"/>
    <w:rsid w:val="00A24D10"/>
    <w:rsid w:val="00A24E85"/>
    <w:rsid w:val="00A24EA1"/>
    <w:rsid w:val="00A24ECF"/>
    <w:rsid w:val="00A25012"/>
    <w:rsid w:val="00A2530D"/>
    <w:rsid w:val="00A2574B"/>
    <w:rsid w:val="00A2583C"/>
    <w:rsid w:val="00A25BFB"/>
    <w:rsid w:val="00A25D37"/>
    <w:rsid w:val="00A25E0F"/>
    <w:rsid w:val="00A25FA6"/>
    <w:rsid w:val="00A2609C"/>
    <w:rsid w:val="00A262FF"/>
    <w:rsid w:val="00A2630F"/>
    <w:rsid w:val="00A265DF"/>
    <w:rsid w:val="00A26770"/>
    <w:rsid w:val="00A26A89"/>
    <w:rsid w:val="00A26D6D"/>
    <w:rsid w:val="00A27409"/>
    <w:rsid w:val="00A2776F"/>
    <w:rsid w:val="00A27899"/>
    <w:rsid w:val="00A30449"/>
    <w:rsid w:val="00A304A1"/>
    <w:rsid w:val="00A305C7"/>
    <w:rsid w:val="00A3082E"/>
    <w:rsid w:val="00A308F5"/>
    <w:rsid w:val="00A309C0"/>
    <w:rsid w:val="00A30CE6"/>
    <w:rsid w:val="00A30F5E"/>
    <w:rsid w:val="00A31196"/>
    <w:rsid w:val="00A3119C"/>
    <w:rsid w:val="00A311AD"/>
    <w:rsid w:val="00A317E2"/>
    <w:rsid w:val="00A319B6"/>
    <w:rsid w:val="00A319BC"/>
    <w:rsid w:val="00A31A4A"/>
    <w:rsid w:val="00A31C0A"/>
    <w:rsid w:val="00A31C4C"/>
    <w:rsid w:val="00A31D93"/>
    <w:rsid w:val="00A31F25"/>
    <w:rsid w:val="00A32332"/>
    <w:rsid w:val="00A32C20"/>
    <w:rsid w:val="00A32C2C"/>
    <w:rsid w:val="00A32D11"/>
    <w:rsid w:val="00A32EF3"/>
    <w:rsid w:val="00A338DA"/>
    <w:rsid w:val="00A33D39"/>
    <w:rsid w:val="00A33E06"/>
    <w:rsid w:val="00A3404D"/>
    <w:rsid w:val="00A343BC"/>
    <w:rsid w:val="00A348CD"/>
    <w:rsid w:val="00A34ACA"/>
    <w:rsid w:val="00A3507F"/>
    <w:rsid w:val="00A35184"/>
    <w:rsid w:val="00A354C9"/>
    <w:rsid w:val="00A356FA"/>
    <w:rsid w:val="00A357E2"/>
    <w:rsid w:val="00A35807"/>
    <w:rsid w:val="00A359E5"/>
    <w:rsid w:val="00A35EE4"/>
    <w:rsid w:val="00A363E2"/>
    <w:rsid w:val="00A3678C"/>
    <w:rsid w:val="00A368E7"/>
    <w:rsid w:val="00A3690E"/>
    <w:rsid w:val="00A36D3A"/>
    <w:rsid w:val="00A36E74"/>
    <w:rsid w:val="00A3721F"/>
    <w:rsid w:val="00A376E6"/>
    <w:rsid w:val="00A37984"/>
    <w:rsid w:val="00A37985"/>
    <w:rsid w:val="00A37A4B"/>
    <w:rsid w:val="00A37AC9"/>
    <w:rsid w:val="00A37D52"/>
    <w:rsid w:val="00A37EBD"/>
    <w:rsid w:val="00A4006A"/>
    <w:rsid w:val="00A4022B"/>
    <w:rsid w:val="00A4028A"/>
    <w:rsid w:val="00A40653"/>
    <w:rsid w:val="00A4067F"/>
    <w:rsid w:val="00A40A25"/>
    <w:rsid w:val="00A40C24"/>
    <w:rsid w:val="00A40F0D"/>
    <w:rsid w:val="00A41056"/>
    <w:rsid w:val="00A411B6"/>
    <w:rsid w:val="00A4149C"/>
    <w:rsid w:val="00A41F8C"/>
    <w:rsid w:val="00A42132"/>
    <w:rsid w:val="00A42594"/>
    <w:rsid w:val="00A42691"/>
    <w:rsid w:val="00A42C1E"/>
    <w:rsid w:val="00A42D59"/>
    <w:rsid w:val="00A43091"/>
    <w:rsid w:val="00A434DE"/>
    <w:rsid w:val="00A43945"/>
    <w:rsid w:val="00A439D0"/>
    <w:rsid w:val="00A43C8C"/>
    <w:rsid w:val="00A43CE7"/>
    <w:rsid w:val="00A441EA"/>
    <w:rsid w:val="00A445EF"/>
    <w:rsid w:val="00A44630"/>
    <w:rsid w:val="00A4466A"/>
    <w:rsid w:val="00A44B23"/>
    <w:rsid w:val="00A44F4F"/>
    <w:rsid w:val="00A4513F"/>
    <w:rsid w:val="00A45223"/>
    <w:rsid w:val="00A45397"/>
    <w:rsid w:val="00A453F3"/>
    <w:rsid w:val="00A455C5"/>
    <w:rsid w:val="00A45625"/>
    <w:rsid w:val="00A457CD"/>
    <w:rsid w:val="00A45B28"/>
    <w:rsid w:val="00A46091"/>
    <w:rsid w:val="00A46391"/>
    <w:rsid w:val="00A468E7"/>
    <w:rsid w:val="00A46CF9"/>
    <w:rsid w:val="00A46D4D"/>
    <w:rsid w:val="00A4768D"/>
    <w:rsid w:val="00A4781D"/>
    <w:rsid w:val="00A50494"/>
    <w:rsid w:val="00A50A0A"/>
    <w:rsid w:val="00A50DA3"/>
    <w:rsid w:val="00A50F89"/>
    <w:rsid w:val="00A51372"/>
    <w:rsid w:val="00A513B8"/>
    <w:rsid w:val="00A51441"/>
    <w:rsid w:val="00A51CB7"/>
    <w:rsid w:val="00A51F99"/>
    <w:rsid w:val="00A520F2"/>
    <w:rsid w:val="00A52611"/>
    <w:rsid w:val="00A52802"/>
    <w:rsid w:val="00A52C7A"/>
    <w:rsid w:val="00A52DCC"/>
    <w:rsid w:val="00A52DD9"/>
    <w:rsid w:val="00A530EB"/>
    <w:rsid w:val="00A53144"/>
    <w:rsid w:val="00A53819"/>
    <w:rsid w:val="00A53984"/>
    <w:rsid w:val="00A539D6"/>
    <w:rsid w:val="00A53CB5"/>
    <w:rsid w:val="00A53D29"/>
    <w:rsid w:val="00A53E58"/>
    <w:rsid w:val="00A544FE"/>
    <w:rsid w:val="00A54B3A"/>
    <w:rsid w:val="00A54B42"/>
    <w:rsid w:val="00A54D20"/>
    <w:rsid w:val="00A552D2"/>
    <w:rsid w:val="00A55981"/>
    <w:rsid w:val="00A55D6D"/>
    <w:rsid w:val="00A55FAF"/>
    <w:rsid w:val="00A55FD3"/>
    <w:rsid w:val="00A562B5"/>
    <w:rsid w:val="00A56340"/>
    <w:rsid w:val="00A564E8"/>
    <w:rsid w:val="00A568E9"/>
    <w:rsid w:val="00A56EBD"/>
    <w:rsid w:val="00A574EB"/>
    <w:rsid w:val="00A5756B"/>
    <w:rsid w:val="00A57588"/>
    <w:rsid w:val="00A5765C"/>
    <w:rsid w:val="00A5768A"/>
    <w:rsid w:val="00A57D06"/>
    <w:rsid w:val="00A57D6B"/>
    <w:rsid w:val="00A6003F"/>
    <w:rsid w:val="00A601D3"/>
    <w:rsid w:val="00A6056F"/>
    <w:rsid w:val="00A60644"/>
    <w:rsid w:val="00A609E3"/>
    <w:rsid w:val="00A60C96"/>
    <w:rsid w:val="00A60D11"/>
    <w:rsid w:val="00A60F2C"/>
    <w:rsid w:val="00A613B1"/>
    <w:rsid w:val="00A62188"/>
    <w:rsid w:val="00A625ED"/>
    <w:rsid w:val="00A62731"/>
    <w:rsid w:val="00A62986"/>
    <w:rsid w:val="00A62C5D"/>
    <w:rsid w:val="00A62CCC"/>
    <w:rsid w:val="00A63858"/>
    <w:rsid w:val="00A6386C"/>
    <w:rsid w:val="00A638B5"/>
    <w:rsid w:val="00A63D0B"/>
    <w:rsid w:val="00A63DF9"/>
    <w:rsid w:val="00A63E3A"/>
    <w:rsid w:val="00A640FC"/>
    <w:rsid w:val="00A6425E"/>
    <w:rsid w:val="00A64F1C"/>
    <w:rsid w:val="00A64FFD"/>
    <w:rsid w:val="00A6520F"/>
    <w:rsid w:val="00A65CBE"/>
    <w:rsid w:val="00A65D72"/>
    <w:rsid w:val="00A66663"/>
    <w:rsid w:val="00A6685F"/>
    <w:rsid w:val="00A669B8"/>
    <w:rsid w:val="00A66D78"/>
    <w:rsid w:val="00A6706E"/>
    <w:rsid w:val="00A671B2"/>
    <w:rsid w:val="00A671F3"/>
    <w:rsid w:val="00A6733E"/>
    <w:rsid w:val="00A673E5"/>
    <w:rsid w:val="00A67D06"/>
    <w:rsid w:val="00A67D4D"/>
    <w:rsid w:val="00A70B34"/>
    <w:rsid w:val="00A70BF9"/>
    <w:rsid w:val="00A711BE"/>
    <w:rsid w:val="00A71583"/>
    <w:rsid w:val="00A71946"/>
    <w:rsid w:val="00A71E6A"/>
    <w:rsid w:val="00A71FEF"/>
    <w:rsid w:val="00A722C7"/>
    <w:rsid w:val="00A724D9"/>
    <w:rsid w:val="00A72F92"/>
    <w:rsid w:val="00A73232"/>
    <w:rsid w:val="00A733D7"/>
    <w:rsid w:val="00A73689"/>
    <w:rsid w:val="00A73B3F"/>
    <w:rsid w:val="00A73B51"/>
    <w:rsid w:val="00A73ECE"/>
    <w:rsid w:val="00A740A3"/>
    <w:rsid w:val="00A740B0"/>
    <w:rsid w:val="00A74B08"/>
    <w:rsid w:val="00A74C31"/>
    <w:rsid w:val="00A74E6C"/>
    <w:rsid w:val="00A74F2B"/>
    <w:rsid w:val="00A752D4"/>
    <w:rsid w:val="00A7535E"/>
    <w:rsid w:val="00A7544B"/>
    <w:rsid w:val="00A7561F"/>
    <w:rsid w:val="00A75996"/>
    <w:rsid w:val="00A75BB8"/>
    <w:rsid w:val="00A76542"/>
    <w:rsid w:val="00A768A3"/>
    <w:rsid w:val="00A76A57"/>
    <w:rsid w:val="00A76CA6"/>
    <w:rsid w:val="00A76D6A"/>
    <w:rsid w:val="00A76DEE"/>
    <w:rsid w:val="00A771E7"/>
    <w:rsid w:val="00A7744B"/>
    <w:rsid w:val="00A77522"/>
    <w:rsid w:val="00A77D13"/>
    <w:rsid w:val="00A77F41"/>
    <w:rsid w:val="00A8014B"/>
    <w:rsid w:val="00A8030D"/>
    <w:rsid w:val="00A8040C"/>
    <w:rsid w:val="00A804C7"/>
    <w:rsid w:val="00A80650"/>
    <w:rsid w:val="00A80679"/>
    <w:rsid w:val="00A80739"/>
    <w:rsid w:val="00A80819"/>
    <w:rsid w:val="00A80875"/>
    <w:rsid w:val="00A80884"/>
    <w:rsid w:val="00A80B2F"/>
    <w:rsid w:val="00A810A8"/>
    <w:rsid w:val="00A810B2"/>
    <w:rsid w:val="00A8136E"/>
    <w:rsid w:val="00A813EC"/>
    <w:rsid w:val="00A81435"/>
    <w:rsid w:val="00A81518"/>
    <w:rsid w:val="00A815A3"/>
    <w:rsid w:val="00A815C3"/>
    <w:rsid w:val="00A81848"/>
    <w:rsid w:val="00A8199D"/>
    <w:rsid w:val="00A82313"/>
    <w:rsid w:val="00A823C1"/>
    <w:rsid w:val="00A8247C"/>
    <w:rsid w:val="00A8254C"/>
    <w:rsid w:val="00A82623"/>
    <w:rsid w:val="00A827C4"/>
    <w:rsid w:val="00A829FA"/>
    <w:rsid w:val="00A82A85"/>
    <w:rsid w:val="00A82B8A"/>
    <w:rsid w:val="00A82FF1"/>
    <w:rsid w:val="00A83087"/>
    <w:rsid w:val="00A831AA"/>
    <w:rsid w:val="00A835BD"/>
    <w:rsid w:val="00A83DE3"/>
    <w:rsid w:val="00A846F4"/>
    <w:rsid w:val="00A84A27"/>
    <w:rsid w:val="00A84B39"/>
    <w:rsid w:val="00A84DFE"/>
    <w:rsid w:val="00A851BD"/>
    <w:rsid w:val="00A851F0"/>
    <w:rsid w:val="00A85343"/>
    <w:rsid w:val="00A853A3"/>
    <w:rsid w:val="00A854BB"/>
    <w:rsid w:val="00A8570F"/>
    <w:rsid w:val="00A85766"/>
    <w:rsid w:val="00A86128"/>
    <w:rsid w:val="00A8612B"/>
    <w:rsid w:val="00A862BF"/>
    <w:rsid w:val="00A862F6"/>
    <w:rsid w:val="00A863B6"/>
    <w:rsid w:val="00A863E0"/>
    <w:rsid w:val="00A86682"/>
    <w:rsid w:val="00A86880"/>
    <w:rsid w:val="00A86B40"/>
    <w:rsid w:val="00A86BFC"/>
    <w:rsid w:val="00A86E9A"/>
    <w:rsid w:val="00A86FBA"/>
    <w:rsid w:val="00A87508"/>
    <w:rsid w:val="00A875F2"/>
    <w:rsid w:val="00A87817"/>
    <w:rsid w:val="00A87910"/>
    <w:rsid w:val="00A87B77"/>
    <w:rsid w:val="00A904AC"/>
    <w:rsid w:val="00A9060A"/>
    <w:rsid w:val="00A90783"/>
    <w:rsid w:val="00A90A42"/>
    <w:rsid w:val="00A90DB2"/>
    <w:rsid w:val="00A90F00"/>
    <w:rsid w:val="00A9113C"/>
    <w:rsid w:val="00A9146B"/>
    <w:rsid w:val="00A9196A"/>
    <w:rsid w:val="00A92012"/>
    <w:rsid w:val="00A92116"/>
    <w:rsid w:val="00A92E54"/>
    <w:rsid w:val="00A9316B"/>
    <w:rsid w:val="00A93C10"/>
    <w:rsid w:val="00A93C32"/>
    <w:rsid w:val="00A93ED0"/>
    <w:rsid w:val="00A93FDF"/>
    <w:rsid w:val="00A94043"/>
    <w:rsid w:val="00A941C5"/>
    <w:rsid w:val="00A943ED"/>
    <w:rsid w:val="00A9478B"/>
    <w:rsid w:val="00A948F0"/>
    <w:rsid w:val="00A949DB"/>
    <w:rsid w:val="00A94A34"/>
    <w:rsid w:val="00A95004"/>
    <w:rsid w:val="00A953CC"/>
    <w:rsid w:val="00A95929"/>
    <w:rsid w:val="00A95A2A"/>
    <w:rsid w:val="00A95A5A"/>
    <w:rsid w:val="00A95A83"/>
    <w:rsid w:val="00A95B32"/>
    <w:rsid w:val="00A95DF0"/>
    <w:rsid w:val="00A962A4"/>
    <w:rsid w:val="00A96424"/>
    <w:rsid w:val="00A96456"/>
    <w:rsid w:val="00A969BF"/>
    <w:rsid w:val="00A96A9D"/>
    <w:rsid w:val="00A974BB"/>
    <w:rsid w:val="00A97508"/>
    <w:rsid w:val="00A97961"/>
    <w:rsid w:val="00A97B50"/>
    <w:rsid w:val="00AA0121"/>
    <w:rsid w:val="00AA0268"/>
    <w:rsid w:val="00AA08E3"/>
    <w:rsid w:val="00AA094A"/>
    <w:rsid w:val="00AA0E2B"/>
    <w:rsid w:val="00AA0EB9"/>
    <w:rsid w:val="00AA1075"/>
    <w:rsid w:val="00AA170D"/>
    <w:rsid w:val="00AA1809"/>
    <w:rsid w:val="00AA194B"/>
    <w:rsid w:val="00AA1AAB"/>
    <w:rsid w:val="00AA217C"/>
    <w:rsid w:val="00AA225E"/>
    <w:rsid w:val="00AA2382"/>
    <w:rsid w:val="00AA26AE"/>
    <w:rsid w:val="00AA26CC"/>
    <w:rsid w:val="00AA2E6A"/>
    <w:rsid w:val="00AA2F5A"/>
    <w:rsid w:val="00AA2FA5"/>
    <w:rsid w:val="00AA3635"/>
    <w:rsid w:val="00AA3704"/>
    <w:rsid w:val="00AA390E"/>
    <w:rsid w:val="00AA3E01"/>
    <w:rsid w:val="00AA41E7"/>
    <w:rsid w:val="00AA4242"/>
    <w:rsid w:val="00AA42F2"/>
    <w:rsid w:val="00AA4344"/>
    <w:rsid w:val="00AA4702"/>
    <w:rsid w:val="00AA4899"/>
    <w:rsid w:val="00AA4D13"/>
    <w:rsid w:val="00AA4E19"/>
    <w:rsid w:val="00AA4F2E"/>
    <w:rsid w:val="00AA4F3E"/>
    <w:rsid w:val="00AA4FC6"/>
    <w:rsid w:val="00AA5219"/>
    <w:rsid w:val="00AA5911"/>
    <w:rsid w:val="00AA5C21"/>
    <w:rsid w:val="00AA5C4A"/>
    <w:rsid w:val="00AA60A1"/>
    <w:rsid w:val="00AA6367"/>
    <w:rsid w:val="00AA63AA"/>
    <w:rsid w:val="00AA63D2"/>
    <w:rsid w:val="00AA6893"/>
    <w:rsid w:val="00AA6AE9"/>
    <w:rsid w:val="00AA6C18"/>
    <w:rsid w:val="00AA6D67"/>
    <w:rsid w:val="00AA6F46"/>
    <w:rsid w:val="00AA7002"/>
    <w:rsid w:val="00AA72CF"/>
    <w:rsid w:val="00AA7A05"/>
    <w:rsid w:val="00AB015C"/>
    <w:rsid w:val="00AB0569"/>
    <w:rsid w:val="00AB06A2"/>
    <w:rsid w:val="00AB091B"/>
    <w:rsid w:val="00AB0D93"/>
    <w:rsid w:val="00AB0FB0"/>
    <w:rsid w:val="00AB0FF4"/>
    <w:rsid w:val="00AB103B"/>
    <w:rsid w:val="00AB132C"/>
    <w:rsid w:val="00AB152A"/>
    <w:rsid w:val="00AB157E"/>
    <w:rsid w:val="00AB18C2"/>
    <w:rsid w:val="00AB1FFB"/>
    <w:rsid w:val="00AB2031"/>
    <w:rsid w:val="00AB23F4"/>
    <w:rsid w:val="00AB2A29"/>
    <w:rsid w:val="00AB2B11"/>
    <w:rsid w:val="00AB309F"/>
    <w:rsid w:val="00AB33B6"/>
    <w:rsid w:val="00AB3598"/>
    <w:rsid w:val="00AB37BB"/>
    <w:rsid w:val="00AB3B26"/>
    <w:rsid w:val="00AB3E57"/>
    <w:rsid w:val="00AB403C"/>
    <w:rsid w:val="00AB40DD"/>
    <w:rsid w:val="00AB4278"/>
    <w:rsid w:val="00AB4508"/>
    <w:rsid w:val="00AB482D"/>
    <w:rsid w:val="00AB48E1"/>
    <w:rsid w:val="00AB4B3A"/>
    <w:rsid w:val="00AB4BE9"/>
    <w:rsid w:val="00AB4DB4"/>
    <w:rsid w:val="00AB4DF7"/>
    <w:rsid w:val="00AB5066"/>
    <w:rsid w:val="00AB5809"/>
    <w:rsid w:val="00AB5895"/>
    <w:rsid w:val="00AB58C2"/>
    <w:rsid w:val="00AB5E75"/>
    <w:rsid w:val="00AB5FC2"/>
    <w:rsid w:val="00AB620A"/>
    <w:rsid w:val="00AB641A"/>
    <w:rsid w:val="00AB6584"/>
    <w:rsid w:val="00AB68B6"/>
    <w:rsid w:val="00AB733D"/>
    <w:rsid w:val="00AB7378"/>
    <w:rsid w:val="00AB743B"/>
    <w:rsid w:val="00AB78CD"/>
    <w:rsid w:val="00AB792A"/>
    <w:rsid w:val="00AB797A"/>
    <w:rsid w:val="00AB7D20"/>
    <w:rsid w:val="00AB7E72"/>
    <w:rsid w:val="00AC0202"/>
    <w:rsid w:val="00AC0218"/>
    <w:rsid w:val="00AC021D"/>
    <w:rsid w:val="00AC0DF3"/>
    <w:rsid w:val="00AC15C7"/>
    <w:rsid w:val="00AC15D5"/>
    <w:rsid w:val="00AC1AF7"/>
    <w:rsid w:val="00AC1EDA"/>
    <w:rsid w:val="00AC2804"/>
    <w:rsid w:val="00AC29F8"/>
    <w:rsid w:val="00AC2C64"/>
    <w:rsid w:val="00AC34BD"/>
    <w:rsid w:val="00AC34F4"/>
    <w:rsid w:val="00AC3C7A"/>
    <w:rsid w:val="00AC3C8B"/>
    <w:rsid w:val="00AC3E8A"/>
    <w:rsid w:val="00AC403A"/>
    <w:rsid w:val="00AC45AF"/>
    <w:rsid w:val="00AC4921"/>
    <w:rsid w:val="00AC4C0B"/>
    <w:rsid w:val="00AC4E36"/>
    <w:rsid w:val="00AC521D"/>
    <w:rsid w:val="00AC57C5"/>
    <w:rsid w:val="00AC59C2"/>
    <w:rsid w:val="00AC5A23"/>
    <w:rsid w:val="00AC5BB8"/>
    <w:rsid w:val="00AC60E9"/>
    <w:rsid w:val="00AC63E2"/>
    <w:rsid w:val="00AC6671"/>
    <w:rsid w:val="00AC75A7"/>
    <w:rsid w:val="00AC7B02"/>
    <w:rsid w:val="00AC7E3A"/>
    <w:rsid w:val="00AD00E6"/>
    <w:rsid w:val="00AD02AF"/>
    <w:rsid w:val="00AD03CF"/>
    <w:rsid w:val="00AD0493"/>
    <w:rsid w:val="00AD0530"/>
    <w:rsid w:val="00AD055C"/>
    <w:rsid w:val="00AD056B"/>
    <w:rsid w:val="00AD06C3"/>
    <w:rsid w:val="00AD0911"/>
    <w:rsid w:val="00AD1023"/>
    <w:rsid w:val="00AD11D4"/>
    <w:rsid w:val="00AD11FA"/>
    <w:rsid w:val="00AD1204"/>
    <w:rsid w:val="00AD139A"/>
    <w:rsid w:val="00AD14C6"/>
    <w:rsid w:val="00AD15EE"/>
    <w:rsid w:val="00AD173A"/>
    <w:rsid w:val="00AD1801"/>
    <w:rsid w:val="00AD1E90"/>
    <w:rsid w:val="00AD1F8F"/>
    <w:rsid w:val="00AD204F"/>
    <w:rsid w:val="00AD2118"/>
    <w:rsid w:val="00AD2252"/>
    <w:rsid w:val="00AD23B5"/>
    <w:rsid w:val="00AD283C"/>
    <w:rsid w:val="00AD29D9"/>
    <w:rsid w:val="00AD2AB0"/>
    <w:rsid w:val="00AD2AFB"/>
    <w:rsid w:val="00AD2C41"/>
    <w:rsid w:val="00AD2FF3"/>
    <w:rsid w:val="00AD3371"/>
    <w:rsid w:val="00AD35D7"/>
    <w:rsid w:val="00AD4204"/>
    <w:rsid w:val="00AD44EF"/>
    <w:rsid w:val="00AD4DD7"/>
    <w:rsid w:val="00AD507F"/>
    <w:rsid w:val="00AD51FD"/>
    <w:rsid w:val="00AD550E"/>
    <w:rsid w:val="00AD579F"/>
    <w:rsid w:val="00AD59B0"/>
    <w:rsid w:val="00AD5D13"/>
    <w:rsid w:val="00AD5F2F"/>
    <w:rsid w:val="00AD615A"/>
    <w:rsid w:val="00AD62AB"/>
    <w:rsid w:val="00AD658E"/>
    <w:rsid w:val="00AD6E7C"/>
    <w:rsid w:val="00AD752B"/>
    <w:rsid w:val="00AE05E2"/>
    <w:rsid w:val="00AE0A60"/>
    <w:rsid w:val="00AE0FC2"/>
    <w:rsid w:val="00AE1710"/>
    <w:rsid w:val="00AE1A9F"/>
    <w:rsid w:val="00AE1B44"/>
    <w:rsid w:val="00AE1D35"/>
    <w:rsid w:val="00AE1FB1"/>
    <w:rsid w:val="00AE27DE"/>
    <w:rsid w:val="00AE2AEE"/>
    <w:rsid w:val="00AE30C8"/>
    <w:rsid w:val="00AE32CD"/>
    <w:rsid w:val="00AE428C"/>
    <w:rsid w:val="00AE44C3"/>
    <w:rsid w:val="00AE4B21"/>
    <w:rsid w:val="00AE4F58"/>
    <w:rsid w:val="00AE5C10"/>
    <w:rsid w:val="00AE5D9C"/>
    <w:rsid w:val="00AE5EBB"/>
    <w:rsid w:val="00AE6012"/>
    <w:rsid w:val="00AE6095"/>
    <w:rsid w:val="00AE6229"/>
    <w:rsid w:val="00AE62CD"/>
    <w:rsid w:val="00AE68E2"/>
    <w:rsid w:val="00AE6ADF"/>
    <w:rsid w:val="00AE703D"/>
    <w:rsid w:val="00AE7075"/>
    <w:rsid w:val="00AE7203"/>
    <w:rsid w:val="00AE7480"/>
    <w:rsid w:val="00AF005D"/>
    <w:rsid w:val="00AF041E"/>
    <w:rsid w:val="00AF047A"/>
    <w:rsid w:val="00AF04ED"/>
    <w:rsid w:val="00AF0690"/>
    <w:rsid w:val="00AF0787"/>
    <w:rsid w:val="00AF0AAE"/>
    <w:rsid w:val="00AF0B3E"/>
    <w:rsid w:val="00AF0B46"/>
    <w:rsid w:val="00AF1C33"/>
    <w:rsid w:val="00AF1E90"/>
    <w:rsid w:val="00AF1F2C"/>
    <w:rsid w:val="00AF215B"/>
    <w:rsid w:val="00AF21E9"/>
    <w:rsid w:val="00AF2397"/>
    <w:rsid w:val="00AF26FB"/>
    <w:rsid w:val="00AF271D"/>
    <w:rsid w:val="00AF2D3C"/>
    <w:rsid w:val="00AF2E8C"/>
    <w:rsid w:val="00AF3309"/>
    <w:rsid w:val="00AF3761"/>
    <w:rsid w:val="00AF379D"/>
    <w:rsid w:val="00AF37E8"/>
    <w:rsid w:val="00AF3810"/>
    <w:rsid w:val="00AF39CE"/>
    <w:rsid w:val="00AF39FF"/>
    <w:rsid w:val="00AF3E81"/>
    <w:rsid w:val="00AF42E4"/>
    <w:rsid w:val="00AF43D5"/>
    <w:rsid w:val="00AF4654"/>
    <w:rsid w:val="00AF4661"/>
    <w:rsid w:val="00AF47E7"/>
    <w:rsid w:val="00AF4A5F"/>
    <w:rsid w:val="00AF4C40"/>
    <w:rsid w:val="00AF4E7A"/>
    <w:rsid w:val="00AF4F56"/>
    <w:rsid w:val="00AF50DA"/>
    <w:rsid w:val="00AF554E"/>
    <w:rsid w:val="00AF5A12"/>
    <w:rsid w:val="00AF5CAA"/>
    <w:rsid w:val="00AF5DB7"/>
    <w:rsid w:val="00AF5F65"/>
    <w:rsid w:val="00AF6BEE"/>
    <w:rsid w:val="00AF6D72"/>
    <w:rsid w:val="00AF6F1F"/>
    <w:rsid w:val="00AF6F55"/>
    <w:rsid w:val="00AF6F57"/>
    <w:rsid w:val="00AF74FE"/>
    <w:rsid w:val="00AF7A9D"/>
    <w:rsid w:val="00B005C4"/>
    <w:rsid w:val="00B0065B"/>
    <w:rsid w:val="00B00F85"/>
    <w:rsid w:val="00B00FBC"/>
    <w:rsid w:val="00B012F4"/>
    <w:rsid w:val="00B013DC"/>
    <w:rsid w:val="00B014A4"/>
    <w:rsid w:val="00B014D4"/>
    <w:rsid w:val="00B016B8"/>
    <w:rsid w:val="00B01E79"/>
    <w:rsid w:val="00B01F39"/>
    <w:rsid w:val="00B0200D"/>
    <w:rsid w:val="00B02A88"/>
    <w:rsid w:val="00B02B79"/>
    <w:rsid w:val="00B02E77"/>
    <w:rsid w:val="00B030C6"/>
    <w:rsid w:val="00B036B1"/>
    <w:rsid w:val="00B03A5D"/>
    <w:rsid w:val="00B03C90"/>
    <w:rsid w:val="00B03CB1"/>
    <w:rsid w:val="00B03F6E"/>
    <w:rsid w:val="00B0409E"/>
    <w:rsid w:val="00B04BAD"/>
    <w:rsid w:val="00B04DFC"/>
    <w:rsid w:val="00B0531C"/>
    <w:rsid w:val="00B054EA"/>
    <w:rsid w:val="00B055E2"/>
    <w:rsid w:val="00B05722"/>
    <w:rsid w:val="00B05852"/>
    <w:rsid w:val="00B05C41"/>
    <w:rsid w:val="00B05ED5"/>
    <w:rsid w:val="00B06713"/>
    <w:rsid w:val="00B06C72"/>
    <w:rsid w:val="00B07263"/>
    <w:rsid w:val="00B0735F"/>
    <w:rsid w:val="00B0746F"/>
    <w:rsid w:val="00B07AD9"/>
    <w:rsid w:val="00B07D7C"/>
    <w:rsid w:val="00B108C5"/>
    <w:rsid w:val="00B10AF0"/>
    <w:rsid w:val="00B10C85"/>
    <w:rsid w:val="00B113F6"/>
    <w:rsid w:val="00B117C6"/>
    <w:rsid w:val="00B1193F"/>
    <w:rsid w:val="00B1194A"/>
    <w:rsid w:val="00B11D5D"/>
    <w:rsid w:val="00B11E41"/>
    <w:rsid w:val="00B11E4E"/>
    <w:rsid w:val="00B11F75"/>
    <w:rsid w:val="00B12100"/>
    <w:rsid w:val="00B12889"/>
    <w:rsid w:val="00B12AAA"/>
    <w:rsid w:val="00B12BBB"/>
    <w:rsid w:val="00B13141"/>
    <w:rsid w:val="00B131F5"/>
    <w:rsid w:val="00B13276"/>
    <w:rsid w:val="00B13331"/>
    <w:rsid w:val="00B134C5"/>
    <w:rsid w:val="00B13783"/>
    <w:rsid w:val="00B13A66"/>
    <w:rsid w:val="00B13B7E"/>
    <w:rsid w:val="00B13E4A"/>
    <w:rsid w:val="00B13E87"/>
    <w:rsid w:val="00B141B3"/>
    <w:rsid w:val="00B1424B"/>
    <w:rsid w:val="00B143DF"/>
    <w:rsid w:val="00B14BBB"/>
    <w:rsid w:val="00B14BD2"/>
    <w:rsid w:val="00B15036"/>
    <w:rsid w:val="00B15321"/>
    <w:rsid w:val="00B15452"/>
    <w:rsid w:val="00B1561D"/>
    <w:rsid w:val="00B1593E"/>
    <w:rsid w:val="00B15ABC"/>
    <w:rsid w:val="00B15C2F"/>
    <w:rsid w:val="00B15D4C"/>
    <w:rsid w:val="00B15EAF"/>
    <w:rsid w:val="00B15F5A"/>
    <w:rsid w:val="00B15F9E"/>
    <w:rsid w:val="00B16377"/>
    <w:rsid w:val="00B167F5"/>
    <w:rsid w:val="00B1689D"/>
    <w:rsid w:val="00B16912"/>
    <w:rsid w:val="00B16A40"/>
    <w:rsid w:val="00B16C0C"/>
    <w:rsid w:val="00B17440"/>
    <w:rsid w:val="00B17540"/>
    <w:rsid w:val="00B175B5"/>
    <w:rsid w:val="00B17903"/>
    <w:rsid w:val="00B17937"/>
    <w:rsid w:val="00B17A42"/>
    <w:rsid w:val="00B17AA5"/>
    <w:rsid w:val="00B17C02"/>
    <w:rsid w:val="00B17D52"/>
    <w:rsid w:val="00B201EB"/>
    <w:rsid w:val="00B20392"/>
    <w:rsid w:val="00B2040C"/>
    <w:rsid w:val="00B2063E"/>
    <w:rsid w:val="00B2099C"/>
    <w:rsid w:val="00B20F73"/>
    <w:rsid w:val="00B20FAA"/>
    <w:rsid w:val="00B212A6"/>
    <w:rsid w:val="00B21353"/>
    <w:rsid w:val="00B21AA3"/>
    <w:rsid w:val="00B21BB8"/>
    <w:rsid w:val="00B2219C"/>
    <w:rsid w:val="00B22485"/>
    <w:rsid w:val="00B2248F"/>
    <w:rsid w:val="00B22594"/>
    <w:rsid w:val="00B22644"/>
    <w:rsid w:val="00B22D32"/>
    <w:rsid w:val="00B22D9C"/>
    <w:rsid w:val="00B22E0A"/>
    <w:rsid w:val="00B22E59"/>
    <w:rsid w:val="00B22EDD"/>
    <w:rsid w:val="00B23038"/>
    <w:rsid w:val="00B23337"/>
    <w:rsid w:val="00B23534"/>
    <w:rsid w:val="00B2450C"/>
    <w:rsid w:val="00B2467D"/>
    <w:rsid w:val="00B24CA0"/>
    <w:rsid w:val="00B24E89"/>
    <w:rsid w:val="00B24FA3"/>
    <w:rsid w:val="00B24FC9"/>
    <w:rsid w:val="00B25556"/>
    <w:rsid w:val="00B257BB"/>
    <w:rsid w:val="00B2592F"/>
    <w:rsid w:val="00B25E48"/>
    <w:rsid w:val="00B25E77"/>
    <w:rsid w:val="00B25ED2"/>
    <w:rsid w:val="00B26161"/>
    <w:rsid w:val="00B26271"/>
    <w:rsid w:val="00B268FB"/>
    <w:rsid w:val="00B26B92"/>
    <w:rsid w:val="00B26C38"/>
    <w:rsid w:val="00B26D79"/>
    <w:rsid w:val="00B26FEF"/>
    <w:rsid w:val="00B2771D"/>
    <w:rsid w:val="00B279EA"/>
    <w:rsid w:val="00B30107"/>
    <w:rsid w:val="00B307F6"/>
    <w:rsid w:val="00B30B52"/>
    <w:rsid w:val="00B30B7E"/>
    <w:rsid w:val="00B30C5F"/>
    <w:rsid w:val="00B30E80"/>
    <w:rsid w:val="00B31069"/>
    <w:rsid w:val="00B310EF"/>
    <w:rsid w:val="00B311A2"/>
    <w:rsid w:val="00B3149A"/>
    <w:rsid w:val="00B316D7"/>
    <w:rsid w:val="00B31901"/>
    <w:rsid w:val="00B31A26"/>
    <w:rsid w:val="00B31DB2"/>
    <w:rsid w:val="00B31EBC"/>
    <w:rsid w:val="00B320FF"/>
    <w:rsid w:val="00B3230F"/>
    <w:rsid w:val="00B32704"/>
    <w:rsid w:val="00B33315"/>
    <w:rsid w:val="00B33635"/>
    <w:rsid w:val="00B339AB"/>
    <w:rsid w:val="00B33D3B"/>
    <w:rsid w:val="00B33EFA"/>
    <w:rsid w:val="00B3400E"/>
    <w:rsid w:val="00B3418B"/>
    <w:rsid w:val="00B34709"/>
    <w:rsid w:val="00B35299"/>
    <w:rsid w:val="00B35C88"/>
    <w:rsid w:val="00B3642C"/>
    <w:rsid w:val="00B3655A"/>
    <w:rsid w:val="00B36703"/>
    <w:rsid w:val="00B3677B"/>
    <w:rsid w:val="00B367D3"/>
    <w:rsid w:val="00B368FE"/>
    <w:rsid w:val="00B36AE3"/>
    <w:rsid w:val="00B3745E"/>
    <w:rsid w:val="00B375CF"/>
    <w:rsid w:val="00B37610"/>
    <w:rsid w:val="00B37873"/>
    <w:rsid w:val="00B379CF"/>
    <w:rsid w:val="00B37A2E"/>
    <w:rsid w:val="00B40176"/>
    <w:rsid w:val="00B406C9"/>
    <w:rsid w:val="00B411AC"/>
    <w:rsid w:val="00B414E5"/>
    <w:rsid w:val="00B41B43"/>
    <w:rsid w:val="00B426CD"/>
    <w:rsid w:val="00B42BC5"/>
    <w:rsid w:val="00B42BFD"/>
    <w:rsid w:val="00B42D26"/>
    <w:rsid w:val="00B42F6B"/>
    <w:rsid w:val="00B431BD"/>
    <w:rsid w:val="00B4325E"/>
    <w:rsid w:val="00B43FEC"/>
    <w:rsid w:val="00B441F3"/>
    <w:rsid w:val="00B44886"/>
    <w:rsid w:val="00B4553B"/>
    <w:rsid w:val="00B4554E"/>
    <w:rsid w:val="00B45904"/>
    <w:rsid w:val="00B45A02"/>
    <w:rsid w:val="00B45C32"/>
    <w:rsid w:val="00B45C67"/>
    <w:rsid w:val="00B45CF8"/>
    <w:rsid w:val="00B45F54"/>
    <w:rsid w:val="00B46006"/>
    <w:rsid w:val="00B4615D"/>
    <w:rsid w:val="00B4680C"/>
    <w:rsid w:val="00B46929"/>
    <w:rsid w:val="00B46B13"/>
    <w:rsid w:val="00B46C25"/>
    <w:rsid w:val="00B47047"/>
    <w:rsid w:val="00B47827"/>
    <w:rsid w:val="00B479CB"/>
    <w:rsid w:val="00B47AAB"/>
    <w:rsid w:val="00B5007C"/>
    <w:rsid w:val="00B504DA"/>
    <w:rsid w:val="00B505F4"/>
    <w:rsid w:val="00B50D15"/>
    <w:rsid w:val="00B50D54"/>
    <w:rsid w:val="00B5160F"/>
    <w:rsid w:val="00B5173B"/>
    <w:rsid w:val="00B51CED"/>
    <w:rsid w:val="00B5227A"/>
    <w:rsid w:val="00B52317"/>
    <w:rsid w:val="00B52440"/>
    <w:rsid w:val="00B524F2"/>
    <w:rsid w:val="00B525B4"/>
    <w:rsid w:val="00B52637"/>
    <w:rsid w:val="00B52661"/>
    <w:rsid w:val="00B5274C"/>
    <w:rsid w:val="00B5285C"/>
    <w:rsid w:val="00B52A21"/>
    <w:rsid w:val="00B52EA0"/>
    <w:rsid w:val="00B5317B"/>
    <w:rsid w:val="00B5324C"/>
    <w:rsid w:val="00B5359A"/>
    <w:rsid w:val="00B5377B"/>
    <w:rsid w:val="00B53813"/>
    <w:rsid w:val="00B5390D"/>
    <w:rsid w:val="00B53D00"/>
    <w:rsid w:val="00B53D9A"/>
    <w:rsid w:val="00B53E2E"/>
    <w:rsid w:val="00B53FFD"/>
    <w:rsid w:val="00B54719"/>
    <w:rsid w:val="00B54858"/>
    <w:rsid w:val="00B54A6B"/>
    <w:rsid w:val="00B54BE9"/>
    <w:rsid w:val="00B54D64"/>
    <w:rsid w:val="00B55334"/>
    <w:rsid w:val="00B553DE"/>
    <w:rsid w:val="00B5588A"/>
    <w:rsid w:val="00B55B94"/>
    <w:rsid w:val="00B5602E"/>
    <w:rsid w:val="00B56177"/>
    <w:rsid w:val="00B5677E"/>
    <w:rsid w:val="00B56A4D"/>
    <w:rsid w:val="00B56F6D"/>
    <w:rsid w:val="00B570EE"/>
    <w:rsid w:val="00B57391"/>
    <w:rsid w:val="00B57791"/>
    <w:rsid w:val="00B57840"/>
    <w:rsid w:val="00B57E69"/>
    <w:rsid w:val="00B6006F"/>
    <w:rsid w:val="00B6055E"/>
    <w:rsid w:val="00B60677"/>
    <w:rsid w:val="00B609A0"/>
    <w:rsid w:val="00B60AAF"/>
    <w:rsid w:val="00B61319"/>
    <w:rsid w:val="00B617B7"/>
    <w:rsid w:val="00B61E74"/>
    <w:rsid w:val="00B622BB"/>
    <w:rsid w:val="00B622D7"/>
    <w:rsid w:val="00B6240B"/>
    <w:rsid w:val="00B62687"/>
    <w:rsid w:val="00B626B4"/>
    <w:rsid w:val="00B627F2"/>
    <w:rsid w:val="00B62B13"/>
    <w:rsid w:val="00B62CAC"/>
    <w:rsid w:val="00B62FA3"/>
    <w:rsid w:val="00B632EE"/>
    <w:rsid w:val="00B63458"/>
    <w:rsid w:val="00B637DE"/>
    <w:rsid w:val="00B639BC"/>
    <w:rsid w:val="00B63CF7"/>
    <w:rsid w:val="00B63D0B"/>
    <w:rsid w:val="00B63F83"/>
    <w:rsid w:val="00B64248"/>
    <w:rsid w:val="00B64264"/>
    <w:rsid w:val="00B645FF"/>
    <w:rsid w:val="00B64646"/>
    <w:rsid w:val="00B64678"/>
    <w:rsid w:val="00B64A74"/>
    <w:rsid w:val="00B64EF1"/>
    <w:rsid w:val="00B64F2B"/>
    <w:rsid w:val="00B65B3F"/>
    <w:rsid w:val="00B65C01"/>
    <w:rsid w:val="00B663A6"/>
    <w:rsid w:val="00B6681A"/>
    <w:rsid w:val="00B668FD"/>
    <w:rsid w:val="00B66927"/>
    <w:rsid w:val="00B66DB3"/>
    <w:rsid w:val="00B66E59"/>
    <w:rsid w:val="00B66EE3"/>
    <w:rsid w:val="00B67146"/>
    <w:rsid w:val="00B6722E"/>
    <w:rsid w:val="00B67607"/>
    <w:rsid w:val="00B67809"/>
    <w:rsid w:val="00B70151"/>
    <w:rsid w:val="00B7049B"/>
    <w:rsid w:val="00B70D04"/>
    <w:rsid w:val="00B70F0C"/>
    <w:rsid w:val="00B70F0F"/>
    <w:rsid w:val="00B711A4"/>
    <w:rsid w:val="00B7160F"/>
    <w:rsid w:val="00B71840"/>
    <w:rsid w:val="00B71B2C"/>
    <w:rsid w:val="00B71CD0"/>
    <w:rsid w:val="00B7216E"/>
    <w:rsid w:val="00B721C1"/>
    <w:rsid w:val="00B722E2"/>
    <w:rsid w:val="00B7237B"/>
    <w:rsid w:val="00B72525"/>
    <w:rsid w:val="00B727C9"/>
    <w:rsid w:val="00B7295A"/>
    <w:rsid w:val="00B72C53"/>
    <w:rsid w:val="00B72CB5"/>
    <w:rsid w:val="00B72FB8"/>
    <w:rsid w:val="00B73149"/>
    <w:rsid w:val="00B73154"/>
    <w:rsid w:val="00B7315B"/>
    <w:rsid w:val="00B731FE"/>
    <w:rsid w:val="00B738B5"/>
    <w:rsid w:val="00B73E3F"/>
    <w:rsid w:val="00B7405B"/>
    <w:rsid w:val="00B742B7"/>
    <w:rsid w:val="00B74755"/>
    <w:rsid w:val="00B74A4E"/>
    <w:rsid w:val="00B74B99"/>
    <w:rsid w:val="00B74ECD"/>
    <w:rsid w:val="00B74FFD"/>
    <w:rsid w:val="00B75151"/>
    <w:rsid w:val="00B75217"/>
    <w:rsid w:val="00B75323"/>
    <w:rsid w:val="00B75370"/>
    <w:rsid w:val="00B75952"/>
    <w:rsid w:val="00B75CA3"/>
    <w:rsid w:val="00B75D76"/>
    <w:rsid w:val="00B75DD0"/>
    <w:rsid w:val="00B75F7F"/>
    <w:rsid w:val="00B7600D"/>
    <w:rsid w:val="00B76283"/>
    <w:rsid w:val="00B76A77"/>
    <w:rsid w:val="00B76B5B"/>
    <w:rsid w:val="00B7721E"/>
    <w:rsid w:val="00B775A2"/>
    <w:rsid w:val="00B77823"/>
    <w:rsid w:val="00B77E22"/>
    <w:rsid w:val="00B800A3"/>
    <w:rsid w:val="00B805BC"/>
    <w:rsid w:val="00B80AB7"/>
    <w:rsid w:val="00B80FE9"/>
    <w:rsid w:val="00B80FF4"/>
    <w:rsid w:val="00B81017"/>
    <w:rsid w:val="00B81147"/>
    <w:rsid w:val="00B81293"/>
    <w:rsid w:val="00B815ED"/>
    <w:rsid w:val="00B817A2"/>
    <w:rsid w:val="00B81CB9"/>
    <w:rsid w:val="00B81D5A"/>
    <w:rsid w:val="00B820CA"/>
    <w:rsid w:val="00B820F0"/>
    <w:rsid w:val="00B826AE"/>
    <w:rsid w:val="00B82CE6"/>
    <w:rsid w:val="00B82DA5"/>
    <w:rsid w:val="00B83046"/>
    <w:rsid w:val="00B8338B"/>
    <w:rsid w:val="00B837F1"/>
    <w:rsid w:val="00B83B61"/>
    <w:rsid w:val="00B83C1E"/>
    <w:rsid w:val="00B83FF0"/>
    <w:rsid w:val="00B84198"/>
    <w:rsid w:val="00B84569"/>
    <w:rsid w:val="00B84689"/>
    <w:rsid w:val="00B84958"/>
    <w:rsid w:val="00B84FC0"/>
    <w:rsid w:val="00B85392"/>
    <w:rsid w:val="00B854E7"/>
    <w:rsid w:val="00B8569B"/>
    <w:rsid w:val="00B85CED"/>
    <w:rsid w:val="00B85D1D"/>
    <w:rsid w:val="00B85D54"/>
    <w:rsid w:val="00B86096"/>
    <w:rsid w:val="00B864B6"/>
    <w:rsid w:val="00B864F6"/>
    <w:rsid w:val="00B86585"/>
    <w:rsid w:val="00B86699"/>
    <w:rsid w:val="00B86BAC"/>
    <w:rsid w:val="00B87699"/>
    <w:rsid w:val="00B879C3"/>
    <w:rsid w:val="00B87B03"/>
    <w:rsid w:val="00B87F32"/>
    <w:rsid w:val="00B87F6D"/>
    <w:rsid w:val="00B90146"/>
    <w:rsid w:val="00B908BC"/>
    <w:rsid w:val="00B909E2"/>
    <w:rsid w:val="00B90A53"/>
    <w:rsid w:val="00B90B82"/>
    <w:rsid w:val="00B90E8B"/>
    <w:rsid w:val="00B91FA7"/>
    <w:rsid w:val="00B921E4"/>
    <w:rsid w:val="00B92206"/>
    <w:rsid w:val="00B9230F"/>
    <w:rsid w:val="00B92320"/>
    <w:rsid w:val="00B92750"/>
    <w:rsid w:val="00B92809"/>
    <w:rsid w:val="00B92950"/>
    <w:rsid w:val="00B92BC8"/>
    <w:rsid w:val="00B92CDE"/>
    <w:rsid w:val="00B93322"/>
    <w:rsid w:val="00B934DE"/>
    <w:rsid w:val="00B93512"/>
    <w:rsid w:val="00B93521"/>
    <w:rsid w:val="00B937EC"/>
    <w:rsid w:val="00B93A9A"/>
    <w:rsid w:val="00B93D6C"/>
    <w:rsid w:val="00B94647"/>
    <w:rsid w:val="00B946D9"/>
    <w:rsid w:val="00B9485D"/>
    <w:rsid w:val="00B94FA7"/>
    <w:rsid w:val="00B9507A"/>
    <w:rsid w:val="00B950A8"/>
    <w:rsid w:val="00B953D1"/>
    <w:rsid w:val="00B95A41"/>
    <w:rsid w:val="00B95B1E"/>
    <w:rsid w:val="00B95BD2"/>
    <w:rsid w:val="00B96269"/>
    <w:rsid w:val="00B962D3"/>
    <w:rsid w:val="00B96407"/>
    <w:rsid w:val="00B96468"/>
    <w:rsid w:val="00B96D4E"/>
    <w:rsid w:val="00B96FB0"/>
    <w:rsid w:val="00B977D0"/>
    <w:rsid w:val="00B97810"/>
    <w:rsid w:val="00B97BC3"/>
    <w:rsid w:val="00BA001D"/>
    <w:rsid w:val="00BA0360"/>
    <w:rsid w:val="00BA0369"/>
    <w:rsid w:val="00BA09BA"/>
    <w:rsid w:val="00BA1274"/>
    <w:rsid w:val="00BA12DD"/>
    <w:rsid w:val="00BA155C"/>
    <w:rsid w:val="00BA16DC"/>
    <w:rsid w:val="00BA197C"/>
    <w:rsid w:val="00BA1B9F"/>
    <w:rsid w:val="00BA1C8A"/>
    <w:rsid w:val="00BA1CFA"/>
    <w:rsid w:val="00BA26A3"/>
    <w:rsid w:val="00BA26D9"/>
    <w:rsid w:val="00BA342B"/>
    <w:rsid w:val="00BA38BE"/>
    <w:rsid w:val="00BA3926"/>
    <w:rsid w:val="00BA392C"/>
    <w:rsid w:val="00BA3A42"/>
    <w:rsid w:val="00BA3AC2"/>
    <w:rsid w:val="00BA3CD9"/>
    <w:rsid w:val="00BA3FAE"/>
    <w:rsid w:val="00BA4203"/>
    <w:rsid w:val="00BA44E8"/>
    <w:rsid w:val="00BA4622"/>
    <w:rsid w:val="00BA4930"/>
    <w:rsid w:val="00BA4B7C"/>
    <w:rsid w:val="00BA4F09"/>
    <w:rsid w:val="00BA5077"/>
    <w:rsid w:val="00BA508C"/>
    <w:rsid w:val="00BA5302"/>
    <w:rsid w:val="00BA543E"/>
    <w:rsid w:val="00BA5453"/>
    <w:rsid w:val="00BA5820"/>
    <w:rsid w:val="00BA5B05"/>
    <w:rsid w:val="00BA5C32"/>
    <w:rsid w:val="00BA5C56"/>
    <w:rsid w:val="00BA5D2E"/>
    <w:rsid w:val="00BA5E20"/>
    <w:rsid w:val="00BA5E98"/>
    <w:rsid w:val="00BA6022"/>
    <w:rsid w:val="00BA6429"/>
    <w:rsid w:val="00BA6738"/>
    <w:rsid w:val="00BA6A70"/>
    <w:rsid w:val="00BA7171"/>
    <w:rsid w:val="00BA73BB"/>
    <w:rsid w:val="00BA745F"/>
    <w:rsid w:val="00BA7757"/>
    <w:rsid w:val="00BA7796"/>
    <w:rsid w:val="00BA77E9"/>
    <w:rsid w:val="00BA79B5"/>
    <w:rsid w:val="00BA7B42"/>
    <w:rsid w:val="00BB00D2"/>
    <w:rsid w:val="00BB01A4"/>
    <w:rsid w:val="00BB023E"/>
    <w:rsid w:val="00BB03BF"/>
    <w:rsid w:val="00BB03EC"/>
    <w:rsid w:val="00BB09C9"/>
    <w:rsid w:val="00BB0A89"/>
    <w:rsid w:val="00BB0E33"/>
    <w:rsid w:val="00BB0EE7"/>
    <w:rsid w:val="00BB0F4F"/>
    <w:rsid w:val="00BB1066"/>
    <w:rsid w:val="00BB119F"/>
    <w:rsid w:val="00BB1264"/>
    <w:rsid w:val="00BB12DF"/>
    <w:rsid w:val="00BB1341"/>
    <w:rsid w:val="00BB1347"/>
    <w:rsid w:val="00BB1BA7"/>
    <w:rsid w:val="00BB20D8"/>
    <w:rsid w:val="00BB228F"/>
    <w:rsid w:val="00BB2476"/>
    <w:rsid w:val="00BB2479"/>
    <w:rsid w:val="00BB28ED"/>
    <w:rsid w:val="00BB2A0F"/>
    <w:rsid w:val="00BB2FB7"/>
    <w:rsid w:val="00BB31FC"/>
    <w:rsid w:val="00BB3318"/>
    <w:rsid w:val="00BB355C"/>
    <w:rsid w:val="00BB372C"/>
    <w:rsid w:val="00BB38EA"/>
    <w:rsid w:val="00BB3B82"/>
    <w:rsid w:val="00BB3CDD"/>
    <w:rsid w:val="00BB41C9"/>
    <w:rsid w:val="00BB42EF"/>
    <w:rsid w:val="00BB4350"/>
    <w:rsid w:val="00BB463E"/>
    <w:rsid w:val="00BB46A2"/>
    <w:rsid w:val="00BB499A"/>
    <w:rsid w:val="00BB4C3B"/>
    <w:rsid w:val="00BB4F2C"/>
    <w:rsid w:val="00BB5054"/>
    <w:rsid w:val="00BB521F"/>
    <w:rsid w:val="00BB57BC"/>
    <w:rsid w:val="00BB58F3"/>
    <w:rsid w:val="00BB5CE6"/>
    <w:rsid w:val="00BB5DDF"/>
    <w:rsid w:val="00BB6393"/>
    <w:rsid w:val="00BB73FD"/>
    <w:rsid w:val="00BB747A"/>
    <w:rsid w:val="00BB7629"/>
    <w:rsid w:val="00BB763A"/>
    <w:rsid w:val="00BB77B1"/>
    <w:rsid w:val="00BC002B"/>
    <w:rsid w:val="00BC0159"/>
    <w:rsid w:val="00BC03BA"/>
    <w:rsid w:val="00BC07E6"/>
    <w:rsid w:val="00BC0849"/>
    <w:rsid w:val="00BC1B87"/>
    <w:rsid w:val="00BC1BA9"/>
    <w:rsid w:val="00BC1CB9"/>
    <w:rsid w:val="00BC1DEC"/>
    <w:rsid w:val="00BC279E"/>
    <w:rsid w:val="00BC2892"/>
    <w:rsid w:val="00BC2935"/>
    <w:rsid w:val="00BC2CE4"/>
    <w:rsid w:val="00BC2D25"/>
    <w:rsid w:val="00BC30C7"/>
    <w:rsid w:val="00BC3486"/>
    <w:rsid w:val="00BC363A"/>
    <w:rsid w:val="00BC3D7B"/>
    <w:rsid w:val="00BC40CA"/>
    <w:rsid w:val="00BC41DE"/>
    <w:rsid w:val="00BC4209"/>
    <w:rsid w:val="00BC4273"/>
    <w:rsid w:val="00BC49AA"/>
    <w:rsid w:val="00BC49B6"/>
    <w:rsid w:val="00BC49C6"/>
    <w:rsid w:val="00BC4E65"/>
    <w:rsid w:val="00BC5110"/>
    <w:rsid w:val="00BC55CC"/>
    <w:rsid w:val="00BC5661"/>
    <w:rsid w:val="00BC57F2"/>
    <w:rsid w:val="00BC586C"/>
    <w:rsid w:val="00BC5CD5"/>
    <w:rsid w:val="00BC5E52"/>
    <w:rsid w:val="00BC629F"/>
    <w:rsid w:val="00BC650D"/>
    <w:rsid w:val="00BC6709"/>
    <w:rsid w:val="00BC6776"/>
    <w:rsid w:val="00BC6906"/>
    <w:rsid w:val="00BC6CF3"/>
    <w:rsid w:val="00BC7050"/>
    <w:rsid w:val="00BC707F"/>
    <w:rsid w:val="00BC71B2"/>
    <w:rsid w:val="00BC71D2"/>
    <w:rsid w:val="00BC726F"/>
    <w:rsid w:val="00BC72DA"/>
    <w:rsid w:val="00BC7922"/>
    <w:rsid w:val="00BC7D31"/>
    <w:rsid w:val="00BC7E36"/>
    <w:rsid w:val="00BD006A"/>
    <w:rsid w:val="00BD0933"/>
    <w:rsid w:val="00BD0A10"/>
    <w:rsid w:val="00BD118F"/>
    <w:rsid w:val="00BD18F1"/>
    <w:rsid w:val="00BD1B09"/>
    <w:rsid w:val="00BD1BAA"/>
    <w:rsid w:val="00BD1BB7"/>
    <w:rsid w:val="00BD1F8B"/>
    <w:rsid w:val="00BD202B"/>
    <w:rsid w:val="00BD26ED"/>
    <w:rsid w:val="00BD2A0B"/>
    <w:rsid w:val="00BD2A49"/>
    <w:rsid w:val="00BD2ED8"/>
    <w:rsid w:val="00BD3289"/>
    <w:rsid w:val="00BD3338"/>
    <w:rsid w:val="00BD34BC"/>
    <w:rsid w:val="00BD3A50"/>
    <w:rsid w:val="00BD3DF5"/>
    <w:rsid w:val="00BD40BF"/>
    <w:rsid w:val="00BD46F3"/>
    <w:rsid w:val="00BD4931"/>
    <w:rsid w:val="00BD4BCC"/>
    <w:rsid w:val="00BD4C54"/>
    <w:rsid w:val="00BD5468"/>
    <w:rsid w:val="00BD5BF0"/>
    <w:rsid w:val="00BD5C68"/>
    <w:rsid w:val="00BD604B"/>
    <w:rsid w:val="00BD6183"/>
    <w:rsid w:val="00BD6591"/>
    <w:rsid w:val="00BD659D"/>
    <w:rsid w:val="00BD6B2A"/>
    <w:rsid w:val="00BD6C09"/>
    <w:rsid w:val="00BD6D2D"/>
    <w:rsid w:val="00BD707D"/>
    <w:rsid w:val="00BD74A7"/>
    <w:rsid w:val="00BD7999"/>
    <w:rsid w:val="00BD7AB6"/>
    <w:rsid w:val="00BD7DE3"/>
    <w:rsid w:val="00BD7E48"/>
    <w:rsid w:val="00BD7E8D"/>
    <w:rsid w:val="00BE010F"/>
    <w:rsid w:val="00BE07E9"/>
    <w:rsid w:val="00BE0882"/>
    <w:rsid w:val="00BE0906"/>
    <w:rsid w:val="00BE0BFF"/>
    <w:rsid w:val="00BE0E0F"/>
    <w:rsid w:val="00BE0F4C"/>
    <w:rsid w:val="00BE1054"/>
    <w:rsid w:val="00BE120F"/>
    <w:rsid w:val="00BE1212"/>
    <w:rsid w:val="00BE180F"/>
    <w:rsid w:val="00BE1AE2"/>
    <w:rsid w:val="00BE1B91"/>
    <w:rsid w:val="00BE2143"/>
    <w:rsid w:val="00BE21A4"/>
    <w:rsid w:val="00BE21E7"/>
    <w:rsid w:val="00BE223F"/>
    <w:rsid w:val="00BE2354"/>
    <w:rsid w:val="00BE23EF"/>
    <w:rsid w:val="00BE2565"/>
    <w:rsid w:val="00BE25F2"/>
    <w:rsid w:val="00BE2C43"/>
    <w:rsid w:val="00BE2EEF"/>
    <w:rsid w:val="00BE301B"/>
    <w:rsid w:val="00BE3041"/>
    <w:rsid w:val="00BE3124"/>
    <w:rsid w:val="00BE3718"/>
    <w:rsid w:val="00BE3920"/>
    <w:rsid w:val="00BE3B9C"/>
    <w:rsid w:val="00BE3E56"/>
    <w:rsid w:val="00BE417A"/>
    <w:rsid w:val="00BE45EE"/>
    <w:rsid w:val="00BE4764"/>
    <w:rsid w:val="00BE4A4B"/>
    <w:rsid w:val="00BE4EB9"/>
    <w:rsid w:val="00BE4F6F"/>
    <w:rsid w:val="00BE502D"/>
    <w:rsid w:val="00BE5233"/>
    <w:rsid w:val="00BE52EB"/>
    <w:rsid w:val="00BE53FF"/>
    <w:rsid w:val="00BE5571"/>
    <w:rsid w:val="00BE57DB"/>
    <w:rsid w:val="00BE588C"/>
    <w:rsid w:val="00BE58BF"/>
    <w:rsid w:val="00BE62F3"/>
    <w:rsid w:val="00BE67D3"/>
    <w:rsid w:val="00BE6836"/>
    <w:rsid w:val="00BE6C44"/>
    <w:rsid w:val="00BE6E8C"/>
    <w:rsid w:val="00BE706D"/>
    <w:rsid w:val="00BE7161"/>
    <w:rsid w:val="00BE7681"/>
    <w:rsid w:val="00BE781A"/>
    <w:rsid w:val="00BE7884"/>
    <w:rsid w:val="00BE78B9"/>
    <w:rsid w:val="00BE7A4B"/>
    <w:rsid w:val="00BF04EB"/>
    <w:rsid w:val="00BF0518"/>
    <w:rsid w:val="00BF0980"/>
    <w:rsid w:val="00BF09C0"/>
    <w:rsid w:val="00BF09C7"/>
    <w:rsid w:val="00BF0B14"/>
    <w:rsid w:val="00BF0C9F"/>
    <w:rsid w:val="00BF0E98"/>
    <w:rsid w:val="00BF0FD8"/>
    <w:rsid w:val="00BF1557"/>
    <w:rsid w:val="00BF178F"/>
    <w:rsid w:val="00BF1A35"/>
    <w:rsid w:val="00BF1CCE"/>
    <w:rsid w:val="00BF1E82"/>
    <w:rsid w:val="00BF1F19"/>
    <w:rsid w:val="00BF213E"/>
    <w:rsid w:val="00BF218F"/>
    <w:rsid w:val="00BF2461"/>
    <w:rsid w:val="00BF25FC"/>
    <w:rsid w:val="00BF2B37"/>
    <w:rsid w:val="00BF2D27"/>
    <w:rsid w:val="00BF2E71"/>
    <w:rsid w:val="00BF3060"/>
    <w:rsid w:val="00BF31A8"/>
    <w:rsid w:val="00BF3335"/>
    <w:rsid w:val="00BF3340"/>
    <w:rsid w:val="00BF37B3"/>
    <w:rsid w:val="00BF3B2C"/>
    <w:rsid w:val="00BF3E55"/>
    <w:rsid w:val="00BF3E78"/>
    <w:rsid w:val="00BF42B9"/>
    <w:rsid w:val="00BF4654"/>
    <w:rsid w:val="00BF47D6"/>
    <w:rsid w:val="00BF4816"/>
    <w:rsid w:val="00BF4E96"/>
    <w:rsid w:val="00BF4FF6"/>
    <w:rsid w:val="00BF519C"/>
    <w:rsid w:val="00BF5528"/>
    <w:rsid w:val="00BF5569"/>
    <w:rsid w:val="00BF5977"/>
    <w:rsid w:val="00BF59C5"/>
    <w:rsid w:val="00BF5CDD"/>
    <w:rsid w:val="00BF5F0A"/>
    <w:rsid w:val="00BF6098"/>
    <w:rsid w:val="00BF643B"/>
    <w:rsid w:val="00BF6873"/>
    <w:rsid w:val="00BF6A49"/>
    <w:rsid w:val="00BF6CBD"/>
    <w:rsid w:val="00BF72AB"/>
    <w:rsid w:val="00BF7497"/>
    <w:rsid w:val="00BF75FD"/>
    <w:rsid w:val="00BF7BC9"/>
    <w:rsid w:val="00BF7F78"/>
    <w:rsid w:val="00C00891"/>
    <w:rsid w:val="00C00982"/>
    <w:rsid w:val="00C00986"/>
    <w:rsid w:val="00C00D48"/>
    <w:rsid w:val="00C00FA5"/>
    <w:rsid w:val="00C0100F"/>
    <w:rsid w:val="00C0108D"/>
    <w:rsid w:val="00C01624"/>
    <w:rsid w:val="00C017BE"/>
    <w:rsid w:val="00C01EF6"/>
    <w:rsid w:val="00C01F38"/>
    <w:rsid w:val="00C02147"/>
    <w:rsid w:val="00C0216B"/>
    <w:rsid w:val="00C021AE"/>
    <w:rsid w:val="00C0255B"/>
    <w:rsid w:val="00C028E8"/>
    <w:rsid w:val="00C029F2"/>
    <w:rsid w:val="00C03291"/>
    <w:rsid w:val="00C03707"/>
    <w:rsid w:val="00C03731"/>
    <w:rsid w:val="00C03ACF"/>
    <w:rsid w:val="00C03ED1"/>
    <w:rsid w:val="00C04363"/>
    <w:rsid w:val="00C043C9"/>
    <w:rsid w:val="00C0468A"/>
    <w:rsid w:val="00C04927"/>
    <w:rsid w:val="00C04B50"/>
    <w:rsid w:val="00C0535A"/>
    <w:rsid w:val="00C05818"/>
    <w:rsid w:val="00C05AAA"/>
    <w:rsid w:val="00C05EA5"/>
    <w:rsid w:val="00C06247"/>
    <w:rsid w:val="00C0669C"/>
    <w:rsid w:val="00C066CA"/>
    <w:rsid w:val="00C06951"/>
    <w:rsid w:val="00C06BE2"/>
    <w:rsid w:val="00C07342"/>
    <w:rsid w:val="00C07DCB"/>
    <w:rsid w:val="00C10831"/>
    <w:rsid w:val="00C10F01"/>
    <w:rsid w:val="00C10FCD"/>
    <w:rsid w:val="00C111A1"/>
    <w:rsid w:val="00C11944"/>
    <w:rsid w:val="00C12105"/>
    <w:rsid w:val="00C125F5"/>
    <w:rsid w:val="00C126B6"/>
    <w:rsid w:val="00C12759"/>
    <w:rsid w:val="00C12942"/>
    <w:rsid w:val="00C129DE"/>
    <w:rsid w:val="00C12ACC"/>
    <w:rsid w:val="00C12DCE"/>
    <w:rsid w:val="00C12EFE"/>
    <w:rsid w:val="00C13031"/>
    <w:rsid w:val="00C13734"/>
    <w:rsid w:val="00C13D56"/>
    <w:rsid w:val="00C13DD4"/>
    <w:rsid w:val="00C1405C"/>
    <w:rsid w:val="00C14093"/>
    <w:rsid w:val="00C140E0"/>
    <w:rsid w:val="00C1424D"/>
    <w:rsid w:val="00C145BD"/>
    <w:rsid w:val="00C145C7"/>
    <w:rsid w:val="00C1537A"/>
    <w:rsid w:val="00C1540A"/>
    <w:rsid w:val="00C1548A"/>
    <w:rsid w:val="00C15FB8"/>
    <w:rsid w:val="00C15FBE"/>
    <w:rsid w:val="00C162DB"/>
    <w:rsid w:val="00C16672"/>
    <w:rsid w:val="00C1672E"/>
    <w:rsid w:val="00C168B2"/>
    <w:rsid w:val="00C169C2"/>
    <w:rsid w:val="00C16B84"/>
    <w:rsid w:val="00C1715E"/>
    <w:rsid w:val="00C171E8"/>
    <w:rsid w:val="00C175F2"/>
    <w:rsid w:val="00C17700"/>
    <w:rsid w:val="00C17942"/>
    <w:rsid w:val="00C1795B"/>
    <w:rsid w:val="00C179E6"/>
    <w:rsid w:val="00C17B51"/>
    <w:rsid w:val="00C17C40"/>
    <w:rsid w:val="00C17CE1"/>
    <w:rsid w:val="00C20097"/>
    <w:rsid w:val="00C20158"/>
    <w:rsid w:val="00C20369"/>
    <w:rsid w:val="00C205F5"/>
    <w:rsid w:val="00C20CBA"/>
    <w:rsid w:val="00C20DAE"/>
    <w:rsid w:val="00C210C2"/>
    <w:rsid w:val="00C21146"/>
    <w:rsid w:val="00C2156C"/>
    <w:rsid w:val="00C21A0A"/>
    <w:rsid w:val="00C21E30"/>
    <w:rsid w:val="00C22278"/>
    <w:rsid w:val="00C2245D"/>
    <w:rsid w:val="00C22623"/>
    <w:rsid w:val="00C22EEC"/>
    <w:rsid w:val="00C23006"/>
    <w:rsid w:val="00C2300D"/>
    <w:rsid w:val="00C23090"/>
    <w:rsid w:val="00C233FD"/>
    <w:rsid w:val="00C23713"/>
    <w:rsid w:val="00C237EE"/>
    <w:rsid w:val="00C23B06"/>
    <w:rsid w:val="00C23BF7"/>
    <w:rsid w:val="00C23CEB"/>
    <w:rsid w:val="00C23E99"/>
    <w:rsid w:val="00C2404A"/>
    <w:rsid w:val="00C24160"/>
    <w:rsid w:val="00C244D8"/>
    <w:rsid w:val="00C246D6"/>
    <w:rsid w:val="00C24992"/>
    <w:rsid w:val="00C24C2F"/>
    <w:rsid w:val="00C24FF5"/>
    <w:rsid w:val="00C25783"/>
    <w:rsid w:val="00C25922"/>
    <w:rsid w:val="00C25A71"/>
    <w:rsid w:val="00C25A9D"/>
    <w:rsid w:val="00C25C0D"/>
    <w:rsid w:val="00C25D61"/>
    <w:rsid w:val="00C25F3D"/>
    <w:rsid w:val="00C25F7F"/>
    <w:rsid w:val="00C268C1"/>
    <w:rsid w:val="00C26929"/>
    <w:rsid w:val="00C269F2"/>
    <w:rsid w:val="00C26BB6"/>
    <w:rsid w:val="00C27466"/>
    <w:rsid w:val="00C27C9F"/>
    <w:rsid w:val="00C30025"/>
    <w:rsid w:val="00C30270"/>
    <w:rsid w:val="00C3040A"/>
    <w:rsid w:val="00C305B8"/>
    <w:rsid w:val="00C307FE"/>
    <w:rsid w:val="00C30A93"/>
    <w:rsid w:val="00C30ABC"/>
    <w:rsid w:val="00C30B7F"/>
    <w:rsid w:val="00C30C0A"/>
    <w:rsid w:val="00C318F3"/>
    <w:rsid w:val="00C31C4E"/>
    <w:rsid w:val="00C31EE5"/>
    <w:rsid w:val="00C322C9"/>
    <w:rsid w:val="00C322E5"/>
    <w:rsid w:val="00C32E68"/>
    <w:rsid w:val="00C3312E"/>
    <w:rsid w:val="00C33749"/>
    <w:rsid w:val="00C33797"/>
    <w:rsid w:val="00C33B9A"/>
    <w:rsid w:val="00C3474B"/>
    <w:rsid w:val="00C34A6C"/>
    <w:rsid w:val="00C34AAE"/>
    <w:rsid w:val="00C34AEC"/>
    <w:rsid w:val="00C34B7B"/>
    <w:rsid w:val="00C34BDB"/>
    <w:rsid w:val="00C34C62"/>
    <w:rsid w:val="00C35436"/>
    <w:rsid w:val="00C358B7"/>
    <w:rsid w:val="00C35AC4"/>
    <w:rsid w:val="00C35AED"/>
    <w:rsid w:val="00C35B58"/>
    <w:rsid w:val="00C35E80"/>
    <w:rsid w:val="00C35EF2"/>
    <w:rsid w:val="00C35FA6"/>
    <w:rsid w:val="00C3641E"/>
    <w:rsid w:val="00C36480"/>
    <w:rsid w:val="00C364C5"/>
    <w:rsid w:val="00C36739"/>
    <w:rsid w:val="00C3685E"/>
    <w:rsid w:val="00C36F1C"/>
    <w:rsid w:val="00C370E9"/>
    <w:rsid w:val="00C37A99"/>
    <w:rsid w:val="00C37F12"/>
    <w:rsid w:val="00C37F2D"/>
    <w:rsid w:val="00C37FC1"/>
    <w:rsid w:val="00C400D0"/>
    <w:rsid w:val="00C40489"/>
    <w:rsid w:val="00C40504"/>
    <w:rsid w:val="00C408EB"/>
    <w:rsid w:val="00C40C0E"/>
    <w:rsid w:val="00C40D00"/>
    <w:rsid w:val="00C410E9"/>
    <w:rsid w:val="00C413CB"/>
    <w:rsid w:val="00C41460"/>
    <w:rsid w:val="00C41621"/>
    <w:rsid w:val="00C41856"/>
    <w:rsid w:val="00C41C47"/>
    <w:rsid w:val="00C41D67"/>
    <w:rsid w:val="00C42143"/>
    <w:rsid w:val="00C42912"/>
    <w:rsid w:val="00C42A1F"/>
    <w:rsid w:val="00C42B0F"/>
    <w:rsid w:val="00C42B2F"/>
    <w:rsid w:val="00C42D93"/>
    <w:rsid w:val="00C43711"/>
    <w:rsid w:val="00C43A0A"/>
    <w:rsid w:val="00C43A1F"/>
    <w:rsid w:val="00C43A60"/>
    <w:rsid w:val="00C43BE0"/>
    <w:rsid w:val="00C43BFE"/>
    <w:rsid w:val="00C43DE6"/>
    <w:rsid w:val="00C43FA6"/>
    <w:rsid w:val="00C44018"/>
    <w:rsid w:val="00C44050"/>
    <w:rsid w:val="00C44204"/>
    <w:rsid w:val="00C442B6"/>
    <w:rsid w:val="00C448BB"/>
    <w:rsid w:val="00C45077"/>
    <w:rsid w:val="00C451FD"/>
    <w:rsid w:val="00C4526D"/>
    <w:rsid w:val="00C454D4"/>
    <w:rsid w:val="00C45545"/>
    <w:rsid w:val="00C45B73"/>
    <w:rsid w:val="00C45C2F"/>
    <w:rsid w:val="00C45F38"/>
    <w:rsid w:val="00C4608B"/>
    <w:rsid w:val="00C46637"/>
    <w:rsid w:val="00C46AF2"/>
    <w:rsid w:val="00C46EB8"/>
    <w:rsid w:val="00C47193"/>
    <w:rsid w:val="00C471B9"/>
    <w:rsid w:val="00C476E4"/>
    <w:rsid w:val="00C47930"/>
    <w:rsid w:val="00C47993"/>
    <w:rsid w:val="00C47C63"/>
    <w:rsid w:val="00C50262"/>
    <w:rsid w:val="00C50312"/>
    <w:rsid w:val="00C503FC"/>
    <w:rsid w:val="00C508C5"/>
    <w:rsid w:val="00C508C6"/>
    <w:rsid w:val="00C50AB2"/>
    <w:rsid w:val="00C50C30"/>
    <w:rsid w:val="00C510A7"/>
    <w:rsid w:val="00C513A8"/>
    <w:rsid w:val="00C51425"/>
    <w:rsid w:val="00C5172F"/>
    <w:rsid w:val="00C51B4B"/>
    <w:rsid w:val="00C51DB6"/>
    <w:rsid w:val="00C51FDE"/>
    <w:rsid w:val="00C51FE0"/>
    <w:rsid w:val="00C52079"/>
    <w:rsid w:val="00C52676"/>
    <w:rsid w:val="00C5316B"/>
    <w:rsid w:val="00C5319A"/>
    <w:rsid w:val="00C53460"/>
    <w:rsid w:val="00C5393E"/>
    <w:rsid w:val="00C53977"/>
    <w:rsid w:val="00C53DCD"/>
    <w:rsid w:val="00C5409B"/>
    <w:rsid w:val="00C54BEA"/>
    <w:rsid w:val="00C54D15"/>
    <w:rsid w:val="00C54FE0"/>
    <w:rsid w:val="00C55372"/>
    <w:rsid w:val="00C555F5"/>
    <w:rsid w:val="00C55629"/>
    <w:rsid w:val="00C55713"/>
    <w:rsid w:val="00C55BEB"/>
    <w:rsid w:val="00C55FA4"/>
    <w:rsid w:val="00C564CB"/>
    <w:rsid w:val="00C568EE"/>
    <w:rsid w:val="00C56C9D"/>
    <w:rsid w:val="00C56CE0"/>
    <w:rsid w:val="00C57269"/>
    <w:rsid w:val="00C57377"/>
    <w:rsid w:val="00C574BF"/>
    <w:rsid w:val="00C57519"/>
    <w:rsid w:val="00C5758D"/>
    <w:rsid w:val="00C575D8"/>
    <w:rsid w:val="00C5763C"/>
    <w:rsid w:val="00C57641"/>
    <w:rsid w:val="00C604D4"/>
    <w:rsid w:val="00C604DC"/>
    <w:rsid w:val="00C60556"/>
    <w:rsid w:val="00C609ED"/>
    <w:rsid w:val="00C60B5C"/>
    <w:rsid w:val="00C60B8C"/>
    <w:rsid w:val="00C60BCA"/>
    <w:rsid w:val="00C60C31"/>
    <w:rsid w:val="00C60CD5"/>
    <w:rsid w:val="00C60F31"/>
    <w:rsid w:val="00C610A7"/>
    <w:rsid w:val="00C6163F"/>
    <w:rsid w:val="00C61F65"/>
    <w:rsid w:val="00C62028"/>
    <w:rsid w:val="00C6231D"/>
    <w:rsid w:val="00C62A23"/>
    <w:rsid w:val="00C62A38"/>
    <w:rsid w:val="00C62D85"/>
    <w:rsid w:val="00C63094"/>
    <w:rsid w:val="00C63185"/>
    <w:rsid w:val="00C63513"/>
    <w:rsid w:val="00C635F3"/>
    <w:rsid w:val="00C6362A"/>
    <w:rsid w:val="00C6376A"/>
    <w:rsid w:val="00C63F92"/>
    <w:rsid w:val="00C64515"/>
    <w:rsid w:val="00C646DB"/>
    <w:rsid w:val="00C64E5B"/>
    <w:rsid w:val="00C64FA6"/>
    <w:rsid w:val="00C64FBF"/>
    <w:rsid w:val="00C6545D"/>
    <w:rsid w:val="00C65585"/>
    <w:rsid w:val="00C656B5"/>
    <w:rsid w:val="00C65930"/>
    <w:rsid w:val="00C65A63"/>
    <w:rsid w:val="00C65A98"/>
    <w:rsid w:val="00C65C6C"/>
    <w:rsid w:val="00C65F4D"/>
    <w:rsid w:val="00C65FBD"/>
    <w:rsid w:val="00C66AC9"/>
    <w:rsid w:val="00C66C2C"/>
    <w:rsid w:val="00C67009"/>
    <w:rsid w:val="00C67087"/>
    <w:rsid w:val="00C67146"/>
    <w:rsid w:val="00C671CC"/>
    <w:rsid w:val="00C67501"/>
    <w:rsid w:val="00C67758"/>
    <w:rsid w:val="00C67AAB"/>
    <w:rsid w:val="00C67AE4"/>
    <w:rsid w:val="00C70082"/>
    <w:rsid w:val="00C70250"/>
    <w:rsid w:val="00C70402"/>
    <w:rsid w:val="00C707EA"/>
    <w:rsid w:val="00C70A5C"/>
    <w:rsid w:val="00C70BC8"/>
    <w:rsid w:val="00C70BFA"/>
    <w:rsid w:val="00C71468"/>
    <w:rsid w:val="00C717DD"/>
    <w:rsid w:val="00C71975"/>
    <w:rsid w:val="00C71CC7"/>
    <w:rsid w:val="00C71D5D"/>
    <w:rsid w:val="00C72141"/>
    <w:rsid w:val="00C72554"/>
    <w:rsid w:val="00C72AC5"/>
    <w:rsid w:val="00C72B46"/>
    <w:rsid w:val="00C72C64"/>
    <w:rsid w:val="00C7325E"/>
    <w:rsid w:val="00C735B9"/>
    <w:rsid w:val="00C736E9"/>
    <w:rsid w:val="00C7452A"/>
    <w:rsid w:val="00C749C9"/>
    <w:rsid w:val="00C74C29"/>
    <w:rsid w:val="00C75284"/>
    <w:rsid w:val="00C75367"/>
    <w:rsid w:val="00C75518"/>
    <w:rsid w:val="00C75896"/>
    <w:rsid w:val="00C75A36"/>
    <w:rsid w:val="00C76132"/>
    <w:rsid w:val="00C76452"/>
    <w:rsid w:val="00C76704"/>
    <w:rsid w:val="00C76C8D"/>
    <w:rsid w:val="00C76C9E"/>
    <w:rsid w:val="00C76EAE"/>
    <w:rsid w:val="00C7714F"/>
    <w:rsid w:val="00C77152"/>
    <w:rsid w:val="00C77366"/>
    <w:rsid w:val="00C77563"/>
    <w:rsid w:val="00C77A33"/>
    <w:rsid w:val="00C77B1D"/>
    <w:rsid w:val="00C800AF"/>
    <w:rsid w:val="00C8041C"/>
    <w:rsid w:val="00C80561"/>
    <w:rsid w:val="00C80588"/>
    <w:rsid w:val="00C80717"/>
    <w:rsid w:val="00C8078B"/>
    <w:rsid w:val="00C80DFA"/>
    <w:rsid w:val="00C8106E"/>
    <w:rsid w:val="00C81B61"/>
    <w:rsid w:val="00C8234F"/>
    <w:rsid w:val="00C826BE"/>
    <w:rsid w:val="00C827B4"/>
    <w:rsid w:val="00C827CB"/>
    <w:rsid w:val="00C82AB7"/>
    <w:rsid w:val="00C82D1F"/>
    <w:rsid w:val="00C82D95"/>
    <w:rsid w:val="00C82E46"/>
    <w:rsid w:val="00C833D1"/>
    <w:rsid w:val="00C834F0"/>
    <w:rsid w:val="00C83644"/>
    <w:rsid w:val="00C8390E"/>
    <w:rsid w:val="00C8396A"/>
    <w:rsid w:val="00C83990"/>
    <w:rsid w:val="00C83AF2"/>
    <w:rsid w:val="00C83B15"/>
    <w:rsid w:val="00C83E1A"/>
    <w:rsid w:val="00C84247"/>
    <w:rsid w:val="00C843D4"/>
    <w:rsid w:val="00C84467"/>
    <w:rsid w:val="00C844C0"/>
    <w:rsid w:val="00C84696"/>
    <w:rsid w:val="00C84835"/>
    <w:rsid w:val="00C8496A"/>
    <w:rsid w:val="00C84B0D"/>
    <w:rsid w:val="00C8501B"/>
    <w:rsid w:val="00C85A2E"/>
    <w:rsid w:val="00C85D2E"/>
    <w:rsid w:val="00C85DC3"/>
    <w:rsid w:val="00C861A6"/>
    <w:rsid w:val="00C86343"/>
    <w:rsid w:val="00C8670F"/>
    <w:rsid w:val="00C86950"/>
    <w:rsid w:val="00C86CC9"/>
    <w:rsid w:val="00C86FD9"/>
    <w:rsid w:val="00C8717D"/>
    <w:rsid w:val="00C872E1"/>
    <w:rsid w:val="00C873A2"/>
    <w:rsid w:val="00C876B2"/>
    <w:rsid w:val="00C87876"/>
    <w:rsid w:val="00C87A3F"/>
    <w:rsid w:val="00C90097"/>
    <w:rsid w:val="00C90135"/>
    <w:rsid w:val="00C9030B"/>
    <w:rsid w:val="00C90337"/>
    <w:rsid w:val="00C90428"/>
    <w:rsid w:val="00C904D6"/>
    <w:rsid w:val="00C905C7"/>
    <w:rsid w:val="00C91217"/>
    <w:rsid w:val="00C915D6"/>
    <w:rsid w:val="00C91A09"/>
    <w:rsid w:val="00C92332"/>
    <w:rsid w:val="00C92804"/>
    <w:rsid w:val="00C9281B"/>
    <w:rsid w:val="00C92CCE"/>
    <w:rsid w:val="00C930D3"/>
    <w:rsid w:val="00C9320F"/>
    <w:rsid w:val="00C93EFA"/>
    <w:rsid w:val="00C9412E"/>
    <w:rsid w:val="00C94657"/>
    <w:rsid w:val="00C9479E"/>
    <w:rsid w:val="00C94955"/>
    <w:rsid w:val="00C94D7A"/>
    <w:rsid w:val="00C94E5E"/>
    <w:rsid w:val="00C950E1"/>
    <w:rsid w:val="00C95672"/>
    <w:rsid w:val="00C957AA"/>
    <w:rsid w:val="00C95800"/>
    <w:rsid w:val="00C959DF"/>
    <w:rsid w:val="00C95AE1"/>
    <w:rsid w:val="00C95DB2"/>
    <w:rsid w:val="00C95EBC"/>
    <w:rsid w:val="00C961B3"/>
    <w:rsid w:val="00C96C86"/>
    <w:rsid w:val="00C96DF2"/>
    <w:rsid w:val="00C97183"/>
    <w:rsid w:val="00C97283"/>
    <w:rsid w:val="00C97334"/>
    <w:rsid w:val="00C97427"/>
    <w:rsid w:val="00C977CB"/>
    <w:rsid w:val="00C979C5"/>
    <w:rsid w:val="00C97AD0"/>
    <w:rsid w:val="00C97F8D"/>
    <w:rsid w:val="00CA00D8"/>
    <w:rsid w:val="00CA03FB"/>
    <w:rsid w:val="00CA05B3"/>
    <w:rsid w:val="00CA0830"/>
    <w:rsid w:val="00CA0DB9"/>
    <w:rsid w:val="00CA1DD8"/>
    <w:rsid w:val="00CA22B3"/>
    <w:rsid w:val="00CA2AE1"/>
    <w:rsid w:val="00CA2AE8"/>
    <w:rsid w:val="00CA2AFC"/>
    <w:rsid w:val="00CA2C80"/>
    <w:rsid w:val="00CA2DCD"/>
    <w:rsid w:val="00CA2F8A"/>
    <w:rsid w:val="00CA30BC"/>
    <w:rsid w:val="00CA36D1"/>
    <w:rsid w:val="00CA372F"/>
    <w:rsid w:val="00CA3B5A"/>
    <w:rsid w:val="00CA3F97"/>
    <w:rsid w:val="00CA3FF1"/>
    <w:rsid w:val="00CA41FE"/>
    <w:rsid w:val="00CA467D"/>
    <w:rsid w:val="00CA46FF"/>
    <w:rsid w:val="00CA47C7"/>
    <w:rsid w:val="00CA48A3"/>
    <w:rsid w:val="00CA4D54"/>
    <w:rsid w:val="00CA4D76"/>
    <w:rsid w:val="00CA4F92"/>
    <w:rsid w:val="00CA4FD1"/>
    <w:rsid w:val="00CA53A5"/>
    <w:rsid w:val="00CA5486"/>
    <w:rsid w:val="00CA5666"/>
    <w:rsid w:val="00CA62ED"/>
    <w:rsid w:val="00CA639B"/>
    <w:rsid w:val="00CA690C"/>
    <w:rsid w:val="00CA6943"/>
    <w:rsid w:val="00CA6952"/>
    <w:rsid w:val="00CA6BC9"/>
    <w:rsid w:val="00CA7280"/>
    <w:rsid w:val="00CA7297"/>
    <w:rsid w:val="00CA77E5"/>
    <w:rsid w:val="00CA796E"/>
    <w:rsid w:val="00CA7A89"/>
    <w:rsid w:val="00CA7BFC"/>
    <w:rsid w:val="00CA7CD5"/>
    <w:rsid w:val="00CA7E99"/>
    <w:rsid w:val="00CB00C6"/>
    <w:rsid w:val="00CB017E"/>
    <w:rsid w:val="00CB0684"/>
    <w:rsid w:val="00CB0AAA"/>
    <w:rsid w:val="00CB10C9"/>
    <w:rsid w:val="00CB12EE"/>
    <w:rsid w:val="00CB1517"/>
    <w:rsid w:val="00CB1935"/>
    <w:rsid w:val="00CB1DC2"/>
    <w:rsid w:val="00CB1EC6"/>
    <w:rsid w:val="00CB1EDC"/>
    <w:rsid w:val="00CB217A"/>
    <w:rsid w:val="00CB2680"/>
    <w:rsid w:val="00CB2AAC"/>
    <w:rsid w:val="00CB2C41"/>
    <w:rsid w:val="00CB2F0F"/>
    <w:rsid w:val="00CB3139"/>
    <w:rsid w:val="00CB3248"/>
    <w:rsid w:val="00CB3588"/>
    <w:rsid w:val="00CB358F"/>
    <w:rsid w:val="00CB3756"/>
    <w:rsid w:val="00CB3C23"/>
    <w:rsid w:val="00CB3CCE"/>
    <w:rsid w:val="00CB3E76"/>
    <w:rsid w:val="00CB4273"/>
    <w:rsid w:val="00CB430E"/>
    <w:rsid w:val="00CB47B3"/>
    <w:rsid w:val="00CB4A37"/>
    <w:rsid w:val="00CB4BC2"/>
    <w:rsid w:val="00CB4DFE"/>
    <w:rsid w:val="00CB50D4"/>
    <w:rsid w:val="00CB5220"/>
    <w:rsid w:val="00CB52DB"/>
    <w:rsid w:val="00CB53A4"/>
    <w:rsid w:val="00CB5810"/>
    <w:rsid w:val="00CB5EBF"/>
    <w:rsid w:val="00CB5F6C"/>
    <w:rsid w:val="00CB5FB2"/>
    <w:rsid w:val="00CB60BC"/>
    <w:rsid w:val="00CB62AE"/>
    <w:rsid w:val="00CB6824"/>
    <w:rsid w:val="00CB68F4"/>
    <w:rsid w:val="00CB6A1F"/>
    <w:rsid w:val="00CB6DC2"/>
    <w:rsid w:val="00CB7087"/>
    <w:rsid w:val="00CB718B"/>
    <w:rsid w:val="00CB71EB"/>
    <w:rsid w:val="00CB750F"/>
    <w:rsid w:val="00CB7D73"/>
    <w:rsid w:val="00CB7E15"/>
    <w:rsid w:val="00CC028B"/>
    <w:rsid w:val="00CC0706"/>
    <w:rsid w:val="00CC0B03"/>
    <w:rsid w:val="00CC0E81"/>
    <w:rsid w:val="00CC0F51"/>
    <w:rsid w:val="00CC10F9"/>
    <w:rsid w:val="00CC11DD"/>
    <w:rsid w:val="00CC12A1"/>
    <w:rsid w:val="00CC1672"/>
    <w:rsid w:val="00CC2112"/>
    <w:rsid w:val="00CC2902"/>
    <w:rsid w:val="00CC296B"/>
    <w:rsid w:val="00CC2BAF"/>
    <w:rsid w:val="00CC2C8D"/>
    <w:rsid w:val="00CC2CC9"/>
    <w:rsid w:val="00CC2E9D"/>
    <w:rsid w:val="00CC326A"/>
    <w:rsid w:val="00CC328B"/>
    <w:rsid w:val="00CC32F9"/>
    <w:rsid w:val="00CC342D"/>
    <w:rsid w:val="00CC35D7"/>
    <w:rsid w:val="00CC369B"/>
    <w:rsid w:val="00CC3BDB"/>
    <w:rsid w:val="00CC40EB"/>
    <w:rsid w:val="00CC41DD"/>
    <w:rsid w:val="00CC44B0"/>
    <w:rsid w:val="00CC466F"/>
    <w:rsid w:val="00CC46AA"/>
    <w:rsid w:val="00CC49B1"/>
    <w:rsid w:val="00CC4D5B"/>
    <w:rsid w:val="00CC50EA"/>
    <w:rsid w:val="00CC52E4"/>
    <w:rsid w:val="00CC542B"/>
    <w:rsid w:val="00CC5665"/>
    <w:rsid w:val="00CC5A69"/>
    <w:rsid w:val="00CC66D7"/>
    <w:rsid w:val="00CC6C7B"/>
    <w:rsid w:val="00CC71AB"/>
    <w:rsid w:val="00CC7638"/>
    <w:rsid w:val="00CC7828"/>
    <w:rsid w:val="00CC7C47"/>
    <w:rsid w:val="00CD0031"/>
    <w:rsid w:val="00CD0059"/>
    <w:rsid w:val="00CD0A66"/>
    <w:rsid w:val="00CD0D77"/>
    <w:rsid w:val="00CD0FB3"/>
    <w:rsid w:val="00CD12C5"/>
    <w:rsid w:val="00CD139C"/>
    <w:rsid w:val="00CD16D7"/>
    <w:rsid w:val="00CD1917"/>
    <w:rsid w:val="00CD1B95"/>
    <w:rsid w:val="00CD1BDF"/>
    <w:rsid w:val="00CD1E04"/>
    <w:rsid w:val="00CD25F6"/>
    <w:rsid w:val="00CD2B5B"/>
    <w:rsid w:val="00CD2F96"/>
    <w:rsid w:val="00CD34C3"/>
    <w:rsid w:val="00CD3593"/>
    <w:rsid w:val="00CD3604"/>
    <w:rsid w:val="00CD3909"/>
    <w:rsid w:val="00CD3D02"/>
    <w:rsid w:val="00CD411A"/>
    <w:rsid w:val="00CD417C"/>
    <w:rsid w:val="00CD418D"/>
    <w:rsid w:val="00CD435D"/>
    <w:rsid w:val="00CD498F"/>
    <w:rsid w:val="00CD4A67"/>
    <w:rsid w:val="00CD4B8D"/>
    <w:rsid w:val="00CD4C5A"/>
    <w:rsid w:val="00CD5419"/>
    <w:rsid w:val="00CD550C"/>
    <w:rsid w:val="00CD5CB0"/>
    <w:rsid w:val="00CD5E5D"/>
    <w:rsid w:val="00CD605C"/>
    <w:rsid w:val="00CD61CB"/>
    <w:rsid w:val="00CD62C6"/>
    <w:rsid w:val="00CD66C7"/>
    <w:rsid w:val="00CD6838"/>
    <w:rsid w:val="00CD684E"/>
    <w:rsid w:val="00CD6896"/>
    <w:rsid w:val="00CD68C6"/>
    <w:rsid w:val="00CD68F9"/>
    <w:rsid w:val="00CD6A80"/>
    <w:rsid w:val="00CD6B85"/>
    <w:rsid w:val="00CD6B8F"/>
    <w:rsid w:val="00CD6BD0"/>
    <w:rsid w:val="00CD6DCB"/>
    <w:rsid w:val="00CD6F3E"/>
    <w:rsid w:val="00CD7104"/>
    <w:rsid w:val="00CD77EA"/>
    <w:rsid w:val="00CD7BC0"/>
    <w:rsid w:val="00CE09C2"/>
    <w:rsid w:val="00CE0A59"/>
    <w:rsid w:val="00CE0B00"/>
    <w:rsid w:val="00CE0D8E"/>
    <w:rsid w:val="00CE0E56"/>
    <w:rsid w:val="00CE10A4"/>
    <w:rsid w:val="00CE12EB"/>
    <w:rsid w:val="00CE17DD"/>
    <w:rsid w:val="00CE1A52"/>
    <w:rsid w:val="00CE1F2E"/>
    <w:rsid w:val="00CE1FF3"/>
    <w:rsid w:val="00CE2016"/>
    <w:rsid w:val="00CE2183"/>
    <w:rsid w:val="00CE219F"/>
    <w:rsid w:val="00CE2D9C"/>
    <w:rsid w:val="00CE2FF0"/>
    <w:rsid w:val="00CE3597"/>
    <w:rsid w:val="00CE3773"/>
    <w:rsid w:val="00CE4780"/>
    <w:rsid w:val="00CE5087"/>
    <w:rsid w:val="00CE5210"/>
    <w:rsid w:val="00CE524E"/>
    <w:rsid w:val="00CE55F0"/>
    <w:rsid w:val="00CE5BC9"/>
    <w:rsid w:val="00CE5D96"/>
    <w:rsid w:val="00CE67EF"/>
    <w:rsid w:val="00CE6922"/>
    <w:rsid w:val="00CE7038"/>
    <w:rsid w:val="00CE720B"/>
    <w:rsid w:val="00CE722A"/>
    <w:rsid w:val="00CE7505"/>
    <w:rsid w:val="00CE7642"/>
    <w:rsid w:val="00CE7927"/>
    <w:rsid w:val="00CE79F3"/>
    <w:rsid w:val="00CE7DBA"/>
    <w:rsid w:val="00CF0427"/>
    <w:rsid w:val="00CF05D5"/>
    <w:rsid w:val="00CF08F8"/>
    <w:rsid w:val="00CF0E55"/>
    <w:rsid w:val="00CF0EC2"/>
    <w:rsid w:val="00CF0FBD"/>
    <w:rsid w:val="00CF18D2"/>
    <w:rsid w:val="00CF1941"/>
    <w:rsid w:val="00CF1AEE"/>
    <w:rsid w:val="00CF255F"/>
    <w:rsid w:val="00CF294E"/>
    <w:rsid w:val="00CF29B6"/>
    <w:rsid w:val="00CF2A1A"/>
    <w:rsid w:val="00CF2C34"/>
    <w:rsid w:val="00CF2E2E"/>
    <w:rsid w:val="00CF3019"/>
    <w:rsid w:val="00CF3446"/>
    <w:rsid w:val="00CF3507"/>
    <w:rsid w:val="00CF3511"/>
    <w:rsid w:val="00CF3526"/>
    <w:rsid w:val="00CF3C61"/>
    <w:rsid w:val="00CF3E93"/>
    <w:rsid w:val="00CF4241"/>
    <w:rsid w:val="00CF44B8"/>
    <w:rsid w:val="00CF4957"/>
    <w:rsid w:val="00CF4AC7"/>
    <w:rsid w:val="00CF4C48"/>
    <w:rsid w:val="00CF4D2F"/>
    <w:rsid w:val="00CF4E7B"/>
    <w:rsid w:val="00CF5000"/>
    <w:rsid w:val="00CF5012"/>
    <w:rsid w:val="00CF5AA9"/>
    <w:rsid w:val="00CF6786"/>
    <w:rsid w:val="00CF6BD3"/>
    <w:rsid w:val="00CF6FAB"/>
    <w:rsid w:val="00CF719F"/>
    <w:rsid w:val="00CF722A"/>
    <w:rsid w:val="00CF739C"/>
    <w:rsid w:val="00CF7455"/>
    <w:rsid w:val="00CF74C0"/>
    <w:rsid w:val="00CF7630"/>
    <w:rsid w:val="00CF7788"/>
    <w:rsid w:val="00CF7B6F"/>
    <w:rsid w:val="00CF7BBE"/>
    <w:rsid w:val="00CF7FE3"/>
    <w:rsid w:val="00D00415"/>
    <w:rsid w:val="00D007D5"/>
    <w:rsid w:val="00D00D87"/>
    <w:rsid w:val="00D01179"/>
    <w:rsid w:val="00D01555"/>
    <w:rsid w:val="00D0163B"/>
    <w:rsid w:val="00D02619"/>
    <w:rsid w:val="00D02945"/>
    <w:rsid w:val="00D02B57"/>
    <w:rsid w:val="00D02CE3"/>
    <w:rsid w:val="00D02FB0"/>
    <w:rsid w:val="00D030A4"/>
    <w:rsid w:val="00D030C4"/>
    <w:rsid w:val="00D031BD"/>
    <w:rsid w:val="00D032E1"/>
    <w:rsid w:val="00D0338B"/>
    <w:rsid w:val="00D033A4"/>
    <w:rsid w:val="00D036D7"/>
    <w:rsid w:val="00D04478"/>
    <w:rsid w:val="00D04546"/>
    <w:rsid w:val="00D046B5"/>
    <w:rsid w:val="00D049EE"/>
    <w:rsid w:val="00D04A4E"/>
    <w:rsid w:val="00D04AE8"/>
    <w:rsid w:val="00D04D2B"/>
    <w:rsid w:val="00D052AB"/>
    <w:rsid w:val="00D0533D"/>
    <w:rsid w:val="00D053CA"/>
    <w:rsid w:val="00D054DD"/>
    <w:rsid w:val="00D055A9"/>
    <w:rsid w:val="00D05640"/>
    <w:rsid w:val="00D05736"/>
    <w:rsid w:val="00D05BF2"/>
    <w:rsid w:val="00D05C53"/>
    <w:rsid w:val="00D05FE1"/>
    <w:rsid w:val="00D061B4"/>
    <w:rsid w:val="00D0637F"/>
    <w:rsid w:val="00D065BC"/>
    <w:rsid w:val="00D06785"/>
    <w:rsid w:val="00D067B0"/>
    <w:rsid w:val="00D07037"/>
    <w:rsid w:val="00D076BB"/>
    <w:rsid w:val="00D077F3"/>
    <w:rsid w:val="00D10061"/>
    <w:rsid w:val="00D10142"/>
    <w:rsid w:val="00D101FA"/>
    <w:rsid w:val="00D104DD"/>
    <w:rsid w:val="00D104E3"/>
    <w:rsid w:val="00D10A4D"/>
    <w:rsid w:val="00D10C04"/>
    <w:rsid w:val="00D11784"/>
    <w:rsid w:val="00D11C2D"/>
    <w:rsid w:val="00D120DA"/>
    <w:rsid w:val="00D121FA"/>
    <w:rsid w:val="00D1272F"/>
    <w:rsid w:val="00D1285A"/>
    <w:rsid w:val="00D12A08"/>
    <w:rsid w:val="00D12FC5"/>
    <w:rsid w:val="00D13021"/>
    <w:rsid w:val="00D13483"/>
    <w:rsid w:val="00D136D6"/>
    <w:rsid w:val="00D13B7E"/>
    <w:rsid w:val="00D13C6F"/>
    <w:rsid w:val="00D13D91"/>
    <w:rsid w:val="00D13E64"/>
    <w:rsid w:val="00D13F82"/>
    <w:rsid w:val="00D13FFE"/>
    <w:rsid w:val="00D14314"/>
    <w:rsid w:val="00D143B8"/>
    <w:rsid w:val="00D146D3"/>
    <w:rsid w:val="00D14F87"/>
    <w:rsid w:val="00D1526E"/>
    <w:rsid w:val="00D158D8"/>
    <w:rsid w:val="00D15C37"/>
    <w:rsid w:val="00D15E66"/>
    <w:rsid w:val="00D15EBD"/>
    <w:rsid w:val="00D160B8"/>
    <w:rsid w:val="00D163FC"/>
    <w:rsid w:val="00D164A3"/>
    <w:rsid w:val="00D165C4"/>
    <w:rsid w:val="00D166DA"/>
    <w:rsid w:val="00D16862"/>
    <w:rsid w:val="00D16C91"/>
    <w:rsid w:val="00D16D44"/>
    <w:rsid w:val="00D16EAF"/>
    <w:rsid w:val="00D170CB"/>
    <w:rsid w:val="00D171B2"/>
    <w:rsid w:val="00D174FE"/>
    <w:rsid w:val="00D1763A"/>
    <w:rsid w:val="00D176AB"/>
    <w:rsid w:val="00D17A79"/>
    <w:rsid w:val="00D17AF1"/>
    <w:rsid w:val="00D17DAC"/>
    <w:rsid w:val="00D17DDD"/>
    <w:rsid w:val="00D17F9C"/>
    <w:rsid w:val="00D202C5"/>
    <w:rsid w:val="00D203E6"/>
    <w:rsid w:val="00D20700"/>
    <w:rsid w:val="00D2096F"/>
    <w:rsid w:val="00D20CE4"/>
    <w:rsid w:val="00D20D9B"/>
    <w:rsid w:val="00D20FD4"/>
    <w:rsid w:val="00D21187"/>
    <w:rsid w:val="00D21253"/>
    <w:rsid w:val="00D212B7"/>
    <w:rsid w:val="00D212BF"/>
    <w:rsid w:val="00D2131D"/>
    <w:rsid w:val="00D214DE"/>
    <w:rsid w:val="00D21523"/>
    <w:rsid w:val="00D219CE"/>
    <w:rsid w:val="00D21E2F"/>
    <w:rsid w:val="00D222F3"/>
    <w:rsid w:val="00D23263"/>
    <w:rsid w:val="00D2343F"/>
    <w:rsid w:val="00D23451"/>
    <w:rsid w:val="00D2345B"/>
    <w:rsid w:val="00D237E2"/>
    <w:rsid w:val="00D23811"/>
    <w:rsid w:val="00D23A6F"/>
    <w:rsid w:val="00D23AED"/>
    <w:rsid w:val="00D23C35"/>
    <w:rsid w:val="00D24145"/>
    <w:rsid w:val="00D24191"/>
    <w:rsid w:val="00D245AA"/>
    <w:rsid w:val="00D2461D"/>
    <w:rsid w:val="00D24665"/>
    <w:rsid w:val="00D2467B"/>
    <w:rsid w:val="00D2483C"/>
    <w:rsid w:val="00D24D8C"/>
    <w:rsid w:val="00D24FD0"/>
    <w:rsid w:val="00D2501F"/>
    <w:rsid w:val="00D251E6"/>
    <w:rsid w:val="00D25307"/>
    <w:rsid w:val="00D2539C"/>
    <w:rsid w:val="00D254E9"/>
    <w:rsid w:val="00D25520"/>
    <w:rsid w:val="00D255CF"/>
    <w:rsid w:val="00D255ED"/>
    <w:rsid w:val="00D262B1"/>
    <w:rsid w:val="00D2678E"/>
    <w:rsid w:val="00D26863"/>
    <w:rsid w:val="00D2694C"/>
    <w:rsid w:val="00D26D9B"/>
    <w:rsid w:val="00D26F57"/>
    <w:rsid w:val="00D271C9"/>
    <w:rsid w:val="00D272A2"/>
    <w:rsid w:val="00D276BB"/>
    <w:rsid w:val="00D27853"/>
    <w:rsid w:val="00D27F63"/>
    <w:rsid w:val="00D301A2"/>
    <w:rsid w:val="00D304E0"/>
    <w:rsid w:val="00D306D4"/>
    <w:rsid w:val="00D30A13"/>
    <w:rsid w:val="00D30AE0"/>
    <w:rsid w:val="00D310AE"/>
    <w:rsid w:val="00D31270"/>
    <w:rsid w:val="00D31763"/>
    <w:rsid w:val="00D32155"/>
    <w:rsid w:val="00D321B8"/>
    <w:rsid w:val="00D3239C"/>
    <w:rsid w:val="00D32442"/>
    <w:rsid w:val="00D3255F"/>
    <w:rsid w:val="00D3296E"/>
    <w:rsid w:val="00D32B2F"/>
    <w:rsid w:val="00D3307C"/>
    <w:rsid w:val="00D331A9"/>
    <w:rsid w:val="00D331F1"/>
    <w:rsid w:val="00D3342A"/>
    <w:rsid w:val="00D33581"/>
    <w:rsid w:val="00D33986"/>
    <w:rsid w:val="00D33AC0"/>
    <w:rsid w:val="00D33D9E"/>
    <w:rsid w:val="00D34313"/>
    <w:rsid w:val="00D3434A"/>
    <w:rsid w:val="00D34379"/>
    <w:rsid w:val="00D34F04"/>
    <w:rsid w:val="00D34FB1"/>
    <w:rsid w:val="00D350AF"/>
    <w:rsid w:val="00D353D1"/>
    <w:rsid w:val="00D355D1"/>
    <w:rsid w:val="00D358BB"/>
    <w:rsid w:val="00D3601B"/>
    <w:rsid w:val="00D360D5"/>
    <w:rsid w:val="00D36107"/>
    <w:rsid w:val="00D36533"/>
    <w:rsid w:val="00D36A87"/>
    <w:rsid w:val="00D37058"/>
    <w:rsid w:val="00D37392"/>
    <w:rsid w:val="00D376CF"/>
    <w:rsid w:val="00D37785"/>
    <w:rsid w:val="00D379A8"/>
    <w:rsid w:val="00D37BDE"/>
    <w:rsid w:val="00D37E14"/>
    <w:rsid w:val="00D37F37"/>
    <w:rsid w:val="00D400D0"/>
    <w:rsid w:val="00D40B8D"/>
    <w:rsid w:val="00D40D1B"/>
    <w:rsid w:val="00D41040"/>
    <w:rsid w:val="00D411B3"/>
    <w:rsid w:val="00D413EC"/>
    <w:rsid w:val="00D41840"/>
    <w:rsid w:val="00D41B28"/>
    <w:rsid w:val="00D41BDF"/>
    <w:rsid w:val="00D41C99"/>
    <w:rsid w:val="00D41CE7"/>
    <w:rsid w:val="00D41D11"/>
    <w:rsid w:val="00D41E44"/>
    <w:rsid w:val="00D42591"/>
    <w:rsid w:val="00D4312C"/>
    <w:rsid w:val="00D433C8"/>
    <w:rsid w:val="00D43633"/>
    <w:rsid w:val="00D43FEA"/>
    <w:rsid w:val="00D44172"/>
    <w:rsid w:val="00D4421B"/>
    <w:rsid w:val="00D4444E"/>
    <w:rsid w:val="00D445E6"/>
    <w:rsid w:val="00D447BF"/>
    <w:rsid w:val="00D449C1"/>
    <w:rsid w:val="00D44A16"/>
    <w:rsid w:val="00D45A9E"/>
    <w:rsid w:val="00D45B10"/>
    <w:rsid w:val="00D45E05"/>
    <w:rsid w:val="00D45F34"/>
    <w:rsid w:val="00D462E4"/>
    <w:rsid w:val="00D467FA"/>
    <w:rsid w:val="00D4689B"/>
    <w:rsid w:val="00D4689C"/>
    <w:rsid w:val="00D46D76"/>
    <w:rsid w:val="00D46E18"/>
    <w:rsid w:val="00D472FC"/>
    <w:rsid w:val="00D47C7E"/>
    <w:rsid w:val="00D50510"/>
    <w:rsid w:val="00D508D0"/>
    <w:rsid w:val="00D509D9"/>
    <w:rsid w:val="00D50DED"/>
    <w:rsid w:val="00D50ECC"/>
    <w:rsid w:val="00D510AA"/>
    <w:rsid w:val="00D511DD"/>
    <w:rsid w:val="00D514FE"/>
    <w:rsid w:val="00D516AB"/>
    <w:rsid w:val="00D518CF"/>
    <w:rsid w:val="00D519DB"/>
    <w:rsid w:val="00D51D27"/>
    <w:rsid w:val="00D51D4B"/>
    <w:rsid w:val="00D51E95"/>
    <w:rsid w:val="00D5203E"/>
    <w:rsid w:val="00D5219F"/>
    <w:rsid w:val="00D52398"/>
    <w:rsid w:val="00D5282D"/>
    <w:rsid w:val="00D52E71"/>
    <w:rsid w:val="00D532AA"/>
    <w:rsid w:val="00D53589"/>
    <w:rsid w:val="00D5380F"/>
    <w:rsid w:val="00D53815"/>
    <w:rsid w:val="00D53E84"/>
    <w:rsid w:val="00D540FA"/>
    <w:rsid w:val="00D542C1"/>
    <w:rsid w:val="00D54599"/>
    <w:rsid w:val="00D54A66"/>
    <w:rsid w:val="00D54CEC"/>
    <w:rsid w:val="00D54D41"/>
    <w:rsid w:val="00D54DED"/>
    <w:rsid w:val="00D551FD"/>
    <w:rsid w:val="00D5521B"/>
    <w:rsid w:val="00D55225"/>
    <w:rsid w:val="00D55561"/>
    <w:rsid w:val="00D55763"/>
    <w:rsid w:val="00D55CAA"/>
    <w:rsid w:val="00D55CED"/>
    <w:rsid w:val="00D55F06"/>
    <w:rsid w:val="00D55F8B"/>
    <w:rsid w:val="00D566C7"/>
    <w:rsid w:val="00D567E1"/>
    <w:rsid w:val="00D56A30"/>
    <w:rsid w:val="00D56CA6"/>
    <w:rsid w:val="00D57491"/>
    <w:rsid w:val="00D57A4B"/>
    <w:rsid w:val="00D57A61"/>
    <w:rsid w:val="00D57C03"/>
    <w:rsid w:val="00D60077"/>
    <w:rsid w:val="00D601E6"/>
    <w:rsid w:val="00D60296"/>
    <w:rsid w:val="00D60743"/>
    <w:rsid w:val="00D60DE4"/>
    <w:rsid w:val="00D60E3E"/>
    <w:rsid w:val="00D6125B"/>
    <w:rsid w:val="00D61583"/>
    <w:rsid w:val="00D61946"/>
    <w:rsid w:val="00D61F26"/>
    <w:rsid w:val="00D61F49"/>
    <w:rsid w:val="00D6224C"/>
    <w:rsid w:val="00D622F2"/>
    <w:rsid w:val="00D62623"/>
    <w:rsid w:val="00D62941"/>
    <w:rsid w:val="00D634B7"/>
    <w:rsid w:val="00D635A7"/>
    <w:rsid w:val="00D63938"/>
    <w:rsid w:val="00D63CC6"/>
    <w:rsid w:val="00D63D9C"/>
    <w:rsid w:val="00D63EEE"/>
    <w:rsid w:val="00D63F9F"/>
    <w:rsid w:val="00D6438E"/>
    <w:rsid w:val="00D6441B"/>
    <w:rsid w:val="00D647A5"/>
    <w:rsid w:val="00D647B3"/>
    <w:rsid w:val="00D649B0"/>
    <w:rsid w:val="00D649DE"/>
    <w:rsid w:val="00D64D7A"/>
    <w:rsid w:val="00D64E6F"/>
    <w:rsid w:val="00D65430"/>
    <w:rsid w:val="00D65C6F"/>
    <w:rsid w:val="00D65EDD"/>
    <w:rsid w:val="00D66130"/>
    <w:rsid w:val="00D6616A"/>
    <w:rsid w:val="00D666AD"/>
    <w:rsid w:val="00D6688E"/>
    <w:rsid w:val="00D66A2A"/>
    <w:rsid w:val="00D66EFC"/>
    <w:rsid w:val="00D67515"/>
    <w:rsid w:val="00D6758A"/>
    <w:rsid w:val="00D67AD0"/>
    <w:rsid w:val="00D67C2B"/>
    <w:rsid w:val="00D67C6B"/>
    <w:rsid w:val="00D67CAC"/>
    <w:rsid w:val="00D67EDB"/>
    <w:rsid w:val="00D7025B"/>
    <w:rsid w:val="00D70A73"/>
    <w:rsid w:val="00D70C0A"/>
    <w:rsid w:val="00D71178"/>
    <w:rsid w:val="00D71264"/>
    <w:rsid w:val="00D717BB"/>
    <w:rsid w:val="00D718B4"/>
    <w:rsid w:val="00D71D41"/>
    <w:rsid w:val="00D7226B"/>
    <w:rsid w:val="00D722F2"/>
    <w:rsid w:val="00D72331"/>
    <w:rsid w:val="00D72391"/>
    <w:rsid w:val="00D7279E"/>
    <w:rsid w:val="00D72902"/>
    <w:rsid w:val="00D72D42"/>
    <w:rsid w:val="00D72FE9"/>
    <w:rsid w:val="00D738D4"/>
    <w:rsid w:val="00D73AE7"/>
    <w:rsid w:val="00D73B6D"/>
    <w:rsid w:val="00D741CE"/>
    <w:rsid w:val="00D74232"/>
    <w:rsid w:val="00D74352"/>
    <w:rsid w:val="00D74893"/>
    <w:rsid w:val="00D74913"/>
    <w:rsid w:val="00D755EE"/>
    <w:rsid w:val="00D758AB"/>
    <w:rsid w:val="00D75B73"/>
    <w:rsid w:val="00D75DC5"/>
    <w:rsid w:val="00D75DFA"/>
    <w:rsid w:val="00D76007"/>
    <w:rsid w:val="00D76032"/>
    <w:rsid w:val="00D7605C"/>
    <w:rsid w:val="00D764F2"/>
    <w:rsid w:val="00D76555"/>
    <w:rsid w:val="00D76A39"/>
    <w:rsid w:val="00D76CEC"/>
    <w:rsid w:val="00D76FBD"/>
    <w:rsid w:val="00D801C7"/>
    <w:rsid w:val="00D80252"/>
    <w:rsid w:val="00D80359"/>
    <w:rsid w:val="00D80BB0"/>
    <w:rsid w:val="00D80CC9"/>
    <w:rsid w:val="00D80ECF"/>
    <w:rsid w:val="00D80FF9"/>
    <w:rsid w:val="00D8148B"/>
    <w:rsid w:val="00D8184C"/>
    <w:rsid w:val="00D81A71"/>
    <w:rsid w:val="00D81C3E"/>
    <w:rsid w:val="00D81CB2"/>
    <w:rsid w:val="00D82110"/>
    <w:rsid w:val="00D823E4"/>
    <w:rsid w:val="00D8240A"/>
    <w:rsid w:val="00D82472"/>
    <w:rsid w:val="00D82849"/>
    <w:rsid w:val="00D8285B"/>
    <w:rsid w:val="00D83081"/>
    <w:rsid w:val="00D830BA"/>
    <w:rsid w:val="00D839E9"/>
    <w:rsid w:val="00D83A55"/>
    <w:rsid w:val="00D83A5E"/>
    <w:rsid w:val="00D83C91"/>
    <w:rsid w:val="00D8434E"/>
    <w:rsid w:val="00D84418"/>
    <w:rsid w:val="00D84527"/>
    <w:rsid w:val="00D84D13"/>
    <w:rsid w:val="00D84E86"/>
    <w:rsid w:val="00D85251"/>
    <w:rsid w:val="00D85348"/>
    <w:rsid w:val="00D8537C"/>
    <w:rsid w:val="00D8543E"/>
    <w:rsid w:val="00D8585E"/>
    <w:rsid w:val="00D85A3B"/>
    <w:rsid w:val="00D85D17"/>
    <w:rsid w:val="00D85D8D"/>
    <w:rsid w:val="00D862A5"/>
    <w:rsid w:val="00D866A8"/>
    <w:rsid w:val="00D8705E"/>
    <w:rsid w:val="00D871A0"/>
    <w:rsid w:val="00D871A8"/>
    <w:rsid w:val="00D87C9C"/>
    <w:rsid w:val="00D901B9"/>
    <w:rsid w:val="00D90256"/>
    <w:rsid w:val="00D90718"/>
    <w:rsid w:val="00D90961"/>
    <w:rsid w:val="00D90A7E"/>
    <w:rsid w:val="00D90D3F"/>
    <w:rsid w:val="00D90DAB"/>
    <w:rsid w:val="00D90E3F"/>
    <w:rsid w:val="00D911C5"/>
    <w:rsid w:val="00D912CC"/>
    <w:rsid w:val="00D915E4"/>
    <w:rsid w:val="00D915EC"/>
    <w:rsid w:val="00D9162B"/>
    <w:rsid w:val="00D917C7"/>
    <w:rsid w:val="00D918A3"/>
    <w:rsid w:val="00D91C54"/>
    <w:rsid w:val="00D91DAB"/>
    <w:rsid w:val="00D91EAA"/>
    <w:rsid w:val="00D92099"/>
    <w:rsid w:val="00D921F8"/>
    <w:rsid w:val="00D925B0"/>
    <w:rsid w:val="00D92AA1"/>
    <w:rsid w:val="00D92D45"/>
    <w:rsid w:val="00D92E04"/>
    <w:rsid w:val="00D93C62"/>
    <w:rsid w:val="00D94153"/>
    <w:rsid w:val="00D943A3"/>
    <w:rsid w:val="00D948E4"/>
    <w:rsid w:val="00D94B18"/>
    <w:rsid w:val="00D94B6D"/>
    <w:rsid w:val="00D94BE4"/>
    <w:rsid w:val="00D9503A"/>
    <w:rsid w:val="00D951AD"/>
    <w:rsid w:val="00D952A5"/>
    <w:rsid w:val="00D953CC"/>
    <w:rsid w:val="00D95578"/>
    <w:rsid w:val="00D963D3"/>
    <w:rsid w:val="00D96415"/>
    <w:rsid w:val="00D9648C"/>
    <w:rsid w:val="00D965D2"/>
    <w:rsid w:val="00D9660B"/>
    <w:rsid w:val="00D9685E"/>
    <w:rsid w:val="00D968F0"/>
    <w:rsid w:val="00D96BC1"/>
    <w:rsid w:val="00D96C63"/>
    <w:rsid w:val="00D96CD6"/>
    <w:rsid w:val="00D96CDD"/>
    <w:rsid w:val="00D96D9C"/>
    <w:rsid w:val="00D96EB1"/>
    <w:rsid w:val="00D9718F"/>
    <w:rsid w:val="00D971BC"/>
    <w:rsid w:val="00D972D1"/>
    <w:rsid w:val="00D97347"/>
    <w:rsid w:val="00DA0018"/>
    <w:rsid w:val="00DA0352"/>
    <w:rsid w:val="00DA0497"/>
    <w:rsid w:val="00DA0678"/>
    <w:rsid w:val="00DA0CDD"/>
    <w:rsid w:val="00DA13AD"/>
    <w:rsid w:val="00DA1584"/>
    <w:rsid w:val="00DA19D4"/>
    <w:rsid w:val="00DA1A47"/>
    <w:rsid w:val="00DA1C12"/>
    <w:rsid w:val="00DA1CA3"/>
    <w:rsid w:val="00DA2630"/>
    <w:rsid w:val="00DA2661"/>
    <w:rsid w:val="00DA2864"/>
    <w:rsid w:val="00DA2C5B"/>
    <w:rsid w:val="00DA2FAF"/>
    <w:rsid w:val="00DA3078"/>
    <w:rsid w:val="00DA3282"/>
    <w:rsid w:val="00DA356B"/>
    <w:rsid w:val="00DA3584"/>
    <w:rsid w:val="00DA367D"/>
    <w:rsid w:val="00DA3719"/>
    <w:rsid w:val="00DA37A5"/>
    <w:rsid w:val="00DA39AF"/>
    <w:rsid w:val="00DA41D7"/>
    <w:rsid w:val="00DA4322"/>
    <w:rsid w:val="00DA4978"/>
    <w:rsid w:val="00DA49C7"/>
    <w:rsid w:val="00DA4BA5"/>
    <w:rsid w:val="00DA4D34"/>
    <w:rsid w:val="00DA51A9"/>
    <w:rsid w:val="00DA5767"/>
    <w:rsid w:val="00DA5798"/>
    <w:rsid w:val="00DA5F3B"/>
    <w:rsid w:val="00DA5FC3"/>
    <w:rsid w:val="00DA6004"/>
    <w:rsid w:val="00DA6122"/>
    <w:rsid w:val="00DA6275"/>
    <w:rsid w:val="00DA6302"/>
    <w:rsid w:val="00DA64DA"/>
    <w:rsid w:val="00DA64ED"/>
    <w:rsid w:val="00DA681E"/>
    <w:rsid w:val="00DA68C4"/>
    <w:rsid w:val="00DA6DB6"/>
    <w:rsid w:val="00DA6F17"/>
    <w:rsid w:val="00DA720C"/>
    <w:rsid w:val="00DB006F"/>
    <w:rsid w:val="00DB008B"/>
    <w:rsid w:val="00DB01E5"/>
    <w:rsid w:val="00DB04A8"/>
    <w:rsid w:val="00DB0659"/>
    <w:rsid w:val="00DB0663"/>
    <w:rsid w:val="00DB0851"/>
    <w:rsid w:val="00DB0999"/>
    <w:rsid w:val="00DB0B74"/>
    <w:rsid w:val="00DB0E39"/>
    <w:rsid w:val="00DB1447"/>
    <w:rsid w:val="00DB15E7"/>
    <w:rsid w:val="00DB221D"/>
    <w:rsid w:val="00DB255F"/>
    <w:rsid w:val="00DB2612"/>
    <w:rsid w:val="00DB2745"/>
    <w:rsid w:val="00DB334F"/>
    <w:rsid w:val="00DB33AC"/>
    <w:rsid w:val="00DB357B"/>
    <w:rsid w:val="00DB3679"/>
    <w:rsid w:val="00DB36B3"/>
    <w:rsid w:val="00DB36D3"/>
    <w:rsid w:val="00DB375D"/>
    <w:rsid w:val="00DB3AEE"/>
    <w:rsid w:val="00DB3EB7"/>
    <w:rsid w:val="00DB410A"/>
    <w:rsid w:val="00DB41E6"/>
    <w:rsid w:val="00DB43A8"/>
    <w:rsid w:val="00DB475F"/>
    <w:rsid w:val="00DB492C"/>
    <w:rsid w:val="00DB4A63"/>
    <w:rsid w:val="00DB5417"/>
    <w:rsid w:val="00DB5C18"/>
    <w:rsid w:val="00DB5C7A"/>
    <w:rsid w:val="00DB5F08"/>
    <w:rsid w:val="00DB60D5"/>
    <w:rsid w:val="00DB6122"/>
    <w:rsid w:val="00DB627F"/>
    <w:rsid w:val="00DB6290"/>
    <w:rsid w:val="00DB6463"/>
    <w:rsid w:val="00DB654F"/>
    <w:rsid w:val="00DB66D5"/>
    <w:rsid w:val="00DB6A46"/>
    <w:rsid w:val="00DB7089"/>
    <w:rsid w:val="00DB7236"/>
    <w:rsid w:val="00DB7699"/>
    <w:rsid w:val="00DB7D6C"/>
    <w:rsid w:val="00DB7E87"/>
    <w:rsid w:val="00DB7FCA"/>
    <w:rsid w:val="00DC00C5"/>
    <w:rsid w:val="00DC01D5"/>
    <w:rsid w:val="00DC02B3"/>
    <w:rsid w:val="00DC09C2"/>
    <w:rsid w:val="00DC0C44"/>
    <w:rsid w:val="00DC0F7B"/>
    <w:rsid w:val="00DC11F0"/>
    <w:rsid w:val="00DC158B"/>
    <w:rsid w:val="00DC1633"/>
    <w:rsid w:val="00DC199A"/>
    <w:rsid w:val="00DC19D3"/>
    <w:rsid w:val="00DC1E3C"/>
    <w:rsid w:val="00DC2068"/>
    <w:rsid w:val="00DC228E"/>
    <w:rsid w:val="00DC231A"/>
    <w:rsid w:val="00DC2757"/>
    <w:rsid w:val="00DC28E0"/>
    <w:rsid w:val="00DC2F7A"/>
    <w:rsid w:val="00DC3066"/>
    <w:rsid w:val="00DC30FF"/>
    <w:rsid w:val="00DC319D"/>
    <w:rsid w:val="00DC31CE"/>
    <w:rsid w:val="00DC331F"/>
    <w:rsid w:val="00DC342A"/>
    <w:rsid w:val="00DC3582"/>
    <w:rsid w:val="00DC3769"/>
    <w:rsid w:val="00DC37EF"/>
    <w:rsid w:val="00DC4385"/>
    <w:rsid w:val="00DC456C"/>
    <w:rsid w:val="00DC4653"/>
    <w:rsid w:val="00DC4CA6"/>
    <w:rsid w:val="00DC4DE8"/>
    <w:rsid w:val="00DC4F22"/>
    <w:rsid w:val="00DC5174"/>
    <w:rsid w:val="00DC5467"/>
    <w:rsid w:val="00DC57B3"/>
    <w:rsid w:val="00DC58E4"/>
    <w:rsid w:val="00DC5BD3"/>
    <w:rsid w:val="00DC60CC"/>
    <w:rsid w:val="00DC6786"/>
    <w:rsid w:val="00DC6E69"/>
    <w:rsid w:val="00DC725F"/>
    <w:rsid w:val="00DC73DA"/>
    <w:rsid w:val="00DC7483"/>
    <w:rsid w:val="00DC750F"/>
    <w:rsid w:val="00DC78E1"/>
    <w:rsid w:val="00DC7D98"/>
    <w:rsid w:val="00DC7E68"/>
    <w:rsid w:val="00DD0368"/>
    <w:rsid w:val="00DD07C5"/>
    <w:rsid w:val="00DD0860"/>
    <w:rsid w:val="00DD0ECF"/>
    <w:rsid w:val="00DD0FCD"/>
    <w:rsid w:val="00DD10AF"/>
    <w:rsid w:val="00DD161F"/>
    <w:rsid w:val="00DD17BD"/>
    <w:rsid w:val="00DD1849"/>
    <w:rsid w:val="00DD1862"/>
    <w:rsid w:val="00DD1E35"/>
    <w:rsid w:val="00DD2111"/>
    <w:rsid w:val="00DD237E"/>
    <w:rsid w:val="00DD256F"/>
    <w:rsid w:val="00DD2C3B"/>
    <w:rsid w:val="00DD2D0E"/>
    <w:rsid w:val="00DD2D78"/>
    <w:rsid w:val="00DD3FE9"/>
    <w:rsid w:val="00DD4173"/>
    <w:rsid w:val="00DD47C9"/>
    <w:rsid w:val="00DD4A14"/>
    <w:rsid w:val="00DD4AB7"/>
    <w:rsid w:val="00DD4E61"/>
    <w:rsid w:val="00DD50A9"/>
    <w:rsid w:val="00DD55C0"/>
    <w:rsid w:val="00DD5E51"/>
    <w:rsid w:val="00DD63C8"/>
    <w:rsid w:val="00DD6A3C"/>
    <w:rsid w:val="00DD6BDF"/>
    <w:rsid w:val="00DD6CD6"/>
    <w:rsid w:val="00DD76EF"/>
    <w:rsid w:val="00DD76FC"/>
    <w:rsid w:val="00DE0386"/>
    <w:rsid w:val="00DE0CDD"/>
    <w:rsid w:val="00DE1136"/>
    <w:rsid w:val="00DE1186"/>
    <w:rsid w:val="00DE120C"/>
    <w:rsid w:val="00DE144F"/>
    <w:rsid w:val="00DE166B"/>
    <w:rsid w:val="00DE19FA"/>
    <w:rsid w:val="00DE1C41"/>
    <w:rsid w:val="00DE2320"/>
    <w:rsid w:val="00DE2628"/>
    <w:rsid w:val="00DE2692"/>
    <w:rsid w:val="00DE2958"/>
    <w:rsid w:val="00DE29F9"/>
    <w:rsid w:val="00DE2AD2"/>
    <w:rsid w:val="00DE2D50"/>
    <w:rsid w:val="00DE2F92"/>
    <w:rsid w:val="00DE367F"/>
    <w:rsid w:val="00DE3E02"/>
    <w:rsid w:val="00DE3EE9"/>
    <w:rsid w:val="00DE4318"/>
    <w:rsid w:val="00DE441F"/>
    <w:rsid w:val="00DE48B3"/>
    <w:rsid w:val="00DE4D0C"/>
    <w:rsid w:val="00DE511A"/>
    <w:rsid w:val="00DE52B6"/>
    <w:rsid w:val="00DE5751"/>
    <w:rsid w:val="00DE64CA"/>
    <w:rsid w:val="00DE65F1"/>
    <w:rsid w:val="00DE6649"/>
    <w:rsid w:val="00DE6DE5"/>
    <w:rsid w:val="00DE6E04"/>
    <w:rsid w:val="00DE712C"/>
    <w:rsid w:val="00DE7190"/>
    <w:rsid w:val="00DE726B"/>
    <w:rsid w:val="00DE74E7"/>
    <w:rsid w:val="00DE7770"/>
    <w:rsid w:val="00DE788D"/>
    <w:rsid w:val="00DE79BA"/>
    <w:rsid w:val="00DE7BE8"/>
    <w:rsid w:val="00DE7CAA"/>
    <w:rsid w:val="00DE7D84"/>
    <w:rsid w:val="00DF019D"/>
    <w:rsid w:val="00DF0206"/>
    <w:rsid w:val="00DF08AE"/>
    <w:rsid w:val="00DF0B28"/>
    <w:rsid w:val="00DF0D4A"/>
    <w:rsid w:val="00DF106A"/>
    <w:rsid w:val="00DF12C9"/>
    <w:rsid w:val="00DF13E0"/>
    <w:rsid w:val="00DF1492"/>
    <w:rsid w:val="00DF1677"/>
    <w:rsid w:val="00DF1813"/>
    <w:rsid w:val="00DF1C33"/>
    <w:rsid w:val="00DF1DEC"/>
    <w:rsid w:val="00DF202C"/>
    <w:rsid w:val="00DF2375"/>
    <w:rsid w:val="00DF2378"/>
    <w:rsid w:val="00DF243E"/>
    <w:rsid w:val="00DF2714"/>
    <w:rsid w:val="00DF271C"/>
    <w:rsid w:val="00DF273A"/>
    <w:rsid w:val="00DF2791"/>
    <w:rsid w:val="00DF279B"/>
    <w:rsid w:val="00DF291F"/>
    <w:rsid w:val="00DF2941"/>
    <w:rsid w:val="00DF2B27"/>
    <w:rsid w:val="00DF2CBB"/>
    <w:rsid w:val="00DF347F"/>
    <w:rsid w:val="00DF35AC"/>
    <w:rsid w:val="00DF35B5"/>
    <w:rsid w:val="00DF384A"/>
    <w:rsid w:val="00DF3CEC"/>
    <w:rsid w:val="00DF3E28"/>
    <w:rsid w:val="00DF3F7E"/>
    <w:rsid w:val="00DF41D0"/>
    <w:rsid w:val="00DF44F1"/>
    <w:rsid w:val="00DF4698"/>
    <w:rsid w:val="00DF47B0"/>
    <w:rsid w:val="00DF4808"/>
    <w:rsid w:val="00DF4DC1"/>
    <w:rsid w:val="00DF4E30"/>
    <w:rsid w:val="00DF54BA"/>
    <w:rsid w:val="00DF54D9"/>
    <w:rsid w:val="00DF5666"/>
    <w:rsid w:val="00DF56C1"/>
    <w:rsid w:val="00DF583C"/>
    <w:rsid w:val="00DF596D"/>
    <w:rsid w:val="00DF5A38"/>
    <w:rsid w:val="00DF5A74"/>
    <w:rsid w:val="00DF5D0E"/>
    <w:rsid w:val="00DF5D66"/>
    <w:rsid w:val="00DF5D94"/>
    <w:rsid w:val="00DF5EB8"/>
    <w:rsid w:val="00DF5F9B"/>
    <w:rsid w:val="00DF6086"/>
    <w:rsid w:val="00DF60E3"/>
    <w:rsid w:val="00DF60FF"/>
    <w:rsid w:val="00DF61AC"/>
    <w:rsid w:val="00DF6262"/>
    <w:rsid w:val="00DF62E4"/>
    <w:rsid w:val="00DF6603"/>
    <w:rsid w:val="00DF6660"/>
    <w:rsid w:val="00DF666E"/>
    <w:rsid w:val="00DF6BEB"/>
    <w:rsid w:val="00DF6E4C"/>
    <w:rsid w:val="00DF7089"/>
    <w:rsid w:val="00DF712C"/>
    <w:rsid w:val="00DF73E9"/>
    <w:rsid w:val="00DF776F"/>
    <w:rsid w:val="00DF7D0B"/>
    <w:rsid w:val="00E00336"/>
    <w:rsid w:val="00E00733"/>
    <w:rsid w:val="00E00749"/>
    <w:rsid w:val="00E00863"/>
    <w:rsid w:val="00E00F61"/>
    <w:rsid w:val="00E010C5"/>
    <w:rsid w:val="00E01254"/>
    <w:rsid w:val="00E0145F"/>
    <w:rsid w:val="00E01461"/>
    <w:rsid w:val="00E015B8"/>
    <w:rsid w:val="00E015DE"/>
    <w:rsid w:val="00E01786"/>
    <w:rsid w:val="00E01835"/>
    <w:rsid w:val="00E018E0"/>
    <w:rsid w:val="00E01986"/>
    <w:rsid w:val="00E01AD6"/>
    <w:rsid w:val="00E01BF8"/>
    <w:rsid w:val="00E01F91"/>
    <w:rsid w:val="00E02134"/>
    <w:rsid w:val="00E021BF"/>
    <w:rsid w:val="00E02618"/>
    <w:rsid w:val="00E0272B"/>
    <w:rsid w:val="00E027CF"/>
    <w:rsid w:val="00E02D55"/>
    <w:rsid w:val="00E02DDA"/>
    <w:rsid w:val="00E02FD8"/>
    <w:rsid w:val="00E03C28"/>
    <w:rsid w:val="00E03CB6"/>
    <w:rsid w:val="00E03F54"/>
    <w:rsid w:val="00E04537"/>
    <w:rsid w:val="00E047AF"/>
    <w:rsid w:val="00E04B96"/>
    <w:rsid w:val="00E04C46"/>
    <w:rsid w:val="00E04F58"/>
    <w:rsid w:val="00E05476"/>
    <w:rsid w:val="00E0561E"/>
    <w:rsid w:val="00E0574C"/>
    <w:rsid w:val="00E05880"/>
    <w:rsid w:val="00E0593E"/>
    <w:rsid w:val="00E05E7C"/>
    <w:rsid w:val="00E06615"/>
    <w:rsid w:val="00E066A4"/>
    <w:rsid w:val="00E06B8A"/>
    <w:rsid w:val="00E06C0C"/>
    <w:rsid w:val="00E07227"/>
    <w:rsid w:val="00E1005D"/>
    <w:rsid w:val="00E10711"/>
    <w:rsid w:val="00E10EAA"/>
    <w:rsid w:val="00E11264"/>
    <w:rsid w:val="00E116D2"/>
    <w:rsid w:val="00E118A2"/>
    <w:rsid w:val="00E11FC1"/>
    <w:rsid w:val="00E121A1"/>
    <w:rsid w:val="00E1246E"/>
    <w:rsid w:val="00E125D4"/>
    <w:rsid w:val="00E12714"/>
    <w:rsid w:val="00E128FD"/>
    <w:rsid w:val="00E12B29"/>
    <w:rsid w:val="00E12C60"/>
    <w:rsid w:val="00E12F98"/>
    <w:rsid w:val="00E1301E"/>
    <w:rsid w:val="00E13AEF"/>
    <w:rsid w:val="00E13EED"/>
    <w:rsid w:val="00E141A4"/>
    <w:rsid w:val="00E14302"/>
    <w:rsid w:val="00E1435F"/>
    <w:rsid w:val="00E14D8B"/>
    <w:rsid w:val="00E153A7"/>
    <w:rsid w:val="00E1560D"/>
    <w:rsid w:val="00E15851"/>
    <w:rsid w:val="00E15FE1"/>
    <w:rsid w:val="00E16109"/>
    <w:rsid w:val="00E16427"/>
    <w:rsid w:val="00E168C5"/>
    <w:rsid w:val="00E16E08"/>
    <w:rsid w:val="00E170BD"/>
    <w:rsid w:val="00E17ED4"/>
    <w:rsid w:val="00E20280"/>
    <w:rsid w:val="00E20CB9"/>
    <w:rsid w:val="00E20D55"/>
    <w:rsid w:val="00E20E9A"/>
    <w:rsid w:val="00E20FC0"/>
    <w:rsid w:val="00E213DF"/>
    <w:rsid w:val="00E21BE1"/>
    <w:rsid w:val="00E21BE9"/>
    <w:rsid w:val="00E21D89"/>
    <w:rsid w:val="00E21DDC"/>
    <w:rsid w:val="00E21E69"/>
    <w:rsid w:val="00E21E83"/>
    <w:rsid w:val="00E225C7"/>
    <w:rsid w:val="00E22D5A"/>
    <w:rsid w:val="00E22D83"/>
    <w:rsid w:val="00E22DA9"/>
    <w:rsid w:val="00E22DB6"/>
    <w:rsid w:val="00E232E9"/>
    <w:rsid w:val="00E234D5"/>
    <w:rsid w:val="00E2378F"/>
    <w:rsid w:val="00E2392C"/>
    <w:rsid w:val="00E23B4C"/>
    <w:rsid w:val="00E23EC2"/>
    <w:rsid w:val="00E23FA5"/>
    <w:rsid w:val="00E2432B"/>
    <w:rsid w:val="00E243D5"/>
    <w:rsid w:val="00E24C4A"/>
    <w:rsid w:val="00E24C59"/>
    <w:rsid w:val="00E24F56"/>
    <w:rsid w:val="00E251E2"/>
    <w:rsid w:val="00E252C7"/>
    <w:rsid w:val="00E25371"/>
    <w:rsid w:val="00E25403"/>
    <w:rsid w:val="00E254E6"/>
    <w:rsid w:val="00E25979"/>
    <w:rsid w:val="00E25B68"/>
    <w:rsid w:val="00E261B2"/>
    <w:rsid w:val="00E26254"/>
    <w:rsid w:val="00E262AA"/>
    <w:rsid w:val="00E2651F"/>
    <w:rsid w:val="00E269D1"/>
    <w:rsid w:val="00E26C03"/>
    <w:rsid w:val="00E26CDF"/>
    <w:rsid w:val="00E27011"/>
    <w:rsid w:val="00E27094"/>
    <w:rsid w:val="00E2775F"/>
    <w:rsid w:val="00E27977"/>
    <w:rsid w:val="00E27B33"/>
    <w:rsid w:val="00E27B62"/>
    <w:rsid w:val="00E27D34"/>
    <w:rsid w:val="00E27D92"/>
    <w:rsid w:val="00E307B5"/>
    <w:rsid w:val="00E307D6"/>
    <w:rsid w:val="00E30A6F"/>
    <w:rsid w:val="00E30C61"/>
    <w:rsid w:val="00E30F62"/>
    <w:rsid w:val="00E31049"/>
    <w:rsid w:val="00E311FC"/>
    <w:rsid w:val="00E312FC"/>
    <w:rsid w:val="00E316C8"/>
    <w:rsid w:val="00E31725"/>
    <w:rsid w:val="00E319A3"/>
    <w:rsid w:val="00E31B50"/>
    <w:rsid w:val="00E3218D"/>
    <w:rsid w:val="00E32294"/>
    <w:rsid w:val="00E32360"/>
    <w:rsid w:val="00E32699"/>
    <w:rsid w:val="00E32D22"/>
    <w:rsid w:val="00E33140"/>
    <w:rsid w:val="00E336F1"/>
    <w:rsid w:val="00E33BD8"/>
    <w:rsid w:val="00E33C8A"/>
    <w:rsid w:val="00E33E36"/>
    <w:rsid w:val="00E33F61"/>
    <w:rsid w:val="00E34174"/>
    <w:rsid w:val="00E3470A"/>
    <w:rsid w:val="00E34E25"/>
    <w:rsid w:val="00E35484"/>
    <w:rsid w:val="00E357B0"/>
    <w:rsid w:val="00E3587D"/>
    <w:rsid w:val="00E36534"/>
    <w:rsid w:val="00E36708"/>
    <w:rsid w:val="00E36963"/>
    <w:rsid w:val="00E36B77"/>
    <w:rsid w:val="00E36F20"/>
    <w:rsid w:val="00E37307"/>
    <w:rsid w:val="00E37A4F"/>
    <w:rsid w:val="00E37D9F"/>
    <w:rsid w:val="00E40630"/>
    <w:rsid w:val="00E407DE"/>
    <w:rsid w:val="00E40CEE"/>
    <w:rsid w:val="00E4167D"/>
    <w:rsid w:val="00E418FF"/>
    <w:rsid w:val="00E41923"/>
    <w:rsid w:val="00E41CA2"/>
    <w:rsid w:val="00E424B9"/>
    <w:rsid w:val="00E429B4"/>
    <w:rsid w:val="00E42AC8"/>
    <w:rsid w:val="00E42BB6"/>
    <w:rsid w:val="00E42CB4"/>
    <w:rsid w:val="00E42D3F"/>
    <w:rsid w:val="00E42FD6"/>
    <w:rsid w:val="00E43074"/>
    <w:rsid w:val="00E43433"/>
    <w:rsid w:val="00E434F7"/>
    <w:rsid w:val="00E4353E"/>
    <w:rsid w:val="00E43C57"/>
    <w:rsid w:val="00E43F4E"/>
    <w:rsid w:val="00E43FB3"/>
    <w:rsid w:val="00E440A0"/>
    <w:rsid w:val="00E446B0"/>
    <w:rsid w:val="00E44A7C"/>
    <w:rsid w:val="00E44C3E"/>
    <w:rsid w:val="00E44EE9"/>
    <w:rsid w:val="00E44F95"/>
    <w:rsid w:val="00E454EC"/>
    <w:rsid w:val="00E45719"/>
    <w:rsid w:val="00E45721"/>
    <w:rsid w:val="00E45B61"/>
    <w:rsid w:val="00E45B73"/>
    <w:rsid w:val="00E45BBC"/>
    <w:rsid w:val="00E45E04"/>
    <w:rsid w:val="00E46234"/>
    <w:rsid w:val="00E46574"/>
    <w:rsid w:val="00E465AD"/>
    <w:rsid w:val="00E46AC9"/>
    <w:rsid w:val="00E4705D"/>
    <w:rsid w:val="00E47CE8"/>
    <w:rsid w:val="00E47F52"/>
    <w:rsid w:val="00E50071"/>
    <w:rsid w:val="00E50651"/>
    <w:rsid w:val="00E50A0E"/>
    <w:rsid w:val="00E50C35"/>
    <w:rsid w:val="00E50DB2"/>
    <w:rsid w:val="00E512FB"/>
    <w:rsid w:val="00E51DBC"/>
    <w:rsid w:val="00E51E3B"/>
    <w:rsid w:val="00E51E53"/>
    <w:rsid w:val="00E522B2"/>
    <w:rsid w:val="00E522BC"/>
    <w:rsid w:val="00E526A6"/>
    <w:rsid w:val="00E529C3"/>
    <w:rsid w:val="00E52AF4"/>
    <w:rsid w:val="00E52B68"/>
    <w:rsid w:val="00E53194"/>
    <w:rsid w:val="00E5340D"/>
    <w:rsid w:val="00E5363B"/>
    <w:rsid w:val="00E539DD"/>
    <w:rsid w:val="00E53DDA"/>
    <w:rsid w:val="00E53DF8"/>
    <w:rsid w:val="00E54033"/>
    <w:rsid w:val="00E543E0"/>
    <w:rsid w:val="00E544A3"/>
    <w:rsid w:val="00E545C6"/>
    <w:rsid w:val="00E54663"/>
    <w:rsid w:val="00E54AAC"/>
    <w:rsid w:val="00E54D9C"/>
    <w:rsid w:val="00E54DB5"/>
    <w:rsid w:val="00E54DBA"/>
    <w:rsid w:val="00E55486"/>
    <w:rsid w:val="00E556FC"/>
    <w:rsid w:val="00E5576B"/>
    <w:rsid w:val="00E5595E"/>
    <w:rsid w:val="00E55AF7"/>
    <w:rsid w:val="00E55E38"/>
    <w:rsid w:val="00E55EDD"/>
    <w:rsid w:val="00E55F17"/>
    <w:rsid w:val="00E567CD"/>
    <w:rsid w:val="00E56F6A"/>
    <w:rsid w:val="00E57056"/>
    <w:rsid w:val="00E57182"/>
    <w:rsid w:val="00E57391"/>
    <w:rsid w:val="00E5764A"/>
    <w:rsid w:val="00E57777"/>
    <w:rsid w:val="00E5793B"/>
    <w:rsid w:val="00E57D64"/>
    <w:rsid w:val="00E57E87"/>
    <w:rsid w:val="00E57EAD"/>
    <w:rsid w:val="00E607F8"/>
    <w:rsid w:val="00E6097F"/>
    <w:rsid w:val="00E60CDD"/>
    <w:rsid w:val="00E60CF7"/>
    <w:rsid w:val="00E60DDF"/>
    <w:rsid w:val="00E61030"/>
    <w:rsid w:val="00E6160F"/>
    <w:rsid w:val="00E61768"/>
    <w:rsid w:val="00E61E50"/>
    <w:rsid w:val="00E6217C"/>
    <w:rsid w:val="00E62263"/>
    <w:rsid w:val="00E622C3"/>
    <w:rsid w:val="00E623D9"/>
    <w:rsid w:val="00E6250E"/>
    <w:rsid w:val="00E62BE9"/>
    <w:rsid w:val="00E632BF"/>
    <w:rsid w:val="00E635D6"/>
    <w:rsid w:val="00E63FEB"/>
    <w:rsid w:val="00E640D4"/>
    <w:rsid w:val="00E64180"/>
    <w:rsid w:val="00E6453A"/>
    <w:rsid w:val="00E64632"/>
    <w:rsid w:val="00E648C7"/>
    <w:rsid w:val="00E649E0"/>
    <w:rsid w:val="00E64BF8"/>
    <w:rsid w:val="00E64DDF"/>
    <w:rsid w:val="00E64EA9"/>
    <w:rsid w:val="00E650AC"/>
    <w:rsid w:val="00E65244"/>
    <w:rsid w:val="00E65592"/>
    <w:rsid w:val="00E656FA"/>
    <w:rsid w:val="00E6595F"/>
    <w:rsid w:val="00E65BB4"/>
    <w:rsid w:val="00E65C29"/>
    <w:rsid w:val="00E65C55"/>
    <w:rsid w:val="00E65C6C"/>
    <w:rsid w:val="00E66F24"/>
    <w:rsid w:val="00E67342"/>
    <w:rsid w:val="00E67853"/>
    <w:rsid w:val="00E67ADA"/>
    <w:rsid w:val="00E67C62"/>
    <w:rsid w:val="00E67E1F"/>
    <w:rsid w:val="00E67EF0"/>
    <w:rsid w:val="00E70378"/>
    <w:rsid w:val="00E705CC"/>
    <w:rsid w:val="00E7099A"/>
    <w:rsid w:val="00E70BAB"/>
    <w:rsid w:val="00E70EC0"/>
    <w:rsid w:val="00E711F6"/>
    <w:rsid w:val="00E71220"/>
    <w:rsid w:val="00E712B7"/>
    <w:rsid w:val="00E71602"/>
    <w:rsid w:val="00E718C9"/>
    <w:rsid w:val="00E7244E"/>
    <w:rsid w:val="00E727D2"/>
    <w:rsid w:val="00E72D85"/>
    <w:rsid w:val="00E72F31"/>
    <w:rsid w:val="00E73258"/>
    <w:rsid w:val="00E73627"/>
    <w:rsid w:val="00E73667"/>
    <w:rsid w:val="00E73768"/>
    <w:rsid w:val="00E73BA8"/>
    <w:rsid w:val="00E73C72"/>
    <w:rsid w:val="00E73D46"/>
    <w:rsid w:val="00E7404C"/>
    <w:rsid w:val="00E743D2"/>
    <w:rsid w:val="00E747AC"/>
    <w:rsid w:val="00E754E4"/>
    <w:rsid w:val="00E755B3"/>
    <w:rsid w:val="00E75C21"/>
    <w:rsid w:val="00E75D52"/>
    <w:rsid w:val="00E75F72"/>
    <w:rsid w:val="00E7611C"/>
    <w:rsid w:val="00E761A0"/>
    <w:rsid w:val="00E768BC"/>
    <w:rsid w:val="00E77038"/>
    <w:rsid w:val="00E7772F"/>
    <w:rsid w:val="00E77807"/>
    <w:rsid w:val="00E77C00"/>
    <w:rsid w:val="00E77EB8"/>
    <w:rsid w:val="00E800ED"/>
    <w:rsid w:val="00E80113"/>
    <w:rsid w:val="00E80279"/>
    <w:rsid w:val="00E8036F"/>
    <w:rsid w:val="00E80455"/>
    <w:rsid w:val="00E80590"/>
    <w:rsid w:val="00E806A3"/>
    <w:rsid w:val="00E8072F"/>
    <w:rsid w:val="00E80CCD"/>
    <w:rsid w:val="00E80D20"/>
    <w:rsid w:val="00E811DB"/>
    <w:rsid w:val="00E81710"/>
    <w:rsid w:val="00E8171D"/>
    <w:rsid w:val="00E81877"/>
    <w:rsid w:val="00E81BA8"/>
    <w:rsid w:val="00E820A4"/>
    <w:rsid w:val="00E820AD"/>
    <w:rsid w:val="00E8212C"/>
    <w:rsid w:val="00E82454"/>
    <w:rsid w:val="00E827C5"/>
    <w:rsid w:val="00E82C9D"/>
    <w:rsid w:val="00E830FB"/>
    <w:rsid w:val="00E832DF"/>
    <w:rsid w:val="00E835B4"/>
    <w:rsid w:val="00E836B2"/>
    <w:rsid w:val="00E8373E"/>
    <w:rsid w:val="00E83949"/>
    <w:rsid w:val="00E83BFB"/>
    <w:rsid w:val="00E83CDA"/>
    <w:rsid w:val="00E83CFD"/>
    <w:rsid w:val="00E83E67"/>
    <w:rsid w:val="00E83F36"/>
    <w:rsid w:val="00E84598"/>
    <w:rsid w:val="00E845EB"/>
    <w:rsid w:val="00E848C5"/>
    <w:rsid w:val="00E84E26"/>
    <w:rsid w:val="00E84EF4"/>
    <w:rsid w:val="00E84FAC"/>
    <w:rsid w:val="00E851FB"/>
    <w:rsid w:val="00E85345"/>
    <w:rsid w:val="00E853E2"/>
    <w:rsid w:val="00E8558B"/>
    <w:rsid w:val="00E8565A"/>
    <w:rsid w:val="00E85675"/>
    <w:rsid w:val="00E858B5"/>
    <w:rsid w:val="00E85A36"/>
    <w:rsid w:val="00E85A9E"/>
    <w:rsid w:val="00E85BF0"/>
    <w:rsid w:val="00E85E2C"/>
    <w:rsid w:val="00E86165"/>
    <w:rsid w:val="00E86A8C"/>
    <w:rsid w:val="00E86C3F"/>
    <w:rsid w:val="00E86CA8"/>
    <w:rsid w:val="00E873CB"/>
    <w:rsid w:val="00E8766F"/>
    <w:rsid w:val="00E876C6"/>
    <w:rsid w:val="00E90089"/>
    <w:rsid w:val="00E9011C"/>
    <w:rsid w:val="00E90156"/>
    <w:rsid w:val="00E9112C"/>
    <w:rsid w:val="00E9146F"/>
    <w:rsid w:val="00E9149B"/>
    <w:rsid w:val="00E915ED"/>
    <w:rsid w:val="00E918B9"/>
    <w:rsid w:val="00E918DF"/>
    <w:rsid w:val="00E91DEC"/>
    <w:rsid w:val="00E91E40"/>
    <w:rsid w:val="00E92038"/>
    <w:rsid w:val="00E921ED"/>
    <w:rsid w:val="00E923C1"/>
    <w:rsid w:val="00E92518"/>
    <w:rsid w:val="00E927A0"/>
    <w:rsid w:val="00E92A63"/>
    <w:rsid w:val="00E92B1B"/>
    <w:rsid w:val="00E92B4B"/>
    <w:rsid w:val="00E92BB9"/>
    <w:rsid w:val="00E92BC1"/>
    <w:rsid w:val="00E92C0F"/>
    <w:rsid w:val="00E92C24"/>
    <w:rsid w:val="00E92ED6"/>
    <w:rsid w:val="00E9304D"/>
    <w:rsid w:val="00E930E4"/>
    <w:rsid w:val="00E934BF"/>
    <w:rsid w:val="00E934EB"/>
    <w:rsid w:val="00E93639"/>
    <w:rsid w:val="00E93A74"/>
    <w:rsid w:val="00E94187"/>
    <w:rsid w:val="00E9447C"/>
    <w:rsid w:val="00E94B5B"/>
    <w:rsid w:val="00E94CC7"/>
    <w:rsid w:val="00E94D73"/>
    <w:rsid w:val="00E94E51"/>
    <w:rsid w:val="00E9535E"/>
    <w:rsid w:val="00E95695"/>
    <w:rsid w:val="00E95A8F"/>
    <w:rsid w:val="00E95BF1"/>
    <w:rsid w:val="00E95C7C"/>
    <w:rsid w:val="00E96351"/>
    <w:rsid w:val="00E964DF"/>
    <w:rsid w:val="00E9658E"/>
    <w:rsid w:val="00E9665C"/>
    <w:rsid w:val="00E9665D"/>
    <w:rsid w:val="00E96768"/>
    <w:rsid w:val="00E9681B"/>
    <w:rsid w:val="00E96B58"/>
    <w:rsid w:val="00E96B92"/>
    <w:rsid w:val="00E96E5B"/>
    <w:rsid w:val="00E97339"/>
    <w:rsid w:val="00E975A0"/>
    <w:rsid w:val="00E9760E"/>
    <w:rsid w:val="00E97754"/>
    <w:rsid w:val="00E979EF"/>
    <w:rsid w:val="00E97AC6"/>
    <w:rsid w:val="00E97BD4"/>
    <w:rsid w:val="00E97EBF"/>
    <w:rsid w:val="00EA0135"/>
    <w:rsid w:val="00EA05D5"/>
    <w:rsid w:val="00EA0A55"/>
    <w:rsid w:val="00EA0A5B"/>
    <w:rsid w:val="00EA10A5"/>
    <w:rsid w:val="00EA1759"/>
    <w:rsid w:val="00EA17A0"/>
    <w:rsid w:val="00EA17B6"/>
    <w:rsid w:val="00EA1931"/>
    <w:rsid w:val="00EA1945"/>
    <w:rsid w:val="00EA1DBB"/>
    <w:rsid w:val="00EA1E33"/>
    <w:rsid w:val="00EA2085"/>
    <w:rsid w:val="00EA25FF"/>
    <w:rsid w:val="00EA2AC3"/>
    <w:rsid w:val="00EA2AC6"/>
    <w:rsid w:val="00EA2E8D"/>
    <w:rsid w:val="00EA3353"/>
    <w:rsid w:val="00EA34C1"/>
    <w:rsid w:val="00EA35C4"/>
    <w:rsid w:val="00EA369E"/>
    <w:rsid w:val="00EA3A0E"/>
    <w:rsid w:val="00EA3A39"/>
    <w:rsid w:val="00EA3C36"/>
    <w:rsid w:val="00EA4424"/>
    <w:rsid w:val="00EA4475"/>
    <w:rsid w:val="00EA45B4"/>
    <w:rsid w:val="00EA468D"/>
    <w:rsid w:val="00EA4B34"/>
    <w:rsid w:val="00EA4C72"/>
    <w:rsid w:val="00EA4CBE"/>
    <w:rsid w:val="00EA5559"/>
    <w:rsid w:val="00EA5772"/>
    <w:rsid w:val="00EA591E"/>
    <w:rsid w:val="00EA5FD1"/>
    <w:rsid w:val="00EA619E"/>
    <w:rsid w:val="00EA6BC3"/>
    <w:rsid w:val="00EA6BE0"/>
    <w:rsid w:val="00EA6BFD"/>
    <w:rsid w:val="00EA6D59"/>
    <w:rsid w:val="00EA7284"/>
    <w:rsid w:val="00EA7960"/>
    <w:rsid w:val="00EA7C4C"/>
    <w:rsid w:val="00EA7CA9"/>
    <w:rsid w:val="00EA7D4D"/>
    <w:rsid w:val="00EB00C5"/>
    <w:rsid w:val="00EB02C9"/>
    <w:rsid w:val="00EB0CC9"/>
    <w:rsid w:val="00EB0D9A"/>
    <w:rsid w:val="00EB1098"/>
    <w:rsid w:val="00EB111E"/>
    <w:rsid w:val="00EB12EC"/>
    <w:rsid w:val="00EB1482"/>
    <w:rsid w:val="00EB1970"/>
    <w:rsid w:val="00EB1B98"/>
    <w:rsid w:val="00EB1CE6"/>
    <w:rsid w:val="00EB2188"/>
    <w:rsid w:val="00EB2380"/>
    <w:rsid w:val="00EB23AE"/>
    <w:rsid w:val="00EB2D70"/>
    <w:rsid w:val="00EB3035"/>
    <w:rsid w:val="00EB3135"/>
    <w:rsid w:val="00EB3301"/>
    <w:rsid w:val="00EB349D"/>
    <w:rsid w:val="00EB409F"/>
    <w:rsid w:val="00EB45A7"/>
    <w:rsid w:val="00EB4683"/>
    <w:rsid w:val="00EB4722"/>
    <w:rsid w:val="00EB4DE5"/>
    <w:rsid w:val="00EB4FB8"/>
    <w:rsid w:val="00EB50D3"/>
    <w:rsid w:val="00EB513B"/>
    <w:rsid w:val="00EB5380"/>
    <w:rsid w:val="00EB56B1"/>
    <w:rsid w:val="00EB5A30"/>
    <w:rsid w:val="00EB5B82"/>
    <w:rsid w:val="00EB5CF1"/>
    <w:rsid w:val="00EB6324"/>
    <w:rsid w:val="00EB69BE"/>
    <w:rsid w:val="00EB6A2F"/>
    <w:rsid w:val="00EB6A42"/>
    <w:rsid w:val="00EB6A6A"/>
    <w:rsid w:val="00EB7572"/>
    <w:rsid w:val="00EB7F43"/>
    <w:rsid w:val="00EC0A3B"/>
    <w:rsid w:val="00EC0A5C"/>
    <w:rsid w:val="00EC0C9F"/>
    <w:rsid w:val="00EC0E44"/>
    <w:rsid w:val="00EC105F"/>
    <w:rsid w:val="00EC1675"/>
    <w:rsid w:val="00EC1813"/>
    <w:rsid w:val="00EC1F46"/>
    <w:rsid w:val="00EC233F"/>
    <w:rsid w:val="00EC243C"/>
    <w:rsid w:val="00EC25D8"/>
    <w:rsid w:val="00EC2A11"/>
    <w:rsid w:val="00EC2A27"/>
    <w:rsid w:val="00EC33FA"/>
    <w:rsid w:val="00EC349A"/>
    <w:rsid w:val="00EC351C"/>
    <w:rsid w:val="00EC3968"/>
    <w:rsid w:val="00EC3B8D"/>
    <w:rsid w:val="00EC3F4B"/>
    <w:rsid w:val="00EC3FF3"/>
    <w:rsid w:val="00EC4379"/>
    <w:rsid w:val="00EC439A"/>
    <w:rsid w:val="00EC442A"/>
    <w:rsid w:val="00EC4C93"/>
    <w:rsid w:val="00EC4D8B"/>
    <w:rsid w:val="00EC5988"/>
    <w:rsid w:val="00EC5CF9"/>
    <w:rsid w:val="00EC5F1F"/>
    <w:rsid w:val="00EC6216"/>
    <w:rsid w:val="00EC6254"/>
    <w:rsid w:val="00EC62C0"/>
    <w:rsid w:val="00EC6474"/>
    <w:rsid w:val="00EC6530"/>
    <w:rsid w:val="00EC65B9"/>
    <w:rsid w:val="00EC6B6B"/>
    <w:rsid w:val="00EC6BC1"/>
    <w:rsid w:val="00EC6F12"/>
    <w:rsid w:val="00EC7010"/>
    <w:rsid w:val="00EC7257"/>
    <w:rsid w:val="00EC7329"/>
    <w:rsid w:val="00EC75F8"/>
    <w:rsid w:val="00EC77CC"/>
    <w:rsid w:val="00EC7C45"/>
    <w:rsid w:val="00ED0174"/>
    <w:rsid w:val="00ED0342"/>
    <w:rsid w:val="00ED0759"/>
    <w:rsid w:val="00ED0C08"/>
    <w:rsid w:val="00ED0D88"/>
    <w:rsid w:val="00ED0EAF"/>
    <w:rsid w:val="00ED10DF"/>
    <w:rsid w:val="00ED1239"/>
    <w:rsid w:val="00ED13B2"/>
    <w:rsid w:val="00ED1806"/>
    <w:rsid w:val="00ED2564"/>
    <w:rsid w:val="00ED2568"/>
    <w:rsid w:val="00ED2631"/>
    <w:rsid w:val="00ED2B08"/>
    <w:rsid w:val="00ED2EF1"/>
    <w:rsid w:val="00ED3125"/>
    <w:rsid w:val="00ED31E8"/>
    <w:rsid w:val="00ED3241"/>
    <w:rsid w:val="00ED372A"/>
    <w:rsid w:val="00ED383D"/>
    <w:rsid w:val="00ED398B"/>
    <w:rsid w:val="00ED3A99"/>
    <w:rsid w:val="00ED4447"/>
    <w:rsid w:val="00ED44A3"/>
    <w:rsid w:val="00ED44F2"/>
    <w:rsid w:val="00ED4814"/>
    <w:rsid w:val="00ED53EB"/>
    <w:rsid w:val="00ED5456"/>
    <w:rsid w:val="00ED5637"/>
    <w:rsid w:val="00ED5B6A"/>
    <w:rsid w:val="00ED5C72"/>
    <w:rsid w:val="00ED5DFB"/>
    <w:rsid w:val="00ED6773"/>
    <w:rsid w:val="00ED6A7C"/>
    <w:rsid w:val="00ED6D3A"/>
    <w:rsid w:val="00ED6E19"/>
    <w:rsid w:val="00ED7106"/>
    <w:rsid w:val="00ED71F7"/>
    <w:rsid w:val="00ED7318"/>
    <w:rsid w:val="00ED74A5"/>
    <w:rsid w:val="00ED7570"/>
    <w:rsid w:val="00ED7983"/>
    <w:rsid w:val="00EE0190"/>
    <w:rsid w:val="00EE01DB"/>
    <w:rsid w:val="00EE039E"/>
    <w:rsid w:val="00EE0619"/>
    <w:rsid w:val="00EE0743"/>
    <w:rsid w:val="00EE0A56"/>
    <w:rsid w:val="00EE0AD6"/>
    <w:rsid w:val="00EE0BAC"/>
    <w:rsid w:val="00EE0C59"/>
    <w:rsid w:val="00EE0FB2"/>
    <w:rsid w:val="00EE1004"/>
    <w:rsid w:val="00EE14DF"/>
    <w:rsid w:val="00EE1B32"/>
    <w:rsid w:val="00EE242E"/>
    <w:rsid w:val="00EE2B0B"/>
    <w:rsid w:val="00EE2C20"/>
    <w:rsid w:val="00EE2DDA"/>
    <w:rsid w:val="00EE2E1D"/>
    <w:rsid w:val="00EE300F"/>
    <w:rsid w:val="00EE3199"/>
    <w:rsid w:val="00EE3B57"/>
    <w:rsid w:val="00EE3D23"/>
    <w:rsid w:val="00EE3FE2"/>
    <w:rsid w:val="00EE4103"/>
    <w:rsid w:val="00EE4106"/>
    <w:rsid w:val="00EE42C3"/>
    <w:rsid w:val="00EE46C5"/>
    <w:rsid w:val="00EE487A"/>
    <w:rsid w:val="00EE4C7C"/>
    <w:rsid w:val="00EE4DB1"/>
    <w:rsid w:val="00EE5642"/>
    <w:rsid w:val="00EE5AC7"/>
    <w:rsid w:val="00EE5AF9"/>
    <w:rsid w:val="00EE60D1"/>
    <w:rsid w:val="00EE60EF"/>
    <w:rsid w:val="00EE6137"/>
    <w:rsid w:val="00EE6428"/>
    <w:rsid w:val="00EE674B"/>
    <w:rsid w:val="00EE6A8E"/>
    <w:rsid w:val="00EE71C8"/>
    <w:rsid w:val="00EE71D4"/>
    <w:rsid w:val="00EE737F"/>
    <w:rsid w:val="00EE767E"/>
    <w:rsid w:val="00EE76E3"/>
    <w:rsid w:val="00EE76ED"/>
    <w:rsid w:val="00EE7B24"/>
    <w:rsid w:val="00EE7E1A"/>
    <w:rsid w:val="00EF0013"/>
    <w:rsid w:val="00EF017D"/>
    <w:rsid w:val="00EF019B"/>
    <w:rsid w:val="00EF0775"/>
    <w:rsid w:val="00EF0BC9"/>
    <w:rsid w:val="00EF0DCD"/>
    <w:rsid w:val="00EF10B2"/>
    <w:rsid w:val="00EF11D4"/>
    <w:rsid w:val="00EF1526"/>
    <w:rsid w:val="00EF1720"/>
    <w:rsid w:val="00EF1D36"/>
    <w:rsid w:val="00EF2092"/>
    <w:rsid w:val="00EF210F"/>
    <w:rsid w:val="00EF2335"/>
    <w:rsid w:val="00EF29FE"/>
    <w:rsid w:val="00EF2B39"/>
    <w:rsid w:val="00EF310B"/>
    <w:rsid w:val="00EF33BC"/>
    <w:rsid w:val="00EF3A75"/>
    <w:rsid w:val="00EF3D0C"/>
    <w:rsid w:val="00EF3E9E"/>
    <w:rsid w:val="00EF4409"/>
    <w:rsid w:val="00EF44E9"/>
    <w:rsid w:val="00EF450D"/>
    <w:rsid w:val="00EF45D7"/>
    <w:rsid w:val="00EF4611"/>
    <w:rsid w:val="00EF47C3"/>
    <w:rsid w:val="00EF48BC"/>
    <w:rsid w:val="00EF4967"/>
    <w:rsid w:val="00EF5028"/>
    <w:rsid w:val="00EF5373"/>
    <w:rsid w:val="00EF541C"/>
    <w:rsid w:val="00EF5483"/>
    <w:rsid w:val="00EF5A9C"/>
    <w:rsid w:val="00EF5CC9"/>
    <w:rsid w:val="00EF5D62"/>
    <w:rsid w:val="00EF5FEC"/>
    <w:rsid w:val="00EF6027"/>
    <w:rsid w:val="00EF6099"/>
    <w:rsid w:val="00EF6183"/>
    <w:rsid w:val="00EF61D5"/>
    <w:rsid w:val="00EF676F"/>
    <w:rsid w:val="00EF6DAE"/>
    <w:rsid w:val="00EF6FB7"/>
    <w:rsid w:val="00EF6FC3"/>
    <w:rsid w:val="00EF71BD"/>
    <w:rsid w:val="00EF72CB"/>
    <w:rsid w:val="00EF72D1"/>
    <w:rsid w:val="00EF736B"/>
    <w:rsid w:val="00EF74A5"/>
    <w:rsid w:val="00EF7651"/>
    <w:rsid w:val="00EF7E81"/>
    <w:rsid w:val="00EF7F1C"/>
    <w:rsid w:val="00F00336"/>
    <w:rsid w:val="00F0039A"/>
    <w:rsid w:val="00F008B6"/>
    <w:rsid w:val="00F0093A"/>
    <w:rsid w:val="00F00B97"/>
    <w:rsid w:val="00F00BFA"/>
    <w:rsid w:val="00F00F8C"/>
    <w:rsid w:val="00F01233"/>
    <w:rsid w:val="00F016AB"/>
    <w:rsid w:val="00F017DE"/>
    <w:rsid w:val="00F01C9D"/>
    <w:rsid w:val="00F01F50"/>
    <w:rsid w:val="00F02370"/>
    <w:rsid w:val="00F02871"/>
    <w:rsid w:val="00F029BA"/>
    <w:rsid w:val="00F02C83"/>
    <w:rsid w:val="00F02E24"/>
    <w:rsid w:val="00F0301F"/>
    <w:rsid w:val="00F03041"/>
    <w:rsid w:val="00F032DC"/>
    <w:rsid w:val="00F03DFF"/>
    <w:rsid w:val="00F03E08"/>
    <w:rsid w:val="00F03E8D"/>
    <w:rsid w:val="00F0422A"/>
    <w:rsid w:val="00F043FC"/>
    <w:rsid w:val="00F0456C"/>
    <w:rsid w:val="00F049F3"/>
    <w:rsid w:val="00F04AF2"/>
    <w:rsid w:val="00F04CE7"/>
    <w:rsid w:val="00F04E85"/>
    <w:rsid w:val="00F04F98"/>
    <w:rsid w:val="00F05C75"/>
    <w:rsid w:val="00F066D7"/>
    <w:rsid w:val="00F0681C"/>
    <w:rsid w:val="00F069B7"/>
    <w:rsid w:val="00F06AF4"/>
    <w:rsid w:val="00F06F01"/>
    <w:rsid w:val="00F06F39"/>
    <w:rsid w:val="00F06F97"/>
    <w:rsid w:val="00F070F8"/>
    <w:rsid w:val="00F07174"/>
    <w:rsid w:val="00F071B1"/>
    <w:rsid w:val="00F0728D"/>
    <w:rsid w:val="00F0763C"/>
    <w:rsid w:val="00F07843"/>
    <w:rsid w:val="00F07DCF"/>
    <w:rsid w:val="00F07F57"/>
    <w:rsid w:val="00F1013C"/>
    <w:rsid w:val="00F107B8"/>
    <w:rsid w:val="00F10BFD"/>
    <w:rsid w:val="00F10CD3"/>
    <w:rsid w:val="00F10D66"/>
    <w:rsid w:val="00F112BC"/>
    <w:rsid w:val="00F1157C"/>
    <w:rsid w:val="00F117DB"/>
    <w:rsid w:val="00F11EC8"/>
    <w:rsid w:val="00F11EFD"/>
    <w:rsid w:val="00F12084"/>
    <w:rsid w:val="00F120DD"/>
    <w:rsid w:val="00F12521"/>
    <w:rsid w:val="00F12702"/>
    <w:rsid w:val="00F128CE"/>
    <w:rsid w:val="00F12BB8"/>
    <w:rsid w:val="00F12C6F"/>
    <w:rsid w:val="00F13DB6"/>
    <w:rsid w:val="00F1429A"/>
    <w:rsid w:val="00F14324"/>
    <w:rsid w:val="00F14449"/>
    <w:rsid w:val="00F14896"/>
    <w:rsid w:val="00F14A28"/>
    <w:rsid w:val="00F14A3D"/>
    <w:rsid w:val="00F14A98"/>
    <w:rsid w:val="00F14C76"/>
    <w:rsid w:val="00F153DE"/>
    <w:rsid w:val="00F15596"/>
    <w:rsid w:val="00F15AD5"/>
    <w:rsid w:val="00F15F0F"/>
    <w:rsid w:val="00F161E1"/>
    <w:rsid w:val="00F1621C"/>
    <w:rsid w:val="00F169C6"/>
    <w:rsid w:val="00F16CF4"/>
    <w:rsid w:val="00F16F39"/>
    <w:rsid w:val="00F174C5"/>
    <w:rsid w:val="00F17518"/>
    <w:rsid w:val="00F179D9"/>
    <w:rsid w:val="00F2003F"/>
    <w:rsid w:val="00F20241"/>
    <w:rsid w:val="00F20D01"/>
    <w:rsid w:val="00F21139"/>
    <w:rsid w:val="00F211B3"/>
    <w:rsid w:val="00F21296"/>
    <w:rsid w:val="00F2193C"/>
    <w:rsid w:val="00F21E9D"/>
    <w:rsid w:val="00F21FA9"/>
    <w:rsid w:val="00F22117"/>
    <w:rsid w:val="00F2235F"/>
    <w:rsid w:val="00F22726"/>
    <w:rsid w:val="00F228E8"/>
    <w:rsid w:val="00F22C3C"/>
    <w:rsid w:val="00F22C80"/>
    <w:rsid w:val="00F22FF3"/>
    <w:rsid w:val="00F23438"/>
    <w:rsid w:val="00F2356E"/>
    <w:rsid w:val="00F23684"/>
    <w:rsid w:val="00F23D0C"/>
    <w:rsid w:val="00F23D17"/>
    <w:rsid w:val="00F2482F"/>
    <w:rsid w:val="00F24DC0"/>
    <w:rsid w:val="00F24E3C"/>
    <w:rsid w:val="00F25323"/>
    <w:rsid w:val="00F2554E"/>
    <w:rsid w:val="00F25BC2"/>
    <w:rsid w:val="00F25EE3"/>
    <w:rsid w:val="00F2604A"/>
    <w:rsid w:val="00F2655C"/>
    <w:rsid w:val="00F265E6"/>
    <w:rsid w:val="00F26675"/>
    <w:rsid w:val="00F26678"/>
    <w:rsid w:val="00F269CB"/>
    <w:rsid w:val="00F26A2C"/>
    <w:rsid w:val="00F2709B"/>
    <w:rsid w:val="00F27238"/>
    <w:rsid w:val="00F27295"/>
    <w:rsid w:val="00F2765F"/>
    <w:rsid w:val="00F277FF"/>
    <w:rsid w:val="00F27875"/>
    <w:rsid w:val="00F27955"/>
    <w:rsid w:val="00F279CE"/>
    <w:rsid w:val="00F27ACD"/>
    <w:rsid w:val="00F27ED9"/>
    <w:rsid w:val="00F301ED"/>
    <w:rsid w:val="00F302B8"/>
    <w:rsid w:val="00F302FE"/>
    <w:rsid w:val="00F3039E"/>
    <w:rsid w:val="00F303E3"/>
    <w:rsid w:val="00F30870"/>
    <w:rsid w:val="00F309EE"/>
    <w:rsid w:val="00F30B02"/>
    <w:rsid w:val="00F30D13"/>
    <w:rsid w:val="00F30E8A"/>
    <w:rsid w:val="00F30F77"/>
    <w:rsid w:val="00F30F87"/>
    <w:rsid w:val="00F31123"/>
    <w:rsid w:val="00F3147C"/>
    <w:rsid w:val="00F31FBA"/>
    <w:rsid w:val="00F320F1"/>
    <w:rsid w:val="00F3226F"/>
    <w:rsid w:val="00F32EF7"/>
    <w:rsid w:val="00F33051"/>
    <w:rsid w:val="00F33233"/>
    <w:rsid w:val="00F3371B"/>
    <w:rsid w:val="00F33744"/>
    <w:rsid w:val="00F33A9D"/>
    <w:rsid w:val="00F33B90"/>
    <w:rsid w:val="00F3431C"/>
    <w:rsid w:val="00F344CB"/>
    <w:rsid w:val="00F344D7"/>
    <w:rsid w:val="00F352C3"/>
    <w:rsid w:val="00F35517"/>
    <w:rsid w:val="00F3597B"/>
    <w:rsid w:val="00F35B25"/>
    <w:rsid w:val="00F35B9A"/>
    <w:rsid w:val="00F35D62"/>
    <w:rsid w:val="00F36548"/>
    <w:rsid w:val="00F3664C"/>
    <w:rsid w:val="00F36826"/>
    <w:rsid w:val="00F36AF3"/>
    <w:rsid w:val="00F36E8F"/>
    <w:rsid w:val="00F37149"/>
    <w:rsid w:val="00F3748B"/>
    <w:rsid w:val="00F374D2"/>
    <w:rsid w:val="00F37534"/>
    <w:rsid w:val="00F37B45"/>
    <w:rsid w:val="00F400D4"/>
    <w:rsid w:val="00F40220"/>
    <w:rsid w:val="00F40245"/>
    <w:rsid w:val="00F40662"/>
    <w:rsid w:val="00F406F8"/>
    <w:rsid w:val="00F4077C"/>
    <w:rsid w:val="00F40D4A"/>
    <w:rsid w:val="00F40F3E"/>
    <w:rsid w:val="00F41319"/>
    <w:rsid w:val="00F41343"/>
    <w:rsid w:val="00F416A5"/>
    <w:rsid w:val="00F41FAA"/>
    <w:rsid w:val="00F42366"/>
    <w:rsid w:val="00F42C90"/>
    <w:rsid w:val="00F43177"/>
    <w:rsid w:val="00F4347E"/>
    <w:rsid w:val="00F43679"/>
    <w:rsid w:val="00F436E2"/>
    <w:rsid w:val="00F43826"/>
    <w:rsid w:val="00F438C6"/>
    <w:rsid w:val="00F43E2B"/>
    <w:rsid w:val="00F43FEA"/>
    <w:rsid w:val="00F442B1"/>
    <w:rsid w:val="00F44467"/>
    <w:rsid w:val="00F44806"/>
    <w:rsid w:val="00F44AA0"/>
    <w:rsid w:val="00F44C34"/>
    <w:rsid w:val="00F453AF"/>
    <w:rsid w:val="00F4561A"/>
    <w:rsid w:val="00F457C6"/>
    <w:rsid w:val="00F459E9"/>
    <w:rsid w:val="00F45BD1"/>
    <w:rsid w:val="00F45C32"/>
    <w:rsid w:val="00F45CE2"/>
    <w:rsid w:val="00F45D39"/>
    <w:rsid w:val="00F460B7"/>
    <w:rsid w:val="00F4637F"/>
    <w:rsid w:val="00F46506"/>
    <w:rsid w:val="00F46726"/>
    <w:rsid w:val="00F46829"/>
    <w:rsid w:val="00F4689B"/>
    <w:rsid w:val="00F46974"/>
    <w:rsid w:val="00F46B54"/>
    <w:rsid w:val="00F46BBB"/>
    <w:rsid w:val="00F46BE9"/>
    <w:rsid w:val="00F46C81"/>
    <w:rsid w:val="00F47033"/>
    <w:rsid w:val="00F473E0"/>
    <w:rsid w:val="00F475EE"/>
    <w:rsid w:val="00F4760C"/>
    <w:rsid w:val="00F4777D"/>
    <w:rsid w:val="00F47950"/>
    <w:rsid w:val="00F47A2C"/>
    <w:rsid w:val="00F5009E"/>
    <w:rsid w:val="00F506E6"/>
    <w:rsid w:val="00F508C1"/>
    <w:rsid w:val="00F517FD"/>
    <w:rsid w:val="00F51882"/>
    <w:rsid w:val="00F51E29"/>
    <w:rsid w:val="00F51ED0"/>
    <w:rsid w:val="00F5204E"/>
    <w:rsid w:val="00F52181"/>
    <w:rsid w:val="00F523E6"/>
    <w:rsid w:val="00F526A7"/>
    <w:rsid w:val="00F529BF"/>
    <w:rsid w:val="00F52FB9"/>
    <w:rsid w:val="00F53229"/>
    <w:rsid w:val="00F53279"/>
    <w:rsid w:val="00F5337E"/>
    <w:rsid w:val="00F535A2"/>
    <w:rsid w:val="00F5381E"/>
    <w:rsid w:val="00F53903"/>
    <w:rsid w:val="00F53C64"/>
    <w:rsid w:val="00F53DDB"/>
    <w:rsid w:val="00F5409B"/>
    <w:rsid w:val="00F54531"/>
    <w:rsid w:val="00F545FE"/>
    <w:rsid w:val="00F54645"/>
    <w:rsid w:val="00F54874"/>
    <w:rsid w:val="00F54942"/>
    <w:rsid w:val="00F54AF1"/>
    <w:rsid w:val="00F5577D"/>
    <w:rsid w:val="00F5585D"/>
    <w:rsid w:val="00F55C12"/>
    <w:rsid w:val="00F55D44"/>
    <w:rsid w:val="00F55DC1"/>
    <w:rsid w:val="00F55EC6"/>
    <w:rsid w:val="00F55FF7"/>
    <w:rsid w:val="00F565AC"/>
    <w:rsid w:val="00F56754"/>
    <w:rsid w:val="00F567C9"/>
    <w:rsid w:val="00F568C0"/>
    <w:rsid w:val="00F568D9"/>
    <w:rsid w:val="00F56AF3"/>
    <w:rsid w:val="00F56D12"/>
    <w:rsid w:val="00F56DD4"/>
    <w:rsid w:val="00F56DFE"/>
    <w:rsid w:val="00F571F2"/>
    <w:rsid w:val="00F574A1"/>
    <w:rsid w:val="00F57539"/>
    <w:rsid w:val="00F5759E"/>
    <w:rsid w:val="00F57647"/>
    <w:rsid w:val="00F5789C"/>
    <w:rsid w:val="00F602AB"/>
    <w:rsid w:val="00F602BD"/>
    <w:rsid w:val="00F603CA"/>
    <w:rsid w:val="00F60CEE"/>
    <w:rsid w:val="00F617AA"/>
    <w:rsid w:val="00F61B14"/>
    <w:rsid w:val="00F61B34"/>
    <w:rsid w:val="00F61EE4"/>
    <w:rsid w:val="00F61FDA"/>
    <w:rsid w:val="00F62252"/>
    <w:rsid w:val="00F62E59"/>
    <w:rsid w:val="00F63040"/>
    <w:rsid w:val="00F6318B"/>
    <w:rsid w:val="00F635A6"/>
    <w:rsid w:val="00F63689"/>
    <w:rsid w:val="00F6377A"/>
    <w:rsid w:val="00F63B9D"/>
    <w:rsid w:val="00F640EC"/>
    <w:rsid w:val="00F64137"/>
    <w:rsid w:val="00F642F0"/>
    <w:rsid w:val="00F64383"/>
    <w:rsid w:val="00F64703"/>
    <w:rsid w:val="00F647A3"/>
    <w:rsid w:val="00F647C9"/>
    <w:rsid w:val="00F64A0E"/>
    <w:rsid w:val="00F64B4C"/>
    <w:rsid w:val="00F64E64"/>
    <w:rsid w:val="00F654D6"/>
    <w:rsid w:val="00F656C3"/>
    <w:rsid w:val="00F65B34"/>
    <w:rsid w:val="00F65BEB"/>
    <w:rsid w:val="00F6615C"/>
    <w:rsid w:val="00F66245"/>
    <w:rsid w:val="00F66436"/>
    <w:rsid w:val="00F665FF"/>
    <w:rsid w:val="00F66683"/>
    <w:rsid w:val="00F668DF"/>
    <w:rsid w:val="00F66957"/>
    <w:rsid w:val="00F66AEC"/>
    <w:rsid w:val="00F66B2E"/>
    <w:rsid w:val="00F66BB4"/>
    <w:rsid w:val="00F6706D"/>
    <w:rsid w:val="00F67579"/>
    <w:rsid w:val="00F67896"/>
    <w:rsid w:val="00F67A7B"/>
    <w:rsid w:val="00F67EE7"/>
    <w:rsid w:val="00F700D7"/>
    <w:rsid w:val="00F702F3"/>
    <w:rsid w:val="00F70486"/>
    <w:rsid w:val="00F70643"/>
    <w:rsid w:val="00F7080E"/>
    <w:rsid w:val="00F70B38"/>
    <w:rsid w:val="00F70F5D"/>
    <w:rsid w:val="00F70F8D"/>
    <w:rsid w:val="00F710A1"/>
    <w:rsid w:val="00F71202"/>
    <w:rsid w:val="00F7121D"/>
    <w:rsid w:val="00F712B8"/>
    <w:rsid w:val="00F7139E"/>
    <w:rsid w:val="00F7144B"/>
    <w:rsid w:val="00F7162C"/>
    <w:rsid w:val="00F718A1"/>
    <w:rsid w:val="00F719EF"/>
    <w:rsid w:val="00F71E05"/>
    <w:rsid w:val="00F71EB0"/>
    <w:rsid w:val="00F722D9"/>
    <w:rsid w:val="00F72369"/>
    <w:rsid w:val="00F72744"/>
    <w:rsid w:val="00F7312F"/>
    <w:rsid w:val="00F73201"/>
    <w:rsid w:val="00F73505"/>
    <w:rsid w:val="00F735CD"/>
    <w:rsid w:val="00F736EB"/>
    <w:rsid w:val="00F73A09"/>
    <w:rsid w:val="00F73C3D"/>
    <w:rsid w:val="00F73ECE"/>
    <w:rsid w:val="00F74231"/>
    <w:rsid w:val="00F7437E"/>
    <w:rsid w:val="00F74495"/>
    <w:rsid w:val="00F746AF"/>
    <w:rsid w:val="00F746FB"/>
    <w:rsid w:val="00F747C1"/>
    <w:rsid w:val="00F748FD"/>
    <w:rsid w:val="00F74B88"/>
    <w:rsid w:val="00F74F5C"/>
    <w:rsid w:val="00F751CB"/>
    <w:rsid w:val="00F751FD"/>
    <w:rsid w:val="00F75CE3"/>
    <w:rsid w:val="00F7606B"/>
    <w:rsid w:val="00F7637D"/>
    <w:rsid w:val="00F7638A"/>
    <w:rsid w:val="00F763F3"/>
    <w:rsid w:val="00F7691F"/>
    <w:rsid w:val="00F76B15"/>
    <w:rsid w:val="00F76F6F"/>
    <w:rsid w:val="00F772D0"/>
    <w:rsid w:val="00F7745C"/>
    <w:rsid w:val="00F77554"/>
    <w:rsid w:val="00F77959"/>
    <w:rsid w:val="00F779BA"/>
    <w:rsid w:val="00F77A1B"/>
    <w:rsid w:val="00F800CA"/>
    <w:rsid w:val="00F8020E"/>
    <w:rsid w:val="00F8071B"/>
    <w:rsid w:val="00F807C9"/>
    <w:rsid w:val="00F80B6C"/>
    <w:rsid w:val="00F80B9E"/>
    <w:rsid w:val="00F80F70"/>
    <w:rsid w:val="00F813BA"/>
    <w:rsid w:val="00F814B0"/>
    <w:rsid w:val="00F81B69"/>
    <w:rsid w:val="00F81CCA"/>
    <w:rsid w:val="00F821B2"/>
    <w:rsid w:val="00F823A4"/>
    <w:rsid w:val="00F828CA"/>
    <w:rsid w:val="00F82DA6"/>
    <w:rsid w:val="00F82FC2"/>
    <w:rsid w:val="00F836C6"/>
    <w:rsid w:val="00F83712"/>
    <w:rsid w:val="00F838EB"/>
    <w:rsid w:val="00F83A8A"/>
    <w:rsid w:val="00F83F45"/>
    <w:rsid w:val="00F83FBE"/>
    <w:rsid w:val="00F84099"/>
    <w:rsid w:val="00F84509"/>
    <w:rsid w:val="00F84632"/>
    <w:rsid w:val="00F848EF"/>
    <w:rsid w:val="00F8503C"/>
    <w:rsid w:val="00F852BD"/>
    <w:rsid w:val="00F852F4"/>
    <w:rsid w:val="00F855AC"/>
    <w:rsid w:val="00F85662"/>
    <w:rsid w:val="00F856C4"/>
    <w:rsid w:val="00F86526"/>
    <w:rsid w:val="00F866A0"/>
    <w:rsid w:val="00F866B1"/>
    <w:rsid w:val="00F86731"/>
    <w:rsid w:val="00F8690F"/>
    <w:rsid w:val="00F86F4A"/>
    <w:rsid w:val="00F870E3"/>
    <w:rsid w:val="00F874A9"/>
    <w:rsid w:val="00F8770A"/>
    <w:rsid w:val="00F8793C"/>
    <w:rsid w:val="00F87AF3"/>
    <w:rsid w:val="00F87C86"/>
    <w:rsid w:val="00F901B5"/>
    <w:rsid w:val="00F90304"/>
    <w:rsid w:val="00F9099C"/>
    <w:rsid w:val="00F90A38"/>
    <w:rsid w:val="00F90A52"/>
    <w:rsid w:val="00F90B95"/>
    <w:rsid w:val="00F90D83"/>
    <w:rsid w:val="00F90EB7"/>
    <w:rsid w:val="00F90FAE"/>
    <w:rsid w:val="00F913CB"/>
    <w:rsid w:val="00F91465"/>
    <w:rsid w:val="00F9187E"/>
    <w:rsid w:val="00F91A45"/>
    <w:rsid w:val="00F91D9A"/>
    <w:rsid w:val="00F91E3F"/>
    <w:rsid w:val="00F91E49"/>
    <w:rsid w:val="00F9208C"/>
    <w:rsid w:val="00F922F5"/>
    <w:rsid w:val="00F923E7"/>
    <w:rsid w:val="00F9259F"/>
    <w:rsid w:val="00F92888"/>
    <w:rsid w:val="00F92936"/>
    <w:rsid w:val="00F92A0C"/>
    <w:rsid w:val="00F92C73"/>
    <w:rsid w:val="00F93325"/>
    <w:rsid w:val="00F936CC"/>
    <w:rsid w:val="00F93E50"/>
    <w:rsid w:val="00F9459B"/>
    <w:rsid w:val="00F94883"/>
    <w:rsid w:val="00F94B6A"/>
    <w:rsid w:val="00F94B93"/>
    <w:rsid w:val="00F958E3"/>
    <w:rsid w:val="00F959DB"/>
    <w:rsid w:val="00F95C16"/>
    <w:rsid w:val="00F95F51"/>
    <w:rsid w:val="00F96290"/>
    <w:rsid w:val="00F968AC"/>
    <w:rsid w:val="00F968C9"/>
    <w:rsid w:val="00F96AB8"/>
    <w:rsid w:val="00F96B30"/>
    <w:rsid w:val="00F96D53"/>
    <w:rsid w:val="00F96ED9"/>
    <w:rsid w:val="00F96FB2"/>
    <w:rsid w:val="00F96FB5"/>
    <w:rsid w:val="00F97A02"/>
    <w:rsid w:val="00FA0330"/>
    <w:rsid w:val="00FA0339"/>
    <w:rsid w:val="00FA03E7"/>
    <w:rsid w:val="00FA04FF"/>
    <w:rsid w:val="00FA0536"/>
    <w:rsid w:val="00FA07BB"/>
    <w:rsid w:val="00FA09AB"/>
    <w:rsid w:val="00FA106C"/>
    <w:rsid w:val="00FA178E"/>
    <w:rsid w:val="00FA19E6"/>
    <w:rsid w:val="00FA1C96"/>
    <w:rsid w:val="00FA20B3"/>
    <w:rsid w:val="00FA20F1"/>
    <w:rsid w:val="00FA2148"/>
    <w:rsid w:val="00FA2344"/>
    <w:rsid w:val="00FA2603"/>
    <w:rsid w:val="00FA27BD"/>
    <w:rsid w:val="00FA292C"/>
    <w:rsid w:val="00FA2A61"/>
    <w:rsid w:val="00FA2EE9"/>
    <w:rsid w:val="00FA314A"/>
    <w:rsid w:val="00FA3226"/>
    <w:rsid w:val="00FA3E1D"/>
    <w:rsid w:val="00FA46C1"/>
    <w:rsid w:val="00FA4B12"/>
    <w:rsid w:val="00FA4B22"/>
    <w:rsid w:val="00FA4DD8"/>
    <w:rsid w:val="00FA4E1E"/>
    <w:rsid w:val="00FA4F79"/>
    <w:rsid w:val="00FA5036"/>
    <w:rsid w:val="00FA50FC"/>
    <w:rsid w:val="00FA5370"/>
    <w:rsid w:val="00FA5411"/>
    <w:rsid w:val="00FA54C8"/>
    <w:rsid w:val="00FA5616"/>
    <w:rsid w:val="00FA5654"/>
    <w:rsid w:val="00FA5768"/>
    <w:rsid w:val="00FA57C1"/>
    <w:rsid w:val="00FA5983"/>
    <w:rsid w:val="00FA598D"/>
    <w:rsid w:val="00FA5DA0"/>
    <w:rsid w:val="00FA5F04"/>
    <w:rsid w:val="00FA618C"/>
    <w:rsid w:val="00FA61D8"/>
    <w:rsid w:val="00FA6609"/>
    <w:rsid w:val="00FA676D"/>
    <w:rsid w:val="00FA6B6A"/>
    <w:rsid w:val="00FA6CAA"/>
    <w:rsid w:val="00FA6DEA"/>
    <w:rsid w:val="00FA70C7"/>
    <w:rsid w:val="00FA718C"/>
    <w:rsid w:val="00FA71EA"/>
    <w:rsid w:val="00FA77A5"/>
    <w:rsid w:val="00FA77B4"/>
    <w:rsid w:val="00FA7955"/>
    <w:rsid w:val="00FA7E79"/>
    <w:rsid w:val="00FB03E8"/>
    <w:rsid w:val="00FB05BA"/>
    <w:rsid w:val="00FB05EA"/>
    <w:rsid w:val="00FB060B"/>
    <w:rsid w:val="00FB0A79"/>
    <w:rsid w:val="00FB0C6E"/>
    <w:rsid w:val="00FB125E"/>
    <w:rsid w:val="00FB150D"/>
    <w:rsid w:val="00FB165F"/>
    <w:rsid w:val="00FB18DA"/>
    <w:rsid w:val="00FB1BAA"/>
    <w:rsid w:val="00FB1DF4"/>
    <w:rsid w:val="00FB20CD"/>
    <w:rsid w:val="00FB29F6"/>
    <w:rsid w:val="00FB2B26"/>
    <w:rsid w:val="00FB2C86"/>
    <w:rsid w:val="00FB2FD0"/>
    <w:rsid w:val="00FB3400"/>
    <w:rsid w:val="00FB342E"/>
    <w:rsid w:val="00FB3509"/>
    <w:rsid w:val="00FB36BD"/>
    <w:rsid w:val="00FB3831"/>
    <w:rsid w:val="00FB38B0"/>
    <w:rsid w:val="00FB3D15"/>
    <w:rsid w:val="00FB43F0"/>
    <w:rsid w:val="00FB4913"/>
    <w:rsid w:val="00FB4DDB"/>
    <w:rsid w:val="00FB4EF8"/>
    <w:rsid w:val="00FB50A7"/>
    <w:rsid w:val="00FB528C"/>
    <w:rsid w:val="00FB554C"/>
    <w:rsid w:val="00FB5B35"/>
    <w:rsid w:val="00FB5E10"/>
    <w:rsid w:val="00FB61BC"/>
    <w:rsid w:val="00FB622B"/>
    <w:rsid w:val="00FB624E"/>
    <w:rsid w:val="00FB648A"/>
    <w:rsid w:val="00FB65F9"/>
    <w:rsid w:val="00FB695D"/>
    <w:rsid w:val="00FB6D52"/>
    <w:rsid w:val="00FB6DE2"/>
    <w:rsid w:val="00FB7CC5"/>
    <w:rsid w:val="00FB7EBB"/>
    <w:rsid w:val="00FC013A"/>
    <w:rsid w:val="00FC0206"/>
    <w:rsid w:val="00FC07B9"/>
    <w:rsid w:val="00FC0C72"/>
    <w:rsid w:val="00FC0D62"/>
    <w:rsid w:val="00FC0DC9"/>
    <w:rsid w:val="00FC0EB1"/>
    <w:rsid w:val="00FC1549"/>
    <w:rsid w:val="00FC18FD"/>
    <w:rsid w:val="00FC19B0"/>
    <w:rsid w:val="00FC1F1F"/>
    <w:rsid w:val="00FC23DD"/>
    <w:rsid w:val="00FC2489"/>
    <w:rsid w:val="00FC2950"/>
    <w:rsid w:val="00FC301B"/>
    <w:rsid w:val="00FC327F"/>
    <w:rsid w:val="00FC3466"/>
    <w:rsid w:val="00FC378E"/>
    <w:rsid w:val="00FC37B9"/>
    <w:rsid w:val="00FC396D"/>
    <w:rsid w:val="00FC3A49"/>
    <w:rsid w:val="00FC3D6C"/>
    <w:rsid w:val="00FC3DF5"/>
    <w:rsid w:val="00FC401B"/>
    <w:rsid w:val="00FC47DD"/>
    <w:rsid w:val="00FC486B"/>
    <w:rsid w:val="00FC4C85"/>
    <w:rsid w:val="00FC520C"/>
    <w:rsid w:val="00FC540C"/>
    <w:rsid w:val="00FC541E"/>
    <w:rsid w:val="00FC5540"/>
    <w:rsid w:val="00FC564A"/>
    <w:rsid w:val="00FC59D8"/>
    <w:rsid w:val="00FC63EA"/>
    <w:rsid w:val="00FC65F0"/>
    <w:rsid w:val="00FC6CA2"/>
    <w:rsid w:val="00FC6D4A"/>
    <w:rsid w:val="00FC6DE1"/>
    <w:rsid w:val="00FC7375"/>
    <w:rsid w:val="00FC73C5"/>
    <w:rsid w:val="00FC783C"/>
    <w:rsid w:val="00FC7ACF"/>
    <w:rsid w:val="00FC7C90"/>
    <w:rsid w:val="00FC7D54"/>
    <w:rsid w:val="00FD0291"/>
    <w:rsid w:val="00FD0311"/>
    <w:rsid w:val="00FD047B"/>
    <w:rsid w:val="00FD04B7"/>
    <w:rsid w:val="00FD05A3"/>
    <w:rsid w:val="00FD0851"/>
    <w:rsid w:val="00FD0E93"/>
    <w:rsid w:val="00FD0EBA"/>
    <w:rsid w:val="00FD152C"/>
    <w:rsid w:val="00FD1D87"/>
    <w:rsid w:val="00FD201A"/>
    <w:rsid w:val="00FD21EE"/>
    <w:rsid w:val="00FD2969"/>
    <w:rsid w:val="00FD2AE9"/>
    <w:rsid w:val="00FD2C04"/>
    <w:rsid w:val="00FD2F0A"/>
    <w:rsid w:val="00FD312D"/>
    <w:rsid w:val="00FD33B5"/>
    <w:rsid w:val="00FD3521"/>
    <w:rsid w:val="00FD35CC"/>
    <w:rsid w:val="00FD36CA"/>
    <w:rsid w:val="00FD3F51"/>
    <w:rsid w:val="00FD3F5B"/>
    <w:rsid w:val="00FD4426"/>
    <w:rsid w:val="00FD4887"/>
    <w:rsid w:val="00FD49DE"/>
    <w:rsid w:val="00FD4E7C"/>
    <w:rsid w:val="00FD5010"/>
    <w:rsid w:val="00FD508A"/>
    <w:rsid w:val="00FD51DE"/>
    <w:rsid w:val="00FD546D"/>
    <w:rsid w:val="00FD549B"/>
    <w:rsid w:val="00FD57C2"/>
    <w:rsid w:val="00FD5ADF"/>
    <w:rsid w:val="00FD5B0C"/>
    <w:rsid w:val="00FD5C1A"/>
    <w:rsid w:val="00FD5DBC"/>
    <w:rsid w:val="00FD6185"/>
    <w:rsid w:val="00FD6286"/>
    <w:rsid w:val="00FD6458"/>
    <w:rsid w:val="00FD645D"/>
    <w:rsid w:val="00FD65B6"/>
    <w:rsid w:val="00FD68DC"/>
    <w:rsid w:val="00FD76C3"/>
    <w:rsid w:val="00FD7B72"/>
    <w:rsid w:val="00FD7EA2"/>
    <w:rsid w:val="00FE041D"/>
    <w:rsid w:val="00FE0679"/>
    <w:rsid w:val="00FE07ED"/>
    <w:rsid w:val="00FE0844"/>
    <w:rsid w:val="00FE0A94"/>
    <w:rsid w:val="00FE0DF1"/>
    <w:rsid w:val="00FE0F1B"/>
    <w:rsid w:val="00FE14CF"/>
    <w:rsid w:val="00FE164E"/>
    <w:rsid w:val="00FE1872"/>
    <w:rsid w:val="00FE1BE6"/>
    <w:rsid w:val="00FE1E3E"/>
    <w:rsid w:val="00FE1F71"/>
    <w:rsid w:val="00FE2142"/>
    <w:rsid w:val="00FE2173"/>
    <w:rsid w:val="00FE2206"/>
    <w:rsid w:val="00FE2375"/>
    <w:rsid w:val="00FE2874"/>
    <w:rsid w:val="00FE2B13"/>
    <w:rsid w:val="00FE2BEF"/>
    <w:rsid w:val="00FE2C1B"/>
    <w:rsid w:val="00FE2CBB"/>
    <w:rsid w:val="00FE2DC5"/>
    <w:rsid w:val="00FE34B5"/>
    <w:rsid w:val="00FE3812"/>
    <w:rsid w:val="00FE384D"/>
    <w:rsid w:val="00FE3AB5"/>
    <w:rsid w:val="00FE3AC9"/>
    <w:rsid w:val="00FE3BF0"/>
    <w:rsid w:val="00FE3C27"/>
    <w:rsid w:val="00FE3E91"/>
    <w:rsid w:val="00FE42A0"/>
    <w:rsid w:val="00FE45C0"/>
    <w:rsid w:val="00FE4640"/>
    <w:rsid w:val="00FE4DE2"/>
    <w:rsid w:val="00FE4ED1"/>
    <w:rsid w:val="00FE51F1"/>
    <w:rsid w:val="00FE5244"/>
    <w:rsid w:val="00FE5800"/>
    <w:rsid w:val="00FE5979"/>
    <w:rsid w:val="00FE5D19"/>
    <w:rsid w:val="00FE5E59"/>
    <w:rsid w:val="00FE6189"/>
    <w:rsid w:val="00FE653F"/>
    <w:rsid w:val="00FE66F3"/>
    <w:rsid w:val="00FE67A1"/>
    <w:rsid w:val="00FE6B3B"/>
    <w:rsid w:val="00FE6C15"/>
    <w:rsid w:val="00FE6C5B"/>
    <w:rsid w:val="00FE6DB3"/>
    <w:rsid w:val="00FE7129"/>
    <w:rsid w:val="00FE73BF"/>
    <w:rsid w:val="00FE767F"/>
    <w:rsid w:val="00FE7F64"/>
    <w:rsid w:val="00FF00AB"/>
    <w:rsid w:val="00FF022D"/>
    <w:rsid w:val="00FF028A"/>
    <w:rsid w:val="00FF03F3"/>
    <w:rsid w:val="00FF0C0A"/>
    <w:rsid w:val="00FF0D27"/>
    <w:rsid w:val="00FF0DE7"/>
    <w:rsid w:val="00FF0EE5"/>
    <w:rsid w:val="00FF122A"/>
    <w:rsid w:val="00FF17C7"/>
    <w:rsid w:val="00FF1869"/>
    <w:rsid w:val="00FF1D12"/>
    <w:rsid w:val="00FF1D62"/>
    <w:rsid w:val="00FF1FCB"/>
    <w:rsid w:val="00FF23D7"/>
    <w:rsid w:val="00FF2624"/>
    <w:rsid w:val="00FF26F6"/>
    <w:rsid w:val="00FF2958"/>
    <w:rsid w:val="00FF2C73"/>
    <w:rsid w:val="00FF2FEC"/>
    <w:rsid w:val="00FF31F9"/>
    <w:rsid w:val="00FF3365"/>
    <w:rsid w:val="00FF3774"/>
    <w:rsid w:val="00FF3859"/>
    <w:rsid w:val="00FF3BA1"/>
    <w:rsid w:val="00FF433E"/>
    <w:rsid w:val="00FF4458"/>
    <w:rsid w:val="00FF4512"/>
    <w:rsid w:val="00FF4D52"/>
    <w:rsid w:val="00FF4F84"/>
    <w:rsid w:val="00FF5343"/>
    <w:rsid w:val="00FF55CD"/>
    <w:rsid w:val="00FF5D1E"/>
    <w:rsid w:val="00FF607F"/>
    <w:rsid w:val="00FF618D"/>
    <w:rsid w:val="00FF623A"/>
    <w:rsid w:val="00FF6388"/>
    <w:rsid w:val="00FF64BD"/>
    <w:rsid w:val="00FF6869"/>
    <w:rsid w:val="00FF6951"/>
    <w:rsid w:val="00FF6C1C"/>
    <w:rsid w:val="00FF6C9E"/>
    <w:rsid w:val="00FF6CB1"/>
    <w:rsid w:val="00FF73C1"/>
    <w:rsid w:val="00FF7537"/>
    <w:rsid w:val="00FF75EC"/>
    <w:rsid w:val="00FF798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qFormat="1"/>
    <w:lsdException w:name="caption" w:uiPriority="35" w:qFormat="1"/>
    <w:lsdException w:name="toa heading" w:uiPriority="0"/>
    <w:lsdException w:name="List Bullet 3" w:uiPriority="0"/>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0C02"/>
    <w:rPr>
      <w:rFonts w:ascii="宋体" w:hAnsi="宋体" w:cs="宋体"/>
      <w:sz w:val="21"/>
      <w:szCs w:val="24"/>
    </w:rPr>
  </w:style>
  <w:style w:type="paragraph" w:styleId="10">
    <w:name w:val="heading 1"/>
    <w:basedOn w:val="a"/>
    <w:next w:val="a"/>
    <w:link w:val="1Char"/>
    <w:uiPriority w:val="99"/>
    <w:qFormat/>
    <w:rsid w:val="005B5D50"/>
    <w:pPr>
      <w:keepNext/>
      <w:keepLines/>
      <w:widowControl w:val="0"/>
      <w:spacing w:before="60" w:after="60" w:line="360" w:lineRule="auto"/>
      <w:jc w:val="center"/>
      <w:outlineLvl w:val="0"/>
    </w:pPr>
    <w:rPr>
      <w:rFonts w:ascii="Calibri" w:eastAsia="黑体" w:hAnsi="Calibri" w:cs="Times New Roman"/>
      <w:b/>
      <w:bCs/>
      <w:kern w:val="44"/>
      <w:sz w:val="28"/>
      <w:szCs w:val="44"/>
    </w:rPr>
  </w:style>
  <w:style w:type="paragraph" w:styleId="2">
    <w:name w:val="heading 2"/>
    <w:aliases w:val="标题 2 Char Char Char"/>
    <w:basedOn w:val="a"/>
    <w:next w:val="a"/>
    <w:link w:val="2Char2"/>
    <w:qFormat/>
    <w:rsid w:val="005B5D50"/>
    <w:pPr>
      <w:keepNext/>
      <w:keepLines/>
      <w:widowControl w:val="0"/>
      <w:spacing w:before="60" w:after="60"/>
      <w:jc w:val="both"/>
      <w:outlineLvl w:val="1"/>
    </w:pPr>
    <w:rPr>
      <w:rFonts w:ascii="Arial" w:hAnsi="Arial" w:cs="Times New Roman"/>
      <w:b/>
      <w:bCs/>
      <w:kern w:val="2"/>
      <w:szCs w:val="21"/>
    </w:rPr>
  </w:style>
  <w:style w:type="paragraph" w:styleId="3">
    <w:name w:val="heading 3"/>
    <w:basedOn w:val="a"/>
    <w:next w:val="a"/>
    <w:link w:val="3Char4"/>
    <w:uiPriority w:val="9"/>
    <w:qFormat/>
    <w:rsid w:val="005B5D50"/>
    <w:pPr>
      <w:keepNext/>
      <w:keepLines/>
      <w:widowControl w:val="0"/>
      <w:spacing w:before="60" w:after="60"/>
      <w:jc w:val="both"/>
      <w:outlineLvl w:val="2"/>
    </w:pPr>
    <w:rPr>
      <w:rFonts w:ascii="Calibri" w:hAnsi="Calibri" w:cs="Times New Roman"/>
      <w:b/>
      <w:bCs/>
      <w:kern w:val="2"/>
      <w:szCs w:val="32"/>
    </w:rPr>
  </w:style>
  <w:style w:type="paragraph" w:styleId="4">
    <w:name w:val="heading 4"/>
    <w:basedOn w:val="a"/>
    <w:next w:val="a"/>
    <w:link w:val="4Char1"/>
    <w:uiPriority w:val="9"/>
    <w:qFormat/>
    <w:rsid w:val="00395389"/>
    <w:pPr>
      <w:keepNext/>
      <w:keepLines/>
      <w:widowControl w:val="0"/>
      <w:spacing w:before="60" w:after="60"/>
      <w:jc w:val="both"/>
      <w:outlineLvl w:val="3"/>
    </w:pPr>
    <w:rPr>
      <w:rFonts w:asciiTheme="minorEastAsia" w:eastAsiaTheme="minorEastAsia" w:hAnsiTheme="minorEastAsia" w:cs="Times New Roman"/>
      <w:b/>
      <w:bCs/>
      <w:kern w:val="2"/>
      <w:szCs w:val="28"/>
    </w:rPr>
  </w:style>
  <w:style w:type="paragraph" w:styleId="5">
    <w:name w:val="heading 5"/>
    <w:basedOn w:val="a"/>
    <w:next w:val="a"/>
    <w:link w:val="5Char3"/>
    <w:uiPriority w:val="9"/>
    <w:qFormat/>
    <w:rsid w:val="00586078"/>
    <w:pPr>
      <w:keepNext/>
      <w:keepLines/>
      <w:widowControl w:val="0"/>
      <w:spacing w:before="60" w:after="60"/>
      <w:jc w:val="both"/>
      <w:outlineLvl w:val="4"/>
    </w:pPr>
    <w:rPr>
      <w:rFonts w:ascii="Calibri" w:hAnsi="Calibri" w:cs="Times New Roman"/>
      <w:b/>
      <w:bCs/>
      <w:kern w:val="2"/>
      <w:szCs w:val="28"/>
    </w:rPr>
  </w:style>
  <w:style w:type="paragraph" w:styleId="6">
    <w:name w:val="heading 6"/>
    <w:basedOn w:val="a"/>
    <w:next w:val="a"/>
    <w:link w:val="6Char"/>
    <w:uiPriority w:val="9"/>
    <w:unhideWhenUsed/>
    <w:qFormat/>
    <w:rsid w:val="005B5D50"/>
    <w:pPr>
      <w:keepNext/>
      <w:keepLines/>
      <w:spacing w:before="60" w:after="60"/>
      <w:outlineLvl w:val="5"/>
    </w:pPr>
    <w:rPr>
      <w:rFonts w:asciiTheme="majorHAnsi" w:hAnsiTheme="majorHAnsi" w:cstheme="majorBidi"/>
      <w:b/>
      <w:bCs/>
    </w:rPr>
  </w:style>
  <w:style w:type="paragraph" w:styleId="7">
    <w:name w:val="heading 7"/>
    <w:basedOn w:val="a"/>
    <w:next w:val="a"/>
    <w:link w:val="7Char"/>
    <w:uiPriority w:val="9"/>
    <w:unhideWhenUsed/>
    <w:qFormat/>
    <w:rsid w:val="00876747"/>
    <w:pPr>
      <w:keepNext/>
      <w:keepLines/>
      <w:spacing w:before="240" w:after="64" w:line="320" w:lineRule="auto"/>
      <w:outlineLvl w:val="6"/>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uiPriority w:val="99"/>
    <w:rsid w:val="005B5D50"/>
    <w:rPr>
      <w:rFonts w:eastAsia="黑体"/>
      <w:b/>
      <w:bCs/>
      <w:kern w:val="44"/>
      <w:sz w:val="28"/>
      <w:szCs w:val="44"/>
    </w:rPr>
  </w:style>
  <w:style w:type="character" w:customStyle="1" w:styleId="2Char2">
    <w:name w:val="标题 2 Char2"/>
    <w:aliases w:val="标题 2 Char Char Char Char2"/>
    <w:basedOn w:val="a0"/>
    <w:link w:val="2"/>
    <w:rsid w:val="005B5D50"/>
    <w:rPr>
      <w:rFonts w:ascii="Arial" w:hAnsi="Arial"/>
      <w:b/>
      <w:bCs/>
      <w:kern w:val="2"/>
      <w:sz w:val="21"/>
      <w:szCs w:val="21"/>
    </w:rPr>
  </w:style>
  <w:style w:type="character" w:customStyle="1" w:styleId="3Char4">
    <w:name w:val="标题 3 Char4"/>
    <w:basedOn w:val="a0"/>
    <w:link w:val="3"/>
    <w:uiPriority w:val="9"/>
    <w:rsid w:val="005B5D50"/>
    <w:rPr>
      <w:b/>
      <w:bCs/>
      <w:kern w:val="2"/>
      <w:sz w:val="21"/>
      <w:szCs w:val="32"/>
    </w:rPr>
  </w:style>
  <w:style w:type="character" w:customStyle="1" w:styleId="4Char1">
    <w:name w:val="标题 4 Char1"/>
    <w:basedOn w:val="a0"/>
    <w:link w:val="4"/>
    <w:uiPriority w:val="9"/>
    <w:rsid w:val="00395389"/>
    <w:rPr>
      <w:rFonts w:asciiTheme="minorEastAsia" w:eastAsiaTheme="minorEastAsia" w:hAnsiTheme="minorEastAsia"/>
      <w:b/>
      <w:bCs/>
      <w:kern w:val="2"/>
      <w:sz w:val="21"/>
      <w:szCs w:val="28"/>
    </w:rPr>
  </w:style>
  <w:style w:type="character" w:customStyle="1" w:styleId="5Char3">
    <w:name w:val="标题 5 Char3"/>
    <w:basedOn w:val="a0"/>
    <w:link w:val="5"/>
    <w:uiPriority w:val="9"/>
    <w:rsid w:val="00586078"/>
    <w:rPr>
      <w:b/>
      <w:bCs/>
      <w:kern w:val="2"/>
      <w:sz w:val="21"/>
      <w:szCs w:val="28"/>
    </w:rPr>
  </w:style>
  <w:style w:type="paragraph" w:styleId="TOC">
    <w:name w:val="TOC Heading"/>
    <w:basedOn w:val="10"/>
    <w:next w:val="a"/>
    <w:uiPriority w:val="39"/>
    <w:qFormat/>
    <w:rsid w:val="00DD256F"/>
    <w:pPr>
      <w:widowControl/>
      <w:spacing w:before="480" w:after="0" w:line="276" w:lineRule="auto"/>
      <w:outlineLvl w:val="9"/>
    </w:pPr>
    <w:rPr>
      <w:rFonts w:ascii="Cambria" w:eastAsia="宋体" w:hAnsi="Cambria"/>
      <w:color w:val="365F91"/>
      <w:kern w:val="0"/>
      <w:szCs w:val="28"/>
    </w:rPr>
  </w:style>
  <w:style w:type="paragraph" w:styleId="11">
    <w:name w:val="toc 1"/>
    <w:basedOn w:val="a"/>
    <w:next w:val="a"/>
    <w:autoRedefine/>
    <w:uiPriority w:val="39"/>
    <w:qFormat/>
    <w:rsid w:val="00C3685E"/>
    <w:pPr>
      <w:widowControl w:val="0"/>
      <w:tabs>
        <w:tab w:val="left" w:pos="1260"/>
        <w:tab w:val="right" w:leader="dot" w:pos="8823"/>
      </w:tabs>
      <w:spacing w:line="360" w:lineRule="auto"/>
      <w:jc w:val="both"/>
    </w:pPr>
    <w:rPr>
      <w:rFonts w:ascii="Times New Roman" w:hAnsi="Times New Roman" w:cs="Times New Roman"/>
      <w:kern w:val="2"/>
      <w:szCs w:val="21"/>
    </w:rPr>
  </w:style>
  <w:style w:type="paragraph" w:styleId="20">
    <w:name w:val="toc 2"/>
    <w:basedOn w:val="a"/>
    <w:next w:val="a"/>
    <w:autoRedefine/>
    <w:uiPriority w:val="39"/>
    <w:qFormat/>
    <w:rsid w:val="00DD256F"/>
    <w:pPr>
      <w:widowControl w:val="0"/>
      <w:ind w:leftChars="200" w:left="420"/>
      <w:jc w:val="both"/>
    </w:pPr>
    <w:rPr>
      <w:rFonts w:ascii="Times New Roman" w:hAnsi="Times New Roman" w:cs="Times New Roman"/>
      <w:kern w:val="2"/>
      <w:szCs w:val="21"/>
    </w:rPr>
  </w:style>
  <w:style w:type="character" w:styleId="a3">
    <w:name w:val="Hyperlink"/>
    <w:basedOn w:val="a0"/>
    <w:uiPriority w:val="99"/>
    <w:qFormat/>
    <w:rsid w:val="00DD256F"/>
    <w:rPr>
      <w:rFonts w:cs="Times New Roman"/>
      <w:color w:val="0000FF"/>
      <w:u w:val="single"/>
    </w:rPr>
  </w:style>
  <w:style w:type="character" w:styleId="a4">
    <w:name w:val="annotation reference"/>
    <w:basedOn w:val="a0"/>
    <w:uiPriority w:val="99"/>
    <w:rsid w:val="00DD256F"/>
    <w:rPr>
      <w:rFonts w:eastAsia="宋体" w:cs="Times New Roman"/>
      <w:kern w:val="2"/>
      <w:sz w:val="21"/>
      <w:szCs w:val="21"/>
      <w:lang w:val="en-US" w:eastAsia="zh-CN" w:bidi="ar-SA"/>
    </w:rPr>
  </w:style>
  <w:style w:type="paragraph" w:styleId="a5">
    <w:name w:val="annotation text"/>
    <w:basedOn w:val="a"/>
    <w:link w:val="Char4"/>
    <w:qFormat/>
    <w:rsid w:val="00DD256F"/>
    <w:pPr>
      <w:widowControl w:val="0"/>
    </w:pPr>
    <w:rPr>
      <w:rFonts w:ascii="Times New Roman" w:hAnsi="Times New Roman" w:cs="Times New Roman"/>
      <w:kern w:val="2"/>
      <w:szCs w:val="21"/>
    </w:rPr>
  </w:style>
  <w:style w:type="character" w:customStyle="1" w:styleId="Char4">
    <w:name w:val="批注文字 Char4"/>
    <w:basedOn w:val="a0"/>
    <w:link w:val="a5"/>
    <w:rsid w:val="00DD256F"/>
    <w:rPr>
      <w:rFonts w:ascii="Times New Roman" w:eastAsia="宋体" w:hAnsi="Times New Roman" w:cs="Times New Roman"/>
      <w:szCs w:val="21"/>
    </w:rPr>
  </w:style>
  <w:style w:type="table" w:styleId="a6">
    <w:name w:val="Table Grid"/>
    <w:basedOn w:val="a1"/>
    <w:uiPriority w:val="59"/>
    <w:rsid w:val="00DD256F"/>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Char"/>
    <w:uiPriority w:val="99"/>
    <w:unhideWhenUsed/>
    <w:rsid w:val="00DD256F"/>
    <w:pPr>
      <w:widowControl w:val="0"/>
      <w:jc w:val="both"/>
    </w:pPr>
    <w:rPr>
      <w:rFonts w:ascii="Calibri" w:hAnsi="Calibri" w:cs="Times New Roman"/>
      <w:kern w:val="2"/>
      <w:sz w:val="18"/>
      <w:szCs w:val="18"/>
    </w:rPr>
  </w:style>
  <w:style w:type="character" w:customStyle="1" w:styleId="Char">
    <w:name w:val="批注框文本 Char"/>
    <w:basedOn w:val="a0"/>
    <w:link w:val="a7"/>
    <w:uiPriority w:val="99"/>
    <w:rsid w:val="00DD256F"/>
    <w:rPr>
      <w:rFonts w:ascii="Calibri" w:eastAsia="宋体" w:hAnsi="Calibri" w:cs="Times New Roman"/>
      <w:sz w:val="18"/>
      <w:szCs w:val="18"/>
    </w:rPr>
  </w:style>
  <w:style w:type="paragraph" w:styleId="a8">
    <w:name w:val="Salutation"/>
    <w:basedOn w:val="a"/>
    <w:next w:val="a"/>
    <w:link w:val="Char1"/>
    <w:uiPriority w:val="99"/>
    <w:rsid w:val="00DD256F"/>
    <w:pPr>
      <w:widowControl w:val="0"/>
      <w:jc w:val="both"/>
    </w:pPr>
    <w:rPr>
      <w:rFonts w:ascii="Times New Roman" w:hAnsi="Times New Roman" w:cs="Times New Roman"/>
      <w:kern w:val="2"/>
      <w:szCs w:val="21"/>
    </w:rPr>
  </w:style>
  <w:style w:type="character" w:customStyle="1" w:styleId="Char1">
    <w:name w:val="称呼 Char1"/>
    <w:basedOn w:val="a0"/>
    <w:link w:val="a8"/>
    <w:uiPriority w:val="99"/>
    <w:rsid w:val="00DD256F"/>
    <w:rPr>
      <w:rFonts w:ascii="Times New Roman" w:eastAsia="宋体" w:hAnsi="Times New Roman" w:cs="Times New Roman"/>
      <w:szCs w:val="21"/>
    </w:rPr>
  </w:style>
  <w:style w:type="character" w:customStyle="1" w:styleId="notnullcss1">
    <w:name w:val="notnullcss1"/>
    <w:basedOn w:val="a0"/>
    <w:uiPriority w:val="99"/>
    <w:rsid w:val="00DD256F"/>
    <w:rPr>
      <w:rFonts w:eastAsia="宋体" w:cs="Times New Roman"/>
      <w:color w:val="FF0000"/>
      <w:kern w:val="2"/>
      <w:sz w:val="24"/>
      <w:szCs w:val="24"/>
      <w:lang w:val="en-US" w:eastAsia="zh-CN" w:bidi="ar-SA"/>
    </w:rPr>
  </w:style>
  <w:style w:type="paragraph" w:customStyle="1" w:styleId="xl61">
    <w:name w:val="xl61"/>
    <w:basedOn w:val="a"/>
    <w:uiPriority w:val="99"/>
    <w:rsid w:val="00DD256F"/>
    <w:pPr>
      <w:spacing w:before="100" w:after="100"/>
      <w:jc w:val="right"/>
    </w:pPr>
    <w:rPr>
      <w:rFonts w:ascii="Arial Unicode MS" w:eastAsia="Arial Unicode MS" w:hAnsi="Times New Roman" w:cs="Times New Roman"/>
      <w:sz w:val="18"/>
      <w:szCs w:val="18"/>
    </w:rPr>
  </w:style>
  <w:style w:type="paragraph" w:styleId="a9">
    <w:name w:val="List Paragraph"/>
    <w:basedOn w:val="a"/>
    <w:uiPriority w:val="34"/>
    <w:qFormat/>
    <w:rsid w:val="00DD256F"/>
    <w:pPr>
      <w:widowControl w:val="0"/>
      <w:ind w:firstLineChars="200" w:firstLine="420"/>
      <w:jc w:val="both"/>
    </w:pPr>
    <w:rPr>
      <w:rFonts w:ascii="Calibri" w:hAnsi="Calibri" w:cs="Times New Roman"/>
      <w:kern w:val="2"/>
      <w:szCs w:val="22"/>
    </w:rPr>
  </w:style>
  <w:style w:type="character" w:customStyle="1" w:styleId="Char0">
    <w:name w:val="批注主题 Char"/>
    <w:basedOn w:val="Char4"/>
    <w:link w:val="aa"/>
    <w:uiPriority w:val="99"/>
    <w:rsid w:val="00DD256F"/>
    <w:rPr>
      <w:rFonts w:ascii="Calibri" w:eastAsia="宋体" w:hAnsi="Calibri" w:cs="Times New Roman"/>
      <w:b/>
      <w:bCs/>
      <w:szCs w:val="21"/>
    </w:rPr>
  </w:style>
  <w:style w:type="paragraph" w:styleId="aa">
    <w:name w:val="annotation subject"/>
    <w:basedOn w:val="a5"/>
    <w:next w:val="a5"/>
    <w:link w:val="Char0"/>
    <w:uiPriority w:val="99"/>
    <w:unhideWhenUsed/>
    <w:rsid w:val="00DD256F"/>
    <w:rPr>
      <w:rFonts w:ascii="Calibri" w:hAnsi="Calibri"/>
      <w:b/>
      <w:bCs/>
      <w:szCs w:val="22"/>
    </w:rPr>
  </w:style>
  <w:style w:type="paragraph" w:styleId="30">
    <w:name w:val="toc 3"/>
    <w:basedOn w:val="a"/>
    <w:next w:val="a"/>
    <w:autoRedefine/>
    <w:uiPriority w:val="39"/>
    <w:unhideWhenUsed/>
    <w:qFormat/>
    <w:rsid w:val="00DD256F"/>
    <w:pPr>
      <w:spacing w:after="100" w:line="276" w:lineRule="auto"/>
      <w:ind w:left="440"/>
    </w:pPr>
    <w:rPr>
      <w:rFonts w:ascii="Calibri" w:hAnsi="Calibri" w:cs="Times New Roman"/>
      <w:sz w:val="22"/>
      <w:szCs w:val="22"/>
    </w:rPr>
  </w:style>
  <w:style w:type="paragraph" w:styleId="ab">
    <w:name w:val="header"/>
    <w:basedOn w:val="a"/>
    <w:link w:val="Char2"/>
    <w:uiPriority w:val="99"/>
    <w:unhideWhenUsed/>
    <w:rsid w:val="00DD256F"/>
    <w:pPr>
      <w:widowControl w:val="0"/>
      <w:pBdr>
        <w:bottom w:val="single" w:sz="6" w:space="1" w:color="auto"/>
      </w:pBdr>
      <w:tabs>
        <w:tab w:val="center" w:pos="4153"/>
        <w:tab w:val="right" w:pos="8306"/>
      </w:tabs>
      <w:snapToGrid w:val="0"/>
      <w:jc w:val="center"/>
    </w:pPr>
    <w:rPr>
      <w:rFonts w:ascii="Calibri" w:hAnsi="Calibri" w:cs="Times New Roman"/>
      <w:kern w:val="2"/>
      <w:sz w:val="18"/>
      <w:szCs w:val="18"/>
    </w:rPr>
  </w:style>
  <w:style w:type="character" w:customStyle="1" w:styleId="Char2">
    <w:name w:val="页眉 Char"/>
    <w:basedOn w:val="a0"/>
    <w:link w:val="ab"/>
    <w:uiPriority w:val="99"/>
    <w:rsid w:val="00DD256F"/>
    <w:rPr>
      <w:rFonts w:ascii="Calibri" w:eastAsia="宋体" w:hAnsi="Calibri" w:cs="Times New Roman"/>
      <w:sz w:val="18"/>
      <w:szCs w:val="18"/>
    </w:rPr>
  </w:style>
  <w:style w:type="paragraph" w:styleId="ac">
    <w:name w:val="footer"/>
    <w:basedOn w:val="a"/>
    <w:link w:val="Char3"/>
    <w:uiPriority w:val="99"/>
    <w:unhideWhenUsed/>
    <w:rsid w:val="00DD256F"/>
    <w:pPr>
      <w:widowControl w:val="0"/>
      <w:tabs>
        <w:tab w:val="center" w:pos="4153"/>
        <w:tab w:val="right" w:pos="8306"/>
      </w:tabs>
      <w:snapToGrid w:val="0"/>
    </w:pPr>
    <w:rPr>
      <w:rFonts w:ascii="Calibri" w:hAnsi="Calibri" w:cs="Times New Roman"/>
      <w:kern w:val="2"/>
      <w:sz w:val="18"/>
      <w:szCs w:val="18"/>
    </w:rPr>
  </w:style>
  <w:style w:type="character" w:customStyle="1" w:styleId="Char3">
    <w:name w:val="页脚 Char"/>
    <w:basedOn w:val="a0"/>
    <w:link w:val="ac"/>
    <w:uiPriority w:val="99"/>
    <w:rsid w:val="00DD256F"/>
    <w:rPr>
      <w:rFonts w:ascii="Calibri" w:eastAsia="宋体" w:hAnsi="Calibri" w:cs="Times New Roman"/>
      <w:sz w:val="18"/>
      <w:szCs w:val="18"/>
    </w:rPr>
  </w:style>
  <w:style w:type="paragraph" w:styleId="ad">
    <w:name w:val="Plain Text"/>
    <w:basedOn w:val="a"/>
    <w:link w:val="Char5"/>
    <w:rsid w:val="00DD256F"/>
    <w:pPr>
      <w:widowControl w:val="0"/>
      <w:jc w:val="both"/>
    </w:pPr>
    <w:rPr>
      <w:rFonts w:hAnsi="Courier New" w:cs="Times New Roman"/>
      <w:kern w:val="2"/>
      <w:szCs w:val="20"/>
    </w:rPr>
  </w:style>
  <w:style w:type="character" w:customStyle="1" w:styleId="Char5">
    <w:name w:val="纯文本 Char"/>
    <w:basedOn w:val="a0"/>
    <w:link w:val="ad"/>
    <w:rsid w:val="00DD256F"/>
    <w:rPr>
      <w:rFonts w:ascii="宋体" w:eastAsia="宋体" w:hAnsi="Courier New" w:cs="Times New Roman"/>
      <w:szCs w:val="20"/>
    </w:rPr>
  </w:style>
  <w:style w:type="character" w:customStyle="1" w:styleId="headline-content2">
    <w:name w:val="headline-content2"/>
    <w:basedOn w:val="a0"/>
    <w:rsid w:val="00DD256F"/>
    <w:rPr>
      <w:rFonts w:eastAsia="宋体" w:cs="Times New Roman"/>
      <w:kern w:val="2"/>
      <w:sz w:val="24"/>
      <w:szCs w:val="24"/>
      <w:lang w:val="en-US" w:eastAsia="zh-CN" w:bidi="ar-SA"/>
    </w:rPr>
  </w:style>
  <w:style w:type="paragraph" w:styleId="ae">
    <w:name w:val="Body Text"/>
    <w:basedOn w:val="a"/>
    <w:link w:val="Char6"/>
    <w:uiPriority w:val="99"/>
    <w:rsid w:val="00DD256F"/>
    <w:pPr>
      <w:widowControl w:val="0"/>
      <w:spacing w:after="120"/>
      <w:jc w:val="both"/>
    </w:pPr>
    <w:rPr>
      <w:rFonts w:ascii="Times New Roman" w:hAnsi="Times New Roman" w:cs="Times New Roman"/>
      <w:kern w:val="2"/>
      <w:szCs w:val="21"/>
    </w:rPr>
  </w:style>
  <w:style w:type="character" w:customStyle="1" w:styleId="Char6">
    <w:name w:val="正文文本 Char"/>
    <w:basedOn w:val="a0"/>
    <w:link w:val="ae"/>
    <w:uiPriority w:val="99"/>
    <w:rsid w:val="00DD256F"/>
    <w:rPr>
      <w:rFonts w:ascii="Times New Roman" w:eastAsia="宋体" w:hAnsi="Times New Roman" w:cs="Times New Roman"/>
      <w:szCs w:val="21"/>
    </w:rPr>
  </w:style>
  <w:style w:type="paragraph" w:customStyle="1" w:styleId="write2">
    <w:name w:val="write2"/>
    <w:basedOn w:val="a"/>
    <w:uiPriority w:val="99"/>
    <w:rsid w:val="00DD256F"/>
    <w:pPr>
      <w:tabs>
        <w:tab w:val="left" w:pos="709"/>
      </w:tabs>
      <w:overflowPunct w:val="0"/>
      <w:autoSpaceDE w:val="0"/>
      <w:autoSpaceDN w:val="0"/>
      <w:adjustRightInd w:val="0"/>
      <w:jc w:val="both"/>
      <w:textAlignment w:val="baseline"/>
    </w:pPr>
    <w:rPr>
      <w:rFonts w:ascii="Helvetica-Narrow" w:hAnsi="Helvetica-Narrow" w:cs="Times New Roman"/>
      <w:lang w:val="en-AU"/>
    </w:rPr>
  </w:style>
  <w:style w:type="paragraph" w:styleId="af">
    <w:name w:val="Date"/>
    <w:basedOn w:val="a"/>
    <w:next w:val="a"/>
    <w:link w:val="Char7"/>
    <w:uiPriority w:val="99"/>
    <w:rsid w:val="00DD256F"/>
    <w:pPr>
      <w:widowControl w:val="0"/>
      <w:ind w:leftChars="2500" w:left="100"/>
      <w:jc w:val="both"/>
    </w:pPr>
    <w:rPr>
      <w:rFonts w:ascii="Times New Roman" w:hAnsi="Times New Roman" w:cs="Times New Roman"/>
      <w:kern w:val="2"/>
      <w:szCs w:val="21"/>
    </w:rPr>
  </w:style>
  <w:style w:type="character" w:customStyle="1" w:styleId="Char7">
    <w:name w:val="日期 Char"/>
    <w:basedOn w:val="a0"/>
    <w:link w:val="af"/>
    <w:uiPriority w:val="99"/>
    <w:rsid w:val="00DD256F"/>
    <w:rPr>
      <w:rFonts w:ascii="Times New Roman" w:eastAsia="宋体" w:hAnsi="Times New Roman" w:cs="Times New Roman"/>
      <w:szCs w:val="21"/>
    </w:rPr>
  </w:style>
  <w:style w:type="paragraph" w:styleId="af0">
    <w:name w:val="Note Heading"/>
    <w:basedOn w:val="a"/>
    <w:next w:val="a"/>
    <w:link w:val="Char8"/>
    <w:uiPriority w:val="99"/>
    <w:rsid w:val="00DD256F"/>
    <w:pPr>
      <w:widowControl w:val="0"/>
      <w:jc w:val="center"/>
    </w:pPr>
    <w:rPr>
      <w:rFonts w:ascii="Times New Roman" w:hAnsi="Times New Roman" w:cs="Times New Roman"/>
      <w:kern w:val="2"/>
      <w:szCs w:val="21"/>
    </w:rPr>
  </w:style>
  <w:style w:type="character" w:customStyle="1" w:styleId="Char8">
    <w:name w:val="注释标题 Char"/>
    <w:basedOn w:val="a0"/>
    <w:link w:val="af0"/>
    <w:uiPriority w:val="99"/>
    <w:rsid w:val="00DD256F"/>
    <w:rPr>
      <w:rFonts w:ascii="Times New Roman" w:eastAsia="宋体" w:hAnsi="Times New Roman" w:cs="Times New Roman"/>
      <w:szCs w:val="21"/>
    </w:rPr>
  </w:style>
  <w:style w:type="paragraph" w:styleId="af1">
    <w:name w:val="toa heading"/>
    <w:basedOn w:val="a"/>
    <w:next w:val="a"/>
    <w:semiHidden/>
    <w:rsid w:val="00DD256F"/>
    <w:pPr>
      <w:widowControl w:val="0"/>
      <w:spacing w:before="120"/>
      <w:jc w:val="both"/>
    </w:pPr>
    <w:rPr>
      <w:rFonts w:ascii="Arial" w:hAnsi="Arial" w:cs="Times New Roman"/>
      <w:b/>
      <w:bCs/>
      <w:kern w:val="2"/>
      <w:szCs w:val="21"/>
    </w:rPr>
  </w:style>
  <w:style w:type="paragraph" w:customStyle="1" w:styleId="50">
    <w:name w:val="标题5"/>
    <w:basedOn w:val="a"/>
    <w:rsid w:val="005B5D50"/>
    <w:pPr>
      <w:keepNext/>
      <w:keepLines/>
      <w:widowControl w:val="0"/>
      <w:spacing w:before="60" w:after="60"/>
      <w:ind w:hangingChars="200" w:hanging="420"/>
      <w:jc w:val="both"/>
      <w:outlineLvl w:val="4"/>
    </w:pPr>
    <w:rPr>
      <w:rFonts w:cs="Times New Roman"/>
      <w:b/>
      <w:bCs/>
      <w:kern w:val="2"/>
      <w:szCs w:val="21"/>
    </w:rPr>
  </w:style>
  <w:style w:type="paragraph" w:styleId="af2">
    <w:name w:val="Revision"/>
    <w:hidden/>
    <w:uiPriority w:val="99"/>
    <w:semiHidden/>
    <w:rsid w:val="00BC1CB9"/>
    <w:rPr>
      <w:kern w:val="2"/>
      <w:sz w:val="21"/>
      <w:szCs w:val="22"/>
    </w:rPr>
  </w:style>
  <w:style w:type="character" w:customStyle="1" w:styleId="Char9">
    <w:name w:val="正文的样式 Char"/>
    <w:basedOn w:val="a0"/>
    <w:link w:val="af3"/>
    <w:qFormat/>
    <w:rsid w:val="006B00D5"/>
    <w:rPr>
      <w:kern w:val="2"/>
      <w:sz w:val="21"/>
      <w:szCs w:val="24"/>
    </w:rPr>
  </w:style>
  <w:style w:type="paragraph" w:customStyle="1" w:styleId="af3">
    <w:name w:val="正文的样式"/>
    <w:basedOn w:val="a"/>
    <w:link w:val="Char9"/>
    <w:qFormat/>
    <w:rsid w:val="006B00D5"/>
    <w:pPr>
      <w:widowControl w:val="0"/>
      <w:spacing w:before="100" w:after="100"/>
      <w:jc w:val="both"/>
    </w:pPr>
    <w:rPr>
      <w:rFonts w:ascii="Calibri" w:hAnsi="Calibri" w:cs="Times New Roman"/>
      <w:kern w:val="2"/>
    </w:rPr>
  </w:style>
  <w:style w:type="paragraph" w:styleId="af4">
    <w:name w:val="Document Map"/>
    <w:basedOn w:val="a"/>
    <w:link w:val="Chara"/>
    <w:uiPriority w:val="99"/>
    <w:semiHidden/>
    <w:unhideWhenUsed/>
    <w:rsid w:val="0002110B"/>
    <w:pPr>
      <w:widowControl w:val="0"/>
      <w:jc w:val="both"/>
    </w:pPr>
    <w:rPr>
      <w:rFonts w:hAnsi="Calibri" w:cs="Times New Roman"/>
      <w:kern w:val="2"/>
      <w:sz w:val="18"/>
      <w:szCs w:val="18"/>
    </w:rPr>
  </w:style>
  <w:style w:type="character" w:customStyle="1" w:styleId="Chara">
    <w:name w:val="文档结构图 Char"/>
    <w:basedOn w:val="a0"/>
    <w:link w:val="af4"/>
    <w:uiPriority w:val="99"/>
    <w:semiHidden/>
    <w:rsid w:val="0002110B"/>
    <w:rPr>
      <w:rFonts w:ascii="宋体"/>
      <w:kern w:val="2"/>
      <w:sz w:val="18"/>
      <w:szCs w:val="18"/>
    </w:rPr>
  </w:style>
  <w:style w:type="character" w:styleId="af5">
    <w:name w:val="Placeholder Text"/>
    <w:basedOn w:val="a0"/>
    <w:uiPriority w:val="99"/>
    <w:semiHidden/>
    <w:rsid w:val="00205C40"/>
    <w:rPr>
      <w:color w:val="auto"/>
    </w:rPr>
  </w:style>
  <w:style w:type="numbering" w:customStyle="1" w:styleId="1">
    <w:name w:val="样式1"/>
    <w:uiPriority w:val="99"/>
    <w:rsid w:val="00C65930"/>
    <w:pPr>
      <w:numPr>
        <w:numId w:val="27"/>
      </w:numPr>
    </w:pPr>
  </w:style>
  <w:style w:type="paragraph" w:styleId="af6">
    <w:name w:val="Title"/>
    <w:basedOn w:val="a"/>
    <w:next w:val="a"/>
    <w:link w:val="Charb"/>
    <w:uiPriority w:val="10"/>
    <w:qFormat/>
    <w:rsid w:val="00F23D17"/>
    <w:pPr>
      <w:widowControl w:val="0"/>
      <w:spacing w:before="240" w:after="60"/>
      <w:jc w:val="center"/>
      <w:outlineLvl w:val="0"/>
    </w:pPr>
    <w:rPr>
      <w:rFonts w:asciiTheme="majorHAnsi" w:hAnsiTheme="majorHAnsi" w:cstheme="majorBidi"/>
      <w:b/>
      <w:bCs/>
      <w:kern w:val="2"/>
      <w:sz w:val="32"/>
      <w:szCs w:val="32"/>
    </w:rPr>
  </w:style>
  <w:style w:type="character" w:customStyle="1" w:styleId="Charb">
    <w:name w:val="标题 Char"/>
    <w:basedOn w:val="a0"/>
    <w:link w:val="af6"/>
    <w:uiPriority w:val="10"/>
    <w:rsid w:val="00F23D17"/>
    <w:rPr>
      <w:rFonts w:asciiTheme="majorHAnsi" w:hAnsiTheme="majorHAnsi" w:cstheme="majorBidi"/>
      <w:b/>
      <w:bCs/>
      <w:kern w:val="2"/>
      <w:sz w:val="32"/>
      <w:szCs w:val="32"/>
    </w:rPr>
  </w:style>
  <w:style w:type="paragraph" w:styleId="af7">
    <w:name w:val="No Spacing"/>
    <w:uiPriority w:val="1"/>
    <w:qFormat/>
    <w:rsid w:val="00BE4764"/>
    <w:pPr>
      <w:widowControl w:val="0"/>
      <w:jc w:val="both"/>
    </w:pPr>
    <w:rPr>
      <w:kern w:val="2"/>
      <w:sz w:val="21"/>
      <w:szCs w:val="22"/>
    </w:rPr>
  </w:style>
  <w:style w:type="paragraph" w:styleId="40">
    <w:name w:val="toc 4"/>
    <w:basedOn w:val="a"/>
    <w:next w:val="a"/>
    <w:autoRedefine/>
    <w:uiPriority w:val="39"/>
    <w:unhideWhenUsed/>
    <w:rsid w:val="007B71A6"/>
    <w:pPr>
      <w:widowControl w:val="0"/>
      <w:ind w:leftChars="600" w:left="1260"/>
      <w:jc w:val="both"/>
    </w:pPr>
    <w:rPr>
      <w:rFonts w:asciiTheme="minorHAnsi" w:eastAsiaTheme="minorEastAsia" w:hAnsiTheme="minorHAnsi" w:cstheme="minorBidi"/>
      <w:kern w:val="2"/>
      <w:szCs w:val="22"/>
    </w:rPr>
  </w:style>
  <w:style w:type="paragraph" w:styleId="51">
    <w:name w:val="toc 5"/>
    <w:basedOn w:val="a"/>
    <w:next w:val="a"/>
    <w:autoRedefine/>
    <w:uiPriority w:val="39"/>
    <w:unhideWhenUsed/>
    <w:rsid w:val="007B71A6"/>
    <w:pPr>
      <w:widowControl w:val="0"/>
      <w:ind w:leftChars="800" w:left="1680"/>
      <w:jc w:val="both"/>
    </w:pPr>
    <w:rPr>
      <w:rFonts w:asciiTheme="minorHAnsi" w:eastAsiaTheme="minorEastAsia" w:hAnsiTheme="minorHAnsi" w:cstheme="minorBidi"/>
      <w:kern w:val="2"/>
      <w:szCs w:val="22"/>
    </w:rPr>
  </w:style>
  <w:style w:type="paragraph" w:styleId="60">
    <w:name w:val="toc 6"/>
    <w:basedOn w:val="a"/>
    <w:next w:val="a"/>
    <w:autoRedefine/>
    <w:uiPriority w:val="39"/>
    <w:unhideWhenUsed/>
    <w:rsid w:val="007B71A6"/>
    <w:pPr>
      <w:widowControl w:val="0"/>
      <w:ind w:leftChars="1000" w:left="2100"/>
      <w:jc w:val="both"/>
    </w:pPr>
    <w:rPr>
      <w:rFonts w:asciiTheme="minorHAnsi" w:eastAsiaTheme="minorEastAsia" w:hAnsiTheme="minorHAnsi" w:cstheme="minorBidi"/>
      <w:kern w:val="2"/>
      <w:szCs w:val="22"/>
    </w:rPr>
  </w:style>
  <w:style w:type="paragraph" w:styleId="70">
    <w:name w:val="toc 7"/>
    <w:basedOn w:val="a"/>
    <w:next w:val="a"/>
    <w:autoRedefine/>
    <w:uiPriority w:val="39"/>
    <w:unhideWhenUsed/>
    <w:rsid w:val="007B71A6"/>
    <w:pPr>
      <w:widowControl w:val="0"/>
      <w:ind w:leftChars="1200" w:left="2520"/>
      <w:jc w:val="both"/>
    </w:pPr>
    <w:rPr>
      <w:rFonts w:asciiTheme="minorHAnsi" w:eastAsiaTheme="minorEastAsia" w:hAnsiTheme="minorHAnsi" w:cstheme="minorBidi"/>
      <w:kern w:val="2"/>
      <w:szCs w:val="22"/>
    </w:rPr>
  </w:style>
  <w:style w:type="paragraph" w:styleId="8">
    <w:name w:val="toc 8"/>
    <w:basedOn w:val="a"/>
    <w:next w:val="a"/>
    <w:autoRedefine/>
    <w:uiPriority w:val="39"/>
    <w:unhideWhenUsed/>
    <w:rsid w:val="007B71A6"/>
    <w:pPr>
      <w:widowControl w:val="0"/>
      <w:ind w:leftChars="1400" w:left="2940"/>
      <w:jc w:val="both"/>
    </w:pPr>
    <w:rPr>
      <w:rFonts w:asciiTheme="minorHAnsi" w:eastAsiaTheme="minorEastAsia" w:hAnsiTheme="minorHAnsi" w:cstheme="minorBidi"/>
      <w:kern w:val="2"/>
      <w:szCs w:val="22"/>
    </w:rPr>
  </w:style>
  <w:style w:type="paragraph" w:styleId="9">
    <w:name w:val="toc 9"/>
    <w:basedOn w:val="a"/>
    <w:next w:val="a"/>
    <w:autoRedefine/>
    <w:uiPriority w:val="39"/>
    <w:unhideWhenUsed/>
    <w:rsid w:val="007B71A6"/>
    <w:pPr>
      <w:widowControl w:val="0"/>
      <w:ind w:leftChars="1600" w:left="3360"/>
      <w:jc w:val="both"/>
    </w:pPr>
    <w:rPr>
      <w:rFonts w:asciiTheme="minorHAnsi" w:eastAsiaTheme="minorEastAsia" w:hAnsiTheme="minorHAnsi" w:cstheme="minorBidi"/>
      <w:kern w:val="2"/>
      <w:szCs w:val="22"/>
    </w:rPr>
  </w:style>
  <w:style w:type="character" w:customStyle="1" w:styleId="6Char">
    <w:name w:val="标题 6 Char"/>
    <w:basedOn w:val="a0"/>
    <w:link w:val="6"/>
    <w:uiPriority w:val="9"/>
    <w:rsid w:val="005B5D50"/>
    <w:rPr>
      <w:rFonts w:asciiTheme="majorHAnsi" w:hAnsiTheme="majorHAnsi" w:cstheme="majorBidi"/>
      <w:b/>
      <w:bCs/>
      <w:sz w:val="21"/>
      <w:szCs w:val="24"/>
    </w:rPr>
  </w:style>
  <w:style w:type="paragraph" w:styleId="af8">
    <w:name w:val="Normal (Web)"/>
    <w:basedOn w:val="a"/>
    <w:uiPriority w:val="99"/>
    <w:rsid w:val="00C17CE1"/>
    <w:pPr>
      <w:spacing w:before="100" w:beforeAutospacing="1" w:after="100" w:afterAutospacing="1"/>
    </w:pPr>
    <w:rPr>
      <w:sz w:val="24"/>
    </w:rPr>
  </w:style>
  <w:style w:type="paragraph" w:styleId="af9">
    <w:name w:val="endnote text"/>
    <w:basedOn w:val="a"/>
    <w:link w:val="Charc"/>
    <w:uiPriority w:val="99"/>
    <w:semiHidden/>
    <w:unhideWhenUsed/>
    <w:rsid w:val="001116D4"/>
    <w:pPr>
      <w:snapToGrid w:val="0"/>
    </w:pPr>
  </w:style>
  <w:style w:type="character" w:customStyle="1" w:styleId="Charc">
    <w:name w:val="尾注文本 Char"/>
    <w:basedOn w:val="a0"/>
    <w:link w:val="af9"/>
    <w:uiPriority w:val="99"/>
    <w:semiHidden/>
    <w:rsid w:val="001116D4"/>
    <w:rPr>
      <w:rFonts w:ascii="宋体" w:hAnsi="宋体" w:cs="宋体"/>
      <w:sz w:val="21"/>
      <w:szCs w:val="24"/>
    </w:rPr>
  </w:style>
  <w:style w:type="character" w:styleId="afa">
    <w:name w:val="endnote reference"/>
    <w:basedOn w:val="a0"/>
    <w:uiPriority w:val="99"/>
    <w:semiHidden/>
    <w:unhideWhenUsed/>
    <w:rsid w:val="001116D4"/>
    <w:rPr>
      <w:vertAlign w:val="superscript"/>
    </w:rPr>
  </w:style>
  <w:style w:type="character" w:customStyle="1" w:styleId="Char10">
    <w:name w:val="批注主题 Char1"/>
    <w:basedOn w:val="Char4"/>
    <w:uiPriority w:val="99"/>
    <w:semiHidden/>
    <w:rsid w:val="0067754A"/>
    <w:rPr>
      <w:rFonts w:ascii="Times New Roman" w:eastAsia="宋体" w:hAnsi="Times New Roman" w:cs="Times New Roman"/>
      <w:b/>
      <w:bCs/>
      <w:szCs w:val="21"/>
    </w:rPr>
  </w:style>
  <w:style w:type="paragraph" w:styleId="12">
    <w:name w:val="index 1"/>
    <w:basedOn w:val="a"/>
    <w:next w:val="a"/>
    <w:autoRedefine/>
    <w:semiHidden/>
    <w:rsid w:val="00955CA0"/>
    <w:pPr>
      <w:ind w:firstLineChars="200" w:firstLine="420"/>
    </w:pPr>
    <w:rPr>
      <w:rFonts w:cs="Times New Roman"/>
      <w:color w:val="000000"/>
      <w:szCs w:val="21"/>
    </w:rPr>
  </w:style>
  <w:style w:type="character" w:customStyle="1" w:styleId="span">
    <w:name w:val="span_"/>
    <w:basedOn w:val="a0"/>
    <w:rsid w:val="00955CA0"/>
  </w:style>
  <w:style w:type="paragraph" w:styleId="afb">
    <w:name w:val="Normal Indent"/>
    <w:basedOn w:val="a"/>
    <w:rsid w:val="00955CA0"/>
    <w:pPr>
      <w:widowControl w:val="0"/>
      <w:ind w:firstLineChars="200" w:firstLine="420"/>
      <w:jc w:val="both"/>
    </w:pPr>
    <w:rPr>
      <w:rFonts w:ascii="Times New Roman" w:hAnsi="Times New Roman" w:cs="Times New Roman"/>
      <w:kern w:val="2"/>
      <w:szCs w:val="21"/>
    </w:rPr>
  </w:style>
  <w:style w:type="paragraph" w:styleId="31">
    <w:name w:val="List Bullet 3"/>
    <w:basedOn w:val="a"/>
    <w:rsid w:val="00955CA0"/>
    <w:pPr>
      <w:widowControl w:val="0"/>
      <w:tabs>
        <w:tab w:val="left" w:pos="1200"/>
      </w:tabs>
      <w:jc w:val="both"/>
    </w:pPr>
    <w:rPr>
      <w:rFonts w:ascii="Times New Roman" w:hAnsi="Times New Roman" w:cs="Times New Roman"/>
      <w:kern w:val="2"/>
      <w:szCs w:val="21"/>
    </w:rPr>
  </w:style>
  <w:style w:type="paragraph" w:customStyle="1" w:styleId="32">
    <w:name w:val="标题  3"/>
    <w:basedOn w:val="a"/>
    <w:next w:val="a"/>
    <w:link w:val="3Char"/>
    <w:qFormat/>
    <w:rsid w:val="00955CA0"/>
    <w:pPr>
      <w:keepNext/>
      <w:keepLines/>
      <w:widowControl w:val="0"/>
      <w:spacing w:before="100" w:beforeAutospacing="1" w:after="100" w:afterAutospacing="1" w:line="415" w:lineRule="auto"/>
      <w:jc w:val="both"/>
    </w:pPr>
    <w:rPr>
      <w:rFonts w:ascii="Times New Roman" w:hAnsi="Times New Roman" w:cs="Times New Roman"/>
      <w:b/>
      <w:kern w:val="2"/>
    </w:rPr>
  </w:style>
  <w:style w:type="character" w:customStyle="1" w:styleId="3Char">
    <w:name w:val="标题  3 Char"/>
    <w:basedOn w:val="a0"/>
    <w:link w:val="32"/>
    <w:rsid w:val="00955CA0"/>
    <w:rPr>
      <w:rFonts w:ascii="Times New Roman" w:hAnsi="Times New Roman"/>
      <w:b/>
      <w:kern w:val="2"/>
      <w:sz w:val="21"/>
      <w:szCs w:val="24"/>
    </w:rPr>
  </w:style>
  <w:style w:type="character" w:customStyle="1" w:styleId="7Char">
    <w:name w:val="标题 7 Char"/>
    <w:basedOn w:val="a0"/>
    <w:link w:val="7"/>
    <w:uiPriority w:val="9"/>
    <w:rsid w:val="00876747"/>
    <w:rPr>
      <w:rFonts w:ascii="宋体" w:hAnsi="宋体" w:cs="宋体"/>
      <w:b/>
      <w:bCs/>
      <w:sz w:val="24"/>
      <w:szCs w:val="24"/>
    </w:rPr>
  </w:style>
  <w:style w:type="character" w:customStyle="1" w:styleId="13">
    <w:name w:val="批注主题 字符1"/>
    <w:basedOn w:val="Char4"/>
    <w:uiPriority w:val="99"/>
    <w:semiHidden/>
    <w:rsid w:val="00D212B7"/>
    <w:rPr>
      <w:rFonts w:ascii="Times New Roman" w:eastAsia="宋体" w:hAnsi="Times New Roman" w:cs="Times New Roman"/>
      <w:b/>
      <w:bCs/>
      <w:szCs w:val="21"/>
    </w:rPr>
  </w:style>
  <w:style w:type="character" w:customStyle="1" w:styleId="4Char">
    <w:name w:val="标题 4 Char"/>
    <w:uiPriority w:val="9"/>
    <w:rsid w:val="0004259D"/>
    <w:rPr>
      <w:rFonts w:ascii="Cambria" w:hAnsi="Cambria"/>
      <w:b/>
      <w:bCs/>
      <w:kern w:val="2"/>
      <w:sz w:val="21"/>
      <w:szCs w:val="28"/>
    </w:rPr>
  </w:style>
  <w:style w:type="paragraph" w:customStyle="1" w:styleId="41">
    <w:name w:val="4"/>
    <w:basedOn w:val="a"/>
    <w:next w:val="a9"/>
    <w:uiPriority w:val="34"/>
    <w:qFormat/>
    <w:rsid w:val="0082388B"/>
    <w:pPr>
      <w:widowControl w:val="0"/>
      <w:ind w:firstLineChars="200" w:firstLine="420"/>
      <w:jc w:val="both"/>
    </w:pPr>
    <w:rPr>
      <w:rFonts w:ascii="Calibri" w:hAnsi="Calibri" w:cs="Times New Roman"/>
      <w:kern w:val="2"/>
      <w:szCs w:val="22"/>
    </w:rPr>
  </w:style>
  <w:style w:type="table" w:customStyle="1" w:styleId="21">
    <w:name w:val="无格式表格 21"/>
    <w:basedOn w:val="a1"/>
    <w:uiPriority w:val="42"/>
    <w:rsid w:val="000E63DB"/>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33">
    <w:name w:val="3"/>
    <w:basedOn w:val="a"/>
    <w:next w:val="a9"/>
    <w:uiPriority w:val="34"/>
    <w:qFormat/>
    <w:rsid w:val="00E21DDC"/>
    <w:pPr>
      <w:widowControl w:val="0"/>
      <w:ind w:firstLineChars="200" w:firstLine="420"/>
      <w:jc w:val="both"/>
    </w:pPr>
    <w:rPr>
      <w:rFonts w:ascii="Calibri" w:hAnsi="Calibri" w:cs="Times New Roman"/>
      <w:kern w:val="2"/>
      <w:szCs w:val="22"/>
    </w:rPr>
  </w:style>
  <w:style w:type="character" w:customStyle="1" w:styleId="3Char0">
    <w:name w:val="标题 3 Char"/>
    <w:uiPriority w:val="9"/>
    <w:rsid w:val="00C1405C"/>
    <w:rPr>
      <w:b/>
      <w:bCs/>
      <w:kern w:val="2"/>
      <w:sz w:val="21"/>
      <w:szCs w:val="32"/>
    </w:rPr>
  </w:style>
  <w:style w:type="paragraph" w:customStyle="1" w:styleId="22">
    <w:name w:val="2"/>
    <w:basedOn w:val="a"/>
    <w:next w:val="a9"/>
    <w:uiPriority w:val="34"/>
    <w:qFormat/>
    <w:rsid w:val="00144592"/>
    <w:pPr>
      <w:widowControl w:val="0"/>
      <w:ind w:firstLineChars="200" w:firstLine="420"/>
      <w:jc w:val="both"/>
    </w:pPr>
    <w:rPr>
      <w:rFonts w:ascii="Calibri" w:hAnsi="Calibri" w:cs="Times New Roman"/>
      <w:kern w:val="2"/>
      <w:szCs w:val="22"/>
    </w:rPr>
  </w:style>
  <w:style w:type="paragraph" w:customStyle="1" w:styleId="14">
    <w:name w:val="1"/>
    <w:basedOn w:val="a"/>
    <w:next w:val="a9"/>
    <w:uiPriority w:val="34"/>
    <w:qFormat/>
    <w:rsid w:val="00877605"/>
    <w:pPr>
      <w:widowControl w:val="0"/>
      <w:ind w:firstLineChars="200" w:firstLine="420"/>
      <w:jc w:val="both"/>
    </w:pPr>
    <w:rPr>
      <w:rFonts w:ascii="Calibri" w:hAnsi="Calibri" w:cs="Times New Roman"/>
      <w:kern w:val="2"/>
      <w:szCs w:val="22"/>
    </w:rPr>
  </w:style>
  <w:style w:type="paragraph" w:customStyle="1" w:styleId="TableParagraph">
    <w:name w:val="Table Paragraph"/>
    <w:basedOn w:val="a"/>
    <w:uiPriority w:val="1"/>
    <w:qFormat/>
    <w:rsid w:val="00F60CEE"/>
    <w:pPr>
      <w:widowControl w:val="0"/>
      <w:autoSpaceDE w:val="0"/>
      <w:autoSpaceDN w:val="0"/>
      <w:spacing w:after="160" w:line="259" w:lineRule="auto"/>
    </w:pPr>
    <w:rPr>
      <w:rFonts w:ascii="Noto Sans CJK JP Regular" w:eastAsia="Noto Sans CJK JP Regular" w:hAnsi="Noto Sans CJK JP Regular" w:cs="Noto Sans CJK JP Regular"/>
      <w:sz w:val="22"/>
      <w:szCs w:val="22"/>
      <w:lang w:eastAsia="en-US"/>
    </w:rPr>
  </w:style>
  <w:style w:type="character" w:customStyle="1" w:styleId="Chard">
    <w:name w:val="批注文字 Char"/>
    <w:qFormat/>
    <w:rsid w:val="00E6160F"/>
    <w:rPr>
      <w:rFonts w:ascii="Times New Roman" w:hAnsi="Times New Roman"/>
      <w:kern w:val="2"/>
      <w:sz w:val="21"/>
      <w:szCs w:val="21"/>
    </w:rPr>
  </w:style>
  <w:style w:type="character" w:customStyle="1" w:styleId="3Char1">
    <w:name w:val="标题 3 Char1"/>
    <w:uiPriority w:val="9"/>
    <w:rsid w:val="00560763"/>
    <w:rPr>
      <w:b/>
      <w:bCs/>
      <w:kern w:val="2"/>
      <w:sz w:val="21"/>
      <w:szCs w:val="32"/>
    </w:rPr>
  </w:style>
  <w:style w:type="character" w:customStyle="1" w:styleId="2Char">
    <w:name w:val="标题 2 Char"/>
    <w:aliases w:val="标题 2 Char Char Char Char"/>
    <w:rsid w:val="00560763"/>
    <w:rPr>
      <w:rFonts w:ascii="Arial" w:hAnsi="Arial"/>
      <w:b/>
      <w:bCs/>
      <w:kern w:val="2"/>
      <w:sz w:val="21"/>
      <w:szCs w:val="21"/>
    </w:rPr>
  </w:style>
  <w:style w:type="character" w:customStyle="1" w:styleId="5Char">
    <w:name w:val="标题 5 Char"/>
    <w:uiPriority w:val="9"/>
    <w:qFormat/>
    <w:rsid w:val="004A55B8"/>
    <w:rPr>
      <w:b/>
      <w:bCs/>
      <w:kern w:val="2"/>
      <w:sz w:val="21"/>
      <w:szCs w:val="28"/>
    </w:rPr>
  </w:style>
  <w:style w:type="paragraph" w:customStyle="1" w:styleId="afc">
    <w:basedOn w:val="a"/>
    <w:next w:val="a9"/>
    <w:uiPriority w:val="34"/>
    <w:qFormat/>
    <w:rsid w:val="00DA2630"/>
    <w:pPr>
      <w:widowControl w:val="0"/>
      <w:ind w:firstLineChars="200" w:firstLine="420"/>
      <w:jc w:val="both"/>
    </w:pPr>
    <w:rPr>
      <w:rFonts w:ascii="Calibri" w:hAnsi="Calibri" w:cs="Times New Roman"/>
      <w:kern w:val="2"/>
      <w:szCs w:val="22"/>
    </w:rPr>
  </w:style>
  <w:style w:type="character" w:customStyle="1" w:styleId="Chare">
    <w:name w:val="称呼 Char"/>
    <w:uiPriority w:val="99"/>
    <w:rsid w:val="005D771B"/>
    <w:rPr>
      <w:rFonts w:ascii="Times New Roman" w:hAnsi="Times New Roman"/>
      <w:kern w:val="2"/>
      <w:sz w:val="21"/>
      <w:szCs w:val="21"/>
    </w:rPr>
  </w:style>
  <w:style w:type="character" w:customStyle="1" w:styleId="fontstyle01">
    <w:name w:val="fontstyle01"/>
    <w:rsid w:val="00DE166B"/>
    <w:rPr>
      <w:rFonts w:ascii="FZLTSK--GBK1-0" w:hAnsi="FZLTSK--GBK1-0" w:hint="default"/>
      <w:b w:val="0"/>
      <w:bCs w:val="0"/>
      <w:i w:val="0"/>
      <w:iCs w:val="0"/>
      <w:color w:val="000000"/>
      <w:sz w:val="20"/>
      <w:szCs w:val="20"/>
    </w:rPr>
  </w:style>
  <w:style w:type="paragraph" w:customStyle="1" w:styleId="afd">
    <w:basedOn w:val="a"/>
    <w:next w:val="a9"/>
    <w:uiPriority w:val="34"/>
    <w:qFormat/>
    <w:rsid w:val="00DE166B"/>
    <w:pPr>
      <w:widowControl w:val="0"/>
      <w:ind w:firstLineChars="200" w:firstLine="420"/>
      <w:jc w:val="both"/>
    </w:pPr>
    <w:rPr>
      <w:rFonts w:ascii="Calibri" w:hAnsi="Calibri" w:cs="Times New Roman"/>
      <w:kern w:val="2"/>
      <w:szCs w:val="22"/>
    </w:rPr>
  </w:style>
  <w:style w:type="character" w:customStyle="1" w:styleId="Char11">
    <w:name w:val="批注文字 Char1"/>
    <w:uiPriority w:val="99"/>
    <w:rsid w:val="00B85D1D"/>
    <w:rPr>
      <w:rFonts w:ascii="Times New Roman" w:hAnsi="Times New Roman"/>
      <w:kern w:val="2"/>
      <w:sz w:val="21"/>
      <w:szCs w:val="21"/>
    </w:rPr>
  </w:style>
  <w:style w:type="character" w:customStyle="1" w:styleId="5Char1">
    <w:name w:val="标题 5 Char1"/>
    <w:uiPriority w:val="9"/>
    <w:rsid w:val="00503687"/>
    <w:rPr>
      <w:b/>
      <w:bCs/>
      <w:kern w:val="2"/>
      <w:sz w:val="21"/>
      <w:szCs w:val="28"/>
    </w:rPr>
  </w:style>
  <w:style w:type="character" w:customStyle="1" w:styleId="15">
    <w:name w:val="批注文字 字符1"/>
    <w:uiPriority w:val="99"/>
    <w:semiHidden/>
    <w:locked/>
    <w:rsid w:val="002C54C1"/>
    <w:rPr>
      <w:rFonts w:ascii="Times New Roman" w:hAnsi="Times New Roman"/>
      <w:kern w:val="2"/>
      <w:sz w:val="21"/>
      <w:szCs w:val="21"/>
    </w:rPr>
  </w:style>
  <w:style w:type="character" w:customStyle="1" w:styleId="2Char1">
    <w:name w:val="标题 2 Char1"/>
    <w:aliases w:val="标题 2 Char Char Char Char1"/>
    <w:rsid w:val="005F505D"/>
    <w:rPr>
      <w:rFonts w:ascii="Arial" w:hAnsi="Arial"/>
      <w:b/>
      <w:bCs/>
      <w:kern w:val="2"/>
      <w:sz w:val="21"/>
      <w:szCs w:val="21"/>
    </w:rPr>
  </w:style>
  <w:style w:type="character" w:customStyle="1" w:styleId="Char20">
    <w:name w:val="批注文字 Char2"/>
    <w:uiPriority w:val="99"/>
    <w:rsid w:val="005F505D"/>
    <w:rPr>
      <w:rFonts w:ascii="Times New Roman" w:hAnsi="Times New Roman"/>
      <w:kern w:val="2"/>
      <w:sz w:val="21"/>
      <w:szCs w:val="21"/>
    </w:rPr>
  </w:style>
  <w:style w:type="character" w:customStyle="1" w:styleId="5Char2">
    <w:name w:val="标题 5 Char2"/>
    <w:uiPriority w:val="9"/>
    <w:rsid w:val="00F97A02"/>
    <w:rPr>
      <w:b/>
      <w:bCs/>
      <w:kern w:val="2"/>
      <w:sz w:val="21"/>
      <w:szCs w:val="28"/>
    </w:rPr>
  </w:style>
  <w:style w:type="paragraph" w:customStyle="1" w:styleId="afe">
    <w:basedOn w:val="a"/>
    <w:next w:val="a9"/>
    <w:uiPriority w:val="34"/>
    <w:qFormat/>
    <w:rsid w:val="004E15B4"/>
    <w:pPr>
      <w:widowControl w:val="0"/>
      <w:ind w:firstLineChars="200" w:firstLine="420"/>
      <w:jc w:val="both"/>
    </w:pPr>
    <w:rPr>
      <w:rFonts w:ascii="Calibri" w:hAnsi="Calibri" w:cs="Times New Roman"/>
      <w:kern w:val="2"/>
      <w:szCs w:val="22"/>
    </w:rPr>
  </w:style>
  <w:style w:type="character" w:customStyle="1" w:styleId="3Char2">
    <w:name w:val="标题 3 Char2"/>
    <w:uiPriority w:val="9"/>
    <w:rsid w:val="006A39F2"/>
    <w:rPr>
      <w:b/>
      <w:bCs/>
      <w:kern w:val="2"/>
      <w:sz w:val="21"/>
      <w:szCs w:val="32"/>
    </w:rPr>
  </w:style>
  <w:style w:type="character" w:customStyle="1" w:styleId="3Char3">
    <w:name w:val="标题 3 Char3"/>
    <w:uiPriority w:val="9"/>
    <w:rsid w:val="00E57182"/>
    <w:rPr>
      <w:b/>
      <w:bCs/>
      <w:kern w:val="2"/>
      <w:sz w:val="21"/>
      <w:szCs w:val="32"/>
    </w:rPr>
  </w:style>
  <w:style w:type="character" w:customStyle="1" w:styleId="Char30">
    <w:name w:val="批注文字 Char3"/>
    <w:rsid w:val="00E57182"/>
    <w:rPr>
      <w:rFonts w:ascii="Times New Roman" w:hAnsi="Times New Roman"/>
      <w:kern w:val="2"/>
      <w:sz w:val="21"/>
      <w:szCs w:val="21"/>
    </w:rPr>
  </w:style>
  <w:style w:type="paragraph" w:customStyle="1" w:styleId="Default">
    <w:name w:val="Default"/>
    <w:rsid w:val="008A1AE1"/>
    <w:pPr>
      <w:autoSpaceDE w:val="0"/>
      <w:autoSpaceDN w:val="0"/>
      <w:adjustRightInd w:val="0"/>
    </w:pPr>
    <w:rPr>
      <w:rFonts w:ascii="宋体" w:cs="宋体"/>
      <w:color w:val="000000"/>
      <w:sz w:val="24"/>
      <w:szCs w:val="24"/>
    </w:rPr>
  </w:style>
  <w:style w:type="paragraph" w:styleId="34">
    <w:name w:val="Body Text 3"/>
    <w:basedOn w:val="a"/>
    <w:link w:val="3Char5"/>
    <w:uiPriority w:val="99"/>
    <w:unhideWhenUsed/>
    <w:rsid w:val="005314C2"/>
    <w:pPr>
      <w:spacing w:after="120"/>
    </w:pPr>
    <w:rPr>
      <w:sz w:val="16"/>
      <w:szCs w:val="16"/>
    </w:rPr>
  </w:style>
  <w:style w:type="character" w:customStyle="1" w:styleId="3Char5">
    <w:name w:val="正文文本 3 Char"/>
    <w:basedOn w:val="a0"/>
    <w:link w:val="34"/>
    <w:uiPriority w:val="99"/>
    <w:rsid w:val="005314C2"/>
    <w:rPr>
      <w:rFonts w:ascii="宋体" w:hAnsi="宋体" w:cs="宋体"/>
      <w:sz w:val="16"/>
      <w:szCs w:val="16"/>
    </w:rPr>
  </w:style>
  <w:style w:type="paragraph" w:customStyle="1" w:styleId="ReportText">
    <w:name w:val="Report Text"/>
    <w:basedOn w:val="a"/>
    <w:rsid w:val="005314C2"/>
    <w:pPr>
      <w:overflowPunct w:val="0"/>
      <w:autoSpaceDE w:val="0"/>
      <w:autoSpaceDN w:val="0"/>
      <w:adjustRightInd w:val="0"/>
      <w:spacing w:before="130" w:line="260" w:lineRule="atLeast"/>
      <w:ind w:left="20"/>
      <w:jc w:val="both"/>
      <w:textAlignment w:val="baseline"/>
    </w:pPr>
    <w:rPr>
      <w:rFonts w:ascii="Arial" w:eastAsia="方正楷体_GBK" w:hAnsi="Arial" w:cs="Times New Roman"/>
      <w:sz w:val="24"/>
      <w:lang w:val="en-GB" w:eastAsia="en-US"/>
    </w:rPr>
  </w:style>
  <w:style w:type="character" w:customStyle="1" w:styleId="ui-provider">
    <w:name w:val="ui-provider"/>
    <w:basedOn w:val="a0"/>
    <w:rsid w:val="0029490B"/>
  </w:style>
  <w:style w:type="character" w:customStyle="1" w:styleId="52">
    <w:name w:val="标题 5 字符"/>
    <w:uiPriority w:val="9"/>
    <w:qFormat/>
    <w:rsid w:val="009752D5"/>
    <w:rPr>
      <w:rFonts w:ascii="Times New Roman" w:hAnsi="Times New Roman" w:cs="Times New Roman"/>
      <w:b/>
      <w:bCs/>
      <w:kern w:val="2"/>
      <w:szCs w:val="28"/>
    </w:rPr>
  </w:style>
</w:styles>
</file>

<file path=word/webSettings.xml><?xml version="1.0" encoding="utf-8"?>
<w:webSettings xmlns:r="http://schemas.openxmlformats.org/officeDocument/2006/relationships" xmlns:w="http://schemas.openxmlformats.org/wordprocessingml/2006/main">
  <w:divs>
    <w:div w:id="156264980">
      <w:bodyDiv w:val="1"/>
      <w:marLeft w:val="0"/>
      <w:marRight w:val="0"/>
      <w:marTop w:val="0"/>
      <w:marBottom w:val="0"/>
      <w:divBdr>
        <w:top w:val="none" w:sz="0" w:space="0" w:color="auto"/>
        <w:left w:val="none" w:sz="0" w:space="0" w:color="auto"/>
        <w:bottom w:val="none" w:sz="0" w:space="0" w:color="auto"/>
        <w:right w:val="none" w:sz="0" w:space="0" w:color="auto"/>
      </w:divBdr>
      <w:divsChild>
        <w:div w:id="903490750">
          <w:marLeft w:val="0"/>
          <w:marRight w:val="0"/>
          <w:marTop w:val="0"/>
          <w:marBottom w:val="0"/>
          <w:divBdr>
            <w:top w:val="none" w:sz="0" w:space="0" w:color="auto"/>
            <w:left w:val="none" w:sz="0" w:space="0" w:color="auto"/>
            <w:bottom w:val="none" w:sz="0" w:space="0" w:color="auto"/>
            <w:right w:val="none" w:sz="0" w:space="0" w:color="auto"/>
          </w:divBdr>
        </w:div>
      </w:divsChild>
    </w:div>
    <w:div w:id="157118132">
      <w:bodyDiv w:val="1"/>
      <w:marLeft w:val="0"/>
      <w:marRight w:val="0"/>
      <w:marTop w:val="0"/>
      <w:marBottom w:val="0"/>
      <w:divBdr>
        <w:top w:val="none" w:sz="0" w:space="0" w:color="auto"/>
        <w:left w:val="none" w:sz="0" w:space="0" w:color="auto"/>
        <w:bottom w:val="none" w:sz="0" w:space="0" w:color="auto"/>
        <w:right w:val="none" w:sz="0" w:space="0" w:color="auto"/>
      </w:divBdr>
      <w:divsChild>
        <w:div w:id="156385528">
          <w:marLeft w:val="0"/>
          <w:marRight w:val="0"/>
          <w:marTop w:val="0"/>
          <w:marBottom w:val="0"/>
          <w:divBdr>
            <w:top w:val="none" w:sz="0" w:space="0" w:color="auto"/>
            <w:left w:val="none" w:sz="0" w:space="0" w:color="auto"/>
            <w:bottom w:val="none" w:sz="0" w:space="0" w:color="auto"/>
            <w:right w:val="none" w:sz="0" w:space="0" w:color="auto"/>
          </w:divBdr>
        </w:div>
      </w:divsChild>
    </w:div>
    <w:div w:id="157355722">
      <w:bodyDiv w:val="1"/>
      <w:marLeft w:val="0"/>
      <w:marRight w:val="0"/>
      <w:marTop w:val="0"/>
      <w:marBottom w:val="0"/>
      <w:divBdr>
        <w:top w:val="none" w:sz="0" w:space="0" w:color="auto"/>
        <w:left w:val="none" w:sz="0" w:space="0" w:color="auto"/>
        <w:bottom w:val="none" w:sz="0" w:space="0" w:color="auto"/>
        <w:right w:val="none" w:sz="0" w:space="0" w:color="auto"/>
      </w:divBdr>
    </w:div>
    <w:div w:id="177623146">
      <w:bodyDiv w:val="1"/>
      <w:marLeft w:val="0"/>
      <w:marRight w:val="0"/>
      <w:marTop w:val="0"/>
      <w:marBottom w:val="0"/>
      <w:divBdr>
        <w:top w:val="none" w:sz="0" w:space="0" w:color="auto"/>
        <w:left w:val="none" w:sz="0" w:space="0" w:color="auto"/>
        <w:bottom w:val="none" w:sz="0" w:space="0" w:color="auto"/>
        <w:right w:val="none" w:sz="0" w:space="0" w:color="auto"/>
      </w:divBdr>
      <w:divsChild>
        <w:div w:id="273683107">
          <w:marLeft w:val="0"/>
          <w:marRight w:val="0"/>
          <w:marTop w:val="0"/>
          <w:marBottom w:val="0"/>
          <w:divBdr>
            <w:top w:val="none" w:sz="0" w:space="0" w:color="auto"/>
            <w:left w:val="none" w:sz="0" w:space="0" w:color="auto"/>
            <w:bottom w:val="none" w:sz="0" w:space="0" w:color="auto"/>
            <w:right w:val="none" w:sz="0" w:space="0" w:color="auto"/>
          </w:divBdr>
        </w:div>
      </w:divsChild>
    </w:div>
    <w:div w:id="186260291">
      <w:bodyDiv w:val="1"/>
      <w:marLeft w:val="0"/>
      <w:marRight w:val="0"/>
      <w:marTop w:val="0"/>
      <w:marBottom w:val="0"/>
      <w:divBdr>
        <w:top w:val="none" w:sz="0" w:space="0" w:color="auto"/>
        <w:left w:val="none" w:sz="0" w:space="0" w:color="auto"/>
        <w:bottom w:val="none" w:sz="0" w:space="0" w:color="auto"/>
        <w:right w:val="none" w:sz="0" w:space="0" w:color="auto"/>
      </w:divBdr>
      <w:divsChild>
        <w:div w:id="1975063920">
          <w:marLeft w:val="0"/>
          <w:marRight w:val="0"/>
          <w:marTop w:val="0"/>
          <w:marBottom w:val="0"/>
          <w:divBdr>
            <w:top w:val="none" w:sz="0" w:space="0" w:color="auto"/>
            <w:left w:val="none" w:sz="0" w:space="0" w:color="auto"/>
            <w:bottom w:val="none" w:sz="0" w:space="0" w:color="auto"/>
            <w:right w:val="none" w:sz="0" w:space="0" w:color="auto"/>
          </w:divBdr>
        </w:div>
      </w:divsChild>
    </w:div>
    <w:div w:id="204022289">
      <w:bodyDiv w:val="1"/>
      <w:marLeft w:val="0"/>
      <w:marRight w:val="0"/>
      <w:marTop w:val="0"/>
      <w:marBottom w:val="0"/>
      <w:divBdr>
        <w:top w:val="none" w:sz="0" w:space="0" w:color="auto"/>
        <w:left w:val="none" w:sz="0" w:space="0" w:color="auto"/>
        <w:bottom w:val="none" w:sz="0" w:space="0" w:color="auto"/>
        <w:right w:val="none" w:sz="0" w:space="0" w:color="auto"/>
      </w:divBdr>
      <w:divsChild>
        <w:div w:id="171918728">
          <w:marLeft w:val="0"/>
          <w:marRight w:val="0"/>
          <w:marTop w:val="0"/>
          <w:marBottom w:val="0"/>
          <w:divBdr>
            <w:top w:val="none" w:sz="0" w:space="0" w:color="auto"/>
            <w:left w:val="none" w:sz="0" w:space="0" w:color="auto"/>
            <w:bottom w:val="none" w:sz="0" w:space="0" w:color="auto"/>
            <w:right w:val="none" w:sz="0" w:space="0" w:color="auto"/>
          </w:divBdr>
        </w:div>
      </w:divsChild>
    </w:div>
    <w:div w:id="223637499">
      <w:bodyDiv w:val="1"/>
      <w:marLeft w:val="0"/>
      <w:marRight w:val="0"/>
      <w:marTop w:val="0"/>
      <w:marBottom w:val="0"/>
      <w:divBdr>
        <w:top w:val="none" w:sz="0" w:space="0" w:color="auto"/>
        <w:left w:val="none" w:sz="0" w:space="0" w:color="auto"/>
        <w:bottom w:val="none" w:sz="0" w:space="0" w:color="auto"/>
        <w:right w:val="none" w:sz="0" w:space="0" w:color="auto"/>
      </w:divBdr>
    </w:div>
    <w:div w:id="351416631">
      <w:bodyDiv w:val="1"/>
      <w:marLeft w:val="0"/>
      <w:marRight w:val="0"/>
      <w:marTop w:val="0"/>
      <w:marBottom w:val="0"/>
      <w:divBdr>
        <w:top w:val="none" w:sz="0" w:space="0" w:color="auto"/>
        <w:left w:val="none" w:sz="0" w:space="0" w:color="auto"/>
        <w:bottom w:val="none" w:sz="0" w:space="0" w:color="auto"/>
        <w:right w:val="none" w:sz="0" w:space="0" w:color="auto"/>
      </w:divBdr>
      <w:divsChild>
        <w:div w:id="475687824">
          <w:marLeft w:val="0"/>
          <w:marRight w:val="0"/>
          <w:marTop w:val="0"/>
          <w:marBottom w:val="0"/>
          <w:divBdr>
            <w:top w:val="none" w:sz="0" w:space="0" w:color="auto"/>
            <w:left w:val="none" w:sz="0" w:space="0" w:color="auto"/>
            <w:bottom w:val="none" w:sz="0" w:space="0" w:color="auto"/>
            <w:right w:val="none" w:sz="0" w:space="0" w:color="auto"/>
          </w:divBdr>
        </w:div>
      </w:divsChild>
    </w:div>
    <w:div w:id="420175677">
      <w:bodyDiv w:val="1"/>
      <w:marLeft w:val="0"/>
      <w:marRight w:val="0"/>
      <w:marTop w:val="0"/>
      <w:marBottom w:val="0"/>
      <w:divBdr>
        <w:top w:val="none" w:sz="0" w:space="0" w:color="auto"/>
        <w:left w:val="none" w:sz="0" w:space="0" w:color="auto"/>
        <w:bottom w:val="none" w:sz="0" w:space="0" w:color="auto"/>
        <w:right w:val="none" w:sz="0" w:space="0" w:color="auto"/>
      </w:divBdr>
    </w:div>
    <w:div w:id="454452164">
      <w:bodyDiv w:val="1"/>
      <w:marLeft w:val="0"/>
      <w:marRight w:val="0"/>
      <w:marTop w:val="0"/>
      <w:marBottom w:val="0"/>
      <w:divBdr>
        <w:top w:val="none" w:sz="0" w:space="0" w:color="auto"/>
        <w:left w:val="none" w:sz="0" w:space="0" w:color="auto"/>
        <w:bottom w:val="none" w:sz="0" w:space="0" w:color="auto"/>
        <w:right w:val="none" w:sz="0" w:space="0" w:color="auto"/>
      </w:divBdr>
    </w:div>
    <w:div w:id="481776772">
      <w:bodyDiv w:val="1"/>
      <w:marLeft w:val="0"/>
      <w:marRight w:val="0"/>
      <w:marTop w:val="0"/>
      <w:marBottom w:val="0"/>
      <w:divBdr>
        <w:top w:val="none" w:sz="0" w:space="0" w:color="auto"/>
        <w:left w:val="none" w:sz="0" w:space="0" w:color="auto"/>
        <w:bottom w:val="none" w:sz="0" w:space="0" w:color="auto"/>
        <w:right w:val="none" w:sz="0" w:space="0" w:color="auto"/>
      </w:divBdr>
      <w:divsChild>
        <w:div w:id="1958675066">
          <w:marLeft w:val="0"/>
          <w:marRight w:val="0"/>
          <w:marTop w:val="0"/>
          <w:marBottom w:val="0"/>
          <w:divBdr>
            <w:top w:val="none" w:sz="0" w:space="0" w:color="auto"/>
            <w:left w:val="none" w:sz="0" w:space="0" w:color="auto"/>
            <w:bottom w:val="none" w:sz="0" w:space="0" w:color="auto"/>
            <w:right w:val="none" w:sz="0" w:space="0" w:color="auto"/>
          </w:divBdr>
        </w:div>
      </w:divsChild>
    </w:div>
    <w:div w:id="580599496">
      <w:bodyDiv w:val="1"/>
      <w:marLeft w:val="0"/>
      <w:marRight w:val="0"/>
      <w:marTop w:val="0"/>
      <w:marBottom w:val="0"/>
      <w:divBdr>
        <w:top w:val="none" w:sz="0" w:space="0" w:color="auto"/>
        <w:left w:val="none" w:sz="0" w:space="0" w:color="auto"/>
        <w:bottom w:val="none" w:sz="0" w:space="0" w:color="auto"/>
        <w:right w:val="none" w:sz="0" w:space="0" w:color="auto"/>
      </w:divBdr>
    </w:div>
    <w:div w:id="604382663">
      <w:bodyDiv w:val="1"/>
      <w:marLeft w:val="0"/>
      <w:marRight w:val="0"/>
      <w:marTop w:val="0"/>
      <w:marBottom w:val="0"/>
      <w:divBdr>
        <w:top w:val="none" w:sz="0" w:space="0" w:color="auto"/>
        <w:left w:val="none" w:sz="0" w:space="0" w:color="auto"/>
        <w:bottom w:val="none" w:sz="0" w:space="0" w:color="auto"/>
        <w:right w:val="none" w:sz="0" w:space="0" w:color="auto"/>
      </w:divBdr>
    </w:div>
    <w:div w:id="613706369">
      <w:bodyDiv w:val="1"/>
      <w:marLeft w:val="0"/>
      <w:marRight w:val="0"/>
      <w:marTop w:val="0"/>
      <w:marBottom w:val="0"/>
      <w:divBdr>
        <w:top w:val="none" w:sz="0" w:space="0" w:color="auto"/>
        <w:left w:val="none" w:sz="0" w:space="0" w:color="auto"/>
        <w:bottom w:val="none" w:sz="0" w:space="0" w:color="auto"/>
        <w:right w:val="none" w:sz="0" w:space="0" w:color="auto"/>
      </w:divBdr>
    </w:div>
    <w:div w:id="640041114">
      <w:bodyDiv w:val="1"/>
      <w:marLeft w:val="0"/>
      <w:marRight w:val="0"/>
      <w:marTop w:val="0"/>
      <w:marBottom w:val="0"/>
      <w:divBdr>
        <w:top w:val="none" w:sz="0" w:space="0" w:color="auto"/>
        <w:left w:val="none" w:sz="0" w:space="0" w:color="auto"/>
        <w:bottom w:val="none" w:sz="0" w:space="0" w:color="auto"/>
        <w:right w:val="none" w:sz="0" w:space="0" w:color="auto"/>
      </w:divBdr>
      <w:divsChild>
        <w:div w:id="1546871856">
          <w:marLeft w:val="0"/>
          <w:marRight w:val="0"/>
          <w:marTop w:val="0"/>
          <w:marBottom w:val="0"/>
          <w:divBdr>
            <w:top w:val="none" w:sz="0" w:space="0" w:color="auto"/>
            <w:left w:val="none" w:sz="0" w:space="0" w:color="auto"/>
            <w:bottom w:val="none" w:sz="0" w:space="0" w:color="auto"/>
            <w:right w:val="none" w:sz="0" w:space="0" w:color="auto"/>
          </w:divBdr>
        </w:div>
      </w:divsChild>
    </w:div>
    <w:div w:id="647244198">
      <w:bodyDiv w:val="1"/>
      <w:marLeft w:val="0"/>
      <w:marRight w:val="0"/>
      <w:marTop w:val="0"/>
      <w:marBottom w:val="0"/>
      <w:divBdr>
        <w:top w:val="none" w:sz="0" w:space="0" w:color="auto"/>
        <w:left w:val="none" w:sz="0" w:space="0" w:color="auto"/>
        <w:bottom w:val="none" w:sz="0" w:space="0" w:color="auto"/>
        <w:right w:val="none" w:sz="0" w:space="0" w:color="auto"/>
      </w:divBdr>
      <w:divsChild>
        <w:div w:id="1288122486">
          <w:marLeft w:val="0"/>
          <w:marRight w:val="0"/>
          <w:marTop w:val="0"/>
          <w:marBottom w:val="0"/>
          <w:divBdr>
            <w:top w:val="none" w:sz="0" w:space="0" w:color="auto"/>
            <w:left w:val="none" w:sz="0" w:space="0" w:color="auto"/>
            <w:bottom w:val="none" w:sz="0" w:space="0" w:color="auto"/>
            <w:right w:val="none" w:sz="0" w:space="0" w:color="auto"/>
          </w:divBdr>
        </w:div>
      </w:divsChild>
    </w:div>
    <w:div w:id="651254063">
      <w:bodyDiv w:val="1"/>
      <w:marLeft w:val="0"/>
      <w:marRight w:val="0"/>
      <w:marTop w:val="0"/>
      <w:marBottom w:val="0"/>
      <w:divBdr>
        <w:top w:val="none" w:sz="0" w:space="0" w:color="auto"/>
        <w:left w:val="none" w:sz="0" w:space="0" w:color="auto"/>
        <w:bottom w:val="none" w:sz="0" w:space="0" w:color="auto"/>
        <w:right w:val="none" w:sz="0" w:space="0" w:color="auto"/>
      </w:divBdr>
    </w:div>
    <w:div w:id="677923468">
      <w:bodyDiv w:val="1"/>
      <w:marLeft w:val="0"/>
      <w:marRight w:val="0"/>
      <w:marTop w:val="0"/>
      <w:marBottom w:val="0"/>
      <w:divBdr>
        <w:top w:val="none" w:sz="0" w:space="0" w:color="auto"/>
        <w:left w:val="none" w:sz="0" w:space="0" w:color="auto"/>
        <w:bottom w:val="none" w:sz="0" w:space="0" w:color="auto"/>
        <w:right w:val="none" w:sz="0" w:space="0" w:color="auto"/>
      </w:divBdr>
      <w:divsChild>
        <w:div w:id="1561209660">
          <w:marLeft w:val="0"/>
          <w:marRight w:val="0"/>
          <w:marTop w:val="0"/>
          <w:marBottom w:val="0"/>
          <w:divBdr>
            <w:top w:val="none" w:sz="0" w:space="0" w:color="auto"/>
            <w:left w:val="none" w:sz="0" w:space="0" w:color="auto"/>
            <w:bottom w:val="none" w:sz="0" w:space="0" w:color="auto"/>
            <w:right w:val="none" w:sz="0" w:space="0" w:color="auto"/>
          </w:divBdr>
        </w:div>
      </w:divsChild>
    </w:div>
    <w:div w:id="707607800">
      <w:bodyDiv w:val="1"/>
      <w:marLeft w:val="0"/>
      <w:marRight w:val="0"/>
      <w:marTop w:val="0"/>
      <w:marBottom w:val="0"/>
      <w:divBdr>
        <w:top w:val="none" w:sz="0" w:space="0" w:color="auto"/>
        <w:left w:val="none" w:sz="0" w:space="0" w:color="auto"/>
        <w:bottom w:val="none" w:sz="0" w:space="0" w:color="auto"/>
        <w:right w:val="none" w:sz="0" w:space="0" w:color="auto"/>
      </w:divBdr>
    </w:div>
    <w:div w:id="735056025">
      <w:bodyDiv w:val="1"/>
      <w:marLeft w:val="0"/>
      <w:marRight w:val="0"/>
      <w:marTop w:val="0"/>
      <w:marBottom w:val="0"/>
      <w:divBdr>
        <w:top w:val="none" w:sz="0" w:space="0" w:color="auto"/>
        <w:left w:val="none" w:sz="0" w:space="0" w:color="auto"/>
        <w:bottom w:val="none" w:sz="0" w:space="0" w:color="auto"/>
        <w:right w:val="none" w:sz="0" w:space="0" w:color="auto"/>
      </w:divBdr>
    </w:div>
    <w:div w:id="748888493">
      <w:bodyDiv w:val="1"/>
      <w:marLeft w:val="0"/>
      <w:marRight w:val="0"/>
      <w:marTop w:val="0"/>
      <w:marBottom w:val="0"/>
      <w:divBdr>
        <w:top w:val="none" w:sz="0" w:space="0" w:color="auto"/>
        <w:left w:val="none" w:sz="0" w:space="0" w:color="auto"/>
        <w:bottom w:val="none" w:sz="0" w:space="0" w:color="auto"/>
        <w:right w:val="none" w:sz="0" w:space="0" w:color="auto"/>
      </w:divBdr>
    </w:div>
    <w:div w:id="821389662">
      <w:bodyDiv w:val="1"/>
      <w:marLeft w:val="0"/>
      <w:marRight w:val="0"/>
      <w:marTop w:val="0"/>
      <w:marBottom w:val="0"/>
      <w:divBdr>
        <w:top w:val="none" w:sz="0" w:space="0" w:color="auto"/>
        <w:left w:val="none" w:sz="0" w:space="0" w:color="auto"/>
        <w:bottom w:val="none" w:sz="0" w:space="0" w:color="auto"/>
        <w:right w:val="none" w:sz="0" w:space="0" w:color="auto"/>
      </w:divBdr>
      <w:divsChild>
        <w:div w:id="1663586508">
          <w:marLeft w:val="0"/>
          <w:marRight w:val="0"/>
          <w:marTop w:val="0"/>
          <w:marBottom w:val="0"/>
          <w:divBdr>
            <w:top w:val="none" w:sz="0" w:space="0" w:color="auto"/>
            <w:left w:val="none" w:sz="0" w:space="0" w:color="auto"/>
            <w:bottom w:val="none" w:sz="0" w:space="0" w:color="auto"/>
            <w:right w:val="none" w:sz="0" w:space="0" w:color="auto"/>
          </w:divBdr>
        </w:div>
      </w:divsChild>
    </w:div>
    <w:div w:id="829760126">
      <w:bodyDiv w:val="1"/>
      <w:marLeft w:val="0"/>
      <w:marRight w:val="0"/>
      <w:marTop w:val="0"/>
      <w:marBottom w:val="0"/>
      <w:divBdr>
        <w:top w:val="none" w:sz="0" w:space="0" w:color="auto"/>
        <w:left w:val="none" w:sz="0" w:space="0" w:color="auto"/>
        <w:bottom w:val="none" w:sz="0" w:space="0" w:color="auto"/>
        <w:right w:val="none" w:sz="0" w:space="0" w:color="auto"/>
      </w:divBdr>
      <w:divsChild>
        <w:div w:id="1325934579">
          <w:marLeft w:val="0"/>
          <w:marRight w:val="0"/>
          <w:marTop w:val="0"/>
          <w:marBottom w:val="0"/>
          <w:divBdr>
            <w:top w:val="none" w:sz="0" w:space="0" w:color="auto"/>
            <w:left w:val="none" w:sz="0" w:space="0" w:color="auto"/>
            <w:bottom w:val="none" w:sz="0" w:space="0" w:color="auto"/>
            <w:right w:val="none" w:sz="0" w:space="0" w:color="auto"/>
          </w:divBdr>
        </w:div>
      </w:divsChild>
    </w:div>
    <w:div w:id="863639289">
      <w:bodyDiv w:val="1"/>
      <w:marLeft w:val="0"/>
      <w:marRight w:val="0"/>
      <w:marTop w:val="0"/>
      <w:marBottom w:val="0"/>
      <w:divBdr>
        <w:top w:val="none" w:sz="0" w:space="0" w:color="auto"/>
        <w:left w:val="none" w:sz="0" w:space="0" w:color="auto"/>
        <w:bottom w:val="none" w:sz="0" w:space="0" w:color="auto"/>
        <w:right w:val="none" w:sz="0" w:space="0" w:color="auto"/>
      </w:divBdr>
      <w:divsChild>
        <w:div w:id="1881282122">
          <w:marLeft w:val="0"/>
          <w:marRight w:val="0"/>
          <w:marTop w:val="0"/>
          <w:marBottom w:val="0"/>
          <w:divBdr>
            <w:top w:val="none" w:sz="0" w:space="0" w:color="auto"/>
            <w:left w:val="none" w:sz="0" w:space="0" w:color="auto"/>
            <w:bottom w:val="none" w:sz="0" w:space="0" w:color="auto"/>
            <w:right w:val="none" w:sz="0" w:space="0" w:color="auto"/>
          </w:divBdr>
        </w:div>
      </w:divsChild>
    </w:div>
    <w:div w:id="878780749">
      <w:bodyDiv w:val="1"/>
      <w:marLeft w:val="0"/>
      <w:marRight w:val="0"/>
      <w:marTop w:val="0"/>
      <w:marBottom w:val="0"/>
      <w:divBdr>
        <w:top w:val="none" w:sz="0" w:space="0" w:color="auto"/>
        <w:left w:val="none" w:sz="0" w:space="0" w:color="auto"/>
        <w:bottom w:val="none" w:sz="0" w:space="0" w:color="auto"/>
        <w:right w:val="none" w:sz="0" w:space="0" w:color="auto"/>
      </w:divBdr>
    </w:div>
    <w:div w:id="906645853">
      <w:bodyDiv w:val="1"/>
      <w:marLeft w:val="0"/>
      <w:marRight w:val="0"/>
      <w:marTop w:val="0"/>
      <w:marBottom w:val="0"/>
      <w:divBdr>
        <w:top w:val="none" w:sz="0" w:space="0" w:color="auto"/>
        <w:left w:val="none" w:sz="0" w:space="0" w:color="auto"/>
        <w:bottom w:val="none" w:sz="0" w:space="0" w:color="auto"/>
        <w:right w:val="none" w:sz="0" w:space="0" w:color="auto"/>
      </w:divBdr>
      <w:divsChild>
        <w:div w:id="765226030">
          <w:marLeft w:val="0"/>
          <w:marRight w:val="0"/>
          <w:marTop w:val="0"/>
          <w:marBottom w:val="0"/>
          <w:divBdr>
            <w:top w:val="none" w:sz="0" w:space="0" w:color="auto"/>
            <w:left w:val="none" w:sz="0" w:space="0" w:color="auto"/>
            <w:bottom w:val="none" w:sz="0" w:space="0" w:color="auto"/>
            <w:right w:val="none" w:sz="0" w:space="0" w:color="auto"/>
          </w:divBdr>
        </w:div>
      </w:divsChild>
    </w:div>
    <w:div w:id="910848635">
      <w:bodyDiv w:val="1"/>
      <w:marLeft w:val="0"/>
      <w:marRight w:val="0"/>
      <w:marTop w:val="0"/>
      <w:marBottom w:val="0"/>
      <w:divBdr>
        <w:top w:val="none" w:sz="0" w:space="0" w:color="auto"/>
        <w:left w:val="none" w:sz="0" w:space="0" w:color="auto"/>
        <w:bottom w:val="none" w:sz="0" w:space="0" w:color="auto"/>
        <w:right w:val="none" w:sz="0" w:space="0" w:color="auto"/>
      </w:divBdr>
      <w:divsChild>
        <w:div w:id="872620880">
          <w:marLeft w:val="0"/>
          <w:marRight w:val="0"/>
          <w:marTop w:val="0"/>
          <w:marBottom w:val="0"/>
          <w:divBdr>
            <w:top w:val="none" w:sz="0" w:space="0" w:color="auto"/>
            <w:left w:val="none" w:sz="0" w:space="0" w:color="auto"/>
            <w:bottom w:val="none" w:sz="0" w:space="0" w:color="auto"/>
            <w:right w:val="none" w:sz="0" w:space="0" w:color="auto"/>
          </w:divBdr>
        </w:div>
      </w:divsChild>
    </w:div>
    <w:div w:id="918095213">
      <w:bodyDiv w:val="1"/>
      <w:marLeft w:val="0"/>
      <w:marRight w:val="0"/>
      <w:marTop w:val="0"/>
      <w:marBottom w:val="0"/>
      <w:divBdr>
        <w:top w:val="none" w:sz="0" w:space="0" w:color="auto"/>
        <w:left w:val="none" w:sz="0" w:space="0" w:color="auto"/>
        <w:bottom w:val="none" w:sz="0" w:space="0" w:color="auto"/>
        <w:right w:val="none" w:sz="0" w:space="0" w:color="auto"/>
      </w:divBdr>
      <w:divsChild>
        <w:div w:id="367877141">
          <w:marLeft w:val="0"/>
          <w:marRight w:val="0"/>
          <w:marTop w:val="0"/>
          <w:marBottom w:val="0"/>
          <w:divBdr>
            <w:top w:val="none" w:sz="0" w:space="0" w:color="auto"/>
            <w:left w:val="none" w:sz="0" w:space="0" w:color="auto"/>
            <w:bottom w:val="none" w:sz="0" w:space="0" w:color="auto"/>
            <w:right w:val="none" w:sz="0" w:space="0" w:color="auto"/>
          </w:divBdr>
        </w:div>
      </w:divsChild>
    </w:div>
    <w:div w:id="924804570">
      <w:bodyDiv w:val="1"/>
      <w:marLeft w:val="0"/>
      <w:marRight w:val="0"/>
      <w:marTop w:val="0"/>
      <w:marBottom w:val="0"/>
      <w:divBdr>
        <w:top w:val="none" w:sz="0" w:space="0" w:color="auto"/>
        <w:left w:val="none" w:sz="0" w:space="0" w:color="auto"/>
        <w:bottom w:val="none" w:sz="0" w:space="0" w:color="auto"/>
        <w:right w:val="none" w:sz="0" w:space="0" w:color="auto"/>
      </w:divBdr>
      <w:divsChild>
        <w:div w:id="564611108">
          <w:marLeft w:val="0"/>
          <w:marRight w:val="0"/>
          <w:marTop w:val="0"/>
          <w:marBottom w:val="0"/>
          <w:divBdr>
            <w:top w:val="none" w:sz="0" w:space="0" w:color="auto"/>
            <w:left w:val="none" w:sz="0" w:space="0" w:color="auto"/>
            <w:bottom w:val="none" w:sz="0" w:space="0" w:color="auto"/>
            <w:right w:val="none" w:sz="0" w:space="0" w:color="auto"/>
          </w:divBdr>
        </w:div>
      </w:divsChild>
    </w:div>
    <w:div w:id="935214475">
      <w:bodyDiv w:val="1"/>
      <w:marLeft w:val="0"/>
      <w:marRight w:val="0"/>
      <w:marTop w:val="0"/>
      <w:marBottom w:val="0"/>
      <w:divBdr>
        <w:top w:val="none" w:sz="0" w:space="0" w:color="auto"/>
        <w:left w:val="none" w:sz="0" w:space="0" w:color="auto"/>
        <w:bottom w:val="none" w:sz="0" w:space="0" w:color="auto"/>
        <w:right w:val="none" w:sz="0" w:space="0" w:color="auto"/>
      </w:divBdr>
    </w:div>
    <w:div w:id="945041307">
      <w:bodyDiv w:val="1"/>
      <w:marLeft w:val="0"/>
      <w:marRight w:val="0"/>
      <w:marTop w:val="0"/>
      <w:marBottom w:val="0"/>
      <w:divBdr>
        <w:top w:val="none" w:sz="0" w:space="0" w:color="auto"/>
        <w:left w:val="none" w:sz="0" w:space="0" w:color="auto"/>
        <w:bottom w:val="none" w:sz="0" w:space="0" w:color="auto"/>
        <w:right w:val="none" w:sz="0" w:space="0" w:color="auto"/>
      </w:divBdr>
      <w:divsChild>
        <w:div w:id="1324163242">
          <w:marLeft w:val="0"/>
          <w:marRight w:val="0"/>
          <w:marTop w:val="0"/>
          <w:marBottom w:val="0"/>
          <w:divBdr>
            <w:top w:val="none" w:sz="0" w:space="0" w:color="auto"/>
            <w:left w:val="none" w:sz="0" w:space="0" w:color="auto"/>
            <w:bottom w:val="none" w:sz="0" w:space="0" w:color="auto"/>
            <w:right w:val="none" w:sz="0" w:space="0" w:color="auto"/>
          </w:divBdr>
        </w:div>
      </w:divsChild>
    </w:div>
    <w:div w:id="1220441429">
      <w:bodyDiv w:val="1"/>
      <w:marLeft w:val="0"/>
      <w:marRight w:val="0"/>
      <w:marTop w:val="0"/>
      <w:marBottom w:val="0"/>
      <w:divBdr>
        <w:top w:val="none" w:sz="0" w:space="0" w:color="auto"/>
        <w:left w:val="none" w:sz="0" w:space="0" w:color="auto"/>
        <w:bottom w:val="none" w:sz="0" w:space="0" w:color="auto"/>
        <w:right w:val="none" w:sz="0" w:space="0" w:color="auto"/>
      </w:divBdr>
    </w:div>
    <w:div w:id="1243105647">
      <w:bodyDiv w:val="1"/>
      <w:marLeft w:val="0"/>
      <w:marRight w:val="0"/>
      <w:marTop w:val="0"/>
      <w:marBottom w:val="0"/>
      <w:divBdr>
        <w:top w:val="none" w:sz="0" w:space="0" w:color="auto"/>
        <w:left w:val="none" w:sz="0" w:space="0" w:color="auto"/>
        <w:bottom w:val="none" w:sz="0" w:space="0" w:color="auto"/>
        <w:right w:val="none" w:sz="0" w:space="0" w:color="auto"/>
      </w:divBdr>
    </w:div>
    <w:div w:id="1244800234">
      <w:bodyDiv w:val="1"/>
      <w:marLeft w:val="0"/>
      <w:marRight w:val="0"/>
      <w:marTop w:val="0"/>
      <w:marBottom w:val="0"/>
      <w:divBdr>
        <w:top w:val="none" w:sz="0" w:space="0" w:color="auto"/>
        <w:left w:val="none" w:sz="0" w:space="0" w:color="auto"/>
        <w:bottom w:val="none" w:sz="0" w:space="0" w:color="auto"/>
        <w:right w:val="none" w:sz="0" w:space="0" w:color="auto"/>
      </w:divBdr>
    </w:div>
    <w:div w:id="1420827098">
      <w:bodyDiv w:val="1"/>
      <w:marLeft w:val="0"/>
      <w:marRight w:val="0"/>
      <w:marTop w:val="0"/>
      <w:marBottom w:val="0"/>
      <w:divBdr>
        <w:top w:val="none" w:sz="0" w:space="0" w:color="auto"/>
        <w:left w:val="none" w:sz="0" w:space="0" w:color="auto"/>
        <w:bottom w:val="none" w:sz="0" w:space="0" w:color="auto"/>
        <w:right w:val="none" w:sz="0" w:space="0" w:color="auto"/>
      </w:divBdr>
    </w:div>
    <w:div w:id="1457601851">
      <w:bodyDiv w:val="1"/>
      <w:marLeft w:val="0"/>
      <w:marRight w:val="0"/>
      <w:marTop w:val="0"/>
      <w:marBottom w:val="0"/>
      <w:divBdr>
        <w:top w:val="none" w:sz="0" w:space="0" w:color="auto"/>
        <w:left w:val="none" w:sz="0" w:space="0" w:color="auto"/>
        <w:bottom w:val="none" w:sz="0" w:space="0" w:color="auto"/>
        <w:right w:val="none" w:sz="0" w:space="0" w:color="auto"/>
      </w:divBdr>
      <w:divsChild>
        <w:div w:id="2050494023">
          <w:marLeft w:val="0"/>
          <w:marRight w:val="0"/>
          <w:marTop w:val="0"/>
          <w:marBottom w:val="0"/>
          <w:divBdr>
            <w:top w:val="none" w:sz="0" w:space="0" w:color="auto"/>
            <w:left w:val="none" w:sz="0" w:space="0" w:color="auto"/>
            <w:bottom w:val="none" w:sz="0" w:space="0" w:color="auto"/>
            <w:right w:val="none" w:sz="0" w:space="0" w:color="auto"/>
          </w:divBdr>
        </w:div>
      </w:divsChild>
    </w:div>
    <w:div w:id="1501384121">
      <w:bodyDiv w:val="1"/>
      <w:marLeft w:val="0"/>
      <w:marRight w:val="0"/>
      <w:marTop w:val="0"/>
      <w:marBottom w:val="0"/>
      <w:divBdr>
        <w:top w:val="none" w:sz="0" w:space="0" w:color="auto"/>
        <w:left w:val="none" w:sz="0" w:space="0" w:color="auto"/>
        <w:bottom w:val="none" w:sz="0" w:space="0" w:color="auto"/>
        <w:right w:val="none" w:sz="0" w:space="0" w:color="auto"/>
      </w:divBdr>
    </w:div>
    <w:div w:id="1600945571">
      <w:bodyDiv w:val="1"/>
      <w:marLeft w:val="0"/>
      <w:marRight w:val="0"/>
      <w:marTop w:val="0"/>
      <w:marBottom w:val="0"/>
      <w:divBdr>
        <w:top w:val="none" w:sz="0" w:space="0" w:color="auto"/>
        <w:left w:val="none" w:sz="0" w:space="0" w:color="auto"/>
        <w:bottom w:val="none" w:sz="0" w:space="0" w:color="auto"/>
        <w:right w:val="none" w:sz="0" w:space="0" w:color="auto"/>
      </w:divBdr>
      <w:divsChild>
        <w:div w:id="1828594232">
          <w:marLeft w:val="0"/>
          <w:marRight w:val="0"/>
          <w:marTop w:val="0"/>
          <w:marBottom w:val="0"/>
          <w:divBdr>
            <w:top w:val="none" w:sz="0" w:space="0" w:color="auto"/>
            <w:left w:val="none" w:sz="0" w:space="0" w:color="auto"/>
            <w:bottom w:val="none" w:sz="0" w:space="0" w:color="auto"/>
            <w:right w:val="none" w:sz="0" w:space="0" w:color="auto"/>
          </w:divBdr>
        </w:div>
      </w:divsChild>
    </w:div>
    <w:div w:id="1698197517">
      <w:bodyDiv w:val="1"/>
      <w:marLeft w:val="0"/>
      <w:marRight w:val="0"/>
      <w:marTop w:val="0"/>
      <w:marBottom w:val="0"/>
      <w:divBdr>
        <w:top w:val="none" w:sz="0" w:space="0" w:color="auto"/>
        <w:left w:val="none" w:sz="0" w:space="0" w:color="auto"/>
        <w:bottom w:val="none" w:sz="0" w:space="0" w:color="auto"/>
        <w:right w:val="none" w:sz="0" w:space="0" w:color="auto"/>
      </w:divBdr>
      <w:divsChild>
        <w:div w:id="124973284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98681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790467">
      <w:bodyDiv w:val="1"/>
      <w:marLeft w:val="0"/>
      <w:marRight w:val="0"/>
      <w:marTop w:val="0"/>
      <w:marBottom w:val="0"/>
      <w:divBdr>
        <w:top w:val="none" w:sz="0" w:space="0" w:color="auto"/>
        <w:left w:val="none" w:sz="0" w:space="0" w:color="auto"/>
        <w:bottom w:val="none" w:sz="0" w:space="0" w:color="auto"/>
        <w:right w:val="none" w:sz="0" w:space="0" w:color="auto"/>
      </w:divBdr>
    </w:div>
    <w:div w:id="1719089601">
      <w:bodyDiv w:val="1"/>
      <w:marLeft w:val="0"/>
      <w:marRight w:val="0"/>
      <w:marTop w:val="0"/>
      <w:marBottom w:val="0"/>
      <w:divBdr>
        <w:top w:val="none" w:sz="0" w:space="0" w:color="auto"/>
        <w:left w:val="none" w:sz="0" w:space="0" w:color="auto"/>
        <w:bottom w:val="none" w:sz="0" w:space="0" w:color="auto"/>
        <w:right w:val="none" w:sz="0" w:space="0" w:color="auto"/>
      </w:divBdr>
      <w:divsChild>
        <w:div w:id="1952199926">
          <w:marLeft w:val="0"/>
          <w:marRight w:val="0"/>
          <w:marTop w:val="0"/>
          <w:marBottom w:val="0"/>
          <w:divBdr>
            <w:top w:val="none" w:sz="0" w:space="0" w:color="auto"/>
            <w:left w:val="none" w:sz="0" w:space="0" w:color="auto"/>
            <w:bottom w:val="none" w:sz="0" w:space="0" w:color="auto"/>
            <w:right w:val="none" w:sz="0" w:space="0" w:color="auto"/>
          </w:divBdr>
        </w:div>
      </w:divsChild>
    </w:div>
    <w:div w:id="1736515341">
      <w:bodyDiv w:val="1"/>
      <w:marLeft w:val="0"/>
      <w:marRight w:val="0"/>
      <w:marTop w:val="0"/>
      <w:marBottom w:val="0"/>
      <w:divBdr>
        <w:top w:val="none" w:sz="0" w:space="0" w:color="auto"/>
        <w:left w:val="none" w:sz="0" w:space="0" w:color="auto"/>
        <w:bottom w:val="none" w:sz="0" w:space="0" w:color="auto"/>
        <w:right w:val="none" w:sz="0" w:space="0" w:color="auto"/>
      </w:divBdr>
      <w:divsChild>
        <w:div w:id="1614022332">
          <w:marLeft w:val="0"/>
          <w:marRight w:val="0"/>
          <w:marTop w:val="0"/>
          <w:marBottom w:val="0"/>
          <w:divBdr>
            <w:top w:val="none" w:sz="0" w:space="0" w:color="auto"/>
            <w:left w:val="none" w:sz="0" w:space="0" w:color="auto"/>
            <w:bottom w:val="none" w:sz="0" w:space="0" w:color="auto"/>
            <w:right w:val="none" w:sz="0" w:space="0" w:color="auto"/>
          </w:divBdr>
        </w:div>
      </w:divsChild>
    </w:div>
    <w:div w:id="1743329745">
      <w:bodyDiv w:val="1"/>
      <w:marLeft w:val="0"/>
      <w:marRight w:val="0"/>
      <w:marTop w:val="0"/>
      <w:marBottom w:val="0"/>
      <w:divBdr>
        <w:top w:val="none" w:sz="0" w:space="0" w:color="auto"/>
        <w:left w:val="none" w:sz="0" w:space="0" w:color="auto"/>
        <w:bottom w:val="none" w:sz="0" w:space="0" w:color="auto"/>
        <w:right w:val="none" w:sz="0" w:space="0" w:color="auto"/>
      </w:divBdr>
    </w:div>
    <w:div w:id="1750693323">
      <w:bodyDiv w:val="1"/>
      <w:marLeft w:val="0"/>
      <w:marRight w:val="0"/>
      <w:marTop w:val="0"/>
      <w:marBottom w:val="0"/>
      <w:divBdr>
        <w:top w:val="none" w:sz="0" w:space="0" w:color="auto"/>
        <w:left w:val="none" w:sz="0" w:space="0" w:color="auto"/>
        <w:bottom w:val="none" w:sz="0" w:space="0" w:color="auto"/>
        <w:right w:val="none" w:sz="0" w:space="0" w:color="auto"/>
      </w:divBdr>
      <w:divsChild>
        <w:div w:id="1940408655">
          <w:marLeft w:val="0"/>
          <w:marRight w:val="0"/>
          <w:marTop w:val="0"/>
          <w:marBottom w:val="0"/>
          <w:divBdr>
            <w:top w:val="none" w:sz="0" w:space="0" w:color="auto"/>
            <w:left w:val="none" w:sz="0" w:space="0" w:color="auto"/>
            <w:bottom w:val="none" w:sz="0" w:space="0" w:color="auto"/>
            <w:right w:val="none" w:sz="0" w:space="0" w:color="auto"/>
          </w:divBdr>
        </w:div>
      </w:divsChild>
    </w:div>
    <w:div w:id="1775591978">
      <w:bodyDiv w:val="1"/>
      <w:marLeft w:val="0"/>
      <w:marRight w:val="0"/>
      <w:marTop w:val="0"/>
      <w:marBottom w:val="0"/>
      <w:divBdr>
        <w:top w:val="none" w:sz="0" w:space="0" w:color="auto"/>
        <w:left w:val="none" w:sz="0" w:space="0" w:color="auto"/>
        <w:bottom w:val="none" w:sz="0" w:space="0" w:color="auto"/>
        <w:right w:val="none" w:sz="0" w:space="0" w:color="auto"/>
      </w:divBdr>
    </w:div>
    <w:div w:id="1844005056">
      <w:bodyDiv w:val="1"/>
      <w:marLeft w:val="0"/>
      <w:marRight w:val="0"/>
      <w:marTop w:val="0"/>
      <w:marBottom w:val="0"/>
      <w:divBdr>
        <w:top w:val="none" w:sz="0" w:space="0" w:color="auto"/>
        <w:left w:val="none" w:sz="0" w:space="0" w:color="auto"/>
        <w:bottom w:val="none" w:sz="0" w:space="0" w:color="auto"/>
        <w:right w:val="none" w:sz="0" w:space="0" w:color="auto"/>
      </w:divBdr>
    </w:div>
    <w:div w:id="1852404297">
      <w:bodyDiv w:val="1"/>
      <w:marLeft w:val="0"/>
      <w:marRight w:val="0"/>
      <w:marTop w:val="0"/>
      <w:marBottom w:val="0"/>
      <w:divBdr>
        <w:top w:val="none" w:sz="0" w:space="0" w:color="auto"/>
        <w:left w:val="none" w:sz="0" w:space="0" w:color="auto"/>
        <w:bottom w:val="none" w:sz="0" w:space="0" w:color="auto"/>
        <w:right w:val="none" w:sz="0" w:space="0" w:color="auto"/>
      </w:divBdr>
      <w:divsChild>
        <w:div w:id="1183401998">
          <w:marLeft w:val="0"/>
          <w:marRight w:val="0"/>
          <w:marTop w:val="0"/>
          <w:marBottom w:val="0"/>
          <w:divBdr>
            <w:top w:val="none" w:sz="0" w:space="0" w:color="auto"/>
            <w:left w:val="none" w:sz="0" w:space="0" w:color="auto"/>
            <w:bottom w:val="none" w:sz="0" w:space="0" w:color="auto"/>
            <w:right w:val="none" w:sz="0" w:space="0" w:color="auto"/>
          </w:divBdr>
        </w:div>
      </w:divsChild>
    </w:div>
    <w:div w:id="1974172631">
      <w:bodyDiv w:val="1"/>
      <w:marLeft w:val="0"/>
      <w:marRight w:val="0"/>
      <w:marTop w:val="0"/>
      <w:marBottom w:val="0"/>
      <w:divBdr>
        <w:top w:val="none" w:sz="0" w:space="0" w:color="auto"/>
        <w:left w:val="none" w:sz="0" w:space="0" w:color="auto"/>
        <w:bottom w:val="none" w:sz="0" w:space="0" w:color="auto"/>
        <w:right w:val="none" w:sz="0" w:space="0" w:color="auto"/>
      </w:divBdr>
      <w:divsChild>
        <w:div w:id="1359358235">
          <w:marLeft w:val="0"/>
          <w:marRight w:val="0"/>
          <w:marTop w:val="0"/>
          <w:marBottom w:val="0"/>
          <w:divBdr>
            <w:top w:val="none" w:sz="0" w:space="0" w:color="auto"/>
            <w:left w:val="none" w:sz="0" w:space="0" w:color="auto"/>
            <w:bottom w:val="none" w:sz="0" w:space="0" w:color="auto"/>
            <w:right w:val="none" w:sz="0" w:space="0" w:color="auto"/>
          </w:divBdr>
        </w:div>
      </w:divsChild>
    </w:div>
    <w:div w:id="1987197222">
      <w:bodyDiv w:val="1"/>
      <w:marLeft w:val="0"/>
      <w:marRight w:val="0"/>
      <w:marTop w:val="0"/>
      <w:marBottom w:val="0"/>
      <w:divBdr>
        <w:top w:val="none" w:sz="0" w:space="0" w:color="auto"/>
        <w:left w:val="none" w:sz="0" w:space="0" w:color="auto"/>
        <w:bottom w:val="none" w:sz="0" w:space="0" w:color="auto"/>
        <w:right w:val="none" w:sz="0" w:space="0" w:color="auto"/>
      </w:divBdr>
      <w:divsChild>
        <w:div w:id="445122620">
          <w:marLeft w:val="0"/>
          <w:marRight w:val="0"/>
          <w:marTop w:val="0"/>
          <w:marBottom w:val="0"/>
          <w:divBdr>
            <w:top w:val="none" w:sz="0" w:space="0" w:color="auto"/>
            <w:left w:val="none" w:sz="0" w:space="0" w:color="auto"/>
            <w:bottom w:val="none" w:sz="0" w:space="0" w:color="auto"/>
            <w:right w:val="none" w:sz="0" w:space="0" w:color="auto"/>
          </w:divBdr>
        </w:div>
      </w:divsChild>
    </w:div>
    <w:div w:id="2005745301">
      <w:bodyDiv w:val="1"/>
      <w:marLeft w:val="0"/>
      <w:marRight w:val="0"/>
      <w:marTop w:val="0"/>
      <w:marBottom w:val="0"/>
      <w:divBdr>
        <w:top w:val="none" w:sz="0" w:space="0" w:color="auto"/>
        <w:left w:val="none" w:sz="0" w:space="0" w:color="auto"/>
        <w:bottom w:val="none" w:sz="0" w:space="0" w:color="auto"/>
        <w:right w:val="none" w:sz="0" w:space="0" w:color="auto"/>
      </w:divBdr>
    </w:div>
    <w:div w:id="2030834294">
      <w:bodyDiv w:val="1"/>
      <w:marLeft w:val="0"/>
      <w:marRight w:val="0"/>
      <w:marTop w:val="0"/>
      <w:marBottom w:val="0"/>
      <w:divBdr>
        <w:top w:val="none" w:sz="0" w:space="0" w:color="auto"/>
        <w:left w:val="none" w:sz="0" w:space="0" w:color="auto"/>
        <w:bottom w:val="none" w:sz="0" w:space="0" w:color="auto"/>
        <w:right w:val="none" w:sz="0" w:space="0" w:color="auto"/>
      </w:divBdr>
    </w:div>
    <w:div w:id="2056001119">
      <w:bodyDiv w:val="1"/>
      <w:marLeft w:val="0"/>
      <w:marRight w:val="0"/>
      <w:marTop w:val="0"/>
      <w:marBottom w:val="0"/>
      <w:divBdr>
        <w:top w:val="none" w:sz="0" w:space="0" w:color="auto"/>
        <w:left w:val="none" w:sz="0" w:space="0" w:color="auto"/>
        <w:bottom w:val="none" w:sz="0" w:space="0" w:color="auto"/>
        <w:right w:val="none" w:sz="0" w:space="0" w:color="auto"/>
      </w:divBdr>
      <w:divsChild>
        <w:div w:id="1519201943">
          <w:marLeft w:val="0"/>
          <w:marRight w:val="0"/>
          <w:marTop w:val="0"/>
          <w:marBottom w:val="0"/>
          <w:divBdr>
            <w:top w:val="none" w:sz="0" w:space="0" w:color="auto"/>
            <w:left w:val="none" w:sz="0" w:space="0" w:color="auto"/>
            <w:bottom w:val="none" w:sz="0" w:space="0" w:color="auto"/>
            <w:right w:val="none" w:sz="0" w:space="0" w:color="auto"/>
          </w:divBdr>
        </w:div>
      </w:divsChild>
    </w:div>
    <w:div w:id="2078474260">
      <w:bodyDiv w:val="1"/>
      <w:marLeft w:val="0"/>
      <w:marRight w:val="0"/>
      <w:marTop w:val="0"/>
      <w:marBottom w:val="0"/>
      <w:divBdr>
        <w:top w:val="none" w:sz="0" w:space="0" w:color="auto"/>
        <w:left w:val="none" w:sz="0" w:space="0" w:color="auto"/>
        <w:bottom w:val="none" w:sz="0" w:space="0" w:color="auto"/>
        <w:right w:val="none" w:sz="0" w:space="0" w:color="auto"/>
      </w:divBdr>
    </w:div>
    <w:div w:id="2130510541">
      <w:bodyDiv w:val="1"/>
      <w:marLeft w:val="0"/>
      <w:marRight w:val="0"/>
      <w:marTop w:val="0"/>
      <w:marBottom w:val="0"/>
      <w:divBdr>
        <w:top w:val="none" w:sz="0" w:space="0" w:color="auto"/>
        <w:left w:val="none" w:sz="0" w:space="0" w:color="auto"/>
        <w:bottom w:val="none" w:sz="0" w:space="0" w:color="auto"/>
        <w:right w:val="none" w:sz="0" w:space="0" w:color="auto"/>
      </w:divBdr>
    </w:div>
    <w:div w:id="2144225614">
      <w:bodyDiv w:val="1"/>
      <w:marLeft w:val="0"/>
      <w:marRight w:val="0"/>
      <w:marTop w:val="0"/>
      <w:marBottom w:val="0"/>
      <w:divBdr>
        <w:top w:val="none" w:sz="0" w:space="0" w:color="auto"/>
        <w:left w:val="none" w:sz="0" w:space="0" w:color="auto"/>
        <w:bottom w:val="none" w:sz="0" w:space="0" w:color="auto"/>
        <w:right w:val="none" w:sz="0" w:space="0" w:color="auto"/>
      </w:divBdr>
      <w:divsChild>
        <w:div w:id="18857484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1.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GBC22222222222222222222222222222"/>
        <w:category>
          <w:name w:val="常规"/>
          <w:gallery w:val="placeholder"/>
        </w:category>
        <w:types>
          <w:type w:val="bbPlcHdr"/>
        </w:types>
        <w:behaviors>
          <w:behavior w:val="content"/>
        </w:behaviors>
        <w:guid w:val="{00000000-0000-0000-0000-000000000000}"/>
      </w:docPartPr>
      <w:docPartBody>
        <w:p w:rsidR="000958C3" w:rsidRDefault="00E50E43">
          <w:r w:rsidRPr="001852D3">
            <w:rPr>
              <w:rStyle w:val="a3"/>
              <w:rFonts w:hint="eastAsia"/>
              <w:color w:val="333399"/>
              <w:u w:val="single"/>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Narrow">
    <w:altName w:val="Arial Narrow"/>
    <w:charset w:val="00"/>
    <w:family w:val="swiss"/>
    <w:pitch w:val="default"/>
    <w:sig w:usb0="00000003" w:usb1="00000000" w:usb2="00000000" w:usb3="00000000" w:csb0="00000001" w:csb1="00000000"/>
  </w:font>
  <w:font w:name="Noto Sans CJK JP Regular">
    <w:altName w:val="黑体"/>
    <w:panose1 w:val="00000000000000000000"/>
    <w:charset w:val="86"/>
    <w:family w:val="swiss"/>
    <w:notTrueType/>
    <w:pitch w:val="variable"/>
    <w:sig w:usb0="30000207" w:usb1="2BDF3C10" w:usb2="00000016" w:usb3="00000000" w:csb0="002E0107" w:csb1="00000000"/>
  </w:font>
  <w:font w:name="FZLTSK--GBK1-0">
    <w:altName w:val="Times New Roman"/>
    <w:panose1 w:val="00000000000000000000"/>
    <w:charset w:val="00"/>
    <w:family w:val="roman"/>
    <w:notTrueType/>
    <w:pitch w:val="default"/>
    <w:sig w:usb0="00000000" w:usb1="00000000" w:usb2="00000000" w:usb3="00000000" w:csb0="00000000" w:csb1="00000000"/>
  </w:font>
  <w:font w:name="方正楷体_GBK">
    <w:altName w:val="Arial Unicode MS"/>
    <w:charset w:val="86"/>
    <w:family w:val="script"/>
    <w:pitch w:val="fixed"/>
    <w:sig w:usb0="00000001" w:usb1="080E0000" w:usb2="00000010" w:usb3="00000000" w:csb0="00040000" w:csb1="00000000"/>
  </w:font>
  <w:font w:name="楷体_GB2312">
    <w:altName w:val="楷体"/>
    <w:charset w:val="86"/>
    <w:family w:val="modern"/>
    <w:pitch w:val="default"/>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新宋体">
    <w:panose1 w:val="02010609030101010101"/>
    <w:charset w:val="86"/>
    <w:family w:val="modern"/>
    <w:pitch w:val="fixed"/>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宋体-方正超大字符集">
    <w:altName w:val="宋体"/>
    <w:charset w:val="86"/>
    <w:family w:val="script"/>
    <w:pitch w:val="fixed"/>
    <w:sig w:usb0="00000001" w:usb1="080E0000" w:usb2="00000010" w:usb3="00000000" w:csb0="00040000" w:csb1="00000000"/>
  </w:font>
  <w:font w:name="PMingLiU">
    <w:altName w:val="新細明體"/>
    <w:panose1 w:val="02020500000000000000"/>
    <w:charset w:val="88"/>
    <w:family w:val="roman"/>
    <w:pitch w:val="variable"/>
    <w:sig w:usb0="A00002FF" w:usb1="28CFFCFA" w:usb2="00000016" w:usb3="00000000" w:csb0="00100001" w:csb1="00000000"/>
  </w:font>
  <w:font w:name="Yu Gothic">
    <w:altName w:val="游ゴシック"/>
    <w:charset w:val="80"/>
    <w:family w:val="swiss"/>
    <w:pitch w:val="variable"/>
    <w:sig w:usb0="E00002FF" w:usb1="2AC7FDFF" w:usb2="00000016" w:usb3="00000000" w:csb0="0002009F" w:csb1="00000000"/>
  </w:font>
  <w:font w:name="螳倶ｽ・">
    <w:altName w:val="Yu Gothic"/>
    <w:panose1 w:val="00000000000000000000"/>
    <w:charset w:val="80"/>
    <w:family w:val="auto"/>
    <w:notTrueType/>
    <w:pitch w:val="default"/>
    <w:sig w:usb0="00000001" w:usb1="08070000" w:usb2="00000010" w:usb3="00000000" w:csb0="00020000" w:csb1="00000000"/>
  </w:font>
  <w:font w:name="仿宋_GB2312">
    <w:altName w:val="仿宋"/>
    <w:charset w:val="86"/>
    <w:family w:val="modern"/>
    <w:pitch w:val="fixed"/>
    <w:sig w:usb0="00000001" w:usb1="080E0000" w:usb2="00000010" w:usb3="00000000" w:csb0="0004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bordersDoNotSurroundHeader/>
  <w:bordersDoNotSurroundFooter/>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50E43"/>
    <w:rsid w:val="0000161E"/>
    <w:rsid w:val="00002689"/>
    <w:rsid w:val="000056ED"/>
    <w:rsid w:val="0000588D"/>
    <w:rsid w:val="00007ACF"/>
    <w:rsid w:val="00007CFD"/>
    <w:rsid w:val="00010370"/>
    <w:rsid w:val="00010420"/>
    <w:rsid w:val="00010558"/>
    <w:rsid w:val="00011E75"/>
    <w:rsid w:val="000120DB"/>
    <w:rsid w:val="00012380"/>
    <w:rsid w:val="00012653"/>
    <w:rsid w:val="0001297A"/>
    <w:rsid w:val="00012C61"/>
    <w:rsid w:val="00013B71"/>
    <w:rsid w:val="00016D6C"/>
    <w:rsid w:val="00020357"/>
    <w:rsid w:val="000211F7"/>
    <w:rsid w:val="0002197F"/>
    <w:rsid w:val="00021BC4"/>
    <w:rsid w:val="00021D68"/>
    <w:rsid w:val="000223FC"/>
    <w:rsid w:val="000234EA"/>
    <w:rsid w:val="0002361B"/>
    <w:rsid w:val="000236A0"/>
    <w:rsid w:val="0002605F"/>
    <w:rsid w:val="00032504"/>
    <w:rsid w:val="00032ECB"/>
    <w:rsid w:val="0003417E"/>
    <w:rsid w:val="00034C17"/>
    <w:rsid w:val="0003500B"/>
    <w:rsid w:val="000353DC"/>
    <w:rsid w:val="0003608F"/>
    <w:rsid w:val="000403D5"/>
    <w:rsid w:val="00044179"/>
    <w:rsid w:val="00044916"/>
    <w:rsid w:val="00044BB1"/>
    <w:rsid w:val="00045444"/>
    <w:rsid w:val="00047197"/>
    <w:rsid w:val="00051FA4"/>
    <w:rsid w:val="00053ABC"/>
    <w:rsid w:val="00055561"/>
    <w:rsid w:val="00055BDC"/>
    <w:rsid w:val="00061F65"/>
    <w:rsid w:val="00062ED3"/>
    <w:rsid w:val="00063874"/>
    <w:rsid w:val="00063CC6"/>
    <w:rsid w:val="00064D04"/>
    <w:rsid w:val="0006532F"/>
    <w:rsid w:val="00065B5A"/>
    <w:rsid w:val="000667C2"/>
    <w:rsid w:val="000674E4"/>
    <w:rsid w:val="00067DCC"/>
    <w:rsid w:val="00070ACB"/>
    <w:rsid w:val="00071C74"/>
    <w:rsid w:val="000732F0"/>
    <w:rsid w:val="00073371"/>
    <w:rsid w:val="0007487C"/>
    <w:rsid w:val="00076D57"/>
    <w:rsid w:val="0007717F"/>
    <w:rsid w:val="00082580"/>
    <w:rsid w:val="00083B00"/>
    <w:rsid w:val="00083C63"/>
    <w:rsid w:val="00084E8F"/>
    <w:rsid w:val="00087193"/>
    <w:rsid w:val="0009029E"/>
    <w:rsid w:val="00090B08"/>
    <w:rsid w:val="00091B0E"/>
    <w:rsid w:val="00092CBB"/>
    <w:rsid w:val="00093BE5"/>
    <w:rsid w:val="00093C40"/>
    <w:rsid w:val="000958C3"/>
    <w:rsid w:val="000A1ED8"/>
    <w:rsid w:val="000A632D"/>
    <w:rsid w:val="000A63E1"/>
    <w:rsid w:val="000A6DCF"/>
    <w:rsid w:val="000B1E96"/>
    <w:rsid w:val="000B2987"/>
    <w:rsid w:val="000B3464"/>
    <w:rsid w:val="000B375A"/>
    <w:rsid w:val="000B5C82"/>
    <w:rsid w:val="000B5E0D"/>
    <w:rsid w:val="000B6B1C"/>
    <w:rsid w:val="000B76C0"/>
    <w:rsid w:val="000B7F0A"/>
    <w:rsid w:val="000C11C1"/>
    <w:rsid w:val="000C26DD"/>
    <w:rsid w:val="000C5F2F"/>
    <w:rsid w:val="000C600B"/>
    <w:rsid w:val="000D0276"/>
    <w:rsid w:val="000D1066"/>
    <w:rsid w:val="000D2323"/>
    <w:rsid w:val="000D3D3C"/>
    <w:rsid w:val="000D4757"/>
    <w:rsid w:val="000E37AA"/>
    <w:rsid w:val="000E6959"/>
    <w:rsid w:val="000E7B4D"/>
    <w:rsid w:val="000F147D"/>
    <w:rsid w:val="000F1980"/>
    <w:rsid w:val="000F3B57"/>
    <w:rsid w:val="000F41A3"/>
    <w:rsid w:val="000F440D"/>
    <w:rsid w:val="000F5144"/>
    <w:rsid w:val="000F527F"/>
    <w:rsid w:val="000F70C0"/>
    <w:rsid w:val="000F76A7"/>
    <w:rsid w:val="000F7B0F"/>
    <w:rsid w:val="00100882"/>
    <w:rsid w:val="001029A8"/>
    <w:rsid w:val="00103415"/>
    <w:rsid w:val="00103D62"/>
    <w:rsid w:val="00103FA8"/>
    <w:rsid w:val="00104879"/>
    <w:rsid w:val="00105328"/>
    <w:rsid w:val="00105693"/>
    <w:rsid w:val="001061D4"/>
    <w:rsid w:val="00107EAF"/>
    <w:rsid w:val="00110AE1"/>
    <w:rsid w:val="001124AB"/>
    <w:rsid w:val="001127EE"/>
    <w:rsid w:val="00114109"/>
    <w:rsid w:val="001160EB"/>
    <w:rsid w:val="00117118"/>
    <w:rsid w:val="00120BE3"/>
    <w:rsid w:val="00122BB8"/>
    <w:rsid w:val="00123C52"/>
    <w:rsid w:val="0012740D"/>
    <w:rsid w:val="001279CA"/>
    <w:rsid w:val="00131D2F"/>
    <w:rsid w:val="00132E0F"/>
    <w:rsid w:val="00133739"/>
    <w:rsid w:val="00140824"/>
    <w:rsid w:val="0014233D"/>
    <w:rsid w:val="00142460"/>
    <w:rsid w:val="00142487"/>
    <w:rsid w:val="00142AC6"/>
    <w:rsid w:val="00142BBE"/>
    <w:rsid w:val="00142C80"/>
    <w:rsid w:val="0014577A"/>
    <w:rsid w:val="001516EC"/>
    <w:rsid w:val="00151EE9"/>
    <w:rsid w:val="00155B0D"/>
    <w:rsid w:val="00155B88"/>
    <w:rsid w:val="00156761"/>
    <w:rsid w:val="00157128"/>
    <w:rsid w:val="00157EC8"/>
    <w:rsid w:val="00160520"/>
    <w:rsid w:val="00164372"/>
    <w:rsid w:val="001728A6"/>
    <w:rsid w:val="00172F92"/>
    <w:rsid w:val="00172F9D"/>
    <w:rsid w:val="00173E94"/>
    <w:rsid w:val="0017705F"/>
    <w:rsid w:val="001812E2"/>
    <w:rsid w:val="00181730"/>
    <w:rsid w:val="00183634"/>
    <w:rsid w:val="00184506"/>
    <w:rsid w:val="001850A3"/>
    <w:rsid w:val="0018593C"/>
    <w:rsid w:val="001860B6"/>
    <w:rsid w:val="00186ABA"/>
    <w:rsid w:val="001872D9"/>
    <w:rsid w:val="0018765D"/>
    <w:rsid w:val="00190BFB"/>
    <w:rsid w:val="00191ED7"/>
    <w:rsid w:val="00192656"/>
    <w:rsid w:val="00192AB1"/>
    <w:rsid w:val="00193AD6"/>
    <w:rsid w:val="001940A4"/>
    <w:rsid w:val="001967D6"/>
    <w:rsid w:val="00196E5B"/>
    <w:rsid w:val="001A3135"/>
    <w:rsid w:val="001A3FF1"/>
    <w:rsid w:val="001A4390"/>
    <w:rsid w:val="001A5C0B"/>
    <w:rsid w:val="001A6392"/>
    <w:rsid w:val="001A6ECA"/>
    <w:rsid w:val="001A79B6"/>
    <w:rsid w:val="001A7EBE"/>
    <w:rsid w:val="001B0779"/>
    <w:rsid w:val="001B1217"/>
    <w:rsid w:val="001B17E0"/>
    <w:rsid w:val="001B2FBB"/>
    <w:rsid w:val="001B3DB4"/>
    <w:rsid w:val="001B64A1"/>
    <w:rsid w:val="001C0932"/>
    <w:rsid w:val="001C18E2"/>
    <w:rsid w:val="001C2062"/>
    <w:rsid w:val="001C2312"/>
    <w:rsid w:val="001C28DA"/>
    <w:rsid w:val="001C319A"/>
    <w:rsid w:val="001C3593"/>
    <w:rsid w:val="001C5881"/>
    <w:rsid w:val="001D3DF5"/>
    <w:rsid w:val="001D4AFC"/>
    <w:rsid w:val="001E0886"/>
    <w:rsid w:val="001E2A87"/>
    <w:rsid w:val="001E41DB"/>
    <w:rsid w:val="001E4A2E"/>
    <w:rsid w:val="001E659F"/>
    <w:rsid w:val="001E7AC2"/>
    <w:rsid w:val="001F3623"/>
    <w:rsid w:val="001F3920"/>
    <w:rsid w:val="001F5095"/>
    <w:rsid w:val="001F792E"/>
    <w:rsid w:val="001F7AEB"/>
    <w:rsid w:val="00201E15"/>
    <w:rsid w:val="00202BF5"/>
    <w:rsid w:val="00203591"/>
    <w:rsid w:val="0020502D"/>
    <w:rsid w:val="00205382"/>
    <w:rsid w:val="00205D27"/>
    <w:rsid w:val="002107B2"/>
    <w:rsid w:val="00211EFC"/>
    <w:rsid w:val="0021635E"/>
    <w:rsid w:val="002203AB"/>
    <w:rsid w:val="00221373"/>
    <w:rsid w:val="00221C98"/>
    <w:rsid w:val="0022402B"/>
    <w:rsid w:val="00225045"/>
    <w:rsid w:val="00235779"/>
    <w:rsid w:val="00235A03"/>
    <w:rsid w:val="00236B67"/>
    <w:rsid w:val="00237E37"/>
    <w:rsid w:val="00240BD1"/>
    <w:rsid w:val="00240E59"/>
    <w:rsid w:val="00240E86"/>
    <w:rsid w:val="002424E5"/>
    <w:rsid w:val="00245E71"/>
    <w:rsid w:val="00252183"/>
    <w:rsid w:val="00252D04"/>
    <w:rsid w:val="00255510"/>
    <w:rsid w:val="00256FFA"/>
    <w:rsid w:val="00262DE3"/>
    <w:rsid w:val="00263EBB"/>
    <w:rsid w:val="00267486"/>
    <w:rsid w:val="00267758"/>
    <w:rsid w:val="002743C3"/>
    <w:rsid w:val="002773A4"/>
    <w:rsid w:val="00277FB1"/>
    <w:rsid w:val="002806A5"/>
    <w:rsid w:val="00282709"/>
    <w:rsid w:val="00282807"/>
    <w:rsid w:val="00283C4E"/>
    <w:rsid w:val="0028759F"/>
    <w:rsid w:val="002910AB"/>
    <w:rsid w:val="00291691"/>
    <w:rsid w:val="0029327C"/>
    <w:rsid w:val="002939B4"/>
    <w:rsid w:val="00293FEC"/>
    <w:rsid w:val="00294CBD"/>
    <w:rsid w:val="00295B2D"/>
    <w:rsid w:val="00296AA3"/>
    <w:rsid w:val="002A133C"/>
    <w:rsid w:val="002A1B3D"/>
    <w:rsid w:val="002A3115"/>
    <w:rsid w:val="002A3D43"/>
    <w:rsid w:val="002A7542"/>
    <w:rsid w:val="002B0A2C"/>
    <w:rsid w:val="002B4C4B"/>
    <w:rsid w:val="002C052B"/>
    <w:rsid w:val="002C1384"/>
    <w:rsid w:val="002C1FA8"/>
    <w:rsid w:val="002C4B91"/>
    <w:rsid w:val="002C4EDD"/>
    <w:rsid w:val="002C60AD"/>
    <w:rsid w:val="002C74B0"/>
    <w:rsid w:val="002C7F45"/>
    <w:rsid w:val="002D0B31"/>
    <w:rsid w:val="002D1456"/>
    <w:rsid w:val="002D24AC"/>
    <w:rsid w:val="002D36DA"/>
    <w:rsid w:val="002D3778"/>
    <w:rsid w:val="002D3BBC"/>
    <w:rsid w:val="002D45B4"/>
    <w:rsid w:val="002D4B62"/>
    <w:rsid w:val="002D539C"/>
    <w:rsid w:val="002D5902"/>
    <w:rsid w:val="002D6EFF"/>
    <w:rsid w:val="002D76CF"/>
    <w:rsid w:val="002E2BCE"/>
    <w:rsid w:val="002E5050"/>
    <w:rsid w:val="002E52A1"/>
    <w:rsid w:val="002F0D46"/>
    <w:rsid w:val="002F2CFA"/>
    <w:rsid w:val="002F5423"/>
    <w:rsid w:val="002F77BF"/>
    <w:rsid w:val="00300265"/>
    <w:rsid w:val="0030275E"/>
    <w:rsid w:val="00302990"/>
    <w:rsid w:val="00304B0C"/>
    <w:rsid w:val="003076E0"/>
    <w:rsid w:val="003107C9"/>
    <w:rsid w:val="00311067"/>
    <w:rsid w:val="00312F3E"/>
    <w:rsid w:val="003145A5"/>
    <w:rsid w:val="003161CE"/>
    <w:rsid w:val="0031780B"/>
    <w:rsid w:val="00317AFF"/>
    <w:rsid w:val="00321D6D"/>
    <w:rsid w:val="003262C7"/>
    <w:rsid w:val="00326AAF"/>
    <w:rsid w:val="00326ECB"/>
    <w:rsid w:val="00330444"/>
    <w:rsid w:val="00331404"/>
    <w:rsid w:val="00331507"/>
    <w:rsid w:val="003333AF"/>
    <w:rsid w:val="003348B5"/>
    <w:rsid w:val="00334A8D"/>
    <w:rsid w:val="003352A9"/>
    <w:rsid w:val="00335DE6"/>
    <w:rsid w:val="00336F49"/>
    <w:rsid w:val="00337CC9"/>
    <w:rsid w:val="003411FF"/>
    <w:rsid w:val="00342071"/>
    <w:rsid w:val="00342477"/>
    <w:rsid w:val="003428DF"/>
    <w:rsid w:val="003435A6"/>
    <w:rsid w:val="00343E54"/>
    <w:rsid w:val="00344D91"/>
    <w:rsid w:val="00345D7B"/>
    <w:rsid w:val="0034636A"/>
    <w:rsid w:val="00350C5B"/>
    <w:rsid w:val="00350EFF"/>
    <w:rsid w:val="00353AE0"/>
    <w:rsid w:val="003564AF"/>
    <w:rsid w:val="00356A92"/>
    <w:rsid w:val="00357296"/>
    <w:rsid w:val="00357E04"/>
    <w:rsid w:val="00361228"/>
    <w:rsid w:val="003630F2"/>
    <w:rsid w:val="003635D3"/>
    <w:rsid w:val="00364CC6"/>
    <w:rsid w:val="00365D0A"/>
    <w:rsid w:val="00366433"/>
    <w:rsid w:val="0037057F"/>
    <w:rsid w:val="00370BC6"/>
    <w:rsid w:val="00373786"/>
    <w:rsid w:val="00373FCD"/>
    <w:rsid w:val="003758B1"/>
    <w:rsid w:val="00381BC0"/>
    <w:rsid w:val="00382574"/>
    <w:rsid w:val="00382F4F"/>
    <w:rsid w:val="003830AC"/>
    <w:rsid w:val="00384F78"/>
    <w:rsid w:val="0038711A"/>
    <w:rsid w:val="0039064D"/>
    <w:rsid w:val="003908FA"/>
    <w:rsid w:val="00393226"/>
    <w:rsid w:val="0039324D"/>
    <w:rsid w:val="00394C27"/>
    <w:rsid w:val="00395175"/>
    <w:rsid w:val="00395DCF"/>
    <w:rsid w:val="003962B1"/>
    <w:rsid w:val="003A12DC"/>
    <w:rsid w:val="003A1706"/>
    <w:rsid w:val="003A2DE3"/>
    <w:rsid w:val="003A61DE"/>
    <w:rsid w:val="003B2E3D"/>
    <w:rsid w:val="003B3632"/>
    <w:rsid w:val="003B4A6B"/>
    <w:rsid w:val="003B602F"/>
    <w:rsid w:val="003C0692"/>
    <w:rsid w:val="003C1982"/>
    <w:rsid w:val="003C5EE2"/>
    <w:rsid w:val="003C614B"/>
    <w:rsid w:val="003D0725"/>
    <w:rsid w:val="003D0B78"/>
    <w:rsid w:val="003D1D1A"/>
    <w:rsid w:val="003D2714"/>
    <w:rsid w:val="003D4186"/>
    <w:rsid w:val="003D46E0"/>
    <w:rsid w:val="003D56B8"/>
    <w:rsid w:val="003D6805"/>
    <w:rsid w:val="003D76B8"/>
    <w:rsid w:val="003D7851"/>
    <w:rsid w:val="003D7CE7"/>
    <w:rsid w:val="003E29F3"/>
    <w:rsid w:val="003E2F24"/>
    <w:rsid w:val="003E33F2"/>
    <w:rsid w:val="003E605F"/>
    <w:rsid w:val="003E6817"/>
    <w:rsid w:val="003E7B3A"/>
    <w:rsid w:val="003F0940"/>
    <w:rsid w:val="003F10C8"/>
    <w:rsid w:val="003F29BD"/>
    <w:rsid w:val="003F2B52"/>
    <w:rsid w:val="003F3961"/>
    <w:rsid w:val="003F3A03"/>
    <w:rsid w:val="003F3F30"/>
    <w:rsid w:val="003F6026"/>
    <w:rsid w:val="003F788D"/>
    <w:rsid w:val="00401405"/>
    <w:rsid w:val="0040287B"/>
    <w:rsid w:val="0040661C"/>
    <w:rsid w:val="004073B3"/>
    <w:rsid w:val="00410006"/>
    <w:rsid w:val="0041044F"/>
    <w:rsid w:val="00412A83"/>
    <w:rsid w:val="00413388"/>
    <w:rsid w:val="004135B4"/>
    <w:rsid w:val="004140D9"/>
    <w:rsid w:val="00414CEC"/>
    <w:rsid w:val="00415A60"/>
    <w:rsid w:val="004211CC"/>
    <w:rsid w:val="00423F2A"/>
    <w:rsid w:val="004244EF"/>
    <w:rsid w:val="00424809"/>
    <w:rsid w:val="00424A0C"/>
    <w:rsid w:val="0043080F"/>
    <w:rsid w:val="00431BE9"/>
    <w:rsid w:val="00432A1F"/>
    <w:rsid w:val="004336EF"/>
    <w:rsid w:val="00433F6F"/>
    <w:rsid w:val="0043488A"/>
    <w:rsid w:val="004361CF"/>
    <w:rsid w:val="00440B78"/>
    <w:rsid w:val="00440C41"/>
    <w:rsid w:val="00440DF2"/>
    <w:rsid w:val="00440F19"/>
    <w:rsid w:val="00441562"/>
    <w:rsid w:val="00442DFF"/>
    <w:rsid w:val="00444133"/>
    <w:rsid w:val="004506BE"/>
    <w:rsid w:val="004506FF"/>
    <w:rsid w:val="0045153E"/>
    <w:rsid w:val="004533D1"/>
    <w:rsid w:val="00455B73"/>
    <w:rsid w:val="00457596"/>
    <w:rsid w:val="00457C94"/>
    <w:rsid w:val="0046025C"/>
    <w:rsid w:val="00462366"/>
    <w:rsid w:val="004629D5"/>
    <w:rsid w:val="00462AE7"/>
    <w:rsid w:val="00463534"/>
    <w:rsid w:val="00464159"/>
    <w:rsid w:val="00466620"/>
    <w:rsid w:val="00470F61"/>
    <w:rsid w:val="00471691"/>
    <w:rsid w:val="004719CF"/>
    <w:rsid w:val="004724C4"/>
    <w:rsid w:val="0047340A"/>
    <w:rsid w:val="00473804"/>
    <w:rsid w:val="004743EC"/>
    <w:rsid w:val="004748B0"/>
    <w:rsid w:val="004843D0"/>
    <w:rsid w:val="004850C9"/>
    <w:rsid w:val="00485A15"/>
    <w:rsid w:val="00486B60"/>
    <w:rsid w:val="00486D77"/>
    <w:rsid w:val="004902F3"/>
    <w:rsid w:val="00491337"/>
    <w:rsid w:val="0049223A"/>
    <w:rsid w:val="00492496"/>
    <w:rsid w:val="00493BA3"/>
    <w:rsid w:val="00494271"/>
    <w:rsid w:val="004942F5"/>
    <w:rsid w:val="004960B4"/>
    <w:rsid w:val="0049694C"/>
    <w:rsid w:val="004972B2"/>
    <w:rsid w:val="004A62DF"/>
    <w:rsid w:val="004A75BE"/>
    <w:rsid w:val="004B3120"/>
    <w:rsid w:val="004B3148"/>
    <w:rsid w:val="004B4CFF"/>
    <w:rsid w:val="004B54E9"/>
    <w:rsid w:val="004B565E"/>
    <w:rsid w:val="004B6A92"/>
    <w:rsid w:val="004B6F9C"/>
    <w:rsid w:val="004B7F32"/>
    <w:rsid w:val="004B7F99"/>
    <w:rsid w:val="004C0280"/>
    <w:rsid w:val="004C13E9"/>
    <w:rsid w:val="004C1A55"/>
    <w:rsid w:val="004C33AE"/>
    <w:rsid w:val="004C3A6B"/>
    <w:rsid w:val="004C42F0"/>
    <w:rsid w:val="004C43A4"/>
    <w:rsid w:val="004C72C4"/>
    <w:rsid w:val="004C76CE"/>
    <w:rsid w:val="004D20EE"/>
    <w:rsid w:val="004D2666"/>
    <w:rsid w:val="004D3594"/>
    <w:rsid w:val="004D6D25"/>
    <w:rsid w:val="004D7489"/>
    <w:rsid w:val="004D7840"/>
    <w:rsid w:val="004E04F7"/>
    <w:rsid w:val="004E0B84"/>
    <w:rsid w:val="004E10F5"/>
    <w:rsid w:val="004E1A44"/>
    <w:rsid w:val="004E1F1C"/>
    <w:rsid w:val="004E3251"/>
    <w:rsid w:val="004E3AF1"/>
    <w:rsid w:val="004E6544"/>
    <w:rsid w:val="004E7802"/>
    <w:rsid w:val="004F009B"/>
    <w:rsid w:val="004F1B57"/>
    <w:rsid w:val="004F207A"/>
    <w:rsid w:val="004F2401"/>
    <w:rsid w:val="004F3A1D"/>
    <w:rsid w:val="004F58D6"/>
    <w:rsid w:val="005027B4"/>
    <w:rsid w:val="00504773"/>
    <w:rsid w:val="005068BC"/>
    <w:rsid w:val="00507161"/>
    <w:rsid w:val="00507773"/>
    <w:rsid w:val="00511D38"/>
    <w:rsid w:val="00513606"/>
    <w:rsid w:val="0051385A"/>
    <w:rsid w:val="00513BDD"/>
    <w:rsid w:val="00516D73"/>
    <w:rsid w:val="0052293F"/>
    <w:rsid w:val="00522F6B"/>
    <w:rsid w:val="00523110"/>
    <w:rsid w:val="0052491C"/>
    <w:rsid w:val="005251C1"/>
    <w:rsid w:val="00526766"/>
    <w:rsid w:val="005268E0"/>
    <w:rsid w:val="00526A34"/>
    <w:rsid w:val="00527744"/>
    <w:rsid w:val="00527DB2"/>
    <w:rsid w:val="005313CD"/>
    <w:rsid w:val="00531980"/>
    <w:rsid w:val="00533531"/>
    <w:rsid w:val="00533650"/>
    <w:rsid w:val="00533F72"/>
    <w:rsid w:val="0053661C"/>
    <w:rsid w:val="00536A57"/>
    <w:rsid w:val="00537979"/>
    <w:rsid w:val="005401FF"/>
    <w:rsid w:val="00540FBE"/>
    <w:rsid w:val="00541033"/>
    <w:rsid w:val="005422E3"/>
    <w:rsid w:val="00542A0E"/>
    <w:rsid w:val="005444C1"/>
    <w:rsid w:val="00545905"/>
    <w:rsid w:val="0054615B"/>
    <w:rsid w:val="005472A5"/>
    <w:rsid w:val="005500FB"/>
    <w:rsid w:val="00550C78"/>
    <w:rsid w:val="00551DFD"/>
    <w:rsid w:val="00552952"/>
    <w:rsid w:val="00552B5F"/>
    <w:rsid w:val="00556A44"/>
    <w:rsid w:val="00557E06"/>
    <w:rsid w:val="005603CF"/>
    <w:rsid w:val="00560A87"/>
    <w:rsid w:val="00560D94"/>
    <w:rsid w:val="0056541D"/>
    <w:rsid w:val="005654AC"/>
    <w:rsid w:val="00565B2E"/>
    <w:rsid w:val="0056627B"/>
    <w:rsid w:val="00566F09"/>
    <w:rsid w:val="005670C9"/>
    <w:rsid w:val="00567462"/>
    <w:rsid w:val="00567D9E"/>
    <w:rsid w:val="00570275"/>
    <w:rsid w:val="00570EF9"/>
    <w:rsid w:val="00571364"/>
    <w:rsid w:val="005724D5"/>
    <w:rsid w:val="00575D97"/>
    <w:rsid w:val="005762C3"/>
    <w:rsid w:val="005779AE"/>
    <w:rsid w:val="00580587"/>
    <w:rsid w:val="00581310"/>
    <w:rsid w:val="0058143D"/>
    <w:rsid w:val="005822A8"/>
    <w:rsid w:val="00582E12"/>
    <w:rsid w:val="0058385E"/>
    <w:rsid w:val="00585AC6"/>
    <w:rsid w:val="00586C9A"/>
    <w:rsid w:val="0059503F"/>
    <w:rsid w:val="0059545D"/>
    <w:rsid w:val="005979DC"/>
    <w:rsid w:val="005A202E"/>
    <w:rsid w:val="005A21E3"/>
    <w:rsid w:val="005A2CE2"/>
    <w:rsid w:val="005A2E6F"/>
    <w:rsid w:val="005A37D0"/>
    <w:rsid w:val="005A4D3F"/>
    <w:rsid w:val="005A6D6C"/>
    <w:rsid w:val="005A6DB6"/>
    <w:rsid w:val="005A6ED8"/>
    <w:rsid w:val="005B2A61"/>
    <w:rsid w:val="005B3CB6"/>
    <w:rsid w:val="005B5439"/>
    <w:rsid w:val="005B78D2"/>
    <w:rsid w:val="005C028E"/>
    <w:rsid w:val="005C2D90"/>
    <w:rsid w:val="005C3EB9"/>
    <w:rsid w:val="005C5DA2"/>
    <w:rsid w:val="005C5DC2"/>
    <w:rsid w:val="005D191C"/>
    <w:rsid w:val="005D6837"/>
    <w:rsid w:val="005D6C4C"/>
    <w:rsid w:val="005E0D33"/>
    <w:rsid w:val="005E2835"/>
    <w:rsid w:val="005E2D1E"/>
    <w:rsid w:val="005E3B88"/>
    <w:rsid w:val="005E4249"/>
    <w:rsid w:val="005E4997"/>
    <w:rsid w:val="005E61F9"/>
    <w:rsid w:val="005E7CE3"/>
    <w:rsid w:val="005F0430"/>
    <w:rsid w:val="005F08EC"/>
    <w:rsid w:val="005F1189"/>
    <w:rsid w:val="005F3BA5"/>
    <w:rsid w:val="005F589F"/>
    <w:rsid w:val="005F58DF"/>
    <w:rsid w:val="006007A2"/>
    <w:rsid w:val="0060301F"/>
    <w:rsid w:val="00605435"/>
    <w:rsid w:val="006109C1"/>
    <w:rsid w:val="006116F4"/>
    <w:rsid w:val="006144EC"/>
    <w:rsid w:val="00614965"/>
    <w:rsid w:val="00614ADC"/>
    <w:rsid w:val="00616877"/>
    <w:rsid w:val="00617EEA"/>
    <w:rsid w:val="006216E7"/>
    <w:rsid w:val="0062250B"/>
    <w:rsid w:val="00622A95"/>
    <w:rsid w:val="006234DE"/>
    <w:rsid w:val="00623ABC"/>
    <w:rsid w:val="0062477F"/>
    <w:rsid w:val="00624EE3"/>
    <w:rsid w:val="00625224"/>
    <w:rsid w:val="00626F2D"/>
    <w:rsid w:val="00627316"/>
    <w:rsid w:val="006316CF"/>
    <w:rsid w:val="006359D1"/>
    <w:rsid w:val="00640DE1"/>
    <w:rsid w:val="0064157C"/>
    <w:rsid w:val="00642566"/>
    <w:rsid w:val="006433EC"/>
    <w:rsid w:val="006443EA"/>
    <w:rsid w:val="0064473F"/>
    <w:rsid w:val="00644AAA"/>
    <w:rsid w:val="0064745E"/>
    <w:rsid w:val="00650116"/>
    <w:rsid w:val="00650ADB"/>
    <w:rsid w:val="00653904"/>
    <w:rsid w:val="006539B9"/>
    <w:rsid w:val="00655C16"/>
    <w:rsid w:val="00656049"/>
    <w:rsid w:val="0065606C"/>
    <w:rsid w:val="00657714"/>
    <w:rsid w:val="00657EA3"/>
    <w:rsid w:val="00662179"/>
    <w:rsid w:val="00663C13"/>
    <w:rsid w:val="00664E7A"/>
    <w:rsid w:val="00666135"/>
    <w:rsid w:val="006679B5"/>
    <w:rsid w:val="00667ED8"/>
    <w:rsid w:val="00670A1B"/>
    <w:rsid w:val="006719FE"/>
    <w:rsid w:val="00671DB1"/>
    <w:rsid w:val="00672440"/>
    <w:rsid w:val="006728B5"/>
    <w:rsid w:val="006732BB"/>
    <w:rsid w:val="006740F7"/>
    <w:rsid w:val="00674B33"/>
    <w:rsid w:val="0067564A"/>
    <w:rsid w:val="0068171B"/>
    <w:rsid w:val="006858AF"/>
    <w:rsid w:val="006865EA"/>
    <w:rsid w:val="00686D67"/>
    <w:rsid w:val="006872CF"/>
    <w:rsid w:val="0069046D"/>
    <w:rsid w:val="00694205"/>
    <w:rsid w:val="00696D0B"/>
    <w:rsid w:val="006A20D1"/>
    <w:rsid w:val="006A3BBC"/>
    <w:rsid w:val="006A47BD"/>
    <w:rsid w:val="006A7E2E"/>
    <w:rsid w:val="006B06A3"/>
    <w:rsid w:val="006B08D7"/>
    <w:rsid w:val="006B0A7A"/>
    <w:rsid w:val="006B1B86"/>
    <w:rsid w:val="006B25FE"/>
    <w:rsid w:val="006B2F1C"/>
    <w:rsid w:val="006B428F"/>
    <w:rsid w:val="006B52B0"/>
    <w:rsid w:val="006B5B2D"/>
    <w:rsid w:val="006B5E23"/>
    <w:rsid w:val="006B5FA5"/>
    <w:rsid w:val="006B6DE4"/>
    <w:rsid w:val="006C10BC"/>
    <w:rsid w:val="006C1C90"/>
    <w:rsid w:val="006C425B"/>
    <w:rsid w:val="006C4D85"/>
    <w:rsid w:val="006C4D8A"/>
    <w:rsid w:val="006C5037"/>
    <w:rsid w:val="006C59BD"/>
    <w:rsid w:val="006C6A36"/>
    <w:rsid w:val="006C7EDF"/>
    <w:rsid w:val="006D0081"/>
    <w:rsid w:val="006D0624"/>
    <w:rsid w:val="006D2063"/>
    <w:rsid w:val="006D2E8E"/>
    <w:rsid w:val="006D7649"/>
    <w:rsid w:val="006D7E59"/>
    <w:rsid w:val="006E035E"/>
    <w:rsid w:val="006E3EA5"/>
    <w:rsid w:val="006E6B2E"/>
    <w:rsid w:val="006E7F9A"/>
    <w:rsid w:val="006F1A0B"/>
    <w:rsid w:val="006F39D6"/>
    <w:rsid w:val="006F4FF6"/>
    <w:rsid w:val="006F546F"/>
    <w:rsid w:val="006F6F4E"/>
    <w:rsid w:val="00700D5B"/>
    <w:rsid w:val="00701DD2"/>
    <w:rsid w:val="00703C57"/>
    <w:rsid w:val="0070452E"/>
    <w:rsid w:val="00705307"/>
    <w:rsid w:val="00705C49"/>
    <w:rsid w:val="00710304"/>
    <w:rsid w:val="0071097C"/>
    <w:rsid w:val="007109BB"/>
    <w:rsid w:val="00710A14"/>
    <w:rsid w:val="00710DF6"/>
    <w:rsid w:val="00711502"/>
    <w:rsid w:val="007130F8"/>
    <w:rsid w:val="0071327A"/>
    <w:rsid w:val="00714F7A"/>
    <w:rsid w:val="007156A6"/>
    <w:rsid w:val="00722B1B"/>
    <w:rsid w:val="0072518E"/>
    <w:rsid w:val="007267EC"/>
    <w:rsid w:val="00731723"/>
    <w:rsid w:val="00732BBD"/>
    <w:rsid w:val="00733BB5"/>
    <w:rsid w:val="00734566"/>
    <w:rsid w:val="007355F3"/>
    <w:rsid w:val="007360D9"/>
    <w:rsid w:val="00740175"/>
    <w:rsid w:val="0074031D"/>
    <w:rsid w:val="0074099B"/>
    <w:rsid w:val="00743F53"/>
    <w:rsid w:val="0074600A"/>
    <w:rsid w:val="00752B90"/>
    <w:rsid w:val="00752E78"/>
    <w:rsid w:val="007534BD"/>
    <w:rsid w:val="00756612"/>
    <w:rsid w:val="007571F3"/>
    <w:rsid w:val="0075733A"/>
    <w:rsid w:val="00762126"/>
    <w:rsid w:val="00762FF5"/>
    <w:rsid w:val="00763E92"/>
    <w:rsid w:val="007641CB"/>
    <w:rsid w:val="007646FE"/>
    <w:rsid w:val="00764A07"/>
    <w:rsid w:val="00765FF6"/>
    <w:rsid w:val="007660C4"/>
    <w:rsid w:val="007737FB"/>
    <w:rsid w:val="00774941"/>
    <w:rsid w:val="00775421"/>
    <w:rsid w:val="00776D56"/>
    <w:rsid w:val="00780475"/>
    <w:rsid w:val="007804E6"/>
    <w:rsid w:val="00780C31"/>
    <w:rsid w:val="00781327"/>
    <w:rsid w:val="0078284E"/>
    <w:rsid w:val="00782C46"/>
    <w:rsid w:val="007833B9"/>
    <w:rsid w:val="00784D7A"/>
    <w:rsid w:val="0078588D"/>
    <w:rsid w:val="00785F79"/>
    <w:rsid w:val="00790D3F"/>
    <w:rsid w:val="00792A72"/>
    <w:rsid w:val="00793111"/>
    <w:rsid w:val="007936C3"/>
    <w:rsid w:val="00793726"/>
    <w:rsid w:val="007945B6"/>
    <w:rsid w:val="007A2732"/>
    <w:rsid w:val="007A2B2D"/>
    <w:rsid w:val="007A3FBF"/>
    <w:rsid w:val="007A5D7F"/>
    <w:rsid w:val="007A6A0B"/>
    <w:rsid w:val="007A7984"/>
    <w:rsid w:val="007B135F"/>
    <w:rsid w:val="007B2B55"/>
    <w:rsid w:val="007B3C14"/>
    <w:rsid w:val="007B774E"/>
    <w:rsid w:val="007C0882"/>
    <w:rsid w:val="007C1043"/>
    <w:rsid w:val="007C14DF"/>
    <w:rsid w:val="007C32D4"/>
    <w:rsid w:val="007C4161"/>
    <w:rsid w:val="007C4BE1"/>
    <w:rsid w:val="007C51EF"/>
    <w:rsid w:val="007C6F74"/>
    <w:rsid w:val="007C7751"/>
    <w:rsid w:val="007D20E3"/>
    <w:rsid w:val="007D419F"/>
    <w:rsid w:val="007D4228"/>
    <w:rsid w:val="007D6D69"/>
    <w:rsid w:val="007D6F29"/>
    <w:rsid w:val="007D735A"/>
    <w:rsid w:val="007E0DDC"/>
    <w:rsid w:val="007E1014"/>
    <w:rsid w:val="007F0584"/>
    <w:rsid w:val="007F093A"/>
    <w:rsid w:val="007F11B8"/>
    <w:rsid w:val="007F3EEA"/>
    <w:rsid w:val="007F5CA2"/>
    <w:rsid w:val="007F65C7"/>
    <w:rsid w:val="008023FD"/>
    <w:rsid w:val="00802845"/>
    <w:rsid w:val="00803299"/>
    <w:rsid w:val="0081282F"/>
    <w:rsid w:val="0081339B"/>
    <w:rsid w:val="008139DE"/>
    <w:rsid w:val="008139F4"/>
    <w:rsid w:val="00816216"/>
    <w:rsid w:val="008165EA"/>
    <w:rsid w:val="00816907"/>
    <w:rsid w:val="00816CF0"/>
    <w:rsid w:val="0081790A"/>
    <w:rsid w:val="00821CF3"/>
    <w:rsid w:val="0082217E"/>
    <w:rsid w:val="00822E49"/>
    <w:rsid w:val="00822E96"/>
    <w:rsid w:val="00824063"/>
    <w:rsid w:val="00825D16"/>
    <w:rsid w:val="00825E2A"/>
    <w:rsid w:val="008267EE"/>
    <w:rsid w:val="00826B49"/>
    <w:rsid w:val="00826BB1"/>
    <w:rsid w:val="00827717"/>
    <w:rsid w:val="00830A74"/>
    <w:rsid w:val="008316EF"/>
    <w:rsid w:val="0083273C"/>
    <w:rsid w:val="008331C1"/>
    <w:rsid w:val="008379B1"/>
    <w:rsid w:val="008409F1"/>
    <w:rsid w:val="008424D3"/>
    <w:rsid w:val="00842FF3"/>
    <w:rsid w:val="008443F6"/>
    <w:rsid w:val="00846C3B"/>
    <w:rsid w:val="00850C34"/>
    <w:rsid w:val="00850F04"/>
    <w:rsid w:val="00851B1A"/>
    <w:rsid w:val="00851C29"/>
    <w:rsid w:val="00852756"/>
    <w:rsid w:val="0085288D"/>
    <w:rsid w:val="0085309B"/>
    <w:rsid w:val="008543E1"/>
    <w:rsid w:val="008549B6"/>
    <w:rsid w:val="00855332"/>
    <w:rsid w:val="0085725A"/>
    <w:rsid w:val="0086068B"/>
    <w:rsid w:val="008620B4"/>
    <w:rsid w:val="00862B0B"/>
    <w:rsid w:val="00865910"/>
    <w:rsid w:val="00870DBE"/>
    <w:rsid w:val="008723EF"/>
    <w:rsid w:val="0087301D"/>
    <w:rsid w:val="00873818"/>
    <w:rsid w:val="00873F7F"/>
    <w:rsid w:val="00874239"/>
    <w:rsid w:val="00874269"/>
    <w:rsid w:val="00877A6D"/>
    <w:rsid w:val="00881AFF"/>
    <w:rsid w:val="00882301"/>
    <w:rsid w:val="00886903"/>
    <w:rsid w:val="00890F00"/>
    <w:rsid w:val="0089283A"/>
    <w:rsid w:val="00894204"/>
    <w:rsid w:val="00895A94"/>
    <w:rsid w:val="00896702"/>
    <w:rsid w:val="0089696C"/>
    <w:rsid w:val="00897A46"/>
    <w:rsid w:val="008A12DA"/>
    <w:rsid w:val="008A3EA7"/>
    <w:rsid w:val="008A4677"/>
    <w:rsid w:val="008A5DB2"/>
    <w:rsid w:val="008B092F"/>
    <w:rsid w:val="008B09EE"/>
    <w:rsid w:val="008B1A1A"/>
    <w:rsid w:val="008B1FF2"/>
    <w:rsid w:val="008B2496"/>
    <w:rsid w:val="008B376D"/>
    <w:rsid w:val="008B4BFE"/>
    <w:rsid w:val="008B5E1F"/>
    <w:rsid w:val="008B7A72"/>
    <w:rsid w:val="008B7D97"/>
    <w:rsid w:val="008C255E"/>
    <w:rsid w:val="008C7062"/>
    <w:rsid w:val="008D0C3C"/>
    <w:rsid w:val="008D1E50"/>
    <w:rsid w:val="008D2B61"/>
    <w:rsid w:val="008D51B8"/>
    <w:rsid w:val="008D72E6"/>
    <w:rsid w:val="008E0178"/>
    <w:rsid w:val="008E0B6D"/>
    <w:rsid w:val="008E1F7D"/>
    <w:rsid w:val="008E2810"/>
    <w:rsid w:val="008E6C46"/>
    <w:rsid w:val="008F24FD"/>
    <w:rsid w:val="008F3574"/>
    <w:rsid w:val="008F4657"/>
    <w:rsid w:val="0090042E"/>
    <w:rsid w:val="00901597"/>
    <w:rsid w:val="00904A3E"/>
    <w:rsid w:val="0090687A"/>
    <w:rsid w:val="00907144"/>
    <w:rsid w:val="009078EE"/>
    <w:rsid w:val="00907A65"/>
    <w:rsid w:val="00910DEE"/>
    <w:rsid w:val="00913362"/>
    <w:rsid w:val="009140C4"/>
    <w:rsid w:val="00916593"/>
    <w:rsid w:val="00916B1C"/>
    <w:rsid w:val="00916DBA"/>
    <w:rsid w:val="00917B7E"/>
    <w:rsid w:val="009215B7"/>
    <w:rsid w:val="00922C46"/>
    <w:rsid w:val="00923BDB"/>
    <w:rsid w:val="009242EA"/>
    <w:rsid w:val="00924381"/>
    <w:rsid w:val="00925988"/>
    <w:rsid w:val="00926C91"/>
    <w:rsid w:val="00927DD1"/>
    <w:rsid w:val="00931079"/>
    <w:rsid w:val="009314BE"/>
    <w:rsid w:val="00931BAE"/>
    <w:rsid w:val="00931E54"/>
    <w:rsid w:val="00932281"/>
    <w:rsid w:val="00933384"/>
    <w:rsid w:val="00934D2C"/>
    <w:rsid w:val="00934E0C"/>
    <w:rsid w:val="00935407"/>
    <w:rsid w:val="009402A5"/>
    <w:rsid w:val="009411A4"/>
    <w:rsid w:val="0094121E"/>
    <w:rsid w:val="009422D4"/>
    <w:rsid w:val="009427B5"/>
    <w:rsid w:val="009453BC"/>
    <w:rsid w:val="009457DA"/>
    <w:rsid w:val="00945BA6"/>
    <w:rsid w:val="00946FD0"/>
    <w:rsid w:val="0095041C"/>
    <w:rsid w:val="00953A46"/>
    <w:rsid w:val="009548A5"/>
    <w:rsid w:val="00955007"/>
    <w:rsid w:val="009550FD"/>
    <w:rsid w:val="00955DFC"/>
    <w:rsid w:val="0096111A"/>
    <w:rsid w:val="009611A2"/>
    <w:rsid w:val="009642B6"/>
    <w:rsid w:val="0097078C"/>
    <w:rsid w:val="00972799"/>
    <w:rsid w:val="00974A56"/>
    <w:rsid w:val="00976D34"/>
    <w:rsid w:val="00977E8D"/>
    <w:rsid w:val="0098078B"/>
    <w:rsid w:val="00986A33"/>
    <w:rsid w:val="00987C33"/>
    <w:rsid w:val="00991F79"/>
    <w:rsid w:val="0099624C"/>
    <w:rsid w:val="00996906"/>
    <w:rsid w:val="00997435"/>
    <w:rsid w:val="009A0674"/>
    <w:rsid w:val="009A31D3"/>
    <w:rsid w:val="009A550B"/>
    <w:rsid w:val="009A58AB"/>
    <w:rsid w:val="009A5B98"/>
    <w:rsid w:val="009A5BB2"/>
    <w:rsid w:val="009A6558"/>
    <w:rsid w:val="009A67AF"/>
    <w:rsid w:val="009A6C69"/>
    <w:rsid w:val="009A6CCE"/>
    <w:rsid w:val="009A7545"/>
    <w:rsid w:val="009A7798"/>
    <w:rsid w:val="009B293C"/>
    <w:rsid w:val="009B2DDF"/>
    <w:rsid w:val="009B3A34"/>
    <w:rsid w:val="009B415A"/>
    <w:rsid w:val="009B472A"/>
    <w:rsid w:val="009B6F4F"/>
    <w:rsid w:val="009B78DB"/>
    <w:rsid w:val="009C0F45"/>
    <w:rsid w:val="009C2993"/>
    <w:rsid w:val="009C37F6"/>
    <w:rsid w:val="009C64EC"/>
    <w:rsid w:val="009C7554"/>
    <w:rsid w:val="009D05C1"/>
    <w:rsid w:val="009D0CF4"/>
    <w:rsid w:val="009D15B0"/>
    <w:rsid w:val="009D3471"/>
    <w:rsid w:val="009D69ED"/>
    <w:rsid w:val="009E0E59"/>
    <w:rsid w:val="009E0F04"/>
    <w:rsid w:val="009E2233"/>
    <w:rsid w:val="009E3402"/>
    <w:rsid w:val="009E3473"/>
    <w:rsid w:val="009E3CCC"/>
    <w:rsid w:val="009E4101"/>
    <w:rsid w:val="009E49FB"/>
    <w:rsid w:val="009E4F91"/>
    <w:rsid w:val="009E5DAB"/>
    <w:rsid w:val="009F0978"/>
    <w:rsid w:val="009F163B"/>
    <w:rsid w:val="009F1D76"/>
    <w:rsid w:val="009F5450"/>
    <w:rsid w:val="009F7580"/>
    <w:rsid w:val="00A00B13"/>
    <w:rsid w:val="00A01D8D"/>
    <w:rsid w:val="00A02ED9"/>
    <w:rsid w:val="00A044B5"/>
    <w:rsid w:val="00A04892"/>
    <w:rsid w:val="00A05E96"/>
    <w:rsid w:val="00A061FC"/>
    <w:rsid w:val="00A0725F"/>
    <w:rsid w:val="00A07390"/>
    <w:rsid w:val="00A0798E"/>
    <w:rsid w:val="00A13335"/>
    <w:rsid w:val="00A15BB3"/>
    <w:rsid w:val="00A16CF2"/>
    <w:rsid w:val="00A24A10"/>
    <w:rsid w:val="00A24FE8"/>
    <w:rsid w:val="00A253B3"/>
    <w:rsid w:val="00A26AB4"/>
    <w:rsid w:val="00A270B9"/>
    <w:rsid w:val="00A30A00"/>
    <w:rsid w:val="00A344EF"/>
    <w:rsid w:val="00A368B5"/>
    <w:rsid w:val="00A40ACE"/>
    <w:rsid w:val="00A41AB8"/>
    <w:rsid w:val="00A423C8"/>
    <w:rsid w:val="00A42B52"/>
    <w:rsid w:val="00A452C1"/>
    <w:rsid w:val="00A45DA3"/>
    <w:rsid w:val="00A50C65"/>
    <w:rsid w:val="00A50C9F"/>
    <w:rsid w:val="00A52B82"/>
    <w:rsid w:val="00A52BC4"/>
    <w:rsid w:val="00A5314E"/>
    <w:rsid w:val="00A53C20"/>
    <w:rsid w:val="00A5595E"/>
    <w:rsid w:val="00A57FB9"/>
    <w:rsid w:val="00A60E2D"/>
    <w:rsid w:val="00A6221D"/>
    <w:rsid w:val="00A653BB"/>
    <w:rsid w:val="00A65574"/>
    <w:rsid w:val="00A67011"/>
    <w:rsid w:val="00A677A4"/>
    <w:rsid w:val="00A71BD5"/>
    <w:rsid w:val="00A7220F"/>
    <w:rsid w:val="00A74CBD"/>
    <w:rsid w:val="00A75E22"/>
    <w:rsid w:val="00A76206"/>
    <w:rsid w:val="00A80344"/>
    <w:rsid w:val="00A80911"/>
    <w:rsid w:val="00A80F35"/>
    <w:rsid w:val="00A811DB"/>
    <w:rsid w:val="00A81C90"/>
    <w:rsid w:val="00A83E9B"/>
    <w:rsid w:val="00A863A7"/>
    <w:rsid w:val="00A875E0"/>
    <w:rsid w:val="00A90637"/>
    <w:rsid w:val="00A93989"/>
    <w:rsid w:val="00A95317"/>
    <w:rsid w:val="00A96545"/>
    <w:rsid w:val="00AA0138"/>
    <w:rsid w:val="00AA06BA"/>
    <w:rsid w:val="00AA2955"/>
    <w:rsid w:val="00AA2AD3"/>
    <w:rsid w:val="00AA489D"/>
    <w:rsid w:val="00AA4A92"/>
    <w:rsid w:val="00AA52CC"/>
    <w:rsid w:val="00AA709D"/>
    <w:rsid w:val="00AB3FDB"/>
    <w:rsid w:val="00AB431D"/>
    <w:rsid w:val="00AB49FC"/>
    <w:rsid w:val="00AB4F81"/>
    <w:rsid w:val="00AB7DCC"/>
    <w:rsid w:val="00AC2467"/>
    <w:rsid w:val="00AC2C37"/>
    <w:rsid w:val="00AC3066"/>
    <w:rsid w:val="00AC5F56"/>
    <w:rsid w:val="00AC65C2"/>
    <w:rsid w:val="00AD2E39"/>
    <w:rsid w:val="00AD6C78"/>
    <w:rsid w:val="00AD751F"/>
    <w:rsid w:val="00AD76E8"/>
    <w:rsid w:val="00AE4A24"/>
    <w:rsid w:val="00AF0D8C"/>
    <w:rsid w:val="00AF2026"/>
    <w:rsid w:val="00AF2AA7"/>
    <w:rsid w:val="00AF2F09"/>
    <w:rsid w:val="00AF4E8C"/>
    <w:rsid w:val="00B00002"/>
    <w:rsid w:val="00B0046E"/>
    <w:rsid w:val="00B01BE5"/>
    <w:rsid w:val="00B01D33"/>
    <w:rsid w:val="00B02D4F"/>
    <w:rsid w:val="00B037C8"/>
    <w:rsid w:val="00B14DDE"/>
    <w:rsid w:val="00B15E75"/>
    <w:rsid w:val="00B16C25"/>
    <w:rsid w:val="00B221D2"/>
    <w:rsid w:val="00B224F4"/>
    <w:rsid w:val="00B22D2B"/>
    <w:rsid w:val="00B23051"/>
    <w:rsid w:val="00B235ED"/>
    <w:rsid w:val="00B23854"/>
    <w:rsid w:val="00B24F71"/>
    <w:rsid w:val="00B251A2"/>
    <w:rsid w:val="00B25A6D"/>
    <w:rsid w:val="00B2605C"/>
    <w:rsid w:val="00B26064"/>
    <w:rsid w:val="00B269B5"/>
    <w:rsid w:val="00B26E22"/>
    <w:rsid w:val="00B279E2"/>
    <w:rsid w:val="00B30435"/>
    <w:rsid w:val="00B30453"/>
    <w:rsid w:val="00B3123A"/>
    <w:rsid w:val="00B314C5"/>
    <w:rsid w:val="00B331CF"/>
    <w:rsid w:val="00B33D84"/>
    <w:rsid w:val="00B355DA"/>
    <w:rsid w:val="00B3610A"/>
    <w:rsid w:val="00B42CA7"/>
    <w:rsid w:val="00B4425C"/>
    <w:rsid w:val="00B45ED7"/>
    <w:rsid w:val="00B47183"/>
    <w:rsid w:val="00B474C7"/>
    <w:rsid w:val="00B503F9"/>
    <w:rsid w:val="00B51293"/>
    <w:rsid w:val="00B514B8"/>
    <w:rsid w:val="00B525C1"/>
    <w:rsid w:val="00B53292"/>
    <w:rsid w:val="00B53A72"/>
    <w:rsid w:val="00B54516"/>
    <w:rsid w:val="00B553F8"/>
    <w:rsid w:val="00B55B1A"/>
    <w:rsid w:val="00B57015"/>
    <w:rsid w:val="00B5755B"/>
    <w:rsid w:val="00B61D84"/>
    <w:rsid w:val="00B620A5"/>
    <w:rsid w:val="00B627D0"/>
    <w:rsid w:val="00B638BA"/>
    <w:rsid w:val="00B647EA"/>
    <w:rsid w:val="00B64C23"/>
    <w:rsid w:val="00B64E37"/>
    <w:rsid w:val="00B65636"/>
    <w:rsid w:val="00B657AC"/>
    <w:rsid w:val="00B703D9"/>
    <w:rsid w:val="00B70451"/>
    <w:rsid w:val="00B705F1"/>
    <w:rsid w:val="00B718A1"/>
    <w:rsid w:val="00B719E8"/>
    <w:rsid w:val="00B72BF0"/>
    <w:rsid w:val="00B730A9"/>
    <w:rsid w:val="00B7537C"/>
    <w:rsid w:val="00B75B52"/>
    <w:rsid w:val="00B76090"/>
    <w:rsid w:val="00B802D2"/>
    <w:rsid w:val="00B80B2A"/>
    <w:rsid w:val="00B84645"/>
    <w:rsid w:val="00B84970"/>
    <w:rsid w:val="00B861F8"/>
    <w:rsid w:val="00B8792C"/>
    <w:rsid w:val="00B90EF9"/>
    <w:rsid w:val="00B93E0C"/>
    <w:rsid w:val="00B93E93"/>
    <w:rsid w:val="00B940C6"/>
    <w:rsid w:val="00B9536C"/>
    <w:rsid w:val="00BA04BA"/>
    <w:rsid w:val="00BA4194"/>
    <w:rsid w:val="00BA79D9"/>
    <w:rsid w:val="00BB0F16"/>
    <w:rsid w:val="00BB13D2"/>
    <w:rsid w:val="00BB2FE6"/>
    <w:rsid w:val="00BB32B9"/>
    <w:rsid w:val="00BB3916"/>
    <w:rsid w:val="00BB56BD"/>
    <w:rsid w:val="00BC041D"/>
    <w:rsid w:val="00BC1999"/>
    <w:rsid w:val="00BC285D"/>
    <w:rsid w:val="00BC4296"/>
    <w:rsid w:val="00BC44A2"/>
    <w:rsid w:val="00BC6153"/>
    <w:rsid w:val="00BC61CD"/>
    <w:rsid w:val="00BC6298"/>
    <w:rsid w:val="00BC62C3"/>
    <w:rsid w:val="00BD038E"/>
    <w:rsid w:val="00BD2529"/>
    <w:rsid w:val="00BD272F"/>
    <w:rsid w:val="00BD598C"/>
    <w:rsid w:val="00BD7AEB"/>
    <w:rsid w:val="00BE0542"/>
    <w:rsid w:val="00BE1EC4"/>
    <w:rsid w:val="00BE2FB1"/>
    <w:rsid w:val="00BE4748"/>
    <w:rsid w:val="00BE5E61"/>
    <w:rsid w:val="00BE64B5"/>
    <w:rsid w:val="00BE6ECE"/>
    <w:rsid w:val="00BF278F"/>
    <w:rsid w:val="00BF4CEF"/>
    <w:rsid w:val="00BF4EE7"/>
    <w:rsid w:val="00BF5D15"/>
    <w:rsid w:val="00BF6B43"/>
    <w:rsid w:val="00BF7208"/>
    <w:rsid w:val="00C03B2D"/>
    <w:rsid w:val="00C03C20"/>
    <w:rsid w:val="00C0413C"/>
    <w:rsid w:val="00C054C7"/>
    <w:rsid w:val="00C128C6"/>
    <w:rsid w:val="00C152E8"/>
    <w:rsid w:val="00C16784"/>
    <w:rsid w:val="00C222BF"/>
    <w:rsid w:val="00C224A9"/>
    <w:rsid w:val="00C23EC6"/>
    <w:rsid w:val="00C25332"/>
    <w:rsid w:val="00C259AF"/>
    <w:rsid w:val="00C2637F"/>
    <w:rsid w:val="00C307D6"/>
    <w:rsid w:val="00C30B4B"/>
    <w:rsid w:val="00C3290A"/>
    <w:rsid w:val="00C3387C"/>
    <w:rsid w:val="00C345CC"/>
    <w:rsid w:val="00C34B0A"/>
    <w:rsid w:val="00C36EEA"/>
    <w:rsid w:val="00C371D5"/>
    <w:rsid w:val="00C402A6"/>
    <w:rsid w:val="00C40BB5"/>
    <w:rsid w:val="00C43F05"/>
    <w:rsid w:val="00C4655D"/>
    <w:rsid w:val="00C46A44"/>
    <w:rsid w:val="00C46AF8"/>
    <w:rsid w:val="00C47133"/>
    <w:rsid w:val="00C477F3"/>
    <w:rsid w:val="00C508E4"/>
    <w:rsid w:val="00C5468E"/>
    <w:rsid w:val="00C54C77"/>
    <w:rsid w:val="00C54E4F"/>
    <w:rsid w:val="00C61BE9"/>
    <w:rsid w:val="00C61C97"/>
    <w:rsid w:val="00C62834"/>
    <w:rsid w:val="00C63174"/>
    <w:rsid w:val="00C63576"/>
    <w:rsid w:val="00C63F05"/>
    <w:rsid w:val="00C64B4D"/>
    <w:rsid w:val="00C67B17"/>
    <w:rsid w:val="00C7142A"/>
    <w:rsid w:val="00C72476"/>
    <w:rsid w:val="00C74245"/>
    <w:rsid w:val="00C746FA"/>
    <w:rsid w:val="00C749FE"/>
    <w:rsid w:val="00C75107"/>
    <w:rsid w:val="00C7529A"/>
    <w:rsid w:val="00C75831"/>
    <w:rsid w:val="00C84339"/>
    <w:rsid w:val="00C846DB"/>
    <w:rsid w:val="00C849EA"/>
    <w:rsid w:val="00C84E85"/>
    <w:rsid w:val="00C85D82"/>
    <w:rsid w:val="00C87130"/>
    <w:rsid w:val="00C919E7"/>
    <w:rsid w:val="00C91E20"/>
    <w:rsid w:val="00C953FB"/>
    <w:rsid w:val="00C9581C"/>
    <w:rsid w:val="00CA08D7"/>
    <w:rsid w:val="00CA0E93"/>
    <w:rsid w:val="00CA2544"/>
    <w:rsid w:val="00CA2B37"/>
    <w:rsid w:val="00CA3008"/>
    <w:rsid w:val="00CA3FF7"/>
    <w:rsid w:val="00CB0F42"/>
    <w:rsid w:val="00CB13D1"/>
    <w:rsid w:val="00CB2CD8"/>
    <w:rsid w:val="00CB2E7E"/>
    <w:rsid w:val="00CB5A04"/>
    <w:rsid w:val="00CB5BBC"/>
    <w:rsid w:val="00CB6826"/>
    <w:rsid w:val="00CC0761"/>
    <w:rsid w:val="00CC1E17"/>
    <w:rsid w:val="00CC4326"/>
    <w:rsid w:val="00CC4686"/>
    <w:rsid w:val="00CC71B4"/>
    <w:rsid w:val="00CD088E"/>
    <w:rsid w:val="00CD1620"/>
    <w:rsid w:val="00CD23AF"/>
    <w:rsid w:val="00CD4BBA"/>
    <w:rsid w:val="00CD6909"/>
    <w:rsid w:val="00CE06E3"/>
    <w:rsid w:val="00CE0E57"/>
    <w:rsid w:val="00CE0EAA"/>
    <w:rsid w:val="00CE237A"/>
    <w:rsid w:val="00CE27E1"/>
    <w:rsid w:val="00CE3B71"/>
    <w:rsid w:val="00CE4379"/>
    <w:rsid w:val="00CE457E"/>
    <w:rsid w:val="00CE4FC8"/>
    <w:rsid w:val="00CE6A40"/>
    <w:rsid w:val="00CE6C5B"/>
    <w:rsid w:val="00CF02B1"/>
    <w:rsid w:val="00CF113C"/>
    <w:rsid w:val="00CF1900"/>
    <w:rsid w:val="00CF1B4D"/>
    <w:rsid w:val="00CF52F4"/>
    <w:rsid w:val="00CF5D04"/>
    <w:rsid w:val="00CF5F3A"/>
    <w:rsid w:val="00D00B95"/>
    <w:rsid w:val="00D03E61"/>
    <w:rsid w:val="00D0472A"/>
    <w:rsid w:val="00D05F1A"/>
    <w:rsid w:val="00D068C3"/>
    <w:rsid w:val="00D1249E"/>
    <w:rsid w:val="00D13563"/>
    <w:rsid w:val="00D13A65"/>
    <w:rsid w:val="00D13C3D"/>
    <w:rsid w:val="00D162E1"/>
    <w:rsid w:val="00D22C1E"/>
    <w:rsid w:val="00D234CC"/>
    <w:rsid w:val="00D302AC"/>
    <w:rsid w:val="00D312BA"/>
    <w:rsid w:val="00D31746"/>
    <w:rsid w:val="00D32F89"/>
    <w:rsid w:val="00D3306D"/>
    <w:rsid w:val="00D346A9"/>
    <w:rsid w:val="00D3690F"/>
    <w:rsid w:val="00D40381"/>
    <w:rsid w:val="00D411E6"/>
    <w:rsid w:val="00D41F03"/>
    <w:rsid w:val="00D42363"/>
    <w:rsid w:val="00D43E87"/>
    <w:rsid w:val="00D44153"/>
    <w:rsid w:val="00D443FF"/>
    <w:rsid w:val="00D5115D"/>
    <w:rsid w:val="00D514A5"/>
    <w:rsid w:val="00D52BD5"/>
    <w:rsid w:val="00D57C08"/>
    <w:rsid w:val="00D57F45"/>
    <w:rsid w:val="00D6090F"/>
    <w:rsid w:val="00D64C79"/>
    <w:rsid w:val="00D65DDF"/>
    <w:rsid w:val="00D67118"/>
    <w:rsid w:val="00D70462"/>
    <w:rsid w:val="00D727F0"/>
    <w:rsid w:val="00D75664"/>
    <w:rsid w:val="00D75C3F"/>
    <w:rsid w:val="00D76320"/>
    <w:rsid w:val="00D766F7"/>
    <w:rsid w:val="00D8157D"/>
    <w:rsid w:val="00D8279D"/>
    <w:rsid w:val="00D82E7A"/>
    <w:rsid w:val="00D866A6"/>
    <w:rsid w:val="00D8741B"/>
    <w:rsid w:val="00D87DB3"/>
    <w:rsid w:val="00D90030"/>
    <w:rsid w:val="00D94305"/>
    <w:rsid w:val="00DA16AE"/>
    <w:rsid w:val="00DA6308"/>
    <w:rsid w:val="00DA6EC7"/>
    <w:rsid w:val="00DB03AF"/>
    <w:rsid w:val="00DB03F4"/>
    <w:rsid w:val="00DB0983"/>
    <w:rsid w:val="00DB3743"/>
    <w:rsid w:val="00DB380B"/>
    <w:rsid w:val="00DB5E3A"/>
    <w:rsid w:val="00DB6B9A"/>
    <w:rsid w:val="00DC02E5"/>
    <w:rsid w:val="00DC0A9A"/>
    <w:rsid w:val="00DC1EB4"/>
    <w:rsid w:val="00DC1FE5"/>
    <w:rsid w:val="00DC2C9C"/>
    <w:rsid w:val="00DC4405"/>
    <w:rsid w:val="00DC4FAF"/>
    <w:rsid w:val="00DC5A17"/>
    <w:rsid w:val="00DC639E"/>
    <w:rsid w:val="00DC6752"/>
    <w:rsid w:val="00DC6B0F"/>
    <w:rsid w:val="00DC78EC"/>
    <w:rsid w:val="00DC7D1C"/>
    <w:rsid w:val="00DD032D"/>
    <w:rsid w:val="00DD0A6A"/>
    <w:rsid w:val="00DD1C13"/>
    <w:rsid w:val="00DD4CDB"/>
    <w:rsid w:val="00DD6A35"/>
    <w:rsid w:val="00DD7C5E"/>
    <w:rsid w:val="00DE264A"/>
    <w:rsid w:val="00DE4F38"/>
    <w:rsid w:val="00DE62A6"/>
    <w:rsid w:val="00DE68D4"/>
    <w:rsid w:val="00DF0AA5"/>
    <w:rsid w:val="00DF14F3"/>
    <w:rsid w:val="00DF5445"/>
    <w:rsid w:val="00DF5D9B"/>
    <w:rsid w:val="00DF64A7"/>
    <w:rsid w:val="00E004E5"/>
    <w:rsid w:val="00E00C93"/>
    <w:rsid w:val="00E02EBD"/>
    <w:rsid w:val="00E0415A"/>
    <w:rsid w:val="00E074DA"/>
    <w:rsid w:val="00E075D4"/>
    <w:rsid w:val="00E1075D"/>
    <w:rsid w:val="00E139D2"/>
    <w:rsid w:val="00E1571C"/>
    <w:rsid w:val="00E15924"/>
    <w:rsid w:val="00E17B79"/>
    <w:rsid w:val="00E2038B"/>
    <w:rsid w:val="00E212F8"/>
    <w:rsid w:val="00E22EA6"/>
    <w:rsid w:val="00E23514"/>
    <w:rsid w:val="00E23AB4"/>
    <w:rsid w:val="00E27869"/>
    <w:rsid w:val="00E3194B"/>
    <w:rsid w:val="00E32DC0"/>
    <w:rsid w:val="00E33C52"/>
    <w:rsid w:val="00E33FB8"/>
    <w:rsid w:val="00E341EA"/>
    <w:rsid w:val="00E34401"/>
    <w:rsid w:val="00E35136"/>
    <w:rsid w:val="00E37C9D"/>
    <w:rsid w:val="00E37F3C"/>
    <w:rsid w:val="00E40A31"/>
    <w:rsid w:val="00E46646"/>
    <w:rsid w:val="00E47FCB"/>
    <w:rsid w:val="00E50265"/>
    <w:rsid w:val="00E50E43"/>
    <w:rsid w:val="00E51DAD"/>
    <w:rsid w:val="00E525E5"/>
    <w:rsid w:val="00E55A89"/>
    <w:rsid w:val="00E57AFE"/>
    <w:rsid w:val="00E632A3"/>
    <w:rsid w:val="00E63583"/>
    <w:rsid w:val="00E63753"/>
    <w:rsid w:val="00E64B66"/>
    <w:rsid w:val="00E64ED2"/>
    <w:rsid w:val="00E66266"/>
    <w:rsid w:val="00E66C93"/>
    <w:rsid w:val="00E67EDB"/>
    <w:rsid w:val="00E71083"/>
    <w:rsid w:val="00E71DB2"/>
    <w:rsid w:val="00E750F1"/>
    <w:rsid w:val="00E765E8"/>
    <w:rsid w:val="00E80852"/>
    <w:rsid w:val="00E822A7"/>
    <w:rsid w:val="00E83CCB"/>
    <w:rsid w:val="00E84EBE"/>
    <w:rsid w:val="00E91C21"/>
    <w:rsid w:val="00E91C6E"/>
    <w:rsid w:val="00E928CB"/>
    <w:rsid w:val="00E93248"/>
    <w:rsid w:val="00E93972"/>
    <w:rsid w:val="00E945FE"/>
    <w:rsid w:val="00E97BCF"/>
    <w:rsid w:val="00EA1325"/>
    <w:rsid w:val="00EA1C75"/>
    <w:rsid w:val="00EA35D2"/>
    <w:rsid w:val="00EA37AF"/>
    <w:rsid w:val="00EA3BC2"/>
    <w:rsid w:val="00EA3C19"/>
    <w:rsid w:val="00EA4000"/>
    <w:rsid w:val="00EA4F59"/>
    <w:rsid w:val="00EA5ED9"/>
    <w:rsid w:val="00EA65AC"/>
    <w:rsid w:val="00EA6981"/>
    <w:rsid w:val="00EB0325"/>
    <w:rsid w:val="00EB03F0"/>
    <w:rsid w:val="00EB1330"/>
    <w:rsid w:val="00EB2097"/>
    <w:rsid w:val="00EB3167"/>
    <w:rsid w:val="00EB58AB"/>
    <w:rsid w:val="00EB6734"/>
    <w:rsid w:val="00EB687E"/>
    <w:rsid w:val="00EC0A37"/>
    <w:rsid w:val="00EC2FB1"/>
    <w:rsid w:val="00EC7F75"/>
    <w:rsid w:val="00ED27AA"/>
    <w:rsid w:val="00ED4CA9"/>
    <w:rsid w:val="00EE2D6F"/>
    <w:rsid w:val="00EE425E"/>
    <w:rsid w:val="00EE5EFF"/>
    <w:rsid w:val="00EF465C"/>
    <w:rsid w:val="00EF5435"/>
    <w:rsid w:val="00F0002B"/>
    <w:rsid w:val="00F002E1"/>
    <w:rsid w:val="00F00723"/>
    <w:rsid w:val="00F00B5C"/>
    <w:rsid w:val="00F01015"/>
    <w:rsid w:val="00F0256E"/>
    <w:rsid w:val="00F028FB"/>
    <w:rsid w:val="00F03828"/>
    <w:rsid w:val="00F040FD"/>
    <w:rsid w:val="00F043E8"/>
    <w:rsid w:val="00F04910"/>
    <w:rsid w:val="00F04B76"/>
    <w:rsid w:val="00F06716"/>
    <w:rsid w:val="00F0728E"/>
    <w:rsid w:val="00F100F6"/>
    <w:rsid w:val="00F1025B"/>
    <w:rsid w:val="00F104E1"/>
    <w:rsid w:val="00F11BD4"/>
    <w:rsid w:val="00F12194"/>
    <w:rsid w:val="00F12A14"/>
    <w:rsid w:val="00F135D0"/>
    <w:rsid w:val="00F202CE"/>
    <w:rsid w:val="00F20424"/>
    <w:rsid w:val="00F2215E"/>
    <w:rsid w:val="00F23055"/>
    <w:rsid w:val="00F23DD9"/>
    <w:rsid w:val="00F24689"/>
    <w:rsid w:val="00F25976"/>
    <w:rsid w:val="00F26DBC"/>
    <w:rsid w:val="00F303F9"/>
    <w:rsid w:val="00F371A1"/>
    <w:rsid w:val="00F37A07"/>
    <w:rsid w:val="00F4111F"/>
    <w:rsid w:val="00F45171"/>
    <w:rsid w:val="00F456C9"/>
    <w:rsid w:val="00F45FF5"/>
    <w:rsid w:val="00F476B3"/>
    <w:rsid w:val="00F47BE3"/>
    <w:rsid w:val="00F517F2"/>
    <w:rsid w:val="00F52DE7"/>
    <w:rsid w:val="00F548A8"/>
    <w:rsid w:val="00F5495E"/>
    <w:rsid w:val="00F55470"/>
    <w:rsid w:val="00F6039B"/>
    <w:rsid w:val="00F6279D"/>
    <w:rsid w:val="00F62EF9"/>
    <w:rsid w:val="00F6683B"/>
    <w:rsid w:val="00F66AD9"/>
    <w:rsid w:val="00F703C2"/>
    <w:rsid w:val="00F75BB1"/>
    <w:rsid w:val="00F76D5D"/>
    <w:rsid w:val="00F77164"/>
    <w:rsid w:val="00F775FB"/>
    <w:rsid w:val="00F80652"/>
    <w:rsid w:val="00F8334F"/>
    <w:rsid w:val="00F8531C"/>
    <w:rsid w:val="00F86FA0"/>
    <w:rsid w:val="00F90514"/>
    <w:rsid w:val="00F9117D"/>
    <w:rsid w:val="00F96994"/>
    <w:rsid w:val="00F96A08"/>
    <w:rsid w:val="00F9723B"/>
    <w:rsid w:val="00FA289F"/>
    <w:rsid w:val="00FA324A"/>
    <w:rsid w:val="00FA3435"/>
    <w:rsid w:val="00FA3C88"/>
    <w:rsid w:val="00FA3D86"/>
    <w:rsid w:val="00FA410E"/>
    <w:rsid w:val="00FA5149"/>
    <w:rsid w:val="00FA6871"/>
    <w:rsid w:val="00FA7BBC"/>
    <w:rsid w:val="00FA7E5F"/>
    <w:rsid w:val="00FB17A2"/>
    <w:rsid w:val="00FB1807"/>
    <w:rsid w:val="00FB2B02"/>
    <w:rsid w:val="00FB34A1"/>
    <w:rsid w:val="00FB3EF3"/>
    <w:rsid w:val="00FB4311"/>
    <w:rsid w:val="00FB43DA"/>
    <w:rsid w:val="00FB5A3B"/>
    <w:rsid w:val="00FB5E4A"/>
    <w:rsid w:val="00FB72AC"/>
    <w:rsid w:val="00FC1107"/>
    <w:rsid w:val="00FC148F"/>
    <w:rsid w:val="00FC19AC"/>
    <w:rsid w:val="00FC30EB"/>
    <w:rsid w:val="00FC3F17"/>
    <w:rsid w:val="00FC5034"/>
    <w:rsid w:val="00FC786E"/>
    <w:rsid w:val="00FC7A92"/>
    <w:rsid w:val="00FD02BE"/>
    <w:rsid w:val="00FD25B1"/>
    <w:rsid w:val="00FD347E"/>
    <w:rsid w:val="00FD559E"/>
    <w:rsid w:val="00FD66BF"/>
    <w:rsid w:val="00FE03EB"/>
    <w:rsid w:val="00FE1DA0"/>
    <w:rsid w:val="00FE4396"/>
    <w:rsid w:val="00FE5674"/>
    <w:rsid w:val="00FF064B"/>
    <w:rsid w:val="00FF13C9"/>
    <w:rsid w:val="00FF24FC"/>
    <w:rsid w:val="00FF28D2"/>
    <w:rsid w:val="00FF5F1B"/>
    <w:rsid w:val="00FF70D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53B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36F49"/>
    <w:rPr>
      <w:color w:val="808080"/>
    </w:rPr>
  </w:style>
  <w:style w:type="paragraph" w:customStyle="1" w:styleId="5E0E3CB756A6452781FEED02F394BDA6">
    <w:name w:val="5E0E3CB756A6452781FEED02F394BDA6"/>
    <w:rsid w:val="00B00002"/>
    <w:pPr>
      <w:spacing w:after="160" w:line="259" w:lineRule="auto"/>
    </w:pPr>
    <w:rPr>
      <w:kern w:val="0"/>
      <w:sz w:val="22"/>
    </w:rPr>
  </w:style>
  <w:style w:type="paragraph" w:customStyle="1" w:styleId="646AE169919F4D4983986EE5728E3C27">
    <w:name w:val="646AE169919F4D4983986EE5728E3C27"/>
    <w:rsid w:val="00B00002"/>
    <w:pPr>
      <w:spacing w:after="160" w:line="259" w:lineRule="auto"/>
    </w:pPr>
    <w:rPr>
      <w:kern w:val="0"/>
      <w:sz w:val="22"/>
    </w:rPr>
  </w:style>
  <w:style w:type="paragraph" w:customStyle="1" w:styleId="F8FD9B4D82014074A34A4ACFA8186A4E">
    <w:name w:val="F8FD9B4D82014074A34A4ACFA8186A4E"/>
    <w:rsid w:val="00EE5EFF"/>
    <w:pPr>
      <w:spacing w:after="160" w:line="259" w:lineRule="auto"/>
    </w:pPr>
    <w:rPr>
      <w:kern w:val="0"/>
      <w:sz w:val="22"/>
    </w:rPr>
  </w:style>
  <w:style w:type="paragraph" w:customStyle="1" w:styleId="4AC8309642E44F169B879CD7739B756F">
    <w:name w:val="4AC8309642E44F169B879CD7739B756F"/>
    <w:rsid w:val="00FA7E5F"/>
    <w:pPr>
      <w:spacing w:after="160" w:line="259" w:lineRule="auto"/>
    </w:pPr>
    <w:rPr>
      <w:kern w:val="0"/>
      <w:sz w:val="22"/>
    </w:rPr>
  </w:style>
  <w:style w:type="paragraph" w:customStyle="1" w:styleId="D6F1D404087E43DA936EC0C404295643">
    <w:name w:val="D6F1D404087E43DA936EC0C404295643"/>
    <w:rsid w:val="00FA7E5F"/>
    <w:pPr>
      <w:spacing w:after="160" w:line="259" w:lineRule="auto"/>
    </w:pPr>
    <w:rPr>
      <w:kern w:val="0"/>
      <w:sz w:val="22"/>
    </w:rPr>
  </w:style>
  <w:style w:type="paragraph" w:customStyle="1" w:styleId="BB84AB49DA334F1BADF6AAF478C3B733">
    <w:name w:val="BB84AB49DA334F1BADF6AAF478C3B733"/>
    <w:rsid w:val="00BB3916"/>
    <w:pPr>
      <w:spacing w:after="160" w:line="259" w:lineRule="auto"/>
    </w:pPr>
    <w:rPr>
      <w:kern w:val="0"/>
      <w:sz w:val="22"/>
    </w:rPr>
  </w:style>
  <w:style w:type="paragraph" w:customStyle="1" w:styleId="AD8F0B4B8F3B45FBA2D3B257AE4254E0">
    <w:name w:val="AD8F0B4B8F3B45FBA2D3B257AE4254E0"/>
    <w:rsid w:val="00193AD6"/>
    <w:pPr>
      <w:spacing w:after="160" w:line="259" w:lineRule="auto"/>
    </w:pPr>
    <w:rPr>
      <w:kern w:val="0"/>
      <w:sz w:val="22"/>
    </w:rPr>
  </w:style>
  <w:style w:type="paragraph" w:customStyle="1" w:styleId="A8FF46EA736F4E92A059FA2B8845268D">
    <w:name w:val="A8FF46EA736F4E92A059FA2B8845268D"/>
    <w:rsid w:val="00193AD6"/>
    <w:pPr>
      <w:spacing w:after="160" w:line="259" w:lineRule="auto"/>
    </w:pPr>
    <w:rPr>
      <w:kern w:val="0"/>
      <w:sz w:val="22"/>
    </w:rPr>
  </w:style>
  <w:style w:type="paragraph" w:customStyle="1" w:styleId="94B5DFD3BFBC42BB810E9EBCE9F58FB7">
    <w:name w:val="94B5DFD3BFBC42BB810E9EBCE9F58FB7"/>
    <w:rsid w:val="00336F49"/>
    <w:pPr>
      <w:widowControl w:val="0"/>
      <w:jc w:val="both"/>
    </w:pPr>
  </w:style>
</w:styles>
</file>

<file path=word/glossary/webSettings.xml><?xml version="1.0" encoding="utf-8"?>
<w:webSettings xmlns:r="http://schemas.openxmlformats.org/officeDocument/2006/relationships" xmlns:w="http://schemas.openxmlformats.org/wordprocessingml/2006/main">
  <w:optimizeForBrowser/>
  <w:relyOnVML/>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mapping xmlns:m="http://mapping.word.org/2012/mapping">
  <m:namespaceDeclare prefix="clcid-mr" namespaceURI="http://www.xbrl-cn.org/cn/lcid/rpt/mr/2006-12-31"/>
  <m:namespaceDeclare prefix="clcid-cgi" namespaceURI="http://www.xbrl-cn.org/cn/lcid/rpt/cgi/2006-12-31"/>
  <m:namespaceDeclare prefix="clcid-ar" namespaceURI="http://www.xbrl-cn.org/cn/lcid/rpt/ar/2006-12-31"/>
  <m:namespaceDeclare prefix="clcid-ci-ar" namespaceURI="http://www.xbrl-cn.org/cn/lcid/ci/ar/2008-12-31"/>
  <m:namespaceDeclare prefix="clcid-pte" namespaceURI="http://www.xbrl-cn.org/cn/lcid/common/pte/2006-12-31"/>
  <m:namespaceDeclare prefix="clcid-ie" namespaceURI="http://www.xbrl-cn.org/cn/lcid/rpt/ie/2006-12-31"/>
  <m:namespaceDeclare prefix="clcid-gcd" namespaceURI="http://www.xbrl-cn.org/cn/lcid/rpt/gcd/2006-12-31"/>
  <m:document name="601006_大秦铁路_2022年_年度报告0426-7AM.docx" version="0.1" optimized="true" originalVersion="0.1" taggingType="Axis" maxMonetaryIntLength="15" cryptoType="SM4" siblingTextSaved="true">
    <m:item xlName="_GBC_704b7b03ea3f4a93b8d4655a09b2ff61" concept="clcid-gcd:GongSiDaiMa" label="公司代码" keyCode="GONGSI_DAIMA" keyAction="5"/>
    <m:item xlName="_GBC_0384ae715a1e4b4894a29e4d27f5bef4" concept="clcid-gcd:GongSiJianCheng" label="公司简称" keyCode="GONGSI_JIANCHENG" keyAction="5"/>
    <m:section xlName="_SEC_053d5dad2cbb4a7e949bd9642e6c577f" title="股份有限公司" helpId="101001012" helpText="第三条 本准则的规定是对公司年度报告信息披露的最低要求；对投资者投资决策有重大影响的信息，不论本准则是否有明确规定，公司均应当披露。\n鼓励公司结合自身特点，以简明易懂的方式披露对投资者特别是中小投资者决策有用的信息，但披露的信息应当保持持续性，不得选择性披露。\n第四条 本准则某些具体要求对公司确实不适用的，公司可以根据实际情况在不影响披露内容完整性的前提下做出适当修改，并说明修改原因。\n第五条 由于国家秘密、商业秘密等特殊原因导致本准则规 定的某些信息确实不便披露的，公司可以不予披露，但应当在相 关章节详细说明未按本准则要求进行披露的原因 。中国证监会认 为需要披露的，公司应当披露。公司在编制和披露年度报告时应当严格遵守国家有关保密的法律法规，不得泄露国家保密信息。"/>
    <m:section xlName="_SEC_7d2cef92505949c6b5bd6a9bd88e1b07" title="董事会及董事声明" afterEmptyPhCount="0" checkKey="!无法保证" ignorePeriod="1" summaryGuid="_SEC_aa22e04a0644440e8f59d9a5d2b6356d" helpId="101001001" primarySection="_SEC_7d2cef92505949c6b5bd6a9bd88e1b07" optionText="公司保证本报告内容的真实、准确、完整" activeContentOption="_SEC_972c92c8aab94d49a7d349f0a000c8e8" optionGroupTitle="董事会及董事声明情况"/>
    <m:section xlName="_SEC_d1b83f650e4846a7a962cc690e0ab078" title="董事、监事、高级管理人员无法保证的声明" afterEmptyPhCount="0" checkKey="无法保证" ignorePeriod="1" summaryGuid="_SEC_aa22e04a0644440e8f59d9a5d2b6356d" helpId="101001003" primarySection="_SEC_7d2cef92505949c6b5bd6a9bd88e1b07" optionText="公司无法保证本报告内容的真实、准确、完整" activeContentOption="_GBC_c39714d4523c4f26bc10a8bd552c9a0c" optionGroupTitle="董事会及董事声明情况"/>
    <m:section xlName="_SEC_22f2821f4b8f443f90d5135b8aaff83a" title="公司全体董事出席董事会会议。" afterEmptyPhCount="0" checkKey="全体董事出席&amp;!未出席&amp;!未能出席&amp;!未亲自出席&amp;!委托" summaryGuid="_SEC_be1027fce3b442bcbf75c2ca49eb23c5" helpId="101001004" helpText="注：如有董事未出席董事会，应当单独列示其姓名。\n这里的出席指的是亲自出席" primarySection="_SEC_22f2821f4b8f443f90d5135b8aaff83a" optionText="全体出席" optionGroupTitle="董事会出席情况"/>
    <m:section xlName="_SEC_51c9b3d9c2f94082b7b8426bcf632e09" title="未出席董事情况" afterEmptyPhCount="0" checkKey="!全体出席" summaryGuid="_SEC_be1027fce3b442bcbf75c2ca49eb23c5" helpId="101001004" helpText="注：如有董事未出席董事会，应当单独列示其姓名。\n这里的出席指的是亲自出席" primarySection="_SEC_22f2821f4b8f443f90d5135b8aaff83a" optionText="有未出席情况" optionGroupTitle="董事会出席情况"/>
    <m:section xlName="_SEC_40fba4905c084fec81ccf5c248050f25" title="事务所为本公司出具了标准无保留意见的审计报告。" afterEmptyPhCount="0" checkKey="!带强调事项段或其他事项段的无保留意见&amp;!无法表示意见&amp;!否定意见&amp;!未经审计" summaryGuid="_SEC_10fc528358cf412aa0908669b3eaffcf" helpId="101001006" primarySection="_SEC_40fba4905c084fec81ccf5c248050f25" optionText="标准无保留意见" optionGroupTitle="审计报告情况" keyAction="15" keyCode="B00001"/>
    <m:section xlName="_SEC_40654f606f504efc86050d9bc3a9f981" title="本年度报告未经审计" afterEmptyPhCount="0" checkKey="!带强调事项段或其他事项段的无保留意见&amp;!保留意见&amp;!无法表示意见&amp;!否定意见&amp;!标准无保留意见" summaryGuid="_SEC_10fc528358cf412aa0908669b3eaffcf" helpId="101001006" primarySection="_SEC_40fba4905c084fec81ccf5c248050f25" optionText="未经审计" activeContentOption="_GBC_07370c6ee32a4bea8271133440d087fd" optionGroupTitle="审计报告情况" keyAction="15" keyCode="B00001"/>
    <m:section xlName="_SEC_965d625992e84e7b89102a23fe1bf125" title="非标意见说明" afterEmptyPhCount="0" checkKey="!标准无保留意见&amp;!未经审计" summaryGuid="_SEC_10fc528358cf412aa0908669b3eaffcf" helpId="101001006" primarySection="_SEC_40fba4905c084fec81ccf5c248050f25" optionText="非标意见" activeContentOption="_SEC_965d625992e84e7b89102a23fe1bf125" optionGroupTitle="审计报告情况" keyAction="15" keyCode="B00001"/>
    <m:section xlName="_SEC_aa772887f17444efa3f14932a3ab86a1" title="公司负责人等声明" afterEmptyPhCount="0" mandatory="true" helpId="101001002"/>
    <m:section xlName="_SEC_a501adcd5b1e409f9a26e2205a1217af" title="经董事会审议的报告期利润分配预案或公积金转增股本预案" afterEmptyPhCount="0" mandatory="true" convertSummaryRule="NoConvert" helpId="101001011"/>
    <m:section xlName="_SEC_cc0a682043544feca8d6178ae3f9b57a" title="前瞻性陈述的风险声明" afterEmptyPhCount="0" ignorePeriod="1" helpId="101001007" helpText="注：如年度报告涉及未来计划等前瞻性陈述，同时附有相应的警示性陈述，则应当声明该计划不构成公司对投资者的实质承诺，请投资者注意投资风险。"/>
    <m:section xlName="_SEC_dd7ae952183947878c4ccc9b523f2fd5" title="本公司是否存在大股东占用资金情况" afterEmptyPhCount="0"/>
    <m:section xlName="_SEC_05a034f558514905b67eb7706c31865e" title="本公司是否存在违反规定决策程序对外提供担保的情况" afterEmptyPhCount="0" convertSummaryRule="NoConvert"/>
    <m:section xlName="_SEC_48356da23f6a4bf99307cdd80c7327ad" title="是否存在半数以上董事无法保证公司所披露年度报告的真实性、准确..."/>
    <m:section xlName="_SEC_9889b4a81d8e4a009c1c90b6eaff4bed" title="重大风险提示" afterEmptyPhCount="0" rules="R2015_R1_001" ignorePeriod="1" helpId="101001010"/>
    <m:section xlName="_SEC_e9484471c6da4ac39a115f2e22fdac24" title="重要提示的其他情况说明" afterEmptyPhCount="0"/>
    <m:section xlName="_SEC_e649d09f3b7f42b7b4f14c158bb328aa" title="备查文件目录" convertSummaryRule="NoConvert" helpId="110002018" helpText="公司应当披露备查文件的目录，包括：\n（一）载有公司负责人、主管会计工作负责人、会计机构负责人（会计主管人员）签名并盖章的财务报表。\n（二）载有会计师事务所盖章、注册会计师签名并盖章的审计报告原件。\n（三）报告期内公开披露过的所有公司文件的正本及公告的原稿。\n（四）在其他证券市场公布的年度报告。"/>
    <m:section xlName="_SEC_e0ada4191e1e474fa6a3f5096e480871" title="释义" ignorePeriod="1" mandatory="true" convertSummaryRule="NoConvert" helpId="101001013"/>
    <m:section xlName="_SEC_21d2355d13dd4c3a8618d612216e1d43" title="公司信息" ignorePeriod="1" convertSummaryRule="NoConvert" helpId="101001015"/>
    <m:section xlName="_SEC_c723c6b18eac4f1fa6cc19fd1ec13bac" title="联系人和联系方式" ignorePeriod="1" convertSummaryRule="NoConvert" helpId="101001016">
      <m:virtualTuples>
        <m:virtualTuple id="7ed3504a-70ec-4378-915d-9c3be91aafcc" tupleRef="clcid-cgi:DongShiHuiMiShuQingKuang" defaultRows="0" extendDirection="2" splitWidth="1"/>
        <m:virtualTuple id="4dae452f-3358-4466-b139-adc8ec38f384" tupleRef="clcid-cgi:ZhengQuanShiWuDaiBiaoQingKuang" defaultRows="0" extendDirection="2" splitWidth="1"/>
      </m:virtualTuples>
    </m:section>
    <m:section xlName="_SEC_956d025c8a1d451390392ecb3e2602be" title="基本情况变更简介" ignorePeriod="1" helpId="101001017"/>
    <m:section xlName="_SEC_0df805cd09bf439989b9eac11c342a74" title="信息披露及备置地点变更情况简介" ignorePeriod="1" mandatory="true" convertSummaryRule="NoConvert" helpId="101001018"/>
    <m:section xlName="_SEC_58c4b7a4d9a845aea87791adfb6845e7" title="公司股票简况" ignorePeriod="1" convertSummaryRule="NoConvert" helpId="101001019" helpText="注：本项可选填“A股”、“B股”、“H股”或其他。 "/>
    <m:section xlName="_SEC_003e0cedcbeb43af9103dfb4bc32cd9f" title="其他有关资料" ignorePeriod="1" helpId="101001021"/>
    <m:item xlName="_GBC_831bf622af014dd988d7abf34a230ded" indRef="1" concept="clcid-ci-ar:DanWeiBaoGaoQiMoGongSiQianSanNianZhuYaoKuaiJiShuJuHeCaiWuZhiBiao" label="单位：报告期末公司前三年主要会计数据和财务指标" selectOptions="_buildInScales" controlType="Combobox" cellType="Scale"/>
    <m:item xlName="_GBC_966177366f0d4256ae6aac54dd779761" indRef="2" concept="clcid-ci-ar:BiZhongBaoGaoQiMoGongSiQianSanNianZhuYaoKuaiJiShuJuHeCaiWuZhiBiao" label="币种：报告期末公司前三年主要会计数据和财务指标" selectOptions="_buildInISO4217" controlType="Combobox" cellType="Measure"/>
    <m:section xlName="_SEC_054de9a865fc43068e5affd816d52d7b" title="主要会计数据(无追溯)" rules="R2015_R2_001" checkKey="!调整" helpId="101001022" helpText="注1 前三年主要会计数据和财务指标中涉及非经常性损益的，都应当按照《公开发行证券的公司信息披露解释性公告第1号-非经常性损益(2014)》要求的非经常性损益的口径进行计算。\n注2 如上年同期为负数，“增减比例”不填。\n注3 发行在外普通股或潜在普通股的数量因派发股票股利、公积金转增资本、拆股而增加或因并股而减少，但不影响所有者权益金额的，应当按调整后的股数重新计算各列报期间的每股收益。\n上述变化发生于资产负债表日至财务报告批准报出日之间的，应当以调整后的股数重新计算各列报期间的每股收益。\n按照《企业会计准则第28 号——会计政策、会计估计变更和差错更正》的规定对以前年度损益进行追溯调整或追溯重述的，应当重新计算各列报期间的每股收益。”\n注4 净资产收益率的本报告期比上年同期增减为两期数的差值。" primarySection="_SEC_054de9a865fc43068e5affd816d52d7b" optionText="无追溯调整" optionGroupTitle="主要会计数据和财务指标情况" optionTargetConcept="clcid-ci-ar:ShiFouZhuiSuTiaoZheng" optionTargetConceptValue="无追溯调整"/>
    <m:section xlName="_SEC_d2086980cac3487da9e326307d1d5772" title="主要会计数据(对2021年追溯调整)" rules="R2015_R2_001" checkKey="调整" helpId="101001022" helpText="注1 前三年主要会计数据和财务指标中涉及非经常性损益的，都应当按照《公开发行证券的公司信息披露解释性公告第1号-非经常性损益(2014)》要求的非经常性损益的口径进行计算。\n注2 如上年同期为负数，“增减比例”不填。\n注3 发行在外普通股或潜在普通股的数量因派发股票股利、公积金转增资本、拆股而增加或因并股而减少，但不影响所有者权益金额的，应当按调整后的股数重新计算各列报期间的每股收益。\n上述变化发生于资产负债表日至财务报告批准报出日之间的，应当以调整后的股数重新计算各列报期间的每股收益。\n按照《企业会计准则第28 号——会计政策、会计估计变更和差错更正》的规定对以前年度损益进行追溯调整或追溯重述的，应当重新计算各列报期间的每股收益。”\n注4 净资产收益率的本报告期比上年同期增减为两期数的差值。" primarySection="_SEC_054de9a865fc43068e5affd816d52d7b" optionText="对2021年度追溯调整" optionGroupTitle="主要会计数据和财务指标情况" optionTargetConcept="clcid-ci-ar:ShiFouZhuiSuTiaoZheng" optionTargetConceptValue="对2021年度追溯调整"/>
    <m:section xlName="_SEC_5bdc262a8de24f86b63cd88bed7f8ed4" title="主要会计数据(对2020年追溯调整)" rules="R2015_R2_001" checkKey="调整" helpId="101001022" helpText="注1 前三年主要会计数据和财务指标中涉及非经常性损益的，都应当按照《公开发行证券的公司信息披露解释性公告第1号-非经常性损益(2014)》要求的非经常性损益的口径进行计算。\n注2 如上年同期为负数，“增减比例”不填。\n注3 发行在外普通股或潜在普通股的数量因派发股票股利、公积金转增资本、拆股而增加或因并股而减少，但不影响所有者权益金额的，应当按调整后的股数重新计算各列报期间的每股收益。\n上述变化发生于资产负债表日至财务报告批准报出日之间的，应当以调整后的股数重新计算各列报期间的每股收益。\n按照《企业会计准则第28 号——会计政策、会计估计变更和差错更正》的规定对以前年度损益进行追溯调整或追溯重述的，应当重新计算各列报期间的每股收益。”\n注4 净资产收益率的本报告期比上年同期增减为两期数的差值。" primarySection="_SEC_054de9a865fc43068e5affd816d52d7b" optionText="对2020年度追溯调整" optionGroupTitle="主要会计数据和财务指标情况" optionTargetConcept="clcid-ci-ar:ShiFouZhuiSuTiaoZheng" optionTargetConceptValue="对2020年度追溯调整"/>
    <m:section xlName="_SEC_2e37b4d9e4604c18b526f532ded89b84" title="主要会计数据(对2021年、2020年追溯调整)" rules="R2015_R2_001" checkKey="调整" helpId="101001022" helpText="注1 前三年主要会计数据和财务指标中涉及非经常性损益的，都应当按照《公开发行证券的公司信息披露解释性公告第1号-非经常性损益(2014)》要求的非经常性损益的口径进行计算。\n注2 如上年同期为负数，“增减比例”不填。\n注3 发行在外普通股或潜在普通股的数量因派发股票股利、公积金转增资本、拆股而增加或因并股而减少，但不影响所有者权益金额的，应当按调整后的股数重新计算各列报期间的每股收益。\n上述变化发生于资产负债表日至财务报告批准报出日之间的，应当以调整后的股数重新计算各列报期间的每股收益。\n按照《企业会计准则第28 号——会计政策、会计估计变更和差错更正》的规定对以前年度损益进行追溯调整或追溯重述的，应当重新计算各列报期间的每股收益。”\n注4 净资产收益率的本报告期比上年同期增减为两期数的差值。" primarySection="_SEC_054de9a865fc43068e5affd816d52d7b" optionText="对2021年、2020年度追溯调整" optionGroupTitle="主要会计数据和财务指标情况" optionTargetConcept="clcid-ci-ar:ShiFouZhuiSuTiaoZheng" optionTargetConceptValue="对2021年、2020年度追溯调整"/>
    <m:section xlName="_SEC_ca679c431b23410b8002c2ae2c543dab" title="主要财务指标(无追溯)" rules="R2015_R2_001" checkKey="!调整" helpId="101001022" helpText="注1 前三年主要会计数据和财务指标中涉及非经常性损益的，都应当按照《公开发行证券的公司信息披露解释性公告第1号-非经常性损益(2014)》要求的非经常性损益的口径进行计算。\n注2 如上年同期为负数，“增减比例”不填。\n注3 发行在外普通股或潜在普通股的数量因派发股票股利、公积金转增资本、拆股而增加或因并股而减少，但不影响所有者权益金额的，应当按调整后的股数重新计算各列报期间的每股收益。\n上述变化发生于资产负债表日至财务报告批准报出日之间的，应当以调整后的股数重新计算各列报期间的每股收益。\n按照《企业会计准则第28 号——会计政策、会计估计变更和差错更正》的规定对以前年度损益进行追溯调整或追溯重述的，应当重新计算各列报期间的每股收益。”\n注4 净资产收益率的本报告期比上年同期增减为两期数的差值。\n注5 研发投入为企业研究开发活动形成的总支出。研发投入通常包括研发人员工资费用、直接投入费用、折旧费用与长期待摊费用、设计费用、装备调试费、无形资产摊销费用、委托外部研究开发费用、其他费用等。本期研发投入为本期费用化的研发费用与本期资本化的开发支出之和。" primarySection="_SEC_ca679c431b23410b8002c2ae2c543dab" optionText="无追溯调整" optionGroupTitle="主要会计数据和财务指标情况" optionTargetConcept="clcid-ci-ar:ShiFouZhuiSuTiaoZheng" optionTargetConceptValue="无追溯调整"/>
    <m:section xlName="_SEC_11a5abe42c0d43df9c44d4f247a4371d" title="主要财务指标(对2020年追溯调整)" rules="R2015_R2_001" checkKey="调整" helpId="101001022" helpText="注1 前三年主要会计数据和财务指标中涉及非经常性损益的，都应当按照《公开发行证券的公司信息披露解释性公告第1号-非经常性损益(2014)》要求的非经常性损益的口径进行计算。\n注2 如上年同期为负数，“增减比例”不填。\n注3 发行在外普通股或潜在普通股的数量因派发股票股利、公积金转增资本、拆股而增加或因并股而减少，但不影响所有者权益金额的，应当按调整后的股数重新计算各列报期间的每股收益。\n上述变化发生于资产负债表日至财务报告批准报出日之间的，应当以调整后的股数重新计算各列报期间的每股收益。\n按照《企业会计准则第28 号——会计政策、会计估计变更和差错更正》的规定对以前年度损益进行追溯调整或追溯重述的，应当重新计算各列报期间的每股收益。”\n注4 净资产收益率的本报告期比上年同期增减为两期数的差值。\n注5 研发投入为企业研究开发活动形成的总支出。研发投入通常包括研发人员工资费用、直接投入费用、折旧费用与长期待摊费用、设计费用、装备调试费、无形资产摊销费用、委托外部研究开发费用、其他费用等。本期研发投入为本期费用化的研发费用与本期资本化的开发支出之和。" primarySection="_SEC_ca679c431b23410b8002c2ae2c543dab" optionText="对2021年度追溯调整" optionGroupTitle="主要会计数据和财务指标情况" optionTargetConcept="clcid-ci-ar:ShiFouZhuiSuTiaoZheng" optionTargetConceptValue="对2021年度追溯调整"/>
    <m:section xlName="_SEC_287569831b844fddbe3b92fd648e75e7" title="主要财务指标(对2020年追溯调整)" rules="R2015_R2_001" checkKey="调整" helpId="101001022" helpText="注1 前三年主要会计数据和财务指标中涉及非经常性损益的，都应当按照《公开发行证券的公司信息披露解释性公告第1号-非经常性损益(2014)》要求的非经常性损益的口径进行计算。\n注2 如上年同期为负数，“增减比例”不填。\n注3 发行在外普通股或潜在普通股的数量因派发股票股利、公积金转增资本、拆股而增加或因并股而减少，但不影响所有者权益金额的，应当按调整后的股数重新计算各列报期间的每股收益。\n上述变化发生于资产负债表日至财务报告批准报出日之间的，应当以调整后的股数重新计算各列报期间的每股收益。\n按照《企业会计准则第28 号——会计政策、会计估计变更和差错更正》的规定对以前年度损益进行追溯调整或追溯重述的，应当重新计算各列报期间的每股收益。”\n注4 净资产收益率的本报告期比上年同期增减为两期数的差值。\n注5 研发投入为企业研究开发活动形成的总支出。研发投入通常包括研发人员工资费用、直接投入费用、折旧费用与长期待摊费用、设计费用、装备调试费、无形资产摊销费用、委托外部研究开发费用、其他费用等。本期研发投入为本期费用化的研发费用与本期资本化的开发支出之和。" primarySection="_SEC_ca679c431b23410b8002c2ae2c543dab" optionText="对2020年度追溯调整" optionGroupTitle="主要会计数据和财务指标情况" optionTargetConcept="clcid-ci-ar:ShiFouZhuiSuTiaoZheng" optionTargetConceptValue="对2020年度追溯调整"/>
    <m:section xlName="_SEC_969d4501e75c4e449ff2b0cba964329c" title="主要财务指标(对2021年、2020年追溯调整)" rules="R2015_R2_001" checkKey="调整" helpId="101001022" helpText="注1 前三年主要会计数据和财务指标中涉及非经常性损益的，都应当按照《公开发行证券的公司信息披露解释性公告第1号-非经常性损益(2014)》要求的非经常性损益的口径进行计算。\n注2 如上年同期为负数，“增减比例”不填。\n注3 发行在外普通股或潜在普通股的数量因派发股票股利、公积金转增资本、拆股而增加或因并股而减少，但不影响所有者权益金额的，应当按调整后的股数重新计算各列报期间的每股收益。\n上述变化发生于资产负债表日至财务报告批准报出日之间的，应当以调整后的股数重新计算各列报期间的每股收益。\n按照《企业会计准则第28 号——会计政策、会计估计变更和差错更正》的规定对以前年度损益进行追溯调整或追溯重述的，应当重新计算各列报期间的每股收益。”\n注4 净资产收益率的本报告期比上年同期增减为两期数的差值。\n注5 研发投入为企业研究开发活动形成的总支出。研发投入通常包括研发人员工资费用、直接投入费用、折旧费用与长期待摊费用、设计费用、装备调试费、无形资产摊销费用、委托外部研究开发费用、其他费用等。本期研发投入为本期费用化的研发费用与本期资本化的开发支出之和。" primarySection="_SEC_ca679c431b23410b8002c2ae2c543dab" optionText="对2021年、2020年度追溯调整" optionGroupTitle="主要会计数据和财务指标情况" optionTargetConcept="clcid-ci-ar:ShiFouZhuiSuTiaoZheng" optionTargetConceptValue="对2021年、2020年度追溯调整"/>
    <m:section xlName="_SEC_e0c1d174841549508433e1bc7cb4c9d5" title="公司主要会计数据和财务指标的说明" rules="R2015_R2_001" convertSummaryRule="NoConvert" helpId="101001022"/>
    <m:section xlName="_SEC_cd4f769de8434e6fa625c3e1e3edf9f8" title="同时按照国际会计准则与按中国会计准则披露的差异" rules="R2015_R2_002" helpId="101001024" helpText="注：境内外会计准则下会计数据差异填列合并报表数据。"/>
    <m:section xlName="_SEC_443550478d2c4f8ca34d8b799ef01903" title="同时按照境外会计准则与按中国会计准则披露的差异" rules="R2015_R2_002" helpId="101001024" helpText="注：境内外会计准则下会计数据差异填列合并报表数据。"/>
    <m:section xlName="_SEC_b22be8396e6f44ec8ff113069c448aa0" title="境内外会计准则差异的说明" rules="R2015_R2_002" convertSummaryRule="NoConvert" helpId="101001024" helpText="注：境内外会计准则下会计数据差异填列合并报表数据。"/>
    <m:section xlName="_SEC_8cfd3688781f4629a476386b97fa2f75" title="分季度主要财务数据" summaryGuid="_SEC_be40d5b700004ccebf631d208f0c06bd" helpId="101001026"/>
    <m:section xlName="_SEC_c9ec505011044df3b703919ed91a432c" title="非经常性损益项目和金额" rules="R2015_R2_003" convertSummaryRule="NoConvert" helpId="101001027" helpText="1.各非经常性损益项目按税前金额列示。\n2.非经常性损益项目中的损失类应以负数填写。\n3.自定义科目全部填入“其他符合非经常性损益定义的损益项目”，并在该项目附注中说明具体情况。"/>
    <m:section xlName="_SEC_0910543556014fc1abc2864ad29c9f55" title="将《公开发行证券的公司信息披露解释性公告第1号——非经常性损..."/>
    <m:section xlName="_SEC_4b13c06b07154e45b14204b22dd943ad" title="采用公允价值计量的项目"/>
    <m:section xlName="_SEC_2b90c267769d4c769805494ec1d46591" title="其他财务和业务数据" helpId="101014007"/>
    <m:section xlName="_SEC_465bd2646eb04eab8e1c01ba688faf29" title="管理层讨论与分析" rules="R2015_R4_001" ignorePeriod="1" helpId="101001033"/>
    <m:section xlName="_SEC_9c97aafe2aaf4296a625865b403a487b" title="报告期内公司所处行业情况" helpId="101001055" helpText="公司应当介绍报告期内公司所处行业情况，包括但不限于以下内容：\n（一）所处行业基本情况、发展阶段、周期性特点以及公司所处的行业地位情况，应当重点突出报告期内发生的重大变化。\n（二）新公布的法律、行政法规、部门规章、行业政策对所处行业的重大影响。"/>
    <m:section xlName="_SEC_1493ba27835e4c2bb84b6f78dd948a7b" title="报告期内公司从事的业务情况" helpId="101001009" helpText="公司应当介绍报告期内公司从事的业务情况，包括但不限于以下内容：\n（一）报告期内公司所从事的主要业务、主要产品及其用途、经营模式等内容，应当重点突出报告期内发生的重大变化。\n（二）报告期内公司产品市场地位、竞争优势与劣势、主要的业绩驱动因素、业绩变化是否符合行业发展状况等内容。"/>
    <m:section xlName="_SEC_d733579ca1be4b6280b2cf34d2da3454" title="报告期内核心竞争力分析" rules="R2015_R3_001" helpId="101001032"/>
    <m:section xlName="_SEC_5be0fbeb3cd14e7ea98377b294efcb92" title="报告期内主要经营情况" helpId="101001034" helpText="公司应当分析报告期内的主要经营情况，披露报告期内公司经营情况的重大变化，以及报告期内发生的对公司经营情况有重大影响和预计未来会有重大影响的事项。" otherKeyActions="{&quot;KeyCode&quot;:&quot;ShareChildren:主要经营情况&quot;,&quot;KeyAction&quot;:31,&quot;KeyActionTitle&quot;:null,&quot;OtherActions&quot;:null}"/>
    <m:section xlName="_SEC_91e850b02ecf462096f16fee26b10620" title="财务报表相关科目变动分析表" helpId="101001035" helpText="注1：科目来源合并利润表和合并现金流量表（除研发支出）。上市公司如有科目需要披露，请自行添加。\n注2：结合行业发展、业务经营等情况分析变化的原因。\n如需删除变动原因说明，请通过模块-删除段落进行删除。" editSection="_GBC_d946d01b34d4418f87d2ffa61f8ee353" axisType="Column"/>
    <m:section xlName="_SEC_593b4c4eb33a4edb9c451b51de8804e0" title="公司利润构成或利润来源发生重大变动的详细说明" convertSummaryRule="NoConvert" helpId="101001035"/>
    <m:section xlName="_SEC_eabe373ea4a44068936322286f1ec6fe" title="收入和成本分析" helpId="101001037"/>
    <m:section xlName="_SEC_aa7718c852e84d458e04e912c587a7da" title="主营业务分行业、分产品、分地区、分销售模式情况" helpId="101001037" helpText="注：1.分别按照行业、产品列示占营业收入或营业利润10%以上的主要行业和产品。\n2.毛利率比上年同期增减的幅度,建议用两期毛利率的差额来填列。例如：本报告期毛利率为12%,上年同期为15%,则增减幅度为“-3%”。\n3.毛利率= （营业收入-营业成本）/营业收入 \n4.如确需调整，应当提供调整后的最近1年数据"/>
    <m:section xlName="_SEC_b85e1cad33344c94a1ecc713f9b7acbc" title="产销量情况分析表" helpId="101001037" helpText="注：填写生产量、库存量、销售量时，请在数据后面标注单位。"/>
    <m:item xlName="_GBC_7db64bb10282470b9d1599cd986236d4" concept="clcid-ci-ar:ShiFouShiYongZhongDaCaiGouHeTongZhongDaXiaoShouHeTongDeLvXingQingKuang" label="是否适用：重大采购合同、重大销售合同的履行情况 " selectOptions="_buildInAppliance" controlType="CustomCheckbox" cRanges="[{&quot;StartName&quot;:&quot;_GBC_7db64bb10282470b9d1599cd986236d4&quot;,&quot;EndName&quot;:&quot;_SEC_808c8d0343a546dd884456143a3c3ebc&quot;,&quot;CType&quot;:1}]"/>
    <m:section xlName="_SEC_f672aa6d42fb4ed88f0f0609f9c0c215" title="已签订的重大销售合同截至本报告期的履行情况" helpText="重大销售合同、重大采购合同的界定，按照《上海证券交易所上市公司自律监管指南第1号——公告格式》中《第七号 上市公司特别重大合同公告》的相关规定执行。特别重大合同是指上市公司及其控股子公司签订与日常生产经营活动相关的买卖、建筑工程等合同，达到下列标准之一的：（1）合同金额占上市公司最近一期经审计总资产的50%以上，且绝对金额超过5亿元人民币；（2）合同履行预计产生的净利润总额占上市公司最近一个会计年度经审计净利润的50％以上，且绝对金额超过500万元人民币；（3）合同金额占上市公司最近一个会计年度经审计营业收入或营业成本的50％以上，且绝对金额超过5亿元人民币；（4）其他可能对上市公司的资产、负债、权益和经营成果产生重大影响的合同。上述指标涉及的数据如为负值，取绝对值计算。"/>
    <m:section xlName="_SEC_808c8d0343a546dd884456143a3c3ebc" title="已签订的重大采购合同截至本报告期的履行情况" helpText="重大销售合同、重大采购合同的界定，按照《上海证券交易所上市公司自律监管指南第1号——公告格式》中《第七号 上市公司特别重大合同公告》的相关规定执行。特别重大合同是指上市公司及其控股子公司签订与日常生产经营活动相关的买卖、建筑工程等合同，达到下列标准之一的：（1）合同金额占上市公司最近一期经审计总资产的50%以上，且绝对金额超过5亿元人民币；（2）合同履行预计产生的净利润总额占上市公司最近一个会计年度经审计净利润的50％以上，且绝对金额超过500万元人民币；（3）合同金额占上市公司最近一个会计年度经审计营业收入或营业成本的50％以上，且绝对金额超过5亿元人民币；（4）其他可能对上市公司的资产、负债、权益和经营成果产生重大影响的合同。上述指标涉及的数据如为负值，取绝对值计算。"/>
    <m:section xlName="_SEC_de51976cba8242c1b32c1f5dc956546c" title="成本分析表" helpId="101001037"/>
    <m:section xlName="_SEC_7994c9389a294bdbaecc407b4132887e" title="报告期主要子公司股权变动导致合并范围变化 " helpId="101001037" helpText="如果因主要子公司股权变动导致合并范围变化，应当提供上年同口径的数据供投资者参考。"/>
    <m:section xlName="_SEC_d6cb17445afd40d08283b8668ce1d236" title="公司报告期内业务、产品或服务发生重大变化或调整有关情况" helpId="101001037" helpText="若报告期内业务、产品或服务发生重大变化或调整，公司应当介绍已推出或宣布推出的新产品及服务，并说明对公司经营及业绩的影响。"/>
    <m:item xlName="_GBC_a2403594b48a40da9560c8bc71e01f56" concept="clcid-ci-ar:ShiFouShiYongZhuYaoXiaoShouKeHuQingKuang" label="是否适用：主要销售客户情况" selectOptions="_buildInAppliance" controlType="CustomCheckbox" cRanges="[{&quot;StartName&quot;:&quot;_SEC_1e36f4c903d34dcaa490079809a25d63&quot;,&quot;EndName&quot;:&quot;_SEC_1e36f4c903d34dcaa490079809a25d63&quot;,&quot;CType&quot;:1}]"/>
    <m:section xlName="_SEC_1e36f4c903d34dcaa490079809a25d63" title="公司主要销售客户情况前五名客户销售额" helpId="101014011"/>
    <m:section xlName="_SEC_95ad638a4b6f4b4790b1d0f3690a45cd" title="报告期内向单个客户的销售比例超过总额的50%、前5名客户中存..." helpId="101014011" helpText="若报告期内向单个客户的销售比例超过总额的50%、前5名客户中存在新增客户的或严重依赖于少数客户，应披露其名称和销售额。"/>
    <m:item xlName="_GBC_fea16361481c4fe3babe7fcb670d973f" concept="clcid-ci-ar:ShiFouShiYongZhuYaoGongYingShangQingKuang" label="是否适用：主要供应商情况" selectOptions="_buildInAppliance" controlType="CustomCheckbox" cRanges="[{&quot;StartName&quot;:&quot;_SEC_3a7906474e0b449b832049e5ab89fb92&quot;,&quot;EndName&quot;:&quot;_SEC_3a7906474e0b449b832049e5ab89fb92&quot;,&quot;CType&quot;:1}]"/>
    <m:section xlName="_SEC_3a7906474e0b449b832049e5ab89fb92" title="公司主要供应商情况前五名供应商采购额" helpId="101014011"/>
    <m:section xlName="_SEC_3d1177daffc24273aa09c51395106f77" title="报告期内向单个供应商的采购比例超过总额的50%、前5名供应商..." helpId="101014011" helpText="若报告期内向单个供应商的采购比例超过总额的50%、前5名供应商中存在新增供应商的或严重依赖于少数供应商，应披露其名称和采购额。"/>
    <m:item xlName="_GBC_671f841429ed4c5aaa013b86ad58b88f" concept="clcid-mr:ZhuYaoXiaoShouKeHuJiZhuYaoGongYingShangQingKuangQiTaShuoMing" label="主要销售客户及主要供应商情况其他说明"/>
    <m:section xlName="_SEC_775a3421cf05469a8bf0b92a3e954a9d" title="费用" ignorePeriod="1" helpId="101001038"/>
    <m:section xlName="_SEC_7d98484d3b0a438487e1af19f740dceb" title="研发投入情况表" helpId="101001039"/>
    <m:section xlName="_SEC_0e96295bcf0243fa915a42a64988d5d2" title="研发人员情况表" helpId="101001039"/>
    <m:section xlName="_SEC_0004b40963e14f23a54c541fda51ba2e" title="情况说明" helpId="101001039"/>
    <m:section xlName="_SEC_1b0ac7c10221440292ebe3dc985f0f13" title="研发人员构成发生重大变化的原因及对公司未来发展的影响" helpId="101001039"/>
    <m:section xlName="_SEC_686d1eb4c39f48b6b19ee846f1749d81" title="现金流" ignorePeriod="1" helpId="101001040"/>
    <m:section xlName="_SEC_b0e1a8f55b6e4b79a965887836132040" title="非主营业务导致利润重大变化的说明" helpId="101001041"/>
    <m:item xlName="_GBC_73f72b786f764d01bef1bb70d2d6e5c6" concept="clcid-ci-ar:ShiFouShiYongZiChanFuZhaiQingKuangFenXi" label="是否适用：资产、负债情况分析" selectOptions="_buildInAppliance" controlType="CustomCheckbox" cRanges="{&quot;StartName&quot;:&quot;_GBC_73f72b786f764d01bef1bb70d2d6e5c6&quot;,&quot;EndName&quot;:&quot;_SEC_0a5a7a92c0314a60b3f3d11562efe5d4&quot;,&quot;CType&quot;:1,&quot;DisplayText&quot;:null}"/>
    <m:section xlName="_SEC_4a3163af8aaf45ec8cbbe30e595b76d7" title="资产及负债状况" helpId="101001042"/>
    <m:item xlName="_GBC_7c019689b55740839a263ecc68721e10" concept="clcid-ci-ar:ShiFouShiYongJingWaiZiChanQingKuang" label="是否适用：境外资产情况 " selectOptions="_buildInAppliance" controlType="CustomCheckbox" cRanges="[{&quot;StartName&quot;:&quot;_GBC_7c019689b55740839a263ecc68721e10&quot;,&quot;EndName&quot;:&quot;_SEC_54a1b1f3b7ce41b58074c979b6800c0c&quot;,&quot;CType&quot;:1}]"/>
    <m:section xlName="_SEC_9e4e03c6d4d8425d82c88aa9d52338da" title="资产规模" helpId="101001042"/>
    <m:section xlName="_SEC_54a1b1f3b7ce41b58074c979b6800c0c" title="境外资产占比较高的相关说明" helpId="101001042" helpText="若境外资产占总资产的比例大于或等于30%，一般认为境外资产占比较高。在此基础上，公司可以根据境外资产贡献收入、利润等情况，判断是否构成重要境外资产，进行披露。"/>
    <m:section xlName="_SEC_cd146e80d2e14aa4aac1142579c4c36a" title="截至报告期末主要资产受限情况" helpId="101001042"/>
    <m:section xlName="_SEC_0a5a7a92c0314a60b3f3d11562efe5d4" title="其他说明" helpId="101001042"/>
    <m:section xlName="_SEC_5860c602a88b4fa29c583d556917cd48" title="行业经营性信息分析" rules="R2015_R4_002" ignorePeriod="1" helpId="101001512" helpText="注：上市公司应当认真落实本所行业信息披露指引的要求，结合自身所处行业的经营特点在年报相关章节中进行分析。对于行业指引要求披露的，但公司未在其他章节中进行相应说明的内容，请在此处进行说明相关情况。"/>
    <m:section xlName="_SEC_d28423a428ce47f69f2ed8c40c73423f" title="报告期内房地产储备情况" rules="R2015_FDC_001|R2015_FDC_002|R2015_FDC_003|R2015_FDC_004" helpId="101001500" helpText="上市公司行业信息披露指引第二号——房地产（2020年修订）\n第三条 上市公司应当披露房地产储备情况，包括：\n（一）持有待开发土地（含待开发房产）的区域分布、土地总面积、规划计容建筑面积；\n（二）一级土地整理面积；\n（三）合作开发项目涉及的面积和权益占比等。" optionTargetConcept="clcid-ci-ar:FangDiChanHangYeJingYingXingXinXiFenXi" optionTargetConceptValue="true" keyAction="12" keyCode="1"/>
    <m:section xlName="_SEC_8bc4d8deed0441a592cb912b4d8f579a" title="报告期内房地产开发投资情况" rules="R2015_FDC_005" helpId="101001500" helpText="上市公司行业信息披露指引第二号——房地产（2020年修订）\n第四条 上市公司应当按照不同经营业态、区域分布，分项目披露房地产开发投资情况，包括：\n（一）在建项目、新开工项目及竣工项目的用地面积、规划计容建筑面积；\n（二）在建项目、新开工项目及竣工项目的总建筑面积、在建建筑面积、已竣工面积；\n（三）拟建和在建项目的总投资额、本年实际投资额等。" optionTargetConcept="clcid-ci-ar:FangDiChanHangYeJingYingXingXinXiFenXi" optionTargetConceptValue="true" keyAction="12" keyCode="1"/>
    <m:section xlName="_SEC_12f301b3d5d747c1b4e7f1deba8c0e7e" title="报告期内房地产销售情况  序号地区 项目经营业态可供..." helpId="101001500" helpText="上市公司行业信息披露指引第二号——房地产（2020年修订）\n第五条 上市公司应当按照不同经营业态、区域分布，分项目披露报告期内房地产销售和结转情况，包括：\n（一）可供出售面积、已售（含已预售）面积；\n（二）结转面积、结转收入金额、报告期末待结转面积等。" optionTargetConcept="clcid-ci-ar:FangDiChanHangYeJingYingXingXinXiFenXi" optionTargetConceptValue="true" keyAction="12" keyCode="1"/>
    <m:section xlName="_SEC_505765c4744a40c89731ddd9f3fdaa84" title="报告期内房地产出租情况" rules="R2015_FDC_007" helpId="101001500" helpText="上市公司行业信息披露指引第二号——房地产（2020年修订）\n第七条 上市公司应当按照不同经营业态、区域分布，分项目披露自持物业的建筑面积、权益比例及租金收入。鼓励公司按照不同经营业态、区域分布，分项目披露可出租面积、出租率、每平方米平均基本租金及同比变化情况等其他房地产出租信息。\n注：公司租金收入占营业收入10%以下的，可不填写该表格。" optionTargetConcept="clcid-ci-ar:FangDiChanHangYeJingYingXingXinXiFenXi" optionTargetConceptValue="true" keyAction="12" keyCode="1"/>
    <m:section xlName="_SEC_9edfbf3696704b70ad732d42146e169e" title="报告期内公司财务融资情况" rules="R2015_FDC_008" helpId="101001500" helpText="上市公司行业信息披露指引第二号——房地产（2020年修订）\n第九条 上市公司应当披露以下财务融资情况及投融资计划，包括：\n（一）期末融资总金额、平均融资成本、利息资本化金额等；\n（二）结合下一年度新增房地产储备计划、在建和拟建项目投资计划等，披露融资安排。" optionTargetConcept="clcid-ci-ar:FangDiChanHangYeJingYingXingXinXiFenXi" optionTargetConceptValue="true" keyAction="12" keyCode="1"/>
    <m:section xlName="_SEC_98955453bbe7426eae0c55949c02c150" title="房地产行业经营性信息分析其他情况说明" rules="R2015_FDC_009|R2015_FDC_010" helpId="101001500" optionTargetConcept="clcid-ci-ar:FangDiChanHangYeJingYingXingXinXiFenXi" optionTargetConceptValue="true" keyAction="12" keyCode="1"/>
    <m:section xlName="_SEC_3fe2ceb3f87f4c319dc247c4a8d6611b" title="煤炭主要经营情况" rules="R2015_MT_001|R2015_MT_002|R2015_MT_003" helpId="101001501" helpText="上市公司行业信息披露指引第三号——煤炭（2020年修订）\n第四条 上市公司应当按煤炭采掘和贸易、煤化工、运输、发电、煤矿装备等主要业务板块，披露销售量、销售价格、营业收入、营业成本、毛利率等主要经营和财务数据及其较前一年度的变动情况。" optionTargetConcept="clcid-ci-ar:MeiTanHangYeJingYingXingXinXiFenXi" optionTargetConceptValue="true" keyAction="12" keyCode="2"/>
    <m:section xlName="_SEC_f923c09fe29b4d9683dcd61eb563704f" title="煤炭储量情况" rules="R2015_MT_004" helpId="101001501" helpText="上市公司行业信息披露指引第三号——煤炭（2020年修订）\n第五条 上市公司应当披露各煤炭矿区资源情况，包括各主要矿区和主要煤炭品种的资源量、可采储量、证实储量等，同时披露相关储量的计算标准。" optionTargetConcept="clcid-ci-ar:MeiTanHangYeJingYingXingXinXiFenXi" optionTargetConceptValue="true" keyAction="12" keyCode="2"/>
    <m:section xlName="_SEC_df552dcaa9924243b548132b1dc58cc4" title="煤炭行业经营性信息分析其他情况说明" rules="R2015_MT_005|R2015_MT_006|R2015_MT_007|R2015_MT_008|R2015_MT_009|R2015_MT_010|R2015_MT_011|R2015_MT_012" helpId="101001501" optionTargetConcept="clcid-ci-ar:MeiTanHangYeJingYingXingXinXiFenXi" optionTargetConceptValue="true" keyAction="12" keyCode="2"/>
    <m:section xlName="_SEC_e42cceb171974ba4b301555fa8dfbec7" title="报告期末已开业门店分布情况" rules="R2015_LSY_001|R2015_LSY_002|R2015_LSY_003|R2015_LSY_004|R2015_LSY_006|R2015_LSY_007R2015_LSY_008|R2015_LSY_009|R2015_LSY_010" helpId="101001502" helpText="上市公司行业信息披露指引第五号——零售（2020年修订）\n第四条 上市公司应当按下列要求披露报告期末门店分布及变动情况：\n（一）门店分布情况。公司应当按经营业态及地区，披露报告期末各类门店的建筑面积、物业权属等信息。上市公司经营百货商场、购物中心业态的，应当按单个门店披露上述信息以及门店名称、地址、开业时间、租赁期限等有关信息；经营大型综合卖场等业态且门店数量较多的，应当披露营业收入前10家门店的上述信息。\n注：同一建筑内不同经营业态的门店分别计算门店数量。" optionTargetConcept="clcid-ci-ar:LingShouHangYeJingYingXingXinXiFenXi" optionTargetConceptValue="true" keyAction="12" keyCode="3"/>
    <m:section xlName="_SEC_6c036288588e4c92a37967883626ea86" title="零售行业经营性信息分析其他情况说明" rules="R2015_LSY_011|R2015_LSY_012|R2015_LSY_013|R2015_LSY_014|R2015_LSY_015|R2015_LSY_016|R2015_LSY_017|R2015_LSY_018" helpId="101001502" optionTargetConcept="clcid-ci-ar:LingShouHangYeJingYingXingXinXiFenXi" optionTargetConceptValue="true" keyAction="12" keyCode="3"/>
    <m:section xlName="_SEC_5e92a1d3b6904746a7dca4e1d9a39ac8" title="报告期内实体门店情况□适用  □不适用clcid-ci-..." rules="R2015_FZ_001|R2015_FZ_002|R2015_FZ_003|R2015_FZ_008" helpId="101001504" helpText="上市公司行业信息披露指引第十一号——服装（2020年修订）\n第六条 上市公司有实体门店销售终端的，应当按照直营店、加盟店以及其他更为符合公司实际经营特点的门店类型，分类披露以下门店分布、变动和店效情况：\n（二）门店增减情况，包括报告期末各类型门店的数量与上年同期相比的增减情况、报告期内新开门店的数量和类型、报告期末关闭门店的数量、类型和关闭原因。" optionTargetConcept="clcid-ci-ar:FuZhuangHangYeJingYingXingXinXiFenXi" optionTargetConceptValue="true" keyAction="12" keyCode="5"/>
    <m:section xlName="_SEC_2f31afd986b646ffb6192f069730a11f" title="报告期内各品牌的盈利情况" rules="R2015_FZ_004|R2015_FZ_005|R2015_FZ_006|R2015_FZ_007|R2015_FZ_010" helpId="101001504" helpText="上市公司行业信息披露指引第十一号——服装（2020年修订）\n第七条 上市公司应当按行业特点和自身经营模式，披露报告期内以下主营业务收入和主营业务利润的构成情况：\n（一）按照各项品牌及非品牌披露的营业收入、营业成本、毛利率及同比增减情况，相关数据变动30%以上的，应当披露变化原因。" optionTargetConcept="clcid-ci-ar:FuZhuangHangYeJingYingXingXinXiFenXi" optionTargetConceptValue="true" keyAction="12" keyCode="5"/>
    <m:section xlName="_SEC_43fe5d4a92dd4f9badaa7fcaa0ea0973" title="报告期内直营店和加盟店的盈利情况" rules="R2015_FZ_008|R2015_FZ_007|R2015_FZ_010" helpId="101001504" helpText="上市公司行业信息披露指引第十一号——服装（2020年修订）\n第七条 上市公司应当按行业特点和自身经营模式，披露报告期内以下主营业务收入和主营业务利润的构成情况：\n（二）按照直营店、加盟店等门店类型分项披露的营业收入、营业成本、毛利率及同比增减情况，相关数据变动30%以上的，应当披露变化原因。" optionTargetConcept="clcid-ci-ar:FuZhuangHangYeJingYingXingXinXiFenXi" optionTargetConceptValue="true" keyAction="12" keyCode="5"/>
    <m:section xlName="_SEC_3859f6b3684a4a76b0f9caca3bee8aea" title="报告期内线上、线下销售渠道的盈利情况" rules="R2015_FZ_009|R2015_FZ_010" helpId="101001504" helpText="上市公司行业信息披露指引第十一号——服装（2020年修订）\n第七条 上市公司应当按行业特点和自身经营模式，披露报告期内以下主营业务收入和主营业务利润的构成情况：\n（三）按照线上、线下销售分类披露的营业收入金额、所占比例、毛利率及同比增减情况，相关数据变动30%以上的，应当披露变化原因。" optionTargetConcept="clcid-ci-ar:FuZhuangHangYeJingYingXingXinXiFenXi" optionTargetConceptValue="true" keyAction="12" keyCode="5"/>
    <m:section xlName="_SEC_1d7b3f6bd6874d699fd41602f4696d18" title="报告期内各地区的盈利情况" rules="R2015_FZ_007" helpId="101001504" helpText="注:境外营业收入占比30%以上的，应按主要国家和地区分项披露。" optionTargetConcept="clcid-ci-ar:FuZhuangHangYeJingYingXingXinXiFenXi" optionTargetConceptValue="true" keyAction="12" keyCode="5"/>
    <m:section xlName="_SEC_789020809bc64d49991cdd6aad570066" title="服装行业经营性信息分析其他情况说明" rules="R2015_FZ_011|R2015_FZ_011|R2015_FZ_013" helpId="101001504" optionTargetConcept="clcid-ci-ar:FuZhuangHangYeJingYingXingXinXiFenXi" optionTargetConceptValue="true" keyAction="12" keyCode="5"/>
    <m:section xlName="_SEC_f9b26883733a46bb8f6bd7020f9c1d33" title="行业和主要药(产)品基本情况" rules="R2015_YY_001|R2015_YY_002|R2015_YY_003" helpId="101001505" optionTargetConcept="clcid-ci-ar:YiYaoZhiZaoHangYeJingYingXingXinXiFenXi" optionTargetConceptValue="true" keyAction="12" keyCode="6"/>
    <m:section xlName="_SEC_4e38ac15dca842818fb2cc7e7816d982" title="主要药（产）品基本情况" keyAction="12" keyCode="6"/>
    <m:item xlName="_GBC_c11fd5a9927e42da9ea465ea23d12dfc" concept="clcid-ci-ar:ShiFouShiYongZhuYaoYaoChanPinJiBenQingKuang" label="是否适用：主要药（产）品基本情况" selectOptions="_buildInAppliance" controlType="CustomCheckbox" keyCode="6" keyAction="12" cRanges="[{&quot;StartName&quot;:&quot;_GBC_c11fd5a9927e42da9ea465ea23d12dfc&quot;,&quot;EndName&quot;:&quot;_SEC_b1788aed6ad74346a53b7b842dfea6ec&quot;,&quot;CType&quot;:1}]"/>
    <m:section xlName="_SEC_7f5766cc9d7a447eb6367baeebf4093b" title="按治疗领域划分的主要药（产）品基本情况" rules="R2015_YY_003|R2015_YY_021" helpId="101001505" helpText="上市公司行业信息披露指引第七号——医药制造（2020年修订）\n第四条 上市公司应当分别按照医药制造细分行业、主要治疗领域和公司认为更有利于满足投资者行业信息需求的其他分类标准，披露下列与公司主要药（产）品有关的信息：\n（一）药（产）品基本信息；\n（二）发明专利起止期限（如适用）；\n（三）是否属于报告期内推出的新药（产）品；\n（四）是否纳入《国家基本药物目录》以及国家级、省级《基本医疗保险、工伤保险和生育保险药品目录》，以及新进入及退出情况；\n（五）本所或公司认为其他需要披露的药（产）品信息。" optionTargetConcept="clcid-ci-ar:YiYaoZhiZaoHangYeJingYingXingXinXiFenXi" optionTargetConceptValue="true" keyAction="12" keyCode="6"/>
    <m:section xlName="_SEC_03e29ee98df44e9caadf2f485a172b0f" title="报告期内纳入、新进入和退出基药目录、医保目录的主要药（产）品情况" rules="R2015_YY_013" helpId="101001505" helpText="上市公司行业信息披露指引第七号——医药制造（2020年修订）\n第四条 上市公司应当分别按照医药制造细分行业、主要治疗领域和公司认为更有利于满足投资者行业信息需求的其他分类标准，披露下列与公司主要药（产）品有关的信息：\n（四）是否纳入《国家基本药物目录》以及国家级、省级《基本医疗保险、工伤保险和生育保险药品目录》，以及新进入及退出情况。" optionTargetConcept="clcid-ci-ar:YiYaoZhiZaoHangYeJingYingXingXinXiFenXi" optionTargetConceptValue="true" keyAction="12" keyCode="6"/>
    <m:section xlName="_SEC_17e36450fe0843f0a15bc83f70132d5a" title="在药品集中招标采购中的中标情况" rules="R2015_YY_014" helpId="101001505" helpText="上市公司行业信息披露指引第七号——医药制造（2020年修订）\n第五条 上市公司应当披露报告期内公司主要药品在国家级、省级药品集中招标采购中的中标情况，包括药品名称、中标价格区间、医疗机构的合计实际采购量及对公司的影响等。\n填写中标价格、采购数量时，请在数据后面标注单位" optionTargetConcept="clcid-ci-ar:YiYaoZhiZaoHangYeJingYingXingXinXiFenXi" optionTargetConceptValue="true" keyAction="12" keyCode="6"/>
    <m:section xlName="_SEC_049be928b4054935bcdb6fb4562e8b29" title="在药品集中招标采购中的中标情况说明" helpId="101001505" optionTargetConcept="clcid-ci-ar:YiYaoZhiZaoHangYeJingYingXingXinXiFenXi" optionTargetConceptValue="true" keyAction="12" keyCode="6"/>
    <m:section xlName="_SEC_cb1fa552b4cf4158b1aa6537bf85ec5f" title="按治疗领域划分的公司主营业务基本情况" rules="R2015_YY_014|R2015_YY_015|R2015_YY_016|R2015_YY_017|R2015_YY_018|" helpId="101001505" helpText="上市公司行业信息披露指引第七号——医药制造（2020年修订）\n第六条 上市公司应当按照药（产）品的主要治疗领域，分别披露报告期营业收入、营业成本、毛利率及同比增减情况，并进行同行业对比。相关数据同比变化达30%以上的，应当说明发生变化的原因。\n上市公司可以按照主要药（产）品分类或公司认为更有利于满足投资者行业信息需求的其他分类标准，进一步多维度地披露前款规定的经营信息。" optionTargetConcept="clcid-ci-ar:YiYaoZhiZaoHangYeJingYingXingXinXiFenXi" optionTargetConceptValue="true" keyAction="12" keyCode="6"/>
    <m:section xlName="_SEC_b1788aed6ad74346a53b7b842dfea6ec" title="按治疗领域划分的公司主营业务基本情况说明" helpId="101001505" helpText="注：《上市公司行业信息披露指引第七号——医药制造》\n第八条 上市公司应当按照其药（产）品的主要治疗领域，分别披露报告期营业收入、营业成本、毛利率及同比增减情况，并进行同行业对比。相关数据同比变化达30%以上的，应当说明发生重大变化的原因。\n上市公司可以按照主要药（产）品分类或公司认为更有利于满足投资者行业信息需求的其他分类标准，进一步多维度地披露前款规定的经营信息。" optionTargetConcept="clcid-ci-ar:YiYaoZhiZaoHangYeJingYingXingXinXiFenXi" optionTargetConceptValue="true" keyAction="12" keyCode="6"/>
    <m:section xlName="_SEC_baa19c4feb46491d85c9bb4fc92df673" title="公司药（产）品研发情况研发总体情况" rules="R2015_YY_004|R2015_YY_005|R2015_YY_006|R2015_YY_007|R2015_YY_008|R2015_YY_009|R2015_YY_010|R2015_YY_011" ignorePeriod="1" helpId="101001505" helpText="上市公司行业信息披露指引第七号——医药制造（2020年修订）\n第七条 上市公司应当披露下列与公司药（产）品研发有关的信息：\n（一）研发总体情况、主要研发领域方向及发展计划。\n（七）本所或公司认为其他需要披露的研发信息。" optionTargetConcept="clcid-ci-ar:YiYaoZhiZaoHangYeJingYingXingXinXiFenXi" optionTargetConceptValue="true" keyAction="12" keyCode="6"/>
    <m:section xlName="_SEC_543257054501423cab2f57da514f3264" title="主要研发项目基本情况  单位：万元币种：人民币研发项目..." helpId="101001505" helpText="上市公司行业信息披露指引第七号——医药制造（2020年修订）\n第七条 上市公司应当披露下列与公司药（产）品研发有关的信息：\n（二）主要研发项目基本情况，包括药（产）品基本信息、研发（注册）所处阶段等。\n（六）主要药品开展一致性评价的情况。" keyAction="12" keyCode="6"/>
    <m:section xlName="_SEC_d3ba4e71bf054c9e8ad398d2ea9e6395" title="报告期内内呈交监管部门审批、通过审批的药（产）品情况" helpId="101001505" helpText="上市公司行业信息披露指引第七号——医药制造（2020年修订）\n第七条 上市公司应当披露下列与公司药（产）品研发有关的信息：\n（三）呈交国家药品监管部门审批、通过审批的药（产）品基本信息、审批类型及其对公司的影响。\n（五）未能获得国家药品监管部门审批的药（产）品情况、原因及对公司的影响。" keyAction="12" keyCode="6"/>
    <m:section xlName="_SEC_b054178c8f1f48058b94f2b8f79932f3" title="报告期内主要研发项目取消或药（产）品未获得审批情况" helpId="101001505" helpText="上市公司行业信息披露指引第七号——医药制造（2020年修订）\n第七条 上市公司应当披露下列与公司药（产）品研发有关的信息：\n（四）主要研发项目的取消情况、原因及对公司的影响。" keyAction="12" keyCode="6"/>
    <m:section xlName="_SEC_177d9a5d9f96446592bf8653a4eda722" title="研发会计政策  _____" helpId="101001505" helpText="上市公司行业信息披露指引第七号——医药制造（2020年修订）\n第八条 上市公司应当结合医药制造行业、所处细分行业特点和自身研发模式，披露报告期内公司下列研发投入信息：\n（一）公司研发的会计政策，研究阶段和开发阶段的划分标准，开发阶段有关支出资本化的具体条件，以及与研发相关的无形资产确认、计量的具体会计政策。" keyAction="12" keyCode="6"/>
    <m:section xlName="_SEC_00d4bae8efcd4204a37f0c0001f15609" title="同行业比较情况" rules="R2015_YY_020" helpId="101001505" helpText="上市公司行业信息披露指引第七号——医药制造（2020年修订）\n第八条 上市公司应当结合医药制造行业、所处细分行业特点和自身研发模式，披露报告期内公司下列研发投入信息：\n（二）公司研发投入总额、占公司最近一期经审计的净资产和营业收入的比例、资本化比重。相关数据同比变化达30%以上的，应当说明发生变化的原因。" optionTargetConcept="clcid-ci-ar:YiYaoZhiZaoHangYeJingYingXingXinXiFenXi" optionTargetConceptValue="true" keyAction="12" keyCode="6"/>
    <m:section xlName="_SEC_9f484543c2474e7db7e95ecaa5e478c3" title="研发投入发生重大变化以及研发投入比重合理性的说明" ignorePeriod="1" helpId="101001505" helpText="上市公司行业信息披露指引第七号——医药制造（2020年修订）\n第八条 上市公司应当结合医药制造行业、所处细分行业特点和自身研发模式，披露报告期内公司下列研发投入信息：\n（三）与同行业可比公司的研发投入比例、资本化比重进行比较，说明合理性。" optionTargetConcept="clcid-ci-ar:YiYaoZhiZaoHangYeJingYingXingXinXiFenXi" optionTargetConceptValue="true" keyAction="12" keyCode="6"/>
    <m:section xlName="_SEC_317eabcd268d462685f072a9fae6e8a5" title="主要研发项目投入情况" helpId="101001505" helpText="上市公司行业信息披露指引第七号——医药制造（2020年修订）\n第八条 上市公司应当结合医药制造行业、所处细分行业特点和自身研发模式，披露报告期内公司下列研发投入信息：\n（四）公司主要研发项目的研发投入总额、费用化和资本化的金额、研发投入同比变动、研发投入占营业收入的比例。" keyAction="12" keyCode="6"/>
    <m:section xlName="_SEC_2348930dfc6d42a59bd695917a5b7733" title="公司主要销售模式分析" rules="R2015_YY_016" helpId="101001505" helpText="上市公司行业信息披露指引第七号——医药制造（2020年修订）\n第九条 上市公司应当披露公司主要销售模式，并按照主要客户类型、销售渠道等分类披露对应的营业收入及其占比和同比变动，说明主要药（产）品终端市场定价原则及其可能存在的经营风险。" optionTargetConcept="clcid-ci-ar:YiYaoZhiZaoHangYeJingYingXingXinXiFenXi" optionTargetConceptValue="true" keyAction="12" keyCode="6"/>
    <m:section xlName="_SEC_75679abd95db4457acb918c1ab6e2c2c" title="销售费用情况分析销售费用具体构成" rules="R2015_YY_017|R2015_YY_018" helpId="101001505" helpText="上市公司行业信息披露指引第七号——医药制造（2020年修订）\n第十条 上市公司应当结合医药制造业及所处细分行业特点、销售模式、销售渠道，披露报告期内下列销售费用信息：\n（一）销售费用的具体构成，包括市场（学术）推广费、广告费、销售渠道费用等的开支及比重情况。" optionTargetConcept="clcid-ci-ar:YiYaoZhiZaoHangYeJingYingXingXinXiFenXi" optionTargetConceptValue="true" keyAction="12" keyCode="6"/>
    <m:section xlName="_SEC_7e20358708f8494284b395ab68c39e06" title="同行业比较情况" helpId="101001505" helpText="上市公司行业信息披露指引第七号——医药制造（2020年修订）\n第十条 上市公司应当结合医药制造业及所处细分行业特点、销售模式、销售渠道，披露报告期内下列销售费用信息：\n（二）销售费用占同期营业收入的比例。相关数据同比变化达30%以上的，应当说明发生变化的原因。" optionTargetConcept="clcid-ci-ar:YiYaoZhiZaoHangYeJingYingXingXinXiFenXi" optionTargetConceptValue="true" keyAction="12" keyCode="6"/>
    <m:section xlName="_SEC_f1f509b66748470cab685f8424f3914e" title="销售费用发生重大变化以及销售费用合理性的说明" helpId="101001505" helpText="上市公司行业信息披露指引第七号——医药制造（2020年修订）\n第十条 上市公司应当结合医药制造业及所处细分行业特点、销售模式、销售渠道，披露报告期内下列销售费用信息：\n（三）与同行业可比公司的销售费用率进行比较，说明公司销售费用发生的合理性以及控制费用措施的有效性。" optionTargetConcept="clcid-ci-ar:YiYaoZhiZaoHangYeJingYingXingXinXiFenXi" optionTargetConceptValue="true" keyAction="12" keyCode="6"/>
    <m:section xlName="_SEC_7a5f68cca72147339348516ee7a29ab5" title="其他说明  " rules="" helpId="101001505" optionTargetConcept="clcid-ci-ar:YiYaoZhiZaoHangYeJingYingXingXinXiFenXi" optionTargetConceptValue="true" keyAction="12" keyCode="6"/>
    <m:section xlName="_SEC_0c7c85a6f41445c6ae3cf787e557914e" title="报告期内电量电价情况" rules="R2015_DL_001|R2015_DL_002|R2015_DL_005" helpId="101001506" helpText="如有多个行组披露，需先添加行组后再进行黏贴功能" optionTargetConcept="clcid-ci-ar:DianLiHangYeJingYingXingXinXiFenXi" optionTargetConceptValue="true" keyAction="12" keyCode="7" otherKeyActions="{&quot;KeyCode&quot;:&quot;NO_FIX_TAG&quot;,&quot;KeyAction&quot;:31,&quot;KeyActionTitle&quot;:null,&quot;OtherActions&quot;:null}"/>
    <m:section xlName="_SEC_9f31d36a2eed4323b5c7319f7820c539" title="报告期内电量、收入及成本情况" rules="R2015_DL_003" helpId="101001506" optionTargetConcept="clcid-ci-ar:DianLiHangYeJingYingXingXinXiFenXi" optionTargetConceptValue="true" keyAction="12" keyCode="7"/>
    <m:section xlName="_SEC_fb0fc05566cf432ba2366d104bdfcea6" title="装机容量情况分析" rules="R2015_DL_004" helpId="101001506" helpText="上市公司行业信息披露指引第四号——电力（2020年修订）\n第五条 上市公司应当披露装机容量情况。公司应当按地区和电源种类，披露境内外控股电力公司总装机容量、新投产机组的装机容量、核准和在建项目的计划装机容量。" optionTargetConcept="clcid-ci-ar:DianLiHangYeJingYingXingXinXiFenXi" optionTargetConceptValue="true" keyAction="12" keyCode="7"/>
    <m:section xlName="_SEC_ac6d169540554b4394b1f3293b75d35f" title="发电效率情况分析" rules="R2015_DL_006" helpId="101001506" helpText="上市公司行业信息披露指引第四号——电力（2020年修订）\n第八条 上市公司应当披露发电效率情况。公司应当按总量、分地区和电源种类，披露报告期内发电厂用电率、利用小时数及其与上年度差异。" optionTargetConcept="clcid-ci-ar:DianLiHangYeJingYingXingXinXiFenXi" optionTargetConceptValue="true" keyAction="12" keyCode="7"/>
    <m:section xlName="_SEC_da8d0149313a433bb7a96880036d9b36" title="资本性支出情况" rules="R2015_DL_009" helpId="101001506" helpText="上市公司行业信息披露指引第四号——电力（2020年修订）\n第十三条 上市公司应当披露资本性支出情况。公司应当披露资本性支出计划总金额、资金来源及使用情况；并按项目披露报告期内资本性支出项目进展，包括项目总预算、项目进度、报告期投入金额、累计实际投入金额以及报告期项目收益情况等。" optionTargetConcept="clcid-ci-ar:DianLiHangYeJingYingXingXinXiFenXi" optionTargetConceptValue="true" keyAction="12" keyCode="7"/>
    <m:section xlName="_SEC_57bf65a9edea42549326ced2d6734d6d" title="电力市场化交易" helpId="101001506" optionTargetConcept="clcid-ci-ar:DianLiHangYeJingYingXingXinXiFenXi" optionTargetConceptValue="true" keyAction="12" keyCode="7"/>
    <m:section xlName="_SEC_05055723b04648c9b4ca274081b5e545" title="售电业务经营情况" helpId="101001506" optionTargetConcept="clcid-ci-ar:DianLiHangYeJingYingXingXinXiFenXi" optionTargetConceptValue="true" keyAction="12" keyCode="7"/>
    <m:section xlName="_SEC_14726913193d4968b44e63f6da36d496" title="其他说明" helpId="101001506" keyAction="12" keyCode="7"/>
    <m:section xlName="_SEC_e385897f29db4e0a9f33fc44a7c3a56e" title="汽车制造行业经营性信息分析" rules="R2015_QC_001|R2015_QC_002|R2015_QC_003|R2015_QC_004|R2015_QC_005|R2015_QC_006|R2015_QC_008" helpId="101001507" helpText="注：本部分有关用语含义适用《上市公司行业信息披露指引第六号——汽车制造》第二十二条的规定。 " keyAction="12" keyCode="8"/>
    <m:section xlName="_SEC_fdd8971a35984b28a4c8c007e7cd751d" title="产能状况" rules="R2015_QC_007" helpId="101001507" helpText="上市公司行业信息披露指引第六号——汽车制造（2020年修订）\n第五条 上市公司应当披露产能状况，包括以列表方式披露公司主要工厂的设计产能、产能利用率、在建产能及其投资建设情况，并披露本公司的产能计算方法。\n注：填写表格应当确定产能的单位，如整车可以用辆、万辆，汽车零部件的单位根据实际情况确定。" optionTargetConcept="clcid-ci-ar:QiCheZhiZaoHangYeJingYingXingXinXiFenXi" optionTargetConceptValue="true" keyAction="12" keyCode="8"/>
    <m:section xlName="_SEC_00bd83d714dd4def86fbe0d8e41e5570" title="整车产销量" rules="R2015_QC_009|R2015_QC_010|R2015_QC_011|R2015_QC_012" helpId="101001507" helpText="上市公司行业信息披露指引第六号——汽车制造（2020年修订）\n第八条 上市公司整车制造业务收入占公司主营业务收入10%以上的，应当单独披露下列反映报告期内整车经营业务的信息：\n（一）整车产销量，包括按车型类别、境内和境外地区或其他方式分类统计的整车产品产销数据，以及导致相关数据同比变化幅度超过30%的行业及自身经营因素。" optionTargetConcept="clcid-ci-ar:QiCheZhiZaoHangYeJingYingXingXinXiFenXi" optionTargetConceptValue="true" keyAction="12" keyCode="8"/>
    <m:section xlName="_SEC_5030eaaf77c7441b85ef3a61158665af" title="零部件产销量  按零部件类别  　 销 量产 量..." rules="R2015_QC_013|R2015_QC_014|R2015_QC_015" helpId="101001507" helpText="上市公司行业信息披露指引第六号——汽车制造（2020年修订）\n第九条 上市公司汽车零部件制造业务对外销售收入占公司主营业务收入10%以上的，应当单独披露下列反映报告期内零部件经营业务的信息：\n（一）零部件产销量，包括按零部件类别、整车配套和售后服务不同市场、境内和境外地区或其他方式分类统计的零部件产销数据，以及导致相关数据同比变化幅度超过30%的行业及自身经营因素。\n注：上市公司应当根据实际情况确定汽车零部件的产销量单位。" optionTargetConcept="clcid-ci-ar:QiCheZhiZaoHangYeJingYingXingXinXiFenXi" optionTargetConceptValue="true" keyAction="12" keyCode="8"/>
    <m:section xlName="_SEC_e80088fd7f1a423ea15a07de619f22b7" title="新能源汽车业务  新能源汽车产能状况  主要工厂名..." rules="R2015_QC_016|R2015_QC_017" helpId="101001507" helpText="上市公司行业信息披露指引第六号——汽车制造（2020年修订）\n第十条 上市公司开展新能源汽车相关业务的，应当参照前述规定，单独披露报告期内新能源汽车整车及零部件经营情况，包括战略规划、技术路线、产品类别、车型结构、产能、产销量数据、销售收入、竞争优势，以及动力电池、电机、电控系统等核心零部件的研发、生产、对外采购情况等信息。\n上市公司应当量化分析政府补贴对公司新能源汽车相关业务的影响，并提示政策风险。" optionTargetConcept="clcid-ci-ar:QiCheZhiZaoHangYeJingYingXingXinXiFenXi" optionTargetConceptValue="true" keyAction="12" keyCode="8"/>
    <m:section xlName="_SEC_81cf03a8f7c04406a0a5ae22433c329b" title="汽车金融业务" keyAction="12" keyCode="8"/>
    <m:item xlName="_GBC_143ceb5c99a44c56970fdf1ee09f6c52" concept="clcid-ci-ar:ShiFouShiYongQiCheJinRongYeWu" label="是否适用：汽车金融业务 " selectOptions="_buildInAppliance" controlType="CustomCheckbox" keyCode="8" keyAction="12" cRanges="[{&quot;StartName&quot;:&quot;_GBC_143ceb5c99a44c56970fdf1ee09f6c52&quot;,&quot;EndName&quot;:&quot;_SEC_1aa5207f28b144acab85dc462a28b908&quot;,&quot;CType&quot;:1}]"/>
    <m:section xlName="_SEC_5c4efa36ae734ee9b84be3521f75c720" title="汽车金融业务情况" keyAction="12" keyCode="8"/>
    <m:section xlName="_SEC_83ecf00323f14d708200bc448b74577a" title="汽车金融业务情况" repeatable="2" helpId="101001507" keyAction="12" keyCode="8">
      <m:virtualTuples>
        <m:virtualTuple id="1bec3a61-f7c6-431b-b1cf-f1ab11e1ff10" tupleRef="clcid-mr:QiCheJinRongYeWuJiBenQingKuangMingXi" extendDirection="1"/>
      </m:virtualTuples>
    </m:section>
    <m:section xlName="_SEC_1aa5207f28b144acab85dc462a28b908" title="贷款五级分类分布情况 " helpId="101001507" keyAction="12" keyCode="8"/>
    <m:section xlName="_SEC_fc45036dbd3544789e68dba0f55e3f6e" title="汽车制造行业经营性信息分析其他情况说明" rules="R2015_QC_018|R2015_QC_019|R2015_QC_020|R2015_QC_021|R2015_QC_022" helpId="101001507" optionTargetConcept="clcid-ci-ar:QiCheZhiZaoHangYeJingYingXingXinXiFenXi" optionTargetConceptValue="true" keyAction="12" keyCode="8"/>
    <m:section xlName="_SEC_c8267624cfb440848da63ea2f61e2360" title="行业经营性信息分析" rules="R2015_GF_001|R2015_GF_002|R2015_GF_003" helpId="101001508" helpText="注：\n1、公司应当根据所生产光伏产品的类别，选择适用的披露项目。\n2、相关光伏产品生产和在建产能情况、主要财务指标等可采用推荐表格方式予以披露。" optionTargetConcept="clcid-ci-ar:GuangFuHangYeJingYingXingXinXiFenXi" optionTargetConceptValue="true" keyAction="12" keyCode="9"/>
    <m:section xlName="_SEC_2f50df982358490eb6aae9247270c6be" title="光伏电站信息" rules="R2015_GF_004" helpId="101001508" helpText="注：光伏电站工程承包或开发项目等信息可采用推荐表格方式予以披露。" optionTargetConcept="clcid-ci-ar:GuangFuHangYeJingYingXingXinXiFenXi" optionTargetConceptValue="true" keyAction="12" keyCode="9"/>
    <m:section xlName="_SEC_84a9220eff6341ff8ab805660944b0a9" title="单位：万元币种：人民币本年度光伏电站累计运营情况：..." helpId="101001508" keyAction="12" keyCode="9"/>
    <m:section xlName="_SEC_3cc256b2627f48ff80089db2ec2e987c" title="光伏电站运营信息" rules="R2015_GF_004" helpId="101001508" helpText="注：光伏电站工程承包或开发项目等信息可采用推荐表格方式予以披露。" optionTargetConcept="clcid-ci-ar:GuangFuHangYeJingYingXingXinXiFenXi" optionTargetConceptValue="true" keyAction="12" keyCode="9"/>
    <m:section xlName="_SEC_6f9d182e9a014a4c82d94719fbc6bb64" title="光伏产品生产和在建产能情况" rules="R2015_GF_005|R2015_GF_006" helpId="101001508" helpText="注：公司应当根据所生产光伏产品的类别，选择适用的披露项目。" optionTargetConcept="clcid-ci-ar:GuangFuHangYeJingYingXingXinXiFenXi" optionTargetConceptValue="true" keyAction="12" keyCode="9"/>
    <m:section xlName="_SEC_2063eae5b10149ff9e241c51dd85b990" title="光伏产品主要财务指标" rules="R2015_GF_005|R2015_GF_006" helpId="101001508" helpText="注：公司应当根据所生产光伏产品的类别，选择适用的披露项目。" optionTargetConcept="clcid-ci-ar:GuangFuHangYeJingYingXingXinXiFenXi" optionTargetConceptValue="true" keyAction="12" keyCode="9">
      <m:virtualTuples>
        <m:virtualTuple id="8ca239e2-0e2e-42d6-bddf-c936ecf5b0ba" tupleRef="clcid-mr:GuangFuChanPinZhuYaoCaiWuZhiBiaoMingXi" extendDirection="2" splitWidth="1"/>
      </m:virtualTuples>
    </m:section>
    <m:section xlName="_SEC_39ef735b7d4f48a689c3b2e9af25c5a3" title="光伏产品实现境外销售的，应当分国家或地区列示" keyAction="12" keyCode="9"/>
    <m:item xlName="_GBC_76d501cc4a1c400394530f0d9b23147c" concept="clcid-ci-ar:ShiFouShiYongGuangFuChanPinShiXianJingWaiXiaoShouDeYingDangFenGuoJiaHuoDiQuLieShi" label="是否适用：光伏产品实现境外销售的，应当分国家或地区列示" selectOptions="_buildInAppliance" controlType="CustomCheckbox" keyCode="9" keyAction="12" cRanges="[{&quot;StartName&quot;:&quot;_GBC_76d501cc4a1c400394530f0d9b23147c&quot;,&quot;EndName&quot;:&quot;_SEC_8787e83beb8b48d99bd7c550b96ae131&quot;,&quot;CType&quot;:1}]"/>
    <m:section xlName="_SEC_8787e83beb8b48d99bd7c550b96ae131" title="实现境外销售的光伏产品" tupleConcept="clcid-mr:JingWaiXiaoShouDeGuangFuChanPinMingXi" repeatable="1" helpId="101001508" keyAction="12" keyCode="9"/>
    <m:section xlName="_SEC_1f0f0fc47aae4227b37b66118f147591" title="光伏电站工程承包或开发项目信息" rules="R2015_GF_005|R2015_GF_006" helpId="101001508" helpText="注：公司应当针对工程承包和项目各自的业务特点，选择适用的披露项目。" optionTargetConcept="clcid-ci-ar:GuangFuHangYeJingYingXingXinXiFenXi" optionTargetConceptValue="true" keyAction="12" keyCode="9"/>
    <m:section xlName="_SEC_c563a101c0e74faeaa1237923710d604" title="光伏行业经营性信息分析其他情况说明" rules="R2015_GF_007|R2015_GF_008|R2015_GF_009" helpId="101001508" optionTargetConcept="clcid-ci-ar:GuangFuHangYeJingYingXingXinXiFenXi" optionTargetConceptValue="true" keyAction="12" keyCode="9"/>
    <m:section xlName="_SEC_3d1c279f04a0408b8b8e5c21f7878cbc" title="出版传媒行业经营性信息分析" rules="R2015_WXCB_001|R2015_WXCB_002|R2015_WXCB_003|R2015_WXCB_004|R2015_WXCB_005|R2015_WXCB_006|R2015_WXCB_007|R2015_WXCB_008|R2015_WXCB_009|R2015_WXCB_010|R2015_WXCB_011" keyAction="12" keyCode="10"/>
    <m:section xlName="_SEC_ce58e3e4138f4431a68df37fca7db021" title="主要业务板块概况" rules="R2015_WXCB_003" helpId="101001509" helpText="注：可以根据业务特性进一步细分或补充。" optionTargetConcept="clcid-ci-ar:ChuBanChuanMeiHangYeJingYingXingXinXiFenXi" optionTargetConceptValue="true" keyAction="12" keyCode="10"/>
    <m:section xlName="_SEC_3fd3e870ab8a444594f16b2844f22bd8" title="各业务板块经营信息出版业务" rules="R2015_WXCB_004" helpId="101001509" helpText="注：可以根据业务特性进一步细分主要成本构成，根据实际情况添加或更改名称。\n上市公司行业信息披露指引第十二号——新闻出版（2020年修订）\n第四条 上市公司从事教材教辅出版业务的，应当披露以下信息：\n（二）自编教材教辅和租型出版教材教辅的销售码洋、营业收入、营业成本、租型费用、毛利率、增长率等。\n第六条 上市公司从事一般图书出版业务的，应当披露以下经营信息：\n（四）一般图书出版业务的主要成本费用，包括版权费、稿酬、印刷成本、物流成本、公司主要推广促销活动相关费用等。" optionTargetConcept="clcid-ci-ar:ChuBanChuanMeiHangYeJingYingXingXinXiFenXi" optionTargetConceptValue="true" keyAction="12" keyCode="10"/>
    <m:section xlName="_SEC_bd992e503bb8424981e9b32ebc1f8ac7" title="教材教辅出版业务" rules="R2015_WXCB_004" helpId="101001509" helpText="上市公司行业信息披露指引第十二号——新闻出版（2020年修订）第四条" optionTargetConcept="clcid-ci-ar:ChuBanChuanMeiHangYeJingYingXingXinXiFenXi" optionTargetConceptValue="true" keyAction="12" keyCode="10"/>
    <m:section xlName="_SEC_22deae96b1464b608a5a2ce003d02949" title="一般图书出版业务" rules="R2015_WXCB_006" helpId="101001509" helpText="上市公司行业信息披露指引第十二号——新闻出版（2020年修订）第六条。" optionTargetConcept="clcid-ci-ar:ChuBanChuanMeiHangYeJingYingXingXinXiFenXi" optionTargetConceptValue="true" keyAction="12" keyCode="10"/>
    <m:section xlName="_SEC_32b0e76bcc794972afd81a0ba919d1fb" title="发行业务教材教辅发行业务" rules="R2015_WXCB_005" helpId="101001509" helpText="上市公司行业信息披露指引第十二号——新闻出版（2020年修订）第五条。" optionTargetConcept="clcid-ci-ar:ChuBanChuanMeiHangYeJingYingXingXinXiFenXi" optionTargetConceptValue="true" keyAction="12" keyCode="10"/>
    <m:section xlName="_SEC_665f5b79806741f0975644459fdfc76b" title="一般图书发行业务" rules="R2015_WXCB_007" helpId="101001509" helpText="上市公司行业信息披露指引第十二号——新闻出版（2020年修订）第七条。" optionTargetConcept="clcid-ci-ar:ChuBanChuanMeiHangYeJingYingXingXinXiFenXi" optionTargetConceptValue="true" keyAction="12" keyCode="10"/>
    <m:section xlName="_SEC_3c58bfad4397421b97209fbce0286f7c" title="销售网点相关情况" helpId="101001509" helpText="上市公司行业信息披露指引第十二号——新闻出版（2020年修订）第八条。" optionTargetConcept="clcid-ci-ar:ChuBanChuanMeiHangYeJingYingXingXinXiFenXi" optionTargetConceptValue="true" keyAction="12" keyCode="10"/>
    <m:section xlName="_SEC_787959a12ddc46b58334d6876925034f" title="新闻传媒业务报刊业务□适用  □不适用clcid-ci..." rules="R2015_WXCB_008" helpId="101001509" helpText="上市公司行业信息披露指引第十二号——新闻出版（2020年修订）第九条。" optionTargetConcept="clcid-ci-ar:ChuBanChuanMeiHangYeJingYingXingXinXiFenXi" optionTargetConceptValue="true" keyAction="12" keyCode="10"/>
    <m:section xlName="_SEC_1749d8c299b543c68c84339279b5dcfe" title="主要报刊情况" rules="R2015_WXCB_008" helpId="101001509" helpText="上市公司行业信息披露指引第十二号——新闻出版（2020年修订）\n第九条 上市公司从事报纸和期刊出版发行等新闻传媒业务的，应当披露以下经营信息：\n（二）主要报刊及类别、主要发行区域、对应的营业收入、发行量及占比。" optionTargetConcept="clcid-ci-ar:ChuBanChuanMeiHangYeJingYingXingXinXiFenXi" optionTargetConceptValue="true" keyAction="12" keyCode="10"/>
    <m:section xlName="_SEC_b1d0fea325394455baf748ab95e43c80" title="报刊出版发行的收入和成本构成" helpId="101001509" helpText="上市公司行业信息披露指引第十二号——新闻出版（2020年修订）\n第九条 上市公司从事报纸和期刊出版发行等新闻传媒业务的，应当披露以下经营信息：\n（三）主要经营数据，包括营业成本、报刊发行收入、广告收入、其他相关服务或活动收入等，及各收入占比和其毛利率等。" optionTargetConcept="clcid-ci-ar:ChuBanChuanMeiHangYeJingYingXingXinXiFenXi" optionTargetConceptValue="true" keyAction="12" keyCode="10"/>
    <m:section xlName="_SEC_296fc7ebdcec4eb79eae45583fd9532a" title="广告业务" helpId="101001509" helpText="上市公司行业信息披露指引第十二号——新闻出版（2020年修订）第十条" optionTargetConcept="clcid-ci-ar:ChuBanChuanMeiHangYeJingYingXingXinXiFenXi" optionTargetConceptValue="true" keyAction="12" keyCode="10"/>
    <m:section xlName="_SEC_a7744f09753e4445a70325e3a4ab16b6" title="出版传媒其他业务情况说明" rules="R2015_WXCB_009|R2015_WXCB_010|R2015_WXCB_011" helpId="101001509" helpText="上市公司行业信息披露指引第十二号——新闻出版（2020年修订）第十一至十四条。" optionTargetConcept="clcid-ci-ar:ChuBanChuanMeiHangYeJingYingXingXinXiFenXi" optionTargetConceptValue="true" keyAction="12" keyCode="10"/>
    <m:section xlName="_SEC_ad5b83008cb247d3a40721d8f6fb98f7" title="新闻出版行业经营性信息分析其他情况说明" helpId="101001509" optionTargetConcept="clcid-ci-ar:ChuBanChuanMeiHangYeJingYingXingXinXiFenXi" optionTargetConceptValue="true" keyAction="12" keyCode="10"/>
    <m:section xlName="_SEC_4586c6cbb45c41d1908c918a379382d9" title="报告期内竣工验收的项目情况" rules="R2015_JZ_001|R2015_JZ_002|R2015_JZ_003|R2015_JZ_004|R2015_JZ_005" helpId="101001510" optionTargetConcept="clcid-ci-ar:JianZhuHangYeJingYingXingXinXiFenXi" optionTargetConceptValue="true" keyAction="12" keyCode="11"/>
    <m:section xlName="_SEC_62db15056e024036b6fe2936fd18f7cd" title="  单位：万元币种：人民币项目地区 境内境外总计项目数..." rules="R2015_JZ_001|R2015_JZ_002|R2015_JZ_003|R2015_JZ_004|R2015_JZ_005" helpId="101001510" optionTargetConcept="clcid-ci-ar:JianZhuHangYeJingYingXingXinXiFenXi" optionTargetConceptValue="true" keyAction="12" keyCode="11"/>
    <m:section xlName="_SEC_5170c338fc824df0a0fe04d25ea72521" title="报告期内竣工验收的项目其他情况说明" rules="R2015_JZ_001|R2015_JZ_002|R2015_JZ_003|R2015_JZ_004|R2015_JZ_005" helpId="101001510" helpText="注：完工重大项目的验收、收入确认及回款等情况。" optionTargetConcept="clcid-ci-ar:JianZhuHangYeJingYingXingXinXiFenXi" optionTargetConceptValue="true" keyAction="12" keyCode="11"/>
    <m:section xlName="_SEC_2cd6ec2e0bbf4155aeda4349dbc56b01" title="报告期内在建项目情况  单位：万元币种：人民币细分行业..." helpId="101001510" keyAction="12" keyCode="11"/>
    <m:section xlName="_SEC_bbccb526e73649828c44c5996691afdc" title="单位：万元币种：人民币项目地区 项目数量（个）总金..." helpId="101001510" keyAction="12" keyCode="11"/>
    <m:section xlName="_SEC_73849fff8ea945799ff48dab750af835" title="其他说明  _____" helpId="101001510" keyAction="12" keyCode="11"/>
    <m:section xlName="_SEC_fbeba185bf9749159890db3a853164eb" title="在建重大项目情况" rules="R2015_JZ_006" helpId="101001510" optionTargetConcept="clcid-ci-ar:JianZhuHangYeJingYingXingXinXiFenXi" optionTargetConceptValue="true" keyAction="12" keyCode="11"/>
    <m:section xlName="_SEC_5aba01444901486b8f7cad7764a0484b" title="在建重大项目其他情况说明" rules="R2015_JZ_006" helpId="101001510" helpText="注：在建重大项目的回款情况、项目进展出现重大差异须披露原因。" keyAction="12" keyCode="11"/>
    <m:section xlName="_SEC_dce4d9a434d64c60a00ba9be80d741e3" title="报告期内累计新签项目  报告期内累计新签项目数量（..." helpId="101001510" optionTargetConcept="clcid-ci-ar:JianZhuHangYeJingYingXingXinXiFenXi" optionTargetConceptValue="true" keyAction="12" keyCode="11"/>
    <m:section xlName="_SEC_a1cc809882114002951ac89bde7985d9" title="报告期末在手订单情况" helpId="101001510" keyAction="12" keyCode="11"/>
    <m:section xlName="_SEC_dcd9aa990aee4c0893798dfbdefc162f" title="其他说明  _____" helpId="101001510" keyAction="12" keyCode="11"/>
    <m:section xlName="_SEC_8225692cea4546e4898763d396d058dc" title="建筑行业经营性信息分析其他情况说明" rules="R2015_JZ_008|R2015_JZ_009" helpId="101001510" optionTargetConcept="clcid-ci-ar:JianZhuHangYeJingYingXingXinXiFenXi" optionTargetConceptValue="true" keyAction="12" keyCode="11"/>
    <m:section xlName="_SEC_5eb2a038a1364806b39e481ba9b968de" title="按加工工艺分类的钢材制造和销售情况" rules="R2015_GT_001|R2015_GT_002|R2015_GT_003|R2015_GT_004" helpId="101001511" optionTargetConcept="clcid-ci-ar:GangTieHangYeJingYingXingXinXiFenXi" optionTargetConceptValue="true" keyAction="12" keyCode="12"/>
    <m:section xlName="_SEC_8585a3d577314e8e9129d345f2b24b8c" title="按成品形态分类的钢材制造和销售情况" rules="R2015_GT_005|R2015_GT_016" helpId="101001511" optionTargetConcept="clcid-ci-ar:GangTieHangYeJingYingXingXinXiFenXi" optionTargetConceptValue="true" keyAction="12" keyCode="12"/>
    <m:section xlName="_SEC_062d6bf867ec4def9c52af65255d9d1f" title="按销售渠道分类的钢材销售情况" rules="R2015_GT_015|R2015_GT_016" helpId="101001511" optionTargetConcept="clcid-ci-ar:GangTieHangYeJingYingXingXinXiFenXi" optionTargetConceptValue="true" keyAction="12" keyCode="12"/>
    <m:section xlName="_SEC_3fcfac6dfec94917b7d1c901f7ac746e" title="特殊钢铁产品制造和销售情况" rules="R2015_GT_016" helpId="101001511" helpText="注：公司全部或部分从事特殊钢铁产品制造和销售业务的，请填写该表格。" optionTargetConcept="clcid-ci-ar:GangTieHangYeJingYingXingXinXiFenXi" optionTargetConceptValue="true" keyAction="12" keyCode="12"/>
    <m:section xlName="_SEC_ae39cc8c06b24823b448f3be79270fed" title="铁矿石供应情况" helpId="101001511" optionTargetConcept="clcid-ci-ar:GangTieHangYeJingYingXingXinXiFenXi" optionTargetConceptValue="true" keyAction="12" keyCode="12"/>
    <m:section xlName="_SEC_219603fb61c14077a1f8e8cbee5136bc" title="废钢供应情况  单位：万元币种：人民币废钢供应来源 ..." helpId="101001511" keyAction="12" keyCode="12"/>
    <m:section xlName="_SEC_26f6be3b62aa47e6996e53602c91dc64" title="钢铁行业经营性信息分析其他情况说明" rules="R2015_GT_006|R2015_GT_007|R2015_GT_008|R2015_GT_009|R2015_GT_011|R2015_GT_012|R2015_GT_013|R2015_GT_014" helpId="101001511" optionTargetConcept="clcid-ci-ar:GangTieHangYeJingYingXingXinXiFenXi" optionTargetConceptValue="true" keyAction="12" keyCode="12"/>
    <m:section xlName="_SEC_96533656033a4037b0d34399e3086b24" title="行业基本情况" helpId="101014001" optionTargetConcept="clcid-ci-ar:JiuZhiZaoHangYeJingYingXingXinXiFenXi" optionTargetConceptValue="true" keyAction="12" keyCode="14"/>
    <m:section xlName="_SEC_eb47a7413476403787376e0d4bac5bf9" title="产能状况" helpId="101014001" optionTargetConcept="clcid-ci-ar:JiuZhiZaoHangYeJingYingXingXinXiFenXi" optionTargetConceptValue="true" keyAction="12" keyCode="14"/>
    <m:section xlName="_SEC_dad00a07a43b4007937a5cbd8a4a34a5" title="产品期末库存量" helpId="101014001" optionTargetConcept="clcid-ci-ar:JiuZhiZaoHangYeJingYingXingXinXiFenXi" optionTargetConceptValue="true" keyAction="12" keyCode="14"/>
    <m:section xlName="_SEC_101358be725f453ba1d9ec9f6af5a08d" title="产品情况" helpId="101014001" optionTargetConcept="clcid-ci-ar:JiuZhiZaoHangYeJingYingXingXinXiFenXi" optionTargetConceptValue="true" keyAction="12" keyCode="14"/>
    <m:section xlName="_SEC_3b5e3a6672794e83af67f3f18111c671" title="原料采购情况" helpId="101014001" optionTargetConcept="clcid-ci-ar:JiuZhiZaoHangYeJingYingXingXinXiFenXi" optionTargetConceptValue="true" keyAction="12" keyCode="14"/>
    <m:section xlName="_SEC_5eae196e2fed4ea9ae801f2ccf3b4925" title="销售情况" helpId="101014001" optionTargetConcept="clcid-ci-ar:JiuZhiZaoHangYeJingYingXingXinXiFenXi" optionTargetConceptValue="true" keyAction="12" keyCode="14"/>
    <m:section xlName="_SEC_e19bfbbfb3bf47a7b8ef8df6e4341cf6" title="公司收入及成本分析" helpId="101014001" optionTargetConcept="clcid-ci-ar:JiuZhiZaoHangYeJingYingXingXinXiFenXi" optionTargetConceptValue="true" keyAction="12" keyCode="14"/>
    <m:section xlName="_SEC_b5362035e1934bcf8cb597f51b690241" title="其他情况" helpId="101014001" optionTargetConcept="clcid-ci-ar:JiuZhiZaoHangYeJingYingXingXinXiFenXi" optionTargetConceptValue="true" keyAction="12" keyCode="14"/>
    <m:section xlName="_SEC_4281594826bc4e198047a7f9811e3d2d" title="化工行业经营性信息分析" helpId="101014003" optionTargetConcept="clcid-ci-ar:HuaGongHangYeJingYingXingXinXiFenXi" optionTargetConceptValue="true" keyAction="12" keyCode="16"/>
    <m:section xlName="_SEC_a36254be42874af59b985efd3acf38ec" title="产品与生产" helpId="101014003" optionTargetConcept="clcid-ci-ar:HuaGongHangYeJingYingXingXinXiFenXi" optionTargetConceptValue="true" keyAction="12" keyCode="16"/>
    <m:section xlName="_SEC_9988bcefa412451a84734305c165948c" title="原材料采购" helpId="101014003" optionTargetConcept="clcid-ci-ar:HuaGongHangYeJingYingXingXinXiFenXi" optionTargetConceptValue="true" keyAction="12" keyCode="16"/>
    <m:section xlName="_SEC_7ef3cdb19553404bb0f23ca3314d94a5" title="产品销售情况" helpId="101014003" optionTargetConcept="clcid-ci-ar:HuaGongHangYeJingYingXingXinXiFenXi" optionTargetConceptValue="true" keyAction="12" keyCode="16"/>
    <m:section xlName="_SEC_420ea523272548c9b7531bb4c35e472e" title="环保与安全情况" helpId="101014003" optionTargetConcept="clcid-ci-ar:HuaGongHangYeJingYingXingXinXiFenXi" optionTargetConceptValue="true" keyAction="12" keyCode="16"/>
    <m:section xlName="_SEC_375db0e3b693498997b6950b25b0cec9" title="食品行业经营性信息分析报告期内细分产品情况  产品类别..." helpId="112002280" optionTargetConcept="clcid-ci-ar:ShiPinHangYeJingYingXingXinXiFenXi" optionTargetConceptValue="true" keyAction="12" keyCode="23"/>
    <m:section xlName="_SEC_89385fecd47a47eb975eb78380e06b98" title="报告期内主营业务构成情况" helpId="112002280" optionTargetConcept="clcid-ci-ar:ShiPinHangYeJingYingXingXinXiFenXi" optionTargetConceptValue="true" keyAction="12" keyCode="23"/>
    <m:section xlName="_SEC_7de80dc6385f42ca849d4258e2b5c02c" title="报告期内线上、线下销售渠道的盈利情况" helpId="112002280" optionTargetConcept="clcid-ci-ar:ShiPinHangYeJingYingXingXinXiFenXi" optionTargetConceptValue="true" keyAction="12" keyCode="23"/>
    <m:section xlName="_SEC_69a00509648c4a609116758d5b275614" title="报告期内实体门店情况" helpId="112002283" optionTargetConcept="clcid-ci-ar:JiaJuZhiZaoHangYeJingYingXingXinXiFenXi" optionTargetConceptValue="true" keyAction="12" keyCode="26"/>
    <m:section xlName="_SEC_59ac292473c94e5592bb142e60ac8695" title="报告期内各产品类型的盈利情况" helpId="112002283" optionTargetConcept="clcid-ci-ar:JiaJuZhiZaoHangYeJingYingXingXinXiFenXi" optionTargetConceptValue="true" keyAction="12" keyCode="26"/>
    <m:section xlName="_SEC_20ac62c4151543e1a06bc99520bb0d7c" title="报告期内各产品类型的产销情况" helpId="112002283" optionTargetConcept="clcid-ci-ar:JiaJuZhiZaoHangYeJingYingXingXinXiFenXi" optionTargetConceptValue="true" keyAction="12" keyCode="26"/>
    <m:section xlName="_SEC_01ae5a1970a74c8b9f773df418a40afd" title="报告期内各品牌的盈利情况" helpId="112002283" optionTargetConcept="clcid-ci-ar:JiaJuZhiZaoHangYeJingYingXingXinXiFenXi" optionTargetConceptValue="true" keyAction="12" keyCode="26"/>
    <m:section xlName="_SEC_dc5f996f23a942c69aef7813321369b2" title="报告期内各销售渠道的盈利情况" helpId="112002283" optionTargetConcept="clcid-ci-ar:JiaJuZhiZaoHangYeJingYingXingXinXiFenXi" optionTargetConceptValue="true" keyAction="12" keyCode="26"/>
    <m:section xlName="_SEC_dc5c125d1242479da02e0c7c37ca1af6" title="1 报告期内各品种有色金属产品的盈利情况" helpId="112002284" optionTargetConcept="clcid-ci-ar:YouSeJinShuHangYeJingYingXingXinXiFenXi" optionTargetConceptValue="true" keyAction="12" keyCode="27"/>
    <m:section xlName="_SEC_e2a536dd50eb46c5a0ae8f32ea39c4e5" title="矿石原材料的成本情况" helpId="112002284" optionTargetConcept="clcid-ci-ar:YouSeJinShuHangYeJingYingXingXinXiFenXi" optionTargetConceptValue="true" keyAction="12" keyCode="27"/>
    <m:section xlName="_SEC_774c0cc8977649589e99c926b8d03c12" title="自有矿山的基本情况" helpId="112002284" optionTargetConcept="clcid-ci-ar:YouSeJinShuHangYeJingYingXingXinXiFenXi" optionTargetConceptValue="true" keyAction="12" keyCode="27"/>
    <m:placeholder xlName="_PLD_f2c03206fe7a4148856a2e8726ab42dc" removeEmptyRow="true" autoDelete="true"/>
    <m:section xlName="_SEC_4b4a052df79741968a7e11e5835fce59" title="对外股权投资总体分析" convertSummaryRule="NoConvert" helpId="101001043"/>
    <m:section xlName="_SEC_e305a089659a4e8f8dd9498c36674ab7" title="重大的股权投资" helpId="101001044" helpText="例如私募基金、证券公司等。"/>
    <m:section xlName="_SEC_a184487ede57408c81910695beb0ed38" title="重大的非股权投资" helpId="101001045"/>
    <m:section xlName="_SEC_b68803fb05c54f76bddc131e89240164" title="以公允价值计量的金融资产" helpId="101001046" helpText="1、涉及银行理财的，购买和赎回金额列填写净发生额；2、选择其他的，需自行添加普通行说明其他项下产品类型；如添加后为控件行请操作【报告编制】-【表格】-【转为普通行】。"/>
    <m:section xlName="_SEC_7730c21f3733460bb4873a4a893936ab" title="证券投资情况"/>
    <m:section xlName="_SEC_64dd9801d0e944c69cd7c1c8a6b07bf5" title="私募基金投资情况"/>
    <m:section xlName="_SEC_9ab8ff36fad9467587489c64665d4ba5" title="衍生品投资情况" helpText="说明相关衍生品投资业务是否适用《企业会计准则第24号——套期会计》的相关规定。"/>
    <m:section xlName="_SEC_334c83ee3ed34abe9f07a2b14baa41a3" title="报告期内重大资产重组整合的具体进展情况" helpText="根据《上海证券交易所上市公司自律监管指引第6号——重大资产重组》的有关规定，上市公司应当在年度报告管理层讨论与分析中披露重组整合的具体进展情况，包括但不限于上市公司在报告期内对交易标的进行整合的具体措施、是否与前期计划相符、面临的整合风险与阶段性效果评估等内容，独立董事应当对此发表意见。"/>
    <m:section xlName="_SEC_2dc2a25f5b0947db8d19ad5178673ac9" title="重大资产和股权出售" helpId="101001047"/>
    <m:section xlName="_SEC_f2f24fd9b9b742fda50064b5b8b90edf" title="主要子公司、参股公司分析" convertSummaryRule="NoConvert" helpId="101001048"/>
    <m:section xlName="_SEC_9484614c8eb4420fbc64d1a31f33de49" title="公司控制的结构化主体情况" helpId="101001049"/>
    <m:section xlName="_SEC_976db14dc0c94659822643e3f19cce9e" title="行业格局和趋势" rules="R2015_R4_003" helpId="101001050"/>
    <m:section xlName="_SEC_ddbac632a621498c889e331b6e21fcc6" title="公司发展战略" rules="R2015_R4_003" helpId="101001051"/>
    <m:section xlName="_SEC_e5dfae5745e046e6a8ba223752a1dccc" title="经营计划" rules="R2015_R4_003" helpId="101001052"/>
    <m:section xlName="_SEC_22da638766f04cb497f13857cff3dfee" title="可能面对的风险" rules="R2015_R4_003" helpId="101001053"/>
    <m:section xlName="_SEC_449f92267bc945658d04ffaf693010b1" title="其他" rules="R2015_R4_003" helpId="101014012"/>
    <m:section xlName="_SEC_14765587b8824a0d969811c87d3f8cd6" title="公司因不适用准则规定国家秘密、商业秘密等或特殊原因，未按准则披露的情况和原因说明" rules="R2015_R4_004" helpId="101001054" helpText="注：公司未按照行业指引进行披露的情况和原因，也应当在此处进行说明。"/>
    <m:section xlName="_SEC_0164dfaf2ef04d3a93f24cb4cdc06581" title="公司治理相关情况说明" rules="R2015_R9_001" helpId="101001106"/>
    <m:section xlName="_SEC_688f9e7a19b8440896b6ff6f165a1948" title="公司就其与控股股东在业务、人员、资产、机构、财务等方面存在的..." rules="R2015_R9_001" helpId="101001107"/>
    <m:section xlName="_SEC_af05829cba9b45f78c11b18af8edc52f" title="股东大会情况简介" helpId="101001108"/>
    <m:section xlName="_SEC_003224e3799f4defba565ac26b82f20e" title="表决权恢复的优先股股东请求召开临时股东大会 " helpId="101001108"/>
    <m:section xlName="_SEC_7cd092daeff04a9f9d7112f4a233db29" title="股东大会情况说明" helpId="101001108"/>
    <m:section xlName="_SEC_4509c61a676b4e7992f75f7d5016736a" title="现任及报告期内离任董事、监事和高级管理人员持股变动及报酬情况" rules="R2015_R8_001" helpId="101001104" helpText="职务如是独立董事，需单独注明。\n（1）如果涉及多个职称使用中文顿号“、”分隔；\n（2）如果已离任使用括号备注，例如：董事（离任）\n（3）常用职称：董事、独立董事、职工代表董事、董事长、监事、职工代表监事、监事会主席、总经理、分管（XX）的副总经理、财务负责人、董事会秘书、副董事长、监事长、监事会副主席、总裁、副总裁、信息披露负责人、行长、副行长等；" axisType="Column"/>
    <m:section xlName="_SEC_71174076095e4b3299192300e2845511" title="在股东单位任职情况" rules="R2015_R8_001" helpId="101001104"/>
    <m:section xlName="_SEC_5561131e80ff45818592dc8d1f605cb5" title="在其他单位任职情况" rules="R2015_R8_001" helpId="101001104"/>
    <m:section xlName="_SEC_d6c0d4e5fc754556abc8ba20fd435248" title="董事、监事、高级管理人员报酬情况" rules="R2015_R8_001" helpId="101001104"/>
    <m:section xlName="_SEC_f15939bc34a34b809f1af6823e6f7771" title="公司董事、监事、高级管理人员变动情况" rules="R2015_R8_001" helpId="101001104"/>
    <m:section xlName="_SEC_875293df28e7452fbf15edc09d4ebaa5" title="近三年受证券监管机构处罚的情况说明" rules="R2015_R8_001" helpId="101001104"/>
    <m:section xlName="_SEC_7c52a48d2cd64b13b7d6772842750ace" title="董事、监事、高级管理人员情况其他说明" rules="R2015_R8_001"/>
    <m:section xlName="_SEC_f26a891bf12b4933b3f1bfbbb495b260" title="报告期内召开的董事会有关情况" helpId="101001134"/>
    <m:section xlName="_SEC_46b12eef184243bf8374eb01a77e4d07" title="董事参加董事会和股东大会的情况" rules="R2015_R9_001" helpId="101001109"/>
    <m:section xlName="_SEC_2e2eb2c5022048f7a720555ef5553771" title="召开董事会会议次数" rules="R2015_R9_001" helpId="101001109"/>
    <m:section xlName="_SEC_b081c22d491d456ea3f9900a0a6757d2" title="独立董事对公司有关事项提出异议的情况" rules="R2015_R9_001" helpId="101001109"/>
    <m:section xlName="_SEC_bbf6d8e9e0c34286a1bb4f1de8b79fa7" title="其他" rules="R2015_R9_001" helpId="101001109"/>
    <m:item xlName="_GBC_88389a2d52e44644a2332ba32500fe69" concept="clcid-ci-ar:ShiFouShiYongDongShiHuiXiaSheZhuanMenWeiYuanHuiQingKuang" label="是否适用：董事会下设专门委员会情况" selectOptions="_buildInAppliance" controlType="CustomCheckbox" cRanges="[{&quot;StartName&quot;:&quot;_GBC_88389a2d52e44644a2332ba32500fe69&quot;,&quot;EndName&quot;:&quot;_SEC_400f0a7634114d80939ab87276db7db7&quot;,&quot;CType&quot;:1}]"/>
    <m:section xlName="_SEC_63280ca6bc7d4a03bf45626bc1c8022c" title="董事会下设专门委员会成员情况" helpId="101001110"/>
    <m:section xlName="_SEC_1e3a9c0a15ba40d1bda51574352f1bf7" title="专门委员会召开会议情况" tupleConcept="clcid-mr:DongShiHuiXiaSheZhuanMenWeiYuanHuiZhaoKaiHuiYiQingKuangMingXi" repeatable="1" helpId="101001110"/>
    <m:section xlName="_SEC_400f0a7634114d80939ab87276db7db7" title="存在异议事项的具体情况" rules="R2015_R9_001" helpId="101001110"/>
    <m:section xlName="_SEC_4dbac71000bd4ea4b0d0f802befda046" title="监事会发现公司存在风险的说明" helpId="101001111"/>
    <m:section xlName="_SEC_50050ec7a832485d8681c640a2df0085" title="监事会发现公司存在风险的说明" helpId="101001111" keyAction="56"/>
    <m:section xlName="_SEC_56ba2affeae548928a98e92c92a4f6b3" title="监事会发现公司存在风险的说明" helpId="101001111" keyAction="56"/>
    <m:section xlName="_SEC_5d36f6c19ead44619fb5fc47e8c54f50" title="员工情况" rules="R2015_R8_001" helpId="101001105"/>
    <m:section xlName="_SEC_fc732f9b506646da9d52a592974e5004" title="薪酬政策" rules="R2015_R8_001" helpId="101001105"/>
    <m:section xlName="_SEC_e8ed83989c604c839daf59b1ac5b558c" title="培训计划" rules="R2015_R8_001" helpId="101001105"/>
    <m:section xlName="_SEC_0b378851dc554a559cac93a43f7b5a2c" title="劳务外包情况" rules="R2015_R8_001" helpId="101001105"/>
    <m:section xlName="_SEC_56f603efa27346f7af316ef98db0d157" title="现金分红政策的制定、执行或调整情况" rules="R2015_R5_001" ignorePeriod="1" convertSummaryRule="NoConvert" helpId="101001083"/>
    <m:section xlName="_SEC_1a77bbccdee34f4bacdd389ca95234c8" title="现金分红政策的专项说明" helpId="101001056"/>
    <m:section xlName="_SEC_338bc2c40b994349907ff9b7484876e4" title="报告期内盈利且母公司可供普通股股东分配利润为正，但未提出普通股现金利润分配预案的，公司应当详细披露原因以及未分配利润的用途和使用计划" rules="R2015_R5_001" helpId="101001057"/>
    <m:section xlName="_SEC_f9c6ff4ef7894ae299ea3ba0e7324a26" title="本报告期利润分配及资本公积金转增股本情况"/>
    <m:section xlName="_SEC_0fef5a8a9a1f47b5be982489f74109f3" title="相关股权激励事项已在临时公告披露且后续实施无进展或变化" rules="R2015_R5_008" convertSummaryRule="NoConvert" helpId="101001067"/>
    <m:item xlName="_GBC_002ad948ce1449c2a805bfbb132b2202" concept="clcid-ci-ar:ShiFouShiYongGuQuanJiLiQingKuang" label="是否适用：股权激励情况" selectOptions="_buildInAppliance" controlType="CustomCheckbox" cRanges="{&quot;StartName&quot;:&quot;_GBC_002ad948ce1449c2a805bfbb132b2202&quot;,&quot;EndName&quot;:&quot;_SEC_329f6a9ed7434688b7c534d58a1cf4b8&quot;,&quot;CType&quot;:1,&quot;DisplayText&quot;:null}"/>
    <m:section xlName="_SEC_329f6a9ed7434688b7c534d58a1cf4b8" title="股权激励情况" rules="R2015_R5_008" tupleConcept="clcid-ie:GuQuanJiLiJiHuaQingKuangMingXi" repeatable="1" helpId="101001067" helpText="注：1.公司按照推出的股权激励计划的次数分别填写该表，如果有多次计划，可以添加表格；\n2.解锁期/行权期为该次股权激励计划的每期解锁/行权期间；\n3.对于限制性股票，授予股份数量为授予并完成股份登记的数量；对于股权期权，授予期权数量为授予日的数量。\n4.解锁或行权数量为截至报告期末，累计已解锁或行权的数量；\n5.如果对应的授予数量与解锁/行权数量不一致的，需要填写情况说明。"/>
    <m:section xlName="_SEC_12c50bf247d34661bdbc91376a5f0abc" title="其他说明  " helpId="101001067"/>
    <m:section xlName="_SEC_e76ced04f0774d5494f667355c3809ba" title="员工持股计划情况" rules="R2015_R5_008" helpId="101001067"/>
    <m:section xlName="_SEC_614d59c9502f4f76b99b0f6a5227009b" title="其他激励措施" rules="R2015_R5_008" helpId="101001067"/>
    <m:section xlName="_SEC_8787cb19f2c64d4e8ac89d031e52cc9e" title="董事、高级管理人员报告期内被授予的股权激励情况" helpId="101001135"/>
    <m:section xlName="_SEC_6f74816a3e204f028d6843f93ed4e1b2" title="董事、高级管理人员报告期内被授予的股权激励情况" helpId="101001135"/>
    <m:section xlName="_SEC_e7128a1764624077b0f90f676a73dd15" title="报告期内对高级管理人员的考评机制，以及激励机制的建立、实施情况" rules="R2015_R9_001" helpId="101001112"/>
    <m:section xlName="_SEC_4f62c5a91f184e9083e54ebccf8fe563" title="报告期内的内部控制制度建设及实施情况" helpId="101001113" helpText="公司应当披露报告期内的内部控制制度建设及实施情况。报告期内若发现公司内部控制存在重大缺陷，应当披露具体情况，包括缺陷发生的时间、对缺陷的具体描述、缺陷对财务报告的潜在影响，已实施或拟实施的整改措施、整改时间、整改责任人及整改效果。"/>
    <m:section xlName="_SEC_2ee2e77432cb43f3b2547fcae2c176b7" title="报告期内部控制存在重大缺陷情况的说明  " helpId="101001113"/>
    <m:section xlName="_SEC_01b27291a2ca4176b79ce579d14bbcee" title="报告期内对子公司的管理控制情况" helpId="101001136" helpText="公司应当披露报告期内对子公司的管理控制情况。报告期内因购买新增子公司的，公司应当详细说明在资产、人员、财务、机构、业务等方面的整合计划、整合进展、整合中遇到的问题、已采取的解决措施、解决进展以及后续解决计划。"/>
    <m:section xlName="_SEC_2d6e7b1f7b054f2fbca2d55832fe79ef" title="内部控制审计报告的相关情况说明" helpId="101001114" helpText="按照规定要求披露内部控制自我评价报告的公司，应当提供披露相关信息的网站查询索引。按照规定要求对内部控制进行审计的公司，应当提供披露内部控制审计报告的网站查询索引。\n会计师事务所出具非标准意见的内部控制审计报告或者内部控制审计报告与公司内部控制评价报告意见不一致的，公司应当解释原因。" keyAction="15" keyCode="B00002"/>
    <m:section xlName="_SEC_f84d29ebbfd8434d8d55e144204ae2b0" title="上市公司治理专项行动自查问题整改情况"/>
    <m:section xlName="_SEC_21aaf83f464849edbdaf9c267b7db780" title="其他公司治理情况"/>
    <m:section xlName="_SEC_aeaf1c4a829048de90e464ec55896b86" title="环境信息情况"/>
    <m:item xlName="_GBC_40b93d2f11a54d2c995a8c41cdee40c4" concept="clcid-mr:ShiFouShiYongZhongDianPaiWuDanWeiHuanBaoQingKuang" label="是否适用：重点排污单位环保情况" selectOptions="_buildInAppliance" controlType="CustomCheckbox" cRanges="[{&quot;StartName&quot;:&quot;_GBC_40b93d2f11a54d2c995a8c41cdee40c4&quot;,&quot;EndName&quot;:&quot;_SEC_e9c4b4d82f3d40269ff7b48874094c71&quot;,&quot;CType&quot;:1}]"/>
    <m:section xlName="_SEC_e4de21123844444b8b85925b470201e8" title="排污信息" helpId="101022021"/>
    <m:section xlName="_SEC_a485caf329db4bdfb6117a71c849bef9" title="防治污染设施的建设和运行情况" helpId="101022021"/>
    <m:section xlName="_SEC_330826163bc24382a01aa7dd6d1a67d0" title="建设项目环境影响评价及其他环境保护行政许可情况" helpId="101022021"/>
    <m:section xlName="_SEC_9ec9ab1add164967bf9093942bd5211f" title="突发环境事件应急预案" helpId="101022021"/>
    <m:section xlName="_SEC_c86ed91ad7bf4fa69add82c31ecebd85" title="环境自行监测方案" helpId="101022021"/>
    <m:section xlName="_SEC_e452b7519a904dd5baf46757b4e56428" title="报告期内因环境问题受到行政处罚的情况" helpId="101022021"/>
    <m:section xlName="_SEC_e9c4b4d82f3d40269ff7b48874094c71" title="其他应当公开的环境信息" helpId="101022021"/>
    <m:item xlName="_GBC_d5ef790979ae4170801b0e930a2b7445" concept="clcid-mr:ShiFouShiYongZhongDianPaiWuDanWeiZhiWaiDeGongSiDeHuanBaoQingKuang" label="是否适用：重点排污单位之外的公司的环保情况" selectOptions="_buildInAppliance" controlType="CustomCheckbox" cRanges="[{&quot;StartName&quot;:&quot;_GBC_d5ef790979ae4170801b0e930a2b7445&quot;,&quot;EndName&quot;:&quot;_SEC_cc1d855503794d7a8f44a0fe0390ebd1&quot;,&quot;CType&quot;:1}]"/>
    <m:section xlName="_SEC_bac89a210931400d9e00585cc27da84b" title="因环境问题受到行政处罚的情况  ____" helpId="101022021"/>
    <m:section xlName="_SEC_94590b5110944664aca67c0b6bf297d9" title="参照重点排污单位披露其它环境信息  ____" helpId="101022021"/>
    <m:section xlName="_SEC_cc1d855503794d7a8f44a0fe0390ebd1" title="重点排污单位之外的公司未披露环境信息的原因说明" helpId="101022021"/>
    <m:section xlName="_SEC_f7a534002f704099a4b5ea4591f982dc" title="有利于保护生态、防治污染、履行环境责任的相关信息" helpId="101022021"/>
    <m:section xlName="_SEC_219d66470c5549c2b9ae6da091245f5d" title="在报告期内为减少其碳排放所采取的措施及效果" helpId="101022021"/>
    <m:section xlName="_SEC_100d98d84d6844908abfada479de55c2" title="是否单独披露社会责任报告、可持续发展报告或ESG报告  ..." helpText="如勾选适用，提供相关查询索引。"/>
    <m:section xlName="_SEC_74709d35e9934de38f13ff273acba19e" title="社会责任工作具体情况"/>
    <m:section xlName="_SEC_ee27b1a72aa5419087caf130b9eefdde" title="具体说明" helpId="101001082"/>
    <m:section xlName="_SEC_e3132df5923a4a1886e35ca9514a1640" title="巩固拓展脱贫攻坚成果、乡村振兴工作具体情况" helpId="101014009"/>
    <m:section xlName="_SEC_993caead489c45a092f4575c075d1bcf" title="上市公司、持股5%以上的股东、控股股东及实际控制人在报告期内承诺事项" rules="R2015_R5_002" convertSummaryRule="NoConvert" helpId="101001058" helpText="注：公司应当披露报告期内履行完毕的，以及截至报告期末尚未履行完毕的承诺事项。"/>
    <m:section xlName="_SEC_971c56855aee43acbd29723c087f563c" title="公司资产或项目存在盈利预测，且报告期仍处在盈利预测期间，公司..." rules="R2015_R5_002" helpId="101001059"/>
    <m:section xlName="_SEC_86c8a9a047bf4390b162a151daf2ea63" title="业绩承诺的完成情况及其对商誉减值测试的影响" rules="R2015_R5_002" helpId="112002285"/>
    <m:section xlName="_SEC_64e4682d0039484ab6016e0d63651914" title="报告期内控股股东及其他关联方非经营性占用资金情况  单位..." helpId="101001060"/>
    <m:section xlName="_SEC_b410eb19cb794b80b75b15dd0963620a" title="违规担保情况" helpId="101001137"/>
    <m:section xlName="_SEC_9d3a2dd92a2447d580108acf33ecf5ea" title="公司对会计师事务所“非标准意见审计报告”的说明" rules="R2015_R5_004" helpId="101001061" helpText="公司年度财务报告被会计师事务所出具非标准意见审计报告的，公司董事会应当按照《公开发行证券的公司信息披露编报规则第 14 号—非标准审计意见及其涉及事项的处理》规定，针对非标准意见涉及的事项作出专项说明。"/>
    <m:section xlName="_SEC_848c3b6b128d4e1c85d360627256d912" title="董事公司对会计政策、会计估计变更原因及影响的分析说明" summaryGuid="_GBC_248d1bd34763417eb4d8d564f7d7ac77" helpId="101014013" helpText="公司作出会计政策、会计估计或核算方法变更的，董事会应讨论、分析变更的原因及影响。"/>
    <m:section xlName="_SEC_a2664cc90b224463a6b390e3c02032b0" title="董事会对重要前期差错更正的原因及影响的分析说明" summaryGuid="_GBC_817811c0b5e44486ab8f73569e3b7e11" helpId="101014013"/>
    <m:section xlName="_SEC_31d0510af7aa48b5949b42c21c05d191" title="与前任会计师事务所进行的沟通情况" helpId="101014013"/>
    <m:section xlName="_SEC_350b62c37aba49baa8dbca093e97c5c0" title="其他说明" helpId="101014013"/>
    <m:section xlName="_SEC_97a44564b7ef4cbcb61f276d7a5f66c8" title="聘任、解聘会计师事务所情况" checkKey="原聘任" rules="R2015_R5_005" mandatory="true" helpId="101001062" helpText="多个会计师姓名请用顿号隔开。服务年限请按照“会计师姓名（年份）”的格式填写，多个会计师服务年限请用顿号隔开。\n如改聘会计师事务所，通过选项选择\n前表的单位、币种适用于后表" primarySection="_SEC_4317320322b74f4fbace375f2fdcd88e" optionText="改聘会计师事务所" optionGroupTitle="聘任、解聘会计师事务所情况" optionTargetConcept="clcid-ie:ShiFouGaiPinKuaiJiShiShiWuSuo" optionTargetConceptValue="true">
      <m:virtualTuples>
        <m:virtualTuple id="bd314cc4-ce5a-4fc7-9101-f04c6ce91016" tupleRef="clcid-ie:BaoJianRenBaoChouQingKuang" extendDirection="1"/>
        <m:virtualTuple id="08db1c99-a339-4d6e-9bb6-2f6c47e5ea86" tupleRef="clcid-ie:CaiWuGuWenBaoChouQingKuang" extendDirection="1"/>
      </m:virtualTuples>
    </m:section>
    <m:section xlName="_SEC_4317320322b74f4fbace375f2fdcd88e" title="聘任、解聘会计师事务所情况" checkKey="!原聘任" rules="R2015_R5_005" mandatory="true" helpId="101001062" helpText="多个会计师姓名请用顿号隔开。服务年限请按照“会计师姓名（年份）”的格式填写，多个会计师服务年限请用顿号隔开。\n如改聘会计师事务所，通过选项选择\n前表的单位、币种适用于后表" primarySection="_SEC_4317320322b74f4fbace375f2fdcd88e" optionText="未改聘会计师事务所" optionGroupTitle="聘任、解聘会计师事务所情况" optionTargetConcept="clcid-ie:ShiFouGaiPinKuaiJiShiShiWuSuo" optionTargetConceptValue="false">
      <m:virtualTuples>
        <m:virtualTuple id="93e15a3f-9be3-406a-9ef0-0c8f3deabf4f" tupleRef="clcid-ie:BaoJianRenBaoChouQingKuang" extendDirection="1"/>
        <m:virtualTuple id="09fa03ac-624e-4b4d-b277-0d665111d5fd" tupleRef="clcid-ie:CaiWuGuWenBaoChouQingKuang" extendDirection="1"/>
      </m:virtualTuples>
    </m:section>
    <m:section xlName="_SEC_322c3d9669f246aa87ccb7f9dc50a714" title="聘任、解聘会计师事务所的情况说明" rules="R2015_R5_005" helpId="101001062" helpText="公司若改聘、解聘会计师事务所，则必须填写改聘、解聘的情况说明。"/>
    <m:section xlName="_SEC_9e5ff31b39074841b1732f4693c6a461" title="审计期间改聘会计师事务所的情况说明" rules="R2015_R5_005" helpId="101001062"/>
    <m:section xlName="_SEC_f15fc49cb4ff42c5a7ce2d836dd0c3fc" title="导致退市风险警示的原因" summaryGuid="_SEC_86e16cce6564483bb7b2a869ef33cc5f" helpText="年度报告披露后面临退市风险警示情形的公司，应当披露导致退市风险警示的原因以及公司拟采取的应对措施。年度报告披露后面临终止上市情形的公司、因重大违法或规范类原因面临终止上市风险的公司和已披露主动终止上市方案的公司，应当单独披露退市情况专项报告，并提醒投资者予以关注。"/>
    <m:section xlName="_SEC_9dd9fc587be540dab1fcdb757f5036d7" title="公司拟采取的应对措施" helpId="101001063"/>
    <m:section xlName="_SEC_a0a08509d12c43b6a3c3f5de51b245bd" title="面临终止上市的情况和原因" helpId="101001063"/>
    <m:section xlName="_SEC_40f00e43fb5a4ec79cf5293b027262f4" title="破产重整相关事项" helpId="101001068" helpText="公司应当披露报告期内发生的破产重整相关事项，包括相关主体向法院申请重整、和解或破产清算，法院受理重整、和解或破产清算，以及公司重整期间发生的法院裁定结果及其他重大事项。执行重整计划的公司应当说明计划的具体内容及执行情况。"/>
    <m:item xlName="_GBC_b7d97a978491465ca563fa610688ebef" concept="clcid-mr:BenNianDuGongSiYouWuZhongDaSuSongZhongCaiShiXiang" label="本年度公司有无重大诉讼、仲裁事项" selectOptions="2784dffa6bec4a84a1bce565442917a6" controlType="CustomCheckbox" cRanges="{&quot;StartName&quot;:&quot;_GBC_b7d97a978491465ca563fa610688ebef&quot;,&quot;EndName&quot;:&quot;_SEC_d48e48b1d43741b4bf7cdf012e359c8e&quot;,&quot;CType&quot;:1,&quot;DisplayText&quot;:null}"/>
    <m:section xlName="_SEC_85550bc7e18e4ae5950dac093e9d2f00" title="诉讼、仲裁或媒体普遍质疑事项已在临时公告披露且无后续进展" rules="R2015_R5_006" convertSummaryRule="NoConvert" helpId="101001069"/>
    <m:section xlName="_SEC_5418915b864f4e448357874add64e3f1" title="临时公告未披露或有后续进展的诉讼、仲裁情况" rules="R2015_R5_006" convertSummaryRule="NoConvert" helpId="101001069"/>
    <m:section xlName="_SEC_d48e48b1d43741b4bf7cdf012e359c8e" title="重大诉讼、仲裁事项的说明" rules="R2015_R5_006" helpId="101001069"/>
    <m:section xlName="_SEC_ab4d5b987db046049f25c9a37c5fcef6" title="上市公司及其董事、监事、高级管理人员、控股股东、实际控制人、..." rules="R2015_R5_007" helpId="101001065" helpText="报告期内公司存在以下情形的，应当说明原因或结论：\n（一）公司涉嫌犯罪被依法立案调查，公司的控股股东、实际控制人、董事、监事、高级管理人员涉嫌犯罪被依法采取强制措施；\n（二）公司或者公司的控股股东、实际控制人、董事、监事、高级管理人员受到刑事处罚，涉嫌违法违规被中国证监会立案调查或者受到中国证监会行政处罚，或者受到其他有权机关重大行政处罚；\n（三）公司的控股股东、实际控制人、董事、监事、高级管理人员涉嫌严重违纪违法或者职务犯罪被纪检监察机关采取留置措施且影响其履行职责。\n（四）公司董事、监事、高级管理人员因涉嫌违法违规被其他有权机关采取强制措施且影响其履行职责。\n公司应当披露报告期内公司或者公司的控股股东、实际控制人、董事、监事、高级管理人员被中国证监会采取行政监管措施和被证券交易所采取纪律处分的情况,若涉及限期整改要求的，公司应当披露整改责任人、整改期限、整改措施、整改完成情况。"/>
    <m:section xlName="_SEC_a173054d21f9405fa83bf7d1309bfdc4" title="报告期内公司及其控股股东、实际控制人诚信状况的说明" helpId="101001066" helpText="公司应当披露报告期内公司及其控股股东、实际控制人的诚信状况，包括但不限于：是否存在未履行法院生效法律文书确定的义务、所负数额较大的债务到期未清偿等情况。"/>
    <m:section xlName="_SEC_9b2b3d5bc53a45ad87e57bafa9cc658c" title="已在临时公告披露且后续实施无进展或变化的事项" rules="R2015_R5_009" convertSummaryRule="NoConvert" helpId="101001071"/>
    <m:section xlName="_SEC_c2c70cd3f9974feb98c2265569f9b212" title="已在临时公告披露，但有后续实施的进展或变化的事项" rules="R2015_R5_009" convertSummaryRule="NoConvert" helpId="101001071"/>
    <m:section xlName="_SEC_18ede113eb9d4e58b96677300bb03f7d" title="临时公告未披露的事项" rules="R2015_R5_009" convertSummaryRule="NoConvert" helpId="101001071"/>
    <m:section xlName="_SEC_5101ea14b3704066958f40b02b8e01b2" title="已在临时公告披露且后续实施无进展或变化的事项" rules="R2015_R5_009" convertSummaryRule="NoConvert" helpId="101001070"/>
    <m:section xlName="_SEC_212a9f990eed40aea6f3097b326c6b3f" title="已在临时公告披露，但有后续实施的进展或变化的事项  （空..." helpId="101001070"/>
    <m:section xlName="_SEC_0cf43ef9267042f5910eeb382017750a" title="临时公告未披露的事项" rules="R2015_R5_009" convertSummaryRule="NoConvert" helpId="101001070"/>
    <m:section xlName="_SEC_2377f3c46fe8488f9d7f53b4f8ba80b1" title="涉及业绩约定的，应当披露报告期内的业绩实现情况" rules="R2015_R5_009" helpId="101001070"/>
    <m:section xlName="_SEC_51b6cf40b087426eb6434404a0feb888" title="已在临时公告披露且后续实施无进展或变化的事项" rules="R2015_R5_009" convertSummaryRule="NoConvert" helpId="101001073"/>
    <m:section xlName="_SEC_6fb162dfa53544919d9b59362cf9fe07" title="已在临时公告披露，但有后续实施的进展或变化的事项" rules="R2015_R5_009" convertSummaryRule="NoConvert" helpId="101001073"/>
    <m:section xlName="_SEC_c27b95cb91e04e0cb1142e21dcff5adc" title="临时公告未披露的事项" rules="R2015_R5_009" convertSummaryRule="NoConvert" helpId="101001073"/>
    <m:section xlName="_SEC_1159433f604446c4a73e7743924d5bde" title="已在临时公告披露且后续实施无进展或变化的事项" rules="R2015_R5_009" convertSummaryRule="NoConvert" helpId="101001074"/>
    <m:section xlName="_SEC_ce119db951414db2a004501c8a65a54b" title="已在临时公告披露，但有后续实施的进展或变化的事项" rules="R2015_R5_009" convertSummaryRule="NoConvert" helpId="101001074"/>
    <m:section xlName="_SEC_5a41258e75f8445f9f091dbefa9eab6b" title="临时公告未披露的事项" rules="R2015_R5_009" convertSummaryRule="NoConvert" helpId="101001074"/>
    <m:item xlName="_GBC_5a345568387542318c17a9fa2dcc2dbc" concept="clcid-ci-ar:ShiFouShiYongGongSiYuCunZaiGuanLianGuanXiDeCaiWuGongSiGongSiKongGuCaiWuGongSiYuGuanLianFangZhiJianDeJinRongYeWu" label="是否适用：公司与存在关联关系的财务公司、公司控股财务公司与关联方之间的金融业务 " selectOptions="_buildInAppliance" controlType="CustomCheckbox" cRanges="[{&quot;StartName&quot;:&quot;_GBC_5a345568387542318c17a9fa2dcc2dbc&quot;,&quot;EndName&quot;:&quot;_SEC_84a8738de72f4643b004fedfb8ad7253&quot;,&quot;CType&quot;:1}]"/>
    <m:section xlName="_SEC_acc96c7a218b4430b82abf109861b9ba" title="存款业务" helpId="101001072"/>
    <m:section xlName="_SEC_078413d2d27141afa04009ababb6fbe2" title="贷款业务" helpId="101001072"/>
    <m:section xlName="_SEC_bd430a09c0134b328db57ee393a4296f" title="授信业务或其他金融业务" helpId="101001072"/>
    <m:section xlName="_SEC_84a8738de72f4643b004fedfb8ad7253" title="其他说明" helpId="101001072"/>
    <m:section xlName="_SEC_fdaa9d4446c44111831efafcc3898613" title="其他" rules="R2015_R5_009" helpId="101001075"/>
    <m:section xlName="_SEC_0543ebbac7a94a11b10d8648f7254d13" title="托管情况" isSupervision="true" convertSummaryRule="NoConvert" helpId="101001076"/>
    <m:section xlName="_SEC_d3e1b22be78242a687413a4836e3009d" title="承包情况                         ..." convertSummaryRule="NoConvert" helpId="101001076"/>
    <m:section xlName="_SEC_7309f241ae4444d2a7c93aa358e3eb6f" title="租赁情况                         ..." convertSummaryRule="NoConvert" helpId="101001076"/>
    <m:item xlName="_GBC_b799a3ac65f846e088fcfb2dd2591ede" concept="clcid-ci-ar:ShiFouShiYongDanBaoQingKuang" label="是否适用：担保情况" selectOptions="_buildInAppliance" controlType="CustomCheckbox" cRanges="{&quot;StartName&quot;:&quot;_GBC_b799a3ac65f846e088fcfb2dd2591ede&quot;,&quot;EndName&quot;:&quot;_SEC_2430c7d32ec94e8094e76c237c9505e6&quot;,&quot;CType&quot;:1,&quot;DisplayText&quot;:null}"/>
    <m:section xlName="_SEC_2430c7d32ec94e8094e76c237c9505e6" title="担保情况" rules="R2015_R5_010" convertSummaryRule="NoConvert" helpId="101001077" helpText="注：1、报告期内担保发生额和报告期末担保余额包括子公司的对外担保，其担保金额为该子公司对外担保金额乘以公司持有该公司的股份比例。公司及其子公司的对外担保应在此处填写明细情况。\n2、担保总额为上述“报告期末担保余额合计（不包括对子公司的担保）”和“报告期末对子公司担保余额合计”两项的加总。 “上述三项担保金额合计”为上述“为股东、实际控制人及其关联方提供担保的金额”、“直接或间接为资产负债率超过70%的被担保对象提供的债务担保金额”和“担保总额超过净资产50%部分的金额”三项的加总。若一个担保事项同时出现上述两项或三项情形，在合计中只需要计算一次。"/>
    <m:section xlName="_SEC_1e15b8524c82495dad9c5426489ba6b9" title="委托理财总体情况" helpId="101001081" helpText="具体类型包括但不限于银行理财产品、券商理财产品、信托理财产品、其他类（如公募基金产品、私募基金产品）等。\n发生额是指报告期内该类委托理财单日最高余额 \n选择其他的，需自行添加普通行说明其他项下产品类型；如添加后为控件行请操作【报告编制】-【表格】-【转为普通行】。"/>
    <m:section xlName="_SEC_c74546ff2eb54c40a95f3d7a5ec247ac" title="委托理财总体其他情况" helpId="101001081" helpText="具体类型包括但不限于银行理财产品、券商理财产品、信托理财产品、其他类（如公募基金产品、私募基金产品）等。 "/>
    <m:section xlName="_SEC_b54bd17bb0da4771a60d17a9a56131e4" title="单项委托理财情况" helpId="101001081" helpText="具体类型包括但不限于银行理财产品、券商理财产品、信托理财产品、其他类（如公募基金产品、私募基金产品）等。 "/>
    <m:section xlName="_SEC_758c95ca546e4d8d9735adf2c606a653" title="单项委托理财其他情况" helpId="101001081" helpText="具体类型包括但不限于银行理财产品、券商理财产品、信托理财产品、其他类（如公募基金产品、私募基金产品）等。 "/>
    <m:section xlName="_SEC_7452a82862434316834423d06c71379a" title="委托理财减值准备" helpId="101001081" helpText="具体类型包括但不限于银行理财产品、券商理财产品、信托理财产品、其他类（如公募基金产品、私募基金产品）等。 "/>
    <m:section xlName="_SEC_9a8143f870bc4e57b202f414052a0b80" title="委托贷款总体情况" helpId="101001081" helpText="具体类型包括但不限于银行理财产品、券商理财产品、信托理财产品、其他类（如公募基金产品、私募基金产品）等。 "/>
    <m:section xlName="_SEC_34e1ed3df0e1441ebcf87d7eb2c64ec3" title="委托贷款总体其他情况" helpId="101001081" helpText="具体类型包括但不限于银行理财产品、券商理财产品、信托理财产品、其他类（如公募基金产品、私募基金产品）等。 "/>
    <m:section xlName="_SEC_b6646f10bd22442798f985fd4ebdd061" title="单项委托贷款情况" helpId="101001081" helpText="具体类型包括但不限于银行理财产品、券商理财产品、信托理财产品、其他类（如公募基金产品、私募基金产品）等。 "/>
    <m:section xlName="_SEC_5b2e19ddb1654e038c545d348ccbd530" title="单项委托贷款其他情况 " helpId="101001081" helpText="具体类型包括但不限于银行理财产品、券商理财产品、信托理财产品、其他类（如公募基金产品、私募基金产品）等。"/>
    <m:section xlName="_SEC_0b6195f8785f4def8fa24b4658c28dab" title="委托贷款减值准" helpId="101001081" helpText="具体类型包括但不限于银行理财产品、券商理财产品、信托理财产品、其他类（如公募基金产品、私募基金产品）等。"/>
    <m:section xlName="_SEC_3420a5610d744b6da7aed50323c980c9" title="其他情况" helpId="101001081"/>
    <m:section xlName="_SEC_9d125c8ad0cb430d9249029482fa1530" title="其他重大合同或交易" convertSummaryRule="NoConvert" helpId="101001079"/>
    <m:section xlName="_SEC_5c3258d364b244e3bd64f661e4156e0c" title="" helpId="101001499"/>
    <m:section xlName="_SEC_a2a63736db144f209cddfd7a97491880" title="报告期内，公司股份总数及股本结构未发生变化" checkKey="!变动增减" helpId="101001084" primarySection="_SEC_a2a63736db144f209cddfd7a97491880" optionText="股份未变化" activeContentOption="_SEC_a3956f57fcc041c88cfbf8c43b765028" optionGroupTitle="公司股份变化情况" optionTargetConcept="clcid-ci-ar:ShiFouShiYongGuFenBianDongQingKuangBiao" optionTargetConceptValue="false" otherKeyActions="{&quot;KeyCode&quot;:&quot;SF_SSE&quot;,&quot;KeyAction&quot;:47,&quot;KeyActionTitle&quot;:null,&quot;OtherActions&quot;:null}" afterEmptyParagraphs="1"/>
    <m:section xlName="_SEC_a3956f57fcc041c88cfbf8c43b765028" title="股份变动情况表(已完成或不涉及股改)" rules="R2015_R6_001" checkKey="!未发生变化&amp;!未上市流通股份" helpId="101001084" primarySection="_SEC_a2a63736db144f209cddfd7a97491880" optionText="股份有变化,已完成股权分置改革或不涉及股权分置改革" activeContentOption="_GBC_0a78890f5a2649239feff4f311c10c4b" optionGroupTitle="公司股份变化情况" optionTargetConcept="clcid-ci-ar:ShiFouShiYongGuFenBianDongQingKuangBiao" optionTargetConceptValue="true" otherKeyActions="{&quot;KeyCode&quot;:&quot;SF_SSE&quot;,&quot;KeyAction&quot;:47,&quot;KeyActionTitle&quot;:null,&quot;OtherActions&quot;:null}"/>
    <m:section xlName="_SEC_53e2de514d5a42c09f61aba291e1ae77" title="股份变动情况表(未完成股改)" rules="R2015_R6_001" checkKey="!未发生变化&amp;!有限售条件股份" helpId="101001084" primarySection="_SEC_a2a63736db144f209cddfd7a97491880" optionText="股份有变化,未完成股权分置改革" activeContentOption="_GBC_0422a6706bc4487ebfdb5679a4894cf2" optionGroupTitle="公司股份变化情况" optionTargetConcept="clcid-ci-ar:ShiFouShiYongGuFenBianDongQingKuangBiao" optionTargetConceptValue="true" otherKeyActions="{&quot;KeyCode&quot;:&quot;SF_SSE&quot;,&quot;KeyAction&quot;:47,&quot;KeyActionTitle&quot;:null,&quot;OtherActions&quot;:null}"/>
    <m:section xlName="_SEC_cff93b3516844dffa00c7117b3d7105d" title="股份变动情况说明" rules="R2015_R6_001" convertSummaryRule="NoConvert" helpId="101001084"/>
    <m:section xlName="_SEC_a02e0bd8061b48758da5b49301b9d61c" title="股份变动对最近一年和最近一期财务指标的影响" rules="R2015_R6_001" convertSummaryRule="NoConvert" helpId="101001084"/>
    <m:section xlName="_SEC_0585cd9d958541589e59afceb5c63546" title="公司认为必要或证券监管机构要求披露的其他内容" rules="R2015_R6_001" convertSummaryRule="NoConvert" helpId="101001084"/>
    <m:item xlName="_GBC_c7cc39830d364bf68db1ac8777908a9e" concept="clcid-ci-ar:ShiFouShiYongXianShouGuFenBianDongQingKuangBiao" label="是否适用：限售股份变动情况表" selectOptions="_buildInAppliance" controlType="CustomCheckbox" cRanges="{&quot;StartName&quot;:&quot;_GBC_c7cc39830d364bf68db1ac8777908a9e&quot;,&quot;EndName&quot;:&quot;_SEC_b581ae438cd94fb9a75a700daa2c1a5a&quot;,&quot;CType&quot;:1,&quot;DisplayText&quot;:null}"/>
    <m:section xlName="_SEC_b581ae438cd94fb9a75a700daa2c1a5a" title="限售股份变动情况" rules="R2015_R6_001" convertSummaryRule="ConvertDefinedText" convertText="报告期内，本公司限售股份无变动情况。" helpId="101001085" helpText="注：若同一股东因不同限售原因或限售期限持有几类限售股份的，应当区别不同的限售原因或解除限售日期填写上表。"/>
    <m:section xlName="_SEC_314fe0a7461349b58ad8d67ad9671220" title="截至报告期内证券发行情况" helpId="101001087"/>
    <m:section xlName="_SEC_55d557f291e34d7aa9de8836ddc0e9d1" title="公司普通股股份总数及股东结构变动及公司资产和负债结构的变动情况" helpId="101001088" helpText="对报告期内因送股、转增股本、配股、增发新股、向特定对象发行股票（非公开发行）、权证行权、实施股权激励计划、企业合并、可转换公司债券转股、减资、内部职工股上市、债券发行或其他原因引起公司股份总数及股东结构的变动、公司资产和负债结构的变动，应当予以说明。"/>
    <m:section xlName="_SEC_7d189716ca09434ba6cf788f2153af73" title="现存的内部职工股情况" helpId="101001089"/>
    <m:section xlName="_SEC_ec591f1129e84625a91f2b73f19be202" title="股东总数" rules="R2015_R6_002" convertSummaryRule="NoConvert" helpId="101001090"/>
    <m:section xlName="_SEC_f0d49341729546c79e65e551f2f6d5d7" title="前十名股东持股情况(已完成或不涉及股改)" checkKey="!非流通股" rules="R2015_R6_002" helpId="101001091" helpText="注：\n1.公司股票为融资融券标的证券的，股东持股数量应当按照其通过普通证券账户、信用证券账户持有的股票及其权益数量合并计算。\n2.公司在计算本条所指股东持股数额或比例时,应合并计算普通股和表决权恢复的优先股(如有)。" primarySection="_SEC_f0d49341729546c79e65e551f2f6d5d7" optionText="已完成股权分置改革或不涉及股权分置改革" optionGroupTitle="前十名股东持股情况" optionTargetConcept="clcid-cgi:GuQuanFenZhiGaiGeZhuangTai" optionTargetConceptValue="已完成股权分置改革" otherKeyActions="{&quot;KeyCode&quot;:&quot;SF_SSE&quot;,&quot;KeyAction&quot;:47,&quot;KeyActionTitle&quot;:null,&quot;OtherActions&quot;:null}"/>
    <m:section xlName="_SEC_282126bbfd9d47368718ab8d92fe2d08" title="持有公司5%以上股份的前十名股东持股情况(未完成股改)" rules="R2015_R6_002" checkKey="!无限售" helpId="101001091" helpText="注：\n1.公司股票为融资融券标的证券的，股东持股数量应当按照其通过普通证券账户、信用证券账户持有的股票及其权益数量合并计算。\n2.公司在计算本条所指股东持股数额或比例时,应合并计算普通股和表决权恢复的优先股(如有)。" primarySection="_SEC_f0d49341729546c79e65e551f2f6d5d7" optionText="未完成股权分置改革" activeContentOption="_GBC_cd193222db29400da21cffb776dc6e00" optionGroupTitle="前十名股东持股情况" optionTargetConcept="clcid-cgi:GuQuanFenZhiGaiGeZhuangTai" optionTargetConceptValue="未完成股权分置改革"/>
    <m:section xlName="_SEC_7b16ab72c87b46c1aaa4818a9a422005" title="战略投资者或一般法人因配售新股成为前10名股东" rules="R2015_R6_002" convertSummaryRule="NoConvert" helpId="101001091"/>
    <m:section xlName="_SEC_603e90843919477b9c48becc10c16844" title="控股股东情况法人" rules="R2015_R6_003" helpId="101001093"/>
    <m:section xlName="_SEC_c171a23a3658485db3b86f3cfcc2a64d" title="控股股东情况自然人" rules="R2015_R6_003" helpId="101001093"/>
    <m:section xlName="_SEC_70bc1c568fef4bfc833da7470401e558" title="公司不存在控股股东情况的特别说明" rules="R2015_R6_003" helpId="101001093"/>
    <m:section xlName="_SEC_8c6549023dc64c378601b5bc20deede9" title="报告期内控股股东变更情况索引及日期" rules="R2015_R6_003" helpId="101001093"/>
    <m:section xlName="_SEC_4121b38278ee4945bfa8eb87dafa9db1" title="公司与控股股东之间的产权及控制关系的方框图" rules="R2015_R6_003" summaryGuid="_SEC_bacacc822ab84d988176e36c04384c34" helpId="101001093"/>
    <m:section xlName="_SEC_d1e4bdc329624f1ba319634a4fbdd195" title="实际控制人情况法人" rules="R2015_R6_003" helpId="101001094"/>
    <m:section xlName="_SEC_82a067868b0b4b5eb99879535e2300c5" title="实际控制人情况自然人" rules="R2015_R6_003" helpId="101001094"/>
    <m:section xlName="_SEC_5c0bf2f1ddf34e8c983cdf9fa31c1df0" title="公司不存在实际控制人情况的特别说明" rules="R2015_R6_003" helpId="101001094"/>
    <m:section xlName="_SEC_8e248c9fca7b490e93849e8f5dce6a71" title="报告期内实际控制人变更情况索引及日期" rules="R2015_R6_003" helpId="101001094"/>
    <m:section xlName="_SEC_3098fbbbd09c4e7088990d33b36bcf2e" title="公司与实际控制人之间的产权及控制关系的方框图" rules="R2015_R6_003" summaryGuid="_SEC_300eaeeb987646e0957a4590c0a98138" helpId="101001094"/>
    <m:section xlName="_SEC_d9354c7b8b8643b2a3e90cc40a27dfa8" title="实际控制人通过信托或其他资产管理方式控制公司" rules="R2015_R6_003" helpId="101001094" helpText="注：信托合同或者其他资产管理安排的主要内容包括信托或其他资产管理的具体方式，信托管理权限（包括公司股份表决权的行使等），涉及的股份数量及占公司已发行股份的比例，信托或资产管理费用，信托资产处理安排，合同签订的时间、期限及变更、终止的条件，以及其他特别条款等。"/>
    <m:section xlName="_SEC_4d2866150700497eb747371eabd1ca73" title="控股股东及实际控制人其他情况介绍" rules="R2015_R6_003"/>
    <m:section xlName="_SEC_edf66ea387584a9794efab65ab32b380" title="公司控股股东或第一大股东及其一致行动人累计质押股份数量占其所..." helpId="101001078"/>
    <m:section xlName="_SEC_01bab7f76d4648508f5b4ff20d1575e4" title="其他持股在百分之十以上的法人股东单位：元 币种：人民币法..." rules="R2015_R6_004" helpId="101001095"/>
    <m:section xlName="_SEC_b808e6e3153a4b77b1658dde828b8d1f" title="股份限制减持情况说明" helpId="101001096" helpText="报告期间，上市公司首次公开发行股票、再融资、发行股份购买资产或者构成重组上市的重大资产重组申请或者相关披露文件存在虚假记载、误导性陈述或者重大遗漏，被中国证监会立案稽查的，应当披露控股股东、实际控制人、重组方及其他承诺主体股份限制减持情况。"/>
    <m:section xlName="_SEC_6f21f858a57f4c2e973f75020ab20ef4" title="股份回购实施情况" repeatable="2" helpId="101001080">
      <m:virtualTuples>
        <m:virtualTuple id="e3ddf0a7-e642-4b64-b497-8a870f98ac68" tupleRef="clcid-cgi:HuiGouGuFenFangAnJuTiShiShiQingKuangMingXi" extendDirection="2"/>
      </m:virtualTuples>
    </m:section>
    <m:item xlName="_GBC_0076278996ac412e9bff14977615c2e3" concept="clcid-ci-ar:ShiFouShiYongYouXianGuXiangGuanQingKuang" label="是否适用：优先股相关情况" selectOptions="_buildInAppliance" controlType="CustomCheckbox" cRanges="{&quot;StartName&quot;:&quot;_GBC_0076278996ac412e9bff14977615c2e3&quot;,&quot;EndName&quot;:&quot;_SEC_1f4c3b16eb8249c9aa17b43c56667c20&quot;,&quot;CType&quot;:1,&quot;DisplayText&quot;:null}"/>
    <m:section xlName="_SEC_d81cfbae03894de391d5b2bb871118b5" title="报告期内优先股发行与上市情况" rules="R2015_R7_001" helpId="101001097"/>
    <m:section xlName="_SEC_0791d556c49f4711879953dbedeccaa5" title="优先股股东情况" tupleConcept="clcid-cgi:QianShiMingYouXianGuGuDongQingKuangMingXi" repeatable="1" helpId="101001098"/>
    <m:section xlName="_SEC_92087aa06ee04325b57e7d2913d5dcab" title="其他情况说明" rules="R2015_R7_001" helpId="101001098"/>
    <m:section xlName="_SEC_2863d003e0f2449a97840eb723838cda" title="优先股利润分配的情况" rules="R2015_R7_001" helpId="101001100"/>
    <m:section xlName="_SEC_a7dbc4ba242746fb9d8124674caa6d34" title="报告期内盈利且母公司未分配利润为正，但未对优先股进行利润分配..." rules="R2015_R7_001" helpId="101001100"/>
    <m:section xlName="_SEC_41d7a10a80244c3dbbdb022efa2b9735" title="其他说明" rules="R2015_R7_001" helpId="101001100"/>
    <m:section xlName="_SEC_366e1c443eae4cc4861db57a9934969a" title="回购情况" rules="R2015_R7_001" helpId="101001513"/>
    <m:section xlName="_SEC_54807ca471dd46119f30996bdd6f17bc" title="转换情况" rules="R2015_R7_001" helpId="101001101"/>
    <m:section xlName="_SEC_6dc65b8b95854c388343f4752a03aad6" title="报告期内存在优先股表决权恢复的，公司应当披露相关表决权的恢复" rules="R2015_R7_001" helpId="101001102"/>
    <m:section xlName="_SEC_3cb025727b4d48989ade06d3bb5fd238" title="公司对优先股采取的会计政策及理由" rules="R2015_R7_001" helpId="101001103"/>
    <m:section xlName="_SEC_1f4c3b16eb8249c9aa17b43c56667c20" title="其他" rules="R2015_R7_001"/>
    <m:item xlName="_GBC_804ac0b5f8c94edbbb148299204e0a43" helpId="112500014" concept="clcid-ci-ar:ShiFouShiYongZhaiQuanXiangGuanQingKuang" label="是否适用：债券相关情况" selectOptions="_buildInAppliance" controlType="CustomCheckbox" cRanges="[{&quot;StartName&quot;:&quot;_GBC_804ac0b5f8c94edbbb148299204e0a43&quot;,&quot;EndName&quot;:&quot;_SEC_1baf511e52ae45aca3071cdf1c8d6889&quot;,&quot;CType&quot;:1}]"/>
    <m:item xlName="_GBC_59ea52cccb5743b8993b033f15a125ce" concept="clcid-ci-ar:ShiFouShiYongQiYeZhaiQuanXiangGuanQingKuang" label="是否适用：企业债券相关情况" selectOptions="_buildInAppliance" controlType="CustomCheckbox" cRanges="[{&quot;StartName&quot;:&quot;_GBC_59ea52cccb5743b8993b033f15a125ce&quot;,&quot;EndName&quot;:&quot;_SEC_a65b8a23bd564ec6a1f5380710a043e1&quot;,&quot;CType&quot;:1}]">
      <m:axisValue occRef="企业债券"/>
    </m:item>
    <m:section xlName="_SEC_3cef2e0e458241afaba25111018371b0" title="企业债券基本情况" convertSummaryRule="NoConvert" helpId="101001119"/>
    <m:section xlName="_SEC_432f8fd4e8344411a04ec49b394e0580" title="企业债券 公司对债券终止上市交易风险的应对措施" helpId="101001119"/>
    <m:section xlName="_SEC_18dfa0afa6f244e5bd171b2f04e57060" title="企业债券逾期未偿还债券" helpId="101001119"/>
    <m:section xlName="_SEC_e7f2963116e248228101917e486115b1" title="报告期内债券付息兑付情况" helpId="101001119"/>
    <m:section xlName="_SEC_276d5dde6469451aa8390b92769dba49" title="企业债券发行人或投资者选择权条款、投资者保护条款的触发和执行情况" helpId="101001124"/>
    <m:section xlName="_SEC_0693c9be4adf4928a05eafe585e15a6b" title="为债券发行及存续期业务提供服务的中介机构" helpId="101001125"/>
    <m:section xlName="_SEC_1d5fb4ad9f494bb3ad2e78ff9de48cce" title="上述中介机构发生变更的情况" helpId="101001125">
      <m:axisValue occRef="非金融企业债务融资工具"/>
    </m:section>
    <m:section xlName="_SEC_f0573f607cfc48089f88cca76cb2f3ed" title="报告期末募集资金使用情况" helpId="101001122">
      <m:axisValue occRef="非金融企业债务融资工具"/>
    </m:section>
    <m:section xlName="_SEC_cb2a7992e0664eb3ac52017d9e30c76d" title="募集资金用于建设项目的进展情况及运营效益" helpId="101001122">
      <m:axisValue occRef="非金融企业债务融资工具"/>
    </m:section>
    <m:section xlName="_SEC_8bd1723493dc4b278727f7cce298e463" title="报告期内变更上述债券募集资金用途的说明" helpId="101001122" helpText="公司报告期内变更上述债券募集资金用途的，需说明募集资金变更履行的程序、信息披露情况及变更后用途的合法合规性。">
      <m:axisValue occRef="非金融企业债务融资工具"/>
    </m:section>
    <m:section xlName="_SEC_7ba8e125c08b4251999ae588f479e32c" title="其他说明  ____">
      <m:axisValue occRef="非金融企业债务融资工具"/>
    </m:section>
    <m:section xlName="_SEC_e4557f2d0f2d483c9e11cbd485f3c635" title="企业债券信用评级结果调整情况" helpId="101001123">
      <m:axisValue occRef="非金融企业债务融资工具"/>
    </m:section>
    <m:section xlName="_SEC_a46ef382c6fa4abd8f153e51b5642f2c" title="其他说明  ____">
      <m:axisValue occRef="非金融企业债务融资工具"/>
    </m:section>
    <m:section xlName="_SEC_4fadf3fd651440f898a7ba92c7226b3f" title="企业债券_担保情况、偿债计划及其他偿债保障措施在报告期内的执行和变化情况及其影响" helpId="101001126">
      <m:axisValue occRef="非金融企业债务融资工具"/>
    </m:section>
    <m:section xlName="_SEC_a65b8a23bd564ec6a1f5380710a043e1" title="企业债券其他情况的说明"/>
    <m:item xlName="_GBC_bcf1d09cd7a14ac8aa0f16e88665e56b" concept="clcid-ci-ar:ShiFouShiYongGongSiZhaiQuanXiangGuanQingKuang" label="是否适用：公司债券相关情况" selectOptions="_buildInAppliance" controlType="CustomCheckbox" cRanges="[{&quot;StartName&quot;:&quot;_GBC_bcf1d09cd7a14ac8aa0f16e88665e56b&quot;,&quot;EndName&quot;:&quot;_SEC_a4da4c17711b43f49c06a8533ae79872&quot;,&quot;CType&quot;:1}]"/>
    <m:section xlName="_SEC_0e7a8a5c53e0419f8a0d520c476ac2ce" title="公司债券基本情况" convertSummaryRule="NoConvert" helpId="101001119"/>
    <m:section xlName="_SEC_11881939bafc4aab8709afccd332e8fc" title="公司对债券终止上市交易风险的应对措施  ____" helpId="101001119"/>
    <m:section xlName="_SEC_1b0dae6576804a5596ae7d88958390d5" title="逾期未偿还债券" helpId="101001119"/>
    <m:section xlName="_SEC_1d08c39e45464006979f747766efd8a3" title="报告期内债券付息兑付情况" helpId="101001119"/>
    <m:section xlName="_SEC_d4452fac6b174a9cb27f486c43780760" title="发行人或投资者选择权条款、投资者保护条款的触发和执行情况" helpId="101001124"/>
    <m:section xlName="_SEC_33c58a1245344ebb8a5764f472a83cd2" title="为债券发行及存续期业务提供服务的中介机构" helpId="101001125"/>
    <m:section xlName="_SEC_e8ca31103e4c45e2a08d2895cf27289d" title="上述中介机构发生变更的情况" helpId="101001125">
      <m:axisValue occRef="非金融企业债务融资工具"/>
    </m:section>
    <m:section xlName="_SEC_0bfd68ec3f2645769362e4db40772a6c" title="报告期末募集资金使用情况" helpId="101001122">
      <m:axisValue occRef="非金融企业债务融资工具"/>
    </m:section>
    <m:section xlName="_SEC_d6026e9214d04cb7a9dc34a50ae5c13c" title="募集资金用于建设项目的进展情况及运营效益" helpId="101001122">
      <m:axisValue occRef="非金融企业债务融资工具"/>
    </m:section>
    <m:section xlName="_SEC_252428b516c742f4b4a0f16b726d2558" title="报告期内变更上述债券募集资金用途的说明" helpId="101001122" helpText="公司报告期内变更上述债券募集资金用途的，需说明募集资金变更履行的程序、信息披露情况及变更后用途的合法合规性。">
      <m:axisValue occRef="非金融企业债务融资工具"/>
    </m:section>
    <m:section xlName="_SEC_a46a7c423b3741e584589a7eaf04e9a7" title="其他说明  ____">
      <m:axisValue occRef="非金融企业债务融资工具"/>
    </m:section>
    <m:section xlName="_SEC_315f518ec83e47ceb0c581d8d7f8cc24" title="信用评级结果调整情况" helpId="101001123">
      <m:axisValue occRef="非金融企业债务融资工具"/>
    </m:section>
    <m:section xlName="_SEC_f1595c68a4e544cf9445b549765a37be" title="其他说明  ____">
      <m:axisValue occRef="非金融企业债务融资工具"/>
    </m:section>
    <m:section xlName="_SEC_c036dc32e44f45118966d10c7daf25b2" title="担保情况、偿债计划及其他偿债保障措施在报告期内的执行和变化情况及其影响" helpId="101001126">
      <m:axisValue occRef="非金融企业债务融资工具"/>
    </m:section>
    <m:section xlName="_SEC_a4da4c17711b43f49c06a8533ae79872" title="公司债券其他情况的说明"/>
    <m:item xlName="_GBC_21de753b4a2c4a71b5fb871bd9451069" concept="clcid-ci-ar:ShiFouShiYongYinXingJianZhaiQuanShiChangFeiJinRongQiYeZhaiWuRongZiGongJuXiangGuanQingKuang" label="是否适用：银行间债券市场非金融企业债务融资工具相关情况" selectOptions="_buildInAppliance" controlType="CustomCheckbox" appId="_GBC_804ac0b5f8c94edbbb148299204e0a43" cRanges="[{&quot;StartName&quot;:&quot;_GBC_21de753b4a2c4a71b5fb871bd9451069&quot;,&quot;EndName&quot;:&quot;_SEC_ab53e54893bb410d830bf2e12a9a8407&quot;,&quot;CType&quot;:1}]">
      <m:axisValue occRef="非金融企业债务融资工具"/>
    </m:item>
    <m:section xlName="_SEC_e8aa889d661c4243b69b12bda43f961d" title="非金融企业债务融资工具基本情况" convertSummaryRule="NoConvert" helpId="101001119"/>
    <m:section xlName="_SEC_b6b8e1fe09e143b3b593fcef2e3591d7" title="非金融企业债务融资工具 公司对债券终止上市交易风险的应对措施" helpId="101001119"/>
    <m:section xlName="_SEC_ec68ba7b23074e9a92ef2660cc3f394e" title="非金融企业债务融资工具逾期未偿还债券" helpId="101001119"/>
    <m:section xlName="_SEC_a7c7136d29b24d059dec3fac8596f3c7" title="非金融企业债务融资工具 报告期内债券付息兑付情况" helpId="101001119">
      <m:axisValue occRef="非金融企业债务融资工具"/>
    </m:section>
    <m:section xlName="_SEC_dcb15d25bfb340c49b0abadf5d91df53" title="非金融企业债务融资工具发行人或投资者选择权条款、投资者保护条款的触发和执行情况" helpId="101001124"/>
    <m:section xlName="_SEC_50b7630cd2374541a408cb783d784f0d" title="为债券发行及存续期业务提供服务的中介机构" helpId="101001125">
      <m:axisValue occRef="非金融企业债务融资工具"/>
    </m:section>
    <m:section xlName="_SEC_b4210872ec174f03a71ac3827fd16a44" title="上述中介机构发生变更的情况" helpId="101001125">
      <m:axisValue occRef="非金融企业债务融资工具"/>
    </m:section>
    <m:section xlName="_SEC_46477385b4784686898946545b395110" title="报告期末募集资金使用情况 " helpId="101001122">
      <m:axisValue occRef="非金融企业债务融资工具"/>
    </m:section>
    <m:section xlName="_SEC_10ca9d12a6ac4909a1e359f122a9303f" title="募集资金用于建设项目的进展情况及运营效益" helpId="101001122">
      <m:axisValue occRef="非金融企业债务融资工具"/>
    </m:section>
    <m:section xlName="_SEC_15756df1b0aa4555a34361afaab96704" title="报告期内变更上述债券募集资金用途的说明" helpId="101001122" helpText="公司报告期内变更上述债券募集资金用途的，需说明募集资金变更履行的程序、信息披露情况及变更后用途的合法合规性。">
      <m:axisValue occRef="非金融企业债务融资工具"/>
    </m:section>
    <m:section xlName="_SEC_392f89e5dbe0405bb5d2da87429592e5" title="其他说明  ____">
      <m:axisValue occRef="非金融企业债务融资工具"/>
    </m:section>
    <m:section xlName="_SEC_2ce56c151f3f43b6a8052497e595bbe8" title="企业债券信用评级结果调整情况" helpId="101001123">
      <m:axisValue occRef="非金融企业债务融资工具"/>
    </m:section>
    <m:section xlName="_SEC_f005a7a320c64800b590b206a016b72f" title="其他说明  ____">
      <m:axisValue occRef="非金融企业债务融资工具"/>
    </m:section>
    <m:section xlName="_SEC_701ae8d3fd11421e8e58e707d779b71d" title="企业债券_担保情况、偿债计划及其他偿债保障措施在报告期内的执行和变化情况及其影响" helpId="101001126">
      <m:axisValue occRef="非金融企业债务融资工具"/>
    </m:section>
    <m:section xlName="_SEC_ab53e54893bb410d830bf2e12a9a8407" title="非金融企业债务融资工具其他情况的说明"/>
    <m:section xlName="_SEC_7da7b9c4fc7b4726b8969053f9fc0f1c" title="公司报告期内合并报表范围亏损超过上年末净资产10%亏损情..." helpId="101001133" keyAction="42" keyCode="2"/>
    <m:section xlName="_SEC_f51f490193e84e438b03b0fea83deda0" title="报告期末除债券外的有息债务逾期情况  ____" helpId="101001130" helpText="公司应当披露报告期末除债券外的有息债务逾期情况，包括但不限于金额、发生原因及处置进展。"/>
    <m:section xlName="_SEC_1d2c79f5623a432b86a5eff8405dac4e" title="报告期内违反法律法规、公司章程、信息披露事务管理制度规定的情..." helpId="101001131"/>
    <m:section xlName="_SEC_1baf511e52ae45aca3071cdf1c8d6889" title="截至报告期末公司近2年的会计数据和财务指标" helpId="101001127"/>
    <m:item xlName="_GBC_9680c57d3e6a4ee9b01aefbd4b8545db" concept="clcid-ci-ar:ShiFouShiYongKeZhuanHuanGongSiZhaiQuanQingKuang" label="是否适用：可转换公司债券情况" selectOptions="_buildInAppliance" controlType="CustomCheckbox" cRanges="[{&quot;StartName&quot;:&quot;_GBC_9680c57d3e6a4ee9b01aefbd4b8545db&quot;,&quot;EndName&quot;:&quot;_SEC_a6207aced3474a108d95eb7cd3be30a7&quot;,&quot;CType&quot;:1}]"/>
    <m:section xlName="_SEC_8d04a146c600466c88e27fd05cb55cf3" title="转债发行情况" convertSummaryRule="NoConvert"/>
    <m:item xlName="_GBC_6a8eda7be111431bb27877dccef03813" concept="clcid-ci-ar:ShiFouShiYongBaoGaoQiZhuanZhaiChiYouRenJiDanBaoRenQingKuang" label="是否适用：报告期转债持有人及担保人情况" selectOptions="_buildInAppliance" controlType="CustomCheckbox" cRanges="[{&quot;StartName&quot;:&quot;_GBC_6a8eda7be111431bb27877dccef03813&quot;,&quot;EndName&quot;:&quot;_SEC_0897570e9f464854aa85ddde6b262ed2&quot;,&quot;CType&quot;:1}]"/>
    <m:section xlName="_SEC_0897570e9f464854aa85ddde6b262ed2" title="转债持有人及担保人情况" repeatable="1" tupleConcept="clcid-cgi:BaoGaoQiZhuanZhaiChiYouRenJiDanBaoRenQingKuangMingXi"/>
    <m:section xlName="_SEC_fc5c14798b574f809af3c637b2a54f88" title="报告期转债变动情况" convertSummaryRule="NoConvert"/>
    <m:item xlName="_GBC_17fac391a9434849b418b1c91de8d200" concept="clcid-ci-ar:ShiFouShiYongBaoGaoQiZhuanZhaiLeiJiZhuanGuQingKuang" label="是否适用：报告期转债累计转股情况" selectOptions="_buildInAppliance" controlType="CustomCheckbox" cRanges="[{&quot;StartName&quot;:&quot;_GBC_17fac391a9434849b418b1c91de8d200&quot;,&quot;EndName&quot;:&quot;_SEC_89aef7a704694ed59cbfd1a37489ce94&quot;,&quot;CType&quot;:1}]"/>
    <m:section xlName="_SEC_89aef7a704694ed59cbfd1a37489ce94" title="转债累计转股情况" tupleConcept="clcid-cgi:BaoGaoQiZhuanZhaiLeiJiZhuanGuQingKuangMingXi" repeatable="1"/>
    <m:item xlName="_GBC_0fe6da18026a4a54834707bcfb7e8798" concept="clcid-ci-ar:ShiFouShiYongZhuanGuJiaGeLiCiDiaoZhengQingKuang" label="是否适用：转股价格历次调整情况" selectOptions="_buildInAppliance" controlType="CustomCheckbox" cRanges="[{&quot;StartName&quot;:&quot;_GBC_0fe6da18026a4a54834707bcfb7e8798&quot;,&quot;EndName&quot;:&quot;_SEC_1129e6b3e49649d69212a4fc99681245&quot;,&quot;CType&quot;:1}]"/>
    <m:item xlName="_GBC_d5ffd32180a94138bafb48697c550d25" indRef="255" concept="clcid-ci-ar:DanWeiZhuanGuJiaGeLiCiTiaoZhengQingKuang" label="单位：转股价格历次调整情况" selectOptions="_buildInScales" controlType="Combobox" cellType="Scale" appId="_GBC_0fe6da18026a4a54834707bcfb7e8798"/>
    <m:item xlName="_GBC_5daf1a3a24844cb29df06aabe132cbfd" indRef="256" concept="clcid-ci-ar:BiZhongZhuanGuJiaGeLiCiTiaoZhengQingKuang" label="币种：转股价格历次调整情况" selectOptions="_buildInISO4217" controlType="Combobox" cellType="Measure" appId="_GBC_0fe6da18026a4a54834707bcfb7e8798"/>
    <m:section xlName="_SEC_1129e6b3e49649d69212a4fc99681245" title="转股价格历次调整情况" tupleConcept="clcid-cgi:ZhuanGuJiaGeLiCiDiaoZhengQingKuangMingXi" repeatable="1"/>
    <m:section xlName="_SEC_c80aa4d34ae342609dd463b1810e4513" title="公司的负债情况、资信变化情况及在未来年度还债的现金安排" convertSummaryRule="NoConvert"/>
    <m:section xlName="_SEC_a6207aced3474a108d95eb7cd3be30a7" title="转债其他情况说明" convertSummaryRule="NoConvert"/>
    <m:section xlName="_GBC_3c4b7d00409449a2b71d41277e7bd042" title="审计报告" helpId="112001005" helpText="注：公司应披露具有证券期货业务资格的会计师事务所盖章及由两名或两名以上注册会计师签名盖章的审计报告全文。请上市公司将审计报告全文填写在此文本框内。"/>
    <m:section xlName="_SEC_cc37a84cf19b441f93487bfd1de48f00" title="需要编制合并报表" checkKey="合并" helpId="112001001" helpText="若2022年首次执行新会计准则调整首次执行当年年初财务报表相关项目的，则2021年12月31日列按照旧会计准则涉及科目填写；若首次执行新会计准则追溯调整前期比较数据的，则2021年12月31日列按照新会计准则涉及科目填写。若存在其他特殊情况的，请按照新会计准则的要求进行披露。" primarySection="_SEC_cc37a84cf19b441f93487bfd1de48f00" optionText="需要编制合并报表" optionGroupTitle="是否需要合并报表" optionTargetConcept="clcid-ci-ar:ShiFouXuYaoHeBingBaoBiao" optionTargetConceptValue="true" keyAction="15" keyCode="A00001;A00002;A00003" otherKeyActions="{&quot;KeyCode&quot;:null,&quot;KeyAction&quot;:14,&quot;KeyActionTitle&quot;:null,&quot;OtherActions&quot;:null}|{&quot;KeyCode&quot;:null,&quot;KeyAction&quot;:57,&quot;KeyActionTitle&quot;:null,&quot;OtherActions&quot;:null}|{&quot;KeyCode&quot;:&quot;2&quot;,&quot;KeyAction&quot;:42,&quot;KeyActionTitle&quot;:null,&quot;OtherActions&quot;:null}"/>
    <m:section xlName="_SEC_c3e436c225714a739a972fb466106bc3" title="无需编制合并报表" checkKey="!合并" helpId="112001001" helpText="若2022年首次执行新会计准则调整首次执行当年年初财务报表相关项目的，则2021年12月31日列按照旧会计准则涉及科目填写；若首次执行新会计准则追溯调整前期比较数据的，则2021年12月31日列按照新会计准则涉及科目填写。若存在其他特殊情况的，请按照新会计准则的要求进行披露。" primarySection="_SEC_cc37a84cf19b441f93487bfd1de48f00" optionText="无需编制合并报表" optionGroupTitle="是否需要合并报表" optionTargetConcept="clcid-ci-ar:ShiFouXuYaoHeBingBaoBiao" optionTargetConceptValue="false" keyAction="57" otherKeyActions="{&quot;KeyCode&quot;:&quot;A00001;A00002;A00003&quot;,&quot;KeyAction&quot;:15,&quot;KeyActionTitle&quot;:null,&quot;OtherActions&quot;:null}|{&quot;KeyCode&quot;:null,&quot;KeyAction&quot;:14,&quot;KeyActionTitle&quot;:null,&quot;OtherActions&quot;:null}|{&quot;KeyCode&quot;:&quot;2&quot;,&quot;KeyAction&quot;:42,&quot;KeyActionTitle&quot;:null,&quot;OtherActions&quot;:null}">
      <m:rowModel locationConcept="clcid-ci-ar:ZiDingYiKeMuWeiZhi " labelConcept="clcid-ci-ar:ZiDingYiKeMuMingCheng" conceptPrefix="资产负债表" presentationRole="http://www.xbrl-cn.org/cn/lcid/lr/role/BalanceSheetforCommercialandIndustrialCompanies" presentationParentConcept="clcid-pte:ZiChanFuZhaiBiao" tuplePrefix="项目"/>
    </m:section>
    <m:section xlName="_SEC_38812834cfb34e9393dcbecc309c8615" title="需要编制合并报表" checkKey="合并" primarySection="_SEC_38812834cfb34e9393dcbecc309c8615" optionText="需要编制合并报表" optionGroupTitle="是否需要合并报表" optionTargetConcept="clcid-ci-ar:ShiFouXuYaoHeBingBaoBiao" optionTargetConceptValue="true" keyAction="15" keyCode="A00004;A00005" otherKeyActions="{&quot;KeyCode&quot;:null,&quot;KeyAction&quot;:14,&quot;KeyActionTitle&quot;:null,&quot;OtherActions&quot;:null}|{&quot;KeyCode&quot;:null,&quot;KeyAction&quot;:57,&quot;KeyActionTitle&quot;:null,&quot;OtherActions&quot;:null}|{&quot;KeyCode&quot;:null,&quot;KeyAction&quot;:88,&quot;KeyActionTitle&quot;:null,&quot;OtherActions&quot;:null}|{&quot;KeyCode&quot;:&quot;2&quot;,&quot;KeyAction&quot;:42,&quot;KeyActionTitle&quot;:null,&quot;OtherActions&quot;:null}"/>
    <m:section xlName="_SEC_30256d2487bb41efb90c73c08a8dc83d" title="无需编制合并报表" checkKey="!合并" primarySection="_SEC_38812834cfb34e9393dcbecc309c8615" optionText="无需编制合并报表" optionGroupTitle="是否需要合并报表" optionTargetConcept="clcid-ci-ar:ShiFouXuYaoHeBingBaoBiao" optionTargetConceptValue="false" keyAction="15" keyCode="A00004;A00005" otherKeyActions="{&quot;KeyCode&quot;:null,&quot;KeyAction&quot;:14,&quot;KeyActionTitle&quot;:null,&quot;OtherActions&quot;:null}|{&quot;KeyCode&quot;:null,&quot;KeyAction&quot;:57,&quot;KeyActionTitle&quot;:null,&quot;OtherActions&quot;:null}|{&quot;KeyCode&quot;:&quot;2&quot;,&quot;KeyAction&quot;:42,&quot;KeyActionTitle&quot;:null,&quot;OtherActions&quot;:null}|{&quot;KeyCode&quot;:null,&quot;KeyAction&quot;:88,&quot;KeyActionTitle&quot;:null,&quot;OtherActions&quot;:null}">
      <m:rowModel locationConcept="clcid-ci-ar:ZiDingYiKeMuWeiZhi" labelConcept="clcid-ci-ar:ZiDingYiKeMuMingCheng" conceptPrefix="利润表" presentationRole="http://www.xbrl-cn.org/cn/lcid/lr/role/IncomeStatementforCommercialandIndustrialCompanies" presentationParentConcept="clcid-pte:LiRunBiao" tuplePrefix="项目"/>
    </m:section>
    <m:section xlName="_GBC_d6533048a32749eaa7738390457b7f24" title="需要编制合并报表" checkKey="合并" primarySection="_GBC_d6533048a32749eaa7738390457b7f24" optionText="需要编制合并报表" optionGroupTitle="是否需要合并报表" optionTargetConcept="clcid-ci-ar:ShiFouXuYaoHeBingBaoBiao" optionTargetConceptValue="true" keyAction="14" otherKeyActions="{&quot;KeyCode&quot;:null,&quot;KeyAction&quot;:57,&quot;KeyActionTitle&quot;:null,&quot;OtherActions&quot;:null}|{&quot;KeyCode&quot;:&quot;2&quot;,&quot;KeyAction&quot;:42,&quot;KeyActionTitle&quot;:null,&quot;OtherActions&quot;:null}" afterEmptyParagraphs="2"/>
    <m:section xlName="_GBC_de8d3cfcf111414a940cf01324ef9389" title="无需编制合并报表" checkKey="!合并" helpId="112001001" primarySection="_GBC_d6533048a32749eaa7738390457b7f24" optionText="无需编制合并报表" optionGroupTitle="是否需要合并报表" optionTargetConcept="clcid-ci-ar:ShiFouXuYaoHeBingBaoBiao" optionTargetConceptValue="false" keyAction="14" otherKeyActions="{&quot;KeyCode&quot;:null,&quot;KeyAction&quot;:57,&quot;KeyActionTitle&quot;:null,&quot;OtherActions&quot;:null}|{&quot;KeyCode&quot;:&quot;2&quot;,&quot;KeyAction&quot;:42,&quot;KeyActionTitle&quot;:null,&quot;OtherActions&quot;:null}">
      <m:rowModel locationConcept="clcid-ci-ar:ZiDingYiKeMuWeiZhi" labelConcept="clcid-ci-ar:ZiDingYiKeMuMingCheng" conceptPrefix="现金流量表" presentationRole="http://www.xbrl-cn.org/cn/lcid/lr/role/CashFlowsStatementforCommercialandIndustrialCompanies" presentationParentConcept="clcid-pte:XianJinLiuLiangBiao" tuplePrefix="项目"/>
    </m:section>
    <m:section xlName="_GBC_3b1dcbfa33024cc0a5c2f3d693817342" title="需要编制合并报表" checkKey="合并" extended="true" primarySection="_GBC_3b1dcbfa33024cc0a5c2f3d693817342" optionText="需要编制合并报表" activeContentOption="_GBC_3b1dcbfa33024cc0a5c2f3d693817342" optionGroupTitle="是否需要合并报表" optionTargetConcept="clcid-ci-ar:ShiFouXuYaoHeBingBaoBiao" optionTargetConceptValue="true" keyAction="14" otherKeyActions="{&quot;KeyCode&quot;:null,&quot;KeyAction&quot;:57,&quot;KeyActionTitle&quot;:null,&quot;OtherActions&quot;:null}|{&quot;KeyCode&quot;:&quot;2&quot;,&quot;KeyAction&quot;:42,&quot;KeyActionTitle&quot;:null,&quot;OtherActions&quot;:null}">
      <m:region xlName="_GBC_3eeab460b9b64d53b91f5e0ddcd3030f" title="合并所有者权益变动表&#10;" mandatory="false" helpId="112001001" matrix="true" matrixTablePrefix="合并所有者权益变动表" keyCode="2" keyAction="42">
        <m:item xlName="_GBC_57faea4e453e49ad93821b7dd6ce8bc4" indRef="275" concept="clcid-ci-ar:DanWeiHeBingGuDongQuanYiDiaoJieBiao" label="单位：合并股东权益调节表" selectOptions="_buildInScales" controlType="Combobox" cellType="Scale"/>
        <m:item xlName="_GBC_cef77704267643d794145c73763360e5" indRef="276" concept="clcid-ci-ar:BiZhongHeBingGuDongQuanYiDiaoJieBiao" label="币种：合并股东权益调节表" selectOptions="_buildInISO4217" controlType="Combobox" cellType="Measure"/>
        <m:placeholder xlName="_PLD_245a9e71ca1b403fad3a821efeb272de" wordText="项目" addr="T0R0C0S4_1"/>
        <m:placeholder xlName="_PLD_74b2c30f72fb403387c8b0e2a353f994" wordText="2022年度" addr="T0R0C1S1_15"/>
        <m:placeholder xlName="_PLD_48b1c4daa55343f0a820ecc94c441958" wordText="归属于母公司所有者权益" addr="T0R1C1S1_13"/>
        <m:placeholder xlName="_PLD_de4010a56d78401ebd4bb48e62167082" wordText="少数股东权益" addr="T0R1C14S3_1"/>
        <m:placeholder xlName="_PLD_ff9bc6143ed9429e80e1ed144f5ff16d" wordText="所有者权益合计" addr="T0R1C15S3_1"/>
        <m:placeholder xlName="_PLD_2a43f0f223d141f0855f6cbb9e60b12f" wordText="实收资本(或股本)" addr="T0R2C1S2_1"/>
        <m:placeholder xlName="_PLD_39cb94703877409e9e50d4bf964d43e4" wordText="其他权益工具" addr="T0R2C2S1_3"/>
        <m:placeholder xlName="_PLD_0a2a84969d8f4cc5ab2f59451a4cf45c" wordText="资本公积" addr="T0R2C5S2_1"/>
        <m:placeholder xlName="_PLD_3eb4af6d758d4787987e21e90e79351d" wordText="减：库存股" addr="T0R2C6S2_1"/>
        <m:placeholder xlName="_PLD_63b36aa6d5e74a289a4f2e40e95da929" wordText="其他综合收益" addr="T0R2C7S2_1"/>
        <m:placeholder xlName="_PLD_1560331b8c2f411cb5a844cb35b3d2b6" wordText="专项储备" addr="T0R2C8S2_1"/>
        <m:placeholder xlName="_PLD_6f43f79cacca48dca49685537156084f" wordText="盈余公积" addr="T0R2C9S2_1"/>
        <m:placeholder xlName="_PLD_56a430dce9564c199812862caead59b2" wordText="一般风险准备" addr="T0R2C10S2_1"/>
        <m:placeholder xlName="_PLD_cbc8cc4f323b4146bc3e0b624cb6a030" wordText="未分配利润" addr="T0R2C11S2_1"/>
        <m:placeholder xlName="_PLD_b504a77359e042b99ce9a2513e44008d" wordText="其他" addr="T0R2C12S2_1"/>
        <m:placeholder xlName="_PLD_30b039ff7c714652865f3029df27082b" wordText="小计" addr="T0R2C13S2_1"/>
        <m:placeholder xlName="_PLD_b607c17c743149d295a2a79708dbacd2" wordText="优先股" addr="T0R3C2S1_1"/>
        <m:placeholder xlName="_PLD_ff95d9a5f43c439aac9ba6d07675d878" wordText="永续债" addr="T0R3C3S1_1"/>
        <m:placeholder xlName="_PLD_172b1cd40c094b6fa71aba6fe6a10f81" wordText="其他" addr="T0R3C4S1_1"/>
        <m:placeholder xlName="_PLD_4fdfc5e6b5c34cfdb08e5d5e3943966e" wordText="一、上年年末余额" addr="T0R4C0S1_1"/>
        <m:item xlName="_GBC_0c6d10b4149444af9e03828789314f4e" concept="clcid-pte:GuBen" label="股本" periodRef="上年度期末数" mulRef="_GBC_57faea4e453e49ad93821b7dd6ce8bc4" unitRef="_GBC_cef77704267643d794145c73763360e5" addr="T0R4C1S1_1" formatStyle="Comma">
          <m:axisValue occRef="调整前的值"/>
        </m:item>
        <m:item xlName="_GBC_982fe865592d4b15a92d62983df136c4" concept="clcid-pte:QiTaQuanYiGongJuQiZhongYouXianGu" label="其他权益工具-其中：优先股" periodRef="上年度期末数" mulRef="_GBC_57faea4e453e49ad93821b7dd6ce8bc4" unitRef="_GBC_cef77704267643d794145c73763360e5" addr="T0R4C2S1_1" formatStyle="Comma">
          <m:axisValue occRef="调整前的值"/>
        </m:item>
        <m:item xlName="_GBC_40a1ed824c2a42aaac28b02d5e456282" concept="clcid-pte:QiTaQuanYiGongJuYongXuZhai" label="其他权益工具-永续债" periodRef="上年度期末数" mulRef="_GBC_57faea4e453e49ad93821b7dd6ce8bc4" unitRef="_GBC_cef77704267643d794145c73763360e5" addr="T0R4C3S1_1" formatStyle="Comma">
          <m:axisValue occRef="调整前的值"/>
        </m:item>
        <m:item xlName="_GBC_499b812412af495f87aadae11b78a86f" concept="clcid-pte:QiTaQuanYiGongJuQiTa" label="其他权益工具-其他" periodRef="上年度期末数" mulRef="_GBC_57faea4e453e49ad93821b7dd6ce8bc4" unitRef="_GBC_cef77704267643d794145c73763360e5" addr="T0R4C4S1_1" formatStyle="Comma">
          <m:axisValue occRef="调整前的值"/>
        </m:item>
        <m:item xlName="_GBC_17765a3568404a1da120e3efb1f6f4e4" concept="clcid-pte:ZiBenGongJi" label="资本公积" periodRef="上年度期末数" mulRef="_GBC_57faea4e453e49ad93821b7dd6ce8bc4" unitRef="_GBC_cef77704267643d794145c73763360e5" addr="T0R4C5S1_1" formatStyle="Comma">
          <m:axisValue occRef="调整前的值"/>
        </m:item>
        <m:item xlName="_GBC_ff0b556e074b4279952ce608e45e952c" concept="clcid-pte:KuCunGu" label="库存股" periodRef="上年度期末数" mulRef="_GBC_57faea4e453e49ad93821b7dd6ce8bc4" unitRef="_GBC_cef77704267643d794145c73763360e5" addr="T0R4C6S1_1" baseScale="-1" formatStyle="Comma">
          <m:axisValue occRef="调整前的值"/>
        </m:item>
        <m:item xlName="_GBC_f9aebbd1b1c84315a34c6118344ff78a" concept="clcid-pte:QiTaZongHeShouYiZiChanFuZhaiBiaoXiangMu" label="其他综合收益（资产负债表项目）" periodRef="上年度期末数" mulRef="_GBC_57faea4e453e49ad93821b7dd6ce8bc4" unitRef="_GBC_cef77704267643d794145c73763360e5" addr="T0R4C7S1_1" formatStyle="Comma">
          <m:axisValue occRef="调整前的值"/>
        </m:item>
        <m:item xlName="_GBC_9eb39a3a39374605966081e833de3d62" concept="clcid-pte:ZhuanXiangChuBei" label="专项储备" periodRef="上年度期末数" mulRef="_GBC_57faea4e453e49ad93821b7dd6ce8bc4" unitRef="_GBC_cef77704267643d794145c73763360e5" addr="T0R4C8S1_1" formatStyle="Comma">
          <m:axisValue occRef="调整前的值"/>
        </m:item>
        <m:item xlName="_GBC_4d0e171ece294c249574e2dd9dd024ac" concept="clcid-pte:YingYuGongJi" label="盈余公积" periodRef="上年度期末数" mulRef="_GBC_57faea4e453e49ad93821b7dd6ce8bc4" unitRef="_GBC_cef77704267643d794145c73763360e5" addr="T0R4C9S1_1" formatStyle="Comma">
          <m:axisValue occRef="调整前的值"/>
        </m:item>
        <m:item xlName="_GBC_05519bf562014f01af8c45c90f8931fd" concept="clcid-pte:YiBanFengXianZhunBei" label="一般风险准备" periodRef="上年度期末数" mulRef="_GBC_57faea4e453e49ad93821b7dd6ce8bc4" unitRef="_GBC_cef77704267643d794145c73763360e5" addr="T0R4C10S1_1" formatStyle="Comma">
          <m:axisValue occRef="调整前的值"/>
        </m:item>
        <m:item xlName="_GBC_e15cc3ba9f6240299aa2a5b528ed8bb5" concept="clcid-pte:WeiFenPeiLiRun" label="未分配利润" periodRef="上年度期末数" mulRef="_GBC_57faea4e453e49ad93821b7dd6ce8bc4" unitRef="_GBC_cef77704267643d794145c73763360e5" addr="T0R4C11S1_1" formatStyle="Comma">
          <m:axisValue occRef="调整前的值"/>
        </m:item>
        <m:item xlName="_GBC_e4671dc514fe4b739f4facf72a4712a2" concept="clcid-pte:QiTaDeGuiShuYuMuGongSiSuoYouZheQuanYi" label="其他的归属于母公司所有者权益" periodRef="上年度期末数" mulRef="_GBC_57faea4e453e49ad93821b7dd6ce8bc4" unitRef="_GBC_cef77704267643d794145c73763360e5" addr="T0R4C12S1_1" formatStyle="Comma">
          <m:axisValue occRef="调整前的值"/>
        </m:item>
        <m:item xlName="_GBC_63a94a106300405186c1a700fe751cec" concept="clcid-pte:GuiShuYuMuGongSiSuoYouZheQuanYiHeJi" label="归属于母公司所有者权益合计" periodRef="上年度期末数" mulRef="_GBC_57faea4e453e49ad93821b7dd6ce8bc4" unitRef="_GBC_cef77704267643d794145c73763360e5" addr="T0R4C13S1_1" formatStyle="Comma">
          <m:axisValue occRef="调整前的值"/>
        </m:item>
        <m:item xlName="_GBC_c7fd558fdc874fe096ada525906f5f26" concept="clcid-pte:ShaoShuGuDongQuanYi" label="少数股东权益" periodRef="上年度期末数" mulRef="_GBC_57faea4e453e49ad93821b7dd6ce8bc4" unitRef="_GBC_cef77704267643d794145c73763360e5" addr="T0R4C14S1_1" formatStyle="Comma">
          <m:axisValue occRef="调整前的值"/>
        </m:item>
        <m:item xlName="_GBC_442dec9268e8466ea499b32b3eb59da1" concept="clcid-pte:GuDongQuanYiHeJi" label="股东权益合计" periodRef="上年度期末数" mulRef="_GBC_57faea4e453e49ad93821b7dd6ce8bc4" unitRef="_GBC_cef77704267643d794145c73763360e5" addr="T0R4C15S1_1" formatStyle="Comma">
          <m:axisValue occRef="调整前的值"/>
        </m:item>
        <m:placeholder xlName="_PLD_90f04cf20717467298c2824a1c7b2f71" wordText="加：会计政策变更" addr="T0R5C0S1_1"/>
        <m:item xlName="_GBC_c09674179ce04567bbdc74d40619e0a6" concept="clcid-pte:KuaiJiZhengCeBianGengDaoZhiShiShouZiBenHuoGuBenJingEBianDongJinE" label="会计政策变更导致实收资本（或股本）净额变动金额" periodRef="本期期初数" mulRef="_GBC_57faea4e453e49ad93821b7dd6ce8bc4" unitRef="_GBC_cef77704267643d794145c73763360e5" addr="T0R5C1S1_1" formatStyle="Comma"/>
        <m:item xlName="_GBC_cbe46d14e1764d73a07ad0d43e35ae86" concept="clcid-pte:HuiJiZhengCeBianGengDaoZhiYouXianGuBianDongJinE" label="会计政策变更导致优先股变动金额" periodRef="本期期初数" mulRef="_GBC_57faea4e453e49ad93821b7dd6ce8bc4" unitRef="_GBC_cef77704267643d794145c73763360e5" addr="T0R5C2S1_1" formatStyle="Comma"/>
        <m:item xlName="_GBC_2c116f784c51417688bbb09382ebd9fa" concept="clcid-pte:HuiJiZhengCeBianGengDaoZhiYongXuZhaiBianDongJinE" label="会计政策变更导致永续债变动金额" periodRef="本期期初数" mulRef="_GBC_57faea4e453e49ad93821b7dd6ce8bc4" unitRef="_GBC_cef77704267643d794145c73763360e5" addr="T0R5C3S1_1" formatStyle="Comma"/>
        <m:item xlName="_GBC_4cec86d3c0f84e15bf8f5c6c5fe1d770" concept="clcid-pte:HuiJiZhengCeBianGengDaoZhiQiTaQuanYiGongJuZhongDeQiTaBianDongJinE" label="会计政策变更导致其他权益工具中的其他变动金额" periodRef="本期期初数" mulRef="_GBC_57faea4e453e49ad93821b7dd6ce8bc4" unitRef="_GBC_cef77704267643d794145c73763360e5" addr="T0R5C4S1_1" formatStyle="Comma"/>
        <m:item xlName="_GBC_988ab3c6702a4b17988040b16b6d8ccf" concept="clcid-pte:KuaiJiZhengCeBianGengDaoZhiZiBenGongJiBianDongJinE" label="会计政策变更导致资本公积变动金额" periodRef="本期期初数" mulRef="_GBC_57faea4e453e49ad93821b7dd6ce8bc4" unitRef="_GBC_cef77704267643d794145c73763360e5" addr="T0R5C5S1_1" formatStyle="Comma"/>
        <m:item xlName="_GBC_aa4d170130d44daa855018a7b0a59dbd" concept="clcid-pte:KuaiJiZhengCeBianGengDaoZhiKuCunGuBianDongJinE" label="会计政策变更导致库存股变动金额" periodRef="本期期初数" mulRef="_GBC_57faea4e453e49ad93821b7dd6ce8bc4" unitRef="_GBC_cef77704267643d794145c73763360e5" addr="T0R5C6S1_1" baseScale="-1" formatStyle="Comma"/>
        <m:item xlName="_GBC_5f1ed07c8dad4b9e8bc742dd13cf5145" concept="clcid-pte:HuiJiZhengCeBianGengDaoZhiQiTaZongHeShouYiBianDongJinE" label="会计政策变更导致其他综合收益变动金额" periodRef="本期期初数" mulRef="_GBC_57faea4e453e49ad93821b7dd6ce8bc4" unitRef="_GBC_cef77704267643d794145c73763360e5" addr="T0R5C7S1_1" formatStyle="Comma"/>
        <m:item xlName="_GBC_0ad9b945c8e44bc2a67ae3b0043604bc" concept="clcid-pte:KuaiJiZhengCeBianGengDaoZhiZhuanXiangChuBeiBianDongJinE" label="会计政策变更导致专项储备变动金额" periodRef="本期期初数" mulRef="_GBC_57faea4e453e49ad93821b7dd6ce8bc4" unitRef="_GBC_cef77704267643d794145c73763360e5" addr="T0R5C8S1_1" formatStyle="Comma"/>
        <m:item xlName="_GBC_23f1c404f27043c88e9b093b2272621d" concept="clcid-pte:KuaiJiZhengCeBianGengDaoZhiYingYuGongJiBianDongJinE" label="会计政策变更导致盈余公积变动金额" periodRef="本期期初数" mulRef="_GBC_57faea4e453e49ad93821b7dd6ce8bc4" unitRef="_GBC_cef77704267643d794145c73763360e5" addr="T0R5C9S1_1" formatStyle="Comma"/>
        <m:item xlName="_GBC_cb1b5c178a3d49048bcf651f765e6984" concept="clcid-pte:KuaiJiZhengCeBianGengDaoZhiYiBanFengXianZhunBeiBianDongJinE" label="会计政策变更导致一般风险准备变动金额" periodRef="本期期初数" mulRef="_GBC_57faea4e453e49ad93821b7dd6ce8bc4" unitRef="_GBC_cef77704267643d794145c73763360e5" addr="T0R5C10S1_1" formatStyle="Comma"/>
        <m:item xlName="_GBC_03fbcf224f96453a9ed5c217dd4bfd27" concept="clcid-pte:KuaiJiZhengCeBianGengDaoZhiWeiFenPeiLiRunBianDongJinE" label="会计政策变更导致未分配利润变动金额" periodRef="本期期初数" mulRef="_GBC_57faea4e453e49ad93821b7dd6ce8bc4" unitRef="_GBC_cef77704267643d794145c73763360e5" addr="T0R5C11S1_1" formatStyle="Comma"/>
        <m:item xlName="_GBC_6f0c1929a1034e33b779ae08364c1f58" concept="clcid-pte:KuaiJiZhengCeBianGengDaoZhiQiTaDeGuiShuYuMuGongSiSuoYouZheQuanYiBianDongJinE" label="会计政策变更导致其他的归属于母公司所有者权益变动金额" periodRef="本期期初数" mulRef="_GBC_57faea4e453e49ad93821b7dd6ce8bc4" unitRef="_GBC_cef77704267643d794145c73763360e5" addr="T0R5C12S1_1" formatStyle="Comma"/>
        <m:item xlName="_GBC_87974c44454444cca0e8809ba3c0d272" concept="clcid-pte:KuaiJiZhengCeBianGengDaoZhiGuiShuYuMuGongSiSuoYouZheQuanYiBianDongJinE" label="会计政策变更导致归属于母公司所有者权益变动金额" periodRef="本期期初数" mulRef="_GBC_57faea4e453e49ad93821b7dd6ce8bc4" unitRef="_GBC_cef77704267643d794145c73763360e5" addr="T0R5C13S1_1" formatStyle="Comma"/>
        <m:item xlName="_GBC_fd067631d404438ea02d264dd48e70d2" concept="clcid-pte:KuaiJiZhengCeBianGengDaoZhiShaoShuGuDongQuanYiBianDongJinE" label="会计政策变更导致少数股东权益变动金额" periodRef="本期期初数" mulRef="_GBC_57faea4e453e49ad93821b7dd6ce8bc4" unitRef="_GBC_cef77704267643d794145c73763360e5" addr="T0R5C14S1_1" formatStyle="Comma"/>
        <m:item xlName="_GBC_c2d525eff22840f09e6b321deb2de9dc" concept="clcid-pte:KuaiJiZhengCeBianGengDaoZhiGuDongQuanYiHeJiBianDongJinE" label="会计政策变更导致股东权益合计变动金额" periodRef="本期期初数" mulRef="_GBC_57faea4e453e49ad93821b7dd6ce8bc4" unitRef="_GBC_cef77704267643d794145c73763360e5" addr="T0R5C15S1_1" formatStyle="Comma"/>
        <m:placeholder xlName="_PLD_d724580d38484f718fafd008f24a7505" wordText="前期差错更正" indent="200" addr="T0R6C0S1_1"/>
        <m:item xlName="_GBC_93f36e0a882744b5861bc7a1dccabaeb" concept="clcid-pte:QianQiChaCuoGengZhengDaoZhiShiShouZiBenHuoGuBenJingEBianDongJinE" label="前期差错更正导致实收资本（或股本）净额变动金额" periodRef="本期期初数" mulRef="_GBC_57faea4e453e49ad93821b7dd6ce8bc4" unitRef="_GBC_cef77704267643d794145c73763360e5" addr="T0R6C1S1_1" formatStyle="Comma"/>
        <m:item xlName="_GBC_d6f6def1ae7545468eafa8186027ee5e" concept="clcid-pte:QianQiChaCuoGengZhengDaoZhiYouXianGuBianDongJinE" label="前期差错更正导致优先股变动金额" periodRef="本期期初数" mulRef="_GBC_57faea4e453e49ad93821b7dd6ce8bc4" unitRef="_GBC_cef77704267643d794145c73763360e5" addr="T0R6C2S1_1" formatStyle="Comma"/>
        <m:item xlName="_GBC_df62292574364a8198663e1267a2ed79" concept="clcid-pte:QianQiChaCuoGengZhengDaoZhiYongXuZhaiBianDongJinE" label="前期差错更正导致永续债变动金额" periodRef="本期期初数" mulRef="_GBC_57faea4e453e49ad93821b7dd6ce8bc4" unitRef="_GBC_cef77704267643d794145c73763360e5" addr="T0R6C3S1_1" formatStyle="Comma"/>
        <m:item xlName="_GBC_663b4fe31ce74275a778cc6df70c3639" concept="clcid-pte:QianQiChaCuoGengZhengDaoZhiQiTaQuanYiGongJuZhongDeQiTaBianDongJinE" label="前期差错更正导致其他权益工具中的其他变动金额" periodRef="本期期初数" mulRef="_GBC_57faea4e453e49ad93821b7dd6ce8bc4" unitRef="_GBC_cef77704267643d794145c73763360e5" addr="T0R6C4S1_1" formatStyle="Comma"/>
        <m:item xlName="_GBC_94c671c7686347a88eb000d09e3d3ddd" concept="clcid-pte:QianQiChaCuoGengZhengDaoZhiZiBenGongJiBianDongJinE" label="前期差错更正导致资本公积变动金额" periodRef="本期期初数" mulRef="_GBC_57faea4e453e49ad93821b7dd6ce8bc4" unitRef="_GBC_cef77704267643d794145c73763360e5" addr="T0R6C5S1_1" formatStyle="Comma"/>
        <m:item xlName="_GBC_64664cca9dc9486e90495fbeff172f3b" concept="clcid-pte:QianQiChaCuoGengZhengDaoZhiKuCunGuBianDongJinE" label="前期差错更正导致库存股变动金额" periodRef="本期期初数" mulRef="_GBC_57faea4e453e49ad93821b7dd6ce8bc4" unitRef="_GBC_cef77704267643d794145c73763360e5" addr="T0R6C6S1_1" baseScale="-1" formatStyle="Comma"/>
        <m:item xlName="_GBC_7e3a01e150c04a54a0ad3810ffe58fdd" concept="clcid-pte:QianQiChaCuoGengZhengDaoZhiQiTaZongHeShouYiBianDongJinE" label="前期差错更正导致其他综合收益变动金额" periodRef="本期期初数" mulRef="_GBC_57faea4e453e49ad93821b7dd6ce8bc4" unitRef="_GBC_cef77704267643d794145c73763360e5" addr="T0R6C7S1_1" formatStyle="Comma"/>
        <m:item xlName="_GBC_011ec8b3b27f4052b19d72752b723315" concept="clcid-pte:QianQiChaCuoGengZhengDaoZhiZhuanXiangChuBeiBianDongJinE" label="前期差错更正导致专项储备变动金额" periodRef="本期期初数" mulRef="_GBC_57faea4e453e49ad93821b7dd6ce8bc4" unitRef="_GBC_cef77704267643d794145c73763360e5" addr="T0R6C8S1_1" formatStyle="Comma"/>
        <m:item xlName="_GBC_b17e1011b6424dda884e9d25914b0cd9" concept="clcid-pte:QianQiChaCuoGengZhengDaoZhiYingYuGongJiBianDongJinE" label="前期差错更正导致盈余公积变动金额" periodRef="本期期初数" mulRef="_GBC_57faea4e453e49ad93821b7dd6ce8bc4" unitRef="_GBC_cef77704267643d794145c73763360e5" addr="T0R6C9S1_1" formatStyle="Comma"/>
        <m:item xlName="_GBC_344ef63e1eb04723864624f5ac9eb2ac" concept="clcid-pte:QianQiChaCuoGengZhengDaoZhiYiBanFengXianZhunBeiBianDongJinE" label="前期差错更正导致一般风险准备变动金额" periodRef="本期期初数" mulRef="_GBC_57faea4e453e49ad93821b7dd6ce8bc4" unitRef="_GBC_cef77704267643d794145c73763360e5" addr="T0R6C10S1_1" formatStyle="Comma"/>
        <m:item xlName="_GBC_04871b5d738b4d7f961c55cedd1cb620" concept="clcid-pte:QianQiChaCuoGengZhengDaoZhiWeiFenPeiLiRunBianDongJinE" label="前期差错更正导致未分配利润变动金额" periodRef="本期期初数" mulRef="_GBC_57faea4e453e49ad93821b7dd6ce8bc4" unitRef="_GBC_cef77704267643d794145c73763360e5" addr="T0R6C11S1_1" formatStyle="Comma"/>
        <m:item xlName="_GBC_c5853b84db5d4c8d8dda7de34fd7086e" concept="clcid-pte:QianQiChaCuoGengZhengDaoZhiQiTaDeGuiShuYuMuGongSiSuoYouZheQuanYiBianDongJinE" label="前期差错更正导致其他的归属于母公司所有者权益变动金额" periodRef="本期期初数" mulRef="_GBC_57faea4e453e49ad93821b7dd6ce8bc4" unitRef="_GBC_cef77704267643d794145c73763360e5" addr="T0R6C12S1_1" formatStyle="Comma"/>
        <m:item xlName="_GBC_397c756bee51426b9ea52977e364f83a" concept="clcid-pte:QianQiChaCuoGengZhengDaoZhiGuiShuYuMuGongSiSuoYouZheQuanYiBianDongJinE" label="前期差错更正导致归属于母公司所有者权益变动金额" periodRef="本期期初数" mulRef="_GBC_57faea4e453e49ad93821b7dd6ce8bc4" unitRef="_GBC_cef77704267643d794145c73763360e5" addr="T0R6C13S1_1" formatStyle="Comma"/>
        <m:item xlName="_GBC_07d019d58b7b4fd8a02aa80d34be2a19" concept="clcid-pte:QianQiChaCuoGengZhengDaoZhiShaoShuGuDongQuanYiBianDongJinE" label="前期差错更正导致少数股东权益变动金额" periodRef="本期期初数" mulRef="_GBC_57faea4e453e49ad93821b7dd6ce8bc4" unitRef="_GBC_cef77704267643d794145c73763360e5" addr="T0R6C14S1_1" formatStyle="Comma"/>
        <m:item xlName="_GBC_bae414834150489281217f029021ce34" concept="clcid-pte:QianQiChaCuoGengZhengDaoZhiGuDongQuanYiHeJiBianDongJinE" label="前期差错更正导致股东权益合计变动金额" periodRef="本期期初数" mulRef="_GBC_57faea4e453e49ad93821b7dd6ce8bc4" unitRef="_GBC_cef77704267643d794145c73763360e5" addr="T0R6C15S1_1" formatStyle="Comma"/>
        <m:placeholder xlName="_PLD_7107f73d7a074f5ea2342b03040f2d87" wordText="同一控制下企业合并" indent="200" addr="T0R7C0S1_1"/>
        <m:item xlName="_GBC_488e53613b3f4fe7bcd2de60f55c0755" concept="clcid-pte:TongYiKongZhiXiaQiYeHeBingDaoZhiGuBenBianDongJinE" label="同一控制下企业合并导致股本变动金额" periodRef="本期期初数" mulRef="_GBC_57faea4e453e49ad93821b7dd6ce8bc4" unitRef="_GBC_cef77704267643d794145c73763360e5" addr="T0R7C1S1_1" formatStyle="Comma"/>
        <m:item xlName="_GBC_3957ac04959e43b6b1b940c2171c0cfd" concept="clcid-pte:TongYiKongZhiXiaQiYeHeBingDaoZhiYouXianGuBianDongJinE" label="同一控制下企业合并导致优先股变动金额" periodRef="本期期初数" mulRef="_GBC_57faea4e453e49ad93821b7dd6ce8bc4" unitRef="_GBC_cef77704267643d794145c73763360e5" addr="T0R7C2S1_1" formatStyle="Comma"/>
        <m:item xlName="_GBC_c37c1705ca3944f587225a7ca47801f9" concept="clcid-pte:TongYiKongZhiXiaQiYeHeBingDaoZhiYongXuZhaiBianDongJinE" label="同一控制下企业合并导致永续债变动金额" periodRef="本期期初数" mulRef="_GBC_57faea4e453e49ad93821b7dd6ce8bc4" unitRef="_GBC_cef77704267643d794145c73763360e5" addr="T0R7C3S1_1" formatStyle="Comma"/>
        <m:item xlName="_GBC_e728318ba28446a3bbaa5bda514d6aa4" concept="clcid-pte:TongYiKongZhiXiaQiYeHeBingDaoZhiQiTaQuanYiGongJuZhongDeQiTaBianDongJinE" label="同一控制下企业合并导致其他权益工具中的其他变动金额" periodRef="本期期初数" mulRef="_GBC_57faea4e453e49ad93821b7dd6ce8bc4" unitRef="_GBC_cef77704267643d794145c73763360e5" addr="T0R7C4S1_1" formatStyle="Comma"/>
        <m:item xlName="_GBC_c46915fb73bf44ae92f06f05739812e3" concept="clcid-pte:TongYiKongZhiXiaQiYeHeBingDaoZhiZiBenGongJiBianDongJinE" label="同一控制下企业合并导致资本公积变动金额" periodRef="本期期初数" mulRef="_GBC_57faea4e453e49ad93821b7dd6ce8bc4" unitRef="_GBC_cef77704267643d794145c73763360e5" addr="T0R7C5S1_1" formatStyle="Comma"/>
        <m:item xlName="_GBC_2306bf2e1b914e188fe32c84db49c978" concept="clcid-pte:TongYiKongZhiXiaQiYeHeBingDaoZhiKuCunGuBianDongJinE" label="同一控制下企业合并导致库存股变动金额" periodRef="本期期初数" mulRef="_GBC_57faea4e453e49ad93821b7dd6ce8bc4" unitRef="_GBC_cef77704267643d794145c73763360e5" addr="T0R7C6S1_1" baseScale="-1" formatStyle="Comma"/>
        <m:item xlName="_GBC_b0adbe4224be48aaa832539d7c37eb69" concept="clcid-pte:TongYiKongZhiXiaQiYeHeBingDaoZhiQiTaZongHeShouYiBianDongJinE" label="同一控制下企业合并导致其他综合收益变动金额" periodRef="本期期初数" mulRef="_GBC_57faea4e453e49ad93821b7dd6ce8bc4" unitRef="_GBC_cef77704267643d794145c73763360e5" addr="T0R7C7S1_1" formatStyle="Comma"/>
        <m:item xlName="_GBC_53123ae2175e47f499281dd24111466f" concept="clcid-pte:TongYiKongZhiXiaQiYeHeBingDaoZhiZhuanXiangChuBeiBianDongJinE" label="同一控制下企业合并导致专项储备变动金额" periodRef="本期期初数" mulRef="_GBC_57faea4e453e49ad93821b7dd6ce8bc4" unitRef="_GBC_cef77704267643d794145c73763360e5" addr="T0R7C8S1_1" formatStyle="Comma"/>
        <m:item xlName="_GBC_2fff66357a4c4cd69263dd5b3dfb3564" concept="clcid-pte:TongYiKongZhiXiaQiYeHeBingDaoZhiYingYuGongJiBianDongJinE" label="同一控制下企业合并导致盈余公积变动金额" periodRef="本期期初数" mulRef="_GBC_57faea4e453e49ad93821b7dd6ce8bc4" unitRef="_GBC_cef77704267643d794145c73763360e5" addr="T0R7C9S1_1" formatStyle="Comma"/>
        <m:item xlName="_GBC_3a9cd2dffb85450dbb12bb815d0377e6" concept="clcid-pte:TongYiKongZhiXiaQiYeHeBingDaoZhiYiBanFengXianZhunBeiBianDongJinE" label="同一控制下企业合并导致一般风险准备变动金额" periodRef="本期期初数" mulRef="_GBC_57faea4e453e49ad93821b7dd6ce8bc4" unitRef="_GBC_cef77704267643d794145c73763360e5" addr="T0R7C10S1_1" formatStyle="Comma"/>
        <m:item xlName="_GBC_006ffa52dca54ac68ac2fa105901a3c3" concept="clcid-pte:TongYiKongZhiXiaQiYeHeBingDaoZhiWeiFenPeiLiRunBianDongJinE" label="同一控制下企业合并导致未分配利润变动金额" periodRef="本期期初数" mulRef="_GBC_57faea4e453e49ad93821b7dd6ce8bc4" unitRef="_GBC_cef77704267643d794145c73763360e5" addr="T0R7C11S1_1" formatStyle="Comma"/>
        <m:item xlName="_GBC_cf91a16dd694415489e8b9ee51a29424" concept="clcid-pte:TongYiKongZhiXiaQiYeHeBingDaoZhiQiTaDeGuiShuYuMuGongSiSuoYouZheQuanYiBianDongJinE" label="同一控制下企业合并导致其他的归属于母公司所有者权益变动金额" periodRef="本期期初数" mulRef="_GBC_57faea4e453e49ad93821b7dd6ce8bc4" unitRef="_GBC_cef77704267643d794145c73763360e5" addr="T0R7C12S1_1" formatStyle="Comma"/>
        <m:item xlName="_GBC_4983acd8d8234c958a5dd746b4130a55" concept="clcid-pte:TongYiKongZhiXiaQiYeHeBingDaoZhiGuiShuYuMuGongSiSuoYouZheQuanYiBianDongJinE" label="同一控制下企业合并导致归属于母公司所有者权益变动金额" periodRef="本期期初数" mulRef="_GBC_57faea4e453e49ad93821b7dd6ce8bc4" unitRef="_GBC_cef77704267643d794145c73763360e5" addr="T0R7C13S1_1" formatStyle="Comma"/>
        <m:item xlName="_GBC_23404c0c316d45728f16761a4006919c" concept="clcid-pte:TongYiKongZhiXiaQiYeHeBingDaoZhiShaoShuGuDongQuanYiBianDongJinE" label="同一控制下企业合并导致少数股东权益变动金额" periodRef="本期期初数" mulRef="_GBC_57faea4e453e49ad93821b7dd6ce8bc4" unitRef="_GBC_cef77704267643d794145c73763360e5" addr="T0R7C14S1_1" formatStyle="Comma"/>
        <m:item xlName="_GBC_e1a691549cf14d17b12c7b7ee9923e1b" concept="clcid-pte:TongYiKongZhiXiaQiYeHeBingDaoZhiGuDongQuanYiHeJiBianDongJinE" label="同一控制下企业合并导致股东权益合计变动金额" periodRef="本期期初数" mulRef="_GBC_57faea4e453e49ad93821b7dd6ce8bc4" unitRef="_GBC_cef77704267643d794145c73763360e5" addr="T0R7C15S1_1" formatStyle="Comma"/>
        <m:placeholder xlName="_PLD_122e3287ddd140fb9d031a4dab8a8b13" wordText="其他" indent="200" addr="T0R8C0S1_1"/>
        <m:item xlName="_GBC_3ce4c537c6c14d6ebac9f0acfa456c11" concept="clcid-pte:QiTaZhuiSuTiaoZhengDaoZhiShiShouZiBenBianDongJinE" label="实收资本变动金额（其他追溯调整）" periodRef="本期期初数" mulRef="_GBC_57faea4e453e49ad93821b7dd6ce8bc4" unitRef="_GBC_cef77704267643d794145c73763360e5" addr="T0R8C1S1_1" formatStyle="Comma"/>
        <m:item xlName="_GBC_9bd80f65003546c9a5f5c12a572f4a0d" concept="clcid-pte:YouXianGuBianDongJinEQiTaZhuiSuDiaoZheng" label="优先股变动金额（其他追溯调整）" periodRef="本期期初数" mulRef="_GBC_57faea4e453e49ad93821b7dd6ce8bc4" unitRef="_GBC_cef77704267643d794145c73763360e5" addr="T0R8C2S1_1" formatStyle="Comma"/>
        <m:item xlName="_GBC_9773a6ccfe1b40eab076304fc747a3d8" concept="clcid-pte:YongXuZhaiBianDongJinEQiTaZhuiSuDiaoZheng" label="永续债变动金额（其他追溯调整）" periodRef="本期期初数" mulRef="_GBC_57faea4e453e49ad93821b7dd6ce8bc4" unitRef="_GBC_cef77704267643d794145c73763360e5" addr="T0R8C3S1_1" formatStyle="Comma"/>
        <m:item xlName="_GBC_969e4910380b4f1b8449243cd0c457e7" concept="clcid-pte:QiTaQuanYiGongJuZhongDeQiTaBianDongJinEQiTaZhuiSuDiaoZheng" label="其他权益工具中的其他变动金额（其他追溯调整）" periodRef="本期期初数" mulRef="_GBC_57faea4e453e49ad93821b7dd6ce8bc4" unitRef="_GBC_cef77704267643d794145c73763360e5" addr="T0R8C4S1_1" formatStyle="Comma"/>
        <m:item xlName="_GBC_f83a56fb63a440168a0343274dc2b990" concept="clcid-pte:QiTaZhuiSuTiaoZhengDaoZhiZiBenGongJiBianDongJinE" label="资本公积变动金额（其他追溯调整）" periodRef="本期期初数" mulRef="_GBC_57faea4e453e49ad93821b7dd6ce8bc4" unitRef="_GBC_cef77704267643d794145c73763360e5" addr="T0R8C5S1_1" formatStyle="Comma"/>
        <m:item xlName="_GBC_a18df4f42f77442484184a8acb296947" concept="clcid-pte:QiTaZhuiSuTiaoZhengDaoZhiKuCunGuBianDongJinE" label="库存股变动金额（其他追溯调整）" periodRef="本期期初数" mulRef="_GBC_57faea4e453e49ad93821b7dd6ce8bc4" unitRef="_GBC_cef77704267643d794145c73763360e5" addr="T0R8C6S1_1" baseScale="-1" formatStyle="Comma"/>
        <m:item xlName="_GBC_dc58b36912e0425e966d0bd5b1905959" concept="clcid-pte:QiTaZongHeShouYiBianDongJinEQiTaZhuiSuDiaoZheng" label="其他综合收益变动金额（其他追溯调整）" periodRef="本期期初数" mulRef="_GBC_57faea4e453e49ad93821b7dd6ce8bc4" unitRef="_GBC_cef77704267643d794145c73763360e5" addr="T0R8C7S1_1" formatStyle="Comma"/>
        <m:item xlName="_GBC_5ff74747889243619bf99c2d2a1f956f" concept="clcid-pte:QiTaZhuiSuTiaoZhengDaoZhiZhuanXiangChuBeiBianDongJinE" label="专项储备变动金额（其他追溯调整）" periodRef="本期期初数" mulRef="_GBC_57faea4e453e49ad93821b7dd6ce8bc4" unitRef="_GBC_cef77704267643d794145c73763360e5" addr="T0R8C8S1_1" formatStyle="Comma"/>
        <m:item xlName="_GBC_e856558096674dfba47ef191f34bc5c3" concept="clcid-pte:QiTaZhuiSuTiaoZhengDaoZhiYingYuGongJiBianDongJinE" label="盈余公积变动金额（其他追溯调整）" periodRef="本期期初数" mulRef="_GBC_57faea4e453e49ad93821b7dd6ce8bc4" unitRef="_GBC_cef77704267643d794145c73763360e5" addr="T0R8C9S1_1" formatStyle="Comma"/>
        <m:item xlName="_GBC_a7b815ca86384f68b72722d9393a269c" concept="clcid-pte:QiTaZhuiSuTiaoZhengDaoZhiYiBanFengXianZhunBeiBianDongJinE" label="一般风险准备变动金额（其他追溯调整）" periodRef="本期期初数" mulRef="_GBC_57faea4e453e49ad93821b7dd6ce8bc4" unitRef="_GBC_cef77704267643d794145c73763360e5" addr="T0R8C10S1_1" formatStyle="Comma"/>
        <m:item xlName="_GBC_b183e3d49d3746dfad9419a752120b5d" concept="clcid-pte:QiTaZhuiSuTiaoZhengDaoZhiWeiFenPeiLiRunBianDongJinE" label="未分配利润变动金额（其他追溯调整）" periodRef="本期期初数" mulRef="_GBC_57faea4e453e49ad93821b7dd6ce8bc4" unitRef="_GBC_cef77704267643d794145c73763360e5" addr="T0R8C11S1_1" formatStyle="Comma"/>
        <m:item xlName="_GBC_d45fb74aa25e4b7d9d6f8ae0a0dc7c23" concept="clcid-pte:QiTaZhuiSuTiaoZhengDaoZhiQiTaGuiShuYuMuGongSiSuoYouZheQuanYiBianDongJinE" label="其他归属于母公司所有者权益变动金额（其他追溯调整）" periodRef="本期期初数" mulRef="_GBC_57faea4e453e49ad93821b7dd6ce8bc4" unitRef="_GBC_cef77704267643d794145c73763360e5" addr="T0R8C12S1_1" formatStyle="Comma"/>
        <m:item xlName="_GBC_01d69dcba5f144498570c712932bed2d" concept="clcid-pte:QiTaZhuiSuTiaoZhengDaoZhiGuiShuYuMuGongSiSuoYouZheQuanYiBianDongJinE" label="归属于母公司所有者权益变动金额（其他追溯调整）" periodRef="本期期初数" mulRef="_GBC_57faea4e453e49ad93821b7dd6ce8bc4" unitRef="_GBC_cef77704267643d794145c73763360e5" addr="T0R8C13S1_1" formatStyle="Comma"/>
        <m:item xlName="_GBC_48aa47eb23c0469d82eb2b7904a0ba2a" concept="clcid-pte:QiTaZhuiSuTiaoZhengDaoZhiShaoShuGuDongQuanYiBianDongJinE" label="少数股东权益变动金额（其他追溯调整）" periodRef="本期期初数" mulRef="_GBC_57faea4e453e49ad93821b7dd6ce8bc4" unitRef="_GBC_cef77704267643d794145c73763360e5" addr="T0R8C14S1_1" formatStyle="Comma"/>
        <m:item xlName="_GBC_a716f6f27f394f64aabe1cffb90f3ef4" concept="clcid-pte:QiTaZhuiSuTiaoZhengDaoZhiGuDongQuanYiBianDongJinE" label="股东权益变动金额（其他追溯调整）" periodRef="本期期初数" mulRef="_GBC_57faea4e453e49ad93821b7dd6ce8bc4" unitRef="_GBC_cef77704267643d794145c73763360e5" addr="T0R8C15S1_1" formatStyle="Comma"/>
        <m:placeholder xlName="_PLD_04db836e110543eab1bb1c6fb46bd857" wordText="二、本年期初余额" addr="T0R9C0S1_1"/>
        <m:item xlName="_GBC_7ffb904e78e6477884ead627a8c631d3" concept="clcid-pte:GuBen" label="股本" periodRef="本期期初数" mulRef="_GBC_57faea4e453e49ad93821b7dd6ce8bc4" unitRef="_GBC_cef77704267643d794145c73763360e5" addr="T0R9C1S1_1" formatStyle="Comma">
          <m:complexRule comparator="Eq" title="股本@本期期初数" test=" $_GBC_0c6d10b4149444af9e03828789314f4e +  $_GBC_c09674179ce04567bbdc74d40619e0a6 +  $_GBC_93f36e0a882744b5861bc7a1dccabaeb +  $_GBC_488e53613b3f4fe7bcd2de60f55c0755 +  $_GBC_3ce4c537c6c14d6ebac9f0acfa456c11" id="C6db2ed0876ec40a4930438c3856235a5" radius="0.0001"/>
        </m:item>
        <m:item xlName="_GBC_dba908bc5e0e4171b7ebfbc41d7847a1" concept="clcid-pte:QiTaQuanYiGongJuQiZhongYouXianGu" label="其他权益工具-其中：优先股" periodRef="本期期初数" mulRef="_GBC_57faea4e453e49ad93821b7dd6ce8bc4" unitRef="_GBC_cef77704267643d794145c73763360e5" addr="T0R9C2S1_1" formatStyle="Comma">
          <m:complexRule comparator="Eq" title="其他权益工具-其中：优先股@本期期初数" test=" $_GBC_982fe865592d4b15a92d62983df136c4 +  $_GBC_cbe46d14e1764d73a07ad0d43e35ae86 +  $_GBC_d6f6def1ae7545468eafa8186027ee5e +  $_GBC_3957ac04959e43b6b1b940c2171c0cfd +  $_GBC_9bd80f65003546c9a5f5c12a572f4a0d" id="Cc80b264f8c6943a19288f8632df35207"/>
        </m:item>
        <m:item xlName="_GBC_4515a054b6a14ecfbf1fd9407f99e3e4" concept="clcid-pte:QiTaQuanYiGongJuYongXuZhai" label="其他权益工具-永续债" periodRef="本期期初数" mulRef="_GBC_57faea4e453e49ad93821b7dd6ce8bc4" unitRef="_GBC_cef77704267643d794145c73763360e5" addr="T0R9C3S1_1" formatStyle="Comma">
          <m:complexRule comparator="Eq" title="其他权益工具-永续债@本期期初数" test=" $_GBC_40a1ed824c2a42aaac28b02d5e456282 +  $_GBC_2c116f784c51417688bbb09382ebd9fa +  $_GBC_df62292574364a8198663e1267a2ed79 +  $_GBC_c37c1705ca3944f587225a7ca47801f9 +  $_GBC_9773a6ccfe1b40eab076304fc747a3d8" id="Cb330e70e3de041e09a091f2a0ff9dcd4"/>
        </m:item>
        <m:item xlName="_GBC_7753d394adf44e1f8f53149adfd044ba" concept="clcid-pte:QiTaQuanYiGongJuQiTa" label="其他权益工具-其他" periodRef="本期期初数" mulRef="_GBC_57faea4e453e49ad93821b7dd6ce8bc4" unitRef="_GBC_cef77704267643d794145c73763360e5" addr="T0R9C4S1_1" formatStyle="Comma">
          <m:complexRule comparator="Eq" title="其他权益工具-其他@本期期初数" test=" $_GBC_499b812412af495f87aadae11b78a86f +  $_GBC_4cec86d3c0f84e15bf8f5c6c5fe1d770 +  $_GBC_663b4fe31ce74275a778cc6df70c3639 +  $_GBC_e728318ba28446a3bbaa5bda514d6aa4 +  $_GBC_969e4910380b4f1b8449243cd0c457e7" id="Cf5148751853547a68372f7789e925df7"/>
        </m:item>
        <m:item xlName="_GBC_68dbe5f167e148f0a5f0a3f6330cb542" concept="clcid-pte:ZiBenGongJi" label="资本公积" periodRef="本期期初数" mulRef="_GBC_57faea4e453e49ad93821b7dd6ce8bc4" unitRef="_GBC_cef77704267643d794145c73763360e5" addr="T0R9C5S1_1" formatStyle="Comma">
          <m:complexRule comparator="Eq" title="资本公积@本期期初数" test=" $_GBC_17765a3568404a1da120e3efb1f6f4e4 +  $_GBC_988ab3c6702a4b17988040b16b6d8ccf +  $_GBC_94c671c7686347a88eb000d09e3d3ddd +  $_GBC_c46915fb73bf44ae92f06f05739812e3 +  $_GBC_f83a56fb63a440168a0343274dc2b990" id="C5acc761eed6742f9bba8d0ec0edbd2ca" radius="0.0001"/>
        </m:item>
        <m:item xlName="_GBC_890dc2108e9743459a162d1be96c9b38" concept="clcid-pte:KuCunGu" label="库存股" periodRef="本期期初数" mulRef="_GBC_57faea4e453e49ad93821b7dd6ce8bc4" unitRef="_GBC_cef77704267643d794145c73763360e5" addr="T0R9C6S1_1" baseScale="-1" formatStyle="Comma">
          <m:complexRule comparator="Eq" title="库存股@本期期初数" test=" $_GBC_ff0b556e074b4279952ce608e45e952c +  $_GBC_aa4d170130d44daa855018a7b0a59dbd +  $_GBC_64664cca9dc9486e90495fbeff172f3b +  $_GBC_2306bf2e1b914e188fe32c84db49c978 +  $_GBC_a18df4f42f77442484184a8acb296947" id="C4c1eb61326e14fd39637bc8a60343cf3" radius="0.0001"/>
        </m:item>
        <m:item xlName="_GBC_7e7cea458edc4fef83b6aa00b0d6aee4" concept="clcid-pte:QiTaZongHeShouYiZiChanFuZhaiBiaoXiangMu" label="其他综合收益（资产负债表项目）" periodRef="本期期初数" mulRef="_GBC_57faea4e453e49ad93821b7dd6ce8bc4" unitRef="_GBC_cef77704267643d794145c73763360e5" addr="T0R9C7S1_1" formatStyle="Comma">
          <m:complexRule comparator="Eq" title="其他综合收益（资产负债表项目）@本期期初数" test=" $_GBC_f9aebbd1b1c84315a34c6118344ff78a +  $_GBC_5f1ed07c8dad4b9e8bc742dd13cf5145 +  $_GBC_7e3a01e150c04a54a0ad3810ffe58fdd +  $_GBC_b0adbe4224be48aaa832539d7c37eb69 +  $_GBC_dc58b36912e0425e966d0bd5b1905959" id="Ca1bf9f4452244835a4a2d9a5e94b42bf"/>
        </m:item>
        <m:item xlName="_GBC_0c6e51a496b546c9b745a8e54be8f15f" concept="clcid-pte:ZhuanXiangChuBei" label="专项储备" periodRef="本期期初数" mulRef="_GBC_57faea4e453e49ad93821b7dd6ce8bc4" unitRef="_GBC_cef77704267643d794145c73763360e5" addr="T0R9C8S1_1" formatStyle="Comma">
          <m:complexRule comparator="Eq" title="专项储备@本期期初数" test=" $_GBC_9eb39a3a39374605966081e833de3d62 +  $_GBC_0ad9b945c8e44bc2a67ae3b0043604bc +  $_GBC_011ec8b3b27f4052b19d72752b723315 +  $_GBC_53123ae2175e47f499281dd24111466f +  $_GBC_5ff74747889243619bf99c2d2a1f956f" id="C5a3e016b946c4b1c8af777d3316115d8" radius="0.0001"/>
        </m:item>
        <m:item xlName="_GBC_1d110a200be1458996f25bcb00197f2a" concept="clcid-pte:YingYuGongJi" label="盈余公积" periodRef="本期期初数" mulRef="_GBC_57faea4e453e49ad93821b7dd6ce8bc4" unitRef="_GBC_cef77704267643d794145c73763360e5" addr="T0R9C9S1_1" formatStyle="Comma">
          <m:complexRule comparator="Eq" title="盈余公积@本期期初数" test=" $_GBC_4d0e171ece294c249574e2dd9dd024ac +  $_GBC_23f1c404f27043c88e9b093b2272621d +  $_GBC_b17e1011b6424dda884e9d25914b0cd9 +  $_GBC_2fff66357a4c4cd69263dd5b3dfb3564 +  $_GBC_e856558096674dfba47ef191f34bc5c3" id="Cd7cd0b0813aa4844b6fa14e6ed19fb8f" radius="0.0001"/>
        </m:item>
        <m:item xlName="_GBC_717743d5dc924f1d8c14f011cbf3c2b9" concept="clcid-pte:YiBanFengXianZhunBei" label="一般风险准备" periodRef="本期期初数" mulRef="_GBC_57faea4e453e49ad93821b7dd6ce8bc4" unitRef="_GBC_cef77704267643d794145c73763360e5" addr="T0R9C10S1_1" formatStyle="Comma">
          <m:complexRule comparator="Eq" title="一般风险准备@本期期初数" test=" $_GBC_05519bf562014f01af8c45c90f8931fd +  $_GBC_cb1b5c178a3d49048bcf651f765e6984 +  $_GBC_344ef63e1eb04723864624f5ac9eb2ac +  $_GBC_3a9cd2dffb85450dbb12bb815d0377e6 +  $_GBC_a7b815ca86384f68b72722d9393a269c" id="C374ba2b23d644918ab0831fa9d593068" radius="0.0001"/>
        </m:item>
        <m:item xlName="_GBC_da6a75e012994c7dbdfd6cd3df7244d8" concept="clcid-pte:WeiFenPeiLiRun" label="未分配利润" periodRef="本期期初数" mulRef="_GBC_57faea4e453e49ad93821b7dd6ce8bc4" unitRef="_GBC_cef77704267643d794145c73763360e5" addr="T0R9C11S1_1" formatStyle="Comma">
          <m:complexRule comparator="Eq" title="未分配利润@本期期初数" test=" $_GBC_e15cc3ba9f6240299aa2a5b528ed8bb5 +  $_GBC_03fbcf224f96453a9ed5c217dd4bfd27 +  $_GBC_04871b5d738b4d7f961c55cedd1cb620 +  $_GBC_006ffa52dca54ac68ac2fa105901a3c3 +  $_GBC_b183e3d49d3746dfad9419a752120b5d" id="C476dec66930c449f906f4d93ad33accf" radius="0.0001"/>
        </m:item>
        <m:item xlName="_GBC_f4126fbcd16e4f09b17565b3e2d1549b" concept="clcid-pte:QiTaDeGuiShuYuMuGongSiSuoYouZheQuanYi" label="其他的归属于母公司所有者权益" periodRef="本期期初数" mulRef="_GBC_57faea4e453e49ad93821b7dd6ce8bc4" unitRef="_GBC_cef77704267643d794145c73763360e5" addr="T0R9C12S1_1" formatStyle="Comma">
          <m:complexRule comparator="Eq" title="其他的归属于母公司所有者权益@本期期初数" test=" $_GBC_e4671dc514fe4b739f4facf72a4712a2 +  $_GBC_6f0c1929a1034e33b779ae08364c1f58 +  $_GBC_c5853b84db5d4c8d8dda7de34fd7086e +  $_GBC_cf91a16dd694415489e8b9ee51a29424 +  $_GBC_d45fb74aa25e4b7d9d6f8ae0a0dc7c23" id="C5c3f259243cc42a38920340dbed511cf"/>
        </m:item>
        <m:item xlName="_GBC_0434dc1629334a619aecf40a030ef9c4" concept="clcid-pte:GuiShuYuMuGongSiSuoYouZheQuanYiHeJi" label="归属于母公司所有者权益合计" periodRef="本期期初数" mulRef="_GBC_57faea4e453e49ad93821b7dd6ce8bc4" unitRef="_GBC_cef77704267643d794145c73763360e5" addr="T0R9C13S1_1" formatStyle="Comma">
          <m:complexRule comparator="Eq" title="归属于母公司所有者权益合计@本期期初数" test=" $_GBC_63a94a106300405186c1a700fe751cec +  $_GBC_87974c44454444cca0e8809ba3c0d272 +  $_GBC_397c756bee51426b9ea52977e364f83a +  $_GBC_4983acd8d8234c958a5dd746b4130a55 +  $_GBC_01d69dcba5f144498570c712932bed2d" id="C1a57fdcc682a4d9383d11bdd7b2367cd"/>
        </m:item>
        <m:item xlName="_GBC_99f25fd6062e41bb8036bd4a399f2ad1" concept="clcid-pte:ShaoShuGuDongQuanYi" label="少数股东权益" periodRef="本期期初数" mulRef="_GBC_57faea4e453e49ad93821b7dd6ce8bc4" unitRef="_GBC_cef77704267643d794145c73763360e5" addr="T0R9C14S1_1" formatStyle="Comma">
          <m:complexRule comparator="Eq" title="少数股东权益@本期期初数" test=" $_GBC_c7fd558fdc874fe096ada525906f5f26 +  $_GBC_fd067631d404438ea02d264dd48e70d2 +  $_GBC_07d019d58b7b4fd8a02aa80d34be2a19 +  $_GBC_23404c0c316d45728f16761a4006919c +  $_GBC_48aa47eb23c0469d82eb2b7904a0ba2a" id="Cd7b3ccf4bff04709887d66ffff630f0b"/>
        </m:item>
        <m:item xlName="_GBC_9d6e65929de14e19acba2e4a333251a7" concept="clcid-pte:GuDongQuanYiHeJi" label="股东权益合计" periodRef="本期期初数" mulRef="_GBC_57faea4e453e49ad93821b7dd6ce8bc4" unitRef="_GBC_cef77704267643d794145c73763360e5" addr="T0R9C15S1_1" formatStyle="Comma">
          <m:complexRule comparator="Eq" title="股东权益合计@本期期初数" test=" $_GBC_442dec9268e8466ea499b32b3eb59da1 +  $_GBC_c2d525eff22840f09e6b321deb2de9dc +  $_GBC_bae414834150489281217f029021ce34 +  $_GBC_e1a691549cf14d17b12c7b7ee9923e1b +  $_GBC_a716f6f27f394f64aabe1cffb90f3ef4" id="Ccc89ec0cf36b4736926690e24e699048"/>
        </m:item>
        <m:placeholder xlName="_PLD_1ca4768a663c4afc8e9fee3a8dc71bc6" wordText="三、本期增减变动金额（减少以“－”号填列）" addr="T0R10C0S1_1"/>
        <m:item xlName="_GBC_97f48e8fa059431594f52db718ff0b70" concept="clcid-pte:ShiShouZiBenHuoGuBenJingEZengJianBianDongJinE" label="实收资本（或股本）净额增减变动金额" mulRef="_GBC_57faea4e453e49ad93821b7dd6ce8bc4" unitRef="_GBC_cef77704267643d794145c73763360e5" addr="T0R10C1S1_1" formatStyle="Comma">
          <m:complexRule comparator="Eq" title="实收资本（或股本）净额增减变动金额" test=" $_GBC_481cb388917b4373826bcfe7accb489d +  $_GBC_2136b75d8d3943e0856036061a6bd009 +  $_GBC_2851cc52a624492097bc439bcb274218 +  $_GBC_b11c3104a0ea4c569011a66c2df804e4 +  $_GBC_c9d16507d5e04809a149be4791a1cbe4 +  $_GBC_401d8f9b9f9544bb84c832c894aea1e7" id="C9c45a748e28d48d49d71e959c20da6f7" radius="0.0001"/>
        </m:item>
        <m:item xlName="_GBC_133e9814b8ea45e5894c6f0571711e7b" concept="clcid-pte:QiTaQuanYiGongJuZhongDeYouXianGuZengJianBianDongJinE" label="其他权益工具中的优先股增减变动金额" mulRef="_GBC_57faea4e453e49ad93821b7dd6ce8bc4" unitRef="_GBC_cef77704267643d794145c73763360e5" addr="T0R10C2S1_1" formatStyle="Comma">
          <m:complexRule comparator="Eq" title="其他权益工具中的优先股增减变动金额" test=" $_GBC_827f72604665404c89124cec65c384ea +  $_GBC_bb8ec3f268bb43929fdaa6e0233518d7 +  $_GBC_ec61dbaac98c4e1c95bb001221e37c66 +  $_GBC_1b1e018a344d449691d6c4b3e1dbe0bb +  $_GBC_ffdcc01a63e64680ba9e018c38188b74 +  $_GBC_21baeff8940d4784a7627867901557f0" id="C199df6468b3a43319f4429d2671435bf"/>
        </m:item>
        <m:item xlName="_GBC_fbc37b80f4164abe82529524c4414f88" concept="clcid-pte:QiTaQuanYiGongJuZhongDeYongXuZhaiZengJianBianDongJinE" label="其他权益工具中的永续债增减变动金额" mulRef="_GBC_57faea4e453e49ad93821b7dd6ce8bc4" unitRef="_GBC_cef77704267643d794145c73763360e5" addr="T0R10C3S1_1" formatStyle="Comma">
          <m:complexRule comparator="Eq" title="其他权益工具中的永续债增减变动金额" test=" $_GBC_f22e5b8b0f3749309845723c55e2ceae +  $_GBC_ca866c1fadc84ff482b567211c9594a2 +  $_GBC_b269be15818b4ac294e4df7cf9907492 +  $_GBC_c933388c0a2047b1978bfc58666107fb +  $_GBC_f6223f79a5204e25a073dfab012bc568 +  $_GBC_7fab13391c6d47fead390c8b50ab3c1b" id="Cb585e86146154585a90a853829030996"/>
        </m:item>
        <m:item xlName="_GBC_3a7f7687e8674f45a32aa6a42ebca88c" concept="clcid-pte:QiTaQuanYiGongJuZhongDeQiTaZengJianBianDongJinE" label="其他权益工具中的其他增减变动金额" mulRef="_GBC_57faea4e453e49ad93821b7dd6ce8bc4" unitRef="_GBC_cef77704267643d794145c73763360e5" addr="T0R10C4S1_1" formatStyle="Comma">
          <m:complexRule comparator="Eq" title="其他权益工具中的其他增减变动金额" test=" $_GBC_8fd40b3b2d994910ace8b5fb50d91ac5 +  $_GBC_39d4c8621dd8412c8034cdd219ffe7b2 +  $_GBC_8fffa4535bd243b5b308f3b916e4407e +  $_GBC_8c40d3028232418fa4545a97e2dbc0b8 +  $_GBC_b4270cf652e14eff96a44803f10354c5 +  $_GBC_8d6f07dc58c74f9d96edbae867951bf0" id="Cf4becb4b54bd4b4ba25532d1a051b66f"/>
        </m:item>
        <m:item xlName="_GBC_b7fb5f5cb7c84e1fb799da57c6195385" concept="clcid-pte:ZiBenGongJiZengJianBianDongJinE" label="资本公积增减变动金额" mulRef="_GBC_57faea4e453e49ad93821b7dd6ce8bc4" unitRef="_GBC_cef77704267643d794145c73763360e5" addr="T0R10C5S1_1" formatStyle="Comma">
          <m:complexRule comparator="Eq" title="资本公积增减变动金额" test=" $_GBC_43b3330670414658b9663d5bc3483afe +  $_GBC_5e4e6b8dafd248e1b30211ef8d3b68f1 +  $_GBC_1284bdeb0c954c439b359d911823e78a +  $_GBC_000ad320848d499b9696328fcdf5b37d +  $_GBC_85909a9b6b044b4b955d3d9ab1d6abf4 +  $_GBC_e5eb0d41377b49b29660ac5d77bf437a" id="Cf2cb80bfb0d648d194613feb0f1ff6fb" radius="0.0001"/>
        </m:item>
        <m:item xlName="_GBC_aa12688c99574b6e90d9188a21d9de29" concept="clcid-pte:KuCunGuZengJianBianDongJinE" label="库存股增减变动金额" mulRef="_GBC_57faea4e453e49ad93821b7dd6ce8bc4" unitRef="_GBC_cef77704267643d794145c73763360e5" addr="T0R10C6S1_1" baseScale="-1" formatStyle="Comma">
          <m:complexRule comparator="Eq" title="库存股增减变动金额" test=" $_GBC_958849866dcf4040b0b04eedb553c198 +  $_GBC_1031ef8f517d4b449d2297057466cae1 +  $_GBC_7afb33dfb77f4dc3b254ad9ecef2522c +  $_GBC_a65b26b0de6d4df0871bd1781cac3be3 +  $_GBC_ffe942cd7f31460b85bb829e33644b01 +  $_GBC_1b1db32888be42f094b719e1cffea0dd" id="C7a15467ce5ca4f0092e12ee348f233df" radius="0.0001"/>
        </m:item>
        <m:item xlName="_GBC_d123f8e3c9d54cbb8f7acbc3df0f0f7e" concept="clcid-pte:QiTaZongHeShouYiZengJianBianDongJinE" label="其他综合收益增减变动金额" mulRef="_GBC_57faea4e453e49ad93821b7dd6ce8bc4" unitRef="_GBC_cef77704267643d794145c73763360e5" addr="T0R10C7S1_1" formatStyle="Comma">
          <m:complexRule comparator="Eq" title="其他综合收益增减变动金额" test=" $_GBC_35e9930a331d4c23931e611a28af4bb1 +  $_GBC_6bb85df0c51f4e0db8ce23ccdbedf326 +  $_GBC_576b308b61db40318d2e74fac8502721 +  $_GBC_a0f546f119894730ad39e1a27987eddb +  $_GBC_3263be153d654d1e827de1316e802d39 +  $_GBC_ee19f67b198d433bb8a11a0c3fb83aa0" id="C330cef28a9f847329739cc2a3277c1c6"/>
        </m:item>
        <m:item xlName="_GBC_dbc36e10e87b4b74aaffbdcbeef7367f" concept="clcid-pte:ZhuanXiangChuBeiZengJianBianDongJinE" label="专项储备增减变动金额" mulRef="_GBC_57faea4e453e49ad93821b7dd6ce8bc4" unitRef="_GBC_cef77704267643d794145c73763360e5" addr="T0R10C8S1_1" formatStyle="Comma">
          <m:complexRule comparator="Eq" title="专项储备增减变动金额" test=" $_GBC_6aab059aab234dfd9c1bf709de29c92c +  $_GBC_dd606d273be344a6a57137cc3c480b78 +  $_GBC_91e943552d8e40c58d5fbddd7de01f97 +  $_GBC_ce506c278d524b368ca1822aad5fc7c4 +  $_GBC_51eb699af9f544c2942a76cd9e5ab725 +  $_GBC_aeb8bd936ad042679e8cb34e348aa8e8" id="C7c20a38eca00474880d15117e9b86bc0"/>
        </m:item>
        <m:item xlName="_GBC_0804ce30f18b485199a4d2de5232b4a1" concept="clcid-pte:YingYuGongJiZengJianBianDongJinE" label="盈余公积增减变动金额" mulRef="_GBC_57faea4e453e49ad93821b7dd6ce8bc4" unitRef="_GBC_cef77704267643d794145c73763360e5" addr="T0R10C9S1_1" formatStyle="Comma">
          <m:complexRule comparator="Eq" title="盈余公积增减变动金额" test=" $_GBC_d2dce871c7d94ad08a557ac2aeb15645 +  $_GBC_274fd5be469e477fabae0c95441ba7e3 +  $_GBC_836d9e9571b24603948597980ffa90cc +  $_GBC_a9612697573e4b9da47df234733d488f +  $_GBC_d688ef4618e44be898cf238d3284e7ab +  $_GBC_ee58f1edf9f4406c8a021ddfeba4ea91" id="C0ee064b73273434cbe72f9dc727305af"/>
        </m:item>
        <m:item xlName="_GBC_b8b74db52ed34b4da8a398a063864478" concept="clcid-pte:YiBanFengXianZhunBeiZengJianBianDongJinE" label="一般风险准备增减变动金额" mulRef="_GBC_57faea4e453e49ad93821b7dd6ce8bc4" unitRef="_GBC_cef77704267643d794145c73763360e5" addr="T0R10C10S1_1" formatStyle="Comma">
          <m:complexRule comparator="Eq" title="一般风险准备增减变动金额" test=" $_GBC_89eed531bee6461d9549c1f49db566ad +  $_GBC_e3b3d5fbd75d4087990da16f37821985 +  $_GBC_2d3fd314934c4ebbb489e203dc126f06 +  $_GBC_bb4f8b604b9c454987cae9a7bd551880 +  $_GBC_13714ffe59d646fab9a9214003d103c1 +  $_GBC_0bec4a121fc1478e861fc0c17aa9f1d6" id="C319583baf6ea45b49a0ea5ae17a9fa37"/>
        </m:item>
        <m:item xlName="_GBC_309c90277c884ffc87911778089e7bc5" concept="clcid-pte:WeiFenPeiLiRunZengJianBianDongJinE" label="未分配利润增减变动金额" mulRef="_GBC_57faea4e453e49ad93821b7dd6ce8bc4" unitRef="_GBC_cef77704267643d794145c73763360e5" addr="T0R10C11S1_1" formatStyle="Comma">
          <m:complexRule comparator="Eq" title="未分配利润增减变动金额" test=" $_GBC_6b6eb0c9c96f4688b2a9409dcc0c763f +  $_GBC_cecb41d145f444fdbeb9aab36181261b +  $_GBC_260b37b1de814c418cb525bf6f7d0120 +  $_GBC_333263d5dc0744409902eeed23df6c83 +  $_GBC_b3c55ba0245f4f9e879adff9f674b33b +  $_GBC_fd049f4ddde8433385c0e73918b6de29" id="C640590654adb4b82ad123f233d250ddc"/>
        </m:item>
        <m:item xlName="_GBC_fd851fb9def94b22980a4c9ed6783f52" concept="clcid-pte:QiTaDeGuiShuYuMuGongSiSuoYouZheQuanYiZengJianBianDongJinE" label="其他的归属于母公司所有者权益增减变动金额" mulRef="_GBC_57faea4e453e49ad93821b7dd6ce8bc4" unitRef="_GBC_cef77704267643d794145c73763360e5" addr="T0R10C12S1_1" formatStyle="Comma">
          <m:complexRule comparator="Eq" title="其他的归属于母公司所有者权益增减变动金额" test=" $_GBC_5bc090e8204e4206b5eb0d89f1fc73eb +  $_GBC_ff4ad2477be641f1b446956291e60e27 +  $_GBC_9720bcab82894745bf9eb13f87a95854 +  $_GBC_1c67affc1c5d4ccaad6940f3774617f0 +  $_GBC_299b9b5b3c0946e6bc9a96e347eba66e +  $_GBC_e72a7b2e5f7f4d2982026e89911cda58" id="C0a81c689400e4998aae742879835c72d"/>
        </m:item>
        <m:item xlName="_GBC_210f7c10b52f4a6a8953a7feb1e8d171" concept="clcid-pte:GuiShuYuMuGongSiSuoYouZheQuanYiZengJianBianDongJinE" label="归属于母公司所有者权益增减变动金额" mulRef="_GBC_57faea4e453e49ad93821b7dd6ce8bc4" unitRef="_GBC_cef77704267643d794145c73763360e5" addr="T0R10C13S1_1" formatStyle="Comma">
          <m:complexRule comparator="Eq" title="归属于母公司所有者权益变动金额小计变动金额" test=" $_GBC_f98c2be41b8343d7852d842237100032 +  $_GBC_fbff3d372ce443e0807aba5dbd097a7f +  $_GBC_80735237b2a14d74bd6ecb75cfd602d1 +  $_GBC_bc6efb270e334909b932d6e51f8bb31c +  $_GBC_bf36c92d2100454ba6456d99f2f09976 +  $_GBC_5ad5d94602394473aa7dde1210922d40" id="Cef43cef5e9f84fe9bf11f82680cde94e"/>
        </m:item>
        <m:item xlName="_GBC_015e57c6486646408ee3c68da2a54a2b" concept="clcid-pte:ShaoShuGuDongQuanYiZengJianBianDongJinE" label="少数股东权益增减变动金额" mulRef="_GBC_57faea4e453e49ad93821b7dd6ce8bc4" unitRef="_GBC_cef77704267643d794145c73763360e5" addr="T0R10C14S1_1" formatStyle="Comma">
          <m:complexRule comparator="Eq" title="少数股东权益增减变动金额" test=" $_GBC_cdaf9091ceeb4f0c87ed6d10b981b442 +  $_GBC_d9aec9a52ba94b1b82b8661e4d2bb772 +  $_GBC_e182c560bc1d4f318894d856a345307b +  $_GBC_7a3da204ce3646049b03df923d66cf80 +  $_GBC_57f00c8cf4934893bda6aabfc8918860 +  $_GBC_375e18c3361c4d76980648c02e05991d" id="C7f42180a5881473095103e854327725b"/>
        </m:item>
        <m:item xlName="_GBC_ef5895ec267c4011b8002c93402fc4de" concept="clcid-pte:GuDongQuanYiHeJiZengJianBianDongJinE" label="股东权益合计增减变动金额" mulRef="_GBC_57faea4e453e49ad93821b7dd6ce8bc4" unitRef="_GBC_cef77704267643d794145c73763360e5" addr="T0R10C15S1_1" formatStyle="Comma">
          <m:complexRule comparator="Eq" title="股东权益合计增减变动金额" test=" $_GBC_bae442d5344247e6ad5412c50613a80a +  $_GBC_74d390902bbf4c65bb687b07102fde1c +  $_GBC_36fa9a3a4cfc45168eb5d272aa7a4f76 +  $_GBC_3ada0a68972e4b9f8920f5045a9f6cf8 +  $_GBC_0a42c029915d40a6b89b0bba799c34a8 +  $_GBC_6303db71afe248f9b87e9f4bcb0694ce" id="Cc86835daef7c41cdb1af60ce55432adf"/>
        </m:item>
        <m:placeholder xlName="_PLD_55a20255a0a245fd951d5eb42c559389" wordText="（一）综合收益总额" addr="T0R11C0S1_1"/>
        <m:item xlName="_GBC_481cb388917b4373826bcfe7accb489d" concept="clcid-pte:ZongHeShouYiZongEDaoZhiGuBenBianDongJinE" label="综合收益总额导致股本变动金额" mulRef="_GBC_57faea4e453e49ad93821b7dd6ce8bc4" unitRef="_GBC_cef77704267643d794145c73763360e5" addr="T0R11C1S1_1" formatStyle="Comma"/>
        <m:item xlName="_GBC_827f72604665404c89124cec65c384ea" concept="clcid-pte:ZongHeShouYiZongEDaoZhiYouXianGuBianDongJinE" label="综合收益总额导致优先股变动金额" mulRef="_GBC_57faea4e453e49ad93821b7dd6ce8bc4" unitRef="_GBC_cef77704267643d794145c73763360e5" addr="T0R11C2S1_1" formatStyle="Comma"/>
        <m:item xlName="_GBC_f22e5b8b0f3749309845723c55e2ceae" concept="clcid-pte:ZongHeShouYiZongEDaoZhiYongXuZhaiBianDongJinE" label="综合收益总额导致永续债变动金额" mulRef="_GBC_57faea4e453e49ad93821b7dd6ce8bc4" unitRef="_GBC_cef77704267643d794145c73763360e5" addr="T0R11C3S1_1" formatStyle="Comma"/>
        <m:item xlName="_GBC_8fd40b3b2d994910ace8b5fb50d91ac5" concept="clcid-pte:ZongHeShouYiZongEDaoZhiQiTaQuanYiGongJuZhongDeQiTaBianDongJinE" label="综合收益总额导致其他权益工具中的其他变动金额" mulRef="_GBC_57faea4e453e49ad93821b7dd6ce8bc4" unitRef="_GBC_cef77704267643d794145c73763360e5" addr="T0R11C4S1_1" formatStyle="Comma"/>
        <m:item xlName="_GBC_43b3330670414658b9663d5bc3483afe" concept="clcid-pte:ZongHeShouYiZongEDaoZhiZiBenGongJiBianDongJinE" label="综合收益总额导致资本公积变动金额" mulRef="_GBC_57faea4e453e49ad93821b7dd6ce8bc4" unitRef="_GBC_cef77704267643d794145c73763360e5" addr="T0R11C5S1_1" formatStyle="Comma"/>
        <m:item xlName="_GBC_958849866dcf4040b0b04eedb553c198" concept="clcid-pte:ZongHeShouYiZongEDaoZhiKuCunGuBianDongJinE" label="综合收益总额导致库存股变动金额" mulRef="_GBC_57faea4e453e49ad93821b7dd6ce8bc4" unitRef="_GBC_cef77704267643d794145c73763360e5" addr="T0R11C6S1_1" baseScale="-1" formatStyle="Comma"/>
        <m:item xlName="_GBC_35e9930a331d4c23931e611a28af4bb1" concept="clcid-pte:ZongHeShouYiZongEDaoZhiQiTaZongHeShouYiBianDongJinE" label="综合收益总额导致其他综合收益变动金额" mulRef="_GBC_57faea4e453e49ad93821b7dd6ce8bc4" unitRef="_GBC_cef77704267643d794145c73763360e5" addr="T0R11C7S1_1" formatStyle="Comma"/>
        <m:item xlName="_GBC_6aab059aab234dfd9c1bf709de29c92c" concept="clcid-pte:ZongHeShouYiZongEDaoZhiZhuanXiangChuBeiBianDongJinE" label="综合收益总额导致专项储备变动金额" mulRef="_GBC_57faea4e453e49ad93821b7dd6ce8bc4" unitRef="_GBC_cef77704267643d794145c73763360e5" addr="T0R11C8S1_1" formatStyle="Comma"/>
        <m:item xlName="_GBC_d2dce871c7d94ad08a557ac2aeb15645" concept="clcid-pte:ZongHeShouYiZongEDaoZhiYingYuGongJiBianDongJinE" label="综合收益总额导致盈余公积变动金额" mulRef="_GBC_57faea4e453e49ad93821b7dd6ce8bc4" unitRef="_GBC_cef77704267643d794145c73763360e5" addr="T0R11C9S1_1" formatStyle="Comma"/>
        <m:item xlName="_GBC_89eed531bee6461d9549c1f49db566ad" concept="clcid-pte:ZongHeShouYiZongEDaoZhiYiBanFengXianZhunBeiBianDongJinE" label="综合收益总额导致一般风险准备变动金额" mulRef="_GBC_57faea4e453e49ad93821b7dd6ce8bc4" unitRef="_GBC_cef77704267643d794145c73763360e5" addr="T0R11C10S1_1" formatStyle="Comma"/>
        <m:item xlName="_GBC_6b6eb0c9c96f4688b2a9409dcc0c763f" concept="clcid-pte:ZongHeShouYiZongEDaoZhiWeiFenPeiLiRunBianDongJinE" label="综合收益总额导致未分配利润变动金额" mulRef="_GBC_57faea4e453e49ad93821b7dd6ce8bc4" unitRef="_GBC_cef77704267643d794145c73763360e5" addr="T0R11C11S1_1" formatStyle="Comma"/>
        <m:item xlName="_GBC_5bc090e8204e4206b5eb0d89f1fc73eb" concept="clcid-pte:ZongHeShouYiZongEDaoZhiQiTaDeGuiShuYuMuGongSiSuoYouZheQuanYiBianDongJinE" label="综合收益总额导致其他的归属于母公司所有者权益变动金额" mulRef="_GBC_57faea4e453e49ad93821b7dd6ce8bc4" unitRef="_GBC_cef77704267643d794145c73763360e5" addr="T0R11C12S1_1" formatStyle="Comma"/>
        <m:item xlName="_GBC_f98c2be41b8343d7852d842237100032" concept="clcid-pte:ZongHeShouYiZongEDaoZhiGuiShuYuMuGongSiSuoYouZheQuanYiBianDongJinE" label="综合收益总额导致归属于母公司所有者权益变动金额" mulRef="_GBC_57faea4e453e49ad93821b7dd6ce8bc4" unitRef="_GBC_cef77704267643d794145c73763360e5" addr="T0R11C13S1_1" formatStyle="Comma"/>
        <m:item xlName="_GBC_cdaf9091ceeb4f0c87ed6d10b981b442" concept="clcid-pte:ZongHeShouYiZongEDaoZhiShaoShuGuDongQuanYiBianDongJinE" label="综合收益总额导致少数股东权益变动金额" mulRef="_GBC_57faea4e453e49ad93821b7dd6ce8bc4" unitRef="_GBC_cef77704267643d794145c73763360e5" addr="T0R11C14S1_1" formatStyle="Comma"/>
        <m:item xlName="_GBC_bae442d5344247e6ad5412c50613a80a" concept="clcid-pte:ZongHeShouYiZongEDaoZhiGuDongQuanYiHeJiBianDongJinE" label="综合收益总额导致股东权益合计变动金额" mulRef="_GBC_57faea4e453e49ad93821b7dd6ce8bc4" unitRef="_GBC_cef77704267643d794145c73763360e5" addr="T0R11C15S1_1" formatStyle="Comma"/>
        <m:placeholder xlName="_PLD_cabd5a3f22a849b08cf8df11a07115b5" wordText="（二）所有者投入和减少资本" addr="T0R12C0S1_1"/>
        <m:item xlName="_GBC_2136b75d8d3943e0856036061a6bd009" concept="clcid-pte:SuoYouZheTouRuHeJianShaoZiBenDaoZhiShiShouZiBenHuoGuBenJingEBianDongJinE" label="所有者投入和减少资本导致实收资本（或股本）净额变动金额" mulRef="_GBC_57faea4e453e49ad93821b7dd6ce8bc4" unitRef="_GBC_cef77704267643d794145c73763360e5" addr="T0R12C1S1_1" formatStyle="Comma">
          <m:complexRule comparator="Eq" title="所有者投入和减少资本导致实收资本（或股本）净额变动金额" test=" $_GBC_30cd21c74eca42c1af2d9d3f95c9e3fb +  $_GBC_6a2eee5d5a9a450b866e9b6c58510368 +  $_GBC_3791332551bd454b96448cf994e51457 +  $_GBC_c527c71c4fa643c0a7b04719e5a230ef" id="Cd591a3c2c2f34b0bb297447392a510ea" radius="0.0001"/>
        </m:item>
        <m:item xlName="_GBC_bb8ec3f268bb43929fdaa6e0233518d7" concept="clcid-pte:SuoYouZheTouRuHeJianShaoZiBenDaoZhiQiTaQuanYiGongJuZhongDeYouXianGuBianDongJinE" label="所有者投入和减少资本导致其他权益工具中的优先股变动金额" mulRef="_GBC_57faea4e453e49ad93821b7dd6ce8bc4" unitRef="_GBC_cef77704267643d794145c73763360e5" addr="T0R12C2S1_1" formatStyle="Comma">
          <m:complexRule comparator="Eq" title="所有者投入和减少资本导致其他权益工具中的优先股变动金额" test=" $_GBC_90833fc8acb748fd96d96e1561386358 +  $_GBC_7c17be055fa444c0abc1128bd29c4317 +  $_GBC_a2c47fb408954009a39c5507049f1206 +  $_GBC_2e7c7783c06245f3851d819fede87110" id="Cc68ce3e9da7f4c53808181efa306fc66"/>
        </m:item>
        <m:item xlName="_GBC_ca866c1fadc84ff482b567211c9594a2" concept="clcid-pte:SuoYouZheTouRuHeJianShaoZiBenDaoZhiQiTaQuanYiGongJuZhongDeYongXuZhaiBianDongJinE" label="所有者投入和减少资本导致其他权益工具中的永续债变动金额" mulRef="_GBC_57faea4e453e49ad93821b7dd6ce8bc4" unitRef="_GBC_cef77704267643d794145c73763360e5" addr="T0R12C3S1_1" formatStyle="Comma">
          <m:complexRule comparator="Eq" title="所有者投入和减少资本导致其他权益工具中的永续债变动金额" test=" $_GBC_3d08b667e6624a54a6a6f5f70d2e774f +  $_GBC_0e3623f53e964d63b789de22ad66658a +  $_GBC_21d745acfbef4f388ba66d6434919a0b +  $_GBC_62fd9a78c7da4f38b77a2a3b851e7358" id="Cba78498b74d44b5b8f4cf57a6145e8e8"/>
        </m:item>
        <m:item xlName="_GBC_39d4c8621dd8412c8034cdd219ffe7b2" concept="clcid-pte:SuoYouZheTouRuHeJianShaoZiBenDaoZhiQiTaQuanYiGongJuZhongDeQiTaBianDongJinE" label="所有者投入和减少资本导致其他权益工具中的其他变动金额" mulRef="_GBC_57faea4e453e49ad93821b7dd6ce8bc4" unitRef="_GBC_cef77704267643d794145c73763360e5" addr="T0R12C4S1_1" formatStyle="Comma">
          <m:complexRule comparator="Eq" title="所有者投入和减少资本导致其他权益工具中的其他变动金额" test=" $_GBC_d329a616b9084378865df82da1be6b5f +  $_GBC_fd14f98700bc4b8cae7ebec7ccc7b199 +  $_GBC_f57f1522382548d9b1b978e472a26a3a +  $_GBC_e99256ce2e9d4b71990075d307cefa44" id="C184c9897ac284173b8d40c216a2afde5"/>
        </m:item>
        <m:item xlName="_GBC_5e4e6b8dafd248e1b30211ef8d3b68f1" concept="clcid-pte:SuoYouZheTouRuHeJianShaoZiBenDaoZhiZiBenGongJiBianDongJinE" label="所有者投入和减少资本导致资本公积变动金额" mulRef="_GBC_57faea4e453e49ad93821b7dd6ce8bc4" unitRef="_GBC_cef77704267643d794145c73763360e5" addr="T0R12C5S1_1" formatStyle="Comma">
          <m:complexRule comparator="Eq" title="所有者投入和减少资本导致资本公积变动金额" test=" $_GBC_b81d036065894df193ea6c80d83b13bf +  $_GBC_4c189238d5a14bb790ad262c8687d6b1 +  $_GBC_0ba9f6a2a12947a79fcc6ae5dc683115 +  $_GBC_b9624e4fc85749f68f689c5b08246f55" id="C05c49f82fe234a358ef6fb3ff263e232" radius="0.0001"/>
        </m:item>
        <m:item xlName="_GBC_1031ef8f517d4b449d2297057466cae1" concept="clcid-pte:SuoYouZheTouRuHeJianShaoZiBenDaoZhiKuCunGuBianDongJinE" label="所有者投入和减少资本导致库存股变动金额" mulRef="_GBC_57faea4e453e49ad93821b7dd6ce8bc4" unitRef="_GBC_cef77704267643d794145c73763360e5" addr="T0R12C6S1_1" baseScale="-1" formatStyle="Comma">
          <m:complexRule comparator="Eq" title="所有者投入和减少资本导致库存股变动金额" test=" $_GBC_efe94ce0078742f9bd9e000e21d3df1a +  $_GBC_ace9e97bcfba4f629274e603bee99895 +  $_GBC_de63e365b51041e99fd2a1e96d1ac448 +  $_GBC_46cee3d9284a4561ab54cd563be64ce7" id="C511c16a3c9fb404a9fc4e88dc1de9092" radius="0.0001"/>
        </m:item>
        <m:item xlName="_GBC_6bb85df0c51f4e0db8ce23ccdbedf326" concept="clcid-pte:SuoYouZheTouRuHeJianShaoZiBenDaoZhiQiTaZongHeShouYiBianDongJinE" label="所有者投入和减少资本导致其他综合收益变动金额" mulRef="_GBC_57faea4e453e49ad93821b7dd6ce8bc4" unitRef="_GBC_cef77704267643d794145c73763360e5" addr="T0R12C7S1_1" formatStyle="Comma">
          <m:complexRule comparator="Eq" title="所有者投入和减少资本导致其他综合收益变动金额" test=" $_GBC_4e3f258d0fb1431ab66926e2cb296578 +  $_GBC_c0b4f11f76cc4f7584a70105df2bd0ee +  $_GBC_292015fe1f444e0fbf7bc0c7b90748a9 +  $_GBC_561d88b29dba420dbb0270db86e597ce" id="Cca11b6984b0a45bb9fdd6033c26c7180"/>
        </m:item>
        <m:item xlName="_GBC_dd606d273be344a6a57137cc3c480b78" concept="clcid-pte:SuoYouZheTouRuHeJianShaoZiBenDaoZhiZhuanXiangChuBeiBianDongJinE" label="所有者投入和减少资本导致专项储备变动金额" mulRef="_GBC_57faea4e453e49ad93821b7dd6ce8bc4" unitRef="_GBC_cef77704267643d794145c73763360e5" addr="T0R12C8S1_1" formatStyle="Comma">
          <m:complexRule comparator="Eq" title="所有者投入和减少资本导致专项储备变动金额" test=" $_GBC_d405ffda14474e9bbd99c544528ae748 +  $_GBC_df4b592348184af0b7157539d8940436 +  $_GBC_e8faccb4253f400fa57479fa7eaf8991 +  $_GBC_3e92406b9198435ea8fff9629700ace1" id="Cf606bbf3db1e46a094b9968c2ed3a32c"/>
        </m:item>
        <m:item xlName="_GBC_274fd5be469e477fabae0c95441ba7e3" concept="clcid-pte:SuoYouZheTouRuHeJianShaoZiBenDaoZhiYingYuGongJiBianDongJinE" label="所有者投入和减少资本导致盈余公积变动金额" mulRef="_GBC_57faea4e453e49ad93821b7dd6ce8bc4" unitRef="_GBC_cef77704267643d794145c73763360e5" addr="T0R12C9S1_1" formatStyle="Comma">
          <m:complexRule comparator="Eq" title="所有者投入和减少资本导致盈余公积变动金额" test=" $_GBC_fd748f2915b6467788deba55d63731cb +  $_GBC_62b26ae9426c41ffbb929f22bb4d7d9a +  $_GBC_85e0a39d632b4c9895faf9e279b37485 +  $_GBC_97999a28af804707896032c98c71f9ac" id="Cda939feaf0c341c49959eea420e2120d"/>
        </m:item>
        <m:item xlName="_GBC_e3b3d5fbd75d4087990da16f37821985" concept="clcid-pte:SuoYouZheTouRuHeJianShaoZiBenDaoZhiYiBanFengXianZhunBeiBianDongJinE" label="所有者投入和减少资本导致一般风险准备变动金额" mulRef="_GBC_57faea4e453e49ad93821b7dd6ce8bc4" unitRef="_GBC_cef77704267643d794145c73763360e5" addr="T0R12C10S1_1" formatStyle="Comma">
          <m:complexRule comparator="Eq" title="所有者投入和减少资本导致一般风险准备变动金额" test=" $_GBC_3e345b4bf985449c9562480813710581 +  $_GBC_c936ba022f614a219c5f1febebbebb7b +  $_GBC_ecee5f37d1b0402ea471037bfab95d47 +  $_GBC_409c5554df514bc2b863bad127ec481b" id="Ceb910c6380b541668bfdfd413214393d"/>
        </m:item>
        <m:item xlName="_GBC_cecb41d145f444fdbeb9aab36181261b" concept="clcid-pte:SuoYouZheTouRuHeJianShaoZiBenDaoZhiWeiFenPeiLiRunBianDongJinE" label="所有者投入和减少资本导致未分配利润变动金额" mulRef="_GBC_57faea4e453e49ad93821b7dd6ce8bc4" unitRef="_GBC_cef77704267643d794145c73763360e5" addr="T0R12C11S1_1" formatStyle="Comma">
          <m:complexRule comparator="Eq" title="所有者投入和减少资本导致未分配利润变动金额" test=" $_GBC_983a47a88da84642ac3cdd81d7e423f7 +  $_GBC_b59c733092954582b6fa1ea88a37a325 +  $_GBC_ca76ac794d11448fbbdac6a6fc56bf30 +  $_GBC_2cf5415c5054489b94e4c2d3c1422096" id="C1ac2c12ee6ab4edb9087c1602dda83dd"/>
        </m:item>
        <m:item xlName="_GBC_ff4ad2477be641f1b446956291e60e27" concept="clcid-pte:SuoYouZheTouRuHeJianShaoZiBenDaoZhiQiTaDeGuiShuYuMuGongSiSuoYouZheQuanYiBianDongJinE" label="所有者投入和减少资本导致其他的归属于母公司所有者权益变动金额" mulRef="_GBC_57faea4e453e49ad93821b7dd6ce8bc4" unitRef="_GBC_cef77704267643d794145c73763360e5" addr="T0R12C12S1_1" formatStyle="Comma">
          <m:complexRule comparator="Eq" title="所有者投入资本导致其他的归属于母公司所有者权益变动金额" test=" $_GBC_ceceb1ced2224add9c49d98bda96506b +  $_GBC_39d6c0e9212c4d1ebabbdf1d5703fe8d +  $_GBC_82f9f16880a84054947c1b46b1bbac38 +  $_GBC_9132a6ec18c245bb868d5da8ff7921f0" id="C2139d836cdf948edb4966f5766849a97"/>
        </m:item>
        <m:item xlName="_GBC_fbff3d372ce443e0807aba5dbd097a7f" concept="clcid-pte:SuoYouZheTouRuHeJianShaoZiBenDaoZhiGuiShuYuMuGongSiSuoYouZheQuanYiBianDongJinE" label="所有者投入和减少资本导致归属于母公司所有者权益变动金额" mulRef="_GBC_57faea4e453e49ad93821b7dd6ce8bc4" unitRef="_GBC_cef77704267643d794145c73763360e5" addr="T0R12C13S1_1" formatStyle="Comma">
          <m:complexRule comparator="Eq" title="所有者投入和减少资本导致归属于母公司所有者权益变动金额小计" test=" $_GBC_f0081842b39d493f8d75acb656a29675 +  $_GBC_8ed036016d84413e8049db3217873c90 +  $_GBC_b272810de2ff48839ef175b9f639a94f +  $_GBC_c0d4c7c36eb24628b2304f9f7a73a34e" id="C1c339b859fe1450d8fdbebdfedcc33a4"/>
        </m:item>
        <m:item xlName="_GBC_d9aec9a52ba94b1b82b8661e4d2bb772" concept="clcid-pte:SuoYouZheTouRuHeJianShaoZiBenDaoZhiShaoShuGuDongQuanYiBianDongJinE" label="所有者投入和减少资本导致少数股东权益变动金额" mulRef="_GBC_57faea4e453e49ad93821b7dd6ce8bc4" unitRef="_GBC_cef77704267643d794145c73763360e5" addr="T0R12C14S1_1" formatStyle="Comma">
          <m:complexRule comparator="Eq" title="所有者投入和减少资本导致少数股东权益变动金额" test=" $_GBC_2c40e67446574324bf88cad9fc7d9802 +  $_GBC_d6596c77313449628c519dafccb2593f +  $_GBC_6d2fb01705584b38a5cd7338f6d7010b +  $_GBC_cf602e8674d146e587d83e4b56d48aa1" id="C722173a3f3d5494ca12212a47a08bfc6"/>
        </m:item>
        <m:item xlName="_GBC_74d390902bbf4c65bb687b07102fde1c" concept="clcid-pte:SuoYouZheTouRuHeJianShaoZiBenDaoZhiGuDongQuanYiHeJiBianDongJinE" label="所有者投入和减少资本导致股东权益合计变动金额" mulRef="_GBC_57faea4e453e49ad93821b7dd6ce8bc4" unitRef="_GBC_cef77704267643d794145c73763360e5" addr="T0R12C15S1_1" formatStyle="Comma">
          <m:complexRule comparator="Eq" title="所有者投入和减少资本导致股东权益合计变动金额" test=" $_GBC_659709f19ec94ee3a215bcc5e634c5d9 +  $_GBC_8f1ddac7d0c244b683483b1985ebd89c +  $_GBC_1dd0e6ec44044f609705f8013ea23916 +  $_GBC_28ff968fe8d6459cbac21ca64c9581cc" id="C4b3335edd8fa40cf917e01f290e46ffe"/>
        </m:item>
        <m:placeholder xlName="_PLD_4d4d24462cb048579eb01f9b1c8956b1" wordText="1．所有者投入的普通股" addr="T0R13C0S1_1"/>
        <m:item xlName="_GBC_30cd21c74eca42c1af2d9d3f95c9e3fb" concept="clcid-pte:GuDongTouRuDePuTongGuDaoZhiGuBenBianDongJinE" label="股东投入的普通股导致股本变动金额" mulRef="_GBC_57faea4e453e49ad93821b7dd6ce8bc4" unitRef="_GBC_cef77704267643d794145c73763360e5" addr="T0R13C1S1_1" formatStyle="Comma"/>
        <m:item xlName="_GBC_90833fc8acb748fd96d96e1561386358" concept="clcid-pte:GuDongTouRuDePuTongGuDaoZhiYouXianGuBianDongJinE" label="股东投入的普通股导致优先股变动金额" mulRef="_GBC_57faea4e453e49ad93821b7dd6ce8bc4" unitRef="_GBC_cef77704267643d794145c73763360e5" addr="T0R13C2S1_1" formatStyle="Comma"/>
        <m:item xlName="_GBC_3d08b667e6624a54a6a6f5f70d2e774f" concept="clcid-pte:GuDongTouRuDePuTongGuDaoZhiYongXuZhaiBianDongJinE" label="股东投入的普通股导致永续债变动金额" mulRef="_GBC_57faea4e453e49ad93821b7dd6ce8bc4" unitRef="_GBC_cef77704267643d794145c73763360e5" addr="T0R13C3S1_1" formatStyle="Comma"/>
        <m:item xlName="_GBC_d329a616b9084378865df82da1be6b5f" concept="clcid-pte:GuDongTouRuDePuTongGuDaoZhiQiTaQuanYiGongJuZhongDeQiTaBianDongJinE" label="股东投入的普通股导致其他权益工具中的其他变动金额" mulRef="_GBC_57faea4e453e49ad93821b7dd6ce8bc4" unitRef="_GBC_cef77704267643d794145c73763360e5" addr="T0R13C4S1_1" formatStyle="Comma"/>
        <m:item xlName="_GBC_b81d036065894df193ea6c80d83b13bf" concept="clcid-pte:GuDongTouRuDePuTongGuDaoZhiZiBenGongJiBianDongJinE" label="股东投入的普通股导致资本公积变动金额" mulRef="_GBC_57faea4e453e49ad93821b7dd6ce8bc4" unitRef="_GBC_cef77704267643d794145c73763360e5" addr="T0R13C5S1_1" formatStyle="Comma"/>
        <m:item xlName="_GBC_efe94ce0078742f9bd9e000e21d3df1a" concept="clcid-pte:GuDongTouRuDePuTongGuDaoZhiKuCunGuBianDongJinE" label="股东投入的普通股导致库存股变动金额" mulRef="_GBC_57faea4e453e49ad93821b7dd6ce8bc4" unitRef="_GBC_cef77704267643d794145c73763360e5" addr="T0R13C6S1_1" baseScale="-1" formatStyle="Comma"/>
        <m:item xlName="_GBC_4e3f258d0fb1431ab66926e2cb296578" concept="clcid-pte:GuDongTouRuDePuTongGuDaoZhiQiTaZongHeShouYiBianDongJinE" label="股东投入的普通股导致其他综合收益变动金额" mulRef="_GBC_57faea4e453e49ad93821b7dd6ce8bc4" unitRef="_GBC_cef77704267643d794145c73763360e5" addr="T0R13C7S1_1" formatStyle="Comma"/>
        <m:item xlName="_GBC_d405ffda14474e9bbd99c544528ae748" concept="clcid-pte:GuDongTouRuDePuTongGuDaoZhiZhuanXiangChuBeiBianDongJinE" label="股东投入的普通股导致专项储备变动金额" mulRef="_GBC_57faea4e453e49ad93821b7dd6ce8bc4" unitRef="_GBC_cef77704267643d794145c73763360e5" addr="T0R13C8S1_1" formatStyle="Comma"/>
        <m:item xlName="_GBC_fd748f2915b6467788deba55d63731cb" concept="clcid-pte:GuDongTouRuDePuTongGuDaoZhiYingYuGongJiBianDongJinE" label="股东投入的普通股导致盈余公积变动金额" mulRef="_GBC_57faea4e453e49ad93821b7dd6ce8bc4" unitRef="_GBC_cef77704267643d794145c73763360e5" addr="T0R13C9S1_1" formatStyle="Comma"/>
        <m:item xlName="_GBC_3e345b4bf985449c9562480813710581" concept="clcid-pte:GuDongTouRuDePuTongGuDaoZhiYiBanFengXianZhunBeiBianDongJinE" label="股东投入的普通股导致一般风险准备变动金额" mulRef="_GBC_57faea4e453e49ad93821b7dd6ce8bc4" unitRef="_GBC_cef77704267643d794145c73763360e5" addr="T0R13C10S1_1" formatStyle="Comma"/>
        <m:item xlName="_GBC_983a47a88da84642ac3cdd81d7e423f7" concept="clcid-pte:GuDongTouRuDePuTongGuDaoZhiWeiFenPeiLiRunBianDongJinE" label="股东投入的普通股导致未分配利润变动金额" mulRef="_GBC_57faea4e453e49ad93821b7dd6ce8bc4" unitRef="_GBC_cef77704267643d794145c73763360e5" addr="T0R13C11S1_1" formatStyle="Comma"/>
        <m:item xlName="_GBC_ceceb1ced2224add9c49d98bda96506b" concept="clcid-pte:GuDongTouRuDePuTongGuDaoZhiQiTaDeGuiShuYuMuGongSiSuoYouZheQuanYiBianDongJinE" label="股东投入的普通股导致其他的归属于母公司所有者权益变动金额" mulRef="_GBC_57faea4e453e49ad93821b7dd6ce8bc4" unitRef="_GBC_cef77704267643d794145c73763360e5" addr="T0R13C12S1_1" formatStyle="Comma"/>
        <m:item xlName="_GBC_f0081842b39d493f8d75acb656a29675" concept="clcid-pte:GuDongTouRuDePuTongGuDaoZhiGuiShuYuMuGongSiSuoYouZheQuanYiBianDongJinE" label="股东投入的普通股导致归属于母公司所有者权益变动金额" mulRef="_GBC_57faea4e453e49ad93821b7dd6ce8bc4" unitRef="_GBC_cef77704267643d794145c73763360e5" addr="T0R13C13S1_1" formatStyle="Comma"/>
        <m:item xlName="_GBC_2c40e67446574324bf88cad9fc7d9802" concept="clcid-pte:GuDongTouRuDePuTongGuDaoZhiShaoShuGuDongQuanYiBianDongJinE" label="股东投入的普通股导致少数股东权益变动金额" mulRef="_GBC_57faea4e453e49ad93821b7dd6ce8bc4" unitRef="_GBC_cef77704267643d794145c73763360e5" addr="T0R13C14S1_1" formatStyle="Comma"/>
        <m:item xlName="_GBC_659709f19ec94ee3a215bcc5e634c5d9" concept="clcid-pte:GuDongTouRuDePuTongGuDaoZhiGuDongQuanYiHeJiBianDongJinE" label="股东投入的普通股导致股东权益合计变动金额" mulRef="_GBC_57faea4e453e49ad93821b7dd6ce8bc4" unitRef="_GBC_cef77704267643d794145c73763360e5" addr="T0R13C15S1_1" formatStyle="Comma"/>
        <m:placeholder xlName="_PLD_2b1df3030d9b41699f4a3e651f6c74e7" wordText="2．其他权益工具持有者投入资本" addr="T0R14C0S1_1"/>
        <m:item xlName="_GBC_6a2eee5d5a9a450b866e9b6c58510368" concept="clcid-pte:QiTaQuanYiGongJuChiYouZheTouRuZiBenDaoZhiGuBenBianDongJinE" label="其他权益工具持有者投入资本导致股本变动金额" mulRef="_GBC_57faea4e453e49ad93821b7dd6ce8bc4" unitRef="_GBC_cef77704267643d794145c73763360e5" addr="T0R14C1S1_1" formatStyle="Comma"/>
        <m:item xlName="_GBC_7c17be055fa444c0abc1128bd29c4317" concept="clcid-pte:QiTaQuanYiGongJuChiYouZheTouRuZiBenDaoZhiYouXianGuBianDongJinE" label="其他权益工具持有者投入资本导致优先股变动金额" mulRef="_GBC_57faea4e453e49ad93821b7dd6ce8bc4" unitRef="_GBC_cef77704267643d794145c73763360e5" addr="T0R14C2S1_1" formatStyle="Comma"/>
        <m:item xlName="_GBC_0e3623f53e964d63b789de22ad66658a" concept="clcid-pte:QiTaQuanYiGongJuChiYouZheTouRuZiBenDaoZhiYongXuZhaiBianDongJinE" label="其他权益工具持有者投入资本导致永续债变动金额" mulRef="_GBC_57faea4e453e49ad93821b7dd6ce8bc4" unitRef="_GBC_cef77704267643d794145c73763360e5" addr="T0R14C3S1_1" formatStyle="Comma"/>
        <m:item xlName="_GBC_fd14f98700bc4b8cae7ebec7ccc7b199" concept="clcid-pte:QiTaQuanYiGongJuChiYouZheTouRuZiBenDaoZhiQiTaQuanYiGongJuZhongDeQiTaBianDongJinE" label="其他权益工具持有者投入资本导致其他权益工具中的其他变动金额" mulRef="_GBC_57faea4e453e49ad93821b7dd6ce8bc4" unitRef="_GBC_cef77704267643d794145c73763360e5" addr="T0R14C4S1_1" formatStyle="Comma"/>
        <m:item xlName="_GBC_4c189238d5a14bb790ad262c8687d6b1" concept="clcid-pte:QiTaQuanYiGongJuChiYouZheTouRuZiBenDaoZhiZiBenGongJiBianDongJinE" label="其他权益工具持有者投入资本导致资本公积变动金额" mulRef="_GBC_57faea4e453e49ad93821b7dd6ce8bc4" unitRef="_GBC_cef77704267643d794145c73763360e5" addr="T0R14C5S1_1" formatStyle="Comma"/>
        <m:item xlName="_GBC_ace9e97bcfba4f629274e603bee99895" concept="clcid-pte:QiTaQuanYiGongJuChiYouZheTouRuZiBenDaoZhiKuCunGuBianDongJinE" label="其他权益工具持有者投入资本导致库存股变动金额" mulRef="_GBC_57faea4e453e49ad93821b7dd6ce8bc4" unitRef="_GBC_cef77704267643d794145c73763360e5" addr="T0R14C6S1_1" baseScale="-1" formatStyle="Comma"/>
        <m:item xlName="_GBC_c0b4f11f76cc4f7584a70105df2bd0ee" concept="clcid-pte:QiTaQuanYiGongJuChiYouZheTouRuZiBenDaoZhiQiTaZongHeShouYiBianDongJinE" label="其他权益工具持有者投入资本导致其他综合收益变动金额" mulRef="_GBC_57faea4e453e49ad93821b7dd6ce8bc4" unitRef="_GBC_cef77704267643d794145c73763360e5" addr="T0R14C7S1_1" formatStyle="Comma"/>
        <m:item xlName="_GBC_df4b592348184af0b7157539d8940436" concept="clcid-pte:QiTaQuanYiGongJuChiYouZheTouRuZiBenDaoZhiZhuanXiangChuBeiBianDongJinE" label="其他权益工具持有者投入资本导致专项储备变动金额" mulRef="_GBC_57faea4e453e49ad93821b7dd6ce8bc4" unitRef="_GBC_cef77704267643d794145c73763360e5" addr="T0R14C8S1_1" formatStyle="Comma"/>
        <m:item xlName="_GBC_62b26ae9426c41ffbb929f22bb4d7d9a" concept="clcid-pte:QiTaQuanYiGongJuChiYouZheTouRuZiBenDaoZhiYingYuGongJiBianDongJinE" label="其他权益工具持有者投入资本导致盈余公积变动金额" mulRef="_GBC_57faea4e453e49ad93821b7dd6ce8bc4" unitRef="_GBC_cef77704267643d794145c73763360e5" addr="T0R14C9S1_1" formatStyle="Comma"/>
        <m:item xlName="_GBC_c936ba022f614a219c5f1febebbebb7b" concept="clcid-pte:QiTaQuanYiGongJuChiYouZheTouRuZiBenDaoZhiYiBanFengXianZhunBeiBianDongJinE" label="其他权益工具持有者投入资本导致一般风险准备变动金额" mulRef="_GBC_57faea4e453e49ad93821b7dd6ce8bc4" unitRef="_GBC_cef77704267643d794145c73763360e5" addr="T0R14C10S1_1" formatStyle="Comma"/>
        <m:item xlName="_GBC_b59c733092954582b6fa1ea88a37a325" concept="clcid-pte:QiTaQuanYiGongJuChiYouZheTouRuZiBenDaoZhiWeiFenPeiLiRunBianDongJinE" label="其他权益工具持有者投入资本导致未分配利润变动金额" mulRef="_GBC_57faea4e453e49ad93821b7dd6ce8bc4" unitRef="_GBC_cef77704267643d794145c73763360e5" addr="T0R14C11S1_1" formatStyle="Comma"/>
        <m:item xlName="_GBC_39d6c0e9212c4d1ebabbdf1d5703fe8d" concept="clcid-pte:QiTaQuanYiGongJuChiYouZheTouRuZiBenDaoZhiQiTaDeGuiShuYuMuGongSiSuoYouZheQuanYiBianDongJinE" label="其他权益工具持有者投入资本导致其他的归属于母公司所有者权益变动金额" mulRef="_GBC_57faea4e453e49ad93821b7dd6ce8bc4" unitRef="_GBC_cef77704267643d794145c73763360e5" addr="T0R14C12S1_1" formatStyle="Comma"/>
        <m:item xlName="_GBC_8ed036016d84413e8049db3217873c90" concept="clcid-pte:QiTaQuanYiGongJuChiYouZheTouRuZiBenDaoZhiGuiShuYuMuGongSiSuoYouZheQuanYiBianDongJinE" label="其他权益工具持有者投入资本导致归属于母公司所有者权益变动金额" mulRef="_GBC_57faea4e453e49ad93821b7dd6ce8bc4" unitRef="_GBC_cef77704267643d794145c73763360e5" addr="T0R14C13S1_1" formatStyle="Comma"/>
        <m:item xlName="_GBC_d6596c77313449628c519dafccb2593f" concept="clcid-pte:QiTaQuanYiGongJuChiYouZheTouRuZiBenDaoZhiShaoShuGuDongQuanYiBianDongJinE" label="其他权益工具持有者投入资本导致少数股东权益变动金额" mulRef="_GBC_57faea4e453e49ad93821b7dd6ce8bc4" unitRef="_GBC_cef77704267643d794145c73763360e5" addr="T0R14C14S1_1" formatStyle="Comma"/>
        <m:item xlName="_GBC_8f1ddac7d0c244b683483b1985ebd89c" concept="clcid-pte:QiTaQuanYiGongJuChiYouZheTouRuZiBenDaoZhiGuDongQuanYiHeJiBianDongJinE" label="其他权益工具持有者投入资本导致股东权益合计变动金额" mulRef="_GBC_57faea4e453e49ad93821b7dd6ce8bc4" unitRef="_GBC_cef77704267643d794145c73763360e5" addr="T0R14C15S1_1" formatStyle="Comma"/>
        <m:placeholder xlName="_PLD_bf20c7d29dbe4ecc8acea7b1a1149bd3" wordText="3．股份支付计入所有者权益的金额" addr="T0R15C0S1_1"/>
        <m:item xlName="_GBC_3791332551bd454b96448cf994e51457" concept="clcid-pte:GuFenZhiFuJiRuSuoYouZheQuanYiDeJinEDaoZhiShiShouZiBenHuoGuBenJingEBianDongJinE" label="股份支付计入所有者权益的金额导致实收资本（或股本）净额变动金额" mulRef="_GBC_57faea4e453e49ad93821b7dd6ce8bc4" unitRef="_GBC_cef77704267643d794145c73763360e5" addr="T0R15C1S1_1" formatStyle="Comma"/>
        <m:item xlName="_GBC_a2c47fb408954009a39c5507049f1206" concept="clcid-pte:GuFenZhiFuJiRuSuoYouZheQuanYiDeJinEDaoZhiQiTaQuanYiGongJuZhongDeYouXianGuBianDongJinE" label="股份支付计入所有者权益的金额导致其他权益工具中的优先股变动金额" mulRef="_GBC_57faea4e453e49ad93821b7dd6ce8bc4" unitRef="_GBC_cef77704267643d794145c73763360e5" addr="T0R15C2S1_1" formatStyle="Comma"/>
        <m:item xlName="_GBC_21d745acfbef4f388ba66d6434919a0b" concept="clcid-pte:GuFenZhiFuJiRuSuoYouZheQuanYiDeJinEDaoZhiQiTaQuanYiGongJuZhongDeYongXuZhaiBianDongJinE" label="股份支付计入所有者权益的金额导致其他权益工具中的永续债变动金额" mulRef="_GBC_57faea4e453e49ad93821b7dd6ce8bc4" unitRef="_GBC_cef77704267643d794145c73763360e5" addr="T0R15C3S1_1" formatStyle="Comma"/>
        <m:item xlName="_GBC_f57f1522382548d9b1b978e472a26a3a" concept="clcid-pte:GuFenZhiFuJiRuSuoYouZheQuanYiDeJinEDaoZhiQiTaQuanYiGongJuZhongDeQiTaBianDongJinE" label="股份支付计入所有者权益的金额导致其他权益工具中的其他变动金额" mulRef="_GBC_57faea4e453e49ad93821b7dd6ce8bc4" unitRef="_GBC_cef77704267643d794145c73763360e5" addr="T0R15C4S1_1" formatStyle="Comma"/>
        <m:item xlName="_GBC_0ba9f6a2a12947a79fcc6ae5dc683115" concept="clcid-pte:GuFenZhiFuJiRuSuoYouZheQuanYiDeJinEDaoZhiZiBenGongJiBianDongJinE" label="股份支付计入所有者权益的金额导致资本公积变动金额" mulRef="_GBC_57faea4e453e49ad93821b7dd6ce8bc4" unitRef="_GBC_cef77704267643d794145c73763360e5" addr="T0R15C5S1_1" formatStyle="Comma"/>
        <m:item xlName="_GBC_de63e365b51041e99fd2a1e96d1ac448" concept="clcid-pte:GuFenZhiFuJiRuSuoYouZheQuanYiDeJinEDaoZhiKuCunGuBianDongJinE" label="股份支付计入所有者权益的金额导致库存股变动金额" mulRef="_GBC_57faea4e453e49ad93821b7dd6ce8bc4" unitRef="_GBC_cef77704267643d794145c73763360e5" addr="T0R15C6S1_1" baseScale="-1" formatStyle="Comma"/>
        <m:item xlName="_GBC_292015fe1f444e0fbf7bc0c7b90748a9" concept="clcid-pte:GuFenZhiFuJiRuSuoYouZheQuanYiDeJinEDaoZhiQiTaZongHeShouYiBianDongJinE" label="股份支付计入所有者权益的金额导致其他综合收益变动金额" mulRef="_GBC_57faea4e453e49ad93821b7dd6ce8bc4" unitRef="_GBC_cef77704267643d794145c73763360e5" addr="T0R15C7S1_1" formatStyle="Comma"/>
        <m:item xlName="_GBC_e8faccb4253f400fa57479fa7eaf8991" concept="clcid-pte:GuFenZhiFuJiRuSuoYouZheQuanYiDeJinEDaoZhiZhuanXiangChuBeiBianDongJinE" label="股份支付计入所有者权益的金额导致专项储备变动金额" mulRef="_GBC_57faea4e453e49ad93821b7dd6ce8bc4" unitRef="_GBC_cef77704267643d794145c73763360e5" addr="T0R15C8S1_1" formatStyle="Comma"/>
        <m:item xlName="_GBC_85e0a39d632b4c9895faf9e279b37485" concept="clcid-pte:GuFenZhiFuJiRuSuoYouZheQuanYiDeJinEDaoZhiYingYuGongJiBianDongJinE" label="股份支付计入所有者权益的金额导致盈余公积变动金额" mulRef="_GBC_57faea4e453e49ad93821b7dd6ce8bc4" unitRef="_GBC_cef77704267643d794145c73763360e5" addr="T0R15C9S1_1" formatStyle="Comma"/>
        <m:item xlName="_GBC_ecee5f37d1b0402ea471037bfab95d47" concept="clcid-pte:GuFenZhiFuJiRuSuoYouZheQuanYiDeJinEDaoZhiYiBanFengXianZhunBeiBianDongJinE" label="股份支付计入所有者权益的金额导致一般风险准备变动金额" mulRef="_GBC_57faea4e453e49ad93821b7dd6ce8bc4" unitRef="_GBC_cef77704267643d794145c73763360e5" addr="T0R15C10S1_1" formatStyle="Comma"/>
        <m:item xlName="_GBC_ca76ac794d11448fbbdac6a6fc56bf30" concept="clcid-pte:GuFenZhiFuJiRuSuoYouZheQuanYiDeJinEDaoZhiWeiFenPeiLiRunBianDongJinE" label="股份支付计入所有者权益的金额导致未分配利润变动金额" mulRef="_GBC_57faea4e453e49ad93821b7dd6ce8bc4" unitRef="_GBC_cef77704267643d794145c73763360e5" addr="T0R15C11S1_1" formatStyle="Comma"/>
        <m:item xlName="_GBC_82f9f16880a84054947c1b46b1bbac38" concept="clcid-pte:GuFenZhiFuJiRuSuoYouZheQuanYiDeJinEDaoZhiQiTaDeGuiShuYuMuGongSiSuoYouZheQuanYiBianDongJinE" label="股份支付计入所有者权益的金额导致其他的归属于母公司所有者权益变动金额" mulRef="_GBC_57faea4e453e49ad93821b7dd6ce8bc4" unitRef="_GBC_cef77704267643d794145c73763360e5" addr="T0R15C12S1_1" formatStyle="Comma"/>
        <m:item xlName="_GBC_b272810de2ff48839ef175b9f639a94f" concept="clcid-pte:GuFenZhiFuJiRuSuoYouZheQuanYiDeJinEDaoZhiGuiShuYuMuGongSiSuoYouZheQuanYiBianDongJinE" label="股份支付计入所有者权益的金额导致归属于母公司所有者权益变动金额" mulRef="_GBC_57faea4e453e49ad93821b7dd6ce8bc4" unitRef="_GBC_cef77704267643d794145c73763360e5" addr="T0R15C13S1_1" formatStyle="Comma"/>
        <m:item xlName="_GBC_6d2fb01705584b38a5cd7338f6d7010b" concept="clcid-pte:GuFenZhiFuJiRuSuoYouZheQuanYiDeJinEDaoZhiShaoShuGuDongQuanYiBianDongJinE" label="股份支付计入所有者权益的金额导致少数股东权益变动金额" mulRef="_GBC_57faea4e453e49ad93821b7dd6ce8bc4" unitRef="_GBC_cef77704267643d794145c73763360e5" addr="T0R15C14S1_1" formatStyle="Comma"/>
        <m:item xlName="_GBC_1dd0e6ec44044f609705f8013ea23916" concept="clcid-pte:GuFenZhiFuJiRuSuoYouZheQuanYiDeJinEDaoZhiGuDongQuanYiHeJiBianDongJinE" label="股份支付计入所有者权益的金额导致股东权益合计变动金额" mulRef="_GBC_57faea4e453e49ad93821b7dd6ce8bc4" unitRef="_GBC_cef77704267643d794145c73763360e5" addr="T0R15C15S1_1" formatStyle="Comma"/>
        <m:placeholder xlName="_PLD_d3ce563048a9409f9366506e205c4124" wordText="4．其他" addr="T0R16C0S1_1"/>
        <m:item xlName="_GBC_c527c71c4fa643c0a7b04719e5a230ef" concept="clcid-pte:QiTaSuoYouZheTouRuHeJianShaoZiBenDaoZhiShiShouZiBenHuoGuBenJingEBianDongJinE" label="其他所有者投入和减少资本导致实收资本（或股本）净额变动金额" mulRef="_GBC_57faea4e453e49ad93821b7dd6ce8bc4" unitRef="_GBC_cef77704267643d794145c73763360e5" addr="T0R16C1S1_1" formatStyle="Comma"/>
        <m:item xlName="_GBC_2e7c7783c06245f3851d819fede87110" concept="clcid-pte:QiTaSuoYouZheTouRuHeJianShaoZiBenDaoZhiQiTaQuanYiGongJuZhongDeYouXianGuBianDongJinE" label="其他所有者投入和减少资本导致其他权益工具中的优先股变动金额" mulRef="_GBC_57faea4e453e49ad93821b7dd6ce8bc4" unitRef="_GBC_cef77704267643d794145c73763360e5" addr="T0R16C2S1_1" formatStyle="Comma"/>
        <m:item xlName="_GBC_62fd9a78c7da4f38b77a2a3b851e7358" concept="clcid-pte:QiTaSuoYouZheTouRuHeJianShaoZiBenDaoZhiQiTaQuanYiGongJuZhongDeYongXuZhaiBianDongJinE" label="其他所有者投入和减少资本导致其他权益工具中的永续债变动金额" mulRef="_GBC_57faea4e453e49ad93821b7dd6ce8bc4" unitRef="_GBC_cef77704267643d794145c73763360e5" addr="T0R16C3S1_1" formatStyle="Comma"/>
        <m:item xlName="_GBC_e99256ce2e9d4b71990075d307cefa44" concept="clcid-pte:QiTaSuoYouZheTouRuHeJianShaoZiBenDaoZhiQiTaQuanYiGongJuZhongDeQiTaBianDongJinE" label="其他所有者投入和减少资本导致其他权益工具中的其他变动金额" mulRef="_GBC_57faea4e453e49ad93821b7dd6ce8bc4" unitRef="_GBC_cef77704267643d794145c73763360e5" addr="T0R16C4S1_1" formatStyle="Comma"/>
        <m:item xlName="_GBC_b9624e4fc85749f68f689c5b08246f55" concept="clcid-pte:QiTaSuoYouZheTouRuHeJianShaoZiBenDaoZhiZiBenGongJiBianDongJinE" label="其他所有者投入和减少资本导致资本公积变动金额" mulRef="_GBC_57faea4e453e49ad93821b7dd6ce8bc4" unitRef="_GBC_cef77704267643d794145c73763360e5" addr="T0R16C5S1_1" formatStyle="Comma"/>
        <m:item xlName="_GBC_46cee3d9284a4561ab54cd563be64ce7" concept="clcid-pte:QiTaSuoYouZheTouRuHeJianShaoZiBenDaoZhiKuCunGuBianDongJinE" label="其他所有者投入和减少资本导致库存股变动金额" mulRef="_GBC_57faea4e453e49ad93821b7dd6ce8bc4" unitRef="_GBC_cef77704267643d794145c73763360e5" addr="T0R16C6S1_1" baseScale="-1" formatStyle="Comma"/>
        <m:item xlName="_GBC_561d88b29dba420dbb0270db86e597ce" concept="clcid-pte:QiTaSuoYouZheTouRuHeJianShaoZiBenDaoZhiQiTaZongHeShouYiBianDongJinE" label="其他所有者投入和减少资本导致其他综合收益变动金额" mulRef="_GBC_57faea4e453e49ad93821b7dd6ce8bc4" unitRef="_GBC_cef77704267643d794145c73763360e5" addr="T0R16C7S1_1" formatStyle="Comma"/>
        <m:item xlName="_GBC_3e92406b9198435ea8fff9629700ace1" concept="clcid-pte:QiTaSuoYouZheTouRuHeJianShaoZiBenDaoZhiZhuanXiangChuBeiBianDongJinE" label="其他所有者投入和减少资本导致专项储备变动金额" mulRef="_GBC_57faea4e453e49ad93821b7dd6ce8bc4" unitRef="_GBC_cef77704267643d794145c73763360e5" addr="T0R16C8S1_1" formatStyle="Comma"/>
        <m:item xlName="_GBC_97999a28af804707896032c98c71f9ac" concept="clcid-pte:QiTaSuoYouZheTouRuHeJianShaoZiBenDaoZhiYingYuGongJiBianDongJinE" label="其他所有者投入和减少资本导致盈余公积变动金额" mulRef="_GBC_57faea4e453e49ad93821b7dd6ce8bc4" unitRef="_GBC_cef77704267643d794145c73763360e5" addr="T0R16C9S1_1" formatStyle="Comma"/>
        <m:item xlName="_GBC_409c5554df514bc2b863bad127ec481b" concept="clcid-pte:QiTaSuoYouZheTouRuHeJianShaoZiBenDaoZhiYiBanFengXianZhunBeiBianDongJinE" label="其他所有者投入和减少资本导致一般风险准备变动金额" mulRef="_GBC_57faea4e453e49ad93821b7dd6ce8bc4" unitRef="_GBC_cef77704267643d794145c73763360e5" addr="T0R16C10S1_1" formatStyle="Comma"/>
        <m:item xlName="_GBC_2cf5415c5054489b94e4c2d3c1422096" concept="clcid-pte:QiTaSuoYouZheTouRuHeJianShaoZiBenDaoZhiWeiFenPeiLiRunBianDongJinE" label="其他所有者投入和减少资本导致未分配利润变动金额" mulRef="_GBC_57faea4e453e49ad93821b7dd6ce8bc4" unitRef="_GBC_cef77704267643d794145c73763360e5" addr="T0R16C11S1_1" formatStyle="Comma"/>
        <m:item xlName="_GBC_9132a6ec18c245bb868d5da8ff7921f0" concept="clcid-pte:QiTaSuoYouZheTouRuHeJianShaoZiBenDaoZhiQiTaDeGuiShuYuMuGongSiSuoYouZheQuanYiBianDongJinE" label="其他所有者投入和减少资本导致其他的归属于母公司所有者权益变动金额" mulRef="_GBC_57faea4e453e49ad93821b7dd6ce8bc4" unitRef="_GBC_cef77704267643d794145c73763360e5" addr="T0R16C12S1_1" formatStyle="Comma"/>
        <m:item xlName="_GBC_c0d4c7c36eb24628b2304f9f7a73a34e" concept="clcid-pte:QiTaSuoYouZheTouRuHeJianShaoZiBenDaoZhiGuiShuYuMuGongSiSuoYouZheQuanYiBianDongJinE" label="其他所有者投入和减少资本导致归属于母公司所有者权益变动金额" mulRef="_GBC_57faea4e453e49ad93821b7dd6ce8bc4" unitRef="_GBC_cef77704267643d794145c73763360e5" addr="T0R16C13S1_1" formatStyle="Comma"/>
        <m:item xlName="_GBC_cf602e8674d146e587d83e4b56d48aa1" concept="clcid-pte:QiTaSuoYouZheTouRuHeJianShaoZiBenDaoZhiShaoShuGuDongQuanYiBianDongJinE" label="其他所有者投入和减少资本导致少数股东权益变动金额" mulRef="_GBC_57faea4e453e49ad93821b7dd6ce8bc4" unitRef="_GBC_cef77704267643d794145c73763360e5" addr="T0R16C14S1_1" formatStyle="Comma"/>
        <m:item xlName="_GBC_28ff968fe8d6459cbac21ca64c9581cc" concept="clcid-pte:QiTaSuoYouZheTouRuHeJianShaoZiBenDaoZhiGuDongQuanYiHeJiBianDongJinE" label="其他所有者投入和减少资本导致股东权益合计变动金额" mulRef="_GBC_57faea4e453e49ad93821b7dd6ce8bc4" unitRef="_GBC_cef77704267643d794145c73763360e5" addr="T0R16C15S1_1" formatStyle="Comma"/>
        <m:placeholder xlName="_PLD_e5ace973797c4072b589e43841b34142" wordText="（三）利润分配" addr="T0R17C0S1_1"/>
        <m:item xlName="_GBC_2851cc52a624492097bc439bcb274218" concept="clcid-pte:LiRunFenPeiDaoZhiShiShouZiBenHuoGuBenJingEBianDongJinE" label="利润分配导致实收资本（或股本）净额变动金额" mulRef="_GBC_57faea4e453e49ad93821b7dd6ce8bc4" unitRef="_GBC_cef77704267643d794145c73763360e5" addr="T0R17C1S1_1" formatStyle="Comma">
          <m:complexRule comparator="Eq" title="利润分配导致实收资本（或股本）净额变动金额" test=" $_GBC_57623c506e0c40a1ade91cb8a5aaf398 +  $_GBC_6ed9670ec7f24b018f96e99a8efe441d +  $_GBC_be8730efe10947c2ad2f6fdba67fb0a9 +  $_GBC_f86a41a52bef4646aa886b1b62af9ca2" id="Cbf5ef69fb5434a72b62645abfa92a1ac" radius="0.0001"/>
        </m:item>
        <m:item xlName="_GBC_ec61dbaac98c4e1c95bb001221e37c66" concept="clcid-pte:LiRunFenPeiDaoZhiQiTaQuanYiGongJuZhongDeYouXianGuBianDongJinE" label="利润分配导致其他权益工具中的优先股变动金额" mulRef="_GBC_57faea4e453e49ad93821b7dd6ce8bc4" unitRef="_GBC_cef77704267643d794145c73763360e5" addr="T0R17C2S1_1" formatStyle="Comma">
          <m:complexRule comparator="Eq" title="利润分配导致其他权益工具中的优先股变动金额" test=" $_GBC_cfdaf47719fa479aa0d9e98a4ffd8545 +  $_GBC_6c1af28bcb094ffdb40d9303bd42967e +  $_GBC_36cac875e4c74a81a12f3c7de69e243f +  $_GBC_1166fb01e6414768a6f074101dc0bde8" id="C391228ce42ce406391a4841833282b62"/>
        </m:item>
        <m:item xlName="_GBC_b269be15818b4ac294e4df7cf9907492" concept="clcid-pte:LiRunFenPeiDaoZhiQiTaQuanYiGongJuZhongDeYongXuZhaiBianDongJinE" label="利润分配导致其他权益工具中的永续债变动金额" mulRef="_GBC_57faea4e453e49ad93821b7dd6ce8bc4" unitRef="_GBC_cef77704267643d794145c73763360e5" addr="T0R17C3S1_1" formatStyle="Comma">
          <m:complexRule comparator="Eq" title="利润分配导致其他权益工具中的永续债变动金额" test=" $_GBC_1c63051053774100b5869c81404834cc +  $_GBC_3047530481d7476d9dfc5e4cd50785e5 +  $_GBC_3b51fad731724398856be5fbeb01afa6 +  $_GBC_a71ca53261264284bd2730c9d3351c91" id="C3d2c8873329144d89b9880ede26496cc"/>
        </m:item>
        <m:item xlName="_GBC_8fffa4535bd243b5b308f3b916e4407e" concept="clcid-pte:LiRunFenPeiDaoZhiQiTaQuanYiGongJuZhongDeQiTaBianDongJinE" label="利润分配导致其他权益工具中的其他变动金额" mulRef="_GBC_57faea4e453e49ad93821b7dd6ce8bc4" unitRef="_GBC_cef77704267643d794145c73763360e5" addr="T0R17C4S1_1" formatStyle="Comma">
          <m:complexRule comparator="Eq" title="利润分配导致其他权益工具中的其他变动金额" test=" $_GBC_26499bfc54c84d5b99f89ca106a9611a +  $_GBC_7a33d738f07448e78d284f6b6c5566b9 +  $_GBC_d0a14220af9b45a8bd48c88dab298639 +  $_GBC_43ff5d06e2e24be3a4dbb924cc1c9638" id="C245f6d99d9aa47dbbfbcf8e197320874"/>
        </m:item>
        <m:item xlName="_GBC_1284bdeb0c954c439b359d911823e78a" concept="clcid-pte:LiRunFenPeiDaoZhiZiBenGongJiBianDongJinE" label="利润分配导致资本公积变动金额" mulRef="_GBC_57faea4e453e49ad93821b7dd6ce8bc4" unitRef="_GBC_cef77704267643d794145c73763360e5" addr="T0R17C5S1_1" formatStyle="Comma">
          <m:complexRule comparator="Eq" title="利润分配导致资本公积变动金额" test=" $_GBC_46c60ff0d56e4c4d9bc307a194f88f46 +  $_GBC_cbd71f74fa0f41ddb258524eda3797ef +  $_GBC_c45f6bb4dfe64f6ba1750f04f3745cda +  $_GBC_690e297607494ffb9ce752e155137b5f" id="C770ff9215ddf4a3bb04fc6f42c9260be" radius="0.0001"/>
        </m:item>
        <m:item xlName="_GBC_7afb33dfb77f4dc3b254ad9ecef2522c" concept="clcid-pte:LiRunFenPeiDaoZhiKuCunGuBianDongJinE" label="利润分配导致库存股变动金额" mulRef="_GBC_57faea4e453e49ad93821b7dd6ce8bc4" unitRef="_GBC_cef77704267643d794145c73763360e5" addr="T0R17C6S1_1" baseScale="-1" formatStyle="Comma">
          <m:complexRule comparator="Eq" title="利润分配导致库存股变动金额" test=" $_GBC_ab7a98cb4ff74e27bb4c6c8754db9b11 +  $_GBC_3aa9194a9f1b43cea4d7b27f656f2f4c +  $_GBC_1daf915c61dc4199a4b9dfd9555cb6b4 +  $_GBC_6bf05080dae4474893900bc558cd596f" id="C5f170696218744e1804d39bd463c6561" radius="0.0001"/>
        </m:item>
        <m:item xlName="_GBC_576b308b61db40318d2e74fac8502721" concept="clcid-pte:LiRunFenPeiDaoZhiQiTaZongHeShouYiBianDongJinE" label="利润分配导致其他综合收益变动金额" mulRef="_GBC_57faea4e453e49ad93821b7dd6ce8bc4" unitRef="_GBC_cef77704267643d794145c73763360e5" addr="T0R17C7S1_1" formatStyle="Comma">
          <m:complexRule comparator="Eq" title="利润分配导致其他综合收益变动金额" test=" $_GBC_3553220a26424793952ffb0b2e78f267 +  $_GBC_58abcc0ee0814915ae5c918f603e01d7 +  $_GBC_220fbdc87b394b9b933f081d2b2532cf +  $_GBC_94b605bb99314d23bd031b76ca16d6f6" id="C7f632ffc144e41f7a2002deef264afa9"/>
        </m:item>
        <m:item xlName="_GBC_91e943552d8e40c58d5fbddd7de01f97" concept="clcid-pte:LiRunFenPeiDaoZhiZhuanXiangChuBeiBianDongJinE" label="利润分配导致专项储备变动金额" mulRef="_GBC_57faea4e453e49ad93821b7dd6ce8bc4" unitRef="_GBC_cef77704267643d794145c73763360e5" addr="T0R17C8S1_1" formatStyle="Comma">
          <m:complexRule comparator="Eq" title="利润分配导致专项储备变动金额" test=" $_GBC_18a7e25b01fa4877b9bda043b8fe0411 +  $_GBC_5b70a39a371e47c2a746f67c5a61bc20 +  $_GBC_0438c1b6d1a04fef8979c7fa1247146e +  $_GBC_8f54f8a997d74231bb57ec6046f5480a" id="C68a5dd1e22c843cdb5517f70e8ac36c2"/>
        </m:item>
        <m:item xlName="_GBC_836d9e9571b24603948597980ffa90cc" concept="clcid-pte:LiRunFenPeiDaoZhiYingYuGongJiBianDongJinE" label="利润分配导致盈余公积变动金额" mulRef="_GBC_57faea4e453e49ad93821b7dd6ce8bc4" unitRef="_GBC_cef77704267643d794145c73763360e5" addr="T0R17C9S1_1" formatStyle="Comma">
          <m:complexRule comparator="Eq" title="利润分配导致盈余公积变动金额" test=" $_GBC_51cede8901aa44609433032238183b1d +  $_GBC_f1b9f272e17e4ae09eef9c93d5eb5fec +  $_GBC_14d38d32346d4331ad03abee52d262e4 +  $_GBC_f6d18e06d2e44391a337079928175d45" id="C124267df303d49d4b379ae9157bad8ca"/>
        </m:item>
        <m:item xlName="_GBC_2d3fd314934c4ebbb489e203dc126f06" concept="clcid-pte:LiRunFenPeiDaoZhiYiBanFengXianZhunBeiBianDongJinE" label="利润分配导致一般风险准备变动金额" mulRef="_GBC_57faea4e453e49ad93821b7dd6ce8bc4" unitRef="_GBC_cef77704267643d794145c73763360e5" addr="T0R17C10S1_1" formatStyle="Comma">
          <m:complexRule comparator="Eq" title="利润分配导致一般风险准备变动金额" test=" $_GBC_a9a0056e895747c387552a3d3371eb9e +  $_GBC_67f319d35ec3497eaa3d118006f39907 +  $_GBC_166468d47a6e4399b7483713f22f8497 +  $_GBC_250fb2eb35a14e2e8c69b0bc45913481" id="Cdff4bd3cf04742ec99b28d977304e5dc"/>
        </m:item>
        <m:item xlName="_GBC_260b37b1de814c418cb525bf6f7d0120" concept="clcid-pte:LiRunFenPeiDaoZhiWeiFenPeiLiRunBianDongJinE" label="利润分配导致未分配利润变动金额" mulRef="_GBC_57faea4e453e49ad93821b7dd6ce8bc4" unitRef="_GBC_cef77704267643d794145c73763360e5" addr="T0R17C11S1_1" formatStyle="Comma">
          <m:complexRule comparator="Eq" title="利润分配导致未分配利润变动金额" test=" $_GBC_49a38d91e67c40c08946c986dfcbee84 +  $_GBC_70b15506f0ae408580f3e755ace9cb3c +  $_GBC_ea6452f41ba4424692acb1cbfa7a4e26 +  $_GBC_ba66ff1daab04302ac5d209bf87dee73" id="C7443cc1484e34d31a6d8a3fea4a5d561"/>
        </m:item>
        <m:item xlName="_GBC_9720bcab82894745bf9eb13f87a95854" concept="clcid-pte:LiRunFenPeiDaoZhiQiTaDeGuiShuYuMuGongSiSuoYouZheQuanYiBianDongJinE" label="利润分配导致其他的归属于母公司所有者权益变动金额" mulRef="_GBC_57faea4e453e49ad93821b7dd6ce8bc4" unitRef="_GBC_cef77704267643d794145c73763360e5" addr="T0R17C12S1_1" formatStyle="Comma">
          <m:complexRule comparator="Eq" title="利润分配导致其他的归属于母公司所有者权益变动金额" test=" $_GBC_aeacadd9bfb847b4a6e665e8b5b7e25f +  $_GBC_eeda6d4fbc2144038f55c7b7181bb4d7 +  $_GBC_97187668b436471a8412c50f45f7e56c +  $_GBC_2fcddf50ca4f47d7acf1647ef0640dd3" id="C7918ba8f826248299d5e976191acb3bd"/>
        </m:item>
        <m:item xlName="_GBC_80735237b2a14d74bd6ecb75cfd602d1" concept="clcid-pte:LiRunFenPeiDaoZhiGuiShuYuMuGongSiSuoYouZheQuanYiBianDongJinE" label="利润分配导致归属于母公司所有者权益变动金额" mulRef="_GBC_57faea4e453e49ad93821b7dd6ce8bc4" unitRef="_GBC_cef77704267643d794145c73763360e5" addr="T0R17C13S1_1" formatStyle="Comma">
          <m:complexRule comparator="Eq" title="利润分配导致归属于母公司所有者权益变动金额小计" test=" $_GBC_ec23b8db22764198b1475d63b522fa03 +  $_GBC_1a1f297ce9a64aef9187bb5280bcdd38 +  $_GBC_06e760349c764d44a61aa51f4d008786 +  $_GBC_d9698013e24a4ce3af9af118648dd013" id="C8ca74ef1a32a49169c4f3e980b5926b3"/>
        </m:item>
        <m:item xlName="_GBC_e182c560bc1d4f318894d856a345307b" concept="clcid-pte:LiRunFenPeiDaoZhiShaoShuGuDongQuanYiBianDongJinE" label="利润分配导致少数股东权益变动金额" mulRef="_GBC_57faea4e453e49ad93821b7dd6ce8bc4" unitRef="_GBC_cef77704267643d794145c73763360e5" addr="T0R17C14S1_1" formatStyle="Comma">
          <m:complexRule comparator="Eq" title="利润分配导致少数股东权益变动金额" test=" $_GBC_92d8af388835446784814e7b2ca35b0c +  $_GBC_46d6349f57724be6bda517b3809edc9e +  $_GBC_240b7a509479473690f81f3f6443ebdd +  $_GBC_258ced943163405da1b41d13dd834438" id="Ccda9783a3aa944a7bd71fb0e5032a767"/>
        </m:item>
        <m:item xlName="_GBC_36fa9a3a4cfc45168eb5d272aa7a4f76" concept="clcid-pte:LiRunFenPeiDaoZhiGuDongQuanYiHeJiBianDongJinE" label="利润分配导致股东权益合计变动金额" mulRef="_GBC_57faea4e453e49ad93821b7dd6ce8bc4" unitRef="_GBC_cef77704267643d794145c73763360e5" addr="T0R17C15S1_1" formatStyle="Comma">
          <m:complexRule comparator="Eq" title="利润分配导致股东权益合计变动金额" test=" $_GBC_20142f4d252246ebb755e9d3bdb0a534 +  $_GBC_4bae56fcf1684c709f90b1fcbdf971e4 +  $_GBC_659dba2ebe3c4225ae45ccf6ce13e772 +  $_GBC_be1b050ed0e74260bcdea7959deb5a6a" id="Cdc11a641bc71406c977b0a9f992f89e0"/>
        </m:item>
        <m:placeholder xlName="_PLD_56984731c08d48a08692b6a589fbe555" wordText="1．提取盈余公积" addr="T0R18C0S1_1"/>
        <m:item xlName="_GBC_57623c506e0c40a1ade91cb8a5aaf398" concept="clcid-pte:TiQuYingYuGongJiDaoZhiShiShouZiBenHuoGuBenJingEBianDongJinE" label="提取盈余公积导致实收资本（或股本）净额变动金额" mulRef="_GBC_57faea4e453e49ad93821b7dd6ce8bc4" unitRef="_GBC_cef77704267643d794145c73763360e5" addr="T0R18C1S1_1" formatStyle="Comma"/>
        <m:item xlName="_GBC_cfdaf47719fa479aa0d9e98a4ffd8545" concept="clcid-pte:TiQuYingYuGongJiDaoZhiQiTaQuanYiGongJuZhongDeYouXianGuBianDongJinE" label="提取盈余公积导致其他权益工具中的优先股变动金额" mulRef="_GBC_57faea4e453e49ad93821b7dd6ce8bc4" unitRef="_GBC_cef77704267643d794145c73763360e5" addr="T0R18C2S1_1" formatStyle="Comma"/>
        <m:item xlName="_GBC_1c63051053774100b5869c81404834cc" concept="clcid-pte:TiQuYingYuGongJiDaoZhiQiTaQuanYiGongJuZhongDeYongXuZhaiBianDongJinE" label="提取盈余公积导致其他权益工具中的永续债变动金额" mulRef="_GBC_57faea4e453e49ad93821b7dd6ce8bc4" unitRef="_GBC_cef77704267643d794145c73763360e5" addr="T0R18C3S1_1" formatStyle="Comma"/>
        <m:item xlName="_GBC_26499bfc54c84d5b99f89ca106a9611a" concept="clcid-pte:TiQuYingYuGongJiDaoZhiQiTaQuanYiGongJuZhongDeQiTaBianDongJinE" label="提取盈余公积导致其他权益工具中的其他变动金额" mulRef="_GBC_57faea4e453e49ad93821b7dd6ce8bc4" unitRef="_GBC_cef77704267643d794145c73763360e5" addr="T0R18C4S1_1" formatStyle="Comma"/>
        <m:item xlName="_GBC_46c60ff0d56e4c4d9bc307a194f88f46" concept="clcid-pte:TiQuYingYuGongJiDaoZhiZiBenGongJiBianDongJinE" label="提取盈余公积导致资本公积变动金额" mulRef="_GBC_57faea4e453e49ad93821b7dd6ce8bc4" unitRef="_GBC_cef77704267643d794145c73763360e5" addr="T0R18C5S1_1" formatStyle="Comma"/>
        <m:item xlName="_GBC_ab7a98cb4ff74e27bb4c6c8754db9b11" concept="clcid-pte:TiQuYingYuGongJiDaoZhiKuCunGuBianDongJinE" label="提取盈余公积导致库存股变动金额" mulRef="_GBC_57faea4e453e49ad93821b7dd6ce8bc4" unitRef="_GBC_cef77704267643d794145c73763360e5" addr="T0R18C6S1_1" baseScale="-1" formatStyle="Comma"/>
        <m:item xlName="_GBC_3553220a26424793952ffb0b2e78f267" concept="clcid-pte:TiQuYingYuGongJiDaoZhiQiTaZongHeShouYiBianDongJinE" label="提取盈余公积导致其他综合收益变动金额" mulRef="_GBC_57faea4e453e49ad93821b7dd6ce8bc4" unitRef="_GBC_cef77704267643d794145c73763360e5" addr="T0R18C7S1_1" formatStyle="Comma"/>
        <m:item xlName="_GBC_18a7e25b01fa4877b9bda043b8fe0411" concept="clcid-pte:TiQuYingYuGongJiDaoZhiZhuanXiangChuBeiBianDongJinE" label="提取盈余公积导致专项储备变动金额" mulRef="_GBC_57faea4e453e49ad93821b7dd6ce8bc4" unitRef="_GBC_cef77704267643d794145c73763360e5" addr="T0R18C8S1_1" formatStyle="Comma"/>
        <m:item xlName="_GBC_51cede8901aa44609433032238183b1d" concept="clcid-pte:TiQuYingYuGongJiDaoZhiYingYuGongJiBianDongJinE" label="提取盈余公积导致盈余公积变动金额" mulRef="_GBC_57faea4e453e49ad93821b7dd6ce8bc4" unitRef="_GBC_cef77704267643d794145c73763360e5" addr="T0R18C9S1_1" formatStyle="Comma"/>
        <m:item xlName="_GBC_a9a0056e895747c387552a3d3371eb9e" concept="clcid-pte:TiQuYingYuGongJiDaoZhiYiBanFengXianZhunBeiBianDongJinE" label="提取盈余公积导致一般风险准备变动金额" mulRef="_GBC_57faea4e453e49ad93821b7dd6ce8bc4" unitRef="_GBC_cef77704267643d794145c73763360e5" addr="T0R18C10S1_1" formatStyle="Comma"/>
        <m:item xlName="_GBC_49a38d91e67c40c08946c986dfcbee84" concept="clcid-pte:TiQuYingYuGongJiDaoZhiWeiFenPeiLiRunBianDongJinE" label="提取盈余公积导致未分配利润变动金额" mulRef="_GBC_57faea4e453e49ad93821b7dd6ce8bc4" unitRef="_GBC_cef77704267643d794145c73763360e5" addr="T0R18C11S1_1" formatStyle="Comma"/>
        <m:item xlName="_GBC_aeacadd9bfb847b4a6e665e8b5b7e25f" concept="clcid-pte:TiQuYingYuGongJiDaoZhiQiTaDeGuiShuYuMuGongSiSuoYouZheQuanYiBianDongJinE" label="提取盈余公积导致其他的归属于母公司所有者权益变动金额" mulRef="_GBC_57faea4e453e49ad93821b7dd6ce8bc4" unitRef="_GBC_cef77704267643d794145c73763360e5" addr="T0R18C12S1_1" formatStyle="Comma"/>
        <m:item xlName="_GBC_ec23b8db22764198b1475d63b522fa03" concept="clcid-pte:TiQuYingYuGongJiDaoZhiGuiShuYuMuGongSiSuoYouZheQuanYiBianDongJinE" label="提取盈余公积导致归属于母公司所有者权益变动金额" mulRef="_GBC_57faea4e453e49ad93821b7dd6ce8bc4" unitRef="_GBC_cef77704267643d794145c73763360e5" addr="T0R18C13S1_1" formatStyle="Comma"/>
        <m:item xlName="_GBC_92d8af388835446784814e7b2ca35b0c" concept="clcid-pte:TiQuYingYuGongJiDaoZhiShaoShuGuDongQuanYiBianDongJinE" label="提取盈余公积导致少数股东权益变动金额" mulRef="_GBC_57faea4e453e49ad93821b7dd6ce8bc4" unitRef="_GBC_cef77704267643d794145c73763360e5" addr="T0R18C14S1_1" formatStyle="Comma"/>
        <m:item xlName="_GBC_20142f4d252246ebb755e9d3bdb0a534" concept="clcid-pte:TiQuYingYuGongJiDaoZhiGuDongQuanYiHeJiBianDongJinE" label="提取盈余公积导致股东权益合计变动金额" mulRef="_GBC_57faea4e453e49ad93821b7dd6ce8bc4" unitRef="_GBC_cef77704267643d794145c73763360e5" addr="T0R18C15S1_1" formatStyle="Comma"/>
        <m:placeholder xlName="_PLD_d30e7cefb4de4113b5c1abddf8a241d4" wordText="2．提取一般风险准备" addr="T0R19C0S1_1"/>
        <m:item xlName="_GBC_6ed9670ec7f24b018f96e99a8efe441d" concept="clcid-pte:TiQuYiBanFengXianZhunBeiDaoZhiShiShouZiBenHuoGuBenJingEBianDongJinE" label="提取一般风险准备导致实收资本（或股本）净额变动金额" mulRef="_GBC_57faea4e453e49ad93821b7dd6ce8bc4" unitRef="_GBC_cef77704267643d794145c73763360e5" addr="T0R19C1S1_1" formatStyle="Comma"/>
        <m:item xlName="_GBC_6c1af28bcb094ffdb40d9303bd42967e" concept="clcid-pte:TiQuYiBanFengXianZhunBeiDaoZhiQiTaQuanYiGongJuZhongDeYouXianGuBianDongJinE" label="提取一般风险准备导致其他权益工具中的优先股变动金额" mulRef="_GBC_57faea4e453e49ad93821b7dd6ce8bc4" unitRef="_GBC_cef77704267643d794145c73763360e5" addr="T0R19C2S1_1" formatStyle="Comma"/>
        <m:item xlName="_GBC_3047530481d7476d9dfc5e4cd50785e5" concept="clcid-pte:TiQuYiBanFengXianZhunBeiDaoZhiQiTaQuanYiGongJuZhongDeYongXuZhaiBianDongJinE" label="提取一般风险准备导致其他权益工具中的永续债变动金额" mulRef="_GBC_57faea4e453e49ad93821b7dd6ce8bc4" unitRef="_GBC_cef77704267643d794145c73763360e5" addr="T0R19C3S1_1" formatStyle="Comma"/>
        <m:item xlName="_GBC_7a33d738f07448e78d284f6b6c5566b9" concept="clcid-pte:TiQuYiBanFengXianZhunBeiDaoZhiQiTaQuanYiGongJuZhongDeQiTaBianDongJinE" label="提取一般风险准备导致其他权益工具中的其他变动金额" mulRef="_GBC_57faea4e453e49ad93821b7dd6ce8bc4" unitRef="_GBC_cef77704267643d794145c73763360e5" addr="T0R19C4S1_1" formatStyle="Comma"/>
        <m:item xlName="_GBC_cbd71f74fa0f41ddb258524eda3797ef" concept="clcid-pte:TiQuYiBanFengXianZhunBeiDaoZhiZiBenGongJiBianDongJinE" label="提取一般风险准备导致资本公积变动金额" mulRef="_GBC_57faea4e453e49ad93821b7dd6ce8bc4" unitRef="_GBC_cef77704267643d794145c73763360e5" addr="T0R19C5S1_1" formatStyle="Comma"/>
        <m:item xlName="_GBC_3aa9194a9f1b43cea4d7b27f656f2f4c" concept="clcid-pte:TiQuYiBanFengXianZhunBeiDaoZhiKuCunGuBianDongJinE" label="提取一般风险准备导致库存股变动金额" mulRef="_GBC_57faea4e453e49ad93821b7dd6ce8bc4" unitRef="_GBC_cef77704267643d794145c73763360e5" addr="T0R19C6S1_1" baseScale="-1" formatStyle="Comma"/>
        <m:item xlName="_GBC_58abcc0ee0814915ae5c918f603e01d7" concept="clcid-pte:TiQuYiBanFengXianZhunBeiDaoZhiQiTaZongHeShouYiBianDongJinE" label="提取一般风险准备导致其他综合收益变动金额" mulRef="_GBC_57faea4e453e49ad93821b7dd6ce8bc4" unitRef="_GBC_cef77704267643d794145c73763360e5" addr="T0R19C7S1_1" formatStyle="Comma"/>
        <m:item xlName="_GBC_5b70a39a371e47c2a746f67c5a61bc20" concept="clcid-pte:TiQuYiBanFengXianZhunBeiDaoZhiZhuanXiangChuBeiBianDongJinE" label="提取一般风险准备导致专项储备变动金额" mulRef="_GBC_57faea4e453e49ad93821b7dd6ce8bc4" unitRef="_GBC_cef77704267643d794145c73763360e5" addr="T0R19C8S1_1" formatStyle="Comma"/>
        <m:item xlName="_GBC_f1b9f272e17e4ae09eef9c93d5eb5fec" concept="clcid-pte:TiQuYiBanFengXianZhunBeiDaoZhiYingYuGongJiBianDongJinE" label="提取一般风险准备导致盈余公积变动金额" mulRef="_GBC_57faea4e453e49ad93821b7dd6ce8bc4" unitRef="_GBC_cef77704267643d794145c73763360e5" addr="T0R19C9S1_1" formatStyle="Comma"/>
        <m:item xlName="_GBC_67f319d35ec3497eaa3d118006f39907" concept="clcid-pte:TiQuYiBanFengXianZhunBeiDaoZhiYiBanFengXianZhunBeiBianDongJinE" label="提取一般风险准备导致一般风险准备变动金额" mulRef="_GBC_57faea4e453e49ad93821b7dd6ce8bc4" unitRef="_GBC_cef77704267643d794145c73763360e5" addr="T0R19C10S1_1" formatStyle="Comma"/>
        <m:item xlName="_GBC_70b15506f0ae408580f3e755ace9cb3c" concept="clcid-pte:TiQuYiBanFengXianZhunBeiDaoZhiWeiFenPeiLiRunBianDongJinE" label="提取一般风险准备导致未分配利润变动金额" mulRef="_GBC_57faea4e453e49ad93821b7dd6ce8bc4" unitRef="_GBC_cef77704267643d794145c73763360e5" addr="T0R19C11S1_1" formatStyle="Comma"/>
        <m:item xlName="_GBC_eeda6d4fbc2144038f55c7b7181bb4d7" concept="clcid-pte:TiQuYiBanFengXianZhunBeiDaoZhiQiTaDeGuiShuYuMuGongSiSuoYouZheQuanYiBianDongJinE" label="提取一般风险准备导致其他的归属于母公司所有者权益变动金额" mulRef="_GBC_57faea4e453e49ad93821b7dd6ce8bc4" unitRef="_GBC_cef77704267643d794145c73763360e5" addr="T0R19C12S1_1" formatStyle="Comma"/>
        <m:item xlName="_GBC_1a1f297ce9a64aef9187bb5280bcdd38" concept="clcid-pte:TiQuYiBanFengXianZhunBeiDaoZhiGuiShuYuMuGongSiSuoYouZheQuanYiBianDongJinE" label="提取一般风险准备导致归属于母公司所有者权益变动金额" mulRef="_GBC_57faea4e453e49ad93821b7dd6ce8bc4" unitRef="_GBC_cef77704267643d794145c73763360e5" addr="T0R19C13S1_1" formatStyle="Comma"/>
        <m:item xlName="_GBC_46d6349f57724be6bda517b3809edc9e" concept="clcid-pte:TiQuYiBanFengXianZhunBeiDaoZhiShaoShuGuDongQuanYiBianDongJinE" label="提取一般风险准备导致少数股东权益变动金额" mulRef="_GBC_57faea4e453e49ad93821b7dd6ce8bc4" unitRef="_GBC_cef77704267643d794145c73763360e5" addr="T0R19C14S1_1" formatStyle="Comma"/>
        <m:item xlName="_GBC_4bae56fcf1684c709f90b1fcbdf971e4" concept="clcid-pte:TiQuYiBanFengXianZhunBeiDaoZhiGuDongQuanYiHeJiBianDongJinE" label="提取一般风险准备导致股东权益合计变动金额" mulRef="_GBC_57faea4e453e49ad93821b7dd6ce8bc4" unitRef="_GBC_cef77704267643d794145c73763360e5" addr="T0R19C15S1_1" formatStyle="Comma"/>
        <m:placeholder xlName="_PLD_6d573481d9af49e2a8ab22ecd061ccf7" wordText="3．对所有者（或股东）的分配" addr="T0R20C0S1_1"/>
        <m:item xlName="_GBC_be8730efe10947c2ad2f6fdba67fb0a9" concept="clcid-pte:DuiSuoYouZheHuoGuDongDeFenPeiDaoZhiShiShouZiBenHuoGuBenJingEBianDongJinE" label="对所有者（或股东）的分配导致实收资本（或股本）净额变动金额" mulRef="_GBC_57faea4e453e49ad93821b7dd6ce8bc4" unitRef="_GBC_cef77704267643d794145c73763360e5" addr="T0R20C1S1_1" formatStyle="Comma"/>
        <m:item xlName="_GBC_36cac875e4c74a81a12f3c7de69e243f" concept="clcid-pte:DuiSuoYouZheHuoGuDongDeFenPeiDaoZhiQiTaQuanYiGongJuZhongDeYouXianGuBianDongJinE" label="对所有者（或股东）的分配导致其他权益工具中的优先股变动金额" mulRef="_GBC_57faea4e453e49ad93821b7dd6ce8bc4" unitRef="_GBC_cef77704267643d794145c73763360e5" addr="T0R20C2S1_1" formatStyle="Comma"/>
        <m:item xlName="_GBC_3b51fad731724398856be5fbeb01afa6" concept="clcid-pte:DuiSuoYouZheHuoGuDongDeFenPeiDaoZhiQiTaQuanYiGongJuZhongDeYongXuZhaiBianDongJinE" label="对所有者（或股东）的分配导致其他权益工具中的永续债变动金额" mulRef="_GBC_57faea4e453e49ad93821b7dd6ce8bc4" unitRef="_GBC_cef77704267643d794145c73763360e5" addr="T0R20C3S1_1" formatStyle="Comma"/>
        <m:item xlName="_GBC_d0a14220af9b45a8bd48c88dab298639" concept="clcid-pte:DuiSuoYouZheHuoGuDongDeFenPeiDaoZhiQiTaQuanYiGongJuZhongDeQiTaBianDongJinE" label="对所有者（或股东）的分配导致其他权益工具中的其他变动金额" mulRef="_GBC_57faea4e453e49ad93821b7dd6ce8bc4" unitRef="_GBC_cef77704267643d794145c73763360e5" addr="T0R20C4S1_1" formatStyle="Comma"/>
        <m:item xlName="_GBC_c45f6bb4dfe64f6ba1750f04f3745cda" concept="clcid-pte:DuiSuoYouZheHuoGuDongDeFenPeiDaoZhiZiBenGongJiBianDongJinE" label="对所有者（或股东）的分配导致资本公积变动金额" mulRef="_GBC_57faea4e453e49ad93821b7dd6ce8bc4" unitRef="_GBC_cef77704267643d794145c73763360e5" addr="T0R20C5S1_1" formatStyle="Comma"/>
        <m:item xlName="_GBC_1daf915c61dc4199a4b9dfd9555cb6b4" concept="clcid-pte:DuiSuoYouZheHuoGuDongDeFenPeiDaoZhiKuCunGuBianDongJinE" label="对所有者（或股东）的分配导致库存股变动金额" mulRef="_GBC_57faea4e453e49ad93821b7dd6ce8bc4" unitRef="_GBC_cef77704267643d794145c73763360e5" addr="T0R20C6S1_1" baseScale="-1" formatStyle="Comma"/>
        <m:item xlName="_GBC_220fbdc87b394b9b933f081d2b2532cf" concept="clcid-pte:DuiSuoYouZheHuoGuDongDeFenPeiDaoZhiQiTaZongHeShouYiBianDongJinE" label="对所有者（或股东）的分配导致其他综合收益变动金额" mulRef="_GBC_57faea4e453e49ad93821b7dd6ce8bc4" unitRef="_GBC_cef77704267643d794145c73763360e5" addr="T0R20C7S1_1" formatStyle="Comma"/>
        <m:item xlName="_GBC_0438c1b6d1a04fef8979c7fa1247146e" concept="clcid-pte:DuiSuoYouZheHuoGuDongDeFenPeiDaoZhiZhuanXiangChuBeiBianDongJinE" label="对所有者（或股东）的分配导致专项储备变动金额" mulRef="_GBC_57faea4e453e49ad93821b7dd6ce8bc4" unitRef="_GBC_cef77704267643d794145c73763360e5" addr="T0R20C8S1_1" formatStyle="Comma"/>
        <m:item xlName="_GBC_14d38d32346d4331ad03abee52d262e4" concept="clcid-pte:DuiSuoYouZheHuoGuDongDeFenPeiDaoZhiYingYuGongJiBianDongJinE" label="对所有者（或股东）的分配导致盈余公积变动金额" mulRef="_GBC_57faea4e453e49ad93821b7dd6ce8bc4" unitRef="_GBC_cef77704267643d794145c73763360e5" addr="T0R20C9S1_1" formatStyle="Comma"/>
        <m:item xlName="_GBC_166468d47a6e4399b7483713f22f8497" concept="clcid-pte:DuiSuoYouZheHuoGuDongDeFenPeiDaoZhiYiBanFengXianZhunBeiBianDongJinE" label="对所有者（或股东）的分配导致一般风险准备变动金额" mulRef="_GBC_57faea4e453e49ad93821b7dd6ce8bc4" unitRef="_GBC_cef77704267643d794145c73763360e5" addr="T0R20C10S1_1" formatStyle="Comma"/>
        <m:item xlName="_GBC_ea6452f41ba4424692acb1cbfa7a4e26" concept="clcid-pte:DuiSuoYouZheHuoGuDongDeFenPeiDaoZhiWeiFenPeiLiRunBianDongJinE" label="对所有者（或股东）的分配导致未分配利润变动金额" mulRef="_GBC_57faea4e453e49ad93821b7dd6ce8bc4" unitRef="_GBC_cef77704267643d794145c73763360e5" addr="T0R20C11S1_1" formatStyle="Comma"/>
        <m:item xlName="_GBC_97187668b436471a8412c50f45f7e56c" concept="clcid-pte:DuiSuoYouZheHuoGuDongDeFenPeiDaoZhiQiTaDeGuiShuYuMuGongSiSuoYouZheQuanYiBianDongJinE" label="对所有者（或股东）的分配导致其他的归属于母公司所有者权益变动金额" mulRef="_GBC_57faea4e453e49ad93821b7dd6ce8bc4" unitRef="_GBC_cef77704267643d794145c73763360e5" addr="T0R20C12S1_1" formatStyle="Comma"/>
        <m:item xlName="_GBC_06e760349c764d44a61aa51f4d008786" concept="clcid-pte:DuiSuoYouZheHuoGuDongDeFenPeiDaoZhiGuiShuYuMuGongSiSuoYouZheQuanYiBianDongJinE" label="对所有者（或股东）的分配导致归属于母公司所有者权益变动金额" mulRef="_GBC_57faea4e453e49ad93821b7dd6ce8bc4" unitRef="_GBC_cef77704267643d794145c73763360e5" addr="T0R20C13S1_1" formatStyle="Comma"/>
        <m:item xlName="_GBC_240b7a509479473690f81f3f6443ebdd" concept="clcid-pte:DuiSuoYouZheHuoGuDongDeFenPeiDaoZhiShaoShuGuDongQuanYiBianDongJinE" label="对所有者（或股东）的分配导致少数股东权益变动金额" mulRef="_GBC_57faea4e453e49ad93821b7dd6ce8bc4" unitRef="_GBC_cef77704267643d794145c73763360e5" addr="T0R20C14S1_1" formatStyle="Comma"/>
        <m:item xlName="_GBC_659dba2ebe3c4225ae45ccf6ce13e772" concept="clcid-pte:DuiSuoYouZheHuoGuDongDeFenPeiDaoZhiGuDongQuanYiHeJiBianDongJinE" label="对所有者（或股东）的分配导致股东权益合计变动金额" mulRef="_GBC_57faea4e453e49ad93821b7dd6ce8bc4" unitRef="_GBC_cef77704267643d794145c73763360e5" addr="T0R20C15S1_1" formatStyle="Comma"/>
        <m:placeholder xlName="_PLD_dd87d5b565c74b3faf2e05ed9840875a" wordText="4．其他" addr="T0R21C0S1_1"/>
        <m:item xlName="_GBC_f86a41a52bef4646aa886b1b62af9ca2" concept="clcid-pte:QiTaLiRunFenPeiDaoZhiShiShouZiBenHuoGuBenJingEBianDongJinE" label="其他利润分配导致实收资本（或股本）净额变动金额" mulRef="_GBC_57faea4e453e49ad93821b7dd6ce8bc4" unitRef="_GBC_cef77704267643d794145c73763360e5" addr="T0R21C1S1_1" formatStyle="Comma"/>
        <m:item xlName="_GBC_1166fb01e6414768a6f074101dc0bde8" concept="clcid-pte:QiTaLiRunFenPeiDaoZhiQiTaQuanYiGongJuZhongDeYouXianGuBianDongJinE" label="其他利润分配导致其他权益工具中的优先股变动金额" mulRef="_GBC_57faea4e453e49ad93821b7dd6ce8bc4" unitRef="_GBC_cef77704267643d794145c73763360e5" addr="T0R21C2S1_1" formatStyle="Comma"/>
        <m:item xlName="_GBC_a71ca53261264284bd2730c9d3351c91" concept="clcid-pte:QiTaLiRunFenPeiDaoZhiQiTaQuanYiGongJuZhongDeYongXuZhaiBianDongJinE" label="其他利润分配导致其他权益工具中的永续债变动金额" mulRef="_GBC_57faea4e453e49ad93821b7dd6ce8bc4" unitRef="_GBC_cef77704267643d794145c73763360e5" addr="T0R21C3S1_1" formatStyle="Comma"/>
        <m:item xlName="_GBC_43ff5d06e2e24be3a4dbb924cc1c9638" concept="clcid-pte:QiTaLiRunFenPeiDaoZhiQiTaQuanYiGongJuZhongDeQiTaBianDongJinE" label="其他利润分配导致其他权益工具中的其他变动金额" mulRef="_GBC_57faea4e453e49ad93821b7dd6ce8bc4" unitRef="_GBC_cef77704267643d794145c73763360e5" addr="T0R21C4S1_1" formatStyle="Comma"/>
        <m:item xlName="_GBC_690e297607494ffb9ce752e155137b5f" concept="clcid-pte:QiTaLiRunFenPeiDaoZhiZiBenGongJiBianDongJinE" label="其他利润分配导致资本公积变动金额" mulRef="_GBC_57faea4e453e49ad93821b7dd6ce8bc4" unitRef="_GBC_cef77704267643d794145c73763360e5" addr="T0R21C5S1_1" formatStyle="Comma"/>
        <m:item xlName="_GBC_6bf05080dae4474893900bc558cd596f" concept="clcid-pte:QiTaLiRunFenPeiDaoZhiKuCunGuBianDongJinE" label="其他利润分配导致库存股变动金额" mulRef="_GBC_57faea4e453e49ad93821b7dd6ce8bc4" unitRef="_GBC_cef77704267643d794145c73763360e5" addr="T0R21C6S1_1" baseScale="-1" formatStyle="Comma"/>
        <m:item xlName="_GBC_94b605bb99314d23bd031b76ca16d6f6" concept="clcid-pte:QiTaLiRunFenPeiDaoZhiQiTaZongHeShouYiBianDongJinE" label="其他利润分配导致其他综合收益变动金额" mulRef="_GBC_57faea4e453e49ad93821b7dd6ce8bc4" unitRef="_GBC_cef77704267643d794145c73763360e5" addr="T0R21C7S1_1" formatStyle="Comma"/>
        <m:item xlName="_GBC_8f54f8a997d74231bb57ec6046f5480a" concept="clcid-pte:QiTaLiRunFenPeiDaoZhiZhuanXiangChuBeiBianDongJinE" label="其他利润分配导致专项储备变动金额" mulRef="_GBC_57faea4e453e49ad93821b7dd6ce8bc4" unitRef="_GBC_cef77704267643d794145c73763360e5" addr="T0R21C8S1_1" formatStyle="Comma"/>
        <m:item xlName="_GBC_f6d18e06d2e44391a337079928175d45" concept="clcid-pte:QiTaLiRunFenPeiDaoZhiYingYuGongJiBianDongJinE" label="其他利润分配导致盈余公积变动金额" mulRef="_GBC_57faea4e453e49ad93821b7dd6ce8bc4" unitRef="_GBC_cef77704267643d794145c73763360e5" addr="T0R21C9S1_1" formatStyle="Comma"/>
        <m:item xlName="_GBC_250fb2eb35a14e2e8c69b0bc45913481" concept="clcid-pte:QiTaLiRunFenPeiDaoZhiYiBanFengXianZhunBeiBianDongJinE" label="其他利润分配导致一般风险准备变动金额" mulRef="_GBC_57faea4e453e49ad93821b7dd6ce8bc4" unitRef="_GBC_cef77704267643d794145c73763360e5" addr="T0R21C10S1_1" formatStyle="Comma"/>
        <m:item xlName="_GBC_ba66ff1daab04302ac5d209bf87dee73" concept="clcid-pte:QiTaLiRunFenPeiDaoZhiWeiFenPeiLiRunBianDongJinE" label="其他利润分配导致未分配利润变动金额" mulRef="_GBC_57faea4e453e49ad93821b7dd6ce8bc4" unitRef="_GBC_cef77704267643d794145c73763360e5" addr="T0R21C11S1_1" formatStyle="Comma"/>
        <m:item xlName="_GBC_2fcddf50ca4f47d7acf1647ef0640dd3" concept="clcid-pte:QiTaLiRunFenPeiDaoZhiQiTaDeGuiShuYuMuGongSiSuoYouZheQuanYiBianDongJinE" label="其他利润分配导致其他的归属于母公司所有者权益变动金额" mulRef="_GBC_57faea4e453e49ad93821b7dd6ce8bc4" unitRef="_GBC_cef77704267643d794145c73763360e5" addr="T0R21C12S1_1" formatStyle="Comma"/>
        <m:item xlName="_GBC_d9698013e24a4ce3af9af118648dd013" concept="clcid-pte:QiTaLiRunFenPeiDaoZhiGuiShuYuMuGongSiSuoYouZheQuanYiBianDongJinE" label="其他利润分配导致归属于母公司所有者权益变动金额" mulRef="_GBC_57faea4e453e49ad93821b7dd6ce8bc4" unitRef="_GBC_cef77704267643d794145c73763360e5" addr="T0R21C13S1_1" formatStyle="Comma"/>
        <m:item xlName="_GBC_258ced943163405da1b41d13dd834438" concept="clcid-pte:QiTaLiRunFenPeiDaoZhiShaoShuGuDongQuanYiBianDongJinE" label="其他利润分配导致少数股东权益变动金额" mulRef="_GBC_57faea4e453e49ad93821b7dd6ce8bc4" unitRef="_GBC_cef77704267643d794145c73763360e5" addr="T0R21C14S1_1" formatStyle="Comma"/>
        <m:item xlName="_GBC_be1b050ed0e74260bcdea7959deb5a6a" concept="clcid-pte:QiTaLiRunFenPeiDaoZhiGuDongQuanYiHeJiBianDongJinE" label="其他利润分配导致股东权益合计变动金额" mulRef="_GBC_57faea4e453e49ad93821b7dd6ce8bc4" unitRef="_GBC_cef77704267643d794145c73763360e5" addr="T0R21C15S1_1" formatStyle="Comma"/>
        <m:placeholder xlName="_PLD_92da940e723e49d8b19944c326b0a372" wordText="（四）所有者权益内部结转" addr="T0R22C0S1_1"/>
        <m:item xlName="_GBC_b11c3104a0ea4c569011a66c2df804e4" concept="clcid-pte:SuoYouZheQuanYiNeiBuJieZhuanDaoZhiShiShouZiBenHuoGuBenJingEBianDongJinE" label="所有者权益内部结转导致实收资本（或股本）净额变动金额" mulRef="_GBC_57faea4e453e49ad93821b7dd6ce8bc4" unitRef="_GBC_cef77704267643d794145c73763360e5" addr="T0R22C1S1_1" formatStyle="Comma">
          <m:complexRule comparator="Eq" title="所有者权益内部结转导致实收资本（或股本）净额变动金额" test=" $_GBC_9db68c2d02a74324a707f8a0a4e1e145 +  $_GBC_eafb156329a6496f9482adc364a5a048 +  $_GBC_d96e675317ec4efda34532e70f5ba775 +  $_GBC_993a05505fb94d0a91b089558de44fce +  $_GBC_911e7d90f6b044cbb6e8e4028f16ea3e +  $_GBC_4a7bd6293f2740a3bac080a52c0e5196" id="Ca39c91f678d24dd49fc9edacba53639f" radius="0.0001"/>
        </m:item>
        <m:item xlName="_GBC_1b1e018a344d449691d6c4b3e1dbe0bb" concept="clcid-pte:SuoYouZheQuanYiNeiBuJieZhuanDaoZhiQiTaQuanYiGongJuZhongDeYouXianGuBianDongJinE" label="所有者权益内部结转导致其他权益工具中的优先股变动金额" mulRef="_GBC_57faea4e453e49ad93821b7dd6ce8bc4" unitRef="_GBC_cef77704267643d794145c73763360e5" addr="T0R22C2S1_1" formatStyle="Comma">
          <m:complexRule comparator="Eq" title="所有者权益内部结转导致其他权益工具中的优先股变动金额" test=" $_GBC_0ca2d2a297f841f9954b74895a302383 +  $_GBC_9e3c0c833f2f48118bc6cfe19eeda43f +  $_GBC_09318c810afc4c57a6e2ec49b1dccdd6 +  $_GBC_30ced917bd09466a872975e748eb6c4c +  $_GBC_bfa01499f7964c559b4e4a0735aa0584 +  $_GBC_fb32477ae1bc4bbeb40253c83eb45521" id="C621adede67494584aa7e7cdfa768dc1b"/>
        </m:item>
        <m:item xlName="_GBC_c933388c0a2047b1978bfc58666107fb" concept="clcid-pte:SuoYouZheQuanYiNeiBuJieZhuanDaoZhiQiTaQuanYiGongJuZhongDeYongXuZhaiBianDongJinE" label="所有者权益内部结转导致其他权益工具中的永续债变动金额" mulRef="_GBC_57faea4e453e49ad93821b7dd6ce8bc4" unitRef="_GBC_cef77704267643d794145c73763360e5" addr="T0R22C3S1_1" formatStyle="Comma">
          <m:complexRule comparator="Eq" title="所有者权益内部结转导致其他权益工具中的永续债变动金额" test=" $_GBC_dac8cd8080f44352bfadf9bfab96a4e2 +  $_GBC_967122b66e5c4bb18043ad9ec7d070fa +  $_GBC_b99c057b3bef4910a174eaf8a23b71a2 +  $_GBC_a1d305b59dad491fb4f8ffaee3f65c31 +  $_GBC_26251ae6737543d985df4cd29cb23b12 +  $_GBC_b161acbc68244a5581bff85423fd9095" id="Cc684a00a2f914b548664f56ba7b2f0ad"/>
        </m:item>
        <m:item xlName="_GBC_8c40d3028232418fa4545a97e2dbc0b8" concept="clcid-pte:SuoYouZheQuanYiNeiBuJieZhuanDaoZhiQiTaQuanYiGongJuZhongDeQiTaBianDongJinE" label="所有者权益内部结转导致其他权益工具中的其他变动金额" mulRef="_GBC_57faea4e453e49ad93821b7dd6ce8bc4" unitRef="_GBC_cef77704267643d794145c73763360e5" addr="T0R22C4S1_1" formatStyle="Comma">
          <m:complexRule comparator="Eq" title="所有者权益内部结转导致其他权益工具中的其他变动金额" test=" $_GBC_640b05b76a704e06952e1118785ef332 +  $_GBC_1339ebbd6af84797bf191fd37ce94f45 +  $_GBC_e4de9205a8104a4ab26fdce78f098192 +  $_GBC_8b0d1f8f99544f028fa985218415c815 +  $_GBC_e798978cf65f4f3489135e15edb70c98 +  $_GBC_12f27dace800483aa9c150b420f04a8c" id="C906c1477b4cc43929a8d5aaa5f69b74c"/>
        </m:item>
        <m:item xlName="_GBC_000ad320848d499b9696328fcdf5b37d" concept="clcid-pte:SuoYouZheQuanYiNeiBuJieZhuanDaoZhiZiBenGongJiBianDongJinE" label="所有者权益内部结转导致资本公积变动金额" mulRef="_GBC_57faea4e453e49ad93821b7dd6ce8bc4" unitRef="_GBC_cef77704267643d794145c73763360e5" addr="T0R22C5S1_1" formatStyle="Comma">
          <m:complexRule comparator="Eq" title="所有者权益内部结转导致资本公积变动金额" test=" $_GBC_30de2400658c4f44920e292884cfe421 +  $_GBC_ef51fc52e8894e1bac71d48d8f6ad3dd +  $_GBC_0f305eb55cfd4724a3da3e5b9e6ce159 +  $_GBC_b3e8148d69e140a38d69919d1cdbc100 +  $_GBC_6c4249be84124edaa0ab7b37e4d15ed4 +  $_GBC_e0189b19960f41ee8d58382bb543fcbf" id="C8b8a389b54bd41a19402dde46df3ddb0" radius="0.0001"/>
        </m:item>
        <m:item xlName="_GBC_a65b26b0de6d4df0871bd1781cac3be3" concept="clcid-pte:SuoYouZheQuanYiNeiBuJieZhuanDaoZhiKuCunGuBianDongJinE" label="所有者权益内部结转导致库存股变动金额" mulRef="_GBC_57faea4e453e49ad93821b7dd6ce8bc4" unitRef="_GBC_cef77704267643d794145c73763360e5" addr="T0R22C6S1_1" baseScale="-1" formatStyle="Comma">
          <m:complexRule comparator="Eq" title="所有者权益内部结转导致库存股变动金额" test=" $_GBC_6268d47b970d4db2a5d7e64ae3be06cc +  $_GBC_3f4d077e917446aaa06515acff4586c0 +  $_GBC_c8066994531b4964abd2e795fc785d26 +  $_GBC_31ff889b6ab543d786bec743890ada88 +  $_GBC_890c85694dfe49a8a7dda9650b235586 +  $_GBC_8ef921194721437f846689584ba7e880" id="Cc041351e04964333b0aa0e86b7c6ccc2" radius="0.0001"/>
        </m:item>
        <m:item xlName="_GBC_a0f546f119894730ad39e1a27987eddb" concept="clcid-pte:SuoYouZheQuanYiNeiBuJieZhuanDaoZhiQiTaZongHeShouYiBianDongJinE" label="所有者权益内部结转导致其他综合收益变动金额" mulRef="_GBC_57faea4e453e49ad93821b7dd6ce8bc4" unitRef="_GBC_cef77704267643d794145c73763360e5" addr="T0R22C7S1_1" formatStyle="Comma">
          <m:complexRule comparator="Eq" title="所有者权益内部结转导致其他综合收益变动金额" test=" $_GBC_880e95e25f574e3eab11f8b21bdd5959 +  $_GBC_7a651627c18e41d1bb4b51253f0b8481 +  $_GBC_7feb6719ffbf4d27bf4d226b105f733e +  $_GBC_1327b06c5d2a4f9d9202c9da9c7866be +  $_GBC_50aad61937a847f9adc49c1ae4ca4ef3 +  $_GBC_8b999a2319f9472e8d486f1f0f6dd34f" id="C2e5f85e8837b4af2a87a39a25f49623c"/>
        </m:item>
        <m:item xlName="_GBC_ce506c278d524b368ca1822aad5fc7c4" concept="clcid-pte:SuoYouZheQuanYiNeiBuJieZhuanDaoZhiZhuanXiangChuBeiBianDongJinE" label="所有者权益内部结转导致专项储备变动金额" mulRef="_GBC_57faea4e453e49ad93821b7dd6ce8bc4" unitRef="_GBC_cef77704267643d794145c73763360e5" addr="T0R22C8S1_1" formatStyle="Comma">
          <m:complexRule comparator="Eq" title="所有者权益内部结转导致专项储备变动金额" test=" $_GBC_23e7aa5a0a9c4e35b487476acfb820ec +  $_GBC_aeef5ec51bf941668bdbf1a7ac2cbbba +  $_GBC_a8513b3c9ff244ee8db231205a58a5da +  $_GBC_8537b8b65c31492cafa3df2e5f6b2270 +  $_GBC_53fc11ff44c145d19fbf14fa75b24f16 +  $_GBC_5c2d69439f8344a5a496a10b05e878ec" id="Ca875b356b91c4fc3b573926ae0dab914"/>
        </m:item>
        <m:item xlName="_GBC_a9612697573e4b9da47df234733d488f" concept="clcid-pte:SuoYouZheQuanYiNeiBuJieZhuanDaoZhiYingYuGongJiBianDongJinE" label="所有者权益内部结转导致盈余公积变动金额" mulRef="_GBC_57faea4e453e49ad93821b7dd6ce8bc4" unitRef="_GBC_cef77704267643d794145c73763360e5" addr="T0R22C9S1_1" formatStyle="Comma">
          <m:complexRule comparator="Eq" title="所有者权益内部结转导致盈余公积变动金额" test=" $_GBC_e514d3b9bb0949daa4623e0a596d5d33 +  $_GBC_e603227d26d34f83890df29603d99081 +  $_GBC_6c65bb6e687949618102adcce004e610 +  $_GBC_1e683fbc4e874f78acc210e3973075ff +  $_GBC_62fabfebf1274f71899875748976b069 +  $_GBC_18788e1e5b5c4aae8256678c0bb00a53" id="C929959fd56bb44e1a1f8388f1407bbbe"/>
        </m:item>
        <m:item xlName="_GBC_bb4f8b604b9c454987cae9a7bd551880" concept="clcid-pte:SuoYouZheQuanYiNeiBuJieZhuanDaoZhiYiBanFengXianZhunBeiBianDongJinE" label="所有者权益内部结转导致一般风险准备变动金额" mulRef="_GBC_57faea4e453e49ad93821b7dd6ce8bc4" unitRef="_GBC_cef77704267643d794145c73763360e5" addr="T0R22C10S1_1" formatStyle="Comma">
          <m:complexRule comparator="Eq" title="所有者权益内部结转导致一般风险准备变动金额" test=" $_GBC_4995640c2dea4c12938012fc541f32a4 +  $_GBC_afb7371014aa48d78542092c6abfdeea +  $_GBC_55729793f9b045ebbf13f1d563ff76ef +  $_GBC_1e447db81e79459ea9ae88a55c127eb2 +  $_GBC_3ad0085139e6421384702d4457a70428 +  $_GBC_dfc71c14bd45447aafd2dfe511900909" id="Cd97f1a5c47ea44cc9692c9dffb84cdde"/>
        </m:item>
        <m:item xlName="_GBC_333263d5dc0744409902eeed23df6c83" concept="clcid-pte:SuoYouZheQuanYiNeiBuJieZhuanDaoZhiWeiFenPeiLiRunBianDongJinE" label="所有者权益内部结转导致未分配利润变动金额" mulRef="_GBC_57faea4e453e49ad93821b7dd6ce8bc4" unitRef="_GBC_cef77704267643d794145c73763360e5" addr="T0R22C11S1_1" formatStyle="Comma">
          <m:complexRule comparator="Eq" title="所有者权益内部结转导致未分配利润变动金额" test=" $_GBC_0cb019dbadc74175946c013af83d71e7 +  $_GBC_1457ec50f548478faf72965b35d297f2 +  $_GBC_7e9d220f6b73492c8c024169588a45f4 +  $_GBC_15b900d7e5b743379bc6f99e862d2a52 +  $_GBC_de37262bb83942f6a9a60f16fc85948e +  $_GBC_76877e5c2aa54ca9b3f0e3d2d4396e9d" id="C544c74bf9a974e7aaed86ccc625f0458"/>
        </m:item>
        <m:item xlName="_GBC_1c67affc1c5d4ccaad6940f3774617f0" concept="clcid-pte:SuoYouZheQuanYiNeiBuJieZhuanDaoZhiQiTaDeGuiShuYuMuGongSiSuoYouZheQuanYiBianDongJinE" label="所有者权益内部结转导致其他的归属于母公司所有者权益变动金额" mulRef="_GBC_57faea4e453e49ad93821b7dd6ce8bc4" unitRef="_GBC_cef77704267643d794145c73763360e5" addr="T0R22C12S1_1" formatStyle="Comma">
          <m:complexRule comparator="Eq" title="所有者权益内部结转导致其他的归属于母公司所有者权益变动金额" test=" $_GBC_9b0c37fb6ac64d558066a8e623d07e77 +  $_GBC_9c817d81de1547268a2448b60c7340d3 +  $_GBC_9ba1c6c647c34da2a2d81c91ed68506a +  $_GBC_b4a9d12f82c34372b9c9b22441088ac7 +  $_GBC_5cbc9e7314be43aeac6618b866032f31 +  $_GBC_aba2d919a43441359ce4961594d3cc61" id="C79b05df5f5d948bbb37dfe0c452e4402"/>
        </m:item>
        <m:item xlName="_GBC_bc6efb270e334909b932d6e51f8bb31c" concept="clcid-pte:SuoYouZheQuanYiNeiBuJieZhuanDaoZhiGuiShuYuMuGongSiSuoYouZheQuanYiBianDongJinE" label="所有者权益内部结转导致归属于母公司所有者权益变动金额" mulRef="_GBC_57faea4e453e49ad93821b7dd6ce8bc4" unitRef="_GBC_cef77704267643d794145c73763360e5" addr="T0R22C13S1_1" formatStyle="Comma">
          <m:complexRule comparator="Eq" title="所有者权益内部结转导致归属于母公司所有者权益变动金额小计" test=" $_GBC_aceba2c5d3194851bee3cc7c79b1bd42 +  $_GBC_188d156185dc44b3832bbc102abec8bc +  $_GBC_dc775f4abdd64cfea82fbcf0b80bd084 +  $_GBC_96834e57cba149f1ac572cb96519ce6e +  $_GBC_0136018f07cc4a309bd97d5a85306b66 +  $_GBC_2b62dc5fc410419391530911e0d92b3c" id="Cee45d0b9328b4c9d8ef0a685df9f5970"/>
        </m:item>
        <m:item xlName="_GBC_7a3da204ce3646049b03df923d66cf80" concept="clcid-pte:SuoYouZheQuanYiNeiBuJieZhuanDaoZhiShaoShuGuDongQuanYiBianDongJinE" label="所有者权益内部结转导致少数股东权益变动金额" mulRef="_GBC_57faea4e453e49ad93821b7dd6ce8bc4" unitRef="_GBC_cef77704267643d794145c73763360e5" addr="T0R22C14S1_1" formatStyle="Comma">
          <m:complexRule comparator="Eq" title="所有者权益内部结转导致少数股东权益变动金额" test=" $_GBC_c9757cbc4fa8494da8042507570d49a6 +  $_GBC_76833378c1bf4e77b69829506f1497aa +  $_GBC_7910ec8ad0634bccae1811d4de7e530a +  $_GBC_eb121ed57c134598ba34e05bc7068c78 +  $_GBC_17b954cd80564784b23f69332b656874 +  $_GBC_cc98fd706abe429c9250ccca7de4822b" id="C545f053fb6164e67a9f95432d5cf05a7"/>
        </m:item>
        <m:item xlName="_GBC_3ada0a68972e4b9f8920f5045a9f6cf8" concept="clcid-pte:SuoYouZheQuanYiNeiBuJieZhuanDaoZhiGuDongQuanYiHeJiBianDongJinE" label="所有者权益内部结转导致股东权益合计变动金额" mulRef="_GBC_57faea4e453e49ad93821b7dd6ce8bc4" unitRef="_GBC_cef77704267643d794145c73763360e5" addr="T0R22C15S1_1" formatStyle="Comma">
          <m:complexRule comparator="Eq" title="所有者权益内部结转导致股东权益合计变动金额" test=" $_GBC_802060d12bdc4cecae1298de1d168773 +  $_GBC_efcad2803e7745c680315a90f030d993 +  $_GBC_32f8dc3511264106aa43eb99420efb7c +  $_GBC_ff2ac4e17c494d679e38c2b242677a3b +  $_GBC_2de1b0603dc846df86c98774e18a086f +  $_GBC_1a9e19505c664085900a1f04e2c3d613" id="C74ce250f585d4e7b9a66d2babc9336c7"/>
        </m:item>
        <m:placeholder xlName="_PLD_88fb253c66e143fa8d6fda4d400657ec" wordText="1．资本公积转增资本（或股本）" addr="T0R23C0S1_1"/>
        <m:item xlName="_GBC_9db68c2d02a74324a707f8a0a4e1e145" concept="clcid-pte:ZiBenGongJiZhuanZengZiBenHuoGuBenDaoZhiShiShouZiBenHuoGuBenJingEBianDongJinE" label="资本公积转增资本（或股本）导致实收资本（或股本）净额变动金额" mulRef="_GBC_57faea4e453e49ad93821b7dd6ce8bc4" unitRef="_GBC_cef77704267643d794145c73763360e5" addr="T0R23C1S1_1" formatStyle="Comma"/>
        <m:item xlName="_GBC_0ca2d2a297f841f9954b74895a302383" concept="clcid-pte:ZiBenGongJiZhuanZengZiBenHuoGuBenDaoZhiQiTaQuanYiGongJuZhongDeYouXianGuBianDongJinE" label="资本公积转增资本（或股本）导致其他权益工具中的优先股变动金额" mulRef="_GBC_57faea4e453e49ad93821b7dd6ce8bc4" unitRef="_GBC_cef77704267643d794145c73763360e5" addr="T0R23C2S1_1" formatStyle="Comma"/>
        <m:item xlName="_GBC_dac8cd8080f44352bfadf9bfab96a4e2" concept="clcid-pte:ZiBenGongJiZhuanZengZiBenHuoGuBenDaoZhiQiTaQuanYiGongJuZhongDeYongXuZhaiBianDongJinE" label="资本公积转增资本（或股本）导致其他权益工具中的永续债变动金额" mulRef="_GBC_57faea4e453e49ad93821b7dd6ce8bc4" unitRef="_GBC_cef77704267643d794145c73763360e5" addr="T0R23C3S1_1" formatStyle="Comma"/>
        <m:item xlName="_GBC_640b05b76a704e06952e1118785ef332" concept="clcid-pte:ZiBenGongJiZhuanZengZiBenHuoGuBenDaoZhiQiTaQuanYiGongJuZhongDeQiTaBianDongJinE" label="资本公积转增资本（或股本）导致其他权益工具中的其他变动金额" mulRef="_GBC_57faea4e453e49ad93821b7dd6ce8bc4" unitRef="_GBC_cef77704267643d794145c73763360e5" addr="T0R23C4S1_1" formatStyle="Comma"/>
        <m:item xlName="_GBC_30de2400658c4f44920e292884cfe421" concept="clcid-pte:ZiBenGongJiZhuanZengZiBenHuoGuBenDaoZhiZiBenGongJiBianDongJinE" label="资本公积转增资本（或股本）导致资本公积变动金额" mulRef="_GBC_57faea4e453e49ad93821b7dd6ce8bc4" unitRef="_GBC_cef77704267643d794145c73763360e5" addr="T0R23C5S1_1" formatStyle="Comma"/>
        <m:item xlName="_GBC_6268d47b970d4db2a5d7e64ae3be06cc" concept="clcid-pte:ZiBenGongJiZhuanZengZiBenHuoGuBenDaoZhiKuCunGuBianDongJinE" label="资本公积转增资本（或股本）导致库存股变动金额" mulRef="_GBC_57faea4e453e49ad93821b7dd6ce8bc4" unitRef="_GBC_cef77704267643d794145c73763360e5" addr="T0R23C6S1_1" baseScale="-1" formatStyle="Comma"/>
        <m:item xlName="_GBC_880e95e25f574e3eab11f8b21bdd5959" concept="clcid-pte:ZiBenGongJiZhuanZengZiBenHuoGuBenDaoZhiQiTaZongHeShouYiBianDongJinE" label="资本公积转增资本（或股本）导致其他综合收益变动金额" mulRef="_GBC_57faea4e453e49ad93821b7dd6ce8bc4" unitRef="_GBC_cef77704267643d794145c73763360e5" addr="T0R23C7S1_1" formatStyle="Comma"/>
        <m:item xlName="_GBC_23e7aa5a0a9c4e35b487476acfb820ec" concept="clcid-pte:ZiBenGongJiZhuanZengZiBenHuoGuBenDaoZhiZhuanXiangChuBeiBianDongJinE" label="资本公积转增资本（或股本）导致专项储备变动金额" mulRef="_GBC_57faea4e453e49ad93821b7dd6ce8bc4" unitRef="_GBC_cef77704267643d794145c73763360e5" addr="T0R23C8S1_1" formatStyle="Comma"/>
        <m:item xlName="_GBC_e514d3b9bb0949daa4623e0a596d5d33" concept="clcid-pte:ZiBenGongJiZhuanZengZiBenHuoGuBenDaoZhiYingYuGongJiBianDongJinE" label="资本公积转增资本（或股本）导致盈余公积变动金额" mulRef="_GBC_57faea4e453e49ad93821b7dd6ce8bc4" unitRef="_GBC_cef77704267643d794145c73763360e5" addr="T0R23C9S1_1" formatStyle="Comma"/>
        <m:item xlName="_GBC_4995640c2dea4c12938012fc541f32a4" concept="clcid-pte:ZiBenGongJiZhuanZengZiBenHuoGuBenDaoZhiYiBanFengXianZhunBeiBianDongJinE" label="资本公积转增资本（或股本）导致一般风险准备变动金额" mulRef="_GBC_57faea4e453e49ad93821b7dd6ce8bc4" unitRef="_GBC_cef77704267643d794145c73763360e5" addr="T0R23C10S1_1" formatStyle="Comma"/>
        <m:item xlName="_GBC_0cb019dbadc74175946c013af83d71e7" concept="clcid-pte:ZiBenGongJiZhuanZengZiBenHuoGuBenDaoZhiWeiFenPeiLiRunBianDongJinE" label="资本公积转增资本（或股本）导致未分配利润变动金额" mulRef="_GBC_57faea4e453e49ad93821b7dd6ce8bc4" unitRef="_GBC_cef77704267643d794145c73763360e5" addr="T0R23C11S1_1" formatStyle="Comma"/>
        <m:item xlName="_GBC_9b0c37fb6ac64d558066a8e623d07e77" concept="clcid-pte:ZiBenGongJiZhuanZengZiBenHuoGuBenDaoZhiQiTaDeGuiShuYuMuGongSiSuoYouZheQuanYiBianDongJinE" label="资本公积转增资本（或股本）导致其他的归属于母公司所有者权益变动金额" mulRef="_GBC_57faea4e453e49ad93821b7dd6ce8bc4" unitRef="_GBC_cef77704267643d794145c73763360e5" addr="T0R23C12S1_1" formatStyle="Comma"/>
        <m:item xlName="_GBC_aceba2c5d3194851bee3cc7c79b1bd42" concept="clcid-pte:ZiBenGongJiZhuanZengZiBenHuoGuBenDaoZhiGuiShuYuMuGongSiSuoYouZheQuanYiBianDongJinE" label="资本公积转增资本（或股本）导致归属于母公司所有者权益变动金额" mulRef="_GBC_57faea4e453e49ad93821b7dd6ce8bc4" unitRef="_GBC_cef77704267643d794145c73763360e5" addr="T0R23C13S1_1" formatStyle="Comma"/>
        <m:item xlName="_GBC_c9757cbc4fa8494da8042507570d49a6" concept="clcid-pte:ZiBenGongJiZhuanZengZiBenHuoGuBenDaoZhiShaoShuGuDongQuanYiBianDongJinE" label="资本公积转增资本（或股本）导致少数股东权益变动金额" mulRef="_GBC_57faea4e453e49ad93821b7dd6ce8bc4" unitRef="_GBC_cef77704267643d794145c73763360e5" addr="T0R23C14S1_1" formatStyle="Comma"/>
        <m:item xlName="_GBC_802060d12bdc4cecae1298de1d168773" concept="clcid-pte:ZiBenGongJiZhuanZengZiBenHuoGuBenDaoZhiGuDongQuanYiHeJiBianDongJinE" label="资本公积转增资本（或股本）导致股东权益合计变动金额" mulRef="_GBC_57faea4e453e49ad93821b7dd6ce8bc4" unitRef="_GBC_cef77704267643d794145c73763360e5" addr="T0R23C15S1_1" formatStyle="Comma"/>
        <m:placeholder xlName="_PLD_15cc23aa9ca343c08333ba7ee1b1325c" wordText="2．盈余公积转增资本（或股本）" addr="T0R24C0S1_1"/>
        <m:item xlName="_GBC_eafb156329a6496f9482adc364a5a048" concept="clcid-pte:YingYuGongJiZhuanZengZiBenHuoGuBenDaoZhiShiShouZiBenHuoGuBenJingEBianDongJinE" label="盈余公积转增资本（或股本）导致实收资本（或股本）净额变动金额" mulRef="_GBC_57faea4e453e49ad93821b7dd6ce8bc4" unitRef="_GBC_cef77704267643d794145c73763360e5" addr="T0R24C1S1_1" formatStyle="Comma"/>
        <m:item xlName="_GBC_9e3c0c833f2f48118bc6cfe19eeda43f" concept="clcid-pte:YingYuGongJiZhuanZengZiBenHuoGuBenDaoZhiQiTaQuanYiGongJuZhongDeYouXianGuBianDongJinE" label="盈余公积转增资本（或股本）导致其他权益工具中的优先股变动金额" mulRef="_GBC_57faea4e453e49ad93821b7dd6ce8bc4" unitRef="_GBC_cef77704267643d794145c73763360e5" addr="T0R24C2S1_1" formatStyle="Comma"/>
        <m:item xlName="_GBC_967122b66e5c4bb18043ad9ec7d070fa" concept="clcid-pte:YingYuGongJiZhuanZengZiBenHuoGuBenDaoZhiQiTaQuanYiGongJuZhongDeYongXuZhaiBianDongJinE" label="盈余公积转增资本（或股本）导致其他权益工具中的永续债变动金额" mulRef="_GBC_57faea4e453e49ad93821b7dd6ce8bc4" unitRef="_GBC_cef77704267643d794145c73763360e5" addr="T0R24C3S1_1" formatStyle="Comma"/>
        <m:item xlName="_GBC_1339ebbd6af84797bf191fd37ce94f45" concept="clcid-pte:YingYuGongJiZhuanZengZiBenHuoGuBenDaoZhiQiTaQuanYiGongJuZhongDeQiTaBianDongJinE" label="盈余公积转增资本（或股本）导致其他权益工具中的其他变动金额" mulRef="_GBC_57faea4e453e49ad93821b7dd6ce8bc4" unitRef="_GBC_cef77704267643d794145c73763360e5" addr="T0R24C4S1_1" formatStyle="Comma"/>
        <m:item xlName="_GBC_ef51fc52e8894e1bac71d48d8f6ad3dd" concept="clcid-pte:YingYuGongJiZhuanZengZiBenHuoGuBenDaoZhiZiBenGongJiBianDongJinE" label="盈余公积转增资本（或股本）导致资本公积变动金额" mulRef="_GBC_57faea4e453e49ad93821b7dd6ce8bc4" unitRef="_GBC_cef77704267643d794145c73763360e5" addr="T0R24C5S1_1" formatStyle="Comma"/>
        <m:item xlName="_GBC_3f4d077e917446aaa06515acff4586c0" concept="clcid-pte:YingYuGongJiZhuanZengZiBenHuoGuBenDaoZhiKuCunGuBianDongJinE" label="盈余公积转增资本（或股本）导致库存股变动金额" mulRef="_GBC_57faea4e453e49ad93821b7dd6ce8bc4" unitRef="_GBC_cef77704267643d794145c73763360e5" addr="T0R24C6S1_1" baseScale="-1" formatStyle="Comma"/>
        <m:item xlName="_GBC_7a651627c18e41d1bb4b51253f0b8481" concept="clcid-pte:YingYuGongJiZhuanZengZiBenHuoGuBenDaoZhiQiTaZongHeShouYiBianDongJinE" label="盈余公积转增资本（或股本）导致其他综合收益变动金额" mulRef="_GBC_57faea4e453e49ad93821b7dd6ce8bc4" unitRef="_GBC_cef77704267643d794145c73763360e5" addr="T0R24C7S1_1" formatStyle="Comma"/>
        <m:item xlName="_GBC_aeef5ec51bf941668bdbf1a7ac2cbbba" concept="clcid-pte:YingYuGongJiZhuanZengZiBenHuoGuBenDaoZhiZhuanXiangChuBeiBianDongJinE" label="盈余公积转增资本（或股本）导致专项储备变动金额" mulRef="_GBC_57faea4e453e49ad93821b7dd6ce8bc4" unitRef="_GBC_cef77704267643d794145c73763360e5" addr="T0R24C8S1_1" formatStyle="Comma"/>
        <m:item xlName="_GBC_e603227d26d34f83890df29603d99081" concept="clcid-pte:YingYuGongJiZhuanZengZiBenHuoGuBenDaoZhiYingYuGongJiBianDongJinE" label="盈余公积转增资本（或股本）导致盈余公积变动金额" mulRef="_GBC_57faea4e453e49ad93821b7dd6ce8bc4" unitRef="_GBC_cef77704267643d794145c73763360e5" addr="T0R24C9S1_1" formatStyle="Comma"/>
        <m:item xlName="_GBC_afb7371014aa48d78542092c6abfdeea" concept="clcid-pte:YingYuGongJiZhuanZengZiBenHuoGuBenDaoZhiYiBanFengXianZhunBeiBianDongJinE" label="盈余公积转增资本（或股本）导致一般风险准备变动金额" mulRef="_GBC_57faea4e453e49ad93821b7dd6ce8bc4" unitRef="_GBC_cef77704267643d794145c73763360e5" addr="T0R24C10S1_1" formatStyle="Comma"/>
        <m:item xlName="_GBC_1457ec50f548478faf72965b35d297f2" concept="clcid-pte:YingYuGongJiZhuanZengZiBenHuoGuBenDaoZhiWeiFenPeiLiRunBianDongJinE" label="盈余公积转增资本（或股本）导致未分配利润变动金额" mulRef="_GBC_57faea4e453e49ad93821b7dd6ce8bc4" unitRef="_GBC_cef77704267643d794145c73763360e5" addr="T0R24C11S1_1" formatStyle="Comma"/>
        <m:item xlName="_GBC_9c817d81de1547268a2448b60c7340d3" concept="clcid-pte:YingYuGongJiZhuanZengZiBenHuoGuBenDaoZhiQiTaDeGuiShuYuMuGongSiSuoYouZheQuanYiBianDongJinE" label="盈余公积转增资本（或股本）导致其他的归属于母公司所有者权益变动金额" mulRef="_GBC_57faea4e453e49ad93821b7dd6ce8bc4" unitRef="_GBC_cef77704267643d794145c73763360e5" addr="T0R24C12S1_1" formatStyle="Comma"/>
        <m:item xlName="_GBC_188d156185dc44b3832bbc102abec8bc" concept="clcid-pte:YingYuGongJiZhuanZengZiBenHuoGuBenDaoZhiGuiShuYuMuGongSiSuoYouZheQuanYiBianDongJinE" label="盈余公积转增资本（或股本）导致归属于母公司所有者权益变动金额" mulRef="_GBC_57faea4e453e49ad93821b7dd6ce8bc4" unitRef="_GBC_cef77704267643d794145c73763360e5" addr="T0R24C13S1_1" formatStyle="Comma"/>
        <m:item xlName="_GBC_76833378c1bf4e77b69829506f1497aa" concept="clcid-pte:YingYuGongJiZhuanZengZiBenHuoGuBenDaoZhiShaoShuGuDongQuanYiBianDongJinE" label="盈余公积转增资本（或股本）导致少数股东权益变动金额" mulRef="_GBC_57faea4e453e49ad93821b7dd6ce8bc4" unitRef="_GBC_cef77704267643d794145c73763360e5" addr="T0R24C14S1_1" formatStyle="Comma"/>
        <m:item xlName="_GBC_efcad2803e7745c680315a90f030d993" concept="clcid-pte:YingYuGongJiZhuanZengZiBenHuoGuBenDaoZhiGuDongQuanYiHeJiBianDongJinE" label="盈余公积转增资本（或股本）导致股东权益合计变动金额" mulRef="_GBC_57faea4e453e49ad93821b7dd6ce8bc4" unitRef="_GBC_cef77704267643d794145c73763360e5" addr="T0R24C15S1_1" formatStyle="Comma"/>
        <m:placeholder xlName="_PLD_9db953ff4eb242bd9b2d516481ce5c51" wordText="3．盈余公积弥补亏损" addr="T0R25C0S1_1"/>
        <m:item xlName="_GBC_d96e675317ec4efda34532e70f5ba775" concept="clcid-pte:YingYuGongJiMiBuKuiSunDaoZhiShiShouZiBenHuoGuBenJingEBianDongJinE" label="盈余公积弥补亏损导致实收资本（或股本）净额变动金额" mulRef="_GBC_57faea4e453e49ad93821b7dd6ce8bc4" unitRef="_GBC_cef77704267643d794145c73763360e5" addr="T0R25C1S1_1" formatStyle="Comma"/>
        <m:item xlName="_GBC_09318c810afc4c57a6e2ec49b1dccdd6" concept="clcid-pte:YingYuGongJiMiBuKuiSunDaoZhiQiTaQuanYiGongJuZhongDeYouXianGuBianDongJinE" label="盈余公积弥补亏损导致其他权益工具中的优先股变动金额" mulRef="_GBC_57faea4e453e49ad93821b7dd6ce8bc4" unitRef="_GBC_cef77704267643d794145c73763360e5" addr="T0R25C2S1_1" formatStyle="Comma"/>
        <m:item xlName="_GBC_b99c057b3bef4910a174eaf8a23b71a2" concept="clcid-pte:YingYuGongJiMiBuKuiSunDaoZhiQiTaQuanYiGongJuZhongDeYongXuZhaiBianDongJinE" label="盈余公积弥补亏损导致其他权益工具中的永续债变动金额" mulRef="_GBC_57faea4e453e49ad93821b7dd6ce8bc4" unitRef="_GBC_cef77704267643d794145c73763360e5" addr="T0R25C3S1_1" formatStyle="Comma"/>
        <m:item xlName="_GBC_e4de9205a8104a4ab26fdce78f098192" concept="clcid-pte:YingYuGongJiMiBuKuiSunDaoZhiQiTaQuanYiGongJuZhongDeQiTaBianDongJinE" label="盈余公积弥补亏损导致其他权益工具中的其他变动金额" mulRef="_GBC_57faea4e453e49ad93821b7dd6ce8bc4" unitRef="_GBC_cef77704267643d794145c73763360e5" addr="T0R25C4S1_1" formatStyle="Comma"/>
        <m:item xlName="_GBC_0f305eb55cfd4724a3da3e5b9e6ce159" concept="clcid-pte:YingYuGongJiMiBuKuiSunDaoZhiZiBenGongJiBianDongJinE" label="盈余公积弥补亏损导致资本公积变动金额" mulRef="_GBC_57faea4e453e49ad93821b7dd6ce8bc4" unitRef="_GBC_cef77704267643d794145c73763360e5" addr="T0R25C5S1_1" formatStyle="Comma"/>
        <m:item xlName="_GBC_c8066994531b4964abd2e795fc785d26" concept="clcid-pte:YingYuGongJiMiBuKuiSunDaoZhiKuCunGuBianDongJinE" label="盈余公积弥补亏损导致库存股变动金额" mulRef="_GBC_57faea4e453e49ad93821b7dd6ce8bc4" unitRef="_GBC_cef77704267643d794145c73763360e5" addr="T0R25C6S1_1" baseScale="-1" formatStyle="Comma"/>
        <m:item xlName="_GBC_7feb6719ffbf4d27bf4d226b105f733e" concept="clcid-pte:YingYuGongJiMiBuKuiSunDaoZhiQiTaZongHeShouYiBianDongJinE" label="盈余公积弥补亏损导致其他综合收益变动金额" mulRef="_GBC_57faea4e453e49ad93821b7dd6ce8bc4" unitRef="_GBC_cef77704267643d794145c73763360e5" addr="T0R25C7S1_1" formatStyle="Comma"/>
        <m:item xlName="_GBC_a8513b3c9ff244ee8db231205a58a5da" concept="clcid-pte:YingYuGongJiMiBuKuiSunDaoZhiZhuanXiangChuBeiBianDongJinE" label="盈余公积弥补亏损导致专项储备变动金额" mulRef="_GBC_57faea4e453e49ad93821b7dd6ce8bc4" unitRef="_GBC_cef77704267643d794145c73763360e5" addr="T0R25C8S1_1" formatStyle="Comma"/>
        <m:item xlName="_GBC_6c65bb6e687949618102adcce004e610" concept="clcid-pte:YingYuGongJiMiBuKuiSunDaoZhiYingYuGongJiBianDongJinE" label="盈余公积弥补亏损导致盈余公积变动金额" mulRef="_GBC_57faea4e453e49ad93821b7dd6ce8bc4" unitRef="_GBC_cef77704267643d794145c73763360e5" addr="T0R25C9S1_1" formatStyle="Comma"/>
        <m:item xlName="_GBC_55729793f9b045ebbf13f1d563ff76ef" concept="clcid-pte:YingYuGongJiMiBuKuiSunDaoZhiYiBanFengXianZhunBeiBianDongJinE" label="盈余公积弥补亏损导致一般风险准备变动金额" mulRef="_GBC_57faea4e453e49ad93821b7dd6ce8bc4" unitRef="_GBC_cef77704267643d794145c73763360e5" addr="T0R25C10S1_1" formatStyle="Comma"/>
        <m:item xlName="_GBC_7e9d220f6b73492c8c024169588a45f4" concept="clcid-pte:YingYuGongJiMiBuKuiSunDaoZhiWeiFenPeiLiRunBianDongJinE" label="盈余公积弥补亏损导致未分配利润变动金额" mulRef="_GBC_57faea4e453e49ad93821b7dd6ce8bc4" unitRef="_GBC_cef77704267643d794145c73763360e5" addr="T0R25C11S1_1" formatStyle="Comma"/>
        <m:item xlName="_GBC_9ba1c6c647c34da2a2d81c91ed68506a" concept="clcid-pte:YingYuGongJiMiBuKuiSunDaoZhiQiTaDeGuiShuYuMuGongSiSuoYouZheQuanYiBianDongJinE" label="盈余公积弥补亏损导致其他的归属于母公司所有者权益变动金额" mulRef="_GBC_57faea4e453e49ad93821b7dd6ce8bc4" unitRef="_GBC_cef77704267643d794145c73763360e5" addr="T0R25C12S1_1" formatStyle="Comma"/>
        <m:item xlName="_GBC_dc775f4abdd64cfea82fbcf0b80bd084" concept="clcid-pte:YingYuGongJiMiBuKuiSunDaoZhiGuiShuYuMuGongSiSuoYouZheQuanYiBianDongJinE" label="盈余公积弥补亏损导致归属于母公司所有者权益变动金额" mulRef="_GBC_57faea4e453e49ad93821b7dd6ce8bc4" unitRef="_GBC_cef77704267643d794145c73763360e5" addr="T0R25C13S1_1" formatStyle="Comma"/>
        <m:item xlName="_GBC_7910ec8ad0634bccae1811d4de7e530a" concept="clcid-pte:YingYuGongJiMiBuKuiSunDaoZhiShaoShuGuDongQuanYiBianDongJinE" label="盈余公积弥补亏损导致少数股东权益变动金额" mulRef="_GBC_57faea4e453e49ad93821b7dd6ce8bc4" unitRef="_GBC_cef77704267643d794145c73763360e5" addr="T0R25C14S1_1" formatStyle="Comma"/>
        <m:item xlName="_GBC_32f8dc3511264106aa43eb99420efb7c" concept="clcid-pte:YingYuGongJiMiBuKuiSunDaoZhiGuDongQuanYiHeJiBianDongJinE" label="盈余公积弥补亏损导致股东权益合计变动金额" mulRef="_GBC_57faea4e453e49ad93821b7dd6ce8bc4" unitRef="_GBC_cef77704267643d794145c73763360e5" addr="T0R25C15S1_1" formatStyle="Comma"/>
        <m:placeholder xlName="_PLD_4cff15a1162840c480701077d824f063" wordText="4．设定受益计划变动额结转留存收益" addr="T0R26C0S1_1"/>
        <m:item xlName="_GBC_911e7d90f6b044cbb6e8e4028f16ea3e" concept="clcid-pte:SheDingShouYiJiHuaBianDongEJieZhuanLiuCunShouYiDaoZhiShiShouZiBenHuoGuBenJingEBianDongJinE" label="设定受益计划变动额结转留存收益导致实收资本（或股本）净额变动金额" mulRef="_GBC_57faea4e453e49ad93821b7dd6ce8bc4" unitRef="_GBC_cef77704267643d794145c73763360e5" addr="T0R26C1S1_1" formatStyle="Comma"/>
        <m:item xlName="_GBC_bfa01499f7964c559b4e4a0735aa0584" concept="clcid-pte:SheDingShouYiJiHuaBianDongEJieZhuanLiuCunShouYiDaoZhiQiTaQuanYiGongJuZhongDeYouXianGuBianDongJinE" label="设定受益计划变动额结转留存收益导致其他权益工具中的优先股变动金额" mulRef="_GBC_57faea4e453e49ad93821b7dd6ce8bc4" unitRef="_GBC_cef77704267643d794145c73763360e5" addr="T0R26C2S1_1" formatStyle="Comma"/>
        <m:item xlName="_GBC_26251ae6737543d985df4cd29cb23b12" concept="clcid-pte:SheDingShouYiJiHuaBianDongEJieZhuanLiuCunShouYiDaoZhiQiTaQuanYiGongJuZhongDeYongXuZhaiBianDongJinE" label="设定受益计划变动额结转留存收益导致其他权益工具中的永续债变动金额" mulRef="_GBC_57faea4e453e49ad93821b7dd6ce8bc4" unitRef="_GBC_cef77704267643d794145c73763360e5" addr="T0R26C3S1_1" formatStyle="Comma"/>
        <m:item xlName="_GBC_e798978cf65f4f3489135e15edb70c98" concept="clcid-pte:SheDingShouYiJiHuaBianDongEJieZhuanLiuCunShouYiDaoZhiQiTaQuanYiGongJuZhongDeQiTaBianDongJinE" label="设定受益计划变动额结转留存收益导致其他权益工具中的其他变动金额" mulRef="_GBC_57faea4e453e49ad93821b7dd6ce8bc4" unitRef="_GBC_cef77704267643d794145c73763360e5" addr="T0R26C4S1_1" formatStyle="Comma"/>
        <m:item xlName="_GBC_6c4249be84124edaa0ab7b37e4d15ed4" concept="clcid-pte:SheDingShouYiJiHuaBianDongEJieZhuanLiuCunShouYiDaoZhiZiBenGongJiBianDongJinE" label="设定受益计划变动额结转留存收益导致资本公积变动金额" mulRef="_GBC_57faea4e453e49ad93821b7dd6ce8bc4" unitRef="_GBC_cef77704267643d794145c73763360e5" addr="T0R26C5S1_1" formatStyle="Comma"/>
        <m:item xlName="_GBC_890c85694dfe49a8a7dda9650b235586" concept="clcid-pte:SheDingShouYiJiHuaBianDongEJieZhuanLiuCunShouYiDaoZhiKuCunGuBianDongJinE" label="设定受益计划变动额结转留存收益导致库存股变动金额" mulRef="_GBC_57faea4e453e49ad93821b7dd6ce8bc4" unitRef="_GBC_cef77704267643d794145c73763360e5" addr="T0R26C6S1_1" baseScale="-1" formatStyle="Comma"/>
        <m:item xlName="_GBC_50aad61937a847f9adc49c1ae4ca4ef3" concept="clcid-pte:SheDingShouYiJiHuaBianDongEJieZhuanLiuCunShouYiDaoZhiQiTaZongHeShouYiBianDongJinE" label="设定受益计划变动额结转留存收益导致其他综合收益变动金额" mulRef="_GBC_57faea4e453e49ad93821b7dd6ce8bc4" unitRef="_GBC_cef77704267643d794145c73763360e5" addr="T0R26C7S1_1" formatStyle="Comma"/>
        <m:item xlName="_GBC_53fc11ff44c145d19fbf14fa75b24f16" concept="clcid-pte:SheDingShouYiJiHuaBianDongEJieZhuanLiuCunShouYiDaoZhiZhuanXiangChuBeiBianDongJinE" label="设定受益计划变动额结转留存收益导致专项储备变动金额" mulRef="_GBC_57faea4e453e49ad93821b7dd6ce8bc4" unitRef="_GBC_cef77704267643d794145c73763360e5" addr="T0R26C8S1_1" formatStyle="Comma"/>
        <m:item xlName="_GBC_62fabfebf1274f71899875748976b069" concept="clcid-pte:SheDingShouYiJiHuaBianDongEJieZhuanLiuCunShouYiDaoZhiYingYuGongJiBianDongJinE" label="设定受益计划变动额结转留存收益导致盈余公积变动金额" mulRef="_GBC_57faea4e453e49ad93821b7dd6ce8bc4" unitRef="_GBC_cef77704267643d794145c73763360e5" addr="T0R26C9S1_1" formatStyle="Comma"/>
        <m:item xlName="_GBC_3ad0085139e6421384702d4457a70428" concept="clcid-pte:SheDingShouYiJiHuaBianDongEJieZhuanLiuCunShouYiDaoZhiYiBanFengXianZhunBeiBianDongJinE" label="设定受益计划变动额结转留存收益导致一般风险准备变动金额" mulRef="_GBC_57faea4e453e49ad93821b7dd6ce8bc4" unitRef="_GBC_cef77704267643d794145c73763360e5" addr="T0R26C10S1_1" formatStyle="Comma"/>
        <m:item xlName="_GBC_de37262bb83942f6a9a60f16fc85948e" concept="clcid-pte:SheDingShouYiJiHuaBianDongEJieZhuanLiuCunShouYiDaoZhiWeiFenPeiLiRunBianDongJinE" label="设定受益计划变动额结转留存收益导致未分配利润变动金额" mulRef="_GBC_57faea4e453e49ad93821b7dd6ce8bc4" unitRef="_GBC_cef77704267643d794145c73763360e5" addr="T0R26C11S1_1" formatStyle="Comma"/>
        <m:item xlName="_GBC_b4a9d12f82c34372b9c9b22441088ac7" concept="clcid-pte:SheDingShouYiJiHuaBianDongEJieZhuanLiuCunShouYiDaoZhiQiTaDeGuiShuYuMuGongSiSuoYouZheQuanYiBianDongJinE" label="设定受益计划变动额结转留存收益导致其他的归属于母公司所有者权益变动金额" mulRef="_GBC_57faea4e453e49ad93821b7dd6ce8bc4" unitRef="_GBC_cef77704267643d794145c73763360e5" addr="T0R26C12S1_1" formatStyle="Comma"/>
        <m:item xlName="_GBC_96834e57cba149f1ac572cb96519ce6e" concept="clcid-pte:SheDingShouYiJiHuaBianDongEJieZhuanLiuCunShouYiDaoZhiGuiShuYuMuGongSiSuoYouZheQuanYiBianDongJinE" label="设定受益计划变动额结转留存收益导致归属于母公司所有者权益变动金额" mulRef="_GBC_57faea4e453e49ad93821b7dd6ce8bc4" unitRef="_GBC_cef77704267643d794145c73763360e5" addr="T0R26C13S1_1" formatStyle="Comma"/>
        <m:item xlName="_GBC_17b954cd80564784b23f69332b656874" concept="clcid-pte:SheDingShouYiJiHuaBianDongEJieZhuanLiuCunShouYiDaoZhiShaoShuGuDongQuanYiBianDongJinE" label="设定受益计划变动额结转留存收益导致少数股东权益变动金额" mulRef="_GBC_57faea4e453e49ad93821b7dd6ce8bc4" unitRef="_GBC_cef77704267643d794145c73763360e5" addr="T0R26C14S1_1" formatStyle="Comma"/>
        <m:item xlName="_GBC_2de1b0603dc846df86c98774e18a086f" concept="clcid-pte:SheDingShouYiJiHuaBianDongEJieZhuanLiuCunShouYiDaoZhiGuDongQuanYiHeJiBianDongJinE" label="设定受益计划变动额结转留存收益导致股东权益合计变动金额" mulRef="_GBC_57faea4e453e49ad93821b7dd6ce8bc4" unitRef="_GBC_cef77704267643d794145c73763360e5" addr="T0R26C15S1_1" formatStyle="Comma"/>
        <m:placeholder xlName="_PLD_01b44dab85214948b610b65ce91a85dd" wordText="5．其他综合收益结转留存收益" addr="T0R27C0S1_1"/>
        <m:item xlName="_GBC_4a7bd6293f2740a3bac080a52c0e5196" concept="clcid-pte:QiTaZongHeShouYiJieZhuanLiuCunShouYiDaoZhiShiShouZiBenHuoGuBenJingEBianDongJinE" label="其他综合收益结转留存收益导致实收资本（或股本）净额变动金额" mulRef="_GBC_57faea4e453e49ad93821b7dd6ce8bc4" unitRef="_GBC_cef77704267643d794145c73763360e5" addr="T0R27C1S1_1" formatStyle="Comma"/>
        <m:item xlName="_GBC_fb32477ae1bc4bbeb40253c83eb45521" concept="clcid-pte:QiTaZongHeShouYiJieZhuanLiuCunShouYiDaoZhiQiTaQuanYiGongJuZhongDeYouXianGuBianDongJinE" label="其他综合收益结转留存收益导致其他权益工具中的优先股变动金额" mulRef="_GBC_57faea4e453e49ad93821b7dd6ce8bc4" unitRef="_GBC_cef77704267643d794145c73763360e5" addr="T0R27C2S1_1" formatStyle="Comma"/>
        <m:item xlName="_GBC_b161acbc68244a5581bff85423fd9095" concept="clcid-pte:QiTaZongHeShouYiJieZhuanLiuCunShouYiDaoZhiQiTaQuanYiGongJuZhongDeYongXuZhaiBianDongJinE" label="其他综合收益结转留存收益导致其他权益工具中的永续债变动金额" mulRef="_GBC_57faea4e453e49ad93821b7dd6ce8bc4" unitRef="_GBC_cef77704267643d794145c73763360e5" addr="T0R27C3S1_1" formatStyle="Comma"/>
        <m:item xlName="_GBC_12f27dace800483aa9c150b420f04a8c" concept="clcid-pte:QiTaZongHeShouYiJieZhuanLiuCunShouYiDaoZhiQiTaQuanYiGongJuZhongDeQiTaBianDongJinE" label="其他综合收益结转留存收益导致其他权益工具中的其他变动金额" mulRef="_GBC_57faea4e453e49ad93821b7dd6ce8bc4" unitRef="_GBC_cef77704267643d794145c73763360e5" addr="T0R27C4S1_1" formatStyle="Comma"/>
        <m:item xlName="_GBC_e0189b19960f41ee8d58382bb543fcbf" concept="clcid-pte:QiTaZongHeShouYiJieZhuanLiuCunShouYiDaoZhiZiBenGongJiBianDongJinE" label="其他综合收益结转留存收益导致资本公积变动金额" mulRef="_GBC_57faea4e453e49ad93821b7dd6ce8bc4" unitRef="_GBC_cef77704267643d794145c73763360e5" addr="T0R27C5S1_1" formatStyle="Comma"/>
        <m:item xlName="_GBC_8ef921194721437f846689584ba7e880" concept="clcid-pte:QiTaZongHeShouYiJieZhuanLiuCunShouYiDaoZhiKuCunGuBianDongJinE" label="其他综合收益结转留存收益导致库存股变动金额" mulRef="_GBC_57faea4e453e49ad93821b7dd6ce8bc4" unitRef="_GBC_cef77704267643d794145c73763360e5" addr="T0R27C6S1_1" baseScale="-1" formatStyle="Comma"/>
        <m:item xlName="_GBC_8b999a2319f9472e8d486f1f0f6dd34f" concept="clcid-pte:QiTaZongHeShouYiJieZhuanLiuCunShouYiDaoZhiQiTaZongHeShouYiBianDongJinE" label="其他综合收益结转留存收益导致其他综合收益变动金额" mulRef="_GBC_57faea4e453e49ad93821b7dd6ce8bc4" unitRef="_GBC_cef77704267643d794145c73763360e5" addr="T0R27C7S1_1" formatStyle="Comma"/>
        <m:item xlName="_GBC_5c2d69439f8344a5a496a10b05e878ec" concept="clcid-pte:QiTaZongHeShouYiJieZhuanLiuCunShouYiDaoZhiZhuanXiangChuBeiBianDongJinE" label="其他综合收益结转留存收益导致专项储备变动金额" mulRef="_GBC_57faea4e453e49ad93821b7dd6ce8bc4" unitRef="_GBC_cef77704267643d794145c73763360e5" addr="T0R27C8S1_1" formatStyle="Comma"/>
        <m:item xlName="_GBC_18788e1e5b5c4aae8256678c0bb00a53" concept="clcid-pte:QiTaZongHeShouYiJieZhuanLiuCunShouYiDaoZhiYingYuGongJiBianDongJinE" label="其他综合收益结转留存收益导致盈余公积变动金额" mulRef="_GBC_57faea4e453e49ad93821b7dd6ce8bc4" unitRef="_GBC_cef77704267643d794145c73763360e5" addr="T0R27C9S1_1" formatStyle="Comma"/>
        <m:item xlName="_GBC_dfc71c14bd45447aafd2dfe511900909" concept="clcid-pte:QiTaZongHeShouYiJieZhuanLiuCunShouYiDaoZhiYiBanFengXianZhunBeiBianDongJinE" label="其他综合收益结转留存收益导致一般风险准备变动金额" mulRef="_GBC_57faea4e453e49ad93821b7dd6ce8bc4" unitRef="_GBC_cef77704267643d794145c73763360e5" addr="T0R27C10S1_1" formatStyle="Comma"/>
        <m:item xlName="_GBC_76877e5c2aa54ca9b3f0e3d2d4396e9d" concept="clcid-pte:QiTaZongHeShouYiJieZhuanLiuCunShouYiDaoZhiWeiFenPeiLiRunBianDongJinE" label="其他综合收益结转留存收益导致未分配利润变动金额" mulRef="_GBC_57faea4e453e49ad93821b7dd6ce8bc4" unitRef="_GBC_cef77704267643d794145c73763360e5" addr="T0R27C11S1_1" formatStyle="Comma"/>
        <m:item xlName="_GBC_5cbc9e7314be43aeac6618b866032f31" concept="clcid-pte:QiTaZongHeShouYiJieZhuanLiuCunShouYiDaoZhiQiTaDeGuiShuYuMuGongSiSuoYouZheQuanYiBianDongJinE" label="其他综合收益结转留存收益导致其他的归属于母公司所有者权益变动金额" mulRef="_GBC_57faea4e453e49ad93821b7dd6ce8bc4" unitRef="_GBC_cef77704267643d794145c73763360e5" addr="T0R27C12S1_1" formatStyle="Comma"/>
        <m:item xlName="_GBC_0136018f07cc4a309bd97d5a85306b66" concept="clcid-pte:QiTaZongHeShouYiJieZhuanLiuCunShouYiDaoZhiGuiShuYuMuGongSiSuoYouZheQuanYiBianDongJinE" label="其他综合收益结转留存收益导致归属于母公司所有者权益变动金额" mulRef="_GBC_57faea4e453e49ad93821b7dd6ce8bc4" unitRef="_GBC_cef77704267643d794145c73763360e5" addr="T0R27C13S1_1" formatStyle="Comma"/>
        <m:item xlName="_GBC_cc98fd706abe429c9250ccca7de4822b" concept="clcid-pte:QiTaZongHeShouYiJieZhuanLiuCunShouYiDaoZhiShaoShuGuDongQuanYiBianDongJinE" label="其他综合收益结转留存收益导致少数股东权益变动金额" mulRef="_GBC_57faea4e453e49ad93821b7dd6ce8bc4" unitRef="_GBC_cef77704267643d794145c73763360e5" addr="T0R27C14S1_1" formatStyle="Comma"/>
        <m:item xlName="_GBC_1a9e19505c664085900a1f04e2c3d613" concept="clcid-pte:QiTaZongHeShouYiJieZhuanLiuCunShouYiDaoZhiGuDongQuanYiHeJiBianDongJinE" label="其他综合收益结转留存收益导致股东权益合计变动金额" mulRef="_GBC_57faea4e453e49ad93821b7dd6ce8bc4" unitRef="_GBC_cef77704267643d794145c73763360e5" addr="T0R27C15S1_1" formatStyle="Comma"/>
        <m:placeholder xlName="_PLD_3ac599075bf24593ba41b1bec2fb0e9e" wordText="6．其他" addr="T0R28C0S1_1"/>
        <m:item xlName="_GBC_993a05505fb94d0a91b089558de44fce" concept="clcid-pte:QiTaSuoYouZheQuanYiNeiBuJieZhuanDaoZhiShiShouZiBenHuoGuBenJingEBianDongJinE" label="其他所有者权益内部结转导致实收资本（或股本）净额变动金额" mulRef="_GBC_57faea4e453e49ad93821b7dd6ce8bc4" unitRef="_GBC_cef77704267643d794145c73763360e5" addr="T0R28C1S1_1" formatStyle="Comma"/>
        <m:item xlName="_GBC_30ced917bd09466a872975e748eb6c4c" concept="clcid-pte:QiTaSuoYouZheQuanYiNeiBuJieZhuanDaoZhiQiTaQuanYiGongJuZhongDeYouXianGuBianDongJinE" label="其他所有者权益内部结转导致其他权益工具中的优先股变动金额" mulRef="_GBC_57faea4e453e49ad93821b7dd6ce8bc4" unitRef="_GBC_cef77704267643d794145c73763360e5" addr="T0R28C2S1_1" formatStyle="Comma"/>
        <m:item xlName="_GBC_a1d305b59dad491fb4f8ffaee3f65c31" concept="clcid-pte:QiTaSuoYouZheQuanYiNeiBuJieZhuanDaoZhiQiTaQuanYiGongJuZhongDeYongXuZhaiBianDongJinE" label="其他所有者权益内部结转导致其他权益工具中的永续债变动金额" mulRef="_GBC_57faea4e453e49ad93821b7dd6ce8bc4" unitRef="_GBC_cef77704267643d794145c73763360e5" addr="T0R28C3S1_1" formatStyle="Comma"/>
        <m:item xlName="_GBC_8b0d1f8f99544f028fa985218415c815" concept="clcid-pte:QiTaSuoYouZheQuanYiNeiBuJieZhuanDaoZhiQiTaQuanYiGongJuZhongDeQiTaBianDongJinE" label="其他所有者权益内部结转导致其他权益工具中的其他变动金额" mulRef="_GBC_57faea4e453e49ad93821b7dd6ce8bc4" unitRef="_GBC_cef77704267643d794145c73763360e5" addr="T0R28C4S1_1" formatStyle="Comma"/>
        <m:item xlName="_GBC_b3e8148d69e140a38d69919d1cdbc100" concept="clcid-pte:QiTaSuoYouZheQuanYiNeiBuJieZhuanDaoZhiZiBenGongJiBianDongJinE" label="其他所有者权益内部结转导致资本公积变动金额" mulRef="_GBC_57faea4e453e49ad93821b7dd6ce8bc4" unitRef="_GBC_cef77704267643d794145c73763360e5" addr="T0R28C5S1_1" formatStyle="Comma"/>
        <m:item xlName="_GBC_31ff889b6ab543d786bec743890ada88" concept="clcid-pte:QiTaSuoYouZheQuanYiNeiBuJieZhuanDaoZhiKuCunGuBianDongJinE" label="其他所有者权益内部结转导致库存股变动金额" mulRef="_GBC_57faea4e453e49ad93821b7dd6ce8bc4" unitRef="_GBC_cef77704267643d794145c73763360e5" addr="T0R28C6S1_1" baseScale="-1" formatStyle="Comma"/>
        <m:item xlName="_GBC_1327b06c5d2a4f9d9202c9da9c7866be" concept="clcid-pte:QiTaSuoYouZheQuanYiNeiBuJieZhuanDaoZhiQiTaZongHeShouYiBianDongJinE" label="其他所有者权益内部结转导致其他综合收益变动金额" mulRef="_GBC_57faea4e453e49ad93821b7dd6ce8bc4" unitRef="_GBC_cef77704267643d794145c73763360e5" addr="T0R28C7S1_1" formatStyle="Comma"/>
        <m:item xlName="_GBC_8537b8b65c31492cafa3df2e5f6b2270" concept="clcid-pte:QiTaSuoYouZheQuanYiNeiBuJieZhuanDaoZhiZhuanXiangChuBeiBianDongJinE" label="其他所有者权益内部结转导致专项储备变动金额" mulRef="_GBC_57faea4e453e49ad93821b7dd6ce8bc4" unitRef="_GBC_cef77704267643d794145c73763360e5" addr="T0R28C8S1_1" formatStyle="Comma"/>
        <m:item xlName="_GBC_1e683fbc4e874f78acc210e3973075ff" concept="clcid-pte:QiTaSuoYouZheQuanYiNeiBuJieZhuanDaoZhiYingYuGongJiBianDongJinE" label="其他所有者权益内部结转导致盈余公积变动金额" mulRef="_GBC_57faea4e453e49ad93821b7dd6ce8bc4" unitRef="_GBC_cef77704267643d794145c73763360e5" addr="T0R28C9S1_1" formatStyle="Comma"/>
        <m:item xlName="_GBC_1e447db81e79459ea9ae88a55c127eb2" concept="clcid-pte:QiTaSuoYouZheQuanYiNeiBuJieZhuanDaoZhiYiBanFengXianZhunBeiBianDongJinE" label="其他所有者权益内部结转导致一般风险准备变动金额" mulRef="_GBC_57faea4e453e49ad93821b7dd6ce8bc4" unitRef="_GBC_cef77704267643d794145c73763360e5" addr="T0R28C10S1_1" formatStyle="Comma"/>
        <m:item xlName="_GBC_15b900d7e5b743379bc6f99e862d2a52" concept="clcid-pte:QiTaSuoYouZheQuanYiNeiBuJieZhuanDaoZhiWeiFenPeiLiRunBianDongJinE" label="其他所有者权益内部结转导致未分配利润变动金额" mulRef="_GBC_57faea4e453e49ad93821b7dd6ce8bc4" unitRef="_GBC_cef77704267643d794145c73763360e5" addr="T0R28C11S1_1" formatStyle="Comma"/>
        <m:item xlName="_GBC_aba2d919a43441359ce4961594d3cc61" concept="clcid-pte:QiTaSuoYouZheQuanYiNeiBuJieZhuanDaoZhiQiTaDeGuiShuYuMuGongSiSuoYouZheQuanYiBianDongJinE" label="其他所有者权益内部结转导致其他的归属于母公司所有者权益变动金额" mulRef="_GBC_57faea4e453e49ad93821b7dd6ce8bc4" unitRef="_GBC_cef77704267643d794145c73763360e5" addr="T0R28C12S1_1" formatStyle="Comma"/>
        <m:item xlName="_GBC_2b62dc5fc410419391530911e0d92b3c" concept="clcid-pte:QiTaSuoYouZheQuanYiNeiBuJieZhuanDaoZhiGuiShuYuMuGongSiSuoYouZheQuanYiBianDongJinE" label="其他所有者权益内部结转导致归属于母公司所有者权益变动金额" mulRef="_GBC_57faea4e453e49ad93821b7dd6ce8bc4" unitRef="_GBC_cef77704267643d794145c73763360e5" addr="T0R28C13S1_1" formatStyle="Comma"/>
        <m:item xlName="_GBC_eb121ed57c134598ba34e05bc7068c78" concept="clcid-pte:QiTaSuoYouZheQuanYiNeiBuJieZhuanDaoZhiShaoShuGuDongQuanYiBianDongJinE" label="其他所有者权益内部结转导致少数股东权益变动金额" mulRef="_GBC_57faea4e453e49ad93821b7dd6ce8bc4" unitRef="_GBC_cef77704267643d794145c73763360e5" addr="T0R28C14S1_1" formatStyle="Comma"/>
        <m:item xlName="_GBC_ff2ac4e17c494d679e38c2b242677a3b" concept="clcid-pte:QiTaSuoYouZheQuanYiNeiBuJieZhuanDaoZhiGuDongQuanYiHeJiBianDongJinE" label="其他所有者权益内部结转导致股东权益合计变动金额" mulRef="_GBC_57faea4e453e49ad93821b7dd6ce8bc4" unitRef="_GBC_cef77704267643d794145c73763360e5" addr="T0R28C15S1_1" formatStyle="Comma"/>
        <m:placeholder xlName="_PLD_e606d8680d944e6999b3743f1fcf75f9" wordText="（五）专项储备" addr="T0R29C0S1_1"/>
        <m:item xlName="_GBC_c9d16507d5e04809a149be4791a1cbe4" concept="clcid-pte:ZhuanXiangChuBeiDaoZhiShiShouZiBenHuoGuBenJingEBianDongJinE" label="专项储备导致实收资本（或股本）净额变动金额" mulRef="_GBC_57faea4e453e49ad93821b7dd6ce8bc4" unitRef="_GBC_cef77704267643d794145c73763360e5" addr="T0R29C1S1_1" formatStyle="Comma">
          <m:complexRule comparator="Eq" title="专项储备导致实收资本（或股本）净额变动金额" test=" $_GBC_5943d6f9e110433ba6d32b301772a41c -  $_GBC_181f958547c3487b8d0f482393652a1d" id="C8f83cc918bc046fba08345de502a29e2" radius="0.0001"/>
        </m:item>
        <m:item xlName="_GBC_ffdcc01a63e64680ba9e018c38188b74" concept="clcid-pte:ZhuanXiangChuBeiDaoZhiQiTaQuanYiGongJuZhongDeYouXianGuBianDongJinE" label="专项储备导致其他权益工具中的优先股变动金额" mulRef="_GBC_57faea4e453e49ad93821b7dd6ce8bc4" unitRef="_GBC_cef77704267643d794145c73763360e5" addr="T0R29C2S1_1" formatStyle="Comma">
          <m:complexRule comparator="Eq" title="专项储备导致其他权益工具中的优先股变动金额" test=" $_GBC_745ab7ca94ce41e5b9b163959af42c3a -  $_GBC_4a60a5cbdbd7489eac24f74790eeedcf" id="Cbd374c3c84414edc9c3052419c46d027"/>
        </m:item>
        <m:item xlName="_GBC_f6223f79a5204e25a073dfab012bc568" concept="clcid-pte:ZhuanXiangChuBeiDaoZhiQiTaQuanYiGongJuZhongDeYongXuZhaiBianDongJinE" label="专项储备导致其他权益工具中的永续债变动金额" mulRef="_GBC_57faea4e453e49ad93821b7dd6ce8bc4" unitRef="_GBC_cef77704267643d794145c73763360e5" addr="T0R29C3S1_1" formatStyle="Comma">
          <m:complexRule comparator="Eq" title="专项储备导致其他权益工具中的永续债变动金额" test=" $_GBC_a09e546157f140b383c2debce584952b -  $_GBC_97e5e1aafe41412c92f472e0641c5f3a" id="C22c6b3d48c1643fc97a9eabc9a268b98"/>
        </m:item>
        <m:item xlName="_GBC_b4270cf652e14eff96a44803f10354c5" concept="clcid-pte:ZhuanXiangChuBeiDaoZhiQiTaQuanYiGongJuZhongDeQiTaBianDongJinE" label="专项储备导致其他权益工具中的其他变动金额" mulRef="_GBC_57faea4e453e49ad93821b7dd6ce8bc4" unitRef="_GBC_cef77704267643d794145c73763360e5" addr="T0R29C4S1_1" formatStyle="Comma">
          <m:complexRule comparator="Eq" title="专项储备导致其他权益工具中的其他变动金额" test=" $_GBC_b0788bf7232345f99bcefe7abd3887de -  $_GBC_f8c42e4ec5df4ba2a71abf1993891c7b" id="C4ced8588c9f64e6fbf65ad75beea6e33"/>
        </m:item>
        <m:item xlName="_GBC_85909a9b6b044b4b955d3d9ab1d6abf4" concept="clcid-pte:ZhuanXiangChuBeiDaoZhiZiBenGongJiBianDongJinE" label="专项储备导致资本公积变动金额" mulRef="_GBC_57faea4e453e49ad93821b7dd6ce8bc4" unitRef="_GBC_cef77704267643d794145c73763360e5" addr="T0R29C5S1_1" formatStyle="Comma">
          <m:complexRule comparator="Eq" title="专项储备导致资本公积变动金额" test=" $_GBC_5ce5420a8f8044179effbd41cd21056a -  $_GBC_8302d0f9213046c7bb18b6fd11345d5d" id="Ca0014209a8db42c78afee0ecfe7d6cbc" radius="0.0001"/>
        </m:item>
        <m:item xlName="_GBC_ffe942cd7f31460b85bb829e33644b01" concept="clcid-pte:ZhuanXiangChuBeiDaoZhiKuCunGuBianDongJinE" label="专项储备导致库存股变动金额" mulRef="_GBC_57faea4e453e49ad93821b7dd6ce8bc4" unitRef="_GBC_cef77704267643d794145c73763360e5" addr="T0R29C6S1_1" baseScale="-1" formatStyle="Comma">
          <m:complexRule comparator="Eq" title="专项储备导致库存股变动金额" test=" $_GBC_539f314cd0dd4f23aa43185d5259b218 -  $_GBC_48f8f2f981b6428d88261e28193ee014" id="C7f58f7fb5ee747358db47511f8042956" radius="0.0001"/>
        </m:item>
        <m:item xlName="_GBC_3263be153d654d1e827de1316e802d39" concept="clcid-pte:ZhuanXiangChuBeiDaoZhiQiTaZongHeShouYiBianDongJinE" label="专项储备导致其他综合收益变动金额" mulRef="_GBC_57faea4e453e49ad93821b7dd6ce8bc4" unitRef="_GBC_cef77704267643d794145c73763360e5" addr="T0R29C7S1_1" formatStyle="Comma">
          <m:complexRule comparator="Eq" title="专项储备导致其他综合收益变动金额" test=" $_GBC_fb2739bf512340e89a7c603058291c46 -  $_GBC_76623c3fca5e4e14a3a2d795667238c9" id="Cff32badbe3354ed7bcbb3e0a89c12cbc"/>
        </m:item>
        <m:item xlName="_GBC_51eb699af9f544c2942a76cd9e5ab725" concept="clcid-pte:ZhuanXiangChuBeiDaoZhiZhuanXiangChuBeiBianDongJinE" label="专项储备导致专项储备变动金额" mulRef="_GBC_57faea4e453e49ad93821b7dd6ce8bc4" unitRef="_GBC_cef77704267643d794145c73763360e5" addr="T0R29C8S1_1" formatStyle="Comma">
          <m:complexRule comparator="Eq" title="专项储备导致专项储备变动金额" test=" $_GBC_d46f191fd6f6473fa4f9fe48aaa3d6fe -  $_GBC_307af4786ea04342a04cbef490744027" id="Ccd898491c5ec4153905b8d14300bfbba"/>
        </m:item>
        <m:item xlName="_GBC_d688ef4618e44be898cf238d3284e7ab" concept="clcid-pte:ZhuanXiangChuBeiDaoZhiYingYuGongJiBianDongJinE" label="专项储备导致盈余公积变动金额" mulRef="_GBC_57faea4e453e49ad93821b7dd6ce8bc4" unitRef="_GBC_cef77704267643d794145c73763360e5" addr="T0R29C9S1_1" formatStyle="Comma">
          <m:complexRule comparator="Eq" title="专项储备导致盈余公积变动金额" test=" $_GBC_fea303d886784e44a17415b1abcdc373 -  $_GBC_e8d41a46bdc34e939cc6d8474ee56225" id="C73567615102244ff8e7aa1fd35df122a"/>
        </m:item>
        <m:item xlName="_GBC_13714ffe59d646fab9a9214003d103c1" concept="clcid-pte:ZhuanXiangChuBeiDaoZhiYiBanFengXianZhunBeiBianDongJinE" label="专项储备导致一般风险准备变动金额" mulRef="_GBC_57faea4e453e49ad93821b7dd6ce8bc4" unitRef="_GBC_cef77704267643d794145c73763360e5" addr="T0R29C10S1_1" formatStyle="Comma">
          <m:complexRule comparator="Eq" title="专项储备导致一般风险准备变动金额" test=" $_GBC_4a355c586cdb4a24ad65d4bfc3c0a871 -  $_GBC_bf9b1f48565a45e499157785ccb0ef95" id="C7617ce31613246859d1eef0a18b54ae7"/>
        </m:item>
        <m:item xlName="_GBC_b3c55ba0245f4f9e879adff9f674b33b" concept="clcid-pte:ZhuanXiangChuBeiDaoZhiWeiFenPeiLiRunBianDongJinE" label="专项储备导致未分配利润变动金额" mulRef="_GBC_57faea4e453e49ad93821b7dd6ce8bc4" unitRef="_GBC_cef77704267643d794145c73763360e5" addr="T0R29C11S1_1" formatStyle="Comma">
          <m:complexRule comparator="Eq" title="专项储备导致未分配利润变动金额" test=" $_GBC_d9098bf5b2fe46a29aa0456b4e78629c -  $_GBC_ca8e929a2134411cbc3cc6b7af3a4309" id="Cd38b4fe5efb0420b93643b0e39992d54"/>
        </m:item>
        <m:item xlName="_GBC_299b9b5b3c0946e6bc9a96e347eba66e" concept="clcid-pte:ZhuanXiangChuBeiDaoZhiQiTaDeGuiShuYuMuGongSiSuoYouZheQuanYiBianDongJinE" label="专项储备导致其他的归属于母公司所有者权益变动金额" mulRef="_GBC_57faea4e453e49ad93821b7dd6ce8bc4" unitRef="_GBC_cef77704267643d794145c73763360e5" addr="T0R29C12S1_1" formatStyle="Comma">
          <m:complexRule comparator="Eq" title="专项储备导致其他的归属于母公司所有者权益变动金额" test=" $_GBC_0e74b3a100db4c1b9ac099a01b624883 -  $_GBC_d4a4a9a4005f41fcb889efcbd03ab1f6" id="C1d1696ab58a54abb8b36b8568318c1b4"/>
        </m:item>
        <m:item xlName="_GBC_bf36c92d2100454ba6456d99f2f09976" concept="clcid-pte:ZhuanXiangChuBeiDaoZhiGuiShuYuMuGongSiSuoYouZheQuanYiBianDongJinE" label="专项储备导致归属于母公司所有者权益变动金额" mulRef="_GBC_57faea4e453e49ad93821b7dd6ce8bc4" unitRef="_GBC_cef77704267643d794145c73763360e5" addr="T0R29C13S1_1" formatStyle="Comma">
          <m:complexRule comparator="Eq" title="专项储备导致归属于母公司所有者权益变动金额小计" test=" $_GBC_df9326290446425fa59df317b0492483 -  $_GBC_694b288e8a2f41639d460c2f367c9907" id="Ca947b0b13acb4b6cb2b4be6ec8995686"/>
        </m:item>
        <m:item xlName="_GBC_57f00c8cf4934893bda6aabfc8918860" concept="clcid-pte:ZhuanXiangChuBeiDaoZhiShaoShuGuDongQuanYiBianDongJinE" label="专项储备导致少数股东权益变动金额" mulRef="_GBC_57faea4e453e49ad93821b7dd6ce8bc4" unitRef="_GBC_cef77704267643d794145c73763360e5" addr="T0R29C14S1_1" formatStyle="Comma">
          <m:complexRule comparator="Eq" title="专项储备导致少数股东权益变动金额" test=" $_GBC_ad3e34e8c7064476af7b26b151447582 -  $_GBC_f22ea241b06a4e85be4b9f2cb67f7ea7" id="C54187ecca5c24c44928ca1560890b1f4"/>
        </m:item>
        <m:item xlName="_GBC_0a42c029915d40a6b89b0bba799c34a8" concept="clcid-pte:ZhuanXiangChuBeiDaoZhiGuDongQuanYiHeJiBianDongJinE" label="专项储备导致股东权益合计变动金额" mulRef="_GBC_57faea4e453e49ad93821b7dd6ce8bc4" unitRef="_GBC_cef77704267643d794145c73763360e5" addr="T0R29C15S1_1" formatStyle="Comma">
          <m:complexRule comparator="Eq" title="专项储备导致股东权益合计变动金额" test=" $_GBC_ff0bd11df77f4802a79de7771699b65a -  $_GBC_0dc6a35cff074cf992bff4c0627a3f72" id="Cb6265583e6e244bc991097b4b8fa7383"/>
        </m:item>
        <m:placeholder xlName="_PLD_c1e7a107b4eb42c48000b98a786d499c" wordText="1．本期提取" addr="T0R30C0S1_1"/>
        <m:item xlName="_GBC_5943d6f9e110433ba6d32b301772a41c" concept="clcid-pte:TiQuDaoZhiShiShouZiBenHuoGuBenJingEBianDongJinE" label="提取导致实收资本（或股本）净额变动金额" mulRef="_GBC_57faea4e453e49ad93821b7dd6ce8bc4" unitRef="_GBC_cef77704267643d794145c73763360e5" addr="T0R30C1S1_1" formatStyle="Comma"/>
        <m:item xlName="_GBC_745ab7ca94ce41e5b9b163959af42c3a" concept="clcid-pte:TiQuDaoZhiQiTaQuanYiGongJuZhongDeYouXianGuBianDongJinE" label="提取导致其他权益工具中的优先股变动金额" mulRef="_GBC_57faea4e453e49ad93821b7dd6ce8bc4" unitRef="_GBC_cef77704267643d794145c73763360e5" addr="T0R30C2S1_1" formatStyle="Comma"/>
        <m:item xlName="_GBC_a09e546157f140b383c2debce584952b" concept="clcid-pte:TiQuDaoZhiQiTaQuanYiGongJuZhongDeYongXuZhaiBianDongJinE" label="提取导致其他权益工具中的永续债变动金额" mulRef="_GBC_57faea4e453e49ad93821b7dd6ce8bc4" unitRef="_GBC_cef77704267643d794145c73763360e5" addr="T0R30C3S1_1" formatStyle="Comma"/>
        <m:item xlName="_GBC_b0788bf7232345f99bcefe7abd3887de" concept="clcid-pte:TiQuDaoZhiQiTaQuanYiGongJuZhongDeQiTaBianDongJinE" label="提取导致其他权益工具中的其他变动金额" mulRef="_GBC_57faea4e453e49ad93821b7dd6ce8bc4" unitRef="_GBC_cef77704267643d794145c73763360e5" addr="T0R30C4S1_1" formatStyle="Comma"/>
        <m:item xlName="_GBC_5ce5420a8f8044179effbd41cd21056a" concept="clcid-pte:TiQuDaoZhiZiBenGongJiBianDongJinE" label="提取导致资本公积变动金额" mulRef="_GBC_57faea4e453e49ad93821b7dd6ce8bc4" unitRef="_GBC_cef77704267643d794145c73763360e5" addr="T0R30C5S1_1" formatStyle="Comma"/>
        <m:item xlName="_GBC_539f314cd0dd4f23aa43185d5259b218" concept="clcid-pte:TiQuDaoZhiKuCunGuBianDongJinE" label="提取导致库存股变动金额" mulRef="_GBC_57faea4e453e49ad93821b7dd6ce8bc4" unitRef="_GBC_cef77704267643d794145c73763360e5" addr="T0R30C6S1_1" baseScale="-1" formatStyle="Comma"/>
        <m:item xlName="_GBC_fb2739bf512340e89a7c603058291c46" concept="clcid-pte:TiQuDaoZhiQiTaZongHeShouYiBianDongJinE" label="提取导致其他综合收益变动金额" mulRef="_GBC_57faea4e453e49ad93821b7dd6ce8bc4" unitRef="_GBC_cef77704267643d794145c73763360e5" addr="T0R30C7S1_1" formatStyle="Comma"/>
        <m:item xlName="_GBC_d46f191fd6f6473fa4f9fe48aaa3d6fe" concept="clcid-pte:TiQuDaoZhiZhuanXiangChuBeiBianDongJinE" label="提取导致专项储备变动金额" mulRef="_GBC_57faea4e453e49ad93821b7dd6ce8bc4" unitRef="_GBC_cef77704267643d794145c73763360e5" addr="T0R30C8S1_1" formatStyle="Comma"/>
        <m:item xlName="_GBC_fea303d886784e44a17415b1abcdc373" concept="clcid-pte:TiQuDaoZhiYingYuGongJiBianDongJinE" label="提取导致盈余公积变动金额" mulRef="_GBC_57faea4e453e49ad93821b7dd6ce8bc4" unitRef="_GBC_cef77704267643d794145c73763360e5" addr="T0R30C9S1_1" formatStyle="Comma"/>
        <m:item xlName="_GBC_4a355c586cdb4a24ad65d4bfc3c0a871" concept="clcid-pte:TiQuDaoZhiYiBanFengXianZhunBeiBianDongJinE" label="提取导致一般风险准备变动金额" mulRef="_GBC_57faea4e453e49ad93821b7dd6ce8bc4" unitRef="_GBC_cef77704267643d794145c73763360e5" addr="T0R30C10S1_1" formatStyle="Comma"/>
        <m:item xlName="_GBC_d9098bf5b2fe46a29aa0456b4e78629c" concept="clcid-pte:TiQuDaoZhiWeiFenPeiLiRunBianDongJinE" label="提取导致未分配利润变动金额" mulRef="_GBC_57faea4e453e49ad93821b7dd6ce8bc4" unitRef="_GBC_cef77704267643d794145c73763360e5" addr="T0R30C11S1_1" formatStyle="Comma"/>
        <m:item xlName="_GBC_0e74b3a100db4c1b9ac099a01b624883" concept="clcid-pte:TiQuDaoZhiQiTaDeGuiShuYuMuGongSiSuoYouZheQuanYiBianDongJinE" label="提取导致其他的归属于母公司所有者权益变动金额" mulRef="_GBC_57faea4e453e49ad93821b7dd6ce8bc4" unitRef="_GBC_cef77704267643d794145c73763360e5" addr="T0R30C12S1_1" formatStyle="Comma"/>
        <m:item xlName="_GBC_df9326290446425fa59df317b0492483" concept="clcid-pte:TiQuZhuanXiangChuBeiDaoZhiGuiShuYuMuGongSiSuoYouZheQuanYiBianDongJinE" label="提取专项储备导致归属于母公司所有者权益变动金额" mulRef="_GBC_57faea4e453e49ad93821b7dd6ce8bc4" unitRef="_GBC_cef77704267643d794145c73763360e5" addr="T0R30C13S1_1" formatStyle="Comma"/>
        <m:item xlName="_GBC_ad3e34e8c7064476af7b26b151447582" concept="clcid-pte:TiQuDaoZhiShaoShuGuDongQuanYiBianDongJinE" label="提取导致少数股东权益变动金额" mulRef="_GBC_57faea4e453e49ad93821b7dd6ce8bc4" unitRef="_GBC_cef77704267643d794145c73763360e5" addr="T0R30C14S1_1" formatStyle="Comma"/>
        <m:item xlName="_GBC_ff0bd11df77f4802a79de7771699b65a" concept="clcid-pte:TiQuDaoZhiGuDongQuanYiHeJiBianDongJinE" label="提取导致股东权益合计变动金额" mulRef="_GBC_57faea4e453e49ad93821b7dd6ce8bc4" unitRef="_GBC_cef77704267643d794145c73763360e5" addr="T0R30C15S1_1" formatStyle="Comma"/>
        <m:placeholder xlName="_PLD_69b59bbd4f7a49708a1fc0c2a96e3869" wordText="2．本期使用" addr="T0R31C0S1_1"/>
        <m:item xlName="_GBC_181f958547c3487b8d0f482393652a1d" concept="clcid-pte:ShiYongDaoZhiShiShouZiBenHuoGuBenJingEBianDongJinE" label="使用导致实收资本（或股本）净额变动金额" mulRef="_GBC_57faea4e453e49ad93821b7dd6ce8bc4" unitRef="_GBC_cef77704267643d794145c73763360e5" addr="T0R31C1S1_1" formatStyle="Comma"/>
        <m:item xlName="_GBC_4a60a5cbdbd7489eac24f74790eeedcf" concept="clcid-pte:ShiYongDaoZhiQiTaQuanYiGongJuZhongDeYouXianGuBianDongJinE" label="使用导致其他权益工具中的优先股变动金额" mulRef="_GBC_57faea4e453e49ad93821b7dd6ce8bc4" unitRef="_GBC_cef77704267643d794145c73763360e5" addr="T0R31C2S1_1" formatStyle="Comma"/>
        <m:item xlName="_GBC_97e5e1aafe41412c92f472e0641c5f3a" concept="clcid-pte:ShiYongDaoZhiQiTaQuanYiGongJuZhongDeYongXuZhaiBianDongJinE" label="使用导致其他权益工具中的永续债变动金额" mulRef="_GBC_57faea4e453e49ad93821b7dd6ce8bc4" unitRef="_GBC_cef77704267643d794145c73763360e5" addr="T0R31C3S1_1" formatStyle="Comma"/>
        <m:item xlName="_GBC_f8c42e4ec5df4ba2a71abf1993891c7b" concept="clcid-pte:ShiYongDaoZhiQiTaQuanYiGongJuZhongDeQiTaBianDongJinE" label="使用导致其他权益工具中的其他变动金额" mulRef="_GBC_57faea4e453e49ad93821b7dd6ce8bc4" unitRef="_GBC_cef77704267643d794145c73763360e5" addr="T0R31C4S1_1" formatStyle="Comma"/>
        <m:item xlName="_GBC_8302d0f9213046c7bb18b6fd11345d5d" concept="clcid-pte:ShiYongDaoZhiZiBenGongJiBianDongJinE" label="使用导致资本公积变动金额" mulRef="_GBC_57faea4e453e49ad93821b7dd6ce8bc4" unitRef="_GBC_cef77704267643d794145c73763360e5" addr="T0R31C5S1_1" formatStyle="Comma"/>
        <m:item xlName="_GBC_48f8f2f981b6428d88261e28193ee014" concept="clcid-pte:ShiYongDaoZhiKuCunGuBianDongJinE" label="使用导致库存股变动金额" mulRef="_GBC_57faea4e453e49ad93821b7dd6ce8bc4" unitRef="_GBC_cef77704267643d794145c73763360e5" addr="T0R31C6S1_1" baseScale="-1" formatStyle="Comma"/>
        <m:item xlName="_GBC_76623c3fca5e4e14a3a2d795667238c9" concept="clcid-pte:ShiYongDaoZhiQiTaZongHeShouYiBianDongJinE" label="使用导致其他综合收益变动金额" mulRef="_GBC_57faea4e453e49ad93821b7dd6ce8bc4" unitRef="_GBC_cef77704267643d794145c73763360e5" addr="T0R31C7S1_1" formatStyle="Comma"/>
        <m:item xlName="_GBC_307af4786ea04342a04cbef490744027" concept="clcid-pte:ShiYongDaoZhiZhuanXiangChuBeiBianDongJinE" label="使用导致专项储备变动金额" mulRef="_GBC_57faea4e453e49ad93821b7dd6ce8bc4" unitRef="_GBC_cef77704267643d794145c73763360e5" addr="T0R31C8S1_1" formatStyle="Comma"/>
        <m:item xlName="_GBC_e8d41a46bdc34e939cc6d8474ee56225" concept="clcid-pte:ShiYongDaoZhiYingYuGongJiBianDongJinE" label="使用导致盈余公积变动金额" mulRef="_GBC_57faea4e453e49ad93821b7dd6ce8bc4" unitRef="_GBC_cef77704267643d794145c73763360e5" addr="T0R31C9S1_1" formatStyle="Comma"/>
        <m:item xlName="_GBC_bf9b1f48565a45e499157785ccb0ef95" concept="clcid-pte:ShiYongDaoZhiYiBanFengXianZhunBeiBianDongJinE" label="使用导致一般风险准备变动金额" mulRef="_GBC_57faea4e453e49ad93821b7dd6ce8bc4" unitRef="_GBC_cef77704267643d794145c73763360e5" addr="T0R31C10S1_1" formatStyle="Comma"/>
        <m:item xlName="_GBC_ca8e929a2134411cbc3cc6b7af3a4309" concept="clcid-pte:ShiYongDaoZhiWeiFenPeiLiRunBianDongJinE" label="使用导致未分配利润变动金额" mulRef="_GBC_57faea4e453e49ad93821b7dd6ce8bc4" unitRef="_GBC_cef77704267643d794145c73763360e5" addr="T0R31C11S1_1" formatStyle="Comma"/>
        <m:item xlName="_GBC_d4a4a9a4005f41fcb889efcbd03ab1f6" concept="clcid-pte:ShiYongDaoZhiQiTaDeGuiShuYuMuGongSiSuoYouZheQuanYiBianDongJinE" label="使用导致其他的归属于母公司所有者权益变动金额" mulRef="_GBC_57faea4e453e49ad93821b7dd6ce8bc4" unitRef="_GBC_cef77704267643d794145c73763360e5" addr="T0R31C12S1_1" formatStyle="Comma"/>
        <m:item xlName="_GBC_694b288e8a2f41639d460c2f367c9907" concept="clcid-pte:ShiYongZhuanXiangChuBeiDaoZhiGuiShuYuMuGongSiSuoYouZheQuanYiBianDongJinE" label="使用专项储备导致归属于母公司所有者权益变动金额" mulRef="_GBC_57faea4e453e49ad93821b7dd6ce8bc4" unitRef="_GBC_cef77704267643d794145c73763360e5" addr="T0R31C13S1_1" formatStyle="Comma"/>
        <m:item xlName="_GBC_f22ea241b06a4e85be4b9f2cb67f7ea7" concept="clcid-pte:ShiYongDaoZhiShaoShuGuDongQuanYiBianDongJinE" label="使用导致少数股东权益变动金额" mulRef="_GBC_57faea4e453e49ad93821b7dd6ce8bc4" unitRef="_GBC_cef77704267643d794145c73763360e5" addr="T0R31C14S1_1" formatStyle="Comma"/>
        <m:item xlName="_GBC_0dc6a35cff074cf992bff4c0627a3f72" concept="clcid-pte:ShiYongDaoZhiGuDongQuanYiHeJiBianDongJinE" label="使用导致股东权益合计变动金额" mulRef="_GBC_57faea4e453e49ad93821b7dd6ce8bc4" unitRef="_GBC_cef77704267643d794145c73763360e5" addr="T0R31C15S1_1" formatStyle="Comma"/>
        <m:placeholder xlName="_PLD_8e6f5912872d41cc910f3bdca18b82d0" wordText="（六）其他" addr="T0R32C0S1_1"/>
        <m:item xlName="_GBC_401d8f9b9f9544bb84c832c894aea1e7" concept="clcid-pte:QiTaDaoZhiShiShouZiBenHuoGuBenJingEBianDongJinE" label="其他导致实收资本（或股本）净额变动金额" mulRef="_GBC_57faea4e453e49ad93821b7dd6ce8bc4" unitRef="_GBC_cef77704267643d794145c73763360e5" addr="T0R32C1S1_1" formatStyle="Comma"/>
        <m:item xlName="_GBC_21baeff8940d4784a7627867901557f0" concept="clcid-pte:QiTaDaoZhiQiTaQuanYiGongJuZhongDeYouXianGuBianDongJinE" label="其他导致其他权益工具中的优先股变动金额" mulRef="_GBC_57faea4e453e49ad93821b7dd6ce8bc4" unitRef="_GBC_cef77704267643d794145c73763360e5" addr="T0R32C2S1_1" formatStyle="Comma"/>
        <m:item xlName="_GBC_7fab13391c6d47fead390c8b50ab3c1b" concept="clcid-pte:QiTaDaoZhiQiTaQuanYiGongJuZhongDeYongXuZhaiBianDongJinE" label="其他导致其他权益工具中的永续债变动金额" mulRef="_GBC_57faea4e453e49ad93821b7dd6ce8bc4" unitRef="_GBC_cef77704267643d794145c73763360e5" addr="T0R32C3S1_1" formatStyle="Comma"/>
        <m:item xlName="_GBC_8d6f07dc58c74f9d96edbae867951bf0" concept="clcid-pte:QiTaDaoZhiQiTaQuanYiGongJuZhongDeQiTaBianDongJinE" label="其他导致其他权益工具中的其他变动金额" mulRef="_GBC_57faea4e453e49ad93821b7dd6ce8bc4" unitRef="_GBC_cef77704267643d794145c73763360e5" addr="T0R32C4S1_1" formatStyle="Comma"/>
        <m:item xlName="_GBC_e5eb0d41377b49b29660ac5d77bf437a" concept="clcid-pte:QiTaDaoZhiZiBenGongJiBianDongJinE" label="其他导致资本公积变动金额" mulRef="_GBC_57faea4e453e49ad93821b7dd6ce8bc4" unitRef="_GBC_cef77704267643d794145c73763360e5" addr="T0R32C5S1_1" formatStyle="Comma"/>
        <m:item xlName="_GBC_1b1db32888be42f094b719e1cffea0dd" concept="clcid-pte:QiTaDaoZhiKuCunGuBianDongJinE" label="其他导致库存股变动金额" mulRef="_GBC_57faea4e453e49ad93821b7dd6ce8bc4" unitRef="_GBC_cef77704267643d794145c73763360e5" addr="T0R32C6S1_1" baseScale="-1" formatStyle="Comma"/>
        <m:item xlName="_GBC_ee19f67b198d433bb8a11a0c3fb83aa0" concept="clcid-pte:QiTaDaoZhiQiTaZongHeShouYiBianDongJinE" label="其他导致其他综合收益变动金额" mulRef="_GBC_57faea4e453e49ad93821b7dd6ce8bc4" unitRef="_GBC_cef77704267643d794145c73763360e5" addr="T0R32C7S1_1" formatStyle="Comma"/>
        <m:item xlName="_GBC_aeb8bd936ad042679e8cb34e348aa8e8" concept="clcid-pte:QiTaDaoZhiZhuanXiangChuBeiBianDongJinE" label="其他导致专项储备变动金额" mulRef="_GBC_57faea4e453e49ad93821b7dd6ce8bc4" unitRef="_GBC_cef77704267643d794145c73763360e5" addr="T0R32C8S1_1" formatStyle="Comma"/>
        <m:item xlName="_GBC_ee58f1edf9f4406c8a021ddfeba4ea91" concept="clcid-pte:QiTaDaoZhiYingYuGongJiBianDongJinE" label="其他导致盈余公积变动金额" mulRef="_GBC_57faea4e453e49ad93821b7dd6ce8bc4" unitRef="_GBC_cef77704267643d794145c73763360e5" addr="T0R32C9S1_1" formatStyle="Comma"/>
        <m:item xlName="_GBC_0bec4a121fc1478e861fc0c17aa9f1d6" concept="clcid-pte:QiTaDaoZhiYiBanFengXianZhunBeiBianDongJinE" label="其他导致一般风险准备变动金额" mulRef="_GBC_57faea4e453e49ad93821b7dd6ce8bc4" unitRef="_GBC_cef77704267643d794145c73763360e5" addr="T0R32C10S1_1" formatStyle="Comma"/>
        <m:item xlName="_GBC_fd049f4ddde8433385c0e73918b6de29" concept="clcid-pte:QiTaDaoZhiWeiFenPeiLiRunBianDongJinE" label="其他导致未分配利润变动金额" mulRef="_GBC_57faea4e453e49ad93821b7dd6ce8bc4" unitRef="_GBC_cef77704267643d794145c73763360e5" addr="T0R32C11S1_1" formatStyle="Comma"/>
        <m:item xlName="_GBC_e72a7b2e5f7f4d2982026e89911cda58" concept="clcid-pte:QiTaDaoZhiQiTaDeGuiShuYuMuGongSiSuoYouZheQuanYiBianDongJinE" label="其他导致其他的归属于母公司所有者权益变动金额" mulRef="_GBC_57faea4e453e49ad93821b7dd6ce8bc4" unitRef="_GBC_cef77704267643d794145c73763360e5" addr="T0R32C12S1_1" formatStyle="Comma"/>
        <m:item xlName="_GBC_5ad5d94602394473aa7dde1210922d40" concept="clcid-pte:QiTaDaoZhiGuiShuYuMuGongSiSuoYouZheQuanYiBianDongJinE" label="其他导致归属于母公司所有者权益变动金额" mulRef="_GBC_57faea4e453e49ad93821b7dd6ce8bc4" unitRef="_GBC_cef77704267643d794145c73763360e5" addr="T0R32C13S1_1" formatStyle="Comma"/>
        <m:item xlName="_GBC_375e18c3361c4d76980648c02e05991d" concept="clcid-pte:QiTaDaoZhiShaoShuGuDongQuanYiBianDongJinE" label="其他导致少数股东权益变动金额" mulRef="_GBC_57faea4e453e49ad93821b7dd6ce8bc4" unitRef="_GBC_cef77704267643d794145c73763360e5" addr="T0R32C14S1_1" formatStyle="Comma"/>
        <m:item xlName="_GBC_6303db71afe248f9b87e9f4bcb0694ce" concept="clcid-pte:QiTaDaoZhiGuDongQuanYiHeJiBianDongJinE" label="其他导致股东权益合计变动金额" mulRef="_GBC_57faea4e453e49ad93821b7dd6ce8bc4" unitRef="_GBC_cef77704267643d794145c73763360e5" addr="T0R32C15S1_1" formatStyle="Comma"/>
        <m:placeholder xlName="_PLD_f6ec7abefe954758b48497b1b1440546" wordText="四、本期期末余额" addr="T0R33C0S1_1"/>
        <m:item xlName="_GBC_9c7536afbf6d45a5aa0c4ccd90ba43a9" concept="clcid-pte:GuBen" label="股本" mulRef="_GBC_57faea4e453e49ad93821b7dd6ce8bc4" unitRef="_GBC_cef77704267643d794145c73763360e5" addr="T0R33C1S1_1" formatStyle="Comma">
          <m:complexRule comparator="Eq" title="股本" test=" $_GBC_7ffb904e78e6477884ead627a8c631d3 +  $_GBC_97f48e8fa059431594f52db718ff0b70" id="C8be168ba389b4b26814f6c0bc3c7c0fa" radius="0.0001"/>
        </m:item>
        <m:item xlName="_GBC_30afaca0f89141ff850f9e2542bd0eac" concept="clcid-pte:QiTaQuanYiGongJuQiZhongYouXianGu" label="其他权益工具-其中：优先股" mulRef="_GBC_57faea4e453e49ad93821b7dd6ce8bc4" unitRef="_GBC_cef77704267643d794145c73763360e5" addr="T0R33C2S1_1" formatStyle="Comma">
          <m:complexRule comparator="Eq" title="其他权益工具-其中：优先股" test=" $_GBC_dba908bc5e0e4171b7ebfbc41d7847a1 +  $_GBC_133e9814b8ea45e5894c6f0571711e7b" id="Cbb3b1f78d9244bd587545f732a750cef"/>
        </m:item>
        <m:item xlName="_GBC_6fdb0a5c2a354bb9a67bab242d14502d" concept="clcid-pte:QiTaQuanYiGongJuYongXuZhai" label="其他权益工具-永续债" mulRef="_GBC_57faea4e453e49ad93821b7dd6ce8bc4" unitRef="_GBC_cef77704267643d794145c73763360e5" addr="T0R33C3S1_1" formatStyle="Comma">
          <m:complexRule comparator="Eq" title="其他权益工具-永续债" test=" $_GBC_4515a054b6a14ecfbf1fd9407f99e3e4 +  $_GBC_fbc37b80f4164abe82529524c4414f88" id="C8fdf91ebf8054cab926c4db6117af80c"/>
        </m:item>
        <m:item xlName="_GBC_e1af1da77a5c459a9e708999307d59fc" concept="clcid-pte:QiTaQuanYiGongJuQiTa" label="其他权益工具-其他" mulRef="_GBC_57faea4e453e49ad93821b7dd6ce8bc4" unitRef="_GBC_cef77704267643d794145c73763360e5" addr="T0R33C4S1_1" formatStyle="Comma">
          <m:complexRule comparator="Eq" title="其他权益工具-其他" test=" $_GBC_7753d394adf44e1f8f53149adfd044ba +  $_GBC_3a7f7687e8674f45a32aa6a42ebca88c" id="C92e9cd6d899f4ca2807b8f2d360f8325"/>
        </m:item>
        <m:item xlName="_GBC_d9946e51eab94a5ca39bb0ce6921a96e" concept="clcid-pte:ZiBenGongJi" label="资本公积" mulRef="_GBC_57faea4e453e49ad93821b7dd6ce8bc4" unitRef="_GBC_cef77704267643d794145c73763360e5" addr="T0R33C5S1_1" formatStyle="Comma">
          <m:complexRule comparator="Eq" title="资本公积" test=" $_GBC_68dbe5f167e148f0a5f0a3f6330cb542 +  $_GBC_b7fb5f5cb7c84e1fb799da57c6195385" id="C578b337d0e8d4c07a06f8950ddeb39f5" radius="0.0001"/>
        </m:item>
        <m:item xlName="_GBC_ec3f37daafa74c2e88732ea5cb464a4b" concept="clcid-pte:KuCunGu" label="库存股" mulRef="_GBC_57faea4e453e49ad93821b7dd6ce8bc4" unitRef="_GBC_cef77704267643d794145c73763360e5" addr="T0R33C6S1_1" baseScale="-1" formatStyle="Comma">
          <m:complexRule comparator="Eq" title="库存股" test=" $_GBC_890dc2108e9743459a162d1be96c9b38 +  $_GBC_aa12688c99574b6e90d9188a21d9de29" id="Cd5c03eee161b4480ad44a31dadb2ee58" radius="0.0001"/>
        </m:item>
        <m:item xlName="_GBC_d876678f17c247bcbd73f7abd9008b3a" concept="clcid-pte:QiTaZongHeShouYiZiChanFuZhaiBiaoXiangMu" label="其他综合收益（资产负债表项目）" mulRef="_GBC_57faea4e453e49ad93821b7dd6ce8bc4" unitRef="_GBC_cef77704267643d794145c73763360e5" addr="T0R33C7S1_1" formatStyle="Comma">
          <m:complexRule comparator="Eq" title="其他综合收益（资产负债表项目）" test=" $_GBC_7e7cea458edc4fef83b6aa00b0d6aee4 +  $_GBC_d123f8e3c9d54cbb8f7acbc3df0f0f7e" id="C98dd7be260914eafa4f4504d678c7c9e"/>
        </m:item>
        <m:item xlName="_GBC_2ba8e15cb45a4f06871de8f1f73c2e48" concept="clcid-pte:ZhuanXiangChuBei" label="专项储备" mulRef="_GBC_57faea4e453e49ad93821b7dd6ce8bc4" unitRef="_GBC_cef77704267643d794145c73763360e5" addr="T0R33C8S1_1" formatStyle="Comma">
          <m:complexRule comparator="Eq" title="专项储备" test=" $_GBC_0c6e51a496b546c9b745a8e54be8f15f +  $_GBC_dbc36e10e87b4b74aaffbdcbeef7367f" id="C9d9ed1eaafe74d679d7874f163db4a4b" radius="0.0001"/>
        </m:item>
        <m:item xlName="_GBC_9685cb08afc148a7b86696155c5f606a" concept="clcid-pte:YingYuGongJi" label="盈余公积" mulRef="_GBC_57faea4e453e49ad93821b7dd6ce8bc4" unitRef="_GBC_cef77704267643d794145c73763360e5" addr="T0R33C9S1_1" formatStyle="Comma">
          <m:complexRule comparator="Eq" title="盈余公积" test=" $_GBC_1d110a200be1458996f25bcb00197f2a +  $_GBC_0804ce30f18b485199a4d2de5232b4a1" id="C228575689f0849548b25293abb72645f"/>
        </m:item>
        <m:item xlName="_GBC_eb9d2962c3b947aa95326dac50e584b2" concept="clcid-pte:YiBanFengXianZhunBei" label="一般风险准备" mulRef="_GBC_57faea4e453e49ad93821b7dd6ce8bc4" unitRef="_GBC_cef77704267643d794145c73763360e5" addr="T0R33C10S1_1" formatStyle="Comma">
          <m:complexRule comparator="Eq" title="一般风险准备" test=" $_GBC_717743d5dc924f1d8c14f011cbf3c2b9 +  $_GBC_b8b74db52ed34b4da8a398a063864478" id="C869e591176f946879087880399f904bb"/>
        </m:item>
        <m:item xlName="_GBC_cd483a481558403ca5a426923d52e8db" concept="clcid-pte:WeiFenPeiLiRun" label="未分配利润" mulRef="_GBC_57faea4e453e49ad93821b7dd6ce8bc4" unitRef="_GBC_cef77704267643d794145c73763360e5" addr="T0R33C11S1_1" formatStyle="Comma">
          <m:complexRule comparator="Eq" title="未分配利润" test=" $_GBC_da6a75e012994c7dbdfd6cd3df7244d8 +  $_GBC_309c90277c884ffc87911778089e7bc5" id="Cbc9b4879331c489cb41a009af10b273f"/>
        </m:item>
        <m:item xlName="_GBC_10dce9f87ff645d4be1f5851d698b228" concept="clcid-pte:QiTaDeGuiShuYuMuGongSiSuoYouZheQuanYi" label="其他的归属于母公司所有者权益" mulRef="_GBC_57faea4e453e49ad93821b7dd6ce8bc4" unitRef="_GBC_cef77704267643d794145c73763360e5" addr="T0R33C12S1_1" formatStyle="Comma">
          <m:complexRule comparator="Eq" title="其他的归属于母公司所有者权益" test=" $_GBC_d45fb74aa25e4b7d9d6f8ae0a0dc7c23 +  $_GBC_fd851fb9def94b22980a4c9ed6783f52" id="Cb36578df0435426491cb31f8b1a33d1c"/>
        </m:item>
        <m:item xlName="_GBC_8935dd8b18504ac798c1fca3aaa3666e" concept="clcid-pte:GuiShuYuMuGongSiSuoYouZheQuanYiHeJi" label="归属于母公司所有者权益合计" mulRef="_GBC_57faea4e453e49ad93821b7dd6ce8bc4" unitRef="_GBC_cef77704267643d794145c73763360e5" addr="T0R33C13S1_1" formatStyle="Comma">
          <m:complexRule comparator="Eq" title="归属于母公司所有者权益合计" test=" $_GBC_0434dc1629334a619aecf40a030ef9c4 +  $_GBC_210f7c10b52f4a6a8953a7feb1e8d171" id="C7d8bd86519764c4aab476e1ad2cdd452"/>
        </m:item>
        <m:item xlName="_GBC_e3d2b51493a24098abf16b36552f6c71" concept="clcid-pte:ShaoShuGuDongQuanYi" label="少数股东权益" mulRef="_GBC_57faea4e453e49ad93821b7dd6ce8bc4" unitRef="_GBC_cef77704267643d794145c73763360e5" addr="T0R33C14S1_1" formatStyle="Comma">
          <m:complexRule comparator="Eq" title="少数股东权益" test=" $_GBC_99f25fd6062e41bb8036bd4a399f2ad1 +  $_GBC_015e57c6486646408ee3c68da2a54a2b" id="Cc82e69a07fe0417faa1a6c5db1274daf"/>
        </m:item>
        <m:item xlName="_GBC_5b2499fa8712440f8b65d410b5080ca2" concept="clcid-pte:GuDongQuanYiHeJi" label="股东权益合计" mulRef="_GBC_57faea4e453e49ad93821b7dd6ce8bc4" unitRef="_GBC_cef77704267643d794145c73763360e5" addr="T0R33C15S1_1" formatStyle="Comma">
          <m:complexRule comparator="Eq" title="股东权益合计" test=" $_GBC_9d6e65929de14e19acba2e4a333251a7 +  $_GBC_ef5895ec267c4011b8002c93402fc4de" id="C9d1a0cba97554c1ba43dda49654a9225"/>
        </m:item>
        <m:placeholder xlName="_PLD_229212c664af43faa41821d5eec551b8" wordText="项目" addr="T1R0C0S4_1"/>
        <m:placeholder xlName="_PLD_5c8dcea3749f4f92b2d283c717162a73" wordText="2021年度" addr="T1R0C1S1_15"/>
        <m:placeholder xlName="_PLD_e725a8cacf9d4d1abedbfeae17c394e0" wordText="归属于母公司所有者权益" addr="T1R1C1S1_13"/>
        <m:placeholder xlName="_PLD_fe6c49384f0941088b29ad945caeb72b" wordText="少数股东权益" addr="T1R1C14S3_1"/>
        <m:placeholder xlName="_PLD_bbe71d4307504d648ce52638ee90ccd4" wordText="所有者权益合计" addr="T1R1C15S3_1"/>
        <m:placeholder xlName="_PLD_941585ba85eb48fa931876151974e425" wordText="实收资本 (或股本)" addr="T1R2C1S2_1"/>
        <m:placeholder xlName="_PLD_4097b1c4c4f449ef94e9dedb67cf7c3a" wordText="其他权益工具" addr="T1R2C2S1_3"/>
        <m:placeholder xlName="_PLD_f8441471f9a041ac884142e2c9e87055" wordText="资本公积" addr="T1R2C5S2_1"/>
        <m:placeholder xlName="_PLD_f972a7ccc15d4f409243ecc02ea77629" wordText="减：库存股" addr="T1R2C6S2_1"/>
        <m:placeholder xlName="_PLD_32394603dc124fdb904af0ad8606aa79" wordText="其他综合收益" addr="T1R2C7S2_1"/>
        <m:placeholder xlName="_PLD_af29ec23e072452c89c8447237a4831e" wordText="专项储备" addr="T1R2C8S2_1"/>
        <m:placeholder xlName="_PLD_81a68447a616402b99500dae3d54a22d" wordText="盈余公积" addr="T1R2C9S2_1"/>
        <m:placeholder xlName="_PLD_ad0dadbaf28f45779fefb69d05b7215d" wordText="一般风险准备" addr="T1R2C10S2_1"/>
        <m:placeholder xlName="_PLD_a51f5c6bdac744979b275b09b6a9d1d8" wordText="未分配利润" addr="T1R2C11S2_1"/>
        <m:placeholder xlName="_PLD_ae449a7a80f64d56b34968f1f21d2198" wordText="其他" addr="T1R2C12S2_1">
          <m:placeholder xlName="_PLD_c4da6a74366840789b623f0d61440178" wordText="其他"/>
        </m:placeholder>
        <m:placeholder xlName="_PLD_f2691f33b2164ad8b83415f8cd404dea" wordText="小计" addr="T1R2C13S2_1"/>
        <m:placeholder xlName="_PLD_c8e4e3f938444f399262729a0267aa59" wordText="优先股" addr="T1R3C2S1_1"/>
        <m:placeholder xlName="_PLD_70f3796cf4ab4ecbb92343a346942a09" wordText="永续债" addr="T1R3C3S1_1"/>
        <m:placeholder xlName="_PLD_a3d4853d11ed4217a1c5e27cfc45c1c9" wordText="其他" addr="T1R3C4S1_1"/>
        <m:placeholder xlName="_PLD_24c39056f5874862855dc37ef7f0d558" wordText="一、上年年末余额" addr="T1R4C0S1_1"/>
        <m:item xlName="_GBC_854da413fe924f06ba45aba97c6c6d89" concept="clcid-pte:GuBen" label="股本" periodRef="上上年度期末数" mulRef="_GBC_57faea4e453e49ad93821b7dd6ce8bc4" unitRef="_GBC_cef77704267643d794145c73763360e5" addr="T1R4C1S1_1" formatStyle="Comma">
          <m:axisValue occRef="调整前的值"/>
        </m:item>
        <m:item xlName="_GBC_ad4872ac276749f5af81d57acd57f55d" concept="clcid-pte:QiTaQuanYiGongJuQiZhongYouXianGu" label="其他权益工具-其中：优先股" periodRef="上上年度期末数" mulRef="_GBC_57faea4e453e49ad93821b7dd6ce8bc4" unitRef="_GBC_cef77704267643d794145c73763360e5" addr="T1R4C2S1_1" formatStyle="Comma">
          <m:axisValue occRef="调整前的值"/>
        </m:item>
        <m:item xlName="_GBC_3e7185ee538247f89d5dfd647cf45a9b" concept="clcid-pte:QiTaQuanYiGongJuYongXuZhai" label="其他权益工具-永续债" periodRef="上上年度期末数" mulRef="_GBC_57faea4e453e49ad93821b7dd6ce8bc4" unitRef="_GBC_cef77704267643d794145c73763360e5" addr="T1R4C3S1_1" formatStyle="Comma">
          <m:axisValue occRef="调整前的值"/>
        </m:item>
        <m:item xlName="_GBC_74cc920a4ff44ae39d1d17b524cabe4f" concept="clcid-pte:QiTaQuanYiGongJuQiTa" label="其他权益工具-其他" periodRef="上上年度期末数" mulRef="_GBC_57faea4e453e49ad93821b7dd6ce8bc4" unitRef="_GBC_cef77704267643d794145c73763360e5" addr="T1R4C4S1_1" formatStyle="Comma">
          <m:axisValue occRef="调整前的值"/>
        </m:item>
        <m:item xlName="_GBC_1aba68439b674133b6be2b46109570dd" concept="clcid-pte:ZiBenGongJi" label="资本公积" periodRef="上上年度期末数" mulRef="_GBC_57faea4e453e49ad93821b7dd6ce8bc4" unitRef="_GBC_cef77704267643d794145c73763360e5" addr="T1R4C5S1_1" formatStyle="Comma">
          <m:axisValue occRef="调整前的值"/>
        </m:item>
        <m:item xlName="_GBC_6f24df6985a64059a57204a19895fd1f" concept="clcid-pte:KuCunGu" label="库存股" periodRef="上上年度期末数" mulRef="_GBC_57faea4e453e49ad93821b7dd6ce8bc4" unitRef="_GBC_cef77704267643d794145c73763360e5" addr="T1R4C6S1_1" baseScale="-1" formatStyle="Comma">
          <m:axisValue occRef="调整前的值"/>
        </m:item>
        <m:item xlName="_GBC_3e651d41ec724e9cbf5773b5eee4cc2a" concept="clcid-pte:QiTaZongHeShouYiZiChanFuZhaiBiaoXiangMu" label="其他综合收益（资产负债表项目）" periodRef="上上年度期末数" mulRef="_GBC_57faea4e453e49ad93821b7dd6ce8bc4" unitRef="_GBC_cef77704267643d794145c73763360e5" addr="T1R4C7S1_1" formatStyle="Comma">
          <m:axisValue occRef="调整前的值"/>
        </m:item>
        <m:item xlName="_GBC_62deeb3aba5643628767e8b201e91104" concept="clcid-pte:ZhuanXiangChuBei" label="专项储备" periodRef="上上年度期末数" mulRef="_GBC_57faea4e453e49ad93821b7dd6ce8bc4" unitRef="_GBC_cef77704267643d794145c73763360e5" addr="T1R4C8S1_1" formatStyle="Comma">
          <m:axisValue occRef="调整前的值"/>
        </m:item>
        <m:item xlName="_GBC_c156702204e34a5f90fb1ebe40f90907" concept="clcid-pte:YingYuGongJi" label="盈余公积" periodRef="上上年度期末数" mulRef="_GBC_57faea4e453e49ad93821b7dd6ce8bc4" unitRef="_GBC_cef77704267643d794145c73763360e5" addr="T1R4C9S1_1" formatStyle="Comma">
          <m:axisValue occRef="调整前的值"/>
        </m:item>
        <m:item xlName="_GBC_77d988a76f2b4a59b1e8e51e04ca4865" concept="clcid-pte:YiBanFengXianZhunBei" label="一般风险准备" periodRef="上上年度期末数" mulRef="_GBC_57faea4e453e49ad93821b7dd6ce8bc4" unitRef="_GBC_cef77704267643d794145c73763360e5" addr="T1R4C10S1_1" formatStyle="Comma">
          <m:axisValue occRef="调整前的值"/>
        </m:item>
        <m:item xlName="_GBC_3acca1b87ed54de8b386610e5ba1421a" concept="clcid-pte:WeiFenPeiLiRun" label="未分配利润" periodRef="上上年度期末数" mulRef="_GBC_57faea4e453e49ad93821b7dd6ce8bc4" unitRef="_GBC_cef77704267643d794145c73763360e5" addr="T1R4C11S1_1" formatStyle="Comma">
          <m:axisValue occRef="调整前的值"/>
        </m:item>
        <m:item xlName="_GBC_d2d7facddcdc44fdae9cd4876a15f2a6" concept="clcid-pte:QiTaDeGuiShuYuMuGongSiSuoYouZheQuanYi" label="其他的归属于母公司所有者权益" periodRef="上上年度期末数" mulRef="_GBC_57faea4e453e49ad93821b7dd6ce8bc4" unitRef="_GBC_cef77704267643d794145c73763360e5" addr="T1R4C12S1_1" formatStyle="Comma">
          <m:axisValue occRef="调整前的值"/>
        </m:item>
        <m:item xlName="_GBC_5b719eb0693f4dc0aa8b43da86588bfd" concept="clcid-pte:GuiShuYuMuGongSiSuoYouZheQuanYiHeJi" label="归属于母公司所有者权益合计" periodRef="上上年度期末数" mulRef="_GBC_57faea4e453e49ad93821b7dd6ce8bc4" unitRef="_GBC_cef77704267643d794145c73763360e5" addr="T1R4C13S1_1" formatStyle="Comma">
          <m:axisValue occRef="调整前的值"/>
        </m:item>
        <m:item xlName="_GBC_ec150e53d92249d0b1f4a0e82e553323" concept="clcid-pte:ShaoShuGuDongQuanYi" label="少数股东权益" periodRef="上上年度期末数" mulRef="_GBC_57faea4e453e49ad93821b7dd6ce8bc4" unitRef="_GBC_cef77704267643d794145c73763360e5" addr="T1R4C14S1_1" formatStyle="Comma">
          <m:axisValue occRef="调整前的值"/>
        </m:item>
        <m:item xlName="_GBC_033de45e41ec4383b5ed95d4561fbf12" concept="clcid-pte:GuDongQuanYiHeJi" label="股东权益合计" periodRef="上上年度期末数" mulRef="_GBC_57faea4e453e49ad93821b7dd6ce8bc4" unitRef="_GBC_cef77704267643d794145c73763360e5" addr="T1R4C15S1_1" formatStyle="Comma">
          <m:axisValue occRef="调整前的值"/>
        </m:item>
        <m:placeholder xlName="_PLD_5feb351bb250466a8fad5b20d2922c70" wordText="加：会计政策变更" addr="T1R5C0S1_1"/>
        <m:item xlName="_GBC_7f5d706b6e554275b4e679668e44ad68" concept="clcid-pte:KuaiJiZhengCeBianGengDaoZhiShiShouZiBenHuoGuBenJingEBianDongJinE" label="会计政策变更导致实收资本（或股本）净额变动金额" periodRef="上年同期期初数" mulRef="_GBC_57faea4e453e49ad93821b7dd6ce8bc4" unitRef="_GBC_cef77704267643d794145c73763360e5" addr="T1R5C1S1_1" formatStyle="Comma"/>
        <m:item xlName="_GBC_7899d33038c14b1fb9d605f9129aee2b" concept="clcid-pte:HuiJiZhengCeBianGengDaoZhiYouXianGuBianDongJinE" label="会计政策变更导致优先股变动金额" periodRef="上年同期期初数" mulRef="_GBC_57faea4e453e49ad93821b7dd6ce8bc4" unitRef="_GBC_cef77704267643d794145c73763360e5" addr="T1R5C2S1_1" formatStyle="Comma"/>
        <m:item xlName="_GBC_52519b8c6e3c46829364cb4f010d4848" concept="clcid-pte:HuiJiZhengCeBianGengDaoZhiYongXuZhaiBianDongJinE" label="会计政策变更导致永续债变动金额" periodRef="上年同期期初数" mulRef="_GBC_57faea4e453e49ad93821b7dd6ce8bc4" unitRef="_GBC_cef77704267643d794145c73763360e5" addr="T1R5C3S1_1" formatStyle="Comma"/>
        <m:item xlName="_GBC_7b4cebdeeb6a4bd09e6a469300de95b3" concept="clcid-pte:HuiJiZhengCeBianGengDaoZhiQiTaQuanYiGongJuZhongDeQiTaBianDongJinE" label="会计政策变更导致其他权益工具中的其他变动金额" periodRef="上年同期期初数" mulRef="_GBC_57faea4e453e49ad93821b7dd6ce8bc4" unitRef="_GBC_cef77704267643d794145c73763360e5" addr="T1R5C4S1_1" formatStyle="Comma"/>
        <m:item xlName="_GBC_ab28fbce9bec45c589f0d28a0b72b8fd" concept="clcid-pte:KuaiJiZhengCeBianGengDaoZhiZiBenGongJiBianDongJinE" label="会计政策变更导致资本公积变动金额" periodRef="上年同期期初数" mulRef="_GBC_57faea4e453e49ad93821b7dd6ce8bc4" unitRef="_GBC_cef77704267643d794145c73763360e5" addr="T1R5C5S1_1" formatStyle="Comma"/>
        <m:item xlName="_GBC_ee6bf7ce1f7c483fae4ce9ea7607be5c" concept="clcid-pte:KuaiJiZhengCeBianGengDaoZhiKuCunGuBianDongJinE" label="会计政策变更导致库存股变动金额" periodRef="上年同期期初数" mulRef="_GBC_57faea4e453e49ad93821b7dd6ce8bc4" unitRef="_GBC_cef77704267643d794145c73763360e5" addr="T1R5C6S1_1" baseScale="-1" formatStyle="Comma"/>
        <m:item xlName="_GBC_55e24e8177864d2d9629ef6c2ce846dc" concept="clcid-pte:HuiJiZhengCeBianGengDaoZhiQiTaZongHeShouYiBianDongJinE" label="会计政策变更导致其他综合收益变动金额" periodRef="上年同期期初数" mulRef="_GBC_57faea4e453e49ad93821b7dd6ce8bc4" unitRef="_GBC_cef77704267643d794145c73763360e5" addr="T1R5C7S1_1" formatStyle="Comma"/>
        <m:item xlName="_GBC_315baefe38274582aae1855022c44523" concept="clcid-pte:KuaiJiZhengCeBianGengDaoZhiZhuanXiangChuBeiBianDongJinE" label="会计政策变更导致专项储备变动金额" periodRef="上年同期期初数" mulRef="_GBC_57faea4e453e49ad93821b7dd6ce8bc4" unitRef="_GBC_cef77704267643d794145c73763360e5" addr="T1R5C8S1_1" formatStyle="Comma"/>
        <m:item xlName="_GBC_581208ae8fef49dea71cc91814498d9e" concept="clcid-pte:KuaiJiZhengCeBianGengDaoZhiYingYuGongJiBianDongJinE" label="会计政策变更导致盈余公积变动金额" periodRef="上年同期期初数" mulRef="_GBC_57faea4e453e49ad93821b7dd6ce8bc4" unitRef="_GBC_cef77704267643d794145c73763360e5" addr="T1R5C9S1_1" formatStyle="Comma"/>
        <m:item xlName="_GBC_b9a7c0a0ac5e4383a43e79bf2417c1e7" concept="clcid-pte:KuaiJiZhengCeBianGengDaoZhiYiBanFengXianZhunBeiBianDongJinE" label="会计政策变更导致一般风险准备变动金额" periodRef="上年同期期初数" mulRef="_GBC_57faea4e453e49ad93821b7dd6ce8bc4" unitRef="_GBC_cef77704267643d794145c73763360e5" addr="T1R5C10S1_1" formatStyle="Comma"/>
        <m:item xlName="_GBC_2ccdcf3e8e2148be9e5a91bf57c58e35" concept="clcid-pte:KuaiJiZhengCeBianGengDaoZhiWeiFenPeiLiRunBianDongJinE" label="会计政策变更导致未分配利润变动金额" periodRef="上年同期期初数" mulRef="_GBC_57faea4e453e49ad93821b7dd6ce8bc4" unitRef="_GBC_cef77704267643d794145c73763360e5" addr="T1R5C11S1_1" formatStyle="Comma"/>
        <m:item xlName="_GBC_461a17df329147b7973ab3ad92b79941" concept="clcid-pte:KuaiJiZhengCeBianGengDaoZhiQiTaDeGuiShuYuMuGongSiSuoYouZheQuanYiBianDongJinE" label="会计政策变更导致其他的归属于母公司所有者权益变动金额" periodRef="上年同期期初数" mulRef="_GBC_57faea4e453e49ad93821b7dd6ce8bc4" unitRef="_GBC_cef77704267643d794145c73763360e5" addr="T1R5C12S1_1" formatStyle="Comma"/>
        <m:item xlName="_GBC_01f6f62ed6f745c6adde1c42c93eaf8b" concept="clcid-pte:KuaiJiZhengCeBianGengDaoZhiGuiShuYuMuGongSiSuoYouZheQuanYiBianDongJinE" label="会计政策变更导致归属于母公司所有者权益变动金额" periodRef="上年同期期初数" mulRef="_GBC_57faea4e453e49ad93821b7dd6ce8bc4" unitRef="_GBC_cef77704267643d794145c73763360e5" addr="T1R5C13S1_1" formatStyle="Comma"/>
        <m:item xlName="_GBC_ffdb436b9fcf434a8804c4938099c565" concept="clcid-pte:KuaiJiZhengCeBianGengDaoZhiShaoShuGuDongQuanYiBianDongJinE" label="会计政策变更导致少数股东权益变动金额" periodRef="上年同期期初数" mulRef="_GBC_57faea4e453e49ad93821b7dd6ce8bc4" unitRef="_GBC_cef77704267643d794145c73763360e5" addr="T1R5C14S1_1" formatStyle="Comma"/>
        <m:item xlName="_GBC_32d2dd3af6474a90a5453421be1a0883" concept="clcid-pte:KuaiJiZhengCeBianGengDaoZhiGuDongQuanYiHeJiBianDongJinE" label="会计政策变更导致股东权益合计变动金额" periodRef="上年同期期初数" mulRef="_GBC_57faea4e453e49ad93821b7dd6ce8bc4" unitRef="_GBC_cef77704267643d794145c73763360e5" addr="T1R5C15S1_1" formatStyle="Comma"/>
        <m:placeholder xlName="_PLD_b3480764b7144ae885e5b5b29f4f4705" wordText="前期差错更正" indent="200" addr="T1R6C0S1_1"/>
        <m:item xlName="_GBC_e5331680faaa41dea7ca228a155e9ea7" concept="clcid-pte:QianQiChaCuoGengZhengDaoZhiShiShouZiBenHuoGuBenJingEBianDongJinE" label="前期差错更正导致实收资本（或股本）净额变动金额" periodRef="上年同期期初数" mulRef="_GBC_57faea4e453e49ad93821b7dd6ce8bc4" unitRef="_GBC_cef77704267643d794145c73763360e5" addr="T1R6C1S1_1" formatStyle="Comma"/>
        <m:item xlName="_GBC_2fa2f65644a9411a801969255f2cd68c" concept="clcid-pte:QianQiChaCuoGengZhengDaoZhiYouXianGuBianDongJinE" label="前期差错更正导致优先股变动金额" periodRef="上年同期期初数" mulRef="_GBC_57faea4e453e49ad93821b7dd6ce8bc4" unitRef="_GBC_cef77704267643d794145c73763360e5" addr="T1R6C2S1_1" formatStyle="Comma"/>
        <m:item xlName="_GBC_77a080aa9dd0493193367b74093001a5" concept="clcid-pte:QianQiChaCuoGengZhengDaoZhiYongXuZhaiBianDongJinE" label="前期差错更正导致永续债变动金额" periodRef="上年同期期初数" mulRef="_GBC_57faea4e453e49ad93821b7dd6ce8bc4" unitRef="_GBC_cef77704267643d794145c73763360e5" addr="T1R6C3S1_1" formatStyle="Comma"/>
        <m:item xlName="_GBC_dcf60019f2ae4d1392f562f4ba6e4b86" concept="clcid-pte:QianQiChaCuoGengZhengDaoZhiQiTaQuanYiGongJuZhongDeQiTaBianDongJinE" label="前期差错更正导致其他权益工具中的其他变动金额" periodRef="上年同期期初数" mulRef="_GBC_57faea4e453e49ad93821b7dd6ce8bc4" unitRef="_GBC_cef77704267643d794145c73763360e5" addr="T1R6C4S1_1" formatStyle="Comma"/>
        <m:item xlName="_GBC_87e7e99031c5437294b2bcdc83a86ec7" concept="clcid-pte:QianQiChaCuoGengZhengDaoZhiZiBenGongJiBianDongJinE" label="前期差错更正导致资本公积变动金额" periodRef="上年同期期初数" mulRef="_GBC_57faea4e453e49ad93821b7dd6ce8bc4" unitRef="_GBC_cef77704267643d794145c73763360e5" addr="T1R6C5S1_1" formatStyle="Comma"/>
        <m:item xlName="_GBC_5f199f3da1754e1cae4ebd100bcd4377" concept="clcid-pte:QianQiChaCuoGengZhengDaoZhiKuCunGuBianDongJinE" label="前期差错更正导致库存股变动金额" periodRef="上年同期期初数" mulRef="_GBC_57faea4e453e49ad93821b7dd6ce8bc4" unitRef="_GBC_cef77704267643d794145c73763360e5" addr="T1R6C6S1_1" baseScale="-1" formatStyle="Comma"/>
        <m:item xlName="_GBC_c2ea62073a494f7f980d9015df9f45b8" concept="clcid-pte:QianQiChaCuoGengZhengDaoZhiQiTaZongHeShouYiBianDongJinE" label="前期差错更正导致其他综合收益变动金额" periodRef="上年同期期初数" mulRef="_GBC_57faea4e453e49ad93821b7dd6ce8bc4" unitRef="_GBC_cef77704267643d794145c73763360e5" addr="T1R6C7S1_1" formatStyle="Comma"/>
        <m:item xlName="_GBC_db2bd14f7f49435295daf03d80b9d402" concept="clcid-pte:QianQiChaCuoGengZhengDaoZhiZhuanXiangChuBeiBianDongJinE" label="前期差错更正导致专项储备变动金额" periodRef="上年同期期初数" mulRef="_GBC_57faea4e453e49ad93821b7dd6ce8bc4" unitRef="_GBC_cef77704267643d794145c73763360e5" addr="T1R6C8S1_1" formatStyle="Comma"/>
        <m:item xlName="_GBC_abce7751a5d447648dede0f29c643ab3" concept="clcid-pte:QianQiChaCuoGengZhengDaoZhiYingYuGongJiBianDongJinE" label="前期差错更正导致盈余公积变动金额" periodRef="上年同期期初数" mulRef="_GBC_57faea4e453e49ad93821b7dd6ce8bc4" unitRef="_GBC_cef77704267643d794145c73763360e5" addr="T1R6C9S1_1" formatStyle="Comma"/>
        <m:item xlName="_GBC_4616d57b213b44ae9ba6bfe9ef47efe6" concept="clcid-pte:QianQiChaCuoGengZhengDaoZhiYiBanFengXianZhunBeiBianDongJinE" label="前期差错更正导致一般风险准备变动金额" periodRef="上年同期期初数" mulRef="_GBC_57faea4e453e49ad93821b7dd6ce8bc4" unitRef="_GBC_cef77704267643d794145c73763360e5" addr="T1R6C10S1_1" formatStyle="Comma"/>
        <m:item xlName="_GBC_3a41bcbe6fa64179bedea959f8348e0a" concept="clcid-pte:QianQiChaCuoGengZhengDaoZhiWeiFenPeiLiRunBianDongJinE" label="前期差错更正导致未分配利润变动金额" periodRef="上年同期期初数" mulRef="_GBC_57faea4e453e49ad93821b7dd6ce8bc4" unitRef="_GBC_cef77704267643d794145c73763360e5" addr="T1R6C11S1_1" formatStyle="Comma"/>
        <m:item xlName="_GBC_d1931b08c2a049a383442c19fc2de821" concept="clcid-pte:QianQiChaCuoGengZhengDaoZhiQiTaDeGuiShuYuMuGongSiSuoYouZheQuanYiBianDongJinE" label="前期差错更正导致其他的归属于母公司所有者权益变动金额" periodRef="上年同期期初数" mulRef="_GBC_57faea4e453e49ad93821b7dd6ce8bc4" unitRef="_GBC_cef77704267643d794145c73763360e5" addr="T1R6C12S1_1" formatStyle="Comma"/>
        <m:item xlName="_GBC_bf0cd8e9602745128a3d2be0b3c17d5c" concept="clcid-pte:QianQiChaCuoGengZhengDaoZhiGuiShuYuMuGongSiSuoYouZheQuanYiBianDongJinE" label="前期差错更正导致归属于母公司所有者权益变动金额" periodRef="上年同期期初数" mulRef="_GBC_57faea4e453e49ad93821b7dd6ce8bc4" unitRef="_GBC_cef77704267643d794145c73763360e5" addr="T1R6C13S1_1" formatStyle="Comma"/>
        <m:item xlName="_GBC_9d01be09200a4ee6b302ddf3d2788b12" concept="clcid-pte:QianQiChaCuoGengZhengDaoZhiShaoShuGuDongQuanYiBianDongJinE" label="前期差错更正导致少数股东权益变动金额" periodRef="上年同期期初数" mulRef="_GBC_57faea4e453e49ad93821b7dd6ce8bc4" unitRef="_GBC_cef77704267643d794145c73763360e5" addr="T1R6C14S1_1" formatStyle="Comma"/>
        <m:item xlName="_GBC_931ae19a17ed4527bc05ce36cd703491" concept="clcid-pte:QianQiChaCuoGengZhengDaoZhiGuDongQuanYiHeJiBianDongJinE" label="前期差错更正导致股东权益合计变动金额" periodRef="上年同期期初数" mulRef="_GBC_57faea4e453e49ad93821b7dd6ce8bc4" unitRef="_GBC_cef77704267643d794145c73763360e5" addr="T1R6C15S1_1" formatStyle="Comma"/>
        <m:placeholder xlName="_PLD_03f09ee4c9b7416b9923560f93f21ac6" wordText="同一控制下企业合并" indent="200" addr="T1R7C0S1_1"/>
        <m:item xlName="_GBC_aa30b12bd02745898caad1fa0092e413" concept="clcid-pte:TongYiKongZhiXiaQiYeHeBingDaoZhiGuBenBianDongJinE" label="同一控制下企业合并导致股本变动金额" periodRef="上年同期期初数" mulRef="_GBC_57faea4e453e49ad93821b7dd6ce8bc4" unitRef="_GBC_cef77704267643d794145c73763360e5" addr="T1R7C1S1_1" formatStyle="Comma"/>
        <m:item xlName="_GBC_f22ad34b8209441a972cf2e91d6b7a52" concept="clcid-pte:TongYiKongZhiXiaQiYeHeBingDaoZhiYouXianGuBianDongJinE" label="同一控制下企业合并导致优先股变动金额" periodRef="上年同期期初数" mulRef="_GBC_57faea4e453e49ad93821b7dd6ce8bc4" unitRef="_GBC_cef77704267643d794145c73763360e5" addr="T1R7C2S1_1" formatStyle="Comma"/>
        <m:item xlName="_GBC_81cac3539a2048ab96859a2b51148ea8" concept="clcid-pte:TongYiKongZhiXiaQiYeHeBingDaoZhiYongXuZhaiBianDongJinE" label="同一控制下企业合并导致永续债变动金额" periodRef="上年同期期初数" mulRef="_GBC_57faea4e453e49ad93821b7dd6ce8bc4" unitRef="_GBC_cef77704267643d794145c73763360e5" addr="T1R7C3S1_1" formatStyle="Comma"/>
        <m:item xlName="_GBC_f1e906e410fb4566b1ea0e233beb8969" concept="clcid-pte:TongYiKongZhiXiaQiYeHeBingDaoZhiQiTaQuanYiGongJuZhongDeQiTaBianDongJinE" label="同一控制下企业合并导致其他权益工具中的其他变动金额" periodRef="上年同期期初数" mulRef="_GBC_57faea4e453e49ad93821b7dd6ce8bc4" unitRef="_GBC_cef77704267643d794145c73763360e5" addr="T1R7C4S1_1" formatStyle="Comma"/>
        <m:item xlName="_GBC_5e7aa23ff0b64cedb003dfbe2e9e84fb" concept="clcid-pte:TongYiKongZhiXiaQiYeHeBingDaoZhiZiBenGongJiBianDongJinE" label="同一控制下企业合并导致资本公积变动金额" periodRef="上年同期期初数" mulRef="_GBC_57faea4e453e49ad93821b7dd6ce8bc4" unitRef="_GBC_cef77704267643d794145c73763360e5" addr="T1R7C5S1_1" formatStyle="Comma"/>
        <m:item xlName="_GBC_3141616d179f4c778e185af1763146d7" concept="clcid-pte:TongYiKongZhiXiaQiYeHeBingDaoZhiKuCunGuBianDongJinE" label="同一控制下企业合并导致库存股变动金额" periodRef="上年同期期初数" mulRef="_GBC_57faea4e453e49ad93821b7dd6ce8bc4" unitRef="_GBC_cef77704267643d794145c73763360e5" addr="T1R7C6S1_1" baseScale="-1" formatStyle="Comma"/>
        <m:item xlName="_GBC_524da2cc9c614a639062c64c6643e4d0" concept="clcid-pte:TongYiKongZhiXiaQiYeHeBingDaoZhiQiTaZongHeShouYiBianDongJinE" label="同一控制下企业合并导致其他综合收益变动金额" periodRef="上年同期期初数" mulRef="_GBC_57faea4e453e49ad93821b7dd6ce8bc4" unitRef="_GBC_cef77704267643d794145c73763360e5" addr="T1R7C7S1_1" formatStyle="Comma"/>
        <m:item xlName="_GBC_ce469aff25724bbcb78f6e89d237b02f" concept="clcid-pte:TongYiKongZhiXiaQiYeHeBingDaoZhiZhuanXiangChuBeiBianDongJinE" label="同一控制下企业合并导致专项储备变动金额" periodRef="上年同期期初数" mulRef="_GBC_57faea4e453e49ad93821b7dd6ce8bc4" unitRef="_GBC_cef77704267643d794145c73763360e5" addr="T1R7C8S1_1" formatStyle="Comma"/>
        <m:item xlName="_GBC_d072a379be5d4963870dae76449b4d3f" concept="clcid-pte:TongYiKongZhiXiaQiYeHeBingDaoZhiYingYuGongJiBianDongJinE" label="同一控制下企业合并导致盈余公积变动金额" periodRef="上年同期期初数" mulRef="_GBC_57faea4e453e49ad93821b7dd6ce8bc4" unitRef="_GBC_cef77704267643d794145c73763360e5" addr="T1R7C9S1_1" formatStyle="Comma"/>
        <m:item xlName="_GBC_e208f7c02b294465b76b26900fbe0cb3" concept="clcid-pte:TongYiKongZhiXiaQiYeHeBingDaoZhiYiBanFengXianZhunBeiBianDongJinE" label="同一控制下企业合并导致一般风险准备变动金额" periodRef="上年同期期初数" mulRef="_GBC_57faea4e453e49ad93821b7dd6ce8bc4" unitRef="_GBC_cef77704267643d794145c73763360e5" addr="T1R7C10S1_1" formatStyle="Comma"/>
        <m:item xlName="_GBC_fb30a058c5834199a895b5927f3bca56" concept="clcid-pte:TongYiKongZhiXiaQiYeHeBingDaoZhiWeiFenPeiLiRunBianDongJinE" label="同一控制下企业合并导致未分配利润变动金额" periodRef="上年同期期初数" mulRef="_GBC_57faea4e453e49ad93821b7dd6ce8bc4" unitRef="_GBC_cef77704267643d794145c73763360e5" addr="T1R7C11S1_1" formatStyle="Comma"/>
        <m:item xlName="_GBC_1ea0eec8100d47aaaff4c62c6ef7558e" concept="clcid-pte:TongYiKongZhiXiaQiYeHeBingDaoZhiQiTaDeGuiShuYuMuGongSiSuoYouZheQuanYiBianDongJinE" label="同一控制下企业合并导致其他的归属于母公司所有者权益变动金额" periodRef="上年同期期初数" mulRef="_GBC_57faea4e453e49ad93821b7dd6ce8bc4" unitRef="_GBC_cef77704267643d794145c73763360e5" addr="T1R7C12S1_1" formatStyle="Comma"/>
        <m:item xlName="_GBC_67105d6281454a8e94316dce4bb55399" concept="clcid-pte:TongYiKongZhiXiaQiYeHeBingDaoZhiGuiShuYuMuGongSiSuoYouZheQuanYiBianDongJinE" label="同一控制下企业合并导致归属于母公司所有者权益变动金额" periodRef="上年同期期初数" mulRef="_GBC_57faea4e453e49ad93821b7dd6ce8bc4" unitRef="_GBC_cef77704267643d794145c73763360e5" addr="T1R7C13S1_1" formatStyle="Comma"/>
        <m:item xlName="_GBC_1126a138949d4ffb96ecd1c53b661652" concept="clcid-pte:TongYiKongZhiXiaQiYeHeBingDaoZhiShaoShuGuDongQuanYiBianDongJinE" label="同一控制下企业合并导致少数股东权益变动金额" periodRef="上年同期期初数" mulRef="_GBC_57faea4e453e49ad93821b7dd6ce8bc4" unitRef="_GBC_cef77704267643d794145c73763360e5" addr="T1R7C14S1_1" formatStyle="Comma"/>
        <m:item xlName="_GBC_2f3ffb52807c45f4aec7fb090b6c79a1" concept="clcid-pte:TongYiKongZhiXiaQiYeHeBingDaoZhiGuDongQuanYiHeJiBianDongJinE" label="同一控制下企业合并导致股东权益合计变动金额" periodRef="上年同期期初数" mulRef="_GBC_57faea4e453e49ad93821b7dd6ce8bc4" unitRef="_GBC_cef77704267643d794145c73763360e5" addr="T1R7C15S1_1" formatStyle="Comma"/>
        <m:placeholder xlName="_PLD_3226061f12cf4cf887adc2639edc13d6" wordText="其他" indent="200" addr="T1R8C0S1_1"/>
        <m:item xlName="_GBC_7014747b06a044aca34e63237762e1b6" concept="clcid-pte:QiTaZhuiSuTiaoZhengDaoZhiShiShouZiBenBianDongJinE" label="实收资本变动金额（其他追溯调整）" periodRef="上年同期期初数" mulRef="_GBC_57faea4e453e49ad93821b7dd6ce8bc4" unitRef="_GBC_cef77704267643d794145c73763360e5" addr="T1R8C1S1_1" formatStyle="Comma"/>
        <m:item xlName="_GBC_24beb026d74c45669cfca2fb9f153cb9" concept="clcid-pte:YouXianGuBianDongJinEQiTaZhuiSuDiaoZheng" label="优先股变动金额（其他追溯调整）" periodRef="上年同期期初数" mulRef="_GBC_57faea4e453e49ad93821b7dd6ce8bc4" unitRef="_GBC_cef77704267643d794145c73763360e5" addr="T1R8C2S1_1" formatStyle="Comma"/>
        <m:item xlName="_GBC_812bf0afa0b04166a0740c4fa37bb7dd" concept="clcid-pte:YongXuZhaiBianDongJinEQiTaZhuiSuDiaoZheng" label="永续债变动金额（其他追溯调整）" periodRef="上年同期期初数" mulRef="_GBC_57faea4e453e49ad93821b7dd6ce8bc4" unitRef="_GBC_cef77704267643d794145c73763360e5" addr="T1R8C3S1_1" formatStyle="Comma"/>
        <m:item xlName="_GBC_54d2ae2f88c4425abae94ea09d4c26c7" concept="clcid-pte:QiTaQuanYiGongJuZhongDeQiTaBianDongJinEQiTaZhuiSuDiaoZheng" label="其他权益工具中的其他变动金额（其他追溯调整）" periodRef="上年同期期初数" mulRef="_GBC_57faea4e453e49ad93821b7dd6ce8bc4" unitRef="_GBC_cef77704267643d794145c73763360e5" addr="T1R8C4S1_1" formatStyle="Comma"/>
        <m:item xlName="_GBC_4384133fe2ff4f83b61e108fadb43e9f" concept="clcid-pte:QiTaZhuiSuTiaoZhengDaoZhiZiBenGongJiBianDongJinE" label="资本公积变动金额（其他追溯调整）" periodRef="上年同期期初数" mulRef="_GBC_57faea4e453e49ad93821b7dd6ce8bc4" unitRef="_GBC_cef77704267643d794145c73763360e5" addr="T1R8C5S1_1" formatStyle="Comma"/>
        <m:item xlName="_GBC_67ff49fdee894fd5a793fd2d89d470fb" concept="clcid-pte:QiTaZhuiSuTiaoZhengDaoZhiKuCunGuBianDongJinE" label="库存股变动金额（其他追溯调整）" periodRef="上年同期期初数" mulRef="_GBC_57faea4e453e49ad93821b7dd6ce8bc4" unitRef="_GBC_cef77704267643d794145c73763360e5" addr="T1R8C6S1_1" baseScale="-1" formatStyle="Comma"/>
        <m:item xlName="_GBC_8b8ab63d66594f0d80b084fa688c7d0a" concept="clcid-pte:QiTaZongHeShouYiBianDongJinEQiTaZhuiSuDiaoZheng" label="其他综合收益变动金额（其他追溯调整）" periodRef="上年同期期初数" mulRef="_GBC_57faea4e453e49ad93821b7dd6ce8bc4" unitRef="_GBC_cef77704267643d794145c73763360e5" addr="T1R8C7S1_1" formatStyle="Comma"/>
        <m:item xlName="_GBC_45b7d90f922e4b2a9bf9a575b66b380d" concept="clcid-pte:QiTaZhuiSuTiaoZhengDaoZhiZhuanXiangChuBeiBianDongJinE" label="专项储备变动金额（其他追溯调整）" periodRef="上年同期期初数" mulRef="_GBC_57faea4e453e49ad93821b7dd6ce8bc4" unitRef="_GBC_cef77704267643d794145c73763360e5" addr="T1R8C8S1_1" formatStyle="Comma"/>
        <m:item xlName="_GBC_c6b938cdb4e845298e678ed9e4a0f79e" concept="clcid-pte:QiTaZhuiSuTiaoZhengDaoZhiYingYuGongJiBianDongJinE" label="盈余公积变动金额（其他追溯调整）" periodRef="上年同期期初数" mulRef="_GBC_57faea4e453e49ad93821b7dd6ce8bc4" unitRef="_GBC_cef77704267643d794145c73763360e5" addr="T1R8C9S1_1" formatStyle="Comma"/>
        <m:item xlName="_GBC_8d529a9cf7814ce5abe0feb46552fce6" concept="clcid-pte:QiTaZhuiSuTiaoZhengDaoZhiYiBanFengXianZhunBeiBianDongJinE" label="一般风险准备变动金额（其他追溯调整）" periodRef="上年同期期初数" mulRef="_GBC_57faea4e453e49ad93821b7dd6ce8bc4" unitRef="_GBC_cef77704267643d794145c73763360e5" addr="T1R8C10S1_1" formatStyle="Comma"/>
        <m:item xlName="_GBC_acfdd2563a7c41e78c91352fe7c7a567" concept="clcid-pte:QiTaZhuiSuTiaoZhengDaoZhiWeiFenPeiLiRunBianDongJinE" label="未分配利润变动金额（其他追溯调整）" periodRef="上年同期期初数" mulRef="_GBC_57faea4e453e49ad93821b7dd6ce8bc4" unitRef="_GBC_cef77704267643d794145c73763360e5" addr="T1R8C11S1_1" formatStyle="Comma"/>
        <m:item xlName="_GBC_3402a6e6d6854703bba740a7220b7802" concept="clcid-pte:QiTaZhuiSuTiaoZhengDaoZhiQiTaGuiShuYuMuGongSiSuoYouZheQuanYiBianDongJinE" label="其他归属于母公司所有者权益变动金额（其他追溯调整）" periodRef="上年同期期初数" mulRef="_GBC_57faea4e453e49ad93821b7dd6ce8bc4" unitRef="_GBC_cef77704267643d794145c73763360e5" addr="T1R8C12S1_1" formatStyle="Comma"/>
        <m:item xlName="_GBC_766a63411d4942969fa23a9aea9b7857" concept="clcid-pte:QiTaZhuiSuTiaoZhengDaoZhiGuiShuYuMuGongSiSuoYouZheQuanYiBianDongJinE" label="归属于母公司所有者权益变动金额（其他追溯调整）" periodRef="上年同期期初数" mulRef="_GBC_57faea4e453e49ad93821b7dd6ce8bc4" unitRef="_GBC_cef77704267643d794145c73763360e5" addr="T1R8C13S1_1" formatStyle="Comma"/>
        <m:item xlName="_GBC_f14b713f144e4112afbdc5ef3f614e03" concept="clcid-pte:QiTaZhuiSuTiaoZhengDaoZhiShaoShuGuDongQuanYiBianDongJinE" label="少数股东权益变动金额（其他追溯调整）" periodRef="上年同期期初数" mulRef="_GBC_57faea4e453e49ad93821b7dd6ce8bc4" unitRef="_GBC_cef77704267643d794145c73763360e5" addr="T1R8C14S1_1" formatStyle="Comma"/>
        <m:item xlName="_GBC_43a1f32d85424c1f8a13d76062ec30a3" concept="clcid-pte:QiTaZhuiSuTiaoZhengDaoZhiGuDongQuanYiBianDongJinE" label="股东权益变动金额（其他追溯调整）" periodRef="上年同期期初数" mulRef="_GBC_57faea4e453e49ad93821b7dd6ce8bc4" unitRef="_GBC_cef77704267643d794145c73763360e5" addr="T1R8C15S1_1" formatStyle="Comma"/>
        <m:placeholder xlName="_PLD_6438083d485a4ed1a2cb2a35b3d400f3" wordText="二、本年期初余额" addr="T1R9C0S1_1"/>
        <m:item xlName="_GBC_29228dddf11a4efd93c38283aea99940" concept="clcid-pte:GuBen" label="股本" periodRef="上年同期期初数" mulRef="_GBC_57faea4e453e49ad93821b7dd6ce8bc4" unitRef="_GBC_cef77704267643d794145c73763360e5" addr="T1R9C1S1_1" formatStyle="Comma">
          <m:complexRule comparator="Eq" title="股本@上年同期期初数" test=" $_GBC_854da413fe924f06ba45aba97c6c6d89 +  $_GBC_7f5d706b6e554275b4e679668e44ad68 +  $_GBC_e5331680faaa41dea7ca228a155e9ea7 +  $_GBC_aa30b12bd02745898caad1fa0092e413 +  $_GBC_7014747b06a044aca34e63237762e1b6" id="Cacadd4b996484f79a10f40a11121cd54" radius="0.0001"/>
        </m:item>
        <m:item xlName="_GBC_586f64de03a3460aabbe5038afe82d0c" concept="clcid-pte:QiTaQuanYiGongJuQiZhongYouXianGu" label="其他权益工具-其中：优先股" periodRef="上年同期期初数" mulRef="_GBC_57faea4e453e49ad93821b7dd6ce8bc4" unitRef="_GBC_cef77704267643d794145c73763360e5" addr="T1R9C2S1_1" formatStyle="Comma">
          <m:complexRule comparator="Eq" title="其他权益工具-其中：优先股@上年同期期初数" test=" $_GBC_ad4872ac276749f5af81d57acd57f55d +  $_GBC_7899d33038c14b1fb9d605f9129aee2b +  $_GBC_2fa2f65644a9411a801969255f2cd68c +  $_GBC_f22ad34b8209441a972cf2e91d6b7a52 +  $_GBC_24beb026d74c45669cfca2fb9f153cb9" id="C3ecf1ea3f36a4b19964c431ce5c3f6b7"/>
        </m:item>
        <m:item xlName="_GBC_b81e57233ebb43849ad885f8489e5d77" concept="clcid-pte:QiTaQuanYiGongJuYongXuZhai" label="其他权益工具-永续债" periodRef="上年同期期初数" mulRef="_GBC_57faea4e453e49ad93821b7dd6ce8bc4" unitRef="_GBC_cef77704267643d794145c73763360e5" addr="T1R9C3S1_1" formatStyle="Comma">
          <m:complexRule comparator="Eq" title="其他权益工具-永续债@上年同期期初数" test=" $_GBC_3e7185ee538247f89d5dfd647cf45a9b +  $_GBC_52519b8c6e3c46829364cb4f010d4848 +  $_GBC_77a080aa9dd0493193367b74093001a5 +  $_GBC_81cac3539a2048ab96859a2b51148ea8 +  $_GBC_812bf0afa0b04166a0740c4fa37bb7dd" id="Cbeb1deb87986402f8bc40b3775c7a656"/>
        </m:item>
        <m:item xlName="_GBC_c51d61616db94b14bf5c435dcd246b61" concept="clcid-pte:QiTaQuanYiGongJuQiTa" label="其他权益工具-其他" periodRef="上年同期期初数" mulRef="_GBC_57faea4e453e49ad93821b7dd6ce8bc4" unitRef="_GBC_cef77704267643d794145c73763360e5" addr="T1R9C4S1_1" formatStyle="Comma">
          <m:complexRule comparator="Eq" title="其他权益工具-其他@上年同期期初数" test=" $_GBC_74cc920a4ff44ae39d1d17b524cabe4f +  $_GBC_7b4cebdeeb6a4bd09e6a469300de95b3 +  $_GBC_dcf60019f2ae4d1392f562f4ba6e4b86 +  $_GBC_f1e906e410fb4566b1ea0e233beb8969 +  $_GBC_54d2ae2f88c4425abae94ea09d4c26c7" id="C69d30ee5dfb6420ca69ac691e1b294df"/>
        </m:item>
        <m:item xlName="_GBC_020ca31040f14d5b9948f64d91e25197" concept="clcid-pte:ZiBenGongJi" label="资本公积" periodRef="上年同期期初数" mulRef="_GBC_57faea4e453e49ad93821b7dd6ce8bc4" unitRef="_GBC_cef77704267643d794145c73763360e5" addr="T1R9C5S1_1" formatStyle="Comma">
          <m:complexRule comparator="Eq" title="资本公积@上年同期期初数" test=" $_GBC_1aba68439b674133b6be2b46109570dd +  $_GBC_ab28fbce9bec45c589f0d28a0b72b8fd +  $_GBC_87e7e99031c5437294b2bcdc83a86ec7 +  $_GBC_5e7aa23ff0b64cedb003dfbe2e9e84fb +  $_GBC_4384133fe2ff4f83b61e108fadb43e9f" id="C218dd0d2edea4141b5991a882e34d59a" radius="0.0001"/>
        </m:item>
        <m:item xlName="_GBC_badfefb2a7214eb297083b23774a1f7d" concept="clcid-pte:KuCunGu" label="库存股" periodRef="上年同期期初数" mulRef="_GBC_57faea4e453e49ad93821b7dd6ce8bc4" unitRef="_GBC_cef77704267643d794145c73763360e5" addr="T1R9C6S1_1" baseScale="-1" formatStyle="Comma">
          <m:complexRule comparator="Eq" title="库存股@上年同期期初数" test=" $_GBC_6f24df6985a64059a57204a19895fd1f +  $_GBC_ee6bf7ce1f7c483fae4ce9ea7607be5c +  $_GBC_5f199f3da1754e1cae4ebd100bcd4377 +  $_GBC_3141616d179f4c778e185af1763146d7 +  $_GBC_67ff49fdee894fd5a793fd2d89d470fb" id="C72130a559c394f5ea371e437282caf23" radius="0.0001"/>
        </m:item>
        <m:item xlName="_GBC_edb7266ef45f4da099332297613a98cf" concept="clcid-pte:QiTaZongHeShouYiZiChanFuZhaiBiaoXiangMu" label="其他综合收益（资产负债表项目）" periodRef="上年同期期初数" mulRef="_GBC_57faea4e453e49ad93821b7dd6ce8bc4" unitRef="_GBC_cef77704267643d794145c73763360e5" addr="T1R9C7S1_1" formatStyle="Comma">
          <m:complexRule comparator="Eq" title="其他综合收益（资产负债表项目）@上年同期期初数" test=" $_GBC_3e651d41ec724e9cbf5773b5eee4cc2a +  $_GBC_55e24e8177864d2d9629ef6c2ce846dc +  $_GBC_c2ea62073a494f7f980d9015df9f45b8 +  $_GBC_8b8ab63d66594f0d80b084fa688c7d0a +  $_GBC_524da2cc9c614a639062c64c6643e4d0" id="Ca5abbf53a04a44a2af04950312e8bfc0"/>
        </m:item>
        <m:item xlName="_GBC_cdd975d1429e4d7e9a7a3210f7afdb61" concept="clcid-pte:ZhuanXiangChuBei" label="专项储备" periodRef="上年同期期初数" mulRef="_GBC_57faea4e453e49ad93821b7dd6ce8bc4" unitRef="_GBC_cef77704267643d794145c73763360e5" addr="T1R9C8S1_1" formatStyle="Comma">
          <m:complexRule comparator="Eq" title="专项储备@上年同期期初数" test=" $_GBC_62deeb3aba5643628767e8b201e91104 +  $_GBC_315baefe38274582aae1855022c44523 +  $_GBC_db2bd14f7f49435295daf03d80b9d402 +  $_GBC_ce469aff25724bbcb78f6e89d237b02f +  $_GBC_45b7d90f922e4b2a9bf9a575b66b380d" id="C56802032f03847ef9ae1e1a7b8fbb339" radius="0.0001"/>
        </m:item>
        <m:item xlName="_GBC_2412e5b478a843eb99deba7334d5a181" concept="clcid-pte:YingYuGongJi" label="盈余公积" periodRef="上年同期期初数" mulRef="_GBC_57faea4e453e49ad93821b7dd6ce8bc4" unitRef="_GBC_cef77704267643d794145c73763360e5" addr="T1R9C9S1_1" formatStyle="Comma">
          <m:complexRule comparator="Eq" title="盈余公积@上年同期期初数" test=" $_GBC_c156702204e34a5f90fb1ebe40f90907 +  $_GBC_581208ae8fef49dea71cc91814498d9e +  $_GBC_abce7751a5d447648dede0f29c643ab3 +  $_GBC_d072a379be5d4963870dae76449b4d3f +  $_GBC_c6b938cdb4e845298e678ed9e4a0f79e" id="C225e6835b0d44f15b00707521964718b" radius="0.0001"/>
        </m:item>
        <m:item xlName="_GBC_0e21bee450ef463ebe134dfd6a29c056" concept="clcid-pte:YiBanFengXianZhunBei" label="一般风险准备" periodRef="上年同期期初数" mulRef="_GBC_57faea4e453e49ad93821b7dd6ce8bc4" unitRef="_GBC_cef77704267643d794145c73763360e5" addr="T1R9C10S1_1" formatStyle="Comma">
          <m:complexRule comparator="Eq" title="一般风险准备@上年同期期初数" test=" $_GBC_77d988a76f2b4a59b1e8e51e04ca4865 +  $_GBC_b9a7c0a0ac5e4383a43e79bf2417c1e7 +  $_GBC_4616d57b213b44ae9ba6bfe9ef47efe6 +  $_GBC_e208f7c02b294465b76b26900fbe0cb3 +  $_GBC_8d529a9cf7814ce5abe0feb46552fce6" id="C03c8676aba364ecc8b63daadc24bc086" radius="0.0001"/>
        </m:item>
        <m:item xlName="_GBC_b9b83ce3e31743df884eb1e7b063b4b0" concept="clcid-pte:WeiFenPeiLiRun" label="未分配利润" periodRef="上年同期期初数" mulRef="_GBC_57faea4e453e49ad93821b7dd6ce8bc4" unitRef="_GBC_cef77704267643d794145c73763360e5" addr="T1R9C11S1_1" formatStyle="Comma">
          <m:complexRule comparator="Eq" title="未分配利润@上年同期期初数" test=" $_GBC_3acca1b87ed54de8b386610e5ba1421a +  $_GBC_2ccdcf3e8e2148be9e5a91bf57c58e35 +  $_GBC_3a41bcbe6fa64179bedea959f8348e0a +  $_GBC_fb30a058c5834199a895b5927f3bca56 +  $_GBC_acfdd2563a7c41e78c91352fe7c7a567" id="C2642b55a20c544059378e9f837771cee" radius="0.0001"/>
        </m:item>
        <m:item xlName="_GBC_f05a85dd91d848358678124d31a8beee" concept="clcid-pte:QiTaDeGuiShuYuMuGongSiSuoYouZheQuanYi" label="其他的归属于母公司所有者权益" periodRef="上年同期期初数" mulRef="_GBC_57faea4e453e49ad93821b7dd6ce8bc4" unitRef="_GBC_cef77704267643d794145c73763360e5" addr="T1R9C12S1_1" formatStyle="Comma">
          <m:complexRule comparator="Eq" title="其他的归属于母公司所有者权益@上年同期期初数" test="$_GBC_d2d7facddcdc44fdae9cd4876a15f2a6+$_GBC_461a17df329147b7973ab3ad92b79941+$_GBC_d1931b08c2a049a383442c19fc2de821+$_GBC_1ea0eec8100d47aaaff4c62c6ef7558e+$_GBC_3402a6e6d6854703bba740a7220b7802" id="C73b0eee979f944f8aef9e048395a605d"/>
        </m:item>
        <m:item xlName="_GBC_7d67d3e83d894a74a99f98051c72444a" concept="clcid-pte:GuiShuYuMuGongSiSuoYouZheQuanYiHeJi" label="归属于母公司所有者权益合计" periodRef="上年同期期初数" mulRef="_GBC_57faea4e453e49ad93821b7dd6ce8bc4" unitRef="_GBC_cef77704267643d794145c73763360e5" addr="T1R9C13S1_1" formatStyle="Comma">
          <m:complexRule comparator="Eq" title="归属于母公司所有者权益合计@上年同期期初数" test="$_GBC_5b719eb0693f4dc0aa8b43da86588bfd+$_GBC_01f6f62ed6f745c6adde1c42c93eaf8b+$_GBC_bf0cd8e9602745128a3d2be0b3c17d5c+$_GBC_67105d6281454a8e94316dce4bb55399+$_GBC_766a63411d4942969fa23a9aea9b7857" id="C06ba9ba183434695bff0785a01479a4d"/>
        </m:item>
        <m:item xlName="_GBC_c64d00e83755454b959523fc682e1cab" concept="clcid-pte:ShaoShuGuDongQuanYi" label="少数股东权益" periodRef="上年同期期初数" mulRef="_GBC_57faea4e453e49ad93821b7dd6ce8bc4" unitRef="_GBC_cef77704267643d794145c73763360e5" addr="T1R9C14S1_1" formatStyle="Comma">
          <m:complexRule comparator="Eq" title="少数股东权益@上年同期期初数" test=" $_GBC_ec150e53d92249d0b1f4a0e82e553323 +  $_GBC_ffdb436b9fcf434a8804c4938099c565 +  $_GBC_9d01be09200a4ee6b302ddf3d2788b12 +  $_GBC_1126a138949d4ffb96ecd1c53b661652 +  $_GBC_f14b713f144e4112afbdc5ef3f614e03" id="C1ac51bd18f764f409d3b9bbc4b277db8"/>
        </m:item>
        <m:item xlName="_GBC_860a27843b9e4ef492602c60eb2ea0db" concept="clcid-pte:GuDongQuanYiHeJi" label="股东权益合计" periodRef="上年同期期初数" mulRef="_GBC_57faea4e453e49ad93821b7dd6ce8bc4" unitRef="_GBC_cef77704267643d794145c73763360e5" addr="T1R9C15S1_1" formatStyle="Comma">
          <m:complexRule comparator="Eq" title="股东权益合计@上年同期期初数" test=" $_GBC_033de45e41ec4383b5ed95d4561fbf12 +  $_GBC_32d2dd3af6474a90a5453421be1a0883 +  $_GBC_931ae19a17ed4527bc05ce36cd703491 +  $_GBC_2f3ffb52807c45f4aec7fb090b6c79a1 +  $_GBC_43a1f32d85424c1f8a13d76062ec30a3" id="C01c517df19f44a95aceffdad39e09540"/>
        </m:item>
        <m:placeholder xlName="_PLD_a0d70a8ecfa64251bc0240cb363e3dd7" wordText="三、本期增减变动金额（减少以“－”号填列）" addr="T1R10C0S1_1"/>
        <m:item xlName="_GBC_cf199cdbf1234f5e8f4d46908bcec27b" concept="clcid-pte:ShiShouZiBenHuoGuBenJingEZengJianBianDongJinE" label="实收资本（或股本）净额增减变动金额" periodRef="上年同期数" mulRef="_GBC_57faea4e453e49ad93821b7dd6ce8bc4" unitRef="_GBC_cef77704267643d794145c73763360e5" addr="T1R10C1S1_1" formatStyle="Comma">
          <m:complexRule comparator="Eq" title="实收资本（或股本）净额增减变动金额@上年同期数" test=" $_GBC_c661fdcd7e114bf7bad08bb88fd5f9cd +  $_GBC_c7fc3fe916e2471c95b62a8d5367c414 +  $_GBC_4515f8c0a02342a0aca3c7b0a872f0ef +  $_GBC_2b0ffe66cc714ea89055bc1104efd56a +  $_GBC_5115f070f2ca4b3aa007cd2dfff8ae5e +  $_GBC_0a2e0b25ebf54f71b2cf2ee0df8308f8" id="C53909bdf0b3141bebeae146fb585a9dc" radius="0.0001"/>
        </m:item>
        <m:item xlName="_GBC_e487e561657e4d7891c17d9705fafff5" concept="clcid-pte:QiTaQuanYiGongJuZhongDeYouXianGuZengJianBianDongJinE" label="其他权益工具中的优先股增减变动金额" periodRef="上年同期数" mulRef="_GBC_57faea4e453e49ad93821b7dd6ce8bc4" unitRef="_GBC_cef77704267643d794145c73763360e5" addr="T1R10C2S1_1" formatStyle="Comma">
          <m:complexRule comparator="Eq" title="其他权益工具中的优先股增减变动金额@上年同期数" test=" $_GBC_1dd02a17a0ed4ae1b337424d46c59589 +  $_GBC_f2fd5f1d6b0f46e6b89d9da4ef8eeab9 +  $_GBC_956859598b774427a71069bf915aa0af +  $_GBC_4d7e3c201d6a41a3b8eb19a7c160b53e +  $_GBC_ebe9f45adce54283bcf82f3858ea53a5 +  $_GBC_570ede3304204b6095a1443ef359dfff" id="C520990ef75d14e8bb5dbbdbc1a4ecd3b"/>
        </m:item>
        <m:item xlName="_GBC_ec06f16ff482481a9ff04355a14cd023" concept="clcid-pte:QiTaQuanYiGongJuZhongDeYongXuZhaiZengJianBianDongJinE" label="其他权益工具中的永续债增减变动金额" periodRef="上年同期数" mulRef="_GBC_57faea4e453e49ad93821b7dd6ce8bc4" unitRef="_GBC_cef77704267643d794145c73763360e5" addr="T1R10C3S1_1" formatStyle="Comma">
          <m:complexRule comparator="Eq" title="其他权益工具中的永续债增减变动金额@上年同期数" test=" $_GBC_44a4c9053ef94e26b6320a345f965a68 +  $_GBC_72a4e661636f4e338787c7f11bd6586c +  $_GBC_d7713cfd89f64315be3201164767bf11 +  $_GBC_dbc3303ee9ce4d1b9276cdd1b56f3fe8 +  $_GBC_e29e6ffb3f96493ba46db0633f1d14a6 +  $_GBC_341674fde95c4db3acdcb053de349b86" id="C102f4f555d21473a8f12fac26a1e5c9f"/>
        </m:item>
        <m:item xlName="_GBC_67cac0a9572e4e76a54e15485eb43f66" concept="clcid-pte:QiTaQuanYiGongJuZhongDeQiTaZengJianBianDongJinE" label="其他权益工具中的其他增减变动金额" periodRef="上年同期数" mulRef="_GBC_57faea4e453e49ad93821b7dd6ce8bc4" unitRef="_GBC_cef77704267643d794145c73763360e5" addr="T1R10C4S1_1" formatStyle="Comma">
          <m:complexRule comparator="Eq" title="其他权益工具中的其他增减变动金额@上年同期数" test=" $_GBC_37c7cdec467b454daefc7bbca597d556 +  $_GBC_204f09a984ef4e88b8cdb9aea91e2bc4 +  $_GBC_72d1b237cf074966810021ff3fbb8d42 +  $_GBC_2cab6a74577844ffa81888c227201d9a +  $_GBC_b7f2b0c5b09445a9b198bb2b721752a2 +  $_GBC_6a2f33bad914493cab615467aa558cd7" id="C2727e6885de14f5d8bfbeb789d1440b1"/>
        </m:item>
        <m:item xlName="_GBC_736145bd6aa14664bfdaa678bc305906" concept="clcid-pte:ZiBenGongJiZengJianBianDongJinE" label="资本公积增减变动金额" periodRef="上年同期数" mulRef="_GBC_57faea4e453e49ad93821b7dd6ce8bc4" unitRef="_GBC_cef77704267643d794145c73763360e5" addr="T1R10C5S1_1" formatStyle="Comma">
          <m:complexRule comparator="Eq" title="资本公积增减变动金额@上年同期数" test=" $_GBC_bbd680eed5e943a3ba023c53f8dbaef9 +  $_GBC_27f982b32106414ba21f8c2c8221f466 +  $_GBC_008b092d0d684a408f45effcaea96ca5 +  $_GBC_8531069f916942859721d2903ce54190 +  $_GBC_730f2db178a344d48bfa70a006568b87 +  $_GBC_06c87e795095460aade6a4b36d673eff" id="C072620ec64ff4869b3e67f8ebe36047b" radius="0.0001"/>
        </m:item>
        <m:item xlName="_GBC_66babe9642424a2c84970596d94a14d0" concept="clcid-pte:KuCunGuZengJianBianDongJinE" label="库存股增减变动金额" periodRef="上年同期数" mulRef="_GBC_57faea4e453e49ad93821b7dd6ce8bc4" unitRef="_GBC_cef77704267643d794145c73763360e5" addr="T1R10C6S1_1" baseScale="-1" formatStyle="Comma">
          <m:complexRule comparator="Eq" title="库存股增减变动金额@上年同期数" test=" $_GBC_81dba68fd263481b8b9de41fc742f65b +  $_GBC_4a3aa42e37e848898c76c8c6611623fa +  $_GBC_ce23bca0342840f9bf622cfe4948a129 +  $_GBC_d84a4243b71443ceb6ec3b8b08ee452a +  $_GBC_b7edbda71c1649daa78c8f3ed62c5583 +  $_GBC_d3c1dc32071a4b4ea4a455f457b7fafd" id="C77b824ccffcd47b7b5e7a8a2a530c0a9" radius="0.0001"/>
        </m:item>
        <m:item xlName="_GBC_67643b420d9e4b668270971e97b41b55" concept="clcid-pte:QiTaZongHeShouYiZengJianBianDongJinE" label="其他综合收益增减变动金额" periodRef="上年同期数" mulRef="_GBC_57faea4e453e49ad93821b7dd6ce8bc4" unitRef="_GBC_cef77704267643d794145c73763360e5" addr="T1R10C7S1_1" formatStyle="Comma">
          <m:complexRule comparator="Eq" title="其他综合收益增减变动金额@上年同期数" test=" $_GBC_5d80154a31cc487a8fca2d0795d0767d +  $_GBC_7096cd70abb34e0f9affbb8fd00e7f05 +  $_GBC_e01df85347834a428343dfb684e1c4c7 +  $_GBC_134b0598c9ab42aba55185cdf9e78b50 +  $_GBC_a7207f4a785c41028641257b4656db62 +  $_GBC_80a1a444810d4755a1b367d7b4113fc0" id="C99a3ae7b814f49dbb1f1f18a13920669"/>
        </m:item>
        <m:item xlName="_GBC_9ab4b6e8029c43fbb6ea9cfc45c1b327" concept="clcid-pte:ZhuanXiangChuBeiZengJianBianDongJinE" label="专项储备增减变动金额" periodRef="上年同期数" mulRef="_GBC_57faea4e453e49ad93821b7dd6ce8bc4" unitRef="_GBC_cef77704267643d794145c73763360e5" addr="T1R10C8S1_1" formatStyle="Comma">
          <m:complexRule comparator="Eq" title="专项储备增减变动金额@上年同期数" test=" $_GBC_ae8c844cb34845c3b16645d890c60706 +  $_GBC_8def970b180a4090b169224fb7af132d +  $_GBC_acb34edb816546b8af18f57854b81e27 +  $_GBC_8e5ba80992e441bb8c20272861e2224c +  $_GBC_d7fc9bfad83d47869766a784625f42c7 +  $_GBC_4e67cf6939104df899086bf8915ed541" id="Cec021baa7d0d48688294ac0d3ea41a3a"/>
        </m:item>
        <m:item xlName="_GBC_990b5aca47c440d38da9e89e7e1fd651" concept="clcid-pte:YingYuGongJiZengJianBianDongJinE" label="盈余公积增减变动金额" periodRef="上年同期数" mulRef="_GBC_57faea4e453e49ad93821b7dd6ce8bc4" unitRef="_GBC_cef77704267643d794145c73763360e5" addr="T1R10C9S1_1" formatStyle="Comma">
          <m:complexRule comparator="Eq" title="盈余公积增减变动金额@上年同期数" test=" $_GBC_10c37d120ee4436587ffa83db6b1e23d +  $_GBC_d3805221fe5445a38db6432c15320b3e +  $_GBC_4e4cd410b78241f4b33254e9ea8f8b1c +  $_GBC_4b92f2c7718d4b4c808eeae471b3c6f1 +  $_GBC_735a622e4d5248dbbe61bd011aeb6c52 +  $_GBC_2d4b24e7e15d4794ad3b0426f89c60db" id="C478fb58a135a41f3b60570b11f757248"/>
        </m:item>
        <m:item xlName="_GBC_b2d1e21a3bb6495b8c9f810fbb8e2730" concept="clcid-pte:YiBanFengXianZhunBeiZengJianBianDongJinE" label="一般风险准备增减变动金额" periodRef="上年同期数" mulRef="_GBC_57faea4e453e49ad93821b7dd6ce8bc4" unitRef="_GBC_cef77704267643d794145c73763360e5" addr="T1R10C10S1_1" formatStyle="Comma">
          <m:complexRule comparator="Eq" title="一般风险准备增减变动金额@上年同期数" test=" $_GBC_798a59b239344605a4ba4188c21dc365 +  $_GBC_251d24771e7c47bdac370c6c025c0aae +  $_GBC_f79b60fbbcac4ccf9c170ccaf33af09e +  $_GBC_6a41b7ccbd2e40faac2052c7c2728a3c +  $_GBC_0e94e0de46424d809f735159b990bdf3 +  $_GBC_902aa5a3a2d645fd96088017c7d0b76c" id="C1734a8fe476c4e7dad6407937d6fc708"/>
        </m:item>
        <m:item xlName="_GBC_cd64648544fe4e228ff6d9074578f3e0" concept="clcid-pte:WeiFenPeiLiRunZengJianBianDongJinE" label="未分配利润增减变动金额" periodRef="上年同期数" mulRef="_GBC_57faea4e453e49ad93821b7dd6ce8bc4" unitRef="_GBC_cef77704267643d794145c73763360e5" addr="T1R10C11S1_1" formatStyle="Comma">
          <m:complexRule comparator="Eq" title="未分配利润增减变动金额@上年同期数" test=" $_GBC_9a7816da421b4e1db695bb9cae7c5700 +  $_GBC_d4eb7efa39f147beb4e7af97bf016c83 +  $_GBC_5fd16629d42c4cea99eac50d26b2c4e7 +  $_GBC_bac86216fb5c46129a9e923be84c7a9d +  $_GBC_8155ea3cfca145b7a0c2961564659326 +  $_GBC_014bdb8ee7db48e8a9a2a78a3733ad11" id="C5747f1d8763745d18be3b5309eb42dcd"/>
        </m:item>
        <m:item xlName="_GBC_73e4bd84b524451e8dda17c0bc240806" concept="clcid-pte:QiTaDeGuiShuYuMuGongSiSuoYouZheQuanYiZengJianBianDongJinE" label="其他的归属于母公司所有者权益增减变动金额" periodRef="上年同期数" mulRef="_GBC_57faea4e453e49ad93821b7dd6ce8bc4" unitRef="_GBC_cef77704267643d794145c73763360e5" addr="T1R10C12S1_1" formatStyle="Comma">
          <m:complexRule comparator="Eq" title="其他的归属于母公司所有者权益增减变动金额@上年同期数" test=" $_GBC_655c305347794320b376c013fa022787 +  $_GBC_e830dee4e5c0496b8c8dcf1e0e20b6eb +  $_GBC_6c9e66ab8a664e1f8039f875296a7af5 +  $_GBC_78913236579f4505a2a0a370c20bb99a +  $_GBC_c8e14ee4364e45f4bef4626e23c00d90 +  $_GBC_a848ea7203bb4261a2400376b3f7f096" id="C889fc7ff749b4b81abc0d03402ac30b3"/>
        </m:item>
        <m:item xlName="_GBC_383ea250751f448d88659167239f6676" concept="clcid-pte:GuiShuYuMuGongSiSuoYouZheQuanYiZengJianBianDongJinE" label="归属于母公司所有者权益增减变动金额" periodRef="上年同期数" mulRef="_GBC_57faea4e453e49ad93821b7dd6ce8bc4" unitRef="_GBC_cef77704267643d794145c73763360e5" addr="T1R10C13S1_1" formatStyle="Comma">
          <m:complexRule comparator="Eq" title="归属于母公司所有者权益变动金额小计变动金额@上年同期数" test=" $_GBC_64418910f2994707870d715f1a92603c +  $_GBC_e8be04034cb14f3ba33d98f0bfbcc8e8 +  $_GBC_4349f76e6790458194d1a86070e80e48 +  $_GBC_8116420cccd742a69dea5d6655fa89b2 +  $_GBC_327e4f0948b246e596c8ae56bfe1b726 +  $_GBC_5723208c4cf14edb8df2f9ad88eefe24" id="C0f038884a326499cb53793f83ebf32d8"/>
        </m:item>
        <m:item xlName="_GBC_007653fd381a480694970176f77bf4be" concept="clcid-pte:ShaoShuGuDongQuanYiZengJianBianDongJinE" label="少数股东权益增减变动金额" periodRef="上年同期数" mulRef="_GBC_57faea4e453e49ad93821b7dd6ce8bc4" unitRef="_GBC_cef77704267643d794145c73763360e5" addr="T1R10C14S1_1" formatStyle="Comma">
          <m:complexRule comparator="Eq" title="少数股东权益增减变动金额@上年同期数" test=" $_GBC_2fc71a86b75b4afcbb853fbc9b03ca38 +  $_GBC_95ae8980eb034b729998b44929073851 +  $_GBC_c077661fa975459681fcd2aea86ed54a +  $_GBC_23a9e9fa971245748c261f52782192f7 +  $_GBC_6ca048884e154d5a93b8eb75f3ec6f7f +  $_GBC_7d880d6b45a34ddc89095bb0cefb2878" id="Cf367d758f8e0442aa2e4d71acce864be"/>
        </m:item>
        <m:item xlName="_GBC_4a83597b27e245c08d1f646b62d9dbb5" concept="clcid-pte:GuDongQuanYiHeJiZengJianBianDongJinE" label="股东权益合计增减变动金额" periodRef="上年同期数" mulRef="_GBC_57faea4e453e49ad93821b7dd6ce8bc4" unitRef="_GBC_cef77704267643d794145c73763360e5" addr="T1R10C15S1_1" formatStyle="Comma">
          <m:complexRule comparator="Eq" title="股东权益合计增减变动金额@上年同期数" test=" $_GBC_35079ff902314600ae5ae7133bfbad35 +  $_GBC_b95904aab6b142d9a5f15f9617fbebec +  $_GBC_f08e4d3326054b17bd41e89b661062da +  $_GBC_1168372e9d604a1caa5cb7314b932bca +  $_GBC_03bb7c9c59d747079e448137403c922e +  $_GBC_ea503b7b104246e29399a1cf383dd4f0" id="Cbf43683071444fea9cfa42c26b62b5fc"/>
        </m:item>
        <m:placeholder xlName="_PLD_d3b5283bf10a4a3c8882e3f3c30046c5" wordText="（一）综合收益总额" addr="T1R11C0S1_1"/>
        <m:item xlName="_GBC_c661fdcd7e114bf7bad08bb88fd5f9cd" concept="clcid-pte:ZongHeShouYiZongEDaoZhiGuBenBianDongJinE" label="综合收益总额导致股本变动金额" periodRef="上年同期数" mulRef="_GBC_57faea4e453e49ad93821b7dd6ce8bc4" unitRef="_GBC_cef77704267643d794145c73763360e5" addr="T1R11C1S1_1" formatStyle="Comma"/>
        <m:item xlName="_GBC_1dd02a17a0ed4ae1b337424d46c59589" concept="clcid-pte:ZongHeShouYiZongEDaoZhiYouXianGuBianDongJinE" label="综合收益总额导致优先股变动金额" periodRef="上年同期数" mulRef="_GBC_57faea4e453e49ad93821b7dd6ce8bc4" unitRef="_GBC_cef77704267643d794145c73763360e5" addr="T1R11C2S1_1" formatStyle="Comma"/>
        <m:item xlName="_GBC_44a4c9053ef94e26b6320a345f965a68" concept="clcid-pte:ZongHeShouYiZongEDaoZhiYongXuZhaiBianDongJinE" label="综合收益总额导致永续债变动金额" periodRef="上年同期数" mulRef="_GBC_57faea4e453e49ad93821b7dd6ce8bc4" unitRef="_GBC_cef77704267643d794145c73763360e5" addr="T1R11C3S1_1" formatStyle="Comma"/>
        <m:item xlName="_GBC_37c7cdec467b454daefc7bbca597d556" concept="clcid-pte:ZongHeShouYiZongEDaoZhiQiTaQuanYiGongJuZhongDeQiTaBianDongJinE" label="综合收益总额导致其他权益工具中的其他变动金额" periodRef="上年同期数" mulRef="_GBC_57faea4e453e49ad93821b7dd6ce8bc4" unitRef="_GBC_cef77704267643d794145c73763360e5" addr="T1R11C4S1_1" formatStyle="Comma"/>
        <m:item xlName="_GBC_bbd680eed5e943a3ba023c53f8dbaef9" concept="clcid-pte:ZongHeShouYiZongEDaoZhiZiBenGongJiBianDongJinE" label="综合收益总额导致资本公积变动金额" periodRef="上年同期数" mulRef="_GBC_57faea4e453e49ad93821b7dd6ce8bc4" unitRef="_GBC_cef77704267643d794145c73763360e5" addr="T1R11C5S1_1" formatStyle="Comma"/>
        <m:item xlName="_GBC_81dba68fd263481b8b9de41fc742f65b" concept="clcid-pte:ZongHeShouYiZongEDaoZhiKuCunGuBianDongJinE" label="综合收益总额导致库存股变动金额" periodRef="上年同期数" mulRef="_GBC_57faea4e453e49ad93821b7dd6ce8bc4" unitRef="_GBC_cef77704267643d794145c73763360e5" addr="T1R11C6S1_1" baseScale="-1" formatStyle="Comma"/>
        <m:item xlName="_GBC_5d80154a31cc487a8fca2d0795d0767d" concept="clcid-pte:ZongHeShouYiZongEDaoZhiQiTaZongHeShouYiBianDongJinE" label="综合收益总额导致其他综合收益变动金额" periodRef="上年同期数" mulRef="_GBC_57faea4e453e49ad93821b7dd6ce8bc4" unitRef="_GBC_cef77704267643d794145c73763360e5" addr="T1R11C7S1_1" formatStyle="Comma"/>
        <m:item xlName="_GBC_ae8c844cb34845c3b16645d890c60706" concept="clcid-pte:ZongHeShouYiZongEDaoZhiZhuanXiangChuBeiBianDongJinE" label="综合收益总额导致专项储备变动金额" periodRef="上年同期数" mulRef="_GBC_57faea4e453e49ad93821b7dd6ce8bc4" unitRef="_GBC_cef77704267643d794145c73763360e5" addr="T1R11C8S1_1" formatStyle="Comma"/>
        <m:item xlName="_GBC_10c37d120ee4436587ffa83db6b1e23d" concept="clcid-pte:ZongHeShouYiZongEDaoZhiYingYuGongJiBianDongJinE" label="综合收益总额导致盈余公积变动金额" periodRef="上年同期数" mulRef="_GBC_57faea4e453e49ad93821b7dd6ce8bc4" unitRef="_GBC_cef77704267643d794145c73763360e5" addr="T1R11C9S1_1" formatStyle="Comma"/>
        <m:item xlName="_GBC_798a59b239344605a4ba4188c21dc365" concept="clcid-pte:ZongHeShouYiZongEDaoZhiYiBanFengXianZhunBeiBianDongJinE" label="综合收益总额导致一般风险准备变动金额" periodRef="上年同期数" mulRef="_GBC_57faea4e453e49ad93821b7dd6ce8bc4" unitRef="_GBC_cef77704267643d794145c73763360e5" addr="T1R11C10S1_1" formatStyle="Comma"/>
        <m:item xlName="_GBC_9a7816da421b4e1db695bb9cae7c5700" concept="clcid-pte:ZongHeShouYiZongEDaoZhiWeiFenPeiLiRunBianDongJinE" label="综合收益总额导致未分配利润变动金额" periodRef="上年同期数" mulRef="_GBC_57faea4e453e49ad93821b7dd6ce8bc4" unitRef="_GBC_cef77704267643d794145c73763360e5" addr="T1R11C11S1_1" formatStyle="Comma"/>
        <m:item xlName="_GBC_655c305347794320b376c013fa022787" concept="clcid-pte:ZongHeShouYiZongEDaoZhiQiTaDeGuiShuYuMuGongSiSuoYouZheQuanYiBianDongJinE" label="综合收益总额导致其他的归属于母公司所有者权益变动金额" periodRef="上年同期数" mulRef="_GBC_57faea4e453e49ad93821b7dd6ce8bc4" unitRef="_GBC_cef77704267643d794145c73763360e5" addr="T1R11C12S1_1" formatStyle="Comma"/>
        <m:item xlName="_GBC_64418910f2994707870d715f1a92603c" concept="clcid-pte:ZongHeShouYiZongEDaoZhiGuiShuYuMuGongSiSuoYouZheQuanYiBianDongJinE" label="综合收益总额导致归属于母公司所有者权益变动金额" periodRef="上年同期数" mulRef="_GBC_57faea4e453e49ad93821b7dd6ce8bc4" unitRef="_GBC_cef77704267643d794145c73763360e5" addr="T1R11C13S1_1" formatStyle="Comma"/>
        <m:item xlName="_GBC_2fc71a86b75b4afcbb853fbc9b03ca38" concept="clcid-pte:ZongHeShouYiZongEDaoZhiShaoShuGuDongQuanYiBianDongJinE" label="综合收益总额导致少数股东权益变动金额" periodRef="上年同期数" mulRef="_GBC_57faea4e453e49ad93821b7dd6ce8bc4" unitRef="_GBC_cef77704267643d794145c73763360e5" addr="T1R11C14S1_1" formatStyle="Comma"/>
        <m:item xlName="_GBC_35079ff902314600ae5ae7133bfbad35" concept="clcid-pte:ZongHeShouYiZongEDaoZhiGuDongQuanYiHeJiBianDongJinE" label="综合收益总额导致股东权益合计变动金额" periodRef="上年同期数" mulRef="_GBC_57faea4e453e49ad93821b7dd6ce8bc4" unitRef="_GBC_cef77704267643d794145c73763360e5" addr="T1R11C15S1_1" formatStyle="Comma"/>
        <m:placeholder xlName="_PLD_ecb1a0919fe148e5893e9977ac112e36" wordText="（二）所有者投入和减少资本" addr="T1R12C0S1_1"/>
        <m:item xlName="_GBC_c7fc3fe916e2471c95b62a8d5367c414" concept="clcid-pte:SuoYouZheTouRuHeJianShaoZiBenDaoZhiShiShouZiBenHuoGuBenJingEBianDongJinE" label="所有者投入和减少资本导致实收资本（或股本）净额变动金额" periodRef="上年同期数" mulRef="_GBC_57faea4e453e49ad93821b7dd6ce8bc4" unitRef="_GBC_cef77704267643d794145c73763360e5" addr="T1R12C1S1_1" formatStyle="Comma">
          <m:complexRule comparator="Eq" title="所有者投入和减少资本导致实收资本（或股本）净额变动金额@上年同期数" test=" $_GBC_33bed2a1b4844d7bbb9ee2e125567606 +  $_GBC_b1a5eb1cfa38438eb6d14aa9cc5222fd +  $_GBC_0d13bc1dd1794b0dbea3b911b9bb8d56 +  $_GBC_77236ae3f7d34d72ad7593afe7f8e30a" id="C5313d956f0c849dc9ffcdf8cc1fcb399" radius="0.0001"/>
        </m:item>
        <m:item xlName="_GBC_f2fd5f1d6b0f46e6b89d9da4ef8eeab9" concept="clcid-pte:SuoYouZheTouRuHeJianShaoZiBenDaoZhiQiTaQuanYiGongJuZhongDeYouXianGuBianDongJinE" label="所有者投入和减少资本导致其他权益工具中的优先股变动金额" periodRef="上年同期数" mulRef="_GBC_57faea4e453e49ad93821b7dd6ce8bc4" unitRef="_GBC_cef77704267643d794145c73763360e5" addr="T1R12C2S1_1" formatStyle="Comma">
          <m:complexRule comparator="Eq" title="所有者投入和减少资本导致其他权益工具中的优先股变动金额@上年同期数" test=" $_GBC_ece474705f654d62845b14525ea4791e +  $_GBC_abe6cf963b4b41e798f150e058331131 +  $_GBC_f6c4361f32904a10ade1796fa678d7af +  $_GBC_cfc7e6a154b1408eb7937b2cf069bc97" id="Cad7ead0a6e9f44339f1f17fdcf3ffbbf"/>
        </m:item>
        <m:item xlName="_GBC_72a4e661636f4e338787c7f11bd6586c" concept="clcid-pte:SuoYouZheTouRuHeJianShaoZiBenDaoZhiQiTaQuanYiGongJuZhongDeYongXuZhaiBianDongJinE" label="所有者投入和减少资本导致其他权益工具中的永续债变动金额" periodRef="上年同期数" mulRef="_GBC_57faea4e453e49ad93821b7dd6ce8bc4" unitRef="_GBC_cef77704267643d794145c73763360e5" addr="T1R12C3S1_1" formatStyle="Comma">
          <m:complexRule comparator="Eq" title="所有者投入和减少资本导致其他权益工具中的永续债变动金额@上年同期数" test=" $_GBC_21ede649bb76451cb1f041574decf38e +  $_GBC_75b6e72e4f2145238acc9ea2ac6f734c +  $_GBC_a0b8948de5ee4d1fac5ad4cf27581069 +  $_GBC_69dc281fa7854fabbd7b3af263704fa4" id="C90161a0e8be941d69e9339d576ecdc5b"/>
        </m:item>
        <m:item xlName="_GBC_204f09a984ef4e88b8cdb9aea91e2bc4" concept="clcid-pte:SuoYouZheTouRuHeJianShaoZiBenDaoZhiQiTaQuanYiGongJuZhongDeQiTaBianDongJinE" label="所有者投入和减少资本导致其他权益工具中的其他变动金额" periodRef="上年同期数" mulRef="_GBC_57faea4e453e49ad93821b7dd6ce8bc4" unitRef="_GBC_cef77704267643d794145c73763360e5" addr="T1R12C4S1_1" formatStyle="Comma">
          <m:complexRule comparator="Eq" title="所有者投入和减少资本导致其他权益工具中的其他变动金额@上年同期数" test=" $_GBC_3a5841258d564d8baadf6c3a762da7cf +  $_GBC_0e9df496bfaf4a42a85df89d7fbb5c87 +  $_GBC_940cf225529a45e4ad2ce47e95589d2a +  $_GBC_c71b816e4dea4c9c94c93e34faaed24d" id="C4b925acd6f34494ca5c388225b4141a9"/>
        </m:item>
        <m:item xlName="_GBC_27f982b32106414ba21f8c2c8221f466" concept="clcid-pte:SuoYouZheTouRuHeJianShaoZiBenDaoZhiZiBenGongJiBianDongJinE" label="所有者投入和减少资本导致资本公积变动金额" periodRef="上年同期数" mulRef="_GBC_57faea4e453e49ad93821b7dd6ce8bc4" unitRef="_GBC_cef77704267643d794145c73763360e5" addr="T1R12C5S1_1" formatStyle="Comma">
          <m:complexRule comparator="Eq" title="所有者投入和减少资本导致资本公积变动金额@上年同期数" test=" $_GBC_07781c78504542688475a98e4e1b03ea +  $_GBC_3feb46c14e4046b4b8f65b0e91739977 +  $_GBC_d05289c942ce48619d4716f188123e92 +  $_GBC_a56bf5e426f64c3c8df4b3dc2ff2e39a" id="Cb61bd8aa3be04f1fa1e5d251f5fb79c8" radius="0.0001"/>
        </m:item>
        <m:item xlName="_GBC_4a3aa42e37e848898c76c8c6611623fa" concept="clcid-pte:SuoYouZheTouRuHeJianShaoZiBenDaoZhiKuCunGuBianDongJinE" label="所有者投入和减少资本导致库存股变动金额" periodRef="上年同期数" mulRef="_GBC_57faea4e453e49ad93821b7dd6ce8bc4" unitRef="_GBC_cef77704267643d794145c73763360e5" addr="T1R12C6S1_1" baseScale="-1" formatStyle="Comma">
          <m:complexRule comparator="Eq" title="所有者投入和减少资本导致库存股变动金额@上年同期数" test=" $_GBC_46fdbf579d8949c3b1d1d0c24ba09c4e +  $_GBC_069db7cbb5a24b13aed89d29ce5ffca7 +  $_GBC_c2b0ab175e7f41baaf05dd536d0df485 +  $_GBC_a28a784fe5e041e4aa15f1cd0233e21f" id="C1b3fd37c07944c92b538005cb34db0a9" radius="0.0001"/>
        </m:item>
        <m:item xlName="_GBC_7096cd70abb34e0f9affbb8fd00e7f05" concept="clcid-pte:SuoYouZheTouRuHeJianShaoZiBenDaoZhiQiTaZongHeShouYiBianDongJinE" label="所有者投入和减少资本导致其他综合收益变动金额" periodRef="上年同期数" mulRef="_GBC_57faea4e453e49ad93821b7dd6ce8bc4" unitRef="_GBC_cef77704267643d794145c73763360e5" addr="T1R12C7S1_1" formatStyle="Comma">
          <m:complexRule comparator="Eq" title="所有者投入和减少资本导致其他综合收益变动金额@上年同期数" test=" $_GBC_2a09f7bcced1447db8bee62862c2b326 +  $_GBC_ef79bfe76ae74fef852fdaf522215abc +  $_GBC_62e63f5038924be7b4cb16ca77dbeb55 +  $_GBC_0dae0dc02a894eeab53571f5d403eee3" id="Cf79293c7ba0c4f288a9adde1b6ed1b50"/>
        </m:item>
        <m:item xlName="_GBC_8def970b180a4090b169224fb7af132d" concept="clcid-pte:SuoYouZheTouRuHeJianShaoZiBenDaoZhiZhuanXiangChuBeiBianDongJinE" label="所有者投入和减少资本导致专项储备变动金额" periodRef="上年同期数" mulRef="_GBC_57faea4e453e49ad93821b7dd6ce8bc4" unitRef="_GBC_cef77704267643d794145c73763360e5" addr="T1R12C8S1_1" formatStyle="Comma">
          <m:complexRule comparator="Eq" title="所有者投入和减少资本导致专项储备变动金额@上年同期数" test=" $_GBC_e7984aca55a84aabad3e422422da01cf +  $_GBC_073ffff1e6a547fd95d41e7986688671 +  $_GBC_1995ebf5dcdf479f9053d9adc8a06047 +  $_GBC_5c98fd55c5cd43b4bcd919ff7cb58dec" id="Cebfe86b976354692891b97f34329c101"/>
        </m:item>
        <m:item xlName="_GBC_d3805221fe5445a38db6432c15320b3e" concept="clcid-pte:SuoYouZheTouRuHeJianShaoZiBenDaoZhiYingYuGongJiBianDongJinE" label="所有者投入和减少资本导致盈余公积变动金额" periodRef="上年同期数" mulRef="_GBC_57faea4e453e49ad93821b7dd6ce8bc4" unitRef="_GBC_cef77704267643d794145c73763360e5" addr="T1R12C9S1_1" formatStyle="Comma">
          <m:complexRule comparator="Eq" title="所有者投入和减少资本导致盈余公积变动金额@上年同期数" test=" $_GBC_1ada37726e2946538dd9f68eb9692892 +  $_GBC_0c3360c40a9f4b2096b65d996a0c95ca +  $_GBC_91deb7784b4f4833a6d29bf6a24e55b1 +  $_GBC_83fa8b1383724af9a770f9add47d75ad" id="Ca4a52ab7a60c4cb4b32641a45726d11f"/>
        </m:item>
        <m:item xlName="_GBC_251d24771e7c47bdac370c6c025c0aae" concept="clcid-pte:SuoYouZheTouRuHeJianShaoZiBenDaoZhiYiBanFengXianZhunBeiBianDongJinE" label="所有者投入和减少资本导致一般风险准备变动金额" periodRef="上年同期数" mulRef="_GBC_57faea4e453e49ad93821b7dd6ce8bc4" unitRef="_GBC_cef77704267643d794145c73763360e5" addr="T1R12C10S1_1" formatStyle="Comma">
          <m:complexRule comparator="Eq" title="所有者投入和减少资本导致一般风险准备变动金额@上年同期数" test=" $_GBC_0c65e21a9e2b47b29dd7b4f4bf6f777f +  $_GBC_f5be6b67989749258183b1cc3d2949b8 +  $_GBC_9f6515c6f95444588764053f6668ea19 +  $_GBC_6cdb6306b9de418c8103396395b0fd70" id="C3ca09f67ff9448d4a7b8c2f74f506176"/>
        </m:item>
        <m:item xlName="_GBC_d4eb7efa39f147beb4e7af97bf016c83" concept="clcid-pte:SuoYouZheTouRuHeJianShaoZiBenDaoZhiWeiFenPeiLiRunBianDongJinE" label="所有者投入和减少资本导致未分配利润变动金额" periodRef="上年同期数" mulRef="_GBC_57faea4e453e49ad93821b7dd6ce8bc4" unitRef="_GBC_cef77704267643d794145c73763360e5" addr="T1R12C11S1_1" formatStyle="Comma">
          <m:complexRule comparator="Eq" title="所有者投入和减少资本导致未分配利润变动金额@上年同期数" test=" $_GBC_8072d8f8265c4498a3b35916bb192ac5 +  $_GBC_01bbb7b9789a41178cdc55b39937c3cf +  $_GBC_d7d13917fb1c4c5a84637de8423fa3f8 +  $_GBC_35bf9b4c51a24999b9541842a1e7fb47" id="Ccb0e5390c3b64870a52f96a9a21ad222"/>
        </m:item>
        <m:item xlName="_GBC_e830dee4e5c0496b8c8dcf1e0e20b6eb" concept="clcid-pte:SuoYouZheTouRuHeJianShaoZiBenDaoZhiQiTaDeGuiShuYuMuGongSiSuoYouZheQuanYiBianDongJinE" label="所有者投入和减少资本导致其他的归属于母公司所有者权益变动金额" periodRef="上年同期数" mulRef="_GBC_57faea4e453e49ad93821b7dd6ce8bc4" unitRef="_GBC_cef77704267643d794145c73763360e5" addr="T1R12C12S1_1" formatStyle="Comma">
          <m:complexRule comparator="Eq" title="所有者投入资本导致其他的归属于母公司所有者权益变动金额@上年同期数" test=" $_GBC_f4f032d141024d358a4cc4cb0169f818 +  $_GBC_f24e4cd981e34765a7cc6676cbf1facd +  $_GBC_196b68a91f574408b97587f1ecc86b22 +  $_GBC_8c193006d38240f69ae16e881cc1f19a" id="Cd8bf905bd2bb4a66b21f00650e5fa376"/>
        </m:item>
        <m:item xlName="_GBC_e8be04034cb14f3ba33d98f0bfbcc8e8" concept="clcid-pte:SuoYouZheTouRuHeJianShaoZiBenDaoZhiGuiShuYuMuGongSiSuoYouZheQuanYiBianDongJinE" label="所有者投入和减少资本导致归属于母公司所有者权益变动金额" periodRef="上年同期数" mulRef="_GBC_57faea4e453e49ad93821b7dd6ce8bc4" unitRef="_GBC_cef77704267643d794145c73763360e5" addr="T1R12C13S1_1" formatStyle="Comma">
          <m:complexRule comparator="Eq" title="所有者投入和减少资本导致归属于母公司所有者权益变动金额小计@上年同期数" test=" $_GBC_b3e3fc870b3e49eeb653ef433ffe4cc5 +  $_GBC_410df3d45e264cbda186b34bc956165d +  $_GBC_d0c2afc3e93a45948460b7293c0774fa +  $_GBC_e9ace9102d0a43d289a8dab1c6c726e7" id="Cc4d2195062c149a2b3d3386557f4c39b"/>
        </m:item>
        <m:item xlName="_GBC_95ae8980eb034b729998b44929073851" concept="clcid-pte:SuoYouZheTouRuHeJianShaoZiBenDaoZhiShaoShuGuDongQuanYiBianDongJinE" label="所有者投入和减少资本导致少数股东权益变动金额" periodRef="上年同期数" mulRef="_GBC_57faea4e453e49ad93821b7dd6ce8bc4" unitRef="_GBC_cef77704267643d794145c73763360e5" addr="T1R12C14S1_1" formatStyle="Comma">
          <m:complexRule comparator="Eq" title="所有者投入和减少资本导致少数股东权益变动金额@上年同期数" test=" $_GBC_4f68fa14c87e4efdb3c757ffa4a86a21 +  $_GBC_2665a645a2194307b4cd29cdcd7b5778 +  $_GBC_b312e0b21b524839bc3c5118410ccb47 +  $_GBC_f6975349d6064c8cb8f0e9ad493edb19" id="C5ecb6681d4a94268877f48770e91e255"/>
        </m:item>
        <m:item xlName="_GBC_b95904aab6b142d9a5f15f9617fbebec" concept="clcid-pte:SuoYouZheTouRuHeJianShaoZiBenDaoZhiGuDongQuanYiHeJiBianDongJinE" label="所有者投入和减少资本导致股东权益合计变动金额" periodRef="上年同期数" mulRef="_GBC_57faea4e453e49ad93821b7dd6ce8bc4" unitRef="_GBC_cef77704267643d794145c73763360e5" addr="T1R12C15S1_1" formatStyle="Comma">
          <m:complexRule comparator="Eq" title="所有者投入和减少资本导致股东权益合计变动金额@上年同期数" test=" $_GBC_f5a8ff08a2e640569889d2b37e30a3c5 +  $_GBC_868e58d601614fd1863ce77aad5956ed +  $_GBC_e19f055a60fe487786be714c34cbe8a4 +  $_GBC_77a2f11e0e334f3a8413109bca6b93c4" id="C037bfef82dce441f80932095230ffd18"/>
        </m:item>
        <m:placeholder xlName="_PLD_611ba2ed8c6b439788c9acf67433da0c" wordText="1．所有者投入的普通股" addr="T1R13C0S1_1"/>
        <m:item xlName="_GBC_33bed2a1b4844d7bbb9ee2e125567606" concept="clcid-pte:GuDongTouRuDePuTongGuDaoZhiGuBenBianDongJinE" label="股东投入的普通股导致股本变动金额" periodRef="上年同期数" mulRef="_GBC_57faea4e453e49ad93821b7dd6ce8bc4" unitRef="_GBC_cef77704267643d794145c73763360e5" addr="T1R13C1S1_1" formatStyle="Comma"/>
        <m:item xlName="_GBC_ece474705f654d62845b14525ea4791e" concept="clcid-pte:GuDongTouRuDePuTongGuDaoZhiYouXianGuBianDongJinE" label="股东投入的普通股导致优先股变动金额" periodRef="上年同期数" mulRef="_GBC_57faea4e453e49ad93821b7dd6ce8bc4" unitRef="_GBC_cef77704267643d794145c73763360e5" addr="T1R13C2S1_1" formatStyle="Comma"/>
        <m:item xlName="_GBC_21ede649bb76451cb1f041574decf38e" concept="clcid-pte:GuDongTouRuDePuTongGuDaoZhiYongXuZhaiBianDongJinE" label="股东投入的普通股导致永续债变动金额" periodRef="上年同期数" mulRef="_GBC_57faea4e453e49ad93821b7dd6ce8bc4" unitRef="_GBC_cef77704267643d794145c73763360e5" addr="T1R13C3S1_1" formatStyle="Comma"/>
        <m:item xlName="_GBC_3a5841258d564d8baadf6c3a762da7cf" concept="clcid-pte:GuDongTouRuDePuTongGuDaoZhiQiTaQuanYiGongJuZhongDeQiTaBianDongJinE" label="股东投入的普通股导致其他权益工具中的其他变动金额" periodRef="上年同期数" mulRef="_GBC_57faea4e453e49ad93821b7dd6ce8bc4" unitRef="_GBC_cef77704267643d794145c73763360e5" addr="T1R13C4S1_1" formatStyle="Comma"/>
        <m:item xlName="_GBC_07781c78504542688475a98e4e1b03ea" concept="clcid-pte:GuDongTouRuDePuTongGuDaoZhiZiBenGongJiBianDongJinE" label="股东投入的普通股导致资本公积变动金额" periodRef="上年同期数" mulRef="_GBC_57faea4e453e49ad93821b7dd6ce8bc4" unitRef="_GBC_cef77704267643d794145c73763360e5" addr="T1R13C5S1_1" formatStyle="Comma"/>
        <m:item xlName="_GBC_46fdbf579d8949c3b1d1d0c24ba09c4e" concept="clcid-pte:GuDongTouRuDePuTongGuDaoZhiKuCunGuBianDongJinE" label="股东投入的普通股导致库存股变动金额" periodRef="上年同期数" mulRef="_GBC_57faea4e453e49ad93821b7dd6ce8bc4" unitRef="_GBC_cef77704267643d794145c73763360e5" addr="T1R13C6S1_1" baseScale="-1" formatStyle="Comma"/>
        <m:item xlName="_GBC_2a09f7bcced1447db8bee62862c2b326" concept="clcid-pte:GuDongTouRuDePuTongGuDaoZhiQiTaZongHeShouYiBianDongJinE" label="股东投入的普通股导致其他综合收益变动金额" periodRef="上年同期数" mulRef="_GBC_57faea4e453e49ad93821b7dd6ce8bc4" unitRef="_GBC_cef77704267643d794145c73763360e5" addr="T1R13C7S1_1" formatStyle="Comma"/>
        <m:item xlName="_GBC_e7984aca55a84aabad3e422422da01cf" concept="clcid-pte:GuDongTouRuDePuTongGuDaoZhiZhuanXiangChuBeiBianDongJinE" label="股东投入的普通股导致专项储备变动金额" periodRef="上年同期数" mulRef="_GBC_57faea4e453e49ad93821b7dd6ce8bc4" unitRef="_GBC_cef77704267643d794145c73763360e5" addr="T1R13C8S1_1" formatStyle="Comma"/>
        <m:item xlName="_GBC_1ada37726e2946538dd9f68eb9692892" concept="clcid-pte:GuDongTouRuDePuTongGuDaoZhiYingYuGongJiBianDongJinE" label="股东投入的普通股导致盈余公积变动金额" periodRef="上年同期数" mulRef="_GBC_57faea4e453e49ad93821b7dd6ce8bc4" unitRef="_GBC_cef77704267643d794145c73763360e5" addr="T1R13C9S1_1" formatStyle="Comma"/>
        <m:item xlName="_GBC_0c65e21a9e2b47b29dd7b4f4bf6f777f" concept="clcid-pte:GuDongTouRuDePuTongGuDaoZhiYiBanFengXianZhunBeiBianDongJinE" label="股东投入的普通股导致一般风险准备变动金额" periodRef="上年同期数" mulRef="_GBC_57faea4e453e49ad93821b7dd6ce8bc4" unitRef="_GBC_cef77704267643d794145c73763360e5" addr="T1R13C10S1_1" formatStyle="Comma"/>
        <m:item xlName="_GBC_8072d8f8265c4498a3b35916bb192ac5" concept="clcid-pte:GuDongTouRuDePuTongGuDaoZhiWeiFenPeiLiRunBianDongJinE" label="股东投入的普通股导致未分配利润变动金额" periodRef="上年同期数" mulRef="_GBC_57faea4e453e49ad93821b7dd6ce8bc4" unitRef="_GBC_cef77704267643d794145c73763360e5" addr="T1R13C11S1_1" formatStyle="Comma"/>
        <m:item xlName="_GBC_f4f032d141024d358a4cc4cb0169f818" concept="clcid-pte:GuDongTouRuDePuTongGuDaoZhiQiTaDeGuiShuYuMuGongSiSuoYouZheQuanYiBianDongJinE" label="股东投入的普通股导致其他的归属于母公司所有者权益变动金额" periodRef="上年同期数" mulRef="_GBC_57faea4e453e49ad93821b7dd6ce8bc4" unitRef="_GBC_cef77704267643d794145c73763360e5" addr="T1R13C12S1_1" formatStyle="Comma"/>
        <m:item xlName="_GBC_b3e3fc870b3e49eeb653ef433ffe4cc5" concept="clcid-pte:GuDongTouRuDePuTongGuDaoZhiGuiShuYuMuGongSiSuoYouZheQuanYiBianDongJinE" label="股东投入的普通股导致归属于母公司所有者权益变动金额" periodRef="上年同期数" mulRef="_GBC_57faea4e453e49ad93821b7dd6ce8bc4" unitRef="_GBC_cef77704267643d794145c73763360e5" addr="T1R13C13S1_1" formatStyle="Comma"/>
        <m:item xlName="_GBC_4f68fa14c87e4efdb3c757ffa4a86a21" concept="clcid-pte:GuDongTouRuDePuTongGuDaoZhiShaoShuGuDongQuanYiBianDongJinE" label="股东投入的普通股导致少数股东权益变动金额" periodRef="上年同期数" mulRef="_GBC_57faea4e453e49ad93821b7dd6ce8bc4" unitRef="_GBC_cef77704267643d794145c73763360e5" addr="T1R13C14S1_1" formatStyle="Comma"/>
        <m:item xlName="_GBC_f5a8ff08a2e640569889d2b37e30a3c5" concept="clcid-pte:GuDongTouRuDePuTongGuDaoZhiGuDongQuanYiHeJiBianDongJinE" label="股东投入的普通股导致股东权益合计变动金额" periodRef="上年同期数" mulRef="_GBC_57faea4e453e49ad93821b7dd6ce8bc4" unitRef="_GBC_cef77704267643d794145c73763360e5" addr="T1R13C15S1_1" formatStyle="Comma"/>
        <m:placeholder xlName="_PLD_c90ad87987d54aec9ebb059ca9fe2d83" wordText="2．其他权益工具持有者投入资本" addr="T1R14C0S1_1"/>
        <m:item xlName="_GBC_b1a5eb1cfa38438eb6d14aa9cc5222fd" concept="clcid-pte:QiTaQuanYiGongJuChiYouZheTouRuZiBenDaoZhiGuBenBianDongJinE" label="其他权益工具持有者投入资本导致股本变动金额" periodRef="上年同期数" mulRef="_GBC_57faea4e453e49ad93821b7dd6ce8bc4" unitRef="_GBC_cef77704267643d794145c73763360e5" addr="T1R14C1S1_1" formatStyle="Comma"/>
        <m:item xlName="_GBC_abe6cf963b4b41e798f150e058331131" concept="clcid-pte:QiTaQuanYiGongJuChiYouZheTouRuZiBenDaoZhiYouXianGuBianDongJinE" label="其他权益工具持有者投入资本导致优先股变动金额" periodRef="上年同期数" mulRef="_GBC_57faea4e453e49ad93821b7dd6ce8bc4" unitRef="_GBC_cef77704267643d794145c73763360e5" addr="T1R14C2S1_1" formatStyle="Comma"/>
        <m:item xlName="_GBC_75b6e72e4f2145238acc9ea2ac6f734c" concept="clcid-pte:QiTaQuanYiGongJuChiYouZheTouRuZiBenDaoZhiYongXuZhaiBianDongJinE" label="其他权益工具持有者投入资本导致永续债变动金额" periodRef="上年同期数" mulRef="_GBC_57faea4e453e49ad93821b7dd6ce8bc4" unitRef="_GBC_cef77704267643d794145c73763360e5" addr="T1R14C3S1_1" formatStyle="Comma"/>
        <m:item xlName="_GBC_0e9df496bfaf4a42a85df89d7fbb5c87" concept="clcid-pte:QiTaQuanYiGongJuChiYouZheTouRuZiBenDaoZhiQiTaQuanYiGongJuZhongDeQiTaBianDongJinE" label="其他权益工具持有者投入资本导致其他权益工具中的其他变动金额" periodRef="上年同期数" mulRef="_GBC_57faea4e453e49ad93821b7dd6ce8bc4" unitRef="_GBC_cef77704267643d794145c73763360e5" addr="T1R14C4S1_1" formatStyle="Comma"/>
        <m:item xlName="_GBC_3feb46c14e4046b4b8f65b0e91739977" concept="clcid-pte:QiTaQuanYiGongJuChiYouZheTouRuZiBenDaoZhiZiBenGongJiBianDongJinE" label="其他权益工具持有者投入资本导致资本公积变动金额" periodRef="上年同期数" mulRef="_GBC_57faea4e453e49ad93821b7dd6ce8bc4" unitRef="_GBC_cef77704267643d794145c73763360e5" addr="T1R14C5S1_1" formatStyle="Comma"/>
        <m:item xlName="_GBC_069db7cbb5a24b13aed89d29ce5ffca7" concept="clcid-pte:QiTaQuanYiGongJuChiYouZheTouRuZiBenDaoZhiKuCunGuBianDongJinE" label="其他权益工具持有者投入资本导致库存股变动金额" periodRef="上年同期数" mulRef="_GBC_57faea4e453e49ad93821b7dd6ce8bc4" unitRef="_GBC_cef77704267643d794145c73763360e5" addr="T1R14C6S1_1" baseScale="-1" formatStyle="Comma"/>
        <m:item xlName="_GBC_ef79bfe76ae74fef852fdaf522215abc" concept="clcid-pte:QiTaQuanYiGongJuChiYouZheTouRuZiBenDaoZhiQiTaZongHeShouYiBianDongJinE" label="其他权益工具持有者投入资本导致其他综合收益变动金额" periodRef="上年同期数" mulRef="_GBC_57faea4e453e49ad93821b7dd6ce8bc4" unitRef="_GBC_cef77704267643d794145c73763360e5" addr="T1R14C7S1_1" formatStyle="Comma"/>
        <m:item xlName="_GBC_073ffff1e6a547fd95d41e7986688671" concept="clcid-pte:QiTaQuanYiGongJuChiYouZheTouRuZiBenDaoZhiZhuanXiangChuBeiBianDongJinE" label="其他权益工具持有者投入资本导致专项储备变动金额" periodRef="上年同期数" mulRef="_GBC_57faea4e453e49ad93821b7dd6ce8bc4" unitRef="_GBC_cef77704267643d794145c73763360e5" addr="T1R14C8S1_1" formatStyle="Comma"/>
        <m:item xlName="_GBC_0c3360c40a9f4b2096b65d996a0c95ca" concept="clcid-pte:QiTaQuanYiGongJuChiYouZheTouRuZiBenDaoZhiYingYuGongJiBianDongJinE" label="其他权益工具持有者投入资本导致盈余公积变动金额" periodRef="上年同期数" mulRef="_GBC_57faea4e453e49ad93821b7dd6ce8bc4" unitRef="_GBC_cef77704267643d794145c73763360e5" addr="T1R14C9S1_1" formatStyle="Comma"/>
        <m:item xlName="_GBC_f5be6b67989749258183b1cc3d2949b8" concept="clcid-pte:QiTaQuanYiGongJuChiYouZheTouRuZiBenDaoZhiYiBanFengXianZhunBeiBianDongJinE" label="其他权益工具持有者投入资本导致一般风险准备变动金额" periodRef="上年同期数" mulRef="_GBC_57faea4e453e49ad93821b7dd6ce8bc4" unitRef="_GBC_cef77704267643d794145c73763360e5" addr="T1R14C10S1_1" formatStyle="Comma"/>
        <m:item xlName="_GBC_01bbb7b9789a41178cdc55b39937c3cf" concept="clcid-pte:QiTaQuanYiGongJuChiYouZheTouRuZiBenDaoZhiWeiFenPeiLiRunBianDongJinE" label="其他权益工具持有者投入资本导致未分配利润变动金额" periodRef="上年同期数" mulRef="_GBC_57faea4e453e49ad93821b7dd6ce8bc4" unitRef="_GBC_cef77704267643d794145c73763360e5" addr="T1R14C11S1_1" formatStyle="Comma"/>
        <m:item xlName="_GBC_f24e4cd981e34765a7cc6676cbf1facd" concept="clcid-pte:QiTaQuanYiGongJuChiYouZheTouRuZiBenDaoZhiQiTaDeGuiShuYuMuGongSiSuoYouZheQuanYiBianDongJinE" label="其他权益工具持有者投入资本导致其他的归属于母公司所有者权益变动金额" periodRef="上年同期数" mulRef="_GBC_57faea4e453e49ad93821b7dd6ce8bc4" unitRef="_GBC_cef77704267643d794145c73763360e5" addr="T1R14C12S1_1" formatStyle="Comma"/>
        <m:item xlName="_GBC_410df3d45e264cbda186b34bc956165d" concept="clcid-pte:QiTaQuanYiGongJuChiYouZheTouRuZiBenDaoZhiGuiShuYuMuGongSiSuoYouZheQuanYiBianDongJinE" label="其他权益工具持有者投入资本导致归属于母公司所有者权益变动金额" periodRef="上年同期数" mulRef="_GBC_57faea4e453e49ad93821b7dd6ce8bc4" unitRef="_GBC_cef77704267643d794145c73763360e5" addr="T1R14C13S1_1" formatStyle="Comma"/>
        <m:item xlName="_GBC_2665a645a2194307b4cd29cdcd7b5778" concept="clcid-pte:QiTaQuanYiGongJuChiYouZheTouRuZiBenDaoZhiShaoShuGuDongQuanYiBianDongJinE" label="其他权益工具持有者投入资本导致少数股东权益变动金额" periodRef="上年同期数" mulRef="_GBC_57faea4e453e49ad93821b7dd6ce8bc4" unitRef="_GBC_cef77704267643d794145c73763360e5" addr="T1R14C14S1_1" formatStyle="Comma"/>
        <m:item xlName="_GBC_868e58d601614fd1863ce77aad5956ed" concept="clcid-pte:QiTaQuanYiGongJuChiYouZheTouRuZiBenDaoZhiGuDongQuanYiHeJiBianDongJinE" label="其他权益工具持有者投入资本导致股东权益合计变动金额" periodRef="上年同期数" mulRef="_GBC_57faea4e453e49ad93821b7dd6ce8bc4" unitRef="_GBC_cef77704267643d794145c73763360e5" addr="T1R14C15S1_1" formatStyle="Comma"/>
        <m:placeholder xlName="_PLD_d73580ad15ab461695606b09453b2233" wordText="3．股份支付计入所有者权益的金额" addr="T1R15C0S1_1"/>
        <m:item xlName="_GBC_0d13bc1dd1794b0dbea3b911b9bb8d56" concept="clcid-pte:GuFenZhiFuJiRuSuoYouZheQuanYiDeJinEDaoZhiShiShouZiBenHuoGuBenJingEBianDongJinE" label="股份支付计入所有者权益的金额导致实收资本（或股本）净额变动金额" periodRef="上年同期数" mulRef="_GBC_57faea4e453e49ad93821b7dd6ce8bc4" unitRef="_GBC_cef77704267643d794145c73763360e5" addr="T1R15C1S1_1" formatStyle="Comma"/>
        <m:item xlName="_GBC_f6c4361f32904a10ade1796fa678d7af" concept="clcid-pte:GuFenZhiFuJiRuSuoYouZheQuanYiDeJinEDaoZhiQiTaQuanYiGongJuZhongDeYouXianGuBianDongJinE" label="股份支付计入所有者权益的金额导致其他权益工具中的优先股变动金额" periodRef="上年同期数" mulRef="_GBC_57faea4e453e49ad93821b7dd6ce8bc4" unitRef="_GBC_cef77704267643d794145c73763360e5" addr="T1R15C2S1_1" formatStyle="Comma"/>
        <m:item xlName="_GBC_a0b8948de5ee4d1fac5ad4cf27581069" concept="clcid-pte:GuFenZhiFuJiRuSuoYouZheQuanYiDeJinEDaoZhiQiTaQuanYiGongJuZhongDeYongXuZhaiBianDongJinE" label="股份支付计入所有者权益的金额导致其他权益工具中的永续债变动金额" periodRef="上年同期数" mulRef="_GBC_57faea4e453e49ad93821b7dd6ce8bc4" unitRef="_GBC_cef77704267643d794145c73763360e5" addr="T1R15C3S1_1" formatStyle="Comma"/>
        <m:item xlName="_GBC_940cf225529a45e4ad2ce47e95589d2a" concept="clcid-pte:GuFenZhiFuJiRuSuoYouZheQuanYiDeJinEDaoZhiQiTaQuanYiGongJuZhongDeQiTaBianDongJinE" label="股份支付计入所有者权益的金额导致其他权益工具中的其他变动金额" periodRef="上年同期数" mulRef="_GBC_57faea4e453e49ad93821b7dd6ce8bc4" unitRef="_GBC_cef77704267643d794145c73763360e5" addr="T1R15C4S1_1" formatStyle="Comma"/>
        <m:item xlName="_GBC_d05289c942ce48619d4716f188123e92" concept="clcid-pte:GuFenZhiFuJiRuSuoYouZheQuanYiDeJinEDaoZhiZiBenGongJiBianDongJinE" label="股份支付计入所有者权益的金额导致资本公积变动金额" periodRef="上年同期数" mulRef="_GBC_57faea4e453e49ad93821b7dd6ce8bc4" unitRef="_GBC_cef77704267643d794145c73763360e5" addr="T1R15C5S1_1" formatStyle="Comma"/>
        <m:item xlName="_GBC_c2b0ab175e7f41baaf05dd536d0df485" concept="clcid-pte:GuFenZhiFuJiRuSuoYouZheQuanYiDeJinEDaoZhiKuCunGuBianDongJinE" label="股份支付计入所有者权益的金额导致库存股变动金额" periodRef="上年同期数" mulRef="_GBC_57faea4e453e49ad93821b7dd6ce8bc4" unitRef="_GBC_cef77704267643d794145c73763360e5" addr="T1R15C6S1_1" baseScale="-1" formatStyle="Comma"/>
        <m:item xlName="_GBC_62e63f5038924be7b4cb16ca77dbeb55" concept="clcid-pte:GuFenZhiFuJiRuSuoYouZheQuanYiDeJinEDaoZhiQiTaZongHeShouYiBianDongJinE" label="股份支付计入所有者权益的金额导致其他综合收益变动金额" periodRef="上年同期数" mulRef="_GBC_57faea4e453e49ad93821b7dd6ce8bc4" unitRef="_GBC_cef77704267643d794145c73763360e5" addr="T1R15C7S1_1" formatStyle="Comma"/>
        <m:item xlName="_GBC_1995ebf5dcdf479f9053d9adc8a06047" concept="clcid-pte:GuFenZhiFuJiRuSuoYouZheQuanYiDeJinEDaoZhiZhuanXiangChuBeiBianDongJinE" label="股份支付计入所有者权益的金额导致专项储备变动金额" periodRef="上年同期数" mulRef="_GBC_57faea4e453e49ad93821b7dd6ce8bc4" unitRef="_GBC_cef77704267643d794145c73763360e5" addr="T1R15C8S1_1" formatStyle="Comma"/>
        <m:item xlName="_GBC_91deb7784b4f4833a6d29bf6a24e55b1" concept="clcid-pte:GuFenZhiFuJiRuSuoYouZheQuanYiDeJinEDaoZhiYingYuGongJiBianDongJinE" label="股份支付计入所有者权益的金额导致盈余公积变动金额" periodRef="上年同期数" mulRef="_GBC_57faea4e453e49ad93821b7dd6ce8bc4" unitRef="_GBC_cef77704267643d794145c73763360e5" addr="T1R15C9S1_1" formatStyle="Comma"/>
        <m:item xlName="_GBC_9f6515c6f95444588764053f6668ea19" concept="clcid-pte:GuFenZhiFuJiRuSuoYouZheQuanYiDeJinEDaoZhiYiBanFengXianZhunBeiBianDongJinE" label="股份支付计入所有者权益的金额导致一般风险准备变动金额" periodRef="上年同期数" mulRef="_GBC_57faea4e453e49ad93821b7dd6ce8bc4" unitRef="_GBC_cef77704267643d794145c73763360e5" addr="T1R15C10S1_1" formatStyle="Comma"/>
        <m:item xlName="_GBC_d7d13917fb1c4c5a84637de8423fa3f8" concept="clcid-pte:GuFenZhiFuJiRuSuoYouZheQuanYiDeJinEDaoZhiWeiFenPeiLiRunBianDongJinE" label="股份支付计入所有者权益的金额导致未分配利润变动金额" periodRef="上年同期数" mulRef="_GBC_57faea4e453e49ad93821b7dd6ce8bc4" unitRef="_GBC_cef77704267643d794145c73763360e5" addr="T1R15C11S1_1" formatStyle="Comma"/>
        <m:item xlName="_GBC_196b68a91f574408b97587f1ecc86b22" concept="clcid-pte:GuFenZhiFuJiRuSuoYouZheQuanYiDeJinEDaoZhiQiTaDeGuiShuYuMuGongSiSuoYouZheQuanYiBianDongJinE" label="股份支付计入所有者权益的金额导致其他的归属于母公司所有者权益变动金额" periodRef="上年同期数" mulRef="_GBC_57faea4e453e49ad93821b7dd6ce8bc4" unitRef="_GBC_cef77704267643d794145c73763360e5" addr="T1R15C12S1_1" formatStyle="Comma"/>
        <m:item xlName="_GBC_d0c2afc3e93a45948460b7293c0774fa" concept="clcid-pte:GuFenZhiFuJiRuSuoYouZheQuanYiDeJinEDaoZhiGuiShuYuMuGongSiSuoYouZheQuanYiBianDongJinE" label="股份支付计入所有者权益的金额导致归属于母公司所有者权益变动金额" periodRef="上年同期数" mulRef="_GBC_57faea4e453e49ad93821b7dd6ce8bc4" unitRef="_GBC_cef77704267643d794145c73763360e5" addr="T1R15C13S1_1" formatStyle="Comma"/>
        <m:item xlName="_GBC_b312e0b21b524839bc3c5118410ccb47" concept="clcid-pte:GuFenZhiFuJiRuSuoYouZheQuanYiDeJinEDaoZhiShaoShuGuDongQuanYiBianDongJinE" label="股份支付计入所有者权益的金额导致少数股东权益变动金额" periodRef="上年同期数" mulRef="_GBC_57faea4e453e49ad93821b7dd6ce8bc4" unitRef="_GBC_cef77704267643d794145c73763360e5" addr="T1R15C14S1_1" formatStyle="Comma"/>
        <m:item xlName="_GBC_e19f055a60fe487786be714c34cbe8a4" concept="clcid-pte:GuFenZhiFuJiRuSuoYouZheQuanYiDeJinEDaoZhiGuDongQuanYiHeJiBianDongJinE" label="股份支付计入所有者权益的金额导致股东权益合计变动金额" periodRef="上年同期数" mulRef="_GBC_57faea4e453e49ad93821b7dd6ce8bc4" unitRef="_GBC_cef77704267643d794145c73763360e5" addr="T1R15C15S1_1" formatStyle="Comma"/>
        <m:placeholder xlName="_PLD_32d1c7d278224bfa80a28845c7639c86" wordText="4．其他" addr="T1R16C0S1_1"/>
        <m:item xlName="_GBC_77236ae3f7d34d72ad7593afe7f8e30a" concept="clcid-pte:QiTaSuoYouZheTouRuHeJianShaoZiBenDaoZhiShiShouZiBenHuoGuBenJingEBianDongJinE" label="其他所有者投入和减少资本导致实收资本（或股本）净额变动金额" periodRef="上年同期数" mulRef="_GBC_57faea4e453e49ad93821b7dd6ce8bc4" unitRef="_GBC_cef77704267643d794145c73763360e5" addr="T1R16C1S1_1" formatStyle="Comma"/>
        <m:item xlName="_GBC_cfc7e6a154b1408eb7937b2cf069bc97" concept="clcid-pte:QiTaSuoYouZheTouRuHeJianShaoZiBenDaoZhiQiTaQuanYiGongJuZhongDeYouXianGuBianDongJinE" label="其他所有者投入和减少资本导致其他权益工具中的优先股变动金额" periodRef="上年同期数" mulRef="_GBC_57faea4e453e49ad93821b7dd6ce8bc4" unitRef="_GBC_cef77704267643d794145c73763360e5" addr="T1R16C2S1_1" formatStyle="Comma"/>
        <m:item xlName="_GBC_69dc281fa7854fabbd7b3af263704fa4" concept="clcid-pte:QiTaSuoYouZheTouRuHeJianShaoZiBenDaoZhiQiTaQuanYiGongJuZhongDeYongXuZhaiBianDongJinE" label="其他所有者投入和减少资本导致其他权益工具中的永续债变动金额" periodRef="上年同期数" mulRef="_GBC_57faea4e453e49ad93821b7dd6ce8bc4" unitRef="_GBC_cef77704267643d794145c73763360e5" addr="T1R16C3S1_1" formatStyle="Comma"/>
        <m:item xlName="_GBC_c71b816e4dea4c9c94c93e34faaed24d" concept="clcid-pte:QiTaSuoYouZheTouRuHeJianShaoZiBenDaoZhiQiTaQuanYiGongJuZhongDeQiTaBianDongJinE" label="其他所有者投入和减少资本导致其他权益工具中的其他变动金额" periodRef="上年同期数" mulRef="_GBC_57faea4e453e49ad93821b7dd6ce8bc4" unitRef="_GBC_cef77704267643d794145c73763360e5" addr="T1R16C4S1_1" formatStyle="Comma"/>
        <m:item xlName="_GBC_a56bf5e426f64c3c8df4b3dc2ff2e39a" concept="clcid-pte:QiTaSuoYouZheTouRuHeJianShaoZiBenDaoZhiZiBenGongJiBianDongJinE" label="其他所有者投入和减少资本导致资本公积变动金额" periodRef="上年同期数" mulRef="_GBC_57faea4e453e49ad93821b7dd6ce8bc4" unitRef="_GBC_cef77704267643d794145c73763360e5" addr="T1R16C5S1_1" formatStyle="Comma"/>
        <m:item xlName="_GBC_a28a784fe5e041e4aa15f1cd0233e21f" concept="clcid-pte:QiTaSuoYouZheTouRuHeJianShaoZiBenDaoZhiKuCunGuBianDongJinE" label="其他所有者投入和减少资本导致库存股变动金额" periodRef="上年同期数" mulRef="_GBC_57faea4e453e49ad93821b7dd6ce8bc4" unitRef="_GBC_cef77704267643d794145c73763360e5" addr="T1R16C6S1_1" baseScale="-1" formatStyle="Comma"/>
        <m:item xlName="_GBC_0dae0dc02a894eeab53571f5d403eee3" concept="clcid-pte:QiTaSuoYouZheTouRuHeJianShaoZiBenDaoZhiQiTaZongHeShouYiBianDongJinE" label="其他所有者投入和减少资本导致其他综合收益变动金额" periodRef="上年同期数" mulRef="_GBC_57faea4e453e49ad93821b7dd6ce8bc4" unitRef="_GBC_cef77704267643d794145c73763360e5" addr="T1R16C7S1_1" formatStyle="Comma"/>
        <m:item xlName="_GBC_5c98fd55c5cd43b4bcd919ff7cb58dec" concept="clcid-pte:QiTaSuoYouZheTouRuHeJianShaoZiBenDaoZhiZhuanXiangChuBeiBianDongJinE" label="其他所有者投入和减少资本导致专项储备变动金额" periodRef="上年同期数" mulRef="_GBC_57faea4e453e49ad93821b7dd6ce8bc4" unitRef="_GBC_cef77704267643d794145c73763360e5" addr="T1R16C8S1_1" formatStyle="Comma"/>
        <m:item xlName="_GBC_83fa8b1383724af9a770f9add47d75ad" concept="clcid-pte:QiTaSuoYouZheTouRuHeJianShaoZiBenDaoZhiYingYuGongJiBianDongJinE" label="其他所有者投入和减少资本导致盈余公积变动金额" periodRef="上年同期数" mulRef="_GBC_57faea4e453e49ad93821b7dd6ce8bc4" unitRef="_GBC_cef77704267643d794145c73763360e5" addr="T1R16C9S1_1" formatStyle="Comma"/>
        <m:item xlName="_GBC_6cdb6306b9de418c8103396395b0fd70" concept="clcid-pte:QiTaSuoYouZheTouRuHeJianShaoZiBenDaoZhiYiBanFengXianZhunBeiBianDongJinE" label="其他所有者投入和减少资本导致一般风险准备变动金额" periodRef="上年同期数" mulRef="_GBC_57faea4e453e49ad93821b7dd6ce8bc4" unitRef="_GBC_cef77704267643d794145c73763360e5" addr="T1R16C10S1_1" formatStyle="Comma"/>
        <m:item xlName="_GBC_35bf9b4c51a24999b9541842a1e7fb47" concept="clcid-pte:QiTaSuoYouZheTouRuHeJianShaoZiBenDaoZhiWeiFenPeiLiRunBianDongJinE" label="其他所有者投入和减少资本导致未分配利润变动金额" periodRef="上年同期数" mulRef="_GBC_57faea4e453e49ad93821b7dd6ce8bc4" unitRef="_GBC_cef77704267643d794145c73763360e5" addr="T1R16C11S1_1" formatStyle="Comma"/>
        <m:item xlName="_GBC_8c193006d38240f69ae16e881cc1f19a" concept="clcid-pte:QiTaSuoYouZheTouRuHeJianShaoZiBenDaoZhiQiTaDeGuiShuYuMuGongSiSuoYouZheQuanYiBianDongJinE" label="其他所有者投入和减少资本导致其他的归属于母公司所有者权益变动金额" periodRef="上年同期数" mulRef="_GBC_57faea4e453e49ad93821b7dd6ce8bc4" unitRef="_GBC_cef77704267643d794145c73763360e5" addr="T1R16C12S1_1" formatStyle="Comma"/>
        <m:item xlName="_GBC_e9ace9102d0a43d289a8dab1c6c726e7" concept="clcid-pte:QiTaSuoYouZheTouRuHeJianShaoZiBenDaoZhiGuiShuYuMuGongSiSuoYouZheQuanYiBianDongJinE" label="其他所有者投入和减少资本导致归属于母公司所有者权益变动金额" periodRef="上年同期数" mulRef="_GBC_57faea4e453e49ad93821b7dd6ce8bc4" unitRef="_GBC_cef77704267643d794145c73763360e5" addr="T1R16C13S1_1" formatStyle="Comma"/>
        <m:item xlName="_GBC_f6975349d6064c8cb8f0e9ad493edb19" concept="clcid-pte:QiTaSuoYouZheTouRuHeJianShaoZiBenDaoZhiShaoShuGuDongQuanYiBianDongJinE" label="其他所有者投入和减少资本导致少数股东权益变动金额" periodRef="上年同期数" mulRef="_GBC_57faea4e453e49ad93821b7dd6ce8bc4" unitRef="_GBC_cef77704267643d794145c73763360e5" addr="T1R16C14S1_1" formatStyle="Comma"/>
        <m:item xlName="_GBC_77a2f11e0e334f3a8413109bca6b93c4" concept="clcid-pte:QiTaSuoYouZheTouRuHeJianShaoZiBenDaoZhiGuDongQuanYiHeJiBianDongJinE" label="其他所有者投入和减少资本导致股东权益合计变动金额" periodRef="上年同期数" mulRef="_GBC_57faea4e453e49ad93821b7dd6ce8bc4" unitRef="_GBC_cef77704267643d794145c73763360e5" addr="T1R16C15S1_1" formatStyle="Comma"/>
        <m:placeholder xlName="_PLD_4f4c1a0d22784a4a81a90a7b772560b9" wordText="（三）利润分配" addr="T1R17C0S1_1"/>
        <m:item xlName="_GBC_4515f8c0a02342a0aca3c7b0a872f0ef" concept="clcid-pte:LiRunFenPeiDaoZhiShiShouZiBenHuoGuBenJingEBianDongJinE" label="利润分配导致实收资本（或股本）净额变动金额" periodRef="上年同期数" mulRef="_GBC_57faea4e453e49ad93821b7dd6ce8bc4" unitRef="_GBC_cef77704267643d794145c73763360e5" addr="T1R17C1S1_1" formatStyle="Comma">
          <m:complexRule comparator="Eq" title="利润分配导致实收资本（或股本）净额变动金额@上年同期数" test=" $_GBC_1a1e2da95b0342bdb3333ac8cc0ba69e +  $_GBC_91c03099aae34863b1ebd047b2e58b29 +  $_GBC_32020ac097514f7a8963ba3b4645b826 +  $_GBC_0312d32d39d54347a05a91a946b5ff54" id="C61f23fed5a564527a2563126bf44d6e2" radius="0.0001"/>
        </m:item>
        <m:item xlName="_GBC_956859598b774427a71069bf915aa0af" concept="clcid-pte:LiRunFenPeiDaoZhiQiTaQuanYiGongJuZhongDeYouXianGuBianDongJinE" label="利润分配导致其他权益工具中的优先股变动金额" periodRef="上年同期数" mulRef="_GBC_57faea4e453e49ad93821b7dd6ce8bc4" unitRef="_GBC_cef77704267643d794145c73763360e5" addr="T1R17C2S1_1" formatStyle="Comma">
          <m:complexRule comparator="Eq" title="利润分配导致其他权益工具中的优先股变动金额@上年同期数" test=" $_GBC_2c0185a081f54904a024172b245772c2 +  $_GBC_f78a504851994eb0b92a9ef8d6538a41 +  $_GBC_54258a9187c54ee38b628d95c4b057aa +  $_GBC_978700df9b08479793b7c0e1ff711ba5" id="C1ec7ed378f234847bbc724e41dc0847b"/>
        </m:item>
        <m:item xlName="_GBC_d7713cfd89f64315be3201164767bf11" concept="clcid-pte:LiRunFenPeiDaoZhiQiTaQuanYiGongJuZhongDeYongXuZhaiBianDongJinE" label="利润分配导致其他权益工具中的永续债变动金额" periodRef="上年同期数" mulRef="_GBC_57faea4e453e49ad93821b7dd6ce8bc4" unitRef="_GBC_cef77704267643d794145c73763360e5" addr="T1R17C3S1_1" formatStyle="Comma">
          <m:complexRule comparator="Eq" title="利润分配导致其他权益工具中的永续债变动金额@上年同期数" test=" $_GBC_647242c770024c87b5d8f8d119855930 +  $_GBC_c9e292d79e7b444c8fd6726aff30e22d +  $_GBC_ab01c78c9825407eb678542237da77bf +  $_GBC_be9dd499194847c2a318bb829aac88f8" id="C72ea128cb10942ee80dd71fae225ece0"/>
        </m:item>
        <m:item xlName="_GBC_72d1b237cf074966810021ff3fbb8d42" concept="clcid-pte:LiRunFenPeiDaoZhiQiTaQuanYiGongJuZhongDeQiTaBianDongJinE" label="利润分配导致其他权益工具中的其他变动金额" periodRef="上年同期数" mulRef="_GBC_57faea4e453e49ad93821b7dd6ce8bc4" unitRef="_GBC_cef77704267643d794145c73763360e5" addr="T1R17C4S1_1" formatStyle="Comma">
          <m:complexRule comparator="Eq" title="利润分配导致其他权益工具中的其他变动金额@上年同期数" test=" $_GBC_5db6d7e499b5427cb358ef82666e6301 +  $_GBC_d4b0a5fde3b741e9b15ea49be1b98d08 +  $_GBC_92672d547dd74777897845683645a1a3 +  $_GBC_794a323657624054b83c3482f28b670e" id="C4a17a1d92e104ced98f1c053178221d9"/>
        </m:item>
        <m:item xlName="_GBC_008b092d0d684a408f45effcaea96ca5" concept="clcid-pte:LiRunFenPeiDaoZhiZiBenGongJiBianDongJinE" label="利润分配导致资本公积变动金额" periodRef="上年同期数" mulRef="_GBC_57faea4e453e49ad93821b7dd6ce8bc4" unitRef="_GBC_cef77704267643d794145c73763360e5" addr="T1R17C5S1_1" formatStyle="Comma">
          <m:complexRule comparator="Eq" title="利润分配导致资本公积变动金额@上年同期数" test=" $_GBC_4361e69f7e244529a8e3c5a23b0a59aa +  $_GBC_b48d36341c104938956909532e0f9b43 +  $_GBC_34381df683e546dd9b9491227d559f95 +  $_GBC_304a3d6077a94dcfaaf9456f0dd4b1ce" id="Cb88ab689000a49d0b9ddf63820e920d1" radius="0.0001"/>
        </m:item>
        <m:item xlName="_GBC_ce23bca0342840f9bf622cfe4948a129" concept="clcid-pte:LiRunFenPeiDaoZhiKuCunGuBianDongJinE" label="利润分配导致库存股变动金额" periodRef="上年同期数" mulRef="_GBC_57faea4e453e49ad93821b7dd6ce8bc4" unitRef="_GBC_cef77704267643d794145c73763360e5" addr="T1R17C6S1_1" baseScale="-1" formatStyle="Comma">
          <m:complexRule comparator="Eq" title="利润分配导致库存股变动金额@上年同期数" test=" $_GBC_5bbbe8175f2d4cb5a5a89823aa0f34f4 +  $_GBC_9c0d7922c561419db193ddee1fb28873 +  $_GBC_e8da057308084b45b62dbbfd52c54f17 +  $_GBC_491c2ecbf6914094b39f76602649eb44" id="C3e06a12809714f0fb1215a5e100052c3" radius="0.0001"/>
        </m:item>
        <m:item xlName="_GBC_e01df85347834a428343dfb684e1c4c7" concept="clcid-pte:LiRunFenPeiDaoZhiQiTaZongHeShouYiBianDongJinE" label="利润分配导致其他综合收益变动金额" periodRef="上年同期数" mulRef="_GBC_57faea4e453e49ad93821b7dd6ce8bc4" unitRef="_GBC_cef77704267643d794145c73763360e5" addr="T1R17C7S1_1" formatStyle="Comma">
          <m:complexRule comparator="Eq" title="利润分配导致其他综合收益变动金额@上年同期数" test=" $_GBC_6a90bbb46a1f48bdae1ad10546519b30 +  $_GBC_ccefba20cad44b109650f24edfc0d3a1 +  $_GBC_9bf019e64a7c4807a0607fb052654303 +  $_GBC_8ecd05736627439487939cbdd49cb1f1" id="C3c98669b538d464fb97c76a0925b677e"/>
        </m:item>
        <m:item xlName="_GBC_acb34edb816546b8af18f57854b81e27" concept="clcid-pte:LiRunFenPeiDaoZhiZhuanXiangChuBeiBianDongJinE" label="利润分配导致专项储备变动金额" periodRef="上年同期数" mulRef="_GBC_57faea4e453e49ad93821b7dd6ce8bc4" unitRef="_GBC_cef77704267643d794145c73763360e5" addr="T1R17C8S1_1" formatStyle="Comma">
          <m:complexRule comparator="Eq" title="利润分配导致专项储备变动金额@上年同期数" test=" $_GBC_41a0ef917d2d422a892e0489c1da7d25 +  $_GBC_9ecdf9d9702c49bfa0b66e119d2b1930 +  $_GBC_4f402f03ab9742ba9cfa28d9a7729193 +  $_GBC_8395fed1694b4b42b12e0fc63cd105b6" id="Ce899006157f54a5f948a63146a22f0de"/>
        </m:item>
        <m:item xlName="_GBC_4e4cd410b78241f4b33254e9ea8f8b1c" concept="clcid-pte:LiRunFenPeiDaoZhiYingYuGongJiBianDongJinE" label="利润分配导致盈余公积变动金额" periodRef="上年同期数" mulRef="_GBC_57faea4e453e49ad93821b7dd6ce8bc4" unitRef="_GBC_cef77704267643d794145c73763360e5" addr="T1R17C9S1_1" formatStyle="Comma">
          <m:complexRule comparator="Eq" title="利润分配导致盈余公积变动金额@上年同期数" test=" $_GBC_ece75f8bc93f48ba9c832a962ce566dd +  $_GBC_b227bd24600a4f35a1789a27938f6405 +  $_GBC_1bb1990740b941f4bc9d8c20569426ce +  $_GBC_325ff26a3a754e9d896fe3bdb7714a6e" id="C4e1f7b2ce0104c94ad7ff071986e31df"/>
        </m:item>
        <m:item xlName="_GBC_f79b60fbbcac4ccf9c170ccaf33af09e" concept="clcid-pte:LiRunFenPeiDaoZhiYiBanFengXianZhunBeiBianDongJinE" label="利润分配导致一般风险准备变动金额" periodRef="上年同期数" mulRef="_GBC_57faea4e453e49ad93821b7dd6ce8bc4" unitRef="_GBC_cef77704267643d794145c73763360e5" addr="T1R17C10S1_1" formatStyle="Comma">
          <m:complexRule comparator="Eq" title="利润分配导致一般风险准备变动金额@上年同期数" test=" $_GBC_4fc10bd7aa624277955de931ca5cf466 +  $_GBC_46d32b0e7d2a4e9397603b5bedc560e2 +  $_GBC_b161e8312f574672ab463645755af800 +  $_GBC_9e12bdcaa28f4dd7be3c5166b6dc8dc0" id="C5488486c8f944584a9d054e773750e55"/>
        </m:item>
        <m:item xlName="_GBC_5fd16629d42c4cea99eac50d26b2c4e7" concept="clcid-pte:LiRunFenPeiDaoZhiWeiFenPeiLiRunBianDongJinE" label="利润分配导致未分配利润变动金额" periodRef="上年同期数" mulRef="_GBC_57faea4e453e49ad93821b7dd6ce8bc4" unitRef="_GBC_cef77704267643d794145c73763360e5" addr="T1R17C11S1_1" formatStyle="Comma">
          <m:complexRule comparator="Eq" title="利润分配导致未分配利润变动金额@上年同期数" test=" $_GBC_9f4c0eb53a68448aa9854c664a036d51 +  $_GBC_45c8ea53b192406e895e15ff579136be +  $_GBC_b80b0614977743bd8b26b02da9b526b8 +  $_GBC_fa8ef7e9046c4aabb5e6a1a48dcef15c" id="Cdfc8e98de40b497989de8760721884b9"/>
        </m:item>
        <m:item xlName="_GBC_6c9e66ab8a664e1f8039f875296a7af5" concept="clcid-pte:LiRunFenPeiDaoZhiQiTaDeGuiShuYuMuGongSiSuoYouZheQuanYiBianDongJinE" label="利润分配导致其他的归属于母公司所有者权益变动金额" periodRef="上年同期数" mulRef="_GBC_57faea4e453e49ad93821b7dd6ce8bc4" unitRef="_GBC_cef77704267643d794145c73763360e5" addr="T1R17C12S1_1" formatStyle="Comma">
          <m:complexRule comparator="Eq" title="利润分配导致其他的归属于母公司所有者权益变动金额@上年同期数" test=" $_GBC_6ec2b855f3b1499daf6a9044cb9fb709 +  $_GBC_fc92c35786e4482c983ac14ae4949614 +  $_GBC_a168dc8df0cc4fbaac8dfb518aa31e6d +  $_GBC_27630fcc5cae463b91e7b0492711e376" id="Cf3ab5f0e102d48a7a919d703033b99e6"/>
        </m:item>
        <m:item xlName="_GBC_4349f76e6790458194d1a86070e80e48" concept="clcid-pte:LiRunFenPeiDaoZhiGuiShuYuMuGongSiSuoYouZheQuanYiBianDongJinE" label="利润分配导致归属于母公司所有者权益变动金额" periodRef="上年同期数" mulRef="_GBC_57faea4e453e49ad93821b7dd6ce8bc4" unitRef="_GBC_cef77704267643d794145c73763360e5" addr="T1R17C13S1_1" formatStyle="Comma">
          <m:complexRule comparator="Eq" title="利润分配导致归属于母公司所有者权益变动金额小计@上年同期数" test=" $_GBC_bde0540a88b04a02ab8b8feae4fea45f +  $_GBC_8678ef8607a643239ee304020c0c3aca +  $_GBC_dd13fa9ceca8444a8a66aa15f74a6253 +  $_GBC_13eedffa5e7b4ae0a5af5499c2f76220" id="C7b01681b10ae449fa9434d3e34f1adb9"/>
        </m:item>
        <m:item xlName="_GBC_c077661fa975459681fcd2aea86ed54a" concept="clcid-pte:LiRunFenPeiDaoZhiShaoShuGuDongQuanYiBianDongJinE" label="利润分配导致少数股东权益变动金额" periodRef="上年同期数" mulRef="_GBC_57faea4e453e49ad93821b7dd6ce8bc4" unitRef="_GBC_cef77704267643d794145c73763360e5" addr="T1R17C14S1_1" formatStyle="Comma">
          <m:complexRule comparator="Eq" title="利润分配导致少数股东权益变动金额@上年同期数" test=" $_GBC_e2a15bc69f304864b4aa8c783a8bb158 +  $_GBC_e361fff0e6ce465c813143945dda2dd3 +  $_GBC_a675a5bb5e9d4d10abc61dfdd7c4c010 +  $_GBC_1eade97753574eff93ed64831dd71f4a" id="C53e553207c6944c89aa0a231514b95a8"/>
        </m:item>
        <m:item xlName="_GBC_f08e4d3326054b17bd41e89b661062da" concept="clcid-pte:LiRunFenPeiDaoZhiGuDongQuanYiHeJiBianDongJinE" label="利润分配导致股东权益合计变动金额" periodRef="上年同期数" mulRef="_GBC_57faea4e453e49ad93821b7dd6ce8bc4" unitRef="_GBC_cef77704267643d794145c73763360e5" addr="T1R17C15S1_1" formatStyle="Comma">
          <m:complexRule comparator="Eq" title="利润分配导致股东权益合计变动金额@上年同期数" test=" $_GBC_2bba713f5edb4ac48d1d71dbcbfdc087 +  $_GBC_cf1b373588044caeacfcbe871e1e2eb9 +  $_GBC_3f65ad1c22e4411c959fc9537055eaab +  $_GBC_5d0f1c8be61f409cbad0a7ae26baae03" id="Ce33b6159c338499597f6bf256bce6538"/>
        </m:item>
        <m:placeholder xlName="_PLD_73a49eb420a24cdbb4f7f5ce05660344" wordText="1．提取盈余公积" addr="T1R18C0S1_1"/>
        <m:item xlName="_GBC_1a1e2da95b0342bdb3333ac8cc0ba69e" concept="clcid-pte:TiQuYingYuGongJiDaoZhiShiShouZiBenHuoGuBenJingEBianDongJinE" label="提取盈余公积导致实收资本（或股本）净额变动金额" periodRef="上年同期数" mulRef="_GBC_57faea4e453e49ad93821b7dd6ce8bc4" unitRef="_GBC_cef77704267643d794145c73763360e5" addr="T1R18C1S1_1" formatStyle="Comma"/>
        <m:item xlName="_GBC_2c0185a081f54904a024172b245772c2" concept="clcid-pte:TiQuYingYuGongJiDaoZhiQiTaQuanYiGongJuZhongDeYouXianGuBianDongJinE" label="提取盈余公积导致其他权益工具中的优先股变动金额" periodRef="上年同期数" mulRef="_GBC_57faea4e453e49ad93821b7dd6ce8bc4" unitRef="_GBC_cef77704267643d794145c73763360e5" addr="T1R18C2S1_1" formatStyle="Comma"/>
        <m:item xlName="_GBC_647242c770024c87b5d8f8d119855930" concept="clcid-pte:TiQuYingYuGongJiDaoZhiQiTaQuanYiGongJuZhongDeYongXuZhaiBianDongJinE" label="提取盈余公积导致其他权益工具中的永续债变动金额" periodRef="上年同期数" mulRef="_GBC_57faea4e453e49ad93821b7dd6ce8bc4" unitRef="_GBC_cef77704267643d794145c73763360e5" addr="T1R18C3S1_1" formatStyle="Comma"/>
        <m:item xlName="_GBC_5db6d7e499b5427cb358ef82666e6301" concept="clcid-pte:TiQuYingYuGongJiDaoZhiQiTaQuanYiGongJuZhongDeQiTaBianDongJinE" label="提取盈余公积导致其他权益工具中的其他变动金额" periodRef="上年同期数" mulRef="_GBC_57faea4e453e49ad93821b7dd6ce8bc4" unitRef="_GBC_cef77704267643d794145c73763360e5" addr="T1R18C4S1_1" formatStyle="Comma"/>
        <m:item xlName="_GBC_4361e69f7e244529a8e3c5a23b0a59aa" concept="clcid-pte:TiQuYingYuGongJiDaoZhiZiBenGongJiBianDongJinE" label="提取盈余公积导致资本公积变动金额" periodRef="上年同期数" mulRef="_GBC_57faea4e453e49ad93821b7dd6ce8bc4" unitRef="_GBC_cef77704267643d794145c73763360e5" addr="T1R18C5S1_1" formatStyle="Comma"/>
        <m:item xlName="_GBC_5bbbe8175f2d4cb5a5a89823aa0f34f4" concept="clcid-pte:TiQuYingYuGongJiDaoZhiKuCunGuBianDongJinE" label="提取盈余公积导致库存股变动金额" periodRef="上年同期数" mulRef="_GBC_57faea4e453e49ad93821b7dd6ce8bc4" unitRef="_GBC_cef77704267643d794145c73763360e5" addr="T1R18C6S1_1" baseScale="-1" formatStyle="Comma"/>
        <m:item xlName="_GBC_6a90bbb46a1f48bdae1ad10546519b30" concept="clcid-pte:TiQuYingYuGongJiDaoZhiQiTaZongHeShouYiBianDongJinE" label="提取盈余公积导致其他综合收益变动金额" periodRef="上年同期数" mulRef="_GBC_57faea4e453e49ad93821b7dd6ce8bc4" unitRef="_GBC_cef77704267643d794145c73763360e5" addr="T1R18C7S1_1" formatStyle="Comma"/>
        <m:item xlName="_GBC_41a0ef917d2d422a892e0489c1da7d25" concept="clcid-pte:TiQuYingYuGongJiDaoZhiZhuanXiangChuBeiBianDongJinE" label="提取盈余公积导致专项储备变动金额" periodRef="上年同期数" mulRef="_GBC_57faea4e453e49ad93821b7dd6ce8bc4" unitRef="_GBC_cef77704267643d794145c73763360e5" addr="T1R18C8S1_1" formatStyle="Comma"/>
        <m:item xlName="_GBC_ece75f8bc93f48ba9c832a962ce566dd" concept="clcid-pte:TiQuYingYuGongJiDaoZhiYingYuGongJiBianDongJinE" label="提取盈余公积导致盈余公积变动金额" periodRef="上年同期数" mulRef="_GBC_57faea4e453e49ad93821b7dd6ce8bc4" unitRef="_GBC_cef77704267643d794145c73763360e5" addr="T1R18C9S1_1" formatStyle="Comma"/>
        <m:item xlName="_GBC_4fc10bd7aa624277955de931ca5cf466" concept="clcid-pte:TiQuYingYuGongJiDaoZhiYiBanFengXianZhunBeiBianDongJinE" label="提取盈余公积导致一般风险准备变动金额" periodRef="上年同期数" mulRef="_GBC_57faea4e453e49ad93821b7dd6ce8bc4" unitRef="_GBC_cef77704267643d794145c73763360e5" addr="T1R18C10S1_1" formatStyle="Comma"/>
        <m:item xlName="_GBC_9f4c0eb53a68448aa9854c664a036d51" concept="clcid-pte:TiQuYingYuGongJiDaoZhiWeiFenPeiLiRunBianDongJinE" label="提取盈余公积导致未分配利润变动金额" periodRef="上年同期数" mulRef="_GBC_57faea4e453e49ad93821b7dd6ce8bc4" unitRef="_GBC_cef77704267643d794145c73763360e5" addr="T1R18C11S1_1" formatStyle="Comma"/>
        <m:item xlName="_GBC_6ec2b855f3b1499daf6a9044cb9fb709" concept="clcid-pte:TiQuYingYuGongJiDaoZhiQiTaDeGuiShuYuMuGongSiSuoYouZheQuanYiBianDongJinE" label="提取盈余公积导致其他的归属于母公司所有者权益变动金额" periodRef="上年同期数" mulRef="_GBC_57faea4e453e49ad93821b7dd6ce8bc4" unitRef="_GBC_cef77704267643d794145c73763360e5" addr="T1R18C12S1_1" formatStyle="Comma"/>
        <m:item xlName="_GBC_bde0540a88b04a02ab8b8feae4fea45f" concept="clcid-pte:TiQuYingYuGongJiDaoZhiGuiShuYuMuGongSiSuoYouZheQuanYiBianDongJinE" label="提取盈余公积导致归属于母公司所有者权益变动金额" periodRef="上年同期数" mulRef="_GBC_57faea4e453e49ad93821b7dd6ce8bc4" unitRef="_GBC_cef77704267643d794145c73763360e5" addr="T1R18C13S1_1" formatStyle="Comma"/>
        <m:item xlName="_GBC_e2a15bc69f304864b4aa8c783a8bb158" concept="clcid-pte:TiQuYingYuGongJiDaoZhiShaoShuGuDongQuanYiBianDongJinE" label="提取盈余公积导致少数股东权益变动金额" periodRef="上年同期数" mulRef="_GBC_57faea4e453e49ad93821b7dd6ce8bc4" unitRef="_GBC_cef77704267643d794145c73763360e5" addr="T1R18C14S1_1" formatStyle="Comma"/>
        <m:item xlName="_GBC_2bba713f5edb4ac48d1d71dbcbfdc087" concept="clcid-pte:TiQuYingYuGongJiDaoZhiGuDongQuanYiHeJiBianDongJinE" label="提取盈余公积导致股东权益合计变动金额" periodRef="上年同期数" mulRef="_GBC_57faea4e453e49ad93821b7dd6ce8bc4" unitRef="_GBC_cef77704267643d794145c73763360e5" addr="T1R18C15S1_1" formatStyle="Comma"/>
        <m:placeholder xlName="_PLD_230083ca1b684aa0b92b69b31995ea1b" wordText="2．提取一般风险准备" addr="T1R19C0S1_1"/>
        <m:item xlName="_GBC_91c03099aae34863b1ebd047b2e58b29" concept="clcid-pte:TiQuYiBanFengXianZhunBeiDaoZhiShiShouZiBenHuoGuBenJingEBianDongJinE" label="提取一般风险准备导致实收资本（或股本）净额变动金额" periodRef="上年同期数" mulRef="_GBC_57faea4e453e49ad93821b7dd6ce8bc4" unitRef="_GBC_cef77704267643d794145c73763360e5" addr="T1R19C1S1_1" formatStyle="Comma"/>
        <m:item xlName="_GBC_f78a504851994eb0b92a9ef8d6538a41" concept="clcid-pte:TiQuYiBanFengXianZhunBeiDaoZhiQiTaQuanYiGongJuZhongDeYouXianGuBianDongJinE" label="提取一般风险准备导致其他权益工具中的优先股变动金额" periodRef="上年同期数" mulRef="_GBC_57faea4e453e49ad93821b7dd6ce8bc4" unitRef="_GBC_cef77704267643d794145c73763360e5" addr="T1R19C2S1_1" formatStyle="Comma"/>
        <m:item xlName="_GBC_c9e292d79e7b444c8fd6726aff30e22d" concept="clcid-pte:TiQuYiBanFengXianZhunBeiDaoZhiQiTaQuanYiGongJuZhongDeYongXuZhaiBianDongJinE" label="提取一般风险准备导致其他权益工具中的永续债变动金额" periodRef="上年同期数" mulRef="_GBC_57faea4e453e49ad93821b7dd6ce8bc4" unitRef="_GBC_cef77704267643d794145c73763360e5" addr="T1R19C3S1_1" formatStyle="Comma"/>
        <m:item xlName="_GBC_d4b0a5fde3b741e9b15ea49be1b98d08" concept="clcid-pte:TiQuYiBanFengXianZhunBeiDaoZhiQiTaQuanYiGongJuZhongDeQiTaBianDongJinE" label="提取一般风险准备导致其他权益工具中的其他变动金额" periodRef="上年同期数" mulRef="_GBC_57faea4e453e49ad93821b7dd6ce8bc4" unitRef="_GBC_cef77704267643d794145c73763360e5" addr="T1R19C4S1_1" formatStyle="Comma"/>
        <m:item xlName="_GBC_b48d36341c104938956909532e0f9b43" concept="clcid-pte:TiQuYiBanFengXianZhunBeiDaoZhiZiBenGongJiBianDongJinE" label="提取一般风险准备导致资本公积变动金额" periodRef="上年同期数" mulRef="_GBC_57faea4e453e49ad93821b7dd6ce8bc4" unitRef="_GBC_cef77704267643d794145c73763360e5" addr="T1R19C5S1_1" formatStyle="Comma"/>
        <m:item xlName="_GBC_9c0d7922c561419db193ddee1fb28873" concept="clcid-pte:TiQuYiBanFengXianZhunBeiDaoZhiKuCunGuBianDongJinE" label="提取一般风险准备导致库存股变动金额" periodRef="上年同期数" mulRef="_GBC_57faea4e453e49ad93821b7dd6ce8bc4" unitRef="_GBC_cef77704267643d794145c73763360e5" addr="T1R19C6S1_1" baseScale="-1" formatStyle="Comma"/>
        <m:item xlName="_GBC_ccefba20cad44b109650f24edfc0d3a1" concept="clcid-pte:TiQuYiBanFengXianZhunBeiDaoZhiQiTaZongHeShouYiBianDongJinE" label="提取一般风险准备导致其他综合收益变动金额" periodRef="上年同期数" mulRef="_GBC_57faea4e453e49ad93821b7dd6ce8bc4" unitRef="_GBC_cef77704267643d794145c73763360e5" addr="T1R19C7S1_1" formatStyle="Comma"/>
        <m:item xlName="_GBC_9ecdf9d9702c49bfa0b66e119d2b1930" concept="clcid-pte:TiQuYiBanFengXianZhunBeiDaoZhiZhuanXiangChuBeiBianDongJinE" label="提取一般风险准备导致专项储备变动金额" periodRef="上年同期数" mulRef="_GBC_57faea4e453e49ad93821b7dd6ce8bc4" unitRef="_GBC_cef77704267643d794145c73763360e5" addr="T1R19C8S1_1" formatStyle="Comma"/>
        <m:item xlName="_GBC_b227bd24600a4f35a1789a27938f6405" concept="clcid-pte:TiQuYiBanFengXianZhunBeiDaoZhiYingYuGongJiBianDongJinE" label="提取一般风险准备导致盈余公积变动金额" periodRef="上年同期数" mulRef="_GBC_57faea4e453e49ad93821b7dd6ce8bc4" unitRef="_GBC_cef77704267643d794145c73763360e5" addr="T1R19C9S1_1" formatStyle="Comma"/>
        <m:item xlName="_GBC_46d32b0e7d2a4e9397603b5bedc560e2" concept="clcid-pte:TiQuYiBanFengXianZhunBeiDaoZhiYiBanFengXianZhunBeiBianDongJinE" label="提取一般风险准备导致一般风险准备变动金额" periodRef="上年同期数" mulRef="_GBC_57faea4e453e49ad93821b7dd6ce8bc4" unitRef="_GBC_cef77704267643d794145c73763360e5" addr="T1R19C10S1_1" formatStyle="Comma"/>
        <m:item xlName="_GBC_45c8ea53b192406e895e15ff579136be" concept="clcid-pte:TiQuYiBanFengXianZhunBeiDaoZhiWeiFenPeiLiRunBianDongJinE" label="提取一般风险准备导致未分配利润变动金额" periodRef="上年同期数" mulRef="_GBC_57faea4e453e49ad93821b7dd6ce8bc4" unitRef="_GBC_cef77704267643d794145c73763360e5" addr="T1R19C11S1_1" formatStyle="Comma"/>
        <m:item xlName="_GBC_fc92c35786e4482c983ac14ae4949614" concept="clcid-pte:TiQuYiBanFengXianZhunBeiDaoZhiQiTaDeGuiShuYuMuGongSiSuoYouZheQuanYiBianDongJinE" label="提取一般风险准备导致其他的归属于母公司所有者权益变动金额" periodRef="上年同期数" mulRef="_GBC_57faea4e453e49ad93821b7dd6ce8bc4" unitRef="_GBC_cef77704267643d794145c73763360e5" addr="T1R19C12S1_1" formatStyle="Comma"/>
        <m:item xlName="_GBC_8678ef8607a643239ee304020c0c3aca" concept="clcid-pte:TiQuYiBanFengXianZhunBeiDaoZhiGuiShuYuMuGongSiSuoYouZheQuanYiBianDongJinE" label="提取一般风险准备导致归属于母公司所有者权益变动金额" periodRef="上年同期数" mulRef="_GBC_57faea4e453e49ad93821b7dd6ce8bc4" unitRef="_GBC_cef77704267643d794145c73763360e5" addr="T1R19C13S1_1" formatStyle="Comma"/>
        <m:item xlName="_GBC_e361fff0e6ce465c813143945dda2dd3" concept="clcid-pte:TiQuYiBanFengXianZhunBeiDaoZhiShaoShuGuDongQuanYiBianDongJinE" label="提取一般风险准备导致少数股东权益变动金额" periodRef="上年同期数" mulRef="_GBC_57faea4e453e49ad93821b7dd6ce8bc4" unitRef="_GBC_cef77704267643d794145c73763360e5" addr="T1R19C14S1_1" formatStyle="Comma"/>
        <m:item xlName="_GBC_cf1b373588044caeacfcbe871e1e2eb9" concept="clcid-pte:TiQuYiBanFengXianZhunBeiDaoZhiGuDongQuanYiHeJiBianDongJinE" label="提取一般风险准备导致股东权益合计变动金额" periodRef="上年同期数" mulRef="_GBC_57faea4e453e49ad93821b7dd6ce8bc4" unitRef="_GBC_cef77704267643d794145c73763360e5" addr="T1R19C15S1_1" formatStyle="Comma"/>
        <m:placeholder xlName="_PLD_d19b1d04bab14e67b22ee23afd215d76" wordText="3．对所有者（或股东）的分配" addr="T1R20C0S1_1"/>
        <m:item xlName="_GBC_32020ac097514f7a8963ba3b4645b826" concept="clcid-pte:DuiSuoYouZheHuoGuDongDeFenPeiDaoZhiShiShouZiBenHuoGuBenJingEBianDongJinE" label="对所有者（或股东）的分配导致实收资本（或股本）净额变动金额" periodRef="上年同期数" mulRef="_GBC_57faea4e453e49ad93821b7dd6ce8bc4" unitRef="_GBC_cef77704267643d794145c73763360e5" addr="T1R20C1S1_1" formatStyle="Comma"/>
        <m:item xlName="_GBC_54258a9187c54ee38b628d95c4b057aa" concept="clcid-pte:DuiSuoYouZheHuoGuDongDeFenPeiDaoZhiQiTaQuanYiGongJuZhongDeYouXianGuBianDongJinE" label="对所有者（或股东）的分配导致其他权益工具中的优先股变动金额" periodRef="上年同期数" mulRef="_GBC_57faea4e453e49ad93821b7dd6ce8bc4" unitRef="_GBC_cef77704267643d794145c73763360e5" addr="T1R20C2S1_1" formatStyle="Comma"/>
        <m:item xlName="_GBC_ab01c78c9825407eb678542237da77bf" concept="clcid-pte:DuiSuoYouZheHuoGuDongDeFenPeiDaoZhiQiTaQuanYiGongJuZhongDeYongXuZhaiBianDongJinE" label="对所有者（或股东）的分配导致其他权益工具中的永续债变动金额" periodRef="上年同期数" mulRef="_GBC_57faea4e453e49ad93821b7dd6ce8bc4" unitRef="_GBC_cef77704267643d794145c73763360e5" addr="T1R20C3S1_1" formatStyle="Comma"/>
        <m:item xlName="_GBC_92672d547dd74777897845683645a1a3" concept="clcid-pte:DuiSuoYouZheHuoGuDongDeFenPeiDaoZhiQiTaQuanYiGongJuZhongDeQiTaBianDongJinE" label="对所有者（或股东）的分配导致其他权益工具中的其他变动金额" periodRef="上年同期数" mulRef="_GBC_57faea4e453e49ad93821b7dd6ce8bc4" unitRef="_GBC_cef77704267643d794145c73763360e5" addr="T1R20C4S1_1" formatStyle="Comma"/>
        <m:item xlName="_GBC_34381df683e546dd9b9491227d559f95" concept="clcid-pte:DuiSuoYouZheHuoGuDongDeFenPeiDaoZhiZiBenGongJiBianDongJinE" label="对所有者（或股东）的分配导致资本公积变动金额" periodRef="上年同期数" mulRef="_GBC_57faea4e453e49ad93821b7dd6ce8bc4" unitRef="_GBC_cef77704267643d794145c73763360e5" addr="T1R20C5S1_1" formatStyle="Comma"/>
        <m:item xlName="_GBC_e8da057308084b45b62dbbfd52c54f17" concept="clcid-pte:DuiSuoYouZheHuoGuDongDeFenPeiDaoZhiKuCunGuBianDongJinE" label="对所有者（或股东）的分配导致库存股变动金额" periodRef="上年同期数" mulRef="_GBC_57faea4e453e49ad93821b7dd6ce8bc4" unitRef="_GBC_cef77704267643d794145c73763360e5" addr="T1R20C6S1_1" baseScale="-1" formatStyle="Comma"/>
        <m:item xlName="_GBC_9bf019e64a7c4807a0607fb052654303" concept="clcid-pte:DuiSuoYouZheHuoGuDongDeFenPeiDaoZhiQiTaZongHeShouYiBianDongJinE" label="对所有者（或股东）的分配导致其他综合收益变动金额" periodRef="上年同期数" mulRef="_GBC_57faea4e453e49ad93821b7dd6ce8bc4" unitRef="_GBC_cef77704267643d794145c73763360e5" addr="T1R20C7S1_1" formatStyle="Comma"/>
        <m:item xlName="_GBC_4f402f03ab9742ba9cfa28d9a7729193" concept="clcid-pte:DuiSuoYouZheHuoGuDongDeFenPeiDaoZhiZhuanXiangChuBeiBianDongJinE" label="对所有者（或股东）的分配导致专项储备变动金额" periodRef="上年同期数" mulRef="_GBC_57faea4e453e49ad93821b7dd6ce8bc4" unitRef="_GBC_cef77704267643d794145c73763360e5" addr="T1R20C8S1_1" formatStyle="Comma"/>
        <m:item xlName="_GBC_1bb1990740b941f4bc9d8c20569426ce" concept="clcid-pte:DuiSuoYouZheHuoGuDongDeFenPeiDaoZhiYingYuGongJiBianDongJinE" label="对所有者（或股东）的分配导致盈余公积变动金额" periodRef="上年同期数" mulRef="_GBC_57faea4e453e49ad93821b7dd6ce8bc4" unitRef="_GBC_cef77704267643d794145c73763360e5" addr="T1R20C9S1_1" formatStyle="Comma"/>
        <m:item xlName="_GBC_b161e8312f574672ab463645755af800" concept="clcid-pte:DuiSuoYouZheHuoGuDongDeFenPeiDaoZhiYiBanFengXianZhunBeiBianDongJinE" label="对所有者（或股东）的分配导致一般风险准备变动金额" periodRef="上年同期数" mulRef="_GBC_57faea4e453e49ad93821b7dd6ce8bc4" unitRef="_GBC_cef77704267643d794145c73763360e5" addr="T1R20C10S1_1" formatStyle="Comma"/>
        <m:item xlName="_GBC_b80b0614977743bd8b26b02da9b526b8" concept="clcid-pte:DuiSuoYouZheHuoGuDongDeFenPeiDaoZhiWeiFenPeiLiRunBianDongJinE" label="对所有者（或股东）的分配导致未分配利润变动金额" periodRef="上年同期数" mulRef="_GBC_57faea4e453e49ad93821b7dd6ce8bc4" unitRef="_GBC_cef77704267643d794145c73763360e5" addr="T1R20C11S1_1" formatStyle="Comma"/>
        <m:item xlName="_GBC_a168dc8df0cc4fbaac8dfb518aa31e6d" concept="clcid-pte:DuiSuoYouZheHuoGuDongDeFenPeiDaoZhiQiTaDeGuiShuYuMuGongSiSuoYouZheQuanYiBianDongJinE" label="对所有者（或股东）的分配导致其他的归属于母公司所有者权益变动金额" periodRef="上年同期数" mulRef="_GBC_57faea4e453e49ad93821b7dd6ce8bc4" unitRef="_GBC_cef77704267643d794145c73763360e5" addr="T1R20C12S1_1" formatStyle="Comma"/>
        <m:item xlName="_GBC_dd13fa9ceca8444a8a66aa15f74a6253" concept="clcid-pte:DuiSuoYouZheHuoGuDongDeFenPeiDaoZhiGuiShuYuMuGongSiSuoYouZheQuanYiBianDongJinE" label="对所有者（或股东）的分配导致归属于母公司所有者权益变动金额" periodRef="上年同期数" mulRef="_GBC_57faea4e453e49ad93821b7dd6ce8bc4" unitRef="_GBC_cef77704267643d794145c73763360e5" addr="T1R20C13S1_1" formatStyle="Comma"/>
        <m:item xlName="_GBC_a675a5bb5e9d4d10abc61dfdd7c4c010" concept="clcid-pte:DuiSuoYouZheHuoGuDongDeFenPeiDaoZhiShaoShuGuDongQuanYiBianDongJinE" label="对所有者（或股东）的分配导致少数股东权益变动金额" periodRef="上年同期数" mulRef="_GBC_57faea4e453e49ad93821b7dd6ce8bc4" unitRef="_GBC_cef77704267643d794145c73763360e5" addr="T1R20C14S1_1" formatStyle="Comma"/>
        <m:item xlName="_GBC_3f65ad1c22e4411c959fc9537055eaab" concept="clcid-pte:DuiSuoYouZheHuoGuDongDeFenPeiDaoZhiGuDongQuanYiHeJiBianDongJinE" label="对所有者（或股东）的分配导致股东权益合计变动金额" periodRef="上年同期数" mulRef="_GBC_57faea4e453e49ad93821b7dd6ce8bc4" unitRef="_GBC_cef77704267643d794145c73763360e5" addr="T1R20C15S1_1" formatStyle="Comma"/>
        <m:placeholder xlName="_PLD_6e5628e129d04d23a2d71da503cecfdd" wordText="4．其他" addr="T1R21C0S1_1"/>
        <m:item xlName="_GBC_0312d32d39d54347a05a91a946b5ff54" concept="clcid-pte:QiTaLiRunFenPeiDaoZhiShiShouZiBenHuoGuBenJingEBianDongJinE" label="其他利润分配导致实收资本（或股本）净额变动金额" periodRef="上年同期数" mulRef="_GBC_57faea4e453e49ad93821b7dd6ce8bc4" unitRef="_GBC_cef77704267643d794145c73763360e5" addr="T1R21C1S1_1" formatStyle="Comma"/>
        <m:item xlName="_GBC_978700df9b08479793b7c0e1ff711ba5" concept="clcid-pte:QiTaLiRunFenPeiDaoZhiQiTaQuanYiGongJuZhongDeYouXianGuBianDongJinE" label="其他利润分配导致其他权益工具中的优先股变动金额" periodRef="上年同期数" mulRef="_GBC_57faea4e453e49ad93821b7dd6ce8bc4" unitRef="_GBC_cef77704267643d794145c73763360e5" addr="T1R21C2S1_1" formatStyle="Comma"/>
        <m:item xlName="_GBC_be9dd499194847c2a318bb829aac88f8" concept="clcid-pte:QiTaLiRunFenPeiDaoZhiQiTaQuanYiGongJuZhongDeYongXuZhaiBianDongJinE" label="其他利润分配导致其他权益工具中的永续债变动金额" periodRef="上年同期数" mulRef="_GBC_57faea4e453e49ad93821b7dd6ce8bc4" unitRef="_GBC_cef77704267643d794145c73763360e5" addr="T1R21C3S1_1" formatStyle="Comma"/>
        <m:item xlName="_GBC_794a323657624054b83c3482f28b670e" concept="clcid-pte:QiTaLiRunFenPeiDaoZhiQiTaQuanYiGongJuZhongDeQiTaBianDongJinE" label="其他利润分配导致其他权益工具中的其他变动金额" periodRef="上年同期数" mulRef="_GBC_57faea4e453e49ad93821b7dd6ce8bc4" unitRef="_GBC_cef77704267643d794145c73763360e5" addr="T1R21C4S1_1" formatStyle="Comma"/>
        <m:item xlName="_GBC_304a3d6077a94dcfaaf9456f0dd4b1ce" concept="clcid-pte:QiTaLiRunFenPeiDaoZhiZiBenGongJiBianDongJinE" label="其他利润分配导致资本公积变动金额" periodRef="上年同期数" mulRef="_GBC_57faea4e453e49ad93821b7dd6ce8bc4" unitRef="_GBC_cef77704267643d794145c73763360e5" addr="T1R21C5S1_1" formatStyle="Comma"/>
        <m:item xlName="_GBC_491c2ecbf6914094b39f76602649eb44" concept="clcid-pte:QiTaLiRunFenPeiDaoZhiKuCunGuBianDongJinE" label="其他利润分配导致库存股变动金额" periodRef="上年同期数" mulRef="_GBC_57faea4e453e49ad93821b7dd6ce8bc4" unitRef="_GBC_cef77704267643d794145c73763360e5" addr="T1R21C6S1_1" baseScale="-1" formatStyle="Comma"/>
        <m:item xlName="_GBC_8ecd05736627439487939cbdd49cb1f1" concept="clcid-pte:QiTaLiRunFenPeiDaoZhiQiTaZongHeShouYiBianDongJinE" label="其他利润分配导致其他综合收益变动金额" periodRef="上年同期数" mulRef="_GBC_57faea4e453e49ad93821b7dd6ce8bc4" unitRef="_GBC_cef77704267643d794145c73763360e5" addr="T1R21C7S1_1" formatStyle="Comma"/>
        <m:item xlName="_GBC_8395fed1694b4b42b12e0fc63cd105b6" concept="clcid-pte:QiTaLiRunFenPeiDaoZhiZhuanXiangChuBeiBianDongJinE" label="其他利润分配导致专项储备变动金额" periodRef="上年同期数" mulRef="_GBC_57faea4e453e49ad93821b7dd6ce8bc4" unitRef="_GBC_cef77704267643d794145c73763360e5" addr="T1R21C8S1_1" formatStyle="Comma"/>
        <m:item xlName="_GBC_325ff26a3a754e9d896fe3bdb7714a6e" concept="clcid-pte:QiTaLiRunFenPeiDaoZhiYingYuGongJiBianDongJinE" label="其他利润分配导致盈余公积变动金额" periodRef="上年同期数" mulRef="_GBC_57faea4e453e49ad93821b7dd6ce8bc4" unitRef="_GBC_cef77704267643d794145c73763360e5" addr="T1R21C9S1_1" formatStyle="Comma"/>
        <m:item xlName="_GBC_9e12bdcaa28f4dd7be3c5166b6dc8dc0" concept="clcid-pte:QiTaLiRunFenPeiDaoZhiYiBanFengXianZhunBeiBianDongJinE" label="其他利润分配导致一般风险准备变动金额" periodRef="上年同期数" mulRef="_GBC_57faea4e453e49ad93821b7dd6ce8bc4" unitRef="_GBC_cef77704267643d794145c73763360e5" addr="T1R21C10S1_1" formatStyle="Comma"/>
        <m:item xlName="_GBC_fa8ef7e9046c4aabb5e6a1a48dcef15c" concept="clcid-pte:QiTaLiRunFenPeiDaoZhiWeiFenPeiLiRunBianDongJinE" label="其他利润分配导致未分配利润变动金额" periodRef="上年同期数" mulRef="_GBC_57faea4e453e49ad93821b7dd6ce8bc4" unitRef="_GBC_cef77704267643d794145c73763360e5" addr="T1R21C11S1_1" formatStyle="Comma"/>
        <m:item xlName="_GBC_27630fcc5cae463b91e7b0492711e376" concept="clcid-pte:QiTaLiRunFenPeiDaoZhiQiTaDeGuiShuYuMuGongSiSuoYouZheQuanYiBianDongJinE" label="其他利润分配导致其他的归属于母公司所有者权益变动金额" periodRef="上年同期数" mulRef="_GBC_57faea4e453e49ad93821b7dd6ce8bc4" unitRef="_GBC_cef77704267643d794145c73763360e5" addr="T1R21C12S1_1" formatStyle="Comma"/>
        <m:item xlName="_GBC_13eedffa5e7b4ae0a5af5499c2f76220" concept="clcid-pte:QiTaLiRunFenPeiDaoZhiGuiShuYuMuGongSiSuoYouZheQuanYiBianDongJinE" label="其他利润分配导致归属于母公司所有者权益变动金额" periodRef="上年同期数" mulRef="_GBC_57faea4e453e49ad93821b7dd6ce8bc4" unitRef="_GBC_cef77704267643d794145c73763360e5" addr="T1R21C13S1_1" formatStyle="Comma"/>
        <m:item xlName="_GBC_1eade97753574eff93ed64831dd71f4a" concept="clcid-pte:QiTaLiRunFenPeiDaoZhiShaoShuGuDongQuanYiBianDongJinE" label="其他利润分配导致少数股东权益变动金额" periodRef="上年同期数" mulRef="_GBC_57faea4e453e49ad93821b7dd6ce8bc4" unitRef="_GBC_cef77704267643d794145c73763360e5" addr="T1R21C14S1_1" formatStyle="Comma"/>
        <m:item xlName="_GBC_5d0f1c8be61f409cbad0a7ae26baae03" concept="clcid-pte:QiTaLiRunFenPeiDaoZhiGuDongQuanYiHeJiBianDongJinE" label="其他利润分配导致股东权益合计变动金额" periodRef="上年同期数" mulRef="_GBC_57faea4e453e49ad93821b7dd6ce8bc4" unitRef="_GBC_cef77704267643d794145c73763360e5" addr="T1R21C15S1_1" formatStyle="Comma"/>
        <m:placeholder xlName="_PLD_a953b61d69004a7a91974afa1318df0a" wordText="（四）所有者权益内部结转" addr="T1R22C0S1_1"/>
        <m:item xlName="_GBC_2b0ffe66cc714ea89055bc1104efd56a" concept="clcid-pte:SuoYouZheQuanYiNeiBuJieZhuanDaoZhiShiShouZiBenHuoGuBenJingEBianDongJinE" label="所有者权益内部结转导致实收资本（或股本）净额变动金额" periodRef="上年同期数" mulRef="_GBC_57faea4e453e49ad93821b7dd6ce8bc4" unitRef="_GBC_cef77704267643d794145c73763360e5" addr="T1R22C1S1_1" formatStyle="Comma">
          <m:complexRule comparator="Eq" title="所有者权益内部结转导致实收资本（或股本）净额变动金额@上年同期数" test=" $_GBC_c2b7c94804a1496fb25cd4c80f163f63 +  $_GBC_d4afb2fffa3f4b0db45f0bbec87c9aed +  $_GBC_fd80cb73cbdb4d268235abab5a3276b9 +  $_GBC_157d47cb91cb45d3821dd7a06559e576 +  $_GBC_38b5b76d2c1f448a9988c68fab9aadd0 +  $_GBC_02be059e52294c1296251ef724f8d214" id="C80352ec33da34e3a910e0408ad558ef5" radius="0.0001"/>
        </m:item>
        <m:item xlName="_GBC_4d7e3c201d6a41a3b8eb19a7c160b53e" concept="clcid-pte:SuoYouZheQuanYiNeiBuJieZhuanDaoZhiQiTaQuanYiGongJuZhongDeYouXianGuBianDongJinE" label="所有者权益内部结转导致其他权益工具中的优先股变动金额" periodRef="上年同期数" mulRef="_GBC_57faea4e453e49ad93821b7dd6ce8bc4" unitRef="_GBC_cef77704267643d794145c73763360e5" addr="T1R22C2S1_1" formatStyle="Comma">
          <m:complexRule comparator="Eq" title="所有者权益内部结转导致其他权益工具中的优先股变动金额@上年同期数" test=" $_GBC_0dabd275ad304b588a0580e25ac7c1f4 +  $_GBC_d8a487d9c39c492498de2d3e5740f1db +  $_GBC_4e68cf75d84b474f92867067a68f1464 +  $_GBC_68d2281a67174fe9939e0ff020c6cfd1 +  $_GBC_69e058938d3c47d99c1ffe7dc2590def +  $_GBC_0cbf73a2ae49463b9bdea6492caf09cb" id="C5c272b05d4084dd693f2b1d1a3f4faef"/>
        </m:item>
        <m:item xlName="_GBC_dbc3303ee9ce4d1b9276cdd1b56f3fe8" concept="clcid-pte:SuoYouZheQuanYiNeiBuJieZhuanDaoZhiQiTaQuanYiGongJuZhongDeYongXuZhaiBianDongJinE" label="所有者权益内部结转导致其他权益工具中的永续债变动金额" periodRef="上年同期数" mulRef="_GBC_57faea4e453e49ad93821b7dd6ce8bc4" unitRef="_GBC_cef77704267643d794145c73763360e5" addr="T1R22C3S1_1" formatStyle="Comma">
          <m:complexRule comparator="Eq" title="所有者权益内部结转导致其他权益工具中的永续债变动金额@上年同期数" test=" $_GBC_d2db2b2d4880475faa087bee5180adce +  $_GBC_358121a220ba4f769a3280492a09c75c +  $_GBC_a8a01e1b7bf049b4898ca3e0a51197b9 +  $_GBC_3fb18e137de2442a96c3beed78b6ec7e +  $_GBC_2393923b48174fb48a3e39c36d06dda5 +  $_GBC_a60def276b7e41bcafcc84ac46bc1687" id="Cb6e922f3315d4b07b8e7d0aecc8d6356"/>
        </m:item>
        <m:item xlName="_GBC_2cab6a74577844ffa81888c227201d9a" concept="clcid-pte:SuoYouZheQuanYiNeiBuJieZhuanDaoZhiQiTaQuanYiGongJuZhongDeQiTaBianDongJinE" label="所有者权益内部结转导致其他权益工具中的其他变动金额" periodRef="上年同期数" mulRef="_GBC_57faea4e453e49ad93821b7dd6ce8bc4" unitRef="_GBC_cef77704267643d794145c73763360e5" addr="T1R22C4S1_1" formatStyle="Comma">
          <m:complexRule comparator="Eq" title="所有者权益内部结转导致其他权益工具中的其他变动金额@上年同期数" test=" $_GBC_90fdbe20200d4ce38a57bc78b4179e33 +  $_GBC_89b51079c72f4a85b725717099e539fd +  $_GBC_66d19070fa504272af3943046beafbfb +  $_GBC_8ad349b8eac34942b93f7f0abd0bd5f2 +  $_GBC_6c55a29a401a45dd8ef409e01fc8f4b1 +  $_GBC_eb24a0413657479c98f8849d85d5824b" id="C1822f56985704ecaaab364f0c9447996"/>
        </m:item>
        <m:item xlName="_GBC_8531069f916942859721d2903ce54190" concept="clcid-pte:SuoYouZheQuanYiNeiBuJieZhuanDaoZhiZiBenGongJiBianDongJinE" label="所有者权益内部结转导致资本公积变动金额" periodRef="上年同期数" mulRef="_GBC_57faea4e453e49ad93821b7dd6ce8bc4" unitRef="_GBC_cef77704267643d794145c73763360e5" addr="T1R22C5S1_1" formatStyle="Comma">
          <m:complexRule comparator="Eq" title="所有者权益内部结转导致资本公积变动金额@上年同期数" test=" $_GBC_49b0561ac2be4c4f8b913eb464fd69f0 +  $_GBC_2d1bb025b29a49ebb09eecfe68dca1b6 +  $_GBC_bbeadaf9b4b24a3d9b5e5a8057e7fdff +  $_GBC_5aa12e5b90f54d3594eb1819eb885abc +  $_GBC_3ca5d423e2ca4eb783697772e9e23f97 +  $_GBC_be06fc88c86f4da39b154c4bfa6076ee" id="Caf498ac6ef9446cf86a878a25d6743f9" radius="0.0001"/>
        </m:item>
        <m:item xlName="_GBC_d84a4243b71443ceb6ec3b8b08ee452a" concept="clcid-pte:SuoYouZheQuanYiNeiBuJieZhuanDaoZhiKuCunGuBianDongJinE" label="所有者权益内部结转导致库存股变动金额" periodRef="上年同期数" mulRef="_GBC_57faea4e453e49ad93821b7dd6ce8bc4" unitRef="_GBC_cef77704267643d794145c73763360e5" addr="T1R22C6S1_1" baseScale="-1" formatStyle="Comma">
          <m:complexRule comparator="Eq" title="所有者权益内部结转导致库存股变动金额@上年同期数" test=" $_GBC_5f292639998d4ca4a5d5f2221ab070d4 +  $_GBC_24ca4c1354784ee79e67cdc7b3d2a0ae +  $_GBC_f19048ec3b074cc7bc201caa6edf8c29 +  $_GBC_b58d16206f314da4965dd582da896555 +  $_GBC_0238d6fffbc946cda8ffecf56ff5fb44 +  $_GBC_b665813a9af546e9a6b3cfca9faf2df3" id="C6e5950d6b52f45018b60c329dba1271a" radius="0.0001"/>
        </m:item>
        <m:item xlName="_GBC_134b0598c9ab42aba55185cdf9e78b50" concept="clcid-pte:SuoYouZheQuanYiNeiBuJieZhuanDaoZhiQiTaZongHeShouYiBianDongJinE" label="所有者权益内部结转导致其他综合收益变动金额" periodRef="上年同期数" mulRef="_GBC_57faea4e453e49ad93821b7dd6ce8bc4" unitRef="_GBC_cef77704267643d794145c73763360e5" addr="T1R22C7S1_1" formatStyle="Comma">
          <m:complexRule comparator="Eq" title="所有者权益内部结转导致其他综合收益变动金额@上年同期数" test=" $_GBC_6c65e152997a4da39b178d1e4e3c1c67 +  $_GBC_9cba72f809ed468cade76c7bed47f6ed +  $_GBC_c55a47e6c4d14360a2867ab7732d4220 +  $_GBC_8664dc7392ca4123836f7c157cfa96f0 +  $_GBC_dfa859d2c9184ac89b290e5ee394517e +  $_GBC_b386690ee1974fee8d8713780ff56f99" id="C6b2cf1ef99694eaab2e59f0e2453bbfb"/>
        </m:item>
        <m:item xlName="_GBC_8e5ba80992e441bb8c20272861e2224c" concept="clcid-pte:SuoYouZheQuanYiNeiBuJieZhuanDaoZhiZhuanXiangChuBeiBianDongJinE" label="所有者权益内部结转导致专项储备变动金额" periodRef="上年同期数" mulRef="_GBC_57faea4e453e49ad93821b7dd6ce8bc4" unitRef="_GBC_cef77704267643d794145c73763360e5" addr="T1R22C8S1_1" formatStyle="Comma">
          <m:complexRule comparator="Eq" title="所有者权益内部结转导致专项储备变动金额@上年同期数" test=" $_GBC_52bec9e641f541af804b3d6a27362924 +  $_GBC_5f4a38f704314c5e90acb63414421fa8 +  $_GBC_6e46fabc310949b8be3a5024860ccc41 +  $_GBC_ed813617d7b24d5aa1206ad2739ed368 +  $_GBC_374fc2b16939452797f27e8eb3965204 +  $_GBC_a0c64d72aea6414289ad4d1518f1d2d7" id="Cb8b846c8c81b4278b7e89d5a6519b10a"/>
        </m:item>
        <m:item xlName="_GBC_4b92f2c7718d4b4c808eeae471b3c6f1" concept="clcid-pte:SuoYouZheQuanYiNeiBuJieZhuanDaoZhiYingYuGongJiBianDongJinE" label="所有者权益内部结转导致盈余公积变动金额" periodRef="上年同期数" mulRef="_GBC_57faea4e453e49ad93821b7dd6ce8bc4" unitRef="_GBC_cef77704267643d794145c73763360e5" addr="T1R22C9S1_1" formatStyle="Comma">
          <m:complexRule comparator="Eq" title="所有者权益内部结转导致盈余公积变动金额@上年同期数" test=" $_GBC_25754c7ba91248509ea6395b18d1bee4 +  $_GBC_185fdcaff5904772977f434d3ca56e26 +  $_GBC_c39a79d07d07479a847793e768c63708 +  $_GBC_be3d19c9935c4763926794eb5355040c +  $_GBC_e3eb78c55d154f34a8f6627a9ba527f1 +  $_GBC_5136eba4ef364716af81659f9d21be68" id="C106c896cef164372b10e9633524fd875"/>
        </m:item>
        <m:item xlName="_GBC_6a41b7ccbd2e40faac2052c7c2728a3c" concept="clcid-pte:SuoYouZheQuanYiNeiBuJieZhuanDaoZhiYiBanFengXianZhunBeiBianDongJinE" label="所有者权益内部结转导致一般风险准备变动金额" periodRef="上年同期数" mulRef="_GBC_57faea4e453e49ad93821b7dd6ce8bc4" unitRef="_GBC_cef77704267643d794145c73763360e5" addr="T1R22C10S1_1" formatStyle="Comma">
          <m:complexRule comparator="Eq" title="所有者权益内部结转导致一般风险准备变动金额@上年同期数" test=" $_GBC_b03ae3deeb744acbb67cfb8cf7a1dc1c +  $_GBC_625f224527ec436abddcc797deb6b924 +  $_GBC_d21cc13224cc4a6f91409a2ecb252062 +  $_GBC_fc37147ff26946338bbc02a5f7145d26 +  $_GBC_6a4792c81a5b4e8cb5e5d8af825b1839 +  $_GBC_8abbce4d791e4b138e31477d01bdc965" id="C38673f5b199c410fa61a53b25c77ace9"/>
        </m:item>
        <m:item xlName="_GBC_bac86216fb5c46129a9e923be84c7a9d" concept="clcid-pte:SuoYouZheQuanYiNeiBuJieZhuanDaoZhiWeiFenPeiLiRunBianDongJinE" label="所有者权益内部结转导致未分配利润变动金额" periodRef="上年同期数" mulRef="_GBC_57faea4e453e49ad93821b7dd6ce8bc4" unitRef="_GBC_cef77704267643d794145c73763360e5" addr="T1R22C11S1_1" formatStyle="Comma">
          <m:complexRule comparator="Eq" title="所有者权益内部结转导致未分配利润变动金额@上年同期数" test=" $_GBC_10caad1f059d4ac78f40fb623451eb36 +  $_GBC_b6bd6bfab8cf49ad830bdfc49b931eb6 +  $_GBC_bd91a8b6a9634813b4fc9512c7fa4b98 +  $_GBC_d8b31d9575714b0ca9252bcf5983e68b +  $_GBC_fdf7b088d33b4446b7d306780eb72318 +  $_GBC_c44d00c51ffc4bb4b963a1a2337f54e1" id="Ce2faddd29e4d49dd9c91ba4816c5940b"/>
        </m:item>
        <m:item xlName="_GBC_78913236579f4505a2a0a370c20bb99a" concept="clcid-pte:SuoYouZheQuanYiNeiBuJieZhuanDaoZhiQiTaDeGuiShuYuMuGongSiSuoYouZheQuanYiBianDongJinE" label="所有者权益内部结转导致其他的归属于母公司所有者权益变动金额" periodRef="上年同期数" mulRef="_GBC_57faea4e453e49ad93821b7dd6ce8bc4" unitRef="_GBC_cef77704267643d794145c73763360e5" addr="T1R22C12S1_1" formatStyle="Comma">
          <m:complexRule comparator="Eq" title="所有者权益内部结转导致其他的归属于母公司所有者权益变动金额@上年同期数" test=" $_GBC_59af1ef3e53a459db4900755ab75d7d2 +  $_GBC_bd990d0724f6487bb25f518f80c62a23 +  $_GBC_4d563a6e85ae4bab977df869460f0400 +  $_GBC_59efedb1a13a4399b334e883a43ccd63 +  $_GBC_024b72ded1d94a18b9ba8cb5174cd111 +  $_GBC_ed6b65405c0b46c9b81582e3a320e0c5" id="C0f51dfda309f4e4ca484d45ab86665e4"/>
        </m:item>
        <m:item xlName="_GBC_8116420cccd742a69dea5d6655fa89b2" concept="clcid-pte:SuoYouZheQuanYiNeiBuJieZhuanDaoZhiGuiShuYuMuGongSiSuoYouZheQuanYiBianDongJinE" label="所有者权益内部结转导致归属于母公司所有者权益变动金额" periodRef="上年同期数" mulRef="_GBC_57faea4e453e49ad93821b7dd6ce8bc4" unitRef="_GBC_cef77704267643d794145c73763360e5" addr="T1R22C13S1_1" formatStyle="Comma">
          <m:complexRule comparator="Eq" title="所有者权益内部结转导致归属于母公司所有者权益变动金额小计@上年同期数" test=" $_GBC_68837dcd5dab4fa4b3c960b8c7c46c61 +  $_GBC_c2485e1de0b24b12b4ee16a56da6b4c1 +  $_GBC_523dbbedde764b92bdae6deca9e8fda9 +  $_GBC_621e4df740c7472d9d9132206b355406 +  $_GBC_f9efccde97dc433e8f7d2973982f660a +  $_GBC_90a4dd4117dc4e9c9ca5c77dbf2f4be0" id="Cd560f6cf921f47679789c03a33fbd8ff"/>
        </m:item>
        <m:item xlName="_GBC_23a9e9fa971245748c261f52782192f7" concept="clcid-pte:SuoYouZheQuanYiNeiBuJieZhuanDaoZhiShaoShuGuDongQuanYiBianDongJinE" label="所有者权益内部结转导致少数股东权益变动金额" periodRef="上年同期数" mulRef="_GBC_57faea4e453e49ad93821b7dd6ce8bc4" unitRef="_GBC_cef77704267643d794145c73763360e5" addr="T1R22C14S1_1" formatStyle="Comma">
          <m:complexRule comparator="Eq" title="所有者权益内部结转导致少数股东权益变动金额@上年同期数" test=" $_GBC_cdcbce1641514a97b5c3916f3337aef7 +  $_GBC_0dfc256862c74e988d9aa7a816b12861 +  $_GBC_4e803821839f4045b65dcc4829b05960 +  $_GBC_48350b5a4739464d96ce58d3c98c538c +  $_GBC_3efbe4b063a7446a85fc0fb767a34512 +  $_GBC_2bd0391579964a01adba794496d7efc6" id="C5b7d61039b884cdb943eb60e8e385d23"/>
        </m:item>
        <m:item xlName="_GBC_1168372e9d604a1caa5cb7314b932bca" concept="clcid-pte:SuoYouZheQuanYiNeiBuJieZhuanDaoZhiGuDongQuanYiHeJiBianDongJinE" label="所有者权益内部结转导致股东权益合计变动金额" periodRef="上年同期数" mulRef="_GBC_57faea4e453e49ad93821b7dd6ce8bc4" unitRef="_GBC_cef77704267643d794145c73763360e5" addr="T1R22C15S1_1" formatStyle="Comma">
          <m:complexRule comparator="Eq" title="所有者权益内部结转导致股东权益合计变动金额@上年同期数" test=" $_GBC_6a6f402bf9984f39885cda20be2f7c7f +  $_GBC_51722039d81b443594044d55e372e026 +  $_GBC_3219db77c77244ad8de930ac203652af +  $_GBC_e085e3c5c7fb4d8ba126db44afa087ca +  $_GBC_62da3db68c9d419a8393f81e7857c904 +  $_GBC_bce081b212964983b04d8383f3590061" id="Ce389d5e6f96944a6b0a6dd8e4f49f558"/>
        </m:item>
        <m:placeholder xlName="_PLD_278fa3d290b3473aacd1d849016a2959" wordText="1．资本公积转增资本（或股本）" addr="T1R23C0S1_1"/>
        <m:item xlName="_GBC_c2b7c94804a1496fb25cd4c80f163f63" concept="clcid-pte:ZiBenGongJiZhuanZengZiBenHuoGuBenDaoZhiShiShouZiBenHuoGuBenJingEBianDongJinE" label="资本公积转增资本（或股本）导致实收资本（或股本）净额变动金额" periodRef="上年同期数" mulRef="_GBC_57faea4e453e49ad93821b7dd6ce8bc4" unitRef="_GBC_cef77704267643d794145c73763360e5" addr="T1R23C1S1_1" formatStyle="Comma"/>
        <m:item xlName="_GBC_0dabd275ad304b588a0580e25ac7c1f4" concept="clcid-pte:ZiBenGongJiZhuanZengZiBenHuoGuBenDaoZhiQiTaQuanYiGongJuZhongDeYouXianGuBianDongJinE" label="资本公积转增资本（或股本）导致其他权益工具中的优先股变动金额" periodRef="上年同期数" mulRef="_GBC_57faea4e453e49ad93821b7dd6ce8bc4" unitRef="_GBC_cef77704267643d794145c73763360e5" addr="T1R23C2S1_1" formatStyle="Comma"/>
        <m:item xlName="_GBC_d2db2b2d4880475faa087bee5180adce" concept="clcid-pte:ZiBenGongJiZhuanZengZiBenHuoGuBenDaoZhiQiTaQuanYiGongJuZhongDeYongXuZhaiBianDongJinE" label="资本公积转增资本（或股本）导致其他权益工具中的永续债变动金额" periodRef="上年同期数" mulRef="_GBC_57faea4e453e49ad93821b7dd6ce8bc4" unitRef="_GBC_cef77704267643d794145c73763360e5" addr="T1R23C3S1_1" formatStyle="Comma"/>
        <m:item xlName="_GBC_90fdbe20200d4ce38a57bc78b4179e33" concept="clcid-pte:ZiBenGongJiZhuanZengZiBenHuoGuBenDaoZhiQiTaQuanYiGongJuZhongDeQiTaBianDongJinE" label="资本公积转增资本（或股本）导致其他权益工具中的其他变动金额" periodRef="上年同期数" mulRef="_GBC_57faea4e453e49ad93821b7dd6ce8bc4" unitRef="_GBC_cef77704267643d794145c73763360e5" addr="T1R23C4S1_1" formatStyle="Comma"/>
        <m:item xlName="_GBC_49b0561ac2be4c4f8b913eb464fd69f0" concept="clcid-pte:ZiBenGongJiZhuanZengZiBenHuoGuBenDaoZhiZiBenGongJiBianDongJinE" label="资本公积转增资本（或股本）导致资本公积变动金额" periodRef="上年同期数" mulRef="_GBC_57faea4e453e49ad93821b7dd6ce8bc4" unitRef="_GBC_cef77704267643d794145c73763360e5" addr="T1R23C5S1_1" formatStyle="Comma"/>
        <m:item xlName="_GBC_5f292639998d4ca4a5d5f2221ab070d4" concept="clcid-pte:ZiBenGongJiZhuanZengZiBenHuoGuBenDaoZhiKuCunGuBianDongJinE" label="资本公积转增资本（或股本）导致库存股变动金额" periodRef="上年同期数" mulRef="_GBC_57faea4e453e49ad93821b7dd6ce8bc4" unitRef="_GBC_cef77704267643d794145c73763360e5" addr="T1R23C6S1_1" baseScale="-1" formatStyle="Comma"/>
        <m:item xlName="_GBC_6c65e152997a4da39b178d1e4e3c1c67" concept="clcid-pte:ZiBenGongJiZhuanZengZiBenHuoGuBenDaoZhiQiTaZongHeShouYiBianDongJinE" label="资本公积转增资本（或股本）导致其他综合收益变动金额" periodRef="上年同期数" mulRef="_GBC_57faea4e453e49ad93821b7dd6ce8bc4" unitRef="_GBC_cef77704267643d794145c73763360e5" addr="T1R23C7S1_1" formatStyle="Comma"/>
        <m:item xlName="_GBC_52bec9e641f541af804b3d6a27362924" concept="clcid-pte:ZiBenGongJiZhuanZengZiBenHuoGuBenDaoZhiZhuanXiangChuBeiBianDongJinE" label="资本公积转增资本（或股本）导致专项储备变动金额" periodRef="上年同期数" mulRef="_GBC_57faea4e453e49ad93821b7dd6ce8bc4" unitRef="_GBC_cef77704267643d794145c73763360e5" addr="T1R23C8S1_1" formatStyle="Comma"/>
        <m:item xlName="_GBC_25754c7ba91248509ea6395b18d1bee4" concept="clcid-pte:ZiBenGongJiZhuanZengZiBenHuoGuBenDaoZhiYingYuGongJiBianDongJinE" label="资本公积转增资本（或股本）导致盈余公积变动金额" periodRef="上年同期数" mulRef="_GBC_57faea4e453e49ad93821b7dd6ce8bc4" unitRef="_GBC_cef77704267643d794145c73763360e5" addr="T1R23C9S1_1" formatStyle="Comma"/>
        <m:item xlName="_GBC_b03ae3deeb744acbb67cfb8cf7a1dc1c" concept="clcid-pte:ZiBenGongJiZhuanZengZiBenHuoGuBenDaoZhiYiBanFengXianZhunBeiBianDongJinE" label="资本公积转增资本（或股本）导致一般风险准备变动金额" periodRef="上年同期数" mulRef="_GBC_57faea4e453e49ad93821b7dd6ce8bc4" unitRef="_GBC_cef77704267643d794145c73763360e5" addr="T1R23C10S1_1" formatStyle="Comma"/>
        <m:item xlName="_GBC_10caad1f059d4ac78f40fb623451eb36" concept="clcid-pte:ZiBenGongJiZhuanZengZiBenHuoGuBenDaoZhiWeiFenPeiLiRunBianDongJinE" label="资本公积转增资本（或股本）导致未分配利润变动金额" periodRef="上年同期数" mulRef="_GBC_57faea4e453e49ad93821b7dd6ce8bc4" unitRef="_GBC_cef77704267643d794145c73763360e5" addr="T1R23C11S1_1" formatStyle="Comma"/>
        <m:item xlName="_GBC_59af1ef3e53a459db4900755ab75d7d2" concept="clcid-pte:ZiBenGongJiZhuanZengZiBenHuoGuBenDaoZhiQiTaDeGuiShuYuMuGongSiSuoYouZheQuanYiBianDongJinE" label="资本公积转增资本（或股本）导致其他的归属于母公司所有者权益变动金额" periodRef="上年同期数" mulRef="_GBC_57faea4e453e49ad93821b7dd6ce8bc4" unitRef="_GBC_cef77704267643d794145c73763360e5" addr="T1R23C12S1_1" formatStyle="Comma"/>
        <m:item xlName="_GBC_68837dcd5dab4fa4b3c960b8c7c46c61" concept="clcid-pte:ZiBenGongJiZhuanZengZiBenHuoGuBenDaoZhiGuiShuYuMuGongSiSuoYouZheQuanYiBianDongJinE" label="资本公积转增资本（或股本）导致归属于母公司所有者权益变动金额" periodRef="上年同期数" mulRef="_GBC_57faea4e453e49ad93821b7dd6ce8bc4" unitRef="_GBC_cef77704267643d794145c73763360e5" addr="T1R23C13S1_1" formatStyle="Comma"/>
        <m:item xlName="_GBC_cdcbce1641514a97b5c3916f3337aef7" concept="clcid-pte:ZiBenGongJiZhuanZengZiBenHuoGuBenDaoZhiShaoShuGuDongQuanYiBianDongJinE" label="资本公积转增资本（或股本）导致少数股东权益变动金额" periodRef="上年同期数" mulRef="_GBC_57faea4e453e49ad93821b7dd6ce8bc4" unitRef="_GBC_cef77704267643d794145c73763360e5" addr="T1R23C14S1_1" formatStyle="Comma"/>
        <m:item xlName="_GBC_6a6f402bf9984f39885cda20be2f7c7f" concept="clcid-pte:ZiBenGongJiZhuanZengZiBenHuoGuBenDaoZhiGuDongQuanYiHeJiBianDongJinE" label="资本公积转增资本（或股本）导致股东权益合计变动金额" periodRef="上年同期数" mulRef="_GBC_57faea4e453e49ad93821b7dd6ce8bc4" unitRef="_GBC_cef77704267643d794145c73763360e5" addr="T1R23C15S1_1" formatStyle="Comma"/>
        <m:placeholder xlName="_PLD_2dbeb2e6cbbd4ba2a65e4f369c7e7929" wordText="2．盈余公积转增资本（或股本）" addr="T1R24C0S1_1"/>
        <m:item xlName="_GBC_d4afb2fffa3f4b0db45f0bbec87c9aed" concept="clcid-pte:YingYuGongJiZhuanZengZiBenHuoGuBenDaoZhiShiShouZiBenHuoGuBenJingEBianDongJinE" label="盈余公积转增资本（或股本）导致实收资本（或股本）净额变动金额" periodRef="上年同期数" mulRef="_GBC_57faea4e453e49ad93821b7dd6ce8bc4" unitRef="_GBC_cef77704267643d794145c73763360e5" addr="T1R24C1S1_1" formatStyle="Comma"/>
        <m:item xlName="_GBC_d8a487d9c39c492498de2d3e5740f1db" concept="clcid-pte:YingYuGongJiZhuanZengZiBenHuoGuBenDaoZhiQiTaQuanYiGongJuZhongDeYouXianGuBianDongJinE" label="盈余公积转增资本（或股本）导致其他权益工具中的优先股变动金额" periodRef="上年同期数" mulRef="_GBC_57faea4e453e49ad93821b7dd6ce8bc4" unitRef="_GBC_cef77704267643d794145c73763360e5" addr="T1R24C2S1_1" formatStyle="Comma"/>
        <m:item xlName="_GBC_358121a220ba4f769a3280492a09c75c" concept="clcid-pte:YingYuGongJiZhuanZengZiBenHuoGuBenDaoZhiQiTaQuanYiGongJuZhongDeYongXuZhaiBianDongJinE" label="盈余公积转增资本（或股本）导致其他权益工具中的永续债变动金额" periodRef="上年同期数" mulRef="_GBC_57faea4e453e49ad93821b7dd6ce8bc4" unitRef="_GBC_cef77704267643d794145c73763360e5" addr="T1R24C3S1_1" formatStyle="Comma"/>
        <m:item xlName="_GBC_89b51079c72f4a85b725717099e539fd" concept="clcid-pte:YingYuGongJiZhuanZengZiBenHuoGuBenDaoZhiQiTaQuanYiGongJuZhongDeQiTaBianDongJinE" label="盈余公积转增资本（或股本）导致其他权益工具中的其他变动金额" periodRef="上年同期数" mulRef="_GBC_57faea4e453e49ad93821b7dd6ce8bc4" unitRef="_GBC_cef77704267643d794145c73763360e5" addr="T1R24C4S1_1" formatStyle="Comma"/>
        <m:item xlName="_GBC_2d1bb025b29a49ebb09eecfe68dca1b6" concept="clcid-pte:YingYuGongJiZhuanZengZiBenHuoGuBenDaoZhiZiBenGongJiBianDongJinE" label="盈余公积转增资本（或股本）导致资本公积变动金额" periodRef="上年同期数" mulRef="_GBC_57faea4e453e49ad93821b7dd6ce8bc4" unitRef="_GBC_cef77704267643d794145c73763360e5" addr="T1R24C5S1_1" formatStyle="Comma"/>
        <m:item xlName="_GBC_24ca4c1354784ee79e67cdc7b3d2a0ae" concept="clcid-pte:YingYuGongJiZhuanZengZiBenHuoGuBenDaoZhiKuCunGuBianDongJinE" label="盈余公积转增资本（或股本）导致库存股变动金额" periodRef="上年同期数" mulRef="_GBC_57faea4e453e49ad93821b7dd6ce8bc4" unitRef="_GBC_cef77704267643d794145c73763360e5" addr="T1R24C6S1_1" baseScale="-1" formatStyle="Comma"/>
        <m:item xlName="_GBC_9cba72f809ed468cade76c7bed47f6ed" concept="clcid-pte:YingYuGongJiZhuanZengZiBenHuoGuBenDaoZhiQiTaZongHeShouYiBianDongJinE" label="盈余公积转增资本（或股本）导致其他综合收益变动金额" periodRef="上年同期数" mulRef="_GBC_57faea4e453e49ad93821b7dd6ce8bc4" unitRef="_GBC_cef77704267643d794145c73763360e5" addr="T1R24C7S1_1" formatStyle="Comma"/>
        <m:item xlName="_GBC_5f4a38f704314c5e90acb63414421fa8" concept="clcid-pte:YingYuGongJiZhuanZengZiBenHuoGuBenDaoZhiZhuanXiangChuBeiBianDongJinE" label="盈余公积转增资本（或股本）导致专项储备变动金额" periodRef="上年同期数" mulRef="_GBC_57faea4e453e49ad93821b7dd6ce8bc4" unitRef="_GBC_cef77704267643d794145c73763360e5" addr="T1R24C8S1_1" formatStyle="Comma"/>
        <m:item xlName="_GBC_185fdcaff5904772977f434d3ca56e26" concept="clcid-pte:YingYuGongJiZhuanZengZiBenHuoGuBenDaoZhiYingYuGongJiBianDongJinE" label="盈余公积转增资本（或股本）导致盈余公积变动金额" periodRef="上年同期数" mulRef="_GBC_57faea4e453e49ad93821b7dd6ce8bc4" unitRef="_GBC_cef77704267643d794145c73763360e5" addr="T1R24C9S1_1" formatStyle="Comma"/>
        <m:item xlName="_GBC_625f224527ec436abddcc797deb6b924" concept="clcid-pte:YingYuGongJiZhuanZengZiBenHuoGuBenDaoZhiYiBanFengXianZhunBeiBianDongJinE" label="盈余公积转增资本（或股本）导致一般风险准备变动金额" periodRef="上年同期数" mulRef="_GBC_57faea4e453e49ad93821b7dd6ce8bc4" unitRef="_GBC_cef77704267643d794145c73763360e5" addr="T1R24C10S1_1" formatStyle="Comma"/>
        <m:item xlName="_GBC_b6bd6bfab8cf49ad830bdfc49b931eb6" concept="clcid-pte:YingYuGongJiZhuanZengZiBenHuoGuBenDaoZhiWeiFenPeiLiRunBianDongJinE" label="盈余公积转增资本（或股本）导致未分配利润变动金额" periodRef="上年同期数" mulRef="_GBC_57faea4e453e49ad93821b7dd6ce8bc4" unitRef="_GBC_cef77704267643d794145c73763360e5" addr="T1R24C11S1_1" formatStyle="Comma"/>
        <m:item xlName="_GBC_bd990d0724f6487bb25f518f80c62a23" concept="clcid-pte:YingYuGongJiZhuanZengZiBenHuoGuBenDaoZhiQiTaDeGuiShuYuMuGongSiSuoYouZheQuanYiBianDongJinE" label="盈余公积转增资本（或股本）导致其他的归属于母公司所有者权益变动金额" periodRef="上年同期数" mulRef="_GBC_57faea4e453e49ad93821b7dd6ce8bc4" unitRef="_GBC_cef77704267643d794145c73763360e5" addr="T1R24C12S1_1" formatStyle="Comma"/>
        <m:item xlName="_GBC_c2485e1de0b24b12b4ee16a56da6b4c1" concept="clcid-pte:YingYuGongJiZhuanZengZiBenHuoGuBenDaoZhiGuiShuYuMuGongSiSuoYouZheQuanYiBianDongJinE" label="盈余公积转增资本（或股本）导致归属于母公司所有者权益变动金额" periodRef="上年同期数" mulRef="_GBC_57faea4e453e49ad93821b7dd6ce8bc4" unitRef="_GBC_cef77704267643d794145c73763360e5" addr="T1R24C13S1_1" formatStyle="Comma"/>
        <m:item xlName="_GBC_0dfc256862c74e988d9aa7a816b12861" concept="clcid-pte:YingYuGongJiZhuanZengZiBenHuoGuBenDaoZhiShaoShuGuDongQuanYiBianDongJinE" label="盈余公积转增资本（或股本）导致少数股东权益变动金额" periodRef="上年同期数" mulRef="_GBC_57faea4e453e49ad93821b7dd6ce8bc4" unitRef="_GBC_cef77704267643d794145c73763360e5" addr="T1R24C14S1_1" formatStyle="Comma"/>
        <m:item xlName="_GBC_51722039d81b443594044d55e372e026" concept="clcid-pte:YingYuGongJiZhuanZengZiBenHuoGuBenDaoZhiGuDongQuanYiHeJiBianDongJinE" label="盈余公积转增资本（或股本）导致股东权益合计变动金额" periodRef="上年同期数" mulRef="_GBC_57faea4e453e49ad93821b7dd6ce8bc4" unitRef="_GBC_cef77704267643d794145c73763360e5" addr="T1R24C15S1_1" formatStyle="Comma"/>
        <m:placeholder xlName="_PLD_58f2b570df754e85bb72c0f63cdd3f1c" wordText="3．盈余公积弥补亏损" addr="T1R25C0S1_1"/>
        <m:item xlName="_GBC_fd80cb73cbdb4d268235abab5a3276b9" concept="clcid-pte:YingYuGongJiMiBuKuiSunDaoZhiShiShouZiBenHuoGuBenJingEBianDongJinE" label="盈余公积弥补亏损导致实收资本（或股本）净额变动金额" periodRef="上年同期数" mulRef="_GBC_57faea4e453e49ad93821b7dd6ce8bc4" unitRef="_GBC_cef77704267643d794145c73763360e5" addr="T1R25C1S1_1" formatStyle="Comma"/>
        <m:item xlName="_GBC_4e68cf75d84b474f92867067a68f1464" concept="clcid-pte:YingYuGongJiMiBuKuiSunDaoZhiQiTaQuanYiGongJuZhongDeYouXianGuBianDongJinE" label="盈余公积弥补亏损导致其他权益工具中的优先股变动金额" periodRef="上年同期数" mulRef="_GBC_57faea4e453e49ad93821b7dd6ce8bc4" unitRef="_GBC_cef77704267643d794145c73763360e5" addr="T1R25C2S1_1" formatStyle="Comma"/>
        <m:item xlName="_GBC_a8a01e1b7bf049b4898ca3e0a51197b9" concept="clcid-pte:YingYuGongJiMiBuKuiSunDaoZhiQiTaQuanYiGongJuZhongDeYongXuZhaiBianDongJinE" label="盈余公积弥补亏损导致其他权益工具中的永续债变动金额" periodRef="上年同期数" mulRef="_GBC_57faea4e453e49ad93821b7dd6ce8bc4" unitRef="_GBC_cef77704267643d794145c73763360e5" addr="T1R25C3S1_1" formatStyle="Comma"/>
        <m:item xlName="_GBC_66d19070fa504272af3943046beafbfb" concept="clcid-pte:YingYuGongJiMiBuKuiSunDaoZhiQiTaQuanYiGongJuZhongDeQiTaBianDongJinE" label="盈余公积弥补亏损导致其他权益工具中的其他变动金额" periodRef="上年同期数" mulRef="_GBC_57faea4e453e49ad93821b7dd6ce8bc4" unitRef="_GBC_cef77704267643d794145c73763360e5" addr="T1R25C4S1_1" formatStyle="Comma"/>
        <m:item xlName="_GBC_bbeadaf9b4b24a3d9b5e5a8057e7fdff" concept="clcid-pte:YingYuGongJiMiBuKuiSunDaoZhiZiBenGongJiBianDongJinE" label="盈余公积弥补亏损导致资本公积变动金额" periodRef="上年同期数" mulRef="_GBC_57faea4e453e49ad93821b7dd6ce8bc4" unitRef="_GBC_cef77704267643d794145c73763360e5" addr="T1R25C5S1_1" formatStyle="Comma"/>
        <m:item xlName="_GBC_f19048ec3b074cc7bc201caa6edf8c29" concept="clcid-pte:YingYuGongJiMiBuKuiSunDaoZhiKuCunGuBianDongJinE" label="盈余公积弥补亏损导致库存股变动金额" periodRef="上年同期数" mulRef="_GBC_57faea4e453e49ad93821b7dd6ce8bc4" unitRef="_GBC_cef77704267643d794145c73763360e5" addr="T1R25C6S1_1" baseScale="-1" formatStyle="Comma"/>
        <m:item xlName="_GBC_c55a47e6c4d14360a2867ab7732d4220" concept="clcid-pte:YingYuGongJiMiBuKuiSunDaoZhiQiTaZongHeShouYiBianDongJinE" label="盈余公积弥补亏损导致其他综合收益变动金额" periodRef="上年同期数" mulRef="_GBC_57faea4e453e49ad93821b7dd6ce8bc4" unitRef="_GBC_cef77704267643d794145c73763360e5" addr="T1R25C7S1_1" formatStyle="Comma"/>
        <m:item xlName="_GBC_6e46fabc310949b8be3a5024860ccc41" concept="clcid-pte:YingYuGongJiMiBuKuiSunDaoZhiZhuanXiangChuBeiBianDongJinE" label="盈余公积弥补亏损导致专项储备变动金额" periodRef="上年同期数" mulRef="_GBC_57faea4e453e49ad93821b7dd6ce8bc4" unitRef="_GBC_cef77704267643d794145c73763360e5" addr="T1R25C8S1_1" formatStyle="Comma"/>
        <m:item xlName="_GBC_c39a79d07d07479a847793e768c63708" concept="clcid-pte:YingYuGongJiMiBuKuiSunDaoZhiYingYuGongJiBianDongJinE" label="盈余公积弥补亏损导致盈余公积变动金额" periodRef="上年同期数" mulRef="_GBC_57faea4e453e49ad93821b7dd6ce8bc4" unitRef="_GBC_cef77704267643d794145c73763360e5" addr="T1R25C9S1_1" formatStyle="Comma"/>
        <m:item xlName="_GBC_d21cc13224cc4a6f91409a2ecb252062" concept="clcid-pte:YingYuGongJiMiBuKuiSunDaoZhiYiBanFengXianZhunBeiBianDongJinE" label="盈余公积弥补亏损导致一般风险准备变动金额" periodRef="上年同期数" mulRef="_GBC_57faea4e453e49ad93821b7dd6ce8bc4" unitRef="_GBC_cef77704267643d794145c73763360e5" addr="T1R25C10S1_1" formatStyle="Comma"/>
        <m:item xlName="_GBC_bd91a8b6a9634813b4fc9512c7fa4b98" concept="clcid-pte:YingYuGongJiMiBuKuiSunDaoZhiWeiFenPeiLiRunBianDongJinE" label="盈余公积弥补亏损导致未分配利润变动金额" periodRef="上年同期数" mulRef="_GBC_57faea4e453e49ad93821b7dd6ce8bc4" unitRef="_GBC_cef77704267643d794145c73763360e5" addr="T1R25C11S1_1" formatStyle="Comma"/>
        <m:item xlName="_GBC_4d563a6e85ae4bab977df869460f0400" concept="clcid-pte:YingYuGongJiMiBuKuiSunDaoZhiQiTaDeGuiShuYuMuGongSiSuoYouZheQuanYiBianDongJinE" label="盈余公积弥补亏损导致其他的归属于母公司所有者权益变动金额" periodRef="上年同期数" mulRef="_GBC_57faea4e453e49ad93821b7dd6ce8bc4" unitRef="_GBC_cef77704267643d794145c73763360e5" addr="T1R25C12S1_1" formatStyle="Comma"/>
        <m:item xlName="_GBC_523dbbedde764b92bdae6deca9e8fda9" concept="clcid-pte:YingYuGongJiMiBuKuiSunDaoZhiGuiShuYuMuGongSiSuoYouZheQuanYiBianDongJinE" label="盈余公积弥补亏损导致归属于母公司所有者权益变动金额" periodRef="上年同期数" mulRef="_GBC_57faea4e453e49ad93821b7dd6ce8bc4" unitRef="_GBC_cef77704267643d794145c73763360e5" addr="T1R25C13S1_1" formatStyle="Comma"/>
        <m:item xlName="_GBC_4e803821839f4045b65dcc4829b05960" concept="clcid-pte:YingYuGongJiMiBuKuiSunDaoZhiShaoShuGuDongQuanYiBianDongJinE" label="盈余公积弥补亏损导致少数股东权益变动金额" periodRef="上年同期数" mulRef="_GBC_57faea4e453e49ad93821b7dd6ce8bc4" unitRef="_GBC_cef77704267643d794145c73763360e5" addr="T1R25C14S1_1" formatStyle="Comma"/>
        <m:item xlName="_GBC_3219db77c77244ad8de930ac203652af" concept="clcid-pte:YingYuGongJiMiBuKuiSunDaoZhiGuDongQuanYiHeJiBianDongJinE" label="盈余公积弥补亏损导致股东权益合计变动金额" periodRef="上年同期数" mulRef="_GBC_57faea4e453e49ad93821b7dd6ce8bc4" unitRef="_GBC_cef77704267643d794145c73763360e5" addr="T1R25C15S1_1" formatStyle="Comma"/>
        <m:placeholder xlName="_PLD_88022ba02c7c4775ba5e9f75f6b07fa4" wordText="4．设定受益计划变动额结转留存收益" addr="T1R26C0S1_1"/>
        <m:item xlName="_GBC_38b5b76d2c1f448a9988c68fab9aadd0" concept="clcid-pte:SheDingShouYiJiHuaBianDongEJieZhuanLiuCunShouYiDaoZhiShiShouZiBenHuoGuBenJingEBianDongJinE" label="设定受益计划变动额结转留存收益导致实收资本（或股本）净额变动金额" periodRef="上年同期数" mulRef="_GBC_57faea4e453e49ad93821b7dd6ce8bc4" unitRef="_GBC_cef77704267643d794145c73763360e5" addr="T1R26C1S1_1" formatStyle="Comma"/>
        <m:item xlName="_GBC_69e058938d3c47d99c1ffe7dc2590def" concept="clcid-pte:SheDingShouYiJiHuaBianDongEJieZhuanLiuCunShouYiDaoZhiQiTaQuanYiGongJuZhongDeYouXianGuBianDongJinE" label="设定受益计划变动额结转留存收益导致其他权益工具中的优先股变动金额" periodRef="上年同期数" mulRef="_GBC_57faea4e453e49ad93821b7dd6ce8bc4" unitRef="_GBC_cef77704267643d794145c73763360e5" addr="T1R26C2S1_1" formatStyle="Comma"/>
        <m:item xlName="_GBC_2393923b48174fb48a3e39c36d06dda5" concept="clcid-pte:SheDingShouYiJiHuaBianDongEJieZhuanLiuCunShouYiDaoZhiQiTaQuanYiGongJuZhongDeYongXuZhaiBianDongJinE" label="设定受益计划变动额结转留存收益导致其他权益工具中的永续债变动金额" periodRef="上年同期数" mulRef="_GBC_57faea4e453e49ad93821b7dd6ce8bc4" unitRef="_GBC_cef77704267643d794145c73763360e5" addr="T1R26C3S1_1" formatStyle="Comma"/>
        <m:item xlName="_GBC_6c55a29a401a45dd8ef409e01fc8f4b1" concept="clcid-pte:SheDingShouYiJiHuaBianDongEJieZhuanLiuCunShouYiDaoZhiQiTaQuanYiGongJuZhongDeQiTaBianDongJinE" label="设定受益计划变动额结转留存收益导致其他权益工具中的其他变动金额" periodRef="上年同期数" mulRef="_GBC_57faea4e453e49ad93821b7dd6ce8bc4" unitRef="_GBC_cef77704267643d794145c73763360e5" addr="T1R26C4S1_1" formatStyle="Comma"/>
        <m:item xlName="_GBC_3ca5d423e2ca4eb783697772e9e23f97" concept="clcid-pte:SheDingShouYiJiHuaBianDongEJieZhuanLiuCunShouYiDaoZhiZiBenGongJiBianDongJinE" label="设定受益计划变动额结转留存收益导致资本公积变动金额" periodRef="上年同期数" mulRef="_GBC_57faea4e453e49ad93821b7dd6ce8bc4" unitRef="_GBC_cef77704267643d794145c73763360e5" addr="T1R26C5S1_1" formatStyle="Comma"/>
        <m:item xlName="_GBC_0238d6fffbc946cda8ffecf56ff5fb44" concept="clcid-pte:SheDingShouYiJiHuaBianDongEJieZhuanLiuCunShouYiDaoZhiKuCunGuBianDongJinE" label="设定受益计划变动额结转留存收益导致库存股变动金额" periodRef="上年同期数" mulRef="_GBC_57faea4e453e49ad93821b7dd6ce8bc4" unitRef="_GBC_cef77704267643d794145c73763360e5" addr="T1R26C6S1_1" baseScale="-1" formatStyle="Comma"/>
        <m:item xlName="_GBC_dfa859d2c9184ac89b290e5ee394517e" concept="clcid-pte:SheDingShouYiJiHuaBianDongEJieZhuanLiuCunShouYiDaoZhiQiTaZongHeShouYiBianDongJinE" label="设定受益计划变动额结转留存收益导致其他综合收益变动金额" periodRef="上年同期数" mulRef="_GBC_57faea4e453e49ad93821b7dd6ce8bc4" unitRef="_GBC_cef77704267643d794145c73763360e5" addr="T1R26C7S1_1" formatStyle="Comma"/>
        <m:item xlName="_GBC_374fc2b16939452797f27e8eb3965204" concept="clcid-pte:SheDingShouYiJiHuaBianDongEJieZhuanLiuCunShouYiDaoZhiZhuanXiangChuBeiBianDongJinE" label="设定受益计划变动额结转留存收益导致专项储备变动金额" periodRef="上年同期数" mulRef="_GBC_57faea4e453e49ad93821b7dd6ce8bc4" unitRef="_GBC_cef77704267643d794145c73763360e5" addr="T1R26C8S1_1" formatStyle="Comma"/>
        <m:item xlName="_GBC_e3eb78c55d154f34a8f6627a9ba527f1" concept="clcid-pte:SheDingShouYiJiHuaBianDongEJieZhuanLiuCunShouYiDaoZhiYingYuGongJiBianDongJinE" label="设定受益计划变动额结转留存收益导致盈余公积变动金额" periodRef="上年同期数" mulRef="_GBC_57faea4e453e49ad93821b7dd6ce8bc4" unitRef="_GBC_cef77704267643d794145c73763360e5" addr="T1R26C9S1_1" formatStyle="Comma"/>
        <m:item xlName="_GBC_6a4792c81a5b4e8cb5e5d8af825b1839" concept="clcid-pte:SheDingShouYiJiHuaBianDongEJieZhuanLiuCunShouYiDaoZhiYiBanFengXianZhunBeiBianDongJinE" label="设定受益计划变动额结转留存收益导致一般风险准备变动金额" periodRef="上年同期数" mulRef="_GBC_57faea4e453e49ad93821b7dd6ce8bc4" unitRef="_GBC_cef77704267643d794145c73763360e5" addr="T1R26C10S1_1" formatStyle="Comma"/>
        <m:item xlName="_GBC_fdf7b088d33b4446b7d306780eb72318" concept="clcid-pte:SheDingShouYiJiHuaBianDongEJieZhuanLiuCunShouYiDaoZhiWeiFenPeiLiRunBianDongJinE" label="设定受益计划变动额结转留存收益导致未分配利润变动金额" periodRef="上年同期数" mulRef="_GBC_57faea4e453e49ad93821b7dd6ce8bc4" unitRef="_GBC_cef77704267643d794145c73763360e5" addr="T1R26C11S1_1" formatStyle="Comma"/>
        <m:item xlName="_GBC_59efedb1a13a4399b334e883a43ccd63" concept="clcid-pte:SheDingShouYiJiHuaBianDongEJieZhuanLiuCunShouYiDaoZhiQiTaDeGuiShuYuMuGongSiSuoYouZheQuanYiBianDongJinE" label="设定受益计划变动额结转留存收益导致其他的归属于母公司所有者权益变动金额" periodRef="上年同期数" mulRef="_GBC_57faea4e453e49ad93821b7dd6ce8bc4" unitRef="_GBC_cef77704267643d794145c73763360e5" addr="T1R26C12S1_1" formatStyle="Comma"/>
        <m:item xlName="_GBC_621e4df740c7472d9d9132206b355406" concept="clcid-pte:SheDingShouYiJiHuaBianDongEJieZhuanLiuCunShouYiDaoZhiGuiShuYuMuGongSiSuoYouZheQuanYiBianDongJinE" label="设定受益计划变动额结转留存收益导致归属于母公司所有者权益变动金额" periodRef="上年同期数" mulRef="_GBC_57faea4e453e49ad93821b7dd6ce8bc4" unitRef="_GBC_cef77704267643d794145c73763360e5" addr="T1R26C13S1_1" formatStyle="Comma"/>
        <m:item xlName="_GBC_3efbe4b063a7446a85fc0fb767a34512" concept="clcid-pte:SheDingShouYiJiHuaBianDongEJieZhuanLiuCunShouYiDaoZhiShaoShuGuDongQuanYiBianDongJinE" label="设定受益计划变动额结转留存收益导致少数股东权益变动金额" periodRef="上年同期数" mulRef="_GBC_57faea4e453e49ad93821b7dd6ce8bc4" unitRef="_GBC_cef77704267643d794145c73763360e5" addr="T1R26C14S1_1" formatStyle="Comma"/>
        <m:item xlName="_GBC_62da3db68c9d419a8393f81e7857c904" concept="clcid-pte:SheDingShouYiJiHuaBianDongEJieZhuanLiuCunShouYiDaoZhiGuDongQuanYiHeJiBianDongJinE" label="设定受益计划变动额结转留存收益导致股东权益合计变动金额" periodRef="上年同期数" mulRef="_GBC_57faea4e453e49ad93821b7dd6ce8bc4" unitRef="_GBC_cef77704267643d794145c73763360e5" addr="T1R26C15S1_1" formatStyle="Comma"/>
        <m:placeholder xlName="_PLD_0259028a18dd4c059a8b77a9e4fe86f9" wordText="5．其他综合收益结转留存收益" addr="T1R27C0S1_1"/>
        <m:item xlName="_GBC_02be059e52294c1296251ef724f8d214" concept="clcid-pte:QiTaZongHeShouYiJieZhuanLiuCunShouYiDaoZhiShiShouZiBenHuoGuBenJingEBianDongJinE" label="其他综合收益结转留存收益导致实收资本（或股本）净额变动金额" periodRef="上年同期数" mulRef="_GBC_57faea4e453e49ad93821b7dd6ce8bc4" unitRef="_GBC_cef77704267643d794145c73763360e5" addr="T1R27C1S1_1" formatStyle="Comma"/>
        <m:item xlName="_GBC_0cbf73a2ae49463b9bdea6492caf09cb" concept="clcid-pte:QiTaZongHeShouYiJieZhuanLiuCunShouYiDaoZhiQiTaQuanYiGongJuZhongDeYouXianGuBianDongJinE" label="其他综合收益结转留存收益导致其他权益工具中的优先股变动金额" periodRef="上年同期数" mulRef="_GBC_57faea4e453e49ad93821b7dd6ce8bc4" unitRef="_GBC_cef77704267643d794145c73763360e5" addr="T1R27C2S1_1" formatStyle="Comma"/>
        <m:item xlName="_GBC_a60def276b7e41bcafcc84ac46bc1687" concept="clcid-pte:QiTaZongHeShouYiJieZhuanLiuCunShouYiDaoZhiQiTaQuanYiGongJuZhongDeYongXuZhaiBianDongJinE" label="其他综合收益结转留存收益导致其他权益工具中的永续债变动金额" periodRef="上年同期数" mulRef="_GBC_57faea4e453e49ad93821b7dd6ce8bc4" unitRef="_GBC_cef77704267643d794145c73763360e5" addr="T1R27C3S1_1" formatStyle="Comma"/>
        <m:item xlName="_GBC_eb24a0413657479c98f8849d85d5824b" concept="clcid-pte:QiTaZongHeShouYiJieZhuanLiuCunShouYiDaoZhiQiTaQuanYiGongJuZhongDeQiTaBianDongJinE" label="其他综合收益结转留存收益导致其他权益工具中的其他变动金额" periodRef="上年同期数" mulRef="_GBC_57faea4e453e49ad93821b7dd6ce8bc4" unitRef="_GBC_cef77704267643d794145c73763360e5" addr="T1R27C4S1_1" formatStyle="Comma"/>
        <m:item xlName="_GBC_be06fc88c86f4da39b154c4bfa6076ee" concept="clcid-pte:QiTaZongHeShouYiJieZhuanLiuCunShouYiDaoZhiZiBenGongJiBianDongJinE" label="其他综合收益结转留存收益导致资本公积变动金额" periodRef="上年同期数" mulRef="_GBC_57faea4e453e49ad93821b7dd6ce8bc4" unitRef="_GBC_cef77704267643d794145c73763360e5" addr="T1R27C5S1_1" formatStyle="Comma"/>
        <m:item xlName="_GBC_b665813a9af546e9a6b3cfca9faf2df3" concept="clcid-pte:QiTaZongHeShouYiJieZhuanLiuCunShouYiDaoZhiKuCunGuBianDongJinE" label="其他综合收益结转留存收益导致库存股变动金额" periodRef="上年同期数" mulRef="_GBC_57faea4e453e49ad93821b7dd6ce8bc4" unitRef="_GBC_cef77704267643d794145c73763360e5" addr="T1R27C6S1_1" baseScale="-1" formatStyle="Comma"/>
        <m:item xlName="_GBC_b386690ee1974fee8d8713780ff56f99" concept="clcid-pte:QiTaZongHeShouYiJieZhuanLiuCunShouYiDaoZhiQiTaZongHeShouYiBianDongJinE" label="其他综合收益结转留存收益导致其他综合收益变动金额" periodRef="上年同期数" mulRef="_GBC_57faea4e453e49ad93821b7dd6ce8bc4" unitRef="_GBC_cef77704267643d794145c73763360e5" addr="T1R27C7S1_1" formatStyle="Comma"/>
        <m:item xlName="_GBC_a0c64d72aea6414289ad4d1518f1d2d7" concept="clcid-pte:QiTaZongHeShouYiJieZhuanLiuCunShouYiDaoZhiZhuanXiangChuBeiBianDongJinE" label="其他综合收益结转留存收益导致专项储备变动金额" periodRef="上年同期数" mulRef="_GBC_57faea4e453e49ad93821b7dd6ce8bc4" unitRef="_GBC_cef77704267643d794145c73763360e5" addr="T1R27C8S1_1" formatStyle="Comma"/>
        <m:item xlName="_GBC_5136eba4ef364716af81659f9d21be68" concept="clcid-pte:QiTaZongHeShouYiJieZhuanLiuCunShouYiDaoZhiYingYuGongJiBianDongJinE" label="其他综合收益结转留存收益导致盈余公积变动金额" periodRef="上年同期数" mulRef="_GBC_57faea4e453e49ad93821b7dd6ce8bc4" unitRef="_GBC_cef77704267643d794145c73763360e5" addr="T1R27C9S1_1" formatStyle="Comma"/>
        <m:item xlName="_GBC_8abbce4d791e4b138e31477d01bdc965" concept="clcid-pte:QiTaZongHeShouYiJieZhuanLiuCunShouYiDaoZhiYiBanFengXianZhunBeiBianDongJinE" label="其他综合收益结转留存收益导致一般风险准备变动金额" periodRef="上年同期数" mulRef="_GBC_57faea4e453e49ad93821b7dd6ce8bc4" unitRef="_GBC_cef77704267643d794145c73763360e5" addr="T1R27C10S1_1" formatStyle="Comma"/>
        <m:item xlName="_GBC_c44d00c51ffc4bb4b963a1a2337f54e1" concept="clcid-pte:QiTaZongHeShouYiJieZhuanLiuCunShouYiDaoZhiWeiFenPeiLiRunBianDongJinE" label="其他综合收益结转留存收益导致未分配利润变动金额" periodRef="上年同期数" mulRef="_GBC_57faea4e453e49ad93821b7dd6ce8bc4" unitRef="_GBC_cef77704267643d794145c73763360e5" addr="T1R27C11S1_1" formatStyle="Comma"/>
        <m:item xlName="_GBC_024b72ded1d94a18b9ba8cb5174cd111" concept="clcid-pte:QiTaZongHeShouYiJieZhuanLiuCunShouYiDaoZhiQiTaDeGuiShuYuMuGongSiSuoYouZheQuanYiBianDongJinE" label="其他综合收益结转留存收益导致其他的归属于母公司所有者权益变动金额" periodRef="上年同期数" mulRef="_GBC_57faea4e453e49ad93821b7dd6ce8bc4" unitRef="_GBC_cef77704267643d794145c73763360e5" addr="T1R27C12S1_1" formatStyle="Comma"/>
        <m:item xlName="_GBC_f9efccde97dc433e8f7d2973982f660a" concept="clcid-pte:QiTaZongHeShouYiJieZhuanLiuCunShouYiDaoZhiGuiShuYuMuGongSiSuoYouZheQuanYiBianDongJinE" label="其他综合收益结转留存收益导致归属于母公司所有者权益变动金额" periodRef="上年同期数" mulRef="_GBC_57faea4e453e49ad93821b7dd6ce8bc4" unitRef="_GBC_cef77704267643d794145c73763360e5" addr="T1R27C13S1_1" formatStyle="Comma"/>
        <m:item xlName="_GBC_2bd0391579964a01adba794496d7efc6" concept="clcid-pte:QiTaZongHeShouYiJieZhuanLiuCunShouYiDaoZhiShaoShuGuDongQuanYiBianDongJinE" label="其他综合收益结转留存收益导致少数股东权益变动金额" periodRef="上年同期数" mulRef="_GBC_57faea4e453e49ad93821b7dd6ce8bc4" unitRef="_GBC_cef77704267643d794145c73763360e5" addr="T1R27C14S1_1" formatStyle="Comma"/>
        <m:item xlName="_GBC_bce081b212964983b04d8383f3590061" concept="clcid-pte:QiTaZongHeShouYiJieZhuanLiuCunShouYiDaoZhiGuDongQuanYiHeJiBianDongJinE" label="其他综合收益结转留存收益导致股东权益合计变动金额" periodRef="上年同期数" mulRef="_GBC_57faea4e453e49ad93821b7dd6ce8bc4" unitRef="_GBC_cef77704267643d794145c73763360e5" addr="T1R27C15S1_1" formatStyle="Comma"/>
        <m:placeholder xlName="_PLD_5844253ac18b45ceaa765e5b2f55d052" wordText="6．其他" addr="T1R28C0S1_1"/>
        <m:item xlName="_GBC_157d47cb91cb45d3821dd7a06559e576" concept="clcid-pte:QiTaSuoYouZheQuanYiNeiBuJieZhuanDaoZhiShiShouZiBenHuoGuBenJingEBianDongJinE" label="其他所有者权益内部结转导致实收资本（或股本）净额变动金额" periodRef="上年同期数" mulRef="_GBC_57faea4e453e49ad93821b7dd6ce8bc4" unitRef="_GBC_cef77704267643d794145c73763360e5" addr="T1R28C1S1_1" formatStyle="Comma"/>
        <m:item xlName="_GBC_68d2281a67174fe9939e0ff020c6cfd1" concept="clcid-pte:QiTaSuoYouZheQuanYiNeiBuJieZhuanDaoZhiQiTaQuanYiGongJuZhongDeYouXianGuBianDongJinE" label="其他所有者权益内部结转导致其他权益工具中的优先股变动金额" periodRef="上年同期数" mulRef="_GBC_57faea4e453e49ad93821b7dd6ce8bc4" unitRef="_GBC_cef77704267643d794145c73763360e5" addr="T1R28C2S1_1" formatStyle="Comma"/>
        <m:item xlName="_GBC_3fb18e137de2442a96c3beed78b6ec7e" concept="clcid-pte:QiTaSuoYouZheQuanYiNeiBuJieZhuanDaoZhiQiTaQuanYiGongJuZhongDeYongXuZhaiBianDongJinE" label="其他所有者权益内部结转导致其他权益工具中的永续债变动金额" periodRef="上年同期数" mulRef="_GBC_57faea4e453e49ad93821b7dd6ce8bc4" unitRef="_GBC_cef77704267643d794145c73763360e5" addr="T1R28C3S1_1" formatStyle="Comma"/>
        <m:item xlName="_GBC_8ad349b8eac34942b93f7f0abd0bd5f2" concept="clcid-pte:QiTaSuoYouZheQuanYiNeiBuJieZhuanDaoZhiQiTaQuanYiGongJuZhongDeQiTaBianDongJinE" label="其他所有者权益内部结转导致其他权益工具中的其他变动金额" periodRef="上年同期数" mulRef="_GBC_57faea4e453e49ad93821b7dd6ce8bc4" unitRef="_GBC_cef77704267643d794145c73763360e5" addr="T1R28C4S1_1" formatStyle="Comma"/>
        <m:item xlName="_GBC_5aa12e5b90f54d3594eb1819eb885abc" concept="clcid-pte:QiTaSuoYouZheQuanYiNeiBuJieZhuanDaoZhiZiBenGongJiBianDongJinE" label="其他所有者权益内部结转导致资本公积变动金额" periodRef="上年同期数" mulRef="_GBC_57faea4e453e49ad93821b7dd6ce8bc4" unitRef="_GBC_cef77704267643d794145c73763360e5" addr="T1R28C5S1_1" formatStyle="Comma"/>
        <m:item xlName="_GBC_b58d16206f314da4965dd582da896555" concept="clcid-pte:QiTaSuoYouZheQuanYiNeiBuJieZhuanDaoZhiKuCunGuBianDongJinE" label="其他所有者权益内部结转导致库存股变动金额" periodRef="上年同期数" mulRef="_GBC_57faea4e453e49ad93821b7dd6ce8bc4" unitRef="_GBC_cef77704267643d794145c73763360e5" addr="T1R28C6S1_1" baseScale="-1" formatStyle="Comma"/>
        <m:item xlName="_GBC_8664dc7392ca4123836f7c157cfa96f0" concept="clcid-pte:QiTaSuoYouZheQuanYiNeiBuJieZhuanDaoZhiQiTaZongHeShouYiBianDongJinE" label="其他所有者权益内部结转导致其他综合收益变动金额" periodRef="上年同期数" mulRef="_GBC_57faea4e453e49ad93821b7dd6ce8bc4" unitRef="_GBC_cef77704267643d794145c73763360e5" addr="T1R28C7S1_1" formatStyle="Comma"/>
        <m:item xlName="_GBC_ed813617d7b24d5aa1206ad2739ed368" concept="clcid-pte:QiTaSuoYouZheQuanYiNeiBuJieZhuanDaoZhiZhuanXiangChuBeiBianDongJinE" label="其他所有者权益内部结转导致专项储备变动金额" periodRef="上年同期数" mulRef="_GBC_57faea4e453e49ad93821b7dd6ce8bc4" unitRef="_GBC_cef77704267643d794145c73763360e5" addr="T1R28C8S1_1" formatStyle="Comma"/>
        <m:item xlName="_GBC_be3d19c9935c4763926794eb5355040c" concept="clcid-pte:QiTaSuoYouZheQuanYiNeiBuJieZhuanDaoZhiYingYuGongJiBianDongJinE" label="其他所有者权益内部结转导致盈余公积变动金额" periodRef="上年同期数" mulRef="_GBC_57faea4e453e49ad93821b7dd6ce8bc4" unitRef="_GBC_cef77704267643d794145c73763360e5" addr="T1R28C9S1_1" formatStyle="Comma"/>
        <m:item xlName="_GBC_fc37147ff26946338bbc02a5f7145d26" concept="clcid-pte:QiTaSuoYouZheQuanYiNeiBuJieZhuanDaoZhiYiBanFengXianZhunBeiBianDongJinE" label="其他所有者权益内部结转导致一般风险准备变动金额" periodRef="上年同期数" mulRef="_GBC_57faea4e453e49ad93821b7dd6ce8bc4" unitRef="_GBC_cef77704267643d794145c73763360e5" addr="T1R28C10S1_1" formatStyle="Comma"/>
        <m:item xlName="_GBC_d8b31d9575714b0ca9252bcf5983e68b" concept="clcid-pte:QiTaSuoYouZheQuanYiNeiBuJieZhuanDaoZhiWeiFenPeiLiRunBianDongJinE" label="其他所有者权益内部结转导致未分配利润变动金额" periodRef="上年同期数" mulRef="_GBC_57faea4e453e49ad93821b7dd6ce8bc4" unitRef="_GBC_cef77704267643d794145c73763360e5" addr="T1R28C11S1_1" formatStyle="Comma"/>
        <m:item xlName="_GBC_ed6b65405c0b46c9b81582e3a320e0c5" concept="clcid-pte:QiTaSuoYouZheQuanYiNeiBuJieZhuanDaoZhiQiTaDeGuiShuYuMuGongSiSuoYouZheQuanYiBianDongJinE" label="其他所有者权益内部结转导致其他的归属于母公司所有者权益变动金额" periodRef="上年同期数" mulRef="_GBC_57faea4e453e49ad93821b7dd6ce8bc4" unitRef="_GBC_cef77704267643d794145c73763360e5" addr="T1R28C12S1_1" formatStyle="Comma"/>
        <m:item xlName="_GBC_90a4dd4117dc4e9c9ca5c77dbf2f4be0" concept="clcid-pte:QiTaSuoYouZheQuanYiNeiBuJieZhuanDaoZhiGuiShuYuMuGongSiSuoYouZheQuanYiBianDongJinE" label="其他所有者权益内部结转导致归属于母公司所有者权益变动金额" periodRef="上年同期数" mulRef="_GBC_57faea4e453e49ad93821b7dd6ce8bc4" unitRef="_GBC_cef77704267643d794145c73763360e5" addr="T1R28C13S1_1" formatStyle="Comma"/>
        <m:item xlName="_GBC_48350b5a4739464d96ce58d3c98c538c" concept="clcid-pte:QiTaSuoYouZheQuanYiNeiBuJieZhuanDaoZhiShaoShuGuDongQuanYiBianDongJinE" label="其他所有者权益内部结转导致少数股东权益变动金额" periodRef="上年同期数" mulRef="_GBC_57faea4e453e49ad93821b7dd6ce8bc4" unitRef="_GBC_cef77704267643d794145c73763360e5" addr="T1R28C14S1_1" formatStyle="Comma"/>
        <m:item xlName="_GBC_e085e3c5c7fb4d8ba126db44afa087ca" concept="clcid-pte:QiTaSuoYouZheQuanYiNeiBuJieZhuanDaoZhiGuDongQuanYiHeJiBianDongJinE" label="其他所有者权益内部结转导致股东权益合计变动金额" periodRef="上年同期数" mulRef="_GBC_57faea4e453e49ad93821b7dd6ce8bc4" unitRef="_GBC_cef77704267643d794145c73763360e5" addr="T1R28C15S1_1" formatStyle="Comma"/>
        <m:placeholder xlName="_PLD_3bbf2260615f4991a49bda77fd1fc28b" wordText="（五）专项储备" addr="T1R29C0S1_1"/>
        <m:item xlName="_GBC_5115f070f2ca4b3aa007cd2dfff8ae5e" concept="clcid-pte:ZhuanXiangChuBeiDaoZhiShiShouZiBenHuoGuBenJingEBianDongJinE" label="专项储备导致实收资本（或股本）净额变动金额" periodRef="上年同期数" mulRef="_GBC_57faea4e453e49ad93821b7dd6ce8bc4" unitRef="_GBC_cef77704267643d794145c73763360e5" addr="T1R29C1S1_1" formatStyle="Comma">
          <m:complexRule comparator="Eq" title="专项储备导致实收资本（或股本）净额变动金额@上年同期数" test=" $_GBC_4480a286c00947688c41718071d8352d -  $_GBC_2c60cbf1ae074bf4b8657a87bd6723d6" id="C389b1749716e4b5eab687122968fc892" radius="0.0001"/>
        </m:item>
        <m:item xlName="_GBC_ebe9f45adce54283bcf82f3858ea53a5" concept="clcid-pte:ZhuanXiangChuBeiDaoZhiQiTaQuanYiGongJuZhongDeYouXianGuBianDongJinE" label="专项储备导致其他权益工具中的优先股变动金额" periodRef="上年同期数" mulRef="_GBC_57faea4e453e49ad93821b7dd6ce8bc4" unitRef="_GBC_cef77704267643d794145c73763360e5" addr="T1R29C2S1_1" formatStyle="Comma">
          <m:complexRule comparator="Eq" title="专项储备导致其他权益工具中的优先股变动金额@上年同期数" test=" $_GBC_e3485fdbadd645499b2384aaaa153323 -  $_GBC_d7a7aa1e1d3743ff8ee85546333665ef" id="Cf69cbbfe1877432ebc21251ae643fb9e"/>
        </m:item>
        <m:item xlName="_GBC_e29e6ffb3f96493ba46db0633f1d14a6" concept="clcid-pte:ZhuanXiangChuBeiDaoZhiQiTaQuanYiGongJuZhongDeYongXuZhaiBianDongJinE" label="专项储备导致其他权益工具中的永续债变动金额" periodRef="上年同期数" mulRef="_GBC_57faea4e453e49ad93821b7dd6ce8bc4" unitRef="_GBC_cef77704267643d794145c73763360e5" addr="T1R29C3S1_1" formatStyle="Comma">
          <m:complexRule comparator="Eq" title="专项储备导致其他权益工具中的永续债变动金额@上年同期数" test=" $_GBC_d610cfe246d34142af83546c738e88fb -  $_GBC_0c57d1a971db4613b4a930814e100694" id="Cc7d845b792d44f4b822fb9c1d9e4ffdf"/>
        </m:item>
        <m:item xlName="_GBC_b7f2b0c5b09445a9b198bb2b721752a2" concept="clcid-pte:ZhuanXiangChuBeiDaoZhiQiTaQuanYiGongJuZhongDeQiTaBianDongJinE" label="专项储备导致其他权益工具中的其他变动金额" periodRef="上年同期数" mulRef="_GBC_57faea4e453e49ad93821b7dd6ce8bc4" unitRef="_GBC_cef77704267643d794145c73763360e5" addr="T1R29C4S1_1" formatStyle="Comma">
          <m:complexRule comparator="Eq" title="专项储备导致其他权益工具中的其他变动金额@上年同期数" test=" $_GBC_818f759f16ba42e58b7f6c25cc88baf5 -  $_GBC_f3a1095566d9473894434f905c0b45c2" id="C199cc9f3a07b4047bc4716e58efb0b5d"/>
        </m:item>
        <m:item xlName="_GBC_730f2db178a344d48bfa70a006568b87" concept="clcid-pte:ZhuanXiangChuBeiDaoZhiZiBenGongJiBianDongJinE" label="专项储备导致资本公积变动金额" periodRef="上年同期数" mulRef="_GBC_57faea4e453e49ad93821b7dd6ce8bc4" unitRef="_GBC_cef77704267643d794145c73763360e5" addr="T1R29C5S1_1" formatStyle="Comma">
          <m:complexRule comparator="Eq" title="专项储备导致资本公积变动金额@上年同期数" test=" $_GBC_721928d7a29f48ce8ca7c7ca2284309c -  $_GBC_c1049acd34c949af9d8e1cc5d41e5eb5" id="Cc82f8f514d204c24b74f1ff20220658f" radius="0.0001"/>
        </m:item>
        <m:item xlName="_GBC_b7edbda71c1649daa78c8f3ed62c5583" concept="clcid-pte:ZhuanXiangChuBeiDaoZhiKuCunGuBianDongJinE" label="专项储备导致库存股变动金额" periodRef="上年同期数" mulRef="_GBC_57faea4e453e49ad93821b7dd6ce8bc4" unitRef="_GBC_cef77704267643d794145c73763360e5" addr="T1R29C6S1_1" baseScale="-1" formatStyle="Comma">
          <m:complexRule comparator="Eq" title="专项储备导致库存股变动金额@上年同期数" test=" $_GBC_47705309508447f78db4c09f323051aa -  $_GBC_3008855c0efb44fda4bb086171723e04" id="Ce0af9016408149048ca2b2cfabc346d5" radius="0.0001"/>
        </m:item>
        <m:item xlName="_GBC_a7207f4a785c41028641257b4656db62" concept="clcid-pte:ZhuanXiangChuBeiDaoZhiQiTaZongHeShouYiBianDongJinE" label="专项储备导致其他综合收益变动金额" periodRef="上年同期数" mulRef="_GBC_57faea4e453e49ad93821b7dd6ce8bc4" unitRef="_GBC_cef77704267643d794145c73763360e5" addr="T1R29C7S1_1" formatStyle="Comma">
          <m:complexRule comparator="Eq" title="专项储备导致其他综合收益变动金额@上年同期数" test=" $_GBC_95876bb6f9e9429e9738dc48cc567b16 -  $_GBC_7a47f33e6fb14798b32ae382e524f5c6" id="C355d0f2086064a839a9c62c843767643"/>
        </m:item>
        <m:item xlName="_GBC_d7fc9bfad83d47869766a784625f42c7" concept="clcid-pte:ZhuanXiangChuBeiDaoZhiZhuanXiangChuBeiBianDongJinE" label="专项储备导致专项储备变动金额" periodRef="上年同期数" mulRef="_GBC_57faea4e453e49ad93821b7dd6ce8bc4" unitRef="_GBC_cef77704267643d794145c73763360e5" addr="T1R29C8S1_1" formatStyle="Comma">
          <m:complexRule comparator="Eq" title="专项储备导致专项储备变动金额@上年同期数" test=" $_GBC_b34b1c9b3f964e709eb0dde69e642e36 -  $_GBC_aabec87037174c70bcadec02024d99bf" id="C6a8dcfae13ba427397da7a18299835b7"/>
        </m:item>
        <m:item xlName="_GBC_735a622e4d5248dbbe61bd011aeb6c52" concept="clcid-pte:ZhuanXiangChuBeiDaoZhiYingYuGongJiBianDongJinE" label="专项储备导致盈余公积变动金额" periodRef="上年同期数" mulRef="_GBC_57faea4e453e49ad93821b7dd6ce8bc4" unitRef="_GBC_cef77704267643d794145c73763360e5" addr="T1R29C9S1_1" formatStyle="Comma">
          <m:complexRule comparator="Eq" title="专项储备导致盈余公积变动金额@上年同期数" test=" $_GBC_91b08d4dd37a4a739910b22d5bd467c5 -  $_GBC_09011cf2dbd9476289a102a03a30cfbd" id="C05cdbf693080445cb769d0f18db3a4d5"/>
        </m:item>
        <m:item xlName="_GBC_0e94e0de46424d809f735159b990bdf3" concept="clcid-pte:ZhuanXiangChuBeiDaoZhiYiBanFengXianZhunBeiBianDongJinE" label="专项储备导致一般风险准备变动金额" periodRef="上年同期数" mulRef="_GBC_57faea4e453e49ad93821b7dd6ce8bc4" unitRef="_GBC_cef77704267643d794145c73763360e5" addr="T1R29C10S1_1" formatStyle="Comma">
          <m:complexRule comparator="Eq" title="专项储备导致一般风险准备变动金额@上年同期数" test=" $_GBC_d62165063af34d9fb4d57a462f945165 -  $_GBC_b223f0b8f6b04dcbb8bdf277dbe3f997" id="C59642b4c93ac466fa1e49fcd98c51600"/>
        </m:item>
        <m:item xlName="_GBC_8155ea3cfca145b7a0c2961564659326" concept="clcid-pte:ZhuanXiangChuBeiDaoZhiWeiFenPeiLiRunBianDongJinE" label="专项储备导致未分配利润变动金额" periodRef="上年同期数" mulRef="_GBC_57faea4e453e49ad93821b7dd6ce8bc4" unitRef="_GBC_cef77704267643d794145c73763360e5" addr="T1R29C11S1_1" formatStyle="Comma">
          <m:complexRule comparator="Eq" title="专项储备导致未分配利润变动金额@上年同期数" test=" $_GBC_dcc1edc20c204add85ecbdf0b57c60dd -  $_GBC_cbbba4ff28a0493f9b4aec4cab06d811" id="Ccde035e163fa431796baab355dd17530"/>
        </m:item>
        <m:item xlName="_GBC_c8e14ee4364e45f4bef4626e23c00d90" concept="clcid-pte:ZhuanXiangChuBeiDaoZhiQiTaDeGuiShuYuMuGongSiSuoYouZheQuanYiBianDongJinE" label="专项储备导致其他的归属于母公司所有者权益变动金额" periodRef="上年同期数" mulRef="_GBC_57faea4e453e49ad93821b7dd6ce8bc4" unitRef="_GBC_cef77704267643d794145c73763360e5" addr="T1R29C12S1_1" formatStyle="Comma">
          <m:complexRule comparator="Eq" title="专项储备导致其他的归属于母公司所有者权益变动金额@上年同期数" test=" $_GBC_ed61ed2cc9044fb486b1e1874003bcea -  $_GBC_1338404d8fd7406e8e20bb259a1aad10" id="C2ac374a3541b4b008bdf8910a490e03d"/>
        </m:item>
        <m:item xlName="_GBC_327e4f0948b246e596c8ae56bfe1b726" concept="clcid-pte:ZhuanXiangChuBeiDaoZhiGuiShuYuMuGongSiSuoYouZheQuanYiBianDongJinE" label="专项储备导致归属于母公司所有者权益变动金额" periodRef="上年同期数" mulRef="_GBC_57faea4e453e49ad93821b7dd6ce8bc4" unitRef="_GBC_cef77704267643d794145c73763360e5" addr="T1R29C13S1_1" formatStyle="Comma">
          <m:complexRule comparator="Eq" title="专项储备导致归属于母公司所有者权益变动金额小计@上年同期数" test=" $_GBC_f1076b5c98514013bb76d08490f1c905 -  $_GBC_886a0883086948ca8e8e76fd191401ac" id="Cfb0cc6c307ce41f1b6dcddb237a0efc2"/>
        </m:item>
        <m:item xlName="_GBC_6ca048884e154d5a93b8eb75f3ec6f7f" concept="clcid-pte:ZhuanXiangChuBeiDaoZhiShaoShuGuDongQuanYiBianDongJinE" label="专项储备导致少数股东权益变动金额" periodRef="上年同期数" mulRef="_GBC_57faea4e453e49ad93821b7dd6ce8bc4" unitRef="_GBC_cef77704267643d794145c73763360e5" addr="T1R29C14S1_1" formatStyle="Comma">
          <m:complexRule comparator="Eq" title="专项储备导致少数股东权益变动金额@上年同期数" test=" $_GBC_1f627abafaab4bdc89e9a7b15bd811fc -  $_GBC_9ec6d4e7e9514552ab66e4169f451606" id="Cd42b60d02e3e4a658d0703e1e9074c60"/>
        </m:item>
        <m:item xlName="_GBC_03bb7c9c59d747079e448137403c922e" concept="clcid-pte:ZhuanXiangChuBeiDaoZhiGuDongQuanYiHeJiBianDongJinE" label="专项储备导致股东权益合计变动金额" periodRef="上年同期数" mulRef="_GBC_57faea4e453e49ad93821b7dd6ce8bc4" unitRef="_GBC_cef77704267643d794145c73763360e5" addr="T1R29C15S1_1" formatStyle="Comma">
          <m:complexRule comparator="Eq" title="专项储备导致股东权益合计变动金额@上年同期数" test=" $_GBC_e0a275e77d674101a57c7f0733e73ed4 -  $_GBC_0f53019ac5a343f682406315a514dc53" id="C982608635c7a4cb29ca7eb6c2c9b200e"/>
        </m:item>
        <m:placeholder xlName="_PLD_f1e833fa15ec452384f3784c7a9b36fe" wordText="1．本期提取" addr="T1R30C0S1_1"/>
        <m:item xlName="_GBC_4480a286c00947688c41718071d8352d" concept="clcid-pte:TiQuDaoZhiShiShouZiBenHuoGuBenJingEBianDongJinE" label="提取导致实收资本（或股本）净额变动金额" periodRef="上年同期数" mulRef="_GBC_57faea4e453e49ad93821b7dd6ce8bc4" unitRef="_GBC_cef77704267643d794145c73763360e5" addr="T1R30C1S1_1" formatStyle="Comma"/>
        <m:item xlName="_GBC_e3485fdbadd645499b2384aaaa153323" concept="clcid-pte:TiQuDaoZhiQiTaQuanYiGongJuZhongDeYouXianGuBianDongJinE" label="提取导致其他权益工具中的优先股变动金额" periodRef="上年同期数" mulRef="_GBC_57faea4e453e49ad93821b7dd6ce8bc4" unitRef="_GBC_cef77704267643d794145c73763360e5" addr="T1R30C2S1_1" formatStyle="Comma"/>
        <m:item xlName="_GBC_d610cfe246d34142af83546c738e88fb" concept="clcid-pte:TiQuDaoZhiQiTaQuanYiGongJuZhongDeYongXuZhaiBianDongJinE" label="提取导致其他权益工具中的永续债变动金额" periodRef="上年同期数" mulRef="_GBC_57faea4e453e49ad93821b7dd6ce8bc4" unitRef="_GBC_cef77704267643d794145c73763360e5" addr="T1R30C3S1_1" formatStyle="Comma"/>
        <m:item xlName="_GBC_818f759f16ba42e58b7f6c25cc88baf5" concept="clcid-pte:TiQuDaoZhiQiTaQuanYiGongJuZhongDeQiTaBianDongJinE" label="提取导致其他权益工具中的其他变动金额" periodRef="上年同期数" mulRef="_GBC_57faea4e453e49ad93821b7dd6ce8bc4" unitRef="_GBC_cef77704267643d794145c73763360e5" addr="T1R30C4S1_1" formatStyle="Comma"/>
        <m:item xlName="_GBC_721928d7a29f48ce8ca7c7ca2284309c" concept="clcid-pte:TiQuDaoZhiZiBenGongJiBianDongJinE" label="提取导致资本公积变动金额" periodRef="上年同期数" mulRef="_GBC_57faea4e453e49ad93821b7dd6ce8bc4" unitRef="_GBC_cef77704267643d794145c73763360e5" addr="T1R30C5S1_1" formatStyle="Comma"/>
        <m:item xlName="_GBC_47705309508447f78db4c09f323051aa" concept="clcid-pte:TiQuDaoZhiKuCunGuBianDongJinE" label="提取导致库存股变动金额" periodRef="上年同期数" mulRef="_GBC_57faea4e453e49ad93821b7dd6ce8bc4" unitRef="_GBC_cef77704267643d794145c73763360e5" addr="T1R30C6S1_1" baseScale="-1" formatStyle="Comma"/>
        <m:item xlName="_GBC_95876bb6f9e9429e9738dc48cc567b16" concept="clcid-pte:TiQuDaoZhiQiTaZongHeShouYiBianDongJinE" label="提取导致其他综合收益变动金额" periodRef="上年同期数" mulRef="_GBC_57faea4e453e49ad93821b7dd6ce8bc4" unitRef="_GBC_cef77704267643d794145c73763360e5" addr="T1R30C7S1_1" formatStyle="Comma"/>
        <m:item xlName="_GBC_b34b1c9b3f964e709eb0dde69e642e36" concept="clcid-pte:TiQuDaoZhiZhuanXiangChuBeiBianDongJinE" label="提取导致专项储备变动金额" periodRef="上年同期数" mulRef="_GBC_57faea4e453e49ad93821b7dd6ce8bc4" unitRef="_GBC_cef77704267643d794145c73763360e5" addr="T1R30C8S1_1" formatStyle="Comma"/>
        <m:item xlName="_GBC_91b08d4dd37a4a739910b22d5bd467c5" concept="clcid-pte:TiQuDaoZhiYingYuGongJiBianDongJinE" label="提取导致盈余公积变动金额" periodRef="上年同期数" mulRef="_GBC_57faea4e453e49ad93821b7dd6ce8bc4" unitRef="_GBC_cef77704267643d794145c73763360e5" addr="T1R30C9S1_1" formatStyle="Comma"/>
        <m:item xlName="_GBC_d62165063af34d9fb4d57a462f945165" concept="clcid-pte:TiQuDaoZhiYiBanFengXianZhunBeiBianDongJinE" label="提取导致一般风险准备变动金额" periodRef="上年同期数" mulRef="_GBC_57faea4e453e49ad93821b7dd6ce8bc4" unitRef="_GBC_cef77704267643d794145c73763360e5" addr="T1R30C10S1_1" formatStyle="Comma"/>
        <m:item xlName="_GBC_dcc1edc20c204add85ecbdf0b57c60dd" concept="clcid-pte:TiQuDaoZhiWeiFenPeiLiRunBianDongJinE" label="提取导致未分配利润变动金额" periodRef="上年同期数" mulRef="_GBC_57faea4e453e49ad93821b7dd6ce8bc4" unitRef="_GBC_cef77704267643d794145c73763360e5" addr="T1R30C11S1_1" formatStyle="Comma"/>
        <m:item xlName="_GBC_ed61ed2cc9044fb486b1e1874003bcea" concept="clcid-pte:TiQuDaoZhiQiTaDeGuiShuYuMuGongSiSuoYouZheQuanYiBianDongJinE" label="提取导致其他的归属于母公司所有者权益变动金额" periodRef="上年同期数" mulRef="_GBC_57faea4e453e49ad93821b7dd6ce8bc4" unitRef="_GBC_cef77704267643d794145c73763360e5" addr="T1R30C12S1_1" formatStyle="Comma"/>
        <m:item xlName="_GBC_f1076b5c98514013bb76d08490f1c905" concept="clcid-pte:TiQuZhuanXiangChuBeiDaoZhiGuiShuYuMuGongSiSuoYouZheQuanYiBianDongJinE" label="提取专项储备导致归属于母公司所有者权益变动金额" periodRef="上年同期数" mulRef="_GBC_57faea4e453e49ad93821b7dd6ce8bc4" unitRef="_GBC_cef77704267643d794145c73763360e5" addr="T1R30C13S1_1" formatStyle="Comma"/>
        <m:item xlName="_GBC_1f627abafaab4bdc89e9a7b15bd811fc" concept="clcid-pte:TiQuDaoZhiShaoShuGuDongQuanYiBianDongJinE" label="提取导致少数股东权益变动金额" periodRef="上年同期数" mulRef="_GBC_57faea4e453e49ad93821b7dd6ce8bc4" unitRef="_GBC_cef77704267643d794145c73763360e5" addr="T1R30C14S1_1" formatStyle="Comma"/>
        <m:item xlName="_GBC_e0a275e77d674101a57c7f0733e73ed4" concept="clcid-pte:TiQuDaoZhiGuDongQuanYiHeJiBianDongJinE" label="提取导致股东权益合计变动金额" periodRef="上年同期数" mulRef="_GBC_57faea4e453e49ad93821b7dd6ce8bc4" unitRef="_GBC_cef77704267643d794145c73763360e5" addr="T1R30C15S1_1" formatStyle="Comma"/>
        <m:placeholder xlName="_PLD_301fc21ab7954268be9851ddd0cf2d8a" wordText="2．本期使用" addr="T1R31C0S1_1"/>
        <m:item xlName="_GBC_2c60cbf1ae074bf4b8657a87bd6723d6" concept="clcid-pte:ShiYongDaoZhiShiShouZiBenHuoGuBenJingEBianDongJinE" label="使用导致实收资本（或股本）净额变动金额" periodRef="上年同期数" mulRef="_GBC_57faea4e453e49ad93821b7dd6ce8bc4" unitRef="_GBC_cef77704267643d794145c73763360e5" addr="T1R31C1S1_1" formatStyle="Comma"/>
        <m:item xlName="_GBC_d7a7aa1e1d3743ff8ee85546333665ef" concept="clcid-pte:ShiYongDaoZhiQiTaQuanYiGongJuZhongDeYouXianGuBianDongJinE" label="使用导致其他权益工具中的优先股变动金额" periodRef="上年同期数" mulRef="_GBC_57faea4e453e49ad93821b7dd6ce8bc4" unitRef="_GBC_cef77704267643d794145c73763360e5" addr="T1R31C2S1_1" formatStyle="Comma"/>
        <m:item xlName="_GBC_0c57d1a971db4613b4a930814e100694" concept="clcid-pte:ShiYongDaoZhiQiTaQuanYiGongJuZhongDeYongXuZhaiBianDongJinE" label="使用导致其他权益工具中的永续债变动金额" periodRef="上年同期数" mulRef="_GBC_57faea4e453e49ad93821b7dd6ce8bc4" unitRef="_GBC_cef77704267643d794145c73763360e5" addr="T1R31C3S1_1" formatStyle="Comma"/>
        <m:item xlName="_GBC_f3a1095566d9473894434f905c0b45c2" concept="clcid-pte:ShiYongDaoZhiQiTaQuanYiGongJuZhongDeQiTaBianDongJinE" label="使用导致其他权益工具中的其他变动金额" periodRef="上年同期数" mulRef="_GBC_57faea4e453e49ad93821b7dd6ce8bc4" unitRef="_GBC_cef77704267643d794145c73763360e5" addr="T1R31C4S1_1" formatStyle="Comma"/>
        <m:item xlName="_GBC_c1049acd34c949af9d8e1cc5d41e5eb5" concept="clcid-pte:ShiYongDaoZhiZiBenGongJiBianDongJinE" label="使用导致资本公积变动金额" periodRef="上年同期数" mulRef="_GBC_57faea4e453e49ad93821b7dd6ce8bc4" unitRef="_GBC_cef77704267643d794145c73763360e5" addr="T1R31C5S1_1" formatStyle="Comma"/>
        <m:item xlName="_GBC_3008855c0efb44fda4bb086171723e04" concept="clcid-pte:ShiYongDaoZhiKuCunGuBianDongJinE" label="使用导致库存股变动金额" periodRef="上年同期数" mulRef="_GBC_57faea4e453e49ad93821b7dd6ce8bc4" unitRef="_GBC_cef77704267643d794145c73763360e5" addr="T1R31C6S1_1" baseScale="-1" formatStyle="Comma"/>
        <m:item xlName="_GBC_7a47f33e6fb14798b32ae382e524f5c6" concept="clcid-pte:ShiYongDaoZhiQiTaZongHeShouYiBianDongJinE" label="使用导致其他综合收益变动金额" periodRef="上年同期数" mulRef="_GBC_57faea4e453e49ad93821b7dd6ce8bc4" unitRef="_GBC_cef77704267643d794145c73763360e5" addr="T1R31C7S1_1" formatStyle="Comma"/>
        <m:item xlName="_GBC_aabec87037174c70bcadec02024d99bf" concept="clcid-pte:ShiYongDaoZhiZhuanXiangChuBeiBianDongJinE" label="使用导致专项储备变动金额" periodRef="上年同期数" mulRef="_GBC_57faea4e453e49ad93821b7dd6ce8bc4" unitRef="_GBC_cef77704267643d794145c73763360e5" addr="T1R31C8S1_1" formatStyle="Comma"/>
        <m:item xlName="_GBC_09011cf2dbd9476289a102a03a30cfbd" concept="clcid-pte:ShiYongDaoZhiYingYuGongJiBianDongJinE" label="使用导致盈余公积变动金额" periodRef="上年同期数" mulRef="_GBC_57faea4e453e49ad93821b7dd6ce8bc4" unitRef="_GBC_cef77704267643d794145c73763360e5" addr="T1R31C9S1_1" formatStyle="Comma"/>
        <m:item xlName="_GBC_b223f0b8f6b04dcbb8bdf277dbe3f997" concept="clcid-pte:ShiYongDaoZhiYiBanFengXianZhunBeiBianDongJinE" label="使用导致一般风险准备变动金额" periodRef="上年同期数" mulRef="_GBC_57faea4e453e49ad93821b7dd6ce8bc4" unitRef="_GBC_cef77704267643d794145c73763360e5" addr="T1R31C10S1_1" formatStyle="Comma"/>
        <m:item xlName="_GBC_cbbba4ff28a0493f9b4aec4cab06d811" concept="clcid-pte:ShiYongDaoZhiWeiFenPeiLiRunBianDongJinE" label="使用导致未分配利润变动金额" periodRef="上年同期数" mulRef="_GBC_57faea4e453e49ad93821b7dd6ce8bc4" unitRef="_GBC_cef77704267643d794145c73763360e5" addr="T1R31C11S1_1" formatStyle="Comma"/>
        <m:item xlName="_GBC_1338404d8fd7406e8e20bb259a1aad10" concept="clcid-pte:ShiYongDaoZhiQiTaDeGuiShuYuMuGongSiSuoYouZheQuanYiBianDongJinE" label="使用导致其他的归属于母公司所有者权益变动金额" periodRef="上年同期数" mulRef="_GBC_57faea4e453e49ad93821b7dd6ce8bc4" unitRef="_GBC_cef77704267643d794145c73763360e5" addr="T1R31C12S1_1" formatStyle="Comma"/>
        <m:item xlName="_GBC_886a0883086948ca8e8e76fd191401ac" concept="clcid-pte:ShiYongZhuanXiangChuBeiDaoZhiGuiShuYuMuGongSiSuoYouZheQuanYiBianDongJinE" label="使用专项储备导致归属于母公司所有者权益变动金额" periodRef="上年同期数" mulRef="_GBC_57faea4e453e49ad93821b7dd6ce8bc4" unitRef="_GBC_cef77704267643d794145c73763360e5" addr="T1R31C13S1_1" formatStyle="Comma"/>
        <m:item xlName="_GBC_9ec6d4e7e9514552ab66e4169f451606" concept="clcid-pte:ShiYongDaoZhiShaoShuGuDongQuanYiBianDongJinE" label="使用导致少数股东权益变动金额" periodRef="上年同期数" mulRef="_GBC_57faea4e453e49ad93821b7dd6ce8bc4" unitRef="_GBC_cef77704267643d794145c73763360e5" addr="T1R31C14S1_1" formatStyle="Comma"/>
        <m:item xlName="_GBC_0f53019ac5a343f682406315a514dc53" concept="clcid-pte:ShiYongDaoZhiGuDongQuanYiHeJiBianDongJinE" label="使用导致股东权益合计变动金额" periodRef="上年同期数" mulRef="_GBC_57faea4e453e49ad93821b7dd6ce8bc4" unitRef="_GBC_cef77704267643d794145c73763360e5" addr="T1R31C15S1_1" formatStyle="Comma"/>
        <m:placeholder xlName="_PLD_43b1e5b489b047e98cf38f8c5f130759" wordText="（六）其他" addr="T1R32C0S1_1"/>
        <m:item xlName="_GBC_0a2e0b25ebf54f71b2cf2ee0df8308f8" concept="clcid-pte:QiTaDaoZhiShiShouZiBenHuoGuBenJingEBianDongJinE" label="其他导致实收资本（或股本）净额变动金额" periodRef="上年同期数" mulRef="_GBC_57faea4e453e49ad93821b7dd6ce8bc4" unitRef="_GBC_cef77704267643d794145c73763360e5" addr="T1R32C1S1_1" formatStyle="Comma"/>
        <m:item xlName="_GBC_570ede3304204b6095a1443ef359dfff" concept="clcid-pte:QiTaDaoZhiQiTaQuanYiGongJuZhongDeYouXianGuBianDongJinE" label="其他导致其他权益工具中的优先股变动金额" periodRef="上年同期数" mulRef="_GBC_57faea4e453e49ad93821b7dd6ce8bc4" unitRef="_GBC_cef77704267643d794145c73763360e5" addr="T1R32C2S1_1" formatStyle="Comma"/>
        <m:item xlName="_GBC_341674fde95c4db3acdcb053de349b86" concept="clcid-pte:QiTaDaoZhiQiTaQuanYiGongJuZhongDeYongXuZhaiBianDongJinE" label="其他导致其他权益工具中的永续债变动金额" periodRef="上年同期数" mulRef="_GBC_57faea4e453e49ad93821b7dd6ce8bc4" unitRef="_GBC_cef77704267643d794145c73763360e5" addr="T1R32C3S1_1" formatStyle="Comma"/>
        <m:item xlName="_GBC_6a2f33bad914493cab615467aa558cd7" concept="clcid-pte:QiTaDaoZhiQiTaQuanYiGongJuZhongDeQiTaBianDongJinE" label="其他导致其他权益工具中的其他变动金额" periodRef="上年同期数" mulRef="_GBC_57faea4e453e49ad93821b7dd6ce8bc4" unitRef="_GBC_cef77704267643d794145c73763360e5" addr="T1R32C4S1_1" formatStyle="Comma"/>
        <m:item xlName="_GBC_06c87e795095460aade6a4b36d673eff" concept="clcid-pte:QiTaDaoZhiZiBenGongJiBianDongJinE" label="其他导致资本公积变动金额" periodRef="上年同期数" mulRef="_GBC_57faea4e453e49ad93821b7dd6ce8bc4" unitRef="_GBC_cef77704267643d794145c73763360e5" addr="T1R32C5S1_1" formatStyle="Comma"/>
        <m:item xlName="_GBC_d3c1dc32071a4b4ea4a455f457b7fafd" concept="clcid-pte:QiTaDaoZhiKuCunGuBianDongJinE" label="其他导致库存股变动金额" periodRef="上年同期数" mulRef="_GBC_57faea4e453e49ad93821b7dd6ce8bc4" unitRef="_GBC_cef77704267643d794145c73763360e5" addr="T1R32C6S1_1" baseScale="-1" formatStyle="Comma"/>
        <m:item xlName="_GBC_80a1a444810d4755a1b367d7b4113fc0" concept="clcid-pte:QiTaDaoZhiQiTaZongHeShouYiBianDongJinE" label="其他导致其他综合收益变动金额" periodRef="上年同期数" mulRef="_GBC_57faea4e453e49ad93821b7dd6ce8bc4" unitRef="_GBC_cef77704267643d794145c73763360e5" addr="T1R32C7S1_1" formatStyle="Comma"/>
        <m:item xlName="_GBC_4e67cf6939104df899086bf8915ed541" concept="clcid-pte:QiTaDaoZhiZhuanXiangChuBeiBianDongJinE" label="其他导致专项储备变动金额" periodRef="上年同期数" mulRef="_GBC_57faea4e453e49ad93821b7dd6ce8bc4" unitRef="_GBC_cef77704267643d794145c73763360e5" addr="T1R32C8S1_1" formatStyle="Comma"/>
        <m:item xlName="_GBC_2d4b24e7e15d4794ad3b0426f89c60db" concept="clcid-pte:QiTaDaoZhiYingYuGongJiBianDongJinE" label="其他导致盈余公积变动金额" periodRef="上年同期数" mulRef="_GBC_57faea4e453e49ad93821b7dd6ce8bc4" unitRef="_GBC_cef77704267643d794145c73763360e5" addr="T1R32C9S1_1" formatStyle="Comma"/>
        <m:item xlName="_GBC_902aa5a3a2d645fd96088017c7d0b76c" concept="clcid-pte:QiTaDaoZhiYiBanFengXianZhunBeiBianDongJinE" label="其他导致一般风险准备变动金额" periodRef="上年同期数" mulRef="_GBC_57faea4e453e49ad93821b7dd6ce8bc4" unitRef="_GBC_cef77704267643d794145c73763360e5" addr="T1R32C10S1_1" formatStyle="Comma"/>
        <m:item xlName="_GBC_014bdb8ee7db48e8a9a2a78a3733ad11" concept="clcid-pte:QiTaDaoZhiWeiFenPeiLiRunBianDongJinE" label="其他导致未分配利润变动金额" periodRef="上年同期数" mulRef="_GBC_57faea4e453e49ad93821b7dd6ce8bc4" unitRef="_GBC_cef77704267643d794145c73763360e5" addr="T1R32C11S1_1" formatStyle="Comma"/>
        <m:item xlName="_GBC_a848ea7203bb4261a2400376b3f7f096" concept="clcid-pte:QiTaDaoZhiQiTaDeGuiShuYuMuGongSiSuoYouZheQuanYiBianDongJinE" label="其他导致其他的归属于母公司所有者权益变动金额" periodRef="上年同期数" mulRef="_GBC_57faea4e453e49ad93821b7dd6ce8bc4" unitRef="_GBC_cef77704267643d794145c73763360e5" addr="T1R32C12S1_1" formatStyle="Comma"/>
        <m:item xlName="_GBC_5723208c4cf14edb8df2f9ad88eefe24" concept="clcid-pte:QiTaDaoZhiGuiShuYuMuGongSiSuoYouZheQuanYiBianDongJinE" label="其他导致归属于母公司所有者权益变动金额" periodRef="上年同期数" mulRef="_GBC_57faea4e453e49ad93821b7dd6ce8bc4" unitRef="_GBC_cef77704267643d794145c73763360e5" addr="T1R32C13S1_1" formatStyle="Comma"/>
        <m:item xlName="_GBC_7d880d6b45a34ddc89095bb0cefb2878" concept="clcid-pte:QiTaDaoZhiShaoShuGuDongQuanYiBianDongJinE" label="其他导致少数股东权益变动金额" periodRef="上年同期数" mulRef="_GBC_57faea4e453e49ad93821b7dd6ce8bc4" unitRef="_GBC_cef77704267643d794145c73763360e5" addr="T1R32C14S1_1" formatStyle="Comma"/>
        <m:item xlName="_GBC_ea503b7b104246e29399a1cf383dd4f0" concept="clcid-pte:QiTaDaoZhiGuDongQuanYiHeJiBianDongJinE" label="其他导致股东权益合计变动金额" periodRef="上年同期数" mulRef="_GBC_57faea4e453e49ad93821b7dd6ce8bc4" unitRef="_GBC_cef77704267643d794145c73763360e5" addr="T1R32C15S1_1" formatStyle="Comma"/>
        <m:placeholder xlName="_PLD_7355d7c321c84166a15737d2581911bf" wordText="四、本期期末余额" addr="T1R33C0S1_1"/>
        <m:item xlName="_GBC_6abdd34bbccf4e3084fd8b6c65209929" concept="clcid-pte:GuBen" label="股本" periodRef="上年同期期末数" mulRef="_GBC_57faea4e453e49ad93821b7dd6ce8bc4" unitRef="_GBC_cef77704267643d794145c73763360e5" addr="T1R33C1S1_1" formatStyle="Comma">
          <m:complexRule comparator="Eq" title="股本@上年同期期末数" test=" $_GBC_29228dddf11a4efd93c38283aea99940 +  $_GBC_cf199cdbf1234f5e8f4d46908bcec27b" id="C89033ad94ff54efabeb7a729c2ecaa3a" radius="0.0001"/>
        </m:item>
        <m:item xlName="_GBC_2dd2922b8a684ff99d6eb246a8365b03" concept="clcid-pte:QiTaQuanYiGongJuQiZhongYouXianGu" label="其他权益工具-其中：优先股" periodRef="上年同期期末数" mulRef="_GBC_57faea4e453e49ad93821b7dd6ce8bc4" unitRef="_GBC_cef77704267643d794145c73763360e5" addr="T1R33C2S1_1" formatStyle="Comma">
          <m:complexRule comparator="Eq" title="其他权益工具-其中：优先股@上年同期期末数" test=" $_GBC_586f64de03a3460aabbe5038afe82d0c +  $_GBC_e487e561657e4d7891c17d9705fafff5" id="Ca4e2475ebb8947529204055b7dad3eca"/>
        </m:item>
        <m:item xlName="_GBC_bc23af12d2b1433aabba1d8e1a6c2ed3" concept="clcid-pte:QiTaQuanYiGongJuYongXuZhai" label="其他权益工具-永续债" periodRef="上年同期期末数" mulRef="_GBC_57faea4e453e49ad93821b7dd6ce8bc4" unitRef="_GBC_cef77704267643d794145c73763360e5" addr="T1R33C3S1_1" formatStyle="Comma">
          <m:complexRule comparator="Eq" title="其他权益工具-永续债@上年同期期末数" test=" $_GBC_b81e57233ebb43849ad885f8489e5d77 +  $_GBC_ec06f16ff482481a9ff04355a14cd023" id="Cf7b29952c13e4c5099ec7e60356ec65d"/>
        </m:item>
        <m:item xlName="_GBC_8503a4bfa0e84bc784d2fe74857abd5b" concept="clcid-pte:QiTaQuanYiGongJuQiTa" label="其他权益工具-其他" periodRef="上年同期期末数" mulRef="_GBC_57faea4e453e49ad93821b7dd6ce8bc4" unitRef="_GBC_cef77704267643d794145c73763360e5" addr="T1R33C4S1_1" formatStyle="Comma">
          <m:complexRule comparator="Eq" title="其他权益工具-其他@上年同期期末数" test=" $_GBC_c51d61616db94b14bf5c435dcd246b61 +  $_GBC_67cac0a9572e4e76a54e15485eb43f66" id="C750ae56979084ef6ae83b8c296ac4f01"/>
        </m:item>
        <m:item xlName="_GBC_f3d346d459b648279b509e2eb751d92e" concept="clcid-pte:ZiBenGongJi" label="资本公积" periodRef="上年同期期末数" mulRef="_GBC_57faea4e453e49ad93821b7dd6ce8bc4" unitRef="_GBC_cef77704267643d794145c73763360e5" addr="T1R33C5S1_1" formatStyle="Comma">
          <m:complexRule comparator="Eq" title="资本公积@上年同期期末数" test=" $_GBC_020ca31040f14d5b9948f64d91e25197 +  $_GBC_736145bd6aa14664bfdaa678bc305906" id="C0f2fceeea6c54419afd7b05a442d79a4" radius="0.0001"/>
        </m:item>
        <m:item xlName="_GBC_7b0cc65ba868425ea41eaa51ff4ba198" concept="clcid-pte:KuCunGu" label="库存股" periodRef="上年同期期末数" mulRef="_GBC_57faea4e453e49ad93821b7dd6ce8bc4" unitRef="_GBC_cef77704267643d794145c73763360e5" addr="T1R33C6S1_1" baseScale="-1" formatStyle="Comma">
          <m:complexRule comparator="Eq" title="库存股@上年同期期末数" test=" $_GBC_badfefb2a7214eb297083b23774a1f7d +  $_GBC_66babe9642424a2c84970596d94a14d0" id="C654167ed562b421e8342a6622fb68c88" radius="0.0001"/>
        </m:item>
        <m:item xlName="_GBC_5ecdc4404f54426589a9549b6d5e0cd2" concept="clcid-pte:QiTaZongHeShouYiZiChanFuZhaiBiaoXiangMu" label="其他综合收益（资产负债表项目）" periodRef="上年同期期末数" mulRef="_GBC_57faea4e453e49ad93821b7dd6ce8bc4" unitRef="_GBC_cef77704267643d794145c73763360e5" addr="T1R33C7S1_1" formatStyle="Comma">
          <m:complexRule comparator="Eq" title="其他综合收益（资产负债表项目）@上年同期期末数" test=" $_GBC_edb7266ef45f4da099332297613a98cf +  $_GBC_67643b420d9e4b668270971e97b41b55" id="C088d66b96ea34ab88c75948db56a24fc"/>
        </m:item>
        <m:item xlName="_GBC_b0d4c3bd3ac64aaba39245e6d34ac8ca" concept="clcid-pte:ZhuanXiangChuBei" label="专项储备" periodRef="上年同期期末数" mulRef="_GBC_57faea4e453e49ad93821b7dd6ce8bc4" unitRef="_GBC_cef77704267643d794145c73763360e5" addr="T1R33C8S1_1" formatStyle="Comma">
          <m:complexRule comparator="Eq" title="专项储备@上年同期期末数" test=" $_GBC_cdd975d1429e4d7e9a7a3210f7afdb61 +  $_GBC_9ab4b6e8029c43fbb6ea9cfc45c1b327" id="C119e5c19d1ac41fa903134375027014f" radius="0.0001"/>
        </m:item>
        <m:item xlName="_GBC_2c9e75b4692a4dc498e1601b6fc15c63" concept="clcid-pte:YingYuGongJi" label="盈余公积" periodRef="上年同期期末数" mulRef="_GBC_57faea4e453e49ad93821b7dd6ce8bc4" unitRef="_GBC_cef77704267643d794145c73763360e5" addr="T1R33C9S1_1" formatStyle="Comma">
          <m:complexRule comparator="Eq" title="盈余公积@上年同期期末数" test=" $_GBC_2412e5b478a843eb99deba7334d5a181 +  $_GBC_990b5aca47c440d38da9e89e7e1fd651" id="C7b5c5dc470134a0faa5634e0046cb776"/>
        </m:item>
        <m:item xlName="_GBC_18a3faef63204eaab273e68f63a122bb" concept="clcid-pte:YiBanFengXianZhunBei" label="一般风险准备" periodRef="上年同期期末数" mulRef="_GBC_57faea4e453e49ad93821b7dd6ce8bc4" unitRef="_GBC_cef77704267643d794145c73763360e5" addr="T1R33C10S1_1" formatStyle="Comma">
          <m:complexRule comparator="Eq" title="一般风险准备@上年同期期末数" test=" $_GBC_0e21bee450ef463ebe134dfd6a29c056 +  $_GBC_b2d1e21a3bb6495b8c9f810fbb8e2730" id="Cca55c06eeec4415e8f0f8db936a47363"/>
        </m:item>
        <m:item xlName="_GBC_9c851add43d4403bad7aee4296082c3a" concept="clcid-pte:WeiFenPeiLiRun" label="未分配利润" periodRef="上年同期期末数" mulRef="_GBC_57faea4e453e49ad93821b7dd6ce8bc4" unitRef="_GBC_cef77704267643d794145c73763360e5" addr="T1R33C11S1_1" formatStyle="Comma">
          <m:complexRule comparator="Eq" title="未分配利润@上年同期期末数" test=" $_GBC_b9b83ce3e31743df884eb1e7b063b4b0 +  $_GBC_cd64648544fe4e228ff6d9074578f3e0" id="Cd9b8f009fce54f9192f2c633f25e1bf4"/>
        </m:item>
        <m:item xlName="_GBC_9d12cb559a134859aa44262b99a529c4" concept="clcid-pte:QiTaDeGuiShuYuMuGongSiSuoYouZheQuanYi" label="其他的归属于母公司所有者权益" periodRef="上年同期期末数" mulRef="_GBC_57faea4e453e49ad93821b7dd6ce8bc4" unitRef="_GBC_cef77704267643d794145c73763360e5" addr="T1R33C12S1_1" formatStyle="Comma">
          <m:complexRule comparator="Eq" title="其他的归属于母公司所有者权益@上年同期期末数" test=" $_GBC_f05a85dd91d848358678124d31a8beee +  $_GBC_73e4bd84b524451e8dda17c0bc240806" id="C3d44058508f24ac08dd0b1b462a58ff9"/>
        </m:item>
        <m:item xlName="_GBC_183cde8eef2b4e71869272b0cec7ad90" concept="clcid-pte:GuiShuYuMuGongSiSuoYouZheQuanYiHeJi" label="归属于母公司所有者权益合计" periodRef="上年同期期末数" mulRef="_GBC_57faea4e453e49ad93821b7dd6ce8bc4" unitRef="_GBC_cef77704267643d794145c73763360e5" addr="T1R33C13S1_1" formatStyle="Comma">
          <m:complexRule comparator="Eq" title="归属于母公司所有者权益合计@上年同期期末数" test=" $_GBC_7d67d3e83d894a74a99f98051c72444a +  $_GBC_383ea250751f448d88659167239f6676" id="C31e776daf88f40b0863e78a29aba83a3"/>
        </m:item>
        <m:item xlName="_GBC_c6e6ea3a29da413b8f0564bea9d263e9" concept="clcid-pte:ShaoShuGuDongQuanYi" label="少数股东权益" periodRef="上年同期期末数" mulRef="_GBC_57faea4e453e49ad93821b7dd6ce8bc4" unitRef="_GBC_cef77704267643d794145c73763360e5" addr="T1R33C14S1_1" formatStyle="Comma">
          <m:complexRule comparator="Eq" title="少数股东权益@上年同期期末数" test=" $_GBC_c64d00e83755454b959523fc682e1cab +  $_GBC_007653fd381a480694970176f77bf4be" id="Cf81d66ee32d1440483997046fdfa4444"/>
        </m:item>
        <m:item xlName="_GBC_ea26fd56f4fd4f329712e6a5b7454d5f" concept="clcid-pte:GuDongQuanYiHeJi" label="股东权益合计" periodRef="上年同期期末数" mulRef="_GBC_57faea4e453e49ad93821b7dd6ce8bc4" unitRef="_GBC_cef77704267643d794145c73763360e5" addr="T1R33C15S1_1" formatStyle="Comma">
          <m:complexRule comparator="Eq" title="股东权益合计@上年同期期末数" test=" $_GBC_860a27843b9e4ef492602c60eb2ea0db +  $_GBC_4a83597b27e245c08d1f646b62d9dbb5" id="C7c400e50e33e4cfdad4511005789595d"/>
        </m:item>
        <m:item xlName="_GBC_076a4a0998a840bab20f0ed83e5bab3d" concept="clcid-mr:GongSiFuZeRenXingMing" label="公司负责人姓名" binding="true"/>
        <m:item xlName="_GBC_5b21002df9e248fa81a6770579ce76cd" concept="clcid-mr:ZhuGuanKuaiJiGongZuoFuZeRenXingMing" label="主管会计工作负责人姓名" binding="true"/>
        <m:item xlName="_GBC_6a446d6543174dc48c72d440eefb0b71" concept="clcid-mr:KuaiJiJiGouFuZeRenXingMing" label="会计机构负责人姓名" binding="true"/>
        <m:placeholder xlName="_PLD_29644716f55d41ee8ad01c3888f6c71a" wordText="3．股份支付计入所有者权益的金额"/>
        <m:item xlName="_GBC_685af12ba508497a8b1b83601e5cdcb1" pickName="" concept="" periodRef="上年同期数" mulRef="_GBC_57faea4e453e49ad93821b7dd6ce8bc4" unitRef="_GBC_cef77704267643d794145c73763360e5" formatStyle="Comma">
          <m:extendConcept standardLabel="同一控制下企业合并影响实收资本 (或股本)" preferredLabel="同一控制下企业合并影响" referenceConcept="clcid-pte:GuFenZhiFuJiRuSuoYouZheQuanYiDeJinEDaoZhiShiShouZiBenHuoGuBenJingEBianDongJinE"/>
        </m:item>
        <m:item xlName="_GBC_3baaeb7385e74819a5486e29b83d7d3b" pickName="" concept="" periodRef="上年同期数" mulRef="_GBC_57faea4e453e49ad93821b7dd6ce8bc4" unitRef="_GBC_cef77704267643d794145c73763360e5" formatStyle="Comma">
          <m:extendConcept standardLabel="同一控制下企业合并影响资本公积" preferredLabel="同一控制下企业合并影响" referenceConcept="clcid-pte:GuFenZhiFuJiRuSuoYouZheQuanYiDeJinEDaoZhiZiBenGongJiBianDongJinE"/>
        </m:item>
        <m:item xlName="_GBC_29651a44c7c746a297f4630774d2214f" pickName="" concept="" periodRef="上年同期数" mulRef="_GBC_57faea4e453e49ad93821b7dd6ce8bc4" unitRef="_GBC_cef77704267643d794145c73763360e5" formatStyle="Comma">
          <m:extendConcept standardLabel="同一控制下企业合并影响其他综合收益" preferredLabel="同一控制下企业合并影响" referenceConcept="clcid-pte:GuFenZhiFuJiRuSuoYouZheQuanYiDeJinEDaoZhiQiTaZongHeShouYiBianDongJinE"/>
        </m:item>
        <m:item xlName="_GBC_6913cb3fba0549f981e776dea9b78c66" pickName="" concept="" periodRef="上年同期数" mulRef="_GBC_57faea4e453e49ad93821b7dd6ce8bc4" unitRef="_GBC_cef77704267643d794145c73763360e5" formatStyle="Comma">
          <m:extendConcept standardLabel="同一控制下企业合并影响专项储备" preferredLabel="同一控制下企业合并影响" referenceConcept="clcid-pte:GuFenZhiFuJiRuSuoYouZheQuanYiDeJinEDaoZhiZhuanXiangChuBeiBianDongJinE"/>
        </m:item>
        <m:item xlName="_GBC_82f4522a80ce476f87233c9071f4b68a" pickName="" concept="" periodRef="上年同期数" mulRef="_GBC_57faea4e453e49ad93821b7dd6ce8bc4" unitRef="_GBC_cef77704267643d794145c73763360e5" formatStyle="Comma">
          <m:extendConcept standardLabel="同一控制下企业合并影响盈余公积" preferredLabel="同一控制下企业合并影响" referenceConcept="clcid-pte:GuFenZhiFuJiRuSuoYouZheQuanYiDeJinEDaoZhiYingYuGongJiBianDongJinE"/>
        </m:item>
        <m:item xlName="_GBC_f50f67a69f17469e909696d112bb5be8" pickName="" concept="" periodRef="上年同期数" mulRef="_GBC_57faea4e453e49ad93821b7dd6ce8bc4" unitRef="_GBC_cef77704267643d794145c73763360e5" formatStyle="Comma">
          <m:extendConcept standardLabel="同一控制下企业合并影响未分配利润" preferredLabel="同一控制下企业合并影响" referenceConcept="clcid-pte:GuFenZhiFuJiRuSuoYouZheQuanYiDeJinEDaoZhiWeiFenPeiLiRunBianDongJinE"/>
        </m:item>
        <m:item xlName="_GBC_06f86bcb859140a8ac6960181a8bc473" pickName="" concept="" periodRef="上年同期数" mulRef="_GBC_57faea4e453e49ad93821b7dd6ce8bc4" unitRef="_GBC_cef77704267643d794145c73763360e5" formatStyle="Comma">
          <m:extendConcept standardLabel="同一控制下企业合并影响少数股东权益" preferredLabel="同一控制下企业合并影响" referenceConcept="clcid-pte:GuFenZhiFuJiRuSuoYouZheQuanYiDeJinEDaoZhiShaoShuGuDongQuanYiBianDongJinE"/>
        </m:item>
        <m:item xlName="_GBC_819d47fdc5cb490a95c4ea689885c0b5" pickName="" concept="" periodRef="上年同期数" mulRef="_GBC_57faea4e453e49ad93821b7dd6ce8bc4" unitRef="_GBC_cef77704267643d794145c73763360e5" formatStyle="Comma">
          <m:extendConcept standardLabel="同一控制下企业合并影响所有者权益合计" preferredLabel="同一控制下企业合并影响" referenceConcept="clcid-pte:GuFenZhiFuJiRuSuoYouZheQuanYiDeJinEDaoZhiGuDongQuanYiHeJiBianDongJinE"/>
        </m:item>
      </m:region>
      <m:region xlName="_GBC_24560eea01804b8b9d3678736eb60ca8" title="母公司所有者权益变动表&#10;" mandatory="false" helpId="112001001" matrix="true" matrixTablePrefix="母公司所有者权益变动表" keyCode="2" keyAction="42">
        <m:item xlName="_GBC_048773409e614c6bb753000b028316a5" indRef="277" concept="clcid-ci-ar:DanWeiMuGongSiGuDongQuanYiDiaoJieBiao" label="单位：母公司股东权益调节表" selectOptions="_buildInScales" controlType="Combobox" cellType="Scale"/>
        <m:item xlName="_GBC_5214b7a188334da286fc3038d017d072" indRef="278" concept="clcid-ci-ar:BiZhongMuGongSiGuDongQuanYiDiaoJieBiao" label="币种：母公司股东权益调节表" selectOptions="_buildInISO4217" controlType="Combobox" cellType="Measure"/>
        <m:placeholder xlName="_PLD_6243181199ca48faaab1b52ea7b6f562" wordText="项目" addr="T2R0C0S3_1"/>
        <m:placeholder xlName="_PLD_53ebc36a4faa4485960520df843f0c63" wordText="2022年度" addr="T2R0C1S1_11"/>
        <m:placeholder xlName="_PLD_d42b0ce5c44e4777bd36491652f20dd8" wordText="实收资本 (或股本)" addr="T2R1C1S2_1"/>
        <m:placeholder xlName="_PLD_2b96b9233b354a859329aa59fac6fc9e" wordText="其他权益工具" addr="T2R1C2S1_3"/>
        <m:placeholder xlName="_PLD_dafb11707213467d9f285bde7429767a" wordText="资本公积" addr="T2R1C5S2_1"/>
        <m:placeholder xlName="_PLD_2fb702eaa01c41839715d0f477a28608" wordText="减：库存股" addr="T2R1C6S2_1"/>
        <m:placeholder xlName="_PLD_01fd07c61bdc4289ad848770e21829f0" wordText="其他综合收益" addr="T2R1C7S2_1"/>
        <m:placeholder xlName="_PLD_90a7206226784441ae3a059bd6e2aeb9" wordText="专项储备" addr="T2R1C8S2_1"/>
        <m:placeholder xlName="_PLD_e9a70df1813948df997635772bea7de3" wordText="盈余公积" addr="T2R1C9S2_1"/>
        <m:placeholder xlName="_PLD_9b2be5c2b4a3447c85cf695b1da440fa" wordText="未分配利润" addr="T2R1C10S2_1"/>
        <m:placeholder xlName="_PLD_61dd0378fbe645dfb87cfecfbc846206" wordText="所有者权益合计" addr="T2R1C11S2_1"/>
        <m:placeholder xlName="_PLD_506dd395f17d4bea92c50a0850471ea4" wordText="优先股" addr="T2R2C2S1_1"/>
        <m:placeholder xlName="_PLD_d66ebd59f659426db31ba0d488ae47d0" wordText="永续债" addr="T2R2C3S1_1"/>
        <m:placeholder xlName="_PLD_997e05d9124249eeb1a10ac094efcb41" wordText="其他" addr="T2R2C4S1_1"/>
        <m:placeholder xlName="_PLD_08f8c5f19f2b42f7ae650f62c6878570" wordText="一、上年年末余额" addr="T2R3C0S1_1"/>
        <m:item xlName="_GBC_583d333ffbc249ceac96c628209200e7" concept="clcid-pte:GuBen" label="股本" periodRef="上年度期末数" mulRef="_GBC_048773409e614c6bb753000b028316a5" unitRef="_GBC_5214b7a188334da286fc3038d017d072" addr="T2R3C1S1_1" formatStyle="Comma">
          <m:axisValue occRef="调整前的值"/>
          <m:axisValue occRef="母公司"/>
        </m:item>
        <m:item xlName="_GBC_a7f6d469ff1042819a0e01511f46db24" concept="clcid-pte:QiTaQuanYiGongJuQiZhongYouXianGu" label="其他权益工具-其中：优先股" periodRef="上年度期末数" mulRef="_GBC_048773409e614c6bb753000b028316a5" unitRef="_GBC_5214b7a188334da286fc3038d017d072" addr="T2R3C2S1_1" formatStyle="Comma">
          <m:axisValue occRef="调整前的值"/>
          <m:axisValue occRef="母公司"/>
        </m:item>
        <m:item xlName="_GBC_2a0c0d0793c647bab83a31cb72c08f75" concept="clcid-pte:QiTaQuanYiGongJuYongXuZhai" label="其他权益工具-永续债" periodRef="上年度期末数" mulRef="_GBC_048773409e614c6bb753000b028316a5" unitRef="_GBC_5214b7a188334da286fc3038d017d072" addr="T2R3C3S1_1" formatStyle="Comma">
          <m:axisValue occRef="调整前的值"/>
          <m:axisValue occRef="母公司"/>
        </m:item>
        <m:item xlName="_GBC_0d141c35dd6f4314b4d372f0e83a2f8d" concept="clcid-pte:QiTaQuanYiGongJuQiTa" label="其他权益工具-其他" periodRef="上年度期末数" mulRef="_GBC_048773409e614c6bb753000b028316a5" unitRef="_GBC_5214b7a188334da286fc3038d017d072" addr="T2R3C4S1_1" formatStyle="Comma">
          <m:axisValue occRef="调整前的值"/>
          <m:axisValue occRef="母公司"/>
        </m:item>
        <m:item xlName="_GBC_51adbc941775431d99d40f010b1d7e7f" concept="clcid-pte:ZiBenGongJi" label="资本公积" periodRef="上年度期末数" mulRef="_GBC_048773409e614c6bb753000b028316a5" unitRef="_GBC_5214b7a188334da286fc3038d017d072" addr="T2R3C5S1_1" formatStyle="Comma">
          <m:axisValue occRef="调整前的值"/>
          <m:axisValue occRef="母公司"/>
        </m:item>
        <m:item xlName="_GBC_9ed2e6479f584ca89c2144f657d622a8" concept="clcid-pte:KuCunGu" label="库存股" periodRef="上年度期末数" mulRef="_GBC_048773409e614c6bb753000b028316a5" unitRef="_GBC_5214b7a188334da286fc3038d017d072" addr="T2R3C6S1_1" baseScale="-1" formatStyle="Comma">
          <m:axisValue occRef="调整前的值"/>
          <m:axisValue occRef="母公司"/>
        </m:item>
        <m:item xlName="_GBC_3a76a516a0e9486b9ba08b129b851c40" concept="clcid-pte:QiTaZongHeShouYiZiChanFuZhaiBiaoXiangMu" label="其他综合收益（资产负债表项目）" periodRef="上年度期末数" mulRef="_GBC_048773409e614c6bb753000b028316a5" unitRef="_GBC_5214b7a188334da286fc3038d017d072" addr="T2R3C7S1_1" formatStyle="Comma">
          <m:axisValue occRef="调整前的值"/>
          <m:axisValue occRef="母公司"/>
        </m:item>
        <m:item xlName="_GBC_c2936a53d61d40e0bfd7b0d5a6d9df8d" concept="clcid-pte:ZhuanXiangChuBei" label="专项储备" periodRef="上年度期末数" mulRef="_GBC_048773409e614c6bb753000b028316a5" unitRef="_GBC_5214b7a188334da286fc3038d017d072" addr="T2R3C8S1_1" formatStyle="Comma">
          <m:axisValue occRef="调整前的值"/>
          <m:axisValue occRef="母公司"/>
        </m:item>
        <m:item xlName="_GBC_e182d0452ddb44d9bb4260c85daf5201" concept="clcid-pte:YingYuGongJi" label="盈余公积" periodRef="上年度期末数" mulRef="_GBC_048773409e614c6bb753000b028316a5" unitRef="_GBC_5214b7a188334da286fc3038d017d072" addr="T2R3C9S1_1" formatStyle="Comma">
          <m:axisValue occRef="调整前的值"/>
          <m:axisValue occRef="母公司"/>
        </m:item>
        <m:item xlName="_GBC_f8d35e7139554ee49bf49207c87b7f16" concept="clcid-pte:WeiFenPeiLiRun" label="未分配利润" periodRef="上年度期末数" mulRef="_GBC_048773409e614c6bb753000b028316a5" unitRef="_GBC_5214b7a188334da286fc3038d017d072" addr="T2R3C10S1_1" formatStyle="Comma">
          <m:axisValue occRef="调整前的值"/>
          <m:axisValue occRef="母公司"/>
        </m:item>
        <m:item xlName="_GBC_e798b7b189914bb59f0329054faf5f1e" concept="clcid-pte:GuDongQuanYiHeJi" label="股东权益合计" periodRef="上年度期末数" mulRef="_GBC_048773409e614c6bb753000b028316a5" unitRef="_GBC_5214b7a188334da286fc3038d017d072" addr="T2R3C11S1_1" formatStyle="Comma">
          <m:axisValue occRef="调整前的值"/>
          <m:axisValue occRef="母公司"/>
        </m:item>
        <m:placeholder xlName="_PLD_f977aa291b254801929edbd8e09eff6f" wordText="加：会计政策变更" addr="T2R4C0S1_1"/>
        <m:item xlName="_GBC_6936c9d292c54d9eaf43914b7734867a" concept="clcid-pte:KuaiJiZhengCeBianGengDaoZhiShiShouZiBenHuoGuBenJingEBianDongJinE" label="会计政策变更导致实收资本（或股本）净额变动金额" periodRef="本期期初数" mulRef="_GBC_048773409e614c6bb753000b028316a5" unitRef="_GBC_5214b7a188334da286fc3038d017d072" addr="T2R4C1S1_1" formatStyle="Comma">
          <m:axisValue occRef="母公司"/>
        </m:item>
        <m:item xlName="_GBC_79671f81f107492ba830eb514c2312ad" concept="clcid-pte:HuiJiZhengCeBianGengDaoZhiYouXianGuBianDongJinE" label="会计政策变更导致优先股变动金额" periodRef="本期期初数" mulRef="_GBC_048773409e614c6bb753000b028316a5" unitRef="_GBC_5214b7a188334da286fc3038d017d072" addr="T2R4C2S1_1" formatStyle="Comma">
          <m:axisValue occRef="母公司"/>
        </m:item>
        <m:item xlName="_GBC_0d7b7feb214f4f45b166823fcf6e1b87" concept="clcid-pte:HuiJiZhengCeBianGengDaoZhiYongXuZhaiBianDongJinE" label="会计政策变更导致永续债变动金额" periodRef="本期期初数" mulRef="_GBC_048773409e614c6bb753000b028316a5" unitRef="_GBC_5214b7a188334da286fc3038d017d072" addr="T2R4C3S1_1" formatStyle="Comma">
          <m:axisValue occRef="母公司"/>
        </m:item>
        <m:item xlName="_GBC_24311878313744a8a7f34fc6c6df8530" concept="clcid-pte:HuiJiZhengCeBianGengDaoZhiQiTaQuanYiGongJuZhongDeQiTaBianDongJinE" label="会计政策变更导致其他权益工具中的其他变动金额" periodRef="本期期初数" mulRef="_GBC_048773409e614c6bb753000b028316a5" unitRef="_GBC_5214b7a188334da286fc3038d017d072" addr="T2R4C4S1_1" formatStyle="Comma">
          <m:axisValue occRef="母公司"/>
        </m:item>
        <m:item xlName="_GBC_2a39c1db54d947af88dcefcf007b6371" concept="clcid-pte:KuaiJiZhengCeBianGengDaoZhiZiBenGongJiBianDongJinE" label="会计政策变更导致资本公积变动金额" periodRef="本期期初数" mulRef="_GBC_048773409e614c6bb753000b028316a5" unitRef="_GBC_5214b7a188334da286fc3038d017d072" addr="T2R4C5S1_1" formatStyle="Comma">
          <m:axisValue occRef="母公司"/>
        </m:item>
        <m:item xlName="_GBC_072cb2558f88475c9d5638e0678b6be9" concept="clcid-pte:KuaiJiZhengCeBianGengDaoZhiKuCunGuBianDongJinE" label="会计政策变更导致库存股变动金额" periodRef="本期期初数" mulRef="_GBC_048773409e614c6bb753000b028316a5" unitRef="_GBC_5214b7a188334da286fc3038d017d072" addr="T2R4C6S1_1" baseScale="-1" formatStyle="Comma">
          <m:axisValue occRef="母公司"/>
        </m:item>
        <m:item xlName="_GBC_fc88583f97da4eb7970e3a6b48e6cdc0" concept="clcid-pte:HuiJiZhengCeBianGengDaoZhiQiTaZongHeShouYiBianDongJinE" label="会计政策变更导致其他综合收益变动金额" periodRef="本期期初数" mulRef="_GBC_048773409e614c6bb753000b028316a5" unitRef="_GBC_5214b7a188334da286fc3038d017d072" addr="T2R4C7S1_1" formatStyle="Comma">
          <m:axisValue occRef="母公司"/>
        </m:item>
        <m:item xlName="_GBC_5ae8de50d93145608ee03d01001871e0" concept="clcid-pte:KuaiJiZhengCeBianGengDaoZhiZhuanXiangChuBeiBianDongJinE" label="会计政策变更导致专项储备变动金额" periodRef="本期期初数" mulRef="_GBC_048773409e614c6bb753000b028316a5" unitRef="_GBC_5214b7a188334da286fc3038d017d072" addr="T2R4C8S1_1" formatStyle="Comma">
          <m:axisValue occRef="母公司"/>
        </m:item>
        <m:item xlName="_GBC_41e30fbe1428420e8f76e33dfcfc5c24" concept="clcid-pte:KuaiJiZhengCeBianGengDaoZhiYingYuGongJiBianDongJinE" label="会计政策变更导致盈余公积变动金额" periodRef="本期期初数" mulRef="_GBC_048773409e614c6bb753000b028316a5" unitRef="_GBC_5214b7a188334da286fc3038d017d072" addr="T2R4C9S1_1" formatStyle="Comma">
          <m:axisValue occRef="母公司"/>
        </m:item>
        <m:item xlName="_GBC_6377093d188842298a641b07370458af" concept="clcid-pte:KuaiJiZhengCeBianGengDaoZhiWeiFenPeiLiRunBianDongJinE" label="会计政策变更导致未分配利润变动金额" periodRef="本期期初数" mulRef="_GBC_048773409e614c6bb753000b028316a5" unitRef="_GBC_5214b7a188334da286fc3038d017d072" addr="T2R4C10S1_1" formatStyle="Comma">
          <m:axisValue occRef="母公司"/>
        </m:item>
        <m:item xlName="_GBC_bdddf6356795461fa00dde53f549eee2" concept="clcid-pte:KuaiJiZhengCeBianGengDaoZhiGuDongQuanYiHeJiBianDongJinE" label="会计政策变更导致股东权益合计变动金额" periodRef="本期期初数" mulRef="_GBC_048773409e614c6bb753000b028316a5" unitRef="_GBC_5214b7a188334da286fc3038d017d072" addr="T2R4C11S1_1" formatStyle="Comma">
          <m:axisValue occRef="母公司"/>
        </m:item>
        <m:placeholder xlName="_PLD_1dcd3d26f66745c0b48a5fac832ef867" wordText="前期差错更正" indent="200" addr="T2R5C0S1_1"/>
        <m:item xlName="_GBC_ee6b3339506e46208a01654a3c6d65fd" concept="clcid-pte:QianQiChaCuoGengZhengDaoZhiShiShouZiBenHuoGuBenJingEBianDongJinE" label="前期差错更正导致实收资本（或股本）净额变动金额" periodRef="本期期初数" mulRef="_GBC_048773409e614c6bb753000b028316a5" unitRef="_GBC_5214b7a188334da286fc3038d017d072" addr="T2R5C1S1_1" formatStyle="Comma">
          <m:axisValue occRef="母公司"/>
        </m:item>
        <m:item xlName="_GBC_b2e428f0f9004626a841d3c758973d17" concept="clcid-pte:QianQiChaCuoGengZhengDaoZhiYouXianGuBianDongJinE" label="前期差错更正导致优先股变动金额" periodRef="本期期初数" mulRef="_GBC_048773409e614c6bb753000b028316a5" unitRef="_GBC_5214b7a188334da286fc3038d017d072" addr="T2R5C2S1_1" formatStyle="Comma">
          <m:axisValue occRef="母公司"/>
        </m:item>
        <m:item xlName="_GBC_a54acd52f7e741d39ca7526b1526e1a0" concept="clcid-pte:QianQiChaCuoGengZhengDaoZhiYongXuZhaiBianDongJinE" label="前期差错更正导致永续债变动金额" periodRef="本期期初数" mulRef="_GBC_048773409e614c6bb753000b028316a5" unitRef="_GBC_5214b7a188334da286fc3038d017d072" addr="T2R5C3S1_1" formatStyle="Comma">
          <m:axisValue occRef="母公司"/>
        </m:item>
        <m:item xlName="_GBC_9a26486ef2f14a32a03eed6f89265d0e" concept="clcid-pte:QianQiChaCuoGengZhengDaoZhiQiTaQuanYiGongJuZhongDeQiTaBianDongJinE" label="前期差错更正导致其他权益工具中的其他变动金额" periodRef="本期期初数" mulRef="_GBC_048773409e614c6bb753000b028316a5" unitRef="_GBC_5214b7a188334da286fc3038d017d072" addr="T2R5C4S1_1" formatStyle="Comma">
          <m:axisValue occRef="母公司"/>
        </m:item>
        <m:item xlName="_GBC_137858386bd547c99b325998277b41c5" concept="clcid-pte:QianQiChaCuoGengZhengDaoZhiZiBenGongJiBianDongJinE" label="前期差错更正导致资本公积变动金额" periodRef="本期期初数" mulRef="_GBC_048773409e614c6bb753000b028316a5" unitRef="_GBC_5214b7a188334da286fc3038d017d072" addr="T2R5C5S1_1" formatStyle="Comma">
          <m:axisValue occRef="母公司"/>
        </m:item>
        <m:item xlName="_GBC_784924b9f9ac40eaaf013ce6ce342018" concept="clcid-pte:QianQiChaCuoGengZhengDaoZhiKuCunGuBianDongJinE" label="前期差错更正导致库存股变动金额" periodRef="本期期初数" mulRef="_GBC_048773409e614c6bb753000b028316a5" unitRef="_GBC_5214b7a188334da286fc3038d017d072" addr="T2R5C6S1_1" baseScale="-1" formatStyle="Comma">
          <m:axisValue occRef="母公司"/>
        </m:item>
        <m:item xlName="_GBC_3860309cbc2f47409baf0f6f13b6425d" concept="clcid-pte:QianQiChaCuoGengZhengDaoZhiQiTaZongHeShouYiBianDongJinE" label="前期差错更正导致其他综合收益变动金额" periodRef="本期期初数" mulRef="_GBC_048773409e614c6bb753000b028316a5" unitRef="_GBC_5214b7a188334da286fc3038d017d072" addr="T2R5C7S1_1" formatStyle="Comma">
          <m:axisValue occRef="母公司"/>
        </m:item>
        <m:item xlName="_GBC_86b27c984e974efc931e5427e93db379" concept="clcid-pte:QianQiChaCuoGengZhengDaoZhiZhuanXiangChuBeiBianDongJinE" label="前期差错更正导致专项储备变动金额" periodRef="本期期初数" mulRef="_GBC_048773409e614c6bb753000b028316a5" unitRef="_GBC_5214b7a188334da286fc3038d017d072" addr="T2R5C8S1_1" formatStyle="Comma">
          <m:axisValue occRef="母公司"/>
        </m:item>
        <m:item xlName="_GBC_37232f263b5a48019fbe2e75dbb24778" concept="clcid-pte:QianQiChaCuoGengZhengDaoZhiYingYuGongJiBianDongJinE" label="前期差错更正导致盈余公积变动金额" periodRef="本期期初数" mulRef="_GBC_048773409e614c6bb753000b028316a5" unitRef="_GBC_5214b7a188334da286fc3038d017d072" addr="T2R5C9S1_1" formatStyle="Comma">
          <m:axisValue occRef="母公司"/>
        </m:item>
        <m:item xlName="_GBC_14caa941a474470fa4ca2fffb8667aaf" concept="clcid-pte:QianQiChaCuoGengZhengDaoZhiWeiFenPeiLiRunBianDongJinE" label="前期差错更正导致未分配利润变动金额" periodRef="本期期初数" mulRef="_GBC_048773409e614c6bb753000b028316a5" unitRef="_GBC_5214b7a188334da286fc3038d017d072" addr="T2R5C10S1_1" formatStyle="Comma">
          <m:axisValue occRef="母公司"/>
        </m:item>
        <m:item xlName="_GBC_b26149d92d2b4c6a9c604f85f9d09476" concept="clcid-pte:QianQiChaCuoGengZhengDaoZhiGuDongQuanYiHeJiBianDongJinE" label="前期差错更正导致股东权益合计变动金额" periodRef="本期期初数" mulRef="_GBC_048773409e614c6bb753000b028316a5" unitRef="_GBC_5214b7a188334da286fc3038d017d072" addr="T2R5C11S1_1" formatStyle="Comma">
          <m:axisValue occRef="母公司"/>
        </m:item>
        <m:placeholder xlName="_PLD_1e1d4d884e6e401b8c40d08e9d6c5d32" wordText="其他" indent="200" addr="T2R6C0S1_1"/>
        <m:item xlName="_GBC_d53c751726464cfe83a47b7159657f5e" concept="clcid-pte:QiTaZhuiSuTiaoZhengDaoZhiShiShouZiBenBianDongJinE" label="实收资本变动金额（其他追溯调整）" periodRef="本期期初数" mulRef="_GBC_048773409e614c6bb753000b028316a5" unitRef="_GBC_5214b7a188334da286fc3038d017d072" addr="T2R6C1S1_1" formatStyle="Comma">
          <m:axisValue occRef="母公司"/>
        </m:item>
        <m:item xlName="_GBC_97a435280c994beab51290714820242a" concept="clcid-pte:YouXianGuBianDongJinEQiTaZhuiSuDiaoZheng" label="优先股变动金额（其他追溯调整）" periodRef="本期期初数" mulRef="_GBC_048773409e614c6bb753000b028316a5" unitRef="_GBC_5214b7a188334da286fc3038d017d072" addr="T2R6C2S1_1" formatStyle="Comma">
          <m:axisValue occRef="母公司"/>
        </m:item>
        <m:item xlName="_GBC_f61473621eee44fb9efe1a12d8dcfd3f" concept="clcid-pte:YongXuZhaiBianDongJinEQiTaZhuiSuDiaoZheng" label="永续债变动金额（其他追溯调整）" periodRef="本期期初数" mulRef="_GBC_048773409e614c6bb753000b028316a5" unitRef="_GBC_5214b7a188334da286fc3038d017d072" addr="T2R6C3S1_1" formatStyle="Comma">
          <m:axisValue occRef="母公司"/>
        </m:item>
        <m:item xlName="_GBC_9daf96e7466e43c9bd477f768c531456" concept="clcid-pte:QiTaQuanYiGongJuZhongDeQiTaBianDongJinEQiTaZhuiSuDiaoZheng" label="其他权益工具中的其他变动金额（其他追溯调整）" periodRef="本期期初数" mulRef="_GBC_048773409e614c6bb753000b028316a5" unitRef="_GBC_5214b7a188334da286fc3038d017d072" addr="T2R6C4S1_1" formatStyle="Comma">
          <m:axisValue occRef="母公司"/>
        </m:item>
        <m:item xlName="_GBC_2f4d3ea28b4240229840933077713958" concept="clcid-pte:QiTaZhuiSuTiaoZhengDaoZhiZiBenGongJiBianDongJinE" label="资本公积变动金额（其他追溯调整）" periodRef="本期期初数" mulRef="_GBC_048773409e614c6bb753000b028316a5" unitRef="_GBC_5214b7a188334da286fc3038d017d072" addr="T2R6C5S1_1" formatStyle="Comma">
          <m:axisValue occRef="母公司"/>
        </m:item>
        <m:item xlName="_GBC_ddbf7964893a46dc9400f3f7a010644f" concept="clcid-pte:QiTaZhuiSuTiaoZhengDaoZhiKuCunGuBianDongJinE" label="库存股变动金额（其他追溯调整）" periodRef="本期期初数" mulRef="_GBC_048773409e614c6bb753000b028316a5" unitRef="_GBC_5214b7a188334da286fc3038d017d072" addr="T2R6C6S1_1" baseScale="-1" formatStyle="Comma">
          <m:axisValue occRef="母公司"/>
        </m:item>
        <m:item xlName="_GBC_0cd35894243f40679daa30afb7b1073d" concept="clcid-pte:QiTaZongHeShouYiBianDongJinEQiTaZhuiSuDiaoZheng" label="其他综合收益变动金额（其他追溯调整）" periodRef="本期期初数" mulRef="_GBC_048773409e614c6bb753000b028316a5" unitRef="_GBC_5214b7a188334da286fc3038d017d072" addr="T2R6C7S1_1" formatStyle="Comma">
          <m:axisValue occRef="母公司"/>
        </m:item>
        <m:item xlName="_GBC_91af8974a3264fdc89e0a9f707443a16" concept="clcid-pte:QiTaZhuiSuTiaoZhengDaoZhiZhuanXiangChuBeiBianDongJinE" label="专项储备变动金额（其他追溯调整）" periodRef="本期期初数" mulRef="_GBC_048773409e614c6bb753000b028316a5" unitRef="_GBC_5214b7a188334da286fc3038d017d072" addr="T2R6C8S1_1" formatStyle="Comma">
          <m:axisValue occRef="母公司"/>
        </m:item>
        <m:item xlName="_GBC_3168af887db04734bbf493dca4f2e37f" concept="clcid-pte:QiTaZhuiSuTiaoZhengDaoZhiYingYuGongJiBianDongJinE" label="盈余公积变动金额（其他追溯调整）" periodRef="本期期初数" mulRef="_GBC_048773409e614c6bb753000b028316a5" unitRef="_GBC_5214b7a188334da286fc3038d017d072" addr="T2R6C9S1_1" formatStyle="Comma">
          <m:axisValue occRef="母公司"/>
        </m:item>
        <m:item xlName="_GBC_eda7952e114147678ca1499015d63826" concept="clcid-pte:QiTaZhuiSuTiaoZhengDaoZhiWeiFenPeiLiRunBianDongJinE" label="未分配利润变动金额（其他追溯调整）" periodRef="本期期初数" mulRef="_GBC_048773409e614c6bb753000b028316a5" unitRef="_GBC_5214b7a188334da286fc3038d017d072" addr="T2R6C10S1_1" formatStyle="Comma">
          <m:axisValue occRef="母公司"/>
        </m:item>
        <m:item xlName="_GBC_82716933795e49e9adeced8e2d1751d8" concept="clcid-pte:QiTaZhuiSuTiaoZhengDaoZhiGuDongQuanYiBianDongJinE" label="股东权益变动金额（其他追溯调整）" periodRef="本期期初数" mulRef="_GBC_048773409e614c6bb753000b028316a5" unitRef="_GBC_5214b7a188334da286fc3038d017d072" addr="T2R6C11S1_1" formatStyle="Comma">
          <m:axisValue occRef="母公司"/>
        </m:item>
        <m:placeholder xlName="_PLD_abc6effbbaad4f92a93b112da199425f" wordText="二、本年期初余额" addr="T2R7C0S1_1"/>
        <m:item xlName="_GBC_ba34079e60d94b358c4ae8930467139a" concept="clcid-pte:GuBen" label="股本" periodRef="本期期初数" mulRef="_GBC_048773409e614c6bb753000b028316a5" unitRef="_GBC_5214b7a188334da286fc3038d017d072" addr="T2R7C1S1_1" formatStyle="Comma">
          <m:complexRule comparator="Eq" title="母公司股本@本期期初数" test=" $_GBC_583d333ffbc249ceac96c628209200e7 +  $_GBC_6936c9d292c54d9eaf43914b7734867a +  $_GBC_ee6b3339506e46208a01654a3c6d65fd +  $_GBC_d53c751726464cfe83a47b7159657f5e" id="C36530b45b306424da5289597d0d4a5cf"/>
          <m:axisValue occRef="母公司"/>
        </m:item>
        <m:item xlName="_GBC_6f8ba20835314d84a3a10a005dccec61" concept="clcid-pte:QiTaQuanYiGongJuQiZhongYouXianGu" label="其他权益工具-其中：优先股" periodRef="本期期初数" mulRef="_GBC_048773409e614c6bb753000b028316a5" unitRef="_GBC_5214b7a188334da286fc3038d017d072" addr="T2R7C2S1_1" formatStyle="Comma">
          <m:complexRule comparator="Eq" title="母公司其他权益工具-其中：优先股@本期期初数" test=" $_GBC_a7f6d469ff1042819a0e01511f46db24 +  $_GBC_79671f81f107492ba830eb514c2312ad +  $_GBC_b2e428f0f9004626a841d3c758973d17 +  $_GBC_97a435280c994beab51290714820242a" id="C0d56876495794502a75e27390108e9cb"/>
          <m:axisValue occRef="母公司"/>
        </m:item>
        <m:item xlName="_GBC_2e73898f386143029ef2dbb6cb8fb860" concept="clcid-pte:QiTaQuanYiGongJuYongXuZhai" label="其他权益工具-永续债" periodRef="本期期初数" mulRef="_GBC_048773409e614c6bb753000b028316a5" unitRef="_GBC_5214b7a188334da286fc3038d017d072" addr="T2R7C3S1_1" formatStyle="Comma">
          <m:complexRule comparator="Eq" title="母公司其他权益工具-永续债@本期期初数" test=" $_GBC_2a0c0d0793c647bab83a31cb72c08f75 +  $_GBC_0d7b7feb214f4f45b166823fcf6e1b87 +  $_GBC_a54acd52f7e741d39ca7526b1526e1a0 +  $_GBC_f61473621eee44fb9efe1a12d8dcfd3f" id="C653a5d17ff1d4d7fb976989fff05dfc7"/>
          <m:axisValue occRef="母公司"/>
        </m:item>
        <m:item xlName="_GBC_377eab080a5e4f44ae9e2499dd4d0ae9" concept="clcid-pte:QiTaQuanYiGongJuQiTa" label="其他权益工具-其他" periodRef="本期期初数" mulRef="_GBC_048773409e614c6bb753000b028316a5" unitRef="_GBC_5214b7a188334da286fc3038d017d072" addr="T2R7C4S1_1" formatStyle="Comma">
          <m:complexRule comparator="Eq" title="母公司其他权益工具-其他@本期期初数" test=" $_GBC_0d141c35dd6f4314b4d372f0e83a2f8d +  $_GBC_24311878313744a8a7f34fc6c6df8530 +  $_GBC_9a26486ef2f14a32a03eed6f89265d0e +  $_GBC_9daf96e7466e43c9bd477f768c531456" id="Cd732f9ae3a674738b503f69c0e35015e"/>
          <m:axisValue occRef="母公司"/>
        </m:item>
        <m:item xlName="_GBC_2545cc95ae014d3abcb7f9df116332b3" concept="clcid-pte:ZiBenGongJi" label="资本公积" periodRef="本期期初数" mulRef="_GBC_048773409e614c6bb753000b028316a5" unitRef="_GBC_5214b7a188334da286fc3038d017d072" addr="T2R7C5S1_1" formatStyle="Comma">
          <m:complexRule comparator="Eq" title="母公司资本公积@本期期初数" test=" $_GBC_51adbc941775431d99d40f010b1d7e7f +  $_GBC_2a39c1db54d947af88dcefcf007b6371 +  $_GBC_137858386bd547c99b325998277b41c5 +  $_GBC_2f4d3ea28b4240229840933077713958" id="C8f76daa10cd44cc9a0b447b12bd7ab40"/>
          <m:axisValue occRef="母公司"/>
        </m:item>
        <m:item xlName="_GBC_2a643e284053411ab5c3910672f604ff" concept="clcid-pte:KuCunGu" label="库存股" periodRef="本期期初数" mulRef="_GBC_048773409e614c6bb753000b028316a5" unitRef="_GBC_5214b7a188334da286fc3038d017d072" addr="T2R7C6S1_1" baseScale="-1" formatStyle="Comma">
          <m:complexRule comparator="Eq" title="母公司库存股@本期期初数" test=" $_GBC_9ed2e6479f584ca89c2144f657d622a8 +  $_GBC_072cb2558f88475c9d5638e0678b6be9 +  $_GBC_784924b9f9ac40eaaf013ce6ce342018 +  $_GBC_ddbf7964893a46dc9400f3f7a010644f" id="C2a09503d9fe2418581c1edfe04a9f8a5"/>
          <m:axisValue occRef="母公司"/>
        </m:item>
        <m:item xlName="_GBC_184c4292b636416f9e2bf9ad64beec96" concept="clcid-pte:QiTaZongHeShouYiZiChanFuZhaiBiaoXiangMu" label="其他综合收益（资产负债表项目）" periodRef="本期期初数" mulRef="_GBC_048773409e614c6bb753000b028316a5" unitRef="_GBC_5214b7a188334da286fc3038d017d072" addr="T2R7C7S1_1" formatStyle="Comma">
          <m:complexRule comparator="Eq" title="母公司其他综合收益（资产负债表项目）@本期期初数" test=" $_GBC_3a76a516a0e9486b9ba08b129b851c40 +  $_GBC_fc88583f97da4eb7970e3a6b48e6cdc0 +  $_GBC_3860309cbc2f47409baf0f6f13b6425d +  $_GBC_0cd35894243f40679daa30afb7b1073d" id="C9f5d38dbc79845f684177f7df7d158fe"/>
          <m:axisValue occRef="母公司"/>
        </m:item>
        <m:item xlName="_GBC_2e855fe5876c4d6c90750ac45e2ed745" concept="clcid-pte:ZhuanXiangChuBei" label="专项储备" periodRef="本期期初数" mulRef="_GBC_048773409e614c6bb753000b028316a5" unitRef="_GBC_5214b7a188334da286fc3038d017d072" addr="T2R7C8S1_1" formatStyle="Comma">
          <m:complexRule comparator="Eq" title="母公司专项储备@本期期初数" test=" $_GBC_c2936a53d61d40e0bfd7b0d5a6d9df8d +  $_GBC_5ae8de50d93145608ee03d01001871e0 +  $_GBC_86b27c984e974efc931e5427e93db379 +  $_GBC_91af8974a3264fdc89e0a9f707443a16" id="C967b77ae5adf47c387cf02ea22c43bc8"/>
          <m:axisValue occRef="母公司"/>
        </m:item>
        <m:item xlName="_GBC_3b4c95f045b541dc91650112461fd0b6" concept="clcid-pte:YingYuGongJi" label="盈余公积" periodRef="本期期初数" mulRef="_GBC_048773409e614c6bb753000b028316a5" unitRef="_GBC_5214b7a188334da286fc3038d017d072" addr="T2R7C9S1_1" formatStyle="Comma">
          <m:complexRule comparator="Eq" title="母公司盈余公积@本期期初数" test=" $_GBC_e182d0452ddb44d9bb4260c85daf5201 +  $_GBC_41e30fbe1428420e8f76e33dfcfc5c24 +  $_GBC_37232f263b5a48019fbe2e75dbb24778 +  $_GBC_3168af887db04734bbf493dca4f2e37f" id="C4ab247fb08364c7da30d36330323ac4b"/>
          <m:axisValue occRef="母公司"/>
        </m:item>
        <m:item xlName="_GBC_b009218c639445918155256142364f34" concept="clcid-pte:WeiFenPeiLiRun" label="未分配利润" periodRef="本期期初数" mulRef="_GBC_048773409e614c6bb753000b028316a5" unitRef="_GBC_5214b7a188334da286fc3038d017d072" addr="T2R7C10S1_1" formatStyle="Comma">
          <m:complexRule comparator="Eq" title="母公司未分配利润@本期期初数" test=" $_GBC_f8d35e7139554ee49bf49207c87b7f16 +  $_GBC_6377093d188842298a641b07370458af +  $_GBC_14caa941a474470fa4ca2fffb8667aaf +  $_GBC_eda7952e114147678ca1499015d63826" id="C04e7872c0ce24a1692d6e0370555cd83"/>
          <m:axisValue occRef="母公司"/>
        </m:item>
        <m:item xlName="_GBC_79e0a12c791f45fd9cad2ae5aaa5005e" concept="clcid-pte:GuDongQuanYiHeJi" label="股东权益合计" periodRef="本期期初数" mulRef="_GBC_048773409e614c6bb753000b028316a5" unitRef="_GBC_5214b7a188334da286fc3038d017d072" addr="T2R7C11S1_1" formatStyle="Comma">
          <m:complexRule comparator="Eq" title="母公司股东权益合计@本期期初数" test=" $_GBC_e798b7b189914bb59f0329054faf5f1e +  $_GBC_bdddf6356795461fa00dde53f549eee2 +  $_GBC_b26149d92d2b4c6a9c604f85f9d09476 +  $_GBC_82716933795e49e9adeced8e2d1751d8" id="Ced03a79964164e19b829b51daddaac18"/>
          <m:axisValue occRef="母公司"/>
        </m:item>
        <m:placeholder xlName="_PLD_22eea8f5bd284adbb011ea489737927b" wordText="三、本期增减变动金额（减少以“－”号填列）" addr="T2R8C0S1_1"/>
        <m:item xlName="_GBC_9411d68808554eab9f3c1ef64107388b" concept="clcid-pte:ShiShouZiBenHuoGuBenJingEZengJianBianDongJinE" label="实收资本（或股本）净额增减变动金额" mulRef="_GBC_048773409e614c6bb753000b028316a5" unitRef="_GBC_5214b7a188334da286fc3038d017d072" addr="T2R8C1S1_1" formatStyle="Comma">
          <m:complexRule comparator="Eq" title="母公司实收资本（或股本）净额增减变动金额" test=" $_GBC_c689b18648f24df59ddf31ca7d33d400 +  $_GBC_86e23a6d9639454fb38e741593cd6a87 +  $_GBC_ba5da375315042148f107155e56ff721 +  $_GBC_ca2aea73783446d8bdb8ec81d8cd0585 +  $_GBC_f1b054408cbe4196b2b33a927258093d +  $_GBC_d0e082387bdc44dea980c0664feb58ae" id="C299bca0ea5094f2eb8f9c197106c9414"/>
          <m:axisValue occRef="母公司"/>
        </m:item>
        <m:item xlName="_GBC_34441963446246739d5305433baf19bc" concept="clcid-pte:QiTaQuanYiGongJuZhongDeYouXianGuZengJianBianDongJinE" label="其他权益工具中的优先股增减变动金额" mulRef="_GBC_048773409e614c6bb753000b028316a5" unitRef="_GBC_5214b7a188334da286fc3038d017d072" addr="T2R8C2S1_1" formatStyle="Comma">
          <m:complexRule comparator="Eq" title="母公司其他权益工具中的优先股增减变动金额" test=" $_GBC_9dee220e8a9b4522a3f270756b9a56d4 +  $_GBC_9736d22f059e4a7aa8393f321a8eb7ef +  $_GBC_6843340cce12421ea4661a309536967a +  $_GBC_b83ca684901c45d58ac1e97f9282d61c +  $_GBC_316660df83eb4a499be7d7ee85097c38 +  $_GBC_fb4d17c50af74f17940954b101bdf49d" id="C88d1742466fa47f6ab5a56258a299116"/>
          <m:axisValue occRef="母公司"/>
        </m:item>
        <m:item xlName="_GBC_ccd07e6a79dc43af9b0726f20f7feac1" concept="clcid-pte:QiTaQuanYiGongJuZhongDeYongXuZhaiZengJianBianDongJinE" label="其他权益工具中的永续债增减变动金额" mulRef="_GBC_048773409e614c6bb753000b028316a5" unitRef="_GBC_5214b7a188334da286fc3038d017d072" addr="T2R8C3S1_1" formatStyle="Comma">
          <m:complexRule comparator="Eq" title="母公司其他权益工具中的永续债增减变动金额" test=" $_GBC_a89c2963fb14482696638100d36d268d +  $_GBC_5d7c928a3e6442e3bd5c4757da5aeedb +  $_GBC_86e6dfd4216946358a7061faa274254b +  $_GBC_1e774c9ece1e41959726d44a36c7e4f5 +  $_GBC_d60a83f1c6674d88a406518e351acaac +  $_GBC_c19f1466fd9540e5bf5b38e6bcfa7f43" id="C8291973eac6d42f99b152707146b9755"/>
          <m:axisValue occRef="母公司"/>
        </m:item>
        <m:item xlName="_GBC_74521b0d456640b2a3fea5b54a188654" concept="clcid-pte:QiTaQuanYiGongJuZhongDeQiTaZengJianBianDongJinE" label="其他权益工具中的其他增减变动金额" mulRef="_GBC_048773409e614c6bb753000b028316a5" unitRef="_GBC_5214b7a188334da286fc3038d017d072" addr="T2R8C4S1_1" formatStyle="Comma">
          <m:complexRule comparator="Eq" title="母公司其他权益工具中的其他增减变动金额" test=" $_GBC_c5c2a40b55294530b9ba5c333e5c2278 +  $_GBC_e15aac2765774a22947a8e9964b8d919 +  $_GBC_2f6722fed43d4ebaaae3b36aac4b14c3 +  $_GBC_2b0bf1a57d444f978382d99690dc558f +  $_GBC_f3169882a64d4788b6c1d75c61eba773 +  $_GBC_fc5fc85e20df48dfbcea93466ea92b01" id="C933b1d9c8a18492ca3086a1692286db9"/>
          <m:axisValue occRef="母公司"/>
        </m:item>
        <m:item xlName="_GBC_dfbff46c92c0478d8870e11eed6624e9" concept="clcid-pte:ZiBenGongJiZengJianBianDongJinE" label="资本公积增减变动金额" mulRef="_GBC_048773409e614c6bb753000b028316a5" unitRef="_GBC_5214b7a188334da286fc3038d017d072" addr="T2R8C5S1_1" formatStyle="Comma">
          <m:complexRule comparator="Eq" title="母公司资本公积增减变动金额" test=" $_GBC_2e37be65544a4422b020a34ab2ca963b +  $_GBC_67443085e1f645d782cf732ffb088b66 +  $_GBC_fca0b102fce243e9a3c89ba4a1bcb3df +  $_GBC_30dc3f1de6c845d38e58bb9763738a9d +  $_GBC_f2b3a6489dd14ccab11e8f099f85dd5d +  $_GBC_e13f9a3101f04fb186a9a6bc63e2b3f4" id="Cd12576c64e37428f8e7ab3c3c1b645ff"/>
          <m:axisValue occRef="母公司"/>
        </m:item>
        <m:item xlName="_GBC_c7253099b93649aa91266cb4db282f3d" concept="clcid-pte:KuCunGuZengJianBianDongJinE" label="库存股增减变动金额" mulRef="_GBC_048773409e614c6bb753000b028316a5" unitRef="_GBC_5214b7a188334da286fc3038d017d072" addr="T2R8C6S1_1" baseScale="-1" formatStyle="Comma">
          <m:complexRule comparator="Eq" title="母公司库存股增减变动金额" test=" $_GBC_6fdcf0c9ab07476fadf4dfa8a0abef3e +  $_GBC_7a4e0417082744768cf10075c58e8bb2 +  $_GBC_67dc09481eb04a4f8050d84bd4b8263d +  $_GBC_f4dda8c6d86e4d3d85823cade39d4e46 +  $_GBC_228e4a62751e488f8e7322105d62077a +  $_GBC_6498b45ee000460c81ac7c4b366a037a" id="C07f6ab1c094e486ca7a62ddbfeb33176"/>
          <m:axisValue occRef="母公司"/>
        </m:item>
        <m:item xlName="_GBC_2bd055b7c69146c6957f4840bac7e833" concept="clcid-pte:QiTaZongHeShouYiZengJianBianDongJinE" label="其他综合收益增减变动金额" mulRef="_GBC_048773409e614c6bb753000b028316a5" unitRef="_GBC_5214b7a188334da286fc3038d017d072" addr="T2R8C7S1_1" formatStyle="Comma">
          <m:complexRule comparator="Eq" title="母公司其他综合收益增减变动金额" test=" $_GBC_f3eb3ef606a14b5d972d60fac9faa539 +  $_GBC_6990d9b07dc946a7a7a273a95fb4f0d4 +  $_GBC_f90f5dbe8d994b82b6b1e3a9e8599192 +  $_GBC_0a55aa27f0b347528948807c6ecac842 +  $_GBC_c0800497a3014a3182ea35227107aeff +  $_GBC_66d8f42ef51641b2b0ae3816c96eecdf" id="C7a563c43bdbe4739a632aaefccf658d8"/>
          <m:axisValue occRef="母公司"/>
        </m:item>
        <m:item xlName="_GBC_43214fd9b3ed440fbfc07077d1b0e80b" concept="clcid-pte:ZhuanXiangChuBeiZengJianBianDongJinE" label="专项储备增减变动金额" mulRef="_GBC_048773409e614c6bb753000b028316a5" unitRef="_GBC_5214b7a188334da286fc3038d017d072" addr="T2R8C8S1_1" formatStyle="Comma">
          <m:complexRule comparator="Eq" title="母公司专项储备增减变动金额" test=" $_GBC_39220a5b026140db95f22e0dc82e5973 +  $_GBC_109e59f57ca14ed9a53970527ded93b3 +  $_GBC_066afab7581b47c690feb48569730de8 +  $_GBC_e7927af3e24d40a895fc2e4f5cec1c5d +  $_GBC_95c373e83263474eb617db37c864136c +  $_GBC_89f834c340664692bfd8dc09308561c1" id="Cd76a1807528e4ae4bed805d7ba7c516f"/>
          <m:axisValue occRef="母公司"/>
        </m:item>
        <m:item xlName="_GBC_b4dbb14fdd54464b877de11311094274" concept="clcid-pte:YingYuGongJiZengJianBianDongJinE" label="盈余公积增减变动金额" mulRef="_GBC_048773409e614c6bb753000b028316a5" unitRef="_GBC_5214b7a188334da286fc3038d017d072" addr="T2R8C9S1_1" formatStyle="Comma">
          <m:complexRule comparator="Eq" title="母公司盈余公积增减变动金额" test=" $_GBC_083b74ee41c94588849a984369d568c3 +  $_GBC_113e43ecd0e649c5a34acee97f4e85a2 +  $_GBC_4290be0299f04ed9adeb1173a422152f +  $_GBC_cb32fa8f9d1d4ecaafac36620a12151b +  $_GBC_20b44454e6d04a2a98680af00e503992 +  $_GBC_4f4c655eb6824d048f48191a8330ad07" id="Cb2421ba1d50d4c64b6b26a3e21f4c9a3"/>
          <m:axisValue occRef="母公司"/>
        </m:item>
        <m:item xlName="_GBC_c2b7d4df644e4540a02dffe24f98df56" concept="clcid-pte:WeiFenPeiLiRunZengJianBianDongJinE" label="未分配利润增减变动金额" mulRef="_GBC_048773409e614c6bb753000b028316a5" unitRef="_GBC_5214b7a188334da286fc3038d017d072" addr="T2R8C10S1_1" formatStyle="Comma">
          <m:complexRule comparator="Eq" title="母公司未分配利润增减变动金额" test=" $_GBC_35f3a83eec174a30ae49fde8f04be5e1 +  $_GBC_6940fe012fe6458d98b4530b198f8a52 +  $_GBC_456281a08ffa4873a3b77d0a51aa912f +  $_GBC_6640db4b017c4b5caddffb7f75dabd02 +  $_GBC_1b6f77b7c9ef4340ac368175bc963067 +  $_GBC_8669edf341584816a95d6b2633184c52" id="C633ee37e327e4aae8a24456a12311dd8"/>
          <m:axisValue occRef="母公司"/>
        </m:item>
        <m:item xlName="_GBC_e71e8a76f3cf4a568b05358967cd3388" concept="clcid-pte:GuDongQuanYiHeJiZengJianBianDongJinE" label="股东权益合计增减变动金额" mulRef="_GBC_048773409e614c6bb753000b028316a5" unitRef="_GBC_5214b7a188334da286fc3038d017d072" addr="T2R8C11S1_1" formatStyle="Comma">
          <m:complexRule comparator="Eq" title="母公司股东权益合计增减变动金额" test=" $_GBC_bab8c507c6c84ca4a3a35684c08765d7 +  $_GBC_9fcc0ef82029402d8537b6bc589d221b +  $_GBC_33328c22e60b420da1745f3fd92acb6a +  $_GBC_f875a33dfa58486c9480f6bee06e838f +  $_GBC_8f69578052804f5b9caf0a508e63cebc +  $_GBC_b252dd00f5c84c94a1462c8e5b1fdb25" id="C93e0e6598f614435a473bd83eaed513a"/>
          <m:axisValue occRef="母公司"/>
        </m:item>
        <m:placeholder xlName="_PLD_16bc7260292e4c19ad140bdfdf1ee46c" wordText="（一）综合收益总额" addr="T2R9C0S1_1"/>
        <m:item xlName="_GBC_c689b18648f24df59ddf31ca7d33d400" concept="clcid-pte:ZongHeShouYiZongEDaoZhiGuBenBianDongJinE" label="综合收益总额导致股本变动金额" mulRef="_GBC_048773409e614c6bb753000b028316a5" unitRef="_GBC_5214b7a188334da286fc3038d017d072" addr="T2R9C1S1_1" formatStyle="Comma">
          <m:axisValue occRef="母公司"/>
        </m:item>
        <m:item xlName="_GBC_9dee220e8a9b4522a3f270756b9a56d4" concept="clcid-pte:ZongHeShouYiZongEDaoZhiYouXianGuBianDongJinE" label="综合收益总额导致优先股变动金额" mulRef="_GBC_048773409e614c6bb753000b028316a5" unitRef="_GBC_5214b7a188334da286fc3038d017d072" addr="T2R9C2S1_1" formatStyle="Comma">
          <m:axisValue occRef="母公司"/>
        </m:item>
        <m:item xlName="_GBC_a89c2963fb14482696638100d36d268d" concept="clcid-pte:ZongHeShouYiZongEDaoZhiYongXuZhaiBianDongJinE" label="综合收益总额导致永续债变动金额" mulRef="_GBC_048773409e614c6bb753000b028316a5" unitRef="_GBC_5214b7a188334da286fc3038d017d072" addr="T2R9C3S1_1" formatStyle="Comma">
          <m:axisValue occRef="母公司"/>
        </m:item>
        <m:item xlName="_GBC_c5c2a40b55294530b9ba5c333e5c2278" concept="clcid-pte:ZongHeShouYiZongEDaoZhiQiTaQuanYiGongJuZhongDeQiTaBianDongJinE" label="综合收益总额导致其他权益工具中的其他变动金额" mulRef="_GBC_048773409e614c6bb753000b028316a5" unitRef="_GBC_5214b7a188334da286fc3038d017d072" addr="T2R9C4S1_1" formatStyle="Comma">
          <m:axisValue occRef="母公司"/>
        </m:item>
        <m:item xlName="_GBC_e13f9a3101f04fb186a9a6bc63e2b3f4" concept="clcid-pte:ZongHeShouYiZongEDaoZhiZiBenGongJiBianDongJinE" label="综合收益总额导致资本公积变动金额" mulRef="_GBC_048773409e614c6bb753000b028316a5" unitRef="_GBC_5214b7a188334da286fc3038d017d072" addr="T2R9C5S1_1" formatStyle="Comma">
          <m:axisValue occRef="母公司"/>
        </m:item>
        <m:item xlName="_GBC_6fdcf0c9ab07476fadf4dfa8a0abef3e" concept="clcid-pte:ZongHeShouYiZongEDaoZhiKuCunGuBianDongJinE" label="综合收益总额导致库存股变动金额" mulRef="_GBC_048773409e614c6bb753000b028316a5" unitRef="_GBC_5214b7a188334da286fc3038d017d072" addr="T2R9C6S1_1" baseScale="-1" formatStyle="Comma">
          <m:axisValue occRef="母公司"/>
        </m:item>
        <m:item xlName="_GBC_f3eb3ef606a14b5d972d60fac9faa539" concept="clcid-pte:ZongHeShouYiZongEDaoZhiQiTaZongHeShouYiBianDongJinE" label="综合收益总额导致其他综合收益变动金额" mulRef="_GBC_048773409e614c6bb753000b028316a5" unitRef="_GBC_5214b7a188334da286fc3038d017d072" addr="T2R9C7S1_1" formatStyle="Comma">
          <m:axisValue occRef="母公司"/>
        </m:item>
        <m:item xlName="_GBC_39220a5b026140db95f22e0dc82e5973" concept="clcid-pte:ZongHeShouYiZongEDaoZhiZhuanXiangChuBeiBianDongJinE" label="综合收益总额导致专项储备变动金额" mulRef="_GBC_048773409e614c6bb753000b028316a5" unitRef="_GBC_5214b7a188334da286fc3038d017d072" addr="T2R9C8S1_1" formatStyle="Comma">
          <m:axisValue occRef="母公司"/>
        </m:item>
        <m:item xlName="_GBC_083b74ee41c94588849a984369d568c3" concept="clcid-pte:ZongHeShouYiZongEDaoZhiYingYuGongJiBianDongJinE" label="综合收益总额导致盈余公积变动金额" mulRef="_GBC_048773409e614c6bb753000b028316a5" unitRef="_GBC_5214b7a188334da286fc3038d017d072" addr="T2R9C9S1_1" formatStyle="Comma">
          <m:axisValue occRef="母公司"/>
        </m:item>
        <m:item xlName="_GBC_35f3a83eec174a30ae49fde8f04be5e1" concept="clcid-pte:ZongHeShouYiZongEDaoZhiWeiFenPeiLiRunBianDongJinE" label="综合收益总额导致未分配利润变动金额" mulRef="_GBC_048773409e614c6bb753000b028316a5" unitRef="_GBC_5214b7a188334da286fc3038d017d072" addr="T2R9C10S1_1" formatStyle="Comma">
          <m:axisValue occRef="母公司"/>
        </m:item>
        <m:item xlName="_GBC_bab8c507c6c84ca4a3a35684c08765d7" concept="clcid-pte:ZongHeShouYiZongEDaoZhiGuDongQuanYiHeJiBianDongJinE" label="综合收益总额导致股东权益合计变动金额" mulRef="_GBC_048773409e614c6bb753000b028316a5" unitRef="_GBC_5214b7a188334da286fc3038d017d072" addr="T2R9C11S1_1" formatStyle="Comma">
          <m:axisValue occRef="母公司"/>
        </m:item>
        <m:placeholder xlName="_PLD_878006a38fe64d8788706ec54fa4a47b" wordText="（二）所有者投入和减少资本" addr="T2R10C0S1_1"/>
        <m:item xlName="_GBC_86e23a6d9639454fb38e741593cd6a87" concept="clcid-pte:SuoYouZheTouRuHeJianShaoZiBenDaoZhiShiShouZiBenHuoGuBenJingEBianDongJinE" label="所有者投入和减少资本导致实收资本（或股本）净额变动金额" mulRef="_GBC_048773409e614c6bb753000b028316a5" unitRef="_GBC_5214b7a188334da286fc3038d017d072" addr="T2R10C1S1_1" formatStyle="Comma">
          <m:complexRule comparator="Eq" title="母公司所有者投入和减少资本导致实收资本（或股本）净额变动金额" test=" $_GBC_7b622256c1624a6ea422ea03238eacb2 +  $_GBC_0ac2b7c363da4958b5c8601dccaeb313 +  $_GBC_1d25f834070142d89afa50655223c158 +  $_GBC_cf9066e29ce44001b8cc4619dd756283" id="C0fedace92b964cc79744cabb924df97d"/>
          <m:axisValue occRef="母公司"/>
        </m:item>
        <m:item xlName="_GBC_9736d22f059e4a7aa8393f321a8eb7ef" concept="clcid-pte:SuoYouZheTouRuHeJianShaoZiBenDaoZhiQiTaQuanYiGongJuZhongDeYouXianGuBianDongJinE" label="所有者投入和减少资本导致其他权益工具中的优先股变动金额" mulRef="_GBC_048773409e614c6bb753000b028316a5" unitRef="_GBC_5214b7a188334da286fc3038d017d072" addr="T2R10C2S1_1" formatStyle="Comma">
          <m:complexRule comparator="Eq" title="母公司所有者投入和减少资本导致其他权益工具中的优先股变动金额" test=" $_GBC_58c6ba973b63402c86e5cd46b4bd4324 +  $_GBC_cd07727555f146f0983abc577fdbae50 +  $_GBC_4ea07ec488a44c22bb4799618fffad1a +  $_GBC_f8b1698cb5bb44daa1a37c30b7b98aa1" id="C332143f4e6074807a9fd19a0bfcfdc94"/>
          <m:axisValue occRef="母公司"/>
        </m:item>
        <m:item xlName="_GBC_5d7c928a3e6442e3bd5c4757da5aeedb" concept="clcid-pte:SuoYouZheTouRuHeJianShaoZiBenDaoZhiQiTaQuanYiGongJuZhongDeYongXuZhaiBianDongJinE" label="所有者投入和减少资本导致其他权益工具中的永续债变动金额" mulRef="_GBC_048773409e614c6bb753000b028316a5" unitRef="_GBC_5214b7a188334da286fc3038d017d072" addr="T2R10C3S1_1" formatStyle="Comma">
          <m:complexRule comparator="Eq" title="母公司所有者投入和减少资本导致其他权益工具中的永续债变动金额" test=" $_GBC_69c00dceccfe46a6be8f2981a7d515dc +  $_GBC_5cdb9ac76a7b4a2cb6b280906e30b1ae +  $_GBC_b0d1f5655c484e9d87befba2f2042e1d +  $_GBC_9a834598cb444e7db00835e6ad016e1e" id="C29a43f7841ab4963b91d6d3442ef8472"/>
          <m:axisValue occRef="母公司"/>
        </m:item>
        <m:item xlName="_GBC_e15aac2765774a22947a8e9964b8d919" concept="clcid-pte:SuoYouZheTouRuHeJianShaoZiBenDaoZhiQiTaQuanYiGongJuZhongDeQiTaBianDongJinE" label="所有者投入和减少资本导致其他权益工具中的其他变动金额" mulRef="_GBC_048773409e614c6bb753000b028316a5" unitRef="_GBC_5214b7a188334da286fc3038d017d072" addr="T2R10C4S1_1" formatStyle="Comma">
          <m:complexRule comparator="Eq" title="母公司所有者投入和减少资本导致其他权益工具中的其他变动金额" test=" $_GBC_5315ca0608d140ee89869b8755edf1e6 +  $_GBC_ebd58c3a098f40b599361804d933124f +  $_GBC_7c1869c02c7246f182b9779802094f11 +  $_GBC_3c63ca66c8014e8eb12c62e7abaf0ed2" id="C552da636d729472f99b3b7bb120e1e99"/>
          <m:axisValue occRef="母公司"/>
        </m:item>
        <m:item xlName="_GBC_2e37be65544a4422b020a34ab2ca963b" concept="clcid-pte:SuoYouZheTouRuHeJianShaoZiBenDaoZhiZiBenGongJiBianDongJinE" label="所有者投入和减少资本导致资本公积变动金额" mulRef="_GBC_048773409e614c6bb753000b028316a5" unitRef="_GBC_5214b7a188334da286fc3038d017d072" addr="T2R10C5S1_1" formatStyle="Comma">
          <m:complexRule comparator="Eq" title="母公司所有者投入和减少资本导致资本公积变动金额" test=" $_GBC_c1915b9c43634422bb6299978e5ecf0e +  $_GBC_bdea20c569b7466e8e2f5011ee0170b0 +  $_GBC_5ef53f40bf7f4dc2bc5156dfceebaa38 +  $_GBC_042c67df5ff64c5ca47e87f56174eb19" id="Cedaf99d17b5c4f2db48692dffc15275d"/>
          <m:axisValue occRef="母公司"/>
        </m:item>
        <m:item xlName="_GBC_7a4e0417082744768cf10075c58e8bb2" concept="clcid-pte:SuoYouZheTouRuHeJianShaoZiBenDaoZhiKuCunGuBianDongJinE" label="所有者投入和减少资本导致库存股变动金额" mulRef="_GBC_048773409e614c6bb753000b028316a5" unitRef="_GBC_5214b7a188334da286fc3038d017d072" addr="T2R10C6S1_1" baseScale="-1" formatStyle="Comma">
          <m:complexRule comparator="Eq" title="母公司所有者投入和减少资本导致库存股变动金额" test=" $_GBC_8ab5cc3771de49f3ac9d2d54aa3d358a +  $_GBC_d1af61119e7e479ca5d5a43946238adf +  $_GBC_3ccc2d42bf2a40c1abdd644b469c44b9 +  $_GBC_97f80cf181b04351a05641a8143b30a5" id="Ccf34cd3fdcdb4d5f89df56e056d581d8"/>
          <m:axisValue occRef="母公司"/>
        </m:item>
        <m:item xlName="_GBC_6990d9b07dc946a7a7a273a95fb4f0d4" concept="clcid-pte:SuoYouZheTouRuHeJianShaoZiBenDaoZhiQiTaZongHeShouYiBianDongJinE" label="所有者投入和减少资本导致其他综合收益变动金额" mulRef="_GBC_048773409e614c6bb753000b028316a5" unitRef="_GBC_5214b7a188334da286fc3038d017d072" addr="T2R10C7S1_1" formatStyle="Comma">
          <m:complexRule comparator="Eq" title="母公司所有者投入和减少资本导致其他综合收益变动金额" test=" $_GBC_bd83e12c1cc14e85856c7de2c72f76f4 +  $_GBC_eeacdca8b24e4179b4a708246b957831 +  $_GBC_071ccc7016e54f16b65177a9005eaebb +  $_GBC_d76a6cbf0fea43b5b588634052e94fb8" id="Ceb6143ffd98a4726ad7193a63f8149ba"/>
          <m:axisValue occRef="母公司"/>
        </m:item>
        <m:item xlName="_GBC_109e59f57ca14ed9a53970527ded93b3" concept="clcid-pte:SuoYouZheTouRuHeJianShaoZiBenDaoZhiZhuanXiangChuBeiBianDongJinE" label="所有者投入和减少资本导致专项储备变动金额" mulRef="_GBC_048773409e614c6bb753000b028316a5" unitRef="_GBC_5214b7a188334da286fc3038d017d072" addr="T2R10C8S1_1" formatStyle="Comma">
          <m:complexRule comparator="Eq" title="母公司所有者投入和减少资本导致专项储备变动金额" test=" $_GBC_b887aa85a8d042c18f94c09901ceaf06 +  $_GBC_9aa0025647dc40a780e7f203d13778cb +  $_GBC_a4743550064946a98ff9650d0865fe14 +  $_GBC_3211e48925de4f5280473ee8ef2f064c" id="C8ad8c2fdff174461b900658d42ae31d9"/>
          <m:axisValue occRef="母公司"/>
        </m:item>
        <m:item xlName="_GBC_113e43ecd0e649c5a34acee97f4e85a2" concept="clcid-pte:SuoYouZheTouRuHeJianShaoZiBenDaoZhiYingYuGongJiBianDongJinE" label="所有者投入和减少资本导致盈余公积变动金额" mulRef="_GBC_048773409e614c6bb753000b028316a5" unitRef="_GBC_5214b7a188334da286fc3038d017d072" addr="T2R10C9S1_1" formatStyle="Comma">
          <m:complexRule comparator="Eq" title="母公司所有者投入和减少资本导致盈余公积变动金额" test=" $_GBC_15a62fb7f2c745a686cc80f452fb9476 +  $_GBC_e5e58b60bf484d52a72719c4698f8986 +  $_GBC_c4074cd8ea35409096bd0386651ff4dd +  $_GBC_cdaad5d86425452db9e9fc3f3c962ef3" id="C861ab033a6094c24ad075a01f4c8082f"/>
          <m:axisValue occRef="母公司"/>
        </m:item>
        <m:item xlName="_GBC_6940fe012fe6458d98b4530b198f8a52" concept="clcid-pte:SuoYouZheTouRuHeJianShaoZiBenDaoZhiWeiFenPeiLiRunBianDongJinE" label="所有者投入和减少资本导致未分配利润变动金额" mulRef="_GBC_048773409e614c6bb753000b028316a5" unitRef="_GBC_5214b7a188334da286fc3038d017d072" addr="T2R10C10S1_1" formatStyle="Comma">
          <m:complexRule comparator="Eq" title="母公司所有者投入和减少资本导致未分配利润变动金额" test=" $_GBC_cbe845f28be5493b9d857fd5f090ba47 +  $_GBC_3b469e81b34d4338aada691360272169 +  $_GBC_f35d7cab4d3b46b490de9f513ed96d2c +  $_GBC_4d93eff4a7604169afb73ec05489a2a0" id="C2d30e007f78543faa6fb6aab1617ce96"/>
          <m:axisValue occRef="母公司"/>
        </m:item>
        <m:item xlName="_GBC_9fcc0ef82029402d8537b6bc589d221b" concept="clcid-pte:SuoYouZheTouRuHeJianShaoZiBenDaoZhiGuDongQuanYiHeJiBianDongJinE" label="所有者投入和减少资本导致股东权益合计变动金额" mulRef="_GBC_048773409e614c6bb753000b028316a5" unitRef="_GBC_5214b7a188334da286fc3038d017d072" addr="T2R10C11S1_1" formatStyle="Comma">
          <m:complexRule comparator="Eq" title="母公司所有者投入和减少资本导致股东权益合计变动金额" test=" $_GBC_93cf2005d08c4d95b9d5433c5a26df7b +  $_GBC_16d9706e7f464a37a6e2c56dc45c4b5c +  $_GBC_6b90a98925e144418a6150be377ac9ee +  $_GBC_3dd4bde22d1b4b6d8c742501c0ca5bd0" id="C7c373ec2f30f4b27990d3552d120f595"/>
          <m:axisValue occRef="母公司"/>
        </m:item>
        <m:placeholder xlName="_PLD_87b7ce2356df4876b71161948845f6e6" wordText="1．所有者投入的普通股" addr="T2R11C0S1_1"/>
        <m:item xlName="_GBC_7b622256c1624a6ea422ea03238eacb2" concept="clcid-pte:GuDongTouRuDePuTongGuDaoZhiGuBenBianDongJinE" label="股东投入的普通股导致股本变动金额" mulRef="_GBC_048773409e614c6bb753000b028316a5" unitRef="_GBC_5214b7a188334da286fc3038d017d072" addr="T2R11C1S1_1" formatStyle="Comma">
          <m:axisValue occRef="母公司"/>
        </m:item>
        <m:item xlName="_GBC_58c6ba973b63402c86e5cd46b4bd4324" concept="clcid-pte:GuDongTouRuDePuTongGuDaoZhiYouXianGuBianDongJinE" label="股东投入的普通股导致优先股变动金额" mulRef="_GBC_048773409e614c6bb753000b028316a5" unitRef="_GBC_5214b7a188334da286fc3038d017d072" addr="T2R11C2S1_1" formatStyle="Comma">
          <m:axisValue occRef="母公司"/>
        </m:item>
        <m:item xlName="_GBC_69c00dceccfe46a6be8f2981a7d515dc" concept="clcid-pte:GuDongTouRuDePuTongGuDaoZhiYongXuZhaiBianDongJinE" label="股东投入的普通股导致永续债变动金额" mulRef="_GBC_048773409e614c6bb753000b028316a5" unitRef="_GBC_5214b7a188334da286fc3038d017d072" addr="T2R11C3S1_1" formatStyle="Comma">
          <m:axisValue occRef="母公司"/>
        </m:item>
        <m:item xlName="_GBC_5315ca0608d140ee89869b8755edf1e6" concept="clcid-pte:GuDongTouRuDePuTongGuDaoZhiQiTaQuanYiGongJuZhongDeQiTaBianDongJinE" label="股东投入的普通股导致其他权益工具中的其他变动金额" mulRef="_GBC_048773409e614c6bb753000b028316a5" unitRef="_GBC_5214b7a188334da286fc3038d017d072" addr="T2R11C4S1_1" formatStyle="Comma">
          <m:axisValue occRef="母公司"/>
        </m:item>
        <m:item xlName="_GBC_c1915b9c43634422bb6299978e5ecf0e" concept="clcid-pte:GuDongTouRuDePuTongGuDaoZhiZiBenGongJiBianDongJinE" label="股东投入的普通股导致资本公积变动金额" mulRef="_GBC_048773409e614c6bb753000b028316a5" unitRef="_GBC_5214b7a188334da286fc3038d017d072" addr="T2R11C5S1_1" formatStyle="Comma">
          <m:axisValue occRef="母公司"/>
        </m:item>
        <m:item xlName="_GBC_8ab5cc3771de49f3ac9d2d54aa3d358a" concept="clcid-pte:GuDongTouRuDePuTongGuDaoZhiKuCunGuBianDongJinE" label="股东投入的普通股导致库存股变动金额" mulRef="_GBC_048773409e614c6bb753000b028316a5" unitRef="_GBC_5214b7a188334da286fc3038d017d072" addr="T2R11C6S1_1" baseScale="-1" formatStyle="Comma">
          <m:axisValue occRef="母公司"/>
        </m:item>
        <m:item xlName="_GBC_bd83e12c1cc14e85856c7de2c72f76f4" concept="clcid-pte:GuDongTouRuDePuTongGuDaoZhiQiTaZongHeShouYiBianDongJinE" label="股东投入的普通股导致其他综合收益变动金额" mulRef="_GBC_048773409e614c6bb753000b028316a5" unitRef="_GBC_5214b7a188334da286fc3038d017d072" addr="T2R11C7S1_1" formatStyle="Comma">
          <m:axisValue occRef="母公司"/>
        </m:item>
        <m:item xlName="_GBC_b887aa85a8d042c18f94c09901ceaf06" concept="clcid-pte:GuDongTouRuDePuTongGuDaoZhiZhuanXiangChuBeiBianDongJinE" label="股东投入的普通股导致专项储备变动金额" mulRef="_GBC_048773409e614c6bb753000b028316a5" unitRef="_GBC_5214b7a188334da286fc3038d017d072" addr="T2R11C8S1_1" formatStyle="Comma">
          <m:axisValue occRef="母公司"/>
        </m:item>
        <m:item xlName="_GBC_15a62fb7f2c745a686cc80f452fb9476" concept="clcid-pte:GuDongTouRuDePuTongGuDaoZhiYingYuGongJiBianDongJinE" label="股东投入的普通股导致盈余公积变动金额" mulRef="_GBC_048773409e614c6bb753000b028316a5" unitRef="_GBC_5214b7a188334da286fc3038d017d072" addr="T2R11C9S1_1" formatStyle="Comma">
          <m:axisValue occRef="母公司"/>
        </m:item>
        <m:item xlName="_GBC_cbe845f28be5493b9d857fd5f090ba47" concept="clcid-pte:GuDongTouRuDePuTongGuDaoZhiWeiFenPeiLiRunBianDongJinE" label="股东投入的普通股导致未分配利润变动金额" mulRef="_GBC_048773409e614c6bb753000b028316a5" unitRef="_GBC_5214b7a188334da286fc3038d017d072" addr="T2R11C10S1_1" formatStyle="Comma">
          <m:axisValue occRef="母公司"/>
        </m:item>
        <m:item xlName="_GBC_93cf2005d08c4d95b9d5433c5a26df7b" concept="clcid-pte:GuDongTouRuDePuTongGuDaoZhiGuDongQuanYiHeJiBianDongJinE" label="股东投入的普通股导致股东权益合计变动金额" mulRef="_GBC_048773409e614c6bb753000b028316a5" unitRef="_GBC_5214b7a188334da286fc3038d017d072" addr="T2R11C11S1_1" formatStyle="Comma">
          <m:axisValue occRef="母公司"/>
        </m:item>
        <m:placeholder xlName="_PLD_364b722055ed48639a8a73b5223e270d" wordText="2．其他权益工具持有者投入资本" addr="T2R12C0S1_1"/>
        <m:item xlName="_GBC_0ac2b7c363da4958b5c8601dccaeb313" concept="clcid-pte:QiTaQuanYiGongJuChiYouZheTouRuZiBenDaoZhiGuBenBianDongJinE" label="其他权益工具持有者投入资本导致股本变动金额" mulRef="_GBC_048773409e614c6bb753000b028316a5" unitRef="_GBC_5214b7a188334da286fc3038d017d072" addr="T2R12C1S1_1" formatStyle="Comma">
          <m:axisValue occRef="母公司"/>
        </m:item>
        <m:item xlName="_GBC_cd07727555f146f0983abc577fdbae50" concept="clcid-pte:QiTaQuanYiGongJuChiYouZheTouRuZiBenDaoZhiYouXianGuBianDongJinE" label="其他权益工具持有者投入资本导致优先股变动金额" mulRef="_GBC_048773409e614c6bb753000b028316a5" unitRef="_GBC_5214b7a188334da286fc3038d017d072" addr="T2R12C2S1_1" formatStyle="Comma">
          <m:axisValue occRef="母公司"/>
        </m:item>
        <m:item xlName="_GBC_5cdb9ac76a7b4a2cb6b280906e30b1ae" concept="clcid-pte:QiTaQuanYiGongJuChiYouZheTouRuZiBenDaoZhiYongXuZhaiBianDongJinE" label="其他权益工具持有者投入资本导致永续债变动金额" mulRef="_GBC_048773409e614c6bb753000b028316a5" unitRef="_GBC_5214b7a188334da286fc3038d017d072" addr="T2R12C3S1_1" formatStyle="Comma">
          <m:axisValue occRef="母公司"/>
        </m:item>
        <m:item xlName="_GBC_ebd58c3a098f40b599361804d933124f" concept="clcid-pte:QiTaQuanYiGongJuChiYouZheTouRuZiBenDaoZhiQiTaQuanYiGongJuZhongDeQiTaBianDongJinE" label="其他权益工具持有者投入资本导致其他权益工具中的其他变动金额" mulRef="_GBC_048773409e614c6bb753000b028316a5" unitRef="_GBC_5214b7a188334da286fc3038d017d072" addr="T2R12C4S1_1" formatStyle="Comma">
          <m:axisValue occRef="母公司"/>
        </m:item>
        <m:item xlName="_GBC_bdea20c569b7466e8e2f5011ee0170b0" concept="clcid-pte:QiTaQuanYiGongJuChiYouZheTouRuZiBenDaoZhiZiBenGongJiBianDongJinE" label="其他权益工具持有者投入资本导致资本公积变动金额" mulRef="_GBC_048773409e614c6bb753000b028316a5" unitRef="_GBC_5214b7a188334da286fc3038d017d072" addr="T2R12C5S1_1" formatStyle="Comma">
          <m:axisValue occRef="母公司"/>
        </m:item>
        <m:item xlName="_GBC_d1af61119e7e479ca5d5a43946238adf" concept="clcid-pte:QiTaQuanYiGongJuChiYouZheTouRuZiBenDaoZhiKuCunGuBianDongJinE" label="其他权益工具持有者投入资本导致库存股变动金额" mulRef="_GBC_048773409e614c6bb753000b028316a5" unitRef="_GBC_5214b7a188334da286fc3038d017d072" addr="T2R12C6S1_1" baseScale="-1" formatStyle="Comma">
          <m:axisValue occRef="母公司"/>
        </m:item>
        <m:item xlName="_GBC_eeacdca8b24e4179b4a708246b957831" concept="clcid-pte:QiTaQuanYiGongJuChiYouZheTouRuZiBenDaoZhiQiTaZongHeShouYiBianDongJinE" label="其他权益工具持有者投入资本导致其他综合收益变动金额" mulRef="_GBC_048773409e614c6bb753000b028316a5" unitRef="_GBC_5214b7a188334da286fc3038d017d072" addr="T2R12C7S1_1" formatStyle="Comma">
          <m:axisValue occRef="母公司"/>
        </m:item>
        <m:item xlName="_GBC_9aa0025647dc40a780e7f203d13778cb" concept="clcid-pte:QiTaQuanYiGongJuChiYouZheTouRuZiBenDaoZhiZhuanXiangChuBeiBianDongJinE" label="其他权益工具持有者投入资本导致专项储备变动金额" mulRef="_GBC_048773409e614c6bb753000b028316a5" unitRef="_GBC_5214b7a188334da286fc3038d017d072" addr="T2R12C8S1_1" formatStyle="Comma">
          <m:axisValue occRef="母公司"/>
        </m:item>
        <m:item xlName="_GBC_e5e58b60bf484d52a72719c4698f8986" concept="clcid-pte:QiTaQuanYiGongJuChiYouZheTouRuZiBenDaoZhiYingYuGongJiBianDongJinE" label="其他权益工具持有者投入资本导致盈余公积变动金额" mulRef="_GBC_048773409e614c6bb753000b028316a5" unitRef="_GBC_5214b7a188334da286fc3038d017d072" addr="T2R12C9S1_1" formatStyle="Comma">
          <m:axisValue occRef="母公司"/>
        </m:item>
        <m:item xlName="_GBC_3b469e81b34d4338aada691360272169" concept="clcid-pte:QiTaQuanYiGongJuChiYouZheTouRuZiBenDaoZhiWeiFenPeiLiRunBianDongJinE" label="其他权益工具持有者投入资本导致未分配利润变动金额" mulRef="_GBC_048773409e614c6bb753000b028316a5" unitRef="_GBC_5214b7a188334da286fc3038d017d072" addr="T2R12C10S1_1" formatStyle="Comma">
          <m:axisValue occRef="母公司"/>
        </m:item>
        <m:item xlName="_GBC_16d9706e7f464a37a6e2c56dc45c4b5c" concept="clcid-pte:QiTaQuanYiGongJuChiYouZheTouRuZiBenDaoZhiGuDongQuanYiHeJiBianDongJinE" label="其他权益工具持有者投入资本导致股东权益合计变动金额" mulRef="_GBC_048773409e614c6bb753000b028316a5" unitRef="_GBC_5214b7a188334da286fc3038d017d072" addr="T2R12C11S1_1" formatStyle="Comma">
          <m:axisValue occRef="母公司"/>
        </m:item>
        <m:placeholder xlName="_PLD_224ee219054e4248b57b186593db85a6" wordText="3．股份支付计入所有者权益的金额" addr="T2R13C0S1_1"/>
        <m:item xlName="_GBC_1d25f834070142d89afa50655223c158" concept="clcid-pte:GuFenZhiFuJiRuSuoYouZheQuanYiDeJinEDaoZhiShiShouZiBenHuoGuBenJingEBianDongJinE" label="股份支付计入所有者权益的金额导致实收资本（或股本）净额变动金额" mulRef="_GBC_048773409e614c6bb753000b028316a5" unitRef="_GBC_5214b7a188334da286fc3038d017d072" addr="T2R13C1S1_1" formatStyle="Comma">
          <m:axisValue occRef="母公司"/>
        </m:item>
        <m:item xlName="_GBC_4ea07ec488a44c22bb4799618fffad1a" concept="clcid-pte:GuFenZhiFuJiRuSuoYouZheQuanYiDeJinEDaoZhiQiTaQuanYiGongJuZhongDeYouXianGuBianDongJinE" label="股份支付计入所有者权益的金额导致其他权益工具中的优先股变动金额" mulRef="_GBC_048773409e614c6bb753000b028316a5" unitRef="_GBC_5214b7a188334da286fc3038d017d072" addr="T2R13C2S1_1" formatStyle="Comma">
          <m:axisValue occRef="母公司"/>
        </m:item>
        <m:item xlName="_GBC_b0d1f5655c484e9d87befba2f2042e1d" concept="clcid-pte:GuFenZhiFuJiRuSuoYouZheQuanYiDeJinEDaoZhiQiTaQuanYiGongJuZhongDeYongXuZhaiBianDongJinE" label="股份支付计入所有者权益的金额导致其他权益工具中的永续债变动金额" mulRef="_GBC_048773409e614c6bb753000b028316a5" unitRef="_GBC_5214b7a188334da286fc3038d017d072" addr="T2R13C3S1_1" formatStyle="Comma">
          <m:axisValue occRef="母公司"/>
        </m:item>
        <m:item xlName="_GBC_7c1869c02c7246f182b9779802094f11" concept="clcid-pte:GuFenZhiFuJiRuSuoYouZheQuanYiDeJinEDaoZhiQiTaQuanYiGongJuZhongDeQiTaBianDongJinE" label="股份支付计入所有者权益的金额导致其他权益工具中的其他变动金额" mulRef="_GBC_048773409e614c6bb753000b028316a5" unitRef="_GBC_5214b7a188334da286fc3038d017d072" addr="T2R13C4S1_1" formatStyle="Comma">
          <m:axisValue occRef="母公司"/>
        </m:item>
        <m:item xlName="_GBC_5ef53f40bf7f4dc2bc5156dfceebaa38" concept="clcid-pte:GuFenZhiFuJiRuSuoYouZheQuanYiDeJinEDaoZhiZiBenGongJiBianDongJinE" label="股份支付计入所有者权益的金额导致资本公积变动金额" mulRef="_GBC_048773409e614c6bb753000b028316a5" unitRef="_GBC_5214b7a188334da286fc3038d017d072" addr="T2R13C5S1_1" formatStyle="Comma">
          <m:axisValue occRef="母公司"/>
        </m:item>
        <m:item xlName="_GBC_3ccc2d42bf2a40c1abdd644b469c44b9" concept="clcid-pte:GuFenZhiFuJiRuSuoYouZheQuanYiDeJinEDaoZhiKuCunGuBianDongJinE" label="股份支付计入所有者权益的金额导致库存股变动金额" mulRef="_GBC_048773409e614c6bb753000b028316a5" unitRef="_GBC_5214b7a188334da286fc3038d017d072" addr="T2R13C6S1_1" baseScale="-1" formatStyle="Comma">
          <m:axisValue occRef="母公司"/>
        </m:item>
        <m:item xlName="_GBC_071ccc7016e54f16b65177a9005eaebb" concept="clcid-pte:GuFenZhiFuJiRuSuoYouZheQuanYiDeJinEDaoZhiQiTaZongHeShouYiBianDongJinE" label="股份支付计入所有者权益的金额导致其他综合收益变动金额" mulRef="_GBC_048773409e614c6bb753000b028316a5" unitRef="_GBC_5214b7a188334da286fc3038d017d072" addr="T2R13C7S1_1" formatStyle="Comma">
          <m:axisValue occRef="母公司"/>
        </m:item>
        <m:item xlName="_GBC_a4743550064946a98ff9650d0865fe14" concept="clcid-pte:GuFenZhiFuJiRuSuoYouZheQuanYiDeJinEDaoZhiZhuanXiangChuBeiBianDongJinE" label="股份支付计入所有者权益的金额导致专项储备变动金额" mulRef="_GBC_048773409e614c6bb753000b028316a5" unitRef="_GBC_5214b7a188334da286fc3038d017d072" addr="T2R13C8S1_1" formatStyle="Comma">
          <m:axisValue occRef="母公司"/>
        </m:item>
        <m:item xlName="_GBC_c4074cd8ea35409096bd0386651ff4dd" concept="clcid-pte:GuFenZhiFuJiRuSuoYouZheQuanYiDeJinEDaoZhiYingYuGongJiBianDongJinE" label="股份支付计入所有者权益的金额导致盈余公积变动金额" mulRef="_GBC_048773409e614c6bb753000b028316a5" unitRef="_GBC_5214b7a188334da286fc3038d017d072" addr="T2R13C9S1_1" formatStyle="Comma">
          <m:axisValue occRef="母公司"/>
        </m:item>
        <m:item xlName="_GBC_f35d7cab4d3b46b490de9f513ed96d2c" concept="clcid-pte:GuFenZhiFuJiRuSuoYouZheQuanYiDeJinEDaoZhiWeiFenPeiLiRunBianDongJinE" label="股份支付计入所有者权益的金额导致未分配利润变动金额" mulRef="_GBC_048773409e614c6bb753000b028316a5" unitRef="_GBC_5214b7a188334da286fc3038d017d072" addr="T2R13C10S1_1" formatStyle="Comma">
          <m:axisValue occRef="母公司"/>
        </m:item>
        <m:item xlName="_GBC_6b90a98925e144418a6150be377ac9ee" concept="clcid-pte:GuFenZhiFuJiRuSuoYouZheQuanYiDeJinEDaoZhiGuDongQuanYiHeJiBianDongJinE" label="股份支付计入所有者权益的金额导致股东权益合计变动金额" mulRef="_GBC_048773409e614c6bb753000b028316a5" unitRef="_GBC_5214b7a188334da286fc3038d017d072" addr="T2R13C11S1_1" formatStyle="Comma">
          <m:axisValue occRef="母公司"/>
        </m:item>
        <m:placeholder xlName="_PLD_2bb07b8c813f401e9b889121fc03b9bd" wordText="4．其他" addr="T2R14C0S1_1"/>
        <m:item xlName="_GBC_cf9066e29ce44001b8cc4619dd756283" concept="clcid-pte:QiTaSuoYouZheTouRuHeJianShaoZiBenDaoZhiShiShouZiBenHuoGuBenJingEBianDongJinE" label="其他所有者投入和减少资本导致实收资本（或股本）净额变动金额" mulRef="_GBC_048773409e614c6bb753000b028316a5" unitRef="_GBC_5214b7a188334da286fc3038d017d072" addr="T2R14C1S1_1" formatStyle="Comma">
          <m:axisValue occRef="母公司"/>
        </m:item>
        <m:item xlName="_GBC_f8b1698cb5bb44daa1a37c30b7b98aa1" concept="clcid-pte:QiTaSuoYouZheTouRuHeJianShaoZiBenDaoZhiQiTaQuanYiGongJuZhongDeYouXianGuBianDongJinE" label="其他所有者投入和减少资本导致其他权益工具中的优先股变动金额" mulRef="_GBC_048773409e614c6bb753000b028316a5" unitRef="_GBC_5214b7a188334da286fc3038d017d072" addr="T2R14C2S1_1" formatStyle="Comma">
          <m:axisValue occRef="母公司"/>
        </m:item>
        <m:item xlName="_GBC_9a834598cb444e7db00835e6ad016e1e" concept="clcid-pte:QiTaSuoYouZheTouRuHeJianShaoZiBenDaoZhiQiTaQuanYiGongJuZhongDeYongXuZhaiBianDongJinE" label="其他所有者投入和减少资本导致其他权益工具中的永续债变动金额" mulRef="_GBC_048773409e614c6bb753000b028316a5" unitRef="_GBC_5214b7a188334da286fc3038d017d072" addr="T2R14C3S1_1" formatStyle="Comma">
          <m:axisValue occRef="母公司"/>
        </m:item>
        <m:item xlName="_GBC_3c63ca66c8014e8eb12c62e7abaf0ed2" concept="clcid-pte:QiTaSuoYouZheTouRuHeJianShaoZiBenDaoZhiQiTaQuanYiGongJuZhongDeQiTaBianDongJinE" label="其他所有者投入和减少资本导致其他权益工具中的其他变动金额" mulRef="_GBC_048773409e614c6bb753000b028316a5" unitRef="_GBC_5214b7a188334da286fc3038d017d072" addr="T2R14C4S1_1" formatStyle="Comma">
          <m:axisValue occRef="母公司"/>
        </m:item>
        <m:item xlName="_GBC_042c67df5ff64c5ca47e87f56174eb19" concept="clcid-pte:QiTaSuoYouZheTouRuHeJianShaoZiBenDaoZhiZiBenGongJiBianDongJinE" label="其他所有者投入和减少资本导致资本公积变动金额" mulRef="_GBC_048773409e614c6bb753000b028316a5" unitRef="_GBC_5214b7a188334da286fc3038d017d072" addr="T2R14C5S1_1" formatStyle="Comma">
          <m:axisValue occRef="母公司"/>
        </m:item>
        <m:item xlName="_GBC_97f80cf181b04351a05641a8143b30a5" concept="clcid-pte:QiTaSuoYouZheTouRuHeJianShaoZiBenDaoZhiKuCunGuBianDongJinE" label="其他所有者投入和减少资本导致库存股变动金额" mulRef="_GBC_048773409e614c6bb753000b028316a5" unitRef="_GBC_5214b7a188334da286fc3038d017d072" addr="T2R14C6S1_1" baseScale="-1" formatStyle="Comma">
          <m:axisValue occRef="母公司"/>
        </m:item>
        <m:item xlName="_GBC_d76a6cbf0fea43b5b588634052e94fb8" concept="clcid-pte:QiTaSuoYouZheTouRuHeJianShaoZiBenDaoZhiQiTaZongHeShouYiBianDongJinE" label="其他所有者投入和减少资本导致其他综合收益变动金额" mulRef="_GBC_048773409e614c6bb753000b028316a5" unitRef="_GBC_5214b7a188334da286fc3038d017d072" addr="T2R14C7S1_1" formatStyle="Comma">
          <m:axisValue occRef="母公司"/>
        </m:item>
        <m:item xlName="_GBC_3211e48925de4f5280473ee8ef2f064c" concept="clcid-pte:QiTaSuoYouZheTouRuHeJianShaoZiBenDaoZhiZhuanXiangChuBeiBianDongJinE" label="其他所有者投入和减少资本导致专项储备变动金额" mulRef="_GBC_048773409e614c6bb753000b028316a5" unitRef="_GBC_5214b7a188334da286fc3038d017d072" addr="T2R14C8S1_1" formatStyle="Comma">
          <m:axisValue occRef="母公司"/>
        </m:item>
        <m:item xlName="_GBC_cdaad5d86425452db9e9fc3f3c962ef3" concept="clcid-pte:QiTaSuoYouZheTouRuHeJianShaoZiBenDaoZhiYingYuGongJiBianDongJinE" label="其他所有者投入和减少资本导致盈余公积变动金额" mulRef="_GBC_048773409e614c6bb753000b028316a5" unitRef="_GBC_5214b7a188334da286fc3038d017d072" addr="T2R14C9S1_1" formatStyle="Comma">
          <m:axisValue occRef="母公司"/>
        </m:item>
        <m:item xlName="_GBC_4d93eff4a7604169afb73ec05489a2a0" concept="clcid-pte:QiTaSuoYouZheTouRuHeJianShaoZiBenDaoZhiWeiFenPeiLiRunBianDongJinE" label="其他所有者投入和减少资本导致未分配利润变动金额" mulRef="_GBC_048773409e614c6bb753000b028316a5" unitRef="_GBC_5214b7a188334da286fc3038d017d072" addr="T2R14C10S1_1" formatStyle="Comma">
          <m:axisValue occRef="母公司"/>
        </m:item>
        <m:item xlName="_GBC_3dd4bde22d1b4b6d8c742501c0ca5bd0" concept="clcid-pte:QiTaSuoYouZheTouRuHeJianShaoZiBenDaoZhiGuDongQuanYiHeJiBianDongJinE" label="其他所有者投入和减少资本导致股东权益合计变动金额" mulRef="_GBC_048773409e614c6bb753000b028316a5" unitRef="_GBC_5214b7a188334da286fc3038d017d072" addr="T2R14C11S1_1" formatStyle="Comma">
          <m:axisValue occRef="母公司"/>
        </m:item>
        <m:placeholder xlName="_PLD_b280cf7ceeaa4dd8b4b782055ca20607" wordText="（三）利润分配" addr="T2R15C0S1_1"/>
        <m:item xlName="_GBC_ba5da375315042148f107155e56ff721" concept="clcid-pte:LiRunFenPeiDaoZhiShiShouZiBenHuoGuBenJingEBianDongJinE" label="利润分配导致实收资本（或股本）净额变动金额" mulRef="_GBC_048773409e614c6bb753000b028316a5" unitRef="_GBC_5214b7a188334da286fc3038d017d072" addr="T2R15C1S1_1" formatStyle="Comma">
          <m:complexRule comparator="Eq" title="母公司利润分配导致实收资本（或股本）净额变动金额" test=" $_GBC_2c8fdc9259514a98bedda169b4efcb86 +  $_GBC_42b99dd2b1a54361bc865e7535b3ad5a +  $_GBC_b9f8f666f5e948c4882edb21d6b51f17" id="Ce09aad75c9104571b9629896dbfbda70"/>
          <m:axisValue occRef="母公司"/>
        </m:item>
        <m:item xlName="_GBC_6843340cce12421ea4661a309536967a" concept="clcid-pte:LiRunFenPeiDaoZhiQiTaQuanYiGongJuZhongDeYouXianGuBianDongJinE" label="利润分配导致其他权益工具中的优先股变动金额" mulRef="_GBC_048773409e614c6bb753000b028316a5" unitRef="_GBC_5214b7a188334da286fc3038d017d072" addr="T2R15C2S1_1" formatStyle="Comma">
          <m:complexRule comparator="Eq" title="母公司利润分配导致其他权益工具中的优先股变动金额" test=" $_GBC_af1008b1eff1458cb39cb52da98f90c6 +  $_GBC_31c856729d804dbda1b036226ca6a689 +  $_GBC_79a55a8da89c43e1affc1a2b7a6da7c4" id="C4311992d721540098cc47db7d754d64b"/>
          <m:axisValue occRef="母公司"/>
        </m:item>
        <m:item xlName="_GBC_86e6dfd4216946358a7061faa274254b" concept="clcid-pte:LiRunFenPeiDaoZhiQiTaQuanYiGongJuZhongDeYongXuZhaiBianDongJinE" label="利润分配导致其他权益工具中的永续债变动金额" mulRef="_GBC_048773409e614c6bb753000b028316a5" unitRef="_GBC_5214b7a188334da286fc3038d017d072" addr="T2R15C3S1_1" formatStyle="Comma">
          <m:complexRule comparator="Eq" title="母公司利润分配导致其他权益工具中的永续债变动金额" test=" $_GBC_dcf44bbeaade43f6b9e3dc9c83b71ce3 +  $_GBC_12adb57480fc46988abe9ba07ae7186a +  $_GBC_476e1722b13e4cc2acb175684003047a" id="C7cdc6c23e42e47d5b2759e44225cff1a"/>
          <m:axisValue occRef="母公司"/>
        </m:item>
        <m:item xlName="_GBC_2f6722fed43d4ebaaae3b36aac4b14c3" concept="clcid-pte:LiRunFenPeiDaoZhiQiTaQuanYiGongJuZhongDeQiTaBianDongJinE" label="利润分配导致其他权益工具中的其他变动金额" mulRef="_GBC_048773409e614c6bb753000b028316a5" unitRef="_GBC_5214b7a188334da286fc3038d017d072" addr="T2R15C4S1_1" formatStyle="Comma">
          <m:complexRule comparator="Eq" title="母公司利润分配导致其他权益工具中的其他变动金额" test=" $_GBC_2646feecce1d4ebc992ee8f3eab51f7c +  $_GBC_984f03f505084c1a9a000a625dd3e648 +  $_GBC_ae67552e7f2c440a8a039e2a96bad6b1" id="Cbbe62d9f7357443292ad920984b00163"/>
          <m:axisValue occRef="母公司"/>
        </m:item>
        <m:item xlName="_GBC_67443085e1f645d782cf732ffb088b66" concept="clcid-pte:LiRunFenPeiDaoZhiZiBenGongJiBianDongJinE" label="利润分配导致资本公积变动金额" mulRef="_GBC_048773409e614c6bb753000b028316a5" unitRef="_GBC_5214b7a188334da286fc3038d017d072" addr="T2R15C5S1_1" formatStyle="Comma">
          <m:complexRule comparator="Eq" title="母公司利润分配导致资本公积变动金额" test=" $_GBC_c86ef3b83baf436f80331d297c96fd21 +  $_GBC_c513390a4c4e4d0c8c88b03011aee603 +  $_GBC_0d96f3395d1d4d1595e1fbb709116464" id="Cd94f2d849c414c30b369f7cc7ba32fe0"/>
          <m:axisValue occRef="母公司"/>
        </m:item>
        <m:item xlName="_GBC_67dc09481eb04a4f8050d84bd4b8263d" concept="clcid-pte:LiRunFenPeiDaoZhiKuCunGuBianDongJinE" label="利润分配导致库存股变动金额" mulRef="_GBC_048773409e614c6bb753000b028316a5" unitRef="_GBC_5214b7a188334da286fc3038d017d072" addr="T2R15C6S1_1" baseScale="-1" formatStyle="Comma">
          <m:complexRule comparator="Eq" title="母公司利润分配导致库存股变动金额" test=" $_GBC_8911d206086646c2956534af594fa872 +  $_GBC_cd6758c250fc4ec9a81f103fb54dbb1c +  $_GBC_cbd4a50cc254452cb6c85d5094b6c32f" id="Caeebe7394cf84e458880c8a0bfa0ffbd"/>
          <m:axisValue occRef="母公司"/>
        </m:item>
        <m:item xlName="_GBC_f90f5dbe8d994b82b6b1e3a9e8599192" concept="clcid-pte:LiRunFenPeiDaoZhiQiTaZongHeShouYiBianDongJinE" label="利润分配导致其他综合收益变动金额" mulRef="_GBC_048773409e614c6bb753000b028316a5" unitRef="_GBC_5214b7a188334da286fc3038d017d072" addr="T2R15C7S1_1" formatStyle="Comma">
          <m:complexRule comparator="Eq" title="母公司利润分配导致其他综合收益变动金额" test=" $_GBC_36bea30c01af46e29b8caa4587677067 +  $_GBC_bd96ac95323240db9b74385bc0610c95 +  $_GBC_29dce4f502bb409fbc20cc71a96f4f43" id="C66c309a964244f9cb3591e670fefc517"/>
          <m:axisValue occRef="母公司"/>
        </m:item>
        <m:item xlName="_GBC_066afab7581b47c690feb48569730de8" concept="clcid-pte:LiRunFenPeiDaoZhiZhuanXiangChuBeiBianDongJinE" label="利润分配导致专项储备变动金额" mulRef="_GBC_048773409e614c6bb753000b028316a5" unitRef="_GBC_5214b7a188334da286fc3038d017d072" addr="T2R15C8S1_1" formatStyle="Comma">
          <m:complexRule comparator="Eq" title="母公司利润分配导致专项储备变动金额" test=" $_GBC_f86a91d62d734d2aad80c75204716eab +  $_GBC_cb101f1038f74d6e9cffe2c51618c1f4 +  $_GBC_ae85d858b9744b5bbb615092b6e47910" id="Cc67c47ef1abd42519185333749949577"/>
          <m:axisValue occRef="母公司"/>
        </m:item>
        <m:item xlName="_GBC_4290be0299f04ed9adeb1173a422152f" concept="clcid-pte:LiRunFenPeiDaoZhiYingYuGongJiBianDongJinE" label="利润分配导致盈余公积变动金额" mulRef="_GBC_048773409e614c6bb753000b028316a5" unitRef="_GBC_5214b7a188334da286fc3038d017d072" addr="T2R15C9S1_1" formatStyle="Comma">
          <m:complexRule comparator="Eq" title="母公司利润分配导致盈余公积变动金额" test=" $_GBC_d0464b2d84d44c88a82eb9239222327e +  $_GBC_c84ea83604284513b4a34c2458cb7a62 +  $_GBC_af4d1c9998e349749a6eac939dc31cc8" id="Cc9b4c5ef9e004fa8a034f4afadc5d577"/>
          <m:axisValue occRef="母公司"/>
        </m:item>
        <m:item xlName="_GBC_456281a08ffa4873a3b77d0a51aa912f" concept="clcid-pte:LiRunFenPeiDaoZhiWeiFenPeiLiRunBianDongJinE" label="利润分配导致未分配利润变动金额" mulRef="_GBC_048773409e614c6bb753000b028316a5" unitRef="_GBC_5214b7a188334da286fc3038d017d072" addr="T2R15C10S1_1" formatStyle="Comma">
          <m:complexRule comparator="Eq" title="母公司利润分配导致未分配利润变动金额" test=" $_GBC_c36b81557b7b427bb31d49c43332f615 +  $_GBC_7143e74536934bf4ac180344c71707ff +  $_GBC_b2d6e32da71642f4831741cd0fb2a074" id="C34fece529395450082e3b0e41d4b3d65"/>
          <m:axisValue occRef="母公司"/>
        </m:item>
        <m:item xlName="_GBC_33328c22e60b420da1745f3fd92acb6a" concept="clcid-pte:LiRunFenPeiDaoZhiGuDongQuanYiHeJiBianDongJinE" label="利润分配导致股东权益合计变动金额" mulRef="_GBC_048773409e614c6bb753000b028316a5" unitRef="_GBC_5214b7a188334da286fc3038d017d072" addr="T2R15C11S1_1" formatStyle="Comma">
          <m:complexRule comparator="Eq" title="母公司利润分配导致股东权益合计变动金额" test=" $_GBC_59f2510ebb934b69884b4641e5208d82 +  $_GBC_523965ad2bd34184be036f34a9c551a8 +  $_GBC_1feec320748d45388c0db3a97a4cf7bf" id="Cc82069c4ec4b4867b3911a58a6ceea88"/>
          <m:axisValue occRef="母公司"/>
        </m:item>
        <m:placeholder xlName="_PLD_bae08be416ce4c01886da1cc65a38bd8" wordText="1．提取盈余公积" addr="T2R16C0S1_1"/>
        <m:item xlName="_GBC_2c8fdc9259514a98bedda169b4efcb86" concept="clcid-pte:TiQuYingYuGongJiDaoZhiShiShouZiBenHuoGuBenJingEBianDongJinE" label="提取盈余公积导致实收资本（或股本）净额变动金额" mulRef="_GBC_048773409e614c6bb753000b028316a5" unitRef="_GBC_5214b7a188334da286fc3038d017d072" addr="T2R16C1S1_1" formatStyle="Comma">
          <m:axisValue occRef="母公司"/>
        </m:item>
        <m:item xlName="_GBC_af1008b1eff1458cb39cb52da98f90c6" concept="clcid-pte:TiQuYingYuGongJiDaoZhiQiTaQuanYiGongJuZhongDeYouXianGuBianDongJinE" label="提取盈余公积导致其他权益工具中的优先股变动金额" mulRef="_GBC_048773409e614c6bb753000b028316a5" unitRef="_GBC_5214b7a188334da286fc3038d017d072" addr="T2R16C2S1_1" formatStyle="Comma">
          <m:axisValue occRef="母公司"/>
        </m:item>
        <m:item xlName="_GBC_dcf44bbeaade43f6b9e3dc9c83b71ce3" concept="clcid-pte:TiQuYingYuGongJiDaoZhiQiTaQuanYiGongJuZhongDeYongXuZhaiBianDongJinE" label="提取盈余公积导致其他权益工具中的永续债变动金额" mulRef="_GBC_048773409e614c6bb753000b028316a5" unitRef="_GBC_5214b7a188334da286fc3038d017d072" addr="T2R16C3S1_1" formatStyle="Comma">
          <m:axisValue occRef="母公司"/>
        </m:item>
        <m:item xlName="_GBC_2646feecce1d4ebc992ee8f3eab51f7c" concept="clcid-pte:TiQuYingYuGongJiDaoZhiQiTaQuanYiGongJuZhongDeQiTaBianDongJinE" label="提取盈余公积导致其他权益工具中的其他变动金额" mulRef="_GBC_048773409e614c6bb753000b028316a5" unitRef="_GBC_5214b7a188334da286fc3038d017d072" addr="T2R16C4S1_1" formatStyle="Comma">
          <m:axisValue occRef="母公司"/>
        </m:item>
        <m:item xlName="_GBC_c86ef3b83baf436f80331d297c96fd21" concept="clcid-pte:TiQuYingYuGongJiDaoZhiZiBenGongJiBianDongJinE" label="提取盈余公积导致资本公积变动金额" mulRef="_GBC_048773409e614c6bb753000b028316a5" unitRef="_GBC_5214b7a188334da286fc3038d017d072" addr="T2R16C5S1_1" formatStyle="Comma">
          <m:axisValue occRef="母公司"/>
        </m:item>
        <m:item xlName="_GBC_8911d206086646c2956534af594fa872" concept="clcid-pte:TiQuYingYuGongJiDaoZhiKuCunGuBianDongJinE" label="提取盈余公积导致库存股变动金额" mulRef="_GBC_048773409e614c6bb753000b028316a5" unitRef="_GBC_5214b7a188334da286fc3038d017d072" addr="T2R16C6S1_1" baseScale="-1" formatStyle="Comma">
          <m:axisValue occRef="母公司"/>
        </m:item>
        <m:item xlName="_GBC_36bea30c01af46e29b8caa4587677067" concept="clcid-pte:TiQuYingYuGongJiDaoZhiQiTaZongHeShouYiBianDongJinE" label="提取盈余公积导致其他综合收益变动金额" mulRef="_GBC_048773409e614c6bb753000b028316a5" unitRef="_GBC_5214b7a188334da286fc3038d017d072" addr="T2R16C7S1_1" formatStyle="Comma">
          <m:axisValue occRef="母公司"/>
        </m:item>
        <m:item xlName="_GBC_f86a91d62d734d2aad80c75204716eab" concept="clcid-pte:TiQuYingYuGongJiDaoZhiZhuanXiangChuBeiBianDongJinE" label="提取盈余公积导致专项储备变动金额" mulRef="_GBC_048773409e614c6bb753000b028316a5" unitRef="_GBC_5214b7a188334da286fc3038d017d072" addr="T2R16C8S1_1" formatStyle="Comma">
          <m:axisValue occRef="母公司"/>
        </m:item>
        <m:item xlName="_GBC_d0464b2d84d44c88a82eb9239222327e" concept="clcid-pte:TiQuYingYuGongJiDaoZhiYingYuGongJiBianDongJinE" label="提取盈余公积导致盈余公积变动金额" mulRef="_GBC_048773409e614c6bb753000b028316a5" unitRef="_GBC_5214b7a188334da286fc3038d017d072" addr="T2R16C9S1_1" formatStyle="Comma">
          <m:axisValue occRef="母公司"/>
        </m:item>
        <m:item xlName="_GBC_c36b81557b7b427bb31d49c43332f615" concept="clcid-pte:TiQuYingYuGongJiDaoZhiWeiFenPeiLiRunBianDongJinE" label="提取盈余公积导致未分配利润变动金额" mulRef="_GBC_048773409e614c6bb753000b028316a5" unitRef="_GBC_5214b7a188334da286fc3038d017d072" addr="T2R16C10S1_1" formatStyle="Comma">
          <m:axisValue occRef="母公司"/>
        </m:item>
        <m:item xlName="_GBC_59f2510ebb934b69884b4641e5208d82" concept="clcid-pte:TiQuYingYuGongJiDaoZhiGuDongQuanYiHeJiBianDongJinE" label="提取盈余公积导致股东权益合计变动金额" mulRef="_GBC_048773409e614c6bb753000b028316a5" unitRef="_GBC_5214b7a188334da286fc3038d017d072" addr="T2R16C11S1_1" formatStyle="Comma">
          <m:axisValue occRef="母公司"/>
        </m:item>
        <m:placeholder xlName="_PLD_4deac8941f8344f99337c17d7e8feb6f" wordText="2．对所有者（或股东）的分配" addr="T2R17C0S1_1"/>
        <m:item xlName="_GBC_42b99dd2b1a54361bc865e7535b3ad5a" concept="clcid-pte:DuiSuoYouZheHuoGuDongDeFenPeiDaoZhiShiShouZiBenHuoGuBenJingEBianDongJinE" label="对所有者（或股东）的分配导致实收资本（或股本）净额变动金额" mulRef="_GBC_048773409e614c6bb753000b028316a5" unitRef="_GBC_5214b7a188334da286fc3038d017d072" addr="T2R17C1S1_1" formatStyle="Comma">
          <m:axisValue occRef="母公司"/>
        </m:item>
        <m:item xlName="_GBC_31c856729d804dbda1b036226ca6a689" concept="clcid-pte:DuiSuoYouZheHuoGuDongDeFenPeiDaoZhiQiTaQuanYiGongJuZhongDeYouXianGuBianDongJinE" label="对所有者（或股东）的分配导致其他权益工具中的优先股变动金额" mulRef="_GBC_048773409e614c6bb753000b028316a5" unitRef="_GBC_5214b7a188334da286fc3038d017d072" addr="T2R17C2S1_1" formatStyle="Comma">
          <m:axisValue occRef="母公司"/>
        </m:item>
        <m:item xlName="_GBC_12adb57480fc46988abe9ba07ae7186a" concept="clcid-pte:DuiSuoYouZheHuoGuDongDeFenPeiDaoZhiQiTaQuanYiGongJuZhongDeYongXuZhaiBianDongJinE" label="对所有者（或股东）的分配导致其他权益工具中的永续债变动金额" mulRef="_GBC_048773409e614c6bb753000b028316a5" unitRef="_GBC_5214b7a188334da286fc3038d017d072" addr="T2R17C3S1_1" formatStyle="Comma">
          <m:axisValue occRef="母公司"/>
        </m:item>
        <m:item xlName="_GBC_984f03f505084c1a9a000a625dd3e648" concept="clcid-pte:DuiSuoYouZheHuoGuDongDeFenPeiDaoZhiQiTaQuanYiGongJuZhongDeQiTaBianDongJinE" label="对所有者（或股东）的分配导致其他权益工具中的其他变动金额" mulRef="_GBC_048773409e614c6bb753000b028316a5" unitRef="_GBC_5214b7a188334da286fc3038d017d072" addr="T2R17C4S1_1" formatStyle="Comma">
          <m:axisValue occRef="母公司"/>
        </m:item>
        <m:item xlName="_GBC_c513390a4c4e4d0c8c88b03011aee603" concept="clcid-pte:DuiSuoYouZheHuoGuDongDeFenPeiDaoZhiZiBenGongJiBianDongJinE" label="对所有者（或股东）的分配导致资本公积变动金额" mulRef="_GBC_048773409e614c6bb753000b028316a5" unitRef="_GBC_5214b7a188334da286fc3038d017d072" addr="T2R17C5S1_1" formatStyle="Comma">
          <m:axisValue occRef="母公司"/>
        </m:item>
        <m:item xlName="_GBC_cd6758c250fc4ec9a81f103fb54dbb1c" concept="clcid-pte:DuiSuoYouZheHuoGuDongDeFenPeiDaoZhiKuCunGuBianDongJinE" label="对所有者（或股东）的分配导致库存股变动金额" mulRef="_GBC_048773409e614c6bb753000b028316a5" unitRef="_GBC_5214b7a188334da286fc3038d017d072" addr="T2R17C6S1_1" baseScale="-1" formatStyle="Comma">
          <m:axisValue occRef="母公司"/>
        </m:item>
        <m:item xlName="_GBC_bd96ac95323240db9b74385bc0610c95" concept="clcid-pte:DuiSuoYouZheHuoGuDongDeFenPeiDaoZhiQiTaZongHeShouYiBianDongJinE" label="对所有者（或股东）的分配导致其他综合收益变动金额" mulRef="_GBC_048773409e614c6bb753000b028316a5" unitRef="_GBC_5214b7a188334da286fc3038d017d072" addr="T2R17C7S1_1" formatStyle="Comma">
          <m:axisValue occRef="母公司"/>
        </m:item>
        <m:item xlName="_GBC_cb101f1038f74d6e9cffe2c51618c1f4" concept="clcid-pte:DuiSuoYouZheHuoGuDongDeFenPeiDaoZhiZhuanXiangChuBeiBianDongJinE" label="对所有者（或股东）的分配导致专项储备变动金额" mulRef="_GBC_048773409e614c6bb753000b028316a5" unitRef="_GBC_5214b7a188334da286fc3038d017d072" addr="T2R17C8S1_1" formatStyle="Comma">
          <m:axisValue occRef="母公司"/>
        </m:item>
        <m:item xlName="_GBC_c84ea83604284513b4a34c2458cb7a62" concept="clcid-pte:DuiSuoYouZheHuoGuDongDeFenPeiDaoZhiYingYuGongJiBianDongJinE" label="对所有者（或股东）的分配导致盈余公积变动金额" mulRef="_GBC_048773409e614c6bb753000b028316a5" unitRef="_GBC_5214b7a188334da286fc3038d017d072" addr="T2R17C9S1_1" formatStyle="Comma">
          <m:axisValue occRef="母公司"/>
        </m:item>
        <m:item xlName="_GBC_7143e74536934bf4ac180344c71707ff" concept="clcid-pte:DuiSuoYouZheHuoGuDongDeFenPeiDaoZhiWeiFenPeiLiRunBianDongJinE" label="对所有者（或股东）的分配导致未分配利润变动金额" mulRef="_GBC_048773409e614c6bb753000b028316a5" unitRef="_GBC_5214b7a188334da286fc3038d017d072" addr="T2R17C10S1_1" formatStyle="Comma">
          <m:axisValue occRef="母公司"/>
        </m:item>
        <m:item xlName="_GBC_523965ad2bd34184be036f34a9c551a8" concept="clcid-pte:DuiSuoYouZheHuoGuDongDeFenPeiDaoZhiGuDongQuanYiHeJiBianDongJinE" label="对所有者（或股东）的分配导致股东权益合计变动金额" mulRef="_GBC_048773409e614c6bb753000b028316a5" unitRef="_GBC_5214b7a188334da286fc3038d017d072" addr="T2R17C11S1_1" formatStyle="Comma">
          <m:axisValue occRef="母公司"/>
        </m:item>
        <m:placeholder xlName="_PLD_ff58a7e98f194ea88a1175d96b9527b1" wordText="3．其他" addr="T2R18C0S1_1"/>
        <m:item xlName="_GBC_b9f8f666f5e948c4882edb21d6b51f17" concept="clcid-pte:QiTaLiRunFenPeiDaoZhiShiShouZiBenHuoGuBenJingEBianDongJinE" label="其他利润分配导致实收资本（或股本）净额变动金额" mulRef="_GBC_048773409e614c6bb753000b028316a5" unitRef="_GBC_5214b7a188334da286fc3038d017d072" addr="T2R18C1S1_1" formatStyle="Comma">
          <m:axisValue occRef="母公司"/>
        </m:item>
        <m:item xlName="_GBC_79a55a8da89c43e1affc1a2b7a6da7c4" concept="clcid-pte:QiTaLiRunFenPeiDaoZhiQiTaQuanYiGongJuZhongDeYouXianGuBianDongJinE" label="其他利润分配导致其他权益工具中的优先股变动金额" mulRef="_GBC_048773409e614c6bb753000b028316a5" unitRef="_GBC_5214b7a188334da286fc3038d017d072" addr="T2R18C2S1_1" formatStyle="Comma">
          <m:axisValue occRef="母公司"/>
        </m:item>
        <m:item xlName="_GBC_476e1722b13e4cc2acb175684003047a" concept="clcid-pte:QiTaLiRunFenPeiDaoZhiQiTaQuanYiGongJuZhongDeYongXuZhaiBianDongJinE" label="其他利润分配导致其他权益工具中的永续债变动金额" mulRef="_GBC_048773409e614c6bb753000b028316a5" unitRef="_GBC_5214b7a188334da286fc3038d017d072" addr="T2R18C3S1_1" formatStyle="Comma">
          <m:axisValue occRef="母公司"/>
        </m:item>
        <m:item xlName="_GBC_ae67552e7f2c440a8a039e2a96bad6b1" concept="clcid-pte:QiTaLiRunFenPeiDaoZhiQiTaQuanYiGongJuZhongDeQiTaBianDongJinE" label="其他利润分配导致其他权益工具中的其他变动金额" mulRef="_GBC_048773409e614c6bb753000b028316a5" unitRef="_GBC_5214b7a188334da286fc3038d017d072" addr="T2R18C4S1_1" formatStyle="Comma">
          <m:axisValue occRef="母公司"/>
        </m:item>
        <m:item xlName="_GBC_0d96f3395d1d4d1595e1fbb709116464" concept="clcid-pte:QiTaLiRunFenPeiDaoZhiZiBenGongJiBianDongJinE" label="其他利润分配导致资本公积变动金额" mulRef="_GBC_048773409e614c6bb753000b028316a5" unitRef="_GBC_5214b7a188334da286fc3038d017d072" addr="T2R18C5S1_1" formatStyle="Comma">
          <m:axisValue occRef="母公司"/>
        </m:item>
        <m:item xlName="_GBC_cbd4a50cc254452cb6c85d5094b6c32f" concept="clcid-pte:QiTaLiRunFenPeiDaoZhiKuCunGuBianDongJinE" label="其他利润分配导致库存股变动金额" mulRef="_GBC_048773409e614c6bb753000b028316a5" unitRef="_GBC_5214b7a188334da286fc3038d017d072" addr="T2R18C6S1_1" baseScale="-1" formatStyle="Comma">
          <m:axisValue occRef="母公司"/>
        </m:item>
        <m:item xlName="_GBC_29dce4f502bb409fbc20cc71a96f4f43" concept="clcid-pte:QiTaLiRunFenPeiDaoZhiQiTaZongHeShouYiBianDongJinE" label="其他利润分配导致其他综合收益变动金额" mulRef="_GBC_048773409e614c6bb753000b028316a5" unitRef="_GBC_5214b7a188334da286fc3038d017d072" addr="T2R18C7S1_1" formatStyle="Comma">
          <m:axisValue occRef="母公司"/>
        </m:item>
        <m:item xlName="_GBC_ae85d858b9744b5bbb615092b6e47910" concept="clcid-pte:QiTaLiRunFenPeiDaoZhiZhuanXiangChuBeiBianDongJinE" label="其他利润分配导致专项储备变动金额" mulRef="_GBC_048773409e614c6bb753000b028316a5" unitRef="_GBC_5214b7a188334da286fc3038d017d072" addr="T2R18C8S1_1" formatStyle="Comma">
          <m:axisValue occRef="母公司"/>
        </m:item>
        <m:item xlName="_GBC_af4d1c9998e349749a6eac939dc31cc8" concept="clcid-pte:QiTaLiRunFenPeiDaoZhiYingYuGongJiBianDongJinE" label="其他利润分配导致盈余公积变动金额" mulRef="_GBC_048773409e614c6bb753000b028316a5" unitRef="_GBC_5214b7a188334da286fc3038d017d072" addr="T2R18C9S1_1" formatStyle="Comma">
          <m:axisValue occRef="母公司"/>
        </m:item>
        <m:item xlName="_GBC_b2d6e32da71642f4831741cd0fb2a074" concept="clcid-pte:QiTaLiRunFenPeiDaoZhiWeiFenPeiLiRunBianDongJinE" label="其他利润分配导致未分配利润变动金额" mulRef="_GBC_048773409e614c6bb753000b028316a5" unitRef="_GBC_5214b7a188334da286fc3038d017d072" addr="T2R18C10S1_1" formatStyle="Comma">
          <m:axisValue occRef="母公司"/>
        </m:item>
        <m:item xlName="_GBC_1feec320748d45388c0db3a97a4cf7bf" concept="clcid-pte:QiTaLiRunFenPeiDaoZhiGuDongQuanYiHeJiBianDongJinE" label="其他利润分配导致股东权益合计变动金额" mulRef="_GBC_048773409e614c6bb753000b028316a5" unitRef="_GBC_5214b7a188334da286fc3038d017d072" addr="T2R18C11S1_1" formatStyle="Comma">
          <m:axisValue occRef="母公司"/>
        </m:item>
        <m:placeholder xlName="_PLD_8938fb7f04ef4f54b6183645ffa42f40" wordText="（四）所有者权益内部结转" addr="T2R19C0S1_1"/>
        <m:item xlName="_GBC_ca2aea73783446d8bdb8ec81d8cd0585" concept="clcid-pte:SuoYouZheQuanYiNeiBuJieZhuanDaoZhiShiShouZiBenHuoGuBenJingEBianDongJinE" label="所有者权益内部结转导致实收资本（或股本）净额变动金额" mulRef="_GBC_048773409e614c6bb753000b028316a5" unitRef="_GBC_5214b7a188334da286fc3038d017d072" addr="T2R19C1S1_1" formatStyle="Comma">
          <m:complexRule comparator="Eq" title="母公司所有者权益内部结转导致实收资本（或股本）净额变动金额" test=" $_GBC_084eb01286664f7eb61a38e3652bb338 +  $_GBC_45fd2db9b144404998b58c75645395b3 +  $_GBC_5d48a5e9136847799570f6a5c7cef694 +  $_GBC_bff08555beeb4bd789f77505463e1d39 +  $_GBC_f885a2a29ffc445da37ca65a913cacee +  $_GBC_1877e42a9d9c47eab08cc22df75fb2c1" id="C86233d55dc06415d954e99d7ecf9f27b"/>
          <m:axisValue occRef="母公司"/>
        </m:item>
        <m:item xlName="_GBC_b83ca684901c45d58ac1e97f9282d61c" concept="clcid-pte:SuoYouZheQuanYiNeiBuJieZhuanDaoZhiQiTaQuanYiGongJuZhongDeYouXianGuBianDongJinE" label="所有者权益内部结转导致其他权益工具中的优先股变动金额" mulRef="_GBC_048773409e614c6bb753000b028316a5" unitRef="_GBC_5214b7a188334da286fc3038d017d072" addr="T2R19C2S1_1" formatStyle="Comma">
          <m:complexRule comparator="Eq" title="母公司所有者权益内部结转导致其他权益工具中的优先股变动金额" test=" $_GBC_aa9e2ce914fe448b8cf0040a4123765b +  $_GBC_f1d0aa71e029456fb12cd96a3635ea23 +  $_GBC_88e846fa9c38423bbcb4a99c285835ee +  $_GBC_99b915b879064b4898deeabc527f3359 +  $_GBC_152fce9d64c8482597921e9e22b8a108 +  $_GBC_3fa0bc554981484683938c5cf2be906e" id="C3a04e5208af841a9addcb0e198f97f6b"/>
          <m:axisValue occRef="母公司"/>
        </m:item>
        <m:item xlName="_GBC_1e774c9ece1e41959726d44a36c7e4f5" concept="clcid-pte:SuoYouZheQuanYiNeiBuJieZhuanDaoZhiQiTaQuanYiGongJuZhongDeYongXuZhaiBianDongJinE" label="所有者权益内部结转导致其他权益工具中的永续债变动金额" mulRef="_GBC_048773409e614c6bb753000b028316a5" unitRef="_GBC_5214b7a188334da286fc3038d017d072" addr="T2R19C3S1_1" formatStyle="Comma">
          <m:complexRule comparator="Eq" title="母公司所有者权益内部结转导致其他权益工具中的永续债变动金额" test=" $_GBC_fc687a9a89bf43c99d28e9ad2054eb66 +  $_GBC_63cc9fe5c9894e82a1fde669f3ce7130 +  $_GBC_2973af3f015d4026b18c0cdb49fc5439 +  $_GBC_a5e2c33000b04e869cea8412ff49274e +  $_GBC_c5e1105395084f62a728f126612a72b9 +  $_GBC_688e9491a564434a875ee362a2f9e710" id="C512b330892094d7ea17abfb5f809df22"/>
          <m:axisValue occRef="母公司"/>
        </m:item>
        <m:item xlName="_GBC_2b0bf1a57d444f978382d99690dc558f" concept="clcid-pte:SuoYouZheQuanYiNeiBuJieZhuanDaoZhiQiTaQuanYiGongJuZhongDeQiTaBianDongJinE" label="所有者权益内部结转导致其他权益工具中的其他变动金额" mulRef="_GBC_048773409e614c6bb753000b028316a5" unitRef="_GBC_5214b7a188334da286fc3038d017d072" addr="T2R19C4S1_1" formatStyle="Comma">
          <m:complexRule comparator="Eq" title="母公司所有者权益内部结转导致其他权益工具中的其他变动金额" test=" $_GBC_66215524cd074a38acd5f8bd4af9b2b6 +  $_GBC_58432e295f354ca89c4fbeefac5a919d +  $_GBC_5564ea9999314224b12e17bdfb3524dd +  $_GBC_58e86759d51d4197af9931b1dbdb46f0 +  $_GBC_314eff58f51e49bda705a74512a1c2a4 +  $_GBC_2bbbd85417d141fd83fcdb2a38e8512f" id="C78689d66deb348e3aebf886ec25205f0"/>
          <m:axisValue occRef="母公司"/>
        </m:item>
        <m:item xlName="_GBC_fca0b102fce243e9a3c89ba4a1bcb3df" concept="clcid-pte:SuoYouZheQuanYiNeiBuJieZhuanDaoZhiZiBenGongJiBianDongJinE" label="所有者权益内部结转导致资本公积变动金额" mulRef="_GBC_048773409e614c6bb753000b028316a5" unitRef="_GBC_5214b7a188334da286fc3038d017d072" addr="T2R19C5S1_1" formatStyle="Comma">
          <m:complexRule comparator="Eq" title="母公司所有者权益内部结转导致资本公积变动金额" test=" $_GBC_aa28b5e27ef54d62b88507f789ae4826 +  $_GBC_18ff8655266e44e38a43344195d3707e +  $_GBC_c84ec11685554628ab96da1b104930b5 +  $_GBC_9b305efdb90149da8ee915484b2a4c72 +  $_GBC_f51e3264b34f44b690775be8ceb8f390 +  $_GBC_ef7bbf09455b4b6d9a442ad0ac337fd4" id="C5e8dacf47c1542008459f64f67f57d1c"/>
          <m:axisValue occRef="母公司"/>
        </m:item>
        <m:item xlName="_GBC_f4dda8c6d86e4d3d85823cade39d4e46" concept="clcid-pte:SuoYouZheQuanYiNeiBuJieZhuanDaoZhiKuCunGuBianDongJinE" label="所有者权益内部结转导致库存股变动金额" mulRef="_GBC_048773409e614c6bb753000b028316a5" unitRef="_GBC_5214b7a188334da286fc3038d017d072" addr="T2R19C6S1_1" baseScale="-1" formatStyle="Comma">
          <m:complexRule comparator="Eq" title="母公司所有者权益内部结转导致库存股变动金额" test=" $_GBC_f6297c85bd47496daeb178318b3290ee +  $_GBC_bfa0a9a0daa5400ead5e72c6b3f7aa1c +  $_GBC_20b725b514504790bf4fcb0d97180ae0 +  $_GBC_fd481a7040274797ab25f52e69cf972b +  $_GBC_65d86a7b13ca412fabc1031813ef2e28 +  $_GBC_6b4eeae7d77d45ff874afee217490251" id="C36bbb6f205e24a419e73502d436232f3"/>
          <m:axisValue occRef="母公司"/>
        </m:item>
        <m:item xlName="_GBC_0a55aa27f0b347528948807c6ecac842" concept="clcid-pte:SuoYouZheQuanYiNeiBuJieZhuanDaoZhiQiTaZongHeShouYiBianDongJinE" label="所有者权益内部结转导致其他综合收益变动金额" mulRef="_GBC_048773409e614c6bb753000b028316a5" unitRef="_GBC_5214b7a188334da286fc3038d017d072" addr="T2R19C7S1_1" formatStyle="Comma">
          <m:complexRule comparator="Eq" title="母公司所有者权益内部结转导致其他综合收益变动金额" test=" $_GBC_9bcc5eb3f62c45bc846a3361fb154123 +  $_GBC_da99848072324d198d06c654e311a376 +  $_GBC_fc1048146ffa4876a3967c24bb5845c9 +  $_GBC_9c54f67f401f4b1f8cc7829e19729c73 +  $_GBC_a63b6ef0ecee49f997ff5caa3b089b52 +  $_GBC_ff453bae05a649079ea396094173e178" id="Cb3b590521bea4557a168ff7f19f1f07e"/>
          <m:axisValue occRef="母公司"/>
        </m:item>
        <m:item xlName="_GBC_e7927af3e24d40a895fc2e4f5cec1c5d" concept="clcid-pte:SuoYouZheQuanYiNeiBuJieZhuanDaoZhiZhuanXiangChuBeiBianDongJinE" label="所有者权益内部结转导致专项储备变动金额" mulRef="_GBC_048773409e614c6bb753000b028316a5" unitRef="_GBC_5214b7a188334da286fc3038d017d072" addr="T2R19C8S1_1" formatStyle="Comma">
          <m:complexRule comparator="Eq" title="母公司所有者权益内部结转导致专项储备变动金额" test=" $_GBC_fa8b640f492544a6ab8d5292826291c2 +  $_GBC_d4e648e6b7ff4dc88db02532e2693a0e +  $_GBC_1ef13efafffe4b069ede2fec79758312 +  $_GBC_ddf5f593f73c4eae93e1ec2b0174b525 +  $_GBC_22dabbd4d1ca4e9ebd43dea6c7d37add +  $_GBC_8623d7fd8d354fcb8035a535275addce" id="C483aaea18910499588fdcfbbe06bb893"/>
          <m:axisValue occRef="母公司"/>
        </m:item>
        <m:item xlName="_GBC_cb32fa8f9d1d4ecaafac36620a12151b" concept="clcid-pte:SuoYouZheQuanYiNeiBuJieZhuanDaoZhiYingYuGongJiBianDongJinE" label="所有者权益内部结转导致盈余公积变动金额" mulRef="_GBC_048773409e614c6bb753000b028316a5" unitRef="_GBC_5214b7a188334da286fc3038d017d072" addr="T2R19C9S1_1" formatStyle="Comma">
          <m:complexRule comparator="Eq" title="母公司所有者权益内部结转导致盈余公积变动金额" test=" $_GBC_9631caf75b3045599323a7c303620a76 +  $_GBC_edab473ca5144d29abff70144b20ac3c +  $_GBC_67f03a80d06247c9a8a4e39552666c1b +  $_GBC_5137e2c1eef048f5bdf401ec7cbee77a +  $_GBC_9fdd067bf63a43c689a99a093ccb677d +  $_GBC_9ac3eb6454654435a837c9514e8c9673" id="Cef0b95c5fa9b4ea08a75614720cdff16"/>
          <m:axisValue occRef="母公司"/>
        </m:item>
        <m:item xlName="_GBC_6640db4b017c4b5caddffb7f75dabd02" concept="clcid-pte:SuoYouZheQuanYiNeiBuJieZhuanDaoZhiWeiFenPeiLiRunBianDongJinE" label="所有者权益内部结转导致未分配利润变动金额" mulRef="_GBC_048773409e614c6bb753000b028316a5" unitRef="_GBC_5214b7a188334da286fc3038d017d072" addr="T2R19C10S1_1" formatStyle="Comma">
          <m:complexRule comparator="Eq" title="母公司所有者权益内部结转导致未分配利润变动金额" test=" $_GBC_8365467ce6484f798084fbfb1a05636e +  $_GBC_48a3b1d590d6424d9aff758ddb8abdb7 +  $_GBC_c1b05f8c990b4b1a8bba1c78e3fdc78c +  $_GBC_6b27402e249b45ceb366caf234e369ee +  $_GBC_76faf77fcdb34254874c13ecce52e7e4 +  $_GBC_1f4c155e6d28459884f4f76013b92820" id="Ccbe9340bb9a44632850c367c5a9abd05"/>
          <m:axisValue occRef="母公司"/>
        </m:item>
        <m:item xlName="_GBC_f875a33dfa58486c9480f6bee06e838f" concept="clcid-pte:SuoYouZheQuanYiNeiBuJieZhuanDaoZhiGuDongQuanYiHeJiBianDongJinE" label="所有者权益内部结转导致股东权益合计变动金额" mulRef="_GBC_048773409e614c6bb753000b028316a5" unitRef="_GBC_5214b7a188334da286fc3038d017d072" addr="T2R19C11S1_1" formatStyle="Comma">
          <m:complexRule comparator="Eq" title="母公司所有者权益内部结转导致股东权益合计变动金额" test=" $_GBC_3b0e16cbdc8241ef8234493a1a2793e1 +  $_GBC_965d5dcbedf241a391148016be3edce7 +  $_GBC_e4aebf343e0f4523b9018476c22f3fec +  $_GBC_97127af10d554badbf8583713f1cb64f +  $_GBC_d5ee84e928ca4780be8bb420500c16ec +  $_GBC_44202c7c0b364279a5cbd9ac0b3d5645" id="Ce2ed32b291954480988a1dd66a2e917a"/>
          <m:axisValue occRef="母公司"/>
        </m:item>
        <m:placeholder xlName="_PLD_805f473e3b5c4efd99b4c472dc99ddb5" wordText="1．资本公积转增资本（或股本）" addr="T2R20C0S1_1"/>
        <m:item xlName="_GBC_084eb01286664f7eb61a38e3652bb338" concept="clcid-pte:ZiBenGongJiZhuanZengZiBenHuoGuBenDaoZhiShiShouZiBenHuoGuBenJingEBianDongJinE" label="资本公积转增资本（或股本）导致实收资本（或股本）净额变动金额" mulRef="_GBC_048773409e614c6bb753000b028316a5" unitRef="_GBC_5214b7a188334da286fc3038d017d072" addr="T2R20C1S1_1" formatStyle="Comma">
          <m:axisValue occRef="母公司"/>
        </m:item>
        <m:item xlName="_GBC_aa9e2ce914fe448b8cf0040a4123765b" concept="clcid-pte:ZiBenGongJiZhuanZengZiBenHuoGuBenDaoZhiQiTaQuanYiGongJuZhongDeYouXianGuBianDongJinE" label="资本公积转增资本（或股本）导致其他权益工具中的优先股变动金额" mulRef="_GBC_048773409e614c6bb753000b028316a5" unitRef="_GBC_5214b7a188334da286fc3038d017d072" addr="T2R20C2S1_1" formatStyle="Comma">
          <m:axisValue occRef="母公司"/>
        </m:item>
        <m:item xlName="_GBC_fc687a9a89bf43c99d28e9ad2054eb66" concept="clcid-pte:ZiBenGongJiZhuanZengZiBenHuoGuBenDaoZhiQiTaQuanYiGongJuZhongDeYongXuZhaiBianDongJinE" label="资本公积转增资本（或股本）导致其他权益工具中的永续债变动金额" mulRef="_GBC_048773409e614c6bb753000b028316a5" unitRef="_GBC_5214b7a188334da286fc3038d017d072" addr="T2R20C3S1_1" formatStyle="Comma">
          <m:axisValue occRef="母公司"/>
        </m:item>
        <m:item xlName="_GBC_66215524cd074a38acd5f8bd4af9b2b6" concept="clcid-pte:ZiBenGongJiZhuanZengZiBenHuoGuBenDaoZhiQiTaQuanYiGongJuZhongDeQiTaBianDongJinE" label="资本公积转增资本（或股本）导致其他权益工具中的其他变动金额" mulRef="_GBC_048773409e614c6bb753000b028316a5" unitRef="_GBC_5214b7a188334da286fc3038d017d072" addr="T2R20C4S1_1" formatStyle="Comma">
          <m:axisValue occRef="母公司"/>
        </m:item>
        <m:item xlName="_GBC_aa28b5e27ef54d62b88507f789ae4826" concept="clcid-pte:ZiBenGongJiZhuanZengZiBenHuoGuBenDaoZhiZiBenGongJiBianDongJinE" label="资本公积转增资本（或股本）导致资本公积变动金额" mulRef="_GBC_048773409e614c6bb753000b028316a5" unitRef="_GBC_5214b7a188334da286fc3038d017d072" addr="T2R20C5S1_1" formatStyle="Comma">
          <m:axisValue occRef="母公司"/>
        </m:item>
        <m:item xlName="_GBC_f6297c85bd47496daeb178318b3290ee" concept="clcid-pte:ZiBenGongJiZhuanZengZiBenHuoGuBenDaoZhiKuCunGuBianDongJinE" label="资本公积转增资本（或股本）导致库存股变动金额" mulRef="_GBC_048773409e614c6bb753000b028316a5" unitRef="_GBC_5214b7a188334da286fc3038d017d072" addr="T2R20C6S1_1" baseScale="-1" formatStyle="Comma">
          <m:axisValue occRef="母公司"/>
        </m:item>
        <m:item xlName="_GBC_9bcc5eb3f62c45bc846a3361fb154123" concept="clcid-pte:ZiBenGongJiZhuanZengZiBenHuoGuBenDaoZhiQiTaZongHeShouYiBianDongJinE" label="资本公积转增资本（或股本）导致其他综合收益变动金额" mulRef="_GBC_048773409e614c6bb753000b028316a5" unitRef="_GBC_5214b7a188334da286fc3038d017d072" addr="T2R20C7S1_1" formatStyle="Comma">
          <m:axisValue occRef="母公司"/>
        </m:item>
        <m:item xlName="_GBC_fa8b640f492544a6ab8d5292826291c2" concept="clcid-pte:ZiBenGongJiZhuanZengZiBenHuoGuBenDaoZhiZhuanXiangChuBeiBianDongJinE" label="资本公积转增资本（或股本）导致专项储备变动金额" mulRef="_GBC_048773409e614c6bb753000b028316a5" unitRef="_GBC_5214b7a188334da286fc3038d017d072" addr="T2R20C8S1_1" formatStyle="Comma">
          <m:axisValue occRef="母公司"/>
        </m:item>
        <m:item xlName="_GBC_9631caf75b3045599323a7c303620a76" concept="clcid-pte:ZiBenGongJiZhuanZengZiBenHuoGuBenDaoZhiYingYuGongJiBianDongJinE" label="资本公积转增资本（或股本）导致盈余公积变动金额" mulRef="_GBC_048773409e614c6bb753000b028316a5" unitRef="_GBC_5214b7a188334da286fc3038d017d072" addr="T2R20C9S1_1" formatStyle="Comma">
          <m:axisValue occRef="母公司"/>
        </m:item>
        <m:item xlName="_GBC_8365467ce6484f798084fbfb1a05636e" concept="clcid-pte:ZiBenGongJiZhuanZengZiBenHuoGuBenDaoZhiWeiFenPeiLiRunBianDongJinE" label="资本公积转增资本（或股本）导致未分配利润变动金额" mulRef="_GBC_048773409e614c6bb753000b028316a5" unitRef="_GBC_5214b7a188334da286fc3038d017d072" addr="T2R20C10S1_1" formatStyle="Comma">
          <m:axisValue occRef="母公司"/>
        </m:item>
        <m:item xlName="_GBC_3b0e16cbdc8241ef8234493a1a2793e1" concept="clcid-pte:ZiBenGongJiZhuanZengZiBenHuoGuBenDaoZhiGuDongQuanYiHeJiBianDongJinE" label="资本公积转增资本（或股本）导致股东权益合计变动金额" mulRef="_GBC_048773409e614c6bb753000b028316a5" unitRef="_GBC_5214b7a188334da286fc3038d017d072" addr="T2R20C11S1_1" formatStyle="Comma">
          <m:axisValue occRef="母公司"/>
        </m:item>
        <m:placeholder xlName="_PLD_c2dd17db22d54e02ba5942412d96f3ac" wordText="2．盈余公积转增资本（或股本）" addr="T2R21C0S1_1"/>
        <m:item xlName="_GBC_45fd2db9b144404998b58c75645395b3" concept="clcid-pte:YingYuGongJiZhuanZengZiBenHuoGuBenDaoZhiShiShouZiBenHuoGuBenJingEBianDongJinE" label="盈余公积转增资本（或股本）导致实收资本（或股本）净额变动金额" mulRef="_GBC_048773409e614c6bb753000b028316a5" unitRef="_GBC_5214b7a188334da286fc3038d017d072" addr="T2R21C1S1_1" formatStyle="Comma">
          <m:axisValue occRef="母公司"/>
        </m:item>
        <m:item xlName="_GBC_f1d0aa71e029456fb12cd96a3635ea23" concept="clcid-pte:YingYuGongJiZhuanZengZiBenHuoGuBenDaoZhiQiTaQuanYiGongJuZhongDeYouXianGuBianDongJinE" label="盈余公积转增资本（或股本）导致其他权益工具中的优先股变动金额" mulRef="_GBC_048773409e614c6bb753000b028316a5" unitRef="_GBC_5214b7a188334da286fc3038d017d072" addr="T2R21C2S1_1" formatStyle="Comma">
          <m:axisValue occRef="母公司"/>
        </m:item>
        <m:item xlName="_GBC_63cc9fe5c9894e82a1fde669f3ce7130" concept="clcid-pte:YingYuGongJiZhuanZengZiBenHuoGuBenDaoZhiQiTaQuanYiGongJuZhongDeYongXuZhaiBianDongJinE" label="盈余公积转增资本（或股本）导致其他权益工具中的永续债变动金额" mulRef="_GBC_048773409e614c6bb753000b028316a5" unitRef="_GBC_5214b7a188334da286fc3038d017d072" addr="T2R21C3S1_1" formatStyle="Comma">
          <m:axisValue occRef="母公司"/>
        </m:item>
        <m:item xlName="_GBC_58432e295f354ca89c4fbeefac5a919d" concept="clcid-pte:YingYuGongJiZhuanZengZiBenHuoGuBenDaoZhiQiTaQuanYiGongJuZhongDeQiTaBianDongJinE" label="盈余公积转增资本（或股本）导致其他权益工具中的其他变动金额" mulRef="_GBC_048773409e614c6bb753000b028316a5" unitRef="_GBC_5214b7a188334da286fc3038d017d072" addr="T2R21C4S1_1" formatStyle="Comma">
          <m:axisValue occRef="母公司"/>
        </m:item>
        <m:item xlName="_GBC_18ff8655266e44e38a43344195d3707e" concept="clcid-pte:YingYuGongJiZhuanZengZiBenHuoGuBenDaoZhiZiBenGongJiBianDongJinE" label="盈余公积转增资本（或股本）导致资本公积变动金额" mulRef="_GBC_048773409e614c6bb753000b028316a5" unitRef="_GBC_5214b7a188334da286fc3038d017d072" addr="T2R21C5S1_1" formatStyle="Comma">
          <m:axisValue occRef="母公司"/>
        </m:item>
        <m:item xlName="_GBC_bfa0a9a0daa5400ead5e72c6b3f7aa1c" concept="clcid-pte:YingYuGongJiZhuanZengZiBenHuoGuBenDaoZhiKuCunGuBianDongJinE" label="盈余公积转增资本（或股本）导致库存股变动金额" mulRef="_GBC_048773409e614c6bb753000b028316a5" unitRef="_GBC_5214b7a188334da286fc3038d017d072" addr="T2R21C6S1_1" baseScale="-1" formatStyle="Comma">
          <m:axisValue occRef="母公司"/>
        </m:item>
        <m:item xlName="_GBC_da99848072324d198d06c654e311a376" concept="clcid-pte:YingYuGongJiZhuanZengZiBenHuoGuBenDaoZhiQiTaZongHeShouYiBianDongJinE" label="盈余公积转增资本（或股本）导致其他综合收益变动金额" mulRef="_GBC_048773409e614c6bb753000b028316a5" unitRef="_GBC_5214b7a188334da286fc3038d017d072" addr="T2R21C7S1_1" formatStyle="Comma">
          <m:axisValue occRef="母公司"/>
        </m:item>
        <m:item xlName="_GBC_d4e648e6b7ff4dc88db02532e2693a0e" concept="clcid-pte:YingYuGongJiZhuanZengZiBenHuoGuBenDaoZhiZhuanXiangChuBeiBianDongJinE" label="盈余公积转增资本（或股本）导致专项储备变动金额" mulRef="_GBC_048773409e614c6bb753000b028316a5" unitRef="_GBC_5214b7a188334da286fc3038d017d072" addr="T2R21C8S1_1" formatStyle="Comma">
          <m:axisValue occRef="母公司"/>
        </m:item>
        <m:item xlName="_GBC_edab473ca5144d29abff70144b20ac3c" concept="clcid-pte:YingYuGongJiZhuanZengZiBenHuoGuBenDaoZhiYingYuGongJiBianDongJinE" label="盈余公积转增资本（或股本）导致盈余公积变动金额" mulRef="_GBC_048773409e614c6bb753000b028316a5" unitRef="_GBC_5214b7a188334da286fc3038d017d072" addr="T2R21C9S1_1" formatStyle="Comma">
          <m:axisValue occRef="母公司"/>
        </m:item>
        <m:item xlName="_GBC_48a3b1d590d6424d9aff758ddb8abdb7" concept="clcid-pte:YingYuGongJiZhuanZengZiBenHuoGuBenDaoZhiWeiFenPeiLiRunBianDongJinE" label="盈余公积转增资本（或股本）导致未分配利润变动金额" mulRef="_GBC_048773409e614c6bb753000b028316a5" unitRef="_GBC_5214b7a188334da286fc3038d017d072" addr="T2R21C10S1_1" formatStyle="Comma">
          <m:axisValue occRef="母公司"/>
        </m:item>
        <m:item xlName="_GBC_965d5dcbedf241a391148016be3edce7" concept="clcid-pte:YingYuGongJiZhuanZengZiBenHuoGuBenDaoZhiGuDongQuanYiHeJiBianDongJinE" label="盈余公积转增资本（或股本）导致股东权益合计变动金额" mulRef="_GBC_048773409e614c6bb753000b028316a5" unitRef="_GBC_5214b7a188334da286fc3038d017d072" addr="T2R21C11S1_1" formatStyle="Comma">
          <m:axisValue occRef="母公司"/>
        </m:item>
        <m:placeholder xlName="_PLD_de8855f6aaf94578a33d614865e23362" wordText="3．盈余公积弥补亏损" addr="T2R22C0S1_1"/>
        <m:item xlName="_GBC_5d48a5e9136847799570f6a5c7cef694" concept="clcid-pte:YingYuGongJiMiBuKuiSunDaoZhiShiShouZiBenHuoGuBenJingEBianDongJinE" label="盈余公积弥补亏损导致实收资本（或股本）净额变动金额" mulRef="_GBC_048773409e614c6bb753000b028316a5" unitRef="_GBC_5214b7a188334da286fc3038d017d072" addr="T2R22C1S1_1" formatStyle="Comma">
          <m:axisValue occRef="母公司"/>
        </m:item>
        <m:item xlName="_GBC_88e846fa9c38423bbcb4a99c285835ee" concept="clcid-pte:YingYuGongJiMiBuKuiSunDaoZhiQiTaQuanYiGongJuZhongDeYouXianGuBianDongJinE" label="盈余公积弥补亏损导致其他权益工具中的优先股变动金额" mulRef="_GBC_048773409e614c6bb753000b028316a5" unitRef="_GBC_5214b7a188334da286fc3038d017d072" addr="T2R22C2S1_1" formatStyle="Comma">
          <m:axisValue occRef="母公司"/>
        </m:item>
        <m:item xlName="_GBC_2973af3f015d4026b18c0cdb49fc5439" concept="clcid-pte:YingYuGongJiMiBuKuiSunDaoZhiQiTaQuanYiGongJuZhongDeYongXuZhaiBianDongJinE" label="盈余公积弥补亏损导致其他权益工具中的永续债变动金额" mulRef="_GBC_048773409e614c6bb753000b028316a5" unitRef="_GBC_5214b7a188334da286fc3038d017d072" addr="T2R22C3S1_1" formatStyle="Comma">
          <m:axisValue occRef="母公司"/>
        </m:item>
        <m:item xlName="_GBC_5564ea9999314224b12e17bdfb3524dd" concept="clcid-pte:YingYuGongJiMiBuKuiSunDaoZhiQiTaQuanYiGongJuZhongDeQiTaBianDongJinE" label="盈余公积弥补亏损导致其他权益工具中的其他变动金额" mulRef="_GBC_048773409e614c6bb753000b028316a5" unitRef="_GBC_5214b7a188334da286fc3038d017d072" addr="T2R22C4S1_1" formatStyle="Comma">
          <m:axisValue occRef="母公司"/>
        </m:item>
        <m:item xlName="_GBC_c84ec11685554628ab96da1b104930b5" concept="clcid-pte:YingYuGongJiMiBuKuiSunDaoZhiZiBenGongJiBianDongJinE" label="盈余公积弥补亏损导致资本公积变动金额" mulRef="_GBC_048773409e614c6bb753000b028316a5" unitRef="_GBC_5214b7a188334da286fc3038d017d072" addr="T2R22C5S1_1" formatStyle="Comma">
          <m:axisValue occRef="母公司"/>
        </m:item>
        <m:item xlName="_GBC_20b725b514504790bf4fcb0d97180ae0" concept="clcid-pte:YingYuGongJiMiBuKuiSunDaoZhiKuCunGuBianDongJinE" label="盈余公积弥补亏损导致库存股变动金额" mulRef="_GBC_048773409e614c6bb753000b028316a5" unitRef="_GBC_5214b7a188334da286fc3038d017d072" addr="T2R22C6S1_1" baseScale="-1" formatStyle="Comma">
          <m:axisValue occRef="母公司"/>
        </m:item>
        <m:item xlName="_GBC_fc1048146ffa4876a3967c24bb5845c9" concept="clcid-pte:YingYuGongJiMiBuKuiSunDaoZhiQiTaZongHeShouYiBianDongJinE" label="盈余公积弥补亏损导致其他综合收益变动金额" mulRef="_GBC_048773409e614c6bb753000b028316a5" unitRef="_GBC_5214b7a188334da286fc3038d017d072" addr="T2R22C7S1_1" formatStyle="Comma">
          <m:axisValue occRef="母公司"/>
        </m:item>
        <m:item xlName="_GBC_1ef13efafffe4b069ede2fec79758312" concept="clcid-pte:YingYuGongJiMiBuKuiSunDaoZhiZhuanXiangChuBeiBianDongJinE" label="盈余公积弥补亏损导致专项储备变动金额" mulRef="_GBC_048773409e614c6bb753000b028316a5" unitRef="_GBC_5214b7a188334da286fc3038d017d072" addr="T2R22C8S1_1" formatStyle="Comma">
          <m:axisValue occRef="母公司"/>
        </m:item>
        <m:item xlName="_GBC_67f03a80d06247c9a8a4e39552666c1b" concept="clcid-pte:YingYuGongJiMiBuKuiSunDaoZhiYingYuGongJiBianDongJinE" label="盈余公积弥补亏损导致盈余公积变动金额" mulRef="_GBC_048773409e614c6bb753000b028316a5" unitRef="_GBC_5214b7a188334da286fc3038d017d072" addr="T2R22C9S1_1" formatStyle="Comma">
          <m:axisValue occRef="母公司"/>
        </m:item>
        <m:item xlName="_GBC_c1b05f8c990b4b1a8bba1c78e3fdc78c" concept="clcid-pte:YingYuGongJiMiBuKuiSunDaoZhiWeiFenPeiLiRunBianDongJinE" label="盈余公积弥补亏损导致未分配利润变动金额" mulRef="_GBC_048773409e614c6bb753000b028316a5" unitRef="_GBC_5214b7a188334da286fc3038d017d072" addr="T2R22C10S1_1" formatStyle="Comma">
          <m:axisValue occRef="母公司"/>
        </m:item>
        <m:item xlName="_GBC_e4aebf343e0f4523b9018476c22f3fec" concept="clcid-pte:YingYuGongJiMiBuKuiSunDaoZhiGuDongQuanYiHeJiBianDongJinE" label="盈余公积弥补亏损导致股东权益合计变动金额" mulRef="_GBC_048773409e614c6bb753000b028316a5" unitRef="_GBC_5214b7a188334da286fc3038d017d072" addr="T2R22C11S1_1" formatStyle="Comma">
          <m:axisValue occRef="母公司"/>
        </m:item>
        <m:placeholder xlName="_PLD_0a2eca501c544dfc9dfd8d666c32970b" wordText="4．设定受益计划变动额结转留存收益" addr="T2R23C0S1_1"/>
        <m:item xlName="_GBC_bff08555beeb4bd789f77505463e1d39" concept="clcid-pte:SheDingShouYiJiHuaBianDongEJieZhuanLiuCunShouYiDaoZhiShiShouZiBenHuoGuBenJingEBianDongJinE" label="设定受益计划变动额结转留存收益导致实收资本（或股本）净额变动金额" mulRef="_GBC_048773409e614c6bb753000b028316a5" unitRef="_GBC_5214b7a188334da286fc3038d017d072" addr="T2R23C1S1_1" formatStyle="Comma">
          <m:axisValue occRef="母公司"/>
        </m:item>
        <m:item xlName="_GBC_99b915b879064b4898deeabc527f3359" concept="clcid-pte:SheDingShouYiJiHuaBianDongEJieZhuanLiuCunShouYiDaoZhiQiTaQuanYiGongJuZhongDeYouXianGuBianDongJinE" label="设定受益计划变动额结转留存收益导致其他权益工具中的优先股变动金额" mulRef="_GBC_048773409e614c6bb753000b028316a5" unitRef="_GBC_5214b7a188334da286fc3038d017d072" addr="T2R23C2S1_1" formatStyle="Comma">
          <m:axisValue occRef="母公司"/>
        </m:item>
        <m:item xlName="_GBC_c5e1105395084f62a728f126612a72b9" concept="clcid-pte:SheDingShouYiJiHuaBianDongEJieZhuanLiuCunShouYiDaoZhiQiTaQuanYiGongJuZhongDeYongXuZhaiBianDongJinE" label="设定受益计划变动额结转留存收益导致其他权益工具中的永续债变动金额" mulRef="_GBC_048773409e614c6bb753000b028316a5" unitRef="_GBC_5214b7a188334da286fc3038d017d072" addr="T2R23C3S1_1" formatStyle="Comma">
          <m:axisValue occRef="母公司"/>
        </m:item>
        <m:item xlName="_GBC_314eff58f51e49bda705a74512a1c2a4" concept="clcid-pte:SheDingShouYiJiHuaBianDongEJieZhuanLiuCunShouYiDaoZhiQiTaQuanYiGongJuZhongDeQiTaBianDongJinE" label="设定受益计划变动额结转留存收益导致其他权益工具中的其他变动金额" mulRef="_GBC_048773409e614c6bb753000b028316a5" unitRef="_GBC_5214b7a188334da286fc3038d017d072" addr="T2R23C4S1_1" formatStyle="Comma">
          <m:axisValue occRef="母公司"/>
        </m:item>
        <m:item xlName="_GBC_f51e3264b34f44b690775be8ceb8f390" concept="clcid-pte:SheDingShouYiJiHuaBianDongEJieZhuanLiuCunShouYiDaoZhiZiBenGongJiBianDongJinE" label="设定受益计划变动额结转留存收益导致资本公积变动金额" mulRef="_GBC_048773409e614c6bb753000b028316a5" unitRef="_GBC_5214b7a188334da286fc3038d017d072" addr="T2R23C5S1_1" formatStyle="Comma">
          <m:axisValue occRef="母公司"/>
        </m:item>
        <m:item xlName="_GBC_65d86a7b13ca412fabc1031813ef2e28" concept="clcid-pte:SheDingShouYiJiHuaBianDongEJieZhuanLiuCunShouYiDaoZhiKuCunGuBianDongJinE" label="设定受益计划变动额结转留存收益导致库存股变动金额" mulRef="_GBC_048773409e614c6bb753000b028316a5" unitRef="_GBC_5214b7a188334da286fc3038d017d072" addr="T2R23C6S1_1" baseScale="-1" formatStyle="Comma">
          <m:axisValue occRef="母公司"/>
        </m:item>
        <m:item xlName="_GBC_a63b6ef0ecee49f997ff5caa3b089b52" concept="clcid-pte:SheDingShouYiJiHuaBianDongEJieZhuanLiuCunShouYiDaoZhiQiTaZongHeShouYiBianDongJinE" label="设定受益计划变动额结转留存收益导致其他综合收益变动金额" mulRef="_GBC_048773409e614c6bb753000b028316a5" unitRef="_GBC_5214b7a188334da286fc3038d017d072" addr="T2R23C7S1_1" formatStyle="Comma">
          <m:axisValue occRef="母公司"/>
        </m:item>
        <m:item xlName="_GBC_22dabbd4d1ca4e9ebd43dea6c7d37add" concept="clcid-pte:SheDingShouYiJiHuaBianDongEJieZhuanLiuCunShouYiDaoZhiZhuanXiangChuBeiBianDongJinE" label="设定受益计划变动额结转留存收益导致专项储备变动金额" mulRef="_GBC_048773409e614c6bb753000b028316a5" unitRef="_GBC_5214b7a188334da286fc3038d017d072" addr="T2R23C8S1_1" formatStyle="Comma">
          <m:axisValue occRef="母公司"/>
        </m:item>
        <m:item xlName="_GBC_9fdd067bf63a43c689a99a093ccb677d" concept="clcid-pte:SheDingShouYiJiHuaBianDongEJieZhuanLiuCunShouYiDaoZhiYingYuGongJiBianDongJinE" label="设定受益计划变动额结转留存收益导致盈余公积变动金额" mulRef="_GBC_048773409e614c6bb753000b028316a5" unitRef="_GBC_5214b7a188334da286fc3038d017d072" addr="T2R23C9S1_1" formatStyle="Comma">
          <m:axisValue occRef="母公司"/>
        </m:item>
        <m:item xlName="_GBC_76faf77fcdb34254874c13ecce52e7e4" concept="clcid-pte:SheDingShouYiJiHuaBianDongEJieZhuanLiuCunShouYiDaoZhiWeiFenPeiLiRunBianDongJinE" label="设定受益计划变动额结转留存收益导致未分配利润变动金额" mulRef="_GBC_048773409e614c6bb753000b028316a5" unitRef="_GBC_5214b7a188334da286fc3038d017d072" addr="T2R23C10S1_1" formatStyle="Comma">
          <m:axisValue occRef="母公司"/>
        </m:item>
        <m:item xlName="_GBC_d5ee84e928ca4780be8bb420500c16ec" concept="clcid-pte:SheDingShouYiJiHuaBianDongEJieZhuanLiuCunShouYiDaoZhiGuDongQuanYiHeJiBianDongJinE" label="设定受益计划变动额结转留存收益导致股东权益合计变动金额" mulRef="_GBC_048773409e614c6bb753000b028316a5" unitRef="_GBC_5214b7a188334da286fc3038d017d072" addr="T2R23C11S1_1" formatStyle="Comma">
          <m:axisValue occRef="母公司"/>
        </m:item>
        <m:placeholder xlName="_PLD_e2c794a3876347288864cf2ea4ed53e5" wordText="5．其他综合收益结转留存收益" addr="T2R24C0S1_1"/>
        <m:item xlName="_GBC_f885a2a29ffc445da37ca65a913cacee" concept="clcid-pte:QiTaZongHeShouYiJieZhuanLiuCunShouYiDaoZhiShiShouZiBenHuoGuBenJingEBianDongJinE" label="其他综合收益结转留存收益导致实收资本（或股本）净额变动金额" mulRef="_GBC_048773409e614c6bb753000b028316a5" unitRef="_GBC_5214b7a188334da286fc3038d017d072" addr="T2R24C1S1_1" formatStyle="Comma">
          <m:axisValue occRef="母公司"/>
        </m:item>
        <m:item xlName="_GBC_152fce9d64c8482597921e9e22b8a108" concept="clcid-pte:QiTaZongHeShouYiJieZhuanLiuCunShouYiDaoZhiQiTaQuanYiGongJuZhongDeYouXianGuBianDongJinE" label="其他综合收益结转留存收益导致其他权益工具中的优先股变动金额" mulRef="_GBC_048773409e614c6bb753000b028316a5" unitRef="_GBC_5214b7a188334da286fc3038d017d072" addr="T2R24C2S1_1" formatStyle="Comma">
          <m:axisValue occRef="母公司"/>
        </m:item>
        <m:item xlName="_GBC_688e9491a564434a875ee362a2f9e710" concept="clcid-pte:QiTaZongHeShouYiJieZhuanLiuCunShouYiDaoZhiQiTaQuanYiGongJuZhongDeYongXuZhaiBianDongJinE" label="其他综合收益结转留存收益导致其他权益工具中的永续债变动金额" mulRef="_GBC_048773409e614c6bb753000b028316a5" unitRef="_GBC_5214b7a188334da286fc3038d017d072" addr="T2R24C3S1_1" formatStyle="Comma">
          <m:axisValue occRef="母公司"/>
        </m:item>
        <m:item xlName="_GBC_2bbbd85417d141fd83fcdb2a38e8512f" concept="clcid-pte:QiTaZongHeShouYiJieZhuanLiuCunShouYiDaoZhiQiTaQuanYiGongJuZhongDeQiTaBianDongJinE" label="其他综合收益结转留存收益导致其他权益工具中的其他变动金额" mulRef="_GBC_048773409e614c6bb753000b028316a5" unitRef="_GBC_5214b7a188334da286fc3038d017d072" addr="T2R24C4S1_1" formatStyle="Comma">
          <m:axisValue occRef="母公司"/>
        </m:item>
        <m:item xlName="_GBC_ef7bbf09455b4b6d9a442ad0ac337fd4" concept="clcid-pte:QiTaZongHeShouYiJieZhuanLiuCunShouYiDaoZhiZiBenGongJiBianDongJinE" label="其他综合收益结转留存收益导致资本公积变动金额" mulRef="_GBC_048773409e614c6bb753000b028316a5" unitRef="_GBC_5214b7a188334da286fc3038d017d072" addr="T2R24C5S1_1" formatStyle="Comma">
          <m:axisValue occRef="母公司"/>
        </m:item>
        <m:item xlName="_GBC_6b4eeae7d77d45ff874afee217490251" concept="clcid-pte:QiTaZongHeShouYiJieZhuanLiuCunShouYiDaoZhiKuCunGuBianDongJinE" label="其他综合收益结转留存收益导致库存股变动金额" mulRef="_GBC_048773409e614c6bb753000b028316a5" unitRef="_GBC_5214b7a188334da286fc3038d017d072" addr="T2R24C6S1_1" baseScale="-1" formatStyle="Comma">
          <m:axisValue occRef="母公司"/>
        </m:item>
        <m:item xlName="_GBC_ff453bae05a649079ea396094173e178" concept="clcid-pte:QiTaZongHeShouYiJieZhuanLiuCunShouYiDaoZhiQiTaZongHeShouYiBianDongJinE" label="其他综合收益结转留存收益导致其他综合收益变动金额" mulRef="_GBC_048773409e614c6bb753000b028316a5" unitRef="_GBC_5214b7a188334da286fc3038d017d072" addr="T2R24C7S1_1" formatStyle="Comma">
          <m:axisValue occRef="母公司"/>
        </m:item>
        <m:item xlName="_GBC_8623d7fd8d354fcb8035a535275addce" concept="clcid-pte:QiTaZongHeShouYiJieZhuanLiuCunShouYiDaoZhiZhuanXiangChuBeiBianDongJinE" label="其他综合收益结转留存收益导致专项储备变动金额" mulRef="_GBC_048773409e614c6bb753000b028316a5" unitRef="_GBC_5214b7a188334da286fc3038d017d072" addr="T2R24C8S1_1" formatStyle="Comma">
          <m:axisValue occRef="母公司"/>
        </m:item>
        <m:item xlName="_GBC_9ac3eb6454654435a837c9514e8c9673" concept="clcid-pte:QiTaZongHeShouYiJieZhuanLiuCunShouYiDaoZhiYingYuGongJiBianDongJinE" label="其他综合收益结转留存收益导致盈余公积变动金额" mulRef="_GBC_048773409e614c6bb753000b028316a5" unitRef="_GBC_5214b7a188334da286fc3038d017d072" addr="T2R24C9S1_1" formatStyle="Comma">
          <m:axisValue occRef="母公司"/>
        </m:item>
        <m:item xlName="_GBC_1f4c155e6d28459884f4f76013b92820" concept="clcid-pte:QiTaZongHeShouYiJieZhuanLiuCunShouYiDaoZhiWeiFenPeiLiRunBianDongJinE" label="其他综合收益结转留存收益导致未分配利润变动金额" mulRef="_GBC_048773409e614c6bb753000b028316a5" unitRef="_GBC_5214b7a188334da286fc3038d017d072" addr="T2R24C10S1_1" formatStyle="Comma">
          <m:axisValue occRef="母公司"/>
        </m:item>
        <m:item xlName="_GBC_44202c7c0b364279a5cbd9ac0b3d5645" concept="clcid-pte:QiTaZongHeShouYiJieZhuanLiuCunShouYiDaoZhiGuDongQuanYiHeJiBianDongJinE" label="其他综合收益结转留存收益导致股东权益合计变动金额" mulRef="_GBC_048773409e614c6bb753000b028316a5" unitRef="_GBC_5214b7a188334da286fc3038d017d072" addr="T2R24C11S1_1" formatStyle="Comma">
          <m:axisValue occRef="母公司"/>
        </m:item>
        <m:placeholder xlName="_PLD_921b15a12ec54658b00654a6a398aa0c" wordText="6．其他" addr="T2R25C0S1_1"/>
        <m:item xlName="_GBC_1877e42a9d9c47eab08cc22df75fb2c1" concept="clcid-pte:QiTaSuoYouZheQuanYiNeiBuJieZhuanDaoZhiShiShouZiBenHuoGuBenJingEBianDongJinE" label="其他所有者权益内部结转导致实收资本（或股本）净额变动金额" mulRef="_GBC_048773409e614c6bb753000b028316a5" unitRef="_GBC_5214b7a188334da286fc3038d017d072" addr="T2R25C1S1_1" formatStyle="Comma">
          <m:axisValue occRef="母公司"/>
        </m:item>
        <m:item xlName="_GBC_3fa0bc554981484683938c5cf2be906e" concept="clcid-pte:QiTaSuoYouZheQuanYiNeiBuJieZhuanDaoZhiQiTaQuanYiGongJuZhongDeYouXianGuBianDongJinE" label="其他所有者权益内部结转导致其他权益工具中的优先股变动金额" mulRef="_GBC_048773409e614c6bb753000b028316a5" unitRef="_GBC_5214b7a188334da286fc3038d017d072" addr="T2R25C2S1_1" formatStyle="Comma">
          <m:axisValue occRef="母公司"/>
        </m:item>
        <m:item xlName="_GBC_a5e2c33000b04e869cea8412ff49274e" concept="clcid-pte:QiTaSuoYouZheQuanYiNeiBuJieZhuanDaoZhiQiTaQuanYiGongJuZhongDeYongXuZhaiBianDongJinE" label="其他所有者权益内部结转导致其他权益工具中的永续债变动金额" mulRef="_GBC_048773409e614c6bb753000b028316a5" unitRef="_GBC_5214b7a188334da286fc3038d017d072" addr="T2R25C3S1_1" formatStyle="Comma">
          <m:axisValue occRef="母公司"/>
        </m:item>
        <m:item xlName="_GBC_58e86759d51d4197af9931b1dbdb46f0" concept="clcid-pte:QiTaSuoYouZheQuanYiNeiBuJieZhuanDaoZhiQiTaQuanYiGongJuZhongDeQiTaBianDongJinE" label="其他所有者权益内部结转导致其他权益工具中的其他变动金额" mulRef="_GBC_048773409e614c6bb753000b028316a5" unitRef="_GBC_5214b7a188334da286fc3038d017d072" addr="T2R25C4S1_1" formatStyle="Comma">
          <m:axisValue occRef="母公司"/>
        </m:item>
        <m:item xlName="_GBC_9b305efdb90149da8ee915484b2a4c72" concept="clcid-pte:QiTaSuoYouZheQuanYiNeiBuJieZhuanDaoZhiZiBenGongJiBianDongJinE" label="其他所有者权益内部结转导致资本公积变动金额" mulRef="_GBC_048773409e614c6bb753000b028316a5" unitRef="_GBC_5214b7a188334da286fc3038d017d072" addr="T2R25C5S1_1" formatStyle="Comma">
          <m:axisValue occRef="母公司"/>
        </m:item>
        <m:item xlName="_GBC_fd481a7040274797ab25f52e69cf972b" concept="clcid-pte:QiTaSuoYouZheQuanYiNeiBuJieZhuanDaoZhiKuCunGuBianDongJinE" label="其他所有者权益内部结转导致库存股变动金额" mulRef="_GBC_048773409e614c6bb753000b028316a5" unitRef="_GBC_5214b7a188334da286fc3038d017d072" addr="T2R25C6S1_1" baseScale="-1" formatStyle="Comma">
          <m:axisValue occRef="母公司"/>
        </m:item>
        <m:item xlName="_GBC_9c54f67f401f4b1f8cc7829e19729c73" concept="clcid-pte:QiTaSuoYouZheQuanYiNeiBuJieZhuanDaoZhiQiTaZongHeShouYiBianDongJinE" label="其他所有者权益内部结转导致其他综合收益变动金额" mulRef="_GBC_048773409e614c6bb753000b028316a5" unitRef="_GBC_5214b7a188334da286fc3038d017d072" addr="T2R25C7S1_1" formatStyle="Comma">
          <m:axisValue occRef="母公司"/>
        </m:item>
        <m:item xlName="_GBC_ddf5f593f73c4eae93e1ec2b0174b525" concept="clcid-pte:QiTaSuoYouZheQuanYiNeiBuJieZhuanDaoZhiZhuanXiangChuBeiBianDongJinE" label="其他所有者权益内部结转导致专项储备变动金额" mulRef="_GBC_048773409e614c6bb753000b028316a5" unitRef="_GBC_5214b7a188334da286fc3038d017d072" addr="T2R25C8S1_1" formatStyle="Comma">
          <m:axisValue occRef="母公司"/>
        </m:item>
        <m:item xlName="_GBC_5137e2c1eef048f5bdf401ec7cbee77a" concept="clcid-pte:QiTaSuoYouZheQuanYiNeiBuJieZhuanDaoZhiYingYuGongJiBianDongJinE" label="其他所有者权益内部结转导致盈余公积变动金额" mulRef="_GBC_048773409e614c6bb753000b028316a5" unitRef="_GBC_5214b7a188334da286fc3038d017d072" addr="T2R25C9S1_1" formatStyle="Comma">
          <m:axisValue occRef="母公司"/>
        </m:item>
        <m:item xlName="_GBC_6b27402e249b45ceb366caf234e369ee" concept="clcid-pte:QiTaSuoYouZheQuanYiNeiBuJieZhuanDaoZhiWeiFenPeiLiRunBianDongJinE" label="其他所有者权益内部结转导致未分配利润变动金额" mulRef="_GBC_048773409e614c6bb753000b028316a5" unitRef="_GBC_5214b7a188334da286fc3038d017d072" addr="T2R25C10S1_1" formatStyle="Comma">
          <m:axisValue occRef="母公司"/>
        </m:item>
        <m:item xlName="_GBC_97127af10d554badbf8583713f1cb64f" concept="clcid-pte:QiTaSuoYouZheQuanYiNeiBuJieZhuanDaoZhiGuDongQuanYiHeJiBianDongJinE" label="其他所有者权益内部结转导致股东权益合计变动金额" mulRef="_GBC_048773409e614c6bb753000b028316a5" unitRef="_GBC_5214b7a188334da286fc3038d017d072" addr="T2R25C11S1_1" formatStyle="Comma">
          <m:axisValue occRef="母公司"/>
        </m:item>
        <m:placeholder xlName="_PLD_ea236cbce24c48eabfeb2f3f4a19c5a8" wordText="（五）专项储备" addr="T2R26C0S1_1"/>
        <m:item xlName="_GBC_f1b054408cbe4196b2b33a927258093d" concept="clcid-pte:ZhuanXiangChuBeiDaoZhiShiShouZiBenHuoGuBenJingEBianDongJinE" label="专项储备导致实收资本（或股本）净额变动金额" mulRef="_GBC_048773409e614c6bb753000b028316a5" unitRef="_GBC_5214b7a188334da286fc3038d017d072" addr="T2R26C1S1_1" formatStyle="Comma">
          <m:complexRule comparator="Eq" title="母公司专项储备导致实收资本（或股本）净额变动金额" test=" $_GBC_62a2b59991d74f99b8e152a7e3a4e3c1 -  $_GBC_22b1ee3fca104d83bca358af456d1951" id="C46d2d9af59d84f93ba6805c1ca04c467"/>
          <m:axisValue occRef="母公司"/>
        </m:item>
        <m:item xlName="_GBC_316660df83eb4a499be7d7ee85097c38" concept="clcid-pte:ZhuanXiangChuBeiDaoZhiQiTaQuanYiGongJuZhongDeYouXianGuBianDongJinE" label="专项储备导致其他权益工具中的优先股变动金额" mulRef="_GBC_048773409e614c6bb753000b028316a5" unitRef="_GBC_5214b7a188334da286fc3038d017d072" addr="T2R26C2S1_1" formatStyle="Comma">
          <m:complexRule comparator="Eq" title="母公司专项储备导致其他权益工具中的优先股变动金额" test=" $_GBC_c448d655d359424bbad5606e171b2336 -  $_GBC_fd9833a4056849ed8707c879e8e92c9c" id="C3a953aca8d524a6dae981078a15ed2c9"/>
          <m:axisValue occRef="母公司"/>
        </m:item>
        <m:item xlName="_GBC_d60a83f1c6674d88a406518e351acaac" concept="clcid-pte:ZhuanXiangChuBeiDaoZhiQiTaQuanYiGongJuZhongDeYongXuZhaiBianDongJinE" label="专项储备导致其他权益工具中的永续债变动金额" mulRef="_GBC_048773409e614c6bb753000b028316a5" unitRef="_GBC_5214b7a188334da286fc3038d017d072" addr="T2R26C3S1_1" formatStyle="Comma">
          <m:complexRule comparator="Eq" title="母公司专项储备导致其他权益工具中的永续债变动金额" test=" $_GBC_53946e067f2048338f1d095b072b710a -  $_GBC_704a7e8679454576a34f88e62acc7db5" id="C0a4d48f32b4c4b6e846bcd1bb7152a87"/>
          <m:axisValue occRef="母公司"/>
        </m:item>
        <m:item xlName="_GBC_f3169882a64d4788b6c1d75c61eba773" concept="clcid-pte:ZhuanXiangChuBeiDaoZhiQiTaQuanYiGongJuZhongDeQiTaBianDongJinE" label="专项储备导致其他权益工具中的其他变动金额" mulRef="_GBC_048773409e614c6bb753000b028316a5" unitRef="_GBC_5214b7a188334da286fc3038d017d072" addr="T2R26C4S1_1" formatStyle="Comma">
          <m:complexRule comparator="Eq" title="母公司专项储备导致其他权益工具中的其他变动金额" test=" $_GBC_c3be6e404bc8459b90ab90ffb62a3b3e -  $_GBC_d9c03995cc454ad8a82fb3d04035f185" id="C31a51b5139f044b28e409cea30c80663"/>
          <m:axisValue occRef="母公司"/>
        </m:item>
        <m:item xlName="_GBC_30dc3f1de6c845d38e58bb9763738a9d" concept="clcid-pte:ZhuanXiangChuBeiDaoZhiZiBenGongJiBianDongJinE" label="专项储备导致资本公积变动金额" mulRef="_GBC_048773409e614c6bb753000b028316a5" unitRef="_GBC_5214b7a188334da286fc3038d017d072" addr="T2R26C5S1_1" formatStyle="Comma">
          <m:complexRule comparator="Eq" title="母公司专项储备导致资本公积变动金额" test=" $_GBC_c64ef6d60417498cb1a160ce3a6f6368 -  $_GBC_3885d76a0f4a4913a62a4112462f1b0e" id="C01263de0ec0b48e2810c05760feb1450"/>
          <m:axisValue occRef="母公司"/>
        </m:item>
        <m:item xlName="_GBC_228e4a62751e488f8e7322105d62077a" concept="clcid-pte:ZhuanXiangChuBeiDaoZhiKuCunGuBianDongJinE" label="专项储备导致库存股变动金额" mulRef="_GBC_048773409e614c6bb753000b028316a5" unitRef="_GBC_5214b7a188334da286fc3038d017d072" addr="T2R26C6S1_1" baseScale="-1" formatStyle="Comma">
          <m:complexRule comparator="Eq" title="母公司专项储备导致库存股变动金额" test=" $_GBC_00943c502a1b461b885352879a7db097 -  $_GBC_7cc8a4c1a99a4019827e384f72e5a875" id="C3039af4182444fabb978297c2745c3b3"/>
          <m:axisValue occRef="母公司"/>
        </m:item>
        <m:item xlName="_GBC_c0800497a3014a3182ea35227107aeff" concept="clcid-pte:ZhuanXiangChuBeiDaoZhiQiTaZongHeShouYiBianDongJinE" label="专项储备导致其他综合收益变动金额" mulRef="_GBC_048773409e614c6bb753000b028316a5" unitRef="_GBC_5214b7a188334da286fc3038d017d072" addr="T2R26C7S1_1" formatStyle="Comma">
          <m:complexRule comparator="Eq" title="母公司专项储备导致其他综合收益变动金额" test=" $_GBC_dcb4c07050c549bca3ea697cff8b2934 -  $_GBC_73f38d3458ea41b491ddfd7cd0ea4b91" id="Cb285c82ff313449d86d08a292cad214a"/>
          <m:axisValue occRef="母公司"/>
        </m:item>
        <m:item xlName="_GBC_95c373e83263474eb617db37c864136c" concept="clcid-pte:ZhuanXiangChuBeiDaoZhiZhuanXiangChuBeiBianDongJinE" label="专项储备导致专项储备变动金额" mulRef="_GBC_048773409e614c6bb753000b028316a5" unitRef="_GBC_5214b7a188334da286fc3038d017d072" addr="T2R26C8S1_1" formatStyle="Comma">
          <m:complexRule comparator="Eq" title="母公司专项储备导致专项储备变动金额" test=" $_GBC_ba902094ffa248cb8e3877ce9eeff459 -  $_GBC_ce9d46a3b666495ea03f46e46246ac07" id="Cd95d2dbd50ab4221942352a58a83ad97"/>
          <m:axisValue occRef="母公司"/>
        </m:item>
        <m:item xlName="_GBC_20b44454e6d04a2a98680af00e503992" concept="clcid-pte:ZhuanXiangChuBeiDaoZhiYingYuGongJiBianDongJinE" label="专项储备导致盈余公积变动金额" mulRef="_GBC_048773409e614c6bb753000b028316a5" unitRef="_GBC_5214b7a188334da286fc3038d017d072" addr="T2R26C9S1_1" formatStyle="Comma">
          <m:complexRule comparator="Eq" title="母公司专项储备导致盈余公积变动金额" test=" $_GBC_567d41e2024a4473b484d8a9755feefb -  $_GBC_221a5a295d8e42739ad1341e6c42a730" id="Cd26a143cd4124d0ba24bd200213a8678"/>
          <m:axisValue occRef="母公司"/>
        </m:item>
        <m:item xlName="_GBC_1b6f77b7c9ef4340ac368175bc963067" concept="clcid-pte:ZhuanXiangChuBeiDaoZhiWeiFenPeiLiRunBianDongJinE" label="专项储备导致未分配利润变动金额" mulRef="_GBC_048773409e614c6bb753000b028316a5" unitRef="_GBC_5214b7a188334da286fc3038d017d072" addr="T2R26C10S1_1" formatStyle="Comma">
          <m:complexRule comparator="Eq" title="母公司专项储备导致未分配利润变动金额" test=" $_GBC_2af758bf2e634153b94656575a587376 -  $_GBC_6dc8291cbd3a430b90ef17a65ea75aad" id="Cd061e588ea204f8db0c6bbbba539bb0d"/>
          <m:axisValue occRef="母公司"/>
        </m:item>
        <m:item xlName="_GBC_8f69578052804f5b9caf0a508e63cebc" concept="clcid-pte:ZhuanXiangChuBeiDaoZhiGuDongQuanYiHeJiBianDongJinE" label="专项储备导致股东权益合计变动金额" mulRef="_GBC_048773409e614c6bb753000b028316a5" unitRef="_GBC_5214b7a188334da286fc3038d017d072" addr="T2R26C11S1_1" formatStyle="Comma">
          <m:complexRule comparator="Eq" title="母公司专项储备导致股东权益合计变动金额" test=" $_GBC_ae5c10b3f55549d1a32351dc9d750a24 -  $_GBC_429342ce161b4174aca098378203cb31" id="C59baa5f197b543c2982233a04f0db842"/>
          <m:axisValue occRef="母公司"/>
        </m:item>
        <m:placeholder xlName="_PLD_f798cf6aa8f24816a06eab77e71e6a42" wordText="1．本期提取" addr="T2R27C0S1_1"/>
        <m:item xlName="_GBC_62a2b59991d74f99b8e152a7e3a4e3c1" concept="clcid-pte:TiQuDaoZhiShiShouZiBenHuoGuBenJingEBianDongJinE" label="提取导致实收资本（或股本）净额变动金额" mulRef="_GBC_048773409e614c6bb753000b028316a5" unitRef="_GBC_5214b7a188334da286fc3038d017d072" addr="T2R27C1S1_1" formatStyle="Comma">
          <m:axisValue occRef="母公司"/>
        </m:item>
        <m:item xlName="_GBC_c448d655d359424bbad5606e171b2336" concept="clcid-pte:TiQuDaoZhiQiTaQuanYiGongJuZhongDeYouXianGuBianDongJinE" label="提取导致其他权益工具中的优先股变动金额" mulRef="_GBC_048773409e614c6bb753000b028316a5" unitRef="_GBC_5214b7a188334da286fc3038d017d072" addr="T2R27C2S1_1" formatStyle="Comma">
          <m:axisValue occRef="母公司"/>
        </m:item>
        <m:item xlName="_GBC_53946e067f2048338f1d095b072b710a" concept="clcid-pte:TiQuDaoZhiQiTaQuanYiGongJuZhongDeYongXuZhaiBianDongJinE" label="提取导致其他权益工具中的永续债变动金额" mulRef="_GBC_048773409e614c6bb753000b028316a5" unitRef="_GBC_5214b7a188334da286fc3038d017d072" addr="T2R27C3S1_1" formatStyle="Comma">
          <m:axisValue occRef="母公司"/>
        </m:item>
        <m:item xlName="_GBC_c3be6e404bc8459b90ab90ffb62a3b3e" concept="clcid-pte:TiQuDaoZhiQiTaQuanYiGongJuZhongDeQiTaBianDongJinE" label="提取导致其他权益工具中的其他变动金额" mulRef="_GBC_048773409e614c6bb753000b028316a5" unitRef="_GBC_5214b7a188334da286fc3038d017d072" addr="T2R27C4S1_1" formatStyle="Comma">
          <m:axisValue occRef="母公司"/>
        </m:item>
        <m:item xlName="_GBC_c64ef6d60417498cb1a160ce3a6f6368" concept="clcid-pte:TiQuDaoZhiZiBenGongJiBianDongJinE" label="提取导致资本公积变动金额" mulRef="_GBC_048773409e614c6bb753000b028316a5" unitRef="_GBC_5214b7a188334da286fc3038d017d072" addr="T2R27C5S1_1" formatStyle="Comma">
          <m:axisValue occRef="母公司"/>
        </m:item>
        <m:item xlName="_GBC_00943c502a1b461b885352879a7db097" concept="clcid-pte:TiQuDaoZhiKuCunGuBianDongJinE" label="提取导致库存股变动金额" mulRef="_GBC_048773409e614c6bb753000b028316a5" unitRef="_GBC_5214b7a188334da286fc3038d017d072" addr="T2R27C6S1_1" baseScale="-1" formatStyle="Comma">
          <m:axisValue occRef="母公司"/>
        </m:item>
        <m:item xlName="_GBC_dcb4c07050c549bca3ea697cff8b2934" concept="clcid-pte:TiQuDaoZhiQiTaZongHeShouYiBianDongJinE" label="提取导致其他综合收益变动金额" mulRef="_GBC_048773409e614c6bb753000b028316a5" unitRef="_GBC_5214b7a188334da286fc3038d017d072" addr="T2R27C7S1_1" formatStyle="Comma">
          <m:axisValue occRef="母公司"/>
        </m:item>
        <m:item xlName="_GBC_ba902094ffa248cb8e3877ce9eeff459" concept="clcid-pte:TiQuDaoZhiZhuanXiangChuBeiBianDongJinE" label="提取导致专项储备变动金额" mulRef="_GBC_048773409e614c6bb753000b028316a5" unitRef="_GBC_5214b7a188334da286fc3038d017d072" addr="T2R27C8S1_1" formatStyle="Comma">
          <m:axisValue occRef="母公司"/>
        </m:item>
        <m:item xlName="_GBC_567d41e2024a4473b484d8a9755feefb" concept="clcid-pte:TiQuDaoZhiYingYuGongJiBianDongJinE" label="提取导致盈余公积变动金额" mulRef="_GBC_048773409e614c6bb753000b028316a5" unitRef="_GBC_5214b7a188334da286fc3038d017d072" addr="T2R27C9S1_1" formatStyle="Comma">
          <m:axisValue occRef="母公司"/>
        </m:item>
        <m:item xlName="_GBC_2af758bf2e634153b94656575a587376" concept="clcid-pte:TiQuDaoZhiWeiFenPeiLiRunBianDongJinE" label="提取导致未分配利润变动金额" mulRef="_GBC_048773409e614c6bb753000b028316a5" unitRef="_GBC_5214b7a188334da286fc3038d017d072" addr="T2R27C10S1_1" formatStyle="Comma">
          <m:axisValue occRef="母公司"/>
        </m:item>
        <m:item xlName="_GBC_ae5c10b3f55549d1a32351dc9d750a24" concept="clcid-pte:TiQuDaoZhiGuDongQuanYiHeJiBianDongJinE" label="提取导致股东权益合计变动金额" mulRef="_GBC_048773409e614c6bb753000b028316a5" unitRef="_GBC_5214b7a188334da286fc3038d017d072" addr="T2R27C11S1_1" formatStyle="Comma">
          <m:axisValue occRef="母公司"/>
        </m:item>
        <m:placeholder xlName="_PLD_294f6f5256724757ad52c27b29a0bb7d" wordText="2．本期使用" addr="T2R28C0S1_1"/>
        <m:item xlName="_GBC_22b1ee3fca104d83bca358af456d1951" concept="clcid-pte:ShiYongDaoZhiShiShouZiBenHuoGuBenJingEBianDongJinE" label="使用导致实收资本（或股本）净额变动金额" mulRef="_GBC_048773409e614c6bb753000b028316a5" unitRef="_GBC_5214b7a188334da286fc3038d017d072" addr="T2R28C1S1_1" formatStyle="Comma">
          <m:axisValue occRef="母公司"/>
        </m:item>
        <m:item xlName="_GBC_fd9833a4056849ed8707c879e8e92c9c" concept="clcid-pte:ShiYongDaoZhiQiTaQuanYiGongJuZhongDeYouXianGuBianDongJinE" label="使用导致其他权益工具中的优先股变动金额" mulRef="_GBC_048773409e614c6bb753000b028316a5" unitRef="_GBC_5214b7a188334da286fc3038d017d072" addr="T2R28C2S1_1" formatStyle="Comma">
          <m:axisValue occRef="母公司"/>
        </m:item>
        <m:item xlName="_GBC_704a7e8679454576a34f88e62acc7db5" concept="clcid-pte:ShiYongDaoZhiQiTaQuanYiGongJuZhongDeYongXuZhaiBianDongJinE" label="使用导致其他权益工具中的永续债变动金额" mulRef="_GBC_048773409e614c6bb753000b028316a5" unitRef="_GBC_5214b7a188334da286fc3038d017d072" addr="T2R28C3S1_1" formatStyle="Comma">
          <m:axisValue occRef="母公司"/>
        </m:item>
        <m:item xlName="_GBC_d9c03995cc454ad8a82fb3d04035f185" concept="clcid-pte:ShiYongDaoZhiQiTaQuanYiGongJuZhongDeQiTaBianDongJinE" label="使用导致其他权益工具中的其他变动金额" mulRef="_GBC_048773409e614c6bb753000b028316a5" unitRef="_GBC_5214b7a188334da286fc3038d017d072" addr="T2R28C4S1_1" formatStyle="Comma">
          <m:axisValue occRef="母公司"/>
        </m:item>
        <m:item xlName="_GBC_3885d76a0f4a4913a62a4112462f1b0e" concept="clcid-pte:ShiYongDaoZhiZiBenGongJiBianDongJinE" label="使用导致资本公积变动金额" mulRef="_GBC_048773409e614c6bb753000b028316a5" unitRef="_GBC_5214b7a188334da286fc3038d017d072" addr="T2R28C5S1_1" formatStyle="Comma">
          <m:axisValue occRef="母公司"/>
        </m:item>
        <m:item xlName="_GBC_7cc8a4c1a99a4019827e384f72e5a875" concept="clcid-pte:ShiYongDaoZhiKuCunGuBianDongJinE" label="使用导致库存股变动金额" mulRef="_GBC_048773409e614c6bb753000b028316a5" unitRef="_GBC_5214b7a188334da286fc3038d017d072" addr="T2R28C6S1_1" baseScale="-1" formatStyle="Comma">
          <m:axisValue occRef="母公司"/>
        </m:item>
        <m:item xlName="_GBC_73f38d3458ea41b491ddfd7cd0ea4b91" concept="clcid-pte:ShiYongDaoZhiQiTaZongHeShouYiBianDongJinE" label="使用导致其他综合收益变动金额" mulRef="_GBC_048773409e614c6bb753000b028316a5" unitRef="_GBC_5214b7a188334da286fc3038d017d072" addr="T2R28C7S1_1" formatStyle="Comma">
          <m:axisValue occRef="母公司"/>
        </m:item>
        <m:item xlName="_GBC_ce9d46a3b666495ea03f46e46246ac07" concept="clcid-pte:ShiYongDaoZhiZhuanXiangChuBeiBianDongJinE" label="使用导致专项储备变动金额" mulRef="_GBC_048773409e614c6bb753000b028316a5" unitRef="_GBC_5214b7a188334da286fc3038d017d072" addr="T2R28C8S1_1" formatStyle="Comma">
          <m:axisValue occRef="母公司"/>
        </m:item>
        <m:item xlName="_GBC_221a5a295d8e42739ad1341e6c42a730" concept="clcid-pte:ShiYongDaoZhiYingYuGongJiBianDongJinE" label="使用导致盈余公积变动金额" mulRef="_GBC_048773409e614c6bb753000b028316a5" unitRef="_GBC_5214b7a188334da286fc3038d017d072" addr="T2R28C9S1_1" formatStyle="Comma">
          <m:axisValue occRef="母公司"/>
        </m:item>
        <m:item xlName="_GBC_6dc8291cbd3a430b90ef17a65ea75aad" concept="clcid-pte:ShiYongDaoZhiWeiFenPeiLiRunBianDongJinE" label="使用导致未分配利润变动金额" mulRef="_GBC_048773409e614c6bb753000b028316a5" unitRef="_GBC_5214b7a188334da286fc3038d017d072" addr="T2R28C10S1_1" formatStyle="Comma">
          <m:axisValue occRef="母公司"/>
        </m:item>
        <m:item xlName="_GBC_429342ce161b4174aca098378203cb31" concept="clcid-pte:ShiYongDaoZhiGuDongQuanYiHeJiBianDongJinE" label="使用导致股东权益合计变动金额" mulRef="_GBC_048773409e614c6bb753000b028316a5" unitRef="_GBC_5214b7a188334da286fc3038d017d072" addr="T2R28C11S1_1" formatStyle="Comma">
          <m:axisValue occRef="母公司"/>
        </m:item>
        <m:placeholder xlName="_PLD_6633049a29464fd58ed8f9bdc82f6c7b" wordText="（六）其他" addr="T2R29C0S1_1"/>
        <m:item xlName="_GBC_d0e082387bdc44dea980c0664feb58ae" concept="clcid-pte:QiTaDaoZhiShiShouZiBenHuoGuBenJingEBianDongJinE" label="其他导致实收资本（或股本）净额变动金额" mulRef="_GBC_048773409e614c6bb753000b028316a5" unitRef="_GBC_5214b7a188334da286fc3038d017d072" addr="T2R29C1S1_1" formatStyle="Comma">
          <m:axisValue occRef="母公司"/>
        </m:item>
        <m:item xlName="_GBC_fb4d17c50af74f17940954b101bdf49d" concept="clcid-pte:QiTaDaoZhiQiTaQuanYiGongJuZhongDeYouXianGuBianDongJinE" label="其他导致其他权益工具中的优先股变动金额" mulRef="_GBC_048773409e614c6bb753000b028316a5" unitRef="_GBC_5214b7a188334da286fc3038d017d072" addr="T2R29C2S1_1" formatStyle="Comma">
          <m:axisValue occRef="母公司"/>
        </m:item>
        <m:item xlName="_GBC_c19f1466fd9540e5bf5b38e6bcfa7f43" concept="clcid-pte:QiTaDaoZhiQiTaQuanYiGongJuZhongDeYongXuZhaiBianDongJinE" label="其他导致其他权益工具中的永续债变动金额" mulRef="_GBC_048773409e614c6bb753000b028316a5" unitRef="_GBC_5214b7a188334da286fc3038d017d072" addr="T2R29C3S1_1" formatStyle="Comma">
          <m:axisValue occRef="母公司"/>
        </m:item>
        <m:item xlName="_GBC_fc5fc85e20df48dfbcea93466ea92b01" concept="clcid-pte:QiTaDaoZhiQiTaQuanYiGongJuZhongDeQiTaBianDongJinE" label="其他导致其他权益工具中的其他变动金额" mulRef="_GBC_048773409e614c6bb753000b028316a5" unitRef="_GBC_5214b7a188334da286fc3038d017d072" addr="T2R29C4S1_1" formatStyle="Comma">
          <m:axisValue occRef="母公司"/>
        </m:item>
        <m:item xlName="_GBC_f2b3a6489dd14ccab11e8f099f85dd5d" concept="clcid-pte:QiTaDaoZhiZiBenGongJiBianDongJinE" label="其他导致资本公积变动金额" mulRef="_GBC_048773409e614c6bb753000b028316a5" unitRef="_GBC_5214b7a188334da286fc3038d017d072" addr="T2R29C5S1_1" formatStyle="Comma">
          <m:axisValue occRef="母公司"/>
        </m:item>
        <m:item xlName="_GBC_6498b45ee000460c81ac7c4b366a037a" concept="clcid-pte:QiTaDaoZhiKuCunGuBianDongJinE" label="其他导致库存股变动金额" mulRef="_GBC_048773409e614c6bb753000b028316a5" unitRef="_GBC_5214b7a188334da286fc3038d017d072" addr="T2R29C6S1_1" baseScale="-1" formatStyle="Comma">
          <m:axisValue occRef="母公司"/>
        </m:item>
        <m:item xlName="_GBC_66d8f42ef51641b2b0ae3816c96eecdf" concept="clcid-pte:QiTaDaoZhiQiTaZongHeShouYiBianDongJinE" label="其他导致其他综合收益变动金额" mulRef="_GBC_048773409e614c6bb753000b028316a5" unitRef="_GBC_5214b7a188334da286fc3038d017d072" addr="T2R29C7S1_1" formatStyle="Comma">
          <m:axisValue occRef="母公司"/>
        </m:item>
        <m:item xlName="_GBC_89f834c340664692bfd8dc09308561c1" concept="clcid-pte:QiTaDaoZhiZhuanXiangChuBeiBianDongJinE" label="其他导致专项储备变动金额" mulRef="_GBC_048773409e614c6bb753000b028316a5" unitRef="_GBC_5214b7a188334da286fc3038d017d072" addr="T2R29C8S1_1" formatStyle="Comma">
          <m:axisValue occRef="母公司"/>
        </m:item>
        <m:item xlName="_GBC_4f4c655eb6824d048f48191a8330ad07" concept="clcid-pte:QiTaDaoZhiYingYuGongJiBianDongJinE" label="其他导致盈余公积变动金额" mulRef="_GBC_048773409e614c6bb753000b028316a5" unitRef="_GBC_5214b7a188334da286fc3038d017d072" addr="T2R29C9S1_1" formatStyle="Comma">
          <m:axisValue occRef="母公司"/>
        </m:item>
        <m:item xlName="_GBC_8669edf341584816a95d6b2633184c52" concept="clcid-pte:QiTaDaoZhiWeiFenPeiLiRunBianDongJinE" label="其他导致未分配利润变动金额" mulRef="_GBC_048773409e614c6bb753000b028316a5" unitRef="_GBC_5214b7a188334da286fc3038d017d072" addr="T2R29C10S1_1" formatStyle="Comma">
          <m:axisValue occRef="母公司"/>
        </m:item>
        <m:item xlName="_GBC_b252dd00f5c84c94a1462c8e5b1fdb25" concept="clcid-pte:QiTaDaoZhiGuDongQuanYiHeJiBianDongJinE" label="其他导致股东权益合计变动金额" mulRef="_GBC_048773409e614c6bb753000b028316a5" unitRef="_GBC_5214b7a188334da286fc3038d017d072" addr="T2R29C11S1_1" formatStyle="Comma">
          <m:axisValue occRef="母公司"/>
        </m:item>
        <m:placeholder xlName="_PLD_0d209cea233c428da026233fffdd75cf" wordText="四、本期期末余额" addr="T2R30C0S1_1"/>
        <m:item xlName="_GBC_9f88021da3e04c92848122dd94e287ea" concept="clcid-pte:GuBen" label="股本" mulRef="_GBC_048773409e614c6bb753000b028316a5" unitRef="_GBC_5214b7a188334da286fc3038d017d072" addr="T2R30C1S1_1" formatStyle="Comma">
          <m:complexRule comparator="Eq" title="母公司股本" test=" $_GBC_ba34079e60d94b358c4ae8930467139a +  $_GBC_9411d68808554eab9f3c1ef64107388b" id="C54508a78e66c4545a3330faf88d7e2c4"/>
          <m:axisValue occRef="母公司"/>
        </m:item>
        <m:item xlName="_GBC_1864d58e038c486ba7e2b7e9f78c094e" concept="clcid-pte:QiTaQuanYiGongJuQiZhongYouXianGu" label="其他权益工具-其中：优先股" mulRef="_GBC_048773409e614c6bb753000b028316a5" unitRef="_GBC_5214b7a188334da286fc3038d017d072" addr="T2R30C2S1_1" formatStyle="Comma">
          <m:complexRule comparator="Eq" title="母公司其他权益工具-其中：优先股" test=" $_GBC_6f8ba20835314d84a3a10a005dccec61 +  $_GBC_34441963446246739d5305433baf19bc" id="C4c4ee2779cf64db3a7850e0aafb6d22f"/>
          <m:axisValue occRef="母公司"/>
        </m:item>
        <m:item xlName="_GBC_ec5fed07ee304701a8d76ca9986cf0fa" concept="clcid-pte:QiTaQuanYiGongJuYongXuZhai" label="其他权益工具-永续债" mulRef="_GBC_048773409e614c6bb753000b028316a5" unitRef="_GBC_5214b7a188334da286fc3038d017d072" addr="T2R30C3S1_1" formatStyle="Comma">
          <m:complexRule comparator="Eq" title="母公司其他权益工具-永续债" test=" $_GBC_2e73898f386143029ef2dbb6cb8fb860 +  $_GBC_ccd07e6a79dc43af9b0726f20f7feac1" id="C7140cb5fcdfe47d7a3ae8d7307c17317"/>
          <m:axisValue occRef="母公司"/>
        </m:item>
        <m:item xlName="_GBC_37a25eecd49f426a8991c355f26bb162" concept="clcid-pte:QiTaQuanYiGongJuQiTa" label="其他权益工具-其他" mulRef="_GBC_048773409e614c6bb753000b028316a5" unitRef="_GBC_5214b7a188334da286fc3038d017d072" addr="T2R30C4S1_1" formatStyle="Comma">
          <m:complexRule comparator="Eq" title="母公司其他权益工具-其他" test=" $_GBC_377eab080a5e4f44ae9e2499dd4d0ae9 +  $_GBC_74521b0d456640b2a3fea5b54a188654" id="C55436f2dd443422daea68e7901dd3e2f"/>
          <m:axisValue occRef="母公司"/>
        </m:item>
        <m:item xlName="_GBC_7325f4ac259f4518b04611bbec36250d" concept="clcid-pte:ZiBenGongJi" label="资本公积" mulRef="_GBC_048773409e614c6bb753000b028316a5" unitRef="_GBC_5214b7a188334da286fc3038d017d072" addr="T2R30C5S1_1" formatStyle="Comma">
          <m:complexRule comparator="Eq" title="母公司资本公积" test=" $_GBC_2545cc95ae014d3abcb7f9df116332b3 +  $_GBC_dfbff46c92c0478d8870e11eed6624e9" id="C411fd4aa849c45a2b539880abb473ac6"/>
          <m:axisValue occRef="母公司"/>
        </m:item>
        <m:item xlName="_GBC_d2678425187d4f0e8816c7449e800e33" concept="clcid-pte:KuCunGu" label="库存股" mulRef="_GBC_048773409e614c6bb753000b028316a5" unitRef="_GBC_5214b7a188334da286fc3038d017d072" addr="T2R30C6S1_1" baseScale="-1" formatStyle="Comma">
          <m:complexRule comparator="Eq" title="母公司库存股" test=" $_GBC_2a643e284053411ab5c3910672f604ff +  $_GBC_c7253099b93649aa91266cb4db282f3d" id="Cd7f2367b488642208d3a0b13d8fe0844"/>
          <m:axisValue occRef="母公司"/>
        </m:item>
        <m:item xlName="_GBC_29f3fca6a8e04f8e9d31e1b483478035" concept="clcid-pte:QiTaZongHeShouYiZiChanFuZhaiBiaoXiangMu" label="其他综合收益（资产负债表项目）" mulRef="_GBC_048773409e614c6bb753000b028316a5" unitRef="_GBC_5214b7a188334da286fc3038d017d072" addr="T2R30C7S1_1" formatStyle="Comma">
          <m:complexRule comparator="Eq" title="母公司其他综合收益（资产负债表项目）" test=" $_GBC_184c4292b636416f9e2bf9ad64beec96 +  $_GBC_2bd055b7c69146c6957f4840bac7e833" id="C0b6c41269b7b4df292cbed57b8d7ed20"/>
          <m:axisValue occRef="母公司"/>
        </m:item>
        <m:item xlName="_GBC_777794e65544442089314634a90d9c01" concept="clcid-pte:ZhuanXiangChuBei" label="专项储备" mulRef="_GBC_048773409e614c6bb753000b028316a5" unitRef="_GBC_5214b7a188334da286fc3038d017d072" addr="T2R30C8S1_1" formatStyle="Comma">
          <m:complexRule comparator="Eq" title="母公司专项储备" test=" $_GBC_2e855fe5876c4d6c90750ac45e2ed745 +  $_GBC_43214fd9b3ed440fbfc07077d1b0e80b" id="Cc6bff7af41c24baea5a90d609ee12cf3"/>
          <m:axisValue occRef="母公司"/>
        </m:item>
        <m:item xlName="_GBC_8f968e85528047aca76a2014673040ba" concept="clcid-pte:YingYuGongJi" label="盈余公积" mulRef="_GBC_048773409e614c6bb753000b028316a5" unitRef="_GBC_5214b7a188334da286fc3038d017d072" addr="T2R30C9S1_1" formatStyle="Comma">
          <m:complexRule comparator="Eq" title="母公司盈余公积" test=" $_GBC_3b4c95f045b541dc91650112461fd0b6 +  $_GBC_b4dbb14fdd54464b877de11311094274" id="C4f5a152a8b0b48339b2acf49b7e8b34e"/>
          <m:axisValue occRef="母公司"/>
        </m:item>
        <m:item xlName="_GBC_04c9a3ea207c4cfbbc60e3c32cdaee19" concept="clcid-pte:WeiFenPeiLiRun" label="未分配利润" mulRef="_GBC_048773409e614c6bb753000b028316a5" unitRef="_GBC_5214b7a188334da286fc3038d017d072" addr="T2R30C10S1_1" formatStyle="Comma">
          <m:complexRule comparator="Eq" title="母公司未分配利润" test=" $_GBC_b009218c639445918155256142364f34 +  $_GBC_c2b7d4df644e4540a02dffe24f98df56" id="C96bb92454aea49f6bb400b56df4f101c"/>
          <m:axisValue occRef="母公司"/>
        </m:item>
        <m:item xlName="_GBC_93957076bb104cd5a096309d34e988c0" concept="clcid-pte:GuDongQuanYiHeJi" label="股东权益合计" mulRef="_GBC_048773409e614c6bb753000b028316a5" unitRef="_GBC_5214b7a188334da286fc3038d017d072" addr="T2R30C11S1_1" formatStyle="Comma">
          <m:complexRule comparator="Eq" title="母公司股东权益合计" test=" $_GBC_79e0a12c791f45fd9cad2ae5aaa5005e +  $_GBC_e71e8a76f3cf4a568b05358967cd3388" id="Cf5b37f4a0ad24966a390b5bbadd210f3"/>
          <m:axisValue occRef="母公司"/>
        </m:item>
        <m:placeholder xlName="_PLD_64a794ab75214f6d9d66748804bee4e8" wordText="项目" addr="T3R0C0S3_1"/>
        <m:placeholder xlName="_PLD_6226137cffd442dfb505b8cfe7d1f423" wordText="2021年度" addr="T3R0C1S1_11"/>
        <m:placeholder xlName="_PLD_e0e316f064db43a38ddec14c349b4dfa" wordText="实收资本 (或股本)" addr="T3R1C1S2_1"/>
        <m:placeholder xlName="_PLD_2c82747108ee4c518651265b45dbebcd" wordText="其他权益工具" addr="T3R1C2S1_3"/>
        <m:placeholder xlName="_PLD_c459549b516242be83fce2e92cc794e6" wordText="资本公积" addr="T3R1C5S2_1"/>
        <m:placeholder xlName="_PLD_9979085a666a4b7a9ee698268b0bb615" wordText="减：库存股" addr="T3R1C6S2_1"/>
        <m:placeholder xlName="_PLD_3b870c2efbdc421980e0e6ed21bc828a" wordText="其他综合收益" addr="T3R1C7S2_1"/>
        <m:placeholder xlName="_PLD_68a9918174cf4752ad67388e59bb3c51" wordText="专项储备" addr="T3R1C8S2_1"/>
        <m:placeholder xlName="_PLD_eddda9b1710646a5811c9efb65bf8703" wordText="盈余公积" addr="T3R1C9S2_1"/>
        <m:placeholder xlName="_PLD_d210b1f3e63743b7b7ad078da7c00997" wordText="未分配利润" addr="T3R1C10S2_1"/>
        <m:placeholder xlName="_PLD_d0efa115b304401592a693cab0f3a46a" wordText="所有者权益合计" addr="T3R1C11S2_1"/>
        <m:placeholder xlName="_PLD_f219b4732c3e4bd5a67b8c298432fd3d" wordText="优先股" addr="T3R2C2S1_1"/>
        <m:placeholder xlName="_PLD_9c8ca36c728447658d99fee93d742edf" wordText="永续债" addr="T3R2C3S1_1"/>
        <m:placeholder xlName="_PLD_d053abd77b574111883b8fafe3a173d2" wordText="其他" addr="T3R2C4S1_1"/>
        <m:placeholder xlName="_PLD_4b9f68f704bb4acfae62b3d3cbf0d790" wordText="一、上年年末余额" addr="T3R3C0S1_1"/>
        <m:item xlName="_GBC_0b94c718f2794086b8469e6d97efb497" concept="clcid-pte:GuBen" label="股本" periodRef="上上年度期末数" mulRef="_GBC_048773409e614c6bb753000b028316a5" unitRef="_GBC_5214b7a188334da286fc3038d017d072" addr="T3R3C1S1_1" formatStyle="Comma">
          <m:axisValue occRef="调整前的值"/>
          <m:axisValue occRef="母公司"/>
        </m:item>
        <m:item xlName="_GBC_3ef6785fae574bf7ac70b244335f43ff" concept="clcid-pte:QiTaQuanYiGongJuQiZhongYouXianGu" label="其他权益工具-其中：优先股" periodRef="上上年度期末数" mulRef="_GBC_048773409e614c6bb753000b028316a5" unitRef="_GBC_5214b7a188334da286fc3038d017d072" addr="T3R3C2S1_1" formatStyle="Comma">
          <m:axisValue occRef="调整前的值"/>
          <m:axisValue occRef="母公司"/>
        </m:item>
        <m:item xlName="_GBC_5689d7fcd8dc412887990aa2c35fcc70" concept="clcid-pte:QiTaQuanYiGongJuYongXuZhai" label="其他权益工具-永续债" periodRef="上上年度期末数" mulRef="_GBC_048773409e614c6bb753000b028316a5" unitRef="_GBC_5214b7a188334da286fc3038d017d072" addr="T3R3C3S1_1" formatStyle="Comma">
          <m:axisValue occRef="调整前的值"/>
          <m:axisValue occRef="母公司"/>
        </m:item>
        <m:item xlName="_GBC_0c54703603994692b0ce850c9d185c37" concept="clcid-pte:QiTaQuanYiGongJuQiTa" label="其他权益工具-其他" periodRef="上上年度期末数" mulRef="_GBC_048773409e614c6bb753000b028316a5" unitRef="_GBC_5214b7a188334da286fc3038d017d072" addr="T3R3C4S1_1" formatStyle="Comma">
          <m:axisValue occRef="调整前的值"/>
          <m:axisValue occRef="母公司"/>
        </m:item>
        <m:item xlName="_GBC_ff3bcedd78cc4ee99d1657f220561416" concept="clcid-pte:ZiBenGongJi" label="资本公积" periodRef="上上年度期末数" mulRef="_GBC_048773409e614c6bb753000b028316a5" unitRef="_GBC_5214b7a188334da286fc3038d017d072" addr="T3R3C5S1_1" formatStyle="Comma">
          <m:axisValue occRef="调整前的值"/>
          <m:axisValue occRef="母公司"/>
        </m:item>
        <m:item xlName="_GBC_7c3028b0517a42bdbf6064be16301591" concept="clcid-pte:KuCunGu" label="库存股" periodRef="上上年度期末数" mulRef="_GBC_048773409e614c6bb753000b028316a5" unitRef="_GBC_5214b7a188334da286fc3038d017d072" addr="T3R3C6S1_1" baseScale="-1" formatStyle="Comma">
          <m:axisValue occRef="调整前的值"/>
          <m:axisValue occRef="母公司"/>
        </m:item>
        <m:item xlName="_GBC_74098f4d62df4fd284a356d203934def" concept="clcid-pte:QiTaZongHeShouYiZiChanFuZhaiBiaoXiangMu" label="其他综合收益（资产负债表项目）" periodRef="上上年度期末数" mulRef="_GBC_048773409e614c6bb753000b028316a5" unitRef="_GBC_5214b7a188334da286fc3038d017d072" addr="T3R3C7S1_1" formatStyle="Comma">
          <m:axisValue occRef="调整前的值"/>
          <m:axisValue occRef="母公司"/>
        </m:item>
        <m:item xlName="_GBC_f7c21cc7f3304231b66a579c535010a8" concept="clcid-pte:ZhuanXiangChuBei" label="专项储备" periodRef="上上年度期末数" mulRef="_GBC_048773409e614c6bb753000b028316a5" unitRef="_GBC_5214b7a188334da286fc3038d017d072" addr="T3R3C8S1_1" formatStyle="Comma">
          <m:axisValue occRef="调整前的值"/>
          <m:axisValue occRef="母公司"/>
        </m:item>
        <m:item xlName="_GBC_973b45a1952046debbaf74d36611e83f" concept="clcid-pte:YingYuGongJi" label="盈余公积" periodRef="上上年度期末数" mulRef="_GBC_048773409e614c6bb753000b028316a5" unitRef="_GBC_5214b7a188334da286fc3038d017d072" addr="T3R3C9S1_1" formatStyle="Comma">
          <m:axisValue occRef="调整前的值"/>
          <m:axisValue occRef="母公司"/>
        </m:item>
        <m:item xlName="_GBC_8937d1a2bb954fe69536d056f1a1957d" concept="clcid-pte:WeiFenPeiLiRun" label="未分配利润" periodRef="上上年度期末数" mulRef="_GBC_048773409e614c6bb753000b028316a5" unitRef="_GBC_5214b7a188334da286fc3038d017d072" addr="T3R3C10S1_1" formatStyle="Comma">
          <m:axisValue occRef="调整前的值"/>
          <m:axisValue occRef="母公司"/>
        </m:item>
        <m:item xlName="_GBC_a0e706d44f164e27a80c18eb09d3dc86" concept="clcid-pte:GuDongQuanYiHeJi" label="股东权益合计" periodRef="上上年度期末数" mulRef="_GBC_048773409e614c6bb753000b028316a5" unitRef="_GBC_5214b7a188334da286fc3038d017d072" addr="T3R3C11S1_1" formatStyle="Comma">
          <m:axisValue occRef="调整前的值"/>
          <m:axisValue occRef="母公司"/>
        </m:item>
        <m:placeholder xlName="_PLD_f7c284bf05bc4bb48bad7c818c157aa9" wordText="加：会计政策变更" addr="T3R4C0S1_1"/>
        <m:item xlName="_GBC_c8f26630280d4aa2b1fde77dbdb5e220" concept="clcid-pte:KuaiJiZhengCeBianGengDaoZhiShiShouZiBenHuoGuBenJingEBianDongJinE" label="会计政策变更导致实收资本（或股本）净额变动金额" periodRef="上年同期期初数" mulRef="_GBC_048773409e614c6bb753000b028316a5" unitRef="_GBC_5214b7a188334da286fc3038d017d072" addr="T3R4C1S1_1" formatStyle="Comma">
          <m:axisValue occRef="母公司"/>
        </m:item>
        <m:item xlName="_GBC_4497539e60b34717b68508d89b3a0994" concept="clcid-pte:HuiJiZhengCeBianGengDaoZhiYouXianGuBianDongJinE" label="会计政策变更导致优先股变动金额" periodRef="上年同期期初数" mulRef="_GBC_048773409e614c6bb753000b028316a5" unitRef="_GBC_5214b7a188334da286fc3038d017d072" addr="T3R4C2S1_1" formatStyle="Comma">
          <m:axisValue occRef="母公司"/>
        </m:item>
        <m:item xlName="_GBC_aa57c7c4b95c4e86a8085ca0db9c24d6" concept="clcid-pte:HuiJiZhengCeBianGengDaoZhiYongXuZhaiBianDongJinE" label="会计政策变更导致永续债变动金额" periodRef="上年同期期初数" mulRef="_GBC_048773409e614c6bb753000b028316a5" unitRef="_GBC_5214b7a188334da286fc3038d017d072" addr="T3R4C3S1_1" formatStyle="Comma">
          <m:axisValue occRef="母公司"/>
        </m:item>
        <m:item xlName="_GBC_f4842520612b49f2b33dc3d4ec815c97" concept="clcid-pte:HuiJiZhengCeBianGengDaoZhiQiTaQuanYiGongJuZhongDeQiTaBianDongJinE" label="会计政策变更导致其他权益工具中的其他变动金额" periodRef="上年同期期初数" mulRef="_GBC_048773409e614c6bb753000b028316a5" unitRef="_GBC_5214b7a188334da286fc3038d017d072" addr="T3R4C4S1_1" formatStyle="Comma">
          <m:axisValue occRef="母公司"/>
        </m:item>
        <m:item xlName="_GBC_57ad89b924074eee818846736056a647" concept="clcid-pte:KuaiJiZhengCeBianGengDaoZhiZiBenGongJiBianDongJinE" label="会计政策变更导致资本公积变动金额" periodRef="上年同期期初数" mulRef="_GBC_048773409e614c6bb753000b028316a5" unitRef="_GBC_5214b7a188334da286fc3038d017d072" addr="T3R4C5S1_1" formatStyle="Comma">
          <m:axisValue occRef="母公司"/>
        </m:item>
        <m:item xlName="_GBC_9749940b2a494ed7acef1ddcf22598df" concept="clcid-pte:KuaiJiZhengCeBianGengDaoZhiKuCunGuBianDongJinE" label="会计政策变更导致库存股变动金额" periodRef="上年同期期初数" mulRef="_GBC_048773409e614c6bb753000b028316a5" unitRef="_GBC_5214b7a188334da286fc3038d017d072" addr="T3R4C6S1_1" baseScale="-1" formatStyle="Comma">
          <m:axisValue occRef="母公司"/>
        </m:item>
        <m:item xlName="_GBC_eb258d12dac84621a368b8000391b0eb" concept="clcid-pte:HuiJiZhengCeBianGengDaoZhiQiTaZongHeShouYiBianDongJinE" label="会计政策变更导致其他综合收益变动金额" periodRef="上年同期期初数" mulRef="_GBC_048773409e614c6bb753000b028316a5" unitRef="_GBC_5214b7a188334da286fc3038d017d072" addr="T3R4C7S1_1" formatStyle="Comma">
          <m:axisValue occRef="母公司"/>
        </m:item>
        <m:item xlName="_GBC_1e924fe918e74391b10edf287076a289" concept="clcid-pte:KuaiJiZhengCeBianGengDaoZhiZhuanXiangChuBeiBianDongJinE" label="会计政策变更导致专项储备变动金额" periodRef="上年同期期初数" mulRef="_GBC_048773409e614c6bb753000b028316a5" unitRef="_GBC_5214b7a188334da286fc3038d017d072" addr="T3R4C8S1_1" formatStyle="Comma">
          <m:axisValue occRef="母公司"/>
        </m:item>
        <m:item xlName="_GBC_56fa88fdf6f24176a086fca815843909" concept="clcid-pte:KuaiJiZhengCeBianGengDaoZhiYingYuGongJiBianDongJinE" label="会计政策变更导致盈余公积变动金额" periodRef="上年同期期初数" mulRef="_GBC_048773409e614c6bb753000b028316a5" unitRef="_GBC_5214b7a188334da286fc3038d017d072" addr="T3R4C9S1_1" formatStyle="Comma">
          <m:axisValue occRef="母公司"/>
        </m:item>
        <m:item xlName="_GBC_7c18145bd007499aa86b7378006a5535" concept="clcid-pte:KuaiJiZhengCeBianGengDaoZhiWeiFenPeiLiRunBianDongJinE" label="会计政策变更导致未分配利润变动金额" periodRef="上年同期期初数" mulRef="_GBC_048773409e614c6bb753000b028316a5" unitRef="_GBC_5214b7a188334da286fc3038d017d072" addr="T3R4C10S1_1" formatStyle="Comma">
          <m:axisValue occRef="母公司"/>
        </m:item>
        <m:item xlName="_GBC_aeca160d2f214c6aac892578577580ad" concept="clcid-pte:KuaiJiZhengCeBianGengDaoZhiGuDongQuanYiHeJiBianDongJinE" label="会计政策变更导致股东权益合计变动金额" periodRef="上年同期期初数" mulRef="_GBC_048773409e614c6bb753000b028316a5" unitRef="_GBC_5214b7a188334da286fc3038d017d072" addr="T3R4C11S1_1" formatStyle="Comma">
          <m:axisValue occRef="母公司"/>
        </m:item>
        <m:placeholder xlName="_PLD_b84d86ae618141938210b68f81aeafe0" wordText="前期差错更正" indent="200" addr="T3R5C0S1_1"/>
        <m:item xlName="_GBC_dceb489717084a29b76c96970b5870b3" concept="clcid-pte:QianQiChaCuoGengZhengDaoZhiShiShouZiBenHuoGuBenJingEBianDongJinE" label="前期差错更正导致实收资本（或股本）净额变动金额" periodRef="上年同期期初数" mulRef="_GBC_048773409e614c6bb753000b028316a5" unitRef="_GBC_5214b7a188334da286fc3038d017d072" addr="T3R5C1S1_1" formatStyle="Comma">
          <m:axisValue occRef="母公司"/>
        </m:item>
        <m:item xlName="_GBC_22bfe96f87eb4c1e9842e63293f31c51" concept="clcid-pte:QianQiChaCuoGengZhengDaoZhiYouXianGuBianDongJinE" label="前期差错更正导致优先股变动金额" periodRef="上年同期期初数" mulRef="_GBC_048773409e614c6bb753000b028316a5" unitRef="_GBC_5214b7a188334da286fc3038d017d072" addr="T3R5C2S1_1" formatStyle="Comma">
          <m:axisValue occRef="母公司"/>
        </m:item>
        <m:item xlName="_GBC_f676f2d3300845699d54863555eb2f4e" concept="clcid-pte:QianQiChaCuoGengZhengDaoZhiYongXuZhaiBianDongJinE" label="前期差错更正导致永续债变动金额" periodRef="上年同期期初数" mulRef="_GBC_048773409e614c6bb753000b028316a5" unitRef="_GBC_5214b7a188334da286fc3038d017d072" addr="T3R5C3S1_1" formatStyle="Comma">
          <m:axisValue occRef="母公司"/>
        </m:item>
        <m:item xlName="_GBC_deb3e8a640e2408e9ddb378bd8f1a244" concept="clcid-pte:QianQiChaCuoGengZhengDaoZhiQiTaQuanYiGongJuZhongDeQiTaBianDongJinE" label="前期差错更正导致其他权益工具中的其他变动金额" periodRef="上年同期期初数" mulRef="_GBC_048773409e614c6bb753000b028316a5" unitRef="_GBC_5214b7a188334da286fc3038d017d072" addr="T3R5C4S1_1" formatStyle="Comma">
          <m:axisValue occRef="母公司"/>
        </m:item>
        <m:item xlName="_GBC_8690a96674394b36bfed346fbf7d629e" concept="clcid-pte:QianQiChaCuoGengZhengDaoZhiZiBenGongJiBianDongJinE" label="前期差错更正导致资本公积变动金额" periodRef="上年同期期初数" mulRef="_GBC_048773409e614c6bb753000b028316a5" unitRef="_GBC_5214b7a188334da286fc3038d017d072" addr="T3R5C5S1_1" formatStyle="Comma">
          <m:axisValue occRef="母公司"/>
        </m:item>
        <m:item xlName="_GBC_6cc9b32f7143444ba65f4723ceb5580b" concept="clcid-pte:QianQiChaCuoGengZhengDaoZhiKuCunGuBianDongJinE" label="前期差错更正导致库存股变动金额" periodRef="上年同期期初数" mulRef="_GBC_048773409e614c6bb753000b028316a5" unitRef="_GBC_5214b7a188334da286fc3038d017d072" addr="T3R5C6S1_1" baseScale="-1" formatStyle="Comma">
          <m:axisValue occRef="母公司"/>
        </m:item>
        <m:item xlName="_GBC_ccd73d9543bd446dbdbc1e6a3dcf0ebf" concept="clcid-pte:QianQiChaCuoGengZhengDaoZhiQiTaZongHeShouYiBianDongJinE" label="前期差错更正导致其他综合收益变动金额" periodRef="上年同期期初数" mulRef="_GBC_048773409e614c6bb753000b028316a5" unitRef="_GBC_5214b7a188334da286fc3038d017d072" addr="T3R5C7S1_1" formatStyle="Comma">
          <m:axisValue occRef="母公司"/>
        </m:item>
        <m:item xlName="_GBC_32813263afbc41feabab11462d478836" concept="clcid-pte:QianQiChaCuoGengZhengDaoZhiZhuanXiangChuBeiBianDongJinE" label="前期差错更正导致专项储备变动金额" periodRef="上年同期期初数" mulRef="_GBC_048773409e614c6bb753000b028316a5" unitRef="_GBC_5214b7a188334da286fc3038d017d072" addr="T3R5C8S1_1" formatStyle="Comma">
          <m:axisValue occRef="母公司"/>
        </m:item>
        <m:item xlName="_GBC_2c011e6947c5444382a3df3a579f6c1a" concept="clcid-pte:QianQiChaCuoGengZhengDaoZhiYingYuGongJiBianDongJinE" label="前期差错更正导致盈余公积变动金额" periodRef="上年同期期初数" mulRef="_GBC_048773409e614c6bb753000b028316a5" unitRef="_GBC_5214b7a188334da286fc3038d017d072" addr="T3R5C9S1_1" formatStyle="Comma">
          <m:axisValue occRef="母公司"/>
        </m:item>
        <m:item xlName="_GBC_1f4513cb94a7496c8b393f60bf62181a" concept="clcid-pte:QianQiChaCuoGengZhengDaoZhiWeiFenPeiLiRunBianDongJinE" label="前期差错更正导致未分配利润变动金额" periodRef="上年同期期初数" mulRef="_GBC_048773409e614c6bb753000b028316a5" unitRef="_GBC_5214b7a188334da286fc3038d017d072" addr="T3R5C10S1_1" formatStyle="Comma">
          <m:axisValue occRef="母公司"/>
        </m:item>
        <m:item xlName="_GBC_2f9be54efc1e4aaabf5510a0cc326c8b" concept="clcid-pte:QianQiChaCuoGengZhengDaoZhiGuDongQuanYiHeJiBianDongJinE" label="前期差错更正导致股东权益合计变动金额" periodRef="上年同期期初数" mulRef="_GBC_048773409e614c6bb753000b028316a5" unitRef="_GBC_5214b7a188334da286fc3038d017d072" addr="T3R5C11S1_1" formatStyle="Comma">
          <m:axisValue occRef="母公司"/>
        </m:item>
        <m:placeholder xlName="_PLD_ae13695d51ae418dba0671a598b76ffb" wordText="其他" indent="200" addr="T3R6C0S1_1"/>
        <m:item xlName="_GBC_a119c3032a9844b9996f0d36dc780f4d" concept="clcid-pte:QiTaZhuiSuTiaoZhengDaoZhiShiShouZiBenBianDongJinE" label="实收资本变动金额（其他追溯调整）" periodRef="上年同期期初数" mulRef="_GBC_048773409e614c6bb753000b028316a5" unitRef="_GBC_5214b7a188334da286fc3038d017d072" addr="T3R6C1S1_1" formatStyle="Comma">
          <m:axisValue occRef="母公司"/>
        </m:item>
        <m:item xlName="_GBC_cf0cb138c1a142f98c5d52a58b5ddc6b" concept="clcid-pte:YouXianGuBianDongJinEQiTaZhuiSuDiaoZheng" label="优先股变动金额（其他追溯调整）" periodRef="上年同期期初数" mulRef="_GBC_048773409e614c6bb753000b028316a5" unitRef="_GBC_5214b7a188334da286fc3038d017d072" addr="T3R6C2S1_1" formatStyle="Comma">
          <m:axisValue occRef="母公司"/>
        </m:item>
        <m:item xlName="_GBC_c6fca138a3a241cb81788c08c049a13b" concept="clcid-pte:YongXuZhaiBianDongJinEQiTaZhuiSuDiaoZheng" label="永续债变动金额（其他追溯调整）" periodRef="上年同期期初数" mulRef="_GBC_048773409e614c6bb753000b028316a5" unitRef="_GBC_5214b7a188334da286fc3038d017d072" addr="T3R6C3S1_1" formatStyle="Comma">
          <m:axisValue occRef="母公司"/>
        </m:item>
        <m:item xlName="_GBC_2496c6be99034972a2ef3d2b683fc2b5" concept="clcid-pte:QiTaQuanYiGongJuZhongDeQiTaBianDongJinEQiTaZhuiSuDiaoZheng" label="其他权益工具中的其他变动金额（其他追溯调整）" periodRef="上年同期期初数" mulRef="_GBC_048773409e614c6bb753000b028316a5" unitRef="_GBC_5214b7a188334da286fc3038d017d072" addr="T3R6C4S1_1" formatStyle="Comma">
          <m:axisValue occRef="母公司"/>
        </m:item>
        <m:item xlName="_GBC_aeb3726b8f20453aa15b9d10f6b0ad44" concept="clcid-pte:QiTaZhuiSuTiaoZhengDaoZhiZiBenGongJiBianDongJinE" label="资本公积变动金额（其他追溯调整）" periodRef="上年同期期初数" mulRef="_GBC_048773409e614c6bb753000b028316a5" unitRef="_GBC_5214b7a188334da286fc3038d017d072" addr="T3R6C5S1_1" formatStyle="Comma">
          <m:axisValue occRef="母公司"/>
        </m:item>
        <m:item xlName="_GBC_647e1f3b4a104d50988356b981a52ed2" concept="clcid-pte:QiTaZhuiSuTiaoZhengDaoZhiKuCunGuBianDongJinE" label="库存股变动金额（其他追溯调整）" periodRef="上年同期期初数" mulRef="_GBC_048773409e614c6bb753000b028316a5" unitRef="_GBC_5214b7a188334da286fc3038d017d072" addr="T3R6C6S1_1" baseScale="-1" formatStyle="Comma">
          <m:axisValue occRef="母公司"/>
        </m:item>
        <m:item xlName="_GBC_1fdda27510844cada3a4d77dc3da1e4a" concept="clcid-pte:QiTaZongHeShouYiBianDongJinEQiTaZhuiSuDiaoZheng" label="其他综合收益变动金额（其他追溯调整）" periodRef="上年同期期初数" mulRef="_GBC_048773409e614c6bb753000b028316a5" unitRef="_GBC_5214b7a188334da286fc3038d017d072" addr="T3R6C7S1_1" formatStyle="Comma">
          <m:axisValue occRef="母公司"/>
        </m:item>
        <m:item xlName="_GBC_e5c1940714994a448f47e75a2b164172" concept="clcid-pte:QiTaZhuiSuTiaoZhengDaoZhiZhuanXiangChuBeiBianDongJinE" label="专项储备变动金额（其他追溯调整）" periodRef="上年同期期初数" mulRef="_GBC_048773409e614c6bb753000b028316a5" unitRef="_GBC_5214b7a188334da286fc3038d017d072" addr="T3R6C8S1_1" formatStyle="Comma">
          <m:axisValue occRef="母公司"/>
        </m:item>
        <m:item xlName="_GBC_8e4af539f2f846c1a47f81a862e7203c" concept="clcid-pte:QiTaZhuiSuTiaoZhengDaoZhiYingYuGongJiBianDongJinE" label="盈余公积变动金额（其他追溯调整）" periodRef="上年同期期初数" mulRef="_GBC_048773409e614c6bb753000b028316a5" unitRef="_GBC_5214b7a188334da286fc3038d017d072" addr="T3R6C9S1_1" formatStyle="Comma">
          <m:axisValue occRef="母公司"/>
        </m:item>
        <m:item xlName="_GBC_a9d649f3df274375be907686f2a071b3" concept="clcid-pte:QiTaZhuiSuTiaoZhengDaoZhiWeiFenPeiLiRunBianDongJinE" label="未分配利润变动金额（其他追溯调整）" periodRef="上年同期期初数" mulRef="_GBC_048773409e614c6bb753000b028316a5" unitRef="_GBC_5214b7a188334da286fc3038d017d072" addr="T3R6C10S1_1" formatStyle="Comma">
          <m:axisValue occRef="母公司"/>
        </m:item>
        <m:item xlName="_GBC_de82119734274e04980dec25ee6df3d8" concept="clcid-pte:QiTaZhuiSuTiaoZhengDaoZhiGuDongQuanYiBianDongJinE" label="股东权益变动金额（其他追溯调整）" periodRef="上年同期期初数" mulRef="_GBC_048773409e614c6bb753000b028316a5" unitRef="_GBC_5214b7a188334da286fc3038d017d072" addr="T3R6C11S1_1" formatStyle="Comma">
          <m:axisValue occRef="母公司"/>
        </m:item>
        <m:placeholder xlName="_PLD_4841ceb909a14a2abffb67eeb3435694" wordText="二、本年期初余额" addr="T3R7C0S1_1"/>
        <m:item xlName="_GBC_ed68e83375594749990463f5b8c17bfb" concept="clcid-pte:GuBen" label="股本" periodRef="上年同期期初数" mulRef="_GBC_048773409e614c6bb753000b028316a5" unitRef="_GBC_5214b7a188334da286fc3038d017d072" addr="T3R7C1S1_1" formatStyle="Comma">
          <m:complexRule comparator="Eq" title="母公司股本@上年同期期初数" test=" $_GBC_0b94c718f2794086b8469e6d97efb497 +  $_GBC_c8f26630280d4aa2b1fde77dbdb5e220 +  $_GBC_dceb489717084a29b76c96970b5870b3 +  $_GBC_a119c3032a9844b9996f0d36dc780f4d" id="C18291de0dab441a9b8f9c15908c1e519"/>
          <m:axisValue occRef="母公司"/>
        </m:item>
        <m:item xlName="_GBC_9981b20be36f40e38defe22c50c0918e" concept="clcid-pte:QiTaQuanYiGongJuQiZhongYouXianGu" label="其他权益工具-其中：优先股" periodRef="上年同期期初数" mulRef="_GBC_048773409e614c6bb753000b028316a5" unitRef="_GBC_5214b7a188334da286fc3038d017d072" addr="T3R7C2S1_1" formatStyle="Comma">
          <m:complexRule comparator="Eq" title="母公司其他权益工具-其中：优先股@上年同期期初数" test=" $_GBC_3ef6785fae574bf7ac70b244335f43ff +  $_GBC_4497539e60b34717b68508d89b3a0994 +  $_GBC_22bfe96f87eb4c1e9842e63293f31c51 +  $_GBC_cf0cb138c1a142f98c5d52a58b5ddc6b" id="Ca08a2fbcde244822aca7a7b4e8f6159b"/>
          <m:axisValue occRef="母公司"/>
        </m:item>
        <m:item xlName="_GBC_1aa9e8fd34ea4cd1a9685c1bc0bb8293" concept="clcid-pte:QiTaQuanYiGongJuYongXuZhai" label="其他权益工具-永续债" periodRef="上年同期期初数" mulRef="_GBC_048773409e614c6bb753000b028316a5" unitRef="_GBC_5214b7a188334da286fc3038d017d072" addr="T3R7C3S1_1" formatStyle="Comma">
          <m:complexRule comparator="Eq" title="母公司其他权益工具-永续债@上年同期期初数" test=" $_GBC_5689d7fcd8dc412887990aa2c35fcc70 +  $_GBC_aa57c7c4b95c4e86a8085ca0db9c24d6 +  $_GBC_f676f2d3300845699d54863555eb2f4e +  $_GBC_c6fca138a3a241cb81788c08c049a13b" id="Ce40c359919f240d3bf145cacd822bfaa"/>
          <m:axisValue occRef="母公司"/>
        </m:item>
        <m:item xlName="_GBC_119fac0b1d8e4e5083b2dc305f9139de" concept="clcid-pte:QiTaQuanYiGongJuQiTa" label="其他权益工具-其他" periodRef="上年同期期初数" mulRef="_GBC_048773409e614c6bb753000b028316a5" unitRef="_GBC_5214b7a188334da286fc3038d017d072" addr="T3R7C4S1_1" formatStyle="Comma">
          <m:complexRule comparator="Eq" title="母公司其他权益工具-其他@上年同期期初数" test=" $_GBC_0c54703603994692b0ce850c9d185c37 +  $_GBC_f4842520612b49f2b33dc3d4ec815c97 +  $_GBC_deb3e8a640e2408e9ddb378bd8f1a244 +  $_GBC_2496c6be99034972a2ef3d2b683fc2b5" id="Cee4d565878d34177bcb270ddcef2f859"/>
          <m:axisValue occRef="母公司"/>
        </m:item>
        <m:item xlName="_GBC_b4e703d2c1df42c6b0fdda6cb9013f80" concept="clcid-pte:ZiBenGongJi" label="资本公积" periodRef="上年同期期初数" mulRef="_GBC_048773409e614c6bb753000b028316a5" unitRef="_GBC_5214b7a188334da286fc3038d017d072" addr="T3R7C5S1_1" formatStyle="Comma">
          <m:complexRule comparator="Eq" title="母公司资本公积@上年同期期初数" test=" $_GBC_ff3bcedd78cc4ee99d1657f220561416 +  $_GBC_57ad89b924074eee818846736056a647 +  $_GBC_8690a96674394b36bfed346fbf7d629e +  $_GBC_aeb3726b8f20453aa15b9d10f6b0ad44" id="C361bcef371aa4438b3cf759c5e713330"/>
          <m:axisValue occRef="母公司"/>
        </m:item>
        <m:item xlName="_GBC_9a28a9201523489b945dfcf1b66bda05" concept="clcid-pte:KuCunGu" label="库存股" periodRef="上年同期期初数" mulRef="_GBC_048773409e614c6bb753000b028316a5" unitRef="_GBC_5214b7a188334da286fc3038d017d072" addr="T3R7C6S1_1" baseScale="-1" formatStyle="Comma">
          <m:complexRule comparator="Eq" title="母公司库存股@上年同期期初数" test=" $_GBC_7c3028b0517a42bdbf6064be16301591 +  $_GBC_9749940b2a494ed7acef1ddcf22598df +  $_GBC_6cc9b32f7143444ba65f4723ceb5580b +  $_GBC_647e1f3b4a104d50988356b981a52ed2" id="C94b32fe026434333b8adfd7ba25c7de7"/>
          <m:axisValue occRef="母公司"/>
        </m:item>
        <m:item xlName="_GBC_fb9d19f3591647569090b0f835b4542a" concept="clcid-pte:QiTaZongHeShouYiZiChanFuZhaiBiaoXiangMu" label="其他综合收益（资产负债表项目）" periodRef="上年同期期初数" mulRef="_GBC_048773409e614c6bb753000b028316a5" unitRef="_GBC_5214b7a188334da286fc3038d017d072" addr="T3R7C7S1_1" formatStyle="Comma">
          <m:complexRule comparator="Eq" title="母公司其他综合收益（资产负债表项目）@上年同期期初数" test=" $_GBC_74098f4d62df4fd284a356d203934def +  $_GBC_eb258d12dac84621a368b8000391b0eb +  $_GBC_ccd73d9543bd446dbdbc1e6a3dcf0ebf +  $_GBC_1fdda27510844cada3a4d77dc3da1e4a" id="C517f77953178439f831fdb4700f55575"/>
          <m:axisValue occRef="母公司"/>
        </m:item>
        <m:item xlName="_GBC_5d3a95a2a57b485cbe5fb78e893a7739" concept="clcid-pte:ZhuanXiangChuBei" label="专项储备" periodRef="上年同期期初数" mulRef="_GBC_048773409e614c6bb753000b028316a5" unitRef="_GBC_5214b7a188334da286fc3038d017d072" addr="T3R7C8S1_1" formatStyle="Comma">
          <m:complexRule comparator="Eq" title="母公司专项储备@上年同期期初数" test=" $_GBC_f7c21cc7f3304231b66a579c535010a8 +  $_GBC_1e924fe918e74391b10edf287076a289 +  $_GBC_32813263afbc41feabab11462d478836 +  $_GBC_e5c1940714994a448f47e75a2b164172" id="C8cf8fe8af6524b7b91a12245e3778606"/>
          <m:axisValue occRef="母公司"/>
        </m:item>
        <m:item xlName="_GBC_a26d138497b24e9cafc3b71845071d26" concept="clcid-pte:YingYuGongJi" label="盈余公积" periodRef="上年同期期初数" mulRef="_GBC_048773409e614c6bb753000b028316a5" unitRef="_GBC_5214b7a188334da286fc3038d017d072" addr="T3R7C9S1_1" formatStyle="Comma">
          <m:complexRule comparator="Eq" title="母公司盈余公积@上年同期期初数" test=" $_GBC_973b45a1952046debbaf74d36611e83f +  $_GBC_56fa88fdf6f24176a086fca815843909 +  $_GBC_2c011e6947c5444382a3df3a579f6c1a +  $_GBC_8e4af539f2f846c1a47f81a862e7203c" id="C2fc37d55d6c14792b90658a40fda8476"/>
          <m:axisValue occRef="母公司"/>
        </m:item>
        <m:item xlName="_GBC_19aa1f7f367b45779e928cbb4f3b54d7" concept="clcid-pte:WeiFenPeiLiRun" label="未分配利润" periodRef="上年同期期初数" mulRef="_GBC_048773409e614c6bb753000b028316a5" unitRef="_GBC_5214b7a188334da286fc3038d017d072" addr="T3R7C10S1_1" formatStyle="Comma">
          <m:complexRule comparator="Eq" title="母公司未分配利润@上年同期期初数" test=" $_GBC_8937d1a2bb954fe69536d056f1a1957d +  $_GBC_7c18145bd007499aa86b7378006a5535 +  $_GBC_1f4513cb94a7496c8b393f60bf62181a +  $_GBC_a9d649f3df274375be907686f2a071b3" id="C25082d73d3814c748a1aaa54132d4fcf"/>
          <m:axisValue occRef="母公司"/>
        </m:item>
        <m:item xlName="_GBC_d90a3c9b2c0644ffae294a2dac101ddf" concept="clcid-pte:GuDongQuanYiHeJi" label="股东权益合计" periodRef="上年同期期初数" mulRef="_GBC_048773409e614c6bb753000b028316a5" unitRef="_GBC_5214b7a188334da286fc3038d017d072" addr="T3R7C11S1_1" formatStyle="Comma">
          <m:complexRule comparator="Eq" title="母公司股东权益合计@上年同期期初数" test=" $_GBC_a0e706d44f164e27a80c18eb09d3dc86 +  $_GBC_aeca160d2f214c6aac892578577580ad +  $_GBC_2f9be54efc1e4aaabf5510a0cc326c8b +  $_GBC_de82119734274e04980dec25ee6df3d8" id="Ccb9d0f840eca449db0dbbd09cf881813"/>
          <m:axisValue occRef="母公司"/>
        </m:item>
        <m:placeholder xlName="_PLD_302909e63784410386a25e7b0c2339c7" wordText="三、本期增减变动金额（减少以“－”号填列）" addr="T3R8C0S1_1"/>
        <m:item xlName="_GBC_6cad44428de44320a370f98eaa864837" concept="clcid-pte:ShiShouZiBenHuoGuBenJingEZengJianBianDongJinE" label="实收资本（或股本）净额增减变动金额" periodRef="上年同期数" mulRef="_GBC_048773409e614c6bb753000b028316a5" unitRef="_GBC_5214b7a188334da286fc3038d017d072" addr="T3R8C1S1_1" formatStyle="Comma">
          <m:complexRule comparator="Eq" title="母公司实收资本（或股本）净额增减变动金额@上年同期数" test=" $_GBC_f03cc738bdda4873a4c9306c6c68ceac +  $_GBC_f30fe6682675483d894e0f99e2a13078 +  $_GBC_b3dec4838d0d45e59662e83d7f4be2f3 +  $_GBC_c19e43212fe641aaa5ce1baa033a01ef +  $_GBC_16423acb42694b0695a2b2cafbbef02a +  $_GBC_71a27117a2ae4eba9f1467134211f92b" id="C9272c093fdcf45c895d82f8a717bf6dc"/>
          <m:axisValue occRef="母公司"/>
        </m:item>
        <m:item xlName="_GBC_56eb48900f8947278ed7fe0cec36d691" concept="clcid-pte:QiTaQuanYiGongJuZhongDeYouXianGuZengJianBianDongJinE" label="其他权益工具中的优先股增减变动金额" periodRef="上年同期数" mulRef="_GBC_048773409e614c6bb753000b028316a5" unitRef="_GBC_5214b7a188334da286fc3038d017d072" addr="T3R8C2S1_1" formatStyle="Comma">
          <m:complexRule comparator="Eq" title="母公司其他权益工具中的优先股增减变动金额@上年同期数" test=" $_GBC_3afbe4154e2c45958409a40b0988b99a +  $_GBC_197e5223ed794f02bfd51c1acc45a6ea +  $_GBC_27e8d048a5e04acdba976f1e9ed0b06c +  $_GBC_ad7e6b309c714cea89525498a8cf176a +  $_GBC_60b0f5bee3f44e29beb8767aaf542091 +  $_GBC_cdae179ccd124b27a2863808a4ab6b53" id="C24ea77cb399f4ef08f7ecff5570721cc"/>
          <m:axisValue occRef="母公司"/>
        </m:item>
        <m:item xlName="_GBC_a148b32997e24452b93a726beaee97c3" concept="clcid-pte:QiTaQuanYiGongJuZhongDeYongXuZhaiZengJianBianDongJinE" label="其他权益工具中的永续债增减变动金额" periodRef="上年同期数" mulRef="_GBC_048773409e614c6bb753000b028316a5" unitRef="_GBC_5214b7a188334da286fc3038d017d072" addr="T3R8C3S1_1" formatStyle="Comma">
          <m:complexRule comparator="Eq" title="母公司其他权益工具中的永续债增减变动金额@上年同期数" test=" $_GBC_f4f6b65ae107405993c0738c6f8ef082 +  $_GBC_b2014aa035fe41fcabeefc5289d496f2 +  $_GBC_309ba0d4e04643cba98c51da86266d57 +  $_GBC_e5aeeafa2b6b4bc79001068eaaad923a +  $_GBC_f31181741e8e4e219c8b9691143ef81a +  $_GBC_db2da6802d9c4534bd4a125a4a2b8a6e" id="Ca999fd8a37ee471fa5c1bda63a8dec90"/>
          <m:axisValue occRef="母公司"/>
        </m:item>
        <m:item xlName="_GBC_d8448fdaaab84ea0b5d6106800969da3" concept="clcid-pte:QiTaQuanYiGongJuZhongDeQiTaZengJianBianDongJinE" label="其他权益工具中的其他增减变动金额" periodRef="上年同期数" mulRef="_GBC_048773409e614c6bb753000b028316a5" unitRef="_GBC_5214b7a188334da286fc3038d017d072" addr="T3R8C4S1_1" formatStyle="Comma">
          <m:complexRule comparator="Eq" title="母公司其他权益工具中的其他增减变动金额@上年同期数" test=" $_GBC_057649099f704e45979ac350d567c04a +  $_GBC_6daf1792d7f64c1f9c5f6a8150d79c39 +  $_GBC_d5f2ccc4648f4748ac123d6dd319d2ef +  $_GBC_7eda8b0582a54300a3c2b6c2a88c41c5 +  $_GBC_08adf9ba44254d4d87885db813405685 +  $_GBC_c632a3243e4941b48477298ae28e0975" id="C9ca5060258434856b4789685088b9d8b"/>
          <m:axisValue occRef="母公司"/>
        </m:item>
        <m:item xlName="_GBC_5303902d83c74b30815e6f89666742d1" concept="clcid-pte:ZiBenGongJiZengJianBianDongJinE" label="资本公积增减变动金额" periodRef="上年同期数" mulRef="_GBC_048773409e614c6bb753000b028316a5" unitRef="_GBC_5214b7a188334da286fc3038d017d072" addr="T3R8C5S1_1" formatStyle="Comma">
          <m:complexRule comparator="Eq" title="母公司资本公积增减变动金额@上年同期数" test=" $_GBC_051d80e5b219419da9c9ac9a8f6fd141 +  $_GBC_18d61164cfe74dcab47a7d10eecf13ca +  $_GBC_a091e435665a4018a1f2d3b1759a956d +  $_GBC_4155dd20e2ca45e49212e809929c8a2f +  $_GBC_3b000383778d4171b7d53dc7b1047036 +  $_GBC_af9fea912b3242869b1e3170aede5d07" id="Cd5f24afdbbd846798a86a0818cc7e147"/>
          <m:axisValue occRef="母公司"/>
        </m:item>
        <m:item xlName="_GBC_e40a288ce3a14dd5a5c521ad781dd8d8" concept="clcid-pte:KuCunGuZengJianBianDongJinE" label="库存股增减变动金额" periodRef="上年同期数" mulRef="_GBC_048773409e614c6bb753000b028316a5" unitRef="_GBC_5214b7a188334da286fc3038d017d072" addr="T3R8C6S1_1" baseScale="-1" formatStyle="Comma">
          <m:complexRule comparator="Eq" title="母公司库存股增减变动金额@上年同期数" test=" $_GBC_3fbab9aa6bc04292961283ab205f2edd +  $_GBC_a8aa67f466874d41b3134fe9e589f362 +  $_GBC_355f544855b84d9f8681ce0efeb3496d +  $_GBC_4299920f98cf4a5c9df49ab490ad1df4 +  $_GBC_0209c77ced654f8589e1c43c49062e08 +  $_GBC_07493c16ad40469593169c9f0d17f41d" id="C8b17eae03b1e4f5c8c937c76442d5475"/>
          <m:axisValue occRef="母公司"/>
        </m:item>
        <m:item xlName="_GBC_1e69fad3306d48a8a86e741b472ef4f5" concept="clcid-pte:QiTaZongHeShouYiZengJianBianDongJinE" label="其他综合收益增减变动金额" periodRef="上年同期数" mulRef="_GBC_048773409e614c6bb753000b028316a5" unitRef="_GBC_5214b7a188334da286fc3038d017d072" addr="T3R8C7S1_1" formatStyle="Comma">
          <m:complexRule comparator="Eq" title="母公司其他综合收益增减变动金额@上年同期数" test=" $_GBC_527bc6752f2844f2b62b324fac1579af +  $_GBC_fa7fa67c6d0b4542a671406d5364d519 +  $_GBC_879af85f06e84e2f83c32eab9ff1868b +  $_GBC_87e7e393829b46f8861c0351ce1450e7 +  $_GBC_c0351e15d055493ea8e603a4ff5ef594 +  $_GBC_77a0dba7bd3f4de6b5a9a804c3a55173" id="C44be46e7f1244b9b9604a1fd5c3f6442"/>
          <m:axisValue occRef="母公司"/>
        </m:item>
        <m:item xlName="_GBC_cf624f5447de4e0ea1c8e6586499f70d" concept="clcid-pte:ZhuanXiangChuBeiZengJianBianDongJinE" label="专项储备增减变动金额" periodRef="上年同期数" mulRef="_GBC_048773409e614c6bb753000b028316a5" unitRef="_GBC_5214b7a188334da286fc3038d017d072" addr="T3R8C8S1_1" formatStyle="Comma">
          <m:complexRule comparator="Eq" title="母公司专项储备增减变动金额@上年同期数" test=" $_GBC_b8c9b5a6ffca46afa033de81ffa8fbe3 +  $_GBC_12c757ffd8bc4afd9a3698ab9203b871 +  $_GBC_1be8be4848d542d6b740d08536a93580 +  $_GBC_02f9ec755eb74b5a9463d7056719b3cf +  $_GBC_fc574a847bc041af8f2298715be5a0fc +  $_GBC_bf060dfc588a48949fa9fdd4b1978a2c" id="Ce5e94a733b44432f8ba65a3b8c84fc35"/>
          <m:axisValue occRef="母公司"/>
        </m:item>
        <m:item xlName="_GBC_4c71e5d6dbea45a6b01ee55be204d29e" concept="clcid-pte:YingYuGongJiZengJianBianDongJinE" label="盈余公积增减变动金额" periodRef="上年同期数" mulRef="_GBC_048773409e614c6bb753000b028316a5" unitRef="_GBC_5214b7a188334da286fc3038d017d072" addr="T3R8C9S1_1" formatStyle="Comma">
          <m:complexRule comparator="Eq" title="母公司盈余公积增减变动金额@上年同期数" test=" $_GBC_146d3011679e46458aa7bc979173eac5 +  $_GBC_317446a90b394788a360afc4eb53210a +  $_GBC_3a277de32a8b42aab02e1466554d9815 +  $_GBC_4d1c0a6264fc47de979a0253aebee62d +  $_GBC_a43bf81f3d4c446b9e25984a0b46d0d5 +  $_GBC_272be9a209e44c10b11e86a90487a9e1" id="C24038faea1b74d1b95de7f07084e85a9"/>
          <m:axisValue occRef="母公司"/>
        </m:item>
        <m:item xlName="_GBC_eaaa50e1ddcf4ca2a41500effe5a3183" concept="clcid-pte:WeiFenPeiLiRunZengJianBianDongJinE" label="未分配利润增减变动金额" periodRef="上年同期数" mulRef="_GBC_048773409e614c6bb753000b028316a5" unitRef="_GBC_5214b7a188334da286fc3038d017d072" addr="T3R8C10S1_1" formatStyle="Comma">
          <m:complexRule comparator="Eq" title="母公司未分配利润增减变动金额@上年同期数" test=" $_GBC_d894c7c8295849e3823c595b722bc756 +  $_GBC_a1ada7faa5bf45fb8ed127fd006b0297 +  $_GBC_756ee51c1ffc491b85c79911a3e21c21 +  $_GBC_bb6a2259f3cb4519a2b61bbca551d5b6 +  $_GBC_964a0481c188400891441b6e98e63b81 +  $_GBC_a7e13d85a61840a8ac4aedcdd3303cdd" id="Cf30c8b1956b64e7895fea954959f1814"/>
          <m:axisValue occRef="母公司"/>
        </m:item>
        <m:item xlName="_GBC_b60345e251794508b9f2ca462fa333c5" concept="clcid-pte:GuDongQuanYiHeJiZengJianBianDongJinE" label="股东权益合计增减变动金额" periodRef="上年同期数" mulRef="_GBC_048773409e614c6bb753000b028316a5" unitRef="_GBC_5214b7a188334da286fc3038d017d072" addr="T3R8C11S1_1" formatStyle="Comma">
          <m:complexRule comparator="Eq" title="母公司股东权益合计增减变动金额@上年同期数" test=" $_GBC_c102251053714ae28c7d105f6c205929 +  $_GBC_f0a2522b485e446cbb90d9f3b913769d +  $_GBC_6b560be59d484909b6fe65ca4f320e44 +  $_GBC_cf343c3c4abc44eabdb57be2a6e08c0d +  $_GBC_6c058e4ea0bd48a1a046d188fdffedce +  $_GBC_1115ce83c5b54592aadda82104dd1cd7" id="Cdeab2d1dd9bf453bb4cfc2991d4066b0"/>
          <m:axisValue occRef="母公司"/>
        </m:item>
        <m:placeholder xlName="_PLD_565b6c314fb34fb6b0c677b992754d48" wordText="（一）综合收益总额" addr="T3R9C0S1_1"/>
        <m:item xlName="_GBC_f03cc738bdda4873a4c9306c6c68ceac" concept="clcid-pte:ZongHeShouYiZongEDaoZhiGuBenBianDongJinE" label="综合收益总额导致股本变动金额" periodRef="上年同期数" mulRef="_GBC_048773409e614c6bb753000b028316a5" unitRef="_GBC_5214b7a188334da286fc3038d017d072" addr="T3R9C1S1_1" formatStyle="Comma">
          <m:axisValue occRef="母公司"/>
        </m:item>
        <m:item xlName="_GBC_3afbe4154e2c45958409a40b0988b99a" concept="clcid-pte:ZongHeShouYiZongEDaoZhiYouXianGuBianDongJinE" label="综合收益总额导致优先股变动金额" periodRef="上年同期数" mulRef="_GBC_048773409e614c6bb753000b028316a5" unitRef="_GBC_5214b7a188334da286fc3038d017d072" addr="T3R9C2S1_1" formatStyle="Comma">
          <m:axisValue occRef="母公司"/>
        </m:item>
        <m:item xlName="_GBC_f4f6b65ae107405993c0738c6f8ef082" concept="clcid-pte:ZongHeShouYiZongEDaoZhiYongXuZhaiBianDongJinE" label="综合收益总额导致永续债变动金额" periodRef="上年同期数" mulRef="_GBC_048773409e614c6bb753000b028316a5" unitRef="_GBC_5214b7a188334da286fc3038d017d072" addr="T3R9C3S1_1" formatStyle="Comma">
          <m:axisValue occRef="母公司"/>
        </m:item>
        <m:item xlName="_GBC_057649099f704e45979ac350d567c04a" concept="clcid-pte:ZongHeShouYiZongEDaoZhiQiTaQuanYiGongJuZhongDeQiTaBianDongJinE" label="综合收益总额导致其他权益工具中的其他变动金额" periodRef="上年同期数" mulRef="_GBC_048773409e614c6bb753000b028316a5" unitRef="_GBC_5214b7a188334da286fc3038d017d072" addr="T3R9C4S1_1" formatStyle="Comma">
          <m:axisValue occRef="母公司"/>
        </m:item>
        <m:item xlName="_GBC_051d80e5b219419da9c9ac9a8f6fd141" concept="clcid-pte:ZongHeShouYiZongEDaoZhiZiBenGongJiBianDongJinE" label="综合收益总额导致资本公积变动金额" periodRef="上年同期数" mulRef="_GBC_048773409e614c6bb753000b028316a5" unitRef="_GBC_5214b7a188334da286fc3038d017d072" addr="T3R9C5S1_1" formatStyle="Comma">
          <m:axisValue occRef="母公司"/>
        </m:item>
        <m:item xlName="_GBC_3fbab9aa6bc04292961283ab205f2edd" concept="clcid-pte:ZongHeShouYiZongEDaoZhiKuCunGuBianDongJinE" label="综合收益总额导致库存股变动金额" periodRef="上年同期数" mulRef="_GBC_048773409e614c6bb753000b028316a5" unitRef="_GBC_5214b7a188334da286fc3038d017d072" addr="T3R9C6S1_1" baseScale="-1" formatStyle="Comma">
          <m:axisValue occRef="母公司"/>
        </m:item>
        <m:item xlName="_GBC_527bc6752f2844f2b62b324fac1579af" concept="clcid-pte:ZongHeShouYiZongEDaoZhiQiTaZongHeShouYiBianDongJinE" label="综合收益总额导致其他综合收益变动金额" periodRef="上年同期数" mulRef="_GBC_048773409e614c6bb753000b028316a5" unitRef="_GBC_5214b7a188334da286fc3038d017d072" addr="T3R9C7S1_1" formatStyle="Comma">
          <m:axisValue occRef="母公司"/>
        </m:item>
        <m:item xlName="_GBC_b8c9b5a6ffca46afa033de81ffa8fbe3" concept="clcid-pte:ZongHeShouYiZongEDaoZhiZhuanXiangChuBeiBianDongJinE" label="综合收益总额导致专项储备变动金额" periodRef="上年同期数" mulRef="_GBC_048773409e614c6bb753000b028316a5" unitRef="_GBC_5214b7a188334da286fc3038d017d072" addr="T3R9C8S1_1" formatStyle="Comma">
          <m:axisValue occRef="母公司"/>
        </m:item>
        <m:item xlName="_GBC_146d3011679e46458aa7bc979173eac5" concept="clcid-pte:ZongHeShouYiZongEDaoZhiYingYuGongJiBianDongJinE" label="综合收益总额导致盈余公积变动金额" periodRef="上年同期数" mulRef="_GBC_048773409e614c6bb753000b028316a5" unitRef="_GBC_5214b7a188334da286fc3038d017d072" addr="T3R9C9S1_1" formatStyle="Comma">
          <m:axisValue occRef="母公司"/>
        </m:item>
        <m:item xlName="_GBC_d894c7c8295849e3823c595b722bc756" concept="clcid-pte:ZongHeShouYiZongEDaoZhiWeiFenPeiLiRunBianDongJinE" label="综合收益总额导致未分配利润变动金额" periodRef="上年同期数" mulRef="_GBC_048773409e614c6bb753000b028316a5" unitRef="_GBC_5214b7a188334da286fc3038d017d072" addr="T3R9C10S1_1" formatStyle="Comma">
          <m:axisValue occRef="母公司"/>
        </m:item>
        <m:item xlName="_GBC_c102251053714ae28c7d105f6c205929" concept="clcid-pte:ZongHeShouYiZongEDaoZhiGuDongQuanYiHeJiBianDongJinE" label="综合收益总额导致股东权益合计变动金额" periodRef="上年同期数" mulRef="_GBC_048773409e614c6bb753000b028316a5" unitRef="_GBC_5214b7a188334da286fc3038d017d072" addr="T3R9C11S1_1" formatStyle="Comma">
          <m:axisValue occRef="母公司"/>
        </m:item>
        <m:placeholder xlName="_PLD_4f759bcfeb8744e79a2c846685bf5bf7" wordText="（二）所有者投入和减少资本" addr="T3R10C0S1_1"/>
        <m:item xlName="_GBC_f30fe6682675483d894e0f99e2a13078" concept="clcid-pte:SuoYouZheTouRuHeJianShaoZiBenDaoZhiShiShouZiBenHuoGuBenJingEBianDongJinE" label="所有者投入和减少资本导致实收资本（或股本）净额变动金额" periodRef="上年同期数" mulRef="_GBC_048773409e614c6bb753000b028316a5" unitRef="_GBC_5214b7a188334da286fc3038d017d072" addr="T3R10C1S1_1" formatStyle="Comma">
          <m:complexRule comparator="Eq" title="母公司所有者投入和减少资本导致实收资本（或股本）净额变动金额@上年同期数" test=" $_GBC_07f7e56ebc8f413491431a71f19f57c2 +  $_GBC_db2e6c63198c4ff598d467ff8d2a728b +  $_GBC_13e88d3ca9734111b5b94708dfc7fea3 +  $_GBC_8de4c3081ae8416294ac912bce6c0830" id="Cbd3e987c00df4ec3ab8f19db17e39a72"/>
          <m:axisValue occRef="母公司"/>
        </m:item>
        <m:item xlName="_GBC_197e5223ed794f02bfd51c1acc45a6ea" concept="clcid-pte:SuoYouZheTouRuHeJianShaoZiBenDaoZhiQiTaQuanYiGongJuZhongDeYouXianGuBianDongJinE" label="所有者投入和减少资本导致其他权益工具中的优先股变动金额" periodRef="上年同期数" mulRef="_GBC_048773409e614c6bb753000b028316a5" unitRef="_GBC_5214b7a188334da286fc3038d017d072" addr="T3R10C2S1_1" formatStyle="Comma">
          <m:complexRule comparator="Eq" title="母公司所有者投入和减少资本导致其他权益工具中的优先股变动金额@上年同期数" test=" $_GBC_1f2c1b75d6304a8cada547d8a1c55afe +  $_GBC_0f73aadbc7be4edda51fb9420c476368 +  $_GBC_e0c69319bf5442e8a326094729108247 +  $_GBC_16021aaa4546434fa16e39c0f350c3d0" id="Ca67369f21b3c4bfc9fc4be532c7f9614"/>
          <m:axisValue occRef="母公司"/>
        </m:item>
        <m:item xlName="_GBC_b2014aa035fe41fcabeefc5289d496f2" concept="clcid-pte:SuoYouZheTouRuHeJianShaoZiBenDaoZhiQiTaQuanYiGongJuZhongDeYongXuZhaiBianDongJinE" label="所有者投入和减少资本导致其他权益工具中的永续债变动金额" periodRef="上年同期数" mulRef="_GBC_048773409e614c6bb753000b028316a5" unitRef="_GBC_5214b7a188334da286fc3038d017d072" addr="T3R10C3S1_1" formatStyle="Comma">
          <m:complexRule comparator="Eq" title="母公司所有者投入和减少资本导致其他权益工具中的永续债变动金额@上年同期数" test=" $_GBC_da3bba2fe5cb4c21831f0ebcbdd58a63 +  $_GBC_f4b8cffb94c541e1a11d201673e7109e +  $_GBC_fd4be5f7ef4041619ed8a443b43f19be +  $_GBC_6225ca3b29ed43a38cc51fd11fe065bb" id="Cdf79ec0d8fba4e82a4e7862292f7bc6a"/>
          <m:axisValue occRef="母公司"/>
        </m:item>
        <m:item xlName="_GBC_6daf1792d7f64c1f9c5f6a8150d79c39" concept="clcid-pte:SuoYouZheTouRuHeJianShaoZiBenDaoZhiQiTaQuanYiGongJuZhongDeQiTaBianDongJinE" label="所有者投入和减少资本导致其他权益工具中的其他变动金额" periodRef="上年同期数" mulRef="_GBC_048773409e614c6bb753000b028316a5" unitRef="_GBC_5214b7a188334da286fc3038d017d072" addr="T3R10C4S1_1" formatStyle="Comma">
          <m:complexRule comparator="Eq" title="母公司所有者投入和减少资本导致其他权益工具中的其他变动金额@上年同期数" test=" $_GBC_04e418d0a64a4cfb8791f453139033ca +  $_GBC_6ccc492f634f4f4ebbc8ee3c6835c0d8 +  $_GBC_5f51b01a48f34a448f69b07157263303 +  $_GBC_57cb4e57b5154dc0b3227782045524cc" id="Cbfd7d9e7e6344f96bf73584899a8776e"/>
          <m:axisValue occRef="母公司"/>
        </m:item>
        <m:item xlName="_GBC_18d61164cfe74dcab47a7d10eecf13ca" concept="clcid-pte:SuoYouZheTouRuHeJianShaoZiBenDaoZhiZiBenGongJiBianDongJinE" label="所有者投入和减少资本导致资本公积变动金额" periodRef="上年同期数" mulRef="_GBC_048773409e614c6bb753000b028316a5" unitRef="_GBC_5214b7a188334da286fc3038d017d072" addr="T3R10C5S1_1" formatStyle="Comma">
          <m:complexRule comparator="Eq" title="母公司所有者投入和减少资本导致资本公积变动金额@上年同期数" test=" $_GBC_da248a874bd548748d8ab181aaf48c32 +  $_GBC_cea104ca3bc34b90a45a018406c5f5a1 +  $_GBC_8f55de91763b48968c98c68d6a6b97ad +  $_GBC_ac6ff5b7a65645e9ba3ea19456f5e831" id="C4660e31495da49c1981609ac4fd8cfe4"/>
          <m:axisValue occRef="母公司"/>
        </m:item>
        <m:item xlName="_GBC_a8aa67f466874d41b3134fe9e589f362" concept="clcid-pte:SuoYouZheTouRuHeJianShaoZiBenDaoZhiKuCunGuBianDongJinE" label="所有者投入和减少资本导致库存股变动金额" periodRef="上年同期数" mulRef="_GBC_048773409e614c6bb753000b028316a5" unitRef="_GBC_5214b7a188334da286fc3038d017d072" addr="T3R10C6S1_1" baseScale="-1" formatStyle="Comma">
          <m:complexRule comparator="Eq" title="母公司所有者投入和减少资本导致库存股变动金额@上年同期数" test=" $_GBC_91bbaf6cceb84fa8b9db1dfbd558fdb1 +  $_GBC_30e62eff0b1e421fb1244e10b5de6da1 +  $_GBC_25ee22dc40f4449b882e61b45b215cba +  $_GBC_6b1de4f1886c477db19f0dd0b71ef491" id="C7bafc3f18cc848b9be3a9a225ea89e10"/>
          <m:axisValue occRef="母公司"/>
        </m:item>
        <m:item xlName="_GBC_fa7fa67c6d0b4542a671406d5364d519" concept="clcid-pte:SuoYouZheTouRuHeJianShaoZiBenDaoZhiQiTaZongHeShouYiBianDongJinE" label="所有者投入和减少资本导致其他综合收益变动金额" periodRef="上年同期数" mulRef="_GBC_048773409e614c6bb753000b028316a5" unitRef="_GBC_5214b7a188334da286fc3038d017d072" addr="T3R10C7S1_1" formatStyle="Comma">
          <m:complexRule comparator="Eq" title="母公司所有者投入和减少资本导致其他综合收益变动金额@上年同期数" test=" $_GBC_d31224a534a24261affa4a9adf744488 +  $_GBC_dbbeb1a62ae740ca9539416f4a598639 +  $_GBC_f4caf6e7f9ea4a16b64431cb92d7bc8d +  $_GBC_db63baca807b47a0926aa5f5453f7da8" id="C2b1f653f843e44f79fd1ed38a33c5981"/>
          <m:axisValue occRef="母公司"/>
        </m:item>
        <m:item xlName="_GBC_12c757ffd8bc4afd9a3698ab9203b871" concept="clcid-pte:SuoYouZheTouRuHeJianShaoZiBenDaoZhiZhuanXiangChuBeiBianDongJinE" label="所有者投入和减少资本导致专项储备变动金额" periodRef="上年同期数" mulRef="_GBC_048773409e614c6bb753000b028316a5" unitRef="_GBC_5214b7a188334da286fc3038d017d072" addr="T3R10C8S1_1" formatStyle="Comma">
          <m:complexRule comparator="Eq" title="母公司所有者投入和减少资本导致专项储备变动金额@上年同期数" test=" $_GBC_939548dfd6ba4efbaef1a7c7dc31aa27 +  $_GBC_b80f2a194cc847abacd0266a4580e330 +  $_GBC_0f832ddbca34432bbd7140921fda8665 +  $_GBC_856d720a007a4ad0950db55b82dba1c9" id="Cffbd85e03872457884eaec03bc719373"/>
          <m:axisValue occRef="母公司"/>
        </m:item>
        <m:item xlName="_GBC_317446a90b394788a360afc4eb53210a" concept="clcid-pte:SuoYouZheTouRuHeJianShaoZiBenDaoZhiYingYuGongJiBianDongJinE" label="所有者投入和减少资本导致盈余公积变动金额" periodRef="上年同期数" mulRef="_GBC_048773409e614c6bb753000b028316a5" unitRef="_GBC_5214b7a188334da286fc3038d017d072" addr="T3R10C9S1_1" formatStyle="Comma">
          <m:complexRule comparator="Eq" title="母公司所有者投入和减少资本导致盈余公积变动金额@上年同期数" test=" $_GBC_7f790ef4d0a2400583313c8f18f07310 +  $_GBC_2497391e5e0549e787bf0a88006fdfb7 +  $_GBC_87d8ab21e0d947a0bcd9814dc46e1d38 +  $_GBC_706b6d6feafd42a4840746657c16c76f" id="Cefff3894ff59428cb02378a6821f6ed9"/>
          <m:axisValue occRef="母公司"/>
        </m:item>
        <m:item xlName="_GBC_a1ada7faa5bf45fb8ed127fd006b0297" concept="clcid-pte:SuoYouZheTouRuHeJianShaoZiBenDaoZhiWeiFenPeiLiRunBianDongJinE" label="所有者投入和减少资本导致未分配利润变动金额" periodRef="上年同期数" mulRef="_GBC_048773409e614c6bb753000b028316a5" unitRef="_GBC_5214b7a188334da286fc3038d017d072" addr="T3R10C10S1_1" formatStyle="Comma">
          <m:complexRule comparator="Eq" title="母公司所有者投入和减少资本导致未分配利润变动金额@上年同期数" test=" $_GBC_dbbce62d9712469cb11a654dcd83953e +  $_GBC_752cd32daa5e4c3ca0cc66aeb0ee6129 +  $_GBC_d6e8139e985f487080734a810228c124 +  $_GBC_fa1eaf01d30e4e64b58806dea4a61bd4" id="C2c00dd7f15cd45eb954c0c440bedbc65"/>
          <m:axisValue occRef="母公司"/>
        </m:item>
        <m:item xlName="_GBC_f0a2522b485e446cbb90d9f3b913769d" concept="clcid-pte:SuoYouZheTouRuHeJianShaoZiBenDaoZhiGuDongQuanYiHeJiBianDongJinE" label="所有者投入和减少资本导致股东权益合计变动金额" periodRef="上年同期数" mulRef="_GBC_048773409e614c6bb753000b028316a5" unitRef="_GBC_5214b7a188334da286fc3038d017d072" addr="T3R10C11S1_1" formatStyle="Comma">
          <m:complexRule comparator="Eq" title="母公司所有者投入和减少资本导致股东权益合计变动金额@上年同期数" test=" $_GBC_6fbd178bb8384a25bf32ea8104c3d5c5 +  $_GBC_7c529d7d04444af1a5174a0d259c3d26 +  $_GBC_e648c639d2e443d8872ca05bd62e5049 +  $_GBC_d7b7366931784e60ae41d317bd24645a" id="C6b2a6376b3524981a8daf39d7903f992"/>
          <m:axisValue occRef="母公司"/>
        </m:item>
        <m:placeholder xlName="_PLD_2ca71442ff4441faa275f28e1236357f" wordText="1．所有者投入的普通股" addr="T3R11C0S1_1"/>
        <m:item xlName="_GBC_07f7e56ebc8f413491431a71f19f57c2" concept="clcid-pte:GuDongTouRuDePuTongGuDaoZhiGuBenBianDongJinE" label="股东投入的普通股导致股本变动金额" periodRef="上年同期数" mulRef="_GBC_048773409e614c6bb753000b028316a5" unitRef="_GBC_5214b7a188334da286fc3038d017d072" addr="T3R11C1S1_1" formatStyle="Comma">
          <m:axisValue occRef="母公司"/>
        </m:item>
        <m:item xlName="_GBC_1f2c1b75d6304a8cada547d8a1c55afe" concept="clcid-pte:GuDongTouRuDePuTongGuDaoZhiYouXianGuBianDongJinE" label="股东投入的普通股导致优先股变动金额" periodRef="上年同期数" mulRef="_GBC_048773409e614c6bb753000b028316a5" unitRef="_GBC_5214b7a188334da286fc3038d017d072" addr="T3R11C2S1_1" formatStyle="Comma">
          <m:axisValue occRef="母公司"/>
        </m:item>
        <m:item xlName="_GBC_da3bba2fe5cb4c21831f0ebcbdd58a63" concept="clcid-pte:GuDongTouRuDePuTongGuDaoZhiYongXuZhaiBianDongJinE" label="股东投入的普通股导致永续债变动金额" periodRef="上年同期数" mulRef="_GBC_048773409e614c6bb753000b028316a5" unitRef="_GBC_5214b7a188334da286fc3038d017d072" addr="T3R11C3S1_1" formatStyle="Comma">
          <m:axisValue occRef="母公司"/>
        </m:item>
        <m:item xlName="_GBC_04e418d0a64a4cfb8791f453139033ca" concept="clcid-pte:GuDongTouRuDePuTongGuDaoZhiQiTaQuanYiGongJuZhongDeQiTaBianDongJinE" label="股东投入的普通股导致其他权益工具中的其他变动金额" periodRef="上年同期数" mulRef="_GBC_048773409e614c6bb753000b028316a5" unitRef="_GBC_5214b7a188334da286fc3038d017d072" addr="T3R11C4S1_1" formatStyle="Comma">
          <m:axisValue occRef="母公司"/>
        </m:item>
        <m:item xlName="_GBC_da248a874bd548748d8ab181aaf48c32" concept="clcid-pte:GuDongTouRuDePuTongGuDaoZhiZiBenGongJiBianDongJinE" label="股东投入的普通股导致资本公积变动金额" periodRef="上年同期数" mulRef="_GBC_048773409e614c6bb753000b028316a5" unitRef="_GBC_5214b7a188334da286fc3038d017d072" addr="T3R11C5S1_1" formatStyle="Comma">
          <m:axisValue occRef="母公司"/>
        </m:item>
        <m:item xlName="_GBC_91bbaf6cceb84fa8b9db1dfbd558fdb1" concept="clcid-pte:GuDongTouRuDePuTongGuDaoZhiKuCunGuBianDongJinE" label="股东投入的普通股导致库存股变动金额" periodRef="上年同期数" mulRef="_GBC_048773409e614c6bb753000b028316a5" unitRef="_GBC_5214b7a188334da286fc3038d017d072" addr="T3R11C6S1_1" baseScale="-1" formatStyle="Comma">
          <m:axisValue occRef="母公司"/>
        </m:item>
        <m:item xlName="_GBC_d31224a534a24261affa4a9adf744488" concept="clcid-pte:GuDongTouRuDePuTongGuDaoZhiQiTaZongHeShouYiBianDongJinE" label="股东投入的普通股导致其他综合收益变动金额" periodRef="上年同期数" mulRef="_GBC_048773409e614c6bb753000b028316a5" unitRef="_GBC_5214b7a188334da286fc3038d017d072" addr="T3R11C7S1_1" formatStyle="Comma">
          <m:axisValue occRef="母公司"/>
        </m:item>
        <m:item xlName="_GBC_939548dfd6ba4efbaef1a7c7dc31aa27" concept="clcid-pte:GuDongTouRuDePuTongGuDaoZhiZhuanXiangChuBeiBianDongJinE" label="股东投入的普通股导致专项储备变动金额" periodRef="上年同期数" mulRef="_GBC_048773409e614c6bb753000b028316a5" unitRef="_GBC_5214b7a188334da286fc3038d017d072" addr="T3R11C8S1_1" formatStyle="Comma">
          <m:axisValue occRef="母公司"/>
        </m:item>
        <m:item xlName="_GBC_7f790ef4d0a2400583313c8f18f07310" concept="clcid-pte:GuDongTouRuDePuTongGuDaoZhiYingYuGongJiBianDongJinE" label="股东投入的普通股导致盈余公积变动金额" periodRef="上年同期数" mulRef="_GBC_048773409e614c6bb753000b028316a5" unitRef="_GBC_5214b7a188334da286fc3038d017d072" addr="T3R11C9S1_1" formatStyle="Comma">
          <m:axisValue occRef="母公司"/>
        </m:item>
        <m:item xlName="_GBC_dbbce62d9712469cb11a654dcd83953e" concept="clcid-pte:GuDongTouRuDePuTongGuDaoZhiWeiFenPeiLiRunBianDongJinE" label="股东投入的普通股导致未分配利润变动金额" periodRef="上年同期数" mulRef="_GBC_048773409e614c6bb753000b028316a5" unitRef="_GBC_5214b7a188334da286fc3038d017d072" addr="T3R11C10S1_1" formatStyle="Comma">
          <m:axisValue occRef="母公司"/>
        </m:item>
        <m:item xlName="_GBC_6fbd178bb8384a25bf32ea8104c3d5c5" concept="clcid-pte:GuDongTouRuDePuTongGuDaoZhiGuDongQuanYiHeJiBianDongJinE" label="股东投入的普通股导致股东权益合计变动金额" periodRef="上年同期数" mulRef="_GBC_048773409e614c6bb753000b028316a5" unitRef="_GBC_5214b7a188334da286fc3038d017d072" addr="T3R11C11S1_1" formatStyle="Comma">
          <m:axisValue occRef="母公司"/>
        </m:item>
        <m:placeholder xlName="_PLD_c9217abeeb6e46ac8415ee33ff13a461" wordText="2．其他权益工具持有者投入资本" addr="T3R12C0S1_1"/>
        <m:item xlName="_GBC_db2e6c63198c4ff598d467ff8d2a728b" concept="clcid-pte:QiTaQuanYiGongJuChiYouZheTouRuZiBenDaoZhiGuBenBianDongJinE" label="其他权益工具持有者投入资本导致股本变动金额" periodRef="上年同期数" mulRef="_GBC_048773409e614c6bb753000b028316a5" unitRef="_GBC_5214b7a188334da286fc3038d017d072" addr="T3R12C1S1_1" formatStyle="Comma">
          <m:axisValue occRef="母公司"/>
        </m:item>
        <m:item xlName="_GBC_0f73aadbc7be4edda51fb9420c476368" concept="clcid-pte:QiTaQuanYiGongJuChiYouZheTouRuZiBenDaoZhiYouXianGuBianDongJinE" label="其他权益工具持有者投入资本导致优先股变动金额" periodRef="上年同期数" mulRef="_GBC_048773409e614c6bb753000b028316a5" unitRef="_GBC_5214b7a188334da286fc3038d017d072" addr="T3R12C2S1_1" formatStyle="Comma">
          <m:axisValue occRef="母公司"/>
        </m:item>
        <m:item xlName="_GBC_f4b8cffb94c541e1a11d201673e7109e" concept="clcid-pte:QiTaQuanYiGongJuChiYouZheTouRuZiBenDaoZhiYongXuZhaiBianDongJinE" label="其他权益工具持有者投入资本导致永续债变动金额" periodRef="上年同期数" mulRef="_GBC_048773409e614c6bb753000b028316a5" unitRef="_GBC_5214b7a188334da286fc3038d017d072" addr="T3R12C3S1_1" formatStyle="Comma">
          <m:axisValue occRef="母公司"/>
        </m:item>
        <m:item xlName="_GBC_6ccc492f634f4f4ebbc8ee3c6835c0d8" concept="clcid-pte:QiTaQuanYiGongJuChiYouZheTouRuZiBenDaoZhiQiTaQuanYiGongJuZhongDeQiTaBianDongJinE" label="其他权益工具持有者投入资本导致其他权益工具中的其他变动金额" periodRef="上年同期数" mulRef="_GBC_048773409e614c6bb753000b028316a5" unitRef="_GBC_5214b7a188334da286fc3038d017d072" addr="T3R12C4S1_1" formatStyle="Comma">
          <m:axisValue occRef="母公司"/>
        </m:item>
        <m:item xlName="_GBC_cea104ca3bc34b90a45a018406c5f5a1" concept="clcid-pte:QiTaQuanYiGongJuChiYouZheTouRuZiBenDaoZhiZiBenGongJiBianDongJinE" label="其他权益工具持有者投入资本导致资本公积变动金额" periodRef="上年同期数" mulRef="_GBC_048773409e614c6bb753000b028316a5" unitRef="_GBC_5214b7a188334da286fc3038d017d072" addr="T3R12C5S1_1" formatStyle="Comma">
          <m:axisValue occRef="母公司"/>
        </m:item>
        <m:item xlName="_GBC_30e62eff0b1e421fb1244e10b5de6da1" concept="clcid-pte:QiTaQuanYiGongJuChiYouZheTouRuZiBenDaoZhiKuCunGuBianDongJinE" label="其他权益工具持有者投入资本导致库存股变动金额" periodRef="上年同期数" mulRef="_GBC_048773409e614c6bb753000b028316a5" unitRef="_GBC_5214b7a188334da286fc3038d017d072" addr="T3R12C6S1_1" baseScale="-1" formatStyle="Comma">
          <m:axisValue occRef="母公司"/>
        </m:item>
        <m:item xlName="_GBC_dbbeb1a62ae740ca9539416f4a598639" concept="clcid-pte:QiTaQuanYiGongJuChiYouZheTouRuZiBenDaoZhiQiTaZongHeShouYiBianDongJinE" label="其他权益工具持有者投入资本导致其他综合收益变动金额" periodRef="上年同期数" mulRef="_GBC_048773409e614c6bb753000b028316a5" unitRef="_GBC_5214b7a188334da286fc3038d017d072" addr="T3R12C7S1_1" formatStyle="Comma">
          <m:axisValue occRef="母公司"/>
        </m:item>
        <m:item xlName="_GBC_b80f2a194cc847abacd0266a4580e330" concept="clcid-pte:QiTaQuanYiGongJuChiYouZheTouRuZiBenDaoZhiZhuanXiangChuBeiBianDongJinE" label="其他权益工具持有者投入资本导致专项储备变动金额" periodRef="上年同期数" mulRef="_GBC_048773409e614c6bb753000b028316a5" unitRef="_GBC_5214b7a188334da286fc3038d017d072" addr="T3R12C8S1_1" formatStyle="Comma">
          <m:axisValue occRef="母公司"/>
        </m:item>
        <m:item xlName="_GBC_2497391e5e0549e787bf0a88006fdfb7" concept="clcid-pte:QiTaQuanYiGongJuChiYouZheTouRuZiBenDaoZhiYingYuGongJiBianDongJinE" label="其他权益工具持有者投入资本导致盈余公积变动金额" periodRef="上年同期数" mulRef="_GBC_048773409e614c6bb753000b028316a5" unitRef="_GBC_5214b7a188334da286fc3038d017d072" addr="T3R12C9S1_1" formatStyle="Comma">
          <m:axisValue occRef="母公司"/>
        </m:item>
        <m:item xlName="_GBC_752cd32daa5e4c3ca0cc66aeb0ee6129" concept="clcid-pte:QiTaQuanYiGongJuChiYouZheTouRuZiBenDaoZhiWeiFenPeiLiRunBianDongJinE" label="其他权益工具持有者投入资本导致未分配利润变动金额" periodRef="上年同期数" mulRef="_GBC_048773409e614c6bb753000b028316a5" unitRef="_GBC_5214b7a188334da286fc3038d017d072" addr="T3R12C10S1_1" formatStyle="Comma">
          <m:axisValue occRef="母公司"/>
        </m:item>
        <m:item xlName="_GBC_7c529d7d04444af1a5174a0d259c3d26" concept="clcid-pte:QiTaQuanYiGongJuChiYouZheTouRuZiBenDaoZhiGuDongQuanYiHeJiBianDongJinE" label="其他权益工具持有者投入资本导致股东权益合计变动金额" periodRef="上年同期数" mulRef="_GBC_048773409e614c6bb753000b028316a5" unitRef="_GBC_5214b7a188334da286fc3038d017d072" addr="T3R12C11S1_1" formatStyle="Comma">
          <m:axisValue occRef="母公司"/>
        </m:item>
        <m:placeholder xlName="_PLD_5b62e12f39a04fa3a5e1647793ab3e5e" wordText="3．股份支付计入所有者权益的金额" addr="T3R13C0S1_1"/>
        <m:item xlName="_GBC_13e88d3ca9734111b5b94708dfc7fea3" concept="clcid-pte:GuFenZhiFuJiRuSuoYouZheQuanYiDeJinEDaoZhiShiShouZiBenHuoGuBenJingEBianDongJinE" label="股份支付计入所有者权益的金额导致实收资本（或股本）净额变动金额" periodRef="上年同期数" mulRef="_GBC_048773409e614c6bb753000b028316a5" unitRef="_GBC_5214b7a188334da286fc3038d017d072" addr="T3R13C1S1_1" formatStyle="Comma">
          <m:axisValue occRef="母公司"/>
        </m:item>
        <m:item xlName="_GBC_e0c69319bf5442e8a326094729108247" concept="clcid-pte:GuFenZhiFuJiRuSuoYouZheQuanYiDeJinEDaoZhiQiTaQuanYiGongJuZhongDeYouXianGuBianDongJinE" label="股份支付计入所有者权益的金额导致其他权益工具中的优先股变动金额" periodRef="上年同期数" mulRef="_GBC_048773409e614c6bb753000b028316a5" unitRef="_GBC_5214b7a188334da286fc3038d017d072" addr="T3R13C2S1_1" formatStyle="Comma">
          <m:axisValue occRef="母公司"/>
        </m:item>
        <m:item xlName="_GBC_fd4be5f7ef4041619ed8a443b43f19be" concept="clcid-pte:GuFenZhiFuJiRuSuoYouZheQuanYiDeJinEDaoZhiQiTaQuanYiGongJuZhongDeYongXuZhaiBianDongJinE" label="股份支付计入所有者权益的金额导致其他权益工具中的永续债变动金额" periodRef="上年同期数" mulRef="_GBC_048773409e614c6bb753000b028316a5" unitRef="_GBC_5214b7a188334da286fc3038d017d072" addr="T3R13C3S1_1" formatStyle="Comma">
          <m:axisValue occRef="母公司"/>
        </m:item>
        <m:item xlName="_GBC_5f51b01a48f34a448f69b07157263303" concept="clcid-pte:GuFenZhiFuJiRuSuoYouZheQuanYiDeJinEDaoZhiQiTaQuanYiGongJuZhongDeQiTaBianDongJinE" label="股份支付计入所有者权益的金额导致其他权益工具中的其他变动金额" periodRef="上年同期数" mulRef="_GBC_048773409e614c6bb753000b028316a5" unitRef="_GBC_5214b7a188334da286fc3038d017d072" addr="T3R13C4S1_1" formatStyle="Comma">
          <m:axisValue occRef="母公司"/>
        </m:item>
        <m:item xlName="_GBC_8f55de91763b48968c98c68d6a6b97ad" concept="clcid-pte:GuFenZhiFuJiRuSuoYouZheQuanYiDeJinEDaoZhiZiBenGongJiBianDongJinE" label="股份支付计入所有者权益的金额导致资本公积变动金额" periodRef="上年同期数" mulRef="_GBC_048773409e614c6bb753000b028316a5" unitRef="_GBC_5214b7a188334da286fc3038d017d072" addr="T3R13C5S1_1" formatStyle="Comma">
          <m:axisValue occRef="母公司"/>
        </m:item>
        <m:item xlName="_GBC_25ee22dc40f4449b882e61b45b215cba" concept="clcid-pte:GuFenZhiFuJiRuSuoYouZheQuanYiDeJinEDaoZhiKuCunGuBianDongJinE" label="股份支付计入所有者权益的金额导致库存股变动金额" periodRef="上年同期数" mulRef="_GBC_048773409e614c6bb753000b028316a5" unitRef="_GBC_5214b7a188334da286fc3038d017d072" addr="T3R13C6S1_1" baseScale="-1" formatStyle="Comma">
          <m:axisValue occRef="母公司"/>
        </m:item>
        <m:item xlName="_GBC_f4caf6e7f9ea4a16b64431cb92d7bc8d" concept="clcid-pte:GuFenZhiFuJiRuSuoYouZheQuanYiDeJinEDaoZhiQiTaZongHeShouYiBianDongJinE" label="股份支付计入所有者权益的金额导致其他综合收益变动金额" periodRef="上年同期数" mulRef="_GBC_048773409e614c6bb753000b028316a5" unitRef="_GBC_5214b7a188334da286fc3038d017d072" addr="T3R13C7S1_1" formatStyle="Comma">
          <m:axisValue occRef="母公司"/>
        </m:item>
        <m:item xlName="_GBC_0f832ddbca34432bbd7140921fda8665" concept="clcid-pte:GuFenZhiFuJiRuSuoYouZheQuanYiDeJinEDaoZhiZhuanXiangChuBeiBianDongJinE" label="股份支付计入所有者权益的金额导致专项储备变动金额" periodRef="上年同期数" mulRef="_GBC_048773409e614c6bb753000b028316a5" unitRef="_GBC_5214b7a188334da286fc3038d017d072" addr="T3R13C8S1_1" formatStyle="Comma">
          <m:axisValue occRef="母公司"/>
        </m:item>
        <m:item xlName="_GBC_87d8ab21e0d947a0bcd9814dc46e1d38" concept="clcid-pte:GuFenZhiFuJiRuSuoYouZheQuanYiDeJinEDaoZhiYingYuGongJiBianDongJinE" label="股份支付计入所有者权益的金额导致盈余公积变动金额" periodRef="上年同期数" mulRef="_GBC_048773409e614c6bb753000b028316a5" unitRef="_GBC_5214b7a188334da286fc3038d017d072" addr="T3R13C9S1_1" formatStyle="Comma">
          <m:axisValue occRef="母公司"/>
        </m:item>
        <m:item xlName="_GBC_d6e8139e985f487080734a810228c124" concept="clcid-pte:GuFenZhiFuJiRuSuoYouZheQuanYiDeJinEDaoZhiWeiFenPeiLiRunBianDongJinE" label="股份支付计入所有者权益的金额导致未分配利润变动金额" periodRef="上年同期数" mulRef="_GBC_048773409e614c6bb753000b028316a5" unitRef="_GBC_5214b7a188334da286fc3038d017d072" addr="T3R13C10S1_1" formatStyle="Comma">
          <m:axisValue occRef="母公司"/>
        </m:item>
        <m:item xlName="_GBC_e648c639d2e443d8872ca05bd62e5049" concept="clcid-pte:GuFenZhiFuJiRuSuoYouZheQuanYiDeJinEDaoZhiGuDongQuanYiHeJiBianDongJinE" label="股份支付计入所有者权益的金额导致股东权益合计变动金额" periodRef="上年同期数" mulRef="_GBC_048773409e614c6bb753000b028316a5" unitRef="_GBC_5214b7a188334da286fc3038d017d072" addr="T3R13C11S1_1" formatStyle="Comma">
          <m:axisValue occRef="母公司"/>
        </m:item>
        <m:placeholder xlName="_PLD_09a354c759244b168ea7e28904658be8" wordText="4．其他" addr="T3R14C0S1_1"/>
        <m:item xlName="_GBC_8de4c3081ae8416294ac912bce6c0830" concept="clcid-pte:QiTaSuoYouZheTouRuHeJianShaoZiBenDaoZhiShiShouZiBenHuoGuBenJingEBianDongJinE" label="其他所有者投入和减少资本导致实收资本（或股本）净额变动金额" periodRef="上年同期数" mulRef="_GBC_048773409e614c6bb753000b028316a5" unitRef="_GBC_5214b7a188334da286fc3038d017d072" addr="T3R14C1S1_1" formatStyle="Comma">
          <m:axisValue occRef="母公司"/>
        </m:item>
        <m:item xlName="_GBC_16021aaa4546434fa16e39c0f350c3d0" concept="clcid-pte:QiTaSuoYouZheTouRuHeJianShaoZiBenDaoZhiQiTaQuanYiGongJuZhongDeYouXianGuBianDongJinE" label="其他所有者投入和减少资本导致其他权益工具中的优先股变动金额" periodRef="上年同期数" mulRef="_GBC_048773409e614c6bb753000b028316a5" unitRef="_GBC_5214b7a188334da286fc3038d017d072" addr="T3R14C2S1_1" formatStyle="Comma">
          <m:axisValue occRef="母公司"/>
        </m:item>
        <m:item xlName="_GBC_6225ca3b29ed43a38cc51fd11fe065bb" concept="clcid-pte:QiTaSuoYouZheTouRuHeJianShaoZiBenDaoZhiQiTaQuanYiGongJuZhongDeYongXuZhaiBianDongJinE" label="其他所有者投入和减少资本导致其他权益工具中的永续债变动金额" periodRef="上年同期数" mulRef="_GBC_048773409e614c6bb753000b028316a5" unitRef="_GBC_5214b7a188334da286fc3038d017d072" addr="T3R14C3S1_1" formatStyle="Comma">
          <m:axisValue occRef="母公司"/>
        </m:item>
        <m:item xlName="_GBC_57cb4e57b5154dc0b3227782045524cc" concept="clcid-pte:QiTaSuoYouZheTouRuHeJianShaoZiBenDaoZhiQiTaQuanYiGongJuZhongDeQiTaBianDongJinE" label="其他所有者投入和减少资本导致其他权益工具中的其他变动金额" periodRef="上年同期数" mulRef="_GBC_048773409e614c6bb753000b028316a5" unitRef="_GBC_5214b7a188334da286fc3038d017d072" addr="T3R14C4S1_1" formatStyle="Comma">
          <m:axisValue occRef="母公司"/>
        </m:item>
        <m:item xlName="_GBC_ac6ff5b7a65645e9ba3ea19456f5e831" concept="clcid-pte:QiTaSuoYouZheTouRuHeJianShaoZiBenDaoZhiZiBenGongJiBianDongJinE" label="其他所有者投入和减少资本导致资本公积变动金额" periodRef="上年同期数" mulRef="_GBC_048773409e614c6bb753000b028316a5" unitRef="_GBC_5214b7a188334da286fc3038d017d072" addr="T3R14C5S1_1" formatStyle="Comma">
          <m:axisValue occRef="母公司"/>
        </m:item>
        <m:item xlName="_GBC_6b1de4f1886c477db19f0dd0b71ef491" concept="clcid-pte:QiTaSuoYouZheTouRuHeJianShaoZiBenDaoZhiKuCunGuBianDongJinE" label="其他所有者投入和减少资本导致库存股变动金额" periodRef="上年同期数" mulRef="_GBC_048773409e614c6bb753000b028316a5" unitRef="_GBC_5214b7a188334da286fc3038d017d072" addr="T3R14C6S1_1" baseScale="-1" formatStyle="Comma">
          <m:axisValue occRef="母公司"/>
        </m:item>
        <m:item xlName="_GBC_db63baca807b47a0926aa5f5453f7da8" concept="clcid-pte:QiTaSuoYouZheTouRuHeJianShaoZiBenDaoZhiQiTaZongHeShouYiBianDongJinE" label="其他所有者投入和减少资本导致其他综合收益变动金额" periodRef="上年同期数" mulRef="_GBC_048773409e614c6bb753000b028316a5" unitRef="_GBC_5214b7a188334da286fc3038d017d072" addr="T3R14C7S1_1" formatStyle="Comma">
          <m:axisValue occRef="母公司"/>
        </m:item>
        <m:item xlName="_GBC_856d720a007a4ad0950db55b82dba1c9" concept="clcid-pte:QiTaSuoYouZheTouRuHeJianShaoZiBenDaoZhiZhuanXiangChuBeiBianDongJinE" label="其他所有者投入和减少资本导致专项储备变动金额" periodRef="上年同期数" mulRef="_GBC_048773409e614c6bb753000b028316a5" unitRef="_GBC_5214b7a188334da286fc3038d017d072" addr="T3R14C8S1_1" formatStyle="Comma">
          <m:axisValue occRef="母公司"/>
        </m:item>
        <m:item xlName="_GBC_706b6d6feafd42a4840746657c16c76f" concept="clcid-pte:QiTaSuoYouZheTouRuHeJianShaoZiBenDaoZhiYingYuGongJiBianDongJinE" label="其他所有者投入和减少资本导致盈余公积变动金额" periodRef="上年同期数" mulRef="_GBC_048773409e614c6bb753000b028316a5" unitRef="_GBC_5214b7a188334da286fc3038d017d072" addr="T3R14C9S1_1" formatStyle="Comma">
          <m:axisValue occRef="母公司"/>
        </m:item>
        <m:item xlName="_GBC_fa1eaf01d30e4e64b58806dea4a61bd4" concept="clcid-pte:QiTaSuoYouZheTouRuHeJianShaoZiBenDaoZhiWeiFenPeiLiRunBianDongJinE" label="其他所有者投入和减少资本导致未分配利润变动金额" periodRef="上年同期数" mulRef="_GBC_048773409e614c6bb753000b028316a5" unitRef="_GBC_5214b7a188334da286fc3038d017d072" addr="T3R14C10S1_1" formatStyle="Comma">
          <m:axisValue occRef="母公司"/>
        </m:item>
        <m:item xlName="_GBC_d7b7366931784e60ae41d317bd24645a" concept="clcid-pte:QiTaSuoYouZheTouRuHeJianShaoZiBenDaoZhiGuDongQuanYiHeJiBianDongJinE" label="其他所有者投入和减少资本导致股东权益合计变动金额" periodRef="上年同期数" mulRef="_GBC_048773409e614c6bb753000b028316a5" unitRef="_GBC_5214b7a188334da286fc3038d017d072" addr="T3R14C11S1_1" formatStyle="Comma">
          <m:axisValue occRef="母公司"/>
        </m:item>
        <m:placeholder xlName="_PLD_806901fee79c40f688fa2f02ab1d596d" wordText="（三）利润分配" addr="T3R15C0S1_1"/>
        <m:item xlName="_GBC_b3dec4838d0d45e59662e83d7f4be2f3" concept="clcid-pte:LiRunFenPeiDaoZhiShiShouZiBenHuoGuBenJingEBianDongJinE" label="利润分配导致实收资本（或股本）净额变动金额" periodRef="上年同期数" mulRef="_GBC_048773409e614c6bb753000b028316a5" unitRef="_GBC_5214b7a188334da286fc3038d017d072" addr="T3R15C1S1_1" formatStyle="Comma">
          <m:complexRule comparator="Eq" title="母公司利润分配导致实收资本（或股本）净额变动金额@上年同期数" test=" $_GBC_d00418300d434fc8ac4f54286efeaa9d +  $_GBC_6ff71f05e0a04570bba0291097d6a348 +  $_GBC_3e01fe300a2e4c24aeef90a043dc32b7" id="Cfa2a444b86464c11ade339bfe538a3ce"/>
          <m:axisValue occRef="母公司"/>
        </m:item>
        <m:item xlName="_GBC_27e8d048a5e04acdba976f1e9ed0b06c" concept="clcid-pte:LiRunFenPeiDaoZhiQiTaQuanYiGongJuZhongDeYouXianGuBianDongJinE" label="利润分配导致其他权益工具中的优先股变动金额" periodRef="上年同期数" mulRef="_GBC_048773409e614c6bb753000b028316a5" unitRef="_GBC_5214b7a188334da286fc3038d017d072" addr="T3R15C2S1_1" formatStyle="Comma">
          <m:complexRule comparator="Eq" title="母公司利润分配导致其他权益工具中的优先股变动金额@上年同期数" test=" $_GBC_c490b11283284696abfb5e40fba82b06 +  $_GBC_88491f4f7bbc45a68487f487c1580719 +  $_GBC_ef4ce1cda28d404aa0c77c56b2085f5b" id="C26f0fb8174f94c1695d01b8462b70355"/>
          <m:axisValue occRef="母公司"/>
        </m:item>
        <m:item xlName="_GBC_309ba0d4e04643cba98c51da86266d57" concept="clcid-pte:LiRunFenPeiDaoZhiQiTaQuanYiGongJuZhongDeYongXuZhaiBianDongJinE" label="利润分配导致其他权益工具中的永续债变动金额" periodRef="上年同期数" mulRef="_GBC_048773409e614c6bb753000b028316a5" unitRef="_GBC_5214b7a188334da286fc3038d017d072" addr="T3R15C3S1_1" formatStyle="Comma">
          <m:complexRule comparator="Eq" title="母公司利润分配导致其他权益工具中的永续债变动金额@上年同期数" test=" $_GBC_76d3ec3ae37d4e7baa4f66c0f8d869de +  $_GBC_fe252b087aba47f8b6823f79de0aa1e5 +  $_GBC_2a9e9dcbcdda433781af632ad90bfe3a" id="C9e2b8de4c6da42feb99e9dc286f61b8d"/>
          <m:axisValue occRef="母公司"/>
        </m:item>
        <m:item xlName="_GBC_d5f2ccc4648f4748ac123d6dd319d2ef" concept="clcid-pte:LiRunFenPeiDaoZhiQiTaQuanYiGongJuZhongDeQiTaBianDongJinE" label="利润分配导致其他权益工具中的其他变动金额" periodRef="上年同期数" mulRef="_GBC_048773409e614c6bb753000b028316a5" unitRef="_GBC_5214b7a188334da286fc3038d017d072" addr="T3R15C4S1_1" formatStyle="Comma">
          <m:complexRule comparator="Eq" title="母公司利润分配导致其他权益工具中的其他变动金额@上年同期数" test=" $_GBC_2c12403ef95e4e0480b2732ab03db5f3 +  $_GBC_84e37dca0ebc4c04a528936f22e4ffef +  $_GBC_c45f53c44c7543f5a3b1c7fe5bb67e95" id="C00ef223a819e44b8afeb39cfed23e795"/>
          <m:axisValue occRef="母公司"/>
        </m:item>
        <m:item xlName="_GBC_a091e435665a4018a1f2d3b1759a956d" concept="clcid-pte:LiRunFenPeiDaoZhiZiBenGongJiBianDongJinE" label="利润分配导致资本公积变动金额" periodRef="上年同期数" mulRef="_GBC_048773409e614c6bb753000b028316a5" unitRef="_GBC_5214b7a188334da286fc3038d017d072" addr="T3R15C5S1_1" formatStyle="Comma">
          <m:complexRule comparator="Eq" title="母公司利润分配导致资本公积变动金额@上年同期数" test=" $_GBC_66a224a339054c769eeb0ae395093be1 +  $_GBC_d2abcf8648eb4be8a48565dd8826e54f +  $_GBC_6c2c7f13c6a64cc5b481245467624ee2" id="C521b4a8df39e47ffafa116dd9a9e0910"/>
          <m:axisValue occRef="母公司"/>
        </m:item>
        <m:item xlName="_GBC_355f544855b84d9f8681ce0efeb3496d" concept="clcid-pte:LiRunFenPeiDaoZhiKuCunGuBianDongJinE" label="利润分配导致库存股变动金额" periodRef="上年同期数" mulRef="_GBC_048773409e614c6bb753000b028316a5" unitRef="_GBC_5214b7a188334da286fc3038d017d072" addr="T3R15C6S1_1" baseScale="-1" formatStyle="Comma">
          <m:complexRule comparator="Eq" title="母公司利润分配导致库存股变动金额@上年同期数" test=" $_GBC_73f662342d364f76adaf59b929e9c790 +  $_GBC_bb538576a4034794ae9af755f61dc378 +  $_GBC_9d4870401311475293698824f2b1ef4d" id="Cdce616afb1904b208bb2810d858b94bd"/>
          <m:axisValue occRef="母公司"/>
        </m:item>
        <m:item xlName="_GBC_879af85f06e84e2f83c32eab9ff1868b" concept="clcid-pte:LiRunFenPeiDaoZhiQiTaZongHeShouYiBianDongJinE" label="利润分配导致其他综合收益变动金额" periodRef="上年同期数" mulRef="_GBC_048773409e614c6bb753000b028316a5" unitRef="_GBC_5214b7a188334da286fc3038d017d072" addr="T3R15C7S1_1" formatStyle="Comma">
          <m:complexRule comparator="Eq" title="母公司利润分配导致其他综合收益变动金额@上年同期数" test=" $_GBC_539525015f84464f8ae65b0927bdc09e +  $_GBC_6c2fc0509c9a4c8bba4d45c402107f69 +  $_GBC_a0d83ef1380146458c47436a17e2c254" id="C9ee50422df844d778004d364aa8d9ad0"/>
          <m:axisValue occRef="母公司"/>
        </m:item>
        <m:item xlName="_GBC_1be8be4848d542d6b740d08536a93580" concept="clcid-pte:LiRunFenPeiDaoZhiZhuanXiangChuBeiBianDongJinE" label="利润分配导致专项储备变动金额" periodRef="上年同期数" mulRef="_GBC_048773409e614c6bb753000b028316a5" unitRef="_GBC_5214b7a188334da286fc3038d017d072" addr="T3R15C8S1_1" formatStyle="Comma">
          <m:complexRule comparator="Eq" title="母公司利润分配导致专项储备变动金额@上年同期数" test=" $_GBC_a85cec3447524a5eb736238919a234b9 +  $_GBC_10ab62d9d1ad43de80b8053fedf9f886 +  $_GBC_1ae94cbeddb1447e9380d3f1410dde8a" id="C300a7b3474f841e7a36e837e36c651ef"/>
          <m:axisValue occRef="母公司"/>
        </m:item>
        <m:item xlName="_GBC_3a277de32a8b42aab02e1466554d9815" concept="clcid-pte:LiRunFenPeiDaoZhiYingYuGongJiBianDongJinE" label="利润分配导致盈余公积变动金额" periodRef="上年同期数" mulRef="_GBC_048773409e614c6bb753000b028316a5" unitRef="_GBC_5214b7a188334da286fc3038d017d072" addr="T3R15C9S1_1" formatStyle="Comma">
          <m:complexRule comparator="Eq" title="母公司利润分配导致盈余公积变动金额@上年同期数" test=" $_GBC_ed6a2f0b1fdc4f6c850d5d28768ad0ab +  $_GBC_64d83b5da97c44d295979033ec903022 +  $_GBC_85e3b63213a148d09ff302a71258b2d5" id="C163b92cfbc1d4a0783efad3ee9741e2e"/>
          <m:axisValue occRef="母公司"/>
        </m:item>
        <m:item xlName="_GBC_756ee51c1ffc491b85c79911a3e21c21" concept="clcid-pte:LiRunFenPeiDaoZhiWeiFenPeiLiRunBianDongJinE" label="利润分配导致未分配利润变动金额" periodRef="上年同期数" mulRef="_GBC_048773409e614c6bb753000b028316a5" unitRef="_GBC_5214b7a188334da286fc3038d017d072" addr="T3R15C10S1_1" formatStyle="Comma">
          <m:complexRule comparator="Eq" title="母公司利润分配导致未分配利润变动金额@上年同期数" test="$_GBC_ad0ea31bff6949de9c5725355d70b538 + $_GBC_be40b1266f36484785ccdeee2f90491e + $_GBC_21572ccd652344798020d51f7197b440" id="C78f311be2f90408aa2a29ba65615009a"/>
          <m:axisValue occRef="母公司"/>
        </m:item>
        <m:item xlName="_GBC_6b560be59d484909b6fe65ca4f320e44" concept="clcid-pte:LiRunFenPeiDaoZhiGuDongQuanYiHeJiBianDongJinE" label="利润分配导致股东权益合计变动金额" periodRef="上年同期数" mulRef="_GBC_048773409e614c6bb753000b028316a5" unitRef="_GBC_5214b7a188334da286fc3038d017d072" addr="T3R15C11S1_1" formatStyle="Comma">
          <m:complexRule comparator="Eq" title="母公司利润分配导致股东权益合计变动金额@上年同期数" test="$_GBC_83b970b6ec6d4bbdb12be4db9f31de55 + $_GBC_951ce1090dc046f3a8bc74e1f7f5a256 + $_GBC_22aff950704d4da1bf0b841e4b7b3930" id="Cf1640564fc874b8f97da03a3c29c5b9d"/>
          <m:axisValue occRef="母公司"/>
        </m:item>
        <m:placeholder xlName="_PLD_5936c2d33e22476597644c98158847c6" wordText="1．提取盈余公积" addr="T3R16C0S1_1"/>
        <m:item xlName="_GBC_d00418300d434fc8ac4f54286efeaa9d" concept="clcid-pte:TiQuYingYuGongJiDaoZhiShiShouZiBenHuoGuBenJingEBianDongJinE" label="提取盈余公积导致实收资本（或股本）净额变动金额" periodRef="上年同期数" mulRef="_GBC_048773409e614c6bb753000b028316a5" unitRef="_GBC_5214b7a188334da286fc3038d017d072" addr="T3R16C1S1_1" formatStyle="Comma">
          <m:axisValue occRef="母公司"/>
        </m:item>
        <m:item xlName="_GBC_c490b11283284696abfb5e40fba82b06" concept="clcid-pte:TiQuYingYuGongJiDaoZhiQiTaQuanYiGongJuZhongDeYouXianGuBianDongJinE" label="提取盈余公积导致其他权益工具中的优先股变动金额" periodRef="上年同期数" mulRef="_GBC_048773409e614c6bb753000b028316a5" unitRef="_GBC_5214b7a188334da286fc3038d017d072" addr="T3R16C2S1_1" formatStyle="Comma">
          <m:axisValue occRef="母公司"/>
        </m:item>
        <m:item xlName="_GBC_76d3ec3ae37d4e7baa4f66c0f8d869de" concept="clcid-pte:TiQuYingYuGongJiDaoZhiQiTaQuanYiGongJuZhongDeYongXuZhaiBianDongJinE" label="提取盈余公积导致其他权益工具中的永续债变动金额" periodRef="上年同期数" mulRef="_GBC_048773409e614c6bb753000b028316a5" unitRef="_GBC_5214b7a188334da286fc3038d017d072" addr="T3R16C3S1_1" formatStyle="Comma">
          <m:axisValue occRef="母公司"/>
        </m:item>
        <m:item xlName="_GBC_2c12403ef95e4e0480b2732ab03db5f3" concept="clcid-pte:TiQuYingYuGongJiDaoZhiQiTaQuanYiGongJuZhongDeQiTaBianDongJinE" label="提取盈余公积导致其他权益工具中的其他变动金额" periodRef="上年同期数" mulRef="_GBC_048773409e614c6bb753000b028316a5" unitRef="_GBC_5214b7a188334da286fc3038d017d072" addr="T3R16C4S1_1" formatStyle="Comma">
          <m:axisValue occRef="母公司"/>
        </m:item>
        <m:item xlName="_GBC_66a224a339054c769eeb0ae395093be1" concept="clcid-pte:TiQuYingYuGongJiDaoZhiZiBenGongJiBianDongJinE" label="提取盈余公积导致资本公积变动金额" periodRef="上年同期数" mulRef="_GBC_048773409e614c6bb753000b028316a5" unitRef="_GBC_5214b7a188334da286fc3038d017d072" addr="T3R16C5S1_1" formatStyle="Comma">
          <m:axisValue occRef="母公司"/>
        </m:item>
        <m:item xlName="_GBC_73f662342d364f76adaf59b929e9c790" concept="clcid-pte:TiQuYingYuGongJiDaoZhiKuCunGuBianDongJinE" label="提取盈余公积导致库存股变动金额" periodRef="上年同期数" mulRef="_GBC_048773409e614c6bb753000b028316a5" unitRef="_GBC_5214b7a188334da286fc3038d017d072" addr="T3R16C6S1_1" baseScale="-1" formatStyle="Comma">
          <m:axisValue occRef="母公司"/>
        </m:item>
        <m:item xlName="_GBC_539525015f84464f8ae65b0927bdc09e" concept="clcid-pte:TiQuYingYuGongJiDaoZhiQiTaZongHeShouYiBianDongJinE" label="提取盈余公积导致其他综合收益变动金额" periodRef="上年同期数" mulRef="_GBC_048773409e614c6bb753000b028316a5" unitRef="_GBC_5214b7a188334da286fc3038d017d072" addr="T3R16C7S1_1" formatStyle="Comma">
          <m:axisValue occRef="母公司"/>
        </m:item>
        <m:item xlName="_GBC_a85cec3447524a5eb736238919a234b9" concept="clcid-pte:TiQuYingYuGongJiDaoZhiZhuanXiangChuBeiBianDongJinE" label="提取盈余公积导致专项储备变动金额" periodRef="上年同期数" mulRef="_GBC_048773409e614c6bb753000b028316a5" unitRef="_GBC_5214b7a188334da286fc3038d017d072" addr="T3R16C8S1_1" formatStyle="Comma">
          <m:axisValue occRef="母公司"/>
        </m:item>
        <m:item xlName="_GBC_ed6a2f0b1fdc4f6c850d5d28768ad0ab" concept="clcid-pte:TiQuYingYuGongJiDaoZhiYingYuGongJiBianDongJinE" label="提取盈余公积导致盈余公积变动金额" periodRef="上年同期数" mulRef="_GBC_048773409e614c6bb753000b028316a5" unitRef="_GBC_5214b7a188334da286fc3038d017d072" addr="T3R16C9S1_1" formatStyle="Comma">
          <m:axisValue occRef="母公司"/>
        </m:item>
        <m:item xlName="_GBC_ad0ea31bff6949de9c5725355d70b538" concept="clcid-pte:TiQuYingYuGongJiDaoZhiWeiFenPeiLiRunBianDongJinE" label="提取盈余公积导致未分配利润变动金额" periodRef="上年同期数" mulRef="_GBC_048773409e614c6bb753000b028316a5" unitRef="_GBC_5214b7a188334da286fc3038d017d072" addr="T3R16C10S1_1" formatStyle="Comma">
          <m:axisValue occRef="母公司"/>
        </m:item>
        <m:item xlName="_GBC_83b970b6ec6d4bbdb12be4db9f31de55" concept="clcid-pte:TiQuYingYuGongJiDaoZhiGuDongQuanYiHeJiBianDongJinE" label="提取盈余公积导致股东权益合计变动金额" periodRef="上年同期数" mulRef="_GBC_048773409e614c6bb753000b028316a5" unitRef="_GBC_5214b7a188334da286fc3038d017d072" addr="T3R16C11S1_1" formatStyle="Comma">
          <m:axisValue occRef="母公司"/>
        </m:item>
        <m:placeholder xlName="_PLD_210044b047ac492dbe47ba7aedd16fad" wordText="2．对所有者（或股东）的分配" addr="T3R17C0S1_1"/>
        <m:item xlName="_GBC_6ff71f05e0a04570bba0291097d6a348" concept="clcid-pte:DuiSuoYouZheHuoGuDongDeFenPeiDaoZhiShiShouZiBenHuoGuBenJingEBianDongJinE" label="对所有者（或股东）的分配导致实收资本（或股本）净额变动金额" periodRef="上年同期数" mulRef="_GBC_048773409e614c6bb753000b028316a5" unitRef="_GBC_5214b7a188334da286fc3038d017d072" addr="T3R17C1S1_1" formatStyle="Comma">
          <m:axisValue occRef="母公司"/>
        </m:item>
        <m:item xlName="_GBC_88491f4f7bbc45a68487f487c1580719" concept="clcid-pte:DuiSuoYouZheHuoGuDongDeFenPeiDaoZhiQiTaQuanYiGongJuZhongDeYouXianGuBianDongJinE" label="对所有者（或股东）的分配导致其他权益工具中的优先股变动金额" periodRef="上年同期数" mulRef="_GBC_048773409e614c6bb753000b028316a5" unitRef="_GBC_5214b7a188334da286fc3038d017d072" addr="T3R17C2S1_1" formatStyle="Comma">
          <m:axisValue occRef="母公司"/>
        </m:item>
        <m:item xlName="_GBC_fe252b087aba47f8b6823f79de0aa1e5" concept="clcid-pte:DuiSuoYouZheHuoGuDongDeFenPeiDaoZhiQiTaQuanYiGongJuZhongDeYongXuZhaiBianDongJinE" label="对所有者（或股东）的分配导致其他权益工具中的永续债变动金额" periodRef="上年同期数" mulRef="_GBC_048773409e614c6bb753000b028316a5" unitRef="_GBC_5214b7a188334da286fc3038d017d072" addr="T3R17C3S1_1" formatStyle="Comma">
          <m:axisValue occRef="母公司"/>
        </m:item>
        <m:item xlName="_GBC_84e37dca0ebc4c04a528936f22e4ffef" concept="clcid-pte:DuiSuoYouZheHuoGuDongDeFenPeiDaoZhiQiTaQuanYiGongJuZhongDeQiTaBianDongJinE" label="对所有者（或股东）的分配导致其他权益工具中的其他变动金额" periodRef="上年同期数" mulRef="_GBC_048773409e614c6bb753000b028316a5" unitRef="_GBC_5214b7a188334da286fc3038d017d072" addr="T3R17C4S1_1" formatStyle="Comma">
          <m:axisValue occRef="母公司"/>
        </m:item>
        <m:item xlName="_GBC_d2abcf8648eb4be8a48565dd8826e54f" concept="clcid-pte:DuiSuoYouZheHuoGuDongDeFenPeiDaoZhiZiBenGongJiBianDongJinE" label="对所有者（或股东）的分配导致资本公积变动金额" periodRef="上年同期数" mulRef="_GBC_048773409e614c6bb753000b028316a5" unitRef="_GBC_5214b7a188334da286fc3038d017d072" addr="T3R17C5S1_1" formatStyle="Comma">
          <m:axisValue occRef="母公司"/>
        </m:item>
        <m:item xlName="_GBC_bb538576a4034794ae9af755f61dc378" concept="clcid-pte:DuiSuoYouZheHuoGuDongDeFenPeiDaoZhiKuCunGuBianDongJinE" label="对所有者（或股东）的分配导致库存股变动金额" periodRef="上年同期数" mulRef="_GBC_048773409e614c6bb753000b028316a5" unitRef="_GBC_5214b7a188334da286fc3038d017d072" addr="T3R17C6S1_1" baseScale="-1" formatStyle="Comma">
          <m:axisValue occRef="母公司"/>
        </m:item>
        <m:item xlName="_GBC_6c2fc0509c9a4c8bba4d45c402107f69" concept="clcid-pte:DuiSuoYouZheHuoGuDongDeFenPeiDaoZhiQiTaZongHeShouYiBianDongJinE" label="对所有者（或股东）的分配导致其他综合收益变动金额" periodRef="上年同期数" mulRef="_GBC_048773409e614c6bb753000b028316a5" unitRef="_GBC_5214b7a188334da286fc3038d017d072" addr="T3R17C7S1_1" formatStyle="Comma">
          <m:axisValue occRef="母公司"/>
        </m:item>
        <m:item xlName="_GBC_10ab62d9d1ad43de80b8053fedf9f886" concept="clcid-pte:DuiSuoYouZheHuoGuDongDeFenPeiDaoZhiZhuanXiangChuBeiBianDongJinE" label="对所有者（或股东）的分配导致专项储备变动金额" periodRef="上年同期数" mulRef="_GBC_048773409e614c6bb753000b028316a5" unitRef="_GBC_5214b7a188334da286fc3038d017d072" addr="T3R17C8S1_1" formatStyle="Comma">
          <m:axisValue occRef="母公司"/>
        </m:item>
        <m:item xlName="_GBC_64d83b5da97c44d295979033ec903022" concept="clcid-pte:DuiSuoYouZheHuoGuDongDeFenPeiDaoZhiYingYuGongJiBianDongJinE" label="对所有者（或股东）的分配导致盈余公积变动金额" periodRef="上年同期数" mulRef="_GBC_048773409e614c6bb753000b028316a5" unitRef="_GBC_5214b7a188334da286fc3038d017d072" addr="T3R17C9S1_1" formatStyle="Comma">
          <m:axisValue occRef="母公司"/>
        </m:item>
        <m:item xlName="_GBC_be40b1266f36484785ccdeee2f90491e" concept="clcid-pte:DuiSuoYouZheHuoGuDongDeFenPeiDaoZhiWeiFenPeiLiRunBianDongJinE" label="对所有者（或股东）的分配导致未分配利润变动金额" periodRef="上年同期数" mulRef="_GBC_048773409e614c6bb753000b028316a5" unitRef="_GBC_5214b7a188334da286fc3038d017d072" addr="T3R17C10S1_1" formatStyle="Comma">
          <m:axisValue occRef="母公司"/>
        </m:item>
        <m:item xlName="_GBC_951ce1090dc046f3a8bc74e1f7f5a256" concept="clcid-pte:DuiSuoYouZheHuoGuDongDeFenPeiDaoZhiGuDongQuanYiHeJiBianDongJinE" label="对所有者（或股东）的分配导致股东权益合计变动金额" periodRef="上年同期数" mulRef="_GBC_048773409e614c6bb753000b028316a5" unitRef="_GBC_5214b7a188334da286fc3038d017d072" addr="T3R17C11S1_1" formatStyle="Comma">
          <m:axisValue occRef="母公司"/>
        </m:item>
        <m:placeholder xlName="_PLD_65affb7384874e8facf889d04ab4dd24" wordText="3．其他" addr="T3R18C0S1_1"/>
        <m:item xlName="_GBC_3e01fe300a2e4c24aeef90a043dc32b7" concept="clcid-pte:QiTaLiRunFenPeiDaoZhiShiShouZiBenHuoGuBenJingEBianDongJinE" label="其他利润分配导致实收资本（或股本）净额变动金额" periodRef="上年同期数" mulRef="_GBC_048773409e614c6bb753000b028316a5" unitRef="_GBC_5214b7a188334da286fc3038d017d072" addr="T3R18C1S1_1" formatStyle="Comma">
          <m:axisValue occRef="母公司"/>
        </m:item>
        <m:item xlName="_GBC_ef4ce1cda28d404aa0c77c56b2085f5b" concept="clcid-pte:QiTaLiRunFenPeiDaoZhiQiTaQuanYiGongJuZhongDeYouXianGuBianDongJinE" label="其他利润分配导致其他权益工具中的优先股变动金额" periodRef="上年同期数" mulRef="_GBC_048773409e614c6bb753000b028316a5" unitRef="_GBC_5214b7a188334da286fc3038d017d072" addr="T3R18C2S1_1" formatStyle="Comma">
          <m:axisValue occRef="母公司"/>
        </m:item>
        <m:item xlName="_GBC_2a9e9dcbcdda433781af632ad90bfe3a" concept="clcid-pte:QiTaLiRunFenPeiDaoZhiQiTaQuanYiGongJuZhongDeYongXuZhaiBianDongJinE" label="其他利润分配导致其他权益工具中的永续债变动金额" periodRef="上年同期数" mulRef="_GBC_048773409e614c6bb753000b028316a5" unitRef="_GBC_5214b7a188334da286fc3038d017d072" addr="T3R18C3S1_1" formatStyle="Comma">
          <m:axisValue occRef="母公司"/>
        </m:item>
        <m:item xlName="_GBC_c45f53c44c7543f5a3b1c7fe5bb67e95" concept="clcid-pte:QiTaLiRunFenPeiDaoZhiQiTaQuanYiGongJuZhongDeQiTaBianDongJinE" label="其他利润分配导致其他权益工具中的其他变动金额" periodRef="上年同期数" mulRef="_GBC_048773409e614c6bb753000b028316a5" unitRef="_GBC_5214b7a188334da286fc3038d017d072" addr="T3R18C4S1_1" formatStyle="Comma">
          <m:axisValue occRef="母公司"/>
        </m:item>
        <m:item xlName="_GBC_6c2c7f13c6a64cc5b481245467624ee2" concept="clcid-pte:QiTaLiRunFenPeiDaoZhiZiBenGongJiBianDongJinE" label="其他利润分配导致资本公积变动金额" periodRef="上年同期数" mulRef="_GBC_048773409e614c6bb753000b028316a5" unitRef="_GBC_5214b7a188334da286fc3038d017d072" addr="T3R18C5S1_1" formatStyle="Comma">
          <m:axisValue occRef="母公司"/>
        </m:item>
        <m:item xlName="_GBC_9d4870401311475293698824f2b1ef4d" concept="clcid-pte:QiTaLiRunFenPeiDaoZhiKuCunGuBianDongJinE" label="其他利润分配导致库存股变动金额" periodRef="上年同期数" mulRef="_GBC_048773409e614c6bb753000b028316a5" unitRef="_GBC_5214b7a188334da286fc3038d017d072" addr="T3R18C6S1_1" baseScale="-1" formatStyle="Comma">
          <m:axisValue occRef="母公司"/>
        </m:item>
        <m:item xlName="_GBC_a0d83ef1380146458c47436a17e2c254" concept="clcid-pte:QiTaLiRunFenPeiDaoZhiQiTaZongHeShouYiBianDongJinE" label="其他利润分配导致其他综合收益变动金额" periodRef="上年同期数" mulRef="_GBC_048773409e614c6bb753000b028316a5" unitRef="_GBC_5214b7a188334da286fc3038d017d072" addr="T3R18C7S1_1" formatStyle="Comma">
          <m:axisValue occRef="母公司"/>
        </m:item>
        <m:item xlName="_GBC_1ae94cbeddb1447e9380d3f1410dde8a" concept="clcid-pte:QiTaLiRunFenPeiDaoZhiZhuanXiangChuBeiBianDongJinE" label="其他利润分配导致专项储备变动金额" periodRef="上年同期数" mulRef="_GBC_048773409e614c6bb753000b028316a5" unitRef="_GBC_5214b7a188334da286fc3038d017d072" addr="T3R18C8S1_1" formatStyle="Comma">
          <m:axisValue occRef="母公司"/>
        </m:item>
        <m:item xlName="_GBC_85e3b63213a148d09ff302a71258b2d5" concept="clcid-pte:QiTaLiRunFenPeiDaoZhiYingYuGongJiBianDongJinE" label="其他利润分配导致盈余公积变动金额" periodRef="上年同期数" mulRef="_GBC_048773409e614c6bb753000b028316a5" unitRef="_GBC_5214b7a188334da286fc3038d017d072" addr="T3R18C9S1_1" formatStyle="Comma">
          <m:axisValue occRef="母公司"/>
        </m:item>
        <m:item xlName="_GBC_21572ccd652344798020d51f7197b440" concept="clcid-pte:QiTaLiRunFenPeiDaoZhiWeiFenPeiLiRunBianDongJinE" label="其他利润分配导致未分配利润变动金额" periodRef="上年同期数" mulRef="_GBC_048773409e614c6bb753000b028316a5" unitRef="_GBC_5214b7a188334da286fc3038d017d072" addr="T3R18C10S1_1" formatStyle="Comma">
          <m:axisValue occRef="母公司"/>
        </m:item>
        <m:item xlName="_GBC_22aff950704d4da1bf0b841e4b7b3930" concept="clcid-pte:QiTaLiRunFenPeiDaoZhiGuDongQuanYiHeJiBianDongJinE" label="其他利润分配导致股东权益合计变动金额" periodRef="上年同期数" mulRef="_GBC_048773409e614c6bb753000b028316a5" unitRef="_GBC_5214b7a188334da286fc3038d017d072" addr="T3R18C11S1_1" formatStyle="Comma">
          <m:axisValue occRef="母公司"/>
        </m:item>
        <m:placeholder xlName="_PLD_ed39015638e6485d9ecad98bd3aaac6b" wordText="（四）所有者权益内部结转" addr="T3R19C0S1_1"/>
        <m:item xlName="_GBC_c19e43212fe641aaa5ce1baa033a01ef" concept="clcid-pte:SuoYouZheQuanYiNeiBuJieZhuanDaoZhiShiShouZiBenHuoGuBenJingEBianDongJinE" label="所有者权益内部结转导致实收资本（或股本）净额变动金额" periodRef="上年同期数" mulRef="_GBC_048773409e614c6bb753000b028316a5" unitRef="_GBC_5214b7a188334da286fc3038d017d072" addr="T3R19C1S1_1" formatStyle="Comma">
          <m:complexRule comparator="Eq" title="母公司所有者权益内部结转导致实收资本（或股本）净额变动金额@上年同期数" test=" $_GBC_ff2032f5c0f8437594aab00a739dec9b +  $_GBC_05ab8ccf2c394d1dadb702953165e117 +  $_GBC_18d362dcac4f4e8680212bd69a387898 +  $_GBC_2205264f25954e73808cb32913bbcae6 +  $_GBC_58213d8b23774814a7f37b2982b3f301 +  $_GBC_1ee40f00712a421eae48807555088722" id="C290c547e91134d29b27f3f566609b247"/>
          <m:axisValue occRef="母公司"/>
        </m:item>
        <m:item xlName="_GBC_ad7e6b309c714cea89525498a8cf176a" concept="clcid-pte:SuoYouZheQuanYiNeiBuJieZhuanDaoZhiQiTaQuanYiGongJuZhongDeYouXianGuBianDongJinE" label="所有者权益内部结转导致其他权益工具中的优先股变动金额" periodRef="上年同期数" mulRef="_GBC_048773409e614c6bb753000b028316a5" unitRef="_GBC_5214b7a188334da286fc3038d017d072" addr="T3R19C2S1_1" formatStyle="Comma">
          <m:complexRule comparator="Eq" title="母公司所有者权益内部结转导致其他权益工具中的优先股变动金额@上年同期数" test=" $_GBC_b663e2a93bba42129bcc683949a06caa +  $_GBC_1599aa327e2e469184808757ae9d5363 +  $_GBC_91f84f69db1a436598feae098c27b167 +  $_GBC_1485448b4a544a2a9a4a898ad77b943e +  $_GBC_f24e14a4523c4321834123fe36f44a34 +  $_GBC_6799a7c1f79c4a249e6e2195f9f2dce3" id="Cc96b8b380d8b436b9d0f61acbb731b15"/>
          <m:axisValue occRef="母公司"/>
        </m:item>
        <m:item xlName="_GBC_e5aeeafa2b6b4bc79001068eaaad923a" concept="clcid-pte:SuoYouZheQuanYiNeiBuJieZhuanDaoZhiQiTaQuanYiGongJuZhongDeYongXuZhaiBianDongJinE" label="所有者权益内部结转导致其他权益工具中的永续债变动金额" periodRef="上年同期数" mulRef="_GBC_048773409e614c6bb753000b028316a5" unitRef="_GBC_5214b7a188334da286fc3038d017d072" addr="T3R19C3S1_1" formatStyle="Comma">
          <m:complexRule comparator="Eq" title="母公司所有者权益内部结转导致其他权益工具中的永续债变动金额@上年同期数" test=" $_GBC_0532ce73a9f04b13804de1b6dcfe0b60 +  $_GBC_0b0b887a4d9b45799cdcfdda5151e824 +  $_GBC_1da5f07118754afb887062b350e8bf17 +  $_GBC_879832164ab04fbfbeed0aa4c4caa30d +  $_GBC_1842a5bdd3984ea393c401b0f0f0a534 +  $_GBC_a4f1db30de534f96a00a821bd2583688" id="C095a14a5365e4053905d87381b55dd29"/>
          <m:axisValue occRef="母公司"/>
        </m:item>
        <m:item xlName="_GBC_7eda8b0582a54300a3c2b6c2a88c41c5" concept="clcid-pte:SuoYouZheQuanYiNeiBuJieZhuanDaoZhiQiTaQuanYiGongJuZhongDeQiTaBianDongJinE" label="所有者权益内部结转导致其他权益工具中的其他变动金额" periodRef="上年同期数" mulRef="_GBC_048773409e614c6bb753000b028316a5" unitRef="_GBC_5214b7a188334da286fc3038d017d072" addr="T3R19C4S1_1" formatStyle="Comma">
          <m:complexRule comparator="Eq" title="母公司所有者权益内部结转导致其他权益工具中的其他变动金额@上年同期数" test=" $_GBC_683eb153c9814909871dbd1eedf8d41a +  $_GBC_fd6e54ce70a6480faf3577cafa2cb680 +  $_GBC_9103e5bc206845aa8dbd0508d576934b +  $_GBC_dbb50a3f61644c2e8decf458bcff3c76 +  $_GBC_bb9e4cac4fef4c08a111cd2a7674e44b +  $_GBC_b05701dc463a47049b6ed47adfc03981" id="C9964d17503784d83b231d465cfc7d57b"/>
          <m:axisValue occRef="母公司"/>
        </m:item>
        <m:item xlName="_GBC_4155dd20e2ca45e49212e809929c8a2f" concept="clcid-pte:SuoYouZheQuanYiNeiBuJieZhuanDaoZhiZiBenGongJiBianDongJinE" label="所有者权益内部结转导致资本公积变动金额" periodRef="上年同期数" mulRef="_GBC_048773409e614c6bb753000b028316a5" unitRef="_GBC_5214b7a188334da286fc3038d017d072" addr="T3R19C5S1_1" formatStyle="Comma">
          <m:complexRule comparator="Eq" title="母公司所有者权益内部结转导致资本公积变动金额@上年同期数" test=" $_GBC_512c1661e0ee4c04b3059e0e9d3521fd +  $_GBC_111e2a1c41ea41e280a2bbd959cb78c2 +  $_GBC_211def2a622f41df96c1460f441ee473 +  $_GBC_0c51e5e8f7334405b570dd76f054f70b +  $_GBC_ad6a53f7bc0841bbb73d89551821a267 +  $_GBC_63411d7886334658b265548725deca17" id="Cc6bc8e671c8a464cb80e872904aa8731"/>
          <m:axisValue occRef="母公司"/>
        </m:item>
        <m:item xlName="_GBC_4299920f98cf4a5c9df49ab490ad1df4" concept="clcid-pte:SuoYouZheQuanYiNeiBuJieZhuanDaoZhiKuCunGuBianDongJinE" label="所有者权益内部结转导致库存股变动金额" periodRef="上年同期数" mulRef="_GBC_048773409e614c6bb753000b028316a5" unitRef="_GBC_5214b7a188334da286fc3038d017d072" addr="T3R19C6S1_1" baseScale="-1" formatStyle="Comma">
          <m:complexRule comparator="Eq" title="母公司所有者权益内部结转导致库存股变动金额@上年同期数" test=" $_GBC_56b9bd3e34de481ca1927b7a1374c4b4 +  $_GBC_c541b52a6ef94c77b6884a0690668973 +  $_GBC_1a310500ada741aa9110add528620e65 +  $_GBC_ad30c2841c6d4d62ad5a542fe4890288 +  $_GBC_4144a0bc708a41c7861ab4e2f09a8281 +  $_GBC_23000c790ac648598ff3b1761a90d9ee" id="C11daff80a26349bfa706ef714fea8bb0"/>
          <m:axisValue occRef="母公司"/>
        </m:item>
        <m:item xlName="_GBC_87e7e393829b46f8861c0351ce1450e7" concept="clcid-pte:SuoYouZheQuanYiNeiBuJieZhuanDaoZhiQiTaZongHeShouYiBianDongJinE" label="所有者权益内部结转导致其他综合收益变动金额" periodRef="上年同期数" mulRef="_GBC_048773409e614c6bb753000b028316a5" unitRef="_GBC_5214b7a188334da286fc3038d017d072" addr="T3R19C7S1_1" formatStyle="Comma">
          <m:complexRule comparator="Eq" title="母公司所有者权益内部结转导致其他综合收益变动金额@上年同期数" test=" $_GBC_f2bd9f769c11472983c39350da993a59 +  $_GBC_fb77f866025049d49865d83252cba772 +  $_GBC_eb2121c30b6742faae747a0b865fba0b +  $_GBC_22a932ac8bbf4536be6fa025c80654b0 +  $_GBC_b13168a913a64af5a2037ca5e578d37e +  $_GBC_ab46a3d089ea48fab1e85ea97628fbc8" id="C655e07a9355049f8a0eca166f12b5e1a"/>
          <m:axisValue occRef="母公司"/>
        </m:item>
        <m:item xlName="_GBC_02f9ec755eb74b5a9463d7056719b3cf" concept="clcid-pte:SuoYouZheQuanYiNeiBuJieZhuanDaoZhiZhuanXiangChuBeiBianDongJinE" label="所有者权益内部结转导致专项储备变动金额" periodRef="上年同期数" mulRef="_GBC_048773409e614c6bb753000b028316a5" unitRef="_GBC_5214b7a188334da286fc3038d017d072" addr="T3R19C8S1_1" formatStyle="Comma">
          <m:complexRule comparator="Eq" title="母公司所有者权益内部结转导致专项储备变动金额@上年同期数" test=" $_GBC_8e1365ef7f33455c9fce1f73d50a966b +  $_GBC_80137c95f5154ac095a65742722aab10 +  $_GBC_74979640a08144068199b6dd9337bf3b +  $_GBC_a7a16f94ecb141709928857e99f59fed +  $_GBC_73d7435f57e249c08846dc7d5f390df3 +  $_GBC_cfd8b7a44c0b40d5802e04cc65a06795" id="C760066ee93204133a1d42f16c8265520"/>
          <m:axisValue occRef="母公司"/>
        </m:item>
        <m:item xlName="_GBC_4d1c0a6264fc47de979a0253aebee62d" concept="clcid-pte:SuoYouZheQuanYiNeiBuJieZhuanDaoZhiYingYuGongJiBianDongJinE" label="所有者权益内部结转导致盈余公积变动金额" periodRef="上年同期数" mulRef="_GBC_048773409e614c6bb753000b028316a5" unitRef="_GBC_5214b7a188334da286fc3038d017d072" addr="T3R19C9S1_1" formatStyle="Comma">
          <m:complexRule comparator="Eq" title="母公司所有者权益内部结转导致盈余公积变动金额@上年同期数" test=" $_GBC_db36c3dc9c91416db3ed552bbeefe0f8 +  $_GBC_c1811c40ab524dfd99896dffe731abbe +  $_GBC_0a2a3ee7c0424d4f957505213262cb48 +  $_GBC_82c988a762ef46dd93fcb145404f87cb +  $_GBC_89ebb54e22c74a5aa2e651eee28338dd +  $_GBC_02c6afb45b394f28a8510a6d6fb8d708" id="Cecc528765b5d457dbbc777506586529c"/>
          <m:axisValue occRef="母公司"/>
        </m:item>
        <m:item xlName="_GBC_bb6a2259f3cb4519a2b61bbca551d5b6" concept="clcid-pte:SuoYouZheQuanYiNeiBuJieZhuanDaoZhiWeiFenPeiLiRunBianDongJinE" label="所有者权益内部结转导致未分配利润变动金额" periodRef="上年同期数" mulRef="_GBC_048773409e614c6bb753000b028316a5" unitRef="_GBC_5214b7a188334da286fc3038d017d072" addr="T3R19C10S1_1" formatStyle="Comma">
          <m:complexRule comparator="Eq" title="母公司所有者权益内部结转导致未分配利润变动金额@上年同期数" test=" $_GBC_851b6084e58c47159316442ffef68cda +  $_GBC_18bd8d1a97aa468ea84c78ad3758f4b2 +  $_GBC_0d39f35742c247b2b8eb0f5c31b2cec2 +  $_GBC_25e2a45c609f48e29488a6b0a64e04a9 +  $_GBC_7e002b3f5ab84e309cf5bf7b9747d025 +  $_GBC_adedc78908fe475abc8948ce3e6c794b" id="Ccd6b0bf4194c44059c97e656225acd0c"/>
          <m:axisValue occRef="母公司"/>
        </m:item>
        <m:item xlName="_GBC_cf343c3c4abc44eabdb57be2a6e08c0d" concept="clcid-pte:SuoYouZheQuanYiNeiBuJieZhuanDaoZhiGuDongQuanYiHeJiBianDongJinE" label="所有者权益内部结转导致股东权益合计变动金额" periodRef="上年同期数" mulRef="_GBC_048773409e614c6bb753000b028316a5" unitRef="_GBC_5214b7a188334da286fc3038d017d072" addr="T3R19C11S1_1" formatStyle="Comma">
          <m:complexRule comparator="Eq" title="母公司所有者权益内部结转导致股东权益合计变动金额@上年同期数" test=" $_GBC_9f9c7b4f316f4d1d93d44cb704ff3614 +  $_GBC_10fac68afeae4344b1122b6eb6fdc261 +  $_GBC_5626953eef0c4a448b1b825870aface8 +  $_GBC_fe8ccc36ead64650ada8b8fa5be5ab7d +  $_GBC_20060c1fda72416eaa44abd71df16b83 +  $_GBC_30ef6ca5179a471eac64be1ad1a76407" id="C0c2ce0a0a10c40b79a378b1d2a66a4d4"/>
          <m:axisValue occRef="母公司"/>
        </m:item>
        <m:placeholder xlName="_PLD_16ddc46b3a95453788bdcaaebfae99fa" wordText="1．资本公积转增资本（或股本）" addr="T3R20C0S1_1"/>
        <m:item xlName="_GBC_ff2032f5c0f8437594aab00a739dec9b" concept="clcid-pte:ZiBenGongJiZhuanZengZiBenHuoGuBenDaoZhiShiShouZiBenHuoGuBenJingEBianDongJinE" label="资本公积转增资本（或股本）导致实收资本（或股本）净额变动金额" periodRef="上年同期数" mulRef="_GBC_048773409e614c6bb753000b028316a5" unitRef="_GBC_5214b7a188334da286fc3038d017d072" addr="T3R20C1S1_1" formatStyle="Comma">
          <m:axisValue occRef="母公司"/>
        </m:item>
        <m:item xlName="_GBC_b663e2a93bba42129bcc683949a06caa" concept="clcid-pte:ZiBenGongJiZhuanZengZiBenHuoGuBenDaoZhiQiTaQuanYiGongJuZhongDeYouXianGuBianDongJinE" label="资本公积转增资本（或股本）导致其他权益工具中的优先股变动金额" periodRef="上年同期数" mulRef="_GBC_048773409e614c6bb753000b028316a5" unitRef="_GBC_5214b7a188334da286fc3038d017d072" addr="T3R20C2S1_1" formatStyle="Comma">
          <m:axisValue occRef="母公司"/>
        </m:item>
        <m:item xlName="_GBC_0532ce73a9f04b13804de1b6dcfe0b60" concept="clcid-pte:ZiBenGongJiZhuanZengZiBenHuoGuBenDaoZhiQiTaQuanYiGongJuZhongDeYongXuZhaiBianDongJinE" label="资本公积转增资本（或股本）导致其他权益工具中的永续债变动金额" periodRef="上年同期数" mulRef="_GBC_048773409e614c6bb753000b028316a5" unitRef="_GBC_5214b7a188334da286fc3038d017d072" addr="T3R20C3S1_1" formatStyle="Comma">
          <m:axisValue occRef="母公司"/>
        </m:item>
        <m:item xlName="_GBC_683eb153c9814909871dbd1eedf8d41a" concept="clcid-pte:ZiBenGongJiZhuanZengZiBenHuoGuBenDaoZhiQiTaQuanYiGongJuZhongDeQiTaBianDongJinE" label="资本公积转增资本（或股本）导致其他权益工具中的其他变动金额" periodRef="上年同期数" mulRef="_GBC_048773409e614c6bb753000b028316a5" unitRef="_GBC_5214b7a188334da286fc3038d017d072" addr="T3R20C4S1_1" formatStyle="Comma">
          <m:axisValue occRef="母公司"/>
        </m:item>
        <m:item xlName="_GBC_512c1661e0ee4c04b3059e0e9d3521fd" concept="clcid-pte:ZiBenGongJiZhuanZengZiBenHuoGuBenDaoZhiZiBenGongJiBianDongJinE" label="资本公积转增资本（或股本）导致资本公积变动金额" periodRef="上年同期数" mulRef="_GBC_048773409e614c6bb753000b028316a5" unitRef="_GBC_5214b7a188334da286fc3038d017d072" addr="T3R20C5S1_1" formatStyle="Comma">
          <m:axisValue occRef="母公司"/>
        </m:item>
        <m:item xlName="_GBC_56b9bd3e34de481ca1927b7a1374c4b4" concept="clcid-pte:ZiBenGongJiZhuanZengZiBenHuoGuBenDaoZhiKuCunGuBianDongJinE" label="资本公积转增资本（或股本）导致库存股变动金额" periodRef="上年同期数" mulRef="_GBC_048773409e614c6bb753000b028316a5" unitRef="_GBC_5214b7a188334da286fc3038d017d072" addr="T3R20C6S1_1" baseScale="-1" formatStyle="Comma">
          <m:axisValue occRef="母公司"/>
        </m:item>
        <m:item xlName="_GBC_f2bd9f769c11472983c39350da993a59" concept="clcid-pte:ZiBenGongJiZhuanZengZiBenHuoGuBenDaoZhiQiTaZongHeShouYiBianDongJinE" label="资本公积转增资本（或股本）导致其他综合收益变动金额" periodRef="上年同期数" mulRef="_GBC_048773409e614c6bb753000b028316a5" unitRef="_GBC_5214b7a188334da286fc3038d017d072" addr="T3R20C7S1_1" formatStyle="Comma">
          <m:axisValue occRef="母公司"/>
        </m:item>
        <m:item xlName="_GBC_8e1365ef7f33455c9fce1f73d50a966b" concept="clcid-pte:ZiBenGongJiZhuanZengZiBenHuoGuBenDaoZhiZhuanXiangChuBeiBianDongJinE" label="资本公积转增资本（或股本）导致专项储备变动金额" periodRef="上年同期数" mulRef="_GBC_048773409e614c6bb753000b028316a5" unitRef="_GBC_5214b7a188334da286fc3038d017d072" addr="T3R20C8S1_1" formatStyle="Comma">
          <m:axisValue occRef="母公司"/>
        </m:item>
        <m:item xlName="_GBC_db36c3dc9c91416db3ed552bbeefe0f8" concept="clcid-pte:ZiBenGongJiZhuanZengZiBenHuoGuBenDaoZhiYingYuGongJiBianDongJinE" label="资本公积转增资本（或股本）导致盈余公积变动金额" periodRef="上年同期数" mulRef="_GBC_048773409e614c6bb753000b028316a5" unitRef="_GBC_5214b7a188334da286fc3038d017d072" addr="T3R20C9S1_1" formatStyle="Comma">
          <m:axisValue occRef="母公司"/>
        </m:item>
        <m:item xlName="_GBC_851b6084e58c47159316442ffef68cda" concept="clcid-pte:ZiBenGongJiZhuanZengZiBenHuoGuBenDaoZhiWeiFenPeiLiRunBianDongJinE" label="资本公积转增资本（或股本）导致未分配利润变动金额" periodRef="上年同期数" mulRef="_GBC_048773409e614c6bb753000b028316a5" unitRef="_GBC_5214b7a188334da286fc3038d017d072" addr="T3R20C10S1_1" formatStyle="Comma">
          <m:axisValue occRef="母公司"/>
        </m:item>
        <m:item xlName="_GBC_9f9c7b4f316f4d1d93d44cb704ff3614" concept="clcid-pte:ZiBenGongJiZhuanZengZiBenHuoGuBenDaoZhiGuDongQuanYiHeJiBianDongJinE" label="资本公积转增资本（或股本）导致股东权益合计变动金额" periodRef="上年同期数" mulRef="_GBC_048773409e614c6bb753000b028316a5" unitRef="_GBC_5214b7a188334da286fc3038d017d072" addr="T3R20C11S1_1" formatStyle="Comma">
          <m:axisValue occRef="母公司"/>
        </m:item>
        <m:placeholder xlName="_PLD_5f2b4bbca85e4693b990e3e25811eeab" wordText="2．盈余公积转增资本（或股本）" addr="T3R21C0S1_1"/>
        <m:item xlName="_GBC_05ab8ccf2c394d1dadb702953165e117" concept="clcid-pte:YingYuGongJiZhuanZengZiBenHuoGuBenDaoZhiShiShouZiBenHuoGuBenJingEBianDongJinE" label="盈余公积转增资本（或股本）导致实收资本（或股本）净额变动金额" periodRef="上年同期数" mulRef="_GBC_048773409e614c6bb753000b028316a5" unitRef="_GBC_5214b7a188334da286fc3038d017d072" addr="T3R21C1S1_1" formatStyle="Comma">
          <m:axisValue occRef="母公司"/>
        </m:item>
        <m:item xlName="_GBC_1599aa327e2e469184808757ae9d5363" concept="clcid-pte:YingYuGongJiZhuanZengZiBenHuoGuBenDaoZhiQiTaQuanYiGongJuZhongDeYouXianGuBianDongJinE" label="盈余公积转增资本（或股本）导致其他权益工具中的优先股变动金额" periodRef="上年同期数" mulRef="_GBC_048773409e614c6bb753000b028316a5" unitRef="_GBC_5214b7a188334da286fc3038d017d072" addr="T3R21C2S1_1" formatStyle="Comma">
          <m:axisValue occRef="母公司"/>
        </m:item>
        <m:item xlName="_GBC_0b0b887a4d9b45799cdcfdda5151e824" concept="clcid-pte:YingYuGongJiZhuanZengZiBenHuoGuBenDaoZhiQiTaQuanYiGongJuZhongDeYongXuZhaiBianDongJinE" label="盈余公积转增资本（或股本）导致其他权益工具中的永续债变动金额" periodRef="上年同期数" mulRef="_GBC_048773409e614c6bb753000b028316a5" unitRef="_GBC_5214b7a188334da286fc3038d017d072" addr="T3R21C3S1_1" formatStyle="Comma">
          <m:axisValue occRef="母公司"/>
        </m:item>
        <m:item xlName="_GBC_fd6e54ce70a6480faf3577cafa2cb680" concept="clcid-pte:YingYuGongJiZhuanZengZiBenHuoGuBenDaoZhiQiTaQuanYiGongJuZhongDeQiTaBianDongJinE" label="盈余公积转增资本（或股本）导致其他权益工具中的其他变动金额" periodRef="上年同期数" mulRef="_GBC_048773409e614c6bb753000b028316a5" unitRef="_GBC_5214b7a188334da286fc3038d017d072" addr="T3R21C4S1_1" formatStyle="Comma">
          <m:axisValue occRef="母公司"/>
        </m:item>
        <m:item xlName="_GBC_111e2a1c41ea41e280a2bbd959cb78c2" concept="clcid-pte:YingYuGongJiZhuanZengZiBenHuoGuBenDaoZhiZiBenGongJiBianDongJinE" label="盈余公积转增资本（或股本）导致资本公积变动金额" periodRef="上年同期数" mulRef="_GBC_048773409e614c6bb753000b028316a5" unitRef="_GBC_5214b7a188334da286fc3038d017d072" addr="T3R21C5S1_1" formatStyle="Comma">
          <m:axisValue occRef="母公司"/>
        </m:item>
        <m:item xlName="_GBC_c541b52a6ef94c77b6884a0690668973" concept="clcid-pte:YingYuGongJiZhuanZengZiBenHuoGuBenDaoZhiKuCunGuBianDongJinE" label="盈余公积转增资本（或股本）导致库存股变动金额" periodRef="上年同期数" mulRef="_GBC_048773409e614c6bb753000b028316a5" unitRef="_GBC_5214b7a188334da286fc3038d017d072" addr="T3R21C6S1_1" baseScale="-1" formatStyle="Comma">
          <m:axisValue occRef="母公司"/>
        </m:item>
        <m:item xlName="_GBC_fb77f866025049d49865d83252cba772" concept="clcid-pte:YingYuGongJiZhuanZengZiBenHuoGuBenDaoZhiQiTaZongHeShouYiBianDongJinE" label="盈余公积转增资本（或股本）导致其他综合收益变动金额" periodRef="上年同期数" mulRef="_GBC_048773409e614c6bb753000b028316a5" unitRef="_GBC_5214b7a188334da286fc3038d017d072" addr="T3R21C7S1_1" formatStyle="Comma">
          <m:axisValue occRef="母公司"/>
        </m:item>
        <m:item xlName="_GBC_80137c95f5154ac095a65742722aab10" concept="clcid-pte:YingYuGongJiZhuanZengZiBenHuoGuBenDaoZhiZhuanXiangChuBeiBianDongJinE" label="盈余公积转增资本（或股本）导致专项储备变动金额" periodRef="上年同期数" mulRef="_GBC_048773409e614c6bb753000b028316a5" unitRef="_GBC_5214b7a188334da286fc3038d017d072" addr="T3R21C8S1_1" formatStyle="Comma">
          <m:axisValue occRef="母公司"/>
        </m:item>
        <m:item xlName="_GBC_c1811c40ab524dfd99896dffe731abbe" concept="clcid-pte:YingYuGongJiZhuanZengZiBenHuoGuBenDaoZhiYingYuGongJiBianDongJinE" label="盈余公积转增资本（或股本）导致盈余公积变动金额" periodRef="上年同期数" mulRef="_GBC_048773409e614c6bb753000b028316a5" unitRef="_GBC_5214b7a188334da286fc3038d017d072" addr="T3R21C9S1_1" formatStyle="Comma">
          <m:axisValue occRef="母公司"/>
        </m:item>
        <m:item xlName="_GBC_18bd8d1a97aa468ea84c78ad3758f4b2" concept="clcid-pte:YingYuGongJiZhuanZengZiBenHuoGuBenDaoZhiWeiFenPeiLiRunBianDongJinE" label="盈余公积转增资本（或股本）导致未分配利润变动金额" periodRef="上年同期数" mulRef="_GBC_048773409e614c6bb753000b028316a5" unitRef="_GBC_5214b7a188334da286fc3038d017d072" addr="T3R21C10S1_1" formatStyle="Comma">
          <m:axisValue occRef="母公司"/>
        </m:item>
        <m:item xlName="_GBC_10fac68afeae4344b1122b6eb6fdc261" concept="clcid-pte:YingYuGongJiZhuanZengZiBenHuoGuBenDaoZhiGuDongQuanYiHeJiBianDongJinE" label="盈余公积转增资本（或股本）导致股东权益合计变动金额" periodRef="上年同期数" mulRef="_GBC_048773409e614c6bb753000b028316a5" unitRef="_GBC_5214b7a188334da286fc3038d017d072" addr="T3R21C11S1_1" formatStyle="Comma">
          <m:axisValue occRef="母公司"/>
        </m:item>
        <m:placeholder xlName="_PLD_15d6c710562e41cc9b0f916bb42a3ecd" wordText="3．盈余公积弥补亏损" addr="T3R22C0S1_1"/>
        <m:item xlName="_GBC_18d362dcac4f4e8680212bd69a387898" concept="clcid-pte:YingYuGongJiMiBuKuiSunDaoZhiShiShouZiBenHuoGuBenJingEBianDongJinE" label="盈余公积弥补亏损导致实收资本（或股本）净额变动金额" periodRef="上年同期数" mulRef="_GBC_048773409e614c6bb753000b028316a5" unitRef="_GBC_5214b7a188334da286fc3038d017d072" addr="T3R22C1S1_1" formatStyle="Comma">
          <m:axisValue occRef="母公司"/>
        </m:item>
        <m:item xlName="_GBC_91f84f69db1a436598feae098c27b167" concept="clcid-pte:YingYuGongJiMiBuKuiSunDaoZhiQiTaQuanYiGongJuZhongDeYouXianGuBianDongJinE" label="盈余公积弥补亏损导致其他权益工具中的优先股变动金额" periodRef="上年同期数" mulRef="_GBC_048773409e614c6bb753000b028316a5" unitRef="_GBC_5214b7a188334da286fc3038d017d072" addr="T3R22C2S1_1" formatStyle="Comma">
          <m:axisValue occRef="母公司"/>
        </m:item>
        <m:item xlName="_GBC_1da5f07118754afb887062b350e8bf17" concept="clcid-pte:YingYuGongJiMiBuKuiSunDaoZhiQiTaQuanYiGongJuZhongDeYongXuZhaiBianDongJinE" label="盈余公积弥补亏损导致其他权益工具中的永续债变动金额" periodRef="上年同期数" mulRef="_GBC_048773409e614c6bb753000b028316a5" unitRef="_GBC_5214b7a188334da286fc3038d017d072" addr="T3R22C3S1_1" formatStyle="Comma">
          <m:axisValue occRef="母公司"/>
        </m:item>
        <m:item xlName="_GBC_9103e5bc206845aa8dbd0508d576934b" concept="clcid-pte:YingYuGongJiMiBuKuiSunDaoZhiQiTaQuanYiGongJuZhongDeQiTaBianDongJinE" label="盈余公积弥补亏损导致其他权益工具中的其他变动金额" periodRef="上年同期数" mulRef="_GBC_048773409e614c6bb753000b028316a5" unitRef="_GBC_5214b7a188334da286fc3038d017d072" addr="T3R22C4S1_1" formatStyle="Comma">
          <m:axisValue occRef="母公司"/>
        </m:item>
        <m:item xlName="_GBC_211def2a622f41df96c1460f441ee473" concept="clcid-pte:YingYuGongJiMiBuKuiSunDaoZhiZiBenGongJiBianDongJinE" label="盈余公积弥补亏损导致资本公积变动金额" periodRef="上年同期数" mulRef="_GBC_048773409e614c6bb753000b028316a5" unitRef="_GBC_5214b7a188334da286fc3038d017d072" addr="T3R22C5S1_1" formatStyle="Comma">
          <m:axisValue occRef="母公司"/>
        </m:item>
        <m:item xlName="_GBC_1a310500ada741aa9110add528620e65" concept="clcid-pte:YingYuGongJiMiBuKuiSunDaoZhiKuCunGuBianDongJinE" label="盈余公积弥补亏损导致库存股变动金额" periodRef="上年同期数" mulRef="_GBC_048773409e614c6bb753000b028316a5" unitRef="_GBC_5214b7a188334da286fc3038d017d072" addr="T3R22C6S1_1" baseScale="-1" formatStyle="Comma">
          <m:axisValue occRef="母公司"/>
        </m:item>
        <m:item xlName="_GBC_eb2121c30b6742faae747a0b865fba0b" concept="clcid-pte:YingYuGongJiMiBuKuiSunDaoZhiQiTaZongHeShouYiBianDongJinE" label="盈余公积弥补亏损导致其他综合收益变动金额" periodRef="上年同期数" mulRef="_GBC_048773409e614c6bb753000b028316a5" unitRef="_GBC_5214b7a188334da286fc3038d017d072" addr="T3R22C7S1_1" formatStyle="Comma">
          <m:axisValue occRef="母公司"/>
        </m:item>
        <m:item xlName="_GBC_74979640a08144068199b6dd9337bf3b" concept="clcid-pte:YingYuGongJiMiBuKuiSunDaoZhiZhuanXiangChuBeiBianDongJinE" label="盈余公积弥补亏损导致专项储备变动金额" periodRef="上年同期数" mulRef="_GBC_048773409e614c6bb753000b028316a5" unitRef="_GBC_5214b7a188334da286fc3038d017d072" addr="T3R22C8S1_1" formatStyle="Comma">
          <m:axisValue occRef="母公司"/>
        </m:item>
        <m:item xlName="_GBC_0a2a3ee7c0424d4f957505213262cb48" concept="clcid-pte:YingYuGongJiMiBuKuiSunDaoZhiYingYuGongJiBianDongJinE" label="盈余公积弥补亏损导致盈余公积变动金额" periodRef="上年同期数" mulRef="_GBC_048773409e614c6bb753000b028316a5" unitRef="_GBC_5214b7a188334da286fc3038d017d072" addr="T3R22C9S1_1" formatStyle="Comma">
          <m:axisValue occRef="母公司"/>
        </m:item>
        <m:item xlName="_GBC_0d39f35742c247b2b8eb0f5c31b2cec2" concept="clcid-pte:YingYuGongJiMiBuKuiSunDaoZhiWeiFenPeiLiRunBianDongJinE" label="盈余公积弥补亏损导致未分配利润变动金额" periodRef="上年同期数" mulRef="_GBC_048773409e614c6bb753000b028316a5" unitRef="_GBC_5214b7a188334da286fc3038d017d072" addr="T3R22C10S1_1" formatStyle="Comma">
          <m:axisValue occRef="母公司"/>
        </m:item>
        <m:item xlName="_GBC_5626953eef0c4a448b1b825870aface8" concept="clcid-pte:YingYuGongJiMiBuKuiSunDaoZhiGuDongQuanYiHeJiBianDongJinE" label="盈余公积弥补亏损导致股东权益合计变动金额" periodRef="上年同期数" mulRef="_GBC_048773409e614c6bb753000b028316a5" unitRef="_GBC_5214b7a188334da286fc3038d017d072" addr="T3R22C11S1_1" formatStyle="Comma">
          <m:axisValue occRef="母公司"/>
        </m:item>
        <m:placeholder xlName="_PLD_f4cb17050ad540c1b6765bbc5ef1d185" wordText="4．设定受益计划变动额结转留存收益" addr="T3R23C0S1_1"/>
        <m:item xlName="_GBC_58213d8b23774814a7f37b2982b3f301" concept="clcid-pte:SheDingShouYiJiHuaBianDongEJieZhuanLiuCunShouYiDaoZhiShiShouZiBenHuoGuBenJingEBianDongJinE" label="设定受益计划变动额结转留存收益导致实收资本（或股本）净额变动金额" periodRef="上年同期数" mulRef="_GBC_048773409e614c6bb753000b028316a5" unitRef="_GBC_5214b7a188334da286fc3038d017d072" addr="T3R23C1S1_1" formatStyle="Comma">
          <m:axisValue occRef="母公司"/>
        </m:item>
        <m:item xlName="_GBC_f24e14a4523c4321834123fe36f44a34" concept="clcid-pte:SheDingShouYiJiHuaBianDongEJieZhuanLiuCunShouYiDaoZhiQiTaQuanYiGongJuZhongDeYouXianGuBianDongJinE" label="设定受益计划变动额结转留存收益导致其他权益工具中的优先股变动金额" periodRef="上年同期数" mulRef="_GBC_048773409e614c6bb753000b028316a5" unitRef="_GBC_5214b7a188334da286fc3038d017d072" addr="T3R23C2S1_1" formatStyle="Comma">
          <m:axisValue occRef="母公司"/>
        </m:item>
        <m:item xlName="_GBC_1842a5bdd3984ea393c401b0f0f0a534" concept="clcid-pte:SheDingShouYiJiHuaBianDongEJieZhuanLiuCunShouYiDaoZhiQiTaQuanYiGongJuZhongDeYongXuZhaiBianDongJinE" label="设定受益计划变动额结转留存收益导致其他权益工具中的永续债变动金额" periodRef="上年同期数" mulRef="_GBC_048773409e614c6bb753000b028316a5" unitRef="_GBC_5214b7a188334da286fc3038d017d072" addr="T3R23C3S1_1" formatStyle="Comma">
          <m:axisValue occRef="母公司"/>
        </m:item>
        <m:item xlName="_GBC_bb9e4cac4fef4c08a111cd2a7674e44b" concept="clcid-pte:SheDingShouYiJiHuaBianDongEJieZhuanLiuCunShouYiDaoZhiQiTaQuanYiGongJuZhongDeQiTaBianDongJinE" label="设定受益计划变动额结转留存收益导致其他权益工具中的其他变动金额" periodRef="上年同期数" mulRef="_GBC_048773409e614c6bb753000b028316a5" unitRef="_GBC_5214b7a188334da286fc3038d017d072" addr="T3R23C4S1_1" formatStyle="Comma">
          <m:axisValue occRef="母公司"/>
        </m:item>
        <m:item xlName="_GBC_ad6a53f7bc0841bbb73d89551821a267" concept="clcid-pte:SheDingShouYiJiHuaBianDongEJieZhuanLiuCunShouYiDaoZhiZiBenGongJiBianDongJinE" label="设定受益计划变动额结转留存收益导致资本公积变动金额" periodRef="上年同期数" mulRef="_GBC_048773409e614c6bb753000b028316a5" unitRef="_GBC_5214b7a188334da286fc3038d017d072" addr="T3R23C5S1_1" formatStyle="Comma">
          <m:axisValue occRef="母公司"/>
        </m:item>
        <m:item xlName="_GBC_4144a0bc708a41c7861ab4e2f09a8281" concept="clcid-pte:SheDingShouYiJiHuaBianDongEJieZhuanLiuCunShouYiDaoZhiKuCunGuBianDongJinE" label="设定受益计划变动额结转留存收益导致库存股变动金额" periodRef="上年同期数" mulRef="_GBC_048773409e614c6bb753000b028316a5" unitRef="_GBC_5214b7a188334da286fc3038d017d072" addr="T3R23C6S1_1" baseScale="-1" formatStyle="Comma">
          <m:axisValue occRef="母公司"/>
        </m:item>
        <m:item xlName="_GBC_b13168a913a64af5a2037ca5e578d37e" concept="clcid-pte:SheDingShouYiJiHuaBianDongEJieZhuanLiuCunShouYiDaoZhiQiTaZongHeShouYiBianDongJinE" label="设定受益计划变动额结转留存收益导致其他综合收益变动金额" periodRef="上年同期数" mulRef="_GBC_048773409e614c6bb753000b028316a5" unitRef="_GBC_5214b7a188334da286fc3038d017d072" addr="T3R23C7S1_1" formatStyle="Comma">
          <m:axisValue occRef="母公司"/>
        </m:item>
        <m:item xlName="_GBC_73d7435f57e249c08846dc7d5f390df3" concept="clcid-pte:SheDingShouYiJiHuaBianDongEJieZhuanLiuCunShouYiDaoZhiZhuanXiangChuBeiBianDongJinE" label="设定受益计划变动额结转留存收益导致专项储备变动金额" periodRef="上年同期数" mulRef="_GBC_048773409e614c6bb753000b028316a5" unitRef="_GBC_5214b7a188334da286fc3038d017d072" addr="T3R23C8S1_1" formatStyle="Comma">
          <m:axisValue occRef="母公司"/>
        </m:item>
        <m:item xlName="_GBC_89ebb54e22c74a5aa2e651eee28338dd" concept="clcid-pte:SheDingShouYiJiHuaBianDongEJieZhuanLiuCunShouYiDaoZhiYingYuGongJiBianDongJinE" label="设定受益计划变动额结转留存收益导致盈余公积变动金额" periodRef="上年同期数" mulRef="_GBC_048773409e614c6bb753000b028316a5" unitRef="_GBC_5214b7a188334da286fc3038d017d072" addr="T3R23C9S1_1" formatStyle="Comma">
          <m:axisValue occRef="母公司"/>
        </m:item>
        <m:item xlName="_GBC_7e002b3f5ab84e309cf5bf7b9747d025" concept="clcid-pte:SheDingShouYiJiHuaBianDongEJieZhuanLiuCunShouYiDaoZhiWeiFenPeiLiRunBianDongJinE" label="设定受益计划变动额结转留存收益导致未分配利润变动金额" periodRef="上年同期数" mulRef="_GBC_048773409e614c6bb753000b028316a5" unitRef="_GBC_5214b7a188334da286fc3038d017d072" addr="T3R23C10S1_1" formatStyle="Comma">
          <m:axisValue occRef="母公司"/>
        </m:item>
        <m:item xlName="_GBC_20060c1fda72416eaa44abd71df16b83" concept="clcid-pte:SheDingShouYiJiHuaBianDongEJieZhuanLiuCunShouYiDaoZhiGuDongQuanYiHeJiBianDongJinE" label="设定受益计划变动额结转留存收益导致股东权益合计变动金额" periodRef="上年同期数" mulRef="_GBC_048773409e614c6bb753000b028316a5" unitRef="_GBC_5214b7a188334da286fc3038d017d072" addr="T3R23C11S1_1" formatStyle="Comma">
          <m:axisValue occRef="母公司"/>
        </m:item>
        <m:placeholder xlName="_PLD_d570b02e3d674dc1a938a4710387119c" wordText="5．其他综合收益结转留存收益" addr="T3R24C0S1_1"/>
        <m:item xlName="_GBC_1ee40f00712a421eae48807555088722" concept="clcid-pte:QiTaZongHeShouYiJieZhuanLiuCunShouYiDaoZhiShiShouZiBenHuoGuBenJingEBianDongJinE" label="其他综合收益结转留存收益导致实收资本（或股本）净额变动金额" periodRef="上年同期数" mulRef="_GBC_048773409e614c6bb753000b028316a5" unitRef="_GBC_5214b7a188334da286fc3038d017d072" addr="T3R24C1S1_1" formatStyle="Comma">
          <m:axisValue occRef="母公司"/>
        </m:item>
        <m:item xlName="_GBC_6799a7c1f79c4a249e6e2195f9f2dce3" concept="clcid-pte:QiTaZongHeShouYiJieZhuanLiuCunShouYiDaoZhiQiTaQuanYiGongJuZhongDeYouXianGuBianDongJinE" label="其他综合收益结转留存收益导致其他权益工具中的优先股变动金额" periodRef="上年同期数" mulRef="_GBC_048773409e614c6bb753000b028316a5" unitRef="_GBC_5214b7a188334da286fc3038d017d072" addr="T3R24C2S1_1" formatStyle="Comma">
          <m:axisValue occRef="母公司"/>
        </m:item>
        <m:item xlName="_GBC_a4f1db30de534f96a00a821bd2583688" concept="clcid-pte:QiTaZongHeShouYiJieZhuanLiuCunShouYiDaoZhiQiTaQuanYiGongJuZhongDeYongXuZhaiBianDongJinE" label="其他综合收益结转留存收益导致其他权益工具中的永续债变动金额" periodRef="上年同期数" mulRef="_GBC_048773409e614c6bb753000b028316a5" unitRef="_GBC_5214b7a188334da286fc3038d017d072" addr="T3R24C3S1_1" formatStyle="Comma">
          <m:axisValue occRef="母公司"/>
        </m:item>
        <m:item xlName="_GBC_b05701dc463a47049b6ed47adfc03981" concept="clcid-pte:QiTaZongHeShouYiJieZhuanLiuCunShouYiDaoZhiQiTaQuanYiGongJuZhongDeQiTaBianDongJinE" label="其他综合收益结转留存收益导致其他权益工具中的其他变动金额" periodRef="上年同期数" mulRef="_GBC_048773409e614c6bb753000b028316a5" unitRef="_GBC_5214b7a188334da286fc3038d017d072" addr="T3R24C4S1_1" formatStyle="Comma">
          <m:axisValue occRef="母公司"/>
        </m:item>
        <m:item xlName="_GBC_63411d7886334658b265548725deca17" concept="clcid-pte:QiTaZongHeShouYiJieZhuanLiuCunShouYiDaoZhiZiBenGongJiBianDongJinE" label="其他综合收益结转留存收益导致资本公积变动金额" periodRef="上年同期数" mulRef="_GBC_048773409e614c6bb753000b028316a5" unitRef="_GBC_5214b7a188334da286fc3038d017d072" addr="T3R24C5S1_1" formatStyle="Comma">
          <m:axisValue occRef="母公司"/>
        </m:item>
        <m:item xlName="_GBC_23000c790ac648598ff3b1761a90d9ee" concept="clcid-pte:QiTaZongHeShouYiJieZhuanLiuCunShouYiDaoZhiKuCunGuBianDongJinE" label="其他综合收益结转留存收益导致库存股变动金额" periodRef="上年同期数" mulRef="_GBC_048773409e614c6bb753000b028316a5" unitRef="_GBC_5214b7a188334da286fc3038d017d072" addr="T3R24C6S1_1" baseScale="-1" formatStyle="Comma">
          <m:axisValue occRef="母公司"/>
        </m:item>
        <m:item xlName="_GBC_ab46a3d089ea48fab1e85ea97628fbc8" concept="clcid-pte:QiTaZongHeShouYiJieZhuanLiuCunShouYiDaoZhiQiTaZongHeShouYiBianDongJinE" label="其他综合收益结转留存收益导致其他综合收益变动金额" periodRef="上年同期数" mulRef="_GBC_048773409e614c6bb753000b028316a5" unitRef="_GBC_5214b7a188334da286fc3038d017d072" addr="T3R24C7S1_1" formatStyle="Comma">
          <m:axisValue occRef="母公司"/>
        </m:item>
        <m:item xlName="_GBC_cfd8b7a44c0b40d5802e04cc65a06795" concept="clcid-pte:QiTaZongHeShouYiJieZhuanLiuCunShouYiDaoZhiZhuanXiangChuBeiBianDongJinE" label="其他综合收益结转留存收益导致专项储备变动金额" periodRef="上年同期数" mulRef="_GBC_048773409e614c6bb753000b028316a5" unitRef="_GBC_5214b7a188334da286fc3038d017d072" addr="T3R24C8S1_1" formatStyle="Comma">
          <m:axisValue occRef="母公司"/>
        </m:item>
        <m:item xlName="_GBC_02c6afb45b394f28a8510a6d6fb8d708" concept="clcid-pte:QiTaZongHeShouYiJieZhuanLiuCunShouYiDaoZhiYingYuGongJiBianDongJinE" label="其他综合收益结转留存收益导致盈余公积变动金额" periodRef="上年同期数" mulRef="_GBC_048773409e614c6bb753000b028316a5" unitRef="_GBC_5214b7a188334da286fc3038d017d072" addr="T3R24C9S1_1" formatStyle="Comma">
          <m:axisValue occRef="母公司"/>
        </m:item>
        <m:item xlName="_GBC_adedc78908fe475abc8948ce3e6c794b" concept="clcid-pte:QiTaZongHeShouYiJieZhuanLiuCunShouYiDaoZhiWeiFenPeiLiRunBianDongJinE" label="其他综合收益结转留存收益导致未分配利润变动金额" periodRef="上年同期数" mulRef="_GBC_048773409e614c6bb753000b028316a5" unitRef="_GBC_5214b7a188334da286fc3038d017d072" addr="T3R24C10S1_1" formatStyle="Comma">
          <m:axisValue occRef="母公司"/>
        </m:item>
        <m:item xlName="_GBC_30ef6ca5179a471eac64be1ad1a76407" concept="clcid-pte:QiTaZongHeShouYiJieZhuanLiuCunShouYiDaoZhiGuDongQuanYiHeJiBianDongJinE" label="其他综合收益结转留存收益导致股东权益合计变动金额" periodRef="上年同期数" mulRef="_GBC_048773409e614c6bb753000b028316a5" unitRef="_GBC_5214b7a188334da286fc3038d017d072" addr="T3R24C11S1_1" formatStyle="Comma">
          <m:axisValue occRef="母公司"/>
        </m:item>
        <m:placeholder xlName="_PLD_a5cd874c23c44b928dffd9bc4a74c38d" wordText="6．其他" addr="T3R25C0S1_1"/>
        <m:item xlName="_GBC_2205264f25954e73808cb32913bbcae6" concept="clcid-pte:QiTaSuoYouZheQuanYiNeiBuJieZhuanDaoZhiShiShouZiBenHuoGuBenJingEBianDongJinE" label="其他所有者权益内部结转导致实收资本（或股本）净额变动金额" periodRef="上年同期数" mulRef="_GBC_048773409e614c6bb753000b028316a5" unitRef="_GBC_5214b7a188334da286fc3038d017d072" addr="T3R25C1S1_1" formatStyle="Comma">
          <m:axisValue occRef="母公司"/>
        </m:item>
        <m:item xlName="_GBC_1485448b4a544a2a9a4a898ad77b943e" concept="clcid-pte:QiTaSuoYouZheQuanYiNeiBuJieZhuanDaoZhiQiTaQuanYiGongJuZhongDeYouXianGuBianDongJinE" label="其他所有者权益内部结转导致其他权益工具中的优先股变动金额" periodRef="上年同期数" mulRef="_GBC_048773409e614c6bb753000b028316a5" unitRef="_GBC_5214b7a188334da286fc3038d017d072" addr="T3R25C2S1_1" formatStyle="Comma">
          <m:axisValue occRef="母公司"/>
        </m:item>
        <m:item xlName="_GBC_879832164ab04fbfbeed0aa4c4caa30d" concept="clcid-pte:QiTaSuoYouZheQuanYiNeiBuJieZhuanDaoZhiQiTaQuanYiGongJuZhongDeYongXuZhaiBianDongJinE" label="其他所有者权益内部结转导致其他权益工具中的永续债变动金额" periodRef="上年同期数" mulRef="_GBC_048773409e614c6bb753000b028316a5" unitRef="_GBC_5214b7a188334da286fc3038d017d072" addr="T3R25C3S1_1" formatStyle="Comma">
          <m:axisValue occRef="母公司"/>
        </m:item>
        <m:item xlName="_GBC_dbb50a3f61644c2e8decf458bcff3c76" concept="clcid-pte:QiTaSuoYouZheQuanYiNeiBuJieZhuanDaoZhiQiTaQuanYiGongJuZhongDeQiTaBianDongJinE" label="其他所有者权益内部结转导致其他权益工具中的其他变动金额" periodRef="上年同期数" mulRef="_GBC_048773409e614c6bb753000b028316a5" unitRef="_GBC_5214b7a188334da286fc3038d017d072" addr="T3R25C4S1_1" formatStyle="Comma">
          <m:axisValue occRef="母公司"/>
        </m:item>
        <m:item xlName="_GBC_0c51e5e8f7334405b570dd76f054f70b" concept="clcid-pte:QiTaSuoYouZheQuanYiNeiBuJieZhuanDaoZhiZiBenGongJiBianDongJinE" label="其他所有者权益内部结转导致资本公积变动金额" periodRef="上年同期数" mulRef="_GBC_048773409e614c6bb753000b028316a5" unitRef="_GBC_5214b7a188334da286fc3038d017d072" addr="T3R25C5S1_1" formatStyle="Comma">
          <m:axisValue occRef="母公司"/>
        </m:item>
        <m:item xlName="_GBC_ad30c2841c6d4d62ad5a542fe4890288" concept="clcid-pte:QiTaSuoYouZheQuanYiNeiBuJieZhuanDaoZhiKuCunGuBianDongJinE" label="其他所有者权益内部结转导致库存股变动金额" periodRef="上年同期数" mulRef="_GBC_048773409e614c6bb753000b028316a5" unitRef="_GBC_5214b7a188334da286fc3038d017d072" addr="T3R25C6S1_1" baseScale="-1" formatStyle="Comma">
          <m:axisValue occRef="母公司"/>
        </m:item>
        <m:item xlName="_GBC_22a932ac8bbf4536be6fa025c80654b0" concept="clcid-pte:QiTaSuoYouZheQuanYiNeiBuJieZhuanDaoZhiQiTaZongHeShouYiBianDongJinE" label="其他所有者权益内部结转导致其他综合收益变动金额" periodRef="上年同期数" mulRef="_GBC_048773409e614c6bb753000b028316a5" unitRef="_GBC_5214b7a188334da286fc3038d017d072" addr="T3R25C7S1_1" formatStyle="Comma">
          <m:axisValue occRef="母公司"/>
        </m:item>
        <m:item xlName="_GBC_a7a16f94ecb141709928857e99f59fed" concept="clcid-pte:QiTaSuoYouZheQuanYiNeiBuJieZhuanDaoZhiZhuanXiangChuBeiBianDongJinE" label="其他所有者权益内部结转导致专项储备变动金额" periodRef="上年同期数" mulRef="_GBC_048773409e614c6bb753000b028316a5" unitRef="_GBC_5214b7a188334da286fc3038d017d072" addr="T3R25C8S1_1" formatStyle="Comma">
          <m:axisValue occRef="母公司"/>
        </m:item>
        <m:item xlName="_GBC_82c988a762ef46dd93fcb145404f87cb" concept="clcid-pte:QiTaSuoYouZheQuanYiNeiBuJieZhuanDaoZhiYingYuGongJiBianDongJinE" label="其他所有者权益内部结转导致盈余公积变动金额" periodRef="上年同期数" mulRef="_GBC_048773409e614c6bb753000b028316a5" unitRef="_GBC_5214b7a188334da286fc3038d017d072" addr="T3R25C9S1_1" formatStyle="Comma">
          <m:axisValue occRef="母公司"/>
        </m:item>
        <m:item xlName="_GBC_25e2a45c609f48e29488a6b0a64e04a9" concept="clcid-pte:QiTaSuoYouZheQuanYiNeiBuJieZhuanDaoZhiWeiFenPeiLiRunBianDongJinE" label="其他所有者权益内部结转导致未分配利润变动金额" periodRef="上年同期数" mulRef="_GBC_048773409e614c6bb753000b028316a5" unitRef="_GBC_5214b7a188334da286fc3038d017d072" addr="T3R25C10S1_1" formatStyle="Comma">
          <m:axisValue occRef="母公司"/>
        </m:item>
        <m:item xlName="_GBC_fe8ccc36ead64650ada8b8fa5be5ab7d" concept="clcid-pte:QiTaSuoYouZheQuanYiNeiBuJieZhuanDaoZhiGuDongQuanYiHeJiBianDongJinE" label="其他所有者权益内部结转导致股东权益合计变动金额" periodRef="上年同期数" mulRef="_GBC_048773409e614c6bb753000b028316a5" unitRef="_GBC_5214b7a188334da286fc3038d017d072" addr="T3R25C11S1_1" formatStyle="Comma">
          <m:axisValue occRef="母公司"/>
        </m:item>
        <m:placeholder xlName="_PLD_b6b13ecec0044452bf1609cb679a8ac5" wordText="（五）专项储备" addr="T3R26C0S1_1"/>
        <m:item xlName="_GBC_16423acb42694b0695a2b2cafbbef02a" concept="clcid-pte:ZhuanXiangChuBeiDaoZhiShiShouZiBenHuoGuBenJingEBianDongJinE" label="专项储备导致实收资本（或股本）净额变动金额" periodRef="上年同期数" mulRef="_GBC_048773409e614c6bb753000b028316a5" unitRef="_GBC_5214b7a188334da286fc3038d017d072" addr="T3R26C1S1_1" formatStyle="Comma">
          <m:complexRule comparator="Eq" title="母公司专项储备导致实收资本（或股本）净额变动金额@上年同期数" test=" $_GBC_d42b1b7466004cff9b9894673ba32ec4 -  $_GBC_07921bde4543446eb49d7816aa9085f8" id="Ca560d89d631544d1a73a73ce915df11c"/>
          <m:axisValue occRef="母公司"/>
        </m:item>
        <m:item xlName="_GBC_60b0f5bee3f44e29beb8767aaf542091" concept="clcid-pte:ZhuanXiangChuBeiDaoZhiQiTaQuanYiGongJuZhongDeYouXianGuBianDongJinE" label="专项储备导致其他权益工具中的优先股变动金额" periodRef="上年同期数" mulRef="_GBC_048773409e614c6bb753000b028316a5" unitRef="_GBC_5214b7a188334da286fc3038d017d072" addr="T3R26C2S1_1" formatStyle="Comma">
          <m:complexRule comparator="Eq" title="母公司专项储备导致其他权益工具中的优先股变动金额@上年同期数" test=" $_GBC_af3e9a3f720943edba9d52561c530a2e -  $_GBC_0899fc749554452f92eb05b272792215" id="Ce5f9bb7d3ead4d5c90a6a163ad2b486a"/>
          <m:axisValue occRef="母公司"/>
        </m:item>
        <m:item xlName="_GBC_f31181741e8e4e219c8b9691143ef81a" concept="clcid-pte:ZhuanXiangChuBeiDaoZhiQiTaQuanYiGongJuZhongDeYongXuZhaiBianDongJinE" label="专项储备导致其他权益工具中的永续债变动金额" periodRef="上年同期数" mulRef="_GBC_048773409e614c6bb753000b028316a5" unitRef="_GBC_5214b7a188334da286fc3038d017d072" addr="T3R26C3S1_1" formatStyle="Comma">
          <m:complexRule comparator="Eq" title="母公司专项储备导致其他权益工具中的永续债变动金额@上年同期数" test=" $_GBC_574f241d49014f96befc74c64cabae90 -  $_GBC_75a5cd845c8e42ac83faa919751a97d7" id="Cd310cfabff1e45a49054fd733c158bac"/>
          <m:axisValue occRef="母公司"/>
        </m:item>
        <m:item xlName="_GBC_08adf9ba44254d4d87885db813405685" concept="clcid-pte:ZhuanXiangChuBeiDaoZhiQiTaQuanYiGongJuZhongDeQiTaBianDongJinE" label="专项储备导致其他权益工具中的其他变动金额" periodRef="上年同期数" mulRef="_GBC_048773409e614c6bb753000b028316a5" unitRef="_GBC_5214b7a188334da286fc3038d017d072" addr="T3R26C4S1_1" formatStyle="Comma">
          <m:complexRule comparator="Eq" title="母公司专项储备导致其他权益工具中的其他变动金额@上年同期数" test=" $_GBC_a497914c83154d6db512aff70aa71d10 -  $_GBC_5478bfe0a4e8437a85a33dbdd0e83955" id="C5cbd9b8caf2e4111a56440156b256c5a"/>
          <m:axisValue occRef="母公司"/>
        </m:item>
        <m:item xlName="_GBC_3b000383778d4171b7d53dc7b1047036" concept="clcid-pte:ZhuanXiangChuBeiDaoZhiZiBenGongJiBianDongJinE" label="专项储备导致资本公积变动金额" periodRef="上年同期数" mulRef="_GBC_048773409e614c6bb753000b028316a5" unitRef="_GBC_5214b7a188334da286fc3038d017d072" addr="T3R26C5S1_1" formatStyle="Comma">
          <m:complexRule comparator="Eq" title="母公司专项储备导致资本公积变动金额@上年同期数" test=" $_GBC_5bfa1dfd49ba4c7889062ebbce0f984d -  $_GBC_ee1beb58d4f743589e4cc6fe1de4857f" id="C26d9d0329b554bc28b247d0ecb37b722"/>
          <m:axisValue occRef="母公司"/>
        </m:item>
        <m:item xlName="_GBC_0209c77ced654f8589e1c43c49062e08" concept="clcid-pte:ZhuanXiangChuBeiDaoZhiKuCunGuBianDongJinE" label="专项储备导致库存股变动金额" periodRef="上年同期数" mulRef="_GBC_048773409e614c6bb753000b028316a5" unitRef="_GBC_5214b7a188334da286fc3038d017d072" addr="T3R26C6S1_1" baseScale="-1" formatStyle="Comma">
          <m:complexRule comparator="Eq" title="母公司专项储备导致库存股变动金额@上年同期数" test=" $_GBC_8c60b1e530fc4237b0fd1df115cc1953 -  $_GBC_79fd122f2bdc4bddb02d63a63664b1ef" id="Cdff7b37b161b45c58c708732e56db3fc"/>
          <m:axisValue occRef="母公司"/>
        </m:item>
        <m:item xlName="_GBC_c0351e15d055493ea8e603a4ff5ef594" concept="clcid-pte:ZhuanXiangChuBeiDaoZhiQiTaZongHeShouYiBianDongJinE" label="专项储备导致其他综合收益变动金额" periodRef="上年同期数" mulRef="_GBC_048773409e614c6bb753000b028316a5" unitRef="_GBC_5214b7a188334da286fc3038d017d072" addr="T3R26C7S1_1" formatStyle="Comma">
          <m:complexRule comparator="Eq" title="母公司专项储备导致其他综合收益变动金额@上年同期数" test=" $_GBC_b454a79c4ad041f9b38f5cb31fb02846 -  $_GBC_515312e8f58d46fcb141a33ef470ffc7" id="C07c72226a4a44b589aa885d16c1af303"/>
          <m:axisValue occRef="母公司"/>
        </m:item>
        <m:item xlName="_GBC_fc574a847bc041af8f2298715be5a0fc" concept="clcid-pte:ZhuanXiangChuBeiDaoZhiZhuanXiangChuBeiBianDongJinE" label="专项储备导致专项储备变动金额" periodRef="上年同期数" mulRef="_GBC_048773409e614c6bb753000b028316a5" unitRef="_GBC_5214b7a188334da286fc3038d017d072" addr="T3R26C8S1_1" formatStyle="Comma">
          <m:complexRule comparator="Eq" title="母公司专项储备导致专项储备变动金额@上年同期数" test=" $_GBC_1265224a3ae24f2ba7f55a42e26a768e -  $_GBC_fb8f6dedd4dd4b1db6adc45ddf431787" id="Cfa10f102448646a7b508dcab67802acb"/>
          <m:axisValue occRef="母公司"/>
        </m:item>
        <m:item xlName="_GBC_a43bf81f3d4c446b9e25984a0b46d0d5" concept="clcid-pte:ZhuanXiangChuBeiDaoZhiYingYuGongJiBianDongJinE" label="专项储备导致盈余公积变动金额" periodRef="上年同期数" mulRef="_GBC_048773409e614c6bb753000b028316a5" unitRef="_GBC_5214b7a188334da286fc3038d017d072" addr="T3R26C9S1_1" formatStyle="Comma">
          <m:complexRule comparator="Eq" title="母公司专项储备导致盈余公积变动金额@上年同期数" test=" $_GBC_b26e4b07d5b44ae993d34be707e070de -  $_GBC_f0077688fbde4b90b023fa92155c9ee4" id="C00967702215b42d1bb701f53043004e4"/>
          <m:axisValue occRef="母公司"/>
        </m:item>
        <m:item xlName="_GBC_964a0481c188400891441b6e98e63b81" concept="clcid-pte:ZhuanXiangChuBeiDaoZhiWeiFenPeiLiRunBianDongJinE" label="专项储备导致未分配利润变动金额" periodRef="上年同期数" mulRef="_GBC_048773409e614c6bb753000b028316a5" unitRef="_GBC_5214b7a188334da286fc3038d017d072" addr="T3R26C10S1_1" formatStyle="Comma">
          <m:complexRule comparator="Eq" title="母公司专项储备导致未分配利润变动金额@上年同期数" test=" $_GBC_2af5bf5741af44a7b0eab574cc274132 -  $_GBC_d78855aa0d374cce9bfcebd9d8606bac" id="C34e4482451664145a0d0e732eafcb798"/>
          <m:axisValue occRef="母公司"/>
        </m:item>
        <m:item xlName="_GBC_6c058e4ea0bd48a1a046d188fdffedce" concept="clcid-pte:ZhuanXiangChuBeiDaoZhiGuDongQuanYiHeJiBianDongJinE" label="专项储备导致股东权益合计变动金额" periodRef="上年同期数" mulRef="_GBC_048773409e614c6bb753000b028316a5" unitRef="_GBC_5214b7a188334da286fc3038d017d072" addr="T3R26C11S1_1" formatStyle="Comma">
          <m:complexRule comparator="Eq" title="母公司专项储备导致股东权益合计变动金额@上年同期数" test=" $_GBC_989b4dbe92064a3f815763b785f59124 -  $_GBC_3e32d12c40e742948d631aa8f7778789" id="C84e7e42408cd43fbbb4dcd5a91527357"/>
          <m:axisValue occRef="母公司"/>
        </m:item>
        <m:placeholder xlName="_PLD_cbede54ab9934d5ea45cda3f59593c28" wordText="1．本期提取" addr="T3R27C0S1_1"/>
        <m:item xlName="_GBC_d42b1b7466004cff9b9894673ba32ec4" concept="clcid-pte:TiQuDaoZhiShiShouZiBenHuoGuBenJingEBianDongJinE" label="提取导致实收资本（或股本）净额变动金额" periodRef="上年同期数" mulRef="_GBC_048773409e614c6bb753000b028316a5" unitRef="_GBC_5214b7a188334da286fc3038d017d072" addr="T3R27C1S1_1" formatStyle="Comma">
          <m:axisValue occRef="母公司"/>
        </m:item>
        <m:item xlName="_GBC_af3e9a3f720943edba9d52561c530a2e" concept="clcid-pte:TiQuDaoZhiQiTaQuanYiGongJuZhongDeYouXianGuBianDongJinE" label="提取导致其他权益工具中的优先股变动金额" periodRef="上年同期数" mulRef="_GBC_048773409e614c6bb753000b028316a5" unitRef="_GBC_5214b7a188334da286fc3038d017d072" addr="T3R27C2S1_1" formatStyle="Comma">
          <m:axisValue occRef="母公司"/>
        </m:item>
        <m:item xlName="_GBC_574f241d49014f96befc74c64cabae90" concept="clcid-pte:TiQuDaoZhiQiTaQuanYiGongJuZhongDeYongXuZhaiBianDongJinE" label="提取导致其他权益工具中的永续债变动金额" periodRef="上年同期数" mulRef="_GBC_048773409e614c6bb753000b028316a5" unitRef="_GBC_5214b7a188334da286fc3038d017d072" addr="T3R27C3S1_1" formatStyle="Comma">
          <m:axisValue occRef="母公司"/>
        </m:item>
        <m:item xlName="_GBC_a497914c83154d6db512aff70aa71d10" concept="clcid-pte:TiQuDaoZhiQiTaQuanYiGongJuZhongDeQiTaBianDongJinE" label="提取导致其他权益工具中的其他变动金额" periodRef="上年同期数" mulRef="_GBC_048773409e614c6bb753000b028316a5" unitRef="_GBC_5214b7a188334da286fc3038d017d072" addr="T3R27C4S1_1" formatStyle="Comma">
          <m:axisValue occRef="母公司"/>
        </m:item>
        <m:item xlName="_GBC_5bfa1dfd49ba4c7889062ebbce0f984d" concept="clcid-pte:TiQuDaoZhiZiBenGongJiBianDongJinE" label="提取导致资本公积变动金额" periodRef="上年同期数" mulRef="_GBC_048773409e614c6bb753000b028316a5" unitRef="_GBC_5214b7a188334da286fc3038d017d072" addr="T3R27C5S1_1" formatStyle="Comma">
          <m:axisValue occRef="母公司"/>
        </m:item>
        <m:item xlName="_GBC_8c60b1e530fc4237b0fd1df115cc1953" concept="clcid-pte:TiQuDaoZhiKuCunGuBianDongJinE" label="提取导致库存股变动金额" periodRef="上年同期数" mulRef="_GBC_048773409e614c6bb753000b028316a5" unitRef="_GBC_5214b7a188334da286fc3038d017d072" addr="T3R27C6S1_1" baseScale="-1" formatStyle="Comma">
          <m:axisValue occRef="母公司"/>
        </m:item>
        <m:item xlName="_GBC_b454a79c4ad041f9b38f5cb31fb02846" concept="clcid-pte:TiQuDaoZhiQiTaZongHeShouYiBianDongJinE" label="提取导致其他综合收益变动金额" periodRef="上年同期数" mulRef="_GBC_048773409e614c6bb753000b028316a5" unitRef="_GBC_5214b7a188334da286fc3038d017d072" addr="T3R27C7S1_1" formatStyle="Comma">
          <m:axisValue occRef="母公司"/>
        </m:item>
        <m:item xlName="_GBC_1265224a3ae24f2ba7f55a42e26a768e" concept="clcid-pte:TiQuDaoZhiZhuanXiangChuBeiBianDongJinE" label="提取导致专项储备变动金额" periodRef="上年同期数" mulRef="_GBC_048773409e614c6bb753000b028316a5" unitRef="_GBC_5214b7a188334da286fc3038d017d072" addr="T3R27C8S1_1" formatStyle="Comma">
          <m:axisValue occRef="母公司"/>
        </m:item>
        <m:item xlName="_GBC_b26e4b07d5b44ae993d34be707e070de" concept="clcid-pte:TiQuDaoZhiYingYuGongJiBianDongJinE" label="提取导致盈余公积变动金额" periodRef="上年同期数" mulRef="_GBC_048773409e614c6bb753000b028316a5" unitRef="_GBC_5214b7a188334da286fc3038d017d072" addr="T3R27C9S1_1" formatStyle="Comma">
          <m:axisValue occRef="母公司"/>
        </m:item>
        <m:item xlName="_GBC_2af5bf5741af44a7b0eab574cc274132" concept="clcid-pte:TiQuDaoZhiWeiFenPeiLiRunBianDongJinE" label="提取导致未分配利润变动金额" periodRef="上年同期数" mulRef="_GBC_048773409e614c6bb753000b028316a5" unitRef="_GBC_5214b7a188334da286fc3038d017d072" addr="T3R27C10S1_1" formatStyle="Comma">
          <m:axisValue occRef="母公司"/>
        </m:item>
        <m:item xlName="_GBC_989b4dbe92064a3f815763b785f59124" concept="clcid-pte:TiQuDaoZhiGuDongQuanYiHeJiBianDongJinE" label="提取导致股东权益合计变动金额" periodRef="上年同期数" mulRef="_GBC_048773409e614c6bb753000b028316a5" unitRef="_GBC_5214b7a188334da286fc3038d017d072" addr="T3R27C11S1_1" formatStyle="Comma">
          <m:axisValue occRef="母公司"/>
        </m:item>
        <m:placeholder xlName="_PLD_7900abe823e94277be091b3f1c7a54a5" wordText="2．本期使用" addr="T3R28C0S1_1"/>
        <m:item xlName="_GBC_07921bde4543446eb49d7816aa9085f8" concept="clcid-pte:ShiYongDaoZhiShiShouZiBenHuoGuBenJingEBianDongJinE" label="使用导致实收资本（或股本）净额变动金额" periodRef="上年同期数" mulRef="_GBC_048773409e614c6bb753000b028316a5" unitRef="_GBC_5214b7a188334da286fc3038d017d072" addr="T3R28C1S1_1" formatStyle="Comma">
          <m:axisValue occRef="母公司"/>
        </m:item>
        <m:item xlName="_GBC_0899fc749554452f92eb05b272792215" concept="clcid-pte:ShiYongDaoZhiQiTaQuanYiGongJuZhongDeYouXianGuBianDongJinE" label="使用导致其他权益工具中的优先股变动金额" periodRef="上年同期数" mulRef="_GBC_048773409e614c6bb753000b028316a5" unitRef="_GBC_5214b7a188334da286fc3038d017d072" addr="T3R28C2S1_1" formatStyle="Comma">
          <m:axisValue occRef="母公司"/>
        </m:item>
        <m:item xlName="_GBC_75a5cd845c8e42ac83faa919751a97d7" concept="clcid-pte:ShiYongDaoZhiQiTaQuanYiGongJuZhongDeYongXuZhaiBianDongJinE" label="使用导致其他权益工具中的永续债变动金额" periodRef="上年同期数" mulRef="_GBC_048773409e614c6bb753000b028316a5" unitRef="_GBC_5214b7a188334da286fc3038d017d072" addr="T3R28C3S1_1" formatStyle="Comma">
          <m:axisValue occRef="母公司"/>
        </m:item>
        <m:item xlName="_GBC_5478bfe0a4e8437a85a33dbdd0e83955" concept="clcid-pte:ShiYongDaoZhiQiTaQuanYiGongJuZhongDeQiTaBianDongJinE" label="使用导致其他权益工具中的其他变动金额" periodRef="上年同期数" mulRef="_GBC_048773409e614c6bb753000b028316a5" unitRef="_GBC_5214b7a188334da286fc3038d017d072" addr="T3R28C4S1_1" formatStyle="Comma">
          <m:axisValue occRef="母公司"/>
        </m:item>
        <m:item xlName="_GBC_ee1beb58d4f743589e4cc6fe1de4857f" concept="clcid-pte:ShiYongDaoZhiZiBenGongJiBianDongJinE" label="使用导致资本公积变动金额" periodRef="上年同期数" mulRef="_GBC_048773409e614c6bb753000b028316a5" unitRef="_GBC_5214b7a188334da286fc3038d017d072" addr="T3R28C5S1_1" formatStyle="Comma">
          <m:axisValue occRef="母公司"/>
        </m:item>
        <m:item xlName="_GBC_79fd122f2bdc4bddb02d63a63664b1ef" concept="clcid-pte:ShiYongDaoZhiKuCunGuBianDongJinE" label="使用导致库存股变动金额" periodRef="上年同期数" mulRef="_GBC_048773409e614c6bb753000b028316a5" unitRef="_GBC_5214b7a188334da286fc3038d017d072" addr="T3R28C6S1_1" baseScale="-1" formatStyle="Comma">
          <m:axisValue occRef="母公司"/>
        </m:item>
        <m:item xlName="_GBC_515312e8f58d46fcb141a33ef470ffc7" concept="clcid-pte:ShiYongDaoZhiQiTaZongHeShouYiBianDongJinE" label="使用导致其他综合收益变动金额" periodRef="上年同期数" mulRef="_GBC_048773409e614c6bb753000b028316a5" unitRef="_GBC_5214b7a188334da286fc3038d017d072" addr="T3R28C7S1_1" formatStyle="Comma">
          <m:axisValue occRef="母公司"/>
        </m:item>
        <m:item xlName="_GBC_fb8f6dedd4dd4b1db6adc45ddf431787" concept="clcid-pte:ShiYongDaoZhiZhuanXiangChuBeiBianDongJinE" label="使用导致专项储备变动金额" periodRef="上年同期数" mulRef="_GBC_048773409e614c6bb753000b028316a5" unitRef="_GBC_5214b7a188334da286fc3038d017d072" addr="T3R28C8S1_1" formatStyle="Comma">
          <m:axisValue occRef="母公司"/>
        </m:item>
        <m:item xlName="_GBC_f0077688fbde4b90b023fa92155c9ee4" concept="clcid-pte:ShiYongDaoZhiYingYuGongJiBianDongJinE" label="使用导致盈余公积变动金额" periodRef="上年同期数" mulRef="_GBC_048773409e614c6bb753000b028316a5" unitRef="_GBC_5214b7a188334da286fc3038d017d072" addr="T3R28C9S1_1" formatStyle="Comma">
          <m:axisValue occRef="母公司"/>
        </m:item>
        <m:item xlName="_GBC_d78855aa0d374cce9bfcebd9d8606bac" concept="clcid-pte:ShiYongDaoZhiWeiFenPeiLiRunBianDongJinE" label="使用导致未分配利润变动金额" periodRef="上年同期数" mulRef="_GBC_048773409e614c6bb753000b028316a5" unitRef="_GBC_5214b7a188334da286fc3038d017d072" addr="T3R28C10S1_1" formatStyle="Comma">
          <m:axisValue occRef="母公司"/>
        </m:item>
        <m:item xlName="_GBC_3e32d12c40e742948d631aa8f7778789" concept="clcid-pte:ShiYongDaoZhiGuDongQuanYiHeJiBianDongJinE" label="使用导致股东权益合计变动金额" periodRef="上年同期数" mulRef="_GBC_048773409e614c6bb753000b028316a5" unitRef="_GBC_5214b7a188334da286fc3038d017d072" addr="T3R28C11S1_1" formatStyle="Comma">
          <m:axisValue occRef="母公司"/>
        </m:item>
        <m:placeholder xlName="_PLD_7cf659a70268475ea7233d8b82adad5a" wordText="（六）其他" addr="T3R29C0S1_1"/>
        <m:item xlName="_GBC_71a27117a2ae4eba9f1467134211f92b" concept="clcid-pte:QiTaDaoZhiShiShouZiBenHuoGuBenJingEBianDongJinE" label="其他导致实收资本（或股本）净额变动金额" periodRef="上年同期数" mulRef="_GBC_048773409e614c6bb753000b028316a5" unitRef="_GBC_5214b7a188334da286fc3038d017d072" addr="T3R29C1S1_1" formatStyle="Comma">
          <m:axisValue occRef="母公司"/>
        </m:item>
        <m:item xlName="_GBC_cdae179ccd124b27a2863808a4ab6b53" concept="clcid-pte:QiTaDaoZhiQiTaQuanYiGongJuZhongDeYouXianGuBianDongJinE" label="其他导致其他权益工具中的优先股变动金额" periodRef="上年同期数" mulRef="_GBC_048773409e614c6bb753000b028316a5" unitRef="_GBC_5214b7a188334da286fc3038d017d072" addr="T3R29C2S1_1" formatStyle="Comma">
          <m:axisValue occRef="母公司"/>
        </m:item>
        <m:item xlName="_GBC_db2da6802d9c4534bd4a125a4a2b8a6e" concept="clcid-pte:QiTaDaoZhiQiTaQuanYiGongJuZhongDeYongXuZhaiBianDongJinE" label="其他导致其他权益工具中的永续债变动金额" periodRef="上年同期数" mulRef="_GBC_048773409e614c6bb753000b028316a5" unitRef="_GBC_5214b7a188334da286fc3038d017d072" addr="T3R29C3S1_1" formatStyle="Comma">
          <m:axisValue occRef="母公司"/>
        </m:item>
        <m:item xlName="_GBC_c632a3243e4941b48477298ae28e0975" concept="clcid-pte:QiTaDaoZhiQiTaQuanYiGongJuZhongDeQiTaBianDongJinE" label="其他导致其他权益工具中的其他变动金额" periodRef="上年同期数" mulRef="_GBC_048773409e614c6bb753000b028316a5" unitRef="_GBC_5214b7a188334da286fc3038d017d072" addr="T3R29C4S1_1" formatStyle="Comma">
          <m:axisValue occRef="母公司"/>
        </m:item>
        <m:item xlName="_GBC_af9fea912b3242869b1e3170aede5d07" concept="clcid-pte:QiTaDaoZhiZiBenGongJiBianDongJinE" label="其他导致资本公积变动金额" periodRef="上年同期数" mulRef="_GBC_048773409e614c6bb753000b028316a5" unitRef="_GBC_5214b7a188334da286fc3038d017d072" addr="T3R29C5S1_1" formatStyle="Comma">
          <m:axisValue occRef="母公司"/>
        </m:item>
        <m:item xlName="_GBC_07493c16ad40469593169c9f0d17f41d" concept="clcid-pte:QiTaDaoZhiKuCunGuBianDongJinE" label="其他导致库存股变动金额" periodRef="上年同期数" mulRef="_GBC_048773409e614c6bb753000b028316a5" unitRef="_GBC_5214b7a188334da286fc3038d017d072" addr="T3R29C6S1_1" baseScale="-1" formatStyle="Comma">
          <m:axisValue occRef="母公司"/>
        </m:item>
        <m:item xlName="_GBC_77a0dba7bd3f4de6b5a9a804c3a55173" concept="clcid-pte:QiTaDaoZhiQiTaZongHeShouYiBianDongJinE" label="其他导致其他综合收益变动金额" periodRef="上年同期数" mulRef="_GBC_048773409e614c6bb753000b028316a5" unitRef="_GBC_5214b7a188334da286fc3038d017d072" addr="T3R29C7S1_1" formatStyle="Comma">
          <m:axisValue occRef="母公司"/>
        </m:item>
        <m:item xlName="_GBC_bf060dfc588a48949fa9fdd4b1978a2c" concept="clcid-pte:QiTaDaoZhiZhuanXiangChuBeiBianDongJinE" label="其他导致专项储备变动金额" periodRef="上年同期数" mulRef="_GBC_048773409e614c6bb753000b028316a5" unitRef="_GBC_5214b7a188334da286fc3038d017d072" addr="T3R29C8S1_1" formatStyle="Comma">
          <m:axisValue occRef="母公司"/>
        </m:item>
        <m:item xlName="_GBC_272be9a209e44c10b11e86a90487a9e1" concept="clcid-pte:QiTaDaoZhiYingYuGongJiBianDongJinE" label="其他导致盈余公积变动金额" periodRef="上年同期数" mulRef="_GBC_048773409e614c6bb753000b028316a5" unitRef="_GBC_5214b7a188334da286fc3038d017d072" addr="T3R29C9S1_1" formatStyle="Comma">
          <m:axisValue occRef="母公司"/>
        </m:item>
        <m:item xlName="_GBC_a7e13d85a61840a8ac4aedcdd3303cdd" concept="clcid-pte:QiTaDaoZhiWeiFenPeiLiRunBianDongJinE" label="其他导致未分配利润变动金额" periodRef="上年同期数" mulRef="_GBC_048773409e614c6bb753000b028316a5" unitRef="_GBC_5214b7a188334da286fc3038d017d072" addr="T3R29C10S1_1" formatStyle="Comma">
          <m:axisValue occRef="母公司"/>
        </m:item>
        <m:item xlName="_GBC_1115ce83c5b54592aadda82104dd1cd7" concept="clcid-pte:QiTaDaoZhiGuDongQuanYiHeJiBianDongJinE" label="其他导致股东权益合计变动金额" periodRef="上年同期数" mulRef="_GBC_048773409e614c6bb753000b028316a5" unitRef="_GBC_5214b7a188334da286fc3038d017d072" addr="T3R29C11S1_1" formatStyle="Comma">
          <m:axisValue occRef="母公司"/>
        </m:item>
        <m:placeholder xlName="_PLD_56eacf5a90be4746898504dda5c8a2c0" wordText="四、本期期末余额" addr="T3R30C0S1_1"/>
        <m:item xlName="_GBC_be99164bc6754894808d9f31b7d5a3ce" concept="clcid-pte:GuBen" label="股本" periodRef="上年同期期末数" mulRef="_GBC_048773409e614c6bb753000b028316a5" unitRef="_GBC_5214b7a188334da286fc3038d017d072" addr="T3R30C1S1_1" formatStyle="Comma">
          <m:complexRule comparator="Eq" title="母公司股本@上年同期期末数" test=" $_GBC_ed68e83375594749990463f5b8c17bfb +  $_GBC_6cad44428de44320a370f98eaa864837" id="C0cb3089385f1422e8fe68cd3508350f0"/>
          <m:axisValue occRef="母公司"/>
        </m:item>
        <m:item xlName="_GBC_4f2b8fbe744540319940bb01b22bc445" concept="clcid-pte:QiTaQuanYiGongJuQiZhongYouXianGu" label="其他权益工具-其中：优先股" periodRef="上年同期期末数" mulRef="_GBC_048773409e614c6bb753000b028316a5" unitRef="_GBC_5214b7a188334da286fc3038d017d072" addr="T3R30C2S1_1" formatStyle="Comma">
          <m:complexRule comparator="Eq" title="母公司其他权益工具-其中：优先股@上年同期期末数" test=" $_GBC_9981b20be36f40e38defe22c50c0918e +  $_GBC_56eb48900f8947278ed7fe0cec36d691" id="C3d7a149ea15b4d01b8045e916ad99d74"/>
          <m:axisValue occRef="母公司"/>
        </m:item>
        <m:item xlName="_GBC_051497d8fd6e4a2cb1cfdaee3f94d3dc" concept="clcid-pte:QiTaQuanYiGongJuYongXuZhai" label="其他权益工具-永续债" periodRef="上年同期期末数" mulRef="_GBC_048773409e614c6bb753000b028316a5" unitRef="_GBC_5214b7a188334da286fc3038d017d072" addr="T3R30C3S1_1" formatStyle="Comma">
          <m:complexRule comparator="Eq" title="母公司其他权益工具-永续债@上年同期期末数" test=" $_GBC_1aa9e8fd34ea4cd1a9685c1bc0bb8293 +  $_GBC_a148b32997e24452b93a726beaee97c3" id="C810e370258a1411cac496181ae7df19b"/>
          <m:axisValue occRef="母公司"/>
        </m:item>
        <m:item xlName="_GBC_65e9aa85a0134244afe0cf60975c863d" concept="clcid-pte:QiTaQuanYiGongJuQiTa" label="其他权益工具-其他" periodRef="上年同期期末数" mulRef="_GBC_048773409e614c6bb753000b028316a5" unitRef="_GBC_5214b7a188334da286fc3038d017d072" addr="T3R30C4S1_1" formatStyle="Comma">
          <m:complexRule comparator="Eq" title="母公司其他权益工具-其他@上年同期期末数" test=" $_GBC_119fac0b1d8e4e5083b2dc305f9139de +  $_GBC_d8448fdaaab84ea0b5d6106800969da3" id="C3881dc8bcf87406e8efa998b28a2e318"/>
          <m:axisValue occRef="母公司"/>
        </m:item>
        <m:item xlName="_GBC_4bec7a0c51fd4f2c804bc26d32cbcd67" concept="clcid-pte:ZiBenGongJi" label="资本公积" periodRef="上年同期期末数" mulRef="_GBC_048773409e614c6bb753000b028316a5" unitRef="_GBC_5214b7a188334da286fc3038d017d072" addr="T3R30C5S1_1" formatStyle="Comma">
          <m:complexRule comparator="Eq" title="母公司资本公积@上年同期期末数" test=" $_GBC_b4e703d2c1df42c6b0fdda6cb9013f80 +  $_GBC_5303902d83c74b30815e6f89666742d1" id="C1bd648f0595e4adc89d675bd1037abb3"/>
          <m:axisValue occRef="母公司"/>
        </m:item>
        <m:item xlName="_GBC_7837edf6c4f944bd854a84a6d6988115" concept="clcid-pte:KuCunGu" label="库存股" periodRef="上年同期期末数" mulRef="_GBC_048773409e614c6bb753000b028316a5" unitRef="_GBC_5214b7a188334da286fc3038d017d072" addr="T3R30C6S1_1" baseScale="-1" formatStyle="Comma">
          <m:complexRule comparator="Eq" title="母公司库存股@上年同期期末数" test=" $_GBC_9a28a9201523489b945dfcf1b66bda05 +  $_GBC_e40a288ce3a14dd5a5c521ad781dd8d8" id="C9c70932e916b4487afeec50a16b74795"/>
          <m:axisValue occRef="母公司"/>
        </m:item>
        <m:item xlName="_GBC_9ebbd78ed9ad4fd19efc1a6f2fc5b26f" concept="clcid-pte:QiTaZongHeShouYiZiChanFuZhaiBiaoXiangMu" label="其他综合收益（资产负债表项目）" periodRef="上年同期期末数" mulRef="_GBC_048773409e614c6bb753000b028316a5" unitRef="_GBC_5214b7a188334da286fc3038d017d072" addr="T3R30C7S1_1" formatStyle="Comma">
          <m:complexRule comparator="Eq" title="母公司其他综合收益（资产负债表项目）@上年同期期末数" test=" $_GBC_fb9d19f3591647569090b0f835b4542a +  $_GBC_1e69fad3306d48a8a86e741b472ef4f5" id="C206cb43f2e02429fb102af3ae8e8f3dd"/>
          <m:axisValue occRef="母公司"/>
        </m:item>
        <m:item xlName="_GBC_f1716e2c86364ffd9a8ca3852da24352" concept="clcid-pte:ZhuanXiangChuBei" label="专项储备" periodRef="上年同期期末数" mulRef="_GBC_048773409e614c6bb753000b028316a5" unitRef="_GBC_5214b7a188334da286fc3038d017d072" addr="T3R30C8S1_1" formatStyle="Comma">
          <m:complexRule comparator="Eq" title="母公司专项储备@上年同期期末数" test=" $_GBC_5d3a95a2a57b485cbe5fb78e893a7739 +  $_GBC_cf624f5447de4e0ea1c8e6586499f70d" id="C91b623a7a6064af6a5de3cbad8cfbb9a"/>
          <m:axisValue occRef="母公司"/>
        </m:item>
        <m:item xlName="_GBC_877a978213b84cbb93abc4b6fef17cd9" concept="clcid-pte:YingYuGongJi" label="盈余公积" periodRef="上年同期期末数" mulRef="_GBC_048773409e614c6bb753000b028316a5" unitRef="_GBC_5214b7a188334da286fc3038d017d072" addr="T3R30C9S1_1" formatStyle="Comma">
          <m:complexRule comparator="Eq" title="母公司盈余公积@上年同期期末数" test=" $_GBC_a26d138497b24e9cafc3b71845071d26 +  $_GBC_4c71e5d6dbea45a6b01ee55be204d29e" id="Cb1d94a8fe21b4e1fbb001df6c0c12bc3"/>
          <m:axisValue occRef="母公司"/>
        </m:item>
        <m:item xlName="_GBC_e98ccb6ea3e148279ba9025302cc04fc" concept="clcid-pte:WeiFenPeiLiRun" label="未分配利润" periodRef="上年同期期末数" mulRef="_GBC_048773409e614c6bb753000b028316a5" unitRef="_GBC_5214b7a188334da286fc3038d017d072" addr="T3R30C10S1_1" formatStyle="Comma">
          <m:complexRule comparator="Eq" title="母公司未分配利润@上年同期期末数" test=" $_GBC_19aa1f7f367b45779e928cbb4f3b54d7 +  $_GBC_eaaa50e1ddcf4ca2a41500effe5a3183" id="C269b928ce04d4a93a7363b3e6ee2761e"/>
          <m:axisValue occRef="母公司"/>
        </m:item>
        <m:item xlName="_GBC_bb953d41b7474a6a9306e2072ea08354" concept="clcid-pte:GuDongQuanYiHeJi" label="股东权益合计" periodRef="上年同期期末数" mulRef="_GBC_048773409e614c6bb753000b028316a5" unitRef="_GBC_5214b7a188334da286fc3038d017d072" addr="T3R30C11S1_1" formatStyle="Comma">
          <m:complexRule comparator="Eq" title="母公司股东权益合计@上年同期期末数" test=" $_GBC_d90a3c9b2c0644ffae294a2dac101ddf +  $_GBC_b60345e251794508b9f2ca462fa333c5" id="C1044b99dd1c84e528346791f55787b02"/>
          <m:axisValue occRef="母公司"/>
        </m:item>
        <m:item xlName="_GBC_6042a2c12168484781348969a4da3e4c" concept="clcid-mr:GongSiFuZeRenXingMing" label="公司负责人姓名" binding="true"/>
        <m:item xlName="_GBC_3008dab61aca43f0a6d82ef192943e79" concept="clcid-mr:ZhuGuanKuaiJiGongZuoFuZeRenXingMing" label="主管会计工作负责人姓名" binding="true"/>
        <m:item xlName="_GBC_e6c21b270080402ca8dbdc0cab514bde" concept="clcid-mr:KuaiJiJiGouFuZeRenXingMing" label="会计机构负责人姓名" binding="true"/>
        <m:placeholder xlName="_PLD_23da88a491b84ef994f7c2c77972c94a" wordText="3．股份支付计入所有者权益的金额"/>
        <m:item xlName="_GBC_923de8e749374cc0bf5b98b85edb9d6f" pickName="" concept="" periodRef="上年同期数" mulRef="_GBC_048773409e614c6bb753000b028316a5" unitRef="_GBC_5214b7a188334da286fc3038d017d072" formatStyle="Comma">
          <m:extendConcept standardLabel="4.同一控制下企业合并影响实收资本 (或股本)" preferredLabel="4.同一控制下企业合并影响" referenceConcept="clcid-pte:GuFenZhiFuJiRuSuoYouZheQuanYiDeJinEDaoZhiShiShouZiBenHuoGuBenJingEBianDongJinE"/>
          <m:axisValue occRef="母公司"/>
        </m:item>
        <m:item xlName="_GBC_6383953fba8a4a00818bbdcd64850f07" pickName="" concept="" periodRef="上年同期数" mulRef="_GBC_048773409e614c6bb753000b028316a5" unitRef="_GBC_5214b7a188334da286fc3038d017d072" formatStyle="Comma">
          <m:extendConcept standardLabel="4.同一控制下企业合并影响资本公积" preferredLabel="4.同一控制下企业合并影响" referenceConcept="clcid-pte:GuFenZhiFuJiRuSuoYouZheQuanYiDeJinEDaoZhiZiBenGongJiBianDongJinE"/>
          <m:axisValue occRef="母公司"/>
        </m:item>
        <m:item xlName="_GBC_4b54f9240a5d488d9733ee6b480ded24" pickName="" concept="" periodRef="上年同期数" mulRef="_GBC_048773409e614c6bb753000b028316a5" unitRef="_GBC_5214b7a188334da286fc3038d017d072" formatStyle="Comma">
          <m:extendConcept standardLabel="4.同一控制下企业合并影响其他综合收益" preferredLabel="4.同一控制下企业合并影响" referenceConcept="clcid-pte:GuFenZhiFuJiRuSuoYouZheQuanYiDeJinEDaoZhiQiTaZongHeShouYiBianDongJinE"/>
          <m:axisValue occRef="母公司"/>
        </m:item>
        <m:item xlName="_GBC_0c6fdad397064844a2512d4a831f5cb9" pickName="" concept="" periodRef="上年同期数" mulRef="_GBC_048773409e614c6bb753000b028316a5" unitRef="_GBC_5214b7a188334da286fc3038d017d072" formatStyle="Comma">
          <m:extendConcept standardLabel="4.同一控制下企业合并影响专项储备" preferredLabel="4.同一控制下企业合并影响" referenceConcept="clcid-pte:GuFenZhiFuJiRuSuoYouZheQuanYiDeJinEDaoZhiZhuanXiangChuBeiBianDongJinE"/>
          <m:axisValue occRef="母公司"/>
        </m:item>
        <m:item xlName="_GBC_d60dd59bac1647b696384275befac9aa" pickName="" concept="" periodRef="上年同期数" mulRef="_GBC_048773409e614c6bb753000b028316a5" unitRef="_GBC_5214b7a188334da286fc3038d017d072" formatStyle="Comma">
          <m:extendConcept standardLabel="4.同一控制下企业合并影响盈余公积" preferredLabel="4.同一控制下企业合并影响" referenceConcept="clcid-pte:GuFenZhiFuJiRuSuoYouZheQuanYiDeJinEDaoZhiYingYuGongJiBianDongJinE"/>
          <m:axisValue occRef="母公司"/>
        </m:item>
        <m:item xlName="_GBC_be13867066804b019fbc64ca993006d7" pickName="" concept="" periodRef="上年同期数" mulRef="_GBC_048773409e614c6bb753000b028316a5" unitRef="_GBC_5214b7a188334da286fc3038d017d072" formatStyle="Comma">
          <m:extendConcept standardLabel="4.同一控制下企业合并影响未分配利润" preferredLabel="4.同一控制下企业合并影响" referenceConcept="clcid-pte:GuFenZhiFuJiRuSuoYouZheQuanYiDeJinEDaoZhiWeiFenPeiLiRunBianDongJinE"/>
          <m:axisValue occRef="母公司"/>
        </m:item>
        <m:item xlName="_GBC_8f634cd3530e40808d921fbf5f4b56cc" pickName="" concept="" periodRef="上年同期数" mulRef="_GBC_048773409e614c6bb753000b028316a5" unitRef="_GBC_5214b7a188334da286fc3038d017d072" formatStyle="Comma">
          <m:extendConcept standardLabel="4.同一控制下企业合并影响所有者权益合计" preferredLabel="4.同一控制下企业合并影响" referenceConcept="clcid-pte:GuFenZhiFuJiRuSuoYouZheQuanYiDeJinEDaoZhiGuDongQuanYiHeJiBianDongJinE"/>
          <m:axisValue occRef="母公司"/>
        </m:item>
      </m:region>
    </m:section>
    <m:section xlName="_SEC_33bf4bd2f94147df9d7dc077fea673f3" title="无需编制合并报表" checkKey="!合并" primarySection="_GBC_3b1dcbfa33024cc0a5c2f3d693817342" optionText="无需编制合并报表" optionGroupTitle="是否需要合并报表" optionTargetConcept="clcid-ci-ar:ShiFouXuYaoHeBingBaoBiao" optionTargetConceptValue="false" keyAction="57" otherKeyActions="{&quot;KeyCode&quot;:&quot;2&quot;,&quot;KeyAction&quot;:42,&quot;KeyActionTitle&quot;:null,&quot;OtherActions&quot;:null}"/>
    <m:section xlName="_GBC_c49d72d4b04e4ead97addb731e9b6458" title="公司基本情况" ignorePeriod="1" convertSummaryRule="NoConvert" helpId="112001003" helpText="注：说明公司注册地、总部地址、业务性质、主要经营活动以及财务报告批准报出日。 \n注：简要说明本期的合并财务报表范围及其变化情况，并与“本附注八合并范围的变更” 、“本附注九、在其他主体中的权益”索引。"/>
    <m:section xlName="_GBC_6d12949d3695402592266a78137dcfb5" title="财务报表的编制基础" ignorePeriod="1" helpId="112001007"/>
    <m:section xlName="_GBC_69ae6baeacb44e8fa17b0b984abbf6ab" title="持续经营" ignorePeriod="1" helpId="112001008" helpText="注：公司应评价自报告期末起12个月的持续经营能力。评价结果表明对持续能力产生重大怀疑的，公司应披露导致对持续经营能力产生重大怀疑的因素以及公司拟采取的改善措施。"/>
    <m:section xlName="_GBC_03d97fea34d045cb980749ccc6860a5a" title="具体会计政策和会计估计提示" rules="R2015_R11_001" ignorePeriod="1" helpId="112001010" helpText="注：公司根据实际生产经营特点制定的具体会计政策和会计估计，应在本节开始部分对相关事项进行提示。"/>
    <m:section xlName="_GBC_a0afbb5b3a444bce84ee78a2a282cb28" title="遵循企业会计准则的声明" rules="" ignorePeriod="1" helpId="112001010"/>
    <m:section xlName="_GBC_2d7f332501c8461ea731797db5588ee5" title="会计期间" rules="" ignorePeriod="1" helpId="112001010"/>
    <m:section xlName="_GBC_b045784ca7904d52a060134ffec0d88c" title="营业周期" rules="" ignorePeriod="1" helpId="112001012" helpText="注：公司对营业周期不同于12个月，并以营业周期作为资产和负债的流动性划分标准的，应说明营业周期及确定依据。"/>
    <m:section xlName="_GBC_13b1061968754e20bebf2099281ed54f" title="记账本位币" rules="" ignorePeriod="1"/>
    <m:section xlName="_GBC_f44e1e76b2a3457ea36bc088adcbb4c3" title="同一控制下和非同一控制下企业合并的会计处理方法" rules="" ignorePeriod="1" convertSummaryRule="NoConvert"/>
    <m:section xlName="_GBC_c23be25e527044f689b710dabd312b04" title="合并财务报表的编制方法" rules="" ignorePeriod="1"/>
    <m:section xlName="_GBC_a6643877dd0341e39dee12c064dc6fdc" title="合营安排分类及共同经营会计处理方法" rules="" ignorePeriod="1"/>
    <m:section xlName="_GBC_9f2dfe6521c4434b9ad3e7bb1a8a52b7" title="现金及现金等价物的确定标准" rules="" ignorePeriod="1"/>
    <m:section xlName="_GBC_cff1e1487c3242a8a1be0ce9c2b7a554" title="外币业务和外币报表折算" rules="" ignorePeriod="1" convertSummaryRule="NoConvert" helpId="112001013" helpText="注：说明发生外币交易时折算汇率的确定方法、在资产负债表日外币货币性项目采用的折算方法、汇兑损益的处理方法以及外币报表折算的会计处理方法。"/>
    <m:section xlName="_GBC_4b3a058b038b41689d379e6a2726a904" title="金融工具" ignorePeriod="1" helpId="112001014" helpText="注：说明金融工具的分类、确认依据和计量方法，金融资产转移的确认依据和计量方法，金融负债终止确认条件，金融资产和金融负债的公允价值确定方法。"/>
    <m:section xlName="_SEC_362fa257dbf6485a955cc6289ec1ce23" title="应收票据的预期信用损失的确定方法及会计处理方法" helpId="112001015"/>
    <m:section xlName="_SEC_8c5112e0a6de47a6af2fe2c06199a1a9" title="应收账款的预期信用损失的确定方法及会计处理方法" helpId="112001015"/>
    <m:section xlName="_SEC_53a8085b738a461ab82c366601a4ec80" title="应收款项融资"/>
    <m:section xlName="_SEC_ef6a22d43b7f4cfca911abd1cd64c22b" title="其他应收款预期信用损失的确定方法及会计处理方法" helpId="112001015"/>
    <m:section xlName="_GBC_b0f90fdf6c7749dbb9bd3cde55d5c0c3" title="存货" ignorePeriod="1" helpId="112001016" helpText="注：说明存货类别，发出存货的计价方法，确定不同类别存货可变现净值的依据，存货的盘存制度以及低值易耗品和包装物的摊销方法。"/>
    <m:section xlName="_SEC_9bd5a4d97fa44c929350119c9f058793" title="合同资产的确认方法和减值测试方法" helpId="112001015"/>
    <m:section xlName="_SEC_360193ac6f414512ae2c1e2912c3ae6e" title="合同资产预期信用损失的确定方法及会计处理方法" helpId="112001015"/>
    <m:section xlName="_GBC_a1a86a762feb43c3bed478ce8a19ae7c" title="持有待售资产" ignorePeriod="1" helpId="112001017" helpText="注：说明划分为持有待售资产的确认标准。"/>
    <m:section xlName="_SEC_e844286f55704dad967ec5918d6d8015" title="债权投资" helpId="112001015"/>
    <m:section xlName="_SEC_c45e287df635454da1fc932b5d7bc19c" title="其他债权投资" helpId="112001015"/>
    <m:section xlName="_SEC_90d4e338ecdf40dbbf3e9d454acdaa20" title="长期应收款" helpId="112001015"/>
    <m:section xlName="_GBC_d82c12cf13554acd90dfb7880244798c" title="长期股权投资" ignorePeriod="1" helpId="112001018" helpText="注：说明共同控制、重要影响的判断标准，长期股权投资的初始投资成本确定、后续计量及损益确认方法。"/>
    <m:section xlName="_GBC_20b1c487c1e348188269523d7d980194" title="成本计量模式" checkKey="!公允价值计量&amp;!不适用" ignorePeriod="1" primarySection="_GBC_20b1c487c1e348188269523d7d980194" optionText="成本计量模式" activeContentOption="_GBC_6983d9e24ed54c18a335cb0386f36c2c" optionGroupTitle="投资性房地产计量模式" optionTargetConcept="clcid-pte:TouZiXingFangDiChanJiLiangMoShi" optionTargetConceptValue="成本计量模式"/>
    <m:section xlName="_GBC_2b2036270bc84711804cd256998442a6" title="公允价值计量模式" checkKey="!成本计量&amp;!不适用" ignorePeriod="1" primarySection="_GBC_20b1c487c1e348188269523d7d980194" optionText="公允价值计量模式" activeContentOption="_GBC_2b2036270bc84711804cd256998442a6" optionGroupTitle="投资性房地产计量模式" optionTargetConcept="clcid-pte:TouZiXingFangDiChanJiLiangMoShi" optionTargetConceptValue="公允价值计量模式"/>
    <m:section xlName="_GBC_6983d9e24ed54c18a335cb0386f36c2c" title="不适用" checkKey="!公允价值计量&amp;!成本计量" ignorePeriod="1" primarySection="_GBC_20b1c487c1e348188269523d7d980194" optionText="不适用" optionGroupTitle="投资性房地产计量模式" optionTargetConcept="clcid-pte:TouZiXingFangDiChanJiLiangMoShi" optionTargetConceptValue="不适用"/>
    <m:section xlName="_GBC_662771796da549e1b2a02fb7d497f077" title="固定资产确认条件" ignorePeriod="1" helpId="112001019"/>
    <m:section xlName="_GBC_7c749a57d4094b3386978c34c3487e2a" title="固定资产折旧方法" ignorePeriod="1" isSupervision="true" helpId="112001019" helpText="注：公司根据自身实际情况确定类别，一般包括房屋及建筑物、机器设备、电子设备、运输设备等。折旧方法有年限平均法、工作量法、双倍余额递减法、年数总和法，其他。如选择其他，请在文本框中说明。"/>
    <m:section xlName="_GBC_a1560089c32f441f92e145c3cdc25289" title="固定资产计价和折旧方法及减值准备的计提方法" ignorePeriod="1" convertSummaryRule="NoConvert" helpId="112001019" helpText="未执行新租赁准则的公司填写"/>
    <m:section xlName="_GBC_3eb5f960df3e47f0a4bf3af0bc67ca96" title="在建工程会计处理方法" ignorePeriod="1" convertSummaryRule="NoConvert" helpId="112001020" helpText="注：说明在建工程结转为固定资产的标准和时点。"/>
    <m:section xlName="_GBC_e3e4d07ea08d4589a9293563ea655b42" title="借款费用会计处理方法" ignorePeriod="1" convertSummaryRule="NoConvert" helpId="112001021" helpText="注：说明借款费用资本化的确认原则、资本化期间、暂停资本化期间、借款费用资本化率以及资本化金额的计算方法。"/>
    <m:section xlName="_GBC_0b83f813710f436286429917c8c39567" title="生物资产会计处理方法" ignorePeriod="1" convertSummaryRule="NoConvert" helpId="112001022" helpText="注：说明生物资产的分类及确定标准。各类生产性生物资产的使用寿命和预计净残值及其确定依据、折旧方法。采用公允价值模式的，说明选择公允价值计量的依据。"/>
    <m:section xlName="_GBC_ed738d1d51d04aad8efd3fb3e88bf021" title="油气资产会计处理方法" ignorePeriod="1" convertSummaryRule="NoConvert" helpId="112001023" helpText="注：说明与各类油气资产相关支出的资本化标准，各类油气资产的折耗或摊销方法，采矿许可证等执照费用的会计处理方法以及油气储量估计的判断依据等。"/>
    <m:section xlName="_SEC_c609e6522cb94604b2ba3e771a8bd22e" title="使用权资产"/>
    <m:section xlName="_GBC_0a8b293ff9e94173b2e385f4ef2a8c89" title="无形资产会计处理方法" ignorePeriod="1" convertSummaryRule="NoConvert" helpId="112001024"/>
    <m:section xlName="_GBC_da2f3f0531094e5e9dcd987c45223bec" title="非金融长期资产减值" ignorePeriod="1" helpId="112001025" helpText="注：说明长期股权投资、采用成本模式计量的投资性房地产、固定资产、在建工程、采用成本模式计量的生产性生物资产、油气资产、无形资产、商誉、等长期资产的减值测试方法及会计处理方法。"/>
    <m:section xlName="_GBC_fffe6f948ebb468ba812d16acce5c0b9" title="长期待摊费用会计处理方法" ignorePeriod="1" convertSummaryRule="NoConvert" helpId="112001026" helpText="注：说明长期待摊费用的性质、摊销方法及摊销年限。"/>
    <m:section xlName="_SEC_cf70b80a8aab43fe9ea65f35584a808d" title="合同负债"/>
    <m:section xlName="_GBC_8ec8855eb4d5447ab785e4bd4b0b73aa" title="职工薪酬" ignorePeriod="1"/>
    <m:section xlName="_SEC_59f78615a7b840fb9a34d42105d99413" title="租赁负债"/>
    <m:section xlName="_GBC_b5b71a4d3cc1425c80f55e751e7e18c2" title="预计负债会计处理方法" ignorePeriod="1" convertSummaryRule="NoConvert" helpId="112001027" helpText="注：说明预计负债的确认标准和各类预计负债的计量方法。"/>
    <m:section xlName="_GBC_5300d3ce4b5f4c1690fe13bde0a610e3" title="股份支付" ignorePeriod="1" helpId="112001028" helpText="注：说明股份支付计划的会计处理方法，包括修改或终止股份支付计划的相关会计处理。"/>
    <m:section xlName="_GBC_d3c9524999e647d78f354bb216cfb1aa" title="优先股、永续债" ignorePeriod="1" helpId="112001029" helpText="注：说明优先股、永续债等其他金融工具的会计处理方法。"/>
    <m:section xlName="_SEC_61f33e672a394985bb61a08db1fab3a1" title="收入确认和计量所采用的会计政策" helpText="注：说明收入确认和计量所采用的会计政策，以及对确定收入确认的时点和金额具有重大影响的判断以及判断的变更，包括确定履约进度的方法及采用该方法的原因、评估客户取得所转让商品控制权时点的相关判断，在确定交易价格、估计计入交易价格的可变对价、分摊交易价格以及计量预期将退还给客户的款项等类似义务时所采用的方法等。同类业务因采用不同经营模式导致收入确认会计政策存在差异的，应当分别披露。"/>
    <m:section xlName="_SEC_502969bc54cf47dd9cfa68a9ddc4e556" title="同类业务采用不同经营模式导致收入确认会计政策存在差异的情况" helpText="注：说明收入确认和计量所采用的会计政策，以及对确定收入确认的时点和金额具有重大影响的判断以及判断的变更，包括确定履约进度的方法及采用该方法的原因、评估客户取得所转让商品控制权时点的相关判断，在确定交易价格、估计计入交易价格的可变对价、分摊交易价格以及计量预期将退还给客户的款项等类似义务时所采用的方法等。同类业务因采用不同经营模式导致收入确认会计政策存在差异的，应当分别披露。"/>
    <m:section xlName="_SEC_27ff142af5d04d4aac9aad3af48e3716" title="合同成本" helpId="112002273" helpText="注：说明与合同成本有关的资产金额确定的方法、摊销方法和减值测试方法。"/>
    <m:section xlName="_GBC_b03bd816e50b42ae97b660897ca33234" title="政府补助会计处理方法" ignorePeriod="1" convertSummaryRule="NoConvert" helpId="112002267" helpText="注：说明政府补助的类型及会计处理方法。具体包括：区分与资产相关政府补助和与收益相关政府补助的具体标准，若政府文件未明确规定补助对象，说明将该政府补助划分为与资产相关或与收益相关的判断依据；披露政府补助采用的是总额法还是净额法，如果是总额法，还应披露与政府补助相关的递延收益的摊销方法以及摊销期限的确认方法；政府补助的确认时点。"/>
    <m:section xlName="_GBC_01f1973e44f24cd99b90200f8205be13" title="递延所得税资产/递延所得税负债会计处理方法" ignorePeriod="1" convertSummaryRule="NoConvert" helpId="112001031" helpText="注：说明递延所得税资产和递延所得税负债的确认依据。"/>
    <m:section xlName="_SEC_665d95d9f6c04c32831b2a4fc303e11c" title="经营租赁的会计处理方法  " helpText="未执行新租赁准则的公司填写。"/>
    <m:section xlName="_SEC_4631e38dda7d4704843f77e4a8e70808" title="融资租赁的会计处理方法  " helpText="未执行新租赁准则的公司填写。"/>
    <m:section xlName="_SEC_3c4d5ea1c121414c9a99ab28798ae32c" title="新租赁准则下租赁的确定方法及会计处理方法  ____"/>
    <m:section xlName="_GBC_208440ea3a0f4676970b3672c3cdf96f" title="其他重要的会计政策和会计估计" ignorePeriod="1" helpId="112001032" helpText="注：说明其他重要的会计政策和会计估计，包括但不限于：终止经营的确认标准、会计处理方法，采用套期会计的依据与会计处理方法，套期有效性评估方法，企业的风险管理策略以及如何应用该策略来管理风险，与回购公司股份相关的会计处理方法，资产证券化业务的会计处理方法等。"/>
    <m:item xlName="_GBC_f1ebc580f60c4d30a80747190ffbec4f" concept="clcid-pte:ShiFouShiYongZhongYaoKuaiJiZhengCeBianGeng" label="是否适用：重要会计政策变更" selectOptions="_buildInAppliance" controlType="CustomCheckbox" cRanges="{&quot;StartName&quot;:&quot;_GBC_f1ebc580f60c4d30a80747190ffbec4f&quot;,&quot;EndName&quot;:&quot;_GBC_0e06dc657bb8435eb065c6bd60685496&quot;,&quot;CType&quot;:1,&quot;DisplayText&quot;:null}"/>
    <m:section xlName="_GBC_0e06dc657bb8435eb065c6bd60685496" title="会计政策变更" ignorePeriod="1" convertSummaryRule="ConvertDefinedText" convertText="无" helpId="112001033" helpText="注：说明受重要影响的报表项目名称和金额。"/>
    <m:item xlName="_GBC_902f08bd36774074945386d2d1f9b67d" concept="clcid-pte:ShiFouShiYongZhongYaoKuaiJiGuJiBianGeng" label="是否适用：重要会计估计变更" selectOptions="_buildInAppliance" controlType="CustomCheckbox" cRanges="{&quot;StartName&quot;:&quot;_GBC_902f08bd36774074945386d2d1f9b67d&quot;,&quot;EndName&quot;:&quot;_GBC_a657a03221464003b54e3c1dc1675cb2&quot;,&quot;CType&quot;:1,&quot;DisplayText&quot;:null}"/>
    <m:section xlName="_GBC_a657a03221464003b54e3c1dc1675cb2" title="会计估计变更" ignorePeriod="1" helpId="112001033" helpText="注：说明受重要影响的报表项目名称和金额。"/>
    <m:section xlName="_SEC_26cb0ff2f40c4cec8cc5f95eaa49a269" title="首次执行新金融工具准则、新收入准则、新租赁准则调整首次执行当年年初财务报表相关项目情况" primarySection="_SEC_26cb0ff2f40c4cec8cc5f95eaa49a269" optionText="需要编制合并报表" optionGroupTitle="是否需要合并报表" optionTargetConcept="clcid-ci-ar:ShiFouXuYaoHeBingBaoBiao" optionTargetConceptValue="true"/>
    <m:section xlName="_SEC_6a75960de1f24e5aa2984a88268a2d78" title="首次执行新金融工具准则、新收入准则、新租赁准则调整首次执行当年年初财务报表相关项目情况" primarySection="_SEC_26cb0ff2f40c4cec8cc5f95eaa49a269" optionText="无需编制合并报表" optionGroupTitle="是否需要合并报表" optionTargetConcept="clcid-ci-ar:ShiFouXuYaoHeBingBaoBiao" optionTargetConceptValue="false"/>
    <m:section xlName="_GBC_f9189f2c315949f484bded540173f7a8" title="其他" ignorePeriod="1" helpId="112001034"/>
    <m:section xlName="_GBC_21c965fa52af49a9865023fb4e05671a" title="主要税种及税率" ignorePeriod="1" convertSummaryRule="NoConvert" helpId="112001036" axisType="Column"/>
    <m:section xlName="_GBC_8efa381cc976417f9135f0c744d05452" title="税收优惠及批文" ignorePeriod="1" convertSummaryRule="NoConvert" helpId="112001036" helpText="注：说明主要税收优惠政策及依据。"/>
    <m:section xlName="_GBC_9fdef48633e142f68e18dc5da08c2deb" title="其他说明" ignorePeriod="1" convertSummaryRule="NoConvert" helpId="112001038"/>
    <m:section xlName="_GBC_e001074b3db146e59ba240ad8dd14b68" title="货币资金" rules="R2015_R11_002" convertSummaryRule="NoConvert" helpId="112001039" helpText="注：因抵押、质押或冻结等对使用有限制，以及存放在境外且资金汇回受到限制的款项应单独说明。\n“根据《企业会计准则解释第15号》，对于成员单位未归集至集团母公司账户而直接存入财务公司的资金，成员单位应当在资产负债表“货币资金” 项目中列示， 根据重要性原则并结合本企业的实际情况，成员单位还可以在“货币资金” 项目之下增设“其中：存放财务公司款项” 项目单独列示。”"/>
    <m:section xlName="_SEC_5d6c5a8a108d4b628932fa3be459b540" title="交易性金融资产" helpId="112001041"/>
    <m:section xlName="_SEC_2f4f1660c2f84fe39c4b376a5cc1b1a7" title="衍生金融资产" helpId="112001042" helpText="注：说明衍生金融工具形成原因以及相关会计处理等。"/>
    <m:section xlName="_SEC_4f1c8160429242738fa8e81ef0aab280" title="应收票据分类列示" rules="R2015_R11_003" convertSummaryRule="NoConvert" helpId="112001044"/>
    <m:section xlName="_SEC_aafb834414ab47688643694210fed9bf" title="期末公司已质押的应收票据" rules="R2015_R11_003" convertSummaryRule="NoConvert" helpId="112001044"/>
    <m:section xlName="_SEC_45d50989d4a042519489cf69f1b044ed" title="期末公司已背书或贴现且在资产负债表日尚未到期的应收票据" rules="R2015_R11_003" convertSummaryRule="NoConvert" helpId="112001044"/>
    <m:section xlName="_SEC_c28e226da8c4479fa309249d7ef50c92" title="期末公司因出票人未履约而将其转应收账款的票据" rules="R2015_R11_003" convertSummaryRule="NoConvert" helpId="112001044"/>
    <m:section xlName="_SEC_63927a21dd56431cb79b634520f50ece" title="按坏账计提方法分类披露"/>
    <m:section xlName="_SEC_2e0b02c8d30f4e60bebed0d7a5a961af" title="按单项计提坏账准备"/>
    <m:placeholder xlName="_PLD_c5822df72e094b5083c45a32639c6995"/>
    <m:item xlName="_GBC_6007da8f43a241c5b804069722b7b005" concept="clcid-ci-ar:ShiFouShiYongAnZuHeJiTiHuaiZhangZhunBeiDeYingShouPiaoJuXiangXiQingKuang" label="是否适用：按组合计提坏账准备的应收票据详细情况" selectOptions="_buildInAppliance" controlType="CustomCheckbox" cRanges="[{&quot;StartName&quot;:&quot;_GBC_6007da8f43a241c5b804069722b7b005&quot;,&quot;EndName&quot;:&quot;_SEC_d03b77239d74458c9d9042e93508a1b3&quot;,&quot;CType&quot;:1}]"/>
    <m:section xlName="_SEC_d03b77239d74458c9d9042e93508a1b3" title="按组合计提坏账准备" repeatable="1" tupleConcept="clcid-pte:AnZuHeJiTiHuaiZhangZhunBeiDeYingShouPiaoJuXiangXiMingXi"/>
    <m:section xlName="_SEC_04c40b625aee4c7d8e38c7f456e27b56" title="如按预期信用损失一般模型计提坏账准备，请参照其他应收款披露"/>
    <m:section xlName="_SEC_3dab029b25824ad8a8695b0e58b6c454" title="应收票据坏账准备的情况"/>
    <m:section xlName="_SEC_3428d5e0a1974f66bdc18edf0b310417" title="本期实际核销的应收票据情况"/>
    <m:section xlName="_SEC_9045c8983bbe475395a63669d8f42a68" title="应收票据其他说明" rules="R2015_R11_003" convertSummaryRule="NoConvert" helpId="112001044"/>
    <m:section xlName="_SEC_839f797b2ddf4a12a40452a1e747a584" title="按账龄披露" extended="true" helpId="112001045" helpText="表中的“期末账面余额”指的是包含单项计提和组合计提的期末账面余额。">
      <m:item xlName="_GBC_f6086903419d448ab27bc2735b69674a" concept="clcid-ci-ar:ShiFouShiYongZuHeZhongAnZhangLingFenXiFaJiTiHuaiZhangZhunBeiDeYingShouZhangKuan" label="是否适用：组合中，按账龄分析法计提坏账准备的应收账款" selectOptions="_buildInAppliance" controlType="CustomCheckbox" cRanges="[{&quot;StartName&quot;:&quot;_GBC_f6086903419d448ab27bc2735b69674a&quot;,&quot;EndName&quot;:&quot;_GBC_3bc3e4c3ebe9454294b2f4e389e98fda&quot;,&quot;CType&quot;:1}]"/>
      <m:item xlName="_GBC_eeeef14b591e4a8d839681ee71744810" indRef="315" concept="clcid-ci-ar:DanWeiCaiWuFuZhuDanXiangJinEBuZhongDaDanAnXinYongFengXianTeZhengZuHeHouGaiZuHeDeFengXianJiaoDaDeYingShouZhangKuan" label="单位：财务附注：单项金额不重大但按信用风险特征组合后该组合的风险较大的应收账款" selectOptions="_buildInScales" controlType="Combobox" cellType="Scale" appId="_GBC_f6086903419d448ab27bc2735b69674a"/>
      <m:item xlName="_GBC_380b2c118777445781c47a562212f944" indRef="316" concept="clcid-ci-ar:BiZhongCaiWuFuZhuDanXiangJinEBuZhongDaDanAnXinYongFengXianTeZhengZuHeHouGaiZuHeDeFengXianJiaoDaDeYingShouZhangKuan" label="币种：财务附注：单项金额不重大但按信用风险特征组合后该组合的风险较大的应收账款" selectOptions="_buildInISO4217" controlType="Combobox" cellType="Measure" appId="_GBC_f6086903419d448ab27bc2735b69674a"/>
      <m:placeholder xlName="_PLD_987827fb8f754c15801979884cb78127" wordText="账龄" addr="T0R0C0S1_1"/>
      <m:placeholder xlName="_PLD_53a2def126e844eabd4ea223442a8a87" wordText="期末账面余额" addr="T0R0C1S1_1"/>
      <m:placeholder xlName="_PLD_311560db02fd4399b97a79d7c7fe4ca3" wordText="1年以内" addr="T0R1C0S1_2"/>
      <m:placeholder xlName="_PLD_785750c92d5d486990596d8d5b2f4a1f" wordText="其中：1年以内分项" indent="300" addr="T0R2C0S1_2"/>
      <m:tuple xlName="_TUP_5db7a5c2674d42d3bac3cb2e10590f73" concept="clcid-pte:YiNianYiNeiYingShouZhangKuanJinEMingXi" label="一年以内应收账款金额明细" default_row="2" addr="T0R3C">
        <m:item xlName="_GBC_ee872708524d415a8bb3c7f20393b813" wordText="　" concept="clcid-pte:YiNianYiNeiYingShouZhangKuanZhangLingMingCheng" label="一年以内应收账款金额明细－帐龄名称" addr="T0R3C0S1_1" appId="_GBC_f6086903419d448ab27bc2735b69674a"/>
        <m:item xlName="_GBC_9ea3cdbfc4be4eb0ad39c90c05121989" concept="clcid-pte:YiNianYiNeiYingShouZhangKuanZhangMianYuE" label="一年以内应收账款金额明细－账面余额" mulRef="_GBC_eeeef14b591e4a8d839681ee71744810" unitRef="_GBC_380b2c118777445781c47a562212f944" addr="T0R3C1S1_1" formatStyle="Comma" appId="_GBC_f6086903419d448ab27bc2735b69674a"/>
        <m:item xlName="_GBC_ee4c052be40b49988567c6d877dbde50" concept="">
          <m:extendConcept standardLabel="期初账面余额" dataType="xbrli:pureItemType" period="instant"/>
        </m:item>
      </m:tuple>
      <m:placeholder xlName="_PLD_885917f15d1a46499cb812cd100e3cf1" wordText="1年以内小计" addr="T0R5C0S1_1"/>
      <m:item xlName="_GBC_3d2e014b419c43e1b8b8b5a513ca5be0" concept="clcid-pte:YingShouZhangKuanYiNianYiNeiHeJi" label="应收账款一年以内合计" mulRef="_GBC_eeeef14b591e4a8d839681ee71744810" unitRef="_GBC_380b2c118777445781c47a562212f944" addr="T0R5C1S1_1" formatStyle="Comma" appId="_GBC_f6086903419d448ab27bc2735b69674a"/>
      <m:placeholder xlName="_PLD_686411641a5e42038a85ce6c435c5e58" wordText="1至2年" addr="T0R6C0S1_1"/>
      <m:item xlName="_GBC_7d10eebc6a774087bfd0edeabb8bd33d" concept="clcid-pte:YingShouZhangKuanYiZhiErNianHeJi" label="应收账款一至二年合计" mulRef="_GBC_eeeef14b591e4a8d839681ee71744810" unitRef="_GBC_380b2c118777445781c47a562212f944" addr="T0R6C1S1_1" formatStyle="Comma" appId="_GBC_f6086903419d448ab27bc2735b69674a"/>
      <m:placeholder xlName="_PLD_1d32a9d5ef5b4ddca6ca917435b115ac" wordText="2至3年" addr="T0R7C0S1_1"/>
      <m:item xlName="_GBC_54ff89c7192f43738da67141b650f404" concept="clcid-pte:YingShouZhangKuanErZhiSanNianHeJi" label="应收账款二至三年合计" mulRef="_GBC_eeeef14b591e4a8d839681ee71744810" unitRef="_GBC_380b2c118777445781c47a562212f944" addr="T0R7C1S1_1" formatStyle="Comma" appId="_GBC_f6086903419d448ab27bc2735b69674a"/>
      <m:placeholder xlName="_PLD_2be2a569e4bb439bbdda34aec0746396" wordText="3年以上" addr="T0R8C0S1_1"/>
      <m:item xlName="_GBC_3b11307e8b5d4f4f8580033aa1f94fc5" concept="clcid-pte:YingShouZhangKuanSanNianYiShangHeJi" label="应收账款三年以上合计" mulRef="_GBC_eeeef14b591e4a8d839681ee71744810" unitRef="_GBC_380b2c118777445781c47a562212f944" addr="T0R8C1S1_1" formatStyle="Comma" appId="_GBC_f6086903419d448ab27bc2735b69674a"/>
      <m:placeholder xlName="_PLD_51c1587433fc4304af214a25996abcb0" wordText="3至4年" addr="T0R9C0S1_1"/>
      <m:item xlName="_GBC_a33d138f2d0446dcb35e19fb45b057c7" concept="clcid-pte:YingShouZhangKuanSanZhiSiNianZhangMianYuE" label="应收账款三至四年账面余额" mulRef="_GBC_eeeef14b591e4a8d839681ee71744810" unitRef="_GBC_380b2c118777445781c47a562212f944" addr="T0R9C1S1_1" formatStyle="Comma" appId="_GBC_f6086903419d448ab27bc2735b69674a"/>
      <m:placeholder xlName="_PLD_783f5edc09cf4689bf1bab196aa7d963" wordText="4至5年" addr="T0R10C0S1_1"/>
      <m:item xlName="_GBC_9f1083626f8a49ba9baa3d1cc28b8b43" concept="clcid-pte:YingShouZhangKuanSiZhiWuNianZhangMianYuE" label="应收账款四至五年账面余额" mulRef="_GBC_eeeef14b591e4a8d839681ee71744810" unitRef="_GBC_380b2c118777445781c47a562212f944" addr="T0R10C1S1_1" formatStyle="Comma" appId="_GBC_f6086903419d448ab27bc2735b69674a"/>
      <m:placeholder xlName="_PLD_35d4b8083f1340abbb03a5509bd8e56c" wordText="5年以上" addr="T0R11C0S1_1"/>
      <m:item xlName="_GBC_2d82299bc4f0443ca0390a3c0768477e" concept="clcid-pte:YingShouZhangKuanWuNianYiShangZhangMianYuE" label="应收账款五年以上账面余额" mulRef="_GBC_eeeef14b591e4a8d839681ee71744810" unitRef="_GBC_380b2c118777445781c47a562212f944" addr="T0R11C1S1_1" formatStyle="Comma" appId="_GBC_f6086903419d448ab27bc2735b69674a"/>
      <m:tuple xlName="_TUP_edc5847f2d48439f99ba745fa368b11e" concept="clcid-pte:AnZhangLingFenXiFaJiTiHuaiZhangZhunBeiDeYingShouZhangKuanMingXi" label="按账龄分析法计提坏账准备的应收账款明细" default_row="2" addr="T0R12C">
        <m:item xlName="_GBC_3d07f0c5485b4ab1a3b4611dd8ca1142" wordText="　" concept="clcid-pte:AnZhangLingFenXiFaJiTiHuaiZhangZhunBeiDeYingShouZhangKuanMingXiZhangLing" label="按账龄分析法计提坏账准备的应收账款明细_账龄" addr="T0R12C0S1_1" appId="_GBC_f6086903419d448ab27bc2735b69674a"/>
        <m:item xlName="_GBC_782dd8926bee4d7babd1d89633a2c018" concept="clcid-pte:AnZhangLingFenXiFaJiTiHuaiZhangZhunBeiDeYingShouZhangKuanMingXiYingShouZhangKuan" label="按账龄分析法计提坏账准备的应收账款明细_应收账款" mulRef="_GBC_eeeef14b591e4a8d839681ee71744810" unitRef="_GBC_380b2c118777445781c47a562212f944" addr="T0R12C1S1_1" formatStyle="Comma" appId="_GBC_f6086903419d448ab27bc2735b69674a"/>
      </m:tuple>
      <m:placeholder xlName="_PLD_4228da7212b54dbabe98902b22a02f1a" wordText="合计" addr="T0R14C0S1_1"/>
      <m:item xlName="_GBC_3bc3e4c3ebe9454294b2f4e389e98fda" concept="clcid-pte:YingShouZhangKuanHeJi" label="应收账款合计" mulRef="_GBC_eeeef14b591e4a8d839681ee71744810" unitRef="_GBC_380b2c118777445781c47a562212f944" addr="T0R14C1S1_1" formatStyle="Comma" appId="_GBC_f6086903419d448ab27bc2735b69674a">
        <m:complexRule comparator="Eq" title="单项金额不重大但按信用风险特征组合后该组合的风险较大的应收账款合计" test=" $_GBC_3d2e014b419c43e1b8b8b5a513ca5be0 +  $_GBC_7d10eebc6a774087bfd0edeabb8bd33d +  $_GBC_54ff89c7192f43738da67141b650f404 +  $_GBC_3b11307e8b5d4f4f8580033aa1f94fc5 +  $_GBC_a33d138f2d0446dcb35e19fb45b057c7 +  $_GBC_9f1083626f8a49ba9baa3d1cc28b8b43 +  $_GBC_2d82299bc4f0443ca0390a3c0768477e +  $_GBC_782dd8926bee4d7babd1d89633a2c018" id="C7d07218b1b264a5681fa3f22742ba834"/>
      </m:item>
    </m:section>
    <m:section xlName="_SEC_d442ddfe6a1a43ab9b3b8367ba47ed02" title="按坏账计提方法分类披露" helpId="112001045"/>
    <m:section xlName="_SEC_ef7cfc3c8ebf4f0dbd12a60dde63ca04" title="按单项计提坏账准备"/>
    <m:placeholder xlName="_PLD_21b31dda4e9f44bd901ccb9e126e1392"/>
    <m:item xlName="_GBC_600909a2591c4c1187685fb640783e4a" concept="clcid-ci-ar:ShiFouShiYongAnZuHeJiTiHuaiZhangZhunBeiDeYingShouZhangKuanXiangXiQingKuang" label="是否适用：按组合计提坏账准备的应收账款详细情况" selectOptions="_buildInAppliance" controlType="CustomCheckbox" cRanges="[{&quot;StartName&quot;:&quot;_GBC_600909a2591c4c1187685fb640783e4a&quot;,&quot;EndName&quot;:&quot;_SEC_04cea84e35a1467eb05df185ad69482a&quot;,&quot;CType&quot;:1}]"/>
    <m:section xlName="_SEC_04cea84e35a1467eb05df185ad69482a" title="按组合计提坏账准备" repeatable="1" tupleConcept="clcid-pte:AnZuHeJiTiHuaiZhangZhunBeiDeYingShouZhangKuanXiangXiMingXi" status="4"/>
    <m:section xlName="_SEC_54bb5413eca24d3ab39af65d518cb352" title="如按照一般预计信用损失模型计提坏账，请参照其他应收款的披露方式披露"/>
    <m:section xlName="_SEC_06b1384525ce4743a061a4c6762d5977" title="应收账款坏账准备的情况" helpId="112001045"/>
    <m:section xlName="_SEC_3a74ab07636f4f7aaaa3aefe56fdcd36" title="本期坏账准备收回或转回金额重要的" rules="R2015_R11_004" convertSummaryRule="NoConvert" helpId="112001045" helpText="注：说明转回或收回原因，确定原坏账准备计提比例的依据及其合理性。"/>
    <m:section xlName="_SEC_232653caa33f43eface8372ffe3a60eb" title="本报告期实际核销的应收账款情况" rules="R2015_R11_004" convertSummaryRule="NoConvert" helpId="112001045"/>
    <m:section xlName="_SEC_71c89f02128446e2b4ea3a2dfb767bd2" title="按欠款方归集的期末余额前五名的应收账款情况：" rules="R2015_R11_004" helpId="112001045" helpText="注：按欠款方集中度，汇总或分别披露期末余额前五名的应收账款的期末余额及占应收账款期末余额合计数的比例，以及相应计提的坏账准备期末余额。"/>
    <m:section xlName="_SEC_c714bd6e3e0e4f269266374f899ea672" title="因金融资产转移而终止确认的应收账款" rules="R2015_R11_004" helpId="112001045" helpText="注：说明金融资产转移的方式、终止确认的应收款项金额，及与终止确认相关的利得或损失。"/>
    <m:section xlName="_SEC_304899e10c75409c8a53fa6208e46b9c" title="转移应收账款且继续涉入的，分项列示继续涉入形成的资产、负债的金额" rules="R2015_R11_004" helpId="112001045" helpText="注：说明金融资产转移的方式，分项列示继续涉入形成的资产、负债的金额。"/>
    <m:section xlName="_SEC_46308b28e0464ca38e1d9a9e55371ee9" title="应收账款其他说明" rules="R2015_R11_004" helpId="112001045"/>
    <m:section xlName="_SEC_27b579e617f043faa86b5afdc54a44ce" title="应收款项融资"/>
    <m:section xlName="_SEC_c3a77c7d5fc54cf3891eeb30bc294643" title="预付款项按账龄列示" rules="R2015_R11_005" convertSummaryRule="NoConvert" helpId="112001047"/>
    <m:section xlName="_SEC_8a85592946074248a7ee474e6adb363e" title="预付款项金额前五名单位情况" rules="R2015_R11_005" extended="true" convertSummaryRule="NoConvert" helpId="112001047" helpText="注：按预付对象集中度，汇总或分别披露期末余额前五名的预付款项的期末余额及占预付款项期末余额合计数的比例。">
      <m:item xlName="_GBC_6359dc471e0a406c8706681c2db6e149" concept="clcid-ci-ar:ShiFouShiYongAnYuFuDuiXiangGuiJiDeQiMoYuEQianWuMingDeYuFuKuanQingKuang" label="是否适用：按预付对象归集的期末余额前五名的预付款情况" selectOptions="_buildInAppliance" controlType="CustomCheckbox" cRanges="{&quot;StartName&quot;:&quot;_GBC_6359dc471e0a406c8706681c2db6e149&quot;,&quot;EndName&quot;:&quot;_GBC_01cbdc0115484d88931f2dbcc9e0aa2b&quot;,&quot;CType&quot;:1,&quot;DisplayText&quot;:null}"/>
      <m:placeholder xlName="_PLD_0ab17d7ae0014b6192c9dd0e6d3d3a25" wordText="单位名称" addr="T0R0C0S1_1"/>
      <m:placeholder xlName="_PLD_cdd4a1e632c94d14908eb36a620946a9" wordText="期末余额" addr="T0R0C1S1_1"/>
      <m:placeholder xlName="_PLD_c9db34035f63426095900b82cc8a8131" wordText="占预付款项期末余额合计数的比例(%)" addr="T0R0C2S1_1"/>
      <m:tuple xlName="_TUP_93f51bbe2cf24bbea15847f5b49a356b" concept="clcid-pte:YuFuZhangKuanQianKuanHuMingXi" label="预付帐款欠款户" default_row="2" addr="T0R1C">
        <m:item xlName="_GBC_8c7e09f61375403ea25adc20d3dbf93f" wordText="　" concept="clcid-pte:YuFuZhangKuanQianKuanHuMingCheng" label="预付帐款欠款户名称" addr="T0R1C0S1_1" appId="_GBC_6359dc471e0a406c8706681c2db6e149"/>
        <m:item xlName="_GBC_196f266740d64807930d57e02d636d2d" concept="clcid-pte:YuFuZhangKuanQianKuanHuQianKuanJinE" label="预付帐款欠款户欠款金额" addr="T0R1C1S1_1" formatStyle="Comma" appId="_GBC_6359dc471e0a406c8706681c2db6e149"/>
        <m:item xlName="_GBC_b15ae336805b4a63bf90a16e70bcffa4" concept="clcid-pte:YuFuZhangKuanQianKuanHuJinEZhanYuFuKuanXiangQiMoYuEHeJiShuDeBiLi" label="预付账款欠款户金额占预付款项期末余额合计数的比例" addr="T0R1C2S1_1" formatStyle="Comma" appId="_GBC_6359dc471e0a406c8706681c2db6e149"/>
        <m:item xlName="_GBC_740967137d1141589754fb5f9b9b285e" concept="">
          <m:extendConcept standardLabel="期初余额" dataType="xbrli:stringItemType" period="instant"/>
        </m:item>
      </m:tuple>
      <m:placeholder xlName="_PLD_6013c930571c4255bf5da8f1352aaf1f" wordText="合计" addr="T0R3C0S1_1"/>
      <m:item xlName="_GBC_912a1a55a9ae463c8b5dc403b0dacd36" concept="clcid-pte:YuFuZhangKuanQianKuanHuQianKuanJinEHeJi" label="预付帐款欠款户欠款金额合计" addr="T0R3C1S1_1" formatStyle="Comma" appId="_GBC_6359dc471e0a406c8706681c2db6e149">
        <m:complexRule comparator="Eq" title="预付帐款欠款户欠款金额合计" test=" $_GBC_196f266740d64807930d57e02d636d2d" id="Cd4ac6318585a487aae315b191a88e8a7"/>
      </m:item>
      <m:item xlName="_GBC_68409c0b9e0c4995bebb781ab8fdf68c" concept="clcid-pte:YuFuZhangKuanQianWuMingQianKuanHuBiLi" label="预付帐款前五名欠款户比例" addr="T0R3C2S1_1" formatStyle="Comma" appId="_GBC_6359dc471e0a406c8706681c2db6e149"/>
      <m:item xlName="_GBC_01cbdc0115484d88931f2dbcc9e0aa2b" concept="clcid-pte:AnYuFuDuiXiangGuiJiDeQiMoYuEQianWuMingDeYuFuKuanQingKuangDeShuoMing" label="按预付对象归集的期末余额前五名的预付款情况的说明" appId="_GBC_6359dc471e0a406c8706681c2db6e149"/>
    </m:section>
    <m:section xlName="_SEC_b4786b512c5648f09f6aeb396ccb9ee7" title="预付款项的说明" rules="R2015_R11_005" convertSummaryRule="NoConvert" helpId="112001047"/>
    <m:section xlName="_SEC_832356e7ad3a4fd389aa33f3370163f0" title="其他应收款分类列示"/>
    <m:section xlName="_SEC_9f746d8f63c24963bbf193ceb3ce319d" title="其他应收款分类列示其他说明"/>
    <m:section xlName="_SEC_e7556b18b03f4947b14c0b36c675ff06" title="应收利息" convertSummaryRule="NoConvert" helpId="112001049"/>
    <m:section xlName="_SEC_2b1aed9928154ce3b72406656569e1a0" title="逾期利息" convertSummaryRule="NoConvert" helpId="112001049"/>
    <m:section xlName="_SEC_d2c4f1952afe44258e5612ef28731834" title="坏账准备计提情况"/>
    <m:section xlName="_SEC_f928a6e9e75047f3b72b49250b05ba14" title="应收利息的说明" helpId="112001049"/>
    <m:section xlName="_SEC_531f695428244731b7e3fcf9986e03c5" title="应收股利" helpId="112001050"/>
    <m:section xlName="_SEC_9503084ad1734739bb1a74f5476ec07c" title="应收股利" convertSummaryRule="NoConvert" helpId="112001050"/>
    <m:section xlName="_SEC_bfa6d1d8f0d04386aa81c3673c519221" title="坏账准备计提情况"/>
    <m:section xlName="_SEC_e50f0bae57ac4f97bb5148c612a8ca48" title="应收股利的说明" convertSummaryRule="NoConvert" helpId="112001050"/>
    <m:section xlName="_SEC_9cd4f6309fba4b598ec2f3a0a4e083ad" title="按账龄披露" extended="true" helpId="112001051" helpText="表里的“期末账面余额”指的是包含单项计提和组合计提的期末账面余额。">
      <m:item xlName="_GBC_b46a4e720a884c40b402c5b30a4f4432" concept="clcid-ci-ar:ShiFouShiYongZuHeZhongAnZhangLingFenXiFaJiTiHuaiZhangZhunBeiDeQiTaYingShouZhangKuan" label="是否适用：组合中，按账龄分析法计提坏账准备的其他应收账款" selectOptions="_buildInAppliance" controlType="CustomCheckbox" cRanges="[{&quot;StartName&quot;:&quot;_GBC_b46a4e720a884c40b402c5b30a4f4432&quot;,&quot;EndName&quot;:&quot;_GBC_1b18d183ef824421a2b7735479a6e051&quot;,&quot;CType&quot;:1}]"/>
      <m:item xlName="_GBC_6ca37718de0645da8a1de40ee1bb1597" indRef="351" concept="clcid-ci-ar:DanWeiCaiWuFuZhuDanXiangJinEBuZhongDaDanAnXinYongFengXianTeZhengZuHeHouGaiZuHeDeFengXianJiaoDaDeQiTaYingShouZhangKuan" label="单位：财务附注：单项金额不重大但按信用风险特征组合后该组合的风险较大的其他应收账款" selectOptions="_buildInScales" controlType="Combobox" cellType="Scale" appId="_GBC_b46a4e720a884c40b402c5b30a4f4432"/>
      <m:item xlName="_GBC_eccd3e1ac8d04ff882b9e0189e7dd629" indRef="352" concept="clcid-ci-ar:BiZhongCaiWuFuZhuDanXiangJinEBuZhongDaDanAnXinYongFengXianTeZhengZuHeHouGaiZuHeDeFengXianJiaoDaDeQiTaYingShouZhangKuan" label="币种：财务附注：单项金额不重大但按信用风险特征组合后该组合的风险较大的其他应收账款" selectOptions="_buildInISO4217" controlType="Combobox" cellType="Measure" appId="_GBC_b46a4e720a884c40b402c5b30a4f4432"/>
      <m:placeholder xlName="_PLD_3693c274d2774e098d4e6f0b6ce787c4" wordText="账龄" addr="T0R0C0S1_1"/>
      <m:placeholder xlName="_PLD_592d3cc76c64401da21e664b374ad045" wordText="期末账面余额" addr="T0R0C1S1_1"/>
      <m:placeholder xlName="_PLD_6947d7a3e56e4c59be970f76736c65e3" wordText="1年以内" addr="T0R1C0S1_2"/>
      <m:placeholder xlName="_PLD_b7cf536363dd4da2bae7017806fba883" wordText="其中：1年以内分项" indent="300" addr="T0R2C0S1_2"/>
      <m:tuple xlName="_TUP_dfa535b506af4aeb868cc2263d0644f6" concept="clcid-pte:YiNianYiNeiQiTaYingShouKuanJinEMingXi" label="一年以内其他应收款金额明细" default_row="2" addr="T0R3C">
        <m:item xlName="_GBC_6f3e102866a14710b841f6c42cfcd5bf" wordText="　" concept="clcid-pte:YiNianYiNeiQiTaYingShouKuanZhangLingMingCheng" label="一年以内其他应收款金额明细－帐龄名称" addr="T0R3C0S1_1" appId="_GBC_b46a4e720a884c40b402c5b30a4f4432"/>
        <m:item xlName="_GBC_cdee9af5d0fe49028434bed0c22edfcd" concept="clcid-pte:YiNianYiNeiQiTaYingShouKuanZhangMianYuE" label="一年以内其他应收款金额明细－账面余额" mulRef="_GBC_6ca37718de0645da8a1de40ee1bb1597" unitRef="_GBC_eccd3e1ac8d04ff882b9e0189e7dd629" addr="T0R3C1S1_1" formatStyle="Comma" appId="_GBC_b46a4e720a884c40b402c5b30a4f4432"/>
        <m:item xlName="_GBC_1cd9835c1c1c4346a8759ddedd94b101" concept="">
          <m:extendConcept standardLabel="期初账面余额" dataType="xbrli:stringItemType" period="instant"/>
        </m:item>
        <m:item xlName="_GBC_399084854c034cc3abf90bce7fce0eae" concept="">
          <m:extendConcept standardLabel="期初账面余额" dataType="xbrli:stringItemType" period="instant"/>
        </m:item>
      </m:tuple>
      <m:placeholder xlName="_PLD_f0ea7052fc724634bba2abea66f07723" wordText="1年以内小计" addr="T0R5C0S1_1"/>
      <m:item xlName="_GBC_50304eb417a44eadb03b4abe6716494b" concept="clcid-pte:QiTaYingShouKuanYiNianYiNeiHeJi" label="其他应收款一年以内合计" mulRef="_GBC_6ca37718de0645da8a1de40ee1bb1597" unitRef="_GBC_eccd3e1ac8d04ff882b9e0189e7dd629" addr="T0R5C1S1_1" formatStyle="Comma" appId="_GBC_b46a4e720a884c40b402c5b30a4f4432"/>
      <m:placeholder xlName="_PLD_98586cfb9fec441587daa5f6317031cb" wordText="1至2年" addr="T0R6C0S1_1"/>
      <m:item xlName="_GBC_ca26c00d461d4a66817c3fb273e19bbc" concept="clcid-pte:QiTaYingShouKuanYiZhiErNianHeJi" label="其他应收款一至二年合计" mulRef="_GBC_6ca37718de0645da8a1de40ee1bb1597" unitRef="_GBC_eccd3e1ac8d04ff882b9e0189e7dd629" addr="T0R6C1S1_1" formatStyle="Comma" appId="_GBC_b46a4e720a884c40b402c5b30a4f4432"/>
      <m:placeholder xlName="_PLD_c7dfbea412634188b20a56b875d5c1a0" wordText="2至3年" addr="T0R7C0S1_1"/>
      <m:item xlName="_GBC_66633c6b5ef44052b8b4726aecb9f697" concept="clcid-pte:QiTaYingShouKuanErZhiSanNianHeJi" label="其他应收款二至三年合计" mulRef="_GBC_6ca37718de0645da8a1de40ee1bb1597" unitRef="_GBC_eccd3e1ac8d04ff882b9e0189e7dd629" addr="T0R7C1S1_1" formatStyle="Comma" appId="_GBC_b46a4e720a884c40b402c5b30a4f4432"/>
      <m:placeholder xlName="_PLD_7dbeac7b61054fb5aa2ba4792e03ec86" wordText="3年以上" addr="T0R8C0S1_1"/>
      <m:item xlName="_GBC_ba3a1c1c8f974c849f4fe32f30642eb3" concept="clcid-pte:QiTaYingShouKuanSanNianYiShangHeJi" label="其他应收款三年以上合计" mulRef="_GBC_6ca37718de0645da8a1de40ee1bb1597" unitRef="_GBC_eccd3e1ac8d04ff882b9e0189e7dd629" addr="T0R8C1S1_1" formatStyle="Comma" appId="_GBC_b46a4e720a884c40b402c5b30a4f4432"/>
      <m:placeholder xlName="_PLD_1219b34745ba43bd8890e188ec4fd1f5" wordText="3至4年" addr="T0R9C0S1_1"/>
      <m:item xlName="_GBC_0660f10a73794467938e8837aecfdd7e" concept="clcid-pte:QiTaYingShouKuanSanZhiSiNianZhangMianYuE" label="其他应收款三至四年账面余额" mulRef="_GBC_6ca37718de0645da8a1de40ee1bb1597" unitRef="_GBC_eccd3e1ac8d04ff882b9e0189e7dd629" addr="T0R9C1S1_1" formatStyle="Comma" appId="_GBC_b46a4e720a884c40b402c5b30a4f4432"/>
      <m:placeholder xlName="_PLD_139aa65599744a2ba97edb44895346cd" wordText="4至5年" addr="T0R10C0S1_1"/>
      <m:item xlName="_GBC_bdf859cf68024846be1e5313b18a4ed1" concept="clcid-pte:QiTaYingShouKuanSiZhiWuNianZhangMianYuE" label="其他应收款四至五年账面余额" mulRef="_GBC_6ca37718de0645da8a1de40ee1bb1597" unitRef="_GBC_eccd3e1ac8d04ff882b9e0189e7dd629" addr="T0R10C1S1_1" formatStyle="Comma" appId="_GBC_b46a4e720a884c40b402c5b30a4f4432"/>
      <m:placeholder xlName="_PLD_7ea221e85abe4d948804f7b8cb9abd12" wordText="5年以上" addr="T0R11C0S1_1"/>
      <m:item xlName="_GBC_43e6e72a4617450db8f63c4f679aa8d2" concept="clcid-pte:QiTaYingShouKuanWuNianYiShangZhangMianYuE" label="其他应收款五年以上账面余额" mulRef="_GBC_6ca37718de0645da8a1de40ee1bb1597" unitRef="_GBC_eccd3e1ac8d04ff882b9e0189e7dd629" addr="T0R11C1S1_1" formatStyle="Comma" appId="_GBC_b46a4e720a884c40b402c5b30a4f4432"/>
      <m:tuple xlName="_TUP_ee38dddc16a8427aa70aa7b0949306f1" concept="clcid-pte:AnZhangLingFenXiFaJiTiHuaiZhangZhunBeiDeQiTaYingShouKuanMingXi" label="按账龄分析法计提坏账准备的其他应收款明细" default_row="2" addr="T0R12C">
        <m:item xlName="_GBC_c7d0c5c1a989453a8b89807da573de15" wordText="　" concept="clcid-pte:AnZhangLingFenXiFaJiTiHuaiZhangZhunBeiDeQiTaYingShouKuanMingXiZhangLing" label="按账龄分析法计提坏账准备的其他应收款明细_账龄" addr="T0R12C0S1_1" appId="_GBC_b46a4e720a884c40b402c5b30a4f4432"/>
        <m:item xlName="_GBC_01863902d84a4ebdb20d59fdc117fd76" concept="clcid-pte:AnZhangLingFenXiFaJiTiHuaiZhangZhunBeiDeQiTaYingShouKuanMingXiQiTaYingShouKuan" label="按账龄分析法计提坏账准备的其他应收款明细_其他应收款" mulRef="_GBC_6ca37718de0645da8a1de40ee1bb1597" unitRef="_GBC_eccd3e1ac8d04ff882b9e0189e7dd629" addr="T0R12C1S1_1" formatStyle="Comma" appId="_GBC_b46a4e720a884c40b402c5b30a4f4432"/>
        <m:item xlName="_GBC_eea0ffd3d2924c4b8bf6e2b0db1f6fe9" concept="">
          <m:extendConcept standardLabel="期初账面余额" dataType="xbrli:stringItemType" period="instant"/>
        </m:item>
        <m:item xlName="_GBC_a4b2cd1d40bf407389f96411aa57b2f6" concept="">
          <m:extendConcept standardLabel="期初账面余额" dataType="xbrli:stringItemType" period="instant"/>
        </m:item>
      </m:tuple>
      <m:placeholder xlName="_PLD_86909243a0c54a05a7001e5799415551" wordText="合计" addr="T0R14C0S1_1"/>
      <m:item xlName="_GBC_1b18d183ef824421a2b7735479a6e051" concept="clcid-pte:DanXiangJinEBuZhongDaDanAnXinYongFengXianTeZhengZuHeHouGaiZuHeDeFengXianJiaoDaDeQiTaYingShouZhangKuanHeJi" label="单项金额不重大但按信用风险特征组合后该组合的风险较大的其他应收账款合计" mulRef="_GBC_6ca37718de0645da8a1de40ee1bb1597" unitRef="_GBC_eccd3e1ac8d04ff882b9e0189e7dd629" addr="T0R14C1S1_1" formatStyle="Comma" appId="_GBC_b46a4e720a884c40b402c5b30a4f4432">
        <m:complexRule comparator="Eq" title="单项金额不重大但按信用风险特征组合后该组合的风险较大的其他应收账款合计" test=" $_GBC_50304eb417a44eadb03b4abe6716494b +  $_GBC_ca26c00d461d4a66817c3fb273e19bbc +  $_GBC_66633c6b5ef44052b8b4726aecb9f697 +  $_GBC_ba3a1c1c8f974c849f4fe32f30642eb3 +  $_GBC_0660f10a73794467938e8837aecfdd7e +  $_GBC_bdf859cf68024846be1e5313b18a4ed1 +  $_GBC_43e6e72a4617450db8f63c4f679aa8d2 +  $_GBC_01863902d84a4ebdb20d59fdc117fd76" id="Ca62adbea76ac44e797ce99721a0a2782"/>
      </m:item>
    </m:section>
    <m:section xlName="_SEC_8efe5956682a453f8d45e3b621bac05e" title="按款项性质分类情况" rules="R2015_R11_006" helpId="112001051"/>
    <m:section xlName="_SEC_cb69c8378cb54035bc6be62addb6389d" title="坏账准备计提情况" helpId="112001051"/>
    <m:section xlName="_SEC_45844149369c46558d6ab8922854ba5c" title="本期坏账准备计提金额以及评估金融工具的信用风险是否显著增加的采用依据" helpId="112001051"/>
    <m:section xlName="_SEC_a0703d114f284b949a0f05190dd2265b" title="其他应收款坏账准备的情况"/>
    <m:section xlName="_SEC_41a6e023af3e46b9a7c491c4e27287af" title="本报告期实际核销的其他应收款情况" rules="R2015_R11_006" convertSummaryRule="NoConvert" helpId="112001051"/>
    <m:section xlName="_SEC_5bc3cdcc54c14afd8dfbd379ebf214df" title="按欠款方归集的期末余额其中前五名的其他应收款单位情况" rules="R2015_R11_006" helpId="112001051"/>
    <m:section xlName="_SEC_7f884e5815904873b956a469c8376ddc" title="按应收金额确认的政府补助" rules="R2015_R11_006" helpId="112001051" helpText="注：公司未能在预计时点收到预计金额的政府补助，应说明原因。"/>
    <m:section xlName="_SEC_b4e92d47ce454acbba1241413cf48897" title="因金融资产转移而终止确认的其他应收款" rules="R2015_R11_006" helpId="112001051" helpText="注：说明金融资产转移的方式、终止确认的其他应收款金额，及与终止确认相关的利得或损失。"/>
    <m:section xlName="_SEC_92e24bbe4f564b40858a76aac5222baf" title="转移其他应收款且继续涉入形成的资产、负债金额的说明" rules="R2015_R11_006" helpId="112001051" helpText="注：说明金融资产转移的方式、分项列示继续涉入形成的资产、负债的金额。"/>
    <m:section xlName="_SEC_ca3c9a9eec87490e8f1dd55c9f575f92" title="其他应收款其他说明" rules="R2015_R11_006" helpId="112001051"/>
    <m:section xlName="_SEC_db208c50ef2347fc8318ac3ce516f8f3" title="存货分类 " rules="R2015_R11_007" convertSummaryRule="NoConvert" helpId="112001053" axisType="Column"/>
    <m:section xlName="_SEC_f5d204839da647b4984ba81ca9593f3b" title="存货跌价准备" rules="R2015_R11_007" convertSummaryRule="NoConvert" helpId="112001053" helpText="注：说明确定可变现净值的具体依据及本期转回或转销存货跌价准备的原因。" axisType="Column"/>
    <m:section xlName="_SEC_d2aec934b2134662ac27a795f9f8441b" title="存货期末余额含有借款费用资本化金额的说明" rules="R2015_R11_007" helpId="112001053"/>
    <m:section xlName="_SEC_4d5b81a46b124a7fbda36ca1f8fc6761" title="合同履约成本本期摊销金额的说明" helpId="112001053"/>
    <m:section xlName="_SEC_68a62211b3d64c9c8661fa3d3a6d8409" title="存货其他说明"/>
    <m:section xlName="_SEC_815287361ca746f4be20e0fedf7c209d" title="合同资产情况" helpId="112002274"/>
    <m:section xlName="_SEC_c92b1cbb8a324c50a897bfb29d008812" title="报告期内账面价值发生重大变动的金额和原因" helpId="112002274"/>
    <m:section xlName="_SEC_5ad264313cea4d8a8ec9ff73b52c45f4" title="本期合同资产计提减值准备情况" helpId="112002274"/>
    <m:section xlName="_SEC_258cf02a2dfe4d43b5c502f3869566d2" title="合同资产其他说明" helpId="112002274"/>
    <m:section xlName="_SEC_b6937eac78c94ad8b39ce1ee1104d8c4" title=""/>
    <m:section xlName="_SEC_96b35c860772417291874bfe65770128" title="一年内到期的非流动资产"/>
    <m:section xlName="_SEC_cb1f0c52ccb6441287eb043720aaedbf" title="一年内到期的非流动资产期末重要的债权投资"/>
    <m:section xlName="_SEC_5007efc3f00c4111a777e47f97d502e5" title="一年内到期的非流动资产其他说明"/>
    <m:section xlName="_SEC_76a189d16ac5453184dfe42bd0fa9e73" title="其他流动资产" rules="R2015_R11_008" helpId="112001235"/>
    <m:section xlName="_SEC_14d51d39f7d5436a8f41f898c206e930" title="债权投资情况" helpId="112001059"/>
    <m:section xlName="_SEC_9590e8ecc5d3406198e45c28b530ea74" title="期末重要的债权投资" helpId="112001059"/>
    <m:section xlName="_SEC_5933b4ff0aa1441d91a30454dd600143" title="减值准备计提情况" helpId="112001059"/>
    <m:section xlName="_SEC_040e62d42619437596c68d45a7cf057c" title="本期减值准备计提金额以及评估金融工具的信用风险是否显著增加的采用依据" helpId="112001059"/>
    <m:section xlName="_SEC_81d8c27b48964e40adc85851e95f5fe8" title="债券投资其他说明" helpId="112001059"/>
    <m:section xlName="_SEC_45dbf962086b4d8eb08561c0bbb52ee7" title="其他债权投资情况" helpId="112001059"/>
    <m:section xlName="_SEC_44eeb7a9a2664cfb8bc2bf6709356388" title="期末重要的其他债权投资" helpId="112001059"/>
    <m:section xlName="_SEC_43c61e1bfcad49d9a2d7d8b43d392735" title="减值准备计提情况" helpId="112001059"/>
    <m:section xlName="_SEC_dd9ad0da12d84bd799c60de7b6243679" title="本期减值准备计提金额以及评估金融工具的信用风险是否显著增加的..." helpId="112001059"/>
    <m:section xlName="_SEC_dc2e57efff8f4436957f51feebac7226" title="其他债权投资其他说明" helpId="112001059"/>
    <m:section xlName="_SEC_03910fcb1d7b4c9e888090eddf49d0f5" title="长期应收款" rules="R2015_R11_009" helpId="112001061"/>
    <m:section xlName="_SEC_e3a77e97bfdc4d80b28798b16620a97a" title="按减值计提方法分类披露"/>
    <m:section xlName="_SEC_cac91801a7df45b898da28991af8099b" title="本期坏账准备计提金额以及评估金融工具的信用风险是否显著增加的..."/>
    <m:section xlName="_SEC_c0276803b0764169b1c7aa5897007892" title="因金融资产转移而终止确认的长期应收款" rules="R2015_R11_009" helpId="112001061" helpText="注：说明金融资产转移的方式、终止确认的长期应收款金额，及与终止确认相关的利得或损失。"/>
    <m:section xlName="_SEC_89a60922f7cb457c9329be8065df91e2" title="转移长期应收款且继续涉入形成的资产、负债金额" rules="R2015_R11_009" helpId="112001061" helpText="注：说明金融资产转移的方式、分项列示继续涉入形成的资产、负债的金额。"/>
    <m:section xlName="_SEC_2121861ee4514c94a9ddd15a509ae12d" title="长期应收款的其他说明" rules="R2015_R11_009" helpId="112001061"/>
    <m:item xlName="_GBC_94e2c461d3d34280a0a5f1e908656d3e" concept="clcid-ci-ar:ShiFouShiYongChangQiGuQuanTouZi" label="是否适用：长期股权投资" selectOptions="_buildInAppliance" controlType="CustomCheckbox" cRanges="{&quot;StartName&quot;:&quot;_GBC_94e2c461d3d34280a0a5f1e908656d3e&quot;,&quot;EndName&quot;:&quot;_SEC_07adbbba1b734992ad3a62949a0cb211&quot;,&quot;CType&quot;:1,&quot;DisplayText&quot;:null}"/>
    <m:section xlName="_SEC_07adbbba1b734992ad3a62949a0cb211" title="长期股权投资" rules="R2015_R11_010" extended="true" helpId="112001063">
      <m:item xlName="_GBC_9ef1128bd666425898c1d0386f4940f0" indRef="403" concept="clcid-ci-ar:DanWeiCaiWuFuZhuChangQiGuQuanTouZi" label="单位：财务附注：长期股权投资" selectOptions="_buildInScales" controlType="Combobox" cellType="Scale" appId="_GBC_94e2c461d3d34280a0a5f1e908656d3e"/>
      <m:item xlName="_GBC_3839232c7f594f79a27ec799cde377b3" indRef="404" concept="clcid-ci-ar:BiZhongCaiWuFuZhuChangQiGuQuanTouZi" label="币种：财务附注：长期股权投资" selectOptions="_buildInISO4217" controlType="Combobox" cellType="Measure" appId="_GBC_94e2c461d3d34280a0a5f1e908656d3e"/>
      <m:placeholder xlName="_PLD_904000e8ce384d4988e09c22d5f8f725" wordText="被投资单位" addr="T0R0C0S2_1"/>
      <m:placeholder xlName="_PLD_2325481f20324f949b4d5af7cfe3ea45" wordText="期初余额" addr="T0R0C1S2_1"/>
      <m:placeholder xlName="_PLD_62e0836260734d34965d8070b1a6f2dd" wordText="本期增减变动" addr="T0R0C2S1_8"/>
      <m:placeholder xlName="_PLD_7b9429fc29b64f4c83eea02ed0cad7ba" wordText="期末余额" addr="T0R0C10S2_1"/>
      <m:placeholder xlName="_PLD_79298dc466f54a239357520005d5d0d6" wordText="减值准备期末余额" addr="T0R0C11S2_1"/>
      <m:placeholder xlName="_PLD_32174384d8204c80ab4f8eb2ee1b7c00" wordText="追加投资" addr="T0R1C2S1_1"/>
      <m:placeholder xlName="_PLD_095046b604db44b8b22c0d62f18b7d7b" wordText="减少投资" addr="T0R1C3S1_1"/>
      <m:placeholder xlName="_PLD_6b1aa2f12a4b43c9acfdfe03af1b69b5" wordText="权益法下确认的投资损益" addr="T0R1C4S1_1"/>
      <m:placeholder xlName="_PLD_7843f54d0d14415a8d81c3e768bcd483" wordText="其他综合收益调整" addr="T0R1C5S1_1"/>
      <m:placeholder xlName="_PLD_dd698127723b4ea0815eca9ac49240a1" wordText="其他权益变动" addr="T0R1C6S1_1"/>
      <m:placeholder xlName="_PLD_6d37a876ad014b7ba59d452d3d7f5f15" wordText="宣告发放现金股利或利润" addr="T0R1C7S1_1"/>
      <m:placeholder xlName="_PLD_050d96d5e62f42b9bb4f13a2ca047503" wordText="计提减值准备" addr="T0R1C8S1_1"/>
      <m:placeholder xlName="_PLD_add111e25b4543c48121d495919f2030" wordText="其他" addr="T0R1C9S1_1"/>
      <m:placeholder xlName="_PLD_35b755e14b594e4c91e0b7c9ecb32e60" wordText="一、合营企业" addr="T0R2C0S1_12"/>
      <m:tuple xlName="_TUP_c75e58945b574362871fd5ee9d3f2706" concept="clcid-pte:HeYingQiYeTouZiXinXiMingXi" label="合营企业投资信息明细" default_row="2" addr="T0R3C">
        <m:item xlName="_GBC_3e022dab136245038478312a5b3128e0" wordText="　" concept="clcid-pte:HeYingQiYeTouZiXinXiMingXiMingCheng" label="合营企业投资信息明细－名称" addr="T0R3C0S1_1" appId="_GBC_94e2c461d3d34280a0a5f1e908656d3e"/>
        <m:item xlName="_GBC_c076f12769ff4e948698d427b8be514b" concept="clcid-pte:HeYingQiYeTouZiMingXiYuE" label="合营企业投资明细-余额" periodRef="本期期初数" mulRef="_GBC_9ef1128bd666425898c1d0386f4940f0" unitRef="_GBC_3839232c7f594f79a27ec799cde377b3" addr="T0R3C1S1_1" formatStyle="Comma" appId="_GBC_94e2c461d3d34280a0a5f1e908656d3e"/>
        <m:item xlName="_GBC_f4b3512848714c75a2de66c18cfb66cd" concept="clcid-pte:HeYingQiYeTouZiMingXiZhuiJiaTouZi" label="合营企业投资明细-追加投资" mulRef="_GBC_9ef1128bd666425898c1d0386f4940f0" unitRef="_GBC_3839232c7f594f79a27ec799cde377b3" addr="T0R3C2S1_1" formatStyle="Comma" appId="_GBC_94e2c461d3d34280a0a5f1e908656d3e"/>
        <m:item xlName="_GBC_63fecc3d2cb349259bf54b1ae8bad8d0" concept="clcid-pte:HeYingQiYeTouZiMingXiJianShaoTouZi" label="合营企业投资明细-减少投资" mulRef="_GBC_9ef1128bd666425898c1d0386f4940f0" unitRef="_GBC_3839232c7f594f79a27ec799cde377b3" addr="T0R3C3S1_1" baseScale="-1" formatStyle="Comma" appId="_GBC_94e2c461d3d34280a0a5f1e908656d3e"/>
        <m:item xlName="_GBC_a2ff40d3e8d248fcaa8d6053f69822f2" concept="clcid-pte:HeYingQiYeTouZiMingXiQuanYiFaXiaQueRenDeTouZiSunYi" label="合营企业投资明细-权益法下确认的投资损益" mulRef="_GBC_9ef1128bd666425898c1d0386f4940f0" unitRef="_GBC_3839232c7f594f79a27ec799cde377b3" addr="T0R3C4S1_1" formatStyle="Comma" appId="_GBC_94e2c461d3d34280a0a5f1e908656d3e"/>
        <m:item xlName="_GBC_2727ee281d90484d92f9caf15d3f497d" concept="clcid-pte:HeYingQiYeTouZiMingXiQiTaZongHeShouYiDiaoZheng" label="合营企业投资明细-其他综合收益调整" mulRef="_GBC_9ef1128bd666425898c1d0386f4940f0" unitRef="_GBC_3839232c7f594f79a27ec799cde377b3" addr="T0R3C5S1_1" formatStyle="Comma" appId="_GBC_94e2c461d3d34280a0a5f1e908656d3e"/>
        <m:item xlName="_GBC_9fc6131afae048b9ba7a7cb9fd15c7c0" concept="clcid-pte:HeYingQiYeTouZiMingXiQiTaQuanYiBianDong" label="合营企业投资明细-其他权益变动" mulRef="_GBC_9ef1128bd666425898c1d0386f4940f0" unitRef="_GBC_3839232c7f594f79a27ec799cde377b3" addr="T0R3C6S1_1" formatStyle="Comma" appId="_GBC_94e2c461d3d34280a0a5f1e908656d3e"/>
        <m:item xlName="_GBC_5c46ddca0ac5408583b5d9a39c58099d" concept="clcid-pte:HeYingQiYeTouZiMingXiXuanGaoFaFangXianJinGuLiHuoLiRun" label="合营企业投资明细-宣告发放现金股利或利润" mulRef="_GBC_9ef1128bd666425898c1d0386f4940f0" unitRef="_GBC_3839232c7f594f79a27ec799cde377b3" addr="T0R3C7S1_1" baseScale="-1" formatStyle="Comma" appId="_GBC_94e2c461d3d34280a0a5f1e908656d3e"/>
        <m:item xlName="_GBC_b51dee946c2e482fb0ba868e375f1abe" concept="clcid-pte:HeYingQiYeTouZiMingXiJiTiJianZhiZhunBei" label="合营企业投资明细-计提减值准备" mulRef="_GBC_9ef1128bd666425898c1d0386f4940f0" unitRef="_GBC_3839232c7f594f79a27ec799cde377b3" addr="T0R3C8S1_1" baseScale="-1" formatStyle="Comma" appId="_GBC_94e2c461d3d34280a0a5f1e908656d3e"/>
        <m:item xlName="_GBC_85aa486e4a304a89b5d61ef84d77c529" concept="clcid-pte:HeYingQiYeTouZiMingXiQiTaZengJianBianDong" label="合营企业投资明细-其他增减变动" mulRef="_GBC_9ef1128bd666425898c1d0386f4940f0" unitRef="_GBC_3839232c7f594f79a27ec799cde377b3" addr="T0R3C9S1_1" formatStyle="Comma" appId="_GBC_94e2c461d3d34280a0a5f1e908656d3e"/>
        <m:item xlName="_GBC_af118725a65745d9aba837ba7f6bc9a5" concept="clcid-pte:HeYingQiYeTouZiMingXiYuE" label="合营企业投资明细-余额" mulRef="_GBC_9ef1128bd666425898c1d0386f4940f0" unitRef="_GBC_3839232c7f594f79a27ec799cde377b3" addr="T0R3C10S1_1" formatStyle="Comma" appId="_GBC_94e2c461d3d34280a0a5f1e908656d3e">
          <m:complexRule comparator="Eq" title="合营企业投资明细-余额" test=" $_GBC_c076f12769ff4e948698d427b8be514b +  $_GBC_f4b3512848714c75a2de66c18cfb66cd -  $_GBC_63fecc3d2cb349259bf54b1ae8bad8d0 +  $_GBC_a2ff40d3e8d248fcaa8d6053f69822f2 +  $_GBC_2727ee281d90484d92f9caf15d3f497d +  $_GBC_9fc6131afae048b9ba7a7cb9fd15c7c0 -  $_GBC_5c46ddca0ac5408583b5d9a39c58099d -  $_GBC_b51dee946c2e482fb0ba868e375f1abe +  $_GBC_85aa486e4a304a89b5d61ef84d77c529" id="C0835eebdac6f46c995a7e3d0be53cb98"/>
        </m:item>
        <m:item xlName="_GBC_d2917951e14940dc8203dc0f5f872905" concept="clcid-pte:HeYingQiYeTouZiMingXiJianZhiZhunBeiYuE" label="合营企业投资明细-减值准备余额" mulRef="_GBC_9ef1128bd666425898c1d0386f4940f0" unitRef="_GBC_3839232c7f594f79a27ec799cde377b3" addr="T0R3C11S1_1" formatStyle="Comma" appId="_GBC_94e2c461d3d34280a0a5f1e908656d3e"/>
        <m:item xlName="_GBC_1d5c3d04f8fd470a9c2bb03648d3fe1f" concept="">
          <m:extendConcept standardLabel="本年增加" dataType="xbrli:stringItemType" period="instant"/>
        </m:item>
      </m:tuple>
      <m:placeholder xlName="_PLD_295bd2e13c884c579b2866f1b3e0ad4a" wordText="小计" addr="T0R5C0S1_1"/>
      <m:item xlName="_GBC_155238083b904c979bdae45f14038b6b" concept="clcid-pte:HeYingQiYeYuEXiaoJi" label="合营企业-余额小计" periodRef="本期期初数" mulRef="_GBC_9ef1128bd666425898c1d0386f4940f0" unitRef="_GBC_3839232c7f594f79a27ec799cde377b3" addr="T0R5C1S1_1" formatStyle="Comma" appId="_GBC_94e2c461d3d34280a0a5f1e908656d3e">
        <m:complexRule comparator="Eq" title="合营企业-余额小计@本期期初数" test=" $_GBC_c076f12769ff4e948698d427b8be514b" id="C479625afa9684554bf651d8cddec046e"/>
      </m:item>
      <m:item xlName="_GBC_dba60e37bad24d06b7c8806dca102072" concept="clcid-pte:HeYingQiYeZhuiJiaTouZiXiaoJi" label="合营企业-追加投资小计" mulRef="_GBC_9ef1128bd666425898c1d0386f4940f0" unitRef="_GBC_3839232c7f594f79a27ec799cde377b3" addr="T0R5C2S1_1" formatStyle="Comma" appId="_GBC_94e2c461d3d34280a0a5f1e908656d3e">
        <m:complexRule comparator="Eq" title="合营企业-追加投资小计" test=" $_GBC_f4b3512848714c75a2de66c18cfb66cd" id="C9caec32baeb449e9ba0008dd95a8353e"/>
      </m:item>
      <m:item xlName="_GBC_17dd8e9b6f0044ac9dcfcfbfc690f3d5" concept="clcid-pte:HeYingQiYeJianShaoTouZiXiaoJi" label="合营企业-减少投资小计" mulRef="_GBC_9ef1128bd666425898c1d0386f4940f0" unitRef="_GBC_3839232c7f594f79a27ec799cde377b3" addr="T0R5C3S1_1" baseScale="-1" formatStyle="Comma" appId="_GBC_94e2c461d3d34280a0a5f1e908656d3e">
        <m:complexRule comparator="Eq" title="合营企业-减少投资小计" test=" $_GBC_63fecc3d2cb349259bf54b1ae8bad8d0" id="Cf6995270afac41aaa22ce559dd7c5727"/>
      </m:item>
      <m:item xlName="_GBC_21a7459f40484c14ae44e81743de86eb" concept="clcid-pte:HeYingQiYeQuanYiFaXiaQueRenDeTouZiSunYiXiaoJi" label="合营企业-权益法下确认的投资损益小计" mulRef="_GBC_9ef1128bd666425898c1d0386f4940f0" unitRef="_GBC_3839232c7f594f79a27ec799cde377b3" addr="T0R5C4S1_1" formatStyle="Comma" appId="_GBC_94e2c461d3d34280a0a5f1e908656d3e">
        <m:complexRule comparator="Eq" title="合营企业-权益法下确认的投资损益小计" test=" $_GBC_a2ff40d3e8d248fcaa8d6053f69822f2" id="C7cf4e41402624be4ac67a0a36d1290d2"/>
      </m:item>
      <m:item xlName="_GBC_106e560c452d4c40b567456c554a6d5a" concept="clcid-pte:HeYingQiYeQiTaZongHeShouYiDiaoZhengXiaoJi" label="合营企业-其他综合收益调整小计" mulRef="_GBC_9ef1128bd666425898c1d0386f4940f0" unitRef="_GBC_3839232c7f594f79a27ec799cde377b3" addr="T0R5C5S1_1" formatStyle="Comma" appId="_GBC_94e2c461d3d34280a0a5f1e908656d3e">
        <m:complexRule comparator="Eq" title="合营企业-其他综合收益调整小计" test=" $_GBC_2727ee281d90484d92f9caf15d3f497d" id="C402e3a4398a248ea9253e60e99390c49"/>
      </m:item>
      <m:item xlName="_GBC_c2f2ed50863d42b78a6b8dffccb37270" concept="clcid-pte:HeYingQiYeQiTaQuanYiBianDongXiaoJi" label="合营企业-其他权益变动小计" mulRef="_GBC_9ef1128bd666425898c1d0386f4940f0" unitRef="_GBC_3839232c7f594f79a27ec799cde377b3" addr="T0R5C6S1_1" formatStyle="Comma" appId="_GBC_94e2c461d3d34280a0a5f1e908656d3e">
        <m:complexRule comparator="Eq" title="合营企业-其他权益变动小计" test=" $_GBC_9fc6131afae048b9ba7a7cb9fd15c7c0" id="Cf75db6cb70f142a797f16822679422d0"/>
      </m:item>
      <m:item xlName="_GBC_4283dcd192eb451e8dbeb6c31015b17e" concept="clcid-pte:HeYingQiYeXuanGaoFaFangXianJinGuLiHuoLiRunXiaoJi" label="合营企业-宣告发放现金股利或利润小计" mulRef="_GBC_9ef1128bd666425898c1d0386f4940f0" unitRef="_GBC_3839232c7f594f79a27ec799cde377b3" addr="T0R5C7S1_1" baseScale="-1" formatStyle="Comma" appId="_GBC_94e2c461d3d34280a0a5f1e908656d3e">
        <m:complexRule comparator="Eq" title="合营企业-宣告发放现金股利或利润小计" test=" $_GBC_5c46ddca0ac5408583b5d9a39c58099d" id="Ca9e6523f33864ba78d776c67cb600960"/>
      </m:item>
      <m:item xlName="_GBC_7c057909878e4b7c9db16f80218aa049" concept="clcid-pte:HeYingQiYeJiTiJianZhiZhunBeiXiaoJi" label="合营企业-计提减值准备小计" mulRef="_GBC_9ef1128bd666425898c1d0386f4940f0" unitRef="_GBC_3839232c7f594f79a27ec799cde377b3" addr="T0R5C8S1_1" baseScale="-1" formatStyle="Comma" appId="_GBC_94e2c461d3d34280a0a5f1e908656d3e">
        <m:complexRule comparator="Eq" title="合营企业-计提减值准备小计" test=" $_GBC_b51dee946c2e482fb0ba868e375f1abe" id="Cb64add0557f1404faa15a6b7e7cc98aa"/>
      </m:item>
      <m:item xlName="_GBC_36ca29ba0bff4dc9842395479128e698" concept="clcid-pte:HeYingQiYeQiTaZengJianBianDongXiaoJi" label="合营企业-其他增减变动小计" mulRef="_GBC_9ef1128bd666425898c1d0386f4940f0" unitRef="_GBC_3839232c7f594f79a27ec799cde377b3" addr="T0R5C9S1_1" formatStyle="Comma" appId="_GBC_94e2c461d3d34280a0a5f1e908656d3e">
        <m:complexRule comparator="Eq" title="合营企业-其他增减变动小计" test=" $_GBC_85aa486e4a304a89b5d61ef84d77c529" id="C1647defdfaf343b39c37b2bdaa286d1d"/>
      </m:item>
      <m:item xlName="_GBC_b8c6deb5587b46818fde1911f74e1993" concept="clcid-pte:HeYingQiYeYuEXiaoJi" label="合营企业-余额小计" mulRef="_GBC_9ef1128bd666425898c1d0386f4940f0" unitRef="_GBC_3839232c7f594f79a27ec799cde377b3" addr="T0R5C10S1_1" formatStyle="Comma" appId="_GBC_94e2c461d3d34280a0a5f1e908656d3e">
        <m:complexRule comparator="Eq" title="合营企业-余额小计" test=" $_GBC_af118725a65745d9aba837ba7f6bc9a5" id="Ccafd9755ffe04ebfb77ccb00e7d8c746"/>
        <m:complexRule comparator="Eq" test=" $_GBC_155238083b904c979bdae45f14038b6b +  $_GBC_dba60e37bad24d06b7c8806dca102072 -  $_GBC_17dd8e9b6f0044ac9dcfcfbfc690f3d5 +  $_GBC_21a7459f40484c14ae44e81743de86eb +  $_GBC_106e560c452d4c40b567456c554a6d5a +  $_GBC_c2f2ed50863d42b78a6b8dffccb37270 -  $_GBC_4283dcd192eb451e8dbeb6c31015b17e -  $_GBC_7c057909878e4b7c9db16f80218aa049 +  $_GBC_36ca29ba0bff4dc9842395479128e698" id="Cfef91e743f504e0aaa64b7156fe7d213"/>
      </m:item>
      <m:item xlName="_GBC_b0a12e6e346948a5a9ad462b4bc3c0bb" concept="clcid-pte:HeYingQiYeJianZhiZhunBeiXiaoJi" label="合营企业-减值准备小计" mulRef="_GBC_9ef1128bd666425898c1d0386f4940f0" unitRef="_GBC_3839232c7f594f79a27ec799cde377b3" addr="T0R5C11S1_1" formatStyle="Comma" appId="_GBC_94e2c461d3d34280a0a5f1e908656d3e">
        <m:complexRule comparator="Eq" title="合营企业-减值准备小计" test=" $_GBC_d2917951e14940dc8203dc0f5f872905" id="C8bbc0b6a43a3482c8bdf2d6d8630883b"/>
      </m:item>
      <m:placeholder xlName="_PLD_2c448562bca04f23a9ec97848768cd82" wordText="二、联营企业" addr="T0R6C0S1_12"/>
      <m:tuple xlName="_TUP_9536e771f46d491bae43945d896c883f" concept="clcid-pte:LianYingQiYeTouZiXinXiMingXi" label="联营企业投资信息明细" default_row="2" addr="T0R7C">
        <m:item xlName="_GBC_9f10b11b9848458cbb0bcfb9f53329c5" wordText="　" concept="clcid-pte:LianYingQiYeTouZiXinXiMingXiMingCheng" label="联营企业投资信息明细－名称" addr="T0R7C0S1_1" appId="_GBC_94e2c461d3d34280a0a5f1e908656d3e"/>
        <m:item xlName="_GBC_edc6499d9e4e46ffac1c65768d630dc4" concept="clcid-pte:LianYingQiYeTouZiMingXiYuE" label="联营企业投资明细-余额" periodRef="本期期初数" mulRef="_GBC_9ef1128bd666425898c1d0386f4940f0" unitRef="_GBC_3839232c7f594f79a27ec799cde377b3" addr="T0R7C1S1_1" formatStyle="Comma" appId="_GBC_94e2c461d3d34280a0a5f1e908656d3e"/>
        <m:item xlName="_GBC_389f0726c51c4e90ba47889f18b43118" concept="clcid-pte:LianYingQiYeTouZiMingXiZhuiJiaTouZi" label="联营企业投资明细-追加投资" mulRef="_GBC_9ef1128bd666425898c1d0386f4940f0" unitRef="_GBC_3839232c7f594f79a27ec799cde377b3" addr="T0R7C2S1_1" formatStyle="Comma" appId="_GBC_94e2c461d3d34280a0a5f1e908656d3e"/>
        <m:item xlName="_GBC_4f81043ef60144b8bdd49a6be5488aa2" concept="clcid-pte:LianYingQiYeTouZiMingXiJianShaoTouZi" label="联营企业投资明细-减少投资" mulRef="_GBC_9ef1128bd666425898c1d0386f4940f0" unitRef="_GBC_3839232c7f594f79a27ec799cde377b3" addr="T0R7C3S1_1" baseScale="-1" formatStyle="Comma" appId="_GBC_94e2c461d3d34280a0a5f1e908656d3e"/>
        <m:item xlName="_GBC_8521ac73278249cca513d1c990fb4d08" concept="clcid-pte:LianYingQiYeTouZiMingXiQuanYiFaXiaQueRenDeTouZiSunYi" label="联营企业投资明细-权益法下确认的投资损益" mulRef="_GBC_9ef1128bd666425898c1d0386f4940f0" unitRef="_GBC_3839232c7f594f79a27ec799cde377b3" addr="T0R7C4S1_1" formatStyle="Comma" appId="_GBC_94e2c461d3d34280a0a5f1e908656d3e"/>
        <m:item xlName="_GBC_e986880a48484f60a6cc22ca026d1d6f" concept="clcid-pte:LianYingQiYeTouZiMingXiQiTaZongHeShouYiDiaoZheng" label="联营企业投资明细-其他综合收益调整" mulRef="_GBC_9ef1128bd666425898c1d0386f4940f0" unitRef="_GBC_3839232c7f594f79a27ec799cde377b3" addr="T0R7C5S1_1" formatStyle="Comma" appId="_GBC_94e2c461d3d34280a0a5f1e908656d3e"/>
        <m:item xlName="_GBC_577d8e2cea9b468eb8683c8bebaa257c" concept="clcid-pte:LianYingQiYeTouZiMingXiQiTaQuanYiBianDong" label="联营企业投资明细-其他权益变动" mulRef="_GBC_9ef1128bd666425898c1d0386f4940f0" unitRef="_GBC_3839232c7f594f79a27ec799cde377b3" addr="T0R7C6S1_1" formatStyle="Comma" appId="_GBC_94e2c461d3d34280a0a5f1e908656d3e"/>
        <m:item xlName="_GBC_9076db1bba024b6e9c4530f9951ac378" concept="clcid-pte:LianYingQiYeTouZiMingXiXuanGaoFaFangXianJinGuLiHuoLiRun" label="联营企业投资明细-宣告发放现金股利或利润" mulRef="_GBC_9ef1128bd666425898c1d0386f4940f0" unitRef="_GBC_3839232c7f594f79a27ec799cde377b3" addr="T0R7C7S1_1" baseScale="-1" formatStyle="Comma" appId="_GBC_94e2c461d3d34280a0a5f1e908656d3e"/>
        <m:item xlName="_GBC_109424852fc44e2ab0f91f14bdfadf31" concept="clcid-pte:LianYingQiYeTouZiMingXiJiTiJianZhiZhunBei" label="联营企业投资明细-计提减值准备" mulRef="_GBC_9ef1128bd666425898c1d0386f4940f0" unitRef="_GBC_3839232c7f594f79a27ec799cde377b3" addr="T0R7C8S1_1" baseScale="-1" formatStyle="Comma" appId="_GBC_94e2c461d3d34280a0a5f1e908656d3e"/>
        <m:item xlName="_GBC_9f4bf77a92df42189b8a351056b8f4a8" concept="clcid-pte:LianYingQiYeTouZiMingXiQiTaZengJianBianDong" label="联营企业投资明细-其他增减变动" mulRef="_GBC_9ef1128bd666425898c1d0386f4940f0" unitRef="_GBC_3839232c7f594f79a27ec799cde377b3" addr="T0R7C9S1_1" formatStyle="Comma" appId="_GBC_94e2c461d3d34280a0a5f1e908656d3e"/>
        <m:item xlName="_GBC_b97c553bf5c74bc08aaab43627ea7ed2" concept="clcid-pte:LianYingQiYeTouZiMingXiYuE" label="联营企业投资明细-余额" mulRef="_GBC_9ef1128bd666425898c1d0386f4940f0" unitRef="_GBC_3839232c7f594f79a27ec799cde377b3" addr="T0R7C10S1_1" formatStyle="Comma" appId="_GBC_94e2c461d3d34280a0a5f1e908656d3e">
          <m:complexRule comparator="Eq" title="联营企业投资明细-余额" test=" $_GBC_edc6499d9e4e46ffac1c65768d630dc4 +  $_GBC_389f0726c51c4e90ba47889f18b43118 -  $_GBC_4f81043ef60144b8bdd49a6be5488aa2 +  $_GBC_8521ac73278249cca513d1c990fb4d08 +  $_GBC_e986880a48484f60a6cc22ca026d1d6f +  $_GBC_577d8e2cea9b468eb8683c8bebaa257c -  $_GBC_9076db1bba024b6e9c4530f9951ac378 -  $_GBC_109424852fc44e2ab0f91f14bdfadf31 +  $_GBC_9f4bf77a92df42189b8a351056b8f4a8" id="C948594663e0e49d1a4c061fc82979485"/>
        </m:item>
        <m:item xlName="_GBC_e23a6920c0194c4aa1c175debf508c10" concept="clcid-pte:LianYingQiYeTouZiMingXiJianZhiZhunBeiYuE" label="联营企业投资明细-减值准备余额" mulRef="_GBC_9ef1128bd666425898c1d0386f4940f0" unitRef="_GBC_3839232c7f594f79a27ec799cde377b3" addr="T0R7C11S1_1" formatStyle="Comma" appId="_GBC_94e2c461d3d34280a0a5f1e908656d3e"/>
        <m:item xlName="_GBC_d57cd81dfcb5445dab427e60d5751a6a" concept="">
          <m:extendConcept standardLabel="本年增加" dataType="xbrli:stringItemType" period="instant"/>
        </m:item>
      </m:tuple>
      <m:placeholder xlName="_PLD_01d10d53c021416d9099f27f6145f507" wordText="小计" addr="T0R9C0S1_1"/>
      <m:item xlName="_GBC_5ae1492e8220493e9901901b6a1ff127" concept="clcid-pte:LianYingQiYeYuEXiaoJi" label="联营企业-余额小计" periodRef="本期期初数" mulRef="_GBC_9ef1128bd666425898c1d0386f4940f0" unitRef="_GBC_3839232c7f594f79a27ec799cde377b3" addr="T0R9C1S1_1" formatStyle="Comma" appId="_GBC_94e2c461d3d34280a0a5f1e908656d3e">
        <m:complexRule comparator="Eq" title="联营企业-余额小计@本期期初数" test=" $_GBC_edc6499d9e4e46ffac1c65768d630dc4" id="Cf0cf5314128a4b259c254c35920b4c6e"/>
      </m:item>
      <m:item xlName="_GBC_3866e3bec75f4495be380024c2267d52" concept="clcid-pte:LianYingQiYeZhuiJiaTouZiXiaoJi" label="联营企业-追加投资小计" mulRef="_GBC_9ef1128bd666425898c1d0386f4940f0" unitRef="_GBC_3839232c7f594f79a27ec799cde377b3" addr="T0R9C2S1_1" formatStyle="Comma" appId="_GBC_94e2c461d3d34280a0a5f1e908656d3e">
        <m:complexRule comparator="Eq" title="联营企业-追加投资小计" test=" $_GBC_389f0726c51c4e90ba47889f18b43118" id="C85a6724cf03246ada7b06a76a5590b7c"/>
      </m:item>
      <m:item xlName="_GBC_87693ba417ea4e0983997e4e40c07a9f" concept="clcid-pte:LianYingQiYeJianShaoTouZiXiaoJi" label="联营企业-减少投资小计" mulRef="_GBC_9ef1128bd666425898c1d0386f4940f0" unitRef="_GBC_3839232c7f594f79a27ec799cde377b3" addr="T0R9C3S1_1" baseScale="-1" formatStyle="Comma" appId="_GBC_94e2c461d3d34280a0a5f1e908656d3e">
        <m:complexRule comparator="Eq" title="联营企业-减少投资小计" test=" $_GBC_4f81043ef60144b8bdd49a6be5488aa2" id="C7c537218658f457aa09c76734c560cb2"/>
      </m:item>
      <m:item xlName="_GBC_f57420fe8c6e4666af66f3469b644ca0" concept="clcid-pte:LianYingQiYeQuanYiFaXiaQueRenDeTouZiSunYiXiaoJi" label="联营企业-权益法下确认的投资损益小计" mulRef="_GBC_9ef1128bd666425898c1d0386f4940f0" unitRef="_GBC_3839232c7f594f79a27ec799cde377b3" addr="T0R9C4S1_1" formatStyle="Comma" appId="_GBC_94e2c461d3d34280a0a5f1e908656d3e">
        <m:complexRule comparator="Eq" title="联营企业-权益法下确认的投资损益小计" test=" $_GBC_8521ac73278249cca513d1c990fb4d08" id="Ce53fc3429b224cfea8938c54726c8edb"/>
      </m:item>
      <m:item xlName="_GBC_7bff39a7dd4d4785a45ffa7f6e5b79cf" concept="clcid-pte:LianYingQiYeQiTaZongHeShouYiDiaoZhengXiaoJi" label="联营企业-其他综合收益调整小计" mulRef="_GBC_9ef1128bd666425898c1d0386f4940f0" unitRef="_GBC_3839232c7f594f79a27ec799cde377b3" addr="T0R9C5S1_1" formatStyle="Comma" appId="_GBC_94e2c461d3d34280a0a5f1e908656d3e">
        <m:complexRule comparator="Eq" title="联营企业-其他综合收益调整小计" test=" $_GBC_e986880a48484f60a6cc22ca026d1d6f" id="Cbf291acc51e44216aa4a8ccc4eb33475"/>
      </m:item>
      <m:item xlName="_GBC_1807a799265e4ba9afd553b9c077a911" concept="clcid-pte:LianYingQiYeQiTaQuanYiBianDongXiaoJi" label="联营企业-其他权益变动小计" mulRef="_GBC_9ef1128bd666425898c1d0386f4940f0" unitRef="_GBC_3839232c7f594f79a27ec799cde377b3" addr="T0R9C6S1_1" formatStyle="Comma" appId="_GBC_94e2c461d3d34280a0a5f1e908656d3e">
        <m:complexRule comparator="Eq" title="联营企业-其他权益变动小计" test=" $_GBC_577d8e2cea9b468eb8683c8bebaa257c" id="C0effbbbf8cb04f56b004a2f32db6088f"/>
      </m:item>
      <m:item xlName="_GBC_3df4c93fbccc41dfb3dbc9f47f06be3d" concept="clcid-pte:LianYingQiYeXuanGaoFaFangXianJinGuLiHuoLiRunXiaoJi" label="联营企业-宣告发放现金股利或利润小计" mulRef="_GBC_9ef1128bd666425898c1d0386f4940f0" unitRef="_GBC_3839232c7f594f79a27ec799cde377b3" addr="T0R9C7S1_1" baseScale="-1" formatStyle="Comma" appId="_GBC_94e2c461d3d34280a0a5f1e908656d3e">
        <m:complexRule comparator="Eq" title="联营企业-宣告发放现金股利或利润小计" test=" $_GBC_9076db1bba024b6e9c4530f9951ac378" id="Cd32fd897aedf4764b9f4575b7dc916fd"/>
      </m:item>
      <m:item xlName="_GBC_13e8af50d0e449bbad52e1474099ae85" concept="clcid-pte:LianYingQiYeJiTiJianZhiZhunBeiXiaoJi" label="联营企业-计提减值准备小计" mulRef="_GBC_9ef1128bd666425898c1d0386f4940f0" unitRef="_GBC_3839232c7f594f79a27ec799cde377b3" addr="T0R9C8S1_1" baseScale="-1" formatStyle="Comma" appId="_GBC_94e2c461d3d34280a0a5f1e908656d3e">
        <m:complexRule comparator="Eq" title="联营企业-计提减值准备小计" test=" $_GBC_109424852fc44e2ab0f91f14bdfadf31" id="C4b1fa086d8e64f6b96dfe160f308c7d7"/>
      </m:item>
      <m:item xlName="_GBC_0cd1179a77134b13870b1213b06396a2" concept="clcid-pte:LianYingQiYeQiTaZengJianBianDongXiaoJi" label="联营企业-其他增减变动小计" mulRef="_GBC_9ef1128bd666425898c1d0386f4940f0" unitRef="_GBC_3839232c7f594f79a27ec799cde377b3" addr="T0R9C9S1_1" formatStyle="Comma" appId="_GBC_94e2c461d3d34280a0a5f1e908656d3e">
        <m:complexRule comparator="Eq" title="联营企业-其他增减变动小计" test=" $_GBC_9f4bf77a92df42189b8a351056b8f4a8" id="Ce25220398e994cedb1e4e77323d80a7c"/>
      </m:item>
      <m:item xlName="_GBC_7f47366c3d4248dfbb26db691bf7abb0" concept="clcid-pte:LianYingQiYeYuEXiaoJi" label="联营企业-余额小计" mulRef="_GBC_9ef1128bd666425898c1d0386f4940f0" unitRef="_GBC_3839232c7f594f79a27ec799cde377b3" addr="T0R9C10S1_1" formatStyle="Comma" appId="_GBC_94e2c461d3d34280a0a5f1e908656d3e">
        <m:complexRule comparator="Eq" title="联营企业-余额小计" test=" $_GBC_b97c553bf5c74bc08aaab43627ea7ed2" id="Ca6a6a02bd8144678ac985b541e8526e4"/>
        <m:complexRule comparator="Eq" test="$_GBC_5ae1492e8220493e9901901b6a1ff127 + $_GBC_3866e3bec75f4495be380024c2267d52 - $_GBC_87693ba417ea4e0983997e4e40c07a9f + $_GBC_f57420fe8c6e4666af66f3469b644ca0 + $_GBC_7bff39a7dd4d4785a45ffa7f6e5b79cf + $_GBC_1807a799265e4ba9afd553b9c077a911 - $_GBC_3df4c93fbccc41dfb3dbc9f47f06be3d - $_GBC_13e8af50d0e449bbad52e1474099ae85 + $_GBC_0cd1179a77134b13870b1213b06396a2" id="Cc021771604c748daaaba491bfb12672b"/>
      </m:item>
      <m:item xlName="_GBC_1c3d5ebb7db3427ba587796775ffde8c" concept="clcid-pte:LianYingQiYeJianZhiZhunBeiXiaoJi" label="联营企业-减值准备小计" mulRef="_GBC_9ef1128bd666425898c1d0386f4940f0" unitRef="_GBC_3839232c7f594f79a27ec799cde377b3" addr="T0R9C11S1_1" formatStyle="Comma" appId="_GBC_94e2c461d3d34280a0a5f1e908656d3e">
        <m:complexRule comparator="Eq" title="联营企业-减值准备小计" test=" $_GBC_e23a6920c0194c4aa1c175debf508c10" id="Cc9c473bde1e347809889b9734ce36f76"/>
      </m:item>
      <m:placeholder xlName="_PLD_e1b492ac76a6486cbdda41e1180ee125" wordText="合计" addr="T0R10C0S1_1"/>
      <m:item xlName="_GBC_f89297569e32436d9928859b5ec9f0d7" concept="clcid-pte:ChangQiGuQuanTouZiHeJi" label="长期股权投资合计" periodRef="本期期初数" mulRef="_GBC_9ef1128bd666425898c1d0386f4940f0" unitRef="_GBC_3839232c7f594f79a27ec799cde377b3" addr="T0R10C1S1_1" formatStyle="Comma" appId="_GBC_94e2c461d3d34280a0a5f1e908656d3e">
        <m:complexRule comparator="Eq" title="长期股权投资合计@本期期初数" test=" $_GBC_155238083b904c979bdae45f14038b6b +  $_GBC_5ae1492e8220493e9901901b6a1ff127" id="Cd6845d975c7a4f83a391e76bf42ed9d1"/>
      </m:item>
      <m:item xlName="_GBC_1d791e50ce7449a4ac460f6ea1d84f80" concept="clcid-pte:ChangQiGuQuanTouZiBenQiZengJiaZhuiJiaTouZiHeJi" label="长期股权投资本期增加-追加投资合计" mulRef="_GBC_9ef1128bd666425898c1d0386f4940f0" unitRef="_GBC_3839232c7f594f79a27ec799cde377b3" addr="T0R10C2S1_1" formatStyle="Comma" appId="_GBC_94e2c461d3d34280a0a5f1e908656d3e">
        <m:complexRule comparator="Eq" title="长期股权投资本期增加-追加投资合计" test=" $_GBC_dba60e37bad24d06b7c8806dca102072 +  $_GBC_3866e3bec75f4495be380024c2267d52" id="C1102eaed3325481cad7bba0589c69c70"/>
      </m:item>
      <m:item xlName="_GBC_3748f88aac8b4610996ae9832a0c9c76" concept="clcid-pte:ChangQiGuQuanTouZiBenQiJianShaoJianShaoTouZiHeJi" label="长期股权投资本期减少-减少投资合计" mulRef="_GBC_9ef1128bd666425898c1d0386f4940f0" unitRef="_GBC_3839232c7f594f79a27ec799cde377b3" addr="T0R10C3S1_1" baseScale="-1" formatStyle="Comma" appId="_GBC_94e2c461d3d34280a0a5f1e908656d3e">
        <m:complexRule comparator="Eq" title="长期股权投资本期减少-减少投资合计" test=" $_GBC_17dd8e9b6f0044ac9dcfcfbfc690f3d5 +  $_GBC_87693ba417ea4e0983997e4e40c07a9f" id="C1917c18bbbde4d9c9015b0ded123ab77"/>
      </m:item>
      <m:item xlName="_GBC_97d8a6e6e54147f195f44aa3bb1c4584" concept="clcid-pte:ChangQiGuQuanTouZiBenQiZengJiaQuanYiFaXiaQueRenDeTouZiShouYiHeJi" label="长期股权投资本期增加-权益法下确认的投资收益合计" mulRef="_GBC_9ef1128bd666425898c1d0386f4940f0" unitRef="_GBC_3839232c7f594f79a27ec799cde377b3" addr="T0R10C4S1_1" formatStyle="Comma" appId="_GBC_94e2c461d3d34280a0a5f1e908656d3e">
        <m:complexRule comparator="Eq" title="长期股权投资本期增加-权益法下确认的投资收益合计" test=" $_GBC_21a7459f40484c14ae44e81743de86eb +  $_GBC_f57420fe8c6e4666af66f3469b644ca0" id="Cc34610aba3a246ce9972f70e5a82218e"/>
      </m:item>
      <m:item xlName="_GBC_450ad46308c34ab3a1df49d4334cdb19" concept="clcid-pte:ChangQiGuQuanTouZiBenQiZengJiaQiTaZongHeShouYiDiaoZhengHeJi" label="长期股权投资本期增加-其他综合收益调整合计" mulRef="_GBC_9ef1128bd666425898c1d0386f4940f0" unitRef="_GBC_3839232c7f594f79a27ec799cde377b3" addr="T0R10C5S1_1" formatStyle="Comma" appId="_GBC_94e2c461d3d34280a0a5f1e908656d3e">
        <m:complexRule comparator="Eq" title="长期股权投资本期增加-其他综合收益调整合计" test=" $_GBC_106e560c452d4c40b567456c554a6d5a +  $_GBC_7bff39a7dd4d4785a45ffa7f6e5b79cf" id="C88952c20a9084ecea30e004e03b5739a"/>
      </m:item>
      <m:item xlName="_GBC_51a01682316b49a1816b14904a40c883" concept="clcid-pte:ChangQiGuQuanTouZiBenQiZengJiaQiTaQuanYiBianDongHeJi" label="长期股权投资本期增加-其他权益变动合计" mulRef="_GBC_9ef1128bd666425898c1d0386f4940f0" unitRef="_GBC_3839232c7f594f79a27ec799cde377b3" addr="T0R10C6S1_1" formatStyle="Comma" appId="_GBC_94e2c461d3d34280a0a5f1e908656d3e">
        <m:complexRule comparator="Eq" title="长期股权投资本期增加-其他权益变动合计" test=" $_GBC_c2f2ed50863d42b78a6b8dffccb37270 +  $_GBC_1807a799265e4ba9afd553b9c077a911" id="C8640f0f0492a4ccd93bd92fb4135e067"/>
      </m:item>
      <m:item xlName="_GBC_8ff1bd180c6d42fba364dc6b2cf4e95e" concept="clcid-pte:ChangQiGuQuanTouZiXuanGaoFaFangXianJinGuLiHuoLiRunHeJi" label="长期股权投资宣告发放现金股利或利润合计" mulRef="_GBC_9ef1128bd666425898c1d0386f4940f0" unitRef="_GBC_3839232c7f594f79a27ec799cde377b3" addr="T0R10C7S1_1" baseScale="-1" formatStyle="Comma" appId="_GBC_94e2c461d3d34280a0a5f1e908656d3e">
        <m:complexRule comparator="Eq" title="长期股权投资宣告发放现金股利或利润合计" test=" $_GBC_4283dcd192eb451e8dbeb6c31015b17e +  $_GBC_3df4c93fbccc41dfb3dbc9f47f06be3d" id="C70cc74687a1d4b39b3a67c8fe7f22f1b"/>
      </m:item>
      <m:item xlName="_GBC_f20f4af0b97f4cde82af22c1ce8a9f88" concept="clcid-pte:ChangQiGuQuanTouZiJianZhiZhunBeiDeBenQiZengJiaShu" label="长期股权投资减值准备_本期增加数" mulRef="_GBC_9ef1128bd666425898c1d0386f4940f0" unitRef="_GBC_3839232c7f594f79a27ec799cde377b3" addr="T0R10C8S1_1" baseScale="-1" formatStyle="Comma" appId="_GBC_94e2c461d3d34280a0a5f1e908656d3e">
        <m:complexRule comparator="Eq" title="长期股权投资减值准备_本期增加数" test=" $_GBC_7c057909878e4b7c9db16f80218aa049 +  $_GBC_13e8af50d0e449bbad52e1474099ae85" id="C24aaf8e23f1643aa90fb715da5d74a84"/>
      </m:item>
      <m:item xlName="_GBC_61fdc427ea5048c0918f476d45792495" concept="clcid-pte:ChangQiGuQuanTouZiBenQiQiTaZengJianBianDongHeJi" label="长期股权投资本期其他增减变动合计" mulRef="_GBC_9ef1128bd666425898c1d0386f4940f0" unitRef="_GBC_3839232c7f594f79a27ec799cde377b3" addr="T0R10C9S1_1" formatStyle="Comma" appId="_GBC_94e2c461d3d34280a0a5f1e908656d3e">
        <m:complexRule comparator="Eq" title="长期股权投资本期其他增减变动合计" test=" $_GBC_36ca29ba0bff4dc9842395479128e698 +  $_GBC_0cd1179a77134b13870b1213b06396a2" id="C259455f5b8064f4d82a9634e827dfe8f"/>
      </m:item>
      <m:item xlName="_GBC_034b69651f5340db9a03e3db014e4fc4" concept="clcid-pte:ChangQiGuQuanTouZiHeJi" label="长期股权投资合计" mulRef="_GBC_9ef1128bd666425898c1d0386f4940f0" unitRef="_GBC_3839232c7f594f79a27ec799cde377b3" addr="T0R10C10S1_1" formatStyle="Comma" appId="_GBC_94e2c461d3d34280a0a5f1e908656d3e">
        <m:complexRule comparator="Eq" title="长期股权投资合计" test=" $_GBC_b8c6deb5587b46818fde1911f74e1993 +  $_GBC_7f47366c3d4248dfbb26db691bf7abb0" id="C7d636d0f276f4f1aa59966943172d272"/>
        <m:complexRule comparator="Eq" test="$_GBC_f89297569e32436d9928859b5ec9f0d7 + $_GBC_1d791e50ce7449a4ac460f6ea1d84f80 - $_GBC_3748f88aac8b4610996ae9832a0c9c76 + $_GBC_97d8a6e6e54147f195f44aa3bb1c4584 + $_GBC_450ad46308c34ab3a1df49d4334cdb19 + $_GBC_51a01682316b49a1816b14904a40c883 - $_GBC_8ff1bd180c6d42fba364dc6b2cf4e95e - $_GBC_f20f4af0b97f4cde82af22c1ce8a9f88 + $_GBC_61fdc427ea5048c0918f476d45792495" id="Cbe846ca685f1414e907d56aa1966d63d"/>
      </m:item>
      <m:item xlName="_GBC_e0d7f1299f3044518301387149e88e9a" concept="clcid-pte:ChangQiGuQuanTouZiJianZhiZhunBeiYuE" label="长期股权投资减值准备余额" mulRef="_GBC_9ef1128bd666425898c1d0386f4940f0" unitRef="_GBC_3839232c7f594f79a27ec799cde377b3" addr="T0R10C11S1_1" formatStyle="Comma" appId="_GBC_94e2c461d3d34280a0a5f1e908656d3e">
        <m:complexRule comparator="Eq" title="长期股权投资减值准备余额" test=" $_GBC_b0a12e6e346948a5a9ad462b4bc3c0bb +  $_GBC_1c3d5ebb7db3427ba587796775ffde8c" id="Cdf39137e2cd7478e950dab45f266e58d"/>
      </m:item>
      <m:region xlName="_SEC_3a311bd4f3f14e4ea06367dc28b85743" title="长期股权投资的说明" mandatory="false" convertSummaryRule="NoConvert" helpId="117016001">
        <m:item xlName="_GBC_4023b747651f4831814ee17f68bb62d6" concept="clcid-pte:ChangQiGuPiaoTouZiDeShuoMing" label="长期股票投资的说明" appId="_GBC_94e2c461d3d34280a0a5f1e908656d3e"/>
      </m:region>
    </m:section>
    <m:section xlName="_SEC_28824f064b6848578824ba80aeb4ac54" title="其他权益工具投资情况" helpId="112001057"/>
    <m:section xlName="_SEC_a20f5a6c87a7486f84aaaae7561d335d" title="非交易性权益工具投资的情况" helpId="112001057"/>
    <m:section xlName="_SEC_646eb5e4608348a5bc5c6dea7ef6971a" title="其他权益工具投资其他说明" helpId="112001057"/>
    <m:section xlName="_SEC_d085182d12d941b88dd5666cf5452533" title="其他非流动金融资产" helpId="112001041"/>
    <m:section xlName="_SEC_93f7cfdc7a9549c68b787aff064a41f3" title="其他非流动金融资产其他说明"/>
    <m:section xlName="_SEC_2bd90f9d006148798131ef3c25314fb9" title="成本计量模式" rules="R2015_R11_011" checkKey="!公允价值计量" convertSummaryRule="NoConvert" helpId="112001064" primarySection="_SEC_2bd90f9d006148798131ef3c25314fb9" optionText="成本计量模式" activeContentOption="_SEC_a051cc5b16ae41feb35dbabfee3cadf5" optionGroupTitle="投资性房地产计量模式" optionTargetConcept="clcid-pte:TouZiXingFangDiChanJiLiangMoShi" optionTargetConceptValue="成本计量模式"/>
    <m:section xlName="_SEC_42ca4cabede641b2a0558cee2b73b5da" title="公允价值计量模式" rules="R2015_R11_011" checkKey="!成本计量" convertSummaryRule="NoConvert" helpId="112001064" primarySection="_SEC_2bd90f9d006148798131ef3c25314fb9" optionText="公允价值计量模式" optionGroupTitle="投资性房地产计量模式" optionTargetConcept="clcid-pte:TouZiXingFangDiChanJiLiangMoShi" optionTargetConceptValue="公允价值计量模式"/>
    <m:section xlName="_SEC_a051cc5b16ae41feb35dbabfee3cadf5" title="不适用" checkKey="!公允价值计量&amp;!成本计量" primarySection="_SEC_2bd90f9d006148798131ef3c25314fb9" optionText="不适用" optionGroupTitle="投资性房地产计量模式" optionTargetConcept="clcid-pte:TouZiXingFangDiChanJiLiangMoShi" optionTargetConceptValue="不适用"/>
    <m:section xlName="_SEC_5a2e9b07ae1e469294cb2be5aaf61c28" title="固定资产"/>
    <m:section xlName="_SEC_5797700860144c4b9ca0b9b62b2dc148" title="固定资产分类列示其他说明"/>
    <m:section xlName="_SEC_b17fc34a023f4384a425600555740cb6" title="固定资产情况" rules="R2015_R11_012" convertSummaryRule="NoConvert" helpId="112001065" helpText="注：公司根据自身实际情况确定类别，一般包括房屋及建筑物、机器设备、电子设备、运输设备等。">
      <m:virtualTuples>
        <m:virtualTuple id="bdf0d8d4-7913-40b3-bfd4-fd60241cfc86" tupleRef="clcid-pte:GuDingZiChanQingKuangMingXi" defaultRows="4" extendDirection="2" splitWidth="1"/>
      </m:virtualTuples>
    </m:section>
    <m:section xlName="_SEC_784fb493affa41d8985f9e8a71213cf9" title="暂时闲置的固定资产情况" rules="R2015_R11_012" convertSummaryRule="NoConvert" helpId="112001065"/>
    <m:section xlName="_SEC_c3ab5ff0dac4435c868c4dc1a729acc7" title="通过融资租赁租入的固定资产情况" rules="R2015_R11_012" convertSummaryRule="NoConvert" helpId="112001065" helpText="未执行新租赁准则的公司填写。"/>
    <m:section xlName="_SEC_1de7436e811c4703bed7fb7f0316bba2" title="通过经营租赁租出的固定资产" rules="R2015_R11_012" helpId="112001065" helpText="未执行新租赁准则的公司填写。"/>
    <m:section xlName="_SEC_c2e9651d58cd49b88e40954aae3cbf5b" title="未办妥产权证书的固定资产情况" rules="R2015_R11_012" convertSummaryRule="NoConvert" helpId="112001065"/>
    <m:section xlName="_SEC_7134408257214aea8ca71da966442d44" title="固定资产说明" rules="R2015_R11_012" convertSummaryRule="NoConvert" helpId="112001065"/>
    <m:section xlName="_SEC_e623ea972f7d45dc8b0c9f9862e5b400" title="固定资产清理"/>
    <m:section xlName="_SEC_1629a0ede2124140bc15f9e5c0174d2b" title="在建工程分类列示"/>
    <m:section xlName="_SEC_082962860e3f4336bda3f7cfa776d8ee" title="在建工程分类列示其他说明"/>
    <m:section xlName="_SEC_a02b3ec882b24e089808f0414c70e5ec" title="在建工程情况" rules="R2015_R11_012" convertSummaryRule="NoConvert" helpId="112001067"/>
    <m:section xlName="_SEC_56f783d4f9274dee9510145d6c965ff7" title="重大在建工程项目变动情况" rules="R2015_R11_012" extended="true" convertSummaryRule="NoConvert" helpId="112001067" helpText="注：资金来源，一般包括募股资金、金融机构贷款和其他来源等。">
      <m:item xlName="_GBC_964f4529e8234c358a8541e8c4754ec8" concept="clcid-ci-ar:ShiFouShiYongZhongYaoZaiJianGongChengXiangMuBenQiBianDongQingKuang" label="是否适用：重要在建工程项目本期变动情况" selectOptions="_buildInAppliance" controlType="CustomCheckbox" cRanges="{&quot;StartName&quot;:&quot;_GBC_964f4529e8234c358a8541e8c4754ec8&quot;,&quot;EndName&quot;:&quot;_GBC_8eefb64f0fac4ea497996c70f48a61ae&quot;,&quot;CType&quot;:1,&quot;DisplayText&quot;:null}"/>
      <m:item xlName="_GBC_9057dff5be8544c398fdbd55cff334f7" indRef="437" concept="clcid-ci-ar:DanWeiCaiWuFuZhuZaiJianGongChengXiangMuBianDongQingKuang" label="单位：财务附注：在建工程项目变动情况" selectOptions="_buildInScales" controlType="Combobox" cellType="Scale" appId="_GBC_964f4529e8234c358a8541e8c4754ec8"/>
      <m:item xlName="_GBC_110e0fe0dd4f471bae83a62e58e88d74" indRef="438" concept="clcid-ci-ar:BiZhongCaiWuFuZhuZaiJianGongChengXiangMuBianDongQingKuang" label="币种：财务附注：在建工程项目变动情况" selectOptions="_buildInISO4217" controlType="Combobox" cellType="Measure" appId="_GBC_964f4529e8234c358a8541e8c4754ec8"/>
      <m:placeholder xlName="_PLD_0072ffbc51294cefbe17dde844d0e5ed" wordText="项目名称" addr="T0R0C0S1_1"/>
      <m:placeholder xlName="_PLD_6349ea6a696f4d27b00b071275a38ea5" wordText="预算数" addr="T0R0C1S1_1"/>
      <m:placeholder xlName="_PLD_392420deb7e94f0a8026947a325da4f4" wordText="期初余额" addr="T0R0C2S1_1"/>
      <m:placeholder xlName="_PLD_de4faed3465b4da6b8ac35d7e677431c" wordText="本期增加金额" addr="T0R0C3S1_1"/>
      <m:placeholder xlName="_PLD_51ce4224316b4f4b99a8fb0c8e4500a5" wordText="本期转入固定资产金额" addr="T0R0C4S1_1"/>
      <m:placeholder xlName="_PLD_d80ffbe10b944f57a31723041ffbcbdf" wordText="本期其他减少金额" addr="T0R0C5S1_1"/>
      <m:placeholder xlName="_PLD_c8b617c64ad64a03834695d9bc0b8d2f" wordText="期末余额" addr="T0R0C6S1_1"/>
      <m:placeholder xlName="_PLD_738551d97ef741f093f852402c423e47" wordText="工程累计投入占预算比例(%)" addr="T0R0C7S1_1"/>
      <m:placeholder xlName="_PLD_0f7f749f98e74f33ae9032c17002d136" wordText="工程进度" addr="T0R0C8S1_1"/>
      <m:placeholder xlName="_PLD_0b58d44121d2475586a13d1ce8eaed0a" wordText="利息资本化累计金额" addr="T0R0C9S1_1"/>
      <m:placeholder xlName="_PLD_2250f692e957437687c2cafcae1d7f81" wordText="其中：本期利息资本化金额" addr="T0R0C10S1_1"/>
      <m:placeholder xlName="_PLD_7a9834f354d948e19f071bbf4b5baafe" wordText="本期利息资本化率(%)" addr="T0R0C11S1_1"/>
      <m:placeholder xlName="_PLD_6015e39597424a7ea59d45da3ff56e99" wordText="资金来源" addr="T0R0C12S1_1"/>
      <m:tuple xlName="_TUP_ddeb799b6fdf45e2b195807d1913c3bb" concept="clcid-pte:ZaiJianGongChengMingXi" label="在建工程明细" default_row="2" addr="T0R1C">
        <m:item xlName="_GBC_08eebcbb250e43929d54a92a74b9bed9" wordText="　" concept="clcid-pte:ZaiJianGongChengXiangMuMingCheng" label="在建工程项目名称" addr="T0R1C0S1_1" appId="_GBC_964f4529e8234c358a8541e8c4754ec8"/>
        <m:item xlName="_GBC_bfbf226423d94342bcf1d4af5f54d858" concept="clcid-pte:ZaiJianGongChengYuSuanShu" label="在建工程预算数" mulRef="_GBC_9057dff5be8544c398fdbd55cff334f7" unitRef="_GBC_110e0fe0dd4f471bae83a62e58e88d74" addr="T0R1C1S1_1" formatStyle="Comma" appId="_GBC_964f4529e8234c358a8541e8c4754ec8">
          <m:simpleRule dataType="Decimal" comparator="Gt" minValue="100000" level="Warn" em="“在建工程预算数”数值过小，请确认。"/>
        </m:item>
        <m:item xlName="_GBC_c7b4dd03074f4b508118c59ac18ef165" concept="clcid-pte:ZaiJianGongChengXiangMuJinE" label="在建工程项目金额" periodRef="本期期初数" mulRef="_GBC_9057dff5be8544c398fdbd55cff334f7" unitRef="_GBC_110e0fe0dd4f471bae83a62e58e88d74" addr="T0R1C2S1_1" formatStyle="Comma" appId="_GBC_964f4529e8234c358a8541e8c4754ec8"/>
        <m:item xlName="_GBC_fee022c7f41642d6b1a5003254c08937" concept="clcid-pte:ZaiJianGongChengXiangMuJinEZengJiaShu" label="在建工程项目金额增加数" mulRef="_GBC_9057dff5be8544c398fdbd55cff334f7" unitRef="_GBC_110e0fe0dd4f471bae83a62e58e88d74" addr="T0R1C3S1_1" formatStyle="Comma" appId="_GBC_964f4529e8234c358a8541e8c4754ec8"/>
        <m:item xlName="_GBC_be86c04f505849d3907ce31ce303ddd2" concept="clcid-pte:ZaiJianGongChengXiangMuZhuanRuGuDingZiChan" label="在建工程项目转入固定资产" mulRef="_GBC_9057dff5be8544c398fdbd55cff334f7" unitRef="_GBC_110e0fe0dd4f471bae83a62e58e88d74" addr="T0R1C4S1_1" formatStyle="Comma" appId="_GBC_964f4529e8234c358a8541e8c4754ec8"/>
        <m:item xlName="_GBC_08347e2ef7e84775ad2917dda4a8d090" concept="clcid-pte:ZaiJianGongChengMingXiXiangMuJianShao" label="在建工程明细－其他减少" mulRef="_GBC_9057dff5be8544c398fdbd55cff334f7" unitRef="_GBC_110e0fe0dd4f471bae83a62e58e88d74" addr="T0R1C5S1_1" formatStyle="Comma" appId="_GBC_964f4529e8234c358a8541e8c4754ec8"/>
        <m:item xlName="_GBC_52494e6adf24482da9d3d25152b7c59e" concept="clcid-pte:ZaiJianGongChengXiangMuJinE" label="在建工程项目金额" mulRef="_GBC_9057dff5be8544c398fdbd55cff334f7" unitRef="_GBC_110e0fe0dd4f471bae83a62e58e88d74" addr="T0R1C6S1_1" formatStyle="Comma" appId="_GBC_964f4529e8234c358a8541e8c4754ec8"/>
        <m:item xlName="_GBC_7bf5ca56d38b477e9e5177a76aa49cc8" concept="clcid-pte:ZaiJianGongChengXiangMuGongChengTouRuZhanYuSuanBiLi" label="在建工程项目工程投入占预算比例" addr="T0R1C7S1_1" baseScale="0.01" formatStyle="Comma" appId="_GBC_964f4529e8234c358a8541e8c4754ec8"/>
        <m:item xlName="_GBC_02c8c64124384f668a4a25597367e871" concept="clcid-pte:ZaiJianGongChengXiangMuGongChengJinDu" label="在建工程项目工程进度" addr="T0R1C8S1_1" appId="_GBC_964f4529e8234c358a8541e8c4754ec8"/>
        <m:item xlName="_GBC_857f4faf4cf345a7a82c29f6007a0fb1" concept="clcid-pte:ZaiJianGongChengLiXiZiBenHuaJinE" label="在建工程利息资本化金额" mulRef="_GBC_9057dff5be8544c398fdbd55cff334f7" unitRef="_GBC_110e0fe0dd4f471bae83a62e58e88d74" addr="T0R1C9S1_1" formatStyle="Comma" appId="_GBC_964f4529e8234c358a8541e8c4754ec8"/>
        <m:item xlName="_GBC_448057c5220042f2a9f03cff30e30dd4" concept="clcid-pte:ZaiJianGongChengXiangMuDangQiLiXiZiBenHuaJinE" label="在建工程明细－当期利息资本化金额" mulRef="_GBC_9057dff5be8544c398fdbd55cff334f7" unitRef="_GBC_110e0fe0dd4f471bae83a62e58e88d74" addr="T0R1C10S1_1" formatStyle="Comma" appId="_GBC_964f4529e8234c358a8541e8c4754ec8"/>
        <m:item xlName="_GBC_fe9c62980a2a476782a6ada25828e1ed" concept="clcid-pte:ZaiJianGongChengXiangMuDangQiLiXiZiBenHuaLv" label="在建工程明细－当期利息资本化率" addr="T0R1C11S1_1" baseScale="0.01" formatStyle="Comma" appId="_GBC_964f4529e8234c358a8541e8c4754ec8"/>
        <m:item xlName="_GBC_0c955235d65f4c4a9cbe9e21f388c487" concept="clcid-pte:ZaiJianGongChengXiangMuZiJinLaiYuan" label="在建工程项目资金来源" addr="T0R1C12S1_1" appId="_GBC_964f4529e8234c358a8541e8c4754ec8"/>
        <m:item xlName="_GBC_c1ae895d803a4257bf9dc4372444b544" concept="">
          <m:extendConcept standardLabel="其中:固定资产净额转入" dataType="xbrli:stringItemType" period="instant"/>
        </m:item>
        <m:item xlName="_GBC_ee84abaf19624d90b7023794360890cc" concept="">
          <m:extendConcept standardLabel="本期转入无形资产" dataType="xbrli:stringItemType" period="instant"/>
        </m:item>
      </m:tuple>
      <m:placeholder xlName="_PLD_2216f6ec60d6481d870ef3195ec544aa" wordText="合计" addr="T0R3C0S1_1"/>
      <m:item xlName="_GBC_634373cd3e864a10839fd993c0be2cac" concept="clcid-pte:ZaiJianGongChengYuSuanShuHeJi" label="在建工程预算数合计" mulRef="_GBC_9057dff5be8544c398fdbd55cff334f7" unitRef="_GBC_110e0fe0dd4f471bae83a62e58e88d74" addr="T0R3C1S1_1" formatStyle="Comma" appId="_GBC_964f4529e8234c358a8541e8c4754ec8">
        <m:simpleRule dataType="Decimal" comparator="Gt" minValue="100000" level="Warn" em="“在建工程预算数”数值过小，请确认。"/>
        <m:complexRule comparator="Eq" title="在建工程预算数合计" test=" $_GBC_bfbf226423d94342bcf1d4af5f54d858" id="C1551e6f0f3054bdeb9107e7494e5c60e"/>
      </m:item>
      <m:item xlName="_GBC_61935a26967b44cab28425ea2efbd6ea" concept="clcid-pte:ZhongDaZaiJianGongChengHeJi" label="重大在建工程合计" periodRef="本期期初数" mulRef="_GBC_9057dff5be8544c398fdbd55cff334f7" unitRef="_GBC_110e0fe0dd4f471bae83a62e58e88d74" addr="T0R3C2S1_1" formatStyle="Comma" appId="_GBC_964f4529e8234c358a8541e8c4754ec8">
        <m:complexRule comparator="Eq" title="重大在建工程合计@本期期初数" test=" $_GBC_c7b4dd03074f4b508118c59ac18ef165" id="C6f7a57df80724085a1f18c01d952b65a"/>
      </m:item>
      <m:item xlName="_GBC_714fd48ce1d34047ac2ab4aafac49e69" concept="clcid-pte:ZaiJianGongChengHeJiZengJiaShu" label="在建工程合计增加数" mulRef="_GBC_9057dff5be8544c398fdbd55cff334f7" unitRef="_GBC_110e0fe0dd4f471bae83a62e58e88d74" addr="T0R3C3S1_1" formatStyle="Comma" appId="_GBC_964f4529e8234c358a8541e8c4754ec8">
        <m:complexRule comparator="Eq" title="在建工程合计增加数" test=" $_GBC_fee022c7f41642d6b1a5003254c08937" id="C25e9b2e0300943be8533b71e055aa435"/>
      </m:item>
      <m:item xlName="_GBC_79faccfe074e4e79ad579319f732007a" concept="clcid-pte:ZaiJianGongChengZhuanRuGuDingZiChanHeJi" label="在建工程转入固定资产合计" mulRef="_GBC_9057dff5be8544c398fdbd55cff334f7" unitRef="_GBC_110e0fe0dd4f471bae83a62e58e88d74" addr="T0R3C4S1_1" formatStyle="Comma" appId="_GBC_964f4529e8234c358a8541e8c4754ec8">
        <m:complexRule comparator="Eq" title="在建工程转入固定资产合计" test=" $_GBC_be86c04f505849d3907ce31ce303ddd2" id="C3fcae62cb33f4be7ab45086bb457260e"/>
      </m:item>
      <m:item xlName="_GBC_69bc8d53411041f6b5de1c37f9f89374" concept="clcid-pte:ZaiJianGongChengQiTaJianShaoHeJi" label="在建工程其他减少合计" mulRef="_GBC_9057dff5be8544c398fdbd55cff334f7" unitRef="_GBC_110e0fe0dd4f471bae83a62e58e88d74" addr="T0R3C5S1_1" formatStyle="Comma" appId="_GBC_964f4529e8234c358a8541e8c4754ec8">
        <m:complexRule comparator="Eq" title="在建工程其他减少合计" test=" $_GBC_08347e2ef7e84775ad2917dda4a8d090" id="C4986e86a45514b119de63d4e2171731d"/>
      </m:item>
      <m:item xlName="_GBC_451f5434b70f4cf9ae8fe114eb2765c8" concept="clcid-pte:ZhongDaZaiJianGongChengHeJi" label="重大在建工程合计" mulRef="_GBC_9057dff5be8544c398fdbd55cff334f7" unitRef="_GBC_110e0fe0dd4f471bae83a62e58e88d74" addr="T0R3C6S1_1" formatStyle="Comma" appId="_GBC_964f4529e8234c358a8541e8c4754ec8">
        <m:complexRule comparator="Eq" title="重大在建工程合计" test=" $_GBC_52494e6adf24482da9d3d25152b7c59e" id="Ceac53790aab948209f9de57d6924f7db"/>
      </m:item>
      <m:item xlName="_GBC_d3671d7f0b2343c4b6d2f58373437678" concept="clcid-pte:ZaiJianGongChengLiXiZiBenHuaJinEHeJi" label="在建工程利息资本化金额合计" mulRef="_GBC_9057dff5be8544c398fdbd55cff334f7" unitRef="_GBC_110e0fe0dd4f471bae83a62e58e88d74" addr="T0R3C9S1_1" formatStyle="Comma" appId="_GBC_964f4529e8234c358a8541e8c4754ec8">
        <m:complexRule comparator="Eq" title="在建工程利息资本化金额合计" test=" $_GBC_857f4faf4cf345a7a82c29f6007a0fb1" id="C18d1ae2b38e645fb8393ee3f2533ddb4"/>
      </m:item>
      <m:item xlName="_GBC_8eefb64f0fac4ea497996c70f48a61ae" concept="clcid-pte:ZaiJianGongChengDangQiLiXiZiBenHuaJinEHeJi" label="在建工程当期利息资本化金额合计" mulRef="_GBC_9057dff5be8544c398fdbd55cff334f7" unitRef="_GBC_110e0fe0dd4f471bae83a62e58e88d74" addr="T0R3C10S1_1" formatStyle="Comma" appId="_GBC_964f4529e8234c358a8541e8c4754ec8">
        <m:complexRule comparator="Eq" title="在建工程当期利息资本化金额合计" test=" $_GBC_448057c5220042f2a9f03cff30e30dd4" id="Cd34141b3af6841caa41ea0da42114ddc"/>
      </m:item>
    </m:section>
    <m:section xlName="_SEC_0ebc618dc5604e8db1776ea7ed9e27ad" title="在建工程减值准备" rules="R2015_R11_012" convertSummaryRule="NoConvert" helpId="112001067"/>
    <m:section xlName="_SEC_557cdec50a6747d28443c626668ac476" title="在建工程的说明" rules="R2015_R11_012" convertSummaryRule="NoConvert" helpId="112001067"/>
    <m:section xlName="_SEC_57646d76c9b54fbc8b0c285f81791103" title="工程物资" convertSummaryRule="NoConvert" helpId="112001069"/>
    <m:section xlName="_SEC_90a77fb9192246418dabc2bc031e38c0" title="采用成成本计量模式的生产性生物资产" helpId="112001070">
      <m:virtualTuples>
        <m:virtualTuple id="5080c45b-c3e2-466e-8ce4-2a86227ee3da" tupleRef="clcid-pte:CaiYongChengBenJiLiangMoShiDeShengChanXingShengWuZiChanMingXi" defaultRows="8" extendDirection="2" splitWidth="1"/>
      </m:virtualTuples>
    </m:section>
    <m:section xlName="_SEC_30033325948d42e88d046d357344a3ff" title="采用公允价值计量模式的生产性生物资产" helpId="112001070">
      <m:virtualTuples>
        <m:virtualTuple id="e6d9fec0-4b75-4442-afa4-5b5810eb6611" tupleRef="clcid-pte:CaiYongGongYunJiaZhiJiLiangMoShiDeShengChanXingShengWuZiChanMingXi" defaultRows="8" extendDirection="2" splitWidth="1"/>
      </m:virtualTuples>
    </m:section>
    <m:section xlName="_SEC_559ebba506dc45c6ba746173e6e553db" title="生产性生物资产的说明" convertSummaryRule="NoConvert" helpId="112001070"/>
    <m:section xlName="_SEC_1c42b01146a94d2891a3a0557341368e" title="油气资产" convertSummaryRule="NoConvert" helpId="112001071">
      <m:virtualTuples>
        <m:virtualTuple id="391f4d5d-e2bb-4e43-a73b-1a879022eeed" tupleRef="clcid-pte:YouQiZiChanMingXi" extendDirection="2" splitWidth="1"/>
      </m:virtualTuples>
    </m:section>
    <m:section xlName="_SEC_56ef077439914c3f97ba31c1af9eef32" title="使用权资产" tagAction="1" helpId="112001060">
      <m:virtualTuples>
        <m:virtualTuple id="06aa4ced-53cd-4ab4-88f8-025c43637847" tupleRef="clcid-pte:ShiYongQuanZiChanMingXi" extendDirection="2"/>
      </m:virtualTuples>
    </m:section>
    <m:section xlName="_SEC_dc6f356c9a9a424bba90c1f6f28b2ab0" title="无形资产情况" rules="R2015_R11_013" helpId="112001072">
      <m:virtualTuples>
        <m:virtualTuple id="dd625539-1bb3-40f2-b0d4-0097d3143f41" tupleRef="clcid-pte:WuXingZiChanMingXi" extendDirection="2" splitWidth="1"/>
      </m:virtualTuples>
    </m:section>
    <m:section xlName="_SEC_1b15a58332a3426ebeab40769f9c3df1" title="未办妥产权证书的土地使用权情况：" rules="R2015_R11_013" helpId="112001072"/>
    <m:section xlName="_SEC_eb6a679b93d847e9a41997ee579c0c0b" title="无形资产说明" rules="R2015_R11_013" helpId="112001072"/>
    <m:section xlName="_SEC_cf72b8a1a8b94a6db030e4d63349f86b" title="公司开发项目支出" helpId="112001073"/>
    <m:section xlName="_SEC_c1b37e49b4784cd69e2bf4154039a71f" title="商誉" rules="R2015_R11_014" convertSummaryRule="NoConvert" helpId="112001075">
      <m:virtualTuples>
        <m:virtualTuple id="bf8ed6aa-ae15-4993-8398-515f52281749" tupleRef="clcid-pte:ShangYuMingXi" extendDirection="2"/>
        <m:virtualTuple id="e6c0dcae-d755-44a5-a666-fedd5169d53f" tupleRef="clcid-pte:ShangYuJianZhiZhunBeiMingXi" extendDirection="2"/>
      </m:virtualTuples>
    </m:section>
    <m:section xlName="_SEC_a4ccbe4057b4410cb2b998d6b11165cd" title="长期待摊费用" convertSummaryRule="NoConvert" helpId="112001076"/>
    <m:section xlName="_SEC_c648f0f0efdc4d4c85ff3f48a55f50ee" title="递延所得税资产和递延所得税负债不以抵销后的净额列示" rules="R2015_R11_015" helpId="112001077" helpText="注： \n表(2)按暂时性差异的类别列示未经抵销的递延所得税资产或递延所得税负债期初余额、期末余额，以及相应的暂时性差异金额\n表(4)列示由于未来能否获得足够的应纳税所得额具有不确定性，因此没有确认为递延所得税资产的可抵扣暂时性差异和可抵扣亏损。\n表(5)无法在资产负债表日确定全部可抵扣亏损情况的，可只填写能确定部分的金额及其到期年度，并在备注栏予以说明。"/>
    <m:section xlName="_SEC_94657e8367544e5fa63e4b88008d6713" title="递延所得税资产和递延所得税负债的说明" rules="R2015_R11_015" convertSummaryRule="NoConvert" helpId="112001077"/>
    <m:section xlName="_SEC_61a5a51558394b4f935a5e79bf462096" title="其他非流动资产"/>
    <m:section xlName="_SEC_5e661212a7bc42d1ac34de3b0e67574d" title="短期借款分类" convertSummaryRule="NoConvert" helpId="112001079" axisType="Column"/>
    <m:section xlName="_SEC_b35d2ea88a124242b0bd88394a858993" title="已到期未偿还的短期借款情况" convertSummaryRule="NoConvert" helpId="112001079"/>
    <m:section xlName="_SEC_7331bb834b364e3baab9f33a89c455ca" title="短期借款的说明" helpId="112001079"/>
    <m:section xlName="_SEC_76cb151d14e6437cbef4c8c5df1588bd" title="交易性金融负债" helpId="112001080"/>
    <m:section xlName="_SEC_55cf02a075b245feae9823bc0e924f07" title="衍生金融负债" helpId="112001081" helpText="注：说明衍生金融工具形成原因及相关会计处理等。"/>
    <m:item xlName="_GBC_c0116f9cd6f34dcfa483a1f112dac85a" concept="clcid-ci-ar:ShiFouShiYongYingFuPiaoJu" label="是否适用：应付票据" selectOptions="_buildInAppliance" controlType="CustomCheckbox" cRanges="{&quot;StartName&quot;:&quot;_GBC_c0116f9cd6f34dcfa483a1f112dac85a&quot;,&quot;EndName&quot;:&quot;_SEC_42d38d00af52480383edb08e04ca3f9e&quot;,&quot;CType&quot;:1,&quot;DisplayText&quot;:null}"/>
    <m:section xlName="_SEC_42d38d00af52480383edb08e04ca3f9e" title="应付票据" rules="R2015_R11_017" convertSummaryRule="NoConvert" helpId="112001083"/>
    <m:section xlName="_SEC_6983b90893c6404eb7c7286ec627bbd3" title="应付账款情况" rules="R2015_R11_018" convertSummaryRule="NoConvert" helpId="112001084"/>
    <m:section xlName="_SEC_f6472fc9df314a45ae6f3743495113f0" title="重要的账龄超过1年的应付账款单位：元币种：人民币项目期末..." rules="R2015_R11_018" helpId="112001084"/>
    <m:section xlName="_SEC_11f269c09d754458a6354680b3ca0c0b" title="应付账款的其他说明" rules="R2015_R11_018" convertSummaryRule="NoConvert" helpId="112001084"/>
    <m:section xlName="_SEC_6c51b7b8aad944a6a7343a7c4468bc35" title="预收账款情况" convertSummaryRule="NoConvert" helpId="112002200"/>
    <m:section xlName="_SEC_1558d55950074b35a4413fcf746a38ce" title="账龄超过1年的重要预收款项" helpId="112002200"/>
    <m:section xlName="_SEC_edc815d452784f559d4667a474aec74d" title="预收账款的其他说明" convertSummaryRule="NoConvert" helpId="112002200"/>
    <m:section xlName="_SEC_50463584535c4393bb0c203aa88e74ea" title="合同负债" helpId="112002275"/>
    <m:section xlName="_SEC_6fed4fed5399438cae08eee39c94b152" title="报告期内账面价值发生重大变动的金额和原因" helpId="112002275"/>
    <m:section xlName="_SEC_d59a32c92f4547b59d45698ae473a887" title="合同负债其他说明" helpId="112002275"/>
    <m:section xlName="_SEC_8ac62232cfc54f38aff1f89058d89f36" title="应付职工薪酬列示：" helpId="112001085"/>
    <m:section xlName="_SEC_1cb33e613a2043aba490a4f493078cdf" title="短期薪酬列示" helpId="112001085"/>
    <m:section xlName="_SEC_09e47a9c2ace47f19c4a16776060c867" title="设定提存计划列示" helpId="112001085"/>
    <m:section xlName="_SEC_edbce81fdb28449ba35de2db232257b2" title="应付职工薪酬说明" helpId="112001085"/>
    <m:section xlName="_SEC_be9a46a3e37649b39960634f96204c34" title="应交税费" convertSummaryRule="NoConvert" helpId="112001086" axisType="Column"/>
    <m:section xlName="_SEC_89b79d5c0cf746108f038a99e63ca62a" title="其他应付款分类列示"/>
    <m:section xlName="_SEC_6345efe048154a68a2b9789f203377af" title="其他应付款分类列示其他说明"/>
    <m:section xlName="_SEC_387989ce789d404fab98beb488dfa010" title="应付利息" helpId="112001087"/>
    <m:section xlName="_SEC_8fa7e393d06b440f9c82ae0d64899eaa" title="应付股利" helpId="112001088"/>
    <m:section xlName="_SEC_63718a543ca94cc0ab86d1bd47798003" title="其他应付款" helpId="112001089"/>
    <m:section xlName="_SEC_2c0a95e5ecb74946b3dc14c7a20e5997" title="持有待售负债" helpId="112001091" helpText="注：说明划分为持有待售的负债的原因等。"/>
    <m:section xlName="_SEC_7d69c48a60a34405b349ddceb0a418a8" title="1年内到期的非流动负债" helpId="112001092"/>
    <m:section xlName="_SEC_028ee94ad65744bca4ead55dc3233ca9" title="其他流动负债" helpId="112001093"/>
    <m:section xlName="_SEC_f5491fa163be4d50a9964567324132ed" title="短期应付债券的增减变动" convertSummaryRule="NoConvert" helpId="112001093"/>
    <m:section xlName="_SEC_72acc7f2df254db9a8e7b1d2c0a85c65" title="其他流动负债说明" helpId="112001093"/>
    <m:section xlName="_SEC_bb20abc8fd5f49a68916f9dc55e11723" title="长期借款分类 " convertSummaryRule="NoConvert" helpId="112001094" axisType="Column"/>
    <m:section xlName="_SEC_b151024fbb7f40ea95abd833b296ecf2" title="长期借款的说明" helpId="112001094"/>
    <m:section xlName="_SEC_9fc1d89fd58b4dd7a11252f59005bfc6" title="应付债券" helpId="112001095"/>
    <m:section xlName="_SEC_bd8994c3194244c3a4761d3ba9630357" title="应付债券的增减变动" extended="true" helpId="112001095">
      <m:item xlName="_GBC_a682f35f6b7c4d8b840f80705a81f19c" concept="clcid-ci-ar:ShiFouShiYongYingFuZhaiQuanDeZengJianBianDong" label="是否适用：应付债券的增减变动" selectOptions="_buildInAppliance" controlType="CustomCheckbox" cRanges="{&quot;StartName&quot;:&quot;_GBC_a682f35f6b7c4d8b840f80705a81f19c&quot;,&quot;EndName&quot;:&quot;_GBC_a0fe2c09ae2c4ef5a56e5886589a4511&quot;,&quot;CType&quot;:1,&quot;DisplayText&quot;:null}"/>
      <m:item xlName="_GBC_221366b8136447aca9359e6115acb07a" indRef="529" concept="clcid-ci-ar:DanWeiCaiWuFuZhuYingFuZhaiQuanDeZengJianBianDong" label="单位：财务附注：应付债券的增减变动" selectOptions="_buildInScales" controlType="Combobox" cellType="Scale" appId="_GBC_a682f35f6b7c4d8b840f80705a81f19c"/>
      <m:item xlName="_GBC_ab4475cd02fd49449e15ccf7e0fadc42" indRef="530" concept="clcid-ci-ar:BiZhongCaiWuFuZhuYingFuZhaiQuanDeZengJianBianDong" label="币种：财务附注：应付债券的增减变动" selectOptions="_buildInISO4217" controlType="Combobox" cellType="Measure" appId="_GBC_a682f35f6b7c4d8b840f80705a81f19c"/>
      <m:placeholder xlName="_PLD_e802e0473fe74b70b94a2bc1ff9e6120" wordText="债券名称" addr="T0R0C0S1_1"/>
      <m:placeholder xlName="_PLD_3305820c0a7b4304abdad6fc20766aa3" wordText="面值" addr="T0R0C1S1_1"/>
      <m:placeholder xlName="_PLD_ee6ba2e107ad4013b8b8d3efeae50c26" wordText="发行日期" addr="T0R0C2S1_1"/>
      <m:placeholder xlName="_PLD_124bbea948a54d48a0375b121ca28abc" wordText="债券期限" addr="T0R0C3S1_1"/>
      <m:placeholder xlName="_PLD_7049ab93920145468e81fe6c529385fb" wordText="发行金额" addr="T0R0C4S1_1"/>
      <m:placeholder xlName="_PLD_38d9b1ec51834164a4568a000acee069" wordText="期初余额" addr="T0R0C5S1_1"/>
      <m:placeholder xlName="_PLD_631bbacf370944efab46658f1d2b4f3d" wordText="本期发行" addr="T0R0C6S1_1"/>
      <m:placeholder xlName="_PLD_46ecadb6d93742c196106f528dc587fb" wordText="按面值计提利息" addr="T0R0C7S1_1"/>
      <m:placeholder xlName="_PLD_ae4bf5f0a7024d7494d06729dd783ba4" wordText="溢折价摊销" addr="T0R0C8S1_1"/>
      <m:placeholder xlName="_PLD_4b5846bfb9664157a5fbfb5219160105" wordText="本期偿还" addr="T0R0C9S1_1"/>
      <m:placeholder xlName="_PLD_a12b5b0e009f4c31a176550ce24d537b" wordText="期末余额" addr="T0R0C10S1_1"/>
      <m:tuple xlName="_TUP_483a6814da9c434391de215e945c94f6" concept="clcid-pte:YingFuZhaiQuanMingXi" label="应付债券明细" default_row="2" addr="T0R1C">
        <m:item xlName="_GBC_dd074f84cbfc49e0b05b0dffab5b1d05" wordText="　" concept="clcid-pte:YingFuZhaiQuanMingCheng" label="应付债券名称" addr="T0R1C0S1_1" appId="_GBC_a682f35f6b7c4d8b840f80705a81f19c"/>
        <m:item xlName="_GBC_6bea7ef01ec347eb91032e1699c1a214" concept="clcid-pte:YingFuZhaiQuanMianZhi" label="应付债券面值" addr="T0R1C1S1_1" formatStyle="Comma" appId="_GBC_a682f35f6b7c4d8b840f80705a81f19c">
          <m:simpleRule dataType="Decimal" comparator="Eq" minValue="100" level="Warn" em="“应付债券面值”数值异常，请核对是否正确。"/>
        </m:item>
        <m:item xlName="_GBC_2c2d04c4ef3c4727b5153dc69482ce63" concept="clcid-pte:YingFuZhaiQuanFaXingRiQi" label="应付债券发行日期" addr="T0R1C2S1_1" appId="_GBC_a682f35f6b7c4d8b840f80705a81f19c"/>
        <m:item xlName="_GBC_4b46e251e28a468e809a8fe39c2d9e73" concept="clcid-pte:YingFuZhaiQuanFaXingQiXian" label="应付债券发行期限" addr="T0R1C3S1_1" appId="_GBC_a682f35f6b7c4d8b840f80705a81f19c"/>
        <m:item xlName="_GBC_b6e802757d4e4eaabce22f136c876a56" concept="clcid-pte:YingFuZhaiQuanFaXingJinE" label="应付债券发行金额" mulRef="_GBC_221366b8136447aca9359e6115acb07a" unitRef="_GBC_ab4475cd02fd49449e15ccf7e0fadc42" addr="T0R1C4S1_1" formatStyle="Comma" appId="_GBC_a682f35f6b7c4d8b840f80705a81f19c"/>
        <m:item xlName="_GBC_ff3aae0572554d71af493bf301c56b5c" concept="clcid-pte:YingFuZhaiQuanMingXiYuE" label="应付债券明细－余额" periodRef="本期期初数" mulRef="_GBC_221366b8136447aca9359e6115acb07a" unitRef="_GBC_ab4475cd02fd49449e15ccf7e0fadc42" addr="T0R1C5S1_1" formatStyle="Comma" appId="_GBC_a682f35f6b7c4d8b840f80705a81f19c"/>
        <m:item xlName="_GBC_325d414cfb744b70bd06d2200e295e78" concept="clcid-pte:YingFuZhaiQuanBenQiFaXing" label="应付债券本期发行" mulRef="_GBC_221366b8136447aca9359e6115acb07a" unitRef="_GBC_ab4475cd02fd49449e15ccf7e0fadc42" addr="T0R1C6S1_1" formatStyle="Comma" appId="_GBC_a682f35f6b7c4d8b840f80705a81f19c"/>
        <m:item xlName="_GBC_3f8b404aef5c4b0294ca265b0845830f" concept="clcid-pte:YingFuZhaiQuanAnMianZhiJiTiLiXi" label="应付债券按面值计提利息" mulRef="_GBC_221366b8136447aca9359e6115acb07a" unitRef="_GBC_ab4475cd02fd49449e15ccf7e0fadc42" addr="T0R1C7S1_1" formatStyle="Comma" appId="_GBC_a682f35f6b7c4d8b840f80705a81f19c"/>
        <m:item xlName="_GBC_d91c7033fb684d9b914cf54983b03171" concept="clcid-pte:YingFuZhaiQuanYiZheJiaTanXiao" label="应付债券溢折价摊销" mulRef="_GBC_221366b8136447aca9359e6115acb07a" unitRef="_GBC_ab4475cd02fd49449e15ccf7e0fadc42" addr="T0R1C8S1_1" formatStyle="Comma" appId="_GBC_a682f35f6b7c4d8b840f80705a81f19c"/>
        <m:item xlName="_GBC_95bcebf5844946669c8dbaf17360f4c5" concept="clcid-pte:YingFuZhaiQuanBenQiChangHuan" label="应付债券本期偿还" mulRef="_GBC_221366b8136447aca9359e6115acb07a" unitRef="_GBC_ab4475cd02fd49449e15ccf7e0fadc42" addr="T0R1C9S1_1" formatStyle="Comma" appId="_GBC_a682f35f6b7c4d8b840f80705a81f19c"/>
        <m:item xlName="_GBC_25d5df00021e464cbc2ce1d8b1193560" concept="clcid-pte:YingFuZhaiQuanMingXiYuE" label="应付债券明细－余额" mulRef="_GBC_221366b8136447aca9359e6115acb07a" unitRef="_GBC_ab4475cd02fd49449e15ccf7e0fadc42" addr="T0R1C10S1_1" formatStyle="Comma" appId="_GBC_a682f35f6b7c4d8b840f80705a81f19c"/>
        <m:item xlName="_GBC_863c55ee394742e9b9a85861edb3b15f" concept="">
          <m:extendConcept standardLabel="本期转股" dataType="xbrli:stringItemType" period="instant"/>
        </m:item>
      </m:tuple>
      <m:placeholder xlName="_PLD_41192c0475024a44a2c97d36651ee82d" wordText="合计" addr="T0R3C0S1_1"/>
      <m:item xlName="_GBC_80c98f07e6d04607b64c5aa63c1683e7" concept="clcid-pte:YingFuZhaiQuanDeZengJianBianDongFaXingJinEHeJi" label="应付债券的增减变动-发行金额合计" mulRef="_GBC_221366b8136447aca9359e6115acb07a" unitRef="_GBC_ab4475cd02fd49449e15ccf7e0fadc42" addr="T0R3C4S1_1" formatStyle="Comma" appId="_GBC_a682f35f6b7c4d8b840f80705a81f19c">
        <m:complexRule comparator="Eq" title="应付债券的增减变动-发行金额合计" test=" $_GBC_b6e802757d4e4eaabce22f136c876a56" id="C063d32dc8cc24d6b8a57dbe59a1c2eb3"/>
      </m:item>
      <m:item xlName="_GBC_b87c0c8662dd413fb0da755822ad3a1a" concept="clcid-pte:YingFuZhaiQuanDeZengJianBianDongYuEHeJi" label="应付债券的增减变动-余额合计" periodRef="本期期初数" mulRef="_GBC_221366b8136447aca9359e6115acb07a" unitRef="_GBC_ab4475cd02fd49449e15ccf7e0fadc42" addr="T0R3C5S1_1" formatStyle="Comma" appId="_GBC_a682f35f6b7c4d8b840f80705a81f19c">
        <m:complexRule comparator="Eq" title="应付债券的增减变动-余额合计@本期期初数" test=" $_GBC_ff3aae0572554d71af493bf301c56b5c" id="C2dcbd8c3fc5e4b0788d40470d1f8dd4e"/>
      </m:item>
      <m:item xlName="_GBC_70e354d9773c48edbe4bec1a3625203c" concept="clcid-pte:YingFuZhaiQuanDeZengJianBianDongBenQiFaXingHeJi" label="应付债券的增减变动-本期发行合计" mulRef="_GBC_221366b8136447aca9359e6115acb07a" unitRef="_GBC_ab4475cd02fd49449e15ccf7e0fadc42" addr="T0R3C6S1_1" formatStyle="Comma" appId="_GBC_a682f35f6b7c4d8b840f80705a81f19c">
        <m:complexRule comparator="Eq" title="应付债券的增减变动-本期发行合计" test=" $_GBC_325d414cfb744b70bd06d2200e295e78" id="C484961f73de947e1b24bd9cc9e1d36e9"/>
      </m:item>
      <m:item xlName="_GBC_a48c9884ddfb48ad81d6e1b675b4e91d" concept="clcid-pte:YingFuZhaiQuanDeZengJianBianDongAnMianZhiJiTiLiXiHeJi" label="应付债券的增减变动-按面值计提利息合计" mulRef="_GBC_221366b8136447aca9359e6115acb07a" unitRef="_GBC_ab4475cd02fd49449e15ccf7e0fadc42" addr="T0R3C7S1_1" formatStyle="Comma" appId="_GBC_a682f35f6b7c4d8b840f80705a81f19c">
        <m:complexRule comparator="Eq" title="应付债券的增减变动-按面值计提利息合计" test=" $_GBC_3f8b404aef5c4b0294ca265b0845830f" id="Cebc5f11e933b44678919d80584ab4435"/>
      </m:item>
      <m:item xlName="_GBC_355ecdf6bd9e43e9a880d52104b9074a" concept="clcid-pte:YingFuZhaiQuanDeZengJianBianDongYiZheJiaTanXiaoHeJi" label="应付债券的增减变动-溢折价摊销合计" mulRef="_GBC_221366b8136447aca9359e6115acb07a" unitRef="_GBC_ab4475cd02fd49449e15ccf7e0fadc42" addr="T0R3C8S1_1" formatStyle="Comma" appId="_GBC_a682f35f6b7c4d8b840f80705a81f19c">
        <m:complexRule comparator="Eq" title="应付债券的增减变动-溢折价摊销合计" test=" $_GBC_d91c7033fb684d9b914cf54983b03171" id="C84c55b49be6a4614a3ff3ae729500215"/>
      </m:item>
      <m:item xlName="_GBC_fc305f8d8a5d4acfaa8c568d71b62038" concept="clcid-pte:YingFuZhaiQuanDeZengJianBianDongBenQiChangHuanHeJi" label="应付债券的增减变动-本期偿还合计" mulRef="_GBC_221366b8136447aca9359e6115acb07a" unitRef="_GBC_ab4475cd02fd49449e15ccf7e0fadc42" addr="T0R3C9S1_1" formatStyle="Comma" appId="_GBC_a682f35f6b7c4d8b840f80705a81f19c">
        <m:complexRule comparator="Eq" title="应付债券的增减变动-本期偿还合计" test=" $_GBC_95bcebf5844946669c8dbaf17360f4c5" id="C8fe3136165ce425fb46ddcf2163ed411"/>
      </m:item>
      <m:item xlName="_GBC_a0fe2c09ae2c4ef5a56e5886589a4511" concept="clcid-pte:YingFuZhaiQuanDeZengJianBianDongYuEHeJi" label="应付债券的增减变动-余额合计" mulRef="_GBC_221366b8136447aca9359e6115acb07a" unitRef="_GBC_ab4475cd02fd49449e15ccf7e0fadc42" addr="T0R3C10S1_1" formatStyle="Comma" appId="_GBC_a682f35f6b7c4d8b840f80705a81f19c">
        <m:complexRule comparator="Eq" title="应付债券的增减变动-余额合计" test=" $_GBC_25d5df00021e464cbc2ce1d8b1193560" id="Cb8b77ccfd60f4f09806d389ac561077f"/>
      </m:item>
      <m:virtualTuples>
        <m:virtualTuple id="05b1f0af-c01f-4fce-96b8-29a3faf0470e" tupleRef="clcid-pte:YingFuZhaiQuanMingXi" defaultRows="0" extendDirection="2"/>
      </m:virtualTuples>
    </m:section>
    <m:section xlName="_SEC_757001457d924ad38aa4781484c5ba39" title="可转换公司债券的转股条件、转股时间说明：" helpId="112001095"/>
    <m:section xlName="_SEC_a518acf97f30496fb599ce9199c16315" title="划分为金融负债的其他金融工具说明" helpId="112001095"/>
    <m:section xlName="_SEC_a77cb0c0ba82436b82a7d5bb3bde2ada" title="应付债券其他说明" helpId="112001095"/>
    <m:section xlName="_SEC_02d134bf8d8d4eb58c0ae104046b1ba8" title="租赁负债" helpId="112002270"/>
    <m:section xlName="_SEC_f3d4542e7833456492aa3f1fb43c4fd5" title="长期应付款分类列示"/>
    <m:section xlName="_SEC_a0c78ab4e7864eb6ad0f9eb868ed1718" title="长期应付款分类列示其他说明"/>
    <m:section xlName="_SEC_7376b335bb274b24970a93a74d17b7c6" title="按款项性质列示长期应付款" helpId="112001096"/>
    <m:section xlName="_SEC_0a84e0b09fc64975bf9a126557085875" title="专项应付款" convertSummaryRule="NoConvert" helpId="112001098"/>
    <m:item xlName="_GBC_24f9546075204a64926cf2cb24e64f0e" concept="clcid-ci-ar:ShiFouShiYongChangQiYingFuZhiGongXinChou" label="是否适用：长期应付职工薪酬" selectOptions="_buildInAppliance" controlType="CustomCheckbox" cRanges="{&quot;StartName&quot;:&quot;_GBC_24f9546075204a64926cf2cb24e64f0e&quot;,&quot;EndName&quot;:&quot;_SEC_bdb4f6c5fc6642808a65fce4599aa115&quot;,&quot;CType&quot;:1,&quot;DisplayText&quot;:null}"/>
    <m:section xlName="_SEC_9e1dffe6ae18444d97446014b297dd69" title="长期应付职工薪酬" helpId="112001097"/>
    <m:section xlName="_SEC_5a389db9711a4a889c729ab40da926ed" title="设定受益计划变动情况" helpId="112001097"/>
    <m:section xlName="_SEC_bdb4f6c5fc6642808a65fce4599aa115" title="长期应付职工薪酬的其他说明" helpId="112001097"/>
    <m:section xlName="_SEC_f21973cd15af4f4f8cba4c68d4e9e36f" title="预计负债" convertSummaryRule="NoConvert" helpId="112001099"/>
    <m:section xlName="_SEC_77e89ee1eab949ef9b025afd8f005609" title="递延收益" rules="R2015_R11_019" helpId="112001100"/>
    <m:section xlName="_SEC_8d3befcc5cef4618a8781744946ac9ad" title="涉及政府补助的负债项目" rules="R2015_R11_019" convertSummaryRule="NoConvert" helpId="112001100"/>
    <m:section xlName="_SEC_7cd38d14438443479401d71c7f066fdf" title="递延收益其他说明" rules="R2015_R11_019" helpId="112001100"/>
    <m:section xlName="_SEC_e6f817e4d74a4d95acbb17b048314a10" title="其他非流动负债" convertSummaryRule="NoConvert" helpId="112001235"/>
    <m:section xlName="_SEC_8a6ae55fcdf4458585bca7ece234d93f" title="股本" convertSummaryRule="NoConvert" helpId="112001101"/>
    <m:section xlName="_SEC_6fed13d34fa44eddb1a893d7efc5d06b" title="期末发行在外的优先股、永续债等其他金融工具基本情况"/>
    <m:section xlName="_SEC_e75bf2a97679482fb5fa8f87d691b026" title="期末发行在外的优先股、永续债等金融工具变动情况表  发行..."/>
    <m:section xlName="_SEC_f0c4a2ce10914cf8a15ec22984f96cce" title="其他权益工具本期增减变动情况、变动原因说明，以及相关会计处理"/>
    <m:section xlName="_SEC_2737fbc9d66c421eae61476b09f44108" title="其他说明"/>
    <m:section xlName="_SEC_39b8590a9e5d496db1d2cf229fd840e9" title="资本公积" convertSummaryRule="NoConvert" helpId="112001105"/>
    <m:section xlName="_SEC_ac3bac3dee6b41e2a9bd601e8215a41b" title="库存股" convertSummaryRule="NoConvert" helpId="112001103"/>
    <m:section xlName="_SEC_b7abde66ee9f475b9c7a82f58ed72510" title=""/>
    <m:section xlName="_SEC_84ba198e06284c06a5fcfe80ab43de2c" title="专项储备" convertSummaryRule="NoConvert" helpId="112001104" axisType="Column"/>
    <m:section xlName="_SEC_e4999705883d4533b90d93a828deecc9" title="盈余公积" convertSummaryRule="NoConvert" helpId="112001108"/>
    <m:item xlName="_GBC_0ccb002da9b649db91afd1ca2a9330f8" concept="clcid-ci-ar:ShiFouShiYongWeiFenPeiLiRun" label="是否适用：未分配利润" selectOptions="_buildInAppliance" controlType="CustomCheckbox" cRanges="{&quot;StartName&quot;:&quot;_GBC_0ccb002da9b649db91afd1ca2a9330f8&quot;,&quot;EndName&quot;:&quot;_SEC_099bae2e74dd4c638d827dd234536518&quot;,&quot;CType&quot;:1,&quot;DisplayText&quot;:null}"/>
    <m:section xlName="_SEC_099bae2e74dd4c638d827dd234536518" title="未分配利润;" helpId="112001109"/>
    <m:section xlName="_SEC_4f278fa30cb04e56a01c1330e71747dc" title="营业收入和营业成本" rules="R2015_R11_020" helpId="112001110"/>
    <m:section xlName="_SEC_d9ef661e0f91486dad560fa19c2c09e5" title="营业收入扣除情况表" helpText="不存在应扣除营业收入（扣除金额填0）的，也应当简要说明。判断依据篇幅过长的，可索引年度报告正文披露内容。" optionTargetConcept="clcid-ci-ar:KouFeiQianHouJingliRunShiFouWeiFuZhi" optionTargetConceptValue="true" keyAction="6" keyCode="SFFZ_KCFJCSYJLR"/>
    <m:section xlName="_SEC_020e88e24a604d8684cb34b724e2379b" title="合同产生的收入的情况" tagAction="1" helpId="112001110">
      <m:virtualTuples>
        <m:virtualTuple id="47b64d54-c0cb-4c7a-a1b2-733bbb651abd" tupleRef="clcid-pte:HeTongChanShengDeShouRuFenBuMingXi" extendDirection="2"/>
      </m:virtualTuples>
    </m:section>
    <m:section xlName="_SEC_865a1cfefc5c4d048224b9061806c0cd" title="履约义务的说明" helpId="112001110"/>
    <m:section xlName="_SEC_982b67e019e6431a8776b813c56bff19" title="分摊至剩余履约义务的说明" helpId="112001110"/>
    <m:section xlName="_SEC_bf9c8800b7bc4046a57c9b28cfebe1e9" title="营业收入和营业成本的其他说明"/>
    <m:section xlName="_SEC_f69e6c0ae3f44fea9945d377a149f8ef" title="税金及附加" rules="R2015_R11_021" convertSummaryRule="NoConvert" helpId="112001112" axisType="Column"/>
    <m:section xlName="_SEC_5d1ca8a31f664ab6b4c2e40e3350a771" title="成本费用" rules="R2015_R11_022" convertSummaryRule="NoConvert" helpId="112001111"/>
    <m:section xlName="_SEC_7f6cbd459a55483f8da09e1ad1378e98" title="管理费用" rules="R2015_R11_023" helpId="112001111"/>
    <m:section xlName="_SEC_82bf03b829d641c299349e9d5db687f0" title="研发费用" helpId="112001111"/>
    <m:section xlName="_SEC_e64e0ff353b940238889b35d13a33128" title="财务费用" rules="R2015_R11_024" helpId="112001111"/>
    <m:section xlName="_SEC_e9bc7b10fbe24a58a2a8e3ac1ff96a97" title="其他收益" helpId="112002269"/>
    <m:section xlName="_SEC_153dc505def641b68896504f5596ef5b" title=""/>
    <m:section xlName="_SEC_1b8fb7a0e4a44723ab3a865986917571" title="净敞口套期收益" helpId="112002272"/>
    <m:section xlName="_SEC_ba248bb644d24508b56cf476e57a1ad1" title="公允价值变动收益" rules="R2015_R11_025" convertSummaryRule="NoConvert" helpId="112001113"/>
    <m:section xlName="_SEC_f3aa22c360ad4d4fa144dfe2d37137a3" title="信用减值损失" helpId="112002271" keyAction="89"/>
    <m:section xlName="_SEC_0711b4002bfe46319954a4204926581c" title="资产减值损失" rules="R2015_R11_027" helpId="112001115" keyAction="89"/>
    <m:section xlName="_SEC_467f7368f09741c792396e7413b66bc2" title="资产处置收益" helpId="112002268"/>
    <m:section xlName="_SEC_f6bd1fb85aac4d5fae732da5669c7d98" title="营业外收入情况" rules="R2015_R11_028" convertSummaryRule="NoConvert" helpId="112001116"/>
    <m:section xlName="_SEC_7da34acddedf41ad98cc013fa3418dfa" title="计入当期损益的政府补助" rules="R2015_R11_028" convertSummaryRule="NoConvert" helpId="112001116"/>
    <m:section xlName="_SEC_784c1ba1d166453d9ae358ccd8c78ff4" title="营业外收入说明" rules="R2015_R11_028" convertSummaryRule="NoConvert" helpId="112001116"/>
    <m:section xlName="_SEC_c9367abe549f4ea783abbf3c125e949f" title="营业外支出" convertSummaryRule="NoConvert" helpId="112001117"/>
    <m:section xlName="_SEC_dedc71a0d12742a59ac6ee5cfbfa509f" title="所得税费用" extended="true" convertSummaryRule="NoConvert" helpId="112001119">
      <m:item xlName="_GBC_3ea18046339d457a8712506679035498" concept="clcid-ci-ar:ShiFouShiYongSuoDeShuiFeiYongBiao" label="是否适用：所得税费用表" selectOptions="_buildInAppliance" controlType="CustomCheckbox" cRanges="{&quot;StartName&quot;:&quot;_GBC_3ea18046339d457a8712506679035498&quot;,&quot;EndName&quot;:&quot;_GBC_5264e3fe184b45feb09a33f0e5ec6330&quot;,&quot;CType&quot;:1,&quot;DisplayText&quot;:null}"/>
      <m:item xlName="_GBC_5e89c62734b24d50a562694dcf8d2206" indRef="607" concept="clcid-ci-ar:DanWeiCaiWuFuZhuSuoDeShuiFeiYong" label="单位：财务附注：所得税费用" selectOptions="_buildInScales" controlType="Combobox" cellType="Scale" appId="_GBC_3ea18046339d457a8712506679035498"/>
      <m:item xlName="_GBC_9c72c96e28344525b1836b3923556f61" indRef="608" concept="clcid-ci-ar:BiZhongCaiWuFuZhuSuoDeShuiFeiYong" label="币种：财务附注：所得税费用" selectOptions="_buildInISO4217" controlType="Combobox" cellType="Measure" appId="_GBC_3ea18046339d457a8712506679035498"/>
      <m:placeholder xlName="_PLD_e0d72a7f55e04c898352587240ce636b" wordText="项目" addr="T0R0C0S1_1"/>
      <m:placeholder xlName="_PLD_e2b12491de324856a6b2f7034aa875da" wordText="本期发生额" addr="T0R0C1S1_1"/>
      <m:placeholder xlName="_PLD_4b2515977b8d462088eb538637703bf1" wordText="上期发生额" addr="T0R0C2S1_1"/>
      <m:placeholder xlName="_PLD_eb618de0537148aeb9864c6338e1cc40" wordText="当期所得税费用" addr="T0R1C0S1_1"/>
      <m:item xlName="_GBC_b99dabfc56de4f149accbceaee4e92eb" concept="clcid-pte:SuoDeShuiFeiYongHeJi" label="所得税费用合计" mulRef="_GBC_5e89c62734b24d50a562694dcf8d2206" unitRef="_GBC_9c72c96e28344525b1836b3923556f61" addr="T0R1C1S1_1" baseScale="-1" formatStyle="Comma" appId="_GBC_3ea18046339d457a8712506679035498"/>
      <m:item xlName="_GBC_64156920bff44b1c9201c55bd0c2889e" concept="clcid-pte:SuoDeShuiFeiYongHeJi" label="所得税费用合计" periodRef="上年同期数" mulRef="_GBC_5e89c62734b24d50a562694dcf8d2206" unitRef="_GBC_9c72c96e28344525b1836b3923556f61" addr="T0R1C2S1_1" baseScale="-1" formatStyle="Comma" appId="_GBC_3ea18046339d457a8712506679035498"/>
      <m:placeholder xlName="_PLD_41728eb82b7b4c598f50b1463edd74e5" wordText="递延所得税费用" addr="T0R2C0S1_1"/>
      <m:item xlName="_GBC_7683f819d2df4db78654e46c13e5f796" concept="clcid-pte:DiYanSuoDeShuiFeiYong" label="递延所得税费用" mulRef="_GBC_5e89c62734b24d50a562694dcf8d2206" unitRef="_GBC_9c72c96e28344525b1836b3923556f61" addr="T0R2C1S1_1" baseScale="-1" formatStyle="Comma" appId="_GBC_3ea18046339d457a8712506679035498"/>
      <m:item xlName="_GBC_c5cbd5fec64a480aa49a35f5ecb604ba" concept="clcid-pte:DiYanSuoDeShuiFeiYong" label="递延所得税费用" periodRef="上年同期数" mulRef="_GBC_5e89c62734b24d50a562694dcf8d2206" unitRef="_GBC_9c72c96e28344525b1836b3923556f61" addr="T0R2C2S1_1" baseScale="-1" formatStyle="Comma" appId="_GBC_3ea18046339d457a8712506679035498"/>
      <m:tuple xlName="_TUP_c788e599807d45aabe970a6757959d90" concept="clcid-pte:SuoDeShuiMingXi" label="所得税明细" default_row="2" addr="T0R3C">
        <m:item xlName="_GBC_6a7cf037218c49829767e1524dfd967c" wordText="　" concept="clcid-pte:SuoDeShuiXiangMu" label="所得税项目" addr="T0R3C0S1_1" appId="_GBC_3ea18046339d457a8712506679035498"/>
        <m:item xlName="_GBC_d34c28c5ac674166997f42c386ac41a9" concept="clcid-pte:SuoDeShuiJinE" label="所得税金额" mulRef="_GBC_5e89c62734b24d50a562694dcf8d2206" unitRef="_GBC_9c72c96e28344525b1836b3923556f61" addr="T0R3C1S1_1" baseScale="-1" formatStyle="Comma" appId="_GBC_3ea18046339d457a8712506679035498"/>
        <m:item xlName="_GBC_7b25050bb1d347bf92b8f56a05c0b414" concept="clcid-pte:SuoDeShuiJinE" label="所得税金额" periodRef="上年同期数" mulRef="_GBC_5e89c62734b24d50a562694dcf8d2206" unitRef="_GBC_9c72c96e28344525b1836b3923556f61" addr="T0R3C2S1_1" baseScale="-1" formatStyle="Comma" appId="_GBC_3ea18046339d457a8712506679035498"/>
      </m:tuple>
      <m:placeholder xlName="_PLD_b68ddca7a6004bd4964d19fff997989b" wordText="合计" addr="T0R5C0S1_1"/>
      <m:item xlName="_GBC_ceca48370b234847bb6106bee975b7c5" concept="clcid-pte:SuoDeShui" label="所得税" mulRef="_GBC_5e89c62734b24d50a562694dcf8d2206" unitRef="_GBC_9c72c96e28344525b1836b3923556f61" addr="T0R5C1S1_1" baseScale="-1" formatStyle="Comma" appId="_GBC_3ea18046339d457a8712506679035498">
        <m:complexRule comparator="Eq" title="所得税" test=" $_GBC_b99dabfc56de4f149accbceaee4e92eb +  $_GBC_7683f819d2df4db78654e46c13e5f796 +  $_GBC_d34c28c5ac674166997f42c386ac41a9" id="C37901e2a6cee482faeea7a4d1d1050c0" serialType="1"/>
      </m:item>
      <m:item xlName="_GBC_5264e3fe184b45feb09a33f0e5ec6330" concept="clcid-pte:SuoDeShui" label="所得税" periodRef="上年同期数" mulRef="_GBC_5e89c62734b24d50a562694dcf8d2206" unitRef="_GBC_9c72c96e28344525b1836b3923556f61" addr="T0R5C2S1_1" baseScale="-1" formatStyle="Comma" appId="_GBC_3ea18046339d457a8712506679035498">
        <m:complexRule comparator="Eq" title="所得税@上年同期数" test=" $_GBC_64156920bff44b1c9201c55bd0c2889e +  $_GBC_c5cbd5fec64a480aa49a35f5ecb604ba +  $_GBC_7b25050bb1d347bf92b8f56a05c0b414" id="C44a77671fd9347019c20b1a732838ea6" serialType="1"/>
      </m:item>
      <m:item xlName="_GBC_add00d323e2049ad8bc932f632966661" concept="clcid-ci-ar:ShiFouShiYongHuiJiLiRunYuSuoDeShuiFeiYongDiaoZhengGuoCheng" label="是否适用：会计利润与所得税费用调整过程" selectOptions="_buildInAppliance" controlType="CustomCheckbox" cRanges="{&quot;StartName&quot;:&quot;_GBC_add00d323e2049ad8bc932f632966661&quot;,&quot;EndName&quot;:&quot;_GBC_6ade4cce1d15420b837fd45e6e509f4a&quot;,&quot;CType&quot;:1,&quot;DisplayText&quot;:null}"/>
      <m:item xlName="_GBC_10825cb9bb5e445c9210ee34dc80406a" indRef="609" concept="clcid-ci-ar:DanWeiHuiJiLiRunYuSuoDeShuiFeiYongDiaoZhengGuoCheng" label="单位：会计利润与所得税费用调整过程" selectOptions="_buildInScales" controlType="Combobox" cellType="Scale" appId="_GBC_add00d323e2049ad8bc932f632966661"/>
      <m:item xlName="_GBC_017b69d0005b4ea99f76c547a25a6231" indRef="610" concept="clcid-ci-ar:BiZhongHuiJiLiRunYuSuoDeShuiFeiYongDiaoZhengGuoCheng" label="币种：会计利润与所得税费用调整过程" selectOptions="_buildInISO4217" controlType="Combobox" cellType="Measure" appId="_GBC_add00d323e2049ad8bc932f632966661"/>
      <m:placeholder xlName="_PLD_1123621c9879400694da9a8842888e14" wordText="项目" addr="T1R0C0S1_1"/>
      <m:placeholder xlName="_PLD_4a270148a32846b69754961e55c75a04" wordText="本期发生额" addr="T1R0C1S1_1"/>
      <m:placeholder xlName="_PLD_fe27eedc229b486899ed547c51d37917" wordText="利润总额" addr="T1R1C0S1_1"/>
      <m:item xlName="_GBC_b0dc73d44af2474cb5b2810542fc5269" concept="clcid-pte:LiRunZongE" label="利润总额" mulRef="_GBC_10825cb9bb5e445c9210ee34dc80406a" unitRef="_GBC_017b69d0005b4ea99f76c547a25a6231" addr="T1R1C1S1_1" formatStyle="Comma" appId="_GBC_add00d323e2049ad8bc932f632966661"/>
      <m:placeholder xlName="_PLD_f7ffc0c7ca9b497d8dc0dce5bf0eda9a" wordText="按法定/适用税率计算的所得税费用" addr="T1R2C0S1_1"/>
      <m:item xlName="_GBC_0874dc6de4834ef5afb5925a6a42c0ee" concept="clcid-pte:AnFaDingShiYongShuiLvJiSuanDeSuoDeShuiFeiYong" label="按法定/适用税率计算的所得税费用" mulRef="_GBC_10825cb9bb5e445c9210ee34dc80406a" unitRef="_GBC_017b69d0005b4ea99f76c547a25a6231" addr="T1R2C1S1_1" formatStyle="Comma" appId="_GBC_add00d323e2049ad8bc932f632966661"/>
      <m:placeholder xlName="_PLD_9df18bdcd694449695ac6d0f65c229b7" wordText="子公司适用不同税率的影响" addr="T1R3C0S1_1"/>
      <m:item xlName="_GBC_2473b199342b44fe9e4e163e54d981ab" concept="clcid-pte:ZiGongSiShiYongBuTongShuiLvDeYingXiang" label="子公司适用不同税率的影响" mulRef="_GBC_10825cb9bb5e445c9210ee34dc80406a" unitRef="_GBC_017b69d0005b4ea99f76c547a25a6231" addr="T1R3C1S1_1" formatStyle="Comma" appId="_GBC_add00d323e2049ad8bc932f632966661"/>
      <m:placeholder xlName="_PLD_3265a7f97078414e8992682ae705b8ae" wordText="调整以前期间所得税的影响" addr="T1R4C0S1_1"/>
      <m:item xlName="_GBC_97e328cb25284c99bb18e98d990dc951" concept="clcid-pte:DiaoZhengYiQianQiJianSuoDeShuiDeYingXiang" label="调整以前期间所得税的影响" mulRef="_GBC_10825cb9bb5e445c9210ee34dc80406a" unitRef="_GBC_017b69d0005b4ea99f76c547a25a6231" addr="T1R4C1S1_1" formatStyle="Comma" appId="_GBC_add00d323e2049ad8bc932f632966661"/>
      <m:placeholder xlName="_PLD_d221a1750972424fa59e109036c4105d" wordText="非应税收入的影响" addr="T1R5C0S1_1"/>
      <m:item xlName="_GBC_00fe3613c02a4bc9b441e361c1ee42a8" concept="clcid-pte:FeiYingShuiShouRuDeYingXiang" label="非应税收入的影响" mulRef="_GBC_10825cb9bb5e445c9210ee34dc80406a" unitRef="_GBC_017b69d0005b4ea99f76c547a25a6231" addr="T1R5C1S1_1" formatStyle="Comma" appId="_GBC_add00d323e2049ad8bc932f632966661"/>
      <m:placeholder xlName="_PLD_b267521bfe9246aa95e35e3cebc4a1f8" wordText="不可抵扣的成本、费用和损失的影响" addr="T1R6C0S1_1"/>
      <m:item xlName="_GBC_fb70b79e1c6547a6a4ff287a218063ec" concept="clcid-pte:BuKeDiKouDeChengBenFeiYongHeSunShiDeYingXiang" label="不可抵扣的成本、费用和损失的影响" mulRef="_GBC_10825cb9bb5e445c9210ee34dc80406a" unitRef="_GBC_017b69d0005b4ea99f76c547a25a6231" addr="T1R6C1S1_1" formatStyle="Comma" appId="_GBC_add00d323e2049ad8bc932f632966661"/>
      <m:placeholder xlName="_PLD_e3ea20a1997a4604af76b7db091e8702" wordText="使用前期未确认递延所得税资产的可抵扣亏损的影响" addr="T1R7C0S1_1"/>
      <m:item xlName="_GBC_40bb586cf9b74ca6b1284a3527551a3e" concept="clcid-pte:ShiYongQianQiWeiQueRenDiYanSuoDeShuiZiChanDeKeDiKouKuiSunDeYingXiang" label="使用前期未确认递延所得税资产的可抵扣亏损的影响" mulRef="_GBC_10825cb9bb5e445c9210ee34dc80406a" unitRef="_GBC_017b69d0005b4ea99f76c547a25a6231" addr="T1R7C1S1_1" formatStyle="Comma" appId="_GBC_add00d323e2049ad8bc932f632966661"/>
      <m:placeholder xlName="_PLD_8401811b11b54235be79955ebe812995" wordText="本期未确认递延所得税资产的可抵扣暂时性差异或可抵扣亏损的影响" addr="T1R8C0S1_1"/>
      <m:item xlName="_GBC_bd0eeae4ff254f0f860ffbc0eb2cb129" concept="clcid-pte:BenQiWeiQueRenDiYanSuoDeShuiZiChanDeKeDiKouZanShiXingChaYiHuoKeDiKouKuiSunDeYingXiang" label="本期未确认递延所得税资产的可抵扣暂时性差异或可抵扣亏损的影响" mulRef="_GBC_10825cb9bb5e445c9210ee34dc80406a" unitRef="_GBC_017b69d0005b4ea99f76c547a25a6231" addr="T1R8C1S1_1" formatStyle="Comma" appId="_GBC_add00d323e2049ad8bc932f632966661"/>
      <m:tuple xlName="_TUP_e9f3609279ef4d50b65ce0510eb9fee4" concept="clcid-pte:HuiJiLiRunYuSuoDeShuiFeiYongDiaoZhengGuoChengMingXi" label="会计利润与所得税费用调整过程明细" default_row="2" addr="T1R9C">
        <m:item xlName="_GBC_cbeb7a1786aa482b84400ec514f204ab" wordText="　" concept="clcid-pte:HuiJiLiRunYuSuoDeShuiFeiYongDiaoZhengGuoChengMingXiXiangMuMingCheng" label="会计利润与所得税费用调整过程明细-项目名称" addr="T1R9C0S1_1" appId="_GBC_add00d323e2049ad8bc932f632966661"/>
        <m:item xlName="_GBC_36c76312ddc04d709dec1b62c84ca834" concept="clcid-pte:HuiJiLiRunYuSuoDeShuiFeiYongDiaoZhengGuoChengMingXiFaShengE" label="会计利润与所得税费用调整过程明细-发生额" mulRef="_GBC_10825cb9bb5e445c9210ee34dc80406a" unitRef="_GBC_017b69d0005b4ea99f76c547a25a6231" addr="T1R9C1S1_1" formatStyle="Comma" appId="_GBC_add00d323e2049ad8bc932f632966661"/>
        <m:item xlName="_GBC_24a54a6427aa4b4d916a045b7dffd58b" concept="">
          <m:extendConcept standardLabel="上期发生额" dataType="xbrli:stringItemType" period="instant"/>
        </m:item>
      </m:tuple>
      <m:placeholder xlName="_PLD_0d947a5f645f44d7ade144f76e03c99e" wordText="所得税费用" addr="T1R11C0S1_1"/>
      <m:item xlName="_GBC_6ade4cce1d15420b837fd45e6e509f4a" concept="clcid-pte:AnShiJiShuiLvJiSuanDeSuoDeShuiFeiYong" label="按实际税率计算的所得税费用" mulRef="_GBC_10825cb9bb5e445c9210ee34dc80406a" unitRef="_GBC_017b69d0005b4ea99f76c547a25a6231" addr="T1R11C1S1_1" formatStyle="Comma" appId="_GBC_add00d323e2049ad8bc932f632966661"/>
      <m:item xlName="_GBC_6d867e6606c643469619e039bd83c158" concept="clcid-ci-ar:ShiFouShiYongSuoDeShuiFeiYongDeShuoMing" label="是否适用：所得税费用的说明" selectOptions="_buildInAppliance" controlType="CustomCheckbox" cRanges="{&quot;StartName&quot;:&quot;_GBC_6d867e6606c643469619e039bd83c158&quot;,&quot;EndName&quot;:&quot;_GBC_c695f97a4e524a2a8e3eae5f6f09355a&quot;,&quot;CType&quot;:1,&quot;DisplayText&quot;:null}"/>
      <m:item xlName="_GBC_c695f97a4e524a2a8e3eae5f6f09355a" concept="clcid-pte:SuoDeShuiFeiYongDeShuoMing" label="所得税费用的说明" appId="_GBC_6d867e6606c643469619e039bd83c158"/>
    </m:section>
    <m:section xlName="_SEC_abcda0c67180436c970991051af2777d" title="其他综合收益" helpId="112001121"/>
    <m:section xlName="_SEC_db9c62b020ec4e9ea32fddcc998663ec" title="收到的其他与经营活动有关的现金" rules="R2015_R11_029" convertSummaryRule="NoConvert" helpId="112002201"/>
    <m:section xlName="_SEC_69836e8867b347e7b3fe206eca280b9d" title="支付的其他与经营活动有关的现金" rules="R2015_R11_030" convertSummaryRule="NoConvert" helpId="112002201"/>
    <m:section xlName="_SEC_bffd728d3f034a24a21a18f895399812" title="收到的其他与投资活动有关的现金" convertSummaryRule="NoConvert" helpId="112002201"/>
    <m:section xlName="_SEC_aafc72f0aabb4b5faeb8c5be6629eee5" title="支付的其他与投资活动有关的现金" convertSummaryRule="NoConvert" helpId="112002201"/>
    <m:section xlName="_SEC_cee5e63128ad411498f4c0e9e303807b" title="收到的其他与筹资活动有关的现金" convertSummaryRule="NoConvert" helpId="112002201"/>
    <m:section xlName="_SEC_7f5832ab98b14401b69843c0f895b85e" title="支付的其他与筹资活动有关的现金" convertSummaryRule="NoConvert" helpId="112002201"/>
    <m:section xlName="_SEC_f8be5b6afa1a4e6a83d098555e296b4b" title="现金流量表补充资料" helpId="112001123">
      <m:rowModel locationConcept="clcid-ci-ar:ZiDingYiKeMuWeiZhi" labelConcept="clcid-ci-ar:ZiDingYiKeMuMingCheng" conceptPrefix="补充资料现金流量表" presentationRole="http://www.xbrl-cn.org/cn/lcid/lr/role/XianJinLiuLiangBiaoBuChongZiLiao" presentationParentConcept="clcid-pte_XianJinLiuLiangBiaoBuChongZiLiao" tuplePrefix="项目"/>
    </m:section>
    <m:section xlName="_SEC_971240b1511b4283b56dedb17a919272" title="取得子公司支付的现金净额" helpId="112001123"/>
    <m:section xlName="_SEC_c13aa60d3ee2485187cd10bae50b72d3" title="处置子公司收到的现金净额" helpId="112001123"/>
    <m:section xlName="_SEC_4dd83b47da414fd18ef87a83dbc8a22a" title="现金和现金等价物的构成" helpId="112001123"/>
    <m:section xlName="_SEC_cbb5e6d5041b434cbee55fb14e7590da" title="所有者权益变动表项目注释" convertSummaryRule="NoConvert" helpId="112001124"/>
    <m:section xlName="_SEC_a24445b9d34342ec921f5b1164f97e32" title="所有权或使用权受到限制的资产" helpId="112001235" axisType="Column"/>
    <m:section xlName="_SEC_d0d3f1cb74c546a2a03e13993b313207" title="外币货币性项目" resetControlTag="true" helpId="112001118" axisType="Column" keyAction="48" keyCode="currency" otherKeyActions="{&quot;KeyCode&quot;:&quot;_GBC_a8a2206abe64476f90c2dfa9e05b581d&quot;,&quot;KeyAction&quot;:49,&quot;KeyActionTitle&quot;:null,&quot;OtherActions&quot;:null}"/>
    <m:section xlName="_SEC_72e212d6db4945c88ff1963281a9b51a" title="按照套期类别披露套期及相关套期工具、被套期风险的相关的定性定" helpId="112001120"/>
    <m:section xlName="_SEC_669a56494e84421f926c6125ba0e65ac" title="政府补助" helpId="112002270"/>
    <m:section xlName="_SEC_c84db925a3024ae68b5f3a3d1775752e" title="合并财务报表项目注释其他需要说明的事项" helpId="112001122"/>
    <m:item xlName="_GBC_f305adddf4654659bd28ceedc072aa05" concept="clcid-ci-ar:ShiFouShiYongFeiTongYiKongZhiXiaQiYeHeBing" label="是否适用：非同一控制下企业合并" selectOptions="_buildInAppliance" controlType="CustomCheckbox" cRanges="{&quot;StartName&quot;:&quot;_GBC_f305adddf4654659bd28ceedc072aa05&quot;,&quot;EndName&quot;:&quot;_SEC_657a82cc36f44929827b8af7e658a158&quot;,&quot;CType&quot;:1,&quot;DisplayText&quot;:null}"/>
    <m:section xlName="_SEC_dc451f082d624eb08a17dd4ff91af9ca" title="本期发生的非同一控制下企业合并" helpId="112001125" helpText="注：分步实现企业合并且在本期取得控制权的交易，应分别说明前期和本期取得股权的时点、成本、比例及方式。"/>
    <m:section xlName="_SEC_87b59ec06d09487eac65b149f5d5042b" title="合并成本及商誉" repeatable="2" helpId="112001126">
      <m:virtualTuples>
        <m:virtualTuple id="dc40489a-919e-4301-8c5f-ee7896369dc8" tupleRef="clcid-pte:FeiTongYiKongZhiXiaQiYeHeBingChengBenJiShangYuMingXi" extendDirection="2"/>
      </m:virtualTuples>
    </m:section>
    <m:section xlName="_SEC_39a3f440a8fd4395a73a74d18fd58cb5" title="被购买方于购买日可辨认资产、负债" repeatable="2" helpId="112001128" helpText="注：资产、负债项目可根据重要性原则分类汇总列示；单项不重大的企业合并可汇总列示。 " keyAction="31" keyCode="NO_FIX_TAG">
      <m:virtualTuples>
        <m:virtualTuple id="38730a4f-a883-463b-bb49-550fe2a8033d" tupleRef="clcid-pte:BeiGouMaiFangYuGouMaiRiKeBianRenZiChanFuZhaiMingXi" extendDirection="2"/>
      </m:virtualTuples>
    </m:section>
    <m:section xlName="_SEC_f29b4af6832b4cd79fad52bf63b86044" title="购买日之前持有的股权按照公允价值重新计量产生的利得或损失" helpId="112001130"/>
    <m:section xlName="_SEC_85a4a3102e7b40d8a701773e48e38230" title="购买日或合并当期期末无法合理确定合并对价或被购买方可辨认资产..." helpId="112001131"/>
    <m:section xlName="_SEC_657a82cc36f44929827b8af7e658a158" title="非同一控制下企业合并其他说明"/>
    <m:item xlName="_GBC_698d1a451f094ec0bf9c3a278d26a0d3" concept="clcid-ci-ar:ShiFouShiYongTongYiKongZhiXiaQiYeHeBing" label="是否适用：同一控制下企业合并" selectOptions="_buildInAppliance" controlType="CustomCheckbox" cRanges="{&quot;StartName&quot;:&quot;_GBC_698d1a451f094ec0bf9c3a278d26a0d3&quot;,&quot;EndName&quot;:&quot;_SEC_f7d823a863ab4f79bee2af71216d2355&quot;,&quot;CType&quot;:1,&quot;DisplayText&quot;:null}"/>
    <m:section xlName="_SEC_ea3636e32791444f819a80e31f1a98e9" title="本期发生的同一控制下企业合并" helpId="112001132"/>
    <m:section xlName="_SEC_edaaabff5d0c497e892b28e2eb8a8694" title="合并成本" repeatable="2" helpId="112001133">
      <m:virtualTuples>
        <m:virtualTuple id="986fe223-72fe-4432-9239-c0d0b7b4149b" tupleRef="clcid-pte:TongYiKongZhiXiaQiYeHeBingChengBenMingXi" extendDirection="2"/>
      </m:virtualTuples>
    </m:section>
    <m:section xlName="_SEC_3cd340c85c3541dcbc338d9d67d159e4" title="被合并方的资产、负债" repeatable="2" helpId="112001135" helpText="注：资产、负债项目可根据重要性原则分类汇总列示；单项不重大的企业合并可汇总列示。">
      <m:virtualTuples>
        <m:virtualTuple id="85eb503a-1b77-4cac-a1bf-b8abba4f2f6a" tupleRef="clcid-pte:BeiHeBingFangDeZiChanFuZhaiMingXi" extendDirection="2"/>
      </m:virtualTuples>
    </m:section>
    <m:section xlName="_SEC_f7d823a863ab4f79bee2af71216d2355" title="被合并方的资产、负债的说明" helpId="112001135"/>
    <m:section xlName="_SEC_612fd89e631e4e869313fae62c4eb055" title="反向购买" helpId="112001137" helpText="注：上市公司保留的资产、负债构成业务的，同时还应按照非同一控制下企业合并披露相关信息。"/>
    <m:section xlName="_SEC_2a4ee8d8c08040448e991803ec2047d5" title="处置子公司" helpId="112001139"/>
    <m:section xlName="_SEC_2dea1a083cd44a3498f7ec333a953a20" title="是否存在通过多次交易分步处置对子公司投资且在本期丧失控制权的" helpId="112001139"/>
    <m:section xlName="_SEC_f9b0cb7de2e542ab89fc93d4bad1a3a5" title="一揽子交易" helpText="注：分别说明前期和本期处置股权的时点、价款、比例及方式。"/>
    <m:section xlName="_SEC_f2bc2f265c9c43ad96db1ccb944034a0" title="非一揽子交易" helpId="112001139" helpText="注：分别说明前期和本期处置股权的时点、价款、比例及方式。"/>
    <m:section xlName="_SEC_06f741a2d2b342998a5d1499d841b2b1" title="其他原因的合并范围变动" helpId="112001141"/>
    <m:section xlName="_SEC_ca392f46fede4abc8729431a3728c4bb" title="同一控制下企业合并其他" helpId="112001142"/>
    <m:section xlName="_GBC_47f8b786d9024ebb977349f022d18c1c" title="企业集团的构成" rules="R2015_R11_031" helpId="112001143"/>
    <m:section xlName="_GBC_a2ec6e05ebd34d2fa14b1ba6b3ba8eb1" title="重要的非全资子公司" rules="R2015_R11_031" helpId="112001144"/>
    <m:section xlName="_GBC_501222dd8f884fabbdeaec6fe7e79709" title="重要非全资子公司的主要财务信息" rules="R2015_R11_031" helpId="112001145"/>
    <m:section xlName="_GBC_573fe5c9daf0401da00d8fc5198daf66" title="使用企业集团资产和清偿企业集团债务的重大限制" rules="R2015_R11_031" helpId="112001146"/>
    <m:section xlName="_GBC_114877d69a2e4b56b15fb618155127e3" title="向纳入合并财务报表范围的结构化主体提供的财务支持或其他支持" rules="R2015_R11_031" helpId="112001147"/>
    <m:section xlName="_GBC_a0f68dc0a3a24efaa431a8c8d768eb0f" title="在子公司中的权益其他说明" rules="R2015_R11_031"/>
    <m:item xlName="_GBC_4c0599836d204e25b4d5d4f8434a2c4c" concept="clcid-ci-ar:ShiFouShiYongZaiZiGongSiDeSuoYouZheQuanYiFenEFaShengBianHuaQieRengKongZhiZiGongSiDeJiaoYi" label="是否适用：在子公司的所有者权益份额发生变化且仍控制子公司的交易" selectOptions="_buildInAppliance" controlType="CustomCheckbox" cRanges="{&quot;StartName&quot;:&quot;_GBC_4c0599836d204e25b4d5d4f8434a2c4c&quot;,&quot;EndName&quot;:&quot;_GBC_6c711c3ca3c84136960924716eba5afd&quot;,&quot;CType&quot;:1,&quot;DisplayText&quot;:null}"/>
    <m:section xlName="_GBC_97caac97575742839d3ba3c28ee39a60" title="在子公司所有者权益份额的变化情况的说明" rules="R2015_R11_031" helpId="112001148"/>
    <m:section xlName="_GBC_6c711c3ca3c84136960924716eba5afd" title="交易对于少数股东权益及归属于母公司所有者权益的影响" rules="R2015_R11_031" repeatable="2" helpId="112001148">
      <m:virtualTuples>
        <m:virtualTuple id="a9fdb2d5-7ad8-422d-a254-52ab68cea10e" tupleRef="clcid-pte:JiaoYiDuiYuShaoShuGuDongQuanYiJiGuiShuYuMuGongSiSuoYouZheQuanYiDeYingXiangMingXi" extendDirection="2"/>
      </m:virtualTuples>
    </m:section>
    <m:item xlName="_GBC_2bff91875b7a49f3929c4613048756c1" concept="clcid-ci-ar:ShiFouShiYongZaiHeYingQiYeHuoLianYingQiYeZhongDeQuanYi" label="是否适用：在合营企业或联营企业中的权益" selectOptions="_buildInAppliance" controlType="CustomCheckbox" cRanges="{&quot;StartName&quot;:&quot;_GBC_2bff91875b7a49f3929c4613048756c1&quot;,&quot;EndName&quot;:&quot;_GBC_1f803def681a42ba91cdde709a067b3f&quot;,&quot;CType&quot;:1,&quot;DisplayText&quot;:null}"/>
    <m:section xlName="_GBC_49e4a749316a464e89485cda5774fc07" title="重要的合营企业或联营企业" rules="R2015_R11_031" extended="true" helpId="112001149">
      <m:item xlName="_GBC_99df64ed4bb84c2da5fb54cda5ae039b" concept="clcid-ci-ar:ShiFouShiYongZhongYaoDeHeYingQiYeHuoLianYingQiYe" label="是否适用：重要的合营企业或联营企业" selectOptions="_buildInAppliance" controlType="CustomCheckbox" cRanges="{&quot;StartName&quot;:&quot;_GBC_99df64ed4bb84c2da5fb54cda5ae039b&quot;,&quot;EndName&quot;:&quot;_GBC_08a71a8c491f4c758da0748f7570fb28&quot;,&quot;CType&quot;:1,&quot;DisplayText&quot;:null}"/>
      <m:item xlName="_GBC_fc95ad35f9984b0c84fb2b12ebeb41db" indRef="664" concept="clcid-ci-ar:DanWeiCaiWuFuZhuZhongYaoDeHeYingQiYeHuoLianYingQiYe" label="单位：财务附注：重要的合营企业或联营企业" selectOptions="_buildInScales" controlType="Combobox" cellType="Scale" appId="_GBC_2bff91875b7a49f3929c4613048756c1"/>
      <m:item xlName="_GBC_95704750d12047c58739551fa2558d6f" indRef="665" concept="clcid-ci-ar:BiZhongCaiWuFuZhuZhongYaoDeHeYingQiYeHuoLianYingQiYe" label="币种：财务附注：重要的合营企业或联营企业" selectOptions="_buildInISO4217" controlType="Combobox" cellType="Measure" appId="_GBC_2bff91875b7a49f3929c4613048756c1"/>
      <m:placeholder xlName="_PLD_6004d65b7e3443dc82381484e3885a6b" wordText="合营企业或联营企业名称" addr="T0R0C0S2_1"/>
      <m:placeholder xlName="_PLD_2e148655e91e4b998bd7a7d0b10c96fd" wordText="主要经营地" addr="T0R0C1S2_1"/>
      <m:placeholder xlName="_PLD_32e2714eb7074350886ae0d40b5c34b1" wordText="注册地" addr="T0R0C2S2_1"/>
      <m:placeholder xlName="_PLD_d429c77b8bef473a98608606ebcd4d75" wordText="业务性质" addr="T0R0C3S2_1"/>
      <m:placeholder xlName="_PLD_bc055f9d5073401a85de2316f2a2b7ce" wordText="持股比例(%)" addr="T0R0C4S1_2"/>
      <m:placeholder xlName="_PLD_96c57a3220e8432f8deedb4873fcf29c" wordText="对合营企业或联营企业投资的会计处理方法" addr="T0R0C6S2_1"/>
      <m:placeholder xlName="_PLD_076e5c9e7ab64e6db098592664f75c64" wordText="直接" addr="T0R1C4S1_1"/>
      <m:placeholder xlName="_PLD_49b77f1690ee4cc88f829d510135f0bf" wordText="间接" addr="T0R1C5S1_1"/>
      <m:tuple xlName="_GBC_a1baed559822472c8c78b05cadceb35a" concept="clcid-pte:ZhongYaoDeHeYingQiYeHuoLianYingQiYeMingXi" label="重要的合营企业或联营企业明细" default_row="2" addr="T0R2C">
        <m:item xlName="_GBC_6012a21c254c4c55a99615b2a357b5b8" wordText="　" concept="clcid-pte:ZhongYaoDeHeYingQiYeHuoLianYingQiYeMingXiQiYeMingCheng" label="重要的合营企业或联营企业明细-企业名称" addr="T0R2C0S1_1" appId="_GBC_99df64ed4bb84c2da5fb54cda5ae039b"/>
        <m:item xlName="_GBC_ef30cc704c124c95a209c58df521b41e" concept="clcid-pte:ZhongYaoDeHeYingQiYeHuoLianYingQiYeMingXiZhuYaoJingYingDi" label="重要的合营企业或联营企业明细-主要经营地" addr="T0R2C1S1_1" appId="_GBC_99df64ed4bb84c2da5fb54cda5ae039b"/>
        <m:item xlName="_GBC_15b7a7fea18b45519acd2ab5159490a8" concept="clcid-pte:ZhongYaoDeHeYingQiYeHuoLianYingQiYeMingXiZhuCeDi" label="重要的合营企业或联营企业明细-注册地" addr="T0R2C2S1_1" appId="_GBC_99df64ed4bb84c2da5fb54cda5ae039b"/>
        <m:item xlName="_GBC_6e3df046930f4577aed2e2f0d183f386" concept="clcid-pte:ZhongYaoDeHeYingQiYeHuoLianYingQiYeMingXiYeWuXingZhi" label="重要的合营企业或联营企业明细-业务性质" addr="T0R2C3S1_1" appId="_GBC_99df64ed4bb84c2da5fb54cda5ae039b"/>
        <m:item xlName="_GBC_45b510b1f8bd4167b53720c6d055ce31" concept="clcid-pte:ZhongYaoDeHeYingQiYeHuoLianYingQiYeMingXiZhiJieChiGuBiLi" label="重要的合营企业或联营企业明细-直接持股比例" addr="T0R2C4S1_1" baseScale="0.01" formatStyle="Comma" appId="_GBC_99df64ed4bb84c2da5fb54cda5ae039b"/>
        <m:item xlName="_GBC_2fb425eda7a04343a70fc45ef307b870" concept="clcid-pte:ZhongYaoDeHeYingQiYeHuoLianYingQiYeMingXiJianJieChiGuBiLi" label="重要的合营企业或联营企业明细-间接持股比例" addr="T0R2C5S1_1" baseScale="0.01" formatStyle="Comma" appId="_GBC_99df64ed4bb84c2da5fb54cda5ae039b"/>
        <m:item xlName="_GBC_7f56437342a045aa91ca3cd5786c836e" concept="clcid-pte:ZhongYaoDeHeYingQiYeHuoLianYingQiYeMingXiDuiHeYingQiYeHuoLianYingQiYeTouZiDeHuiJiChuLiFangFa" label="重要的合营企业或联营企业明细-对合营企业或联营企业投资的会计处理方法" addr="T0R2C6S1_1" formatStyle="Comma" appId="_GBC_99df64ed4bb84c2da5fb54cda5ae039b"/>
        <m:item xlName="_GBC_f3cdfdd15f63443ea288321bd63b3b1e" concept="">
          <m:extendConcept standardLabel="注册资本" dataType="xbrli:stringItemType" period="instant"/>
        </m:item>
        <m:item xlName="_GBC_323fb8dfc7b74a5288c926319dbd44ab" concept="">
          <m:extendConcept standardLabel="对本集团活动是否具有战略性" dataType="xbrli:stringItemType" period="instant"/>
        </m:item>
      </m:tuple>
      <m:item xlName="_GBC_b18385c11aff4424b360bd0cb4f81376" concept="clcid-pte:ZaiHeYingQiYeHuoLianYingQiYeDeChiGuBiLiBuTongYuBiaoJueQuanBiLiDeShuoMing" label="在合营企业或联营企业的持股比例不同于表决权比例的说明" appId="_GBC_99df64ed4bb84c2da5fb54cda5ae039b"/>
      <m:item xlName="_GBC_08a71a8c491f4c758da0748f7570fb28" concept="clcid-pte:ChiYouYiXiaBiaoJueQuanDanJuYouZhongDaYingXiangHuoZheChiYouHuoYiShangBiaoJueQuanDanBuJuYouZhongDaYingXiangDeYiJu" label="持有20%以下表决权但具有重大影响，或者持有20%或以上表决权但不具有重大影响的依据" appId="_GBC_99df64ed4bb84c2da5fb54cda5ae039b"/>
    </m:section>
    <m:section xlName="_GBC_10d60417c84d41c1b3386073557d9d05" title="重要合营企业的主要财务信息" rules="R2015_R11_031" repeatable="2" helpId="112001150">
      <m:virtualTuples>
        <m:virtualTuple id="597dff05-272b-4d7d-ab87-8880769a1248" tupleRef="clcid-pte:ZhongYaoHeYingQiYeDeZhuYaoCaiWuXinXiMingXi" defaultRows="2" extendDirection="2" splitWidth="1"/>
      </m:virtualTuples>
    </m:section>
    <m:section xlName="_GBC_ac3eed998bbd4658ab651a88daefefb1" title="重要联营企业的主要财务信息" rules="R2015_R11_031" repeatable="2" helpId="112001150">
      <m:virtualTuples>
        <m:virtualTuple id="29d2d25d-d27c-4108-a9df-751f4154b0ff" tupleRef="clcid-pte:ZhongYaoLianYingQiYeDeZhuYaoCaiWuXinXiMingXi" defaultRows="2" extendDirection="2" splitWidth="1"/>
      </m:virtualTuples>
    </m:section>
    <m:section xlName="_GBC_7592afe8201c4b36a34fa177ca124037" title="不重要的合营企业和联营企业的汇总财务信息" rules="R2015_R11_031" helpId="112001151"/>
    <m:section xlName="_GBC_2874973c28b34357bf81a60947721baa" title="合营企业或联营企业向公司转移资金的能力存在重大限制的说明" rules="R2015_R11_031" helpId="112001152"/>
    <m:section xlName="_GBC_a9980062c82d44acae24fae7368ea42f" title="合营企业或联营企业发生的超额亏损" rules="R2015_R11_031" helpId="112001153"/>
    <m:section xlName="_GBC_da055842bf8c4e9598b87bd760d969ec" title="与合营企业投资相关的未确认承诺" rules="R2015_R11_031" helpId="112001154"/>
    <m:section xlName="_GBC_1f803def681a42ba91cdde709a067b3f" title="与合营企业或联营企业投资相关的或有负债" rules="R2015_R11_031" helpId="112001154"/>
    <m:section xlName="_GBC_90d44eb1222944759107483908112493" title="重要的共同经营" rules="R2015_R11_031" helpId="112001155"/>
    <m:section xlName="_GBC_5cfea65e45c44f1b9fdec762be35880d" title="在未纳入合并财务报表范围的结构化主体中的权益" helpId="112001156"/>
    <m:section xlName="_GBC_b24eb633f5244c748225389f3b3cedd1" title="在其他主体中的权益其他需要说明的事项" rules="R2015_R11_031" helpId="112001157"/>
    <m:section xlName="_GBC_815d628fea814e7191d23a3fcbe2783c" title="与金融工具相关的风险" helpId="112001158"/>
    <m:section xlName="_SEC_c2e6f9f8026e4755b0d598a62dfd0d45" title=""/>
    <m:section xlName="_GBC_9cf59ced96b14247921100dffef5784f" title="持续和非持续第一层次公允价值计量项目市价的确定依据" helpId="112001160"/>
    <m:section xlName="_GBC_8e00be36ed6245f895b032b3059a4854" title="持续和非持续第二层次公允价值计量项目，采用的估值技术和重要参数的定性及定量信息" helpId="112001161"/>
    <m:section xlName="_GBC_5d389bac3ad747a292eb45fd87ce5896" title="持续和非持续第三层次公允价值计量项目，采用的估值技术和重要参数的定性及定量信息" helpId="112001161"/>
    <m:section xlName="_GBC_353ab3e0cb19455ab2c2c2a397421afe" title="持续的第三层次公允价值计量的项目期初与期末账面价值之间的调节信息及不可观察参数的敏感性分析" helpId="112001162"/>
    <m:section xlName="_GBC_a9200ec73b8d485e80b76f1a9ee34c49" title="持续的公允价值计量项目，本期内发生各层级之间转换的，转换的原因及确定转换时点的政策" helpId="112001163"/>
    <m:section xlName="_GBC_8e563310a4b84a5d9dfe74fdbc178926" title="本期内发生的估值技术变更及变更原因" helpId="112001164"/>
    <m:section xlName="_GBC_e354e1f41f824854b8f3345d52a9cfab" title="不以公允价值计量的金融资产和金融负债的公允价值情况" helpId="112001165"/>
    <m:section xlName="_GBC_1551c1b4fedc4ac0ae859b67b4b79904" title="公允价值其他需要披露的事项" helpId="112001166"/>
    <m:section xlName="_GBC_29e1f7491caa4c3e96eef8c84532de84" title="本企业的母公司情况" rules="R2015_R11_032" extended="true" helpId="112001167">
      <m:item xlName="_GBC_fe5dd4a2c9ad405db72189e05b735e0c" concept="clcid-ci-ar:ShiFouShiYongBenQiYeDeMuGongSiQingKuang" label="是否适用：本企业的母公司情况" selectOptions="_buildInAppliance" controlType="CustomCheckbox" cRanges="{&quot;StartName&quot;:&quot;_GBC_fe5dd4a2c9ad405db72189e05b735e0c&quot;,&quot;EndName&quot;:&quot;_GBC_72b4ca7a02944263a74be4174baff4cf&quot;,&quot;CType&quot;:1,&quot;DisplayText&quot;:null}"/>
      <m:item xlName="_GBC_4bdd8b08e4ce41af93512866e6012a92" indRef="676" concept="clcid-ci-ar:DanWeiCaiWuFuZhuBenQiYeDeMuGongSiQingKuang" label="单位：财务附注：本企业的母公司情况" selectOptions="25709f0bb1fd4094bc158a0bd3d28bd3" controlType="Combobox" cellType="Scale" appId="_GBC_fe5dd4a2c9ad405db72189e05b735e0c"/>
      <m:item xlName="_GBC_8b4816800b024cd884a92208e149b0bf" indRef="677" concept="clcid-ci-ar:BiZhongCaiWuFuZhuBenQiYeDeMuGongSiQingKuang" label="币种：财务附注：本企业的母公司情况" selectOptions="_buildInISO4217" controlType="Combobox" cellType="Measure" appId="_GBC_fe5dd4a2c9ad405db72189e05b735e0c"/>
      <m:placeholder xlName="_PLD_78501cc34b694302b18c1ea75399510e" wordText="母公司名称" addr="T0R0C0S1_1"/>
      <m:placeholder xlName="_PLD_9cf29fdb6dc54a2ca1191c007bb19ceb" wordText="注册地" addr="T0R0C1S1_1"/>
      <m:placeholder xlName="_PLD_738e924675434f8ea1a19e9f01f12c6a" wordText="业务性质" addr="T0R0C2S1_1"/>
      <m:placeholder xlName="_PLD_8f8ae05947724183906b020ada85e914" wordText="注册资本" addr="T0R0C3S1_1"/>
      <m:placeholder xlName="_PLD_41f7f469dbcc4ee39514954cb008b0a4" wordText="母公司对本企业的持股比例(%)" addr="T0R0C4S1_1"/>
      <m:placeholder xlName="_PLD_dab7bc4321ca44eb9d8565239cbf42f7" wordText="母公司对本企业的表决权比例(%)" addr="T0R0C5S1_1"/>
      <m:tuple xlName="_GBC_e3a0ec4880544cc4ad472a056e28a2a2" concept="clcid-pte:BenQiYeDeMuGongSiQingKuangMingXi" label="本企业的母公司情况明细" default_row="2" addr="T0R1C">
        <m:item xlName="_GBC_ff01e9d3a09d465ba9ebd350c5a85d11" wordText="　" concept="clcid-pte:BenQiYeDeMuGongSiQingKuangMingXiMuGongSiMingCheng" label="本企业的母公司情况明细－母公司名称" addr="T0R1C0S1_1" appId="_GBC_fe5dd4a2c9ad405db72189e05b735e0c"/>
        <m:item xlName="_GBC_ef7c1fb8363d4da3914f4e1bd7dfac51" concept="clcid-pte:BenQiYeDeMuGongSiQingKuangMingXiZhuCeDi" label="本企业的母公司情况明细－注册地" addr="T0R1C1S1_1" appId="_GBC_fe5dd4a2c9ad405db72189e05b735e0c"/>
        <m:item xlName="_GBC_12d20a71038a4dcd8c75fb5c37ef3a6b" concept="clcid-pte:BenQiYeDeMuGongSiQingKuangMingXiYeWuXingZhi" label="本企业的母公司情况明细－业务性质" addr="T0R1C2S1_1" appId="_GBC_fe5dd4a2c9ad405db72189e05b735e0c"/>
        <m:item xlName="_GBC_58531a5f2fb54d41a49166c50c3b7feb" concept="clcid-pte:BenQiYeDeMuGongSiQingKuangMingXiZhuCeZiBen" label="本企业的母公司情况明细－注册资本" mulRef="_GBC_4bdd8b08e4ce41af93512866e6012a92" unitRef="_GBC_8b4816800b024cd884a92208e149b0bf" addr="T0R1C3S1_1" formatStyle="Comma" appId="_GBC_fe5dd4a2c9ad405db72189e05b735e0c">
          <m:simpleRule dataType="Decimal" comparator="In" minValue="10000" maxValue="274867000000" level="Warn" em="“本企业的母公司情况”表中“注册资本”所选单位是否有误，请确认。"/>
        </m:item>
        <m:item xlName="_GBC_96508be0c0954d5ba8d9189897f018e7" concept="clcid-pte:BenQiYeDeMuGongSiQingKuangMingXiMuGongSiDuiBenQiYeDeChiGuBiLi" label="本企业的母公司情况明细－母公司对本企业的持股比例" addr="T0R1C4S1_1" baseScale="0.01" formatStyle="Comma" appId="_GBC_fe5dd4a2c9ad405db72189e05b735e0c"/>
        <m:item xlName="_GBC_3687dfa048c7443badaa9e67fc8ed6b8" concept="clcid-pte:BenQiYeDeMuGongSiQingKuangMingXiMuGongSiDuiBenQiYeDeBiaoJueQuanBiLi" label="本企业的母公司情况明细－母公司对本企业的表决权比例" addr="T0R1C5S1_1" baseScale="0.01" formatStyle="Comma" appId="_GBC_fe5dd4a2c9ad405db72189e05b735e0c"/>
        <m:item xlName="_GBC_70998d161faa4f6bbdda2f200f8ef1eb" concept="">
          <m:extendConcept standardLabel="本公司最终控制方" dataType="xbrli:stringItemType" period="instant"/>
        </m:item>
      </m:tuple>
      <m:item xlName="_GBC_23f67537c1df4d9d9ede9fbc78ad06a4" concept="clcid-pte:BenQiYeDeMuGongSiQingKuangDeShuoMing" label="本企业的母公司情况的说明" appId="_GBC_fe5dd4a2c9ad405db72189e05b735e0c"/>
      <m:item xlName="_GBC_951a676520994ab7a3822c5f58c20b7d" concept="clcid-pte:BenQiYeZuiZhongKongZhiFang" label="本企业最终控制方" appId="_GBC_fe5dd4a2c9ad405db72189e05b735e0c"/>
      <m:item xlName="_GBC_72b4ca7a02944263a74be4174baff4cf" concept="clcid-pte:BenQiYeDeMuGongSiQingKuangDeQiTaShuoMing" label="本企业的母公司情况的其他说明" appId="_GBC_fe5dd4a2c9ad405db72189e05b735e0c"/>
    </m:section>
    <m:section xlName="_GBC_244a434a920446c1838410fee0ac8ba8" title="本企业的子公司情况" rules="R2015_R11_032" helpId="112001167"/>
    <m:section xlName="_GBC_a5638b7fd6a848a19564209060b6909a" title="存在关联方交易或余额的合营和联营企业情况" rules="R2015_R11_032" helpId="112001167"/>
    <m:section xlName="_SEC_4da82436ee754a98b1f572e1fb4440db" title="其他关联方情况" rules="R2015_R11_032" helpId="112001167"/>
    <m:section xlName="_SEC_b6443abb06dd41c7944d441c27c48f7d" title="采购商品/接受劳务情况表" rules="R2015_R11_032"/>
    <m:section xlName="_SEC_0bdaba437cb6402f9ab2a655956dbb9b" title="出售商品/提供劳务情况" rules="R2015_R11_032" helpId="112001168"/>
    <m:section xlName="_SEC_2cd4d729a4f5443b98e8d2f79dcdd221" title="关联受托管理/承包及委托管理/出包情况" rules="R2015_R11_032" helpId="112001168" helpText="注：托管资产类型包括：股权托管、其他资产托管。"/>
    <m:section xlName="_SEC_5900c0566dab441987567990bccbe124" title="关联租赁情况" rules="R2015_R11_032" extended="true" helpId="112001168">
      <m:item xlName="_GBC_b67e8ccf7ec147d698f9f192968e98bf" concept="clcid-ci-ar:ShiFouShiYongBenGongSiZuoWeiChuZuFangDeZuLinQingKuangBiao" label="是否适用：本公司作为出租方的租赁情况表" selectOptions="_buildInAppliance" controlType="CustomCheckbox" cRanges="{&quot;StartName&quot;:&quot;_GBC_b67e8ccf7ec147d698f9f192968e98bf&quot;,&quot;EndName&quot;:&quot;_GBC_4a6f809cad3545239486bf59dcd36bbc&quot;,&quot;CType&quot;:1,&quot;DisplayText&quot;:null}"/>
      <m:item xlName="_GBC_d95d648c603a49478a4e0e7a1274bc6b" indRef="686" concept="clcid-ci-ar:DanWeiGuanLianZuLinQingKuang" label="单位：关联租赁情况" selectOptions="_buildInScales" controlType="Combobox" cellType="Scale" appId="_GBC_b67e8ccf7ec147d698f9f192968e98bf"/>
      <m:item xlName="_GBC_4316ddfce7034d00b4f5fe941a884b0c" indRef="687" concept="clcid-ci-ar:BiZhongGuanLianZuLinQingKuang" label="币种：关联租赁情况" selectOptions="_buildInISO4217" controlType="Combobox" cellType="Measure" appId="_GBC_b67e8ccf7ec147d698f9f192968e98bf"/>
      <m:placeholder xlName="_PLD_cc1d9e6700c8464abef135c18dae1347" wordText="承租方名称" addr="T0R0C0S1_1"/>
      <m:placeholder xlName="_PLD_7c70ec7c258c47ab93562d23df95ba25" wordText="租赁资产种类" addr="T0R0C1S1_1"/>
      <m:placeholder xlName="_PLD_b73b5bf2ad5b438bac8401815956bbdb" wordText="本期确认的租赁收入" addr="T0R0C2S1_1"/>
      <m:placeholder xlName="_PLD_08d45094bbb64f479287ecd678beea52" wordText="上期确认的租赁收入" addr="T0R0C3S1_1"/>
      <m:tuple xlName="_TUP_0737c0b729354e1aa40e6636ee6d6f9b" concept="clcid-ie:GuanLianZuLinQingKuang" label="关联租赁情况" default_row="2" addr="T0R1C">
        <m:item xlName="_GBC_5bed741857ff4bf1baba9d2caeb2195f" wordText="　" concept="clcid-ie:GuanLianZuLinChengZuFangMingCheng" label="关联承租方名称" addr="T0R1C0S1_1" appId="_GBC_b67e8ccf7ec147d698f9f192968e98bf"/>
        <m:item xlName="_GBC_b66fb8ea5e57428599508ecdac6e55a1" concept="clcid-ie:GuanLianZuLinZiChanQingKuang" label="关联租赁资产情况" addr="T0R1C1S1_1" appId="_GBC_b67e8ccf7ec147d698f9f192968e98bf"/>
        <m:item xlName="_GBC_5b370a0fc208460cbc0f1e8a8301caa6" concept="clcid-ie:GuanLianZuLinShouYi" label="关联租赁收益" mulRef="_GBC_d95d648c603a49478a4e0e7a1274bc6b" unitRef="_GBC_4316ddfce7034d00b4f5fe941a884b0c" addr="T0R1C2S1_1" formatStyle="Comma" appId="_GBC_b67e8ccf7ec147d698f9f192968e98bf"/>
        <m:item xlName="_GBC_4a6f809cad3545239486bf59dcd36bbc" concept="clcid-ie:GuanLianZuLinShouYi" label="关联租赁收益" periodRef="上年同期数" mulRef="_GBC_d95d648c603a49478a4e0e7a1274bc6b" unitRef="_GBC_4316ddfce7034d00b4f5fe941a884b0c" addr="T0R1C3S1_1" formatStyle="Comma" appId="_GBC_b67e8ccf7ec147d698f9f192968e98bf"/>
      </m:tuple>
      <m:item xlName="_GBC_f8542afd84e2430aad299d7024543330" concept="clcid-ci-ar:ShiFouShiYongBenGongSiZuoWeiChengZuFangDeZuLinQingKuangBiao" label="是否适用：本公司作为承租方的租赁情况表" selectOptions="_buildInAppliance" controlType="CustomCheckbox" cRanges="[{&quot;StartName&quot;:&quot;_GBC_f8542afd84e2430aad299d7024543330&quot;,&quot;EndName&quot;:&quot;_GBC_629662f66f7d48e9a3756f7fca6b033c&quot;,&quot;CType&quot;:1}]"/>
      <m:item xlName="_GBC_8ac97dab93ef410a9d23b3aefc024986" indRef="688" concept="clcid-ci-ar:DanWeiGongSiChengZuQingKuangBiao" label="单位：公司承租情况表" selectOptions="_buildInScales" controlType="Combobox" cellType="Scale" appId="_GBC_f8542afd84e2430aad299d7024543330"/>
      <m:item xlName="_GBC_634ba3e46c2f477ca3c544a6d05a7b33" indRef="689" concept="clcid-ci-ar:BiZhongGongSiChengZuQingKuangBiao" label="币种：公司承租情况表" selectOptions="_buildInISO4217" controlType="Combobox" cellType="Measure" appId="_GBC_f8542afd84e2430aad299d7024543330"/>
      <m:placeholder xlName="_PLD_e1362814a2c74f61b2928db98e04eae7" wordText="出租方名称" addr="T1R0C0S2_1"/>
      <m:placeholder xlName="_PLD_047e2a729b7746bcb598e4fead4c9704" wordText="租赁资产种类" addr="T1R0C1S2_1"/>
      <m:placeholder xlName="_PLD_707ae22896aa4e5f88d965f8f59d4c6e" wordText="简化处理的短期租赁和低价值资产租赁的租金费用（如适用）" addr="T1R0C2S1_2"/>
      <m:placeholder xlName="_PLD_229dec0e7a594935b90af93c88ad4dee" wordText="未纳入租赁负债计量的可变租赁付款额（如适用）" addr="T1R0C4S1_2"/>
      <m:placeholder xlName="_PLD_1baa64de6b674b698ef955c65d71ad39" wordText="支付的租金" addr="T1R0C6S1_2"/>
      <m:placeholder xlName="_PLD_a2264da8a9184627878bbc6a7ead0e32" wordText="承担的租赁负债利息支出" addr="T1R0C8S1_2"/>
      <m:placeholder xlName="_PLD_2466a0c2ac07428d813bece2bd125ef9" wordText="增加的使用权资产" addr="T1R0C10S1_2"/>
      <m:placeholder xlName="_PLD_decc14885e564c878d621bd073910caf" wordText="本期发生额" addr="T1R1C2S1_1"/>
      <m:placeholder xlName="_PLD_117a0c49df0d4b6fa483abd2a84ab152" wordText="上期发生额" addr="T1R1C3S1_1"/>
      <m:placeholder xlName="_PLD_cac621cc2cc44a2d8eb7970ba0de313f" wordText="本期发生额" addr="T1R1C4S1_1"/>
      <m:placeholder xlName="_PLD_65d1af187c3f431789a1c22a14ae1f00" wordText="上期发生额" addr="T1R1C5S1_1"/>
      <m:placeholder xlName="_PLD_3f2742ed232b49a08af3ae7fa5b07bc9" wordText="本期发生额" addr="T1R1C6S1_1"/>
      <m:placeholder xlName="_PLD_863dd7645d5d460d86f3326ef79f954f" wordText="上期发生额" addr="T1R1C7S1_1"/>
      <m:placeholder xlName="_PLD_97ac55cb0d5049e0af948382a891d7d1" wordText="本期发生额" addr="T1R1C8S1_1"/>
      <m:placeholder xlName="_PLD_7493ba206860489b86a598a5ef76eb1d" wordText="上期发生额" addr="T1R1C9S1_1"/>
      <m:placeholder xlName="_PLD_345b486972d6489ea8c52e2fbae958f2" wordText="本期发生额" addr="T1R1C10S1_1"/>
      <m:placeholder xlName="_PLD_8e466260174241e8a7e93f854fc0b640" wordText="上期发生额" addr="T1R1C11S1_1"/>
      <m:tuple xlName="_TUP_22950a4f60c547f8bcbf5b17df08505b" concept="clcid-ie:GongSiChengZuQingKuangMingXi" label="公司承租情况明细" default_row="2" addr="T1R2C">
        <m:item xlName="_GBC_8c18e885f6f84b998a6f19ee4951e36a" wordText="　" concept="clcid-ie:GongSiChengZuQingKuangMingXiChuZuFangMingCheng" label="公司承租情况明细-出租方名称" addr="T1R2C0S1_1" appId="_GBC_f8542afd84e2430aad299d7024543330"/>
        <m:item xlName="_GBC_e18ca6b1c3b5490ab67b85dc6f5747a6" concept="clcid-ie:GongSiChengZuQingKuangMingXiZuLinZiChanQingKuang" label="公司承租情况明细-租赁资产情况" addr="T1R2C1S1_1" appId="_GBC_f8542afd84e2430aad299d7024543330"/>
        <m:item xlName="_GBC_86ce5349767545debbd6ac4449b27f61" concept="clcid-ie:GongSiChengZuQingKuangMingXiJianHuaChuLiDeDuanQiZuLinHeDiJiaZhiZiChanZuLinDeZuJinFeiYong" label="公司承租情况明细-简化处理的短期租赁和低价值资产租赁的租金费用" mulRef="_GBC_8ac97dab93ef410a9d23b3aefc024986" unitRef="_GBC_634ba3e46c2f477ca3c544a6d05a7b33" addr="T1R2C2S1_1" formatStyle="Comma" appId="_GBC_f8542afd84e2430aad299d7024543330"/>
        <m:item xlName="_GBC_5fff1f455152422185a9f777dc3b21b6" concept="clcid-ie:GongSiChengZuQingKuangMingXiJianHuaChuLiDeDuanQiZuLinHeDiJiaZhiZiChanZuLinDeZuJinFeiYong" label="公司承租情况明细-简化处理的短期租赁和低价值资产租赁的租金费用" periodRef="上年同期数" mulRef="_GBC_8ac97dab93ef410a9d23b3aefc024986" unitRef="_GBC_634ba3e46c2f477ca3c544a6d05a7b33" addr="T1R2C3S1_1" formatStyle="Comma" appId="_GBC_f8542afd84e2430aad299d7024543330"/>
        <m:item xlName="_GBC_696e2b299df84499a4844c2344621d7e" concept="clcid-ie:GongSiChengZuQingKuangMingXiWeiNaRuZuLinFuZhaiJiLiangDeKeBianZuLinFuKuanE" label="公司承租情况明细-未纳入租赁负债计量的可变租赁付款额" mulRef="_GBC_8ac97dab93ef410a9d23b3aefc024986" unitRef="_GBC_634ba3e46c2f477ca3c544a6d05a7b33" addr="T1R2C4S1_1" formatStyle="Comma" appId="_GBC_f8542afd84e2430aad299d7024543330"/>
        <m:item xlName="_GBC_a5f16e8d44a742d2a70c5c6157f26ee3" concept="clcid-ie:GongSiChengZuQingKuangMingXiWeiNaRuZuLinFuZhaiJiLiangDeKeBianZuLinFuKuanE" label="公司承租情况明细-未纳入租赁负债计量的可变租赁付款额" periodRef="上年同期数" mulRef="_GBC_8ac97dab93ef410a9d23b3aefc024986" unitRef="_GBC_634ba3e46c2f477ca3c544a6d05a7b33" addr="T1R2C5S1_1" formatStyle="Comma" appId="_GBC_f8542afd84e2430aad299d7024543330"/>
        <m:item xlName="_GBC_32737e3a999f47bea700fafd947673b2" concept="clcid-ie:GongSiChengZuQingKuangMingXiZhiFuDeZuJin" label="公司承租情况明细-支付的租金" mulRef="_GBC_8ac97dab93ef410a9d23b3aefc024986" unitRef="_GBC_634ba3e46c2f477ca3c544a6d05a7b33" addr="T1R2C6S1_1" formatStyle="Comma" appId="_GBC_f8542afd84e2430aad299d7024543330"/>
        <m:item xlName="_GBC_007c0e70b1de4e14900e5f24b45bfd98" concept="clcid-ie:GongSiChengZuQingKuangMingXiZhiFuDeZuJin" label="公司承租情况明细-支付的租金" periodRef="上年同期数" mulRef="_GBC_8ac97dab93ef410a9d23b3aefc024986" unitRef="_GBC_634ba3e46c2f477ca3c544a6d05a7b33" addr="T1R2C7S1_1" formatStyle="Comma" appId="_GBC_f8542afd84e2430aad299d7024543330"/>
        <m:item xlName="_GBC_f54f06863ff541efac49c8f6abe57d5e" concept="clcid-ie:GongSiChengZuQingKuangMingXiChengDanDeZuLinFuZhaiLiXiZhiChu" label="公司承租情况明细-承担的租赁负债利息支出" mulRef="_GBC_8ac97dab93ef410a9d23b3aefc024986" unitRef="_GBC_634ba3e46c2f477ca3c544a6d05a7b33" addr="T1R2C8S1_1" formatStyle="Comma" appId="_GBC_f8542afd84e2430aad299d7024543330"/>
        <m:item xlName="_GBC_86afca0d9d1d4435844b7c436d72e948" concept="clcid-ie:GongSiChengZuQingKuangMingXiChengDanDeZuLinFuZhaiLiXiZhiChu" label="公司承租情况明细-承担的租赁负债利息支出" periodRef="上年同期数" mulRef="_GBC_8ac97dab93ef410a9d23b3aefc024986" unitRef="_GBC_634ba3e46c2f477ca3c544a6d05a7b33" addr="T1R2C9S1_1" formatStyle="Comma" appId="_GBC_f8542afd84e2430aad299d7024543330"/>
        <m:item xlName="_GBC_b0c27b69d6304a9583bc3f6211e60973" concept="clcid-ie:GongSiChengZuQingKuangMingXiZengJiaDeShiYongQuanZiChan" label="公司承租情况明细-增加的使用权资产" mulRef="_GBC_8ac97dab93ef410a9d23b3aefc024986" unitRef="_GBC_634ba3e46c2f477ca3c544a6d05a7b33" addr="T1R2C10S1_1" formatStyle="Comma" appId="_GBC_f8542afd84e2430aad299d7024543330"/>
        <m:item xlName="_GBC_629662f66f7d48e9a3756f7fca6b033c" concept="clcid-ie:GongSiChengZuQingKuangMingXiZengJiaDeShiYongQuanZiChan" label="公司承租情况明细-增加的使用权资产" periodRef="上年同期数" mulRef="_GBC_8ac97dab93ef410a9d23b3aefc024986" unitRef="_GBC_634ba3e46c2f477ca3c544a6d05a7b33" addr="T1R2C11S1_1" formatStyle="Comma" appId="_GBC_f8542afd84e2430aad299d7024543330"/>
        <m:item xlName="_GBC_8ce65044ce2b455791735677aa1c22e1" concept="">
          <m:extendConcept standardLabel="本期确认的租赁费" dataType="xbrli:stringItemType" period="instant"/>
        </m:item>
      </m:tuple>
      <m:item xlName="_GBC_f11304240a9e46d8b340976a035205d3" concept="clcid-ci-ar:ShiFouShiYongGuanLianZuLinQingKuangShuoMing" label="是否适用：关联租赁情况说明" selectOptions="_buildInAppliance" controlType="CustomCheckbox" cRanges="{&quot;StartName&quot;:&quot;_GBC_f11304240a9e46d8b340976a035205d3&quot;,&quot;EndName&quot;:&quot;_GBC_89ebec674343463ebe41b603dd06f3ce&quot;,&quot;CType&quot;:1,&quot;DisplayText&quot;:null}"/>
      <m:item xlName="_GBC_89ebec674343463ebe41b603dd06f3ce" concept="clcid-ie:GuanLianZuLinShuoMing" label="关联租赁说明" appId="_GBC_f11304240a9e46d8b340976a035205d3"/>
    </m:section>
    <m:section xlName="_SEC_efa05712c0bd499d89e4752caaaebdd6" title="关联担保情况" rules="R2015_R11_032" helpId="112001168"/>
    <m:section xlName="_SEC_e662f655e98144708ee022291e4d2c28" title="关联方资金拆借" rules="R2015_R11_032" helpId="112001168"/>
    <m:section xlName="_SEC_d9d6435f8ac54597b97d51dd0f61d03f" title="关联方资产转让、债务重组情况" rules="R2015_R11_032"/>
    <m:section xlName="_SEC_3b5cc9d011f04ea3b064e0de02da00f5" title="关键管理人员报酬" rules="R2015_R11_032" helpId="112001168"/>
    <m:section xlName="_SEC_3ee0d5867a8b45ac909e0cf39151d6d4" title="其他关联交易" rules="R2015_R11_032" convertSummaryRule="NoConvert" helpId="112001168"/>
    <m:section xlName="_SEC_7fd751377539429292ed4eb39a787549" title="上市公司应收关联方款项" rules="R2015_R11_032" convertSummaryRule="NoConvert" helpId="112001168" helpText="注：关联交易约定以净额结算的，应收关联方款项可以抵销后金额填列。"/>
    <m:section xlName="_SEC_84b9cc5f716e4a019a46df88b355093c" title="上市公司应付关联方款项" rules="R2015_R11_032" convertSummaryRule="NoConvert" helpId="112001168" helpText="注：关联交易约定以净额结算的，应付关联方款项可以抵销后金额填列。"/>
    <m:section xlName="_SEC_af8d9e9e43fe4f6c94313043ab032c00" title="关联方承诺" rules="R2015_R11_032" helpId="112001168"/>
    <m:section xlName="_SEC_a11f8a68634b4b4a8cc63a6200f2d79c" title="关联方及关联情况的其他说明" rules="R2015_R11_032" helpId="112001166"/>
    <m:section xlName="_GBC_07972b1f6b5c4904b730c6b344e432ee" title="股份支付总体情况" convertSummaryRule="NoConvert" helpId="112001170"/>
    <m:section xlName="_GBC_a6f090c303de426580c058a0a463c95f" title="以权益结算的股份支付情况" convertSummaryRule="NoConvert" helpId="112001171" helpText="注：本期估计与上期估计不存在重大差异的，请填写“无”。"/>
    <m:section xlName="_GBC_e8a0c7296300463994744e877be96129" title="以现金结算的股份支付情况" convertSummaryRule="NoConvert" helpId="112002203"/>
    <m:section xlName="_GBC_ae153862caea4ff5a57470b6f594f167" title="股份支付的修改、终止情况" convertSummaryRule="NoConvert" helpId="112001173" helpText="注：本期未发生股份支付修改、终止情况的，请填写“无”。"/>
    <m:section xlName="_GBC_d9554f13d811474eab6fe8ab0c5c8811" title="股份支付的其他情况说明" helpId="112001166"/>
    <m:item xlName="_GBC_568be9a6805040a8b9fbd5c5d07b45dd" concept="clcid-ci-ar:ShiFouShiYongZhongYaoChengNuoShiXiang" label="是否适用：重要承诺事项" selectOptions="_buildInAppliance" controlType="CustomCheckbox" cRanges="{&quot;StartName&quot;:&quot;_GBC_568be9a6805040a8b9fbd5c5d07b45dd&quot;,&quot;EndName&quot;:&quot;_SEC_5ebba82f117d48db8c37854cf072cc17&quot;,&quot;CType&quot;:1,&quot;DisplayText&quot;:null}"/>
    <m:section xlName="_SEC_5ebba82f117d48db8c37854cf072cc17" title="资产负债表日存在的重大承诺" helpId="112002263" helpText="注：与合营企业投资相关的未确认承诺索引至“附注九、在其他主体中的权益”部分相应内容。"/>
    <m:section xlName="_SEC_6da34404b73540309fc9634730ac0066" title="资产负债表日存在的或有事项" helpId="112002204" helpText="注：与合营企业或联营企业投资相关的或有负债索引至“附注九、在其他主体中的权益”部分相应内容。"/>
    <m:section xlName="_SEC_07f5db79000646bfa85b73f1179896b8" title="公司没有需要披露的或有事项，也应予以说明" helpId="112002206"/>
    <m:section xlName="_SEC_95ab34fb3b4a4254a4373a5a29c6b84d" title="承诺及或有事项的其他情况说明" helpId="112001166"/>
    <m:section xlName="_SEC_3654dcc239a241d4891042df05a6f256" title="重要的非调整事项" helpId="112001176"/>
    <m:section xlName="_SEC_a0182471338a435e9bfa33dc5b5d68ed" title="资产负债表日后利润分配情况说明" convertSummaryRule="NoConvert" helpId="112001177"/>
    <m:section xlName="_SEC_6346fe8809f74901abff74c752033e25" title="资产负债表日后事项-销售退回说明" helpId="112001178" helpText="注：说明在资产负债表日后发生重要销售退回的相关情况及对报表的影响。"/>
    <m:section xlName="_SEC_776c6ddc183543f7a3beb6d8a088d64e" title="其他资产负债表日后事项说明" helpId="112001166"/>
    <m:section xlName="_SEC_4c087918288648c6a9deb057067a9fc5" title="会计差错更正(追溯重述)" convertSummaryRule="ConvertDefinedText" convertText="无" helpId="112001180"/>
    <m:section xlName="_SEC_77642b56d283484890d54c9ec194b354" title="未来适用法本报告期是否发现采用未来适用法的前期会计差错：（..." helpId="112001180"/>
    <m:section xlName="_SEC_010853a024e74ff2955558ced7301626" title="债务重组" convertSummaryRule="NoConvert" helpId="112001181" helpText="注：说明重要债务重组的详细情况，包括债重组方式、债务重组利得（或损失）金额总额、债务转为资本导致的股本增加额（或债权转为股份导致的投资增加额及该投资占债务人股份总额的比例）、或有应付（或有应收）金额、债务重组中公允价值的确定方法及依据。"/>
    <m:section xlName="_SEC_a959a47edc2446e5acfd29b49364046c" title="非货币性资产交换" convertSummaryRule="NoConvert" helpId="112001183" helpText="注：非货币性资产交换应披露换入资产的类别、成本确定方式和公允价值，换出资产的类别、账面价值和公允价值，以及非货币性资产交换确认的损益。"/>
    <m:section xlName="_SEC_1d69b9d18d514fd19619562c4673a46d" title="其他资产置换资产说明" helpId="112001183" helpText="注：说明重要资产置换、转让及出售的情况，包括资产账面价值、转让金额、对财务状况与经营成果的影响、转让原因等。"/>
    <m:section xlName="_SEC_e99af52cf73147c3943e3f4044942350" title="年金计划主要内容及重大变化" convertSummaryRule="NoConvert" helpId="112001185" helpText="注：说明年金计划的主要内容及重要变化。"/>
    <m:section xlName="_SEC_83c382ff9499445b86fea4e0e1e5715d" title="终止经营" convertSummaryRule="NoConvert" helpId="112001187"/>
    <m:section xlName="_SEC_dfc3b46bd4f54afdb4c7d8f4cdf9baf2" title="分部信息报告分部的确定依据与会计政策" rules="R2015_R11_033" helpId="112001188"/>
    <m:section xlName="_SEC_c88228a13efc40bf8facbaa3643e4cb3" title="报告分部的财务信息" rules="R2015_R11_033" helpId="112001188" helpText="注：报告分部的财务信息应结合公司具体情况披露，包括主营业务收入、主营业务成本等信息。"/>
    <m:section xlName="_SEC_3849a00c602340b897b4e927f6a3c0d9" title="公司无报告分部的，或者不能披露各报告分部的资产总额和负债总额的，应说明原因" rules="R2015_R11_033" helpId="112001188"/>
    <m:section xlName="_SEC_83dbb92e05854ff09d00691d7141ac0b" title="分部信息其他说明" rules="R2015_R11_033" helpId="112001188"/>
    <m:section xlName="_SEC_ba4247a6c1994dc98e0b1c339dfe0f23" title="其他重要事项说明" rules="" convertSummaryRule="NoConvert" helpId="112001190" helpText="注：说明其他对投资者决策有影响的重要交易和事项，包括具体情况、判断依据及相关会计处理。"/>
    <m:section xlName="_SEC_626a705e9bde404ab67dae61d8e62116" title="其他"/>
    <m:section xlName="_SEC_9c6dac1b3bd94073bae16a9f5e7fe960" title="按账龄披露" extended="true" helpText="表中“期末账面余额”指的是包含单项计提和组合计提的期末账面余额。">
      <m:item xlName="_GBC_dafcd7d733014c4a8aaa9a9a4b6c92f1" concept="clcid-ci-ar:ShiFouShiYongMuGongSiYingShouZhangKuanAnZhangLingPiLu" label="是否适用：母公司应收账款按账龄披露" selectOptions="_buildInAppliance" controlType="CustomCheckbox" cRanges="[{&quot;StartName&quot;:&quot;_GBC_dafcd7d733014c4a8aaa9a9a4b6c92f1&quot;,&quot;EndName&quot;:&quot;_GBC_5db83fb5fc614469bf0c169a55cb9d97&quot;,&quot;CType&quot;:1}]"/>
      <m:item xlName="_GBC_6f3238355b1f4a02b89a4d1aa10b0026" indRef="720" concept="clcid-ci-ar:DanWeiMuGongSiYingShouZhangKuanAnZhangLingPiLu" label="单位：母公司应收账款按账龄披露" selectOptions="_buildInScales" controlType="Combobox" cellType="Scale" appId="_GBC_dafcd7d733014c4a8aaa9a9a4b6c92f1"/>
      <m:item xlName="_GBC_c255ef872ced4f4ba9701062491ddd60" indRef="721" concept="clcid-ci-ar:BiZhongMuGongSiYingShouZhangKuanAnZhangLingPiLu" label="币种：母公司应收账款按账龄披露" selectOptions="_buildInISO4217" controlType="Combobox" cellType="Measure" appId="_GBC_dafcd7d733014c4a8aaa9a9a4b6c92f1"/>
      <m:placeholder xlName="_PLD_306ac63f3585491ab4c995e84aaeaae8" wordText="账龄" addr="T0R0C0S1_1"/>
      <m:placeholder xlName="_PLD_af5c2c2bfbf14ab3a9bc2f164f5d2a9c" wordText="期末账面余额" addr="T0R0C1S1_1"/>
      <m:placeholder xlName="_PLD_7f5863b5059b4a88ba2215c89b2dad39" wordText="1年以内" addr="T0R1C0S1_2"/>
      <m:placeholder xlName="_PLD_b978e1978e654c4cb4661534099479b9" wordText="其中：1年以内分项" indent="300" addr="T0R2C0S1_2"/>
      <m:tuple xlName="_TUP_b61cca260e7641f2bce034ce2df2cd0d" concept="clcid-pte:YiNianYiNeiYingShouZhangKuanJinEMingXi" label="一年以内应收账款金额明细" default_row="2" addr="T0R3C">
        <m:item xlName="_GBC_40d1beb36c644932a2af6e733b9afcdf" wordText="　" concept="clcid-pte:YiNianYiNeiYingShouZhangKuanZhangLingMingCheng" label="一年以内应收账款金额明细－帐龄名称" unitRef="_GBC_c255ef872ced4f4ba9701062491ddd60" addr="T0R3C0S1_1" appId="_GBC_dafcd7d733014c4a8aaa9a9a4b6c92f1">
          <m:axisValue occRef="母公司"/>
        </m:item>
        <m:item xlName="_GBC_22397f6238d44e96af82acbc724ee6cd" concept="clcid-pte:YiNianYiNeiYingShouZhangKuanZhangMianYuE" label="一年以内应收账款金额明细－账面余额" mulRef="_GBC_6f3238355b1f4a02b89a4d1aa10b0026" unitRef="_GBC_c255ef872ced4f4ba9701062491ddd60" addr="T0R3C1S1_1" formatStyle="Comma" appId="_GBC_dafcd7d733014c4a8aaa9a9a4b6c92f1">
          <m:axisValue occRef="母公司"/>
        </m:item>
        <m:item xlName="_GBC_65f781c4b91149778886b40e8f32b609" concept="">
          <m:extendConcept standardLabel="期初账面余额" dataType="xbrli:stringItemType" period="instant"/>
        </m:item>
      </m:tuple>
      <m:placeholder xlName="_PLD_8aef9ce83d614b3c8a918a411c19a08d" wordText="1年以内小计" addr="T0R5C0S1_1"/>
      <m:item xlName="_GBC_867c0ea9b7aa47cdb1d2e99c1407fb57" concept="clcid-pte:YingShouZhangKuanYiNianYiNeiHeJi" label="应收账款一年以内合计" mulRef="_GBC_6f3238355b1f4a02b89a4d1aa10b0026" unitRef="_GBC_c255ef872ced4f4ba9701062491ddd60" addr="T0R5C1S1_1" formatStyle="Comma" appId="_GBC_dafcd7d733014c4a8aaa9a9a4b6c92f1">
        <m:axisValue occRef="母公司"/>
      </m:item>
      <m:placeholder xlName="_PLD_60171e3c09014ca6aa27c8d4e453d92d" wordText="1至2年" addr="T0R6C0S1_1"/>
      <m:item xlName="_GBC_919d0dc8b777491dbb757910edd6c284" concept="clcid-pte:YingShouZhangKuanYiZhiErNianHeJi" label="应收账款一至二年合计" mulRef="_GBC_6f3238355b1f4a02b89a4d1aa10b0026" unitRef="_GBC_c255ef872ced4f4ba9701062491ddd60" addr="T0R6C1S1_1" formatStyle="Comma" appId="_GBC_dafcd7d733014c4a8aaa9a9a4b6c92f1">
        <m:axisValue occRef="母公司"/>
      </m:item>
      <m:placeholder xlName="_PLD_89731acfd60f443eba6c0e13bea601ba" wordText="2至3年" addr="T0R7C0S1_1"/>
      <m:item xlName="_GBC_36379bfe9f6d46c5b768775166c1d642" concept="clcid-pte:YingShouZhangKuanErZhiSanNianHeJi" label="应收账款二至三年合计" mulRef="_GBC_6f3238355b1f4a02b89a4d1aa10b0026" unitRef="_GBC_c255ef872ced4f4ba9701062491ddd60" addr="T0R7C1S1_1" formatStyle="Comma" appId="_GBC_dafcd7d733014c4a8aaa9a9a4b6c92f1">
        <m:axisValue occRef="母公司"/>
      </m:item>
      <m:placeholder xlName="_PLD_0a8b1ad1c8d741279fdfef343d4a9485" wordText="3年以上" addr="T0R8C0S1_1"/>
      <m:item xlName="_GBC_7b690fba29e94520ab56ad3ca99b5351" concept="clcid-pte:YingShouZhangKuanSanNianYiShangHeJi" label="应收账款三年以上合计" mulRef="_GBC_6f3238355b1f4a02b89a4d1aa10b0026" unitRef="_GBC_c255ef872ced4f4ba9701062491ddd60" addr="T0R8C1S1_1" formatStyle="Comma" appId="_GBC_dafcd7d733014c4a8aaa9a9a4b6c92f1">
        <m:axisValue occRef="母公司"/>
      </m:item>
      <m:placeholder xlName="_PLD_a5e068719bf940b2b449eb719c2ac726" wordText="3至4年" addr="T0R9C0S1_1"/>
      <m:item xlName="_GBC_3bce4faea2f54e18863a679462bbbf35" concept="clcid-pte:YingShouZhangKuanSanZhiSiNianZhangMianYuE" label="应收账款三至四年账面余额" mulRef="_GBC_6f3238355b1f4a02b89a4d1aa10b0026" unitRef="_GBC_c255ef872ced4f4ba9701062491ddd60" addr="T0R9C1S1_1" formatStyle="Comma" appId="_GBC_dafcd7d733014c4a8aaa9a9a4b6c92f1">
        <m:axisValue occRef="母公司"/>
      </m:item>
      <m:placeholder xlName="_PLD_2c21885973f74a85b1bcce595393c67c" wordText="4至5年" addr="T0R10C0S1_1"/>
      <m:item xlName="_GBC_316e60bb1a1a4b9983c10fb7eb93001e" concept="clcid-pte:YingShouZhangKuanSiZhiWuNianZhangMianYuE" label="应收账款四至五年账面余额" mulRef="_GBC_6f3238355b1f4a02b89a4d1aa10b0026" unitRef="_GBC_c255ef872ced4f4ba9701062491ddd60" addr="T0R10C1S1_1" formatStyle="Comma" appId="_GBC_dafcd7d733014c4a8aaa9a9a4b6c92f1">
        <m:axisValue occRef="母公司"/>
      </m:item>
      <m:placeholder xlName="_PLD_02f976cd9e144b12bbb6cc4715ee8be6" wordText="5年以上" addr="T0R11C0S1_1"/>
      <m:item xlName="_GBC_7ae8ebdc05834b709539d0ade50061d3" concept="clcid-pte:YingShouZhangKuanWuNianYiShangZhangMianYuE" label="应收账款五年以上账面余额" mulRef="_GBC_6f3238355b1f4a02b89a4d1aa10b0026" unitRef="_GBC_c255ef872ced4f4ba9701062491ddd60" addr="T0R11C1S1_1" formatStyle="Comma" appId="_GBC_dafcd7d733014c4a8aaa9a9a4b6c92f1">
        <m:axisValue occRef="母公司"/>
      </m:item>
      <m:tuple xlName="_TUP_f3732eddd7814fbdbf97674b69d5c3cc" concept="clcid-pte:AnZhangLingFenXiFaJiTiHuaiZhangZhunBeiDeYingShouZhangKuanMingXi" label="按账龄分析法计提坏账准备的应收账款明细" default_row="2" addr="T0R12C">
        <m:item xlName="_GBC_2d27d335104245f88caf882bd595362f" wordText="　" concept="clcid-pte:AnZhangLingFenXiFaJiTiHuaiZhangZhunBeiDeYingShouZhangKuanMingXiZhangLing" label="按账龄分析法计提坏账准备的应收账款明细_账龄" addr="T0R12C0S1_1" appId="_GBC_f6086903419d448ab27bc2735b69674a">
          <m:axisValue occRef="母公司"/>
        </m:item>
        <m:item xlName="_GBC_08fc7c05765a42c89c91e4d5cc0c2efb" concept="clcid-pte:AnZhangLingFenXiFaJiTiHuaiZhangZhunBeiDeYingShouZhangKuanMingXiYingShouZhangKuan" label="按账龄分析法计提坏账准备的应收账款明细_应收账款" mulRef="_GBC_6f3238355b1f4a02b89a4d1aa10b0026" unitRef="_GBC_c255ef872ced4f4ba9701062491ddd60" addr="T0R12C1S1_1" formatStyle="Comma" appId="_GBC_dafcd7d733014c4a8aaa9a9a4b6c92f1">
          <m:axisValue occRef="母公司"/>
        </m:item>
        <m:item xlName="_GBC_aadad117c09745038c18473532d9ce0d" concept="">
          <m:extendConcept standardLabel="期初账面余额" dataType="xbrli:stringItemType" period="instant"/>
        </m:item>
      </m:tuple>
      <m:placeholder xlName="_PLD_a4d3a76dbc2f4319a93b8e99313ee064" wordText="合计" addr="T0R14C0S1_1"/>
      <m:item xlName="_GBC_5db83fb5fc614469bf0c169a55cb9d97" concept="clcid-pte:YingShouZhangKuanHeJi" label="应收账款合计" mulRef="_GBC_6f3238355b1f4a02b89a4d1aa10b0026" unitRef="_GBC_c255ef872ced4f4ba9701062491ddd60" addr="T0R14C1S1_1" formatStyle="Comma" appId="_GBC_dafcd7d733014c4a8aaa9a9a4b6c92f1">
        <m:complexRule comparator="Eq" title="单项金额不重大但按信用风险特征组合后该组合的风险较大的应收账款合计" test=" $_GBC_867c0ea9b7aa47cdb1d2e99c1407fb57 +  $_GBC_919d0dc8b777491dbb757910edd6c284 +  $_GBC_36379bfe9f6d46c5b768775166c1d642 +  $_GBC_7b690fba29e94520ab56ad3ca99b5351 +  $_GBC_3bce4faea2f54e18863a679462bbbf35 +  $_GBC_316e60bb1a1a4b9983c10fb7eb93001e +  $_GBC_7ae8ebdc05834b709539d0ade50061d3 +  $_GBC_08fc7c05765a42c89c91e4d5cc0c2efb" id="C3eb9324918e64eca8d0b7b2f80466dcd"/>
        <m:axisValue occRef="母公司"/>
      </m:item>
    </m:section>
    <m:section xlName="_SEC_131d28c67a9247ee8559c47dff9a25ad" title="按坏账计提方法分类披露"/>
    <m:section xlName="_SEC_8c8d26b6244849bea9eb936271eeb8f9" title="按单项计提坏账准备"/>
    <m:placeholder xlName="_PLD_23aec57fe4b34ac2aa7d42cb52467101"/>
    <m:item xlName="_GBC_70ac43d24876403083fb1d281c12cd7e" concept="clcid-ci-ar:ShiFouShiYongMuGongSiYingShouZhangKuanAnZuHeJiTiHuaiZhangZhunBei" label="是否适用：母公司应收账款按组合计提坏账准备" selectOptions="_buildInAppliance" controlType="CustomCheckbox" cRanges="[{&quot;StartName&quot;:&quot;_GBC_70ac43d24876403083fb1d281c12cd7e&quot;,&quot;EndName&quot;:&quot;_SEC_8d0ccf9e1dd949dba37f2f7800d0070a&quot;,&quot;CType&quot;:1}]"/>
    <m:section xlName="_SEC_8d0ccf9e1dd949dba37f2f7800d0070a" title="按组合计提坏账准备" repeatable="1" tupleConcept="clcid-pte:AnZuHeJiTiHuaiZhangZhunBeiDeYingShouZhangKuanXiangXiMingXi" status="4"/>
    <m:section xlName="_SEC_204080107f654b539d9fcb8781629182" title="如按照一般预计信用损失模型计提坏账，请参照其他应收款的披露方式披露"/>
    <m:section xlName="_SEC_d03baee572c2484a8896573f749f99a5" title="应收账款坏账准备的情况"/>
    <m:section xlName="_GBC_4659654dc3bf4a4eba447daf2829f609" title="本期转回或收回情况" convertSummaryRule="NoConvert" helpId="112002207" helpText="注：说明转回或收回原因，确定原坏账准备计提比例的依据及其合理性。"/>
    <m:section xlName="_GBC_72fe1bcd09e2470f910107f1e159af49" title="本报告期实际核销的应收账款情况" convertSummaryRule="NoConvert" helpId="112002207"/>
    <m:section xlName="_SEC_93f8cf3ec4204ee79716a5cc7e9c978b" title="按欠款方归集的期末余额前五名的应收账款情况：" rules="R2015_R11_004" helpId="112001045" helpText="注：按欠款方集中度，汇总或分别披露期末余额前五名的应收账款的期末余额及占应收账款期末余额合计数的比例，以及相应计提的坏账准备期末余额。">
      <m:axisValue occRef="母公司"/>
    </m:section>
    <m:section xlName="_GBC_ab73666b561d47cbb383aa21715b406f" title="因金融资产转移而终止确认的应收账款" helpId="112002207" helpText="注：说明金融资产转移的方式、终止确认的应收款项金额，及与终止确认相关的利得或损失。"/>
    <m:section xlName="_GBC_0fefb2630375419f8e496c310f6ec9ee" title="转移应收账款且继续涉入的，分项列示继续涉入形成的资产、负债的金额" helpId="112002207" helpText="注：说明金融资产转移的方式，分项列示继续涉入形成的资产、负债的金额。"/>
    <m:section xlName="_GBC_eac4abdf299a4312a10e680c5fc79ef9" title="其他说明：" helpId="112002207"/>
    <m:section xlName="_SEC_74a857229cce4d58b9294f2d79542480" title="其他应收款分类列示">
      <m:axisValue occRef="母公司"/>
    </m:section>
    <m:section xlName="_SEC_1a3871c3656a46aa979e92498f91509a" title="其他应收款分类列示其他说明"/>
    <m:section xlName="_SEC_e39fae55cd97406480ebaf5b6cc99a7a" title="应收利息" convertSummaryRule="NoConvert" helpId="112001049"/>
    <m:section xlName="_SEC_0eba643091a6470aada89466b37489ac" title="逾期利息" convertSummaryRule="NoConvert" helpId="112001049">
      <m:axisValue occRef="母公司"/>
    </m:section>
    <m:section xlName="_SEC_db389788aeeb4531b9fed1397a2cd7fe" title="坏账准备的期初期末调节表"/>
    <m:section xlName="_SEC_420c39c62dbc49c58e111f47e5cba702" title="应收利息的说明" helpId="112001049"/>
    <m:section xlName="_SEC_97c2573729ab4e7fad4323aaa9228ada" title="应收股利" helpId="112001050"/>
    <m:section xlName="_SEC_dd6d08748fed41928b221e9407607582" title="重要的账龄超过1年的应收股利" convertSummaryRule="NoConvert" helpId="112001050"/>
    <m:section xlName="_SEC_1be97d9195ef4b7391f2b818d70c754f" title="坏账准备的期初期末调节表"/>
    <m:section xlName="_SEC_4b48a7a88233455db21eb1078781bdde" title="应收股利的说明" convertSummaryRule="NoConvert" helpId="112001050"/>
    <m:section xlName="_SEC_9f001837707a4e748573115d0229b591" title="按账龄披露" extended="true" helpText="表里的这里的“期末账面余额”指的是包含单项计提和组合计提的期末账面余额。">
      <m:item xlName="_GBC_5c11b96990fa439da812b87b47ed4c80" concept="clcid-ci-ar:ShiFouShiYongMuGongSiQiTaYingShouKuanAnZhangLingPiLu" label="是否适用：母公司其他应收款按账龄披露" selectOptions="_buildInAppliance" controlType="CustomCheckbox" cRanges="[{&quot;StartName&quot;:&quot;_GBC_5c11b96990fa439da812b87b47ed4c80&quot;,&quot;EndName&quot;:&quot;_GBC_d4add502a43b4384bf84fe7eb873716f&quot;,&quot;CType&quot;:1}]"/>
      <m:item xlName="_GBC_41616ef98f834aa2b100f687773d3969" indRef="752" concept="clcid-ci-ar:DanWeiMuGongSiQiTaYingShouKuanAnZhangLingPiLu" label="单位：母公司其他应收款按账龄披露" selectOptions="_buildInScales" controlType="Combobox" cellType="Scale" appId="_GBC_5c11b96990fa439da812b87b47ed4c80"/>
      <m:item xlName="_GBC_5e3917487f6647c3bad62a8fb87ea91e" indRef="753" concept="clcid-ci-ar:BiZhongMuGongSiQiTaYingShouKuanAnZhangLingPiLu" label="币种：母公司其他应收款按账龄披露" selectOptions="_buildInISO4217" controlType="Combobox" cellType="Measure" appId="_GBC_5c11b96990fa439da812b87b47ed4c80"/>
      <m:placeholder xlName="_PLD_fb6e0031222146c590a7f36a89af5d89" wordText="账龄" addr="T0R0C0S1_1"/>
      <m:placeholder xlName="_PLD_b7a8f0ef2fc44826974051ac32f6569e" wordText="期末账面余额" addr="T0R0C1S1_1"/>
      <m:placeholder xlName="_PLD_aa09828675c94452a03d450effabdb09" wordText="1年以内" addr="T0R1C0S1_2"/>
      <m:placeholder xlName="_PLD_b4e83e918d2f4cbf873eb1b02624a672" wordText="其中：1年以内分项" indent="300" addr="T0R2C0S1_2"/>
      <m:tuple xlName="_TUP_203a5c6f6bd849ce89daa93732cb6683" concept="clcid-pte:YiNianYiNeiQiTaYingShouKuanJinEMingXi" label="一年以内其他应收款金额明细" default_row="2" addr="T0R3C">
        <m:item xlName="_GBC_6ee6a61d277f4760a8f309c2fce51bf0" wordText="　" concept="clcid-pte:YiNianYiNeiQiTaYingShouKuanZhangLingMingCheng" label="一年以内其他应收款金额明细－帐龄名称" addr="T0R3C0S1_1" appId="_GBC_5c11b96990fa439da812b87b47ed4c80">
          <m:axisValue occRef="母公司"/>
        </m:item>
        <m:item xlName="_GBC_44f5638bb48e4299b05a865536cfc533" concept="clcid-pte:YiNianYiNeiQiTaYingShouKuanZhangMianYuE" label="一年以内其他应收款金额明细－账面余额" mulRef="_GBC_41616ef98f834aa2b100f687773d3969" unitRef="_GBC_5e3917487f6647c3bad62a8fb87ea91e" addr="T0R3C1S1_1" formatStyle="Comma" appId="_GBC_5c11b96990fa439da812b87b47ed4c80">
          <m:axisValue occRef="母公司"/>
        </m:item>
        <m:item xlName="_GBC_40693c5c429149bca176418acd558d57" concept="">
          <m:extendConcept standardLabel="期初账面余额" dataType="xbrli:stringItemType" period="instant"/>
        </m:item>
        <m:item xlName="_GBC_171221f2c2e9407f8566d95ad2e7a03d" concept="">
          <m:extendConcept standardLabel="期初账面余额" dataType="xbrli:stringItemType" period="instant"/>
        </m:item>
      </m:tuple>
      <m:placeholder xlName="_PLD_2bd42e1725dc4d958c3d78b2ac54993c" wordText="1年以内小计" addr="T0R5C0S1_1"/>
      <m:item xlName="_GBC_5cdd2cad763d44a79d0226adfd4eca31" concept="clcid-pte:QiTaYingShouKuanYiNianYiNeiHeJi" label="其他应收款一年以内合计" mulRef="_GBC_41616ef98f834aa2b100f687773d3969" unitRef="_GBC_5e3917487f6647c3bad62a8fb87ea91e" addr="T0R5C1S1_1" formatStyle="Comma" appId="_GBC_5c11b96990fa439da812b87b47ed4c80">
        <m:axisValue occRef="母公司"/>
      </m:item>
      <m:placeholder xlName="_PLD_b295760b85b94947a6ad5c12a8473fc6" wordText="1至2年" addr="T0R6C0S1_1"/>
      <m:item xlName="_GBC_0ad0fad14dd14ff2a817819dced23c86" concept="clcid-pte:QiTaYingShouKuanYiZhiErNianHeJi" label="其他应收款一至二年合计" mulRef="_GBC_41616ef98f834aa2b100f687773d3969" unitRef="_GBC_5e3917487f6647c3bad62a8fb87ea91e" addr="T0R6C1S1_1" formatStyle="Comma" appId="_GBC_5c11b96990fa439da812b87b47ed4c80">
        <m:axisValue occRef="母公司"/>
      </m:item>
      <m:placeholder xlName="_PLD_3312d6acbf264aa98fed1c58941b83ed" wordText="2至3年" addr="T0R7C0S1_1"/>
      <m:item xlName="_GBC_4b21c375430c4d9b9909c8b85d2175d7" concept="clcid-pte:QiTaYingShouKuanErZhiSanNianHeJi" label="其他应收款二至三年合计" mulRef="_GBC_41616ef98f834aa2b100f687773d3969" unitRef="_GBC_5e3917487f6647c3bad62a8fb87ea91e" addr="T0R7C1S1_1" formatStyle="Comma" appId="_GBC_5c11b96990fa439da812b87b47ed4c80">
        <m:axisValue occRef="母公司"/>
      </m:item>
      <m:placeholder xlName="_PLD_351283d3715846b881cd8b124c458d71" wordText="3年以上" addr="T0R8C0S1_1"/>
      <m:item xlName="_GBC_e13f480df51d4e4cb92e20d1bbba453e" concept="clcid-pte:QiTaYingShouKuanSanNianYiShangHeJi" label="其他应收款三年以上合计" mulRef="_GBC_41616ef98f834aa2b100f687773d3969" unitRef="_GBC_5e3917487f6647c3bad62a8fb87ea91e" addr="T0R8C1S1_1" formatStyle="Comma" appId="_GBC_5c11b96990fa439da812b87b47ed4c80">
        <m:axisValue occRef="母公司"/>
      </m:item>
      <m:placeholder xlName="_PLD_b1c91c3990a84e939d457adc3bdb1876" wordText="3至4年" addr="T0R9C0S1_1"/>
      <m:item xlName="_GBC_356a3368294f4bddbc93ead4c066655e" concept="clcid-pte:QiTaYingShouKuanSanZhiSiNianZhangMianYuE" label="其他应收款三至四年账面余额" mulRef="_GBC_41616ef98f834aa2b100f687773d3969" unitRef="_GBC_5e3917487f6647c3bad62a8fb87ea91e" addr="T0R9C1S1_1" formatStyle="Comma" appId="_GBC_5c11b96990fa439da812b87b47ed4c80">
        <m:axisValue occRef="母公司"/>
      </m:item>
      <m:placeholder xlName="_PLD_9fca30ebf7624dc09019e71101e0bed5" wordText="4至5年" addr="T0R10C0S1_1"/>
      <m:item xlName="_GBC_0a30fe679ccc4572bd6b4fe28215175c" concept="clcid-pte:QiTaYingShouKuanSiZhiWuNianZhangMianYuE" label="其他应收款四至五年账面余额" mulRef="_GBC_41616ef98f834aa2b100f687773d3969" unitRef="_GBC_5e3917487f6647c3bad62a8fb87ea91e" addr="T0R10C1S1_1" formatStyle="Comma" appId="_GBC_5c11b96990fa439da812b87b47ed4c80">
        <m:axisValue occRef="母公司"/>
      </m:item>
      <m:placeholder xlName="_PLD_89debe9f331a40d8b1cebf8df7dd2ef7" wordText="5年以上" addr="T0R11C0S1_1"/>
      <m:item xlName="_GBC_353233ffdae841288e30d6c193591633" concept="clcid-pte:QiTaYingShouKuanWuNianYiShangZhangMianYuE" label="其他应收款五年以上账面余额" mulRef="_GBC_41616ef98f834aa2b100f687773d3969" unitRef="_GBC_5e3917487f6647c3bad62a8fb87ea91e" addr="T0R11C1S1_1" formatStyle="Comma" appId="_GBC_5c11b96990fa439da812b87b47ed4c80">
        <m:axisValue occRef="母公司"/>
      </m:item>
      <m:tuple xlName="_TUP_ab18dadda75c414f9adc4f399f7c315d" concept="clcid-pte:AnZhangLingFenXiFaJiTiHuaiZhangZhunBeiDeQiTaYingShouKuanMingXi" label="按账龄分析法计提坏账准备的其他应收款明细" default_row="2" addr="T0R12C">
        <m:item xlName="_GBC_a8c9cc1227474909a0e7af12f7bbeeef" wordText="　" concept="clcid-pte:AnZhangLingFenXiFaJiTiHuaiZhangZhunBeiDeQiTaYingShouKuanMingXiZhangLing" label="按账龄分析法计提坏账准备的其他应收款明细_账龄" addr="T0R12C0S1_1" appId="_GBC_5c11b96990fa439da812b87b47ed4c80">
          <m:axisValue occRef="母公司"/>
        </m:item>
        <m:item xlName="_GBC_020f5118cd314fada646da7b1130d374" concept="clcid-pte:AnZhangLingFenXiFaJiTiHuaiZhangZhunBeiDeQiTaYingShouKuanMingXiQiTaYingShouKuan" label="按账龄分析法计提坏账准备的其他应收款明细_其他应收款" mulRef="_GBC_41616ef98f834aa2b100f687773d3969" unitRef="_GBC_5e3917487f6647c3bad62a8fb87ea91e" addr="T0R12C1S1_1" formatStyle="Comma" appId="_GBC_5c11b96990fa439da812b87b47ed4c80">
          <m:axisValue occRef="母公司"/>
        </m:item>
        <m:item xlName="_GBC_029e3f84512f419cb51ae71328ae894b" concept="">
          <m:extendConcept standardLabel="期初账面余额" dataType="xbrli:stringItemType" period="instant"/>
        </m:item>
        <m:item xlName="_GBC_6bd95034d2ee49ca8f54e8745c8ba09c" concept="">
          <m:extendConcept standardLabel="期初账面余额" dataType="xbrli:stringItemType" period="instant"/>
        </m:item>
      </m:tuple>
      <m:placeholder xlName="_PLD_fd195ee4a8be4228aad7b7bd4a201d76" wordText="合计" addr="T0R14C0S1_1"/>
      <m:item xlName="_GBC_d4add502a43b4384bf84fe7eb873716f" concept="clcid-pte:DanXiangJinEBuZhongDaDanAnXinYongFengXianTeZhengZuHeHouGaiZuHeDeFengXianJiaoDaDeQiTaYingShouZhangKuanHeJi" label="单项金额不重大但按信用风险特征组合后该组合的风险较大的其他应收账款合计" mulRef="_GBC_41616ef98f834aa2b100f687773d3969" unitRef="_GBC_5e3917487f6647c3bad62a8fb87ea91e" addr="T0R14C1S1_1" formatStyle="Comma" appId="_GBC_5c11b96990fa439da812b87b47ed4c80">
        <m:complexRule comparator="Eq" title="单项金额不重大但按信用风险特征组合后该组合的风险较大的其他应收账款合计" test=" $_GBC_5cdd2cad763d44a79d0226adfd4eca31 +  $_GBC_0ad0fad14dd14ff2a817819dced23c86 +  $_GBC_4b21c375430c4d9b9909c8b85d2175d7 +  $_GBC_e13f480df51d4e4cb92e20d1bbba453e +  $_GBC_356a3368294f4bddbc93ead4c066655e +  $_GBC_0a30fe679ccc4572bd6b4fe28215175c +  $_GBC_353233ffdae841288e30d6c193591633 +  $_GBC_020f5118cd314fada646da7b1130d374" id="Ccc130f7d5dbf42419c219136044f35e6"/>
        <m:axisValue occRef="母公司"/>
      </m:item>
    </m:section>
    <m:section xlName="_SEC_71c0adb787a04266be2102ec385a07d9" title="按款项性质分类情况" helpId="112002209"/>
    <m:section xlName="_SEC_fa119e5c9017431b9876ee9427039406" title="坏账准备的期初期末调节表"/>
    <m:section xlName="_SEC_fbab0742fc2c44e3ad68d85a2a28dba0" title="本期坏账准备计提金额以及评估金融工具的信用风险是否显著增加的采用依据"/>
    <m:section xlName="_SEC_f423d6eb34fc4ed68280e4e283cb023a" title="坏账准备的情况"/>
    <m:section xlName="_SEC_95497f8a3ba04097840502fb3e809791" title="本报告期实际核销的其他应收款情况" convertSummaryRule="NoConvert" helpId="112002209"/>
    <m:section xlName="_SEC_6f759e5be9a9426cadf575a65a7d3434" title="按欠款方归集的期末余额前五名的其他应收款情况" helpId="112002209"/>
    <m:section xlName="_SEC_c503ea1b9c7e4198b86f2abbf23b2ab9" title="按应收金额确认的政府补助" helpId="112002209" helpText="注：公司未能在预计时点收到预计金额的政府补助，应说明原因。"/>
    <m:section xlName="_SEC_7f211e4933374e0fb33af86ebc3ae729" title="因金融资产转移而终止确认的其他应收款" helpId="112002209" helpText="注：说明金融资产转移的方式、终止确认的其他应收款金额，及与终止确认相关的利得或损失。"/>
    <m:section xlName="_SEC_f556994e476e4a6caca86b06f3c7242b" title="转移其他应收款且继续涉入的，分项列示继续涉入形成的资产、负债..." helpId="112002209" helpText="注：说明金融资产转移的方式、分项列示继续涉入形成的资产、负债的金额。"/>
    <m:section xlName="_SEC_57c4dfafa9d0491a91f70b4527c847b3" title="其他应收款其他说明" helpId="112002209"/>
    <m:item xlName="_GBC_57a2f87498c64eab83308bdf3afc6268" concept="clcid-ci-ar:ShiFouShiYongMuGongSiChangQiGuQuanTouZi" label="是否适用：母公司长期股权投资" selectOptions="_buildInAppliance" controlType="CustomCheckbox" cRanges="{&quot;StartName&quot;:&quot;_GBC_57a2f87498c64eab83308bdf3afc6268&quot;,&quot;EndName&quot;:&quot;_SEC_fd3a826cdca04967a4205d04f587b774&quot;,&quot;CType&quot;:1,&quot;DisplayText&quot;:null}"/>
    <m:section xlName="_SEC_315fa330edb445329400b10ee17c89ff" title="长期股权投资按成本法核算" helpId="112002211"/>
    <m:section xlName="_SEC_f8a5b8b7954e47eb81f4b0c9ee167266" title="对子公司投资" helpId="112002211"/>
    <m:section xlName="_SEC_4a653049f75d481585b4f9d9da6a8d0e" title="对联营、合营企业投资" helpId="112002211"/>
    <m:section xlName="_SEC_fd3a826cdca04967a4205d04f587b774" title="长期股权投资的说明" helpId="112002211"/>
    <m:section xlName="_SEC_167f1b451fcb4d4d88898ec4d506ea2d" title="营业收入" helpId="112001233"/>
    <m:section xlName="_SEC_a0a33d96e9f9469a9966c7cb475fdfc4" title="合同产生的收入的情况" tagAction="1">
      <m:virtualTuples>
        <m:virtualTuple id="c00faedc-b21b-4096-b766-861489d6619f" tupleRef="clcid-pte:HeTongChanShengDeShouRuFenBuMingXi" extendDirection="2"/>
      </m:virtualTuples>
    </m:section>
    <m:section xlName="_SEC_52d2e3e0b9aa4fa7a4925852d3c67b9d" title="履约义务的说明"/>
    <m:section xlName="_SEC_b803be9d61b44303b6da1e3330ef906c" title="分摊至剩余履约义务的说明"/>
    <m:section xlName="_SEC_7467cf4c7aa441d78594101b88f0996b" title="营业收入和营业成本其他说明"/>
    <m:section xlName="_SEC_0ba2a4db50ed47afbd78e67c0a069c58" title=""/>
    <m:section xlName="_SEC_f254d1d0764b4d7ab6b701d7ac057625" title="母公司会计报表附注的其他说明事项"/>
    <m:section xlName="_GBC_08eb8d7076584daebd23121ab43f25e0" title="当期非经常性损益明细" helpId="112001192" helpText="1.各非经常性损益项目按税前金额列示。\n2.非经常性损益项目中的损失类应以负数填写。\n3.自定义科目全部填入“其他符合非经常性损益定义的损益项目”，并在该项目附注中说明具体情况。"/>
    <m:section xlName="_GBC_7944e47348cd4cd186b958ba1902ea3f" title="对公司根据《公开发行证券的公司信息披露解释性公告第1号——非..." convertSummaryRule="NoConvert" helpId="112001192"/>
    <m:section xlName="_GBC_146d888914ac4591bea1ff0ea9e89617" title="净资产收益率及每股收益" helpId="112001194"/>
    <m:item xlName="_GBC_256af937a96e4869ba07cb19341957bb" concept="clcid-ci-ar:ShiFouShiYongJingNeiWaiHuiJiZhunZeXiaHuiJiShuJuChaYi" label="是否适用：境内外会计准则下会计数据差异" selectOptions="_buildInAppliance" controlType="CustomCheckbox" cRanges="{&quot;StartName&quot;:&quot;_GBC_256af937a96e4869ba07cb19341957bb&quot;,&quot;EndName&quot;:&quot;_GBC_28e04aa78d514ffaa91bd2d93b36d312&quot;,&quot;CType&quot;:1,&quot;DisplayText&quot;:null}"/>
    <m:section xlName="_GBC_30f5ba046d124b5db9ae669fe845bbdb" title="同时按照国际会计准则与按中国会计准则披露的财务报告中净利润和..." helpId="112001195"/>
    <m:section xlName="_GBC_4dcd3e5d3e2046b28e99d35c3cbab7be" title="同时按照境外会计准则与按中国会计准则披露的财务报告中净利润和..." helpId="112001195" helpText="注：境内外会计准则下会计数据差异填列合并报表数据。"/>
    <m:section xlName="_GBC_28e04aa78d514ffaa91bd2d93b36d312" title="境内外会计准则下会计数据差异说明" convertSummaryRule="NoConvert" helpId="112001195"/>
    <m:section xlName="_GBC_a60672e5f86e422cbb864ef991c9106b" title="补充资料其他说明事项" helpId="112001166"/>
    <m:section xlName="_SEC_ee292353ab9b4a589b48f1e0cbc5adcd" title="落款" convertSummaryRule="NoConvert" helpId="110002018"/>
    <m:section xlName="_GBC_e51b54728b2e4e53b95b0611d0df9b06" title="修订信息 " convertSummaryRule="NoConvert"/>
  </m:document>
  <m:conditions>
    <m:precondition id="CON_2e20f21b73314e2d921b2888af32a08c" desc="营业收入_上期数大于0" test=" $_GBC_5ebde18133164216a6c99035161c7140 &gt;  0 "/>
    <m:precondition id="CON_d8de86f81b2140de8a37d918b4747e08" desc="扣后净利润_上期数大于0" test=" $_GBC_a89db29d79504811b2a5d1ef6d713485 &gt;  0 "/>
    <m:precondition id="CON_116b71a5b5c94e03ab2e8693ea4df5f9" desc="资产上年末数大于0" test=" $_GBC_b23fbc7fb51948cd8997e5c561f41d20 &gt;  0 "/>
    <m:precondition id="CON_692ddb8eaf594c948980380dc70a48a6" desc="经营现金流量_上期数大于0" test=" $_GBC_3580c100c5e64054bce341c2c408ce6a &gt;  0 "/>
    <m:precondition id="CON_2a36030ab2224155b4f4c0375142b398" desc="股东权益上年末数大于0" test=" $_GBC_372089a3972948e186a3237b13934229 &gt;  0 "/>
    <m:precondition id="CON_a9e4321bc9954f11bdcb3a640bfd2c9f" desc="基本每股收益上期数大于0" test=" $_GBC_1f907667c5644352a16b5b1868d2e674 &gt;  0 "/>
    <m:precondition id="CON_95d2bc8632d64a819dc00dae39c4540e" desc="归属净利润大于0" test=" $_GBC_6d6bf686bd404031a3159ad1561b60a6 &gt;  0 "/>
    <m:precondition id="CON_ce9c1ad9ebcb45c1ba72b28a708ac184" desc="稀释每股收益上期数大于0" test=" $_GBC_c9b84c4b16fa4acab5831271e1136d40 &gt;  0 "/>
    <m:precondition id="CON_39de6ccf65bc4b22aa001ade02ffff26" desc="扣后基本每股收益上期数大于0" test=" $_GBC_a375080d2f814b808c4e26cab0bcd442 &gt;  0 "/>
    <m:precondition id="CON_bcdec2cb4c2a49c89b62f64fa59a7a6a" desc="营业成本_上期数大于0" test=" $_GBC_8889b0339e48412e9c5caa7cac6a7c8d &gt;  0 "/>
    <m:precondition id="CON_0aa117885d584b7b9eec886b467ba4a9" desc="销售费用_上期数大于0" test=" $_GBC_1027bfb7f8fa4d3f83a3f6c77aa8ea45 &gt;  0 "/>
    <m:precondition id="CON_48ee4b96fc444226974949ece23f844f" desc="管理费用_上期数大于0" test=" $_GBC_6bb9dd37bafb4a7bba0663a6049602a0 &gt;  0 "/>
    <m:precondition id="CON_e800b638c60e4a66bf667806dd24162e" desc="财务费用_上期数大于0" test=" $_GBC_ab4b66cfb86d481e8c18e63ea8cbccbd &gt;  0 "/>
    <m:precondition id="CON_42612fb938f64b5dac5c858145ca3483" desc="研发费用_上期数大于0" test=" $_GBC_61fe90da71ee49908941ceff6ddab552 &gt;  0 "/>
    <m:precondition id="CON_178b006a7dbe46129993608793e9b3a5" desc="投资现金流量_上期数大于0" test=" $_GBC_94bb913302ea4174b792aece8f634a4c &gt;  0 "/>
    <m:precondition id="CON_f2f01ac6634846e69744977733797dd8" desc="筹资现金流量_上期数大于0" test=" $_GBC_125a8270b6ca4f25a7036ff5bb863317 &gt;  0 "/>
  </m:conditions>
</m:mapping>
</file>

<file path=customXml/item3.xml><?xml version="1.0" encoding="utf-8"?>
<sc:sections xmlns:sc="http://mapping.word.org/2014/section/customize"/>
</file>

<file path=customXml/item4.xml><?xml version="1.0" encoding="utf-8"?>
<b:binding xmlns:b="http://mapping.word.org/2012/binding" xmlns:xlink="xlink" xmlns:clcid-ptr="clcid-ptr" xmlns:clcid-pte="clcid-pte" xmlns:clcid-fste="clcid-fste" xmlns:clcid-fstr="clcid-fstr" xmlns:clcid-ar="clcid-ar" xmlns:clcid-mr="clcid-mr" xmlns:clcid-ie="clcid-ie" xmlns:clcid-gcd="clcid-gcd" xmlns:clcid-cgi="clcid-cgi" xmlns:clcid-ci-ar="clcid-ci-ar" xmlns:clcid-ci="clcid-ci" xmlns:clcid-ci-car="clcid-ci-car">
  <clcid-cgi:GongSiFaDingZhongWenMingCheng xmlns:clcid-cgi="clcid-cgi">大秦铁路股份有限公司</clcid-cgi:GongSiFaDingZhongWenMingCheng>
  <clcid-mr:GongSiFuZeRenXingMing xmlns:clcid-mr="clcid-mr">戴弘  </clcid-mr:GongSiFuZeRenXingMing>
  <clcid-mr:ZhuGuanKuaiJiGongZuoFuZeRenXingMing xmlns:clcid-mr="clcid-mr">田惠民</clcid-mr:ZhuGuanKuaiJiGongZuoFuZeRenXingMing>
  <clcid-mr:KuaiJiJiGouFuZeRenXingMing xmlns:clcid-mr="clcid-mr">孙洪涛</clcid-mr:KuaiJiJiGouFuZeRenXingMing>
  <clcid-cgi:GongSiFaDingDaiBiaoRen xmlns:clcid-cgi="clcid-cgi">戴弘</clcid-cgi:GongSiFaDingDaiBiaoRen>
  <clcid-ci-ar:DanWeiKouChuFeiJingChangXingSunYiXiangMuHeJinE xmlns:clcid-ci-ar="clcid-ci-ar">1</clcid-ci-ar:DanWeiKouChuFeiJingChangXingSunYiXiangMuHeJinE>
  <clcid-ci-ar:BiZhongKouChuFeiJingChangXingSunYiXiangMuHeJinE xmlns:clcid-ci-ar="clcid-ci-ar">CNY</clcid-ci-ar:BiZhongKouChuFeiJingChangXingSunYiXiangMuHeJinE>
  <clcid-pte:FeiLiuDongXingZiChanChuZhiSunYiBaoKuoYiJiTiZiChanJianZhiZhunBeiDeChongXiaoBuFenFeiJingChangXingSunYiXiangMu xmlns:clcid-pte="clcid-pte">-20,596,427</clcid-pte:FeiLiuDongXingZiChanChuZhiSunYiBaoKuoYiJiTiZiChanJianZhiZhunBeiDeChongXiaoBuFenFeiJingChangXingSunYiXiangMu>
  <clcid-pte:FeiJingChangXingSunYiZhongYueQuanShenPiHuoWuZhengShiPiZhunWenJianDeShuiShouFanHuanJianMian xmlns:clcid-pte="clcid-pte"/>
  <clcid-pte:FeiLiuDongXingZiChanChuZhiSunYiBaoKuoYiJiTiZiChanJianZhiZhunBeiDeChongXiaoBuFenFeiJingChangXingSunYiXiangMuShuoMing xmlns:clcid-pte="clcid-pte">　</clcid-pte:FeiLiuDongXingZiChanChuZhiSunYiBaoKuoYiJiTiZiChanJianZhiZhunBeiDeChongXiaoBuFenFeiJingChangXingSunYiXiangMuShuoMing>
  <clcid-pte:FeiJingChangXingSunYiZhongYueQuanShenPiHuoWuZhengShiPiZhunWenJianDeShuiShouFanHuanJianMianShuoMing xmlns:clcid-pte="clcid-pte"/>
  <clcid-pte:FeiJingChangXingSunYiZhongGeZhongXingShiDeZhengFuBuTie xmlns:clcid-pte="clcid-pte">188,372,378</clcid-pte:FeiJingChangXingSunYiZhongGeZhongXingShiDeZhengFuBuTie>
  <clcid-pte:FeiJingChangXingSunYiZhongGeZhongXingShiDeZhengFuBuTieShuoMing xmlns:clcid-pte="clcid-pte">　</clcid-pte:FeiJingChangXingSunYiZhongGeZhongXingShiDeZhengFuBuTieShuoMing>
  <clcid-pte:JiRuDangQiSunYiDeDuiFeiJinRongQiYeShouQuDeZiJinZhanYongFeiFeiJingChangXingSunYiXiangMu xmlns:clcid-pte="clcid-pte"/>
  <clcid-pte:JiRuDangQiSunYiDeDuiFeiJinRongQiYeShouQuDeZiJinZhanYongFeiFeiJingChangXingSunYiXiangMuShuoMing xmlns:clcid-pte="clcid-pte"/>
  <clcid-pte:QiYeHeBingDeHeBingChengBenXiaoYuHeBingShiYingXiangYouBeiHeBingDanWeiKeBianRenJingZiChanGongYunJiaZhiChanShengDeSunYi xmlns:clcid-pte="clcid-pte"/>
  <clcid-pte:QiYeHeBingDeHeBingChengBenXiaoYuHeBingShiYingXiangYouBeiHeBingDanWeiKeBianRenJingZiChanGongYunJiaZhiChanShengDeSunYiShuoMing xmlns:clcid-pte="clcid-pte"/>
  <clcid-pte:FeiJingChangXingSunYiZhongZiChanZhiHuanSunYi xmlns:clcid-pte="clcid-pte"/>
  <clcid-pte:FeiJingChangXingSunYiZhongZiChanZhiHuanSunYiShuoMing xmlns:clcid-pte="clcid-pte"/>
  <clcid-pte:WeiTuoTaRenTouZiHuoGuanLiZiChanDeSunYiFeiJingChangXingSunYiXiangMu xmlns:clcid-pte="clcid-pte"/>
  <clcid-pte:WeiTuoTaRenTouZiHuoGuanLiZiChanDeSunYiFeiJingChangXingSunYiXiangMuShuoMing xmlns:clcid-pte="clcid-pte"/>
  <clcid-pte:FeiJingChangXingSunYiZhongJiTiDeGeXiangZiChanJianZhiZhunBei xmlns:clcid-pte="clcid-pte"/>
  <clcid-pte:FeiJingChangXingSunYiZhongJiTiDeGeXiangZiChanJianZhiZhunBeiShuoMing xmlns:clcid-pte="clcid-pte"/>
  <clcid-pte:FeiJingChangXingSunYiZhongZhaiWuZhongZuSunYi xmlns:clcid-pte="clcid-pte"/>
  <clcid-pte:FeiJingChangXingSunYiZhongZhaiWuZhongZuSunYiShuoMing xmlns:clcid-pte="clcid-pte"/>
  <clcid-pte:QiYeZhongZuFeiYongRuAnZhiZhiGongDeZhiChuZhengHeFeiYongDeng xmlns:clcid-pte="clcid-pte"/>
  <clcid-pte:QiYeZhongZuFeiYongRuAnZhiZhiGongDeZhiChuZhengHeFeiYongDengShuoMing xmlns:clcid-pte="clcid-pte"/>
  <clcid-pte:FeiJingChangXingSunYiZhongJiaoYiJiaGeXianShiGongYunDeJiaoYiChanShengDeSunYi xmlns:clcid-pte="clcid-pte"/>
  <clcid-pte:FeiJingChangXingSunYiZhongJiaoYiJiaGeXianShiGongYunDeJiaoYiChanShengDeSunYiShuoMing xmlns:clcid-pte="clcid-pte"/>
  <clcid-pte:TongYiKongZhiXiaQiYeHeBingChanShengDeZiGongSiQiChuZhiHeBingRiDeDangQiJingSunYi xmlns:clcid-pte="clcid-pte"/>
  <clcid-pte:TongYiKongZhiXiaQiYeHeBingChanShengDeZiGongSiQiChuZhiHeBingRiDeDangQiJingSunYiShuoMing xmlns:clcid-pte="clcid-pte"/>
  <clcid-pte:YuGongSiZhuYingYeWuWuGuanDeYuJiFuZhaiChanShengDeSunYi xmlns:clcid-pte="clcid-pte"/>
  <clcid-pte:YuGongSiZhuYingYeWuWuGuanDeYuJiFuZhaiChanShengDeSunYiShuoMing xmlns:clcid-pte="clcid-pte"/>
  <clcid-pte:ChuGongSiJingYingYeWuXiangGuanDeYouXiaoTaoQiBaoZhiYeWuWaiChiYouJiChuZhiJiaoYiXingJinRongZiChanJinRongFuZhaiChanShengDeGongYunJiaZhiBianDongSunYiYiHeKeGongChuShouJinRongZiChanQuDeDeTouZiShouYi xmlns:clcid-pte="clcid-pte"/>
  <clcid-pte:ChuGongSiJingYingYeWuXiangGuanDeYouXiaoTaoQiBaoZhiYeWuWaiChiYouJiChuZhiJiaoYiXingJinRongZiChanJinRongFuZhaiChanShengDeGongYunJiaZhiBianDongSunYiYiHeKeGongChuShouJinRongZiChanQuDeDeTouZiShouYiShuoMing xmlns:clcid-pte="clcid-pte"/>
  <clcid-pte:DanDuJinXingJianZhiCeShiDeYingShouKuanXiangJianZhiZhunBeiZhuanHui xmlns:clcid-pte="clcid-pte"/>
  <clcid-pte:DanDuJinXingJianZhiCeShiDeYingShouKuanXiangJianZhiZhunBeiZhuanHuiShuoMing xmlns:clcid-pte="clcid-pte"/>
  <clcid-pte:DuiWaiWeiTuoDaiKuanQuDeDeSunYi xmlns:clcid-pte="clcid-pte"/>
  <clcid-pte:DuiWaiWeiTuoDaiKuanQuDeDeSunYiShuoMing xmlns:clcid-pte="clcid-pte"/>
  <clcid-pte:CaiYongGongYunJiaZhiMoShiJinXingHouXuJiLiangDeTouZiXingFangDiChanGongYunJiaZhiBianDongChanShengDeSunYi xmlns:clcid-pte="clcid-pte"/>
  <clcid-pte:CaiYongGongYunJiaZhiMoShiJinXingHouXuJiLiangDeTouZiXingFangDiChanGongYunJiaZhiBianDongChanShengDeSunYiShuoMing xmlns:clcid-pte="clcid-pte"/>
  <clcid-pte:GenJuShuiShouKuaiJiDengFaLvFaGuiDeYaoQiuDuiDangQiSunYiJinXingYiCiXingTiaoZhengDuiDangQiSunYiDeYingXiang xmlns:clcid-pte="clcid-pte"/>
  <clcid-pte:GenJuShuiShouKuaiJiDengFaLvFaGuiDeYaoQiuDuiDangQiSunYiJinXingYiCiXingTiaoZhengDuiDangQiSunYiDeYingXiangShuoMing xmlns:clcid-pte="clcid-pte"/>
  <clcid-pte:ShouTuoJingYingQuDeDeTuoGuanFeiShouRu xmlns:clcid-pte="clcid-pte"/>
  <clcid-pte:ShouTuoJingYingQuDeDeTuoGuanFeiShouRuShuoMing xmlns:clcid-pte="clcid-pte"/>
  <clcid-pte:ChuShangShuGeXiangZhiWaiDeQiTaYingYeWaiShouZhiJingE xmlns:clcid-pte="clcid-pte">-79,788,830</clcid-pte:ChuShangShuGeXiangZhiWaiDeQiTaYingYeWaiShouZhiJingE>
  <clcid-pte:ChuShangShuGeXiangZhiWaiDeQiTaYingYeWaiShouZhiJingEShuoMing xmlns:clcid-pte="clcid-pte">　</clcid-pte:ChuShangShuGeXiangZhiWaiDeQiTaYingYeWaiShouZhiJingEShuoMing>
  <clcid-pte:QiTaFeiJingChangXingSunYiXiangMu xmlns:clcid-pte="clcid-pte"/>
  <clcid-pte:QiTaFeiJingChangXingSunYiXiangMuShuoMing xmlns:clcid-pte="clcid-pte"/>
  <clcid-pte:FeiJingChangXingSunYiXiangMuZhongShaoShuGuDongQuanYiYingXiangE xmlns:clcid-pte="clcid-pte">-127,743</clcid-pte:FeiJingChangXingSunYiXiangMuZhongShaoShuGuDongQuanYiYingXiangE>
  <clcid-pte:FeiJingChangXingSunYiXiangMuZhongShaoShuGuDongQuanYiYingXiangEShuoMing xmlns:clcid-pte="clcid-pte">　</clcid-pte:FeiJingChangXingSunYiXiangMuZhongShaoShuGuDongQuanYiYingXiangEShuoMing>
  <clcid-pte:FeiJingChangXingSunYiDeKouChuXiangMuDuiSuoDeShuiDeYingXiang xmlns:clcid-pte="clcid-pte">22,542,683</clcid-pte:FeiJingChangXingSunYiDeKouChuXiangMuDuiSuoDeShuiDeYingXiang>
  <clcid-pte:FeiJingChangXingSunYiDeKouChuXiangMuDuiSuoDeShuiDeYingXiangShuoMing xmlns:clcid-pte="clcid-pte">　</clcid-pte:FeiJingChangXingSunYiDeKouChuXiangMuDuiSuoDeShuiDeYingXiangShuoMing>
  <clcid-pte:KouChuDeFeiJingChangXingSunYiHeJi xmlns:clcid-pte="clcid-pte">65,572,181</clcid-pte:KouChuDeFeiJingChangXingSunYiHeJi>
  <clcid-pte:KouChuDeFeiJingChangXingSunYiHeJiShuoMing xmlns:clcid-pte="clcid-pte">　</clcid-pte:KouChuDeFeiJingChangXingSunYiHeJiShuoMing>
  <clcid-ci-ar:DanWeiTongShiAnZhaoGuoJiKuaiJiZhunZeYuAnZhongGuoKuaiJiZhunZePiLuDeCaiWuBaoGaoZhongJingLiRunHeJingZiChanChaYiQingKuang xmlns:clcid-ci-ar="clcid-ci-ar">1</clcid-ci-ar:DanWeiTongShiAnZhaoGuoJiKuaiJiZhunZeYuAnZhongGuoKuaiJiZhunZePiLuDeCaiWuBaoGaoZhongJingLiRunHeJingZiChanChaYiQingKuang>
  <clcid-ci-ar:BiZhongTongShiAnZhaoGuoJiKuaiJiZhunZeYuAnZhongGuoKuaiJiZhunZePiLuDeCaiWuBaoGaoZhongJingLiRunHeJingZiChanChaYiQingKuang xmlns:clcid-ci-ar="clcid-ci-ar">CNY</clcid-ci-ar:BiZhongTongShiAnZhaoGuoJiKuaiJiZhunZeYuAnZhongGuoKuaiJiZhunZePiLuDeCaiWuBaoGaoZhongJingLiRunHeJingZiChanChaYiQingKuang>
  <clcid-ci-ar:DanWeiTongShiAnZhaoJingWaiKuaiJiZhunZeYuAnZhongGuoKuaiJiZhunZePiLuDeCaiWuBaoGaoZhongJingLiRunHeJingZiChanChaYiQingKuang xmlns:clcid-ci-ar="clcid-ci-ar">1</clcid-ci-ar:DanWeiTongShiAnZhaoJingWaiKuaiJiZhunZeYuAnZhongGuoKuaiJiZhunZePiLuDeCaiWuBaoGaoZhongJingLiRunHeJingZiChanChaYiQingKuang>
  <clcid-ci-ar:BiZhongTongShiAnZhaoJingWaiKuaiJiZhunZeYuAnZhongGuoKuaiJiZhunZePiLuDeCaiWuBaoGaoZhongJingLiRunHeJingZiChanChaYiQingKuang xmlns:clcid-ci-ar="clcid-ci-ar">CNY</clcid-ci-ar:BiZhongTongShiAnZhaoJingWaiKuaiJiZhunZeYuAnZhongGuoKuaiJiZhunZePiLuDeCaiWuBaoGaoZhongJingLiRunHeJingZiChanChaYiQingKuang>
  <clcid-mr:JiuZhiZaoZhiZaoFeiYongTongBi/>
  <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FeiJingChangXingSunYiXiangMu/>
  <clcid-pte:DanDuJinXingJianZhiCeShiDeYingShouKuanXiangHeTongZiChanJianZhiZhunBeiZhuanHuiFeiJingChangXingSunYiXiangMu/>
  <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DeShuoMingFeiJingChangXingSunYiXiangMu/>
  <clcid-pte:DanDuJinXingJianZhiCeShiDeYingShouKuanXiangHeTongZiChanJianZhiZhunBeiZhuanHuiDeShuoMingFeiJingChangXingSunYiXiangMu/>
</b:binding>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685DD968A0EA954595FC06C7F1AEEC71" ma:contentTypeVersion="" ma:contentTypeDescription="Create a new document." ma:contentTypeScope="" ma:versionID="109b7ebeb42eb996b73a6e282db48b58">
  <xsd:schema xmlns:xsd="http://www.w3.org/2001/XMLSchema" xmlns:xs="http://www.w3.org/2001/XMLSchema" xmlns:p="http://schemas.microsoft.com/office/2006/metadata/properties" xmlns:ns1="http://schemas.microsoft.com/sharepoint/v3" xmlns:ns2="61c59613-fa3d-49ac-a488-29be1c5cd5ec" targetNamespace="http://schemas.microsoft.com/office/2006/metadata/properties" ma:root="true" ma:fieldsID="facab81b0f108df44d0d1ce77558c797" ns1:_="" ns2:_="">
    <xsd:import namespace="http://schemas.microsoft.com/sharepoint/v3"/>
    <xsd:import namespace="61c59613-fa3d-49ac-a488-29be1c5cd5ec"/>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1c59613-fa3d-49ac-a488-29be1c5cd5e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t:template xmlns:t="http://mapping.word.org/2012/template">
  <t:sse><![CDATA[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]]></t:sse>
</t:template>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E8895B-79C4-4340-803B-D2936305FE80}">
  <ds:schemaRefs>
    <ds:schemaRef ds:uri="http://schemas.microsoft.com/sharepoint/v3/contenttype/forms"/>
  </ds:schemaRefs>
</ds:datastoreItem>
</file>

<file path=customXml/itemProps2.xml><?xml version="1.0" encoding="utf-8"?>
<ds:datastoreItem xmlns:ds="http://schemas.openxmlformats.org/officeDocument/2006/customXml" ds:itemID="{F9A1F427-435A-4D59-B7AE-CB799EBC90F8}">
  <ds:schemaRefs>
    <ds:schemaRef ds:uri="http://mapping.word.org/2012/mapping"/>
  </ds:schemaRefs>
</ds:datastoreItem>
</file>

<file path=customXml/itemProps3.xml><?xml version="1.0" encoding="utf-8"?>
<ds:datastoreItem xmlns:ds="http://schemas.openxmlformats.org/officeDocument/2006/customXml" ds:itemID="{1F37729E-89F6-4D70-BC0B-8EF77515B409}">
  <ds:schemaRefs>
    <ds:schemaRef ds:uri="http://mapping.word.org/2014/section/customize"/>
  </ds:schemaRefs>
</ds:datastoreItem>
</file>

<file path=customXml/itemProps4.xml><?xml version="1.0" encoding="utf-8"?>
<ds:datastoreItem xmlns:ds="http://schemas.openxmlformats.org/officeDocument/2006/customXml" ds:itemID="{89EBAB94-44A0-46A2-B712-30D997D04A6D}">
  <ds:schemaRefs>
    <ds:schemaRef ds:uri="http://mapping.word.org/2012/binding"/>
    <ds:schemaRef ds:uri="xlink"/>
    <ds:schemaRef ds:uri="clcid-ptr"/>
    <ds:schemaRef ds:uri="clcid-pte"/>
    <ds:schemaRef ds:uri="clcid-fste"/>
    <ds:schemaRef ds:uri="clcid-fstr"/>
    <ds:schemaRef ds:uri="clcid-ar"/>
    <ds:schemaRef ds:uri="clcid-mr"/>
    <ds:schemaRef ds:uri="clcid-ie"/>
    <ds:schemaRef ds:uri="clcid-gcd"/>
    <ds:schemaRef ds:uri="clcid-cgi"/>
    <ds:schemaRef ds:uri="clcid-ci-ar"/>
    <ds:schemaRef ds:uri="clcid-ci"/>
    <ds:schemaRef ds:uri="clcid-ci-car"/>
  </ds:schemaRefs>
</ds:datastoreItem>
</file>

<file path=customXml/itemProps5.xml><?xml version="1.0" encoding="utf-8"?>
<ds:datastoreItem xmlns:ds="http://schemas.openxmlformats.org/officeDocument/2006/customXml" ds:itemID="{AAA9F208-3D7F-4328-A397-A26E10DC3D4E}">
  <ds:schemaRefs>
    <ds:schemaRef ds:uri="http://schemas.microsoft.com/office/2006/metadata/properties"/>
    <ds:schemaRef ds:uri="http://schemas.microsoft.com/office/infopath/2007/PartnerControls"/>
    <ds:schemaRef ds:uri="http://schemas.microsoft.com/sharepoint/v3"/>
  </ds:schemaRefs>
</ds:datastoreItem>
</file>

<file path=customXml/itemProps6.xml><?xml version="1.0" encoding="utf-8"?>
<ds:datastoreItem xmlns:ds="http://schemas.openxmlformats.org/officeDocument/2006/customXml" ds:itemID="{DA859A47-8CD6-4E7D-A451-B2D4652C43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1c59613-fa3d-49ac-a488-29be1c5cd5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BE51E6E3-B975-4718-8C78-1787E0896124}">
  <ds:schemaRefs>
    <ds:schemaRef ds:uri="http://mapping.word.org/2012/template"/>
  </ds:schemaRefs>
</ds:datastoreItem>
</file>

<file path=customXml/itemProps8.xml><?xml version="1.0" encoding="utf-8"?>
<ds:datastoreItem xmlns:ds="http://schemas.openxmlformats.org/officeDocument/2006/customXml" ds:itemID="{EF158574-B6BD-400F-A577-C9AB1CE0B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SSEReport</Template>
  <TotalTime>109</TotalTime>
  <Pages>199</Pages>
  <Words>33669</Words>
  <Characters>191914</Characters>
  <Application>Microsoft Office Word</Application>
  <DocSecurity>0</DocSecurity>
  <Lines>1599</Lines>
  <Paragraphs>450</Paragraphs>
  <ScaleCrop>false</ScaleCrop>
  <Company>Sky123.Org</Company>
  <LinksUpToDate>false</LinksUpToDate>
  <CharactersWithSpaces>225133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股份有限公司</dc:title>
  <dc:subject/>
  <dc:creator>czq</dc:creator>
  <cp:keywords/>
  <dc:description/>
  <cp:lastModifiedBy>Administrator</cp:lastModifiedBy>
  <cp:revision>14</cp:revision>
  <cp:lastPrinted>2023-04-25T16:09:00Z</cp:lastPrinted>
  <dcterms:created xsi:type="dcterms:W3CDTF">2023-04-26T01:38:00Z</dcterms:created>
  <dcterms:modified xsi:type="dcterms:W3CDTF">2023-04-26T06:43:00Z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0x010100685DD968A0EA954595FC06C7F1AEEC71</vt:lpwstr>
  </property>
</Properties>
</file>